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CD623" w14:textId="77777777" w:rsidR="00C55FC8" w:rsidRPr="00C55FC8" w:rsidRDefault="007336E4" w:rsidP="00C55FC8">
      <w:pPr>
        <w:pStyle w:val="Ttulo1"/>
        <w:spacing w:before="0" w:afterLines="120" w:after="288"/>
        <w:jc w:val="both"/>
        <w:rPr>
          <w:rFonts w:ascii="ITC Avant Garde" w:hAnsi="ITC Avant Garde"/>
          <w:b/>
          <w:color w:val="000000" w:themeColor="text1"/>
          <w:sz w:val="22"/>
          <w:szCs w:val="22"/>
          <w:lang w:eastAsia="es-MX"/>
        </w:rPr>
      </w:pPr>
      <w:r w:rsidRPr="00C55FC8">
        <w:rPr>
          <w:rFonts w:ascii="ITC Avant Garde" w:hAnsi="ITC Avant Garde"/>
          <w:b/>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RADIO</w:t>
      </w:r>
      <w:r w:rsidR="00AD6466" w:rsidRPr="00C55FC8">
        <w:rPr>
          <w:rFonts w:ascii="ITC Avant Garde" w:hAnsi="ITC Avant Garde"/>
          <w:b/>
          <w:color w:val="000000" w:themeColor="text1"/>
          <w:sz w:val="22"/>
          <w:szCs w:val="22"/>
          <w:lang w:eastAsia="es-MX"/>
        </w:rPr>
        <w:t>DIFUSORA</w:t>
      </w:r>
      <w:r w:rsidRPr="00C55FC8">
        <w:rPr>
          <w:rFonts w:ascii="ITC Avant Garde" w:hAnsi="ITC Avant Garde"/>
          <w:b/>
          <w:color w:val="000000" w:themeColor="text1"/>
          <w:sz w:val="22"/>
          <w:szCs w:val="22"/>
          <w:lang w:eastAsia="es-MX"/>
        </w:rPr>
        <w:t xml:space="preserve"> TLAXIAQUEÑA, S.A. DE C.V.</w:t>
      </w:r>
    </w:p>
    <w:p w14:paraId="6814D0EF" w14:textId="77777777" w:rsidR="00C55FC8" w:rsidRPr="00C55FC8" w:rsidRDefault="007336E4" w:rsidP="00C55FC8">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C55FC8">
        <w:rPr>
          <w:rFonts w:ascii="ITC Avant Garde" w:hAnsi="ITC Avant Garde"/>
          <w:b/>
          <w:color w:val="000000" w:themeColor="text1"/>
          <w:sz w:val="22"/>
          <w:szCs w:val="22"/>
        </w:rPr>
        <w:t>ANTECEDENTES</w:t>
      </w:r>
    </w:p>
    <w:p w14:paraId="0021A1F2" w14:textId="77777777" w:rsidR="00C55FC8" w:rsidRDefault="007336E4" w:rsidP="00C55FC8">
      <w:pPr>
        <w:pStyle w:val="Prrafodelista"/>
        <w:numPr>
          <w:ilvl w:val="0"/>
          <w:numId w:val="13"/>
        </w:numPr>
        <w:spacing w:afterLines="120" w:after="288" w:line="276" w:lineRule="auto"/>
        <w:ind w:left="426" w:hanging="426"/>
        <w:jc w:val="both"/>
        <w:rPr>
          <w:rFonts w:ascii="ITC Avant Garde" w:eastAsia="Calibri" w:hAnsi="ITC Avant Garde"/>
          <w:sz w:val="22"/>
          <w:szCs w:val="22"/>
        </w:rPr>
      </w:pPr>
      <w:r w:rsidRPr="00F80E4F">
        <w:rPr>
          <w:rFonts w:ascii="ITC Avant Garde" w:hAnsi="ITC Avant Garde"/>
          <w:b/>
          <w:sz w:val="22"/>
          <w:szCs w:val="22"/>
          <w:lang w:eastAsia="es-MX"/>
        </w:rPr>
        <w:t>Refrendo de la Concesi</w:t>
      </w:r>
      <w:r>
        <w:rPr>
          <w:rFonts w:ascii="ITC Avant Garde" w:hAnsi="ITC Avant Garde"/>
          <w:b/>
          <w:sz w:val="22"/>
          <w:szCs w:val="22"/>
          <w:lang w:eastAsia="es-MX"/>
        </w:rPr>
        <w:t>ón</w:t>
      </w:r>
      <w:r w:rsidRPr="00F80E4F">
        <w:rPr>
          <w:rFonts w:ascii="ITC Avant Garde" w:hAnsi="ITC Avant Garde"/>
          <w:b/>
          <w:sz w:val="22"/>
          <w:szCs w:val="22"/>
          <w:lang w:eastAsia="es-MX"/>
        </w:rPr>
        <w:t>.</w:t>
      </w:r>
      <w:r w:rsidRPr="00F80E4F">
        <w:rPr>
          <w:rFonts w:ascii="ITC Avant Garde" w:hAnsi="ITC Avant Garde"/>
          <w:sz w:val="22"/>
          <w:szCs w:val="22"/>
          <w:lang w:eastAsia="es-MX"/>
        </w:rPr>
        <w:t xml:space="preserve"> El </w:t>
      </w:r>
      <w:r w:rsidR="0093709E">
        <w:rPr>
          <w:rFonts w:ascii="ITC Avant Garde" w:hAnsi="ITC Avant Garde"/>
          <w:sz w:val="22"/>
          <w:szCs w:val="22"/>
          <w:lang w:eastAsia="es-MX"/>
        </w:rPr>
        <w:t>11</w:t>
      </w:r>
      <w:r w:rsidRPr="00F80E4F">
        <w:rPr>
          <w:rFonts w:ascii="ITC Avant Garde" w:hAnsi="ITC Avant Garde"/>
          <w:sz w:val="22"/>
          <w:szCs w:val="22"/>
          <w:lang w:eastAsia="es-MX"/>
        </w:rPr>
        <w:t xml:space="preserve"> de </w:t>
      </w:r>
      <w:r w:rsidR="0093709E">
        <w:rPr>
          <w:rFonts w:ascii="ITC Avant Garde" w:hAnsi="ITC Avant Garde"/>
          <w:sz w:val="22"/>
          <w:szCs w:val="22"/>
          <w:lang w:eastAsia="es-MX"/>
        </w:rPr>
        <w:t>mayo</w:t>
      </w:r>
      <w:r w:rsidRPr="00F80E4F">
        <w:rPr>
          <w:rFonts w:ascii="ITC Avant Garde" w:hAnsi="ITC Avant Garde"/>
          <w:sz w:val="22"/>
          <w:szCs w:val="22"/>
          <w:lang w:eastAsia="es-MX"/>
        </w:rPr>
        <w:t xml:space="preserve"> de 20</w:t>
      </w:r>
      <w:r w:rsidR="0093709E">
        <w:rPr>
          <w:rFonts w:ascii="ITC Avant Garde" w:hAnsi="ITC Avant Garde"/>
          <w:sz w:val="22"/>
          <w:szCs w:val="22"/>
          <w:lang w:eastAsia="es-MX"/>
        </w:rPr>
        <w:t>10</w:t>
      </w:r>
      <w:r w:rsidRPr="00F80E4F">
        <w:rPr>
          <w:rFonts w:ascii="ITC Avant Garde" w:hAnsi="ITC Avant Garde"/>
          <w:sz w:val="22"/>
          <w:szCs w:val="22"/>
          <w:lang w:eastAsia="es-MX"/>
        </w:rPr>
        <w:t>, la Secretaría de Comunicaciones y Transportes (la “SCT”)</w:t>
      </w:r>
      <w:r>
        <w:rPr>
          <w:rFonts w:ascii="ITC Avant Garde" w:hAnsi="ITC Avant Garde"/>
          <w:sz w:val="22"/>
          <w:szCs w:val="22"/>
          <w:lang w:eastAsia="es-MX"/>
        </w:rPr>
        <w:t>,</w:t>
      </w:r>
      <w:r w:rsidRPr="00F80E4F">
        <w:rPr>
          <w:rFonts w:ascii="ITC Avant Garde" w:hAnsi="ITC Avant Garde"/>
          <w:sz w:val="22"/>
          <w:szCs w:val="22"/>
          <w:lang w:eastAsia="es-MX"/>
        </w:rPr>
        <w:t xml:space="preserve"> de conformidad con lo dispuesto en la Ley Federal de Radio y Televisión (la “LFRTV”), otorgó a favor de </w:t>
      </w:r>
      <w:r w:rsidR="0093709E">
        <w:rPr>
          <w:rFonts w:ascii="ITC Avant Garde" w:hAnsi="ITC Avant Garde"/>
          <w:b/>
          <w:sz w:val="22"/>
          <w:szCs w:val="22"/>
          <w:lang w:eastAsia="es-MX"/>
        </w:rPr>
        <w:t>Radio</w:t>
      </w:r>
      <w:r w:rsidR="00AD6466">
        <w:rPr>
          <w:rFonts w:ascii="ITC Avant Garde" w:hAnsi="ITC Avant Garde"/>
          <w:b/>
          <w:sz w:val="22"/>
          <w:szCs w:val="22"/>
          <w:lang w:eastAsia="es-MX"/>
        </w:rPr>
        <w:t>difusora</w:t>
      </w:r>
      <w:r w:rsidR="0093709E">
        <w:rPr>
          <w:rFonts w:ascii="ITC Avant Garde" w:hAnsi="ITC Avant Garde"/>
          <w:b/>
          <w:sz w:val="22"/>
          <w:szCs w:val="22"/>
          <w:lang w:eastAsia="es-MX"/>
        </w:rPr>
        <w:t xml:space="preserve"> </w:t>
      </w:r>
      <w:proofErr w:type="spellStart"/>
      <w:r w:rsidR="0093709E">
        <w:rPr>
          <w:rFonts w:ascii="ITC Avant Garde" w:hAnsi="ITC Avant Garde"/>
          <w:b/>
          <w:sz w:val="22"/>
          <w:szCs w:val="22"/>
          <w:lang w:eastAsia="es-MX"/>
        </w:rPr>
        <w:t>Tlaxiaqueña</w:t>
      </w:r>
      <w:proofErr w:type="spellEnd"/>
      <w:r>
        <w:rPr>
          <w:rFonts w:ascii="ITC Avant Garde" w:hAnsi="ITC Avant Garde"/>
          <w:b/>
          <w:sz w:val="22"/>
          <w:szCs w:val="22"/>
          <w:lang w:eastAsia="es-MX"/>
        </w:rPr>
        <w:t>, S.A.</w:t>
      </w:r>
      <w:r w:rsidR="0093709E">
        <w:rPr>
          <w:rFonts w:ascii="ITC Avant Garde" w:hAnsi="ITC Avant Garde"/>
          <w:b/>
          <w:sz w:val="22"/>
          <w:szCs w:val="22"/>
          <w:lang w:eastAsia="es-MX"/>
        </w:rPr>
        <w:t xml:space="preserve"> de C.V.</w:t>
      </w:r>
      <w:r w:rsidRPr="00F80E4F">
        <w:rPr>
          <w:rFonts w:ascii="ITC Avant Garde" w:hAnsi="ITC Avant Garde"/>
          <w:sz w:val="22"/>
          <w:szCs w:val="22"/>
          <w:lang w:eastAsia="es-MX"/>
        </w:rPr>
        <w:t xml:space="preserve">, el Título de Refrendo de la Concesión para continuar usando comercialmente la frecuencia </w:t>
      </w:r>
      <w:r>
        <w:rPr>
          <w:rFonts w:ascii="ITC Avant Garde" w:hAnsi="ITC Avant Garde"/>
          <w:sz w:val="22"/>
          <w:szCs w:val="22"/>
          <w:lang w:eastAsia="es-MX"/>
        </w:rPr>
        <w:t>8</w:t>
      </w:r>
      <w:r w:rsidR="0093709E">
        <w:rPr>
          <w:rFonts w:ascii="ITC Avant Garde" w:hAnsi="ITC Avant Garde"/>
          <w:sz w:val="22"/>
          <w:szCs w:val="22"/>
          <w:lang w:eastAsia="es-MX"/>
        </w:rPr>
        <w:t>3</w:t>
      </w:r>
      <w:r>
        <w:rPr>
          <w:rFonts w:ascii="ITC Avant Garde" w:hAnsi="ITC Avant Garde"/>
          <w:sz w:val="22"/>
          <w:szCs w:val="22"/>
          <w:lang w:eastAsia="es-MX"/>
        </w:rPr>
        <w:t>0</w:t>
      </w:r>
      <w:r w:rsidRPr="00F80E4F">
        <w:rPr>
          <w:rFonts w:ascii="ITC Avant Garde" w:hAnsi="ITC Avant Garde"/>
          <w:sz w:val="22"/>
          <w:szCs w:val="22"/>
          <w:lang w:eastAsia="es-MX"/>
        </w:rPr>
        <w:t xml:space="preserve"> kHz en la banda de Amplitud Modulada, a través de la estación con distintivo de llamada </w:t>
      </w:r>
      <w:r w:rsidRPr="00CB521D">
        <w:rPr>
          <w:rFonts w:ascii="ITC Avant Garde" w:hAnsi="ITC Avant Garde"/>
          <w:b/>
          <w:sz w:val="22"/>
          <w:szCs w:val="22"/>
          <w:lang w:eastAsia="es-MX"/>
        </w:rPr>
        <w:t>XE</w:t>
      </w:r>
      <w:r>
        <w:rPr>
          <w:rFonts w:ascii="ITC Avant Garde" w:hAnsi="ITC Avant Garde"/>
          <w:b/>
          <w:sz w:val="22"/>
          <w:szCs w:val="22"/>
          <w:lang w:eastAsia="es-MX"/>
        </w:rPr>
        <w:t>T</w:t>
      </w:r>
      <w:r w:rsidR="0093709E">
        <w:rPr>
          <w:rFonts w:ascii="ITC Avant Garde" w:hAnsi="ITC Avant Garde"/>
          <w:b/>
          <w:sz w:val="22"/>
          <w:szCs w:val="22"/>
          <w:lang w:eastAsia="es-MX"/>
        </w:rPr>
        <w:t>LX</w:t>
      </w:r>
      <w:r w:rsidRPr="00CB521D">
        <w:rPr>
          <w:rFonts w:ascii="ITC Avant Garde" w:hAnsi="ITC Avant Garde"/>
          <w:b/>
          <w:sz w:val="22"/>
          <w:szCs w:val="22"/>
          <w:lang w:eastAsia="es-MX"/>
        </w:rPr>
        <w:t>-AM</w:t>
      </w:r>
      <w:r w:rsidRPr="00F80E4F">
        <w:rPr>
          <w:rFonts w:ascii="ITC Avant Garde" w:hAnsi="ITC Avant Garde"/>
          <w:sz w:val="22"/>
          <w:szCs w:val="22"/>
          <w:lang w:eastAsia="es-MX"/>
        </w:rPr>
        <w:t xml:space="preserve">, en </w:t>
      </w:r>
      <w:r w:rsidR="0093709E">
        <w:rPr>
          <w:rFonts w:ascii="ITC Avant Garde" w:hAnsi="ITC Avant Garde"/>
          <w:sz w:val="22"/>
          <w:szCs w:val="22"/>
          <w:lang w:eastAsia="es-MX"/>
        </w:rPr>
        <w:t xml:space="preserve">Santa María Asunción </w:t>
      </w:r>
      <w:proofErr w:type="spellStart"/>
      <w:r w:rsidR="0093709E">
        <w:rPr>
          <w:rFonts w:ascii="ITC Avant Garde" w:hAnsi="ITC Avant Garde"/>
          <w:sz w:val="22"/>
          <w:szCs w:val="22"/>
          <w:lang w:eastAsia="es-MX"/>
        </w:rPr>
        <w:t>Tlaxiaco</w:t>
      </w:r>
      <w:proofErr w:type="spellEnd"/>
      <w:r>
        <w:rPr>
          <w:rFonts w:ascii="ITC Avant Garde" w:hAnsi="ITC Avant Garde"/>
          <w:sz w:val="22"/>
          <w:szCs w:val="22"/>
          <w:lang w:eastAsia="es-MX"/>
        </w:rPr>
        <w:t xml:space="preserve">, </w:t>
      </w:r>
      <w:r w:rsidR="0093709E">
        <w:rPr>
          <w:rFonts w:ascii="ITC Avant Garde" w:hAnsi="ITC Avant Garde"/>
          <w:sz w:val="22"/>
          <w:szCs w:val="22"/>
          <w:lang w:eastAsia="es-MX"/>
        </w:rPr>
        <w:t>Oaxaca</w:t>
      </w:r>
      <w:r w:rsidRPr="00F80E4F">
        <w:rPr>
          <w:rFonts w:ascii="ITC Avant Garde" w:hAnsi="ITC Avant Garde"/>
          <w:sz w:val="22"/>
          <w:szCs w:val="22"/>
          <w:lang w:eastAsia="es-MX"/>
        </w:rPr>
        <w:t xml:space="preserve">, con vigencia de 12 (doce) años contados a partir del día </w:t>
      </w:r>
      <w:r w:rsidR="0093709E">
        <w:rPr>
          <w:rFonts w:ascii="ITC Avant Garde" w:hAnsi="ITC Avant Garde"/>
          <w:sz w:val="22"/>
          <w:szCs w:val="22"/>
          <w:lang w:eastAsia="es-MX"/>
        </w:rPr>
        <w:t xml:space="preserve">25 </w:t>
      </w:r>
      <w:r>
        <w:rPr>
          <w:rFonts w:ascii="ITC Avant Garde" w:hAnsi="ITC Avant Garde"/>
          <w:sz w:val="22"/>
          <w:szCs w:val="22"/>
          <w:lang w:eastAsia="es-MX"/>
        </w:rPr>
        <w:t xml:space="preserve">de </w:t>
      </w:r>
      <w:r w:rsidR="0093709E">
        <w:rPr>
          <w:rFonts w:ascii="ITC Avant Garde" w:hAnsi="ITC Avant Garde"/>
          <w:sz w:val="22"/>
          <w:szCs w:val="22"/>
          <w:lang w:eastAsia="es-MX"/>
        </w:rPr>
        <w:t>febrero</w:t>
      </w:r>
      <w:r>
        <w:rPr>
          <w:rFonts w:ascii="ITC Avant Garde" w:hAnsi="ITC Avant Garde"/>
          <w:sz w:val="22"/>
          <w:szCs w:val="22"/>
          <w:lang w:eastAsia="es-MX"/>
        </w:rPr>
        <w:t xml:space="preserve"> de 200</w:t>
      </w:r>
      <w:r w:rsidR="0093709E">
        <w:rPr>
          <w:rFonts w:ascii="ITC Avant Garde" w:hAnsi="ITC Avant Garde"/>
          <w:sz w:val="22"/>
          <w:szCs w:val="22"/>
          <w:lang w:eastAsia="es-MX"/>
        </w:rPr>
        <w:t>8</w:t>
      </w:r>
      <w:r w:rsidRPr="00F80E4F">
        <w:rPr>
          <w:rFonts w:ascii="ITC Avant Garde" w:hAnsi="ITC Avant Garde"/>
          <w:sz w:val="22"/>
          <w:szCs w:val="22"/>
          <w:lang w:eastAsia="es-MX"/>
        </w:rPr>
        <w:t xml:space="preserve"> y vencimiento el </w:t>
      </w:r>
      <w:r w:rsidR="0093709E">
        <w:rPr>
          <w:rFonts w:ascii="ITC Avant Garde" w:hAnsi="ITC Avant Garde"/>
          <w:sz w:val="22"/>
          <w:szCs w:val="22"/>
          <w:lang w:eastAsia="es-MX"/>
        </w:rPr>
        <w:t>24</w:t>
      </w:r>
      <w:r>
        <w:rPr>
          <w:rFonts w:ascii="ITC Avant Garde" w:hAnsi="ITC Avant Garde"/>
          <w:sz w:val="22"/>
          <w:szCs w:val="22"/>
          <w:lang w:eastAsia="es-MX"/>
        </w:rPr>
        <w:t xml:space="preserve"> de </w:t>
      </w:r>
      <w:r w:rsidR="0093709E">
        <w:rPr>
          <w:rFonts w:ascii="ITC Avant Garde" w:hAnsi="ITC Avant Garde"/>
          <w:sz w:val="22"/>
          <w:szCs w:val="22"/>
          <w:lang w:eastAsia="es-MX"/>
        </w:rPr>
        <w:t>febrero</w:t>
      </w:r>
      <w:r>
        <w:rPr>
          <w:rFonts w:ascii="ITC Avant Garde" w:hAnsi="ITC Avant Garde"/>
          <w:sz w:val="22"/>
          <w:szCs w:val="22"/>
          <w:lang w:eastAsia="es-MX"/>
        </w:rPr>
        <w:t xml:space="preserve"> de 20</w:t>
      </w:r>
      <w:r w:rsidR="0093709E">
        <w:rPr>
          <w:rFonts w:ascii="ITC Avant Garde" w:hAnsi="ITC Avant Garde"/>
          <w:sz w:val="22"/>
          <w:szCs w:val="22"/>
          <w:lang w:eastAsia="es-MX"/>
        </w:rPr>
        <w:t>20</w:t>
      </w:r>
      <w:r w:rsidRPr="00F80E4F">
        <w:rPr>
          <w:rFonts w:ascii="ITC Avant Garde" w:hAnsi="ITC Avant Garde"/>
          <w:sz w:val="22"/>
          <w:szCs w:val="22"/>
          <w:lang w:eastAsia="es-MX"/>
        </w:rPr>
        <w:t xml:space="preserve"> (la “Concesión”)</w:t>
      </w:r>
      <w:r w:rsidRPr="00F80E4F">
        <w:rPr>
          <w:rFonts w:ascii="ITC Avant Garde" w:eastAsia="Calibri" w:hAnsi="ITC Avant Garde"/>
          <w:sz w:val="22"/>
          <w:szCs w:val="22"/>
        </w:rPr>
        <w:t>.</w:t>
      </w:r>
    </w:p>
    <w:p w14:paraId="4B6159B1" w14:textId="77777777" w:rsidR="00C55FC8" w:rsidRDefault="007336E4" w:rsidP="00C55FC8">
      <w:pPr>
        <w:pStyle w:val="Prrafodelista"/>
        <w:numPr>
          <w:ilvl w:val="0"/>
          <w:numId w:val="13"/>
        </w:numPr>
        <w:spacing w:afterLines="120" w:after="288" w:line="276" w:lineRule="auto"/>
        <w:ind w:left="426" w:hanging="426"/>
        <w:jc w:val="both"/>
        <w:rPr>
          <w:rFonts w:ascii="ITC Avant Garde" w:hAnsi="ITC Avant Garde"/>
          <w:b/>
          <w:bCs/>
          <w:color w:val="000000" w:themeColor="text1"/>
          <w:sz w:val="22"/>
          <w:szCs w:val="22"/>
          <w:lang w:eastAsia="es-MX"/>
        </w:rPr>
      </w:pPr>
      <w:r w:rsidRPr="00995748">
        <w:rPr>
          <w:rFonts w:ascii="ITC Avant Garde" w:hAnsi="ITC Avant Garde"/>
          <w:b/>
          <w:bCs/>
          <w:kern w:val="1"/>
          <w:sz w:val="22"/>
          <w:szCs w:val="22"/>
          <w:lang w:val="es-ES" w:eastAsia="ar-SA"/>
        </w:rPr>
        <w:t xml:space="preserve">Acuerdo de Cambio de frecuencias. </w:t>
      </w:r>
      <w:r w:rsidRPr="00995748">
        <w:rPr>
          <w:rFonts w:ascii="ITC Avant Garde" w:hAnsi="ITC Avant Garde"/>
          <w:bCs/>
          <w:kern w:val="1"/>
          <w:sz w:val="22"/>
          <w:szCs w:val="22"/>
          <w:lang w:val="es-ES" w:eastAsia="ar-SA"/>
        </w:rPr>
        <w:t xml:space="preserve">El 15 de septiembre de 2008, se publicó en el Diario Oficial de la Federación (el “DOF”), el </w:t>
      </w:r>
      <w:r w:rsidRPr="00995748">
        <w:rPr>
          <w:rFonts w:ascii="ITC Avant Garde" w:hAnsi="ITC Avant Garde"/>
          <w:bCs/>
          <w:i/>
          <w:kern w:val="1"/>
          <w:sz w:val="22"/>
          <w:szCs w:val="22"/>
          <w:lang w:val="es-ES" w:eastAsia="ar-SA"/>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995748">
        <w:rPr>
          <w:rFonts w:ascii="ITC Avant Garde" w:hAnsi="ITC Avant Garde"/>
          <w:bCs/>
          <w:kern w:val="1"/>
          <w:sz w:val="22"/>
          <w:szCs w:val="22"/>
          <w:lang w:val="es-ES" w:eastAsia="ar-SA"/>
        </w:rPr>
        <w:t xml:space="preserve"> (el "Acuerdo de Cambio de Frecuencias")</w:t>
      </w:r>
      <w:r>
        <w:rPr>
          <w:rFonts w:ascii="ITC Avant Garde" w:hAnsi="ITC Avant Garde"/>
          <w:bCs/>
          <w:kern w:val="1"/>
          <w:sz w:val="22"/>
          <w:szCs w:val="22"/>
          <w:lang w:val="es-ES" w:eastAsia="ar-SA"/>
        </w:rPr>
        <w:t>.</w:t>
      </w:r>
    </w:p>
    <w:p w14:paraId="4748064A" w14:textId="77777777" w:rsidR="00C55FC8" w:rsidRDefault="007336E4" w:rsidP="00C55FC8">
      <w:pPr>
        <w:pStyle w:val="Prrafodelista"/>
        <w:numPr>
          <w:ilvl w:val="0"/>
          <w:numId w:val="13"/>
        </w:numPr>
        <w:spacing w:afterLines="120" w:after="288" w:line="276" w:lineRule="auto"/>
        <w:ind w:left="426" w:hanging="426"/>
        <w:jc w:val="both"/>
        <w:rPr>
          <w:rFonts w:ascii="ITC Avant Garde" w:hAnsi="ITC Avant Garde"/>
          <w:b/>
          <w:bCs/>
          <w:color w:val="000000" w:themeColor="text1"/>
          <w:sz w:val="22"/>
          <w:szCs w:val="22"/>
          <w:lang w:eastAsia="es-MX"/>
        </w:rPr>
      </w:pPr>
      <w:r w:rsidRPr="00643D75">
        <w:rPr>
          <w:rFonts w:ascii="ITC Avant Garde" w:hAnsi="ITC Avant Garde"/>
          <w:b/>
          <w:bCs/>
          <w:kern w:val="1"/>
          <w:sz w:val="22"/>
          <w:szCs w:val="22"/>
          <w:lang w:val="es-ES" w:eastAsia="ar-SA"/>
        </w:rPr>
        <w:t xml:space="preserve">Autorización de cambio de frecuencias. </w:t>
      </w:r>
      <w:r w:rsidRPr="00643D75">
        <w:rPr>
          <w:rFonts w:ascii="ITC Avant Garde" w:hAnsi="ITC Avant Garde"/>
          <w:bCs/>
          <w:kern w:val="1"/>
          <w:sz w:val="22"/>
          <w:szCs w:val="22"/>
          <w:lang w:val="es-ES" w:eastAsia="ar-SA"/>
        </w:rPr>
        <w:t>Mediante oficio CFT/D01/STP/</w:t>
      </w:r>
      <w:r w:rsidR="00182A24">
        <w:rPr>
          <w:rFonts w:ascii="ITC Avant Garde" w:hAnsi="ITC Avant Garde"/>
          <w:bCs/>
          <w:kern w:val="1"/>
          <w:sz w:val="22"/>
          <w:szCs w:val="22"/>
          <w:lang w:val="es-ES" w:eastAsia="ar-SA"/>
        </w:rPr>
        <w:t>3354</w:t>
      </w:r>
      <w:r w:rsidRPr="00643D75">
        <w:rPr>
          <w:rFonts w:ascii="ITC Avant Garde" w:hAnsi="ITC Avant Garde"/>
          <w:bCs/>
          <w:kern w:val="1"/>
          <w:sz w:val="22"/>
          <w:szCs w:val="22"/>
          <w:lang w:val="es-ES" w:eastAsia="ar-SA"/>
        </w:rPr>
        <w:t>/1</w:t>
      </w:r>
      <w:r w:rsidR="00182A24">
        <w:rPr>
          <w:rFonts w:ascii="ITC Avant Garde" w:hAnsi="ITC Avant Garde"/>
          <w:bCs/>
          <w:kern w:val="1"/>
          <w:sz w:val="22"/>
          <w:szCs w:val="22"/>
          <w:lang w:val="es-ES" w:eastAsia="ar-SA"/>
        </w:rPr>
        <w:t>1</w:t>
      </w:r>
      <w:r w:rsidRPr="00643D75">
        <w:rPr>
          <w:rFonts w:ascii="ITC Avant Garde" w:hAnsi="ITC Avant Garde"/>
          <w:bCs/>
          <w:kern w:val="1"/>
          <w:sz w:val="22"/>
          <w:szCs w:val="22"/>
          <w:lang w:val="es-ES" w:eastAsia="ar-SA"/>
        </w:rPr>
        <w:t xml:space="preserve"> de fecha </w:t>
      </w:r>
      <w:r w:rsidR="00182A24">
        <w:rPr>
          <w:rFonts w:ascii="ITC Avant Garde" w:hAnsi="ITC Avant Garde"/>
          <w:bCs/>
          <w:kern w:val="1"/>
          <w:sz w:val="22"/>
          <w:szCs w:val="22"/>
          <w:lang w:val="es-ES" w:eastAsia="ar-SA"/>
        </w:rPr>
        <w:t>19</w:t>
      </w:r>
      <w:r w:rsidRPr="00643D75">
        <w:rPr>
          <w:rFonts w:ascii="ITC Avant Garde" w:hAnsi="ITC Avant Garde"/>
          <w:bCs/>
          <w:kern w:val="1"/>
          <w:sz w:val="22"/>
          <w:szCs w:val="22"/>
          <w:lang w:val="es-ES" w:eastAsia="ar-SA"/>
        </w:rPr>
        <w:t xml:space="preserve"> </w:t>
      </w:r>
      <w:r w:rsidRPr="00644CE5">
        <w:rPr>
          <w:rFonts w:ascii="ITC Avant Garde" w:hAnsi="ITC Avant Garde"/>
          <w:bCs/>
          <w:kern w:val="1"/>
          <w:sz w:val="22"/>
          <w:szCs w:val="22"/>
          <w:lang w:val="es-ES" w:eastAsia="ar-SA"/>
        </w:rPr>
        <w:t xml:space="preserve">de </w:t>
      </w:r>
      <w:r w:rsidR="00182A24" w:rsidRPr="00644CE5">
        <w:rPr>
          <w:rFonts w:ascii="ITC Avant Garde" w:hAnsi="ITC Avant Garde"/>
          <w:bCs/>
          <w:kern w:val="1"/>
          <w:sz w:val="22"/>
          <w:szCs w:val="22"/>
          <w:lang w:val="es-ES" w:eastAsia="ar-SA"/>
        </w:rPr>
        <w:t>octubre</w:t>
      </w:r>
      <w:r w:rsidRPr="00644CE5">
        <w:rPr>
          <w:rFonts w:ascii="ITC Avant Garde" w:hAnsi="ITC Avant Garde"/>
          <w:bCs/>
          <w:kern w:val="1"/>
          <w:sz w:val="22"/>
          <w:szCs w:val="22"/>
          <w:lang w:val="es-ES" w:eastAsia="ar-SA"/>
        </w:rPr>
        <w:t xml:space="preserve"> de 201</w:t>
      </w:r>
      <w:r w:rsidR="00182A24" w:rsidRPr="00644CE5">
        <w:rPr>
          <w:rFonts w:ascii="ITC Avant Garde" w:hAnsi="ITC Avant Garde"/>
          <w:bCs/>
          <w:kern w:val="1"/>
          <w:sz w:val="22"/>
          <w:szCs w:val="22"/>
          <w:lang w:val="es-ES" w:eastAsia="ar-SA"/>
        </w:rPr>
        <w:t>1</w:t>
      </w:r>
      <w:r w:rsidRPr="00644CE5">
        <w:rPr>
          <w:rFonts w:ascii="ITC Avant Garde" w:hAnsi="ITC Avant Garde"/>
          <w:bCs/>
          <w:kern w:val="1"/>
          <w:sz w:val="22"/>
          <w:szCs w:val="22"/>
          <w:lang w:val="es-ES" w:eastAsia="ar-SA"/>
        </w:rPr>
        <w:t xml:space="preserve">, la </w:t>
      </w:r>
      <w:r w:rsidR="006265DC" w:rsidRPr="00644CE5">
        <w:rPr>
          <w:rFonts w:ascii="ITC Avant Garde" w:hAnsi="ITC Avant Garde"/>
          <w:sz w:val="22"/>
          <w:lang w:eastAsia="es-MX"/>
        </w:rPr>
        <w:t xml:space="preserve">extinta Comisión Federal de Telecomunicaciones </w:t>
      </w:r>
      <w:r w:rsidR="006265DC" w:rsidRPr="00483F30">
        <w:rPr>
          <w:rFonts w:ascii="ITC Avant Garde" w:hAnsi="ITC Avant Garde"/>
          <w:bCs/>
          <w:kern w:val="2"/>
          <w:sz w:val="22"/>
          <w:lang w:val="es-ES" w:eastAsia="ar-SA"/>
        </w:rPr>
        <w:t>(la “COFETEL”)</w:t>
      </w:r>
      <w:r w:rsidRPr="00644CE5">
        <w:rPr>
          <w:rFonts w:ascii="ITC Avant Garde" w:hAnsi="ITC Avant Garde"/>
          <w:bCs/>
          <w:kern w:val="1"/>
          <w:sz w:val="22"/>
          <w:szCs w:val="22"/>
          <w:lang w:val="es-ES" w:eastAsia="ar-SA"/>
        </w:rPr>
        <w:t xml:space="preserve"> hizo del conocimiento del Concesionario la respectiva autorización para llevar a cabo el cambio de su frecuencia de la banda de amplitud modulada (AM) a la banda de frecuencia modulada (FM), en términos de lo establecido en el Acuerdo de Cambio de Frecuencias.</w:t>
      </w:r>
    </w:p>
    <w:p w14:paraId="2144108D" w14:textId="77777777" w:rsidR="00C55FC8" w:rsidRDefault="007336E4" w:rsidP="00C55FC8">
      <w:pPr>
        <w:pStyle w:val="Prrafodelista"/>
        <w:numPr>
          <w:ilvl w:val="0"/>
          <w:numId w:val="13"/>
        </w:numPr>
        <w:spacing w:afterLines="120" w:after="288" w:line="276" w:lineRule="auto"/>
        <w:ind w:left="426" w:hanging="426"/>
        <w:jc w:val="both"/>
        <w:rPr>
          <w:rFonts w:ascii="ITC Avant Garde" w:hAnsi="ITC Avant Garde"/>
          <w:b/>
          <w:bCs/>
          <w:color w:val="000000" w:themeColor="text1"/>
          <w:sz w:val="22"/>
          <w:szCs w:val="22"/>
          <w:lang w:eastAsia="es-MX"/>
        </w:rPr>
      </w:pPr>
      <w:r w:rsidRPr="00644CE5">
        <w:rPr>
          <w:rFonts w:ascii="ITC Avant Garde" w:hAnsi="ITC Avant Garde"/>
          <w:b/>
          <w:bCs/>
          <w:kern w:val="1"/>
          <w:sz w:val="22"/>
          <w:szCs w:val="22"/>
          <w:lang w:val="es-ES" w:eastAsia="ar-SA"/>
        </w:rPr>
        <w:t xml:space="preserve">Conclusión de trabajos de instalación por cambio de frecuencias </w:t>
      </w:r>
      <w:r w:rsidRPr="00644CE5">
        <w:rPr>
          <w:rFonts w:ascii="ITC Avant Garde" w:hAnsi="ITC Avant Garde"/>
          <w:bCs/>
          <w:kern w:val="1"/>
          <w:sz w:val="22"/>
          <w:szCs w:val="22"/>
          <w:lang w:val="es-ES" w:eastAsia="ar-SA"/>
        </w:rPr>
        <w:t xml:space="preserve">Mediante escrito presentado el </w:t>
      </w:r>
      <w:r w:rsidR="006E56E8" w:rsidRPr="005C5B1F">
        <w:rPr>
          <w:rFonts w:ascii="ITC Avant Garde" w:hAnsi="ITC Avant Garde"/>
          <w:bCs/>
          <w:kern w:val="1"/>
          <w:sz w:val="22"/>
          <w:szCs w:val="22"/>
          <w:lang w:val="es-ES" w:eastAsia="ar-SA"/>
        </w:rPr>
        <w:t>5 de diciembre de 2012</w:t>
      </w:r>
      <w:r w:rsidRPr="00644CE5">
        <w:rPr>
          <w:rFonts w:ascii="ITC Avant Garde" w:hAnsi="ITC Avant Garde"/>
          <w:bCs/>
          <w:kern w:val="1"/>
          <w:sz w:val="22"/>
          <w:szCs w:val="22"/>
          <w:lang w:val="es-ES" w:eastAsia="ar-SA"/>
        </w:rPr>
        <w:t>, el Concesionario informó a la</w:t>
      </w:r>
      <w:r w:rsidRPr="00483F30">
        <w:rPr>
          <w:rFonts w:ascii="ITC Avant Garde" w:hAnsi="ITC Avant Garde"/>
          <w:bCs/>
          <w:kern w:val="1"/>
          <w:sz w:val="22"/>
          <w:szCs w:val="22"/>
          <w:lang w:val="es-ES" w:eastAsia="ar-SA"/>
        </w:rPr>
        <w:t xml:space="preserve"> autoridad</w:t>
      </w:r>
      <w:r w:rsidRPr="00644CE5">
        <w:rPr>
          <w:rFonts w:ascii="ITC Avant Garde" w:hAnsi="ITC Avant Garde"/>
          <w:bCs/>
          <w:kern w:val="1"/>
          <w:sz w:val="22"/>
          <w:szCs w:val="22"/>
          <w:lang w:val="es-ES" w:eastAsia="ar-SA"/>
        </w:rPr>
        <w:t xml:space="preserve"> de la conclusión de los trabajos de instalación e inicio de operaciones y pruebas realizadas con motivo de la autorización de cambio de frecuencia.</w:t>
      </w:r>
    </w:p>
    <w:p w14:paraId="4AEDAFE8" w14:textId="77777777" w:rsidR="00C55FC8" w:rsidRDefault="007336E4" w:rsidP="00C55FC8">
      <w:pPr>
        <w:pStyle w:val="Prrafodelista"/>
        <w:numPr>
          <w:ilvl w:val="0"/>
          <w:numId w:val="13"/>
        </w:numPr>
        <w:spacing w:afterLines="120" w:after="288" w:line="276" w:lineRule="auto"/>
        <w:ind w:left="426" w:hanging="426"/>
        <w:jc w:val="both"/>
        <w:rPr>
          <w:rFonts w:ascii="ITC Avant Garde" w:hAnsi="ITC Avant Garde"/>
          <w:b/>
          <w:bCs/>
          <w:color w:val="000000" w:themeColor="text1"/>
          <w:sz w:val="22"/>
          <w:szCs w:val="22"/>
          <w:lang w:eastAsia="es-MX"/>
        </w:rPr>
      </w:pPr>
      <w:r w:rsidRPr="00644CE5">
        <w:rPr>
          <w:rFonts w:ascii="ITC Avant Garde" w:hAnsi="ITC Avant Garde"/>
          <w:b/>
          <w:sz w:val="22"/>
          <w:szCs w:val="22"/>
          <w:lang w:eastAsia="es-MX"/>
        </w:rPr>
        <w:lastRenderedPageBreak/>
        <w:t xml:space="preserve">Decreto de Reforma Constitucional. </w:t>
      </w:r>
      <w:r w:rsidRPr="00644CE5">
        <w:rPr>
          <w:rFonts w:ascii="ITC Avant Garde" w:hAnsi="ITC Avant Garde"/>
          <w:sz w:val="22"/>
          <w:szCs w:val="22"/>
          <w:lang w:eastAsia="es-MX"/>
        </w:rPr>
        <w:t>Con fecha 11 de junio de 2013 se publicó en el DOF el</w:t>
      </w:r>
      <w:r w:rsidRPr="00643D75">
        <w:rPr>
          <w:rFonts w:ascii="ITC Avant Garde" w:hAnsi="ITC Avant Garde"/>
          <w:sz w:val="22"/>
          <w:szCs w:val="22"/>
          <w:lang w:eastAsia="es-MX"/>
        </w:rPr>
        <w:t xml:space="preserve"> “</w:t>
      </w:r>
      <w:r w:rsidRPr="00643D75">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643D75">
        <w:rPr>
          <w:rFonts w:ascii="ITC Avant Garde" w:hAnsi="ITC Avant Garde"/>
          <w:sz w:val="22"/>
          <w:szCs w:val="22"/>
          <w:lang w:eastAsia="es-MX"/>
        </w:rPr>
        <w:t>” (el “Decreto de Reforma Constitucional”), mediante el cual se creó el Instituto Federal de Telecomunicaciones (el “Instituto”).</w:t>
      </w:r>
    </w:p>
    <w:p w14:paraId="6AD198E2" w14:textId="77777777" w:rsidR="00C55FC8" w:rsidRDefault="007336E4" w:rsidP="00C55FC8">
      <w:pPr>
        <w:pStyle w:val="Prrafodelista"/>
        <w:numPr>
          <w:ilvl w:val="0"/>
          <w:numId w:val="13"/>
        </w:numPr>
        <w:spacing w:afterLines="120" w:after="288" w:line="276" w:lineRule="auto"/>
        <w:ind w:left="426" w:hanging="426"/>
        <w:jc w:val="both"/>
        <w:rPr>
          <w:rFonts w:ascii="ITC Avant Garde" w:eastAsia="Calibri" w:hAnsi="ITC Avant Garde"/>
          <w:sz w:val="22"/>
          <w:szCs w:val="22"/>
        </w:rPr>
      </w:pPr>
      <w:r w:rsidRPr="00F80E4F">
        <w:rPr>
          <w:rFonts w:ascii="ITC Avant Garde" w:hAnsi="ITC Avant Garde"/>
          <w:b/>
          <w:bCs/>
          <w:color w:val="000000" w:themeColor="text1"/>
          <w:sz w:val="22"/>
          <w:szCs w:val="22"/>
          <w:lang w:eastAsia="es-MX"/>
        </w:rPr>
        <w:t xml:space="preserve">Decreto de Ley. </w:t>
      </w:r>
      <w:r w:rsidRPr="00F80E4F">
        <w:rPr>
          <w:rFonts w:ascii="ITC Avant Garde" w:hAnsi="ITC Avant Garde"/>
          <w:bCs/>
          <w:color w:val="000000" w:themeColor="text1"/>
          <w:sz w:val="22"/>
          <w:szCs w:val="22"/>
          <w:lang w:eastAsia="es-MX"/>
        </w:rPr>
        <w:t>El 14 de julio de 2014 se publicó en el DOF el “</w:t>
      </w:r>
      <w:r w:rsidRPr="00F80E4F">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80E4F">
        <w:rPr>
          <w:rFonts w:ascii="ITC Avant Garde" w:hAnsi="ITC Avant Garde"/>
          <w:bCs/>
          <w:color w:val="000000" w:themeColor="text1"/>
          <w:sz w:val="22"/>
          <w:szCs w:val="22"/>
          <w:lang w:eastAsia="es-MX"/>
        </w:rPr>
        <w:t>” (el “Decreto de Ley”), mismo que entró en vigor el 13 de agosto de 2014.</w:t>
      </w:r>
    </w:p>
    <w:p w14:paraId="705AA86E" w14:textId="77777777" w:rsidR="00C55FC8" w:rsidRDefault="007336E4" w:rsidP="00C55FC8">
      <w:pPr>
        <w:pStyle w:val="Prrafodelista"/>
        <w:numPr>
          <w:ilvl w:val="0"/>
          <w:numId w:val="13"/>
        </w:numPr>
        <w:spacing w:afterLines="120" w:after="288" w:line="276" w:lineRule="auto"/>
        <w:ind w:left="426" w:hanging="426"/>
        <w:jc w:val="both"/>
        <w:rPr>
          <w:rFonts w:ascii="ITC Avant Garde" w:hAnsi="ITC Avant Garde"/>
          <w:kern w:val="1"/>
          <w:sz w:val="22"/>
          <w:szCs w:val="22"/>
          <w:lang w:val="es-ES" w:eastAsia="ar-SA"/>
        </w:rPr>
      </w:pPr>
      <w:r w:rsidRPr="00F80E4F">
        <w:rPr>
          <w:rFonts w:ascii="ITC Avant Garde" w:hAnsi="ITC Avant Garde"/>
          <w:b/>
          <w:kern w:val="1"/>
          <w:sz w:val="22"/>
          <w:szCs w:val="22"/>
          <w:lang w:eastAsia="ar-SA"/>
        </w:rPr>
        <w:t>Estatuto Orgánico.</w:t>
      </w:r>
      <w:r w:rsidRPr="00F80E4F">
        <w:rPr>
          <w:rFonts w:ascii="ITC Avant Garde" w:hAnsi="ITC Avant Garde"/>
          <w:kern w:val="1"/>
          <w:sz w:val="22"/>
          <w:szCs w:val="22"/>
          <w:lang w:eastAsia="ar-SA"/>
        </w:rPr>
        <w:t xml:space="preserve"> El 4 de septiembre de 2014 se publicó en el DOF el “</w:t>
      </w:r>
      <w:r w:rsidRPr="00F80E4F">
        <w:rPr>
          <w:rFonts w:ascii="ITC Avant Garde" w:hAnsi="ITC Avant Garde"/>
          <w:i/>
          <w:kern w:val="1"/>
          <w:sz w:val="22"/>
          <w:szCs w:val="22"/>
          <w:lang w:eastAsia="ar-SA"/>
        </w:rPr>
        <w:t>Estatuto Orgánico del Instituto Federal de Telecomunicaciones</w:t>
      </w:r>
      <w:r w:rsidRPr="00F80E4F">
        <w:rPr>
          <w:rFonts w:ascii="ITC Avant Garde" w:hAnsi="ITC Avant Garde"/>
          <w:kern w:val="1"/>
          <w:sz w:val="22"/>
          <w:szCs w:val="22"/>
          <w:lang w:eastAsia="ar-SA"/>
        </w:rPr>
        <w:t>” (el “Estatuto Orgánico”), el cual entró en vigor el 26 de septiembre de 2014 y cuya última modificación fue publicada el 20 de julio de 2017</w:t>
      </w:r>
      <w:r w:rsidRPr="00F80E4F">
        <w:rPr>
          <w:rFonts w:ascii="ITC Avant Garde" w:hAnsi="ITC Avant Garde"/>
          <w:kern w:val="1"/>
          <w:sz w:val="22"/>
          <w:szCs w:val="22"/>
          <w:lang w:val="es-ES" w:eastAsia="ar-SA"/>
        </w:rPr>
        <w:t>.</w:t>
      </w:r>
    </w:p>
    <w:p w14:paraId="509845E6" w14:textId="77777777" w:rsidR="00C55FC8" w:rsidRDefault="007336E4" w:rsidP="00C55FC8">
      <w:pPr>
        <w:pStyle w:val="Prrafodelista"/>
        <w:numPr>
          <w:ilvl w:val="0"/>
          <w:numId w:val="13"/>
        </w:numPr>
        <w:spacing w:afterLines="120" w:after="288" w:line="276" w:lineRule="auto"/>
        <w:ind w:left="426" w:hanging="426"/>
        <w:jc w:val="both"/>
        <w:rPr>
          <w:rFonts w:ascii="ITC Avant Garde" w:hAnsi="ITC Avant Garde"/>
          <w:kern w:val="1"/>
          <w:sz w:val="22"/>
          <w:szCs w:val="22"/>
          <w:lang w:val="es-ES" w:eastAsia="ar-SA"/>
        </w:rPr>
      </w:pPr>
      <w:r w:rsidRPr="00643D75">
        <w:rPr>
          <w:rFonts w:ascii="ITC Avant Garde" w:eastAsia="Calibri" w:hAnsi="ITC Avant Garde"/>
          <w:b/>
          <w:sz w:val="22"/>
          <w:szCs w:val="22"/>
        </w:rPr>
        <w:t>Solicitud de Refrendo o Prórroga</w:t>
      </w:r>
      <w:r w:rsidRPr="00643D75">
        <w:rPr>
          <w:rFonts w:ascii="ITC Avant Garde" w:eastAsia="Calibri" w:hAnsi="ITC Avant Garde"/>
          <w:sz w:val="22"/>
          <w:szCs w:val="22"/>
        </w:rPr>
        <w:t xml:space="preserve">. Mediante escrito presentado el </w:t>
      </w:r>
      <w:r w:rsidR="00182A24">
        <w:rPr>
          <w:rFonts w:ascii="ITC Avant Garde" w:eastAsia="Calibri" w:hAnsi="ITC Avant Garde"/>
          <w:sz w:val="22"/>
          <w:szCs w:val="22"/>
        </w:rPr>
        <w:t>17 de marzo de 2017</w:t>
      </w:r>
      <w:r w:rsidRPr="00643D75">
        <w:rPr>
          <w:rFonts w:ascii="ITC Avant Garde" w:eastAsia="Calibri" w:hAnsi="ITC Avant Garde"/>
          <w:sz w:val="22"/>
          <w:szCs w:val="22"/>
        </w:rPr>
        <w:t xml:space="preserve"> ante el Instituto, el Concesionario a través de su representante legal, solicitó el refrendo de la vigencia de la respectiva Concesión (la “Solicitud de Prórroga”).</w:t>
      </w:r>
    </w:p>
    <w:p w14:paraId="3289038F" w14:textId="77777777" w:rsidR="00C55FC8" w:rsidRDefault="007336E4" w:rsidP="00C55FC8">
      <w:pPr>
        <w:pStyle w:val="Prrafodelista"/>
        <w:numPr>
          <w:ilvl w:val="0"/>
          <w:numId w:val="13"/>
        </w:numPr>
        <w:spacing w:afterLines="120" w:after="288" w:line="276" w:lineRule="auto"/>
        <w:ind w:left="426"/>
        <w:jc w:val="both"/>
        <w:rPr>
          <w:rFonts w:ascii="ITC Avant Garde" w:eastAsia="Calibri" w:hAnsi="ITC Avant Garde"/>
          <w:sz w:val="22"/>
          <w:szCs w:val="22"/>
        </w:rPr>
      </w:pPr>
      <w:r w:rsidRPr="00F80E4F">
        <w:rPr>
          <w:rFonts w:ascii="ITC Avant Garde" w:hAnsi="ITC Avant Garde"/>
          <w:b/>
          <w:kern w:val="1"/>
          <w:sz w:val="22"/>
          <w:szCs w:val="22"/>
          <w:lang w:eastAsia="ar-SA"/>
        </w:rPr>
        <w:t>Solicitud de opinión a la Unidad de Cumplimiento</w:t>
      </w:r>
      <w:r w:rsidRPr="00F80E4F">
        <w:rPr>
          <w:rFonts w:ascii="ITC Avant Garde" w:hAnsi="ITC Avant Garde"/>
          <w:kern w:val="1"/>
          <w:sz w:val="22"/>
          <w:szCs w:val="22"/>
          <w:lang w:eastAsia="ar-SA"/>
        </w:rPr>
        <w:t>. Con oficio IFT/223/UCS/</w:t>
      </w:r>
      <w:r w:rsidR="001179B6">
        <w:rPr>
          <w:rFonts w:ascii="ITC Avant Garde" w:hAnsi="ITC Avant Garde"/>
          <w:kern w:val="1"/>
          <w:sz w:val="22"/>
          <w:szCs w:val="22"/>
          <w:lang w:eastAsia="ar-SA"/>
        </w:rPr>
        <w:t>726</w:t>
      </w:r>
      <w:r w:rsidRPr="00863D52">
        <w:rPr>
          <w:rFonts w:ascii="ITC Avant Garde" w:hAnsi="ITC Avant Garde"/>
          <w:kern w:val="1"/>
          <w:sz w:val="22"/>
          <w:szCs w:val="22"/>
          <w:lang w:eastAsia="ar-SA"/>
        </w:rPr>
        <w:t>/201</w:t>
      </w:r>
      <w:r w:rsidR="001179B6">
        <w:rPr>
          <w:rFonts w:ascii="ITC Avant Garde" w:hAnsi="ITC Avant Garde"/>
          <w:kern w:val="1"/>
          <w:sz w:val="22"/>
          <w:szCs w:val="22"/>
          <w:lang w:eastAsia="ar-SA"/>
        </w:rPr>
        <w:t>7</w:t>
      </w:r>
      <w:r w:rsidRPr="00F80E4F">
        <w:rPr>
          <w:rFonts w:ascii="ITC Avant Garde" w:hAnsi="ITC Avant Garde"/>
          <w:kern w:val="1"/>
          <w:sz w:val="22"/>
          <w:szCs w:val="22"/>
          <w:lang w:eastAsia="ar-SA"/>
        </w:rPr>
        <w:t xml:space="preserve"> de fecha </w:t>
      </w:r>
      <w:r w:rsidR="001179B6">
        <w:rPr>
          <w:rFonts w:ascii="ITC Avant Garde" w:hAnsi="ITC Avant Garde"/>
          <w:kern w:val="1"/>
          <w:sz w:val="22"/>
          <w:szCs w:val="22"/>
          <w:lang w:eastAsia="ar-SA"/>
        </w:rPr>
        <w:t xml:space="preserve">10 </w:t>
      </w:r>
      <w:r>
        <w:rPr>
          <w:rFonts w:ascii="ITC Avant Garde" w:hAnsi="ITC Avant Garde"/>
          <w:kern w:val="1"/>
          <w:sz w:val="22"/>
          <w:szCs w:val="22"/>
          <w:lang w:eastAsia="ar-SA"/>
        </w:rPr>
        <w:t xml:space="preserve">de </w:t>
      </w:r>
      <w:r w:rsidR="001179B6">
        <w:rPr>
          <w:rFonts w:ascii="ITC Avant Garde" w:hAnsi="ITC Avant Garde"/>
          <w:kern w:val="1"/>
          <w:sz w:val="22"/>
          <w:szCs w:val="22"/>
          <w:lang w:eastAsia="ar-SA"/>
        </w:rPr>
        <w:t>mayo</w:t>
      </w:r>
      <w:r w:rsidR="001179B6" w:rsidRPr="00F80E4F">
        <w:rPr>
          <w:rFonts w:ascii="ITC Avant Garde" w:hAnsi="ITC Avant Garde"/>
          <w:kern w:val="1"/>
          <w:sz w:val="22"/>
          <w:szCs w:val="22"/>
          <w:lang w:eastAsia="ar-SA"/>
        </w:rPr>
        <w:t xml:space="preserve"> </w:t>
      </w:r>
      <w:r w:rsidRPr="00F80E4F">
        <w:rPr>
          <w:rFonts w:ascii="ITC Avant Garde" w:hAnsi="ITC Avant Garde"/>
          <w:kern w:val="1"/>
          <w:sz w:val="22"/>
          <w:szCs w:val="22"/>
          <w:lang w:eastAsia="ar-SA"/>
        </w:rPr>
        <w:t xml:space="preserve">de </w:t>
      </w:r>
      <w:r w:rsidR="001179B6">
        <w:rPr>
          <w:rFonts w:ascii="ITC Avant Garde" w:hAnsi="ITC Avant Garde"/>
          <w:kern w:val="1"/>
          <w:sz w:val="22"/>
          <w:szCs w:val="22"/>
          <w:lang w:eastAsia="ar-SA"/>
        </w:rPr>
        <w:t>2017</w:t>
      </w:r>
      <w:r w:rsidRPr="00F80E4F">
        <w:rPr>
          <w:rFonts w:ascii="ITC Avant Garde" w:hAnsi="ITC Avant Garde"/>
          <w:kern w:val="1"/>
          <w:sz w:val="22"/>
          <w:szCs w:val="22"/>
          <w:lang w:eastAsia="ar-SA"/>
        </w:rPr>
        <w:t>, la Unidad de Concesiones y Servicios del Instituto, de conformidad con lo establecido en los artículos 32 y 34 fracción II del Estatuto Orgánico, solicitó a la Unidad de Cumplimiento informara el estado que guarda el cumplimiento de las obligaciones de la Concesión.</w:t>
      </w:r>
      <w:r>
        <w:rPr>
          <w:rFonts w:ascii="ITC Avant Garde" w:hAnsi="ITC Avant Garde"/>
          <w:kern w:val="1"/>
          <w:sz w:val="22"/>
          <w:szCs w:val="22"/>
          <w:lang w:eastAsia="ar-SA"/>
        </w:rPr>
        <w:t xml:space="preserve"> </w:t>
      </w:r>
    </w:p>
    <w:p w14:paraId="1BB1A290" w14:textId="77777777" w:rsidR="00C55FC8" w:rsidRDefault="007B4418" w:rsidP="00C55FC8">
      <w:pPr>
        <w:pStyle w:val="Prrafodelista"/>
        <w:numPr>
          <w:ilvl w:val="0"/>
          <w:numId w:val="13"/>
        </w:numPr>
        <w:spacing w:afterLines="120" w:after="288" w:line="276" w:lineRule="auto"/>
        <w:ind w:left="426" w:hanging="426"/>
        <w:jc w:val="both"/>
        <w:rPr>
          <w:rFonts w:ascii="ITC Avant Garde" w:hAnsi="ITC Avant Garde"/>
          <w:kern w:val="1"/>
          <w:sz w:val="22"/>
          <w:szCs w:val="22"/>
          <w:lang w:eastAsia="ar-SA"/>
        </w:rPr>
      </w:pPr>
      <w:r w:rsidRPr="007B4418">
        <w:rPr>
          <w:rFonts w:ascii="ITC Avant Garde" w:hAnsi="ITC Avant Garde"/>
          <w:b/>
          <w:kern w:val="1"/>
          <w:sz w:val="22"/>
          <w:szCs w:val="22"/>
          <w:lang w:eastAsia="ar-SA"/>
        </w:rPr>
        <w:t>Solicitud a la Unidad de Espectro Radioeléctrico sobre interés público y cálculo del monto de contraprestación.</w:t>
      </w:r>
      <w:r w:rsidRPr="007B4418">
        <w:rPr>
          <w:rFonts w:ascii="ITC Avant Garde" w:hAnsi="ITC Avant Garde"/>
          <w:kern w:val="1"/>
          <w:sz w:val="22"/>
          <w:szCs w:val="22"/>
          <w:lang w:eastAsia="ar-SA"/>
        </w:rPr>
        <w:t xml:space="preserve"> Con oficio IFT/223/UCS/DG-CRAD/1332/2017 de 10 de mayo de 2017, la Unidad de Concesiones y Servicios solicitó a la Unidad de Espectro Radioeléctrico, que en ejercicio de las facultades que le confiere el artículo 114 de la Ley Federal de Telecomunicaciones y Radiodifusión (la “Ley”), determine si existe interés público en recuperar el espectro objeto de la Solicitud de Prórroga; asimismo, en términos del artículo 29 fracción VII del Estatuto Orgánico, realizara las gestiones necesarias a efecto de calcular el monto de la contraprestación que deberá cubrir el Concesionario con motivo de dicha solicitud. </w:t>
      </w:r>
    </w:p>
    <w:p w14:paraId="4F0A0ABE" w14:textId="77777777" w:rsidR="00C55FC8" w:rsidRDefault="007336E4" w:rsidP="00C55FC8">
      <w:pPr>
        <w:pStyle w:val="Prrafodelista"/>
        <w:numPr>
          <w:ilvl w:val="0"/>
          <w:numId w:val="13"/>
        </w:numPr>
        <w:spacing w:afterLines="120" w:after="288" w:line="276" w:lineRule="auto"/>
        <w:ind w:left="426" w:hanging="426"/>
        <w:jc w:val="both"/>
        <w:rPr>
          <w:rFonts w:ascii="ITC Avant Garde" w:eastAsia="Calibri" w:hAnsi="ITC Avant Garde"/>
          <w:sz w:val="22"/>
          <w:szCs w:val="22"/>
        </w:rPr>
      </w:pPr>
      <w:r w:rsidRPr="00F80E4F">
        <w:rPr>
          <w:rFonts w:ascii="ITC Avant Garde" w:hAnsi="ITC Avant Garde"/>
          <w:b/>
          <w:kern w:val="1"/>
          <w:sz w:val="22"/>
          <w:szCs w:val="22"/>
          <w:lang w:eastAsia="ar-SA"/>
        </w:rPr>
        <w:t>Solicitud de opinión a la Unidad de Competencia Económica</w:t>
      </w:r>
      <w:r w:rsidRPr="00F80E4F">
        <w:rPr>
          <w:rFonts w:ascii="ITC Avant Garde" w:hAnsi="ITC Avant Garde"/>
          <w:kern w:val="1"/>
          <w:sz w:val="22"/>
          <w:szCs w:val="22"/>
          <w:lang w:eastAsia="ar-SA"/>
        </w:rPr>
        <w:t>. Con oficio IFT/223/UCS/DG-CRAD/</w:t>
      </w:r>
      <w:r w:rsidR="007131BD">
        <w:rPr>
          <w:rFonts w:ascii="ITC Avant Garde" w:hAnsi="ITC Avant Garde"/>
          <w:kern w:val="1"/>
          <w:sz w:val="22"/>
          <w:szCs w:val="22"/>
          <w:lang w:eastAsia="ar-SA"/>
        </w:rPr>
        <w:t>2201</w:t>
      </w:r>
      <w:r w:rsidRPr="00F80E4F">
        <w:rPr>
          <w:rFonts w:ascii="ITC Avant Garde" w:hAnsi="ITC Avant Garde"/>
          <w:kern w:val="1"/>
          <w:sz w:val="22"/>
          <w:szCs w:val="22"/>
          <w:lang w:eastAsia="ar-SA"/>
        </w:rPr>
        <w:t>/201</w:t>
      </w:r>
      <w:r w:rsidR="007131BD">
        <w:rPr>
          <w:rFonts w:ascii="ITC Avant Garde" w:hAnsi="ITC Avant Garde"/>
          <w:kern w:val="1"/>
          <w:sz w:val="22"/>
          <w:szCs w:val="22"/>
          <w:lang w:eastAsia="ar-SA"/>
        </w:rPr>
        <w:t>7</w:t>
      </w:r>
      <w:r w:rsidRPr="00F80E4F">
        <w:rPr>
          <w:rFonts w:ascii="ITC Avant Garde" w:hAnsi="ITC Avant Garde"/>
          <w:kern w:val="1"/>
          <w:sz w:val="22"/>
          <w:szCs w:val="22"/>
          <w:lang w:eastAsia="ar-SA"/>
        </w:rPr>
        <w:t xml:space="preserve"> de fecha </w:t>
      </w:r>
      <w:r w:rsidR="007131BD">
        <w:rPr>
          <w:rFonts w:ascii="ITC Avant Garde" w:hAnsi="ITC Avant Garde"/>
          <w:kern w:val="1"/>
          <w:sz w:val="22"/>
          <w:szCs w:val="22"/>
          <w:lang w:eastAsia="ar-SA"/>
        </w:rPr>
        <w:t>9 de agosto de 2017</w:t>
      </w:r>
      <w:r w:rsidRPr="00F80E4F">
        <w:rPr>
          <w:rFonts w:ascii="ITC Avant Garde" w:hAnsi="ITC Avant Garde"/>
          <w:kern w:val="1"/>
          <w:sz w:val="22"/>
          <w:szCs w:val="22"/>
          <w:lang w:eastAsia="ar-SA"/>
        </w:rPr>
        <w:t xml:space="preserve">, la Dirección </w:t>
      </w:r>
      <w:r w:rsidRPr="00F80E4F">
        <w:rPr>
          <w:rFonts w:ascii="ITC Avant Garde" w:hAnsi="ITC Avant Garde"/>
          <w:kern w:val="1"/>
          <w:sz w:val="22"/>
          <w:szCs w:val="22"/>
          <w:lang w:eastAsia="ar-SA"/>
        </w:rPr>
        <w:lastRenderedPageBreak/>
        <w:t>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opinión en materia de competencia económica respecto a la Solicitud de Prórroga</w:t>
      </w:r>
      <w:r w:rsidR="007B4418">
        <w:rPr>
          <w:rFonts w:ascii="ITC Avant Garde" w:hAnsi="ITC Avant Garde"/>
          <w:kern w:val="1"/>
          <w:sz w:val="22"/>
          <w:szCs w:val="22"/>
          <w:lang w:eastAsia="ar-SA"/>
        </w:rPr>
        <w:t>.</w:t>
      </w:r>
    </w:p>
    <w:p w14:paraId="0B164326" w14:textId="77777777" w:rsidR="00C55FC8" w:rsidRDefault="007336E4" w:rsidP="00C55FC8">
      <w:pPr>
        <w:pStyle w:val="Prrafodelista"/>
        <w:numPr>
          <w:ilvl w:val="0"/>
          <w:numId w:val="13"/>
        </w:numPr>
        <w:spacing w:afterLines="120" w:after="288" w:line="276" w:lineRule="auto"/>
        <w:ind w:left="426" w:hanging="426"/>
        <w:jc w:val="both"/>
        <w:rPr>
          <w:rFonts w:ascii="ITC Avant Garde" w:eastAsia="Calibri" w:hAnsi="ITC Avant Garde"/>
          <w:sz w:val="22"/>
          <w:szCs w:val="22"/>
        </w:rPr>
      </w:pPr>
      <w:r w:rsidRPr="00643D75">
        <w:rPr>
          <w:rFonts w:ascii="ITC Avant Garde" w:eastAsia="Calibri" w:hAnsi="ITC Avant Garde"/>
          <w:b/>
          <w:sz w:val="22"/>
          <w:szCs w:val="22"/>
        </w:rPr>
        <w:t xml:space="preserve">Solicitud de opinión a la Secretaría de Comunicaciones y </w:t>
      </w:r>
      <w:r w:rsidR="00F0000C" w:rsidRPr="00643D75">
        <w:rPr>
          <w:rFonts w:ascii="ITC Avant Garde" w:eastAsia="Calibri" w:hAnsi="ITC Avant Garde"/>
          <w:b/>
          <w:sz w:val="22"/>
          <w:szCs w:val="22"/>
        </w:rPr>
        <w:t>Transportes. -</w:t>
      </w:r>
      <w:r w:rsidRPr="00643D75">
        <w:rPr>
          <w:rFonts w:ascii="ITC Avant Garde" w:eastAsia="Calibri" w:hAnsi="ITC Avant Garde"/>
          <w:sz w:val="22"/>
          <w:szCs w:val="22"/>
        </w:rPr>
        <w:t xml:space="preserve"> Con oficio IFT/223/UCS/</w:t>
      </w:r>
      <w:r w:rsidR="00FA65C7">
        <w:rPr>
          <w:rFonts w:ascii="ITC Avant Garde" w:eastAsia="Calibri" w:hAnsi="ITC Avant Garde"/>
          <w:sz w:val="22"/>
          <w:szCs w:val="22"/>
        </w:rPr>
        <w:t>717</w:t>
      </w:r>
      <w:r w:rsidRPr="00643D75">
        <w:rPr>
          <w:rFonts w:ascii="ITC Avant Garde" w:eastAsia="Calibri" w:hAnsi="ITC Avant Garde"/>
          <w:sz w:val="22"/>
          <w:szCs w:val="22"/>
        </w:rPr>
        <w:t>/201</w:t>
      </w:r>
      <w:r w:rsidR="00FA65C7">
        <w:rPr>
          <w:rFonts w:ascii="ITC Avant Garde" w:eastAsia="Calibri" w:hAnsi="ITC Avant Garde"/>
          <w:sz w:val="22"/>
          <w:szCs w:val="22"/>
        </w:rPr>
        <w:t>7</w:t>
      </w:r>
      <w:r w:rsidRPr="00643D75">
        <w:rPr>
          <w:rFonts w:ascii="ITC Avant Garde" w:eastAsia="Calibri" w:hAnsi="ITC Avant Garde"/>
          <w:sz w:val="22"/>
          <w:szCs w:val="22"/>
        </w:rPr>
        <w:t xml:space="preserve"> de fecha 5 de </w:t>
      </w:r>
      <w:r w:rsidR="00FA65C7">
        <w:rPr>
          <w:rFonts w:ascii="ITC Avant Garde" w:eastAsia="Calibri" w:hAnsi="ITC Avant Garde"/>
          <w:sz w:val="22"/>
          <w:szCs w:val="22"/>
        </w:rPr>
        <w:t>mayo</w:t>
      </w:r>
      <w:r w:rsidR="00FA65C7" w:rsidRPr="00643D75">
        <w:rPr>
          <w:rFonts w:ascii="ITC Avant Garde" w:eastAsia="Calibri" w:hAnsi="ITC Avant Garde"/>
          <w:sz w:val="22"/>
          <w:szCs w:val="22"/>
        </w:rPr>
        <w:t xml:space="preserve"> </w:t>
      </w:r>
      <w:r w:rsidRPr="00643D75">
        <w:rPr>
          <w:rFonts w:ascii="ITC Avant Garde" w:eastAsia="Calibri" w:hAnsi="ITC Avant Garde"/>
          <w:sz w:val="22"/>
          <w:szCs w:val="22"/>
        </w:rPr>
        <w:t>de 201</w:t>
      </w:r>
      <w:r w:rsidR="00FA65C7">
        <w:rPr>
          <w:rFonts w:ascii="ITC Avant Garde" w:eastAsia="Calibri" w:hAnsi="ITC Avant Garde"/>
          <w:sz w:val="22"/>
          <w:szCs w:val="22"/>
        </w:rPr>
        <w:t>7</w:t>
      </w:r>
      <w:r w:rsidRPr="00643D75">
        <w:rPr>
          <w:rFonts w:ascii="ITC Avant Garde" w:eastAsia="Calibri" w:hAnsi="ITC Avant Garde"/>
          <w:sz w:val="22"/>
          <w:szCs w:val="22"/>
        </w:rPr>
        <w:t>, la Unidad de Concesiones y Servicios del Instituto, de conformidad con lo establecido en el artículo 28 de la Constitución Política de los Estados Unidos Mexicanos y 114 de la Ley, solicitó a la SCT la emisión de la opinión técnica que estime procedente respecto a la Solicitud de Prórroga.</w:t>
      </w:r>
    </w:p>
    <w:p w14:paraId="4CD86647" w14:textId="340E4814" w:rsidR="00C55FC8" w:rsidRDefault="00452ABB" w:rsidP="00C55FC8">
      <w:pPr>
        <w:pStyle w:val="Prrafodelista"/>
        <w:numPr>
          <w:ilvl w:val="0"/>
          <w:numId w:val="13"/>
        </w:numPr>
        <w:spacing w:afterLines="120" w:after="288" w:line="276" w:lineRule="auto"/>
        <w:ind w:left="426"/>
        <w:jc w:val="both"/>
        <w:rPr>
          <w:rFonts w:ascii="ITC Avant Garde" w:hAnsi="ITC Avant Garde"/>
          <w:kern w:val="1"/>
          <w:sz w:val="22"/>
          <w:szCs w:val="22"/>
          <w:lang w:eastAsia="ar-SA"/>
        </w:rPr>
      </w:pPr>
      <w:r>
        <w:rPr>
          <w:rFonts w:ascii="ITC Avant Garde" w:hAnsi="ITC Avant Garde"/>
          <w:b/>
          <w:kern w:val="1"/>
          <w:sz w:val="22"/>
          <w:szCs w:val="22"/>
          <w:lang w:eastAsia="ar-SA"/>
        </w:rPr>
        <w:t xml:space="preserve"> </w:t>
      </w:r>
      <w:r w:rsidRPr="00F80E4F">
        <w:rPr>
          <w:rFonts w:ascii="ITC Avant Garde" w:hAnsi="ITC Avant Garde"/>
          <w:b/>
          <w:kern w:val="1"/>
          <w:sz w:val="22"/>
          <w:szCs w:val="22"/>
          <w:lang w:eastAsia="ar-SA"/>
        </w:rPr>
        <w:t xml:space="preserve">Opinión de la Unidad de Espectro Radioeléctrico sobre interés público. </w:t>
      </w:r>
      <w:r w:rsidRPr="00F80E4F">
        <w:rPr>
          <w:rFonts w:ascii="ITC Avant Garde" w:hAnsi="ITC Avant Garde"/>
          <w:kern w:val="1"/>
          <w:sz w:val="22"/>
          <w:szCs w:val="22"/>
          <w:lang w:eastAsia="ar-SA"/>
        </w:rPr>
        <w:t>Con oficio IFT/222/UER/DG-PLES/0</w:t>
      </w:r>
      <w:r>
        <w:rPr>
          <w:rFonts w:ascii="ITC Avant Garde" w:hAnsi="ITC Avant Garde"/>
          <w:kern w:val="1"/>
          <w:sz w:val="22"/>
          <w:szCs w:val="22"/>
          <w:lang w:eastAsia="ar-SA"/>
        </w:rPr>
        <w:t>08</w:t>
      </w:r>
      <w:r w:rsidRPr="00F80E4F">
        <w:rPr>
          <w:rFonts w:ascii="ITC Avant Garde" w:hAnsi="ITC Avant Garde"/>
          <w:kern w:val="1"/>
          <w:sz w:val="22"/>
          <w:szCs w:val="22"/>
          <w:lang w:eastAsia="ar-SA"/>
        </w:rPr>
        <w:t xml:space="preserve">/2017 de fecha </w:t>
      </w:r>
      <w:r>
        <w:rPr>
          <w:rFonts w:ascii="ITC Avant Garde" w:hAnsi="ITC Avant Garde"/>
          <w:kern w:val="1"/>
          <w:sz w:val="22"/>
          <w:szCs w:val="22"/>
          <w:lang w:eastAsia="ar-SA"/>
        </w:rPr>
        <w:t>24 de mayo</w:t>
      </w:r>
      <w:r w:rsidRPr="00F80E4F">
        <w:rPr>
          <w:rFonts w:ascii="ITC Avant Garde" w:hAnsi="ITC Avant Garde"/>
          <w:kern w:val="1"/>
          <w:sz w:val="22"/>
          <w:szCs w:val="22"/>
          <w:lang w:eastAsia="ar-SA"/>
        </w:rPr>
        <w:t xml:space="preserve"> de 2017, la Dirección General de Planeación del Espectro</w:t>
      </w:r>
      <w:r>
        <w:rPr>
          <w:rFonts w:ascii="ITC Avant Garde" w:hAnsi="ITC Avant Garde"/>
          <w:kern w:val="1"/>
          <w:sz w:val="22"/>
          <w:szCs w:val="22"/>
          <w:lang w:eastAsia="ar-SA"/>
        </w:rPr>
        <w:t>,</w:t>
      </w:r>
      <w:r w:rsidRPr="00F80E4F">
        <w:rPr>
          <w:rFonts w:ascii="ITC Avant Garde" w:hAnsi="ITC Avant Garde"/>
          <w:kern w:val="1"/>
          <w:sz w:val="22"/>
          <w:szCs w:val="22"/>
          <w:lang w:eastAsia="ar-SA"/>
        </w:rPr>
        <w:t xml:space="preserve"> adscrita a la Unidad de Espectro Radioeléctrico</w:t>
      </w:r>
      <w:r>
        <w:rPr>
          <w:rFonts w:ascii="ITC Avant Garde" w:hAnsi="ITC Avant Garde"/>
          <w:kern w:val="1"/>
          <w:sz w:val="22"/>
          <w:szCs w:val="22"/>
          <w:lang w:eastAsia="ar-SA"/>
        </w:rPr>
        <w:t>,</w:t>
      </w:r>
      <w:r w:rsidRPr="00F80E4F">
        <w:rPr>
          <w:rFonts w:ascii="ITC Avant Garde" w:hAnsi="ITC Avant Garde"/>
          <w:kern w:val="1"/>
          <w:sz w:val="22"/>
          <w:szCs w:val="22"/>
          <w:lang w:eastAsia="ar-SA"/>
        </w:rPr>
        <w:t xml:space="preserve"> emitió opinión</w:t>
      </w:r>
      <w:r>
        <w:rPr>
          <w:rFonts w:ascii="ITC Avant Garde" w:hAnsi="ITC Avant Garde"/>
          <w:kern w:val="1"/>
          <w:sz w:val="22"/>
          <w:szCs w:val="22"/>
          <w:lang w:eastAsia="ar-SA"/>
        </w:rPr>
        <w:t xml:space="preserve"> respecto al interés público del Instituto en </w:t>
      </w:r>
      <w:r w:rsidRPr="00F80E4F">
        <w:rPr>
          <w:rFonts w:ascii="ITC Avant Garde" w:hAnsi="ITC Avant Garde"/>
          <w:kern w:val="1"/>
          <w:sz w:val="22"/>
          <w:szCs w:val="22"/>
          <w:lang w:eastAsia="ar-SA"/>
        </w:rPr>
        <w:t>recuperar el espectro radioeléctrico objeto de la Solicitud de Prórroga.</w:t>
      </w:r>
    </w:p>
    <w:p w14:paraId="20BCAB2F" w14:textId="77777777" w:rsidR="00C55FC8" w:rsidRDefault="00452ABB" w:rsidP="00C55FC8">
      <w:pPr>
        <w:pStyle w:val="Prrafodelista"/>
        <w:numPr>
          <w:ilvl w:val="0"/>
          <w:numId w:val="13"/>
        </w:numPr>
        <w:spacing w:afterLines="120" w:after="288" w:line="276" w:lineRule="auto"/>
        <w:ind w:left="426"/>
        <w:jc w:val="both"/>
        <w:rPr>
          <w:rFonts w:ascii="ITC Avant Garde" w:hAnsi="ITC Avant Garde"/>
          <w:kern w:val="1"/>
          <w:sz w:val="22"/>
          <w:szCs w:val="22"/>
          <w:lang w:eastAsia="ar-SA"/>
        </w:rPr>
      </w:pPr>
      <w:r w:rsidRPr="00F80E4F">
        <w:rPr>
          <w:rFonts w:ascii="ITC Avant Garde" w:hAnsi="ITC Avant Garde"/>
          <w:b/>
          <w:kern w:val="1"/>
          <w:sz w:val="22"/>
          <w:szCs w:val="22"/>
          <w:lang w:eastAsia="ar-SA"/>
        </w:rPr>
        <w:t>Opini</w:t>
      </w:r>
      <w:r>
        <w:rPr>
          <w:rFonts w:ascii="ITC Avant Garde" w:hAnsi="ITC Avant Garde"/>
          <w:b/>
          <w:kern w:val="1"/>
          <w:sz w:val="22"/>
          <w:szCs w:val="22"/>
          <w:lang w:eastAsia="ar-SA"/>
        </w:rPr>
        <w:t>ón</w:t>
      </w:r>
      <w:r w:rsidRPr="00F80E4F">
        <w:rPr>
          <w:rFonts w:ascii="ITC Avant Garde" w:hAnsi="ITC Avant Garde"/>
          <w:b/>
          <w:kern w:val="1"/>
          <w:sz w:val="22"/>
          <w:szCs w:val="22"/>
          <w:lang w:eastAsia="ar-SA"/>
        </w:rPr>
        <w:t xml:space="preserve"> en materia de Cumplimiento de Obligaciones.</w:t>
      </w:r>
      <w:r w:rsidRPr="00F80E4F">
        <w:rPr>
          <w:rFonts w:ascii="ITC Avant Garde" w:hAnsi="ITC Avant Garde"/>
          <w:kern w:val="1"/>
          <w:sz w:val="22"/>
          <w:szCs w:val="22"/>
          <w:lang w:eastAsia="ar-SA"/>
        </w:rPr>
        <w:t xml:space="preserve"> Con oficio IFT/225/UC/DG-SUV/</w:t>
      </w:r>
      <w:r>
        <w:rPr>
          <w:rFonts w:ascii="ITC Avant Garde" w:hAnsi="ITC Avant Garde"/>
          <w:kern w:val="1"/>
          <w:sz w:val="22"/>
          <w:szCs w:val="22"/>
          <w:lang w:eastAsia="ar-SA"/>
        </w:rPr>
        <w:t>1387</w:t>
      </w:r>
      <w:r w:rsidRPr="00E732FD">
        <w:rPr>
          <w:rFonts w:ascii="ITC Avant Garde" w:hAnsi="ITC Avant Garde"/>
          <w:kern w:val="1"/>
          <w:sz w:val="22"/>
          <w:szCs w:val="22"/>
          <w:lang w:eastAsia="ar-SA"/>
        </w:rPr>
        <w:t>/201</w:t>
      </w:r>
      <w:r>
        <w:rPr>
          <w:rFonts w:ascii="ITC Avant Garde" w:hAnsi="ITC Avant Garde"/>
          <w:kern w:val="1"/>
          <w:sz w:val="22"/>
          <w:szCs w:val="22"/>
          <w:lang w:eastAsia="ar-SA"/>
        </w:rPr>
        <w:t>7</w:t>
      </w:r>
      <w:r w:rsidRPr="00F80E4F">
        <w:rPr>
          <w:rFonts w:ascii="ITC Avant Garde" w:hAnsi="ITC Avant Garde"/>
          <w:kern w:val="1"/>
          <w:sz w:val="22"/>
          <w:szCs w:val="22"/>
          <w:lang w:eastAsia="ar-SA"/>
        </w:rPr>
        <w:t xml:space="preserve"> de </w:t>
      </w:r>
      <w:r w:rsidR="00D86F64" w:rsidRPr="00D86F64">
        <w:rPr>
          <w:rFonts w:ascii="ITC Avant Garde" w:hAnsi="ITC Avant Garde"/>
          <w:kern w:val="1"/>
          <w:sz w:val="22"/>
          <w:szCs w:val="22"/>
          <w:lang w:eastAsia="ar-SA"/>
        </w:rPr>
        <w:t>5 de mayo de 2017</w:t>
      </w:r>
      <w:r w:rsidRPr="00F80E4F">
        <w:rPr>
          <w:rFonts w:ascii="ITC Avant Garde" w:hAnsi="ITC Avant Garde"/>
          <w:kern w:val="1"/>
          <w:sz w:val="22"/>
          <w:szCs w:val="22"/>
          <w:lang w:eastAsia="ar-SA"/>
        </w:rPr>
        <w:t>, la Dirección General de Supervisión de la Unidad de Cumplimiento del Instituto emitió el dictamen respectivo, como resultado de la revisión documental sobre el cumplimiento de obligaciones practicado al expediente del Concesionario, derivadas de la Concesión, así como con las disposiciones legales y administrativas en materia de radiodifusión.</w:t>
      </w:r>
      <w:r>
        <w:rPr>
          <w:rFonts w:ascii="ITC Avant Garde" w:hAnsi="ITC Avant Garde"/>
          <w:kern w:val="1"/>
          <w:sz w:val="22"/>
          <w:szCs w:val="22"/>
          <w:lang w:eastAsia="ar-SA"/>
        </w:rPr>
        <w:t xml:space="preserve">  </w:t>
      </w:r>
    </w:p>
    <w:p w14:paraId="74B4E6F1" w14:textId="77777777" w:rsidR="00C55FC8" w:rsidRDefault="00452ABB" w:rsidP="00C55FC8">
      <w:pPr>
        <w:pStyle w:val="Prrafodelista"/>
        <w:numPr>
          <w:ilvl w:val="0"/>
          <w:numId w:val="13"/>
        </w:numPr>
        <w:spacing w:afterLines="120" w:after="288" w:line="276" w:lineRule="auto"/>
        <w:ind w:left="426"/>
        <w:jc w:val="both"/>
        <w:rPr>
          <w:rFonts w:ascii="ITC Avant Garde" w:hAnsi="ITC Avant Garde"/>
          <w:kern w:val="1"/>
          <w:sz w:val="22"/>
          <w:szCs w:val="22"/>
          <w:lang w:eastAsia="ar-SA"/>
        </w:rPr>
      </w:pPr>
      <w:r w:rsidRPr="00F80E4F">
        <w:rPr>
          <w:rFonts w:ascii="ITC Avant Garde" w:hAnsi="ITC Avant Garde"/>
          <w:b/>
          <w:kern w:val="1"/>
          <w:sz w:val="22"/>
          <w:szCs w:val="22"/>
          <w:lang w:eastAsia="ar-SA"/>
        </w:rPr>
        <w:t>Opinión de la Secretaría de Comunicaciones y Transportes. -</w:t>
      </w:r>
      <w:r w:rsidRPr="00F80E4F">
        <w:rPr>
          <w:rFonts w:ascii="ITC Avant Garde" w:hAnsi="ITC Avant Garde"/>
          <w:kern w:val="1"/>
          <w:sz w:val="22"/>
          <w:szCs w:val="22"/>
          <w:lang w:eastAsia="ar-SA"/>
        </w:rPr>
        <w:t xml:space="preserve"> Con oficio </w:t>
      </w:r>
      <w:r>
        <w:rPr>
          <w:rFonts w:ascii="ITC Avant Garde" w:hAnsi="ITC Avant Garde"/>
          <w:kern w:val="1"/>
          <w:sz w:val="22"/>
          <w:szCs w:val="22"/>
          <w:lang w:eastAsia="ar-SA"/>
        </w:rPr>
        <w:t xml:space="preserve">1.-108 </w:t>
      </w:r>
      <w:r w:rsidRPr="00F80E4F">
        <w:rPr>
          <w:rFonts w:ascii="ITC Avant Garde" w:hAnsi="ITC Avant Garde"/>
          <w:kern w:val="1"/>
          <w:sz w:val="22"/>
          <w:szCs w:val="22"/>
          <w:lang w:eastAsia="ar-SA"/>
        </w:rPr>
        <w:t xml:space="preserve">de fecha </w:t>
      </w:r>
      <w:r>
        <w:rPr>
          <w:rFonts w:ascii="ITC Avant Garde" w:hAnsi="ITC Avant Garde"/>
          <w:kern w:val="1"/>
          <w:sz w:val="22"/>
          <w:szCs w:val="22"/>
          <w:lang w:eastAsia="ar-SA"/>
        </w:rPr>
        <w:t>7 de junio de 2017</w:t>
      </w:r>
      <w:r w:rsidRPr="00F80E4F">
        <w:rPr>
          <w:rFonts w:ascii="ITC Avant Garde" w:hAnsi="ITC Avant Garde"/>
          <w:kern w:val="1"/>
          <w:sz w:val="22"/>
          <w:szCs w:val="22"/>
          <w:lang w:eastAsia="ar-SA"/>
        </w:rPr>
        <w:t>, la SCT emitió la respectiva opinión desde el punto de vista técnico en relación a la solicitud presentada por el Concesionario.</w:t>
      </w:r>
      <w:r>
        <w:rPr>
          <w:rFonts w:ascii="ITC Avant Garde" w:hAnsi="ITC Avant Garde"/>
          <w:kern w:val="1"/>
          <w:sz w:val="22"/>
          <w:szCs w:val="22"/>
          <w:lang w:eastAsia="ar-SA"/>
        </w:rPr>
        <w:t xml:space="preserve"> </w:t>
      </w:r>
    </w:p>
    <w:p w14:paraId="0DC483D2" w14:textId="77777777" w:rsidR="00C55FC8" w:rsidRDefault="00452ABB" w:rsidP="00C55FC8">
      <w:pPr>
        <w:pStyle w:val="Prrafodelista"/>
        <w:numPr>
          <w:ilvl w:val="0"/>
          <w:numId w:val="13"/>
        </w:numPr>
        <w:spacing w:afterLines="120" w:after="288" w:line="276" w:lineRule="auto"/>
        <w:ind w:left="426" w:hanging="426"/>
        <w:jc w:val="both"/>
        <w:rPr>
          <w:rFonts w:ascii="ITC Avant Garde" w:hAnsi="ITC Avant Garde"/>
          <w:b/>
          <w:kern w:val="1"/>
          <w:sz w:val="22"/>
          <w:szCs w:val="22"/>
          <w:lang w:eastAsia="ar-SA"/>
        </w:rPr>
      </w:pPr>
      <w:r w:rsidRPr="00F80E4F">
        <w:rPr>
          <w:rFonts w:ascii="ITC Avant Garde" w:hAnsi="ITC Avant Garde"/>
          <w:b/>
          <w:kern w:val="1"/>
          <w:sz w:val="22"/>
          <w:szCs w:val="22"/>
          <w:lang w:eastAsia="ar-SA"/>
        </w:rPr>
        <w:t>Opinión en Materia de Competencia Económica.</w:t>
      </w:r>
      <w:r w:rsidRPr="00F80E4F">
        <w:rPr>
          <w:rFonts w:ascii="ITC Avant Garde" w:hAnsi="ITC Avant Garde"/>
          <w:kern w:val="1"/>
          <w:sz w:val="22"/>
          <w:szCs w:val="22"/>
          <w:lang w:eastAsia="ar-SA"/>
        </w:rPr>
        <w:t xml:space="preserve"> Mediante oficio IFT/226/UCE/DG-CCON/</w:t>
      </w:r>
      <w:r>
        <w:rPr>
          <w:rFonts w:ascii="ITC Avant Garde" w:hAnsi="ITC Avant Garde"/>
          <w:kern w:val="1"/>
          <w:sz w:val="22"/>
          <w:szCs w:val="22"/>
          <w:lang w:eastAsia="ar-SA"/>
        </w:rPr>
        <w:t>674</w:t>
      </w:r>
      <w:r w:rsidRPr="00627996">
        <w:rPr>
          <w:rFonts w:ascii="ITC Avant Garde" w:hAnsi="ITC Avant Garde"/>
          <w:kern w:val="1"/>
          <w:sz w:val="22"/>
          <w:szCs w:val="22"/>
          <w:lang w:eastAsia="ar-SA"/>
        </w:rPr>
        <w:t>/201</w:t>
      </w:r>
      <w:r>
        <w:rPr>
          <w:rFonts w:ascii="ITC Avant Garde" w:hAnsi="ITC Avant Garde"/>
          <w:kern w:val="1"/>
          <w:sz w:val="22"/>
          <w:szCs w:val="22"/>
          <w:lang w:eastAsia="ar-SA"/>
        </w:rPr>
        <w:t xml:space="preserve">7 </w:t>
      </w:r>
      <w:r w:rsidRPr="00F80E4F">
        <w:rPr>
          <w:rFonts w:ascii="ITC Avant Garde" w:hAnsi="ITC Avant Garde"/>
          <w:kern w:val="1"/>
          <w:sz w:val="22"/>
          <w:szCs w:val="22"/>
          <w:lang w:eastAsia="ar-SA"/>
        </w:rPr>
        <w:t xml:space="preserve">de fecha </w:t>
      </w:r>
      <w:r>
        <w:rPr>
          <w:rFonts w:ascii="ITC Avant Garde" w:hAnsi="ITC Avant Garde"/>
          <w:kern w:val="1"/>
          <w:sz w:val="22"/>
          <w:szCs w:val="22"/>
          <w:lang w:eastAsia="ar-SA"/>
        </w:rPr>
        <w:t>4 de octubre de 2017</w:t>
      </w:r>
      <w:r w:rsidRPr="00F80E4F">
        <w:rPr>
          <w:rFonts w:ascii="ITC Avant Garde" w:hAnsi="ITC Avant Garde"/>
          <w:kern w:val="1"/>
          <w:sz w:val="22"/>
          <w:szCs w:val="22"/>
          <w:lang w:eastAsia="ar-SA"/>
        </w:rPr>
        <w:t>, la Dirección General de Concentraciones y Concesiones de la Unidad de Competencia Económica emitió la opinión en materia de competencia económica respecto a la Solicitud de Prórroga.</w:t>
      </w:r>
    </w:p>
    <w:p w14:paraId="291E1070" w14:textId="77777777" w:rsidR="00C55FC8" w:rsidRDefault="007336E4" w:rsidP="00C55FC8">
      <w:pPr>
        <w:pStyle w:val="Prrafodelista"/>
        <w:numPr>
          <w:ilvl w:val="0"/>
          <w:numId w:val="13"/>
        </w:numPr>
        <w:spacing w:afterLines="120" w:after="288" w:line="276" w:lineRule="auto"/>
        <w:ind w:left="426" w:hanging="426"/>
        <w:jc w:val="both"/>
        <w:rPr>
          <w:rFonts w:ascii="ITC Avant Garde" w:hAnsi="ITC Avant Garde"/>
          <w:kern w:val="1"/>
          <w:sz w:val="22"/>
          <w:szCs w:val="22"/>
          <w:lang w:eastAsia="ar-SA"/>
        </w:rPr>
      </w:pPr>
      <w:r w:rsidRPr="004609F2">
        <w:rPr>
          <w:rFonts w:ascii="ITC Avant Garde" w:hAnsi="ITC Avant Garde"/>
          <w:b/>
          <w:kern w:val="1"/>
          <w:sz w:val="22"/>
          <w:szCs w:val="22"/>
          <w:lang w:eastAsia="ar-SA"/>
        </w:rPr>
        <w:t>Contraprestación emitida por la Secretaría de Hacienda y Crédito Público.</w:t>
      </w:r>
      <w:r w:rsidRPr="004609F2">
        <w:rPr>
          <w:rFonts w:ascii="ITC Avant Garde" w:hAnsi="ITC Avant Garde"/>
          <w:kern w:val="1"/>
          <w:sz w:val="22"/>
          <w:szCs w:val="22"/>
          <w:lang w:eastAsia="ar-SA"/>
        </w:rPr>
        <w:t xml:space="preserve"> Con oficio 349-B-</w:t>
      </w:r>
      <w:r w:rsidR="004609F2">
        <w:rPr>
          <w:rFonts w:ascii="ITC Avant Garde" w:hAnsi="ITC Avant Garde"/>
          <w:kern w:val="1"/>
          <w:sz w:val="22"/>
          <w:szCs w:val="22"/>
          <w:lang w:eastAsia="ar-SA"/>
        </w:rPr>
        <w:t>1149</w:t>
      </w:r>
      <w:r w:rsidR="004609F2" w:rsidRPr="004609F2">
        <w:rPr>
          <w:rFonts w:ascii="ITC Avant Garde" w:hAnsi="ITC Avant Garde"/>
          <w:kern w:val="1"/>
          <w:sz w:val="22"/>
          <w:szCs w:val="22"/>
          <w:lang w:eastAsia="ar-SA"/>
        </w:rPr>
        <w:t xml:space="preserve"> </w:t>
      </w:r>
      <w:r w:rsidRPr="004609F2">
        <w:rPr>
          <w:rFonts w:ascii="ITC Avant Garde" w:hAnsi="ITC Avant Garde"/>
          <w:kern w:val="1"/>
          <w:sz w:val="22"/>
          <w:szCs w:val="22"/>
          <w:lang w:eastAsia="ar-SA"/>
        </w:rPr>
        <w:t xml:space="preserve">del </w:t>
      </w:r>
      <w:r w:rsidR="004609F2">
        <w:rPr>
          <w:rFonts w:ascii="ITC Avant Garde" w:hAnsi="ITC Avant Garde"/>
          <w:kern w:val="1"/>
          <w:sz w:val="22"/>
          <w:szCs w:val="22"/>
          <w:lang w:eastAsia="ar-SA"/>
        </w:rPr>
        <w:t>22 de septiembre</w:t>
      </w:r>
      <w:r w:rsidRPr="004609F2">
        <w:rPr>
          <w:rFonts w:ascii="ITC Avant Garde" w:hAnsi="ITC Avant Garde"/>
          <w:kern w:val="1"/>
          <w:sz w:val="22"/>
          <w:szCs w:val="22"/>
          <w:lang w:eastAsia="ar-SA"/>
        </w:rPr>
        <w:t xml:space="preserve"> de 2017, la Unidad de Política de Ingresos No Tributarios de la Secretaría de Hacienda y Crédito Público (la “SHCP”) emitió opinión favorable respecto del monto de</w:t>
      </w:r>
      <w:r w:rsidR="00A119D5">
        <w:rPr>
          <w:rFonts w:ascii="ITC Avant Garde" w:hAnsi="ITC Avant Garde"/>
          <w:kern w:val="1"/>
          <w:sz w:val="22"/>
          <w:szCs w:val="22"/>
          <w:lang w:eastAsia="ar-SA"/>
        </w:rPr>
        <w:t>l</w:t>
      </w:r>
      <w:r w:rsidRPr="004609F2">
        <w:rPr>
          <w:rFonts w:ascii="ITC Avant Garde" w:hAnsi="ITC Avant Garde"/>
          <w:kern w:val="1"/>
          <w:sz w:val="22"/>
          <w:szCs w:val="22"/>
          <w:lang w:eastAsia="ar-SA"/>
        </w:rPr>
        <w:t xml:space="preserve"> aprovechamiento por concepto de </w:t>
      </w:r>
      <w:r w:rsidRPr="004609F2">
        <w:rPr>
          <w:rFonts w:ascii="ITC Avant Garde" w:hAnsi="ITC Avant Garde"/>
          <w:kern w:val="1"/>
          <w:sz w:val="22"/>
          <w:szCs w:val="22"/>
          <w:lang w:eastAsia="ar-SA"/>
        </w:rPr>
        <w:lastRenderedPageBreak/>
        <w:t>contraprestación que deberá pagar el Concesionario por el otorgamiento de la prórroga de la Concesión de mérito.</w:t>
      </w:r>
    </w:p>
    <w:p w14:paraId="4319B0B6" w14:textId="77777777" w:rsidR="00C55FC8" w:rsidRDefault="007336E4" w:rsidP="00C55FC8">
      <w:pPr>
        <w:spacing w:afterLines="120" w:after="288" w:line="276" w:lineRule="auto"/>
        <w:jc w:val="both"/>
        <w:rPr>
          <w:rFonts w:ascii="ITC Avant Garde" w:hAnsi="ITC Avant Garde"/>
          <w:bCs/>
          <w:color w:val="000000" w:themeColor="text1"/>
          <w:lang w:eastAsia="es-MX"/>
        </w:rPr>
      </w:pPr>
      <w:r w:rsidRPr="00F80E4F">
        <w:rPr>
          <w:rFonts w:ascii="ITC Avant Garde" w:hAnsi="ITC Avant Garde"/>
          <w:bCs/>
          <w:color w:val="000000" w:themeColor="text1"/>
          <w:lang w:eastAsia="es-MX"/>
        </w:rPr>
        <w:t>En virtud de los Antecedentes referidos y,</w:t>
      </w:r>
    </w:p>
    <w:p w14:paraId="611002F1" w14:textId="77777777" w:rsidR="00C55FC8" w:rsidRPr="00C55FC8" w:rsidRDefault="007336E4" w:rsidP="00C55FC8">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C55FC8">
        <w:rPr>
          <w:rFonts w:ascii="ITC Avant Garde" w:hAnsi="ITC Avant Garde"/>
          <w:b/>
          <w:color w:val="000000" w:themeColor="text1"/>
          <w:sz w:val="22"/>
          <w:szCs w:val="22"/>
        </w:rPr>
        <w:t>CONSIDERANDO</w:t>
      </w:r>
    </w:p>
    <w:p w14:paraId="4AA2E110" w14:textId="77777777" w:rsidR="00C55FC8" w:rsidRDefault="00F0000C" w:rsidP="00C55FC8">
      <w:pPr>
        <w:spacing w:afterLines="120" w:after="288" w:line="276" w:lineRule="auto"/>
        <w:jc w:val="both"/>
        <w:rPr>
          <w:rFonts w:ascii="ITC Avant Garde" w:eastAsia="Times New Roman" w:hAnsi="ITC Avant Garde"/>
          <w:bCs/>
          <w:kern w:val="1"/>
          <w:lang w:val="es-ES" w:eastAsia="ar-SA"/>
        </w:rPr>
      </w:pPr>
      <w:r w:rsidRPr="00F80E4F">
        <w:rPr>
          <w:rFonts w:ascii="ITC Avant Garde" w:eastAsia="Times New Roman" w:hAnsi="ITC Avant Garde"/>
          <w:b/>
          <w:bCs/>
          <w:kern w:val="1"/>
          <w:lang w:val="es-ES" w:eastAsia="ar-SA"/>
        </w:rPr>
        <w:t>Primero. -</w:t>
      </w:r>
      <w:r w:rsidR="007336E4" w:rsidRPr="00F80E4F">
        <w:rPr>
          <w:rFonts w:ascii="ITC Avant Garde" w:eastAsia="Times New Roman" w:hAnsi="ITC Avant Garde"/>
          <w:b/>
          <w:bCs/>
          <w:kern w:val="1"/>
          <w:lang w:val="es-ES" w:eastAsia="ar-SA"/>
        </w:rPr>
        <w:t xml:space="preserve"> Competencia del Instituto.</w:t>
      </w:r>
      <w:r w:rsidR="007336E4" w:rsidRPr="00F80E4F">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B402D64" w14:textId="77777777" w:rsidR="00C55FC8" w:rsidRDefault="007336E4" w:rsidP="00C55FC8">
      <w:pPr>
        <w:spacing w:afterLines="120" w:after="288" w:line="276" w:lineRule="auto"/>
        <w:ind w:right="48"/>
        <w:jc w:val="both"/>
        <w:rPr>
          <w:rFonts w:ascii="ITC Avant Garde" w:eastAsia="Times New Roman" w:hAnsi="ITC Avant Garde"/>
          <w:bCs/>
          <w:kern w:val="1"/>
          <w:lang w:eastAsia="ar-SA"/>
        </w:rPr>
      </w:pPr>
      <w:r w:rsidRPr="00F80E4F">
        <w:rPr>
          <w:rFonts w:ascii="ITC Avant Garde" w:eastAsia="Times New Roman" w:hAnsi="ITC Avant Garde"/>
          <w:bCs/>
          <w:kern w:val="1"/>
          <w:lang w:val="es-ES" w:eastAsia="ar-SA"/>
        </w:rPr>
        <w:t xml:space="preserve">Por su parte, el párrafo décimo séptimo del artículo 28 de la Constitución dispone que </w:t>
      </w:r>
      <w:r w:rsidRPr="00F80E4F">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427BB4BE" w14:textId="77777777" w:rsidR="00C55FC8" w:rsidRDefault="007336E4" w:rsidP="00C55FC8">
      <w:pPr>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val="es-ES" w:eastAsia="ar-SA"/>
        </w:rPr>
        <w:t xml:space="preserve">Asimismo, </w:t>
      </w:r>
      <w:r w:rsidRPr="00F80E4F">
        <w:rPr>
          <w:rFonts w:ascii="ITC Avant Garde" w:eastAsia="Times New Roman" w:hAnsi="ITC Avant Garde"/>
          <w:bCs/>
          <w:kern w:val="1"/>
          <w:lang w:eastAsia="ar-SA"/>
        </w:rPr>
        <w:t>conforme al artículo 28 párrafo décimo sexto de la Constitución,</w:t>
      </w:r>
      <w:r w:rsidRPr="00F80E4F">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14:paraId="6FC29E0C" w14:textId="77777777" w:rsidR="00C55FC8" w:rsidRDefault="007336E4" w:rsidP="00C55FC8">
      <w:pPr>
        <w:spacing w:afterLines="120" w:after="288" w:line="276" w:lineRule="auto"/>
        <w:jc w:val="both"/>
        <w:rPr>
          <w:rFonts w:ascii="ITC Avant Garde" w:eastAsia="Times New Roman" w:hAnsi="ITC Avant Garde"/>
          <w:bCs/>
          <w:kern w:val="1"/>
          <w:lang w:val="es-ES" w:eastAsia="ar-SA"/>
        </w:rPr>
      </w:pPr>
      <w:r w:rsidRPr="00F80E4F">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previamente a la entrada en vigor del mismo, se realizarán en los términos establecidos en el artículo Séptimo Transitorio del Decreto de Reforma Constitucional.</w:t>
      </w:r>
    </w:p>
    <w:p w14:paraId="70F3FEDB" w14:textId="77777777" w:rsidR="00C55FC8" w:rsidRDefault="007336E4" w:rsidP="00C55FC8">
      <w:pPr>
        <w:spacing w:afterLines="120" w:after="288" w:line="276" w:lineRule="auto"/>
        <w:jc w:val="both"/>
        <w:rPr>
          <w:rFonts w:ascii="ITC Avant Garde" w:eastAsia="Times New Roman" w:hAnsi="ITC Avant Garde"/>
          <w:bCs/>
          <w:kern w:val="1"/>
          <w:lang w:val="es-ES" w:eastAsia="ar-SA"/>
        </w:rPr>
      </w:pPr>
      <w:r w:rsidRPr="00F80E4F">
        <w:rPr>
          <w:rFonts w:ascii="ITC Avant Garde" w:eastAsia="Times New Roman" w:hAnsi="ITC Avant Garde"/>
          <w:bCs/>
          <w:kern w:val="1"/>
          <w:lang w:val="es-ES" w:eastAsia="ar-SA"/>
        </w:rPr>
        <w:t xml:space="preserve">También, el segundo párrafo del artículo Séptimo Transitorio del Decreto de Reforma Constitucional indica que los procedimientos iniciados con anterioridad a la integración </w:t>
      </w:r>
      <w:r w:rsidRPr="00F80E4F">
        <w:rPr>
          <w:rFonts w:ascii="ITC Avant Garde" w:eastAsia="Times New Roman" w:hAnsi="ITC Avant Garde"/>
          <w:bCs/>
          <w:kern w:val="1"/>
          <w:lang w:val="es-ES" w:eastAsia="ar-SA"/>
        </w:rPr>
        <w:lastRenderedPageBreak/>
        <w:t>del Instituto, como acontece en el presente caso, continuarán su trámite ante este órgano en términos de la legislación aplicable al momento de su inicio.</w:t>
      </w:r>
    </w:p>
    <w:p w14:paraId="1824B13F" w14:textId="77777777" w:rsidR="00C55FC8" w:rsidRDefault="007336E4" w:rsidP="00C55FC8">
      <w:pPr>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eastAsia="ar-SA"/>
        </w:rPr>
        <w:t>De igual forma, conforme a lo establecido en los artículos 15 fracción IV y 17 fracción I de la Ley y 6 fracciones I y XXXVIII del Estatuto Orgánico, corresponde al Pleno del Instituto la facultad de otorgar las concesiones previstas en dicho ordenamiento legal y resolver sobre su prórroga.</w:t>
      </w:r>
    </w:p>
    <w:p w14:paraId="592749DB"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3D33C3CD" w14:textId="77777777" w:rsidR="00C55FC8" w:rsidRDefault="007336E4" w:rsidP="00C55FC8">
      <w:pPr>
        <w:autoSpaceDE w:val="0"/>
        <w:autoSpaceDN w:val="0"/>
        <w:adjustRightInd w:val="0"/>
        <w:spacing w:afterLines="120" w:after="288" w:line="276" w:lineRule="auto"/>
        <w:jc w:val="both"/>
        <w:rPr>
          <w:rFonts w:ascii="ITC Avant Garde" w:hAnsi="ITC Avant Garde"/>
          <w:bCs/>
        </w:rPr>
      </w:pPr>
      <w:r w:rsidRPr="00F80E4F">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F80E4F">
        <w:rPr>
          <w:rFonts w:ascii="ITC Avant Garde" w:hAnsi="ITC Avant Garde" w:cs="Tahoma"/>
          <w:bCs/>
          <w:lang w:eastAsia="es-MX"/>
        </w:rPr>
        <w:t xml:space="preserve">para </w:t>
      </w:r>
      <w:r w:rsidRPr="00F80E4F">
        <w:rPr>
          <w:rFonts w:ascii="ITC Avant Garde" w:eastAsia="Times New Roman" w:hAnsi="ITC Avant Garde"/>
          <w:bCs/>
          <w:kern w:val="1"/>
          <w:lang w:eastAsia="ar-SA"/>
        </w:rPr>
        <w:t xml:space="preserve">resolver sobre la prórroga de </w:t>
      </w:r>
      <w:r w:rsidRPr="00F80E4F">
        <w:rPr>
          <w:rFonts w:ascii="ITC Avant Garde" w:eastAsia="Times New Roman" w:hAnsi="ITC Avant Garde"/>
          <w:bCs/>
          <w:kern w:val="1"/>
          <w:lang w:val="es-ES_tradnl" w:eastAsia="ar-SA"/>
        </w:rPr>
        <w:t>concesiones</w:t>
      </w:r>
      <w:r w:rsidRPr="00F80E4F">
        <w:rPr>
          <w:rFonts w:ascii="ITC Avant Garde" w:hAnsi="ITC Avant Garde"/>
          <w:bCs/>
        </w:rPr>
        <w:t>, el Pleno, como órgano máximo de gobierno y decisión del Instituto, se encuentra plenamente facultado para resolver las Solicitudes de Prórroga que nos ocupan.</w:t>
      </w:r>
    </w:p>
    <w:p w14:paraId="31372AA0" w14:textId="77777777" w:rsidR="00C55FC8" w:rsidRDefault="00F0000C" w:rsidP="00C55FC8">
      <w:pPr>
        <w:suppressAutoHyphens/>
        <w:spacing w:afterLines="120" w:after="288" w:line="276" w:lineRule="auto"/>
        <w:jc w:val="both"/>
        <w:rPr>
          <w:rFonts w:ascii="ITC Avant Garde" w:eastAsia="Times New Roman" w:hAnsi="ITC Avant Garde"/>
          <w:kern w:val="1"/>
          <w:lang w:eastAsia="ar-SA"/>
        </w:rPr>
      </w:pPr>
      <w:r w:rsidRPr="00F80E4F">
        <w:rPr>
          <w:rFonts w:ascii="ITC Avant Garde" w:eastAsia="Times New Roman" w:hAnsi="ITC Avant Garde"/>
          <w:b/>
          <w:kern w:val="1"/>
          <w:lang w:val="es-ES" w:eastAsia="ar-SA"/>
        </w:rPr>
        <w:t>Segundo</w:t>
      </w:r>
      <w:r w:rsidRPr="00F80E4F">
        <w:rPr>
          <w:rFonts w:ascii="ITC Avant Garde" w:eastAsia="Times New Roman" w:hAnsi="ITC Avant Garde"/>
          <w:b/>
          <w:kern w:val="1"/>
          <w:lang w:eastAsia="ar-SA"/>
        </w:rPr>
        <w:t>. -</w:t>
      </w:r>
      <w:r w:rsidR="007336E4" w:rsidRPr="00F80E4F">
        <w:rPr>
          <w:rFonts w:ascii="ITC Avant Garde" w:eastAsia="Times New Roman" w:hAnsi="ITC Avant Garde"/>
          <w:b/>
          <w:kern w:val="1"/>
          <w:lang w:eastAsia="ar-SA"/>
        </w:rPr>
        <w:t xml:space="preserve"> Marco jurídico aplicable. </w:t>
      </w:r>
      <w:r w:rsidR="007336E4" w:rsidRPr="00F80E4F">
        <w:rPr>
          <w:rFonts w:ascii="ITC Avant Garde" w:eastAsia="Times New Roman" w:hAnsi="ITC Avant Garde"/>
          <w:kern w:val="1"/>
          <w:lang w:eastAsia="ar-SA"/>
        </w:rPr>
        <w:t xml:space="preserve">Para efectos del trámite e integración de las Solicitudes de Prórroga materia de la presente Resolución, deberán observarse los requisitos establecidos en la legislación vigente al momento de la presentación de las mismas, esto es, en concordancia con lo dispuesto en la Constitución, la Ley, la Ley Federal de Derechos y el Estatuto Orgánico. </w:t>
      </w:r>
    </w:p>
    <w:p w14:paraId="23395646" w14:textId="77777777" w:rsidR="00C55FC8" w:rsidRDefault="007336E4" w:rsidP="00C55FC8">
      <w:pPr>
        <w:suppressAutoHyphens/>
        <w:spacing w:afterLines="120" w:after="288" w:line="276" w:lineRule="auto"/>
        <w:jc w:val="both"/>
        <w:rPr>
          <w:rFonts w:ascii="ITC Avant Garde" w:eastAsia="Times New Roman" w:hAnsi="ITC Avant Garde"/>
          <w:kern w:val="1"/>
          <w:lang w:eastAsia="ar-SA"/>
        </w:rPr>
      </w:pPr>
      <w:r w:rsidRPr="00F80E4F">
        <w:rPr>
          <w:rFonts w:ascii="ITC Avant Garde" w:eastAsia="Times New Roman" w:hAnsi="ITC Avant Garde"/>
          <w:kern w:val="1"/>
          <w:lang w:eastAsia="ar-SA"/>
        </w:rPr>
        <w:t xml:space="preserve">El artículo 28 de la Constitución, párrafo décimo séptimo, dota de facultades al Instituto para otorgar concesiones en materia de radiodifusión y telecomunicaciones, así como fijar el monto de las contraprestaciones por su otorgamiento, </w:t>
      </w:r>
      <w:r>
        <w:rPr>
          <w:rFonts w:ascii="ITC Avant Garde" w:eastAsia="Times New Roman" w:hAnsi="ITC Avant Garde"/>
          <w:kern w:val="1"/>
          <w:lang w:eastAsia="ar-SA"/>
        </w:rPr>
        <w:t>una vez recibida la</w:t>
      </w:r>
      <w:r w:rsidRPr="00F80E4F">
        <w:rPr>
          <w:rFonts w:ascii="ITC Avant Garde" w:eastAsia="Times New Roman" w:hAnsi="ITC Avant Garde"/>
          <w:kern w:val="1"/>
          <w:lang w:eastAsia="ar-SA"/>
        </w:rPr>
        <w:t xml:space="preserve"> opinión de la autoridad hacendaria. De igual manera, señala que el Instituto deberá notificar al Secretario del ramo previamente a su determinación, quien podrá emitir su opinión técnica no vinculante en un plazo de 30 días naturales. Al efecto, a </w:t>
      </w:r>
      <w:proofErr w:type="gramStart"/>
      <w:r w:rsidRPr="00F80E4F">
        <w:rPr>
          <w:rFonts w:ascii="ITC Avant Garde" w:eastAsia="Times New Roman" w:hAnsi="ITC Avant Garde"/>
          <w:kern w:val="1"/>
          <w:lang w:eastAsia="ar-SA"/>
        </w:rPr>
        <w:t>continuación</w:t>
      </w:r>
      <w:proofErr w:type="gramEnd"/>
      <w:r w:rsidRPr="00F80E4F">
        <w:rPr>
          <w:rFonts w:ascii="ITC Avant Garde" w:eastAsia="Times New Roman" w:hAnsi="ITC Avant Garde"/>
          <w:kern w:val="1"/>
          <w:lang w:eastAsia="ar-SA"/>
        </w:rPr>
        <w:t xml:space="preserve"> se transcribe de manera íntegra el párrafo citado: </w:t>
      </w:r>
    </w:p>
    <w:p w14:paraId="2FB77F22" w14:textId="2C6B160A" w:rsidR="007336E4" w:rsidRPr="00F80E4F" w:rsidRDefault="007336E4" w:rsidP="00C55FC8">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w:t>
      </w:r>
      <w:r w:rsidRPr="00F80E4F">
        <w:rPr>
          <w:rFonts w:ascii="ITC Avant Garde" w:hAnsi="ITC Avant Garde"/>
          <w:b/>
          <w:i/>
          <w:sz w:val="20"/>
        </w:rPr>
        <w:t>Artículo 28.</w:t>
      </w:r>
      <w:r w:rsidRPr="00F80E4F">
        <w:rPr>
          <w:rFonts w:ascii="ITC Avant Garde" w:hAnsi="ITC Avant Garde"/>
          <w:i/>
          <w:sz w:val="20"/>
        </w:rPr>
        <w:t xml:space="preserve"> …</w:t>
      </w:r>
    </w:p>
    <w:p w14:paraId="0F4EF1A1" w14:textId="77777777" w:rsidR="00C55FC8" w:rsidRDefault="007336E4" w:rsidP="00C55FC8">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w:t>
      </w:r>
    </w:p>
    <w:p w14:paraId="0DE8F195" w14:textId="77777777" w:rsidR="00C55FC8" w:rsidRDefault="007336E4" w:rsidP="00C55FC8">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 xml:space="preserve">Corresponde al Instituto, el otorgamiento, la revocación, así como la autorización de cesiones o cambios de control accionario, titularidad u operación de sociedades </w:t>
      </w:r>
      <w:r w:rsidRPr="00F80E4F">
        <w:rPr>
          <w:rFonts w:ascii="ITC Avant Garde" w:hAnsi="ITC Avant Garde"/>
          <w:i/>
          <w:sz w:val="20"/>
        </w:rPr>
        <w:lastRenderedPageBreak/>
        <w:t>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600FE097" w14:textId="77777777" w:rsidR="00C55FC8" w:rsidRDefault="007336E4" w:rsidP="00C55FC8">
      <w:pPr>
        <w:suppressAutoHyphens/>
        <w:spacing w:afterLines="120" w:after="288" w:line="276" w:lineRule="auto"/>
        <w:jc w:val="both"/>
        <w:rPr>
          <w:rFonts w:ascii="ITC Avant Garde" w:eastAsia="Times New Roman" w:hAnsi="ITC Avant Garde"/>
          <w:kern w:val="1"/>
          <w:lang w:eastAsia="ar-SA"/>
        </w:rPr>
      </w:pPr>
      <w:r w:rsidRPr="00F80E4F">
        <w:rPr>
          <w:rFonts w:ascii="ITC Avant Garde" w:eastAsia="Times New Roman" w:hAnsi="ITC Avant Garde"/>
          <w:kern w:val="1"/>
          <w:lang w:eastAsia="ar-SA"/>
        </w:rPr>
        <w:t>Por su parte, el artículo 114 de la Ley señala a la letra lo siguiente:</w:t>
      </w:r>
    </w:p>
    <w:p w14:paraId="012B82C3" w14:textId="77777777" w:rsidR="00C55FC8" w:rsidRDefault="007336E4" w:rsidP="00C55FC8">
      <w:pPr>
        <w:pStyle w:val="Texto"/>
        <w:spacing w:afterLines="120" w:after="288" w:line="276" w:lineRule="auto"/>
        <w:ind w:left="567" w:right="615" w:firstLine="6"/>
        <w:rPr>
          <w:rFonts w:ascii="ITC Avant Garde" w:hAnsi="ITC Avant Garde"/>
          <w:i/>
          <w:sz w:val="20"/>
        </w:rPr>
      </w:pPr>
      <w:r w:rsidRPr="00F80E4F">
        <w:rPr>
          <w:rFonts w:ascii="ITC Avant Garde" w:hAnsi="ITC Avant Garde"/>
          <w:b/>
          <w:bCs/>
          <w:i/>
          <w:sz w:val="20"/>
          <w:lang w:val="es-MX"/>
        </w:rPr>
        <w:t xml:space="preserve">“Artículo 114. </w:t>
      </w:r>
      <w:r w:rsidRPr="00F80E4F">
        <w:rPr>
          <w:rFonts w:ascii="ITC Avant Garde" w:hAnsi="ITC Avant Garde"/>
          <w:i/>
          <w:sz w:val="20"/>
          <w:lang w:val="es-MX"/>
        </w:rPr>
        <w:t>Para el otorgamiento de las prórrogas de concesiones de bandas de frecuencias o de recursos orbitales, será necesario que el concesionario la solicite al Instituto dentro del año previo al inicio de la última quinta</w:t>
      </w:r>
      <w:r w:rsidRPr="00F80E4F">
        <w:rPr>
          <w:rFonts w:eastAsiaTheme="minorHAnsi"/>
          <w:color w:val="000000"/>
          <w:szCs w:val="18"/>
        </w:rPr>
        <w:t xml:space="preserve"> </w:t>
      </w:r>
      <w:r w:rsidRPr="00F80E4F">
        <w:rPr>
          <w:rFonts w:ascii="ITC Avant Garde" w:hAnsi="ITC Avant Garde"/>
          <w:i/>
          <w:sz w:val="20"/>
        </w:rPr>
        <w:t xml:space="preserve">parte del plazo de vigencia de la concesión, se encuentre al corriente en el cumplimiento de las obligaciones establecidas en la Ley y demás disposiciones aplicables, así como en su título de concesión. </w:t>
      </w:r>
    </w:p>
    <w:p w14:paraId="38D2765E" w14:textId="77777777" w:rsidR="00C55FC8" w:rsidRDefault="007336E4" w:rsidP="00C55FC8">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14:paraId="7D8720EC" w14:textId="77777777" w:rsidR="00C55FC8" w:rsidRDefault="007336E4" w:rsidP="00C55FC8">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14:paraId="595A482D" w14:textId="77777777" w:rsidR="00C55FC8" w:rsidRDefault="007336E4" w:rsidP="00C55FC8">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lang w:val="es-MX"/>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14:paraId="6484384D" w14:textId="77777777" w:rsidR="00C55FC8" w:rsidRDefault="007336E4" w:rsidP="00C55FC8">
      <w:pPr>
        <w:autoSpaceDE w:val="0"/>
        <w:spacing w:afterLines="120" w:after="288" w:line="276" w:lineRule="auto"/>
        <w:jc w:val="both"/>
        <w:rPr>
          <w:rFonts w:ascii="ITC Avant Garde" w:eastAsia="Times New Roman" w:hAnsi="ITC Avant Garde"/>
          <w:kern w:val="1"/>
          <w:lang w:eastAsia="ar-SA"/>
        </w:rPr>
      </w:pPr>
      <w:r w:rsidRPr="00F80E4F">
        <w:rPr>
          <w:rFonts w:ascii="ITC Avant Garde" w:eastAsia="Times New Roman" w:hAnsi="ITC Avant Garde"/>
          <w:kern w:val="1"/>
          <w:lang w:eastAsia="ar-SA"/>
        </w:rPr>
        <w:t xml:space="preserve">En esa tesitura, se desprende que los supuestos de procedencia para el otorgamiento de las prórrogas de concesiones en materia de radiodifusión son: (i) solicitarlo al Instituto dentro del año anterior al inicio de la </w:t>
      </w:r>
      <w:r w:rsidRPr="00F80E4F">
        <w:rPr>
          <w:rFonts w:ascii="ITC Avant Garde" w:hAnsi="ITC Avant Garde" w:cs="Tahoma"/>
          <w:bCs/>
          <w:color w:val="000000"/>
          <w:lang w:eastAsia="es-MX"/>
        </w:rPr>
        <w:t>última</w:t>
      </w:r>
      <w:r w:rsidRPr="00F80E4F">
        <w:rPr>
          <w:rFonts w:ascii="ITC Avant Garde" w:eastAsia="Times New Roman" w:hAnsi="ITC Avant Garde"/>
          <w:kern w:val="1"/>
          <w:lang w:eastAsia="ar-SA"/>
        </w:rPr>
        <w:t xml:space="preserve"> quinta parte del plazo de vigencia de la concesión; (ii) estar al corriente en el cumplimiento de las obligaciones establecidas en la Ley, el título de concesión y demás disposiciones aplicables; (iii) determinar si existe </w:t>
      </w:r>
      <w:r w:rsidRPr="00F80E4F">
        <w:rPr>
          <w:rFonts w:ascii="ITC Avant Garde" w:eastAsia="Times New Roman" w:hAnsi="ITC Avant Garde"/>
          <w:kern w:val="1"/>
          <w:lang w:eastAsia="ar-SA"/>
        </w:rPr>
        <w:lastRenderedPageBreak/>
        <w:t>interés público por parte del Instituto en recuperar el espectro radioeléctrico concesionado; (iv) que se cuente con la opinión técnica no vinculante por parte de la SCT; y, (v) aceptar previamente las nuevas condiciones.</w:t>
      </w:r>
    </w:p>
    <w:p w14:paraId="65600F86" w14:textId="77777777" w:rsidR="00C55FC8" w:rsidRDefault="007336E4" w:rsidP="00C55FC8">
      <w:pPr>
        <w:autoSpaceDE w:val="0"/>
        <w:spacing w:afterLines="120" w:after="288" w:line="276" w:lineRule="auto"/>
        <w:jc w:val="both"/>
      </w:pPr>
      <w:r w:rsidRPr="00F80E4F">
        <w:rPr>
          <w:rFonts w:ascii="ITC Avant Garde" w:hAnsi="ITC Avant Garde" w:cs="Tahoma"/>
          <w:bCs/>
          <w:color w:val="000000"/>
          <w:lang w:eastAsia="es-MX"/>
        </w:rPr>
        <w:t>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las solicitudes que nos ocupan.</w:t>
      </w:r>
    </w:p>
    <w:p w14:paraId="0EB8F3AE" w14:textId="77777777" w:rsidR="00C55FC8" w:rsidRDefault="00A119D5" w:rsidP="00C55FC8">
      <w:pPr>
        <w:suppressAutoHyphens/>
        <w:spacing w:afterLines="120" w:after="288" w:line="276" w:lineRule="auto"/>
        <w:jc w:val="both"/>
        <w:rPr>
          <w:rFonts w:ascii="ITC Avant Garde" w:hAnsi="ITC Avant Garde" w:cs="Tahoma"/>
          <w:bCs/>
          <w:color w:val="000000"/>
          <w:lang w:eastAsia="es-MX"/>
        </w:rPr>
      </w:pPr>
      <w:r w:rsidRPr="00A119D5">
        <w:rPr>
          <w:rFonts w:ascii="ITC Avant Garde" w:hAnsi="ITC Avant Garde" w:cs="Tahoma"/>
          <w:bCs/>
          <w:color w:val="000000"/>
          <w:lang w:eastAsia="es-MX"/>
        </w:rPr>
        <w:t>Cabe destacar que para este tipo de solicitudes debe acatarse el requisito de procedencia establecido por el artículo 173 apartado A fracción II de la Ley Federal de Derechos vigente a partir del 1° de enero de 2016, que señala obligación de pagar los derechos por el estudio de la solicitud y, en su caso, expedición de título o prórroga de concesiones en materia de telecomunicaciones o radiodifusión, para el uso, aprovechamiento o explotación de bandas de frecuencias del espectro radioeléctrico.</w:t>
      </w:r>
    </w:p>
    <w:p w14:paraId="22B499CD" w14:textId="77777777" w:rsidR="00C55FC8" w:rsidRDefault="00F0000C" w:rsidP="00C55FC8">
      <w:pPr>
        <w:autoSpaceDE w:val="0"/>
        <w:spacing w:afterLines="120" w:after="288" w:line="276" w:lineRule="auto"/>
        <w:jc w:val="both"/>
      </w:pPr>
      <w:r w:rsidRPr="00F80E4F">
        <w:rPr>
          <w:rFonts w:ascii="ITC Avant Garde" w:eastAsia="Times New Roman" w:hAnsi="ITC Avant Garde"/>
          <w:b/>
          <w:kern w:val="3"/>
          <w:lang w:val="es-ES" w:eastAsia="ar-SA"/>
        </w:rPr>
        <w:t>Tercero. -</w:t>
      </w:r>
      <w:r w:rsidR="007336E4" w:rsidRPr="00F80E4F">
        <w:rPr>
          <w:rFonts w:ascii="ITC Avant Garde" w:eastAsia="Times New Roman" w:hAnsi="ITC Avant Garde"/>
          <w:b/>
          <w:kern w:val="3"/>
          <w:lang w:val="es-ES" w:eastAsia="ar-SA"/>
        </w:rPr>
        <w:t xml:space="preserve"> Análisis de la Solicitud de Prórroga.</w:t>
      </w:r>
      <w:r w:rsidR="007336E4" w:rsidRPr="00F80E4F">
        <w:rPr>
          <w:rFonts w:ascii="ITC Avant Garde" w:eastAsia="Times New Roman" w:hAnsi="ITC Avant Garde"/>
          <w:kern w:val="3"/>
          <w:lang w:val="es-ES" w:eastAsia="ar-SA"/>
        </w:rPr>
        <w:t xml:space="preserve"> L</w:t>
      </w:r>
      <w:r w:rsidR="007336E4" w:rsidRPr="00F80E4F">
        <w:rPr>
          <w:rFonts w:ascii="ITC Avant Garde" w:eastAsia="Times New Roman" w:hAnsi="ITC Avant Garde"/>
          <w:kern w:val="3"/>
          <w:lang w:eastAsia="ar-SA"/>
        </w:rPr>
        <w:t>a Unidad de Concesiones y Servicios por conducto de la Dirección General de Concesiones de Radiodifusión realizó el análisis de la Solicitud de Prórroga de conformidad con los requisitos establecidos en el artículo 114 de la Ley, en los siguientes términos:</w:t>
      </w:r>
    </w:p>
    <w:p w14:paraId="27BCBA66" w14:textId="77777777" w:rsidR="00C55FC8" w:rsidRDefault="007336E4" w:rsidP="00C55FC8">
      <w:pPr>
        <w:numPr>
          <w:ilvl w:val="0"/>
          <w:numId w:val="19"/>
        </w:numPr>
        <w:spacing w:afterLines="120" w:after="288" w:line="276" w:lineRule="auto"/>
        <w:ind w:right="48"/>
        <w:jc w:val="both"/>
        <w:rPr>
          <w:rFonts w:ascii="ITC Avant Garde" w:eastAsia="Times New Roman" w:hAnsi="ITC Avant Garde" w:cs="Times New Roman"/>
          <w:kern w:val="3"/>
          <w:lang w:eastAsia="ar-SA"/>
        </w:rPr>
      </w:pPr>
      <w:r w:rsidRPr="003B4D7C">
        <w:rPr>
          <w:rFonts w:ascii="ITC Avant Garde" w:hAnsi="ITC Avant Garde"/>
          <w:b/>
          <w:kern w:val="3"/>
          <w:lang w:eastAsia="ar-SA"/>
        </w:rPr>
        <w:t>Temporalidad</w:t>
      </w:r>
      <w:r w:rsidRPr="003B4D7C">
        <w:rPr>
          <w:rFonts w:ascii="ITC Avant Garde" w:hAnsi="ITC Avant Garde"/>
          <w:kern w:val="3"/>
          <w:lang w:eastAsia="ar-SA"/>
        </w:rPr>
        <w:t xml:space="preserve">. </w:t>
      </w:r>
      <w:r w:rsidR="00772A18" w:rsidRPr="0047798A">
        <w:rPr>
          <w:rFonts w:ascii="ITC Avant Garde" w:hAnsi="ITC Avant Garde"/>
          <w:kern w:val="3"/>
          <w:lang w:eastAsia="ar-SA"/>
        </w:rPr>
        <w:t xml:space="preserve">Por lo que hace al requisito de procedencia establecido por el referido artículo 114 de la Ley, relativo a que los Concesionarios presenten las solicitudes de prórroga dentro del año </w:t>
      </w:r>
      <w:r w:rsidR="0082700B">
        <w:rPr>
          <w:rFonts w:ascii="ITC Avant Garde" w:hAnsi="ITC Avant Garde"/>
          <w:kern w:val="3"/>
          <w:lang w:eastAsia="ar-SA"/>
        </w:rPr>
        <w:t>anterior</w:t>
      </w:r>
      <w:r w:rsidR="00772A18" w:rsidRPr="0047798A">
        <w:rPr>
          <w:rFonts w:ascii="ITC Avant Garde" w:hAnsi="ITC Avant Garde"/>
          <w:kern w:val="3"/>
          <w:lang w:eastAsia="ar-SA"/>
        </w:rPr>
        <w:t xml:space="preserve"> al inicio de la última quinta parte de la vigencia de la Concesión, y para que la autoridad se encuentre en aptitud legal de realizar el trámite de prórroga que nos ocupa, </w:t>
      </w:r>
      <w:r w:rsidR="00772A18" w:rsidRPr="0047798A">
        <w:rPr>
          <w:rFonts w:ascii="ITC Avant Garde" w:eastAsia="Times New Roman" w:hAnsi="ITC Avant Garde" w:cs="Times New Roman"/>
          <w:lang w:eastAsia="ar-SA"/>
        </w:rPr>
        <w:t>este Instituto considera lo siguiente:</w:t>
      </w:r>
    </w:p>
    <w:p w14:paraId="6E38DAC7" w14:textId="77777777" w:rsidR="00C55FC8" w:rsidRDefault="00772A18" w:rsidP="00C55FC8">
      <w:pPr>
        <w:spacing w:afterLines="120" w:after="288" w:line="276" w:lineRule="auto"/>
        <w:ind w:left="503" w:right="48"/>
        <w:jc w:val="both"/>
        <w:rPr>
          <w:rFonts w:ascii="ITC Avant Garde" w:eastAsia="Times New Roman" w:hAnsi="ITC Avant Garde" w:cs="Times New Roman"/>
          <w:kern w:val="3"/>
          <w:lang w:eastAsia="ar-SA"/>
        </w:rPr>
      </w:pPr>
      <w:r>
        <w:rPr>
          <w:rFonts w:ascii="ITC Avant Garde" w:hAnsi="ITC Avant Garde"/>
          <w:kern w:val="3"/>
          <w:lang w:eastAsia="ar-SA"/>
        </w:rPr>
        <w:t>El</w:t>
      </w:r>
      <w:r w:rsidRPr="0047798A">
        <w:rPr>
          <w:rFonts w:ascii="ITC Avant Garde" w:hAnsi="ITC Avant Garde"/>
          <w:kern w:val="3"/>
          <w:lang w:eastAsia="ar-SA"/>
        </w:rPr>
        <w:t xml:space="preserve"> Concesionario </w:t>
      </w:r>
      <w:r>
        <w:rPr>
          <w:rFonts w:ascii="ITC Avant Garde" w:hAnsi="ITC Avant Garde"/>
          <w:kern w:val="3"/>
          <w:lang w:eastAsia="ar-SA"/>
        </w:rPr>
        <w:t>presentó</w:t>
      </w:r>
      <w:r w:rsidRPr="0047798A">
        <w:rPr>
          <w:rFonts w:ascii="ITC Avant Garde" w:hAnsi="ITC Avant Garde"/>
          <w:kern w:val="3"/>
          <w:lang w:eastAsia="ar-SA"/>
        </w:rPr>
        <w:t xml:space="preserve"> su solicitud dentro del año </w:t>
      </w:r>
      <w:r w:rsidR="0082700B">
        <w:rPr>
          <w:rFonts w:ascii="ITC Avant Garde" w:hAnsi="ITC Avant Garde"/>
          <w:kern w:val="3"/>
          <w:lang w:eastAsia="ar-SA"/>
        </w:rPr>
        <w:t>anterior</w:t>
      </w:r>
      <w:r w:rsidRPr="0047798A">
        <w:rPr>
          <w:rFonts w:ascii="ITC Avant Garde" w:hAnsi="ITC Avant Garde"/>
          <w:kern w:val="3"/>
          <w:lang w:eastAsia="ar-SA"/>
        </w:rPr>
        <w:t xml:space="preserve"> al inicio de la última quinta parte de la vigencia de la Concesión, conforme a lo dispuesto en el artículo citado, por lo tanto, </w:t>
      </w:r>
      <w:r>
        <w:rPr>
          <w:rFonts w:ascii="ITC Avant Garde" w:hAnsi="ITC Avant Garde"/>
          <w:kern w:val="3"/>
          <w:lang w:eastAsia="ar-SA"/>
        </w:rPr>
        <w:t>cumple</w:t>
      </w:r>
      <w:r w:rsidRPr="0047798A">
        <w:rPr>
          <w:rFonts w:ascii="ITC Avant Garde" w:hAnsi="ITC Avant Garde"/>
          <w:kern w:val="3"/>
          <w:lang w:eastAsia="ar-SA"/>
        </w:rPr>
        <w:t xml:space="preserve"> con el requisito de temporalidad para la presentación de la Solicitud de Prórroga, en razón de que la misma fue ingresada dentro del plazo legal, como se indicó en el Antecedente V</w:t>
      </w:r>
      <w:r w:rsidR="00A119D5">
        <w:rPr>
          <w:rFonts w:ascii="ITC Avant Garde" w:hAnsi="ITC Avant Garde"/>
          <w:kern w:val="3"/>
          <w:lang w:eastAsia="ar-SA"/>
        </w:rPr>
        <w:t>III</w:t>
      </w:r>
      <w:r w:rsidRPr="0047798A">
        <w:rPr>
          <w:rFonts w:ascii="ITC Avant Garde" w:hAnsi="ITC Avant Garde"/>
          <w:kern w:val="3"/>
          <w:lang w:eastAsia="ar-SA"/>
        </w:rPr>
        <w:t xml:space="preserve"> de la presente Resolución. </w:t>
      </w:r>
    </w:p>
    <w:p w14:paraId="7BBD6CEB" w14:textId="77777777" w:rsidR="00C55FC8" w:rsidRDefault="00772A18" w:rsidP="00C55FC8">
      <w:pPr>
        <w:pStyle w:val="Prrafodelista"/>
        <w:spacing w:afterLines="120" w:after="288" w:line="276" w:lineRule="auto"/>
        <w:ind w:left="503" w:right="45"/>
        <w:jc w:val="both"/>
        <w:rPr>
          <w:rFonts w:ascii="ITC Avant Garde" w:hAnsi="ITC Avant Garde"/>
          <w:kern w:val="3"/>
          <w:sz w:val="22"/>
          <w:lang w:eastAsia="ar-SA"/>
        </w:rPr>
      </w:pPr>
      <w:r w:rsidRPr="00A119D5">
        <w:rPr>
          <w:rFonts w:ascii="ITC Avant Garde" w:hAnsi="ITC Avant Garde"/>
          <w:kern w:val="3"/>
          <w:sz w:val="22"/>
          <w:lang w:eastAsia="ar-SA"/>
        </w:rPr>
        <w:t xml:space="preserve">En virtud de lo expuesto, este Instituto considera que el requisito de temporalidad se encuentra cumplido. </w:t>
      </w:r>
    </w:p>
    <w:p w14:paraId="37FEC375" w14:textId="77777777" w:rsidR="00C55FC8" w:rsidRDefault="007336E4" w:rsidP="00C55FC8">
      <w:pPr>
        <w:pStyle w:val="Prrafodelista"/>
        <w:numPr>
          <w:ilvl w:val="0"/>
          <w:numId w:val="20"/>
        </w:numPr>
        <w:autoSpaceDE w:val="0"/>
        <w:autoSpaceDN w:val="0"/>
        <w:spacing w:afterLines="120" w:after="288" w:line="276" w:lineRule="auto"/>
        <w:ind w:left="499" w:right="45" w:hanging="357"/>
        <w:jc w:val="both"/>
        <w:textAlignment w:val="baseline"/>
        <w:rPr>
          <w:rFonts w:ascii="ITC Avant Garde" w:hAnsi="ITC Avant Garde"/>
          <w:sz w:val="22"/>
          <w:szCs w:val="22"/>
          <w:lang w:eastAsia="ar-SA"/>
        </w:rPr>
      </w:pPr>
      <w:r w:rsidRPr="00133811">
        <w:rPr>
          <w:rFonts w:ascii="ITC Avant Garde" w:hAnsi="ITC Avant Garde"/>
          <w:b/>
          <w:kern w:val="3"/>
          <w:sz w:val="22"/>
          <w:szCs w:val="22"/>
          <w:lang w:eastAsia="ar-SA"/>
        </w:rPr>
        <w:t>Cumplimiento de obligaciones</w:t>
      </w:r>
      <w:r w:rsidRPr="00133811">
        <w:rPr>
          <w:rFonts w:ascii="ITC Avant Garde" w:hAnsi="ITC Avant Garde"/>
          <w:kern w:val="3"/>
          <w:sz w:val="22"/>
          <w:szCs w:val="22"/>
          <w:lang w:eastAsia="ar-SA"/>
        </w:rPr>
        <w:t xml:space="preserve">. </w:t>
      </w:r>
      <w:r w:rsidRPr="00133811">
        <w:rPr>
          <w:rFonts w:ascii="ITC Avant Garde" w:hAnsi="ITC Avant Garde"/>
          <w:sz w:val="22"/>
          <w:szCs w:val="22"/>
          <w:lang w:eastAsia="ar-SA"/>
        </w:rPr>
        <w:t xml:space="preserve">Mediante el oficio </w:t>
      </w:r>
      <w:r w:rsidRPr="00F80E4F">
        <w:rPr>
          <w:rFonts w:ascii="ITC Avant Garde" w:hAnsi="ITC Avant Garde"/>
          <w:kern w:val="1"/>
          <w:sz w:val="22"/>
          <w:szCs w:val="22"/>
          <w:lang w:eastAsia="ar-SA"/>
        </w:rPr>
        <w:t>IFT/225/UC/DG-SUV/</w:t>
      </w:r>
      <w:r w:rsidR="007B4259">
        <w:rPr>
          <w:rFonts w:ascii="ITC Avant Garde" w:hAnsi="ITC Avant Garde"/>
          <w:kern w:val="1"/>
          <w:sz w:val="22"/>
          <w:szCs w:val="22"/>
          <w:lang w:eastAsia="ar-SA"/>
        </w:rPr>
        <w:t>1387</w:t>
      </w:r>
      <w:r w:rsidRPr="00E732FD">
        <w:rPr>
          <w:rFonts w:ascii="ITC Avant Garde" w:hAnsi="ITC Avant Garde"/>
          <w:kern w:val="1"/>
          <w:sz w:val="22"/>
          <w:szCs w:val="22"/>
          <w:lang w:eastAsia="ar-SA"/>
        </w:rPr>
        <w:t>/</w:t>
      </w:r>
      <w:r w:rsidR="007B4259">
        <w:rPr>
          <w:rFonts w:ascii="ITC Avant Garde" w:hAnsi="ITC Avant Garde"/>
          <w:kern w:val="1"/>
          <w:sz w:val="22"/>
          <w:szCs w:val="22"/>
          <w:lang w:eastAsia="ar-SA"/>
        </w:rPr>
        <w:t>2017</w:t>
      </w:r>
      <w:r w:rsidRPr="00F80E4F">
        <w:rPr>
          <w:rFonts w:ascii="ITC Avant Garde" w:hAnsi="ITC Avant Garde"/>
          <w:kern w:val="1"/>
          <w:sz w:val="22"/>
          <w:szCs w:val="22"/>
          <w:lang w:eastAsia="ar-SA"/>
        </w:rPr>
        <w:t xml:space="preserve"> de </w:t>
      </w:r>
      <w:r w:rsidR="007B4259">
        <w:rPr>
          <w:rFonts w:ascii="ITC Avant Garde" w:hAnsi="ITC Avant Garde"/>
          <w:kern w:val="1"/>
          <w:sz w:val="22"/>
          <w:szCs w:val="22"/>
          <w:lang w:eastAsia="ar-SA"/>
        </w:rPr>
        <w:t>5 de mayo de 2017</w:t>
      </w:r>
      <w:r w:rsidRPr="00133811">
        <w:rPr>
          <w:rFonts w:ascii="ITC Avant Garde" w:hAnsi="ITC Avant Garde"/>
          <w:sz w:val="22"/>
          <w:szCs w:val="22"/>
          <w:lang w:eastAsia="ar-SA"/>
        </w:rPr>
        <w:t xml:space="preserve">, </w:t>
      </w:r>
      <w:r>
        <w:rPr>
          <w:rFonts w:ascii="ITC Avant Garde" w:hAnsi="ITC Avant Garde"/>
          <w:sz w:val="22"/>
          <w:szCs w:val="22"/>
          <w:lang w:eastAsia="ar-SA"/>
        </w:rPr>
        <w:t xml:space="preserve">la Unidad de Cumplimiento </w:t>
      </w:r>
      <w:r w:rsidRPr="00133811">
        <w:rPr>
          <w:rFonts w:ascii="ITC Avant Garde" w:hAnsi="ITC Avant Garde"/>
          <w:sz w:val="22"/>
          <w:szCs w:val="22"/>
          <w:lang w:eastAsia="ar-SA"/>
        </w:rPr>
        <w:t xml:space="preserve">remitió el dictamen como </w:t>
      </w:r>
      <w:r w:rsidRPr="00133811">
        <w:rPr>
          <w:rFonts w:ascii="ITC Avant Garde" w:hAnsi="ITC Avant Garde"/>
          <w:sz w:val="22"/>
          <w:szCs w:val="22"/>
          <w:lang w:eastAsia="ar-SA"/>
        </w:rPr>
        <w:lastRenderedPageBreak/>
        <w:t>resultado de la revisión documental del cumplimiento de las obligaciones practicada al ex</w:t>
      </w:r>
      <w:r>
        <w:rPr>
          <w:rFonts w:ascii="ITC Avant Garde" w:hAnsi="ITC Avant Garde"/>
          <w:sz w:val="22"/>
          <w:szCs w:val="22"/>
          <w:lang w:eastAsia="ar-SA"/>
        </w:rPr>
        <w:t xml:space="preserve">pediente del Concesionario, </w:t>
      </w:r>
      <w:r w:rsidRPr="00133811">
        <w:rPr>
          <w:rFonts w:ascii="ITC Avant Garde" w:hAnsi="ITC Avant Garde"/>
          <w:sz w:val="22"/>
          <w:szCs w:val="22"/>
          <w:lang w:eastAsia="ar-SA"/>
        </w:rPr>
        <w:t xml:space="preserve">en </w:t>
      </w:r>
      <w:r>
        <w:rPr>
          <w:rFonts w:ascii="ITC Avant Garde" w:hAnsi="ITC Avant Garde"/>
          <w:sz w:val="22"/>
          <w:szCs w:val="22"/>
          <w:lang w:eastAsia="ar-SA"/>
        </w:rPr>
        <w:t xml:space="preserve">el </w:t>
      </w:r>
      <w:r w:rsidRPr="00133811">
        <w:rPr>
          <w:rFonts w:ascii="ITC Avant Garde" w:hAnsi="ITC Avant Garde"/>
          <w:sz w:val="22"/>
          <w:szCs w:val="22"/>
          <w:lang w:eastAsia="ar-SA"/>
        </w:rPr>
        <w:t>que se advierte que a la fecha en la cual se emiti</w:t>
      </w:r>
      <w:r>
        <w:rPr>
          <w:rFonts w:ascii="ITC Avant Garde" w:hAnsi="ITC Avant Garde"/>
          <w:sz w:val="22"/>
          <w:szCs w:val="22"/>
          <w:lang w:eastAsia="ar-SA"/>
        </w:rPr>
        <w:t>ó</w:t>
      </w:r>
      <w:r w:rsidRPr="00133811">
        <w:rPr>
          <w:rFonts w:ascii="ITC Avant Garde" w:hAnsi="ITC Avant Garde"/>
          <w:sz w:val="22"/>
          <w:szCs w:val="22"/>
          <w:lang w:eastAsia="ar-SA"/>
        </w:rPr>
        <w:t xml:space="preserve"> </w:t>
      </w:r>
      <w:r>
        <w:rPr>
          <w:rFonts w:ascii="ITC Avant Garde" w:hAnsi="ITC Avant Garde"/>
          <w:sz w:val="22"/>
          <w:szCs w:val="22"/>
          <w:lang w:eastAsia="ar-SA"/>
        </w:rPr>
        <w:t>el</w:t>
      </w:r>
      <w:r w:rsidRPr="00133811">
        <w:rPr>
          <w:rFonts w:ascii="ITC Avant Garde" w:hAnsi="ITC Avant Garde"/>
          <w:sz w:val="22"/>
          <w:szCs w:val="22"/>
          <w:lang w:eastAsia="ar-SA"/>
        </w:rPr>
        <w:t xml:space="preserve"> mismo, </w:t>
      </w:r>
      <w:r>
        <w:rPr>
          <w:rFonts w:ascii="ITC Avant Garde" w:hAnsi="ITC Avant Garde"/>
          <w:sz w:val="22"/>
          <w:szCs w:val="22"/>
          <w:lang w:eastAsia="ar-SA"/>
        </w:rPr>
        <w:t>el</w:t>
      </w:r>
      <w:r w:rsidRPr="00133811">
        <w:rPr>
          <w:rFonts w:ascii="ITC Avant Garde" w:hAnsi="ITC Avant Garde"/>
          <w:sz w:val="22"/>
          <w:szCs w:val="22"/>
          <w:lang w:eastAsia="ar-SA"/>
        </w:rPr>
        <w:t xml:space="preserve"> Concesionario</w:t>
      </w:r>
      <w:r w:rsidR="00A02D23">
        <w:rPr>
          <w:rFonts w:ascii="ITC Avant Garde" w:hAnsi="ITC Avant Garde"/>
          <w:sz w:val="22"/>
          <w:szCs w:val="22"/>
          <w:lang w:eastAsia="ar-SA"/>
        </w:rPr>
        <w:t xml:space="preserve"> </w:t>
      </w:r>
      <w:r w:rsidR="00A02D23" w:rsidRPr="00133811">
        <w:rPr>
          <w:rFonts w:ascii="ITC Avant Garde" w:hAnsi="ITC Avant Garde"/>
          <w:sz w:val="22"/>
          <w:szCs w:val="22"/>
          <w:lang w:eastAsia="ar-SA"/>
        </w:rPr>
        <w:t>acredit</w:t>
      </w:r>
      <w:r w:rsidR="00A02D23">
        <w:rPr>
          <w:rFonts w:ascii="ITC Avant Garde" w:hAnsi="ITC Avant Garde"/>
          <w:sz w:val="22"/>
          <w:szCs w:val="22"/>
          <w:lang w:eastAsia="ar-SA"/>
        </w:rPr>
        <w:t>ó</w:t>
      </w:r>
      <w:r w:rsidR="00A02D23" w:rsidRPr="00133811">
        <w:rPr>
          <w:rFonts w:ascii="ITC Avant Garde" w:hAnsi="ITC Avant Garde"/>
          <w:sz w:val="22"/>
          <w:szCs w:val="22"/>
          <w:lang w:eastAsia="ar-SA"/>
        </w:rPr>
        <w:t xml:space="preserve"> la prestación del servicio de radiodifusión y el aprovechamiento de las bandas de frecuencias concesionadas en la poblaci</w:t>
      </w:r>
      <w:r w:rsidR="00A02D23">
        <w:rPr>
          <w:rFonts w:ascii="ITC Avant Garde" w:hAnsi="ITC Avant Garde"/>
          <w:sz w:val="22"/>
          <w:szCs w:val="22"/>
          <w:lang w:eastAsia="ar-SA"/>
        </w:rPr>
        <w:t>ón</w:t>
      </w:r>
      <w:r w:rsidR="00A02D23" w:rsidRPr="00133811">
        <w:rPr>
          <w:rFonts w:ascii="ITC Avant Garde" w:hAnsi="ITC Avant Garde"/>
          <w:sz w:val="22"/>
          <w:szCs w:val="22"/>
          <w:lang w:eastAsia="ar-SA"/>
        </w:rPr>
        <w:t xml:space="preserve"> principal a servir</w:t>
      </w:r>
      <w:r w:rsidR="00A02D23">
        <w:rPr>
          <w:rFonts w:ascii="ITC Avant Garde" w:hAnsi="ITC Avant Garde"/>
          <w:sz w:val="22"/>
          <w:szCs w:val="22"/>
          <w:lang w:eastAsia="ar-SA"/>
        </w:rPr>
        <w:t xml:space="preserve">. </w:t>
      </w:r>
    </w:p>
    <w:p w14:paraId="01E45430" w14:textId="77777777" w:rsidR="00C55FC8" w:rsidRDefault="00A02D23" w:rsidP="00C55FC8">
      <w:pPr>
        <w:pStyle w:val="Prrafodelista"/>
        <w:autoSpaceDE w:val="0"/>
        <w:autoSpaceDN w:val="0"/>
        <w:spacing w:afterLines="120" w:after="288" w:line="276" w:lineRule="auto"/>
        <w:ind w:left="499" w:right="45"/>
        <w:jc w:val="both"/>
        <w:textAlignment w:val="baseline"/>
        <w:rPr>
          <w:rFonts w:ascii="ITC Avant Garde" w:hAnsi="ITC Avant Garde"/>
          <w:sz w:val="22"/>
          <w:szCs w:val="22"/>
          <w:lang w:eastAsia="ar-SA"/>
        </w:rPr>
      </w:pPr>
      <w:r>
        <w:rPr>
          <w:rFonts w:ascii="ITC Avant Garde" w:hAnsi="ITC Avant Garde"/>
          <w:sz w:val="22"/>
          <w:szCs w:val="22"/>
          <w:lang w:eastAsia="ar-SA"/>
        </w:rPr>
        <w:t xml:space="preserve">Sin embargo, </w:t>
      </w:r>
      <w:r w:rsidR="00A119D5">
        <w:rPr>
          <w:rFonts w:ascii="ITC Avant Garde" w:hAnsi="ITC Avant Garde"/>
          <w:sz w:val="22"/>
          <w:szCs w:val="22"/>
          <w:lang w:eastAsia="ar-SA"/>
        </w:rPr>
        <w:t>en</w:t>
      </w:r>
      <w:r>
        <w:rPr>
          <w:rFonts w:ascii="ITC Avant Garde" w:hAnsi="ITC Avant Garde"/>
          <w:sz w:val="22"/>
          <w:szCs w:val="22"/>
          <w:lang w:eastAsia="ar-SA"/>
        </w:rPr>
        <w:t xml:space="preserve"> dicho dictamen </w:t>
      </w:r>
      <w:r w:rsidR="00A119D5">
        <w:rPr>
          <w:rFonts w:ascii="ITC Avant Garde" w:hAnsi="ITC Avant Garde"/>
          <w:sz w:val="22"/>
          <w:szCs w:val="22"/>
          <w:lang w:eastAsia="ar-SA"/>
        </w:rPr>
        <w:t>la Unidad de Cumplimiento señaló</w:t>
      </w:r>
      <w:r>
        <w:rPr>
          <w:rFonts w:ascii="ITC Avant Garde" w:hAnsi="ITC Avant Garde"/>
          <w:sz w:val="22"/>
          <w:szCs w:val="22"/>
          <w:lang w:eastAsia="ar-SA"/>
        </w:rPr>
        <w:t xml:space="preserve"> que el Concesionario presenta diversos incumplim</w:t>
      </w:r>
      <w:r w:rsidR="00A119D5">
        <w:rPr>
          <w:rFonts w:ascii="ITC Avant Garde" w:hAnsi="ITC Avant Garde"/>
          <w:sz w:val="22"/>
          <w:szCs w:val="22"/>
          <w:lang w:eastAsia="ar-SA"/>
        </w:rPr>
        <w:t>ientos, en específico:</w:t>
      </w:r>
      <w:r>
        <w:rPr>
          <w:rFonts w:ascii="ITC Avant Garde" w:hAnsi="ITC Avant Garde"/>
          <w:sz w:val="22"/>
          <w:szCs w:val="22"/>
          <w:lang w:eastAsia="ar-SA"/>
        </w:rPr>
        <w:t xml:space="preserve"> </w:t>
      </w:r>
      <w:r w:rsidR="00A119D5">
        <w:rPr>
          <w:rFonts w:ascii="ITC Avant Garde" w:hAnsi="ITC Avant Garde"/>
          <w:sz w:val="22"/>
          <w:szCs w:val="22"/>
          <w:lang w:eastAsia="ar-SA"/>
        </w:rPr>
        <w:t xml:space="preserve">la omisión de </w:t>
      </w:r>
      <w:r>
        <w:rPr>
          <w:rFonts w:ascii="ITC Avant Garde" w:hAnsi="ITC Avant Garde"/>
          <w:sz w:val="22"/>
          <w:szCs w:val="22"/>
          <w:lang w:eastAsia="ar-SA"/>
        </w:rPr>
        <w:t>presentar</w:t>
      </w:r>
      <w:r w:rsidR="00723211">
        <w:rPr>
          <w:rFonts w:ascii="ITC Avant Garde" w:hAnsi="ITC Avant Garde"/>
          <w:sz w:val="22"/>
          <w:szCs w:val="22"/>
          <w:lang w:eastAsia="ar-SA"/>
        </w:rPr>
        <w:t xml:space="preserve"> la propuesta del responsable técnico, el informe sobre las labores de investigación y desarrollo correspondiente al año 2014, la información técnica, legal y programática (ITLP) correspondiente al año fiscal 2015</w:t>
      </w:r>
      <w:r w:rsidR="00A119D5">
        <w:rPr>
          <w:rFonts w:ascii="ITC Avant Garde" w:hAnsi="ITC Avant Garde"/>
          <w:sz w:val="22"/>
          <w:szCs w:val="22"/>
          <w:lang w:eastAsia="ar-SA"/>
        </w:rPr>
        <w:t>,</w:t>
      </w:r>
      <w:r w:rsidR="00723211">
        <w:rPr>
          <w:rFonts w:ascii="ITC Avant Garde" w:hAnsi="ITC Avant Garde"/>
          <w:sz w:val="22"/>
          <w:szCs w:val="22"/>
          <w:lang w:eastAsia="ar-SA"/>
        </w:rPr>
        <w:t xml:space="preserve"> el comprobante de pago de derechos por </w:t>
      </w:r>
      <w:r w:rsidR="00A119D5">
        <w:rPr>
          <w:rFonts w:ascii="ITC Avant Garde" w:hAnsi="ITC Avant Garde"/>
          <w:sz w:val="22"/>
          <w:szCs w:val="22"/>
          <w:lang w:eastAsia="ar-SA"/>
        </w:rPr>
        <w:t xml:space="preserve">el uso de </w:t>
      </w:r>
      <w:r w:rsidR="00723211">
        <w:rPr>
          <w:rFonts w:ascii="ITC Avant Garde" w:hAnsi="ITC Avant Garde"/>
          <w:sz w:val="22"/>
          <w:szCs w:val="22"/>
          <w:lang w:eastAsia="ar-SA"/>
        </w:rPr>
        <w:t>las frecu</w:t>
      </w:r>
      <w:r w:rsidR="00A119D5">
        <w:rPr>
          <w:rFonts w:ascii="ITC Avant Garde" w:hAnsi="ITC Avant Garde"/>
          <w:sz w:val="22"/>
          <w:szCs w:val="22"/>
          <w:lang w:eastAsia="ar-SA"/>
        </w:rPr>
        <w:t>encias auxiliares 228.150 y 227.</w:t>
      </w:r>
      <w:r w:rsidR="00723211">
        <w:rPr>
          <w:rFonts w:ascii="ITC Avant Garde" w:hAnsi="ITC Avant Garde"/>
          <w:sz w:val="22"/>
          <w:szCs w:val="22"/>
          <w:lang w:eastAsia="ar-SA"/>
        </w:rPr>
        <w:t>025 para el año 2017, la actualización de la garantía (fianza) de cumplimiento de obligaciones derivadas del título de refrendo de concesión para el 2017 y el formato de la estructura accionaria o de partes sociales correspondientes al año 2016</w:t>
      </w:r>
      <w:r w:rsidR="00A119D5">
        <w:rPr>
          <w:rFonts w:ascii="ITC Avant Garde" w:hAnsi="ITC Avant Garde"/>
          <w:sz w:val="22"/>
          <w:szCs w:val="22"/>
          <w:lang w:eastAsia="ar-SA"/>
        </w:rPr>
        <w:t>.</w:t>
      </w:r>
    </w:p>
    <w:p w14:paraId="1F3E0E2D" w14:textId="77777777" w:rsidR="00C55FC8" w:rsidRDefault="00A119D5" w:rsidP="00C55FC8">
      <w:pPr>
        <w:pStyle w:val="Prrafodelista"/>
        <w:autoSpaceDN w:val="0"/>
        <w:spacing w:afterLines="120" w:after="288" w:line="276" w:lineRule="auto"/>
        <w:ind w:left="499" w:right="45"/>
        <w:jc w:val="both"/>
        <w:textAlignment w:val="baseline"/>
        <w:rPr>
          <w:rFonts w:ascii="ITC Avant Garde" w:hAnsi="ITC Avant Garde"/>
          <w:sz w:val="22"/>
          <w:szCs w:val="22"/>
          <w:lang w:eastAsia="ar-SA"/>
        </w:rPr>
      </w:pPr>
      <w:r>
        <w:rPr>
          <w:rFonts w:ascii="ITC Avant Garde" w:hAnsi="ITC Avant Garde"/>
          <w:sz w:val="22"/>
          <w:szCs w:val="22"/>
          <w:lang w:eastAsia="ar-SA"/>
        </w:rPr>
        <w:t>R</w:t>
      </w:r>
      <w:r w:rsidRPr="00A119D5">
        <w:rPr>
          <w:rFonts w:ascii="ITC Avant Garde" w:hAnsi="ITC Avant Garde"/>
          <w:sz w:val="22"/>
          <w:szCs w:val="22"/>
          <w:lang w:eastAsia="ar-SA"/>
        </w:rPr>
        <w:t>especto a la omisión de presentar la propuesta del responsable técnico, el informe sobre las labores de investigación y desarrollo correspondiente al año 2014, la información técnica, legal y programática (ITLP) correspondiente al año fiscal 2015, la actualización de la garantía (fianza) de cumplimiento de obligaciones derivadas del título de refrendo de concesión para el 2017 y el formato de la estructura accionaria o de partes sociales correspondientes al año 2016; se concluye que si bien es cierto no se acreditó lo referido, esto deviene de la presentación documental respecto de ciertas obligaciones que no ponen en riesgo o afecta</w:t>
      </w:r>
      <w:r>
        <w:rPr>
          <w:rFonts w:ascii="ITC Avant Garde" w:hAnsi="ITC Avant Garde"/>
          <w:sz w:val="22"/>
          <w:szCs w:val="22"/>
          <w:lang w:eastAsia="ar-SA"/>
        </w:rPr>
        <w:t>n</w:t>
      </w:r>
      <w:r w:rsidRPr="00A119D5">
        <w:rPr>
          <w:rFonts w:ascii="ITC Avant Garde" w:hAnsi="ITC Avant Garde"/>
          <w:sz w:val="22"/>
          <w:szCs w:val="22"/>
          <w:lang w:eastAsia="ar-SA"/>
        </w:rPr>
        <w:t xml:space="preserve"> la prestación de los servicios de radiodifusión que ofrece el Concesionario. Lo anterior es así, toda vez que se trata de obligaci</w:t>
      </w:r>
      <w:r>
        <w:rPr>
          <w:rFonts w:ascii="ITC Avant Garde" w:hAnsi="ITC Avant Garde"/>
          <w:sz w:val="22"/>
          <w:szCs w:val="22"/>
          <w:lang w:eastAsia="ar-SA"/>
        </w:rPr>
        <w:t>ones</w:t>
      </w:r>
      <w:r w:rsidRPr="00A119D5">
        <w:rPr>
          <w:rFonts w:ascii="ITC Avant Garde" w:hAnsi="ITC Avant Garde"/>
          <w:sz w:val="22"/>
          <w:szCs w:val="22"/>
          <w:lang w:eastAsia="ar-SA"/>
        </w:rPr>
        <w:t xml:space="preserve"> documental</w:t>
      </w:r>
      <w:r>
        <w:rPr>
          <w:rFonts w:ascii="ITC Avant Garde" w:hAnsi="ITC Avant Garde"/>
          <w:sz w:val="22"/>
          <w:szCs w:val="22"/>
          <w:lang w:eastAsia="ar-SA"/>
        </w:rPr>
        <w:t>es</w:t>
      </w:r>
      <w:r w:rsidRPr="00A119D5">
        <w:rPr>
          <w:rFonts w:ascii="ITC Avant Garde" w:hAnsi="ITC Avant Garde"/>
          <w:sz w:val="22"/>
          <w:szCs w:val="22"/>
          <w:lang w:eastAsia="ar-SA"/>
        </w:rPr>
        <w:t xml:space="preserve">, por lo que si su inobservancia motivase la negativa de la solicitud de referencia resultaría en una consecuencia </w:t>
      </w:r>
      <w:r w:rsidRPr="00DC58AA">
        <w:rPr>
          <w:rFonts w:ascii="ITC Avant Garde" w:hAnsi="ITC Avant Garde"/>
          <w:sz w:val="22"/>
          <w:szCs w:val="22"/>
          <w:lang w:eastAsia="ar-SA"/>
        </w:rPr>
        <w:t>desmedida, pues el objeto de la Concesión es la prestación de un servicio de interés general en condiciones de continuidad, carácter inherente al servicio de radiodifusión en términos del artículo 6º constitucional.</w:t>
      </w:r>
    </w:p>
    <w:p w14:paraId="20E01AFF" w14:textId="77777777" w:rsidR="00C55FC8" w:rsidRDefault="00DC58AA" w:rsidP="00C55FC8">
      <w:pPr>
        <w:pStyle w:val="Prrafodelista"/>
        <w:autoSpaceDE w:val="0"/>
        <w:autoSpaceDN w:val="0"/>
        <w:spacing w:afterLines="120" w:after="288" w:line="276" w:lineRule="auto"/>
        <w:ind w:left="499" w:right="45"/>
        <w:jc w:val="both"/>
        <w:textAlignment w:val="baseline"/>
        <w:rPr>
          <w:rFonts w:ascii="ITC Avant Garde" w:hAnsi="ITC Avant Garde"/>
          <w:sz w:val="22"/>
          <w:szCs w:val="22"/>
          <w:lang w:eastAsia="ar-SA"/>
        </w:rPr>
      </w:pPr>
      <w:r w:rsidRPr="00DC58AA">
        <w:rPr>
          <w:rFonts w:ascii="ITC Avant Garde" w:hAnsi="ITC Avant Garde"/>
          <w:sz w:val="22"/>
          <w:szCs w:val="22"/>
          <w:lang w:eastAsia="ar-SA"/>
        </w:rPr>
        <w:t>Por otra parte, por lo que se refiere</w:t>
      </w:r>
      <w:r w:rsidRPr="00DC58AA">
        <w:rPr>
          <w:rFonts w:ascii="ITC Avant Garde" w:eastAsiaTheme="minorHAnsi" w:hAnsi="ITC Avant Garde" w:cstheme="minorBidi"/>
          <w:sz w:val="22"/>
          <w:szCs w:val="22"/>
          <w:lang w:eastAsia="ar-SA"/>
        </w:rPr>
        <w:t xml:space="preserve"> a la falta de exhibición d</w:t>
      </w:r>
      <w:r w:rsidRPr="00DC58AA">
        <w:rPr>
          <w:rFonts w:ascii="ITC Avant Garde" w:hAnsi="ITC Avant Garde"/>
          <w:sz w:val="22"/>
          <w:szCs w:val="22"/>
          <w:lang w:eastAsia="ar-SA"/>
        </w:rPr>
        <w:t>el comprobante de pago de derechos por el uso de las frecuencias auxiliares 228.150 y 227.025 para el año 2017</w:t>
      </w:r>
      <w:r w:rsidR="00674376" w:rsidRPr="00DC58AA">
        <w:rPr>
          <w:rFonts w:ascii="ITC Avant Garde" w:hAnsi="ITC Avant Garde"/>
          <w:sz w:val="22"/>
          <w:szCs w:val="22"/>
          <w:lang w:eastAsia="ar-SA"/>
        </w:rPr>
        <w:t xml:space="preserve">, </w:t>
      </w:r>
      <w:r w:rsidRPr="00DC58AA">
        <w:rPr>
          <w:rFonts w:ascii="ITC Avant Garde" w:hAnsi="ITC Avant Garde"/>
          <w:sz w:val="22"/>
          <w:szCs w:val="22"/>
          <w:lang w:eastAsia="ar-SA"/>
        </w:rPr>
        <w:t xml:space="preserve">es de hacer notar que </w:t>
      </w:r>
      <w:r w:rsidR="00674376" w:rsidRPr="00DC58AA">
        <w:rPr>
          <w:rFonts w:ascii="ITC Avant Garde" w:hAnsi="ITC Avant Garde"/>
          <w:sz w:val="22"/>
          <w:szCs w:val="22"/>
          <w:lang w:eastAsia="ar-SA"/>
        </w:rPr>
        <w:t>en términos del artículo 21 del Código Fiscal de la Federación, dichas contribuciones podrán ser cubiertas fuera del plazo fijado, lo que implicará una actualización en el monto a pagar desde el mes en que debió hacerse el pago y hasta que el mismo se efectúe, además deberán pagarse recargos por concepto de indemnización al fisco federal por la falta de pago oportuno. Lo anterior, sin perjuicio del entero que el concesionario deberá pagar por la contraprestación motivo de la prórroga de vigencia de la concesión.</w:t>
      </w:r>
    </w:p>
    <w:p w14:paraId="35360D6A" w14:textId="77777777" w:rsidR="00C55FC8" w:rsidRDefault="00674376" w:rsidP="00C55FC8">
      <w:pPr>
        <w:pStyle w:val="Prrafodelista"/>
        <w:autoSpaceDE w:val="0"/>
        <w:autoSpaceDN w:val="0"/>
        <w:spacing w:afterLines="120" w:after="288" w:line="276" w:lineRule="auto"/>
        <w:ind w:left="499" w:right="45"/>
        <w:jc w:val="both"/>
        <w:textAlignment w:val="baseline"/>
        <w:rPr>
          <w:rFonts w:ascii="ITC Avant Garde" w:hAnsi="ITC Avant Garde"/>
          <w:sz w:val="22"/>
          <w:szCs w:val="22"/>
          <w:lang w:eastAsia="ar-SA"/>
        </w:rPr>
      </w:pPr>
      <w:r w:rsidRPr="00DC58AA">
        <w:rPr>
          <w:rFonts w:ascii="ITC Avant Garde" w:hAnsi="ITC Avant Garde"/>
          <w:sz w:val="22"/>
          <w:szCs w:val="22"/>
          <w:lang w:eastAsia="ar-SA"/>
        </w:rPr>
        <w:lastRenderedPageBreak/>
        <w:t>Por lo tanto, toda vez que el Código Fiscal de la Federación prevé la posibilidad de realizar el pago de las contraprestaciones fuera de las fechas o plazos establecidos, a juicio de esta autoridad el pago de derechos por el uso de servicios auxiliares se trata de una obligación que puede ser normalizada por el concesionario que se indica y, en ese sentido, no debería traer como consecue</w:t>
      </w:r>
      <w:r w:rsidR="00DC58AA" w:rsidRPr="00DC58AA">
        <w:rPr>
          <w:rFonts w:ascii="ITC Avant Garde" w:hAnsi="ITC Avant Garde"/>
          <w:sz w:val="22"/>
          <w:szCs w:val="22"/>
          <w:lang w:eastAsia="ar-SA"/>
        </w:rPr>
        <w:t xml:space="preserve">ncia la negativa de la prórroga, pues ello resultaría excesivo tratándose de </w:t>
      </w:r>
      <w:r w:rsidRPr="00DC58AA">
        <w:rPr>
          <w:rFonts w:ascii="ITC Avant Garde" w:hAnsi="ITC Avant Garde"/>
          <w:sz w:val="22"/>
          <w:szCs w:val="22"/>
          <w:lang w:eastAsia="ar-SA"/>
        </w:rPr>
        <w:t>obligaciones rectificables.</w:t>
      </w:r>
    </w:p>
    <w:p w14:paraId="18A9FDF5" w14:textId="77777777" w:rsidR="00C55FC8" w:rsidRDefault="00674376" w:rsidP="00C55FC8">
      <w:pPr>
        <w:pStyle w:val="Prrafodelista"/>
        <w:autoSpaceDE w:val="0"/>
        <w:autoSpaceDN w:val="0"/>
        <w:spacing w:afterLines="120" w:after="288" w:line="276" w:lineRule="auto"/>
        <w:ind w:left="499" w:right="45"/>
        <w:jc w:val="both"/>
        <w:textAlignment w:val="baseline"/>
        <w:rPr>
          <w:rFonts w:ascii="ITC Avant Garde" w:hAnsi="ITC Avant Garde"/>
          <w:sz w:val="22"/>
          <w:szCs w:val="22"/>
          <w:lang w:eastAsia="ar-SA"/>
        </w:rPr>
      </w:pPr>
      <w:r w:rsidRPr="00DC58AA">
        <w:rPr>
          <w:rFonts w:ascii="ITC Avant Garde" w:hAnsi="ITC Avant Garde"/>
          <w:sz w:val="22"/>
          <w:szCs w:val="22"/>
          <w:lang w:eastAsia="ar-SA"/>
        </w:rPr>
        <w:t xml:space="preserve">En </w:t>
      </w:r>
      <w:r w:rsidR="00DC58AA">
        <w:rPr>
          <w:rFonts w:ascii="ITC Avant Garde" w:hAnsi="ITC Avant Garde"/>
          <w:sz w:val="22"/>
          <w:szCs w:val="22"/>
          <w:lang w:eastAsia="ar-SA"/>
        </w:rPr>
        <w:t>razón de lo anterior</w:t>
      </w:r>
      <w:r w:rsidRPr="00DC58AA">
        <w:rPr>
          <w:rFonts w:ascii="ITC Avant Garde" w:hAnsi="ITC Avant Garde"/>
          <w:sz w:val="22"/>
          <w:szCs w:val="22"/>
          <w:lang w:eastAsia="ar-SA"/>
        </w:rPr>
        <w:t xml:space="preserve">, este Pleno considera </w:t>
      </w:r>
      <w:proofErr w:type="gramStart"/>
      <w:r w:rsidRPr="00DC58AA">
        <w:rPr>
          <w:rFonts w:ascii="ITC Avant Garde" w:hAnsi="ITC Avant Garde"/>
          <w:sz w:val="22"/>
          <w:szCs w:val="22"/>
          <w:lang w:eastAsia="ar-SA"/>
        </w:rPr>
        <w:t>que</w:t>
      </w:r>
      <w:proofErr w:type="gramEnd"/>
      <w:r w:rsidRPr="00DC58AA">
        <w:rPr>
          <w:rFonts w:ascii="ITC Avant Garde" w:hAnsi="ITC Avant Garde"/>
          <w:sz w:val="22"/>
          <w:szCs w:val="22"/>
          <w:lang w:eastAsia="ar-SA"/>
        </w:rPr>
        <w:t xml:space="preserve"> si bien el dictamen de obligaciones emitido por la Unidad de Cumplimiento hace constar que el Concesionario no present</w:t>
      </w:r>
      <w:r w:rsidR="00DC58AA">
        <w:rPr>
          <w:rFonts w:ascii="ITC Avant Garde" w:hAnsi="ITC Avant Garde"/>
          <w:sz w:val="22"/>
          <w:szCs w:val="22"/>
          <w:lang w:eastAsia="ar-SA"/>
        </w:rPr>
        <w:t xml:space="preserve">ó </w:t>
      </w:r>
      <w:r w:rsidRPr="00DC58AA">
        <w:rPr>
          <w:rFonts w:ascii="ITC Avant Garde" w:hAnsi="ITC Avant Garde"/>
          <w:sz w:val="22"/>
          <w:szCs w:val="22"/>
          <w:lang w:eastAsia="ar-SA"/>
        </w:rPr>
        <w:t>algunas de sus obligaciones, éstas no se consideran motivo suficiente para negar la pr</w:t>
      </w:r>
      <w:r w:rsidR="003A127A">
        <w:rPr>
          <w:rFonts w:ascii="ITC Avant Garde" w:hAnsi="ITC Avant Garde"/>
          <w:sz w:val="22"/>
          <w:szCs w:val="22"/>
          <w:lang w:eastAsia="ar-SA"/>
        </w:rPr>
        <w:t>ó</w:t>
      </w:r>
      <w:r w:rsidRPr="00DC58AA">
        <w:rPr>
          <w:rFonts w:ascii="ITC Avant Garde" w:hAnsi="ITC Avant Garde"/>
          <w:sz w:val="22"/>
          <w:szCs w:val="22"/>
          <w:lang w:eastAsia="ar-SA"/>
        </w:rPr>
        <w:t>rroga solicitada.</w:t>
      </w:r>
    </w:p>
    <w:p w14:paraId="744E4D7D" w14:textId="77777777" w:rsidR="00C55FC8" w:rsidRDefault="00674376" w:rsidP="00C55FC8">
      <w:pPr>
        <w:pStyle w:val="Prrafodelista"/>
        <w:autoSpaceDE w:val="0"/>
        <w:autoSpaceDN w:val="0"/>
        <w:spacing w:afterLines="120" w:after="288" w:line="276" w:lineRule="auto"/>
        <w:ind w:left="499" w:right="45"/>
        <w:jc w:val="both"/>
        <w:textAlignment w:val="baseline"/>
        <w:rPr>
          <w:rFonts w:ascii="ITC Avant Garde" w:hAnsi="ITC Avant Garde"/>
          <w:sz w:val="22"/>
          <w:szCs w:val="22"/>
          <w:lang w:eastAsia="ar-SA"/>
        </w:rPr>
      </w:pPr>
      <w:r w:rsidRPr="00DC58AA">
        <w:rPr>
          <w:rFonts w:ascii="ITC Avant Garde" w:hAnsi="ITC Avant Garde"/>
          <w:sz w:val="22"/>
          <w:szCs w:val="22"/>
          <w:lang w:eastAsia="ar-SA"/>
        </w:rPr>
        <w:t xml:space="preserve">A este respecto, esta autoridad considera importante señalar que la resolución favorable de la prórroga, no exime al </w:t>
      </w:r>
      <w:r w:rsidR="00A02D23" w:rsidRPr="00DC58AA">
        <w:rPr>
          <w:rFonts w:ascii="ITC Avant Garde" w:hAnsi="ITC Avant Garde"/>
          <w:sz w:val="22"/>
          <w:szCs w:val="22"/>
          <w:lang w:eastAsia="ar-SA"/>
        </w:rPr>
        <w:t>C</w:t>
      </w:r>
      <w:r w:rsidRPr="00DC58AA">
        <w:rPr>
          <w:rFonts w:ascii="ITC Avant Garde" w:hAnsi="ITC Avant Garde"/>
          <w:sz w:val="22"/>
          <w:szCs w:val="22"/>
          <w:lang w:eastAsia="ar-SA"/>
        </w:rPr>
        <w:t>oncesionario del cumplimiento de las obligaciones originadas durante la vigencia de la concesi</w:t>
      </w:r>
      <w:r w:rsidR="00A02D23" w:rsidRPr="00DC58AA">
        <w:rPr>
          <w:rFonts w:ascii="ITC Avant Garde" w:hAnsi="ITC Avant Garde"/>
          <w:sz w:val="22"/>
          <w:szCs w:val="22"/>
          <w:lang w:eastAsia="ar-SA"/>
        </w:rPr>
        <w:t>ón</w:t>
      </w:r>
      <w:r w:rsidRPr="00DC58AA">
        <w:rPr>
          <w:rFonts w:ascii="ITC Avant Garde" w:hAnsi="ITC Avant Garde"/>
          <w:sz w:val="22"/>
          <w:szCs w:val="22"/>
          <w:lang w:eastAsia="ar-SA"/>
        </w:rPr>
        <w:t xml:space="preserve"> objeto de prórroga o de las responsabilidades en que hubiere incurrido </w:t>
      </w:r>
      <w:r w:rsidR="00A02D23" w:rsidRPr="00DC58AA">
        <w:rPr>
          <w:rFonts w:ascii="ITC Avant Garde" w:hAnsi="ITC Avant Garde"/>
          <w:sz w:val="22"/>
          <w:szCs w:val="22"/>
          <w:lang w:eastAsia="ar-SA"/>
        </w:rPr>
        <w:t>el</w:t>
      </w:r>
      <w:r w:rsidRPr="00DC58AA">
        <w:rPr>
          <w:rFonts w:ascii="ITC Avant Garde" w:hAnsi="ITC Avant Garde"/>
          <w:sz w:val="22"/>
          <w:szCs w:val="22"/>
          <w:lang w:eastAsia="ar-SA"/>
        </w:rPr>
        <w:t xml:space="preserve"> Concesionario con motivo del incumplimiento a las condiciones establecidas en las disposiciones legales, fiscales o administrativas, incluidas las contenidas en </w:t>
      </w:r>
      <w:r w:rsidR="00A02D23" w:rsidRPr="00DC58AA">
        <w:rPr>
          <w:rFonts w:ascii="ITC Avant Garde" w:hAnsi="ITC Avant Garde"/>
          <w:sz w:val="22"/>
          <w:szCs w:val="22"/>
          <w:lang w:eastAsia="ar-SA"/>
        </w:rPr>
        <w:t>el</w:t>
      </w:r>
      <w:r w:rsidRPr="00DC58AA">
        <w:rPr>
          <w:rFonts w:ascii="ITC Avant Garde" w:hAnsi="ITC Avant Garde"/>
          <w:sz w:val="22"/>
          <w:szCs w:val="22"/>
          <w:lang w:eastAsia="ar-SA"/>
        </w:rPr>
        <w:t xml:space="preserve"> título de concesión en comento.</w:t>
      </w:r>
    </w:p>
    <w:p w14:paraId="3BE69DA2" w14:textId="77777777" w:rsidR="00C55FC8" w:rsidRDefault="007336E4" w:rsidP="00C55FC8">
      <w:pPr>
        <w:pStyle w:val="Prrafodelista"/>
        <w:numPr>
          <w:ilvl w:val="0"/>
          <w:numId w:val="14"/>
        </w:numPr>
        <w:suppressAutoHyphens/>
        <w:autoSpaceDE w:val="0"/>
        <w:autoSpaceDN w:val="0"/>
        <w:spacing w:afterLines="120" w:after="288" w:line="276" w:lineRule="auto"/>
        <w:ind w:left="499" w:right="45" w:hanging="357"/>
        <w:jc w:val="both"/>
        <w:textAlignment w:val="baseline"/>
        <w:rPr>
          <w:rFonts w:ascii="ITC Avant Garde" w:hAnsi="ITC Avant Garde"/>
          <w:kern w:val="3"/>
          <w:sz w:val="22"/>
          <w:szCs w:val="22"/>
          <w:lang w:eastAsia="ar-SA"/>
        </w:rPr>
      </w:pPr>
      <w:r w:rsidRPr="00F80E4F">
        <w:rPr>
          <w:rFonts w:ascii="ITC Avant Garde" w:hAnsi="ITC Avant Garde"/>
          <w:b/>
          <w:kern w:val="3"/>
          <w:sz w:val="22"/>
          <w:szCs w:val="22"/>
          <w:lang w:eastAsia="ar-SA"/>
        </w:rPr>
        <w:t>Aceptación de condiciones</w:t>
      </w:r>
      <w:r w:rsidRPr="00F80E4F">
        <w:rPr>
          <w:rFonts w:ascii="ITC Avant Garde" w:hAnsi="ITC Avant Garde"/>
          <w:kern w:val="3"/>
          <w:sz w:val="22"/>
          <w:szCs w:val="22"/>
          <w:lang w:eastAsia="ar-SA"/>
        </w:rPr>
        <w:t>. Por cuanto hace a este requisito, que refiere que los concesionarios deberán aceptar las nuevas condiciones que establezca el propio Instituto, se considera que tendrán que hacerse del conocimiento del Concesionario las nuevas condiciones que se establecerán en los Títulos de Concesión que en su caso se otorgue</w:t>
      </w:r>
      <w:r w:rsidR="00674376">
        <w:rPr>
          <w:rFonts w:ascii="ITC Avant Garde" w:hAnsi="ITC Avant Garde"/>
          <w:kern w:val="3"/>
          <w:sz w:val="22"/>
          <w:szCs w:val="22"/>
          <w:lang w:eastAsia="ar-SA"/>
        </w:rPr>
        <w:t>n</w:t>
      </w:r>
      <w:r w:rsidRPr="00F80E4F">
        <w:rPr>
          <w:rFonts w:ascii="ITC Avant Garde" w:hAnsi="ITC Avant Garde"/>
          <w:kern w:val="3"/>
          <w:sz w:val="22"/>
          <w:szCs w:val="22"/>
          <w:lang w:eastAsia="ar-SA"/>
        </w:rPr>
        <w:t>, ello a efecto de que ést</w:t>
      </w:r>
      <w:r w:rsidR="00DC58AA">
        <w:rPr>
          <w:rFonts w:ascii="ITC Avant Garde" w:hAnsi="ITC Avant Garde"/>
          <w:kern w:val="3"/>
          <w:sz w:val="22"/>
          <w:szCs w:val="22"/>
          <w:lang w:eastAsia="ar-SA"/>
        </w:rPr>
        <w:t>e</w:t>
      </w:r>
      <w:r w:rsidRPr="00F80E4F">
        <w:rPr>
          <w:rFonts w:ascii="ITC Avant Garde" w:hAnsi="ITC Avant Garde"/>
          <w:kern w:val="3"/>
          <w:sz w:val="22"/>
          <w:szCs w:val="22"/>
          <w:lang w:eastAsia="ar-SA"/>
        </w:rPr>
        <w:t xml:space="preserve"> manifieste su conformidad y total aceptación de las mismas, previamente a la entrega de dichos instrumentos.</w:t>
      </w:r>
    </w:p>
    <w:p w14:paraId="643F20EC" w14:textId="77777777" w:rsidR="00C55FC8" w:rsidRDefault="007336E4" w:rsidP="00C55FC8">
      <w:pPr>
        <w:spacing w:afterLines="120" w:after="288" w:line="276" w:lineRule="auto"/>
        <w:jc w:val="both"/>
        <w:rPr>
          <w:rFonts w:ascii="ITC Avant Garde" w:hAnsi="ITC Avant Garde" w:cs="Tahoma"/>
          <w:bCs/>
          <w:color w:val="000000"/>
          <w:lang w:eastAsia="es-MX"/>
        </w:rPr>
      </w:pPr>
      <w:r w:rsidRPr="00271D8E">
        <w:rPr>
          <w:rFonts w:ascii="ITC Avant Garde" w:hAnsi="ITC Avant Garde" w:cs="Tahoma"/>
          <w:bCs/>
          <w:color w:val="000000"/>
          <w:lang w:eastAsia="es-MX"/>
        </w:rPr>
        <w:t xml:space="preserve">Asimismo, este Pleno estima que en atención a lo dispuesto en el numeral 8.3 de la </w:t>
      </w:r>
      <w:r w:rsidRPr="00271D8E">
        <w:rPr>
          <w:rFonts w:ascii="ITC Avant Garde" w:hAnsi="ITC Avant Garde" w:cs="Tahoma"/>
          <w:bCs/>
          <w:i/>
          <w:color w:val="000000"/>
          <w:lang w:eastAsia="es-MX"/>
        </w:rPr>
        <w:t>“Disposición Técnica IFT-002-2016: Especificaciones y requerimientos para la instalación y operación de las estaciones de radiodifusión sonora en frecuencia modulada en la banda de 88 MHz a 108 MHz”</w:t>
      </w:r>
      <w:r w:rsidRPr="00271D8E">
        <w:rPr>
          <w:rFonts w:ascii="ITC Avant Garde" w:hAnsi="ITC Avant Garde" w:cs="Tahoma"/>
          <w:bCs/>
          <w:color w:val="000000"/>
          <w:lang w:eastAsia="es-MX"/>
        </w:rPr>
        <w:t>,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58E63BB0" w14:textId="77777777" w:rsidR="00C55FC8" w:rsidRDefault="007336E4" w:rsidP="00C55FC8">
      <w:pPr>
        <w:spacing w:afterLines="120" w:after="288" w:line="276" w:lineRule="auto"/>
        <w:ind w:right="-62"/>
        <w:jc w:val="both"/>
        <w:rPr>
          <w:rFonts w:ascii="ITC Avant Garde" w:hAnsi="ITC Avant Garde" w:cs="Tahoma"/>
          <w:bCs/>
          <w:color w:val="000000"/>
          <w:lang w:eastAsia="es-MX"/>
        </w:rPr>
      </w:pPr>
      <w:r>
        <w:rPr>
          <w:rFonts w:ascii="ITC Avant Garde" w:hAnsi="ITC Avant Garde" w:cs="Tahoma"/>
          <w:bCs/>
          <w:color w:val="000000"/>
          <w:lang w:eastAsia="es-MX"/>
        </w:rPr>
        <w:t>Adicionalmente, el</w:t>
      </w:r>
      <w:r w:rsidRPr="00F80E4F">
        <w:rPr>
          <w:rFonts w:ascii="ITC Avant Garde" w:hAnsi="ITC Avant Garde" w:cs="Tahoma"/>
          <w:bCs/>
          <w:color w:val="000000"/>
          <w:lang w:eastAsia="es-MX"/>
        </w:rPr>
        <w:t xml:space="preserve"> Concesionario a través del cumplimiento periódico de la obligación de presentar la información a que se refiere el </w:t>
      </w:r>
      <w:r w:rsidRPr="00F80E4F">
        <w:rPr>
          <w:rFonts w:ascii="ITC Avant Garde" w:hAnsi="ITC Avant Garde" w:cs="Tahoma"/>
          <w:bCs/>
          <w:i/>
          <w:color w:val="000000"/>
          <w:lang w:eastAsia="es-MX"/>
        </w:rPr>
        <w:t xml:space="preserve">“Acuerdo por el que se modifica el Acuerdo por el que se integra en un solo documento, la información técnica, programática, estadística y económica que los concesionarios y permisionarios de </w:t>
      </w:r>
      <w:r w:rsidRPr="00F80E4F">
        <w:rPr>
          <w:rFonts w:ascii="ITC Avant Garde" w:hAnsi="ITC Avant Garde" w:cs="Tahoma"/>
          <w:bCs/>
          <w:i/>
          <w:color w:val="000000"/>
          <w:lang w:eastAsia="es-MX"/>
        </w:rPr>
        <w:lastRenderedPageBreak/>
        <w:t>radiodifusión deben exhibir anualmente a las secretarías de Comunicaciones y Transportes y de Gobernación, publicado el 30 de abril de 1997”</w:t>
      </w:r>
      <w:r w:rsidRPr="00F80E4F">
        <w:rPr>
          <w:rFonts w:ascii="ITC Avant Garde" w:hAnsi="ITC Avant Garde" w:cs="Tahoma"/>
          <w:bCs/>
          <w:color w:val="000000"/>
          <w:lang w:eastAsia="es-MX"/>
        </w:rPr>
        <w:t>, publicado en el DOF el 28 de junio de 2013, da cuenta de que se ha operado la estación de manera regular.</w:t>
      </w:r>
    </w:p>
    <w:p w14:paraId="1713E1E1" w14:textId="77777777" w:rsidR="00C55FC8" w:rsidRDefault="007336E4" w:rsidP="00C55FC8">
      <w:pPr>
        <w:suppressAutoHyphens/>
        <w:spacing w:afterLines="120" w:after="288" w:line="276" w:lineRule="auto"/>
        <w:ind w:right="-62"/>
        <w:jc w:val="both"/>
        <w:rPr>
          <w:rFonts w:ascii="ITC Avant Garde" w:eastAsia="Times New Roman" w:hAnsi="ITC Avant Garde"/>
          <w:bCs/>
          <w:color w:val="000000"/>
          <w:lang w:eastAsia="es-MX"/>
        </w:rPr>
      </w:pPr>
      <w:r w:rsidRPr="00F80E4F">
        <w:rPr>
          <w:rFonts w:ascii="ITC Avant Garde" w:eastAsia="Times New Roman" w:hAnsi="ITC Avant Garde"/>
          <w:bCs/>
          <w:color w:val="000000"/>
          <w:lang w:eastAsia="es-MX"/>
        </w:rPr>
        <w:t xml:space="preserve">Por otro lado, tal y como se señaló en el Antecedente </w:t>
      </w:r>
      <w:r w:rsidR="0035051C">
        <w:rPr>
          <w:rFonts w:ascii="ITC Avant Garde" w:eastAsia="Times New Roman" w:hAnsi="ITC Avant Garde"/>
          <w:bCs/>
          <w:color w:val="000000"/>
          <w:lang w:eastAsia="es-MX"/>
        </w:rPr>
        <w:t>XV</w:t>
      </w:r>
      <w:r w:rsidRPr="00F80E4F">
        <w:rPr>
          <w:rFonts w:ascii="ITC Avant Garde" w:eastAsia="Times New Roman" w:hAnsi="ITC Avant Garde"/>
          <w:bCs/>
          <w:color w:val="000000"/>
          <w:lang w:eastAsia="es-MX"/>
        </w:rPr>
        <w:t xml:space="preserve"> de la presente Resolución, la SCT conforme a lo ordenado en el párrafo décimo séptimo del artículo 28 de la Constitución y fracción I del artículo 9 de la Ley, mediante oficio </w:t>
      </w:r>
      <w:r>
        <w:rPr>
          <w:rFonts w:ascii="ITC Avant Garde" w:hAnsi="ITC Avant Garde"/>
          <w:kern w:val="1"/>
          <w:lang w:eastAsia="ar-SA"/>
        </w:rPr>
        <w:t>1.-</w:t>
      </w:r>
      <w:r w:rsidR="0035051C">
        <w:rPr>
          <w:rFonts w:ascii="ITC Avant Garde" w:hAnsi="ITC Avant Garde"/>
          <w:kern w:val="1"/>
          <w:lang w:eastAsia="ar-SA"/>
        </w:rPr>
        <w:t>108</w:t>
      </w:r>
      <w:r w:rsidR="0035051C" w:rsidRPr="00F80E4F">
        <w:rPr>
          <w:rFonts w:ascii="ITC Avant Garde" w:hAnsi="ITC Avant Garde"/>
          <w:kern w:val="1"/>
          <w:lang w:eastAsia="ar-SA"/>
        </w:rPr>
        <w:t xml:space="preserve"> </w:t>
      </w:r>
      <w:r w:rsidRPr="00F80E4F">
        <w:rPr>
          <w:rFonts w:ascii="ITC Avant Garde" w:hAnsi="ITC Avant Garde"/>
          <w:kern w:val="1"/>
          <w:lang w:eastAsia="ar-SA"/>
        </w:rPr>
        <w:t xml:space="preserve">fecha </w:t>
      </w:r>
      <w:r w:rsidR="0035051C">
        <w:rPr>
          <w:rFonts w:ascii="ITC Avant Garde" w:hAnsi="ITC Avant Garde"/>
          <w:kern w:val="1"/>
          <w:lang w:eastAsia="ar-SA"/>
        </w:rPr>
        <w:t>7 de junio de 2017</w:t>
      </w:r>
      <w:r w:rsidRPr="00F80E4F">
        <w:rPr>
          <w:rFonts w:ascii="ITC Avant Garde" w:eastAsia="Times New Roman" w:hAnsi="ITC Avant Garde"/>
          <w:bCs/>
          <w:color w:val="000000"/>
          <w:lang w:eastAsia="es-MX"/>
        </w:rPr>
        <w:t>, emitió opinión técnica no vinculante respecto de la prórroga de la Concesi</w:t>
      </w:r>
      <w:r>
        <w:rPr>
          <w:rFonts w:ascii="ITC Avant Garde" w:eastAsia="Times New Roman" w:hAnsi="ITC Avant Garde"/>
          <w:bCs/>
          <w:color w:val="000000"/>
          <w:lang w:eastAsia="es-MX"/>
        </w:rPr>
        <w:t>ón</w:t>
      </w:r>
      <w:r w:rsidRPr="00F80E4F">
        <w:rPr>
          <w:rFonts w:ascii="ITC Avant Garde" w:eastAsia="Times New Roman" w:hAnsi="ITC Avant Garde"/>
          <w:bCs/>
          <w:color w:val="000000"/>
          <w:lang w:eastAsia="es-MX"/>
        </w:rPr>
        <w:t xml:space="preserve"> materia de la presente Resolución, donde, entre otras cosas, señaló que de autorizarse la prórrog</w:t>
      </w:r>
      <w:r>
        <w:rPr>
          <w:rFonts w:ascii="ITC Avant Garde" w:eastAsia="Times New Roman" w:hAnsi="ITC Avant Garde"/>
          <w:bCs/>
          <w:color w:val="000000"/>
          <w:lang w:eastAsia="es-MX"/>
        </w:rPr>
        <w:t>a se dota de certeza jurídica al</w:t>
      </w:r>
      <w:r w:rsidRPr="00F80E4F">
        <w:rPr>
          <w:rFonts w:ascii="ITC Avant Garde" w:eastAsia="Times New Roman" w:hAnsi="ITC Avant Garde"/>
          <w:bCs/>
          <w:color w:val="000000"/>
          <w:lang w:eastAsia="es-MX"/>
        </w:rPr>
        <w:t xml:space="preserve"> Concesionario además de permitirle continuar con el uso, aprovechamiento y explotación de las frecuencias del espectro radioeléctrico concesionadas, para seguir prestando el servicio de radiodifusión considerado en </w:t>
      </w:r>
      <w:r>
        <w:rPr>
          <w:rFonts w:ascii="ITC Avant Garde" w:eastAsia="Times New Roman" w:hAnsi="ITC Avant Garde"/>
          <w:bCs/>
          <w:color w:val="000000"/>
          <w:lang w:eastAsia="es-MX"/>
        </w:rPr>
        <w:t>la</w:t>
      </w:r>
      <w:r w:rsidRPr="00F80E4F">
        <w:rPr>
          <w:rFonts w:ascii="ITC Avant Garde" w:eastAsia="Times New Roman" w:hAnsi="ITC Avant Garde"/>
          <w:bCs/>
          <w:color w:val="000000"/>
          <w:lang w:eastAsia="es-MX"/>
        </w:rPr>
        <w:t xml:space="preserve"> Carta Magna como un servicio público de interés general, en el entendido de que las prórrogas se ajustan a la política pública señalada por el Gobierno de la República en el </w:t>
      </w:r>
      <w:r w:rsidRPr="00F80E4F">
        <w:rPr>
          <w:rFonts w:ascii="ITC Avant Garde" w:eastAsia="Times New Roman" w:hAnsi="ITC Avant Garde"/>
          <w:bCs/>
          <w:i/>
          <w:color w:val="000000"/>
          <w:lang w:eastAsia="es-MX"/>
        </w:rPr>
        <w:t>“Plan Nacional de Desarrollo 2013-2018”</w:t>
      </w:r>
      <w:r w:rsidRPr="00F80E4F">
        <w:rPr>
          <w:rFonts w:ascii="ITC Avant Garde" w:eastAsia="Times New Roman" w:hAnsi="ITC Avant Garde"/>
          <w:bCs/>
          <w:color w:val="000000"/>
          <w:lang w:eastAsia="es-MX"/>
        </w:rPr>
        <w:t xml:space="preserve"> y en el “</w:t>
      </w:r>
      <w:r w:rsidRPr="00F80E4F">
        <w:rPr>
          <w:rFonts w:ascii="ITC Avant Garde" w:eastAsia="Times New Roman" w:hAnsi="ITC Avant Garde"/>
          <w:bCs/>
          <w:i/>
          <w:color w:val="000000"/>
          <w:lang w:eastAsia="es-MX"/>
        </w:rPr>
        <w:t>Programa Sectorial de Comunicaciones y Transportes 2013-2018”</w:t>
      </w:r>
      <w:r w:rsidRPr="00F80E4F">
        <w:rPr>
          <w:rFonts w:ascii="ITC Avant Garde" w:eastAsia="Times New Roman" w:hAnsi="ITC Avant Garde"/>
          <w:bCs/>
          <w:color w:val="000000"/>
          <w:lang w:eastAsia="es-MX"/>
        </w:rPr>
        <w:t>.</w:t>
      </w:r>
    </w:p>
    <w:p w14:paraId="0D0D6F4E" w14:textId="77777777" w:rsidR="00C55FC8" w:rsidRDefault="007336E4" w:rsidP="00C55FC8">
      <w:pPr>
        <w:suppressAutoHyphens/>
        <w:spacing w:afterLines="120" w:after="288" w:line="276" w:lineRule="auto"/>
        <w:ind w:right="-62"/>
        <w:jc w:val="both"/>
        <w:rPr>
          <w:rFonts w:ascii="ITC Avant Garde" w:eastAsia="Times New Roman" w:hAnsi="ITC Avant Garde"/>
          <w:bCs/>
          <w:color w:val="000000"/>
          <w:lang w:eastAsia="es-MX"/>
        </w:rPr>
      </w:pPr>
      <w:r w:rsidRPr="00F80E4F">
        <w:rPr>
          <w:rFonts w:ascii="ITC Avant Garde" w:eastAsia="Times New Roman" w:hAnsi="ITC Avant Garde"/>
          <w:bCs/>
          <w:color w:val="000000"/>
          <w:lang w:eastAsia="es-MX"/>
        </w:rPr>
        <w:t xml:space="preserve">Ahora bien, en cuanto a lo establecido en el tercer párrafo del artículo 114 de la Ley, la Unidad de Espectro Radioeléctrico con oficio señalado en el Antecedente </w:t>
      </w:r>
      <w:r w:rsidR="00280E21">
        <w:rPr>
          <w:rFonts w:ascii="ITC Avant Garde" w:eastAsia="Times New Roman" w:hAnsi="ITC Avant Garde"/>
          <w:bCs/>
          <w:color w:val="000000"/>
          <w:lang w:eastAsia="es-MX"/>
        </w:rPr>
        <w:t>XIII</w:t>
      </w:r>
      <w:r w:rsidRPr="00F80E4F">
        <w:rPr>
          <w:rFonts w:ascii="ITC Avant Garde" w:eastAsia="Times New Roman" w:hAnsi="ITC Avant Garde"/>
          <w:bCs/>
          <w:color w:val="000000"/>
          <w:lang w:eastAsia="es-MX"/>
        </w:rPr>
        <w:t xml:space="preserve"> emitió opinión </w:t>
      </w:r>
      <w:r>
        <w:rPr>
          <w:rFonts w:ascii="ITC Avant Garde" w:eastAsia="Times New Roman" w:hAnsi="ITC Avant Garde"/>
          <w:bCs/>
          <w:color w:val="000000"/>
          <w:lang w:eastAsia="es-MX"/>
        </w:rPr>
        <w:t>en la que indicó</w:t>
      </w:r>
      <w:r w:rsidRPr="00F80E4F">
        <w:rPr>
          <w:rFonts w:ascii="ITC Avant Garde" w:eastAsia="Times New Roman" w:hAnsi="ITC Avant Garde"/>
          <w:bCs/>
          <w:color w:val="000000"/>
          <w:lang w:eastAsia="es-MX"/>
        </w:rPr>
        <w:t xml:space="preserve"> que no existe interés público en recuperar el espectro concesionado para su re-planificación o futura utilización para un servicio distinto al de Radiodifusión.</w:t>
      </w:r>
    </w:p>
    <w:p w14:paraId="0FF67BAF" w14:textId="77777777" w:rsidR="00C55FC8" w:rsidRDefault="00483F30" w:rsidP="00C55FC8">
      <w:pPr>
        <w:suppressAutoHyphens/>
        <w:spacing w:afterLines="120" w:after="288" w:line="276" w:lineRule="auto"/>
        <w:ind w:right="-62"/>
        <w:jc w:val="both"/>
        <w:rPr>
          <w:rFonts w:ascii="ITC Avant Garde" w:eastAsia="Times New Roman" w:hAnsi="ITC Avant Garde"/>
          <w:bCs/>
          <w:color w:val="000000"/>
          <w:lang w:eastAsia="es-MX"/>
        </w:rPr>
      </w:pPr>
      <w:r w:rsidRPr="00255796">
        <w:rPr>
          <w:rFonts w:ascii="ITC Avant Garde" w:eastAsia="Times New Roman" w:hAnsi="ITC Avant Garde"/>
          <w:bCs/>
          <w:color w:val="000000"/>
          <w:lang w:eastAsia="es-MX"/>
        </w:rPr>
        <w:t xml:space="preserve">De igual forma, </w:t>
      </w:r>
      <w:r>
        <w:rPr>
          <w:rFonts w:ascii="ITC Avant Garde" w:eastAsia="Times New Roman" w:hAnsi="ITC Avant Garde"/>
          <w:bCs/>
          <w:color w:val="000000"/>
          <w:lang w:eastAsia="es-MX"/>
        </w:rPr>
        <w:t>el</w:t>
      </w:r>
      <w:r w:rsidRPr="00255796">
        <w:rPr>
          <w:rFonts w:ascii="ITC Avant Garde" w:eastAsia="Times New Roman" w:hAnsi="ITC Avant Garde"/>
          <w:bCs/>
          <w:color w:val="000000"/>
          <w:lang w:eastAsia="es-MX"/>
        </w:rPr>
        <w:t xml:space="preserve"> Concesionario adjunt</w:t>
      </w:r>
      <w:r>
        <w:rPr>
          <w:rFonts w:ascii="ITC Avant Garde" w:eastAsia="Times New Roman" w:hAnsi="ITC Avant Garde"/>
          <w:bCs/>
          <w:color w:val="000000"/>
          <w:lang w:eastAsia="es-MX"/>
        </w:rPr>
        <w:t>ó</w:t>
      </w:r>
      <w:r w:rsidRPr="00255796">
        <w:rPr>
          <w:rFonts w:ascii="ITC Avant Garde" w:eastAsia="Times New Roman" w:hAnsi="ITC Avant Garde"/>
          <w:bCs/>
          <w:color w:val="000000"/>
          <w:lang w:eastAsia="es-MX"/>
        </w:rPr>
        <w:t xml:space="preserve"> el comprobante de pago de derechos correspondiente y conforme a la Ley Federal de Derechos vigente, por concepto </w:t>
      </w:r>
      <w:r>
        <w:rPr>
          <w:rFonts w:ascii="ITC Avant Garde" w:eastAsia="Times New Roman" w:hAnsi="ITC Avant Garde"/>
          <w:bCs/>
          <w:color w:val="000000"/>
          <w:lang w:eastAsia="es-MX"/>
        </w:rPr>
        <w:t>de</w:t>
      </w:r>
      <w:r w:rsidRPr="00F44160">
        <w:rPr>
          <w:rFonts w:ascii="ITC Avant Garde" w:hAnsi="ITC Avant Garde" w:cs="Tahoma"/>
          <w:bCs/>
          <w:color w:val="000000"/>
          <w:lang w:eastAsia="es-MX"/>
        </w:rPr>
        <w:t xml:space="preserve"> estudio de la solicitud y, en su caso, expedición de título o prórroga de concesión en materia de telecomunicaciones o radiodifusión, para el uso, aprovechamiento o explotación de bandas de frecuencias del espectro radioeléctrico</w:t>
      </w:r>
      <w:r w:rsidRPr="00255796">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w:t>
      </w:r>
    </w:p>
    <w:p w14:paraId="046EBF24" w14:textId="77777777" w:rsidR="00C55FC8" w:rsidRDefault="007336E4" w:rsidP="00C55FC8">
      <w:pPr>
        <w:suppressAutoHyphens/>
        <w:spacing w:afterLines="120" w:after="288" w:line="276" w:lineRule="auto"/>
        <w:ind w:right="-62"/>
        <w:jc w:val="both"/>
        <w:rPr>
          <w:rFonts w:ascii="ITC Avant Garde" w:eastAsia="Times New Roman" w:hAnsi="ITC Avant Garde"/>
          <w:bCs/>
          <w:color w:val="000000"/>
          <w:lang w:eastAsia="es-MX"/>
        </w:rPr>
      </w:pPr>
      <w:r w:rsidRPr="00F80E4F">
        <w:rPr>
          <w:rFonts w:ascii="ITC Avant Garde" w:eastAsia="Times New Roman" w:hAnsi="ITC Avant Garde"/>
          <w:bCs/>
          <w:color w:val="000000"/>
          <w:lang w:eastAsia="es-MX"/>
        </w:rPr>
        <w:t>Por lo descrito en los puntos antes referidos, se considera que se han satisfecho los requisitos de procedencia de la prórroga, establecidos en las disposiciones legales aplicables y en la propia Concesi</w:t>
      </w:r>
      <w:r>
        <w:rPr>
          <w:rFonts w:ascii="ITC Avant Garde" w:eastAsia="Times New Roman" w:hAnsi="ITC Avant Garde"/>
          <w:bCs/>
          <w:color w:val="000000"/>
          <w:lang w:eastAsia="es-MX"/>
        </w:rPr>
        <w:t>ón</w:t>
      </w:r>
      <w:r w:rsidRPr="00F80E4F">
        <w:rPr>
          <w:rFonts w:ascii="ITC Avant Garde" w:eastAsia="Times New Roman" w:hAnsi="ITC Avant Garde"/>
          <w:bCs/>
          <w:color w:val="000000"/>
          <w:lang w:eastAsia="es-MX"/>
        </w:rPr>
        <w:t xml:space="preserve"> y no se advierte ninguna otra causa o impedimento legal, en consecuencia, esta autoridad estima p</w:t>
      </w:r>
      <w:r>
        <w:rPr>
          <w:rFonts w:ascii="ITC Avant Garde" w:eastAsia="Times New Roman" w:hAnsi="ITC Avant Garde"/>
          <w:bCs/>
          <w:color w:val="000000"/>
          <w:lang w:eastAsia="es-MX"/>
        </w:rPr>
        <w:t>rocedente el otorgamiento de la prórroga</w:t>
      </w:r>
      <w:r w:rsidRPr="00F80E4F">
        <w:rPr>
          <w:rFonts w:ascii="ITC Avant Garde" w:eastAsia="Times New Roman" w:hAnsi="ITC Avant Garde"/>
          <w:bCs/>
          <w:color w:val="000000"/>
          <w:lang w:eastAsia="es-MX"/>
        </w:rPr>
        <w:t xml:space="preserve"> solicitada.</w:t>
      </w:r>
    </w:p>
    <w:p w14:paraId="6094B8BD"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proofErr w:type="gramStart"/>
      <w:r w:rsidRPr="00271D8E">
        <w:rPr>
          <w:rFonts w:ascii="ITC Avant Garde" w:eastAsia="Times New Roman" w:hAnsi="ITC Avant Garde"/>
          <w:b/>
          <w:kern w:val="1"/>
          <w:lang w:val="es-ES" w:eastAsia="ar-SA"/>
        </w:rPr>
        <w:t>Cuarto.-</w:t>
      </w:r>
      <w:proofErr w:type="gramEnd"/>
      <w:r w:rsidRPr="00271D8E">
        <w:rPr>
          <w:rFonts w:ascii="ITC Avant Garde" w:eastAsia="Times New Roman" w:hAnsi="ITC Avant Garde"/>
          <w:b/>
          <w:kern w:val="1"/>
          <w:lang w:val="es-ES" w:eastAsia="ar-SA"/>
        </w:rPr>
        <w:t xml:space="preserve"> Cambio de Frecuencia de AM a FM.</w:t>
      </w:r>
      <w:r w:rsidRPr="00271D8E">
        <w:rPr>
          <w:rFonts w:ascii="ITC Avant Garde" w:eastAsia="Times New Roman" w:hAnsi="ITC Avant Garde"/>
          <w:kern w:val="1"/>
          <w:lang w:val="es-ES" w:eastAsia="ar-SA"/>
        </w:rPr>
        <w:t xml:space="preserve"> Como se señaló anteriormente, </w:t>
      </w:r>
      <w:r w:rsidRPr="00271D8E">
        <w:rPr>
          <w:rFonts w:ascii="ITC Avant Garde" w:eastAsia="Times New Roman" w:hAnsi="ITC Avant Garde"/>
          <w:bCs/>
          <w:kern w:val="1"/>
          <w:lang w:eastAsia="ar-SA"/>
        </w:rPr>
        <w:t>la COFETEL autorizó al Concesionario el cambio de la frecuencia de AM para operar en la banda de FM, en términos de lo establecido en el Acuerdo de Cambio de Frecuencias.</w:t>
      </w:r>
    </w:p>
    <w:p w14:paraId="7EC92DB4"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r w:rsidRPr="00271D8E">
        <w:rPr>
          <w:rFonts w:ascii="ITC Avant Garde" w:eastAsia="Times New Roman" w:hAnsi="ITC Avant Garde"/>
          <w:bCs/>
          <w:kern w:val="1"/>
          <w:lang w:eastAsia="ar-SA"/>
        </w:rPr>
        <w:lastRenderedPageBreak/>
        <w:t xml:space="preserve">El numeral Sexto del citado Acuerdo de Cambio de Frecuencias establecía expresamente los términos bajo los cuales </w:t>
      </w:r>
      <w:r>
        <w:rPr>
          <w:rFonts w:ascii="ITC Avant Garde" w:eastAsia="Times New Roman" w:hAnsi="ITC Avant Garde"/>
          <w:bCs/>
          <w:kern w:val="1"/>
          <w:lang w:eastAsia="ar-SA"/>
        </w:rPr>
        <w:t>el</w:t>
      </w:r>
      <w:r w:rsidRPr="00271D8E">
        <w:rPr>
          <w:rFonts w:ascii="ITC Avant Garde" w:eastAsia="Times New Roman" w:hAnsi="ITC Avant Garde"/>
          <w:bCs/>
          <w:kern w:val="1"/>
          <w:lang w:eastAsia="ar-SA"/>
        </w:rPr>
        <w:t xml:space="preserve"> Concesionario debía observar a efecto de operar en la banda de frecuencias de FM, para lo cual disponía lo siguiente:</w:t>
      </w:r>
    </w:p>
    <w:p w14:paraId="0A98FC51" w14:textId="77777777" w:rsidR="00C55FC8" w:rsidRDefault="007336E4" w:rsidP="00C55FC8">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lang w:eastAsia="ar-SA"/>
        </w:rPr>
        <w:t>“</w:t>
      </w:r>
      <w:proofErr w:type="gramStart"/>
      <w:r w:rsidRPr="00271D8E">
        <w:rPr>
          <w:rFonts w:ascii="ITC Avant Garde" w:eastAsia="Times New Roman" w:hAnsi="ITC Avant Garde"/>
          <w:b/>
          <w:bCs/>
          <w:i/>
          <w:kern w:val="1"/>
          <w:sz w:val="18"/>
          <w:lang w:eastAsia="ar-SA"/>
        </w:rPr>
        <w:t>SEXTO.-</w:t>
      </w:r>
      <w:proofErr w:type="gramEnd"/>
      <w:r w:rsidRPr="00271D8E">
        <w:rPr>
          <w:rFonts w:ascii="ITC Avant Garde" w:eastAsia="Times New Roman" w:hAnsi="ITC Avant Garde"/>
          <w:bCs/>
          <w:i/>
          <w:kern w:val="1"/>
          <w:sz w:val="18"/>
          <w:lang w:eastAsia="ar-SA"/>
        </w:rPr>
        <w:t xml:space="preserve"> El concesionario o permisionario deberá iniciar operaciones en la frecuencia de FM en un plazo no mayor de un año, contado a partir de que se notifique el cambio de frecuencia, atendiendo a los parámetros autorizados.</w:t>
      </w:r>
    </w:p>
    <w:p w14:paraId="6C6D9AB7" w14:textId="77777777" w:rsidR="00C55FC8" w:rsidRDefault="007336E4" w:rsidP="00C55FC8">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u w:val="single"/>
          <w:lang w:eastAsia="ar-SA"/>
        </w:rPr>
        <w:t>El concesionario o permisionario deberá continuar la operación de la frecuencia de AM, estando obligado a transmitir en forma simultánea el mismo contenido de programación en las frecuencias de AM y FM durante un año,</w:t>
      </w:r>
      <w:r w:rsidRPr="00271D8E">
        <w:rPr>
          <w:rFonts w:ascii="ITC Avant Garde" w:eastAsia="Times New Roman" w:hAnsi="ITC Avant Garde"/>
          <w:bCs/>
          <w:i/>
          <w:kern w:val="1"/>
          <w:sz w:val="18"/>
          <w:lang w:eastAsia="ar-SA"/>
        </w:rPr>
        <w:t xml:space="preserve"> contado a partir del cambio de frecuencias, salvo que en la cobertura de la estación de AM se encuentren poblaciones que únicamente reciben el servicio de AM, debiendo transmitir en forma simultánea el mismo contenido en ambas frecuencias por el tiempo que determine la Comisión en cada caso.</w:t>
      </w:r>
    </w:p>
    <w:p w14:paraId="6984A96E" w14:textId="77777777" w:rsidR="00C55FC8" w:rsidRDefault="007336E4" w:rsidP="00C55FC8">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u w:val="single"/>
          <w:lang w:eastAsia="ar-SA"/>
        </w:rPr>
        <w:t>Vencido dicho plazo, concluirá el derecho del concesionario o permisionario de usar, aprovechar y explotar la frecuencia de AM</w:t>
      </w:r>
      <w:r w:rsidRPr="00271D8E">
        <w:rPr>
          <w:rFonts w:ascii="ITC Avant Garde" w:eastAsia="Times New Roman" w:hAnsi="ITC Avant Garde"/>
          <w:bCs/>
          <w:i/>
          <w:kern w:val="1"/>
          <w:sz w:val="18"/>
          <w:lang w:eastAsia="ar-SA"/>
        </w:rPr>
        <w:t>, y únicamente podrá prestar el servicio concesionado a través de la frecuencia de FM.”</w:t>
      </w:r>
    </w:p>
    <w:p w14:paraId="30CF371A" w14:textId="77777777" w:rsidR="00C55FC8" w:rsidRDefault="007336E4" w:rsidP="00C55FC8">
      <w:pPr>
        <w:autoSpaceDE w:val="0"/>
        <w:autoSpaceDN w:val="0"/>
        <w:adjustRightInd w:val="0"/>
        <w:spacing w:afterLines="120" w:after="288" w:line="276" w:lineRule="auto"/>
        <w:ind w:left="709" w:right="758"/>
        <w:jc w:val="both"/>
        <w:rPr>
          <w:rFonts w:ascii="ITC Avant Garde" w:eastAsia="Times New Roman" w:hAnsi="ITC Avant Garde"/>
          <w:bCs/>
          <w:kern w:val="1"/>
          <w:sz w:val="18"/>
          <w:lang w:eastAsia="ar-SA"/>
        </w:rPr>
      </w:pPr>
      <w:r w:rsidRPr="00271D8E">
        <w:rPr>
          <w:rFonts w:ascii="ITC Avant Garde" w:eastAsia="Times New Roman" w:hAnsi="ITC Avant Garde"/>
          <w:bCs/>
          <w:kern w:val="1"/>
          <w:sz w:val="18"/>
          <w:lang w:eastAsia="ar-SA"/>
        </w:rPr>
        <w:t>[Énfasis añadido]</w:t>
      </w:r>
    </w:p>
    <w:p w14:paraId="42AC4183"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r w:rsidRPr="00271D8E">
        <w:rPr>
          <w:rFonts w:ascii="ITC Avant Garde" w:eastAsia="Times New Roman" w:hAnsi="ITC Avant Garde"/>
          <w:bCs/>
          <w:kern w:val="1"/>
          <w:lang w:eastAsia="ar-SA"/>
        </w:rPr>
        <w:t>En consistencia con lo anterior, la autorizaci</w:t>
      </w:r>
      <w:r>
        <w:rPr>
          <w:rFonts w:ascii="ITC Avant Garde" w:eastAsia="Times New Roman" w:hAnsi="ITC Avant Garde"/>
          <w:bCs/>
          <w:kern w:val="1"/>
          <w:lang w:eastAsia="ar-SA"/>
        </w:rPr>
        <w:t>ón</w:t>
      </w:r>
      <w:r w:rsidRPr="00271D8E">
        <w:rPr>
          <w:rFonts w:ascii="ITC Avant Garde" w:eastAsia="Times New Roman" w:hAnsi="ITC Avant Garde"/>
          <w:bCs/>
          <w:kern w:val="1"/>
          <w:lang w:eastAsia="ar-SA"/>
        </w:rPr>
        <w:t xml:space="preserve"> de cambio de frecuencias en su Condición Novena, señala la obligación de los Concesionarios de continuar operando en la frecuencia de la banda de AM y de transmitir en forma simultánea el mismo contenido de la programación en la frecuencia de la banda de FM durante un año contado a partir de la fecha del inicio de las operaciones en la banda de FM, en el entendido de que vencido dicho plazo, concluirá su derecho de usar, aprovechar y explotar la frecuencia de la banda de AM, y únicamente podrá continuar prestando el servicio concesionado a través de la frecuencia de la banda de FM, por el tiempo de vigencia de su concesión.</w:t>
      </w:r>
    </w:p>
    <w:p w14:paraId="4CB5A224" w14:textId="77777777" w:rsidR="00C55FC8" w:rsidRDefault="007336E4" w:rsidP="00C55FC8">
      <w:pPr>
        <w:autoSpaceDE w:val="0"/>
        <w:autoSpaceDN w:val="0"/>
        <w:adjustRightInd w:val="0"/>
        <w:spacing w:afterLines="120" w:after="288" w:line="276" w:lineRule="auto"/>
        <w:ind w:right="49"/>
        <w:jc w:val="both"/>
        <w:rPr>
          <w:rFonts w:ascii="ITC Avant Garde" w:eastAsia="Times New Roman" w:hAnsi="ITC Avant Garde"/>
          <w:bCs/>
          <w:kern w:val="1"/>
          <w:lang w:eastAsia="ar-SA"/>
        </w:rPr>
      </w:pPr>
      <w:r w:rsidRPr="00271D8E">
        <w:rPr>
          <w:rFonts w:ascii="ITC Avant Garde" w:eastAsia="Times New Roman" w:hAnsi="ITC Avant Garde"/>
          <w:bCs/>
          <w:kern w:val="1"/>
          <w:lang w:eastAsia="ar-SA"/>
        </w:rPr>
        <w:t>Asimismo</w:t>
      </w:r>
      <w:r w:rsidR="003A127A">
        <w:rPr>
          <w:rFonts w:ascii="ITC Avant Garde" w:eastAsia="Times New Roman" w:hAnsi="ITC Avant Garde"/>
          <w:bCs/>
          <w:kern w:val="1"/>
          <w:lang w:eastAsia="ar-SA"/>
        </w:rPr>
        <w:t>,</w:t>
      </w:r>
      <w:r w:rsidRPr="00271D8E">
        <w:rPr>
          <w:rFonts w:ascii="ITC Avant Garde" w:eastAsia="Times New Roman" w:hAnsi="ITC Avant Garde"/>
          <w:bCs/>
          <w:kern w:val="1"/>
          <w:lang w:eastAsia="ar-SA"/>
        </w:rPr>
        <w:t xml:space="preserve"> las Condiciones Décima y Décima Segunda de las autorizaciones que nos ocupan señalan:</w:t>
      </w:r>
    </w:p>
    <w:p w14:paraId="57BC1B39" w14:textId="77777777" w:rsidR="00C55FC8" w:rsidRDefault="007336E4" w:rsidP="00C55FC8">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lang w:eastAsia="ar-SA"/>
        </w:rPr>
        <w:t>“</w:t>
      </w:r>
      <w:proofErr w:type="gramStart"/>
      <w:r w:rsidRPr="00271D8E">
        <w:rPr>
          <w:rFonts w:ascii="ITC Avant Garde" w:eastAsia="Times New Roman" w:hAnsi="ITC Avant Garde"/>
          <w:b/>
          <w:bCs/>
          <w:i/>
          <w:kern w:val="1"/>
          <w:sz w:val="18"/>
          <w:lang w:eastAsia="ar-SA"/>
        </w:rPr>
        <w:t>DÉCIMA.-</w:t>
      </w:r>
      <w:proofErr w:type="gramEnd"/>
      <w:r w:rsidRPr="00271D8E">
        <w:rPr>
          <w:rFonts w:ascii="ITC Avant Garde" w:eastAsia="Times New Roman" w:hAnsi="ITC Avant Garde"/>
          <w:b/>
          <w:bCs/>
          <w:i/>
          <w:kern w:val="1"/>
          <w:sz w:val="18"/>
          <w:lang w:eastAsia="ar-SA"/>
        </w:rPr>
        <w:t xml:space="preserve"> </w:t>
      </w:r>
      <w:r w:rsidRPr="00271D8E">
        <w:rPr>
          <w:rFonts w:ascii="ITC Avant Garde" w:eastAsia="Times New Roman" w:hAnsi="ITC Avant Garde"/>
          <w:bCs/>
          <w:i/>
          <w:kern w:val="1"/>
          <w:sz w:val="18"/>
          <w:lang w:eastAsia="ar-SA"/>
        </w:rPr>
        <w:t>La presente autorización no crea derechos reales, otorga simplemente frente a la administración y sin perjuicio de terceros, el derecho a realizar los usos, aprovechamientos o explotaciones de acuerdo con las reglas y condiciones que establezcan las leyes y el título de concesión.”</w:t>
      </w:r>
    </w:p>
    <w:p w14:paraId="07454930" w14:textId="77777777" w:rsidR="00C55FC8" w:rsidRDefault="007336E4" w:rsidP="00C55FC8">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lang w:eastAsia="ar-SA"/>
        </w:rPr>
        <w:t>“</w:t>
      </w:r>
      <w:r w:rsidRPr="00271D8E">
        <w:rPr>
          <w:rFonts w:ascii="ITC Avant Garde" w:eastAsia="Times New Roman" w:hAnsi="ITC Avant Garde"/>
          <w:b/>
          <w:bCs/>
          <w:i/>
          <w:kern w:val="1"/>
          <w:sz w:val="18"/>
          <w:lang w:eastAsia="ar-SA"/>
        </w:rPr>
        <w:t xml:space="preserve">DÉCIMA </w:t>
      </w:r>
      <w:proofErr w:type="gramStart"/>
      <w:r w:rsidRPr="00271D8E">
        <w:rPr>
          <w:rFonts w:ascii="ITC Avant Garde" w:eastAsia="Times New Roman" w:hAnsi="ITC Avant Garde"/>
          <w:b/>
          <w:bCs/>
          <w:i/>
          <w:kern w:val="1"/>
          <w:sz w:val="18"/>
          <w:lang w:eastAsia="ar-SA"/>
        </w:rPr>
        <w:t>SEGUNDA</w:t>
      </w:r>
      <w:r w:rsidRPr="00271D8E">
        <w:rPr>
          <w:rFonts w:ascii="ITC Avant Garde" w:eastAsia="Times New Roman" w:hAnsi="ITC Avant Garde"/>
          <w:bCs/>
          <w:i/>
          <w:kern w:val="1"/>
          <w:sz w:val="18"/>
          <w:lang w:eastAsia="ar-SA"/>
        </w:rPr>
        <w:t>.-</w:t>
      </w:r>
      <w:proofErr w:type="gramEnd"/>
      <w:r w:rsidRPr="00271D8E">
        <w:rPr>
          <w:rFonts w:ascii="ITC Avant Garde" w:eastAsia="Times New Roman" w:hAnsi="ITC Avant Garde"/>
          <w:bCs/>
          <w:i/>
          <w:kern w:val="1"/>
          <w:sz w:val="18"/>
          <w:lang w:eastAsia="ar-SA"/>
        </w:rPr>
        <w:t xml:space="preserve"> La Concesionaria acepta la presente autorización del cambio de la frecuencia […] concesionada, objeto de este oficio y su uso, en cualquier forma, implica la aceptación incondicional de todas sus Condiciones.”</w:t>
      </w:r>
    </w:p>
    <w:p w14:paraId="3AD1AD8E"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r w:rsidRPr="00271D8E">
        <w:rPr>
          <w:rFonts w:ascii="ITC Avant Garde" w:eastAsia="Times New Roman" w:hAnsi="ITC Avant Garde"/>
          <w:bCs/>
          <w:kern w:val="1"/>
          <w:lang w:eastAsia="ar-SA"/>
        </w:rPr>
        <w:lastRenderedPageBreak/>
        <w:t xml:space="preserve">Conforme a lo anterior, </w:t>
      </w:r>
      <w:r>
        <w:rPr>
          <w:rFonts w:ascii="ITC Avant Garde" w:eastAsia="Times New Roman" w:hAnsi="ITC Avant Garde"/>
          <w:bCs/>
          <w:kern w:val="1"/>
          <w:lang w:eastAsia="ar-SA"/>
        </w:rPr>
        <w:t xml:space="preserve">mediante </w:t>
      </w:r>
      <w:r w:rsidRPr="003A1F7E">
        <w:rPr>
          <w:rFonts w:ascii="ITC Avant Garde" w:eastAsia="Times New Roman" w:hAnsi="ITC Avant Garde" w:cs="Times New Roman"/>
          <w:bCs/>
          <w:kern w:val="1"/>
          <w:lang w:val="es-ES" w:eastAsia="ar-SA"/>
        </w:rPr>
        <w:t>escrito</w:t>
      </w:r>
      <w:r>
        <w:rPr>
          <w:rFonts w:ascii="ITC Avant Garde" w:hAnsi="ITC Avant Garde"/>
          <w:bCs/>
          <w:kern w:val="1"/>
          <w:lang w:val="es-ES" w:eastAsia="ar-SA"/>
        </w:rPr>
        <w:t xml:space="preserve"> presentado el </w:t>
      </w:r>
      <w:r w:rsidR="00280E21">
        <w:rPr>
          <w:rFonts w:ascii="ITC Avant Garde" w:hAnsi="ITC Avant Garde"/>
          <w:bCs/>
          <w:kern w:val="1"/>
          <w:lang w:val="es-ES" w:eastAsia="ar-SA"/>
        </w:rPr>
        <w:t>5 de diciembre de 2012</w:t>
      </w:r>
      <w:r w:rsidRPr="003A1F7E">
        <w:rPr>
          <w:rFonts w:ascii="ITC Avant Garde" w:eastAsia="Times New Roman" w:hAnsi="ITC Avant Garde" w:cs="Times New Roman"/>
          <w:bCs/>
          <w:kern w:val="1"/>
          <w:lang w:val="es-ES" w:eastAsia="ar-SA"/>
        </w:rPr>
        <w:t xml:space="preserve">, </w:t>
      </w:r>
      <w:r>
        <w:rPr>
          <w:rFonts w:ascii="ITC Avant Garde" w:hAnsi="ITC Avant Garde"/>
          <w:bCs/>
          <w:kern w:val="1"/>
          <w:lang w:val="es-ES" w:eastAsia="ar-SA"/>
        </w:rPr>
        <w:t>el</w:t>
      </w:r>
      <w:r w:rsidRPr="003A1F7E">
        <w:rPr>
          <w:rFonts w:ascii="ITC Avant Garde" w:eastAsia="Times New Roman" w:hAnsi="ITC Avant Garde" w:cs="Times New Roman"/>
          <w:bCs/>
          <w:kern w:val="1"/>
          <w:lang w:val="es-ES" w:eastAsia="ar-SA"/>
        </w:rPr>
        <w:t xml:space="preserve"> Concesionario inform</w:t>
      </w:r>
      <w:r>
        <w:rPr>
          <w:rFonts w:ascii="ITC Avant Garde" w:hAnsi="ITC Avant Garde"/>
          <w:bCs/>
          <w:kern w:val="1"/>
          <w:lang w:val="es-ES" w:eastAsia="ar-SA"/>
        </w:rPr>
        <w:t>ó</w:t>
      </w:r>
      <w:r w:rsidRPr="00271D8E">
        <w:rPr>
          <w:rFonts w:ascii="ITC Avant Garde" w:eastAsia="Times New Roman" w:hAnsi="ITC Avant Garde"/>
          <w:bCs/>
          <w:kern w:val="1"/>
          <w:lang w:eastAsia="ar-SA"/>
        </w:rPr>
        <w:t>, la conclusión de los trabajos de instalación y pruebas realizados por la autorización de cambio de frecuencia. De igual forma, el año para realizar las transmisiones simultáneas a que se refiere el numeral Sexto del Acuerdo de Cambio de Frecuencias ha vencido, en ese sentido, concluyó el derecho del Concesionario para usar, aprovechar y explotar la frecuencia de AM, en atención a que esta frecuencia al constituir un bien de dominio público revirtió de pleno derecho a la Nación por disposición del multicitado Acuerdo y, por lo tanto, se extinguió en forma automática el derecho del concesionario a la utilización de la frecuencia de AM, ante lo cual, únicamente puede continuar proporcionando el servicio concesionado a través del aprovechamiento o explotación de la frecuencia de FM.</w:t>
      </w:r>
    </w:p>
    <w:p w14:paraId="176C6622"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r w:rsidRPr="00271D8E">
        <w:rPr>
          <w:rFonts w:ascii="ITC Avant Garde" w:eastAsia="Times New Roman" w:hAnsi="ITC Avant Garde"/>
          <w:bCs/>
          <w:kern w:val="1"/>
          <w:lang w:eastAsia="ar-SA"/>
        </w:rPr>
        <w:t>Por lo anterior, la prórroga de vigencia de la Concesi</w:t>
      </w:r>
      <w:r>
        <w:rPr>
          <w:rFonts w:ascii="ITC Avant Garde" w:eastAsia="Times New Roman" w:hAnsi="ITC Avant Garde"/>
          <w:bCs/>
          <w:kern w:val="1"/>
          <w:lang w:eastAsia="ar-SA"/>
        </w:rPr>
        <w:t>ón</w:t>
      </w:r>
      <w:r w:rsidRPr="00271D8E">
        <w:rPr>
          <w:rFonts w:ascii="ITC Avant Garde" w:eastAsia="Times New Roman" w:hAnsi="ITC Avant Garde"/>
          <w:bCs/>
          <w:kern w:val="1"/>
          <w:lang w:eastAsia="ar-SA"/>
        </w:rPr>
        <w:t xml:space="preserve"> materia de la presente Resolución, sólo invol</w:t>
      </w:r>
      <w:r w:rsidR="00DC58AA">
        <w:rPr>
          <w:rFonts w:ascii="ITC Avant Garde" w:eastAsia="Times New Roman" w:hAnsi="ITC Avant Garde"/>
          <w:bCs/>
          <w:kern w:val="1"/>
          <w:lang w:eastAsia="ar-SA"/>
        </w:rPr>
        <w:t>ucra</w:t>
      </w:r>
      <w:r w:rsidRPr="00271D8E">
        <w:rPr>
          <w:rFonts w:ascii="ITC Avant Garde" w:eastAsia="Times New Roman" w:hAnsi="ITC Avant Garde"/>
          <w:bCs/>
          <w:kern w:val="1"/>
          <w:lang w:eastAsia="ar-SA"/>
        </w:rPr>
        <w:t xml:space="preserve"> el Concesionamiento sobre espectro radioeléctrico en la banda de FM para la prestación del servicio de radiodifusión sonora.</w:t>
      </w:r>
    </w:p>
    <w:p w14:paraId="1AB3A5BE" w14:textId="77777777" w:rsidR="00C55FC8" w:rsidRDefault="007336E4" w:rsidP="00C55FC8">
      <w:pPr>
        <w:autoSpaceDE w:val="0"/>
        <w:autoSpaceDN w:val="0"/>
        <w:spacing w:afterLines="120" w:after="288" w:line="276" w:lineRule="auto"/>
        <w:jc w:val="both"/>
        <w:rPr>
          <w:rFonts w:ascii="ITC Avant Garde" w:eastAsia="Times New Roman" w:hAnsi="ITC Avant Garde" w:cs="Times New Roman"/>
          <w:bCs/>
          <w:kern w:val="3"/>
          <w:lang w:eastAsia="ar-SA"/>
        </w:rPr>
      </w:pPr>
      <w:proofErr w:type="gramStart"/>
      <w:r>
        <w:rPr>
          <w:rFonts w:ascii="ITC Avant Garde" w:eastAsia="Times New Roman" w:hAnsi="ITC Avant Garde"/>
          <w:b/>
          <w:bCs/>
          <w:kern w:val="1"/>
          <w:lang w:eastAsia="ar-SA"/>
        </w:rPr>
        <w:t>Quinto</w:t>
      </w:r>
      <w:r w:rsidRPr="00F80E4F">
        <w:rPr>
          <w:rFonts w:ascii="ITC Avant Garde" w:eastAsia="Times New Roman" w:hAnsi="ITC Avant Garde"/>
          <w:b/>
          <w:bCs/>
          <w:kern w:val="1"/>
          <w:lang w:eastAsia="ar-SA"/>
        </w:rPr>
        <w:t>.-</w:t>
      </w:r>
      <w:proofErr w:type="gramEnd"/>
      <w:r w:rsidRPr="00F80E4F">
        <w:rPr>
          <w:rFonts w:ascii="ITC Avant Garde" w:eastAsia="Times New Roman" w:hAnsi="ITC Avant Garde"/>
          <w:b/>
          <w:bCs/>
          <w:kern w:val="1"/>
          <w:lang w:eastAsia="ar-SA"/>
        </w:rPr>
        <w:t xml:space="preserve"> Opinión en materia de competencia económica. </w:t>
      </w:r>
      <w:r w:rsidRPr="00F80E4F">
        <w:rPr>
          <w:rFonts w:ascii="ITC Avant Garde" w:hAnsi="ITC Avant Garde"/>
          <w:lang w:eastAsia="ar-SA"/>
        </w:rPr>
        <w:t xml:space="preserve">De conformidad con el artículo 50 fracción XII del Estatuto Orgánico, la Dirección General de Concentraciones y Concesiones adscrita a la Unidad de Competencia Económica, remitió la opinión señalada en el Antecedente </w:t>
      </w:r>
      <w:r w:rsidR="00280E21">
        <w:rPr>
          <w:rFonts w:ascii="ITC Avant Garde" w:hAnsi="ITC Avant Garde"/>
          <w:lang w:eastAsia="ar-SA"/>
        </w:rPr>
        <w:t>XVI</w:t>
      </w:r>
      <w:r w:rsidRPr="00F80E4F">
        <w:rPr>
          <w:rFonts w:ascii="ITC Avant Garde" w:hAnsi="ITC Avant Garde"/>
          <w:lang w:eastAsia="ar-SA"/>
        </w:rPr>
        <w:t xml:space="preserve">, en donde señaló que </w:t>
      </w:r>
      <w:r w:rsidRPr="00F80E4F">
        <w:rPr>
          <w:rFonts w:ascii="ITC Avant Garde" w:eastAsia="Times New Roman" w:hAnsi="ITC Avant Garde" w:cs="Times New Roman"/>
          <w:bCs/>
          <w:kern w:val="3"/>
          <w:lang w:eastAsia="ar-SA"/>
        </w:rPr>
        <w:t xml:space="preserve">en caso de autorizar la prórroga no se prevé que se generen efectos contrarios </w:t>
      </w:r>
      <w:r>
        <w:rPr>
          <w:rFonts w:ascii="ITC Avant Garde" w:eastAsia="Times New Roman" w:hAnsi="ITC Avant Garde" w:cs="Times New Roman"/>
          <w:bCs/>
          <w:kern w:val="3"/>
          <w:lang w:eastAsia="ar-SA"/>
        </w:rPr>
        <w:t>al</w:t>
      </w:r>
      <w:r w:rsidRPr="00F80E4F">
        <w:rPr>
          <w:rFonts w:ascii="ITC Avant Garde" w:eastAsia="Times New Roman" w:hAnsi="ITC Avant Garde" w:cs="Times New Roman"/>
          <w:bCs/>
          <w:kern w:val="3"/>
          <w:lang w:eastAsia="ar-SA"/>
        </w:rPr>
        <w:t xml:space="preserve"> proceso de competencia y libre concurrencia </w:t>
      </w:r>
      <w:r>
        <w:rPr>
          <w:rFonts w:ascii="ITC Avant Garde" w:eastAsia="Times New Roman" w:hAnsi="ITC Avant Garde" w:cs="Times New Roman"/>
          <w:bCs/>
          <w:kern w:val="3"/>
          <w:lang w:eastAsia="ar-SA"/>
        </w:rPr>
        <w:t xml:space="preserve">relacionados con </w:t>
      </w:r>
      <w:r w:rsidRPr="00F80E4F">
        <w:rPr>
          <w:rFonts w:ascii="ITC Avant Garde" w:eastAsia="Times New Roman" w:hAnsi="ITC Avant Garde" w:cs="Times New Roman"/>
          <w:bCs/>
          <w:kern w:val="3"/>
          <w:lang w:eastAsia="ar-SA"/>
        </w:rPr>
        <w:t>la</w:t>
      </w:r>
      <w:r>
        <w:rPr>
          <w:rFonts w:ascii="ITC Avant Garde" w:eastAsia="Times New Roman" w:hAnsi="ITC Avant Garde" w:cs="Times New Roman"/>
          <w:bCs/>
          <w:kern w:val="3"/>
          <w:lang w:eastAsia="ar-SA"/>
        </w:rPr>
        <w:t xml:space="preserve"> concentración del espectro.</w:t>
      </w:r>
    </w:p>
    <w:p w14:paraId="48BF8611" w14:textId="77777777" w:rsidR="00C55FC8" w:rsidRDefault="00D86F64" w:rsidP="00C55FC8">
      <w:pPr>
        <w:autoSpaceDE w:val="0"/>
        <w:autoSpaceDN w:val="0"/>
        <w:spacing w:afterLines="120" w:after="288" w:line="276" w:lineRule="auto"/>
        <w:jc w:val="both"/>
        <w:rPr>
          <w:rFonts w:ascii="ITC Avant Garde" w:hAnsi="ITC Avant Garde"/>
          <w:lang w:eastAsia="ar-SA"/>
        </w:rPr>
      </w:pPr>
      <w:r>
        <w:rPr>
          <w:rFonts w:ascii="ITC Avant Garde" w:hAnsi="ITC Avant Garde"/>
          <w:lang w:eastAsia="ar-SA"/>
        </w:rPr>
        <w:t xml:space="preserve">No obstante lo anterior, toda vez que </w:t>
      </w:r>
      <w:r w:rsidR="008A0DF9">
        <w:rPr>
          <w:rFonts w:ascii="ITC Avant Garde" w:hAnsi="ITC Avant Garde"/>
          <w:lang w:eastAsia="ar-SA"/>
        </w:rPr>
        <w:t xml:space="preserve">la participación del Solicitante y Personas Vinculadas/Relacionadas representa una participación del 100% (cien por ciento) en la localidad, se recomienda i) evaluar la posibilidad de incluir en futuros Programas Anuales de Uso y Aprovechamiento de Bandas de Frecuencias, la licitación de frecuencias en Santa María Asunción </w:t>
      </w:r>
      <w:proofErr w:type="spellStart"/>
      <w:r w:rsidR="008A0DF9">
        <w:rPr>
          <w:rFonts w:ascii="ITC Avant Garde" w:hAnsi="ITC Avant Garde"/>
          <w:lang w:eastAsia="ar-SA"/>
        </w:rPr>
        <w:t>Tlaxiaco</w:t>
      </w:r>
      <w:proofErr w:type="spellEnd"/>
      <w:r w:rsidR="008A0DF9">
        <w:rPr>
          <w:rFonts w:ascii="ITC Avant Garde" w:hAnsi="ITC Avant Garde"/>
          <w:lang w:eastAsia="ar-SA"/>
        </w:rPr>
        <w:t>, Oaxaca, como concesiones de uso comercial, y ii) en caso de que Solicitante y Personas Vinculadas/Relacionadas estén interesados en participar en futuras licitaciones de frecuencias para estaciones de radio en FM en la localidad, deberán sujetarse a los criterios de acumulación de frecuencias que establezca el Instituto en las bases de licitación correspondientes.</w:t>
      </w:r>
    </w:p>
    <w:p w14:paraId="397913B5" w14:textId="77777777" w:rsidR="00C55FC8" w:rsidRDefault="007336E4" w:rsidP="00C55FC8">
      <w:pPr>
        <w:autoSpaceDE w:val="0"/>
        <w:spacing w:afterLines="120" w:after="288" w:line="276" w:lineRule="auto"/>
        <w:jc w:val="both"/>
        <w:rPr>
          <w:rFonts w:ascii="ITC Avant Garde" w:hAnsi="ITC Avant Garde"/>
        </w:rPr>
      </w:pPr>
      <w:r>
        <w:rPr>
          <w:rFonts w:ascii="ITC Avant Garde" w:eastAsia="Times New Roman" w:hAnsi="ITC Avant Garde"/>
          <w:bCs/>
          <w:kern w:val="3"/>
          <w:lang w:eastAsia="ar-SA"/>
        </w:rPr>
        <w:t>En concordancia con la opinión respecto al análisis en materia de competencia económica y c</w:t>
      </w:r>
      <w:r w:rsidRPr="00F80E4F">
        <w:rPr>
          <w:rFonts w:ascii="ITC Avant Garde" w:eastAsia="Times New Roman" w:hAnsi="ITC Avant Garde"/>
          <w:bCs/>
          <w:kern w:val="3"/>
          <w:lang w:eastAsia="ar-SA"/>
        </w:rPr>
        <w:t>on base en la información disponible</w:t>
      </w:r>
      <w:r>
        <w:rPr>
          <w:rFonts w:ascii="ITC Avant Garde" w:eastAsia="Times New Roman" w:hAnsi="ITC Avant Garde"/>
          <w:bCs/>
          <w:kern w:val="3"/>
          <w:lang w:eastAsia="ar-SA"/>
        </w:rPr>
        <w:t>,</w:t>
      </w:r>
      <w:r w:rsidRPr="00F80E4F">
        <w:rPr>
          <w:rFonts w:ascii="ITC Avant Garde" w:eastAsia="Times New Roman" w:hAnsi="ITC Avant Garde"/>
          <w:bCs/>
          <w:kern w:val="3"/>
          <w:lang w:eastAsia="ar-SA"/>
        </w:rPr>
        <w:t xml:space="preserve"> </w:t>
      </w:r>
      <w:r w:rsidRPr="00F80E4F">
        <w:rPr>
          <w:rFonts w:ascii="ITC Avant Garde" w:eastAsia="Times New Roman" w:hAnsi="ITC Avant Garde"/>
          <w:bCs/>
          <w:iCs/>
          <w:kern w:val="3"/>
          <w:lang w:eastAsia="ar-SA"/>
        </w:rPr>
        <w:t xml:space="preserve">este Pleno considera que </w:t>
      </w:r>
      <w:r>
        <w:rPr>
          <w:rFonts w:ascii="ITC Avant Garde" w:eastAsia="Times New Roman" w:hAnsi="ITC Avant Garde"/>
          <w:bCs/>
          <w:iCs/>
          <w:kern w:val="3"/>
          <w:lang w:eastAsia="ar-SA"/>
        </w:rPr>
        <w:t xml:space="preserve">el otorgamiento de </w:t>
      </w:r>
      <w:r w:rsidRPr="00F80E4F">
        <w:rPr>
          <w:rFonts w:ascii="ITC Avant Garde" w:eastAsia="Times New Roman" w:hAnsi="ITC Avant Garde"/>
          <w:bCs/>
          <w:iCs/>
          <w:kern w:val="3"/>
          <w:lang w:eastAsia="ar-SA"/>
        </w:rPr>
        <w:t xml:space="preserve">la prórroga de la </w:t>
      </w:r>
      <w:r w:rsidRPr="00F80E4F">
        <w:rPr>
          <w:rFonts w:ascii="ITC Avant Garde" w:eastAsia="Times New Roman" w:hAnsi="ITC Avant Garde"/>
          <w:bCs/>
          <w:kern w:val="3"/>
          <w:lang w:eastAsia="ar-SA"/>
        </w:rPr>
        <w:t>Concesión contribuiría a asegurar la continuidad de la prestación del servicio</w:t>
      </w:r>
      <w:r>
        <w:rPr>
          <w:rFonts w:ascii="ITC Avant Garde" w:eastAsia="Times New Roman" w:hAnsi="ITC Avant Garde"/>
          <w:bCs/>
          <w:kern w:val="3"/>
          <w:lang w:eastAsia="ar-SA"/>
        </w:rPr>
        <w:t>,</w:t>
      </w:r>
      <w:r w:rsidRPr="00F80E4F">
        <w:rPr>
          <w:rFonts w:ascii="ITC Avant Garde" w:eastAsia="Times New Roman" w:hAnsi="ITC Avant Garde"/>
          <w:bCs/>
          <w:kern w:val="3"/>
          <w:lang w:eastAsia="ar-SA"/>
        </w:rPr>
        <w:t xml:space="preserve"> así como lograr el objet</w:t>
      </w:r>
      <w:r>
        <w:rPr>
          <w:rFonts w:ascii="ITC Avant Garde" w:eastAsia="Times New Roman" w:hAnsi="ITC Avant Garde"/>
          <w:bCs/>
          <w:kern w:val="3"/>
          <w:lang w:eastAsia="ar-SA"/>
        </w:rPr>
        <w:t>ivo</w:t>
      </w:r>
      <w:r w:rsidRPr="00F80E4F">
        <w:rPr>
          <w:rFonts w:ascii="ITC Avant Garde" w:eastAsia="Times New Roman" w:hAnsi="ITC Avant Garde"/>
          <w:bCs/>
          <w:kern w:val="3"/>
          <w:lang w:eastAsia="ar-SA"/>
        </w:rPr>
        <w:t xml:space="preserve"> del Instituto consistente en el desarrollo eficiente de las telecomunicaciones y la radiodifusión.</w:t>
      </w:r>
    </w:p>
    <w:p w14:paraId="18F7EA69" w14:textId="77777777" w:rsidR="00C55FC8" w:rsidRDefault="007336E4" w:rsidP="00C55FC8">
      <w:pPr>
        <w:autoSpaceDE w:val="0"/>
        <w:autoSpaceDN w:val="0"/>
        <w:spacing w:afterLines="120" w:after="288" w:line="276" w:lineRule="auto"/>
        <w:jc w:val="both"/>
        <w:rPr>
          <w:rFonts w:ascii="ITC Avant Garde" w:eastAsia="Times New Roman" w:hAnsi="ITC Avant Garde"/>
          <w:bCs/>
          <w:kern w:val="3"/>
          <w:lang w:val="es-ES" w:eastAsia="ar-SA"/>
        </w:rPr>
      </w:pPr>
      <w:r w:rsidRPr="00F80E4F">
        <w:rPr>
          <w:rFonts w:ascii="ITC Avant Garde" w:eastAsia="Times New Roman" w:hAnsi="ITC Avant Garde"/>
          <w:bCs/>
          <w:kern w:val="3"/>
          <w:lang w:eastAsia="ar-SA"/>
        </w:rPr>
        <w:lastRenderedPageBreak/>
        <w:t xml:space="preserve">En efecto, </w:t>
      </w:r>
      <w:r w:rsidRPr="00F80E4F">
        <w:rPr>
          <w:rFonts w:ascii="ITC Avant Garde" w:eastAsia="Times New Roman" w:hAnsi="ITC Avant Garde"/>
          <w:bCs/>
          <w:kern w:val="3"/>
          <w:lang w:val="es-ES" w:eastAsia="ar-SA"/>
        </w:rPr>
        <w:t>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w:t>
      </w:r>
    </w:p>
    <w:p w14:paraId="65223505" w14:textId="77777777" w:rsidR="00C55FC8" w:rsidRDefault="007336E4" w:rsidP="00C55FC8">
      <w:pPr>
        <w:autoSpaceDE w:val="0"/>
        <w:spacing w:afterLines="120" w:after="288" w:line="276" w:lineRule="auto"/>
        <w:jc w:val="both"/>
        <w:rPr>
          <w:rFonts w:ascii="ITC Avant Garde" w:eastAsia="Times New Roman" w:hAnsi="ITC Avant Garde"/>
          <w:bCs/>
          <w:iCs/>
          <w:kern w:val="3"/>
          <w:lang w:eastAsia="ar-SA"/>
        </w:rPr>
      </w:pPr>
      <w:r w:rsidRPr="00F80E4F">
        <w:rPr>
          <w:rFonts w:ascii="ITC Avant Garde" w:eastAsia="Times New Roman" w:hAnsi="ITC Avant Garde"/>
          <w:bCs/>
          <w:iCs/>
          <w:kern w:val="3"/>
          <w:lang w:eastAsia="ar-SA"/>
        </w:rPr>
        <w:t>Lo anterior, sin perjuicio de que este Instituto pueda ejercer las facultades regulatorias con que cuenta para investigar y, en su caso, determinar las condiciones de competencia que prevalezcan en los mercados con el objeto de satisfacer los principios y finalidades a que se refieren los artículos 6° apartado B fracción III y 28 párrafos décimo quinto, décimo sexto y décimo séptimo de la Constitución.</w:t>
      </w:r>
    </w:p>
    <w:p w14:paraId="28982765" w14:textId="77777777" w:rsidR="00C55FC8" w:rsidRDefault="003968F7"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r>
        <w:rPr>
          <w:rFonts w:ascii="ITC Avant Garde" w:eastAsia="Times New Roman" w:hAnsi="ITC Avant Garde"/>
          <w:b/>
          <w:bCs/>
          <w:kern w:val="1"/>
          <w:lang w:eastAsia="ar-SA"/>
        </w:rPr>
        <w:t>Sexto</w:t>
      </w:r>
      <w:r w:rsidRPr="00F80E4F">
        <w:rPr>
          <w:rFonts w:ascii="ITC Avant Garde" w:eastAsia="Times New Roman" w:hAnsi="ITC Avant Garde"/>
          <w:b/>
          <w:bCs/>
          <w:kern w:val="1"/>
          <w:lang w:eastAsia="ar-SA"/>
        </w:rPr>
        <w:t>. -</w:t>
      </w:r>
      <w:r w:rsidR="007336E4" w:rsidRPr="00F80E4F">
        <w:rPr>
          <w:rFonts w:ascii="ITC Avant Garde" w:eastAsia="Times New Roman" w:hAnsi="ITC Avant Garde"/>
          <w:b/>
          <w:bCs/>
          <w:kern w:val="1"/>
          <w:lang w:eastAsia="ar-SA"/>
        </w:rPr>
        <w:t xml:space="preserve"> Concesiones para uso comercial. </w:t>
      </w:r>
      <w:r w:rsidR="007336E4" w:rsidRPr="00F80E4F">
        <w:rPr>
          <w:rFonts w:ascii="ITC Avant Garde" w:eastAsia="Times New Roman" w:hAnsi="ITC Avant Garde"/>
          <w:bCs/>
          <w:kern w:val="1"/>
          <w:lang w:eastAsia="ar-SA"/>
        </w:rPr>
        <w:t xml:space="preserve">Como se precisó previamente, en el presente procedimiento de prórroga resulta aplicable la </w:t>
      </w:r>
      <w:r w:rsidR="007336E4" w:rsidRPr="00F80E4F">
        <w:rPr>
          <w:rFonts w:ascii="ITC Avant Garde" w:eastAsia="Times New Roman" w:hAnsi="ITC Avant Garde"/>
          <w:kern w:val="1"/>
          <w:lang w:eastAsia="ar-SA"/>
        </w:rPr>
        <w:t>legislación vigente al momento de la presentación de la Solicitud de Prórroga</w:t>
      </w:r>
      <w:r w:rsidR="007336E4" w:rsidRPr="00F80E4F">
        <w:rPr>
          <w:rFonts w:ascii="ITC Avant Garde" w:eastAsia="Times New Roman" w:hAnsi="ITC Avant Garde"/>
          <w:bCs/>
          <w:kern w:val="1"/>
          <w:lang w:eastAsia="ar-SA"/>
        </w:rPr>
        <w:t>. En tal sentido,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14:paraId="64B10F38"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val="es-ES_tradnl" w:eastAsia="ar-SA"/>
        </w:rPr>
      </w:pPr>
      <w:r w:rsidRPr="00F80E4F">
        <w:rPr>
          <w:rFonts w:ascii="ITC Avant Garde" w:eastAsia="Times New Roman" w:hAnsi="ITC Avant Garde"/>
          <w:bCs/>
          <w:kern w:val="1"/>
          <w:lang w:eastAsia="ar-SA"/>
        </w:rPr>
        <w:t xml:space="preserve">En consecuencia, atento a lo expuesto en el párrafo anterior, así como en razón de haberse satisfecho los requisitos señalados en el Considerando Tercero de la presente Resolución, procede el otorgamiento de las concesiones sobre el espectro radioeléctrico para uso comercial toda vez que el uso, aprovechamiento y explotación de las bandas de frecuencias del espectro radioeléctrico es con fines de lucro, </w:t>
      </w:r>
      <w:r w:rsidRPr="00F80E4F">
        <w:rPr>
          <w:rFonts w:ascii="ITC Avant Garde" w:eastAsia="Times New Roman" w:hAnsi="ITC Avant Garde"/>
          <w:bCs/>
          <w:kern w:val="1"/>
          <w:lang w:val="es-ES_tradnl" w:eastAsia="ar-SA"/>
        </w:rPr>
        <w:t xml:space="preserve">en términos de lo dispuesto por el artículo 76 fracción I de la Ley. </w:t>
      </w:r>
    </w:p>
    <w:p w14:paraId="15C2F3F3"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F80E4F">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w:t>
      </w:r>
    </w:p>
    <w:p w14:paraId="18877D9D"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eastAsia="ar-SA"/>
        </w:rPr>
        <w:t xml:space="preserve">Los </w:t>
      </w:r>
      <w:r w:rsidRPr="00F80E4F">
        <w:rPr>
          <w:rFonts w:ascii="ITC Avant Garde" w:eastAsia="Times New Roman" w:hAnsi="ITC Avant Garde"/>
          <w:b/>
          <w:bCs/>
          <w:kern w:val="1"/>
          <w:lang w:eastAsia="ar-SA"/>
        </w:rPr>
        <w:t xml:space="preserve">Anexos 1 y 2 </w:t>
      </w:r>
      <w:r w:rsidRPr="00F80E4F">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 sujeto el concesionario involucrado.</w:t>
      </w:r>
    </w:p>
    <w:p w14:paraId="65E89ABE" w14:textId="77777777" w:rsidR="00C55FC8" w:rsidRDefault="003968F7" w:rsidP="00C55FC8">
      <w:pPr>
        <w:suppressAutoHyphens/>
        <w:autoSpaceDE w:val="0"/>
        <w:autoSpaceDN w:val="0"/>
        <w:adjustRightInd w:val="0"/>
        <w:spacing w:afterLines="120" w:after="288" w:line="276" w:lineRule="auto"/>
        <w:jc w:val="both"/>
        <w:textAlignment w:val="baseline"/>
        <w:rPr>
          <w:rFonts w:ascii="ITC Avant Garde" w:eastAsia="Times New Roman" w:hAnsi="ITC Avant Garde"/>
          <w:bCs/>
          <w:kern w:val="1"/>
          <w:lang w:eastAsia="ar-SA"/>
        </w:rPr>
      </w:pPr>
      <w:r>
        <w:rPr>
          <w:rFonts w:ascii="ITC Avant Garde" w:eastAsia="Times New Roman" w:hAnsi="ITC Avant Garde" w:cs="Times New Roman"/>
          <w:b/>
          <w:bCs/>
          <w:kern w:val="3"/>
          <w:lang w:val="es-ES" w:eastAsia="ar-SA"/>
        </w:rPr>
        <w:lastRenderedPageBreak/>
        <w:t>Séptimo</w:t>
      </w:r>
      <w:r w:rsidRPr="00F80E4F">
        <w:rPr>
          <w:rFonts w:ascii="ITC Avant Garde" w:eastAsia="Times New Roman" w:hAnsi="ITC Avant Garde" w:cs="Times New Roman"/>
          <w:b/>
          <w:bCs/>
          <w:kern w:val="3"/>
          <w:lang w:val="es-ES" w:eastAsia="ar-SA"/>
        </w:rPr>
        <w:t>.</w:t>
      </w:r>
      <w:r w:rsidRPr="00F80E4F">
        <w:rPr>
          <w:rFonts w:ascii="ITC Avant Garde" w:eastAsia="Times New Roman" w:hAnsi="ITC Avant Garde" w:cs="Times New Roman"/>
          <w:bCs/>
          <w:kern w:val="3"/>
          <w:lang w:val="es-ES" w:eastAsia="ar-SA"/>
        </w:rPr>
        <w:t xml:space="preserve"> -</w:t>
      </w:r>
      <w:r w:rsidR="007336E4" w:rsidRPr="00F80E4F">
        <w:rPr>
          <w:rFonts w:ascii="ITC Avant Garde" w:eastAsia="Times New Roman" w:hAnsi="ITC Avant Garde" w:cs="Times New Roman"/>
          <w:bCs/>
          <w:kern w:val="3"/>
          <w:lang w:val="es-ES" w:eastAsia="ar-SA"/>
        </w:rPr>
        <w:t xml:space="preserve"> </w:t>
      </w:r>
      <w:r w:rsidR="007336E4" w:rsidRPr="00F80E4F">
        <w:rPr>
          <w:rFonts w:ascii="ITC Avant Garde" w:eastAsia="Times New Roman" w:hAnsi="ITC Avant Garde"/>
          <w:b/>
          <w:bCs/>
          <w:kern w:val="1"/>
          <w:lang w:val="es-ES" w:eastAsia="ar-SA"/>
        </w:rPr>
        <w:t xml:space="preserve">Vigencia de las concesiones para uso comercial. </w:t>
      </w:r>
      <w:r w:rsidR="007336E4" w:rsidRPr="00F80E4F">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14:paraId="3F3F5D7E" w14:textId="77777777" w:rsidR="00C55FC8" w:rsidRDefault="007336E4" w:rsidP="00C55FC8">
      <w:pPr>
        <w:autoSpaceDE w:val="0"/>
        <w:autoSpaceDN w:val="0"/>
        <w:adjustRightInd w:val="0"/>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eastAsia="ar-SA"/>
        </w:rPr>
        <w:t>En este sentido, la vigencia de la concesi</w:t>
      </w:r>
      <w:r>
        <w:rPr>
          <w:rFonts w:ascii="ITC Avant Garde" w:eastAsia="Times New Roman" w:hAnsi="ITC Avant Garde"/>
          <w:bCs/>
          <w:kern w:val="1"/>
          <w:lang w:eastAsia="ar-SA"/>
        </w:rPr>
        <w:t>ón</w:t>
      </w:r>
      <w:r w:rsidRPr="00F80E4F">
        <w:rPr>
          <w:rFonts w:ascii="ITC Avant Garde" w:eastAsia="Times New Roman" w:hAnsi="ITC Avant Garde"/>
          <w:bCs/>
          <w:kern w:val="1"/>
          <w:lang w:eastAsia="ar-SA"/>
        </w:rPr>
        <w:t xml:space="preserve"> </w:t>
      </w:r>
      <w:r w:rsidRPr="00F80E4F">
        <w:rPr>
          <w:rFonts w:ascii="ITC Avant Garde" w:eastAsia="Times New Roman" w:hAnsi="ITC Avant Garde"/>
          <w:bCs/>
          <w:kern w:val="1"/>
          <w:lang w:val="es-ES_tradnl" w:eastAsia="ar-SA"/>
        </w:rPr>
        <w:t>sobre el espectro radioeléctrico para uso comercial que con motivo de la presente Resolución se otorgue, será</w:t>
      </w:r>
      <w:r w:rsidRPr="00F80E4F">
        <w:rPr>
          <w:rFonts w:ascii="ITC Avant Garde" w:eastAsia="Times New Roman" w:hAnsi="ITC Avant Garde"/>
          <w:bCs/>
          <w:kern w:val="1"/>
          <w:lang w:eastAsia="ar-SA"/>
        </w:rPr>
        <w:t xml:space="preserve"> de 20 (veinte) años, en tanto que la vigencia de la concesi</w:t>
      </w:r>
      <w:r>
        <w:rPr>
          <w:rFonts w:ascii="ITC Avant Garde" w:eastAsia="Times New Roman" w:hAnsi="ITC Avant Garde"/>
          <w:bCs/>
          <w:kern w:val="1"/>
          <w:lang w:eastAsia="ar-SA"/>
        </w:rPr>
        <w:t>ón</w:t>
      </w:r>
      <w:r w:rsidRPr="00F80E4F">
        <w:rPr>
          <w:rFonts w:ascii="ITC Avant Garde" w:eastAsia="Times New Roman" w:hAnsi="ITC Avant Garde"/>
          <w:bCs/>
          <w:kern w:val="1"/>
          <w:lang w:eastAsia="ar-SA"/>
        </w:rPr>
        <w:t xml:space="preserve"> única para uso comercial tendrá una vigencia de 30 (treinta) años, contados a partir del día siguiente de la fecha de vencimiento establecida en la Concesi</w:t>
      </w:r>
      <w:r>
        <w:rPr>
          <w:rFonts w:ascii="ITC Avant Garde" w:eastAsia="Times New Roman" w:hAnsi="ITC Avant Garde"/>
          <w:bCs/>
          <w:kern w:val="1"/>
          <w:lang w:eastAsia="ar-SA"/>
        </w:rPr>
        <w:t>ón</w:t>
      </w:r>
      <w:r w:rsidRPr="00F80E4F">
        <w:rPr>
          <w:rFonts w:ascii="ITC Avant Garde" w:eastAsia="Times New Roman" w:hAnsi="ITC Avant Garde"/>
          <w:bCs/>
          <w:kern w:val="1"/>
          <w:lang w:eastAsia="ar-SA"/>
        </w:rPr>
        <w:t xml:space="preserve"> respectiva.</w:t>
      </w:r>
    </w:p>
    <w:p w14:paraId="7CA2E60D" w14:textId="77777777" w:rsidR="00C55FC8" w:rsidRDefault="007336E4" w:rsidP="00C55FC8">
      <w:pPr>
        <w:autoSpaceDE w:val="0"/>
        <w:autoSpaceDN w:val="0"/>
        <w:adjustRightInd w:val="0"/>
        <w:spacing w:afterLines="120" w:after="288" w:line="276" w:lineRule="auto"/>
        <w:jc w:val="both"/>
        <w:rPr>
          <w:rFonts w:ascii="ITC Avant Garde" w:hAnsi="ITC Avant Garde"/>
          <w:bCs/>
          <w:color w:val="000000"/>
        </w:rPr>
      </w:pPr>
      <w:r w:rsidRPr="00F80E4F">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6183D2BD" w14:textId="77777777" w:rsidR="00C55FC8" w:rsidRDefault="007336E4" w:rsidP="00C55FC8">
      <w:pPr>
        <w:tabs>
          <w:tab w:val="left" w:pos="0"/>
        </w:tabs>
        <w:autoSpaceDE w:val="0"/>
        <w:autoSpaceDN w:val="0"/>
        <w:adjustRightInd w:val="0"/>
        <w:spacing w:afterLines="120" w:after="288" w:line="276" w:lineRule="auto"/>
        <w:jc w:val="both"/>
        <w:rPr>
          <w:rFonts w:ascii="ITC Avant Garde" w:eastAsia="Calibri" w:hAnsi="ITC Avant Garde" w:cs="Times New Roman"/>
        </w:rPr>
      </w:pPr>
      <w:r w:rsidRPr="00F80E4F">
        <w:rPr>
          <w:rFonts w:ascii="ITC Avant Garde" w:eastAsia="Calibri" w:hAnsi="ITC Avant Garde" w:cs="Times New Roman"/>
        </w:rPr>
        <w:t>Finalmente, se debe advertir que dicho plazo máximo previsto en la Ley es congruente con la vigencia otorgada para las concesiones para uso comercial en materia de radiodifusión que el Instituto ha resuelto previamente a favor de otros concesionarios, lo cual refleja un trato equitativo en relación con las concesiones cuyo otorgamiento se resuelve en virtud de la presente Resolución.</w:t>
      </w:r>
    </w:p>
    <w:p w14:paraId="298DD6FD" w14:textId="77777777" w:rsidR="00C55FC8" w:rsidRDefault="003968F7" w:rsidP="00C55FC8">
      <w:pPr>
        <w:spacing w:afterLines="120" w:after="288" w:line="276" w:lineRule="auto"/>
        <w:ind w:right="-62"/>
        <w:jc w:val="both"/>
        <w:rPr>
          <w:rFonts w:ascii="ITC Avant Garde" w:eastAsia="Times New Roman" w:hAnsi="ITC Avant Garde" w:cs="Times New Roman"/>
          <w:kern w:val="3"/>
          <w:lang w:val="es-ES_tradnl" w:eastAsia="ar-SA"/>
        </w:rPr>
      </w:pPr>
      <w:r>
        <w:rPr>
          <w:rFonts w:ascii="ITC Avant Garde" w:eastAsia="Times New Roman" w:hAnsi="ITC Avant Garde"/>
          <w:b/>
          <w:bCs/>
          <w:kern w:val="1"/>
          <w:lang w:val="es-ES" w:eastAsia="ar-SA"/>
        </w:rPr>
        <w:t>Octavo</w:t>
      </w:r>
      <w:r w:rsidRPr="00F80E4F">
        <w:rPr>
          <w:rFonts w:ascii="ITC Avant Garde" w:eastAsia="Times New Roman" w:hAnsi="ITC Avant Garde"/>
          <w:b/>
          <w:bCs/>
          <w:kern w:val="1"/>
          <w:lang w:val="es-ES" w:eastAsia="ar-SA"/>
        </w:rPr>
        <w:t>.</w:t>
      </w:r>
      <w:r w:rsidRPr="00F80E4F">
        <w:rPr>
          <w:rFonts w:ascii="ITC Avant Garde" w:eastAsia="Times New Roman" w:hAnsi="ITC Avant Garde"/>
          <w:bCs/>
          <w:kern w:val="1"/>
          <w:lang w:val="es-ES" w:eastAsia="ar-SA"/>
        </w:rPr>
        <w:t xml:space="preserve"> -</w:t>
      </w:r>
      <w:r w:rsidR="007336E4" w:rsidRPr="00F80E4F">
        <w:rPr>
          <w:rFonts w:ascii="ITC Avant Garde" w:eastAsia="Times New Roman" w:hAnsi="ITC Avant Garde"/>
          <w:bCs/>
          <w:kern w:val="1"/>
          <w:lang w:val="es-ES" w:eastAsia="ar-SA"/>
        </w:rPr>
        <w:t xml:space="preserve"> </w:t>
      </w:r>
      <w:r w:rsidR="007336E4" w:rsidRPr="00F80E4F">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00AB7832" w:rsidRPr="00255796">
        <w:rPr>
          <w:rFonts w:ascii="ITC Avant Garde" w:eastAsia="Times New Roman" w:hAnsi="ITC Avant Garde" w:cs="Times New Roman"/>
          <w:kern w:val="3"/>
          <w:lang w:val="es-ES_tradnl" w:eastAsia="ar-SA"/>
        </w:rPr>
        <w:t>L</w:t>
      </w:r>
      <w:r w:rsidR="00AB7832" w:rsidRPr="00255796">
        <w:rPr>
          <w:rFonts w:ascii="ITC Avant Garde" w:eastAsia="Times New Roman" w:hAnsi="ITC Avant Garde" w:cs="Times New Roman"/>
          <w:kern w:val="3"/>
          <w:lang w:val="es-ES" w:eastAsia="ar-SA"/>
        </w:rPr>
        <w:t xml:space="preserve">a banda de frecuencias del espectro radioeléctrico objeto de la Concesión, en términos de los </w:t>
      </w:r>
      <w:r w:rsidR="00AB7832" w:rsidRPr="00255796">
        <w:rPr>
          <w:rFonts w:ascii="ITC Avant Garde" w:eastAsia="Times New Roman" w:hAnsi="ITC Avant Garde" w:cs="Times New Roman"/>
          <w:kern w:val="3"/>
          <w:lang w:val="es-ES_tradnl" w:eastAsia="ar-SA"/>
        </w:rPr>
        <w:t>párrafos cuarto y sexto del artículo 27 de la Constitución,</w:t>
      </w:r>
      <w:r w:rsidR="00AB7832" w:rsidRPr="00255796">
        <w:rPr>
          <w:rFonts w:ascii="ITC Avant Garde" w:eastAsia="Times New Roman" w:hAnsi="ITC Avant Garde" w:cs="Times New Roman"/>
          <w:kern w:val="3"/>
          <w:lang w:val="es-ES" w:eastAsia="ar-SA"/>
        </w:rPr>
        <w:t xml:space="preserve"> constituye </w:t>
      </w:r>
      <w:r w:rsidR="00AB7832" w:rsidRPr="00255796">
        <w:rPr>
          <w:rFonts w:ascii="ITC Avant Garde" w:eastAsia="Times New Roman" w:hAnsi="ITC Avant Garde" w:cs="Times New Roman"/>
          <w:kern w:val="3"/>
          <w:lang w:val="es-ES_tradnl" w:eastAsia="ar-SA"/>
        </w:rPr>
        <w:t>un bien del dominio directo de la Nación, cuyo uso, aprovechamiento o explotación puede ser otorgado en concesión a los particulares para prestar el servicio público de radiodifusión.</w:t>
      </w:r>
    </w:p>
    <w:p w14:paraId="03AE798B" w14:textId="77777777" w:rsidR="00C55FC8" w:rsidRDefault="00AB7832" w:rsidP="00C55FC8">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val="es-ES_tradnl" w:eastAsia="ar-SA"/>
        </w:rPr>
        <w:t xml:space="preserve">El espacio aéreo </w:t>
      </w:r>
      <w:r w:rsidRPr="00255796">
        <w:rPr>
          <w:rFonts w:ascii="ITC Avant Garde" w:eastAsia="Times New Roman" w:hAnsi="ITC Avant Garde" w:cs="Times New Roman"/>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255796">
        <w:rPr>
          <w:rFonts w:ascii="ITC Avant Garde" w:eastAsia="Times New Roman" w:hAnsi="ITC Avant Garde" w:cs="Times New Roman"/>
          <w:kern w:val="3"/>
          <w:lang w:val="es-ES_tradnl" w:eastAsia="ar-SA"/>
        </w:rPr>
        <w:t xml:space="preserve">es decir, el espectro radioeléctrico, conforme a lo establecido en el artículo 134 de la propia Constitución, constituye un recurso económico del Estado, al efecto dicho precepto establece: </w:t>
      </w:r>
    </w:p>
    <w:p w14:paraId="69B0DA27" w14:textId="77777777" w:rsidR="00C55FC8" w:rsidRDefault="00AB7832" w:rsidP="00C55FC8">
      <w:pPr>
        <w:suppressAutoHyphens/>
        <w:autoSpaceDN w:val="0"/>
        <w:spacing w:afterLines="120" w:after="288" w:line="276" w:lineRule="auto"/>
        <w:ind w:left="567" w:right="709"/>
        <w:jc w:val="both"/>
        <w:textAlignment w:val="baseline"/>
        <w:rPr>
          <w:rFonts w:ascii="Calibri" w:eastAsia="Calibri" w:hAnsi="Calibri" w:cs="Times New Roman"/>
        </w:rPr>
      </w:pPr>
      <w:r w:rsidRPr="00255796">
        <w:rPr>
          <w:rFonts w:ascii="ITC Avant Garde" w:eastAsia="Times New Roman" w:hAnsi="ITC Avant Garde" w:cs="Times New Roman"/>
          <w:b/>
          <w:bCs/>
          <w:i/>
          <w:kern w:val="3"/>
          <w:sz w:val="18"/>
          <w:szCs w:val="18"/>
          <w:lang w:eastAsia="ar-SA"/>
        </w:rPr>
        <w:t xml:space="preserve">“Artículo 134. </w:t>
      </w:r>
      <w:r w:rsidRPr="00255796">
        <w:rPr>
          <w:rFonts w:ascii="ITC Avant Garde" w:eastAsia="Times New Roman" w:hAnsi="ITC Avant Garde" w:cs="Times New Roman"/>
          <w:i/>
          <w:kern w:val="3"/>
          <w:sz w:val="18"/>
          <w:szCs w:val="18"/>
          <w:lang w:eastAsia="ar-SA"/>
        </w:rPr>
        <w:t xml:space="preserve">Los recursos económicos de que dispongan la Federación, los estados, los municipios, el Distrito Federal y los órganos político-administrativos de sus demarcaciones territoriales, </w:t>
      </w:r>
      <w:r w:rsidRPr="00255796">
        <w:rPr>
          <w:rFonts w:ascii="ITC Avant Garde" w:eastAsia="Times New Roman" w:hAnsi="ITC Avant Garde" w:cs="Times New Roman"/>
          <w:b/>
          <w:i/>
          <w:kern w:val="3"/>
          <w:sz w:val="18"/>
          <w:szCs w:val="18"/>
          <w:lang w:eastAsia="ar-SA"/>
        </w:rPr>
        <w:t>se administrarán con eficiencia, eficacia, economía, transparencia y honradez para satisfacer los objetivos a los que estén destinados.</w:t>
      </w:r>
      <w:r w:rsidRPr="00255796">
        <w:rPr>
          <w:rFonts w:ascii="ITC Avant Garde" w:eastAsia="Times New Roman" w:hAnsi="ITC Avant Garde" w:cs="Times New Roman"/>
          <w:i/>
          <w:kern w:val="3"/>
          <w:sz w:val="18"/>
          <w:szCs w:val="18"/>
          <w:lang w:eastAsia="ar-SA"/>
        </w:rPr>
        <w:t xml:space="preserve"> </w:t>
      </w:r>
    </w:p>
    <w:p w14:paraId="0EA5E7A1" w14:textId="57797601" w:rsidR="00AB7832" w:rsidRPr="00255796" w:rsidRDefault="00AB7832" w:rsidP="00C55FC8">
      <w:pPr>
        <w:suppressAutoHyphens/>
        <w:autoSpaceDN w:val="0"/>
        <w:spacing w:afterLines="120" w:after="288" w:line="276" w:lineRule="auto"/>
        <w:ind w:left="567" w:right="709"/>
        <w:jc w:val="both"/>
        <w:textAlignment w:val="baseline"/>
        <w:rPr>
          <w:rFonts w:ascii="ITC Avant Garde" w:eastAsia="Times New Roman" w:hAnsi="ITC Avant Garde" w:cs="Times New Roman"/>
          <w:i/>
          <w:iCs/>
          <w:kern w:val="3"/>
          <w:sz w:val="18"/>
          <w:szCs w:val="18"/>
          <w:lang w:eastAsia="ar-SA"/>
        </w:rPr>
      </w:pPr>
      <w:r w:rsidRPr="00255796">
        <w:rPr>
          <w:rFonts w:ascii="ITC Avant Garde" w:eastAsia="Times New Roman" w:hAnsi="ITC Avant Garde" w:cs="Times New Roman"/>
          <w:i/>
          <w:iCs/>
          <w:kern w:val="3"/>
          <w:sz w:val="18"/>
          <w:szCs w:val="18"/>
          <w:lang w:eastAsia="ar-SA"/>
        </w:rPr>
        <w:t>…</w:t>
      </w:r>
    </w:p>
    <w:p w14:paraId="6FB1119B" w14:textId="77777777" w:rsidR="00C55FC8" w:rsidRDefault="00AB7832" w:rsidP="00C55FC8">
      <w:pPr>
        <w:suppressAutoHyphens/>
        <w:autoSpaceDN w:val="0"/>
        <w:spacing w:afterLines="120" w:after="288" w:line="276" w:lineRule="auto"/>
        <w:ind w:left="567" w:right="709"/>
        <w:jc w:val="both"/>
        <w:textAlignment w:val="baseline"/>
        <w:rPr>
          <w:rFonts w:ascii="ITC Avant Garde" w:eastAsia="Times New Roman" w:hAnsi="ITC Avant Garde" w:cs="Times New Roman"/>
          <w:i/>
          <w:iCs/>
          <w:kern w:val="3"/>
          <w:sz w:val="18"/>
          <w:szCs w:val="18"/>
          <w:lang w:eastAsia="ar-SA"/>
        </w:rPr>
      </w:pPr>
      <w:r w:rsidRPr="00255796">
        <w:rPr>
          <w:rFonts w:ascii="ITC Avant Garde" w:eastAsia="Times New Roman" w:hAnsi="ITC Avant Garde" w:cs="Times New Roman"/>
          <w:i/>
          <w:iCs/>
          <w:kern w:val="3"/>
          <w:sz w:val="18"/>
          <w:szCs w:val="18"/>
          <w:lang w:eastAsia="ar-SA"/>
        </w:rPr>
        <w:lastRenderedPageBreak/>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6DB3355F" w14:textId="77777777" w:rsidR="00C55FC8" w:rsidRDefault="00AB7832" w:rsidP="00C55FC8">
      <w:pPr>
        <w:suppressAutoHyphens/>
        <w:autoSpaceDN w:val="0"/>
        <w:spacing w:afterLines="120" w:after="288" w:line="276" w:lineRule="auto"/>
        <w:ind w:left="567" w:right="709"/>
        <w:jc w:val="both"/>
        <w:textAlignment w:val="baseline"/>
        <w:rPr>
          <w:rFonts w:ascii="Calibri" w:eastAsia="Calibri" w:hAnsi="Calibri" w:cs="Times New Roman"/>
        </w:rPr>
      </w:pPr>
      <w:r w:rsidRPr="00255796">
        <w:rPr>
          <w:rFonts w:ascii="ITC Avant Garde" w:eastAsia="Times New Roman" w:hAnsi="ITC Avant Garde" w:cs="Times New Roman"/>
          <w:i/>
          <w:iCs/>
          <w:kern w:val="3"/>
          <w:sz w:val="18"/>
          <w:szCs w:val="18"/>
          <w:lang w:eastAsia="ar-SA"/>
        </w:rPr>
        <w:t xml:space="preserve">Cuando las licitaciones a que hace referencia el párrafo anterior no sean idóneas para asegurar dichas condiciones, </w:t>
      </w:r>
      <w:r w:rsidRPr="00255796">
        <w:rPr>
          <w:rFonts w:ascii="ITC Avant Garde" w:eastAsia="Times New Roman" w:hAnsi="ITC Avant Garde" w:cs="Times New Roman"/>
          <w:b/>
          <w:i/>
          <w:iCs/>
          <w:kern w:val="3"/>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79D626B5" w14:textId="77777777" w:rsidR="00C55FC8" w:rsidRDefault="00AB7832" w:rsidP="00C55FC8">
      <w:pPr>
        <w:suppressAutoHyphens/>
        <w:autoSpaceDN w:val="0"/>
        <w:spacing w:afterLines="120" w:after="288" w:line="276" w:lineRule="auto"/>
        <w:ind w:left="567" w:right="709"/>
        <w:jc w:val="both"/>
        <w:textAlignment w:val="baseline"/>
        <w:rPr>
          <w:rFonts w:ascii="Calibri" w:eastAsia="Calibri" w:hAnsi="Calibri" w:cs="Times New Roman"/>
        </w:rPr>
      </w:pPr>
      <w:r w:rsidRPr="00255796">
        <w:rPr>
          <w:rFonts w:ascii="ITC Avant Garde" w:eastAsia="Times New Roman" w:hAnsi="ITC Avant Garde" w:cs="Times New Roman"/>
          <w:i/>
          <w:iCs/>
          <w:kern w:val="3"/>
          <w:sz w:val="18"/>
          <w:szCs w:val="18"/>
          <w:lang w:eastAsia="ar-SA"/>
        </w:rPr>
        <w:t>...”</w:t>
      </w:r>
      <w:r w:rsidRPr="00255796">
        <w:rPr>
          <w:rFonts w:ascii="ITC Avant Garde" w:eastAsia="Times New Roman" w:hAnsi="ITC Avant Garde" w:cs="Times New Roman"/>
          <w:kern w:val="3"/>
          <w:sz w:val="18"/>
          <w:szCs w:val="18"/>
          <w:lang w:eastAsia="ar-SA"/>
        </w:rPr>
        <w:t xml:space="preserve"> </w:t>
      </w:r>
    </w:p>
    <w:p w14:paraId="09125308" w14:textId="77777777" w:rsidR="00C55FC8" w:rsidRDefault="00AB7832" w:rsidP="00C55FC8">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val="es-ES_tradnl" w:eastAsia="ar-SA"/>
        </w:rPr>
        <w:t>En ese sentido, es importante señalar que</w:t>
      </w:r>
      <w:r w:rsidRPr="00255796">
        <w:rPr>
          <w:rFonts w:ascii="ITC Avant Garde" w:eastAsia="Times New Roman" w:hAnsi="ITC Avant Garde" w:cs="Times New Roman"/>
          <w:i/>
          <w:kern w:val="3"/>
          <w:lang w:eastAsia="ar-SA"/>
        </w:rPr>
        <w:t xml:space="preserve">, </w:t>
      </w:r>
      <w:r w:rsidRPr="00255796">
        <w:rPr>
          <w:rFonts w:ascii="ITC Avant Garde" w:eastAsia="Times New Roman" w:hAnsi="ITC Avant Garde" w:cs="Times New Roman"/>
          <w:kern w:val="3"/>
          <w:lang w:eastAsia="ar-SA"/>
        </w:rPr>
        <w:t>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14:paraId="10E27234" w14:textId="77777777" w:rsidR="00C55FC8" w:rsidRDefault="00AB7832" w:rsidP="00C55FC8">
      <w:pPr>
        <w:suppressAutoHyphens/>
        <w:autoSpaceDN w:val="0"/>
        <w:spacing w:afterLines="120" w:after="288" w:line="276" w:lineRule="auto"/>
        <w:ind w:right="-62"/>
        <w:jc w:val="both"/>
        <w:textAlignment w:val="baseline"/>
        <w:rPr>
          <w:rFonts w:ascii="ITC Avant Garde" w:eastAsia="Times New Roman" w:hAnsi="ITC Avant Garde" w:cs="Times New Roman"/>
          <w:kern w:val="3"/>
          <w:lang w:val="es-ES_tradnl" w:eastAsia="ar-SA"/>
        </w:rPr>
      </w:pPr>
      <w:r w:rsidRPr="00255796">
        <w:rPr>
          <w:rFonts w:ascii="ITC Avant Garde" w:eastAsia="Times New Roman" w:hAnsi="ITC Avant Garde" w:cs="Times New Roman"/>
          <w:kern w:val="3"/>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w:t>
      </w:r>
      <w:r w:rsidRPr="00F44160">
        <w:rPr>
          <w:rFonts w:ascii="ITC Avant Garde" w:eastAsia="Times New Roman" w:hAnsi="ITC Avant Garde"/>
          <w:kern w:val="1"/>
          <w:lang w:val="es-ES_tradnl" w:eastAsia="ar-SA"/>
        </w:rPr>
        <w:t>los artículos 28 párrafo décimo séptimo de la Constitución y 114 de la Ley</w:t>
      </w:r>
      <w:r>
        <w:rPr>
          <w:rFonts w:ascii="ITC Avant Garde" w:eastAsia="Times New Roman" w:hAnsi="ITC Avant Garde" w:cs="Times New Roman"/>
          <w:kern w:val="3"/>
          <w:lang w:val="es-ES_tradnl" w:eastAsia="ar-SA"/>
        </w:rPr>
        <w:t>.</w:t>
      </w:r>
    </w:p>
    <w:p w14:paraId="796A1900" w14:textId="77777777" w:rsidR="00C55FC8" w:rsidRDefault="00AB7832" w:rsidP="00C55FC8">
      <w:pPr>
        <w:suppressAutoHyphens/>
        <w:autoSpaceDN w:val="0"/>
        <w:spacing w:afterLines="120" w:after="288" w:line="276" w:lineRule="auto"/>
        <w:ind w:right="-62"/>
        <w:jc w:val="both"/>
        <w:textAlignment w:val="baseline"/>
        <w:rPr>
          <w:rFonts w:ascii="ITC Avant Garde" w:eastAsia="Times New Roman" w:hAnsi="ITC Avant Garde" w:cs="Times New Roman"/>
          <w:kern w:val="3"/>
          <w:lang w:eastAsia="ar-SA"/>
        </w:rPr>
      </w:pPr>
      <w:r w:rsidRPr="00255796">
        <w:rPr>
          <w:rFonts w:ascii="ITC Avant Garde" w:eastAsia="Times New Roman" w:hAnsi="ITC Avant Garde" w:cs="Times New Roman"/>
          <w:kern w:val="3"/>
          <w:lang w:val="es-ES_tradnl" w:eastAsia="ar-SA"/>
        </w:rPr>
        <w:t xml:space="preserve">Derivado de lo anterior, </w:t>
      </w:r>
      <w:r w:rsidRPr="00255796">
        <w:rPr>
          <w:rFonts w:ascii="ITC Avant Garde" w:eastAsia="Times New Roman" w:hAnsi="ITC Avant Garde" w:cs="Times New Roman"/>
          <w:kern w:val="3"/>
          <w:lang w:eastAsia="ar-SA"/>
        </w:rPr>
        <w:t xml:space="preserve">es necesario identificar el alcance de dicho precepto en relación con el pago de una contraprestación a favor del Estado. </w:t>
      </w:r>
    </w:p>
    <w:p w14:paraId="736A4B03" w14:textId="77777777" w:rsidR="00C55FC8" w:rsidRDefault="00AB7832" w:rsidP="00C55FC8">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eastAsia="ar-SA"/>
        </w:rPr>
        <w:t xml:space="preserve">Al respecto, es importante señalar que el término “otorgamiento”, de acuerdo con el Diccionario de la Real Academia Española deriva del verbo </w:t>
      </w:r>
      <w:r w:rsidRPr="00255796">
        <w:rPr>
          <w:rFonts w:ascii="ITC Avant Garde" w:eastAsia="Times New Roman" w:hAnsi="ITC Avant Garde" w:cs="Times New Roman"/>
          <w:b/>
          <w:i/>
          <w:kern w:val="3"/>
          <w:lang w:eastAsia="ar-SA"/>
        </w:rPr>
        <w:t>otorgar</w:t>
      </w:r>
      <w:r w:rsidRPr="00255796">
        <w:rPr>
          <w:rFonts w:ascii="ITC Avant Garde" w:eastAsia="Times New Roman" w:hAnsi="ITC Avant Garde" w:cs="Times New Roman"/>
          <w:kern w:val="3"/>
          <w:lang w:eastAsia="ar-SA"/>
        </w:rPr>
        <w:t>, definido éste como “</w:t>
      </w:r>
      <w:r w:rsidRPr="00255796">
        <w:rPr>
          <w:rFonts w:ascii="ITC Avant Garde" w:eastAsia="Times New Roman" w:hAnsi="ITC Avant Garde" w:cs="Times New Roman"/>
          <w:i/>
          <w:kern w:val="3"/>
          <w:lang w:eastAsia="ar-SA"/>
        </w:rPr>
        <w:t>consentir, condescender o conceder algo que se pide o se pregunta”</w:t>
      </w:r>
      <w:r w:rsidRPr="00255796">
        <w:rPr>
          <w:rFonts w:ascii="ITC Avant Garde" w:eastAsia="Times New Roman" w:hAnsi="ITC Avant Garde" w:cs="Times New Roman"/>
          <w:i/>
          <w:kern w:val="3"/>
          <w:vertAlign w:val="superscript"/>
          <w:lang w:eastAsia="ar-SA"/>
        </w:rPr>
        <w:footnoteReference w:id="1"/>
      </w:r>
      <w:r w:rsidRPr="00255796">
        <w:rPr>
          <w:rFonts w:ascii="ITC Avant Garde" w:eastAsia="Times New Roman" w:hAnsi="ITC Avant Garde" w:cs="Times New Roman"/>
          <w:kern w:val="3"/>
          <w:lang w:eastAsia="ar-SA"/>
        </w:rPr>
        <w:t>.</w:t>
      </w:r>
    </w:p>
    <w:p w14:paraId="7BB84F5D" w14:textId="77777777" w:rsidR="00C55FC8" w:rsidRDefault="00AB7832" w:rsidP="00C55FC8">
      <w:pPr>
        <w:suppressAutoHyphens/>
        <w:autoSpaceDN w:val="0"/>
        <w:spacing w:afterLines="120" w:after="288" w:line="276" w:lineRule="auto"/>
        <w:jc w:val="both"/>
        <w:textAlignment w:val="baseline"/>
        <w:rPr>
          <w:rFonts w:ascii="ITC Avant Garde" w:eastAsia="Calibri" w:hAnsi="ITC Avant Garde" w:cs="Times New Roman"/>
        </w:rPr>
      </w:pPr>
      <w:r w:rsidRPr="00255796">
        <w:rPr>
          <w:rFonts w:ascii="ITC Avant Garde" w:eastAsia="Calibri" w:hAnsi="ITC Avant Garde" w:cs="Times New Roman"/>
        </w:rPr>
        <w:t xml:space="preserve">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w:t>
      </w:r>
      <w:r w:rsidRPr="00255796">
        <w:rPr>
          <w:rFonts w:ascii="ITC Avant Garde" w:eastAsia="Calibri" w:hAnsi="ITC Avant Garde" w:cs="Times New Roman"/>
        </w:rPr>
        <w:lastRenderedPageBreak/>
        <w:t>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14:paraId="1C30A235" w14:textId="77777777" w:rsidR="00C55FC8" w:rsidRDefault="00AB7832" w:rsidP="00C55FC8">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val="es-ES_tradnl" w:eastAsia="ar-SA"/>
        </w:rPr>
        <w:t xml:space="preserve">En ese sentido, </w:t>
      </w:r>
      <w:r>
        <w:rPr>
          <w:rFonts w:ascii="ITC Avant Garde" w:eastAsia="Times New Roman" w:hAnsi="ITC Avant Garde" w:cs="Times New Roman"/>
          <w:kern w:val="3"/>
          <w:lang w:val="es-ES_tradnl" w:eastAsia="ar-SA"/>
        </w:rPr>
        <w:t>el</w:t>
      </w:r>
      <w:r w:rsidRPr="00255796">
        <w:rPr>
          <w:rFonts w:ascii="ITC Avant Garde" w:eastAsia="Times New Roman" w:hAnsi="ITC Avant Garde" w:cs="Times New Roman"/>
          <w:kern w:val="3"/>
          <w:lang w:val="es-ES_tradnl" w:eastAsia="ar-SA"/>
        </w:rPr>
        <w:t xml:space="preserve"> solicitante de la prórroga se encuentra en la misma situación en la que se ubica todo aquel que obtiene por primera vez una concesión, toda vez que no obstante haber sido concesionario de un bien de dominio directo de la Nación, no le es reconocido ningún derecho real sobre el bien materia de concesión, toda vez que sólo concede el derecho </w:t>
      </w:r>
      <w:r w:rsidRPr="00255796">
        <w:rPr>
          <w:rFonts w:ascii="ITC Avant Garde" w:eastAsia="Times New Roman" w:hAnsi="ITC Avant Garde" w:cs="Times New Roman"/>
          <w:kern w:val="3"/>
          <w:lang w:eastAsia="ar-SA"/>
        </w:rPr>
        <w:t>de uso, aprovechamiento o explotación, de acuerdo con las reglas y condiciones que establezcan las leyes y el título de la Concesión, durante el tiempo en que éste se encuentre vigente</w:t>
      </w:r>
      <w:r w:rsidRPr="00255796">
        <w:rPr>
          <w:rFonts w:ascii="ITC Avant Garde" w:eastAsia="Times New Roman" w:hAnsi="ITC Avant Garde" w:cs="Times New Roman"/>
          <w:kern w:val="3"/>
          <w:lang w:val="es-ES_tradnl" w:eastAsia="ar-SA"/>
        </w:rPr>
        <w:t>, ello de conformidad con lo dispuesto en los artículos 3, 6, 7, 8, 13, 16 y 17 de la Ley General de Bienes Nacionales en vigor al momento de la presentación de la solicitud.</w:t>
      </w:r>
    </w:p>
    <w:p w14:paraId="6A8A34F0" w14:textId="77777777" w:rsidR="00C55FC8" w:rsidRDefault="00AB7832" w:rsidP="00C55FC8">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Calibri" w:hAnsi="ITC Avant Garde" w:cs="Times New Roman"/>
          <w:kern w:val="3"/>
          <w:lang w:val="es-ES_tradnl" w:eastAsia="ar-SA"/>
        </w:rPr>
        <w:t xml:space="preserve">El procedimiento de determinación del pago de una contraprestación por el otorgamiento de una concesión para usar, aprovechar y explotar bandas de frecuencias del espectro radioeléctrico para uso comercial debe realizarse conforme al artículo </w:t>
      </w:r>
      <w:r>
        <w:rPr>
          <w:rFonts w:ascii="ITC Avant Garde" w:eastAsia="Calibri" w:hAnsi="ITC Avant Garde" w:cs="Times New Roman"/>
          <w:kern w:val="3"/>
          <w:lang w:val="es-ES_tradnl" w:eastAsia="ar-SA"/>
        </w:rPr>
        <w:t>114 de la Ley</w:t>
      </w:r>
      <w:r w:rsidRPr="00255796">
        <w:rPr>
          <w:rFonts w:ascii="ITC Avant Garde" w:eastAsia="Calibri" w:hAnsi="ITC Avant Garde" w:cs="Times New Roman"/>
          <w:kern w:val="3"/>
          <w:lang w:val="es-ES_tradnl" w:eastAsia="ar-SA"/>
        </w:rPr>
        <w:t>, toda vez que como se indicó en el Considerando Segundo de la presente Resolución, la atención y análisis de la Solicitud de Prórroga de la concesi</w:t>
      </w:r>
      <w:r>
        <w:rPr>
          <w:rFonts w:ascii="ITC Avant Garde" w:eastAsia="Calibri" w:hAnsi="ITC Avant Garde" w:cs="Times New Roman"/>
          <w:kern w:val="3"/>
          <w:lang w:val="es-ES_tradnl" w:eastAsia="ar-SA"/>
        </w:rPr>
        <w:t>ón</w:t>
      </w:r>
      <w:r w:rsidRPr="00255796">
        <w:rPr>
          <w:rFonts w:ascii="ITC Avant Garde" w:eastAsia="Calibri" w:hAnsi="ITC Avant Garde" w:cs="Times New Roman"/>
          <w:kern w:val="3"/>
          <w:lang w:val="es-ES_tradnl" w:eastAsia="ar-SA"/>
        </w:rPr>
        <w:t xml:space="preserve"> originaria se realizó de conformidad con las </w:t>
      </w:r>
      <w:r w:rsidRPr="00255796">
        <w:rPr>
          <w:rFonts w:ascii="ITC Avant Garde" w:eastAsia="Times New Roman" w:hAnsi="ITC Avant Garde" w:cs="Times New Roman"/>
          <w:kern w:val="3"/>
          <w:lang w:eastAsia="ar-SA"/>
        </w:rPr>
        <w:t>disposiciones legales y administrativas aplicables al momento de la presentación de la misma.</w:t>
      </w:r>
    </w:p>
    <w:p w14:paraId="3A42CAD7" w14:textId="77777777" w:rsidR="00C55FC8" w:rsidRDefault="00AB7832" w:rsidP="00C55FC8">
      <w:pPr>
        <w:suppressAutoHyphens/>
        <w:autoSpaceDN w:val="0"/>
        <w:spacing w:afterLines="120" w:after="288" w:line="276" w:lineRule="auto"/>
        <w:ind w:right="-62"/>
        <w:jc w:val="both"/>
        <w:textAlignment w:val="baseline"/>
        <w:rPr>
          <w:rFonts w:ascii="Calibri" w:eastAsia="Calibri" w:hAnsi="Calibri" w:cs="Times New Roman"/>
        </w:rPr>
      </w:pPr>
      <w:r w:rsidRPr="00255796">
        <w:rPr>
          <w:rFonts w:ascii="ITC Avant Garde" w:eastAsia="Times New Roman" w:hAnsi="ITC Avant Garde" w:cs="Times New Roman"/>
          <w:kern w:val="3"/>
          <w:lang w:eastAsia="ar-SA"/>
        </w:rPr>
        <w:t xml:space="preserve">En consecuencia, en ejercicio de las atribuciones establecidas en el artículo 29 fracción VII del Estatuto Orgánico, la Unidad de Espectro Radioeléctrico del Instituto solicitó a la SHCP la opinión de los aprovechamientos correspondientes </w:t>
      </w:r>
      <w:r w:rsidRPr="003F5ED8">
        <w:rPr>
          <w:rFonts w:ascii="ITC Avant Garde" w:eastAsia="Times New Roman" w:hAnsi="ITC Avant Garde" w:cs="Times New Roman"/>
          <w:kern w:val="3"/>
          <w:lang w:eastAsia="ar-SA"/>
        </w:rPr>
        <w:t>a la</w:t>
      </w:r>
      <w:r w:rsidRPr="004E262F">
        <w:rPr>
          <w:rFonts w:ascii="ITC Avant Garde" w:eastAsia="Times New Roman" w:hAnsi="ITC Avant Garde" w:cs="Times New Roman"/>
          <w:kern w:val="3"/>
          <w:lang w:eastAsia="ar-SA"/>
        </w:rPr>
        <w:t xml:space="preserve"> prórroga </w:t>
      </w:r>
      <w:r w:rsidRPr="004E262F">
        <w:rPr>
          <w:rFonts w:ascii="ITC Avant Garde" w:eastAsia="Times New Roman" w:hAnsi="ITC Avant Garde" w:cs="Times New Roman"/>
          <w:kern w:val="3"/>
          <w:lang w:val="es-ES" w:eastAsia="ar-SA"/>
        </w:rPr>
        <w:t>de la</w:t>
      </w:r>
      <w:r w:rsidRPr="00284BD8">
        <w:rPr>
          <w:rFonts w:ascii="ITC Avant Garde" w:eastAsia="Times New Roman" w:hAnsi="ITC Avant Garde" w:cs="Times New Roman"/>
          <w:kern w:val="3"/>
          <w:lang w:val="es-ES" w:eastAsia="ar-SA"/>
        </w:rPr>
        <w:t xml:space="preserve"> concesi</w:t>
      </w:r>
      <w:r w:rsidRPr="009B2448">
        <w:rPr>
          <w:rFonts w:ascii="ITC Avant Garde" w:eastAsia="Times New Roman" w:hAnsi="ITC Avant Garde" w:cs="Times New Roman"/>
          <w:kern w:val="3"/>
          <w:lang w:val="es-ES" w:eastAsia="ar-SA"/>
        </w:rPr>
        <w:t>ón</w:t>
      </w:r>
      <w:r w:rsidRPr="003F5ED8">
        <w:rPr>
          <w:rFonts w:ascii="ITC Avant Garde" w:eastAsia="Times New Roman" w:hAnsi="ITC Avant Garde" w:cs="Times New Roman"/>
          <w:kern w:val="3"/>
          <w:lang w:val="es-ES" w:eastAsia="ar-SA"/>
        </w:rPr>
        <w:t xml:space="preserve"> que nos ocupa</w:t>
      </w:r>
      <w:r w:rsidRPr="004E262F">
        <w:rPr>
          <w:rFonts w:ascii="ITC Avant Garde" w:eastAsia="Times New Roman" w:hAnsi="ITC Avant Garde" w:cs="Times New Roman"/>
          <w:kern w:val="3"/>
          <w:lang w:val="es-ES" w:eastAsia="ar-SA"/>
        </w:rPr>
        <w:t xml:space="preserve"> por 20 (veinte) años; en respuesta a d</w:t>
      </w:r>
      <w:r w:rsidRPr="00255796">
        <w:rPr>
          <w:rFonts w:ascii="ITC Avant Garde" w:eastAsia="Times New Roman" w:hAnsi="ITC Avant Garde" w:cs="Times New Roman"/>
          <w:kern w:val="3"/>
          <w:lang w:val="es-ES" w:eastAsia="ar-SA"/>
        </w:rPr>
        <w:t xml:space="preserve">icha solicitud, </w:t>
      </w:r>
      <w:r w:rsidRPr="00255796">
        <w:rPr>
          <w:rFonts w:ascii="ITC Avant Garde" w:eastAsia="Calibri" w:hAnsi="ITC Avant Garde" w:cs="Times New Roman"/>
          <w:kern w:val="3"/>
          <w:lang w:eastAsia="ar-SA"/>
        </w:rPr>
        <w:t xml:space="preserve">mediante oficio </w:t>
      </w:r>
      <w:r>
        <w:rPr>
          <w:rFonts w:ascii="ITC Avant Garde" w:eastAsia="Calibri" w:hAnsi="ITC Avant Garde" w:cs="Times New Roman"/>
          <w:kern w:val="3"/>
          <w:lang w:eastAsia="ar-SA"/>
        </w:rPr>
        <w:t>No. 349-B-1149 de fecha 22 de septiembre de 2017</w:t>
      </w:r>
      <w:r w:rsidRPr="00255796">
        <w:rPr>
          <w:rFonts w:ascii="ITC Avant Garde" w:eastAsia="Calibri" w:hAnsi="ITC Avant Garde" w:cs="Times New Roman"/>
          <w:kern w:val="3"/>
          <w:lang w:eastAsia="ar-SA"/>
        </w:rPr>
        <w:t>, la Unidad de Política de Ingresos No Tributarios de la SHCP emitió opinión favorable respecto del monto de</w:t>
      </w:r>
      <w:r w:rsidR="00D900CB">
        <w:rPr>
          <w:rFonts w:ascii="ITC Avant Garde" w:eastAsia="Calibri" w:hAnsi="ITC Avant Garde" w:cs="Times New Roman"/>
          <w:kern w:val="3"/>
          <w:lang w:eastAsia="ar-SA"/>
        </w:rPr>
        <w:t>l</w:t>
      </w:r>
      <w:r w:rsidRPr="00255796">
        <w:rPr>
          <w:rFonts w:ascii="ITC Avant Garde" w:eastAsia="Calibri" w:hAnsi="ITC Avant Garde" w:cs="Times New Roman"/>
          <w:kern w:val="3"/>
          <w:lang w:eastAsia="ar-SA"/>
        </w:rPr>
        <w:t xml:space="preserve"> aprovechamiento por concepto de contraprestación </w:t>
      </w:r>
      <w:r w:rsidRPr="00255796">
        <w:rPr>
          <w:rFonts w:ascii="ITC Avant Garde" w:eastAsia="Times New Roman" w:hAnsi="ITC Avant Garde" w:cs="Times New Roman"/>
          <w:kern w:val="3"/>
          <w:lang w:val="es-ES" w:eastAsia="ar-SA"/>
        </w:rPr>
        <w:t>que le corresponde cubrir a</w:t>
      </w:r>
      <w:r w:rsidR="00D900CB">
        <w:rPr>
          <w:rFonts w:ascii="ITC Avant Garde" w:eastAsia="Times New Roman" w:hAnsi="ITC Avant Garde" w:cs="Times New Roman"/>
          <w:kern w:val="3"/>
          <w:lang w:val="es-ES" w:eastAsia="ar-SA"/>
        </w:rPr>
        <w:t>l</w:t>
      </w:r>
      <w:r w:rsidRPr="00255796">
        <w:rPr>
          <w:rFonts w:ascii="ITC Avant Garde" w:eastAsia="Times New Roman" w:hAnsi="ITC Avant Garde" w:cs="Times New Roman"/>
          <w:kern w:val="3"/>
          <w:lang w:val="es-ES" w:eastAsia="ar-SA"/>
        </w:rPr>
        <w:t xml:space="preserve"> Concesionari</w:t>
      </w:r>
      <w:r w:rsidR="00D900CB">
        <w:rPr>
          <w:rFonts w:ascii="ITC Avant Garde" w:eastAsia="Times New Roman" w:hAnsi="ITC Avant Garde" w:cs="Times New Roman"/>
          <w:kern w:val="3"/>
          <w:lang w:val="es-ES" w:eastAsia="ar-SA"/>
        </w:rPr>
        <w:t>o</w:t>
      </w:r>
      <w:r w:rsidRPr="00255796">
        <w:rPr>
          <w:rFonts w:ascii="ITC Avant Garde" w:eastAsia="Times New Roman" w:hAnsi="ITC Avant Garde" w:cs="Times New Roman"/>
          <w:kern w:val="3"/>
          <w:lang w:val="es-ES" w:eastAsia="ar-SA"/>
        </w:rPr>
        <w:t xml:space="preserve"> por el otorgamiento de la prórroga</w:t>
      </w:r>
      <w:r>
        <w:rPr>
          <w:rFonts w:ascii="ITC Avant Garde" w:eastAsia="Times New Roman" w:hAnsi="ITC Avant Garde" w:cs="Times New Roman"/>
          <w:kern w:val="3"/>
          <w:lang w:val="es-ES" w:eastAsia="ar-SA"/>
        </w:rPr>
        <w:t>s</w:t>
      </w:r>
      <w:r w:rsidRPr="00255796">
        <w:rPr>
          <w:rFonts w:ascii="ITC Avant Garde" w:eastAsia="Times New Roman" w:hAnsi="ITC Avant Garde" w:cs="Times New Roman"/>
          <w:kern w:val="3"/>
          <w:lang w:val="es-ES" w:eastAsia="ar-SA"/>
        </w:rPr>
        <w:t xml:space="preserve"> solicitada respecto del uso, aprovechamiento y explotación de </w:t>
      </w:r>
      <w:r w:rsidRPr="00255796">
        <w:rPr>
          <w:rFonts w:ascii="ITC Avant Garde" w:eastAsia="Times New Roman" w:hAnsi="ITC Avant Garde" w:cs="Times New Roman"/>
          <w:kern w:val="3"/>
          <w:lang w:eastAsia="ar-SA"/>
        </w:rPr>
        <w:t>la frecuencia</w:t>
      </w:r>
      <w:r w:rsidRPr="00255796">
        <w:rPr>
          <w:rFonts w:ascii="ITC Avant Garde" w:eastAsia="Times New Roman" w:hAnsi="ITC Avant Garde" w:cs="Times New Roman"/>
          <w:kern w:val="3"/>
          <w:lang w:val="es-ES" w:eastAsia="ar-SA"/>
        </w:rPr>
        <w:t xml:space="preserve"> para la prestación del servicio de radiodifusión sonora.</w:t>
      </w:r>
    </w:p>
    <w:p w14:paraId="6BAF1EDB" w14:textId="77777777" w:rsidR="00C55FC8" w:rsidRDefault="000208CE" w:rsidP="00C55FC8">
      <w:pPr>
        <w:spacing w:afterLines="120" w:after="288" w:line="276" w:lineRule="auto"/>
        <w:jc w:val="both"/>
        <w:rPr>
          <w:rFonts w:ascii="ITC Avant Garde" w:hAnsi="ITC Avant Garde"/>
          <w:lang w:val="es-ES" w:eastAsia="ar-SA"/>
        </w:rPr>
      </w:pPr>
      <w:r w:rsidRPr="00F44160">
        <w:rPr>
          <w:rFonts w:ascii="ITC Avant Garde" w:hAnsi="ITC Avant Garde"/>
          <w:lang w:val="es-ES" w:eastAsia="ar-SA"/>
        </w:rPr>
        <w:t>En específico, en el oficio 349-B-</w:t>
      </w:r>
      <w:r>
        <w:rPr>
          <w:rFonts w:ascii="ITC Avant Garde" w:hAnsi="ITC Avant Garde"/>
          <w:lang w:val="es-ES" w:eastAsia="ar-SA"/>
        </w:rPr>
        <w:t>1149</w:t>
      </w:r>
      <w:r w:rsidRPr="00F44160">
        <w:rPr>
          <w:rFonts w:ascii="ITC Avant Garde" w:hAnsi="ITC Avant Garde"/>
          <w:lang w:val="es-ES" w:eastAsia="ar-SA"/>
        </w:rPr>
        <w:t xml:space="preserve"> antes citado, la SHCP mencionó lo siguiente:</w:t>
      </w:r>
    </w:p>
    <w:p w14:paraId="7C578997" w14:textId="77777777" w:rsidR="00C55FC8" w:rsidRDefault="003968F7" w:rsidP="00C55FC8">
      <w:pPr>
        <w:spacing w:afterLines="120" w:after="288" w:line="276" w:lineRule="auto"/>
        <w:ind w:left="993"/>
        <w:jc w:val="both"/>
        <w:rPr>
          <w:rFonts w:ascii="ITC Avant Garde" w:hAnsi="ITC Avant Garde"/>
          <w:i/>
          <w:kern w:val="3"/>
          <w:sz w:val="18"/>
          <w:szCs w:val="18"/>
          <w:lang w:eastAsia="ar-SA"/>
        </w:rPr>
      </w:pPr>
      <w:r w:rsidRPr="00FA6F87">
        <w:rPr>
          <w:rFonts w:ascii="ITC Avant Garde" w:hAnsi="ITC Avant Garde"/>
          <w:i/>
          <w:kern w:val="3"/>
          <w:sz w:val="18"/>
          <w:szCs w:val="18"/>
          <w:lang w:eastAsia="ar-SA"/>
        </w:rPr>
        <w:t xml:space="preserve"> </w:t>
      </w:r>
      <w:r w:rsidR="000208CE" w:rsidRPr="00FA6F87">
        <w:rPr>
          <w:rFonts w:ascii="ITC Avant Garde" w:hAnsi="ITC Avant Garde"/>
          <w:i/>
          <w:kern w:val="3"/>
          <w:sz w:val="18"/>
          <w:szCs w:val="18"/>
          <w:lang w:eastAsia="ar-SA"/>
        </w:rPr>
        <w:t>“(…)</w:t>
      </w:r>
    </w:p>
    <w:p w14:paraId="3889C1FD"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 xml:space="preserve">Que al utilizar la metodología de cálculo de las contraprestaciones que </w:t>
      </w:r>
      <w:proofErr w:type="gramStart"/>
      <w:r w:rsidRPr="00E17037">
        <w:rPr>
          <w:rFonts w:ascii="ITC Avant Garde" w:hAnsi="ITC Avant Garde"/>
          <w:i/>
          <w:kern w:val="3"/>
          <w:sz w:val="18"/>
          <w:szCs w:val="18"/>
          <w:lang w:eastAsia="ar-SA"/>
        </w:rPr>
        <w:t>la entonces</w:t>
      </w:r>
      <w:proofErr w:type="gramEnd"/>
      <w:r w:rsidRPr="00E17037">
        <w:rPr>
          <w:rFonts w:ascii="ITC Avant Garde" w:hAnsi="ITC Avant Garde"/>
          <w:i/>
          <w:kern w:val="3"/>
          <w:sz w:val="18"/>
          <w:szCs w:val="18"/>
          <w:lang w:eastAsia="ar-SA"/>
        </w:rPr>
        <w:t xml:space="preserve"> </w:t>
      </w:r>
      <w:proofErr w:type="spellStart"/>
      <w:r w:rsidRPr="00E17037">
        <w:rPr>
          <w:rFonts w:ascii="ITC Avant Garde" w:hAnsi="ITC Avant Garde"/>
          <w:i/>
          <w:kern w:val="3"/>
          <w:sz w:val="18"/>
          <w:szCs w:val="18"/>
          <w:lang w:eastAsia="ar-SA"/>
        </w:rPr>
        <w:t>Cofetel</w:t>
      </w:r>
      <w:proofErr w:type="spellEnd"/>
      <w:r w:rsidRPr="00E17037">
        <w:rPr>
          <w:rFonts w:ascii="ITC Avant Garde" w:hAnsi="ITC Avant Garde"/>
          <w:i/>
          <w:kern w:val="3"/>
          <w:sz w:val="18"/>
          <w:szCs w:val="18"/>
          <w:lang w:eastAsia="ar-SA"/>
        </w:rPr>
        <w:t xml:space="preserve"> usó, se logra que los aprovechamientos por los que el IFT solicita opinión sean consistentes con los que en su momento calculó la extinta </w:t>
      </w:r>
      <w:proofErr w:type="spellStart"/>
      <w:r w:rsidRPr="00E17037">
        <w:rPr>
          <w:rFonts w:ascii="ITC Avant Garde" w:hAnsi="ITC Avant Garde"/>
          <w:i/>
          <w:kern w:val="3"/>
          <w:sz w:val="18"/>
          <w:szCs w:val="18"/>
          <w:lang w:eastAsia="ar-SA"/>
        </w:rPr>
        <w:t>Cofetel</w:t>
      </w:r>
      <w:proofErr w:type="spellEnd"/>
      <w:r w:rsidRPr="00E17037">
        <w:rPr>
          <w:rFonts w:ascii="ITC Avant Garde" w:hAnsi="ITC Avant Garde"/>
          <w:i/>
          <w:kern w:val="3"/>
          <w:sz w:val="18"/>
          <w:szCs w:val="18"/>
          <w:lang w:eastAsia="ar-SA"/>
        </w:rPr>
        <w:t xml:space="preserve">, de tal forma que se estima el valor de mercado de cada concesión con base en las características particulares que tiene cada concesión en </w:t>
      </w:r>
      <w:r w:rsidRPr="00E17037">
        <w:rPr>
          <w:rFonts w:ascii="ITC Avant Garde" w:hAnsi="ITC Avant Garde"/>
          <w:i/>
          <w:kern w:val="3"/>
          <w:sz w:val="18"/>
          <w:szCs w:val="18"/>
          <w:lang w:eastAsia="ar-SA"/>
        </w:rPr>
        <w:lastRenderedPageBreak/>
        <w:t>cuanto a población servida, sus características técnicas y el potencial económico de la zona concesionada.</w:t>
      </w:r>
    </w:p>
    <w:p w14:paraId="19F0316B"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todos los aprovechamientos por el otorgamiento de una prórroga de concesión de radio que se han cobrado en México a partir de 2009 han utilizado el mismo Valor de Referencia (que se actualiza por inflación y se ajusta por el tiempo de vigencia de la concesión) y la misma metodología de cálculo.</w:t>
      </w:r>
    </w:p>
    <w:p w14:paraId="7C8BA697"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se fija un diferente valor para las estaciones de AM que las de FM, considerando que las tarifas por publicidad que cobran las empresas de radiodifusión sonora también son en promedio más bajas en las estaciones de AM.</w:t>
      </w:r>
    </w:p>
    <w:p w14:paraId="7E957EB5"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la metodología que utiliza el IFT para determinar el límite de la población de 6.5 millones de habitantes toma en cuenta las características actuales de las ciudades y áreas metropolitanas del país y los analiza con base en un modelo estadístico.</w:t>
      </w:r>
    </w:p>
    <w:p w14:paraId="2F3AEB8B"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 xml:space="preserve">Que con la aplicación del límite poblacional de 6.5 millones de habitantes que el IFT utiliza, se logra </w:t>
      </w:r>
      <w:proofErr w:type="gramStart"/>
      <w:r w:rsidRPr="00E17037">
        <w:rPr>
          <w:rFonts w:ascii="ITC Avant Garde" w:hAnsi="ITC Avant Garde"/>
          <w:i/>
          <w:kern w:val="3"/>
          <w:sz w:val="18"/>
          <w:szCs w:val="18"/>
          <w:lang w:eastAsia="ar-SA"/>
        </w:rPr>
        <w:t>que</w:t>
      </w:r>
      <w:proofErr w:type="gramEnd"/>
      <w:r w:rsidRPr="00E17037">
        <w:rPr>
          <w:rFonts w:ascii="ITC Avant Garde" w:hAnsi="ITC Avant Garde"/>
          <w:i/>
          <w:kern w:val="3"/>
          <w:sz w:val="18"/>
          <w:szCs w:val="18"/>
          <w:lang w:eastAsia="ar-SA"/>
        </w:rPr>
        <w:t xml:space="preserve"> al considerar la población servida por cada estación, no se presenten incrementos desproporcionales en caso alguno y resulta aplicable a cualquier concesión sin importar dónde se ubique, lo que representa un criterio general y equitativo para todas las concesiones de radiodifusión.</w:t>
      </w:r>
    </w:p>
    <w:p w14:paraId="60500963"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la población considerada para el cálculo de los aprovechamientos corresponde al Censo de Población y Vivienda INEGI 2010 y para el cálculo del Factor Económico se utilizaron los valores de dicho Censo y los del Censo Económico 2009 (INEGI), toda vez que la información de dichos censos continúa siendo la más reciente publicada a nivel localidad.</w:t>
      </w:r>
    </w:p>
    <w:p w14:paraId="7E00BC60"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 xml:space="preserve">Que al incorporar dentro de la fórmula a la población servida por cada estación consistente en el número de habitantes cubiertos por la estación concesionada con calidad auditiva (74 </w:t>
      </w:r>
      <w:proofErr w:type="spellStart"/>
      <w:r w:rsidRPr="00E17037">
        <w:rPr>
          <w:rFonts w:ascii="ITC Avant Garde" w:hAnsi="ITC Avant Garde"/>
          <w:i/>
          <w:kern w:val="3"/>
          <w:sz w:val="18"/>
          <w:szCs w:val="18"/>
          <w:lang w:eastAsia="ar-SA"/>
        </w:rPr>
        <w:t>dBu</w:t>
      </w:r>
      <w:proofErr w:type="spellEnd"/>
      <w:r w:rsidRPr="00E17037">
        <w:rPr>
          <w:rFonts w:ascii="ITC Avant Garde" w:hAnsi="ITC Avant Garde"/>
          <w:i/>
          <w:kern w:val="3"/>
          <w:sz w:val="18"/>
          <w:szCs w:val="18"/>
          <w:lang w:eastAsia="ar-SA"/>
        </w:rPr>
        <w:t xml:space="preserve"> para estaciones de FM y 80 </w:t>
      </w:r>
      <w:proofErr w:type="spellStart"/>
      <w:r w:rsidRPr="00E17037">
        <w:rPr>
          <w:rFonts w:ascii="ITC Avant Garde" w:hAnsi="ITC Avant Garde"/>
          <w:i/>
          <w:kern w:val="3"/>
          <w:sz w:val="18"/>
          <w:szCs w:val="18"/>
          <w:lang w:eastAsia="ar-SA"/>
        </w:rPr>
        <w:t>dBu</w:t>
      </w:r>
      <w:proofErr w:type="spellEnd"/>
      <w:r w:rsidRPr="00E17037">
        <w:rPr>
          <w:rFonts w:ascii="ITC Avant Garde" w:hAnsi="ITC Avant Garde"/>
          <w:i/>
          <w:kern w:val="3"/>
          <w:sz w:val="18"/>
          <w:szCs w:val="18"/>
          <w:lang w:eastAsia="ar-SA"/>
        </w:rPr>
        <w:t xml:space="preserve"> para estaciones de AM), se logra que el aprovechamiento calculado refleje el tamaño de la concesión y por lo mismo su valor económico.</w:t>
      </w:r>
    </w:p>
    <w:p w14:paraId="43285799"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31BEA438"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la utilización de un Factor Económico para el cálculo de los aprovechamientos por los cuales se solicita opinión, se justifica en razón de que se refleja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 en donde los incrementos en el Factor Económico reflejan el incremento en los ingresos potenciales que las empresas pueden recibir.</w:t>
      </w:r>
    </w:p>
    <w:p w14:paraId="412FB8DA"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lastRenderedPageBreak/>
        <w:t>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julio de 2017 que corresponde al mes anterior a la presentación de la solicitud de opinión, partiendo del Valor de Referencia que corresponden a diciembre de 2005.</w:t>
      </w:r>
    </w:p>
    <w:p w14:paraId="6DD2F1DF"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al actualizar el Valor de Referencia propuesto con base en lo dispuesto en el artículo 17-A del Código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contraprestación a una fecha anterior implicaría que el Estado recibiera un importe en 2017 que no reflejaría el valor del bien concesionado a esta fecha. Con esta actualización por inflación, no se aplican en momento alguno los recargos a los que hace referencia el artículo 21 del Código Fiscal de la Federación (CFF).</w:t>
      </w:r>
    </w:p>
    <w:p w14:paraId="202D1819"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CFF se realiza únicamente sobre el Valor de Referencia y con ello se logra que el valor de la contraprestación estimada refleje en la misma proporción la actualización por inflación.</w:t>
      </w:r>
    </w:p>
    <w:p w14:paraId="59244ABB"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el valor de referencia actualizado con el INPC de julio de 2017 es de $0.9863 pesos por habitante por estación de radio FM, mientras que para estaciones AM se ajusta este valor al 35% obteniéndose un monto de $0.3452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081B1C28"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el IFT sigue utilizando la metodología señalada en el presente oficio, debido a que, por una parte, la Licitación IFT-4 realizada para otorgar diversas concesiones de frecuencias de espectro radioeléctrico para el Servicio Público de Radiodifusión Sonora en las bandas de AM y FM aún continúa con actividades en proceso, y por lo tanto las ofertas más altas que se registraron aún no pueden ser consideradas como una referencia de mercado final, tal como lo señala el inciso V del artículo 100 de la Ley Federal de Telecomunicaciones y Radiodifusión (</w:t>
      </w:r>
      <w:proofErr w:type="spellStart"/>
      <w:r w:rsidRPr="00E17037">
        <w:rPr>
          <w:rFonts w:ascii="ITC Avant Garde" w:hAnsi="ITC Avant Garde"/>
          <w:i/>
          <w:kern w:val="3"/>
          <w:sz w:val="18"/>
          <w:szCs w:val="18"/>
          <w:lang w:eastAsia="ar-SA"/>
        </w:rPr>
        <w:t>LFTyR</w:t>
      </w:r>
      <w:proofErr w:type="spellEnd"/>
      <w:r w:rsidRPr="00E17037">
        <w:rPr>
          <w:rFonts w:ascii="ITC Avant Garde" w:hAnsi="ITC Avant Garde"/>
          <w:i/>
          <w:kern w:val="3"/>
          <w:sz w:val="18"/>
          <w:szCs w:val="18"/>
          <w:lang w:eastAsia="ar-SA"/>
        </w:rPr>
        <w:t>). Esto debido a que los Participantes Ganadores aún deberán cumplir con las condiciones establecidas en el Acta de Fallo correspondiente y con las actividades previstas en las bases de licitación.</w:t>
      </w:r>
    </w:p>
    <w:p w14:paraId="7DD0F208"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la Suprema Corte de Justicia de la Nación, en su resolución no. 26/2006, determinó constitucional fijar una contraprestación por el otorgamiento de la prórroga de concesiones de radio, por lo que se ha utilizado una metodología que incluye un Valor de Referencia para determinar el monto del aprovechamiento para la prórroga de una concesión de radio, siendo la misma metodología que la Secretaría de Comunicaciones y Transportes y la extinta Comisión Federal de Telecomunicaciones utilizaron en el 2009 para establecer el monto de las contraprestaciones por las prórrogas de concesión.</w:t>
      </w:r>
    </w:p>
    <w:p w14:paraId="22FC9E82"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lastRenderedPageBreak/>
        <w:t>Que de conformidad a lo señalado por el propio IFT, las empresas radiodifusoras titulares de las 88 concesiones iniciaron el proceso de solicitud de prórroga de sus títulos de concesión con posterioridad a la integración del Instituto Federal de Telecomunicaciones.</w:t>
      </w:r>
    </w:p>
    <w:p w14:paraId="1C257B77"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el 11 de junio de 2013, se publicó en el Diario Oficial de la Federación, el Decreto por el que se reforman y adicionan diversas disposiciones de los artículo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éstas, previa opinión no vinculante de la autoridad hacendaria.</w:t>
      </w:r>
    </w:p>
    <w:p w14:paraId="0866C406"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 xml:space="preserve">Que lo señalado en el numeral anterior se relaciona con lo previsto en el artículo 99 de la </w:t>
      </w:r>
      <w:proofErr w:type="spellStart"/>
      <w:r w:rsidRPr="00E17037">
        <w:rPr>
          <w:rFonts w:ascii="ITC Avant Garde" w:hAnsi="ITC Avant Garde"/>
          <w:i/>
          <w:kern w:val="3"/>
          <w:sz w:val="18"/>
          <w:szCs w:val="18"/>
          <w:lang w:eastAsia="ar-SA"/>
        </w:rPr>
        <w:t>LFTyR</w:t>
      </w:r>
      <w:proofErr w:type="spellEnd"/>
      <w:r w:rsidRPr="00E17037">
        <w:rPr>
          <w:rFonts w:ascii="ITC Avant Garde" w:hAnsi="ITC Avant Garde"/>
          <w:i/>
          <w:kern w:val="3"/>
          <w:sz w:val="18"/>
          <w:szCs w:val="18"/>
          <w:lang w:eastAsia="ar-SA"/>
        </w:rPr>
        <w:t xml:space="preserve"> que establece que todas las contraprestaciones requerirán previa opinión no vinculante de la Secretaría de Hacienda y Crédito Público.</w:t>
      </w:r>
    </w:p>
    <w:p w14:paraId="27391751"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económico1.</w:t>
      </w:r>
    </w:p>
    <w:p w14:paraId="419B707D"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 xml:space="preserve">Que el artículo 114 de </w:t>
      </w:r>
      <w:proofErr w:type="spellStart"/>
      <w:r w:rsidRPr="00E17037">
        <w:rPr>
          <w:rFonts w:ascii="ITC Avant Garde" w:hAnsi="ITC Avant Garde"/>
          <w:i/>
          <w:kern w:val="3"/>
          <w:sz w:val="18"/>
          <w:szCs w:val="18"/>
          <w:lang w:eastAsia="ar-SA"/>
        </w:rPr>
        <w:t>lal</w:t>
      </w:r>
      <w:proofErr w:type="spellEnd"/>
      <w:r w:rsidRPr="00E17037">
        <w:rPr>
          <w:rFonts w:ascii="ITC Avant Garde" w:hAnsi="ITC Avant Garde"/>
          <w:i/>
          <w:kern w:val="3"/>
          <w:sz w:val="18"/>
          <w:szCs w:val="18"/>
          <w:lang w:eastAsia="ar-SA"/>
        </w:rPr>
        <w:t xml:space="preserve"> </w:t>
      </w:r>
      <w:proofErr w:type="spellStart"/>
      <w:r w:rsidRPr="00E17037">
        <w:rPr>
          <w:rFonts w:ascii="ITC Avant Garde" w:hAnsi="ITC Avant Garde"/>
          <w:i/>
          <w:kern w:val="3"/>
          <w:sz w:val="18"/>
          <w:szCs w:val="18"/>
          <w:lang w:eastAsia="ar-SA"/>
        </w:rPr>
        <w:t>LFTyR</w:t>
      </w:r>
      <w:proofErr w:type="spellEnd"/>
      <w:r w:rsidRPr="00E17037">
        <w:rPr>
          <w:rFonts w:ascii="ITC Avant Garde" w:hAnsi="ITC Avant Garde"/>
          <w:i/>
          <w:kern w:val="3"/>
          <w:sz w:val="18"/>
          <w:szCs w:val="18"/>
          <w:lang w:eastAsia="ar-SA"/>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14:paraId="7C768240"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6884A5E0" w14:textId="033752F7" w:rsidR="000208CE" w:rsidRPr="00FA6F87" w:rsidRDefault="000208CE" w:rsidP="00C55FC8">
      <w:pPr>
        <w:spacing w:afterLines="120" w:after="288" w:line="276" w:lineRule="auto"/>
        <w:ind w:left="993"/>
        <w:jc w:val="both"/>
        <w:rPr>
          <w:rFonts w:ascii="ITC Avant Garde" w:hAnsi="ITC Avant Garde"/>
          <w:i/>
          <w:kern w:val="3"/>
          <w:sz w:val="18"/>
          <w:szCs w:val="18"/>
          <w:lang w:eastAsia="ar-SA"/>
        </w:rPr>
      </w:pPr>
      <w:r w:rsidRPr="00FA6F87">
        <w:rPr>
          <w:rFonts w:ascii="ITC Avant Garde" w:hAnsi="ITC Avant Garde"/>
          <w:i/>
          <w:kern w:val="3"/>
          <w:sz w:val="18"/>
          <w:szCs w:val="18"/>
          <w:lang w:eastAsia="ar-SA"/>
        </w:rPr>
        <w:t>_____________________</w:t>
      </w:r>
    </w:p>
    <w:p w14:paraId="03A9020A" w14:textId="77777777" w:rsidR="00C55FC8" w:rsidRDefault="000208CE" w:rsidP="00C55FC8">
      <w:pPr>
        <w:spacing w:afterLines="120" w:after="288" w:line="276" w:lineRule="auto"/>
        <w:ind w:left="993"/>
        <w:jc w:val="both"/>
        <w:rPr>
          <w:rFonts w:ascii="ITC Avant Garde" w:hAnsi="ITC Avant Garde"/>
          <w:i/>
          <w:kern w:val="3"/>
          <w:sz w:val="18"/>
          <w:szCs w:val="18"/>
          <w:lang w:eastAsia="ar-SA"/>
        </w:rPr>
      </w:pPr>
      <w:r w:rsidRPr="00FA6F87">
        <w:rPr>
          <w:rFonts w:ascii="ITC Avant Garde" w:hAnsi="ITC Avant Garde"/>
          <w:i/>
          <w:kern w:val="3"/>
          <w:sz w:val="18"/>
          <w:szCs w:val="18"/>
          <w:lang w:eastAsia="ar-SA"/>
        </w:rPr>
        <w:t>1 Tesis de Jurisprudencia 72/2007 del Pleno de la Suprema Corte de Justicia de la Nación.</w:t>
      </w:r>
    </w:p>
    <w:p w14:paraId="2DB34B75" w14:textId="77777777" w:rsidR="00C55FC8" w:rsidRDefault="000208CE" w:rsidP="00C55FC8">
      <w:pPr>
        <w:pStyle w:val="Prrafodelista"/>
        <w:numPr>
          <w:ilvl w:val="0"/>
          <w:numId w:val="32"/>
        </w:numPr>
        <w:spacing w:afterLines="120" w:after="288" w:line="276" w:lineRule="auto"/>
        <w:ind w:left="993"/>
        <w:rPr>
          <w:lang w:eastAsia="ar-SA"/>
        </w:rPr>
      </w:pPr>
      <w:r w:rsidRPr="00E17037">
        <w:rPr>
          <w:rFonts w:ascii="ITC Avant Garde" w:hAnsi="ITC Avant Garde"/>
          <w:i/>
          <w:kern w:val="3"/>
          <w:sz w:val="18"/>
          <w:szCs w:val="18"/>
          <w:lang w:eastAsia="ar-SA"/>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2D8F563C"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lastRenderedPageBreak/>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en la medida de que cuando el plazo de vigencia de la concesión sea mayor la contraprestación resultante también lo sea, las diferencias geográficas o de población, si es una estación de AM o FM y el valor de mercado de cada banda de frecuencias, además de que podrán ser distintas a las que se fijen a otras bandas de frecuencias, entre otros aspectos.</w:t>
      </w:r>
    </w:p>
    <w:p w14:paraId="720F7F7F"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14:paraId="74F1D056"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505F33B8"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6AB441B1"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la opinión sobre el monto de las contraprestaciones se emite sin menoscabo de las formalidades exigidas mediante las disposiciones normativas y los propios títulos de concesión para el otorgamiento de las prórrogas de bandas de frecuencias que deberán cumplir los interesados; toda vez que se observó que los titulares de las concesiones con distintivo XHGAP-FM y XHZTS-FM identificados bajo los numerales 87 y 88 de las tablas contenidas en el presente oficio, presuntamente presentaron su solicitud de prórroga dentro de la última quinta parte del plazo de vigencia de la concesión a prorrogarse.</w:t>
      </w:r>
    </w:p>
    <w:p w14:paraId="2C888FB7" w14:textId="77777777" w:rsidR="00C55FC8" w:rsidRDefault="000208CE" w:rsidP="00C55FC8">
      <w:pPr>
        <w:pStyle w:val="Prrafodelista"/>
        <w:numPr>
          <w:ilvl w:val="0"/>
          <w:numId w:val="32"/>
        </w:numPr>
        <w:spacing w:afterLines="120" w:after="288" w:line="276" w:lineRule="auto"/>
        <w:ind w:left="993"/>
        <w:jc w:val="both"/>
        <w:rPr>
          <w:rFonts w:ascii="ITC Avant Garde" w:hAnsi="ITC Avant Garde"/>
          <w:i/>
          <w:kern w:val="3"/>
          <w:sz w:val="18"/>
          <w:szCs w:val="18"/>
          <w:lang w:eastAsia="ar-SA"/>
        </w:rPr>
      </w:pPr>
      <w:r w:rsidRPr="00E17037">
        <w:rPr>
          <w:rFonts w:ascii="ITC Avant Garde" w:hAnsi="ITC Avant Garde"/>
          <w:i/>
          <w:kern w:val="3"/>
          <w:sz w:val="18"/>
          <w:szCs w:val="18"/>
          <w:lang w:eastAsia="ar-SA"/>
        </w:rPr>
        <w:t>Que no se emite opinión sobre el monto de la contraprestación por la prórroga de concesión correspondiente a la estación XEYG-AM identificada en el oficio de solicitud de opinión del IFT con el numeral 14, toda vez que esta concesión es prorrogada en la banda de FM con el distintivo XHYG-FM e identificada en el oficio del IFT con el numeral 13.</w:t>
      </w:r>
    </w:p>
    <w:p w14:paraId="6B012672" w14:textId="77777777" w:rsidR="00C55FC8" w:rsidRDefault="000208CE" w:rsidP="00C55FC8">
      <w:pPr>
        <w:spacing w:afterLines="120" w:after="288" w:line="276" w:lineRule="auto"/>
        <w:ind w:left="993"/>
        <w:jc w:val="both"/>
        <w:rPr>
          <w:rFonts w:ascii="ITC Avant Garde" w:hAnsi="ITC Avant Garde"/>
          <w:i/>
          <w:kern w:val="3"/>
          <w:sz w:val="18"/>
          <w:szCs w:val="18"/>
          <w:lang w:eastAsia="ar-SA"/>
        </w:rPr>
      </w:pPr>
      <w:r w:rsidRPr="00FA6F87">
        <w:rPr>
          <w:rFonts w:ascii="ITC Avant Garde" w:hAnsi="ITC Avant Garde"/>
          <w:i/>
          <w:kern w:val="3"/>
          <w:sz w:val="18"/>
          <w:szCs w:val="18"/>
          <w:lang w:eastAsia="ar-SA"/>
        </w:rPr>
        <w:t>(…).</w:t>
      </w:r>
    </w:p>
    <w:p w14:paraId="1ED527CF" w14:textId="77777777" w:rsidR="00C55FC8" w:rsidRDefault="000208CE" w:rsidP="00C55FC8">
      <w:pPr>
        <w:spacing w:afterLines="120" w:after="288" w:line="276" w:lineRule="auto"/>
        <w:ind w:left="993"/>
        <w:jc w:val="both"/>
        <w:rPr>
          <w:rFonts w:ascii="ITC Avant Garde" w:hAnsi="ITC Avant Garde"/>
          <w:i/>
          <w:kern w:val="3"/>
          <w:sz w:val="18"/>
          <w:szCs w:val="18"/>
          <w:lang w:eastAsia="ar-SA"/>
        </w:rPr>
      </w:pPr>
      <w:proofErr w:type="gramStart"/>
      <w:r w:rsidRPr="00FA6F87">
        <w:rPr>
          <w:rFonts w:ascii="ITC Avant Garde" w:hAnsi="ITC Avant Garde"/>
          <w:i/>
          <w:kern w:val="3"/>
          <w:sz w:val="18"/>
          <w:szCs w:val="18"/>
          <w:lang w:eastAsia="ar-SA"/>
        </w:rPr>
        <w:t>Asimismo</w:t>
      </w:r>
      <w:proofErr w:type="gramEnd"/>
      <w:r w:rsidRPr="00FA6F87">
        <w:rPr>
          <w:rFonts w:ascii="ITC Avant Garde" w:hAnsi="ITC Avant Garde"/>
          <w:i/>
          <w:kern w:val="3"/>
          <w:sz w:val="18"/>
          <w:szCs w:val="18"/>
          <w:lang w:eastAsia="ar-SA"/>
        </w:rPr>
        <w:t xml:space="preserve"> continúa señalando:</w:t>
      </w:r>
    </w:p>
    <w:p w14:paraId="25E939B7" w14:textId="77777777" w:rsidR="00C55FC8" w:rsidRDefault="000208CE" w:rsidP="00C55FC8">
      <w:pPr>
        <w:spacing w:afterLines="120" w:after="288" w:line="276" w:lineRule="auto"/>
        <w:ind w:left="993"/>
        <w:jc w:val="both"/>
        <w:rPr>
          <w:rFonts w:ascii="ITC Avant Garde" w:hAnsi="ITC Avant Garde"/>
          <w:i/>
          <w:kern w:val="3"/>
          <w:sz w:val="18"/>
          <w:szCs w:val="18"/>
          <w:lang w:eastAsia="ar-SA"/>
        </w:rPr>
      </w:pPr>
      <w:r w:rsidRPr="00FA6F87">
        <w:rPr>
          <w:rFonts w:ascii="ITC Avant Garde" w:hAnsi="ITC Avant Garde"/>
          <w:i/>
          <w:kern w:val="3"/>
          <w:sz w:val="18"/>
          <w:szCs w:val="18"/>
          <w:lang w:eastAsia="ar-SA"/>
        </w:rPr>
        <w:t>“(…)</w:t>
      </w:r>
    </w:p>
    <w:p w14:paraId="6CB61171" w14:textId="77777777" w:rsidR="00C55FC8" w:rsidRDefault="000208CE" w:rsidP="00C55FC8">
      <w:pPr>
        <w:spacing w:afterLines="120" w:after="288" w:line="276" w:lineRule="auto"/>
        <w:ind w:left="993"/>
        <w:jc w:val="both"/>
        <w:rPr>
          <w:rFonts w:ascii="ITC Avant Garde" w:hAnsi="ITC Avant Garde"/>
          <w:i/>
          <w:kern w:val="3"/>
          <w:sz w:val="18"/>
          <w:szCs w:val="18"/>
          <w:lang w:eastAsia="ar-SA"/>
        </w:rPr>
      </w:pPr>
      <w:r w:rsidRPr="00FA6F87">
        <w:rPr>
          <w:rFonts w:ascii="ITC Avant Garde" w:hAnsi="ITC Avant Garde"/>
          <w:i/>
          <w:kern w:val="3"/>
          <w:sz w:val="18"/>
          <w:szCs w:val="18"/>
          <w:lang w:eastAsia="ar-SA"/>
        </w:rPr>
        <w:lastRenderedPageBreak/>
        <w:t>Los aprovechamientos sobre los que se opina mediante el presente oficio están actualizados por inflación al mes de julio de 2017, por lo que el IFT deberá actualizar el monto de los aprovechamientos por inflación con base en el INPC más reciente disponible a la fecha de la entrega de las prórrogas de concesión.</w:t>
      </w:r>
    </w:p>
    <w:p w14:paraId="59BA4953" w14:textId="77777777" w:rsidR="00C55FC8" w:rsidRDefault="000208CE" w:rsidP="00C55FC8">
      <w:pPr>
        <w:spacing w:afterLines="120" w:after="288" w:line="276" w:lineRule="auto"/>
        <w:ind w:left="993"/>
        <w:jc w:val="both"/>
        <w:rPr>
          <w:rFonts w:ascii="ITC Avant Garde" w:hAnsi="ITC Avant Garde"/>
          <w:i/>
          <w:kern w:val="3"/>
          <w:sz w:val="18"/>
          <w:szCs w:val="18"/>
          <w:lang w:eastAsia="ar-SA"/>
        </w:rPr>
      </w:pPr>
      <w:r w:rsidRPr="00FA6F87">
        <w:rPr>
          <w:rFonts w:ascii="ITC Avant Garde" w:hAnsi="ITC Avant Garde"/>
          <w:i/>
          <w:kern w:val="3"/>
          <w:sz w:val="18"/>
          <w:szCs w:val="18"/>
          <w:lang w:eastAsia="ar-SA"/>
        </w:rPr>
        <w:t xml:space="preserve">El detalle de los concesionarios, bandas de frecuencias, factores técnicos y económicos y población servida con calidad auditiva de las 88 concesiones, opinados mediante el presente oficio, se muestran en </w:t>
      </w:r>
      <w:proofErr w:type="gramStart"/>
      <w:r w:rsidRPr="00FA6F87">
        <w:rPr>
          <w:rFonts w:ascii="ITC Avant Garde" w:hAnsi="ITC Avant Garde"/>
          <w:i/>
          <w:kern w:val="3"/>
          <w:sz w:val="18"/>
          <w:szCs w:val="18"/>
          <w:lang w:eastAsia="ar-SA"/>
        </w:rPr>
        <w:t>los anexo</w:t>
      </w:r>
      <w:proofErr w:type="gramEnd"/>
      <w:r w:rsidRPr="00FA6F87">
        <w:rPr>
          <w:rFonts w:ascii="ITC Avant Garde" w:hAnsi="ITC Avant Garde"/>
          <w:i/>
          <w:kern w:val="3"/>
          <w:sz w:val="18"/>
          <w:szCs w:val="18"/>
          <w:lang w:eastAsia="ar-SA"/>
        </w:rPr>
        <w:t xml:space="preserve"> B y C que forman parte del presente oficio.</w:t>
      </w:r>
    </w:p>
    <w:p w14:paraId="2AD024DD" w14:textId="77777777" w:rsidR="00C55FC8" w:rsidRDefault="000208CE" w:rsidP="00C55FC8">
      <w:pPr>
        <w:spacing w:afterLines="120" w:after="288" w:line="276" w:lineRule="auto"/>
        <w:ind w:left="993"/>
        <w:jc w:val="both"/>
        <w:rPr>
          <w:rFonts w:ascii="ITC Avant Garde" w:hAnsi="ITC Avant Garde"/>
          <w:i/>
          <w:kern w:val="3"/>
          <w:sz w:val="18"/>
          <w:szCs w:val="18"/>
          <w:lang w:eastAsia="ar-SA"/>
        </w:rPr>
      </w:pPr>
      <w:r w:rsidRPr="00FA6F87">
        <w:rPr>
          <w:rFonts w:ascii="ITC Avant Garde" w:hAnsi="ITC Avant Garde"/>
          <w:i/>
          <w:kern w:val="3"/>
          <w:sz w:val="18"/>
          <w:szCs w:val="18"/>
          <w:lang w:eastAsia="ar-SA"/>
        </w:rPr>
        <w:t>El entero de los aprovechamientos que resultan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14:paraId="6F0876A7" w14:textId="77777777" w:rsidR="00C55FC8" w:rsidRDefault="000208CE" w:rsidP="00C55FC8">
      <w:pPr>
        <w:spacing w:afterLines="120" w:after="288" w:line="276" w:lineRule="auto"/>
        <w:ind w:left="993"/>
        <w:jc w:val="both"/>
        <w:rPr>
          <w:rFonts w:ascii="ITC Avant Garde" w:hAnsi="ITC Avant Garde"/>
          <w:i/>
          <w:kern w:val="3"/>
          <w:sz w:val="18"/>
          <w:szCs w:val="18"/>
          <w:lang w:eastAsia="ar-SA"/>
        </w:rPr>
      </w:pPr>
      <w:r w:rsidRPr="00FA6F87">
        <w:rPr>
          <w:rFonts w:ascii="ITC Avant Garde" w:hAnsi="ITC Avant Garde"/>
          <w:i/>
          <w:kern w:val="3"/>
          <w:sz w:val="18"/>
          <w:szCs w:val="18"/>
          <w:lang w:eastAsia="ar-SA"/>
        </w:rPr>
        <w:t>Los montos calculados para los aprovechamientos opinados mediante el presente oficio no incluyen el pago al Gobierno Federal por el uso de las frecuencias para proporcionar servicios de telecomunicaciones distintos al de radiodifusión.</w:t>
      </w:r>
    </w:p>
    <w:p w14:paraId="100A5A5A" w14:textId="77777777" w:rsidR="00C55FC8" w:rsidRDefault="000208CE" w:rsidP="00C55FC8">
      <w:pPr>
        <w:autoSpaceDE w:val="0"/>
        <w:adjustRightInd w:val="0"/>
        <w:spacing w:afterLines="120" w:after="288" w:line="276" w:lineRule="auto"/>
        <w:ind w:left="851" w:right="474"/>
        <w:jc w:val="both"/>
        <w:rPr>
          <w:rFonts w:ascii="ITC Avant Garde" w:eastAsia="Times New Roman" w:hAnsi="ITC Avant Garde"/>
          <w:i/>
          <w:kern w:val="1"/>
          <w:sz w:val="18"/>
          <w:szCs w:val="18"/>
          <w:lang w:val="es-ES" w:eastAsia="ar-SA"/>
        </w:rPr>
      </w:pPr>
      <w:r w:rsidRPr="00FA6F87">
        <w:rPr>
          <w:rFonts w:ascii="ITC Avant Garde" w:hAnsi="ITC Avant Garde"/>
          <w:i/>
          <w:kern w:val="3"/>
          <w:sz w:val="18"/>
          <w:szCs w:val="18"/>
          <w:lang w:eastAsia="ar-SA"/>
        </w:rPr>
        <w:t>(…)”</w:t>
      </w:r>
    </w:p>
    <w:p w14:paraId="56F33BDD" w14:textId="77777777" w:rsidR="000208CE" w:rsidRPr="00F44160" w:rsidRDefault="000208CE" w:rsidP="00C55FC8">
      <w:pPr>
        <w:spacing w:afterLines="120" w:after="288" w:line="276" w:lineRule="auto"/>
        <w:ind w:right="-62"/>
        <w:jc w:val="both"/>
        <w:rPr>
          <w:rFonts w:ascii="ITC Avant Garde" w:eastAsia="Times New Roman" w:hAnsi="ITC Avant Garde"/>
          <w:kern w:val="3"/>
          <w:lang w:val="es-ES" w:eastAsia="ar-SA"/>
        </w:rPr>
      </w:pPr>
      <w:r w:rsidRPr="00F44160">
        <w:rPr>
          <w:rFonts w:ascii="ITC Avant Garde" w:eastAsia="Times New Roman" w:hAnsi="ITC Avant Garde"/>
          <w:kern w:val="3"/>
          <w:lang w:val="es-ES" w:eastAsia="ar-SA"/>
        </w:rPr>
        <w:t>En resumen, la metodología fijada en ambos procedimientos nos reporta la siguiente fórmula aplicada:</w:t>
      </w:r>
    </w:p>
    <w:tbl>
      <w:tblPr>
        <w:tblStyle w:val="Tablaconcuadrcula"/>
        <w:tblW w:w="9712" w:type="dxa"/>
        <w:tblLook w:val="0000" w:firstRow="0" w:lastRow="0" w:firstColumn="0" w:lastColumn="0" w:noHBand="0" w:noVBand="0"/>
        <w:tblCaption w:val="Fórmula de contraprestación"/>
        <w:tblDescription w:val="Tabla de 2 columnas que describe la fórmula para determinar el monto de la contraprestación."/>
      </w:tblPr>
      <w:tblGrid>
        <w:gridCol w:w="2689"/>
        <w:gridCol w:w="7023"/>
      </w:tblGrid>
      <w:tr w:rsidR="000208CE" w:rsidRPr="00F44160" w14:paraId="1946C82B" w14:textId="77777777" w:rsidTr="00C55FC8">
        <w:trPr>
          <w:trHeight w:val="645"/>
          <w:tblHeader/>
        </w:trPr>
        <w:tc>
          <w:tcPr>
            <w:tcW w:w="2689" w:type="dxa"/>
          </w:tcPr>
          <w:p w14:paraId="2B7E9864" w14:textId="77777777" w:rsidR="000208CE" w:rsidRPr="00F44160" w:rsidRDefault="000208CE" w:rsidP="00C55FC8">
            <w:pPr>
              <w:spacing w:line="276" w:lineRule="auto"/>
              <w:ind w:right="-62"/>
              <w:jc w:val="center"/>
            </w:pPr>
            <w:r w:rsidRPr="00F44160">
              <w:rPr>
                <w:rFonts w:ascii="ITC Avant Garde" w:eastAsia="Times New Roman" w:hAnsi="ITC Avant Garde"/>
                <w:kern w:val="3"/>
                <w:sz w:val="20"/>
                <w:szCs w:val="20"/>
                <w:lang w:val="es-ES" w:eastAsia="ar-SA"/>
              </w:rPr>
              <w:t xml:space="preserve">Contraprestación </w:t>
            </w:r>
            <w:r w:rsidRPr="00F44160">
              <w:rPr>
                <w:rFonts w:ascii="ITC Avant Garde" w:eastAsia="Times New Roman" w:hAnsi="ITC Avant Garde"/>
                <w:b/>
                <w:kern w:val="3"/>
                <w:sz w:val="20"/>
                <w:szCs w:val="20"/>
                <w:lang w:val="es-ES" w:eastAsia="ar-SA"/>
              </w:rPr>
              <w:t>(C)</w:t>
            </w:r>
          </w:p>
        </w:tc>
        <w:tc>
          <w:tcPr>
            <w:tcW w:w="7023" w:type="dxa"/>
          </w:tcPr>
          <w:p w14:paraId="32A9058D" w14:textId="77777777" w:rsidR="000208CE" w:rsidRPr="00F44160" w:rsidRDefault="000208CE" w:rsidP="00C55FC8">
            <w:pPr>
              <w:spacing w:line="276" w:lineRule="auto"/>
              <w:ind w:right="-62"/>
              <w:jc w:val="center"/>
            </w:pPr>
            <w:r w:rsidRPr="00F44160">
              <w:rPr>
                <w:rFonts w:ascii="ITC Avant Garde" w:eastAsia="Times New Roman" w:hAnsi="ITC Avant Garde"/>
                <w:kern w:val="3"/>
                <w:sz w:val="20"/>
                <w:szCs w:val="20"/>
                <w:lang w:val="es-ES" w:eastAsia="ar-SA"/>
              </w:rPr>
              <w:t xml:space="preserve">Valor de referencia </w:t>
            </w:r>
            <w:r w:rsidRPr="00F44160">
              <w:rPr>
                <w:rFonts w:ascii="ITC Avant Garde" w:eastAsia="Times New Roman" w:hAnsi="ITC Avant Garde"/>
                <w:b/>
                <w:kern w:val="3"/>
                <w:sz w:val="20"/>
                <w:szCs w:val="20"/>
                <w:lang w:val="es-ES" w:eastAsia="ar-SA"/>
              </w:rPr>
              <w:t>(VR)</w:t>
            </w:r>
            <w:r w:rsidRPr="00F44160">
              <w:rPr>
                <w:rFonts w:ascii="ITC Avant Garde" w:eastAsia="Times New Roman" w:hAnsi="ITC Avant Garde"/>
                <w:kern w:val="3"/>
                <w:sz w:val="20"/>
                <w:szCs w:val="20"/>
                <w:lang w:val="es-ES" w:eastAsia="ar-SA"/>
              </w:rPr>
              <w:t xml:space="preserve"> x Población </w:t>
            </w:r>
            <w:r w:rsidRPr="00F44160">
              <w:rPr>
                <w:rFonts w:ascii="ITC Avant Garde" w:eastAsia="Times New Roman" w:hAnsi="ITC Avant Garde"/>
                <w:b/>
                <w:kern w:val="3"/>
                <w:sz w:val="20"/>
                <w:szCs w:val="20"/>
                <w:lang w:val="es-ES" w:eastAsia="ar-SA"/>
              </w:rPr>
              <w:t>(P)</w:t>
            </w:r>
            <w:r w:rsidRPr="00F44160">
              <w:rPr>
                <w:rFonts w:ascii="ITC Avant Garde" w:eastAsia="Times New Roman" w:hAnsi="ITC Avant Garde"/>
                <w:kern w:val="3"/>
                <w:sz w:val="20"/>
                <w:szCs w:val="20"/>
                <w:lang w:val="es-ES" w:eastAsia="ar-SA"/>
              </w:rPr>
              <w:t xml:space="preserve"> x </w:t>
            </w:r>
            <w:r w:rsidRPr="00F44160">
              <w:rPr>
                <w:rFonts w:ascii="ITC Avant Garde" w:eastAsia="Times New Roman" w:hAnsi="ITC Avant Garde"/>
                <w:b/>
                <w:kern w:val="3"/>
                <w:sz w:val="20"/>
                <w:szCs w:val="20"/>
                <w:lang w:val="es-ES" w:eastAsia="ar-SA"/>
              </w:rPr>
              <w:t>[</w:t>
            </w:r>
            <w:r w:rsidRPr="00F44160">
              <w:rPr>
                <w:rFonts w:ascii="ITC Avant Garde" w:eastAsia="Times New Roman" w:hAnsi="ITC Avant Garde"/>
                <w:kern w:val="3"/>
                <w:sz w:val="20"/>
                <w:szCs w:val="20"/>
                <w:lang w:val="es-ES" w:eastAsia="ar-SA"/>
              </w:rPr>
              <w:t xml:space="preserve">Factor Económico </w:t>
            </w:r>
            <w:r w:rsidRPr="00F44160">
              <w:rPr>
                <w:rFonts w:ascii="ITC Avant Garde" w:eastAsia="Times New Roman" w:hAnsi="ITC Avant Garde"/>
                <w:b/>
                <w:kern w:val="3"/>
                <w:sz w:val="20"/>
                <w:szCs w:val="20"/>
                <w:lang w:val="es-ES" w:eastAsia="ar-SA"/>
              </w:rPr>
              <w:t xml:space="preserve">(FE) </w:t>
            </w:r>
            <w:r w:rsidRPr="00F44160">
              <w:rPr>
                <w:rFonts w:ascii="ITC Avant Garde" w:eastAsia="Times New Roman" w:hAnsi="ITC Avant Garde"/>
                <w:kern w:val="3"/>
                <w:sz w:val="20"/>
                <w:szCs w:val="20"/>
                <w:lang w:val="es-ES" w:eastAsia="ar-SA"/>
              </w:rPr>
              <w:t>+</w:t>
            </w:r>
            <w:r w:rsidRPr="00F44160">
              <w:rPr>
                <w:rFonts w:ascii="ITC Avant Garde" w:eastAsia="Times New Roman" w:hAnsi="ITC Avant Garde"/>
                <w:b/>
                <w:kern w:val="3"/>
                <w:sz w:val="20"/>
                <w:szCs w:val="20"/>
                <w:lang w:val="es-ES" w:eastAsia="ar-SA"/>
              </w:rPr>
              <w:t xml:space="preserve"> </w:t>
            </w:r>
            <w:r w:rsidRPr="00F44160">
              <w:rPr>
                <w:rFonts w:ascii="ITC Avant Garde" w:eastAsia="Times New Roman" w:hAnsi="ITC Avant Garde"/>
                <w:kern w:val="3"/>
                <w:sz w:val="20"/>
                <w:szCs w:val="20"/>
                <w:lang w:val="es-ES" w:eastAsia="ar-SA"/>
              </w:rPr>
              <w:t xml:space="preserve">Factor Técnico </w:t>
            </w:r>
            <w:r w:rsidRPr="00F44160">
              <w:rPr>
                <w:rFonts w:ascii="ITC Avant Garde" w:eastAsia="Times New Roman" w:hAnsi="ITC Avant Garde"/>
                <w:b/>
                <w:kern w:val="3"/>
                <w:sz w:val="20"/>
                <w:szCs w:val="20"/>
                <w:lang w:val="es-ES" w:eastAsia="ar-SA"/>
              </w:rPr>
              <w:t>(FT)]</w:t>
            </w:r>
          </w:p>
        </w:tc>
      </w:tr>
    </w:tbl>
    <w:p w14:paraId="38552EA6" w14:textId="77777777" w:rsidR="00C55FC8" w:rsidRDefault="000208CE" w:rsidP="00C55FC8">
      <w:pPr>
        <w:spacing w:before="360" w:afterLines="120" w:after="288" w:line="276" w:lineRule="auto"/>
        <w:ind w:right="-62"/>
        <w:jc w:val="both"/>
        <w:rPr>
          <w:rFonts w:ascii="ITC Avant Garde" w:eastAsia="Times New Roman" w:hAnsi="ITC Avant Garde"/>
          <w:kern w:val="3"/>
          <w:sz w:val="18"/>
          <w:szCs w:val="18"/>
          <w:lang w:val="es-ES" w:eastAsia="ar-SA"/>
        </w:rPr>
      </w:pPr>
      <w:r w:rsidRPr="00F44160">
        <w:rPr>
          <w:rFonts w:ascii="ITC Avant Garde" w:eastAsia="Times New Roman" w:hAnsi="ITC Avant Garde"/>
          <w:kern w:val="3"/>
          <w:sz w:val="18"/>
          <w:szCs w:val="18"/>
          <w:lang w:val="es-ES" w:eastAsia="ar-SA"/>
        </w:rPr>
        <w:t>Donde:</w:t>
      </w:r>
    </w:p>
    <w:p w14:paraId="708F9892" w14:textId="7838DBCD" w:rsidR="000208CE" w:rsidRPr="00F44160" w:rsidRDefault="000208CE" w:rsidP="00C55FC8">
      <w:pPr>
        <w:spacing w:after="0" w:line="276" w:lineRule="auto"/>
        <w:ind w:left="705" w:right="-62" w:hanging="705"/>
        <w:jc w:val="both"/>
        <w:rPr>
          <w:sz w:val="18"/>
          <w:szCs w:val="18"/>
        </w:rPr>
      </w:pPr>
      <w:r w:rsidRPr="00F44160">
        <w:rPr>
          <w:rFonts w:ascii="ITC Avant Garde" w:eastAsia="Times New Roman" w:hAnsi="ITC Avant Garde"/>
          <w:b/>
          <w:kern w:val="3"/>
          <w:sz w:val="18"/>
          <w:szCs w:val="18"/>
          <w:lang w:eastAsia="ar-SA"/>
        </w:rPr>
        <w:t>VR =</w:t>
      </w:r>
      <w:r w:rsidRPr="00F44160">
        <w:rPr>
          <w:rFonts w:ascii="ITC Avant Garde" w:eastAsia="Times New Roman" w:hAnsi="ITC Avant Garde"/>
          <w:kern w:val="3"/>
          <w:sz w:val="18"/>
          <w:szCs w:val="18"/>
          <w:lang w:eastAsia="ar-SA"/>
        </w:rPr>
        <w:tab/>
        <w:t xml:space="preserve">Valor de referencia en pesos por habitante. </w:t>
      </w:r>
    </w:p>
    <w:p w14:paraId="4FDD08AE" w14:textId="77777777" w:rsidR="000208CE" w:rsidRPr="00F44160" w:rsidRDefault="000208CE" w:rsidP="00C55FC8">
      <w:pPr>
        <w:tabs>
          <w:tab w:val="left" w:pos="284"/>
        </w:tabs>
        <w:spacing w:after="0" w:line="276" w:lineRule="auto"/>
        <w:ind w:left="705" w:right="-62" w:hanging="705"/>
        <w:jc w:val="both"/>
        <w:rPr>
          <w:sz w:val="18"/>
          <w:szCs w:val="18"/>
        </w:rPr>
      </w:pPr>
      <w:r w:rsidRPr="00F44160">
        <w:rPr>
          <w:rFonts w:ascii="ITC Avant Garde" w:eastAsia="Times New Roman" w:hAnsi="ITC Avant Garde"/>
          <w:b/>
          <w:kern w:val="3"/>
          <w:sz w:val="18"/>
          <w:szCs w:val="18"/>
          <w:lang w:eastAsia="ar-SA"/>
        </w:rPr>
        <w:t>P</w:t>
      </w:r>
      <w:r w:rsidRPr="00F44160">
        <w:rPr>
          <w:rFonts w:ascii="ITC Avant Garde" w:eastAsia="Times New Roman" w:hAnsi="ITC Avant Garde"/>
          <w:kern w:val="3"/>
          <w:sz w:val="18"/>
          <w:szCs w:val="18"/>
          <w:lang w:eastAsia="ar-SA"/>
        </w:rPr>
        <w:t>=</w:t>
      </w:r>
      <w:r w:rsidRPr="00F44160">
        <w:rPr>
          <w:rFonts w:ascii="ITC Avant Garde" w:eastAsia="Times New Roman" w:hAnsi="ITC Avant Garde"/>
          <w:kern w:val="3"/>
          <w:sz w:val="18"/>
          <w:szCs w:val="18"/>
          <w:lang w:eastAsia="ar-SA"/>
        </w:rPr>
        <w:tab/>
      </w:r>
      <w:r w:rsidRPr="00F44160">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14:paraId="6DA2EDEC" w14:textId="77777777" w:rsidR="000208CE" w:rsidRPr="00F44160" w:rsidRDefault="000208CE" w:rsidP="00C55FC8">
      <w:pPr>
        <w:spacing w:after="0" w:line="276" w:lineRule="auto"/>
        <w:ind w:left="705" w:right="-62" w:hanging="705"/>
        <w:jc w:val="both"/>
        <w:rPr>
          <w:sz w:val="18"/>
          <w:szCs w:val="18"/>
        </w:rPr>
      </w:pPr>
      <w:r w:rsidRPr="00F44160">
        <w:rPr>
          <w:rFonts w:ascii="ITC Avant Garde" w:eastAsia="Times New Roman" w:hAnsi="ITC Avant Garde"/>
          <w:b/>
          <w:kern w:val="3"/>
          <w:sz w:val="18"/>
          <w:szCs w:val="18"/>
          <w:lang w:eastAsia="ar-SA"/>
        </w:rPr>
        <w:t>FT</w:t>
      </w:r>
      <w:r w:rsidRPr="00F44160">
        <w:rPr>
          <w:rFonts w:ascii="ITC Avant Garde" w:eastAsia="Times New Roman" w:hAnsi="ITC Avant Garde"/>
          <w:kern w:val="3"/>
          <w:sz w:val="18"/>
          <w:szCs w:val="18"/>
          <w:lang w:eastAsia="ar-SA"/>
        </w:rPr>
        <w:t>=</w:t>
      </w:r>
      <w:r w:rsidRPr="00F44160">
        <w:rPr>
          <w:rFonts w:ascii="ITC Avant Garde" w:eastAsia="Times New Roman" w:hAnsi="ITC Avant Garde"/>
          <w:kern w:val="3"/>
          <w:sz w:val="18"/>
          <w:szCs w:val="18"/>
          <w:lang w:eastAsia="ar-SA"/>
        </w:rPr>
        <w:tab/>
        <w:t>Factor técnico que corresponde a las características técnicas de la estación con valores par AM entre 1 y 2 y para estaciones de FM entre 0.53 y 2.04.</w:t>
      </w:r>
    </w:p>
    <w:p w14:paraId="01EC4519" w14:textId="77777777" w:rsidR="00C55FC8" w:rsidRDefault="000208CE" w:rsidP="00C55FC8">
      <w:pPr>
        <w:tabs>
          <w:tab w:val="left" w:pos="284"/>
        </w:tabs>
        <w:spacing w:afterLines="120" w:after="288" w:line="276" w:lineRule="auto"/>
        <w:ind w:left="705" w:right="-62" w:hanging="705"/>
        <w:jc w:val="both"/>
        <w:rPr>
          <w:rFonts w:ascii="ITC Avant Garde" w:eastAsia="Times New Roman" w:hAnsi="ITC Avant Garde"/>
          <w:kern w:val="3"/>
          <w:sz w:val="18"/>
          <w:szCs w:val="18"/>
          <w:lang w:eastAsia="ar-SA"/>
        </w:rPr>
      </w:pPr>
      <w:r w:rsidRPr="00F44160">
        <w:rPr>
          <w:rFonts w:ascii="ITC Avant Garde" w:eastAsia="Times New Roman" w:hAnsi="ITC Avant Garde"/>
          <w:b/>
          <w:kern w:val="3"/>
          <w:sz w:val="18"/>
          <w:szCs w:val="18"/>
          <w:lang w:eastAsia="ar-SA"/>
        </w:rPr>
        <w:t>FE</w:t>
      </w:r>
      <w:r w:rsidRPr="00F44160">
        <w:rPr>
          <w:rFonts w:ascii="ITC Avant Garde" w:eastAsia="Times New Roman" w:hAnsi="ITC Avant Garde"/>
          <w:kern w:val="3"/>
          <w:sz w:val="18"/>
          <w:szCs w:val="18"/>
          <w:lang w:eastAsia="ar-SA"/>
        </w:rPr>
        <w:t xml:space="preserve">= </w:t>
      </w:r>
      <w:r w:rsidRPr="00F44160">
        <w:rPr>
          <w:rFonts w:ascii="ITC Avant Garde" w:eastAsia="Times New Roman" w:hAnsi="ITC Avant Garde"/>
          <w:kern w:val="3"/>
          <w:sz w:val="18"/>
          <w:szCs w:val="18"/>
          <w:lang w:eastAsia="ar-SA"/>
        </w:rPr>
        <w:tab/>
        <w:t xml:space="preserve">Corresponde a la capacidad económica de la zona de cobertura concesionada, con valores ponderados entre 1 y 2, en función del valor </w:t>
      </w:r>
      <w:r w:rsidRPr="00F44160">
        <w:rPr>
          <w:rFonts w:ascii="ITC Avant Garde" w:eastAsia="Times New Roman" w:hAnsi="ITC Avant Garde"/>
          <w:i/>
          <w:kern w:val="3"/>
          <w:sz w:val="18"/>
          <w:szCs w:val="18"/>
          <w:lang w:eastAsia="ar-SA"/>
        </w:rPr>
        <w:t>per cápita</w:t>
      </w:r>
      <w:r w:rsidRPr="00F44160">
        <w:rPr>
          <w:rFonts w:ascii="ITC Avant Garde" w:eastAsia="Times New Roman" w:hAnsi="ITC Avant Garde"/>
          <w:kern w:val="3"/>
          <w:sz w:val="18"/>
          <w:szCs w:val="18"/>
          <w:lang w:eastAsia="ar-SA"/>
        </w:rPr>
        <w:t xml:space="preserve"> de la producción bruta de la zona concesionada (VBP) que se aproxima al VBP de la principal localidad dentro de la zona concesionada de acuerdo con los datos del Censo Económico del INEGI 2009.</w:t>
      </w:r>
    </w:p>
    <w:p w14:paraId="4F5DC0E5" w14:textId="77777777" w:rsidR="00C55FC8" w:rsidRDefault="000208CE" w:rsidP="00C55FC8">
      <w:pPr>
        <w:pStyle w:val="Prrafodelista"/>
        <w:numPr>
          <w:ilvl w:val="0"/>
          <w:numId w:val="31"/>
        </w:numPr>
        <w:spacing w:afterLines="120" w:after="288" w:line="276" w:lineRule="auto"/>
        <w:jc w:val="both"/>
        <w:rPr>
          <w:rFonts w:ascii="ITC Avant Garde" w:hAnsi="ITC Avant Garde"/>
          <w:b/>
          <w:bCs/>
          <w:sz w:val="22"/>
          <w:szCs w:val="22"/>
        </w:rPr>
      </w:pPr>
      <w:r w:rsidRPr="00F44160">
        <w:rPr>
          <w:rFonts w:ascii="ITC Avant Garde" w:hAnsi="ITC Avant Garde"/>
          <w:b/>
          <w:bCs/>
          <w:sz w:val="22"/>
          <w:szCs w:val="22"/>
        </w:rPr>
        <w:t>Valor de referencia</w:t>
      </w:r>
    </w:p>
    <w:p w14:paraId="460A9FC1"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t xml:space="preserve">En 2005, la SCT en conjunto con la </w:t>
      </w:r>
      <w:proofErr w:type="spellStart"/>
      <w:r w:rsidRPr="00F44160">
        <w:rPr>
          <w:rFonts w:ascii="ITC Avant Garde" w:hAnsi="ITC Avant Garde"/>
        </w:rPr>
        <w:t>Cofetel</w:t>
      </w:r>
      <w:proofErr w:type="spellEnd"/>
      <w:r w:rsidRPr="00F44160">
        <w:rPr>
          <w:rFonts w:ascii="ITC Avant Garde" w:hAnsi="ITC Avant Garde"/>
        </w:rPr>
        <w:t xml:space="preserve"> establecieron un valor de referencia para estaciones de FM de $0.50 pesos por habitante para concesiones en la banda de FM con vigencia de 12 años.</w:t>
      </w:r>
    </w:p>
    <w:p w14:paraId="24ABDAED"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lastRenderedPageBreak/>
        <w:t>Para las estaciones que operan en la banda de AM, el IFT determinó que el Valor de Referencia representa el 35% del valor de referencia de una estación de FM, esto considerando que las tarifas de publicidad también son en promedio más bajas en las estaciones de AM que en las de FM.</w:t>
      </w:r>
    </w:p>
    <w:p w14:paraId="75DED07E"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t xml:space="preserve">El Valor de Referencia de $0.50 pesos por habitante para estaciones de radio con vigencia de concesión de 12 años para estaciones FM el IFT lo actualizó por inflación con el Índice Nacional de Precios al Consumidor (INPC) publicado mensualmente en el Diario Oficial de la Federación por el Instituto Nacional de Estadística y Geografía, de acuerdo a lo establecido en el artículo 17-A del Código Fiscal de la Federación, de diciembre de 2005 fecha en la que está actualizado el Valor de Referencia de $0.50 pesos por habitante, a </w:t>
      </w:r>
      <w:r>
        <w:rPr>
          <w:rFonts w:ascii="ITC Avant Garde" w:hAnsi="ITC Avant Garde"/>
        </w:rPr>
        <w:t>julio</w:t>
      </w:r>
      <w:r w:rsidRPr="00F44160">
        <w:rPr>
          <w:rFonts w:ascii="ITC Avant Garde" w:hAnsi="ITC Avant Garde"/>
        </w:rPr>
        <w:t xml:space="preserve"> de 2017, INPC más reciente disponible a la fecha de solicitud de opinión del IFT. </w:t>
      </w:r>
      <w:proofErr w:type="gramStart"/>
      <w:r w:rsidRPr="00F44160">
        <w:rPr>
          <w:rFonts w:ascii="ITC Avant Garde" w:hAnsi="ITC Avant Garde"/>
        </w:rPr>
        <w:t>Además</w:t>
      </w:r>
      <w:proofErr w:type="gramEnd"/>
      <w:r w:rsidRPr="00F44160">
        <w:rPr>
          <w:rFonts w:ascii="ITC Avant Garde" w:hAnsi="ITC Avant Garde"/>
        </w:rPr>
        <w:t xml:space="preserve"> el Valor de Referencia se ajustó por el periodo de vigencia de las prórrogas de concesión que se tiene previsto otorgar, 20 años, mediante la metodología de Valor Presente Neto dado que el plazo de la vigencia de la prórroga de la concesión es mayor (pasa de 12 a 20 años) el valor económico de la concesión también lo es, este ajuste busca que este incremento se refleje en el monto de la contraprestación.</w:t>
      </w:r>
    </w:p>
    <w:p w14:paraId="6B04E8B4"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t>De acuerdo con el INEGI el INPC de los meses citados son los siguientes:</w:t>
      </w:r>
    </w:p>
    <w:p w14:paraId="011659BB" w14:textId="7FF166E2" w:rsidR="000208CE" w:rsidRPr="00F44160" w:rsidRDefault="000208CE" w:rsidP="00C55FC8">
      <w:pPr>
        <w:spacing w:after="0" w:line="276" w:lineRule="auto"/>
        <w:jc w:val="both"/>
        <w:rPr>
          <w:rFonts w:ascii="ITC Avant Garde" w:hAnsi="ITC Avant Garde"/>
        </w:rPr>
      </w:pPr>
      <w:r w:rsidRPr="00F44160">
        <w:rPr>
          <w:rFonts w:ascii="ITC Avant Garde" w:hAnsi="ITC Avant Garde"/>
        </w:rPr>
        <w:t>INPC diciembre 2005 = 80.2004</w:t>
      </w:r>
    </w:p>
    <w:p w14:paraId="2628B150"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t xml:space="preserve">INPC </w:t>
      </w:r>
      <w:r>
        <w:rPr>
          <w:rFonts w:ascii="ITC Avant Garde" w:hAnsi="ITC Avant Garde"/>
        </w:rPr>
        <w:t>julio</w:t>
      </w:r>
      <w:r w:rsidRPr="00F44160">
        <w:rPr>
          <w:rFonts w:ascii="ITC Avant Garde" w:hAnsi="ITC Avant Garde"/>
        </w:rPr>
        <w:t xml:space="preserve"> 2017 = 126.</w:t>
      </w:r>
      <w:r>
        <w:rPr>
          <w:rFonts w:ascii="ITC Avant Garde" w:hAnsi="ITC Avant Garde"/>
        </w:rPr>
        <w:t>886</w:t>
      </w:r>
    </w:p>
    <w:p w14:paraId="2E96F4C3"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t>La actualización por inflación se realizó de la siguiente manera:</w:t>
      </w:r>
    </w:p>
    <w:p w14:paraId="46F6A5BA" w14:textId="77777777" w:rsidR="00C55FC8" w:rsidRDefault="000208CE" w:rsidP="00C55FC8">
      <w:pPr>
        <w:spacing w:afterLines="120" w:after="288" w:line="276" w:lineRule="auto"/>
        <w:jc w:val="both"/>
        <w:rPr>
          <w:rFonts w:ascii="ITC Avant Garde" w:hAnsi="ITC Avant Garde"/>
        </w:rPr>
      </w:pPr>
      <m:oMathPara>
        <m:oMath>
          <m:r>
            <m:rPr>
              <m:sty m:val="p"/>
            </m:rPr>
            <w:rPr>
              <w:rFonts w:ascii="Cambria Math" w:hAnsi="Cambria Math"/>
            </w:rPr>
            <m:t xml:space="preserve">Factor de actualización = </m:t>
          </m:r>
          <m:f>
            <m:fPr>
              <m:ctrlPr>
                <w:rPr>
                  <w:rFonts w:ascii="Cambria Math" w:hAnsi="Cambria Math"/>
                </w:rPr>
              </m:ctrlPr>
            </m:fPr>
            <m:num>
              <m:r>
                <m:rPr>
                  <m:sty m:val="p"/>
                </m:rPr>
                <w:rPr>
                  <w:rFonts w:ascii="Cambria Math" w:hAnsi="Cambria Math"/>
                </w:rPr>
                <m:t>INPC julio 2017</m:t>
              </m:r>
            </m:num>
            <m:den>
              <m:r>
                <m:rPr>
                  <m:sty m:val="p"/>
                </m:rPr>
                <w:rPr>
                  <w:rFonts w:ascii="Cambria Math" w:hAnsi="Cambria Math"/>
                </w:rPr>
                <m:t>INPC diciembre 2005</m:t>
              </m:r>
            </m:den>
          </m:f>
          <m:r>
            <w:rPr>
              <w:rFonts w:ascii="Cambria Math" w:hAnsi="Cambria Math"/>
            </w:rPr>
            <m:t xml:space="preserve">= </m:t>
          </m:r>
          <m:f>
            <m:fPr>
              <m:ctrlPr>
                <w:rPr>
                  <w:rFonts w:ascii="Cambria Math" w:hAnsi="Cambria Math"/>
                </w:rPr>
              </m:ctrlPr>
            </m:fPr>
            <m:num>
              <m:r>
                <m:rPr>
                  <m:sty m:val="p"/>
                </m:rPr>
                <w:rPr>
                  <w:rFonts w:ascii="Cambria Math" w:hAnsi="Cambria Math"/>
                </w:rPr>
                <m:t>126.886</m:t>
              </m:r>
            </m:num>
            <m:den>
              <m:r>
                <m:rPr>
                  <m:sty m:val="p"/>
                </m:rPr>
                <w:rPr>
                  <w:rFonts w:ascii="Cambria Math" w:hAnsi="Cambria Math"/>
                </w:rPr>
                <m:t>80.2004</m:t>
              </m:r>
            </m:den>
          </m:f>
          <m:r>
            <w:rPr>
              <w:rFonts w:ascii="Cambria Math" w:hAnsi="Cambria Math"/>
            </w:rPr>
            <m:t>=1.5821</m:t>
          </m:r>
        </m:oMath>
      </m:oMathPara>
    </w:p>
    <w:p w14:paraId="6FD3446F"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t xml:space="preserve">Este factor de actualización se multiplicó por el Valor de Referencia de $0.50 establecido en 2005, para obtener el Valor de Referencia actualizado a </w:t>
      </w:r>
      <w:r w:rsidR="007E515A">
        <w:rPr>
          <w:rFonts w:ascii="ITC Avant Garde" w:hAnsi="ITC Avant Garde"/>
        </w:rPr>
        <w:t>julio</w:t>
      </w:r>
      <w:r w:rsidRPr="00F44160">
        <w:rPr>
          <w:rFonts w:ascii="ITC Avant Garde" w:hAnsi="ITC Avant Garde"/>
        </w:rPr>
        <w:t xml:space="preserve"> de 2017:</w:t>
      </w:r>
    </w:p>
    <w:p w14:paraId="5A5EE94F" w14:textId="77777777" w:rsidR="00C55FC8" w:rsidRDefault="000208CE" w:rsidP="00C55FC8">
      <w:pPr>
        <w:spacing w:afterLines="120" w:after="288" w:line="276" w:lineRule="auto"/>
        <w:jc w:val="both"/>
        <w:rPr>
          <w:rFonts w:ascii="ITC Avant Garde" w:eastAsiaTheme="minorEastAsia" w:hAnsi="ITC Avant Garde"/>
        </w:rPr>
      </w:pPr>
      <m:oMathPara>
        <m:oMath>
          <m:r>
            <w:rPr>
              <w:rFonts w:ascii="Cambria Math" w:hAnsi="Cambria Math"/>
            </w:rPr>
            <m:t>Valor de referencia julio 2017= $0.50*1.5821=$0.7911</m:t>
          </m:r>
        </m:oMath>
      </m:oMathPara>
    </w:p>
    <w:p w14:paraId="7DC2DE45" w14:textId="77777777" w:rsidR="00C55FC8" w:rsidRDefault="000208CE" w:rsidP="00C55FC8">
      <w:pPr>
        <w:spacing w:afterLines="120" w:after="288" w:line="276" w:lineRule="auto"/>
        <w:jc w:val="both"/>
        <w:rPr>
          <w:rFonts w:ascii="ITC Avant Garde" w:hAnsi="ITC Avant Garde"/>
          <w:color w:val="000000"/>
          <w:lang w:eastAsia="es-ES"/>
        </w:rPr>
      </w:pPr>
      <w:r w:rsidRPr="00F44160">
        <w:rPr>
          <w:rFonts w:ascii="ITC Avant Garde" w:hAnsi="ITC Avant Garde"/>
          <w:color w:val="000000"/>
          <w:lang w:eastAsia="es-ES"/>
        </w:rPr>
        <w:t>Es importante mencionar que la actualización del INPC se realiza con base en lo estipulado en el artículo 17-A del Código Fiscal de la Federación, mismo que a la letra dice:</w:t>
      </w:r>
    </w:p>
    <w:p w14:paraId="29255D70" w14:textId="77777777" w:rsidR="00C55FC8" w:rsidRDefault="000208CE" w:rsidP="00C55FC8">
      <w:pPr>
        <w:spacing w:afterLines="120" w:after="288" w:line="276" w:lineRule="auto"/>
        <w:ind w:left="851" w:right="993"/>
        <w:jc w:val="both"/>
        <w:rPr>
          <w:rFonts w:ascii="ITC Avant Garde" w:hAnsi="ITC Avant Garde"/>
          <w:i/>
          <w:iCs/>
          <w:color w:val="000000"/>
          <w:sz w:val="18"/>
          <w:szCs w:val="18"/>
        </w:rPr>
      </w:pPr>
      <w:r w:rsidRPr="00F44160">
        <w:rPr>
          <w:rFonts w:ascii="ITC Avant Garde" w:hAnsi="ITC Avant Garde"/>
          <w:i/>
          <w:iCs/>
          <w:color w:val="000000"/>
          <w:sz w:val="18"/>
          <w:szCs w:val="18"/>
        </w:rPr>
        <w:t>“</w:t>
      </w:r>
      <w:r w:rsidRPr="00F44160">
        <w:rPr>
          <w:rFonts w:ascii="ITC Avant Garde" w:hAnsi="ITC Avant Garde"/>
          <w:b/>
          <w:bCs/>
          <w:i/>
          <w:iCs/>
          <w:color w:val="000000"/>
          <w:sz w:val="18"/>
          <w:szCs w:val="18"/>
        </w:rPr>
        <w:t>Artículo 17-A.-</w:t>
      </w:r>
      <w:r w:rsidRPr="00F44160">
        <w:rPr>
          <w:rFonts w:ascii="ITC Avant Garde" w:hAnsi="ITC Avant Garde"/>
          <w:i/>
          <w:iCs/>
          <w:color w:val="000000"/>
          <w:sz w:val="18"/>
          <w:szCs w:val="18"/>
        </w:rPr>
        <w:t xml:space="preserve"> El monto de las contribuciones, aprovechamientos, así como de las devoluciones a cargo del fisco federal, </w:t>
      </w:r>
      <w:r w:rsidRPr="00F44160">
        <w:rPr>
          <w:rFonts w:ascii="ITC Avant Garde" w:hAnsi="ITC Avant Garde"/>
          <w:b/>
          <w:bCs/>
          <w:i/>
          <w:iCs/>
          <w:color w:val="000000"/>
          <w:sz w:val="18"/>
          <w:szCs w:val="18"/>
        </w:rPr>
        <w:t xml:space="preserve">se actualizará por el transcurso del tiempo y con motivo de los cambios de precios en el país, para lo cual se aplicará el factor de actualización a las cantidades que se deban actualizar. Dicho factor se obtendrá </w:t>
      </w:r>
      <w:r w:rsidRPr="00F44160">
        <w:rPr>
          <w:rFonts w:ascii="ITC Avant Garde" w:hAnsi="ITC Avant Garde"/>
          <w:b/>
          <w:bCs/>
          <w:i/>
          <w:iCs/>
          <w:color w:val="000000"/>
          <w:sz w:val="18"/>
          <w:szCs w:val="18"/>
        </w:rPr>
        <w:lastRenderedPageBreak/>
        <w:t>dividiendo el Índice Nacional de Precios al Consumidor del mes anterior al más reciente del periodo entre el citado índice correspondiente al mes anterior al más antiguo de dicho periodo</w:t>
      </w:r>
      <w:r w:rsidRPr="00F44160">
        <w:rPr>
          <w:rFonts w:ascii="ITC Avant Garde" w:hAnsi="ITC Avant Garde"/>
          <w:i/>
          <w:iCs/>
          <w:color w:val="000000"/>
          <w:sz w:val="18"/>
          <w:szCs w:val="18"/>
        </w:rPr>
        <w:t>. Las contribuciones, los aprovechamientos, así como las devoluciones a cargo del fisco federal, no se actualizarán por fracciones de mes.</w:t>
      </w:r>
    </w:p>
    <w:p w14:paraId="1CE545C9" w14:textId="77777777" w:rsidR="00C55FC8" w:rsidRDefault="000208CE" w:rsidP="00C55FC8">
      <w:pPr>
        <w:spacing w:afterLines="120" w:after="288" w:line="276" w:lineRule="auto"/>
        <w:ind w:left="851" w:right="993"/>
        <w:jc w:val="both"/>
        <w:rPr>
          <w:rFonts w:ascii="ITC Avant Garde" w:hAnsi="ITC Avant Garde"/>
          <w:i/>
          <w:iCs/>
          <w:color w:val="000000"/>
          <w:sz w:val="18"/>
          <w:szCs w:val="18"/>
        </w:rPr>
      </w:pPr>
      <w:r w:rsidRPr="00F44160">
        <w:rPr>
          <w:rFonts w:ascii="ITC Avant Garde" w:hAnsi="ITC Avant Garde"/>
          <w:i/>
          <w:iCs/>
          <w:color w:val="000000"/>
          <w:sz w:val="18"/>
          <w:szCs w:val="18"/>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14:paraId="45132232" w14:textId="77777777" w:rsidR="00C55FC8" w:rsidRDefault="000208CE" w:rsidP="00C55FC8">
      <w:pPr>
        <w:spacing w:afterLines="120" w:after="288" w:line="276" w:lineRule="auto"/>
        <w:ind w:left="851" w:right="993"/>
        <w:jc w:val="both"/>
        <w:rPr>
          <w:rFonts w:ascii="ITC Avant Garde" w:hAnsi="ITC Avant Garde"/>
          <w:i/>
          <w:iCs/>
          <w:color w:val="000000"/>
          <w:sz w:val="18"/>
          <w:szCs w:val="18"/>
        </w:rPr>
      </w:pPr>
      <w:r w:rsidRPr="00F44160">
        <w:rPr>
          <w:rFonts w:ascii="ITC Avant Garde" w:hAnsi="ITC Avant Garde"/>
          <w:i/>
          <w:iCs/>
          <w:color w:val="000000"/>
          <w:sz w:val="18"/>
          <w:szCs w:val="18"/>
        </w:rPr>
        <w:t>Los valores de bienes u operaciones se actualizarán de acuerdo con lo dispuesto por este Artículo, cuando las leyes fiscales así lo establezcan. Las disposiciones señalarán en cada caso el período de que se trate.</w:t>
      </w:r>
    </w:p>
    <w:p w14:paraId="2FC34BFF" w14:textId="77777777" w:rsidR="00C55FC8" w:rsidRDefault="000208CE" w:rsidP="00C55FC8">
      <w:pPr>
        <w:spacing w:afterLines="120" w:after="288" w:line="276" w:lineRule="auto"/>
        <w:ind w:left="851" w:right="993"/>
        <w:jc w:val="both"/>
        <w:rPr>
          <w:rFonts w:ascii="ITC Avant Garde" w:hAnsi="ITC Avant Garde"/>
          <w:i/>
          <w:iCs/>
          <w:color w:val="000000"/>
          <w:sz w:val="18"/>
          <w:szCs w:val="18"/>
        </w:rPr>
      </w:pPr>
      <w:r w:rsidRPr="00F44160">
        <w:rPr>
          <w:rFonts w:ascii="ITC Avant Garde" w:hAnsi="ITC Avant Garde"/>
          <w:b/>
          <w:bCs/>
          <w:i/>
          <w:iCs/>
          <w:color w:val="000000"/>
          <w:sz w:val="18"/>
          <w:szCs w:val="18"/>
        </w:rPr>
        <w:t>Las cantidades actualizadas conservan la naturaleza jurídica que tenían antes de la actualización. El monto de ésta, determinado en los pagos provisionales, definitivos y del ejercicio, no será deducible ni acreditable.</w:t>
      </w:r>
      <w:r w:rsidRPr="00F44160">
        <w:rPr>
          <w:rFonts w:ascii="ITC Avant Garde" w:hAnsi="ITC Avant Garde"/>
          <w:i/>
          <w:iCs/>
          <w:color w:val="000000"/>
          <w:sz w:val="18"/>
          <w:szCs w:val="18"/>
        </w:rPr>
        <w:t>”</w:t>
      </w:r>
    </w:p>
    <w:p w14:paraId="307F5E02" w14:textId="77777777" w:rsidR="00C55FC8" w:rsidRDefault="000208CE" w:rsidP="00C55FC8">
      <w:pPr>
        <w:spacing w:afterLines="120" w:after="288" w:line="276" w:lineRule="auto"/>
        <w:ind w:left="851" w:right="993"/>
        <w:jc w:val="both"/>
        <w:rPr>
          <w:rFonts w:ascii="ITC Avant Garde" w:hAnsi="ITC Avant Garde"/>
          <w:color w:val="000000"/>
          <w:sz w:val="18"/>
          <w:szCs w:val="18"/>
        </w:rPr>
      </w:pPr>
      <w:r w:rsidRPr="00F44160">
        <w:rPr>
          <w:rFonts w:ascii="ITC Avant Garde" w:hAnsi="ITC Avant Garde"/>
          <w:color w:val="000000"/>
          <w:sz w:val="18"/>
          <w:szCs w:val="18"/>
        </w:rPr>
        <w:t>(Énfasis añadido)</w:t>
      </w:r>
    </w:p>
    <w:p w14:paraId="1F3F3C02" w14:textId="77777777" w:rsidR="00C55FC8" w:rsidRDefault="000208CE" w:rsidP="00C55FC8">
      <w:pPr>
        <w:spacing w:afterLines="120" w:after="288" w:line="276" w:lineRule="auto"/>
        <w:jc w:val="both"/>
        <w:rPr>
          <w:rFonts w:ascii="ITC Avant Garde" w:hAnsi="ITC Avant Garde"/>
          <w:color w:val="000000"/>
          <w:lang w:eastAsia="es-ES"/>
        </w:rPr>
      </w:pPr>
      <w:r w:rsidRPr="00F44160">
        <w:rPr>
          <w:rFonts w:ascii="ITC Avant Garde" w:hAnsi="ITC Avant Garde"/>
          <w:color w:val="000000"/>
          <w:lang w:eastAsia="es-ES"/>
        </w:rPr>
        <w:t>De lo anterior se colige que todas las contraprestaciones previstas en la Ley se actualizarán por el transcurso del tiempo y con motivo de los cambios de precios en el país, con base en el cambio porcentual entre el Índice Nacional de Precios al Consumidor del mes correspondiente al cálculo original y el más reciente publicado. Cabe señalar, que las contraprestaciones por el otorgamiento de las prórrogas de las concesiones de radiodifusión tienen la naturaleza de aprovechamientos conforme a lo establecido en el artículo 3 del Código Fiscal de la Federación.</w:t>
      </w:r>
    </w:p>
    <w:p w14:paraId="5A91639C" w14:textId="77777777" w:rsidR="00C55FC8" w:rsidRDefault="000208CE" w:rsidP="00C55FC8">
      <w:pPr>
        <w:spacing w:afterLines="120" w:after="288" w:line="276" w:lineRule="auto"/>
        <w:jc w:val="both"/>
        <w:rPr>
          <w:rFonts w:ascii="ITC Avant Garde" w:hAnsi="ITC Avant Garde"/>
          <w:color w:val="000000"/>
        </w:rPr>
      </w:pPr>
      <w:r w:rsidRPr="00F44160">
        <w:rPr>
          <w:rFonts w:ascii="ITC Avant Garde" w:hAnsi="ITC Avant Garde"/>
          <w:color w:val="000000"/>
        </w:rPr>
        <w:t>Cabe precisar que la actualización del monto de las contribuciones y aprovechamientos opera por el transcurso del tiempo y con motivo de los cambios de precios en el país, a fin de dar el valor real al monto del aprovechamiento o contribución en el momento del pago para que el fisco reciba una suma equivalente a la que hubiera percibido de haberse cubierto en tiempo, lo que explica que las cantidades actualizadas conserven la naturaleza jurídica que tenían antes de la actualización.</w:t>
      </w:r>
    </w:p>
    <w:p w14:paraId="2A819977"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t>Es por esto 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a que se refiere el artículo 17-A del Código Fiscal de la Federación se realiza únicamente sobre el Valor de Referencia y con ello se logra que el valor de la contraprestación refleje en la misma proporción la actualización por inflación.</w:t>
      </w:r>
    </w:p>
    <w:p w14:paraId="368687FD" w14:textId="77777777" w:rsidR="00C55FC8" w:rsidRDefault="000208CE" w:rsidP="00C55FC8">
      <w:pPr>
        <w:spacing w:afterLines="120" w:after="288" w:line="276" w:lineRule="auto"/>
        <w:jc w:val="both"/>
        <w:rPr>
          <w:rFonts w:ascii="ITC Avant Garde" w:hAnsi="ITC Avant Garde"/>
          <w:lang w:eastAsia="es-ES"/>
        </w:rPr>
      </w:pPr>
      <w:r w:rsidRPr="00F44160">
        <w:rPr>
          <w:rFonts w:ascii="ITC Avant Garde" w:hAnsi="ITC Avant Garde"/>
          <w:lang w:eastAsia="es-ES"/>
        </w:rPr>
        <w:lastRenderedPageBreak/>
        <w:t xml:space="preserve">En ese sentido, y atendiendo el caso de </w:t>
      </w:r>
      <w:r w:rsidRPr="00F44160">
        <w:rPr>
          <w:rFonts w:ascii="ITC Avant Garde" w:hAnsi="ITC Avant Garde"/>
          <w:i/>
          <w:iCs/>
          <w:lang w:eastAsia="es-ES"/>
        </w:rPr>
        <w:t>temporalidad</w:t>
      </w:r>
      <w:r w:rsidRPr="00F44160">
        <w:rPr>
          <w:rFonts w:ascii="ITC Avant Garde" w:hAnsi="ITC Avant Garde"/>
          <w:lang w:eastAsia="es-ES"/>
        </w:rPr>
        <w:t xml:space="preserve"> en la vigencia de la concesión, el Valor de Referencia obtenido de $0.7</w:t>
      </w:r>
      <w:r>
        <w:rPr>
          <w:rFonts w:ascii="ITC Avant Garde" w:hAnsi="ITC Avant Garde"/>
          <w:lang w:eastAsia="es-ES"/>
        </w:rPr>
        <w:t>91</w:t>
      </w:r>
      <w:r w:rsidRPr="00F44160">
        <w:rPr>
          <w:rFonts w:ascii="ITC Avant Garde" w:hAnsi="ITC Avant Garde"/>
          <w:lang w:eastAsia="es-ES"/>
        </w:rPr>
        <w:t>1 es para el cálculo de una contraprestación con vigencia típica a 12 años, primero se debe obtener el pago anual de este valor con la siguiente fórmula:</w:t>
      </w:r>
    </w:p>
    <w:p w14:paraId="16305492" w14:textId="48E93AEE" w:rsidR="000208CE" w:rsidRPr="00F44160" w:rsidRDefault="000208CE" w:rsidP="00C55FC8">
      <w:pPr>
        <w:spacing w:afterLines="120" w:after="288" w:line="276" w:lineRule="auto"/>
        <w:ind w:left="360"/>
        <w:jc w:val="center"/>
        <w:rPr>
          <w:rFonts w:ascii="ITC Avant Garde" w:hAnsi="ITC Avant Garde"/>
        </w:rPr>
      </w:pPr>
      <m:oMathPara>
        <m:oMath>
          <m:r>
            <w:rPr>
              <w:rFonts w:ascii="Cambria Math" w:hAnsi="Cambria Math"/>
            </w:rPr>
            <m:t xml:space="preserve">Pago anual= </m:t>
          </m:r>
          <m:f>
            <m:fPr>
              <m:ctrlPr>
                <w:rPr>
                  <w:rFonts w:ascii="Cambria Math" w:hAnsi="Cambria Math"/>
                  <w:i/>
                  <w:iCs/>
                </w:rPr>
              </m:ctrlPr>
            </m:fPr>
            <m:num>
              <m:sSub>
                <m:sSubPr>
                  <m:ctrlPr>
                    <w:rPr>
                      <w:rFonts w:ascii="Cambria Math" w:hAnsi="Cambria Math"/>
                      <w:i/>
                      <w:iCs/>
                    </w:rPr>
                  </m:ctrlPr>
                </m:sSubPr>
                <m:e>
                  <m:r>
                    <w:rPr>
                      <w:rFonts w:ascii="Cambria Math" w:hAnsi="Cambria Math"/>
                    </w:rPr>
                    <m:t>VR</m:t>
                  </m:r>
                </m:e>
                <m:sub>
                  <m:r>
                    <w:rPr>
                      <w:rFonts w:ascii="Cambria Math" w:hAnsi="Cambria Math"/>
                    </w:rPr>
                    <m:t>n</m:t>
                  </m:r>
                </m:sub>
              </m:sSub>
              <m:r>
                <w:rPr>
                  <w:rFonts w:ascii="Cambria Math" w:hAnsi="Cambria Math"/>
                </w:rPr>
                <m:t>*i</m:t>
              </m:r>
            </m:num>
            <m:den>
              <m:r>
                <w:rPr>
                  <w:rFonts w:ascii="Cambria Math" w:hAnsi="Cambria Math"/>
                </w:rPr>
                <m:t>1-</m:t>
              </m:r>
              <m:sSup>
                <m:sSupPr>
                  <m:ctrlPr>
                    <w:rPr>
                      <w:rFonts w:ascii="Cambria Math" w:hAnsi="Cambria Math"/>
                      <w:i/>
                      <w:iCs/>
                    </w:rPr>
                  </m:ctrlPr>
                </m:sSupPr>
                <m:e>
                  <m:r>
                    <w:rPr>
                      <w:rFonts w:ascii="Cambria Math" w:hAnsi="Cambria Math"/>
                    </w:rPr>
                    <m:t>(1+i)</m:t>
                  </m:r>
                </m:e>
                <m:sup>
                  <m:r>
                    <w:rPr>
                      <w:rFonts w:ascii="Cambria Math" w:hAnsi="Cambria Math"/>
                    </w:rPr>
                    <m:t>-n</m:t>
                  </m:r>
                </m:sup>
              </m:sSup>
            </m:den>
          </m:f>
        </m:oMath>
      </m:oMathPara>
    </w:p>
    <w:p w14:paraId="60616736" w14:textId="77777777" w:rsidR="00C55FC8" w:rsidRDefault="000208CE" w:rsidP="00C55FC8">
      <w:pPr>
        <w:spacing w:afterLines="120" w:after="288" w:line="276" w:lineRule="auto"/>
        <w:rPr>
          <w:rFonts w:ascii="ITC Avant Garde" w:hAnsi="ITC Avant Garde"/>
        </w:rPr>
      </w:pPr>
      <w:r w:rsidRPr="00F44160">
        <w:rPr>
          <w:rFonts w:ascii="ITC Avant Garde" w:hAnsi="ITC Avant Garde"/>
        </w:rPr>
        <w:t>Donde:</w:t>
      </w:r>
    </w:p>
    <w:p w14:paraId="45817E30" w14:textId="621BD258" w:rsidR="000208CE" w:rsidRPr="00F44160" w:rsidRDefault="006F4466" w:rsidP="00C55FC8">
      <w:pPr>
        <w:spacing w:after="0" w:line="276" w:lineRule="auto"/>
        <w:rPr>
          <w:rFonts w:ascii="ITC Avant Garde" w:hAnsi="ITC Avant Garde"/>
        </w:rPr>
      </w:pPr>
      <m:oMath>
        <m:sSub>
          <m:sSubPr>
            <m:ctrlPr>
              <w:rPr>
                <w:rFonts w:ascii="Cambria Math" w:hAnsi="Cambria Math"/>
              </w:rPr>
            </m:ctrlPr>
          </m:sSubPr>
          <m:e>
            <m:r>
              <w:rPr>
                <w:rFonts w:ascii="Cambria Math" w:hAnsi="Cambria Math"/>
              </w:rPr>
              <m:t>VR</m:t>
            </m:r>
          </m:e>
          <m:sub>
            <m:r>
              <w:rPr>
                <w:rFonts w:ascii="Cambria Math" w:hAnsi="Cambria Math"/>
              </w:rPr>
              <m:t>n</m:t>
            </m:r>
          </m:sub>
        </m:sSub>
      </m:oMath>
      <w:r w:rsidR="000208CE" w:rsidRPr="00F44160">
        <w:rPr>
          <w:rFonts w:ascii="ITC Avant Garde" w:hAnsi="ITC Avant Garde"/>
        </w:rPr>
        <w:t xml:space="preserve"> - es el monto del valor de referencia a 12 años actualizado a </w:t>
      </w:r>
      <w:r w:rsidR="007E515A">
        <w:rPr>
          <w:rFonts w:ascii="ITC Avant Garde" w:hAnsi="ITC Avant Garde"/>
        </w:rPr>
        <w:t>julio</w:t>
      </w:r>
      <w:r w:rsidR="000208CE" w:rsidRPr="00F44160">
        <w:rPr>
          <w:rFonts w:ascii="ITC Avant Garde" w:hAnsi="ITC Avant Garde"/>
        </w:rPr>
        <w:t xml:space="preserve"> de 2017 ($0.</w:t>
      </w:r>
      <w:r w:rsidR="007E515A">
        <w:rPr>
          <w:rFonts w:ascii="ITC Avant Garde" w:hAnsi="ITC Avant Garde"/>
        </w:rPr>
        <w:t>7911</w:t>
      </w:r>
      <w:r w:rsidR="000208CE" w:rsidRPr="00F44160">
        <w:rPr>
          <w:rFonts w:ascii="ITC Avant Garde" w:hAnsi="ITC Avant Garde"/>
        </w:rPr>
        <w:t>)</w:t>
      </w:r>
    </w:p>
    <w:p w14:paraId="13D2C6CA" w14:textId="77777777" w:rsidR="000208CE" w:rsidRPr="00F44160" w:rsidRDefault="000208CE" w:rsidP="00C55FC8">
      <w:pPr>
        <w:spacing w:after="0" w:line="276" w:lineRule="auto"/>
        <w:rPr>
          <w:rFonts w:ascii="ITC Avant Garde" w:hAnsi="ITC Avant Garde"/>
        </w:rPr>
      </w:pPr>
      <m:oMath>
        <m:r>
          <w:rPr>
            <w:rFonts w:ascii="Cambria Math" w:hAnsi="Cambria Math"/>
          </w:rPr>
          <m:t>i</m:t>
        </m:r>
      </m:oMath>
      <w:r w:rsidRPr="00F44160">
        <w:rPr>
          <w:rFonts w:ascii="ITC Avant Garde" w:hAnsi="ITC Avant Garde"/>
        </w:rPr>
        <w:t xml:space="preserve"> - es la tasa de descuento real anual (10.11%)</w:t>
      </w:r>
    </w:p>
    <w:p w14:paraId="00CD4F16" w14:textId="77777777" w:rsidR="00C55FC8" w:rsidRDefault="000208CE" w:rsidP="00C55FC8">
      <w:pPr>
        <w:spacing w:afterLines="120" w:after="288" w:line="276" w:lineRule="auto"/>
        <w:rPr>
          <w:rFonts w:ascii="ITC Avant Garde" w:hAnsi="ITC Avant Garde"/>
        </w:rPr>
      </w:pPr>
      <m:oMath>
        <m:r>
          <w:rPr>
            <w:rFonts w:ascii="Cambria Math" w:hAnsi="Cambria Math"/>
          </w:rPr>
          <m:t>n</m:t>
        </m:r>
      </m:oMath>
      <w:r w:rsidRPr="00F44160">
        <w:rPr>
          <w:rFonts w:ascii="ITC Avant Garde" w:hAnsi="ITC Avant Garde"/>
        </w:rPr>
        <w:t xml:space="preserve"> – es el periodo que se quiere anualizar (12 años)</w:t>
      </w:r>
    </w:p>
    <w:p w14:paraId="769BE843" w14:textId="77777777" w:rsidR="00C55FC8" w:rsidRDefault="000208CE" w:rsidP="00C55FC8">
      <w:pPr>
        <w:spacing w:afterLines="120" w:after="288" w:line="276" w:lineRule="auto"/>
        <w:rPr>
          <w:rFonts w:ascii="ITC Avant Garde" w:hAnsi="ITC Avant Garde"/>
          <w:lang w:eastAsia="es-ES"/>
        </w:rPr>
      </w:pPr>
      <w:r w:rsidRPr="00F44160">
        <w:rPr>
          <w:rFonts w:ascii="ITC Avant Garde" w:hAnsi="ITC Avant Garde"/>
          <w:lang w:eastAsia="es-ES"/>
        </w:rPr>
        <w:t>Por lo que al sustituir los valores resulta lo siguiente:</w:t>
      </w:r>
    </w:p>
    <w:p w14:paraId="2FAD9BD4" w14:textId="77777777" w:rsidR="00C55FC8" w:rsidRDefault="000208CE" w:rsidP="00C55FC8">
      <w:pPr>
        <w:spacing w:afterLines="120" w:after="288" w:line="276" w:lineRule="auto"/>
        <w:jc w:val="center"/>
        <w:rPr>
          <w:rFonts w:ascii="Soberana Sans" w:eastAsiaTheme="minorEastAsia" w:hAnsi="Soberana Sans"/>
        </w:rPr>
      </w:pPr>
      <m:oMathPara>
        <m:oMath>
          <m:r>
            <w:rPr>
              <w:rFonts w:ascii="Cambria Math" w:hAnsi="Cambria Math"/>
            </w:rPr>
            <m:t xml:space="preserve">Pago anual= </m:t>
          </m:r>
          <m:f>
            <m:fPr>
              <m:ctrlPr>
                <w:rPr>
                  <w:rFonts w:ascii="Cambria Math" w:hAnsi="Cambria Math"/>
                  <w:i/>
                  <w:iCs/>
                </w:rPr>
              </m:ctrlPr>
            </m:fPr>
            <m:num>
              <m:r>
                <w:rPr>
                  <w:rFonts w:ascii="Cambria Math" w:hAnsi="Cambria Math"/>
                </w:rPr>
                <m:t>$0.7911*10.11%</m:t>
              </m:r>
            </m:num>
            <m:den>
              <m:r>
                <w:rPr>
                  <w:rFonts w:ascii="Cambria Math" w:hAnsi="Cambria Math"/>
                </w:rPr>
                <m:t>1-</m:t>
              </m:r>
              <m:sSup>
                <m:sSupPr>
                  <m:ctrlPr>
                    <w:rPr>
                      <w:rFonts w:ascii="Cambria Math" w:hAnsi="Cambria Math"/>
                      <w:i/>
                      <w:iCs/>
                    </w:rPr>
                  </m:ctrlPr>
                </m:sSupPr>
                <m:e>
                  <m:r>
                    <w:rPr>
                      <w:rFonts w:ascii="Cambria Math" w:hAnsi="Cambria Math"/>
                    </w:rPr>
                    <m:t>(1+10.11%)</m:t>
                  </m:r>
                </m:e>
                <m:sup>
                  <m:r>
                    <w:rPr>
                      <w:rFonts w:ascii="Cambria Math" w:hAnsi="Cambria Math"/>
                    </w:rPr>
                    <m:t>-12</m:t>
                  </m:r>
                </m:sup>
              </m:sSup>
            </m:den>
          </m:f>
          <m:r>
            <w:rPr>
              <w:rFonts w:ascii="Cambria Math" w:hAnsi="Cambria Math"/>
            </w:rPr>
            <m:t>=$0.1167</m:t>
          </m:r>
        </m:oMath>
      </m:oMathPara>
    </w:p>
    <w:p w14:paraId="5913620D" w14:textId="77777777" w:rsidR="00C55FC8" w:rsidRDefault="000208CE" w:rsidP="00C55FC8">
      <w:pPr>
        <w:spacing w:afterLines="120" w:after="288" w:line="276" w:lineRule="auto"/>
        <w:jc w:val="both"/>
        <w:rPr>
          <w:rFonts w:ascii="ITC Avant Garde" w:hAnsi="ITC Avant Garde"/>
          <w:lang w:eastAsia="es-ES"/>
        </w:rPr>
      </w:pPr>
      <w:r w:rsidRPr="00F44160">
        <w:rPr>
          <w:rFonts w:ascii="ITC Avant Garde" w:hAnsi="ITC Avant Garde"/>
          <w:lang w:eastAsia="es-ES"/>
        </w:rPr>
        <w:t>Para obtener el valor de referencia para una concesión a 20 años, periodo de tiempo establecido para las empresas que nos ocupan, se debe obtener el valor actual de dicha concesión con el pago anual anteriormente obtenido, mediante la siguiente fórmula:</w:t>
      </w:r>
    </w:p>
    <w:p w14:paraId="7E56DFC0" w14:textId="77777777" w:rsidR="00C55FC8" w:rsidRDefault="000208CE" w:rsidP="00C55FC8">
      <w:pPr>
        <w:spacing w:afterLines="120" w:after="288" w:line="276" w:lineRule="auto"/>
        <w:ind w:left="360"/>
        <w:jc w:val="center"/>
        <w:rPr>
          <w:rFonts w:ascii="ITC Avant Garde" w:hAnsi="ITC Avant Garde"/>
        </w:rPr>
      </w:pPr>
      <m:oMathPara>
        <m:oMath>
          <m:r>
            <w:rPr>
              <w:rFonts w:ascii="Cambria Math" w:hAnsi="Cambria Math"/>
            </w:rPr>
            <m:t xml:space="preserve">Valor Actual= </m:t>
          </m:r>
          <m:f>
            <m:fPr>
              <m:ctrlPr>
                <w:rPr>
                  <w:rFonts w:ascii="Cambria Math" w:hAnsi="Cambria Math"/>
                  <w:i/>
                  <w:iCs/>
                </w:rPr>
              </m:ctrlPr>
            </m:fPr>
            <m:num>
              <m:r>
                <w:rPr>
                  <w:rFonts w:ascii="Cambria Math" w:hAnsi="Cambria Math"/>
                </w:rPr>
                <m:t>Pago anual*[1-</m:t>
              </m:r>
              <m:sSup>
                <m:sSupPr>
                  <m:ctrlPr>
                    <w:rPr>
                      <w:rFonts w:ascii="Cambria Math" w:hAnsi="Cambria Math"/>
                      <w:i/>
                      <w:iCs/>
                    </w:rPr>
                  </m:ctrlPr>
                </m:sSupPr>
                <m:e>
                  <m:d>
                    <m:dPr>
                      <m:ctrlPr>
                        <w:rPr>
                          <w:rFonts w:ascii="Cambria Math" w:hAnsi="Cambria Math"/>
                          <w:i/>
                          <w:iCs/>
                        </w:rPr>
                      </m:ctrlPr>
                    </m:dPr>
                    <m:e>
                      <m:r>
                        <w:rPr>
                          <w:rFonts w:ascii="Cambria Math" w:hAnsi="Cambria Math"/>
                        </w:rPr>
                        <m:t>1+i</m:t>
                      </m:r>
                    </m:e>
                  </m:d>
                </m:e>
                <m:sup>
                  <m:r>
                    <w:rPr>
                      <w:rFonts w:ascii="Cambria Math" w:hAnsi="Cambria Math"/>
                    </w:rPr>
                    <m:t>-n</m:t>
                  </m:r>
                </m:sup>
              </m:sSup>
              <m:r>
                <w:rPr>
                  <w:rFonts w:ascii="Cambria Math" w:hAnsi="Cambria Math"/>
                </w:rPr>
                <m:t>]</m:t>
              </m:r>
            </m:num>
            <m:den>
              <m:r>
                <w:rPr>
                  <w:rFonts w:ascii="Cambria Math" w:hAnsi="Cambria Math"/>
                </w:rPr>
                <m:t>i</m:t>
              </m:r>
            </m:den>
          </m:f>
        </m:oMath>
      </m:oMathPara>
    </w:p>
    <w:p w14:paraId="61183A1C" w14:textId="77777777" w:rsidR="00C55FC8" w:rsidRDefault="000208CE" w:rsidP="00C55FC8">
      <w:pPr>
        <w:spacing w:afterLines="120" w:after="288" w:line="276" w:lineRule="auto"/>
        <w:rPr>
          <w:rFonts w:ascii="ITC Avant Garde" w:hAnsi="ITC Avant Garde"/>
          <w:lang w:eastAsia="es-ES"/>
        </w:rPr>
      </w:pPr>
      <w:r w:rsidRPr="00F44160">
        <w:rPr>
          <w:rFonts w:ascii="ITC Avant Garde" w:hAnsi="ITC Avant Garde"/>
          <w:lang w:eastAsia="es-ES"/>
        </w:rPr>
        <w:t>Donde:</w:t>
      </w:r>
    </w:p>
    <w:p w14:paraId="51446946" w14:textId="65D2BFE2" w:rsidR="000208CE" w:rsidRPr="00F44160" w:rsidRDefault="000208CE" w:rsidP="00C55FC8">
      <w:pPr>
        <w:spacing w:after="0" w:line="276" w:lineRule="auto"/>
        <w:jc w:val="both"/>
        <w:rPr>
          <w:rFonts w:ascii="ITC Avant Garde" w:hAnsi="ITC Avant Garde"/>
          <w:lang w:eastAsia="es-ES"/>
        </w:rPr>
      </w:pPr>
      <m:oMath>
        <m:r>
          <w:rPr>
            <w:rFonts w:ascii="Cambria Math" w:hAnsi="Cambria Math"/>
            <w:lang w:eastAsia="es-ES"/>
          </w:rPr>
          <m:t>i</m:t>
        </m:r>
      </m:oMath>
      <w:r w:rsidRPr="00F44160">
        <w:rPr>
          <w:rFonts w:ascii="ITC Avant Garde" w:hAnsi="ITC Avant Garde"/>
          <w:lang w:eastAsia="es-ES"/>
        </w:rPr>
        <w:t xml:space="preserve"> - es la tasa de descuento de 10.11%, utilizada por la Secretaría de Hacienda y Crédito Público.</w:t>
      </w:r>
    </w:p>
    <w:p w14:paraId="488773BA" w14:textId="77777777" w:rsidR="000208CE" w:rsidRPr="00F44160" w:rsidRDefault="000208CE" w:rsidP="00C55FC8">
      <w:pPr>
        <w:spacing w:afterLines="120" w:after="288" w:line="276" w:lineRule="auto"/>
        <w:rPr>
          <w:rFonts w:ascii="ITC Avant Garde" w:hAnsi="ITC Avant Garde"/>
          <w:lang w:eastAsia="es-ES"/>
        </w:rPr>
      </w:pPr>
      <m:oMath>
        <m:r>
          <w:rPr>
            <w:rFonts w:ascii="Cambria Math" w:hAnsi="Cambria Math"/>
            <w:lang w:eastAsia="es-ES"/>
          </w:rPr>
          <m:t>n</m:t>
        </m:r>
      </m:oMath>
      <w:r w:rsidRPr="00F44160">
        <w:rPr>
          <w:rFonts w:ascii="ITC Avant Garde" w:hAnsi="ITC Avant Garde"/>
          <w:lang w:eastAsia="es-ES"/>
        </w:rPr>
        <w:t xml:space="preserve"> – es el periodo del Valor actual (20 años).</w:t>
      </w:r>
    </w:p>
    <w:p w14:paraId="5EE0B39C" w14:textId="77777777" w:rsidR="00C55FC8" w:rsidRDefault="000208CE" w:rsidP="00C55FC8">
      <w:pPr>
        <w:spacing w:afterLines="120" w:after="288" w:line="276" w:lineRule="auto"/>
        <w:rPr>
          <w:rFonts w:ascii="ITC Avant Garde" w:hAnsi="ITC Avant Garde"/>
          <w:lang w:eastAsia="es-ES"/>
        </w:rPr>
      </w:pPr>
      <w:r w:rsidRPr="00F44160">
        <w:rPr>
          <w:rFonts w:ascii="ITC Avant Garde" w:hAnsi="ITC Avant Garde"/>
          <w:lang w:eastAsia="es-ES"/>
        </w:rPr>
        <w:t>Así, al sustituir los valores indicados se obtiene lo siguiente:</w:t>
      </w:r>
    </w:p>
    <w:p w14:paraId="4BDA1DD3" w14:textId="77777777" w:rsidR="00C55FC8" w:rsidRDefault="000208CE" w:rsidP="00C55FC8">
      <w:pPr>
        <w:spacing w:afterLines="120" w:after="288" w:line="276" w:lineRule="auto"/>
        <w:rPr>
          <w:rFonts w:ascii="Soberana Sans" w:hAnsi="Soberana Sans"/>
        </w:rPr>
      </w:pPr>
      <m:oMathPara>
        <m:oMath>
          <m:r>
            <w:rPr>
              <w:rFonts w:ascii="Cambria Math" w:hAnsi="Cambria Math"/>
            </w:rPr>
            <m:t>Valor</m:t>
          </m:r>
          <m:r>
            <m:rPr>
              <m:sty m:val="p"/>
            </m:rPr>
            <w:rPr>
              <w:rFonts w:ascii="Cambria Math" w:hAnsi="Cambria Math"/>
            </w:rPr>
            <m:t xml:space="preserve"> </m:t>
          </m:r>
          <m:r>
            <w:rPr>
              <w:rFonts w:ascii="Cambria Math" w:hAnsi="Cambria Math"/>
            </w:rPr>
            <m:t>Actual</m:t>
          </m:r>
          <m:r>
            <m:rPr>
              <m:sty m:val="p"/>
            </m:rPr>
            <w:rPr>
              <w:rFonts w:ascii="Cambria Math" w:hAnsi="Cambria Math"/>
            </w:rPr>
            <m:t xml:space="preserve">= </m:t>
          </m:r>
          <m:f>
            <m:fPr>
              <m:ctrlPr>
                <w:rPr>
                  <w:rFonts w:ascii="Cambria Math" w:hAnsi="Cambria Math"/>
                </w:rPr>
              </m:ctrlPr>
            </m:fPr>
            <m:num>
              <m:r>
                <w:rPr>
                  <w:rFonts w:ascii="Cambria Math" w:hAnsi="Cambria Math"/>
                </w:rPr>
                <m:t>$0.1167</m:t>
              </m:r>
              <m:r>
                <m:rPr>
                  <m:sty m:val="p"/>
                </m:rPr>
                <w:rPr>
                  <w:rFonts w:ascii="Cambria Math" w:hAnsi="Cambria Math"/>
                </w:rPr>
                <m:t>*[1-</m:t>
              </m:r>
              <m:sSup>
                <m:sSupPr>
                  <m:ctrlPr>
                    <w:rPr>
                      <w:rFonts w:ascii="Cambria Math" w:hAnsi="Cambria Math"/>
                    </w:rPr>
                  </m:ctrlPr>
                </m:sSupPr>
                <m:e>
                  <m:d>
                    <m:dPr>
                      <m:ctrlPr>
                        <w:rPr>
                          <w:rFonts w:ascii="Cambria Math" w:hAnsi="Cambria Math"/>
                        </w:rPr>
                      </m:ctrlPr>
                    </m:dPr>
                    <m:e>
                      <m:r>
                        <m:rPr>
                          <m:sty m:val="p"/>
                        </m:rPr>
                        <w:rPr>
                          <w:rFonts w:ascii="Cambria Math" w:hAnsi="Cambria Math"/>
                        </w:rPr>
                        <m:t>1+10.11%</m:t>
                      </m:r>
                    </m:e>
                  </m:d>
                </m:e>
                <m:sup>
                  <m:r>
                    <m:rPr>
                      <m:sty m:val="p"/>
                    </m:rPr>
                    <w:rPr>
                      <w:rFonts w:ascii="Cambria Math" w:hAnsi="Cambria Math"/>
                    </w:rPr>
                    <m:t>-20</m:t>
                  </m:r>
                </m:sup>
              </m:sSup>
              <m:r>
                <m:rPr>
                  <m:sty m:val="p"/>
                </m:rPr>
                <w:rPr>
                  <w:rFonts w:ascii="Cambria Math" w:hAnsi="Cambria Math"/>
                </w:rPr>
                <m:t>]</m:t>
              </m:r>
            </m:num>
            <m:den>
              <m:r>
                <m:rPr>
                  <m:sty m:val="p"/>
                </m:rPr>
                <w:rPr>
                  <w:rFonts w:ascii="Cambria Math" w:hAnsi="Cambria Math"/>
                </w:rPr>
                <m:t>10.11%</m:t>
              </m:r>
            </m:den>
          </m:f>
          <m:r>
            <m:rPr>
              <m:sty m:val="p"/>
            </m:rPr>
            <w:rPr>
              <w:rFonts w:ascii="Cambria Math" w:hAnsi="Cambria Math"/>
            </w:rPr>
            <m:t>=</m:t>
          </m:r>
          <m:r>
            <w:rPr>
              <w:rFonts w:ascii="Cambria Math" w:hAnsi="Cambria Math"/>
            </w:rPr>
            <m:t>$0.9863</m:t>
          </m:r>
        </m:oMath>
      </m:oMathPara>
    </w:p>
    <w:p w14:paraId="4D4B0A3D"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t>De esta forma, el Valor de Referencia utilizado es de $0.98</w:t>
      </w:r>
      <w:r>
        <w:rPr>
          <w:rFonts w:ascii="ITC Avant Garde" w:hAnsi="ITC Avant Garde"/>
        </w:rPr>
        <w:t>6</w:t>
      </w:r>
      <w:r w:rsidRPr="00F44160">
        <w:rPr>
          <w:rFonts w:ascii="ITC Avant Garde" w:hAnsi="ITC Avant Garde"/>
        </w:rPr>
        <w:t>3 pesos por habitante para concesiones con vigencia de 20 años para estaciones FM y $0.34</w:t>
      </w:r>
      <w:r>
        <w:rPr>
          <w:rFonts w:ascii="ITC Avant Garde" w:hAnsi="ITC Avant Garde"/>
        </w:rPr>
        <w:t>52</w:t>
      </w:r>
      <w:r w:rsidRPr="00F44160">
        <w:rPr>
          <w:rFonts w:ascii="ITC Avant Garde" w:hAnsi="ITC Avant Garde"/>
        </w:rPr>
        <w:t xml:space="preserve"> pesos por habitante </w:t>
      </w:r>
      <w:r w:rsidRPr="00F44160">
        <w:rPr>
          <w:rFonts w:ascii="ITC Avant Garde" w:hAnsi="ITC Avant Garde"/>
        </w:rPr>
        <w:lastRenderedPageBreak/>
        <w:t xml:space="preserve">para concesiones con vigencia de 20 años para estaciones AM, el cual fue actualizado con el </w:t>
      </w:r>
      <w:r w:rsidRPr="00F44160">
        <w:rPr>
          <w:rFonts w:ascii="ITC Avant Garde" w:hAnsi="ITC Avant Garde"/>
          <w:u w:val="single"/>
        </w:rPr>
        <w:t xml:space="preserve">INPC de </w:t>
      </w:r>
      <w:r>
        <w:rPr>
          <w:rFonts w:ascii="ITC Avant Garde" w:hAnsi="ITC Avant Garde"/>
          <w:u w:val="single"/>
        </w:rPr>
        <w:t>julio</w:t>
      </w:r>
      <w:r w:rsidRPr="00F44160">
        <w:rPr>
          <w:rFonts w:ascii="ITC Avant Garde" w:hAnsi="ITC Avant Garde"/>
          <w:u w:val="single"/>
        </w:rPr>
        <w:t xml:space="preserve"> de 2017. </w:t>
      </w:r>
    </w:p>
    <w:p w14:paraId="4113BCCB" w14:textId="77777777" w:rsidR="00C55FC8" w:rsidRDefault="000208CE" w:rsidP="00C55FC8">
      <w:pPr>
        <w:numPr>
          <w:ilvl w:val="0"/>
          <w:numId w:val="24"/>
        </w:numPr>
        <w:autoSpaceDN w:val="0"/>
        <w:spacing w:afterLines="120" w:after="288" w:line="276" w:lineRule="auto"/>
        <w:jc w:val="both"/>
        <w:textAlignment w:val="baseline"/>
        <w:rPr>
          <w:rFonts w:ascii="ITC Avant Garde" w:eastAsia="Times New Roman" w:hAnsi="ITC Avant Garde"/>
          <w:b/>
          <w:bCs/>
        </w:rPr>
      </w:pPr>
      <w:r w:rsidRPr="00F44160">
        <w:rPr>
          <w:rFonts w:ascii="ITC Avant Garde" w:eastAsia="Times New Roman" w:hAnsi="ITC Avant Garde"/>
          <w:b/>
          <w:bCs/>
        </w:rPr>
        <w:t>Población servida</w:t>
      </w:r>
    </w:p>
    <w:p w14:paraId="55B16A29" w14:textId="77777777" w:rsidR="00C55FC8" w:rsidRDefault="000208CE" w:rsidP="00C55FC8">
      <w:pPr>
        <w:spacing w:afterLines="120" w:after="288" w:line="276" w:lineRule="auto"/>
        <w:jc w:val="both"/>
        <w:rPr>
          <w:rFonts w:ascii="ITC Avant Garde" w:hAnsi="ITC Avant Garde"/>
        </w:rPr>
      </w:pPr>
      <w:r w:rsidRPr="00F44160">
        <w:rPr>
          <w:rFonts w:ascii="ITC Avant Garde" w:hAnsi="ITC Avant Garde"/>
        </w:rPr>
        <w:t>Es el número de habitantes cubiertos por la estación concesionada con calidad auditiva. La cobertura poblacional deriva de calcular el contorno audible comercial y determinar la población cubierta dentro de dicho contorno, conforme a lo dispuesto en la disposición IFT-002-2016 “Especificaciones y requerimientos mínimos para la instalación y operación de las estaciones de radiodifusión sonora en frecuencia modulada</w:t>
      </w:r>
      <w:r w:rsidRPr="00F44160">
        <w:rPr>
          <w:rFonts w:ascii="Times New Roman" w:hAnsi="Times New Roman"/>
          <w:sz w:val="24"/>
          <w:szCs w:val="24"/>
          <w:lang w:eastAsia="es-ES"/>
        </w:rPr>
        <w:t xml:space="preserve"> </w:t>
      </w:r>
      <w:r w:rsidRPr="00F44160">
        <w:rPr>
          <w:rFonts w:ascii="ITC Avant Garde" w:hAnsi="ITC Avant Garde"/>
        </w:rPr>
        <w:t xml:space="preserve">en la banda de 88 MHz a 108 MHz”, para el caso de FM (contorno audible de 74 </w:t>
      </w:r>
      <w:proofErr w:type="spellStart"/>
      <w:r w:rsidRPr="00F44160">
        <w:rPr>
          <w:rFonts w:ascii="ITC Avant Garde" w:hAnsi="ITC Avant Garde"/>
        </w:rPr>
        <w:t>dBu</w:t>
      </w:r>
      <w:proofErr w:type="spellEnd"/>
      <w:r w:rsidRPr="00F44160">
        <w:rPr>
          <w:rFonts w:ascii="ITC Avant Garde" w:hAnsi="ITC Avant Garde"/>
        </w:rPr>
        <w:t>).</w:t>
      </w:r>
    </w:p>
    <w:p w14:paraId="1F599B0E" w14:textId="77777777" w:rsidR="00C55FC8" w:rsidRDefault="000208CE" w:rsidP="00C55FC8">
      <w:pPr>
        <w:spacing w:afterLines="120" w:after="288" w:line="276" w:lineRule="auto"/>
        <w:jc w:val="both"/>
        <w:rPr>
          <w:rFonts w:ascii="ITC Avant Garde" w:hAnsi="ITC Avant Garde"/>
          <w:lang w:eastAsia="ar-SA"/>
        </w:rPr>
      </w:pPr>
      <w:r w:rsidRPr="00F44160">
        <w:rPr>
          <w:rFonts w:ascii="ITC Avant Garde" w:hAnsi="ITC Avant Garde"/>
          <w:lang w:eastAsia="ar-SA"/>
        </w:rPr>
        <w:t>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aprovechamiento al número de habitantes se logra que el monto resultante refleje el tamaño de la población de cobertura de la concesión.</w:t>
      </w:r>
    </w:p>
    <w:p w14:paraId="0B7D3606" w14:textId="77777777" w:rsidR="00C55FC8" w:rsidRDefault="000208CE" w:rsidP="00C55FC8">
      <w:pPr>
        <w:spacing w:afterLines="120" w:after="288" w:line="276" w:lineRule="auto"/>
        <w:jc w:val="both"/>
        <w:rPr>
          <w:rFonts w:ascii="ITC Avant Garde" w:hAnsi="ITC Avant Garde"/>
          <w:lang w:eastAsia="ar-SA"/>
        </w:rPr>
      </w:pPr>
      <w:r w:rsidRPr="00F44160">
        <w:rPr>
          <w:rFonts w:ascii="ITC Avant Garde" w:hAnsi="ITC Avant Garde"/>
          <w:lang w:eastAsia="ar-SA"/>
        </w:rPr>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F44160">
        <w:rPr>
          <w:rFonts w:ascii="ITC Avant Garde" w:hAnsi="ITC Avant Garde"/>
        </w:rPr>
        <w:t>que dibuja el área que comprende el contorno audible mediante un método de predicción de propagación,</w:t>
      </w:r>
      <w:r w:rsidRPr="00F44160">
        <w:rPr>
          <w:rFonts w:ascii="ITC Avant Garde" w:hAnsi="ITC Avant Garde"/>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destacar que </w:t>
      </w:r>
      <w:r w:rsidRPr="00F44160">
        <w:rPr>
          <w:rFonts w:ascii="ITC Avant Garde" w:hAnsi="ITC Avant Garde"/>
        </w:rPr>
        <w:t>la población servida será la misma para cualquier concesión siempre y cuando no exista una actualización en el Censo de Población y Vivienda que publica el INEGI</w:t>
      </w:r>
      <w:r w:rsidRPr="00F44160">
        <w:rPr>
          <w:rFonts w:ascii="ITC Avant Garde" w:hAnsi="ITC Avant Garde"/>
          <w:lang w:eastAsia="ar-SA"/>
        </w:rPr>
        <w:t>.</w:t>
      </w:r>
    </w:p>
    <w:p w14:paraId="3319C3CB" w14:textId="77777777" w:rsidR="00C55FC8" w:rsidRDefault="000208CE" w:rsidP="00C55FC8">
      <w:pPr>
        <w:numPr>
          <w:ilvl w:val="0"/>
          <w:numId w:val="24"/>
        </w:numPr>
        <w:autoSpaceDN w:val="0"/>
        <w:spacing w:afterLines="120" w:after="288" w:line="276" w:lineRule="auto"/>
        <w:jc w:val="both"/>
        <w:textAlignment w:val="baseline"/>
        <w:rPr>
          <w:rFonts w:ascii="ITC Avant Garde" w:eastAsia="Times New Roman" w:hAnsi="ITC Avant Garde"/>
          <w:b/>
          <w:bCs/>
          <w:lang w:eastAsia="ar-SA"/>
        </w:rPr>
      </w:pPr>
      <w:r w:rsidRPr="00F44160">
        <w:rPr>
          <w:rFonts w:ascii="ITC Avant Garde" w:eastAsia="Times New Roman" w:hAnsi="ITC Avant Garde"/>
          <w:b/>
          <w:bCs/>
          <w:lang w:eastAsia="ar-SA"/>
        </w:rPr>
        <w:t>Factor Económico</w:t>
      </w:r>
    </w:p>
    <w:p w14:paraId="03A72212" w14:textId="77777777" w:rsidR="00C55FC8" w:rsidRDefault="000208CE" w:rsidP="00C55FC8">
      <w:pPr>
        <w:spacing w:afterLines="120" w:after="288" w:line="276" w:lineRule="auto"/>
        <w:jc w:val="both"/>
        <w:rPr>
          <w:rFonts w:ascii="ITC Avant Garde" w:hAnsi="ITC Avant Garde"/>
          <w:lang w:eastAsia="ar-SA"/>
        </w:rPr>
      </w:pPr>
      <w:r w:rsidRPr="00F44160">
        <w:rPr>
          <w:rFonts w:ascii="ITC Avant Garde" w:hAnsi="ITC Avant Garde"/>
          <w:lang w:eastAsia="ar-SA"/>
        </w:rPr>
        <w:t>El factor económico tiene como finalidad reflejar el valor de mercado de las concesiones en las que además de la población servida se tome en cuenta el potencial económico de la cobertura que se concesiona.</w:t>
      </w:r>
    </w:p>
    <w:p w14:paraId="57F23893" w14:textId="77777777" w:rsidR="00C55FC8" w:rsidRDefault="000208CE" w:rsidP="00C55FC8">
      <w:pPr>
        <w:spacing w:afterLines="120" w:after="288" w:line="276" w:lineRule="auto"/>
        <w:jc w:val="both"/>
        <w:rPr>
          <w:rFonts w:ascii="ITC Avant Garde" w:hAnsi="ITC Avant Garde"/>
          <w:lang w:eastAsia="es-ES"/>
        </w:rPr>
      </w:pPr>
      <w:r w:rsidRPr="00F44160">
        <w:rPr>
          <w:rFonts w:ascii="ITC Avant Garde" w:hAnsi="ITC Avant Garde"/>
          <w:lang w:eastAsia="es-ES"/>
        </w:rPr>
        <w:lastRenderedPageBreak/>
        <w:t>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En ese sentido, el factor económico es un factor adimensional con valores ponderados entre 1.0 y 2.0 que depende del Valor Bruto de la Producción per cápita, conforme al INEGI.</w:t>
      </w:r>
    </w:p>
    <w:p w14:paraId="4D998697" w14:textId="77777777" w:rsidR="00C55FC8" w:rsidRDefault="000208CE" w:rsidP="00C55FC8">
      <w:pPr>
        <w:spacing w:afterLines="120" w:after="288" w:line="276" w:lineRule="auto"/>
        <w:jc w:val="both"/>
        <w:rPr>
          <w:rFonts w:ascii="ITC Avant Garde" w:hAnsi="ITC Avant Garde"/>
          <w:lang w:eastAsia="es-ES"/>
        </w:rPr>
      </w:pPr>
      <w:r w:rsidRPr="00F44160">
        <w:rPr>
          <w:rFonts w:ascii="ITC Avant Garde" w:hAnsi="ITC Avant Garde"/>
          <w:lang w:eastAsia="es-ES"/>
        </w:rPr>
        <w:t xml:space="preserve">Por lo tanto, para calcular el Valor Bruto de la Producción per cápita, se divide la Producción Bruta Total del municipio de la localidad principal a servir con base en la información del Censo Económico INEGI 2009, entre población del municipio de la localidad principal a servir con base en la información del Censo de Población y Vivienda INEGI 2010. </w:t>
      </w:r>
    </w:p>
    <w:p w14:paraId="7BA79170" w14:textId="77777777" w:rsidR="00C55FC8" w:rsidRDefault="006F4466" w:rsidP="00C55FC8">
      <w:pPr>
        <w:spacing w:afterLines="120" w:after="288" w:line="276" w:lineRule="auto"/>
        <w:ind w:left="360"/>
        <w:jc w:val="both"/>
        <w:rPr>
          <w:rFonts w:ascii="ITC Avant Garde" w:hAnsi="ITC Avant Garde"/>
          <w:lang w:eastAsia="es-ES"/>
        </w:rPr>
      </w:pPr>
      <m:oMathPara>
        <m:oMath>
          <m:sSub>
            <m:sSubPr>
              <m:ctrlPr>
                <w:rPr>
                  <w:rFonts w:ascii="Cambria Math" w:hAnsi="Cambria Math"/>
                  <w:i/>
                  <w:iCs/>
                  <w:lang w:eastAsia="es-ES"/>
                </w:rPr>
              </m:ctrlPr>
            </m:sSubPr>
            <m:e>
              <m:r>
                <w:rPr>
                  <w:rFonts w:ascii="Cambria Math" w:hAnsi="Cambria Math"/>
                  <w:lang w:eastAsia="es-ES"/>
                </w:rPr>
                <m:t>Valor Bruto de la Producción per cápita</m:t>
              </m:r>
            </m:e>
            <m:sub/>
          </m:sSub>
          <m:r>
            <w:rPr>
              <w:rFonts w:ascii="Cambria Math" w:hAnsi="Cambria Math"/>
              <w:lang w:eastAsia="es-ES"/>
            </w:rPr>
            <m:t>=</m:t>
          </m:r>
          <m:f>
            <m:fPr>
              <m:ctrlPr>
                <w:rPr>
                  <w:rFonts w:ascii="Cambria Math" w:hAnsi="Cambria Math"/>
                  <w:i/>
                  <w:iCs/>
                  <w:lang w:eastAsia="es-ES"/>
                </w:rPr>
              </m:ctrlPr>
            </m:fPr>
            <m:num>
              <m:r>
                <w:rPr>
                  <w:rFonts w:ascii="Cambria Math" w:hAnsi="Cambria Math"/>
                  <w:lang w:eastAsia="es-ES"/>
                </w:rPr>
                <m:t>PBT</m:t>
              </m:r>
            </m:num>
            <m:den>
              <m:r>
                <w:rPr>
                  <w:rFonts w:ascii="Cambria Math" w:hAnsi="Cambria Math"/>
                  <w:lang w:eastAsia="es-ES"/>
                </w:rPr>
                <m:t>PPS</m:t>
              </m:r>
            </m:den>
          </m:f>
        </m:oMath>
      </m:oMathPara>
    </w:p>
    <w:p w14:paraId="5B8DE62A" w14:textId="77777777" w:rsidR="00C55FC8" w:rsidRDefault="000208CE" w:rsidP="00C55FC8">
      <w:pPr>
        <w:spacing w:afterLines="120" w:after="288" w:line="276" w:lineRule="auto"/>
        <w:rPr>
          <w:rFonts w:ascii="ITC Avant Garde" w:hAnsi="ITC Avant Garde"/>
          <w:lang w:eastAsia="es-ES"/>
        </w:rPr>
      </w:pPr>
      <w:r w:rsidRPr="00F44160">
        <w:rPr>
          <w:rFonts w:ascii="ITC Avant Garde" w:hAnsi="ITC Avant Garde"/>
          <w:lang w:eastAsia="es-ES"/>
        </w:rPr>
        <w:t>Donde:</w:t>
      </w:r>
    </w:p>
    <w:p w14:paraId="000DF512" w14:textId="668370DE" w:rsidR="000208CE" w:rsidRPr="00F44160" w:rsidRDefault="000208CE" w:rsidP="00C55FC8">
      <w:pPr>
        <w:spacing w:after="0" w:line="276" w:lineRule="auto"/>
        <w:jc w:val="both"/>
        <w:rPr>
          <w:rFonts w:ascii="ITC Avant Garde" w:hAnsi="ITC Avant Garde"/>
          <w:lang w:eastAsia="es-ES"/>
        </w:rPr>
      </w:pPr>
      <m:oMath>
        <m:r>
          <w:rPr>
            <w:rFonts w:ascii="Cambria Math" w:hAnsi="Cambria Math"/>
            <w:lang w:eastAsia="es-ES"/>
          </w:rPr>
          <m:t>PBT</m:t>
        </m:r>
      </m:oMath>
      <w:r w:rsidRPr="00F44160">
        <w:rPr>
          <w:rFonts w:ascii="ITC Avant Garde" w:hAnsi="ITC Avant Garde"/>
          <w:lang w:eastAsia="es-ES"/>
        </w:rPr>
        <w:t xml:space="preserve"> - es la Producción Bruta Total de Municipio de la Localidad Principal a Servir.</w:t>
      </w:r>
    </w:p>
    <w:p w14:paraId="08CBAB79" w14:textId="77777777" w:rsidR="00C55FC8" w:rsidRDefault="000208CE" w:rsidP="00C55FC8">
      <w:pPr>
        <w:spacing w:afterLines="120" w:after="288" w:line="276" w:lineRule="auto"/>
        <w:rPr>
          <w:rFonts w:ascii="ITC Avant Garde" w:hAnsi="ITC Avant Garde"/>
          <w:lang w:eastAsia="es-ES"/>
        </w:rPr>
      </w:pPr>
      <w:r w:rsidRPr="00F44160">
        <w:rPr>
          <w:rFonts w:ascii="Cambria Math" w:hAnsi="Cambria Math"/>
          <w:i/>
          <w:iCs/>
          <w:lang w:eastAsia="es-ES"/>
        </w:rPr>
        <w:t>PPS</w:t>
      </w:r>
      <w:r w:rsidRPr="00F44160">
        <w:rPr>
          <w:rFonts w:ascii="ITC Avant Garde" w:hAnsi="ITC Avant Garde"/>
          <w:lang w:eastAsia="es-ES"/>
        </w:rPr>
        <w:t xml:space="preserve"> – es la Población del municipio de la Localidad Principal a Servir.</w:t>
      </w:r>
    </w:p>
    <w:p w14:paraId="61DAE638" w14:textId="77777777" w:rsidR="00C55FC8" w:rsidRDefault="000208CE" w:rsidP="00C55FC8">
      <w:pPr>
        <w:spacing w:afterLines="120" w:after="288" w:line="276" w:lineRule="auto"/>
        <w:jc w:val="both"/>
        <w:rPr>
          <w:rFonts w:ascii="ITC Avant Garde" w:hAnsi="ITC Avant Garde"/>
          <w:lang w:eastAsia="ar-SA"/>
        </w:rPr>
      </w:pPr>
      <w:r w:rsidRPr="00F44160">
        <w:rPr>
          <w:rFonts w:ascii="ITC Avant Garde" w:hAnsi="ITC Avant Garde"/>
          <w:lang w:eastAsia="ar-SA"/>
        </w:rPr>
        <w:t>El resultado obtenido determina el rango de carácter progresivo en el que se encuentra el valor per cápita conforme a la siguiente tabla, misma que forma parte de la metodología de cálculo de contraprestaciones:</w:t>
      </w:r>
    </w:p>
    <w:tbl>
      <w:tblPr>
        <w:tblStyle w:val="Tablaconcuadrcula"/>
        <w:tblW w:w="0" w:type="auto"/>
        <w:jc w:val="center"/>
        <w:tblLook w:val="04A0" w:firstRow="1" w:lastRow="0" w:firstColumn="1" w:lastColumn="0" w:noHBand="0" w:noVBand="1"/>
        <w:tblCaption w:val="Valor Pér capita de la producción bruta."/>
        <w:tblDescription w:val="Tabla de 3 columnas que proporciona información relativa al Valor Pér capita de la producción bruta en relación con el factor económico."/>
      </w:tblPr>
      <w:tblGrid>
        <w:gridCol w:w="3444"/>
        <w:gridCol w:w="898"/>
        <w:gridCol w:w="1049"/>
      </w:tblGrid>
      <w:tr w:rsidR="000208CE" w:rsidRPr="00F44160" w14:paraId="37D42C85" w14:textId="77777777" w:rsidTr="00C55FC8">
        <w:trPr>
          <w:trHeight w:val="602"/>
          <w:tblHeader/>
          <w:jc w:val="center"/>
        </w:trPr>
        <w:tc>
          <w:tcPr>
            <w:tcW w:w="3444" w:type="dxa"/>
            <w:hideMark/>
          </w:tcPr>
          <w:p w14:paraId="4979550B" w14:textId="77777777" w:rsidR="000208CE" w:rsidRPr="00F44160" w:rsidRDefault="000208CE" w:rsidP="00C55FC8">
            <w:pPr>
              <w:spacing w:line="276" w:lineRule="auto"/>
              <w:ind w:right="-62"/>
              <w:jc w:val="center"/>
              <w:rPr>
                <w:rFonts w:ascii="ITC Avant Garde" w:hAnsi="ITC Avant Garde"/>
                <w:b/>
                <w:bCs/>
                <w:sz w:val="18"/>
                <w:szCs w:val="18"/>
                <w:lang w:eastAsia="ar-SA"/>
              </w:rPr>
            </w:pPr>
            <w:r w:rsidRPr="00F44160">
              <w:rPr>
                <w:rFonts w:ascii="ITC Avant Garde" w:hAnsi="ITC Avant Garde"/>
                <w:b/>
                <w:bCs/>
                <w:sz w:val="18"/>
                <w:szCs w:val="18"/>
                <w:lang w:eastAsia="ar-SA"/>
              </w:rPr>
              <w:t xml:space="preserve">Valor </w:t>
            </w:r>
            <w:proofErr w:type="spellStart"/>
            <w:r w:rsidRPr="00F44160">
              <w:rPr>
                <w:rFonts w:ascii="ITC Avant Garde" w:hAnsi="ITC Avant Garde"/>
                <w:b/>
                <w:bCs/>
                <w:sz w:val="18"/>
                <w:szCs w:val="18"/>
                <w:lang w:eastAsia="ar-SA"/>
              </w:rPr>
              <w:t>Pér</w:t>
            </w:r>
            <w:proofErr w:type="spellEnd"/>
            <w:r w:rsidRPr="00F44160">
              <w:rPr>
                <w:rFonts w:ascii="ITC Avant Garde" w:hAnsi="ITC Avant Garde"/>
                <w:b/>
                <w:bCs/>
                <w:sz w:val="18"/>
                <w:szCs w:val="18"/>
                <w:lang w:eastAsia="ar-SA"/>
              </w:rPr>
              <w:t xml:space="preserve"> </w:t>
            </w:r>
            <w:proofErr w:type="spellStart"/>
            <w:r w:rsidRPr="00F44160">
              <w:rPr>
                <w:rFonts w:ascii="ITC Avant Garde" w:hAnsi="ITC Avant Garde"/>
                <w:b/>
                <w:bCs/>
                <w:sz w:val="18"/>
                <w:szCs w:val="18"/>
                <w:lang w:eastAsia="ar-SA"/>
              </w:rPr>
              <w:t>capita</w:t>
            </w:r>
            <w:proofErr w:type="spellEnd"/>
            <w:r w:rsidRPr="00F44160">
              <w:rPr>
                <w:rFonts w:ascii="ITC Avant Garde" w:hAnsi="ITC Avant Garde"/>
                <w:b/>
                <w:bCs/>
                <w:sz w:val="18"/>
                <w:szCs w:val="18"/>
                <w:lang w:eastAsia="ar-SA"/>
              </w:rPr>
              <w:t xml:space="preserve"> de la producción bruta (miles de pesos)</w:t>
            </w:r>
          </w:p>
        </w:tc>
        <w:tc>
          <w:tcPr>
            <w:tcW w:w="898" w:type="dxa"/>
            <w:hideMark/>
          </w:tcPr>
          <w:p w14:paraId="4EC05A3E" w14:textId="77777777" w:rsidR="000208CE" w:rsidRPr="00F44160" w:rsidRDefault="000208CE" w:rsidP="00C55FC8">
            <w:pPr>
              <w:spacing w:line="276" w:lineRule="auto"/>
              <w:ind w:right="-62"/>
              <w:jc w:val="center"/>
              <w:rPr>
                <w:rFonts w:ascii="ITC Avant Garde" w:hAnsi="ITC Avant Garde"/>
                <w:b/>
                <w:bCs/>
                <w:sz w:val="18"/>
                <w:szCs w:val="18"/>
                <w:lang w:eastAsia="ar-SA"/>
              </w:rPr>
            </w:pPr>
            <w:r w:rsidRPr="00F44160">
              <w:rPr>
                <w:rFonts w:ascii="ITC Avant Garde" w:hAnsi="ITC Avant Garde"/>
                <w:b/>
                <w:bCs/>
                <w:sz w:val="18"/>
                <w:szCs w:val="18"/>
                <w:lang w:eastAsia="ar-SA"/>
              </w:rPr>
              <w:t>Rango</w:t>
            </w:r>
          </w:p>
        </w:tc>
        <w:tc>
          <w:tcPr>
            <w:tcW w:w="1049" w:type="dxa"/>
            <w:hideMark/>
          </w:tcPr>
          <w:p w14:paraId="4452CECB" w14:textId="77777777" w:rsidR="000208CE" w:rsidRPr="00F44160" w:rsidRDefault="000208CE" w:rsidP="00C55FC8">
            <w:pPr>
              <w:spacing w:line="276" w:lineRule="auto"/>
              <w:ind w:right="-62"/>
              <w:jc w:val="center"/>
              <w:rPr>
                <w:rFonts w:ascii="ITC Avant Garde" w:hAnsi="ITC Avant Garde"/>
                <w:b/>
                <w:bCs/>
                <w:sz w:val="18"/>
                <w:szCs w:val="18"/>
                <w:lang w:eastAsia="ar-SA"/>
              </w:rPr>
            </w:pPr>
            <w:r w:rsidRPr="00F44160">
              <w:rPr>
                <w:rFonts w:ascii="ITC Avant Garde" w:hAnsi="ITC Avant Garde"/>
                <w:b/>
                <w:bCs/>
                <w:sz w:val="18"/>
                <w:szCs w:val="18"/>
                <w:lang w:eastAsia="ar-SA"/>
              </w:rPr>
              <w:t>FE</w:t>
            </w:r>
          </w:p>
        </w:tc>
      </w:tr>
      <w:tr w:rsidR="000208CE" w:rsidRPr="00F44160" w14:paraId="33564F8E" w14:textId="77777777" w:rsidTr="00C55FC8">
        <w:trPr>
          <w:trHeight w:val="307"/>
          <w:jc w:val="center"/>
        </w:trPr>
        <w:tc>
          <w:tcPr>
            <w:tcW w:w="3444" w:type="dxa"/>
            <w:hideMark/>
          </w:tcPr>
          <w:p w14:paraId="61BCBDEF"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 a 10</w:t>
            </w:r>
          </w:p>
        </w:tc>
        <w:tc>
          <w:tcPr>
            <w:tcW w:w="898" w:type="dxa"/>
            <w:hideMark/>
          </w:tcPr>
          <w:p w14:paraId="20CF6EF0"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w:t>
            </w:r>
          </w:p>
        </w:tc>
        <w:tc>
          <w:tcPr>
            <w:tcW w:w="1049" w:type="dxa"/>
            <w:hideMark/>
          </w:tcPr>
          <w:p w14:paraId="50DFC35B"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w:t>
            </w:r>
          </w:p>
        </w:tc>
      </w:tr>
      <w:tr w:rsidR="000208CE" w:rsidRPr="00F44160" w14:paraId="44DF8C38" w14:textId="77777777" w:rsidTr="00C55FC8">
        <w:trPr>
          <w:trHeight w:val="295"/>
          <w:jc w:val="center"/>
        </w:trPr>
        <w:tc>
          <w:tcPr>
            <w:tcW w:w="3444" w:type="dxa"/>
            <w:hideMark/>
          </w:tcPr>
          <w:p w14:paraId="1136B7BB"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 a 20</w:t>
            </w:r>
          </w:p>
        </w:tc>
        <w:tc>
          <w:tcPr>
            <w:tcW w:w="898" w:type="dxa"/>
            <w:hideMark/>
          </w:tcPr>
          <w:p w14:paraId="7B333CCC"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w:t>
            </w:r>
          </w:p>
        </w:tc>
        <w:tc>
          <w:tcPr>
            <w:tcW w:w="1049" w:type="dxa"/>
            <w:hideMark/>
          </w:tcPr>
          <w:p w14:paraId="77B06354"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1.2</w:t>
            </w:r>
          </w:p>
        </w:tc>
      </w:tr>
      <w:tr w:rsidR="000208CE" w:rsidRPr="00F44160" w14:paraId="1E9786BE" w14:textId="77777777" w:rsidTr="00C55FC8">
        <w:trPr>
          <w:trHeight w:val="307"/>
          <w:jc w:val="center"/>
        </w:trPr>
        <w:tc>
          <w:tcPr>
            <w:tcW w:w="3444" w:type="dxa"/>
            <w:hideMark/>
          </w:tcPr>
          <w:p w14:paraId="4F13202D"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20 a 30</w:t>
            </w:r>
          </w:p>
        </w:tc>
        <w:tc>
          <w:tcPr>
            <w:tcW w:w="898" w:type="dxa"/>
            <w:hideMark/>
          </w:tcPr>
          <w:p w14:paraId="2BC64467"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3</w:t>
            </w:r>
          </w:p>
        </w:tc>
        <w:tc>
          <w:tcPr>
            <w:tcW w:w="1049" w:type="dxa"/>
            <w:hideMark/>
          </w:tcPr>
          <w:p w14:paraId="703AE607"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1.4</w:t>
            </w:r>
          </w:p>
        </w:tc>
      </w:tr>
      <w:tr w:rsidR="000208CE" w:rsidRPr="00F44160" w14:paraId="4EFBDE2F" w14:textId="77777777" w:rsidTr="00C55FC8">
        <w:trPr>
          <w:trHeight w:val="307"/>
          <w:jc w:val="center"/>
        </w:trPr>
        <w:tc>
          <w:tcPr>
            <w:tcW w:w="3444" w:type="dxa"/>
            <w:hideMark/>
          </w:tcPr>
          <w:p w14:paraId="3618E597"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30 a 40</w:t>
            </w:r>
          </w:p>
        </w:tc>
        <w:tc>
          <w:tcPr>
            <w:tcW w:w="898" w:type="dxa"/>
            <w:hideMark/>
          </w:tcPr>
          <w:p w14:paraId="742C9F07"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4</w:t>
            </w:r>
          </w:p>
        </w:tc>
        <w:tc>
          <w:tcPr>
            <w:tcW w:w="1049" w:type="dxa"/>
            <w:hideMark/>
          </w:tcPr>
          <w:p w14:paraId="6EDDD330"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1.6</w:t>
            </w:r>
          </w:p>
        </w:tc>
      </w:tr>
      <w:tr w:rsidR="000208CE" w:rsidRPr="00F44160" w14:paraId="2464BA2C" w14:textId="77777777" w:rsidTr="00C55FC8">
        <w:trPr>
          <w:trHeight w:val="295"/>
          <w:jc w:val="center"/>
        </w:trPr>
        <w:tc>
          <w:tcPr>
            <w:tcW w:w="3444" w:type="dxa"/>
            <w:hideMark/>
          </w:tcPr>
          <w:p w14:paraId="2F8793C2"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40 a 100</w:t>
            </w:r>
          </w:p>
        </w:tc>
        <w:tc>
          <w:tcPr>
            <w:tcW w:w="898" w:type="dxa"/>
            <w:hideMark/>
          </w:tcPr>
          <w:p w14:paraId="7F3C356A"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5</w:t>
            </w:r>
          </w:p>
        </w:tc>
        <w:tc>
          <w:tcPr>
            <w:tcW w:w="1049" w:type="dxa"/>
            <w:hideMark/>
          </w:tcPr>
          <w:p w14:paraId="43DA2FB3"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1.8</w:t>
            </w:r>
          </w:p>
        </w:tc>
      </w:tr>
      <w:tr w:rsidR="000208CE" w:rsidRPr="00F44160" w14:paraId="22C754E6" w14:textId="77777777" w:rsidTr="00C55FC8">
        <w:trPr>
          <w:trHeight w:val="307"/>
          <w:jc w:val="center"/>
        </w:trPr>
        <w:tc>
          <w:tcPr>
            <w:tcW w:w="3444" w:type="dxa"/>
            <w:hideMark/>
          </w:tcPr>
          <w:p w14:paraId="47470326"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mayor a 100</w:t>
            </w:r>
          </w:p>
        </w:tc>
        <w:tc>
          <w:tcPr>
            <w:tcW w:w="898" w:type="dxa"/>
            <w:hideMark/>
          </w:tcPr>
          <w:p w14:paraId="0A50A87E"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6</w:t>
            </w:r>
          </w:p>
        </w:tc>
        <w:tc>
          <w:tcPr>
            <w:tcW w:w="1049" w:type="dxa"/>
            <w:hideMark/>
          </w:tcPr>
          <w:p w14:paraId="535C9B86"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2.0</w:t>
            </w:r>
          </w:p>
        </w:tc>
      </w:tr>
    </w:tbl>
    <w:p w14:paraId="10C4FBBC" w14:textId="77777777" w:rsidR="00C55FC8" w:rsidRDefault="000208CE" w:rsidP="00C55FC8">
      <w:pPr>
        <w:spacing w:before="360" w:afterLines="120" w:after="288" w:line="276" w:lineRule="auto"/>
        <w:jc w:val="both"/>
        <w:rPr>
          <w:rFonts w:ascii="ITC Avant Garde" w:hAnsi="ITC Avant Garde"/>
          <w:lang w:eastAsia="ar-SA"/>
        </w:rPr>
      </w:pPr>
      <w:r w:rsidRPr="00F44160">
        <w:rPr>
          <w:rFonts w:ascii="ITC Avant Garde" w:hAnsi="ITC Avant Garde"/>
          <w:lang w:eastAsia="ar-SA"/>
        </w:rPr>
        <w:t xml:space="preserve">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w:t>
      </w:r>
      <w:r w:rsidRPr="00F44160">
        <w:rPr>
          <w:rFonts w:ascii="ITC Avant Garde" w:hAnsi="ITC Avant Garde"/>
          <w:lang w:eastAsia="ar-SA"/>
        </w:rPr>
        <w:lastRenderedPageBreak/>
        <w:t>principal a servir, se tendría que tomar en cuenta la producción bruta de esas mismas localidades adicionales, dato inexistente a nivel localidad, para establecer un Valor Bruto de la Producción per cápita que sea coherente con el monto de la población servida.</w:t>
      </w:r>
    </w:p>
    <w:p w14:paraId="657A8618" w14:textId="77777777" w:rsidR="00C55FC8" w:rsidRDefault="000208CE" w:rsidP="00C55FC8">
      <w:pPr>
        <w:numPr>
          <w:ilvl w:val="0"/>
          <w:numId w:val="24"/>
        </w:numPr>
        <w:autoSpaceDN w:val="0"/>
        <w:spacing w:afterLines="120" w:after="288" w:line="276" w:lineRule="auto"/>
        <w:jc w:val="both"/>
        <w:textAlignment w:val="baseline"/>
        <w:rPr>
          <w:rFonts w:ascii="ITC Avant Garde" w:eastAsia="Times New Roman" w:hAnsi="ITC Avant Garde"/>
          <w:b/>
          <w:bCs/>
          <w:lang w:eastAsia="ar-SA"/>
        </w:rPr>
      </w:pPr>
      <w:r w:rsidRPr="00F44160">
        <w:rPr>
          <w:rFonts w:ascii="ITC Avant Garde" w:eastAsia="Times New Roman" w:hAnsi="ITC Avant Garde"/>
          <w:b/>
          <w:bCs/>
          <w:lang w:eastAsia="ar-SA"/>
        </w:rPr>
        <w:t>Factor Técnico</w:t>
      </w:r>
    </w:p>
    <w:p w14:paraId="7F2E4857" w14:textId="77777777" w:rsidR="00C55FC8" w:rsidRDefault="000208CE" w:rsidP="00C55FC8">
      <w:pPr>
        <w:spacing w:afterLines="120" w:after="288" w:line="276" w:lineRule="auto"/>
        <w:jc w:val="both"/>
        <w:rPr>
          <w:rFonts w:ascii="ITC Avant Garde" w:hAnsi="ITC Avant Garde"/>
          <w:lang w:eastAsia="ar-SA"/>
        </w:rPr>
      </w:pPr>
      <w:r w:rsidRPr="00F44160">
        <w:rPr>
          <w:rFonts w:ascii="ITC Avant Garde" w:hAnsi="ITC Avant Garde"/>
          <w:lang w:eastAsia="ar-SA"/>
        </w:rPr>
        <w:t>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18B5BDFE" w14:textId="28772E0C" w:rsidR="000208CE" w:rsidRPr="00F44160" w:rsidRDefault="000208CE" w:rsidP="00C55FC8">
      <w:pPr>
        <w:spacing w:afterLines="120" w:after="288" w:line="276" w:lineRule="auto"/>
        <w:jc w:val="both"/>
        <w:rPr>
          <w:rFonts w:ascii="ITC Avant Garde" w:hAnsi="ITC Avant Garde"/>
          <w:lang w:eastAsia="ar-SA"/>
        </w:rPr>
      </w:pPr>
      <w:r w:rsidRPr="00F44160">
        <w:rPr>
          <w:rFonts w:ascii="ITC Avant Garde" w:hAnsi="ITC Avant Garde"/>
          <w:lang w:eastAsia="ar-SA"/>
        </w:rPr>
        <w:t>A mayor detalle, dicho componente es un factor adimensional con valores ponderados entre 0.53 y 2.04. Depende de la clase de cada estación, conforme a la citada Disposición y la siguiente tabla.</w:t>
      </w:r>
    </w:p>
    <w:tbl>
      <w:tblPr>
        <w:tblStyle w:val="Tablaconcuadrcula"/>
        <w:tblW w:w="0" w:type="auto"/>
        <w:jc w:val="center"/>
        <w:tblLook w:val="04A0" w:firstRow="1" w:lastRow="0" w:firstColumn="1" w:lastColumn="0" w:noHBand="0" w:noVBand="1"/>
        <w:tblCaption w:val="Factor técnico"/>
        <w:tblDescription w:val="Tabla de 5 columnas que proporciona información relativa al factor técnico respecto de la clase de estación."/>
      </w:tblPr>
      <w:tblGrid>
        <w:gridCol w:w="846"/>
        <w:gridCol w:w="1979"/>
        <w:gridCol w:w="2835"/>
        <w:gridCol w:w="1843"/>
        <w:gridCol w:w="992"/>
      </w:tblGrid>
      <w:tr w:rsidR="000208CE" w:rsidRPr="00F44160" w14:paraId="237FE4FC" w14:textId="77777777" w:rsidTr="00C55FC8">
        <w:trPr>
          <w:tblHeader/>
          <w:jc w:val="center"/>
        </w:trPr>
        <w:tc>
          <w:tcPr>
            <w:tcW w:w="846" w:type="dxa"/>
            <w:hideMark/>
          </w:tcPr>
          <w:p w14:paraId="204D3F4E"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Clase</w:t>
            </w:r>
          </w:p>
        </w:tc>
        <w:tc>
          <w:tcPr>
            <w:tcW w:w="1979" w:type="dxa"/>
            <w:hideMark/>
          </w:tcPr>
          <w:p w14:paraId="4E82618F"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Máxima Potencia radiada (kW)</w:t>
            </w:r>
          </w:p>
        </w:tc>
        <w:tc>
          <w:tcPr>
            <w:tcW w:w="2835" w:type="dxa"/>
            <w:hideMark/>
          </w:tcPr>
          <w:p w14:paraId="7AE59D10"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Altura del centro de radiación de la antena sobre el terreno promedio (m)</w:t>
            </w:r>
          </w:p>
        </w:tc>
        <w:tc>
          <w:tcPr>
            <w:tcW w:w="1843" w:type="dxa"/>
            <w:hideMark/>
          </w:tcPr>
          <w:p w14:paraId="55C76127"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Contorno Protegido (km)</w:t>
            </w:r>
          </w:p>
        </w:tc>
        <w:tc>
          <w:tcPr>
            <w:tcW w:w="992" w:type="dxa"/>
            <w:hideMark/>
          </w:tcPr>
          <w:p w14:paraId="5CE6F633"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Factor técnico</w:t>
            </w:r>
          </w:p>
        </w:tc>
      </w:tr>
      <w:tr w:rsidR="000208CE" w:rsidRPr="00F44160" w14:paraId="3589FEEE" w14:textId="77777777" w:rsidTr="00C55FC8">
        <w:trPr>
          <w:jc w:val="center"/>
        </w:trPr>
        <w:tc>
          <w:tcPr>
            <w:tcW w:w="846" w:type="dxa"/>
            <w:hideMark/>
          </w:tcPr>
          <w:p w14:paraId="7C8064F2"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A</w:t>
            </w:r>
          </w:p>
        </w:tc>
        <w:tc>
          <w:tcPr>
            <w:tcW w:w="1979" w:type="dxa"/>
            <w:hideMark/>
          </w:tcPr>
          <w:p w14:paraId="64AD8A1A"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3</w:t>
            </w:r>
          </w:p>
        </w:tc>
        <w:tc>
          <w:tcPr>
            <w:tcW w:w="2835" w:type="dxa"/>
            <w:hideMark/>
          </w:tcPr>
          <w:p w14:paraId="709800C0"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1843" w:type="dxa"/>
            <w:hideMark/>
          </w:tcPr>
          <w:p w14:paraId="1261C8E1"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24</w:t>
            </w:r>
          </w:p>
        </w:tc>
        <w:tc>
          <w:tcPr>
            <w:tcW w:w="992" w:type="dxa"/>
            <w:hideMark/>
          </w:tcPr>
          <w:p w14:paraId="4C640E6B"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0.53</w:t>
            </w:r>
          </w:p>
        </w:tc>
      </w:tr>
      <w:tr w:rsidR="000208CE" w:rsidRPr="00F44160" w14:paraId="26A87ED8" w14:textId="77777777" w:rsidTr="00C55FC8">
        <w:trPr>
          <w:jc w:val="center"/>
        </w:trPr>
        <w:tc>
          <w:tcPr>
            <w:tcW w:w="846" w:type="dxa"/>
            <w:hideMark/>
          </w:tcPr>
          <w:p w14:paraId="0A05C50F"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AA</w:t>
            </w:r>
          </w:p>
        </w:tc>
        <w:tc>
          <w:tcPr>
            <w:tcW w:w="1979" w:type="dxa"/>
            <w:hideMark/>
          </w:tcPr>
          <w:p w14:paraId="1A6586B3"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6</w:t>
            </w:r>
          </w:p>
        </w:tc>
        <w:tc>
          <w:tcPr>
            <w:tcW w:w="2835" w:type="dxa"/>
            <w:hideMark/>
          </w:tcPr>
          <w:p w14:paraId="43ED47FC"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1843" w:type="dxa"/>
            <w:hideMark/>
          </w:tcPr>
          <w:p w14:paraId="00EF68EA"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28</w:t>
            </w:r>
          </w:p>
        </w:tc>
        <w:tc>
          <w:tcPr>
            <w:tcW w:w="992" w:type="dxa"/>
            <w:hideMark/>
          </w:tcPr>
          <w:p w14:paraId="7B988EBA"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0.62</w:t>
            </w:r>
          </w:p>
        </w:tc>
      </w:tr>
      <w:tr w:rsidR="000208CE" w:rsidRPr="00F44160" w14:paraId="7271C49F" w14:textId="77777777" w:rsidTr="00C55FC8">
        <w:trPr>
          <w:jc w:val="center"/>
        </w:trPr>
        <w:tc>
          <w:tcPr>
            <w:tcW w:w="846" w:type="dxa"/>
            <w:hideMark/>
          </w:tcPr>
          <w:p w14:paraId="2916DA7E"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B1</w:t>
            </w:r>
          </w:p>
        </w:tc>
        <w:tc>
          <w:tcPr>
            <w:tcW w:w="1979" w:type="dxa"/>
            <w:hideMark/>
          </w:tcPr>
          <w:p w14:paraId="6CC8EC30"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25</w:t>
            </w:r>
          </w:p>
        </w:tc>
        <w:tc>
          <w:tcPr>
            <w:tcW w:w="2835" w:type="dxa"/>
            <w:hideMark/>
          </w:tcPr>
          <w:p w14:paraId="7319D429"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1843" w:type="dxa"/>
            <w:hideMark/>
          </w:tcPr>
          <w:p w14:paraId="40ED2A4C"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45</w:t>
            </w:r>
          </w:p>
        </w:tc>
        <w:tc>
          <w:tcPr>
            <w:tcW w:w="992" w:type="dxa"/>
            <w:hideMark/>
          </w:tcPr>
          <w:p w14:paraId="657C73C2"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w:t>
            </w:r>
          </w:p>
        </w:tc>
      </w:tr>
      <w:tr w:rsidR="000208CE" w:rsidRPr="00F44160" w14:paraId="09810E81" w14:textId="77777777" w:rsidTr="00C55FC8">
        <w:trPr>
          <w:jc w:val="center"/>
        </w:trPr>
        <w:tc>
          <w:tcPr>
            <w:tcW w:w="846" w:type="dxa"/>
            <w:hideMark/>
          </w:tcPr>
          <w:p w14:paraId="1190FE3A"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B</w:t>
            </w:r>
          </w:p>
        </w:tc>
        <w:tc>
          <w:tcPr>
            <w:tcW w:w="1979" w:type="dxa"/>
            <w:hideMark/>
          </w:tcPr>
          <w:p w14:paraId="0275B14B"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50</w:t>
            </w:r>
          </w:p>
        </w:tc>
        <w:tc>
          <w:tcPr>
            <w:tcW w:w="2835" w:type="dxa"/>
            <w:hideMark/>
          </w:tcPr>
          <w:p w14:paraId="781F42E4"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150</w:t>
            </w:r>
          </w:p>
        </w:tc>
        <w:tc>
          <w:tcPr>
            <w:tcW w:w="1843" w:type="dxa"/>
            <w:hideMark/>
          </w:tcPr>
          <w:p w14:paraId="62560AF5"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65</w:t>
            </w:r>
          </w:p>
        </w:tc>
        <w:tc>
          <w:tcPr>
            <w:tcW w:w="992" w:type="dxa"/>
            <w:hideMark/>
          </w:tcPr>
          <w:p w14:paraId="19EF3997"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1.44</w:t>
            </w:r>
          </w:p>
        </w:tc>
      </w:tr>
      <w:tr w:rsidR="000208CE" w:rsidRPr="00F44160" w14:paraId="32C2CC34" w14:textId="77777777" w:rsidTr="00C55FC8">
        <w:trPr>
          <w:jc w:val="center"/>
        </w:trPr>
        <w:tc>
          <w:tcPr>
            <w:tcW w:w="846" w:type="dxa"/>
            <w:hideMark/>
          </w:tcPr>
          <w:p w14:paraId="37162AA1"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C1</w:t>
            </w:r>
          </w:p>
        </w:tc>
        <w:tc>
          <w:tcPr>
            <w:tcW w:w="1979" w:type="dxa"/>
            <w:hideMark/>
          </w:tcPr>
          <w:p w14:paraId="686E2C11"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2835" w:type="dxa"/>
            <w:hideMark/>
          </w:tcPr>
          <w:p w14:paraId="659D7040"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300</w:t>
            </w:r>
          </w:p>
        </w:tc>
        <w:tc>
          <w:tcPr>
            <w:tcW w:w="1843" w:type="dxa"/>
            <w:hideMark/>
          </w:tcPr>
          <w:p w14:paraId="63E82C8D"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72</w:t>
            </w:r>
          </w:p>
        </w:tc>
        <w:tc>
          <w:tcPr>
            <w:tcW w:w="992" w:type="dxa"/>
            <w:hideMark/>
          </w:tcPr>
          <w:p w14:paraId="5D020D3D"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1.6</w:t>
            </w:r>
          </w:p>
        </w:tc>
      </w:tr>
      <w:tr w:rsidR="000208CE" w:rsidRPr="00F44160" w14:paraId="787D12B2" w14:textId="77777777" w:rsidTr="00C55FC8">
        <w:trPr>
          <w:jc w:val="center"/>
        </w:trPr>
        <w:tc>
          <w:tcPr>
            <w:tcW w:w="846" w:type="dxa"/>
            <w:hideMark/>
          </w:tcPr>
          <w:p w14:paraId="7620C812"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C</w:t>
            </w:r>
          </w:p>
        </w:tc>
        <w:tc>
          <w:tcPr>
            <w:tcW w:w="1979" w:type="dxa"/>
            <w:hideMark/>
          </w:tcPr>
          <w:p w14:paraId="62A84AEE"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2835" w:type="dxa"/>
            <w:hideMark/>
          </w:tcPr>
          <w:p w14:paraId="6D4F77FB"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600</w:t>
            </w:r>
          </w:p>
        </w:tc>
        <w:tc>
          <w:tcPr>
            <w:tcW w:w="1843" w:type="dxa"/>
            <w:hideMark/>
          </w:tcPr>
          <w:p w14:paraId="1CBACB20"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92</w:t>
            </w:r>
          </w:p>
        </w:tc>
        <w:tc>
          <w:tcPr>
            <w:tcW w:w="992" w:type="dxa"/>
            <w:hideMark/>
          </w:tcPr>
          <w:p w14:paraId="450F56AD"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2.04</w:t>
            </w:r>
          </w:p>
        </w:tc>
      </w:tr>
      <w:tr w:rsidR="000208CE" w:rsidRPr="00F44160" w14:paraId="255D01F7" w14:textId="77777777" w:rsidTr="00C55FC8">
        <w:trPr>
          <w:jc w:val="center"/>
        </w:trPr>
        <w:tc>
          <w:tcPr>
            <w:tcW w:w="846" w:type="dxa"/>
            <w:hideMark/>
          </w:tcPr>
          <w:p w14:paraId="71432D6C"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D</w:t>
            </w:r>
          </w:p>
        </w:tc>
        <w:tc>
          <w:tcPr>
            <w:tcW w:w="1979" w:type="dxa"/>
            <w:hideMark/>
          </w:tcPr>
          <w:p w14:paraId="393284B1"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0.02</w:t>
            </w:r>
          </w:p>
        </w:tc>
        <w:tc>
          <w:tcPr>
            <w:tcW w:w="2835" w:type="dxa"/>
            <w:hideMark/>
          </w:tcPr>
          <w:p w14:paraId="621948E6"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30</w:t>
            </w:r>
          </w:p>
        </w:tc>
        <w:tc>
          <w:tcPr>
            <w:tcW w:w="1843" w:type="dxa"/>
            <w:hideMark/>
          </w:tcPr>
          <w:p w14:paraId="7F0E8E25" w14:textId="77777777" w:rsidR="000208CE" w:rsidRPr="00F44160" w:rsidRDefault="000208CE" w:rsidP="00C55FC8">
            <w:pPr>
              <w:spacing w:line="276" w:lineRule="auto"/>
              <w:ind w:right="-62"/>
              <w:jc w:val="center"/>
              <w:rPr>
                <w:rFonts w:ascii="ITC Avant Garde" w:hAnsi="ITC Avant Garde"/>
                <w:sz w:val="18"/>
                <w:szCs w:val="18"/>
                <w:lang w:eastAsia="ar-SA"/>
              </w:rPr>
            </w:pPr>
            <w:proofErr w:type="spellStart"/>
            <w:r w:rsidRPr="00F44160">
              <w:rPr>
                <w:rFonts w:ascii="ITC Avant Garde" w:hAnsi="ITC Avant Garde"/>
                <w:sz w:val="18"/>
                <w:szCs w:val="18"/>
                <w:lang w:eastAsia="ar-SA"/>
              </w:rPr>
              <w:t>n.d</w:t>
            </w:r>
            <w:proofErr w:type="spellEnd"/>
            <w:r w:rsidRPr="00F44160">
              <w:rPr>
                <w:rFonts w:ascii="ITC Avant Garde" w:hAnsi="ITC Avant Garde"/>
                <w:sz w:val="18"/>
                <w:szCs w:val="18"/>
                <w:lang w:eastAsia="ar-SA"/>
              </w:rPr>
              <w:t>.</w:t>
            </w:r>
          </w:p>
        </w:tc>
        <w:tc>
          <w:tcPr>
            <w:tcW w:w="992" w:type="dxa"/>
            <w:hideMark/>
          </w:tcPr>
          <w:p w14:paraId="6C70258A" w14:textId="77777777" w:rsidR="000208CE" w:rsidRPr="00F44160" w:rsidRDefault="000208CE" w:rsidP="00C55FC8">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0.1</w:t>
            </w:r>
          </w:p>
        </w:tc>
      </w:tr>
    </w:tbl>
    <w:p w14:paraId="1F6F6021" w14:textId="77777777" w:rsidR="00AB7832" w:rsidRPr="00255796" w:rsidRDefault="00AB7832" w:rsidP="00C55FC8">
      <w:pPr>
        <w:spacing w:before="360" w:afterLines="120" w:after="288" w:line="276" w:lineRule="auto"/>
        <w:ind w:right="-62"/>
        <w:jc w:val="both"/>
      </w:pPr>
      <w:r w:rsidRPr="003C63AE">
        <w:rPr>
          <w:rFonts w:ascii="ITC Avant Garde" w:eastAsia="Times New Roman" w:hAnsi="ITC Avant Garde"/>
          <w:kern w:val="3"/>
          <w:lang w:val="es-ES" w:eastAsia="ar-SA"/>
        </w:rPr>
        <w:t xml:space="preserve">Derivado de lo anterior, para la estación que nos ocupa, atento a la opinión de la SHCP y considerando la aplicación de la metodología descrita, este Pleno, con fundamento en los artículos 15 fracción LIV y 100 de la Ley, fija </w:t>
      </w:r>
      <w:r w:rsidR="00D900CB">
        <w:rPr>
          <w:rFonts w:ascii="ITC Avant Garde" w:eastAsia="Times New Roman" w:hAnsi="ITC Avant Garde"/>
          <w:kern w:val="3"/>
          <w:lang w:val="es-ES" w:eastAsia="ar-SA"/>
        </w:rPr>
        <w:t>el</w:t>
      </w:r>
      <w:r w:rsidRPr="003C63AE">
        <w:rPr>
          <w:rFonts w:ascii="ITC Avant Garde" w:eastAsia="Times New Roman" w:hAnsi="ITC Avant Garde"/>
          <w:kern w:val="3"/>
          <w:lang w:val="es-ES" w:eastAsia="ar-SA"/>
        </w:rPr>
        <w:t xml:space="preserve"> monto de la contraprestación que le corresponde cubrir </w:t>
      </w:r>
      <w:r w:rsidRPr="003F5ED8">
        <w:rPr>
          <w:rFonts w:ascii="ITC Avant Garde" w:eastAsia="Times New Roman" w:hAnsi="ITC Avant Garde"/>
          <w:kern w:val="3"/>
          <w:lang w:val="es-ES" w:eastAsia="ar-SA"/>
        </w:rPr>
        <w:t>a</w:t>
      </w:r>
      <w:r w:rsidRPr="009B2448">
        <w:rPr>
          <w:rFonts w:ascii="ITC Avant Garde" w:eastAsia="Times New Roman" w:hAnsi="ITC Avant Garde"/>
          <w:kern w:val="3"/>
          <w:lang w:val="es-ES" w:eastAsia="ar-SA"/>
        </w:rPr>
        <w:t>l</w:t>
      </w:r>
      <w:r w:rsidRPr="004E262F">
        <w:rPr>
          <w:rFonts w:ascii="ITC Avant Garde" w:eastAsia="Times New Roman" w:hAnsi="ITC Avant Garde"/>
          <w:kern w:val="3"/>
          <w:lang w:val="es-ES" w:eastAsia="ar-SA"/>
        </w:rPr>
        <w:t xml:space="preserve"> Concesionario</w:t>
      </w:r>
      <w:r w:rsidRPr="003C63AE">
        <w:rPr>
          <w:rFonts w:ascii="ITC Avant Garde" w:eastAsia="Times New Roman" w:hAnsi="ITC Avant Garde"/>
          <w:kern w:val="3"/>
          <w:lang w:val="es-ES" w:eastAsia="ar-SA"/>
        </w:rPr>
        <w:t xml:space="preserve"> por la frecuenci</w:t>
      </w:r>
      <w:r w:rsidRPr="00C86990">
        <w:rPr>
          <w:rFonts w:ascii="ITC Avant Garde" w:eastAsia="Times New Roman" w:hAnsi="ITC Avant Garde"/>
          <w:kern w:val="3"/>
          <w:lang w:val="es-ES" w:eastAsia="ar-SA"/>
        </w:rPr>
        <w:t xml:space="preserve">a del espectro radioeléctrico, </w:t>
      </w:r>
      <w:r w:rsidR="00D900CB">
        <w:rPr>
          <w:rFonts w:ascii="ITC Avant Garde" w:eastAsia="Times New Roman" w:hAnsi="ITC Avant Garde"/>
          <w:kern w:val="3"/>
          <w:lang w:val="es-ES" w:eastAsia="ar-SA"/>
        </w:rPr>
        <w:t>el</w:t>
      </w:r>
      <w:r w:rsidRPr="00C86990">
        <w:rPr>
          <w:rFonts w:ascii="ITC Avant Garde" w:eastAsia="Times New Roman" w:hAnsi="ITC Avant Garde"/>
          <w:kern w:val="3"/>
          <w:lang w:val="es-ES" w:eastAsia="ar-SA"/>
        </w:rPr>
        <w:t xml:space="preserve"> cual asciende a la cantidad que se encuentra precisada en el </w:t>
      </w:r>
      <w:r w:rsidRPr="00C86990">
        <w:rPr>
          <w:rFonts w:ascii="ITC Avant Garde" w:eastAsia="Times New Roman" w:hAnsi="ITC Avant Garde"/>
          <w:b/>
          <w:kern w:val="3"/>
          <w:lang w:val="es-ES" w:eastAsia="ar-SA"/>
        </w:rPr>
        <w:t>Resolutivo Cuarto</w:t>
      </w:r>
      <w:r w:rsidRPr="00C86990">
        <w:rPr>
          <w:rFonts w:ascii="ITC Avant Garde" w:eastAsia="Times New Roman" w:hAnsi="ITC Avant Garde"/>
          <w:kern w:val="3"/>
          <w:lang w:val="es-ES" w:eastAsia="ar-SA"/>
        </w:rPr>
        <w:t xml:space="preserve"> y en el </w:t>
      </w:r>
      <w:r>
        <w:rPr>
          <w:rFonts w:ascii="ITC Avant Garde" w:eastAsia="Times New Roman" w:hAnsi="ITC Avant Garde"/>
          <w:b/>
          <w:kern w:val="3"/>
          <w:lang w:val="es-ES" w:eastAsia="ar-SA"/>
        </w:rPr>
        <w:t>siguiente cuadro</w:t>
      </w:r>
      <w:r w:rsidRPr="003C63AE">
        <w:rPr>
          <w:rFonts w:ascii="ITC Avant Garde" w:eastAsia="Times New Roman" w:hAnsi="ITC Avant Garde"/>
          <w:kern w:val="3"/>
          <w:lang w:val="es-ES" w:eastAsia="ar-SA"/>
        </w:rPr>
        <w:t>, mismo que deberá ser enterad</w:t>
      </w:r>
      <w:r>
        <w:rPr>
          <w:rFonts w:ascii="ITC Avant Garde" w:eastAsia="Times New Roman" w:hAnsi="ITC Avant Garde"/>
          <w:kern w:val="3"/>
          <w:lang w:val="es-ES" w:eastAsia="ar-SA"/>
        </w:rPr>
        <w:t>o</w:t>
      </w:r>
      <w:r w:rsidRPr="003C63AE">
        <w:rPr>
          <w:rFonts w:ascii="ITC Avant Garde" w:eastAsia="Times New Roman" w:hAnsi="ITC Avant Garde"/>
          <w:kern w:val="3"/>
          <w:lang w:val="es-ES" w:eastAsia="ar-SA"/>
        </w:rPr>
        <w:t>, en una sola exhibición, previamente a la entrega de</w:t>
      </w:r>
      <w:r>
        <w:rPr>
          <w:rFonts w:ascii="ITC Avant Garde" w:eastAsia="Times New Roman" w:hAnsi="ITC Avant Garde"/>
          <w:kern w:val="3"/>
          <w:lang w:val="es-ES" w:eastAsia="ar-SA"/>
        </w:rPr>
        <w:t>l</w:t>
      </w:r>
      <w:r w:rsidRPr="003C63AE">
        <w:rPr>
          <w:rFonts w:ascii="ITC Avant Garde" w:eastAsia="Times New Roman" w:hAnsi="ITC Avant Garde"/>
          <w:kern w:val="3"/>
          <w:lang w:val="es-ES" w:eastAsia="ar-SA"/>
        </w:rPr>
        <w:t xml:space="preserve"> título de concesión</w:t>
      </w:r>
      <w:r>
        <w:rPr>
          <w:rFonts w:ascii="ITC Avant Garde" w:eastAsia="Times New Roman" w:hAnsi="ITC Avant Garde"/>
          <w:kern w:val="3"/>
          <w:lang w:val="es-ES" w:eastAsia="ar-SA"/>
        </w:rPr>
        <w:t>.</w:t>
      </w:r>
    </w:p>
    <w:tbl>
      <w:tblPr>
        <w:tblStyle w:val="Tablaconcuadrcula"/>
        <w:tblW w:w="9717" w:type="dxa"/>
        <w:tblLook w:val="04A0" w:firstRow="1" w:lastRow="0" w:firstColumn="1" w:lastColumn="0" w:noHBand="0" w:noVBand="1"/>
        <w:tblCaption w:val="Monto de contraprestación"/>
        <w:tblDescription w:val="Tabla de 8 columnas que proporciona información de la determinación del monto de la contraprestación, así como el valor de la misma."/>
      </w:tblPr>
      <w:tblGrid>
        <w:gridCol w:w="1182"/>
        <w:gridCol w:w="1194"/>
        <w:gridCol w:w="2014"/>
        <w:gridCol w:w="1056"/>
        <w:gridCol w:w="860"/>
        <w:gridCol w:w="1104"/>
        <w:gridCol w:w="747"/>
        <w:gridCol w:w="1560"/>
      </w:tblGrid>
      <w:tr w:rsidR="007336E4" w:rsidRPr="00193F99" w14:paraId="516B6E2A" w14:textId="77777777" w:rsidTr="00C55FC8">
        <w:trPr>
          <w:trHeight w:val="855"/>
          <w:tblHeader/>
        </w:trPr>
        <w:tc>
          <w:tcPr>
            <w:tcW w:w="1182" w:type="dxa"/>
            <w:hideMark/>
          </w:tcPr>
          <w:p w14:paraId="00A05774" w14:textId="77777777" w:rsidR="007336E4" w:rsidRPr="00193F99" w:rsidRDefault="007336E4" w:rsidP="00C55FC8">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Distintivo</w:t>
            </w:r>
          </w:p>
        </w:tc>
        <w:tc>
          <w:tcPr>
            <w:tcW w:w="1194" w:type="dxa"/>
            <w:hideMark/>
          </w:tcPr>
          <w:p w14:paraId="22479E69" w14:textId="77777777" w:rsidR="007336E4" w:rsidRPr="00193F99" w:rsidRDefault="007336E4" w:rsidP="00C55FC8">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Frecuencia</w:t>
            </w:r>
          </w:p>
        </w:tc>
        <w:tc>
          <w:tcPr>
            <w:tcW w:w="2014" w:type="dxa"/>
            <w:hideMark/>
          </w:tcPr>
          <w:p w14:paraId="3094EE80" w14:textId="77777777" w:rsidR="007336E4" w:rsidRPr="00193F99" w:rsidRDefault="007336E4" w:rsidP="00C55FC8">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Población Principal A Servir</w:t>
            </w:r>
          </w:p>
        </w:tc>
        <w:tc>
          <w:tcPr>
            <w:tcW w:w="1056" w:type="dxa"/>
            <w:hideMark/>
          </w:tcPr>
          <w:p w14:paraId="5C8E66FF" w14:textId="77777777" w:rsidR="007336E4" w:rsidRPr="00193F99" w:rsidRDefault="007336E4" w:rsidP="00C55FC8">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Población Servida</w:t>
            </w:r>
          </w:p>
        </w:tc>
        <w:tc>
          <w:tcPr>
            <w:tcW w:w="860" w:type="dxa"/>
            <w:hideMark/>
          </w:tcPr>
          <w:p w14:paraId="5E123990" w14:textId="77777777" w:rsidR="007336E4" w:rsidRPr="00193F99" w:rsidRDefault="007336E4" w:rsidP="00C55FC8">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Factor Técnico</w:t>
            </w:r>
          </w:p>
        </w:tc>
        <w:tc>
          <w:tcPr>
            <w:tcW w:w="1104" w:type="dxa"/>
            <w:hideMark/>
          </w:tcPr>
          <w:p w14:paraId="7C372146" w14:textId="77777777" w:rsidR="007336E4" w:rsidRPr="00193F99" w:rsidRDefault="007336E4" w:rsidP="00C55FC8">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Factor Económico</w:t>
            </w:r>
          </w:p>
        </w:tc>
        <w:tc>
          <w:tcPr>
            <w:tcW w:w="747" w:type="dxa"/>
            <w:hideMark/>
          </w:tcPr>
          <w:p w14:paraId="6A048412" w14:textId="77777777" w:rsidR="007336E4" w:rsidRPr="00193F99" w:rsidRDefault="007336E4" w:rsidP="00C55FC8">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Clase</w:t>
            </w:r>
          </w:p>
        </w:tc>
        <w:tc>
          <w:tcPr>
            <w:tcW w:w="1560" w:type="dxa"/>
            <w:hideMark/>
          </w:tcPr>
          <w:p w14:paraId="4A4B9A4E" w14:textId="77777777" w:rsidR="007336E4" w:rsidRPr="00193F99" w:rsidRDefault="007336E4" w:rsidP="00C55FC8">
            <w:pPr>
              <w:spacing w:line="276" w:lineRule="auto"/>
              <w:jc w:val="center"/>
              <w:rPr>
                <w:rFonts w:ascii="ITC Avant Garde" w:eastAsia="Times New Roman" w:hAnsi="ITC Avant Garde"/>
                <w:b/>
                <w:bCs/>
                <w:color w:val="000000"/>
                <w:sz w:val="16"/>
                <w:szCs w:val="16"/>
                <w:lang w:eastAsia="es-MX"/>
              </w:rPr>
            </w:pPr>
            <w:r w:rsidRPr="00193F99">
              <w:rPr>
                <w:rFonts w:ascii="ITC Avant Garde" w:eastAsia="Times New Roman" w:hAnsi="ITC Avant Garde"/>
                <w:b/>
                <w:bCs/>
                <w:color w:val="000000"/>
                <w:sz w:val="16"/>
                <w:szCs w:val="16"/>
                <w:lang w:eastAsia="es-MX"/>
              </w:rPr>
              <w:t xml:space="preserve"> Monto de la contraprestación </w:t>
            </w:r>
          </w:p>
        </w:tc>
      </w:tr>
      <w:tr w:rsidR="007336E4" w:rsidRPr="00193F99" w14:paraId="0C78319F" w14:textId="77777777" w:rsidTr="00C55FC8">
        <w:trPr>
          <w:trHeight w:val="435"/>
        </w:trPr>
        <w:tc>
          <w:tcPr>
            <w:tcW w:w="1182" w:type="dxa"/>
            <w:hideMark/>
          </w:tcPr>
          <w:p w14:paraId="216E1435" w14:textId="77777777" w:rsidR="007336E4" w:rsidRPr="00193F99" w:rsidRDefault="007336E4" w:rsidP="00C55FC8">
            <w:pPr>
              <w:spacing w:line="276" w:lineRule="auto"/>
              <w:jc w:val="center"/>
              <w:rPr>
                <w:rFonts w:ascii="ITC Avant Garde" w:eastAsia="Times New Roman" w:hAnsi="ITC Avant Garde"/>
                <w:color w:val="000000"/>
                <w:sz w:val="16"/>
                <w:szCs w:val="16"/>
                <w:lang w:eastAsia="es-MX"/>
              </w:rPr>
            </w:pPr>
            <w:r w:rsidRPr="00193F99">
              <w:rPr>
                <w:rFonts w:ascii="ITC Avant Garde" w:eastAsia="Times New Roman" w:hAnsi="ITC Avant Garde"/>
                <w:color w:val="000000"/>
                <w:sz w:val="16"/>
                <w:szCs w:val="16"/>
                <w:lang w:eastAsia="es-MX"/>
              </w:rPr>
              <w:t>X</w:t>
            </w:r>
            <w:r>
              <w:rPr>
                <w:rFonts w:ascii="ITC Avant Garde" w:eastAsia="Times New Roman" w:hAnsi="ITC Avant Garde"/>
                <w:color w:val="000000"/>
                <w:sz w:val="16"/>
                <w:szCs w:val="16"/>
                <w:lang w:eastAsia="es-MX"/>
              </w:rPr>
              <w:t>HT</w:t>
            </w:r>
            <w:r w:rsidR="00FC3715">
              <w:rPr>
                <w:rFonts w:ascii="ITC Avant Garde" w:eastAsia="Times New Roman" w:hAnsi="ITC Avant Garde"/>
                <w:color w:val="000000"/>
                <w:sz w:val="16"/>
                <w:szCs w:val="16"/>
                <w:lang w:eastAsia="es-MX"/>
              </w:rPr>
              <w:t>LX</w:t>
            </w:r>
            <w:r>
              <w:rPr>
                <w:rFonts w:ascii="ITC Avant Garde" w:eastAsia="Times New Roman" w:hAnsi="ITC Avant Garde"/>
                <w:color w:val="000000"/>
                <w:sz w:val="16"/>
                <w:szCs w:val="16"/>
                <w:lang w:eastAsia="es-MX"/>
              </w:rPr>
              <w:t>-F</w:t>
            </w:r>
            <w:r w:rsidRPr="00193F99">
              <w:rPr>
                <w:rFonts w:ascii="ITC Avant Garde" w:eastAsia="Times New Roman" w:hAnsi="ITC Avant Garde"/>
                <w:color w:val="000000"/>
                <w:sz w:val="16"/>
                <w:szCs w:val="16"/>
                <w:lang w:eastAsia="es-MX"/>
              </w:rPr>
              <w:t>M</w:t>
            </w:r>
          </w:p>
        </w:tc>
        <w:tc>
          <w:tcPr>
            <w:tcW w:w="1194" w:type="dxa"/>
            <w:hideMark/>
          </w:tcPr>
          <w:p w14:paraId="1709EBA8" w14:textId="77777777" w:rsidR="007336E4" w:rsidRPr="00193F99" w:rsidRDefault="007336E4" w:rsidP="00C55FC8">
            <w:pPr>
              <w:spacing w:line="276" w:lineRule="auto"/>
              <w:jc w:val="center"/>
              <w:rPr>
                <w:rFonts w:ascii="ITC Avant Garde" w:eastAsia="Times New Roman" w:hAnsi="ITC Avant Garde"/>
                <w:color w:val="000000"/>
                <w:sz w:val="16"/>
                <w:szCs w:val="16"/>
                <w:lang w:eastAsia="es-MX"/>
              </w:rPr>
            </w:pPr>
            <w:r w:rsidRPr="008B4E1A">
              <w:rPr>
                <w:rFonts w:ascii="ITC Avant Garde" w:eastAsia="Times New Roman" w:hAnsi="ITC Avant Garde"/>
                <w:color w:val="000000"/>
                <w:sz w:val="16"/>
                <w:szCs w:val="16"/>
                <w:lang w:eastAsia="es-MX"/>
              </w:rPr>
              <w:t>10</w:t>
            </w:r>
            <w:r w:rsidR="00FC3715">
              <w:rPr>
                <w:rFonts w:ascii="ITC Avant Garde" w:eastAsia="Times New Roman" w:hAnsi="ITC Avant Garde"/>
                <w:color w:val="000000"/>
                <w:sz w:val="16"/>
                <w:szCs w:val="16"/>
                <w:lang w:eastAsia="es-MX"/>
              </w:rPr>
              <w:t>0</w:t>
            </w:r>
            <w:r w:rsidRPr="008B4E1A">
              <w:rPr>
                <w:rFonts w:ascii="ITC Avant Garde" w:eastAsia="Times New Roman" w:hAnsi="ITC Avant Garde"/>
                <w:color w:val="000000"/>
                <w:sz w:val="16"/>
                <w:szCs w:val="16"/>
                <w:lang w:eastAsia="es-MX"/>
              </w:rPr>
              <w:t>.</w:t>
            </w:r>
            <w:r w:rsidR="00FC3715">
              <w:rPr>
                <w:rFonts w:ascii="ITC Avant Garde" w:eastAsia="Times New Roman" w:hAnsi="ITC Avant Garde"/>
                <w:color w:val="000000"/>
                <w:sz w:val="16"/>
                <w:szCs w:val="16"/>
                <w:lang w:eastAsia="es-MX"/>
              </w:rPr>
              <w:t>5</w:t>
            </w:r>
            <w:r w:rsidRPr="00193F99">
              <w:rPr>
                <w:rFonts w:ascii="ITC Avant Garde" w:eastAsia="Times New Roman" w:hAnsi="ITC Avant Garde"/>
                <w:color w:val="000000"/>
                <w:sz w:val="16"/>
                <w:szCs w:val="16"/>
                <w:lang w:eastAsia="es-MX"/>
              </w:rPr>
              <w:t xml:space="preserve"> </w:t>
            </w:r>
            <w:r>
              <w:rPr>
                <w:rFonts w:ascii="ITC Avant Garde" w:eastAsia="Times New Roman" w:hAnsi="ITC Avant Garde"/>
                <w:color w:val="000000"/>
                <w:sz w:val="16"/>
                <w:szCs w:val="16"/>
                <w:lang w:eastAsia="es-MX"/>
              </w:rPr>
              <w:t>M</w:t>
            </w:r>
            <w:r w:rsidRPr="00193F99">
              <w:rPr>
                <w:rFonts w:ascii="ITC Avant Garde" w:eastAsia="Times New Roman" w:hAnsi="ITC Avant Garde"/>
                <w:color w:val="000000"/>
                <w:sz w:val="16"/>
                <w:szCs w:val="16"/>
                <w:lang w:eastAsia="es-MX"/>
              </w:rPr>
              <w:t>Hz</w:t>
            </w:r>
          </w:p>
        </w:tc>
        <w:tc>
          <w:tcPr>
            <w:tcW w:w="2014" w:type="dxa"/>
            <w:hideMark/>
          </w:tcPr>
          <w:p w14:paraId="72A23A8F" w14:textId="77777777" w:rsidR="007336E4" w:rsidRPr="00193F99" w:rsidRDefault="00FC3715" w:rsidP="00C55FC8">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 xml:space="preserve">Santa María Asunción </w:t>
            </w:r>
            <w:proofErr w:type="spellStart"/>
            <w:r>
              <w:rPr>
                <w:rFonts w:ascii="ITC Avant Garde" w:eastAsia="Times New Roman" w:hAnsi="ITC Avant Garde"/>
                <w:color w:val="000000"/>
                <w:sz w:val="16"/>
                <w:szCs w:val="16"/>
                <w:lang w:eastAsia="es-MX"/>
              </w:rPr>
              <w:t>Tlaxiaco</w:t>
            </w:r>
            <w:proofErr w:type="spellEnd"/>
            <w:r w:rsidR="007336E4">
              <w:rPr>
                <w:rFonts w:ascii="ITC Avant Garde" w:eastAsia="Times New Roman" w:hAnsi="ITC Avant Garde"/>
                <w:color w:val="000000"/>
                <w:sz w:val="16"/>
                <w:szCs w:val="16"/>
                <w:lang w:eastAsia="es-MX"/>
              </w:rPr>
              <w:t>,</w:t>
            </w:r>
            <w:r>
              <w:rPr>
                <w:rFonts w:ascii="ITC Avant Garde" w:eastAsia="Times New Roman" w:hAnsi="ITC Avant Garde"/>
                <w:color w:val="000000"/>
                <w:sz w:val="16"/>
                <w:szCs w:val="16"/>
                <w:lang w:eastAsia="es-MX"/>
              </w:rPr>
              <w:t xml:space="preserve"> Oaxaca</w:t>
            </w:r>
            <w:r w:rsidR="007336E4">
              <w:rPr>
                <w:rFonts w:ascii="ITC Avant Garde" w:eastAsia="Times New Roman" w:hAnsi="ITC Avant Garde"/>
                <w:color w:val="000000"/>
                <w:sz w:val="16"/>
                <w:szCs w:val="16"/>
                <w:lang w:eastAsia="es-MX"/>
              </w:rPr>
              <w:t xml:space="preserve"> </w:t>
            </w:r>
          </w:p>
        </w:tc>
        <w:tc>
          <w:tcPr>
            <w:tcW w:w="1056" w:type="dxa"/>
            <w:hideMark/>
          </w:tcPr>
          <w:p w14:paraId="54AD786F" w14:textId="77777777" w:rsidR="007336E4" w:rsidRPr="00193F99" w:rsidRDefault="00FC3715" w:rsidP="00C55FC8">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39,297</w:t>
            </w:r>
          </w:p>
        </w:tc>
        <w:tc>
          <w:tcPr>
            <w:tcW w:w="860" w:type="dxa"/>
            <w:hideMark/>
          </w:tcPr>
          <w:p w14:paraId="1DF2172A" w14:textId="77777777" w:rsidR="007336E4" w:rsidRPr="00193F99" w:rsidRDefault="00D900CB" w:rsidP="00C55FC8">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1</w:t>
            </w:r>
          </w:p>
        </w:tc>
        <w:tc>
          <w:tcPr>
            <w:tcW w:w="1104" w:type="dxa"/>
            <w:hideMark/>
          </w:tcPr>
          <w:p w14:paraId="6B6F5BC1" w14:textId="77777777" w:rsidR="007336E4" w:rsidRPr="00193F99" w:rsidRDefault="007336E4" w:rsidP="00C55FC8">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1</w:t>
            </w:r>
            <w:r w:rsidR="00D900CB">
              <w:rPr>
                <w:rFonts w:ascii="ITC Avant Garde" w:eastAsia="Times New Roman" w:hAnsi="ITC Avant Garde"/>
                <w:color w:val="000000"/>
                <w:sz w:val="16"/>
                <w:szCs w:val="16"/>
                <w:lang w:eastAsia="es-MX"/>
              </w:rPr>
              <w:t>.2</w:t>
            </w:r>
          </w:p>
        </w:tc>
        <w:tc>
          <w:tcPr>
            <w:tcW w:w="747" w:type="dxa"/>
            <w:hideMark/>
          </w:tcPr>
          <w:p w14:paraId="2A1FEF7B" w14:textId="77777777" w:rsidR="007336E4" w:rsidRPr="00193F99" w:rsidRDefault="00FC3715" w:rsidP="00C55FC8">
            <w:pPr>
              <w:spacing w:line="276"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B</w:t>
            </w:r>
            <w:r w:rsidR="00D900CB">
              <w:rPr>
                <w:rFonts w:ascii="ITC Avant Garde" w:eastAsia="Times New Roman" w:hAnsi="ITC Avant Garde"/>
                <w:color w:val="000000"/>
                <w:sz w:val="16"/>
                <w:szCs w:val="16"/>
                <w:lang w:eastAsia="es-MX"/>
              </w:rPr>
              <w:t>1</w:t>
            </w:r>
          </w:p>
        </w:tc>
        <w:tc>
          <w:tcPr>
            <w:tcW w:w="1560" w:type="dxa"/>
            <w:hideMark/>
          </w:tcPr>
          <w:p w14:paraId="2632F89C" w14:textId="77777777" w:rsidR="007336E4" w:rsidRPr="00193F99" w:rsidRDefault="007336E4" w:rsidP="00C55FC8">
            <w:pPr>
              <w:spacing w:line="276" w:lineRule="auto"/>
              <w:jc w:val="center"/>
              <w:rPr>
                <w:rFonts w:ascii="ITC Avant Garde" w:eastAsia="Times New Roman" w:hAnsi="ITC Avant Garde"/>
                <w:color w:val="000000"/>
                <w:sz w:val="16"/>
                <w:szCs w:val="16"/>
                <w:lang w:eastAsia="es-MX"/>
              </w:rPr>
            </w:pPr>
            <w:r w:rsidRPr="00FE72F6">
              <w:rPr>
                <w:rFonts w:ascii="ITC Avant Garde" w:eastAsia="Times New Roman" w:hAnsi="ITC Avant Garde"/>
                <w:color w:val="000000"/>
                <w:sz w:val="16"/>
                <w:szCs w:val="16"/>
                <w:lang w:eastAsia="es-MX"/>
              </w:rPr>
              <w:t>$</w:t>
            </w:r>
            <w:r w:rsidR="00FC3715">
              <w:rPr>
                <w:rFonts w:ascii="ITC Avant Garde" w:eastAsia="Times New Roman" w:hAnsi="ITC Avant Garde"/>
                <w:color w:val="000000"/>
                <w:sz w:val="16"/>
                <w:szCs w:val="16"/>
                <w:lang w:eastAsia="es-MX"/>
              </w:rPr>
              <w:t>85,270</w:t>
            </w:r>
          </w:p>
        </w:tc>
      </w:tr>
    </w:tbl>
    <w:p w14:paraId="0D75FAF8" w14:textId="77777777" w:rsidR="00C55FC8" w:rsidRDefault="007336E4" w:rsidP="00C55FC8">
      <w:pPr>
        <w:spacing w:before="360" w:afterLines="120" w:after="288" w:line="276" w:lineRule="auto"/>
        <w:ind w:right="-62"/>
        <w:jc w:val="both"/>
      </w:pPr>
      <w:r w:rsidRPr="00F80E4F">
        <w:rPr>
          <w:rFonts w:ascii="ITC Avant Garde" w:eastAsia="Times New Roman" w:hAnsi="ITC Avant Garde"/>
          <w:kern w:val="3"/>
          <w:lang w:val="es-ES" w:eastAsia="ar-SA"/>
        </w:rPr>
        <w:lastRenderedPageBreak/>
        <w:t xml:space="preserve">Para dichos efectos, </w:t>
      </w:r>
      <w:r>
        <w:rPr>
          <w:rFonts w:ascii="ITC Avant Garde" w:eastAsia="Times New Roman" w:hAnsi="ITC Avant Garde"/>
          <w:kern w:val="3"/>
          <w:lang w:val="es-ES" w:eastAsia="ar-SA"/>
        </w:rPr>
        <w:t>e</w:t>
      </w:r>
      <w:r w:rsidRPr="00F80E4F">
        <w:rPr>
          <w:rFonts w:ascii="ITC Avant Garde" w:eastAsia="Times New Roman" w:hAnsi="ITC Avant Garde"/>
          <w:kern w:val="3"/>
          <w:lang w:val="es-ES" w:eastAsia="ar-SA"/>
        </w:rPr>
        <w:t xml:space="preserve">l Concesionario contará con un plazo de 30 (treinta) días hábiles para aceptar las nuevas condiciones contenidas en los modelos de los títulos de concesión a que se refieren los </w:t>
      </w:r>
      <w:r w:rsidRPr="00F80E4F">
        <w:rPr>
          <w:rFonts w:ascii="ITC Avant Garde" w:eastAsia="Times New Roman" w:hAnsi="ITC Avant Garde"/>
          <w:b/>
          <w:kern w:val="3"/>
          <w:lang w:val="es-ES" w:eastAsia="ar-SA"/>
        </w:rPr>
        <w:t>Anexo</w:t>
      </w:r>
      <w:r>
        <w:rPr>
          <w:rFonts w:ascii="ITC Avant Garde" w:eastAsia="Times New Roman" w:hAnsi="ITC Avant Garde"/>
          <w:b/>
          <w:kern w:val="3"/>
          <w:lang w:val="es-ES" w:eastAsia="ar-SA"/>
        </w:rPr>
        <w:t>s</w:t>
      </w:r>
      <w:r w:rsidRPr="00F80E4F">
        <w:rPr>
          <w:rFonts w:ascii="ITC Avant Garde" w:eastAsia="Times New Roman" w:hAnsi="ITC Avant Garde"/>
          <w:b/>
          <w:kern w:val="3"/>
          <w:lang w:val="es-ES" w:eastAsia="ar-SA"/>
        </w:rPr>
        <w:t xml:space="preserve"> 1 </w:t>
      </w:r>
      <w:r w:rsidRPr="00F80E4F">
        <w:rPr>
          <w:rFonts w:ascii="ITC Avant Garde" w:eastAsia="Times New Roman" w:hAnsi="ITC Avant Garde"/>
          <w:kern w:val="3"/>
          <w:lang w:val="es-ES" w:eastAsia="ar-SA"/>
        </w:rPr>
        <w:t>y</w:t>
      </w:r>
      <w:r w:rsidRPr="00F80E4F">
        <w:rPr>
          <w:rFonts w:ascii="ITC Avant Garde" w:eastAsia="Times New Roman" w:hAnsi="ITC Avant Garde"/>
          <w:b/>
          <w:kern w:val="3"/>
          <w:lang w:val="es-ES" w:eastAsia="ar-SA"/>
        </w:rPr>
        <w:t xml:space="preserve"> 2 </w:t>
      </w:r>
      <w:r w:rsidRPr="00F80E4F">
        <w:rPr>
          <w:rFonts w:ascii="ITC Avant Garde" w:eastAsia="Times New Roman" w:hAnsi="ITC Avant Garde"/>
          <w:kern w:val="3"/>
          <w:lang w:val="es-ES" w:eastAsia="ar-SA"/>
        </w:rPr>
        <w:t xml:space="preserve">de la presente Resolución, término que transcurrirá </w:t>
      </w:r>
      <w:r w:rsidRPr="00F80E4F">
        <w:rPr>
          <w:rFonts w:ascii="ITC Avant Garde" w:hAnsi="ITC Avant Garde"/>
          <w:bCs/>
          <w:color w:val="000000"/>
          <w:lang w:eastAsia="es-MX"/>
        </w:rPr>
        <w:t>a partir del día siguiente a aquél en que haya surtido efectos la notificación de la misma.</w:t>
      </w:r>
    </w:p>
    <w:p w14:paraId="15ED9272" w14:textId="77777777" w:rsidR="00C55FC8" w:rsidRDefault="007336E4" w:rsidP="00C55FC8">
      <w:pPr>
        <w:spacing w:afterLines="120" w:after="288" w:line="276" w:lineRule="auto"/>
        <w:ind w:right="-62"/>
        <w:jc w:val="both"/>
      </w:pPr>
      <w:r w:rsidRPr="00F80E4F">
        <w:rPr>
          <w:rFonts w:ascii="ITC Avant Garde" w:hAnsi="ITC Avant Garde"/>
          <w:bCs/>
          <w:color w:val="000000"/>
          <w:lang w:eastAsia="es-MX"/>
        </w:rPr>
        <w:t xml:space="preserve">Adicionalmente </w:t>
      </w:r>
      <w:r>
        <w:rPr>
          <w:rFonts w:ascii="ITC Avant Garde" w:hAnsi="ITC Avant Garde"/>
          <w:bCs/>
          <w:color w:val="000000"/>
          <w:lang w:eastAsia="es-MX"/>
        </w:rPr>
        <w:t>e</w:t>
      </w:r>
      <w:r w:rsidRPr="00F80E4F">
        <w:rPr>
          <w:rFonts w:ascii="ITC Avant Garde" w:hAnsi="ITC Avant Garde"/>
          <w:bCs/>
          <w:color w:val="000000"/>
          <w:lang w:eastAsia="es-MX"/>
        </w:rPr>
        <w:t xml:space="preserve">l Concesionario contará con un plazo de </w:t>
      </w:r>
      <w:r w:rsidRPr="00F80E4F">
        <w:rPr>
          <w:rFonts w:ascii="ITC Avant Garde" w:eastAsia="Times New Roman" w:hAnsi="ITC Avant Garde"/>
          <w:kern w:val="3"/>
          <w:lang w:val="es-ES" w:eastAsia="ar-SA"/>
        </w:rPr>
        <w:t>30 (treinta) días hábiles</w:t>
      </w:r>
      <w:r w:rsidRPr="00F80E4F">
        <w:rPr>
          <w:rFonts w:ascii="ITC Avant Garde" w:hAnsi="ITC Avant Garde"/>
          <w:bCs/>
          <w:color w:val="000000"/>
          <w:lang w:eastAsia="es-MX"/>
        </w:rPr>
        <w:t xml:space="preserve"> contados a partir del día siguiente a la fecha de recepción del escrito de aceptación de condiciones, para </w:t>
      </w:r>
      <w:r w:rsidRPr="00F80E4F">
        <w:rPr>
          <w:rFonts w:ascii="ITC Avant Garde" w:eastAsia="Times New Roman" w:hAnsi="ITC Avant Garde"/>
          <w:kern w:val="3"/>
          <w:lang w:val="es-ES" w:eastAsia="ar-SA"/>
        </w:rPr>
        <w:t>exhibir ante este Instituto los comprobantes con los que se acredite haber realizado el pago de la contraprestación en cuestión.</w:t>
      </w:r>
    </w:p>
    <w:p w14:paraId="6AE87EAA" w14:textId="77777777" w:rsidR="00C55FC8" w:rsidRDefault="007336E4" w:rsidP="00C55FC8">
      <w:pPr>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4414A4BD" w14:textId="77777777" w:rsidR="00C55FC8" w:rsidRDefault="007336E4" w:rsidP="00C55FC8">
      <w:pPr>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kern w:val="1"/>
          <w:lang w:val="es-ES" w:eastAsia="ar-SA"/>
        </w:rPr>
        <w:t>Una vez aceptadas las condiciones y acreditado el pago total de las contraprestaciones, este Instituto expedirá los títulos de Concesión para usar, aprovechar y explotar bandas de frecuencia</w:t>
      </w:r>
      <w:r>
        <w:rPr>
          <w:rFonts w:ascii="ITC Avant Garde" w:eastAsia="Times New Roman" w:hAnsi="ITC Avant Garde"/>
          <w:kern w:val="1"/>
          <w:lang w:val="es-ES" w:eastAsia="ar-SA"/>
        </w:rPr>
        <w:t xml:space="preserve">s </w:t>
      </w:r>
      <w:r w:rsidRPr="00F80E4F">
        <w:rPr>
          <w:rFonts w:ascii="ITC Avant Garde" w:eastAsia="Times New Roman" w:hAnsi="ITC Avant Garde"/>
          <w:kern w:val="1"/>
          <w:lang w:val="es-ES" w:eastAsia="ar-SA"/>
        </w:rPr>
        <w:t xml:space="preserve">del espectro radioeléctrico para uso comercial y de Concesión Única correspondiente, a que se refiere la presente Resolución. La condición relativa al pago de la contraprestación fijada quedará contenida en </w:t>
      </w:r>
      <w:r>
        <w:rPr>
          <w:rFonts w:ascii="ITC Avant Garde" w:eastAsia="Times New Roman" w:hAnsi="ITC Avant Garde"/>
          <w:kern w:val="1"/>
          <w:lang w:val="es-ES" w:eastAsia="ar-SA"/>
        </w:rPr>
        <w:t>el</w:t>
      </w:r>
      <w:r w:rsidRPr="00F80E4F">
        <w:rPr>
          <w:rFonts w:ascii="ITC Avant Garde" w:eastAsia="Times New Roman" w:hAnsi="ITC Avant Garde"/>
          <w:kern w:val="1"/>
          <w:lang w:val="es-ES" w:eastAsia="ar-SA"/>
        </w:rPr>
        <w:t xml:space="preserve"> título de concesión de espectro radioeléctrico.</w:t>
      </w:r>
    </w:p>
    <w:p w14:paraId="20D4D7F8" w14:textId="77777777" w:rsidR="00C55FC8" w:rsidRDefault="007336E4" w:rsidP="00C55FC8">
      <w:pPr>
        <w:suppressAutoHyphens/>
        <w:spacing w:afterLines="120" w:after="288" w:line="276" w:lineRule="auto"/>
        <w:ind w:right="-62"/>
        <w:jc w:val="both"/>
        <w:rPr>
          <w:rFonts w:ascii="ITC Avant Garde" w:eastAsia="Times New Roman" w:hAnsi="ITC Avant Garde"/>
          <w:bCs/>
          <w:kern w:val="1"/>
          <w:lang w:eastAsia="ar-SA"/>
        </w:rPr>
      </w:pPr>
      <w:r w:rsidRPr="00F80E4F">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1, 2, 4, 5, 7, 9 fracción I, 15 fracciones IV, LIV y LVII, 16, 17 fracción I, 54, 55 fracción I, 66, 67 fracción I, 71, 72, 75, 76 fracción I, 77, 100, </w:t>
      </w:r>
      <w:r>
        <w:rPr>
          <w:rFonts w:ascii="ITC Avant Garde" w:hAnsi="ITC Avant Garde"/>
          <w:color w:val="000000"/>
          <w:lang w:eastAsia="es-MX"/>
        </w:rPr>
        <w:t>112 y</w:t>
      </w:r>
      <w:r w:rsidRPr="00F80E4F">
        <w:rPr>
          <w:rFonts w:ascii="ITC Avant Garde" w:hAnsi="ITC Avant Garde"/>
          <w:color w:val="000000"/>
          <w:lang w:eastAsia="es-MX"/>
        </w:rPr>
        <w:t xml:space="preserve"> 114 de la Ley Federal de Telecomunicaciones y Radiodifusión;</w:t>
      </w:r>
      <w:r w:rsidRPr="00F80E4F">
        <w:rPr>
          <w:rFonts w:ascii="ITC Avant Garde" w:hAnsi="ITC Avant Garde"/>
          <w:bCs/>
          <w:color w:val="000000"/>
          <w:lang w:val="es-ES" w:eastAsia="es-MX"/>
        </w:rPr>
        <w:t xml:space="preserve"> </w:t>
      </w:r>
      <w:r w:rsidRPr="00F80E4F">
        <w:rPr>
          <w:rFonts w:ascii="ITC Avant Garde" w:hAnsi="ITC Avant Garde"/>
          <w:color w:val="000000"/>
          <w:lang w:eastAsia="es-MX"/>
        </w:rPr>
        <w:t>3, 16 fracción X, 35 fracción I, 36, 38 y 57 fracción I de la Ley Federal de Procedimiento Administrativo; y 1, 4 fracción I, 6 fracciones I y XXXVIII, 32 y 34 fracción II del Estatuto Orgánico del Instituto Federal de Telecomunicaciones, este órgano autónomo emite los siguientes:</w:t>
      </w:r>
    </w:p>
    <w:p w14:paraId="3A3B58CB" w14:textId="77777777" w:rsidR="00C55FC8" w:rsidRPr="00C55FC8" w:rsidRDefault="007336E4" w:rsidP="00C55FC8">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C55FC8">
        <w:rPr>
          <w:rFonts w:ascii="ITC Avant Garde" w:hAnsi="ITC Avant Garde"/>
          <w:b/>
          <w:color w:val="000000" w:themeColor="text1"/>
          <w:sz w:val="22"/>
          <w:szCs w:val="22"/>
        </w:rPr>
        <w:t>RESOLUTIVOS</w:t>
      </w:r>
    </w:p>
    <w:p w14:paraId="13EC14B9" w14:textId="77777777" w:rsidR="00C55FC8" w:rsidRDefault="00B713EB" w:rsidP="00C55FC8">
      <w:pPr>
        <w:suppressAutoHyphens/>
        <w:spacing w:afterLines="120" w:after="288" w:line="276" w:lineRule="auto"/>
        <w:ind w:right="-62"/>
        <w:jc w:val="both"/>
        <w:rPr>
          <w:rFonts w:ascii="ITC Avant Garde" w:hAnsi="ITC Avant Garde"/>
          <w:b/>
          <w:lang w:eastAsia="es-MX"/>
        </w:rPr>
      </w:pPr>
      <w:r w:rsidRPr="00F80E4F">
        <w:rPr>
          <w:rFonts w:ascii="ITC Avant Garde" w:eastAsia="Times New Roman" w:hAnsi="ITC Avant Garde"/>
          <w:b/>
          <w:bCs/>
          <w:kern w:val="1"/>
          <w:lang w:eastAsia="ar-SA"/>
        </w:rPr>
        <w:t>PRIMERO. -</w:t>
      </w:r>
      <w:r w:rsidR="007336E4" w:rsidRPr="00F80E4F">
        <w:rPr>
          <w:rFonts w:ascii="ITC Avant Garde" w:eastAsia="Times New Roman" w:hAnsi="ITC Avant Garde"/>
          <w:b/>
          <w:bCs/>
          <w:kern w:val="1"/>
          <w:lang w:eastAsia="ar-SA"/>
        </w:rPr>
        <w:t xml:space="preserve"> </w:t>
      </w:r>
      <w:r w:rsidR="007336E4" w:rsidRPr="00F80E4F">
        <w:rPr>
          <w:rFonts w:ascii="ITC Avant Garde" w:eastAsia="Times New Roman" w:hAnsi="ITC Avant Garde"/>
          <w:bCs/>
          <w:kern w:val="1"/>
          <w:lang w:eastAsia="ar-SA"/>
        </w:rPr>
        <w:t xml:space="preserve">Se resuelve favorablemente la solicitud de prórroga de la Concesión presentada por </w:t>
      </w:r>
      <w:r w:rsidR="007336E4">
        <w:rPr>
          <w:rFonts w:ascii="ITC Avant Garde" w:hAnsi="ITC Avant Garde"/>
          <w:b/>
          <w:lang w:eastAsia="es-MX"/>
        </w:rPr>
        <w:t>Radio</w:t>
      </w:r>
      <w:r w:rsidR="00BF4A75">
        <w:rPr>
          <w:rFonts w:ascii="ITC Avant Garde" w:hAnsi="ITC Avant Garde"/>
          <w:b/>
          <w:lang w:eastAsia="es-MX"/>
        </w:rPr>
        <w:t xml:space="preserve">difusora </w:t>
      </w:r>
      <w:proofErr w:type="spellStart"/>
      <w:r w:rsidR="00BF4A75">
        <w:rPr>
          <w:rFonts w:ascii="ITC Avant Garde" w:hAnsi="ITC Avant Garde"/>
          <w:b/>
          <w:lang w:eastAsia="es-MX"/>
        </w:rPr>
        <w:t>Tlaxiaqueña</w:t>
      </w:r>
      <w:proofErr w:type="spellEnd"/>
      <w:r w:rsidR="007336E4">
        <w:rPr>
          <w:rFonts w:ascii="ITC Avant Garde" w:hAnsi="ITC Avant Garde"/>
          <w:b/>
          <w:lang w:eastAsia="es-MX"/>
        </w:rPr>
        <w:t>, S.A.</w:t>
      </w:r>
      <w:r w:rsidR="00BF4A75">
        <w:rPr>
          <w:rFonts w:ascii="ITC Avant Garde" w:hAnsi="ITC Avant Garde"/>
          <w:b/>
          <w:lang w:eastAsia="es-MX"/>
        </w:rPr>
        <w:t xml:space="preserve"> de C.V.</w:t>
      </w:r>
      <w:r w:rsidR="007336E4" w:rsidRPr="00F80E4F">
        <w:rPr>
          <w:rFonts w:ascii="ITC Avant Garde" w:hAnsi="ITC Avant Garde"/>
          <w:lang w:eastAsia="es-MX"/>
        </w:rPr>
        <w:t xml:space="preserve"> </w:t>
      </w:r>
      <w:r w:rsidR="007336E4" w:rsidRPr="00F80E4F">
        <w:rPr>
          <w:rFonts w:ascii="ITC Avant Garde" w:eastAsia="Times New Roman" w:hAnsi="ITC Avant Garde"/>
          <w:bCs/>
          <w:kern w:val="1"/>
          <w:lang w:val="es-ES" w:eastAsia="ar-SA"/>
        </w:rPr>
        <w:t xml:space="preserve">para continuar usando comercialmente </w:t>
      </w:r>
      <w:r w:rsidR="007336E4" w:rsidRPr="00F80E4F">
        <w:rPr>
          <w:rFonts w:ascii="ITC Avant Garde" w:hAnsi="ITC Avant Garde"/>
          <w:lang w:eastAsia="es-MX"/>
        </w:rPr>
        <w:t xml:space="preserve">la frecuencia </w:t>
      </w:r>
      <w:r w:rsidR="007336E4">
        <w:rPr>
          <w:rFonts w:ascii="ITC Avant Garde" w:hAnsi="ITC Avant Garde"/>
          <w:lang w:eastAsia="es-MX"/>
        </w:rPr>
        <w:t>10</w:t>
      </w:r>
      <w:r w:rsidR="00BF4A75">
        <w:rPr>
          <w:rFonts w:ascii="ITC Avant Garde" w:hAnsi="ITC Avant Garde"/>
          <w:lang w:eastAsia="es-MX"/>
        </w:rPr>
        <w:t>0</w:t>
      </w:r>
      <w:r w:rsidR="007336E4">
        <w:rPr>
          <w:rFonts w:ascii="ITC Avant Garde" w:hAnsi="ITC Avant Garde"/>
          <w:lang w:eastAsia="es-MX"/>
        </w:rPr>
        <w:t>.</w:t>
      </w:r>
      <w:r w:rsidR="00BF4A75">
        <w:rPr>
          <w:rFonts w:ascii="ITC Avant Garde" w:hAnsi="ITC Avant Garde"/>
          <w:lang w:eastAsia="es-MX"/>
        </w:rPr>
        <w:t>5</w:t>
      </w:r>
      <w:r w:rsidR="007336E4" w:rsidRPr="00F80E4F">
        <w:rPr>
          <w:rFonts w:ascii="ITC Avant Garde" w:hAnsi="ITC Avant Garde"/>
          <w:lang w:eastAsia="es-MX"/>
        </w:rPr>
        <w:t xml:space="preserve"> </w:t>
      </w:r>
      <w:r w:rsidR="007336E4">
        <w:rPr>
          <w:rFonts w:ascii="ITC Avant Garde" w:hAnsi="ITC Avant Garde"/>
          <w:lang w:eastAsia="es-MX"/>
        </w:rPr>
        <w:t>M</w:t>
      </w:r>
      <w:r w:rsidR="007336E4" w:rsidRPr="00F80E4F">
        <w:rPr>
          <w:rFonts w:ascii="ITC Avant Garde" w:hAnsi="ITC Avant Garde"/>
          <w:lang w:eastAsia="es-MX"/>
        </w:rPr>
        <w:t xml:space="preserve">Hz, a través de la estación con distintivo de llamada </w:t>
      </w:r>
      <w:r w:rsidR="007336E4">
        <w:rPr>
          <w:rFonts w:ascii="ITC Avant Garde" w:hAnsi="ITC Avant Garde"/>
          <w:b/>
          <w:lang w:eastAsia="es-MX"/>
        </w:rPr>
        <w:t>XHT</w:t>
      </w:r>
      <w:r w:rsidR="00BF4A75">
        <w:rPr>
          <w:rFonts w:ascii="ITC Avant Garde" w:hAnsi="ITC Avant Garde"/>
          <w:b/>
          <w:lang w:eastAsia="es-MX"/>
        </w:rPr>
        <w:t>LX</w:t>
      </w:r>
      <w:r w:rsidR="007336E4">
        <w:rPr>
          <w:rFonts w:ascii="ITC Avant Garde" w:hAnsi="ITC Avant Garde"/>
          <w:b/>
          <w:lang w:eastAsia="es-MX"/>
        </w:rPr>
        <w:t>-FM</w:t>
      </w:r>
      <w:r w:rsidR="007336E4" w:rsidRPr="00F80E4F">
        <w:rPr>
          <w:rFonts w:ascii="ITC Avant Garde" w:hAnsi="ITC Avant Garde"/>
          <w:b/>
          <w:lang w:eastAsia="es-MX"/>
        </w:rPr>
        <w:t xml:space="preserve"> </w:t>
      </w:r>
      <w:r w:rsidR="007336E4" w:rsidRPr="00F80E4F">
        <w:rPr>
          <w:rFonts w:ascii="ITC Avant Garde" w:hAnsi="ITC Avant Garde"/>
          <w:lang w:eastAsia="es-MX"/>
        </w:rPr>
        <w:t xml:space="preserve">en </w:t>
      </w:r>
      <w:r w:rsidR="00245B04" w:rsidRPr="00245B04">
        <w:rPr>
          <w:rFonts w:ascii="ITC Avant Garde" w:hAnsi="ITC Avant Garde"/>
          <w:lang w:eastAsia="es-MX"/>
        </w:rPr>
        <w:t xml:space="preserve">Santa María Asunción </w:t>
      </w:r>
      <w:proofErr w:type="spellStart"/>
      <w:r w:rsidR="00245B04" w:rsidRPr="00245B04">
        <w:rPr>
          <w:rFonts w:ascii="ITC Avant Garde" w:hAnsi="ITC Avant Garde"/>
          <w:lang w:eastAsia="es-MX"/>
        </w:rPr>
        <w:t>Tlaxiaco</w:t>
      </w:r>
      <w:proofErr w:type="spellEnd"/>
      <w:r w:rsidR="00245B04" w:rsidRPr="00245B04">
        <w:rPr>
          <w:rFonts w:ascii="ITC Avant Garde" w:hAnsi="ITC Avant Garde"/>
          <w:lang w:eastAsia="es-MX"/>
        </w:rPr>
        <w:t>, Oaxaca</w:t>
      </w:r>
      <w:r w:rsidR="007336E4" w:rsidRPr="00F80E4F">
        <w:rPr>
          <w:rFonts w:ascii="ITC Avant Garde" w:hAnsi="ITC Avant Garde"/>
          <w:lang w:eastAsia="es-MX"/>
        </w:rPr>
        <w:t>.</w:t>
      </w:r>
      <w:r w:rsidR="007336E4" w:rsidRPr="00F80E4F">
        <w:rPr>
          <w:rFonts w:ascii="ITC Avant Garde" w:hAnsi="ITC Avant Garde"/>
          <w:b/>
          <w:lang w:eastAsia="es-MX"/>
        </w:rPr>
        <w:t xml:space="preserve"> </w:t>
      </w:r>
    </w:p>
    <w:p w14:paraId="55232E0E" w14:textId="77777777" w:rsidR="00C55FC8" w:rsidRDefault="007336E4" w:rsidP="00C55FC8">
      <w:pPr>
        <w:suppressAutoHyphens/>
        <w:spacing w:afterLines="120" w:after="288" w:line="276" w:lineRule="auto"/>
        <w:ind w:right="-62"/>
        <w:jc w:val="both"/>
        <w:rPr>
          <w:rFonts w:ascii="ITC Avant Garde" w:hAnsi="ITC Avant Garde"/>
          <w:b/>
          <w:lang w:eastAsia="es-MX"/>
        </w:rPr>
      </w:pPr>
      <w:r w:rsidRPr="00F80E4F">
        <w:rPr>
          <w:rFonts w:ascii="ITC Avant Garde" w:eastAsia="Times New Roman" w:hAnsi="ITC Avant Garde"/>
          <w:b/>
          <w:bCs/>
          <w:kern w:val="1"/>
          <w:lang w:eastAsia="ar-SA"/>
        </w:rPr>
        <w:lastRenderedPageBreak/>
        <w:t xml:space="preserve">SEGUNDO.- </w:t>
      </w:r>
      <w:r w:rsidRPr="00F80E4F">
        <w:rPr>
          <w:rFonts w:ascii="ITC Avant Garde" w:eastAsia="Times New Roman" w:hAnsi="ITC Avant Garde"/>
          <w:bCs/>
          <w:kern w:val="1"/>
          <w:lang w:eastAsia="ar-SA"/>
        </w:rPr>
        <w:t xml:space="preserve">Se otorga </w:t>
      </w:r>
      <w:r w:rsidRPr="00F80E4F">
        <w:rPr>
          <w:rFonts w:ascii="ITC Avant Garde" w:hAnsi="ITC Avant Garde"/>
        </w:rPr>
        <w:t xml:space="preserve">a favor de </w:t>
      </w:r>
      <w:r w:rsidR="00D332B8">
        <w:rPr>
          <w:rFonts w:ascii="ITC Avant Garde" w:hAnsi="ITC Avant Garde"/>
          <w:b/>
          <w:lang w:eastAsia="es-MX"/>
        </w:rPr>
        <w:t xml:space="preserve">Radiodifusora </w:t>
      </w:r>
      <w:proofErr w:type="spellStart"/>
      <w:r w:rsidR="00D332B8">
        <w:rPr>
          <w:rFonts w:ascii="ITC Avant Garde" w:hAnsi="ITC Avant Garde"/>
          <w:b/>
          <w:lang w:eastAsia="es-MX"/>
        </w:rPr>
        <w:t>Tlaxiaqueña</w:t>
      </w:r>
      <w:proofErr w:type="spellEnd"/>
      <w:r>
        <w:rPr>
          <w:rFonts w:ascii="ITC Avant Garde" w:hAnsi="ITC Avant Garde"/>
          <w:b/>
          <w:lang w:eastAsia="es-MX"/>
        </w:rPr>
        <w:t>, S.A.</w:t>
      </w:r>
      <w:r w:rsidRPr="00F80E4F">
        <w:rPr>
          <w:rFonts w:ascii="ITC Avant Garde" w:hAnsi="ITC Avant Garde"/>
          <w:lang w:eastAsia="es-MX"/>
        </w:rPr>
        <w:t xml:space="preserve"> </w:t>
      </w:r>
      <w:r w:rsidR="00D332B8" w:rsidRPr="005C5B1F">
        <w:rPr>
          <w:rFonts w:ascii="ITC Avant Garde" w:hAnsi="ITC Avant Garde"/>
          <w:b/>
          <w:lang w:eastAsia="es-MX"/>
        </w:rPr>
        <w:t>de C.V.</w:t>
      </w:r>
      <w:r w:rsidR="00D332B8">
        <w:rPr>
          <w:rFonts w:ascii="ITC Avant Garde" w:hAnsi="ITC Avant Garde"/>
          <w:b/>
          <w:lang w:eastAsia="es-MX"/>
        </w:rPr>
        <w:t xml:space="preserve"> </w:t>
      </w:r>
      <w:r w:rsidRPr="00F80E4F">
        <w:rPr>
          <w:rFonts w:ascii="ITC Avant Garde" w:eastAsia="Times New Roman" w:hAnsi="ITC Avant Garde"/>
          <w:bCs/>
          <w:kern w:val="1"/>
          <w:lang w:eastAsia="ar-SA"/>
        </w:rPr>
        <w:t xml:space="preserve">una </w:t>
      </w:r>
      <w:r w:rsidRPr="00F80E4F">
        <w:rPr>
          <w:rFonts w:ascii="ITC Avant Garde" w:hAnsi="ITC Avant Garde"/>
          <w:bCs/>
          <w:lang w:eastAsia="es-MX"/>
        </w:rPr>
        <w:t xml:space="preserve">Concesión </w:t>
      </w:r>
      <w:r w:rsidRPr="00F80E4F">
        <w:rPr>
          <w:rFonts w:ascii="ITC Avant Garde" w:hAnsi="ITC Avant Garde"/>
          <w:bCs/>
          <w:lang w:val="es-ES_tradnl" w:eastAsia="es-MX"/>
        </w:rPr>
        <w:t xml:space="preserve">para usar, aprovechar y explotar bandas de frecuencias del espectro radioeléctrico </w:t>
      </w:r>
      <w:r w:rsidRPr="00F80E4F">
        <w:rPr>
          <w:rFonts w:ascii="ITC Avant Garde" w:hAnsi="ITC Avant Garde"/>
        </w:rPr>
        <w:t xml:space="preserve">para uso comercial con una vigencia de 20 (veinte) años contados a partir del día siguiente a la fecha de vencimiento del título que se prorroga en la presente Resolución, para la prestación del servicio público de radiodifusión sonora en </w:t>
      </w:r>
      <w:r w:rsidR="00106313">
        <w:rPr>
          <w:rFonts w:ascii="ITC Avant Garde" w:hAnsi="ITC Avant Garde"/>
        </w:rPr>
        <w:t>frecuencia</w:t>
      </w:r>
      <w:r w:rsidR="00106313" w:rsidRPr="00F80E4F">
        <w:rPr>
          <w:rFonts w:ascii="ITC Avant Garde" w:hAnsi="ITC Avant Garde"/>
        </w:rPr>
        <w:t xml:space="preserve"> </w:t>
      </w:r>
      <w:r w:rsidRPr="00F80E4F">
        <w:rPr>
          <w:rFonts w:ascii="ITC Avant Garde" w:hAnsi="ITC Avant Garde"/>
        </w:rPr>
        <w:t xml:space="preserve">modulada a través de </w:t>
      </w:r>
      <w:r w:rsidRPr="00F80E4F">
        <w:rPr>
          <w:rFonts w:ascii="ITC Avant Garde" w:hAnsi="ITC Avant Garde"/>
          <w:lang w:eastAsia="es-MX"/>
        </w:rPr>
        <w:t xml:space="preserve">la frecuencia </w:t>
      </w:r>
      <w:r>
        <w:rPr>
          <w:rFonts w:ascii="ITC Avant Garde" w:hAnsi="ITC Avant Garde"/>
          <w:lang w:eastAsia="es-MX"/>
        </w:rPr>
        <w:t>10</w:t>
      </w:r>
      <w:r w:rsidR="00D332B8">
        <w:rPr>
          <w:rFonts w:ascii="ITC Avant Garde" w:hAnsi="ITC Avant Garde"/>
          <w:lang w:eastAsia="es-MX"/>
        </w:rPr>
        <w:t>0</w:t>
      </w:r>
      <w:r>
        <w:rPr>
          <w:rFonts w:ascii="ITC Avant Garde" w:hAnsi="ITC Avant Garde"/>
          <w:lang w:eastAsia="es-MX"/>
        </w:rPr>
        <w:t>.</w:t>
      </w:r>
      <w:r w:rsidR="00D332B8">
        <w:rPr>
          <w:rFonts w:ascii="ITC Avant Garde" w:hAnsi="ITC Avant Garde"/>
          <w:lang w:eastAsia="es-MX"/>
        </w:rPr>
        <w:t>5</w:t>
      </w:r>
      <w:r w:rsidRPr="00F80E4F">
        <w:rPr>
          <w:rFonts w:ascii="ITC Avant Garde" w:hAnsi="ITC Avant Garde"/>
          <w:lang w:eastAsia="es-MX"/>
        </w:rPr>
        <w:t xml:space="preserve"> </w:t>
      </w:r>
      <w:r>
        <w:rPr>
          <w:rFonts w:ascii="ITC Avant Garde" w:hAnsi="ITC Avant Garde"/>
          <w:lang w:eastAsia="es-MX"/>
        </w:rPr>
        <w:t>M</w:t>
      </w:r>
      <w:r w:rsidRPr="00F80E4F">
        <w:rPr>
          <w:rFonts w:ascii="ITC Avant Garde" w:hAnsi="ITC Avant Garde"/>
          <w:lang w:eastAsia="es-MX"/>
        </w:rPr>
        <w:t>Hz</w:t>
      </w:r>
      <w:r w:rsidDel="004F0637">
        <w:rPr>
          <w:rFonts w:ascii="ITC Avant Garde" w:hAnsi="ITC Avant Garde"/>
          <w:lang w:eastAsia="es-MX"/>
        </w:rPr>
        <w:t xml:space="preserve"> </w:t>
      </w:r>
      <w:r w:rsidRPr="00F80E4F">
        <w:rPr>
          <w:rFonts w:ascii="ITC Avant Garde" w:hAnsi="ITC Avant Garde"/>
          <w:lang w:eastAsia="es-MX"/>
        </w:rPr>
        <w:t xml:space="preserve">, a través de la estación con distintivo de llamada </w:t>
      </w:r>
      <w:r>
        <w:rPr>
          <w:rFonts w:ascii="ITC Avant Garde" w:hAnsi="ITC Avant Garde"/>
          <w:b/>
          <w:lang w:eastAsia="es-MX"/>
        </w:rPr>
        <w:t>XHT</w:t>
      </w:r>
      <w:r w:rsidR="00D332B8">
        <w:rPr>
          <w:rFonts w:ascii="ITC Avant Garde" w:hAnsi="ITC Avant Garde"/>
          <w:b/>
          <w:lang w:eastAsia="es-MX"/>
        </w:rPr>
        <w:t>LX</w:t>
      </w:r>
      <w:r>
        <w:rPr>
          <w:rFonts w:ascii="ITC Avant Garde" w:hAnsi="ITC Avant Garde"/>
          <w:b/>
          <w:lang w:eastAsia="es-MX"/>
        </w:rPr>
        <w:t>-FM</w:t>
      </w:r>
      <w:r w:rsidRPr="00F80E4F">
        <w:rPr>
          <w:rFonts w:ascii="ITC Avant Garde" w:hAnsi="ITC Avant Garde"/>
          <w:b/>
          <w:lang w:eastAsia="es-MX"/>
        </w:rPr>
        <w:t xml:space="preserve"> </w:t>
      </w:r>
      <w:r w:rsidRPr="00F80E4F">
        <w:rPr>
          <w:rFonts w:ascii="ITC Avant Garde" w:hAnsi="ITC Avant Garde"/>
          <w:lang w:eastAsia="es-MX"/>
        </w:rPr>
        <w:t>en</w:t>
      </w:r>
      <w:r w:rsidR="00106313">
        <w:rPr>
          <w:rFonts w:ascii="ITC Avant Garde" w:hAnsi="ITC Avant Garde"/>
          <w:lang w:eastAsia="es-MX"/>
        </w:rPr>
        <w:t xml:space="preserve"> </w:t>
      </w:r>
      <w:r w:rsidR="00D332B8" w:rsidRPr="00245B04">
        <w:rPr>
          <w:rFonts w:ascii="ITC Avant Garde" w:hAnsi="ITC Avant Garde"/>
          <w:lang w:eastAsia="es-MX"/>
        </w:rPr>
        <w:t xml:space="preserve">Santa María Asunción </w:t>
      </w:r>
      <w:proofErr w:type="spellStart"/>
      <w:r w:rsidR="00D332B8" w:rsidRPr="00245B04">
        <w:rPr>
          <w:rFonts w:ascii="ITC Avant Garde" w:hAnsi="ITC Avant Garde"/>
          <w:lang w:eastAsia="es-MX"/>
        </w:rPr>
        <w:t>Tlaxiaco</w:t>
      </w:r>
      <w:proofErr w:type="spellEnd"/>
      <w:r w:rsidR="00D332B8" w:rsidRPr="00245B04">
        <w:rPr>
          <w:rFonts w:ascii="ITC Avant Garde" w:hAnsi="ITC Avant Garde"/>
          <w:lang w:eastAsia="es-MX"/>
        </w:rPr>
        <w:t>, Oaxaca</w:t>
      </w:r>
      <w:r w:rsidRPr="005A1ECD">
        <w:rPr>
          <w:rFonts w:ascii="ITC Avant Garde" w:hAnsi="ITC Avant Garde"/>
          <w:lang w:eastAsia="es-MX"/>
        </w:rPr>
        <w:t>.</w:t>
      </w:r>
    </w:p>
    <w:p w14:paraId="4B4D5BB3" w14:textId="77777777" w:rsidR="00C55FC8" w:rsidRDefault="007336E4" w:rsidP="00C55FC8">
      <w:pPr>
        <w:suppressAutoHyphens/>
        <w:spacing w:afterLines="120" w:after="288" w:line="276" w:lineRule="auto"/>
        <w:ind w:right="-62"/>
        <w:jc w:val="both"/>
        <w:rPr>
          <w:rFonts w:ascii="ITC Avant Garde" w:eastAsia="Times New Roman" w:hAnsi="ITC Avant Garde"/>
          <w:bCs/>
          <w:kern w:val="1"/>
          <w:lang w:eastAsia="ar-SA"/>
        </w:rPr>
      </w:pPr>
      <w:r w:rsidRPr="00F80E4F">
        <w:rPr>
          <w:rFonts w:ascii="ITC Avant Garde" w:hAnsi="ITC Avant Garde"/>
          <w:lang w:eastAsia="es-MX"/>
        </w:rPr>
        <w:t xml:space="preserve">Asimismo, </w:t>
      </w:r>
      <w:r w:rsidRPr="00F80E4F">
        <w:rPr>
          <w:rFonts w:ascii="ITC Avant Garde" w:eastAsia="Times New Roman" w:hAnsi="ITC Avant Garde"/>
          <w:bCs/>
          <w:kern w:val="1"/>
          <w:lang w:val="es-ES" w:eastAsia="ar-SA"/>
        </w:rPr>
        <w:t>se le otorga a</w:t>
      </w:r>
      <w:r>
        <w:rPr>
          <w:rFonts w:ascii="ITC Avant Garde" w:eastAsia="Times New Roman" w:hAnsi="ITC Avant Garde"/>
          <w:bCs/>
          <w:kern w:val="1"/>
          <w:lang w:val="es-ES" w:eastAsia="ar-SA"/>
        </w:rPr>
        <w:t>l</w:t>
      </w:r>
      <w:r w:rsidRPr="00F80E4F">
        <w:rPr>
          <w:rFonts w:ascii="ITC Avant Garde" w:eastAsia="Times New Roman" w:hAnsi="ITC Avant Garde"/>
          <w:bCs/>
          <w:kern w:val="1"/>
          <w:lang w:val="es-ES" w:eastAsia="ar-SA"/>
        </w:rPr>
        <w:t xml:space="preserve"> solicitante una Concesión Única, para Uso Comercial, con una vigencia</w:t>
      </w:r>
      <w:r w:rsidRPr="00F80E4F">
        <w:rPr>
          <w:rFonts w:ascii="ITC Avant Garde" w:eastAsia="Times New Roman" w:hAnsi="ITC Avant Garde"/>
          <w:bCs/>
          <w:kern w:val="1"/>
          <w:lang w:eastAsia="ar-SA"/>
        </w:rPr>
        <w:t xml:space="preserve"> de 30 (treinta) años</w:t>
      </w:r>
      <w:r w:rsidRPr="00F80E4F">
        <w:rPr>
          <w:rFonts w:ascii="ITC Avant Garde" w:hAnsi="ITC Avant Garde"/>
        </w:rPr>
        <w:t xml:space="preserve"> contados a partir del día siguiente a la fecha de vencimiento del título que se prorroga en la presente Resolución</w:t>
      </w:r>
      <w:r w:rsidRPr="00F80E4F">
        <w:rPr>
          <w:rFonts w:ascii="ITC Avant Garde" w:eastAsia="Times New Roman" w:hAnsi="ITC Avant Garde"/>
          <w:bCs/>
          <w:kern w:val="1"/>
          <w:lang w:eastAsia="ar-SA"/>
        </w:rPr>
        <w:t>.</w:t>
      </w:r>
    </w:p>
    <w:p w14:paraId="7E97B378" w14:textId="77777777" w:rsidR="00C55FC8" w:rsidRDefault="007336E4" w:rsidP="00C55FC8">
      <w:pPr>
        <w:suppressAutoHyphens/>
        <w:spacing w:afterLines="120" w:after="288" w:line="276" w:lineRule="auto"/>
        <w:ind w:right="-62"/>
        <w:jc w:val="both"/>
        <w:rPr>
          <w:rFonts w:ascii="ITC Avant Garde" w:eastAsia="Times New Roman" w:hAnsi="ITC Avant Garde"/>
          <w:b/>
          <w:bCs/>
          <w:kern w:val="1"/>
          <w:lang w:eastAsia="ar-SA"/>
        </w:rPr>
      </w:pPr>
      <w:r w:rsidRPr="00F80E4F">
        <w:rPr>
          <w:rFonts w:ascii="ITC Avant Garde" w:eastAsia="Times New Roman" w:hAnsi="ITC Avant Garde"/>
          <w:bCs/>
          <w:kern w:val="1"/>
          <w:lang w:eastAsia="ar-SA"/>
        </w:rPr>
        <w:t xml:space="preserve">Lo anterior, </w:t>
      </w:r>
      <w:r w:rsidRPr="00F80E4F">
        <w:rPr>
          <w:rFonts w:ascii="ITC Avant Garde" w:hAnsi="ITC Avant Garde"/>
          <w:lang w:eastAsia="es-MX"/>
        </w:rPr>
        <w:t>conforme a los términos establecidos en los Resolutivos siguientes</w:t>
      </w:r>
      <w:r w:rsidRPr="00F80E4F">
        <w:rPr>
          <w:rFonts w:ascii="ITC Avant Garde" w:eastAsia="Times New Roman" w:hAnsi="ITC Avant Garde"/>
          <w:bCs/>
          <w:kern w:val="1"/>
          <w:lang w:eastAsia="ar-SA"/>
        </w:rPr>
        <w:t>.</w:t>
      </w:r>
    </w:p>
    <w:p w14:paraId="00E292FF" w14:textId="77777777" w:rsidR="00C55FC8" w:rsidRDefault="007336E4" w:rsidP="00C55FC8">
      <w:pPr>
        <w:spacing w:afterLines="120" w:after="288" w:line="276" w:lineRule="auto"/>
        <w:ind w:right="-62"/>
        <w:jc w:val="both"/>
        <w:rPr>
          <w:rFonts w:ascii="Calibri" w:eastAsia="Calibri" w:hAnsi="Calibri" w:cs="Times New Roman"/>
        </w:rPr>
      </w:pPr>
      <w:r w:rsidRPr="00F80E4F">
        <w:rPr>
          <w:rFonts w:ascii="ITC Avant Garde" w:eastAsia="Times New Roman" w:hAnsi="ITC Avant Garde"/>
          <w:b/>
          <w:bCs/>
          <w:kern w:val="1"/>
          <w:lang w:eastAsia="ar-SA"/>
        </w:rPr>
        <w:t xml:space="preserve">TERCERO.- </w:t>
      </w:r>
      <w:r w:rsidRPr="00F80E4F">
        <w:rPr>
          <w:rFonts w:ascii="ITC Avant Garde" w:eastAsia="Times New Roman" w:hAnsi="ITC Avant Garde"/>
          <w:bCs/>
          <w:kern w:val="1"/>
          <w:lang w:eastAsia="ar-SA"/>
        </w:rPr>
        <w:t>Se instruye a la Unidad de Concesiones y Servicios a notificar personalmente a</w:t>
      </w:r>
      <w:r w:rsidRPr="00F80E4F">
        <w:rPr>
          <w:rFonts w:ascii="ITC Avant Garde" w:hAnsi="ITC Avant Garde"/>
          <w:color w:val="000000"/>
        </w:rPr>
        <w:t xml:space="preserve">l Concesionario </w:t>
      </w:r>
      <w:r w:rsidRPr="00F80E4F">
        <w:rPr>
          <w:rFonts w:ascii="ITC Avant Garde" w:eastAsia="Times New Roman" w:hAnsi="ITC Avant Garde"/>
          <w:bCs/>
          <w:kern w:val="1"/>
          <w:lang w:eastAsia="ar-SA"/>
        </w:rPr>
        <w:t xml:space="preserve">el contenido de la presente Resolución, así como las nuevas </w:t>
      </w:r>
      <w:r w:rsidRPr="00F80E4F">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F80E4F">
        <w:rPr>
          <w:rFonts w:ascii="ITC Avant Garde" w:eastAsia="Times New Roman" w:hAnsi="ITC Avant Garde"/>
          <w:b/>
          <w:kern w:val="1"/>
          <w:lang w:val="es-ES" w:eastAsia="ar-SA"/>
        </w:rPr>
        <w:t>Anexos 1 y 2</w:t>
      </w:r>
      <w:r w:rsidRPr="00F80E4F">
        <w:rPr>
          <w:rFonts w:ascii="ITC Avant Garde" w:eastAsia="Times New Roman" w:hAnsi="ITC Avant Garde"/>
          <w:kern w:val="1"/>
          <w:lang w:val="es-ES" w:eastAsia="ar-SA"/>
        </w:rPr>
        <w:t>, a efecto de recabar de dicho concesionario su aceptación expresa e indubitable de las nuevas condiciones, en un plazo no mayor a 30 (treinta) días hábiles contados a partir del día siguiente a aquel en que haya surtido efectos la notificación respectiva,</w:t>
      </w:r>
      <w:r w:rsidRPr="00F80E4F">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p>
    <w:p w14:paraId="71D26482" w14:textId="77777777" w:rsidR="00C55FC8" w:rsidRDefault="007336E4" w:rsidP="00C55FC8">
      <w:pPr>
        <w:suppressAutoHyphens/>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kern w:val="1"/>
          <w:lang w:val="es-ES" w:eastAsia="ar-SA"/>
        </w:rPr>
        <w:t xml:space="preserve">Asimismo, se deberá anexar, como parte integrante de la presente Resolución, el oficio de opinión de la contraprestación emitido por la </w:t>
      </w:r>
      <w:r w:rsidRPr="00F80E4F">
        <w:rPr>
          <w:rFonts w:ascii="ITC Avant Garde" w:eastAsia="Times New Roman" w:hAnsi="ITC Avant Garde"/>
          <w:bCs/>
          <w:kern w:val="1"/>
          <w:lang w:eastAsia="ar-SA"/>
        </w:rPr>
        <w:t>Secretaría de Hacienda y Crédito Público, descrito en el cuerpo de la Resolución.</w:t>
      </w:r>
    </w:p>
    <w:p w14:paraId="11C56390" w14:textId="77777777" w:rsidR="00C55FC8" w:rsidRDefault="007336E4" w:rsidP="00C55FC8">
      <w:pPr>
        <w:suppressAutoHyphens/>
        <w:spacing w:afterLines="120" w:after="288" w:line="276" w:lineRule="auto"/>
        <w:ind w:right="-62"/>
        <w:jc w:val="both"/>
        <w:rPr>
          <w:rFonts w:ascii="ITC Avant Garde" w:eastAsia="Times New Roman" w:hAnsi="ITC Avant Garde" w:cs="Times New Roman"/>
          <w:kern w:val="3"/>
          <w:lang w:val="es-ES" w:eastAsia="ar-SA"/>
        </w:rPr>
      </w:pPr>
      <w:r w:rsidRPr="00F80E4F">
        <w:rPr>
          <w:rFonts w:ascii="ITC Avant Garde" w:eastAsia="Times New Roman" w:hAnsi="ITC Avant Garde"/>
          <w:b/>
          <w:kern w:val="1"/>
          <w:lang w:val="es-ES" w:eastAsia="ar-SA"/>
        </w:rPr>
        <w:t>CUARTO</w:t>
      </w:r>
      <w:r w:rsidRPr="00F80E4F">
        <w:rPr>
          <w:rFonts w:ascii="ITC Avant Garde" w:eastAsia="Times New Roman" w:hAnsi="ITC Avant Garde"/>
          <w:kern w:val="1"/>
          <w:lang w:val="es-ES" w:eastAsia="ar-SA"/>
        </w:rPr>
        <w:t xml:space="preserve">.- Una vez aceptadas las condiciones y términos del título de concesión bajo lo determinado en el Resolutivo Tercero, </w:t>
      </w:r>
      <w:r w:rsidR="00D61D8F">
        <w:rPr>
          <w:rFonts w:ascii="ITC Avant Garde" w:hAnsi="ITC Avant Garde"/>
          <w:b/>
          <w:lang w:eastAsia="es-MX"/>
        </w:rPr>
        <w:t xml:space="preserve">Radiodifusora </w:t>
      </w:r>
      <w:proofErr w:type="spellStart"/>
      <w:r w:rsidR="00D61D8F">
        <w:rPr>
          <w:rFonts w:ascii="ITC Avant Garde" w:hAnsi="ITC Avant Garde"/>
          <w:b/>
          <w:lang w:eastAsia="es-MX"/>
        </w:rPr>
        <w:t>Tlaxiaqueña</w:t>
      </w:r>
      <w:proofErr w:type="spellEnd"/>
      <w:r>
        <w:rPr>
          <w:rFonts w:ascii="ITC Avant Garde" w:hAnsi="ITC Avant Garde"/>
          <w:b/>
          <w:lang w:eastAsia="es-MX"/>
        </w:rPr>
        <w:t>, S.A.</w:t>
      </w:r>
      <w:r w:rsidR="00D61D8F">
        <w:rPr>
          <w:rFonts w:ascii="ITC Avant Garde" w:hAnsi="ITC Avant Garde"/>
          <w:b/>
          <w:lang w:eastAsia="es-MX"/>
        </w:rPr>
        <w:t xml:space="preserve"> de C.V.</w:t>
      </w:r>
      <w:r w:rsidRPr="00F80E4F">
        <w:rPr>
          <w:rFonts w:ascii="ITC Avant Garde" w:eastAsia="Times New Roman" w:hAnsi="ITC Avant Garde"/>
          <w:bCs/>
          <w:kern w:val="1"/>
          <w:lang w:eastAsia="ar-SA"/>
        </w:rPr>
        <w:t xml:space="preserve"> deberá exhibir el comprobante de pago del aprovechamiento fijado por este Órgano Autónomo, por el monto de $</w:t>
      </w:r>
      <w:r w:rsidR="00D61D8F">
        <w:rPr>
          <w:rFonts w:ascii="ITC Avant Garde" w:eastAsia="Times New Roman" w:hAnsi="ITC Avant Garde"/>
          <w:kern w:val="1"/>
          <w:lang w:val="es-ES" w:eastAsia="ar-SA"/>
        </w:rPr>
        <w:t>85,270</w:t>
      </w:r>
      <w:r w:rsidRPr="00F80E4F">
        <w:rPr>
          <w:rFonts w:ascii="ITC Avant Garde" w:eastAsia="Times New Roman" w:hAnsi="ITC Avant Garde"/>
          <w:kern w:val="1"/>
          <w:lang w:val="es-ES" w:eastAsia="ar-SA"/>
        </w:rPr>
        <w:t>.00 (</w:t>
      </w:r>
      <w:r w:rsidR="00D61D8F">
        <w:rPr>
          <w:rFonts w:ascii="ITC Avant Garde" w:eastAsia="Times New Roman" w:hAnsi="ITC Avant Garde"/>
          <w:kern w:val="1"/>
          <w:lang w:val="es-ES" w:eastAsia="ar-SA"/>
        </w:rPr>
        <w:t>ochenta y cinco mil doscientos setenta pesos</w:t>
      </w:r>
      <w:r w:rsidRPr="00F80E4F">
        <w:rPr>
          <w:rFonts w:ascii="ITC Avant Garde" w:eastAsia="Times New Roman" w:hAnsi="ITC Avant Garde"/>
          <w:kern w:val="1"/>
          <w:lang w:val="es-ES" w:eastAsia="ar-SA"/>
        </w:rPr>
        <w:t xml:space="preserve"> 00/100 M.N</w:t>
      </w:r>
      <w:r w:rsidR="00D900CB">
        <w:rPr>
          <w:rFonts w:ascii="ITC Avant Garde" w:eastAsia="Times New Roman" w:hAnsi="ITC Avant Garde"/>
          <w:kern w:val="1"/>
          <w:lang w:val="es-ES" w:eastAsia="ar-SA"/>
        </w:rPr>
        <w:t>.</w:t>
      </w:r>
      <w:r w:rsidRPr="00F80E4F">
        <w:rPr>
          <w:rFonts w:ascii="ITC Avant Garde" w:eastAsia="Times New Roman" w:hAnsi="ITC Avant Garde"/>
          <w:kern w:val="1"/>
          <w:lang w:val="es-ES" w:eastAsia="ar-SA"/>
        </w:rPr>
        <w:t xml:space="preserve">), por concepto de contraprestación, situación que deberá realizar en un término de 30 (treinta) días hábiles posteriores al cumplimiento de lo establecido en el resolutivo anterior y bajo los extremos expuestos en el Considerando </w:t>
      </w:r>
      <w:r>
        <w:rPr>
          <w:rFonts w:ascii="ITC Avant Garde" w:eastAsia="Times New Roman" w:hAnsi="ITC Avant Garde"/>
          <w:kern w:val="1"/>
          <w:lang w:val="es-ES" w:eastAsia="ar-SA"/>
        </w:rPr>
        <w:t>Octavo</w:t>
      </w:r>
      <w:r w:rsidRPr="00F80E4F">
        <w:rPr>
          <w:rFonts w:ascii="ITC Avant Garde" w:eastAsia="Times New Roman" w:hAnsi="ITC Avant Garde"/>
          <w:kern w:val="1"/>
          <w:lang w:val="es-ES" w:eastAsia="ar-SA"/>
        </w:rPr>
        <w:t xml:space="preserve"> de la presente; plazo </w:t>
      </w:r>
      <w:r w:rsidRPr="00F80E4F">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p>
    <w:p w14:paraId="1A3D25E8" w14:textId="77777777" w:rsidR="00C55FC8" w:rsidRDefault="007336E4" w:rsidP="00C55FC8">
      <w:pPr>
        <w:suppressAutoHyphens/>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14:paraId="64C359D7" w14:textId="77777777" w:rsidR="00C55FC8" w:rsidRDefault="007336E4" w:rsidP="00C55FC8">
      <w:pPr>
        <w:suppressAutoHyphens/>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b/>
          <w:kern w:val="1"/>
          <w:lang w:val="es-ES" w:eastAsia="ar-SA"/>
        </w:rPr>
        <w:lastRenderedPageBreak/>
        <w:t>QUINTO</w:t>
      </w:r>
      <w:r w:rsidRPr="00F80E4F">
        <w:rPr>
          <w:rFonts w:ascii="ITC Avant Garde" w:eastAsia="Times New Roman" w:hAnsi="ITC Avant Garde"/>
          <w:kern w:val="1"/>
          <w:lang w:val="es-ES" w:eastAsia="ar-SA"/>
        </w:rPr>
        <w:t xml:space="preserve">.- En caso de que </w:t>
      </w:r>
      <w:r>
        <w:rPr>
          <w:rFonts w:ascii="ITC Avant Garde" w:eastAsia="Times New Roman" w:hAnsi="ITC Avant Garde"/>
          <w:kern w:val="1"/>
          <w:lang w:val="es-ES" w:eastAsia="ar-SA"/>
        </w:rPr>
        <w:t>e</w:t>
      </w:r>
      <w:r w:rsidRPr="00F80E4F">
        <w:rPr>
          <w:rFonts w:ascii="ITC Avant Garde" w:eastAsia="Times New Roman" w:hAnsi="ITC Avant Garde"/>
          <w:kern w:val="1"/>
          <w:lang w:val="es-ES" w:eastAsia="ar-SA"/>
        </w:rPr>
        <w:t>l Concesionario</w:t>
      </w:r>
      <w:r w:rsidRPr="00F80E4F">
        <w:rPr>
          <w:rFonts w:ascii="ITC Avant Garde" w:hAnsi="ITC Avant Garde"/>
          <w:color w:val="000000"/>
        </w:rPr>
        <w:t xml:space="preserve"> </w:t>
      </w:r>
      <w:r w:rsidRPr="00F80E4F">
        <w:rPr>
          <w:rFonts w:ascii="ITC Avant Garde" w:eastAsia="Times New Roman" w:hAnsi="ITC Avant Garde"/>
          <w:bCs/>
          <w:kern w:val="1"/>
          <w:lang w:eastAsia="ar-SA"/>
        </w:rPr>
        <w:t>no d</w:t>
      </w:r>
      <w:r>
        <w:rPr>
          <w:rFonts w:ascii="ITC Avant Garde" w:eastAsia="Times New Roman" w:hAnsi="ITC Avant Garde"/>
          <w:bCs/>
          <w:kern w:val="1"/>
          <w:lang w:eastAsia="ar-SA"/>
        </w:rPr>
        <w:t>é</w:t>
      </w:r>
      <w:r w:rsidRPr="00F80E4F">
        <w:rPr>
          <w:rFonts w:ascii="ITC Avant Garde" w:eastAsia="Times New Roman" w:hAnsi="ITC Avant Garde"/>
          <w:bCs/>
          <w:kern w:val="1"/>
          <w:lang w:eastAsia="ar-SA"/>
        </w:rPr>
        <w:t xml:space="preserve"> cumplimiento a lo señalado en los Resolutivos Tercero y Cuarto, la Prórroga correspondiente quedará sin efectos y la frecuencia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69543643" w14:textId="77777777" w:rsidR="00C55FC8" w:rsidRDefault="00B713EB" w:rsidP="00C55FC8">
      <w:pPr>
        <w:suppressAutoHyphens/>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b/>
          <w:kern w:val="1"/>
          <w:lang w:val="es-ES" w:eastAsia="ar-SA"/>
        </w:rPr>
        <w:t>SEXTO</w:t>
      </w:r>
      <w:r w:rsidRPr="00F80E4F">
        <w:rPr>
          <w:rFonts w:ascii="ITC Avant Garde" w:eastAsia="Times New Roman" w:hAnsi="ITC Avant Garde"/>
          <w:kern w:val="1"/>
          <w:lang w:val="es-ES" w:eastAsia="ar-SA"/>
        </w:rPr>
        <w:t>. -</w:t>
      </w:r>
      <w:r w:rsidR="007336E4" w:rsidRPr="00F80E4F">
        <w:rPr>
          <w:rFonts w:ascii="ITC Avant Garde" w:eastAsia="Times New Roman" w:hAnsi="ITC Avant Garde"/>
          <w:kern w:val="1"/>
          <w:lang w:val="es-ES" w:eastAsia="ar-SA"/>
        </w:rPr>
        <w:t xml:space="preserve"> Una vez satisfecho lo establecido en los Resolutivos Tercero y Cuarto, </w:t>
      </w:r>
      <w:r w:rsidR="007336E4">
        <w:rPr>
          <w:rFonts w:ascii="ITC Avant Garde" w:eastAsia="Times New Roman" w:hAnsi="ITC Avant Garde"/>
          <w:kern w:val="1"/>
          <w:lang w:val="es-ES" w:eastAsia="ar-SA"/>
        </w:rPr>
        <w:t>el</w:t>
      </w:r>
      <w:r w:rsidR="007336E4" w:rsidRPr="00F80E4F">
        <w:rPr>
          <w:rFonts w:ascii="ITC Avant Garde" w:eastAsia="Times New Roman" w:hAnsi="ITC Avant Garde"/>
          <w:bCs/>
          <w:kern w:val="1"/>
          <w:lang w:eastAsia="ar-SA"/>
        </w:rPr>
        <w:t xml:space="preserve"> Comisionad</w:t>
      </w:r>
      <w:r w:rsidR="007336E4">
        <w:rPr>
          <w:rFonts w:ascii="ITC Avant Garde" w:eastAsia="Times New Roman" w:hAnsi="ITC Avant Garde"/>
          <w:bCs/>
          <w:kern w:val="1"/>
          <w:lang w:eastAsia="ar-SA"/>
        </w:rPr>
        <w:t>o Presidente</w:t>
      </w:r>
      <w:r w:rsidR="007336E4" w:rsidRPr="00F80E4F">
        <w:rPr>
          <w:rFonts w:ascii="ITC Avant Garde" w:eastAsia="Times New Roman" w:hAnsi="ITC Avant Garde"/>
          <w:bCs/>
          <w:kern w:val="1"/>
          <w:lang w:eastAsia="ar-SA"/>
        </w:rPr>
        <w:t xml:space="preserve"> del Instituto, con base en las facultades que le confiere el artículo 14 fracción X del </w:t>
      </w:r>
      <w:r w:rsidR="007336E4" w:rsidRPr="00F80E4F">
        <w:rPr>
          <w:rFonts w:ascii="ITC Avant Garde" w:eastAsia="Times New Roman" w:hAnsi="ITC Avant Garde"/>
          <w:lang w:eastAsia="es-ES"/>
        </w:rPr>
        <w:t>Estatuto Orgánico del Instituto Federal de Telecomunicaciones</w:t>
      </w:r>
      <w:r w:rsidR="007336E4" w:rsidRPr="00F80E4F">
        <w:rPr>
          <w:rFonts w:ascii="ITC Avant Garde" w:eastAsia="Times New Roman" w:hAnsi="ITC Avant Garde"/>
          <w:bCs/>
          <w:kern w:val="1"/>
          <w:lang w:eastAsia="ar-SA"/>
        </w:rPr>
        <w:t xml:space="preserve">, suscribirá los títulos de Concesión </w:t>
      </w:r>
      <w:r w:rsidR="007336E4" w:rsidRPr="00F80E4F">
        <w:rPr>
          <w:rFonts w:ascii="ITC Avant Garde" w:eastAsia="Times New Roman" w:hAnsi="ITC Avant Garde"/>
          <w:bCs/>
          <w:kern w:val="1"/>
          <w:lang w:val="es-ES_tradnl" w:eastAsia="ar-SA"/>
        </w:rPr>
        <w:t>para usar, aprovechar y explotar bandas de frecuencia d</w:t>
      </w:r>
      <w:r w:rsidR="007336E4" w:rsidRPr="00F80E4F">
        <w:rPr>
          <w:rFonts w:ascii="ITC Avant Garde" w:eastAsia="Times New Roman" w:hAnsi="ITC Avant Garde"/>
          <w:lang w:val="es-ES_tradnl" w:eastAsia="es-ES"/>
        </w:rPr>
        <w:t>el espectro radioeléctrico para uso comercial</w:t>
      </w:r>
      <w:r w:rsidR="007336E4" w:rsidRPr="00F80E4F">
        <w:rPr>
          <w:rFonts w:ascii="ITC Avant Garde" w:hAnsi="ITC Avant Garde"/>
          <w:bCs/>
          <w:color w:val="000000" w:themeColor="text1"/>
          <w:lang w:eastAsia="es-MX"/>
        </w:rPr>
        <w:t xml:space="preserve"> y de Concesión Única</w:t>
      </w:r>
      <w:r w:rsidR="007336E4" w:rsidRPr="00F80E4F">
        <w:rPr>
          <w:rFonts w:ascii="ITC Avant Garde" w:eastAsia="Times New Roman" w:hAnsi="ITC Avant Garde"/>
          <w:bCs/>
          <w:kern w:val="1"/>
          <w:lang w:eastAsia="ar-SA"/>
        </w:rPr>
        <w:t xml:space="preserve"> correspondiente, que se otorguen con motivo de la presente Resolución.</w:t>
      </w:r>
    </w:p>
    <w:p w14:paraId="06889337" w14:textId="77777777" w:rsidR="00C55FC8" w:rsidRDefault="00B713EB" w:rsidP="00C55FC8">
      <w:pPr>
        <w:suppressAutoHyphens/>
        <w:spacing w:afterLines="120" w:after="288" w:line="276" w:lineRule="auto"/>
        <w:ind w:right="-62"/>
        <w:jc w:val="both"/>
        <w:rPr>
          <w:rFonts w:ascii="ITC Avant Garde" w:eastAsia="Times New Roman" w:hAnsi="ITC Avant Garde"/>
          <w:bCs/>
          <w:kern w:val="1"/>
          <w:lang w:eastAsia="ar-SA"/>
        </w:rPr>
      </w:pPr>
      <w:r w:rsidRPr="00F80E4F">
        <w:rPr>
          <w:rFonts w:ascii="ITC Avant Garde" w:eastAsia="Times New Roman" w:hAnsi="ITC Avant Garde"/>
          <w:b/>
          <w:bCs/>
          <w:kern w:val="1"/>
          <w:lang w:eastAsia="ar-SA"/>
        </w:rPr>
        <w:t>SÉPTIMO</w:t>
      </w:r>
      <w:r w:rsidRPr="00F80E4F">
        <w:rPr>
          <w:rFonts w:ascii="ITC Avant Garde" w:eastAsia="Times New Roman" w:hAnsi="ITC Avant Garde"/>
          <w:bCs/>
          <w:kern w:val="1"/>
          <w:lang w:eastAsia="ar-SA"/>
        </w:rPr>
        <w:t>. -</w:t>
      </w:r>
      <w:r w:rsidR="007336E4" w:rsidRPr="00F80E4F">
        <w:rPr>
          <w:rFonts w:ascii="ITC Avant Garde" w:eastAsia="Times New Roman" w:hAnsi="ITC Avant Garde"/>
          <w:bCs/>
          <w:kern w:val="1"/>
          <w:lang w:eastAsia="ar-SA"/>
        </w:rPr>
        <w:t xml:space="preserve"> Se instruye a la Unidad de Concesiones y Servicios a realizar la entrega de los títulos de </w:t>
      </w:r>
      <w:r w:rsidR="007336E4" w:rsidRPr="00F80E4F">
        <w:rPr>
          <w:rFonts w:ascii="ITC Avant Garde" w:hAnsi="ITC Avant Garde"/>
          <w:bCs/>
          <w:color w:val="000000" w:themeColor="text1"/>
          <w:lang w:eastAsia="es-MX"/>
        </w:rPr>
        <w:t xml:space="preserve">Concesión </w:t>
      </w:r>
      <w:r w:rsidR="007336E4" w:rsidRPr="00F80E4F">
        <w:rPr>
          <w:rFonts w:ascii="ITC Avant Garde" w:eastAsia="Times New Roman" w:hAnsi="ITC Avant Garde"/>
          <w:lang w:val="es-ES_tradnl" w:eastAsia="es-ES"/>
        </w:rPr>
        <w:t>para usar, aprovechar y explotar bandas de frecuencia del espectro radioeléctrico</w:t>
      </w:r>
      <w:r w:rsidR="007336E4" w:rsidRPr="00F80E4F">
        <w:rPr>
          <w:rFonts w:ascii="ITC Avant Garde" w:hAnsi="ITC Avant Garde"/>
          <w:bCs/>
          <w:color w:val="000000" w:themeColor="text1"/>
          <w:lang w:eastAsia="es-MX"/>
        </w:rPr>
        <w:t xml:space="preserve"> y de Concesión Única </w:t>
      </w:r>
      <w:r w:rsidR="007336E4" w:rsidRPr="00F80E4F">
        <w:rPr>
          <w:rFonts w:ascii="ITC Avant Garde" w:eastAsia="Times New Roman" w:hAnsi="ITC Avant Garde"/>
          <w:bCs/>
          <w:kern w:val="1"/>
          <w:lang w:eastAsia="ar-SA"/>
        </w:rPr>
        <w:t>que se otorguen con motivo de la presente Resolución.</w:t>
      </w:r>
    </w:p>
    <w:p w14:paraId="3147E669" w14:textId="77777777" w:rsidR="00C55FC8" w:rsidRDefault="007336E4" w:rsidP="00C55FC8">
      <w:pPr>
        <w:suppressAutoHyphens/>
        <w:spacing w:afterLines="120" w:after="288" w:line="276" w:lineRule="auto"/>
        <w:ind w:right="-62"/>
        <w:jc w:val="both"/>
        <w:rPr>
          <w:rFonts w:ascii="ITC Avant Garde" w:eastAsia="Times New Roman" w:hAnsi="ITC Avant Garde"/>
          <w:b/>
          <w:bCs/>
          <w:kern w:val="2"/>
          <w:lang w:eastAsia="ar-SA"/>
        </w:rPr>
      </w:pPr>
      <w:r w:rsidRPr="00F80E4F">
        <w:rPr>
          <w:rFonts w:ascii="ITC Avant Garde" w:eastAsia="Times New Roman" w:hAnsi="ITC Avant Garde"/>
          <w:b/>
          <w:bCs/>
          <w:kern w:val="2"/>
          <w:lang w:eastAsia="ar-SA"/>
        </w:rPr>
        <w:t>OCTAVO.-</w:t>
      </w:r>
      <w:r w:rsidRPr="003328A5">
        <w:rPr>
          <w:rFonts w:ascii="ITC Avant Garde" w:eastAsia="Times New Roman" w:hAnsi="ITC Avant Garde"/>
          <w:bCs/>
          <w:kern w:val="2"/>
          <w:lang w:eastAsia="ar-SA"/>
        </w:rPr>
        <w:t xml:space="preserve"> El</w:t>
      </w:r>
      <w:r w:rsidRPr="00F80E4F">
        <w:rPr>
          <w:rFonts w:ascii="ITC Avant Garde" w:eastAsia="Times New Roman" w:hAnsi="ITC Avant Garde"/>
          <w:bCs/>
          <w:kern w:val="2"/>
          <w:lang w:val="es-ES" w:eastAsia="ar-SA"/>
        </w:rPr>
        <w:t xml:space="preserve"> Concesionario</w:t>
      </w:r>
      <w:r w:rsidRPr="00F80E4F">
        <w:rPr>
          <w:rFonts w:ascii="ITC Avant Garde" w:eastAsia="Times New Roman" w:hAnsi="ITC Avant Garde"/>
          <w:bCs/>
          <w:kern w:val="2"/>
          <w:lang w:eastAsia="ar-SA"/>
        </w:rPr>
        <w:t>, en cumplimiento a lo establecido en el último párrafo del artículo 112 de la Ley Federal de Telecomunicaciones y Radiodifusión, en un plazo no mayor de 90 (noventa) días hábiles contados a partir de la fecha de la entrega de los títulos de concesión a que se refiere la presente Resolución, deberá presentar ante el Instituto Federal de Telecomunicaciones, copia certificada del instrumento donde conste que se llev</w:t>
      </w:r>
      <w:r>
        <w:rPr>
          <w:rFonts w:ascii="ITC Avant Garde" w:eastAsia="Times New Roman" w:hAnsi="ITC Avant Garde"/>
          <w:bCs/>
          <w:kern w:val="2"/>
          <w:lang w:eastAsia="ar-SA"/>
        </w:rPr>
        <w:t>aron</w:t>
      </w:r>
      <w:r w:rsidRPr="00F80E4F">
        <w:rPr>
          <w:rFonts w:ascii="ITC Avant Garde" w:eastAsia="Times New Roman" w:hAnsi="ITC Avant Garde"/>
          <w:bCs/>
          <w:kern w:val="2"/>
          <w:lang w:eastAsia="ar-SA"/>
        </w:rPr>
        <w:t xml:space="preserve"> a cabo las modificaciones correspondientes a sus estatutos sociales.</w:t>
      </w:r>
    </w:p>
    <w:p w14:paraId="0E6DE057" w14:textId="77777777" w:rsidR="00C55FC8" w:rsidRDefault="00B713EB" w:rsidP="00C55FC8">
      <w:pPr>
        <w:autoSpaceDE w:val="0"/>
        <w:adjustRightInd w:val="0"/>
        <w:spacing w:afterLines="120" w:after="288" w:line="276" w:lineRule="auto"/>
        <w:jc w:val="both"/>
        <w:rPr>
          <w:rFonts w:ascii="ITC Avant Garde" w:eastAsia="Times New Roman" w:hAnsi="ITC Avant Garde"/>
          <w:bCs/>
          <w:kern w:val="2"/>
          <w:lang w:val="es-ES_tradnl" w:eastAsia="ar-SA"/>
        </w:rPr>
      </w:pPr>
      <w:r w:rsidRPr="00F80E4F">
        <w:rPr>
          <w:rFonts w:ascii="ITC Avant Garde" w:eastAsia="Times New Roman" w:hAnsi="ITC Avant Garde"/>
          <w:b/>
          <w:bCs/>
          <w:kern w:val="2"/>
          <w:lang w:eastAsia="ar-SA"/>
        </w:rPr>
        <w:t>NOVENO. -</w:t>
      </w:r>
      <w:r w:rsidR="007336E4" w:rsidRPr="00F80E4F">
        <w:rPr>
          <w:rFonts w:ascii="ITC Avant Garde" w:eastAsia="Times New Roman" w:hAnsi="ITC Avant Garde"/>
          <w:b/>
          <w:bCs/>
          <w:kern w:val="2"/>
          <w:lang w:eastAsia="ar-SA"/>
        </w:rPr>
        <w:t xml:space="preserve"> </w:t>
      </w:r>
      <w:r w:rsidR="007336E4" w:rsidRPr="00F80E4F">
        <w:rPr>
          <w:rFonts w:ascii="ITC Avant Garde" w:eastAsia="Times New Roman" w:hAnsi="ITC Avant Garde"/>
          <w:bCs/>
          <w:kern w:val="2"/>
          <w:lang w:val="es-ES_tradnl" w:eastAsia="ar-SA"/>
        </w:rPr>
        <w:t>Inscríbanse en el Registro Público de Concesiones</w:t>
      </w:r>
      <w:r w:rsidR="007336E4">
        <w:rPr>
          <w:rFonts w:ascii="ITC Avant Garde" w:eastAsia="Times New Roman" w:hAnsi="ITC Avant Garde"/>
          <w:bCs/>
          <w:kern w:val="2"/>
          <w:lang w:val="es-ES_tradnl" w:eastAsia="ar-SA"/>
        </w:rPr>
        <w:t xml:space="preserve"> e</w:t>
      </w:r>
      <w:r w:rsidR="007336E4" w:rsidRPr="00F80E4F">
        <w:rPr>
          <w:rFonts w:ascii="ITC Avant Garde" w:eastAsia="Times New Roman" w:hAnsi="ITC Avant Garde"/>
          <w:bCs/>
          <w:kern w:val="2"/>
          <w:lang w:val="es-ES_tradnl" w:eastAsia="ar-SA"/>
        </w:rPr>
        <w:t xml:space="preserve">l </w:t>
      </w:r>
      <w:r w:rsidR="007336E4" w:rsidRPr="00F80E4F">
        <w:rPr>
          <w:rFonts w:ascii="ITC Avant Garde" w:eastAsia="Times New Roman" w:hAnsi="ITC Avant Garde"/>
          <w:bCs/>
          <w:kern w:val="2"/>
          <w:lang w:eastAsia="ar-SA"/>
        </w:rPr>
        <w:t xml:space="preserve">título de </w:t>
      </w:r>
      <w:r w:rsidR="007336E4" w:rsidRPr="00F80E4F">
        <w:rPr>
          <w:rFonts w:ascii="ITC Avant Garde" w:eastAsia="Times New Roman" w:hAnsi="ITC Avant Garde"/>
          <w:bCs/>
          <w:kern w:val="2"/>
          <w:lang w:val="es-ES" w:eastAsia="ar-SA"/>
        </w:rPr>
        <w:t>Concesión</w:t>
      </w:r>
      <w:r w:rsidR="007336E4" w:rsidRPr="00F80E4F">
        <w:rPr>
          <w:rFonts w:ascii="ITC Avant Garde" w:eastAsia="Times New Roman" w:hAnsi="ITC Avant Garde"/>
          <w:bCs/>
          <w:kern w:val="2"/>
          <w:lang w:eastAsia="ar-SA"/>
        </w:rPr>
        <w:t xml:space="preserve"> Única para uso comercial</w:t>
      </w:r>
      <w:r w:rsidR="007336E4" w:rsidRPr="00F80E4F">
        <w:rPr>
          <w:rFonts w:ascii="ITC Avant Garde" w:eastAsia="Times New Roman" w:hAnsi="ITC Avant Garde"/>
          <w:bCs/>
          <w:kern w:val="2"/>
          <w:lang w:val="es-ES_tradnl" w:eastAsia="ar-SA"/>
        </w:rPr>
        <w:t xml:space="preserve">, así como </w:t>
      </w:r>
      <w:r w:rsidR="007336E4">
        <w:rPr>
          <w:rFonts w:ascii="ITC Avant Garde" w:eastAsia="Times New Roman" w:hAnsi="ITC Avant Garde"/>
          <w:bCs/>
          <w:kern w:val="2"/>
          <w:lang w:val="es-ES_tradnl" w:eastAsia="ar-SA"/>
        </w:rPr>
        <w:t>e</w:t>
      </w:r>
      <w:r w:rsidR="007336E4" w:rsidRPr="00F80E4F">
        <w:rPr>
          <w:rFonts w:ascii="ITC Avant Garde" w:eastAsia="Times New Roman" w:hAnsi="ITC Avant Garde"/>
          <w:bCs/>
          <w:kern w:val="2"/>
          <w:lang w:val="es-ES_tradnl" w:eastAsia="ar-SA"/>
        </w:rPr>
        <w:t xml:space="preserve">l título de concesión para usar, aprovechar y explotar bandas de frecuencias del espectro radioeléctrico para uso comercial a que se refiere la presente Resolución, una vez que sean debidamente notificados y entregados al interesado. </w:t>
      </w:r>
    </w:p>
    <w:p w14:paraId="59B78DCE" w14:textId="77777777" w:rsidR="00C55FC8" w:rsidRDefault="007336E4" w:rsidP="00C55FC8">
      <w:pPr>
        <w:suppressAutoHyphens/>
        <w:spacing w:afterLines="120" w:after="288" w:line="276" w:lineRule="auto"/>
        <w:ind w:right="-62"/>
        <w:jc w:val="both"/>
        <w:rPr>
          <w:rFonts w:ascii="ITC Avant Garde" w:eastAsia="Times New Roman" w:hAnsi="ITC Avant Garde"/>
          <w:bCs/>
          <w:kern w:val="2"/>
          <w:lang w:val="es-ES_tradnl" w:eastAsia="ar-SA"/>
        </w:rPr>
      </w:pPr>
      <w:r w:rsidRPr="00F80E4F">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0A38FAC5" w14:textId="77777777" w:rsidR="001932A6" w:rsidRDefault="008F0BD7" w:rsidP="00C55FC8">
      <w:pPr>
        <w:spacing w:afterLines="120" w:after="288" w:line="240" w:lineRule="auto"/>
        <w:jc w:val="both"/>
        <w:rPr>
          <w:rFonts w:ascii="ITC Avant Garde" w:hAnsi="ITC Avant Garde"/>
          <w:color w:val="000000" w:themeColor="text1"/>
          <w:sz w:val="14"/>
          <w:lang w:eastAsia="es-MX"/>
        </w:rPr>
        <w:sectPr w:rsidR="001932A6" w:rsidSect="00F0000C">
          <w:headerReference w:type="even" r:id="rId7"/>
          <w:footerReference w:type="default" r:id="rId8"/>
          <w:headerReference w:type="first" r:id="rId9"/>
          <w:pgSz w:w="12240" w:h="15840"/>
          <w:pgMar w:top="1985" w:right="1418" w:bottom="1418" w:left="1418" w:header="709" w:footer="782" w:gutter="0"/>
          <w:cols w:space="708"/>
          <w:docGrid w:linePitch="360"/>
        </w:sectPr>
      </w:pPr>
      <w:r w:rsidRPr="008F0BD7">
        <w:rPr>
          <w:rFonts w:ascii="ITC Avant Garde" w:hAnsi="ITC Avant Garde"/>
          <w:color w:val="000000" w:themeColor="text1"/>
          <w:sz w:val="14"/>
          <w:lang w:val="es-ES" w:eastAsia="es-ES"/>
        </w:rPr>
        <w:t xml:space="preserve">La presente Resolución fue aprobada por el Pleno del Instituto Federal de Telecomunicaciones en su III Sesión Ordinaria celebrada el 31 de enero de 2018, </w:t>
      </w:r>
      <w:r w:rsidRPr="008F0BD7">
        <w:rPr>
          <w:rFonts w:ascii="ITC Avant Garde" w:hAnsi="ITC Avant Garde"/>
          <w:bCs/>
          <w:color w:val="000000" w:themeColor="text1"/>
          <w:sz w:val="14"/>
          <w:lang w:val="es-ES" w:eastAsia="es-ES"/>
        </w:rPr>
        <w:t>por</w:t>
      </w:r>
      <w:r w:rsidRPr="008F0BD7">
        <w:rPr>
          <w:rFonts w:ascii="ITC Avant Garde" w:hAnsi="ITC Avant Garde"/>
          <w:color w:val="000000" w:themeColor="text1"/>
          <w:sz w:val="14"/>
          <w:lang w:val="es-ES" w:eastAsia="es-ES"/>
        </w:rPr>
        <w:t xml:space="preserve"> </w:t>
      </w:r>
      <w:r w:rsidRPr="008F0BD7">
        <w:rPr>
          <w:rFonts w:ascii="ITC Avant Garde" w:hAnsi="ITC Avant Garde"/>
          <w:bCs/>
          <w:color w:val="000000" w:themeColor="text1"/>
          <w:sz w:val="14"/>
          <w:lang w:val="es-ES" w:eastAsia="es-ES"/>
        </w:rPr>
        <w:t>mayoría</w:t>
      </w:r>
      <w:r w:rsidRPr="008F0BD7">
        <w:rPr>
          <w:rFonts w:ascii="ITC Avant Garde" w:hAnsi="ITC Avant Garde"/>
          <w:color w:val="000000" w:themeColor="text1"/>
          <w:sz w:val="14"/>
          <w:lang w:val="es-ES" w:eastAsia="es-ES"/>
        </w:rPr>
        <w:t xml:space="preserve"> de votos de los Comisionados Gabriel Oswaldo Contreras Saldívar, </w:t>
      </w:r>
      <w:r w:rsidRPr="008F0BD7">
        <w:rPr>
          <w:rFonts w:ascii="ITC Avant Garde" w:hAnsi="ITC Avant Garde"/>
          <w:color w:val="000000" w:themeColor="text1"/>
          <w:sz w:val="14"/>
          <w:lang w:eastAsia="es-MX"/>
        </w:rPr>
        <w:t>Mario Germán Fromow Rangel, Javier Juárez Mojica y Arturo Robles Rovalo; y con el voto en contra de los Comisionados Adriana Sofía Labardini Inzunza, María Elena Estavillo Flores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P/IFT/310118/56.</w:t>
      </w:r>
    </w:p>
    <w:p w14:paraId="0A8F1761" w14:textId="3009B708" w:rsidR="00825D13" w:rsidRPr="00AF310C" w:rsidRDefault="00AF310C" w:rsidP="00553FC4">
      <w:pPr>
        <w:pStyle w:val="Ttulo1"/>
        <w:spacing w:before="0" w:after="360"/>
        <w:jc w:val="center"/>
        <w:rPr>
          <w:rFonts w:ascii="ITC Avant Garde" w:hAnsi="ITC Avant Garde"/>
          <w:b/>
          <w:color w:val="auto"/>
          <w:sz w:val="22"/>
          <w:szCs w:val="22"/>
        </w:rPr>
      </w:pPr>
      <w:r w:rsidRPr="00AF310C">
        <w:rPr>
          <w:rFonts w:ascii="ITC Avant Garde" w:hAnsi="ITC Avant Garde"/>
          <w:b/>
          <w:color w:val="auto"/>
          <w:sz w:val="22"/>
          <w:szCs w:val="22"/>
        </w:rPr>
        <w:lastRenderedPageBreak/>
        <w:t>ANEXO 1.</w:t>
      </w:r>
    </w:p>
    <w:p w14:paraId="3A4A25D9" w14:textId="77777777" w:rsidR="00AF310C" w:rsidRPr="00AF310C" w:rsidRDefault="00AF310C" w:rsidP="00AF310C">
      <w:pPr>
        <w:keepNext/>
        <w:suppressAutoHyphens/>
        <w:spacing w:afterLines="120" w:after="288" w:line="276" w:lineRule="auto"/>
        <w:jc w:val="both"/>
        <w:rPr>
          <w:rFonts w:ascii="ITC Avant Garde" w:eastAsia="Calibri" w:hAnsi="ITC Avant Garde" w:cs="Times New Roman"/>
          <w:b/>
        </w:rPr>
      </w:pPr>
      <w:r w:rsidRPr="00AF310C">
        <w:rPr>
          <w:rFonts w:ascii="ITC Avant Garde" w:eastAsia="Calibri" w:hAnsi="ITC Avant Garde" w:cs="Times New Roman"/>
          <w:b/>
        </w:rPr>
        <w:t xml:space="preserve">MODELO DE TÍTULO DE CONCESIÓN PARA USAR, APROVECHAR Y EXPLOTAR BANDAS DE FRECUENCIAS DEL ESPECTRO RADIOELÉCTRICO PARA USO COMERCIAL QUE OTORGA EL INSTITUTO FEDERAL DE TELECOMUNICACIONES, A FAVOR DE </w:t>
      </w:r>
      <w:r w:rsidRPr="00AF310C">
        <w:rPr>
          <w:rFonts w:ascii="ITC Avant Garde" w:eastAsia="Calibri" w:hAnsi="ITC Avant Garde" w:cs="Times New Roman"/>
          <w:b/>
          <w:color w:val="00B0F0"/>
        </w:rPr>
        <w:t>(…)</w:t>
      </w:r>
      <w:r w:rsidRPr="00AF310C">
        <w:rPr>
          <w:rFonts w:ascii="ITC Avant Garde" w:eastAsia="Calibri" w:hAnsi="ITC Avant Garde" w:cs="Times New Roman"/>
          <w:b/>
        </w:rPr>
        <w:t>, DE CONFORMIDAD CON LOS SIGUIENTES:</w:t>
      </w:r>
    </w:p>
    <w:p w14:paraId="499ACE2C" w14:textId="77777777" w:rsidR="00AF310C" w:rsidRPr="00AF310C" w:rsidRDefault="00AF310C" w:rsidP="00AF310C">
      <w:pPr>
        <w:spacing w:afterLines="120" w:after="288" w:line="276" w:lineRule="auto"/>
        <w:jc w:val="center"/>
        <w:rPr>
          <w:rFonts w:ascii="ITC Avant Garde" w:eastAsia="Calibri" w:hAnsi="ITC Avant Garde" w:cs="Times New Roman"/>
          <w:b/>
        </w:rPr>
      </w:pPr>
      <w:r w:rsidRPr="00AF310C">
        <w:rPr>
          <w:rFonts w:ascii="ITC Avant Garde" w:eastAsia="Calibri" w:hAnsi="ITC Avant Garde" w:cs="Times New Roman"/>
          <w:b/>
          <w:bCs/>
          <w:color w:val="000000"/>
        </w:rPr>
        <w:t>ANTECEDENTES</w:t>
      </w:r>
    </w:p>
    <w:p w14:paraId="52E44DBE" w14:textId="77777777" w:rsidR="00AF310C" w:rsidRPr="00AF310C" w:rsidRDefault="00AF310C" w:rsidP="00AF310C">
      <w:pPr>
        <w:numPr>
          <w:ilvl w:val="0"/>
          <w:numId w:val="33"/>
        </w:numPr>
        <w:spacing w:afterLines="120" w:after="288" w:line="276" w:lineRule="auto"/>
        <w:ind w:left="567" w:hanging="567"/>
        <w:jc w:val="both"/>
        <w:rPr>
          <w:rFonts w:ascii="ITC Avant Garde" w:eastAsia="Times New Roman" w:hAnsi="ITC Avant Garde" w:cs="Times New Roman"/>
          <w:lang w:eastAsia="es-MX"/>
        </w:rPr>
      </w:pPr>
      <w:r w:rsidRPr="00AF310C">
        <w:rPr>
          <w:rFonts w:ascii="ITC Avant Garde" w:eastAsia="Times New Roman" w:hAnsi="ITC Avant Garde" w:cs="Times New Roman"/>
          <w:lang w:eastAsia="es-MX"/>
        </w:rPr>
        <w:t xml:space="preserve">Mediante oficio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lang w:eastAsia="es-MX"/>
        </w:rPr>
        <w:t xml:space="preserve"> de fecha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lang w:eastAsia="es-MX"/>
        </w:rPr>
        <w:t xml:space="preserve">, la extinta Comisión Federal de Telecomunicaciones, autorizó al concesionario el cambio de la frecuencia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lang w:eastAsia="es-MX"/>
        </w:rPr>
        <w:t xml:space="preserve">, por la frecuencia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lang w:eastAsia="es-MX"/>
        </w:rPr>
        <w:t xml:space="preserve">, en términos de lo establecido en el </w:t>
      </w:r>
      <w:r w:rsidRPr="00AF310C">
        <w:rPr>
          <w:rFonts w:ascii="ITC Avant Garde" w:eastAsia="Times New Roman" w:hAnsi="ITC Avant Garde" w:cs="Times New Roman"/>
          <w:i/>
          <w:lang w:eastAsia="es-MX"/>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AF310C">
        <w:rPr>
          <w:rFonts w:ascii="ITC Avant Garde" w:eastAsia="Times New Roman" w:hAnsi="ITC Avant Garde" w:cs="Times New Roman"/>
          <w:lang w:eastAsia="es-ES"/>
        </w:rPr>
        <w:t>publicado en el Diario Oficial de la Federación el 15 de septiembre de 2008</w:t>
      </w:r>
      <w:r w:rsidRPr="00AF310C">
        <w:rPr>
          <w:rFonts w:ascii="ITC Avant Garde" w:eastAsia="Times New Roman" w:hAnsi="ITC Avant Garde" w:cs="Times New Roman"/>
          <w:lang w:eastAsia="es-MX"/>
        </w:rPr>
        <w:t>.</w:t>
      </w:r>
    </w:p>
    <w:p w14:paraId="1B87511C" w14:textId="77777777" w:rsidR="00AF310C" w:rsidRPr="00AF310C" w:rsidRDefault="00AF310C" w:rsidP="00AF310C">
      <w:pPr>
        <w:numPr>
          <w:ilvl w:val="0"/>
          <w:numId w:val="33"/>
        </w:numPr>
        <w:spacing w:afterLines="120" w:after="288" w:line="276" w:lineRule="auto"/>
        <w:ind w:left="567" w:hanging="567"/>
        <w:jc w:val="both"/>
        <w:rPr>
          <w:rFonts w:ascii="ITC Avant Garde" w:eastAsia="Times New Roman" w:hAnsi="ITC Avant Garde" w:cs="Times New Roman"/>
          <w:lang w:eastAsia="es-MX"/>
        </w:rPr>
      </w:pPr>
      <w:r w:rsidRPr="00AF310C">
        <w:rPr>
          <w:rFonts w:ascii="ITC Avant Garde" w:eastAsia="Times New Roman" w:hAnsi="ITC Avant Garde" w:cs="Times New Roman"/>
          <w:lang w:eastAsia="es-MX"/>
        </w:rPr>
        <w:t>Mediante escrito presentado el</w:t>
      </w:r>
      <w:r w:rsidRPr="00AF310C">
        <w:rPr>
          <w:rFonts w:ascii="ITC Avant Garde" w:eastAsia="Times New Roman" w:hAnsi="ITC Avant Garde" w:cs="Times New Roman"/>
          <w:bCs/>
          <w:lang w:eastAsia="es-MX"/>
        </w:rPr>
        <w:t xml:space="preserve">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bCs/>
          <w:lang w:eastAsia="es-MX"/>
        </w:rPr>
        <w:t xml:space="preserve">, </w:t>
      </w:r>
      <w:r w:rsidRPr="00AF310C">
        <w:rPr>
          <w:rFonts w:ascii="ITC Avant Garde" w:eastAsia="Times New Roman" w:hAnsi="ITC Avant Garde" w:cs="Times New Roman"/>
          <w:b/>
          <w:color w:val="00B0F0"/>
          <w:sz w:val="24"/>
          <w:szCs w:val="24"/>
          <w:lang w:eastAsia="es-MX"/>
        </w:rPr>
        <w:t xml:space="preserve">(…) </w:t>
      </w:r>
      <w:r w:rsidRPr="00AF310C">
        <w:rPr>
          <w:rFonts w:ascii="ITC Avant Garde" w:eastAsia="Times New Roman" w:hAnsi="ITC Avant Garde" w:cs="Times New Roman"/>
          <w:bCs/>
          <w:lang w:eastAsia="es-MX"/>
        </w:rPr>
        <w:t xml:space="preserve">solicitó la prórroga del título de concesión para continuar explotando comercialmente la frecuencia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bCs/>
          <w:lang w:eastAsia="es-MX"/>
        </w:rPr>
        <w:t xml:space="preserve">, a través de la estación con distintivo de llamada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lang w:eastAsia="es-MX"/>
        </w:rPr>
        <w:t xml:space="preserve">, en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bCs/>
          <w:lang w:eastAsia="es-MX"/>
        </w:rPr>
        <w:t xml:space="preserve">; que le fue otorgado en fecha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bCs/>
          <w:lang w:eastAsia="es-MX"/>
        </w:rPr>
        <w:t xml:space="preserve">, </w:t>
      </w:r>
      <w:r w:rsidRPr="00AF310C">
        <w:rPr>
          <w:rFonts w:ascii="ITC Avant Garde" w:eastAsia="Times New Roman" w:hAnsi="ITC Avant Garde" w:cs="Times New Roman"/>
          <w:lang w:eastAsia="es-MX"/>
        </w:rPr>
        <w:t xml:space="preserve">con vigencia de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lang w:eastAsia="es-MX"/>
        </w:rPr>
        <w:t xml:space="preserve"> años, contados a partir del día </w:t>
      </w:r>
      <w:r w:rsidRPr="00AF310C">
        <w:rPr>
          <w:rFonts w:ascii="ITC Avant Garde" w:eastAsia="Times New Roman" w:hAnsi="ITC Avant Garde" w:cs="Times New Roman"/>
          <w:b/>
          <w:color w:val="00B0F0"/>
          <w:sz w:val="24"/>
          <w:szCs w:val="24"/>
          <w:lang w:eastAsia="es-MX"/>
        </w:rPr>
        <w:t>(…)</w:t>
      </w:r>
      <w:r w:rsidRPr="00AF310C">
        <w:rPr>
          <w:rFonts w:ascii="ITC Avant Garde" w:eastAsia="Times New Roman" w:hAnsi="ITC Avant Garde" w:cs="Times New Roman"/>
          <w:lang w:eastAsia="es-MX"/>
        </w:rPr>
        <w:t xml:space="preserve"> y vencimiento el </w:t>
      </w:r>
      <w:r w:rsidRPr="00AF310C">
        <w:rPr>
          <w:rFonts w:ascii="ITC Avant Garde" w:eastAsia="Times New Roman" w:hAnsi="ITC Avant Garde" w:cs="Times New Roman"/>
          <w:b/>
          <w:color w:val="00B0F0"/>
          <w:sz w:val="24"/>
          <w:szCs w:val="24"/>
          <w:lang w:eastAsia="es-MX"/>
        </w:rPr>
        <w:t>(…)</w:t>
      </w:r>
    </w:p>
    <w:p w14:paraId="313F65E8" w14:textId="77777777" w:rsidR="00AF310C" w:rsidRPr="00AF310C" w:rsidRDefault="00AF310C" w:rsidP="00AF310C">
      <w:pPr>
        <w:numPr>
          <w:ilvl w:val="0"/>
          <w:numId w:val="33"/>
        </w:numPr>
        <w:spacing w:afterLines="120" w:after="288" w:line="276" w:lineRule="auto"/>
        <w:ind w:left="567" w:hanging="567"/>
        <w:jc w:val="both"/>
        <w:rPr>
          <w:rFonts w:ascii="ITC Avant Garde" w:eastAsia="Times New Roman" w:hAnsi="ITC Avant Garde" w:cs="Times New Roman"/>
          <w:lang w:val="es-ES_tradnl" w:eastAsia="es-MX"/>
        </w:rPr>
      </w:pPr>
      <w:r w:rsidRPr="00AF310C">
        <w:rPr>
          <w:rFonts w:ascii="ITC Avant Garde" w:eastAsia="Times New Roman" w:hAnsi="ITC Avant Garde" w:cs="Times New Roman"/>
          <w:lang w:eastAsia="es-ES"/>
        </w:rPr>
        <w:t xml:space="preserve">El Pleno del Instituto Federal de Telecomunicaciones, mediante Acuerdo </w:t>
      </w:r>
      <w:r w:rsidRPr="00AF310C">
        <w:rPr>
          <w:rFonts w:ascii="ITC Avant Garde" w:eastAsia="Times New Roman" w:hAnsi="ITC Avant Garde" w:cs="Times New Roman"/>
          <w:b/>
          <w:color w:val="00B0F0"/>
          <w:sz w:val="20"/>
          <w:szCs w:val="20"/>
          <w:lang w:val="es-ES_tradnl" w:eastAsia="es-ES"/>
        </w:rPr>
        <w:t>(…)</w:t>
      </w:r>
      <w:r w:rsidRPr="00AF310C">
        <w:rPr>
          <w:rFonts w:ascii="ITC Avant Garde" w:eastAsia="Times New Roman" w:hAnsi="ITC Avant Garde" w:cs="Times New Roman"/>
          <w:lang w:eastAsia="es-ES"/>
        </w:rPr>
        <w:t xml:space="preserve"> de fecha </w:t>
      </w:r>
      <w:r w:rsidRPr="00AF310C">
        <w:rPr>
          <w:rFonts w:ascii="ITC Avant Garde" w:eastAsia="Times New Roman" w:hAnsi="ITC Avant Garde" w:cs="Times New Roman"/>
          <w:b/>
          <w:color w:val="00B0F0"/>
          <w:sz w:val="20"/>
          <w:szCs w:val="20"/>
          <w:lang w:val="es-ES_tradnl" w:eastAsia="es-ES"/>
        </w:rPr>
        <w:t>(…)</w:t>
      </w:r>
      <w:r w:rsidRPr="00AF310C">
        <w:rPr>
          <w:rFonts w:ascii="ITC Avant Garde" w:eastAsia="Times New Roman" w:hAnsi="ITC Avant Garde" w:cs="Times New Roman"/>
          <w:lang w:eastAsia="es-ES"/>
        </w:rPr>
        <w:t xml:space="preserve">, </w:t>
      </w:r>
      <w:r w:rsidRPr="00AF310C">
        <w:rPr>
          <w:rFonts w:ascii="ITC Avant Garde" w:eastAsia="Times New Roman" w:hAnsi="ITC Avant Garde" w:cs="Times New Roman"/>
          <w:lang w:val="es-ES_tradnl" w:eastAsia="es-ES"/>
        </w:rPr>
        <w:t>resolvió procedente la solicitud de prórroga de la Concesión referida en el Antecedente II</w:t>
      </w:r>
      <w:r w:rsidRPr="00AF310C">
        <w:rPr>
          <w:rFonts w:ascii="ITC Avant Garde" w:eastAsia="Times New Roman" w:hAnsi="ITC Avant Garde" w:cs="Times New Roman"/>
          <w:lang w:eastAsia="es-ES"/>
        </w:rPr>
        <w:t xml:space="preserve"> y como consecuencia otorgar una Concesión </w:t>
      </w:r>
      <w:r w:rsidRPr="00AF310C">
        <w:rPr>
          <w:rFonts w:ascii="ITC Avant Garde" w:eastAsia="Times New Roman" w:hAnsi="ITC Avant Garde" w:cs="Times New Roman"/>
          <w:bCs/>
          <w:lang w:eastAsia="es-ES"/>
        </w:rPr>
        <w:t xml:space="preserve">para usar, aprovechar y explotar bandas de frecuencias </w:t>
      </w:r>
      <w:r w:rsidRPr="00AF310C">
        <w:rPr>
          <w:rFonts w:ascii="ITC Avant Garde" w:eastAsia="Times New Roman" w:hAnsi="ITC Avant Garde" w:cs="Times New Roman"/>
          <w:lang w:eastAsia="es-ES"/>
        </w:rPr>
        <w:t xml:space="preserve">del espectro radioeléctrico para uso comercial, </w:t>
      </w:r>
      <w:r w:rsidRPr="00AF310C">
        <w:rPr>
          <w:rFonts w:ascii="ITC Avant Garde" w:eastAsia="Times New Roman" w:hAnsi="ITC Avant Garde" w:cs="Times New Roman"/>
          <w:lang w:val="es-ES_tradnl" w:eastAsia="es-ES"/>
        </w:rPr>
        <w:t xml:space="preserve">a favor de </w:t>
      </w:r>
      <w:r w:rsidRPr="00AF310C">
        <w:rPr>
          <w:rFonts w:ascii="ITC Avant Garde" w:eastAsia="Times New Roman" w:hAnsi="ITC Avant Garde" w:cs="Times New Roman"/>
          <w:b/>
          <w:color w:val="00B0F0"/>
          <w:sz w:val="20"/>
          <w:szCs w:val="20"/>
          <w:lang w:val="es-ES_tradnl" w:eastAsia="es-ES"/>
        </w:rPr>
        <w:t>(…)</w:t>
      </w:r>
      <w:r w:rsidRPr="00AF310C">
        <w:rPr>
          <w:rFonts w:ascii="ITC Avant Garde" w:eastAsia="Times New Roman" w:hAnsi="ITC Avant Garde" w:cs="Times New Roman"/>
          <w:bCs/>
          <w:lang w:val="es-ES_tradnl" w:eastAsia="es-ES"/>
        </w:rPr>
        <w:t>.</w:t>
      </w:r>
    </w:p>
    <w:p w14:paraId="68353ABD" w14:textId="77777777" w:rsidR="00AF310C" w:rsidRPr="00AF310C" w:rsidRDefault="00AF310C" w:rsidP="00AF310C">
      <w:pPr>
        <w:spacing w:afterLines="120" w:after="288" w:line="276" w:lineRule="auto"/>
        <w:jc w:val="both"/>
        <w:rPr>
          <w:rFonts w:ascii="ITC Avant Garde" w:eastAsia="Calibri" w:hAnsi="ITC Avant Garde" w:cs="Times New Roman"/>
          <w:bCs/>
          <w:lang w:eastAsia="es-MX"/>
        </w:rPr>
      </w:pPr>
      <w:r w:rsidRPr="00AF310C">
        <w:rPr>
          <w:rFonts w:ascii="ITC Avant Garde" w:eastAsia="Calibri" w:hAnsi="ITC Avant Garde" w:cs="Times New Roman"/>
          <w:lang w:eastAsia="es-MX"/>
        </w:rPr>
        <w:t>Derivado de lo anterior, con fundamento en los artículos 27 párrafos cuarto y sexto, 28 párrafos décimo quinto, décimo sexto, décimo séptimo y décimo octavo y 134 de la Constitución Política de los Estados Unidos Mexicanos;</w:t>
      </w:r>
      <w:r w:rsidRPr="00AF310C">
        <w:rPr>
          <w:rFonts w:ascii="ITC Avant Garde" w:eastAsia="Calibri" w:hAnsi="ITC Avant Garde" w:cs="Times New Roman"/>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5D1B4D1C" w14:textId="77777777" w:rsidR="00AF310C" w:rsidRPr="00AF310C" w:rsidRDefault="00AF310C" w:rsidP="00AF310C">
      <w:pPr>
        <w:spacing w:afterLines="120" w:after="288" w:line="276" w:lineRule="auto"/>
        <w:jc w:val="center"/>
        <w:rPr>
          <w:rFonts w:ascii="ITC Avant Garde" w:eastAsia="Calibri" w:hAnsi="ITC Avant Garde" w:cs="Times New Roman"/>
          <w:b/>
        </w:rPr>
      </w:pPr>
      <w:r w:rsidRPr="00AF310C">
        <w:rPr>
          <w:rFonts w:ascii="ITC Avant Garde" w:eastAsia="Calibri" w:hAnsi="ITC Avant Garde" w:cs="Times New Roman"/>
          <w:b/>
        </w:rPr>
        <w:lastRenderedPageBreak/>
        <w:t>CONDICIONES</w:t>
      </w:r>
    </w:p>
    <w:p w14:paraId="7B6A0CF3" w14:textId="77777777" w:rsidR="00AF310C" w:rsidRPr="00AF310C" w:rsidRDefault="00AF310C" w:rsidP="00AF310C">
      <w:pPr>
        <w:spacing w:afterLines="120" w:after="288" w:line="276" w:lineRule="auto"/>
        <w:jc w:val="center"/>
        <w:rPr>
          <w:rFonts w:ascii="ITC Avant Garde" w:eastAsia="Times New Roman" w:hAnsi="ITC Avant Garde" w:cs="Times New Roman"/>
          <w:b/>
          <w:bCs/>
          <w:lang w:eastAsia="es-MX"/>
        </w:rPr>
      </w:pPr>
      <w:r w:rsidRPr="00AF310C">
        <w:rPr>
          <w:rFonts w:ascii="ITC Avant Garde" w:eastAsia="Times New Roman" w:hAnsi="ITC Avant Garde" w:cs="Times New Roman"/>
          <w:b/>
          <w:bCs/>
          <w:lang w:eastAsia="es-MX"/>
        </w:rPr>
        <w:t>Disposiciones Generales</w:t>
      </w:r>
    </w:p>
    <w:p w14:paraId="2E7FC80E" w14:textId="77777777" w:rsidR="00AF310C" w:rsidRPr="00AF310C" w:rsidRDefault="00AF310C" w:rsidP="00AF310C">
      <w:pPr>
        <w:numPr>
          <w:ilvl w:val="0"/>
          <w:numId w:val="34"/>
        </w:numPr>
        <w:spacing w:afterLines="120" w:after="288" w:line="276" w:lineRule="auto"/>
        <w:jc w:val="both"/>
        <w:rPr>
          <w:rFonts w:ascii="ITC Avant Garde" w:eastAsia="Calibri" w:hAnsi="ITC Avant Garde" w:cs="Times New Roman"/>
        </w:rPr>
      </w:pPr>
      <w:r w:rsidRPr="00AF310C">
        <w:rPr>
          <w:rFonts w:ascii="ITC Avant Garde" w:eastAsia="Calibri" w:hAnsi="ITC Avant Garde" w:cs="Times New Roman"/>
          <w:b/>
          <w:bCs/>
        </w:rPr>
        <w:t xml:space="preserve">Definición de términos. </w:t>
      </w:r>
      <w:r w:rsidRPr="00AF310C">
        <w:rPr>
          <w:rFonts w:ascii="ITC Avant Garde" w:eastAsia="Calibri" w:hAnsi="ITC Avant Garde" w:cs="Times New Roman"/>
          <w:bCs/>
        </w:rPr>
        <w:t>Para los efectos del presente título, se entenderá por:</w:t>
      </w:r>
    </w:p>
    <w:p w14:paraId="772A8BA3" w14:textId="77777777" w:rsidR="00AF310C" w:rsidRPr="00AF310C" w:rsidRDefault="00AF310C" w:rsidP="00AF310C">
      <w:pPr>
        <w:numPr>
          <w:ilvl w:val="0"/>
          <w:numId w:val="35"/>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AF310C">
        <w:rPr>
          <w:rFonts w:ascii="ITC Avant Garde" w:eastAsia="Times New Roman" w:hAnsi="ITC Avant Garde" w:cs="Times New Roman"/>
          <w:b/>
          <w:lang w:val="es-ES_tradnl" w:eastAsia="es-ES"/>
        </w:rPr>
        <w:t>Concesión de espectro radioeléctrico:</w:t>
      </w:r>
      <w:r w:rsidRPr="00AF310C">
        <w:rPr>
          <w:rFonts w:ascii="ITC Avant Garde" w:eastAsia="Times New Roman" w:hAnsi="ITC Avant Garde" w:cs="Times New Roman"/>
          <w:lang w:val="es-ES_tradnl" w:eastAsia="es-ES"/>
        </w:rPr>
        <w:t xml:space="preserve"> La presente concesión que confiere el derecho para usar, aprovechar y explotar bandas de frecuencias del espectro radioeléctrico para uso comercial que otorga el Instituto.</w:t>
      </w:r>
    </w:p>
    <w:p w14:paraId="363BE227" w14:textId="77777777" w:rsidR="00AF310C" w:rsidRPr="00AF310C" w:rsidRDefault="00AF310C" w:rsidP="00AF310C">
      <w:pPr>
        <w:numPr>
          <w:ilvl w:val="0"/>
          <w:numId w:val="35"/>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AF310C">
        <w:rPr>
          <w:rFonts w:ascii="ITC Avant Garde" w:eastAsia="Times New Roman" w:hAnsi="ITC Avant Garde" w:cs="Times New Roman"/>
          <w:b/>
          <w:lang w:val="es-ES_tradnl" w:eastAsia="es-ES"/>
        </w:rPr>
        <w:t>Concesionario:</w:t>
      </w:r>
      <w:r w:rsidRPr="00AF310C">
        <w:rPr>
          <w:rFonts w:ascii="ITC Avant Garde" w:eastAsia="Times New Roman" w:hAnsi="ITC Avant Garde" w:cs="Times New Roman"/>
          <w:lang w:val="es-ES_tradnl" w:eastAsia="es-ES"/>
        </w:rPr>
        <w:t xml:space="preserve"> </w:t>
      </w:r>
      <w:r w:rsidRPr="00AF310C">
        <w:rPr>
          <w:rFonts w:ascii="ITC Avant Garde" w:eastAsia="Times New Roman" w:hAnsi="ITC Avant Garde" w:cs="Times New Roman"/>
          <w:bCs/>
          <w:lang w:val="es-ES_tradnl" w:eastAsia="es-ES"/>
        </w:rPr>
        <w:t>El titular de la Concesión de espectro radioeléctrico;</w:t>
      </w:r>
    </w:p>
    <w:p w14:paraId="325FC869" w14:textId="77777777" w:rsidR="00AF310C" w:rsidRPr="00AF310C" w:rsidRDefault="00AF310C" w:rsidP="00AF310C">
      <w:pPr>
        <w:numPr>
          <w:ilvl w:val="0"/>
          <w:numId w:val="35"/>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AF310C">
        <w:rPr>
          <w:rFonts w:ascii="ITC Avant Garde" w:eastAsia="Times New Roman" w:hAnsi="ITC Avant Garde" w:cs="Times New Roman"/>
          <w:b/>
          <w:lang w:val="es-ES_tradnl" w:eastAsia="es-ES"/>
        </w:rPr>
        <w:t>Instituto:</w:t>
      </w:r>
      <w:r w:rsidRPr="00AF310C">
        <w:rPr>
          <w:rFonts w:ascii="ITC Avant Garde" w:eastAsia="Times New Roman" w:hAnsi="ITC Avant Garde" w:cs="Times New Roman"/>
          <w:lang w:val="es-ES_tradnl" w:eastAsia="es-ES"/>
        </w:rPr>
        <w:t xml:space="preserve"> </w:t>
      </w:r>
      <w:r w:rsidRPr="00AF310C">
        <w:rPr>
          <w:rFonts w:ascii="ITC Avant Garde" w:eastAsia="Times New Roman" w:hAnsi="ITC Avant Garde" w:cs="Times New Roman"/>
          <w:bCs/>
          <w:lang w:val="es-ES_tradnl" w:eastAsia="es-ES"/>
        </w:rPr>
        <w:t>El Instituto Federal de Telecomunicaciones;</w:t>
      </w:r>
    </w:p>
    <w:p w14:paraId="1F98409C" w14:textId="77777777" w:rsidR="00AF310C" w:rsidRPr="00AF310C" w:rsidRDefault="00AF310C" w:rsidP="00AF310C">
      <w:pPr>
        <w:numPr>
          <w:ilvl w:val="0"/>
          <w:numId w:val="35"/>
        </w:numPr>
        <w:tabs>
          <w:tab w:val="num" w:pos="851"/>
        </w:tabs>
        <w:spacing w:afterLines="120" w:after="288" w:line="276" w:lineRule="auto"/>
        <w:ind w:left="851" w:hanging="425"/>
        <w:jc w:val="both"/>
        <w:rPr>
          <w:rFonts w:ascii="ITC Avant Garde" w:eastAsia="Calibri" w:hAnsi="ITC Avant Garde" w:cs="Times New Roman"/>
        </w:rPr>
      </w:pPr>
      <w:r w:rsidRPr="00AF310C">
        <w:rPr>
          <w:rFonts w:ascii="ITC Avant Garde" w:eastAsia="Calibri" w:hAnsi="ITC Avant Garde" w:cs="Times New Roman"/>
          <w:b/>
        </w:rPr>
        <w:t>Ley:</w:t>
      </w:r>
      <w:r w:rsidRPr="00AF310C">
        <w:rPr>
          <w:rFonts w:ascii="ITC Avant Garde" w:eastAsia="Calibri" w:hAnsi="ITC Avant Garde" w:cs="Times New Roman"/>
        </w:rPr>
        <w:t xml:space="preserve"> Ley Federal de Telecomunicaciones y Radiodifusión;</w:t>
      </w:r>
    </w:p>
    <w:p w14:paraId="2EF359B2" w14:textId="77777777" w:rsidR="00AF310C" w:rsidRPr="00AF310C" w:rsidRDefault="00AF310C" w:rsidP="00AF310C">
      <w:pPr>
        <w:numPr>
          <w:ilvl w:val="0"/>
          <w:numId w:val="35"/>
        </w:numPr>
        <w:spacing w:afterLines="120" w:after="288" w:line="276" w:lineRule="auto"/>
        <w:ind w:left="851" w:hanging="425"/>
        <w:jc w:val="both"/>
        <w:rPr>
          <w:rFonts w:ascii="ITC Avant Garde" w:eastAsia="Calibri" w:hAnsi="ITC Avant Garde" w:cs="Times New Roman"/>
        </w:rPr>
      </w:pPr>
      <w:r w:rsidRPr="00AF310C">
        <w:rPr>
          <w:rFonts w:ascii="ITC Avant Garde" w:eastAsia="Calibri" w:hAnsi="ITC Avant Garde" w:cs="Times New Roman"/>
          <w:b/>
        </w:rPr>
        <w:t>Servicio público de radiodifusión sonora:</w:t>
      </w:r>
      <w:r w:rsidRPr="00AF310C">
        <w:rPr>
          <w:rFonts w:ascii="ITC Avant Garde" w:eastAsia="Calibri" w:hAnsi="ITC Avant Garde" w:cs="Times New Roman"/>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48C4BDE8" w14:textId="77777777" w:rsidR="00AF310C" w:rsidRPr="00AF310C" w:rsidRDefault="00AF310C" w:rsidP="00AF310C">
      <w:pPr>
        <w:numPr>
          <w:ilvl w:val="0"/>
          <w:numId w:val="34"/>
        </w:numPr>
        <w:spacing w:afterLines="120" w:after="288" w:line="276" w:lineRule="auto"/>
        <w:jc w:val="both"/>
        <w:rPr>
          <w:rFonts w:ascii="ITC Avant Garde" w:eastAsia="Calibri" w:hAnsi="ITC Avant Garde" w:cs="Times New Roman"/>
          <w:bCs/>
        </w:rPr>
      </w:pPr>
      <w:r w:rsidRPr="00AF310C">
        <w:rPr>
          <w:rFonts w:ascii="ITC Avant Garde" w:eastAsia="Calibri" w:hAnsi="ITC Avant Garde" w:cs="Times New Roman"/>
          <w:b/>
        </w:rPr>
        <w:t xml:space="preserve">Modalidad de uso de la Concesión de espectro radioeléctrico. </w:t>
      </w:r>
      <w:r w:rsidRPr="00AF310C">
        <w:rPr>
          <w:rFonts w:ascii="ITC Avant Garde" w:eastAsia="Calibri" w:hAnsi="ITC Avant Garde" w:cs="Times New Roman"/>
        </w:rPr>
        <w:t>Con la Concesión de espectro radioeléctrico se otorga el uso, aprovechamiento y explotación de las bandas de frecuencias del espectro para uso comercial.</w:t>
      </w:r>
    </w:p>
    <w:p w14:paraId="3EB6489F" w14:textId="77777777" w:rsidR="00AF310C" w:rsidRPr="00AF310C" w:rsidRDefault="00AF310C" w:rsidP="00AF310C">
      <w:pPr>
        <w:spacing w:afterLines="120" w:after="288" w:line="276" w:lineRule="auto"/>
        <w:ind w:left="510"/>
        <w:jc w:val="both"/>
        <w:rPr>
          <w:rFonts w:ascii="ITC Avant Garde" w:eastAsia="Calibri" w:hAnsi="ITC Avant Garde" w:cs="Times New Roman"/>
        </w:rPr>
      </w:pPr>
      <w:r w:rsidRPr="00AF310C">
        <w:rPr>
          <w:rFonts w:ascii="ITC Avant Garde" w:eastAsia="Calibri" w:hAnsi="ITC Avant Garde" w:cs="Times New Roman"/>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720CBF58" w14:textId="77777777" w:rsidR="00AF310C" w:rsidRPr="00AF310C" w:rsidRDefault="00AF310C" w:rsidP="00AF310C">
      <w:pPr>
        <w:spacing w:afterLines="120" w:after="288" w:line="276" w:lineRule="auto"/>
        <w:ind w:left="510"/>
        <w:jc w:val="both"/>
        <w:rPr>
          <w:rFonts w:ascii="ITC Avant Garde" w:eastAsia="Calibri" w:hAnsi="ITC Avant Garde" w:cs="Times New Roman"/>
          <w:lang w:val="es-ES_tradnl"/>
        </w:rPr>
      </w:pPr>
      <w:r w:rsidRPr="00AF310C">
        <w:rPr>
          <w:rFonts w:ascii="ITC Avant Garde" w:eastAsia="Calibri" w:hAnsi="ITC Avant Garde" w:cs="Times New Roman"/>
          <w:lang w:val="es-ES_tradnl"/>
        </w:rPr>
        <w:t xml:space="preserve">En el supuesto de que la legislación, normatividad y disposiciones administrativas, vigentes a la fecha de otorgamiento del presente título fueran abrogadas, derogadas y/o reformadas, la presente quedará sujeta a las nuevas disposiciones </w:t>
      </w:r>
      <w:r w:rsidRPr="00AF310C">
        <w:rPr>
          <w:rFonts w:ascii="ITC Avant Garde" w:eastAsia="Calibri" w:hAnsi="ITC Avant Garde" w:cs="Times New Roman"/>
          <w:lang w:val="es-ES_tradnl"/>
        </w:rPr>
        <w:lastRenderedPageBreak/>
        <w:t>constitucionales, legales y administrativas aplicables, a partir de la fecha de su entrada en vigor.</w:t>
      </w:r>
    </w:p>
    <w:p w14:paraId="6E158D06" w14:textId="77777777" w:rsidR="00AF310C" w:rsidRPr="00AF310C" w:rsidRDefault="00AF310C" w:rsidP="00AF310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lang w:eastAsia="es-MX"/>
        </w:rPr>
        <w:t xml:space="preserve">Domicilio convencional. </w:t>
      </w:r>
      <w:r w:rsidRPr="00AF310C">
        <w:rPr>
          <w:rFonts w:ascii="ITC Avant Garde" w:eastAsia="Times New Roman" w:hAnsi="ITC Avant Garde" w:cs="Times New Roman"/>
          <w:bCs/>
          <w:lang w:eastAsia="es-MX"/>
        </w:rPr>
        <w:t>El Concesionario</w:t>
      </w:r>
      <w:r w:rsidRPr="00AF310C">
        <w:rPr>
          <w:rFonts w:ascii="ITC Avant Garde" w:eastAsia="Times New Roman" w:hAnsi="ITC Avant Garde" w:cs="Times New Roman"/>
          <w:b/>
          <w:bCs/>
          <w:lang w:eastAsia="es-MX"/>
        </w:rPr>
        <w:t xml:space="preserve"> </w:t>
      </w:r>
      <w:r w:rsidRPr="00AF310C">
        <w:rPr>
          <w:rFonts w:ascii="ITC Avant Garde" w:eastAsia="Times New Roman" w:hAnsi="ITC Avant Garde" w:cs="Times New Roman"/>
          <w:bCs/>
          <w:lang w:eastAsia="es-MX"/>
        </w:rPr>
        <w:t xml:space="preserve">señaló como domicilio para oír y recibir todo tipo de notificaciones y documentos, el ubicado en: </w:t>
      </w:r>
      <w:r w:rsidRPr="00AF310C">
        <w:rPr>
          <w:rFonts w:ascii="ITC Avant Garde" w:eastAsia="Times New Roman" w:hAnsi="ITC Avant Garde" w:cs="Times New Roman"/>
          <w:b/>
          <w:color w:val="00B0F0"/>
          <w:sz w:val="24"/>
          <w:szCs w:val="24"/>
          <w:lang w:eastAsia="es-MX"/>
        </w:rPr>
        <w:t>(…)</w:t>
      </w:r>
    </w:p>
    <w:p w14:paraId="4BD01B56" w14:textId="77777777" w:rsidR="00AF310C" w:rsidRPr="00AF310C" w:rsidRDefault="00AF310C" w:rsidP="00AF310C">
      <w:pPr>
        <w:spacing w:afterLines="120" w:after="288" w:line="276" w:lineRule="auto"/>
        <w:ind w:left="510"/>
        <w:jc w:val="both"/>
        <w:rPr>
          <w:rFonts w:ascii="ITC Avant Garde" w:eastAsia="Times New Roman" w:hAnsi="ITC Avant Garde" w:cs="Times New Roman"/>
          <w:bCs/>
          <w:lang w:eastAsia="es-MX"/>
        </w:rPr>
      </w:pPr>
      <w:r w:rsidRPr="00AF310C">
        <w:rPr>
          <w:rFonts w:ascii="ITC Avant Garde" w:eastAsia="Times New Roman" w:hAnsi="ITC Avant Garde" w:cs="Times New Roman"/>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AF310C" w:rsidDel="000C0E5E">
        <w:rPr>
          <w:rFonts w:ascii="ITC Avant Garde" w:eastAsia="Times New Roman" w:hAnsi="ITC Avant Garde" w:cs="Times New Roman"/>
          <w:bCs/>
          <w:lang w:eastAsia="es-MX"/>
        </w:rPr>
        <w:t xml:space="preserve"> </w:t>
      </w:r>
    </w:p>
    <w:p w14:paraId="09B58B56" w14:textId="77777777" w:rsidR="00AF310C" w:rsidRPr="00AF310C" w:rsidRDefault="00AF310C" w:rsidP="00AF310C">
      <w:pPr>
        <w:numPr>
          <w:ilvl w:val="0"/>
          <w:numId w:val="34"/>
        </w:numPr>
        <w:autoSpaceDE w:val="0"/>
        <w:autoSpaceDN w:val="0"/>
        <w:adjustRightInd w:val="0"/>
        <w:spacing w:afterLines="120" w:after="288" w:line="276" w:lineRule="auto"/>
        <w:jc w:val="both"/>
        <w:rPr>
          <w:rFonts w:ascii="ITC Avant Garde" w:eastAsia="Times New Roman" w:hAnsi="ITC Avant Garde" w:cs="Times New Roman"/>
          <w:bCs/>
          <w:lang w:eastAsia="es-MX"/>
        </w:rPr>
      </w:pPr>
      <w:r w:rsidRPr="00AF310C">
        <w:rPr>
          <w:rFonts w:ascii="ITC Avant Garde" w:eastAsia="Times New Roman" w:hAnsi="ITC Avant Garde" w:cs="Times New Roman"/>
          <w:b/>
          <w:lang w:val="es-ES_tradnl" w:eastAsia="es-ES"/>
        </w:rPr>
        <w:t xml:space="preserve">Condiciones del uso de la banda de frecuencias. </w:t>
      </w:r>
      <w:r w:rsidRPr="00AF310C">
        <w:rPr>
          <w:rFonts w:ascii="ITC Avant Garde" w:eastAsia="Times New Roman" w:hAnsi="ITC Avant Garde" w:cs="Times New Roman"/>
          <w:bCs/>
          <w:lang w:eastAsia="es-MX"/>
        </w:rPr>
        <w:t>El Concesionario podrá usar, aprovechar y explotar las bandas de frecuencias del espectro radioeléctrico de radiodifusión bajo los parámetros y características técnicas siguientes:</w:t>
      </w:r>
    </w:p>
    <w:tbl>
      <w:tblPr>
        <w:tblStyle w:val="Tablaconcuadrcula1"/>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diciones del uso de la banda de frecuencias."/>
        <w:tblDescription w:val="Tabla de 2 columnas que indica los parámetros y características técnicas bajo las cuales se podrá usar y aprovechar las bandas de frecuencias del espectro radioeléctrico de radiodifusión."/>
      </w:tblPr>
      <w:tblGrid>
        <w:gridCol w:w="4697"/>
        <w:gridCol w:w="4092"/>
      </w:tblGrid>
      <w:tr w:rsidR="00AF310C" w:rsidRPr="00AF310C" w14:paraId="2C7D3DFC" w14:textId="77777777" w:rsidTr="00571930">
        <w:trPr>
          <w:tblHeader/>
          <w:jc w:val="right"/>
        </w:trPr>
        <w:tc>
          <w:tcPr>
            <w:tcW w:w="4697" w:type="dxa"/>
          </w:tcPr>
          <w:p w14:paraId="14AF1499"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b/>
              </w:rPr>
            </w:pPr>
            <w:r w:rsidRPr="00AF310C">
              <w:rPr>
                <w:rFonts w:ascii="ITC Avant Garde" w:eastAsia="Arial" w:hAnsi="ITC Avant Garde" w:cs="Times New Roman"/>
                <w:b/>
              </w:rPr>
              <w:t>1. Frecuencia:</w:t>
            </w:r>
          </w:p>
        </w:tc>
        <w:tc>
          <w:tcPr>
            <w:tcW w:w="4092" w:type="dxa"/>
          </w:tcPr>
          <w:p w14:paraId="1BB5E775"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b/>
                <w:u w:val="single"/>
              </w:rPr>
            </w:pPr>
            <w:r w:rsidRPr="00AF310C">
              <w:rPr>
                <w:rFonts w:ascii="ITC Avant Garde" w:eastAsia="Calibri" w:hAnsi="ITC Avant Garde" w:cs="Times New Roman"/>
                <w:b/>
                <w:color w:val="00B0F0"/>
              </w:rPr>
              <w:t>(…)</w:t>
            </w:r>
          </w:p>
        </w:tc>
      </w:tr>
      <w:tr w:rsidR="00AF310C" w:rsidRPr="00AF310C" w14:paraId="547844C0" w14:textId="77777777" w:rsidTr="00571930">
        <w:trPr>
          <w:tblHeader/>
          <w:jc w:val="right"/>
        </w:trPr>
        <w:tc>
          <w:tcPr>
            <w:tcW w:w="4697" w:type="dxa"/>
          </w:tcPr>
          <w:p w14:paraId="5BBFB527"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b/>
              </w:rPr>
            </w:pPr>
            <w:r w:rsidRPr="00AF310C">
              <w:rPr>
                <w:rFonts w:ascii="ITC Avant Garde" w:eastAsia="Arial" w:hAnsi="ITC Avant Garde" w:cs="Times New Roman"/>
                <w:b/>
              </w:rPr>
              <w:t>2. Distintivo de Llamada:</w:t>
            </w:r>
          </w:p>
        </w:tc>
        <w:tc>
          <w:tcPr>
            <w:tcW w:w="4092" w:type="dxa"/>
          </w:tcPr>
          <w:p w14:paraId="64957361"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rPr>
            </w:pPr>
            <w:r w:rsidRPr="00AF310C">
              <w:rPr>
                <w:rFonts w:ascii="ITC Avant Garde" w:eastAsia="Calibri" w:hAnsi="ITC Avant Garde" w:cs="Times New Roman"/>
                <w:b/>
                <w:color w:val="00B0F0"/>
              </w:rPr>
              <w:t>(…)</w:t>
            </w:r>
          </w:p>
        </w:tc>
      </w:tr>
      <w:tr w:rsidR="00AF310C" w:rsidRPr="00AF310C" w14:paraId="1201362E" w14:textId="77777777" w:rsidTr="00571930">
        <w:trPr>
          <w:tblHeader/>
          <w:jc w:val="right"/>
        </w:trPr>
        <w:tc>
          <w:tcPr>
            <w:tcW w:w="4697" w:type="dxa"/>
          </w:tcPr>
          <w:p w14:paraId="24F264E6"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b/>
              </w:rPr>
            </w:pPr>
            <w:r w:rsidRPr="00AF310C">
              <w:rPr>
                <w:rFonts w:ascii="ITC Avant Garde" w:eastAsia="Arial" w:hAnsi="ITC Avant Garde" w:cs="Times New Roman"/>
                <w:b/>
              </w:rPr>
              <w:t>3. Población principal a servir:</w:t>
            </w:r>
          </w:p>
        </w:tc>
        <w:tc>
          <w:tcPr>
            <w:tcW w:w="4092" w:type="dxa"/>
          </w:tcPr>
          <w:p w14:paraId="02159BA8"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rPr>
            </w:pPr>
            <w:r w:rsidRPr="00AF310C">
              <w:rPr>
                <w:rFonts w:ascii="ITC Avant Garde" w:eastAsia="Calibri" w:hAnsi="ITC Avant Garde" w:cs="Times New Roman"/>
                <w:b/>
                <w:color w:val="00B0F0"/>
              </w:rPr>
              <w:t>(…)</w:t>
            </w:r>
          </w:p>
        </w:tc>
      </w:tr>
      <w:tr w:rsidR="00AF310C" w:rsidRPr="00AF310C" w14:paraId="0671137C" w14:textId="77777777" w:rsidTr="00571930">
        <w:trPr>
          <w:tblHeader/>
          <w:jc w:val="right"/>
        </w:trPr>
        <w:tc>
          <w:tcPr>
            <w:tcW w:w="4697" w:type="dxa"/>
          </w:tcPr>
          <w:p w14:paraId="53883464"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b/>
              </w:rPr>
            </w:pPr>
            <w:r w:rsidRPr="00AF310C">
              <w:rPr>
                <w:rFonts w:ascii="ITC Avant Garde" w:eastAsia="Arial" w:hAnsi="ITC Avant Garde" w:cs="Times New Roman"/>
                <w:b/>
              </w:rPr>
              <w:t>4. Clase de Estación:</w:t>
            </w:r>
          </w:p>
        </w:tc>
        <w:tc>
          <w:tcPr>
            <w:tcW w:w="4092" w:type="dxa"/>
          </w:tcPr>
          <w:p w14:paraId="2B4EBB38"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rPr>
            </w:pPr>
            <w:r w:rsidRPr="00AF310C">
              <w:rPr>
                <w:rFonts w:ascii="ITC Avant Garde" w:eastAsia="Calibri" w:hAnsi="ITC Avant Garde" w:cs="Times New Roman"/>
                <w:b/>
                <w:color w:val="00B0F0"/>
              </w:rPr>
              <w:t>(…)</w:t>
            </w:r>
          </w:p>
        </w:tc>
      </w:tr>
      <w:tr w:rsidR="00AF310C" w:rsidRPr="00AF310C" w14:paraId="2FC78B81" w14:textId="77777777" w:rsidTr="00571930">
        <w:trPr>
          <w:tblHeader/>
          <w:jc w:val="right"/>
        </w:trPr>
        <w:tc>
          <w:tcPr>
            <w:tcW w:w="4697" w:type="dxa"/>
          </w:tcPr>
          <w:p w14:paraId="3B05421B"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b/>
              </w:rPr>
            </w:pPr>
            <w:r w:rsidRPr="00AF310C">
              <w:rPr>
                <w:rFonts w:ascii="ITC Avant Garde" w:eastAsia="Arial" w:hAnsi="ITC Avant Garde" w:cs="Times New Roman"/>
                <w:b/>
              </w:rPr>
              <w:t>5. Coordenadas de referencia de la Población Principal a Servir:</w:t>
            </w:r>
          </w:p>
        </w:tc>
        <w:tc>
          <w:tcPr>
            <w:tcW w:w="4092" w:type="dxa"/>
          </w:tcPr>
          <w:p w14:paraId="53C5D947" w14:textId="77777777" w:rsidR="00AF310C" w:rsidRPr="00AF310C" w:rsidRDefault="00AF310C" w:rsidP="00AF310C">
            <w:pPr>
              <w:autoSpaceDE w:val="0"/>
              <w:autoSpaceDN w:val="0"/>
              <w:adjustRightInd w:val="0"/>
              <w:spacing w:line="276" w:lineRule="auto"/>
              <w:jc w:val="both"/>
              <w:outlineLvl w:val="0"/>
              <w:rPr>
                <w:rFonts w:ascii="ITC Avant Garde" w:eastAsia="Arial" w:hAnsi="ITC Avant Garde" w:cs="Times New Roman"/>
              </w:rPr>
            </w:pPr>
            <w:r w:rsidRPr="00AF310C">
              <w:rPr>
                <w:rFonts w:ascii="ITC Avant Garde" w:eastAsia="Arial" w:hAnsi="ITC Avant Garde" w:cs="Times New Roman"/>
              </w:rPr>
              <w:t xml:space="preserve">L.N. </w:t>
            </w:r>
            <w:r w:rsidRPr="00AF310C">
              <w:rPr>
                <w:rFonts w:ascii="ITC Avant Garde" w:eastAsia="Calibri" w:hAnsi="ITC Avant Garde" w:cs="Times New Roman"/>
                <w:b/>
                <w:color w:val="00B0F0"/>
              </w:rPr>
              <w:t>(…)</w:t>
            </w:r>
          </w:p>
          <w:p w14:paraId="682D5FF8" w14:textId="77777777" w:rsidR="00AF310C" w:rsidRPr="00AF310C" w:rsidRDefault="00AF310C" w:rsidP="00AF310C">
            <w:pPr>
              <w:autoSpaceDE w:val="0"/>
              <w:autoSpaceDN w:val="0"/>
              <w:adjustRightInd w:val="0"/>
              <w:spacing w:afterLines="120" w:after="288" w:line="276" w:lineRule="auto"/>
              <w:jc w:val="both"/>
              <w:outlineLvl w:val="0"/>
              <w:rPr>
                <w:rFonts w:ascii="ITC Avant Garde" w:eastAsia="Arial" w:hAnsi="ITC Avant Garde" w:cs="Times New Roman"/>
              </w:rPr>
            </w:pPr>
            <w:r w:rsidRPr="00AF310C">
              <w:rPr>
                <w:rFonts w:ascii="ITC Avant Garde" w:eastAsia="Arial" w:hAnsi="ITC Avant Garde" w:cs="Times New Roman"/>
              </w:rPr>
              <w:t xml:space="preserve">L.W. </w:t>
            </w:r>
            <w:r w:rsidRPr="00AF310C">
              <w:rPr>
                <w:rFonts w:ascii="ITC Avant Garde" w:eastAsia="Calibri" w:hAnsi="ITC Avant Garde" w:cs="Times New Roman"/>
                <w:b/>
                <w:color w:val="00B0F0"/>
              </w:rPr>
              <w:t>(…)</w:t>
            </w:r>
          </w:p>
        </w:tc>
      </w:tr>
    </w:tbl>
    <w:p w14:paraId="153FA89C" w14:textId="77777777" w:rsidR="00AF310C" w:rsidRPr="00AF310C" w:rsidRDefault="00AF310C" w:rsidP="00AF310C">
      <w:pPr>
        <w:keepLines/>
        <w:spacing w:before="360" w:afterLines="120" w:after="288" w:line="276" w:lineRule="auto"/>
        <w:ind w:left="567"/>
        <w:jc w:val="both"/>
        <w:rPr>
          <w:rFonts w:ascii="ITC Avant Garde" w:eastAsia="Calibri" w:hAnsi="ITC Avant Garde" w:cs="Times New Roman"/>
          <w:bCs/>
        </w:rPr>
      </w:pPr>
      <w:r w:rsidRPr="00AF310C">
        <w:rPr>
          <w:rFonts w:ascii="ITC Avant Garde" w:eastAsia="Calibri" w:hAnsi="ITC Avant Garde" w:cs="Times New Roman"/>
          <w:bC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14:paraId="46342CDB" w14:textId="77777777" w:rsidR="00AF310C" w:rsidRPr="00AF310C" w:rsidRDefault="00AF310C" w:rsidP="00AF310C">
      <w:pPr>
        <w:keepLines/>
        <w:spacing w:afterLines="120" w:after="288" w:line="276" w:lineRule="auto"/>
        <w:ind w:left="567"/>
        <w:jc w:val="both"/>
        <w:rPr>
          <w:rFonts w:ascii="ITC Avant Garde" w:eastAsia="Calibri" w:hAnsi="ITC Avant Garde" w:cs="Times New Roman"/>
          <w:bCs/>
        </w:rPr>
      </w:pPr>
      <w:r w:rsidRPr="00AF310C">
        <w:rPr>
          <w:rFonts w:ascii="ITC Avant Garde" w:eastAsia="Calibri" w:hAnsi="ITC Avant Garde" w:cs="Times New Roman"/>
          <w:bC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14:paraId="5AA9B2A3" w14:textId="77777777" w:rsidR="00AF310C" w:rsidRPr="00AF310C" w:rsidRDefault="00AF310C" w:rsidP="00AF310C">
      <w:pPr>
        <w:numPr>
          <w:ilvl w:val="0"/>
          <w:numId w:val="34"/>
        </w:numPr>
        <w:spacing w:afterLines="120" w:after="288" w:line="276" w:lineRule="auto"/>
        <w:jc w:val="both"/>
        <w:rPr>
          <w:rFonts w:ascii="ITC Avant Garde" w:eastAsia="Calibri" w:hAnsi="ITC Avant Garde" w:cs="Times New Roman"/>
          <w:bCs/>
        </w:rPr>
      </w:pPr>
      <w:r w:rsidRPr="00AF310C">
        <w:rPr>
          <w:rFonts w:ascii="ITC Avant Garde" w:eastAsia="Calibri" w:hAnsi="ITC Avant Garde" w:cs="Times New Roman"/>
          <w:b/>
        </w:rPr>
        <w:lastRenderedPageBreak/>
        <w:t>Cobertura.</w:t>
      </w:r>
      <w:r w:rsidRPr="00AF310C">
        <w:rPr>
          <w:rFonts w:ascii="ITC Avant Garde" w:eastAsia="Calibri" w:hAnsi="ITC Avant Garde" w:cs="Times New Roman"/>
        </w:rPr>
        <w:t xml:space="preserve"> </w:t>
      </w:r>
      <w:r w:rsidRPr="00AF310C">
        <w:rPr>
          <w:rFonts w:ascii="ITC Avant Garde" w:eastAsia="Calibri" w:hAnsi="ITC Avant Garde" w:cs="Times New Roman"/>
          <w:bCs/>
        </w:rPr>
        <w:t>El Concesionario deberá usar, aprovechar y explotar las frecuencias radioeléctricas para prestar el servicio público de radiodifusión sonora con las características técnicas señaladas en:</w:t>
      </w:r>
    </w:p>
    <w:tbl>
      <w:tblPr>
        <w:tblStyle w:val="Tablaconcuadrcula1"/>
        <w:tblpPr w:leftFromText="141" w:rightFromText="141" w:vertAnchor="text" w:horzAnchor="margin" w:tblpXSpec="right" w:tblpY="41"/>
        <w:tblW w:w="8919" w:type="dxa"/>
        <w:tblLook w:val="04A0" w:firstRow="1" w:lastRow="0" w:firstColumn="1" w:lastColumn="0" w:noHBand="0" w:noVBand="1"/>
        <w:tblCaption w:val="Cobertura"/>
        <w:tblDescription w:val="tabla de una columna que indica la población principal a servir."/>
      </w:tblPr>
      <w:tblGrid>
        <w:gridCol w:w="8919"/>
      </w:tblGrid>
      <w:tr w:rsidR="00AF310C" w:rsidRPr="00AF310C" w14:paraId="45FB558F" w14:textId="77777777" w:rsidTr="00571930">
        <w:trPr>
          <w:trHeight w:val="527"/>
          <w:tblHeader/>
        </w:trPr>
        <w:tc>
          <w:tcPr>
            <w:tcW w:w="8919" w:type="dxa"/>
          </w:tcPr>
          <w:p w14:paraId="3B36F254" w14:textId="77777777" w:rsidR="00AF310C" w:rsidRPr="00AF310C" w:rsidRDefault="00AF310C" w:rsidP="00AF310C">
            <w:pPr>
              <w:spacing w:afterLines="120" w:after="288" w:line="276" w:lineRule="auto"/>
              <w:jc w:val="center"/>
              <w:rPr>
                <w:rFonts w:ascii="ITC Avant Garde" w:eastAsia="Calibri" w:hAnsi="ITC Avant Garde" w:cs="Times New Roman"/>
                <w:b/>
                <w:bCs/>
              </w:rPr>
            </w:pPr>
            <w:r w:rsidRPr="00AF310C">
              <w:rPr>
                <w:rFonts w:ascii="ITC Avant Garde" w:eastAsia="Calibri" w:hAnsi="ITC Avant Garde" w:cs="Times New Roman"/>
                <w:b/>
                <w:bCs/>
              </w:rPr>
              <w:t>Población principal a servir / Estado(s).</w:t>
            </w:r>
          </w:p>
        </w:tc>
      </w:tr>
      <w:tr w:rsidR="00AF310C" w:rsidRPr="00AF310C" w14:paraId="792E3451" w14:textId="77777777" w:rsidTr="00571930">
        <w:trPr>
          <w:trHeight w:val="331"/>
        </w:trPr>
        <w:tc>
          <w:tcPr>
            <w:tcW w:w="8919" w:type="dxa"/>
          </w:tcPr>
          <w:p w14:paraId="560E2F02" w14:textId="77777777" w:rsidR="00AF310C" w:rsidRPr="00AF310C" w:rsidRDefault="00AF310C" w:rsidP="00AF310C">
            <w:pPr>
              <w:spacing w:afterLines="120" w:after="288" w:line="276" w:lineRule="auto"/>
              <w:ind w:left="510"/>
              <w:jc w:val="center"/>
              <w:rPr>
                <w:rFonts w:ascii="ITC Avant Garde" w:eastAsia="Calibri" w:hAnsi="ITC Avant Garde" w:cs="Times New Roman"/>
                <w:b/>
                <w:bCs/>
              </w:rPr>
            </w:pPr>
            <w:r w:rsidRPr="00AF310C">
              <w:rPr>
                <w:rFonts w:ascii="ITC Avant Garde" w:eastAsia="Calibri" w:hAnsi="ITC Avant Garde" w:cs="Times New Roman"/>
                <w:b/>
                <w:color w:val="00B0F0"/>
              </w:rPr>
              <w:t>(…)</w:t>
            </w:r>
          </w:p>
        </w:tc>
      </w:tr>
    </w:tbl>
    <w:p w14:paraId="7C9A0A66" w14:textId="77777777" w:rsidR="00AF310C" w:rsidRPr="00AF310C" w:rsidRDefault="00AF310C" w:rsidP="00AF310C">
      <w:pPr>
        <w:keepLines/>
        <w:numPr>
          <w:ilvl w:val="0"/>
          <w:numId w:val="34"/>
        </w:numPr>
        <w:tabs>
          <w:tab w:val="left" w:pos="567"/>
        </w:tabs>
        <w:spacing w:before="360" w:afterLines="120" w:after="288" w:line="276" w:lineRule="auto"/>
        <w:jc w:val="both"/>
        <w:rPr>
          <w:rFonts w:ascii="ITC Avant Garde" w:eastAsia="Times New Roman" w:hAnsi="ITC Avant Garde" w:cs="Times New Roman"/>
          <w:bCs/>
          <w:lang w:val="es-ES_tradnl" w:eastAsia="es-ES"/>
        </w:rPr>
      </w:pPr>
      <w:r w:rsidRPr="00AF310C">
        <w:rPr>
          <w:rFonts w:ascii="ITC Avant Garde" w:eastAsia="Times New Roman" w:hAnsi="ITC Avant Garde" w:cs="Times New Roman"/>
          <w:b/>
          <w:lang w:val="es-ES_tradnl" w:eastAsia="es-ES"/>
        </w:rPr>
        <w:t>Vigencia de la Concesión.</w:t>
      </w:r>
      <w:r w:rsidRPr="00AF310C">
        <w:rPr>
          <w:rFonts w:ascii="ITC Avant Garde" w:eastAsia="Times New Roman" w:hAnsi="ITC Avant Garde" w:cs="Times New Roman"/>
          <w:lang w:val="es-ES_tradnl" w:eastAsia="es-ES"/>
        </w:rPr>
        <w:t xml:space="preserve"> La Concesión de espectro radioeléctrico para uso comercial tendrá una vigencia de 20 (veinte) años, </w:t>
      </w:r>
      <w:r w:rsidRPr="00AF310C">
        <w:rPr>
          <w:rFonts w:ascii="ITC Avant Garde" w:eastAsia="Times New Roman" w:hAnsi="ITC Avant Garde" w:cs="Times New Roman"/>
          <w:bCs/>
          <w:color w:val="000000"/>
          <w:lang w:val="es-ES_tradnl" w:eastAsia="es-ES"/>
        </w:rPr>
        <w:t xml:space="preserve">contados a partir del </w:t>
      </w:r>
      <w:r w:rsidRPr="00AF310C">
        <w:rPr>
          <w:rFonts w:ascii="ITC Avant Garde" w:eastAsia="Times New Roman" w:hAnsi="ITC Avant Garde" w:cs="Times New Roman"/>
          <w:b/>
          <w:color w:val="00B0F0"/>
          <w:sz w:val="20"/>
          <w:szCs w:val="20"/>
          <w:lang w:val="es-ES_tradnl" w:eastAsia="es-ES"/>
        </w:rPr>
        <w:t>(…)</w:t>
      </w:r>
      <w:r w:rsidRPr="00AF310C">
        <w:rPr>
          <w:rFonts w:ascii="ITC Avant Garde" w:eastAsia="Times New Roman" w:hAnsi="ITC Avant Garde" w:cs="Times New Roman"/>
          <w:lang w:val="es-ES_tradnl" w:eastAsia="es-ES"/>
        </w:rPr>
        <w:t xml:space="preserve"> y vencimiento al </w:t>
      </w:r>
      <w:r w:rsidRPr="00AF310C">
        <w:rPr>
          <w:rFonts w:ascii="ITC Avant Garde" w:eastAsia="Times New Roman" w:hAnsi="ITC Avant Garde" w:cs="Times New Roman"/>
          <w:b/>
          <w:color w:val="00B0F0"/>
          <w:sz w:val="20"/>
          <w:szCs w:val="20"/>
          <w:lang w:val="es-ES_tradnl" w:eastAsia="es-ES"/>
        </w:rPr>
        <w:t>(…)</w:t>
      </w:r>
      <w:r w:rsidRPr="00AF310C">
        <w:rPr>
          <w:rFonts w:ascii="ITC Avant Garde" w:eastAsia="Times New Roman" w:hAnsi="ITC Avant Garde" w:cs="Times New Roman"/>
          <w:lang w:val="es-ES_tradnl" w:eastAsia="es-ES"/>
        </w:rPr>
        <w:t xml:space="preserve">, y </w:t>
      </w:r>
      <w:r w:rsidRPr="00AF310C">
        <w:rPr>
          <w:rFonts w:ascii="ITC Avant Garde" w:eastAsia="Times New Roman" w:hAnsi="ITC Avant Garde" w:cs="Times New Roman"/>
          <w:bCs/>
          <w:lang w:val="es-ES_tradnl" w:eastAsia="es-ES"/>
        </w:rPr>
        <w:t>podrá ser prorrogada conforme a lo dispuesto en la Ley.</w:t>
      </w:r>
    </w:p>
    <w:p w14:paraId="3C8DD860" w14:textId="77777777" w:rsidR="00AF310C" w:rsidRPr="00AF310C" w:rsidRDefault="00AF310C" w:rsidP="00AF310C">
      <w:pPr>
        <w:keepLines/>
        <w:numPr>
          <w:ilvl w:val="0"/>
          <w:numId w:val="34"/>
        </w:numPr>
        <w:tabs>
          <w:tab w:val="left" w:pos="567"/>
        </w:tabs>
        <w:spacing w:afterLines="120" w:after="288" w:line="276" w:lineRule="auto"/>
        <w:ind w:left="567"/>
        <w:jc w:val="both"/>
        <w:rPr>
          <w:rFonts w:ascii="ITC Avant Garde" w:eastAsia="Times New Roman" w:hAnsi="ITC Avant Garde" w:cs="Times New Roman"/>
          <w:bCs/>
          <w:lang w:val="es-ES_tradnl" w:eastAsia="es-ES"/>
        </w:rPr>
      </w:pPr>
      <w:r w:rsidRPr="00AF310C">
        <w:rPr>
          <w:rFonts w:ascii="ITC Avant Garde" w:eastAsia="Times New Roman" w:hAnsi="ITC Avant Garde" w:cs="Times New Roman"/>
          <w:b/>
          <w:bCs/>
          <w:lang w:val="es-ES_tradnl" w:eastAsia="es-ES"/>
        </w:rPr>
        <w:t>Compromisos de inversión.</w:t>
      </w:r>
      <w:r w:rsidRPr="00AF310C">
        <w:rPr>
          <w:rFonts w:ascii="ITC Avant Garde" w:eastAsia="Times New Roman" w:hAnsi="ITC Avant Garde" w:cs="Times New Roman"/>
          <w:bCs/>
          <w:lang w:val="es-ES_tradnl" w:eastAsia="es-ES"/>
        </w:rPr>
        <w:t xml:space="preserve"> El Concesionario se compromete a realizar todas las inversiones necesarias para que el servicio público de radiodifusión que se provea al amparo del presente título, se preste de manera continua, eficiente y con calidad.</w:t>
      </w:r>
    </w:p>
    <w:p w14:paraId="28B2B551" w14:textId="77777777" w:rsidR="00AF310C" w:rsidRPr="00AF310C" w:rsidRDefault="00AF310C" w:rsidP="00AF310C">
      <w:pPr>
        <w:keepLines/>
        <w:numPr>
          <w:ilvl w:val="0"/>
          <w:numId w:val="34"/>
        </w:numPr>
        <w:tabs>
          <w:tab w:val="left" w:pos="567"/>
        </w:tabs>
        <w:spacing w:afterLines="120" w:after="288" w:line="276" w:lineRule="auto"/>
        <w:ind w:left="567"/>
        <w:jc w:val="both"/>
        <w:rPr>
          <w:rFonts w:ascii="ITC Avant Garde" w:eastAsia="Times New Roman" w:hAnsi="ITC Avant Garde" w:cs="Times New Roman"/>
          <w:bCs/>
          <w:lang w:val="es-ES_tradnl" w:eastAsia="es-ES"/>
        </w:rPr>
      </w:pPr>
      <w:r w:rsidRPr="00AF310C">
        <w:rPr>
          <w:rFonts w:ascii="ITC Avant Garde" w:eastAsia="Times New Roman" w:hAnsi="ITC Avant Garde" w:cs="Times New Roman"/>
          <w:b/>
          <w:bCs/>
          <w:lang w:val="es-ES_tradnl" w:eastAsia="es-ES"/>
        </w:rPr>
        <w:t>Poderes.</w:t>
      </w:r>
      <w:r w:rsidRPr="00AF310C">
        <w:rPr>
          <w:rFonts w:ascii="ITC Avant Garde" w:eastAsia="Times New Roman" w:hAnsi="ITC Avant Garde" w:cs="Times New Roman"/>
          <w:bCs/>
          <w:lang w:val="es-ES_tradnl" w:eastAsia="es-E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6AE2A11E" w14:textId="77777777" w:rsidR="00AF310C" w:rsidRPr="00AF310C" w:rsidRDefault="00AF310C" w:rsidP="00AF310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Gravámenes</w:t>
      </w:r>
      <w:r w:rsidRPr="00AF310C">
        <w:rPr>
          <w:rFonts w:ascii="ITC Avant Garde" w:eastAsia="Times New Roman" w:hAnsi="ITC Avant Garde" w:cs="Times New Roman"/>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134BDAB0" w14:textId="77777777" w:rsidR="00AF310C" w:rsidRPr="00AF310C" w:rsidRDefault="00AF310C" w:rsidP="00AF310C">
      <w:pPr>
        <w:keepLines/>
        <w:tabs>
          <w:tab w:val="left" w:pos="567"/>
        </w:tabs>
        <w:spacing w:afterLines="120" w:after="288" w:line="276" w:lineRule="auto"/>
        <w:ind w:left="510"/>
        <w:jc w:val="both"/>
        <w:rPr>
          <w:rFonts w:ascii="ITC Avant Garde" w:eastAsia="Times New Roman" w:hAnsi="ITC Avant Garde" w:cs="Times New Roman"/>
          <w:bCs/>
          <w:lang w:val="es-ES_tradnl" w:eastAsia="es-ES"/>
        </w:rPr>
      </w:pPr>
      <w:r w:rsidRPr="00AF310C">
        <w:rPr>
          <w:rFonts w:ascii="ITC Avant Garde" w:eastAsia="Times New Roman" w:hAnsi="ITC Avant Garde" w:cs="Times New Roman"/>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60113CDF" w14:textId="77777777" w:rsidR="00AF310C" w:rsidRPr="00AF310C" w:rsidRDefault="00AF310C" w:rsidP="00AF310C">
      <w:pPr>
        <w:spacing w:afterLines="120" w:after="288" w:line="276" w:lineRule="auto"/>
        <w:jc w:val="center"/>
        <w:rPr>
          <w:rFonts w:ascii="ITC Avant Garde" w:eastAsia="Times New Roman" w:hAnsi="ITC Avant Garde" w:cs="Times New Roman"/>
          <w:b/>
          <w:bCs/>
          <w:lang w:eastAsia="es-MX"/>
        </w:rPr>
      </w:pPr>
      <w:r w:rsidRPr="00AF310C">
        <w:rPr>
          <w:rFonts w:ascii="ITC Avant Garde" w:eastAsia="Times New Roman" w:hAnsi="ITC Avant Garde" w:cs="Times New Roman"/>
          <w:b/>
          <w:bCs/>
          <w:lang w:eastAsia="es-MX"/>
        </w:rPr>
        <w:t>Derechos y obligaciones</w:t>
      </w:r>
    </w:p>
    <w:p w14:paraId="105913ED" w14:textId="77777777" w:rsidR="00AF310C" w:rsidRPr="00AF310C" w:rsidRDefault="00AF310C" w:rsidP="00AF310C">
      <w:pPr>
        <w:numPr>
          <w:ilvl w:val="0"/>
          <w:numId w:val="34"/>
        </w:numPr>
        <w:spacing w:afterLines="120" w:after="288" w:line="276" w:lineRule="auto"/>
        <w:jc w:val="both"/>
        <w:rPr>
          <w:rFonts w:ascii="ITC Avant Garde" w:eastAsia="Calibri" w:hAnsi="ITC Avant Garde" w:cs="Times New Roman"/>
        </w:rPr>
      </w:pPr>
      <w:r w:rsidRPr="00AF310C">
        <w:rPr>
          <w:rFonts w:ascii="ITC Avant Garde" w:eastAsia="Calibri" w:hAnsi="ITC Avant Garde" w:cs="Times New Roman"/>
          <w:b/>
        </w:rPr>
        <w:lastRenderedPageBreak/>
        <w:t>Calidad de la operación.</w:t>
      </w:r>
      <w:r w:rsidRPr="00AF310C">
        <w:rPr>
          <w:rFonts w:ascii="ITC Avant Garde" w:eastAsia="Calibri" w:hAnsi="ITC Avant Garde" w:cs="Times New Roman"/>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445E2791" w14:textId="77777777" w:rsidR="00AF310C" w:rsidRPr="00AF310C" w:rsidRDefault="00AF310C" w:rsidP="00AF310C">
      <w:pPr>
        <w:numPr>
          <w:ilvl w:val="0"/>
          <w:numId w:val="34"/>
        </w:numPr>
        <w:spacing w:afterLines="120" w:after="288" w:line="276" w:lineRule="auto"/>
        <w:jc w:val="both"/>
        <w:rPr>
          <w:rFonts w:ascii="ITC Avant Garde" w:eastAsia="Calibri" w:hAnsi="ITC Avant Garde" w:cs="Times New Roman"/>
        </w:rPr>
      </w:pPr>
      <w:r w:rsidRPr="00AF310C">
        <w:rPr>
          <w:rFonts w:ascii="ITC Avant Garde" w:eastAsia="Calibri" w:hAnsi="ITC Avant Garde" w:cs="Times New Roman"/>
          <w:b/>
        </w:rPr>
        <w:t xml:space="preserve">Interferencias Perjudiciales. </w:t>
      </w:r>
      <w:r w:rsidRPr="00AF310C">
        <w:rPr>
          <w:rFonts w:ascii="ITC Avant Garde" w:eastAsia="Calibri" w:hAnsi="ITC Avant Garde" w:cs="Times New Roman"/>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6B20AF8E" w14:textId="77777777" w:rsidR="00AF310C" w:rsidRPr="00AF310C" w:rsidRDefault="00AF310C" w:rsidP="00AF310C">
      <w:pPr>
        <w:spacing w:afterLines="120" w:after="288" w:line="276" w:lineRule="auto"/>
        <w:ind w:left="510"/>
        <w:jc w:val="both"/>
        <w:rPr>
          <w:rFonts w:ascii="ITC Avant Garde" w:eastAsia="Calibri" w:hAnsi="ITC Avant Garde" w:cs="Times New Roman"/>
        </w:rPr>
      </w:pPr>
      <w:r w:rsidRPr="00AF310C">
        <w:rPr>
          <w:rFonts w:ascii="ITC Avant Garde" w:eastAsia="Calibri" w:hAnsi="ITC Avant Garde" w:cs="Times New Roman"/>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5FFBB82B" w14:textId="77777777" w:rsidR="00AF310C" w:rsidRPr="00AF310C" w:rsidRDefault="00AF310C" w:rsidP="00AF310C">
      <w:pPr>
        <w:numPr>
          <w:ilvl w:val="0"/>
          <w:numId w:val="34"/>
        </w:numPr>
        <w:spacing w:afterLines="120" w:after="288" w:line="276" w:lineRule="auto"/>
        <w:jc w:val="both"/>
        <w:rPr>
          <w:rFonts w:ascii="ITC Avant Garde" w:eastAsia="Calibri" w:hAnsi="ITC Avant Garde" w:cs="Times New Roman"/>
          <w:b/>
        </w:rPr>
      </w:pPr>
      <w:r w:rsidRPr="00AF310C">
        <w:rPr>
          <w:rFonts w:ascii="ITC Avant Garde" w:eastAsia="Calibri" w:hAnsi="ITC Avant Garde" w:cs="Times New Roman"/>
          <w:b/>
        </w:rPr>
        <w:t>Modificaciones Técnicas.</w:t>
      </w:r>
      <w:r w:rsidRPr="00AF310C">
        <w:rPr>
          <w:rFonts w:ascii="ITC Avant Garde" w:eastAsia="Calibri" w:hAnsi="ITC Avant Garde" w:cs="Times New Roman"/>
        </w:rPr>
        <w:t xml:space="preserve"> </w:t>
      </w:r>
      <w:r w:rsidRPr="00AF310C">
        <w:rPr>
          <w:rFonts w:ascii="ITC Avant Garde" w:eastAsia="Calibri" w:hAnsi="ITC Avant Garde" w:cs="Times New Roman"/>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56D544E1" w14:textId="77777777" w:rsidR="00AF310C" w:rsidRPr="00AF310C" w:rsidRDefault="00AF310C" w:rsidP="00AF310C">
      <w:pPr>
        <w:numPr>
          <w:ilvl w:val="0"/>
          <w:numId w:val="34"/>
        </w:numPr>
        <w:spacing w:afterLines="120" w:after="288" w:line="276" w:lineRule="auto"/>
        <w:jc w:val="both"/>
        <w:rPr>
          <w:rFonts w:ascii="ITC Avant Garde" w:eastAsia="Times New Roman" w:hAnsi="ITC Avant Garde" w:cs="Times New Roman"/>
          <w:lang w:val="es-ES_tradnl" w:eastAsia="es-ES"/>
        </w:rPr>
      </w:pPr>
      <w:r w:rsidRPr="00AF310C">
        <w:rPr>
          <w:rFonts w:ascii="ITC Avant Garde" w:eastAsia="Times New Roman" w:hAnsi="ITC Avant Garde" w:cs="Times New Roman"/>
          <w:b/>
          <w:lang w:eastAsia="es-ES"/>
        </w:rPr>
        <w:t>Multiprogramación.</w:t>
      </w:r>
      <w:r w:rsidRPr="00AF310C">
        <w:rPr>
          <w:rFonts w:ascii="ITC Avant Garde" w:eastAsia="Times New Roman" w:hAnsi="ITC Avant Garde" w:cs="Times New Roman"/>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4EC03DDC" w14:textId="77777777" w:rsidR="00AF310C" w:rsidRPr="00AF310C" w:rsidRDefault="00AF310C" w:rsidP="00AF310C">
      <w:pPr>
        <w:numPr>
          <w:ilvl w:val="0"/>
          <w:numId w:val="34"/>
        </w:numPr>
        <w:spacing w:afterLines="120" w:after="288" w:line="276" w:lineRule="auto"/>
        <w:jc w:val="both"/>
        <w:rPr>
          <w:rFonts w:ascii="ITC Avant Garde" w:eastAsia="Times New Roman" w:hAnsi="ITC Avant Garde" w:cs="Times New Roman"/>
          <w:lang w:val="es-ES_tradnl" w:eastAsia="es-ES"/>
        </w:rPr>
      </w:pPr>
      <w:r w:rsidRPr="00AF310C">
        <w:rPr>
          <w:rFonts w:ascii="ITC Avant Garde" w:eastAsia="Times New Roman" w:hAnsi="ITC Avant Garde" w:cs="Times New Roman"/>
          <w:b/>
          <w:lang w:val="es-ES_tradnl" w:eastAsia="es-ES"/>
        </w:rPr>
        <w:t>Contraprestaciones.</w:t>
      </w:r>
      <w:r w:rsidRPr="00AF310C">
        <w:rPr>
          <w:rFonts w:ascii="ITC Avant Garde" w:eastAsia="Times New Roman" w:hAnsi="ITC Avant Garde" w:cs="Times New Roman"/>
          <w:lang w:val="es-ES_tradnl" w:eastAsia="es-ES"/>
        </w:rPr>
        <w:t xml:space="preserve"> </w:t>
      </w:r>
      <w:r w:rsidRPr="00AF310C">
        <w:rPr>
          <w:rFonts w:ascii="ITC Avant Garde" w:eastAsia="Times New Roman" w:hAnsi="ITC Avant Garde" w:cs="Times New Roman"/>
          <w:lang w:eastAsia="es-ES"/>
        </w:rPr>
        <w:t xml:space="preserve">El Concesionario enteró a la Tesorería de la Federación la cantidad </w:t>
      </w:r>
      <w:r w:rsidRPr="00AF310C">
        <w:rPr>
          <w:rFonts w:ascii="ITC Avant Garde" w:eastAsia="Times New Roman" w:hAnsi="ITC Avant Garde" w:cs="Times New Roman"/>
          <w:lang w:eastAsia="es-ES"/>
        </w:rPr>
        <w:fldChar w:fldCharType="begin"/>
      </w:r>
      <w:r w:rsidRPr="00AF310C">
        <w:rPr>
          <w:rFonts w:ascii="ITC Avant Garde" w:eastAsia="Times New Roman" w:hAnsi="ITC Avant Garde" w:cs="Times New Roman"/>
          <w:lang w:eastAsia="es-ES"/>
        </w:rPr>
        <w:instrText xml:space="preserve"> MERGEFIELD CONTRAPRESTACIÓN_PAGADA </w:instrText>
      </w:r>
      <w:r w:rsidRPr="00AF310C">
        <w:rPr>
          <w:rFonts w:ascii="ITC Avant Garde" w:eastAsia="Times New Roman" w:hAnsi="ITC Avant Garde" w:cs="Times New Roman"/>
          <w:lang w:eastAsia="es-ES"/>
        </w:rPr>
        <w:fldChar w:fldCharType="separate"/>
      </w:r>
      <w:r w:rsidRPr="00AF310C">
        <w:rPr>
          <w:rFonts w:ascii="ITC Avant Garde" w:eastAsia="Times New Roman" w:hAnsi="ITC Avant Garde" w:cs="Times New Roman"/>
          <w:noProof/>
          <w:lang w:eastAsia="es-ES"/>
        </w:rPr>
        <w:t>«CONTRAPRESTACIÓN_PAGADA»</w:t>
      </w:r>
      <w:r w:rsidRPr="00AF310C">
        <w:rPr>
          <w:rFonts w:ascii="ITC Avant Garde" w:eastAsia="Times New Roman" w:hAnsi="ITC Avant Garde" w:cs="Times New Roman"/>
          <w:lang w:eastAsia="es-ES"/>
        </w:rPr>
        <w:fldChar w:fldCharType="end"/>
      </w:r>
      <w:r w:rsidRPr="00AF310C">
        <w:rPr>
          <w:rFonts w:ascii="ITC Avant Garde" w:eastAsia="Times New Roman" w:hAnsi="ITC Avant Garde" w:cs="Times New Roman"/>
          <w:lang w:val="es-ES_tradnl" w:eastAsia="es-MX"/>
        </w:rPr>
        <w:t xml:space="preserve"> </w:t>
      </w:r>
      <w:r w:rsidRPr="00AF310C">
        <w:rPr>
          <w:rFonts w:ascii="ITC Avant Garde" w:eastAsia="Times New Roman" w:hAnsi="ITC Avant Garde" w:cs="Times New Roman"/>
          <w:kern w:val="1"/>
          <w:lang w:val="es-ES" w:eastAsia="ar-SA"/>
        </w:rPr>
        <w:t>(</w:t>
      </w:r>
      <w:r w:rsidRPr="00AF310C">
        <w:rPr>
          <w:rFonts w:ascii="ITC Avant Garde" w:eastAsia="Times New Roman" w:hAnsi="ITC Avant Garde" w:cs="Times New Roman"/>
          <w:kern w:val="1"/>
          <w:lang w:val="es-ES" w:eastAsia="ar-SA"/>
        </w:rPr>
        <w:fldChar w:fldCharType="begin"/>
      </w:r>
      <w:r w:rsidRPr="00AF310C">
        <w:rPr>
          <w:rFonts w:ascii="ITC Avant Garde" w:eastAsia="Times New Roman" w:hAnsi="ITC Avant Garde" w:cs="Times New Roman"/>
          <w:kern w:val="1"/>
          <w:lang w:val="es-ES" w:eastAsia="ar-SA"/>
        </w:rPr>
        <w:instrText xml:space="preserve"> MERGEFIELD CONTRAPRESTACION_PAGADA_LETRA </w:instrText>
      </w:r>
      <w:r w:rsidRPr="00AF310C">
        <w:rPr>
          <w:rFonts w:ascii="ITC Avant Garde" w:eastAsia="Times New Roman" w:hAnsi="ITC Avant Garde" w:cs="Times New Roman"/>
          <w:kern w:val="1"/>
          <w:lang w:val="es-ES" w:eastAsia="ar-SA"/>
        </w:rPr>
        <w:fldChar w:fldCharType="separate"/>
      </w:r>
      <w:r w:rsidRPr="00AF310C">
        <w:rPr>
          <w:rFonts w:ascii="ITC Avant Garde" w:eastAsia="Times New Roman" w:hAnsi="ITC Avant Garde" w:cs="Times New Roman"/>
          <w:noProof/>
          <w:kern w:val="1"/>
          <w:lang w:val="es-ES" w:eastAsia="ar-SA"/>
        </w:rPr>
        <w:t>«CONTRAPRESTACION_PAGADA_LETRA»</w:t>
      </w:r>
      <w:r w:rsidRPr="00AF310C">
        <w:rPr>
          <w:rFonts w:ascii="ITC Avant Garde" w:eastAsia="Times New Roman" w:hAnsi="ITC Avant Garde" w:cs="Times New Roman"/>
          <w:kern w:val="1"/>
          <w:lang w:val="es-ES" w:eastAsia="ar-SA"/>
        </w:rPr>
        <w:fldChar w:fldCharType="end"/>
      </w:r>
      <w:r w:rsidRPr="00AF310C">
        <w:rPr>
          <w:rFonts w:ascii="ITC Avant Garde" w:eastAsia="Times New Roman" w:hAnsi="ITC Avant Garde" w:cs="Times New Roman"/>
          <w:kern w:val="1"/>
          <w:lang w:val="es-ES" w:eastAsia="ar-SA"/>
        </w:rPr>
        <w:t xml:space="preserve"> pesos 00/100 M.N.)</w:t>
      </w:r>
      <w:r w:rsidRPr="00AF310C">
        <w:rPr>
          <w:rFonts w:ascii="ITC Avant Garde" w:eastAsia="Calibri" w:hAnsi="ITC Avant Garde" w:cs="Times New Roman"/>
          <w:lang w:eastAsia="es-MX"/>
        </w:rPr>
        <w:t xml:space="preserve">, </w:t>
      </w:r>
      <w:r w:rsidRPr="00AF310C">
        <w:rPr>
          <w:rFonts w:ascii="ITC Avant Garde" w:eastAsia="Times New Roman" w:hAnsi="ITC Avant Garde" w:cs="Times New Roman"/>
          <w:lang w:eastAsia="es-ES"/>
        </w:rPr>
        <w:t xml:space="preserve">por concepto de pago de contraprestación por el otorgamiento de la Concesión de espectro </w:t>
      </w:r>
      <w:r w:rsidRPr="00AF310C">
        <w:rPr>
          <w:rFonts w:ascii="ITC Avant Garde" w:eastAsia="Times New Roman" w:hAnsi="ITC Avant Garde" w:cs="Times New Roman"/>
          <w:lang w:eastAsia="es-ES"/>
        </w:rPr>
        <w:lastRenderedPageBreak/>
        <w:t>radioeléctrico. Asimismo, el Concesionario queda obligado a pagar todas las contribuciones que al efecto establezcan las disposiciones aplicables en la materia.</w:t>
      </w:r>
    </w:p>
    <w:p w14:paraId="4011FDC2" w14:textId="77777777" w:rsidR="00AF310C" w:rsidRPr="00AF310C" w:rsidRDefault="00AF310C" w:rsidP="00AF310C">
      <w:pPr>
        <w:spacing w:afterLines="120" w:after="288" w:line="276" w:lineRule="auto"/>
        <w:jc w:val="center"/>
        <w:rPr>
          <w:rFonts w:ascii="ITC Avant Garde" w:eastAsia="Calibri" w:hAnsi="ITC Avant Garde" w:cs="Times New Roman"/>
          <w:b/>
          <w:bCs/>
        </w:rPr>
      </w:pPr>
      <w:r w:rsidRPr="00AF310C">
        <w:rPr>
          <w:rFonts w:ascii="ITC Avant Garde" w:eastAsia="Calibri" w:hAnsi="ITC Avant Garde" w:cs="Times New Roman"/>
          <w:b/>
          <w:bCs/>
        </w:rPr>
        <w:t>Jurisdicción y competencia</w:t>
      </w:r>
    </w:p>
    <w:p w14:paraId="0D40D758" w14:textId="77777777" w:rsidR="00AF310C" w:rsidRPr="00AF310C" w:rsidRDefault="00AF310C" w:rsidP="00AF310C">
      <w:pPr>
        <w:numPr>
          <w:ilvl w:val="0"/>
          <w:numId w:val="34"/>
        </w:numPr>
        <w:spacing w:afterLines="120" w:after="288" w:line="276" w:lineRule="auto"/>
        <w:jc w:val="both"/>
        <w:rPr>
          <w:rFonts w:ascii="ITC Avant Garde" w:eastAsia="Calibri" w:hAnsi="ITC Avant Garde" w:cs="Times New Roman"/>
        </w:rPr>
      </w:pPr>
      <w:r w:rsidRPr="00AF310C">
        <w:rPr>
          <w:rFonts w:ascii="ITC Avant Garde" w:eastAsia="Calibri" w:hAnsi="ITC Avant Garde" w:cs="Times New Roman"/>
          <w:b/>
          <w:bCs/>
        </w:rPr>
        <w:t xml:space="preserve">Jurisdicción y competencia. </w:t>
      </w:r>
      <w:r w:rsidRPr="00AF310C">
        <w:rPr>
          <w:rFonts w:ascii="ITC Avant Garde" w:eastAsia="Calibri" w:hAnsi="ITC Avant Garde" w:cs="Times New Roman"/>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AF310C">
        <w:rPr>
          <w:rFonts w:ascii="ITC Avant Garde" w:eastAsia="Calibri" w:hAnsi="ITC Avant Garde" w:cs="Times New Roman"/>
        </w:rPr>
        <w:t xml:space="preserve"> </w:t>
      </w:r>
    </w:p>
    <w:p w14:paraId="0B91F29C" w14:textId="77777777" w:rsidR="00AF310C" w:rsidRPr="00AF310C" w:rsidRDefault="00AF310C" w:rsidP="00AF310C">
      <w:pPr>
        <w:spacing w:afterLines="120" w:after="288" w:line="276" w:lineRule="auto"/>
        <w:jc w:val="both"/>
        <w:rPr>
          <w:rFonts w:ascii="ITC Avant Garde" w:eastAsia="Times New Roman" w:hAnsi="ITC Avant Garde" w:cs="Times New Roman"/>
          <w:b/>
          <w:bCs/>
          <w:lang w:eastAsia="es-MX"/>
        </w:rPr>
      </w:pPr>
      <w:r w:rsidRPr="00AF310C">
        <w:rPr>
          <w:rFonts w:ascii="ITC Avant Garde" w:eastAsia="Times New Roman" w:hAnsi="ITC Avant Garde" w:cs="Times New Roman"/>
          <w:b/>
          <w:bCs/>
          <w:lang w:eastAsia="es-MX"/>
        </w:rPr>
        <w:t xml:space="preserve">Ciudad de México, a </w:t>
      </w:r>
      <w:r w:rsidRPr="00AF310C">
        <w:rPr>
          <w:rFonts w:ascii="ITC Avant Garde" w:eastAsia="Times New Roman" w:hAnsi="ITC Avant Garde" w:cs="Times New Roman"/>
          <w:b/>
          <w:color w:val="00B0F0"/>
          <w:sz w:val="24"/>
          <w:szCs w:val="24"/>
          <w:lang w:eastAsia="es-MX"/>
        </w:rPr>
        <w:t>(…)</w:t>
      </w:r>
    </w:p>
    <w:p w14:paraId="79150184" w14:textId="77777777" w:rsidR="00AF310C" w:rsidRPr="00AF310C" w:rsidRDefault="00AF310C" w:rsidP="00AF310C">
      <w:pPr>
        <w:spacing w:afterLines="50" w:after="120" w:line="276" w:lineRule="auto"/>
        <w:jc w:val="center"/>
        <w:rPr>
          <w:rFonts w:ascii="ITC Avant Garde" w:eastAsia="Times New Roman" w:hAnsi="ITC Avant Garde" w:cs="Times New Roman"/>
          <w:b/>
          <w:bCs/>
          <w:lang w:eastAsia="es-MX"/>
        </w:rPr>
      </w:pPr>
      <w:r w:rsidRPr="00AF310C">
        <w:rPr>
          <w:rFonts w:ascii="ITC Avant Garde" w:eastAsia="Times New Roman" w:hAnsi="ITC Avant Garde" w:cs="Times New Roman"/>
          <w:b/>
          <w:bCs/>
          <w:lang w:eastAsia="es-MX"/>
        </w:rPr>
        <w:t>INSTITUTO FEDERAL DE TELECOMUNICACIONES</w:t>
      </w:r>
    </w:p>
    <w:p w14:paraId="35E823A8" w14:textId="77777777" w:rsidR="00AF310C" w:rsidRPr="00AF310C" w:rsidRDefault="00AF310C" w:rsidP="00AF310C">
      <w:pPr>
        <w:spacing w:afterLines="50" w:after="120" w:line="276" w:lineRule="auto"/>
        <w:jc w:val="center"/>
        <w:rPr>
          <w:rFonts w:ascii="ITC Avant Garde" w:eastAsia="Times New Roman" w:hAnsi="ITC Avant Garde" w:cs="Times New Roman"/>
          <w:b/>
          <w:bCs/>
          <w:lang w:eastAsia="es-MX"/>
        </w:rPr>
      </w:pPr>
      <w:r w:rsidRPr="00AF310C">
        <w:rPr>
          <w:rFonts w:ascii="ITC Avant Garde" w:eastAsia="Times New Roman" w:hAnsi="ITC Avant Garde" w:cs="Times New Roman"/>
          <w:b/>
          <w:bCs/>
          <w:lang w:eastAsia="es-MX"/>
        </w:rPr>
        <w:t>EL COMISIONADO PRESIDENTE</w:t>
      </w:r>
    </w:p>
    <w:p w14:paraId="25ACC3DE" w14:textId="77777777" w:rsidR="00AF310C" w:rsidRPr="00AF310C" w:rsidRDefault="00AF310C" w:rsidP="00AF310C">
      <w:pPr>
        <w:spacing w:afterLines="50" w:after="120" w:line="276" w:lineRule="auto"/>
        <w:jc w:val="center"/>
        <w:rPr>
          <w:rFonts w:ascii="ITC Avant Garde" w:eastAsia="Times New Roman" w:hAnsi="ITC Avant Garde" w:cs="Times New Roman"/>
          <w:b/>
          <w:bCs/>
          <w:lang w:eastAsia="es-MX"/>
        </w:rPr>
      </w:pPr>
      <w:r w:rsidRPr="00AF310C">
        <w:rPr>
          <w:rFonts w:ascii="ITC Avant Garde" w:eastAsia="Times New Roman" w:hAnsi="ITC Avant Garde" w:cs="Times New Roman"/>
          <w:b/>
          <w:color w:val="00B0F0"/>
          <w:sz w:val="24"/>
          <w:szCs w:val="24"/>
          <w:lang w:eastAsia="es-MX"/>
        </w:rPr>
        <w:t>(…)</w:t>
      </w:r>
    </w:p>
    <w:p w14:paraId="6FE2DB56" w14:textId="77777777" w:rsidR="00AF310C" w:rsidRPr="00AF310C" w:rsidRDefault="00AF310C" w:rsidP="00AF310C">
      <w:pPr>
        <w:spacing w:afterLines="250" w:after="600" w:line="276" w:lineRule="auto"/>
        <w:jc w:val="center"/>
        <w:rPr>
          <w:rFonts w:ascii="ITC Avant Garde" w:eastAsia="Times New Roman" w:hAnsi="ITC Avant Garde" w:cs="Times New Roman"/>
          <w:b/>
          <w:bCs/>
          <w:lang w:eastAsia="es-MX"/>
        </w:rPr>
      </w:pPr>
      <w:r w:rsidRPr="00AF310C">
        <w:rPr>
          <w:rFonts w:ascii="ITC Avant Garde" w:eastAsia="Times New Roman" w:hAnsi="ITC Avant Garde" w:cs="Times New Roman"/>
          <w:b/>
          <w:bCs/>
          <w:lang w:eastAsia="es-MX"/>
        </w:rPr>
        <w:t>GABRIEL OSWALDO CONTRERAS SALDÍVAR</w:t>
      </w:r>
    </w:p>
    <w:p w14:paraId="6D055B37" w14:textId="77777777" w:rsidR="00AF310C" w:rsidRPr="00AF310C" w:rsidRDefault="00AF310C" w:rsidP="00AF310C">
      <w:pPr>
        <w:spacing w:after="120"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EL CONCESIONARIO</w:t>
      </w:r>
    </w:p>
    <w:p w14:paraId="70376203" w14:textId="77777777" w:rsidR="00AF310C" w:rsidRDefault="00AF310C" w:rsidP="00AF310C">
      <w:pPr>
        <w:spacing w:afterLines="120" w:after="288" w:line="240" w:lineRule="auto"/>
        <w:jc w:val="center"/>
        <w:rPr>
          <w:rFonts w:ascii="ITC Avant Garde" w:eastAsia="Calibri" w:hAnsi="ITC Avant Garde" w:cs="Times New Roman"/>
          <w:b/>
          <w:color w:val="00B0F0"/>
        </w:rPr>
        <w:sectPr w:rsidR="00AF310C" w:rsidSect="00F0000C">
          <w:headerReference w:type="default" r:id="rId10"/>
          <w:footerReference w:type="default" r:id="rId11"/>
          <w:pgSz w:w="12240" w:h="15840"/>
          <w:pgMar w:top="1985" w:right="1418" w:bottom="1418" w:left="1418" w:header="709" w:footer="782" w:gutter="0"/>
          <w:cols w:space="708"/>
          <w:docGrid w:linePitch="360"/>
        </w:sectPr>
      </w:pPr>
      <w:r w:rsidRPr="00AF310C">
        <w:rPr>
          <w:rFonts w:ascii="ITC Avant Garde" w:eastAsia="Calibri" w:hAnsi="ITC Avant Garde" w:cs="Times New Roman"/>
          <w:b/>
          <w:color w:val="00B0F0"/>
        </w:rPr>
        <w:t>(…)</w:t>
      </w:r>
    </w:p>
    <w:p w14:paraId="2D32C9CE" w14:textId="2CC6C499" w:rsidR="00AF310C" w:rsidRPr="00AF310C" w:rsidRDefault="00AF310C" w:rsidP="00553FC4">
      <w:pPr>
        <w:pStyle w:val="Ttulo1"/>
        <w:spacing w:before="0" w:after="360"/>
        <w:jc w:val="center"/>
        <w:rPr>
          <w:rFonts w:ascii="ITC Avant Garde" w:hAnsi="ITC Avant Garde"/>
          <w:b/>
          <w:color w:val="auto"/>
          <w:sz w:val="22"/>
          <w:szCs w:val="22"/>
        </w:rPr>
      </w:pPr>
      <w:r>
        <w:rPr>
          <w:rFonts w:ascii="ITC Avant Garde" w:hAnsi="ITC Avant Garde"/>
          <w:b/>
          <w:color w:val="auto"/>
          <w:sz w:val="22"/>
          <w:szCs w:val="22"/>
        </w:rPr>
        <w:lastRenderedPageBreak/>
        <w:t>ANEXO 2</w:t>
      </w:r>
      <w:r w:rsidRPr="00AF310C">
        <w:rPr>
          <w:rFonts w:ascii="ITC Avant Garde" w:hAnsi="ITC Avant Garde"/>
          <w:b/>
          <w:color w:val="auto"/>
          <w:sz w:val="22"/>
          <w:szCs w:val="22"/>
        </w:rPr>
        <w:t>.</w:t>
      </w:r>
    </w:p>
    <w:p w14:paraId="736A6F78" w14:textId="77777777" w:rsidR="00AF310C" w:rsidRPr="00AF310C" w:rsidRDefault="00AF310C" w:rsidP="00AF310C">
      <w:pPr>
        <w:spacing w:afterLines="120" w:after="288" w:line="276" w:lineRule="auto"/>
        <w:jc w:val="both"/>
        <w:rPr>
          <w:rFonts w:ascii="ITC Avant Garde" w:eastAsia="Times New Roman" w:hAnsi="ITC Avant Garde" w:cs="Times New Roman"/>
          <w:b/>
          <w:lang w:eastAsia="es-MX"/>
        </w:rPr>
      </w:pPr>
      <w:r w:rsidRPr="00AF310C">
        <w:rPr>
          <w:rFonts w:ascii="ITC Avant Garde" w:eastAsia="Times New Roman" w:hAnsi="ITC Avant Garde" w:cs="Times New Roman"/>
          <w:b/>
          <w:bCs/>
          <w:color w:val="000000"/>
          <w:lang w:eastAsia="es-MX"/>
        </w:rPr>
        <w:t xml:space="preserve">MODELO DE TÍTULO DE CONCESIÓN ÚNICA PARA USO COMERCIAL, QUE OTORGA EL INSTITUTO FEDERAL DE TELECOMUNICACIONES PARA PRESTAR SERVICIOS PÚBLICOS DE TELECOMUNICACIONES Y RADIODIFUSIÓN, A FAVOR DE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b/>
          <w:bCs/>
          <w:color w:val="000000"/>
          <w:lang w:eastAsia="es-MX"/>
        </w:rPr>
        <w:t xml:space="preserve">, </w:t>
      </w:r>
      <w:r w:rsidRPr="00AF310C">
        <w:rPr>
          <w:rFonts w:ascii="ITC Avant Garde" w:eastAsia="Times New Roman" w:hAnsi="ITC Avant Garde" w:cs="Times New Roman"/>
          <w:b/>
          <w:lang w:eastAsia="es-MX"/>
        </w:rPr>
        <w:t>DE CONFORMIDAD CON LOS SIGUIENTES:</w:t>
      </w:r>
    </w:p>
    <w:p w14:paraId="55434B6C" w14:textId="77777777" w:rsidR="00AF310C" w:rsidRPr="00AF310C" w:rsidRDefault="00AF310C" w:rsidP="00AF310C">
      <w:pPr>
        <w:spacing w:afterLines="120" w:after="288"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ANTECEDENTES</w:t>
      </w:r>
    </w:p>
    <w:p w14:paraId="11B15FC1" w14:textId="77777777" w:rsidR="00AF310C" w:rsidRPr="00AF310C" w:rsidRDefault="00AF310C" w:rsidP="00AF310C">
      <w:pPr>
        <w:numPr>
          <w:ilvl w:val="0"/>
          <w:numId w:val="33"/>
        </w:numPr>
        <w:spacing w:afterLines="120" w:after="288" w:line="276" w:lineRule="auto"/>
        <w:ind w:left="567" w:hanging="567"/>
        <w:jc w:val="both"/>
        <w:rPr>
          <w:rFonts w:ascii="ITC Avant Garde" w:eastAsia="Times New Roman" w:hAnsi="ITC Avant Garde" w:cs="Times New Roman"/>
          <w:lang w:eastAsia="es-MX"/>
        </w:rPr>
      </w:pPr>
      <w:r w:rsidRPr="00AF310C">
        <w:rPr>
          <w:rFonts w:ascii="ITC Avant Garde" w:eastAsia="Times New Roman" w:hAnsi="ITC Avant Garde" w:cs="Times New Roman"/>
          <w:lang w:eastAsia="es-MX"/>
        </w:rPr>
        <w:t xml:space="preserve">Mediante escrito presentado con fecha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lang w:eastAsia="es-MX"/>
        </w:rPr>
        <w:t>,</w:t>
      </w:r>
      <w:r w:rsidRPr="00AF310C">
        <w:rPr>
          <w:rFonts w:ascii="ITC Avant Garde" w:eastAsia="Times New Roman" w:hAnsi="ITC Avant Garde" w:cs="Times New Roman"/>
          <w:bCs/>
          <w:lang w:eastAsia="es-MX"/>
        </w:rPr>
        <w:t xml:space="preserve"> solicitó la prórroga del título de concesión para continuar explotando comercialmente la frecuencia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lang w:eastAsia="es-MX"/>
        </w:rPr>
        <w:t xml:space="preserve"> </w:t>
      </w:r>
      <w:r w:rsidRPr="00AF310C">
        <w:rPr>
          <w:rFonts w:ascii="ITC Avant Garde" w:eastAsia="Times New Roman" w:hAnsi="ITC Avant Garde" w:cs="Times New Roman"/>
          <w:bCs/>
          <w:lang w:eastAsia="es-MX"/>
        </w:rPr>
        <w:t>a través de la estación con distintivo de llamada</w:t>
      </w:r>
      <w:r w:rsidRPr="00AF310C">
        <w:rPr>
          <w:rFonts w:ascii="ITC Avant Garde" w:eastAsia="Times New Roman" w:hAnsi="ITC Avant Garde" w:cs="Times New Roman"/>
          <w:lang w:eastAsia="es-MX"/>
        </w:rPr>
        <w:t xml:space="preserve">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lang w:eastAsia="es-MX"/>
        </w:rPr>
        <w:t xml:space="preserve"> en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bCs/>
          <w:lang w:eastAsia="es-MX"/>
        </w:rPr>
        <w:t xml:space="preserve"> que le fue otorgado en fecha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bCs/>
          <w:lang w:eastAsia="es-MX"/>
        </w:rPr>
        <w:t xml:space="preserve"> </w:t>
      </w:r>
      <w:r w:rsidRPr="00AF310C">
        <w:rPr>
          <w:rFonts w:ascii="ITC Avant Garde" w:eastAsia="Times New Roman" w:hAnsi="ITC Avant Garde" w:cs="Times New Roman"/>
          <w:lang w:eastAsia="es-MX"/>
        </w:rPr>
        <w:t xml:space="preserve">con vigencia de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lang w:eastAsia="es-MX"/>
        </w:rPr>
        <w:t xml:space="preserve"> años, contados a partir del día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lang w:eastAsia="es-MX"/>
        </w:rPr>
        <w:t xml:space="preserve"> y vencimiento el día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lang w:eastAsia="es-MX"/>
        </w:rPr>
        <w:t>.</w:t>
      </w:r>
    </w:p>
    <w:p w14:paraId="5CB329B5" w14:textId="77777777" w:rsidR="00AF310C" w:rsidRPr="00AF310C" w:rsidRDefault="00AF310C" w:rsidP="00AF310C">
      <w:pPr>
        <w:numPr>
          <w:ilvl w:val="0"/>
          <w:numId w:val="33"/>
        </w:numPr>
        <w:spacing w:afterLines="120" w:after="288" w:line="276" w:lineRule="auto"/>
        <w:ind w:left="567" w:hanging="567"/>
        <w:jc w:val="both"/>
        <w:rPr>
          <w:rFonts w:ascii="ITC Avant Garde" w:eastAsia="Times New Roman" w:hAnsi="ITC Avant Garde" w:cs="Times New Roman"/>
          <w:lang w:val="es-ES_tradnl" w:eastAsia="es-MX"/>
        </w:rPr>
      </w:pPr>
      <w:r w:rsidRPr="00AF310C">
        <w:rPr>
          <w:rFonts w:ascii="ITC Avant Garde" w:eastAsia="Times New Roman" w:hAnsi="ITC Avant Garde" w:cs="Times New Roman"/>
          <w:lang w:eastAsia="es-ES"/>
        </w:rPr>
        <w:t xml:space="preserve">El Pleno del Instituto Federal de Telecomunicaciones, mediante resolución </w:t>
      </w:r>
      <w:r w:rsidRPr="00AF310C">
        <w:rPr>
          <w:rFonts w:ascii="ITC Avant Garde" w:eastAsia="Times New Roman" w:hAnsi="ITC Avant Garde" w:cs="Times New Roman"/>
          <w:b/>
          <w:bCs/>
          <w:color w:val="00B0F0"/>
          <w:lang w:val="es-ES_tradnl" w:eastAsia="es-ES"/>
        </w:rPr>
        <w:t>(…)</w:t>
      </w:r>
      <w:r w:rsidRPr="00AF310C">
        <w:rPr>
          <w:rFonts w:ascii="ITC Avant Garde" w:eastAsia="Times New Roman" w:hAnsi="ITC Avant Garde" w:cs="Times New Roman"/>
          <w:lang w:eastAsia="es-ES"/>
        </w:rPr>
        <w:t xml:space="preserve"> de fecha </w:t>
      </w:r>
      <w:r w:rsidRPr="00AF310C">
        <w:rPr>
          <w:rFonts w:ascii="ITC Avant Garde" w:eastAsia="Times New Roman" w:hAnsi="ITC Avant Garde" w:cs="Times New Roman"/>
          <w:b/>
          <w:bCs/>
          <w:color w:val="00B0F0"/>
          <w:lang w:val="es-ES_tradnl" w:eastAsia="es-ES"/>
        </w:rPr>
        <w:t>(…)</w:t>
      </w:r>
      <w:r w:rsidRPr="00AF310C">
        <w:rPr>
          <w:rFonts w:ascii="ITC Avant Garde" w:eastAsia="Times New Roman" w:hAnsi="ITC Avant Garde" w:cs="Times New Roman"/>
          <w:lang w:eastAsia="es-ES"/>
        </w:rPr>
        <w:t xml:space="preserve">, </w:t>
      </w:r>
      <w:r w:rsidRPr="00AF310C">
        <w:rPr>
          <w:rFonts w:ascii="ITC Avant Garde" w:eastAsia="Times New Roman" w:hAnsi="ITC Avant Garde" w:cs="Times New Roman"/>
          <w:lang w:val="es-ES_tradnl" w:eastAsia="es-ES"/>
        </w:rPr>
        <w:t>resolvió otorgar</w:t>
      </w:r>
      <w:r w:rsidRPr="00AF310C">
        <w:rPr>
          <w:rFonts w:ascii="ITC Avant Garde" w:eastAsia="Times New Roman" w:hAnsi="ITC Avant Garde" w:cs="Times New Roman"/>
          <w:lang w:eastAsia="es-ES"/>
        </w:rPr>
        <w:t xml:space="preserve"> una Concesión única para uso comercial, a favor de </w:t>
      </w:r>
      <w:r w:rsidRPr="00AF310C">
        <w:rPr>
          <w:rFonts w:ascii="ITC Avant Garde" w:eastAsia="Times New Roman" w:hAnsi="ITC Avant Garde" w:cs="Times New Roman"/>
          <w:b/>
          <w:bCs/>
          <w:color w:val="00B0F0"/>
          <w:lang w:val="es-ES_tradnl" w:eastAsia="es-ES"/>
        </w:rPr>
        <w:t>(…)</w:t>
      </w:r>
      <w:r w:rsidRPr="00AF310C">
        <w:rPr>
          <w:rFonts w:ascii="ITC Avant Garde" w:eastAsia="Times New Roman" w:hAnsi="ITC Avant Garde" w:cs="Times New Roman"/>
          <w:lang w:eastAsia="es-ES"/>
        </w:rPr>
        <w:t>.</w:t>
      </w:r>
    </w:p>
    <w:p w14:paraId="6053E03D" w14:textId="77777777" w:rsidR="00AF310C" w:rsidRPr="00AF310C" w:rsidRDefault="00AF310C" w:rsidP="00AF310C">
      <w:pPr>
        <w:spacing w:afterLines="120" w:after="288" w:line="276" w:lineRule="auto"/>
        <w:jc w:val="both"/>
        <w:rPr>
          <w:rFonts w:ascii="ITC Avant Garde" w:eastAsia="Times New Roman" w:hAnsi="ITC Avant Garde" w:cs="Times New Roman"/>
          <w:lang w:eastAsia="es-MX"/>
        </w:rPr>
      </w:pPr>
      <w:r w:rsidRPr="00AF310C">
        <w:rPr>
          <w:rFonts w:ascii="ITC Avant Garde" w:eastAsia="Times New Roman" w:hAnsi="ITC Avant Garde" w:cs="Times New Roman"/>
          <w:lang w:eastAsia="es-MX"/>
        </w:rPr>
        <w:t>Derivado de lo anterior, con fundamento en los artículos 28 párrafos décimo quinto, décimo sexto y décimo séptimo de la Constitución Política de los Estados Unidos Mexicanos;</w:t>
      </w:r>
      <w:r w:rsidRPr="00AF310C">
        <w:rPr>
          <w:rFonts w:ascii="ITC Avant Garde" w:eastAsia="Times New Roman" w:hAnsi="ITC Avant Garde" w:cs="Times New Roman"/>
          <w:bCs/>
          <w:lang w:eastAsia="es-MX"/>
        </w:rPr>
        <w:t xml:space="preserve"> </w:t>
      </w:r>
      <w:r w:rsidRPr="00AF310C">
        <w:rPr>
          <w:rFonts w:ascii="ITC Avant Garde" w:eastAsia="Times New Roman" w:hAnsi="ITC Avant Garde" w:cs="Times New Roman"/>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0CCE7C0D" w14:textId="77777777" w:rsidR="00AF310C" w:rsidRPr="00AF310C" w:rsidRDefault="00AF310C" w:rsidP="00AF310C">
      <w:pPr>
        <w:spacing w:afterLines="120" w:after="288"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CONDICIONES</w:t>
      </w:r>
    </w:p>
    <w:p w14:paraId="6879A3CF" w14:textId="77777777" w:rsidR="00AF310C" w:rsidRPr="00AF310C" w:rsidRDefault="00AF310C" w:rsidP="00AF310C">
      <w:pPr>
        <w:spacing w:afterLines="120" w:after="288"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Disposiciones Generales</w:t>
      </w:r>
    </w:p>
    <w:p w14:paraId="1D8E3908" w14:textId="77777777" w:rsidR="00AF310C" w:rsidRPr="00AF310C" w:rsidRDefault="00AF310C" w:rsidP="00AF310C">
      <w:pPr>
        <w:numPr>
          <w:ilvl w:val="0"/>
          <w:numId w:val="36"/>
        </w:numPr>
        <w:spacing w:afterLines="120" w:after="288" w:line="276" w:lineRule="auto"/>
        <w:ind w:left="567" w:hanging="425"/>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 xml:space="preserve">Definición de términos. </w:t>
      </w:r>
      <w:r w:rsidRPr="00AF310C">
        <w:rPr>
          <w:rFonts w:ascii="ITC Avant Garde" w:eastAsia="Times New Roman" w:hAnsi="ITC Avant Garde" w:cs="Times New Roman"/>
          <w:bCs/>
          <w:color w:val="000000"/>
          <w:lang w:eastAsia="es-MX"/>
        </w:rPr>
        <w:t>Para los efectos del presente título, además de los conceptos establecidos en la Ley Federal de Telecomunicaciones y Radiodifusión, se entenderá por:</w:t>
      </w:r>
    </w:p>
    <w:p w14:paraId="742EB2E8" w14:textId="77777777" w:rsidR="00AF310C" w:rsidRPr="00AF310C" w:rsidRDefault="00AF310C" w:rsidP="00AF310C">
      <w:pPr>
        <w:numPr>
          <w:ilvl w:val="1"/>
          <w:numId w:val="37"/>
        </w:numPr>
        <w:spacing w:afterLines="120" w:after="288" w:line="276" w:lineRule="auto"/>
        <w:ind w:left="1276"/>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 xml:space="preserve">Concesión única: </w:t>
      </w:r>
      <w:r w:rsidRPr="00AF310C">
        <w:rPr>
          <w:rFonts w:ascii="ITC Avant Garde" w:eastAsia="Times New Roman" w:hAnsi="ITC Avant Garde" w:cs="Times New Roman"/>
          <w:bCs/>
          <w:color w:val="000000"/>
          <w:lang w:eastAsia="es-MX"/>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14:paraId="3E9267AA" w14:textId="77777777" w:rsidR="00AF310C" w:rsidRPr="00AF310C" w:rsidRDefault="00AF310C" w:rsidP="00AF310C">
      <w:pPr>
        <w:numPr>
          <w:ilvl w:val="1"/>
          <w:numId w:val="37"/>
        </w:numPr>
        <w:spacing w:afterLines="120" w:after="288" w:line="276" w:lineRule="auto"/>
        <w:ind w:left="1276"/>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Concesionario:</w:t>
      </w:r>
      <w:r w:rsidRPr="00AF310C">
        <w:rPr>
          <w:rFonts w:ascii="ITC Avant Garde" w:eastAsia="Times New Roman" w:hAnsi="ITC Avant Garde" w:cs="Times New Roman"/>
          <w:bCs/>
          <w:color w:val="000000"/>
          <w:lang w:eastAsia="es-MX"/>
        </w:rPr>
        <w:t xml:space="preserve"> La persona física o moral, titular de la Concesión única.</w:t>
      </w:r>
    </w:p>
    <w:p w14:paraId="119FC87E" w14:textId="77777777" w:rsidR="00AF310C" w:rsidRPr="00AF310C" w:rsidRDefault="00AF310C" w:rsidP="00AF310C">
      <w:pPr>
        <w:numPr>
          <w:ilvl w:val="1"/>
          <w:numId w:val="37"/>
        </w:numPr>
        <w:spacing w:afterLines="120" w:after="288" w:line="276" w:lineRule="auto"/>
        <w:ind w:left="1276"/>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lastRenderedPageBreak/>
        <w:t xml:space="preserve">Instituto: </w:t>
      </w:r>
      <w:r w:rsidRPr="00AF310C">
        <w:rPr>
          <w:rFonts w:ascii="ITC Avant Garde" w:eastAsia="Times New Roman" w:hAnsi="ITC Avant Garde" w:cs="Times New Roman"/>
          <w:bCs/>
          <w:color w:val="000000"/>
          <w:lang w:eastAsia="es-MX"/>
        </w:rPr>
        <w:t>El Instituto Federal de Telecomunicaciones, y</w:t>
      </w:r>
    </w:p>
    <w:p w14:paraId="39DB342F" w14:textId="77777777" w:rsidR="00AF310C" w:rsidRPr="00AF310C" w:rsidRDefault="00AF310C" w:rsidP="00AF310C">
      <w:pPr>
        <w:numPr>
          <w:ilvl w:val="1"/>
          <w:numId w:val="37"/>
        </w:numPr>
        <w:spacing w:afterLines="120" w:after="288" w:line="276" w:lineRule="auto"/>
        <w:ind w:left="1276"/>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 xml:space="preserve">Ley: </w:t>
      </w:r>
      <w:r w:rsidRPr="00AF310C">
        <w:rPr>
          <w:rFonts w:ascii="ITC Avant Garde" w:eastAsia="Times New Roman" w:hAnsi="ITC Avant Garde" w:cs="Times New Roman"/>
          <w:bCs/>
          <w:color w:val="000000"/>
          <w:lang w:eastAsia="es-MX"/>
        </w:rPr>
        <w:t>La Ley Federal de Telecomunicaciones y Radiodifusión.</w:t>
      </w:r>
    </w:p>
    <w:p w14:paraId="296DC192" w14:textId="77777777" w:rsidR="00AF310C" w:rsidRPr="00AF310C" w:rsidRDefault="00AF310C" w:rsidP="00AF310C">
      <w:pPr>
        <w:numPr>
          <w:ilvl w:val="0"/>
          <w:numId w:val="36"/>
        </w:numPr>
        <w:spacing w:afterLines="120" w:after="288" w:line="276" w:lineRule="auto"/>
        <w:ind w:left="705" w:hanging="705"/>
        <w:jc w:val="both"/>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 xml:space="preserve">Domicilio convencional. </w:t>
      </w:r>
      <w:r w:rsidRPr="00AF310C">
        <w:rPr>
          <w:rFonts w:ascii="ITC Avant Garde" w:eastAsia="Times New Roman" w:hAnsi="ITC Avant Garde" w:cs="Times New Roman"/>
          <w:bCs/>
          <w:color w:val="000000"/>
          <w:lang w:eastAsia="es-MX"/>
        </w:rPr>
        <w:t xml:space="preserve">El Concesionario señaló como domicilio para oír y recibir todo tipo de notificaciones y documentos, el ubicado en: </w:t>
      </w:r>
      <w:r w:rsidRPr="00AF310C">
        <w:rPr>
          <w:rFonts w:ascii="ITC Avant Garde" w:eastAsia="Times New Roman" w:hAnsi="ITC Avant Garde" w:cs="Times New Roman"/>
          <w:b/>
          <w:bCs/>
          <w:color w:val="00B0F0"/>
          <w:lang w:eastAsia="es-MX"/>
        </w:rPr>
        <w:t>(…)</w:t>
      </w:r>
    </w:p>
    <w:p w14:paraId="72A7D75A" w14:textId="77777777" w:rsidR="00AF310C" w:rsidRPr="00AF310C" w:rsidRDefault="00AF310C" w:rsidP="00AF310C">
      <w:pPr>
        <w:spacing w:afterLines="120" w:after="288" w:line="276" w:lineRule="auto"/>
        <w:ind w:left="709"/>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AF310C" w:rsidDel="000C0E5E">
        <w:rPr>
          <w:rFonts w:ascii="ITC Avant Garde" w:eastAsia="Times New Roman" w:hAnsi="ITC Avant Garde" w:cs="Times New Roman"/>
          <w:bCs/>
          <w:color w:val="000000"/>
          <w:lang w:eastAsia="es-MX"/>
        </w:rPr>
        <w:t xml:space="preserve"> </w:t>
      </w:r>
    </w:p>
    <w:p w14:paraId="2BFD8551"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 xml:space="preserve">Uso de la Concesión única. </w:t>
      </w:r>
      <w:r w:rsidRPr="00AF310C">
        <w:rPr>
          <w:rFonts w:ascii="ITC Avant Garde" w:eastAsia="Times New Roman" w:hAnsi="ITC Avant Garde" w:cs="Times New Roman"/>
          <w:bCs/>
          <w:color w:val="000000"/>
          <w:lang w:eastAsia="es-MX"/>
        </w:rPr>
        <w:t>La Concesión única se otorga para uso comercial y confiere el derecho para prestar todo tipo de servicios públicos de telecomunicaciones y radiodifusión que sean técnicamente factibles</w:t>
      </w:r>
      <w:r w:rsidRPr="00AF310C">
        <w:rPr>
          <w:rFonts w:ascii="ITC Avant Garde" w:eastAsia="Times New Roman" w:hAnsi="ITC Avant Garde" w:cs="Times New Roman"/>
          <w:lang w:eastAsia="es-MX"/>
        </w:rPr>
        <w:t xml:space="preserve"> con fines de lucro</w:t>
      </w:r>
      <w:r w:rsidRPr="00AF310C">
        <w:rPr>
          <w:rFonts w:ascii="ITC Avant Garde" w:eastAsia="Times New Roman" w:hAnsi="ITC Avant Garde" w:cs="Times New Roman"/>
          <w:bCs/>
          <w:color w:val="000000"/>
          <w:lang w:eastAsia="es-MX"/>
        </w:rPr>
        <w:t>, a través de la infraestructura asociada a una red de telecomunicaciones, o estaciones de radiodifusión, en los términos y condiciones que se describen en el presente título.</w:t>
      </w:r>
    </w:p>
    <w:p w14:paraId="37F04460" w14:textId="77777777" w:rsidR="00AF310C" w:rsidRPr="00AF310C" w:rsidRDefault="00AF310C" w:rsidP="00AF310C">
      <w:pPr>
        <w:spacing w:afterLines="120" w:after="288" w:line="276" w:lineRule="auto"/>
        <w:ind w:left="709"/>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14:paraId="177BE973" w14:textId="77777777" w:rsidR="00AF310C" w:rsidRPr="00AF310C" w:rsidRDefault="00AF310C" w:rsidP="00AF310C">
      <w:pPr>
        <w:tabs>
          <w:tab w:val="left" w:pos="709"/>
        </w:tabs>
        <w:spacing w:afterLines="120" w:after="288" w:line="276" w:lineRule="auto"/>
        <w:ind w:left="709"/>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07B79AB3"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 xml:space="preserve">Registro de servicios. </w:t>
      </w:r>
      <w:r w:rsidRPr="00AF310C">
        <w:rPr>
          <w:rFonts w:ascii="ITC Avant Garde" w:eastAsia="Times New Roman" w:hAnsi="ITC Avant Garde" w:cs="Times New Roman"/>
          <w:bCs/>
          <w:color w:val="000000"/>
          <w:lang w:eastAsia="es-MX"/>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29B6882A"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lastRenderedPageBreak/>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5A928381"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41CBDA4F" w14:textId="77777777" w:rsidR="00AF310C" w:rsidRPr="00AF310C" w:rsidRDefault="00AF310C" w:rsidP="00AF310C">
      <w:pPr>
        <w:spacing w:afterLines="120" w:after="288" w:line="276" w:lineRule="auto"/>
        <w:ind w:left="708"/>
        <w:jc w:val="both"/>
        <w:rPr>
          <w:rFonts w:ascii="ITC Avant Garde" w:eastAsia="Times New Roman" w:hAnsi="ITC Avant Garde" w:cs="Times New Roman"/>
          <w:bCs/>
          <w:color w:val="000000"/>
          <w:lang w:val="es-ES_tradnl" w:eastAsia="es-ES"/>
        </w:rPr>
      </w:pPr>
      <w:r w:rsidRPr="00AF310C">
        <w:rPr>
          <w:rFonts w:ascii="ITC Avant Garde" w:eastAsia="Times New Roman" w:hAnsi="ITC Avant Garde" w:cs="Times New Roman"/>
          <w:bCs/>
          <w:color w:val="000000"/>
          <w:lang w:val="es-ES_tradnl" w:eastAsia="es-ES"/>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4482D87F" w14:textId="77777777" w:rsidR="00AF310C" w:rsidRPr="00AF310C" w:rsidRDefault="00AF310C" w:rsidP="00AF310C">
      <w:pPr>
        <w:numPr>
          <w:ilvl w:val="0"/>
          <w:numId w:val="36"/>
        </w:numPr>
        <w:spacing w:afterLines="120" w:after="288" w:line="276" w:lineRule="auto"/>
        <w:ind w:left="708"/>
        <w:jc w:val="both"/>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 xml:space="preserve">Vigencia de la Concesión. </w:t>
      </w:r>
      <w:r w:rsidRPr="00AF310C">
        <w:rPr>
          <w:rFonts w:ascii="ITC Avant Garde" w:eastAsia="Times New Roman" w:hAnsi="ITC Avant Garde" w:cs="Times New Roman"/>
          <w:bCs/>
          <w:color w:val="000000"/>
          <w:lang w:val="es-ES_tradnl" w:eastAsia="es-ES"/>
        </w:rPr>
        <w:t xml:space="preserve">La Concesión única para uso comercial tendrá una vigencia de 30 (treinta) años, contados a partir del </w:t>
      </w:r>
      <w:r w:rsidRPr="00AF310C">
        <w:rPr>
          <w:rFonts w:ascii="ITC Avant Garde" w:eastAsia="Times New Roman" w:hAnsi="ITC Avant Garde" w:cs="Times New Roman"/>
          <w:b/>
          <w:bCs/>
          <w:color w:val="00B0F0"/>
          <w:lang w:eastAsia="es-MX"/>
        </w:rPr>
        <w:t>(…)</w:t>
      </w:r>
      <w:r w:rsidRPr="00AF310C">
        <w:rPr>
          <w:rFonts w:ascii="ITC Avant Garde" w:eastAsia="Times New Roman" w:hAnsi="ITC Avant Garde" w:cs="Times New Roman"/>
          <w:bCs/>
          <w:color w:val="000000"/>
          <w:lang w:val="es-ES_tradnl" w:eastAsia="es-ES"/>
        </w:rPr>
        <w:t xml:space="preserve"> y vencimiento al </w:t>
      </w:r>
      <w:r w:rsidRPr="00AF310C">
        <w:rPr>
          <w:rFonts w:ascii="ITC Avant Garde" w:eastAsia="Times New Roman" w:hAnsi="ITC Avant Garde" w:cs="Times New Roman"/>
          <w:b/>
          <w:bCs/>
          <w:color w:val="00B0F0"/>
          <w:lang w:eastAsia="es-MX"/>
        </w:rPr>
        <w:t xml:space="preserve">(…) </w:t>
      </w:r>
      <w:r w:rsidRPr="00AF310C">
        <w:rPr>
          <w:rFonts w:ascii="ITC Avant Garde" w:eastAsia="Times New Roman" w:hAnsi="ITC Avant Garde" w:cs="Times New Roman"/>
          <w:bCs/>
          <w:color w:val="000000"/>
          <w:lang w:val="es-ES_tradnl" w:eastAsia="es-ES"/>
        </w:rPr>
        <w:t>y podrá ser prorrogada hasta por plazos iguales conforme a lo dispuesto en la Ley</w:t>
      </w:r>
      <w:r w:rsidRPr="00AF310C">
        <w:rPr>
          <w:rFonts w:ascii="ITC Avant Garde" w:eastAsia="Times New Roman" w:hAnsi="ITC Avant Garde" w:cs="Times New Roman"/>
          <w:bCs/>
          <w:color w:val="000000"/>
          <w:lang w:eastAsia="es-MX"/>
        </w:rPr>
        <w:t>.</w:t>
      </w:r>
    </w:p>
    <w:p w14:paraId="6AB86B22" w14:textId="77777777" w:rsidR="00AF310C" w:rsidRPr="00AF310C" w:rsidRDefault="00AF310C" w:rsidP="00AF310C">
      <w:pPr>
        <w:autoSpaceDE w:val="0"/>
        <w:autoSpaceDN w:val="0"/>
        <w:adjustRightInd w:val="0"/>
        <w:spacing w:afterLines="120" w:after="288" w:line="276" w:lineRule="auto"/>
        <w:ind w:left="708"/>
        <w:jc w:val="both"/>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Cs/>
          <w:color w:val="000000"/>
          <w:lang w:eastAsia="es-MX"/>
        </w:rPr>
        <w:t>La Concesión única podrá ser prorrogada hasta por plazos iguales conforme a lo dispuesto en la Ley.</w:t>
      </w:r>
    </w:p>
    <w:p w14:paraId="3FF2DFE0" w14:textId="77777777" w:rsidR="00AF310C" w:rsidRPr="00AF310C" w:rsidRDefault="00AF310C" w:rsidP="00AF310C">
      <w:pPr>
        <w:numPr>
          <w:ilvl w:val="0"/>
          <w:numId w:val="36"/>
        </w:numPr>
        <w:autoSpaceDE w:val="0"/>
        <w:autoSpaceDN w:val="0"/>
        <w:adjustRightInd w:val="0"/>
        <w:spacing w:afterLines="120" w:after="288" w:line="276" w:lineRule="auto"/>
        <w:ind w:left="709" w:hanging="283"/>
        <w:jc w:val="both"/>
        <w:rPr>
          <w:rFonts w:ascii="ITC Avant Garde" w:eastAsia="Arial" w:hAnsi="ITC Avant Garde" w:cs="Times New Roman"/>
          <w:b/>
          <w:color w:val="000000"/>
          <w:u w:val="single"/>
          <w:lang w:eastAsia="es-MX"/>
        </w:rPr>
      </w:pPr>
      <w:r w:rsidRPr="00AF310C">
        <w:rPr>
          <w:rFonts w:ascii="ITC Avant Garde" w:eastAsia="Times New Roman" w:hAnsi="ITC Avant Garde" w:cs="Times New Roman"/>
          <w:b/>
          <w:bCs/>
          <w:color w:val="000000"/>
          <w:lang w:eastAsia="es-MX"/>
        </w:rPr>
        <w:t xml:space="preserve">Características Generales del Proyecto. </w:t>
      </w:r>
      <w:r w:rsidRPr="00AF310C">
        <w:rPr>
          <w:rFonts w:ascii="ITC Avant Garde" w:eastAsia="Times New Roman" w:hAnsi="ITC Avant Garde" w:cs="Times New Roman"/>
          <w:bCs/>
          <w:color w:val="000000"/>
          <w:lang w:eastAsia="es-MX"/>
        </w:rPr>
        <w:t>El servicio que inicialmente prestará al amparo de la Concesión, consiste en</w:t>
      </w:r>
      <w:r w:rsidRPr="00AF310C">
        <w:rPr>
          <w:rFonts w:ascii="ITC Avant Garde" w:eastAsia="Calibri" w:hAnsi="ITC Avant Garde" w:cs="Times New Roman"/>
        </w:rPr>
        <w:t xml:space="preserve"> </w:t>
      </w:r>
      <w:r w:rsidRPr="00AF310C">
        <w:rPr>
          <w:rFonts w:ascii="ITC Avant Garde" w:eastAsia="Times New Roman" w:hAnsi="ITC Avant Garde" w:cs="Times New Roman"/>
          <w:bCs/>
          <w:color w:val="000000"/>
          <w:lang w:eastAsia="es-MX"/>
        </w:rPr>
        <w:t>radiodifusión sonora.</w:t>
      </w:r>
    </w:p>
    <w:p w14:paraId="63837D1F" w14:textId="77777777" w:rsidR="00AF310C" w:rsidRPr="00AF310C" w:rsidRDefault="00AF310C" w:rsidP="00AF310C">
      <w:pPr>
        <w:spacing w:afterLines="120" w:after="288" w:line="276" w:lineRule="auto"/>
        <w:ind w:left="708"/>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14:paraId="46640BEB" w14:textId="77777777" w:rsidR="00AF310C" w:rsidRPr="00AF310C" w:rsidRDefault="00AF310C" w:rsidP="00AF310C">
      <w:pPr>
        <w:spacing w:afterLines="120" w:after="288" w:line="276" w:lineRule="auto"/>
        <w:ind w:left="708"/>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 xml:space="preserve">El Concesionario deberá presentar para inscripción en el Sistema Nacional de Información de Infraestructura, la información relativa a la infraestructura activa, infraestructura pasiva, medios de transmisión, derechos de vía y demás </w:t>
      </w:r>
      <w:r w:rsidRPr="00AF310C">
        <w:rPr>
          <w:rFonts w:ascii="ITC Avant Garde" w:eastAsia="Times New Roman" w:hAnsi="ITC Avant Garde" w:cs="Times New Roman"/>
          <w:bCs/>
          <w:color w:val="000000"/>
          <w:lang w:eastAsia="es-MX"/>
        </w:rPr>
        <w:lastRenderedPageBreak/>
        <w:t xml:space="preserve">características de las redes de telecomunicaciones y/o de las estaciones de radiodifusión que utilice para la prestación de los servicios públicos respectivos. </w:t>
      </w:r>
    </w:p>
    <w:p w14:paraId="072A014E" w14:textId="77777777" w:rsidR="00AF310C" w:rsidRPr="00AF310C" w:rsidRDefault="00AF310C" w:rsidP="00AF310C">
      <w:pPr>
        <w:spacing w:afterLines="120" w:after="288" w:line="276" w:lineRule="auto"/>
        <w:ind w:left="708"/>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7180B306"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 xml:space="preserve">Programas y compromisos de calidad, de cobertura geográfica, poblacional o social, de conectividad de sitios públicos y de contribución a la cobertura universal. </w:t>
      </w:r>
      <w:r w:rsidRPr="00AF310C">
        <w:rPr>
          <w:rFonts w:ascii="ITC Avant Garde" w:eastAsia="Times New Roman" w:hAnsi="ITC Avant Garde" w:cs="Times New Roman"/>
          <w:bCs/>
          <w:color w:val="000000"/>
          <w:lang w:eastAsia="es-MX"/>
        </w:rPr>
        <w:t>El Concesionario deberá cumplir con los siguientes:</w:t>
      </w:r>
    </w:p>
    <w:p w14:paraId="7160D507" w14:textId="77777777" w:rsidR="00AF310C" w:rsidRPr="00AF310C" w:rsidRDefault="00AF310C" w:rsidP="00AF310C">
      <w:pPr>
        <w:spacing w:afterLines="120" w:after="288" w:line="276" w:lineRule="auto"/>
        <w:ind w:left="720"/>
        <w:jc w:val="both"/>
        <w:rPr>
          <w:rFonts w:ascii="ITC Avant Garde" w:eastAsia="Times New Roman" w:hAnsi="ITC Avant Garde" w:cs="Times New Roman"/>
          <w:lang w:eastAsia="es-MX"/>
        </w:rPr>
      </w:pPr>
      <w:r w:rsidRPr="00AF310C">
        <w:rPr>
          <w:rFonts w:ascii="ITC Avant Garde" w:eastAsia="Times New Roman" w:hAnsi="ITC Avant Garde" w:cs="Times New Roman"/>
          <w:b/>
          <w:bCs/>
          <w:color w:val="000000"/>
          <w:lang w:eastAsia="es-MX"/>
        </w:rPr>
        <w:t>7.1. Compromisos de Cobertura.</w:t>
      </w:r>
      <w:r w:rsidRPr="00AF310C">
        <w:rPr>
          <w:rFonts w:ascii="ITC Avant Garde" w:eastAsia="Times New Roman" w:hAnsi="ITC Avant Garde" w:cs="Times New Roman"/>
          <w:bCs/>
          <w:color w:val="000000"/>
          <w:lang w:eastAsia="es-MX"/>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AF310C">
        <w:rPr>
          <w:rFonts w:ascii="ITC Avant Garde" w:eastAsia="Times New Roman" w:hAnsi="ITC Avant Garde" w:cs="Times New Roman"/>
          <w:lang w:eastAsia="es-MX"/>
        </w:rPr>
        <w:t>.</w:t>
      </w:r>
    </w:p>
    <w:p w14:paraId="2AD96475"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7.2. Compromisos de Inversión.</w:t>
      </w:r>
      <w:r w:rsidRPr="00AF310C">
        <w:rPr>
          <w:rFonts w:ascii="ITC Avant Garde" w:eastAsia="Times New Roman" w:hAnsi="ITC Avant Garde" w:cs="Times New Roman"/>
          <w:bCs/>
          <w:color w:val="000000"/>
          <w:lang w:eastAsia="es-MX"/>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70EF9A2B"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7.3. Compromisos de Calidad.</w:t>
      </w:r>
      <w:r w:rsidRPr="00AF310C">
        <w:rPr>
          <w:rFonts w:ascii="ITC Avant Garde" w:eastAsia="Times New Roman" w:hAnsi="ITC Avant Garde" w:cs="Times New Roman"/>
          <w:bCs/>
          <w:color w:val="000000"/>
          <w:lang w:eastAsia="es-MX"/>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32FA5045"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47E6293A"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7.4. Programas de cobertura social, poblacional, conectividad en sitios públicos y contribución a la cobertura universal.</w:t>
      </w:r>
      <w:r w:rsidRPr="00AF310C">
        <w:rPr>
          <w:rFonts w:ascii="ITC Avant Garde" w:eastAsia="Times New Roman" w:hAnsi="ITC Avant Garde" w:cs="Times New Roman"/>
          <w:bCs/>
          <w:color w:val="000000"/>
          <w:lang w:eastAsia="es-MX"/>
        </w:rPr>
        <w:t xml:space="preserve"> Con la finalidad de salvaguardar el acceso universal a los servicios de telecomunicaciones, el Instituto podrá concertar la </w:t>
      </w:r>
      <w:r w:rsidRPr="00AF310C">
        <w:rPr>
          <w:rFonts w:ascii="ITC Avant Garde" w:eastAsia="Times New Roman" w:hAnsi="ITC Avant Garde" w:cs="Times New Roman"/>
          <w:bCs/>
          <w:color w:val="000000"/>
          <w:lang w:eastAsia="es-MX"/>
        </w:rPr>
        <w:lastRenderedPageBreak/>
        <w:t xml:space="preserve">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63C87ED1"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 xml:space="preserve">No discriminación. </w:t>
      </w:r>
      <w:r w:rsidRPr="00AF310C">
        <w:rPr>
          <w:rFonts w:ascii="ITC Avant Garde" w:eastAsia="Times New Roman" w:hAnsi="ITC Avant Garde" w:cs="Times New Roman"/>
          <w:bCs/>
          <w:color w:val="000000"/>
          <w:lang w:eastAsia="es-MX"/>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DB61595"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Programación dirigida a niñas, niños y adolescentes.</w:t>
      </w:r>
      <w:r w:rsidRPr="00AF310C">
        <w:rPr>
          <w:rFonts w:ascii="ITC Avant Garde" w:eastAsia="Times New Roman" w:hAnsi="ITC Avant Garde" w:cs="Times New Roman"/>
          <w:bCs/>
          <w:color w:val="000000"/>
          <w:lang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6D66C00E"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Prestación de los servicios públicos a través de afiliadas, filiales o subsidiarias del Concesionario</w:t>
      </w:r>
      <w:r w:rsidRPr="00AF310C">
        <w:rPr>
          <w:rFonts w:ascii="ITC Avant Garde" w:eastAsia="Times New Roman" w:hAnsi="ITC Avant Garde" w:cs="Times New Roman"/>
          <w:bCs/>
          <w:color w:val="000000"/>
          <w:lang w:eastAsia="es-MX"/>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19E2CB81"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Lo anterior sin perjuicio de que los usuarios, suscriptores o audiencias puedan exigir responsabilidad o el debido cumplimiento a quienes conforman el agente económico respecto a la prestación de los servicios públicos concesionados.</w:t>
      </w:r>
    </w:p>
    <w:p w14:paraId="2CA5D56D"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Asimismo, el Concesionario no podrá evadir ninguna obligación relacionada con el presente título, como consecuencia de la prestación de servicios a través de quienes conforme el agente económico de quien forme parte.</w:t>
      </w:r>
    </w:p>
    <w:p w14:paraId="70F98DF6"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lastRenderedPageBreak/>
        <w:t>Poderes</w:t>
      </w:r>
      <w:r w:rsidRPr="00AF310C">
        <w:rPr>
          <w:rFonts w:ascii="ITC Avant Garde" w:eastAsia="Times New Roman" w:hAnsi="ITC Avant Garde" w:cs="Times New Roman"/>
          <w:bCs/>
          <w:color w:val="000000"/>
          <w:lang w:eastAsia="es-MX"/>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30C80EA1"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Gravámenes</w:t>
      </w:r>
      <w:r w:rsidRPr="00AF310C">
        <w:rPr>
          <w:rFonts w:ascii="ITC Avant Garde" w:eastAsia="Times New Roman" w:hAnsi="ITC Avant Garde" w:cs="Times New Roman"/>
          <w:bCs/>
          <w:color w:val="000000"/>
          <w:lang w:eastAsia="es-MX"/>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05E5FE80"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636116F7" w14:textId="77777777" w:rsidR="00AF310C" w:rsidRPr="00AF310C" w:rsidRDefault="00AF310C" w:rsidP="00AF310C">
      <w:pPr>
        <w:spacing w:afterLines="120" w:after="288" w:line="276" w:lineRule="auto"/>
        <w:ind w:left="720"/>
        <w:jc w:val="center"/>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Verificación y Vigilancia</w:t>
      </w:r>
    </w:p>
    <w:p w14:paraId="1EBAF0DA"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Información.</w:t>
      </w:r>
      <w:r w:rsidRPr="00AF310C">
        <w:rPr>
          <w:rFonts w:ascii="ITC Avant Garde" w:eastAsia="Times New Roman" w:hAnsi="ITC Avant Garde" w:cs="Times New Roman"/>
          <w:bCs/>
          <w:color w:val="000000"/>
          <w:lang w:eastAsia="es-MX"/>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04B69CFC" w14:textId="77777777" w:rsidR="00AF310C" w:rsidRPr="00AF310C" w:rsidRDefault="00AF310C" w:rsidP="00AF310C">
      <w:pPr>
        <w:spacing w:afterLines="120" w:after="288" w:line="276" w:lineRule="auto"/>
        <w:ind w:left="720"/>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6CB13574"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color w:val="000000"/>
          <w:lang w:eastAsia="es-MX"/>
        </w:rPr>
        <w:t>Información Financiera</w:t>
      </w:r>
      <w:r w:rsidRPr="00AF310C">
        <w:rPr>
          <w:rFonts w:ascii="ITC Avant Garde" w:eastAsia="Times New Roman" w:hAnsi="ITC Avant Garde" w:cs="Times New Roman"/>
          <w:bCs/>
          <w:color w:val="000000"/>
          <w:lang w:eastAsia="es-MX"/>
        </w:rPr>
        <w:t>. El Concesionario deberá:</w:t>
      </w:r>
    </w:p>
    <w:p w14:paraId="655C8F09" w14:textId="77777777" w:rsidR="00AF310C" w:rsidRPr="00AF310C" w:rsidRDefault="00AF310C" w:rsidP="00AF310C">
      <w:pPr>
        <w:numPr>
          <w:ilvl w:val="1"/>
          <w:numId w:val="36"/>
        </w:numPr>
        <w:spacing w:afterLines="120" w:after="288" w:line="276" w:lineRule="auto"/>
        <w:ind w:left="709" w:hanging="283"/>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lastRenderedPageBreak/>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2AE83BB1" w14:textId="77777777" w:rsidR="00AF310C" w:rsidRPr="00AF310C" w:rsidRDefault="00AF310C" w:rsidP="00AF310C">
      <w:pPr>
        <w:numPr>
          <w:ilvl w:val="1"/>
          <w:numId w:val="36"/>
        </w:numPr>
        <w:spacing w:afterLines="120" w:after="288" w:line="276" w:lineRule="auto"/>
        <w:ind w:left="709" w:hanging="283"/>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Cs/>
          <w:color w:val="000000"/>
          <w:lang w:eastAsia="es-MX"/>
        </w:rPr>
        <w:t>Presentar al Instituto sus estados financieros auditados cuando el Concesionario se encuentre así obligado, de conformidad con lo dispuesto en el Código Fiscal de la Federación. Lo anterior deberá verificarse a más tardar el 30 de junio de cada año.</w:t>
      </w:r>
    </w:p>
    <w:p w14:paraId="2A46AC99" w14:textId="77777777" w:rsidR="00AF310C" w:rsidRPr="00AF310C" w:rsidRDefault="00AF310C" w:rsidP="00AF310C">
      <w:pPr>
        <w:spacing w:afterLines="120" w:after="288"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Jurisdicción y competencia</w:t>
      </w:r>
    </w:p>
    <w:p w14:paraId="7458455E" w14:textId="77777777" w:rsidR="00AF310C" w:rsidRPr="00AF310C" w:rsidRDefault="00AF310C" w:rsidP="00AF310C">
      <w:pPr>
        <w:numPr>
          <w:ilvl w:val="0"/>
          <w:numId w:val="36"/>
        </w:numPr>
        <w:spacing w:afterLines="120" w:after="288" w:line="276" w:lineRule="auto"/>
        <w:jc w:val="both"/>
        <w:rPr>
          <w:rFonts w:ascii="ITC Avant Garde" w:eastAsia="Times New Roman" w:hAnsi="ITC Avant Garde" w:cs="Times New Roman"/>
          <w:bCs/>
          <w:color w:val="000000"/>
          <w:lang w:eastAsia="es-MX"/>
        </w:rPr>
      </w:pPr>
      <w:r w:rsidRPr="00AF310C">
        <w:rPr>
          <w:rFonts w:ascii="ITC Avant Garde" w:eastAsia="Times New Roman" w:hAnsi="ITC Avant Garde" w:cs="Times New Roman"/>
          <w:b/>
          <w:bCs/>
          <w:lang w:eastAsia="es-MX"/>
        </w:rPr>
        <w:t xml:space="preserve">Jurisdicción y competencia. </w:t>
      </w:r>
      <w:r w:rsidRPr="00AF310C">
        <w:rPr>
          <w:rFonts w:ascii="ITC Avant Garde" w:eastAsia="Times New Roman" w:hAnsi="ITC Avant Garde" w:cs="Times New Roman"/>
          <w:bCs/>
          <w:lang w:eastAsia="es-MX"/>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796A148A" w14:textId="77777777" w:rsidR="00AF310C" w:rsidRPr="00AF310C" w:rsidRDefault="00AF310C" w:rsidP="00AF310C">
      <w:pPr>
        <w:spacing w:afterLines="120" w:after="288" w:line="276" w:lineRule="auto"/>
        <w:jc w:val="both"/>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 xml:space="preserve">Ciudad de México, a </w:t>
      </w:r>
      <w:r w:rsidRPr="00AF310C">
        <w:rPr>
          <w:rFonts w:ascii="ITC Avant Garde" w:eastAsia="Times New Roman" w:hAnsi="ITC Avant Garde" w:cs="Times New Roman"/>
          <w:b/>
          <w:bCs/>
          <w:color w:val="00B0F0"/>
          <w:lang w:eastAsia="es-MX"/>
        </w:rPr>
        <w:t>(…)</w:t>
      </w:r>
    </w:p>
    <w:p w14:paraId="75A2F9D3" w14:textId="77777777" w:rsidR="00AF310C" w:rsidRPr="00AF310C" w:rsidRDefault="00AF310C" w:rsidP="00AF310C">
      <w:pPr>
        <w:spacing w:afterLines="50" w:after="120"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INSTITUTO FEDERAL DE TELECOMUNICACIONES</w:t>
      </w:r>
    </w:p>
    <w:p w14:paraId="0857120F" w14:textId="77777777" w:rsidR="00AF310C" w:rsidRPr="00AF310C" w:rsidRDefault="00AF310C" w:rsidP="00AF310C">
      <w:pPr>
        <w:spacing w:afterLines="50" w:after="120"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EL COMISIONADO PRESIDENTE</w:t>
      </w:r>
    </w:p>
    <w:p w14:paraId="0F5C8D6A" w14:textId="77777777" w:rsidR="00AF310C" w:rsidRPr="00AF310C" w:rsidRDefault="00AF310C" w:rsidP="00AF310C">
      <w:pPr>
        <w:spacing w:afterLines="50" w:after="120"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B0F0"/>
          <w:lang w:eastAsia="es-MX"/>
        </w:rPr>
        <w:t>(…)</w:t>
      </w:r>
    </w:p>
    <w:p w14:paraId="6CA9C551" w14:textId="77777777" w:rsidR="00AF310C" w:rsidRPr="00AF310C" w:rsidRDefault="00AF310C" w:rsidP="00AF310C">
      <w:pPr>
        <w:spacing w:afterLines="250" w:after="600"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GABRIEL OSWALDO CONTRERAS SALDÍVAR</w:t>
      </w:r>
    </w:p>
    <w:p w14:paraId="48039BE7" w14:textId="77777777" w:rsidR="00AF310C" w:rsidRPr="00AF310C" w:rsidRDefault="00AF310C" w:rsidP="00AF310C">
      <w:pPr>
        <w:spacing w:afterLines="50" w:after="120" w:line="276" w:lineRule="auto"/>
        <w:jc w:val="center"/>
        <w:rPr>
          <w:rFonts w:ascii="ITC Avant Garde" w:eastAsia="Times New Roman" w:hAnsi="ITC Avant Garde" w:cs="Times New Roman"/>
          <w:b/>
          <w:bCs/>
          <w:color w:val="000000"/>
          <w:lang w:eastAsia="es-MX"/>
        </w:rPr>
      </w:pPr>
      <w:r w:rsidRPr="00AF310C">
        <w:rPr>
          <w:rFonts w:ascii="ITC Avant Garde" w:eastAsia="Times New Roman" w:hAnsi="ITC Avant Garde" w:cs="Times New Roman"/>
          <w:b/>
          <w:bCs/>
          <w:color w:val="000000"/>
          <w:lang w:eastAsia="es-MX"/>
        </w:rPr>
        <w:t>EL CONCESIONARIO</w:t>
      </w:r>
    </w:p>
    <w:p w14:paraId="7FBF8545" w14:textId="4D80C0E9" w:rsidR="00AF310C" w:rsidRPr="008F0BD7" w:rsidRDefault="00AF310C" w:rsidP="00AF310C">
      <w:pPr>
        <w:spacing w:afterLines="120" w:after="288" w:line="240" w:lineRule="auto"/>
        <w:jc w:val="center"/>
        <w:rPr>
          <w:color w:val="000000" w:themeColor="text1"/>
          <w:sz w:val="14"/>
        </w:rPr>
      </w:pPr>
      <w:r w:rsidRPr="00AF310C">
        <w:rPr>
          <w:rFonts w:ascii="ITC Avant Garde" w:eastAsia="Calibri" w:hAnsi="ITC Avant Garde" w:cs="Times New Roman"/>
          <w:b/>
          <w:bCs/>
          <w:color w:val="00B0F0"/>
        </w:rPr>
        <w:t>(…)</w:t>
      </w:r>
      <w:bookmarkStart w:id="4" w:name="_GoBack"/>
      <w:bookmarkEnd w:id="4"/>
    </w:p>
    <w:sectPr w:rsidR="00AF310C" w:rsidRPr="008F0BD7" w:rsidSect="00F0000C">
      <w:pgSz w:w="12240" w:h="15840"/>
      <w:pgMar w:top="1985" w:right="1418" w:bottom="1418" w:left="1418"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6B2B1" w14:textId="77777777" w:rsidR="006F4466" w:rsidRDefault="006F4466" w:rsidP="007336E4">
      <w:pPr>
        <w:spacing w:after="0" w:line="240" w:lineRule="auto"/>
      </w:pPr>
      <w:r>
        <w:separator/>
      </w:r>
    </w:p>
  </w:endnote>
  <w:endnote w:type="continuationSeparator" w:id="0">
    <w:p w14:paraId="380E7228" w14:textId="77777777" w:rsidR="006F4466" w:rsidRDefault="006F4466" w:rsidP="0073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oberana Sans">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2E90" w14:textId="686DB486" w:rsidR="00F0000C" w:rsidRPr="00CE61F7" w:rsidRDefault="00F0000C" w:rsidP="007336E4">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553FC4">
      <w:rPr>
        <w:rFonts w:ascii="ITC Avant Garde" w:hAnsi="ITC Avant Garde"/>
        <w:noProof/>
        <w:sz w:val="14"/>
        <w:szCs w:val="14"/>
      </w:rPr>
      <w:t>30</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553FC4">
      <w:rPr>
        <w:rFonts w:ascii="ITC Avant Garde" w:hAnsi="ITC Avant Garde"/>
        <w:noProof/>
        <w:sz w:val="14"/>
        <w:szCs w:val="14"/>
      </w:rPr>
      <w:t>43</w:t>
    </w:r>
    <w:r w:rsidRPr="00CE61F7">
      <w:rPr>
        <w:rFonts w:ascii="ITC Avant Garde" w:hAnsi="ITC Avant Garde"/>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ABC6F" w14:textId="42C5FE53" w:rsidR="001932A6" w:rsidRPr="00CE61F7" w:rsidRDefault="001932A6" w:rsidP="007336E4">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553FC4">
      <w:rPr>
        <w:rFonts w:ascii="ITC Avant Garde" w:hAnsi="ITC Avant Garde"/>
        <w:noProof/>
        <w:sz w:val="14"/>
        <w:szCs w:val="14"/>
      </w:rPr>
      <w:t>41</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553FC4">
      <w:rPr>
        <w:rFonts w:ascii="ITC Avant Garde" w:hAnsi="ITC Avant Garde"/>
        <w:noProof/>
        <w:sz w:val="14"/>
        <w:szCs w:val="14"/>
      </w:rPr>
      <w:t>43</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A090B" w14:textId="77777777" w:rsidR="006F4466" w:rsidRDefault="006F4466" w:rsidP="007336E4">
      <w:pPr>
        <w:spacing w:after="0" w:line="240" w:lineRule="auto"/>
      </w:pPr>
      <w:r>
        <w:separator/>
      </w:r>
    </w:p>
  </w:footnote>
  <w:footnote w:type="continuationSeparator" w:id="0">
    <w:p w14:paraId="561660ED" w14:textId="77777777" w:rsidR="006F4466" w:rsidRDefault="006F4466" w:rsidP="007336E4">
      <w:pPr>
        <w:spacing w:after="0" w:line="240" w:lineRule="auto"/>
      </w:pPr>
      <w:r>
        <w:continuationSeparator/>
      </w:r>
    </w:p>
  </w:footnote>
  <w:footnote w:id="1">
    <w:p w14:paraId="18ACBF21" w14:textId="77777777" w:rsidR="00F0000C" w:rsidRPr="00694365" w:rsidRDefault="00F0000C" w:rsidP="00AB7832">
      <w:pPr>
        <w:pStyle w:val="Textonotapie"/>
        <w:rPr>
          <w:rFonts w:ascii="ITC Avant Garde" w:hAnsi="ITC Avant Garde"/>
          <w:sz w:val="16"/>
          <w:szCs w:val="16"/>
        </w:rPr>
      </w:pPr>
      <w:r w:rsidRPr="00694365">
        <w:rPr>
          <w:rStyle w:val="Refdenotaalpie"/>
          <w:rFonts w:ascii="ITC Avant Garde" w:hAnsi="ITC Avant Garde"/>
          <w:sz w:val="16"/>
          <w:szCs w:val="16"/>
        </w:rPr>
        <w:footnoteRef/>
      </w:r>
      <w:r w:rsidRPr="00694365">
        <w:rPr>
          <w:rFonts w:ascii="ITC Avant Garde" w:hAnsi="ITC Avant Garde"/>
          <w:sz w:val="16"/>
          <w:szCs w:val="16"/>
        </w:rPr>
        <w:t xml:space="preserve"> http://lema.rae.es/drae/?val=otorgamiento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5B6B" w14:textId="77777777" w:rsidR="00F0000C" w:rsidRDefault="006F4466">
    <w:pPr>
      <w:pStyle w:val="Encabezado"/>
    </w:pPr>
    <w:r>
      <w:rPr>
        <w:noProof/>
        <w:lang w:eastAsia="es-MX"/>
      </w:rPr>
      <w:pict w14:anchorId="07C87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7E9E" w14:textId="77777777" w:rsidR="00F0000C" w:rsidRDefault="006F4466">
    <w:pPr>
      <w:pStyle w:val="Encabezado"/>
    </w:pPr>
    <w:r>
      <w:rPr>
        <w:noProof/>
        <w:lang w:eastAsia="es-MX"/>
      </w:rPr>
      <w:pict w14:anchorId="30967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44DF" w14:textId="77777777" w:rsidR="001932A6" w:rsidRDefault="001932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4035D3"/>
    <w:multiLevelType w:val="hybridMultilevel"/>
    <w:tmpl w:val="45EE0ED6"/>
    <w:lvl w:ilvl="0" w:tplc="08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8" w15:restartNumberingAfterBreak="0">
    <w:nsid w:val="2CE16F9A"/>
    <w:multiLevelType w:val="hybridMultilevel"/>
    <w:tmpl w:val="629C9A2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68646F"/>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833735"/>
    <w:multiLevelType w:val="hybridMultilevel"/>
    <w:tmpl w:val="AF668C5C"/>
    <w:lvl w:ilvl="0" w:tplc="1B4EE9E6">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14" w15:restartNumberingAfterBreak="0">
    <w:nsid w:val="40F5335C"/>
    <w:multiLevelType w:val="hybridMultilevel"/>
    <w:tmpl w:val="0024C2E6"/>
    <w:lvl w:ilvl="0" w:tplc="8E500046">
      <w:start w:val="1"/>
      <w:numFmt w:val="decimal"/>
      <w:lvlText w:val="%1."/>
      <w:lvlJc w:val="left"/>
      <w:pPr>
        <w:ind w:left="1713" w:hanging="360"/>
      </w:pPr>
      <w:rPr>
        <w:i/>
        <w:sz w:val="18"/>
        <w:szCs w:val="18"/>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8A95017"/>
    <w:multiLevelType w:val="hybridMultilevel"/>
    <w:tmpl w:val="A99424D4"/>
    <w:lvl w:ilvl="0" w:tplc="449A485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DC0D03"/>
    <w:multiLevelType w:val="hybridMultilevel"/>
    <w:tmpl w:val="CFD82F64"/>
    <w:lvl w:ilvl="0" w:tplc="FEDCC14A">
      <w:start w:val="60"/>
      <w:numFmt w:val="bullet"/>
      <w:lvlText w:val=""/>
      <w:lvlJc w:val="left"/>
      <w:pPr>
        <w:ind w:left="720" w:hanging="360"/>
      </w:pPr>
      <w:rPr>
        <w:rFonts w:ascii="Symbol" w:eastAsia="Calibri" w:hAnsi="Symbol"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BF3FCA"/>
    <w:multiLevelType w:val="hybridMultilevel"/>
    <w:tmpl w:val="F978F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D90985"/>
    <w:multiLevelType w:val="hybridMultilevel"/>
    <w:tmpl w:val="1698395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1253B9"/>
    <w:multiLevelType w:val="hybridMultilevel"/>
    <w:tmpl w:val="3822C772"/>
    <w:lvl w:ilvl="0" w:tplc="F9AA93B6">
      <w:numFmt w:val="bullet"/>
      <w:lvlText w:val="-"/>
      <w:lvlJc w:val="left"/>
      <w:pPr>
        <w:ind w:left="1004" w:hanging="360"/>
      </w:pPr>
      <w:rPr>
        <w:rFonts w:ascii="ITC Avant Garde" w:eastAsia="Calibri" w:hAnsi="ITC Avant Garde" w:cs="Tahoma"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5779D2"/>
    <w:multiLevelType w:val="hybridMultilevel"/>
    <w:tmpl w:val="DCC4E65C"/>
    <w:lvl w:ilvl="0" w:tplc="C0BEC346">
      <w:start w:val="1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A1412E"/>
    <w:multiLevelType w:val="hybridMultilevel"/>
    <w:tmpl w:val="92C2B9CC"/>
    <w:lvl w:ilvl="0" w:tplc="C31A75F8">
      <w:start w:val="1"/>
      <w:numFmt w:val="upperRoman"/>
      <w:lvlText w:val="%1."/>
      <w:lvlJc w:val="left"/>
      <w:pPr>
        <w:ind w:left="2204" w:hanging="360"/>
      </w:pPr>
      <w:rPr>
        <w:rFonts w:ascii="ITC Avant Garde" w:eastAsia="Times New Roman" w:hAnsi="ITC Avant Garde"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1E58A5"/>
    <w:multiLevelType w:val="hybridMultilevel"/>
    <w:tmpl w:val="A16895E0"/>
    <w:lvl w:ilvl="0" w:tplc="4BAC5454">
      <w:start w:val="1"/>
      <w:numFmt w:val="decimal"/>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A048F"/>
    <w:multiLevelType w:val="hybridMultilevel"/>
    <w:tmpl w:val="0D76B796"/>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17"/>
  </w:num>
  <w:num w:numId="4">
    <w:abstractNumId w:val="1"/>
  </w:num>
  <w:num w:numId="5">
    <w:abstractNumId w:val="30"/>
  </w:num>
  <w:num w:numId="6">
    <w:abstractNumId w:val="22"/>
  </w:num>
  <w:num w:numId="7">
    <w:abstractNumId w:val="24"/>
  </w:num>
  <w:num w:numId="8">
    <w:abstractNumId w:val="15"/>
  </w:num>
  <w:num w:numId="9">
    <w:abstractNumId w:val="19"/>
  </w:num>
  <w:num w:numId="10">
    <w:abstractNumId w:val="20"/>
  </w:num>
  <w:num w:numId="11">
    <w:abstractNumId w:val="29"/>
  </w:num>
  <w:num w:numId="12">
    <w:abstractNumId w:val="12"/>
  </w:num>
  <w:num w:numId="13">
    <w:abstractNumId w:val="31"/>
  </w:num>
  <w:num w:numId="14">
    <w:abstractNumId w:val="7"/>
  </w:num>
  <w:num w:numId="15">
    <w:abstractNumId w:val="9"/>
  </w:num>
  <w:num w:numId="16">
    <w:abstractNumId w:val="5"/>
  </w:num>
  <w:num w:numId="17">
    <w:abstractNumId w:val="18"/>
  </w:num>
  <w:num w:numId="18">
    <w:abstractNumId w:val="10"/>
  </w:num>
  <w:num w:numId="19">
    <w:abstractNumId w:val="13"/>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6"/>
  </w:num>
  <w:num w:numId="23">
    <w:abstractNumId w:val="34"/>
  </w:num>
  <w:num w:numId="24">
    <w:abstractNumId w:val="21"/>
  </w:num>
  <w:num w:numId="25">
    <w:abstractNumId w:val="25"/>
  </w:num>
  <w:num w:numId="26">
    <w:abstractNumId w:val="28"/>
  </w:num>
  <w:num w:numId="27">
    <w:abstractNumId w:val="8"/>
  </w:num>
  <w:num w:numId="28">
    <w:abstractNumId w:val="33"/>
  </w:num>
  <w:num w:numId="29">
    <w:abstractNumId w:val="1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4"/>
  </w:num>
  <w:num w:numId="33">
    <w:abstractNumId w:val="4"/>
  </w:num>
  <w:num w:numId="34">
    <w:abstractNumId w:val="11"/>
  </w:num>
  <w:num w:numId="35">
    <w:abstractNumId w:val="27"/>
  </w:num>
  <w:num w:numId="36">
    <w:abstractNumId w:val="3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E4"/>
    <w:rsid w:val="000208CE"/>
    <w:rsid w:val="0005409E"/>
    <w:rsid w:val="0009785C"/>
    <w:rsid w:val="000C6BAB"/>
    <w:rsid w:val="00106313"/>
    <w:rsid w:val="001179B6"/>
    <w:rsid w:val="00182A24"/>
    <w:rsid w:val="001932A6"/>
    <w:rsid w:val="001C3EF2"/>
    <w:rsid w:val="001D6D9D"/>
    <w:rsid w:val="00245B04"/>
    <w:rsid w:val="00280E21"/>
    <w:rsid w:val="0035051C"/>
    <w:rsid w:val="003968F7"/>
    <w:rsid w:val="003A127A"/>
    <w:rsid w:val="00452ABB"/>
    <w:rsid w:val="004609F2"/>
    <w:rsid w:val="0046631A"/>
    <w:rsid w:val="004713EB"/>
    <w:rsid w:val="00483F30"/>
    <w:rsid w:val="004A1DF8"/>
    <w:rsid w:val="00553FC4"/>
    <w:rsid w:val="005C5B1F"/>
    <w:rsid w:val="006265DC"/>
    <w:rsid w:val="00644CE5"/>
    <w:rsid w:val="00674376"/>
    <w:rsid w:val="006E56E8"/>
    <w:rsid w:val="006F4466"/>
    <w:rsid w:val="007131BD"/>
    <w:rsid w:val="00717BCA"/>
    <w:rsid w:val="00723211"/>
    <w:rsid w:val="007336E4"/>
    <w:rsid w:val="00772A18"/>
    <w:rsid w:val="007B4259"/>
    <w:rsid w:val="007B4418"/>
    <w:rsid w:val="007E515A"/>
    <w:rsid w:val="007F31D2"/>
    <w:rsid w:val="00825D13"/>
    <w:rsid w:val="0082700B"/>
    <w:rsid w:val="008527F4"/>
    <w:rsid w:val="00871BEA"/>
    <w:rsid w:val="008A0DF9"/>
    <w:rsid w:val="008A37A4"/>
    <w:rsid w:val="008F0BD7"/>
    <w:rsid w:val="00927F6C"/>
    <w:rsid w:val="0093709E"/>
    <w:rsid w:val="00A02D23"/>
    <w:rsid w:val="00A119D5"/>
    <w:rsid w:val="00A33D02"/>
    <w:rsid w:val="00A42E3D"/>
    <w:rsid w:val="00AB7832"/>
    <w:rsid w:val="00AD6466"/>
    <w:rsid w:val="00AF310C"/>
    <w:rsid w:val="00B713EB"/>
    <w:rsid w:val="00BF4A75"/>
    <w:rsid w:val="00C55FC8"/>
    <w:rsid w:val="00C712C5"/>
    <w:rsid w:val="00C725DD"/>
    <w:rsid w:val="00C83639"/>
    <w:rsid w:val="00CD2781"/>
    <w:rsid w:val="00D332B8"/>
    <w:rsid w:val="00D61D8F"/>
    <w:rsid w:val="00D86F64"/>
    <w:rsid w:val="00D900CB"/>
    <w:rsid w:val="00DC58AA"/>
    <w:rsid w:val="00DF64F4"/>
    <w:rsid w:val="00E15AD8"/>
    <w:rsid w:val="00F0000C"/>
    <w:rsid w:val="00F00A5E"/>
    <w:rsid w:val="00FA65C7"/>
    <w:rsid w:val="00FC3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BB666A"/>
  <w15:chartTrackingRefBased/>
  <w15:docId w15:val="{1CC76660-606C-446D-80E7-B98D5648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6E4"/>
  </w:style>
  <w:style w:type="paragraph" w:styleId="Ttulo1">
    <w:name w:val="heading 1"/>
    <w:basedOn w:val="Normal"/>
    <w:next w:val="Normal"/>
    <w:link w:val="Ttulo1Car"/>
    <w:uiPriority w:val="9"/>
    <w:qFormat/>
    <w:rsid w:val="00C55FC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5FC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336E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7336E4"/>
    <w:rPr>
      <w:rFonts w:ascii="Calibri" w:eastAsia="Calibri" w:hAnsi="Calibri" w:cs="Times New Roman"/>
    </w:rPr>
  </w:style>
  <w:style w:type="paragraph" w:styleId="Piedepgina">
    <w:name w:val="footer"/>
    <w:basedOn w:val="Normal"/>
    <w:link w:val="PiedepginaCar"/>
    <w:unhideWhenUsed/>
    <w:rsid w:val="007336E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7336E4"/>
    <w:rPr>
      <w:rFonts w:ascii="Calibri" w:eastAsia="Calibri" w:hAnsi="Calibri" w:cs="Times New Roman"/>
    </w:rPr>
  </w:style>
  <w:style w:type="paragraph" w:styleId="Prrafodelista">
    <w:name w:val="List Paragraph"/>
    <w:basedOn w:val="Normal"/>
    <w:link w:val="PrrafodelistaCar"/>
    <w:uiPriority w:val="34"/>
    <w:qFormat/>
    <w:rsid w:val="007336E4"/>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34"/>
    <w:locked/>
    <w:rsid w:val="007336E4"/>
    <w:rPr>
      <w:rFonts w:ascii="Arial" w:eastAsia="Times New Roman" w:hAnsi="Arial" w:cs="Times New Roman"/>
      <w:sz w:val="24"/>
      <w:szCs w:val="20"/>
    </w:rPr>
  </w:style>
  <w:style w:type="paragraph" w:customStyle="1" w:styleId="estilo30">
    <w:name w:val="estilo30"/>
    <w:basedOn w:val="Normal"/>
    <w:rsid w:val="007336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7336E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7336E4"/>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7336E4"/>
    <w:rPr>
      <w:vertAlign w:val="superscript"/>
    </w:rPr>
  </w:style>
  <w:style w:type="character" w:styleId="Hipervnculo">
    <w:name w:val="Hyperlink"/>
    <w:basedOn w:val="Fuentedeprrafopredeter"/>
    <w:uiPriority w:val="99"/>
    <w:unhideWhenUsed/>
    <w:rsid w:val="007336E4"/>
    <w:rPr>
      <w:color w:val="0563C1" w:themeColor="hyperlink"/>
      <w:u w:val="single"/>
    </w:rPr>
  </w:style>
  <w:style w:type="character" w:customStyle="1" w:styleId="TextocomentarioCar">
    <w:name w:val="Texto comentario Car"/>
    <w:basedOn w:val="Fuentedeprrafopredeter"/>
    <w:link w:val="Textocomentario"/>
    <w:uiPriority w:val="99"/>
    <w:semiHidden/>
    <w:rsid w:val="007336E4"/>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7336E4"/>
    <w:pPr>
      <w:spacing w:after="200" w:line="240" w:lineRule="auto"/>
    </w:pPr>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rsid w:val="007336E4"/>
    <w:rPr>
      <w:rFonts w:ascii="Segoe UI" w:hAnsi="Segoe UI" w:cs="Segoe UI"/>
      <w:sz w:val="18"/>
      <w:szCs w:val="18"/>
    </w:rPr>
  </w:style>
  <w:style w:type="paragraph" w:styleId="Textodeglobo">
    <w:name w:val="Balloon Text"/>
    <w:basedOn w:val="Normal"/>
    <w:link w:val="TextodegloboCar"/>
    <w:uiPriority w:val="99"/>
    <w:semiHidden/>
    <w:unhideWhenUsed/>
    <w:rsid w:val="007336E4"/>
    <w:pPr>
      <w:spacing w:after="0" w:line="240" w:lineRule="auto"/>
    </w:pPr>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336E4"/>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7336E4"/>
    <w:pPr>
      <w:spacing w:after="160"/>
    </w:pPr>
    <w:rPr>
      <w:rFonts w:asciiTheme="minorHAnsi" w:eastAsiaTheme="minorHAnsi" w:hAnsiTheme="minorHAnsi" w:cstheme="minorBidi"/>
      <w:b/>
      <w:bCs/>
    </w:rPr>
  </w:style>
  <w:style w:type="character" w:customStyle="1" w:styleId="TextoCar">
    <w:name w:val="Texto Car"/>
    <w:link w:val="Texto"/>
    <w:locked/>
    <w:rsid w:val="007336E4"/>
    <w:rPr>
      <w:rFonts w:ascii="Arial" w:eastAsia="Times New Roman" w:hAnsi="Arial" w:cs="Arial"/>
      <w:sz w:val="18"/>
      <w:szCs w:val="20"/>
      <w:lang w:val="es-ES" w:eastAsia="es-ES"/>
    </w:rPr>
  </w:style>
  <w:style w:type="paragraph" w:customStyle="1" w:styleId="Texto">
    <w:name w:val="Texto"/>
    <w:basedOn w:val="Normal"/>
    <w:link w:val="TextoCar"/>
    <w:rsid w:val="007336E4"/>
    <w:pPr>
      <w:spacing w:after="101" w:line="216" w:lineRule="exact"/>
      <w:ind w:firstLine="288"/>
      <w:jc w:val="both"/>
    </w:pPr>
    <w:rPr>
      <w:rFonts w:ascii="Arial" w:eastAsia="Times New Roman" w:hAnsi="Arial" w:cs="Arial"/>
      <w:sz w:val="18"/>
      <w:szCs w:val="20"/>
      <w:lang w:val="es-ES" w:eastAsia="es-ES"/>
    </w:rPr>
  </w:style>
  <w:style w:type="paragraph" w:styleId="Revisin">
    <w:name w:val="Revision"/>
    <w:hidden/>
    <w:uiPriority w:val="99"/>
    <w:semiHidden/>
    <w:rsid w:val="00AD6466"/>
    <w:pPr>
      <w:spacing w:after="0" w:line="240" w:lineRule="auto"/>
    </w:pPr>
  </w:style>
  <w:style w:type="character" w:styleId="Refdecomentario">
    <w:name w:val="annotation reference"/>
    <w:basedOn w:val="Fuentedeprrafopredeter"/>
    <w:uiPriority w:val="99"/>
    <w:semiHidden/>
    <w:unhideWhenUsed/>
    <w:rsid w:val="00D86F64"/>
    <w:rPr>
      <w:sz w:val="16"/>
      <w:szCs w:val="16"/>
    </w:rPr>
  </w:style>
  <w:style w:type="character" w:customStyle="1" w:styleId="Ttulo1Car">
    <w:name w:val="Título 1 Car"/>
    <w:basedOn w:val="Fuentedeprrafopredeter"/>
    <w:link w:val="Ttulo1"/>
    <w:uiPriority w:val="9"/>
    <w:rsid w:val="00C55FC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55FC8"/>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C55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F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15980</Words>
  <Characters>87890</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Martinez Resendiz</dc:creator>
  <cp:keywords/>
  <dc:description/>
  <cp:lastModifiedBy>Maria del Consuelo Gonzalez Moreno</cp:lastModifiedBy>
  <cp:revision>5</cp:revision>
  <cp:lastPrinted>2018-02-12T23:17:00Z</cp:lastPrinted>
  <dcterms:created xsi:type="dcterms:W3CDTF">2018-04-02T16:49:00Z</dcterms:created>
  <dcterms:modified xsi:type="dcterms:W3CDTF">2018-04-02T22:34:00Z</dcterms:modified>
</cp:coreProperties>
</file>