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7D" w:rsidRPr="00D4717D" w:rsidRDefault="00606E07" w:rsidP="00D4717D">
      <w:pPr>
        <w:pStyle w:val="1TitPrin"/>
        <w:spacing w:afterLines="100" w:after="240"/>
      </w:pPr>
      <w:r w:rsidRPr="00D4717D">
        <w:t>RESOLUCIÓN MEDIANTE</w:t>
      </w:r>
      <w:r w:rsidR="00A21167" w:rsidRPr="00D4717D">
        <w:t xml:space="preserve"> LA CUAL EL PLENO DEL INSTITUTO FEDERAL DE TELECOMUNICACIONES AUTORIZA </w:t>
      </w:r>
      <w:r w:rsidR="009A5E55" w:rsidRPr="00D4717D">
        <w:t>A</w:t>
      </w:r>
      <w:r w:rsidR="00961CE0" w:rsidRPr="00D4717D">
        <w:t xml:space="preserve"> MAL</w:t>
      </w:r>
      <w:r w:rsidR="0031438A" w:rsidRPr="00D4717D">
        <w:t>C</w:t>
      </w:r>
      <w:r w:rsidR="00961CE0" w:rsidRPr="00D4717D">
        <w:t>VISSION</w:t>
      </w:r>
      <w:r w:rsidR="00FB1EA4" w:rsidRPr="00D4717D">
        <w:t xml:space="preserve">, S.A. DE C.V., </w:t>
      </w:r>
      <w:r w:rsidR="00A21167" w:rsidRPr="00D4717D">
        <w:t xml:space="preserve">LA TRANSICIÓN </w:t>
      </w:r>
      <w:r w:rsidR="00B94C79" w:rsidRPr="00D4717D">
        <w:t xml:space="preserve">Y EN CONSECUENCIA LA CONSOLIDACIÓN </w:t>
      </w:r>
      <w:r w:rsidR="00A21167" w:rsidRPr="00D4717D">
        <w:t xml:space="preserve">DE </w:t>
      </w:r>
      <w:r w:rsidR="00B660C8" w:rsidRPr="00D4717D">
        <w:t>S</w:t>
      </w:r>
      <w:r w:rsidR="00A21167" w:rsidRPr="00D4717D">
        <w:t>U</w:t>
      </w:r>
      <w:r w:rsidR="00B94C79" w:rsidRPr="00D4717D">
        <w:t>S</w:t>
      </w:r>
      <w:r w:rsidR="00A21167" w:rsidRPr="00D4717D">
        <w:t xml:space="preserve"> TÍTULO</w:t>
      </w:r>
      <w:r w:rsidR="00B94C79" w:rsidRPr="00D4717D">
        <w:t>S</w:t>
      </w:r>
      <w:r w:rsidR="00A21167" w:rsidRPr="00D4717D">
        <w:t xml:space="preserve"> DE CONCESIÓN </w:t>
      </w:r>
      <w:r w:rsidRPr="00D4717D">
        <w:t xml:space="preserve">PARA INSTALAR, OPERAR Y EXPLOTAR UNA </w:t>
      </w:r>
      <w:r w:rsidR="00A21167" w:rsidRPr="00D4717D">
        <w:t xml:space="preserve">RED PÚBLICA DE TELECOMUNICACIONES, </w:t>
      </w:r>
      <w:r w:rsidR="00B94C79" w:rsidRPr="00D4717D">
        <w:t>EN UNA</w:t>
      </w:r>
      <w:r w:rsidR="00A21167" w:rsidRPr="00D4717D">
        <w:t xml:space="preserve"> CONCESIÓN ÚNICA PARA USO COMERCIAL.</w:t>
      </w:r>
    </w:p>
    <w:p w:rsidR="00D4717D" w:rsidRPr="00D4717D" w:rsidRDefault="00A21167" w:rsidP="00D4717D">
      <w:pPr>
        <w:pStyle w:val="Ttulo2"/>
        <w:spacing w:afterLines="100" w:after="240" w:line="276" w:lineRule="auto"/>
        <w:ind w:firstLine="0"/>
        <w:jc w:val="center"/>
        <w:rPr>
          <w:rFonts w:ascii="ITC Avant Garde" w:hAnsi="ITC Avant Garde" w:cs="Arial"/>
          <w:bCs/>
          <w:sz w:val="22"/>
          <w:szCs w:val="22"/>
          <w:lang w:eastAsia="en-US"/>
        </w:rPr>
      </w:pPr>
      <w:r w:rsidRPr="00D4717D">
        <w:rPr>
          <w:rFonts w:ascii="ITC Avant Garde" w:hAnsi="ITC Avant Garde" w:cs="Arial"/>
          <w:bCs/>
          <w:sz w:val="22"/>
          <w:szCs w:val="22"/>
          <w:lang w:eastAsia="en-US"/>
        </w:rPr>
        <w:t>ANTECEDENTES</w:t>
      </w:r>
    </w:p>
    <w:p w:rsidR="00D4717D" w:rsidRDefault="009A5E55" w:rsidP="00D4717D">
      <w:pPr>
        <w:numPr>
          <w:ilvl w:val="0"/>
          <w:numId w:val="1"/>
        </w:numPr>
        <w:spacing w:afterLines="120" w:after="288" w:line="240" w:lineRule="auto"/>
        <w:ind w:left="567"/>
        <w:jc w:val="both"/>
        <w:rPr>
          <w:rFonts w:ascii="ITC Avant Garde" w:hAnsi="ITC Avant Garde"/>
          <w:bCs/>
          <w:color w:val="000000"/>
          <w:lang w:eastAsia="es-MX"/>
        </w:rPr>
      </w:pPr>
      <w:r w:rsidRPr="00D801AF">
        <w:rPr>
          <w:rFonts w:ascii="ITC Avant Garde" w:hAnsi="ITC Avant Garde"/>
          <w:b/>
          <w:bCs/>
          <w:color w:val="000000"/>
          <w:lang w:eastAsia="es-MX"/>
        </w:rPr>
        <w:t xml:space="preserve">Otorgamiento de la </w:t>
      </w:r>
      <w:r w:rsidR="00C92F36">
        <w:rPr>
          <w:rFonts w:ascii="ITC Avant Garde" w:hAnsi="ITC Avant Garde"/>
          <w:b/>
          <w:bCs/>
          <w:color w:val="000000"/>
          <w:lang w:eastAsia="es-MX"/>
        </w:rPr>
        <w:t xml:space="preserve">Primera </w:t>
      </w:r>
      <w:r w:rsidRPr="00D801AF">
        <w:rPr>
          <w:rFonts w:ascii="ITC Avant Garde" w:hAnsi="ITC Avant Garde"/>
          <w:b/>
          <w:bCs/>
          <w:color w:val="000000"/>
          <w:lang w:eastAsia="es-MX"/>
        </w:rPr>
        <w:t>Concesión.</w:t>
      </w:r>
      <w:r w:rsidRPr="00D801AF">
        <w:rPr>
          <w:rFonts w:ascii="ITC Avant Garde" w:hAnsi="ITC Avant Garde"/>
          <w:bCs/>
          <w:color w:val="000000"/>
          <w:lang w:eastAsia="es-MX"/>
        </w:rPr>
        <w:t xml:space="preserve"> El </w:t>
      </w:r>
      <w:r w:rsidR="00AF5CE3">
        <w:rPr>
          <w:rFonts w:ascii="ITC Avant Garde" w:hAnsi="ITC Avant Garde"/>
          <w:bCs/>
          <w:color w:val="000000"/>
          <w:lang w:eastAsia="es-MX"/>
        </w:rPr>
        <w:t>27 de mayo de 2013</w:t>
      </w:r>
      <w:r w:rsidRPr="00D801AF">
        <w:rPr>
          <w:rFonts w:ascii="ITC Avant Garde" w:hAnsi="ITC Avant Garde"/>
          <w:bCs/>
          <w:color w:val="000000"/>
          <w:lang w:eastAsia="es-MX"/>
        </w:rPr>
        <w:t xml:space="preserve">, la Secretaría de Comunicaciones y Transportes (la “Secretaría”), otorgó </w:t>
      </w:r>
      <w:r w:rsidR="007A688B" w:rsidRPr="00D801AF">
        <w:rPr>
          <w:rFonts w:ascii="ITC Avant Garde" w:hAnsi="ITC Avant Garde"/>
          <w:bCs/>
          <w:color w:val="000000"/>
          <w:lang w:eastAsia="es-MX"/>
        </w:rPr>
        <w:t>a</w:t>
      </w:r>
      <w:r w:rsidRPr="00D801AF">
        <w:rPr>
          <w:rFonts w:ascii="ITC Avant Garde" w:hAnsi="ITC Avant Garde"/>
          <w:bCs/>
          <w:color w:val="000000"/>
          <w:lang w:eastAsia="es-MX"/>
        </w:rPr>
        <w:t xml:space="preserve"> favor</w:t>
      </w:r>
      <w:r w:rsidR="00D23E96">
        <w:rPr>
          <w:rFonts w:ascii="ITC Avant Garde" w:hAnsi="ITC Avant Garde"/>
          <w:bCs/>
          <w:color w:val="000000"/>
          <w:lang w:eastAsia="es-MX"/>
        </w:rPr>
        <w:t xml:space="preserve"> de </w:t>
      </w:r>
      <w:proofErr w:type="spellStart"/>
      <w:r w:rsidR="00075CC3">
        <w:rPr>
          <w:rFonts w:ascii="ITC Avant Garde" w:hAnsi="ITC Avant Garde"/>
          <w:bCs/>
          <w:color w:val="000000"/>
          <w:lang w:eastAsia="es-MX"/>
        </w:rPr>
        <w:t>Malcvission</w:t>
      </w:r>
      <w:proofErr w:type="spellEnd"/>
      <w:r w:rsidR="00075CC3">
        <w:rPr>
          <w:rFonts w:ascii="ITC Avant Garde" w:hAnsi="ITC Avant Garde"/>
          <w:bCs/>
          <w:color w:val="000000"/>
          <w:lang w:eastAsia="es-MX"/>
        </w:rPr>
        <w:t>, S.A. de C.V.</w:t>
      </w:r>
      <w:r w:rsidR="00B14A1E">
        <w:rPr>
          <w:rFonts w:ascii="ITC Avant Garde" w:hAnsi="ITC Avant Garde"/>
          <w:bCs/>
          <w:color w:val="000000"/>
          <w:lang w:eastAsia="es-MX"/>
        </w:rPr>
        <w:t>,</w:t>
      </w:r>
      <w:r w:rsidR="00D6464D">
        <w:rPr>
          <w:rFonts w:ascii="ITC Avant Garde" w:hAnsi="ITC Avant Garde"/>
          <w:bCs/>
          <w:color w:val="000000"/>
          <w:lang w:eastAsia="es-MX"/>
        </w:rPr>
        <w:t xml:space="preserve"> </w:t>
      </w:r>
      <w:r w:rsidRPr="00D801AF">
        <w:rPr>
          <w:rFonts w:ascii="ITC Avant Garde" w:hAnsi="ITC Avant Garde"/>
          <w:bCs/>
          <w:color w:val="000000"/>
          <w:lang w:eastAsia="es-MX"/>
        </w:rPr>
        <w:t xml:space="preserve">un título de concesión para instalar, operar y explotar una red pública de telecomunicaciones para prestar el servicio de televisión </w:t>
      </w:r>
      <w:r w:rsidR="00B14A1E">
        <w:rPr>
          <w:rFonts w:ascii="ITC Avant Garde" w:hAnsi="ITC Avant Garde"/>
          <w:bCs/>
          <w:color w:val="000000"/>
          <w:lang w:eastAsia="es-MX"/>
        </w:rPr>
        <w:t>restringida</w:t>
      </w:r>
      <w:r w:rsidRPr="00D801AF">
        <w:rPr>
          <w:rFonts w:ascii="ITC Avant Garde" w:hAnsi="ITC Avant Garde"/>
          <w:bCs/>
          <w:color w:val="000000"/>
          <w:lang w:eastAsia="es-MX"/>
        </w:rPr>
        <w:t xml:space="preserve">, con cobertura en </w:t>
      </w:r>
      <w:proofErr w:type="spellStart"/>
      <w:r w:rsidR="00AF5CE3">
        <w:rPr>
          <w:rFonts w:ascii="ITC Avant Garde" w:hAnsi="ITC Avant Garde"/>
          <w:bCs/>
          <w:color w:val="000000"/>
          <w:lang w:eastAsia="es-MX"/>
        </w:rPr>
        <w:t>Zacapoaxtla</w:t>
      </w:r>
      <w:proofErr w:type="spellEnd"/>
      <w:r w:rsidR="00AF5CE3">
        <w:rPr>
          <w:rFonts w:ascii="ITC Avant Garde" w:hAnsi="ITC Avant Garde"/>
          <w:bCs/>
          <w:color w:val="000000"/>
          <w:lang w:eastAsia="es-MX"/>
        </w:rPr>
        <w:t>,</w:t>
      </w:r>
      <w:r w:rsidR="00FB1EA4">
        <w:rPr>
          <w:rFonts w:ascii="ITC Avant Garde" w:hAnsi="ITC Avant Garde"/>
          <w:bCs/>
          <w:color w:val="000000"/>
          <w:lang w:eastAsia="es-MX"/>
        </w:rPr>
        <w:t xml:space="preserve"> </w:t>
      </w:r>
      <w:r w:rsidR="00F61469">
        <w:rPr>
          <w:rFonts w:ascii="ITC Avant Garde" w:hAnsi="ITC Avant Garde"/>
          <w:bCs/>
          <w:color w:val="000000"/>
          <w:lang w:eastAsia="es-MX"/>
        </w:rPr>
        <w:t xml:space="preserve">en el </w:t>
      </w:r>
      <w:r w:rsidR="00FB1EA4">
        <w:rPr>
          <w:rFonts w:ascii="ITC Avant Garde" w:hAnsi="ITC Avant Garde"/>
          <w:bCs/>
          <w:color w:val="000000"/>
          <w:lang w:eastAsia="es-MX"/>
        </w:rPr>
        <w:t xml:space="preserve">Municipio de </w:t>
      </w:r>
      <w:proofErr w:type="spellStart"/>
      <w:r w:rsidR="00AF5CE3">
        <w:rPr>
          <w:rFonts w:ascii="ITC Avant Garde" w:hAnsi="ITC Avant Garde"/>
          <w:bCs/>
          <w:color w:val="000000"/>
          <w:lang w:eastAsia="es-MX"/>
        </w:rPr>
        <w:t>Zacapoaxtla</w:t>
      </w:r>
      <w:proofErr w:type="spellEnd"/>
      <w:r w:rsidR="00FB1EA4">
        <w:rPr>
          <w:rFonts w:ascii="ITC Avant Garde" w:hAnsi="ITC Avant Garde"/>
          <w:bCs/>
          <w:color w:val="000000"/>
          <w:lang w:eastAsia="es-MX"/>
        </w:rPr>
        <w:t>, en el Estado de Puebla</w:t>
      </w:r>
      <w:r w:rsidR="00127D23">
        <w:rPr>
          <w:rFonts w:ascii="ITC Avant Garde" w:hAnsi="ITC Avant Garde"/>
          <w:bCs/>
          <w:color w:val="000000"/>
          <w:lang w:eastAsia="es-MX"/>
        </w:rPr>
        <w:t>,</w:t>
      </w:r>
      <w:r w:rsidR="001C3C94">
        <w:rPr>
          <w:rFonts w:ascii="ITC Avant Garde" w:hAnsi="ITC Avant Garde"/>
          <w:bCs/>
          <w:color w:val="000000"/>
          <w:lang w:eastAsia="es-MX"/>
        </w:rPr>
        <w:t xml:space="preserve"> con una vigencia de </w:t>
      </w:r>
      <w:r w:rsidR="00AF5CE3">
        <w:rPr>
          <w:rFonts w:ascii="ITC Avant Garde" w:hAnsi="ITC Avant Garde"/>
          <w:bCs/>
          <w:color w:val="000000"/>
          <w:lang w:eastAsia="es-MX"/>
        </w:rPr>
        <w:t>3</w:t>
      </w:r>
      <w:r w:rsidR="00A24AF6">
        <w:rPr>
          <w:rFonts w:ascii="ITC Avant Garde" w:hAnsi="ITC Avant Garde"/>
          <w:bCs/>
          <w:color w:val="000000"/>
          <w:lang w:eastAsia="es-MX"/>
        </w:rPr>
        <w:t>0</w:t>
      </w:r>
      <w:r w:rsidRPr="00D801AF">
        <w:rPr>
          <w:rFonts w:ascii="ITC Avant Garde" w:hAnsi="ITC Avant Garde"/>
          <w:bCs/>
          <w:color w:val="000000"/>
          <w:lang w:eastAsia="es-MX"/>
        </w:rPr>
        <w:t xml:space="preserve"> (</w:t>
      </w:r>
      <w:r w:rsidR="00AF5CE3">
        <w:rPr>
          <w:rFonts w:ascii="ITC Avant Garde" w:hAnsi="ITC Avant Garde"/>
          <w:bCs/>
          <w:color w:val="000000"/>
          <w:lang w:eastAsia="es-MX"/>
        </w:rPr>
        <w:t>treinta</w:t>
      </w:r>
      <w:r w:rsidRPr="00D801AF">
        <w:rPr>
          <w:rFonts w:ascii="ITC Avant Garde" w:hAnsi="ITC Avant Garde"/>
          <w:bCs/>
          <w:color w:val="000000"/>
          <w:lang w:eastAsia="es-MX"/>
        </w:rPr>
        <w:t xml:space="preserve">) años contados a partir de </w:t>
      </w:r>
      <w:r w:rsidR="00B14A1E">
        <w:rPr>
          <w:rFonts w:ascii="ITC Avant Garde" w:hAnsi="ITC Avant Garde"/>
          <w:bCs/>
          <w:color w:val="000000"/>
          <w:lang w:eastAsia="es-MX"/>
        </w:rPr>
        <w:t>su otorgamiento</w:t>
      </w:r>
      <w:r w:rsidRPr="00D801AF">
        <w:rPr>
          <w:rFonts w:ascii="ITC Avant Garde" w:hAnsi="ITC Avant Garde"/>
          <w:bCs/>
          <w:color w:val="000000"/>
          <w:lang w:eastAsia="es-MX"/>
        </w:rPr>
        <w:t xml:space="preserve"> (la “</w:t>
      </w:r>
      <w:r w:rsidR="00075CC3">
        <w:rPr>
          <w:rFonts w:ascii="ITC Avant Garde" w:hAnsi="ITC Avant Garde"/>
          <w:bCs/>
          <w:color w:val="000000"/>
          <w:lang w:eastAsia="es-MX"/>
        </w:rPr>
        <w:t xml:space="preserve">Primera </w:t>
      </w:r>
      <w:r w:rsidRPr="00D801AF">
        <w:rPr>
          <w:rFonts w:ascii="ITC Avant Garde" w:hAnsi="ITC Avant Garde"/>
          <w:bCs/>
          <w:color w:val="000000"/>
          <w:lang w:eastAsia="es-MX"/>
        </w:rPr>
        <w:t>Concesión”).</w:t>
      </w:r>
      <w:r w:rsidR="00F909E1">
        <w:rPr>
          <w:rFonts w:ascii="ITC Avant Garde" w:hAnsi="ITC Avant Garde"/>
          <w:bCs/>
          <w:color w:val="000000"/>
          <w:lang w:eastAsia="es-MX"/>
        </w:rPr>
        <w:t xml:space="preserve"> </w:t>
      </w:r>
    </w:p>
    <w:p w:rsidR="00D4717D" w:rsidRDefault="00906368" w:rsidP="00D4717D">
      <w:pPr>
        <w:numPr>
          <w:ilvl w:val="0"/>
          <w:numId w:val="1"/>
        </w:numPr>
        <w:spacing w:afterLines="120" w:after="288" w:line="240" w:lineRule="auto"/>
        <w:ind w:left="567"/>
        <w:jc w:val="both"/>
        <w:rPr>
          <w:rFonts w:ascii="ITC Avant Garde" w:hAnsi="ITC Avant Garde"/>
          <w:bCs/>
          <w:color w:val="000000"/>
          <w:lang w:eastAsia="es-MX"/>
        </w:rPr>
      </w:pPr>
      <w:r w:rsidRPr="00D801AF">
        <w:rPr>
          <w:rFonts w:ascii="ITC Avant Garde" w:hAnsi="ITC Avant Garde"/>
          <w:b/>
          <w:bCs/>
          <w:color w:val="000000"/>
          <w:lang w:eastAsia="es-MX"/>
        </w:rPr>
        <w:t xml:space="preserve">Otorgamiento de la </w:t>
      </w:r>
      <w:r w:rsidR="006C65C3">
        <w:rPr>
          <w:rFonts w:ascii="ITC Avant Garde" w:hAnsi="ITC Avant Garde"/>
          <w:b/>
          <w:bCs/>
          <w:color w:val="000000"/>
          <w:lang w:eastAsia="es-MX"/>
        </w:rPr>
        <w:t>Segunda</w:t>
      </w:r>
      <w:r>
        <w:rPr>
          <w:rFonts w:ascii="ITC Avant Garde" w:hAnsi="ITC Avant Garde"/>
          <w:b/>
          <w:bCs/>
          <w:color w:val="000000"/>
          <w:lang w:eastAsia="es-MX"/>
        </w:rPr>
        <w:t xml:space="preserve"> </w:t>
      </w:r>
      <w:r w:rsidRPr="00D801AF">
        <w:rPr>
          <w:rFonts w:ascii="ITC Avant Garde" w:hAnsi="ITC Avant Garde"/>
          <w:b/>
          <w:bCs/>
          <w:color w:val="000000"/>
          <w:lang w:eastAsia="es-MX"/>
        </w:rPr>
        <w:t>Concesión.</w:t>
      </w:r>
      <w:r w:rsidRPr="00D801AF">
        <w:rPr>
          <w:rFonts w:ascii="ITC Avant Garde" w:hAnsi="ITC Avant Garde"/>
          <w:bCs/>
          <w:color w:val="000000"/>
          <w:lang w:eastAsia="es-MX"/>
        </w:rPr>
        <w:t xml:space="preserve"> El </w:t>
      </w:r>
      <w:r>
        <w:rPr>
          <w:rFonts w:ascii="ITC Avant Garde" w:hAnsi="ITC Avant Garde"/>
          <w:bCs/>
          <w:color w:val="000000"/>
          <w:lang w:eastAsia="es-MX"/>
        </w:rPr>
        <w:t>27 de mayo de 2013</w:t>
      </w:r>
      <w:r w:rsidR="001C40C4">
        <w:rPr>
          <w:rFonts w:ascii="ITC Avant Garde" w:hAnsi="ITC Avant Garde"/>
          <w:bCs/>
          <w:color w:val="000000"/>
          <w:lang w:eastAsia="es-MX"/>
        </w:rPr>
        <w:t>, la Secretaría</w:t>
      </w:r>
      <w:r w:rsidRPr="00D801AF">
        <w:rPr>
          <w:rFonts w:ascii="ITC Avant Garde" w:hAnsi="ITC Avant Garde"/>
          <w:bCs/>
          <w:color w:val="000000"/>
          <w:lang w:eastAsia="es-MX"/>
        </w:rPr>
        <w:t xml:space="preserve"> otorgó a favor </w:t>
      </w:r>
      <w:r w:rsidR="00D23E96">
        <w:rPr>
          <w:rFonts w:ascii="ITC Avant Garde" w:hAnsi="ITC Avant Garde"/>
          <w:bCs/>
          <w:color w:val="000000"/>
          <w:lang w:eastAsia="es-MX"/>
        </w:rPr>
        <w:t>de</w:t>
      </w:r>
      <w:r w:rsidR="00D23E96" w:rsidRPr="00D801AF">
        <w:rPr>
          <w:rFonts w:ascii="ITC Avant Garde" w:hAnsi="ITC Avant Garde"/>
          <w:bCs/>
          <w:color w:val="000000"/>
          <w:lang w:eastAsia="es-MX"/>
        </w:rPr>
        <w:t xml:space="preserve"> </w:t>
      </w:r>
      <w:proofErr w:type="spellStart"/>
      <w:r>
        <w:rPr>
          <w:rFonts w:ascii="ITC Avant Garde" w:hAnsi="ITC Avant Garde"/>
          <w:bCs/>
          <w:color w:val="000000"/>
          <w:lang w:eastAsia="es-MX"/>
        </w:rPr>
        <w:t>Malcvission</w:t>
      </w:r>
      <w:proofErr w:type="spellEnd"/>
      <w:r>
        <w:rPr>
          <w:rFonts w:ascii="ITC Avant Garde" w:hAnsi="ITC Avant Garde"/>
          <w:bCs/>
          <w:color w:val="000000"/>
          <w:lang w:eastAsia="es-MX"/>
        </w:rPr>
        <w:t xml:space="preserve">, S.A. de C.V., </w:t>
      </w:r>
      <w:r w:rsidRPr="00D801AF">
        <w:rPr>
          <w:rFonts w:ascii="ITC Avant Garde" w:hAnsi="ITC Avant Garde"/>
          <w:bCs/>
          <w:color w:val="000000"/>
          <w:lang w:eastAsia="es-MX"/>
        </w:rPr>
        <w:t xml:space="preserve">un título de concesión para instalar, operar y explotar una red pública de telecomunicaciones para prestar el servicio de televisión </w:t>
      </w:r>
      <w:r>
        <w:rPr>
          <w:rFonts w:ascii="ITC Avant Garde" w:hAnsi="ITC Avant Garde"/>
          <w:bCs/>
          <w:color w:val="000000"/>
          <w:lang w:eastAsia="es-MX"/>
        </w:rPr>
        <w:t>restringida</w:t>
      </w:r>
      <w:r w:rsidRPr="00D801AF">
        <w:rPr>
          <w:rFonts w:ascii="ITC Avant Garde" w:hAnsi="ITC Avant Garde"/>
          <w:bCs/>
          <w:color w:val="000000"/>
          <w:lang w:eastAsia="es-MX"/>
        </w:rPr>
        <w:t xml:space="preserve">, con cobertura en </w:t>
      </w:r>
      <w:r w:rsidR="00FD0F62">
        <w:rPr>
          <w:rFonts w:ascii="ITC Avant Garde" w:hAnsi="ITC Avant Garde"/>
          <w:bCs/>
          <w:color w:val="000000"/>
          <w:lang w:eastAsia="es-MX"/>
        </w:rPr>
        <w:t xml:space="preserve">Villa de El Carmen </w:t>
      </w:r>
      <w:proofErr w:type="spellStart"/>
      <w:r w:rsidR="00FD0F62">
        <w:rPr>
          <w:rFonts w:ascii="ITC Avant Garde" w:hAnsi="ITC Avant Garde"/>
          <w:bCs/>
          <w:color w:val="000000"/>
          <w:lang w:eastAsia="es-MX"/>
        </w:rPr>
        <w:t>Tequexquitla</w:t>
      </w:r>
      <w:proofErr w:type="spellEnd"/>
      <w:r w:rsidR="00FD0F62">
        <w:rPr>
          <w:rFonts w:ascii="ITC Avant Garde" w:hAnsi="ITC Avant Garde"/>
          <w:bCs/>
          <w:color w:val="000000"/>
          <w:lang w:eastAsia="es-MX"/>
        </w:rPr>
        <w:t xml:space="preserve">, </w:t>
      </w:r>
      <w:r>
        <w:rPr>
          <w:rFonts w:ascii="ITC Avant Garde" w:hAnsi="ITC Avant Garde"/>
          <w:bCs/>
          <w:color w:val="000000"/>
          <w:lang w:eastAsia="es-MX"/>
        </w:rPr>
        <w:t xml:space="preserve">Municipio de </w:t>
      </w:r>
      <w:r w:rsidR="00FD0F62">
        <w:rPr>
          <w:rFonts w:ascii="ITC Avant Garde" w:hAnsi="ITC Avant Garde"/>
          <w:bCs/>
          <w:color w:val="000000"/>
          <w:lang w:eastAsia="es-MX"/>
        </w:rPr>
        <w:t xml:space="preserve">El Carmen </w:t>
      </w:r>
      <w:proofErr w:type="spellStart"/>
      <w:r w:rsidR="00FD0F62">
        <w:rPr>
          <w:rFonts w:ascii="ITC Avant Garde" w:hAnsi="ITC Avant Garde"/>
          <w:bCs/>
          <w:color w:val="000000"/>
          <w:lang w:eastAsia="es-MX"/>
        </w:rPr>
        <w:t>Tequexquitla</w:t>
      </w:r>
      <w:proofErr w:type="spellEnd"/>
      <w:r w:rsidR="00FD0F62">
        <w:rPr>
          <w:rFonts w:ascii="ITC Avant Garde" w:hAnsi="ITC Avant Garde"/>
          <w:bCs/>
          <w:color w:val="000000"/>
          <w:lang w:eastAsia="es-MX"/>
        </w:rPr>
        <w:t xml:space="preserve">; Colonia Ignacio Allende, Municipio de </w:t>
      </w:r>
      <w:proofErr w:type="spellStart"/>
      <w:r w:rsidR="00FD0F62">
        <w:rPr>
          <w:rFonts w:ascii="ITC Avant Garde" w:hAnsi="ITC Avant Garde"/>
          <w:bCs/>
          <w:color w:val="000000"/>
          <w:lang w:eastAsia="es-MX"/>
        </w:rPr>
        <w:t>Cuapiaxtla</w:t>
      </w:r>
      <w:proofErr w:type="spellEnd"/>
      <w:r w:rsidR="00FD0F62">
        <w:rPr>
          <w:rFonts w:ascii="ITC Avant Garde" w:hAnsi="ITC Avant Garde"/>
          <w:bCs/>
          <w:color w:val="000000"/>
          <w:lang w:eastAsia="es-MX"/>
        </w:rPr>
        <w:t>,</w:t>
      </w:r>
      <w:r>
        <w:rPr>
          <w:rFonts w:ascii="ITC Avant Garde" w:hAnsi="ITC Avant Garde"/>
          <w:bCs/>
          <w:color w:val="000000"/>
          <w:lang w:eastAsia="es-MX"/>
        </w:rPr>
        <w:t xml:space="preserve"> en el Estado de </w:t>
      </w:r>
      <w:r w:rsidR="00FD0F62">
        <w:rPr>
          <w:rFonts w:ascii="ITC Avant Garde" w:hAnsi="ITC Avant Garde"/>
          <w:bCs/>
          <w:color w:val="000000"/>
          <w:lang w:eastAsia="es-MX"/>
        </w:rPr>
        <w:t>Tlaxcala; Ciudad de Libres, Municipio de Libres y Oriental, Municipio de Oriental, en el Estado de Puebla</w:t>
      </w:r>
      <w:r w:rsidR="009E68D2">
        <w:rPr>
          <w:rFonts w:ascii="ITC Avant Garde" w:hAnsi="ITC Avant Garde"/>
          <w:bCs/>
          <w:color w:val="000000"/>
          <w:lang w:eastAsia="es-MX"/>
        </w:rPr>
        <w:t>,</w:t>
      </w:r>
      <w:r>
        <w:rPr>
          <w:rFonts w:ascii="ITC Avant Garde" w:hAnsi="ITC Avant Garde"/>
          <w:bCs/>
          <w:color w:val="000000"/>
          <w:lang w:eastAsia="es-MX"/>
        </w:rPr>
        <w:t xml:space="preserve"> con una vigencia de 30</w:t>
      </w:r>
      <w:r w:rsidRPr="00D801AF">
        <w:rPr>
          <w:rFonts w:ascii="ITC Avant Garde" w:hAnsi="ITC Avant Garde"/>
          <w:bCs/>
          <w:color w:val="000000"/>
          <w:lang w:eastAsia="es-MX"/>
        </w:rPr>
        <w:t xml:space="preserve"> (</w:t>
      </w:r>
      <w:r>
        <w:rPr>
          <w:rFonts w:ascii="ITC Avant Garde" w:hAnsi="ITC Avant Garde"/>
          <w:bCs/>
          <w:color w:val="000000"/>
          <w:lang w:eastAsia="es-MX"/>
        </w:rPr>
        <w:t>treinta</w:t>
      </w:r>
      <w:r w:rsidRPr="00D801AF">
        <w:rPr>
          <w:rFonts w:ascii="ITC Avant Garde" w:hAnsi="ITC Avant Garde"/>
          <w:bCs/>
          <w:color w:val="000000"/>
          <w:lang w:eastAsia="es-MX"/>
        </w:rPr>
        <w:t xml:space="preserve">) años contados a partir de </w:t>
      </w:r>
      <w:r>
        <w:rPr>
          <w:rFonts w:ascii="ITC Avant Garde" w:hAnsi="ITC Avant Garde"/>
          <w:bCs/>
          <w:color w:val="000000"/>
          <w:lang w:eastAsia="es-MX"/>
        </w:rPr>
        <w:t>su otorgamiento</w:t>
      </w:r>
      <w:r w:rsidRPr="00D801AF">
        <w:rPr>
          <w:rFonts w:ascii="ITC Avant Garde" w:hAnsi="ITC Avant Garde"/>
          <w:bCs/>
          <w:color w:val="000000"/>
          <w:lang w:eastAsia="es-MX"/>
        </w:rPr>
        <w:t xml:space="preserve"> (la “</w:t>
      </w:r>
      <w:r w:rsidR="006C65C3">
        <w:rPr>
          <w:rFonts w:ascii="ITC Avant Garde" w:hAnsi="ITC Avant Garde"/>
          <w:bCs/>
          <w:color w:val="000000"/>
          <w:lang w:eastAsia="es-MX"/>
        </w:rPr>
        <w:t>Segunda</w:t>
      </w:r>
      <w:r>
        <w:rPr>
          <w:rFonts w:ascii="ITC Avant Garde" w:hAnsi="ITC Avant Garde"/>
          <w:bCs/>
          <w:color w:val="000000"/>
          <w:lang w:eastAsia="es-MX"/>
        </w:rPr>
        <w:t xml:space="preserve"> </w:t>
      </w:r>
      <w:r w:rsidRPr="00D801AF">
        <w:rPr>
          <w:rFonts w:ascii="ITC Avant Garde" w:hAnsi="ITC Avant Garde"/>
          <w:bCs/>
          <w:color w:val="000000"/>
          <w:lang w:eastAsia="es-MX"/>
        </w:rPr>
        <w:t>Concesión”).</w:t>
      </w:r>
      <w:r>
        <w:rPr>
          <w:rFonts w:ascii="ITC Avant Garde" w:hAnsi="ITC Avant Garde"/>
          <w:bCs/>
          <w:color w:val="000000"/>
          <w:lang w:eastAsia="es-MX"/>
        </w:rPr>
        <w:t xml:space="preserve"> </w:t>
      </w:r>
    </w:p>
    <w:p w:rsidR="00D4717D" w:rsidRDefault="006C65C3" w:rsidP="00D4717D">
      <w:pPr>
        <w:numPr>
          <w:ilvl w:val="0"/>
          <w:numId w:val="1"/>
        </w:numPr>
        <w:spacing w:afterLines="120" w:after="288" w:line="240" w:lineRule="auto"/>
        <w:ind w:left="567"/>
        <w:jc w:val="both"/>
        <w:rPr>
          <w:rFonts w:ascii="ITC Avant Garde" w:hAnsi="ITC Avant Garde"/>
          <w:bCs/>
          <w:color w:val="000000"/>
          <w:lang w:eastAsia="es-MX"/>
        </w:rPr>
      </w:pPr>
      <w:r w:rsidRPr="00D801AF">
        <w:rPr>
          <w:rFonts w:ascii="ITC Avant Garde" w:hAnsi="ITC Avant Garde"/>
          <w:b/>
          <w:bCs/>
          <w:color w:val="000000"/>
          <w:lang w:eastAsia="es-MX"/>
        </w:rPr>
        <w:t xml:space="preserve">Otorgamiento de la </w:t>
      </w:r>
      <w:r>
        <w:rPr>
          <w:rFonts w:ascii="ITC Avant Garde" w:hAnsi="ITC Avant Garde"/>
          <w:b/>
          <w:bCs/>
          <w:color w:val="000000"/>
          <w:lang w:eastAsia="es-MX"/>
        </w:rPr>
        <w:t xml:space="preserve">Tercera </w:t>
      </w:r>
      <w:r w:rsidRPr="00D801AF">
        <w:rPr>
          <w:rFonts w:ascii="ITC Avant Garde" w:hAnsi="ITC Avant Garde"/>
          <w:b/>
          <w:bCs/>
          <w:color w:val="000000"/>
          <w:lang w:eastAsia="es-MX"/>
        </w:rPr>
        <w:t>Concesión.</w:t>
      </w:r>
      <w:r w:rsidRPr="00D801AF">
        <w:rPr>
          <w:rFonts w:ascii="ITC Avant Garde" w:hAnsi="ITC Avant Garde"/>
          <w:bCs/>
          <w:color w:val="000000"/>
          <w:lang w:eastAsia="es-MX"/>
        </w:rPr>
        <w:t xml:space="preserve"> El </w:t>
      </w:r>
      <w:r>
        <w:rPr>
          <w:rFonts w:ascii="ITC Avant Garde" w:hAnsi="ITC Avant Garde"/>
          <w:bCs/>
          <w:color w:val="000000"/>
          <w:lang w:eastAsia="es-MX"/>
        </w:rPr>
        <w:t>27 de mayo de 2013</w:t>
      </w:r>
      <w:r w:rsidR="001C40C4">
        <w:rPr>
          <w:rFonts w:ascii="ITC Avant Garde" w:hAnsi="ITC Avant Garde"/>
          <w:bCs/>
          <w:color w:val="000000"/>
          <w:lang w:eastAsia="es-MX"/>
        </w:rPr>
        <w:t>, la Secretaría</w:t>
      </w:r>
      <w:r w:rsidRPr="00D801AF">
        <w:rPr>
          <w:rFonts w:ascii="ITC Avant Garde" w:hAnsi="ITC Avant Garde"/>
          <w:bCs/>
          <w:color w:val="000000"/>
          <w:lang w:eastAsia="es-MX"/>
        </w:rPr>
        <w:t xml:space="preserve"> otorgó a favor </w:t>
      </w:r>
      <w:r w:rsidR="00D23E96">
        <w:rPr>
          <w:rFonts w:ascii="ITC Avant Garde" w:hAnsi="ITC Avant Garde"/>
          <w:bCs/>
          <w:color w:val="000000"/>
          <w:lang w:eastAsia="es-MX"/>
        </w:rPr>
        <w:t xml:space="preserve">de </w:t>
      </w:r>
      <w:proofErr w:type="spellStart"/>
      <w:r>
        <w:rPr>
          <w:rFonts w:ascii="ITC Avant Garde" w:hAnsi="ITC Avant Garde"/>
          <w:bCs/>
          <w:color w:val="000000"/>
          <w:lang w:eastAsia="es-MX"/>
        </w:rPr>
        <w:t>Malcvission</w:t>
      </w:r>
      <w:proofErr w:type="spellEnd"/>
      <w:r>
        <w:rPr>
          <w:rFonts w:ascii="ITC Avant Garde" w:hAnsi="ITC Avant Garde"/>
          <w:bCs/>
          <w:color w:val="000000"/>
          <w:lang w:eastAsia="es-MX"/>
        </w:rPr>
        <w:t xml:space="preserve">, S.A. de C.V., </w:t>
      </w:r>
      <w:r w:rsidRPr="00D801AF">
        <w:rPr>
          <w:rFonts w:ascii="ITC Avant Garde" w:hAnsi="ITC Avant Garde"/>
          <w:bCs/>
          <w:color w:val="000000"/>
          <w:lang w:eastAsia="es-MX"/>
        </w:rPr>
        <w:t xml:space="preserve">un título de concesión para instalar, operar y explotar una red pública de telecomunicaciones para prestar el servicio de televisión </w:t>
      </w:r>
      <w:r>
        <w:rPr>
          <w:rFonts w:ascii="ITC Avant Garde" w:hAnsi="ITC Avant Garde"/>
          <w:bCs/>
          <w:color w:val="000000"/>
          <w:lang w:eastAsia="es-MX"/>
        </w:rPr>
        <w:t>restringida</w:t>
      </w:r>
      <w:r w:rsidRPr="00D801AF">
        <w:rPr>
          <w:rFonts w:ascii="ITC Avant Garde" w:hAnsi="ITC Avant Garde"/>
          <w:bCs/>
          <w:color w:val="000000"/>
          <w:lang w:eastAsia="es-MX"/>
        </w:rPr>
        <w:t xml:space="preserve">, con cobertura en </w:t>
      </w:r>
      <w:proofErr w:type="spellStart"/>
      <w:r w:rsidR="009F77DD" w:rsidRPr="009F77DD">
        <w:rPr>
          <w:rFonts w:ascii="ITC Avant Garde" w:hAnsi="ITC Avant Garde"/>
          <w:bCs/>
          <w:color w:val="000000"/>
          <w:lang w:eastAsia="es-MX"/>
        </w:rPr>
        <w:t>Atlatlahucan</w:t>
      </w:r>
      <w:proofErr w:type="spellEnd"/>
      <w:r w:rsidR="009F77DD" w:rsidRPr="009F77DD">
        <w:rPr>
          <w:rFonts w:ascii="ITC Avant Garde" w:hAnsi="ITC Avant Garde"/>
          <w:bCs/>
          <w:color w:val="000000"/>
          <w:lang w:eastAsia="es-MX"/>
        </w:rPr>
        <w:t xml:space="preserve">, </w:t>
      </w:r>
      <w:r w:rsidR="009F77DD">
        <w:rPr>
          <w:rFonts w:ascii="ITC Avant Garde" w:hAnsi="ITC Avant Garde"/>
          <w:bCs/>
          <w:color w:val="000000"/>
          <w:lang w:eastAsia="es-MX"/>
        </w:rPr>
        <w:t xml:space="preserve">Municipio </w:t>
      </w:r>
      <w:r w:rsidR="009F77DD" w:rsidRPr="009F77DD">
        <w:rPr>
          <w:rFonts w:ascii="ITC Avant Garde" w:hAnsi="ITC Avant Garde"/>
          <w:bCs/>
          <w:color w:val="000000"/>
          <w:lang w:eastAsia="es-MX"/>
        </w:rPr>
        <w:t xml:space="preserve">de </w:t>
      </w:r>
      <w:proofErr w:type="spellStart"/>
      <w:r w:rsidR="009F77DD" w:rsidRPr="009F77DD">
        <w:rPr>
          <w:rFonts w:ascii="ITC Avant Garde" w:hAnsi="ITC Avant Garde"/>
          <w:bCs/>
          <w:color w:val="000000"/>
          <w:lang w:eastAsia="es-MX"/>
        </w:rPr>
        <w:t>Atlatlahucan</w:t>
      </w:r>
      <w:proofErr w:type="spellEnd"/>
      <w:r w:rsidR="009F77DD" w:rsidRPr="009F77DD">
        <w:rPr>
          <w:rFonts w:ascii="ITC Avant Garde" w:hAnsi="ITC Avant Garde"/>
          <w:bCs/>
          <w:color w:val="000000"/>
          <w:lang w:eastAsia="es-MX"/>
        </w:rPr>
        <w:t xml:space="preserve">; Tlalnepantla, </w:t>
      </w:r>
      <w:r w:rsidR="009F77DD">
        <w:rPr>
          <w:rFonts w:ascii="ITC Avant Garde" w:hAnsi="ITC Avant Garde"/>
          <w:bCs/>
          <w:color w:val="000000"/>
          <w:lang w:eastAsia="es-MX"/>
        </w:rPr>
        <w:t xml:space="preserve">Municipio </w:t>
      </w:r>
      <w:r w:rsidR="009F77DD" w:rsidRPr="009F77DD">
        <w:rPr>
          <w:rFonts w:ascii="ITC Avant Garde" w:hAnsi="ITC Avant Garde"/>
          <w:bCs/>
          <w:color w:val="000000"/>
          <w:lang w:eastAsia="es-MX"/>
        </w:rPr>
        <w:t xml:space="preserve">de Tlalnepantla; </w:t>
      </w:r>
      <w:proofErr w:type="spellStart"/>
      <w:r w:rsidR="009F77DD" w:rsidRPr="009F77DD">
        <w:rPr>
          <w:rFonts w:ascii="ITC Avant Garde" w:hAnsi="ITC Avant Garde"/>
          <w:bCs/>
          <w:color w:val="000000"/>
          <w:lang w:eastAsia="es-MX"/>
        </w:rPr>
        <w:t>Totolapan</w:t>
      </w:r>
      <w:proofErr w:type="spellEnd"/>
      <w:r w:rsidR="009F77DD" w:rsidRPr="009F77DD">
        <w:rPr>
          <w:rFonts w:ascii="ITC Avant Garde" w:hAnsi="ITC Avant Garde"/>
          <w:bCs/>
          <w:color w:val="000000"/>
          <w:lang w:eastAsia="es-MX"/>
        </w:rPr>
        <w:t xml:space="preserve"> </w:t>
      </w:r>
      <w:r w:rsidR="008D6F3C">
        <w:rPr>
          <w:rFonts w:ascii="ITC Avant Garde" w:hAnsi="ITC Avant Garde"/>
          <w:bCs/>
          <w:color w:val="000000"/>
          <w:lang w:eastAsia="es-MX"/>
        </w:rPr>
        <w:t>y</w:t>
      </w:r>
      <w:r w:rsidR="009F77DD" w:rsidRPr="009F77DD">
        <w:rPr>
          <w:rFonts w:ascii="ITC Avant Garde" w:hAnsi="ITC Avant Garde"/>
          <w:bCs/>
          <w:color w:val="000000"/>
          <w:lang w:eastAsia="es-MX"/>
        </w:rPr>
        <w:t xml:space="preserve"> </w:t>
      </w:r>
      <w:proofErr w:type="spellStart"/>
      <w:r w:rsidR="009F77DD" w:rsidRPr="009F77DD">
        <w:rPr>
          <w:rFonts w:ascii="ITC Avant Garde" w:hAnsi="ITC Avant Garde"/>
          <w:bCs/>
          <w:color w:val="000000"/>
          <w:lang w:eastAsia="es-MX"/>
        </w:rPr>
        <w:t>Nepopualco</w:t>
      </w:r>
      <w:proofErr w:type="spellEnd"/>
      <w:r w:rsidR="009F77DD" w:rsidRPr="009F77DD">
        <w:rPr>
          <w:rFonts w:ascii="ITC Avant Garde" w:hAnsi="ITC Avant Garde"/>
          <w:bCs/>
          <w:color w:val="000000"/>
          <w:lang w:eastAsia="es-MX"/>
        </w:rPr>
        <w:t xml:space="preserve">, </w:t>
      </w:r>
      <w:r w:rsidR="009F77DD">
        <w:rPr>
          <w:rFonts w:ascii="ITC Avant Garde" w:hAnsi="ITC Avant Garde"/>
          <w:bCs/>
          <w:color w:val="000000"/>
          <w:lang w:eastAsia="es-MX"/>
        </w:rPr>
        <w:t xml:space="preserve">Municipio </w:t>
      </w:r>
      <w:r w:rsidR="003227D2">
        <w:rPr>
          <w:rFonts w:ascii="ITC Avant Garde" w:hAnsi="ITC Avant Garde"/>
          <w:bCs/>
          <w:color w:val="000000"/>
          <w:lang w:eastAsia="es-MX"/>
        </w:rPr>
        <w:t xml:space="preserve">de </w:t>
      </w:r>
      <w:proofErr w:type="spellStart"/>
      <w:r w:rsidR="003227D2">
        <w:rPr>
          <w:rFonts w:ascii="ITC Avant Garde" w:hAnsi="ITC Avant Garde"/>
          <w:bCs/>
          <w:color w:val="000000"/>
          <w:lang w:eastAsia="es-MX"/>
        </w:rPr>
        <w:t>Totolapan</w:t>
      </w:r>
      <w:proofErr w:type="spellEnd"/>
      <w:r w:rsidR="003227D2">
        <w:rPr>
          <w:rFonts w:ascii="ITC Avant Garde" w:hAnsi="ITC Avant Garde"/>
          <w:bCs/>
          <w:color w:val="000000"/>
          <w:lang w:eastAsia="es-MX"/>
        </w:rPr>
        <w:t xml:space="preserve">; </w:t>
      </w:r>
      <w:proofErr w:type="spellStart"/>
      <w:r w:rsidR="003227D2">
        <w:rPr>
          <w:rFonts w:ascii="ITC Avant Garde" w:hAnsi="ITC Avant Garde"/>
          <w:bCs/>
          <w:color w:val="000000"/>
          <w:lang w:eastAsia="es-MX"/>
        </w:rPr>
        <w:t>Tlayacapan</w:t>
      </w:r>
      <w:proofErr w:type="spellEnd"/>
      <w:r w:rsidR="003227D2">
        <w:rPr>
          <w:rFonts w:ascii="ITC Avant Garde" w:hAnsi="ITC Avant Garde"/>
          <w:bCs/>
          <w:color w:val="000000"/>
          <w:lang w:eastAsia="es-MX"/>
        </w:rPr>
        <w:t xml:space="preserve"> </w:t>
      </w:r>
      <w:r w:rsidR="009F77DD" w:rsidRPr="009F77DD">
        <w:rPr>
          <w:rFonts w:ascii="ITC Avant Garde" w:hAnsi="ITC Avant Garde"/>
          <w:bCs/>
          <w:color w:val="000000"/>
          <w:lang w:eastAsia="es-MX"/>
        </w:rPr>
        <w:t xml:space="preserve">y </w:t>
      </w:r>
      <w:proofErr w:type="spellStart"/>
      <w:r w:rsidR="009F77DD" w:rsidRPr="009F77DD">
        <w:rPr>
          <w:rFonts w:ascii="ITC Avant Garde" w:hAnsi="ITC Avant Garde"/>
          <w:bCs/>
          <w:color w:val="000000"/>
          <w:lang w:eastAsia="es-MX"/>
        </w:rPr>
        <w:t>Cuauhtempan</w:t>
      </w:r>
      <w:proofErr w:type="spellEnd"/>
      <w:r w:rsidR="009F77DD" w:rsidRPr="009F77DD">
        <w:rPr>
          <w:rFonts w:ascii="ITC Avant Garde" w:hAnsi="ITC Avant Garde"/>
          <w:bCs/>
          <w:color w:val="000000"/>
          <w:lang w:eastAsia="es-MX"/>
        </w:rPr>
        <w:t xml:space="preserve"> (San Andrés </w:t>
      </w:r>
      <w:proofErr w:type="spellStart"/>
      <w:r w:rsidR="009F77DD" w:rsidRPr="009F77DD">
        <w:rPr>
          <w:rFonts w:ascii="ITC Avant Garde" w:hAnsi="ITC Avant Garde"/>
          <w:bCs/>
          <w:color w:val="000000"/>
          <w:lang w:eastAsia="es-MX"/>
        </w:rPr>
        <w:t>Cuauhtempan</w:t>
      </w:r>
      <w:proofErr w:type="spellEnd"/>
      <w:r w:rsidR="009F77DD" w:rsidRPr="009F77DD">
        <w:rPr>
          <w:rFonts w:ascii="ITC Avant Garde" w:hAnsi="ITC Avant Garde"/>
          <w:bCs/>
          <w:color w:val="000000"/>
          <w:lang w:eastAsia="es-MX"/>
        </w:rPr>
        <w:t xml:space="preserve">), </w:t>
      </w:r>
      <w:r w:rsidR="009F77DD">
        <w:rPr>
          <w:rFonts w:ascii="ITC Avant Garde" w:hAnsi="ITC Avant Garde"/>
          <w:bCs/>
          <w:color w:val="000000"/>
          <w:lang w:eastAsia="es-MX"/>
        </w:rPr>
        <w:t xml:space="preserve">Municipio </w:t>
      </w:r>
      <w:r w:rsidR="009F77DD" w:rsidRPr="009F77DD">
        <w:rPr>
          <w:rFonts w:ascii="ITC Avant Garde" w:hAnsi="ITC Avant Garde"/>
          <w:bCs/>
          <w:color w:val="000000"/>
          <w:lang w:eastAsia="es-MX"/>
        </w:rPr>
        <w:t xml:space="preserve">de </w:t>
      </w:r>
      <w:proofErr w:type="spellStart"/>
      <w:r w:rsidR="009F77DD" w:rsidRPr="009F77DD">
        <w:rPr>
          <w:rFonts w:ascii="ITC Avant Garde" w:hAnsi="ITC Avant Garde"/>
          <w:bCs/>
          <w:color w:val="000000"/>
          <w:lang w:eastAsia="es-MX"/>
        </w:rPr>
        <w:t>Tlay</w:t>
      </w:r>
      <w:r w:rsidR="003227D2">
        <w:rPr>
          <w:rFonts w:ascii="ITC Avant Garde" w:hAnsi="ITC Avant Garde"/>
          <w:bCs/>
          <w:color w:val="000000"/>
          <w:lang w:eastAsia="es-MX"/>
        </w:rPr>
        <w:t>acapan</w:t>
      </w:r>
      <w:proofErr w:type="spellEnd"/>
      <w:r w:rsidR="003227D2">
        <w:rPr>
          <w:rFonts w:ascii="ITC Avant Garde" w:hAnsi="ITC Avant Garde"/>
          <w:bCs/>
          <w:color w:val="000000"/>
          <w:lang w:eastAsia="es-MX"/>
        </w:rPr>
        <w:t>, en el Estado de Morelos,</w:t>
      </w:r>
      <w:r>
        <w:rPr>
          <w:rFonts w:ascii="ITC Avant Garde" w:hAnsi="ITC Avant Garde"/>
          <w:bCs/>
          <w:color w:val="000000"/>
          <w:lang w:eastAsia="es-MX"/>
        </w:rPr>
        <w:t xml:space="preserve"> con una vigencia de 30</w:t>
      </w:r>
      <w:r w:rsidRPr="00D801AF">
        <w:rPr>
          <w:rFonts w:ascii="ITC Avant Garde" w:hAnsi="ITC Avant Garde"/>
          <w:bCs/>
          <w:color w:val="000000"/>
          <w:lang w:eastAsia="es-MX"/>
        </w:rPr>
        <w:t xml:space="preserve"> (</w:t>
      </w:r>
      <w:r>
        <w:rPr>
          <w:rFonts w:ascii="ITC Avant Garde" w:hAnsi="ITC Avant Garde"/>
          <w:bCs/>
          <w:color w:val="000000"/>
          <w:lang w:eastAsia="es-MX"/>
        </w:rPr>
        <w:t>treinta</w:t>
      </w:r>
      <w:r w:rsidRPr="00D801AF">
        <w:rPr>
          <w:rFonts w:ascii="ITC Avant Garde" w:hAnsi="ITC Avant Garde"/>
          <w:bCs/>
          <w:color w:val="000000"/>
          <w:lang w:eastAsia="es-MX"/>
        </w:rPr>
        <w:t xml:space="preserve">) años contados a partir de </w:t>
      </w:r>
      <w:r>
        <w:rPr>
          <w:rFonts w:ascii="ITC Avant Garde" w:hAnsi="ITC Avant Garde"/>
          <w:bCs/>
          <w:color w:val="000000"/>
          <w:lang w:eastAsia="es-MX"/>
        </w:rPr>
        <w:t>su otorgamiento</w:t>
      </w:r>
      <w:r w:rsidRPr="00D801AF">
        <w:rPr>
          <w:rFonts w:ascii="ITC Avant Garde" w:hAnsi="ITC Avant Garde"/>
          <w:bCs/>
          <w:color w:val="000000"/>
          <w:lang w:eastAsia="es-MX"/>
        </w:rPr>
        <w:t xml:space="preserve"> (la “</w:t>
      </w:r>
      <w:r>
        <w:rPr>
          <w:rFonts w:ascii="ITC Avant Garde" w:hAnsi="ITC Avant Garde"/>
          <w:bCs/>
          <w:color w:val="000000"/>
          <w:lang w:eastAsia="es-MX"/>
        </w:rPr>
        <w:t xml:space="preserve">Tercera </w:t>
      </w:r>
      <w:r w:rsidRPr="00D801AF">
        <w:rPr>
          <w:rFonts w:ascii="ITC Avant Garde" w:hAnsi="ITC Avant Garde"/>
          <w:bCs/>
          <w:color w:val="000000"/>
          <w:lang w:eastAsia="es-MX"/>
        </w:rPr>
        <w:t>Concesión”).</w:t>
      </w:r>
      <w:r>
        <w:rPr>
          <w:rFonts w:ascii="ITC Avant Garde" w:hAnsi="ITC Avant Garde"/>
          <w:bCs/>
          <w:color w:val="000000"/>
          <w:lang w:eastAsia="es-MX"/>
        </w:rPr>
        <w:t xml:space="preserve"> </w:t>
      </w:r>
    </w:p>
    <w:p w:rsidR="009A5E55" w:rsidRDefault="009A5E55" w:rsidP="00D4717D">
      <w:pPr>
        <w:numPr>
          <w:ilvl w:val="0"/>
          <w:numId w:val="1"/>
        </w:numPr>
        <w:spacing w:afterLines="120" w:after="288" w:line="240" w:lineRule="auto"/>
        <w:ind w:left="567"/>
        <w:jc w:val="both"/>
        <w:rPr>
          <w:rFonts w:ascii="ITC Avant Garde" w:hAnsi="ITC Avant Garde"/>
          <w:bCs/>
          <w:color w:val="000000"/>
          <w:lang w:eastAsia="es-MX"/>
        </w:rPr>
      </w:pPr>
      <w:r w:rsidRPr="00686D49">
        <w:rPr>
          <w:rFonts w:ascii="ITC Avant Garde" w:hAnsi="ITC Avant Garde"/>
          <w:b/>
          <w:bCs/>
          <w:color w:val="000000"/>
          <w:lang w:eastAsia="es-MX"/>
        </w:rPr>
        <w:t xml:space="preserve">Decreto de Reforma Constitucional. </w:t>
      </w:r>
      <w:r w:rsidRPr="00686D49">
        <w:rPr>
          <w:rFonts w:ascii="ITC Avant Garde" w:hAnsi="ITC Avant Garde"/>
          <w:bCs/>
          <w:color w:val="000000"/>
          <w:lang w:eastAsia="es-MX"/>
        </w:rPr>
        <w:t>Con fecha 11 de junio de 2013, se publicó en el Diario Oficial de la Federación el “</w:t>
      </w:r>
      <w:r w:rsidRPr="00792939">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686D49">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w:t>
      </w:r>
      <w:r>
        <w:rPr>
          <w:rFonts w:ascii="ITC Avant Garde" w:hAnsi="ITC Avant Garde"/>
          <w:bCs/>
          <w:color w:val="000000"/>
          <w:lang w:eastAsia="es-MX"/>
        </w:rPr>
        <w:t>s.</w:t>
      </w:r>
    </w:p>
    <w:p w:rsidR="00D4717D" w:rsidRDefault="009A5E55" w:rsidP="00D4717D">
      <w:pPr>
        <w:numPr>
          <w:ilvl w:val="0"/>
          <w:numId w:val="1"/>
        </w:numPr>
        <w:spacing w:afterLines="120" w:after="288" w:line="240" w:lineRule="auto"/>
        <w:ind w:left="567"/>
        <w:jc w:val="both"/>
        <w:rPr>
          <w:rFonts w:ascii="ITC Avant Garde" w:hAnsi="ITC Avant Garde"/>
          <w:bCs/>
          <w:color w:val="000000"/>
          <w:lang w:eastAsia="es-MX"/>
        </w:rPr>
      </w:pPr>
      <w:r w:rsidRPr="00686D49">
        <w:rPr>
          <w:rFonts w:ascii="ITC Avant Garde" w:hAnsi="ITC Avant Garde"/>
          <w:b/>
          <w:bCs/>
          <w:color w:val="000000" w:themeColor="text1"/>
          <w:lang w:eastAsia="es-MX"/>
        </w:rPr>
        <w:lastRenderedPageBreak/>
        <w:t xml:space="preserve">Decreto de Ley. </w:t>
      </w:r>
      <w:r w:rsidRPr="00686D49">
        <w:rPr>
          <w:rFonts w:ascii="ITC Avant Garde" w:hAnsi="ITC Avant Garde"/>
          <w:bCs/>
          <w:color w:val="000000" w:themeColor="text1"/>
          <w:lang w:eastAsia="es-MX"/>
        </w:rPr>
        <w:t>El 14 de julio de 2014, se publicó en el Diario Oficial de la Federación el “</w:t>
      </w:r>
      <w:r w:rsidRPr="00686D49">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86D49">
        <w:rPr>
          <w:rFonts w:ascii="ITC Avant Garde" w:hAnsi="ITC Avant Garde"/>
          <w:bCs/>
          <w:color w:val="000000" w:themeColor="text1"/>
          <w:lang w:eastAsia="es-MX"/>
        </w:rPr>
        <w:t>” (el “Decreto de Ley”), mismo que entró en vigor el 13 de agosto de 2014.</w:t>
      </w:r>
    </w:p>
    <w:p w:rsidR="00D4717D" w:rsidRDefault="009A5E55" w:rsidP="00D4717D">
      <w:pPr>
        <w:numPr>
          <w:ilvl w:val="0"/>
          <w:numId w:val="1"/>
        </w:numPr>
        <w:spacing w:afterLines="120" w:after="288" w:line="240" w:lineRule="auto"/>
        <w:ind w:left="567"/>
        <w:jc w:val="both"/>
        <w:rPr>
          <w:rFonts w:ascii="ITC Avant Garde" w:hAnsi="ITC Avant Garde"/>
          <w:bCs/>
          <w:color w:val="000000"/>
          <w:lang w:eastAsia="es-MX"/>
        </w:rPr>
      </w:pPr>
      <w:r w:rsidRPr="00686D49">
        <w:rPr>
          <w:rFonts w:ascii="ITC Avant Garde" w:hAnsi="ITC Avant Garde" w:cs="Arial"/>
          <w:b/>
          <w:bCs/>
          <w:color w:val="000000"/>
          <w:shd w:val="clear" w:color="auto" w:fill="FFFFFF"/>
        </w:rPr>
        <w:t>Estatuto Orgánico.</w:t>
      </w:r>
      <w:r w:rsidRPr="00686D49">
        <w:rPr>
          <w:rStyle w:val="apple-converted-space"/>
          <w:rFonts w:ascii="ITC Avant Garde" w:hAnsi="ITC Avant Garde" w:cs="Arial"/>
          <w:b/>
          <w:bCs/>
          <w:color w:val="000000"/>
          <w:shd w:val="clear" w:color="auto" w:fill="FFFFFF"/>
        </w:rPr>
        <w:t xml:space="preserve"> </w:t>
      </w:r>
      <w:r w:rsidRPr="00686D49">
        <w:rPr>
          <w:rFonts w:ascii="ITC Avant Garde" w:hAnsi="ITC Avant Garde"/>
          <w:color w:val="000000"/>
          <w:shd w:val="clear" w:color="auto" w:fill="FFFFFF"/>
        </w:rPr>
        <w:t>El 4 de septiembre de 2014, se publicó en el Diario Oficial de la Federación el “</w:t>
      </w:r>
      <w:r w:rsidRPr="00686D49">
        <w:rPr>
          <w:rFonts w:ascii="ITC Avant Garde" w:hAnsi="ITC Avant Garde"/>
          <w:i/>
          <w:color w:val="000000"/>
          <w:shd w:val="clear" w:color="auto" w:fill="FFFFFF"/>
        </w:rPr>
        <w:t>Estatuto Orgánico del Instituto Federal de Telecomunicaciones</w:t>
      </w:r>
      <w:r w:rsidRPr="00686D49">
        <w:rPr>
          <w:rFonts w:ascii="ITC Avant Garde" w:hAnsi="ITC Avant Garde"/>
          <w:color w:val="000000"/>
          <w:shd w:val="clear" w:color="auto" w:fill="FFFFFF"/>
        </w:rPr>
        <w:t xml:space="preserve">” (el “Estatuto Orgánico”), mismo que entró en vigor el 26 de septiembre de 2014, y fue modificado </w:t>
      </w:r>
      <w:r w:rsidR="00996297">
        <w:rPr>
          <w:rFonts w:ascii="ITC Avant Garde" w:hAnsi="ITC Avant Garde"/>
          <w:color w:val="000000"/>
          <w:shd w:val="clear" w:color="auto" w:fill="FFFFFF"/>
        </w:rPr>
        <w:t xml:space="preserve">por última vez </w:t>
      </w:r>
      <w:r w:rsidRPr="00686D49">
        <w:rPr>
          <w:rFonts w:ascii="ITC Avant Garde" w:hAnsi="ITC Avant Garde"/>
          <w:color w:val="000000"/>
          <w:shd w:val="clear" w:color="auto" w:fill="FFFFFF"/>
        </w:rPr>
        <w:t xml:space="preserve">el </w:t>
      </w:r>
      <w:r w:rsidR="0039543F">
        <w:rPr>
          <w:rFonts w:ascii="ITC Avant Garde" w:hAnsi="ITC Avant Garde"/>
          <w:color w:val="000000"/>
          <w:shd w:val="clear" w:color="auto" w:fill="FFFFFF"/>
        </w:rPr>
        <w:t>20 de julio de 2017</w:t>
      </w:r>
      <w:r w:rsidRPr="00686D49">
        <w:rPr>
          <w:rFonts w:ascii="ITC Avant Garde" w:hAnsi="ITC Avant Garde"/>
          <w:color w:val="000000"/>
          <w:shd w:val="clear" w:color="auto" w:fill="FFFFFF"/>
        </w:rPr>
        <w:t>.</w:t>
      </w:r>
    </w:p>
    <w:p w:rsidR="00D4717D" w:rsidRDefault="009A5E55" w:rsidP="00D4717D">
      <w:pPr>
        <w:numPr>
          <w:ilvl w:val="0"/>
          <w:numId w:val="1"/>
        </w:numPr>
        <w:spacing w:afterLines="120" w:after="288" w:line="240" w:lineRule="auto"/>
        <w:ind w:left="567"/>
        <w:jc w:val="both"/>
        <w:rPr>
          <w:rFonts w:ascii="ITC Avant Garde" w:hAnsi="ITC Avant Garde"/>
          <w:bCs/>
          <w:color w:val="000000"/>
          <w:lang w:eastAsia="es-MX"/>
        </w:rPr>
      </w:pPr>
      <w:r w:rsidRPr="00686D49">
        <w:rPr>
          <w:rFonts w:ascii="ITC Avant Garde" w:hAnsi="ITC Avant Garde"/>
          <w:b/>
          <w:bCs/>
        </w:rPr>
        <w:t>Lineamientos para el Otorgamiento de Concesiones.</w:t>
      </w:r>
      <w:r w:rsidRPr="00686D49">
        <w:rPr>
          <w:rFonts w:ascii="ITC Avant Garde" w:hAnsi="ITC Avant Garde"/>
          <w:bCs/>
          <w:color w:val="000000"/>
          <w:lang w:eastAsia="es-MX"/>
        </w:rPr>
        <w:t xml:space="preserve"> Con fecha 24 de julio de 2015, se publicaron en el Diario Oficial de la Federación los “</w:t>
      </w:r>
      <w:r w:rsidRPr="00686D49">
        <w:rPr>
          <w:rFonts w:ascii="ITC Avant Garde" w:hAnsi="ITC Avant Garde"/>
          <w:bCs/>
          <w:i/>
        </w:rPr>
        <w:t>Lineamientos generales para el otorgamiento de concesiones a que se refiere el título cuarto de la Ley Federal de Telecomunicaciones y Radiodifusión</w:t>
      </w:r>
      <w:r w:rsidRPr="00686D49">
        <w:rPr>
          <w:rFonts w:ascii="ITC Avant Garde" w:hAnsi="ITC Avant Garde"/>
          <w:bCs/>
        </w:rPr>
        <w:t>”</w:t>
      </w:r>
      <w:r w:rsidR="00F5431E">
        <w:rPr>
          <w:rFonts w:ascii="ITC Avant Garde" w:hAnsi="ITC Avant Garde"/>
          <w:bCs/>
        </w:rPr>
        <w:t xml:space="preserve"> </w:t>
      </w:r>
      <w:r w:rsidR="005C1C3F">
        <w:rPr>
          <w:rFonts w:ascii="ITC Avant Garde" w:hAnsi="ITC Avant Garde"/>
          <w:bCs/>
        </w:rPr>
        <w:t xml:space="preserve">y </w:t>
      </w:r>
      <w:r w:rsidR="0064113C">
        <w:rPr>
          <w:rFonts w:ascii="ITC Avant Garde" w:hAnsi="ITC Avant Garde"/>
          <w:bCs/>
        </w:rPr>
        <w:t>modificados el 26 de mayo de 2017</w:t>
      </w:r>
      <w:r w:rsidR="00F5431E">
        <w:rPr>
          <w:rFonts w:ascii="ITC Avant Garde" w:hAnsi="ITC Avant Garde"/>
          <w:bCs/>
        </w:rPr>
        <w:t xml:space="preserve"> </w:t>
      </w:r>
      <w:r w:rsidR="00F5431E" w:rsidRPr="00686D49">
        <w:rPr>
          <w:rFonts w:ascii="ITC Avant Garde" w:hAnsi="ITC Avant Garde"/>
          <w:bCs/>
        </w:rPr>
        <w:t>(los “Lineamientos”)</w:t>
      </w:r>
      <w:r w:rsidRPr="00686D49">
        <w:rPr>
          <w:rFonts w:ascii="ITC Avant Garde" w:hAnsi="ITC Avant Garde"/>
          <w:bCs/>
        </w:rPr>
        <w:t>.</w:t>
      </w:r>
    </w:p>
    <w:p w:rsidR="00D4717D" w:rsidRDefault="009A5E55" w:rsidP="00D4717D">
      <w:pPr>
        <w:numPr>
          <w:ilvl w:val="0"/>
          <w:numId w:val="1"/>
        </w:numPr>
        <w:spacing w:afterLines="120" w:after="288" w:line="240" w:lineRule="auto"/>
        <w:ind w:left="567"/>
        <w:jc w:val="both"/>
        <w:rPr>
          <w:rFonts w:ascii="ITC Avant Garde" w:hAnsi="ITC Avant Garde"/>
          <w:bCs/>
          <w:color w:val="000000"/>
          <w:lang w:eastAsia="es-MX"/>
        </w:rPr>
      </w:pPr>
      <w:r w:rsidRPr="00C50B5E">
        <w:rPr>
          <w:rFonts w:ascii="ITC Avant Garde" w:hAnsi="ITC Avant Garde"/>
          <w:b/>
          <w:bCs/>
        </w:rPr>
        <w:t xml:space="preserve">Solicitud de Transición a la Concesión Única para Uso Comercial. </w:t>
      </w:r>
      <w:r w:rsidRPr="00C50B5E">
        <w:rPr>
          <w:rFonts w:ascii="ITC Avant Garde" w:hAnsi="ITC Avant Garde"/>
          <w:bCs/>
        </w:rPr>
        <w:t>Con fecha</w:t>
      </w:r>
      <w:r w:rsidR="007A33E9">
        <w:rPr>
          <w:rFonts w:ascii="ITC Avant Garde" w:hAnsi="ITC Avant Garde"/>
          <w:color w:val="000000"/>
          <w:lang w:eastAsia="es-MX"/>
        </w:rPr>
        <w:t xml:space="preserve"> </w:t>
      </w:r>
      <w:r w:rsidR="00517617">
        <w:rPr>
          <w:rFonts w:ascii="ITC Avant Garde" w:hAnsi="ITC Avant Garde"/>
          <w:color w:val="000000"/>
          <w:lang w:eastAsia="es-MX"/>
        </w:rPr>
        <w:t>2</w:t>
      </w:r>
      <w:r w:rsidR="007D19A9">
        <w:rPr>
          <w:rFonts w:ascii="ITC Avant Garde" w:hAnsi="ITC Avant Garde"/>
          <w:color w:val="000000"/>
          <w:lang w:eastAsia="es-MX"/>
        </w:rPr>
        <w:t>1</w:t>
      </w:r>
      <w:r w:rsidR="00677E41">
        <w:rPr>
          <w:rFonts w:ascii="ITC Avant Garde" w:hAnsi="ITC Avant Garde"/>
          <w:color w:val="000000"/>
          <w:lang w:eastAsia="es-MX"/>
        </w:rPr>
        <w:t xml:space="preserve"> de </w:t>
      </w:r>
      <w:r w:rsidR="00517617">
        <w:rPr>
          <w:rFonts w:ascii="ITC Avant Garde" w:hAnsi="ITC Avant Garde"/>
          <w:color w:val="000000"/>
          <w:lang w:eastAsia="es-MX"/>
        </w:rPr>
        <w:t>diciembre</w:t>
      </w:r>
      <w:r w:rsidRPr="00C50B5E">
        <w:rPr>
          <w:rFonts w:ascii="ITC Avant Garde" w:hAnsi="ITC Avant Garde"/>
        </w:rPr>
        <w:t xml:space="preserve"> </w:t>
      </w:r>
      <w:r w:rsidRPr="00356D17">
        <w:rPr>
          <w:rFonts w:ascii="ITC Avant Garde" w:hAnsi="ITC Avant Garde"/>
        </w:rPr>
        <w:t>de 201</w:t>
      </w:r>
      <w:r w:rsidR="00517617">
        <w:rPr>
          <w:rFonts w:ascii="ITC Avant Garde" w:hAnsi="ITC Avant Garde"/>
        </w:rPr>
        <w:t>6</w:t>
      </w:r>
      <w:r w:rsidRPr="00356D17">
        <w:rPr>
          <w:rFonts w:ascii="ITC Avant Garde" w:hAnsi="ITC Avant Garde"/>
        </w:rPr>
        <w:t>,</w:t>
      </w:r>
      <w:r w:rsidRPr="00356D17">
        <w:rPr>
          <w:rFonts w:ascii="ITC Avant Garde" w:hAnsi="ITC Avant Garde"/>
          <w:color w:val="000000"/>
          <w:lang w:eastAsia="es-MX"/>
        </w:rPr>
        <w:t xml:space="preserve"> </w:t>
      </w:r>
      <w:proofErr w:type="spellStart"/>
      <w:r w:rsidR="00517617">
        <w:rPr>
          <w:rFonts w:ascii="ITC Avant Garde" w:hAnsi="ITC Avant Garde"/>
          <w:bCs/>
        </w:rPr>
        <w:t>Malcvission</w:t>
      </w:r>
      <w:proofErr w:type="spellEnd"/>
      <w:r w:rsidR="007D19A9">
        <w:rPr>
          <w:rFonts w:ascii="ITC Avant Garde" w:hAnsi="ITC Avant Garde"/>
          <w:bCs/>
        </w:rPr>
        <w:t>, S.A. de C.V.</w:t>
      </w:r>
      <w:r w:rsidR="00AA4B63">
        <w:rPr>
          <w:rFonts w:ascii="ITC Avant Garde" w:hAnsi="ITC Avant Garde"/>
          <w:bCs/>
        </w:rPr>
        <w:t>,</w:t>
      </w:r>
      <w:r w:rsidR="00CD233A" w:rsidRPr="00356D17">
        <w:rPr>
          <w:rFonts w:ascii="ITC Avant Garde" w:hAnsi="ITC Avant Garde"/>
          <w:bCs/>
        </w:rPr>
        <w:t xml:space="preserve"> </w:t>
      </w:r>
      <w:r w:rsidR="007B7FD2">
        <w:rPr>
          <w:rFonts w:ascii="ITC Avant Garde" w:hAnsi="ITC Avant Garde"/>
          <w:bCs/>
        </w:rPr>
        <w:t>presentó</w:t>
      </w:r>
      <w:r w:rsidR="00950E13" w:rsidRPr="00356D17">
        <w:rPr>
          <w:rFonts w:ascii="ITC Avant Garde" w:hAnsi="ITC Avant Garde"/>
          <w:color w:val="000000"/>
          <w:lang w:eastAsia="es-MX"/>
        </w:rPr>
        <w:t xml:space="preserve"> </w:t>
      </w:r>
      <w:r w:rsidR="00677E41">
        <w:rPr>
          <w:rFonts w:ascii="ITC Avant Garde" w:hAnsi="ITC Avant Garde"/>
          <w:color w:val="000000"/>
          <w:lang w:eastAsia="es-MX"/>
        </w:rPr>
        <w:t xml:space="preserve">a través de su representante legal </w:t>
      </w:r>
      <w:r w:rsidR="007B7FD2">
        <w:rPr>
          <w:rFonts w:ascii="ITC Avant Garde" w:hAnsi="ITC Avant Garde"/>
          <w:color w:val="000000"/>
          <w:lang w:eastAsia="es-MX"/>
        </w:rPr>
        <w:t>el Formato IFT-Transición</w:t>
      </w:r>
      <w:r w:rsidR="00950E13" w:rsidRPr="00356D17">
        <w:rPr>
          <w:rFonts w:ascii="ITC Avant Garde" w:hAnsi="ITC Avant Garde"/>
          <w:color w:val="000000"/>
          <w:lang w:eastAsia="es-MX"/>
        </w:rPr>
        <w:t xml:space="preserve"> </w:t>
      </w:r>
      <w:r w:rsidR="007B7FD2">
        <w:rPr>
          <w:rFonts w:ascii="ITC Avant Garde" w:hAnsi="ITC Avant Garde"/>
          <w:color w:val="000000"/>
          <w:lang w:eastAsia="es-MX"/>
        </w:rPr>
        <w:t xml:space="preserve">a fin de </w:t>
      </w:r>
      <w:r w:rsidR="00950E13" w:rsidRPr="00356D17">
        <w:rPr>
          <w:rFonts w:ascii="ITC Avant Garde" w:hAnsi="ITC Avant Garde"/>
          <w:color w:val="000000"/>
          <w:lang w:eastAsia="es-MX"/>
        </w:rPr>
        <w:t xml:space="preserve">transitar al régimen de </w:t>
      </w:r>
      <w:r w:rsidR="00950E13" w:rsidRPr="00356D17">
        <w:rPr>
          <w:rFonts w:ascii="ITC Avant Garde" w:hAnsi="ITC Avant Garde"/>
        </w:rPr>
        <w:t>Concesión Única para Uso Comercial (la “Solicitud</w:t>
      </w:r>
      <w:r w:rsidR="00950E13" w:rsidRPr="00C50B5E">
        <w:rPr>
          <w:rFonts w:ascii="ITC Avant Garde" w:hAnsi="ITC Avant Garde"/>
        </w:rPr>
        <w:t xml:space="preserve"> de Transición”). </w:t>
      </w:r>
    </w:p>
    <w:p w:rsidR="00D4717D" w:rsidRDefault="00945239" w:rsidP="00D4717D">
      <w:pPr>
        <w:numPr>
          <w:ilvl w:val="0"/>
          <w:numId w:val="1"/>
        </w:numPr>
        <w:spacing w:afterLines="120" w:after="288" w:line="240" w:lineRule="auto"/>
        <w:ind w:left="567"/>
        <w:jc w:val="both"/>
        <w:rPr>
          <w:rFonts w:ascii="ITC Avant Garde" w:hAnsi="ITC Avant Garde"/>
          <w:bCs/>
          <w:color w:val="000000"/>
          <w:lang w:eastAsia="es-MX"/>
        </w:rPr>
      </w:pPr>
      <w:r w:rsidRPr="00945239">
        <w:rPr>
          <w:rFonts w:ascii="ITC Avant Garde" w:hAnsi="ITC Avant Garde" w:cs="Arial"/>
          <w:b/>
          <w:bCs/>
          <w:color w:val="000000"/>
          <w:shd w:val="clear" w:color="auto" w:fill="FFFFFF"/>
        </w:rPr>
        <w:t xml:space="preserve">Solicitud de Dictamen de Cumplimiento de Obligaciones a la Unidad de Cumplimiento. </w:t>
      </w:r>
      <w:r w:rsidRPr="00945239">
        <w:rPr>
          <w:rFonts w:ascii="ITC Avant Garde" w:hAnsi="ITC Avant Garde" w:cs="Arial"/>
          <w:bCs/>
          <w:color w:val="000000"/>
          <w:shd w:val="clear" w:color="auto" w:fill="FFFFFF"/>
        </w:rPr>
        <w:t>Mediante oficio</w:t>
      </w:r>
      <w:r w:rsidR="00300521">
        <w:rPr>
          <w:rFonts w:ascii="ITC Avant Garde" w:hAnsi="ITC Avant Garde" w:cs="Arial"/>
          <w:bCs/>
          <w:color w:val="000000"/>
          <w:shd w:val="clear" w:color="auto" w:fill="FFFFFF"/>
        </w:rPr>
        <w:t>s</w:t>
      </w:r>
      <w:r w:rsidRPr="00945239">
        <w:rPr>
          <w:rFonts w:ascii="ITC Avant Garde" w:hAnsi="ITC Avant Garde" w:cs="Arial"/>
          <w:bCs/>
          <w:color w:val="000000"/>
          <w:shd w:val="clear" w:color="auto" w:fill="FFFFFF"/>
        </w:rPr>
        <w:t xml:space="preserve"> IFT/</w:t>
      </w:r>
      <w:r w:rsidR="002A32CD">
        <w:rPr>
          <w:rFonts w:ascii="ITC Avant Garde" w:hAnsi="ITC Avant Garde" w:cs="Arial"/>
          <w:bCs/>
          <w:color w:val="000000"/>
          <w:shd w:val="clear" w:color="auto" w:fill="FFFFFF"/>
        </w:rPr>
        <w:t>223</w:t>
      </w:r>
      <w:r w:rsidRPr="00945239">
        <w:rPr>
          <w:rFonts w:ascii="ITC Avant Garde" w:hAnsi="ITC Avant Garde" w:cs="Arial"/>
          <w:bCs/>
          <w:color w:val="000000"/>
          <w:shd w:val="clear" w:color="auto" w:fill="FFFFFF"/>
        </w:rPr>
        <w:t>/UCS/DG-CTEL/</w:t>
      </w:r>
      <w:r w:rsidR="00300521">
        <w:rPr>
          <w:rFonts w:ascii="ITC Avant Garde" w:hAnsi="ITC Avant Garde" w:cs="Arial"/>
          <w:bCs/>
          <w:color w:val="000000"/>
          <w:shd w:val="clear" w:color="auto" w:fill="FFFFFF"/>
        </w:rPr>
        <w:t>0016</w:t>
      </w:r>
      <w:r>
        <w:rPr>
          <w:rFonts w:ascii="ITC Avant Garde" w:hAnsi="ITC Avant Garde" w:cs="Arial"/>
          <w:bCs/>
          <w:color w:val="000000"/>
          <w:shd w:val="clear" w:color="auto" w:fill="FFFFFF"/>
        </w:rPr>
        <w:t>/2017</w:t>
      </w:r>
      <w:r w:rsidRPr="00945239">
        <w:rPr>
          <w:rFonts w:ascii="ITC Avant Garde" w:hAnsi="ITC Avant Garde" w:cs="Arial"/>
          <w:bCs/>
          <w:color w:val="000000"/>
          <w:shd w:val="clear" w:color="auto" w:fill="FFFFFF"/>
        </w:rPr>
        <w:t xml:space="preserve"> </w:t>
      </w:r>
      <w:r w:rsidR="00300521">
        <w:rPr>
          <w:rFonts w:ascii="ITC Avant Garde" w:hAnsi="ITC Avant Garde" w:cs="Arial"/>
          <w:bCs/>
          <w:color w:val="000000"/>
          <w:shd w:val="clear" w:color="auto" w:fill="FFFFFF"/>
        </w:rPr>
        <w:t xml:space="preserve">e </w:t>
      </w:r>
      <w:r w:rsidR="00300521" w:rsidRPr="00945239">
        <w:rPr>
          <w:rFonts w:ascii="ITC Avant Garde" w:hAnsi="ITC Avant Garde" w:cs="Arial"/>
          <w:bCs/>
          <w:color w:val="000000"/>
          <w:shd w:val="clear" w:color="auto" w:fill="FFFFFF"/>
        </w:rPr>
        <w:t>IFT/</w:t>
      </w:r>
      <w:r w:rsidR="00300521">
        <w:rPr>
          <w:rFonts w:ascii="ITC Avant Garde" w:hAnsi="ITC Avant Garde" w:cs="Arial"/>
          <w:bCs/>
          <w:color w:val="000000"/>
          <w:shd w:val="clear" w:color="auto" w:fill="FFFFFF"/>
        </w:rPr>
        <w:t>223</w:t>
      </w:r>
      <w:r w:rsidR="00300521" w:rsidRPr="00945239">
        <w:rPr>
          <w:rFonts w:ascii="ITC Avant Garde" w:hAnsi="ITC Avant Garde" w:cs="Arial"/>
          <w:bCs/>
          <w:color w:val="000000"/>
          <w:shd w:val="clear" w:color="auto" w:fill="FFFFFF"/>
        </w:rPr>
        <w:t>/UCS/DG-CTEL/</w:t>
      </w:r>
      <w:r w:rsidR="00300521">
        <w:rPr>
          <w:rFonts w:ascii="ITC Avant Garde" w:hAnsi="ITC Avant Garde" w:cs="Arial"/>
          <w:bCs/>
          <w:color w:val="000000"/>
          <w:shd w:val="clear" w:color="auto" w:fill="FFFFFF"/>
        </w:rPr>
        <w:t>1450/2017</w:t>
      </w:r>
      <w:r w:rsidR="00300521" w:rsidRPr="00945239">
        <w:rPr>
          <w:rFonts w:ascii="ITC Avant Garde" w:hAnsi="ITC Avant Garde" w:cs="Arial"/>
          <w:bCs/>
          <w:color w:val="000000"/>
          <w:shd w:val="clear" w:color="auto" w:fill="FFFFFF"/>
        </w:rPr>
        <w:t xml:space="preserve"> </w:t>
      </w:r>
      <w:r w:rsidRPr="00945239">
        <w:rPr>
          <w:rFonts w:ascii="ITC Avant Garde" w:hAnsi="ITC Avant Garde" w:cs="Arial"/>
          <w:bCs/>
          <w:color w:val="000000"/>
          <w:shd w:val="clear" w:color="auto" w:fill="FFFFFF"/>
        </w:rPr>
        <w:t>de fecha</w:t>
      </w:r>
      <w:r w:rsidR="00300521">
        <w:rPr>
          <w:rFonts w:ascii="ITC Avant Garde" w:hAnsi="ITC Avant Garde" w:cs="Arial"/>
          <w:bCs/>
          <w:color w:val="000000"/>
          <w:shd w:val="clear" w:color="auto" w:fill="FFFFFF"/>
        </w:rPr>
        <w:t>s</w:t>
      </w:r>
      <w:r w:rsidRPr="00945239">
        <w:rPr>
          <w:rFonts w:ascii="ITC Avant Garde" w:hAnsi="ITC Avant Garde" w:cs="Arial"/>
          <w:bCs/>
          <w:color w:val="000000"/>
          <w:shd w:val="clear" w:color="auto" w:fill="FFFFFF"/>
        </w:rPr>
        <w:t xml:space="preserve"> </w:t>
      </w:r>
      <w:r w:rsidR="00300521">
        <w:rPr>
          <w:rFonts w:ascii="ITC Avant Garde" w:hAnsi="ITC Avant Garde" w:cs="Arial"/>
          <w:bCs/>
          <w:color w:val="000000"/>
          <w:shd w:val="clear" w:color="auto" w:fill="FFFFFF"/>
        </w:rPr>
        <w:t>6 de enero y 3 de julio</w:t>
      </w:r>
      <w:r w:rsidRPr="00945239">
        <w:rPr>
          <w:rFonts w:ascii="ITC Avant Garde" w:hAnsi="ITC Avant Garde" w:cs="Arial"/>
          <w:bCs/>
          <w:color w:val="000000"/>
          <w:shd w:val="clear" w:color="auto" w:fill="FFFFFF"/>
        </w:rPr>
        <w:t xml:space="preserve"> de 201</w:t>
      </w:r>
      <w:r>
        <w:rPr>
          <w:rFonts w:ascii="ITC Avant Garde" w:hAnsi="ITC Avant Garde" w:cs="Arial"/>
          <w:bCs/>
          <w:color w:val="000000"/>
          <w:shd w:val="clear" w:color="auto" w:fill="FFFFFF"/>
        </w:rPr>
        <w:t>7</w:t>
      </w:r>
      <w:r w:rsidRPr="00945239">
        <w:rPr>
          <w:rFonts w:ascii="ITC Avant Garde" w:hAnsi="ITC Avant Garde" w:cs="Arial"/>
          <w:bCs/>
          <w:color w:val="000000"/>
          <w:shd w:val="clear" w:color="auto" w:fill="FFFFFF"/>
        </w:rPr>
        <w:t>,</w:t>
      </w:r>
      <w:r w:rsidR="00300521">
        <w:rPr>
          <w:rFonts w:ascii="ITC Avant Garde" w:hAnsi="ITC Avant Garde" w:cs="Arial"/>
          <w:bCs/>
          <w:color w:val="000000"/>
          <w:shd w:val="clear" w:color="auto" w:fill="FFFFFF"/>
        </w:rPr>
        <w:t xml:space="preserve"> respectivamente,</w:t>
      </w:r>
      <w:r w:rsidRPr="00945239">
        <w:rPr>
          <w:rFonts w:ascii="ITC Avant Garde" w:hAnsi="ITC Avant Garde" w:cs="Arial"/>
          <w:bCs/>
          <w:color w:val="000000"/>
          <w:shd w:val="clear" w:color="auto" w:fill="FFFFFF"/>
        </w:rPr>
        <w:t xml:space="preserve"> la Dirección General de Concesiones de Telecomunicaciones, adscrita a la Unidad de Concesiones y Servicios del Instituto, solicitó a la Unidad de Cumplimiento el dictamen relativo al cumplimiento de obligaciones respecto de</w:t>
      </w:r>
      <w:r w:rsidR="00300521">
        <w:rPr>
          <w:rFonts w:ascii="ITC Avant Garde" w:hAnsi="ITC Avant Garde" w:cs="Arial"/>
          <w:bCs/>
          <w:color w:val="000000"/>
          <w:shd w:val="clear" w:color="auto" w:fill="FFFFFF"/>
        </w:rPr>
        <w:t xml:space="preserve"> </w:t>
      </w:r>
      <w:proofErr w:type="gramStart"/>
      <w:r>
        <w:rPr>
          <w:rFonts w:ascii="ITC Avant Garde" w:hAnsi="ITC Avant Garde" w:cs="Arial"/>
          <w:bCs/>
          <w:color w:val="000000"/>
          <w:shd w:val="clear" w:color="auto" w:fill="FFFFFF"/>
        </w:rPr>
        <w:t>l</w:t>
      </w:r>
      <w:r w:rsidR="00300521">
        <w:rPr>
          <w:rFonts w:ascii="ITC Avant Garde" w:hAnsi="ITC Avant Garde" w:cs="Arial"/>
          <w:bCs/>
          <w:color w:val="000000"/>
          <w:shd w:val="clear" w:color="auto" w:fill="FFFFFF"/>
        </w:rPr>
        <w:t xml:space="preserve">os </w:t>
      </w:r>
      <w:r w:rsidRPr="00945239">
        <w:rPr>
          <w:rFonts w:ascii="ITC Avant Garde" w:hAnsi="ITC Avant Garde" w:cs="Arial"/>
          <w:bCs/>
          <w:color w:val="000000"/>
          <w:shd w:val="clear" w:color="auto" w:fill="FFFFFF"/>
        </w:rPr>
        <w:t xml:space="preserve"> </w:t>
      </w:r>
      <w:r>
        <w:rPr>
          <w:rFonts w:ascii="ITC Avant Garde" w:hAnsi="ITC Avant Garde" w:cs="Arial"/>
          <w:bCs/>
          <w:color w:val="000000"/>
          <w:shd w:val="clear" w:color="auto" w:fill="FFFFFF"/>
        </w:rPr>
        <w:t>título</w:t>
      </w:r>
      <w:r w:rsidR="00300521">
        <w:rPr>
          <w:rFonts w:ascii="ITC Avant Garde" w:hAnsi="ITC Avant Garde" w:cs="Arial"/>
          <w:bCs/>
          <w:color w:val="000000"/>
          <w:shd w:val="clear" w:color="auto" w:fill="FFFFFF"/>
        </w:rPr>
        <w:t>s</w:t>
      </w:r>
      <w:proofErr w:type="gramEnd"/>
      <w:r>
        <w:rPr>
          <w:rFonts w:ascii="ITC Avant Garde" w:hAnsi="ITC Avant Garde" w:cs="Arial"/>
          <w:bCs/>
          <w:color w:val="000000"/>
          <w:shd w:val="clear" w:color="auto" w:fill="FFFFFF"/>
        </w:rPr>
        <w:t xml:space="preserve"> de concesión otorgado</w:t>
      </w:r>
      <w:r w:rsidR="00300521">
        <w:rPr>
          <w:rFonts w:ascii="ITC Avant Garde" w:hAnsi="ITC Avant Garde" w:cs="Arial"/>
          <w:bCs/>
          <w:color w:val="000000"/>
          <w:shd w:val="clear" w:color="auto" w:fill="FFFFFF"/>
        </w:rPr>
        <w:t>s</w:t>
      </w:r>
      <w:r w:rsidR="00C55553">
        <w:rPr>
          <w:rFonts w:ascii="ITC Avant Garde" w:hAnsi="ITC Avant Garde" w:cs="Arial"/>
          <w:bCs/>
          <w:color w:val="000000"/>
          <w:shd w:val="clear" w:color="auto" w:fill="FFFFFF"/>
        </w:rPr>
        <w:t xml:space="preserve"> </w:t>
      </w:r>
      <w:r w:rsidR="00AD077D">
        <w:rPr>
          <w:rFonts w:ascii="ITC Avant Garde" w:hAnsi="ITC Avant Garde" w:cs="Arial"/>
          <w:bCs/>
          <w:color w:val="000000"/>
          <w:shd w:val="clear" w:color="auto" w:fill="FFFFFF"/>
        </w:rPr>
        <w:t xml:space="preserve">a </w:t>
      </w:r>
      <w:proofErr w:type="spellStart"/>
      <w:r w:rsidR="00300521">
        <w:rPr>
          <w:rFonts w:ascii="ITC Avant Garde" w:hAnsi="ITC Avant Garde"/>
          <w:bCs/>
        </w:rPr>
        <w:t>Malcvission</w:t>
      </w:r>
      <w:proofErr w:type="spellEnd"/>
      <w:r w:rsidR="00AD077D">
        <w:rPr>
          <w:rFonts w:ascii="ITC Avant Garde" w:hAnsi="ITC Avant Garde" w:cs="Arial"/>
          <w:bCs/>
          <w:color w:val="000000"/>
          <w:shd w:val="clear" w:color="auto" w:fill="FFFFFF"/>
        </w:rPr>
        <w:t>, S.A. de C.V</w:t>
      </w:r>
      <w:r w:rsidR="00677E41">
        <w:rPr>
          <w:rFonts w:ascii="ITC Avant Garde" w:hAnsi="ITC Avant Garde"/>
          <w:bCs/>
        </w:rPr>
        <w:t>.</w:t>
      </w:r>
    </w:p>
    <w:p w:rsidR="00D4717D" w:rsidRDefault="00AF4E0B" w:rsidP="00D4717D">
      <w:pPr>
        <w:numPr>
          <w:ilvl w:val="0"/>
          <w:numId w:val="1"/>
        </w:numPr>
        <w:spacing w:afterLines="120" w:after="288" w:line="240" w:lineRule="auto"/>
        <w:ind w:left="567"/>
        <w:jc w:val="both"/>
        <w:rPr>
          <w:rFonts w:ascii="ITC Avant Garde" w:hAnsi="ITC Avant Garde"/>
          <w:b/>
          <w:bCs/>
          <w:color w:val="000000"/>
          <w:lang w:eastAsia="es-MX"/>
        </w:rPr>
      </w:pPr>
      <w:r>
        <w:rPr>
          <w:rFonts w:ascii="ITC Avant Garde" w:hAnsi="ITC Avant Garde"/>
          <w:b/>
          <w:bCs/>
        </w:rPr>
        <w:t xml:space="preserve">Dictamen </w:t>
      </w:r>
      <w:r w:rsidR="009A5E55" w:rsidRPr="00533323">
        <w:rPr>
          <w:rFonts w:ascii="ITC Avant Garde" w:hAnsi="ITC Avant Garde"/>
          <w:b/>
          <w:bCs/>
        </w:rPr>
        <w:t>en materia de Cumplimiento de Obligaciones.</w:t>
      </w:r>
      <w:r w:rsidR="009A5E55" w:rsidRPr="00533323">
        <w:rPr>
          <w:rFonts w:ascii="ITC Avant Garde" w:hAnsi="ITC Avant Garde"/>
          <w:b/>
          <w:bCs/>
          <w:color w:val="000000"/>
          <w:lang w:eastAsia="es-MX"/>
        </w:rPr>
        <w:t xml:space="preserve"> </w:t>
      </w:r>
      <w:r w:rsidR="009A5E55" w:rsidRPr="00533323">
        <w:rPr>
          <w:rFonts w:ascii="ITC Avant Garde" w:hAnsi="ITC Avant Garde"/>
          <w:bCs/>
          <w:color w:val="000000"/>
          <w:lang w:eastAsia="es-MX"/>
        </w:rPr>
        <w:t>Mediante oficio IFT/225/UC/DG-SUV/</w:t>
      </w:r>
      <w:r w:rsidR="00A6280E">
        <w:rPr>
          <w:rFonts w:ascii="ITC Avant Garde" w:hAnsi="ITC Avant Garde"/>
          <w:bCs/>
          <w:color w:val="000000"/>
          <w:lang w:eastAsia="es-MX"/>
        </w:rPr>
        <w:t>04013</w:t>
      </w:r>
      <w:r w:rsidR="009A5E55">
        <w:rPr>
          <w:rFonts w:ascii="ITC Avant Garde" w:hAnsi="ITC Avant Garde"/>
          <w:bCs/>
          <w:color w:val="000000"/>
          <w:lang w:eastAsia="es-MX"/>
        </w:rPr>
        <w:t>/201</w:t>
      </w:r>
      <w:r w:rsidR="00C55553">
        <w:rPr>
          <w:rFonts w:ascii="ITC Avant Garde" w:hAnsi="ITC Avant Garde"/>
          <w:bCs/>
          <w:color w:val="000000"/>
          <w:lang w:eastAsia="es-MX"/>
        </w:rPr>
        <w:t>7</w:t>
      </w:r>
      <w:r w:rsidR="00C51F7E">
        <w:rPr>
          <w:rFonts w:ascii="ITC Avant Garde" w:hAnsi="ITC Avant Garde"/>
          <w:bCs/>
          <w:color w:val="000000"/>
          <w:lang w:eastAsia="es-MX"/>
        </w:rPr>
        <w:t xml:space="preserve"> </w:t>
      </w:r>
      <w:r w:rsidR="009A5E55" w:rsidRPr="00533323">
        <w:rPr>
          <w:rFonts w:ascii="ITC Avant Garde" w:hAnsi="ITC Avant Garde"/>
          <w:bCs/>
          <w:color w:val="000000"/>
          <w:lang w:eastAsia="es-MX"/>
        </w:rPr>
        <w:t xml:space="preserve">de fecha </w:t>
      </w:r>
      <w:r w:rsidR="00A6280E">
        <w:rPr>
          <w:rFonts w:ascii="ITC Avant Garde" w:hAnsi="ITC Avant Garde"/>
          <w:bCs/>
          <w:color w:val="000000"/>
          <w:lang w:eastAsia="es-MX"/>
        </w:rPr>
        <w:t>13 de diciembre</w:t>
      </w:r>
      <w:r w:rsidR="00E41C22">
        <w:rPr>
          <w:rFonts w:ascii="ITC Avant Garde" w:hAnsi="ITC Avant Garde"/>
          <w:bCs/>
          <w:color w:val="000000"/>
          <w:lang w:eastAsia="es-MX"/>
        </w:rPr>
        <w:t xml:space="preserve"> de 2017</w:t>
      </w:r>
      <w:r w:rsidR="009A5E55" w:rsidRPr="00597752">
        <w:rPr>
          <w:rFonts w:ascii="ITC Avant Garde" w:hAnsi="ITC Avant Garde"/>
          <w:bCs/>
          <w:lang w:eastAsia="es-MX"/>
        </w:rPr>
        <w:t xml:space="preserve">, </w:t>
      </w:r>
      <w:r w:rsidR="00597752" w:rsidRPr="00597752">
        <w:rPr>
          <w:rFonts w:ascii="ITC Avant Garde" w:hAnsi="ITC Avant Garde"/>
          <w:bCs/>
          <w:lang w:eastAsia="es-MX"/>
        </w:rPr>
        <w:t>la Dirección General de Supervisión, adscrita a</w:t>
      </w:r>
      <w:r w:rsidR="00597752">
        <w:rPr>
          <w:rFonts w:ascii="ITC Avant Garde" w:hAnsi="ITC Avant Garde"/>
          <w:bCs/>
          <w:color w:val="FF0000"/>
          <w:lang w:eastAsia="es-MX"/>
        </w:rPr>
        <w:t xml:space="preserve"> </w:t>
      </w:r>
      <w:r>
        <w:rPr>
          <w:rFonts w:ascii="ITC Avant Garde" w:hAnsi="ITC Avant Garde"/>
          <w:bCs/>
          <w:color w:val="000000"/>
          <w:lang w:eastAsia="es-MX"/>
        </w:rPr>
        <w:t>la Unidad de Cumplimiento remitió</w:t>
      </w:r>
      <w:r w:rsidR="009A5E55" w:rsidRPr="00533323">
        <w:rPr>
          <w:rFonts w:ascii="ITC Avant Garde" w:hAnsi="ITC Avant Garde"/>
          <w:bCs/>
          <w:color w:val="000000"/>
          <w:lang w:eastAsia="es-MX"/>
        </w:rPr>
        <w:t xml:space="preserve"> </w:t>
      </w:r>
      <w:r>
        <w:rPr>
          <w:rFonts w:ascii="ITC Avant Garde" w:hAnsi="ITC Avant Garde"/>
          <w:bCs/>
          <w:color w:val="000000"/>
          <w:lang w:eastAsia="es-MX"/>
        </w:rPr>
        <w:t>el</w:t>
      </w:r>
      <w:r w:rsidR="009A5E55" w:rsidRPr="00533323">
        <w:rPr>
          <w:rFonts w:ascii="ITC Avant Garde" w:hAnsi="ITC Avant Garde"/>
          <w:bCs/>
          <w:color w:val="000000"/>
          <w:lang w:eastAsia="es-MX"/>
        </w:rPr>
        <w:t xml:space="preserve"> </w:t>
      </w:r>
      <w:r>
        <w:rPr>
          <w:rFonts w:ascii="ITC Avant Garde" w:hAnsi="ITC Avant Garde"/>
          <w:bCs/>
          <w:color w:val="000000"/>
          <w:lang w:eastAsia="es-MX"/>
        </w:rPr>
        <w:t>dictamen</w:t>
      </w:r>
      <w:r w:rsidR="009A5E55" w:rsidRPr="00533323">
        <w:rPr>
          <w:rFonts w:ascii="ITC Avant Garde" w:hAnsi="ITC Avant Garde"/>
          <w:bCs/>
          <w:color w:val="000000"/>
          <w:lang w:eastAsia="es-MX"/>
        </w:rPr>
        <w:t xml:space="preserve"> correspondiente</w:t>
      </w:r>
      <w:r w:rsidR="009A5E55" w:rsidRPr="00686D49">
        <w:rPr>
          <w:rFonts w:ascii="ITC Avant Garde" w:hAnsi="ITC Avant Garde"/>
          <w:bCs/>
          <w:color w:val="000000"/>
          <w:lang w:eastAsia="es-MX"/>
        </w:rPr>
        <w:t xml:space="preserve"> con respecto a la Solicitud de Transición.</w:t>
      </w:r>
    </w:p>
    <w:p w:rsidR="00D4717D" w:rsidRDefault="00A21167" w:rsidP="00D4717D">
      <w:pPr>
        <w:spacing w:afterLines="120" w:after="288"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D4717D" w:rsidRPr="00D4717D" w:rsidRDefault="00A21167" w:rsidP="00D4717D">
      <w:pPr>
        <w:pStyle w:val="Ttulo2"/>
        <w:spacing w:afterLines="100" w:after="240" w:line="276" w:lineRule="auto"/>
        <w:ind w:firstLine="0"/>
        <w:jc w:val="center"/>
        <w:rPr>
          <w:rFonts w:ascii="ITC Avant Garde" w:hAnsi="ITC Avant Garde" w:cs="Arial"/>
          <w:bCs/>
          <w:sz w:val="22"/>
          <w:szCs w:val="22"/>
          <w:lang w:eastAsia="en-US"/>
        </w:rPr>
      </w:pPr>
      <w:r w:rsidRPr="00D4717D">
        <w:rPr>
          <w:rFonts w:ascii="ITC Avant Garde" w:hAnsi="ITC Avant Garde" w:cs="Arial"/>
          <w:bCs/>
          <w:sz w:val="22"/>
          <w:szCs w:val="22"/>
          <w:lang w:eastAsia="en-US"/>
        </w:rPr>
        <w:t>CONSIDERANDO</w:t>
      </w:r>
    </w:p>
    <w:p w:rsidR="00D4717D" w:rsidRDefault="00326580" w:rsidP="00D4717D">
      <w:pPr>
        <w:autoSpaceDE w:val="0"/>
        <w:autoSpaceDN w:val="0"/>
        <w:adjustRightInd w:val="0"/>
        <w:spacing w:afterLines="120" w:after="288" w:line="240" w:lineRule="auto"/>
        <w:jc w:val="both"/>
        <w:rPr>
          <w:rFonts w:ascii="ITC Avant Garde" w:hAnsi="ITC Avant Garde"/>
          <w:bCs/>
        </w:rPr>
      </w:pPr>
      <w:proofErr w:type="gramStart"/>
      <w:r>
        <w:rPr>
          <w:rFonts w:ascii="ITC Avant Garde" w:hAnsi="ITC Avant Garde"/>
          <w:b/>
          <w:bCs/>
        </w:rPr>
        <w:t>Primero.-</w:t>
      </w:r>
      <w:proofErr w:type="gramEnd"/>
      <w:r>
        <w:rPr>
          <w:rFonts w:ascii="ITC Avant Garde" w:hAnsi="ITC Avant Garde"/>
          <w:b/>
          <w:bCs/>
        </w:rPr>
        <w:t xml:space="preserve"> Competencia.</w:t>
      </w:r>
      <w:r>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w:t>
      </w:r>
      <w:r w:rsidR="00873BE7">
        <w:rPr>
          <w:rFonts w:ascii="ITC Avant Garde" w:hAnsi="ITC Avant Garde"/>
          <w:bCs/>
        </w:rPr>
        <w:t>ad jurídica y patrimonio propio</w:t>
      </w:r>
      <w:r>
        <w:rPr>
          <w:rFonts w:ascii="ITC Avant Garde" w:hAnsi="ITC Avant Garde"/>
          <w:bCs/>
        </w:rPr>
        <w:t xml:space="preserve">, que tiene por objeto el desarrollo eficiente de la </w:t>
      </w:r>
      <w:r>
        <w:rPr>
          <w:rFonts w:ascii="ITC Avant Garde" w:hAnsi="ITC Avant Garde"/>
          <w:bCs/>
        </w:rPr>
        <w:lastRenderedPageBreak/>
        <w:t>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D4717D" w:rsidRDefault="00326580"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Pr>
          <w:rFonts w:ascii="ITC Avant Garde" w:hAnsi="ITC Avant Garde"/>
          <w:bCs/>
        </w:rPr>
        <w:t>concesionamiento</w:t>
      </w:r>
      <w:proofErr w:type="spellEnd"/>
      <w:r>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D4717D" w:rsidRDefault="00326580"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D4717D" w:rsidRDefault="00326580"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D4717D" w:rsidRDefault="00326580"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326580" w:rsidRDefault="00326580"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D4717D" w:rsidRDefault="00326580"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Pr="00E1301D">
        <w:rPr>
          <w:rFonts w:ascii="ITC Avant Garde" w:hAnsi="ITC Avant Garde"/>
          <w:bCs/>
        </w:rPr>
        <w:t>.</w:t>
      </w:r>
    </w:p>
    <w:p w:rsidR="00D4717D" w:rsidRDefault="003E1719" w:rsidP="00D4717D">
      <w:pPr>
        <w:autoSpaceDE w:val="0"/>
        <w:autoSpaceDN w:val="0"/>
        <w:adjustRightInd w:val="0"/>
        <w:spacing w:afterLines="120" w:after="288" w:line="240" w:lineRule="auto"/>
        <w:jc w:val="both"/>
        <w:rPr>
          <w:rFonts w:ascii="ITC Avant Garde" w:hAnsi="ITC Avant Garde"/>
          <w:bCs/>
        </w:rPr>
      </w:pPr>
      <w:proofErr w:type="gramStart"/>
      <w:r>
        <w:rPr>
          <w:rFonts w:ascii="ITC Avant Garde" w:hAnsi="ITC Avant Garde"/>
          <w:b/>
          <w:bCs/>
        </w:rPr>
        <w:t>Segundo.-</w:t>
      </w:r>
      <w:proofErr w:type="gramEnd"/>
      <w:r>
        <w:rPr>
          <w:rFonts w:ascii="ITC Avant Garde" w:hAnsi="ITC Avant Garde"/>
          <w:b/>
          <w:bCs/>
        </w:rPr>
        <w:t xml:space="preserve"> Marco normativo general aplicable para la transición y consolidación de diversos títulos de concesión de redes públicas de telecomunicaciones en una concesión única para uso comercial.</w:t>
      </w:r>
      <w:r>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w:t>
      </w:r>
    </w:p>
    <w:p w:rsidR="00D4717D" w:rsidRDefault="003E1719"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Al respecto, el tercer párrafo del mismo precepto normativo, determinó la obligación del Instituto de establecer mediante lineamientos de carácter general, los requisitos, términos y condiciones que los concesionarios de radiodifusión, telecomunicaciones y telefonía, cuyos títulos son anteriores al Decreto de Reforma Constitucional, deberán cumplir para que se les autorice entre otros, transitar al modelo de concesión única, siempre que se encuentren en cumplimiento de las obligaciones previstas en las leyes y en sus títulos de concesión.</w:t>
      </w:r>
    </w:p>
    <w:p w:rsidR="00D4717D" w:rsidRDefault="003E1719"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En ese sentido, en cumplimiento a lo dispuesto por el artículo Cuarto Transitorio del Decreto de Reforma Constitucional, el 24 de julio de 2015 se publicaron en el Diario Oficial de la Federación los Lineamientos, que tienen por objeto, entre otros, especificar los términos y requisitos para que los actuales concesionarios puedan transitar al nuevo régimen de </w:t>
      </w:r>
      <w:proofErr w:type="spellStart"/>
      <w:r>
        <w:rPr>
          <w:rFonts w:ascii="ITC Avant Garde" w:hAnsi="ITC Avant Garde"/>
          <w:bCs/>
        </w:rPr>
        <w:t>concesionamiento</w:t>
      </w:r>
      <w:proofErr w:type="spellEnd"/>
      <w:r>
        <w:rPr>
          <w:rFonts w:ascii="ITC Avant Garde" w:hAnsi="ITC Avant Garde"/>
          <w:bCs/>
        </w:rPr>
        <w:t xml:space="preserve"> establecido en el Decreto de Reforma Constitucional y en la Ley, y de ser el caso, consolidar sus títulos en una sola concesión.</w:t>
      </w:r>
    </w:p>
    <w:p w:rsidR="00D4717D" w:rsidRDefault="009127B4"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Los Lineamientos señalan en sus artículos 24, 25 y 27, respectivamente lo siguiente:</w:t>
      </w:r>
    </w:p>
    <w:p w:rsidR="00D4717D" w:rsidRDefault="009127B4" w:rsidP="00D4717D">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b/>
          <w:i/>
          <w:iCs/>
          <w:color w:val="000000" w:themeColor="text1"/>
          <w:sz w:val="18"/>
          <w:szCs w:val="18"/>
          <w:lang w:eastAsia="es-MX"/>
        </w:rPr>
        <w:t>“Artículo 24.</w:t>
      </w:r>
      <w:r>
        <w:rPr>
          <w:rFonts w:ascii="ITC Avant Garde" w:hAnsi="ITC Avant Garde"/>
          <w:i/>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9127B4" w:rsidRDefault="009127B4" w:rsidP="00D4717D">
      <w:pPr>
        <w:pStyle w:val="Prrafodelista"/>
        <w:numPr>
          <w:ilvl w:val="0"/>
          <w:numId w:val="10"/>
        </w:numPr>
        <w:spacing w:afterLines="120" w:after="288"/>
        <w:ind w:right="618" w:hanging="3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9127B4" w:rsidRDefault="009127B4" w:rsidP="00D4717D">
      <w:pPr>
        <w:pStyle w:val="Prrafodelista"/>
        <w:numPr>
          <w:ilvl w:val="0"/>
          <w:numId w:val="10"/>
        </w:numPr>
        <w:spacing w:afterLines="120" w:after="288"/>
        <w:ind w:right="618" w:hanging="3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9127B4" w:rsidRDefault="009127B4" w:rsidP="00D4717D">
      <w:pPr>
        <w:pStyle w:val="Prrafodelista"/>
        <w:numPr>
          <w:ilvl w:val="0"/>
          <w:numId w:val="10"/>
        </w:numPr>
        <w:spacing w:afterLines="120" w:after="288"/>
        <w:ind w:right="618" w:hanging="35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D4717D" w:rsidRDefault="009127B4" w:rsidP="00D4717D">
      <w:pPr>
        <w:pStyle w:val="Prrafodelista"/>
        <w:numPr>
          <w:ilvl w:val="0"/>
          <w:numId w:val="10"/>
        </w:numPr>
        <w:spacing w:afterLines="120" w:after="288"/>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Folio Electrónico de la concesión que pretende transitar a la Concesión Única para Uso Comercial. En el supuesto de que se vayan a consolidar varias concesiones bastará con que se señale un Folio Electrónico de ellas.</w:t>
      </w:r>
    </w:p>
    <w:p w:rsidR="00D4717D" w:rsidRDefault="009127B4" w:rsidP="00D4717D">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D4717D" w:rsidRDefault="009127B4" w:rsidP="00D4717D">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D4717D" w:rsidRDefault="009127B4" w:rsidP="00D4717D">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b/>
          <w:i/>
          <w:iCs/>
          <w:color w:val="000000"/>
          <w:sz w:val="18"/>
          <w:szCs w:val="18"/>
          <w:lang w:eastAsia="es-MX"/>
        </w:rPr>
        <w:t>Artículo 25.</w:t>
      </w:r>
      <w:r>
        <w:rPr>
          <w:rFonts w:ascii="ITC Avant Garde" w:hAnsi="ITC Avant Garde"/>
          <w:i/>
          <w:iCs/>
          <w:color w:val="000000"/>
          <w:sz w:val="18"/>
          <w:szCs w:val="18"/>
          <w:lang w:eastAsia="es-MX"/>
        </w:rPr>
        <w:t xml:space="preserve"> La 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p>
    <w:p w:rsidR="00D4717D" w:rsidRDefault="009127B4" w:rsidP="00D4717D">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D4717D" w:rsidRDefault="009127B4" w:rsidP="00D4717D">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D4717D" w:rsidRDefault="009127B4" w:rsidP="00D4717D">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b/>
          <w:i/>
          <w:iCs/>
          <w:color w:val="000000"/>
          <w:sz w:val="18"/>
          <w:szCs w:val="18"/>
          <w:lang w:eastAsia="es-MX"/>
        </w:rPr>
        <w:t>Artículo 27.</w:t>
      </w:r>
      <w:r>
        <w:rPr>
          <w:rFonts w:ascii="ITC Avant Garde" w:hAnsi="ITC Avant Garde"/>
          <w:i/>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D4717D" w:rsidRDefault="009127B4" w:rsidP="00D4717D">
      <w:pPr>
        <w:spacing w:afterLines="120" w:after="288"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La verificación del cumplimiento de las obligaciones aplicables será realizada por el Instituto, a través de la unidad administrativa competente.”</w:t>
      </w:r>
    </w:p>
    <w:p w:rsidR="00D4717D" w:rsidRDefault="009127B4"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Tomando en cuenta lo anterior, derivado de la solicitud de transición que presenten los concesionarios de redes públicas de telecomunicaciones, y en virtud de lo dispuesto en el artículo 25 de los Lineamientos se otorgará una concesión única para uso comercial, en términos del artículo 67 fracción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D4717D" w:rsidRDefault="009127B4"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D4717D" w:rsidRDefault="009127B4"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D4717D" w:rsidRDefault="009127B4"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Asimismo, dentro de los Lineamientos se establecieron los criterios que deben seguirse para consolidar los diferentes títulos de concesión que en su caso tengan los operadores de telecomunicaciones y radiodifusión, así como las características generales con las cuales se otorgará el título de concesión única que deriven de dicha consolidación.</w:t>
      </w:r>
    </w:p>
    <w:p w:rsidR="00D4717D" w:rsidRDefault="009127B4"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De esta manera, tomando en cuenta lo señalado en el artículo 25 de los Lineamientos, en caso de que un concesionario posea más de un título de concesión y solicite la transición al nuevo régimen de </w:t>
      </w:r>
      <w:proofErr w:type="spellStart"/>
      <w:r>
        <w:rPr>
          <w:rFonts w:ascii="ITC Avant Garde" w:hAnsi="ITC Avant Garde"/>
          <w:bCs/>
        </w:rPr>
        <w:t>concesionamiento</w:t>
      </w:r>
      <w:proofErr w:type="spellEnd"/>
      <w:r>
        <w:rPr>
          <w:rFonts w:ascii="ITC Avant Garde" w:hAnsi="ITC Avant Garde"/>
          <w:bCs/>
        </w:rPr>
        <w:t xml:space="preserve">, en dicho acto el Instituto consolidará en un solo título de concesión única la totalidad de los mismos. </w:t>
      </w:r>
    </w:p>
    <w:p w:rsidR="00D4717D" w:rsidRDefault="009127B4"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Así, el título de concesión única que emita el Instituto con motivo de la Solicitud de Transición deberá tomar en cuenta los títulos de concesión otorgados previamente a su titular, en el entendido de que, como lo señalan los Lineamientos, las citadas concesiones se extinguirán como consecuencia de dicho otorgamiento.</w:t>
      </w:r>
    </w:p>
    <w:p w:rsidR="00D4717D" w:rsidRDefault="009127B4"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En relación con esto último, el citado artículo 25 de los Lineamientos establece con respecto a la vigencia de la concesión única que en su caso se otorgue, que ésta deberá emitirse por un plazo equivalente a la vigencia más amplia contada a partir de la fecha de otorgamiento del título que tenga dicha vigencia; además, los compromisos de cobertura mínima corresponderán a aquellas localidades, municipios o Estados que se hayan establecido en cada uno de los títulos de concesión que se vayan a consolidar.</w:t>
      </w:r>
    </w:p>
    <w:p w:rsidR="00D4717D" w:rsidRDefault="009127B4"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Por otro lado, el artículo 27 de los Lineamientos prevé que para la consolidación de los títulos otorgados para instalar, operar y explotar una red pública de telecomunicaciones a la concesión única para uso comercial es necesario que el solicitante se encuentre en cumplimiento de: (i) las obligaciones previstas en los respectivos títulos de concesión y (ii) las obligaciones derivadas de la legislación aplicable en materia de telecomunicaciones, radiodifusión y competencia económica.</w:t>
      </w:r>
    </w:p>
    <w:p w:rsidR="00D4717D" w:rsidRDefault="009127B4"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r w:rsidR="00C036EF">
        <w:rPr>
          <w:rFonts w:ascii="ITC Avant Garde" w:hAnsi="ITC Avant Garde"/>
          <w:bCs/>
        </w:rPr>
        <w:t xml:space="preserve">. </w:t>
      </w:r>
    </w:p>
    <w:p w:rsidR="00D4717D" w:rsidRDefault="00A21167" w:rsidP="00D4717D">
      <w:pPr>
        <w:autoSpaceDE w:val="0"/>
        <w:autoSpaceDN w:val="0"/>
        <w:adjustRightInd w:val="0"/>
        <w:spacing w:afterLines="120" w:after="288" w:line="240" w:lineRule="auto"/>
        <w:jc w:val="both"/>
        <w:rPr>
          <w:rFonts w:ascii="ITC Avant Garde" w:hAnsi="ITC Avant Garde"/>
          <w:bCs/>
        </w:rPr>
      </w:pPr>
      <w:proofErr w:type="gramStart"/>
      <w:r w:rsidRPr="00E57237">
        <w:rPr>
          <w:rFonts w:ascii="ITC Avant Garde" w:hAnsi="ITC Avant Garde"/>
          <w:b/>
          <w:bCs/>
        </w:rPr>
        <w:t>Tercero.-</w:t>
      </w:r>
      <w:proofErr w:type="gramEnd"/>
      <w:r w:rsidRPr="00E57237">
        <w:rPr>
          <w:rFonts w:ascii="ITC Avant Garde" w:hAnsi="ITC Avant Garde"/>
          <w:b/>
          <w:bCs/>
        </w:rPr>
        <w:t xml:space="preserve"> Análisis de la Solicitud de </w:t>
      </w:r>
      <w:r>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007251E1" w:rsidRPr="00B52FBE">
        <w:rPr>
          <w:rFonts w:ascii="ITC Avant Garde" w:hAnsi="ITC Avant Garde"/>
          <w:bCs/>
        </w:rPr>
        <w:t xml:space="preserve">Por lo que hace al primer requisito señalado en </w:t>
      </w:r>
      <w:r w:rsidR="007251E1">
        <w:rPr>
          <w:rFonts w:ascii="ITC Avant Garde" w:hAnsi="ITC Avant Garde"/>
          <w:bCs/>
        </w:rPr>
        <w:t xml:space="preserve">el </w:t>
      </w:r>
      <w:r w:rsidR="007251E1" w:rsidRPr="00B52FBE">
        <w:rPr>
          <w:rFonts w:ascii="ITC Avant Garde" w:hAnsi="ITC Avant Garde"/>
          <w:bCs/>
        </w:rPr>
        <w:t xml:space="preserve">artículo </w:t>
      </w:r>
      <w:r w:rsidR="007251E1">
        <w:rPr>
          <w:rFonts w:ascii="ITC Avant Garde" w:hAnsi="ITC Avant Garde"/>
          <w:bCs/>
        </w:rPr>
        <w:t xml:space="preserve">24 de los Lineamientos, </w:t>
      </w:r>
      <w:r w:rsidR="007251E1" w:rsidRPr="00B52FBE">
        <w:rPr>
          <w:rFonts w:ascii="ITC Avant Garde" w:hAnsi="ITC Avant Garde"/>
          <w:bCs/>
        </w:rPr>
        <w:t>relativo a que</w:t>
      </w:r>
      <w:r w:rsidR="007251E1">
        <w:rPr>
          <w:rFonts w:ascii="ITC Avant Garde" w:hAnsi="ITC Avant Garde"/>
          <w:bCs/>
        </w:rPr>
        <w:t xml:space="preserve"> </w:t>
      </w:r>
      <w:proofErr w:type="spellStart"/>
      <w:r w:rsidR="00C036EF">
        <w:rPr>
          <w:rFonts w:ascii="ITC Avant Garde" w:hAnsi="ITC Avant Garde"/>
          <w:bCs/>
        </w:rPr>
        <w:t>Malcvission</w:t>
      </w:r>
      <w:proofErr w:type="spellEnd"/>
      <w:r w:rsidR="00CB7B79">
        <w:rPr>
          <w:rFonts w:ascii="ITC Avant Garde" w:hAnsi="ITC Avant Garde"/>
          <w:bCs/>
        </w:rPr>
        <w:t>, S.A. de C.V.</w:t>
      </w:r>
      <w:r w:rsidR="00E93F86" w:rsidRPr="00356D17">
        <w:rPr>
          <w:rFonts w:ascii="ITC Avant Garde" w:hAnsi="ITC Avant Garde"/>
          <w:bCs/>
        </w:rPr>
        <w:t xml:space="preserve"> </w:t>
      </w:r>
      <w:r w:rsidR="007251E1">
        <w:rPr>
          <w:rFonts w:ascii="ITC Avant Garde" w:hAnsi="ITC Avant Garde"/>
          <w:bCs/>
        </w:rPr>
        <w:t xml:space="preserve">presente el Formato IFT-Transición que se señala, </w:t>
      </w:r>
      <w:r w:rsidR="007251E1" w:rsidRPr="00B52FBE">
        <w:rPr>
          <w:rFonts w:ascii="ITC Avant Garde" w:hAnsi="ITC Avant Garde"/>
          <w:bCs/>
        </w:rPr>
        <w:t xml:space="preserve">este Instituto </w:t>
      </w:r>
      <w:r w:rsidR="007251E1">
        <w:rPr>
          <w:rFonts w:ascii="ITC Avant Garde" w:hAnsi="ITC Avant Garde"/>
          <w:bCs/>
        </w:rPr>
        <w:t xml:space="preserve">lo </w:t>
      </w:r>
      <w:r w:rsidR="007251E1" w:rsidRPr="00B52FBE">
        <w:rPr>
          <w:rFonts w:ascii="ITC Avant Garde" w:hAnsi="ITC Avant Garde"/>
          <w:bCs/>
        </w:rPr>
        <w:t xml:space="preserve">considera </w:t>
      </w:r>
      <w:r w:rsidR="002866EA">
        <w:rPr>
          <w:rFonts w:ascii="ITC Avant Garde" w:hAnsi="ITC Avant Garde"/>
          <w:bCs/>
        </w:rPr>
        <w:t xml:space="preserve">cumplido en virtud de </w:t>
      </w:r>
      <w:r w:rsidR="00E0390C">
        <w:rPr>
          <w:rFonts w:ascii="ITC Avant Garde" w:hAnsi="ITC Avant Garde"/>
          <w:bCs/>
        </w:rPr>
        <w:t xml:space="preserve">que </w:t>
      </w:r>
      <w:r w:rsidR="00C036EF">
        <w:rPr>
          <w:rFonts w:ascii="ITC Avant Garde" w:hAnsi="ITC Avant Garde"/>
          <w:bCs/>
        </w:rPr>
        <w:t>el</w:t>
      </w:r>
      <w:r w:rsidR="00F72FB8">
        <w:rPr>
          <w:rFonts w:ascii="ITC Avant Garde" w:hAnsi="ITC Avant Garde"/>
          <w:bCs/>
        </w:rPr>
        <w:t xml:space="preserve"> </w:t>
      </w:r>
      <w:r w:rsidR="004650A2">
        <w:rPr>
          <w:rFonts w:ascii="ITC Avant Garde" w:hAnsi="ITC Avant Garde"/>
          <w:bCs/>
        </w:rPr>
        <w:t>representante legal de</w:t>
      </w:r>
      <w:r w:rsidR="00F72FB8">
        <w:rPr>
          <w:rFonts w:ascii="ITC Avant Garde" w:hAnsi="ITC Avant Garde"/>
          <w:bCs/>
        </w:rPr>
        <w:t xml:space="preserve"> </w:t>
      </w:r>
      <w:r w:rsidR="004650A2">
        <w:rPr>
          <w:rFonts w:ascii="ITC Avant Garde" w:hAnsi="ITC Avant Garde"/>
          <w:bCs/>
        </w:rPr>
        <w:t>l</w:t>
      </w:r>
      <w:r w:rsidR="00F72FB8">
        <w:rPr>
          <w:rFonts w:ascii="ITC Avant Garde" w:hAnsi="ITC Avant Garde"/>
          <w:bCs/>
        </w:rPr>
        <w:t>a</w:t>
      </w:r>
      <w:r w:rsidR="004650A2">
        <w:rPr>
          <w:rFonts w:ascii="ITC Avant Garde" w:hAnsi="ITC Avant Garde"/>
          <w:bCs/>
        </w:rPr>
        <w:t xml:space="preserve"> </w:t>
      </w:r>
      <w:r w:rsidR="00E0390C">
        <w:rPr>
          <w:rFonts w:ascii="ITC Avant Garde" w:hAnsi="ITC Avant Garde"/>
          <w:bCs/>
        </w:rPr>
        <w:t>concesionari</w:t>
      </w:r>
      <w:r w:rsidR="00F72FB8">
        <w:rPr>
          <w:rFonts w:ascii="ITC Avant Garde" w:hAnsi="ITC Avant Garde"/>
          <w:bCs/>
        </w:rPr>
        <w:t>a</w:t>
      </w:r>
      <w:r w:rsidR="00E0390C">
        <w:rPr>
          <w:rFonts w:ascii="ITC Avant Garde" w:hAnsi="ITC Avant Garde"/>
          <w:bCs/>
        </w:rPr>
        <w:t xml:space="preserve"> presentó el formato</w:t>
      </w:r>
      <w:r w:rsidR="007251E1">
        <w:rPr>
          <w:rFonts w:ascii="ITC Avant Garde" w:hAnsi="ITC Avant Garde"/>
          <w:bCs/>
        </w:rPr>
        <w:t xml:space="preserve"> debidame</w:t>
      </w:r>
      <w:r w:rsidR="007757BE">
        <w:rPr>
          <w:rFonts w:ascii="ITC Avant Garde" w:hAnsi="ITC Avant Garde"/>
          <w:bCs/>
        </w:rPr>
        <w:t xml:space="preserve">nte </w:t>
      </w:r>
      <w:r w:rsidR="00F46B62">
        <w:rPr>
          <w:rFonts w:ascii="ITC Avant Garde" w:hAnsi="ITC Avant Garde"/>
          <w:bCs/>
        </w:rPr>
        <w:t>llenado</w:t>
      </w:r>
      <w:r w:rsidR="007757BE">
        <w:rPr>
          <w:rFonts w:ascii="ITC Avant Garde" w:hAnsi="ITC Avant Garde"/>
          <w:bCs/>
        </w:rPr>
        <w:t xml:space="preserve"> y firmado.</w:t>
      </w:r>
    </w:p>
    <w:p w:rsidR="00A61C2A" w:rsidRDefault="00A61C2A"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Es importante mencionar, que la concesionaria en comento cuenta con 3 títulos de concesión de red pública de telecomunicaciones vigentes, y que en apego al artículo 25 de los Lineamientos se consolidarán en un solo título de concesión para uso comercial, los cuales se enlistan a continuación:</w:t>
      </w:r>
    </w:p>
    <w:tbl>
      <w:tblPr>
        <w:tblStyle w:val="Tablaconcuadrcula"/>
        <w:tblW w:w="8165" w:type="dxa"/>
        <w:jc w:val="center"/>
        <w:tblLayout w:type="fixed"/>
        <w:tblLook w:val="04A0" w:firstRow="1" w:lastRow="0" w:firstColumn="1" w:lastColumn="0" w:noHBand="0" w:noVBand="1"/>
        <w:tblCaption w:val="Títulos de concesión"/>
        <w:tblDescription w:val="Tabla de 5 columnas que proporciona información relativa a los títulos de concesión."/>
      </w:tblPr>
      <w:tblGrid>
        <w:gridCol w:w="482"/>
        <w:gridCol w:w="3624"/>
        <w:gridCol w:w="1559"/>
        <w:gridCol w:w="1490"/>
        <w:gridCol w:w="1010"/>
      </w:tblGrid>
      <w:tr w:rsidR="00A61C2A" w:rsidRPr="00E6604B" w:rsidTr="00D4717D">
        <w:trPr>
          <w:trHeight w:val="352"/>
          <w:tblHeader/>
          <w:jc w:val="center"/>
        </w:trPr>
        <w:tc>
          <w:tcPr>
            <w:tcW w:w="482" w:type="dxa"/>
            <w:hideMark/>
          </w:tcPr>
          <w:p w:rsidR="00A61C2A" w:rsidRPr="00E6604B" w:rsidRDefault="00A61C2A" w:rsidP="00D4717D">
            <w:pPr>
              <w:spacing w:after="0" w:line="240" w:lineRule="auto"/>
              <w:jc w:val="center"/>
              <w:rPr>
                <w:rFonts w:ascii="ITC Avant Garde" w:eastAsia="Times New Roman" w:hAnsi="ITC Avant Garde"/>
                <w:b/>
                <w:bCs/>
                <w:color w:val="000000"/>
                <w:sz w:val="14"/>
                <w:szCs w:val="14"/>
                <w:lang w:eastAsia="es-MX"/>
              </w:rPr>
            </w:pPr>
            <w:r w:rsidRPr="00E6604B">
              <w:rPr>
                <w:rFonts w:ascii="ITC Avant Garde" w:eastAsia="Times New Roman" w:hAnsi="ITC Avant Garde"/>
                <w:b/>
                <w:bCs/>
                <w:color w:val="000000"/>
                <w:sz w:val="14"/>
                <w:szCs w:val="14"/>
                <w:lang w:eastAsia="es-MX"/>
              </w:rPr>
              <w:t>No.</w:t>
            </w:r>
          </w:p>
        </w:tc>
        <w:tc>
          <w:tcPr>
            <w:tcW w:w="3624" w:type="dxa"/>
            <w:hideMark/>
          </w:tcPr>
          <w:p w:rsidR="00A61C2A" w:rsidRPr="00E6604B" w:rsidRDefault="00A61C2A" w:rsidP="00D4717D">
            <w:pPr>
              <w:spacing w:after="0" w:line="240" w:lineRule="auto"/>
              <w:jc w:val="center"/>
              <w:rPr>
                <w:rFonts w:ascii="ITC Avant Garde" w:eastAsia="Times New Roman" w:hAnsi="ITC Avant Garde"/>
                <w:b/>
                <w:bCs/>
                <w:color w:val="000000"/>
                <w:sz w:val="14"/>
                <w:szCs w:val="14"/>
                <w:lang w:eastAsia="es-MX"/>
              </w:rPr>
            </w:pPr>
            <w:r w:rsidRPr="00E6604B">
              <w:rPr>
                <w:rFonts w:ascii="ITC Avant Garde" w:eastAsia="Times New Roman" w:hAnsi="ITC Avant Garde"/>
                <w:b/>
                <w:bCs/>
                <w:color w:val="000000"/>
                <w:sz w:val="14"/>
                <w:szCs w:val="14"/>
                <w:lang w:eastAsia="es-MX"/>
              </w:rPr>
              <w:t>COBERTURA</w:t>
            </w:r>
          </w:p>
        </w:tc>
        <w:tc>
          <w:tcPr>
            <w:tcW w:w="1559" w:type="dxa"/>
          </w:tcPr>
          <w:p w:rsidR="00A61C2A" w:rsidRPr="00E6604B" w:rsidRDefault="00A61C2A" w:rsidP="00D4717D">
            <w:pPr>
              <w:spacing w:after="0" w:line="240" w:lineRule="auto"/>
              <w:jc w:val="center"/>
              <w:rPr>
                <w:rFonts w:ascii="ITC Avant Garde" w:eastAsia="Times New Roman" w:hAnsi="ITC Avant Garde"/>
                <w:b/>
                <w:bCs/>
                <w:color w:val="000000"/>
                <w:sz w:val="14"/>
                <w:szCs w:val="14"/>
                <w:lang w:eastAsia="es-MX"/>
              </w:rPr>
            </w:pPr>
            <w:r w:rsidRPr="00E6604B">
              <w:rPr>
                <w:rFonts w:ascii="ITC Avant Garde" w:eastAsia="Times New Roman" w:hAnsi="ITC Avant Garde"/>
                <w:b/>
                <w:bCs/>
                <w:color w:val="000000"/>
                <w:sz w:val="14"/>
                <w:szCs w:val="14"/>
                <w:lang w:eastAsia="es-MX"/>
              </w:rPr>
              <w:t>SERVICIO</w:t>
            </w:r>
          </w:p>
        </w:tc>
        <w:tc>
          <w:tcPr>
            <w:tcW w:w="1490" w:type="dxa"/>
            <w:hideMark/>
          </w:tcPr>
          <w:p w:rsidR="00A61C2A" w:rsidRPr="00E6604B" w:rsidRDefault="00A61C2A" w:rsidP="00D4717D">
            <w:pPr>
              <w:spacing w:after="0" w:line="240" w:lineRule="auto"/>
              <w:jc w:val="center"/>
              <w:rPr>
                <w:rFonts w:ascii="ITC Avant Garde" w:eastAsia="Times New Roman" w:hAnsi="ITC Avant Garde"/>
                <w:b/>
                <w:bCs/>
                <w:color w:val="000000"/>
                <w:sz w:val="14"/>
                <w:szCs w:val="14"/>
                <w:lang w:eastAsia="es-MX"/>
              </w:rPr>
            </w:pPr>
            <w:r w:rsidRPr="00E6604B">
              <w:rPr>
                <w:rFonts w:ascii="ITC Avant Garde" w:eastAsia="Times New Roman" w:hAnsi="ITC Avant Garde"/>
                <w:b/>
                <w:bCs/>
                <w:color w:val="000000"/>
                <w:sz w:val="14"/>
                <w:szCs w:val="14"/>
                <w:lang w:eastAsia="es-MX"/>
              </w:rPr>
              <w:t>FECHA DE EXPEDICIÓN TÍTULO</w:t>
            </w:r>
          </w:p>
        </w:tc>
        <w:tc>
          <w:tcPr>
            <w:tcW w:w="1010" w:type="dxa"/>
            <w:hideMark/>
          </w:tcPr>
          <w:p w:rsidR="00A61C2A" w:rsidRPr="00E6604B" w:rsidRDefault="00A61C2A" w:rsidP="00D4717D">
            <w:pPr>
              <w:spacing w:after="0" w:line="240" w:lineRule="auto"/>
              <w:jc w:val="center"/>
              <w:rPr>
                <w:rFonts w:ascii="ITC Avant Garde" w:eastAsia="Times New Roman" w:hAnsi="ITC Avant Garde"/>
                <w:b/>
                <w:bCs/>
                <w:color w:val="000000"/>
                <w:sz w:val="14"/>
                <w:szCs w:val="14"/>
                <w:lang w:eastAsia="es-MX"/>
              </w:rPr>
            </w:pPr>
            <w:r w:rsidRPr="00E6604B">
              <w:rPr>
                <w:rFonts w:ascii="ITC Avant Garde" w:eastAsia="Times New Roman" w:hAnsi="ITC Avant Garde"/>
                <w:b/>
                <w:bCs/>
                <w:color w:val="000000"/>
                <w:sz w:val="14"/>
                <w:szCs w:val="14"/>
                <w:lang w:eastAsia="es-MX"/>
              </w:rPr>
              <w:t>VIGENCIA (AÑOS)</w:t>
            </w:r>
          </w:p>
        </w:tc>
      </w:tr>
      <w:tr w:rsidR="00A61C2A" w:rsidRPr="00E6604B" w:rsidTr="00D4717D">
        <w:trPr>
          <w:trHeight w:val="164"/>
          <w:jc w:val="center"/>
        </w:trPr>
        <w:tc>
          <w:tcPr>
            <w:tcW w:w="482" w:type="dxa"/>
            <w:hideMark/>
          </w:tcPr>
          <w:p w:rsidR="00A61C2A" w:rsidRPr="00E6604B" w:rsidRDefault="00A61C2A" w:rsidP="00D4717D">
            <w:pPr>
              <w:spacing w:after="0" w:line="240" w:lineRule="auto"/>
              <w:jc w:val="center"/>
              <w:rPr>
                <w:rFonts w:ascii="ITC Avant Garde" w:eastAsia="Times New Roman" w:hAnsi="ITC Avant Garde"/>
                <w:sz w:val="14"/>
                <w:szCs w:val="14"/>
                <w:lang w:eastAsia="es-MX"/>
              </w:rPr>
            </w:pPr>
            <w:r w:rsidRPr="00E6604B">
              <w:rPr>
                <w:rFonts w:ascii="ITC Avant Garde" w:eastAsia="Times New Roman" w:hAnsi="ITC Avant Garde"/>
                <w:sz w:val="14"/>
                <w:szCs w:val="14"/>
                <w:lang w:eastAsia="es-MX"/>
              </w:rPr>
              <w:t>1</w:t>
            </w:r>
          </w:p>
        </w:tc>
        <w:tc>
          <w:tcPr>
            <w:tcW w:w="3624" w:type="dxa"/>
            <w:hideMark/>
          </w:tcPr>
          <w:p w:rsidR="00A61C2A" w:rsidRPr="00E6604B" w:rsidRDefault="00A61C2A" w:rsidP="00D4717D">
            <w:pPr>
              <w:spacing w:after="0" w:line="240" w:lineRule="auto"/>
              <w:rPr>
                <w:rFonts w:ascii="ITC Avant Garde" w:eastAsia="Times New Roman" w:hAnsi="ITC Avant Garde"/>
                <w:color w:val="000000"/>
                <w:sz w:val="14"/>
                <w:szCs w:val="14"/>
                <w:lang w:eastAsia="es-MX"/>
              </w:rPr>
            </w:pPr>
            <w:proofErr w:type="spellStart"/>
            <w:r w:rsidRPr="00A61C2A">
              <w:rPr>
                <w:rFonts w:ascii="ITC Avant Garde" w:eastAsia="Times New Roman" w:hAnsi="ITC Avant Garde"/>
                <w:color w:val="000000"/>
                <w:sz w:val="14"/>
                <w:szCs w:val="14"/>
                <w:lang w:eastAsia="es-MX"/>
              </w:rPr>
              <w:t>Zacapoaxtla</w:t>
            </w:r>
            <w:proofErr w:type="spellEnd"/>
            <w:r w:rsidRPr="00A61C2A">
              <w:rPr>
                <w:rFonts w:ascii="ITC Avant Garde" w:eastAsia="Times New Roman" w:hAnsi="ITC Avant Garde"/>
                <w:color w:val="000000"/>
                <w:sz w:val="14"/>
                <w:szCs w:val="14"/>
                <w:lang w:eastAsia="es-MX"/>
              </w:rPr>
              <w:t xml:space="preserve">, en el Municipio de </w:t>
            </w:r>
            <w:proofErr w:type="spellStart"/>
            <w:r w:rsidRPr="00A61C2A">
              <w:rPr>
                <w:rFonts w:ascii="ITC Avant Garde" w:eastAsia="Times New Roman" w:hAnsi="ITC Avant Garde"/>
                <w:color w:val="000000"/>
                <w:sz w:val="14"/>
                <w:szCs w:val="14"/>
                <w:lang w:eastAsia="es-MX"/>
              </w:rPr>
              <w:t>Zacapoaxtla</w:t>
            </w:r>
            <w:proofErr w:type="spellEnd"/>
            <w:r w:rsidRPr="00A61C2A">
              <w:rPr>
                <w:rFonts w:ascii="ITC Avant Garde" w:eastAsia="Times New Roman" w:hAnsi="ITC Avant Garde"/>
                <w:color w:val="000000"/>
                <w:sz w:val="14"/>
                <w:szCs w:val="14"/>
                <w:lang w:eastAsia="es-MX"/>
              </w:rPr>
              <w:t>, en el Estado de Puebla</w:t>
            </w:r>
          </w:p>
        </w:tc>
        <w:tc>
          <w:tcPr>
            <w:tcW w:w="1559" w:type="dxa"/>
          </w:tcPr>
          <w:p w:rsidR="00A61C2A" w:rsidRPr="00E6604B" w:rsidRDefault="00A61C2A" w:rsidP="00D4717D">
            <w:pPr>
              <w:spacing w:after="0" w:line="240" w:lineRule="auto"/>
              <w:jc w:val="center"/>
              <w:rPr>
                <w:rFonts w:ascii="ITC Avant Garde" w:eastAsia="Times New Roman" w:hAnsi="ITC Avant Garde"/>
                <w:bCs/>
                <w:color w:val="000000"/>
                <w:sz w:val="14"/>
                <w:szCs w:val="14"/>
                <w:lang w:eastAsia="es-MX"/>
              </w:rPr>
            </w:pPr>
            <w:r w:rsidRPr="00E6604B">
              <w:rPr>
                <w:rFonts w:ascii="ITC Avant Garde" w:eastAsia="Times New Roman" w:hAnsi="ITC Avant Garde"/>
                <w:bCs/>
                <w:color w:val="000000"/>
                <w:sz w:val="14"/>
                <w:szCs w:val="14"/>
                <w:lang w:eastAsia="es-MX"/>
              </w:rPr>
              <w:t>Televisión restringida</w:t>
            </w:r>
          </w:p>
        </w:tc>
        <w:tc>
          <w:tcPr>
            <w:tcW w:w="1490" w:type="dxa"/>
            <w:hideMark/>
          </w:tcPr>
          <w:p w:rsidR="00A61C2A" w:rsidRPr="00E6604B" w:rsidRDefault="00A61C2A" w:rsidP="00D4717D">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27 de mayo de 2013</w:t>
            </w:r>
          </w:p>
        </w:tc>
        <w:tc>
          <w:tcPr>
            <w:tcW w:w="1010" w:type="dxa"/>
            <w:hideMark/>
          </w:tcPr>
          <w:p w:rsidR="00A61C2A" w:rsidRPr="00E6604B" w:rsidRDefault="00A61C2A" w:rsidP="00D4717D">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30</w:t>
            </w:r>
          </w:p>
        </w:tc>
      </w:tr>
      <w:tr w:rsidR="00A61C2A" w:rsidRPr="00E6604B" w:rsidTr="00D4717D">
        <w:trPr>
          <w:trHeight w:val="234"/>
          <w:jc w:val="center"/>
        </w:trPr>
        <w:tc>
          <w:tcPr>
            <w:tcW w:w="482" w:type="dxa"/>
            <w:hideMark/>
          </w:tcPr>
          <w:p w:rsidR="00A61C2A" w:rsidRPr="00E6604B" w:rsidRDefault="00A61C2A" w:rsidP="00D4717D">
            <w:pPr>
              <w:spacing w:after="0" w:line="240" w:lineRule="auto"/>
              <w:jc w:val="center"/>
              <w:rPr>
                <w:rFonts w:ascii="ITC Avant Garde" w:eastAsia="Times New Roman" w:hAnsi="ITC Avant Garde"/>
                <w:sz w:val="14"/>
                <w:szCs w:val="14"/>
                <w:lang w:eastAsia="es-MX"/>
              </w:rPr>
            </w:pPr>
            <w:r w:rsidRPr="00E6604B">
              <w:rPr>
                <w:rFonts w:ascii="ITC Avant Garde" w:eastAsia="Times New Roman" w:hAnsi="ITC Avant Garde"/>
                <w:sz w:val="14"/>
                <w:szCs w:val="14"/>
                <w:lang w:eastAsia="es-MX"/>
              </w:rPr>
              <w:t>2</w:t>
            </w:r>
          </w:p>
        </w:tc>
        <w:tc>
          <w:tcPr>
            <w:tcW w:w="3624" w:type="dxa"/>
            <w:hideMark/>
          </w:tcPr>
          <w:p w:rsidR="00A61C2A" w:rsidRPr="00E6604B" w:rsidRDefault="00A61C2A" w:rsidP="00D4717D">
            <w:pPr>
              <w:spacing w:after="0" w:line="240" w:lineRule="auto"/>
              <w:rPr>
                <w:rFonts w:ascii="ITC Avant Garde" w:eastAsia="Times New Roman" w:hAnsi="ITC Avant Garde"/>
                <w:color w:val="000000"/>
                <w:sz w:val="14"/>
                <w:szCs w:val="14"/>
                <w:lang w:eastAsia="es-MX"/>
              </w:rPr>
            </w:pPr>
            <w:r w:rsidRPr="00A61C2A">
              <w:rPr>
                <w:rFonts w:ascii="ITC Avant Garde" w:eastAsia="Times New Roman" w:hAnsi="ITC Avant Garde"/>
                <w:color w:val="000000"/>
                <w:sz w:val="14"/>
                <w:szCs w:val="14"/>
                <w:lang w:eastAsia="es-MX"/>
              </w:rPr>
              <w:t xml:space="preserve">Villa de El Carmen </w:t>
            </w:r>
            <w:proofErr w:type="spellStart"/>
            <w:r w:rsidRPr="00A61C2A">
              <w:rPr>
                <w:rFonts w:ascii="ITC Avant Garde" w:eastAsia="Times New Roman" w:hAnsi="ITC Avant Garde"/>
                <w:color w:val="000000"/>
                <w:sz w:val="14"/>
                <w:szCs w:val="14"/>
                <w:lang w:eastAsia="es-MX"/>
              </w:rPr>
              <w:t>Tequexquitla</w:t>
            </w:r>
            <w:proofErr w:type="spellEnd"/>
            <w:r w:rsidRPr="00A61C2A">
              <w:rPr>
                <w:rFonts w:ascii="ITC Avant Garde" w:eastAsia="Times New Roman" w:hAnsi="ITC Avant Garde"/>
                <w:color w:val="000000"/>
                <w:sz w:val="14"/>
                <w:szCs w:val="14"/>
                <w:lang w:eastAsia="es-MX"/>
              </w:rPr>
              <w:t xml:space="preserve">, Municipio de El Carmen </w:t>
            </w:r>
            <w:proofErr w:type="spellStart"/>
            <w:r w:rsidRPr="00A61C2A">
              <w:rPr>
                <w:rFonts w:ascii="ITC Avant Garde" w:eastAsia="Times New Roman" w:hAnsi="ITC Avant Garde"/>
                <w:color w:val="000000"/>
                <w:sz w:val="14"/>
                <w:szCs w:val="14"/>
                <w:lang w:eastAsia="es-MX"/>
              </w:rPr>
              <w:t>Tequexquitla</w:t>
            </w:r>
            <w:proofErr w:type="spellEnd"/>
            <w:r w:rsidRPr="00A61C2A">
              <w:rPr>
                <w:rFonts w:ascii="ITC Avant Garde" w:eastAsia="Times New Roman" w:hAnsi="ITC Avant Garde"/>
                <w:color w:val="000000"/>
                <w:sz w:val="14"/>
                <w:szCs w:val="14"/>
                <w:lang w:eastAsia="es-MX"/>
              </w:rPr>
              <w:t xml:space="preserve">; Colonia Ignacio Allende, Municipio de </w:t>
            </w:r>
            <w:proofErr w:type="spellStart"/>
            <w:r w:rsidRPr="00A61C2A">
              <w:rPr>
                <w:rFonts w:ascii="ITC Avant Garde" w:eastAsia="Times New Roman" w:hAnsi="ITC Avant Garde"/>
                <w:color w:val="000000"/>
                <w:sz w:val="14"/>
                <w:szCs w:val="14"/>
                <w:lang w:eastAsia="es-MX"/>
              </w:rPr>
              <w:t>Cuapiaxtla</w:t>
            </w:r>
            <w:proofErr w:type="spellEnd"/>
            <w:r w:rsidRPr="00A61C2A">
              <w:rPr>
                <w:rFonts w:ascii="ITC Avant Garde" w:eastAsia="Times New Roman" w:hAnsi="ITC Avant Garde"/>
                <w:color w:val="000000"/>
                <w:sz w:val="14"/>
                <w:szCs w:val="14"/>
                <w:lang w:eastAsia="es-MX"/>
              </w:rPr>
              <w:t>, en el Estado de Tlaxcala; Ciudad de Libres, Municipio de Libres y Oriental, Municipio de Oriental, en el Estado de Puebla</w:t>
            </w:r>
          </w:p>
        </w:tc>
        <w:tc>
          <w:tcPr>
            <w:tcW w:w="1559" w:type="dxa"/>
            <w:hideMark/>
          </w:tcPr>
          <w:p w:rsidR="00A61C2A" w:rsidRPr="00E6604B" w:rsidRDefault="00D4717D" w:rsidP="00D4717D">
            <w:pPr>
              <w:spacing w:after="0" w:line="240" w:lineRule="auto"/>
              <w:jc w:val="center"/>
              <w:rPr>
                <w:rFonts w:ascii="ITC Avant Garde" w:eastAsia="Times New Roman" w:hAnsi="ITC Avant Garde"/>
                <w:bCs/>
                <w:color w:val="000000"/>
                <w:sz w:val="14"/>
                <w:szCs w:val="14"/>
                <w:lang w:eastAsia="es-MX"/>
              </w:rPr>
            </w:pPr>
            <w:r>
              <w:rPr>
                <w:rFonts w:ascii="ITC Avant Garde" w:eastAsia="Times New Roman" w:hAnsi="ITC Avant Garde"/>
                <w:bCs/>
                <w:color w:val="000000"/>
                <w:sz w:val="14"/>
                <w:szCs w:val="14"/>
                <w:lang w:eastAsia="es-MX"/>
              </w:rPr>
              <w:t>Televisión restringida</w:t>
            </w:r>
          </w:p>
        </w:tc>
        <w:tc>
          <w:tcPr>
            <w:tcW w:w="1490" w:type="dxa"/>
            <w:hideMark/>
          </w:tcPr>
          <w:p w:rsidR="00A61C2A" w:rsidRPr="00E6604B" w:rsidRDefault="00A61C2A" w:rsidP="00D4717D">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27 de mayo de 2013</w:t>
            </w:r>
          </w:p>
        </w:tc>
        <w:tc>
          <w:tcPr>
            <w:tcW w:w="1010" w:type="dxa"/>
            <w:hideMark/>
          </w:tcPr>
          <w:p w:rsidR="00A61C2A" w:rsidRPr="00E6604B" w:rsidRDefault="00A61C2A" w:rsidP="00D4717D">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 3</w:t>
            </w:r>
            <w:r w:rsidRPr="00E6604B">
              <w:rPr>
                <w:rFonts w:ascii="ITC Avant Garde" w:eastAsia="Times New Roman" w:hAnsi="ITC Avant Garde"/>
                <w:color w:val="000000"/>
                <w:sz w:val="14"/>
                <w:szCs w:val="14"/>
                <w:lang w:eastAsia="es-MX"/>
              </w:rPr>
              <w:t>0</w:t>
            </w:r>
          </w:p>
        </w:tc>
      </w:tr>
      <w:tr w:rsidR="00104574" w:rsidRPr="00E6604B" w:rsidTr="00D4717D">
        <w:trPr>
          <w:trHeight w:val="234"/>
          <w:jc w:val="center"/>
        </w:trPr>
        <w:tc>
          <w:tcPr>
            <w:tcW w:w="482" w:type="dxa"/>
          </w:tcPr>
          <w:p w:rsidR="00104574" w:rsidRPr="00E6604B" w:rsidRDefault="00104574" w:rsidP="00D4717D">
            <w:pPr>
              <w:spacing w:after="0" w:line="240" w:lineRule="auto"/>
              <w:jc w:val="center"/>
              <w:rPr>
                <w:rFonts w:ascii="ITC Avant Garde" w:eastAsia="Times New Roman" w:hAnsi="ITC Avant Garde"/>
                <w:sz w:val="14"/>
                <w:szCs w:val="14"/>
                <w:lang w:eastAsia="es-MX"/>
              </w:rPr>
            </w:pPr>
            <w:r>
              <w:rPr>
                <w:rFonts w:ascii="ITC Avant Garde" w:eastAsia="Times New Roman" w:hAnsi="ITC Avant Garde"/>
                <w:sz w:val="14"/>
                <w:szCs w:val="14"/>
                <w:lang w:eastAsia="es-MX"/>
              </w:rPr>
              <w:t>3</w:t>
            </w:r>
          </w:p>
        </w:tc>
        <w:tc>
          <w:tcPr>
            <w:tcW w:w="3624" w:type="dxa"/>
          </w:tcPr>
          <w:p w:rsidR="00104574" w:rsidRPr="00A61C2A" w:rsidRDefault="00104574" w:rsidP="00D4717D">
            <w:pPr>
              <w:spacing w:after="0" w:line="240" w:lineRule="auto"/>
              <w:rPr>
                <w:rFonts w:ascii="ITC Avant Garde" w:eastAsia="Times New Roman" w:hAnsi="ITC Avant Garde"/>
                <w:color w:val="000000"/>
                <w:sz w:val="14"/>
                <w:szCs w:val="14"/>
                <w:lang w:eastAsia="es-MX"/>
              </w:rPr>
            </w:pPr>
            <w:proofErr w:type="spellStart"/>
            <w:r w:rsidRPr="00104574">
              <w:rPr>
                <w:rFonts w:ascii="ITC Avant Garde" w:eastAsia="Times New Roman" w:hAnsi="ITC Avant Garde"/>
                <w:color w:val="000000"/>
                <w:sz w:val="14"/>
                <w:szCs w:val="14"/>
                <w:lang w:eastAsia="es-MX"/>
              </w:rPr>
              <w:t>Atlatlahucan</w:t>
            </w:r>
            <w:proofErr w:type="spellEnd"/>
            <w:r w:rsidRPr="00104574">
              <w:rPr>
                <w:rFonts w:ascii="ITC Avant Garde" w:eastAsia="Times New Roman" w:hAnsi="ITC Avant Garde"/>
                <w:color w:val="000000"/>
                <w:sz w:val="14"/>
                <w:szCs w:val="14"/>
                <w:lang w:eastAsia="es-MX"/>
              </w:rPr>
              <w:t xml:space="preserve">, Municipio de </w:t>
            </w:r>
            <w:proofErr w:type="spellStart"/>
            <w:r w:rsidRPr="00104574">
              <w:rPr>
                <w:rFonts w:ascii="ITC Avant Garde" w:eastAsia="Times New Roman" w:hAnsi="ITC Avant Garde"/>
                <w:color w:val="000000"/>
                <w:sz w:val="14"/>
                <w:szCs w:val="14"/>
                <w:lang w:eastAsia="es-MX"/>
              </w:rPr>
              <w:t>Atlatlahucan</w:t>
            </w:r>
            <w:proofErr w:type="spellEnd"/>
            <w:r w:rsidRPr="00104574">
              <w:rPr>
                <w:rFonts w:ascii="ITC Avant Garde" w:eastAsia="Times New Roman" w:hAnsi="ITC Avant Garde"/>
                <w:color w:val="000000"/>
                <w:sz w:val="14"/>
                <w:szCs w:val="14"/>
                <w:lang w:eastAsia="es-MX"/>
              </w:rPr>
              <w:t xml:space="preserve">; Tlalnepantla, Municipio de Tlalnepantla; </w:t>
            </w:r>
            <w:proofErr w:type="spellStart"/>
            <w:r w:rsidRPr="00104574">
              <w:rPr>
                <w:rFonts w:ascii="ITC Avant Garde" w:eastAsia="Times New Roman" w:hAnsi="ITC Avant Garde"/>
                <w:color w:val="000000"/>
                <w:sz w:val="14"/>
                <w:szCs w:val="14"/>
                <w:lang w:eastAsia="es-MX"/>
              </w:rPr>
              <w:t>Totolapan</w:t>
            </w:r>
            <w:proofErr w:type="spellEnd"/>
            <w:r w:rsidRPr="00104574">
              <w:rPr>
                <w:rFonts w:ascii="ITC Avant Garde" w:eastAsia="Times New Roman" w:hAnsi="ITC Avant Garde"/>
                <w:color w:val="000000"/>
                <w:sz w:val="14"/>
                <w:szCs w:val="14"/>
                <w:lang w:eastAsia="es-MX"/>
              </w:rPr>
              <w:t xml:space="preserve">, Municipio de </w:t>
            </w:r>
            <w:proofErr w:type="spellStart"/>
            <w:r w:rsidRPr="00104574">
              <w:rPr>
                <w:rFonts w:ascii="ITC Avant Garde" w:eastAsia="Times New Roman" w:hAnsi="ITC Avant Garde"/>
                <w:color w:val="000000"/>
                <w:sz w:val="14"/>
                <w:szCs w:val="14"/>
                <w:lang w:eastAsia="es-MX"/>
              </w:rPr>
              <w:t>Totolapan</w:t>
            </w:r>
            <w:proofErr w:type="spellEnd"/>
            <w:r w:rsidRPr="00104574">
              <w:rPr>
                <w:rFonts w:ascii="ITC Avant Garde" w:eastAsia="Times New Roman" w:hAnsi="ITC Avant Garde"/>
                <w:color w:val="000000"/>
                <w:sz w:val="14"/>
                <w:szCs w:val="14"/>
                <w:lang w:eastAsia="es-MX"/>
              </w:rPr>
              <w:t xml:space="preserve">, </w:t>
            </w:r>
            <w:proofErr w:type="spellStart"/>
            <w:r w:rsidRPr="00104574">
              <w:rPr>
                <w:rFonts w:ascii="ITC Avant Garde" w:eastAsia="Times New Roman" w:hAnsi="ITC Avant Garde"/>
                <w:color w:val="000000"/>
                <w:sz w:val="14"/>
                <w:szCs w:val="14"/>
                <w:lang w:eastAsia="es-MX"/>
              </w:rPr>
              <w:t>Nepopualco</w:t>
            </w:r>
            <w:proofErr w:type="spellEnd"/>
            <w:r w:rsidRPr="00104574">
              <w:rPr>
                <w:rFonts w:ascii="ITC Avant Garde" w:eastAsia="Times New Roman" w:hAnsi="ITC Avant Garde"/>
                <w:color w:val="000000"/>
                <w:sz w:val="14"/>
                <w:szCs w:val="14"/>
                <w:lang w:eastAsia="es-MX"/>
              </w:rPr>
              <w:t xml:space="preserve">, Municipio de </w:t>
            </w:r>
            <w:proofErr w:type="spellStart"/>
            <w:r w:rsidRPr="00104574">
              <w:rPr>
                <w:rFonts w:ascii="ITC Avant Garde" w:eastAsia="Times New Roman" w:hAnsi="ITC Avant Garde"/>
                <w:color w:val="000000"/>
                <w:sz w:val="14"/>
                <w:szCs w:val="14"/>
                <w:lang w:eastAsia="es-MX"/>
              </w:rPr>
              <w:t>Totolapan</w:t>
            </w:r>
            <w:proofErr w:type="spellEnd"/>
            <w:r w:rsidRPr="00104574">
              <w:rPr>
                <w:rFonts w:ascii="ITC Avant Garde" w:eastAsia="Times New Roman" w:hAnsi="ITC Avant Garde"/>
                <w:color w:val="000000"/>
                <w:sz w:val="14"/>
                <w:szCs w:val="14"/>
                <w:lang w:eastAsia="es-MX"/>
              </w:rPr>
              <w:t xml:space="preserve">; </w:t>
            </w:r>
            <w:proofErr w:type="spellStart"/>
            <w:r w:rsidRPr="00104574">
              <w:rPr>
                <w:rFonts w:ascii="ITC Avant Garde" w:eastAsia="Times New Roman" w:hAnsi="ITC Avant Garde"/>
                <w:color w:val="000000"/>
                <w:sz w:val="14"/>
                <w:szCs w:val="14"/>
                <w:lang w:eastAsia="es-MX"/>
              </w:rPr>
              <w:t>Tlayacapan</w:t>
            </w:r>
            <w:proofErr w:type="spellEnd"/>
            <w:r w:rsidRPr="00104574">
              <w:rPr>
                <w:rFonts w:ascii="ITC Avant Garde" w:eastAsia="Times New Roman" w:hAnsi="ITC Avant Garde"/>
                <w:color w:val="000000"/>
                <w:sz w:val="14"/>
                <w:szCs w:val="14"/>
                <w:lang w:eastAsia="es-MX"/>
              </w:rPr>
              <w:t xml:space="preserve"> y </w:t>
            </w:r>
            <w:proofErr w:type="spellStart"/>
            <w:r w:rsidRPr="00104574">
              <w:rPr>
                <w:rFonts w:ascii="ITC Avant Garde" w:eastAsia="Times New Roman" w:hAnsi="ITC Avant Garde"/>
                <w:color w:val="000000"/>
                <w:sz w:val="14"/>
                <w:szCs w:val="14"/>
                <w:lang w:eastAsia="es-MX"/>
              </w:rPr>
              <w:t>Cuauhtempan</w:t>
            </w:r>
            <w:proofErr w:type="spellEnd"/>
            <w:r w:rsidRPr="00104574">
              <w:rPr>
                <w:rFonts w:ascii="ITC Avant Garde" w:eastAsia="Times New Roman" w:hAnsi="ITC Avant Garde"/>
                <w:color w:val="000000"/>
                <w:sz w:val="14"/>
                <w:szCs w:val="14"/>
                <w:lang w:eastAsia="es-MX"/>
              </w:rPr>
              <w:t xml:space="preserve"> (San Andrés </w:t>
            </w:r>
            <w:proofErr w:type="spellStart"/>
            <w:r w:rsidRPr="00104574">
              <w:rPr>
                <w:rFonts w:ascii="ITC Avant Garde" w:eastAsia="Times New Roman" w:hAnsi="ITC Avant Garde"/>
                <w:color w:val="000000"/>
                <w:sz w:val="14"/>
                <w:szCs w:val="14"/>
                <w:lang w:eastAsia="es-MX"/>
              </w:rPr>
              <w:t>Cuauhtempan</w:t>
            </w:r>
            <w:proofErr w:type="spellEnd"/>
            <w:r w:rsidRPr="00104574">
              <w:rPr>
                <w:rFonts w:ascii="ITC Avant Garde" w:eastAsia="Times New Roman" w:hAnsi="ITC Avant Garde"/>
                <w:color w:val="000000"/>
                <w:sz w:val="14"/>
                <w:szCs w:val="14"/>
                <w:lang w:eastAsia="es-MX"/>
              </w:rPr>
              <w:t xml:space="preserve">), Municipio de </w:t>
            </w:r>
            <w:proofErr w:type="spellStart"/>
            <w:r w:rsidRPr="00104574">
              <w:rPr>
                <w:rFonts w:ascii="ITC Avant Garde" w:eastAsia="Times New Roman" w:hAnsi="ITC Avant Garde"/>
                <w:color w:val="000000"/>
                <w:sz w:val="14"/>
                <w:szCs w:val="14"/>
                <w:lang w:eastAsia="es-MX"/>
              </w:rPr>
              <w:t>Tlayacapan</w:t>
            </w:r>
            <w:proofErr w:type="spellEnd"/>
            <w:r w:rsidRPr="00104574">
              <w:rPr>
                <w:rFonts w:ascii="ITC Avant Garde" w:eastAsia="Times New Roman" w:hAnsi="ITC Avant Garde"/>
                <w:color w:val="000000"/>
                <w:sz w:val="14"/>
                <w:szCs w:val="14"/>
                <w:lang w:eastAsia="es-MX"/>
              </w:rPr>
              <w:t>, en el Estado de Morelos</w:t>
            </w:r>
          </w:p>
        </w:tc>
        <w:tc>
          <w:tcPr>
            <w:tcW w:w="1559" w:type="dxa"/>
          </w:tcPr>
          <w:p w:rsidR="00104574" w:rsidRPr="00E6604B" w:rsidRDefault="00D4717D" w:rsidP="00D4717D">
            <w:pPr>
              <w:spacing w:after="0" w:line="240" w:lineRule="auto"/>
              <w:jc w:val="center"/>
              <w:rPr>
                <w:rFonts w:ascii="ITC Avant Garde" w:eastAsia="Times New Roman" w:hAnsi="ITC Avant Garde"/>
                <w:bCs/>
                <w:color w:val="000000"/>
                <w:sz w:val="14"/>
                <w:szCs w:val="14"/>
                <w:lang w:eastAsia="es-MX"/>
              </w:rPr>
            </w:pPr>
            <w:r>
              <w:rPr>
                <w:rFonts w:ascii="ITC Avant Garde" w:eastAsia="Times New Roman" w:hAnsi="ITC Avant Garde"/>
                <w:bCs/>
                <w:color w:val="000000"/>
                <w:sz w:val="14"/>
                <w:szCs w:val="14"/>
                <w:lang w:eastAsia="es-MX"/>
              </w:rPr>
              <w:t>Televisión restringida</w:t>
            </w:r>
          </w:p>
        </w:tc>
        <w:tc>
          <w:tcPr>
            <w:tcW w:w="1490" w:type="dxa"/>
          </w:tcPr>
          <w:p w:rsidR="00104574" w:rsidRPr="00E6604B" w:rsidRDefault="00104574" w:rsidP="00D4717D">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27 de mayo de 2013</w:t>
            </w:r>
          </w:p>
        </w:tc>
        <w:tc>
          <w:tcPr>
            <w:tcW w:w="1010" w:type="dxa"/>
          </w:tcPr>
          <w:p w:rsidR="00104574" w:rsidRPr="00E6604B" w:rsidRDefault="00104574" w:rsidP="00D4717D">
            <w:pPr>
              <w:spacing w:after="0" w:line="240" w:lineRule="auto"/>
              <w:jc w:val="center"/>
              <w:rPr>
                <w:rFonts w:ascii="ITC Avant Garde" w:eastAsia="Times New Roman" w:hAnsi="ITC Avant Garde"/>
                <w:color w:val="000000"/>
                <w:sz w:val="14"/>
                <w:szCs w:val="14"/>
                <w:lang w:eastAsia="es-MX"/>
              </w:rPr>
            </w:pPr>
            <w:r>
              <w:rPr>
                <w:rFonts w:ascii="ITC Avant Garde" w:eastAsia="Times New Roman" w:hAnsi="ITC Avant Garde"/>
                <w:color w:val="000000"/>
                <w:sz w:val="14"/>
                <w:szCs w:val="14"/>
                <w:lang w:eastAsia="es-MX"/>
              </w:rPr>
              <w:t> 3</w:t>
            </w:r>
            <w:r w:rsidRPr="00E6604B">
              <w:rPr>
                <w:rFonts w:ascii="ITC Avant Garde" w:eastAsia="Times New Roman" w:hAnsi="ITC Avant Garde"/>
                <w:color w:val="000000"/>
                <w:sz w:val="14"/>
                <w:szCs w:val="14"/>
                <w:lang w:eastAsia="es-MX"/>
              </w:rPr>
              <w:t>0</w:t>
            </w:r>
          </w:p>
        </w:tc>
      </w:tr>
    </w:tbl>
    <w:p w:rsidR="00D4717D" w:rsidRDefault="00A61C2A" w:rsidP="00D4717D">
      <w:pPr>
        <w:autoSpaceDE w:val="0"/>
        <w:autoSpaceDN w:val="0"/>
        <w:adjustRightInd w:val="0"/>
        <w:spacing w:before="360" w:afterLines="120" w:after="288" w:line="240" w:lineRule="auto"/>
        <w:jc w:val="both"/>
        <w:rPr>
          <w:rFonts w:ascii="ITC Avant Garde" w:hAnsi="ITC Avant Garde"/>
          <w:bCs/>
        </w:rPr>
      </w:pPr>
      <w:r w:rsidRPr="00D946B6">
        <w:rPr>
          <w:rFonts w:ascii="ITC Avant Garde" w:hAnsi="ITC Avant Garde"/>
          <w:bCs/>
        </w:rPr>
        <w:lastRenderedPageBreak/>
        <w:t xml:space="preserve">En virtud de que los títulos de concesión antes señalados tienen como fin la comercialización de servicios de telecomunicaciones, al ser </w:t>
      </w:r>
      <w:r>
        <w:rPr>
          <w:rFonts w:ascii="ITC Avant Garde" w:hAnsi="ITC Avant Garde"/>
          <w:bCs/>
        </w:rPr>
        <w:t>é</w:t>
      </w:r>
      <w:r w:rsidRPr="00D946B6">
        <w:rPr>
          <w:rFonts w:ascii="ITC Avant Garde" w:hAnsi="ITC Avant Garde"/>
          <w:bCs/>
        </w:rPr>
        <w:t xml:space="preserve">stos </w:t>
      </w:r>
      <w:r>
        <w:rPr>
          <w:rFonts w:ascii="ITC Avant Garde" w:hAnsi="ITC Avant Garde"/>
          <w:bCs/>
        </w:rPr>
        <w:t xml:space="preserve">con </w:t>
      </w:r>
      <w:r w:rsidRPr="00D946B6">
        <w:rPr>
          <w:rFonts w:ascii="ITC Avant Garde" w:hAnsi="ITC Avant Garde"/>
          <w:bCs/>
        </w:rPr>
        <w:t>fines de lucro la concesión única</w:t>
      </w:r>
      <w:r w:rsidR="009127B4">
        <w:rPr>
          <w:rFonts w:ascii="ITC Avant Garde" w:hAnsi="ITC Avant Garde"/>
          <w:bCs/>
        </w:rPr>
        <w:t>, que</w:t>
      </w:r>
      <w:r w:rsidRPr="00D946B6">
        <w:rPr>
          <w:rFonts w:ascii="ITC Avant Garde" w:hAnsi="ITC Avant Garde"/>
          <w:bCs/>
        </w:rPr>
        <w:t xml:space="preserve"> en su caso se otorgue, debe ser para fines comerciales en términos de lo establecido en el artículo 76, fracción I de la Ley.</w:t>
      </w:r>
    </w:p>
    <w:p w:rsidR="00D4717D" w:rsidRDefault="007251E1"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Respecto al segundo requisito de procedencia, </w:t>
      </w:r>
      <w:proofErr w:type="spellStart"/>
      <w:r w:rsidR="00545BC7">
        <w:rPr>
          <w:rFonts w:ascii="ITC Avant Garde" w:hAnsi="ITC Avant Garde"/>
          <w:bCs/>
        </w:rPr>
        <w:t>Malcvission</w:t>
      </w:r>
      <w:proofErr w:type="spellEnd"/>
      <w:r w:rsidR="00CB7B79">
        <w:rPr>
          <w:rFonts w:ascii="ITC Avant Garde" w:hAnsi="ITC Avant Garde"/>
          <w:bCs/>
        </w:rPr>
        <w:t>, S.A. de C.V.</w:t>
      </w:r>
      <w:r w:rsidR="00A31773">
        <w:rPr>
          <w:rFonts w:ascii="ITC Avant Garde" w:hAnsi="ITC Avant Garde"/>
          <w:bCs/>
        </w:rPr>
        <w:t xml:space="preserve"> </w:t>
      </w:r>
      <w:r w:rsidR="00695B29">
        <w:rPr>
          <w:rFonts w:ascii="ITC Avant Garde" w:hAnsi="ITC Avant Garde"/>
          <w:bCs/>
          <w:color w:val="000000"/>
          <w:lang w:eastAsia="es-MX"/>
        </w:rPr>
        <w:t>presentó</w:t>
      </w:r>
      <w:r w:rsidR="00695B29">
        <w:rPr>
          <w:rFonts w:ascii="ITC Avant Garde" w:hAnsi="ITC Avant Garde"/>
          <w:bCs/>
        </w:rPr>
        <w:t xml:space="preserve"> el </w:t>
      </w:r>
      <w:r w:rsidR="002347B2">
        <w:rPr>
          <w:rFonts w:ascii="ITC Avant Garde" w:hAnsi="ITC Avant Garde"/>
          <w:bCs/>
        </w:rPr>
        <w:t>p</w:t>
      </w:r>
      <w:r w:rsidR="0015314E">
        <w:rPr>
          <w:rFonts w:ascii="ITC Avant Garde" w:hAnsi="ITC Avant Garde"/>
          <w:bCs/>
        </w:rPr>
        <w:t>ago de derechos con</w:t>
      </w:r>
      <w:r w:rsidR="002347B2">
        <w:rPr>
          <w:rFonts w:ascii="ITC Avant Garde" w:hAnsi="ITC Avant Garde"/>
          <w:bCs/>
        </w:rPr>
        <w:t xml:space="preserve"> número</w:t>
      </w:r>
      <w:r w:rsidR="0015314E">
        <w:rPr>
          <w:rFonts w:ascii="ITC Avant Garde" w:hAnsi="ITC Avant Garde"/>
          <w:bCs/>
        </w:rPr>
        <w:t xml:space="preserve"> de folio</w:t>
      </w:r>
      <w:r w:rsidR="002347B2">
        <w:rPr>
          <w:rFonts w:ascii="ITC Avant Garde" w:hAnsi="ITC Avant Garde"/>
          <w:bCs/>
        </w:rPr>
        <w:t xml:space="preserve"> </w:t>
      </w:r>
      <w:r w:rsidR="00545BC7">
        <w:rPr>
          <w:rFonts w:ascii="ITC Avant Garde" w:hAnsi="ITC Avant Garde"/>
          <w:bCs/>
        </w:rPr>
        <w:t>665160002160</w:t>
      </w:r>
      <w:r w:rsidR="0015314E">
        <w:rPr>
          <w:rFonts w:ascii="ITC Avant Garde" w:hAnsi="ITC Avant Garde"/>
          <w:bCs/>
        </w:rPr>
        <w:t>,</w:t>
      </w:r>
      <w:r w:rsidR="004650A2">
        <w:rPr>
          <w:rFonts w:ascii="ITC Avant Garde" w:hAnsi="ITC Avant Garde"/>
          <w:bCs/>
        </w:rPr>
        <w:t xml:space="preserve"> </w:t>
      </w:r>
      <w:r w:rsidR="002347B2">
        <w:rPr>
          <w:rFonts w:ascii="ITC Avant Garde" w:hAnsi="ITC Avant Garde"/>
          <w:bCs/>
        </w:rPr>
        <w:t xml:space="preserve">por el trámite relativo a la </w:t>
      </w:r>
      <w:r w:rsidR="00695B29">
        <w:rPr>
          <w:rFonts w:ascii="ITC Avant Garde" w:hAnsi="ITC Avant Garde"/>
          <w:bCs/>
        </w:rPr>
        <w:t>transición a concesión única o la consolidación de una o más concesiones para instalar, operar o explotar una red pública de telecomunicaciones, establecido en el artículo 174-C fracción XII de la Ley Federal de Derechos</w:t>
      </w:r>
      <w:r w:rsidR="0075104B">
        <w:rPr>
          <w:rFonts w:ascii="ITC Avant Garde" w:hAnsi="ITC Avant Garde"/>
          <w:bCs/>
        </w:rPr>
        <w:t xml:space="preserve"> vigente en 2016</w:t>
      </w:r>
      <w:r w:rsidR="00695B29">
        <w:rPr>
          <w:rFonts w:ascii="ITC Avant Garde" w:hAnsi="ITC Avant Garde"/>
          <w:bCs/>
        </w:rPr>
        <w:t>, y conforme a lo requerido en el penúltimo párrafo del artículo 24 de los Lineamientos.</w:t>
      </w:r>
    </w:p>
    <w:p w:rsidR="00D4717D" w:rsidRDefault="007251E1"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w:t>
      </w:r>
      <w:r w:rsidRPr="00111069">
        <w:rPr>
          <w:rFonts w:ascii="ITC Avant Garde" w:hAnsi="ITC Avant Garde"/>
          <w:bCs/>
        </w:rPr>
        <w:t>cumplimiento de la</w:t>
      </w:r>
      <w:r>
        <w:rPr>
          <w:rFonts w:ascii="ITC Avant Garde" w:hAnsi="ITC Avant Garde"/>
          <w:bCs/>
        </w:rPr>
        <w:t>s obligaciones establecidas en su título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Unidad de Concesiones y Servicios</w:t>
      </w:r>
      <w:r w:rsidR="007757BE">
        <w:rPr>
          <w:rFonts w:ascii="ITC Avant Garde" w:hAnsi="ITC Avant Garde"/>
          <w:bCs/>
          <w:color w:val="000000"/>
          <w:lang w:eastAsia="es-MX"/>
        </w:rPr>
        <w:t>,</w:t>
      </w:r>
      <w:r>
        <w:rPr>
          <w:rFonts w:ascii="ITC Avant Garde" w:hAnsi="ITC Avant Garde"/>
          <w:bCs/>
          <w:color w:val="000000"/>
          <w:lang w:eastAsia="es-MX"/>
        </w:rPr>
        <w:t xml:space="preserve">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mediante oficio</w:t>
      </w:r>
      <w:r w:rsidR="00923E33">
        <w:rPr>
          <w:rFonts w:ascii="ITC Avant Garde" w:hAnsi="ITC Avant Garde"/>
          <w:bCs/>
        </w:rPr>
        <w:t>s</w:t>
      </w:r>
      <w:r w:rsidRPr="00B52FBE">
        <w:rPr>
          <w:rFonts w:ascii="ITC Avant Garde" w:hAnsi="ITC Avant Garde"/>
          <w:bCs/>
        </w:rPr>
        <w:t xml:space="preserve"> </w:t>
      </w:r>
      <w:r w:rsidR="00923E33" w:rsidRPr="00945239">
        <w:rPr>
          <w:rFonts w:ascii="ITC Avant Garde" w:hAnsi="ITC Avant Garde" w:cs="Arial"/>
          <w:bCs/>
          <w:color w:val="000000"/>
          <w:shd w:val="clear" w:color="auto" w:fill="FFFFFF"/>
        </w:rPr>
        <w:t>IFT/</w:t>
      </w:r>
      <w:r w:rsidR="00923E33">
        <w:rPr>
          <w:rFonts w:ascii="ITC Avant Garde" w:hAnsi="ITC Avant Garde" w:cs="Arial"/>
          <w:bCs/>
          <w:color w:val="000000"/>
          <w:shd w:val="clear" w:color="auto" w:fill="FFFFFF"/>
        </w:rPr>
        <w:t>223</w:t>
      </w:r>
      <w:r w:rsidR="00923E33" w:rsidRPr="00945239">
        <w:rPr>
          <w:rFonts w:ascii="ITC Avant Garde" w:hAnsi="ITC Avant Garde" w:cs="Arial"/>
          <w:bCs/>
          <w:color w:val="000000"/>
          <w:shd w:val="clear" w:color="auto" w:fill="FFFFFF"/>
        </w:rPr>
        <w:t>/UCS/DG-CTEL/</w:t>
      </w:r>
      <w:r w:rsidR="00923E33">
        <w:rPr>
          <w:rFonts w:ascii="ITC Avant Garde" w:hAnsi="ITC Avant Garde" w:cs="Arial"/>
          <w:bCs/>
          <w:color w:val="000000"/>
          <w:shd w:val="clear" w:color="auto" w:fill="FFFFFF"/>
        </w:rPr>
        <w:t>0016/2017</w:t>
      </w:r>
      <w:r w:rsidR="00923E33" w:rsidRPr="00945239">
        <w:rPr>
          <w:rFonts w:ascii="ITC Avant Garde" w:hAnsi="ITC Avant Garde" w:cs="Arial"/>
          <w:bCs/>
          <w:color w:val="000000"/>
          <w:shd w:val="clear" w:color="auto" w:fill="FFFFFF"/>
        </w:rPr>
        <w:t xml:space="preserve"> </w:t>
      </w:r>
      <w:r w:rsidR="00923E33">
        <w:rPr>
          <w:rFonts w:ascii="ITC Avant Garde" w:hAnsi="ITC Avant Garde" w:cs="Arial"/>
          <w:bCs/>
          <w:color w:val="000000"/>
          <w:shd w:val="clear" w:color="auto" w:fill="FFFFFF"/>
        </w:rPr>
        <w:t xml:space="preserve">e </w:t>
      </w:r>
      <w:r w:rsidR="00923E33" w:rsidRPr="00945239">
        <w:rPr>
          <w:rFonts w:ascii="ITC Avant Garde" w:hAnsi="ITC Avant Garde" w:cs="Arial"/>
          <w:bCs/>
          <w:color w:val="000000"/>
          <w:shd w:val="clear" w:color="auto" w:fill="FFFFFF"/>
        </w:rPr>
        <w:t>IFT/</w:t>
      </w:r>
      <w:r w:rsidR="00923E33">
        <w:rPr>
          <w:rFonts w:ascii="ITC Avant Garde" w:hAnsi="ITC Avant Garde" w:cs="Arial"/>
          <w:bCs/>
          <w:color w:val="000000"/>
          <w:shd w:val="clear" w:color="auto" w:fill="FFFFFF"/>
        </w:rPr>
        <w:t>223</w:t>
      </w:r>
      <w:r w:rsidR="00923E33" w:rsidRPr="00945239">
        <w:rPr>
          <w:rFonts w:ascii="ITC Avant Garde" w:hAnsi="ITC Avant Garde" w:cs="Arial"/>
          <w:bCs/>
          <w:color w:val="000000"/>
          <w:shd w:val="clear" w:color="auto" w:fill="FFFFFF"/>
        </w:rPr>
        <w:t>/UCS/DG-CTEL/</w:t>
      </w:r>
      <w:r w:rsidR="00923E33">
        <w:rPr>
          <w:rFonts w:ascii="ITC Avant Garde" w:hAnsi="ITC Avant Garde" w:cs="Arial"/>
          <w:bCs/>
          <w:color w:val="000000"/>
          <w:shd w:val="clear" w:color="auto" w:fill="FFFFFF"/>
        </w:rPr>
        <w:t>1450/2017</w:t>
      </w:r>
      <w:r w:rsidR="00923E33" w:rsidRPr="00945239">
        <w:rPr>
          <w:rFonts w:ascii="ITC Avant Garde" w:hAnsi="ITC Avant Garde" w:cs="Arial"/>
          <w:bCs/>
          <w:color w:val="000000"/>
          <w:shd w:val="clear" w:color="auto" w:fill="FFFFFF"/>
        </w:rPr>
        <w:t xml:space="preserve"> de fecha</w:t>
      </w:r>
      <w:r w:rsidR="00923E33">
        <w:rPr>
          <w:rFonts w:ascii="ITC Avant Garde" w:hAnsi="ITC Avant Garde" w:cs="Arial"/>
          <w:bCs/>
          <w:color w:val="000000"/>
          <w:shd w:val="clear" w:color="auto" w:fill="FFFFFF"/>
        </w:rPr>
        <w:t>s</w:t>
      </w:r>
      <w:r w:rsidR="00923E33" w:rsidRPr="00945239">
        <w:rPr>
          <w:rFonts w:ascii="ITC Avant Garde" w:hAnsi="ITC Avant Garde" w:cs="Arial"/>
          <w:bCs/>
          <w:color w:val="000000"/>
          <w:shd w:val="clear" w:color="auto" w:fill="FFFFFF"/>
        </w:rPr>
        <w:t xml:space="preserve"> </w:t>
      </w:r>
      <w:r w:rsidR="00923E33">
        <w:rPr>
          <w:rFonts w:ascii="ITC Avant Garde" w:hAnsi="ITC Avant Garde" w:cs="Arial"/>
          <w:bCs/>
          <w:color w:val="000000"/>
          <w:shd w:val="clear" w:color="auto" w:fill="FFFFFF"/>
        </w:rPr>
        <w:t>6 de enero y 3 de julio</w:t>
      </w:r>
      <w:r w:rsidR="00923E33" w:rsidRPr="00945239">
        <w:rPr>
          <w:rFonts w:ascii="ITC Avant Garde" w:hAnsi="ITC Avant Garde" w:cs="Arial"/>
          <w:bCs/>
          <w:color w:val="000000"/>
          <w:shd w:val="clear" w:color="auto" w:fill="FFFFFF"/>
        </w:rPr>
        <w:t xml:space="preserve"> de 201</w:t>
      </w:r>
      <w:r w:rsidR="00923E33">
        <w:rPr>
          <w:rFonts w:ascii="ITC Avant Garde" w:hAnsi="ITC Avant Garde" w:cs="Arial"/>
          <w:bCs/>
          <w:color w:val="000000"/>
          <w:shd w:val="clear" w:color="auto" w:fill="FFFFFF"/>
        </w:rPr>
        <w:t>7, respectivamente</w:t>
      </w:r>
      <w:r w:rsidR="00E17FE8">
        <w:rPr>
          <w:rFonts w:ascii="ITC Avant Garde" w:hAnsi="ITC Avant Garde"/>
          <w:bCs/>
        </w:rPr>
        <w:t>,</w:t>
      </w:r>
      <w:r w:rsidRPr="00B52FBE">
        <w:rPr>
          <w:rFonts w:ascii="ITC Avant Garde" w:hAnsi="ITC Avant Garde"/>
          <w:bCs/>
        </w:rPr>
        <w:t xml:space="preserve"> solicitó </w:t>
      </w:r>
      <w:r w:rsidR="00F16116">
        <w:rPr>
          <w:rFonts w:ascii="ITC Avant Garde" w:hAnsi="ITC Avant Garde"/>
          <w:bCs/>
        </w:rPr>
        <w:t>a la Unidad de Cumplimiento que informara si dich</w:t>
      </w:r>
      <w:r w:rsidR="00CE4DD8">
        <w:rPr>
          <w:rFonts w:ascii="ITC Avant Garde" w:hAnsi="ITC Avant Garde"/>
          <w:bCs/>
        </w:rPr>
        <w:t>a</w:t>
      </w:r>
      <w:r w:rsidR="00F16116">
        <w:rPr>
          <w:rFonts w:ascii="ITC Avant Garde" w:hAnsi="ITC Avant Garde"/>
          <w:bCs/>
        </w:rPr>
        <w:t xml:space="preserve"> concesionari</w:t>
      </w:r>
      <w:r w:rsidR="00CE4DD8">
        <w:rPr>
          <w:rFonts w:ascii="ITC Avant Garde" w:hAnsi="ITC Avant Garde"/>
          <w:bCs/>
        </w:rPr>
        <w:t>a</w:t>
      </w:r>
      <w:r w:rsidR="00F16116">
        <w:rPr>
          <w:rFonts w:ascii="ITC Avant Garde" w:hAnsi="ITC Avant Garde"/>
          <w:bCs/>
        </w:rPr>
        <w:t xml:space="preserve"> se encontraba al corriente en el cumplimiento de las obligaciones estipuladas en su</w:t>
      </w:r>
      <w:r w:rsidR="003241B8">
        <w:rPr>
          <w:rFonts w:ascii="ITC Avant Garde" w:hAnsi="ITC Avant Garde"/>
          <w:bCs/>
        </w:rPr>
        <w:t>s</w:t>
      </w:r>
      <w:r w:rsidR="00F16116">
        <w:rPr>
          <w:rFonts w:ascii="ITC Avant Garde" w:hAnsi="ITC Avant Garde"/>
          <w:bCs/>
        </w:rPr>
        <w:t xml:space="preserve"> título</w:t>
      </w:r>
      <w:r w:rsidR="003241B8">
        <w:rPr>
          <w:rFonts w:ascii="ITC Avant Garde" w:hAnsi="ITC Avant Garde"/>
          <w:bCs/>
        </w:rPr>
        <w:t>s</w:t>
      </w:r>
      <w:r w:rsidR="00F16116">
        <w:rPr>
          <w:rFonts w:ascii="ITC Avant Garde" w:hAnsi="ITC Avant Garde"/>
          <w:bCs/>
        </w:rPr>
        <w:t xml:space="preserve"> de concesión y demás obligaciones derivadas de la legislación aplicable.</w:t>
      </w:r>
    </w:p>
    <w:p w:rsidR="00D4717D" w:rsidRDefault="007251E1" w:rsidP="00D4717D">
      <w:pPr>
        <w:autoSpaceDE w:val="0"/>
        <w:autoSpaceDN w:val="0"/>
        <w:adjustRightInd w:val="0"/>
        <w:spacing w:afterLines="120" w:after="288" w:line="240" w:lineRule="auto"/>
        <w:jc w:val="both"/>
        <w:rPr>
          <w:rFonts w:ascii="ITC Avant Garde" w:hAnsi="ITC Avant Garde"/>
          <w:bCs/>
        </w:rPr>
      </w:pPr>
      <w:r w:rsidRPr="00956265">
        <w:rPr>
          <w:rFonts w:ascii="ITC Avant Garde" w:hAnsi="ITC Avant Garde"/>
          <w:bCs/>
        </w:rPr>
        <w:t xml:space="preserve">En respuesta a dicha petición, </w:t>
      </w:r>
      <w:r>
        <w:rPr>
          <w:rFonts w:ascii="ITC Avant Garde" w:hAnsi="ITC Avant Garde"/>
          <w:bCs/>
          <w:color w:val="000000"/>
          <w:lang w:eastAsia="es-MX"/>
        </w:rPr>
        <w:t xml:space="preserve">la Dirección General de Supervisión adscrita a </w:t>
      </w:r>
      <w:r w:rsidRPr="00956265">
        <w:rPr>
          <w:rFonts w:ascii="ITC Avant Garde" w:hAnsi="ITC Avant Garde"/>
          <w:bCs/>
        </w:rPr>
        <w:t>la Unidad de Cumplimiento, a través del oficio IFT/225/UC/DG-SUV/</w:t>
      </w:r>
      <w:r w:rsidR="00B357D6">
        <w:rPr>
          <w:rFonts w:ascii="ITC Avant Garde" w:hAnsi="ITC Avant Garde"/>
          <w:bCs/>
        </w:rPr>
        <w:t>04013</w:t>
      </w:r>
      <w:r w:rsidR="00396428">
        <w:rPr>
          <w:rFonts w:ascii="ITC Avant Garde" w:hAnsi="ITC Avant Garde"/>
          <w:bCs/>
        </w:rPr>
        <w:t>/2017</w:t>
      </w:r>
      <w:r w:rsidRPr="00956265">
        <w:rPr>
          <w:rFonts w:ascii="ITC Avant Garde" w:hAnsi="ITC Avant Garde"/>
          <w:bCs/>
        </w:rPr>
        <w:t xml:space="preserve"> </w:t>
      </w:r>
      <w:r>
        <w:rPr>
          <w:rFonts w:ascii="ITC Avant Garde" w:hAnsi="ITC Avant Garde"/>
          <w:bCs/>
        </w:rPr>
        <w:t xml:space="preserve">de fecha </w:t>
      </w:r>
      <w:r w:rsidR="00B357D6">
        <w:rPr>
          <w:rFonts w:ascii="ITC Avant Garde" w:hAnsi="ITC Avant Garde"/>
          <w:bCs/>
        </w:rPr>
        <w:t>13 de diciembre</w:t>
      </w:r>
      <w:r w:rsidRPr="00956265">
        <w:rPr>
          <w:rFonts w:ascii="ITC Avant Garde" w:hAnsi="ITC Avant Garde"/>
          <w:bCs/>
        </w:rPr>
        <w:t xml:space="preserve"> de</w:t>
      </w:r>
      <w:r>
        <w:rPr>
          <w:rFonts w:ascii="ITC Avant Garde" w:hAnsi="ITC Avant Garde"/>
          <w:bCs/>
        </w:rPr>
        <w:t xml:space="preserve"> 201</w:t>
      </w:r>
      <w:r w:rsidR="00BC6634">
        <w:rPr>
          <w:rFonts w:ascii="ITC Avant Garde" w:hAnsi="ITC Avant Garde"/>
          <w:bCs/>
        </w:rPr>
        <w:t>7</w:t>
      </w:r>
      <w:r>
        <w:rPr>
          <w:rFonts w:ascii="ITC Avant Garde" w:hAnsi="ITC Avant Garde"/>
          <w:bCs/>
        </w:rPr>
        <w:t>, señaló</w:t>
      </w:r>
      <w:r w:rsidRPr="00956265">
        <w:rPr>
          <w:rFonts w:ascii="ITC Avant Garde" w:hAnsi="ITC Avant Garde"/>
          <w:bCs/>
        </w:rPr>
        <w:t xml:space="preserve"> en</w:t>
      </w:r>
      <w:r w:rsidR="00B46EB2">
        <w:rPr>
          <w:rFonts w:ascii="ITC Avant Garde" w:hAnsi="ITC Avant Garde"/>
          <w:bCs/>
        </w:rPr>
        <w:t>tre otros aspectos</w:t>
      </w:r>
      <w:r w:rsidR="007C0C43">
        <w:rPr>
          <w:rFonts w:ascii="ITC Avant Garde" w:hAnsi="ITC Avant Garde"/>
          <w:bCs/>
        </w:rPr>
        <w:t xml:space="preserve"> que: </w:t>
      </w:r>
    </w:p>
    <w:p w:rsidR="00D4717D" w:rsidRDefault="007C0C43" w:rsidP="00D4717D">
      <w:pPr>
        <w:spacing w:afterLines="120" w:after="288" w:line="240" w:lineRule="auto"/>
        <w:ind w:left="1429" w:right="618"/>
        <w:jc w:val="both"/>
        <w:rPr>
          <w:rFonts w:ascii="ITC Avant Garde" w:hAnsi="ITC Avant Garde"/>
          <w:i/>
          <w:iCs/>
          <w:color w:val="000000"/>
          <w:sz w:val="18"/>
          <w:szCs w:val="18"/>
          <w:lang w:eastAsia="es-MX"/>
        </w:rPr>
      </w:pPr>
      <w:r w:rsidRPr="006F3A1E">
        <w:rPr>
          <w:rFonts w:ascii="ITC Avant Garde" w:hAnsi="ITC Avant Garde"/>
          <w:i/>
          <w:iCs/>
          <w:color w:val="000000"/>
          <w:sz w:val="18"/>
          <w:szCs w:val="18"/>
          <w:lang w:eastAsia="es-MX"/>
        </w:rPr>
        <w:t>“</w:t>
      </w:r>
      <w:r w:rsidR="007757BE" w:rsidRPr="006F3A1E">
        <w:rPr>
          <w:rFonts w:ascii="ITC Avant Garde" w:hAnsi="ITC Avant Garde"/>
          <w:i/>
          <w:iCs/>
          <w:color w:val="000000"/>
          <w:sz w:val="18"/>
          <w:szCs w:val="18"/>
          <w:lang w:eastAsia="es-MX"/>
        </w:rPr>
        <w:t>[…]</w:t>
      </w:r>
    </w:p>
    <w:p w:rsidR="00D4717D" w:rsidRDefault="00EC3DFB" w:rsidP="00D4717D">
      <w:pPr>
        <w:spacing w:afterLines="120" w:after="288" w:line="240" w:lineRule="auto"/>
        <w:ind w:left="1701" w:right="618" w:firstLine="272"/>
        <w:jc w:val="both"/>
        <w:rPr>
          <w:rFonts w:ascii="ITC Avant Garde" w:hAnsi="ITC Avant Garde"/>
          <w:i/>
          <w:iCs/>
          <w:color w:val="000000"/>
          <w:sz w:val="18"/>
          <w:szCs w:val="18"/>
          <w:lang w:eastAsia="es-MX"/>
        </w:rPr>
      </w:pPr>
      <w:r>
        <w:rPr>
          <w:rFonts w:ascii="ITC Avant Garde" w:hAnsi="ITC Avant Garde"/>
          <w:b/>
          <w:i/>
          <w:iCs/>
          <w:color w:val="000000"/>
          <w:sz w:val="18"/>
          <w:szCs w:val="18"/>
          <w:lang w:eastAsia="es-MX"/>
        </w:rPr>
        <w:t>4.</w:t>
      </w:r>
      <w:r w:rsidR="00BD59BD" w:rsidRPr="006F3A1E">
        <w:rPr>
          <w:rFonts w:ascii="ITC Avant Garde" w:hAnsi="ITC Avant Garde"/>
          <w:b/>
          <w:i/>
          <w:iCs/>
          <w:color w:val="000000"/>
          <w:sz w:val="18"/>
          <w:szCs w:val="18"/>
          <w:lang w:eastAsia="es-MX"/>
        </w:rPr>
        <w:t xml:space="preserve"> Dictamen</w:t>
      </w:r>
    </w:p>
    <w:p w:rsidR="00D4717D" w:rsidRDefault="00BD59BD" w:rsidP="00D4717D">
      <w:pPr>
        <w:pStyle w:val="Prrafodelista"/>
        <w:spacing w:afterLines="120" w:after="288"/>
        <w:ind w:left="1701"/>
        <w:jc w:val="both"/>
        <w:rPr>
          <w:rFonts w:ascii="ITC Avant Garde" w:hAnsi="ITC Avant Garde"/>
        </w:rPr>
      </w:pPr>
      <w:r w:rsidRPr="006F3A1E">
        <w:rPr>
          <w:rFonts w:ascii="ITC Avant Garde" w:hAnsi="ITC Avant Garde"/>
          <w:i/>
          <w:iCs/>
          <w:color w:val="000000"/>
          <w:sz w:val="18"/>
          <w:szCs w:val="18"/>
          <w:lang w:eastAsia="es-MX"/>
        </w:rPr>
        <w:t xml:space="preserve">De la supervisión </w:t>
      </w:r>
      <w:r w:rsidR="00A44332" w:rsidRPr="006F3A1E">
        <w:rPr>
          <w:rFonts w:ascii="ITC Avant Garde" w:hAnsi="ITC Avant Garde"/>
          <w:i/>
          <w:iCs/>
          <w:color w:val="000000"/>
          <w:sz w:val="18"/>
          <w:szCs w:val="18"/>
          <w:lang w:eastAsia="es-MX"/>
        </w:rPr>
        <w:t>a</w:t>
      </w:r>
      <w:r w:rsidRPr="006F3A1E">
        <w:rPr>
          <w:rFonts w:ascii="ITC Avant Garde" w:hAnsi="ITC Avant Garde"/>
          <w:i/>
          <w:iCs/>
          <w:color w:val="000000"/>
          <w:sz w:val="18"/>
          <w:szCs w:val="18"/>
          <w:lang w:eastAsia="es-MX"/>
        </w:rPr>
        <w:t xml:space="preserve"> las constancias que integran </w:t>
      </w:r>
      <w:r w:rsidR="00B357D6">
        <w:rPr>
          <w:rFonts w:ascii="ITC Avant Garde" w:hAnsi="ITC Avant Garde"/>
          <w:i/>
          <w:iCs/>
          <w:color w:val="000000"/>
          <w:sz w:val="18"/>
          <w:szCs w:val="18"/>
          <w:lang w:eastAsia="es-MX"/>
        </w:rPr>
        <w:t>los</w:t>
      </w:r>
      <w:r w:rsidRPr="006F3A1E">
        <w:rPr>
          <w:rFonts w:ascii="ITC Avant Garde" w:hAnsi="ITC Avant Garde"/>
          <w:i/>
          <w:iCs/>
          <w:color w:val="000000"/>
          <w:sz w:val="18"/>
          <w:szCs w:val="18"/>
          <w:lang w:eastAsia="es-MX"/>
        </w:rPr>
        <w:t xml:space="preserve"> expediente</w:t>
      </w:r>
      <w:r w:rsidR="00B357D6">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abierto</w:t>
      </w:r>
      <w:r w:rsidR="00B357D6">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w:t>
      </w:r>
      <w:r w:rsidR="00BA475C" w:rsidRPr="006F3A1E">
        <w:rPr>
          <w:rFonts w:ascii="ITC Avant Garde" w:hAnsi="ITC Avant Garde"/>
          <w:i/>
          <w:iCs/>
          <w:color w:val="000000"/>
          <w:sz w:val="18"/>
          <w:szCs w:val="18"/>
          <w:lang w:eastAsia="es-MX"/>
        </w:rPr>
        <w:t xml:space="preserve">a nombre </w:t>
      </w:r>
      <w:r w:rsidR="00EC094E" w:rsidRPr="006F3A1E">
        <w:rPr>
          <w:rFonts w:ascii="ITC Avant Garde" w:hAnsi="ITC Avant Garde"/>
          <w:i/>
          <w:iCs/>
          <w:color w:val="000000"/>
          <w:sz w:val="18"/>
          <w:szCs w:val="18"/>
          <w:lang w:eastAsia="es-MX"/>
        </w:rPr>
        <w:t>de</w:t>
      </w:r>
      <w:r w:rsidR="00CA1963">
        <w:rPr>
          <w:rFonts w:ascii="ITC Avant Garde" w:hAnsi="ITC Avant Garde"/>
          <w:i/>
          <w:iCs/>
          <w:color w:val="000000"/>
          <w:sz w:val="18"/>
          <w:szCs w:val="18"/>
          <w:lang w:eastAsia="es-MX"/>
        </w:rPr>
        <w:t xml:space="preserve"> </w:t>
      </w:r>
      <w:r w:rsidR="001F6E73">
        <w:rPr>
          <w:rFonts w:ascii="ITC Avant Garde" w:hAnsi="ITC Avant Garde"/>
          <w:i/>
          <w:iCs/>
          <w:color w:val="000000"/>
          <w:sz w:val="18"/>
          <w:szCs w:val="18"/>
          <w:lang w:eastAsia="es-MX"/>
        </w:rPr>
        <w:t xml:space="preserve">MALCVISSION, </w:t>
      </w:r>
      <w:r w:rsidR="00EC094E" w:rsidRPr="006F3A1E">
        <w:rPr>
          <w:rFonts w:ascii="ITC Avant Garde" w:hAnsi="ITC Avant Garde"/>
          <w:i/>
          <w:iCs/>
          <w:color w:val="000000"/>
          <w:sz w:val="18"/>
          <w:szCs w:val="18"/>
          <w:lang w:eastAsia="es-MX"/>
        </w:rPr>
        <w:t xml:space="preserve">así como de la información proporcionada por la </w:t>
      </w:r>
      <w:r w:rsidR="0055343D">
        <w:rPr>
          <w:rFonts w:ascii="ITC Avant Garde" w:hAnsi="ITC Avant Garde"/>
          <w:i/>
          <w:iCs/>
          <w:color w:val="000000"/>
          <w:sz w:val="18"/>
          <w:szCs w:val="18"/>
          <w:lang w:eastAsia="es-MX"/>
        </w:rPr>
        <w:t>DG-VER y la DG-SAN</w:t>
      </w:r>
      <w:r w:rsidR="00EC094E" w:rsidRPr="006F3A1E">
        <w:rPr>
          <w:rFonts w:ascii="ITC Avant Garde" w:hAnsi="ITC Avant Garde"/>
          <w:i/>
          <w:iCs/>
          <w:color w:val="000000"/>
          <w:sz w:val="18"/>
          <w:szCs w:val="18"/>
          <w:lang w:eastAsia="es-MX"/>
        </w:rPr>
        <w:t>, se concluye lo siguiente:</w:t>
      </w:r>
    </w:p>
    <w:p w:rsidR="00D4717D" w:rsidRDefault="00EC094E" w:rsidP="00D4717D">
      <w:pPr>
        <w:pStyle w:val="Prrafodelista"/>
        <w:spacing w:afterLines="120" w:after="288"/>
        <w:ind w:left="1701"/>
        <w:jc w:val="both"/>
        <w:rPr>
          <w:rFonts w:ascii="ITC Avant Garde" w:hAnsi="ITC Avant Garde"/>
          <w:i/>
          <w:iCs/>
          <w:color w:val="000000"/>
          <w:sz w:val="18"/>
          <w:szCs w:val="18"/>
          <w:lang w:eastAsia="es-MX"/>
        </w:rPr>
      </w:pPr>
      <w:r w:rsidRPr="006F3A1E">
        <w:rPr>
          <w:rFonts w:ascii="ITC Avant Garde" w:hAnsi="ITC Avant Garde"/>
          <w:i/>
          <w:iCs/>
          <w:color w:val="000000"/>
          <w:sz w:val="18"/>
          <w:szCs w:val="18"/>
          <w:lang w:eastAsia="es-MX"/>
        </w:rPr>
        <w:t>De</w:t>
      </w:r>
      <w:r w:rsidR="00CE4DD8">
        <w:rPr>
          <w:rFonts w:ascii="ITC Avant Garde" w:hAnsi="ITC Avant Garde"/>
          <w:i/>
          <w:iCs/>
          <w:color w:val="000000"/>
          <w:sz w:val="18"/>
          <w:szCs w:val="18"/>
          <w:lang w:eastAsia="es-MX"/>
        </w:rPr>
        <w:t>l análisis de</w:t>
      </w:r>
      <w:r w:rsidR="001F6E73">
        <w:rPr>
          <w:rFonts w:ascii="ITC Avant Garde" w:hAnsi="ITC Avant Garde"/>
          <w:i/>
          <w:iCs/>
          <w:color w:val="000000"/>
          <w:sz w:val="18"/>
          <w:szCs w:val="18"/>
          <w:lang w:eastAsia="es-MX"/>
        </w:rPr>
        <w:t xml:space="preserve"> </w:t>
      </w:r>
      <w:r w:rsidR="00CE4DD8">
        <w:rPr>
          <w:rFonts w:ascii="ITC Avant Garde" w:hAnsi="ITC Avant Garde"/>
          <w:i/>
          <w:iCs/>
          <w:color w:val="000000"/>
          <w:sz w:val="18"/>
          <w:szCs w:val="18"/>
          <w:lang w:eastAsia="es-MX"/>
        </w:rPr>
        <w:t>l</w:t>
      </w:r>
      <w:r w:rsidR="001F6E73">
        <w:rPr>
          <w:rFonts w:ascii="ITC Avant Garde" w:hAnsi="ITC Avant Garde"/>
          <w:i/>
          <w:iCs/>
          <w:color w:val="000000"/>
          <w:sz w:val="18"/>
          <w:szCs w:val="18"/>
          <w:lang w:eastAsia="es-MX"/>
        </w:rPr>
        <w:t>os</w:t>
      </w:r>
      <w:r w:rsidR="00CE4DD8">
        <w:rPr>
          <w:rFonts w:ascii="ITC Avant Garde" w:hAnsi="ITC Avant Garde"/>
          <w:i/>
          <w:iCs/>
          <w:color w:val="000000"/>
          <w:sz w:val="18"/>
          <w:szCs w:val="18"/>
          <w:lang w:eastAsia="es-MX"/>
        </w:rPr>
        <w:t xml:space="preserve"> título</w:t>
      </w:r>
      <w:r w:rsidR="001F6E73">
        <w:rPr>
          <w:rFonts w:ascii="ITC Avant Garde" w:hAnsi="ITC Avant Garde"/>
          <w:i/>
          <w:iCs/>
          <w:color w:val="000000"/>
          <w:sz w:val="18"/>
          <w:szCs w:val="18"/>
          <w:lang w:eastAsia="es-MX"/>
        </w:rPr>
        <w:t>s</w:t>
      </w:r>
      <w:r w:rsidR="00CE4DD8">
        <w:rPr>
          <w:rFonts w:ascii="ITC Avant Garde" w:hAnsi="ITC Avant Garde"/>
          <w:i/>
          <w:iCs/>
          <w:color w:val="000000"/>
          <w:sz w:val="18"/>
          <w:szCs w:val="18"/>
          <w:lang w:eastAsia="es-MX"/>
        </w:rPr>
        <w:t xml:space="preserve"> de concesión asociado</w:t>
      </w:r>
      <w:r w:rsidR="001F6E73">
        <w:rPr>
          <w:rFonts w:ascii="ITC Avant Garde" w:hAnsi="ITC Avant Garde"/>
          <w:i/>
          <w:iCs/>
          <w:color w:val="000000"/>
          <w:sz w:val="18"/>
          <w:szCs w:val="18"/>
          <w:lang w:eastAsia="es-MX"/>
        </w:rPr>
        <w:t>s</w:t>
      </w:r>
      <w:r w:rsidR="00CE4DD8">
        <w:rPr>
          <w:rFonts w:ascii="ITC Avant Garde" w:hAnsi="ITC Avant Garde"/>
          <w:i/>
          <w:iCs/>
          <w:color w:val="000000"/>
          <w:sz w:val="18"/>
          <w:szCs w:val="18"/>
          <w:lang w:eastAsia="es-MX"/>
        </w:rPr>
        <w:t xml:space="preserve"> a</w:t>
      </w:r>
      <w:r w:rsidR="001F6E73">
        <w:rPr>
          <w:rFonts w:ascii="ITC Avant Garde" w:hAnsi="ITC Avant Garde"/>
          <w:i/>
          <w:iCs/>
          <w:color w:val="000000"/>
          <w:sz w:val="18"/>
          <w:szCs w:val="18"/>
          <w:lang w:eastAsia="es-MX"/>
        </w:rPr>
        <w:t xml:space="preserve"> </w:t>
      </w:r>
      <w:r w:rsidRPr="006F3A1E">
        <w:rPr>
          <w:rFonts w:ascii="ITC Avant Garde" w:hAnsi="ITC Avant Garde"/>
          <w:i/>
          <w:iCs/>
          <w:color w:val="000000"/>
          <w:sz w:val="18"/>
          <w:szCs w:val="18"/>
          <w:lang w:eastAsia="es-MX"/>
        </w:rPr>
        <w:t>l</w:t>
      </w:r>
      <w:r w:rsidR="001F6E73">
        <w:rPr>
          <w:rFonts w:ascii="ITC Avant Garde" w:hAnsi="ITC Avant Garde"/>
          <w:i/>
          <w:iCs/>
          <w:color w:val="000000"/>
          <w:sz w:val="18"/>
          <w:szCs w:val="18"/>
          <w:lang w:eastAsia="es-MX"/>
        </w:rPr>
        <w:t>os</w:t>
      </w:r>
      <w:r w:rsidRPr="006F3A1E">
        <w:rPr>
          <w:rFonts w:ascii="ITC Avant Garde" w:hAnsi="ITC Avant Garde"/>
          <w:i/>
          <w:iCs/>
          <w:color w:val="000000"/>
          <w:sz w:val="18"/>
          <w:szCs w:val="18"/>
          <w:lang w:eastAsia="es-MX"/>
        </w:rPr>
        <w:t xml:space="preserve"> expediente</w:t>
      </w:r>
      <w:r w:rsidR="001F6E73">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w:t>
      </w:r>
      <w:r w:rsidRPr="006C4158">
        <w:rPr>
          <w:rFonts w:ascii="ITC Avant Garde" w:hAnsi="ITC Avant Garde"/>
          <w:i/>
          <w:iCs/>
          <w:color w:val="000000"/>
          <w:sz w:val="18"/>
          <w:szCs w:val="18"/>
          <w:lang w:eastAsia="es-MX"/>
        </w:rPr>
        <w:t>0</w:t>
      </w:r>
      <w:r w:rsidR="002A1C9A" w:rsidRPr="006C4158">
        <w:rPr>
          <w:rFonts w:ascii="ITC Avant Garde" w:hAnsi="ITC Avant Garde"/>
          <w:i/>
          <w:iCs/>
          <w:color w:val="000000"/>
          <w:sz w:val="18"/>
          <w:szCs w:val="18"/>
          <w:lang w:eastAsia="es-MX"/>
        </w:rPr>
        <w:t>2/</w:t>
      </w:r>
      <w:r w:rsidR="003241B8">
        <w:rPr>
          <w:rFonts w:ascii="ITC Avant Garde" w:hAnsi="ITC Avant Garde"/>
          <w:i/>
          <w:iCs/>
          <w:color w:val="000000"/>
          <w:sz w:val="18"/>
          <w:szCs w:val="18"/>
          <w:lang w:eastAsia="es-MX"/>
        </w:rPr>
        <w:t>1737,</w:t>
      </w:r>
      <w:r w:rsidR="001F6E73">
        <w:rPr>
          <w:rFonts w:ascii="ITC Avant Garde" w:hAnsi="ITC Avant Garde"/>
          <w:i/>
          <w:iCs/>
          <w:color w:val="000000"/>
          <w:sz w:val="18"/>
          <w:szCs w:val="18"/>
          <w:lang w:eastAsia="es-MX"/>
        </w:rPr>
        <w:t xml:space="preserve"> 02/1738 y 02/1746</w:t>
      </w:r>
      <w:r w:rsidR="00CE4DD8">
        <w:rPr>
          <w:rFonts w:ascii="ITC Avant Garde" w:hAnsi="ITC Avant Garde"/>
          <w:i/>
          <w:iCs/>
          <w:color w:val="000000"/>
          <w:sz w:val="18"/>
          <w:szCs w:val="18"/>
          <w:lang w:eastAsia="es-MX"/>
        </w:rPr>
        <w:t>,</w:t>
      </w:r>
      <w:r w:rsidRPr="006F3A1E">
        <w:rPr>
          <w:rFonts w:ascii="ITC Avant Garde" w:hAnsi="ITC Avant Garde"/>
          <w:i/>
          <w:iCs/>
          <w:color w:val="000000"/>
          <w:sz w:val="18"/>
          <w:szCs w:val="18"/>
          <w:lang w:eastAsia="es-MX"/>
        </w:rPr>
        <w:t xml:space="preserve"> integrado</w:t>
      </w:r>
      <w:r w:rsidR="001F6E73">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por la DG</w:t>
      </w:r>
      <w:r w:rsidR="0055343D">
        <w:rPr>
          <w:rFonts w:ascii="ITC Avant Garde" w:hAnsi="ITC Avant Garde"/>
          <w:i/>
          <w:iCs/>
          <w:color w:val="000000"/>
          <w:sz w:val="18"/>
          <w:szCs w:val="18"/>
          <w:lang w:eastAsia="es-MX"/>
        </w:rPr>
        <w:t>-</w:t>
      </w:r>
      <w:r w:rsidRPr="006F3A1E">
        <w:rPr>
          <w:rFonts w:ascii="ITC Avant Garde" w:hAnsi="ITC Avant Garde"/>
          <w:i/>
          <w:iCs/>
          <w:color w:val="000000"/>
          <w:sz w:val="18"/>
          <w:szCs w:val="18"/>
          <w:lang w:eastAsia="es-MX"/>
        </w:rPr>
        <w:t xml:space="preserve">ARMSG de este Instituto a nombre de </w:t>
      </w:r>
      <w:r w:rsidR="001F6E73">
        <w:rPr>
          <w:rFonts w:ascii="ITC Avant Garde" w:hAnsi="ITC Avant Garde"/>
          <w:i/>
          <w:iCs/>
          <w:color w:val="000000"/>
          <w:sz w:val="18"/>
          <w:szCs w:val="18"/>
          <w:lang w:eastAsia="es-MX"/>
        </w:rPr>
        <w:t>MALCVISSION</w:t>
      </w:r>
      <w:r w:rsidR="0055343D">
        <w:rPr>
          <w:rFonts w:ascii="ITC Avant Garde" w:hAnsi="ITC Avant Garde"/>
          <w:i/>
          <w:iCs/>
          <w:color w:val="000000"/>
          <w:sz w:val="18"/>
          <w:szCs w:val="18"/>
          <w:lang w:eastAsia="es-MX"/>
        </w:rPr>
        <w:t xml:space="preserve">, </w:t>
      </w:r>
      <w:r w:rsidRPr="006F3A1E">
        <w:rPr>
          <w:rFonts w:ascii="ITC Avant Garde" w:hAnsi="ITC Avant Garde"/>
          <w:i/>
          <w:iCs/>
          <w:color w:val="000000"/>
          <w:sz w:val="18"/>
          <w:szCs w:val="18"/>
          <w:lang w:eastAsia="es-MX"/>
        </w:rPr>
        <w:t xml:space="preserve">se desprende </w:t>
      </w:r>
      <w:proofErr w:type="gramStart"/>
      <w:r w:rsidRPr="006F3A1E">
        <w:rPr>
          <w:rFonts w:ascii="ITC Avant Garde" w:hAnsi="ITC Avant Garde"/>
          <w:i/>
          <w:iCs/>
          <w:color w:val="000000"/>
          <w:sz w:val="18"/>
          <w:szCs w:val="18"/>
          <w:lang w:eastAsia="es-MX"/>
        </w:rPr>
        <w:t>que</w:t>
      </w:r>
      <w:proofErr w:type="gramEnd"/>
      <w:r w:rsidRPr="006F3A1E">
        <w:rPr>
          <w:rFonts w:ascii="ITC Avant Garde" w:hAnsi="ITC Avant Garde"/>
          <w:i/>
          <w:iCs/>
          <w:color w:val="000000"/>
          <w:sz w:val="18"/>
          <w:szCs w:val="18"/>
          <w:lang w:eastAsia="es-MX"/>
        </w:rPr>
        <w:t xml:space="preserve"> al </w:t>
      </w:r>
      <w:r w:rsidR="001F6E73">
        <w:rPr>
          <w:rFonts w:ascii="ITC Avant Garde" w:hAnsi="ITC Avant Garde"/>
          <w:i/>
          <w:iCs/>
          <w:color w:val="000000"/>
          <w:sz w:val="18"/>
          <w:szCs w:val="18"/>
          <w:lang w:eastAsia="es-MX"/>
        </w:rPr>
        <w:t>1</w:t>
      </w:r>
      <w:r w:rsidR="0055343D">
        <w:rPr>
          <w:rFonts w:ascii="ITC Avant Garde" w:hAnsi="ITC Avant Garde"/>
          <w:i/>
          <w:iCs/>
          <w:color w:val="000000"/>
          <w:sz w:val="18"/>
          <w:szCs w:val="18"/>
          <w:lang w:eastAsia="es-MX"/>
        </w:rPr>
        <w:t xml:space="preserve">2 de </w:t>
      </w:r>
      <w:r w:rsidR="001F6E73">
        <w:rPr>
          <w:rFonts w:ascii="ITC Avant Garde" w:hAnsi="ITC Avant Garde"/>
          <w:i/>
          <w:iCs/>
          <w:color w:val="000000"/>
          <w:sz w:val="18"/>
          <w:szCs w:val="18"/>
          <w:lang w:eastAsia="es-MX"/>
        </w:rPr>
        <w:t>diciembre</w:t>
      </w:r>
      <w:r w:rsidRPr="006F3A1E">
        <w:rPr>
          <w:rFonts w:ascii="ITC Avant Garde" w:hAnsi="ITC Avant Garde"/>
          <w:i/>
          <w:iCs/>
          <w:color w:val="000000"/>
          <w:sz w:val="18"/>
          <w:szCs w:val="18"/>
          <w:lang w:eastAsia="es-MX"/>
        </w:rPr>
        <w:t xml:space="preserve"> de 2017, </w:t>
      </w:r>
      <w:r w:rsidR="00CA1963">
        <w:rPr>
          <w:rFonts w:ascii="ITC Avant Garde" w:hAnsi="ITC Avant Garde"/>
          <w:b/>
          <w:i/>
          <w:iCs/>
          <w:color w:val="000000"/>
          <w:sz w:val="18"/>
          <w:szCs w:val="18"/>
          <w:u w:val="single"/>
          <w:lang w:eastAsia="es-MX"/>
        </w:rPr>
        <w:t>la concesionaria</w:t>
      </w:r>
      <w:r w:rsidRPr="006F3A1E">
        <w:rPr>
          <w:rFonts w:ascii="ITC Avant Garde" w:hAnsi="ITC Avant Garde"/>
          <w:b/>
          <w:i/>
          <w:iCs/>
          <w:color w:val="000000"/>
          <w:sz w:val="18"/>
          <w:szCs w:val="18"/>
          <w:u w:val="single"/>
          <w:lang w:eastAsia="es-MX"/>
        </w:rPr>
        <w:t xml:space="preserve"> se encontró al corriente de las obligaciones que tiene a su cargo</w:t>
      </w:r>
      <w:r w:rsidRPr="006F3A1E">
        <w:rPr>
          <w:rFonts w:ascii="ITC Avant Garde" w:hAnsi="ITC Avant Garde"/>
          <w:i/>
          <w:iCs/>
          <w:color w:val="000000"/>
          <w:sz w:val="18"/>
          <w:szCs w:val="18"/>
          <w:lang w:eastAsia="es-MX"/>
        </w:rPr>
        <w:t xml:space="preserve"> y que le son aplicables conforme a su</w:t>
      </w:r>
      <w:r w:rsidR="00EC3DFB">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título</w:t>
      </w:r>
      <w:r w:rsidR="00EC3DFB">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de concesión de red</w:t>
      </w:r>
      <w:r w:rsidR="00EC3DFB">
        <w:rPr>
          <w:rFonts w:ascii="ITC Avant Garde" w:hAnsi="ITC Avant Garde"/>
          <w:i/>
          <w:iCs/>
          <w:color w:val="000000"/>
          <w:sz w:val="18"/>
          <w:szCs w:val="18"/>
          <w:lang w:eastAsia="es-MX"/>
        </w:rPr>
        <w:t>es</w:t>
      </w:r>
      <w:r w:rsidRPr="006F3A1E">
        <w:rPr>
          <w:rFonts w:ascii="ITC Avant Garde" w:hAnsi="ITC Avant Garde"/>
          <w:i/>
          <w:iCs/>
          <w:color w:val="000000"/>
          <w:sz w:val="18"/>
          <w:szCs w:val="18"/>
          <w:lang w:eastAsia="es-MX"/>
        </w:rPr>
        <w:t xml:space="preserve"> pública</w:t>
      </w:r>
      <w:r w:rsidR="00EC3DFB">
        <w:rPr>
          <w:rFonts w:ascii="ITC Avant Garde" w:hAnsi="ITC Avant Garde"/>
          <w:i/>
          <w:iCs/>
          <w:color w:val="000000"/>
          <w:sz w:val="18"/>
          <w:szCs w:val="18"/>
          <w:lang w:eastAsia="es-MX"/>
        </w:rPr>
        <w:t>s</w:t>
      </w:r>
      <w:r w:rsidRPr="006F3A1E">
        <w:rPr>
          <w:rFonts w:ascii="ITC Avant Garde" w:hAnsi="ITC Avant Garde"/>
          <w:i/>
          <w:iCs/>
          <w:color w:val="000000"/>
          <w:sz w:val="18"/>
          <w:szCs w:val="18"/>
          <w:lang w:eastAsia="es-MX"/>
        </w:rPr>
        <w:t xml:space="preserve"> de telecomunicaciones y demás disposiciones legales, reglamentarias y administrativas aplicables.</w:t>
      </w:r>
    </w:p>
    <w:p w:rsidR="00D4717D" w:rsidRDefault="007757BE" w:rsidP="00D4717D">
      <w:pPr>
        <w:spacing w:afterLines="120" w:after="288" w:line="240" w:lineRule="auto"/>
        <w:ind w:left="1418" w:right="618"/>
        <w:jc w:val="both"/>
        <w:rPr>
          <w:rFonts w:ascii="ITC Avant Garde" w:hAnsi="ITC Avant Garde"/>
          <w:b/>
          <w:i/>
          <w:iCs/>
          <w:color w:val="000000"/>
          <w:sz w:val="18"/>
          <w:szCs w:val="18"/>
          <w:u w:val="single"/>
          <w:lang w:eastAsia="es-MX"/>
        </w:rPr>
      </w:pPr>
      <w:r>
        <w:rPr>
          <w:rFonts w:ascii="ITC Avant Garde" w:hAnsi="ITC Avant Garde"/>
          <w:i/>
          <w:iCs/>
          <w:color w:val="000000"/>
          <w:sz w:val="18"/>
          <w:szCs w:val="18"/>
          <w:lang w:eastAsia="es-MX"/>
        </w:rPr>
        <w:t>[…]</w:t>
      </w:r>
      <w:r w:rsidR="007C0C43" w:rsidRPr="00956265">
        <w:rPr>
          <w:rFonts w:ascii="ITC Avant Garde" w:hAnsi="ITC Avant Garde"/>
          <w:i/>
          <w:iCs/>
          <w:color w:val="000000"/>
          <w:sz w:val="18"/>
          <w:szCs w:val="18"/>
          <w:lang w:eastAsia="es-MX"/>
        </w:rPr>
        <w:t>”</w:t>
      </w:r>
    </w:p>
    <w:p w:rsidR="00D4717D" w:rsidRDefault="00CA68FC"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 xml:space="preserve">En virtud de lo anterior, y tomando en cuenta que se satisfacen la totalidad de los requisitos establecidos en los Lineamientos, este Instituto considera procedente autorizar la transición y </w:t>
      </w:r>
      <w:r w:rsidR="003241B8">
        <w:rPr>
          <w:rFonts w:ascii="ITC Avant Garde" w:hAnsi="ITC Avant Garde"/>
          <w:bCs/>
        </w:rPr>
        <w:t xml:space="preserve">en consecuencia la </w:t>
      </w:r>
      <w:r>
        <w:rPr>
          <w:rFonts w:ascii="ITC Avant Garde" w:hAnsi="ITC Avant Garde"/>
          <w:bCs/>
        </w:rPr>
        <w:t xml:space="preserve">consolidación de los títulos de concesión de redes públicas de telecomunicaciones otorgados a </w:t>
      </w:r>
      <w:proofErr w:type="spellStart"/>
      <w:r>
        <w:rPr>
          <w:rFonts w:ascii="ITC Avant Garde" w:hAnsi="ITC Avant Garde"/>
          <w:bCs/>
        </w:rPr>
        <w:t>Malcvission</w:t>
      </w:r>
      <w:proofErr w:type="spellEnd"/>
      <w:r>
        <w:rPr>
          <w:rFonts w:ascii="ITC Avant Garde" w:hAnsi="ITC Avant Garde"/>
          <w:bCs/>
        </w:rPr>
        <w:t>, S.A. de C.V., en una concesión única para uso comercial.</w:t>
      </w:r>
    </w:p>
    <w:p w:rsidR="00D4717D" w:rsidRDefault="00CA68FC"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Finalmente, por lo que se refiere al título de concesión única que otorgue este Instituto con motivo de la Solicitud de Consolidación, tendrá una vigencia igual a la prevista en el título de concesión objeto de la misma, o en caso de existir varios títulos de concesión, por la vigencia más amplia contada a partir de la fecha de otorgamiento del título que tenga dicha vigencia, de conformidad con lo señalado en el segundo párrafo del artículo 25 de los Lineamientos, y contendrá como compromisos de cobertura mínima, la cobertura contemplada en cada uno de ellos. </w:t>
      </w:r>
    </w:p>
    <w:p w:rsidR="00D4717D" w:rsidRDefault="00CA68FC"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Conforme a esto último, tomando en cuenta que </w:t>
      </w:r>
      <w:r>
        <w:rPr>
          <w:rFonts w:ascii="ITC Avant Garde" w:hAnsi="ITC Avant Garde"/>
          <w:bCs/>
          <w:color w:val="000000"/>
          <w:lang w:eastAsia="es-MX"/>
        </w:rPr>
        <w:t>la Secretaría otorgó a</w:t>
      </w:r>
      <w:r>
        <w:rPr>
          <w:rFonts w:ascii="ITC Avant Garde" w:hAnsi="ITC Avant Garde"/>
          <w:bCs/>
        </w:rPr>
        <w:t xml:space="preserve">l </w:t>
      </w:r>
      <w:proofErr w:type="spellStart"/>
      <w:r>
        <w:rPr>
          <w:rFonts w:ascii="ITC Avant Garde" w:hAnsi="ITC Avant Garde"/>
          <w:bCs/>
        </w:rPr>
        <w:t>Malcvission</w:t>
      </w:r>
      <w:proofErr w:type="spellEnd"/>
      <w:r>
        <w:rPr>
          <w:rFonts w:ascii="ITC Avant Garde" w:hAnsi="ITC Avant Garde"/>
          <w:bCs/>
        </w:rPr>
        <w:t>, S.A. de C.V.</w:t>
      </w:r>
      <w:r>
        <w:rPr>
          <w:rFonts w:ascii="ITC Avant Garde" w:hAnsi="ITC Avant Garde"/>
          <w:bCs/>
          <w:color w:val="000000"/>
          <w:lang w:eastAsia="es-MX"/>
        </w:rPr>
        <w:t>, tres títulos de concesión</w:t>
      </w:r>
      <w:r w:rsidR="00673681">
        <w:rPr>
          <w:rFonts w:ascii="ITC Avant Garde" w:hAnsi="ITC Avant Garde"/>
          <w:bCs/>
          <w:color w:val="000000"/>
          <w:lang w:eastAsia="es-MX"/>
        </w:rPr>
        <w:t xml:space="preserve"> con vigencias iguales</w:t>
      </w:r>
      <w:r>
        <w:rPr>
          <w:rFonts w:ascii="ITC Avant Garde" w:hAnsi="ITC Avant Garde"/>
          <w:bCs/>
          <w:color w:val="000000"/>
          <w:lang w:eastAsia="es-MX"/>
        </w:rPr>
        <w:t xml:space="preserve">, la vigencia que se establecerá en la concesión única </w:t>
      </w:r>
      <w:r w:rsidR="00BB5D62">
        <w:rPr>
          <w:rFonts w:ascii="ITC Avant Garde" w:hAnsi="ITC Avant Garde"/>
          <w:bCs/>
          <w:color w:val="000000"/>
          <w:lang w:eastAsia="es-MX"/>
        </w:rPr>
        <w:t>se</w:t>
      </w:r>
      <w:r w:rsidR="007B39DA">
        <w:rPr>
          <w:rFonts w:ascii="ITC Avant Garde" w:hAnsi="ITC Avant Garde"/>
          <w:bCs/>
          <w:color w:val="000000"/>
          <w:lang w:eastAsia="es-MX"/>
        </w:rPr>
        <w:t>rá de</w:t>
      </w:r>
      <w:r w:rsidR="00BB5D62">
        <w:rPr>
          <w:rFonts w:ascii="ITC Avant Garde" w:hAnsi="ITC Avant Garde"/>
          <w:bCs/>
          <w:color w:val="000000"/>
          <w:lang w:eastAsia="es-MX"/>
        </w:rPr>
        <w:t xml:space="preserve"> </w:t>
      </w:r>
      <w:r w:rsidR="007B39DA">
        <w:rPr>
          <w:rFonts w:ascii="ITC Avant Garde" w:hAnsi="ITC Avant Garde"/>
          <w:bCs/>
          <w:color w:val="000000"/>
          <w:lang w:eastAsia="es-MX"/>
        </w:rPr>
        <w:t xml:space="preserve">30 (treinta) años </w:t>
      </w:r>
      <w:r w:rsidR="00BB5D62">
        <w:rPr>
          <w:rFonts w:ascii="ITC Avant Garde" w:hAnsi="ITC Avant Garde"/>
          <w:bCs/>
          <w:color w:val="000000"/>
          <w:lang w:eastAsia="es-MX"/>
        </w:rPr>
        <w:t>conta</w:t>
      </w:r>
      <w:r w:rsidR="007B39DA">
        <w:rPr>
          <w:rFonts w:ascii="ITC Avant Garde" w:hAnsi="ITC Avant Garde"/>
          <w:bCs/>
          <w:color w:val="000000"/>
          <w:lang w:eastAsia="es-MX"/>
        </w:rPr>
        <w:t>dos</w:t>
      </w:r>
      <w:r w:rsidR="00BB5D62">
        <w:rPr>
          <w:rFonts w:ascii="ITC Avant Garde" w:hAnsi="ITC Avant Garde"/>
          <w:bCs/>
          <w:color w:val="000000"/>
          <w:lang w:eastAsia="es-MX"/>
        </w:rPr>
        <w:t xml:space="preserve"> a partir del 27 de mayo de 2013</w:t>
      </w:r>
      <w:r>
        <w:rPr>
          <w:rFonts w:ascii="ITC Avant Garde" w:hAnsi="ITC Avant Garde"/>
          <w:bCs/>
          <w:color w:val="000000"/>
          <w:lang w:eastAsia="es-MX"/>
        </w:rPr>
        <w:t xml:space="preserve">. Finalmente, como compromisos de cobertura mínima contendrá la autorizada en los </w:t>
      </w:r>
      <w:r w:rsidR="00BB5D62">
        <w:rPr>
          <w:rFonts w:ascii="ITC Avant Garde" w:hAnsi="ITC Avant Garde"/>
          <w:bCs/>
          <w:color w:val="000000"/>
          <w:lang w:eastAsia="es-MX"/>
        </w:rPr>
        <w:t>tres</w:t>
      </w:r>
      <w:r>
        <w:rPr>
          <w:rFonts w:ascii="ITC Avant Garde" w:hAnsi="ITC Avant Garde"/>
          <w:bCs/>
          <w:color w:val="000000"/>
          <w:lang w:eastAsia="es-MX"/>
        </w:rPr>
        <w:t xml:space="preserve"> títulos de redes públicas de telecomunicaciones antes mencionados.</w:t>
      </w:r>
    </w:p>
    <w:p w:rsidR="00D4717D" w:rsidRDefault="003403AF" w:rsidP="00D4717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22692D">
        <w:rPr>
          <w:rFonts w:ascii="ITC Avant Garde" w:hAnsi="ITC Avant Garde"/>
          <w:bCs/>
        </w:rPr>
        <w:t xml:space="preserve">2, </w:t>
      </w:r>
      <w:r>
        <w:rPr>
          <w:rFonts w:ascii="ITC Avant Garde" w:hAnsi="ITC Avant Garde"/>
          <w:bCs/>
        </w:rPr>
        <w:t>6 fracción IV, 15 fracciones IV, 16, 17 fracción I, 66, 67 fracción I, 68, 72 y 177 fracción I de la Ley Federal de Telecomunicaciones y Radiodifusión; Cuarto Transitorio del “</w:t>
      </w:r>
      <w:r>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telecomunicaciones” </w:t>
      </w:r>
      <w:r>
        <w:rPr>
          <w:rFonts w:ascii="ITC Avant Garde" w:hAnsi="ITC Avant Garde"/>
          <w:lang w:eastAsia="es-MX"/>
        </w:rPr>
        <w:t>publicado en el Diario Oficial de la Federación el 11 de junio de 2013;</w:t>
      </w:r>
      <w:r>
        <w:rPr>
          <w:rFonts w:ascii="ITC Avant Garde" w:hAnsi="ITC Avant Garde"/>
          <w:i/>
          <w:lang w:eastAsia="es-MX"/>
        </w:rPr>
        <w:t xml:space="preserve"> </w:t>
      </w:r>
      <w:r>
        <w:rPr>
          <w:rFonts w:ascii="ITC Avant Garde" w:hAnsi="ITC Avant Garde"/>
          <w:bCs/>
        </w:rPr>
        <w:t>Octavo Transitorio de</w:t>
      </w:r>
      <w:r w:rsidR="00CE4DD8">
        <w:rPr>
          <w:rFonts w:ascii="ITC Avant Garde" w:hAnsi="ITC Avant Garde"/>
          <w:bCs/>
        </w:rPr>
        <w:t>l</w:t>
      </w:r>
      <w:r>
        <w:rPr>
          <w:rFonts w:ascii="ITC Avant Garde" w:hAnsi="ITC Avant Garde"/>
          <w:bCs/>
        </w:rPr>
        <w:t xml:space="preserve"> “</w:t>
      </w:r>
      <w:r>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hAnsi="ITC Avant Garde"/>
          <w:bCs/>
        </w:rPr>
        <w:t>”, publicado en el Diario Oficial de la Federación el 14 de julio de 2014; 35 fracción I, 36, 38, 39 y 57 fracción I de la Ley Federal de Procedimiento Administrativo; 174-C fracción XII de la Ley Federal de Derechos vigente</w:t>
      </w:r>
      <w:r w:rsidR="00B5629E">
        <w:rPr>
          <w:rFonts w:ascii="ITC Avant Garde" w:hAnsi="ITC Avant Garde"/>
          <w:bCs/>
        </w:rPr>
        <w:t xml:space="preserve"> en 201</w:t>
      </w:r>
      <w:r w:rsidR="0075104B">
        <w:rPr>
          <w:rFonts w:ascii="ITC Avant Garde" w:hAnsi="ITC Avant Garde"/>
          <w:bCs/>
        </w:rPr>
        <w:t>6</w:t>
      </w:r>
      <w:r>
        <w:rPr>
          <w:rFonts w:ascii="ITC Avant Garde" w:hAnsi="ITC Avant Garde"/>
          <w:bCs/>
        </w:rPr>
        <w:t xml:space="preserve">; 1, 6 fracciones I y XXXVIII, </w:t>
      </w:r>
      <w:r w:rsidRPr="00F52A89">
        <w:rPr>
          <w:rFonts w:ascii="ITC Avant Garde" w:hAnsi="ITC Avant Garde"/>
          <w:bCs/>
        </w:rPr>
        <w:t>32, 33 fracción VI, 41 y 42 fracciones I, y XV del Estatuto Orgánico del Instituto Federal de Telecomunicaciones; así como los artículos 24</w:t>
      </w:r>
      <w:r w:rsidR="00B5629E">
        <w:rPr>
          <w:rFonts w:ascii="ITC Avant Garde" w:hAnsi="ITC Avant Garde"/>
          <w:bCs/>
        </w:rPr>
        <w:t>, 25</w:t>
      </w:r>
      <w:r w:rsidRPr="00F52A89">
        <w:rPr>
          <w:rFonts w:ascii="ITC Avant Garde" w:hAnsi="ITC Avant Garde"/>
          <w:bCs/>
        </w:rPr>
        <w:t xml:space="preserve"> y 27 de los “</w:t>
      </w:r>
      <w:r w:rsidRPr="00F52A89">
        <w:rPr>
          <w:rFonts w:ascii="ITC Avant Garde" w:hAnsi="ITC Avant Garde"/>
          <w:bCs/>
          <w:i/>
        </w:rPr>
        <w:t>Lineamientos generales para el otorgamiento</w:t>
      </w:r>
      <w:r>
        <w:rPr>
          <w:rFonts w:ascii="ITC Avant Garde" w:hAnsi="ITC Avant Garde"/>
          <w:bCs/>
          <w:i/>
        </w:rPr>
        <w:t xml:space="preserve"> de concesiones a que se refiere el título cuarto de la Ley Federal de Telecomunicaciones y Radiodifusión” </w:t>
      </w:r>
      <w:r>
        <w:rPr>
          <w:rFonts w:ascii="ITC Avant Garde" w:hAnsi="ITC Avant Garde"/>
          <w:bCs/>
        </w:rPr>
        <w:t xml:space="preserve">publicados en el Diario Oficial de la Federación el 24 de julio de 2015, </w:t>
      </w:r>
      <w:r w:rsidR="00CE4DD8">
        <w:rPr>
          <w:rFonts w:ascii="ITC Avant Garde" w:hAnsi="ITC Avant Garde"/>
          <w:bCs/>
        </w:rPr>
        <w:t xml:space="preserve">y modificados por última vez el 26 de mayo de 2017, </w:t>
      </w:r>
      <w:r>
        <w:rPr>
          <w:rFonts w:ascii="ITC Avant Garde" w:hAnsi="ITC Avant Garde"/>
          <w:bCs/>
        </w:rPr>
        <w:t>este órgano autónomo constitucional emite los siguientes</w:t>
      </w:r>
      <w:r w:rsidR="004C6B78" w:rsidRPr="00673C9E">
        <w:rPr>
          <w:rFonts w:ascii="ITC Avant Garde" w:hAnsi="ITC Avant Garde"/>
          <w:bCs/>
        </w:rPr>
        <w:t>:</w:t>
      </w:r>
    </w:p>
    <w:p w:rsidR="00D4717D" w:rsidRPr="00D4717D" w:rsidRDefault="00A21167" w:rsidP="00D4717D">
      <w:pPr>
        <w:pStyle w:val="Ttulo2"/>
        <w:spacing w:afterLines="100" w:after="240" w:line="276" w:lineRule="auto"/>
        <w:ind w:firstLine="0"/>
        <w:jc w:val="center"/>
        <w:rPr>
          <w:rFonts w:ascii="ITC Avant Garde" w:hAnsi="ITC Avant Garde" w:cs="Arial"/>
          <w:bCs/>
          <w:sz w:val="22"/>
          <w:szCs w:val="22"/>
          <w:lang w:eastAsia="en-US"/>
        </w:rPr>
      </w:pPr>
      <w:r w:rsidRPr="00D4717D">
        <w:rPr>
          <w:rFonts w:ascii="ITC Avant Garde" w:hAnsi="ITC Avant Garde" w:cs="Arial"/>
          <w:bCs/>
          <w:sz w:val="22"/>
          <w:szCs w:val="22"/>
          <w:lang w:eastAsia="en-US"/>
        </w:rPr>
        <w:lastRenderedPageBreak/>
        <w:t>RESOLUTIVOS</w:t>
      </w:r>
    </w:p>
    <w:p w:rsidR="00D4717D" w:rsidRDefault="00A21167" w:rsidP="00D4717D">
      <w:pPr>
        <w:autoSpaceDE w:val="0"/>
        <w:autoSpaceDN w:val="0"/>
        <w:adjustRightInd w:val="0"/>
        <w:spacing w:afterLines="120" w:after="288" w:line="240" w:lineRule="auto"/>
        <w:jc w:val="both"/>
        <w:rPr>
          <w:rFonts w:ascii="ITC Avant Garde" w:hAnsi="ITC Avant Garde"/>
          <w:bCs/>
          <w:lang w:val="es-ES_tradnl"/>
        </w:rPr>
      </w:pPr>
      <w:r w:rsidRPr="00BE2A6A">
        <w:rPr>
          <w:rFonts w:ascii="ITC Avant Garde" w:hAnsi="ITC Avant Garde"/>
          <w:b/>
          <w:bCs/>
          <w:color w:val="000000"/>
          <w:lang w:eastAsia="es-MX"/>
        </w:rPr>
        <w:t>PRIMERO.-</w:t>
      </w:r>
      <w:r w:rsidR="00304638">
        <w:rPr>
          <w:rFonts w:ascii="ITC Avant Garde" w:hAnsi="ITC Avant Garde"/>
          <w:bCs/>
          <w:color w:val="000000"/>
          <w:lang w:eastAsia="es-MX"/>
        </w:rPr>
        <w:t xml:space="preserve"> Se autoriza </w:t>
      </w:r>
      <w:r w:rsidR="00EE6EB2">
        <w:rPr>
          <w:rFonts w:ascii="ITC Avant Garde" w:hAnsi="ITC Avant Garde"/>
          <w:bCs/>
          <w:color w:val="000000"/>
          <w:lang w:eastAsia="es-MX"/>
        </w:rPr>
        <w:t xml:space="preserve">a </w:t>
      </w:r>
      <w:proofErr w:type="spellStart"/>
      <w:r w:rsidR="00BB5D62">
        <w:rPr>
          <w:rFonts w:ascii="ITC Avant Garde" w:hAnsi="ITC Avant Garde"/>
          <w:bCs/>
          <w:color w:val="000000"/>
          <w:lang w:eastAsia="es-MX"/>
        </w:rPr>
        <w:t>Malcvission</w:t>
      </w:r>
      <w:proofErr w:type="spellEnd"/>
      <w:r w:rsidR="00EE6EB2">
        <w:rPr>
          <w:rFonts w:ascii="ITC Avant Garde" w:hAnsi="ITC Avant Garde"/>
          <w:bCs/>
          <w:color w:val="000000"/>
          <w:lang w:eastAsia="es-MX"/>
        </w:rPr>
        <w:t>, S.A. de C.V.</w:t>
      </w:r>
      <w:r w:rsidR="00B15FC1">
        <w:rPr>
          <w:rFonts w:ascii="ITC Avant Garde" w:hAnsi="ITC Avant Garde"/>
          <w:bCs/>
          <w:color w:val="000000"/>
          <w:lang w:eastAsia="es-MX"/>
        </w:rPr>
        <w:t>,</w:t>
      </w:r>
      <w:r w:rsidR="00996DDF">
        <w:rPr>
          <w:rFonts w:ascii="ITC Avant Garde" w:hAnsi="ITC Avant Garde"/>
          <w:bCs/>
          <w:color w:val="000000"/>
          <w:lang w:eastAsia="es-MX"/>
        </w:rPr>
        <w:t xml:space="preserve"> </w:t>
      </w:r>
      <w:r w:rsidR="007B1E84">
        <w:rPr>
          <w:rFonts w:ascii="ITC Avant Garde" w:hAnsi="ITC Avant Garde"/>
          <w:bCs/>
          <w:lang w:val="es-ES_tradnl"/>
        </w:rPr>
        <w:t xml:space="preserve">transitar a la concesión única para uso comercial, </w:t>
      </w:r>
      <w:r w:rsidR="007B1E84">
        <w:rPr>
          <w:rFonts w:ascii="ITC Avant Garde" w:hAnsi="ITC Avant Garde"/>
          <w:bCs/>
        </w:rPr>
        <w:t xml:space="preserve">establecida en la Constitución Política de los Estados Unidos Mexicanos y en la Ley Federal de Telecomunicaciones y Radiodifusión, y en consecuencia, se consolidan en dicho título de concesión única para uso comercial, las </w:t>
      </w:r>
      <w:r w:rsidR="00A6300D">
        <w:rPr>
          <w:rFonts w:ascii="ITC Avant Garde" w:hAnsi="ITC Avant Garde"/>
          <w:bCs/>
        </w:rPr>
        <w:t>tres</w:t>
      </w:r>
      <w:r w:rsidR="007B1E84">
        <w:rPr>
          <w:rFonts w:ascii="ITC Avant Garde" w:hAnsi="ITC Avant Garde"/>
          <w:bCs/>
        </w:rPr>
        <w:t xml:space="preserve"> concesiones de </w:t>
      </w:r>
      <w:r w:rsidR="007B1E84">
        <w:rPr>
          <w:rFonts w:ascii="ITC Avant Garde" w:hAnsi="ITC Avant Garde"/>
          <w:bCs/>
          <w:lang w:val="es-ES_tradnl"/>
        </w:rPr>
        <w:t>redes públicas de telecomunicaciones</w:t>
      </w:r>
      <w:r w:rsidR="007B1E84">
        <w:rPr>
          <w:rFonts w:ascii="ITC Avant Garde" w:hAnsi="ITC Avant Garde"/>
          <w:bCs/>
          <w:color w:val="000000"/>
          <w:lang w:eastAsia="es-MX"/>
        </w:rPr>
        <w:t xml:space="preserve"> que le fueron otorgadas en su momento por la Secretaría de Comunicaciones y Transportes, y que se encuentran vigentes a la fecha de la presente Resolución, extinguiéndose tales concesiones en términos del artículo 25 de los </w:t>
      </w:r>
      <w:r w:rsidR="007B1E84">
        <w:rPr>
          <w:rFonts w:ascii="ITC Avant Garde" w:hAnsi="ITC Avant Garde"/>
          <w:bCs/>
          <w:i/>
          <w:color w:val="000000"/>
          <w:lang w:eastAsia="es-MX"/>
        </w:rPr>
        <w:t>Lineamientos generales para el otorgamiento de concesiones a que se refiere el título cuarto de la Ley Federal de Telecomunicaciones y Radiodifusión</w:t>
      </w:r>
      <w:r w:rsidR="007B1E84">
        <w:rPr>
          <w:rFonts w:ascii="ITC Avant Garde" w:hAnsi="ITC Avant Garde"/>
          <w:bCs/>
          <w:color w:val="000000"/>
          <w:lang w:eastAsia="es-MX"/>
        </w:rPr>
        <w:t>.</w:t>
      </w:r>
    </w:p>
    <w:p w:rsidR="00D4717D" w:rsidRDefault="004F7D2E" w:rsidP="00D4717D">
      <w:pPr>
        <w:autoSpaceDE w:val="0"/>
        <w:autoSpaceDN w:val="0"/>
        <w:adjustRightInd w:val="0"/>
        <w:spacing w:afterLines="120" w:after="288" w:line="240" w:lineRule="auto"/>
        <w:jc w:val="both"/>
        <w:rPr>
          <w:rFonts w:ascii="ITC Avant Garde" w:hAnsi="ITC Avant Garde"/>
          <w:bCs/>
          <w:lang w:val="es-ES_tradnl"/>
        </w:rPr>
      </w:pPr>
      <w:proofErr w:type="gramStart"/>
      <w:r w:rsidRPr="003F3844">
        <w:rPr>
          <w:rFonts w:ascii="ITC Avant Garde" w:hAnsi="ITC Avant Garde"/>
          <w:b/>
          <w:bCs/>
          <w:lang w:val="es-ES_tradnl"/>
        </w:rPr>
        <w:t>SEGUNDO.-</w:t>
      </w:r>
      <w:proofErr w:type="gramEnd"/>
      <w:r w:rsidRPr="00D027AF">
        <w:rPr>
          <w:rFonts w:ascii="ITC Avant Garde" w:hAnsi="ITC Avant Garde"/>
          <w:bCs/>
          <w:lang w:val="es-ES_tradnl"/>
        </w:rPr>
        <w:t xml:space="preserve"> </w:t>
      </w:r>
      <w:r w:rsidR="0011303D">
        <w:rPr>
          <w:rFonts w:ascii="ITC Avant Garde" w:hAnsi="ITC Avant Garde"/>
          <w:bCs/>
          <w:color w:val="000000"/>
          <w:lang w:eastAsia="es-MX"/>
        </w:rPr>
        <w:t>Para efectos de</w:t>
      </w:r>
      <w:r w:rsidR="00C10BDF">
        <w:rPr>
          <w:rFonts w:ascii="ITC Avant Garde" w:hAnsi="ITC Avant Garde"/>
          <w:bCs/>
          <w:color w:val="000000"/>
          <w:lang w:eastAsia="es-MX"/>
        </w:rPr>
        <w:t xml:space="preserve"> lo</w:t>
      </w:r>
      <w:r w:rsidR="0011303D">
        <w:rPr>
          <w:rFonts w:ascii="ITC Avant Garde" w:hAnsi="ITC Avant Garde"/>
          <w:bCs/>
          <w:color w:val="000000"/>
          <w:lang w:eastAsia="es-MX"/>
        </w:rPr>
        <w:t xml:space="preserve"> dispuesto en el Resolutivo Primero, el Instituto Federal de Telecomunicaciones </w:t>
      </w:r>
      <w:r w:rsidR="0011303D">
        <w:rPr>
          <w:rFonts w:ascii="ITC Avant Garde" w:hAnsi="ITC Avant Garde"/>
          <w:bCs/>
        </w:rPr>
        <w:t xml:space="preserve">otorgará un título de concesión </w:t>
      </w:r>
      <w:r w:rsidR="0011303D">
        <w:rPr>
          <w:rFonts w:ascii="ITC Avant Garde" w:hAnsi="ITC Avant Garde"/>
          <w:bCs/>
          <w:lang w:val="es-ES_tradnl"/>
        </w:rPr>
        <w:t>única para uso comercial, a favor de</w:t>
      </w:r>
      <w:r w:rsidR="00EE6EB2">
        <w:rPr>
          <w:rFonts w:ascii="ITC Avant Garde" w:hAnsi="ITC Avant Garde"/>
          <w:bCs/>
          <w:lang w:val="es-ES_tradnl"/>
        </w:rPr>
        <w:t xml:space="preserve"> </w:t>
      </w:r>
      <w:proofErr w:type="spellStart"/>
      <w:r w:rsidR="00F95379">
        <w:rPr>
          <w:rFonts w:ascii="ITC Avant Garde" w:hAnsi="ITC Avant Garde"/>
          <w:bCs/>
          <w:color w:val="000000"/>
          <w:lang w:eastAsia="es-MX"/>
        </w:rPr>
        <w:t>Malcvission</w:t>
      </w:r>
      <w:proofErr w:type="spellEnd"/>
      <w:r w:rsidR="00EE6EB2">
        <w:rPr>
          <w:rFonts w:ascii="ITC Avant Garde" w:hAnsi="ITC Avant Garde"/>
          <w:bCs/>
          <w:lang w:val="es-ES_tradnl"/>
        </w:rPr>
        <w:t>, S.A. de C.V.</w:t>
      </w:r>
      <w:r w:rsidR="003170D3">
        <w:rPr>
          <w:rFonts w:ascii="ITC Avant Garde" w:hAnsi="ITC Avant Garde"/>
          <w:bCs/>
          <w:lang w:val="es-ES_tradnl"/>
        </w:rPr>
        <w:t xml:space="preserve"> </w:t>
      </w:r>
      <w:r w:rsidR="00C22C4B">
        <w:rPr>
          <w:rFonts w:ascii="ITC Avant Garde" w:hAnsi="ITC Avant Garde"/>
          <w:bCs/>
          <w:color w:val="000000"/>
          <w:lang w:eastAsia="es-MX"/>
        </w:rPr>
        <w:t xml:space="preserve">con una vigencia de </w:t>
      </w:r>
      <w:r w:rsidR="00F95379">
        <w:rPr>
          <w:rFonts w:ascii="ITC Avant Garde" w:hAnsi="ITC Avant Garde"/>
          <w:bCs/>
          <w:color w:val="000000"/>
          <w:lang w:eastAsia="es-MX"/>
        </w:rPr>
        <w:t>3</w:t>
      </w:r>
      <w:r w:rsidR="00C22C4B">
        <w:rPr>
          <w:rFonts w:ascii="ITC Avant Garde" w:hAnsi="ITC Avant Garde"/>
          <w:bCs/>
          <w:color w:val="000000"/>
          <w:lang w:eastAsia="es-MX"/>
        </w:rPr>
        <w:t>0 (</w:t>
      </w:r>
      <w:r w:rsidR="00F95379">
        <w:rPr>
          <w:rFonts w:ascii="ITC Avant Garde" w:hAnsi="ITC Avant Garde"/>
          <w:bCs/>
          <w:color w:val="000000"/>
          <w:lang w:eastAsia="es-MX"/>
        </w:rPr>
        <w:t>treinta</w:t>
      </w:r>
      <w:r w:rsidR="00C22C4B">
        <w:rPr>
          <w:rFonts w:ascii="ITC Avant Garde" w:hAnsi="ITC Avant Garde"/>
          <w:bCs/>
          <w:color w:val="000000"/>
          <w:lang w:eastAsia="es-MX"/>
        </w:rPr>
        <w:t xml:space="preserve">) años contados a partir del </w:t>
      </w:r>
      <w:r w:rsidR="00F95379">
        <w:rPr>
          <w:rFonts w:ascii="ITC Avant Garde" w:hAnsi="ITC Avant Garde"/>
          <w:bCs/>
          <w:color w:val="000000"/>
          <w:lang w:eastAsia="es-MX"/>
        </w:rPr>
        <w:t>27 d</w:t>
      </w:r>
      <w:r w:rsidR="00C22C4B">
        <w:rPr>
          <w:rFonts w:ascii="ITC Avant Garde" w:hAnsi="ITC Avant Garde"/>
          <w:bCs/>
          <w:color w:val="000000"/>
          <w:lang w:eastAsia="es-MX"/>
        </w:rPr>
        <w:t xml:space="preserve">e </w:t>
      </w:r>
      <w:r w:rsidR="00F95379">
        <w:rPr>
          <w:rFonts w:ascii="ITC Avant Garde" w:hAnsi="ITC Avant Garde"/>
          <w:bCs/>
          <w:color w:val="000000"/>
          <w:lang w:eastAsia="es-MX"/>
        </w:rPr>
        <w:t xml:space="preserve">mayo </w:t>
      </w:r>
      <w:r w:rsidR="00C22C4B">
        <w:rPr>
          <w:rFonts w:ascii="ITC Avant Garde" w:hAnsi="ITC Avant Garde"/>
          <w:bCs/>
          <w:color w:val="000000"/>
          <w:lang w:eastAsia="es-MX"/>
        </w:rPr>
        <w:t>de 2013</w:t>
      </w:r>
      <w:r w:rsidR="0011303D">
        <w:rPr>
          <w:rFonts w:ascii="ITC Avant Garde" w:hAnsi="ITC Avant Garde"/>
          <w:bCs/>
          <w:lang w:val="es-ES_tradnl"/>
        </w:rPr>
        <w:t>, con cobertura nacional y con el que podrá prestar cualquier servicio de telecomunicaciones y de radiodifusión que sea técnicamente factible.</w:t>
      </w:r>
    </w:p>
    <w:p w:rsidR="00D4717D" w:rsidRDefault="005C3485" w:rsidP="00D4717D">
      <w:pPr>
        <w:autoSpaceDE w:val="0"/>
        <w:autoSpaceDN w:val="0"/>
        <w:adjustRightInd w:val="0"/>
        <w:spacing w:afterLines="120" w:after="288" w:line="240" w:lineRule="auto"/>
        <w:jc w:val="both"/>
        <w:rPr>
          <w:rFonts w:ascii="ITC Avant Garde" w:hAnsi="ITC Avant Garde"/>
          <w:bCs/>
          <w:lang w:val="es-ES_tradnl"/>
        </w:rPr>
      </w:pPr>
      <w:r w:rsidRPr="007D02BF">
        <w:rPr>
          <w:rFonts w:ascii="ITC Avant Garde" w:hAnsi="ITC Avant Garde"/>
          <w:bCs/>
          <w:color w:val="000000"/>
          <w:lang w:eastAsia="es-MX"/>
        </w:rPr>
        <w:t>Por lo que hace a los compromisos mínimos de cobertura del título de concesión única, estos incluirán</w:t>
      </w:r>
      <w:r>
        <w:rPr>
          <w:rFonts w:ascii="ITC Avant Garde" w:hAnsi="ITC Avant Garde"/>
          <w:bCs/>
          <w:color w:val="000000"/>
          <w:lang w:eastAsia="es-MX"/>
        </w:rPr>
        <w:t xml:space="preserve"> las localidades de </w:t>
      </w:r>
      <w:proofErr w:type="spellStart"/>
      <w:r w:rsidRPr="007B39DA">
        <w:rPr>
          <w:rFonts w:ascii="ITC Avant Garde" w:hAnsi="ITC Avant Garde"/>
          <w:bCs/>
          <w:color w:val="000000"/>
          <w:lang w:eastAsia="es-MX"/>
        </w:rPr>
        <w:t>Zacapoaxtla</w:t>
      </w:r>
      <w:proofErr w:type="spellEnd"/>
      <w:r w:rsidRPr="007B39DA">
        <w:rPr>
          <w:rFonts w:ascii="ITC Avant Garde" w:hAnsi="ITC Avant Garde"/>
          <w:bCs/>
          <w:color w:val="000000"/>
          <w:lang w:eastAsia="es-MX"/>
        </w:rPr>
        <w:t xml:space="preserve">, en el Municipio de </w:t>
      </w:r>
      <w:proofErr w:type="spellStart"/>
      <w:r w:rsidRPr="007B39DA">
        <w:rPr>
          <w:rFonts w:ascii="ITC Avant Garde" w:hAnsi="ITC Avant Garde"/>
          <w:bCs/>
          <w:color w:val="000000"/>
          <w:lang w:eastAsia="es-MX"/>
        </w:rPr>
        <w:t>Zacapoaxtla</w:t>
      </w:r>
      <w:proofErr w:type="spellEnd"/>
      <w:r w:rsidRPr="007B39DA">
        <w:rPr>
          <w:rFonts w:ascii="ITC Avant Garde" w:hAnsi="ITC Avant Garde"/>
          <w:bCs/>
          <w:color w:val="000000"/>
          <w:lang w:eastAsia="es-MX"/>
        </w:rPr>
        <w:t xml:space="preserve">; Ciudad de Libres, Municipio de Libres y Oriental, Municipio de Oriental, en el Estado de Puebla; Villa de El Carmen </w:t>
      </w:r>
      <w:proofErr w:type="spellStart"/>
      <w:r w:rsidRPr="007B39DA">
        <w:rPr>
          <w:rFonts w:ascii="ITC Avant Garde" w:hAnsi="ITC Avant Garde"/>
          <w:bCs/>
          <w:color w:val="000000"/>
          <w:lang w:eastAsia="es-MX"/>
        </w:rPr>
        <w:t>Tequexquitla</w:t>
      </w:r>
      <w:proofErr w:type="spellEnd"/>
      <w:r w:rsidRPr="007B39DA">
        <w:rPr>
          <w:rFonts w:ascii="ITC Avant Garde" w:hAnsi="ITC Avant Garde"/>
          <w:bCs/>
          <w:color w:val="000000"/>
          <w:lang w:eastAsia="es-MX"/>
        </w:rPr>
        <w:t xml:space="preserve">, Municipio de El Carmen </w:t>
      </w:r>
      <w:proofErr w:type="spellStart"/>
      <w:r w:rsidRPr="007B39DA">
        <w:rPr>
          <w:rFonts w:ascii="ITC Avant Garde" w:hAnsi="ITC Avant Garde"/>
          <w:bCs/>
          <w:color w:val="000000"/>
          <w:lang w:eastAsia="es-MX"/>
        </w:rPr>
        <w:t>Tequexquitla</w:t>
      </w:r>
      <w:proofErr w:type="spellEnd"/>
      <w:r w:rsidRPr="007B39DA">
        <w:rPr>
          <w:rFonts w:ascii="ITC Avant Garde" w:hAnsi="ITC Avant Garde"/>
          <w:bCs/>
          <w:color w:val="000000"/>
          <w:lang w:eastAsia="es-MX"/>
        </w:rPr>
        <w:t xml:space="preserve">; y Colonia Ignacio Allende, Municipio de </w:t>
      </w:r>
      <w:proofErr w:type="spellStart"/>
      <w:r w:rsidRPr="007B39DA">
        <w:rPr>
          <w:rFonts w:ascii="ITC Avant Garde" w:hAnsi="ITC Avant Garde"/>
          <w:bCs/>
          <w:color w:val="000000"/>
          <w:lang w:eastAsia="es-MX"/>
        </w:rPr>
        <w:t>Cuapiaxtla</w:t>
      </w:r>
      <w:proofErr w:type="spellEnd"/>
      <w:r w:rsidRPr="007B39DA">
        <w:rPr>
          <w:rFonts w:ascii="ITC Avant Garde" w:hAnsi="ITC Avant Garde"/>
          <w:bCs/>
          <w:color w:val="000000"/>
          <w:lang w:eastAsia="es-MX"/>
        </w:rPr>
        <w:t xml:space="preserve">, en el Estado de Tlaxcala; </w:t>
      </w:r>
      <w:proofErr w:type="spellStart"/>
      <w:r w:rsidRPr="007B39DA">
        <w:rPr>
          <w:rFonts w:ascii="ITC Avant Garde" w:hAnsi="ITC Avant Garde"/>
          <w:bCs/>
          <w:color w:val="000000"/>
          <w:lang w:eastAsia="es-MX"/>
        </w:rPr>
        <w:t>Atlatlahucan</w:t>
      </w:r>
      <w:proofErr w:type="spellEnd"/>
      <w:r w:rsidRPr="007B39DA">
        <w:rPr>
          <w:rFonts w:ascii="ITC Avant Garde" w:hAnsi="ITC Avant Garde"/>
          <w:bCs/>
          <w:color w:val="000000"/>
          <w:lang w:eastAsia="es-MX"/>
        </w:rPr>
        <w:t xml:space="preserve">, Municipio de </w:t>
      </w:r>
      <w:proofErr w:type="spellStart"/>
      <w:r w:rsidRPr="007B39DA">
        <w:rPr>
          <w:rFonts w:ascii="ITC Avant Garde" w:hAnsi="ITC Avant Garde"/>
          <w:bCs/>
          <w:color w:val="000000"/>
          <w:lang w:eastAsia="es-MX"/>
        </w:rPr>
        <w:t>Atlatlahucan</w:t>
      </w:r>
      <w:proofErr w:type="spellEnd"/>
      <w:r w:rsidRPr="007B39DA">
        <w:rPr>
          <w:rFonts w:ascii="ITC Avant Garde" w:hAnsi="ITC Avant Garde"/>
          <w:bCs/>
          <w:color w:val="000000"/>
          <w:lang w:eastAsia="es-MX"/>
        </w:rPr>
        <w:t xml:space="preserve">; Tlalnepantla, Municipio de Tlalnepantla; </w:t>
      </w:r>
      <w:proofErr w:type="spellStart"/>
      <w:r w:rsidRPr="007B39DA">
        <w:rPr>
          <w:rFonts w:ascii="ITC Avant Garde" w:hAnsi="ITC Avant Garde"/>
          <w:bCs/>
          <w:color w:val="000000"/>
          <w:lang w:eastAsia="es-MX"/>
        </w:rPr>
        <w:t>Totolapan</w:t>
      </w:r>
      <w:proofErr w:type="spellEnd"/>
      <w:r w:rsidRPr="007B39DA">
        <w:rPr>
          <w:rFonts w:ascii="ITC Avant Garde" w:hAnsi="ITC Avant Garde"/>
          <w:bCs/>
          <w:color w:val="000000"/>
          <w:lang w:eastAsia="es-MX"/>
        </w:rPr>
        <w:t xml:space="preserve"> </w:t>
      </w:r>
      <w:r w:rsidR="007B39DA" w:rsidRPr="007B39DA">
        <w:rPr>
          <w:rFonts w:ascii="ITC Avant Garde" w:hAnsi="ITC Avant Garde"/>
          <w:bCs/>
          <w:color w:val="000000"/>
          <w:lang w:eastAsia="es-MX"/>
        </w:rPr>
        <w:t>y</w:t>
      </w:r>
      <w:r w:rsidRPr="007B39DA">
        <w:rPr>
          <w:rFonts w:ascii="ITC Avant Garde" w:hAnsi="ITC Avant Garde"/>
          <w:bCs/>
          <w:color w:val="000000"/>
          <w:lang w:eastAsia="es-MX"/>
        </w:rPr>
        <w:t xml:space="preserve"> </w:t>
      </w:r>
      <w:proofErr w:type="spellStart"/>
      <w:r w:rsidRPr="007B39DA">
        <w:rPr>
          <w:rFonts w:ascii="ITC Avant Garde" w:hAnsi="ITC Avant Garde"/>
          <w:bCs/>
          <w:color w:val="000000"/>
          <w:lang w:eastAsia="es-MX"/>
        </w:rPr>
        <w:t>Nepopualco</w:t>
      </w:r>
      <w:proofErr w:type="spellEnd"/>
      <w:r w:rsidRPr="007B39DA">
        <w:rPr>
          <w:rFonts w:ascii="ITC Avant Garde" w:hAnsi="ITC Avant Garde"/>
          <w:bCs/>
          <w:color w:val="000000"/>
          <w:lang w:eastAsia="es-MX"/>
        </w:rPr>
        <w:t xml:space="preserve">, Municipio de </w:t>
      </w:r>
      <w:proofErr w:type="spellStart"/>
      <w:r w:rsidRPr="007B39DA">
        <w:rPr>
          <w:rFonts w:ascii="ITC Avant Garde" w:hAnsi="ITC Avant Garde"/>
          <w:bCs/>
          <w:color w:val="000000"/>
          <w:lang w:eastAsia="es-MX"/>
        </w:rPr>
        <w:t>Totolapan</w:t>
      </w:r>
      <w:proofErr w:type="spellEnd"/>
      <w:r w:rsidRPr="007B39DA">
        <w:rPr>
          <w:rFonts w:ascii="ITC Avant Garde" w:hAnsi="ITC Avant Garde"/>
          <w:bCs/>
          <w:color w:val="000000"/>
          <w:lang w:eastAsia="es-MX"/>
        </w:rPr>
        <w:t xml:space="preserve">; </w:t>
      </w:r>
      <w:proofErr w:type="spellStart"/>
      <w:r w:rsidRPr="007B39DA">
        <w:rPr>
          <w:rFonts w:ascii="ITC Avant Garde" w:hAnsi="ITC Avant Garde"/>
          <w:bCs/>
          <w:color w:val="000000"/>
          <w:lang w:eastAsia="es-MX"/>
        </w:rPr>
        <w:t>Tlayacapan</w:t>
      </w:r>
      <w:proofErr w:type="spellEnd"/>
      <w:r w:rsidRPr="007B39DA">
        <w:rPr>
          <w:rFonts w:ascii="ITC Avant Garde" w:hAnsi="ITC Avant Garde"/>
          <w:bCs/>
          <w:color w:val="000000"/>
          <w:lang w:eastAsia="es-MX"/>
        </w:rPr>
        <w:t xml:space="preserve"> y </w:t>
      </w:r>
      <w:proofErr w:type="spellStart"/>
      <w:r w:rsidRPr="007B39DA">
        <w:rPr>
          <w:rFonts w:ascii="ITC Avant Garde" w:hAnsi="ITC Avant Garde"/>
          <w:bCs/>
          <w:color w:val="000000"/>
          <w:lang w:eastAsia="es-MX"/>
        </w:rPr>
        <w:t>Cuauhtempan</w:t>
      </w:r>
      <w:proofErr w:type="spellEnd"/>
      <w:r w:rsidRPr="007B39DA">
        <w:rPr>
          <w:rFonts w:ascii="ITC Avant Garde" w:hAnsi="ITC Avant Garde"/>
          <w:bCs/>
          <w:color w:val="000000"/>
          <w:lang w:eastAsia="es-MX"/>
        </w:rPr>
        <w:t xml:space="preserve"> (San Andrés </w:t>
      </w:r>
      <w:proofErr w:type="spellStart"/>
      <w:r w:rsidRPr="007B39DA">
        <w:rPr>
          <w:rFonts w:ascii="ITC Avant Garde" w:hAnsi="ITC Avant Garde"/>
          <w:bCs/>
          <w:color w:val="000000"/>
          <w:lang w:eastAsia="es-MX"/>
        </w:rPr>
        <w:t>Cuauhtempan</w:t>
      </w:r>
      <w:proofErr w:type="spellEnd"/>
      <w:r w:rsidRPr="007B39DA">
        <w:rPr>
          <w:rFonts w:ascii="ITC Avant Garde" w:hAnsi="ITC Avant Garde"/>
          <w:bCs/>
          <w:color w:val="000000"/>
          <w:lang w:eastAsia="es-MX"/>
        </w:rPr>
        <w:t xml:space="preserve">), Municipio de </w:t>
      </w:r>
      <w:proofErr w:type="spellStart"/>
      <w:r w:rsidRPr="007B39DA">
        <w:rPr>
          <w:rFonts w:ascii="ITC Avant Garde" w:hAnsi="ITC Avant Garde"/>
          <w:bCs/>
          <w:color w:val="000000"/>
          <w:lang w:eastAsia="es-MX"/>
        </w:rPr>
        <w:t>Tlayacapan</w:t>
      </w:r>
      <w:proofErr w:type="spellEnd"/>
      <w:r w:rsidRPr="007B39DA">
        <w:rPr>
          <w:rFonts w:ascii="ITC Avant Garde" w:hAnsi="ITC Avant Garde"/>
          <w:bCs/>
          <w:color w:val="000000"/>
          <w:lang w:eastAsia="es-MX"/>
        </w:rPr>
        <w:t>, en el Estado de Morelos</w:t>
      </w:r>
      <w:r w:rsidR="007B39DA" w:rsidRPr="007B39DA">
        <w:rPr>
          <w:rFonts w:ascii="ITC Avant Garde" w:hAnsi="ITC Avant Garde"/>
          <w:bCs/>
          <w:color w:val="000000"/>
          <w:lang w:eastAsia="es-MX"/>
        </w:rPr>
        <w:t>.</w:t>
      </w:r>
    </w:p>
    <w:p w:rsidR="00D4717D" w:rsidRDefault="0011303D" w:rsidP="00D4717D">
      <w:pPr>
        <w:autoSpaceDE w:val="0"/>
        <w:autoSpaceDN w:val="0"/>
        <w:adjustRightInd w:val="0"/>
        <w:spacing w:afterLines="120" w:after="288" w:line="240" w:lineRule="auto"/>
        <w:jc w:val="both"/>
        <w:rPr>
          <w:rFonts w:ascii="ITC Avant Garde" w:hAnsi="ITC Avant Garde"/>
          <w:bCs/>
          <w:color w:val="000000"/>
          <w:lang w:eastAsia="es-MX"/>
        </w:rPr>
      </w:pPr>
      <w:r>
        <w:rPr>
          <w:rFonts w:ascii="ITC Avant Garde" w:hAnsi="ITC Avant Garde"/>
          <w:bCs/>
          <w:color w:val="000000"/>
          <w:lang w:eastAsia="es-MX"/>
        </w:rPr>
        <w:t>Lo anterior, sin perjuicio de las autorizaciones que deba obtener</w:t>
      </w:r>
      <w:r w:rsidR="00EE6EB2" w:rsidRPr="00EE6EB2">
        <w:rPr>
          <w:rFonts w:ascii="ITC Avant Garde" w:hAnsi="ITC Avant Garde"/>
          <w:bCs/>
          <w:lang w:val="es-ES_tradnl"/>
        </w:rPr>
        <w:t xml:space="preserve"> </w:t>
      </w:r>
      <w:proofErr w:type="spellStart"/>
      <w:r w:rsidR="00F95379">
        <w:rPr>
          <w:rFonts w:ascii="ITC Avant Garde" w:hAnsi="ITC Avant Garde"/>
          <w:bCs/>
          <w:color w:val="000000"/>
          <w:lang w:eastAsia="es-MX"/>
        </w:rPr>
        <w:t>Malcvission</w:t>
      </w:r>
      <w:proofErr w:type="spellEnd"/>
      <w:r w:rsidR="00EE6EB2">
        <w:rPr>
          <w:rFonts w:ascii="ITC Avant Garde" w:hAnsi="ITC Avant Garde"/>
          <w:bCs/>
          <w:lang w:val="es-ES_tradnl"/>
        </w:rPr>
        <w:t>, S.A. de 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D4717D" w:rsidRDefault="0022692D" w:rsidP="00D4717D">
      <w:pPr>
        <w:autoSpaceDE w:val="0"/>
        <w:autoSpaceDN w:val="0"/>
        <w:adjustRightInd w:val="0"/>
        <w:spacing w:afterLines="120" w:after="288" w:line="240" w:lineRule="auto"/>
        <w:jc w:val="both"/>
        <w:rPr>
          <w:rFonts w:ascii="ITC Avant Garde" w:hAnsi="ITC Avant Garde"/>
          <w:bCs/>
          <w:lang w:val="es-ES_tradnl"/>
        </w:rPr>
      </w:pPr>
      <w:proofErr w:type="gramStart"/>
      <w:r w:rsidRPr="003F3844">
        <w:rPr>
          <w:rFonts w:ascii="ITC Avant Garde" w:hAnsi="ITC Avant Garde"/>
          <w:b/>
          <w:bCs/>
          <w:lang w:val="es-ES_tradnl"/>
        </w:rPr>
        <w:t>TERCERO</w:t>
      </w:r>
      <w:r>
        <w:rPr>
          <w:rFonts w:ascii="ITC Avant Garde" w:hAnsi="ITC Avant Garde"/>
          <w:bCs/>
          <w:color w:val="000000"/>
          <w:lang w:eastAsia="es-MX"/>
        </w:rPr>
        <w:t>.-</w:t>
      </w:r>
      <w:proofErr w:type="gramEnd"/>
      <w:r>
        <w:rPr>
          <w:rFonts w:ascii="ITC Avant Garde" w:hAnsi="ITC Avant Garde"/>
          <w:bCs/>
          <w:color w:val="000000"/>
          <w:lang w:eastAsia="es-MX"/>
        </w:rPr>
        <w:t xml:space="preserve"> </w:t>
      </w:r>
      <w:r w:rsidR="0011303D" w:rsidRPr="00CC693E">
        <w:rPr>
          <w:rFonts w:ascii="ITC Avant Garde" w:hAnsi="ITC Avant Garde"/>
          <w:bCs/>
          <w:lang w:val="es-ES_tradnl"/>
        </w:rPr>
        <w:t>Se instruye a la Unidad de Conces</w:t>
      </w:r>
      <w:r w:rsidR="0011303D">
        <w:rPr>
          <w:rFonts w:ascii="ITC Avant Garde" w:hAnsi="ITC Avant Garde"/>
          <w:bCs/>
          <w:lang w:val="es-ES_tradnl"/>
        </w:rPr>
        <w:t>iones y Servicios a notificar a</w:t>
      </w:r>
      <w:r w:rsidR="00B65114">
        <w:rPr>
          <w:rFonts w:ascii="ITC Avant Garde" w:hAnsi="ITC Avant Garde"/>
          <w:bCs/>
          <w:lang w:val="es-ES_tradnl"/>
        </w:rPr>
        <w:t xml:space="preserve"> </w:t>
      </w:r>
      <w:proofErr w:type="spellStart"/>
      <w:r w:rsidR="00F95379">
        <w:rPr>
          <w:rFonts w:ascii="ITC Avant Garde" w:hAnsi="ITC Avant Garde"/>
          <w:bCs/>
          <w:color w:val="000000"/>
          <w:lang w:eastAsia="es-MX"/>
        </w:rPr>
        <w:t>Malcvission</w:t>
      </w:r>
      <w:proofErr w:type="spellEnd"/>
      <w:r w:rsidR="00B65114">
        <w:rPr>
          <w:rFonts w:ascii="ITC Avant Garde" w:hAnsi="ITC Avant Garde"/>
          <w:bCs/>
          <w:lang w:val="es-ES_tradnl"/>
        </w:rPr>
        <w:t>, S.A. de C.V.</w:t>
      </w:r>
      <w:r w:rsidR="0011303D">
        <w:rPr>
          <w:rFonts w:ascii="ITC Avant Garde" w:hAnsi="ITC Avant Garde"/>
          <w:bCs/>
          <w:lang w:val="es-ES_tradnl"/>
        </w:rPr>
        <w:t>,</w:t>
      </w:r>
      <w:r w:rsidR="0011303D" w:rsidRPr="00CC693E">
        <w:rPr>
          <w:rFonts w:ascii="ITC Avant Garde" w:hAnsi="ITC Avant Garde"/>
          <w:bCs/>
          <w:lang w:val="es-ES_tradnl"/>
        </w:rPr>
        <w:t xml:space="preserve"> el contenido de la presente Resolución</w:t>
      </w:r>
      <w:r w:rsidR="0011303D">
        <w:rPr>
          <w:rFonts w:ascii="ITC Avant Garde" w:hAnsi="ITC Avant Garde"/>
          <w:bCs/>
          <w:lang w:val="es-ES_tradnl"/>
        </w:rPr>
        <w:t xml:space="preserve">. </w:t>
      </w:r>
    </w:p>
    <w:p w:rsidR="00D4717D" w:rsidRDefault="0022692D" w:rsidP="00D4717D">
      <w:pPr>
        <w:autoSpaceDE w:val="0"/>
        <w:autoSpaceDN w:val="0"/>
        <w:adjustRightInd w:val="0"/>
        <w:spacing w:afterLines="120" w:after="288" w:line="240" w:lineRule="auto"/>
        <w:jc w:val="both"/>
        <w:rPr>
          <w:rFonts w:ascii="ITC Avant Garde" w:hAnsi="ITC Avant Garde"/>
          <w:bCs/>
          <w:lang w:val="es-ES_tradnl"/>
        </w:rPr>
      </w:pPr>
      <w:proofErr w:type="gramStart"/>
      <w:r>
        <w:rPr>
          <w:rFonts w:ascii="ITC Avant Garde" w:hAnsi="ITC Avant Garde"/>
          <w:b/>
          <w:bCs/>
          <w:lang w:val="es-ES_tradnl"/>
        </w:rPr>
        <w:t>CUARTO</w:t>
      </w:r>
      <w:r w:rsidR="00E53BB5">
        <w:rPr>
          <w:rFonts w:ascii="ITC Avant Garde" w:hAnsi="ITC Avant Garde"/>
          <w:b/>
          <w:bCs/>
          <w:lang w:val="es-ES_tradnl"/>
        </w:rPr>
        <w:t>.-</w:t>
      </w:r>
      <w:proofErr w:type="gramEnd"/>
      <w:r w:rsidR="00E53BB5" w:rsidRPr="00CC693E">
        <w:rPr>
          <w:rFonts w:ascii="ITC Avant Garde" w:hAnsi="ITC Avant Garde"/>
          <w:bCs/>
          <w:lang w:val="es-ES_tradnl"/>
        </w:rPr>
        <w:t xml:space="preserve"> </w:t>
      </w:r>
      <w:r w:rsidR="0011303D" w:rsidRPr="004F5CD6">
        <w:rPr>
          <w:rFonts w:ascii="ITC Avant Garde" w:hAnsi="ITC Avant Garde"/>
          <w:bCs/>
          <w:lang w:val="es-ES_tradnl"/>
        </w:rPr>
        <w:t xml:space="preserve">Una vez satisfecho lo establecido en </w:t>
      </w:r>
      <w:r w:rsidR="0011303D">
        <w:rPr>
          <w:rFonts w:ascii="ITC Avant Garde" w:hAnsi="ITC Avant Garde"/>
          <w:bCs/>
          <w:lang w:val="es-ES_tradnl"/>
        </w:rPr>
        <w:t>e</w:t>
      </w:r>
      <w:r w:rsidR="0011303D" w:rsidRPr="004F5CD6">
        <w:rPr>
          <w:rFonts w:ascii="ITC Avant Garde" w:hAnsi="ITC Avant Garde"/>
          <w:bCs/>
          <w:lang w:val="es-ES_tradnl"/>
        </w:rPr>
        <w:t xml:space="preserve">l Resolutivo </w:t>
      </w:r>
      <w:r w:rsidR="0011303D">
        <w:rPr>
          <w:rFonts w:ascii="ITC Avant Garde" w:hAnsi="ITC Avant Garde"/>
          <w:bCs/>
          <w:lang w:val="es-ES_tradnl"/>
        </w:rPr>
        <w:t>Tercero</w:t>
      </w:r>
      <w:r w:rsidR="0011303D" w:rsidRPr="004F5CD6">
        <w:rPr>
          <w:rFonts w:ascii="ITC Avant Garde" w:hAnsi="ITC Avant Garde"/>
          <w:bCs/>
          <w:lang w:val="es-ES_tradnl"/>
        </w:rPr>
        <w:t xml:space="preserve"> anterior, </w:t>
      </w:r>
      <w:r w:rsidR="006C581B">
        <w:rPr>
          <w:rFonts w:ascii="ITC Avant Garde" w:hAnsi="ITC Avant Garde"/>
          <w:bCs/>
          <w:lang w:val="es-ES_tradnl"/>
        </w:rPr>
        <w:t>el</w:t>
      </w:r>
      <w:r w:rsidR="006C581B" w:rsidRPr="004F5CD6">
        <w:rPr>
          <w:rFonts w:ascii="ITC Avant Garde" w:hAnsi="ITC Avant Garde"/>
          <w:bCs/>
          <w:lang w:val="es-ES_tradnl"/>
        </w:rPr>
        <w:t xml:space="preserve"> </w:t>
      </w:r>
      <w:r w:rsidR="0011303D" w:rsidRPr="004F5CD6">
        <w:rPr>
          <w:rFonts w:ascii="ITC Avant Garde" w:hAnsi="ITC Avant Garde"/>
          <w:bCs/>
          <w:lang w:val="es-ES_tradnl"/>
        </w:rPr>
        <w:t>Comisionad</w:t>
      </w:r>
      <w:r w:rsidR="005B6811">
        <w:rPr>
          <w:rFonts w:ascii="ITC Avant Garde" w:hAnsi="ITC Avant Garde"/>
          <w:bCs/>
          <w:lang w:val="es-ES_tradnl"/>
        </w:rPr>
        <w:t>o</w:t>
      </w:r>
      <w:r w:rsidR="0011303D" w:rsidRPr="004F5CD6">
        <w:rPr>
          <w:rFonts w:ascii="ITC Avant Garde" w:hAnsi="ITC Avant Garde"/>
          <w:bCs/>
          <w:lang w:val="es-ES_tradnl"/>
        </w:rPr>
        <w:t xml:space="preserve"> President</w:t>
      </w:r>
      <w:r w:rsidR="006C581B">
        <w:rPr>
          <w:rFonts w:ascii="ITC Avant Garde" w:hAnsi="ITC Avant Garde"/>
          <w:bCs/>
          <w:lang w:val="es-ES_tradnl"/>
        </w:rPr>
        <w:t>e</w:t>
      </w:r>
      <w:r w:rsidR="0011303D" w:rsidRPr="004F5CD6">
        <w:rPr>
          <w:rFonts w:ascii="ITC Avant Garde" w:hAnsi="ITC Avant Garde"/>
          <w:bCs/>
          <w:lang w:val="es-ES_tradnl"/>
        </w:rPr>
        <w:t xml:space="preserve"> del Instituto Federal de Telecomunicaciones, con base en las facultades que le confiere el artículo 14 fracción X del Estatuto Orgánico, suscribirá </w:t>
      </w:r>
      <w:r w:rsidR="0011303D">
        <w:rPr>
          <w:rFonts w:ascii="ITC Avant Garde" w:hAnsi="ITC Avant Garde"/>
          <w:bCs/>
          <w:lang w:val="es-ES_tradnl"/>
        </w:rPr>
        <w:t>e</w:t>
      </w:r>
      <w:r w:rsidR="0011303D" w:rsidRPr="004F5CD6">
        <w:rPr>
          <w:rFonts w:ascii="ITC Avant Garde" w:hAnsi="ITC Avant Garde"/>
          <w:bCs/>
          <w:lang w:val="es-ES_tradnl"/>
        </w:rPr>
        <w:t xml:space="preserve">l título de concesión </w:t>
      </w:r>
      <w:r w:rsidR="0011303D">
        <w:rPr>
          <w:rFonts w:ascii="ITC Avant Garde" w:hAnsi="ITC Avant Garde"/>
          <w:bCs/>
          <w:lang w:val="es-ES_tradnl"/>
        </w:rPr>
        <w:t xml:space="preserve">única a que se refiere el Resolutivo Segundo de la presente </w:t>
      </w:r>
      <w:r w:rsidR="0011303D" w:rsidRPr="00663434">
        <w:rPr>
          <w:rFonts w:ascii="ITC Avant Garde" w:hAnsi="ITC Avant Garde"/>
          <w:bCs/>
          <w:lang w:val="es-ES_tradnl"/>
        </w:rPr>
        <w:t>Resolución.</w:t>
      </w:r>
    </w:p>
    <w:p w:rsidR="00D4717D" w:rsidRDefault="0011303D" w:rsidP="00D4717D">
      <w:pPr>
        <w:spacing w:afterLines="120" w:after="288" w:line="240" w:lineRule="auto"/>
        <w:jc w:val="both"/>
        <w:rPr>
          <w:rFonts w:ascii="ITC Avant Garde" w:hAnsi="ITC Avant Garde"/>
          <w:bCs/>
          <w:lang w:val="es-ES_tradnl"/>
        </w:rPr>
      </w:pPr>
      <w:r>
        <w:rPr>
          <w:rFonts w:ascii="ITC Avant Garde" w:hAnsi="ITC Avant Garde"/>
          <w:bCs/>
          <w:lang w:val="es-ES_tradnl"/>
        </w:rPr>
        <w:t>Concluido lo anterior, se instruye a la Unidad de Concesiones y Servicios a hacer entrega del título de concesión única a</w:t>
      </w:r>
      <w:r w:rsidR="00B65114">
        <w:rPr>
          <w:rFonts w:ascii="ITC Avant Garde" w:hAnsi="ITC Avant Garde"/>
          <w:bCs/>
          <w:lang w:val="es-ES_tradnl"/>
        </w:rPr>
        <w:t xml:space="preserve"> </w:t>
      </w:r>
      <w:proofErr w:type="spellStart"/>
      <w:r w:rsidR="00F95379">
        <w:rPr>
          <w:rFonts w:ascii="ITC Avant Garde" w:hAnsi="ITC Avant Garde"/>
          <w:bCs/>
          <w:color w:val="000000"/>
          <w:lang w:eastAsia="es-MX"/>
        </w:rPr>
        <w:t>Malcvission</w:t>
      </w:r>
      <w:proofErr w:type="spellEnd"/>
      <w:r w:rsidR="00B65114">
        <w:rPr>
          <w:rFonts w:ascii="ITC Avant Garde" w:hAnsi="ITC Avant Garde"/>
          <w:bCs/>
          <w:lang w:val="es-ES_tradnl"/>
        </w:rPr>
        <w:t>, S.A. de C.V</w:t>
      </w:r>
      <w:r w:rsidR="002C01AC">
        <w:rPr>
          <w:rFonts w:ascii="ITC Avant Garde" w:hAnsi="ITC Avant Garde"/>
          <w:bCs/>
          <w:lang w:val="es-ES_tradnl"/>
        </w:rPr>
        <w:t>.</w:t>
      </w:r>
    </w:p>
    <w:p w:rsidR="00D4717D" w:rsidRDefault="0022692D" w:rsidP="00D4717D">
      <w:pPr>
        <w:autoSpaceDE w:val="0"/>
        <w:autoSpaceDN w:val="0"/>
        <w:adjustRightInd w:val="0"/>
        <w:spacing w:afterLines="120" w:after="288" w:line="240" w:lineRule="auto"/>
        <w:jc w:val="both"/>
        <w:rPr>
          <w:rFonts w:ascii="ITC Avant Garde" w:hAnsi="ITC Avant Garde"/>
          <w:bCs/>
          <w:lang w:val="es-ES_tradnl"/>
        </w:rPr>
      </w:pPr>
      <w:r>
        <w:rPr>
          <w:rFonts w:ascii="ITC Avant Garde" w:hAnsi="ITC Avant Garde"/>
          <w:b/>
          <w:bCs/>
          <w:lang w:val="es-ES_tradnl"/>
        </w:rPr>
        <w:lastRenderedPageBreak/>
        <w:t>QUINTO</w:t>
      </w:r>
      <w:r w:rsidR="000807D9" w:rsidRPr="003F3844">
        <w:rPr>
          <w:rFonts w:ascii="ITC Avant Garde" w:hAnsi="ITC Avant Garde"/>
          <w:b/>
          <w:bCs/>
          <w:lang w:val="es-ES_tradnl"/>
        </w:rPr>
        <w:t>.-</w:t>
      </w:r>
      <w:r w:rsidR="00AA3945" w:rsidRPr="00AA3945">
        <w:rPr>
          <w:rFonts w:ascii="ITC Avant Garde" w:hAnsi="ITC Avant Garde"/>
          <w:bCs/>
          <w:lang w:val="es-ES_tradnl"/>
        </w:rPr>
        <w:t xml:space="preserve"> </w:t>
      </w:r>
      <w:proofErr w:type="spellStart"/>
      <w:r w:rsidR="00F95379">
        <w:rPr>
          <w:rFonts w:ascii="ITC Avant Garde" w:hAnsi="ITC Avant Garde"/>
          <w:bCs/>
          <w:color w:val="000000"/>
          <w:lang w:eastAsia="es-MX"/>
        </w:rPr>
        <w:t>Malcvission</w:t>
      </w:r>
      <w:proofErr w:type="spellEnd"/>
      <w:r w:rsidR="00AA3945">
        <w:rPr>
          <w:rFonts w:ascii="ITC Avant Garde" w:hAnsi="ITC Avant Garde"/>
          <w:bCs/>
          <w:lang w:val="es-ES_tradnl"/>
        </w:rPr>
        <w:t>, S.A. de C.V., en cumplimiento a lo establecido en el último párrafo del artículo 112 de la Ley Federal de Telecomunicaciones y Radiodifusión, en un plazo no mayor a 90 días hábiles contados a partir de la fecha de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454B5A" w:rsidRDefault="00AA3945" w:rsidP="00D4717D">
      <w:pPr>
        <w:autoSpaceDE w:val="0"/>
        <w:autoSpaceDN w:val="0"/>
        <w:adjustRightInd w:val="0"/>
        <w:spacing w:afterLines="120" w:after="288" w:line="240" w:lineRule="auto"/>
        <w:jc w:val="both"/>
        <w:rPr>
          <w:rFonts w:ascii="ITC Avant Garde" w:hAnsi="ITC Avant Garde"/>
          <w:bCs/>
          <w:lang w:val="es-ES_tradnl"/>
        </w:rPr>
      </w:pPr>
      <w:proofErr w:type="gramStart"/>
      <w:r w:rsidRPr="006C4158">
        <w:rPr>
          <w:rFonts w:ascii="ITC Avant Garde" w:hAnsi="ITC Avant Garde"/>
          <w:b/>
          <w:bCs/>
          <w:lang w:val="es-ES_tradnl"/>
        </w:rPr>
        <w:t>SEXTO.</w:t>
      </w:r>
      <w:r>
        <w:rPr>
          <w:rFonts w:ascii="ITC Avant Garde" w:hAnsi="ITC Avant Garde"/>
          <w:bCs/>
          <w:lang w:val="es-ES_tradnl"/>
        </w:rPr>
        <w:t>-</w:t>
      </w:r>
      <w:proofErr w:type="gramEnd"/>
      <w:r>
        <w:rPr>
          <w:rFonts w:ascii="ITC Avant Garde" w:hAnsi="ITC Avant Garde"/>
          <w:bCs/>
          <w:lang w:val="es-ES_tradnl"/>
        </w:rPr>
        <w:t xml:space="preserve"> </w:t>
      </w:r>
      <w:r w:rsidR="0011303D" w:rsidRPr="00663434">
        <w:rPr>
          <w:rFonts w:ascii="ITC Avant Garde" w:hAnsi="ITC Avant Garde"/>
          <w:bCs/>
          <w:lang w:val="es-ES_tradnl"/>
        </w:rPr>
        <w:t>Inscríbase en el Registro Público de Concesiones el título de concesión única que se otorgue, una vez que sea debidamente entregado a</w:t>
      </w:r>
      <w:r w:rsidR="00B65114">
        <w:rPr>
          <w:rFonts w:ascii="ITC Avant Garde" w:hAnsi="ITC Avant Garde"/>
          <w:bCs/>
          <w:lang w:val="es-ES_tradnl"/>
        </w:rPr>
        <w:t xml:space="preserve"> </w:t>
      </w:r>
      <w:r w:rsidR="0011303D" w:rsidRPr="00663434">
        <w:rPr>
          <w:rFonts w:ascii="ITC Avant Garde" w:hAnsi="ITC Avant Garde"/>
          <w:bCs/>
          <w:lang w:val="es-ES_tradnl"/>
        </w:rPr>
        <w:t>l</w:t>
      </w:r>
      <w:r w:rsidR="00B65114">
        <w:rPr>
          <w:rFonts w:ascii="ITC Avant Garde" w:hAnsi="ITC Avant Garde"/>
          <w:bCs/>
          <w:lang w:val="es-ES_tradnl"/>
        </w:rPr>
        <w:t>a</w:t>
      </w:r>
      <w:r w:rsidR="0011303D" w:rsidRPr="00663434">
        <w:rPr>
          <w:rFonts w:ascii="ITC Avant Garde" w:hAnsi="ITC Avant Garde"/>
          <w:bCs/>
          <w:lang w:val="es-ES_tradnl"/>
        </w:rPr>
        <w:t xml:space="preserve"> interesad</w:t>
      </w:r>
      <w:r w:rsidR="00B65114">
        <w:rPr>
          <w:rFonts w:ascii="ITC Avant Garde" w:hAnsi="ITC Avant Garde"/>
          <w:bCs/>
          <w:lang w:val="es-ES_tradnl"/>
        </w:rPr>
        <w:t>a</w:t>
      </w:r>
      <w:r w:rsidR="0011303D" w:rsidRPr="00663434">
        <w:rPr>
          <w:rFonts w:ascii="ITC Avant Garde" w:hAnsi="ITC Avant Garde"/>
          <w:bCs/>
          <w:lang w:val="es-ES_tradnl"/>
        </w:rPr>
        <w:t>.</w:t>
      </w:r>
    </w:p>
    <w:p w:rsidR="00D4717D" w:rsidRDefault="00072DAB" w:rsidP="00D4717D">
      <w:pPr>
        <w:spacing w:afterLines="120" w:after="288" w:line="240" w:lineRule="auto"/>
        <w:jc w:val="both"/>
        <w:rPr>
          <w:rFonts w:eastAsiaTheme="minorHAnsi"/>
          <w:sz w:val="14"/>
          <w:szCs w:val="14"/>
        </w:rPr>
      </w:pPr>
      <w:r w:rsidRPr="00072DAB">
        <w:rPr>
          <w:rFonts w:ascii="ITC Avant Garde" w:hAnsi="ITC Avant Garde"/>
          <w:sz w:val="14"/>
          <w:szCs w:val="14"/>
          <w:lang w:val="es-ES" w:eastAsia="es-ES"/>
        </w:rPr>
        <w:t xml:space="preserve">La presente Resolución fue aprobada por el Pleno del Instituto Federal de Telecomunicaciones en su III Sesión Ordinaria celebrada el 31 de enero de 2018, </w:t>
      </w:r>
      <w:r w:rsidRPr="00072DAB">
        <w:rPr>
          <w:rFonts w:ascii="ITC Avant Garde" w:hAnsi="ITC Avant Garde"/>
          <w:bCs/>
          <w:sz w:val="14"/>
          <w:szCs w:val="14"/>
          <w:lang w:val="es-ES" w:eastAsia="es-ES"/>
        </w:rPr>
        <w:t>en lo general por unanimidad</w:t>
      </w:r>
      <w:r w:rsidRPr="00072DAB">
        <w:rPr>
          <w:rFonts w:ascii="ITC Avant Garde" w:hAnsi="ITC Avant Garde"/>
          <w:sz w:val="14"/>
          <w:szCs w:val="14"/>
          <w:lang w:val="es-ES" w:eastAsia="es-ES"/>
        </w:rPr>
        <w:t xml:space="preserve"> de votos de los Comisionados Gabriel Oswaldo Contreras Saldívar, Adriana Sofía Labardini </w:t>
      </w:r>
      <w:proofErr w:type="spellStart"/>
      <w:r w:rsidRPr="00072DAB">
        <w:rPr>
          <w:rFonts w:ascii="ITC Avant Garde" w:hAnsi="ITC Avant Garde"/>
          <w:sz w:val="14"/>
          <w:szCs w:val="14"/>
          <w:lang w:val="es-ES" w:eastAsia="es-ES"/>
        </w:rPr>
        <w:t>Inzunza</w:t>
      </w:r>
      <w:proofErr w:type="spellEnd"/>
      <w:r w:rsidRPr="00072DAB">
        <w:rPr>
          <w:rFonts w:ascii="ITC Avant Garde" w:hAnsi="ITC Avant Garde"/>
          <w:sz w:val="14"/>
          <w:szCs w:val="14"/>
          <w:lang w:val="es-ES" w:eastAsia="es-ES"/>
        </w:rPr>
        <w:t xml:space="preserve">, </w:t>
      </w:r>
      <w:r w:rsidRPr="00072DAB">
        <w:rPr>
          <w:rFonts w:ascii="ITC Avant Garde" w:hAnsi="ITC Avant Garde"/>
          <w:sz w:val="14"/>
          <w:szCs w:val="14"/>
          <w:lang w:eastAsia="es-MX"/>
        </w:rPr>
        <w:t xml:space="preserve">María Elena </w:t>
      </w:r>
      <w:proofErr w:type="spellStart"/>
      <w:r w:rsidRPr="00072DAB">
        <w:rPr>
          <w:rFonts w:ascii="ITC Avant Garde" w:hAnsi="ITC Avant Garde"/>
          <w:sz w:val="14"/>
          <w:szCs w:val="14"/>
          <w:lang w:eastAsia="es-MX"/>
        </w:rPr>
        <w:t>Estavillo</w:t>
      </w:r>
      <w:proofErr w:type="spellEnd"/>
      <w:r w:rsidRPr="00072DAB">
        <w:rPr>
          <w:rFonts w:ascii="ITC Avant Garde" w:hAnsi="ITC Avant Garde"/>
          <w:sz w:val="14"/>
          <w:szCs w:val="14"/>
          <w:lang w:eastAsia="es-MX"/>
        </w:rPr>
        <w:t xml:space="preserve"> Flores, Mario Germán </w:t>
      </w:r>
      <w:proofErr w:type="spellStart"/>
      <w:r w:rsidRPr="00072DAB">
        <w:rPr>
          <w:rFonts w:ascii="ITC Avant Garde" w:hAnsi="ITC Avant Garde"/>
          <w:sz w:val="14"/>
          <w:szCs w:val="14"/>
          <w:lang w:eastAsia="es-MX"/>
        </w:rPr>
        <w:t>Fromow</w:t>
      </w:r>
      <w:proofErr w:type="spellEnd"/>
      <w:r w:rsidRPr="00072DAB">
        <w:rPr>
          <w:rFonts w:ascii="ITC Avant Garde" w:hAnsi="ITC Avant Garde"/>
          <w:sz w:val="14"/>
          <w:szCs w:val="14"/>
          <w:lang w:eastAsia="es-MX"/>
        </w:rPr>
        <w:t xml:space="preserve"> Rangel, Adolfo Cuevas Teja, Javier Juárez Mojica y Arturo Robles </w:t>
      </w:r>
      <w:proofErr w:type="spellStart"/>
      <w:r w:rsidRPr="00072DAB">
        <w:rPr>
          <w:rFonts w:ascii="ITC Avant Garde" w:hAnsi="ITC Avant Garde"/>
          <w:sz w:val="14"/>
          <w:szCs w:val="14"/>
          <w:lang w:eastAsia="es-MX"/>
        </w:rPr>
        <w:t>Rovalo</w:t>
      </w:r>
      <w:proofErr w:type="spellEnd"/>
      <w:r w:rsidRPr="00072DAB">
        <w:rPr>
          <w:rFonts w:ascii="ITC Avant Garde" w:hAnsi="ITC Avant Garde"/>
          <w:sz w:val="14"/>
          <w:szCs w:val="14"/>
          <w:lang w:eastAsia="es-MX"/>
        </w:rPr>
        <w:t>.</w:t>
      </w:r>
    </w:p>
    <w:p w:rsidR="00D4717D" w:rsidRDefault="00072DAB" w:rsidP="00D4717D">
      <w:pPr>
        <w:spacing w:afterLines="120" w:after="288" w:line="240" w:lineRule="auto"/>
        <w:jc w:val="both"/>
        <w:rPr>
          <w:sz w:val="14"/>
          <w:szCs w:val="14"/>
        </w:rPr>
      </w:pPr>
      <w:r w:rsidRPr="00072DAB">
        <w:rPr>
          <w:rFonts w:ascii="ITC Avant Garde" w:hAnsi="ITC Avant Garde"/>
          <w:sz w:val="14"/>
          <w:szCs w:val="14"/>
          <w:lang w:eastAsia="es-MX"/>
        </w:rPr>
        <w:t>En lo particular, el Comisionado Adolfo Cuevas Teja manifiesta voto en contra del Resolutivo Segundo, por lo que hace a retrotraer la vigencia de la concesión única.</w:t>
      </w:r>
    </w:p>
    <w:p w:rsidR="00072DAB" w:rsidRPr="00D4717D" w:rsidRDefault="00072DAB" w:rsidP="00D4717D">
      <w:pPr>
        <w:spacing w:afterLines="120" w:after="288" w:line="240" w:lineRule="auto"/>
        <w:jc w:val="both"/>
        <w:rPr>
          <w:sz w:val="14"/>
          <w:szCs w:val="14"/>
        </w:rPr>
      </w:pPr>
      <w:r w:rsidRPr="00072DAB">
        <w:rPr>
          <w:rFonts w:ascii="ITC Avant Garde" w:hAnsi="ITC Avant Garde"/>
          <w:sz w:val="14"/>
          <w:szCs w:val="14"/>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P/IFT/310118/50.</w:t>
      </w:r>
      <w:bookmarkStart w:id="0" w:name="_GoBack"/>
      <w:bookmarkEnd w:id="0"/>
    </w:p>
    <w:sectPr w:rsidR="00072DAB" w:rsidRPr="00D4717D" w:rsidSect="00643DDE">
      <w:headerReference w:type="even" r:id="rId8"/>
      <w:footerReference w:type="default" r:id="rId9"/>
      <w:headerReference w:type="first" r:id="rId10"/>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43" w:rsidRDefault="00267C43">
      <w:pPr>
        <w:spacing w:after="0" w:line="240" w:lineRule="auto"/>
      </w:pPr>
      <w:r>
        <w:separator/>
      </w:r>
    </w:p>
  </w:endnote>
  <w:endnote w:type="continuationSeparator" w:id="0">
    <w:p w:rsidR="00267C43" w:rsidRDefault="0026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BA" w:rsidRPr="004C7979" w:rsidRDefault="00F4787D"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A6C20">
      <w:rPr>
        <w:rFonts w:ascii="ITC Avant Garde" w:hAnsi="ITC Avant Garde" w:cs="Calibri"/>
        <w:noProof/>
        <w:sz w:val="18"/>
        <w:szCs w:val="18"/>
      </w:rPr>
      <w:t>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43" w:rsidRDefault="00267C43">
      <w:pPr>
        <w:spacing w:after="0" w:line="240" w:lineRule="auto"/>
      </w:pPr>
      <w:r>
        <w:separator/>
      </w:r>
    </w:p>
  </w:footnote>
  <w:footnote w:type="continuationSeparator" w:id="0">
    <w:p w:rsidR="00267C43" w:rsidRDefault="0026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267C4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Pr="000F5E4B" w:rsidRDefault="00267C43">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3DB170BA"/>
    <w:multiLevelType w:val="hybridMultilevel"/>
    <w:tmpl w:val="DD78F164"/>
    <w:lvl w:ilvl="0" w:tplc="4CC228A0">
      <w:start w:val="1"/>
      <w:numFmt w:val="lowerLetter"/>
      <w:lvlText w:val="%1)"/>
      <w:lvlJc w:val="left"/>
      <w:pPr>
        <w:ind w:left="2509" w:hanging="360"/>
      </w:pPr>
      <w:rPr>
        <w:rFonts w:hint="default"/>
        <w:b/>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3EED3995"/>
    <w:multiLevelType w:val="hybridMultilevel"/>
    <w:tmpl w:val="772EA2C2"/>
    <w:lvl w:ilvl="0" w:tplc="7FFA22E8">
      <w:start w:val="8"/>
      <w:numFmt w:val="upperRoman"/>
      <w:lvlText w:val="%1."/>
      <w:lvlJc w:val="left"/>
      <w:pPr>
        <w:ind w:left="862" w:hanging="720"/>
      </w:pPr>
      <w:rPr>
        <w:rFonts w:ascii="ITC Avant Garde Std Bk" w:eastAsia="Calibri" w:hAnsi="ITC Avant Garde Std Bk"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12432"/>
    <w:rsid w:val="00023870"/>
    <w:rsid w:val="00027FBC"/>
    <w:rsid w:val="00033E46"/>
    <w:rsid w:val="0003732E"/>
    <w:rsid w:val="00040360"/>
    <w:rsid w:val="00040493"/>
    <w:rsid w:val="00041A45"/>
    <w:rsid w:val="0004438A"/>
    <w:rsid w:val="00047617"/>
    <w:rsid w:val="00051058"/>
    <w:rsid w:val="00051286"/>
    <w:rsid w:val="0006059D"/>
    <w:rsid w:val="0006274F"/>
    <w:rsid w:val="000635D7"/>
    <w:rsid w:val="0006483A"/>
    <w:rsid w:val="00070ADE"/>
    <w:rsid w:val="00072DAB"/>
    <w:rsid w:val="00075CC3"/>
    <w:rsid w:val="00077F87"/>
    <w:rsid w:val="000807D9"/>
    <w:rsid w:val="00080947"/>
    <w:rsid w:val="00081015"/>
    <w:rsid w:val="000828FC"/>
    <w:rsid w:val="00083C42"/>
    <w:rsid w:val="00091FF0"/>
    <w:rsid w:val="000A3816"/>
    <w:rsid w:val="000B2622"/>
    <w:rsid w:val="000C3AE3"/>
    <w:rsid w:val="000D159F"/>
    <w:rsid w:val="000D37B7"/>
    <w:rsid w:val="000D3C40"/>
    <w:rsid w:val="000D4B00"/>
    <w:rsid w:val="000E2449"/>
    <w:rsid w:val="000E755F"/>
    <w:rsid w:val="00103AE1"/>
    <w:rsid w:val="00104574"/>
    <w:rsid w:val="001108CC"/>
    <w:rsid w:val="00110E32"/>
    <w:rsid w:val="00112D03"/>
    <w:rsid w:val="0011303D"/>
    <w:rsid w:val="00116826"/>
    <w:rsid w:val="00116FB7"/>
    <w:rsid w:val="00122CE7"/>
    <w:rsid w:val="001237ED"/>
    <w:rsid w:val="00124547"/>
    <w:rsid w:val="0012668A"/>
    <w:rsid w:val="00127867"/>
    <w:rsid w:val="00127D23"/>
    <w:rsid w:val="00127E26"/>
    <w:rsid w:val="00145F99"/>
    <w:rsid w:val="0015314E"/>
    <w:rsid w:val="00153EAB"/>
    <w:rsid w:val="00154911"/>
    <w:rsid w:val="001578BF"/>
    <w:rsid w:val="001661C2"/>
    <w:rsid w:val="0016797D"/>
    <w:rsid w:val="00171B02"/>
    <w:rsid w:val="00174E69"/>
    <w:rsid w:val="00176516"/>
    <w:rsid w:val="00177E68"/>
    <w:rsid w:val="0018519B"/>
    <w:rsid w:val="00187085"/>
    <w:rsid w:val="00190009"/>
    <w:rsid w:val="00191C77"/>
    <w:rsid w:val="00192CF3"/>
    <w:rsid w:val="001935FC"/>
    <w:rsid w:val="00193D02"/>
    <w:rsid w:val="00197854"/>
    <w:rsid w:val="001A3B30"/>
    <w:rsid w:val="001B019E"/>
    <w:rsid w:val="001B3891"/>
    <w:rsid w:val="001B3B1D"/>
    <w:rsid w:val="001B47A3"/>
    <w:rsid w:val="001B61F6"/>
    <w:rsid w:val="001C0294"/>
    <w:rsid w:val="001C0885"/>
    <w:rsid w:val="001C3C94"/>
    <w:rsid w:val="001C40C4"/>
    <w:rsid w:val="001C49CD"/>
    <w:rsid w:val="001C7920"/>
    <w:rsid w:val="001D0F54"/>
    <w:rsid w:val="001D2EC1"/>
    <w:rsid w:val="001D7681"/>
    <w:rsid w:val="001D7887"/>
    <w:rsid w:val="001D78C5"/>
    <w:rsid w:val="001F573B"/>
    <w:rsid w:val="001F6E73"/>
    <w:rsid w:val="001F7A4C"/>
    <w:rsid w:val="0020067E"/>
    <w:rsid w:val="00215955"/>
    <w:rsid w:val="00216965"/>
    <w:rsid w:val="0022692D"/>
    <w:rsid w:val="00231CA0"/>
    <w:rsid w:val="002333C5"/>
    <w:rsid w:val="002347B2"/>
    <w:rsid w:val="0023705E"/>
    <w:rsid w:val="00241080"/>
    <w:rsid w:val="002418D1"/>
    <w:rsid w:val="00244F59"/>
    <w:rsid w:val="002465DA"/>
    <w:rsid w:val="002467E6"/>
    <w:rsid w:val="002555F4"/>
    <w:rsid w:val="00255747"/>
    <w:rsid w:val="00264CC5"/>
    <w:rsid w:val="0026504D"/>
    <w:rsid w:val="00267C43"/>
    <w:rsid w:val="00280377"/>
    <w:rsid w:val="0028342A"/>
    <w:rsid w:val="002866EA"/>
    <w:rsid w:val="00290497"/>
    <w:rsid w:val="00292AAE"/>
    <w:rsid w:val="00293450"/>
    <w:rsid w:val="002A04B8"/>
    <w:rsid w:val="002A08FD"/>
    <w:rsid w:val="002A18E1"/>
    <w:rsid w:val="002A1C9A"/>
    <w:rsid w:val="002A2D3A"/>
    <w:rsid w:val="002A32CD"/>
    <w:rsid w:val="002B5DEC"/>
    <w:rsid w:val="002C01AC"/>
    <w:rsid w:val="002C455B"/>
    <w:rsid w:val="002C48EB"/>
    <w:rsid w:val="002C5116"/>
    <w:rsid w:val="002C741A"/>
    <w:rsid w:val="002D1151"/>
    <w:rsid w:val="002D366D"/>
    <w:rsid w:val="002D7C16"/>
    <w:rsid w:val="002E0F30"/>
    <w:rsid w:val="002E1347"/>
    <w:rsid w:val="002E1633"/>
    <w:rsid w:val="002E1E33"/>
    <w:rsid w:val="002E57EE"/>
    <w:rsid w:val="002E5FF9"/>
    <w:rsid w:val="002F65E3"/>
    <w:rsid w:val="00300229"/>
    <w:rsid w:val="00300521"/>
    <w:rsid w:val="00301EDD"/>
    <w:rsid w:val="00304638"/>
    <w:rsid w:val="00310BEB"/>
    <w:rsid w:val="0031438A"/>
    <w:rsid w:val="00314D76"/>
    <w:rsid w:val="003170D3"/>
    <w:rsid w:val="003227D2"/>
    <w:rsid w:val="003241B8"/>
    <w:rsid w:val="003253DA"/>
    <w:rsid w:val="00326580"/>
    <w:rsid w:val="003310A4"/>
    <w:rsid w:val="00335F1A"/>
    <w:rsid w:val="0033755C"/>
    <w:rsid w:val="003403AF"/>
    <w:rsid w:val="00342288"/>
    <w:rsid w:val="003435D0"/>
    <w:rsid w:val="00347E61"/>
    <w:rsid w:val="00347ED3"/>
    <w:rsid w:val="00356D17"/>
    <w:rsid w:val="00370E94"/>
    <w:rsid w:val="00372150"/>
    <w:rsid w:val="003749F5"/>
    <w:rsid w:val="00377077"/>
    <w:rsid w:val="00382004"/>
    <w:rsid w:val="0038623F"/>
    <w:rsid w:val="003875B4"/>
    <w:rsid w:val="00395183"/>
    <w:rsid w:val="0039543F"/>
    <w:rsid w:val="00396428"/>
    <w:rsid w:val="003A0C51"/>
    <w:rsid w:val="003A687E"/>
    <w:rsid w:val="003B34B3"/>
    <w:rsid w:val="003B6088"/>
    <w:rsid w:val="003C184D"/>
    <w:rsid w:val="003C4EDE"/>
    <w:rsid w:val="003C4FBD"/>
    <w:rsid w:val="003C59CD"/>
    <w:rsid w:val="003C5B5E"/>
    <w:rsid w:val="003D0131"/>
    <w:rsid w:val="003D431D"/>
    <w:rsid w:val="003D49D5"/>
    <w:rsid w:val="003D5879"/>
    <w:rsid w:val="003D631F"/>
    <w:rsid w:val="003E1599"/>
    <w:rsid w:val="003E1719"/>
    <w:rsid w:val="003E41AD"/>
    <w:rsid w:val="003E4865"/>
    <w:rsid w:val="003E55D9"/>
    <w:rsid w:val="003E5BFE"/>
    <w:rsid w:val="003F3A84"/>
    <w:rsid w:val="00430C93"/>
    <w:rsid w:val="00431ECA"/>
    <w:rsid w:val="0043230F"/>
    <w:rsid w:val="004359A9"/>
    <w:rsid w:val="00444158"/>
    <w:rsid w:val="00446369"/>
    <w:rsid w:val="00450529"/>
    <w:rsid w:val="004522BC"/>
    <w:rsid w:val="0045412A"/>
    <w:rsid w:val="00454B5A"/>
    <w:rsid w:val="00455C91"/>
    <w:rsid w:val="00460B24"/>
    <w:rsid w:val="00461E3A"/>
    <w:rsid w:val="004650A2"/>
    <w:rsid w:val="0046585A"/>
    <w:rsid w:val="00467E16"/>
    <w:rsid w:val="00472BBF"/>
    <w:rsid w:val="004747B6"/>
    <w:rsid w:val="00474D2E"/>
    <w:rsid w:val="00475C69"/>
    <w:rsid w:val="00477571"/>
    <w:rsid w:val="00481D2B"/>
    <w:rsid w:val="004854F5"/>
    <w:rsid w:val="00493069"/>
    <w:rsid w:val="004A17AC"/>
    <w:rsid w:val="004A1DEF"/>
    <w:rsid w:val="004B1049"/>
    <w:rsid w:val="004C04BB"/>
    <w:rsid w:val="004C09D7"/>
    <w:rsid w:val="004C1030"/>
    <w:rsid w:val="004C35E0"/>
    <w:rsid w:val="004C6AAB"/>
    <w:rsid w:val="004C6B78"/>
    <w:rsid w:val="004C79E4"/>
    <w:rsid w:val="004D56D2"/>
    <w:rsid w:val="004E1462"/>
    <w:rsid w:val="004E44B8"/>
    <w:rsid w:val="004E51E6"/>
    <w:rsid w:val="004E7AD8"/>
    <w:rsid w:val="004F1380"/>
    <w:rsid w:val="004F1840"/>
    <w:rsid w:val="004F587F"/>
    <w:rsid w:val="004F7D2E"/>
    <w:rsid w:val="00505EC8"/>
    <w:rsid w:val="005076EC"/>
    <w:rsid w:val="00511AD1"/>
    <w:rsid w:val="00512204"/>
    <w:rsid w:val="005162E0"/>
    <w:rsid w:val="00517617"/>
    <w:rsid w:val="00521534"/>
    <w:rsid w:val="00521622"/>
    <w:rsid w:val="00522413"/>
    <w:rsid w:val="005251C5"/>
    <w:rsid w:val="005361EC"/>
    <w:rsid w:val="005432CB"/>
    <w:rsid w:val="005435FB"/>
    <w:rsid w:val="00545BC7"/>
    <w:rsid w:val="00545C6B"/>
    <w:rsid w:val="0055343D"/>
    <w:rsid w:val="0056552F"/>
    <w:rsid w:val="005760BA"/>
    <w:rsid w:val="00586227"/>
    <w:rsid w:val="00597752"/>
    <w:rsid w:val="005A03CA"/>
    <w:rsid w:val="005A2B53"/>
    <w:rsid w:val="005B3347"/>
    <w:rsid w:val="005B3369"/>
    <w:rsid w:val="005B4CA7"/>
    <w:rsid w:val="005B5776"/>
    <w:rsid w:val="005B65AC"/>
    <w:rsid w:val="005B6811"/>
    <w:rsid w:val="005C059A"/>
    <w:rsid w:val="005C1C3F"/>
    <w:rsid w:val="005C3485"/>
    <w:rsid w:val="005D19F7"/>
    <w:rsid w:val="005D5A45"/>
    <w:rsid w:val="005E4BAA"/>
    <w:rsid w:val="005F5934"/>
    <w:rsid w:val="005F6F81"/>
    <w:rsid w:val="005F7187"/>
    <w:rsid w:val="005F744C"/>
    <w:rsid w:val="00600AAC"/>
    <w:rsid w:val="00604641"/>
    <w:rsid w:val="00606E07"/>
    <w:rsid w:val="00613851"/>
    <w:rsid w:val="00613D40"/>
    <w:rsid w:val="00624F3C"/>
    <w:rsid w:val="00626E56"/>
    <w:rsid w:val="00633D0A"/>
    <w:rsid w:val="0064113C"/>
    <w:rsid w:val="00643DDE"/>
    <w:rsid w:val="0065129A"/>
    <w:rsid w:val="006516BE"/>
    <w:rsid w:val="00657C3E"/>
    <w:rsid w:val="00663434"/>
    <w:rsid w:val="006648F1"/>
    <w:rsid w:val="0067208F"/>
    <w:rsid w:val="0067221B"/>
    <w:rsid w:val="00672511"/>
    <w:rsid w:val="00673681"/>
    <w:rsid w:val="00673874"/>
    <w:rsid w:val="0067398F"/>
    <w:rsid w:val="00677E41"/>
    <w:rsid w:val="00681162"/>
    <w:rsid w:val="00683198"/>
    <w:rsid w:val="00683CB5"/>
    <w:rsid w:val="00686D49"/>
    <w:rsid w:val="00691B1E"/>
    <w:rsid w:val="00693F93"/>
    <w:rsid w:val="00695B29"/>
    <w:rsid w:val="006A236A"/>
    <w:rsid w:val="006A2EAF"/>
    <w:rsid w:val="006B5AD8"/>
    <w:rsid w:val="006B7B66"/>
    <w:rsid w:val="006C4158"/>
    <w:rsid w:val="006C57BE"/>
    <w:rsid w:val="006C581B"/>
    <w:rsid w:val="006C5E82"/>
    <w:rsid w:val="006C65C3"/>
    <w:rsid w:val="006C6786"/>
    <w:rsid w:val="006D3BFE"/>
    <w:rsid w:val="006D7340"/>
    <w:rsid w:val="006E1A8E"/>
    <w:rsid w:val="006E32B7"/>
    <w:rsid w:val="006E4603"/>
    <w:rsid w:val="006E4A53"/>
    <w:rsid w:val="006E6252"/>
    <w:rsid w:val="006F3A1E"/>
    <w:rsid w:val="006F6BB4"/>
    <w:rsid w:val="00703677"/>
    <w:rsid w:val="007037F5"/>
    <w:rsid w:val="007142A5"/>
    <w:rsid w:val="00722C96"/>
    <w:rsid w:val="00723081"/>
    <w:rsid w:val="007248F6"/>
    <w:rsid w:val="00724CDC"/>
    <w:rsid w:val="007251E1"/>
    <w:rsid w:val="007256CF"/>
    <w:rsid w:val="00731B82"/>
    <w:rsid w:val="0073310B"/>
    <w:rsid w:val="00741A64"/>
    <w:rsid w:val="007448DB"/>
    <w:rsid w:val="00745EC7"/>
    <w:rsid w:val="007509B0"/>
    <w:rsid w:val="0075104B"/>
    <w:rsid w:val="007532D0"/>
    <w:rsid w:val="00756DD2"/>
    <w:rsid w:val="0076644D"/>
    <w:rsid w:val="007757BE"/>
    <w:rsid w:val="00781D73"/>
    <w:rsid w:val="00792939"/>
    <w:rsid w:val="00794ECD"/>
    <w:rsid w:val="007950E8"/>
    <w:rsid w:val="00795F6E"/>
    <w:rsid w:val="007969B9"/>
    <w:rsid w:val="007974A5"/>
    <w:rsid w:val="007974C5"/>
    <w:rsid w:val="007A0427"/>
    <w:rsid w:val="007A2F7B"/>
    <w:rsid w:val="007A331F"/>
    <w:rsid w:val="007A33E9"/>
    <w:rsid w:val="007A3C97"/>
    <w:rsid w:val="007A688B"/>
    <w:rsid w:val="007B1E84"/>
    <w:rsid w:val="007B39DA"/>
    <w:rsid w:val="007B5606"/>
    <w:rsid w:val="007B5CE7"/>
    <w:rsid w:val="007B7FD2"/>
    <w:rsid w:val="007C0C43"/>
    <w:rsid w:val="007C37E4"/>
    <w:rsid w:val="007C46A0"/>
    <w:rsid w:val="007C4C59"/>
    <w:rsid w:val="007C7569"/>
    <w:rsid w:val="007D19A9"/>
    <w:rsid w:val="007D4626"/>
    <w:rsid w:val="007D5ACC"/>
    <w:rsid w:val="007E5780"/>
    <w:rsid w:val="007E7317"/>
    <w:rsid w:val="007F3D8A"/>
    <w:rsid w:val="007F4B2E"/>
    <w:rsid w:val="007F5CA0"/>
    <w:rsid w:val="007F6583"/>
    <w:rsid w:val="0080280A"/>
    <w:rsid w:val="00813BAB"/>
    <w:rsid w:val="00821EA2"/>
    <w:rsid w:val="008266DB"/>
    <w:rsid w:val="00826727"/>
    <w:rsid w:val="00833C43"/>
    <w:rsid w:val="00837F4D"/>
    <w:rsid w:val="00847D1C"/>
    <w:rsid w:val="00873BE7"/>
    <w:rsid w:val="00874B33"/>
    <w:rsid w:val="00875637"/>
    <w:rsid w:val="00876AB9"/>
    <w:rsid w:val="008770C1"/>
    <w:rsid w:val="008836CF"/>
    <w:rsid w:val="00884511"/>
    <w:rsid w:val="00885847"/>
    <w:rsid w:val="00890174"/>
    <w:rsid w:val="00893597"/>
    <w:rsid w:val="00893E68"/>
    <w:rsid w:val="008A1257"/>
    <w:rsid w:val="008A1A98"/>
    <w:rsid w:val="008A1F64"/>
    <w:rsid w:val="008A64EE"/>
    <w:rsid w:val="008B0463"/>
    <w:rsid w:val="008B2411"/>
    <w:rsid w:val="008B697A"/>
    <w:rsid w:val="008C2571"/>
    <w:rsid w:val="008D295D"/>
    <w:rsid w:val="008D6F3C"/>
    <w:rsid w:val="008E08B5"/>
    <w:rsid w:val="008E335A"/>
    <w:rsid w:val="008E3E9D"/>
    <w:rsid w:val="008E60A5"/>
    <w:rsid w:val="008F1E6E"/>
    <w:rsid w:val="008F416D"/>
    <w:rsid w:val="008F75D1"/>
    <w:rsid w:val="00901804"/>
    <w:rsid w:val="00901A2B"/>
    <w:rsid w:val="00906368"/>
    <w:rsid w:val="00906D12"/>
    <w:rsid w:val="00907B31"/>
    <w:rsid w:val="009127B4"/>
    <w:rsid w:val="00912A64"/>
    <w:rsid w:val="0091427F"/>
    <w:rsid w:val="0091758A"/>
    <w:rsid w:val="00923C8D"/>
    <w:rsid w:val="00923E33"/>
    <w:rsid w:val="009300A5"/>
    <w:rsid w:val="00932C4F"/>
    <w:rsid w:val="00933770"/>
    <w:rsid w:val="00936126"/>
    <w:rsid w:val="009376C9"/>
    <w:rsid w:val="009431F8"/>
    <w:rsid w:val="00943D6D"/>
    <w:rsid w:val="00945239"/>
    <w:rsid w:val="00950E13"/>
    <w:rsid w:val="00952140"/>
    <w:rsid w:val="00952604"/>
    <w:rsid w:val="00953127"/>
    <w:rsid w:val="009542A1"/>
    <w:rsid w:val="00954895"/>
    <w:rsid w:val="00955901"/>
    <w:rsid w:val="00956265"/>
    <w:rsid w:val="00960DD3"/>
    <w:rsid w:val="00961CE0"/>
    <w:rsid w:val="00962970"/>
    <w:rsid w:val="00964A2C"/>
    <w:rsid w:val="00965379"/>
    <w:rsid w:val="00965443"/>
    <w:rsid w:val="0096777B"/>
    <w:rsid w:val="00971F94"/>
    <w:rsid w:val="009724AB"/>
    <w:rsid w:val="00973982"/>
    <w:rsid w:val="009822BD"/>
    <w:rsid w:val="00983E5A"/>
    <w:rsid w:val="0098572E"/>
    <w:rsid w:val="00992EA1"/>
    <w:rsid w:val="00995DB6"/>
    <w:rsid w:val="00996297"/>
    <w:rsid w:val="00996DDF"/>
    <w:rsid w:val="009A1895"/>
    <w:rsid w:val="009A1D3C"/>
    <w:rsid w:val="009A2477"/>
    <w:rsid w:val="009A4D3B"/>
    <w:rsid w:val="009A5DF7"/>
    <w:rsid w:val="009A5E55"/>
    <w:rsid w:val="009A6AE7"/>
    <w:rsid w:val="009A7EE2"/>
    <w:rsid w:val="009B77BA"/>
    <w:rsid w:val="009C1AE7"/>
    <w:rsid w:val="009C1EDB"/>
    <w:rsid w:val="009C75FF"/>
    <w:rsid w:val="009D737C"/>
    <w:rsid w:val="009E0D88"/>
    <w:rsid w:val="009E3964"/>
    <w:rsid w:val="009E3C94"/>
    <w:rsid w:val="009E68D2"/>
    <w:rsid w:val="009F2844"/>
    <w:rsid w:val="009F50B1"/>
    <w:rsid w:val="009F77DD"/>
    <w:rsid w:val="00A02384"/>
    <w:rsid w:val="00A04C44"/>
    <w:rsid w:val="00A066F0"/>
    <w:rsid w:val="00A21167"/>
    <w:rsid w:val="00A24AF6"/>
    <w:rsid w:val="00A3020A"/>
    <w:rsid w:val="00A30BC2"/>
    <w:rsid w:val="00A31773"/>
    <w:rsid w:val="00A31859"/>
    <w:rsid w:val="00A33E18"/>
    <w:rsid w:val="00A3683F"/>
    <w:rsid w:val="00A44332"/>
    <w:rsid w:val="00A477AF"/>
    <w:rsid w:val="00A5795E"/>
    <w:rsid w:val="00A61C2A"/>
    <w:rsid w:val="00A6280E"/>
    <w:rsid w:val="00A62810"/>
    <w:rsid w:val="00A6300D"/>
    <w:rsid w:val="00A6448C"/>
    <w:rsid w:val="00A67670"/>
    <w:rsid w:val="00A711DD"/>
    <w:rsid w:val="00A7584C"/>
    <w:rsid w:val="00A762DB"/>
    <w:rsid w:val="00A80AB6"/>
    <w:rsid w:val="00A81450"/>
    <w:rsid w:val="00AA2698"/>
    <w:rsid w:val="00AA2F04"/>
    <w:rsid w:val="00AA3436"/>
    <w:rsid w:val="00AA3945"/>
    <w:rsid w:val="00AA4B63"/>
    <w:rsid w:val="00AA4F99"/>
    <w:rsid w:val="00AB4A88"/>
    <w:rsid w:val="00AB6ABA"/>
    <w:rsid w:val="00AB70A7"/>
    <w:rsid w:val="00AC15FE"/>
    <w:rsid w:val="00AC23B6"/>
    <w:rsid w:val="00AC40E6"/>
    <w:rsid w:val="00AC4C9B"/>
    <w:rsid w:val="00AC5023"/>
    <w:rsid w:val="00AC6666"/>
    <w:rsid w:val="00AC7A35"/>
    <w:rsid w:val="00AD077D"/>
    <w:rsid w:val="00AD5139"/>
    <w:rsid w:val="00AD6A39"/>
    <w:rsid w:val="00AD72BC"/>
    <w:rsid w:val="00AF3F96"/>
    <w:rsid w:val="00AF4E0B"/>
    <w:rsid w:val="00AF5CE3"/>
    <w:rsid w:val="00B040B0"/>
    <w:rsid w:val="00B05DCC"/>
    <w:rsid w:val="00B13DE9"/>
    <w:rsid w:val="00B14A1E"/>
    <w:rsid w:val="00B15FC1"/>
    <w:rsid w:val="00B2042D"/>
    <w:rsid w:val="00B30E72"/>
    <w:rsid w:val="00B3291A"/>
    <w:rsid w:val="00B34011"/>
    <w:rsid w:val="00B357D6"/>
    <w:rsid w:val="00B3614E"/>
    <w:rsid w:val="00B413D1"/>
    <w:rsid w:val="00B41436"/>
    <w:rsid w:val="00B463CF"/>
    <w:rsid w:val="00B46D6A"/>
    <w:rsid w:val="00B46EB2"/>
    <w:rsid w:val="00B510AC"/>
    <w:rsid w:val="00B5297D"/>
    <w:rsid w:val="00B55130"/>
    <w:rsid w:val="00B5629E"/>
    <w:rsid w:val="00B632D9"/>
    <w:rsid w:val="00B650F8"/>
    <w:rsid w:val="00B65114"/>
    <w:rsid w:val="00B660C8"/>
    <w:rsid w:val="00B74879"/>
    <w:rsid w:val="00B74939"/>
    <w:rsid w:val="00B76A2C"/>
    <w:rsid w:val="00B76D36"/>
    <w:rsid w:val="00B91A83"/>
    <w:rsid w:val="00B935AF"/>
    <w:rsid w:val="00B93744"/>
    <w:rsid w:val="00B937E7"/>
    <w:rsid w:val="00B94C79"/>
    <w:rsid w:val="00B97F84"/>
    <w:rsid w:val="00BA0C5D"/>
    <w:rsid w:val="00BA30F9"/>
    <w:rsid w:val="00BA3762"/>
    <w:rsid w:val="00BA475C"/>
    <w:rsid w:val="00BB03A1"/>
    <w:rsid w:val="00BB2D0E"/>
    <w:rsid w:val="00BB50BB"/>
    <w:rsid w:val="00BB5D62"/>
    <w:rsid w:val="00BC4925"/>
    <w:rsid w:val="00BC5425"/>
    <w:rsid w:val="00BC6634"/>
    <w:rsid w:val="00BD22BA"/>
    <w:rsid w:val="00BD59BD"/>
    <w:rsid w:val="00BE2A6A"/>
    <w:rsid w:val="00BE590E"/>
    <w:rsid w:val="00BE692C"/>
    <w:rsid w:val="00BF254E"/>
    <w:rsid w:val="00BF37CD"/>
    <w:rsid w:val="00BF493D"/>
    <w:rsid w:val="00C00CC5"/>
    <w:rsid w:val="00C017A4"/>
    <w:rsid w:val="00C036EF"/>
    <w:rsid w:val="00C0548A"/>
    <w:rsid w:val="00C05A8D"/>
    <w:rsid w:val="00C10ACF"/>
    <w:rsid w:val="00C10BDF"/>
    <w:rsid w:val="00C14669"/>
    <w:rsid w:val="00C156C4"/>
    <w:rsid w:val="00C15E8B"/>
    <w:rsid w:val="00C160EC"/>
    <w:rsid w:val="00C169F9"/>
    <w:rsid w:val="00C22C4B"/>
    <w:rsid w:val="00C3403B"/>
    <w:rsid w:val="00C45293"/>
    <w:rsid w:val="00C50B5E"/>
    <w:rsid w:val="00C50B8B"/>
    <w:rsid w:val="00C51F7E"/>
    <w:rsid w:val="00C55553"/>
    <w:rsid w:val="00C64289"/>
    <w:rsid w:val="00C753E3"/>
    <w:rsid w:val="00C80367"/>
    <w:rsid w:val="00C832E4"/>
    <w:rsid w:val="00C86582"/>
    <w:rsid w:val="00C9039B"/>
    <w:rsid w:val="00C92E9B"/>
    <w:rsid w:val="00C92F36"/>
    <w:rsid w:val="00C93887"/>
    <w:rsid w:val="00C95D5E"/>
    <w:rsid w:val="00CA1963"/>
    <w:rsid w:val="00CA3CC2"/>
    <w:rsid w:val="00CA68FC"/>
    <w:rsid w:val="00CB3F84"/>
    <w:rsid w:val="00CB7B79"/>
    <w:rsid w:val="00CC4840"/>
    <w:rsid w:val="00CC5EB0"/>
    <w:rsid w:val="00CC7095"/>
    <w:rsid w:val="00CD00C6"/>
    <w:rsid w:val="00CD233A"/>
    <w:rsid w:val="00CD448A"/>
    <w:rsid w:val="00CD73DB"/>
    <w:rsid w:val="00CE4DD8"/>
    <w:rsid w:val="00CE560B"/>
    <w:rsid w:val="00CE6187"/>
    <w:rsid w:val="00CF3D2B"/>
    <w:rsid w:val="00CF5448"/>
    <w:rsid w:val="00D03844"/>
    <w:rsid w:val="00D03AF5"/>
    <w:rsid w:val="00D03F97"/>
    <w:rsid w:val="00D05488"/>
    <w:rsid w:val="00D0739B"/>
    <w:rsid w:val="00D21FC1"/>
    <w:rsid w:val="00D23A77"/>
    <w:rsid w:val="00D23E96"/>
    <w:rsid w:val="00D249C4"/>
    <w:rsid w:val="00D27579"/>
    <w:rsid w:val="00D308A6"/>
    <w:rsid w:val="00D326A8"/>
    <w:rsid w:val="00D3463C"/>
    <w:rsid w:val="00D405EC"/>
    <w:rsid w:val="00D44651"/>
    <w:rsid w:val="00D4717D"/>
    <w:rsid w:val="00D47C18"/>
    <w:rsid w:val="00D546E8"/>
    <w:rsid w:val="00D635D0"/>
    <w:rsid w:val="00D6464D"/>
    <w:rsid w:val="00D65E00"/>
    <w:rsid w:val="00D74C88"/>
    <w:rsid w:val="00D801AF"/>
    <w:rsid w:val="00D817F7"/>
    <w:rsid w:val="00D94330"/>
    <w:rsid w:val="00D947B7"/>
    <w:rsid w:val="00D952F9"/>
    <w:rsid w:val="00D96EBD"/>
    <w:rsid w:val="00D9727E"/>
    <w:rsid w:val="00DA095D"/>
    <w:rsid w:val="00DA4A8E"/>
    <w:rsid w:val="00DA79B8"/>
    <w:rsid w:val="00DB0F5C"/>
    <w:rsid w:val="00DB1ED8"/>
    <w:rsid w:val="00DB5A1C"/>
    <w:rsid w:val="00DC2907"/>
    <w:rsid w:val="00DC3750"/>
    <w:rsid w:val="00DD60D9"/>
    <w:rsid w:val="00DE1B17"/>
    <w:rsid w:val="00DE61DC"/>
    <w:rsid w:val="00DE6528"/>
    <w:rsid w:val="00DE7D14"/>
    <w:rsid w:val="00E0390C"/>
    <w:rsid w:val="00E04520"/>
    <w:rsid w:val="00E0676E"/>
    <w:rsid w:val="00E079F4"/>
    <w:rsid w:val="00E11A9D"/>
    <w:rsid w:val="00E11BEA"/>
    <w:rsid w:val="00E11D5A"/>
    <w:rsid w:val="00E17FE8"/>
    <w:rsid w:val="00E231DD"/>
    <w:rsid w:val="00E3084C"/>
    <w:rsid w:val="00E37CAC"/>
    <w:rsid w:val="00E41C22"/>
    <w:rsid w:val="00E5296C"/>
    <w:rsid w:val="00E53BB5"/>
    <w:rsid w:val="00E545BF"/>
    <w:rsid w:val="00E555CB"/>
    <w:rsid w:val="00E66197"/>
    <w:rsid w:val="00E6728F"/>
    <w:rsid w:val="00E74721"/>
    <w:rsid w:val="00E80AE9"/>
    <w:rsid w:val="00E82265"/>
    <w:rsid w:val="00E92922"/>
    <w:rsid w:val="00E934A7"/>
    <w:rsid w:val="00E93F86"/>
    <w:rsid w:val="00E94E04"/>
    <w:rsid w:val="00E955BA"/>
    <w:rsid w:val="00EA68AD"/>
    <w:rsid w:val="00EA6C20"/>
    <w:rsid w:val="00EA6E01"/>
    <w:rsid w:val="00EB3A6F"/>
    <w:rsid w:val="00EB6D18"/>
    <w:rsid w:val="00EC094E"/>
    <w:rsid w:val="00EC3059"/>
    <w:rsid w:val="00EC3AAF"/>
    <w:rsid w:val="00EC3DFB"/>
    <w:rsid w:val="00EC6958"/>
    <w:rsid w:val="00EC69E4"/>
    <w:rsid w:val="00EC7497"/>
    <w:rsid w:val="00ED2C21"/>
    <w:rsid w:val="00ED5D35"/>
    <w:rsid w:val="00EE6094"/>
    <w:rsid w:val="00EE6EB2"/>
    <w:rsid w:val="00EF3C36"/>
    <w:rsid w:val="00EF528D"/>
    <w:rsid w:val="00F00F60"/>
    <w:rsid w:val="00F07A5A"/>
    <w:rsid w:val="00F130A7"/>
    <w:rsid w:val="00F138F8"/>
    <w:rsid w:val="00F14316"/>
    <w:rsid w:val="00F16116"/>
    <w:rsid w:val="00F200B5"/>
    <w:rsid w:val="00F2624F"/>
    <w:rsid w:val="00F27273"/>
    <w:rsid w:val="00F31792"/>
    <w:rsid w:val="00F3591B"/>
    <w:rsid w:val="00F40E14"/>
    <w:rsid w:val="00F41C2A"/>
    <w:rsid w:val="00F46B62"/>
    <w:rsid w:val="00F475C9"/>
    <w:rsid w:val="00F4787D"/>
    <w:rsid w:val="00F47F9F"/>
    <w:rsid w:val="00F53641"/>
    <w:rsid w:val="00F53B8E"/>
    <w:rsid w:val="00F53E24"/>
    <w:rsid w:val="00F53E2D"/>
    <w:rsid w:val="00F5431E"/>
    <w:rsid w:val="00F56E13"/>
    <w:rsid w:val="00F60D66"/>
    <w:rsid w:val="00F61469"/>
    <w:rsid w:val="00F6169D"/>
    <w:rsid w:val="00F61750"/>
    <w:rsid w:val="00F70E8D"/>
    <w:rsid w:val="00F7186F"/>
    <w:rsid w:val="00F72FB8"/>
    <w:rsid w:val="00F76296"/>
    <w:rsid w:val="00F76FB5"/>
    <w:rsid w:val="00F8427A"/>
    <w:rsid w:val="00F863BF"/>
    <w:rsid w:val="00F909E1"/>
    <w:rsid w:val="00F91566"/>
    <w:rsid w:val="00F940D5"/>
    <w:rsid w:val="00F95379"/>
    <w:rsid w:val="00FA3571"/>
    <w:rsid w:val="00FA5DDA"/>
    <w:rsid w:val="00FB01A4"/>
    <w:rsid w:val="00FB1EA4"/>
    <w:rsid w:val="00FB3269"/>
    <w:rsid w:val="00FC295D"/>
    <w:rsid w:val="00FC56D7"/>
    <w:rsid w:val="00FD0F62"/>
    <w:rsid w:val="00FD110D"/>
    <w:rsid w:val="00FD2639"/>
    <w:rsid w:val="00FE02D3"/>
    <w:rsid w:val="00FE07F2"/>
    <w:rsid w:val="00FE0C8C"/>
    <w:rsid w:val="00FE2AD8"/>
    <w:rsid w:val="00FF2D99"/>
    <w:rsid w:val="00FF4D87"/>
    <w:rsid w:val="00FF5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471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D4717D"/>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E067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iedepgina">
    <w:name w:val="footer"/>
    <w:basedOn w:val="Normal"/>
    <w:link w:val="PiedepginaCar"/>
    <w:uiPriority w:val="99"/>
    <w:unhideWhenUsed/>
    <w:rsid w:val="00C10A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ACF"/>
    <w:rPr>
      <w:rFonts w:ascii="Calibri" w:eastAsia="Calibri" w:hAnsi="Calibri" w:cs="Times New Roman"/>
    </w:rPr>
  </w:style>
  <w:style w:type="character" w:styleId="Refdenotaalpie">
    <w:name w:val="footnote reference"/>
    <w:basedOn w:val="Fuentedeprrafopredeter"/>
    <w:uiPriority w:val="99"/>
    <w:semiHidden/>
    <w:unhideWhenUsed/>
    <w:rsid w:val="00F940D5"/>
    <w:rPr>
      <w:vertAlign w:val="superscript"/>
    </w:rPr>
  </w:style>
  <w:style w:type="paragraph" w:styleId="Textonotapie">
    <w:name w:val="footnote text"/>
    <w:basedOn w:val="Normal"/>
    <w:link w:val="TextonotapieCar"/>
    <w:uiPriority w:val="99"/>
    <w:semiHidden/>
    <w:unhideWhenUsed/>
    <w:rsid w:val="00F940D5"/>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F940D5"/>
    <w:rPr>
      <w:sz w:val="20"/>
      <w:szCs w:val="20"/>
    </w:rPr>
  </w:style>
  <w:style w:type="character" w:customStyle="1" w:styleId="Ttulo2Car">
    <w:name w:val="Título 2 Car"/>
    <w:aliases w:val="2TitSec Car"/>
    <w:basedOn w:val="Fuentedeprrafopredeter"/>
    <w:link w:val="Ttulo2"/>
    <w:uiPriority w:val="9"/>
    <w:rsid w:val="00D4717D"/>
    <w:rPr>
      <w:rFonts w:ascii="Arial" w:eastAsia="Times New Roman" w:hAnsi="Arial" w:cs="Times New Roman"/>
      <w:b/>
      <w:sz w:val="24"/>
      <w:szCs w:val="20"/>
      <w:lang w:eastAsia="es-ES"/>
    </w:rPr>
  </w:style>
  <w:style w:type="paragraph" w:customStyle="1" w:styleId="1TitPrin">
    <w:name w:val="1TitPrin"/>
    <w:basedOn w:val="Ttulo1"/>
    <w:link w:val="1TitPrinCar"/>
    <w:autoRedefine/>
    <w:qFormat/>
    <w:rsid w:val="00D4717D"/>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D4717D"/>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D471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718">
      <w:bodyDiv w:val="1"/>
      <w:marLeft w:val="0"/>
      <w:marRight w:val="0"/>
      <w:marTop w:val="0"/>
      <w:marBottom w:val="0"/>
      <w:divBdr>
        <w:top w:val="none" w:sz="0" w:space="0" w:color="auto"/>
        <w:left w:val="none" w:sz="0" w:space="0" w:color="auto"/>
        <w:bottom w:val="none" w:sz="0" w:space="0" w:color="auto"/>
        <w:right w:val="none" w:sz="0" w:space="0" w:color="auto"/>
      </w:divBdr>
    </w:div>
    <w:div w:id="137067181">
      <w:bodyDiv w:val="1"/>
      <w:marLeft w:val="0"/>
      <w:marRight w:val="0"/>
      <w:marTop w:val="0"/>
      <w:marBottom w:val="0"/>
      <w:divBdr>
        <w:top w:val="none" w:sz="0" w:space="0" w:color="auto"/>
        <w:left w:val="none" w:sz="0" w:space="0" w:color="auto"/>
        <w:bottom w:val="none" w:sz="0" w:space="0" w:color="auto"/>
        <w:right w:val="none" w:sz="0" w:space="0" w:color="auto"/>
      </w:divBdr>
    </w:div>
    <w:div w:id="161316454">
      <w:bodyDiv w:val="1"/>
      <w:marLeft w:val="0"/>
      <w:marRight w:val="0"/>
      <w:marTop w:val="0"/>
      <w:marBottom w:val="0"/>
      <w:divBdr>
        <w:top w:val="none" w:sz="0" w:space="0" w:color="auto"/>
        <w:left w:val="none" w:sz="0" w:space="0" w:color="auto"/>
        <w:bottom w:val="none" w:sz="0" w:space="0" w:color="auto"/>
        <w:right w:val="none" w:sz="0" w:space="0" w:color="auto"/>
      </w:divBdr>
    </w:div>
    <w:div w:id="408161064">
      <w:bodyDiv w:val="1"/>
      <w:marLeft w:val="0"/>
      <w:marRight w:val="0"/>
      <w:marTop w:val="0"/>
      <w:marBottom w:val="0"/>
      <w:divBdr>
        <w:top w:val="none" w:sz="0" w:space="0" w:color="auto"/>
        <w:left w:val="none" w:sz="0" w:space="0" w:color="auto"/>
        <w:bottom w:val="none" w:sz="0" w:space="0" w:color="auto"/>
        <w:right w:val="none" w:sz="0" w:space="0" w:color="auto"/>
      </w:divBdr>
    </w:div>
    <w:div w:id="514267330">
      <w:bodyDiv w:val="1"/>
      <w:marLeft w:val="0"/>
      <w:marRight w:val="0"/>
      <w:marTop w:val="0"/>
      <w:marBottom w:val="0"/>
      <w:divBdr>
        <w:top w:val="none" w:sz="0" w:space="0" w:color="auto"/>
        <w:left w:val="none" w:sz="0" w:space="0" w:color="auto"/>
        <w:bottom w:val="none" w:sz="0" w:space="0" w:color="auto"/>
        <w:right w:val="none" w:sz="0" w:space="0" w:color="auto"/>
      </w:divBdr>
    </w:div>
    <w:div w:id="555632287">
      <w:bodyDiv w:val="1"/>
      <w:marLeft w:val="0"/>
      <w:marRight w:val="0"/>
      <w:marTop w:val="0"/>
      <w:marBottom w:val="0"/>
      <w:divBdr>
        <w:top w:val="none" w:sz="0" w:space="0" w:color="auto"/>
        <w:left w:val="none" w:sz="0" w:space="0" w:color="auto"/>
        <w:bottom w:val="none" w:sz="0" w:space="0" w:color="auto"/>
        <w:right w:val="none" w:sz="0" w:space="0" w:color="auto"/>
      </w:divBdr>
    </w:div>
    <w:div w:id="579602885">
      <w:bodyDiv w:val="1"/>
      <w:marLeft w:val="0"/>
      <w:marRight w:val="0"/>
      <w:marTop w:val="0"/>
      <w:marBottom w:val="0"/>
      <w:divBdr>
        <w:top w:val="none" w:sz="0" w:space="0" w:color="auto"/>
        <w:left w:val="none" w:sz="0" w:space="0" w:color="auto"/>
        <w:bottom w:val="none" w:sz="0" w:space="0" w:color="auto"/>
        <w:right w:val="none" w:sz="0" w:space="0" w:color="auto"/>
      </w:divBdr>
    </w:div>
    <w:div w:id="720515696">
      <w:bodyDiv w:val="1"/>
      <w:marLeft w:val="0"/>
      <w:marRight w:val="0"/>
      <w:marTop w:val="0"/>
      <w:marBottom w:val="0"/>
      <w:divBdr>
        <w:top w:val="none" w:sz="0" w:space="0" w:color="auto"/>
        <w:left w:val="none" w:sz="0" w:space="0" w:color="auto"/>
        <w:bottom w:val="none" w:sz="0" w:space="0" w:color="auto"/>
        <w:right w:val="none" w:sz="0" w:space="0" w:color="auto"/>
      </w:divBdr>
    </w:div>
    <w:div w:id="794451618">
      <w:bodyDiv w:val="1"/>
      <w:marLeft w:val="0"/>
      <w:marRight w:val="0"/>
      <w:marTop w:val="0"/>
      <w:marBottom w:val="0"/>
      <w:divBdr>
        <w:top w:val="none" w:sz="0" w:space="0" w:color="auto"/>
        <w:left w:val="none" w:sz="0" w:space="0" w:color="auto"/>
        <w:bottom w:val="none" w:sz="0" w:space="0" w:color="auto"/>
        <w:right w:val="none" w:sz="0" w:space="0" w:color="auto"/>
      </w:divBdr>
    </w:div>
    <w:div w:id="866984688">
      <w:bodyDiv w:val="1"/>
      <w:marLeft w:val="0"/>
      <w:marRight w:val="0"/>
      <w:marTop w:val="0"/>
      <w:marBottom w:val="0"/>
      <w:divBdr>
        <w:top w:val="none" w:sz="0" w:space="0" w:color="auto"/>
        <w:left w:val="none" w:sz="0" w:space="0" w:color="auto"/>
        <w:bottom w:val="none" w:sz="0" w:space="0" w:color="auto"/>
        <w:right w:val="none" w:sz="0" w:space="0" w:color="auto"/>
      </w:divBdr>
    </w:div>
    <w:div w:id="1068460221">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
    <w:div w:id="1701006848">
      <w:bodyDiv w:val="1"/>
      <w:marLeft w:val="0"/>
      <w:marRight w:val="0"/>
      <w:marTop w:val="0"/>
      <w:marBottom w:val="0"/>
      <w:divBdr>
        <w:top w:val="none" w:sz="0" w:space="0" w:color="auto"/>
        <w:left w:val="none" w:sz="0" w:space="0" w:color="auto"/>
        <w:bottom w:val="none" w:sz="0" w:space="0" w:color="auto"/>
        <w:right w:val="none" w:sz="0" w:space="0" w:color="auto"/>
      </w:divBdr>
    </w:div>
    <w:div w:id="1703242058">
      <w:bodyDiv w:val="1"/>
      <w:marLeft w:val="0"/>
      <w:marRight w:val="0"/>
      <w:marTop w:val="0"/>
      <w:marBottom w:val="0"/>
      <w:divBdr>
        <w:top w:val="none" w:sz="0" w:space="0" w:color="auto"/>
        <w:left w:val="none" w:sz="0" w:space="0" w:color="auto"/>
        <w:bottom w:val="none" w:sz="0" w:space="0" w:color="auto"/>
        <w:right w:val="none" w:sz="0" w:space="0" w:color="auto"/>
      </w:divBdr>
    </w:div>
    <w:div w:id="1783377458">
      <w:bodyDiv w:val="1"/>
      <w:marLeft w:val="0"/>
      <w:marRight w:val="0"/>
      <w:marTop w:val="0"/>
      <w:marBottom w:val="0"/>
      <w:divBdr>
        <w:top w:val="none" w:sz="0" w:space="0" w:color="auto"/>
        <w:left w:val="none" w:sz="0" w:space="0" w:color="auto"/>
        <w:bottom w:val="none" w:sz="0" w:space="0" w:color="auto"/>
        <w:right w:val="none" w:sz="0" w:space="0" w:color="auto"/>
      </w:divBdr>
    </w:div>
    <w:div w:id="2112624427">
      <w:bodyDiv w:val="1"/>
      <w:marLeft w:val="0"/>
      <w:marRight w:val="0"/>
      <w:marTop w:val="0"/>
      <w:marBottom w:val="0"/>
      <w:divBdr>
        <w:top w:val="none" w:sz="0" w:space="0" w:color="auto"/>
        <w:left w:val="none" w:sz="0" w:space="0" w:color="auto"/>
        <w:bottom w:val="none" w:sz="0" w:space="0" w:color="auto"/>
        <w:right w:val="none" w:sz="0" w:space="0" w:color="auto"/>
      </w:divBdr>
    </w:div>
    <w:div w:id="21271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DFBE-9B35-4BBA-86AD-C8F8BBC8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4628</Words>
  <Characters>25458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cp:lastPrinted>2016-05-04T22:29:00Z</cp:lastPrinted>
  <dcterms:created xsi:type="dcterms:W3CDTF">2018-03-13T20:40:00Z</dcterms:created>
  <dcterms:modified xsi:type="dcterms:W3CDTF">2018-04-02T22:13:00Z</dcterms:modified>
</cp:coreProperties>
</file>