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4403" w14:textId="77777777" w:rsidR="00381B72" w:rsidRPr="00381B72" w:rsidRDefault="00B048BA" w:rsidP="00381B72">
      <w:pPr>
        <w:pStyle w:val="Ttulo1"/>
        <w:spacing w:before="0" w:afterLines="120" w:after="288"/>
        <w:jc w:val="both"/>
        <w:rPr>
          <w:rFonts w:ascii="ITC Avant Garde" w:hAnsi="ITC Avant Garde"/>
          <w:b/>
          <w:color w:val="000000" w:themeColor="text1"/>
          <w:sz w:val="22"/>
          <w:szCs w:val="22"/>
          <w:lang w:eastAsia="es-MX"/>
        </w:rPr>
      </w:pPr>
      <w:bookmarkStart w:id="0" w:name="_GoBack"/>
      <w:bookmarkEnd w:id="0"/>
      <w:r w:rsidRPr="00381B72">
        <w:rPr>
          <w:rFonts w:ascii="ITC Avant Garde" w:hAnsi="ITC Avant Garde"/>
          <w:b/>
          <w:color w:val="000000" w:themeColor="text1"/>
          <w:sz w:val="22"/>
          <w:szCs w:val="22"/>
          <w:lang w:eastAsia="es-MX"/>
        </w:rPr>
        <w:t xml:space="preserve">RESOLUCIÓN </w:t>
      </w:r>
      <w:r w:rsidR="00F03892" w:rsidRPr="00381B72">
        <w:rPr>
          <w:rFonts w:ascii="ITC Avant Garde" w:hAnsi="ITC Avant Garde"/>
          <w:b/>
          <w:color w:val="000000" w:themeColor="text1"/>
          <w:sz w:val="22"/>
          <w:szCs w:val="22"/>
          <w:lang w:eastAsia="es-MX"/>
        </w:rPr>
        <w:t>MEDIANTE</w:t>
      </w:r>
      <w:r w:rsidRPr="00381B72">
        <w:rPr>
          <w:rFonts w:ascii="ITC Avant Garde" w:hAnsi="ITC Avant Garde"/>
          <w:b/>
          <w:color w:val="000000" w:themeColor="text1"/>
          <w:sz w:val="22"/>
          <w:szCs w:val="22"/>
          <w:lang w:eastAsia="es-MX"/>
        </w:rPr>
        <w:t xml:space="preserve"> LA CUAL EL PLENO DEL INSTITUTO FEDERAL </w:t>
      </w:r>
      <w:r w:rsidR="00BB44E2" w:rsidRPr="00381B72">
        <w:rPr>
          <w:rFonts w:ascii="ITC Avant Garde" w:hAnsi="ITC Avant Garde"/>
          <w:b/>
          <w:color w:val="000000" w:themeColor="text1"/>
          <w:sz w:val="22"/>
          <w:szCs w:val="22"/>
          <w:lang w:eastAsia="es-MX"/>
        </w:rPr>
        <w:t>DE</w:t>
      </w:r>
      <w:r w:rsidRPr="00381B72">
        <w:rPr>
          <w:rFonts w:ascii="ITC Avant Garde" w:hAnsi="ITC Avant Garde"/>
          <w:b/>
          <w:color w:val="000000" w:themeColor="text1"/>
          <w:sz w:val="22"/>
          <w:szCs w:val="22"/>
          <w:lang w:eastAsia="es-MX"/>
        </w:rPr>
        <w:t xml:space="preserve"> TELECOMUNICACIONES </w:t>
      </w:r>
      <w:r w:rsidR="00724B93" w:rsidRPr="00381B72">
        <w:rPr>
          <w:rFonts w:ascii="ITC Avant Garde" w:hAnsi="ITC Avant Garde"/>
          <w:b/>
          <w:color w:val="000000" w:themeColor="text1"/>
          <w:sz w:val="22"/>
          <w:szCs w:val="22"/>
          <w:lang w:eastAsia="es-MX"/>
        </w:rPr>
        <w:t>OTORGA UN TÍTULO DE CONCESIÓN PARA USAR Y APROVECHAR BANDAS DE FRECUENCIAS DEL ESPECTRO RADIOELÉCTRICO, ASÍ COMO UN TÍTULO DE CONCESIÓN ÚNICA, AMBOS PARA USO PÚBLICO</w:t>
      </w:r>
      <w:r w:rsidR="00022D68" w:rsidRPr="00381B72">
        <w:rPr>
          <w:rFonts w:ascii="ITC Avant Garde" w:hAnsi="ITC Avant Garde"/>
          <w:b/>
          <w:color w:val="000000" w:themeColor="text1"/>
          <w:sz w:val="22"/>
          <w:szCs w:val="22"/>
          <w:lang w:eastAsia="es-MX"/>
        </w:rPr>
        <w:t xml:space="preserve">, A FAVOR DE </w:t>
      </w:r>
      <w:r w:rsidR="00F47616" w:rsidRPr="00381B72">
        <w:rPr>
          <w:rFonts w:ascii="ITC Avant Garde" w:hAnsi="ITC Avant Garde"/>
          <w:b/>
          <w:color w:val="000000" w:themeColor="text1"/>
          <w:sz w:val="22"/>
          <w:szCs w:val="22"/>
          <w:lang w:eastAsia="es-MX"/>
        </w:rPr>
        <w:t>LA COMISIÓN FEDERAL DE ELECTRICIDAD</w:t>
      </w:r>
      <w:r w:rsidR="00707985" w:rsidRPr="00381B72">
        <w:rPr>
          <w:rFonts w:ascii="ITC Avant Garde" w:hAnsi="ITC Avant Garde"/>
          <w:b/>
          <w:color w:val="000000" w:themeColor="text1"/>
          <w:sz w:val="22"/>
          <w:szCs w:val="22"/>
          <w:lang w:eastAsia="es-MX"/>
        </w:rPr>
        <w:t>, EMPRESA PRODUCTIVA DEL ESTADO</w:t>
      </w:r>
      <w:r w:rsidR="00F47616" w:rsidRPr="00381B72">
        <w:rPr>
          <w:rFonts w:ascii="ITC Avant Garde" w:hAnsi="ITC Avant Garde"/>
          <w:b/>
          <w:color w:val="000000" w:themeColor="text1"/>
          <w:sz w:val="22"/>
          <w:szCs w:val="22"/>
          <w:lang w:eastAsia="es-MX"/>
        </w:rPr>
        <w:t>.</w:t>
      </w:r>
    </w:p>
    <w:p w14:paraId="16F6ED22" w14:textId="77777777" w:rsidR="00381B72" w:rsidRPr="00381B72" w:rsidRDefault="00B048BA" w:rsidP="00381B72">
      <w:pPr>
        <w:pStyle w:val="Ttulo2"/>
        <w:spacing w:before="0" w:afterLines="120" w:after="288"/>
        <w:jc w:val="center"/>
        <w:rPr>
          <w:rFonts w:ascii="ITC Avant Garde" w:hAnsi="ITC Avant Garde"/>
          <w:b/>
          <w:color w:val="000000" w:themeColor="text1"/>
          <w:sz w:val="22"/>
          <w:szCs w:val="22"/>
        </w:rPr>
      </w:pPr>
      <w:r w:rsidRPr="00381B72">
        <w:rPr>
          <w:rFonts w:ascii="ITC Avant Garde" w:hAnsi="ITC Avant Garde"/>
          <w:b/>
          <w:color w:val="000000" w:themeColor="text1"/>
          <w:sz w:val="22"/>
          <w:szCs w:val="22"/>
        </w:rPr>
        <w:t>ANTECEDENTES</w:t>
      </w:r>
    </w:p>
    <w:p w14:paraId="3FA687C5" w14:textId="77777777" w:rsidR="00381B72" w:rsidRDefault="005B2B38" w:rsidP="00381B72">
      <w:pPr>
        <w:pStyle w:val="Prrafodelista"/>
        <w:numPr>
          <w:ilvl w:val="0"/>
          <w:numId w:val="4"/>
        </w:numPr>
        <w:spacing w:afterLines="120" w:after="288"/>
        <w:ind w:left="567" w:hanging="567"/>
        <w:jc w:val="both"/>
        <w:rPr>
          <w:rFonts w:ascii="ITC Avant Garde" w:hAnsi="ITC Avant Garde" w:cs="Arial"/>
          <w:bCs/>
          <w:color w:val="000000"/>
          <w:sz w:val="22"/>
          <w:szCs w:val="22"/>
          <w:lang w:val="es-MX" w:eastAsia="es-MX"/>
        </w:rPr>
      </w:pPr>
      <w:r w:rsidRPr="008218B4">
        <w:rPr>
          <w:rFonts w:ascii="ITC Avant Garde" w:hAnsi="ITC Avant Garde" w:cs="Arial"/>
          <w:b/>
          <w:bCs/>
          <w:color w:val="000000"/>
          <w:sz w:val="22"/>
          <w:szCs w:val="22"/>
          <w:lang w:val="es-MX" w:eastAsia="es-MX"/>
        </w:rPr>
        <w:t>Decreto de Reforma Constitucional</w:t>
      </w:r>
      <w:r w:rsidRPr="008218B4">
        <w:rPr>
          <w:rFonts w:ascii="ITC Avant Garde" w:hAnsi="ITC Avant Garde" w:cs="Arial"/>
          <w:bCs/>
          <w:color w:val="000000"/>
          <w:sz w:val="22"/>
          <w:szCs w:val="22"/>
          <w:lang w:val="es-MX" w:eastAsia="es-MX"/>
        </w:rPr>
        <w:t xml:space="preserve">. Con fecha 11 de junio de 2013, se publicó en el Diario Oficial de la Federación el </w:t>
      </w:r>
      <w:r w:rsidRPr="008218B4">
        <w:rPr>
          <w:rFonts w:ascii="ITC Avant Garde" w:hAnsi="ITC Avant Garde" w:cs="Arial"/>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8218B4">
        <w:rPr>
          <w:rFonts w:ascii="ITC Avant Garde" w:hAnsi="ITC Avant Garde" w:cs="Arial"/>
          <w:bCs/>
          <w:color w:val="000000"/>
          <w:sz w:val="22"/>
          <w:szCs w:val="22"/>
          <w:lang w:val="es-MX" w:eastAsia="es-MX"/>
        </w:rPr>
        <w:t xml:space="preserve">, mediante el cual se creó el Instituto Federal de Telecomunicaciones (el “Instituto”) como un órgano autónomo que tiene por objeto el desarrollo eficiente de la radiodifusión y las telecomunicaciones. </w:t>
      </w:r>
    </w:p>
    <w:p w14:paraId="67EEEA7C" w14:textId="77777777" w:rsidR="00381B72" w:rsidRDefault="005B2B38" w:rsidP="00381B72">
      <w:pPr>
        <w:pStyle w:val="Prrafodelista"/>
        <w:numPr>
          <w:ilvl w:val="0"/>
          <w:numId w:val="4"/>
        </w:numPr>
        <w:spacing w:afterLines="120" w:after="288"/>
        <w:ind w:left="567" w:hanging="567"/>
        <w:jc w:val="both"/>
        <w:rPr>
          <w:rFonts w:ascii="ITC Avant Garde" w:hAnsi="ITC Avant Garde" w:cs="Arial"/>
          <w:bCs/>
          <w:color w:val="000000"/>
          <w:sz w:val="22"/>
          <w:szCs w:val="22"/>
          <w:lang w:val="es-MX" w:eastAsia="es-MX"/>
        </w:rPr>
      </w:pPr>
      <w:r w:rsidRPr="008218B4">
        <w:rPr>
          <w:rFonts w:ascii="ITC Avant Garde" w:hAnsi="ITC Avant Garde" w:cs="Arial"/>
          <w:b/>
          <w:bCs/>
          <w:color w:val="000000"/>
          <w:sz w:val="22"/>
          <w:szCs w:val="22"/>
          <w:lang w:val="es-MX" w:eastAsia="es-MX"/>
        </w:rPr>
        <w:t>Decreto de Ley</w:t>
      </w:r>
      <w:r w:rsidRPr="008218B4">
        <w:rPr>
          <w:rFonts w:ascii="ITC Avant Garde" w:hAnsi="ITC Avant Garde" w:cs="Arial"/>
          <w:bCs/>
          <w:color w:val="000000"/>
          <w:sz w:val="22"/>
          <w:szCs w:val="22"/>
          <w:lang w:val="es-MX" w:eastAsia="es-MX"/>
        </w:rPr>
        <w:t xml:space="preserve">. El 14 de julio de 2014 se publicó en el Diario Oficial de la Federación el </w:t>
      </w:r>
      <w:r w:rsidRPr="008218B4">
        <w:rPr>
          <w:rFonts w:ascii="ITC Avant Garde" w:hAnsi="ITC Avant Garde" w:cs="Arial"/>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218B4">
        <w:rPr>
          <w:rFonts w:ascii="ITC Avant Garde" w:hAnsi="ITC Avant Garde" w:cs="Arial"/>
          <w:bCs/>
          <w:color w:val="000000"/>
          <w:sz w:val="22"/>
          <w:szCs w:val="22"/>
          <w:lang w:val="es-MX" w:eastAsia="es-MX"/>
        </w:rPr>
        <w:t>, mismo que entró en vigor el 13 de agosto de 2014.</w:t>
      </w:r>
    </w:p>
    <w:p w14:paraId="382ACDC0" w14:textId="77777777" w:rsidR="00381B72" w:rsidRDefault="005B2B38" w:rsidP="00381B72">
      <w:pPr>
        <w:numPr>
          <w:ilvl w:val="0"/>
          <w:numId w:val="4"/>
        </w:numPr>
        <w:spacing w:afterLines="120" w:after="288" w:line="240" w:lineRule="auto"/>
        <w:ind w:left="567" w:hanging="567"/>
        <w:jc w:val="both"/>
        <w:rPr>
          <w:rFonts w:ascii="ITC Avant Garde" w:hAnsi="ITC Avant Garde"/>
          <w:b/>
          <w:bCs/>
          <w:color w:val="000000"/>
          <w:lang w:eastAsia="es-MX"/>
        </w:rPr>
      </w:pPr>
      <w:r w:rsidRPr="008218B4">
        <w:rPr>
          <w:rFonts w:ascii="ITC Avant Garde" w:hAnsi="ITC Avant Garde" w:cs="Arial"/>
          <w:b/>
          <w:bCs/>
          <w:color w:val="000000"/>
          <w:lang w:eastAsia="es-MX"/>
        </w:rPr>
        <w:t>Estatuto Orgánico</w:t>
      </w:r>
      <w:r w:rsidRPr="008218B4">
        <w:rPr>
          <w:rFonts w:ascii="ITC Avant Garde" w:hAnsi="ITC Avant Garde" w:cs="Arial"/>
          <w:bCs/>
          <w:color w:val="000000"/>
          <w:lang w:eastAsia="es-MX"/>
        </w:rPr>
        <w:t xml:space="preserve">. El 4 de septiembre de 2014 se publicó en el Diario Oficial de la Federación el </w:t>
      </w:r>
      <w:r w:rsidRPr="008218B4">
        <w:rPr>
          <w:rFonts w:ascii="ITC Avant Garde" w:hAnsi="ITC Avant Garde" w:cs="Arial"/>
          <w:bCs/>
          <w:i/>
          <w:color w:val="000000"/>
          <w:lang w:eastAsia="es-MX"/>
        </w:rPr>
        <w:t>“Estatuto Orgánico del Instituto Federal de Telecomunicaciones”</w:t>
      </w:r>
      <w:r w:rsidRPr="008218B4">
        <w:rPr>
          <w:rFonts w:ascii="ITC Avant Garde" w:hAnsi="ITC Avant Garde" w:cs="Arial"/>
          <w:bCs/>
          <w:color w:val="000000"/>
          <w:lang w:eastAsia="es-MX"/>
        </w:rPr>
        <w:t xml:space="preserve"> (el “Estatuto Orgánico”), mismo que entró en vigor el 26 de septiembre de 2014 y fue modificado por última vez el </w:t>
      </w:r>
      <w:r w:rsidRPr="008218B4">
        <w:rPr>
          <w:rFonts w:ascii="ITC Avant Garde" w:hAnsi="ITC Avant Garde"/>
          <w:color w:val="000000"/>
          <w:shd w:val="clear" w:color="auto" w:fill="FFFFFF"/>
        </w:rPr>
        <w:t>20 de julio de 2017</w:t>
      </w:r>
      <w:r w:rsidRPr="008218B4">
        <w:rPr>
          <w:rFonts w:ascii="ITC Avant Garde" w:hAnsi="ITC Avant Garde" w:cs="Arial"/>
          <w:bCs/>
          <w:color w:val="000000"/>
          <w:lang w:eastAsia="es-MX"/>
        </w:rPr>
        <w:t>.</w:t>
      </w:r>
    </w:p>
    <w:p w14:paraId="4DB06070" w14:textId="77777777" w:rsidR="00381B72" w:rsidRDefault="00A9506D" w:rsidP="00381B72">
      <w:pPr>
        <w:pStyle w:val="Prrafodelista"/>
        <w:numPr>
          <w:ilvl w:val="0"/>
          <w:numId w:val="4"/>
        </w:numPr>
        <w:spacing w:afterLines="120" w:after="288"/>
        <w:ind w:left="567" w:hanging="567"/>
        <w:jc w:val="both"/>
        <w:rPr>
          <w:rFonts w:ascii="ITC Avant Garde" w:hAnsi="ITC Avant Garde" w:cs="Arial"/>
          <w:bCs/>
          <w:color w:val="000000"/>
          <w:sz w:val="22"/>
          <w:szCs w:val="22"/>
          <w:lang w:val="es-MX" w:eastAsia="es-MX"/>
        </w:rPr>
      </w:pPr>
      <w:r w:rsidRPr="008218B4">
        <w:rPr>
          <w:rFonts w:ascii="ITC Avant Garde" w:hAnsi="ITC Avant Garde" w:cs="Arial"/>
          <w:b/>
          <w:bCs/>
          <w:color w:val="000000"/>
          <w:sz w:val="22"/>
          <w:szCs w:val="22"/>
          <w:lang w:val="es-MX" w:eastAsia="es-MX"/>
        </w:rPr>
        <w:t>Lineamientos para el Otorgamiento de Concesiones</w:t>
      </w:r>
      <w:r w:rsidRPr="008218B4">
        <w:rPr>
          <w:rFonts w:ascii="ITC Avant Garde" w:hAnsi="ITC Avant Garde" w:cs="Arial"/>
          <w:bCs/>
          <w:color w:val="000000"/>
          <w:sz w:val="22"/>
          <w:szCs w:val="22"/>
          <w:lang w:val="es-MX" w:eastAsia="es-MX"/>
        </w:rPr>
        <w:t xml:space="preserve">. El 24 de julio de 2015 se publicó en el Diario Oficial de la Federación el </w:t>
      </w:r>
      <w:r w:rsidRPr="008218B4">
        <w:rPr>
          <w:rFonts w:ascii="ITC Avant Garde" w:hAnsi="ITC Avant Garde" w:cs="Arial"/>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8218B4">
        <w:rPr>
          <w:rFonts w:ascii="ITC Avant Garde" w:hAnsi="ITC Avant Garde" w:cs="Arial"/>
          <w:bCs/>
          <w:color w:val="000000"/>
          <w:sz w:val="22"/>
          <w:szCs w:val="22"/>
          <w:lang w:val="es-MX" w:eastAsia="es-MX"/>
        </w:rPr>
        <w:t>, mismo que fue modificado el 26 de mayo de 2017 (los “Lineamientos”).</w:t>
      </w:r>
    </w:p>
    <w:p w14:paraId="34CD1E5E" w14:textId="77777777" w:rsidR="00381B72" w:rsidRDefault="003E64A8" w:rsidP="00381B72">
      <w:pPr>
        <w:numPr>
          <w:ilvl w:val="0"/>
          <w:numId w:val="4"/>
        </w:numPr>
        <w:spacing w:afterLines="120" w:after="288" w:line="240" w:lineRule="auto"/>
        <w:ind w:left="567" w:hanging="567"/>
        <w:jc w:val="both"/>
        <w:rPr>
          <w:rFonts w:ascii="ITC Avant Garde" w:hAnsi="ITC Avant Garde"/>
          <w:b/>
          <w:bCs/>
          <w:color w:val="000000"/>
          <w:lang w:eastAsia="es-MX"/>
        </w:rPr>
      </w:pPr>
      <w:r w:rsidRPr="008218B4">
        <w:rPr>
          <w:rFonts w:ascii="ITC Avant Garde" w:hAnsi="ITC Avant Garde"/>
          <w:b/>
          <w:bCs/>
          <w:color w:val="000000"/>
          <w:lang w:eastAsia="es-MX"/>
        </w:rPr>
        <w:t>Solicitud de Concesión.</w:t>
      </w:r>
      <w:r w:rsidRPr="008218B4">
        <w:rPr>
          <w:rFonts w:ascii="ITC Avant Garde" w:hAnsi="ITC Avant Garde"/>
          <w:bCs/>
          <w:color w:val="000000"/>
          <w:lang w:eastAsia="es-MX"/>
        </w:rPr>
        <w:t xml:space="preserve"> El 6 de octubre de 2016, mediante oficio número 311./000101 presentado ante el Instituto, </w:t>
      </w:r>
      <w:r w:rsidR="00FC58D4" w:rsidRPr="008218B4">
        <w:rPr>
          <w:rFonts w:ascii="ITC Avant Garde" w:hAnsi="ITC Avant Garde"/>
          <w:bCs/>
          <w:color w:val="000000"/>
          <w:lang w:eastAsia="es-MX"/>
        </w:rPr>
        <w:t>el</w:t>
      </w:r>
      <w:r w:rsidRPr="008218B4">
        <w:rPr>
          <w:rFonts w:ascii="ITC Avant Garde" w:hAnsi="ITC Avant Garde"/>
          <w:bCs/>
          <w:color w:val="000000"/>
          <w:lang w:eastAsia="es-MX"/>
        </w:rPr>
        <w:t xml:space="preserve"> Geren</w:t>
      </w:r>
      <w:r w:rsidR="00FC58D4" w:rsidRPr="008218B4">
        <w:rPr>
          <w:rFonts w:ascii="ITC Avant Garde" w:hAnsi="ITC Avant Garde"/>
          <w:bCs/>
          <w:color w:val="000000"/>
          <w:lang w:eastAsia="es-MX"/>
        </w:rPr>
        <w:t>te</w:t>
      </w:r>
      <w:r w:rsidRPr="008218B4">
        <w:rPr>
          <w:rFonts w:ascii="ITC Avant Garde" w:hAnsi="ITC Avant Garde"/>
          <w:bCs/>
          <w:color w:val="000000"/>
          <w:lang w:eastAsia="es-MX"/>
        </w:rPr>
        <w:t xml:space="preserve"> de Operación de Distribución de la </w:t>
      </w:r>
      <w:r w:rsidR="001E420B" w:rsidRPr="008218B4">
        <w:rPr>
          <w:rFonts w:ascii="ITC Avant Garde" w:hAnsi="ITC Avant Garde"/>
          <w:bCs/>
          <w:color w:val="000000"/>
          <w:lang w:eastAsia="es-MX"/>
        </w:rPr>
        <w:t>Comisión Federal de Electricidad</w:t>
      </w:r>
      <w:r w:rsidR="008218B4" w:rsidRPr="008218B4">
        <w:rPr>
          <w:rFonts w:ascii="ITC Avant Garde" w:hAnsi="ITC Avant Garde"/>
          <w:bCs/>
          <w:color w:val="000000"/>
          <w:lang w:eastAsia="es-MX"/>
        </w:rPr>
        <w:t>,</w:t>
      </w:r>
      <w:r w:rsidR="001E420B" w:rsidRPr="008218B4">
        <w:rPr>
          <w:rFonts w:ascii="ITC Avant Garde" w:hAnsi="ITC Avant Garde"/>
          <w:bCs/>
          <w:color w:val="000000"/>
          <w:lang w:eastAsia="es-MX"/>
        </w:rPr>
        <w:t xml:space="preserve"> </w:t>
      </w:r>
      <w:r w:rsidR="00B00E28" w:rsidRPr="008218B4">
        <w:rPr>
          <w:rFonts w:ascii="ITC Avant Garde" w:hAnsi="ITC Avant Garde"/>
          <w:bCs/>
          <w:color w:val="000000"/>
          <w:lang w:eastAsia="es-MX"/>
        </w:rPr>
        <w:t xml:space="preserve">Empresa Productiva </w:t>
      </w:r>
      <w:r w:rsidR="00E43E4F" w:rsidRPr="008218B4">
        <w:rPr>
          <w:rFonts w:ascii="ITC Avant Garde" w:hAnsi="ITC Avant Garde"/>
          <w:bCs/>
          <w:color w:val="000000"/>
          <w:lang w:eastAsia="es-MX"/>
        </w:rPr>
        <w:t>del Estado</w:t>
      </w:r>
      <w:r w:rsidRPr="008218B4">
        <w:rPr>
          <w:rFonts w:ascii="ITC Avant Garde" w:hAnsi="ITC Avant Garde"/>
          <w:bCs/>
          <w:color w:val="000000"/>
          <w:lang w:eastAsia="es-MX"/>
        </w:rPr>
        <w:t xml:space="preserve"> (“CFE”), solicitó el otorgamiento de una concesión de espectro radioeléctrico </w:t>
      </w:r>
      <w:r w:rsidR="001E420B" w:rsidRPr="008218B4">
        <w:rPr>
          <w:rFonts w:ascii="ITC Avant Garde" w:hAnsi="ITC Avant Garde"/>
          <w:bCs/>
          <w:color w:val="000000"/>
          <w:lang w:eastAsia="es-MX"/>
        </w:rPr>
        <w:t xml:space="preserve">para un sistema de radiocomunicación troncalizado </w:t>
      </w:r>
      <w:r w:rsidRPr="008218B4">
        <w:rPr>
          <w:rFonts w:ascii="ITC Avant Garde" w:hAnsi="ITC Avant Garde"/>
          <w:bCs/>
          <w:color w:val="000000"/>
          <w:lang w:eastAsia="es-MX"/>
        </w:rPr>
        <w:t>en la banda de</w:t>
      </w:r>
      <w:r w:rsidR="001E420B" w:rsidRPr="008218B4">
        <w:rPr>
          <w:rFonts w:ascii="ITC Avant Garde" w:hAnsi="ITC Avant Garde"/>
          <w:bCs/>
          <w:color w:val="000000"/>
          <w:lang w:eastAsia="es-MX"/>
        </w:rPr>
        <w:t xml:space="preserve"> 806-814/851-859 MHz</w:t>
      </w:r>
      <w:r w:rsidR="00F35AE6" w:rsidRPr="008218B4">
        <w:rPr>
          <w:rFonts w:ascii="ITC Avant Garde" w:hAnsi="ITC Avant Garde"/>
          <w:bCs/>
          <w:color w:val="000000"/>
          <w:lang w:eastAsia="es-MX"/>
        </w:rPr>
        <w:t>,</w:t>
      </w:r>
      <w:r w:rsidR="007B26A8" w:rsidRPr="008218B4">
        <w:rPr>
          <w:rFonts w:ascii="ITC Avant Garde" w:hAnsi="ITC Avant Garde"/>
          <w:bCs/>
          <w:color w:val="000000"/>
          <w:lang w:eastAsia="es-MX"/>
        </w:rPr>
        <w:t xml:space="preserve"> </w:t>
      </w:r>
      <w:r w:rsidRPr="008218B4">
        <w:rPr>
          <w:rFonts w:ascii="ITC Avant Garde" w:hAnsi="ITC Avant Garde"/>
          <w:bCs/>
          <w:color w:val="000000"/>
          <w:lang w:eastAsia="es-MX"/>
        </w:rPr>
        <w:t>con el fin de otorgar un servicio seguro, rápido y confiable a los usuarios de energía eléctrica</w:t>
      </w:r>
      <w:r w:rsidR="004B1FC8">
        <w:rPr>
          <w:rFonts w:ascii="ITC Avant Garde" w:hAnsi="ITC Avant Garde"/>
          <w:bCs/>
          <w:color w:val="000000"/>
          <w:lang w:eastAsia="es-MX"/>
        </w:rPr>
        <w:t xml:space="preserve"> (la Solicitud)</w:t>
      </w:r>
      <w:r w:rsidRPr="008218B4">
        <w:rPr>
          <w:rFonts w:ascii="ITC Avant Garde" w:hAnsi="ITC Avant Garde"/>
          <w:bCs/>
          <w:color w:val="000000" w:themeColor="text1"/>
          <w:lang w:eastAsia="es-MX"/>
        </w:rPr>
        <w:t>.</w:t>
      </w:r>
      <w:r w:rsidRPr="008218B4">
        <w:rPr>
          <w:rFonts w:ascii="ITC Avant Garde" w:hAnsi="ITC Avant Garde"/>
          <w:bCs/>
          <w:color w:val="000000"/>
          <w:lang w:eastAsia="es-MX"/>
        </w:rPr>
        <w:t xml:space="preserve"> </w:t>
      </w:r>
    </w:p>
    <w:p w14:paraId="36A01681" w14:textId="77777777" w:rsidR="00381B72" w:rsidRDefault="00A44C5C"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b/>
          <w:bCs/>
          <w:color w:val="000000"/>
          <w:lang w:eastAsia="es-MX"/>
        </w:rPr>
        <w:lastRenderedPageBreak/>
        <w:t>Solicitud de Opinión de la Unidad de Espectro Radioeléctrico.</w:t>
      </w:r>
      <w:r w:rsidRPr="008218B4">
        <w:rPr>
          <w:rFonts w:ascii="ITC Avant Garde" w:hAnsi="ITC Avant Garde"/>
          <w:bCs/>
          <w:color w:val="000000"/>
          <w:lang w:eastAsia="es-MX"/>
        </w:rPr>
        <w:t xml:space="preserve"> </w:t>
      </w:r>
      <w:r w:rsidR="001E420B" w:rsidRPr="008218B4">
        <w:rPr>
          <w:rFonts w:ascii="ITC Avant Garde" w:hAnsi="ITC Avant Garde"/>
          <w:bCs/>
          <w:color w:val="000000"/>
          <w:lang w:eastAsia="es-MX"/>
        </w:rPr>
        <w:t>El 20 de octubre de 2016 m</w:t>
      </w:r>
      <w:r w:rsidRPr="008218B4">
        <w:rPr>
          <w:rFonts w:ascii="ITC Avant Garde" w:hAnsi="ITC Avant Garde"/>
          <w:bCs/>
          <w:color w:val="000000"/>
          <w:lang w:eastAsia="es-MX"/>
        </w:rPr>
        <w:t>ediante oficio IFT/223/</w:t>
      </w:r>
      <w:r w:rsidR="001E420B" w:rsidRPr="008218B4">
        <w:rPr>
          <w:rFonts w:ascii="ITC Avant Garde" w:hAnsi="ITC Avant Garde"/>
          <w:bCs/>
          <w:color w:val="000000"/>
          <w:lang w:eastAsia="es-MX"/>
        </w:rPr>
        <w:t>UCS/DG-CTEL/2426/2016</w:t>
      </w:r>
      <w:r w:rsidRPr="008218B4">
        <w:rPr>
          <w:rFonts w:ascii="ITC Avant Garde" w:hAnsi="ITC Avant Garde"/>
          <w:bCs/>
          <w:color w:val="000000"/>
          <w:lang w:eastAsia="es-MX"/>
        </w:rPr>
        <w:t xml:space="preserve">, la Unidad de Concesiones y Servicios, a través de la Dirección General de Concesiones de Telecomunicaciones, solicitó a la Unidad de Espectro Radioeléctrico </w:t>
      </w:r>
      <w:r w:rsidRPr="008218B4">
        <w:rPr>
          <w:rFonts w:ascii="ITC Avant Garde" w:hAnsi="ITC Avant Garde" w:cs="Arial"/>
          <w:bCs/>
          <w:color w:val="000000"/>
          <w:lang w:eastAsia="es-MX"/>
        </w:rPr>
        <w:t xml:space="preserve">emitir dictamen respecto </w:t>
      </w:r>
      <w:r w:rsidRPr="008218B4">
        <w:rPr>
          <w:rFonts w:ascii="ITC Avant Garde" w:hAnsi="ITC Avant Garde"/>
          <w:bCs/>
          <w:color w:val="000000"/>
          <w:lang w:eastAsia="es-MX"/>
        </w:rPr>
        <w:t xml:space="preserve">a la compatibilidad electromagnética y las medidas técnico-operativas que podrían incorporarse a la concesión que, en su caso, se otorgara con motivo </w:t>
      </w:r>
      <w:r w:rsidR="004B1FC8">
        <w:rPr>
          <w:rFonts w:ascii="ITC Avant Garde" w:hAnsi="ITC Avant Garde" w:cs="Arial"/>
          <w:bCs/>
          <w:color w:val="000000"/>
          <w:lang w:eastAsia="es-MX"/>
        </w:rPr>
        <w:t>de la S</w:t>
      </w:r>
      <w:r w:rsidRPr="008218B4">
        <w:rPr>
          <w:rFonts w:ascii="ITC Avant Garde" w:hAnsi="ITC Avant Garde" w:cs="Arial"/>
          <w:bCs/>
          <w:color w:val="000000"/>
          <w:lang w:eastAsia="es-MX"/>
        </w:rPr>
        <w:t>olicitud</w:t>
      </w:r>
      <w:r w:rsidRPr="008218B4">
        <w:rPr>
          <w:rFonts w:ascii="ITC Avant Garde" w:hAnsi="ITC Avant Garde"/>
          <w:bCs/>
          <w:color w:val="000000"/>
          <w:lang w:eastAsia="es-MX"/>
        </w:rPr>
        <w:t xml:space="preserve">. </w:t>
      </w:r>
    </w:p>
    <w:p w14:paraId="4018624E" w14:textId="3C12C1C2" w:rsidR="00381B72" w:rsidRDefault="00FC58D4"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cs="Arial"/>
          <w:b/>
          <w:bCs/>
          <w:color w:val="000000"/>
          <w:lang w:eastAsia="es-MX"/>
        </w:rPr>
        <w:t xml:space="preserve">Requerimiento de información. </w:t>
      </w:r>
      <w:r w:rsidRPr="008218B4">
        <w:rPr>
          <w:rFonts w:ascii="ITC Avant Garde" w:hAnsi="ITC Avant Garde" w:cs="Arial"/>
          <w:bCs/>
          <w:color w:val="000000"/>
          <w:lang w:eastAsia="es-MX"/>
        </w:rPr>
        <w:t xml:space="preserve">El 24 de octubre de 2016, mediante oficio IFT/223/UCS/DG-CTEL/2425/2016 la Unidad Concesiones y Servicios, a través de la Dirección General de Concesiones de Telecomunicaciones, solicitó a CFE </w:t>
      </w:r>
      <w:r w:rsidR="004B1FC8">
        <w:rPr>
          <w:rFonts w:ascii="ITC Avant Garde" w:hAnsi="ITC Avant Garde" w:cs="Arial"/>
          <w:bCs/>
          <w:color w:val="000000"/>
          <w:lang w:eastAsia="es-MX"/>
        </w:rPr>
        <w:t xml:space="preserve">que </w:t>
      </w:r>
      <w:r w:rsidRPr="008218B4">
        <w:rPr>
          <w:rFonts w:ascii="ITC Avant Garde" w:hAnsi="ITC Avant Garde" w:cs="Arial"/>
          <w:bCs/>
          <w:color w:val="000000"/>
          <w:lang w:eastAsia="es-MX"/>
        </w:rPr>
        <w:t>presentar</w:t>
      </w:r>
      <w:r w:rsidR="002C785D">
        <w:rPr>
          <w:rFonts w:ascii="ITC Avant Garde" w:hAnsi="ITC Avant Garde" w:cs="Arial"/>
          <w:bCs/>
          <w:color w:val="000000"/>
          <w:lang w:eastAsia="es-MX"/>
        </w:rPr>
        <w:t>a</w:t>
      </w:r>
      <w:r w:rsidRPr="008218B4">
        <w:rPr>
          <w:rFonts w:ascii="ITC Avant Garde" w:hAnsi="ITC Avant Garde" w:cs="Arial"/>
          <w:bCs/>
          <w:color w:val="000000"/>
          <w:lang w:eastAsia="es-MX"/>
        </w:rPr>
        <w:t xml:space="preserve"> el </w:t>
      </w:r>
      <w:r w:rsidR="002F01AE">
        <w:rPr>
          <w:rFonts w:ascii="ITC Avant Garde" w:hAnsi="ITC Avant Garde" w:cs="Arial"/>
          <w:bCs/>
          <w:color w:val="000000"/>
          <w:lang w:eastAsia="es-MX"/>
        </w:rPr>
        <w:t>“</w:t>
      </w:r>
      <w:r w:rsidRPr="008218B4">
        <w:rPr>
          <w:rFonts w:ascii="ITC Avant Garde" w:hAnsi="ITC Avant Garde" w:cs="Arial"/>
          <w:bCs/>
          <w:color w:val="000000"/>
          <w:lang w:eastAsia="es-MX"/>
        </w:rPr>
        <w:t>Formato IFT. Concesión de Espectro Radioeléctrico. Tipo A Uso Público</w:t>
      </w:r>
      <w:r w:rsidR="002F01AE">
        <w:rPr>
          <w:rFonts w:ascii="ITC Avant Garde" w:hAnsi="ITC Avant Garde" w:cs="Arial"/>
          <w:bCs/>
          <w:color w:val="000000"/>
          <w:lang w:eastAsia="es-MX"/>
        </w:rPr>
        <w:t>”</w:t>
      </w:r>
      <w:r w:rsidRPr="008218B4">
        <w:rPr>
          <w:rFonts w:ascii="ITC Avant Garde" w:hAnsi="ITC Avant Garde" w:cs="Arial"/>
          <w:bCs/>
          <w:color w:val="000000"/>
          <w:lang w:eastAsia="es-MX"/>
        </w:rPr>
        <w:t xml:space="preserve"> a fin de tener debidamente integrada la </w:t>
      </w:r>
      <w:r w:rsidR="004B1FC8">
        <w:rPr>
          <w:rFonts w:ascii="ITC Avant Garde" w:hAnsi="ITC Avant Garde" w:cs="Arial"/>
          <w:bCs/>
          <w:color w:val="000000"/>
          <w:lang w:eastAsia="es-MX"/>
        </w:rPr>
        <w:t>S</w:t>
      </w:r>
      <w:r w:rsidRPr="008218B4">
        <w:rPr>
          <w:rFonts w:ascii="ITC Avant Garde" w:hAnsi="ITC Avant Garde" w:cs="Arial"/>
          <w:bCs/>
          <w:color w:val="000000"/>
          <w:lang w:eastAsia="es-MX"/>
        </w:rPr>
        <w:t>olicitud.</w:t>
      </w:r>
    </w:p>
    <w:p w14:paraId="3934773B" w14:textId="77777777" w:rsidR="00381B72" w:rsidRDefault="00FC58D4" w:rsidP="00381B72">
      <w:pPr>
        <w:spacing w:afterLines="120" w:after="288" w:line="240" w:lineRule="auto"/>
        <w:ind w:left="567"/>
        <w:jc w:val="both"/>
        <w:rPr>
          <w:rFonts w:ascii="ITC Avant Garde" w:hAnsi="ITC Avant Garde"/>
          <w:bCs/>
          <w:color w:val="000000"/>
          <w:lang w:eastAsia="es-MX"/>
        </w:rPr>
      </w:pPr>
      <w:r w:rsidRPr="008218B4">
        <w:rPr>
          <w:rFonts w:ascii="ITC Avant Garde" w:hAnsi="ITC Avant Garde"/>
          <w:bCs/>
          <w:color w:val="000000"/>
          <w:lang w:eastAsia="es-MX"/>
        </w:rPr>
        <w:t>En respuesta a lo anterior, el 3 de noviembre de 2016 medi</w:t>
      </w:r>
      <w:r w:rsidR="00A44C5C" w:rsidRPr="008218B4">
        <w:rPr>
          <w:rFonts w:ascii="ITC Avant Garde" w:hAnsi="ITC Avant Garde"/>
          <w:bCs/>
          <w:color w:val="000000"/>
          <w:lang w:eastAsia="es-MX"/>
        </w:rPr>
        <w:t>ante oficio número 311./000127,</w:t>
      </w:r>
      <w:r w:rsidRPr="008218B4">
        <w:rPr>
          <w:rFonts w:ascii="ITC Avant Garde" w:hAnsi="ITC Avant Garde" w:cs="Arial"/>
          <w:bCs/>
          <w:color w:val="000000"/>
          <w:lang w:eastAsia="es-MX"/>
        </w:rPr>
        <w:t xml:space="preserve"> CFE presentó el formato requerido</w:t>
      </w:r>
      <w:r w:rsidR="001E420B" w:rsidRPr="008218B4">
        <w:rPr>
          <w:rFonts w:ascii="ITC Avant Garde" w:hAnsi="ITC Avant Garde" w:cs="Arial"/>
          <w:bCs/>
          <w:color w:val="000000"/>
          <w:lang w:eastAsia="es-MX"/>
        </w:rPr>
        <w:t>, mismo que fue remitid</w:t>
      </w:r>
      <w:r w:rsidR="009B1FA4" w:rsidRPr="008218B4">
        <w:rPr>
          <w:rFonts w:ascii="ITC Avant Garde" w:hAnsi="ITC Avant Garde" w:cs="Arial"/>
          <w:bCs/>
          <w:color w:val="000000"/>
          <w:lang w:eastAsia="es-MX"/>
        </w:rPr>
        <w:t>o</w:t>
      </w:r>
      <w:r w:rsidR="001E420B" w:rsidRPr="008218B4">
        <w:rPr>
          <w:rFonts w:ascii="ITC Avant Garde" w:hAnsi="ITC Avant Garde" w:cs="Arial"/>
          <w:bCs/>
          <w:color w:val="000000"/>
          <w:lang w:eastAsia="es-MX"/>
        </w:rPr>
        <w:t xml:space="preserve"> a la Unidad de Espectro Radioeléctrico</w:t>
      </w:r>
      <w:r w:rsidR="001E420B" w:rsidRPr="008218B4">
        <w:rPr>
          <w:rFonts w:ascii="ITC Avant Garde" w:hAnsi="ITC Avant Garde"/>
          <w:bCs/>
          <w:color w:val="000000"/>
          <w:lang w:eastAsia="es-MX"/>
        </w:rPr>
        <w:t xml:space="preserve"> el 29 de noviembre de 2016 con oficio IFT/223/UCS/DG-CTEL/2674/2016.</w:t>
      </w:r>
    </w:p>
    <w:p w14:paraId="15EF91C6" w14:textId="77777777" w:rsidR="00381B72" w:rsidRDefault="008A396D"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cs="Arial"/>
          <w:b/>
          <w:bCs/>
          <w:color w:val="000000"/>
          <w:lang w:eastAsia="es-MX"/>
        </w:rPr>
        <w:t>Solicitud de opinión a la Secretaría</w:t>
      </w:r>
      <w:r w:rsidR="00CB2158" w:rsidRPr="008218B4">
        <w:rPr>
          <w:rFonts w:ascii="ITC Avant Garde" w:hAnsi="ITC Avant Garde" w:cs="Arial"/>
          <w:b/>
          <w:bCs/>
          <w:color w:val="000000"/>
          <w:lang w:eastAsia="es-MX"/>
        </w:rPr>
        <w:t xml:space="preserve"> de Comunicaciones y Transportes</w:t>
      </w:r>
      <w:r w:rsidRPr="008218B4">
        <w:rPr>
          <w:rFonts w:ascii="ITC Avant Garde" w:hAnsi="ITC Avant Garde" w:cs="Arial"/>
          <w:bCs/>
          <w:color w:val="000000"/>
          <w:lang w:eastAsia="es-MX"/>
        </w:rPr>
        <w:t xml:space="preserve">. El </w:t>
      </w:r>
      <w:r w:rsidR="00CB2158" w:rsidRPr="008218B4">
        <w:rPr>
          <w:rFonts w:ascii="ITC Avant Garde" w:hAnsi="ITC Avant Garde" w:cs="Arial"/>
          <w:bCs/>
          <w:color w:val="000000"/>
          <w:lang w:eastAsia="es-MX"/>
        </w:rPr>
        <w:t>1 de diciembre</w:t>
      </w:r>
      <w:r w:rsidRPr="008218B4">
        <w:rPr>
          <w:rFonts w:ascii="ITC Avant Garde" w:hAnsi="ITC Avant Garde" w:cs="Arial"/>
          <w:bCs/>
          <w:color w:val="000000"/>
          <w:lang w:eastAsia="es-MX"/>
        </w:rPr>
        <w:t xml:space="preserve"> de 2016, mediante el oficio IFT/223/UCS/</w:t>
      </w:r>
      <w:r w:rsidR="00CB2158" w:rsidRPr="008218B4">
        <w:rPr>
          <w:rFonts w:ascii="ITC Avant Garde" w:hAnsi="ITC Avant Garde" w:cs="Arial"/>
          <w:bCs/>
          <w:color w:val="000000"/>
          <w:lang w:eastAsia="es-MX"/>
        </w:rPr>
        <w:t>2395</w:t>
      </w:r>
      <w:r w:rsidRPr="008218B4">
        <w:rPr>
          <w:rFonts w:ascii="ITC Avant Garde" w:hAnsi="ITC Avant Garde" w:cs="Arial"/>
          <w:bCs/>
          <w:color w:val="000000"/>
          <w:lang w:eastAsia="es-MX"/>
        </w:rPr>
        <w:t>/2016</w:t>
      </w:r>
      <w:r w:rsidR="004B1FC8">
        <w:rPr>
          <w:rFonts w:ascii="ITC Avant Garde" w:hAnsi="ITC Avant Garde" w:cs="Arial"/>
          <w:bCs/>
          <w:color w:val="000000"/>
          <w:lang w:eastAsia="es-MX"/>
        </w:rPr>
        <w:t>,</w:t>
      </w:r>
      <w:r w:rsidRPr="008218B4">
        <w:rPr>
          <w:rFonts w:ascii="ITC Avant Garde" w:hAnsi="ITC Avant Garde" w:cs="Arial"/>
          <w:bCs/>
          <w:color w:val="000000"/>
          <w:lang w:eastAsia="es-MX"/>
        </w:rPr>
        <w:t xml:space="preserve"> la Unidad Concesiones y Servicios, en cumplimiento a lo dispuesto en el párrafo décimo séptimo del artículo 28 de la Constitución Política de los Estados Unidos Mexicanos, solicitó a la Secretaría </w:t>
      </w:r>
      <w:r w:rsidR="00CB2158" w:rsidRPr="008218B4">
        <w:rPr>
          <w:rFonts w:ascii="ITC Avant Garde" w:hAnsi="ITC Avant Garde" w:cs="Arial"/>
          <w:bCs/>
          <w:color w:val="000000"/>
          <w:lang w:eastAsia="es-MX"/>
        </w:rPr>
        <w:t xml:space="preserve">de Comunicaciones y Transportes (la “Secretaría”) </w:t>
      </w:r>
      <w:r w:rsidRPr="008218B4">
        <w:rPr>
          <w:rFonts w:ascii="ITC Avant Garde" w:hAnsi="ITC Avant Garde" w:cs="Arial"/>
          <w:bCs/>
          <w:color w:val="000000"/>
          <w:lang w:eastAsia="es-MX"/>
        </w:rPr>
        <w:t xml:space="preserve">opinión técnica </w:t>
      </w:r>
      <w:r w:rsidRPr="008218B4">
        <w:rPr>
          <w:rFonts w:ascii="ITC Avant Garde" w:hAnsi="ITC Avant Garde" w:cs="Arial"/>
          <w:bCs/>
          <w:color w:val="000000"/>
          <w:shd w:val="clear" w:color="auto" w:fill="FFFFFF"/>
        </w:rPr>
        <w:t xml:space="preserve">no vinculante </w:t>
      </w:r>
      <w:r w:rsidR="004B1FC8">
        <w:rPr>
          <w:rFonts w:ascii="ITC Avant Garde" w:hAnsi="ITC Avant Garde" w:cs="Arial"/>
          <w:bCs/>
          <w:color w:val="000000"/>
          <w:lang w:eastAsia="es-MX"/>
        </w:rPr>
        <w:t>respecto a la S</w:t>
      </w:r>
      <w:r w:rsidRPr="008218B4">
        <w:rPr>
          <w:rFonts w:ascii="ITC Avant Garde" w:hAnsi="ITC Avant Garde" w:cs="Arial"/>
          <w:bCs/>
          <w:color w:val="000000"/>
          <w:lang w:eastAsia="es-MX"/>
        </w:rPr>
        <w:t>olicitud.</w:t>
      </w:r>
    </w:p>
    <w:p w14:paraId="0A5EDC58" w14:textId="77777777" w:rsidR="00381B72" w:rsidRDefault="008A396D"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cs="Arial"/>
          <w:b/>
          <w:bCs/>
          <w:color w:val="000000"/>
          <w:lang w:eastAsia="es-MX"/>
        </w:rPr>
        <w:t xml:space="preserve">Opinión de la Secretaría. </w:t>
      </w:r>
      <w:r w:rsidRPr="008218B4">
        <w:rPr>
          <w:rFonts w:ascii="ITC Avant Garde" w:hAnsi="ITC Avant Garde" w:cs="Arial"/>
          <w:bCs/>
          <w:color w:val="000000"/>
          <w:lang w:eastAsia="es-MX"/>
        </w:rPr>
        <w:t>Mediante el oficio 2.1.-</w:t>
      </w:r>
      <w:r w:rsidR="00CB2158" w:rsidRPr="008218B4">
        <w:rPr>
          <w:rFonts w:ascii="ITC Avant Garde" w:hAnsi="ITC Avant Garde" w:cs="Arial"/>
          <w:bCs/>
          <w:color w:val="000000"/>
          <w:lang w:eastAsia="es-MX"/>
        </w:rPr>
        <w:t>710</w:t>
      </w:r>
      <w:r w:rsidRPr="008218B4">
        <w:rPr>
          <w:rFonts w:ascii="ITC Avant Garde" w:hAnsi="ITC Avant Garde" w:cs="Arial"/>
          <w:bCs/>
          <w:color w:val="000000"/>
          <w:lang w:eastAsia="es-MX"/>
        </w:rPr>
        <w:t xml:space="preserve">/2016 recibido en el Instituto el </w:t>
      </w:r>
      <w:r w:rsidR="001E420B" w:rsidRPr="008218B4">
        <w:rPr>
          <w:rFonts w:ascii="ITC Avant Garde" w:hAnsi="ITC Avant Garde" w:cs="Arial"/>
          <w:bCs/>
          <w:color w:val="000000"/>
          <w:lang w:eastAsia="es-MX"/>
        </w:rPr>
        <w:t>21 de diciembre de 2016</w:t>
      </w:r>
      <w:r w:rsidRPr="008218B4">
        <w:rPr>
          <w:rFonts w:ascii="ITC Avant Garde" w:hAnsi="ITC Avant Garde" w:cs="Arial"/>
          <w:bCs/>
          <w:color w:val="000000"/>
          <w:lang w:eastAsia="es-MX"/>
        </w:rPr>
        <w:t>, la Dirección General de Política de Telecomunicaciones y de Radiodifusión de la Secretaría, remitió el oficio 1.-</w:t>
      </w:r>
      <w:r w:rsidR="00CB2158" w:rsidRPr="008218B4">
        <w:rPr>
          <w:rFonts w:ascii="ITC Avant Garde" w:hAnsi="ITC Avant Garde" w:cs="Arial"/>
          <w:bCs/>
          <w:color w:val="000000"/>
          <w:lang w:eastAsia="es-MX"/>
        </w:rPr>
        <w:t>317</w:t>
      </w:r>
      <w:r w:rsidRPr="008218B4">
        <w:rPr>
          <w:rFonts w:ascii="ITC Avant Garde" w:hAnsi="ITC Avant Garde" w:cs="Arial"/>
          <w:bCs/>
          <w:color w:val="000000"/>
          <w:lang w:eastAsia="es-MX"/>
        </w:rPr>
        <w:t xml:space="preserve"> de fecha </w:t>
      </w:r>
      <w:r w:rsidR="00CB2158" w:rsidRPr="008218B4">
        <w:rPr>
          <w:rFonts w:ascii="ITC Avant Garde" w:hAnsi="ITC Avant Garde" w:cs="Arial"/>
          <w:bCs/>
          <w:color w:val="000000"/>
          <w:lang w:eastAsia="es-MX"/>
        </w:rPr>
        <w:t xml:space="preserve">16 de diciembre de 2016, </w:t>
      </w:r>
      <w:r w:rsidRPr="008218B4">
        <w:rPr>
          <w:rFonts w:ascii="ITC Avant Garde" w:hAnsi="ITC Avant Garde" w:cs="Arial"/>
          <w:bCs/>
          <w:color w:val="000000"/>
          <w:lang w:eastAsia="es-MX"/>
        </w:rPr>
        <w:t>mediante el cual emitió opinión favorable</w:t>
      </w:r>
      <w:r w:rsidR="006C71AC">
        <w:rPr>
          <w:rFonts w:ascii="ITC Avant Garde" w:hAnsi="ITC Avant Garde" w:cs="Arial"/>
          <w:bCs/>
          <w:color w:val="000000"/>
          <w:lang w:eastAsia="es-MX"/>
        </w:rPr>
        <w:t xml:space="preserve"> respecto a la </w:t>
      </w:r>
      <w:r w:rsidR="002C785D">
        <w:rPr>
          <w:rFonts w:ascii="ITC Avant Garde" w:hAnsi="ITC Avant Garde" w:cs="Arial"/>
          <w:bCs/>
          <w:color w:val="000000"/>
          <w:lang w:eastAsia="es-MX"/>
        </w:rPr>
        <w:t>S</w:t>
      </w:r>
      <w:r w:rsidRPr="008218B4">
        <w:rPr>
          <w:rFonts w:ascii="ITC Avant Garde" w:hAnsi="ITC Avant Garde" w:cs="Arial"/>
          <w:bCs/>
          <w:color w:val="000000"/>
          <w:lang w:eastAsia="es-MX"/>
        </w:rPr>
        <w:t>olicitud.</w:t>
      </w:r>
    </w:p>
    <w:p w14:paraId="65FB46DA" w14:textId="22B81087" w:rsidR="0081066C" w:rsidRPr="008218B4" w:rsidRDefault="0081066C"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cs="Arial"/>
          <w:b/>
          <w:bCs/>
          <w:color w:val="000000"/>
          <w:lang w:eastAsia="es-MX"/>
        </w:rPr>
        <w:t xml:space="preserve">Información adicional. </w:t>
      </w:r>
      <w:r w:rsidRPr="008218B4">
        <w:rPr>
          <w:rFonts w:ascii="ITC Avant Garde" w:hAnsi="ITC Avant Garde" w:cs="Arial"/>
          <w:bCs/>
          <w:color w:val="000000"/>
          <w:lang w:eastAsia="es-MX"/>
        </w:rPr>
        <w:t>El 18 de mayo de 2017</w:t>
      </w:r>
      <w:r w:rsidR="004B1FC8">
        <w:rPr>
          <w:rFonts w:ascii="ITC Avant Garde" w:hAnsi="ITC Avant Garde" w:cs="Arial"/>
          <w:bCs/>
          <w:color w:val="000000"/>
          <w:lang w:eastAsia="es-MX"/>
        </w:rPr>
        <w:t>,</w:t>
      </w:r>
      <w:r w:rsidRPr="008218B4">
        <w:rPr>
          <w:rFonts w:ascii="ITC Avant Garde" w:hAnsi="ITC Avant Garde" w:cs="Arial"/>
          <w:bCs/>
          <w:color w:val="000000"/>
          <w:lang w:eastAsia="es-MX"/>
        </w:rPr>
        <w:t xml:space="preserve"> CFE </w:t>
      </w:r>
      <w:r w:rsidR="004B1FC8">
        <w:rPr>
          <w:rFonts w:ascii="ITC Avant Garde" w:hAnsi="ITC Avant Garde" w:cs="Arial"/>
          <w:bCs/>
          <w:color w:val="000000"/>
          <w:lang w:eastAsia="es-MX"/>
        </w:rPr>
        <w:t>remitió a</w:t>
      </w:r>
      <w:r w:rsidRPr="008218B4">
        <w:rPr>
          <w:rFonts w:ascii="ITC Avant Garde" w:hAnsi="ITC Avant Garde" w:cs="Arial"/>
          <w:bCs/>
          <w:color w:val="000000"/>
          <w:lang w:eastAsia="es-MX"/>
        </w:rPr>
        <w:t xml:space="preserve">l Instituto </w:t>
      </w:r>
      <w:r w:rsidR="004B1FC8">
        <w:rPr>
          <w:rFonts w:ascii="ITC Avant Garde" w:hAnsi="ITC Avant Garde" w:cs="Arial"/>
          <w:bCs/>
          <w:color w:val="000000"/>
          <w:lang w:eastAsia="es-MX"/>
        </w:rPr>
        <w:t xml:space="preserve">el </w:t>
      </w:r>
      <w:r w:rsidRPr="008218B4">
        <w:rPr>
          <w:rFonts w:ascii="ITC Avant Garde" w:hAnsi="ITC Avant Garde" w:cs="Arial"/>
          <w:bCs/>
          <w:color w:val="000000"/>
          <w:lang w:eastAsia="es-MX"/>
        </w:rPr>
        <w:t>oficio número 311./000065</w:t>
      </w:r>
      <w:r w:rsidR="004B1FC8">
        <w:rPr>
          <w:rFonts w:ascii="ITC Avant Garde" w:hAnsi="ITC Avant Garde" w:cs="Arial"/>
          <w:bCs/>
          <w:color w:val="000000"/>
          <w:lang w:eastAsia="es-MX"/>
        </w:rPr>
        <w:t xml:space="preserve"> y anexos, con información </w:t>
      </w:r>
      <w:r w:rsidRPr="008218B4">
        <w:rPr>
          <w:rFonts w:ascii="ITC Avant Garde" w:hAnsi="ITC Avant Garde" w:cs="Arial"/>
          <w:bCs/>
          <w:color w:val="000000"/>
          <w:lang w:eastAsia="es-MX"/>
        </w:rPr>
        <w:t>técnica complementaria</w:t>
      </w:r>
      <w:r w:rsidR="004B1FC8">
        <w:rPr>
          <w:rFonts w:ascii="ITC Avant Garde" w:hAnsi="ITC Avant Garde" w:cs="Arial"/>
          <w:bCs/>
          <w:color w:val="000000"/>
          <w:lang w:eastAsia="es-MX"/>
        </w:rPr>
        <w:t xml:space="preserve">, a fin de que la misma fuera </w:t>
      </w:r>
      <w:r w:rsidRPr="008218B4">
        <w:rPr>
          <w:rFonts w:ascii="ITC Avant Garde" w:hAnsi="ITC Avant Garde" w:cs="Arial"/>
          <w:bCs/>
          <w:color w:val="000000"/>
          <w:lang w:eastAsia="es-MX"/>
        </w:rPr>
        <w:t>considerada</w:t>
      </w:r>
      <w:r w:rsidR="00750C49" w:rsidRPr="008218B4">
        <w:rPr>
          <w:rFonts w:ascii="ITC Avant Garde" w:hAnsi="ITC Avant Garde" w:cs="Arial"/>
          <w:bCs/>
          <w:color w:val="000000"/>
          <w:lang w:eastAsia="es-MX"/>
        </w:rPr>
        <w:t xml:space="preserve"> en el análisis de la Solicitud.</w:t>
      </w:r>
      <w:r w:rsidRPr="008218B4">
        <w:rPr>
          <w:rFonts w:ascii="ITC Avant Garde" w:hAnsi="ITC Avant Garde" w:cs="Arial"/>
          <w:bCs/>
          <w:color w:val="000000"/>
          <w:lang w:eastAsia="es-MX"/>
        </w:rPr>
        <w:t xml:space="preserve"> </w:t>
      </w:r>
      <w:r w:rsidR="00750C49" w:rsidRPr="008218B4">
        <w:rPr>
          <w:rFonts w:ascii="ITC Avant Garde" w:hAnsi="ITC Avant Garde" w:cs="Arial"/>
          <w:bCs/>
          <w:color w:val="000000"/>
          <w:lang w:eastAsia="es-MX"/>
        </w:rPr>
        <w:t>D</w:t>
      </w:r>
      <w:r w:rsidR="004B1FC8">
        <w:rPr>
          <w:rFonts w:ascii="ITC Avant Garde" w:hAnsi="ITC Avant Garde" w:cs="Arial"/>
          <w:bCs/>
          <w:color w:val="000000"/>
          <w:lang w:eastAsia="es-MX"/>
        </w:rPr>
        <w:t>icha información</w:t>
      </w:r>
      <w:r w:rsidR="00B00E28" w:rsidRPr="008218B4">
        <w:rPr>
          <w:rFonts w:ascii="ITC Avant Garde" w:hAnsi="ITC Avant Garde" w:cs="Arial"/>
          <w:bCs/>
          <w:color w:val="000000"/>
          <w:lang w:eastAsia="es-MX"/>
        </w:rPr>
        <w:t xml:space="preserve"> </w:t>
      </w:r>
      <w:r w:rsidR="004B1FC8">
        <w:rPr>
          <w:rFonts w:ascii="ITC Avant Garde" w:hAnsi="ITC Avant Garde" w:cs="Arial"/>
          <w:bCs/>
          <w:color w:val="000000"/>
          <w:lang w:eastAsia="es-MX"/>
        </w:rPr>
        <w:t>s</w:t>
      </w:r>
      <w:r w:rsidR="00B00E28" w:rsidRPr="008218B4">
        <w:rPr>
          <w:rFonts w:ascii="ITC Avant Garde" w:hAnsi="ITC Avant Garde" w:cs="Arial"/>
          <w:bCs/>
          <w:color w:val="000000"/>
          <w:lang w:eastAsia="es-MX"/>
        </w:rPr>
        <w:t>e remitió</w:t>
      </w:r>
      <w:r w:rsidRPr="008218B4">
        <w:rPr>
          <w:rFonts w:ascii="ITC Avant Garde" w:hAnsi="ITC Avant Garde" w:cs="Arial"/>
          <w:bCs/>
          <w:color w:val="000000"/>
          <w:lang w:eastAsia="es-MX"/>
        </w:rPr>
        <w:t xml:space="preserve"> a la </w:t>
      </w:r>
      <w:r w:rsidRPr="008218B4">
        <w:rPr>
          <w:rFonts w:ascii="ITC Avant Garde" w:hAnsi="ITC Avant Garde"/>
          <w:bCs/>
          <w:color w:val="000000"/>
          <w:lang w:eastAsia="es-MX"/>
        </w:rPr>
        <w:t xml:space="preserve">Unidad de Espectro Radioeléctrico </w:t>
      </w:r>
      <w:r w:rsidR="00750C49" w:rsidRPr="008218B4">
        <w:rPr>
          <w:rFonts w:ascii="ITC Avant Garde" w:hAnsi="ITC Avant Garde"/>
          <w:bCs/>
          <w:color w:val="000000"/>
          <w:lang w:eastAsia="es-MX"/>
        </w:rPr>
        <w:t>el 2 de junio de 2017</w:t>
      </w:r>
      <w:r w:rsidR="004B1FC8">
        <w:rPr>
          <w:rFonts w:ascii="ITC Avant Garde" w:hAnsi="ITC Avant Garde"/>
          <w:bCs/>
          <w:color w:val="000000"/>
          <w:lang w:eastAsia="es-MX"/>
        </w:rPr>
        <w:t>,</w:t>
      </w:r>
      <w:r w:rsidR="00750C49" w:rsidRPr="008218B4">
        <w:rPr>
          <w:rFonts w:ascii="ITC Avant Garde" w:hAnsi="ITC Avant Garde"/>
          <w:bCs/>
          <w:color w:val="000000"/>
          <w:lang w:eastAsia="es-MX"/>
        </w:rPr>
        <w:t xml:space="preserve"> </w:t>
      </w:r>
      <w:r w:rsidRPr="008218B4">
        <w:rPr>
          <w:rFonts w:ascii="ITC Avant Garde" w:hAnsi="ITC Avant Garde"/>
          <w:bCs/>
          <w:color w:val="000000"/>
          <w:lang w:eastAsia="es-MX"/>
        </w:rPr>
        <w:t>mediante el oficio IFT/223/UCS/DG-CTEL/1193/2017</w:t>
      </w:r>
      <w:r w:rsidR="00B00E28" w:rsidRPr="008218B4">
        <w:rPr>
          <w:rFonts w:ascii="ITC Avant Garde" w:hAnsi="ITC Avant Garde"/>
          <w:bCs/>
          <w:color w:val="000000"/>
          <w:lang w:eastAsia="es-MX"/>
        </w:rPr>
        <w:t>.</w:t>
      </w:r>
    </w:p>
    <w:p w14:paraId="1C93F4C9" w14:textId="77777777" w:rsidR="00381B72" w:rsidRDefault="00022FDF"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218B4">
        <w:rPr>
          <w:rFonts w:ascii="ITC Avant Garde" w:hAnsi="ITC Avant Garde"/>
          <w:b/>
          <w:bCs/>
          <w:color w:val="000000"/>
          <w:lang w:eastAsia="es-MX"/>
        </w:rPr>
        <w:t xml:space="preserve">Opinión de la Unidad de Espectro Radioeléctrico. </w:t>
      </w:r>
      <w:r w:rsidR="00636A45" w:rsidRPr="008218B4">
        <w:rPr>
          <w:rFonts w:ascii="ITC Avant Garde" w:hAnsi="ITC Avant Garde"/>
          <w:bCs/>
          <w:color w:val="000000"/>
          <w:lang w:eastAsia="es-MX"/>
        </w:rPr>
        <w:t>Con oficio IFT/222/UER/DG-PLES</w:t>
      </w:r>
      <w:r w:rsidRPr="008218B4">
        <w:rPr>
          <w:rFonts w:ascii="ITC Avant Garde" w:hAnsi="ITC Avant Garde"/>
          <w:bCs/>
          <w:color w:val="000000"/>
          <w:lang w:eastAsia="es-MX"/>
        </w:rPr>
        <w:t>/0</w:t>
      </w:r>
      <w:r w:rsidR="004E34F3" w:rsidRPr="008218B4">
        <w:rPr>
          <w:rFonts w:ascii="ITC Avant Garde" w:hAnsi="ITC Avant Garde"/>
          <w:bCs/>
          <w:color w:val="000000"/>
          <w:lang w:eastAsia="es-MX"/>
        </w:rPr>
        <w:t>27</w:t>
      </w:r>
      <w:r w:rsidRPr="008218B4">
        <w:rPr>
          <w:rFonts w:ascii="ITC Avant Garde" w:hAnsi="ITC Avant Garde"/>
          <w:bCs/>
          <w:color w:val="000000"/>
          <w:lang w:eastAsia="es-MX"/>
        </w:rPr>
        <w:t>/201</w:t>
      </w:r>
      <w:r w:rsidR="00636A45" w:rsidRPr="008218B4">
        <w:rPr>
          <w:rFonts w:ascii="ITC Avant Garde" w:hAnsi="ITC Avant Garde"/>
          <w:bCs/>
          <w:color w:val="000000"/>
          <w:lang w:eastAsia="es-MX"/>
        </w:rPr>
        <w:t>7</w:t>
      </w:r>
      <w:r w:rsidRPr="008218B4">
        <w:rPr>
          <w:rFonts w:ascii="ITC Avant Garde" w:hAnsi="ITC Avant Garde"/>
          <w:bCs/>
          <w:color w:val="000000"/>
          <w:lang w:eastAsia="es-MX"/>
        </w:rPr>
        <w:t xml:space="preserve"> </w:t>
      </w:r>
      <w:r w:rsidR="008A224C" w:rsidRPr="008218B4">
        <w:rPr>
          <w:rFonts w:ascii="ITC Avant Garde" w:hAnsi="ITC Avant Garde"/>
          <w:bCs/>
        </w:rPr>
        <w:t xml:space="preserve">fechado el </w:t>
      </w:r>
      <w:r w:rsidR="004E34F3" w:rsidRPr="008218B4">
        <w:rPr>
          <w:rFonts w:ascii="ITC Avant Garde" w:hAnsi="ITC Avant Garde"/>
          <w:bCs/>
        </w:rPr>
        <w:t>28 de agosto</w:t>
      </w:r>
      <w:r w:rsidR="006E7039" w:rsidRPr="008218B4">
        <w:rPr>
          <w:rFonts w:ascii="ITC Avant Garde" w:hAnsi="ITC Avant Garde"/>
          <w:bCs/>
        </w:rPr>
        <w:t xml:space="preserve"> de 2017</w:t>
      </w:r>
      <w:r w:rsidR="008A224C" w:rsidRPr="008218B4">
        <w:rPr>
          <w:rFonts w:ascii="ITC Avant Garde" w:hAnsi="ITC Avant Garde"/>
          <w:bCs/>
        </w:rPr>
        <w:t xml:space="preserve">, </w:t>
      </w:r>
      <w:r w:rsidRPr="008218B4">
        <w:rPr>
          <w:rFonts w:ascii="ITC Avant Garde" w:hAnsi="ITC Avant Garde"/>
          <w:bCs/>
          <w:color w:val="000000"/>
          <w:lang w:eastAsia="es-MX"/>
        </w:rPr>
        <w:t xml:space="preserve">la Dirección General de Planeación del Espectro, adscrita a la Unidad de Espectro Radioeléctrico, emitió </w:t>
      </w:r>
      <w:r w:rsidR="008A224C" w:rsidRPr="008218B4">
        <w:rPr>
          <w:rFonts w:ascii="ITC Avant Garde" w:hAnsi="ITC Avant Garde"/>
          <w:bCs/>
          <w:color w:val="000000"/>
          <w:lang w:eastAsia="es-MX"/>
        </w:rPr>
        <w:t xml:space="preserve">a la Unidad de Concesiones y Servicios </w:t>
      </w:r>
      <w:r w:rsidRPr="008218B4">
        <w:rPr>
          <w:rFonts w:ascii="ITC Avant Garde" w:hAnsi="ITC Avant Garde"/>
          <w:bCs/>
          <w:color w:val="000000"/>
          <w:lang w:eastAsia="es-MX"/>
        </w:rPr>
        <w:t>los di</w:t>
      </w:r>
      <w:r w:rsidR="004B1FC8">
        <w:rPr>
          <w:rFonts w:ascii="ITC Avant Garde" w:hAnsi="ITC Avant Garde"/>
          <w:bCs/>
          <w:color w:val="000000"/>
          <w:lang w:eastAsia="es-MX"/>
        </w:rPr>
        <w:t>ctámenes correspondientes a la S</w:t>
      </w:r>
      <w:r w:rsidRPr="008218B4">
        <w:rPr>
          <w:rFonts w:ascii="ITC Avant Garde" w:hAnsi="ITC Avant Garde"/>
          <w:bCs/>
          <w:color w:val="000000"/>
          <w:lang w:eastAsia="es-MX"/>
        </w:rPr>
        <w:t>olicitud</w:t>
      </w:r>
      <w:r w:rsidR="00A96F03" w:rsidRPr="008218B4">
        <w:rPr>
          <w:rFonts w:ascii="ITC Avant Garde" w:hAnsi="ITC Avant Garde"/>
          <w:bCs/>
          <w:color w:val="000000"/>
          <w:lang w:eastAsia="es-MX"/>
        </w:rPr>
        <w:t>.</w:t>
      </w:r>
      <w:r w:rsidRPr="008218B4">
        <w:rPr>
          <w:rFonts w:ascii="ITC Avant Garde" w:hAnsi="ITC Avant Garde"/>
          <w:bCs/>
          <w:color w:val="000000"/>
          <w:lang w:eastAsia="es-MX"/>
        </w:rPr>
        <w:t xml:space="preserve"> </w:t>
      </w:r>
    </w:p>
    <w:p w14:paraId="539795B5" w14:textId="7437D284" w:rsidR="00381B72" w:rsidRDefault="00750C49" w:rsidP="00381B72">
      <w:pPr>
        <w:numPr>
          <w:ilvl w:val="0"/>
          <w:numId w:val="4"/>
        </w:numPr>
        <w:spacing w:afterLines="120" w:after="288" w:line="240" w:lineRule="auto"/>
        <w:ind w:left="567" w:hanging="567"/>
        <w:jc w:val="both"/>
        <w:rPr>
          <w:rFonts w:ascii="ITC Avant Garde" w:hAnsi="ITC Avant Garde"/>
          <w:b/>
          <w:bCs/>
          <w:color w:val="000000"/>
          <w:lang w:eastAsia="es-MX"/>
        </w:rPr>
      </w:pPr>
      <w:r w:rsidRPr="008218B4">
        <w:rPr>
          <w:rFonts w:ascii="ITC Avant Garde" w:hAnsi="ITC Avant Garde"/>
          <w:b/>
          <w:bCs/>
          <w:color w:val="000000"/>
          <w:lang w:eastAsia="es-MX"/>
        </w:rPr>
        <w:t>Información adicional presenta</w:t>
      </w:r>
      <w:r w:rsidR="00EB792A" w:rsidRPr="008218B4">
        <w:rPr>
          <w:rFonts w:ascii="ITC Avant Garde" w:hAnsi="ITC Avant Garde"/>
          <w:b/>
          <w:bCs/>
          <w:color w:val="000000"/>
          <w:lang w:eastAsia="es-MX"/>
        </w:rPr>
        <w:t>da por la Empresa Productiva</w:t>
      </w:r>
      <w:r w:rsidRPr="008218B4">
        <w:rPr>
          <w:rFonts w:ascii="ITC Avant Garde" w:hAnsi="ITC Avant Garde"/>
          <w:b/>
          <w:bCs/>
          <w:color w:val="000000"/>
          <w:lang w:eastAsia="es-MX"/>
        </w:rPr>
        <w:t xml:space="preserve"> Subsidiaria de la CFE</w:t>
      </w:r>
      <w:r w:rsidR="00EB792A" w:rsidRPr="008218B4">
        <w:rPr>
          <w:rFonts w:ascii="ITC Avant Garde" w:hAnsi="ITC Avant Garde"/>
          <w:b/>
          <w:bCs/>
          <w:color w:val="000000"/>
          <w:lang w:eastAsia="es-MX"/>
        </w:rPr>
        <w:t>,</w:t>
      </w:r>
      <w:r w:rsidRPr="008218B4">
        <w:rPr>
          <w:rFonts w:ascii="ITC Avant Garde" w:hAnsi="ITC Avant Garde"/>
          <w:b/>
          <w:bCs/>
          <w:color w:val="000000"/>
          <w:lang w:eastAsia="es-MX"/>
        </w:rPr>
        <w:t xml:space="preserve"> denominada CFE Distribución.</w:t>
      </w:r>
      <w:r w:rsidRPr="008218B4">
        <w:rPr>
          <w:rFonts w:ascii="ITC Avant Garde" w:hAnsi="ITC Avant Garde"/>
          <w:bCs/>
          <w:color w:val="000000"/>
          <w:lang w:eastAsia="es-MX"/>
        </w:rPr>
        <w:t xml:space="preserve"> El 6 de octubre de 2017</w:t>
      </w:r>
      <w:r w:rsidR="0049048C">
        <w:rPr>
          <w:rFonts w:ascii="ITC Avant Garde" w:hAnsi="ITC Avant Garde"/>
          <w:bCs/>
          <w:color w:val="000000"/>
          <w:lang w:eastAsia="es-MX"/>
        </w:rPr>
        <w:t>,</w:t>
      </w:r>
      <w:r w:rsidRPr="008218B4">
        <w:rPr>
          <w:rFonts w:ascii="ITC Avant Garde" w:hAnsi="ITC Avant Garde"/>
          <w:bCs/>
          <w:color w:val="000000"/>
          <w:lang w:eastAsia="es-MX"/>
        </w:rPr>
        <w:t xml:space="preserve"> mediante oficio número </w:t>
      </w:r>
      <w:r w:rsidRPr="008218B4">
        <w:rPr>
          <w:rFonts w:ascii="ITC Avant Garde" w:hAnsi="ITC Avant Garde"/>
          <w:bCs/>
          <w:color w:val="000000"/>
          <w:lang w:eastAsia="es-MX"/>
        </w:rPr>
        <w:lastRenderedPageBreak/>
        <w:t xml:space="preserve">31.311./2361 </w:t>
      </w:r>
      <w:r w:rsidR="00296601" w:rsidRPr="008218B4">
        <w:rPr>
          <w:rFonts w:ascii="ITC Avant Garde" w:hAnsi="ITC Avant Garde"/>
          <w:bCs/>
          <w:color w:val="000000"/>
          <w:lang w:eastAsia="es-MX"/>
        </w:rPr>
        <w:t>el apoderado legal de la Empresa Productiva Subsidiaria de la CFE denominada CFE Distribución (“CFE Distribución”), informó al Instituto que la red d</w:t>
      </w:r>
      <w:r w:rsidR="00EB792A" w:rsidRPr="008218B4">
        <w:rPr>
          <w:rFonts w:ascii="ITC Avant Garde" w:hAnsi="ITC Avant Garde"/>
          <w:bCs/>
          <w:color w:val="000000"/>
          <w:lang w:eastAsia="es-MX"/>
        </w:rPr>
        <w:t>e radiocomunicación troncalizada objeto de la Solicitud,</w:t>
      </w:r>
      <w:r w:rsidR="00296601" w:rsidRPr="008218B4">
        <w:rPr>
          <w:rFonts w:ascii="ITC Avant Garde" w:hAnsi="ITC Avant Garde"/>
          <w:bCs/>
          <w:color w:val="000000"/>
          <w:lang w:eastAsia="es-MX"/>
        </w:rPr>
        <w:t xml:space="preserve"> sería operada por CFE </w:t>
      </w:r>
      <w:r w:rsidR="00EB792A" w:rsidRPr="008218B4">
        <w:rPr>
          <w:rFonts w:ascii="ITC Avant Garde" w:hAnsi="ITC Avant Garde"/>
          <w:bCs/>
          <w:color w:val="000000"/>
          <w:lang w:eastAsia="es-MX"/>
        </w:rPr>
        <w:t>Distribución</w:t>
      </w:r>
      <w:r w:rsidR="002F01AE">
        <w:rPr>
          <w:rFonts w:ascii="ITC Avant Garde" w:hAnsi="ITC Avant Garde"/>
          <w:bCs/>
          <w:color w:val="000000"/>
          <w:lang w:eastAsia="es-MX"/>
        </w:rPr>
        <w:t xml:space="preserve">. Por ello, </w:t>
      </w:r>
      <w:r w:rsidR="00296601" w:rsidRPr="008218B4">
        <w:rPr>
          <w:rFonts w:ascii="ITC Avant Garde" w:hAnsi="ITC Avant Garde"/>
          <w:bCs/>
          <w:color w:val="000000"/>
          <w:lang w:eastAsia="es-MX"/>
        </w:rPr>
        <w:t xml:space="preserve">con fecha 8 de septiembre de 2017 </w:t>
      </w:r>
      <w:r w:rsidR="00B02864" w:rsidRPr="008218B4">
        <w:rPr>
          <w:rFonts w:ascii="ITC Avant Garde" w:hAnsi="ITC Avant Garde"/>
        </w:rPr>
        <w:t xml:space="preserve">se </w:t>
      </w:r>
      <w:r w:rsidR="002F01AE">
        <w:rPr>
          <w:rFonts w:ascii="ITC Avant Garde" w:hAnsi="ITC Avant Garde"/>
        </w:rPr>
        <w:t xml:space="preserve">había </w:t>
      </w:r>
      <w:r w:rsidR="00B02864" w:rsidRPr="008218B4">
        <w:rPr>
          <w:rFonts w:ascii="ITC Avant Garde" w:hAnsi="ITC Avant Garde"/>
        </w:rPr>
        <w:t>formaliz</w:t>
      </w:r>
      <w:r w:rsidR="002F01AE">
        <w:rPr>
          <w:rFonts w:ascii="ITC Avant Garde" w:hAnsi="ITC Avant Garde"/>
        </w:rPr>
        <w:t>ado</w:t>
      </w:r>
      <w:r w:rsidR="00B02864" w:rsidRPr="008218B4">
        <w:rPr>
          <w:rFonts w:ascii="ITC Avant Garde" w:hAnsi="ITC Avant Garde"/>
        </w:rPr>
        <w:t xml:space="preserve"> el contrato de cesión de derechos y obligaciones entre CFE y CFE Distribución derivado de la “</w:t>
      </w:r>
      <w:r w:rsidR="00B02864" w:rsidRPr="008218B4">
        <w:rPr>
          <w:rFonts w:ascii="ITC Avant Garde" w:hAnsi="ITC Avant Garde"/>
          <w:i/>
        </w:rPr>
        <w:t>Solicitud de concesión de un Sistema de Radicomunicación Troncalizado para Aplicaciones de Misión Crítica en la Banda de 806-814/851-859 MHz para Transmisión de Voz y Datos”</w:t>
      </w:r>
      <w:r w:rsidR="00B02864" w:rsidRPr="008218B4">
        <w:rPr>
          <w:rFonts w:ascii="ITC Avant Garde" w:hAnsi="ITC Avant Garde"/>
        </w:rPr>
        <w:t>. Como consecuencia de tal cesión, CFE Distribución continuaría con el trámite de la Solicitud ante el Instituto y, en caso de que resultara favorable el otorgamiento de la concesión respectiva, solicitó al Instituto que la misma fuera otorgada a favor de CFE Distribución</w:t>
      </w:r>
      <w:r w:rsidR="00B02864" w:rsidRPr="008218B4">
        <w:rPr>
          <w:rFonts w:ascii="ITC Avant Garde" w:hAnsi="ITC Avant Garde"/>
          <w:bCs/>
          <w:color w:val="000000"/>
          <w:lang w:eastAsia="es-MX"/>
        </w:rPr>
        <w:t>.</w:t>
      </w:r>
    </w:p>
    <w:p w14:paraId="0F871104" w14:textId="77777777" w:rsidR="00381B72" w:rsidRDefault="00B02864" w:rsidP="00381B72">
      <w:pPr>
        <w:spacing w:afterLines="120" w:after="288" w:line="240" w:lineRule="auto"/>
        <w:ind w:left="567"/>
        <w:jc w:val="both"/>
        <w:rPr>
          <w:rFonts w:ascii="ITC Avant Garde" w:hAnsi="ITC Avant Garde"/>
          <w:bCs/>
          <w:color w:val="000000"/>
          <w:lang w:eastAsia="es-MX"/>
        </w:rPr>
      </w:pPr>
      <w:r w:rsidRPr="008218B4">
        <w:rPr>
          <w:rFonts w:ascii="ITC Avant Garde" w:hAnsi="ITC Avant Garde"/>
          <w:bCs/>
          <w:color w:val="000000"/>
          <w:lang w:eastAsia="es-MX"/>
        </w:rPr>
        <w:t>Posteriormente, el 1 de noviembre de 2017</w:t>
      </w:r>
      <w:r w:rsidR="00765839">
        <w:rPr>
          <w:rFonts w:ascii="ITC Avant Garde" w:hAnsi="ITC Avant Garde"/>
          <w:bCs/>
          <w:color w:val="000000"/>
          <w:lang w:eastAsia="es-MX"/>
        </w:rPr>
        <w:t>,</w:t>
      </w:r>
      <w:r w:rsidRPr="008218B4">
        <w:rPr>
          <w:rFonts w:ascii="ITC Avant Garde" w:hAnsi="ITC Avant Garde"/>
          <w:bCs/>
          <w:color w:val="000000"/>
          <w:lang w:eastAsia="es-MX"/>
        </w:rPr>
        <w:t xml:space="preserve"> CFE Distribución</w:t>
      </w:r>
      <w:r w:rsidR="00765839">
        <w:rPr>
          <w:rFonts w:ascii="ITC Avant Garde" w:hAnsi="ITC Avant Garde"/>
          <w:bCs/>
          <w:color w:val="000000"/>
          <w:lang w:eastAsia="es-MX"/>
        </w:rPr>
        <w:t xml:space="preserve"> mediante </w:t>
      </w:r>
      <w:r w:rsidR="00765839" w:rsidRPr="008218B4">
        <w:rPr>
          <w:rFonts w:ascii="ITC Avant Garde" w:hAnsi="ITC Avant Garde"/>
          <w:bCs/>
          <w:color w:val="000000"/>
          <w:lang w:eastAsia="es-MX"/>
        </w:rPr>
        <w:t>oficio número 31.2675</w:t>
      </w:r>
      <w:r w:rsidR="00765839">
        <w:rPr>
          <w:rFonts w:ascii="ITC Avant Garde" w:hAnsi="ITC Avant Garde"/>
          <w:bCs/>
          <w:color w:val="000000"/>
          <w:lang w:eastAsia="es-MX"/>
        </w:rPr>
        <w:t>,</w:t>
      </w:r>
      <w:r w:rsidR="00765839" w:rsidRPr="008218B4">
        <w:rPr>
          <w:rFonts w:ascii="ITC Avant Garde" w:hAnsi="ITC Avant Garde"/>
          <w:bCs/>
          <w:color w:val="000000"/>
          <w:lang w:eastAsia="es-MX"/>
        </w:rPr>
        <w:t xml:space="preserve"> </w:t>
      </w:r>
      <w:r w:rsidRPr="008218B4">
        <w:rPr>
          <w:rFonts w:ascii="ITC Avant Garde" w:hAnsi="ITC Avant Garde"/>
          <w:bCs/>
          <w:color w:val="000000"/>
          <w:lang w:eastAsia="es-MX"/>
        </w:rPr>
        <w:t>solicitó al Instituto se dejara insubsistente</w:t>
      </w:r>
      <w:r w:rsidR="00B77DF3">
        <w:rPr>
          <w:rFonts w:ascii="ITC Avant Garde" w:hAnsi="ITC Avant Garde"/>
          <w:bCs/>
          <w:color w:val="000000"/>
          <w:lang w:eastAsia="es-MX"/>
        </w:rPr>
        <w:t>,</w:t>
      </w:r>
      <w:r w:rsidRPr="008218B4">
        <w:rPr>
          <w:rFonts w:ascii="ITC Avant Garde" w:hAnsi="ITC Avant Garde"/>
          <w:bCs/>
          <w:color w:val="000000"/>
          <w:lang w:eastAsia="es-MX"/>
        </w:rPr>
        <w:t xml:space="preserve"> y sin efectos legales</w:t>
      </w:r>
      <w:r w:rsidR="00B77DF3">
        <w:rPr>
          <w:rFonts w:ascii="ITC Avant Garde" w:hAnsi="ITC Avant Garde"/>
          <w:bCs/>
          <w:color w:val="000000"/>
          <w:lang w:eastAsia="es-MX"/>
        </w:rPr>
        <w:t>,</w:t>
      </w:r>
      <w:r w:rsidRPr="008218B4">
        <w:rPr>
          <w:rFonts w:ascii="ITC Avant Garde" w:hAnsi="ITC Avant Garde"/>
          <w:bCs/>
          <w:color w:val="000000"/>
          <w:lang w:eastAsia="es-MX"/>
        </w:rPr>
        <w:t xml:space="preserve"> el oficio número 31.311./2361</w:t>
      </w:r>
      <w:r w:rsidR="00B77DF3">
        <w:rPr>
          <w:rFonts w:ascii="ITC Avant Garde" w:hAnsi="ITC Avant Garde"/>
          <w:bCs/>
          <w:color w:val="000000"/>
          <w:lang w:eastAsia="es-MX"/>
        </w:rPr>
        <w:t>,</w:t>
      </w:r>
      <w:r w:rsidRPr="008218B4">
        <w:rPr>
          <w:rFonts w:ascii="ITC Avant Garde" w:hAnsi="ITC Avant Garde"/>
          <w:bCs/>
          <w:color w:val="000000"/>
          <w:lang w:eastAsia="es-MX"/>
        </w:rPr>
        <w:t xml:space="preserve"> a fin </w:t>
      </w:r>
      <w:r w:rsidR="00B77DF3">
        <w:rPr>
          <w:rFonts w:ascii="ITC Avant Garde" w:hAnsi="ITC Avant Garde"/>
          <w:bCs/>
          <w:color w:val="000000"/>
          <w:lang w:eastAsia="es-MX"/>
        </w:rPr>
        <w:t xml:space="preserve">de </w:t>
      </w:r>
      <w:r w:rsidRPr="008218B4">
        <w:rPr>
          <w:rFonts w:ascii="ITC Avant Garde" w:hAnsi="ITC Avant Garde"/>
          <w:bCs/>
          <w:color w:val="000000"/>
          <w:lang w:eastAsia="es-MX"/>
        </w:rPr>
        <w:t>que se continuara el</w:t>
      </w:r>
      <w:r w:rsidR="0049048C">
        <w:rPr>
          <w:rFonts w:ascii="ITC Avant Garde" w:hAnsi="ITC Avant Garde"/>
          <w:bCs/>
          <w:color w:val="000000"/>
          <w:lang w:eastAsia="es-MX"/>
        </w:rPr>
        <w:t xml:space="preserve"> trámite correspondiente de la </w:t>
      </w:r>
      <w:r w:rsidRPr="008218B4">
        <w:rPr>
          <w:rFonts w:ascii="ITC Avant Garde" w:hAnsi="ITC Avant Garde"/>
          <w:bCs/>
          <w:color w:val="000000"/>
          <w:lang w:eastAsia="es-MX"/>
        </w:rPr>
        <w:t>Solicitud a nombre de CFE.</w:t>
      </w:r>
    </w:p>
    <w:p w14:paraId="7E8D80A6" w14:textId="77777777" w:rsidR="00381B72" w:rsidRDefault="00B02864" w:rsidP="00381B72">
      <w:pPr>
        <w:numPr>
          <w:ilvl w:val="0"/>
          <w:numId w:val="4"/>
        </w:numPr>
        <w:spacing w:afterLines="120" w:after="288" w:line="240" w:lineRule="auto"/>
        <w:ind w:left="567" w:hanging="567"/>
        <w:jc w:val="both"/>
        <w:rPr>
          <w:rFonts w:ascii="ITC Avant Garde" w:hAnsi="ITC Avant Garde"/>
          <w:b/>
          <w:bCs/>
          <w:color w:val="000000"/>
          <w:lang w:eastAsia="es-MX"/>
        </w:rPr>
      </w:pPr>
      <w:r w:rsidRPr="008218B4">
        <w:rPr>
          <w:rFonts w:ascii="ITC Avant Garde" w:hAnsi="ITC Avant Garde"/>
          <w:b/>
          <w:bCs/>
          <w:color w:val="000000"/>
          <w:lang w:eastAsia="es-MX"/>
        </w:rPr>
        <w:t>Información adicional presentada por CFE.</w:t>
      </w:r>
      <w:r w:rsidRPr="008218B4">
        <w:rPr>
          <w:rFonts w:ascii="ITC Avant Garde" w:hAnsi="ITC Avant Garde"/>
          <w:bCs/>
          <w:color w:val="000000"/>
          <w:lang w:eastAsia="es-MX"/>
        </w:rPr>
        <w:t xml:space="preserve"> El 2 de noviembre de 2017 mediante oficio número 311 000160, CFE presentó al Instit</w:t>
      </w:r>
      <w:r w:rsidR="00B77DF3">
        <w:rPr>
          <w:rFonts w:ascii="ITC Avant Garde" w:hAnsi="ITC Avant Garde"/>
          <w:bCs/>
          <w:color w:val="000000"/>
          <w:lang w:eastAsia="es-MX"/>
        </w:rPr>
        <w:t>uto información adicional a la S</w:t>
      </w:r>
      <w:r w:rsidRPr="008218B4">
        <w:rPr>
          <w:rFonts w:ascii="ITC Avant Garde" w:hAnsi="ITC Avant Garde"/>
          <w:bCs/>
          <w:color w:val="000000"/>
          <w:lang w:eastAsia="es-MX"/>
        </w:rPr>
        <w:t>oli</w:t>
      </w:r>
      <w:r w:rsidR="0049048C">
        <w:rPr>
          <w:rFonts w:ascii="ITC Avant Garde" w:hAnsi="ITC Avant Garde"/>
          <w:bCs/>
          <w:color w:val="000000"/>
          <w:lang w:eastAsia="es-MX"/>
        </w:rPr>
        <w:t>citud</w:t>
      </w:r>
      <w:r w:rsidRPr="008218B4">
        <w:rPr>
          <w:rFonts w:ascii="ITC Avant Garde" w:hAnsi="ITC Avant Garde"/>
          <w:bCs/>
          <w:color w:val="000000"/>
          <w:lang w:eastAsia="es-MX"/>
        </w:rPr>
        <w:t>.</w:t>
      </w:r>
      <w:r w:rsidR="00874BAD">
        <w:rPr>
          <w:rFonts w:ascii="ITC Avant Garde" w:hAnsi="ITC Avant Garde"/>
          <w:b/>
          <w:bCs/>
          <w:color w:val="000000"/>
          <w:lang w:eastAsia="es-MX"/>
        </w:rPr>
        <w:t xml:space="preserve"> </w:t>
      </w:r>
      <w:r w:rsidRPr="00874BAD">
        <w:rPr>
          <w:rFonts w:ascii="ITC Avant Garde" w:hAnsi="ITC Avant Garde"/>
          <w:bCs/>
          <w:color w:val="000000"/>
          <w:lang w:eastAsia="es-MX"/>
        </w:rPr>
        <w:t xml:space="preserve">Derivado de </w:t>
      </w:r>
      <w:r w:rsidR="001A7298" w:rsidRPr="00874BAD">
        <w:rPr>
          <w:rFonts w:ascii="ITC Avant Garde" w:hAnsi="ITC Avant Garde"/>
          <w:bCs/>
          <w:color w:val="000000"/>
          <w:lang w:eastAsia="es-MX"/>
        </w:rPr>
        <w:t>lo anterior</w:t>
      </w:r>
      <w:r w:rsidR="00A2357E" w:rsidRPr="00874BAD">
        <w:rPr>
          <w:rFonts w:ascii="ITC Avant Garde" w:hAnsi="ITC Avant Garde"/>
          <w:bCs/>
          <w:color w:val="000000"/>
          <w:lang w:eastAsia="es-MX"/>
        </w:rPr>
        <w:t xml:space="preserve">, el 12 de diciembre de 2017 la Unidad de Concesiones y Servicios, a través de la Dirección General de Concesiones de Telecomunicaciones, requirió a CFE </w:t>
      </w:r>
      <w:r w:rsidR="001A7298" w:rsidRPr="00874BAD">
        <w:rPr>
          <w:rFonts w:ascii="ITC Avant Garde" w:hAnsi="ITC Avant Garde"/>
          <w:bCs/>
          <w:color w:val="000000"/>
          <w:lang w:eastAsia="es-MX"/>
        </w:rPr>
        <w:t xml:space="preserve">a fin de que </w:t>
      </w:r>
      <w:r w:rsidR="00874BAD" w:rsidRPr="00874BAD">
        <w:rPr>
          <w:rFonts w:ascii="ITC Avant Garde" w:hAnsi="ITC Avant Garde"/>
          <w:bCs/>
          <w:color w:val="000000"/>
          <w:lang w:eastAsia="es-MX"/>
        </w:rPr>
        <w:t xml:space="preserve">aclarara </w:t>
      </w:r>
      <w:r w:rsidR="001A7298" w:rsidRPr="00874BAD">
        <w:rPr>
          <w:rFonts w:ascii="ITC Avant Garde" w:hAnsi="ITC Avant Garde"/>
          <w:bCs/>
          <w:color w:val="000000"/>
          <w:lang w:eastAsia="es-MX"/>
        </w:rPr>
        <w:t>dive</w:t>
      </w:r>
      <w:r w:rsidR="006C71AC" w:rsidRPr="00874BAD">
        <w:rPr>
          <w:rFonts w:ascii="ITC Avant Garde" w:hAnsi="ITC Avant Garde"/>
          <w:bCs/>
          <w:color w:val="000000"/>
          <w:lang w:eastAsia="es-MX"/>
        </w:rPr>
        <w:t>r</w:t>
      </w:r>
      <w:r w:rsidR="001A7298" w:rsidRPr="00874BAD">
        <w:rPr>
          <w:rFonts w:ascii="ITC Avant Garde" w:hAnsi="ITC Avant Garde"/>
          <w:bCs/>
          <w:color w:val="000000"/>
          <w:lang w:eastAsia="es-MX"/>
        </w:rPr>
        <w:t>sos</w:t>
      </w:r>
      <w:r w:rsidR="00874BAD" w:rsidRPr="00874BAD">
        <w:rPr>
          <w:rFonts w:ascii="ITC Avant Garde" w:hAnsi="ITC Avant Garde"/>
          <w:bCs/>
          <w:color w:val="000000"/>
          <w:lang w:eastAsia="es-MX"/>
        </w:rPr>
        <w:t xml:space="preserve"> puntos vertidos el oficio 311 000160</w:t>
      </w:r>
      <w:r w:rsidR="00A2357E" w:rsidRPr="00874BAD">
        <w:rPr>
          <w:rFonts w:ascii="ITC Avant Garde" w:hAnsi="ITC Avant Garde"/>
          <w:bCs/>
          <w:color w:val="000000"/>
          <w:lang w:eastAsia="es-MX"/>
        </w:rPr>
        <w:t xml:space="preserve">. </w:t>
      </w:r>
    </w:p>
    <w:p w14:paraId="6317BAF9" w14:textId="4BA470F0" w:rsidR="00381B72" w:rsidRDefault="0070759F" w:rsidP="00381B72">
      <w:pPr>
        <w:numPr>
          <w:ilvl w:val="0"/>
          <w:numId w:val="4"/>
        </w:numPr>
        <w:spacing w:afterLines="120" w:after="288" w:line="240" w:lineRule="auto"/>
        <w:ind w:left="567" w:hanging="567"/>
        <w:jc w:val="both"/>
        <w:rPr>
          <w:rFonts w:ascii="ITC Avant Garde" w:hAnsi="ITC Avant Garde"/>
          <w:bCs/>
          <w:color w:val="000000"/>
          <w:lang w:eastAsia="es-MX"/>
        </w:rPr>
      </w:pPr>
      <w:r w:rsidRPr="00874BAD">
        <w:rPr>
          <w:rFonts w:ascii="ITC Avant Garde" w:hAnsi="ITC Avant Garde"/>
          <w:b/>
          <w:bCs/>
          <w:color w:val="000000"/>
          <w:lang w:eastAsia="es-MX"/>
        </w:rPr>
        <w:t xml:space="preserve">Solicitud de opinión a la UER respecto a la información presentada por CFE. </w:t>
      </w:r>
      <w:r w:rsidRPr="00874BAD">
        <w:rPr>
          <w:rFonts w:ascii="ITC Avant Garde" w:hAnsi="ITC Avant Garde"/>
          <w:bCs/>
          <w:color w:val="000000"/>
          <w:lang w:eastAsia="es-MX"/>
        </w:rPr>
        <w:t xml:space="preserve">El </w:t>
      </w:r>
      <w:r w:rsidR="00643551" w:rsidRPr="00874BAD">
        <w:rPr>
          <w:rFonts w:ascii="ITC Avant Garde" w:hAnsi="ITC Avant Garde"/>
          <w:bCs/>
          <w:color w:val="000000"/>
          <w:lang w:eastAsia="es-MX"/>
        </w:rPr>
        <w:t>15 de enero de 2018</w:t>
      </w:r>
      <w:r w:rsidR="00874BAD">
        <w:rPr>
          <w:rFonts w:ascii="ITC Avant Garde" w:hAnsi="ITC Avant Garde"/>
          <w:bCs/>
          <w:color w:val="000000"/>
          <w:lang w:eastAsia="es-MX"/>
        </w:rPr>
        <w:t>,</w:t>
      </w:r>
      <w:r w:rsidR="00643551" w:rsidRPr="00874BAD">
        <w:rPr>
          <w:rFonts w:ascii="ITC Avant Garde" w:hAnsi="ITC Avant Garde"/>
          <w:bCs/>
          <w:color w:val="000000"/>
          <w:lang w:eastAsia="es-MX"/>
        </w:rPr>
        <w:t xml:space="preserve"> </w:t>
      </w:r>
      <w:r w:rsidR="00BF7657" w:rsidRPr="00874BAD">
        <w:rPr>
          <w:rFonts w:ascii="ITC Avant Garde" w:hAnsi="ITC Avant Garde"/>
          <w:bCs/>
          <w:color w:val="000000"/>
          <w:lang w:eastAsia="es-MX"/>
        </w:rPr>
        <w:t>mediante oficio IFT/223/UCS/DG-CTEL/0083/2017</w:t>
      </w:r>
      <w:r w:rsidR="00874BAD">
        <w:rPr>
          <w:rFonts w:ascii="ITC Avant Garde" w:hAnsi="ITC Avant Garde"/>
          <w:bCs/>
          <w:color w:val="000000"/>
          <w:lang w:eastAsia="es-MX"/>
        </w:rPr>
        <w:t>,</w:t>
      </w:r>
      <w:r w:rsidR="00BF7657" w:rsidRPr="00874BAD">
        <w:rPr>
          <w:rFonts w:ascii="ITC Avant Garde" w:hAnsi="ITC Avant Garde"/>
          <w:bCs/>
          <w:color w:val="000000"/>
          <w:lang w:eastAsia="es-MX"/>
        </w:rPr>
        <w:t xml:space="preserve"> </w:t>
      </w:r>
      <w:r w:rsidR="00643551" w:rsidRPr="00874BAD">
        <w:rPr>
          <w:rFonts w:ascii="ITC Avant Garde" w:hAnsi="ITC Avant Garde"/>
          <w:bCs/>
          <w:color w:val="000000"/>
          <w:lang w:eastAsia="es-MX"/>
        </w:rPr>
        <w:t>la Unidad de Concesiones y Servicios, a través de la Dirección General de Concesiones de Telecomunicaciones, hizo del conocimiento de la Unidad de Espectro Radioeléctrico la información adicional presentada por CFE, con la finalidad de solicitar a esa unidad administrativa que informara si los dictámenes emitidos en su momento, continuaban en sus términos o si hubiere modificaciones a los mismos, fueran remitidos a la Unidad de Concesiones y Servicios.</w:t>
      </w:r>
    </w:p>
    <w:p w14:paraId="07E4F140" w14:textId="77777777" w:rsidR="00381B72" w:rsidRDefault="00643551" w:rsidP="00381B72">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t>En respuesta a lo anterior, el 23 de enero de 2017</w:t>
      </w:r>
      <w:r w:rsidR="00BF7657">
        <w:rPr>
          <w:rFonts w:ascii="ITC Avant Garde" w:hAnsi="ITC Avant Garde"/>
          <w:bCs/>
          <w:color w:val="000000"/>
          <w:lang w:eastAsia="es-MX"/>
        </w:rPr>
        <w:t xml:space="preserve"> con oficio IFT/222/UER/DG-PLES/006/2018</w:t>
      </w:r>
      <w:r>
        <w:rPr>
          <w:rFonts w:ascii="ITC Avant Garde" w:hAnsi="ITC Avant Garde"/>
          <w:bCs/>
          <w:color w:val="000000"/>
          <w:lang w:eastAsia="es-MX"/>
        </w:rPr>
        <w:t>, la Unidad de Espectro Radioeléctrico, a través de la Dirección General de Planeación del Espectro</w:t>
      </w:r>
      <w:r w:rsidR="00BF7657">
        <w:rPr>
          <w:rFonts w:ascii="ITC Avant Garde" w:hAnsi="ITC Avant Garde"/>
          <w:bCs/>
          <w:color w:val="000000"/>
          <w:lang w:eastAsia="es-MX"/>
        </w:rPr>
        <w:t>,</w:t>
      </w:r>
      <w:r>
        <w:rPr>
          <w:rFonts w:ascii="ITC Avant Garde" w:hAnsi="ITC Avant Garde"/>
          <w:bCs/>
          <w:color w:val="000000"/>
          <w:lang w:eastAsia="es-MX"/>
        </w:rPr>
        <w:t xml:space="preserve"> informó a la Dirección General de Concesiones de Telecomunicaciones que </w:t>
      </w:r>
      <w:r w:rsidR="00BF7657">
        <w:rPr>
          <w:rFonts w:ascii="ITC Avant Garde" w:hAnsi="ITC Avant Garde"/>
          <w:bCs/>
          <w:color w:val="000000"/>
          <w:lang w:eastAsia="es-MX"/>
        </w:rPr>
        <w:t xml:space="preserve">al no haber </w:t>
      </w:r>
      <w:r>
        <w:rPr>
          <w:rFonts w:ascii="ITC Avant Garde" w:hAnsi="ITC Avant Garde"/>
          <w:bCs/>
          <w:color w:val="000000"/>
          <w:lang w:eastAsia="es-MX"/>
        </w:rPr>
        <w:t>cambios respecto al servicio ni las bandas solicitadas inicialmente, y en virtud de que los parámetros técnicos no habían sido actualizados, se confirmaban los términos establecidos en los dictámenes señalados en el Antecedente XI de la presente Resolución.</w:t>
      </w:r>
    </w:p>
    <w:p w14:paraId="6B09F4FD" w14:textId="77777777" w:rsidR="00381B72" w:rsidRDefault="00B048BA" w:rsidP="00381B72">
      <w:pPr>
        <w:spacing w:afterLines="120" w:after="288" w:line="240" w:lineRule="auto"/>
        <w:ind w:left="567"/>
        <w:jc w:val="both"/>
        <w:rPr>
          <w:rFonts w:ascii="ITC Avant Garde" w:hAnsi="ITC Avant Garde"/>
          <w:bCs/>
          <w:color w:val="000000"/>
          <w:lang w:eastAsia="es-MX"/>
        </w:rPr>
      </w:pPr>
      <w:r w:rsidRPr="008218B4">
        <w:rPr>
          <w:rFonts w:ascii="ITC Avant Garde" w:hAnsi="ITC Avant Garde"/>
          <w:bCs/>
          <w:color w:val="000000"/>
          <w:lang w:eastAsia="es-MX"/>
        </w:rPr>
        <w:t>En virtud de los Antecedentes referidos y,</w:t>
      </w:r>
    </w:p>
    <w:p w14:paraId="7A46AB75" w14:textId="77777777" w:rsidR="00381B72" w:rsidRPr="00381B72" w:rsidRDefault="00B048BA" w:rsidP="00381B72">
      <w:pPr>
        <w:pStyle w:val="Ttulo2"/>
        <w:spacing w:before="0" w:afterLines="120" w:after="288"/>
        <w:jc w:val="center"/>
        <w:rPr>
          <w:rFonts w:ascii="ITC Avant Garde" w:hAnsi="ITC Avant Garde"/>
          <w:b/>
          <w:color w:val="000000" w:themeColor="text1"/>
          <w:sz w:val="22"/>
          <w:szCs w:val="22"/>
        </w:rPr>
      </w:pPr>
      <w:r w:rsidRPr="00381B72">
        <w:rPr>
          <w:rFonts w:ascii="ITC Avant Garde" w:hAnsi="ITC Avant Garde"/>
          <w:b/>
          <w:color w:val="000000" w:themeColor="text1"/>
          <w:sz w:val="22"/>
          <w:szCs w:val="22"/>
        </w:rPr>
        <w:lastRenderedPageBreak/>
        <w:t>CONSIDERANDO</w:t>
      </w:r>
    </w:p>
    <w:p w14:paraId="3E8ED61B" w14:textId="78088797" w:rsidR="00381B72" w:rsidRDefault="00B048BA"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
          <w:bCs/>
        </w:rPr>
        <w:t>Primero.-</w:t>
      </w:r>
      <w:r w:rsidRPr="008218B4">
        <w:rPr>
          <w:rFonts w:ascii="ITC Avant Garde" w:hAnsi="ITC Avant Garde"/>
          <w:bCs/>
        </w:rPr>
        <w:t xml:space="preserve"> </w:t>
      </w:r>
      <w:r w:rsidRPr="008218B4">
        <w:rPr>
          <w:rFonts w:ascii="ITC Avant Garde" w:hAnsi="ITC Avant Garde"/>
          <w:b/>
          <w:bCs/>
        </w:rPr>
        <w:t>Competencia.</w:t>
      </w:r>
      <w:r w:rsidRPr="008218B4">
        <w:rPr>
          <w:rFonts w:ascii="ITC Avant Garde" w:hAnsi="ITC Avant Garde"/>
          <w:bCs/>
        </w:rPr>
        <w:t xml:space="preserve"> Conforme lo dispone el artículo 28 </w:t>
      </w:r>
      <w:r w:rsidR="00ED1D21" w:rsidRPr="008218B4">
        <w:rPr>
          <w:rFonts w:ascii="ITC Avant Garde" w:hAnsi="ITC Avant Garde"/>
          <w:bCs/>
        </w:rPr>
        <w:t>párrafo décimo quinto</w:t>
      </w:r>
      <w:r w:rsidR="00D82CD6" w:rsidRPr="008218B4">
        <w:rPr>
          <w:rFonts w:ascii="ITC Avant Garde" w:hAnsi="ITC Avant Garde"/>
          <w:bCs/>
        </w:rPr>
        <w:t>, décimo sexto y décimo séptimo</w:t>
      </w:r>
      <w:r w:rsidR="00D06F43" w:rsidRPr="008218B4">
        <w:rPr>
          <w:rFonts w:ascii="ITC Avant Garde" w:hAnsi="ITC Avant Garde"/>
          <w:bCs/>
        </w:rPr>
        <w:t xml:space="preserve"> </w:t>
      </w:r>
      <w:r w:rsidRPr="008218B4">
        <w:rPr>
          <w:rFonts w:ascii="ITC Avant Garde" w:hAnsi="ITC Avant Garde"/>
          <w:bCs/>
        </w:rPr>
        <w:t>de la Constitución Política de los Estados Unidos Mexicanos</w:t>
      </w:r>
      <w:r w:rsidR="00DE628B" w:rsidRPr="008218B4">
        <w:rPr>
          <w:rFonts w:ascii="ITC Avant Garde" w:hAnsi="ITC Avant Garde"/>
          <w:bCs/>
        </w:rPr>
        <w:t xml:space="preserve"> (la “Constitución”)</w:t>
      </w:r>
      <w:r w:rsidRPr="008218B4">
        <w:rPr>
          <w:rFonts w:ascii="ITC Avant Garde" w:hAnsi="ITC Avant Garde"/>
          <w:bCs/>
        </w:rPr>
        <w:t xml:space="preserve">, el Instituto es </w:t>
      </w:r>
      <w:r w:rsidR="00E96C9C" w:rsidRPr="008218B4">
        <w:rPr>
          <w:rFonts w:ascii="ITC Avant Garde" w:hAnsi="ITC Avant Garde"/>
          <w:bCs/>
        </w:rPr>
        <w:t>un</w:t>
      </w:r>
      <w:r w:rsidRPr="008218B4">
        <w:rPr>
          <w:rFonts w:ascii="ITC Avant Garde" w:hAnsi="ITC Avant Garde"/>
          <w:bCs/>
        </w:rPr>
        <w:t xml:space="preserve"> órgano autónomo</w:t>
      </w:r>
      <w:r w:rsidR="00D82CD6" w:rsidRPr="008218B4">
        <w:rPr>
          <w:rFonts w:ascii="ITC Avant Garde" w:hAnsi="ITC Avant Garde"/>
          <w:bCs/>
        </w:rPr>
        <w:t>,</w:t>
      </w:r>
      <w:r w:rsidRPr="008218B4">
        <w:rPr>
          <w:rFonts w:ascii="ITC Avant Garde" w:hAnsi="ITC Avant Garde"/>
          <w:bCs/>
        </w:rPr>
        <w:t xml:space="preserve">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82CD6" w:rsidRPr="008218B4">
        <w:rPr>
          <w:rFonts w:ascii="ITC Avant Garde" w:hAnsi="ITC Avant Garde"/>
          <w:bCs/>
        </w:rPr>
        <w:t xml:space="preserve"> De igual forma, corresponde al Instituto el otorgamiento de concesiones en materia de radiodifusión y telecomunicaciones. </w:t>
      </w:r>
    </w:p>
    <w:p w14:paraId="2DBE70BD" w14:textId="77777777" w:rsidR="00381B72" w:rsidRDefault="00742C59"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Asimismo, el Instituto es la autoridad en la materia de competencia económica de los sectores de radiodifusión y telecomunicaciones, por lo que</w:t>
      </w:r>
      <w:r w:rsidR="00D82CD6" w:rsidRPr="008218B4">
        <w:rPr>
          <w:rFonts w:ascii="ITC Avant Garde" w:hAnsi="ITC Avant Garde"/>
          <w:bCs/>
        </w:rPr>
        <w:t>,</w:t>
      </w:r>
      <w:r w:rsidRPr="008218B4">
        <w:rPr>
          <w:rFonts w:ascii="ITC Avant Garde" w:hAnsi="ITC Avant Garde"/>
          <w:bCs/>
        </w:rPr>
        <w:t xml:space="preserve"> entre otros aspectos, regulará de forma asimétrica a los participantes en estos mercados con el objeto de eliminar eficazmente las barreras a la competencia y la libre co</w:t>
      </w:r>
      <w:r w:rsidR="00114E58" w:rsidRPr="008218B4">
        <w:rPr>
          <w:rFonts w:ascii="ITC Avant Garde" w:hAnsi="ITC Avant Garde"/>
          <w:bCs/>
        </w:rPr>
        <w:t>ncurrencia</w:t>
      </w:r>
      <w:r w:rsidR="00D82CD6" w:rsidRPr="008218B4">
        <w:rPr>
          <w:rFonts w:ascii="ITC Avant Garde" w:hAnsi="ITC Avant Garde"/>
          <w:bCs/>
        </w:rPr>
        <w:t>, e</w:t>
      </w:r>
      <w:r w:rsidRPr="008218B4">
        <w:rPr>
          <w:rFonts w:ascii="ITC Avant Garde" w:hAnsi="ITC Avant Garde"/>
          <w:bCs/>
        </w:rPr>
        <w:t xml:space="preserve"> impondrá límites al c</w:t>
      </w:r>
      <w:r w:rsidR="004B7836" w:rsidRPr="008218B4">
        <w:rPr>
          <w:rFonts w:ascii="ITC Avant Garde" w:hAnsi="ITC Avant Garde"/>
          <w:bCs/>
        </w:rPr>
        <w:t>oncesionamie</w:t>
      </w:r>
      <w:r w:rsidRPr="008218B4">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8218B4">
        <w:rPr>
          <w:rFonts w:ascii="ITC Avant Garde" w:hAnsi="ITC Avant Garde"/>
          <w:bCs/>
        </w:rPr>
        <w:t xml:space="preserve">áfica, </w:t>
      </w:r>
      <w:r w:rsidRPr="008218B4">
        <w:rPr>
          <w:rFonts w:ascii="ITC Avant Garde" w:hAnsi="ITC Avant Garde"/>
          <w:bCs/>
        </w:rPr>
        <w:t xml:space="preserve">garantizando lo dispuesto en los artículos </w:t>
      </w:r>
      <w:r w:rsidR="004B7836" w:rsidRPr="008218B4">
        <w:rPr>
          <w:rFonts w:ascii="ITC Avant Garde" w:hAnsi="ITC Avant Garde"/>
          <w:bCs/>
        </w:rPr>
        <w:t>6o. y 7o. de la Constitución.</w:t>
      </w:r>
    </w:p>
    <w:p w14:paraId="259151AE" w14:textId="77777777" w:rsidR="00381B72" w:rsidRDefault="00D82CD6" w:rsidP="00381B72">
      <w:pPr>
        <w:autoSpaceDE w:val="0"/>
        <w:autoSpaceDN w:val="0"/>
        <w:adjustRightInd w:val="0"/>
        <w:spacing w:afterLines="120" w:after="288" w:line="240" w:lineRule="auto"/>
        <w:jc w:val="both"/>
        <w:rPr>
          <w:rFonts w:ascii="ITC Avant Garde" w:hAnsi="ITC Avant Garde" w:cs="Tahoma"/>
          <w:bCs/>
          <w:lang w:eastAsia="es-MX"/>
        </w:rPr>
      </w:pPr>
      <w:r w:rsidRPr="008218B4">
        <w:rPr>
          <w:rFonts w:ascii="ITC Avant Garde" w:hAnsi="ITC Avant Garde" w:cs="Arial"/>
          <w:bCs/>
        </w:rPr>
        <w:t>Ahora bien, corresponde al</w:t>
      </w:r>
      <w:r w:rsidRPr="008218B4">
        <w:rPr>
          <w:rFonts w:ascii="ITC Avant Garde" w:hAnsi="ITC Avant Garde" w:cs="Tahoma"/>
          <w:bCs/>
          <w:lang w:eastAsia="es-MX"/>
        </w:rPr>
        <w:t xml:space="preserve"> </w:t>
      </w:r>
      <w:r w:rsidR="00914F3B" w:rsidRPr="008218B4">
        <w:rPr>
          <w:rFonts w:ascii="ITC Avant Garde" w:hAnsi="ITC Avant Garde" w:cs="Tahoma"/>
          <w:bCs/>
          <w:lang w:eastAsia="es-MX"/>
        </w:rPr>
        <w:t>Pleno del Instituto</w:t>
      </w:r>
      <w:r w:rsidRPr="008218B4">
        <w:rPr>
          <w:rFonts w:ascii="ITC Avant Garde" w:hAnsi="ITC Avant Garde" w:cs="Tahoma"/>
          <w:bCs/>
          <w:lang w:eastAsia="es-MX"/>
        </w:rPr>
        <w:t>,</w:t>
      </w:r>
      <w:r w:rsidR="00914F3B" w:rsidRPr="008218B4">
        <w:rPr>
          <w:rFonts w:ascii="ITC Avant Garde" w:hAnsi="ITC Avant Garde" w:cs="Tahoma"/>
          <w:bCs/>
          <w:lang w:eastAsia="es-MX"/>
        </w:rPr>
        <w:t xml:space="preserve"> conforme a lo establecido por los artículos 15 fracciones IV y 17 fracción I de la Ley Federal de Telecomunicaciones y Radiodifusión (la “Ley”), el otorgamiento de concesiones,</w:t>
      </w:r>
      <w:r w:rsidRPr="008218B4">
        <w:rPr>
          <w:rFonts w:ascii="ITC Avant Garde" w:hAnsi="ITC Avant Garde" w:cs="Tahoma"/>
          <w:bCs/>
          <w:lang w:eastAsia="es-MX"/>
        </w:rPr>
        <w:t xml:space="preserve"> así como</w:t>
      </w:r>
      <w:r w:rsidR="00914F3B" w:rsidRPr="008218B4">
        <w:rPr>
          <w:rFonts w:ascii="ITC Avant Garde" w:hAnsi="ITC Avant Garde" w:cs="Tahoma"/>
          <w:bCs/>
          <w:lang w:eastAsia="es-MX"/>
        </w:rPr>
        <w:t xml:space="preserve"> resolver respecto de </w:t>
      </w:r>
      <w:r w:rsidRPr="008218B4">
        <w:rPr>
          <w:rFonts w:ascii="ITC Avant Garde" w:hAnsi="ITC Avant Garde" w:cs="Tahoma"/>
          <w:bCs/>
          <w:lang w:eastAsia="es-MX"/>
        </w:rPr>
        <w:t>su</w:t>
      </w:r>
      <w:r w:rsidR="00914F3B" w:rsidRPr="008218B4">
        <w:rPr>
          <w:rFonts w:ascii="ITC Avant Garde" w:hAnsi="ITC Avant Garde" w:cs="Tahoma"/>
          <w:bCs/>
          <w:lang w:eastAsia="es-MX"/>
        </w:rPr>
        <w:t xml:space="preserve"> prórroga, modificación o terminación.</w:t>
      </w:r>
    </w:p>
    <w:p w14:paraId="7155AF4C" w14:textId="77777777" w:rsidR="00381B72" w:rsidRDefault="00E64B6B" w:rsidP="00381B72">
      <w:pPr>
        <w:autoSpaceDE w:val="0"/>
        <w:autoSpaceDN w:val="0"/>
        <w:adjustRightInd w:val="0"/>
        <w:spacing w:afterLines="120" w:after="288" w:line="240" w:lineRule="auto"/>
        <w:jc w:val="both"/>
        <w:rPr>
          <w:rFonts w:ascii="ITC Avant Garde" w:hAnsi="ITC Avant Garde" w:cs="Tahoma"/>
          <w:bCs/>
          <w:lang w:eastAsia="es-MX"/>
        </w:rPr>
      </w:pPr>
      <w:r w:rsidRPr="008218B4">
        <w:rPr>
          <w:rFonts w:ascii="ITC Avant Garde" w:hAnsi="ITC Avant Garde" w:cs="Tahoma"/>
          <w:bCs/>
          <w:lang w:eastAsia="es-MX"/>
        </w:rPr>
        <w:t xml:space="preserve">Por </w:t>
      </w:r>
      <w:r w:rsidR="00D82CD6" w:rsidRPr="008218B4">
        <w:rPr>
          <w:rFonts w:ascii="ITC Avant Garde" w:hAnsi="ITC Avant Garde" w:cs="Tahoma"/>
          <w:bCs/>
          <w:lang w:eastAsia="es-MX"/>
        </w:rPr>
        <w:t>su</w:t>
      </w:r>
      <w:r w:rsidRPr="008218B4">
        <w:rPr>
          <w:rFonts w:ascii="ITC Avant Garde" w:hAnsi="ITC Avant Garde" w:cs="Tahoma"/>
          <w:bCs/>
          <w:lang w:eastAsia="es-MX"/>
        </w:rPr>
        <w:t xml:space="preserve"> parte, </w:t>
      </w:r>
      <w:r w:rsidR="00D82CD6" w:rsidRPr="008218B4">
        <w:rPr>
          <w:rFonts w:ascii="ITC Avant Garde" w:hAnsi="ITC Avant Garde" w:cs="Arial"/>
          <w:bCs/>
        </w:rPr>
        <w:t>además de las atribuciones indelegables establecidas por la Ley al</w:t>
      </w:r>
      <w:r w:rsidRPr="008218B4">
        <w:rPr>
          <w:rFonts w:ascii="ITC Avant Garde" w:hAnsi="ITC Avant Garde" w:cs="Tahoma"/>
          <w:bCs/>
          <w:lang w:eastAsia="es-MX"/>
        </w:rPr>
        <w:t xml:space="preserve"> Pleno del Instituto, el artículo 6 fracci</w:t>
      </w:r>
      <w:r w:rsidR="005678C3" w:rsidRPr="008218B4">
        <w:rPr>
          <w:rFonts w:ascii="ITC Avant Garde" w:hAnsi="ITC Avant Garde" w:cs="Tahoma"/>
          <w:bCs/>
          <w:lang w:eastAsia="es-MX"/>
        </w:rPr>
        <w:t>ones</w:t>
      </w:r>
      <w:r w:rsidRPr="008218B4">
        <w:rPr>
          <w:rFonts w:ascii="ITC Avant Garde" w:hAnsi="ITC Avant Garde" w:cs="Tahoma"/>
          <w:bCs/>
          <w:lang w:eastAsia="es-MX"/>
        </w:rPr>
        <w:t xml:space="preserve"> I </w:t>
      </w:r>
      <w:r w:rsidR="00914F3B" w:rsidRPr="008218B4">
        <w:rPr>
          <w:rFonts w:ascii="ITC Avant Garde" w:hAnsi="ITC Avant Garde" w:cs="Tahoma"/>
          <w:bCs/>
          <w:lang w:eastAsia="es-MX"/>
        </w:rPr>
        <w:t xml:space="preserve">y </w:t>
      </w:r>
      <w:r w:rsidR="005678C3" w:rsidRPr="008218B4">
        <w:rPr>
          <w:rFonts w:ascii="ITC Avant Garde" w:hAnsi="ITC Avant Garde" w:cs="Tahoma"/>
          <w:bCs/>
          <w:lang w:eastAsia="es-MX"/>
        </w:rPr>
        <w:t>X</w:t>
      </w:r>
      <w:r w:rsidR="00D82CD6" w:rsidRPr="008218B4">
        <w:rPr>
          <w:rFonts w:ascii="ITC Avant Garde" w:hAnsi="ITC Avant Garde" w:cs="Tahoma"/>
          <w:bCs/>
          <w:lang w:eastAsia="es-MX"/>
        </w:rPr>
        <w:t>XX</w:t>
      </w:r>
      <w:r w:rsidR="005678C3" w:rsidRPr="008218B4">
        <w:rPr>
          <w:rFonts w:ascii="ITC Avant Garde" w:hAnsi="ITC Avant Garde" w:cs="Tahoma"/>
          <w:bCs/>
          <w:lang w:eastAsia="es-MX"/>
        </w:rPr>
        <w:t>VII</w:t>
      </w:r>
      <w:r w:rsidR="00B723F8" w:rsidRPr="008218B4">
        <w:rPr>
          <w:rFonts w:ascii="ITC Avant Garde" w:hAnsi="ITC Avant Garde" w:cs="Tahoma"/>
          <w:bCs/>
          <w:lang w:eastAsia="es-MX"/>
        </w:rPr>
        <w:t>I</w:t>
      </w:r>
      <w:r w:rsidR="005678C3" w:rsidRPr="008218B4">
        <w:rPr>
          <w:rFonts w:ascii="ITC Avant Garde" w:hAnsi="ITC Avant Garde" w:cs="Tahoma"/>
          <w:bCs/>
          <w:lang w:eastAsia="es-MX"/>
        </w:rPr>
        <w:t xml:space="preserve"> </w:t>
      </w:r>
      <w:r w:rsidRPr="008218B4">
        <w:rPr>
          <w:rFonts w:ascii="ITC Avant Garde" w:hAnsi="ITC Avant Garde" w:cs="Tahoma"/>
          <w:bCs/>
          <w:lang w:eastAsia="es-MX"/>
        </w:rPr>
        <w:t xml:space="preserve">del </w:t>
      </w:r>
      <w:r w:rsidRPr="008218B4">
        <w:rPr>
          <w:rFonts w:ascii="ITC Avant Garde" w:hAnsi="ITC Avant Garde"/>
          <w:bCs/>
          <w:lang w:eastAsia="es-MX"/>
        </w:rPr>
        <w:t>Estatuto Orgánico,</w:t>
      </w:r>
      <w:r w:rsidRPr="008218B4">
        <w:rPr>
          <w:rFonts w:ascii="ITC Avant Garde" w:hAnsi="ITC Avant Garde" w:cs="Tahoma"/>
          <w:bCs/>
          <w:lang w:eastAsia="es-MX"/>
        </w:rPr>
        <w:t xml:space="preserve"> </w:t>
      </w:r>
      <w:r w:rsidR="00D82CD6" w:rsidRPr="008218B4">
        <w:rPr>
          <w:rFonts w:ascii="ITC Avant Garde" w:hAnsi="ITC Avant Garde" w:cs="Arial"/>
          <w:bCs/>
        </w:rPr>
        <w:t xml:space="preserve">establece como </w:t>
      </w:r>
      <w:r w:rsidRPr="008218B4">
        <w:rPr>
          <w:rFonts w:ascii="ITC Avant Garde" w:hAnsi="ITC Avant Garde" w:cs="Tahoma"/>
          <w:bCs/>
          <w:lang w:eastAsia="es-MX"/>
        </w:rPr>
        <w:t xml:space="preserve">atribución </w:t>
      </w:r>
      <w:r w:rsidR="00D82CD6" w:rsidRPr="008218B4">
        <w:rPr>
          <w:rFonts w:ascii="ITC Avant Garde" w:hAnsi="ITC Avant Garde" w:cs="Arial"/>
          <w:bCs/>
        </w:rPr>
        <w:t xml:space="preserve">de dicho órgano colegiado la </w:t>
      </w:r>
      <w:r w:rsidRPr="008218B4">
        <w:rPr>
          <w:rFonts w:ascii="ITC Avant Garde" w:hAnsi="ITC Avant Garde" w:cs="Tahoma"/>
          <w:bCs/>
          <w:lang w:eastAsia="es-MX"/>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5678C3" w:rsidRPr="008218B4">
        <w:rPr>
          <w:rFonts w:ascii="ITC Avant Garde" w:hAnsi="ITC Avant Garde" w:cs="Tahoma"/>
          <w:bCs/>
          <w:lang w:eastAsia="es-MX"/>
        </w:rPr>
        <w:t xml:space="preserve"> y las demás que la Ley y otros ordenamientos le confieran</w:t>
      </w:r>
      <w:r w:rsidRPr="008218B4">
        <w:rPr>
          <w:rFonts w:ascii="ITC Avant Garde" w:hAnsi="ITC Avant Garde" w:cs="Tahoma"/>
          <w:bCs/>
          <w:lang w:eastAsia="es-MX"/>
        </w:rPr>
        <w:t>.</w:t>
      </w:r>
    </w:p>
    <w:p w14:paraId="5CE94CB6" w14:textId="77777777" w:rsidR="00381B72" w:rsidRDefault="007F74FA" w:rsidP="00381B72">
      <w:pPr>
        <w:autoSpaceDE w:val="0"/>
        <w:autoSpaceDN w:val="0"/>
        <w:adjustRightInd w:val="0"/>
        <w:spacing w:afterLines="120" w:after="288" w:line="240" w:lineRule="auto"/>
        <w:jc w:val="both"/>
        <w:rPr>
          <w:rFonts w:ascii="ITC Avant Garde" w:hAnsi="ITC Avant Garde" w:cs="Tahoma"/>
          <w:bCs/>
          <w:lang w:eastAsia="es-MX"/>
        </w:rPr>
      </w:pPr>
      <w:r w:rsidRPr="008218B4">
        <w:rPr>
          <w:rFonts w:ascii="ITC Avant Garde" w:hAnsi="ITC Avant Garde" w:cs="Tahoma"/>
          <w:bCs/>
          <w:lang w:eastAsia="es-MX"/>
        </w:rPr>
        <w:t>C</w:t>
      </w:r>
      <w:r w:rsidR="00B573B6" w:rsidRPr="008218B4">
        <w:rPr>
          <w:rFonts w:ascii="ITC Avant Garde" w:hAnsi="ITC Avant Garde" w:cs="Tahoma"/>
          <w:bCs/>
          <w:lang w:eastAsia="es-MX"/>
        </w:rPr>
        <w:t>onforme a</w:t>
      </w:r>
      <w:r w:rsidR="00F42853" w:rsidRPr="008218B4">
        <w:rPr>
          <w:rFonts w:ascii="ITC Avant Garde" w:hAnsi="ITC Avant Garde" w:cs="Tahoma"/>
          <w:bCs/>
          <w:lang w:eastAsia="es-MX"/>
        </w:rPr>
        <w:t xml:space="preserve"> </w:t>
      </w:r>
      <w:r w:rsidR="00B573B6" w:rsidRPr="008218B4">
        <w:rPr>
          <w:rFonts w:ascii="ITC Avant Garde" w:hAnsi="ITC Avant Garde" w:cs="Tahoma"/>
          <w:bCs/>
          <w:lang w:eastAsia="es-MX"/>
        </w:rPr>
        <w:t>l</w:t>
      </w:r>
      <w:r w:rsidR="00F42853" w:rsidRPr="008218B4">
        <w:rPr>
          <w:rFonts w:ascii="ITC Avant Garde" w:hAnsi="ITC Avant Garde" w:cs="Tahoma"/>
          <w:bCs/>
          <w:lang w:eastAsia="es-MX"/>
        </w:rPr>
        <w:t>os</w:t>
      </w:r>
      <w:r w:rsidR="00B573B6" w:rsidRPr="008218B4">
        <w:rPr>
          <w:rFonts w:ascii="ITC Avant Garde" w:hAnsi="ITC Avant Garde" w:cs="Tahoma"/>
          <w:bCs/>
          <w:lang w:eastAsia="es-MX"/>
        </w:rPr>
        <w:t xml:space="preserve"> artículo</w:t>
      </w:r>
      <w:r w:rsidR="00F42853" w:rsidRPr="008218B4">
        <w:rPr>
          <w:rFonts w:ascii="ITC Avant Garde" w:hAnsi="ITC Avant Garde" w:cs="Tahoma"/>
          <w:bCs/>
          <w:lang w:eastAsia="es-MX"/>
        </w:rPr>
        <w:t>s</w:t>
      </w:r>
      <w:r w:rsidR="00B573B6" w:rsidRPr="008218B4">
        <w:rPr>
          <w:rFonts w:ascii="ITC Avant Garde" w:hAnsi="ITC Avant Garde" w:cs="Tahoma"/>
          <w:bCs/>
          <w:lang w:eastAsia="es-MX"/>
        </w:rPr>
        <w:t xml:space="preserve"> </w:t>
      </w:r>
      <w:r w:rsidR="00022FDF" w:rsidRPr="008218B4">
        <w:rPr>
          <w:rFonts w:ascii="ITC Avant Garde" w:hAnsi="ITC Avant Garde" w:cs="Tahoma"/>
          <w:bCs/>
          <w:lang w:eastAsia="es-MX"/>
        </w:rPr>
        <w:t xml:space="preserve">32 y </w:t>
      </w:r>
      <w:r w:rsidR="0082518F" w:rsidRPr="008218B4">
        <w:rPr>
          <w:rFonts w:ascii="ITC Avant Garde" w:hAnsi="ITC Avant Garde" w:cs="Tahoma"/>
          <w:bCs/>
          <w:lang w:eastAsia="es-MX"/>
        </w:rPr>
        <w:t>33 fracción I del Estatuto Orgánico</w:t>
      </w:r>
      <w:r w:rsidR="00B048BA" w:rsidRPr="008218B4">
        <w:rPr>
          <w:rFonts w:ascii="ITC Avant Garde" w:hAnsi="ITC Avant Garde"/>
          <w:bCs/>
        </w:rPr>
        <w:t xml:space="preserve"> corresponde a</w:t>
      </w:r>
      <w:r w:rsidR="0082518F" w:rsidRPr="008218B4">
        <w:rPr>
          <w:rFonts w:ascii="ITC Avant Garde" w:hAnsi="ITC Avant Garde"/>
          <w:bCs/>
        </w:rPr>
        <w:t xml:space="preserve"> </w:t>
      </w:r>
      <w:r w:rsidR="0082518F" w:rsidRPr="008218B4">
        <w:rPr>
          <w:rFonts w:ascii="ITC Avant Garde" w:hAnsi="ITC Avant Garde" w:cs="Tahoma"/>
          <w:bCs/>
          <w:lang w:eastAsia="es-MX"/>
        </w:rPr>
        <w:t>la Unidad de Concesiones y Servicios</w:t>
      </w:r>
      <w:r w:rsidR="00C05AA3">
        <w:rPr>
          <w:rFonts w:ascii="ITC Avant Garde" w:hAnsi="ITC Avant Garde" w:cs="Tahoma"/>
          <w:bCs/>
          <w:lang w:eastAsia="es-MX"/>
        </w:rPr>
        <w:t>,</w:t>
      </w:r>
      <w:r w:rsidR="0082518F" w:rsidRPr="008218B4">
        <w:rPr>
          <w:rFonts w:ascii="ITC Avant Garde" w:hAnsi="ITC Avant Garde" w:cs="Tahoma"/>
          <w:bCs/>
          <w:lang w:eastAsia="es-MX"/>
        </w:rPr>
        <w:t xml:space="preserve"> </w:t>
      </w:r>
      <w:r w:rsidR="00124597" w:rsidRPr="008218B4">
        <w:rPr>
          <w:rFonts w:ascii="ITC Avant Garde" w:hAnsi="ITC Avant Garde" w:cs="Tahoma"/>
          <w:bCs/>
          <w:lang w:eastAsia="es-MX"/>
        </w:rPr>
        <w:t xml:space="preserve">a través de la Dirección General de Concesiones de Telecomunicaciones, </w:t>
      </w:r>
      <w:r w:rsidR="0082518F" w:rsidRPr="008218B4">
        <w:rPr>
          <w:rFonts w:ascii="ITC Avant Garde" w:hAnsi="ITC Avant Garde" w:cs="Tahoma"/>
          <w:bCs/>
          <w:lang w:eastAsia="es-MX"/>
        </w:rPr>
        <w:t xml:space="preserve">tramitar y evaluar las solicitudes </w:t>
      </w:r>
      <w:r w:rsidRPr="008218B4">
        <w:rPr>
          <w:rFonts w:ascii="ITC Avant Garde" w:hAnsi="ITC Avant Garde" w:cs="Arial"/>
          <w:bCs/>
        </w:rPr>
        <w:t>para el otorgamiento de concesiones en materia de telecomunicaciones, con excepción de aquellas que deban otorgarse a través de un procedimiento de licitación pública, para someterlas a consideración del Pleno</w:t>
      </w:r>
      <w:r w:rsidR="009F21AA" w:rsidRPr="008218B4">
        <w:rPr>
          <w:rFonts w:ascii="ITC Avant Garde" w:hAnsi="ITC Avant Garde" w:cs="Tahoma"/>
          <w:bCs/>
          <w:lang w:eastAsia="es-MX"/>
        </w:rPr>
        <w:t>.</w:t>
      </w:r>
    </w:p>
    <w:p w14:paraId="3C594879" w14:textId="77777777" w:rsidR="00381B72" w:rsidRDefault="007F74FA"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cs="Arial"/>
          <w:bCs/>
        </w:rPr>
        <w:lastRenderedPageBreak/>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FB6183" w:rsidRPr="008218B4">
        <w:rPr>
          <w:rFonts w:ascii="ITC Avant Garde" w:hAnsi="ITC Avant Garde"/>
          <w:bCs/>
        </w:rPr>
        <w:t>.</w:t>
      </w:r>
    </w:p>
    <w:p w14:paraId="1F8084E1" w14:textId="042C8E3C" w:rsidR="00381B72" w:rsidRDefault="00CB4474"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b/>
          <w:bCs/>
        </w:rPr>
        <w:t>Segundo</w:t>
      </w:r>
      <w:r w:rsidR="00A6521D" w:rsidRPr="008218B4">
        <w:rPr>
          <w:rFonts w:ascii="ITC Avant Garde" w:hAnsi="ITC Avant Garde"/>
          <w:b/>
          <w:bCs/>
        </w:rPr>
        <w:t>.-</w:t>
      </w:r>
      <w:r w:rsidR="00A6521D" w:rsidRPr="008218B4">
        <w:rPr>
          <w:rFonts w:ascii="ITC Avant Garde" w:hAnsi="ITC Avant Garde"/>
          <w:bCs/>
        </w:rPr>
        <w:t xml:space="preserve"> </w:t>
      </w:r>
      <w:r w:rsidR="00A6521D" w:rsidRPr="008218B4">
        <w:rPr>
          <w:rFonts w:ascii="ITC Avant Garde" w:hAnsi="ITC Avant Garde"/>
          <w:b/>
          <w:bCs/>
        </w:rPr>
        <w:t xml:space="preserve">Marco legal aplicable a la </w:t>
      </w:r>
      <w:r w:rsidR="00923F63" w:rsidRPr="008218B4">
        <w:rPr>
          <w:rFonts w:ascii="ITC Avant Garde" w:hAnsi="ITC Avant Garde"/>
          <w:b/>
          <w:bCs/>
        </w:rPr>
        <w:t>Solicitud</w:t>
      </w:r>
      <w:r w:rsidR="00A6521D" w:rsidRPr="008218B4">
        <w:rPr>
          <w:rFonts w:ascii="ITC Avant Garde" w:hAnsi="ITC Avant Garde"/>
          <w:b/>
          <w:bCs/>
        </w:rPr>
        <w:t>.</w:t>
      </w:r>
      <w:r w:rsidR="00A6521D" w:rsidRPr="008218B4">
        <w:rPr>
          <w:rFonts w:ascii="ITC Avant Garde" w:hAnsi="ITC Avant Garde"/>
          <w:bCs/>
        </w:rPr>
        <w:t xml:space="preserve"> </w:t>
      </w:r>
      <w:r w:rsidR="007F74FA" w:rsidRPr="008218B4">
        <w:rPr>
          <w:rFonts w:ascii="ITC Avant Garde" w:hAnsi="ITC Avant Garde" w:cs="Arial"/>
          <w:bCs/>
          <w:color w:val="000000"/>
          <w:lang w:eastAsia="es-MX"/>
        </w:rPr>
        <w:t xml:space="preserve">De conformidad con el artículo 75 de la Ley, las concesiones para usar, aprovechar y explotar bandas de frecuencias del espectro radioeléctrico de uso determinado, se otorgarán por el Instituto. Asimismo, </w:t>
      </w:r>
      <w:r w:rsidR="00A6116D">
        <w:rPr>
          <w:rFonts w:ascii="ITC Avant Garde" w:hAnsi="ITC Avant Garde" w:cs="Arial"/>
          <w:bCs/>
          <w:color w:val="000000"/>
          <w:lang w:eastAsia="es-MX"/>
        </w:rPr>
        <w:t>dicho art</w:t>
      </w:r>
      <w:r w:rsidR="00D36FB2">
        <w:rPr>
          <w:rFonts w:ascii="ITC Avant Garde" w:hAnsi="ITC Avant Garde" w:cs="Arial"/>
          <w:bCs/>
          <w:color w:val="000000"/>
          <w:lang w:eastAsia="es-MX"/>
        </w:rPr>
        <w:t xml:space="preserve">ículo </w:t>
      </w:r>
      <w:r w:rsidR="007F74FA" w:rsidRPr="008218B4">
        <w:rPr>
          <w:rFonts w:ascii="ITC Avant Garde" w:hAnsi="ITC Avant Garde" w:cs="Arial"/>
          <w:bCs/>
          <w:color w:val="000000"/>
          <w:lang w:eastAsia="es-MX"/>
        </w:rPr>
        <w:t>señala que cuando la explotación de los servicios objeto de la concesión sobre el espectro radioeléctrico requiera de una concesión única, esta última se otorgará en el mismo acto administrativo, salvo que el concesionario ya cuente con una concesión.</w:t>
      </w:r>
    </w:p>
    <w:p w14:paraId="7D5F96E6"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En ese sentido, la fracción I del artículo 55 de la Ley establece como espectro determinado a aquellas bandas de frecuencias que pueden ser utilizadas para los servicios atribuidos en el Cuadro Nacional de Atribución de Frecuencias, a través de concesiones para uso comercial, social, privado y público.</w:t>
      </w:r>
    </w:p>
    <w:p w14:paraId="74EDCD6D"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Al respecto, el artículo 76 fracción II de la Ley dispone que las concesiones sobre el espectro radioeléctrico para uso público, confiere</w:t>
      </w:r>
      <w:r w:rsidR="00D36FB2">
        <w:rPr>
          <w:rFonts w:ascii="ITC Avant Garde" w:hAnsi="ITC Avant Garde" w:cs="Arial"/>
          <w:bCs/>
          <w:color w:val="000000"/>
          <w:lang w:eastAsia="es-MX"/>
        </w:rPr>
        <w:t>n</w:t>
      </w:r>
      <w:r w:rsidRPr="008218B4">
        <w:rPr>
          <w:rFonts w:ascii="ITC Avant Garde" w:hAnsi="ITC Avant Garde" w:cs="Arial"/>
          <w:bCs/>
          <w:color w:val="000000"/>
          <w:lang w:eastAsia="es-MX"/>
        </w:rPr>
        <w:t xml:space="preserve"> el derecho a los Poderes de la Unión, de los Estados, los órganos de Gobierno del Distrito Federal (ahora Ciudad de México), los Municipios, los órganos constitucionales autónomos y las instituciones de educación superior de carácter público, entre otros, para proveer servicios de telecomunicaciones y radiodifusión para el cumplimiento de sus fines y atribuciones.</w:t>
      </w:r>
    </w:p>
    <w:p w14:paraId="1E13A7BE"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 xml:space="preserve">A su vez,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4EFFB38B"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Por su parte, el artículo 70 de la Ley señala que se requerirá concesión única para uso público, solamente cuando se necesite utilizar o aprovechar bandas de frecuencias del espectro radioeléctrico que no sean de uso libre o recursos orbitales, como es el caso de las bandas de frecuencias objeto de la Solicitud.</w:t>
      </w:r>
    </w:p>
    <w:p w14:paraId="4F14CCEF"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De igual forma, el artículo 67 fracción II de la Ley establece que la concesión única para uso público confiere el derecho a los Poderes de la Unión, de los Estados, los órganos de Gobierno del Distrito Federal (ahora Ciudad de México), los Municipios, los órganos constitucionales autónomos y las instituciones de educación superior de carácter público para proveer servicios de telecomunicaciones y radiodifusión para el cumplimiento de sus fines y atribuciones.</w:t>
      </w:r>
    </w:p>
    <w:p w14:paraId="5BA13230"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lastRenderedPageBreak/>
        <w:t>En ese sentido, el artículo 72 de la Ley señala que la concesión única se otorgará por un plazo de hasta 30 (treinta) años y podrá ser prorrogada hasta por plazos iguales.</w:t>
      </w:r>
    </w:p>
    <w:p w14:paraId="2C593805" w14:textId="77777777" w:rsidR="00381B72" w:rsidRDefault="007F74FA" w:rsidP="00381B72">
      <w:pPr>
        <w:tabs>
          <w:tab w:val="left" w:pos="1134"/>
        </w:tabs>
        <w:autoSpaceDE w:val="0"/>
        <w:autoSpaceDN w:val="0"/>
        <w:adjustRightInd w:val="0"/>
        <w:spacing w:afterLines="120" w:after="288" w:line="240" w:lineRule="auto"/>
        <w:jc w:val="both"/>
        <w:rPr>
          <w:rFonts w:ascii="ITC Avant Garde" w:hAnsi="ITC Avant Garde" w:cs="Arial"/>
          <w:bCs/>
          <w:color w:val="000000"/>
          <w:lang w:eastAsia="es-MX"/>
        </w:rPr>
      </w:pPr>
      <w:r w:rsidRPr="008218B4">
        <w:rPr>
          <w:rFonts w:ascii="ITC Avant Garde" w:hAnsi="ITC Avant Garde" w:cs="Arial"/>
          <w:bCs/>
          <w:color w:val="000000"/>
          <w:lang w:eastAsia="es-MX"/>
        </w:rPr>
        <w:t>Asimismo, de acuerdo al artículo 28 párrafo décimo séptimo de la Constitución, corresponde a la Secretaría emitir opinión técnica no vinculante, entre otros, respecto del otorgamiento de concesiones en materia de telecomunicaciones y radiodifusión.</w:t>
      </w:r>
    </w:p>
    <w:p w14:paraId="112CCF17" w14:textId="77777777" w:rsidR="00381B72" w:rsidRDefault="007F74FA" w:rsidP="00381B72">
      <w:pPr>
        <w:autoSpaceDE w:val="0"/>
        <w:autoSpaceDN w:val="0"/>
        <w:adjustRightInd w:val="0"/>
        <w:spacing w:afterLines="120" w:after="288" w:line="240" w:lineRule="auto"/>
        <w:jc w:val="both"/>
        <w:rPr>
          <w:rFonts w:ascii="ITC Avant Garde" w:hAnsi="ITC Avant Garde" w:cs="Arial"/>
          <w:bCs/>
        </w:rPr>
      </w:pPr>
      <w:r w:rsidRPr="008218B4">
        <w:rPr>
          <w:rFonts w:ascii="ITC Avant Garde" w:hAnsi="ITC Avant Garde" w:cs="Arial"/>
          <w:bCs/>
          <w:color w:val="000000"/>
          <w:lang w:eastAsia="es-MX"/>
        </w:rPr>
        <w:t xml:space="preserve">Por otro lado, el artículo 8 de los </w:t>
      </w:r>
      <w:r w:rsidRPr="008218B4">
        <w:rPr>
          <w:rFonts w:ascii="ITC Avant Garde" w:hAnsi="ITC Avant Garde" w:cs="Arial"/>
          <w:bCs/>
        </w:rPr>
        <w:t>Lineamientos establece que los interesados en obtener una concesión de espectro radioeléctrico para uso público, deberán presentar el Formato IFT-Concesión Espectro Radioeléctrico que corresponda, así como, la información y requisitos aplicables del artículo 3 del mismo ordenamiento que son: I) Datos generales del Interesado; II) Modalidad de uso; III) Características Generales del Proyecto; IV) Capacidad Técnica, Económica, Jurídica y Administrativa, V) Programa inicial de cobertura y VI) Pago por el análisis de la solicitud.</w:t>
      </w:r>
    </w:p>
    <w:p w14:paraId="590748DB" w14:textId="483E1808" w:rsidR="00381B72" w:rsidRDefault="00CC1D22"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
          <w:bCs/>
        </w:rPr>
        <w:t xml:space="preserve">Tercero.- Naturaleza jurídica de </w:t>
      </w:r>
      <w:r w:rsidR="000402F7" w:rsidRPr="008218B4">
        <w:rPr>
          <w:rFonts w:ascii="ITC Avant Garde" w:hAnsi="ITC Avant Garde"/>
          <w:b/>
          <w:bCs/>
        </w:rPr>
        <w:t>CFE</w:t>
      </w:r>
      <w:r w:rsidRPr="008218B4">
        <w:rPr>
          <w:rFonts w:ascii="ITC Avant Garde" w:hAnsi="ITC Avant Garde"/>
          <w:b/>
          <w:bCs/>
        </w:rPr>
        <w:t xml:space="preserve">. </w:t>
      </w:r>
      <w:r w:rsidR="000F47CB">
        <w:rPr>
          <w:rFonts w:ascii="ITC Avant Garde" w:hAnsi="ITC Avant Garde"/>
          <w:bCs/>
        </w:rPr>
        <w:t>E</w:t>
      </w:r>
      <w:r w:rsidR="00DC57A6" w:rsidRPr="008218B4">
        <w:rPr>
          <w:rFonts w:ascii="ITC Avant Garde" w:hAnsi="ITC Avant Garde"/>
          <w:bCs/>
        </w:rPr>
        <w:t>l 20 de diciembre de 2013 se publicó en el Diario Oficial de la Federaci</w:t>
      </w:r>
      <w:r w:rsidR="00F64301" w:rsidRPr="008218B4">
        <w:rPr>
          <w:rFonts w:ascii="ITC Avant Garde" w:hAnsi="ITC Avant Garde"/>
          <w:bCs/>
        </w:rPr>
        <w:t>ón el “</w:t>
      </w:r>
      <w:r w:rsidR="00F64301" w:rsidRPr="008218B4">
        <w:rPr>
          <w:rFonts w:ascii="ITC Avant Garde" w:hAnsi="ITC Avant Garde"/>
          <w:bCs/>
          <w:i/>
        </w:rPr>
        <w:t>Decreto por el que se reforman y adicionan diversas disposiciones de la Constitución Política de los Estados Unidos Mexicanos, en Materia de Energía</w:t>
      </w:r>
      <w:r w:rsidR="00F64301" w:rsidRPr="008218B4">
        <w:rPr>
          <w:rFonts w:ascii="ITC Avant Garde" w:hAnsi="ITC Avant Garde"/>
          <w:bCs/>
        </w:rPr>
        <w:t>”</w:t>
      </w:r>
      <w:r w:rsidR="003A1A6A" w:rsidRPr="008218B4">
        <w:rPr>
          <w:rFonts w:ascii="ITC Avant Garde" w:hAnsi="ITC Avant Garde"/>
          <w:bCs/>
        </w:rPr>
        <w:t>, por el que</w:t>
      </w:r>
      <w:r w:rsidR="00DF4D8E">
        <w:rPr>
          <w:rFonts w:ascii="ITC Avant Garde" w:hAnsi="ITC Avant Garde"/>
          <w:bCs/>
        </w:rPr>
        <w:t>,</w:t>
      </w:r>
      <w:r w:rsidR="003A1A6A" w:rsidRPr="008218B4">
        <w:rPr>
          <w:rFonts w:ascii="ITC Avant Garde" w:hAnsi="ITC Avant Garde"/>
          <w:bCs/>
        </w:rPr>
        <w:t xml:space="preserve"> entre otros aspectos, se modificó el </w:t>
      </w:r>
      <w:r w:rsidR="008B756D" w:rsidRPr="008218B4">
        <w:rPr>
          <w:rFonts w:ascii="ITC Avant Garde" w:hAnsi="ITC Avant Garde"/>
          <w:bCs/>
        </w:rPr>
        <w:t>artículo 25</w:t>
      </w:r>
      <w:r w:rsidR="003A1A6A" w:rsidRPr="008218B4">
        <w:rPr>
          <w:rFonts w:ascii="ITC Avant Garde" w:hAnsi="ITC Avant Garde"/>
          <w:bCs/>
        </w:rPr>
        <w:t xml:space="preserve"> de la Constitución. El citado artículo en su</w:t>
      </w:r>
      <w:r w:rsidR="008B756D" w:rsidRPr="008218B4">
        <w:rPr>
          <w:rFonts w:ascii="ITC Avant Garde" w:hAnsi="ITC Avant Garde"/>
          <w:bCs/>
        </w:rPr>
        <w:t xml:space="preserve"> párrafo cuarto </w:t>
      </w:r>
      <w:r w:rsidR="003A1A6A" w:rsidRPr="008218B4">
        <w:rPr>
          <w:rFonts w:ascii="ITC Avant Garde" w:hAnsi="ITC Avant Garde"/>
          <w:bCs/>
        </w:rPr>
        <w:t xml:space="preserve">establece </w:t>
      </w:r>
      <w:r w:rsidR="00DC1499" w:rsidRPr="008218B4">
        <w:rPr>
          <w:rFonts w:ascii="ITC Avant Garde" w:hAnsi="ITC Avant Garde"/>
          <w:bCs/>
        </w:rPr>
        <w:t>lo siguiente:</w:t>
      </w:r>
    </w:p>
    <w:p w14:paraId="44645A27" w14:textId="77777777" w:rsidR="00381B72" w:rsidRDefault="00A060BA" w:rsidP="00381B72">
      <w:pPr>
        <w:autoSpaceDE w:val="0"/>
        <w:autoSpaceDN w:val="0"/>
        <w:adjustRightInd w:val="0"/>
        <w:spacing w:afterLines="120" w:after="288" w:line="240" w:lineRule="auto"/>
        <w:ind w:left="851" w:right="615"/>
        <w:jc w:val="both"/>
        <w:rPr>
          <w:rFonts w:ascii="ITC Avant Garde" w:hAnsi="ITC Avant Garde"/>
          <w:bCs/>
          <w:i/>
          <w:sz w:val="18"/>
        </w:rPr>
      </w:pPr>
      <w:r w:rsidRPr="001D1D1D">
        <w:rPr>
          <w:rFonts w:ascii="ITC Avant Garde" w:hAnsi="ITC Avant Garde"/>
          <w:bCs/>
          <w:i/>
          <w:sz w:val="18"/>
        </w:rPr>
        <w:t>“[…]</w:t>
      </w:r>
    </w:p>
    <w:p w14:paraId="272CEAA4" w14:textId="77777777" w:rsidR="00381B72" w:rsidRDefault="00A060BA"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
          <w:bCs/>
          <w:i/>
          <w:sz w:val="18"/>
        </w:rPr>
        <w:t>El sector público tendrá a su cargo, de manera exclusiva</w:t>
      </w:r>
      <w:r w:rsidRPr="001D1D1D">
        <w:rPr>
          <w:rFonts w:ascii="ITC Avant Garde" w:hAnsi="ITC Avant Garde"/>
          <w:bCs/>
          <w:i/>
          <w:sz w:val="18"/>
        </w:rPr>
        <w:t xml:space="preserve">, las áreas estratégicas que se señalan en el artículo 28, párrafo cuarto de la Constitución, </w:t>
      </w:r>
      <w:r w:rsidRPr="001D1D1D">
        <w:rPr>
          <w:rFonts w:ascii="ITC Avant Garde" w:hAnsi="ITC Avant Garde"/>
          <w:b/>
          <w:bCs/>
          <w:i/>
          <w:sz w:val="18"/>
        </w:rPr>
        <w:t>manteniendo siempre el Gobierno Federal la propiedad y el control sobre los organismos y empresas productivas del Estado</w:t>
      </w:r>
      <w:r w:rsidRPr="001D1D1D">
        <w:rPr>
          <w:rFonts w:ascii="ITC Avant Garde" w:hAnsi="ITC Avant Garde"/>
          <w:bCs/>
          <w:i/>
          <w:sz w:val="18"/>
        </w:rPr>
        <w:t xml:space="preserve"> que en su caso se establezcan. Tratándose de la </w:t>
      </w:r>
      <w:r w:rsidRPr="001D1D1D">
        <w:rPr>
          <w:rFonts w:ascii="ITC Avant Garde" w:hAnsi="ITC Avant Garde"/>
          <w:b/>
          <w:bCs/>
          <w:i/>
          <w:sz w:val="18"/>
        </w:rPr>
        <w:t>planeación y el control del sistema eléctrico nacional, y del servicio público de transmisión y distribución de energía eléctrica</w:t>
      </w:r>
      <w:r w:rsidRPr="001D1D1D">
        <w:rPr>
          <w:rFonts w:ascii="ITC Avant Garde" w:hAnsi="ITC Avant Garde"/>
          <w:bCs/>
          <w:i/>
          <w:sz w:val="18"/>
        </w:rPr>
        <w:t xml:space="preserve">, así como de la exploración y extracción de petróleo y demás hidrocarburos, la Nación llevará a cabo dichas actividades en términos de lo dispuesto por los párrafos sexto y séptimo del artículo 27 de esta Constitución. </w:t>
      </w:r>
      <w:r w:rsidRPr="001D1D1D">
        <w:rPr>
          <w:rFonts w:ascii="ITC Avant Garde" w:hAnsi="ITC Avant Garde"/>
          <w:b/>
          <w:bCs/>
          <w:i/>
          <w:sz w:val="18"/>
        </w:rPr>
        <w:t>En las actividades citadas la ley establecerá</w:t>
      </w:r>
      <w:r w:rsidRPr="001D1D1D">
        <w:rPr>
          <w:rFonts w:ascii="ITC Avant Garde" w:hAnsi="ITC Avant Garde"/>
          <w:bCs/>
          <w:i/>
          <w:sz w:val="18"/>
        </w:rPr>
        <w:t xml:space="preserve"> </w:t>
      </w:r>
      <w:r w:rsidRPr="001D1D1D">
        <w:rPr>
          <w:rFonts w:ascii="ITC Avant Garde" w:hAnsi="ITC Avant Garde"/>
          <w:b/>
          <w:bCs/>
          <w:i/>
          <w:sz w:val="18"/>
        </w:rPr>
        <w:t>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r w:rsidRPr="001D1D1D">
        <w:rPr>
          <w:rFonts w:ascii="ITC Avant Garde" w:hAnsi="ITC Avant Garde"/>
          <w:bCs/>
          <w:i/>
          <w:sz w:val="18"/>
        </w:rPr>
        <w:t xml:space="preserve">.” </w:t>
      </w:r>
      <w:r w:rsidRPr="001D1D1D">
        <w:rPr>
          <w:rFonts w:ascii="ITC Avant Garde" w:hAnsi="ITC Avant Garde"/>
          <w:bCs/>
          <w:sz w:val="18"/>
        </w:rPr>
        <w:t>(Énfasis añadido)</w:t>
      </w:r>
    </w:p>
    <w:p w14:paraId="04488BCF" w14:textId="77777777" w:rsidR="00381B72" w:rsidRDefault="0081275E"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Adicionalmente, el artículo Vigésimo Transitorio del Decreto señalado en el párrafo que antecede, estableció que el Congreso de la Unión realizaría las adecuaciones al marco jurídico para regular a las empresas productivas del Estado, considerando, entre otras, las siguientes características:</w:t>
      </w:r>
    </w:p>
    <w:p w14:paraId="18A4BCBE" w14:textId="77777777" w:rsidR="00381B72" w:rsidRDefault="0081275E"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w:t>
      </w:r>
    </w:p>
    <w:p w14:paraId="7BECE1CB" w14:textId="6E283C78" w:rsidR="0081275E" w:rsidRPr="001D1D1D" w:rsidRDefault="0081275E"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 xml:space="preserve">I. </w:t>
      </w:r>
      <w:r w:rsidRPr="001D1D1D">
        <w:rPr>
          <w:rFonts w:ascii="ITC Avant Garde" w:hAnsi="ITC Avant Garde"/>
          <w:b/>
          <w:bCs/>
          <w:i/>
          <w:sz w:val="18"/>
        </w:rPr>
        <w:t>Su objeto sea la creación de valor económico e incrementar los ingresos de la Nación</w:t>
      </w:r>
      <w:r w:rsidRPr="001D1D1D">
        <w:rPr>
          <w:rFonts w:ascii="ITC Avant Garde" w:hAnsi="ITC Avant Garde"/>
          <w:bCs/>
          <w:i/>
          <w:sz w:val="18"/>
        </w:rPr>
        <w:t>, con sentido de equidad y responsabilidad social y ambiental.</w:t>
      </w:r>
    </w:p>
    <w:p w14:paraId="499F2354" w14:textId="77777777" w:rsidR="0081275E" w:rsidRPr="001D1D1D" w:rsidRDefault="0081275E"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lastRenderedPageBreak/>
        <w:t>[…]</w:t>
      </w:r>
    </w:p>
    <w:p w14:paraId="791B2DA5" w14:textId="77777777" w:rsidR="0081275E" w:rsidRPr="001D1D1D" w:rsidRDefault="0081275E"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w:t>
      </w:r>
    </w:p>
    <w:p w14:paraId="53758483" w14:textId="77777777" w:rsidR="00381B72" w:rsidRDefault="0081275E"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 xml:space="preserve">IV. </w:t>
      </w:r>
      <w:r w:rsidRPr="001D1D1D">
        <w:rPr>
          <w:rFonts w:ascii="ITC Avant Garde" w:hAnsi="ITC Avant Garde"/>
          <w:b/>
          <w:bCs/>
          <w:i/>
          <w:sz w:val="18"/>
        </w:rPr>
        <w:t>Sus órganos de gobierno se ajusten a lo que disponga la ley y sus directores sean nombrados y removidos libremente por el Titular del Ejecutivo Federal</w:t>
      </w:r>
      <w:r w:rsidRPr="001D1D1D">
        <w:rPr>
          <w:rFonts w:ascii="ITC Avant Garde" w:hAnsi="ITC Avant Garde"/>
          <w:bCs/>
          <w:i/>
          <w:sz w:val="18"/>
        </w:rPr>
        <w:t xml:space="preserve"> o, en su caso, removidos por el </w:t>
      </w:r>
      <w:r w:rsidR="00BB7E43">
        <w:rPr>
          <w:rFonts w:ascii="ITC Avant Garde" w:hAnsi="ITC Avant Garde"/>
          <w:bCs/>
          <w:i/>
          <w:sz w:val="18"/>
        </w:rPr>
        <w:t>Consejo de Administración […].</w:t>
      </w:r>
      <w:r w:rsidRPr="00BB7E43">
        <w:rPr>
          <w:rFonts w:ascii="ITC Avant Garde" w:hAnsi="ITC Avant Garde"/>
          <w:bCs/>
          <w:i/>
          <w:sz w:val="18"/>
        </w:rPr>
        <w:t>”</w:t>
      </w:r>
      <w:r w:rsidRPr="001D1D1D">
        <w:rPr>
          <w:rFonts w:ascii="ITC Avant Garde" w:hAnsi="ITC Avant Garde"/>
          <w:b/>
          <w:bCs/>
          <w:i/>
          <w:sz w:val="18"/>
        </w:rPr>
        <w:t xml:space="preserve"> </w:t>
      </w:r>
      <w:r w:rsidRPr="001D1D1D">
        <w:rPr>
          <w:rFonts w:ascii="ITC Avant Garde" w:hAnsi="ITC Avant Garde"/>
          <w:bCs/>
          <w:sz w:val="18"/>
        </w:rPr>
        <w:t>(Énfasis añadido)</w:t>
      </w:r>
    </w:p>
    <w:p w14:paraId="11B04BED" w14:textId="77777777" w:rsidR="00381B72" w:rsidRDefault="0081275E"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El 11 de agosto de 2014, se publicó en el Diario Oficial de la Federación el “</w:t>
      </w:r>
      <w:r w:rsidRPr="008218B4">
        <w:rPr>
          <w:rFonts w:ascii="ITC Avant Garde" w:hAnsi="ITC Avant Garde"/>
          <w:bCs/>
          <w:i/>
        </w:rPr>
        <w:t>Decreto por el que expide la Ley de Petróleos Mexicanos y la Ley de la Comisión Federal de Electricidad, y se reforman y derogan diversas disposiciones de la Ley Federal de las Entidades Paraestatales; la Ley de Adquisiciones, Arrendamientos y Servicios del Sector Público y la Ley de Obras Públicas y Servicios Relacionados con las Mismas</w:t>
      </w:r>
      <w:r w:rsidRPr="008218B4">
        <w:rPr>
          <w:rFonts w:ascii="ITC Avant Garde" w:hAnsi="ITC Avant Garde"/>
          <w:bCs/>
        </w:rPr>
        <w:t xml:space="preserve">”. </w:t>
      </w:r>
    </w:p>
    <w:p w14:paraId="262739B8" w14:textId="77777777" w:rsidR="00381B72" w:rsidRDefault="004F393F"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 xml:space="preserve">En los artículos Primero y Tercero Transitorios de la </w:t>
      </w:r>
      <w:r w:rsidR="004428E1" w:rsidRPr="008218B4">
        <w:rPr>
          <w:rFonts w:ascii="ITC Avant Garde" w:hAnsi="ITC Avant Garde"/>
          <w:bCs/>
        </w:rPr>
        <w:t>“</w:t>
      </w:r>
      <w:r w:rsidR="004428E1" w:rsidRPr="008218B4">
        <w:rPr>
          <w:rFonts w:ascii="ITC Avant Garde" w:hAnsi="ITC Avant Garde"/>
          <w:bCs/>
          <w:i/>
        </w:rPr>
        <w:t>Ley de la Comisión Federal de Electricidad”</w:t>
      </w:r>
      <w:r w:rsidR="004428E1" w:rsidRPr="008218B4">
        <w:rPr>
          <w:rFonts w:ascii="ITC Avant Garde" w:hAnsi="ITC Avant Garde"/>
          <w:bCs/>
        </w:rPr>
        <w:t xml:space="preserve"> (“Ley de CFE”) </w:t>
      </w:r>
      <w:r w:rsidRPr="008218B4">
        <w:rPr>
          <w:rFonts w:ascii="ITC Avant Garde" w:hAnsi="ITC Avant Garde"/>
          <w:bCs/>
        </w:rPr>
        <w:t>se estableció: i) que el citado ordenamiento entraría en vigor el día siguiente a aquél en que quedara designado el nuevo Consejo de Administración de CFE, y ii) que a partir de la entrada en vigor de dicha ley, CFE se transformaría en una empresa productiva del Estado, por lo que conservaría su personalidad jurídica, así como la titularidad de todos los bienes, derechos y obligaciones que le correspondieran.</w:t>
      </w:r>
    </w:p>
    <w:p w14:paraId="6777827F" w14:textId="77777777" w:rsidR="00381B72" w:rsidRDefault="004F393F"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Así, el 13 de octubre de 2014</w:t>
      </w:r>
      <w:r w:rsidR="008B114F">
        <w:rPr>
          <w:rFonts w:ascii="ITC Avant Garde" w:hAnsi="ITC Avant Garde"/>
          <w:bCs/>
        </w:rPr>
        <w:t>,</w:t>
      </w:r>
      <w:r w:rsidRPr="008218B4">
        <w:rPr>
          <w:rFonts w:ascii="ITC Avant Garde" w:hAnsi="ITC Avant Garde"/>
          <w:bCs/>
        </w:rPr>
        <w:t xml:space="preserve"> quedó instalado el nuevo Consejo de Administración de CFE, por lo que el 14 de octubre de 2014 entró en vigor la Ley de CFE y, consecuentemente, CFE cambió su naturaleza jurídica de organismo descentralizado a Empresa Productiva del Estado.</w:t>
      </w:r>
    </w:p>
    <w:p w14:paraId="2B8E02DC" w14:textId="77777777" w:rsidR="00381B72" w:rsidRDefault="004F393F"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Al respecto, no pasa desapercibido para esta autoridad que las empresas productivas del Estado no se encuentran previstas en el artículo 76 fracción II de la Ley, sin embargo, el artículo 3 fracción XIX de ese mismo ordenamiento, al definir al Ejecutivo Federal, señala que comprende a la Administración Pública Federal, sus dependencias y entidades, según corresponda.</w:t>
      </w:r>
    </w:p>
    <w:p w14:paraId="4B9B79E1" w14:textId="77777777" w:rsidR="00381B72" w:rsidRDefault="004F393F"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rPr>
        <w:t xml:space="preserve">En ese sentido resulta importante destacar lo dispuesto </w:t>
      </w:r>
      <w:r w:rsidR="004428E1" w:rsidRPr="008218B4">
        <w:rPr>
          <w:rFonts w:ascii="ITC Avant Garde" w:hAnsi="ITC Avant Garde"/>
          <w:bCs/>
        </w:rPr>
        <w:t>por e</w:t>
      </w:r>
      <w:r w:rsidR="0081275E" w:rsidRPr="008218B4">
        <w:rPr>
          <w:rFonts w:ascii="ITC Avant Garde" w:hAnsi="ITC Avant Garde"/>
          <w:bCs/>
        </w:rPr>
        <w:t xml:space="preserve">l artículo 2 de la </w:t>
      </w:r>
      <w:r w:rsidR="004428E1" w:rsidRPr="008218B4">
        <w:rPr>
          <w:rFonts w:ascii="ITC Avant Garde" w:hAnsi="ITC Avant Garde"/>
          <w:bCs/>
        </w:rPr>
        <w:t>Ley de CFE</w:t>
      </w:r>
      <w:r w:rsidR="0081275E" w:rsidRPr="008218B4">
        <w:rPr>
          <w:rFonts w:ascii="ITC Avant Garde" w:hAnsi="ITC Avant Garde"/>
          <w:bCs/>
        </w:rPr>
        <w:t xml:space="preserve">, </w:t>
      </w:r>
      <w:r w:rsidR="004428E1" w:rsidRPr="008218B4">
        <w:rPr>
          <w:rFonts w:ascii="ITC Avant Garde" w:hAnsi="ITC Avant Garde"/>
          <w:bCs/>
        </w:rPr>
        <w:t xml:space="preserve">que establece que: </w:t>
      </w:r>
      <w:r w:rsidR="004428E1" w:rsidRPr="008218B4">
        <w:rPr>
          <w:rFonts w:ascii="ITC Avant Garde" w:hAnsi="ITC Avant Garde"/>
          <w:bCs/>
          <w:i/>
        </w:rPr>
        <w:t xml:space="preserve">“La Comisión Federal de Electricidad </w:t>
      </w:r>
      <w:r w:rsidR="0081275E" w:rsidRPr="008218B4">
        <w:rPr>
          <w:rFonts w:ascii="ITC Avant Garde" w:hAnsi="ITC Avant Garde"/>
          <w:bCs/>
          <w:i/>
        </w:rPr>
        <w:t xml:space="preserve">es una Empresa Productiva del Estado de propiedad exclusiva del Gobierno Federal, con personalidad jurídica y patrimonio propios </w:t>
      </w:r>
      <w:r w:rsidR="004428E1" w:rsidRPr="008218B4">
        <w:rPr>
          <w:rFonts w:ascii="ITC Avant Garde" w:hAnsi="ITC Avant Garde"/>
          <w:bCs/>
          <w:i/>
        </w:rPr>
        <w:t>y</w:t>
      </w:r>
      <w:r w:rsidR="0081275E" w:rsidRPr="008218B4">
        <w:rPr>
          <w:rFonts w:ascii="ITC Avant Garde" w:hAnsi="ITC Avant Garde"/>
          <w:bCs/>
          <w:i/>
        </w:rPr>
        <w:t xml:space="preserve"> gozará de autonomía técnica, operativa y de gestión</w:t>
      </w:r>
      <w:r w:rsidR="004428E1" w:rsidRPr="008218B4">
        <w:rPr>
          <w:rFonts w:ascii="ITC Avant Garde" w:hAnsi="ITC Avant Garde"/>
          <w:bCs/>
          <w:i/>
        </w:rPr>
        <w:t xml:space="preserve"> […]”</w:t>
      </w:r>
      <w:r w:rsidR="0081275E" w:rsidRPr="008218B4">
        <w:rPr>
          <w:rFonts w:ascii="ITC Avant Garde" w:hAnsi="ITC Avant Garde"/>
          <w:bCs/>
        </w:rPr>
        <w:t>.</w:t>
      </w:r>
      <w:r w:rsidR="004428E1" w:rsidRPr="008218B4">
        <w:rPr>
          <w:rFonts w:ascii="ITC Avant Garde" w:hAnsi="ITC Avant Garde"/>
          <w:bCs/>
        </w:rPr>
        <w:t xml:space="preserve"> </w:t>
      </w:r>
      <w:r w:rsidR="004428E1" w:rsidRPr="008218B4">
        <w:rPr>
          <w:rFonts w:ascii="ITC Avant Garde" w:hAnsi="ITC Avant Garde"/>
          <w:bCs/>
          <w:lang w:val="es-ES_tradnl"/>
        </w:rPr>
        <w:t xml:space="preserve">De esta forma, es claro que CFE es un órgano del </w:t>
      </w:r>
      <w:r w:rsidR="00F569DA">
        <w:rPr>
          <w:rFonts w:ascii="ITC Avant Garde" w:hAnsi="ITC Avant Garde"/>
          <w:bCs/>
          <w:lang w:val="es-ES_tradnl"/>
        </w:rPr>
        <w:t>E</w:t>
      </w:r>
      <w:r w:rsidR="004428E1" w:rsidRPr="008218B4">
        <w:rPr>
          <w:rFonts w:ascii="ITC Avant Garde" w:hAnsi="ITC Avant Garde"/>
          <w:bCs/>
          <w:lang w:val="es-ES_tradnl"/>
        </w:rPr>
        <w:t xml:space="preserve">stado cuyo control es ejercido directamente por el Gobierno Federal, a través de los mecanismos que la propia ley prevé. </w:t>
      </w:r>
    </w:p>
    <w:p w14:paraId="51EC3994" w14:textId="77777777" w:rsidR="00381B72" w:rsidRDefault="004428E1"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t xml:space="preserve">A fin de contar con mayores elementos que permitan a este Instituto afirmar que CFE se encuentra en el supuesto previsto en el artículo </w:t>
      </w:r>
      <w:r w:rsidRPr="008218B4">
        <w:rPr>
          <w:rFonts w:ascii="ITC Avant Garde" w:hAnsi="ITC Avant Garde"/>
          <w:bCs/>
        </w:rPr>
        <w:t>76 fracción II de la Ley</w:t>
      </w:r>
      <w:r w:rsidRPr="008218B4">
        <w:rPr>
          <w:rFonts w:ascii="ITC Avant Garde" w:hAnsi="ITC Avant Garde"/>
          <w:bCs/>
          <w:lang w:val="es-ES_tradnl"/>
        </w:rPr>
        <w:t>, cobra relevancia la integración de su actual Consejo de Administración, el cual, en términos del artículo 14 de la Ley de CFE se compone de la siguiente manera:</w:t>
      </w:r>
    </w:p>
    <w:p w14:paraId="67E5C9F4" w14:textId="77777777" w:rsidR="00381B72" w:rsidRDefault="004428E1"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lastRenderedPageBreak/>
        <w:t>i). El titular de la Secretaría de Energía, quien lo presidirá y tendrá voto de calidad y el titular de la Secretaría de Hacienda y Crédito Público;</w:t>
      </w:r>
    </w:p>
    <w:p w14:paraId="06EB5651" w14:textId="77777777" w:rsidR="00381B72" w:rsidRDefault="004428E1"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t>ii). Tres consejeros del Gobierno Federal designados por el Ejecutivo Federal;</w:t>
      </w:r>
    </w:p>
    <w:p w14:paraId="7BE72072" w14:textId="77777777" w:rsidR="00381B72" w:rsidRDefault="004428E1"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t>iii). Cuatro Consejeros Independientes designados por el Ejecutivo Federal y ratificados por el Senado de la República, quienes ejercerán sus funciones de tiempo parcial y no tendrán el carácter de servidores públicos, y</w:t>
      </w:r>
    </w:p>
    <w:p w14:paraId="37CC7A32" w14:textId="77777777" w:rsidR="00381B72" w:rsidRDefault="004428E1"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t>iv). Un consejero designado por los trabajadores de la Comisión Federal de Electricidad y sus empresas productivas subsidiarias.</w:t>
      </w:r>
    </w:p>
    <w:p w14:paraId="4371EAC6" w14:textId="77777777" w:rsidR="00381B72" w:rsidRDefault="00322EA4" w:rsidP="00381B72">
      <w:pPr>
        <w:autoSpaceDE w:val="0"/>
        <w:autoSpaceDN w:val="0"/>
        <w:adjustRightInd w:val="0"/>
        <w:spacing w:afterLines="120" w:after="288" w:line="240" w:lineRule="auto"/>
        <w:jc w:val="both"/>
        <w:rPr>
          <w:rFonts w:ascii="ITC Avant Garde" w:hAnsi="ITC Avant Garde"/>
          <w:bCs/>
          <w:lang w:val="es-ES_tradnl"/>
        </w:rPr>
      </w:pPr>
      <w:r w:rsidRPr="008218B4">
        <w:rPr>
          <w:rFonts w:ascii="ITC Avant Garde" w:hAnsi="ITC Avant Garde"/>
          <w:bCs/>
          <w:lang w:val="es-ES_tradnl"/>
        </w:rPr>
        <w:t>Como puede observarse, en su totalidad</w:t>
      </w:r>
      <w:r w:rsidR="00D40F06">
        <w:rPr>
          <w:rFonts w:ascii="ITC Avant Garde" w:hAnsi="ITC Avant Garde"/>
          <w:bCs/>
          <w:lang w:val="es-ES_tradnl"/>
        </w:rPr>
        <w:t>,</w:t>
      </w:r>
      <w:r w:rsidRPr="008218B4">
        <w:rPr>
          <w:rFonts w:ascii="ITC Avant Garde" w:hAnsi="ITC Avant Garde"/>
          <w:bCs/>
          <w:lang w:val="es-ES_tradnl"/>
        </w:rPr>
        <w:t xml:space="preserve"> el Consejo de Admi</w:t>
      </w:r>
      <w:r w:rsidR="00383ABB">
        <w:rPr>
          <w:rFonts w:ascii="ITC Avant Garde" w:hAnsi="ITC Avant Garde"/>
          <w:bCs/>
          <w:lang w:val="es-ES_tradnl"/>
        </w:rPr>
        <w:t>nistración de CFE se integra por</w:t>
      </w:r>
      <w:r w:rsidRPr="008218B4">
        <w:rPr>
          <w:rFonts w:ascii="ITC Avant Garde" w:hAnsi="ITC Avant Garde"/>
          <w:bCs/>
          <w:lang w:val="es-ES_tradnl"/>
        </w:rPr>
        <w:t xml:space="preserve"> personas designadas por el Ejecutivo Federal, y en el caso de los incisos i), ii) y iii), se tratan de servidores públicos del Gobierno Federal, respecto de los cuales existe una relación de supra-subordinación con el Presidente de la República. E</w:t>
      </w:r>
      <w:r w:rsidR="00383ABB">
        <w:rPr>
          <w:rFonts w:ascii="ITC Avant Garde" w:hAnsi="ITC Avant Garde"/>
          <w:bCs/>
          <w:lang w:val="es-ES_tradnl"/>
        </w:rPr>
        <w:t>n el caso de los Consejeros Independientes, si bien la Ley de CFE</w:t>
      </w:r>
      <w:r w:rsidRPr="008218B4">
        <w:rPr>
          <w:rFonts w:ascii="ITC Avant Garde" w:hAnsi="ITC Avant Garde"/>
          <w:bCs/>
          <w:lang w:val="es-ES_tradnl"/>
        </w:rPr>
        <w:t xml:space="preserve"> los excluye del carácter de servidores públicos, también se trata de personas designadas por el Ejecutivo Federal, pero con la intervención de la Cámara de Senadores. </w:t>
      </w:r>
    </w:p>
    <w:p w14:paraId="6F594D8B" w14:textId="77777777" w:rsidR="00381B72" w:rsidRDefault="00322EA4"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Finalmente, la exposición de motivos de la iniciativa que dio origen a la Ley de CFE, señala lo siguiente:</w:t>
      </w:r>
    </w:p>
    <w:p w14:paraId="48BAEAF7" w14:textId="77777777" w:rsidR="00381B72" w:rsidRDefault="00322EA4"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w:t>
      </w:r>
    </w:p>
    <w:p w14:paraId="134C8D4F" w14:textId="77777777" w:rsidR="00381B72" w:rsidRDefault="00322EA4" w:rsidP="00381B72">
      <w:pPr>
        <w:autoSpaceDE w:val="0"/>
        <w:autoSpaceDN w:val="0"/>
        <w:adjustRightInd w:val="0"/>
        <w:spacing w:afterLines="120" w:after="288" w:line="240" w:lineRule="auto"/>
        <w:ind w:left="567" w:right="615"/>
        <w:jc w:val="both"/>
        <w:rPr>
          <w:rFonts w:ascii="ITC Avant Garde" w:hAnsi="ITC Avant Garde"/>
          <w:bCs/>
          <w:i/>
          <w:sz w:val="18"/>
          <w:lang w:val="es-ES_tradnl"/>
        </w:rPr>
      </w:pPr>
      <w:r w:rsidRPr="001D1D1D">
        <w:rPr>
          <w:rFonts w:ascii="ITC Avant Garde" w:hAnsi="ITC Avant Garde"/>
          <w:bCs/>
          <w:i/>
          <w:sz w:val="18"/>
          <w:lang w:val="es-ES_tradnl"/>
        </w:rPr>
        <w:t>Al estar sujetas a la Ley Federal de las Entidades Paraestatales, les son aplicables restricciones respecto a su organización, su régimen presupuestario y de deuda, entre otros, sin tomar en cuenta sus necesidades operativas particulares. Evidentemente, ese rígido esquema no obedece a las necesidades que enfrentan las empresas pues las coloca en un plano de desigualdad respecto a sus pares privados que sí gozan de amplia flexibilidad para enfrentar los complejos y variables mercados industriales de bienes y servicios.</w:t>
      </w:r>
    </w:p>
    <w:p w14:paraId="75B606A1" w14:textId="77777777" w:rsidR="00381B72" w:rsidRDefault="00322EA4" w:rsidP="00381B72">
      <w:pPr>
        <w:autoSpaceDE w:val="0"/>
        <w:autoSpaceDN w:val="0"/>
        <w:adjustRightInd w:val="0"/>
        <w:spacing w:afterLines="120" w:after="288" w:line="240" w:lineRule="auto"/>
        <w:ind w:left="567" w:right="615"/>
        <w:jc w:val="both"/>
        <w:rPr>
          <w:rFonts w:ascii="ITC Avant Garde" w:hAnsi="ITC Avant Garde"/>
          <w:bCs/>
          <w:sz w:val="18"/>
          <w:lang w:val="es-ES_tradnl"/>
        </w:rPr>
      </w:pPr>
      <w:r w:rsidRPr="001D1D1D">
        <w:rPr>
          <w:rFonts w:ascii="ITC Avant Garde" w:hAnsi="ITC Avant Garde"/>
          <w:bCs/>
          <w:i/>
          <w:sz w:val="18"/>
          <w:lang w:val="es-ES_tradnl"/>
        </w:rPr>
        <w:t xml:space="preserve">En este sentido, se plantea que Petróleos Mexicanos y la Comisión Federal de Electricidad, como empresas productivas del Estado, </w:t>
      </w:r>
      <w:r w:rsidRPr="001D1D1D">
        <w:rPr>
          <w:rFonts w:ascii="ITC Avant Garde" w:hAnsi="ITC Avant Garde"/>
          <w:bCs/>
          <w:i/>
          <w:sz w:val="18"/>
          <w:u w:val="single"/>
          <w:lang w:val="es-ES_tradnl"/>
        </w:rPr>
        <w:t>se organizarán y funcionarán conforme a sus propias leyes, bajo un régimen especial y particular para cada una de ellas en las distintas materias que se prevén más adelante</w:t>
      </w:r>
      <w:r w:rsidRPr="001D1D1D">
        <w:rPr>
          <w:rFonts w:ascii="ITC Avant Garde" w:hAnsi="ITC Avant Garde"/>
          <w:bCs/>
          <w:i/>
          <w:sz w:val="18"/>
          <w:lang w:val="es-ES_tradnl"/>
        </w:rPr>
        <w:t xml:space="preserve">. En adición a lo anterior, se dispone que </w:t>
      </w:r>
      <w:r w:rsidRPr="001D1D1D">
        <w:rPr>
          <w:rFonts w:ascii="ITC Avant Garde" w:hAnsi="ITC Avant Garde"/>
          <w:bCs/>
          <w:i/>
          <w:sz w:val="18"/>
          <w:u w:val="single"/>
          <w:lang w:val="es-ES_tradnl"/>
        </w:rPr>
        <w:t>las empresas referidas son de propiedad exclusiva del Gobierno Federal</w:t>
      </w:r>
      <w:r w:rsidRPr="001D1D1D">
        <w:rPr>
          <w:rFonts w:ascii="ITC Avant Garde" w:hAnsi="ITC Avant Garde"/>
          <w:bCs/>
          <w:i/>
          <w:sz w:val="18"/>
          <w:lang w:val="es-ES_tradnl"/>
        </w:rPr>
        <w:t>, con personalidad jurídica y patrimonio propio, autonomía técnica, operativa y de gestión, conforme a los principios establecidos en la reforma constitucional</w:t>
      </w:r>
      <w:r w:rsidRPr="001D1D1D">
        <w:rPr>
          <w:rFonts w:ascii="ITC Avant Garde" w:hAnsi="ITC Avant Garde"/>
          <w:bCs/>
          <w:sz w:val="18"/>
          <w:lang w:val="es-ES_tradnl"/>
        </w:rPr>
        <w:t>.</w:t>
      </w:r>
    </w:p>
    <w:p w14:paraId="40D40409" w14:textId="77777777" w:rsidR="00381B72" w:rsidRDefault="00322EA4"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rPr>
        <w:t>[…]</w:t>
      </w:r>
    </w:p>
    <w:p w14:paraId="70F2347A" w14:textId="77777777" w:rsidR="00381B72" w:rsidRDefault="00322EA4" w:rsidP="00381B72">
      <w:pPr>
        <w:autoSpaceDE w:val="0"/>
        <w:autoSpaceDN w:val="0"/>
        <w:adjustRightInd w:val="0"/>
        <w:spacing w:afterLines="120" w:after="288" w:line="240" w:lineRule="auto"/>
        <w:ind w:left="567" w:right="615"/>
        <w:jc w:val="both"/>
        <w:rPr>
          <w:rFonts w:ascii="ITC Avant Garde" w:hAnsi="ITC Avant Garde"/>
          <w:bCs/>
          <w:i/>
          <w:sz w:val="18"/>
        </w:rPr>
      </w:pPr>
      <w:r w:rsidRPr="001D1D1D">
        <w:rPr>
          <w:rFonts w:ascii="ITC Avant Garde" w:hAnsi="ITC Avant Garde"/>
          <w:bCs/>
          <w:i/>
          <w:sz w:val="18"/>
          <w:lang w:val="es-ES_tradnl"/>
        </w:rPr>
        <w:t>En materia de bienes, el régimen especial está encaminado a dotar de flexibilidad y celeridad en la administración patrimonial de las empresas estatales, acercándolas a un marco jurídico aplicable a cualquier empresa privada, pero reconociendo el carácter público que se ha mencionado, por lo que se hacen las previsiones correspondientes.”</w:t>
      </w:r>
    </w:p>
    <w:p w14:paraId="606A344A" w14:textId="77777777" w:rsidR="00381B72" w:rsidRDefault="00322EA4"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lastRenderedPageBreak/>
        <w:t xml:space="preserve">Por lo anterior, existen elementos para considerar que </w:t>
      </w:r>
      <w:r w:rsidRPr="008218B4">
        <w:rPr>
          <w:rFonts w:ascii="ITC Avant Garde" w:hAnsi="ITC Avant Garde"/>
          <w:bCs/>
          <w:lang w:val="es-ES_tradnl"/>
        </w:rPr>
        <w:t xml:space="preserve">bajo su nueva naturaleza de empresa productiva del Estado, CFE se ubica en el ámbito del Ejecutivo Federal para efectos de lo dispuesto por el artículo </w:t>
      </w:r>
      <w:r w:rsidRPr="008218B4">
        <w:rPr>
          <w:rFonts w:ascii="ITC Avant Garde" w:hAnsi="ITC Avant Garde"/>
          <w:bCs/>
        </w:rPr>
        <w:t>76, fracción II de la Ley, mismo que establece, entre otros aspectos y como ya quedó señalado, que las concesiones para uso público confieren el derecho, entre otros, a los Poderes de la Unión para proveer servicios de telecomunicaciones y radiodifusión para el cumplimiento de sus fines y atribuciones.</w:t>
      </w:r>
    </w:p>
    <w:p w14:paraId="56B21EC0" w14:textId="77777777" w:rsidR="00381B72" w:rsidRDefault="00C30565" w:rsidP="00381B72">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Finalmente, considerando que la CFE se ubica en el ámbito del Ejecutivo Federal, se debe considerar que </w:t>
      </w:r>
      <w:r w:rsidR="00322EA4" w:rsidRPr="008218B4">
        <w:rPr>
          <w:rFonts w:ascii="ITC Avant Garde" w:hAnsi="ITC Avant Garde"/>
          <w:bCs/>
        </w:rPr>
        <w:t xml:space="preserve">el artículo 56 segundo párrafo de la Ley establece que el Instituto garantizará la disponibilidad de bandas de frecuencias del espectro radioeléctrico para sus necesidades, funciones, fines y objetivos a su cargo. </w:t>
      </w:r>
    </w:p>
    <w:p w14:paraId="4506A4D1" w14:textId="7F115335" w:rsidR="00381B72" w:rsidRDefault="0014776F"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
          <w:bCs/>
        </w:rPr>
        <w:t>Cuart</w:t>
      </w:r>
      <w:r w:rsidR="000D1A00" w:rsidRPr="008218B4">
        <w:rPr>
          <w:rFonts w:ascii="ITC Avant Garde" w:hAnsi="ITC Avant Garde"/>
          <w:b/>
          <w:bCs/>
        </w:rPr>
        <w:t>o</w:t>
      </w:r>
      <w:r w:rsidR="00CA1E6F" w:rsidRPr="008218B4">
        <w:rPr>
          <w:rFonts w:ascii="ITC Avant Garde" w:hAnsi="ITC Avant Garde"/>
          <w:b/>
          <w:bCs/>
        </w:rPr>
        <w:t xml:space="preserve">.- </w:t>
      </w:r>
      <w:r w:rsidR="006B7893">
        <w:rPr>
          <w:rFonts w:ascii="ITC Avant Garde" w:hAnsi="ITC Avant Garde"/>
          <w:b/>
          <w:bCs/>
        </w:rPr>
        <w:t xml:space="preserve">CFE y sus Empresas Productivas Subsidiarias. </w:t>
      </w:r>
      <w:r w:rsidR="006B7893">
        <w:rPr>
          <w:rFonts w:ascii="ITC Avant Garde" w:hAnsi="ITC Avant Garde"/>
          <w:bCs/>
        </w:rPr>
        <w:t>D</w:t>
      </w:r>
      <w:r w:rsidR="00F521A1">
        <w:rPr>
          <w:rFonts w:ascii="ITC Avant Garde" w:hAnsi="ITC Avant Garde"/>
          <w:bCs/>
        </w:rPr>
        <w:t xml:space="preserve">e conformidad con el artículo 5 de la Ley de CFE, ésta tiene por objeto prestar el servicio de público de transmisión y distribución de energía eléctrica, por cuenta y orden del Estado Mexicano. En ese sentido, los artículos 6 y 57 del citado ordenamiento señalan que </w:t>
      </w:r>
      <w:r w:rsidR="006B7893">
        <w:rPr>
          <w:rFonts w:ascii="ITC Avant Garde" w:hAnsi="ITC Avant Garde"/>
          <w:bCs/>
        </w:rPr>
        <w:t>dicha Empresa Productiva del Estado</w:t>
      </w:r>
      <w:r w:rsidR="006B7893" w:rsidRPr="006B7893">
        <w:rPr>
          <w:rFonts w:ascii="ITC Avant Garde" w:hAnsi="ITC Avant Garde"/>
          <w:bCs/>
        </w:rPr>
        <w:t xml:space="preserve"> podrá realizar las actividades, operaciones o servicios necesarios para el cumplimie</w:t>
      </w:r>
      <w:r w:rsidR="003C4EA2">
        <w:rPr>
          <w:rFonts w:ascii="ITC Avant Garde" w:hAnsi="ITC Avant Garde"/>
          <w:bCs/>
        </w:rPr>
        <w:t>nto de su objeto por sí misma o, entre otras, con apoyo de sus empresas productivas subsidiarias.</w:t>
      </w:r>
      <w:r w:rsidR="0019631C">
        <w:rPr>
          <w:rFonts w:ascii="ITC Avant Garde" w:hAnsi="ITC Avant Garde"/>
          <w:bCs/>
        </w:rPr>
        <w:t xml:space="preserve"> </w:t>
      </w:r>
    </w:p>
    <w:p w14:paraId="7FAB9F4F" w14:textId="77777777" w:rsidR="00381B72" w:rsidRDefault="0019631C" w:rsidP="00381B72">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12 de</w:t>
      </w:r>
      <w:r w:rsidR="0046280A">
        <w:rPr>
          <w:rFonts w:ascii="ITC Avant Garde" w:hAnsi="ITC Avant Garde"/>
          <w:bCs/>
        </w:rPr>
        <w:t xml:space="preserve"> la Ley de CFE establece que su </w:t>
      </w:r>
      <w:r>
        <w:rPr>
          <w:rFonts w:ascii="ITC Avant Garde" w:hAnsi="ITC Avant Garde"/>
          <w:bCs/>
        </w:rPr>
        <w:t>Consejo de Administración será responsable de definir las políticas, lineamientos y visi</w:t>
      </w:r>
      <w:r w:rsidR="00F521A1">
        <w:rPr>
          <w:rFonts w:ascii="ITC Avant Garde" w:hAnsi="ITC Avant Garde"/>
          <w:bCs/>
        </w:rPr>
        <w:t>ón estratégica</w:t>
      </w:r>
      <w:r>
        <w:rPr>
          <w:rFonts w:ascii="ITC Avant Garde" w:hAnsi="ITC Avant Garde"/>
          <w:bCs/>
        </w:rPr>
        <w:t xml:space="preserve">, entre otras, de sus empresas productivas subsidiarias. </w:t>
      </w:r>
      <w:r w:rsidR="00F521A1">
        <w:rPr>
          <w:rFonts w:ascii="ITC Avant Garde" w:hAnsi="ITC Avant Garde"/>
          <w:bCs/>
        </w:rPr>
        <w:t>Adicionalmente</w:t>
      </w:r>
      <w:r w:rsidR="003C4EA2">
        <w:rPr>
          <w:rFonts w:ascii="ITC Avant Garde" w:hAnsi="ITC Avant Garde"/>
          <w:bCs/>
        </w:rPr>
        <w:t>, el artículo 4 del “</w:t>
      </w:r>
      <w:r w:rsidR="003C4EA2" w:rsidRPr="003C4EA2">
        <w:rPr>
          <w:rFonts w:ascii="ITC Avant Garde" w:hAnsi="ITC Avant Garde"/>
          <w:bCs/>
          <w:i/>
        </w:rPr>
        <w:t>Estatuto Orgánico de la Comisión Federal de Electricidad</w:t>
      </w:r>
      <w:r w:rsidR="003C4EA2">
        <w:rPr>
          <w:rFonts w:ascii="ITC Avant Garde" w:hAnsi="ITC Avant Garde"/>
          <w:bCs/>
        </w:rPr>
        <w:t xml:space="preserve">”, publicado en el Diario Oficial de la Federación el 12 de abril de 2017 señala que forman parte de la organización de CFE, en términos de los artículos 6 y 10 de la Ley de CFE, entre otras, las empresas productivas subsidiarias, creadas por el </w:t>
      </w:r>
      <w:r w:rsidR="0046280A">
        <w:rPr>
          <w:rFonts w:ascii="ITC Avant Garde" w:hAnsi="ITC Avant Garde"/>
          <w:bCs/>
        </w:rPr>
        <w:t xml:space="preserve">citado </w:t>
      </w:r>
      <w:r w:rsidR="003C4EA2">
        <w:rPr>
          <w:rFonts w:ascii="ITC Avant Garde" w:hAnsi="ITC Avant Garde"/>
          <w:bCs/>
        </w:rPr>
        <w:t>Consejo, mismas que se señalan en dicho artículo y son: CFE Generación I, CFE Generación II, CFE Generación III, CFE Generación IV, CFE Generación V, CFE Generación VI, CFE Transmisión, CFE Distribución y CFE Suministrador de Servicios Básicos.</w:t>
      </w:r>
    </w:p>
    <w:p w14:paraId="3594EAAB" w14:textId="77777777" w:rsidR="00381B72" w:rsidRDefault="003C4EA2" w:rsidP="00381B72">
      <w:pPr>
        <w:autoSpaceDE w:val="0"/>
        <w:autoSpaceDN w:val="0"/>
        <w:adjustRightInd w:val="0"/>
        <w:spacing w:afterLines="120" w:after="288" w:line="240" w:lineRule="auto"/>
        <w:jc w:val="both"/>
        <w:rPr>
          <w:rFonts w:ascii="ITC Avant Garde" w:hAnsi="ITC Avant Garde"/>
          <w:bCs/>
        </w:rPr>
      </w:pPr>
      <w:r w:rsidRPr="003C4EA2">
        <w:rPr>
          <w:rFonts w:ascii="ITC Avant Garde" w:hAnsi="ITC Avant Garde"/>
          <w:bCs/>
        </w:rPr>
        <w:t xml:space="preserve">Como lo señaló CFE en la Solicitud, </w:t>
      </w:r>
      <w:r>
        <w:rPr>
          <w:rFonts w:ascii="ITC Avant Garde" w:hAnsi="ITC Avant Garde"/>
          <w:bCs/>
        </w:rPr>
        <w:t>dicha Empresa Productiva del Estado será la que ostente la titularidad de la</w:t>
      </w:r>
      <w:r w:rsidR="000A0280">
        <w:rPr>
          <w:rFonts w:ascii="ITC Avant Garde" w:hAnsi="ITC Avant Garde"/>
          <w:bCs/>
        </w:rPr>
        <w:t>s</w:t>
      </w:r>
      <w:r>
        <w:rPr>
          <w:rFonts w:ascii="ITC Avant Garde" w:hAnsi="ITC Avant Garde"/>
          <w:bCs/>
        </w:rPr>
        <w:t xml:space="preserve"> concesiones que</w:t>
      </w:r>
      <w:r w:rsidR="000A0280">
        <w:rPr>
          <w:rFonts w:ascii="ITC Avant Garde" w:hAnsi="ITC Avant Garde"/>
          <w:bCs/>
        </w:rPr>
        <w:t>,</w:t>
      </w:r>
      <w:r>
        <w:rPr>
          <w:rFonts w:ascii="ITC Avant Garde" w:hAnsi="ITC Avant Garde"/>
          <w:bCs/>
        </w:rPr>
        <w:t xml:space="preserve"> </w:t>
      </w:r>
      <w:r w:rsidR="000A0280">
        <w:rPr>
          <w:rFonts w:ascii="ITC Avant Garde" w:hAnsi="ITC Avant Garde"/>
          <w:bCs/>
        </w:rPr>
        <w:t>de ser el caso, el Instituto otorgue</w:t>
      </w:r>
      <w:r>
        <w:rPr>
          <w:rFonts w:ascii="ITC Avant Garde" w:hAnsi="ITC Avant Garde"/>
          <w:bCs/>
        </w:rPr>
        <w:t xml:space="preserve">. Sin embargo, la misma empresa aclara que quien operará las frecuencias solicitadas sería la empresa productiva subsidiaria CFE Distribución. </w:t>
      </w:r>
    </w:p>
    <w:p w14:paraId="4708DB74" w14:textId="77777777" w:rsidR="00381B72" w:rsidRDefault="000A0280" w:rsidP="00381B72">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Es decir, de lo anterior se colige que </w:t>
      </w:r>
      <w:r w:rsidR="00BB4C97">
        <w:rPr>
          <w:rFonts w:ascii="ITC Avant Garde" w:hAnsi="ITC Avant Garde"/>
          <w:bCs/>
        </w:rPr>
        <w:t xml:space="preserve">CFE, al solicitar la titularidad de las concesiones que en su caso se otorguen, </w:t>
      </w:r>
      <w:r>
        <w:rPr>
          <w:rFonts w:ascii="ITC Avant Garde" w:hAnsi="ITC Avant Garde"/>
          <w:bCs/>
        </w:rPr>
        <w:t xml:space="preserve">contempló que la </w:t>
      </w:r>
      <w:r w:rsidR="006B7893" w:rsidRPr="006B7893">
        <w:rPr>
          <w:rFonts w:ascii="ITC Avant Garde" w:hAnsi="ITC Avant Garde"/>
          <w:bCs/>
        </w:rPr>
        <w:t>provisión de servic</w:t>
      </w:r>
      <w:r>
        <w:rPr>
          <w:rFonts w:ascii="ITC Avant Garde" w:hAnsi="ITC Avant Garde"/>
          <w:bCs/>
        </w:rPr>
        <w:t>ios de telecomunicaciones fuera</w:t>
      </w:r>
      <w:r w:rsidR="006B7893" w:rsidRPr="006B7893">
        <w:rPr>
          <w:rFonts w:ascii="ITC Avant Garde" w:hAnsi="ITC Avant Garde"/>
          <w:bCs/>
        </w:rPr>
        <w:t xml:space="preserve"> </w:t>
      </w:r>
      <w:r w:rsidR="00BB4C97">
        <w:rPr>
          <w:rFonts w:ascii="ITC Avant Garde" w:hAnsi="ITC Avant Garde"/>
          <w:bCs/>
        </w:rPr>
        <w:t xml:space="preserve">su </w:t>
      </w:r>
      <w:r w:rsidR="006B7893" w:rsidRPr="006B7893">
        <w:rPr>
          <w:rFonts w:ascii="ITC Avant Garde" w:hAnsi="ITC Avant Garde"/>
          <w:bCs/>
        </w:rPr>
        <w:t xml:space="preserve">responsabilidad </w:t>
      </w:r>
      <w:r w:rsidR="00BB4C97">
        <w:rPr>
          <w:rFonts w:ascii="ITC Avant Garde" w:hAnsi="ITC Avant Garde"/>
          <w:bCs/>
        </w:rPr>
        <w:t>directa</w:t>
      </w:r>
      <w:r>
        <w:rPr>
          <w:rFonts w:ascii="ITC Avant Garde" w:hAnsi="ITC Avant Garde"/>
          <w:bCs/>
        </w:rPr>
        <w:t>, a fin de poder definir las políticas adecuadas para la provisión de servicios de telecomunicaciones y desarrollo tecnológico necesario</w:t>
      </w:r>
      <w:r w:rsidR="00BB4C97">
        <w:rPr>
          <w:rFonts w:ascii="ITC Avant Garde" w:hAnsi="ITC Avant Garde"/>
          <w:bCs/>
        </w:rPr>
        <w:t xml:space="preserve">s </w:t>
      </w:r>
      <w:r>
        <w:rPr>
          <w:rFonts w:ascii="ITC Avant Garde" w:hAnsi="ITC Avant Garde"/>
          <w:bCs/>
        </w:rPr>
        <w:t>para la prestación del servicio público de transmisión y distribución de energía eléctrica.</w:t>
      </w:r>
    </w:p>
    <w:p w14:paraId="1B20C06D" w14:textId="77777777" w:rsidR="00381B72" w:rsidRDefault="00BB4C97" w:rsidP="00381B72">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este sentido, y considerando que tal situación genera eficien</w:t>
      </w:r>
      <w:r w:rsidR="00BA79B2">
        <w:rPr>
          <w:rFonts w:ascii="ITC Avant Garde" w:hAnsi="ITC Avant Garde"/>
          <w:bCs/>
        </w:rPr>
        <w:t xml:space="preserve">cias a CFE y a CFE Distribución, </w:t>
      </w:r>
      <w:r>
        <w:rPr>
          <w:rFonts w:ascii="ITC Avant Garde" w:hAnsi="ITC Avant Garde"/>
          <w:bCs/>
        </w:rPr>
        <w:t xml:space="preserve">dada la naturaleza del servicio eléctrico, el Instituto considera pertinente </w:t>
      </w:r>
      <w:r>
        <w:rPr>
          <w:rFonts w:ascii="ITC Avant Garde" w:hAnsi="ITC Avant Garde"/>
          <w:bCs/>
        </w:rPr>
        <w:lastRenderedPageBreak/>
        <w:t>que</w:t>
      </w:r>
      <w:r w:rsidR="00F675B6">
        <w:rPr>
          <w:rFonts w:ascii="ITC Avant Garde" w:hAnsi="ITC Avant Garde"/>
          <w:bCs/>
        </w:rPr>
        <w:t>,</w:t>
      </w:r>
      <w:r>
        <w:rPr>
          <w:rFonts w:ascii="ITC Avant Garde" w:hAnsi="ITC Avant Garde"/>
          <w:bCs/>
        </w:rPr>
        <w:t xml:space="preserve"> al momento de resolver </w:t>
      </w:r>
      <w:r w:rsidR="00BB4A2F">
        <w:rPr>
          <w:rFonts w:ascii="ITC Avant Garde" w:hAnsi="ITC Avant Garde"/>
          <w:bCs/>
        </w:rPr>
        <w:t xml:space="preserve">el presente trámite, y si fuera favorable el mismo, </w:t>
      </w:r>
      <w:r>
        <w:rPr>
          <w:rFonts w:ascii="ITC Avant Garde" w:hAnsi="ITC Avant Garde"/>
          <w:bCs/>
        </w:rPr>
        <w:t>el otorgamiento q</w:t>
      </w:r>
      <w:r w:rsidR="00BB4A2F">
        <w:rPr>
          <w:rFonts w:ascii="ITC Avant Garde" w:hAnsi="ITC Avant Garde"/>
          <w:bCs/>
        </w:rPr>
        <w:t>ue corresponda recaiga en CFE</w:t>
      </w:r>
      <w:r>
        <w:rPr>
          <w:rFonts w:ascii="ITC Avant Garde" w:hAnsi="ITC Avant Garde"/>
          <w:bCs/>
        </w:rPr>
        <w:t xml:space="preserve"> y se conceda la posibilidad de que</w:t>
      </w:r>
      <w:r w:rsidR="00BA79B2">
        <w:rPr>
          <w:rFonts w:ascii="ITC Avant Garde" w:hAnsi="ITC Avant Garde"/>
          <w:bCs/>
        </w:rPr>
        <w:t xml:space="preserve"> CFE Distribución provea</w:t>
      </w:r>
      <w:r>
        <w:rPr>
          <w:rFonts w:ascii="ITC Avant Garde" w:hAnsi="ITC Avant Garde"/>
          <w:bCs/>
        </w:rPr>
        <w:t xml:space="preserve"> servicios de telecomunicaciones, al amparo de las concesiones </w:t>
      </w:r>
      <w:r w:rsidR="00BB4A2F">
        <w:rPr>
          <w:rFonts w:ascii="ITC Avant Garde" w:hAnsi="ITC Avant Garde"/>
          <w:bCs/>
        </w:rPr>
        <w:t>que en su caso se otorguen a dicha empresa productiva del Estado.</w:t>
      </w:r>
    </w:p>
    <w:p w14:paraId="106799E1" w14:textId="0A528764" w:rsidR="00381B72" w:rsidRDefault="00630039" w:rsidP="00381B72">
      <w:pPr>
        <w:autoSpaceDE w:val="0"/>
        <w:autoSpaceDN w:val="0"/>
        <w:adjustRightInd w:val="0"/>
        <w:spacing w:afterLines="120" w:after="288" w:line="240" w:lineRule="auto"/>
        <w:jc w:val="both"/>
        <w:rPr>
          <w:rFonts w:ascii="ITC Avant Garde" w:hAnsi="ITC Avant Garde"/>
          <w:bCs/>
        </w:rPr>
      </w:pPr>
      <w:r>
        <w:rPr>
          <w:rFonts w:ascii="ITC Avant Garde" w:hAnsi="ITC Avant Garde" w:cs="Arial"/>
          <w:b/>
        </w:rPr>
        <w:t xml:space="preserve">Quinto.- </w:t>
      </w:r>
      <w:r w:rsidR="009C5E9C" w:rsidRPr="008218B4">
        <w:rPr>
          <w:rFonts w:ascii="ITC Avant Garde" w:hAnsi="ITC Avant Garde" w:cs="Arial"/>
          <w:b/>
        </w:rPr>
        <w:t xml:space="preserve">Análisis de la Solicitud. </w:t>
      </w:r>
      <w:r w:rsidR="009C5E9C" w:rsidRPr="008218B4">
        <w:rPr>
          <w:rFonts w:ascii="ITC Avant Garde" w:hAnsi="ITC Avant Garde" w:cs="Arial"/>
        </w:rPr>
        <w:t>Con respecto a los requisitos aplicables señalados por el artículo 3 de los Lineamientos, la Unidad de Concesiones y Servicios, a través de la Dirección General de Concesiones de Telecomunicaciones, revisó y evaluó la Solicitud, observando que contiene los siguientes elementos:</w:t>
      </w:r>
    </w:p>
    <w:p w14:paraId="640BC50C" w14:textId="77777777" w:rsidR="00381B72" w:rsidRDefault="009C5E9C" w:rsidP="00381B72">
      <w:pPr>
        <w:pStyle w:val="Prrafodelista"/>
        <w:numPr>
          <w:ilvl w:val="0"/>
          <w:numId w:val="27"/>
        </w:numPr>
        <w:spacing w:afterLines="120" w:after="288"/>
        <w:ind w:left="567" w:hanging="283"/>
        <w:jc w:val="both"/>
        <w:rPr>
          <w:rFonts w:ascii="ITC Avant Garde" w:hAnsi="ITC Avant Garde" w:cs="Arial"/>
          <w:b/>
          <w:sz w:val="22"/>
          <w:szCs w:val="22"/>
        </w:rPr>
      </w:pPr>
      <w:r w:rsidRPr="008218B4">
        <w:rPr>
          <w:rFonts w:ascii="ITC Avant Garde" w:hAnsi="ITC Avant Garde" w:cs="Arial"/>
          <w:b/>
          <w:sz w:val="22"/>
          <w:szCs w:val="22"/>
        </w:rPr>
        <w:t xml:space="preserve">Datos Generales del Interesado. </w:t>
      </w:r>
    </w:p>
    <w:p w14:paraId="55C1E54D" w14:textId="77777777" w:rsidR="00381B72" w:rsidRDefault="009C5E9C" w:rsidP="00381B72">
      <w:pPr>
        <w:pStyle w:val="Prrafodelista"/>
        <w:numPr>
          <w:ilvl w:val="0"/>
          <w:numId w:val="30"/>
        </w:numPr>
        <w:spacing w:afterLines="120" w:after="288"/>
        <w:ind w:left="1134" w:hanging="283"/>
        <w:jc w:val="both"/>
        <w:rPr>
          <w:rFonts w:ascii="ITC Avant Garde" w:hAnsi="ITC Avant Garde" w:cs="Arial"/>
          <w:b/>
          <w:sz w:val="22"/>
          <w:szCs w:val="22"/>
        </w:rPr>
      </w:pPr>
      <w:r w:rsidRPr="008218B4">
        <w:rPr>
          <w:rFonts w:ascii="ITC Avant Garde" w:hAnsi="ITC Avant Garde" w:cs="Arial"/>
          <w:sz w:val="22"/>
          <w:szCs w:val="22"/>
        </w:rPr>
        <w:t xml:space="preserve">La Solicitud se presentó por </w:t>
      </w:r>
      <w:r w:rsidR="00865DDC" w:rsidRPr="008218B4">
        <w:rPr>
          <w:rFonts w:ascii="ITC Avant Garde" w:hAnsi="ITC Avant Garde" w:cs="Arial"/>
          <w:sz w:val="22"/>
          <w:szCs w:val="22"/>
        </w:rPr>
        <w:t xml:space="preserve">el apoderado legal de </w:t>
      </w:r>
      <w:r w:rsidR="002863C0" w:rsidRPr="008218B4">
        <w:rPr>
          <w:rFonts w:ascii="ITC Avant Garde" w:hAnsi="ITC Avant Garde"/>
          <w:bCs/>
          <w:color w:val="000000"/>
          <w:sz w:val="22"/>
          <w:szCs w:val="22"/>
          <w:lang w:eastAsia="es-MX"/>
        </w:rPr>
        <w:t>CFE.</w:t>
      </w:r>
    </w:p>
    <w:p w14:paraId="68A2FA40" w14:textId="77777777" w:rsidR="00381B72" w:rsidRDefault="00643F51" w:rsidP="00381B72">
      <w:pPr>
        <w:pStyle w:val="Prrafodelista"/>
        <w:numPr>
          <w:ilvl w:val="0"/>
          <w:numId w:val="30"/>
        </w:numPr>
        <w:spacing w:afterLines="120" w:after="288"/>
        <w:ind w:left="1134" w:hanging="283"/>
        <w:jc w:val="both"/>
        <w:rPr>
          <w:rFonts w:ascii="ITC Avant Garde" w:hAnsi="ITC Avant Garde" w:cs="Arial"/>
          <w:b/>
          <w:sz w:val="22"/>
          <w:szCs w:val="22"/>
        </w:rPr>
      </w:pPr>
      <w:r w:rsidRPr="008218B4">
        <w:rPr>
          <w:rFonts w:ascii="ITC Avant Garde" w:hAnsi="ITC Avant Garde" w:cs="Arial"/>
          <w:sz w:val="22"/>
          <w:szCs w:val="22"/>
        </w:rPr>
        <w:t xml:space="preserve">CFE </w:t>
      </w:r>
      <w:r w:rsidR="009C5E9C" w:rsidRPr="008218B4">
        <w:rPr>
          <w:rFonts w:ascii="ITC Avant Garde" w:hAnsi="ITC Avant Garde"/>
          <w:bCs/>
          <w:color w:val="000000"/>
          <w:sz w:val="22"/>
          <w:szCs w:val="22"/>
        </w:rPr>
        <w:t xml:space="preserve">señaló como domicilio para oír y recibir todo tipo de notificaciones y documentos el ubicado en: </w:t>
      </w:r>
      <w:r w:rsidR="00DC73AF" w:rsidRPr="008218B4">
        <w:rPr>
          <w:rFonts w:ascii="ITC Avant Garde" w:hAnsi="ITC Avant Garde"/>
          <w:bCs/>
          <w:color w:val="000000"/>
          <w:sz w:val="22"/>
          <w:szCs w:val="22"/>
        </w:rPr>
        <w:t>Don Manuelito No. 32, Colonia Olivar de los Padres, C.P. 01780,</w:t>
      </w:r>
      <w:r w:rsidR="009C5E9C" w:rsidRPr="008218B4">
        <w:rPr>
          <w:rFonts w:ascii="ITC Avant Garde" w:hAnsi="ITC Avant Garde"/>
          <w:bCs/>
          <w:color w:val="000000"/>
          <w:sz w:val="22"/>
          <w:szCs w:val="22"/>
        </w:rPr>
        <w:t xml:space="preserve"> </w:t>
      </w:r>
      <w:r w:rsidRPr="008218B4">
        <w:rPr>
          <w:rFonts w:ascii="ITC Avant Garde" w:hAnsi="ITC Avant Garde"/>
          <w:bCs/>
          <w:color w:val="000000"/>
          <w:sz w:val="22"/>
          <w:szCs w:val="22"/>
        </w:rPr>
        <w:t>Ciudad de México</w:t>
      </w:r>
      <w:r w:rsidR="009C5E9C" w:rsidRPr="008218B4">
        <w:rPr>
          <w:rFonts w:ascii="ITC Avant Garde" w:hAnsi="ITC Avant Garde"/>
          <w:bCs/>
          <w:color w:val="000000"/>
          <w:sz w:val="22"/>
          <w:szCs w:val="22"/>
        </w:rPr>
        <w:t>.</w:t>
      </w:r>
    </w:p>
    <w:p w14:paraId="48998E9D" w14:textId="77777777" w:rsidR="00381B72" w:rsidRDefault="009C5E9C" w:rsidP="00381B72">
      <w:pPr>
        <w:pStyle w:val="Prrafodelista"/>
        <w:numPr>
          <w:ilvl w:val="0"/>
          <w:numId w:val="27"/>
        </w:numPr>
        <w:tabs>
          <w:tab w:val="left" w:pos="9356"/>
        </w:tabs>
        <w:spacing w:afterLines="120" w:after="288"/>
        <w:ind w:left="567" w:hanging="283"/>
        <w:jc w:val="both"/>
        <w:rPr>
          <w:rFonts w:ascii="ITC Avant Garde" w:hAnsi="ITC Avant Garde" w:cs="Arial"/>
          <w:sz w:val="22"/>
          <w:szCs w:val="22"/>
        </w:rPr>
      </w:pPr>
      <w:r w:rsidRPr="008218B4">
        <w:rPr>
          <w:rFonts w:ascii="ITC Avant Garde" w:hAnsi="ITC Avant Garde" w:cs="Arial"/>
          <w:b/>
          <w:sz w:val="22"/>
          <w:szCs w:val="22"/>
        </w:rPr>
        <w:t>Modalidad de Uso:</w:t>
      </w:r>
      <w:r w:rsidRPr="008218B4">
        <w:rPr>
          <w:rFonts w:ascii="ITC Avant Garde" w:hAnsi="ITC Avant Garde" w:cs="Arial"/>
          <w:sz w:val="22"/>
          <w:szCs w:val="22"/>
        </w:rPr>
        <w:t xml:space="preserve"> </w:t>
      </w:r>
      <w:r w:rsidR="007D39D0">
        <w:rPr>
          <w:rFonts w:ascii="ITC Avant Garde" w:hAnsi="ITC Avant Garde" w:cs="Arial"/>
          <w:sz w:val="22"/>
          <w:szCs w:val="22"/>
        </w:rPr>
        <w:t xml:space="preserve">El solicitante señaló que requería de una </w:t>
      </w:r>
      <w:r w:rsidRPr="008218B4">
        <w:rPr>
          <w:rFonts w:ascii="ITC Avant Garde" w:hAnsi="ITC Avant Garde" w:cs="Arial"/>
          <w:sz w:val="22"/>
          <w:szCs w:val="22"/>
        </w:rPr>
        <w:t xml:space="preserve">Concesión de Espectro Radioeléctrico para uso público. </w:t>
      </w:r>
    </w:p>
    <w:p w14:paraId="2C2E9684" w14:textId="77777777" w:rsidR="00381B72" w:rsidRDefault="009C5E9C" w:rsidP="00381B72">
      <w:pPr>
        <w:pStyle w:val="Prrafodelista"/>
        <w:numPr>
          <w:ilvl w:val="0"/>
          <w:numId w:val="27"/>
        </w:numPr>
        <w:tabs>
          <w:tab w:val="left" w:pos="9356"/>
        </w:tabs>
        <w:spacing w:afterLines="120" w:after="288"/>
        <w:ind w:left="567" w:hanging="283"/>
        <w:rPr>
          <w:rFonts w:ascii="ITC Avant Garde" w:hAnsi="ITC Avant Garde" w:cs="Arial"/>
          <w:sz w:val="22"/>
          <w:szCs w:val="22"/>
        </w:rPr>
      </w:pPr>
      <w:r w:rsidRPr="008218B4">
        <w:rPr>
          <w:rFonts w:ascii="ITC Avant Garde" w:hAnsi="ITC Avant Garde" w:cs="Arial"/>
          <w:b/>
          <w:sz w:val="22"/>
          <w:szCs w:val="22"/>
        </w:rPr>
        <w:t>Características Generales del Proyecto:</w:t>
      </w:r>
    </w:p>
    <w:p w14:paraId="4C350C51" w14:textId="77777777" w:rsidR="00381B72" w:rsidRDefault="009C5E9C" w:rsidP="00381B72">
      <w:pPr>
        <w:pStyle w:val="Prrafodelista"/>
        <w:numPr>
          <w:ilvl w:val="0"/>
          <w:numId w:val="28"/>
        </w:numPr>
        <w:spacing w:afterLines="120" w:after="288"/>
        <w:ind w:left="1134" w:hanging="283"/>
        <w:jc w:val="both"/>
        <w:rPr>
          <w:rFonts w:ascii="ITC Avant Garde" w:hAnsi="ITC Avant Garde" w:cs="Arial"/>
          <w:sz w:val="22"/>
          <w:szCs w:val="22"/>
        </w:rPr>
      </w:pPr>
      <w:r w:rsidRPr="008218B4">
        <w:rPr>
          <w:rFonts w:ascii="ITC Avant Garde" w:hAnsi="ITC Avant Garde" w:cs="Arial"/>
          <w:sz w:val="22"/>
          <w:szCs w:val="22"/>
        </w:rPr>
        <w:t>Descripción del Proyecto.</w:t>
      </w:r>
      <w:r w:rsidR="00932B10" w:rsidRPr="008218B4">
        <w:rPr>
          <w:rFonts w:ascii="ITC Avant Garde" w:hAnsi="ITC Avant Garde" w:cs="Arial"/>
          <w:sz w:val="22"/>
          <w:szCs w:val="22"/>
        </w:rPr>
        <w:t xml:space="preserve"> En la Solicitud se señaló</w:t>
      </w:r>
      <w:r w:rsidRPr="008218B4">
        <w:rPr>
          <w:rFonts w:ascii="ITC Avant Garde" w:hAnsi="ITC Avant Garde" w:cs="Arial"/>
          <w:sz w:val="22"/>
          <w:szCs w:val="22"/>
        </w:rPr>
        <w:t xml:space="preserve"> que el proyecto consiste </w:t>
      </w:r>
      <w:r w:rsidR="00860147" w:rsidRPr="008218B4">
        <w:rPr>
          <w:rFonts w:ascii="ITC Avant Garde" w:hAnsi="ITC Avant Garde" w:cs="Arial"/>
          <w:sz w:val="22"/>
          <w:szCs w:val="22"/>
        </w:rPr>
        <w:t>en proporcionar el servicio de radiocomunica</w:t>
      </w:r>
      <w:r w:rsidR="00B748CD" w:rsidRPr="008218B4">
        <w:rPr>
          <w:rFonts w:ascii="ITC Avant Garde" w:hAnsi="ITC Avant Garde" w:cs="Arial"/>
          <w:sz w:val="22"/>
          <w:szCs w:val="22"/>
        </w:rPr>
        <w:t>ción</w:t>
      </w:r>
      <w:r w:rsidR="00187901">
        <w:rPr>
          <w:rFonts w:ascii="ITC Avant Garde" w:hAnsi="ITC Avant Garde" w:cs="Arial"/>
          <w:sz w:val="22"/>
          <w:szCs w:val="22"/>
        </w:rPr>
        <w:t xml:space="preserve"> troncalizado</w:t>
      </w:r>
      <w:r w:rsidR="007D39D0">
        <w:rPr>
          <w:rFonts w:ascii="ITC Avant Garde" w:hAnsi="ITC Avant Garde" w:cs="Arial"/>
          <w:sz w:val="22"/>
          <w:szCs w:val="22"/>
        </w:rPr>
        <w:t>,</w:t>
      </w:r>
      <w:r w:rsidR="00932B10" w:rsidRPr="008218B4">
        <w:rPr>
          <w:rFonts w:ascii="ITC Avant Garde" w:hAnsi="ITC Avant Garde" w:cs="Arial"/>
          <w:sz w:val="22"/>
          <w:szCs w:val="22"/>
        </w:rPr>
        <w:t xml:space="preserve"> mediante un sistema que</w:t>
      </w:r>
      <w:r w:rsidR="00B17E74" w:rsidRPr="008218B4">
        <w:rPr>
          <w:rFonts w:ascii="ITC Avant Garde" w:hAnsi="ITC Avant Garde" w:cs="Arial"/>
          <w:sz w:val="22"/>
          <w:szCs w:val="22"/>
        </w:rPr>
        <w:t xml:space="preserve"> operará en la ba</w:t>
      </w:r>
      <w:r w:rsidR="00932B10" w:rsidRPr="008218B4">
        <w:rPr>
          <w:rFonts w:ascii="ITC Avant Garde" w:hAnsi="ITC Avant Garde" w:cs="Arial"/>
          <w:sz w:val="22"/>
          <w:szCs w:val="22"/>
        </w:rPr>
        <w:t>nda de 806-814/851-859 MHz</w:t>
      </w:r>
      <w:r w:rsidR="007D39D0">
        <w:rPr>
          <w:rFonts w:ascii="ITC Avant Garde" w:hAnsi="ITC Avant Garde" w:cs="Arial"/>
          <w:sz w:val="22"/>
          <w:szCs w:val="22"/>
        </w:rPr>
        <w:t>,</w:t>
      </w:r>
      <w:r w:rsidR="00B17E74" w:rsidRPr="008218B4">
        <w:rPr>
          <w:rFonts w:ascii="ITC Avant Garde" w:hAnsi="ITC Avant Garde" w:cs="Arial"/>
          <w:sz w:val="22"/>
          <w:szCs w:val="22"/>
        </w:rPr>
        <w:t xml:space="preserve"> </w:t>
      </w:r>
      <w:r w:rsidR="00932B10" w:rsidRPr="008218B4">
        <w:rPr>
          <w:rFonts w:ascii="ITC Avant Garde" w:hAnsi="ITC Avant Garde" w:cs="Arial"/>
          <w:sz w:val="22"/>
          <w:szCs w:val="22"/>
        </w:rPr>
        <w:t xml:space="preserve">para la transmisión de voz y datos. </w:t>
      </w:r>
      <w:r w:rsidR="00187901">
        <w:rPr>
          <w:rFonts w:ascii="ITC Avant Garde" w:hAnsi="ITC Avant Garde" w:cs="Arial"/>
          <w:sz w:val="22"/>
          <w:szCs w:val="22"/>
        </w:rPr>
        <w:t xml:space="preserve">El proyecto se compone principalmente, </w:t>
      </w:r>
      <w:r w:rsidR="00B17E74" w:rsidRPr="008218B4">
        <w:rPr>
          <w:rFonts w:ascii="ITC Avant Garde" w:hAnsi="ITC Avant Garde" w:cs="Arial"/>
          <w:sz w:val="22"/>
          <w:szCs w:val="22"/>
        </w:rPr>
        <w:t xml:space="preserve">por 51 sistemas de repetidores que cubren </w:t>
      </w:r>
      <w:r w:rsidR="00187901">
        <w:rPr>
          <w:rFonts w:ascii="ITC Avant Garde" w:hAnsi="ITC Avant Garde" w:cs="Arial"/>
          <w:sz w:val="22"/>
          <w:szCs w:val="22"/>
        </w:rPr>
        <w:t>las siguientes divisiones de la CFE:</w:t>
      </w:r>
      <w:r w:rsidR="00B17E74" w:rsidRPr="008218B4">
        <w:rPr>
          <w:rFonts w:ascii="ITC Avant Garde" w:hAnsi="ITC Avant Garde" w:cs="Arial"/>
          <w:sz w:val="22"/>
          <w:szCs w:val="22"/>
        </w:rPr>
        <w:t xml:space="preserve"> Valle de México Norte, Valle de México </w:t>
      </w:r>
      <w:r w:rsidR="00187901">
        <w:rPr>
          <w:rFonts w:ascii="ITC Avant Garde" w:hAnsi="ITC Avant Garde" w:cs="Arial"/>
          <w:sz w:val="22"/>
          <w:szCs w:val="22"/>
        </w:rPr>
        <w:t>C</w:t>
      </w:r>
      <w:r w:rsidR="00B17E74" w:rsidRPr="008218B4">
        <w:rPr>
          <w:rFonts w:ascii="ITC Avant Garde" w:hAnsi="ITC Avant Garde" w:cs="Arial"/>
          <w:sz w:val="22"/>
          <w:szCs w:val="22"/>
        </w:rPr>
        <w:t>entro, Valle de México Sur y Centro Oriente. La administración de la información será analizada, revisada y distribuida en las oficinas del Centro de Control y Distribución Valle de México Centro</w:t>
      </w:r>
      <w:r w:rsidR="00187901">
        <w:rPr>
          <w:rFonts w:ascii="ITC Avant Garde" w:hAnsi="ITC Avant Garde" w:cs="Arial"/>
          <w:sz w:val="22"/>
          <w:szCs w:val="22"/>
        </w:rPr>
        <w:t>.</w:t>
      </w:r>
    </w:p>
    <w:p w14:paraId="28E4EF90" w14:textId="125118E7" w:rsidR="009C5E9C" w:rsidRPr="008B56CB" w:rsidRDefault="009C5E9C" w:rsidP="00381B72">
      <w:pPr>
        <w:pStyle w:val="Prrafodelista"/>
        <w:numPr>
          <w:ilvl w:val="0"/>
          <w:numId w:val="28"/>
        </w:numPr>
        <w:spacing w:afterLines="120" w:after="288"/>
        <w:ind w:left="1134" w:hanging="283"/>
        <w:jc w:val="both"/>
        <w:rPr>
          <w:rFonts w:ascii="ITC Avant Garde" w:hAnsi="ITC Avant Garde" w:cs="Arial"/>
          <w:sz w:val="22"/>
          <w:szCs w:val="22"/>
        </w:rPr>
      </w:pPr>
      <w:r w:rsidRPr="00E62DDE">
        <w:rPr>
          <w:rFonts w:ascii="ITC Avant Garde" w:hAnsi="ITC Avant Garde" w:cs="Arial"/>
          <w:sz w:val="22"/>
          <w:szCs w:val="22"/>
        </w:rPr>
        <w:t>Justificación del proyecto.</w:t>
      </w:r>
      <w:r w:rsidR="00E62DDE" w:rsidRPr="00E62DDE">
        <w:rPr>
          <w:rFonts w:ascii="ITC Avant Garde" w:hAnsi="ITC Avant Garde" w:cs="Arial"/>
          <w:sz w:val="22"/>
          <w:szCs w:val="22"/>
        </w:rPr>
        <w:t xml:space="preserve"> El funcionamiento del servicio de radiocomunicación troncalizado es una herramienta necesaria para garantizar el abasto del suministro eléctrico, al reducir los tiempo</w:t>
      </w:r>
      <w:r w:rsidR="00AE05F5">
        <w:rPr>
          <w:rFonts w:ascii="ITC Avant Garde" w:hAnsi="ITC Avant Garde" w:cs="Arial"/>
          <w:sz w:val="22"/>
          <w:szCs w:val="22"/>
        </w:rPr>
        <w:t>s</w:t>
      </w:r>
      <w:r w:rsidR="00E62DDE" w:rsidRPr="00E62DDE">
        <w:rPr>
          <w:rFonts w:ascii="ITC Avant Garde" w:hAnsi="ITC Avant Garde" w:cs="Arial"/>
          <w:sz w:val="22"/>
          <w:szCs w:val="22"/>
        </w:rPr>
        <w:t xml:space="preserve"> de atención a fallas de la red eléctrica y, además, permite agilizar el mantenimiento preventivo y correctivo de la red general de distribución de la CFE.</w:t>
      </w:r>
    </w:p>
    <w:p w14:paraId="1B7D9FEA" w14:textId="77777777" w:rsidR="00381B72" w:rsidRDefault="009C5E9C" w:rsidP="00381B72">
      <w:pPr>
        <w:pStyle w:val="Prrafodelista"/>
        <w:numPr>
          <w:ilvl w:val="0"/>
          <w:numId w:val="27"/>
        </w:numPr>
        <w:spacing w:afterLines="120" w:after="288"/>
        <w:ind w:left="567" w:hanging="283"/>
        <w:rPr>
          <w:rFonts w:ascii="ITC Avant Garde" w:hAnsi="ITC Avant Garde" w:cs="Arial"/>
          <w:b/>
          <w:sz w:val="22"/>
          <w:szCs w:val="22"/>
        </w:rPr>
      </w:pPr>
      <w:r w:rsidRPr="008218B4">
        <w:rPr>
          <w:rFonts w:ascii="ITC Avant Garde" w:hAnsi="ITC Avant Garde" w:cs="Arial"/>
          <w:b/>
          <w:sz w:val="22"/>
          <w:szCs w:val="22"/>
        </w:rPr>
        <w:t xml:space="preserve">Capacidad Técnica, Económica, Jurídica y Administrativa </w:t>
      </w:r>
    </w:p>
    <w:p w14:paraId="08096C8D" w14:textId="77777777" w:rsidR="00381B72" w:rsidRDefault="00AC5DC5" w:rsidP="00381B72">
      <w:pPr>
        <w:pStyle w:val="Prrafodelista"/>
        <w:numPr>
          <w:ilvl w:val="0"/>
          <w:numId w:val="29"/>
        </w:numPr>
        <w:spacing w:afterLines="120" w:after="288"/>
        <w:ind w:left="1134" w:hanging="283"/>
        <w:jc w:val="both"/>
        <w:rPr>
          <w:rFonts w:ascii="ITC Avant Garde" w:hAnsi="ITC Avant Garde" w:cs="Arial"/>
          <w:sz w:val="22"/>
          <w:szCs w:val="22"/>
        </w:rPr>
      </w:pPr>
      <w:r w:rsidRPr="008218B4">
        <w:rPr>
          <w:rFonts w:ascii="ITC Avant Garde" w:hAnsi="ITC Avant Garde" w:cs="Arial"/>
          <w:sz w:val="22"/>
          <w:szCs w:val="22"/>
        </w:rPr>
        <w:t>C</w:t>
      </w:r>
      <w:r w:rsidR="009C5E9C" w:rsidRPr="008218B4">
        <w:rPr>
          <w:rFonts w:ascii="ITC Avant Garde" w:hAnsi="ITC Avant Garde" w:cs="Arial"/>
          <w:sz w:val="22"/>
          <w:szCs w:val="22"/>
        </w:rPr>
        <w:t>apacidad técnica y administrativa</w:t>
      </w:r>
      <w:r w:rsidRPr="008218B4">
        <w:rPr>
          <w:rFonts w:ascii="ITC Avant Garde" w:hAnsi="ITC Avant Garde" w:cs="Arial"/>
          <w:sz w:val="22"/>
          <w:szCs w:val="22"/>
        </w:rPr>
        <w:t>.</w:t>
      </w:r>
      <w:r w:rsidR="009C5E9C" w:rsidRPr="008218B4">
        <w:rPr>
          <w:rFonts w:ascii="ITC Avant Garde" w:hAnsi="ITC Avant Garde" w:cs="Arial"/>
          <w:sz w:val="22"/>
          <w:szCs w:val="22"/>
        </w:rPr>
        <w:t xml:space="preserve"> </w:t>
      </w:r>
      <w:r w:rsidR="0032535C" w:rsidRPr="008218B4">
        <w:rPr>
          <w:rFonts w:ascii="ITC Avant Garde" w:hAnsi="ITC Avant Garde" w:cs="Arial"/>
          <w:sz w:val="22"/>
          <w:szCs w:val="22"/>
        </w:rPr>
        <w:t xml:space="preserve">CFE manifestó que </w:t>
      </w:r>
      <w:r w:rsidR="00FF22A3">
        <w:rPr>
          <w:rFonts w:ascii="ITC Avant Garde" w:hAnsi="ITC Avant Garde" w:cs="Arial"/>
          <w:sz w:val="22"/>
          <w:szCs w:val="22"/>
        </w:rPr>
        <w:t>las frecuencias que en su caso se asignen, serían utilizadas para garantizar la operación y seguridad del servicio público de distribuc</w:t>
      </w:r>
      <w:r w:rsidR="00602181">
        <w:rPr>
          <w:rFonts w:ascii="ITC Avant Garde" w:hAnsi="ITC Avant Garde" w:cs="Arial"/>
          <w:sz w:val="22"/>
          <w:szCs w:val="22"/>
        </w:rPr>
        <w:t>ión de energía eléctrica en la D</w:t>
      </w:r>
      <w:r w:rsidR="00FF22A3">
        <w:rPr>
          <w:rFonts w:ascii="ITC Avant Garde" w:hAnsi="ITC Avant Garde" w:cs="Arial"/>
          <w:sz w:val="22"/>
          <w:szCs w:val="22"/>
        </w:rPr>
        <w:t>ivisión Valle de M</w:t>
      </w:r>
      <w:r w:rsidR="002B6C75">
        <w:rPr>
          <w:rFonts w:ascii="ITC Avant Garde" w:hAnsi="ITC Avant Garde" w:cs="Arial"/>
          <w:sz w:val="22"/>
          <w:szCs w:val="22"/>
        </w:rPr>
        <w:t>éxico</w:t>
      </w:r>
      <w:r w:rsidR="00602181">
        <w:rPr>
          <w:rFonts w:ascii="ITC Avant Garde" w:hAnsi="ITC Avant Garde" w:cs="Arial"/>
          <w:sz w:val="22"/>
          <w:szCs w:val="22"/>
        </w:rPr>
        <w:t xml:space="preserve">. En ese sentido, la </w:t>
      </w:r>
      <w:r w:rsidR="002B6C75">
        <w:rPr>
          <w:rFonts w:ascii="ITC Avant Garde" w:hAnsi="ITC Avant Garde" w:cs="Arial"/>
          <w:sz w:val="22"/>
          <w:szCs w:val="22"/>
          <w:lang w:val="es-MX"/>
        </w:rPr>
        <w:t xml:space="preserve">Empresa </w:t>
      </w:r>
      <w:r w:rsidR="002B6C75" w:rsidRPr="008218B4">
        <w:rPr>
          <w:rFonts w:ascii="ITC Avant Garde" w:hAnsi="ITC Avant Garde" w:cs="Arial"/>
          <w:sz w:val="22"/>
          <w:szCs w:val="22"/>
          <w:lang w:val="es-MX"/>
        </w:rPr>
        <w:t xml:space="preserve">Productiva Subsidiaria </w:t>
      </w:r>
      <w:r w:rsidR="002B6C75" w:rsidRPr="008218B4">
        <w:rPr>
          <w:rFonts w:ascii="ITC Avant Garde" w:hAnsi="ITC Avant Garde" w:cs="Arial"/>
          <w:sz w:val="22"/>
          <w:szCs w:val="22"/>
          <w:lang w:val="es-MX"/>
        </w:rPr>
        <w:lastRenderedPageBreak/>
        <w:t>(“EPS”)</w:t>
      </w:r>
      <w:r w:rsidR="00FF22A3">
        <w:rPr>
          <w:rFonts w:ascii="ITC Avant Garde" w:hAnsi="ITC Avant Garde" w:cs="Arial"/>
          <w:sz w:val="22"/>
          <w:szCs w:val="22"/>
        </w:rPr>
        <w:t xml:space="preserve"> </w:t>
      </w:r>
      <w:r w:rsidR="00602181">
        <w:rPr>
          <w:rFonts w:ascii="ITC Avant Garde" w:hAnsi="ITC Avant Garde" w:cs="Arial"/>
          <w:sz w:val="22"/>
          <w:szCs w:val="22"/>
        </w:rPr>
        <w:t xml:space="preserve">CFE Distribución </w:t>
      </w:r>
      <w:r w:rsidR="0032535C" w:rsidRPr="008218B4">
        <w:rPr>
          <w:rFonts w:ascii="ITC Avant Garde" w:hAnsi="ITC Avant Garde" w:cs="Arial"/>
          <w:sz w:val="22"/>
          <w:szCs w:val="22"/>
        </w:rPr>
        <w:t xml:space="preserve">sería </w:t>
      </w:r>
      <w:r w:rsidR="00602181">
        <w:rPr>
          <w:rFonts w:ascii="ITC Avant Garde" w:hAnsi="ITC Avant Garde" w:cs="Arial"/>
          <w:sz w:val="22"/>
          <w:szCs w:val="22"/>
        </w:rPr>
        <w:t>la entidad que</w:t>
      </w:r>
      <w:r w:rsidR="0032535C" w:rsidRPr="008218B4">
        <w:rPr>
          <w:rFonts w:ascii="ITC Avant Garde" w:hAnsi="ITC Avant Garde" w:cs="Arial"/>
          <w:sz w:val="22"/>
          <w:szCs w:val="22"/>
        </w:rPr>
        <w:t xml:space="preserve"> operaría</w:t>
      </w:r>
      <w:r w:rsidR="00FF22A3">
        <w:rPr>
          <w:rFonts w:ascii="ITC Avant Garde" w:hAnsi="ITC Avant Garde" w:cs="Arial"/>
          <w:sz w:val="22"/>
          <w:szCs w:val="22"/>
        </w:rPr>
        <w:t xml:space="preserve"> el sistema </w:t>
      </w:r>
      <w:r w:rsidR="00602181">
        <w:rPr>
          <w:rFonts w:ascii="ITC Avant Garde" w:hAnsi="ITC Avant Garde" w:cs="Arial"/>
          <w:sz w:val="22"/>
          <w:szCs w:val="22"/>
        </w:rPr>
        <w:t>de telecomunicaciones objeto de la Solicitud</w:t>
      </w:r>
      <w:r w:rsidR="0032535C" w:rsidRPr="008218B4">
        <w:rPr>
          <w:rFonts w:ascii="ITC Avant Garde" w:hAnsi="ITC Avant Garde" w:cs="Arial"/>
          <w:sz w:val="22"/>
          <w:szCs w:val="22"/>
        </w:rPr>
        <w:t xml:space="preserve">. </w:t>
      </w:r>
    </w:p>
    <w:p w14:paraId="52454922" w14:textId="77777777" w:rsidR="00381B72" w:rsidRDefault="000C7198" w:rsidP="00381B72">
      <w:pPr>
        <w:pStyle w:val="Prrafodelista"/>
        <w:spacing w:afterLines="120" w:after="288"/>
        <w:ind w:left="1134"/>
        <w:jc w:val="both"/>
        <w:rPr>
          <w:rFonts w:ascii="ITC Avant Garde" w:hAnsi="ITC Avant Garde" w:cs="Arial"/>
          <w:sz w:val="22"/>
          <w:szCs w:val="22"/>
          <w:lang w:val="es-MX"/>
        </w:rPr>
      </w:pPr>
      <w:r>
        <w:rPr>
          <w:rFonts w:ascii="ITC Avant Garde" w:hAnsi="ITC Avant Garde" w:cs="Arial"/>
          <w:sz w:val="22"/>
          <w:szCs w:val="22"/>
          <w:lang w:val="es-MX"/>
        </w:rPr>
        <w:t>E</w:t>
      </w:r>
      <w:r w:rsidR="00946759" w:rsidRPr="008218B4">
        <w:rPr>
          <w:rFonts w:ascii="ITC Avant Garde" w:hAnsi="ITC Avant Garde" w:cs="Arial"/>
          <w:sz w:val="22"/>
          <w:szCs w:val="22"/>
          <w:lang w:val="es-MX"/>
        </w:rPr>
        <w:t xml:space="preserve">l artículo 23 </w:t>
      </w:r>
      <w:r w:rsidR="00AC0615" w:rsidRPr="008218B4">
        <w:rPr>
          <w:rFonts w:ascii="ITC Avant Garde" w:hAnsi="ITC Avant Garde" w:cs="Arial"/>
          <w:sz w:val="22"/>
          <w:szCs w:val="22"/>
          <w:lang w:val="es-MX"/>
        </w:rPr>
        <w:t xml:space="preserve">fracciones XIV y XV </w:t>
      </w:r>
      <w:r w:rsidR="00946759" w:rsidRPr="008218B4">
        <w:rPr>
          <w:rFonts w:ascii="ITC Avant Garde" w:hAnsi="ITC Avant Garde" w:cs="Arial"/>
          <w:sz w:val="22"/>
          <w:szCs w:val="22"/>
          <w:lang w:val="es-MX"/>
        </w:rPr>
        <w:t>del “</w:t>
      </w:r>
      <w:r w:rsidR="00946759" w:rsidRPr="008218B4">
        <w:rPr>
          <w:rFonts w:ascii="ITC Avant Garde" w:hAnsi="ITC Avant Garde" w:cs="Arial"/>
          <w:i/>
          <w:sz w:val="22"/>
          <w:szCs w:val="22"/>
          <w:lang w:val="es-MX"/>
        </w:rPr>
        <w:t>Estatuto Orgánico de CFE Distribución”</w:t>
      </w:r>
      <w:r w:rsidR="00946759" w:rsidRPr="008218B4">
        <w:rPr>
          <w:rFonts w:ascii="ITC Avant Garde" w:hAnsi="ITC Avant Garde" w:cs="Arial"/>
          <w:sz w:val="22"/>
          <w:szCs w:val="22"/>
          <w:lang w:val="es-MX"/>
        </w:rPr>
        <w:t xml:space="preserve"> publicado en el Diario Oficial de la Federación el 4 de enero de 2018, la Subgerencia de Tecnologías de In</w:t>
      </w:r>
      <w:r w:rsidR="00AC0615" w:rsidRPr="008218B4">
        <w:rPr>
          <w:rFonts w:ascii="ITC Avant Garde" w:hAnsi="ITC Avant Garde" w:cs="Arial"/>
          <w:sz w:val="22"/>
          <w:szCs w:val="22"/>
          <w:lang w:val="es-MX"/>
        </w:rPr>
        <w:t>formación</w:t>
      </w:r>
      <w:r w:rsidR="00D66737">
        <w:rPr>
          <w:rFonts w:ascii="ITC Avant Garde" w:hAnsi="ITC Avant Garde" w:cs="Arial"/>
          <w:sz w:val="22"/>
          <w:szCs w:val="22"/>
          <w:lang w:val="es-MX"/>
        </w:rPr>
        <w:t xml:space="preserve"> de la CFE Distribución, </w:t>
      </w:r>
      <w:r w:rsidR="00AC0615" w:rsidRPr="008218B4">
        <w:rPr>
          <w:rFonts w:ascii="ITC Avant Garde" w:hAnsi="ITC Avant Garde" w:cs="Arial"/>
          <w:sz w:val="22"/>
          <w:szCs w:val="22"/>
          <w:lang w:val="es-MX"/>
        </w:rPr>
        <w:t xml:space="preserve">entre sus funciones </w:t>
      </w:r>
      <w:r w:rsidR="007366B3" w:rsidRPr="008218B4">
        <w:rPr>
          <w:rFonts w:ascii="ITC Avant Garde" w:hAnsi="ITC Avant Garde" w:cs="Arial"/>
          <w:sz w:val="22"/>
          <w:szCs w:val="22"/>
          <w:lang w:val="es-MX"/>
        </w:rPr>
        <w:t>tiene conferidas</w:t>
      </w:r>
      <w:r w:rsidR="00AC0615" w:rsidRPr="008218B4">
        <w:rPr>
          <w:rFonts w:ascii="ITC Avant Garde" w:hAnsi="ITC Avant Garde" w:cs="Arial"/>
          <w:sz w:val="22"/>
          <w:szCs w:val="22"/>
          <w:lang w:val="es-MX"/>
        </w:rPr>
        <w:t xml:space="preserve"> las de coordinar</w:t>
      </w:r>
      <w:r w:rsidR="00AC0615" w:rsidRPr="008218B4">
        <w:rPr>
          <w:rFonts w:ascii="ITC Avant Garde" w:hAnsi="ITC Avant Garde" w:cs="Arial"/>
          <w:sz w:val="22"/>
          <w:szCs w:val="22"/>
        </w:rPr>
        <w:t xml:space="preserve"> la instalación, operación y mantenimiento de los sistemas de comunicaciones</w:t>
      </w:r>
      <w:r w:rsidR="00D66737">
        <w:rPr>
          <w:rFonts w:ascii="ITC Avant Garde" w:hAnsi="ITC Avant Garde" w:cs="Arial"/>
          <w:sz w:val="22"/>
          <w:szCs w:val="22"/>
        </w:rPr>
        <w:t>,</w:t>
      </w:r>
      <w:r w:rsidR="00AC0615" w:rsidRPr="008218B4">
        <w:rPr>
          <w:rFonts w:ascii="ITC Avant Garde" w:hAnsi="ITC Avant Garde" w:cs="Arial"/>
          <w:sz w:val="22"/>
          <w:szCs w:val="22"/>
        </w:rPr>
        <w:t xml:space="preserve"> </w:t>
      </w:r>
      <w:r w:rsidR="006C71AC">
        <w:rPr>
          <w:rFonts w:ascii="ITC Avant Garde" w:hAnsi="ITC Avant Garde" w:cs="Arial"/>
          <w:sz w:val="22"/>
          <w:szCs w:val="22"/>
        </w:rPr>
        <w:t xml:space="preserve">así como </w:t>
      </w:r>
      <w:r w:rsidR="006C71AC" w:rsidRPr="008218B4">
        <w:rPr>
          <w:rFonts w:ascii="ITC Avant Garde" w:hAnsi="ITC Avant Garde" w:cs="Arial"/>
          <w:sz w:val="22"/>
          <w:szCs w:val="22"/>
          <w:lang w:val="es-MX"/>
        </w:rPr>
        <w:t>supervisar</w:t>
      </w:r>
      <w:r w:rsidR="00AC0615" w:rsidRPr="008218B4">
        <w:rPr>
          <w:rFonts w:ascii="ITC Avant Garde" w:hAnsi="ITC Avant Garde" w:cs="Arial"/>
          <w:sz w:val="22"/>
          <w:szCs w:val="22"/>
          <w:lang w:val="es-MX"/>
        </w:rPr>
        <w:t xml:space="preserve"> las actividades de soporte técnico y mantenimiento de componentes de servicios de tecnologías de la información y comunicaciones en el ámbito de CFE Distribu</w:t>
      </w:r>
      <w:r w:rsidR="00D66737">
        <w:rPr>
          <w:rFonts w:ascii="ITC Avant Garde" w:hAnsi="ITC Avant Garde" w:cs="Arial"/>
          <w:sz w:val="22"/>
          <w:szCs w:val="22"/>
          <w:lang w:val="es-MX"/>
        </w:rPr>
        <w:t>ción. P</w:t>
      </w:r>
      <w:r w:rsidR="000D2B06" w:rsidRPr="008218B4">
        <w:rPr>
          <w:rFonts w:ascii="ITC Avant Garde" w:hAnsi="ITC Avant Garde" w:cs="Arial"/>
          <w:sz w:val="22"/>
          <w:szCs w:val="22"/>
          <w:lang w:val="es-MX"/>
        </w:rPr>
        <w:t>or lo a</w:t>
      </w:r>
      <w:r w:rsidR="006C71AC">
        <w:rPr>
          <w:rFonts w:ascii="ITC Avant Garde" w:hAnsi="ITC Avant Garde" w:cs="Arial"/>
          <w:sz w:val="22"/>
          <w:szCs w:val="22"/>
          <w:lang w:val="es-MX"/>
        </w:rPr>
        <w:t>nterior, se tienen por acredita</w:t>
      </w:r>
      <w:r w:rsidR="000D2B06" w:rsidRPr="008218B4">
        <w:rPr>
          <w:rFonts w:ascii="ITC Avant Garde" w:hAnsi="ITC Avant Garde" w:cs="Arial"/>
          <w:sz w:val="22"/>
          <w:szCs w:val="22"/>
          <w:lang w:val="es-MX"/>
        </w:rPr>
        <w:t>das la capacidad técnica y administrativa</w:t>
      </w:r>
      <w:r w:rsidR="005209F6" w:rsidRPr="008218B4">
        <w:rPr>
          <w:rFonts w:ascii="ITC Avant Garde" w:hAnsi="ITC Avant Garde" w:cs="Arial"/>
          <w:sz w:val="22"/>
          <w:szCs w:val="22"/>
          <w:lang w:val="es-MX"/>
        </w:rPr>
        <w:t>.</w:t>
      </w:r>
    </w:p>
    <w:p w14:paraId="5096E70F" w14:textId="77777777" w:rsidR="00381B72" w:rsidRDefault="00261AE5" w:rsidP="00381B72">
      <w:pPr>
        <w:pStyle w:val="Prrafodelista"/>
        <w:numPr>
          <w:ilvl w:val="0"/>
          <w:numId w:val="29"/>
        </w:numPr>
        <w:spacing w:afterLines="120" w:after="288"/>
        <w:ind w:left="1134" w:hanging="283"/>
        <w:jc w:val="both"/>
        <w:rPr>
          <w:rFonts w:ascii="ITC Avant Garde" w:hAnsi="ITC Avant Garde" w:cs="Arial"/>
          <w:sz w:val="22"/>
          <w:szCs w:val="22"/>
        </w:rPr>
      </w:pPr>
      <w:r>
        <w:rPr>
          <w:rFonts w:ascii="ITC Avant Garde" w:hAnsi="ITC Avant Garde" w:cs="Arial"/>
          <w:sz w:val="22"/>
          <w:szCs w:val="22"/>
        </w:rPr>
        <w:t>Capacidad económica.</w:t>
      </w:r>
      <w:r w:rsidR="009E6053" w:rsidRPr="008218B4">
        <w:rPr>
          <w:rFonts w:ascii="ITC Avant Garde" w:hAnsi="ITC Avant Garde" w:cs="Arial"/>
          <w:sz w:val="22"/>
          <w:szCs w:val="22"/>
        </w:rPr>
        <w:t xml:space="preserve"> </w:t>
      </w:r>
      <w:r>
        <w:rPr>
          <w:rFonts w:ascii="ITC Avant Garde" w:hAnsi="ITC Avant Garde" w:cs="Arial"/>
          <w:sz w:val="22"/>
          <w:szCs w:val="22"/>
        </w:rPr>
        <w:t>E</w:t>
      </w:r>
      <w:r w:rsidR="00A41A2F" w:rsidRPr="008218B4">
        <w:rPr>
          <w:rFonts w:ascii="ITC Avant Garde" w:hAnsi="ITC Avant Garde" w:cs="Arial"/>
          <w:sz w:val="22"/>
          <w:szCs w:val="22"/>
        </w:rPr>
        <w:t xml:space="preserve">l 29 de noviembre de 2017 se publicó en el Diario Oficial de la Federación el </w:t>
      </w:r>
      <w:r w:rsidR="00A41A2F" w:rsidRPr="008218B4">
        <w:rPr>
          <w:rFonts w:ascii="ITC Avant Garde" w:hAnsi="ITC Avant Garde" w:cs="Arial"/>
          <w:i/>
          <w:sz w:val="22"/>
          <w:szCs w:val="22"/>
        </w:rPr>
        <w:t>“Presupuesto de Egresos de la Federación para el ejercicio fiscal 2018”</w:t>
      </w:r>
      <w:r w:rsidR="00A41A2F" w:rsidRPr="008218B4">
        <w:rPr>
          <w:rFonts w:ascii="ITC Avant Garde" w:hAnsi="ITC Avant Garde" w:cs="Arial"/>
          <w:sz w:val="22"/>
          <w:szCs w:val="22"/>
        </w:rPr>
        <w:t xml:space="preserve"> </w:t>
      </w:r>
      <w:r w:rsidR="003577DC" w:rsidRPr="008218B4">
        <w:rPr>
          <w:rFonts w:ascii="ITC Avant Garde" w:hAnsi="ITC Avant Garde" w:cs="Arial"/>
          <w:sz w:val="22"/>
          <w:szCs w:val="22"/>
        </w:rPr>
        <w:t xml:space="preserve">en el cual se establece la asignación de recursos Federales a CFE por la cantidad </w:t>
      </w:r>
      <w:r w:rsidR="00CF4814" w:rsidRPr="008218B4">
        <w:rPr>
          <w:rFonts w:ascii="ITC Avant Garde" w:hAnsi="ITC Avant Garde" w:cs="Arial"/>
          <w:sz w:val="22"/>
          <w:szCs w:val="22"/>
        </w:rPr>
        <w:t xml:space="preserve">de </w:t>
      </w:r>
      <w:r w:rsidR="007366B3" w:rsidRPr="008218B4">
        <w:rPr>
          <w:rFonts w:ascii="ITC Avant Garde" w:hAnsi="ITC Avant Garde" w:cs="Arial"/>
          <w:sz w:val="22"/>
          <w:szCs w:val="22"/>
        </w:rPr>
        <w:t>$</w:t>
      </w:r>
      <w:r w:rsidR="00A41A2F" w:rsidRPr="008218B4">
        <w:rPr>
          <w:rFonts w:ascii="ITC Avant Garde" w:hAnsi="ITC Avant Garde" w:cs="Arial"/>
          <w:sz w:val="22"/>
          <w:szCs w:val="22"/>
        </w:rPr>
        <w:t xml:space="preserve">387,588,946,400 </w:t>
      </w:r>
      <w:r w:rsidR="003577DC" w:rsidRPr="008218B4">
        <w:rPr>
          <w:rFonts w:ascii="ITC Avant Garde" w:hAnsi="ITC Avant Garde" w:cs="Arial"/>
          <w:sz w:val="22"/>
          <w:szCs w:val="22"/>
        </w:rPr>
        <w:t>(trescientos ochenta y siete mil quinientos ochenta y ocho millones novecientos cuarenta y seis mil cuatrocientos pesos 00/100 M.N.)</w:t>
      </w:r>
      <w:r>
        <w:rPr>
          <w:rFonts w:ascii="ITC Avant Garde" w:hAnsi="ITC Avant Garde" w:cs="Arial"/>
          <w:sz w:val="22"/>
          <w:szCs w:val="22"/>
        </w:rPr>
        <w:t>,</w:t>
      </w:r>
      <w:r w:rsidR="00306012" w:rsidRPr="008218B4">
        <w:rPr>
          <w:rFonts w:ascii="ITC Avant Garde" w:hAnsi="ITC Avant Garde" w:cs="Arial"/>
          <w:sz w:val="22"/>
          <w:szCs w:val="22"/>
        </w:rPr>
        <w:t xml:space="preserve"> por lo que CFE acredita contar con capacidad financiera para desarrollar el proyecto objeto de la Solicitud.</w:t>
      </w:r>
    </w:p>
    <w:p w14:paraId="00C4546C" w14:textId="77777777" w:rsidR="00381B72" w:rsidRDefault="00306012" w:rsidP="00381B72">
      <w:pPr>
        <w:pStyle w:val="Prrafodelista"/>
        <w:numPr>
          <w:ilvl w:val="0"/>
          <w:numId w:val="29"/>
        </w:numPr>
        <w:tabs>
          <w:tab w:val="left" w:pos="1701"/>
        </w:tabs>
        <w:spacing w:afterLines="120" w:after="288"/>
        <w:ind w:left="1134" w:hanging="283"/>
        <w:jc w:val="both"/>
        <w:rPr>
          <w:rFonts w:ascii="ITC Avant Garde" w:hAnsi="ITC Avant Garde" w:cs="Arial"/>
          <w:sz w:val="22"/>
          <w:szCs w:val="22"/>
        </w:rPr>
      </w:pPr>
      <w:r w:rsidRPr="008218B4">
        <w:rPr>
          <w:rFonts w:ascii="ITC Avant Garde" w:hAnsi="ITC Avant Garde" w:cs="Arial"/>
          <w:sz w:val="22"/>
          <w:szCs w:val="22"/>
        </w:rPr>
        <w:t>C</w:t>
      </w:r>
      <w:r w:rsidR="009C5E9C" w:rsidRPr="008218B4">
        <w:rPr>
          <w:rFonts w:ascii="ITC Avant Garde" w:hAnsi="ITC Avant Garde" w:cs="Arial"/>
          <w:sz w:val="22"/>
          <w:szCs w:val="22"/>
        </w:rPr>
        <w:t>apacidad Jurídica</w:t>
      </w:r>
      <w:r w:rsidRPr="008218B4">
        <w:rPr>
          <w:rFonts w:ascii="ITC Avant Garde" w:hAnsi="ITC Avant Garde" w:cs="Arial"/>
          <w:sz w:val="22"/>
          <w:szCs w:val="22"/>
        </w:rPr>
        <w:t>. É</w:t>
      </w:r>
      <w:r w:rsidR="009C5E9C" w:rsidRPr="008218B4">
        <w:rPr>
          <w:rFonts w:ascii="ITC Avant Garde" w:hAnsi="ITC Avant Garde" w:cs="Arial"/>
          <w:sz w:val="22"/>
          <w:szCs w:val="22"/>
        </w:rPr>
        <w:t xml:space="preserve">sta se tiene por satisfecha, debido a que la Solicitud fue suscrita </w:t>
      </w:r>
      <w:r w:rsidR="00A369BA" w:rsidRPr="008218B4">
        <w:rPr>
          <w:rFonts w:ascii="ITC Avant Garde" w:hAnsi="ITC Avant Garde" w:cs="Arial"/>
          <w:sz w:val="22"/>
          <w:szCs w:val="22"/>
        </w:rPr>
        <w:t>por el apoderado</w:t>
      </w:r>
      <w:r w:rsidR="007366B3" w:rsidRPr="008218B4">
        <w:rPr>
          <w:rFonts w:ascii="ITC Avant Garde" w:hAnsi="ITC Avant Garde" w:cs="Arial"/>
          <w:sz w:val="22"/>
          <w:szCs w:val="22"/>
        </w:rPr>
        <w:t xml:space="preserve"> legal de CFE, quien se acreditó</w:t>
      </w:r>
      <w:r w:rsidR="00A369BA" w:rsidRPr="008218B4">
        <w:rPr>
          <w:rFonts w:ascii="ITC Avant Garde" w:hAnsi="ITC Avant Garde" w:cs="Arial"/>
          <w:sz w:val="22"/>
          <w:szCs w:val="22"/>
        </w:rPr>
        <w:t xml:space="preserve"> como tal al presentar </w:t>
      </w:r>
      <w:r w:rsidR="007366B3" w:rsidRPr="008218B4">
        <w:rPr>
          <w:rFonts w:ascii="ITC Avant Garde" w:hAnsi="ITC Avant Garde" w:cs="Arial"/>
          <w:sz w:val="22"/>
          <w:szCs w:val="22"/>
        </w:rPr>
        <w:t xml:space="preserve">la </w:t>
      </w:r>
      <w:r w:rsidR="00A369BA" w:rsidRPr="008218B4">
        <w:rPr>
          <w:rFonts w:ascii="ITC Avant Garde" w:hAnsi="ITC Avant Garde" w:cs="Arial"/>
          <w:sz w:val="22"/>
          <w:szCs w:val="22"/>
        </w:rPr>
        <w:t xml:space="preserve">copia certificada del instrumento público número 68,477 de fecha 12 de agosto de 2015, </w:t>
      </w:r>
      <w:r w:rsidR="00A369BA" w:rsidRPr="008218B4">
        <w:rPr>
          <w:rFonts w:ascii="ITC Avant Garde" w:eastAsia="Calibri" w:hAnsi="ITC Avant Garde"/>
          <w:sz w:val="22"/>
          <w:szCs w:val="22"/>
          <w:lang w:val="es-MX" w:eastAsia="en-US"/>
        </w:rPr>
        <w:t>pasado ante la fe del Titular de la Notaría Pública número 24 del Distrito Federal (ahora Ciudad de México), mediante el cual</w:t>
      </w:r>
      <w:r w:rsidR="00A369BA" w:rsidRPr="008218B4">
        <w:rPr>
          <w:rFonts w:ascii="ITC Avant Garde" w:hAnsi="ITC Avant Garde" w:cs="Arial"/>
          <w:sz w:val="22"/>
          <w:szCs w:val="22"/>
        </w:rPr>
        <w:t xml:space="preserve"> </w:t>
      </w:r>
      <w:r w:rsidR="00125B5A" w:rsidRPr="008218B4">
        <w:rPr>
          <w:rFonts w:ascii="ITC Avant Garde" w:hAnsi="ITC Avant Garde" w:cs="Arial"/>
          <w:sz w:val="22"/>
          <w:szCs w:val="22"/>
        </w:rPr>
        <w:t xml:space="preserve">CFE </w:t>
      </w:r>
      <w:r w:rsidR="00125B5A" w:rsidRPr="008218B4">
        <w:rPr>
          <w:rFonts w:ascii="ITC Avant Garde" w:eastAsia="Calibri" w:hAnsi="ITC Avant Garde"/>
          <w:sz w:val="22"/>
          <w:szCs w:val="22"/>
          <w:lang w:val="es-MX" w:eastAsia="en-US"/>
        </w:rPr>
        <w:t>le otorga</w:t>
      </w:r>
      <w:r w:rsidR="00A369BA" w:rsidRPr="008218B4">
        <w:rPr>
          <w:rFonts w:ascii="ITC Avant Garde" w:eastAsia="Calibri" w:hAnsi="ITC Avant Garde"/>
          <w:sz w:val="22"/>
          <w:szCs w:val="22"/>
          <w:lang w:val="es-MX" w:eastAsia="en-US"/>
        </w:rPr>
        <w:t xml:space="preserve"> poderes generales para pleitos y cobranzas y actos de administración</w:t>
      </w:r>
      <w:r w:rsidR="00A369BA" w:rsidRPr="008218B4">
        <w:rPr>
          <w:rFonts w:ascii="ITC Avant Garde" w:hAnsi="ITC Avant Garde" w:cs="Arial"/>
          <w:sz w:val="22"/>
          <w:szCs w:val="22"/>
        </w:rPr>
        <w:t xml:space="preserve">, </w:t>
      </w:r>
      <w:r w:rsidR="009C5E9C" w:rsidRPr="008218B4">
        <w:rPr>
          <w:rFonts w:ascii="ITC Avant Garde" w:hAnsi="ITC Avant Garde" w:cs="Arial"/>
          <w:sz w:val="22"/>
          <w:szCs w:val="22"/>
        </w:rPr>
        <w:t>por lo que cuenta con faculta</w:t>
      </w:r>
      <w:r w:rsidR="005A77EF">
        <w:rPr>
          <w:rFonts w:ascii="ITC Avant Garde" w:hAnsi="ITC Avant Garde" w:cs="Arial"/>
          <w:sz w:val="22"/>
          <w:szCs w:val="22"/>
        </w:rPr>
        <w:t>des para suscribir la Solicitud y la fecha, dichos poderes no han sido revocados.</w:t>
      </w:r>
    </w:p>
    <w:p w14:paraId="423A0F3D" w14:textId="5282D8CF" w:rsidR="00381B72" w:rsidRDefault="009C5E9C" w:rsidP="00381B72">
      <w:pPr>
        <w:pStyle w:val="Prrafodelista"/>
        <w:numPr>
          <w:ilvl w:val="0"/>
          <w:numId w:val="27"/>
        </w:numPr>
        <w:spacing w:afterLines="120" w:after="288"/>
        <w:ind w:left="567" w:hanging="283"/>
        <w:jc w:val="both"/>
        <w:rPr>
          <w:rFonts w:ascii="ITC Avant Garde" w:hAnsi="ITC Avant Garde" w:cs="Arial"/>
          <w:bCs/>
          <w:sz w:val="22"/>
          <w:szCs w:val="22"/>
          <w:lang w:val="es-MX"/>
        </w:rPr>
      </w:pPr>
      <w:r w:rsidRPr="008218B4">
        <w:rPr>
          <w:rFonts w:ascii="ITC Avant Garde" w:hAnsi="ITC Avant Garde" w:cs="Arial"/>
          <w:b/>
          <w:sz w:val="22"/>
          <w:szCs w:val="22"/>
        </w:rPr>
        <w:t>Pago por el análisis de la Solicitud.</w:t>
      </w:r>
      <w:r w:rsidRPr="008218B4">
        <w:rPr>
          <w:rFonts w:ascii="ITC Avant Garde" w:hAnsi="ITC Avant Garde" w:cs="Arial"/>
          <w:sz w:val="22"/>
          <w:szCs w:val="22"/>
        </w:rPr>
        <w:t xml:space="preserve"> En la Solicitud</w:t>
      </w:r>
      <w:r w:rsidRPr="008218B4">
        <w:rPr>
          <w:rFonts w:ascii="ITC Avant Garde" w:hAnsi="ITC Avant Garde" w:cs="Arial"/>
          <w:bCs/>
          <w:sz w:val="22"/>
          <w:szCs w:val="22"/>
          <w:lang w:val="es-MX"/>
        </w:rPr>
        <w:t xml:space="preserve"> se presentó </w:t>
      </w:r>
      <w:r w:rsidRPr="008218B4">
        <w:rPr>
          <w:rFonts w:ascii="ITC Avant Garde" w:hAnsi="ITC Avant Garde"/>
          <w:bCs/>
          <w:sz w:val="22"/>
          <w:szCs w:val="22"/>
          <w:lang w:val="es-MX" w:eastAsia="es-MX"/>
        </w:rPr>
        <w:t>copia de la factura 16000</w:t>
      </w:r>
      <w:r w:rsidR="00A369BA" w:rsidRPr="008218B4">
        <w:rPr>
          <w:rFonts w:ascii="ITC Avant Garde" w:hAnsi="ITC Avant Garde"/>
          <w:bCs/>
          <w:sz w:val="22"/>
          <w:szCs w:val="22"/>
          <w:lang w:val="es-MX" w:eastAsia="es-MX"/>
        </w:rPr>
        <w:t>2524</w:t>
      </w:r>
      <w:r w:rsidRPr="008218B4">
        <w:rPr>
          <w:rFonts w:ascii="ITC Avant Garde" w:hAnsi="ITC Avant Garde"/>
          <w:bCs/>
          <w:sz w:val="22"/>
          <w:szCs w:val="22"/>
          <w:lang w:val="es-MX" w:eastAsia="es-MX"/>
        </w:rPr>
        <w:t xml:space="preserve"> emitida por el Instituto con fecha </w:t>
      </w:r>
      <w:r w:rsidR="00A369BA" w:rsidRPr="008218B4">
        <w:rPr>
          <w:rFonts w:ascii="ITC Avant Garde" w:hAnsi="ITC Avant Garde"/>
          <w:bCs/>
          <w:sz w:val="22"/>
          <w:szCs w:val="22"/>
          <w:lang w:val="es-MX" w:eastAsia="es-MX"/>
        </w:rPr>
        <w:t>12 de septiembre</w:t>
      </w:r>
      <w:r w:rsidRPr="008218B4">
        <w:rPr>
          <w:rFonts w:ascii="ITC Avant Garde" w:hAnsi="ITC Avant Garde"/>
          <w:bCs/>
          <w:sz w:val="22"/>
          <w:szCs w:val="22"/>
          <w:lang w:val="es-MX" w:eastAsia="es-MX"/>
        </w:rPr>
        <w:t xml:space="preserve"> de 2016, </w:t>
      </w:r>
      <w:r w:rsidRPr="008218B4">
        <w:rPr>
          <w:rFonts w:ascii="ITC Avant Garde" w:hAnsi="ITC Avant Garde" w:cs="Arial"/>
          <w:bCs/>
          <w:sz w:val="22"/>
          <w:szCs w:val="22"/>
          <w:lang w:val="es-MX"/>
        </w:rPr>
        <w:t xml:space="preserve">por concepto del estudio de la solicitud y, en su caso, expedición de título o prórroga de concesiones en materia de telecomunicaciones o radiodifusión, para el uso, aprovechamiento o explotación de bandas de frecuencias del espectro radioeléctrico de uso determinado, o para la ocupación y explotación de recursos orbitales, conforme a lo establecido por el apartado C fracción I del artículo 173 y el artículo 174-L fracción I de la Ley Federal de Derechos vigente en el año 2016. </w:t>
      </w:r>
    </w:p>
    <w:p w14:paraId="7314CB8D" w14:textId="77777777" w:rsidR="00381B72" w:rsidRDefault="008C565C" w:rsidP="00381B72">
      <w:pPr>
        <w:pStyle w:val="Prrafodelista"/>
        <w:tabs>
          <w:tab w:val="left" w:pos="709"/>
          <w:tab w:val="left" w:pos="1560"/>
        </w:tabs>
        <w:spacing w:afterLines="120" w:after="288"/>
        <w:ind w:left="567" w:hanging="283"/>
        <w:jc w:val="both"/>
        <w:rPr>
          <w:rFonts w:ascii="ITC Avant Garde" w:hAnsi="ITC Avant Garde"/>
          <w:color w:val="000000"/>
          <w:sz w:val="22"/>
          <w:szCs w:val="22"/>
          <w:lang w:eastAsia="es-MX"/>
        </w:rPr>
      </w:pPr>
      <w:r>
        <w:rPr>
          <w:rFonts w:ascii="ITC Avant Garde" w:hAnsi="ITC Avant Garde" w:cs="Arial"/>
          <w:bCs/>
          <w:sz w:val="22"/>
          <w:szCs w:val="22"/>
          <w:lang w:val="es-MX"/>
        </w:rPr>
        <w:tab/>
      </w:r>
      <w:r w:rsidR="009C5E9C" w:rsidRPr="008218B4">
        <w:rPr>
          <w:rFonts w:ascii="ITC Avant Garde" w:hAnsi="ITC Avant Garde" w:cs="Arial"/>
          <w:bCs/>
          <w:sz w:val="22"/>
          <w:szCs w:val="22"/>
          <w:lang w:val="es-MX"/>
        </w:rPr>
        <w:t xml:space="preserve">Adicionalmente, la Ley Federal de Derechos señala en el artículo 173 penúltimo párrafo, que cuando la explotación de los servicios objeto de la concesión de bandas de frecuencias a las que se refieren los apartados A, B, fracciones I y II y C, requiera el otorgamiento de un título de concesión única, en términos del artículo </w:t>
      </w:r>
      <w:r w:rsidR="009C5E9C" w:rsidRPr="008218B4">
        <w:rPr>
          <w:rFonts w:ascii="ITC Avant Garde" w:hAnsi="ITC Avant Garde" w:cs="Arial"/>
          <w:bCs/>
          <w:sz w:val="22"/>
          <w:szCs w:val="22"/>
          <w:lang w:val="es-MX"/>
        </w:rPr>
        <w:lastRenderedPageBreak/>
        <w:t>75 de la Ley, el pago de derechos correspondiente al de bandas de frecuencias, comprenderá la expedición de la concesión única respectiva.</w:t>
      </w:r>
    </w:p>
    <w:p w14:paraId="1113A619" w14:textId="06E750D6" w:rsidR="00381B72" w:rsidRDefault="0014776F" w:rsidP="00381B72">
      <w:pPr>
        <w:autoSpaceDE w:val="0"/>
        <w:autoSpaceDN w:val="0"/>
        <w:adjustRightInd w:val="0"/>
        <w:spacing w:afterLines="120" w:after="288" w:line="240" w:lineRule="auto"/>
        <w:jc w:val="both"/>
        <w:rPr>
          <w:rFonts w:ascii="ITC Avant Garde" w:hAnsi="ITC Avant Garde"/>
          <w:b/>
          <w:bCs/>
        </w:rPr>
      </w:pPr>
      <w:r w:rsidRPr="008218B4">
        <w:rPr>
          <w:rFonts w:ascii="ITC Avant Garde" w:hAnsi="ITC Avant Garde"/>
          <w:b/>
          <w:bCs/>
        </w:rPr>
        <w:t>Sext</w:t>
      </w:r>
      <w:r w:rsidR="00285985" w:rsidRPr="008218B4">
        <w:rPr>
          <w:rFonts w:ascii="ITC Avant Garde" w:hAnsi="ITC Avant Garde"/>
          <w:b/>
          <w:bCs/>
        </w:rPr>
        <w:t>o.- Opinio</w:t>
      </w:r>
      <w:r w:rsidR="00B473DA" w:rsidRPr="008218B4">
        <w:rPr>
          <w:rFonts w:ascii="ITC Avant Garde" w:hAnsi="ITC Avant Garde"/>
          <w:b/>
          <w:bCs/>
        </w:rPr>
        <w:t>n</w:t>
      </w:r>
      <w:r w:rsidR="00285985" w:rsidRPr="008218B4">
        <w:rPr>
          <w:rFonts w:ascii="ITC Avant Garde" w:hAnsi="ITC Avant Garde"/>
          <w:b/>
          <w:bCs/>
        </w:rPr>
        <w:t>es</w:t>
      </w:r>
      <w:r w:rsidR="00B473DA" w:rsidRPr="008218B4">
        <w:rPr>
          <w:rFonts w:ascii="ITC Avant Garde" w:hAnsi="ITC Avant Garde"/>
          <w:b/>
          <w:bCs/>
        </w:rPr>
        <w:t xml:space="preserve"> técnica</w:t>
      </w:r>
      <w:r w:rsidR="00285985" w:rsidRPr="008218B4">
        <w:rPr>
          <w:rFonts w:ascii="ITC Avant Garde" w:hAnsi="ITC Avant Garde"/>
          <w:b/>
          <w:bCs/>
        </w:rPr>
        <w:t>s</w:t>
      </w:r>
      <w:r w:rsidR="005335D6" w:rsidRPr="008218B4">
        <w:rPr>
          <w:rFonts w:ascii="ITC Avant Garde" w:hAnsi="ITC Avant Garde"/>
          <w:b/>
          <w:bCs/>
        </w:rPr>
        <w:t xml:space="preserve"> con respecto a la Solicitud</w:t>
      </w:r>
      <w:r w:rsidR="00285985" w:rsidRPr="008218B4">
        <w:rPr>
          <w:rFonts w:ascii="ITC Avant Garde" w:hAnsi="ITC Avant Garde"/>
          <w:b/>
          <w:bCs/>
        </w:rPr>
        <w:t>.</w:t>
      </w:r>
      <w:r w:rsidR="00B473DA" w:rsidRPr="008218B4">
        <w:rPr>
          <w:rFonts w:ascii="ITC Avant Garde" w:hAnsi="ITC Avant Garde"/>
          <w:b/>
          <w:bCs/>
        </w:rPr>
        <w:t xml:space="preserve"> </w:t>
      </w:r>
      <w:r w:rsidR="008B3013" w:rsidRPr="008218B4">
        <w:rPr>
          <w:rFonts w:ascii="ITC Avant Garde" w:eastAsia="Times New Roman" w:hAnsi="ITC Avant Garde"/>
          <w:bCs/>
          <w:lang w:val="es-ES" w:eastAsia="es-ES"/>
        </w:rPr>
        <w:t>Por lo que se refiere a</w:t>
      </w:r>
      <w:r w:rsidR="00BA3161" w:rsidRPr="008218B4">
        <w:rPr>
          <w:rFonts w:ascii="ITC Avant Garde" w:eastAsia="Times New Roman" w:hAnsi="ITC Avant Garde"/>
          <w:bCs/>
          <w:lang w:val="es-ES" w:eastAsia="es-ES"/>
        </w:rPr>
        <w:t>l dictamen emitido</w:t>
      </w:r>
      <w:r w:rsidR="008B3013" w:rsidRPr="008218B4">
        <w:rPr>
          <w:rFonts w:ascii="ITC Avant Garde" w:eastAsia="Times New Roman" w:hAnsi="ITC Avant Garde"/>
          <w:bCs/>
          <w:lang w:val="es-ES" w:eastAsia="es-ES"/>
        </w:rPr>
        <w:t xml:space="preserve"> por la Dirección General de Planeación del Espectro, mismo que es parte de la opinión formulada por la Unidad de Espectro Radioeléctrico y que se señala en el Antecedente </w:t>
      </w:r>
      <w:r w:rsidR="005A41F8" w:rsidRPr="008218B4">
        <w:rPr>
          <w:rFonts w:ascii="ITC Avant Garde" w:eastAsia="Times New Roman" w:hAnsi="ITC Avant Garde"/>
          <w:bCs/>
          <w:lang w:val="es-ES" w:eastAsia="es-ES"/>
        </w:rPr>
        <w:t>X</w:t>
      </w:r>
      <w:r w:rsidR="00AA1119" w:rsidRPr="008218B4">
        <w:rPr>
          <w:rFonts w:ascii="ITC Avant Garde" w:eastAsia="Times New Roman" w:hAnsi="ITC Avant Garde"/>
          <w:bCs/>
          <w:lang w:val="es-ES" w:eastAsia="es-ES"/>
        </w:rPr>
        <w:t>I</w:t>
      </w:r>
      <w:r w:rsidR="008B3013" w:rsidRPr="008218B4">
        <w:rPr>
          <w:rFonts w:ascii="ITC Avant Garde" w:eastAsia="Times New Roman" w:hAnsi="ITC Avant Garde"/>
          <w:bCs/>
          <w:lang w:val="es-ES" w:eastAsia="es-ES"/>
        </w:rPr>
        <w:t xml:space="preserve"> de la presente Resolución, se </w:t>
      </w:r>
      <w:r w:rsidR="001F2F99" w:rsidRPr="008218B4">
        <w:rPr>
          <w:rFonts w:ascii="ITC Avant Garde" w:eastAsia="Times New Roman" w:hAnsi="ITC Avant Garde"/>
          <w:bCs/>
          <w:lang w:val="es-ES" w:eastAsia="es-ES"/>
        </w:rPr>
        <w:t>llevó a cabo</w:t>
      </w:r>
      <w:r w:rsidR="008B3013" w:rsidRPr="008218B4">
        <w:rPr>
          <w:rFonts w:ascii="ITC Avant Garde" w:eastAsia="Times New Roman" w:hAnsi="ITC Avant Garde"/>
          <w:bCs/>
          <w:lang w:val="es-ES" w:eastAsia="es-ES"/>
        </w:rPr>
        <w:t xml:space="preserve"> el análisis siguiente:</w:t>
      </w:r>
    </w:p>
    <w:p w14:paraId="24734617" w14:textId="77777777" w:rsidR="00381B72" w:rsidRDefault="00F96049"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Arial"/>
          <w:i/>
          <w:iCs/>
          <w:sz w:val="18"/>
        </w:rPr>
        <w:t>“</w:t>
      </w:r>
      <w:r w:rsidR="00853AB3" w:rsidRPr="001D1D1D">
        <w:rPr>
          <w:rFonts w:ascii="ITC Avant Garde" w:hAnsi="ITC Avant Garde" w:cs="Arial"/>
          <w:b/>
          <w:i/>
          <w:iCs/>
          <w:sz w:val="18"/>
        </w:rPr>
        <w:t>3. Otros Instrumentos Aplicables</w:t>
      </w:r>
    </w:p>
    <w:p w14:paraId="4AC90C41" w14:textId="77777777" w:rsidR="00381B72" w:rsidRDefault="00FE02CD"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Pr>
          <w:rFonts w:ascii="ITC Avant Garde" w:hAnsi="ITC Avant Garde" w:cs="Tahoma"/>
          <w:bCs/>
          <w:i/>
          <w:sz w:val="18"/>
          <w:lang w:eastAsia="es-MX"/>
        </w:rPr>
        <w:t>[…]</w:t>
      </w:r>
    </w:p>
    <w:p w14:paraId="67C0EBCF" w14:textId="77777777" w:rsidR="00381B72" w:rsidRDefault="00853AB3" w:rsidP="00381B72">
      <w:pPr>
        <w:numPr>
          <w:ilvl w:val="0"/>
          <w:numId w:val="18"/>
        </w:numPr>
        <w:autoSpaceDE w:val="0"/>
        <w:autoSpaceDN w:val="0"/>
        <w:adjustRightInd w:val="0"/>
        <w:spacing w:afterLines="120" w:after="288" w:line="240" w:lineRule="auto"/>
        <w:ind w:left="567" w:right="615" w:firstLine="0"/>
        <w:jc w:val="both"/>
        <w:rPr>
          <w:rFonts w:ascii="ITC Avant Garde" w:hAnsi="ITC Avant Garde" w:cs="Tahoma"/>
          <w:bCs/>
          <w:i/>
          <w:sz w:val="18"/>
          <w:lang w:eastAsia="es-MX"/>
        </w:rPr>
      </w:pPr>
      <w:r w:rsidRPr="001D1D1D">
        <w:rPr>
          <w:rFonts w:ascii="ITC Avant Garde" w:hAnsi="ITC Avant Garde" w:cs="Tahoma"/>
          <w:bCs/>
          <w:i/>
          <w:sz w:val="18"/>
          <w:lang w:eastAsia="es-MX"/>
        </w:rPr>
        <w:t>El 8 de julio de 2015, el Pleno del Instituto Federal de Telecomunicaciones, tomó conocimiento del Informe presentado sobre el Plan para la banda 806-824/851-869 MHz</w:t>
      </w:r>
      <w:r w:rsidRPr="001D1D1D" w:rsidDel="00F147D7">
        <w:rPr>
          <w:rFonts w:ascii="ITC Avant Garde" w:hAnsi="ITC Avant Garde" w:cs="Tahoma"/>
          <w:bCs/>
          <w:i/>
          <w:sz w:val="18"/>
          <w:lang w:eastAsia="es-MX"/>
        </w:rPr>
        <w:t xml:space="preserve"> </w:t>
      </w:r>
      <w:r w:rsidRPr="001D1D1D">
        <w:rPr>
          <w:rFonts w:ascii="ITC Avant Garde" w:hAnsi="ITC Avant Garde" w:cs="Tahoma"/>
          <w:bCs/>
          <w:i/>
          <w:sz w:val="18"/>
          <w:lang w:eastAsia="es-MX"/>
        </w:rPr>
        <w:t>(</w:t>
      </w:r>
      <w:r w:rsidRPr="001D1D1D">
        <w:rPr>
          <w:rFonts w:ascii="ITC Avant Garde" w:hAnsi="ITC Avant Garde" w:cs="Tahoma"/>
          <w:b/>
          <w:bCs/>
          <w:i/>
          <w:sz w:val="18"/>
          <w:lang w:eastAsia="es-MX"/>
        </w:rPr>
        <w:t>Plan para la banda 800 MHz</w:t>
      </w:r>
      <w:r w:rsidRPr="001D1D1D">
        <w:rPr>
          <w:rFonts w:ascii="ITC Avant Garde" w:hAnsi="ITC Avant Garde" w:cs="Tahoma"/>
          <w:bCs/>
          <w:i/>
          <w:sz w:val="18"/>
          <w:lang w:eastAsia="es-MX"/>
        </w:rPr>
        <w:t>) y de las distintas acciones que se realizan en materia de reordenamiento de esta banda y convino, mediante el Acuerdo P/IFT/080715/208, que se continúe con los trabajos de reorganización del espectro radioeléctrico en los términos presentados.</w:t>
      </w:r>
    </w:p>
    <w:p w14:paraId="297F8645" w14:textId="1DE7FC25" w:rsidR="00853AB3" w:rsidRPr="001D1D1D" w:rsidRDefault="00853AB3" w:rsidP="00381B72">
      <w:pPr>
        <w:autoSpaceDE w:val="0"/>
        <w:autoSpaceDN w:val="0"/>
        <w:adjustRightInd w:val="0"/>
        <w:spacing w:afterLines="50" w:after="120"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Estas acciones tienen como finalidad que esta porción del espectro sea utilizada de una manera óptima, para lo cual se definió lo siguiente:</w:t>
      </w:r>
    </w:p>
    <w:p w14:paraId="1C4EC73B" w14:textId="77777777" w:rsidR="00853AB3" w:rsidRPr="001D1D1D" w:rsidRDefault="00853AB3" w:rsidP="00381B72">
      <w:pPr>
        <w:numPr>
          <w:ilvl w:val="0"/>
          <w:numId w:val="19"/>
        </w:numPr>
        <w:autoSpaceDE w:val="0"/>
        <w:autoSpaceDN w:val="0"/>
        <w:adjustRightInd w:val="0"/>
        <w:spacing w:afterLines="50" w:after="120" w:line="240" w:lineRule="auto"/>
        <w:ind w:left="851" w:right="615" w:hanging="284"/>
        <w:jc w:val="both"/>
        <w:rPr>
          <w:rFonts w:ascii="ITC Avant Garde" w:hAnsi="ITC Avant Garde" w:cs="Tahoma"/>
          <w:bCs/>
          <w:i/>
          <w:sz w:val="18"/>
          <w:lang w:eastAsia="es-MX"/>
        </w:rPr>
      </w:pPr>
      <w:r w:rsidRPr="001D1D1D">
        <w:rPr>
          <w:rFonts w:ascii="ITC Avant Garde" w:hAnsi="ITC Avant Garde" w:cs="Tahoma"/>
          <w:bCs/>
          <w:i/>
          <w:sz w:val="18"/>
          <w:lang w:eastAsia="es-MX"/>
        </w:rPr>
        <w:t>Segmento 806-814/851-859 MHz: Provisión de servicios de banda angosta de uso público, limitado a aplicaciones de misión crítica.</w:t>
      </w:r>
    </w:p>
    <w:p w14:paraId="3917F463" w14:textId="77777777" w:rsidR="00381B72" w:rsidRDefault="00853AB3" w:rsidP="00381B72">
      <w:pPr>
        <w:numPr>
          <w:ilvl w:val="1"/>
          <w:numId w:val="18"/>
        </w:numPr>
        <w:autoSpaceDE w:val="0"/>
        <w:autoSpaceDN w:val="0"/>
        <w:adjustRightInd w:val="0"/>
        <w:spacing w:afterLines="120" w:after="288" w:line="240" w:lineRule="auto"/>
        <w:ind w:left="851" w:right="615" w:hanging="284"/>
        <w:jc w:val="both"/>
        <w:rPr>
          <w:rFonts w:ascii="ITC Avant Garde" w:hAnsi="ITC Avant Garde" w:cs="Tahoma"/>
          <w:bCs/>
          <w:i/>
          <w:sz w:val="18"/>
          <w:lang w:eastAsia="es-MX"/>
        </w:rPr>
      </w:pPr>
      <w:r w:rsidRPr="001D1D1D">
        <w:rPr>
          <w:rFonts w:ascii="ITC Avant Garde" w:hAnsi="ITC Avant Garde" w:cs="Tahoma"/>
          <w:bCs/>
          <w:i/>
          <w:sz w:val="18"/>
          <w:lang w:eastAsia="es-MX"/>
        </w:rPr>
        <w:t>Segmento 814-824/859-869 MHz: Provisión de servicio</w:t>
      </w:r>
      <w:r w:rsidR="00847598" w:rsidRPr="001D1D1D">
        <w:rPr>
          <w:rFonts w:ascii="ITC Avant Garde" w:hAnsi="ITC Avant Garde" w:cs="Tahoma"/>
          <w:bCs/>
          <w:i/>
          <w:sz w:val="18"/>
          <w:lang w:eastAsia="es-MX"/>
        </w:rPr>
        <w:t>s</w:t>
      </w:r>
      <w:r w:rsidRPr="001D1D1D">
        <w:rPr>
          <w:rFonts w:ascii="ITC Avant Garde" w:hAnsi="ITC Avant Garde" w:cs="Tahoma"/>
          <w:bCs/>
          <w:i/>
          <w:sz w:val="18"/>
          <w:lang w:eastAsia="es-MX"/>
        </w:rPr>
        <w:t xml:space="preserve"> de banda ancha de uso comercial.</w:t>
      </w:r>
    </w:p>
    <w:p w14:paraId="428ED84F" w14:textId="6F235244" w:rsidR="00847598" w:rsidRPr="001D1D1D" w:rsidRDefault="00853AB3" w:rsidP="00381B72">
      <w:pPr>
        <w:numPr>
          <w:ilvl w:val="0"/>
          <w:numId w:val="18"/>
        </w:numPr>
        <w:autoSpaceDE w:val="0"/>
        <w:autoSpaceDN w:val="0"/>
        <w:adjustRightInd w:val="0"/>
        <w:spacing w:afterLines="120" w:after="288" w:line="240" w:lineRule="auto"/>
        <w:ind w:left="567" w:right="615" w:firstLine="0"/>
        <w:jc w:val="both"/>
        <w:rPr>
          <w:rFonts w:ascii="ITC Avant Garde" w:hAnsi="ITC Avant Garde" w:cs="Tahoma"/>
          <w:bCs/>
          <w:i/>
          <w:sz w:val="18"/>
          <w:lang w:eastAsia="es-MX"/>
        </w:rPr>
      </w:pPr>
      <w:r w:rsidRPr="001D1D1D">
        <w:rPr>
          <w:rFonts w:ascii="ITC Avant Garde" w:hAnsi="ITC Avant Garde" w:cs="Tahoma"/>
          <w:bCs/>
          <w:i/>
          <w:sz w:val="18"/>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w:t>
      </w:r>
      <w:r w:rsidR="005C6635" w:rsidRPr="001D1D1D">
        <w:rPr>
          <w:rFonts w:ascii="ITC Avant Garde" w:hAnsi="ITC Avant Garde" w:cs="Tahoma"/>
          <w:bCs/>
          <w:i/>
          <w:sz w:val="18"/>
          <w:lang w:eastAsia="es-MX"/>
        </w:rPr>
        <w:t>/</w:t>
      </w:r>
      <w:r w:rsidR="00847598" w:rsidRPr="001D1D1D">
        <w:rPr>
          <w:rFonts w:ascii="ITC Avant Garde" w:hAnsi="ITC Avant Garde" w:cs="Tahoma"/>
          <w:bCs/>
          <w:i/>
          <w:sz w:val="18"/>
          <w:lang w:eastAsia="es-MX"/>
        </w:rPr>
        <w:t>851-869 MHz, aprobado por el Pleno el 1 de septiembre de 2016.</w:t>
      </w:r>
    </w:p>
    <w:p w14:paraId="1F0FD88B" w14:textId="77777777" w:rsidR="00381B72" w:rsidRDefault="00847598"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P</w:t>
      </w:r>
      <w:r w:rsidR="005C6635" w:rsidRPr="001D1D1D">
        <w:rPr>
          <w:rFonts w:ascii="ITC Avant Garde" w:hAnsi="ITC Avant Garde" w:cs="Tahoma"/>
          <w:bCs/>
          <w:i/>
          <w:sz w:val="18"/>
          <w:lang w:eastAsia="es-MX"/>
        </w:rPr>
        <w:t>ublicado en el Diario Oficial de la Federación el 13 de</w:t>
      </w:r>
      <w:r w:rsidR="00853AB3" w:rsidRPr="001D1D1D">
        <w:rPr>
          <w:rFonts w:ascii="ITC Avant Garde" w:hAnsi="ITC Avant Garde" w:cs="Tahoma"/>
          <w:bCs/>
          <w:i/>
          <w:sz w:val="18"/>
          <w:lang w:eastAsia="es-MX"/>
        </w:rPr>
        <w:t xml:space="preserve"> septiembre de 2016.</w:t>
      </w:r>
    </w:p>
    <w:p w14:paraId="33324D01" w14:textId="77777777" w:rsidR="00381B72" w:rsidRDefault="00853AB3"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En dicho acuerdo se aprueba el Plan de la Banda 806-824/851-869 MHz, así como el cambio de bandas de frecuencias a los usuarios titulares de derechos sobre el uso, aprovechamiento y explotaciones de la Banda de frecuencias 806-824/851-869 MHz, en términos del considerando tercero del Acuerdo en mención y como se establece en el esquema de reordenamiento incluido en el Plan de la Banda.</w:t>
      </w:r>
    </w:p>
    <w:p w14:paraId="2181BB77" w14:textId="77777777" w:rsidR="00381B72" w:rsidRDefault="00853AB3"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Arial"/>
          <w:b/>
          <w:i/>
          <w:iCs/>
          <w:sz w:val="18"/>
        </w:rPr>
        <w:t>4. Acciones de Planificación</w:t>
      </w:r>
    </w:p>
    <w:p w14:paraId="1CE937EC" w14:textId="77777777" w:rsidR="00381B72" w:rsidRDefault="00853AB3"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estratégica, con una enorme incidencia en los aspectos social y económico del país.</w:t>
      </w:r>
    </w:p>
    <w:p w14:paraId="09F02C76" w14:textId="77777777" w:rsidR="00381B72" w:rsidRDefault="00853AB3"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 xml:space="preserve">En este sentido el Instituto se ha enfocado a la tarea de implementar una revisión integral de los procedimientos y herramientas asociados a la gestión, administración y planificación del espectro radioeléctrico, así como del uso que se da en nuestro país a las bandas de </w:t>
      </w:r>
      <w:r w:rsidRPr="001D1D1D">
        <w:rPr>
          <w:rFonts w:ascii="ITC Avant Garde" w:eastAsia="Times New Roman" w:hAnsi="ITC Avant Garde" w:cstheme="minorHAnsi"/>
          <w:i/>
          <w:sz w:val="18"/>
          <w:lang w:eastAsia="es-ES"/>
        </w:rPr>
        <w:lastRenderedPageBreak/>
        <w:t>frecuencias relevantes con el objeto de establecer una distribución óptima del espectro radioeléctrico, de tal modo que se logren acomodar los servicios y aplicaciones que mayor impacto tengan en beneficio del interés público, tomando ventaja de los últimos avances tecnológicos y del desarrollo de estándares armonizados a nivel mundial y regional.</w:t>
      </w:r>
    </w:p>
    <w:p w14:paraId="6BD4CF95"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Por tal motivo, se considera ineludible que algunos segmentos de frecuencias se sujeten a un proceso de reordenamiento en el mediano plazo, mediante el análisis y examinación minuciosa de diversos aspectos como: el uso actual que se tiene en México; la constante demanda de uso en la banda; las diversas oportunidades para los servicios existentes y proyectados; las tendencias y avances tecnológicos en materia de radiocomunicaciones; las economías de escala existentes para las diferentes tecnologías en este segmento; la flexibilidad y uso dinámico del espectro radioeléctrico; las tendencias internacionales sobre el uso de la banda; las mejores prácticas internacionales en materia de planificación espectral; las recomendaciones de la Unión Internacional de Telecomunicaciones (UIT), entre otros.</w:t>
      </w:r>
    </w:p>
    <w:p w14:paraId="6D5C191B"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Ahora bien, en lo que respecta al uso actual de la banda de frecuencia que nos atañe, esta emplea un esquema de Duplexaje por División de Frecuencias (FDD) y se encuentra particionada en dos segmentos. El primer segmento 806</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821/851</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866 MHz que cuenta con un uso compartido entre tres tipos de servicios: i) Servicio M</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vil de Radiocomunicaci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Especializada de Flotillas (SMREF), también conocido como radio troncalizado para uso comercial; ii) SMREF para uso público (tanto para aplicaciones generales como de misión crítica), y iii) Servicio Local Móvil (telefonía inalámbrica de banda angosta). El segundo segmento de 821</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824/866</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869 MHz es empleado por el SMREF para aplicaciones de seguridad p</w:t>
      </w:r>
      <w:r w:rsidRPr="001D1D1D">
        <w:rPr>
          <w:rFonts w:ascii="ITC Avant Garde" w:eastAsia="Times New Roman" w:hAnsi="ITC Avant Garde" w:cs="ITC Avant Garde"/>
          <w:i/>
          <w:sz w:val="18"/>
          <w:lang w:eastAsia="es-ES"/>
        </w:rPr>
        <w:t>ú</w:t>
      </w:r>
      <w:r w:rsidRPr="001D1D1D">
        <w:rPr>
          <w:rFonts w:ascii="ITC Avant Garde" w:eastAsia="Times New Roman" w:hAnsi="ITC Avant Garde" w:cstheme="minorHAnsi"/>
          <w:i/>
          <w:sz w:val="18"/>
          <w:lang w:eastAsia="es-ES"/>
        </w:rPr>
        <w:t>blica y de seguridad privada.</w:t>
      </w:r>
    </w:p>
    <w:p w14:paraId="794CF31C"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En este sentido, el estado de ocupación de esta banda de frecuencias es en extremo complejo debido a la diversidad de los usuarios y las áreas de cobertura que</w:t>
      </w:r>
      <w:r w:rsidR="00847598" w:rsidRPr="001D1D1D">
        <w:rPr>
          <w:rFonts w:ascii="ITC Avant Garde" w:eastAsia="Times New Roman" w:hAnsi="ITC Avant Garde" w:cstheme="minorHAnsi"/>
          <w:i/>
          <w:sz w:val="18"/>
          <w:lang w:eastAsia="es-ES"/>
        </w:rPr>
        <w:t>, en su momento</w:t>
      </w:r>
      <w:r w:rsidRPr="001D1D1D">
        <w:rPr>
          <w:rFonts w:ascii="ITC Avant Garde" w:eastAsia="Times New Roman" w:hAnsi="ITC Avant Garde" w:cstheme="minorHAnsi"/>
          <w:i/>
          <w:sz w:val="18"/>
          <w:lang w:eastAsia="es-ES"/>
        </w:rPr>
        <w:t xml:space="preserve"> fueron otorgadas de manera heterogénea. Es por ello que en el ejercicio de una administración eficiente de espectro radioeléctrico y a efecto de lograr un balance óptimo de este recurso en la distribución de la banda de frecuencias, se deben considerar segmentos específicos para servicios móviles de banda ancha y segmentos específicos para servicios móviles de banda angosta.</w:t>
      </w:r>
    </w:p>
    <w:p w14:paraId="55846D03"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Por este motivo, dentro de las labores de planificación espectral desempeñadas por el Instituto, se considera fundamental contar con espectro radioeléctrico disponible para aplicaciones de misión crítica, ya que dependen del uso del espectro radioeléctrico al ser el único medio de comunicación disponible</w:t>
      </w:r>
      <w:r w:rsidR="00847598" w:rsidRPr="001D1D1D">
        <w:rPr>
          <w:rFonts w:ascii="ITC Avant Garde" w:eastAsia="Times New Roman" w:hAnsi="ITC Avant Garde" w:cstheme="minorHAnsi"/>
          <w:i/>
          <w:sz w:val="18"/>
          <w:lang w:eastAsia="es-ES"/>
        </w:rPr>
        <w:t xml:space="preserve"> en este tipo de situaciones</w:t>
      </w:r>
      <w:r w:rsidRPr="001D1D1D">
        <w:rPr>
          <w:rFonts w:ascii="ITC Avant Garde" w:eastAsia="Times New Roman" w:hAnsi="ITC Avant Garde" w:cstheme="minorHAnsi"/>
          <w:i/>
          <w:sz w:val="18"/>
          <w:lang w:eastAsia="es-ES"/>
        </w:rPr>
        <w:t xml:space="preserve"> que coadyuve a la seguridad en sus operaciones, la fiabilidad de sus comunicaciones, la interoperabilidad de sus equipos y la rapidez del establecimiento de comunicaciones en sus campos de actuación.</w:t>
      </w:r>
    </w:p>
    <w:p w14:paraId="2FA02E36"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 xml:space="preserve">Por consiguiente, las aplicaciones del SMREF han alcanzado gran relevancia </w:t>
      </w:r>
      <w:r w:rsidR="00847598" w:rsidRPr="001D1D1D">
        <w:rPr>
          <w:rFonts w:ascii="ITC Avant Garde" w:eastAsia="Times New Roman" w:hAnsi="ITC Avant Garde" w:cstheme="minorHAnsi"/>
          <w:i/>
          <w:sz w:val="18"/>
          <w:lang w:eastAsia="es-ES"/>
        </w:rPr>
        <w:t>para</w:t>
      </w:r>
      <w:r w:rsidRPr="001D1D1D">
        <w:rPr>
          <w:rFonts w:ascii="ITC Avant Garde" w:eastAsia="Times New Roman" w:hAnsi="ITC Avant Garde" w:cstheme="minorHAnsi"/>
          <w:i/>
          <w:sz w:val="18"/>
          <w:lang w:eastAsia="es-ES"/>
        </w:rPr>
        <w:t xml:space="preserve"> las actividades de misión crítica, las cuales prevén y/o enfrentan perturbaciones del funcionamiento de la sociedad que supone una amenaza importante y generalizada para la vida humana, la salud, los bienes o el medio ambiente, ya sea provocada por un accidente, por la naturaleza o por el hombre, tanto de aparición súbita como resultado de un proceso de generación complejo de largo plazo. Bajo esta misma consideración, están las aplicaciones para el seguimiento y control de procesos asociados a actividades estratégicas del Estado, como la extracción, procesamiento y conducción de hidrocarburos, así como a la generación, transmisión y distribución de energía eléctrica.</w:t>
      </w:r>
    </w:p>
    <w:p w14:paraId="72550803" w14:textId="7FD1D332"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 xml:space="preserve">Por otra parte, desde el punto de vista de las economías de escala, el segmento 806-814/851-859 MHz tiene un alto grado de armonización a nivel internacional para servicios de radio troncalizado; esto conlleva a grandes beneficios como la reducción de costos de fabricación </w:t>
      </w:r>
      <w:r w:rsidRPr="001D1D1D">
        <w:rPr>
          <w:rFonts w:ascii="ITC Avant Garde" w:eastAsia="Times New Roman" w:hAnsi="ITC Avant Garde" w:cstheme="minorHAnsi"/>
          <w:i/>
          <w:sz w:val="18"/>
          <w:lang w:eastAsia="es-ES"/>
        </w:rPr>
        <w:lastRenderedPageBreak/>
        <w:t>de los equipos, la disminución de los precios a los usuarios finales, el desarrollo de redes compatibles que presten servicios eficaces y el fomento de la interoperabilidad de equipos.</w:t>
      </w:r>
    </w:p>
    <w:p w14:paraId="6E796371"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En este sentido, de acuerdo con lo descrito previamente en materia de planificación del espectro, se prevé que el segmento 806-814/851</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859 MHz sea empleado para el servicio de radio troncalizado para aplicaciones de misi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cr</w:t>
      </w:r>
      <w:r w:rsidRPr="001D1D1D">
        <w:rPr>
          <w:rFonts w:ascii="ITC Avant Garde" w:eastAsia="Times New Roman" w:hAnsi="ITC Avant Garde" w:cs="ITC Avant Garde"/>
          <w:i/>
          <w:sz w:val="18"/>
          <w:lang w:eastAsia="es-ES"/>
        </w:rPr>
        <w:t>í</w:t>
      </w:r>
      <w:r w:rsidRPr="001D1D1D">
        <w:rPr>
          <w:rFonts w:ascii="ITC Avant Garde" w:eastAsia="Times New Roman" w:hAnsi="ITC Avant Garde" w:cstheme="minorHAnsi"/>
          <w:i/>
          <w:sz w:val="18"/>
          <w:lang w:eastAsia="es-ES"/>
        </w:rPr>
        <w:t>tica, en virtud de su impacto en la seguridad de la vida humana, as</w:t>
      </w:r>
      <w:r w:rsidRPr="001D1D1D">
        <w:rPr>
          <w:rFonts w:ascii="ITC Avant Garde" w:eastAsia="Times New Roman" w:hAnsi="ITC Avant Garde" w:cs="ITC Avant Garde"/>
          <w:i/>
          <w:sz w:val="18"/>
          <w:lang w:eastAsia="es-ES"/>
        </w:rPr>
        <w:t>í</w:t>
      </w:r>
      <w:r w:rsidRPr="001D1D1D">
        <w:rPr>
          <w:rFonts w:ascii="ITC Avant Garde" w:eastAsia="Times New Roman" w:hAnsi="ITC Avant Garde" w:cstheme="minorHAnsi"/>
          <w:i/>
          <w:sz w:val="18"/>
          <w:lang w:eastAsia="es-ES"/>
        </w:rPr>
        <w:t xml:space="preserve"> como para garantizar la adecuada operaci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de infraestructura en sectores estrat</w:t>
      </w:r>
      <w:r w:rsidRPr="001D1D1D">
        <w:rPr>
          <w:rFonts w:ascii="ITC Avant Garde" w:eastAsia="Times New Roman" w:hAnsi="ITC Avant Garde" w:cs="ITC Avant Garde"/>
          <w:i/>
          <w:sz w:val="18"/>
          <w:lang w:eastAsia="es-ES"/>
        </w:rPr>
        <w:t>é</w:t>
      </w:r>
      <w:r w:rsidRPr="001D1D1D">
        <w:rPr>
          <w:rFonts w:ascii="ITC Avant Garde" w:eastAsia="Times New Roman" w:hAnsi="ITC Avant Garde" w:cstheme="minorHAnsi"/>
          <w:i/>
          <w:sz w:val="18"/>
          <w:lang w:eastAsia="es-ES"/>
        </w:rPr>
        <w:t>gicos.</w:t>
      </w:r>
    </w:p>
    <w:p w14:paraId="2086FAF7"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Aunado a lo anterior, el segmento 806-814/851</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859 MHz se incluy</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 xml:space="preserve"> en el Programa Anual de Uso y Aprovechamiento de Bandas de Frecuencias (PABF) 2016</w:t>
      </w:r>
      <w:r w:rsidR="00847598" w:rsidRPr="001D1D1D">
        <w:rPr>
          <w:rFonts w:ascii="ITC Avant Garde" w:eastAsia="Times New Roman" w:hAnsi="ITC Avant Garde" w:cstheme="minorHAnsi"/>
          <w:i/>
          <w:sz w:val="18"/>
          <w:lang w:eastAsia="es-ES"/>
        </w:rPr>
        <w:t xml:space="preserve"> y 2017</w:t>
      </w:r>
      <w:r w:rsidR="00847598" w:rsidRPr="001D1D1D">
        <w:rPr>
          <w:rStyle w:val="Refdenotaalpie"/>
          <w:rFonts w:ascii="ITC Avant Garde" w:hAnsi="ITC Avant Garde"/>
          <w:i/>
          <w:sz w:val="18"/>
        </w:rPr>
        <w:footnoteReference w:id="1"/>
      </w:r>
      <w:r w:rsidRPr="001D1D1D">
        <w:rPr>
          <w:rFonts w:ascii="ITC Avant Garde" w:eastAsia="Times New Roman" w:hAnsi="ITC Avant Garde" w:cstheme="minorHAnsi"/>
          <w:i/>
          <w:sz w:val="18"/>
          <w:lang w:eastAsia="es-ES"/>
        </w:rPr>
        <w:t>, publicado</w:t>
      </w:r>
      <w:r w:rsidR="00847598" w:rsidRPr="001D1D1D">
        <w:rPr>
          <w:rFonts w:ascii="ITC Avant Garde" w:eastAsia="Times New Roman" w:hAnsi="ITC Avant Garde" w:cstheme="minorHAnsi"/>
          <w:i/>
          <w:sz w:val="18"/>
          <w:lang w:eastAsia="es-ES"/>
        </w:rPr>
        <w:t>s</w:t>
      </w:r>
      <w:r w:rsidRPr="001D1D1D">
        <w:rPr>
          <w:rFonts w:ascii="ITC Avant Garde" w:eastAsia="Times New Roman" w:hAnsi="ITC Avant Garde" w:cstheme="minorHAnsi"/>
          <w:i/>
          <w:sz w:val="18"/>
          <w:lang w:eastAsia="es-ES"/>
        </w:rPr>
        <w:t xml:space="preserve"> en el Diario Oficial de la Federaci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el 21 de enero de 2016</w:t>
      </w:r>
      <w:r w:rsidR="00847598" w:rsidRPr="001D1D1D">
        <w:rPr>
          <w:rFonts w:ascii="ITC Avant Garde" w:eastAsia="Times New Roman" w:hAnsi="ITC Avant Garde" w:cstheme="minorHAnsi"/>
          <w:i/>
          <w:sz w:val="18"/>
          <w:lang w:eastAsia="es-ES"/>
        </w:rPr>
        <w:t xml:space="preserve"> y el 11 de noviembre de 2016 respectivamente</w:t>
      </w:r>
      <w:r w:rsidRPr="001D1D1D">
        <w:rPr>
          <w:rFonts w:ascii="ITC Avant Garde" w:eastAsia="Times New Roman" w:hAnsi="ITC Avant Garde" w:cstheme="minorHAnsi"/>
          <w:i/>
          <w:sz w:val="18"/>
          <w:lang w:eastAsia="es-ES"/>
        </w:rPr>
        <w:t>, con el objeto de informar sobre la disponibilidad de espectro que pudiera ser objeto a una concesión de uso público para el despliegue de redes de radio troncalizado para aplicaciones de misión crítica en todo el país.</w:t>
      </w:r>
    </w:p>
    <w:p w14:paraId="18E80DBB" w14:textId="77777777" w:rsidR="00381B72" w:rsidRDefault="00847598"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Ahora bien</w:t>
      </w:r>
      <w:r w:rsidR="005814DB" w:rsidRPr="001D1D1D">
        <w:rPr>
          <w:rFonts w:ascii="ITC Avant Garde" w:eastAsia="Times New Roman" w:hAnsi="ITC Avant Garde" w:cstheme="minorHAnsi"/>
          <w:i/>
          <w:sz w:val="18"/>
          <w:lang w:eastAsia="es-ES"/>
        </w:rPr>
        <w:t xml:space="preserve">, en lo que respecta a los servicios de banda ancha móvil, </w:t>
      </w:r>
      <w:r w:rsidRPr="001D1D1D">
        <w:rPr>
          <w:rFonts w:ascii="ITC Avant Garde" w:eastAsia="Times New Roman" w:hAnsi="ITC Avant Garde" w:cstheme="minorHAnsi"/>
          <w:i/>
          <w:sz w:val="18"/>
          <w:lang w:eastAsia="es-ES"/>
        </w:rPr>
        <w:t>estos forman parte de una infraestructura fundamental que impacta directamente en la competitividad nacional de los países en la economía digital mundial. E</w:t>
      </w:r>
      <w:r w:rsidR="005814DB" w:rsidRPr="001D1D1D">
        <w:rPr>
          <w:rFonts w:ascii="ITC Avant Garde" w:eastAsia="Times New Roman" w:hAnsi="ITC Avant Garde" w:cstheme="minorHAnsi"/>
          <w:i/>
          <w:sz w:val="18"/>
          <w:lang w:eastAsia="es-ES"/>
        </w:rPr>
        <w:t>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1AE34CE2"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Es por ello que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060382F9"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En concordancia con lo anterior, el Instituto lleva a cabo un estudio continuo sobre el uso que se da en nuestro país a bandas del espectro radioeléctrico que han sido identificadas por la UIT para las IMT, con el fin de propiciar el uso eficiente del espectro radioeléctrico para la prestación de servicios móviles de banda ancha.</w:t>
      </w:r>
    </w:p>
    <w:p w14:paraId="376EC127"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Específicamente, el espectro comprendido por la banda 698</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960 MHz ha sido identificado por la UIT para su utilizaci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por las administraciones de la Regi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2 que deseen introducir las IMT, esto debido a que sus caracter</w:t>
      </w:r>
      <w:r w:rsidRPr="001D1D1D">
        <w:rPr>
          <w:rFonts w:ascii="ITC Avant Garde" w:eastAsia="Times New Roman" w:hAnsi="ITC Avant Garde" w:cs="ITC Avant Garde"/>
          <w:i/>
          <w:sz w:val="18"/>
          <w:lang w:eastAsia="es-ES"/>
        </w:rPr>
        <w:t>í</w:t>
      </w:r>
      <w:r w:rsidRPr="001D1D1D">
        <w:rPr>
          <w:rFonts w:ascii="ITC Avant Garde" w:eastAsia="Times New Roman" w:hAnsi="ITC Avant Garde" w:cstheme="minorHAnsi"/>
          <w:i/>
          <w:sz w:val="18"/>
          <w:lang w:eastAsia="es-ES"/>
        </w:rPr>
        <w:t>sticas f</w:t>
      </w:r>
      <w:r w:rsidRPr="001D1D1D">
        <w:rPr>
          <w:rFonts w:ascii="ITC Avant Garde" w:eastAsia="Times New Roman" w:hAnsi="ITC Avant Garde" w:cs="ITC Avant Garde"/>
          <w:i/>
          <w:sz w:val="18"/>
          <w:lang w:eastAsia="es-ES"/>
        </w:rPr>
        <w:t>í</w:t>
      </w:r>
      <w:r w:rsidRPr="001D1D1D">
        <w:rPr>
          <w:rFonts w:ascii="ITC Avant Garde" w:eastAsia="Times New Roman" w:hAnsi="ITC Avant Garde" w:cstheme="minorHAnsi"/>
          <w:i/>
          <w:sz w:val="18"/>
          <w:lang w:eastAsia="es-ES"/>
        </w:rPr>
        <w:t>sicas, sus condiciones de propagaci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y la cantidad de espectro contiguo permiten la prestación de servicios móviles de banda ancha con niveles de cobertura y calidad que posibilitan el uso eficiente de los dispositivos móviles. Es por esto que la banda 698</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960 MHz se ha convertido en una de las bandas con mayor impulso y armonización para su utilización por tecnologías móviles de banda ancha.</w:t>
      </w:r>
    </w:p>
    <w:p w14:paraId="7D3B397C"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 xml:space="preserve">Ahora bien, desde el punto de vista de los trabajos de estandarización, </w:t>
      </w:r>
      <w:r w:rsidR="00847598" w:rsidRPr="001D1D1D">
        <w:rPr>
          <w:rFonts w:ascii="ITC Avant Garde" w:eastAsia="Times New Roman" w:hAnsi="ITC Avant Garde" w:cstheme="minorHAnsi"/>
          <w:i/>
          <w:sz w:val="18"/>
          <w:lang w:eastAsia="es-ES"/>
        </w:rPr>
        <w:t xml:space="preserve">el organismo de estandarización </w:t>
      </w:r>
      <w:r w:rsidRPr="001D1D1D">
        <w:rPr>
          <w:rFonts w:ascii="ITC Avant Garde" w:eastAsia="Times New Roman" w:hAnsi="ITC Avant Garde" w:cstheme="minorHAnsi"/>
          <w:i/>
          <w:sz w:val="18"/>
          <w:lang w:eastAsia="es-ES"/>
        </w:rPr>
        <w:t>3GPP (3rd Generation Partnership Project)</w:t>
      </w:r>
      <w:r w:rsidR="00847598" w:rsidRPr="001D1D1D">
        <w:rPr>
          <w:rFonts w:ascii="ITC Avant Garde" w:eastAsia="Times New Roman" w:hAnsi="ITC Avant Garde" w:cstheme="minorHAnsi"/>
          <w:i/>
          <w:sz w:val="18"/>
          <w:lang w:eastAsia="es-ES"/>
        </w:rPr>
        <w:t>,</w:t>
      </w:r>
      <w:r w:rsidRPr="001D1D1D">
        <w:rPr>
          <w:rFonts w:ascii="ITC Avant Garde" w:eastAsia="Times New Roman" w:hAnsi="ITC Avant Garde" w:cstheme="minorHAnsi"/>
          <w:i/>
          <w:sz w:val="18"/>
          <w:lang w:eastAsia="es-ES"/>
        </w:rPr>
        <w:t xml:space="preserve"> ha </w:t>
      </w:r>
      <w:r w:rsidR="00847598" w:rsidRPr="001D1D1D">
        <w:rPr>
          <w:rFonts w:ascii="ITC Avant Garde" w:eastAsia="Times New Roman" w:hAnsi="ITC Avant Garde" w:cstheme="minorHAnsi"/>
          <w:i/>
          <w:sz w:val="18"/>
          <w:lang w:eastAsia="es-ES"/>
        </w:rPr>
        <w:t>desarrollado las especificaciones técnicas para la utilización d</w:t>
      </w:r>
      <w:r w:rsidRPr="001D1D1D">
        <w:rPr>
          <w:rFonts w:ascii="ITC Avant Garde" w:eastAsia="Times New Roman" w:hAnsi="ITC Avant Garde" w:cstheme="minorHAnsi"/>
          <w:i/>
          <w:sz w:val="18"/>
          <w:lang w:eastAsia="es-ES"/>
        </w:rPr>
        <w:t>el segmento 814</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824/859</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869 MHz</w:t>
      </w:r>
      <w:r w:rsidR="00847598" w:rsidRPr="001D1D1D">
        <w:rPr>
          <w:rFonts w:ascii="ITC Avant Garde" w:eastAsia="Times New Roman" w:hAnsi="ITC Avant Garde" w:cstheme="minorHAnsi"/>
          <w:i/>
          <w:sz w:val="18"/>
          <w:lang w:eastAsia="es-ES"/>
        </w:rPr>
        <w:t xml:space="preserve"> por sistemas de banda móvil, los cuales </w:t>
      </w:r>
      <w:r w:rsidRPr="001D1D1D">
        <w:rPr>
          <w:rFonts w:ascii="ITC Avant Garde" w:eastAsia="Times New Roman" w:hAnsi="ITC Avant Garde" w:cstheme="minorHAnsi"/>
          <w:i/>
          <w:sz w:val="18"/>
          <w:lang w:eastAsia="es-ES"/>
        </w:rPr>
        <w:t>aprovechan ventajas como la de contar con espectro contiguo para tales aplicaciones y la flexibilidad en las opciones de segmentación de la banda.</w:t>
      </w:r>
    </w:p>
    <w:p w14:paraId="3AEBB7DB"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lastRenderedPageBreak/>
        <w:t>Es por esto que se prevé que el segmento 814-824/859</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869 MHz sea empleado para la introducci</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n de las IMT en la banda, con el objetivo de promover el acceso a los servicios de banda ancha m</w:t>
      </w:r>
      <w:r w:rsidRPr="001D1D1D">
        <w:rPr>
          <w:rFonts w:ascii="ITC Avant Garde" w:eastAsia="Times New Roman" w:hAnsi="ITC Avant Garde" w:cs="ITC Avant Garde"/>
          <w:i/>
          <w:sz w:val="18"/>
          <w:lang w:eastAsia="es-ES"/>
        </w:rPr>
        <w:t>ó</w:t>
      </w:r>
      <w:r w:rsidRPr="001D1D1D">
        <w:rPr>
          <w:rFonts w:ascii="ITC Avant Garde" w:eastAsia="Times New Roman" w:hAnsi="ITC Avant Garde" w:cstheme="minorHAnsi"/>
          <w:i/>
          <w:sz w:val="18"/>
          <w:lang w:eastAsia="es-ES"/>
        </w:rPr>
        <w:t>vil, as</w:t>
      </w:r>
      <w:r w:rsidRPr="001D1D1D">
        <w:rPr>
          <w:rFonts w:ascii="ITC Avant Garde" w:eastAsia="Times New Roman" w:hAnsi="ITC Avant Garde" w:cs="ITC Avant Garde"/>
          <w:i/>
          <w:sz w:val="18"/>
          <w:lang w:eastAsia="es-ES"/>
        </w:rPr>
        <w:t>í</w:t>
      </w:r>
      <w:r w:rsidRPr="001D1D1D">
        <w:rPr>
          <w:rFonts w:ascii="ITC Avant Garde" w:eastAsia="Times New Roman" w:hAnsi="ITC Avant Garde" w:cstheme="minorHAnsi"/>
          <w:i/>
          <w:sz w:val="18"/>
          <w:lang w:eastAsia="es-ES"/>
        </w:rPr>
        <w:t xml:space="preserve"> como fomentar el uso eficaz del espectro radioel</w:t>
      </w:r>
      <w:r w:rsidRPr="001D1D1D">
        <w:rPr>
          <w:rFonts w:ascii="ITC Avant Garde" w:eastAsia="Times New Roman" w:hAnsi="ITC Avant Garde" w:cs="ITC Avant Garde"/>
          <w:i/>
          <w:sz w:val="18"/>
          <w:lang w:eastAsia="es-ES"/>
        </w:rPr>
        <w:t>é</w:t>
      </w:r>
      <w:r w:rsidRPr="001D1D1D">
        <w:rPr>
          <w:rFonts w:ascii="ITC Avant Garde" w:eastAsia="Times New Roman" w:hAnsi="ITC Avant Garde" w:cstheme="minorHAnsi"/>
          <w:i/>
          <w:sz w:val="18"/>
          <w:lang w:eastAsia="es-ES"/>
        </w:rPr>
        <w:t xml:space="preserve">ctrico. </w:t>
      </w:r>
    </w:p>
    <w:p w14:paraId="15D276C1" w14:textId="77777777" w:rsidR="00381B72" w:rsidRDefault="005814DB"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En virtud de todo lo expuesto anteriormente, dentro de las labores que se están llevando a cabo en este Instituto en materia de planificación del espectro, el segmento 806-814/851</w:t>
      </w:r>
      <w:r w:rsidRPr="001D1D1D">
        <w:rPr>
          <w:rFonts w:ascii="Cambria Math" w:eastAsia="Times New Roman" w:hAnsi="Cambria Math" w:cs="Cambria Math"/>
          <w:i/>
          <w:sz w:val="18"/>
          <w:lang w:eastAsia="es-ES"/>
        </w:rPr>
        <w:t>‐</w:t>
      </w:r>
      <w:r w:rsidRPr="001D1D1D">
        <w:rPr>
          <w:rFonts w:ascii="ITC Avant Garde" w:eastAsia="Times New Roman" w:hAnsi="ITC Avant Garde" w:cstheme="minorHAnsi"/>
          <w:i/>
          <w:sz w:val="18"/>
          <w:lang w:eastAsia="es-ES"/>
        </w:rPr>
        <w:t>859 MHz se</w:t>
      </w:r>
      <w:r w:rsidR="00847598" w:rsidRPr="001D1D1D">
        <w:rPr>
          <w:rFonts w:ascii="ITC Avant Garde" w:eastAsia="Times New Roman" w:hAnsi="ITC Avant Garde" w:cstheme="minorHAnsi"/>
          <w:i/>
          <w:sz w:val="18"/>
          <w:lang w:eastAsia="es-ES"/>
        </w:rPr>
        <w:t>rá</w:t>
      </w:r>
      <w:r w:rsidRPr="001D1D1D">
        <w:rPr>
          <w:rFonts w:ascii="ITC Avant Garde" w:eastAsia="Times New Roman" w:hAnsi="ITC Avant Garde" w:cstheme="minorHAnsi"/>
          <w:i/>
          <w:sz w:val="18"/>
          <w:lang w:eastAsia="es-ES"/>
        </w:rPr>
        <w:t xml:space="preserve"> empleado para el servicio de </w:t>
      </w:r>
      <w:r w:rsidR="00847598" w:rsidRPr="001D1D1D">
        <w:rPr>
          <w:rFonts w:ascii="ITC Avant Garde" w:eastAsia="Times New Roman" w:hAnsi="ITC Avant Garde" w:cstheme="minorHAnsi"/>
          <w:i/>
          <w:sz w:val="18"/>
          <w:lang w:eastAsia="es-ES"/>
        </w:rPr>
        <w:t xml:space="preserve">banda angosta de uso público limitado a aplicaciones de misión crítica, </w:t>
      </w:r>
      <w:r w:rsidRPr="001D1D1D">
        <w:rPr>
          <w:rFonts w:ascii="ITC Avant Garde" w:eastAsia="Times New Roman" w:hAnsi="ITC Avant Garde" w:cstheme="minorHAnsi"/>
          <w:i/>
          <w:sz w:val="18"/>
          <w:lang w:eastAsia="es-ES"/>
        </w:rPr>
        <w:t>conforme lo establecido en el Plan de la Banda 806-824/851-869 MHz</w:t>
      </w:r>
      <w:r w:rsidR="00847598" w:rsidRPr="001D1D1D">
        <w:rPr>
          <w:rStyle w:val="Refdenotaalpie"/>
          <w:rFonts w:ascii="ITC Avant Garde" w:hAnsi="ITC Avant Garde"/>
          <w:i/>
          <w:sz w:val="18"/>
        </w:rPr>
        <w:footnoteReference w:id="2"/>
      </w:r>
      <w:r w:rsidRPr="001D1D1D">
        <w:rPr>
          <w:rFonts w:ascii="ITC Avant Garde" w:eastAsia="Times New Roman" w:hAnsi="ITC Avant Garde" w:cstheme="minorHAnsi"/>
          <w:i/>
          <w:sz w:val="18"/>
          <w:lang w:eastAsia="es-ES"/>
        </w:rPr>
        <w:t xml:space="preserve">. En tal sentido, el uso solicitado es compatible con el uso planificado exclusivamente en el segmento </w:t>
      </w:r>
      <w:r w:rsidRPr="001D1D1D">
        <w:rPr>
          <w:rFonts w:ascii="ITC Avant Garde" w:eastAsia="Times New Roman" w:hAnsi="ITC Avant Garde" w:cstheme="minorHAnsi"/>
          <w:b/>
          <w:i/>
          <w:sz w:val="18"/>
          <w:lang w:eastAsia="es-ES"/>
        </w:rPr>
        <w:t>806-814/851</w:t>
      </w:r>
      <w:r w:rsidRPr="001D1D1D">
        <w:rPr>
          <w:rFonts w:ascii="Cambria Math" w:eastAsia="Times New Roman" w:hAnsi="Cambria Math" w:cs="Cambria Math"/>
          <w:b/>
          <w:i/>
          <w:sz w:val="18"/>
          <w:lang w:eastAsia="es-ES"/>
        </w:rPr>
        <w:t>‐</w:t>
      </w:r>
      <w:r w:rsidRPr="001D1D1D">
        <w:rPr>
          <w:rFonts w:ascii="ITC Avant Garde" w:eastAsia="Times New Roman" w:hAnsi="ITC Avant Garde" w:cstheme="minorHAnsi"/>
          <w:b/>
          <w:i/>
          <w:sz w:val="18"/>
          <w:lang w:eastAsia="es-ES"/>
        </w:rPr>
        <w:t>859 MHz.</w:t>
      </w:r>
      <w:r w:rsidRPr="001D1D1D">
        <w:rPr>
          <w:rFonts w:ascii="ITC Avant Garde" w:eastAsia="Times New Roman" w:hAnsi="ITC Avant Garde" w:cstheme="minorHAnsi"/>
          <w:i/>
          <w:sz w:val="18"/>
          <w:lang w:eastAsia="es-ES"/>
        </w:rPr>
        <w:t xml:space="preserve"> </w:t>
      </w:r>
    </w:p>
    <w:p w14:paraId="348F17A6" w14:textId="77777777" w:rsidR="00381B72" w:rsidRDefault="00847598" w:rsidP="00381B72">
      <w:pPr>
        <w:spacing w:afterLines="120" w:after="288" w:line="240" w:lineRule="auto"/>
        <w:ind w:left="567" w:right="615"/>
        <w:jc w:val="both"/>
        <w:rPr>
          <w:rFonts w:ascii="ITC Avant Garde" w:eastAsia="Times New Roman" w:hAnsi="ITC Avant Garde" w:cstheme="minorHAnsi"/>
          <w:i/>
          <w:sz w:val="18"/>
          <w:lang w:eastAsia="es-ES"/>
        </w:rPr>
      </w:pPr>
      <w:r w:rsidRPr="001D1D1D">
        <w:rPr>
          <w:rFonts w:ascii="ITC Avant Garde" w:eastAsia="Times New Roman" w:hAnsi="ITC Avant Garde" w:cstheme="minorHAnsi"/>
          <w:i/>
          <w:sz w:val="18"/>
          <w:lang w:eastAsia="es-ES"/>
        </w:rPr>
        <w:t>Aunado a lo anterior</w:t>
      </w:r>
      <w:r w:rsidR="005814DB" w:rsidRPr="001D1D1D">
        <w:rPr>
          <w:rFonts w:ascii="ITC Avant Garde" w:eastAsia="Times New Roman" w:hAnsi="ITC Avant Garde" w:cstheme="minorHAnsi"/>
          <w:i/>
          <w:sz w:val="18"/>
          <w:lang w:eastAsia="es-ES"/>
        </w:rPr>
        <w:t xml:space="preserve">, </w:t>
      </w:r>
      <w:r w:rsidRPr="001D1D1D">
        <w:rPr>
          <w:rFonts w:ascii="ITC Avant Garde" w:eastAsia="Times New Roman" w:hAnsi="ITC Avant Garde" w:cstheme="minorHAnsi"/>
          <w:i/>
          <w:sz w:val="18"/>
          <w:lang w:eastAsia="es-ES"/>
        </w:rPr>
        <w:t xml:space="preserve">con el objeto de propiciar el </w:t>
      </w:r>
      <w:r w:rsidR="005814DB" w:rsidRPr="001D1D1D">
        <w:rPr>
          <w:rFonts w:ascii="ITC Avant Garde" w:eastAsia="Times New Roman" w:hAnsi="ITC Avant Garde" w:cstheme="minorHAnsi"/>
          <w:i/>
          <w:sz w:val="18"/>
          <w:lang w:eastAsia="es-ES"/>
        </w:rPr>
        <w:t xml:space="preserve">uso </w:t>
      </w:r>
      <w:r w:rsidRPr="001D1D1D">
        <w:rPr>
          <w:rFonts w:ascii="ITC Avant Garde" w:eastAsia="Times New Roman" w:hAnsi="ITC Avant Garde" w:cstheme="minorHAnsi"/>
          <w:i/>
          <w:sz w:val="18"/>
          <w:lang w:eastAsia="es-ES"/>
        </w:rPr>
        <w:t>óptimo del espectro radioeléctrico, se recomienda que la operación del SMREF sea a través de perfiles tecnológicos de última generación, los cuales tengan la capacidad de utilizar menores anchos de banda de canal que maximicen el uso del espectro radioeléctrico.</w:t>
      </w:r>
    </w:p>
    <w:p w14:paraId="29416EA7" w14:textId="46227FD6" w:rsidR="00853AB3" w:rsidRPr="001D1D1D" w:rsidRDefault="00853AB3" w:rsidP="00381B72">
      <w:pPr>
        <w:spacing w:afterLines="50" w:after="120" w:line="240" w:lineRule="auto"/>
        <w:ind w:left="567" w:right="615"/>
        <w:jc w:val="both"/>
        <w:rPr>
          <w:rFonts w:ascii="ITC Avant Garde" w:eastAsia="Times New Roman" w:hAnsi="ITC Avant Garde" w:cstheme="minorHAnsi"/>
          <w:b/>
          <w:i/>
          <w:sz w:val="18"/>
          <w:lang w:eastAsia="es-ES"/>
        </w:rPr>
      </w:pPr>
      <w:r w:rsidRPr="001D1D1D">
        <w:rPr>
          <w:rFonts w:ascii="ITC Avant Garde" w:eastAsia="Times New Roman" w:hAnsi="ITC Avant Garde" w:cstheme="minorHAnsi"/>
          <w:b/>
          <w:i/>
          <w:sz w:val="18"/>
          <w:lang w:eastAsia="es-ES"/>
        </w:rPr>
        <w:t>5. Reordenamiento de la Banda: 806-824/851-869 MHz</w:t>
      </w:r>
    </w:p>
    <w:p w14:paraId="215E0DA2" w14:textId="77777777" w:rsidR="00381B72" w:rsidRDefault="00853AB3"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Arial"/>
          <w:b/>
          <w:i/>
          <w:iCs/>
          <w:sz w:val="18"/>
        </w:rPr>
        <w:t>5.1</w:t>
      </w:r>
      <w:r w:rsidR="00CC43ED" w:rsidRPr="001D1D1D">
        <w:rPr>
          <w:rFonts w:ascii="ITC Avant Garde" w:hAnsi="ITC Avant Garde" w:cs="Arial"/>
          <w:b/>
          <w:i/>
          <w:iCs/>
          <w:sz w:val="18"/>
        </w:rPr>
        <w:t>.</w:t>
      </w:r>
      <w:r w:rsidRPr="001D1D1D">
        <w:rPr>
          <w:rFonts w:ascii="ITC Avant Garde" w:hAnsi="ITC Avant Garde" w:cs="Arial"/>
          <w:b/>
          <w:i/>
          <w:iCs/>
          <w:sz w:val="18"/>
        </w:rPr>
        <w:t xml:space="preserve"> Acciones de Optimización del Espectro</w:t>
      </w:r>
    </w:p>
    <w:p w14:paraId="4F28B4BB"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Es primordial garantizar el uso eficaz y eficiente del espectro radioeléctrico, por lo que se considera fundamental que el país cuente con espectro disponible para nuevas aplicaciones y para la utilización creciente de las aplicaciones existentes. </w:t>
      </w:r>
    </w:p>
    <w:p w14:paraId="0C74F7E5"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Con el objeto de lograr esto, la reorganización resulta una actividad necesaria. Es así que la UIT a través de su recomendación UIT-R SM. 1603-1 establece </w:t>
      </w:r>
      <w:r w:rsidR="00CC43ED" w:rsidRPr="001D1D1D">
        <w:rPr>
          <w:rFonts w:ascii="ITC Avant Garde" w:hAnsi="ITC Avant Garde" w:cs="Tahoma"/>
          <w:bCs/>
          <w:i/>
          <w:sz w:val="18"/>
          <w:lang w:eastAsia="es-MX"/>
        </w:rPr>
        <w:t>que `</w:t>
      </w:r>
      <w:r w:rsidRPr="001D1D1D">
        <w:rPr>
          <w:rFonts w:ascii="ITC Avant Garde" w:hAnsi="ITC Avant Garde" w:cs="Tahoma"/>
          <w:bCs/>
          <w:i/>
          <w:sz w:val="18"/>
          <w:lang w:eastAsia="es-MX"/>
        </w:rPr>
        <w:t>La reorganización del espectro es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CC43ED" w:rsidRPr="001D1D1D">
        <w:rPr>
          <w:rFonts w:ascii="ITC Avant Garde" w:hAnsi="ITC Avant Garde" w:cs="Tahoma"/>
          <w:bCs/>
          <w:i/>
          <w:sz w:val="18"/>
          <w:lang w:eastAsia="es-MX"/>
        </w:rPr>
        <w:t>´</w:t>
      </w:r>
      <w:r w:rsidRPr="001D1D1D">
        <w:rPr>
          <w:rFonts w:ascii="ITC Avant Garde" w:hAnsi="ITC Avant Garde" w:cs="Tahoma"/>
          <w:bCs/>
          <w:i/>
          <w:sz w:val="18"/>
          <w:lang w:eastAsia="es-MX"/>
        </w:rPr>
        <w:t>.</w:t>
      </w:r>
    </w:p>
    <w:p w14:paraId="61D2CB7B"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En este sentido, en las bandas de frecuencias que estén sujetas a una reorganización, se tendrán que considerar cambios sustanciales como el uso de la banda de frecuencias para fines distintos a los originalmente establecidos, la determinación de espectro para nuevas aplicaciones, aumentar la disponibilidad de espectro para el uso de las aplicaciones existentes, evitar que haya un uso atomizado del espectro, llevar a cabo una adecuada </w:t>
      </w:r>
      <w:r w:rsidR="00452C00" w:rsidRPr="001D1D1D">
        <w:rPr>
          <w:rFonts w:ascii="ITC Avant Garde" w:hAnsi="ITC Avant Garde" w:cs="Tahoma"/>
          <w:bCs/>
          <w:i/>
          <w:sz w:val="18"/>
          <w:lang w:eastAsia="es-MX"/>
        </w:rPr>
        <w:t>re</w:t>
      </w:r>
      <w:r w:rsidRPr="001D1D1D">
        <w:rPr>
          <w:rFonts w:ascii="ITC Avant Garde" w:hAnsi="ITC Avant Garde" w:cs="Tahoma"/>
          <w:bCs/>
          <w:i/>
          <w:sz w:val="18"/>
          <w:lang w:eastAsia="es-MX"/>
        </w:rPr>
        <w:t>organización del espectro, entre otros. Asimismo, en estos procesos es de vital importancia considerar la importancia de la interacción de diversas medidas tanto técnicas como administrativas.</w:t>
      </w:r>
    </w:p>
    <w:p w14:paraId="7F09E047"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Cabe destacar que para poder determinar la viabilidad de reorganizar una banda de frecuencias, se debe analizar el uso que se le da a este recurso para identificar si este es el más óptimo, y evaluar la posibilidad de diseñar e implementar estrategias que sugieran un mejor uso y la explotación adecuada del mismo. </w:t>
      </w:r>
    </w:p>
    <w:p w14:paraId="01C1F8A7"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Particularmente en la banda 806-824/851-869 MHz, resulta necesario llevar a cabo diversas acciones de optimización del espectro radioeléctrico conforme lo establecido en el </w:t>
      </w:r>
      <w:r w:rsidRPr="001D1D1D">
        <w:rPr>
          <w:rFonts w:ascii="ITC Avant Garde" w:hAnsi="ITC Avant Garde" w:cs="Tahoma"/>
          <w:b/>
          <w:bCs/>
          <w:i/>
          <w:sz w:val="18"/>
          <w:lang w:eastAsia="es-MX"/>
        </w:rPr>
        <w:t>Plan de la banda 806-824/851-869 MHz</w:t>
      </w:r>
      <w:r w:rsidRPr="001D1D1D">
        <w:rPr>
          <w:rFonts w:ascii="ITC Avant Garde" w:hAnsi="ITC Avant Garde" w:cs="Tahoma"/>
          <w:bCs/>
          <w:i/>
          <w:sz w:val="18"/>
          <w:lang w:eastAsia="es-MX"/>
        </w:rPr>
        <w:t xml:space="preserve"> </w:t>
      </w:r>
      <w:r w:rsidR="00424BD5" w:rsidRPr="001D1D1D">
        <w:rPr>
          <w:rStyle w:val="Refdenotaalpie"/>
          <w:rFonts w:ascii="ITC Avant Garde" w:hAnsi="ITC Avant Garde" w:cs="Tahoma"/>
          <w:bCs/>
          <w:i/>
          <w:sz w:val="18"/>
          <w:lang w:eastAsia="es-MX"/>
        </w:rPr>
        <w:footnoteReference w:id="3"/>
      </w:r>
      <w:r w:rsidRPr="001D1D1D">
        <w:rPr>
          <w:rFonts w:ascii="ITC Avant Garde" w:hAnsi="ITC Avant Garde" w:cs="Tahoma"/>
          <w:bCs/>
          <w:i/>
          <w:sz w:val="18"/>
          <w:lang w:eastAsia="es-MX"/>
        </w:rPr>
        <w:t xml:space="preserve">, en el cual se determina que el segmento 806-814/851-859 MHz será utilizado para la provisión del servicio de banda angosta de uso público limitado a </w:t>
      </w:r>
      <w:r w:rsidRPr="001D1D1D">
        <w:rPr>
          <w:rFonts w:ascii="ITC Avant Garde" w:hAnsi="ITC Avant Garde" w:cs="Tahoma"/>
          <w:bCs/>
          <w:i/>
          <w:sz w:val="18"/>
          <w:lang w:eastAsia="es-MX"/>
        </w:rPr>
        <w:lastRenderedPageBreak/>
        <w:t>aplicaciones de misión crítica, mientras que el segmento 814-824/859-869 MHz será destinado para la provisión del servicio móvil de banda ancha para uso comercial.</w:t>
      </w:r>
    </w:p>
    <w:p w14:paraId="56C7DE01" w14:textId="2F1989A3"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lang w:eastAsia="es-MX"/>
        </w:rPr>
      </w:pPr>
      <w:r w:rsidRPr="001D1D1D">
        <w:rPr>
          <w:rFonts w:ascii="ITC Avant Garde" w:hAnsi="ITC Avant Garde" w:cs="Tahoma"/>
          <w:bCs/>
          <w:i/>
          <w:sz w:val="18"/>
          <w:lang w:eastAsia="es-MX"/>
        </w:rPr>
        <w:t xml:space="preserve">Para el caso que nos ocupa y en lo que respecta al SMREF, es importante resaltar que existen estándares desarrollados para la banda de frecuencias en comento, que permiten brindar un funcionamiento óptimo de la tecnología bajo la utilización de anchos de banda de canal más pequeños, lo que abre la posibilidad de adicionar funcionalidades para este tipo de aplicaciones, como por ejemplo, la provisión de servicios para una mayor cantidad de usuarios. </w:t>
      </w:r>
    </w:p>
    <w:p w14:paraId="333EAC6E" w14:textId="77777777" w:rsidR="00381B72" w:rsidRDefault="00DE74F5" w:rsidP="00381B72">
      <w:pPr>
        <w:autoSpaceDE w:val="0"/>
        <w:autoSpaceDN w:val="0"/>
        <w:adjustRightInd w:val="0"/>
        <w:spacing w:afterLines="120" w:after="288" w:line="240" w:lineRule="auto"/>
        <w:ind w:left="567" w:right="615"/>
        <w:jc w:val="both"/>
        <w:rPr>
          <w:rFonts w:ascii="ITC Avant Garde" w:hAnsi="ITC Avant Garde" w:cs="Tahoma"/>
          <w:bCs/>
          <w:i/>
          <w:sz w:val="18"/>
          <w:highlight w:val="yellow"/>
          <w:lang w:eastAsia="es-MX"/>
        </w:rPr>
      </w:pPr>
      <w:r w:rsidRPr="001D1D1D">
        <w:rPr>
          <w:rFonts w:ascii="ITC Avant Garde" w:hAnsi="ITC Avant Garde" w:cs="Tahoma"/>
          <w:bCs/>
          <w:i/>
          <w:sz w:val="18"/>
          <w:lang w:eastAsia="es-MX"/>
        </w:rPr>
        <w:t>En esta tesitura, con el propósito de realizar un uso eficiente de la banda de frecuencias 806-824/851-869 MHz, tanto para la prestación del servicio móvil de banda ancha, como para la prestación de servicios de banda angosta de misión crítica, el 1 de septiembre de 2016 el Pleno del Instituto en su XXVII Sesión Ordinaria aprobó el Acuerdo de Reordenamiento en la banda de 800 MHz,</w:t>
      </w:r>
      <w:r w:rsidR="00452C00" w:rsidRPr="001D1D1D">
        <w:rPr>
          <w:rFonts w:ascii="ITC Avant Garde" w:hAnsi="ITC Avant Garde" w:cs="Tahoma"/>
          <w:bCs/>
          <w:i/>
          <w:sz w:val="18"/>
          <w:lang w:eastAsia="es-MX"/>
        </w:rPr>
        <w:t xml:space="preserve"> mismo que fue publicado el 13 de septiembre del mismo año en el Diario Oficial de la Federación</w:t>
      </w:r>
      <w:r w:rsidR="00452C00" w:rsidRPr="001D1D1D">
        <w:rPr>
          <w:rStyle w:val="Refdenotaalpie"/>
          <w:rFonts w:ascii="ITC Avant Garde" w:hAnsi="ITC Avant Garde" w:cs="Tahoma"/>
          <w:bCs/>
          <w:i/>
          <w:sz w:val="18"/>
          <w:lang w:eastAsia="es-MX"/>
        </w:rPr>
        <w:footnoteReference w:id="4"/>
      </w:r>
      <w:r w:rsidR="00452C00" w:rsidRPr="001D1D1D">
        <w:rPr>
          <w:rFonts w:ascii="ITC Avant Garde" w:hAnsi="ITC Avant Garde" w:cs="Tahoma"/>
          <w:bCs/>
          <w:i/>
          <w:sz w:val="18"/>
          <w:lang w:eastAsia="es-MX"/>
        </w:rPr>
        <w:t>.</w:t>
      </w:r>
      <w:r w:rsidRPr="001D1D1D">
        <w:rPr>
          <w:rFonts w:ascii="ITC Avant Garde" w:hAnsi="ITC Avant Garde" w:cs="Tahoma"/>
          <w:bCs/>
          <w:i/>
          <w:sz w:val="18"/>
          <w:lang w:eastAsia="es-MX"/>
        </w:rPr>
        <w:t xml:space="preserve"> </w:t>
      </w:r>
      <w:r w:rsidR="00452C00" w:rsidRPr="001D1D1D">
        <w:rPr>
          <w:rFonts w:ascii="ITC Avant Garde" w:hAnsi="ITC Avant Garde" w:cs="Tahoma"/>
          <w:bCs/>
          <w:i/>
          <w:sz w:val="18"/>
          <w:lang w:eastAsia="es-MX"/>
        </w:rPr>
        <w:t xml:space="preserve">En el citado plan, </w:t>
      </w:r>
      <w:r w:rsidRPr="001D1D1D">
        <w:rPr>
          <w:rFonts w:ascii="ITC Avant Garde" w:hAnsi="ITC Avant Garde" w:cs="Tahoma"/>
          <w:bCs/>
          <w:i/>
          <w:sz w:val="18"/>
          <w:lang w:eastAsia="es-MX"/>
        </w:rPr>
        <w:t xml:space="preserve">se establecen los procesos asociados al reordenamiento de la banda de frecuencias en cuestión, </w:t>
      </w:r>
      <w:r w:rsidR="00452C00" w:rsidRPr="001D1D1D">
        <w:rPr>
          <w:rFonts w:ascii="ITC Avant Garde" w:hAnsi="ITC Avant Garde" w:cs="Tahoma"/>
          <w:bCs/>
          <w:i/>
          <w:sz w:val="18"/>
          <w:lang w:eastAsia="es-MX"/>
        </w:rPr>
        <w:t xml:space="preserve">se </w:t>
      </w:r>
      <w:r w:rsidRPr="001D1D1D">
        <w:rPr>
          <w:rFonts w:ascii="ITC Avant Garde" w:hAnsi="ITC Avant Garde" w:cs="Tahoma"/>
          <w:bCs/>
          <w:i/>
          <w:sz w:val="18"/>
          <w:lang w:eastAsia="es-MX"/>
        </w:rPr>
        <w:t>indic</w:t>
      </w:r>
      <w:r w:rsidR="00452C00" w:rsidRPr="001D1D1D">
        <w:rPr>
          <w:rFonts w:ascii="ITC Avant Garde" w:hAnsi="ITC Avant Garde" w:cs="Tahoma"/>
          <w:bCs/>
          <w:i/>
          <w:sz w:val="18"/>
          <w:lang w:eastAsia="es-MX"/>
        </w:rPr>
        <w:t>an</w:t>
      </w:r>
      <w:r w:rsidRPr="001D1D1D">
        <w:rPr>
          <w:rFonts w:ascii="ITC Avant Garde" w:hAnsi="ITC Avant Garde" w:cs="Tahoma"/>
          <w:bCs/>
          <w:i/>
          <w:sz w:val="18"/>
          <w:lang w:eastAsia="es-MX"/>
        </w:rPr>
        <w:t xml:space="preserve"> los diferentes movimientos que se tienen previstos para cada uno de los usuarios o tenedores de espectro</w:t>
      </w:r>
      <w:r w:rsidR="00452C00" w:rsidRPr="001D1D1D">
        <w:rPr>
          <w:rFonts w:ascii="ITC Avant Garde" w:hAnsi="ITC Avant Garde" w:cs="Tahoma"/>
          <w:bCs/>
          <w:i/>
          <w:sz w:val="18"/>
          <w:lang w:eastAsia="es-MX"/>
        </w:rPr>
        <w:t xml:space="preserve"> y</w:t>
      </w:r>
      <w:r w:rsidRPr="001D1D1D">
        <w:rPr>
          <w:rFonts w:ascii="ITC Avant Garde" w:hAnsi="ITC Avant Garde" w:cs="Tahoma"/>
          <w:bCs/>
          <w:i/>
          <w:sz w:val="18"/>
          <w:lang w:eastAsia="es-MX"/>
        </w:rPr>
        <w:t xml:space="preserve">, </w:t>
      </w:r>
      <w:r w:rsidR="00452C00" w:rsidRPr="001D1D1D">
        <w:rPr>
          <w:rFonts w:ascii="ITC Avant Garde" w:hAnsi="ITC Avant Garde" w:cs="Tahoma"/>
          <w:bCs/>
          <w:i/>
          <w:sz w:val="18"/>
          <w:lang w:eastAsia="es-MX"/>
        </w:rPr>
        <w:t xml:space="preserve">se </w:t>
      </w:r>
      <w:r w:rsidRPr="001D1D1D">
        <w:rPr>
          <w:rFonts w:ascii="ITC Avant Garde" w:hAnsi="ITC Avant Garde" w:cs="Tahoma"/>
          <w:bCs/>
          <w:i/>
          <w:sz w:val="18"/>
          <w:lang w:eastAsia="es-MX"/>
        </w:rPr>
        <w:t>señalan las bandas de origen y destino para cada uno de los casos.</w:t>
      </w:r>
    </w:p>
    <w:p w14:paraId="246619DD" w14:textId="77777777" w:rsidR="00381B72" w:rsidRDefault="00853AB3" w:rsidP="00381B72">
      <w:pPr>
        <w:autoSpaceDE w:val="0"/>
        <w:autoSpaceDN w:val="0"/>
        <w:adjustRightInd w:val="0"/>
        <w:spacing w:afterLines="120" w:after="288" w:line="240" w:lineRule="auto"/>
        <w:ind w:left="567" w:right="615"/>
        <w:jc w:val="both"/>
        <w:rPr>
          <w:rFonts w:ascii="ITC Avant Garde" w:hAnsi="ITC Avant Garde" w:cs="Arial"/>
          <w:b/>
          <w:i/>
          <w:iCs/>
          <w:sz w:val="18"/>
        </w:rPr>
      </w:pPr>
      <w:r w:rsidRPr="001D1D1D">
        <w:rPr>
          <w:rFonts w:ascii="ITC Avant Garde" w:hAnsi="ITC Avant Garde" w:cs="Arial"/>
          <w:b/>
          <w:i/>
          <w:iCs/>
          <w:sz w:val="18"/>
        </w:rPr>
        <w:t>5.2</w:t>
      </w:r>
      <w:r w:rsidR="001B4F2F" w:rsidRPr="001D1D1D">
        <w:rPr>
          <w:rFonts w:ascii="ITC Avant Garde" w:hAnsi="ITC Avant Garde" w:cs="Arial"/>
          <w:b/>
          <w:i/>
          <w:iCs/>
          <w:sz w:val="18"/>
        </w:rPr>
        <w:t>.</w:t>
      </w:r>
      <w:r w:rsidRPr="001D1D1D">
        <w:rPr>
          <w:rFonts w:ascii="ITC Avant Garde" w:hAnsi="ITC Avant Garde" w:cs="Arial"/>
          <w:b/>
          <w:i/>
          <w:iCs/>
          <w:sz w:val="18"/>
        </w:rPr>
        <w:t xml:space="preserve"> Consideraciones del reordenamiento</w:t>
      </w:r>
    </w:p>
    <w:p w14:paraId="64DAE858" w14:textId="77777777" w:rsidR="00381B72" w:rsidRDefault="00294D4B" w:rsidP="00381B72">
      <w:pPr>
        <w:spacing w:afterLines="120" w:after="288" w:line="240" w:lineRule="auto"/>
        <w:ind w:left="567" w:right="615"/>
        <w:jc w:val="both"/>
        <w:rPr>
          <w:rFonts w:ascii="ITC Avant Garde" w:hAnsi="ITC Avant Garde" w:cs="Arial"/>
          <w:bCs/>
          <w:i/>
          <w:iCs/>
          <w:sz w:val="18"/>
        </w:rPr>
      </w:pPr>
      <w:r w:rsidRPr="001D1D1D">
        <w:rPr>
          <w:rFonts w:ascii="ITC Avant Garde" w:hAnsi="ITC Avant Garde" w:cs="Arial"/>
          <w:bCs/>
          <w:i/>
          <w:iCs/>
          <w:sz w:val="18"/>
        </w:rPr>
        <w:t>El Informe `</w:t>
      </w:r>
      <w:r w:rsidR="00DE74F5" w:rsidRPr="001D1D1D">
        <w:rPr>
          <w:rFonts w:ascii="ITC Avant Garde" w:hAnsi="ITC Avant Garde" w:cs="Arial"/>
          <w:bCs/>
          <w:i/>
          <w:iCs/>
          <w:sz w:val="18"/>
        </w:rPr>
        <w:t>UIT-R M.2033 Objetivos y requisitos de las radiocomunicaciones de protección p</w:t>
      </w:r>
      <w:r w:rsidRPr="001D1D1D">
        <w:rPr>
          <w:rFonts w:ascii="ITC Avant Garde" w:hAnsi="ITC Avant Garde" w:cs="Arial"/>
          <w:bCs/>
          <w:i/>
          <w:iCs/>
          <w:sz w:val="18"/>
        </w:rPr>
        <w:t>ública y operaciones de socorro´</w:t>
      </w:r>
      <w:r w:rsidR="00DE74F5" w:rsidRPr="001D1D1D">
        <w:rPr>
          <w:rFonts w:ascii="ITC Avant Garde" w:hAnsi="ITC Avant Garde" w:cs="Arial"/>
          <w:bCs/>
          <w:i/>
          <w:iCs/>
          <w:sz w:val="18"/>
        </w:rPr>
        <w:t>, define Aplicaci</w:t>
      </w:r>
      <w:r w:rsidR="005B0769" w:rsidRPr="001D1D1D">
        <w:rPr>
          <w:rFonts w:ascii="ITC Avant Garde" w:hAnsi="ITC Avant Garde" w:cs="Arial"/>
          <w:bCs/>
          <w:i/>
          <w:iCs/>
          <w:sz w:val="18"/>
        </w:rPr>
        <w:t>ones de Misión Crítica como `</w:t>
      </w:r>
      <w:r w:rsidR="00DE74F5" w:rsidRPr="001D1D1D">
        <w:rPr>
          <w:rFonts w:ascii="ITC Avant Garde" w:hAnsi="ITC Avant Garde" w:cs="Arial"/>
          <w:bCs/>
          <w:i/>
          <w:iCs/>
          <w:sz w:val="18"/>
        </w:rPr>
        <w:t>aquellas aplicaciones desempeñadas por organizaciones y agencias competentes para prevenir o enfrentar una perturbación grave del funcionamiento de la sociedad que supone una amenaza importante y generalizada para la vida humana, la salud, los bienes o el medio ambiente, ya sea provocada por un accidente, por la naturaleza o por el hombre, tanto de aparición súbita como resultado de un proceso de generación complejo de largo plazo</w:t>
      </w:r>
      <w:r w:rsidR="005B0769" w:rsidRPr="001D1D1D">
        <w:rPr>
          <w:rFonts w:ascii="ITC Avant Garde" w:hAnsi="ITC Avant Garde" w:cs="Arial"/>
          <w:bCs/>
          <w:i/>
          <w:iCs/>
          <w:sz w:val="18"/>
        </w:rPr>
        <w:t>´</w:t>
      </w:r>
      <w:r w:rsidR="00DE74F5" w:rsidRPr="001D1D1D">
        <w:rPr>
          <w:rFonts w:ascii="ITC Avant Garde" w:hAnsi="ITC Avant Garde" w:cs="Arial"/>
          <w:bCs/>
          <w:i/>
          <w:iCs/>
          <w:sz w:val="18"/>
        </w:rPr>
        <w:t>.</w:t>
      </w:r>
    </w:p>
    <w:p w14:paraId="395B1EA0" w14:textId="77777777" w:rsidR="00381B72" w:rsidRDefault="00DE74F5" w:rsidP="00381B72">
      <w:pPr>
        <w:spacing w:afterLines="120" w:after="288" w:line="240" w:lineRule="auto"/>
        <w:ind w:left="567" w:right="615"/>
        <w:jc w:val="both"/>
        <w:rPr>
          <w:rFonts w:ascii="ITC Avant Garde" w:hAnsi="ITC Avant Garde" w:cs="Arial"/>
          <w:bCs/>
          <w:i/>
          <w:iCs/>
          <w:sz w:val="18"/>
        </w:rPr>
      </w:pPr>
      <w:r w:rsidRPr="001D1D1D">
        <w:rPr>
          <w:rFonts w:ascii="ITC Avant Garde" w:hAnsi="ITC Avant Garde" w:cs="Arial"/>
          <w:bCs/>
          <w:i/>
          <w:iCs/>
          <w:sz w:val="18"/>
        </w:rPr>
        <w:t>Estas aplicaciones de misión crítica están consideradas, dentro de la planificación de espectro, a utilizarse en bandas de frecuencias por debajo de 1 GHz. Ya que, no obstante de que se trata de comunicaciones de banda angosta, es menester que tales aplicaciones cuenten con los recursos espectrales adecuados, en virtud de su impacto en la seguridad de la vida humana, así como para garantizar la adecuada operación de infraestructura en sectores estratégicos.</w:t>
      </w:r>
    </w:p>
    <w:p w14:paraId="1EDFC70B" w14:textId="77777777" w:rsidR="00381B72" w:rsidRDefault="00DE74F5" w:rsidP="00381B72">
      <w:pPr>
        <w:spacing w:afterLines="120" w:after="288" w:line="240" w:lineRule="auto"/>
        <w:ind w:left="567" w:right="615"/>
        <w:jc w:val="both"/>
        <w:rPr>
          <w:rFonts w:ascii="ITC Avant Garde" w:hAnsi="ITC Avant Garde" w:cs="Arial"/>
          <w:bCs/>
          <w:i/>
          <w:iCs/>
          <w:sz w:val="18"/>
        </w:rPr>
      </w:pPr>
      <w:r w:rsidRPr="001D1D1D">
        <w:rPr>
          <w:rFonts w:ascii="ITC Avant Garde" w:hAnsi="ITC Avant Garde" w:cs="Arial"/>
          <w:bCs/>
          <w:i/>
          <w:iCs/>
          <w:sz w:val="18"/>
        </w:rPr>
        <w:t>Esto último es de particular importancia en lo toca</w:t>
      </w:r>
      <w:r w:rsidR="00D312CD" w:rsidRPr="001D1D1D">
        <w:rPr>
          <w:rFonts w:ascii="ITC Avant Garde" w:hAnsi="ITC Avant Garde" w:cs="Arial"/>
          <w:bCs/>
          <w:i/>
          <w:iCs/>
          <w:sz w:val="18"/>
        </w:rPr>
        <w:t>nte</w:t>
      </w:r>
      <w:r w:rsidRPr="001D1D1D">
        <w:rPr>
          <w:rFonts w:ascii="ITC Avant Garde" w:hAnsi="ITC Avant Garde" w:cs="Arial"/>
          <w:bCs/>
          <w:i/>
          <w:iCs/>
          <w:sz w:val="18"/>
        </w:rPr>
        <w:t xml:space="preserve"> a la banda de frecuencias </w:t>
      </w:r>
      <w:r w:rsidR="00D312CD" w:rsidRPr="001D1D1D">
        <w:rPr>
          <w:rFonts w:ascii="ITC Avant Garde" w:hAnsi="ITC Avant Garde" w:cs="Arial"/>
          <w:bCs/>
          <w:i/>
          <w:iCs/>
          <w:sz w:val="18"/>
        </w:rPr>
        <w:t>objeto del presente análisis</w:t>
      </w:r>
      <w:r w:rsidRPr="001D1D1D">
        <w:rPr>
          <w:rFonts w:ascii="ITC Avant Garde" w:hAnsi="ITC Avant Garde" w:cs="Arial"/>
          <w:bCs/>
          <w:i/>
          <w:iCs/>
          <w:sz w:val="18"/>
        </w:rPr>
        <w:t>, ya que se trata de una banda que originalmente fue determinada para su uso por comunicaciones de banda angosta, tanto de uso comercial como público, existiendo dentro de este último, una gran cantidad de asignaciones para aplicaciones de misión crítica.</w:t>
      </w:r>
    </w:p>
    <w:p w14:paraId="2D4B3830" w14:textId="77777777" w:rsidR="00381B72" w:rsidRDefault="00D312CD" w:rsidP="00381B72">
      <w:pPr>
        <w:spacing w:afterLines="120" w:after="288" w:line="240" w:lineRule="auto"/>
        <w:ind w:left="567" w:right="615"/>
        <w:jc w:val="both"/>
        <w:rPr>
          <w:rFonts w:ascii="ITC Avant Garde" w:hAnsi="ITC Avant Garde" w:cs="Arial"/>
          <w:bCs/>
          <w:i/>
          <w:iCs/>
          <w:sz w:val="18"/>
        </w:rPr>
      </w:pPr>
      <w:r w:rsidRPr="001D1D1D">
        <w:rPr>
          <w:rFonts w:ascii="ITC Avant Garde" w:hAnsi="ITC Avant Garde" w:cs="Arial"/>
          <w:bCs/>
          <w:i/>
          <w:iCs/>
          <w:sz w:val="18"/>
        </w:rPr>
        <w:t>Es así que</w:t>
      </w:r>
      <w:r w:rsidR="00DE74F5" w:rsidRPr="001D1D1D">
        <w:rPr>
          <w:rFonts w:ascii="ITC Avant Garde" w:hAnsi="ITC Avant Garde" w:cs="Arial"/>
          <w:bCs/>
          <w:i/>
          <w:iCs/>
          <w:sz w:val="18"/>
        </w:rPr>
        <w:t>,</w:t>
      </w:r>
      <w:r w:rsidRPr="001D1D1D">
        <w:rPr>
          <w:rFonts w:ascii="ITC Avant Garde" w:hAnsi="ITC Avant Garde" w:cs="Arial"/>
          <w:bCs/>
          <w:i/>
          <w:iCs/>
          <w:sz w:val="18"/>
        </w:rPr>
        <w:t xml:space="preserve"> de acuerdo</w:t>
      </w:r>
      <w:r w:rsidR="00DE74F5" w:rsidRPr="001D1D1D">
        <w:rPr>
          <w:rFonts w:ascii="ITC Avant Garde" w:hAnsi="ITC Avant Garde" w:cs="Arial"/>
          <w:bCs/>
          <w:i/>
          <w:iCs/>
          <w:sz w:val="18"/>
        </w:rPr>
        <w:t xml:space="preserve"> </w:t>
      </w:r>
      <w:r w:rsidRPr="001D1D1D">
        <w:rPr>
          <w:rFonts w:ascii="ITC Avant Garde" w:hAnsi="ITC Avant Garde" w:cs="Arial"/>
          <w:bCs/>
          <w:i/>
          <w:iCs/>
          <w:sz w:val="18"/>
        </w:rPr>
        <w:t xml:space="preserve">con lo anterior, </w:t>
      </w:r>
      <w:r w:rsidR="00DE74F5" w:rsidRPr="001D1D1D">
        <w:rPr>
          <w:rFonts w:ascii="ITC Avant Garde" w:hAnsi="ITC Avant Garde" w:cs="Arial"/>
          <w:bCs/>
          <w:i/>
          <w:iCs/>
          <w:sz w:val="18"/>
        </w:rPr>
        <w:t xml:space="preserve">se hace necesario establecer una distribución óptima para esta banda de frecuencias, de tal modo que se logren acomodar los servicios y aplicaciones que tengan mayor impacto en beneficio del interés público, tomando ventaja de los últimos avances tecnológicos y del desarrollo de estándares armonizados a nivel mundial y regional. Es de tal manera que, conforme a lo establecido en el Plan de la banda 806-824/851-869 MHz, se determina que el segmento 806-814/851-859 MHz será utilizado para </w:t>
      </w:r>
      <w:r w:rsidR="00DE74F5" w:rsidRPr="001D1D1D">
        <w:rPr>
          <w:rFonts w:ascii="ITC Avant Garde" w:hAnsi="ITC Avant Garde" w:cs="Arial"/>
          <w:bCs/>
          <w:i/>
          <w:iCs/>
          <w:sz w:val="18"/>
        </w:rPr>
        <w:lastRenderedPageBreak/>
        <w:t>la provisión del servicio de banda angosta de uso público limitado a aplicaciones de misión crítica.</w:t>
      </w:r>
    </w:p>
    <w:p w14:paraId="6B5AA18E" w14:textId="77777777" w:rsidR="00381B72" w:rsidRDefault="00D312CD" w:rsidP="00381B72">
      <w:pPr>
        <w:spacing w:afterLines="120" w:after="288" w:line="240" w:lineRule="auto"/>
        <w:ind w:left="567" w:right="615"/>
        <w:jc w:val="both"/>
        <w:rPr>
          <w:rFonts w:ascii="ITC Avant Garde" w:hAnsi="ITC Avant Garde" w:cs="Arial"/>
          <w:bCs/>
          <w:i/>
          <w:iCs/>
          <w:sz w:val="18"/>
        </w:rPr>
      </w:pPr>
      <w:r w:rsidRPr="001D1D1D">
        <w:rPr>
          <w:rFonts w:ascii="ITC Avant Garde" w:hAnsi="ITC Avant Garde" w:cs="Arial"/>
          <w:bCs/>
          <w:i/>
          <w:iCs/>
          <w:sz w:val="18"/>
        </w:rPr>
        <w:t>Asimismo, derivado del análisis de la solicitud en comento, se observa que la cantidad de espectro solicitado se encuentra dentro del rango de frecuencias 806-81</w:t>
      </w:r>
      <w:r w:rsidR="006A6DA2" w:rsidRPr="001D1D1D">
        <w:rPr>
          <w:rFonts w:ascii="ITC Avant Garde" w:hAnsi="ITC Avant Garde" w:cs="Arial"/>
          <w:bCs/>
          <w:i/>
          <w:iCs/>
          <w:sz w:val="18"/>
        </w:rPr>
        <w:t>4/851-85</w:t>
      </w:r>
      <w:r w:rsidR="00DE74F5" w:rsidRPr="001D1D1D">
        <w:rPr>
          <w:rFonts w:ascii="ITC Avant Garde" w:hAnsi="ITC Avant Garde" w:cs="Arial"/>
          <w:bCs/>
          <w:i/>
          <w:iCs/>
          <w:sz w:val="18"/>
        </w:rPr>
        <w:t>9 MHz</w:t>
      </w:r>
      <w:r w:rsidRPr="001D1D1D">
        <w:rPr>
          <w:rFonts w:ascii="ITC Avant Garde" w:hAnsi="ITC Avant Garde" w:cs="Arial"/>
          <w:bCs/>
          <w:i/>
          <w:iCs/>
          <w:sz w:val="18"/>
        </w:rPr>
        <w:t>, el cual está previsto para el servicio de banda angosta de uso público limitado a aplicaciones de misión crítica en todo el país. Lo anterior favorece, desde el punto de vista técnico, la gestión y administración del espectro radioeléctrico para su óptima utilización,</w:t>
      </w:r>
    </w:p>
    <w:p w14:paraId="5F9E6629" w14:textId="77777777" w:rsidR="00381B72" w:rsidRDefault="00D312CD" w:rsidP="00381B72">
      <w:pPr>
        <w:spacing w:afterLines="120" w:after="288" w:line="240" w:lineRule="auto"/>
        <w:ind w:left="567" w:right="615"/>
        <w:jc w:val="both"/>
        <w:rPr>
          <w:rFonts w:ascii="ITC Avant Garde" w:eastAsia="Times New Roman" w:hAnsi="ITC Avant Garde" w:cstheme="minorHAnsi"/>
          <w:i/>
          <w:sz w:val="18"/>
          <w:highlight w:val="yellow"/>
          <w:lang w:eastAsia="es-ES"/>
        </w:rPr>
      </w:pPr>
      <w:r w:rsidRPr="001D1D1D">
        <w:rPr>
          <w:rFonts w:ascii="ITC Avant Garde" w:hAnsi="ITC Avant Garde" w:cs="Arial"/>
          <w:bCs/>
          <w:i/>
          <w:iCs/>
          <w:sz w:val="18"/>
        </w:rPr>
        <w:t>En virtud de</w:t>
      </w:r>
      <w:r w:rsidR="00DE74F5" w:rsidRPr="001D1D1D">
        <w:rPr>
          <w:rFonts w:ascii="ITC Avant Garde" w:hAnsi="ITC Avant Garde" w:cs="Arial"/>
          <w:bCs/>
          <w:i/>
          <w:iCs/>
          <w:sz w:val="18"/>
        </w:rPr>
        <w:t xml:space="preserve"> todo lo anterior, desde el punto de vista de optimización del espectro radioeléctrico, se propone que los términos para </w:t>
      </w:r>
      <w:r w:rsidRPr="001D1D1D">
        <w:rPr>
          <w:rFonts w:ascii="ITC Avant Garde" w:hAnsi="ITC Avant Garde" w:cs="Arial"/>
          <w:bCs/>
          <w:i/>
          <w:iCs/>
          <w:sz w:val="18"/>
        </w:rPr>
        <w:t xml:space="preserve">la asignación </w:t>
      </w:r>
      <w:r w:rsidR="00DE74F5" w:rsidRPr="001D1D1D">
        <w:rPr>
          <w:rFonts w:ascii="ITC Avant Garde" w:hAnsi="ITC Avant Garde" w:cs="Arial"/>
          <w:bCs/>
          <w:i/>
          <w:iCs/>
          <w:sz w:val="18"/>
        </w:rPr>
        <w:t>de frecuencias sean considerados conforme a los criterios aquí descritos.</w:t>
      </w:r>
    </w:p>
    <w:p w14:paraId="625DEF3C" w14:textId="77777777" w:rsidR="00381B72" w:rsidRDefault="00853AB3" w:rsidP="00381B72">
      <w:pPr>
        <w:autoSpaceDE w:val="0"/>
        <w:autoSpaceDN w:val="0"/>
        <w:adjustRightInd w:val="0"/>
        <w:spacing w:afterLines="120" w:after="288" w:line="240" w:lineRule="auto"/>
        <w:ind w:left="567" w:right="615"/>
        <w:jc w:val="both"/>
        <w:rPr>
          <w:rFonts w:ascii="ITC Avant Garde" w:eastAsiaTheme="majorEastAsia" w:hAnsi="ITC Avant Garde" w:cs="Arial"/>
          <w:b/>
          <w:i/>
          <w:iCs/>
          <w:sz w:val="18"/>
          <w:lang w:eastAsia="es-ES"/>
        </w:rPr>
      </w:pPr>
      <w:r w:rsidRPr="001D1D1D">
        <w:rPr>
          <w:rFonts w:ascii="ITC Avant Garde" w:eastAsiaTheme="majorEastAsia" w:hAnsi="ITC Avant Garde" w:cs="Arial"/>
          <w:b/>
          <w:i/>
          <w:iCs/>
          <w:sz w:val="18"/>
          <w:lang w:eastAsia="es-ES"/>
        </w:rPr>
        <w:t>Dictamen</w:t>
      </w:r>
    </w:p>
    <w:p w14:paraId="169C5C1B" w14:textId="77777777" w:rsidR="00381B72" w:rsidRDefault="00DE74F5" w:rsidP="00381B72">
      <w:pPr>
        <w:autoSpaceDE w:val="0"/>
        <w:autoSpaceDN w:val="0"/>
        <w:adjustRightInd w:val="0"/>
        <w:spacing w:afterLines="120" w:after="288" w:line="240" w:lineRule="auto"/>
        <w:ind w:left="567" w:right="615"/>
        <w:jc w:val="both"/>
        <w:rPr>
          <w:rFonts w:ascii="ITC Avant Garde" w:eastAsia="Times New Roman" w:hAnsi="ITC Avant Garde" w:cs="Arial"/>
          <w:i/>
          <w:sz w:val="18"/>
          <w:lang w:eastAsia="es-ES"/>
        </w:rPr>
      </w:pPr>
      <w:r w:rsidRPr="001D1D1D">
        <w:rPr>
          <w:rFonts w:ascii="ITC Avant Garde" w:eastAsia="Times New Roman" w:hAnsi="ITC Avant Garde" w:cs="Arial"/>
          <w:i/>
          <w:sz w:val="18"/>
          <w:lang w:eastAsia="es-ES"/>
        </w:rPr>
        <w:t xml:space="preserve">Con base en el análisis previo y desde el punto de vista de planeación del espectro el uso solicitado </w:t>
      </w:r>
      <w:r w:rsidR="00D312CD" w:rsidRPr="001D1D1D">
        <w:rPr>
          <w:rFonts w:ascii="ITC Avant Garde" w:eastAsia="Times New Roman" w:hAnsi="ITC Avant Garde" w:cs="Arial"/>
          <w:i/>
          <w:sz w:val="18"/>
          <w:lang w:eastAsia="es-ES"/>
        </w:rPr>
        <w:t xml:space="preserve">se considera </w:t>
      </w:r>
      <w:r w:rsidR="00D312CD" w:rsidRPr="001D1D1D">
        <w:rPr>
          <w:rFonts w:ascii="ITC Avant Garde" w:eastAsia="Times New Roman" w:hAnsi="ITC Avant Garde" w:cs="Arial"/>
          <w:b/>
          <w:i/>
          <w:sz w:val="18"/>
          <w:lang w:eastAsia="es-ES"/>
        </w:rPr>
        <w:t xml:space="preserve">PROCEDENTE </w:t>
      </w:r>
      <w:r w:rsidR="00D312CD" w:rsidRPr="001D1D1D">
        <w:rPr>
          <w:rFonts w:ascii="ITC Avant Garde" w:eastAsia="Times New Roman" w:hAnsi="ITC Avant Garde" w:cs="Arial"/>
          <w:i/>
          <w:sz w:val="18"/>
          <w:lang w:eastAsia="es-ES"/>
        </w:rPr>
        <w:t xml:space="preserve">exclusivamente en el segmento </w:t>
      </w:r>
      <w:r w:rsidRPr="001D1D1D">
        <w:rPr>
          <w:rFonts w:ascii="ITC Avant Garde" w:eastAsia="Times New Roman" w:hAnsi="ITC Avant Garde" w:cs="Arial"/>
          <w:b/>
          <w:i/>
          <w:sz w:val="18"/>
          <w:lang w:eastAsia="es-ES"/>
        </w:rPr>
        <w:t>806-814/851-859 MH</w:t>
      </w:r>
      <w:r w:rsidRPr="001D1D1D">
        <w:rPr>
          <w:rFonts w:ascii="ITC Avant Garde" w:eastAsia="Times New Roman" w:hAnsi="ITC Avant Garde" w:cs="Arial"/>
          <w:i/>
          <w:sz w:val="18"/>
          <w:lang w:eastAsia="es-ES"/>
        </w:rPr>
        <w:t>z</w:t>
      </w:r>
      <w:r w:rsidR="00D312CD" w:rsidRPr="001D1D1D">
        <w:rPr>
          <w:rFonts w:ascii="ITC Avant Garde" w:eastAsia="Times New Roman" w:hAnsi="ITC Avant Garde" w:cs="Arial"/>
          <w:i/>
          <w:sz w:val="18"/>
          <w:lang w:eastAsia="es-ES"/>
        </w:rPr>
        <w:t>.</w:t>
      </w:r>
      <w:r w:rsidRPr="001D1D1D">
        <w:rPr>
          <w:rFonts w:ascii="ITC Avant Garde" w:eastAsia="Times New Roman" w:hAnsi="ITC Avant Garde" w:cs="Arial"/>
          <w:i/>
          <w:sz w:val="18"/>
          <w:lang w:eastAsia="es-ES"/>
        </w:rPr>
        <w:t xml:space="preserve"> </w:t>
      </w:r>
    </w:p>
    <w:p w14:paraId="414B8049" w14:textId="77777777" w:rsidR="00381B72" w:rsidRDefault="00DE74F5" w:rsidP="00381B72">
      <w:pPr>
        <w:autoSpaceDE w:val="0"/>
        <w:autoSpaceDN w:val="0"/>
        <w:adjustRightInd w:val="0"/>
        <w:spacing w:afterLines="120" w:after="288" w:line="240" w:lineRule="auto"/>
        <w:ind w:left="567" w:right="615"/>
        <w:jc w:val="both"/>
        <w:rPr>
          <w:rFonts w:ascii="ITC Avant Garde" w:eastAsia="Times New Roman" w:hAnsi="ITC Avant Garde"/>
          <w:bCs/>
          <w:sz w:val="18"/>
          <w:highlight w:val="yellow"/>
          <w:lang w:val="es-ES" w:eastAsia="es-ES"/>
        </w:rPr>
      </w:pPr>
      <w:r w:rsidRPr="001D1D1D">
        <w:rPr>
          <w:rFonts w:ascii="ITC Avant Garde" w:eastAsia="Times New Roman" w:hAnsi="ITC Avant Garde" w:cs="Arial"/>
          <w:i/>
          <w:sz w:val="18"/>
          <w:lang w:eastAsia="es-ES"/>
        </w:rPr>
        <w:t>Lo anterior, sujeto a las condiciones y términos que se indican en el apartado siguiente.</w:t>
      </w:r>
    </w:p>
    <w:p w14:paraId="7DDE4D71" w14:textId="77777777" w:rsidR="00381B72" w:rsidRDefault="00DE74F5" w:rsidP="00381B72">
      <w:pPr>
        <w:spacing w:afterLines="120" w:after="288" w:line="240" w:lineRule="auto"/>
        <w:ind w:left="567" w:right="615"/>
        <w:jc w:val="both"/>
        <w:rPr>
          <w:rFonts w:ascii="ITC Avant Garde" w:hAnsi="ITC Avant Garde" w:cs="Arial"/>
          <w:b/>
          <w:bCs/>
          <w:i/>
          <w:iCs/>
          <w:sz w:val="18"/>
        </w:rPr>
      </w:pPr>
      <w:r w:rsidRPr="001D1D1D">
        <w:rPr>
          <w:rFonts w:ascii="ITC Avant Garde" w:hAnsi="ITC Avant Garde" w:cs="Arial"/>
          <w:b/>
          <w:bCs/>
          <w:i/>
          <w:iCs/>
          <w:sz w:val="18"/>
        </w:rPr>
        <w:t>Condiciones y términos de uso de la banda de frecuencias</w:t>
      </w:r>
    </w:p>
    <w:p w14:paraId="4BC57815" w14:textId="77777777" w:rsidR="00381B72" w:rsidRDefault="00DE74F5" w:rsidP="00381B72">
      <w:pPr>
        <w:spacing w:afterLines="120" w:after="288" w:line="240" w:lineRule="auto"/>
        <w:ind w:left="3114" w:right="615" w:hanging="2547"/>
        <w:jc w:val="both"/>
        <w:rPr>
          <w:rFonts w:ascii="ITC Avant Garde" w:hAnsi="ITC Avant Garde" w:cs="Arial"/>
          <w:bCs/>
          <w:i/>
          <w:iCs/>
          <w:sz w:val="18"/>
        </w:rPr>
      </w:pPr>
      <w:r w:rsidRPr="001D1D1D">
        <w:rPr>
          <w:rFonts w:ascii="ITC Avant Garde" w:hAnsi="ITC Avant Garde" w:cs="Arial"/>
          <w:b/>
          <w:bCs/>
          <w:i/>
          <w:iCs/>
          <w:sz w:val="18"/>
        </w:rPr>
        <w:t>Frecuencias de operación</w:t>
      </w:r>
      <w:r w:rsidRPr="001D1D1D">
        <w:rPr>
          <w:rFonts w:ascii="ITC Avant Garde" w:hAnsi="ITC Avant Garde" w:cs="Arial"/>
          <w:bCs/>
          <w:i/>
          <w:iCs/>
          <w:sz w:val="18"/>
        </w:rPr>
        <w:tab/>
        <w:t xml:space="preserve">Se recomienda que los pares de frecuencias que pudieran ser otorgados, se encuentren estrictamente dentro del segmento </w:t>
      </w:r>
      <w:r w:rsidRPr="001D1D1D">
        <w:rPr>
          <w:rFonts w:ascii="ITC Avant Garde" w:hAnsi="ITC Avant Garde" w:cs="Arial"/>
          <w:b/>
          <w:bCs/>
          <w:i/>
          <w:iCs/>
          <w:sz w:val="18"/>
        </w:rPr>
        <w:t>806-814/851-859 MHz</w:t>
      </w:r>
      <w:r w:rsidRPr="001D1D1D">
        <w:rPr>
          <w:rFonts w:ascii="ITC Avant Garde" w:hAnsi="ITC Avant Garde" w:cs="Arial"/>
          <w:bCs/>
          <w:i/>
          <w:iCs/>
          <w:sz w:val="18"/>
        </w:rPr>
        <w:t>. Así mismo, con el fin de promover una óptima utilización del espectro radioeléctrico, se exhorta a que se lleve a cabo la re-utilización de frecuencias de operación en los canales de frecuenc</w:t>
      </w:r>
      <w:r w:rsidR="00D312CD" w:rsidRPr="001D1D1D">
        <w:rPr>
          <w:rFonts w:ascii="ITC Avant Garde" w:hAnsi="ITC Avant Garde" w:cs="Arial"/>
          <w:bCs/>
          <w:i/>
          <w:iCs/>
          <w:sz w:val="18"/>
        </w:rPr>
        <w:t>ias que pudieran ser otorgados.</w:t>
      </w:r>
    </w:p>
    <w:p w14:paraId="1EC7CFA4" w14:textId="77777777" w:rsidR="00381B72" w:rsidRDefault="00DE74F5" w:rsidP="00381B72">
      <w:pPr>
        <w:spacing w:afterLines="120" w:after="288" w:line="240" w:lineRule="auto"/>
        <w:ind w:left="3114" w:right="615" w:hanging="990"/>
        <w:jc w:val="both"/>
        <w:rPr>
          <w:rFonts w:ascii="ITC Avant Garde" w:hAnsi="ITC Avant Garde" w:cs="Arial"/>
          <w:bCs/>
          <w:i/>
          <w:iCs/>
          <w:sz w:val="18"/>
        </w:rPr>
      </w:pPr>
      <w:r w:rsidRPr="001D1D1D">
        <w:rPr>
          <w:rFonts w:ascii="ITC Avant Garde" w:hAnsi="ITC Avant Garde" w:cs="Arial"/>
          <w:b/>
          <w:bCs/>
          <w:i/>
          <w:iCs/>
          <w:sz w:val="18"/>
        </w:rPr>
        <w:t>Cobertura</w:t>
      </w:r>
      <w:r w:rsidR="00F028AB" w:rsidRPr="001D1D1D">
        <w:rPr>
          <w:rFonts w:ascii="ITC Avant Garde" w:hAnsi="ITC Avant Garde" w:cs="Arial"/>
          <w:b/>
          <w:bCs/>
          <w:i/>
          <w:iCs/>
          <w:sz w:val="18"/>
        </w:rPr>
        <w:t xml:space="preserve"> </w:t>
      </w:r>
      <w:r w:rsidRPr="001D1D1D">
        <w:rPr>
          <w:rFonts w:ascii="ITC Avant Garde" w:hAnsi="ITC Avant Garde" w:cs="Arial"/>
          <w:bCs/>
          <w:i/>
          <w:iCs/>
          <w:sz w:val="18"/>
        </w:rPr>
        <w:t>Sin restricciones respecto a la cobertura.</w:t>
      </w:r>
    </w:p>
    <w:p w14:paraId="207EF542" w14:textId="4C01AA99" w:rsidR="00381B72" w:rsidRDefault="00DE74F5" w:rsidP="00381B72">
      <w:pPr>
        <w:spacing w:afterLines="120" w:after="288" w:line="240" w:lineRule="auto"/>
        <w:ind w:left="993" w:right="615"/>
        <w:jc w:val="both"/>
        <w:rPr>
          <w:rFonts w:ascii="ITC Avant Garde" w:hAnsi="ITC Avant Garde" w:cs="Arial"/>
          <w:bCs/>
          <w:iCs/>
          <w:sz w:val="18"/>
        </w:rPr>
      </w:pPr>
      <w:r w:rsidRPr="001D1D1D">
        <w:rPr>
          <w:rFonts w:ascii="ITC Avant Garde" w:hAnsi="ITC Avant Garde" w:cs="Arial"/>
          <w:b/>
          <w:bCs/>
          <w:i/>
          <w:iCs/>
          <w:sz w:val="18"/>
        </w:rPr>
        <w:t>Vigencia recomendada</w:t>
      </w:r>
      <w:r w:rsidR="00F028AB" w:rsidRPr="001D1D1D">
        <w:rPr>
          <w:rFonts w:ascii="ITC Avant Garde" w:hAnsi="ITC Avant Garde" w:cs="Arial"/>
          <w:bCs/>
          <w:i/>
          <w:iCs/>
          <w:sz w:val="18"/>
        </w:rPr>
        <w:t xml:space="preserve"> </w:t>
      </w:r>
      <w:r w:rsidRPr="001D1D1D">
        <w:rPr>
          <w:rFonts w:ascii="ITC Avant Garde" w:hAnsi="ITC Avant Garde" w:cs="Arial"/>
          <w:bCs/>
          <w:i/>
          <w:iCs/>
          <w:sz w:val="18"/>
        </w:rPr>
        <w:t>Sin restricciones respecto a la v</w:t>
      </w:r>
      <w:r w:rsidR="00D312CD" w:rsidRPr="001D1D1D">
        <w:rPr>
          <w:rFonts w:ascii="ITC Avant Garde" w:hAnsi="ITC Avant Garde" w:cs="Arial"/>
          <w:bCs/>
          <w:i/>
          <w:iCs/>
          <w:sz w:val="18"/>
        </w:rPr>
        <w:t>igencia.</w:t>
      </w:r>
      <w:r w:rsidR="00F675B6">
        <w:rPr>
          <w:rFonts w:ascii="ITC Avant Garde" w:hAnsi="ITC Avant Garde" w:cs="Arial"/>
          <w:bCs/>
          <w:i/>
          <w:iCs/>
          <w:sz w:val="18"/>
        </w:rPr>
        <w:t>”</w:t>
      </w:r>
    </w:p>
    <w:p w14:paraId="5AA7B9A2" w14:textId="77777777" w:rsidR="00381B72" w:rsidRDefault="00893D91" w:rsidP="00381B72">
      <w:pPr>
        <w:autoSpaceDE w:val="0"/>
        <w:autoSpaceDN w:val="0"/>
        <w:adjustRightInd w:val="0"/>
        <w:spacing w:afterLines="120" w:after="288" w:line="240" w:lineRule="auto"/>
        <w:jc w:val="both"/>
        <w:rPr>
          <w:rFonts w:ascii="ITC Avant Garde" w:hAnsi="ITC Avant Garde"/>
          <w:b/>
          <w:bCs/>
        </w:rPr>
      </w:pPr>
      <w:r w:rsidRPr="00630039">
        <w:rPr>
          <w:rFonts w:ascii="ITC Avant Garde" w:hAnsi="ITC Avant Garde"/>
        </w:rPr>
        <w:t>Por otro lado</w:t>
      </w:r>
      <w:r w:rsidR="008B3013" w:rsidRPr="00630039">
        <w:rPr>
          <w:rFonts w:ascii="ITC Avant Garde" w:hAnsi="ITC Avant Garde"/>
        </w:rPr>
        <w:t>, y como parte integral de la opinión formulada por la Unidad de Espectro Radioeléctrico, la Dirección General de Ingeniería del Espectro y Estudios Técnicos emitió dictamen con oficio IFT/222/UER/DG-IEET/</w:t>
      </w:r>
      <w:r w:rsidR="00D576A2" w:rsidRPr="00630039">
        <w:rPr>
          <w:rFonts w:ascii="ITC Avant Garde" w:hAnsi="ITC Avant Garde"/>
        </w:rPr>
        <w:t>1000</w:t>
      </w:r>
      <w:r w:rsidR="008B3013" w:rsidRPr="00630039">
        <w:rPr>
          <w:rFonts w:ascii="ITC Avant Garde" w:hAnsi="ITC Avant Garde"/>
        </w:rPr>
        <w:t xml:space="preserve">/2017 de fecha </w:t>
      </w:r>
      <w:r w:rsidR="00D576A2" w:rsidRPr="00630039">
        <w:rPr>
          <w:rFonts w:ascii="ITC Avant Garde" w:hAnsi="ITC Avant Garde"/>
        </w:rPr>
        <w:t>7 de agosto</w:t>
      </w:r>
      <w:r w:rsidR="006D52C0" w:rsidRPr="00630039">
        <w:rPr>
          <w:rFonts w:ascii="ITC Avant Garde" w:hAnsi="ITC Avant Garde"/>
        </w:rPr>
        <w:t xml:space="preserve"> de 2017</w:t>
      </w:r>
      <w:r w:rsidR="00B5283B" w:rsidRPr="00630039">
        <w:rPr>
          <w:rFonts w:ascii="ITC Avant Garde" w:hAnsi="ITC Avant Garde"/>
        </w:rPr>
        <w:t>,</w:t>
      </w:r>
      <w:r w:rsidR="008B3013" w:rsidRPr="00630039">
        <w:rPr>
          <w:rFonts w:ascii="ITC Avant Garde" w:hAnsi="ITC Avant Garde"/>
        </w:rPr>
        <w:t xml:space="preserve"> donde señala que después de haber realizado el análisis técnico correspondiente y de conformidad con los registros existentes en la base de datos del Sistema Integral de Administración del Espectro Radioeléctrico, </w:t>
      </w:r>
      <w:r w:rsidR="00D576A2" w:rsidRPr="00630039">
        <w:rPr>
          <w:rFonts w:ascii="ITC Avant Garde" w:hAnsi="ITC Avant Garde"/>
        </w:rPr>
        <w:t>se identificó la disponibilidad de espectro para</w:t>
      </w:r>
      <w:r w:rsidR="008B3013" w:rsidRPr="00630039">
        <w:rPr>
          <w:rFonts w:ascii="ITC Avant Garde" w:hAnsi="ITC Avant Garde"/>
        </w:rPr>
        <w:t xml:space="preserve"> la asignación </w:t>
      </w:r>
      <w:r w:rsidR="00D576A2" w:rsidRPr="00630039">
        <w:rPr>
          <w:rFonts w:ascii="ITC Avant Garde" w:hAnsi="ITC Avant Garde"/>
        </w:rPr>
        <w:t xml:space="preserve">de diversos pares </w:t>
      </w:r>
      <w:r w:rsidR="008B3013" w:rsidRPr="00630039">
        <w:rPr>
          <w:rFonts w:ascii="ITC Avant Garde" w:hAnsi="ITC Avant Garde"/>
        </w:rPr>
        <w:t xml:space="preserve">de frecuencias en los segmentos: </w:t>
      </w:r>
      <w:r w:rsidR="00D576A2" w:rsidRPr="00630039">
        <w:rPr>
          <w:rFonts w:ascii="ITC Avant Garde" w:hAnsi="ITC Avant Garde"/>
        </w:rPr>
        <w:t>806-814/</w:t>
      </w:r>
      <w:r w:rsidR="008B3013" w:rsidRPr="00630039">
        <w:rPr>
          <w:rFonts w:ascii="ITC Avant Garde" w:hAnsi="ITC Avant Garde"/>
        </w:rPr>
        <w:t>851-859 MHz</w:t>
      </w:r>
      <w:r w:rsidR="00D576A2" w:rsidRPr="00630039">
        <w:rPr>
          <w:rFonts w:ascii="ITC Avant Garde" w:hAnsi="ITC Avant Garde"/>
        </w:rPr>
        <w:t>,</w:t>
      </w:r>
      <w:r w:rsidR="008B3013" w:rsidRPr="00630039">
        <w:rPr>
          <w:rFonts w:ascii="ITC Avant Garde" w:hAnsi="ITC Avant Garde"/>
        </w:rPr>
        <w:t xml:space="preserve"> para </w:t>
      </w:r>
      <w:r w:rsidR="00D576A2" w:rsidRPr="00630039">
        <w:rPr>
          <w:rFonts w:ascii="ITC Avant Garde" w:hAnsi="ITC Avant Garde"/>
        </w:rPr>
        <w:t xml:space="preserve">la </w:t>
      </w:r>
      <w:r w:rsidR="008B3013" w:rsidRPr="00630039">
        <w:rPr>
          <w:rFonts w:ascii="ITC Avant Garde" w:hAnsi="ITC Avant Garde"/>
        </w:rPr>
        <w:t>operaci</w:t>
      </w:r>
      <w:r w:rsidR="00D576A2" w:rsidRPr="00630039">
        <w:rPr>
          <w:rFonts w:ascii="ITC Avant Garde" w:hAnsi="ITC Avant Garde"/>
        </w:rPr>
        <w:t xml:space="preserve">ón de un sistema del servicio móvil </w:t>
      </w:r>
      <w:r w:rsidR="008B3013" w:rsidRPr="00630039">
        <w:rPr>
          <w:rFonts w:ascii="ITC Avant Garde" w:hAnsi="ITC Avant Garde"/>
        </w:rPr>
        <w:t xml:space="preserve">de radiocomunicación especializada de flotillas, </w:t>
      </w:r>
      <w:r w:rsidR="00D576A2" w:rsidRPr="00630039">
        <w:rPr>
          <w:rFonts w:ascii="ITC Avant Garde" w:hAnsi="ITC Avant Garde"/>
        </w:rPr>
        <w:t xml:space="preserve">de acuerdo con las </w:t>
      </w:r>
      <w:r w:rsidR="008B3013" w:rsidRPr="00630039">
        <w:rPr>
          <w:rFonts w:ascii="ITC Avant Garde" w:hAnsi="ITC Avant Garde"/>
        </w:rPr>
        <w:t>condiciones técnicas de operación para el uso y aprovechamiento de las bandas de frecuencias citadas anteriormente, entre las que se encuentran las siguientes: 1. Uso eficiente del espectro; 2. Frecu</w:t>
      </w:r>
      <w:r w:rsidR="006A6DA2" w:rsidRPr="00630039">
        <w:rPr>
          <w:rFonts w:ascii="ITC Avant Garde" w:hAnsi="ITC Avant Garde"/>
        </w:rPr>
        <w:t>encias a utilizar; 3. Cobertura y</w:t>
      </w:r>
      <w:r w:rsidR="008B3013" w:rsidRPr="00630039">
        <w:rPr>
          <w:rFonts w:ascii="ITC Avant Garde" w:hAnsi="ITC Avant Garde"/>
        </w:rPr>
        <w:t xml:space="preserve"> 4. Poten</w:t>
      </w:r>
      <w:r w:rsidR="000B526D" w:rsidRPr="00630039">
        <w:rPr>
          <w:rFonts w:ascii="ITC Avant Garde" w:hAnsi="ITC Avant Garde"/>
        </w:rPr>
        <w:t>cia</w:t>
      </w:r>
      <w:r w:rsidR="008B3013" w:rsidRPr="00630039">
        <w:rPr>
          <w:rFonts w:ascii="ITC Avant Garde" w:hAnsi="ITC Avant Garde"/>
        </w:rPr>
        <w:t>.</w:t>
      </w:r>
    </w:p>
    <w:p w14:paraId="4A11FFE1" w14:textId="77777777" w:rsidR="00381B72" w:rsidRDefault="000B526D" w:rsidP="00381B72">
      <w:pPr>
        <w:spacing w:afterLines="120" w:after="288" w:line="240" w:lineRule="auto"/>
        <w:jc w:val="both"/>
        <w:rPr>
          <w:rFonts w:ascii="ITC Avant Garde" w:hAnsi="ITC Avant Garde" w:cs="Arial"/>
          <w:bCs/>
          <w:color w:val="000000"/>
          <w:lang w:eastAsia="es-MX"/>
        </w:rPr>
      </w:pPr>
      <w:r w:rsidRPr="001D1D1D">
        <w:rPr>
          <w:rFonts w:ascii="ITC Avant Garde" w:hAnsi="ITC Avant Garde" w:cs="Arial"/>
          <w:bCs/>
          <w:color w:val="000000"/>
          <w:lang w:eastAsia="es-MX"/>
        </w:rPr>
        <w:t xml:space="preserve">Por su parte, con oficio DG-EERO/DVEC/025/17 de fecha 24 de mayo de 2017, la Dirección General de Economía del Espectro y Recursos Orbitales, adscrita a la Unidad </w:t>
      </w:r>
      <w:r w:rsidRPr="001D1D1D">
        <w:rPr>
          <w:rFonts w:ascii="ITC Avant Garde" w:hAnsi="ITC Avant Garde" w:cs="Arial"/>
          <w:bCs/>
          <w:color w:val="000000"/>
          <w:lang w:eastAsia="es-MX"/>
        </w:rPr>
        <w:lastRenderedPageBreak/>
        <w:t>de Espectro Radioeléctrico, emitió el dictamen correspondiente a la Solicitud en los términos siguientes:</w:t>
      </w:r>
    </w:p>
    <w:p w14:paraId="18BB2F23" w14:textId="77777777" w:rsidR="00381B72" w:rsidRDefault="000B526D" w:rsidP="00381B72">
      <w:pPr>
        <w:spacing w:afterLines="120" w:after="288" w:line="240" w:lineRule="auto"/>
        <w:ind w:left="567" w:right="615"/>
        <w:jc w:val="both"/>
        <w:rPr>
          <w:rFonts w:ascii="ITC Avant Garde" w:hAnsi="ITC Avant Garde" w:cs="Arial"/>
          <w:bCs/>
          <w:i/>
          <w:color w:val="000000"/>
          <w:sz w:val="18"/>
          <w:lang w:eastAsia="es-MX"/>
        </w:rPr>
      </w:pPr>
      <w:r w:rsidRPr="001D1D1D">
        <w:rPr>
          <w:rFonts w:ascii="ITC Avant Garde" w:hAnsi="ITC Avant Garde" w:cs="Arial"/>
          <w:bCs/>
          <w:i/>
          <w:color w:val="000000"/>
          <w:sz w:val="18"/>
          <w:lang w:eastAsia="es-MX"/>
        </w:rPr>
        <w:t>“[…] se determina que los concesionarios o permisionarios de servicios públicos de telecomunicaciones y de radiodifusión, que presten servicios sin fines de lucro, podrán obtener la asignación directa de bandas de frecuencia para la operación de dichos servicios públicos y no pagarán una contraprestación por esta asignación […]</w:t>
      </w:r>
    </w:p>
    <w:p w14:paraId="120303AD" w14:textId="2F924058" w:rsidR="000B526D" w:rsidRPr="001D1D1D" w:rsidRDefault="000B526D" w:rsidP="00381B72">
      <w:pPr>
        <w:autoSpaceDE w:val="0"/>
        <w:autoSpaceDN w:val="0"/>
        <w:adjustRightInd w:val="0"/>
        <w:spacing w:after="0" w:line="240" w:lineRule="auto"/>
        <w:ind w:left="567" w:right="899"/>
        <w:jc w:val="both"/>
        <w:rPr>
          <w:rFonts w:ascii="ITC Avant Garde" w:hAnsi="ITC Avant Garde" w:cs="Arial"/>
          <w:bCs/>
          <w:i/>
          <w:color w:val="000000"/>
          <w:sz w:val="18"/>
          <w:lang w:eastAsia="es-MX"/>
        </w:rPr>
      </w:pPr>
      <w:r w:rsidRPr="001D1D1D">
        <w:rPr>
          <w:rFonts w:ascii="ITC Avant Garde" w:hAnsi="ITC Avant Garde" w:cs="Arial"/>
          <w:bCs/>
          <w:i/>
          <w:color w:val="000000"/>
          <w:sz w:val="18"/>
          <w:lang w:eastAsia="es-MX"/>
        </w:rPr>
        <w:t xml:space="preserve">Dictamen </w:t>
      </w:r>
    </w:p>
    <w:p w14:paraId="58D99116" w14:textId="77777777" w:rsidR="00381B72" w:rsidRDefault="000B526D" w:rsidP="00381B72">
      <w:pPr>
        <w:autoSpaceDE w:val="0"/>
        <w:autoSpaceDN w:val="0"/>
        <w:adjustRightInd w:val="0"/>
        <w:spacing w:afterLines="120" w:after="288" w:line="240" w:lineRule="auto"/>
        <w:ind w:left="567" w:right="615"/>
        <w:jc w:val="both"/>
        <w:rPr>
          <w:rFonts w:ascii="ITC Avant Garde" w:hAnsi="ITC Avant Garde" w:cs="Arial"/>
          <w:bCs/>
          <w:color w:val="000000"/>
          <w:sz w:val="18"/>
          <w:lang w:eastAsia="es-MX"/>
        </w:rPr>
      </w:pPr>
      <w:r w:rsidRPr="001D1D1D">
        <w:rPr>
          <w:rFonts w:ascii="ITC Avant Garde" w:hAnsi="ITC Avant Garde" w:cs="Arial"/>
          <w:bCs/>
          <w:i/>
          <w:color w:val="000000"/>
          <w:sz w:val="18"/>
          <w:lang w:eastAsia="es-MX"/>
        </w:rPr>
        <w:t xml:space="preserve">Con base en el análisis previo, </w:t>
      </w:r>
      <w:r w:rsidRPr="001D1D1D">
        <w:rPr>
          <w:rFonts w:ascii="ITC Avant Garde" w:hAnsi="ITC Avant Garde" w:cs="Arial"/>
          <w:b/>
          <w:bCs/>
          <w:i/>
          <w:color w:val="000000"/>
          <w:sz w:val="18"/>
          <w:lang w:eastAsia="es-MX"/>
        </w:rPr>
        <w:t xml:space="preserve">se determina que el concesionario no deberá pagar contraprestación por el otorgamiento de la concesión </w:t>
      </w:r>
      <w:r w:rsidRPr="001D1D1D">
        <w:rPr>
          <w:rFonts w:ascii="ITC Avant Garde" w:hAnsi="ITC Avant Garde" w:cs="Arial"/>
          <w:bCs/>
          <w:i/>
          <w:color w:val="000000"/>
          <w:sz w:val="18"/>
          <w:lang w:eastAsia="es-MX"/>
        </w:rPr>
        <w:t xml:space="preserve">[…]”. </w:t>
      </w:r>
      <w:r w:rsidRPr="001D1D1D">
        <w:rPr>
          <w:rFonts w:ascii="ITC Avant Garde" w:hAnsi="ITC Avant Garde" w:cs="Arial"/>
          <w:bCs/>
          <w:color w:val="000000"/>
          <w:sz w:val="18"/>
          <w:lang w:eastAsia="es-MX"/>
        </w:rPr>
        <w:t>(Énfasis añadido)</w:t>
      </w:r>
    </w:p>
    <w:p w14:paraId="66D28DC6" w14:textId="77777777" w:rsidR="00381B72" w:rsidRDefault="000B526D"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bCs/>
        </w:rPr>
        <w:t>Lo anterior, sin perjuicio del pago de los derechos que establezca la Ley de la materia por el uso y aprovechamiento del espectro radioeléctrico.</w:t>
      </w:r>
    </w:p>
    <w:p w14:paraId="2D117738" w14:textId="77777777" w:rsidR="00381B72" w:rsidRDefault="00893D91" w:rsidP="00381B72">
      <w:pPr>
        <w:spacing w:afterLines="120" w:after="288" w:line="240" w:lineRule="auto"/>
        <w:jc w:val="both"/>
        <w:rPr>
          <w:rFonts w:ascii="ITC Avant Garde" w:hAnsi="ITC Avant Garde"/>
          <w:bCs/>
        </w:rPr>
      </w:pPr>
      <w:r w:rsidRPr="008218B4">
        <w:rPr>
          <w:rFonts w:ascii="ITC Avant Garde" w:hAnsi="ITC Avant Garde"/>
          <w:bCs/>
        </w:rPr>
        <w:t>Finalmente</w:t>
      </w:r>
      <w:r w:rsidR="00E102A9" w:rsidRPr="008218B4">
        <w:rPr>
          <w:rFonts w:ascii="ITC Avant Garde" w:hAnsi="ITC Avant Garde"/>
          <w:bCs/>
        </w:rPr>
        <w:t xml:space="preserve">, y con respecto a la opinión no vinculante de la Secretaría que se establece en el artículo 28 párrafo décimo séptimo de la Constitución, para asuntos como el abordado en la presente Resolución, </w:t>
      </w:r>
      <w:r w:rsidR="00330416" w:rsidRPr="008218B4">
        <w:rPr>
          <w:rFonts w:ascii="ITC Avant Garde" w:hAnsi="ITC Avant Garde"/>
          <w:bCs/>
        </w:rPr>
        <w:t xml:space="preserve">como se señala en el Antecedente </w:t>
      </w:r>
      <w:r w:rsidR="00AA1119" w:rsidRPr="008218B4">
        <w:rPr>
          <w:rFonts w:ascii="ITC Avant Garde" w:hAnsi="ITC Avant Garde"/>
          <w:bCs/>
        </w:rPr>
        <w:t>I</w:t>
      </w:r>
      <w:r w:rsidR="00330416" w:rsidRPr="008218B4">
        <w:rPr>
          <w:rFonts w:ascii="ITC Avant Garde" w:hAnsi="ITC Avant Garde"/>
          <w:bCs/>
        </w:rPr>
        <w:t>X de la presente Resolución, dicha Dependencia emitió opinión procedente respecto de la Solicitud.</w:t>
      </w:r>
    </w:p>
    <w:p w14:paraId="2626F910" w14:textId="77777777" w:rsidR="00381B72" w:rsidRDefault="000F6BFB" w:rsidP="00381B72">
      <w:pPr>
        <w:spacing w:afterLines="120" w:after="288" w:line="240" w:lineRule="auto"/>
        <w:jc w:val="both"/>
        <w:rPr>
          <w:rFonts w:ascii="ITC Avant Garde" w:hAnsi="ITC Avant Garde" w:cs="Arial"/>
          <w:bCs/>
        </w:rPr>
      </w:pPr>
      <w:r w:rsidRPr="008218B4">
        <w:rPr>
          <w:rFonts w:ascii="ITC Avant Garde" w:hAnsi="ITC Avant Garde" w:cs="Arial"/>
          <w:bCs/>
        </w:rPr>
        <w:t>Atendiendo a lo anteriormente señalado, y considerando que la Solicitud cumple con los requisitos técnicos-regulatorios, legales y administrativos previstos en la Ley y los Lineamientos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w:t>
      </w:r>
      <w:r w:rsidRPr="0019224F">
        <w:rPr>
          <w:rFonts w:ascii="ITC Avant Garde" w:hAnsi="ITC Avant Garde" w:cs="Arial"/>
          <w:bCs/>
        </w:rPr>
        <w:t xml:space="preserve">, así como un título de concesión única, ambas para uso público a favor </w:t>
      </w:r>
      <w:r w:rsidRPr="0019224F">
        <w:rPr>
          <w:rFonts w:ascii="ITC Avant Garde" w:hAnsi="ITC Avant Garde" w:cs="Arial"/>
          <w:bCs/>
          <w:color w:val="000000"/>
          <w:lang w:eastAsia="es-MX"/>
        </w:rPr>
        <w:t xml:space="preserve">de </w:t>
      </w:r>
      <w:r w:rsidRPr="0019224F">
        <w:rPr>
          <w:rFonts w:ascii="ITC Avant Garde" w:hAnsi="ITC Avant Garde"/>
          <w:bCs/>
          <w:color w:val="000000"/>
          <w:lang w:eastAsia="es-MX"/>
        </w:rPr>
        <w:t>la Comisión Federal de Electricidad</w:t>
      </w:r>
      <w:r w:rsidR="00E43E4F" w:rsidRPr="0019224F">
        <w:rPr>
          <w:rFonts w:ascii="ITC Avant Garde" w:hAnsi="ITC Avant Garde"/>
          <w:bCs/>
          <w:color w:val="000000"/>
          <w:lang w:eastAsia="es-MX"/>
        </w:rPr>
        <w:t>,</w:t>
      </w:r>
      <w:r w:rsidRPr="0019224F">
        <w:rPr>
          <w:rFonts w:ascii="ITC Avant Garde" w:hAnsi="ITC Avant Garde"/>
          <w:bCs/>
          <w:color w:val="000000"/>
          <w:lang w:eastAsia="es-MX"/>
        </w:rPr>
        <w:t xml:space="preserve"> </w:t>
      </w:r>
      <w:r w:rsidR="00E43E4F" w:rsidRPr="0019224F">
        <w:rPr>
          <w:rFonts w:ascii="ITC Avant Garde" w:hAnsi="ITC Avant Garde"/>
          <w:bCs/>
          <w:color w:val="000000"/>
          <w:lang w:eastAsia="es-MX"/>
        </w:rPr>
        <w:t>Empresa Productiva del Estado</w:t>
      </w:r>
      <w:r w:rsidRPr="0019224F">
        <w:rPr>
          <w:rFonts w:ascii="ITC Avant Garde" w:hAnsi="ITC Avant Garde" w:cs="Arial"/>
          <w:bCs/>
        </w:rPr>
        <w:t>.</w:t>
      </w:r>
    </w:p>
    <w:p w14:paraId="48E51253" w14:textId="77777777" w:rsidR="00381B72" w:rsidRDefault="000F6BFB" w:rsidP="00381B72">
      <w:pPr>
        <w:autoSpaceDE w:val="0"/>
        <w:autoSpaceDN w:val="0"/>
        <w:adjustRightInd w:val="0"/>
        <w:spacing w:afterLines="120" w:after="288" w:line="240" w:lineRule="auto"/>
        <w:jc w:val="both"/>
        <w:rPr>
          <w:rFonts w:ascii="ITC Avant Garde" w:hAnsi="ITC Avant Garde"/>
          <w:bCs/>
        </w:rPr>
      </w:pPr>
      <w:r w:rsidRPr="008218B4">
        <w:rPr>
          <w:rFonts w:ascii="ITC Avant Garde" w:hAnsi="ITC Avant Garde" w:cs="Arial"/>
        </w:rPr>
        <w:t>Por lo anterior y con fundamento en los artículos 28 párrafos décimo quinto, décimo sexto y décimo séptimo de la Constitución Política de los Estados Unidos Mexicanos; 6 fracción IV, 15 fracción IV, 17 fracción I, 55 fracción I, 66, 67 fracción II, 70, 72, 75, 76 fracción II y 83 de la Ley Federal de Telecomunicaciones y Radiodifusión</w:t>
      </w:r>
      <w:r w:rsidRPr="008218B4">
        <w:rPr>
          <w:rFonts w:ascii="ITC Avant Garde" w:hAnsi="ITC Avant Garde" w:cs="Arial"/>
          <w:bCs/>
          <w:color w:val="000000"/>
          <w:lang w:eastAsia="es-MX"/>
        </w:rPr>
        <w:t xml:space="preserve">; 173 apartado C fracción I, 174-L fracción I </w:t>
      </w:r>
      <w:r w:rsidRPr="008218B4">
        <w:rPr>
          <w:rFonts w:ascii="ITC Avant Garde" w:hAnsi="ITC Avant Garde"/>
          <w:bCs/>
          <w:color w:val="000000"/>
          <w:lang w:eastAsia="es-MX"/>
        </w:rPr>
        <w:t xml:space="preserve">de la Ley Federal de Derechos vigente; </w:t>
      </w:r>
      <w:r w:rsidRPr="008218B4">
        <w:rPr>
          <w:rFonts w:ascii="ITC Avant Garde" w:hAnsi="ITC Avant Garde" w:cs="Arial"/>
          <w:bCs/>
          <w:color w:val="000000"/>
          <w:lang w:eastAsia="es-MX"/>
        </w:rPr>
        <w:t>35, 36, 38, 39 y 57 fracción I de la Ley Federal de Procedimiento Administrativo;</w:t>
      </w:r>
      <w:r w:rsidRPr="008218B4">
        <w:rPr>
          <w:rFonts w:ascii="ITC Avant Garde" w:hAnsi="ITC Avant Garde" w:cs="Arial"/>
        </w:rPr>
        <w:t xml:space="preserve"> 3, 8, 13 y 21 de los “</w:t>
      </w:r>
      <w:r w:rsidRPr="008218B4">
        <w:rPr>
          <w:rFonts w:ascii="ITC Avant Garde" w:hAnsi="ITC Avant Garde" w:cs="Arial"/>
          <w:i/>
        </w:rPr>
        <w:t>Lineamientos generales para el otorgamiento de las concesiones a que se refiere el Título Cuarto de la Ley Federal de Telecomunicaciones y Radiodifusión</w:t>
      </w:r>
      <w:r w:rsidRPr="008218B4">
        <w:rPr>
          <w:rFonts w:ascii="ITC Avant Garde" w:hAnsi="ITC Avant Garde" w:cs="Arial"/>
        </w:rPr>
        <w:t xml:space="preserve">”, publicados en el Diario Oficial de la Federación el 24 de julio de 2015 y modificados el 26 de mayo de 2017; 1, 4 fracciones I, II, V incisos ii) y iii), IX incisos </w:t>
      </w:r>
      <w:r w:rsidRPr="008218B4">
        <w:rPr>
          <w:rFonts w:ascii="ITC Avant Garde" w:hAnsi="ITC Avant Garde"/>
        </w:rPr>
        <w:t xml:space="preserve">vii), viii) y </w:t>
      </w:r>
      <w:r w:rsidRPr="008218B4">
        <w:rPr>
          <w:rFonts w:ascii="ITC Avant Garde" w:hAnsi="ITC Avant Garde" w:cs="Arial"/>
        </w:rPr>
        <w:t xml:space="preserve">ix), 6 fracciones I y XXXVIII, 14 fracción X, </w:t>
      </w:r>
      <w:r w:rsidRPr="008218B4">
        <w:rPr>
          <w:rFonts w:ascii="ITC Avant Garde" w:hAnsi="ITC Avant Garde"/>
        </w:rPr>
        <w:t>31 fracciones VII y XII,</w:t>
      </w:r>
      <w:r w:rsidRPr="008218B4">
        <w:rPr>
          <w:rFonts w:ascii="ITC Avant Garde" w:hAnsi="ITC Avant Garde" w:cs="Arial"/>
        </w:rPr>
        <w:t xml:space="preserve"> 32 y 33 fracción I del Estatuto Orgánico del Instituto Federal de Telecomunicaciones, publicado en el Diario Oficial de la Federación el 4 de septiembre de 2014 y modificado por última vez el 20 de julio de 2017, este Órgano Autónomo emite los siguientes</w:t>
      </w:r>
      <w:r w:rsidR="00D62A0D" w:rsidRPr="008218B4">
        <w:rPr>
          <w:rFonts w:ascii="ITC Avant Garde" w:hAnsi="ITC Avant Garde"/>
          <w:bCs/>
        </w:rPr>
        <w:t>:</w:t>
      </w:r>
    </w:p>
    <w:p w14:paraId="7DA25A54" w14:textId="77777777" w:rsidR="00381B72" w:rsidRPr="00381B72" w:rsidRDefault="00B048BA" w:rsidP="00381B72">
      <w:pPr>
        <w:pStyle w:val="Ttulo2"/>
        <w:spacing w:before="0" w:afterLines="120" w:after="288"/>
        <w:jc w:val="center"/>
        <w:rPr>
          <w:rFonts w:ascii="ITC Avant Garde" w:hAnsi="ITC Avant Garde"/>
          <w:b/>
          <w:color w:val="000000" w:themeColor="text1"/>
          <w:sz w:val="22"/>
          <w:szCs w:val="22"/>
        </w:rPr>
      </w:pPr>
      <w:r w:rsidRPr="00381B72">
        <w:rPr>
          <w:rFonts w:ascii="ITC Avant Garde" w:hAnsi="ITC Avant Garde"/>
          <w:b/>
          <w:color w:val="000000" w:themeColor="text1"/>
          <w:sz w:val="22"/>
          <w:szCs w:val="22"/>
        </w:rPr>
        <w:lastRenderedPageBreak/>
        <w:t>RESOLUTIVOS</w:t>
      </w:r>
    </w:p>
    <w:p w14:paraId="0113C072" w14:textId="16FCDC76" w:rsidR="00381B72" w:rsidRDefault="00C630FF" w:rsidP="00381B72">
      <w:pPr>
        <w:spacing w:afterLines="120" w:after="288" w:line="240" w:lineRule="auto"/>
        <w:jc w:val="both"/>
        <w:rPr>
          <w:rFonts w:ascii="ITC Avant Garde" w:hAnsi="ITC Avant Garde"/>
          <w:bCs/>
          <w:color w:val="000000"/>
          <w:lang w:eastAsia="es-MX"/>
        </w:rPr>
      </w:pPr>
      <w:r w:rsidRPr="006272A4">
        <w:rPr>
          <w:rFonts w:ascii="ITC Avant Garde" w:hAnsi="ITC Avant Garde"/>
          <w:b/>
          <w:bCs/>
        </w:rPr>
        <w:t>PRIMERO</w:t>
      </w:r>
      <w:r w:rsidR="00B048BA" w:rsidRPr="006272A4">
        <w:rPr>
          <w:rFonts w:ascii="ITC Avant Garde" w:hAnsi="ITC Avant Garde"/>
          <w:b/>
          <w:bCs/>
        </w:rPr>
        <w:t>.-</w:t>
      </w:r>
      <w:r w:rsidR="00B048BA" w:rsidRPr="006272A4">
        <w:rPr>
          <w:rFonts w:ascii="ITC Avant Garde" w:hAnsi="ITC Avant Garde"/>
          <w:bCs/>
        </w:rPr>
        <w:t xml:space="preserve"> </w:t>
      </w:r>
      <w:r w:rsidR="005E2324" w:rsidRPr="006272A4">
        <w:rPr>
          <w:rFonts w:ascii="ITC Avant Garde" w:hAnsi="ITC Avant Garde"/>
          <w:bCs/>
          <w:lang w:val="es-ES_tradnl"/>
        </w:rPr>
        <w:t>Se</w:t>
      </w:r>
      <w:r w:rsidR="00E63AE2" w:rsidRPr="006272A4">
        <w:rPr>
          <w:rFonts w:ascii="ITC Avant Garde" w:hAnsi="ITC Avant Garde"/>
          <w:bCs/>
          <w:lang w:val="es-ES_tradnl"/>
        </w:rPr>
        <w:t xml:space="preserve"> </w:t>
      </w:r>
      <w:r w:rsidR="000F6BFB" w:rsidRPr="006272A4">
        <w:rPr>
          <w:rFonts w:ascii="ITC Avant Garde" w:hAnsi="ITC Avant Garde" w:cs="Arial"/>
          <w:bCs/>
          <w:color w:val="000000"/>
          <w:lang w:eastAsia="es-MX"/>
        </w:rPr>
        <w:t xml:space="preserve">otorga a favor de </w:t>
      </w:r>
      <w:r w:rsidR="000F6BFB" w:rsidRPr="006272A4">
        <w:rPr>
          <w:rFonts w:ascii="ITC Avant Garde" w:hAnsi="ITC Avant Garde"/>
          <w:bCs/>
          <w:color w:val="000000"/>
          <w:lang w:eastAsia="es-MX"/>
        </w:rPr>
        <w:t xml:space="preserve">la </w:t>
      </w:r>
      <w:r w:rsidR="00E43E4F" w:rsidRPr="006272A4">
        <w:rPr>
          <w:rFonts w:ascii="ITC Avant Garde" w:hAnsi="ITC Avant Garde"/>
          <w:bCs/>
          <w:color w:val="000000"/>
          <w:lang w:eastAsia="es-MX"/>
        </w:rPr>
        <w:t>Comisión Federal de Electricidad, Empresa Productiva del Estado</w:t>
      </w:r>
      <w:r w:rsidR="00E63AE2" w:rsidRPr="006272A4">
        <w:rPr>
          <w:rFonts w:ascii="ITC Avant Garde" w:hAnsi="ITC Avant Garde"/>
          <w:bCs/>
        </w:rPr>
        <w:t>,</w:t>
      </w:r>
      <w:r w:rsidR="00E63AE2" w:rsidRPr="006272A4">
        <w:rPr>
          <w:rFonts w:ascii="ITC Avant Garde" w:hAnsi="ITC Avant Garde"/>
          <w:bCs/>
          <w:lang w:val="es-ES_tradnl"/>
        </w:rPr>
        <w:t xml:space="preserve"> </w:t>
      </w:r>
      <w:r w:rsidR="000F6BFB" w:rsidRPr="006272A4">
        <w:rPr>
          <w:rFonts w:ascii="ITC Avant Garde" w:hAnsi="ITC Avant Garde" w:cs="Arial"/>
          <w:bCs/>
          <w:color w:val="000000"/>
          <w:lang w:eastAsia="es-MX"/>
        </w:rPr>
        <w:t>un título de concesión para usar y aprovechar bandas de frecuencias del espectro radioeléctrico para uso público, para el cumplimiento de sus fines y atribuciones, con una vigencia de 15 (quince) años contados a partir de la fecha de su otorgamiento</w:t>
      </w:r>
      <w:r w:rsidR="005E2324" w:rsidRPr="006272A4">
        <w:rPr>
          <w:rFonts w:ascii="ITC Avant Garde" w:hAnsi="ITC Avant Garde"/>
          <w:bCs/>
          <w:color w:val="000000"/>
          <w:lang w:eastAsia="es-MX"/>
        </w:rPr>
        <w:t>.</w:t>
      </w:r>
      <w:r w:rsidR="0019224F" w:rsidRPr="006272A4">
        <w:rPr>
          <w:rFonts w:ascii="ITC Avant Garde" w:hAnsi="ITC Avant Garde"/>
          <w:bCs/>
          <w:color w:val="000000"/>
          <w:lang w:eastAsia="es-MX"/>
        </w:rPr>
        <w:t xml:space="preserve"> </w:t>
      </w:r>
    </w:p>
    <w:p w14:paraId="1039EA40" w14:textId="77777777" w:rsidR="00381B72" w:rsidRDefault="006C054B" w:rsidP="00381B72">
      <w:pPr>
        <w:spacing w:afterLines="120" w:after="288" w:line="240" w:lineRule="auto"/>
        <w:jc w:val="both"/>
        <w:rPr>
          <w:rFonts w:ascii="ITC Avant Garde" w:hAnsi="ITC Avant Garde" w:cs="Arial"/>
        </w:rPr>
      </w:pPr>
      <w:r w:rsidRPr="006272A4">
        <w:rPr>
          <w:rFonts w:ascii="ITC Avant Garde" w:hAnsi="ITC Avant Garde" w:cs="Arial"/>
        </w:rPr>
        <w:t>Lo</w:t>
      </w:r>
      <w:r w:rsidR="000F6BFB" w:rsidRPr="006272A4">
        <w:rPr>
          <w:rFonts w:ascii="ITC Avant Garde" w:hAnsi="ITC Avant Garde" w:cs="Arial"/>
        </w:rPr>
        <w:t xml:space="preserve">s </w:t>
      </w:r>
      <w:r w:rsidR="00AA1119" w:rsidRPr="006272A4">
        <w:rPr>
          <w:rFonts w:ascii="ITC Avant Garde" w:hAnsi="ITC Avant Garde" w:cs="Arial"/>
        </w:rPr>
        <w:t xml:space="preserve">122 pares de frecuencias del espectro radioeléctrico asignados en el rango de </w:t>
      </w:r>
      <w:r w:rsidR="00EA5D28" w:rsidRPr="006272A4">
        <w:rPr>
          <w:rFonts w:ascii="ITC Avant Garde" w:hAnsi="ITC Avant Garde" w:cs="Arial"/>
        </w:rPr>
        <w:t>806-814/851-859 MHz</w:t>
      </w:r>
      <w:r w:rsidR="00AA1119" w:rsidRPr="006272A4">
        <w:rPr>
          <w:rFonts w:ascii="ITC Avant Garde" w:hAnsi="ITC Avant Garde" w:cs="Arial"/>
        </w:rPr>
        <w:t xml:space="preserve">, </w:t>
      </w:r>
      <w:r w:rsidR="00EA5D28" w:rsidRPr="006272A4">
        <w:rPr>
          <w:rFonts w:ascii="ITC Avant Garde" w:hAnsi="ITC Avant Garde" w:cs="Arial"/>
        </w:rPr>
        <w:t xml:space="preserve">así como las </w:t>
      </w:r>
      <w:r w:rsidR="000F6BFB" w:rsidRPr="006272A4">
        <w:rPr>
          <w:rFonts w:ascii="ITC Avant Garde" w:hAnsi="ITC Avant Garde" w:cs="Arial"/>
        </w:rPr>
        <w:t>condiciones, especificaciones técnicas y cobertura se encuentran establecidas en el citado título de concesión y su Anexo Técnico.</w:t>
      </w:r>
    </w:p>
    <w:p w14:paraId="65C5369F" w14:textId="77777777" w:rsidR="00381B72" w:rsidRDefault="0019224F" w:rsidP="00381B72">
      <w:pPr>
        <w:spacing w:afterLines="120" w:after="288" w:line="240" w:lineRule="auto"/>
        <w:jc w:val="both"/>
        <w:rPr>
          <w:rFonts w:ascii="ITC Avant Garde" w:hAnsi="ITC Avant Garde"/>
          <w:bCs/>
          <w:color w:val="000000"/>
          <w:lang w:eastAsia="es-MX"/>
        </w:rPr>
      </w:pPr>
      <w:r w:rsidRPr="006272A4">
        <w:rPr>
          <w:rFonts w:ascii="ITC Avant Garde" w:hAnsi="ITC Avant Garde"/>
          <w:bCs/>
          <w:color w:val="000000"/>
          <w:lang w:eastAsia="es-MX"/>
        </w:rPr>
        <w:t xml:space="preserve">Se autoriza </w:t>
      </w:r>
      <w:r w:rsidR="004B17A3" w:rsidRPr="006272A4">
        <w:rPr>
          <w:rFonts w:ascii="ITC Avant Garde" w:hAnsi="ITC Avant Garde"/>
          <w:bCs/>
          <w:color w:val="000000"/>
          <w:lang w:eastAsia="es-MX"/>
        </w:rPr>
        <w:t xml:space="preserve">a la </w:t>
      </w:r>
      <w:r w:rsidRPr="006272A4">
        <w:rPr>
          <w:rFonts w:ascii="ITC Avant Garde" w:hAnsi="ITC Avant Garde"/>
          <w:bCs/>
          <w:color w:val="000000"/>
          <w:lang w:eastAsia="es-MX"/>
        </w:rPr>
        <w:t>empresa productiva subsidiaria CFE Distribución, a u</w:t>
      </w:r>
      <w:r w:rsidR="001A3DA6">
        <w:rPr>
          <w:rFonts w:ascii="ITC Avant Garde" w:hAnsi="ITC Avant Garde"/>
          <w:bCs/>
          <w:color w:val="000000"/>
          <w:lang w:eastAsia="es-MX"/>
        </w:rPr>
        <w:t>tiliza</w:t>
      </w:r>
      <w:r w:rsidRPr="006272A4">
        <w:rPr>
          <w:rFonts w:ascii="ITC Avant Garde" w:hAnsi="ITC Avant Garde"/>
          <w:bCs/>
          <w:color w:val="000000"/>
          <w:lang w:eastAsia="es-MX"/>
        </w:rPr>
        <w:t>r la</w:t>
      </w:r>
      <w:r w:rsidR="002C785D">
        <w:rPr>
          <w:rFonts w:ascii="ITC Avant Garde" w:hAnsi="ITC Avant Garde"/>
          <w:bCs/>
          <w:color w:val="000000"/>
          <w:lang w:eastAsia="es-MX"/>
        </w:rPr>
        <w:t>s bandas de frecuencias concesionadas a través del título de concesión señalado en el presente Resolutivo</w:t>
      </w:r>
      <w:r w:rsidR="001A3DA6">
        <w:rPr>
          <w:rFonts w:ascii="ITC Avant Garde" w:hAnsi="ITC Avant Garde"/>
          <w:bCs/>
          <w:color w:val="000000"/>
          <w:lang w:eastAsia="es-MX"/>
        </w:rPr>
        <w:t>,</w:t>
      </w:r>
      <w:r w:rsidR="002C785D">
        <w:rPr>
          <w:rFonts w:ascii="ITC Avant Garde" w:hAnsi="ITC Avant Garde"/>
          <w:bCs/>
          <w:color w:val="000000"/>
          <w:lang w:eastAsia="es-MX"/>
        </w:rPr>
        <w:t xml:space="preserve"> bajo las condiciones, especificaciones técnicas y cobertura </w:t>
      </w:r>
      <w:r w:rsidR="001A3DA6">
        <w:rPr>
          <w:rFonts w:ascii="ITC Avant Garde" w:hAnsi="ITC Avant Garde"/>
          <w:bCs/>
          <w:color w:val="000000"/>
          <w:lang w:eastAsia="es-MX"/>
        </w:rPr>
        <w:t xml:space="preserve">establecidas </w:t>
      </w:r>
      <w:r w:rsidR="002C785D">
        <w:rPr>
          <w:rFonts w:ascii="ITC Avant Garde" w:hAnsi="ITC Avant Garde"/>
          <w:bCs/>
          <w:color w:val="000000"/>
          <w:lang w:eastAsia="es-MX"/>
        </w:rPr>
        <w:t>en el mismo</w:t>
      </w:r>
      <w:r w:rsidR="001A3DA6">
        <w:rPr>
          <w:rFonts w:ascii="ITC Avant Garde" w:hAnsi="ITC Avant Garde"/>
          <w:bCs/>
          <w:color w:val="000000"/>
          <w:lang w:eastAsia="es-MX"/>
        </w:rPr>
        <w:t>,</w:t>
      </w:r>
      <w:r w:rsidR="002C785D">
        <w:rPr>
          <w:rFonts w:ascii="ITC Avant Garde" w:hAnsi="ITC Avant Garde"/>
          <w:bCs/>
          <w:color w:val="000000"/>
          <w:lang w:eastAsia="es-MX"/>
        </w:rPr>
        <w:t xml:space="preserve"> así como su Anexo Técnico.</w:t>
      </w:r>
    </w:p>
    <w:p w14:paraId="15A7BD86" w14:textId="587042F3" w:rsidR="00381B72" w:rsidRDefault="005E2324" w:rsidP="00381B72">
      <w:pPr>
        <w:autoSpaceDE w:val="0"/>
        <w:autoSpaceDN w:val="0"/>
        <w:adjustRightInd w:val="0"/>
        <w:spacing w:afterLines="120" w:after="288" w:line="240" w:lineRule="auto"/>
        <w:jc w:val="both"/>
        <w:rPr>
          <w:rFonts w:ascii="ITC Avant Garde" w:hAnsi="ITC Avant Garde"/>
          <w:bCs/>
        </w:rPr>
      </w:pPr>
      <w:r w:rsidRPr="006272A4">
        <w:rPr>
          <w:rFonts w:ascii="ITC Avant Garde" w:hAnsi="ITC Avant Garde"/>
          <w:b/>
          <w:lang w:eastAsia="es-MX"/>
        </w:rPr>
        <w:t>SEGUNDO.-</w:t>
      </w:r>
      <w:r w:rsidRPr="006272A4">
        <w:rPr>
          <w:rFonts w:ascii="ITC Avant Garde" w:hAnsi="ITC Avant Garde"/>
          <w:lang w:eastAsia="es-MX"/>
        </w:rPr>
        <w:t xml:space="preserve"> </w:t>
      </w:r>
      <w:r w:rsidR="000F6BFB" w:rsidRPr="006272A4">
        <w:rPr>
          <w:rFonts w:ascii="ITC Avant Garde" w:hAnsi="ITC Avant Garde" w:cs="Arial"/>
          <w:bCs/>
          <w:color w:val="000000"/>
          <w:lang w:eastAsia="es-MX"/>
        </w:rPr>
        <w:t>Se otorga a favor de</w:t>
      </w:r>
      <w:r w:rsidR="000F6BFB" w:rsidRPr="006272A4">
        <w:rPr>
          <w:rFonts w:ascii="ITC Avant Garde" w:hAnsi="ITC Avant Garde"/>
          <w:bCs/>
          <w:color w:val="000000"/>
          <w:lang w:eastAsia="es-MX"/>
        </w:rPr>
        <w:t xml:space="preserve"> la </w:t>
      </w:r>
      <w:r w:rsidR="00E43E4F" w:rsidRPr="006272A4">
        <w:rPr>
          <w:rFonts w:ascii="ITC Avant Garde" w:hAnsi="ITC Avant Garde"/>
          <w:bCs/>
          <w:color w:val="000000"/>
          <w:lang w:eastAsia="es-MX"/>
        </w:rPr>
        <w:t>Comisión Federal de Electricidad, Empresa Productiva del Estado</w:t>
      </w:r>
      <w:r w:rsidR="000F6BFB" w:rsidRPr="006272A4">
        <w:rPr>
          <w:rFonts w:ascii="ITC Avant Garde" w:hAnsi="ITC Avant Garde" w:cs="Arial"/>
          <w:bCs/>
          <w:color w:val="000000"/>
          <w:lang w:eastAsia="es-MX"/>
        </w:rPr>
        <w:t>, un título de concesión única para uso público, con una vigencia de 30 (treinta) años contados a partir de la fecha de su otorgamiento, para proveer todo tipo de servicios públicos de telecomunicaciones y radiodifusión para el cumplimiento de sus fines y atribuciones, con cobertura nacional y conforme a los términos establecidos en dicho título de concesión</w:t>
      </w:r>
    </w:p>
    <w:p w14:paraId="376F1B5D" w14:textId="77777777" w:rsidR="00381B72" w:rsidRDefault="00BA79B2" w:rsidP="00381B72">
      <w:pPr>
        <w:spacing w:afterLines="120" w:after="288" w:line="240" w:lineRule="auto"/>
        <w:jc w:val="both"/>
        <w:rPr>
          <w:rFonts w:ascii="ITC Avant Garde" w:hAnsi="ITC Avant Garde"/>
          <w:bCs/>
          <w:color w:val="000000"/>
          <w:lang w:eastAsia="es-MX"/>
        </w:rPr>
      </w:pPr>
      <w:r w:rsidRPr="006272A4">
        <w:rPr>
          <w:rFonts w:ascii="ITC Avant Garde" w:hAnsi="ITC Avant Garde"/>
          <w:bCs/>
          <w:color w:val="000000"/>
          <w:lang w:eastAsia="es-MX"/>
        </w:rPr>
        <w:t xml:space="preserve">Se autoriza </w:t>
      </w:r>
      <w:r w:rsidR="004B17A3" w:rsidRPr="006272A4">
        <w:rPr>
          <w:rFonts w:ascii="ITC Avant Garde" w:hAnsi="ITC Avant Garde"/>
          <w:bCs/>
          <w:color w:val="000000"/>
          <w:lang w:eastAsia="es-MX"/>
        </w:rPr>
        <w:t xml:space="preserve">a la </w:t>
      </w:r>
      <w:r w:rsidRPr="006272A4">
        <w:rPr>
          <w:rFonts w:ascii="ITC Avant Garde" w:hAnsi="ITC Avant Garde"/>
          <w:bCs/>
          <w:color w:val="000000"/>
          <w:lang w:eastAsia="es-MX"/>
        </w:rPr>
        <w:t xml:space="preserve">empresa productiva subsidiaria CFE Distribución, para </w:t>
      </w:r>
      <w:r w:rsidR="004B17A3" w:rsidRPr="006272A4">
        <w:rPr>
          <w:rFonts w:ascii="ITC Avant Garde" w:hAnsi="ITC Avant Garde"/>
          <w:bCs/>
          <w:color w:val="000000"/>
          <w:lang w:eastAsia="es-MX"/>
        </w:rPr>
        <w:t>proveer todo tipo de servicios de telecomunicaciones y radiodifusión, a</w:t>
      </w:r>
      <w:r w:rsidR="0017766C">
        <w:rPr>
          <w:rFonts w:ascii="ITC Avant Garde" w:hAnsi="ITC Avant Garde"/>
          <w:bCs/>
          <w:color w:val="000000"/>
          <w:lang w:eastAsia="es-MX"/>
        </w:rPr>
        <w:t xml:space="preserve"> través del título de concesión señalado en el presente Resolutivo, conforme a los términos establecidos en el mismo.</w:t>
      </w:r>
    </w:p>
    <w:p w14:paraId="1E45F64B" w14:textId="77777777" w:rsidR="00381B72" w:rsidRDefault="004D0875" w:rsidP="00381B72">
      <w:pPr>
        <w:spacing w:afterLines="120" w:after="288" w:line="240" w:lineRule="auto"/>
        <w:jc w:val="both"/>
        <w:rPr>
          <w:rFonts w:ascii="ITC Avant Garde" w:hAnsi="ITC Avant Garde" w:cs="Arial"/>
          <w:lang w:eastAsia="es-MX"/>
        </w:rPr>
      </w:pPr>
      <w:r w:rsidRPr="008218B4">
        <w:rPr>
          <w:rFonts w:ascii="ITC Avant Garde" w:hAnsi="ITC Avant Garde"/>
          <w:b/>
          <w:bCs/>
        </w:rPr>
        <w:t>TERCERO.-</w:t>
      </w:r>
      <w:r w:rsidR="000F6BFB" w:rsidRPr="008218B4">
        <w:rPr>
          <w:rFonts w:ascii="ITC Avant Garde" w:hAnsi="ITC Avant Garde"/>
          <w:bCs/>
          <w:color w:val="000000"/>
          <w:lang w:eastAsia="es-MX"/>
        </w:rPr>
        <w:t xml:space="preserve"> </w:t>
      </w:r>
      <w:r w:rsidR="000F6BFB" w:rsidRPr="008218B4">
        <w:rPr>
          <w:rFonts w:ascii="ITC Avant Garde" w:hAnsi="ITC Avant Garde" w:cs="Arial"/>
          <w:lang w:eastAsia="es-MX"/>
        </w:rPr>
        <w:t xml:space="preserve">El Comisionado Presidente del Instituto Federal de Telecomunicaciones, con base en las facultades que le confiere el artículo 14 fracción X del Estatuto Orgánico </w:t>
      </w:r>
      <w:r w:rsidR="000F6BFB" w:rsidRPr="008218B4">
        <w:rPr>
          <w:rFonts w:ascii="ITC Avant Garde" w:hAnsi="ITC Avant Garde" w:cs="Arial"/>
          <w:bCs/>
          <w:color w:val="000000"/>
          <w:lang w:eastAsia="es-MX"/>
        </w:rPr>
        <w:t>del Instituto Federal de Telecomunicaciones</w:t>
      </w:r>
      <w:r w:rsidR="000F6BFB" w:rsidRPr="008218B4">
        <w:rPr>
          <w:rFonts w:ascii="ITC Avant Garde" w:hAnsi="ITC Avant Garde" w:cs="Arial"/>
          <w:lang w:eastAsia="es-MX"/>
        </w:rPr>
        <w:t>, suscribirá los títulos de concesión señalados en los Resolutivos Primero y Segundo anteriores, mismos que se anexan a la presente Resolución y forman parte integral de la misma.</w:t>
      </w:r>
    </w:p>
    <w:p w14:paraId="780969BA" w14:textId="77777777" w:rsidR="00381B72" w:rsidRDefault="000F6BFB" w:rsidP="00381B72">
      <w:pPr>
        <w:autoSpaceDE w:val="0"/>
        <w:autoSpaceDN w:val="0"/>
        <w:adjustRightInd w:val="0"/>
        <w:spacing w:afterLines="120" w:after="288" w:line="240" w:lineRule="auto"/>
        <w:jc w:val="both"/>
        <w:rPr>
          <w:rFonts w:ascii="ITC Avant Garde" w:hAnsi="ITC Avant Garde"/>
          <w:bCs/>
          <w:color w:val="000000"/>
          <w:lang w:eastAsia="es-MX"/>
        </w:rPr>
      </w:pPr>
      <w:r w:rsidRPr="008218B4">
        <w:rPr>
          <w:rFonts w:ascii="ITC Avant Garde" w:hAnsi="ITC Avant Garde" w:cs="Arial"/>
          <w:b/>
          <w:lang w:eastAsia="es-MX"/>
        </w:rPr>
        <w:t xml:space="preserve">CUARTO.- </w:t>
      </w:r>
      <w:r w:rsidR="00A30B58" w:rsidRPr="008218B4">
        <w:rPr>
          <w:rFonts w:ascii="ITC Avant Garde" w:hAnsi="ITC Avant Garde"/>
          <w:bCs/>
          <w:lang w:val="es-ES_tradnl"/>
        </w:rPr>
        <w:t xml:space="preserve">Se instruye a la Unidad de Concesiones y Servicios </w:t>
      </w:r>
      <w:r w:rsidRPr="008218B4">
        <w:rPr>
          <w:rFonts w:ascii="ITC Avant Garde" w:hAnsi="ITC Avant Garde" w:cs="Arial"/>
          <w:lang w:eastAsia="es-MX"/>
        </w:rPr>
        <w:t xml:space="preserve">a notificar a </w:t>
      </w:r>
      <w:r w:rsidR="00E43E4F" w:rsidRPr="008218B4">
        <w:rPr>
          <w:rFonts w:ascii="ITC Avant Garde" w:hAnsi="ITC Avant Garde" w:cs="Arial"/>
          <w:lang w:eastAsia="es-MX"/>
        </w:rPr>
        <w:t xml:space="preserve">la </w:t>
      </w:r>
      <w:r w:rsidR="00E43E4F" w:rsidRPr="008218B4">
        <w:rPr>
          <w:rFonts w:ascii="ITC Avant Garde" w:hAnsi="ITC Avant Garde"/>
          <w:bCs/>
          <w:color w:val="000000"/>
          <w:lang w:eastAsia="es-MX"/>
        </w:rPr>
        <w:t>Comisión Federal de Electricidad, Empresa Productiva del Estado</w:t>
      </w:r>
      <w:r w:rsidR="00A30B58" w:rsidRPr="008218B4">
        <w:rPr>
          <w:rFonts w:ascii="ITC Avant Garde" w:hAnsi="ITC Avant Garde"/>
          <w:bCs/>
          <w:lang w:val="es-ES_tradnl"/>
        </w:rPr>
        <w:t xml:space="preserve">, </w:t>
      </w:r>
      <w:r w:rsidRPr="008218B4">
        <w:rPr>
          <w:rFonts w:ascii="ITC Avant Garde" w:hAnsi="ITC Avant Garde" w:cs="Arial"/>
          <w:bCs/>
          <w:color w:val="000000"/>
          <w:lang w:eastAsia="es-MX"/>
        </w:rPr>
        <w:t>el contenido de la presente Resolución y a entregar los títulos de concesión señalados en los Resolutivos Primero y Segundo anteriores, una vez que sean suscritos por el Comisionado Presidente</w:t>
      </w:r>
      <w:r w:rsidR="00A30B58" w:rsidRPr="008218B4">
        <w:rPr>
          <w:rFonts w:ascii="ITC Avant Garde" w:hAnsi="ITC Avant Garde"/>
          <w:bCs/>
          <w:lang w:val="es-ES_tradnl"/>
        </w:rPr>
        <w:t>.</w:t>
      </w:r>
    </w:p>
    <w:p w14:paraId="25E4A455" w14:textId="7D065C21" w:rsidR="00381B72" w:rsidRDefault="008B56CB" w:rsidP="00381B72">
      <w:pPr>
        <w:spacing w:afterLines="120" w:after="288" w:line="240" w:lineRule="auto"/>
        <w:jc w:val="both"/>
        <w:rPr>
          <w:rFonts w:ascii="ITC Avant Garde" w:hAnsi="ITC Avant Garde"/>
          <w:bCs/>
          <w:lang w:val="es-ES_tradnl"/>
        </w:rPr>
      </w:pPr>
      <w:r>
        <w:rPr>
          <w:rFonts w:ascii="ITC Avant Garde" w:hAnsi="ITC Avant Garde"/>
          <w:b/>
          <w:bCs/>
          <w:lang w:val="es-ES_tradnl"/>
        </w:rPr>
        <w:t>QUINTO</w:t>
      </w:r>
      <w:r w:rsidR="00A30B58" w:rsidRPr="008218B4" w:rsidDel="00EF3873">
        <w:rPr>
          <w:rFonts w:ascii="ITC Avant Garde" w:hAnsi="ITC Avant Garde"/>
          <w:b/>
          <w:bCs/>
          <w:lang w:val="es-ES_tradnl"/>
        </w:rPr>
        <w:t>.-</w:t>
      </w:r>
      <w:r w:rsidR="00A30B58" w:rsidRPr="008218B4" w:rsidDel="00EF3873">
        <w:rPr>
          <w:rFonts w:ascii="ITC Avant Garde" w:hAnsi="ITC Avant Garde"/>
          <w:bCs/>
          <w:lang w:val="es-ES_tradnl"/>
        </w:rPr>
        <w:t xml:space="preserve"> </w:t>
      </w:r>
      <w:r w:rsidR="00A30B58" w:rsidRPr="008218B4">
        <w:rPr>
          <w:rFonts w:ascii="ITC Avant Garde" w:hAnsi="ITC Avant Garde"/>
          <w:bCs/>
          <w:lang w:val="es-ES_tradnl"/>
        </w:rPr>
        <w:t>Inscríbanse en el Registro Público de Concesiones los títulos de concesión señalados en los Resolutivos Primero y Segundo, una vez que sean debidamente notificados al interesado.</w:t>
      </w:r>
    </w:p>
    <w:p w14:paraId="3646035E" w14:textId="1830DEEB" w:rsidR="00486575" w:rsidRPr="00486575" w:rsidRDefault="00486575" w:rsidP="00381B72">
      <w:pPr>
        <w:spacing w:afterLines="120" w:after="288" w:line="240" w:lineRule="auto"/>
        <w:jc w:val="both"/>
        <w:rPr>
          <w:rFonts w:ascii="ITC Avant Garde" w:hAnsi="ITC Avant Garde"/>
          <w:sz w:val="14"/>
          <w:szCs w:val="14"/>
        </w:rPr>
      </w:pPr>
      <w:r w:rsidRPr="00486575">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486575">
        <w:rPr>
          <w:rFonts w:ascii="ITC Avant Garde" w:hAnsi="ITC Avant Garde"/>
          <w:bCs/>
          <w:sz w:val="14"/>
          <w:szCs w:val="14"/>
          <w:lang w:val="es-ES" w:eastAsia="es-ES"/>
        </w:rPr>
        <w:t>en lo general por</w:t>
      </w:r>
      <w:r w:rsidRPr="00486575">
        <w:rPr>
          <w:rFonts w:ascii="ITC Avant Garde" w:hAnsi="ITC Avant Garde"/>
          <w:sz w:val="14"/>
          <w:szCs w:val="14"/>
          <w:lang w:val="es-ES" w:eastAsia="es-ES"/>
        </w:rPr>
        <w:t xml:space="preserve"> </w:t>
      </w:r>
      <w:r w:rsidRPr="00486575">
        <w:rPr>
          <w:rFonts w:ascii="ITC Avant Garde" w:hAnsi="ITC Avant Garde"/>
          <w:bCs/>
          <w:sz w:val="14"/>
          <w:szCs w:val="14"/>
          <w:lang w:val="es-ES" w:eastAsia="es-ES"/>
        </w:rPr>
        <w:t xml:space="preserve">mayoría </w:t>
      </w:r>
      <w:r w:rsidRPr="00486575">
        <w:rPr>
          <w:rFonts w:ascii="ITC Avant Garde" w:hAnsi="ITC Avant Garde"/>
          <w:sz w:val="14"/>
          <w:szCs w:val="14"/>
          <w:lang w:val="es-ES" w:eastAsia="es-ES"/>
        </w:rPr>
        <w:t xml:space="preserve">de votos de los Comisionados Gabriel Oswaldo Contreras Saldívar, Adriana Sofía Labardini Inzunza, </w:t>
      </w:r>
      <w:r w:rsidRPr="00486575">
        <w:rPr>
          <w:rFonts w:ascii="ITC Avant Garde" w:hAnsi="ITC Avant Garde"/>
          <w:sz w:val="14"/>
          <w:szCs w:val="14"/>
          <w:lang w:eastAsia="es-MX"/>
        </w:rPr>
        <w:lastRenderedPageBreak/>
        <w:t xml:space="preserve">Mario Germán Fromow Rangel, Adolfo Cuevas Teja, Javier Juárez Mojica y Arturo Robles Rovalo; y con el voto en contra de la Comisionada María Elena Estavillo Flores. </w:t>
      </w:r>
    </w:p>
    <w:p w14:paraId="23A507D4" w14:textId="77777777" w:rsidR="00381B72" w:rsidRDefault="00486575" w:rsidP="00381B72">
      <w:pPr>
        <w:spacing w:afterLines="120" w:after="288" w:line="240" w:lineRule="auto"/>
        <w:jc w:val="both"/>
        <w:rPr>
          <w:rFonts w:ascii="ITC Avant Garde" w:hAnsi="ITC Avant Garde"/>
          <w:sz w:val="14"/>
          <w:szCs w:val="14"/>
        </w:rPr>
      </w:pPr>
      <w:r w:rsidRPr="00486575">
        <w:rPr>
          <w:rFonts w:ascii="ITC Avant Garde" w:hAnsi="ITC Avant Garde"/>
          <w:sz w:val="14"/>
          <w:szCs w:val="14"/>
          <w:lang w:eastAsia="es-MX"/>
        </w:rPr>
        <w:t xml:space="preserve">En lo particular, el Comisionado Adolfo Cuevas Teja manifiesta voto en contra del tercer párrafo del Resolutivo Primero y del segundo párrafo del Resolutivo Segundo, y sus partes considerativas, por lo que hace a autorizar </w:t>
      </w:r>
      <w:r w:rsidRPr="00486575">
        <w:rPr>
          <w:rFonts w:ascii="ITC Avant Garde" w:hAnsi="ITC Avant Garde"/>
          <w:color w:val="000000"/>
          <w:sz w:val="14"/>
          <w:szCs w:val="14"/>
          <w:lang w:eastAsia="es-MX"/>
        </w:rPr>
        <w:t>a la empresa productiva subsidiaria CFE Distribución</w:t>
      </w:r>
      <w:r w:rsidRPr="00486575">
        <w:rPr>
          <w:rFonts w:ascii="ITC Avant Garde" w:hAnsi="ITC Avant Garde"/>
          <w:sz w:val="14"/>
          <w:szCs w:val="14"/>
          <w:lang w:eastAsia="es-MX"/>
        </w:rPr>
        <w:t xml:space="preserve"> a utilizar las bandas de frecuencias concesionadas, y a que pueda proveer todo tipo de servicios</w:t>
      </w:r>
      <w:r w:rsidRPr="00486575">
        <w:rPr>
          <w:rFonts w:ascii="ITC Avant Garde" w:hAnsi="ITC Avant Garde"/>
          <w:sz w:val="14"/>
          <w:szCs w:val="14"/>
        </w:rPr>
        <w:t xml:space="preserve"> de telecomunicaciones y radiodifusión a través del título de concesión única.</w:t>
      </w:r>
    </w:p>
    <w:p w14:paraId="052C276D" w14:textId="4F8104E1" w:rsidR="008B56CB" w:rsidRPr="00486575" w:rsidRDefault="00486575" w:rsidP="00381B72">
      <w:pPr>
        <w:spacing w:afterLines="120" w:after="288" w:line="240" w:lineRule="auto"/>
        <w:jc w:val="both"/>
        <w:rPr>
          <w:rFonts w:ascii="ITC Avant Garde" w:hAnsi="ITC Avant Garde"/>
          <w:sz w:val="14"/>
          <w:szCs w:val="14"/>
        </w:rPr>
      </w:pPr>
      <w:r w:rsidRPr="00486575">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P/IFT/310118/37.</w:t>
      </w:r>
    </w:p>
    <w:sectPr w:rsidR="008B56CB" w:rsidRPr="00486575" w:rsidSect="008B56CB">
      <w:headerReference w:type="even" r:id="rId8"/>
      <w:footerReference w:type="default" r:id="rId9"/>
      <w:headerReference w:type="first" r:id="rId10"/>
      <w:type w:val="continuous"/>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B8B7" w14:textId="77777777" w:rsidR="004E4068" w:rsidRDefault="004E4068" w:rsidP="00072BC8">
      <w:pPr>
        <w:spacing w:after="0" w:line="240" w:lineRule="auto"/>
      </w:pPr>
      <w:r>
        <w:separator/>
      </w:r>
    </w:p>
  </w:endnote>
  <w:endnote w:type="continuationSeparator" w:id="0">
    <w:p w14:paraId="43FF26A6" w14:textId="77777777" w:rsidR="004E4068" w:rsidRDefault="004E406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SignPainter-HouseScript"/>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C1C9" w14:textId="7E6785D1" w:rsidR="0019224F" w:rsidRPr="001A08C1" w:rsidRDefault="004E4068" w:rsidP="001A08C1">
    <w:pPr>
      <w:pStyle w:val="Piedepgina"/>
      <w:tabs>
        <w:tab w:val="center" w:pos="4252"/>
        <w:tab w:val="right" w:pos="8504"/>
      </w:tabs>
      <w:jc w:val="right"/>
      <w:rPr>
        <w:rFonts w:ascii="ITC Avant Garde" w:hAnsi="ITC Avant Garde"/>
        <w:sz w:val="16"/>
        <w:szCs w:val="16"/>
      </w:rPr>
    </w:pPr>
    <w:sdt>
      <w:sdtPr>
        <w:rPr>
          <w:rFonts w:ascii="ITC Avant Garde" w:hAnsi="ITC Avant Garde"/>
          <w:sz w:val="16"/>
          <w:szCs w:val="16"/>
        </w:rPr>
        <w:id w:val="1903476718"/>
        <w:docPartObj>
          <w:docPartGallery w:val="Page Numbers (Top of Page)"/>
          <w:docPartUnique/>
        </w:docPartObj>
      </w:sdtPr>
      <w:sdtEndPr/>
      <w:sdtContent>
        <w:r w:rsidR="0019224F" w:rsidRPr="00C04717">
          <w:rPr>
            <w:rFonts w:ascii="ITC Avant Garde" w:hAnsi="ITC Avant Garde"/>
            <w:b/>
            <w:bCs/>
            <w:sz w:val="16"/>
            <w:szCs w:val="16"/>
          </w:rPr>
          <w:fldChar w:fldCharType="begin"/>
        </w:r>
        <w:r w:rsidR="0019224F" w:rsidRPr="00C04717">
          <w:rPr>
            <w:rFonts w:ascii="ITC Avant Garde" w:hAnsi="ITC Avant Garde"/>
            <w:b/>
            <w:bCs/>
            <w:sz w:val="16"/>
            <w:szCs w:val="16"/>
          </w:rPr>
          <w:instrText>PAGE</w:instrText>
        </w:r>
        <w:r w:rsidR="0019224F" w:rsidRPr="00C04717">
          <w:rPr>
            <w:rFonts w:ascii="ITC Avant Garde" w:hAnsi="ITC Avant Garde"/>
            <w:b/>
            <w:bCs/>
            <w:sz w:val="16"/>
            <w:szCs w:val="16"/>
          </w:rPr>
          <w:fldChar w:fldCharType="separate"/>
        </w:r>
        <w:r w:rsidR="001A08C1">
          <w:rPr>
            <w:rFonts w:ascii="ITC Avant Garde" w:hAnsi="ITC Avant Garde"/>
            <w:b/>
            <w:bCs/>
            <w:noProof/>
            <w:sz w:val="16"/>
            <w:szCs w:val="16"/>
          </w:rPr>
          <w:t>20</w:t>
        </w:r>
        <w:r w:rsidR="0019224F" w:rsidRPr="00C04717">
          <w:rPr>
            <w:rFonts w:ascii="ITC Avant Garde" w:hAnsi="ITC Avant Garde"/>
            <w:b/>
            <w:bCs/>
            <w:sz w:val="16"/>
            <w:szCs w:val="16"/>
          </w:rPr>
          <w:fldChar w:fldCharType="end"/>
        </w:r>
        <w:r w:rsidR="0019224F" w:rsidRPr="00C04717">
          <w:rPr>
            <w:rFonts w:ascii="ITC Avant Garde" w:hAnsi="ITC Avant Garde"/>
            <w:sz w:val="16"/>
            <w:szCs w:val="16"/>
          </w:rPr>
          <w:t xml:space="preserve"> de </w:t>
        </w:r>
        <w:r w:rsidR="0019224F" w:rsidRPr="00C04717">
          <w:rPr>
            <w:rFonts w:ascii="ITC Avant Garde" w:hAnsi="ITC Avant Garde"/>
            <w:b/>
            <w:bCs/>
            <w:sz w:val="16"/>
            <w:szCs w:val="16"/>
          </w:rPr>
          <w:fldChar w:fldCharType="begin"/>
        </w:r>
        <w:r w:rsidR="0019224F" w:rsidRPr="00C04717">
          <w:rPr>
            <w:rFonts w:ascii="ITC Avant Garde" w:hAnsi="ITC Avant Garde"/>
            <w:b/>
            <w:bCs/>
            <w:sz w:val="16"/>
            <w:szCs w:val="16"/>
          </w:rPr>
          <w:instrText>NUMPAGES</w:instrText>
        </w:r>
        <w:r w:rsidR="0019224F" w:rsidRPr="00C04717">
          <w:rPr>
            <w:rFonts w:ascii="ITC Avant Garde" w:hAnsi="ITC Avant Garde"/>
            <w:b/>
            <w:bCs/>
            <w:sz w:val="16"/>
            <w:szCs w:val="16"/>
          </w:rPr>
          <w:fldChar w:fldCharType="separate"/>
        </w:r>
        <w:r w:rsidR="001A08C1">
          <w:rPr>
            <w:rFonts w:ascii="ITC Avant Garde" w:hAnsi="ITC Avant Garde"/>
            <w:b/>
            <w:bCs/>
            <w:noProof/>
            <w:sz w:val="16"/>
            <w:szCs w:val="16"/>
          </w:rPr>
          <w:t>20</w:t>
        </w:r>
        <w:r w:rsidR="0019224F" w:rsidRPr="00C04717">
          <w:rPr>
            <w:rFonts w:ascii="ITC Avant Garde" w:hAnsi="ITC Avant Garde"/>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4A44" w14:textId="77777777" w:rsidR="004E4068" w:rsidRDefault="004E4068" w:rsidP="00072BC8">
      <w:pPr>
        <w:spacing w:after="0" w:line="240" w:lineRule="auto"/>
      </w:pPr>
      <w:r>
        <w:separator/>
      </w:r>
    </w:p>
  </w:footnote>
  <w:footnote w:type="continuationSeparator" w:id="0">
    <w:p w14:paraId="5FB4F11D" w14:textId="77777777" w:rsidR="004E4068" w:rsidRDefault="004E4068" w:rsidP="00072BC8">
      <w:pPr>
        <w:spacing w:after="0" w:line="240" w:lineRule="auto"/>
      </w:pPr>
      <w:r>
        <w:continuationSeparator/>
      </w:r>
    </w:p>
  </w:footnote>
  <w:footnote w:id="1">
    <w:p w14:paraId="33295FEB" w14:textId="2330A04C" w:rsidR="0019224F" w:rsidRPr="004B1FC8" w:rsidRDefault="0019224F" w:rsidP="00847598">
      <w:pPr>
        <w:pStyle w:val="Textonotapie"/>
        <w:ind w:left="567"/>
        <w:rPr>
          <w:rFonts w:ascii="ITC Avant Garde" w:hAnsi="ITC Avant Garde"/>
          <w:i/>
          <w:sz w:val="14"/>
          <w:szCs w:val="14"/>
        </w:rPr>
      </w:pPr>
      <w:r w:rsidRPr="00A410C0">
        <w:rPr>
          <w:rStyle w:val="Refdenotaalpie"/>
          <w:rFonts w:ascii="ITC Avant Garde" w:hAnsi="ITC Avant Garde"/>
          <w:i/>
          <w:sz w:val="14"/>
          <w:szCs w:val="14"/>
        </w:rPr>
        <w:footnoteRef/>
      </w:r>
      <w:r w:rsidRPr="004B1FC8">
        <w:rPr>
          <w:rFonts w:ascii="ITC Avant Garde" w:hAnsi="ITC Avant Garde"/>
          <w:i/>
          <w:sz w:val="14"/>
          <w:szCs w:val="14"/>
        </w:rPr>
        <w:t xml:space="preserve">Consultable en </w:t>
      </w:r>
      <w:r w:rsidRPr="00381B72">
        <w:rPr>
          <w:rFonts w:ascii="ITC Avant Garde" w:hAnsi="ITC Avant Garde"/>
          <w:i/>
          <w:sz w:val="14"/>
          <w:szCs w:val="14"/>
        </w:rPr>
        <w:t>http://www.dof.gob.mx/nota_to_imagen_fs.php?codnota=5460048&amp;fecha=08/11/2016&amp;cod_diario=272761</w:t>
      </w:r>
    </w:p>
  </w:footnote>
  <w:footnote w:id="2">
    <w:p w14:paraId="699F10AE" w14:textId="3FE640D0" w:rsidR="0019224F" w:rsidRPr="004B1FC8" w:rsidRDefault="0019224F" w:rsidP="00847598">
      <w:pPr>
        <w:pStyle w:val="Textonotapie"/>
        <w:ind w:left="567"/>
        <w:rPr>
          <w:rFonts w:ascii="ITC Avant Garde" w:hAnsi="ITC Avant Garde"/>
          <w:i/>
          <w:sz w:val="14"/>
          <w:szCs w:val="14"/>
        </w:rPr>
      </w:pPr>
      <w:r w:rsidRPr="00A410C0">
        <w:rPr>
          <w:rStyle w:val="Refdenotaalpie"/>
          <w:rFonts w:ascii="ITC Avant Garde" w:hAnsi="ITC Avant Garde"/>
          <w:i/>
          <w:sz w:val="14"/>
          <w:szCs w:val="14"/>
        </w:rPr>
        <w:footnoteRef/>
      </w:r>
      <w:r w:rsidRPr="004B1FC8">
        <w:rPr>
          <w:rFonts w:ascii="ITC Avant Garde" w:hAnsi="ITC Avant Garde"/>
          <w:i/>
          <w:sz w:val="14"/>
          <w:szCs w:val="14"/>
        </w:rPr>
        <w:t xml:space="preserve">Consultable en </w:t>
      </w:r>
      <w:r w:rsidRPr="00381B72">
        <w:rPr>
          <w:rFonts w:ascii="ITC Avant Garde" w:hAnsi="ITC Avant Garde"/>
          <w:i/>
          <w:sz w:val="14"/>
          <w:szCs w:val="14"/>
        </w:rPr>
        <w:t>http://www.dof.gob.mx/nota_detalle.php?codigo=5452357&amp;fecha=13/09/2016</w:t>
      </w:r>
      <w:r w:rsidRPr="004B1FC8">
        <w:rPr>
          <w:rFonts w:ascii="ITC Avant Garde" w:hAnsi="ITC Avant Garde"/>
          <w:i/>
          <w:sz w:val="14"/>
          <w:szCs w:val="14"/>
        </w:rPr>
        <w:t>.</w:t>
      </w:r>
    </w:p>
  </w:footnote>
  <w:footnote w:id="3">
    <w:p w14:paraId="3F4878BF" w14:textId="258B79AC" w:rsidR="0019224F" w:rsidRDefault="0019224F" w:rsidP="00503BC4">
      <w:pPr>
        <w:pStyle w:val="Textonotapie"/>
        <w:ind w:right="615" w:firstLine="567"/>
      </w:pPr>
      <w:r>
        <w:rPr>
          <w:rStyle w:val="Refdenotaalpie"/>
        </w:rPr>
        <w:footnoteRef/>
      </w:r>
      <w:r>
        <w:t xml:space="preserve"> </w:t>
      </w:r>
      <w:r>
        <w:rPr>
          <w:rFonts w:ascii="ITC Avant Garde" w:hAnsi="ITC Avant Garde"/>
          <w:i/>
          <w:sz w:val="14"/>
        </w:rPr>
        <w:t>ídem</w:t>
      </w:r>
      <w:r w:rsidRPr="00424BD5">
        <w:rPr>
          <w:rFonts w:ascii="ITC Avant Garde" w:hAnsi="ITC Avant Garde"/>
          <w:i/>
          <w:sz w:val="14"/>
        </w:rPr>
        <w:t>.</w:t>
      </w:r>
      <w:r w:rsidRPr="00424BD5">
        <w:rPr>
          <w:sz w:val="18"/>
        </w:rPr>
        <w:t xml:space="preserve"> </w:t>
      </w:r>
    </w:p>
  </w:footnote>
  <w:footnote w:id="4">
    <w:p w14:paraId="32E00202" w14:textId="77777777" w:rsidR="0019224F" w:rsidRDefault="0019224F" w:rsidP="00452C00">
      <w:pPr>
        <w:pStyle w:val="Textonotapie"/>
        <w:ind w:right="615"/>
      </w:pPr>
      <w:r>
        <w:rPr>
          <w:rStyle w:val="Refdenotaalpie"/>
        </w:rPr>
        <w:footnoteRef/>
      </w:r>
      <w:r>
        <w:t xml:space="preserve"> </w:t>
      </w:r>
      <w:r>
        <w:rPr>
          <w:rFonts w:ascii="ITC Avant Garde" w:hAnsi="ITC Avant Garde"/>
          <w:i/>
          <w:sz w:val="14"/>
        </w:rPr>
        <w:t>ídem</w:t>
      </w:r>
      <w:r w:rsidRPr="00424BD5">
        <w:rPr>
          <w:rFonts w:ascii="ITC Avant Garde" w:hAnsi="ITC Avant Garde"/>
          <w:i/>
          <w:sz w:val="14"/>
        </w:rPr>
        <w:t>.</w:t>
      </w:r>
      <w:r w:rsidRPr="00424BD5">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5B27" w14:textId="77777777" w:rsidR="0019224F" w:rsidRDefault="004E4068">
    <w:pPr>
      <w:pStyle w:val="Encabezado"/>
    </w:pPr>
    <w:r>
      <w:rPr>
        <w:noProof/>
        <w:lang w:eastAsia="es-MX"/>
      </w:rPr>
      <w:pict w14:anchorId="1C6CB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EAFF" w14:textId="77777777" w:rsidR="0019224F" w:rsidRPr="000F5E4B" w:rsidRDefault="004E4068">
    <w:pPr>
      <w:pStyle w:val="Encabezado"/>
      <w:rPr>
        <w:b/>
      </w:rPr>
    </w:pPr>
    <w:r>
      <w:rPr>
        <w:b/>
        <w:noProof/>
        <w:lang w:eastAsia="es-MX"/>
      </w:rPr>
      <w:pict w14:anchorId="1A941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C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24626"/>
    <w:multiLevelType w:val="hybridMultilevel"/>
    <w:tmpl w:val="07E2C652"/>
    <w:lvl w:ilvl="0" w:tplc="B5C8546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6133D38"/>
    <w:multiLevelType w:val="hybridMultilevel"/>
    <w:tmpl w:val="854AF8E8"/>
    <w:lvl w:ilvl="0" w:tplc="BEB0187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15:restartNumberingAfterBreak="0">
    <w:nsid w:val="0BC77D1D"/>
    <w:multiLevelType w:val="hybridMultilevel"/>
    <w:tmpl w:val="48180FBE"/>
    <w:lvl w:ilvl="0" w:tplc="080A000F">
      <w:start w:val="1"/>
      <w:numFmt w:val="decimal"/>
      <w:lvlText w:val="%1."/>
      <w:lvlJc w:val="left"/>
      <w:pPr>
        <w:ind w:left="778" w:hanging="360"/>
      </w:p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4" w15:restartNumberingAfterBreak="0">
    <w:nsid w:val="14BD4891"/>
    <w:multiLevelType w:val="hybridMultilevel"/>
    <w:tmpl w:val="BB16EB76"/>
    <w:lvl w:ilvl="0" w:tplc="A7D06ACE">
      <w:start w:val="1"/>
      <w:numFmt w:val="decimal"/>
      <w:lvlText w:val="%1."/>
      <w:lvlJc w:val="left"/>
      <w:pPr>
        <w:ind w:left="1491" w:hanging="360"/>
      </w:pPr>
      <w:rPr>
        <w:rFonts w:hint="default"/>
        <w:sz w:val="16"/>
        <w:szCs w:val="16"/>
      </w:rPr>
    </w:lvl>
    <w:lvl w:ilvl="1" w:tplc="080A0019" w:tentative="1">
      <w:start w:val="1"/>
      <w:numFmt w:val="lowerLetter"/>
      <w:lvlText w:val="%2."/>
      <w:lvlJc w:val="left"/>
      <w:pPr>
        <w:ind w:left="2211" w:hanging="360"/>
      </w:pPr>
    </w:lvl>
    <w:lvl w:ilvl="2" w:tplc="080A001B" w:tentative="1">
      <w:start w:val="1"/>
      <w:numFmt w:val="lowerRoman"/>
      <w:lvlText w:val="%3."/>
      <w:lvlJc w:val="right"/>
      <w:pPr>
        <w:ind w:left="2931" w:hanging="180"/>
      </w:pPr>
    </w:lvl>
    <w:lvl w:ilvl="3" w:tplc="080A000F" w:tentative="1">
      <w:start w:val="1"/>
      <w:numFmt w:val="decimal"/>
      <w:lvlText w:val="%4."/>
      <w:lvlJc w:val="left"/>
      <w:pPr>
        <w:ind w:left="3651" w:hanging="360"/>
      </w:pPr>
    </w:lvl>
    <w:lvl w:ilvl="4" w:tplc="080A0019" w:tentative="1">
      <w:start w:val="1"/>
      <w:numFmt w:val="lowerLetter"/>
      <w:lvlText w:val="%5."/>
      <w:lvlJc w:val="left"/>
      <w:pPr>
        <w:ind w:left="4371" w:hanging="360"/>
      </w:pPr>
    </w:lvl>
    <w:lvl w:ilvl="5" w:tplc="080A001B" w:tentative="1">
      <w:start w:val="1"/>
      <w:numFmt w:val="lowerRoman"/>
      <w:lvlText w:val="%6."/>
      <w:lvlJc w:val="right"/>
      <w:pPr>
        <w:ind w:left="5091" w:hanging="180"/>
      </w:pPr>
    </w:lvl>
    <w:lvl w:ilvl="6" w:tplc="080A000F" w:tentative="1">
      <w:start w:val="1"/>
      <w:numFmt w:val="decimal"/>
      <w:lvlText w:val="%7."/>
      <w:lvlJc w:val="left"/>
      <w:pPr>
        <w:ind w:left="5811" w:hanging="360"/>
      </w:pPr>
    </w:lvl>
    <w:lvl w:ilvl="7" w:tplc="080A0019" w:tentative="1">
      <w:start w:val="1"/>
      <w:numFmt w:val="lowerLetter"/>
      <w:lvlText w:val="%8."/>
      <w:lvlJc w:val="left"/>
      <w:pPr>
        <w:ind w:left="6531" w:hanging="360"/>
      </w:pPr>
    </w:lvl>
    <w:lvl w:ilvl="8" w:tplc="080A001B" w:tentative="1">
      <w:start w:val="1"/>
      <w:numFmt w:val="lowerRoman"/>
      <w:lvlText w:val="%9."/>
      <w:lvlJc w:val="right"/>
      <w:pPr>
        <w:ind w:left="7251" w:hanging="180"/>
      </w:pPr>
    </w:lvl>
  </w:abstractNum>
  <w:abstractNum w:abstractNumId="5"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17BDD"/>
    <w:multiLevelType w:val="hybridMultilevel"/>
    <w:tmpl w:val="5E4AD5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9A182B"/>
    <w:multiLevelType w:val="hybridMultilevel"/>
    <w:tmpl w:val="6B82B7D6"/>
    <w:lvl w:ilvl="0" w:tplc="23F6E300">
      <w:start w:val="1"/>
      <w:numFmt w:val="decimal"/>
      <w:lvlText w:val="%1."/>
      <w:lvlJc w:val="left"/>
      <w:pPr>
        <w:ind w:left="720" w:hanging="360"/>
      </w:pPr>
      <w:rPr>
        <w:rFonts w:ascii="ITC Avant Garde" w:hAnsi="ITC Avant Garde"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FF2EEA"/>
    <w:multiLevelType w:val="hybridMultilevel"/>
    <w:tmpl w:val="DBAE1E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607870"/>
    <w:multiLevelType w:val="hybridMultilevel"/>
    <w:tmpl w:val="2DFA20B6"/>
    <w:lvl w:ilvl="0" w:tplc="47F036EC">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5EE7362"/>
    <w:multiLevelType w:val="hybridMultilevel"/>
    <w:tmpl w:val="112282D6"/>
    <w:lvl w:ilvl="0" w:tplc="E24AF706">
      <w:start w:val="1"/>
      <w:numFmt w:val="upperRoman"/>
      <w:lvlText w:val="%1."/>
      <w:lvlJc w:val="left"/>
      <w:pPr>
        <w:ind w:left="720" w:hanging="720"/>
      </w:pPr>
      <w:rPr>
        <w:rFonts w:ascii="ITC Avant Garde" w:eastAsia="Calibri" w:hAnsi="ITC Avant Garde"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4" w15:restartNumberingAfterBreak="0">
    <w:nsid w:val="47C80A35"/>
    <w:multiLevelType w:val="hybridMultilevel"/>
    <w:tmpl w:val="3D7C11DE"/>
    <w:lvl w:ilvl="0" w:tplc="DEF6145A">
      <w:start w:val="1"/>
      <w:numFmt w:val="lowerLetter"/>
      <w:lvlText w:val="%1)"/>
      <w:lvlJc w:val="left"/>
      <w:pPr>
        <w:ind w:left="1571" w:hanging="360"/>
      </w:pPr>
      <w:rPr>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49B14584"/>
    <w:multiLevelType w:val="hybridMultilevel"/>
    <w:tmpl w:val="3DCE610A"/>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A7706B0"/>
    <w:multiLevelType w:val="hybridMultilevel"/>
    <w:tmpl w:val="DBF8611C"/>
    <w:lvl w:ilvl="0" w:tplc="17AC6CA8">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7" w15:restartNumberingAfterBreak="0">
    <w:nsid w:val="4C7D1BEF"/>
    <w:multiLevelType w:val="hybridMultilevel"/>
    <w:tmpl w:val="CA1AE956"/>
    <w:lvl w:ilvl="0" w:tplc="C286443E">
      <w:start w:val="1"/>
      <w:numFmt w:val="lowerLetter"/>
      <w:lvlText w:val="%1)"/>
      <w:lvlJc w:val="left"/>
      <w:pPr>
        <w:ind w:left="928" w:hanging="360"/>
      </w:pPr>
      <w:rPr>
        <w:rFonts w:hint="default"/>
      </w:rPr>
    </w:lvl>
    <w:lvl w:ilvl="1" w:tplc="080A0019">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8" w15:restartNumberingAfterBreak="0">
    <w:nsid w:val="5EBE5CA3"/>
    <w:multiLevelType w:val="hybridMultilevel"/>
    <w:tmpl w:val="3E8E2F80"/>
    <w:lvl w:ilvl="0" w:tplc="080A000D">
      <w:start w:val="1"/>
      <w:numFmt w:val="bullet"/>
      <w:lvlText w:val=""/>
      <w:lvlJc w:val="left"/>
      <w:pPr>
        <w:ind w:left="778" w:hanging="360"/>
      </w:pPr>
      <w:rPr>
        <w:rFonts w:ascii="Wingdings" w:hAnsi="Wingdings" w:hint="default"/>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9" w15:restartNumberingAfterBreak="0">
    <w:nsid w:val="6120637B"/>
    <w:multiLevelType w:val="hybridMultilevel"/>
    <w:tmpl w:val="2B50FBB6"/>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8722DE"/>
    <w:multiLevelType w:val="hybridMultilevel"/>
    <w:tmpl w:val="83640CF8"/>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5D1FC5"/>
    <w:multiLevelType w:val="hybridMultilevel"/>
    <w:tmpl w:val="85220590"/>
    <w:lvl w:ilvl="0" w:tplc="080A001B">
      <w:start w:val="1"/>
      <w:numFmt w:val="lowerRoman"/>
      <w:lvlText w:val="%1."/>
      <w:lvlJc w:val="right"/>
      <w:pPr>
        <w:ind w:left="908" w:hanging="360"/>
      </w:pPr>
      <w:rPr>
        <w:b/>
      </w:rPr>
    </w:lvl>
    <w:lvl w:ilvl="1" w:tplc="080A0019">
      <w:start w:val="1"/>
      <w:numFmt w:val="lowerLetter"/>
      <w:lvlText w:val="%2."/>
      <w:lvlJc w:val="left"/>
      <w:pPr>
        <w:ind w:left="1628" w:hanging="360"/>
      </w:pPr>
    </w:lvl>
    <w:lvl w:ilvl="2" w:tplc="080A001B">
      <w:start w:val="1"/>
      <w:numFmt w:val="lowerRoman"/>
      <w:lvlText w:val="%3."/>
      <w:lvlJc w:val="right"/>
      <w:pPr>
        <w:ind w:left="2348" w:hanging="180"/>
      </w:pPr>
    </w:lvl>
    <w:lvl w:ilvl="3" w:tplc="080A000F">
      <w:start w:val="1"/>
      <w:numFmt w:val="decimal"/>
      <w:lvlText w:val="%4."/>
      <w:lvlJc w:val="left"/>
      <w:pPr>
        <w:ind w:left="3068" w:hanging="360"/>
      </w:pPr>
    </w:lvl>
    <w:lvl w:ilvl="4" w:tplc="080A0019">
      <w:start w:val="1"/>
      <w:numFmt w:val="lowerLetter"/>
      <w:lvlText w:val="%5."/>
      <w:lvlJc w:val="left"/>
      <w:pPr>
        <w:ind w:left="3788" w:hanging="360"/>
      </w:pPr>
    </w:lvl>
    <w:lvl w:ilvl="5" w:tplc="080A001B">
      <w:start w:val="1"/>
      <w:numFmt w:val="lowerRoman"/>
      <w:lvlText w:val="%6."/>
      <w:lvlJc w:val="right"/>
      <w:pPr>
        <w:ind w:left="4508" w:hanging="180"/>
      </w:pPr>
    </w:lvl>
    <w:lvl w:ilvl="6" w:tplc="080A000F">
      <w:start w:val="1"/>
      <w:numFmt w:val="decimal"/>
      <w:lvlText w:val="%7."/>
      <w:lvlJc w:val="left"/>
      <w:pPr>
        <w:ind w:left="5228" w:hanging="360"/>
      </w:pPr>
    </w:lvl>
    <w:lvl w:ilvl="7" w:tplc="080A0019">
      <w:start w:val="1"/>
      <w:numFmt w:val="lowerLetter"/>
      <w:lvlText w:val="%8."/>
      <w:lvlJc w:val="left"/>
      <w:pPr>
        <w:ind w:left="5948" w:hanging="360"/>
      </w:pPr>
    </w:lvl>
    <w:lvl w:ilvl="8" w:tplc="080A001B">
      <w:start w:val="1"/>
      <w:numFmt w:val="lowerRoman"/>
      <w:lvlText w:val="%9."/>
      <w:lvlJc w:val="right"/>
      <w:pPr>
        <w:ind w:left="6668" w:hanging="180"/>
      </w:pPr>
    </w:lvl>
  </w:abstractNum>
  <w:abstractNum w:abstractNumId="23" w15:restartNumberingAfterBreak="0">
    <w:nsid w:val="6398025C"/>
    <w:multiLevelType w:val="hybridMultilevel"/>
    <w:tmpl w:val="400EAFA6"/>
    <w:lvl w:ilvl="0" w:tplc="080A0003">
      <w:start w:val="1"/>
      <w:numFmt w:val="bullet"/>
      <w:lvlText w:val="o"/>
      <w:lvlJc w:val="left"/>
      <w:pPr>
        <w:ind w:left="1174" w:hanging="360"/>
      </w:pPr>
      <w:rPr>
        <w:rFonts w:ascii="Courier New" w:hAnsi="Courier New" w:cs="Courier New"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24"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5"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5E6EC1"/>
    <w:multiLevelType w:val="hybridMultilevel"/>
    <w:tmpl w:val="4202A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574CA7"/>
    <w:multiLevelType w:val="hybridMultilevel"/>
    <w:tmpl w:val="D43CBA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D10691"/>
    <w:multiLevelType w:val="hybridMultilevel"/>
    <w:tmpl w:val="D0C4A7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E32C1A"/>
    <w:multiLevelType w:val="hybridMultilevel"/>
    <w:tmpl w:val="005E6D40"/>
    <w:lvl w:ilvl="0" w:tplc="080A0001">
      <w:start w:val="1"/>
      <w:numFmt w:val="bullet"/>
      <w:lvlText w:val=""/>
      <w:lvlJc w:val="left"/>
      <w:pPr>
        <w:ind w:left="749" w:hanging="360"/>
      </w:pPr>
      <w:rPr>
        <w:rFonts w:ascii="Symbol" w:hAnsi="Symbol" w:hint="default"/>
      </w:rPr>
    </w:lvl>
    <w:lvl w:ilvl="1" w:tplc="080A0003">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9"/>
  </w:num>
  <w:num w:numId="2">
    <w:abstractNumId w:val="21"/>
  </w:num>
  <w:num w:numId="3">
    <w:abstractNumId w:val="7"/>
  </w:num>
  <w:num w:numId="4">
    <w:abstractNumId w:val="12"/>
  </w:num>
  <w:num w:numId="5">
    <w:abstractNumId w:val="25"/>
  </w:num>
  <w:num w:numId="6">
    <w:abstractNumId w:val="13"/>
  </w:num>
  <w:num w:numId="7">
    <w:abstractNumId w:val="24"/>
  </w:num>
  <w:num w:numId="8">
    <w:abstractNumId w:val="5"/>
  </w:num>
  <w:num w:numId="9">
    <w:abstractNumId w:val="28"/>
  </w:num>
  <w:num w:numId="10">
    <w:abstractNumId w:val="30"/>
  </w:num>
  <w:num w:numId="11">
    <w:abstractNumId w:val="10"/>
  </w:num>
  <w:num w:numId="12">
    <w:abstractNumId w:val="29"/>
  </w:num>
  <w:num w:numId="13">
    <w:abstractNumId w:val="0"/>
  </w:num>
  <w:num w:numId="14">
    <w:abstractNumId w:val="19"/>
  </w:num>
  <w:num w:numId="15">
    <w:abstractNumId w:val="20"/>
  </w:num>
  <w:num w:numId="16">
    <w:abstractNumId w:val="1"/>
  </w:num>
  <w:num w:numId="17">
    <w:abstractNumId w:val="4"/>
  </w:num>
  <w:num w:numId="18">
    <w:abstractNumId w:val="31"/>
  </w:num>
  <w:num w:numId="19">
    <w:abstractNumId w:val="23"/>
  </w:num>
  <w:num w:numId="20">
    <w:abstractNumId w:val="16"/>
  </w:num>
  <w:num w:numId="21">
    <w:abstractNumId w:val="22"/>
  </w:num>
  <w:num w:numId="22">
    <w:abstractNumId w:val="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15"/>
  </w:num>
  <w:num w:numId="27">
    <w:abstractNumId w:val="11"/>
  </w:num>
  <w:num w:numId="28">
    <w:abstractNumId w:val="2"/>
  </w:num>
  <w:num w:numId="29">
    <w:abstractNumId w:val="17"/>
  </w:num>
  <w:num w:numId="30">
    <w:abstractNumId w:val="14"/>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318"/>
    <w:rsid w:val="0000048B"/>
    <w:rsid w:val="00001508"/>
    <w:rsid w:val="0000341D"/>
    <w:rsid w:val="00004279"/>
    <w:rsid w:val="0000657E"/>
    <w:rsid w:val="00006BAB"/>
    <w:rsid w:val="00006EB0"/>
    <w:rsid w:val="00007B4B"/>
    <w:rsid w:val="000116D0"/>
    <w:rsid w:val="00011FCA"/>
    <w:rsid w:val="00012EE4"/>
    <w:rsid w:val="00012F35"/>
    <w:rsid w:val="00014EFF"/>
    <w:rsid w:val="000154B0"/>
    <w:rsid w:val="0001632C"/>
    <w:rsid w:val="000173C1"/>
    <w:rsid w:val="00017B53"/>
    <w:rsid w:val="00020322"/>
    <w:rsid w:val="00020418"/>
    <w:rsid w:val="00020635"/>
    <w:rsid w:val="00022D68"/>
    <w:rsid w:val="00022FDF"/>
    <w:rsid w:val="00024D9A"/>
    <w:rsid w:val="00024F70"/>
    <w:rsid w:val="00030FB4"/>
    <w:rsid w:val="00034C6E"/>
    <w:rsid w:val="00037344"/>
    <w:rsid w:val="000375C8"/>
    <w:rsid w:val="00037D31"/>
    <w:rsid w:val="00037D97"/>
    <w:rsid w:val="000402F7"/>
    <w:rsid w:val="000417D2"/>
    <w:rsid w:val="00042A05"/>
    <w:rsid w:val="000448E7"/>
    <w:rsid w:val="000500D9"/>
    <w:rsid w:val="00054021"/>
    <w:rsid w:val="0005470B"/>
    <w:rsid w:val="00054CD2"/>
    <w:rsid w:val="000623E8"/>
    <w:rsid w:val="00062C40"/>
    <w:rsid w:val="000677CF"/>
    <w:rsid w:val="00071732"/>
    <w:rsid w:val="00072221"/>
    <w:rsid w:val="00072BC8"/>
    <w:rsid w:val="00072D11"/>
    <w:rsid w:val="00073545"/>
    <w:rsid w:val="000740A0"/>
    <w:rsid w:val="00074C09"/>
    <w:rsid w:val="00074C8E"/>
    <w:rsid w:val="00077100"/>
    <w:rsid w:val="000772DA"/>
    <w:rsid w:val="00077AE9"/>
    <w:rsid w:val="00080BD0"/>
    <w:rsid w:val="00080D10"/>
    <w:rsid w:val="00082FFF"/>
    <w:rsid w:val="000833B0"/>
    <w:rsid w:val="000837C7"/>
    <w:rsid w:val="00084EF7"/>
    <w:rsid w:val="00085181"/>
    <w:rsid w:val="00087676"/>
    <w:rsid w:val="000922C3"/>
    <w:rsid w:val="000925E2"/>
    <w:rsid w:val="0009733D"/>
    <w:rsid w:val="000978F9"/>
    <w:rsid w:val="000A0280"/>
    <w:rsid w:val="000A0F2F"/>
    <w:rsid w:val="000A16B7"/>
    <w:rsid w:val="000A22CB"/>
    <w:rsid w:val="000A3E65"/>
    <w:rsid w:val="000B0454"/>
    <w:rsid w:val="000B08C9"/>
    <w:rsid w:val="000B0966"/>
    <w:rsid w:val="000B109B"/>
    <w:rsid w:val="000B1B50"/>
    <w:rsid w:val="000B1C9A"/>
    <w:rsid w:val="000B20A5"/>
    <w:rsid w:val="000B526D"/>
    <w:rsid w:val="000B7FD1"/>
    <w:rsid w:val="000C0163"/>
    <w:rsid w:val="000C1347"/>
    <w:rsid w:val="000C3682"/>
    <w:rsid w:val="000C474A"/>
    <w:rsid w:val="000C4C55"/>
    <w:rsid w:val="000C5627"/>
    <w:rsid w:val="000C7198"/>
    <w:rsid w:val="000D1A00"/>
    <w:rsid w:val="000D2B06"/>
    <w:rsid w:val="000D4158"/>
    <w:rsid w:val="000D58BE"/>
    <w:rsid w:val="000E1AED"/>
    <w:rsid w:val="000E588F"/>
    <w:rsid w:val="000E6294"/>
    <w:rsid w:val="000E6896"/>
    <w:rsid w:val="000F17C7"/>
    <w:rsid w:val="000F17CF"/>
    <w:rsid w:val="000F1FE8"/>
    <w:rsid w:val="000F2A77"/>
    <w:rsid w:val="000F2E05"/>
    <w:rsid w:val="000F47CB"/>
    <w:rsid w:val="000F4D94"/>
    <w:rsid w:val="000F5E4B"/>
    <w:rsid w:val="000F62E1"/>
    <w:rsid w:val="000F6BFB"/>
    <w:rsid w:val="00100DE3"/>
    <w:rsid w:val="00102CF2"/>
    <w:rsid w:val="001050EE"/>
    <w:rsid w:val="00105E35"/>
    <w:rsid w:val="00106523"/>
    <w:rsid w:val="00112517"/>
    <w:rsid w:val="00112A48"/>
    <w:rsid w:val="00112C0E"/>
    <w:rsid w:val="00114E58"/>
    <w:rsid w:val="00115FE9"/>
    <w:rsid w:val="00117037"/>
    <w:rsid w:val="00123CCB"/>
    <w:rsid w:val="00124597"/>
    <w:rsid w:val="0012465D"/>
    <w:rsid w:val="00124DEF"/>
    <w:rsid w:val="00125B5A"/>
    <w:rsid w:val="00125F5B"/>
    <w:rsid w:val="0013092A"/>
    <w:rsid w:val="001309CE"/>
    <w:rsid w:val="001314A5"/>
    <w:rsid w:val="0013190A"/>
    <w:rsid w:val="00131997"/>
    <w:rsid w:val="00132C07"/>
    <w:rsid w:val="0013335E"/>
    <w:rsid w:val="00134D4D"/>
    <w:rsid w:val="00135CB2"/>
    <w:rsid w:val="00135F1A"/>
    <w:rsid w:val="00135FAA"/>
    <w:rsid w:val="00136C0E"/>
    <w:rsid w:val="00140070"/>
    <w:rsid w:val="001425EA"/>
    <w:rsid w:val="00143B7C"/>
    <w:rsid w:val="0014408B"/>
    <w:rsid w:val="00144765"/>
    <w:rsid w:val="0014519B"/>
    <w:rsid w:val="00146F12"/>
    <w:rsid w:val="0014766B"/>
    <w:rsid w:val="0014776F"/>
    <w:rsid w:val="00147884"/>
    <w:rsid w:val="00147AB1"/>
    <w:rsid w:val="00151C5F"/>
    <w:rsid w:val="00151D95"/>
    <w:rsid w:val="00152EA3"/>
    <w:rsid w:val="0015308C"/>
    <w:rsid w:val="00153356"/>
    <w:rsid w:val="00153BD0"/>
    <w:rsid w:val="00156BE9"/>
    <w:rsid w:val="00157E76"/>
    <w:rsid w:val="001609A7"/>
    <w:rsid w:val="00160F34"/>
    <w:rsid w:val="0016323D"/>
    <w:rsid w:val="0016577A"/>
    <w:rsid w:val="00165F6D"/>
    <w:rsid w:val="00167917"/>
    <w:rsid w:val="00170967"/>
    <w:rsid w:val="001715C8"/>
    <w:rsid w:val="00174767"/>
    <w:rsid w:val="00174846"/>
    <w:rsid w:val="00174EE8"/>
    <w:rsid w:val="00176514"/>
    <w:rsid w:val="0017766C"/>
    <w:rsid w:val="00180ADF"/>
    <w:rsid w:val="00180C08"/>
    <w:rsid w:val="00181018"/>
    <w:rsid w:val="00181A19"/>
    <w:rsid w:val="00182120"/>
    <w:rsid w:val="00182CC2"/>
    <w:rsid w:val="0018355B"/>
    <w:rsid w:val="0018572D"/>
    <w:rsid w:val="001858C5"/>
    <w:rsid w:val="001875FB"/>
    <w:rsid w:val="00187901"/>
    <w:rsid w:val="0019012B"/>
    <w:rsid w:val="0019224F"/>
    <w:rsid w:val="00193FA8"/>
    <w:rsid w:val="00194376"/>
    <w:rsid w:val="00194699"/>
    <w:rsid w:val="00194AD4"/>
    <w:rsid w:val="0019607A"/>
    <w:rsid w:val="0019631C"/>
    <w:rsid w:val="00197B93"/>
    <w:rsid w:val="001A0361"/>
    <w:rsid w:val="001A08C1"/>
    <w:rsid w:val="001A1195"/>
    <w:rsid w:val="001A1AC0"/>
    <w:rsid w:val="001A3049"/>
    <w:rsid w:val="001A3DA6"/>
    <w:rsid w:val="001A40ED"/>
    <w:rsid w:val="001A4267"/>
    <w:rsid w:val="001A58D7"/>
    <w:rsid w:val="001A64C7"/>
    <w:rsid w:val="001A6B6F"/>
    <w:rsid w:val="001A7298"/>
    <w:rsid w:val="001A7753"/>
    <w:rsid w:val="001B0F1F"/>
    <w:rsid w:val="001B12B0"/>
    <w:rsid w:val="001B261B"/>
    <w:rsid w:val="001B3B90"/>
    <w:rsid w:val="001B3EAD"/>
    <w:rsid w:val="001B447A"/>
    <w:rsid w:val="001B4F2F"/>
    <w:rsid w:val="001B58A1"/>
    <w:rsid w:val="001B5B46"/>
    <w:rsid w:val="001B69FB"/>
    <w:rsid w:val="001C0213"/>
    <w:rsid w:val="001C085E"/>
    <w:rsid w:val="001C15FF"/>
    <w:rsid w:val="001C1786"/>
    <w:rsid w:val="001C17A8"/>
    <w:rsid w:val="001C5C6E"/>
    <w:rsid w:val="001C6529"/>
    <w:rsid w:val="001C71A8"/>
    <w:rsid w:val="001C7BAF"/>
    <w:rsid w:val="001D01DA"/>
    <w:rsid w:val="001D1D1D"/>
    <w:rsid w:val="001D2B0C"/>
    <w:rsid w:val="001D2B1A"/>
    <w:rsid w:val="001D4B81"/>
    <w:rsid w:val="001E0D3A"/>
    <w:rsid w:val="001E10A0"/>
    <w:rsid w:val="001E285C"/>
    <w:rsid w:val="001E2992"/>
    <w:rsid w:val="001E420B"/>
    <w:rsid w:val="001E75F2"/>
    <w:rsid w:val="001E7CB8"/>
    <w:rsid w:val="001F0355"/>
    <w:rsid w:val="001F19BE"/>
    <w:rsid w:val="001F2F99"/>
    <w:rsid w:val="001F5D9B"/>
    <w:rsid w:val="001F631A"/>
    <w:rsid w:val="001F7EE4"/>
    <w:rsid w:val="00201257"/>
    <w:rsid w:val="00202E7B"/>
    <w:rsid w:val="00203C02"/>
    <w:rsid w:val="002040A4"/>
    <w:rsid w:val="00214F90"/>
    <w:rsid w:val="00220626"/>
    <w:rsid w:val="00220C0B"/>
    <w:rsid w:val="00221568"/>
    <w:rsid w:val="00224AFA"/>
    <w:rsid w:val="00226360"/>
    <w:rsid w:val="00226F42"/>
    <w:rsid w:val="0022735C"/>
    <w:rsid w:val="0022796A"/>
    <w:rsid w:val="00230058"/>
    <w:rsid w:val="002315C3"/>
    <w:rsid w:val="00233212"/>
    <w:rsid w:val="00233985"/>
    <w:rsid w:val="002348B6"/>
    <w:rsid w:val="002357E0"/>
    <w:rsid w:val="0023752B"/>
    <w:rsid w:val="00240FF3"/>
    <w:rsid w:val="00243EA2"/>
    <w:rsid w:val="0024450F"/>
    <w:rsid w:val="00246C80"/>
    <w:rsid w:val="00247FA5"/>
    <w:rsid w:val="0025138A"/>
    <w:rsid w:val="00251B4C"/>
    <w:rsid w:val="00254051"/>
    <w:rsid w:val="00255565"/>
    <w:rsid w:val="00256288"/>
    <w:rsid w:val="002578C1"/>
    <w:rsid w:val="00257DE1"/>
    <w:rsid w:val="002601D3"/>
    <w:rsid w:val="00261491"/>
    <w:rsid w:val="00261AE5"/>
    <w:rsid w:val="002636D3"/>
    <w:rsid w:val="0026440A"/>
    <w:rsid w:val="002656A1"/>
    <w:rsid w:val="002701B2"/>
    <w:rsid w:val="002731B7"/>
    <w:rsid w:val="00276D2C"/>
    <w:rsid w:val="002779D1"/>
    <w:rsid w:val="00277BFB"/>
    <w:rsid w:val="0028149F"/>
    <w:rsid w:val="00281875"/>
    <w:rsid w:val="00281968"/>
    <w:rsid w:val="0028230A"/>
    <w:rsid w:val="00282866"/>
    <w:rsid w:val="00284213"/>
    <w:rsid w:val="00285985"/>
    <w:rsid w:val="002863C0"/>
    <w:rsid w:val="00286D88"/>
    <w:rsid w:val="0028742D"/>
    <w:rsid w:val="00287CD8"/>
    <w:rsid w:val="002915DF"/>
    <w:rsid w:val="0029348C"/>
    <w:rsid w:val="00294D4B"/>
    <w:rsid w:val="00296601"/>
    <w:rsid w:val="002A0122"/>
    <w:rsid w:val="002A489F"/>
    <w:rsid w:val="002A52BA"/>
    <w:rsid w:val="002A59DB"/>
    <w:rsid w:val="002A7266"/>
    <w:rsid w:val="002B0869"/>
    <w:rsid w:val="002B1203"/>
    <w:rsid w:val="002B35AD"/>
    <w:rsid w:val="002B51E5"/>
    <w:rsid w:val="002B6C75"/>
    <w:rsid w:val="002B7666"/>
    <w:rsid w:val="002C1845"/>
    <w:rsid w:val="002C216C"/>
    <w:rsid w:val="002C3B54"/>
    <w:rsid w:val="002C48E0"/>
    <w:rsid w:val="002C5EED"/>
    <w:rsid w:val="002C6011"/>
    <w:rsid w:val="002C785D"/>
    <w:rsid w:val="002D0F52"/>
    <w:rsid w:val="002D15AF"/>
    <w:rsid w:val="002D287C"/>
    <w:rsid w:val="002D52BD"/>
    <w:rsid w:val="002E1806"/>
    <w:rsid w:val="002E4A09"/>
    <w:rsid w:val="002F01AE"/>
    <w:rsid w:val="002F0480"/>
    <w:rsid w:val="002F05D5"/>
    <w:rsid w:val="002F109E"/>
    <w:rsid w:val="002F1DF4"/>
    <w:rsid w:val="002F3B2C"/>
    <w:rsid w:val="003009FF"/>
    <w:rsid w:val="00300F0B"/>
    <w:rsid w:val="00301C55"/>
    <w:rsid w:val="00302492"/>
    <w:rsid w:val="00302C1A"/>
    <w:rsid w:val="003043AE"/>
    <w:rsid w:val="0030465C"/>
    <w:rsid w:val="00304E6D"/>
    <w:rsid w:val="003050F2"/>
    <w:rsid w:val="00305A72"/>
    <w:rsid w:val="00306012"/>
    <w:rsid w:val="003072A9"/>
    <w:rsid w:val="003120FF"/>
    <w:rsid w:val="00315BCE"/>
    <w:rsid w:val="003167E5"/>
    <w:rsid w:val="003202B0"/>
    <w:rsid w:val="00322EA4"/>
    <w:rsid w:val="0032535C"/>
    <w:rsid w:val="00325D1B"/>
    <w:rsid w:val="003270D1"/>
    <w:rsid w:val="00327751"/>
    <w:rsid w:val="00330416"/>
    <w:rsid w:val="00330803"/>
    <w:rsid w:val="003335A6"/>
    <w:rsid w:val="003341C9"/>
    <w:rsid w:val="003349D8"/>
    <w:rsid w:val="00335AFE"/>
    <w:rsid w:val="00335F51"/>
    <w:rsid w:val="003365B5"/>
    <w:rsid w:val="00340AF0"/>
    <w:rsid w:val="00341067"/>
    <w:rsid w:val="0034486D"/>
    <w:rsid w:val="00345EE1"/>
    <w:rsid w:val="00350911"/>
    <w:rsid w:val="0035114A"/>
    <w:rsid w:val="00353CD8"/>
    <w:rsid w:val="003555E9"/>
    <w:rsid w:val="0035561D"/>
    <w:rsid w:val="0035572D"/>
    <w:rsid w:val="00355981"/>
    <w:rsid w:val="00355F84"/>
    <w:rsid w:val="00356EBB"/>
    <w:rsid w:val="00356F08"/>
    <w:rsid w:val="003577DC"/>
    <w:rsid w:val="0035785A"/>
    <w:rsid w:val="00361188"/>
    <w:rsid w:val="0036191E"/>
    <w:rsid w:val="00362069"/>
    <w:rsid w:val="00363BAD"/>
    <w:rsid w:val="00363D3F"/>
    <w:rsid w:val="00364CBA"/>
    <w:rsid w:val="0036510C"/>
    <w:rsid w:val="00365E06"/>
    <w:rsid w:val="00366BFA"/>
    <w:rsid w:val="00366C91"/>
    <w:rsid w:val="00370EEF"/>
    <w:rsid w:val="00371021"/>
    <w:rsid w:val="00371E7C"/>
    <w:rsid w:val="003737C1"/>
    <w:rsid w:val="003753ED"/>
    <w:rsid w:val="00375A58"/>
    <w:rsid w:val="00377CE9"/>
    <w:rsid w:val="00381B72"/>
    <w:rsid w:val="0038363B"/>
    <w:rsid w:val="00383ABB"/>
    <w:rsid w:val="00385066"/>
    <w:rsid w:val="00385C0C"/>
    <w:rsid w:val="003867B1"/>
    <w:rsid w:val="00387615"/>
    <w:rsid w:val="00387BAB"/>
    <w:rsid w:val="00387EFB"/>
    <w:rsid w:val="0039032C"/>
    <w:rsid w:val="00390C9D"/>
    <w:rsid w:val="00391188"/>
    <w:rsid w:val="003919D8"/>
    <w:rsid w:val="0039707A"/>
    <w:rsid w:val="003A19FB"/>
    <w:rsid w:val="003A1A6A"/>
    <w:rsid w:val="003A1B0D"/>
    <w:rsid w:val="003B173B"/>
    <w:rsid w:val="003B22D6"/>
    <w:rsid w:val="003B6A22"/>
    <w:rsid w:val="003B79BB"/>
    <w:rsid w:val="003C1A26"/>
    <w:rsid w:val="003C29D1"/>
    <w:rsid w:val="003C4EA2"/>
    <w:rsid w:val="003D0457"/>
    <w:rsid w:val="003D2CC4"/>
    <w:rsid w:val="003D6094"/>
    <w:rsid w:val="003D72ED"/>
    <w:rsid w:val="003E02A7"/>
    <w:rsid w:val="003E05C5"/>
    <w:rsid w:val="003E4054"/>
    <w:rsid w:val="003E4F3A"/>
    <w:rsid w:val="003E5B75"/>
    <w:rsid w:val="003E5D06"/>
    <w:rsid w:val="003E64A8"/>
    <w:rsid w:val="003F40CC"/>
    <w:rsid w:val="003F5292"/>
    <w:rsid w:val="003F6DC0"/>
    <w:rsid w:val="00401A31"/>
    <w:rsid w:val="0040420B"/>
    <w:rsid w:val="00405236"/>
    <w:rsid w:val="00413F16"/>
    <w:rsid w:val="004150D7"/>
    <w:rsid w:val="00415E0A"/>
    <w:rsid w:val="004164DA"/>
    <w:rsid w:val="00420FA3"/>
    <w:rsid w:val="004229C0"/>
    <w:rsid w:val="00424BD5"/>
    <w:rsid w:val="00427C38"/>
    <w:rsid w:val="00430700"/>
    <w:rsid w:val="00430FC6"/>
    <w:rsid w:val="004411D6"/>
    <w:rsid w:val="004420EB"/>
    <w:rsid w:val="004421DD"/>
    <w:rsid w:val="004424A1"/>
    <w:rsid w:val="004428E1"/>
    <w:rsid w:val="004465B1"/>
    <w:rsid w:val="00446858"/>
    <w:rsid w:val="00450A26"/>
    <w:rsid w:val="00452C00"/>
    <w:rsid w:val="00453E39"/>
    <w:rsid w:val="00454A27"/>
    <w:rsid w:val="00455E52"/>
    <w:rsid w:val="00456826"/>
    <w:rsid w:val="0046157A"/>
    <w:rsid w:val="00461DE8"/>
    <w:rsid w:val="0046280A"/>
    <w:rsid w:val="00472259"/>
    <w:rsid w:val="00472447"/>
    <w:rsid w:val="004736E3"/>
    <w:rsid w:val="00473985"/>
    <w:rsid w:val="00473B68"/>
    <w:rsid w:val="00474B52"/>
    <w:rsid w:val="00480E85"/>
    <w:rsid w:val="004848FF"/>
    <w:rsid w:val="0048569D"/>
    <w:rsid w:val="00485FA0"/>
    <w:rsid w:val="00486575"/>
    <w:rsid w:val="004874DB"/>
    <w:rsid w:val="0049048C"/>
    <w:rsid w:val="004921B5"/>
    <w:rsid w:val="00493612"/>
    <w:rsid w:val="00495E2B"/>
    <w:rsid w:val="004965A6"/>
    <w:rsid w:val="004A1886"/>
    <w:rsid w:val="004A3C53"/>
    <w:rsid w:val="004B08AA"/>
    <w:rsid w:val="004B0A82"/>
    <w:rsid w:val="004B17A3"/>
    <w:rsid w:val="004B1A41"/>
    <w:rsid w:val="004B1FC8"/>
    <w:rsid w:val="004B2105"/>
    <w:rsid w:val="004B323F"/>
    <w:rsid w:val="004B569E"/>
    <w:rsid w:val="004B56B1"/>
    <w:rsid w:val="004B5FDF"/>
    <w:rsid w:val="004B638C"/>
    <w:rsid w:val="004B7836"/>
    <w:rsid w:val="004C00EE"/>
    <w:rsid w:val="004C0E44"/>
    <w:rsid w:val="004C0EE0"/>
    <w:rsid w:val="004C249C"/>
    <w:rsid w:val="004C3160"/>
    <w:rsid w:val="004C3AA1"/>
    <w:rsid w:val="004C53B9"/>
    <w:rsid w:val="004C7706"/>
    <w:rsid w:val="004D0875"/>
    <w:rsid w:val="004D2203"/>
    <w:rsid w:val="004D2D15"/>
    <w:rsid w:val="004D3F86"/>
    <w:rsid w:val="004D4F86"/>
    <w:rsid w:val="004D7684"/>
    <w:rsid w:val="004E0578"/>
    <w:rsid w:val="004E15EF"/>
    <w:rsid w:val="004E34F3"/>
    <w:rsid w:val="004E4068"/>
    <w:rsid w:val="004E5659"/>
    <w:rsid w:val="004E57B4"/>
    <w:rsid w:val="004E74FD"/>
    <w:rsid w:val="004F054D"/>
    <w:rsid w:val="004F1332"/>
    <w:rsid w:val="004F1AFE"/>
    <w:rsid w:val="004F30C9"/>
    <w:rsid w:val="004F393F"/>
    <w:rsid w:val="004F4E8E"/>
    <w:rsid w:val="004F57DA"/>
    <w:rsid w:val="004F5813"/>
    <w:rsid w:val="004F6E26"/>
    <w:rsid w:val="004F7E94"/>
    <w:rsid w:val="0050163C"/>
    <w:rsid w:val="00503BC4"/>
    <w:rsid w:val="00504FF0"/>
    <w:rsid w:val="00506045"/>
    <w:rsid w:val="005062A1"/>
    <w:rsid w:val="005067F2"/>
    <w:rsid w:val="00510B1B"/>
    <w:rsid w:val="00511A1F"/>
    <w:rsid w:val="0051488F"/>
    <w:rsid w:val="00514F5F"/>
    <w:rsid w:val="005209F6"/>
    <w:rsid w:val="00520C3A"/>
    <w:rsid w:val="0052115B"/>
    <w:rsid w:val="0052219A"/>
    <w:rsid w:val="00525EB2"/>
    <w:rsid w:val="00526706"/>
    <w:rsid w:val="0053035B"/>
    <w:rsid w:val="00530F3C"/>
    <w:rsid w:val="00531726"/>
    <w:rsid w:val="00531873"/>
    <w:rsid w:val="005329D7"/>
    <w:rsid w:val="005335D6"/>
    <w:rsid w:val="005349B5"/>
    <w:rsid w:val="00534B5D"/>
    <w:rsid w:val="00535889"/>
    <w:rsid w:val="005368B0"/>
    <w:rsid w:val="005375DB"/>
    <w:rsid w:val="00540A19"/>
    <w:rsid w:val="00541877"/>
    <w:rsid w:val="00542B97"/>
    <w:rsid w:val="00543464"/>
    <w:rsid w:val="00543F7C"/>
    <w:rsid w:val="005467CE"/>
    <w:rsid w:val="0055015D"/>
    <w:rsid w:val="00550CC3"/>
    <w:rsid w:val="0055497B"/>
    <w:rsid w:val="00555FD1"/>
    <w:rsid w:val="00557883"/>
    <w:rsid w:val="005579BD"/>
    <w:rsid w:val="00560095"/>
    <w:rsid w:val="0056048D"/>
    <w:rsid w:val="00560794"/>
    <w:rsid w:val="0056245E"/>
    <w:rsid w:val="00563A16"/>
    <w:rsid w:val="00563E87"/>
    <w:rsid w:val="00565E36"/>
    <w:rsid w:val="00565FD0"/>
    <w:rsid w:val="00566A01"/>
    <w:rsid w:val="005678C3"/>
    <w:rsid w:val="00573B76"/>
    <w:rsid w:val="00573CE3"/>
    <w:rsid w:val="0057577C"/>
    <w:rsid w:val="00576BED"/>
    <w:rsid w:val="00577A20"/>
    <w:rsid w:val="00577BC3"/>
    <w:rsid w:val="005814DB"/>
    <w:rsid w:val="0058370A"/>
    <w:rsid w:val="005840B5"/>
    <w:rsid w:val="00584E1B"/>
    <w:rsid w:val="005903DD"/>
    <w:rsid w:val="00593ADB"/>
    <w:rsid w:val="00595E5A"/>
    <w:rsid w:val="005A05CC"/>
    <w:rsid w:val="005A1FD9"/>
    <w:rsid w:val="005A41F8"/>
    <w:rsid w:val="005A4C35"/>
    <w:rsid w:val="005A5075"/>
    <w:rsid w:val="005A6E0D"/>
    <w:rsid w:val="005A77EF"/>
    <w:rsid w:val="005A7E65"/>
    <w:rsid w:val="005B04D3"/>
    <w:rsid w:val="005B061B"/>
    <w:rsid w:val="005B0769"/>
    <w:rsid w:val="005B0C52"/>
    <w:rsid w:val="005B100F"/>
    <w:rsid w:val="005B209C"/>
    <w:rsid w:val="005B2B38"/>
    <w:rsid w:val="005B5C81"/>
    <w:rsid w:val="005B666B"/>
    <w:rsid w:val="005B782D"/>
    <w:rsid w:val="005B7E88"/>
    <w:rsid w:val="005C086D"/>
    <w:rsid w:val="005C13F1"/>
    <w:rsid w:val="005C4659"/>
    <w:rsid w:val="005C6635"/>
    <w:rsid w:val="005C67F5"/>
    <w:rsid w:val="005D0417"/>
    <w:rsid w:val="005D0A43"/>
    <w:rsid w:val="005D16B2"/>
    <w:rsid w:val="005D2B58"/>
    <w:rsid w:val="005D3786"/>
    <w:rsid w:val="005D4A72"/>
    <w:rsid w:val="005D4C97"/>
    <w:rsid w:val="005D7D7C"/>
    <w:rsid w:val="005E164A"/>
    <w:rsid w:val="005E2324"/>
    <w:rsid w:val="005E4102"/>
    <w:rsid w:val="005E4149"/>
    <w:rsid w:val="005E462B"/>
    <w:rsid w:val="005E46B8"/>
    <w:rsid w:val="005F11D5"/>
    <w:rsid w:val="005F15ED"/>
    <w:rsid w:val="005F2A3E"/>
    <w:rsid w:val="005F48E4"/>
    <w:rsid w:val="005F58E3"/>
    <w:rsid w:val="005F5B4B"/>
    <w:rsid w:val="005F64A1"/>
    <w:rsid w:val="005F6CC1"/>
    <w:rsid w:val="005F71BA"/>
    <w:rsid w:val="006005DF"/>
    <w:rsid w:val="00600D2E"/>
    <w:rsid w:val="00602181"/>
    <w:rsid w:val="006052EA"/>
    <w:rsid w:val="00605D9B"/>
    <w:rsid w:val="00606E25"/>
    <w:rsid w:val="00610A7F"/>
    <w:rsid w:val="00612D26"/>
    <w:rsid w:val="00612D3D"/>
    <w:rsid w:val="00612DC7"/>
    <w:rsid w:val="006144D6"/>
    <w:rsid w:val="006177DE"/>
    <w:rsid w:val="00617CE3"/>
    <w:rsid w:val="00620F75"/>
    <w:rsid w:val="00621490"/>
    <w:rsid w:val="0062270B"/>
    <w:rsid w:val="00622BED"/>
    <w:rsid w:val="00626607"/>
    <w:rsid w:val="006272A4"/>
    <w:rsid w:val="00627CDD"/>
    <w:rsid w:val="00630039"/>
    <w:rsid w:val="00630196"/>
    <w:rsid w:val="00630972"/>
    <w:rsid w:val="00632357"/>
    <w:rsid w:val="0063373A"/>
    <w:rsid w:val="006340F7"/>
    <w:rsid w:val="006351B8"/>
    <w:rsid w:val="00636A45"/>
    <w:rsid w:val="00640F44"/>
    <w:rsid w:val="00642D41"/>
    <w:rsid w:val="006432A4"/>
    <w:rsid w:val="00643551"/>
    <w:rsid w:val="00643F51"/>
    <w:rsid w:val="00644702"/>
    <w:rsid w:val="00644755"/>
    <w:rsid w:val="00644CC3"/>
    <w:rsid w:val="00645065"/>
    <w:rsid w:val="00646579"/>
    <w:rsid w:val="0064689F"/>
    <w:rsid w:val="00650524"/>
    <w:rsid w:val="006527CB"/>
    <w:rsid w:val="00653053"/>
    <w:rsid w:val="00654575"/>
    <w:rsid w:val="00654B24"/>
    <w:rsid w:val="006555AC"/>
    <w:rsid w:val="00657ABF"/>
    <w:rsid w:val="00657B70"/>
    <w:rsid w:val="0066033A"/>
    <w:rsid w:val="00660728"/>
    <w:rsid w:val="00660912"/>
    <w:rsid w:val="00661FE9"/>
    <w:rsid w:val="006647E5"/>
    <w:rsid w:val="006657EB"/>
    <w:rsid w:val="00665B87"/>
    <w:rsid w:val="00665C06"/>
    <w:rsid w:val="00671582"/>
    <w:rsid w:val="0067161E"/>
    <w:rsid w:val="00672F54"/>
    <w:rsid w:val="0067323D"/>
    <w:rsid w:val="0067485B"/>
    <w:rsid w:val="00674E5F"/>
    <w:rsid w:val="00675217"/>
    <w:rsid w:val="0067717E"/>
    <w:rsid w:val="006802BC"/>
    <w:rsid w:val="00680C83"/>
    <w:rsid w:val="00681FAE"/>
    <w:rsid w:val="0068412C"/>
    <w:rsid w:val="0068549D"/>
    <w:rsid w:val="006873FE"/>
    <w:rsid w:val="006902A6"/>
    <w:rsid w:val="006933DF"/>
    <w:rsid w:val="00694010"/>
    <w:rsid w:val="00694E90"/>
    <w:rsid w:val="006966A7"/>
    <w:rsid w:val="00696784"/>
    <w:rsid w:val="00696829"/>
    <w:rsid w:val="006969BC"/>
    <w:rsid w:val="00696E8D"/>
    <w:rsid w:val="006970D0"/>
    <w:rsid w:val="006A26FC"/>
    <w:rsid w:val="006A2CDA"/>
    <w:rsid w:val="006A2FC9"/>
    <w:rsid w:val="006A38B1"/>
    <w:rsid w:val="006A5CB5"/>
    <w:rsid w:val="006A6DA2"/>
    <w:rsid w:val="006B191F"/>
    <w:rsid w:val="006B2498"/>
    <w:rsid w:val="006B4376"/>
    <w:rsid w:val="006B650C"/>
    <w:rsid w:val="006B72B8"/>
    <w:rsid w:val="006B7893"/>
    <w:rsid w:val="006C045A"/>
    <w:rsid w:val="006C054B"/>
    <w:rsid w:val="006C2C2F"/>
    <w:rsid w:val="006C2F94"/>
    <w:rsid w:val="006C37D1"/>
    <w:rsid w:val="006C71AC"/>
    <w:rsid w:val="006D0279"/>
    <w:rsid w:val="006D0A4C"/>
    <w:rsid w:val="006D21C8"/>
    <w:rsid w:val="006D35D0"/>
    <w:rsid w:val="006D4F18"/>
    <w:rsid w:val="006D52C0"/>
    <w:rsid w:val="006E46D6"/>
    <w:rsid w:val="006E6BD9"/>
    <w:rsid w:val="006E7039"/>
    <w:rsid w:val="006F0A3A"/>
    <w:rsid w:val="006F5950"/>
    <w:rsid w:val="006F6C17"/>
    <w:rsid w:val="006F79E1"/>
    <w:rsid w:val="00705944"/>
    <w:rsid w:val="007062CB"/>
    <w:rsid w:val="0070759F"/>
    <w:rsid w:val="00707985"/>
    <w:rsid w:val="00710137"/>
    <w:rsid w:val="0071048A"/>
    <w:rsid w:val="00710B97"/>
    <w:rsid w:val="00710C60"/>
    <w:rsid w:val="00711548"/>
    <w:rsid w:val="0071165B"/>
    <w:rsid w:val="00714A17"/>
    <w:rsid w:val="00716126"/>
    <w:rsid w:val="00716B38"/>
    <w:rsid w:val="00717552"/>
    <w:rsid w:val="0072029C"/>
    <w:rsid w:val="007218EB"/>
    <w:rsid w:val="007218F0"/>
    <w:rsid w:val="0072207F"/>
    <w:rsid w:val="00724197"/>
    <w:rsid w:val="007241BE"/>
    <w:rsid w:val="00724B93"/>
    <w:rsid w:val="0072620B"/>
    <w:rsid w:val="007331A2"/>
    <w:rsid w:val="007350D4"/>
    <w:rsid w:val="007364A4"/>
    <w:rsid w:val="007366B3"/>
    <w:rsid w:val="00742C59"/>
    <w:rsid w:val="007463FA"/>
    <w:rsid w:val="0074689A"/>
    <w:rsid w:val="00746CF4"/>
    <w:rsid w:val="00746DCC"/>
    <w:rsid w:val="007504EE"/>
    <w:rsid w:val="00750C49"/>
    <w:rsid w:val="00750D1B"/>
    <w:rsid w:val="00753BFF"/>
    <w:rsid w:val="007550F6"/>
    <w:rsid w:val="00756586"/>
    <w:rsid w:val="00756E35"/>
    <w:rsid w:val="007601AE"/>
    <w:rsid w:val="007610A9"/>
    <w:rsid w:val="007619AB"/>
    <w:rsid w:val="00761C83"/>
    <w:rsid w:val="007631AF"/>
    <w:rsid w:val="00763340"/>
    <w:rsid w:val="00765839"/>
    <w:rsid w:val="0076603F"/>
    <w:rsid w:val="0076691E"/>
    <w:rsid w:val="007672AF"/>
    <w:rsid w:val="007723A2"/>
    <w:rsid w:val="00780BB6"/>
    <w:rsid w:val="00781229"/>
    <w:rsid w:val="00781E83"/>
    <w:rsid w:val="0078353E"/>
    <w:rsid w:val="00783D0D"/>
    <w:rsid w:val="00783E10"/>
    <w:rsid w:val="00784CE9"/>
    <w:rsid w:val="0078578F"/>
    <w:rsid w:val="007942D6"/>
    <w:rsid w:val="0079634F"/>
    <w:rsid w:val="007966E2"/>
    <w:rsid w:val="007A1BE3"/>
    <w:rsid w:val="007A3687"/>
    <w:rsid w:val="007A55D4"/>
    <w:rsid w:val="007A6F80"/>
    <w:rsid w:val="007A7949"/>
    <w:rsid w:val="007A795B"/>
    <w:rsid w:val="007B26A8"/>
    <w:rsid w:val="007B4186"/>
    <w:rsid w:val="007B4E69"/>
    <w:rsid w:val="007B67A2"/>
    <w:rsid w:val="007B75A7"/>
    <w:rsid w:val="007B7D80"/>
    <w:rsid w:val="007C255C"/>
    <w:rsid w:val="007C3EE2"/>
    <w:rsid w:val="007C5464"/>
    <w:rsid w:val="007C7D8D"/>
    <w:rsid w:val="007D123E"/>
    <w:rsid w:val="007D2FF4"/>
    <w:rsid w:val="007D30DF"/>
    <w:rsid w:val="007D39D0"/>
    <w:rsid w:val="007E0B84"/>
    <w:rsid w:val="007E172A"/>
    <w:rsid w:val="007E3A45"/>
    <w:rsid w:val="007E3C85"/>
    <w:rsid w:val="007E5CEC"/>
    <w:rsid w:val="007F0140"/>
    <w:rsid w:val="007F0B07"/>
    <w:rsid w:val="007F237A"/>
    <w:rsid w:val="007F35B4"/>
    <w:rsid w:val="007F47D5"/>
    <w:rsid w:val="007F74FA"/>
    <w:rsid w:val="00800D47"/>
    <w:rsid w:val="00801866"/>
    <w:rsid w:val="00802151"/>
    <w:rsid w:val="00803132"/>
    <w:rsid w:val="00804013"/>
    <w:rsid w:val="00804D89"/>
    <w:rsid w:val="0080680A"/>
    <w:rsid w:val="00807FBE"/>
    <w:rsid w:val="0081066C"/>
    <w:rsid w:val="00811512"/>
    <w:rsid w:val="0081275E"/>
    <w:rsid w:val="00813D1F"/>
    <w:rsid w:val="008147F1"/>
    <w:rsid w:val="00815EAC"/>
    <w:rsid w:val="008171BD"/>
    <w:rsid w:val="008173FA"/>
    <w:rsid w:val="00817BEA"/>
    <w:rsid w:val="008218B4"/>
    <w:rsid w:val="00824E5F"/>
    <w:rsid w:val="0082518F"/>
    <w:rsid w:val="008270B8"/>
    <w:rsid w:val="00827ADB"/>
    <w:rsid w:val="00840167"/>
    <w:rsid w:val="00842386"/>
    <w:rsid w:val="008423FC"/>
    <w:rsid w:val="0084259E"/>
    <w:rsid w:val="00844264"/>
    <w:rsid w:val="00844A1B"/>
    <w:rsid w:val="00845762"/>
    <w:rsid w:val="00847598"/>
    <w:rsid w:val="00847BD2"/>
    <w:rsid w:val="00852A0A"/>
    <w:rsid w:val="00852C0D"/>
    <w:rsid w:val="00853AB3"/>
    <w:rsid w:val="00854371"/>
    <w:rsid w:val="00855E6D"/>
    <w:rsid w:val="00855F4D"/>
    <w:rsid w:val="00856728"/>
    <w:rsid w:val="00856778"/>
    <w:rsid w:val="00860147"/>
    <w:rsid w:val="008606E6"/>
    <w:rsid w:val="00860B6E"/>
    <w:rsid w:val="00862E2F"/>
    <w:rsid w:val="00863657"/>
    <w:rsid w:val="008640FD"/>
    <w:rsid w:val="00864FAB"/>
    <w:rsid w:val="008652CC"/>
    <w:rsid w:val="00865850"/>
    <w:rsid w:val="00865DDC"/>
    <w:rsid w:val="008678C2"/>
    <w:rsid w:val="00874BAD"/>
    <w:rsid w:val="0087716F"/>
    <w:rsid w:val="008779E6"/>
    <w:rsid w:val="0088035D"/>
    <w:rsid w:val="008810B4"/>
    <w:rsid w:val="00883248"/>
    <w:rsid w:val="00883905"/>
    <w:rsid w:val="00884A07"/>
    <w:rsid w:val="00884B3D"/>
    <w:rsid w:val="008850AC"/>
    <w:rsid w:val="00887FBD"/>
    <w:rsid w:val="008902A5"/>
    <w:rsid w:val="00890723"/>
    <w:rsid w:val="0089194F"/>
    <w:rsid w:val="0089225E"/>
    <w:rsid w:val="00893CB1"/>
    <w:rsid w:val="00893D91"/>
    <w:rsid w:val="0089486A"/>
    <w:rsid w:val="00894C00"/>
    <w:rsid w:val="00896A58"/>
    <w:rsid w:val="008A1811"/>
    <w:rsid w:val="008A1BCB"/>
    <w:rsid w:val="008A224C"/>
    <w:rsid w:val="008A3018"/>
    <w:rsid w:val="008A3268"/>
    <w:rsid w:val="008A396D"/>
    <w:rsid w:val="008A622F"/>
    <w:rsid w:val="008B0D9E"/>
    <w:rsid w:val="008B114F"/>
    <w:rsid w:val="008B1BCD"/>
    <w:rsid w:val="008B2DEB"/>
    <w:rsid w:val="008B3013"/>
    <w:rsid w:val="008B31B6"/>
    <w:rsid w:val="008B3C2A"/>
    <w:rsid w:val="008B5159"/>
    <w:rsid w:val="008B5586"/>
    <w:rsid w:val="008B56A7"/>
    <w:rsid w:val="008B56CB"/>
    <w:rsid w:val="008B5C05"/>
    <w:rsid w:val="008B6758"/>
    <w:rsid w:val="008B6A26"/>
    <w:rsid w:val="008B6B2A"/>
    <w:rsid w:val="008B756D"/>
    <w:rsid w:val="008C14CB"/>
    <w:rsid w:val="008C565C"/>
    <w:rsid w:val="008D209E"/>
    <w:rsid w:val="008D22DC"/>
    <w:rsid w:val="008D3022"/>
    <w:rsid w:val="008D4681"/>
    <w:rsid w:val="008D59AA"/>
    <w:rsid w:val="008E2F50"/>
    <w:rsid w:val="008E3347"/>
    <w:rsid w:val="008E3489"/>
    <w:rsid w:val="008E405B"/>
    <w:rsid w:val="008E67CB"/>
    <w:rsid w:val="008E7CCF"/>
    <w:rsid w:val="008E7D10"/>
    <w:rsid w:val="008F09CE"/>
    <w:rsid w:val="008F318F"/>
    <w:rsid w:val="008F3E58"/>
    <w:rsid w:val="008F4CCD"/>
    <w:rsid w:val="008F510F"/>
    <w:rsid w:val="008F5B40"/>
    <w:rsid w:val="008F5DDD"/>
    <w:rsid w:val="008F5FE1"/>
    <w:rsid w:val="008F631E"/>
    <w:rsid w:val="008F68B5"/>
    <w:rsid w:val="008F6A32"/>
    <w:rsid w:val="009024BD"/>
    <w:rsid w:val="00904F18"/>
    <w:rsid w:val="0090537E"/>
    <w:rsid w:val="009061F9"/>
    <w:rsid w:val="00906442"/>
    <w:rsid w:val="00906D98"/>
    <w:rsid w:val="009074BB"/>
    <w:rsid w:val="009079E2"/>
    <w:rsid w:val="00910D45"/>
    <w:rsid w:val="00911352"/>
    <w:rsid w:val="00912184"/>
    <w:rsid w:val="009122D0"/>
    <w:rsid w:val="00912505"/>
    <w:rsid w:val="00912C6D"/>
    <w:rsid w:val="009133DA"/>
    <w:rsid w:val="00914F3B"/>
    <w:rsid w:val="00915717"/>
    <w:rsid w:val="00916A7E"/>
    <w:rsid w:val="0091702A"/>
    <w:rsid w:val="00920550"/>
    <w:rsid w:val="00920E19"/>
    <w:rsid w:val="00923859"/>
    <w:rsid w:val="00923F63"/>
    <w:rsid w:val="00925D0B"/>
    <w:rsid w:val="00926E24"/>
    <w:rsid w:val="00927112"/>
    <w:rsid w:val="00927A31"/>
    <w:rsid w:val="00930132"/>
    <w:rsid w:val="00930A17"/>
    <w:rsid w:val="00931043"/>
    <w:rsid w:val="009311E8"/>
    <w:rsid w:val="00931CB0"/>
    <w:rsid w:val="00932B10"/>
    <w:rsid w:val="00934AE3"/>
    <w:rsid w:val="00937A48"/>
    <w:rsid w:val="009402D3"/>
    <w:rsid w:val="009413A1"/>
    <w:rsid w:val="009438D6"/>
    <w:rsid w:val="00945BBC"/>
    <w:rsid w:val="00946385"/>
    <w:rsid w:val="00946759"/>
    <w:rsid w:val="00946B3B"/>
    <w:rsid w:val="00950A84"/>
    <w:rsid w:val="00950DE2"/>
    <w:rsid w:val="009511B5"/>
    <w:rsid w:val="00952086"/>
    <w:rsid w:val="00957776"/>
    <w:rsid w:val="00963CD6"/>
    <w:rsid w:val="00964C64"/>
    <w:rsid w:val="00965D52"/>
    <w:rsid w:val="00966438"/>
    <w:rsid w:val="009708FA"/>
    <w:rsid w:val="0097189A"/>
    <w:rsid w:val="00972009"/>
    <w:rsid w:val="00972A80"/>
    <w:rsid w:val="00974DEF"/>
    <w:rsid w:val="00975F80"/>
    <w:rsid w:val="00977E2D"/>
    <w:rsid w:val="00980071"/>
    <w:rsid w:val="00981B4D"/>
    <w:rsid w:val="00990016"/>
    <w:rsid w:val="009903A5"/>
    <w:rsid w:val="00991809"/>
    <w:rsid w:val="00991C7A"/>
    <w:rsid w:val="00992A3A"/>
    <w:rsid w:val="00993C0A"/>
    <w:rsid w:val="00994B1B"/>
    <w:rsid w:val="00995961"/>
    <w:rsid w:val="009A16BE"/>
    <w:rsid w:val="009A36DA"/>
    <w:rsid w:val="009A3E6C"/>
    <w:rsid w:val="009B068D"/>
    <w:rsid w:val="009B1FA4"/>
    <w:rsid w:val="009B5408"/>
    <w:rsid w:val="009B6BCC"/>
    <w:rsid w:val="009B6F91"/>
    <w:rsid w:val="009B7BEA"/>
    <w:rsid w:val="009C002A"/>
    <w:rsid w:val="009C0C8E"/>
    <w:rsid w:val="009C260A"/>
    <w:rsid w:val="009C2967"/>
    <w:rsid w:val="009C2D6B"/>
    <w:rsid w:val="009C4586"/>
    <w:rsid w:val="009C468E"/>
    <w:rsid w:val="009C5E9C"/>
    <w:rsid w:val="009D060D"/>
    <w:rsid w:val="009D1B68"/>
    <w:rsid w:val="009D2655"/>
    <w:rsid w:val="009D2D47"/>
    <w:rsid w:val="009D2F6F"/>
    <w:rsid w:val="009D5535"/>
    <w:rsid w:val="009D55EF"/>
    <w:rsid w:val="009D7D44"/>
    <w:rsid w:val="009E0304"/>
    <w:rsid w:val="009E04FF"/>
    <w:rsid w:val="009E1F80"/>
    <w:rsid w:val="009E30E4"/>
    <w:rsid w:val="009E4A3B"/>
    <w:rsid w:val="009E6053"/>
    <w:rsid w:val="009F13F1"/>
    <w:rsid w:val="009F21AA"/>
    <w:rsid w:val="009F2E21"/>
    <w:rsid w:val="009F4CE8"/>
    <w:rsid w:val="009F520D"/>
    <w:rsid w:val="009F5AD8"/>
    <w:rsid w:val="009F61BA"/>
    <w:rsid w:val="009F6B90"/>
    <w:rsid w:val="009F74E8"/>
    <w:rsid w:val="00A0116B"/>
    <w:rsid w:val="00A01D39"/>
    <w:rsid w:val="00A02F77"/>
    <w:rsid w:val="00A060BA"/>
    <w:rsid w:val="00A07212"/>
    <w:rsid w:val="00A11A8E"/>
    <w:rsid w:val="00A12D2D"/>
    <w:rsid w:val="00A12D7D"/>
    <w:rsid w:val="00A13BBB"/>
    <w:rsid w:val="00A14782"/>
    <w:rsid w:val="00A149B1"/>
    <w:rsid w:val="00A149CC"/>
    <w:rsid w:val="00A15E3B"/>
    <w:rsid w:val="00A164D3"/>
    <w:rsid w:val="00A17A41"/>
    <w:rsid w:val="00A20E6F"/>
    <w:rsid w:val="00A211F2"/>
    <w:rsid w:val="00A2130F"/>
    <w:rsid w:val="00A226B5"/>
    <w:rsid w:val="00A2357E"/>
    <w:rsid w:val="00A24A56"/>
    <w:rsid w:val="00A24C65"/>
    <w:rsid w:val="00A24F33"/>
    <w:rsid w:val="00A25303"/>
    <w:rsid w:val="00A270C8"/>
    <w:rsid w:val="00A27F5A"/>
    <w:rsid w:val="00A30422"/>
    <w:rsid w:val="00A30B58"/>
    <w:rsid w:val="00A3221E"/>
    <w:rsid w:val="00A32315"/>
    <w:rsid w:val="00A3274A"/>
    <w:rsid w:val="00A33DF5"/>
    <w:rsid w:val="00A33F77"/>
    <w:rsid w:val="00A341D1"/>
    <w:rsid w:val="00A369BA"/>
    <w:rsid w:val="00A3726E"/>
    <w:rsid w:val="00A37CD4"/>
    <w:rsid w:val="00A41A2F"/>
    <w:rsid w:val="00A43F86"/>
    <w:rsid w:val="00A44B80"/>
    <w:rsid w:val="00A44C5C"/>
    <w:rsid w:val="00A5390F"/>
    <w:rsid w:val="00A53BDA"/>
    <w:rsid w:val="00A54787"/>
    <w:rsid w:val="00A54AA5"/>
    <w:rsid w:val="00A5505A"/>
    <w:rsid w:val="00A555F7"/>
    <w:rsid w:val="00A607E8"/>
    <w:rsid w:val="00A60BD9"/>
    <w:rsid w:val="00A6116D"/>
    <w:rsid w:val="00A61F04"/>
    <w:rsid w:val="00A62665"/>
    <w:rsid w:val="00A63508"/>
    <w:rsid w:val="00A63774"/>
    <w:rsid w:val="00A6521D"/>
    <w:rsid w:val="00A6530D"/>
    <w:rsid w:val="00A65FC0"/>
    <w:rsid w:val="00A704F6"/>
    <w:rsid w:val="00A706AA"/>
    <w:rsid w:val="00A7480F"/>
    <w:rsid w:val="00A768C9"/>
    <w:rsid w:val="00A77F32"/>
    <w:rsid w:val="00A8106E"/>
    <w:rsid w:val="00A8469D"/>
    <w:rsid w:val="00A91456"/>
    <w:rsid w:val="00A9331A"/>
    <w:rsid w:val="00A94A91"/>
    <w:rsid w:val="00A94BFB"/>
    <w:rsid w:val="00A9506D"/>
    <w:rsid w:val="00A96B17"/>
    <w:rsid w:val="00A96E7A"/>
    <w:rsid w:val="00A96F03"/>
    <w:rsid w:val="00AA1119"/>
    <w:rsid w:val="00AA140D"/>
    <w:rsid w:val="00AA18DE"/>
    <w:rsid w:val="00AA2990"/>
    <w:rsid w:val="00AA3974"/>
    <w:rsid w:val="00AA4CE0"/>
    <w:rsid w:val="00AA5AA5"/>
    <w:rsid w:val="00AA6B6F"/>
    <w:rsid w:val="00AB5C9A"/>
    <w:rsid w:val="00AC0615"/>
    <w:rsid w:val="00AC21AD"/>
    <w:rsid w:val="00AC27C4"/>
    <w:rsid w:val="00AC3E00"/>
    <w:rsid w:val="00AC51C4"/>
    <w:rsid w:val="00AC5DC5"/>
    <w:rsid w:val="00AC6C57"/>
    <w:rsid w:val="00AC7BBC"/>
    <w:rsid w:val="00AD1961"/>
    <w:rsid w:val="00AD2CF2"/>
    <w:rsid w:val="00AD4997"/>
    <w:rsid w:val="00AD4C88"/>
    <w:rsid w:val="00AD5BD6"/>
    <w:rsid w:val="00AD5D73"/>
    <w:rsid w:val="00AD634A"/>
    <w:rsid w:val="00AD653D"/>
    <w:rsid w:val="00AD6CA6"/>
    <w:rsid w:val="00AD73AF"/>
    <w:rsid w:val="00AE028B"/>
    <w:rsid w:val="00AE05F5"/>
    <w:rsid w:val="00AE1A21"/>
    <w:rsid w:val="00AE27F2"/>
    <w:rsid w:val="00AE2828"/>
    <w:rsid w:val="00AE4198"/>
    <w:rsid w:val="00AE7347"/>
    <w:rsid w:val="00AF200F"/>
    <w:rsid w:val="00AF2254"/>
    <w:rsid w:val="00AF3066"/>
    <w:rsid w:val="00AF45F6"/>
    <w:rsid w:val="00B00E28"/>
    <w:rsid w:val="00B01D4D"/>
    <w:rsid w:val="00B02864"/>
    <w:rsid w:val="00B02DF5"/>
    <w:rsid w:val="00B03E6F"/>
    <w:rsid w:val="00B04148"/>
    <w:rsid w:val="00B048BA"/>
    <w:rsid w:val="00B05770"/>
    <w:rsid w:val="00B0749D"/>
    <w:rsid w:val="00B12BB1"/>
    <w:rsid w:val="00B13FCB"/>
    <w:rsid w:val="00B1478C"/>
    <w:rsid w:val="00B17E74"/>
    <w:rsid w:val="00B20A24"/>
    <w:rsid w:val="00B214C0"/>
    <w:rsid w:val="00B26762"/>
    <w:rsid w:val="00B26B81"/>
    <w:rsid w:val="00B30542"/>
    <w:rsid w:val="00B30E25"/>
    <w:rsid w:val="00B31154"/>
    <w:rsid w:val="00B32A54"/>
    <w:rsid w:val="00B34AC0"/>
    <w:rsid w:val="00B3535E"/>
    <w:rsid w:val="00B41491"/>
    <w:rsid w:val="00B435F7"/>
    <w:rsid w:val="00B43D31"/>
    <w:rsid w:val="00B473DA"/>
    <w:rsid w:val="00B51993"/>
    <w:rsid w:val="00B5247B"/>
    <w:rsid w:val="00B5283B"/>
    <w:rsid w:val="00B53419"/>
    <w:rsid w:val="00B5551D"/>
    <w:rsid w:val="00B557EE"/>
    <w:rsid w:val="00B573B6"/>
    <w:rsid w:val="00B57634"/>
    <w:rsid w:val="00B60429"/>
    <w:rsid w:val="00B614FB"/>
    <w:rsid w:val="00B61C2A"/>
    <w:rsid w:val="00B650EF"/>
    <w:rsid w:val="00B65636"/>
    <w:rsid w:val="00B66AED"/>
    <w:rsid w:val="00B723F8"/>
    <w:rsid w:val="00B73C11"/>
    <w:rsid w:val="00B744B7"/>
    <w:rsid w:val="00B748CD"/>
    <w:rsid w:val="00B7493C"/>
    <w:rsid w:val="00B7604D"/>
    <w:rsid w:val="00B77B8A"/>
    <w:rsid w:val="00B77DF3"/>
    <w:rsid w:val="00B80209"/>
    <w:rsid w:val="00B81578"/>
    <w:rsid w:val="00B81A8F"/>
    <w:rsid w:val="00B824CF"/>
    <w:rsid w:val="00B8388F"/>
    <w:rsid w:val="00B83A93"/>
    <w:rsid w:val="00B85598"/>
    <w:rsid w:val="00B864E5"/>
    <w:rsid w:val="00B87740"/>
    <w:rsid w:val="00B900D9"/>
    <w:rsid w:val="00B91592"/>
    <w:rsid w:val="00B9262C"/>
    <w:rsid w:val="00B96306"/>
    <w:rsid w:val="00BA2DD6"/>
    <w:rsid w:val="00BA3161"/>
    <w:rsid w:val="00BA36B2"/>
    <w:rsid w:val="00BA79B2"/>
    <w:rsid w:val="00BB158D"/>
    <w:rsid w:val="00BB22C6"/>
    <w:rsid w:val="00BB44E2"/>
    <w:rsid w:val="00BB4A2F"/>
    <w:rsid w:val="00BB4C97"/>
    <w:rsid w:val="00BB7BD0"/>
    <w:rsid w:val="00BB7E43"/>
    <w:rsid w:val="00BC0ACF"/>
    <w:rsid w:val="00BC0C19"/>
    <w:rsid w:val="00BC0D18"/>
    <w:rsid w:val="00BC0D39"/>
    <w:rsid w:val="00BC278E"/>
    <w:rsid w:val="00BC2E53"/>
    <w:rsid w:val="00BC426B"/>
    <w:rsid w:val="00BC45F9"/>
    <w:rsid w:val="00BC4D05"/>
    <w:rsid w:val="00BC5E18"/>
    <w:rsid w:val="00BC616A"/>
    <w:rsid w:val="00BC738C"/>
    <w:rsid w:val="00BC78D0"/>
    <w:rsid w:val="00BD1400"/>
    <w:rsid w:val="00BD2EB2"/>
    <w:rsid w:val="00BD4AAE"/>
    <w:rsid w:val="00BD5AA9"/>
    <w:rsid w:val="00BE2E8A"/>
    <w:rsid w:val="00BE4DCD"/>
    <w:rsid w:val="00BE54B3"/>
    <w:rsid w:val="00BE6098"/>
    <w:rsid w:val="00BE6AEA"/>
    <w:rsid w:val="00BE7410"/>
    <w:rsid w:val="00BE7466"/>
    <w:rsid w:val="00BE7ADE"/>
    <w:rsid w:val="00BF0E90"/>
    <w:rsid w:val="00BF101E"/>
    <w:rsid w:val="00BF1160"/>
    <w:rsid w:val="00BF36A4"/>
    <w:rsid w:val="00BF47A8"/>
    <w:rsid w:val="00BF4E48"/>
    <w:rsid w:val="00BF5AD0"/>
    <w:rsid w:val="00BF694C"/>
    <w:rsid w:val="00BF7657"/>
    <w:rsid w:val="00C00AAD"/>
    <w:rsid w:val="00C0271B"/>
    <w:rsid w:val="00C03160"/>
    <w:rsid w:val="00C031F1"/>
    <w:rsid w:val="00C032E2"/>
    <w:rsid w:val="00C04AAB"/>
    <w:rsid w:val="00C05AA3"/>
    <w:rsid w:val="00C101D9"/>
    <w:rsid w:val="00C10307"/>
    <w:rsid w:val="00C1195C"/>
    <w:rsid w:val="00C12004"/>
    <w:rsid w:val="00C13E5B"/>
    <w:rsid w:val="00C156DC"/>
    <w:rsid w:val="00C15881"/>
    <w:rsid w:val="00C15F97"/>
    <w:rsid w:val="00C176C7"/>
    <w:rsid w:val="00C2083E"/>
    <w:rsid w:val="00C21E5E"/>
    <w:rsid w:val="00C22BDF"/>
    <w:rsid w:val="00C23171"/>
    <w:rsid w:val="00C242EB"/>
    <w:rsid w:val="00C2694C"/>
    <w:rsid w:val="00C27A75"/>
    <w:rsid w:val="00C302CA"/>
    <w:rsid w:val="00C30396"/>
    <w:rsid w:val="00C30565"/>
    <w:rsid w:val="00C30C9F"/>
    <w:rsid w:val="00C3629A"/>
    <w:rsid w:val="00C40624"/>
    <w:rsid w:val="00C4133F"/>
    <w:rsid w:val="00C41FBD"/>
    <w:rsid w:val="00C42BF5"/>
    <w:rsid w:val="00C42D7D"/>
    <w:rsid w:val="00C43AD2"/>
    <w:rsid w:val="00C44AD7"/>
    <w:rsid w:val="00C45346"/>
    <w:rsid w:val="00C45424"/>
    <w:rsid w:val="00C456FC"/>
    <w:rsid w:val="00C50175"/>
    <w:rsid w:val="00C50746"/>
    <w:rsid w:val="00C50F68"/>
    <w:rsid w:val="00C5297E"/>
    <w:rsid w:val="00C54DBB"/>
    <w:rsid w:val="00C55E9E"/>
    <w:rsid w:val="00C57751"/>
    <w:rsid w:val="00C60855"/>
    <w:rsid w:val="00C60F86"/>
    <w:rsid w:val="00C630FF"/>
    <w:rsid w:val="00C64E07"/>
    <w:rsid w:val="00C655DB"/>
    <w:rsid w:val="00C66F6E"/>
    <w:rsid w:val="00C70267"/>
    <w:rsid w:val="00C7098A"/>
    <w:rsid w:val="00C7171B"/>
    <w:rsid w:val="00C72332"/>
    <w:rsid w:val="00C73403"/>
    <w:rsid w:val="00C73945"/>
    <w:rsid w:val="00C745F8"/>
    <w:rsid w:val="00C7461A"/>
    <w:rsid w:val="00C74EDB"/>
    <w:rsid w:val="00C775CE"/>
    <w:rsid w:val="00C777AE"/>
    <w:rsid w:val="00C80515"/>
    <w:rsid w:val="00C83491"/>
    <w:rsid w:val="00C844A5"/>
    <w:rsid w:val="00C84F44"/>
    <w:rsid w:val="00C851F2"/>
    <w:rsid w:val="00C8772A"/>
    <w:rsid w:val="00C87BB0"/>
    <w:rsid w:val="00C87BF7"/>
    <w:rsid w:val="00C93692"/>
    <w:rsid w:val="00C941C9"/>
    <w:rsid w:val="00C95C9C"/>
    <w:rsid w:val="00C95ED6"/>
    <w:rsid w:val="00C97EF2"/>
    <w:rsid w:val="00CA13A7"/>
    <w:rsid w:val="00CA1E6F"/>
    <w:rsid w:val="00CA2589"/>
    <w:rsid w:val="00CA49F6"/>
    <w:rsid w:val="00CA6C2F"/>
    <w:rsid w:val="00CA7299"/>
    <w:rsid w:val="00CB0ED2"/>
    <w:rsid w:val="00CB2158"/>
    <w:rsid w:val="00CB2327"/>
    <w:rsid w:val="00CB4474"/>
    <w:rsid w:val="00CB6C3C"/>
    <w:rsid w:val="00CB6D0F"/>
    <w:rsid w:val="00CC012D"/>
    <w:rsid w:val="00CC098E"/>
    <w:rsid w:val="00CC1275"/>
    <w:rsid w:val="00CC15C6"/>
    <w:rsid w:val="00CC1BB2"/>
    <w:rsid w:val="00CC1D22"/>
    <w:rsid w:val="00CC31C9"/>
    <w:rsid w:val="00CC3612"/>
    <w:rsid w:val="00CC43ED"/>
    <w:rsid w:val="00CC499F"/>
    <w:rsid w:val="00CC5C07"/>
    <w:rsid w:val="00CC6C96"/>
    <w:rsid w:val="00CC7E12"/>
    <w:rsid w:val="00CD723F"/>
    <w:rsid w:val="00CD7D93"/>
    <w:rsid w:val="00CE4C14"/>
    <w:rsid w:val="00CE5D36"/>
    <w:rsid w:val="00CE6650"/>
    <w:rsid w:val="00CF0C9B"/>
    <w:rsid w:val="00CF187F"/>
    <w:rsid w:val="00CF1932"/>
    <w:rsid w:val="00CF20DB"/>
    <w:rsid w:val="00CF3E99"/>
    <w:rsid w:val="00CF4814"/>
    <w:rsid w:val="00CF50B4"/>
    <w:rsid w:val="00CF5CA1"/>
    <w:rsid w:val="00D00C33"/>
    <w:rsid w:val="00D02F0B"/>
    <w:rsid w:val="00D03152"/>
    <w:rsid w:val="00D0339A"/>
    <w:rsid w:val="00D037BD"/>
    <w:rsid w:val="00D0520B"/>
    <w:rsid w:val="00D06B45"/>
    <w:rsid w:val="00D06F43"/>
    <w:rsid w:val="00D07B84"/>
    <w:rsid w:val="00D11BA4"/>
    <w:rsid w:val="00D155AF"/>
    <w:rsid w:val="00D15910"/>
    <w:rsid w:val="00D15D7B"/>
    <w:rsid w:val="00D15F20"/>
    <w:rsid w:val="00D1611E"/>
    <w:rsid w:val="00D16778"/>
    <w:rsid w:val="00D16ECF"/>
    <w:rsid w:val="00D2148B"/>
    <w:rsid w:val="00D222A5"/>
    <w:rsid w:val="00D239AD"/>
    <w:rsid w:val="00D261EF"/>
    <w:rsid w:val="00D26649"/>
    <w:rsid w:val="00D26DED"/>
    <w:rsid w:val="00D30391"/>
    <w:rsid w:val="00D312CD"/>
    <w:rsid w:val="00D314A2"/>
    <w:rsid w:val="00D348B0"/>
    <w:rsid w:val="00D36FB2"/>
    <w:rsid w:val="00D4008B"/>
    <w:rsid w:val="00D4016B"/>
    <w:rsid w:val="00D40F06"/>
    <w:rsid w:val="00D41E4B"/>
    <w:rsid w:val="00D420E0"/>
    <w:rsid w:val="00D43A33"/>
    <w:rsid w:val="00D45295"/>
    <w:rsid w:val="00D4606F"/>
    <w:rsid w:val="00D46B1F"/>
    <w:rsid w:val="00D4753F"/>
    <w:rsid w:val="00D50261"/>
    <w:rsid w:val="00D50A2F"/>
    <w:rsid w:val="00D50FCD"/>
    <w:rsid w:val="00D523E5"/>
    <w:rsid w:val="00D52E34"/>
    <w:rsid w:val="00D54EE1"/>
    <w:rsid w:val="00D576A2"/>
    <w:rsid w:val="00D57D47"/>
    <w:rsid w:val="00D6037F"/>
    <w:rsid w:val="00D62A0D"/>
    <w:rsid w:val="00D63463"/>
    <w:rsid w:val="00D64817"/>
    <w:rsid w:val="00D64EF1"/>
    <w:rsid w:val="00D65CE3"/>
    <w:rsid w:val="00D66737"/>
    <w:rsid w:val="00D67407"/>
    <w:rsid w:val="00D70FB1"/>
    <w:rsid w:val="00D72276"/>
    <w:rsid w:val="00D72979"/>
    <w:rsid w:val="00D755EB"/>
    <w:rsid w:val="00D768E3"/>
    <w:rsid w:val="00D819DA"/>
    <w:rsid w:val="00D827B9"/>
    <w:rsid w:val="00D82CD6"/>
    <w:rsid w:val="00D8512E"/>
    <w:rsid w:val="00D85CF7"/>
    <w:rsid w:val="00D86EFA"/>
    <w:rsid w:val="00D90978"/>
    <w:rsid w:val="00D91E1D"/>
    <w:rsid w:val="00D922AD"/>
    <w:rsid w:val="00D93975"/>
    <w:rsid w:val="00D93CF4"/>
    <w:rsid w:val="00D959D3"/>
    <w:rsid w:val="00D95C4B"/>
    <w:rsid w:val="00D9688C"/>
    <w:rsid w:val="00D974FC"/>
    <w:rsid w:val="00DA00E5"/>
    <w:rsid w:val="00DA1536"/>
    <w:rsid w:val="00DA2AAD"/>
    <w:rsid w:val="00DA323F"/>
    <w:rsid w:val="00DB0D6F"/>
    <w:rsid w:val="00DB2250"/>
    <w:rsid w:val="00DB3C24"/>
    <w:rsid w:val="00DB4D97"/>
    <w:rsid w:val="00DB60F2"/>
    <w:rsid w:val="00DC1499"/>
    <w:rsid w:val="00DC324C"/>
    <w:rsid w:val="00DC4A01"/>
    <w:rsid w:val="00DC567E"/>
    <w:rsid w:val="00DC57A6"/>
    <w:rsid w:val="00DC6F45"/>
    <w:rsid w:val="00DC73AF"/>
    <w:rsid w:val="00DD0C11"/>
    <w:rsid w:val="00DD3C1E"/>
    <w:rsid w:val="00DD5DBD"/>
    <w:rsid w:val="00DD5F69"/>
    <w:rsid w:val="00DE025C"/>
    <w:rsid w:val="00DE0DC7"/>
    <w:rsid w:val="00DE1DF4"/>
    <w:rsid w:val="00DE3032"/>
    <w:rsid w:val="00DE30CD"/>
    <w:rsid w:val="00DE340B"/>
    <w:rsid w:val="00DE628B"/>
    <w:rsid w:val="00DE6AA1"/>
    <w:rsid w:val="00DE74F5"/>
    <w:rsid w:val="00DE7B27"/>
    <w:rsid w:val="00DF0722"/>
    <w:rsid w:val="00DF197A"/>
    <w:rsid w:val="00DF1A0D"/>
    <w:rsid w:val="00DF2003"/>
    <w:rsid w:val="00DF465E"/>
    <w:rsid w:val="00DF4D8E"/>
    <w:rsid w:val="00DF60FF"/>
    <w:rsid w:val="00DF6FF6"/>
    <w:rsid w:val="00E02AAE"/>
    <w:rsid w:val="00E044CE"/>
    <w:rsid w:val="00E05784"/>
    <w:rsid w:val="00E102A9"/>
    <w:rsid w:val="00E10D2B"/>
    <w:rsid w:val="00E11ACD"/>
    <w:rsid w:val="00E13581"/>
    <w:rsid w:val="00E13E2A"/>
    <w:rsid w:val="00E145D1"/>
    <w:rsid w:val="00E15123"/>
    <w:rsid w:val="00E15E8A"/>
    <w:rsid w:val="00E166F5"/>
    <w:rsid w:val="00E17EBE"/>
    <w:rsid w:val="00E204A3"/>
    <w:rsid w:val="00E24767"/>
    <w:rsid w:val="00E2654E"/>
    <w:rsid w:val="00E2673D"/>
    <w:rsid w:val="00E31C99"/>
    <w:rsid w:val="00E3789C"/>
    <w:rsid w:val="00E40F14"/>
    <w:rsid w:val="00E4264C"/>
    <w:rsid w:val="00E43829"/>
    <w:rsid w:val="00E43E4F"/>
    <w:rsid w:val="00E448D9"/>
    <w:rsid w:val="00E44AD0"/>
    <w:rsid w:val="00E46E60"/>
    <w:rsid w:val="00E47515"/>
    <w:rsid w:val="00E4756F"/>
    <w:rsid w:val="00E4793E"/>
    <w:rsid w:val="00E51AA9"/>
    <w:rsid w:val="00E51BC3"/>
    <w:rsid w:val="00E53E92"/>
    <w:rsid w:val="00E57237"/>
    <w:rsid w:val="00E5733A"/>
    <w:rsid w:val="00E603E8"/>
    <w:rsid w:val="00E61B0E"/>
    <w:rsid w:val="00E62121"/>
    <w:rsid w:val="00E62DDE"/>
    <w:rsid w:val="00E63410"/>
    <w:rsid w:val="00E63AE2"/>
    <w:rsid w:val="00E64B6B"/>
    <w:rsid w:val="00E64CEF"/>
    <w:rsid w:val="00E665FC"/>
    <w:rsid w:val="00E67379"/>
    <w:rsid w:val="00E74419"/>
    <w:rsid w:val="00E74E31"/>
    <w:rsid w:val="00E758CD"/>
    <w:rsid w:val="00E75904"/>
    <w:rsid w:val="00E77B26"/>
    <w:rsid w:val="00E82D3D"/>
    <w:rsid w:val="00E843FC"/>
    <w:rsid w:val="00E844E4"/>
    <w:rsid w:val="00E84C00"/>
    <w:rsid w:val="00E855BE"/>
    <w:rsid w:val="00E90189"/>
    <w:rsid w:val="00E92A3B"/>
    <w:rsid w:val="00E92BB2"/>
    <w:rsid w:val="00E93C65"/>
    <w:rsid w:val="00E951D2"/>
    <w:rsid w:val="00E96C9C"/>
    <w:rsid w:val="00EA07EE"/>
    <w:rsid w:val="00EA32ED"/>
    <w:rsid w:val="00EA33E6"/>
    <w:rsid w:val="00EA344E"/>
    <w:rsid w:val="00EA40DF"/>
    <w:rsid w:val="00EA55AB"/>
    <w:rsid w:val="00EA5D28"/>
    <w:rsid w:val="00EB2292"/>
    <w:rsid w:val="00EB38E4"/>
    <w:rsid w:val="00EB4D56"/>
    <w:rsid w:val="00EB5293"/>
    <w:rsid w:val="00EB5335"/>
    <w:rsid w:val="00EB5ADC"/>
    <w:rsid w:val="00EB7692"/>
    <w:rsid w:val="00EB792A"/>
    <w:rsid w:val="00EC02ED"/>
    <w:rsid w:val="00EC7650"/>
    <w:rsid w:val="00EC7B0D"/>
    <w:rsid w:val="00ED1D21"/>
    <w:rsid w:val="00ED2892"/>
    <w:rsid w:val="00ED28A5"/>
    <w:rsid w:val="00ED77DF"/>
    <w:rsid w:val="00EE0488"/>
    <w:rsid w:val="00EE05D4"/>
    <w:rsid w:val="00EE1068"/>
    <w:rsid w:val="00EE19CD"/>
    <w:rsid w:val="00EE1A32"/>
    <w:rsid w:val="00EE3244"/>
    <w:rsid w:val="00EE35AC"/>
    <w:rsid w:val="00EE40A1"/>
    <w:rsid w:val="00EE6118"/>
    <w:rsid w:val="00EE7C64"/>
    <w:rsid w:val="00EF2260"/>
    <w:rsid w:val="00EF3873"/>
    <w:rsid w:val="00EF39FD"/>
    <w:rsid w:val="00EF47A4"/>
    <w:rsid w:val="00EF4C27"/>
    <w:rsid w:val="00EF652D"/>
    <w:rsid w:val="00F01389"/>
    <w:rsid w:val="00F028AB"/>
    <w:rsid w:val="00F02D99"/>
    <w:rsid w:val="00F03892"/>
    <w:rsid w:val="00F03CE7"/>
    <w:rsid w:val="00F05098"/>
    <w:rsid w:val="00F057B5"/>
    <w:rsid w:val="00F058A2"/>
    <w:rsid w:val="00F07C69"/>
    <w:rsid w:val="00F1097B"/>
    <w:rsid w:val="00F1767E"/>
    <w:rsid w:val="00F24198"/>
    <w:rsid w:val="00F2600A"/>
    <w:rsid w:val="00F26337"/>
    <w:rsid w:val="00F26571"/>
    <w:rsid w:val="00F31D76"/>
    <w:rsid w:val="00F32A5D"/>
    <w:rsid w:val="00F348AF"/>
    <w:rsid w:val="00F35AE6"/>
    <w:rsid w:val="00F35FF0"/>
    <w:rsid w:val="00F42853"/>
    <w:rsid w:val="00F4689C"/>
    <w:rsid w:val="00F4692B"/>
    <w:rsid w:val="00F46F29"/>
    <w:rsid w:val="00F473C6"/>
    <w:rsid w:val="00F47616"/>
    <w:rsid w:val="00F47AB7"/>
    <w:rsid w:val="00F47C55"/>
    <w:rsid w:val="00F50377"/>
    <w:rsid w:val="00F50FB0"/>
    <w:rsid w:val="00F521A1"/>
    <w:rsid w:val="00F569DA"/>
    <w:rsid w:val="00F56B35"/>
    <w:rsid w:val="00F61E96"/>
    <w:rsid w:val="00F633C2"/>
    <w:rsid w:val="00F64301"/>
    <w:rsid w:val="00F66D46"/>
    <w:rsid w:val="00F675B6"/>
    <w:rsid w:val="00F6784B"/>
    <w:rsid w:val="00F70F1D"/>
    <w:rsid w:val="00F7266D"/>
    <w:rsid w:val="00F72E8A"/>
    <w:rsid w:val="00F74059"/>
    <w:rsid w:val="00F76D71"/>
    <w:rsid w:val="00F770A4"/>
    <w:rsid w:val="00F77FE9"/>
    <w:rsid w:val="00F82E55"/>
    <w:rsid w:val="00F834FF"/>
    <w:rsid w:val="00F84CB3"/>
    <w:rsid w:val="00F862D0"/>
    <w:rsid w:val="00F873EC"/>
    <w:rsid w:val="00F877B0"/>
    <w:rsid w:val="00F910E1"/>
    <w:rsid w:val="00F930A4"/>
    <w:rsid w:val="00F93EFF"/>
    <w:rsid w:val="00F94130"/>
    <w:rsid w:val="00F941A0"/>
    <w:rsid w:val="00F96049"/>
    <w:rsid w:val="00FA0380"/>
    <w:rsid w:val="00FA0BF2"/>
    <w:rsid w:val="00FA1421"/>
    <w:rsid w:val="00FA43A5"/>
    <w:rsid w:val="00FA65E8"/>
    <w:rsid w:val="00FA6E51"/>
    <w:rsid w:val="00FB36AB"/>
    <w:rsid w:val="00FB4B15"/>
    <w:rsid w:val="00FB6183"/>
    <w:rsid w:val="00FB6C4A"/>
    <w:rsid w:val="00FB6EB2"/>
    <w:rsid w:val="00FB72ED"/>
    <w:rsid w:val="00FB748A"/>
    <w:rsid w:val="00FC3153"/>
    <w:rsid w:val="00FC3221"/>
    <w:rsid w:val="00FC3298"/>
    <w:rsid w:val="00FC58D4"/>
    <w:rsid w:val="00FC6504"/>
    <w:rsid w:val="00FC68F9"/>
    <w:rsid w:val="00FC6B7E"/>
    <w:rsid w:val="00FC70CA"/>
    <w:rsid w:val="00FD091C"/>
    <w:rsid w:val="00FD750B"/>
    <w:rsid w:val="00FE02CD"/>
    <w:rsid w:val="00FE0D20"/>
    <w:rsid w:val="00FE15DC"/>
    <w:rsid w:val="00FE374B"/>
    <w:rsid w:val="00FE3A2C"/>
    <w:rsid w:val="00FE483C"/>
    <w:rsid w:val="00FE7780"/>
    <w:rsid w:val="00FE7975"/>
    <w:rsid w:val="00FE7C06"/>
    <w:rsid w:val="00FF04C3"/>
    <w:rsid w:val="00FF0987"/>
    <w:rsid w:val="00FF123D"/>
    <w:rsid w:val="00FF22A3"/>
    <w:rsid w:val="00FF39AD"/>
    <w:rsid w:val="00FF4A4E"/>
    <w:rsid w:val="00FF5294"/>
    <w:rsid w:val="00FF59BB"/>
    <w:rsid w:val="00FF77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8A8E026"/>
  <w15:docId w15:val="{0B93E138-0918-420A-8CB2-D2E0808F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81B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81B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table" w:styleId="Tablaconcuadrcula">
    <w:name w:val="Table Grid"/>
    <w:basedOn w:val="Tablanormal"/>
    <w:uiPriority w:val="59"/>
    <w:rsid w:val="00A7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rsid w:val="004A3C53"/>
    <w:rPr>
      <w:rFonts w:ascii="Arial" w:eastAsia="Times New Roman" w:hAnsi="Arial"/>
      <w:sz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nhideWhenUsed/>
    <w:rsid w:val="00146F12"/>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rsid w:val="00146F12"/>
    <w:rPr>
      <w:lang w:eastAsia="en-US"/>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Itali"/>
    <w:basedOn w:val="Fuentedeprrafopredeter"/>
    <w:unhideWhenUsed/>
    <w:rsid w:val="00146F12"/>
    <w:rPr>
      <w:vertAlign w:val="superscript"/>
    </w:rPr>
  </w:style>
  <w:style w:type="character" w:styleId="Hipervnculo">
    <w:name w:val="Hyperlink"/>
    <w:basedOn w:val="Fuentedeprrafopredeter"/>
    <w:uiPriority w:val="99"/>
    <w:unhideWhenUsed/>
    <w:rsid w:val="00853AB3"/>
    <w:rPr>
      <w:color w:val="0000FF" w:themeColor="hyperlink"/>
      <w:u w:val="single"/>
    </w:rPr>
  </w:style>
  <w:style w:type="paragraph" w:styleId="Revisin">
    <w:name w:val="Revision"/>
    <w:hidden/>
    <w:uiPriority w:val="99"/>
    <w:semiHidden/>
    <w:rsid w:val="00375A58"/>
    <w:rPr>
      <w:sz w:val="22"/>
      <w:szCs w:val="22"/>
      <w:lang w:eastAsia="en-US"/>
    </w:rPr>
  </w:style>
  <w:style w:type="paragraph" w:styleId="TDC3">
    <w:name w:val="toc 3"/>
    <w:basedOn w:val="TDC2"/>
    <w:next w:val="Normal"/>
    <w:autoRedefine/>
    <w:uiPriority w:val="39"/>
    <w:semiHidden/>
    <w:unhideWhenUsed/>
    <w:rsid w:val="008B56CB"/>
    <w:pPr>
      <w:tabs>
        <w:tab w:val="left" w:pos="635"/>
        <w:tab w:val="right" w:pos="8789"/>
      </w:tabs>
      <w:spacing w:after="0" w:line="320" w:lineRule="atLeast"/>
      <w:ind w:left="0"/>
      <w:jc w:val="both"/>
    </w:pPr>
    <w:rPr>
      <w:rFonts w:ascii="Times New Roman" w:hAnsi="Times New Roman"/>
      <w:noProof/>
      <w:sz w:val="20"/>
      <w:lang w:val="es-ES"/>
    </w:rPr>
  </w:style>
  <w:style w:type="paragraph" w:styleId="TDC2">
    <w:name w:val="toc 2"/>
    <w:basedOn w:val="Normal"/>
    <w:next w:val="Normal"/>
    <w:autoRedefine/>
    <w:uiPriority w:val="39"/>
    <w:semiHidden/>
    <w:unhideWhenUsed/>
    <w:rsid w:val="008B56CB"/>
    <w:pPr>
      <w:spacing w:after="100"/>
      <w:ind w:left="220"/>
    </w:pPr>
  </w:style>
  <w:style w:type="character" w:customStyle="1" w:styleId="Ttulo1Car">
    <w:name w:val="Título 1 Car"/>
    <w:basedOn w:val="Fuentedeprrafopredeter"/>
    <w:link w:val="Ttulo1"/>
    <w:uiPriority w:val="9"/>
    <w:rsid w:val="00381B7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81B7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5600">
      <w:bodyDiv w:val="1"/>
      <w:marLeft w:val="0"/>
      <w:marRight w:val="0"/>
      <w:marTop w:val="0"/>
      <w:marBottom w:val="0"/>
      <w:divBdr>
        <w:top w:val="none" w:sz="0" w:space="0" w:color="auto"/>
        <w:left w:val="none" w:sz="0" w:space="0" w:color="auto"/>
        <w:bottom w:val="none" w:sz="0" w:space="0" w:color="auto"/>
        <w:right w:val="none" w:sz="0" w:space="0" w:color="auto"/>
      </w:divBdr>
    </w:div>
    <w:div w:id="49693803">
      <w:bodyDiv w:val="1"/>
      <w:marLeft w:val="0"/>
      <w:marRight w:val="0"/>
      <w:marTop w:val="0"/>
      <w:marBottom w:val="0"/>
      <w:divBdr>
        <w:top w:val="none" w:sz="0" w:space="0" w:color="auto"/>
        <w:left w:val="none" w:sz="0" w:space="0" w:color="auto"/>
        <w:bottom w:val="none" w:sz="0" w:space="0" w:color="auto"/>
        <w:right w:val="none" w:sz="0" w:space="0" w:color="auto"/>
      </w:divBdr>
    </w:div>
    <w:div w:id="87623314">
      <w:bodyDiv w:val="1"/>
      <w:marLeft w:val="0"/>
      <w:marRight w:val="0"/>
      <w:marTop w:val="0"/>
      <w:marBottom w:val="0"/>
      <w:divBdr>
        <w:top w:val="none" w:sz="0" w:space="0" w:color="auto"/>
        <w:left w:val="none" w:sz="0" w:space="0" w:color="auto"/>
        <w:bottom w:val="none" w:sz="0" w:space="0" w:color="auto"/>
        <w:right w:val="none" w:sz="0" w:space="0" w:color="auto"/>
      </w:divBdr>
    </w:div>
    <w:div w:id="168182852">
      <w:bodyDiv w:val="1"/>
      <w:marLeft w:val="0"/>
      <w:marRight w:val="0"/>
      <w:marTop w:val="0"/>
      <w:marBottom w:val="0"/>
      <w:divBdr>
        <w:top w:val="none" w:sz="0" w:space="0" w:color="auto"/>
        <w:left w:val="none" w:sz="0" w:space="0" w:color="auto"/>
        <w:bottom w:val="none" w:sz="0" w:space="0" w:color="auto"/>
        <w:right w:val="none" w:sz="0" w:space="0" w:color="auto"/>
      </w:divBdr>
    </w:div>
    <w:div w:id="308049740">
      <w:bodyDiv w:val="1"/>
      <w:marLeft w:val="0"/>
      <w:marRight w:val="0"/>
      <w:marTop w:val="0"/>
      <w:marBottom w:val="0"/>
      <w:divBdr>
        <w:top w:val="none" w:sz="0" w:space="0" w:color="auto"/>
        <w:left w:val="none" w:sz="0" w:space="0" w:color="auto"/>
        <w:bottom w:val="none" w:sz="0" w:space="0" w:color="auto"/>
        <w:right w:val="none" w:sz="0" w:space="0" w:color="auto"/>
      </w:divBdr>
    </w:div>
    <w:div w:id="355693355">
      <w:bodyDiv w:val="1"/>
      <w:marLeft w:val="0"/>
      <w:marRight w:val="0"/>
      <w:marTop w:val="0"/>
      <w:marBottom w:val="0"/>
      <w:divBdr>
        <w:top w:val="none" w:sz="0" w:space="0" w:color="auto"/>
        <w:left w:val="none" w:sz="0" w:space="0" w:color="auto"/>
        <w:bottom w:val="none" w:sz="0" w:space="0" w:color="auto"/>
        <w:right w:val="none" w:sz="0" w:space="0" w:color="auto"/>
      </w:divBdr>
    </w:div>
    <w:div w:id="449860844">
      <w:bodyDiv w:val="1"/>
      <w:marLeft w:val="0"/>
      <w:marRight w:val="0"/>
      <w:marTop w:val="0"/>
      <w:marBottom w:val="0"/>
      <w:divBdr>
        <w:top w:val="none" w:sz="0" w:space="0" w:color="auto"/>
        <w:left w:val="none" w:sz="0" w:space="0" w:color="auto"/>
        <w:bottom w:val="none" w:sz="0" w:space="0" w:color="auto"/>
        <w:right w:val="none" w:sz="0" w:space="0" w:color="auto"/>
      </w:divBdr>
    </w:div>
    <w:div w:id="461270212">
      <w:bodyDiv w:val="1"/>
      <w:marLeft w:val="0"/>
      <w:marRight w:val="0"/>
      <w:marTop w:val="0"/>
      <w:marBottom w:val="0"/>
      <w:divBdr>
        <w:top w:val="none" w:sz="0" w:space="0" w:color="auto"/>
        <w:left w:val="none" w:sz="0" w:space="0" w:color="auto"/>
        <w:bottom w:val="none" w:sz="0" w:space="0" w:color="auto"/>
        <w:right w:val="none" w:sz="0" w:space="0" w:color="auto"/>
      </w:divBdr>
    </w:div>
    <w:div w:id="820269246">
      <w:bodyDiv w:val="1"/>
      <w:marLeft w:val="0"/>
      <w:marRight w:val="0"/>
      <w:marTop w:val="0"/>
      <w:marBottom w:val="0"/>
      <w:divBdr>
        <w:top w:val="none" w:sz="0" w:space="0" w:color="auto"/>
        <w:left w:val="none" w:sz="0" w:space="0" w:color="auto"/>
        <w:bottom w:val="none" w:sz="0" w:space="0" w:color="auto"/>
        <w:right w:val="none" w:sz="0" w:space="0" w:color="auto"/>
      </w:divBdr>
      <w:divsChild>
        <w:div w:id="1172405446">
          <w:marLeft w:val="720"/>
          <w:marRight w:val="0"/>
          <w:marTop w:val="0"/>
          <w:marBottom w:val="100"/>
          <w:divBdr>
            <w:top w:val="none" w:sz="0" w:space="0" w:color="auto"/>
            <w:left w:val="none" w:sz="0" w:space="0" w:color="auto"/>
            <w:bottom w:val="none" w:sz="0" w:space="0" w:color="auto"/>
            <w:right w:val="none" w:sz="0" w:space="0" w:color="auto"/>
          </w:divBdr>
        </w:div>
        <w:div w:id="1717970877">
          <w:marLeft w:val="720"/>
          <w:marRight w:val="0"/>
          <w:marTop w:val="0"/>
          <w:marBottom w:val="100"/>
          <w:divBdr>
            <w:top w:val="none" w:sz="0" w:space="0" w:color="auto"/>
            <w:left w:val="none" w:sz="0" w:space="0" w:color="auto"/>
            <w:bottom w:val="none" w:sz="0" w:space="0" w:color="auto"/>
            <w:right w:val="none" w:sz="0" w:space="0" w:color="auto"/>
          </w:divBdr>
        </w:div>
        <w:div w:id="110513566">
          <w:marLeft w:val="720"/>
          <w:marRight w:val="0"/>
          <w:marTop w:val="0"/>
          <w:marBottom w:val="100"/>
          <w:divBdr>
            <w:top w:val="none" w:sz="0" w:space="0" w:color="auto"/>
            <w:left w:val="none" w:sz="0" w:space="0" w:color="auto"/>
            <w:bottom w:val="none" w:sz="0" w:space="0" w:color="auto"/>
            <w:right w:val="none" w:sz="0" w:space="0" w:color="auto"/>
          </w:divBdr>
        </w:div>
        <w:div w:id="1196390033">
          <w:marLeft w:val="720"/>
          <w:marRight w:val="0"/>
          <w:marTop w:val="0"/>
          <w:marBottom w:val="100"/>
          <w:divBdr>
            <w:top w:val="none" w:sz="0" w:space="0" w:color="auto"/>
            <w:left w:val="none" w:sz="0" w:space="0" w:color="auto"/>
            <w:bottom w:val="none" w:sz="0" w:space="0" w:color="auto"/>
            <w:right w:val="none" w:sz="0" w:space="0" w:color="auto"/>
          </w:divBdr>
        </w:div>
        <w:div w:id="960264775">
          <w:marLeft w:val="720"/>
          <w:marRight w:val="0"/>
          <w:marTop w:val="0"/>
          <w:marBottom w:val="100"/>
          <w:divBdr>
            <w:top w:val="none" w:sz="0" w:space="0" w:color="auto"/>
            <w:left w:val="none" w:sz="0" w:space="0" w:color="auto"/>
            <w:bottom w:val="none" w:sz="0" w:space="0" w:color="auto"/>
            <w:right w:val="none" w:sz="0" w:space="0" w:color="auto"/>
          </w:divBdr>
        </w:div>
      </w:divsChild>
    </w:div>
    <w:div w:id="823744888">
      <w:bodyDiv w:val="1"/>
      <w:marLeft w:val="0"/>
      <w:marRight w:val="0"/>
      <w:marTop w:val="0"/>
      <w:marBottom w:val="0"/>
      <w:divBdr>
        <w:top w:val="none" w:sz="0" w:space="0" w:color="auto"/>
        <w:left w:val="none" w:sz="0" w:space="0" w:color="auto"/>
        <w:bottom w:val="none" w:sz="0" w:space="0" w:color="auto"/>
        <w:right w:val="none" w:sz="0" w:space="0" w:color="auto"/>
      </w:divBdr>
    </w:div>
    <w:div w:id="976374036">
      <w:bodyDiv w:val="1"/>
      <w:marLeft w:val="0"/>
      <w:marRight w:val="0"/>
      <w:marTop w:val="0"/>
      <w:marBottom w:val="0"/>
      <w:divBdr>
        <w:top w:val="none" w:sz="0" w:space="0" w:color="auto"/>
        <w:left w:val="none" w:sz="0" w:space="0" w:color="auto"/>
        <w:bottom w:val="none" w:sz="0" w:space="0" w:color="auto"/>
        <w:right w:val="none" w:sz="0" w:space="0" w:color="auto"/>
      </w:divBdr>
    </w:div>
    <w:div w:id="1332490667">
      <w:bodyDiv w:val="1"/>
      <w:marLeft w:val="0"/>
      <w:marRight w:val="0"/>
      <w:marTop w:val="0"/>
      <w:marBottom w:val="0"/>
      <w:divBdr>
        <w:top w:val="none" w:sz="0" w:space="0" w:color="auto"/>
        <w:left w:val="none" w:sz="0" w:space="0" w:color="auto"/>
        <w:bottom w:val="none" w:sz="0" w:space="0" w:color="auto"/>
        <w:right w:val="none" w:sz="0" w:space="0" w:color="auto"/>
      </w:divBdr>
    </w:div>
    <w:div w:id="1355229534">
      <w:bodyDiv w:val="1"/>
      <w:marLeft w:val="0"/>
      <w:marRight w:val="0"/>
      <w:marTop w:val="0"/>
      <w:marBottom w:val="0"/>
      <w:divBdr>
        <w:top w:val="none" w:sz="0" w:space="0" w:color="auto"/>
        <w:left w:val="none" w:sz="0" w:space="0" w:color="auto"/>
        <w:bottom w:val="none" w:sz="0" w:space="0" w:color="auto"/>
        <w:right w:val="none" w:sz="0" w:space="0" w:color="auto"/>
      </w:divBdr>
      <w:divsChild>
        <w:div w:id="94520871">
          <w:marLeft w:val="0"/>
          <w:marRight w:val="0"/>
          <w:marTop w:val="0"/>
          <w:marBottom w:val="0"/>
          <w:divBdr>
            <w:top w:val="none" w:sz="0" w:space="0" w:color="auto"/>
            <w:left w:val="none" w:sz="0" w:space="0" w:color="auto"/>
            <w:bottom w:val="none" w:sz="0" w:space="0" w:color="auto"/>
            <w:right w:val="none" w:sz="0" w:space="0" w:color="auto"/>
          </w:divBdr>
          <w:divsChild>
            <w:div w:id="167453392">
              <w:marLeft w:val="0"/>
              <w:marRight w:val="0"/>
              <w:marTop w:val="0"/>
              <w:marBottom w:val="0"/>
              <w:divBdr>
                <w:top w:val="none" w:sz="0" w:space="0" w:color="auto"/>
                <w:left w:val="none" w:sz="0" w:space="0" w:color="auto"/>
                <w:bottom w:val="none" w:sz="0" w:space="0" w:color="auto"/>
                <w:right w:val="none" w:sz="0" w:space="0" w:color="auto"/>
              </w:divBdr>
              <w:divsChild>
                <w:div w:id="5594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3544">
      <w:bodyDiv w:val="1"/>
      <w:marLeft w:val="0"/>
      <w:marRight w:val="0"/>
      <w:marTop w:val="0"/>
      <w:marBottom w:val="0"/>
      <w:divBdr>
        <w:top w:val="none" w:sz="0" w:space="0" w:color="auto"/>
        <w:left w:val="none" w:sz="0" w:space="0" w:color="auto"/>
        <w:bottom w:val="none" w:sz="0" w:space="0" w:color="auto"/>
        <w:right w:val="none" w:sz="0" w:space="0" w:color="auto"/>
      </w:divBdr>
    </w:div>
    <w:div w:id="1522471365">
      <w:bodyDiv w:val="1"/>
      <w:marLeft w:val="0"/>
      <w:marRight w:val="0"/>
      <w:marTop w:val="0"/>
      <w:marBottom w:val="0"/>
      <w:divBdr>
        <w:top w:val="none" w:sz="0" w:space="0" w:color="auto"/>
        <w:left w:val="none" w:sz="0" w:space="0" w:color="auto"/>
        <w:bottom w:val="none" w:sz="0" w:space="0" w:color="auto"/>
        <w:right w:val="none" w:sz="0" w:space="0" w:color="auto"/>
      </w:divBdr>
    </w:div>
    <w:div w:id="1608851097">
      <w:bodyDiv w:val="1"/>
      <w:marLeft w:val="0"/>
      <w:marRight w:val="0"/>
      <w:marTop w:val="0"/>
      <w:marBottom w:val="0"/>
      <w:divBdr>
        <w:top w:val="none" w:sz="0" w:space="0" w:color="auto"/>
        <w:left w:val="none" w:sz="0" w:space="0" w:color="auto"/>
        <w:bottom w:val="none" w:sz="0" w:space="0" w:color="auto"/>
        <w:right w:val="none" w:sz="0" w:space="0" w:color="auto"/>
      </w:divBdr>
    </w:div>
    <w:div w:id="1629630862">
      <w:bodyDiv w:val="1"/>
      <w:marLeft w:val="0"/>
      <w:marRight w:val="0"/>
      <w:marTop w:val="0"/>
      <w:marBottom w:val="0"/>
      <w:divBdr>
        <w:top w:val="none" w:sz="0" w:space="0" w:color="auto"/>
        <w:left w:val="none" w:sz="0" w:space="0" w:color="auto"/>
        <w:bottom w:val="none" w:sz="0" w:space="0" w:color="auto"/>
        <w:right w:val="none" w:sz="0" w:space="0" w:color="auto"/>
      </w:divBdr>
    </w:div>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 w:id="1730304229">
      <w:bodyDiv w:val="1"/>
      <w:marLeft w:val="0"/>
      <w:marRight w:val="0"/>
      <w:marTop w:val="0"/>
      <w:marBottom w:val="0"/>
      <w:divBdr>
        <w:top w:val="none" w:sz="0" w:space="0" w:color="auto"/>
        <w:left w:val="none" w:sz="0" w:space="0" w:color="auto"/>
        <w:bottom w:val="none" w:sz="0" w:space="0" w:color="auto"/>
        <w:right w:val="none" w:sz="0" w:space="0" w:color="auto"/>
      </w:divBdr>
    </w:div>
    <w:div w:id="1784762015">
      <w:bodyDiv w:val="1"/>
      <w:marLeft w:val="0"/>
      <w:marRight w:val="0"/>
      <w:marTop w:val="0"/>
      <w:marBottom w:val="0"/>
      <w:divBdr>
        <w:top w:val="none" w:sz="0" w:space="0" w:color="auto"/>
        <w:left w:val="none" w:sz="0" w:space="0" w:color="auto"/>
        <w:bottom w:val="none" w:sz="0" w:space="0" w:color="auto"/>
        <w:right w:val="none" w:sz="0" w:space="0" w:color="auto"/>
      </w:divBdr>
    </w:div>
    <w:div w:id="2085952725">
      <w:bodyDiv w:val="1"/>
      <w:marLeft w:val="0"/>
      <w:marRight w:val="0"/>
      <w:marTop w:val="0"/>
      <w:marBottom w:val="0"/>
      <w:divBdr>
        <w:top w:val="none" w:sz="0" w:space="0" w:color="auto"/>
        <w:left w:val="none" w:sz="0" w:space="0" w:color="auto"/>
        <w:bottom w:val="none" w:sz="0" w:space="0" w:color="auto"/>
        <w:right w:val="none" w:sz="0" w:space="0" w:color="auto"/>
      </w:divBdr>
      <w:divsChild>
        <w:div w:id="1904100767">
          <w:marLeft w:val="0"/>
          <w:marRight w:val="0"/>
          <w:marTop w:val="0"/>
          <w:marBottom w:val="0"/>
          <w:divBdr>
            <w:top w:val="none" w:sz="0" w:space="0" w:color="auto"/>
            <w:left w:val="none" w:sz="0" w:space="0" w:color="auto"/>
            <w:bottom w:val="none" w:sz="0" w:space="0" w:color="auto"/>
            <w:right w:val="none" w:sz="0" w:space="0" w:color="auto"/>
          </w:divBdr>
          <w:divsChild>
            <w:div w:id="656954877">
              <w:marLeft w:val="0"/>
              <w:marRight w:val="0"/>
              <w:marTop w:val="0"/>
              <w:marBottom w:val="0"/>
              <w:divBdr>
                <w:top w:val="none" w:sz="0" w:space="0" w:color="auto"/>
                <w:left w:val="none" w:sz="0" w:space="0" w:color="auto"/>
                <w:bottom w:val="none" w:sz="0" w:space="0" w:color="auto"/>
                <w:right w:val="none" w:sz="0" w:space="0" w:color="auto"/>
              </w:divBdr>
              <w:divsChild>
                <w:div w:id="18370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5312-9441-4384-805F-7284F428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8740</Words>
  <Characters>48076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2015-07-06T22:08:00Z</cp:lastPrinted>
  <dcterms:created xsi:type="dcterms:W3CDTF">2018-04-02T15:22:00Z</dcterms:created>
  <dcterms:modified xsi:type="dcterms:W3CDTF">2018-04-02T22:07:00Z</dcterms:modified>
</cp:coreProperties>
</file>