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9DFD9" w14:textId="77777777" w:rsidR="00760EBF" w:rsidRPr="00760EBF" w:rsidRDefault="00DE2303" w:rsidP="00760EBF">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760EBF">
        <w:rPr>
          <w:rFonts w:ascii="ITC Avant Garde" w:eastAsiaTheme="majorEastAsia" w:hAnsi="ITC Avant Garde" w:cstheme="majorBidi"/>
          <w:color w:val="000000" w:themeColor="text1"/>
          <w:sz w:val="24"/>
          <w:szCs w:val="24"/>
          <w:lang w:eastAsia="es-MX"/>
        </w:rPr>
        <w:t xml:space="preserve">RESOLUCIÓN MEDIANTE LA CUAL EL PLENO DEL INSTITUTO FEDERAL DE TELECOMUNICACIONES DETERMINA LAS CONDICIONES DE INTERCONEXIÓN NO CONVENIDAS ENTRE </w:t>
      </w:r>
      <w:r w:rsidR="005E309F" w:rsidRPr="00760EBF">
        <w:rPr>
          <w:rFonts w:ascii="ITC Avant Garde" w:eastAsiaTheme="majorEastAsia" w:hAnsi="ITC Avant Garde" w:cstheme="majorBidi"/>
          <w:color w:val="000000" w:themeColor="text1"/>
          <w:sz w:val="24"/>
          <w:szCs w:val="24"/>
          <w:lang w:eastAsia="es-MX"/>
        </w:rPr>
        <w:t xml:space="preserve">MEGACABLE COMUNICACIONES DE MÉXICO, S.A. DE C.V., </w:t>
      </w:r>
      <w:r w:rsidR="00DF5753" w:rsidRPr="00760EBF">
        <w:rPr>
          <w:rFonts w:ascii="ITC Avant Garde" w:eastAsiaTheme="majorEastAsia" w:hAnsi="ITC Avant Garde" w:cstheme="majorBidi"/>
          <w:color w:val="000000" w:themeColor="text1"/>
          <w:sz w:val="24"/>
          <w:szCs w:val="24"/>
          <w:lang w:eastAsia="es-MX"/>
        </w:rPr>
        <w:t xml:space="preserve">y PEGASO PCS, S.A. DE C.V., </w:t>
      </w:r>
      <w:r w:rsidRPr="00760EBF">
        <w:rPr>
          <w:rFonts w:ascii="ITC Avant Garde" w:eastAsiaTheme="majorEastAsia" w:hAnsi="ITC Avant Garde" w:cstheme="majorBidi"/>
          <w:color w:val="000000" w:themeColor="text1"/>
          <w:sz w:val="24"/>
          <w:szCs w:val="24"/>
          <w:lang w:eastAsia="es-MX"/>
        </w:rPr>
        <w:t>APLICABLES DEL 1 DE ENERO AL 31 DE DICIEMBRE DE 2017</w:t>
      </w:r>
      <w:r w:rsidR="00C9549E" w:rsidRPr="00760EBF">
        <w:rPr>
          <w:rFonts w:ascii="ITC Avant Garde" w:eastAsiaTheme="majorEastAsia" w:hAnsi="ITC Avant Garde" w:cstheme="majorBidi"/>
          <w:color w:val="000000" w:themeColor="text1"/>
          <w:sz w:val="24"/>
          <w:szCs w:val="24"/>
          <w:lang w:eastAsia="es-MX"/>
        </w:rPr>
        <w:t>.</w:t>
      </w:r>
    </w:p>
    <w:p w14:paraId="3AD7A9A5" w14:textId="77777777" w:rsidR="00760EBF" w:rsidRPr="00760EBF" w:rsidRDefault="00C25F00" w:rsidP="00760EBF">
      <w:pPr>
        <w:pStyle w:val="Ttulo2"/>
        <w:keepLines/>
        <w:spacing w:before="40" w:after="240" w:line="276" w:lineRule="auto"/>
        <w:jc w:val="center"/>
        <w:rPr>
          <w:rFonts w:ascii="ITC Avant Garde" w:eastAsiaTheme="majorEastAsia" w:hAnsi="ITC Avant Garde" w:cstheme="majorBidi"/>
          <w:color w:val="000000" w:themeColor="text1"/>
          <w:szCs w:val="22"/>
        </w:rPr>
      </w:pPr>
      <w:r w:rsidRPr="00760EBF">
        <w:rPr>
          <w:rFonts w:ascii="ITC Avant Garde" w:eastAsiaTheme="majorEastAsia" w:hAnsi="ITC Avant Garde" w:cstheme="majorBidi"/>
          <w:color w:val="000000" w:themeColor="text1"/>
          <w:szCs w:val="22"/>
        </w:rPr>
        <w:t>ANTECEDENTES</w:t>
      </w:r>
    </w:p>
    <w:p w14:paraId="76039B7F" w14:textId="1A94002E" w:rsidR="00760EBF" w:rsidRDefault="00430AA3" w:rsidP="00760EBF">
      <w:pPr>
        <w:numPr>
          <w:ilvl w:val="0"/>
          <w:numId w:val="1"/>
        </w:numPr>
        <w:tabs>
          <w:tab w:val="clear" w:pos="1106"/>
          <w:tab w:val="left" w:pos="142"/>
        </w:tabs>
        <w:spacing w:before="240"/>
        <w:ind w:left="426" w:right="23" w:hanging="426"/>
        <w:jc w:val="both"/>
        <w:rPr>
          <w:rFonts w:ascii="ITC Avant Garde" w:hAnsi="ITC Avant Garde" w:cs="Arial"/>
          <w:b/>
          <w:bCs/>
        </w:rPr>
      </w:pPr>
      <w:r w:rsidRPr="00B7644C">
        <w:rPr>
          <w:rFonts w:ascii="ITC Avant Garde" w:hAnsi="ITC Avant Garde" w:cs="Arial"/>
          <w:b/>
          <w:bCs/>
        </w:rPr>
        <w:t>Megacable Comunicaciones de México, S.A. de C.V.,</w:t>
      </w:r>
      <w:r w:rsidRPr="00B7644C">
        <w:rPr>
          <w:rFonts w:ascii="ITC Avant Garde" w:hAnsi="ITC Avant Garde"/>
          <w:b/>
          <w:bCs/>
        </w:rPr>
        <w:t xml:space="preserve"> </w:t>
      </w:r>
      <w:r w:rsidR="00204BE7" w:rsidRPr="00B7644C">
        <w:rPr>
          <w:rFonts w:ascii="ITC Avant Garde" w:hAnsi="ITC Avant Garde" w:cs="Arial"/>
          <w:b/>
          <w:bCs/>
        </w:rPr>
        <w:t>(en lo sucesivo, "</w:t>
      </w:r>
      <w:r w:rsidR="00A944F1" w:rsidRPr="00B7644C">
        <w:rPr>
          <w:rFonts w:ascii="ITC Avant Garde" w:hAnsi="ITC Avant Garde" w:cs="Arial"/>
          <w:b/>
          <w:bCs/>
        </w:rPr>
        <w:t>MCM</w:t>
      </w:r>
      <w:r w:rsidR="00204BE7" w:rsidRPr="00B7644C">
        <w:rPr>
          <w:rFonts w:ascii="ITC Avant Garde" w:hAnsi="ITC Avant Garde" w:cs="Arial"/>
          <w:b/>
          <w:bCs/>
        </w:rPr>
        <w:t xml:space="preserve">"), </w:t>
      </w:r>
      <w:r w:rsidR="00204BE7" w:rsidRPr="00B7644C">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2CA6A825" w14:textId="77777777" w:rsidR="00760EBF" w:rsidRDefault="00594337" w:rsidP="00760EBF">
      <w:pPr>
        <w:numPr>
          <w:ilvl w:val="0"/>
          <w:numId w:val="1"/>
        </w:numPr>
        <w:tabs>
          <w:tab w:val="clear" w:pos="1106"/>
          <w:tab w:val="left" w:pos="142"/>
        </w:tabs>
        <w:spacing w:before="240"/>
        <w:ind w:left="426" w:right="23" w:hanging="426"/>
        <w:jc w:val="both"/>
        <w:rPr>
          <w:rFonts w:ascii="ITC Avant Garde" w:hAnsi="ITC Avant Garde" w:cs="Arial"/>
          <w:b/>
          <w:bCs/>
        </w:rPr>
      </w:pPr>
      <w:r w:rsidRPr="00B7644C">
        <w:rPr>
          <w:rFonts w:ascii="ITC Avant Garde" w:hAnsi="ITC Avant Garde" w:cs="Arial"/>
          <w:b/>
          <w:bCs/>
        </w:rPr>
        <w:t>Pegaso PCS, S.A. de C.V., (en lo sucesivo, “Pegaso PCS”),</w:t>
      </w:r>
      <w:r w:rsidRPr="00B7644C">
        <w:rPr>
          <w:rFonts w:ascii="ITC Avant Garde" w:hAnsi="ITC Avant Garde"/>
          <w:bCs/>
        </w:rPr>
        <w:t xml:space="preserve"> </w:t>
      </w:r>
      <w:r w:rsidRPr="00B7644C">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1D0AD04E" w14:textId="77777777" w:rsidR="00760EBF" w:rsidRDefault="007A2313" w:rsidP="00760EBF">
      <w:pPr>
        <w:numPr>
          <w:ilvl w:val="0"/>
          <w:numId w:val="1"/>
        </w:numPr>
        <w:tabs>
          <w:tab w:val="clear" w:pos="1106"/>
          <w:tab w:val="left" w:pos="142"/>
        </w:tabs>
        <w:spacing w:before="240"/>
        <w:ind w:left="426" w:right="23" w:hanging="426"/>
        <w:jc w:val="both"/>
        <w:rPr>
          <w:rFonts w:ascii="ITC Avant Garde" w:hAnsi="ITC Avant Garde" w:cs="Arial"/>
          <w:b/>
          <w:bCs/>
        </w:rPr>
      </w:pPr>
      <w:r w:rsidRPr="00B7644C">
        <w:rPr>
          <w:rFonts w:ascii="ITC Avant Garde" w:hAnsi="ITC Avant Garde" w:cs="Arial"/>
          <w:b/>
          <w:bCs/>
        </w:rPr>
        <w:t xml:space="preserve">Metodología para el cálculo de costos de interconexión. </w:t>
      </w:r>
      <w:r w:rsidRPr="00B7644C">
        <w:rPr>
          <w:rFonts w:ascii="ITC Avant Garde" w:hAnsi="ITC Avant Garde" w:cs="Arial"/>
          <w:bCs/>
        </w:rPr>
        <w:t>El 18 de diciembre de 2014, se  publicó en el Diario Oficial de la Federación (en lo sucesivo, el “DOF”), el “</w:t>
      </w:r>
      <w:r w:rsidRPr="00B7644C">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B7644C">
        <w:rPr>
          <w:rFonts w:ascii="ITC Avant Garde" w:hAnsi="ITC Avant Garde" w:cs="Arial"/>
          <w:bCs/>
        </w:rPr>
        <w:t>aprobado mediante Acuerdo P/IFT/EXT/161214/277 (en lo</w:t>
      </w:r>
      <w:r w:rsidRPr="00B7644C">
        <w:rPr>
          <w:rFonts w:ascii="ITC Avant Garde" w:hAnsi="ITC Avant Garde" w:cs="Arial"/>
          <w:bCs/>
          <w:i/>
        </w:rPr>
        <w:t xml:space="preserve"> </w:t>
      </w:r>
      <w:r w:rsidRPr="00B7644C">
        <w:rPr>
          <w:rFonts w:ascii="ITC Avant Garde" w:hAnsi="ITC Avant Garde" w:cs="Arial"/>
          <w:bCs/>
        </w:rPr>
        <w:t>sucesivo la “Metodología de Costos”).</w:t>
      </w:r>
    </w:p>
    <w:p w14:paraId="0C17951B" w14:textId="77777777" w:rsidR="00760EBF" w:rsidRDefault="007A2313" w:rsidP="00760EBF">
      <w:pPr>
        <w:numPr>
          <w:ilvl w:val="0"/>
          <w:numId w:val="1"/>
        </w:numPr>
        <w:tabs>
          <w:tab w:val="clear" w:pos="1106"/>
          <w:tab w:val="left" w:pos="142"/>
        </w:tabs>
        <w:spacing w:before="240"/>
        <w:ind w:left="426" w:right="23" w:hanging="426"/>
        <w:jc w:val="both"/>
        <w:rPr>
          <w:rFonts w:ascii="ITC Avant Garde" w:hAnsi="ITC Avant Garde" w:cs="Arial"/>
          <w:b/>
          <w:bCs/>
        </w:rPr>
      </w:pPr>
      <w:r w:rsidRPr="00B7644C">
        <w:rPr>
          <w:rFonts w:ascii="ITC Avant Garde" w:hAnsi="ITC Avant Garde"/>
          <w:b/>
          <w:bCs/>
          <w:lang w:val="es-ES" w:eastAsia="es-ES"/>
        </w:rPr>
        <w:t>Sistema Electrónico de Solicitudes de Interconexión.</w:t>
      </w:r>
      <w:r w:rsidRPr="00B7644C">
        <w:rPr>
          <w:rFonts w:ascii="ITC Avant Garde" w:hAnsi="ITC Avant Garde"/>
          <w:bCs/>
          <w:lang w:val="es-ES" w:eastAsia="es-ES"/>
        </w:rPr>
        <w:t xml:space="preserve"> El 29 de diciembre de 2014 se publicó en el DOF el </w:t>
      </w:r>
      <w:r w:rsidRPr="00B7644C">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B7644C">
        <w:rPr>
          <w:rFonts w:ascii="ITC Avant Garde" w:hAnsi="ITC Avant Garde"/>
          <w:bCs/>
          <w:lang w:val="es-ES" w:eastAsia="es-ES"/>
        </w:rPr>
        <w:t>(en lo sucesivo, el “Acuerdo del Sistema”),</w:t>
      </w:r>
      <w:r w:rsidRPr="00B7644C">
        <w:rPr>
          <w:rFonts w:ascii="ITC Avant Garde" w:hAnsi="ITC Avant Garde"/>
          <w:bCs/>
          <w:i/>
          <w:lang w:val="es-ES" w:eastAsia="es-ES"/>
        </w:rPr>
        <w:t xml:space="preserve"> </w:t>
      </w:r>
      <w:r w:rsidRPr="00B7644C">
        <w:rPr>
          <w:rFonts w:ascii="ITC Avant Garde" w:hAnsi="ITC Avant Garde"/>
          <w:bCs/>
          <w:lang w:val="es-ES" w:eastAsia="es-ES"/>
        </w:rPr>
        <w:t>mediante el cual se estableció el Sistema Electrónico de Solicitudes de Interconexión, (en lo sucesivo, el “SESI”).</w:t>
      </w:r>
    </w:p>
    <w:p w14:paraId="738D51C5" w14:textId="42E5FC94" w:rsidR="00594337" w:rsidRPr="00B7644C" w:rsidRDefault="007A2313" w:rsidP="00760EBF">
      <w:pPr>
        <w:numPr>
          <w:ilvl w:val="0"/>
          <w:numId w:val="1"/>
        </w:numPr>
        <w:tabs>
          <w:tab w:val="clear" w:pos="1106"/>
          <w:tab w:val="left" w:pos="142"/>
        </w:tabs>
        <w:spacing w:before="240"/>
        <w:ind w:left="426" w:right="23" w:hanging="426"/>
        <w:jc w:val="both"/>
        <w:rPr>
          <w:rFonts w:ascii="ITC Avant Garde" w:hAnsi="ITC Avant Garde" w:cs="Arial"/>
          <w:b/>
          <w:bCs/>
        </w:rPr>
      </w:pPr>
      <w:r w:rsidRPr="00B7644C">
        <w:rPr>
          <w:rFonts w:ascii="ITC Avant Garde" w:eastAsia="Times New Roman" w:hAnsi="ITC Avant Garde"/>
          <w:b/>
          <w:bCs/>
          <w:lang w:val="es-ES" w:eastAsia="es-ES"/>
        </w:rPr>
        <w:t>Procedimiento de resolución de condiciones de interconexión no convenidas.</w:t>
      </w:r>
      <w:r w:rsidRPr="00B7644C">
        <w:rPr>
          <w:rFonts w:ascii="ITC Avant Garde" w:eastAsia="Times New Roman" w:hAnsi="ITC Avant Garde"/>
          <w:lang w:val="es-ES" w:eastAsia="es-ES"/>
        </w:rPr>
        <w:t xml:space="preserve"> </w:t>
      </w:r>
      <w:r w:rsidRPr="00B7644C">
        <w:rPr>
          <w:rFonts w:ascii="ITC Avant Garde" w:eastAsia="Times New Roman" w:hAnsi="ITC Avant Garde"/>
          <w:bCs/>
          <w:lang w:val="es-ES" w:eastAsia="es-ES"/>
        </w:rPr>
        <w:t xml:space="preserve">El </w:t>
      </w:r>
      <w:r w:rsidR="00C82A12" w:rsidRPr="00B7644C">
        <w:rPr>
          <w:rFonts w:ascii="ITC Avant Garde" w:eastAsia="Times New Roman" w:hAnsi="ITC Avant Garde"/>
          <w:bCs/>
          <w:lang w:val="es-ES" w:eastAsia="es-ES"/>
        </w:rPr>
        <w:t>1</w:t>
      </w:r>
      <w:r w:rsidR="00594337" w:rsidRPr="00B7644C">
        <w:rPr>
          <w:rFonts w:ascii="ITC Avant Garde" w:eastAsia="Times New Roman" w:hAnsi="ITC Avant Garde"/>
          <w:bCs/>
          <w:lang w:val="es-ES" w:eastAsia="es-ES"/>
        </w:rPr>
        <w:t>5</w:t>
      </w:r>
      <w:r w:rsidRPr="00B7644C">
        <w:rPr>
          <w:rFonts w:ascii="ITC Avant Garde" w:eastAsia="Times New Roman" w:hAnsi="ITC Avant Garde"/>
          <w:bCs/>
          <w:lang w:val="es-ES" w:eastAsia="es-ES"/>
        </w:rPr>
        <w:t xml:space="preserve"> de </w:t>
      </w:r>
      <w:r w:rsidR="004D27BF" w:rsidRPr="00B7644C">
        <w:rPr>
          <w:rFonts w:ascii="ITC Avant Garde" w:eastAsia="Times New Roman" w:hAnsi="ITC Avant Garde"/>
          <w:bCs/>
          <w:lang w:val="es-ES" w:eastAsia="es-ES"/>
        </w:rPr>
        <w:t>julio</w:t>
      </w:r>
      <w:r w:rsidR="008F7F01" w:rsidRPr="00B7644C">
        <w:rPr>
          <w:rFonts w:ascii="ITC Avant Garde" w:eastAsia="Times New Roman" w:hAnsi="ITC Avant Garde"/>
          <w:bCs/>
          <w:lang w:val="es-ES" w:eastAsia="es-ES"/>
        </w:rPr>
        <w:t xml:space="preserve"> de 2016</w:t>
      </w:r>
      <w:r w:rsidRPr="00B7644C">
        <w:rPr>
          <w:rFonts w:ascii="ITC Avant Garde" w:eastAsia="Times New Roman" w:hAnsi="ITC Avant Garde"/>
          <w:bCs/>
          <w:lang w:val="es-ES" w:eastAsia="es-ES"/>
        </w:rPr>
        <w:t xml:space="preserve">, </w:t>
      </w:r>
      <w:r w:rsidR="00C82A12" w:rsidRPr="00B7644C">
        <w:rPr>
          <w:rFonts w:ascii="ITC Avant Garde" w:eastAsia="Times New Roman" w:hAnsi="ITC Avant Garde"/>
          <w:bCs/>
          <w:lang w:val="es-ES" w:eastAsia="es-ES"/>
        </w:rPr>
        <w:t>el apoderado</w:t>
      </w:r>
      <w:r w:rsidRPr="00B7644C">
        <w:rPr>
          <w:rFonts w:ascii="ITC Avant Garde" w:eastAsia="Times New Roman" w:hAnsi="ITC Avant Garde"/>
          <w:bCs/>
          <w:lang w:val="es-ES" w:eastAsia="es-ES"/>
        </w:rPr>
        <w:t xml:space="preserve"> legal de </w:t>
      </w:r>
      <w:r w:rsidR="00A944F1" w:rsidRPr="00B7644C">
        <w:rPr>
          <w:rFonts w:ascii="ITC Avant Garde" w:eastAsia="Times New Roman" w:hAnsi="ITC Avant Garde"/>
          <w:bCs/>
          <w:lang w:val="es-ES" w:eastAsia="es-ES"/>
        </w:rPr>
        <w:t>MCM</w:t>
      </w:r>
      <w:r w:rsidR="00564287" w:rsidRPr="00B7644C">
        <w:rPr>
          <w:rFonts w:ascii="ITC Avant Garde" w:eastAsia="Times New Roman" w:hAnsi="ITC Avant Garde"/>
          <w:bCs/>
          <w:lang w:val="es-ES" w:eastAsia="es-ES"/>
        </w:rPr>
        <w:t xml:space="preserve"> </w:t>
      </w:r>
      <w:r w:rsidR="001C3815" w:rsidRPr="00B7644C">
        <w:rPr>
          <w:rFonts w:ascii="ITC Avant Garde" w:eastAsia="Times New Roman" w:hAnsi="ITC Avant Garde"/>
          <w:bCs/>
          <w:lang w:val="es-ES" w:eastAsia="es-ES"/>
        </w:rPr>
        <w:t xml:space="preserve">presentó </w:t>
      </w:r>
      <w:r w:rsidR="001C3815" w:rsidRPr="00B7644C">
        <w:rPr>
          <w:rFonts w:ascii="ITC Avant Garde" w:eastAsia="Times New Roman" w:hAnsi="ITC Avant Garde"/>
          <w:lang w:val="es-ES" w:eastAsia="es-ES"/>
        </w:rPr>
        <w:t xml:space="preserve">ante el Instituto, escrito mediante el cual solicitó su intervención para resolver los términos, tarifas y condiciones que no pudo convenir con </w:t>
      </w:r>
      <w:r w:rsidR="00A944F1" w:rsidRPr="00B7644C">
        <w:rPr>
          <w:rFonts w:ascii="ITC Avant Garde" w:eastAsia="Times New Roman" w:hAnsi="ITC Avant Garde"/>
          <w:lang w:val="es-ES" w:eastAsia="es-ES"/>
        </w:rPr>
        <w:t xml:space="preserve">Pegaso PCS </w:t>
      </w:r>
      <w:r w:rsidR="001C3815" w:rsidRPr="00B7644C">
        <w:rPr>
          <w:rFonts w:ascii="ITC Avant Garde" w:eastAsia="Times New Roman" w:hAnsi="ITC Avant Garde"/>
          <w:lang w:val="es-ES" w:eastAsia="es-ES"/>
        </w:rPr>
        <w:t>para la interconexión de sus respectivas redes públicas de telecomunicaciones, aplicables al periodo 2017</w:t>
      </w:r>
      <w:r w:rsidR="00594337" w:rsidRPr="00B7644C">
        <w:rPr>
          <w:rFonts w:ascii="ITC Avant Garde" w:eastAsia="Times New Roman" w:hAnsi="ITC Avant Garde"/>
          <w:lang w:val="es-ES" w:eastAsia="es-ES"/>
        </w:rPr>
        <w:t xml:space="preserve"> (en lo sucesivo, la “Solicitud de Resolución”).</w:t>
      </w:r>
    </w:p>
    <w:p w14:paraId="01762664" w14:textId="77777777" w:rsidR="00760EBF" w:rsidRDefault="00594337" w:rsidP="00760EBF">
      <w:pPr>
        <w:spacing w:before="240"/>
        <w:ind w:left="426"/>
        <w:jc w:val="both"/>
        <w:rPr>
          <w:rFonts w:ascii="ITC Avant Garde" w:eastAsia="Times New Roman" w:hAnsi="ITC Avant Garde"/>
          <w:lang w:val="es-ES" w:eastAsia="es-ES"/>
        </w:rPr>
      </w:pPr>
      <w:r w:rsidRPr="00B7644C">
        <w:rPr>
          <w:rFonts w:ascii="ITC Avant Garde" w:eastAsia="Times New Roman" w:hAnsi="ITC Avant Garde"/>
          <w:lang w:val="es-ES" w:eastAsia="es-ES"/>
        </w:rPr>
        <w:lastRenderedPageBreak/>
        <w:t xml:space="preserve">La Solicitud de Resolución se admitió a trámite asignándole el número de expediente </w:t>
      </w:r>
      <w:r w:rsidRPr="00B7644C">
        <w:rPr>
          <w:rFonts w:ascii="ITC Avant Garde" w:eastAsia="Times New Roman" w:hAnsi="ITC Avant Garde"/>
          <w:b/>
          <w:lang w:val="es-ES" w:eastAsia="es-ES"/>
        </w:rPr>
        <w:t>IFT/221/UPR/DG-RIRST/</w:t>
      </w:r>
      <w:r w:rsidR="000B62C6" w:rsidRPr="00B7644C">
        <w:rPr>
          <w:rFonts w:ascii="ITC Avant Garde" w:eastAsia="Times New Roman" w:hAnsi="ITC Avant Garde"/>
          <w:b/>
          <w:lang w:val="es-ES" w:eastAsia="es-ES"/>
        </w:rPr>
        <w:t>0</w:t>
      </w:r>
      <w:r w:rsidRPr="00B7644C">
        <w:rPr>
          <w:rFonts w:ascii="ITC Avant Garde" w:eastAsia="Times New Roman" w:hAnsi="ITC Avant Garde"/>
          <w:b/>
          <w:lang w:val="es-ES" w:eastAsia="es-ES"/>
        </w:rPr>
        <w:t>64.150716/ITX</w:t>
      </w:r>
      <w:r w:rsidRPr="00B7644C">
        <w:rPr>
          <w:rFonts w:ascii="ITC Avant Garde" w:eastAsia="Times New Roman" w:hAnsi="ITC Avant Garde"/>
          <w:lang w:val="es-ES" w:eastAsia="es-ES"/>
        </w:rPr>
        <w:t>. El procedimiento fue sustanciado en todas y cada una de sus etapas en estricto apego a lo establecido en el artículo 129 de la Ley Federal de Telecomunicaciones y Radiodifusión (en lo sucesivo, la “LFTyR”). Lo cual se encuentra plenamente documentado en las constancias que integran el expediente administrativo en comento, mismo que ha estado en todo momento a disposición de las partes, las cuales tienen pleno conocimiento de su contenido.</w:t>
      </w:r>
    </w:p>
    <w:p w14:paraId="496AE07E" w14:textId="77777777" w:rsidR="00760EBF" w:rsidRDefault="00594337" w:rsidP="00760EBF">
      <w:pPr>
        <w:spacing w:before="240"/>
        <w:ind w:left="426"/>
        <w:jc w:val="both"/>
        <w:rPr>
          <w:rFonts w:ascii="ITC Avant Garde" w:eastAsia="Times New Roman" w:hAnsi="ITC Avant Garde"/>
          <w:lang w:val="es-ES" w:eastAsia="es-ES"/>
        </w:rPr>
      </w:pPr>
      <w:r w:rsidRPr="00B7644C">
        <w:rPr>
          <w:rFonts w:ascii="ITC Avant Garde" w:eastAsia="Times New Roman" w:hAnsi="ITC Avant Garde"/>
          <w:bCs/>
          <w:lang w:val="es-ES" w:eastAsia="es-ES"/>
        </w:rPr>
        <w:t xml:space="preserve">Es así que con fecha </w:t>
      </w:r>
      <w:r w:rsidR="00AE19A2" w:rsidRPr="00B7644C">
        <w:rPr>
          <w:rFonts w:ascii="ITC Avant Garde" w:eastAsia="Times New Roman" w:hAnsi="ITC Avant Garde"/>
          <w:bCs/>
          <w:lang w:val="es-ES" w:eastAsia="es-ES"/>
        </w:rPr>
        <w:t>28</w:t>
      </w:r>
      <w:r w:rsidRPr="00B7644C">
        <w:rPr>
          <w:rFonts w:ascii="ITC Avant Garde" w:eastAsia="Times New Roman" w:hAnsi="ITC Avant Garde"/>
          <w:bCs/>
          <w:lang w:val="es-ES" w:eastAsia="es-ES"/>
        </w:rPr>
        <w:t xml:space="preserve"> de </w:t>
      </w:r>
      <w:r w:rsidR="00AE19A2" w:rsidRPr="00B7644C">
        <w:rPr>
          <w:rFonts w:ascii="ITC Avant Garde" w:eastAsia="Times New Roman" w:hAnsi="ITC Avant Garde"/>
          <w:bCs/>
          <w:lang w:val="es-ES" w:eastAsia="es-ES"/>
        </w:rPr>
        <w:t>octubre</w:t>
      </w:r>
      <w:r w:rsidRPr="00B7644C">
        <w:rPr>
          <w:rFonts w:ascii="ITC Avant Garde" w:eastAsia="Times New Roman" w:hAnsi="ITC Avant Garde"/>
          <w:bCs/>
          <w:lang w:val="es-ES" w:eastAsia="es-ES"/>
        </w:rPr>
        <w:t xml:space="preserve"> de 2016, </w:t>
      </w:r>
      <w:r w:rsidRPr="00B7644C">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5839F1DC" w14:textId="77777777" w:rsidR="00760EBF" w:rsidRDefault="00A93A31" w:rsidP="00760EBF">
      <w:pPr>
        <w:numPr>
          <w:ilvl w:val="0"/>
          <w:numId w:val="1"/>
        </w:numPr>
        <w:tabs>
          <w:tab w:val="clear" w:pos="1106"/>
          <w:tab w:val="left" w:pos="142"/>
        </w:tabs>
        <w:spacing w:before="240"/>
        <w:ind w:left="426" w:right="23" w:hanging="426"/>
        <w:jc w:val="both"/>
        <w:rPr>
          <w:rFonts w:ascii="ITC Avant Garde" w:eastAsia="Times New Roman" w:hAnsi="ITC Avant Garde"/>
          <w:b/>
          <w:bCs/>
          <w:lang w:val="es-ES" w:eastAsia="es-ES"/>
        </w:rPr>
      </w:pPr>
      <w:r w:rsidRPr="00B7644C">
        <w:rPr>
          <w:rFonts w:ascii="ITC Avant Garde" w:eastAsia="Times New Roman" w:hAnsi="ITC Avant Garde"/>
          <w:b/>
          <w:bCs/>
          <w:lang w:val="es-ES" w:eastAsia="es-ES"/>
        </w:rPr>
        <w:t xml:space="preserve">Publicación de Tarifas de Interconexión del año 2017. </w:t>
      </w:r>
      <w:r w:rsidRPr="00B7644C">
        <w:rPr>
          <w:rFonts w:ascii="ITC Avant Garde" w:eastAsia="Times New Roman" w:hAnsi="ITC Avant Garde"/>
          <w:bCs/>
          <w:lang w:val="es-ES" w:eastAsia="es-ES"/>
        </w:rPr>
        <w:t>El 3 de octubre de 2016, el Instituto publicó en el DOF el “</w:t>
      </w:r>
      <w:r w:rsidRPr="00B7644C">
        <w:rPr>
          <w:rFonts w:ascii="ITC Avant Garde" w:eastAsia="Times New Roman" w:hAnsi="ITC Avant Garde"/>
          <w:bCs/>
          <w:i/>
          <w:lang w:val="es-ES" w:eastAsia="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B7644C">
        <w:rPr>
          <w:rFonts w:ascii="ITC Avant Garde" w:eastAsia="Times New Roman" w:hAnsi="ITC Avant Garde"/>
          <w:bCs/>
          <w:lang w:val="es-ES" w:eastAsia="es-ES"/>
        </w:rPr>
        <w:t>”, aprobado mediante Acuerdo P/IFT/200916/503, (en lo sucesivo, el “Acuerdo de CTM y Tarifas 2017”).</w:t>
      </w:r>
    </w:p>
    <w:p w14:paraId="2459E3D7" w14:textId="77777777" w:rsidR="00760EBF" w:rsidRDefault="007A2313" w:rsidP="00760EBF">
      <w:pPr>
        <w:widowControl w:val="0"/>
        <w:spacing w:before="240"/>
        <w:jc w:val="both"/>
        <w:rPr>
          <w:rFonts w:ascii="ITC Avant Garde" w:eastAsia="Times New Roman" w:hAnsi="ITC Avant Garde"/>
          <w:lang w:eastAsia="es-ES"/>
        </w:rPr>
      </w:pPr>
      <w:r w:rsidRPr="00B7644C">
        <w:rPr>
          <w:rFonts w:ascii="ITC Avant Garde" w:eastAsia="Times New Roman" w:hAnsi="ITC Avant Garde"/>
          <w:lang w:eastAsia="es-ES"/>
        </w:rPr>
        <w:t>En virtud de los referidos Antecedentes, y</w:t>
      </w:r>
    </w:p>
    <w:p w14:paraId="6C272147" w14:textId="77777777" w:rsidR="00760EBF" w:rsidRPr="00760EBF" w:rsidRDefault="0001126F" w:rsidP="00760EBF">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quinto"/>
      <w:bookmarkStart w:id="1" w:name="HipótesisNormativa"/>
      <w:r w:rsidRPr="00760EBF">
        <w:rPr>
          <w:rFonts w:ascii="ITC Avant Garde" w:eastAsiaTheme="majorEastAsia" w:hAnsi="ITC Avant Garde" w:cstheme="majorBidi"/>
          <w:color w:val="000000" w:themeColor="text1"/>
          <w:szCs w:val="22"/>
        </w:rPr>
        <w:t>CONSIDERANDO</w:t>
      </w:r>
    </w:p>
    <w:p w14:paraId="5FFA8070" w14:textId="77777777" w:rsidR="00760EBF" w:rsidRDefault="0001126F" w:rsidP="00760EBF">
      <w:pPr>
        <w:pStyle w:val="Textoindependiente"/>
        <w:spacing w:before="240" w:after="200" w:line="276" w:lineRule="auto"/>
        <w:rPr>
          <w:rFonts w:ascii="ITC Avant Garde" w:hAnsi="ITC Avant Garde" w:cs="Arial"/>
          <w:bCs/>
          <w:lang w:val="es-ES"/>
        </w:rPr>
      </w:pPr>
      <w:r w:rsidRPr="00B7644C">
        <w:rPr>
          <w:rFonts w:ascii="ITC Avant Garde" w:hAnsi="ITC Avant Garde" w:cs="Arial"/>
          <w:b/>
          <w:bCs/>
          <w:lang w:val="es-ES"/>
        </w:rPr>
        <w:t xml:space="preserve">PRIMERO.- Competencia del Instituto. </w:t>
      </w:r>
      <w:r w:rsidRPr="00B7644C">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263988CA" w14:textId="3434930F" w:rsidR="0001126F" w:rsidRPr="00B7644C" w:rsidRDefault="0001126F" w:rsidP="00760EBF">
      <w:pPr>
        <w:pStyle w:val="Textoindependiente"/>
        <w:spacing w:before="240" w:after="200" w:line="276" w:lineRule="auto"/>
        <w:rPr>
          <w:rFonts w:ascii="ITC Avant Garde" w:hAnsi="ITC Avant Garde" w:cs="Arial"/>
          <w:bCs/>
          <w:lang w:val="es-ES"/>
        </w:rPr>
      </w:pPr>
      <w:r w:rsidRPr="00B7644C">
        <w:rPr>
          <w:rFonts w:ascii="ITC Avant Garde" w:hAnsi="ITC Avant Garde" w:cs="Arial"/>
          <w:bCs/>
          <w:lang w:val="es-ES"/>
        </w:rPr>
        <w:t>Con fundamento en los artículos 7, 15, fracción X, 17, fracción I, y 129 de la LFTyR,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27FCBCC2" w14:textId="77777777" w:rsidR="00760EBF" w:rsidRDefault="0001126F" w:rsidP="00760EBF">
      <w:pPr>
        <w:pStyle w:val="Textoindependiente"/>
        <w:spacing w:before="240" w:after="200" w:line="276" w:lineRule="auto"/>
        <w:rPr>
          <w:rFonts w:ascii="ITC Avant Garde" w:hAnsi="ITC Avant Garde" w:cs="Arial"/>
          <w:bCs/>
          <w:lang w:val="es-ES"/>
        </w:rPr>
      </w:pPr>
      <w:r w:rsidRPr="00B7644C">
        <w:rPr>
          <w:rFonts w:ascii="ITC Avant Garde" w:hAnsi="ITC Avant Garde" w:cs="Arial"/>
          <w:bCs/>
          <w:lang w:val="es-ES"/>
        </w:rPr>
        <w:lastRenderedPageBreak/>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70F67FD9" w14:textId="77777777" w:rsidR="00760EBF" w:rsidRDefault="0001126F" w:rsidP="00760EBF">
      <w:pPr>
        <w:pStyle w:val="Textoindependiente"/>
        <w:spacing w:before="240" w:after="200" w:line="276" w:lineRule="auto"/>
        <w:rPr>
          <w:rFonts w:ascii="ITC Avant Garde" w:hAnsi="ITC Avant Garde" w:cs="Arial"/>
        </w:rPr>
      </w:pPr>
      <w:r w:rsidRPr="00B7644C">
        <w:rPr>
          <w:rFonts w:ascii="ITC Avant Garde" w:hAnsi="ITC Avant Garde" w:cs="Arial"/>
          <w:b/>
        </w:rPr>
        <w:t xml:space="preserve">SEGUNDO.- Importancia y obligatoriedad de la interconexión e Interés Público.- </w:t>
      </w:r>
      <w:r w:rsidRPr="00B7644C">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28212FC8" w14:textId="77777777" w:rsidR="00760EBF" w:rsidRDefault="0001126F" w:rsidP="00760EBF">
      <w:pPr>
        <w:pStyle w:val="Textoindependiente"/>
        <w:spacing w:before="240" w:after="200" w:line="276" w:lineRule="auto"/>
        <w:rPr>
          <w:rFonts w:ascii="ITC Avant Garde" w:hAnsi="ITC Avant Garde" w:cs="Arial"/>
        </w:rPr>
      </w:pPr>
      <w:r w:rsidRPr="00B7644C">
        <w:rPr>
          <w:rFonts w:ascii="ITC Avant Garde" w:hAnsi="ITC Avant Garde" w:cs="Arial"/>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6747AE8F" w14:textId="77777777" w:rsidR="00760EBF" w:rsidRDefault="0001126F" w:rsidP="00760EBF">
      <w:pPr>
        <w:pStyle w:val="Textoindependiente"/>
        <w:spacing w:before="240" w:after="200" w:line="276" w:lineRule="auto"/>
        <w:rPr>
          <w:rFonts w:ascii="ITC Avant Garde" w:hAnsi="ITC Avant Garde" w:cs="Arial"/>
        </w:rPr>
      </w:pPr>
      <w:r w:rsidRPr="00B7644C">
        <w:rPr>
          <w:rFonts w:ascii="ITC Avant Garde" w:hAnsi="ITC Avant Garde" w:cs="Arial"/>
        </w:rPr>
        <w:t>Por ello, el legislador estableció (i) la obligación de todos los concesionarios que operan redes públicas de telecomunicaciones de adoptar diseños de arquitectura abierta para garantizar la interconexión e interoperabilidad de sus redes, contenida en el artículo 124 de la LFTyR; (ii) la obligación de los concesionarios que operan redes públicas de interconectar sus redes de conformidad con lo establecido en el artículo 125 de la LFTyR, y (iii) que dicha interconexión se realice en condiciones no discriminatorias, transparentes y basadas en criterios objetivos.</w:t>
      </w:r>
    </w:p>
    <w:p w14:paraId="1B0006ED" w14:textId="1C32E353" w:rsidR="0001126F" w:rsidRPr="00B7644C" w:rsidRDefault="0001126F" w:rsidP="00760EBF">
      <w:pPr>
        <w:pStyle w:val="Textoindependiente"/>
        <w:spacing w:before="240" w:after="200" w:line="276" w:lineRule="auto"/>
        <w:rPr>
          <w:rFonts w:ascii="ITC Avant Garde" w:hAnsi="ITC Avant Garde" w:cs="Arial"/>
        </w:rPr>
      </w:pPr>
      <w:r w:rsidRPr="00B7644C">
        <w:rPr>
          <w:rFonts w:ascii="ITC Avant Garde" w:hAnsi="ITC Avant Garde" w:cs="Arial"/>
        </w:rPr>
        <w:t>Ahora bien, el artículo 129 de la LFTyR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627ED933" w14:textId="77777777" w:rsidR="00760EBF" w:rsidRDefault="0001126F" w:rsidP="00760EBF">
      <w:pPr>
        <w:pStyle w:val="Textoindependiente"/>
        <w:spacing w:before="240" w:after="200" w:line="276" w:lineRule="auto"/>
        <w:rPr>
          <w:rFonts w:ascii="ITC Avant Garde" w:hAnsi="ITC Avant Garde" w:cs="Arial"/>
        </w:rPr>
      </w:pPr>
      <w:r w:rsidRPr="00B7644C">
        <w:rPr>
          <w:rFonts w:ascii="ITC Avant Garde" w:hAnsi="ITC Avant Garde" w:cs="Arial"/>
        </w:rPr>
        <w:lastRenderedPageBreak/>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60C01B4A" w14:textId="77777777" w:rsidR="00760EBF" w:rsidRDefault="00054805" w:rsidP="00760EBF">
      <w:pPr>
        <w:pStyle w:val="Textoindependiente"/>
        <w:spacing w:before="240" w:after="200" w:line="276" w:lineRule="auto"/>
        <w:rPr>
          <w:rFonts w:ascii="ITC Avant Garde" w:hAnsi="ITC Avant Garde" w:cs="Arial"/>
          <w:spacing w:val="-2"/>
          <w:szCs w:val="22"/>
        </w:rPr>
      </w:pPr>
      <w:r w:rsidRPr="00B7644C">
        <w:rPr>
          <w:rFonts w:ascii="ITC Avant Garde" w:hAnsi="ITC Avant Garde" w:cs="Arial"/>
          <w:spacing w:val="-2"/>
          <w:szCs w:val="22"/>
        </w:rPr>
        <w:t xml:space="preserve">En consecuencia, en autos está acreditado que </w:t>
      </w:r>
      <w:r w:rsidR="00A944F1" w:rsidRPr="00B7644C">
        <w:rPr>
          <w:rFonts w:ascii="ITC Avant Garde" w:hAnsi="ITC Avant Garde" w:cs="Arial"/>
          <w:spacing w:val="-2"/>
          <w:szCs w:val="22"/>
        </w:rPr>
        <w:t xml:space="preserve">MCM </w:t>
      </w:r>
      <w:r w:rsidR="00952C3A" w:rsidRPr="00B7644C">
        <w:rPr>
          <w:rFonts w:ascii="ITC Avant Garde" w:hAnsi="ITC Avant Garde" w:cs="Arial"/>
          <w:spacing w:val="-2"/>
          <w:szCs w:val="22"/>
        </w:rPr>
        <w:t xml:space="preserve">y </w:t>
      </w:r>
      <w:r w:rsidR="00A944F1" w:rsidRPr="00B7644C">
        <w:rPr>
          <w:rFonts w:ascii="ITC Avant Garde" w:hAnsi="ITC Avant Garde"/>
          <w:lang w:val="es-ES" w:eastAsia="es-ES"/>
        </w:rPr>
        <w:t>Pegaso PCS</w:t>
      </w:r>
      <w:r w:rsidRPr="00B7644C">
        <w:rPr>
          <w:rFonts w:ascii="ITC Avant Garde" w:hAnsi="ITC Avant Garde" w:cs="Arial"/>
          <w:spacing w:val="-2"/>
          <w:szCs w:val="22"/>
        </w:rPr>
        <w:t xml:space="preserve"> tienen el carácter de concesionarios que operan una red pública de telecomunicaciones y que efectivamente </w:t>
      </w:r>
      <w:r w:rsidR="00A944F1" w:rsidRPr="00B7644C">
        <w:rPr>
          <w:rFonts w:ascii="ITC Avant Garde" w:hAnsi="ITC Avant Garde" w:cs="Arial"/>
          <w:spacing w:val="-2"/>
          <w:szCs w:val="22"/>
        </w:rPr>
        <w:t>MCM requirió</w:t>
      </w:r>
      <w:r w:rsidRPr="00B7644C">
        <w:rPr>
          <w:rFonts w:ascii="ITC Avant Garde" w:hAnsi="ITC Avant Garde" w:cs="Arial"/>
          <w:spacing w:val="-2"/>
          <w:szCs w:val="22"/>
        </w:rPr>
        <w:t xml:space="preserve"> a </w:t>
      </w:r>
      <w:r w:rsidR="00A944F1" w:rsidRPr="00B7644C">
        <w:rPr>
          <w:rFonts w:ascii="ITC Avant Garde" w:hAnsi="ITC Avant Garde"/>
          <w:lang w:val="es-ES" w:eastAsia="es-ES"/>
        </w:rPr>
        <w:t>Pegaso PCS</w:t>
      </w:r>
      <w:r w:rsidR="00DC5789" w:rsidRPr="00B7644C">
        <w:rPr>
          <w:rFonts w:ascii="ITC Avant Garde" w:hAnsi="ITC Avant Garde"/>
          <w:lang w:val="es-ES" w:eastAsia="es-ES"/>
        </w:rPr>
        <w:t xml:space="preserve"> </w:t>
      </w:r>
      <w:r w:rsidRPr="00B7644C">
        <w:rPr>
          <w:rFonts w:ascii="ITC Avant Garde" w:hAnsi="ITC Avant Garde" w:cs="Arial"/>
          <w:spacing w:val="-2"/>
          <w:szCs w:val="22"/>
        </w:rPr>
        <w:t>el inicio de negociaciones para convenir los términos, condiciones y tarifas de interconexión, según se desprende de los Antecedentes I, II, y V de la presente Resolución.</w:t>
      </w:r>
    </w:p>
    <w:p w14:paraId="74A89B0D" w14:textId="77777777" w:rsidR="00760EBF" w:rsidRDefault="00054805" w:rsidP="00760EBF">
      <w:pPr>
        <w:pStyle w:val="Textoindependiente"/>
        <w:spacing w:before="240" w:after="200" w:line="276" w:lineRule="auto"/>
        <w:rPr>
          <w:rFonts w:ascii="ITC Avant Garde" w:hAnsi="ITC Avant Garde" w:cs="Arial"/>
          <w:szCs w:val="22"/>
        </w:rPr>
      </w:pPr>
      <w:r w:rsidRPr="00B7644C">
        <w:rPr>
          <w:rFonts w:ascii="ITC Avant Garde" w:hAnsi="ITC Avant Garde" w:cs="Arial"/>
          <w:szCs w:val="22"/>
        </w:rPr>
        <w:t xml:space="preserve">Por ello, conforme al artículo 124 de la LFTyR, </w:t>
      </w:r>
      <w:r w:rsidR="00A944F1" w:rsidRPr="00B7644C">
        <w:rPr>
          <w:rFonts w:ascii="ITC Avant Garde" w:hAnsi="ITC Avant Garde" w:cs="Arial"/>
          <w:spacing w:val="-2"/>
          <w:szCs w:val="22"/>
        </w:rPr>
        <w:t>MCM</w:t>
      </w:r>
      <w:r w:rsidR="00952C3A" w:rsidRPr="00B7644C">
        <w:rPr>
          <w:rFonts w:ascii="ITC Avant Garde" w:hAnsi="ITC Avant Garde" w:cs="Arial"/>
          <w:spacing w:val="-2"/>
          <w:szCs w:val="22"/>
        </w:rPr>
        <w:t xml:space="preserve"> y </w:t>
      </w:r>
      <w:r w:rsidR="00A944F1" w:rsidRPr="00B7644C">
        <w:rPr>
          <w:rFonts w:ascii="ITC Avant Garde" w:hAnsi="ITC Avant Garde"/>
          <w:lang w:val="es-ES" w:eastAsia="es-ES"/>
        </w:rPr>
        <w:t>Pegaso PCS</w:t>
      </w:r>
      <w:r w:rsidR="00DC5789" w:rsidRPr="00B7644C">
        <w:rPr>
          <w:rFonts w:ascii="ITC Avant Garde" w:hAnsi="ITC Avant Garde"/>
          <w:lang w:val="es-ES" w:eastAsia="es-ES"/>
        </w:rPr>
        <w:t xml:space="preserve"> </w:t>
      </w:r>
      <w:r w:rsidRPr="00B7644C">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5E0AA20D" w14:textId="77777777" w:rsidR="00760EBF" w:rsidRDefault="0001126F" w:rsidP="00760EBF">
      <w:pPr>
        <w:spacing w:before="240"/>
        <w:jc w:val="both"/>
        <w:rPr>
          <w:rFonts w:ascii="ITC Avant Garde" w:hAnsi="ITC Avant Garde"/>
          <w:spacing w:val="-4"/>
        </w:rPr>
      </w:pPr>
      <w:r w:rsidRPr="00B7644C">
        <w:rPr>
          <w:rFonts w:ascii="ITC Avant Garde" w:hAnsi="ITC Avant Garde" w:cs="Arial"/>
          <w:b/>
        </w:rPr>
        <w:t xml:space="preserve">TERCERO.- </w:t>
      </w:r>
      <w:r w:rsidRPr="00B7644C">
        <w:rPr>
          <w:rFonts w:ascii="ITC Avant Garde" w:hAnsi="ITC Avant Garde"/>
          <w:b/>
          <w:szCs w:val="24"/>
        </w:rPr>
        <w:t xml:space="preserve">Valoración de pruebas.- </w:t>
      </w:r>
      <w:r w:rsidRPr="00B7644C">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2F47F04B" w14:textId="77777777" w:rsidR="00760EBF" w:rsidRDefault="0001126F" w:rsidP="00760EBF">
      <w:pPr>
        <w:spacing w:before="240"/>
        <w:jc w:val="both"/>
        <w:rPr>
          <w:rFonts w:ascii="ITC Avant Garde" w:hAnsi="ITC Avant Garde"/>
          <w:szCs w:val="24"/>
        </w:rPr>
      </w:pPr>
      <w:r w:rsidRPr="00B7644C">
        <w:rPr>
          <w:rFonts w:ascii="ITC Avant Garde" w:hAnsi="ITC Avant Garde"/>
          <w:szCs w:val="24"/>
        </w:rPr>
        <w:t>Por su parte la L</w:t>
      </w:r>
      <w:r w:rsidR="009613C9" w:rsidRPr="00B7644C">
        <w:rPr>
          <w:rFonts w:ascii="ITC Avant Garde" w:hAnsi="ITC Avant Garde"/>
          <w:szCs w:val="24"/>
        </w:rPr>
        <w:t xml:space="preserve">ey </w:t>
      </w:r>
      <w:r w:rsidRPr="00B7644C">
        <w:rPr>
          <w:rFonts w:ascii="ITC Avant Garde" w:hAnsi="ITC Avant Garde"/>
          <w:szCs w:val="24"/>
        </w:rPr>
        <w:t>F</w:t>
      </w:r>
      <w:r w:rsidR="009613C9" w:rsidRPr="00B7644C">
        <w:rPr>
          <w:rFonts w:ascii="ITC Avant Garde" w:hAnsi="ITC Avant Garde"/>
          <w:szCs w:val="24"/>
        </w:rPr>
        <w:t xml:space="preserve">ederal de </w:t>
      </w:r>
      <w:r w:rsidRPr="00B7644C">
        <w:rPr>
          <w:rFonts w:ascii="ITC Avant Garde" w:hAnsi="ITC Avant Garde"/>
          <w:szCs w:val="24"/>
        </w:rPr>
        <w:t>P</w:t>
      </w:r>
      <w:r w:rsidR="009613C9" w:rsidRPr="00B7644C">
        <w:rPr>
          <w:rFonts w:ascii="ITC Avant Garde" w:hAnsi="ITC Avant Garde"/>
          <w:szCs w:val="24"/>
        </w:rPr>
        <w:t xml:space="preserve">rocedimiento </w:t>
      </w:r>
      <w:r w:rsidRPr="00B7644C">
        <w:rPr>
          <w:rFonts w:ascii="ITC Avant Garde" w:hAnsi="ITC Avant Garde"/>
          <w:szCs w:val="24"/>
        </w:rPr>
        <w:t>A</w:t>
      </w:r>
      <w:r w:rsidR="009613C9" w:rsidRPr="00B7644C">
        <w:rPr>
          <w:rFonts w:ascii="ITC Avant Garde" w:hAnsi="ITC Avant Garde"/>
          <w:szCs w:val="24"/>
        </w:rPr>
        <w:t>dministrativo (en lo sucesivo, la “LFPA”)</w:t>
      </w:r>
      <w:r w:rsidRPr="00B7644C">
        <w:rPr>
          <w:rFonts w:ascii="ITC Avant Garde" w:hAnsi="ITC Avant Garde"/>
          <w:szCs w:val="24"/>
        </w:rPr>
        <w:t xml:space="preserve"> y el C</w:t>
      </w:r>
      <w:r w:rsidR="009613C9" w:rsidRPr="00B7644C">
        <w:rPr>
          <w:rFonts w:ascii="ITC Avant Garde" w:hAnsi="ITC Avant Garde"/>
          <w:szCs w:val="24"/>
        </w:rPr>
        <w:t xml:space="preserve">ódigo </w:t>
      </w:r>
      <w:r w:rsidRPr="00B7644C">
        <w:rPr>
          <w:rFonts w:ascii="ITC Avant Garde" w:hAnsi="ITC Avant Garde"/>
          <w:szCs w:val="24"/>
        </w:rPr>
        <w:t>F</w:t>
      </w:r>
      <w:r w:rsidR="009613C9" w:rsidRPr="00B7644C">
        <w:rPr>
          <w:rFonts w:ascii="ITC Avant Garde" w:hAnsi="ITC Avant Garde"/>
          <w:szCs w:val="24"/>
        </w:rPr>
        <w:t xml:space="preserve">ederal de </w:t>
      </w:r>
      <w:r w:rsidRPr="00B7644C">
        <w:rPr>
          <w:rFonts w:ascii="ITC Avant Garde" w:hAnsi="ITC Avant Garde"/>
          <w:szCs w:val="24"/>
        </w:rPr>
        <w:t>P</w:t>
      </w:r>
      <w:r w:rsidR="009613C9" w:rsidRPr="00B7644C">
        <w:rPr>
          <w:rFonts w:ascii="ITC Avant Garde" w:hAnsi="ITC Avant Garde"/>
          <w:szCs w:val="24"/>
        </w:rPr>
        <w:t xml:space="preserve">rocedimientos </w:t>
      </w:r>
      <w:r w:rsidRPr="00B7644C">
        <w:rPr>
          <w:rFonts w:ascii="ITC Avant Garde" w:hAnsi="ITC Avant Garde"/>
          <w:szCs w:val="24"/>
        </w:rPr>
        <w:t>C</w:t>
      </w:r>
      <w:r w:rsidR="009613C9" w:rsidRPr="00B7644C">
        <w:rPr>
          <w:rFonts w:ascii="ITC Avant Garde" w:hAnsi="ITC Avant Garde"/>
          <w:szCs w:val="24"/>
        </w:rPr>
        <w:t>iviles (en lo sucesivo, el “CFPC”)</w:t>
      </w:r>
      <w:r w:rsidRPr="00B7644C">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0E5CDB17" w14:textId="77777777" w:rsidR="00760EBF" w:rsidRDefault="0001126F" w:rsidP="00760EBF">
      <w:pPr>
        <w:spacing w:before="240"/>
        <w:jc w:val="both"/>
        <w:rPr>
          <w:rFonts w:ascii="ITC Avant Garde" w:hAnsi="ITC Avant Garde"/>
          <w:szCs w:val="24"/>
        </w:rPr>
      </w:pPr>
      <w:r w:rsidRPr="00B7644C">
        <w:rPr>
          <w:rFonts w:ascii="ITC Avant Garde" w:hAnsi="ITC Avant Garde"/>
          <w:szCs w:val="24"/>
        </w:rPr>
        <w:t xml:space="preserve">En tal sentido, y en virtud de que </w:t>
      </w:r>
      <w:r w:rsidR="009B07DE" w:rsidRPr="00B7644C">
        <w:rPr>
          <w:rFonts w:ascii="ITC Avant Garde" w:hAnsi="ITC Avant Garde"/>
          <w:szCs w:val="24"/>
        </w:rPr>
        <w:t xml:space="preserve">MCM </w:t>
      </w:r>
      <w:r w:rsidRPr="00B7644C">
        <w:rPr>
          <w:rFonts w:ascii="ITC Avant Garde" w:hAnsi="ITC Avant Garde"/>
          <w:szCs w:val="24"/>
        </w:rPr>
        <w:t>no ofreci</w:t>
      </w:r>
      <w:r w:rsidR="009B07DE" w:rsidRPr="00B7644C">
        <w:rPr>
          <w:rFonts w:ascii="ITC Avant Garde" w:hAnsi="ITC Avant Garde"/>
          <w:szCs w:val="24"/>
        </w:rPr>
        <w:t>ó</w:t>
      </w:r>
      <w:r w:rsidRPr="00B7644C">
        <w:rPr>
          <w:rFonts w:ascii="ITC Avant Garde" w:hAnsi="ITC Avant Garde"/>
          <w:szCs w:val="24"/>
        </w:rPr>
        <w:t xml:space="preserve"> pruebas, el Instituto valora las pruebas aportadas por </w:t>
      </w:r>
      <w:r w:rsidR="009B07DE" w:rsidRPr="00B7644C">
        <w:rPr>
          <w:rFonts w:ascii="ITC Avant Garde" w:hAnsi="ITC Avant Garde"/>
          <w:szCs w:val="24"/>
        </w:rPr>
        <w:t xml:space="preserve">Pegaso PCS </w:t>
      </w:r>
      <w:r w:rsidRPr="00B7644C">
        <w:rPr>
          <w:rFonts w:ascii="ITC Avant Garde" w:hAnsi="ITC Avant Garde"/>
          <w:szCs w:val="24"/>
        </w:rPr>
        <w:t>en los siguientes términos:</w:t>
      </w:r>
    </w:p>
    <w:p w14:paraId="55039608" w14:textId="7E93FCF9" w:rsidR="00760EBF" w:rsidRDefault="00D211A5" w:rsidP="00760EBF">
      <w:pPr>
        <w:tabs>
          <w:tab w:val="left" w:pos="4850"/>
        </w:tabs>
        <w:spacing w:before="240"/>
        <w:jc w:val="both"/>
        <w:rPr>
          <w:rFonts w:ascii="ITC Avant Garde" w:hAnsi="ITC Avant Garde"/>
          <w:b/>
          <w:szCs w:val="24"/>
        </w:rPr>
      </w:pPr>
      <w:r w:rsidRPr="00B7644C">
        <w:rPr>
          <w:rFonts w:ascii="ITC Avant Garde" w:hAnsi="ITC Avant Garde"/>
          <w:b/>
          <w:szCs w:val="24"/>
        </w:rPr>
        <w:t>3</w:t>
      </w:r>
      <w:r w:rsidR="003939FF" w:rsidRPr="00B7644C">
        <w:rPr>
          <w:rFonts w:ascii="ITC Avant Garde" w:hAnsi="ITC Avant Garde"/>
          <w:b/>
          <w:szCs w:val="24"/>
        </w:rPr>
        <w:t>.</w:t>
      </w:r>
      <w:r w:rsidR="00041B8A" w:rsidRPr="00B7644C">
        <w:rPr>
          <w:rFonts w:ascii="ITC Avant Garde" w:hAnsi="ITC Avant Garde"/>
          <w:b/>
          <w:szCs w:val="24"/>
        </w:rPr>
        <w:t>1</w:t>
      </w:r>
      <w:r w:rsidR="003939FF" w:rsidRPr="00B7644C">
        <w:rPr>
          <w:rFonts w:ascii="ITC Avant Garde" w:hAnsi="ITC Avant Garde"/>
          <w:b/>
          <w:szCs w:val="24"/>
        </w:rPr>
        <w:t xml:space="preserve"> Pruebas ofrecidas por </w:t>
      </w:r>
      <w:r w:rsidR="00DF5753" w:rsidRPr="00B7644C">
        <w:rPr>
          <w:rFonts w:ascii="ITC Avant Garde" w:hAnsi="ITC Avant Garde"/>
          <w:b/>
          <w:szCs w:val="24"/>
        </w:rPr>
        <w:t>Pegaso PCS</w:t>
      </w:r>
    </w:p>
    <w:p w14:paraId="58914568" w14:textId="77777777" w:rsidR="00760EBF" w:rsidRDefault="00A93A31" w:rsidP="00760EBF">
      <w:pPr>
        <w:pStyle w:val="Prrafodelista"/>
        <w:numPr>
          <w:ilvl w:val="0"/>
          <w:numId w:val="33"/>
        </w:numPr>
        <w:tabs>
          <w:tab w:val="left" w:pos="567"/>
        </w:tabs>
        <w:spacing w:before="240" w:after="200" w:line="276" w:lineRule="auto"/>
        <w:ind w:left="567" w:right="48"/>
        <w:rPr>
          <w:rFonts w:ascii="ITC Avant Garde" w:hAnsi="ITC Avant Garde"/>
          <w:lang w:val="es-ES"/>
        </w:rPr>
      </w:pPr>
      <w:r w:rsidRPr="00B7644C">
        <w:rPr>
          <w:rFonts w:ascii="ITC Avant Garde" w:hAnsi="ITC Avant Garde"/>
          <w:lang w:val="es-ES"/>
        </w:rPr>
        <w:t>Respecto de la d</w:t>
      </w:r>
      <w:r w:rsidR="0093357D" w:rsidRPr="00B7644C">
        <w:rPr>
          <w:rFonts w:ascii="ITC Avant Garde" w:hAnsi="ITC Avant Garde"/>
          <w:lang w:val="es-ES"/>
        </w:rPr>
        <w:t xml:space="preserve">ocumental consistente </w:t>
      </w:r>
      <w:r w:rsidR="00DE2139" w:rsidRPr="00B7644C">
        <w:rPr>
          <w:rFonts w:ascii="ITC Avant Garde" w:hAnsi="ITC Avant Garde"/>
        </w:rPr>
        <w:t>en copia simple</w:t>
      </w:r>
      <w:r w:rsidR="00DE2139" w:rsidRPr="00B7644C">
        <w:rPr>
          <w:rFonts w:ascii="ITC Avant Garde" w:hAnsi="ITC Avant Garde"/>
          <w:lang w:val="es-ES"/>
        </w:rPr>
        <w:t xml:space="preserve"> </w:t>
      </w:r>
      <w:r w:rsidR="00DF5753" w:rsidRPr="00B7644C">
        <w:rPr>
          <w:rFonts w:ascii="ITC Avant Garde" w:hAnsi="ITC Avant Garde"/>
          <w:bCs/>
          <w:lang w:val="es-ES" w:eastAsia="es-MX"/>
        </w:rPr>
        <w:t xml:space="preserve">de la pantalla del SESI, correspondiente al folio IFT/UPR/2760, este Instituto le da valor probatorio en </w:t>
      </w:r>
      <w:r w:rsidR="00DF5753" w:rsidRPr="00B7644C">
        <w:rPr>
          <w:rFonts w:ascii="ITC Avant Garde" w:hAnsi="ITC Avant Garde"/>
          <w:bCs/>
          <w:lang w:val="es-ES" w:eastAsia="es-MX"/>
        </w:rPr>
        <w:lastRenderedPageBreak/>
        <w:t>términos de lo establecido en los artículos, 197</w:t>
      </w:r>
      <w:r w:rsidR="009613C9" w:rsidRPr="00B7644C">
        <w:rPr>
          <w:rFonts w:ascii="ITC Avant Garde" w:hAnsi="ITC Avant Garde"/>
          <w:bCs/>
          <w:lang w:val="es-ES" w:eastAsia="es-MX"/>
        </w:rPr>
        <w:t>,</w:t>
      </w:r>
      <w:r w:rsidR="00DF5753" w:rsidRPr="00B7644C">
        <w:rPr>
          <w:rFonts w:ascii="ITC Avant Garde" w:hAnsi="ITC Avant Garde"/>
          <w:bCs/>
          <w:lang w:val="es-ES" w:eastAsia="es-MX"/>
        </w:rPr>
        <w:t xml:space="preserve"> 203</w:t>
      </w:r>
      <w:r w:rsidR="009613C9" w:rsidRPr="00B7644C">
        <w:rPr>
          <w:rFonts w:ascii="ITC Avant Garde" w:hAnsi="ITC Avant Garde"/>
          <w:bCs/>
          <w:lang w:val="es-ES" w:eastAsia="es-MX"/>
        </w:rPr>
        <w:t xml:space="preserve"> y 210-A</w:t>
      </w:r>
      <w:r w:rsidR="00DF5753" w:rsidRPr="00B7644C">
        <w:rPr>
          <w:rFonts w:ascii="ITC Avant Garde" w:hAnsi="ITC Avant Garde"/>
          <w:bCs/>
          <w:lang w:val="es-ES" w:eastAsia="es-MX"/>
        </w:rPr>
        <w:t xml:space="preserve"> del CFPC, de aplicación supletoria conforme el artículo 6°</w:t>
      </w:r>
      <w:r w:rsidR="00C16F85" w:rsidRPr="00B7644C">
        <w:rPr>
          <w:rFonts w:ascii="ITC Avant Garde" w:hAnsi="ITC Avant Garde"/>
          <w:bCs/>
          <w:lang w:val="es-ES" w:eastAsia="es-MX"/>
        </w:rPr>
        <w:t>,</w:t>
      </w:r>
      <w:r w:rsidR="00DF5753" w:rsidRPr="00B7644C">
        <w:rPr>
          <w:rFonts w:ascii="ITC Avant Garde" w:hAnsi="ITC Avant Garde"/>
          <w:bCs/>
          <w:lang w:val="es-ES" w:eastAsia="es-MX"/>
        </w:rPr>
        <w:t xml:space="preserve"> fracción VII de la LFTyR, al hacer prueba plena de los hechos legalmente afirmados consistente en </w:t>
      </w:r>
      <w:r w:rsidR="00C16F85" w:rsidRPr="00B7644C">
        <w:rPr>
          <w:rFonts w:ascii="ITC Avant Garde" w:hAnsi="ITC Avant Garde"/>
          <w:bCs/>
          <w:lang w:val="es-ES" w:eastAsia="es-MX"/>
        </w:rPr>
        <w:t xml:space="preserve">que </w:t>
      </w:r>
      <w:r w:rsidR="00DF5753" w:rsidRPr="00B7644C">
        <w:rPr>
          <w:rFonts w:ascii="ITC Avant Garde" w:hAnsi="ITC Avant Garde"/>
          <w:bCs/>
          <w:lang w:val="es-ES" w:eastAsia="es-MX"/>
        </w:rPr>
        <w:t>las negociaciones entre MCM y Pegaos PCS</w:t>
      </w:r>
      <w:r w:rsidR="00C16F85" w:rsidRPr="00B7644C">
        <w:rPr>
          <w:rFonts w:ascii="ITC Avant Garde" w:hAnsi="ITC Avant Garde"/>
          <w:bCs/>
          <w:lang w:val="es-ES" w:eastAsia="es-MX"/>
        </w:rPr>
        <w:t xml:space="preserve"> se llevaron a cabo a través del SESI</w:t>
      </w:r>
      <w:r w:rsidR="00DF5753" w:rsidRPr="00B7644C">
        <w:rPr>
          <w:rFonts w:ascii="ITC Avant Garde" w:hAnsi="ITC Avant Garde"/>
          <w:bCs/>
          <w:lang w:val="es-ES" w:eastAsia="es-MX"/>
        </w:rPr>
        <w:t>.</w:t>
      </w:r>
    </w:p>
    <w:p w14:paraId="7257C0E8" w14:textId="77777777" w:rsidR="00760EBF" w:rsidRDefault="00D8186B" w:rsidP="00760EBF">
      <w:pPr>
        <w:pStyle w:val="Prrafodelista"/>
        <w:numPr>
          <w:ilvl w:val="0"/>
          <w:numId w:val="33"/>
        </w:numPr>
        <w:tabs>
          <w:tab w:val="left" w:pos="567"/>
        </w:tabs>
        <w:spacing w:before="240" w:after="200" w:line="276" w:lineRule="auto"/>
        <w:ind w:left="567" w:right="48"/>
        <w:rPr>
          <w:rFonts w:ascii="ITC Avant Garde" w:hAnsi="ITC Avant Garde" w:cs="Arial"/>
        </w:rPr>
      </w:pPr>
      <w:r w:rsidRPr="00B7644C">
        <w:rPr>
          <w:rFonts w:ascii="ITC Avant Garde" w:hAnsi="ITC Avant Garde" w:cs="Arial"/>
        </w:rPr>
        <w:t xml:space="preserve">En relación </w:t>
      </w:r>
      <w:r w:rsidR="0006731A" w:rsidRPr="00B7644C">
        <w:rPr>
          <w:rFonts w:ascii="ITC Avant Garde" w:hAnsi="ITC Avant Garde" w:cs="Arial"/>
        </w:rPr>
        <w:t>con</w:t>
      </w:r>
      <w:r w:rsidRPr="00B7644C">
        <w:rPr>
          <w:rFonts w:ascii="ITC Avant Garde" w:hAnsi="ITC Avant Garde" w:cs="Arial"/>
        </w:rPr>
        <w:t xml:space="preserve"> la </w:t>
      </w:r>
      <w:r w:rsidR="0006731A" w:rsidRPr="00B7644C">
        <w:rPr>
          <w:rFonts w:ascii="ITC Avant Garde" w:hAnsi="ITC Avant Garde" w:cs="Arial"/>
        </w:rPr>
        <w:t>p</w:t>
      </w:r>
      <w:r w:rsidRPr="00B7644C">
        <w:rPr>
          <w:rFonts w:ascii="ITC Avant Garde" w:hAnsi="ITC Avant Garde" w:cs="Arial"/>
        </w:rPr>
        <w:t>resuncional, en su doble aspecto, legal y humana, se le da valor probatorio en términos del artículo 218 del CFPC al ser ésta la consecuencia lógica y natural de hechos conocidos y probados al momento de hacer la deducción respectiva.</w:t>
      </w:r>
    </w:p>
    <w:p w14:paraId="5DC7EDCD" w14:textId="77777777" w:rsidR="00760EBF" w:rsidRDefault="007C6685" w:rsidP="00760EBF">
      <w:pPr>
        <w:pStyle w:val="Prrafodelista"/>
        <w:numPr>
          <w:ilvl w:val="0"/>
          <w:numId w:val="33"/>
        </w:numPr>
        <w:tabs>
          <w:tab w:val="left" w:pos="567"/>
        </w:tabs>
        <w:spacing w:before="240" w:after="200" w:line="276" w:lineRule="auto"/>
        <w:ind w:left="567" w:right="48"/>
        <w:rPr>
          <w:rFonts w:ascii="ITC Avant Garde" w:hAnsi="ITC Avant Garde" w:cs="Arial"/>
        </w:rPr>
      </w:pPr>
      <w:r w:rsidRPr="00B7644C">
        <w:rPr>
          <w:rFonts w:ascii="ITC Avant Garde" w:hAnsi="ITC Avant Garde" w:cs="Arial"/>
        </w:rPr>
        <w:t xml:space="preserve">Respecto </w:t>
      </w:r>
      <w:r w:rsidR="0006731A" w:rsidRPr="00B7644C">
        <w:rPr>
          <w:rFonts w:ascii="ITC Avant Garde" w:hAnsi="ITC Avant Garde" w:cs="Arial"/>
        </w:rPr>
        <w:t>de</w:t>
      </w:r>
      <w:r w:rsidRPr="00B7644C">
        <w:rPr>
          <w:rFonts w:ascii="ITC Avant Garde" w:hAnsi="ITC Avant Garde" w:cs="Arial"/>
        </w:rPr>
        <w:t xml:space="preserve">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bookmarkEnd w:id="0"/>
    <w:p w14:paraId="51EF9B46" w14:textId="77777777" w:rsidR="00760EBF" w:rsidRDefault="002F1D3A" w:rsidP="00760EBF">
      <w:pPr>
        <w:spacing w:before="240"/>
        <w:jc w:val="both"/>
        <w:rPr>
          <w:rFonts w:ascii="ITC Avant Garde" w:eastAsia="Times New Roman" w:hAnsi="ITC Avant Garde"/>
        </w:rPr>
      </w:pPr>
      <w:r w:rsidRPr="00B7644C">
        <w:rPr>
          <w:rFonts w:ascii="ITC Avant Garde" w:hAnsi="ITC Avant Garde"/>
          <w:b/>
          <w:szCs w:val="24"/>
        </w:rPr>
        <w:t>CUARTO</w:t>
      </w:r>
      <w:r w:rsidR="003B3180" w:rsidRPr="00B7644C">
        <w:rPr>
          <w:rFonts w:ascii="ITC Avant Garde" w:hAnsi="ITC Avant Garde"/>
          <w:b/>
          <w:szCs w:val="24"/>
        </w:rPr>
        <w:t>.-</w:t>
      </w:r>
      <w:r w:rsidR="002920C0" w:rsidRPr="00B7644C">
        <w:rPr>
          <w:rFonts w:ascii="ITC Avant Garde" w:eastAsia="Times New Roman" w:hAnsi="ITC Avant Garde"/>
          <w:b/>
          <w:lang w:eastAsia="es-ES"/>
        </w:rPr>
        <w:t xml:space="preserve"> </w:t>
      </w:r>
      <w:bookmarkEnd w:id="1"/>
      <w:r w:rsidR="00321C60" w:rsidRPr="00B7644C">
        <w:rPr>
          <w:rFonts w:ascii="ITC Avant Garde" w:eastAsia="Times New Roman" w:hAnsi="ITC Avant Garde"/>
          <w:b/>
          <w:lang w:eastAsia="es-ES"/>
        </w:rPr>
        <w:t>Condiciones no convenidas sujetas a resolución</w:t>
      </w:r>
      <w:r w:rsidR="00C92C0A" w:rsidRPr="00B7644C">
        <w:rPr>
          <w:rFonts w:ascii="ITC Avant Garde" w:eastAsia="Times New Roman" w:hAnsi="ITC Avant Garde"/>
          <w:lang w:eastAsia="es-ES"/>
        </w:rPr>
        <w:t xml:space="preserve">.- </w:t>
      </w:r>
      <w:r w:rsidR="00543EF7" w:rsidRPr="00B7644C">
        <w:rPr>
          <w:rFonts w:ascii="ITC Avant Garde" w:eastAsia="Times New Roman" w:hAnsi="ITC Avant Garde"/>
          <w:lang w:eastAsia="es-ES"/>
        </w:rPr>
        <w:t>En su s</w:t>
      </w:r>
      <w:r w:rsidR="00832D83" w:rsidRPr="00B7644C">
        <w:rPr>
          <w:rFonts w:ascii="ITC Avant Garde" w:eastAsia="Times New Roman" w:hAnsi="ITC Avant Garde"/>
          <w:lang w:eastAsia="es-ES"/>
        </w:rPr>
        <w:t xml:space="preserve">olicitud de Resolución </w:t>
      </w:r>
      <w:r w:rsidR="00DF5753" w:rsidRPr="00B7644C">
        <w:rPr>
          <w:rFonts w:ascii="ITC Avant Garde" w:eastAsia="Times New Roman" w:hAnsi="ITC Avant Garde"/>
        </w:rPr>
        <w:t>MCM</w:t>
      </w:r>
      <w:r w:rsidR="00543EF7" w:rsidRPr="00B7644C">
        <w:rPr>
          <w:rFonts w:ascii="ITC Avant Garde" w:eastAsia="Times New Roman" w:hAnsi="ITC Avant Garde"/>
        </w:rPr>
        <w:t xml:space="preserve"> plante</w:t>
      </w:r>
      <w:r w:rsidR="00C16F85" w:rsidRPr="00B7644C">
        <w:rPr>
          <w:rFonts w:ascii="ITC Avant Garde" w:eastAsia="Times New Roman" w:hAnsi="ITC Avant Garde"/>
        </w:rPr>
        <w:t>ó</w:t>
      </w:r>
      <w:r w:rsidR="00B90B19" w:rsidRPr="00B7644C">
        <w:rPr>
          <w:rFonts w:ascii="ITC Avant Garde" w:eastAsia="Times New Roman" w:hAnsi="ITC Avant Garde"/>
        </w:rPr>
        <w:t xml:space="preserve"> l</w:t>
      </w:r>
      <w:r w:rsidR="00A01830" w:rsidRPr="00B7644C">
        <w:rPr>
          <w:rFonts w:ascii="ITC Avant Garde" w:eastAsia="Times New Roman" w:hAnsi="ITC Avant Garde"/>
        </w:rPr>
        <w:t>o</w:t>
      </w:r>
      <w:r w:rsidR="00B90B19" w:rsidRPr="00B7644C">
        <w:rPr>
          <w:rFonts w:ascii="ITC Avant Garde" w:eastAsia="Times New Roman" w:hAnsi="ITC Avant Garde"/>
        </w:rPr>
        <w:t xml:space="preserve">s </w:t>
      </w:r>
      <w:r w:rsidR="00A01830" w:rsidRPr="00B7644C">
        <w:rPr>
          <w:rFonts w:ascii="ITC Avant Garde" w:eastAsia="Times New Roman" w:hAnsi="ITC Avant Garde"/>
        </w:rPr>
        <w:t xml:space="preserve">siguientes términos, </w:t>
      </w:r>
      <w:r w:rsidR="00F00A30" w:rsidRPr="00B7644C">
        <w:rPr>
          <w:rFonts w:ascii="ITC Avant Garde" w:eastAsia="Times New Roman" w:hAnsi="ITC Avant Garde"/>
        </w:rPr>
        <w:t xml:space="preserve">condiciones </w:t>
      </w:r>
      <w:r w:rsidR="00F00A30" w:rsidRPr="00B7644C">
        <w:rPr>
          <w:rFonts w:ascii="ITC Avant Garde" w:eastAsia="Times New Roman" w:hAnsi="ITC Avant Garde"/>
          <w:lang w:eastAsia="es-ES"/>
        </w:rPr>
        <w:t>y</w:t>
      </w:r>
      <w:r w:rsidR="00F6778F" w:rsidRPr="00B7644C">
        <w:rPr>
          <w:rFonts w:ascii="ITC Avant Garde" w:eastAsia="Times New Roman" w:hAnsi="ITC Avant Garde"/>
          <w:lang w:eastAsia="es-ES"/>
        </w:rPr>
        <w:t xml:space="preserve"> tari</w:t>
      </w:r>
      <w:r w:rsidR="00A50C4B" w:rsidRPr="00B7644C">
        <w:rPr>
          <w:rFonts w:ascii="ITC Avant Garde" w:eastAsia="Times New Roman" w:hAnsi="ITC Avant Garde"/>
          <w:lang w:eastAsia="es-ES"/>
        </w:rPr>
        <w:t xml:space="preserve">fas de interconexión que no </w:t>
      </w:r>
      <w:r w:rsidR="00A86A6B" w:rsidRPr="00B7644C">
        <w:rPr>
          <w:rFonts w:ascii="ITC Avant Garde" w:eastAsia="Times New Roman" w:hAnsi="ITC Avant Garde"/>
          <w:lang w:eastAsia="es-ES"/>
        </w:rPr>
        <w:t>pud</w:t>
      </w:r>
      <w:r w:rsidR="00C16F85" w:rsidRPr="00B7644C">
        <w:rPr>
          <w:rFonts w:ascii="ITC Avant Garde" w:eastAsia="Times New Roman" w:hAnsi="ITC Avant Garde"/>
          <w:lang w:eastAsia="es-ES"/>
        </w:rPr>
        <w:t>o</w:t>
      </w:r>
      <w:r w:rsidR="00543EF7" w:rsidRPr="00B7644C">
        <w:rPr>
          <w:rFonts w:ascii="ITC Avant Garde" w:eastAsia="Times New Roman" w:hAnsi="ITC Avant Garde"/>
          <w:lang w:eastAsia="es-ES"/>
        </w:rPr>
        <w:t xml:space="preserve"> convenir con </w:t>
      </w:r>
      <w:r w:rsidR="00DF5753" w:rsidRPr="00B7644C">
        <w:rPr>
          <w:rFonts w:ascii="ITC Avant Garde" w:eastAsia="Times New Roman" w:hAnsi="ITC Avant Garde"/>
          <w:lang w:eastAsia="es-ES"/>
        </w:rPr>
        <w:t xml:space="preserve">Pegaso </w:t>
      </w:r>
      <w:r w:rsidR="00A944F1" w:rsidRPr="00B7644C">
        <w:rPr>
          <w:rFonts w:ascii="ITC Avant Garde" w:eastAsia="Times New Roman" w:hAnsi="ITC Avant Garde"/>
          <w:lang w:eastAsia="es-ES"/>
        </w:rPr>
        <w:t>PCS</w:t>
      </w:r>
      <w:r w:rsidR="00DD7F1E" w:rsidRPr="00B7644C">
        <w:rPr>
          <w:rFonts w:ascii="ITC Avant Garde" w:eastAsia="Times New Roman" w:hAnsi="ITC Avant Garde"/>
        </w:rPr>
        <w:t>:</w:t>
      </w:r>
    </w:p>
    <w:p w14:paraId="4A6B96DC" w14:textId="77777777" w:rsidR="00760EBF" w:rsidRDefault="003152E2" w:rsidP="00760EBF">
      <w:pPr>
        <w:pStyle w:val="Prrafodelista"/>
        <w:widowControl w:val="0"/>
        <w:numPr>
          <w:ilvl w:val="0"/>
          <w:numId w:val="18"/>
        </w:numPr>
        <w:tabs>
          <w:tab w:val="center" w:pos="4419"/>
          <w:tab w:val="right" w:pos="8838"/>
        </w:tabs>
        <w:spacing w:before="240" w:after="200" w:line="276" w:lineRule="auto"/>
        <w:rPr>
          <w:rFonts w:ascii="ITC Avant Garde" w:hAnsi="ITC Avant Garde"/>
        </w:rPr>
      </w:pPr>
      <w:r w:rsidRPr="00B7644C">
        <w:rPr>
          <w:rFonts w:ascii="ITC Avant Garde" w:hAnsi="ITC Avant Garde"/>
        </w:rPr>
        <w:t xml:space="preserve">Tarifa de interconexión que </w:t>
      </w:r>
      <w:r w:rsidR="005F30D2" w:rsidRPr="00B7644C">
        <w:rPr>
          <w:rFonts w:ascii="ITC Avant Garde" w:hAnsi="ITC Avant Garde"/>
        </w:rPr>
        <w:t>MCM deberá pagar</w:t>
      </w:r>
      <w:r w:rsidRPr="00B7644C">
        <w:rPr>
          <w:rFonts w:ascii="ITC Avant Garde" w:hAnsi="ITC Avant Garde"/>
        </w:rPr>
        <w:t xml:space="preserve"> a </w:t>
      </w:r>
      <w:r w:rsidR="005F30D2" w:rsidRPr="00B7644C">
        <w:rPr>
          <w:rFonts w:ascii="ITC Avant Garde" w:hAnsi="ITC Avant Garde"/>
          <w:lang w:val="es-ES"/>
        </w:rPr>
        <w:t xml:space="preserve">Pegaso </w:t>
      </w:r>
      <w:r w:rsidR="00A944F1" w:rsidRPr="00B7644C">
        <w:rPr>
          <w:rFonts w:ascii="ITC Avant Garde" w:hAnsi="ITC Avant Garde"/>
          <w:lang w:val="es-ES"/>
        </w:rPr>
        <w:t>PCS</w:t>
      </w:r>
      <w:r w:rsidRPr="00B7644C">
        <w:rPr>
          <w:rFonts w:ascii="ITC Avant Garde" w:hAnsi="ITC Avant Garde"/>
        </w:rPr>
        <w:t xml:space="preserve">, aplicable del 1 de enero </w:t>
      </w:r>
      <w:r w:rsidR="00A50C4B" w:rsidRPr="00B7644C">
        <w:rPr>
          <w:rFonts w:ascii="ITC Avant Garde" w:hAnsi="ITC Avant Garde"/>
        </w:rPr>
        <w:t>al 31 de diciembre de 2017</w:t>
      </w:r>
      <w:r w:rsidRPr="00B7644C">
        <w:rPr>
          <w:rFonts w:ascii="ITC Avant Garde" w:hAnsi="ITC Avant Garde"/>
        </w:rPr>
        <w:t>.</w:t>
      </w:r>
    </w:p>
    <w:p w14:paraId="0C904E96" w14:textId="77777777" w:rsidR="00760EBF" w:rsidRDefault="00543EF7" w:rsidP="00760EBF">
      <w:pPr>
        <w:spacing w:before="240"/>
        <w:jc w:val="both"/>
        <w:rPr>
          <w:rFonts w:ascii="ITC Avant Garde" w:hAnsi="ITC Avant Garde"/>
        </w:rPr>
      </w:pPr>
      <w:r w:rsidRPr="00B7644C">
        <w:rPr>
          <w:rFonts w:ascii="ITC Avant Garde" w:hAnsi="ITC Avant Garde"/>
        </w:rPr>
        <w:t xml:space="preserve">Por su parte </w:t>
      </w:r>
      <w:r w:rsidR="005F30D2" w:rsidRPr="00B7644C">
        <w:rPr>
          <w:rFonts w:ascii="ITC Avant Garde" w:hAnsi="ITC Avant Garde"/>
        </w:rPr>
        <w:t xml:space="preserve">Pegaso </w:t>
      </w:r>
      <w:r w:rsidR="00A944F1" w:rsidRPr="00B7644C">
        <w:rPr>
          <w:rFonts w:ascii="ITC Avant Garde" w:hAnsi="ITC Avant Garde"/>
        </w:rPr>
        <w:t>PCS</w:t>
      </w:r>
      <w:r w:rsidRPr="00B7644C">
        <w:rPr>
          <w:rFonts w:ascii="ITC Avant Garde" w:hAnsi="ITC Avant Garde"/>
        </w:rPr>
        <w:t xml:space="preserve"> planteó en su </w:t>
      </w:r>
      <w:r w:rsidR="005F30D2" w:rsidRPr="00B7644C">
        <w:rPr>
          <w:rFonts w:ascii="ITC Avant Garde" w:hAnsi="ITC Avant Garde"/>
        </w:rPr>
        <w:t>respuesta</w:t>
      </w:r>
      <w:r w:rsidRPr="00B7644C">
        <w:rPr>
          <w:rFonts w:ascii="ITC Avant Garde" w:hAnsi="ITC Avant Garde"/>
        </w:rPr>
        <w:t xml:space="preserve"> los siguientes términos, condiciones y tarifas de interconexión que no </w:t>
      </w:r>
      <w:r w:rsidRPr="00B7644C">
        <w:rPr>
          <w:rFonts w:ascii="ITC Avant Garde" w:eastAsia="Times New Roman" w:hAnsi="ITC Avant Garde"/>
          <w:lang w:eastAsia="es-ES"/>
        </w:rPr>
        <w:t xml:space="preserve">pudo convenir con </w:t>
      </w:r>
      <w:r w:rsidR="00AA544C" w:rsidRPr="00B7644C">
        <w:rPr>
          <w:rFonts w:ascii="ITC Avant Garde" w:eastAsia="Times New Roman" w:hAnsi="ITC Avant Garde"/>
          <w:lang w:eastAsia="es-ES"/>
        </w:rPr>
        <w:t>MCM</w:t>
      </w:r>
      <w:r w:rsidRPr="00B7644C">
        <w:rPr>
          <w:rFonts w:ascii="ITC Avant Garde" w:eastAsia="Times New Roman" w:hAnsi="ITC Avant Garde"/>
        </w:rPr>
        <w:t>:</w:t>
      </w:r>
    </w:p>
    <w:p w14:paraId="4981C7A5" w14:textId="77777777" w:rsidR="00760EBF" w:rsidRDefault="005F30D2" w:rsidP="00760EBF">
      <w:pPr>
        <w:pStyle w:val="Prrafodelista"/>
        <w:numPr>
          <w:ilvl w:val="0"/>
          <w:numId w:val="18"/>
        </w:numPr>
        <w:spacing w:before="240" w:after="200" w:line="276" w:lineRule="auto"/>
        <w:rPr>
          <w:rFonts w:ascii="ITC Avant Garde" w:hAnsi="ITC Avant Garde"/>
        </w:rPr>
      </w:pPr>
      <w:r w:rsidRPr="00B7644C">
        <w:rPr>
          <w:rFonts w:ascii="ITC Avant Garde" w:hAnsi="ITC Avant Garde"/>
        </w:rPr>
        <w:t>La tarifa que deberá pagar MCM a Pegaso PCS por el servicio de terminación móvil a razón de $.03489 por minuto para el año 2017.</w:t>
      </w:r>
    </w:p>
    <w:p w14:paraId="0A0380E3" w14:textId="77777777" w:rsidR="00760EBF" w:rsidRDefault="005F30D2" w:rsidP="00760EBF">
      <w:pPr>
        <w:pStyle w:val="Prrafodelista"/>
        <w:numPr>
          <w:ilvl w:val="0"/>
          <w:numId w:val="18"/>
        </w:numPr>
        <w:spacing w:before="240" w:after="200" w:line="276" w:lineRule="auto"/>
        <w:rPr>
          <w:rFonts w:ascii="ITC Avant Garde" w:hAnsi="ITC Avant Garde"/>
        </w:rPr>
      </w:pPr>
      <w:r w:rsidRPr="00B7644C">
        <w:rPr>
          <w:rFonts w:ascii="ITC Avant Garde" w:hAnsi="ITC Avant Garde"/>
        </w:rPr>
        <w:t>Determinación de la tarifa por servicios de terminación fija qu</w:t>
      </w:r>
      <w:r w:rsidR="00684D44" w:rsidRPr="00B7644C">
        <w:rPr>
          <w:rFonts w:ascii="ITC Avant Garde" w:hAnsi="ITC Avant Garde"/>
        </w:rPr>
        <w:t>e Pegaso PCS deberá pagar a MCM para el año 2017.</w:t>
      </w:r>
    </w:p>
    <w:p w14:paraId="5B11BB8D" w14:textId="77777777" w:rsidR="00760EBF" w:rsidRDefault="00725844" w:rsidP="00760EBF">
      <w:pPr>
        <w:pStyle w:val="Prrafodelista"/>
        <w:widowControl w:val="0"/>
        <w:numPr>
          <w:ilvl w:val="0"/>
          <w:numId w:val="18"/>
        </w:numPr>
        <w:tabs>
          <w:tab w:val="center" w:pos="4419"/>
          <w:tab w:val="right" w:pos="8838"/>
        </w:tabs>
        <w:spacing w:before="240" w:after="200" w:line="276" w:lineRule="auto"/>
        <w:ind w:left="567"/>
        <w:rPr>
          <w:rFonts w:ascii="ITC Avant Garde" w:hAnsi="ITC Avant Garde"/>
        </w:rPr>
      </w:pPr>
      <w:r w:rsidRPr="00B7644C">
        <w:rPr>
          <w:rFonts w:ascii="ITC Avant Garde" w:hAnsi="ITC Avant Garde"/>
        </w:rPr>
        <w:t xml:space="preserve">La inclusión de un factor de ajuste a la tarifa de </w:t>
      </w:r>
      <w:r w:rsidR="00222035" w:rsidRPr="00B7644C">
        <w:rPr>
          <w:rFonts w:ascii="ITC Avant Garde" w:hAnsi="ITC Avant Garde"/>
        </w:rPr>
        <w:t xml:space="preserve">interconexión </w:t>
      </w:r>
      <w:r w:rsidRPr="00B7644C">
        <w:rPr>
          <w:rFonts w:ascii="ITC Avant Garde" w:hAnsi="ITC Avant Garde"/>
        </w:rPr>
        <w:t>para 2017 por variación en el tipo de cambio.</w:t>
      </w:r>
    </w:p>
    <w:p w14:paraId="20D7A024" w14:textId="77777777" w:rsidR="00760EBF" w:rsidRDefault="00A50C4B" w:rsidP="00760EBF">
      <w:pPr>
        <w:spacing w:before="240"/>
        <w:jc w:val="both"/>
        <w:rPr>
          <w:rFonts w:ascii="ITC Avant Garde" w:eastAsia="Times New Roman" w:hAnsi="ITC Avant Garde"/>
        </w:rPr>
      </w:pPr>
      <w:r w:rsidRPr="00B7644C">
        <w:rPr>
          <w:rFonts w:ascii="ITC Avant Garde" w:eastAsia="Times New Roman" w:hAnsi="ITC Avant Garde"/>
        </w:rPr>
        <w:t xml:space="preserve">Al respecto, el artículo 129 de la LFTyR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w:t>
      </w:r>
      <w:r w:rsidRPr="00B7644C">
        <w:rPr>
          <w:rFonts w:ascii="ITC Avant Garde" w:eastAsia="Times New Roman" w:hAnsi="ITC Avant Garde"/>
        </w:rPr>
        <w:lastRenderedPageBreak/>
        <w:t>interconexión y no exista acuerdo entre las partes deberán presentar ante el Instituto sus solicitudes de resolución sobre el desacuerdo de interconexión.</w:t>
      </w:r>
    </w:p>
    <w:p w14:paraId="7A4FB5A7" w14:textId="77777777" w:rsidR="00760EBF" w:rsidRDefault="00A50C4B" w:rsidP="00760EBF">
      <w:pPr>
        <w:spacing w:before="240"/>
        <w:jc w:val="both"/>
        <w:rPr>
          <w:rFonts w:ascii="ITC Avant Garde" w:eastAsia="Times New Roman" w:hAnsi="ITC Avant Garde"/>
        </w:rPr>
      </w:pPr>
      <w:r w:rsidRPr="00B7644C">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07079F8F" w14:textId="77777777" w:rsidR="00760EBF" w:rsidRDefault="00A50C4B" w:rsidP="00760EBF">
      <w:pPr>
        <w:spacing w:before="240"/>
        <w:jc w:val="both"/>
        <w:rPr>
          <w:rFonts w:ascii="ITC Avant Garde" w:eastAsia="Times New Roman" w:hAnsi="ITC Avant Garde"/>
        </w:rPr>
      </w:pPr>
      <w:r w:rsidRPr="00B7644C">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4D691F89" w14:textId="77777777" w:rsidR="00760EBF" w:rsidRDefault="00A50C4B" w:rsidP="00760EBF">
      <w:pPr>
        <w:spacing w:before="240"/>
        <w:jc w:val="both"/>
        <w:rPr>
          <w:rFonts w:ascii="ITC Avant Garde" w:eastAsia="Times New Roman" w:hAnsi="ITC Avant Garde"/>
        </w:rPr>
      </w:pPr>
      <w:r w:rsidRPr="00B7644C">
        <w:rPr>
          <w:rFonts w:ascii="ITC Avant Garde" w:eastAsia="Times New Roman" w:hAnsi="ITC Avant Garde"/>
        </w:rPr>
        <w:t>Por lo que, en términos del artículo 129 de la LFTyR es procedente resolver las condiciones solicitadas por ambas partes.</w:t>
      </w:r>
    </w:p>
    <w:p w14:paraId="72278309" w14:textId="77777777" w:rsidR="00760EBF" w:rsidRDefault="00725844" w:rsidP="00760EBF">
      <w:pPr>
        <w:pStyle w:val="Piedepgina"/>
        <w:widowControl w:val="0"/>
        <w:tabs>
          <w:tab w:val="left" w:pos="720"/>
        </w:tabs>
        <w:spacing w:before="240" w:after="200" w:line="276" w:lineRule="auto"/>
        <w:jc w:val="both"/>
        <w:rPr>
          <w:rFonts w:ascii="ITC Avant Garde" w:hAnsi="ITC Avant Garde" w:cs="Arial"/>
          <w:lang w:val="es-ES"/>
        </w:rPr>
      </w:pPr>
      <w:r w:rsidRPr="00B7644C">
        <w:rPr>
          <w:rFonts w:ascii="ITC Avant Garde" w:hAnsi="ITC Avant Garde" w:cs="Arial"/>
          <w:lang w:val="es-ES"/>
        </w:rPr>
        <w:t xml:space="preserve">Ahora bien, Pegaso PCS señala como condición no convenida la contenida en el inciso </w:t>
      </w:r>
      <w:r w:rsidRPr="00B7644C">
        <w:rPr>
          <w:rFonts w:ascii="ITC Avant Garde" w:hAnsi="ITC Avant Garde" w:cs="Arial"/>
          <w:b/>
          <w:lang w:val="es-ES"/>
        </w:rPr>
        <w:t>d)</w:t>
      </w:r>
      <w:r w:rsidRPr="00B7644C">
        <w:rPr>
          <w:rFonts w:ascii="ITC Avant Garde" w:hAnsi="ITC Avant Garde" w:cs="Arial"/>
          <w:lang w:val="es-ES"/>
        </w:rPr>
        <w:t>, toda vez que la tarifa que resulta de la Metodología de Costos empleada por el Instituto considera costos unitarios en dólares a precios de un año determinado, por lo que es necesario incluir un mecanismo de ajuste para evitar que las variaciones en la inflación y el tipo de cambio considerados se traduzcan en desviaciones significativas del valor en pesos corrientes de la tarifa respecto del costo efectivamente calculado por el Instituto, con base en la metodología utilizada. En consecuencia, proponen que el valor en pesos corrientes de la tarifa de terminación se pueda ajustar por el porcentaje de variación de la inflación anual o del tipo de cambio que exceda un rango de 5%.</w:t>
      </w:r>
    </w:p>
    <w:p w14:paraId="1856DA28" w14:textId="77777777" w:rsidR="00760EBF" w:rsidRDefault="00725844" w:rsidP="00760EBF">
      <w:pPr>
        <w:pStyle w:val="Piedepgina"/>
        <w:widowControl w:val="0"/>
        <w:tabs>
          <w:tab w:val="left" w:pos="720"/>
        </w:tabs>
        <w:spacing w:before="240" w:after="200" w:line="276" w:lineRule="auto"/>
        <w:jc w:val="both"/>
        <w:rPr>
          <w:rFonts w:ascii="ITC Avant Garde" w:hAnsi="ITC Avant Garde" w:cs="Arial"/>
          <w:lang w:val="es-ES"/>
        </w:rPr>
      </w:pPr>
      <w:r w:rsidRPr="00B7644C">
        <w:rPr>
          <w:rFonts w:ascii="ITC Avant Garde" w:hAnsi="ITC Avant Garde" w:cs="Arial"/>
          <w:lang w:val="es-ES"/>
        </w:rPr>
        <w:t>En ese orden de ideas, considera que la inclusión de una cláusula de ajuste o actualización por depreciación o variación relevante en el tipo de cambio, resulta en un ejercicio regulatorio que apunta a dar mayor certeza y seguridad jurídica a la industria.</w:t>
      </w:r>
    </w:p>
    <w:p w14:paraId="180AF68A" w14:textId="77777777" w:rsidR="00760EBF" w:rsidRDefault="00725844" w:rsidP="00760EBF">
      <w:pPr>
        <w:spacing w:before="240"/>
        <w:jc w:val="both"/>
        <w:rPr>
          <w:rFonts w:ascii="ITC Avant Garde" w:hAnsi="ITC Avant Garde"/>
          <w:lang w:val="es-ES_tradnl" w:eastAsia="es-ES"/>
        </w:rPr>
      </w:pPr>
      <w:r w:rsidRPr="00B7644C">
        <w:rPr>
          <w:rFonts w:ascii="ITC Avant Garde" w:hAnsi="ITC Avant Garde"/>
          <w:lang w:val="es-ES_tradnl" w:eastAsia="es-ES"/>
        </w:rPr>
        <w:t>Al respecto, el Instituto señala que el lineamiento Décimo Tercero de la Metodología de Costos, establece que:</w:t>
      </w:r>
    </w:p>
    <w:p w14:paraId="6F563926" w14:textId="77777777" w:rsidR="00760EBF" w:rsidRDefault="00725844" w:rsidP="00760EBF">
      <w:pPr>
        <w:spacing w:before="240"/>
        <w:ind w:left="567" w:right="615"/>
        <w:jc w:val="both"/>
        <w:rPr>
          <w:rFonts w:ascii="ITC Avant Garde" w:hAnsi="ITC Avant Garde"/>
          <w:i/>
          <w:sz w:val="18"/>
          <w:szCs w:val="18"/>
          <w:lang w:val="es-ES_tradnl" w:eastAsia="es-ES"/>
        </w:rPr>
      </w:pPr>
      <w:r w:rsidRPr="00B7644C">
        <w:rPr>
          <w:rFonts w:ascii="ITC Avant Garde" w:hAnsi="ITC Avant Garde"/>
          <w:i/>
          <w:sz w:val="18"/>
          <w:szCs w:val="18"/>
          <w:lang w:val="es-ES_tradnl" w:eastAsia="es-ES"/>
        </w:rPr>
        <w:t>“</w:t>
      </w:r>
      <w:r w:rsidRPr="00B7644C">
        <w:rPr>
          <w:rFonts w:ascii="ITC Avant Garde" w:hAnsi="ITC Avant Garde"/>
          <w:b/>
          <w:i/>
          <w:sz w:val="18"/>
          <w:szCs w:val="18"/>
          <w:lang w:val="es-ES_tradnl" w:eastAsia="es-ES"/>
        </w:rPr>
        <w:t>DÉCIMO TERCERO</w:t>
      </w:r>
      <w:r w:rsidRPr="00B7644C">
        <w:rPr>
          <w:rFonts w:ascii="ITC Avant Garde" w:hAnsi="ITC Avant Garde"/>
          <w:i/>
          <w:sz w:val="18"/>
          <w:szCs w:val="18"/>
          <w:lang w:val="es-ES_tradnl" w:eastAsia="es-ES"/>
        </w:rPr>
        <w:t>.-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4E9325ED" w14:textId="77777777" w:rsidR="00760EBF" w:rsidRDefault="00725844" w:rsidP="00760EBF">
      <w:pPr>
        <w:pStyle w:val="Piedepgina"/>
        <w:widowControl w:val="0"/>
        <w:tabs>
          <w:tab w:val="left" w:pos="720"/>
        </w:tabs>
        <w:spacing w:before="240" w:after="200" w:line="276" w:lineRule="auto"/>
        <w:jc w:val="both"/>
        <w:rPr>
          <w:rFonts w:ascii="ITC Avant Garde" w:hAnsi="ITC Avant Garde" w:cs="Arial"/>
        </w:rPr>
      </w:pPr>
      <w:r w:rsidRPr="00B7644C">
        <w:rPr>
          <w:rFonts w:ascii="ITC Avant Garde" w:hAnsi="ITC Avant Garde" w:cs="Arial"/>
        </w:rPr>
        <w:lastRenderedPageBreak/>
        <w:t>En este sentido, el lineamiento antes citado señala que el Instituto podrá actualizar anualmente la información del Modelo de Costos, por lo que en apego al mismo y a efecto de generar certidumbre, el Instituto determinó en su XXXII Sesión Ordinaria de Pleno, celebrada el 20 de septiembre de 2016, la</w:t>
      </w:r>
      <w:r w:rsidR="000D1B56" w:rsidRPr="00B7644C">
        <w:rPr>
          <w:rFonts w:ascii="ITC Avant Garde" w:hAnsi="ITC Avant Garde" w:cs="Arial"/>
        </w:rPr>
        <w:t>s</w:t>
      </w:r>
      <w:r w:rsidRPr="00B7644C">
        <w:rPr>
          <w:rFonts w:ascii="ITC Avant Garde" w:hAnsi="ITC Avant Garde" w:cs="Arial"/>
        </w:rPr>
        <w:t xml:space="preserve"> tarifas de interconexión aplicables para el </w:t>
      </w:r>
      <w:r w:rsidR="000D1B56" w:rsidRPr="00B7644C">
        <w:rPr>
          <w:rFonts w:ascii="ITC Avant Garde" w:hAnsi="ITC Avant Garde" w:cs="Arial"/>
        </w:rPr>
        <w:t>año 2017</w:t>
      </w:r>
      <w:r w:rsidRPr="00B7644C">
        <w:rPr>
          <w:rFonts w:ascii="ITC Avant Garde" w:hAnsi="ITC Avant Garde" w:cs="Arial"/>
        </w:rPr>
        <w:t>.</w:t>
      </w:r>
    </w:p>
    <w:p w14:paraId="17474BED" w14:textId="77777777" w:rsidR="00760EBF" w:rsidRDefault="00725844" w:rsidP="00760EBF">
      <w:pPr>
        <w:pStyle w:val="Piedepgina"/>
        <w:widowControl w:val="0"/>
        <w:tabs>
          <w:tab w:val="left" w:pos="720"/>
        </w:tabs>
        <w:spacing w:before="240" w:after="200" w:line="276" w:lineRule="auto"/>
        <w:jc w:val="both"/>
        <w:rPr>
          <w:rFonts w:ascii="ITC Avant Garde" w:hAnsi="ITC Avant Garde" w:cs="Arial"/>
        </w:rPr>
      </w:pPr>
      <w:r w:rsidRPr="00B7644C">
        <w:rPr>
          <w:rFonts w:ascii="ITC Avant Garde" w:hAnsi="ITC Avant Garde" w:cs="Arial"/>
        </w:rPr>
        <w:t xml:space="preserve">Asimismo, en cumplimiento al mandato establecido en el artículo 129 de la LFTyR, este Instituto debe actuar en estricto apego al procedimiento de resolución ahí establecido, incluyendo los plazos límite para emitir resolución; por lo que al momento de la resolución de los primeros diferendos en materia de interconexión sobre las tarifas </w:t>
      </w:r>
      <w:r w:rsidR="005A6948" w:rsidRPr="00B7644C">
        <w:rPr>
          <w:rFonts w:ascii="ITC Avant Garde" w:hAnsi="ITC Avant Garde" w:cs="Arial"/>
        </w:rPr>
        <w:t>del año</w:t>
      </w:r>
      <w:r w:rsidRPr="00B7644C">
        <w:rPr>
          <w:rFonts w:ascii="ITC Avant Garde" w:hAnsi="ITC Avant Garde" w:cs="Arial"/>
        </w:rPr>
        <w:t xml:space="preserve"> 2017, este Instituto actualizó los modelos con base en la mejor información disponible, particularmente lo referente al tipo de cambio. </w:t>
      </w:r>
    </w:p>
    <w:p w14:paraId="013E01AF" w14:textId="77777777" w:rsidR="00760EBF" w:rsidRDefault="00725844" w:rsidP="00760EBF">
      <w:pPr>
        <w:spacing w:before="240"/>
        <w:jc w:val="both"/>
        <w:rPr>
          <w:rFonts w:ascii="ITC Avant Garde" w:hAnsi="ITC Avant Garde"/>
          <w:lang w:val="es-ES_tradnl" w:eastAsia="es-ES"/>
        </w:rPr>
      </w:pPr>
      <w:r w:rsidRPr="00B7644C">
        <w:rPr>
          <w:rFonts w:ascii="ITC Avant Garde" w:hAnsi="ITC Avant Garde" w:cs="Arial"/>
        </w:rPr>
        <w:t xml:space="preserve">Ahora bien, como se señala en el antecedente VI, en cumplimiento a lo determinado en el artículo 137 de la LFTyR,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desacuerdos se resolvieran cuando la función de terminación es la misma para todas las redes. </w:t>
      </w:r>
      <w:r w:rsidRPr="00B7644C">
        <w:rPr>
          <w:rFonts w:ascii="ITC Avant Garde" w:hAnsi="ITC Avant Garde"/>
          <w:lang w:val="es-ES_tradnl" w:eastAsia="es-ES"/>
        </w:rPr>
        <w:t xml:space="preserve">Por lo anterior, este Instituto determina que no es procedente incluir un factor de ajuste como el solicitado en el inciso </w:t>
      </w:r>
      <w:r w:rsidRPr="00B7644C">
        <w:rPr>
          <w:rFonts w:ascii="ITC Avant Garde" w:hAnsi="ITC Avant Garde"/>
          <w:b/>
          <w:lang w:val="es-ES_tradnl" w:eastAsia="es-ES"/>
        </w:rPr>
        <w:t>d)</w:t>
      </w:r>
      <w:r w:rsidRPr="00B7644C">
        <w:rPr>
          <w:rFonts w:ascii="ITC Avant Garde" w:hAnsi="ITC Avant Garde"/>
          <w:lang w:val="es-ES_tradnl" w:eastAsia="es-ES"/>
        </w:rPr>
        <w:t>, toda vez que la actualización del tipo de cambio ya fue determinado en el Acuerdo de CTM y Tarifas 2017.</w:t>
      </w:r>
    </w:p>
    <w:p w14:paraId="3DA1B3D9" w14:textId="77777777" w:rsidR="00760EBF" w:rsidRDefault="00A50C4B" w:rsidP="00760EBF">
      <w:pPr>
        <w:spacing w:before="240"/>
        <w:jc w:val="both"/>
        <w:rPr>
          <w:rFonts w:ascii="ITC Avant Garde" w:hAnsi="ITC Avant Garde"/>
        </w:rPr>
      </w:pPr>
      <w:r w:rsidRPr="00B7644C">
        <w:rPr>
          <w:rFonts w:ascii="ITC Avant Garde" w:eastAsia="Times New Roman" w:hAnsi="ITC Avant Garde"/>
          <w:lang w:val="es-ES" w:eastAsia="es-ES"/>
        </w:rPr>
        <w:t xml:space="preserve">En virtud de lo anterior, las condiciones no convenidas planteadas por las partes </w:t>
      </w:r>
      <w:r w:rsidRPr="00B7644C">
        <w:rPr>
          <w:rFonts w:ascii="ITC Avant Garde" w:hAnsi="ITC Avant Garde"/>
        </w:rPr>
        <w:t>sobre las cuales se pronunciará el Instituto, son las siguientes:</w:t>
      </w:r>
    </w:p>
    <w:p w14:paraId="2F5E2C01" w14:textId="42D34242" w:rsidR="005F30D2" w:rsidRPr="00B7644C" w:rsidRDefault="005F30D2" w:rsidP="00760EBF">
      <w:pPr>
        <w:pStyle w:val="Prrafodelista"/>
        <w:widowControl w:val="0"/>
        <w:numPr>
          <w:ilvl w:val="0"/>
          <w:numId w:val="34"/>
        </w:numPr>
        <w:tabs>
          <w:tab w:val="center" w:pos="4419"/>
          <w:tab w:val="right" w:pos="8838"/>
        </w:tabs>
        <w:spacing w:before="240" w:after="200" w:line="276" w:lineRule="auto"/>
        <w:rPr>
          <w:rFonts w:ascii="ITC Avant Garde" w:hAnsi="ITC Avant Garde"/>
        </w:rPr>
      </w:pPr>
      <w:r w:rsidRPr="00B7644C">
        <w:rPr>
          <w:rFonts w:ascii="ITC Avant Garde" w:hAnsi="ITC Avant Garde"/>
        </w:rPr>
        <w:t xml:space="preserve">Tarifa de interconexión que MCM deberá pagar a </w:t>
      </w:r>
      <w:r w:rsidRPr="00B7644C">
        <w:rPr>
          <w:rFonts w:ascii="ITC Avant Garde" w:hAnsi="ITC Avant Garde"/>
          <w:lang w:val="es-ES"/>
        </w:rPr>
        <w:t xml:space="preserve">Pegaso PCS </w:t>
      </w:r>
      <w:r w:rsidRPr="00B7644C">
        <w:rPr>
          <w:rFonts w:ascii="ITC Avant Garde" w:hAnsi="ITC Avant Garde"/>
        </w:rPr>
        <w:t>por la terminación de llamadas dentro de su red, aplicable del 1 de enero de 2017 al 31 de diciembre de 2017.</w:t>
      </w:r>
    </w:p>
    <w:p w14:paraId="05960CFC" w14:textId="77777777" w:rsidR="00760EBF" w:rsidRDefault="005F30D2" w:rsidP="00760EBF">
      <w:pPr>
        <w:pStyle w:val="Prrafodelista"/>
        <w:widowControl w:val="0"/>
        <w:numPr>
          <w:ilvl w:val="0"/>
          <w:numId w:val="34"/>
        </w:numPr>
        <w:tabs>
          <w:tab w:val="center" w:pos="4419"/>
          <w:tab w:val="right" w:pos="8838"/>
        </w:tabs>
        <w:spacing w:before="240" w:after="200" w:line="276" w:lineRule="auto"/>
        <w:rPr>
          <w:rFonts w:ascii="ITC Avant Garde" w:hAnsi="ITC Avant Garde"/>
        </w:rPr>
      </w:pPr>
      <w:r w:rsidRPr="00B7644C">
        <w:rPr>
          <w:rFonts w:ascii="ITC Avant Garde" w:hAnsi="ITC Avant Garde"/>
        </w:rPr>
        <w:t xml:space="preserve">Tarifa de interconexión que </w:t>
      </w:r>
      <w:r w:rsidRPr="00B7644C">
        <w:rPr>
          <w:rFonts w:ascii="ITC Avant Garde" w:hAnsi="ITC Avant Garde"/>
          <w:lang w:val="es-ES"/>
        </w:rPr>
        <w:t xml:space="preserve">Pegaso PCS </w:t>
      </w:r>
      <w:r w:rsidRPr="00B7644C">
        <w:rPr>
          <w:rFonts w:ascii="ITC Avant Garde" w:hAnsi="ITC Avant Garde"/>
        </w:rPr>
        <w:t>deberá pagar a MCM por la terminación de llamadas dentro de su red, aplicable del 1 de enero de 2017 al 31 de diciembre de 2017.</w:t>
      </w:r>
    </w:p>
    <w:p w14:paraId="1642AFAB" w14:textId="77777777" w:rsidR="00760EBF" w:rsidRDefault="00731B1C" w:rsidP="00760EBF">
      <w:pPr>
        <w:spacing w:before="240"/>
        <w:jc w:val="both"/>
        <w:rPr>
          <w:rFonts w:ascii="ITC Avant Garde" w:hAnsi="ITC Avant Garde"/>
        </w:rPr>
      </w:pPr>
      <w:r w:rsidRPr="00B7644C">
        <w:rPr>
          <w:rFonts w:ascii="ITC Avant Garde" w:eastAsia="Times New Roman" w:hAnsi="ITC Avant Garde"/>
        </w:rPr>
        <w:t xml:space="preserve">Por lo anterior, </w:t>
      </w:r>
      <w:r w:rsidR="00B15D4E" w:rsidRPr="00B7644C">
        <w:rPr>
          <w:rFonts w:ascii="ITC Avant Garde" w:hAnsi="ITC Avant Garde"/>
        </w:rPr>
        <w:t xml:space="preserve">en términos del artículo 129 de la LFTyR, se procede a resolver las condiciones no convenidas </w:t>
      </w:r>
      <w:r w:rsidR="006E6FC6" w:rsidRPr="00B7644C">
        <w:rPr>
          <w:rFonts w:ascii="ITC Avant Garde" w:hAnsi="ITC Avant Garde"/>
        </w:rPr>
        <w:t>planteadas</w:t>
      </w:r>
      <w:r w:rsidR="00B15D4E" w:rsidRPr="00B7644C">
        <w:rPr>
          <w:rFonts w:ascii="ITC Avant Garde" w:hAnsi="ITC Avant Garde"/>
        </w:rPr>
        <w:t xml:space="preserve"> por las partes.</w:t>
      </w:r>
    </w:p>
    <w:p w14:paraId="6EAB505B" w14:textId="77777777" w:rsidR="00760EBF" w:rsidRDefault="005F30D2" w:rsidP="00760EBF">
      <w:pPr>
        <w:spacing w:before="240"/>
        <w:jc w:val="both"/>
        <w:rPr>
          <w:rFonts w:ascii="ITC Avant Garde" w:eastAsia="Times New Roman" w:hAnsi="ITC Avant Garde"/>
        </w:rPr>
      </w:pPr>
      <w:r w:rsidRPr="00B7644C">
        <w:rPr>
          <w:rFonts w:ascii="ITC Avant Garde" w:eastAsia="Times New Roman" w:hAnsi="ITC Avant Garde"/>
        </w:rPr>
        <w:t xml:space="preserve">Previamente al análisis de las condiciones no convenidas, el Instituto procede, en primera instancia, a analizar específicamente las argumentaciones generales de Pegaso PCS en relación con el presente procedimiento, para posteriormente resolver sobre </w:t>
      </w:r>
      <w:r w:rsidRPr="00B7644C">
        <w:rPr>
          <w:rFonts w:ascii="ITC Avant Garde" w:eastAsia="Times New Roman" w:hAnsi="ITC Avant Garde"/>
        </w:rPr>
        <w:lastRenderedPageBreak/>
        <w:t>aquellos puntos de desacuerdo que en materia de interconexión fueron sometidos por las partes.</w:t>
      </w:r>
    </w:p>
    <w:p w14:paraId="7409BFCB" w14:textId="77777777" w:rsidR="00760EBF" w:rsidRDefault="00970EC3" w:rsidP="00760EBF">
      <w:pPr>
        <w:spacing w:before="240"/>
        <w:jc w:val="both"/>
        <w:rPr>
          <w:rFonts w:ascii="ITC Avant Garde" w:eastAsia="Times New Roman" w:hAnsi="ITC Avant Garde"/>
          <w:b/>
        </w:rPr>
      </w:pPr>
      <w:r w:rsidRPr="00B7644C">
        <w:rPr>
          <w:rFonts w:ascii="ITC Avant Garde" w:eastAsia="Times New Roman" w:hAnsi="ITC Avant Garde"/>
          <w:b/>
        </w:rPr>
        <w:t xml:space="preserve">A. Ilegalidad de la resolución de las tarifas de interconexión para el año 2017, hasta la publicación en el DOF de las condiciones técnicas mínimas y las tarifas que hayan resultado de la metodología de costos vigentes en el año calendario inmediato siguiente, de conformidad con los artículos 137 y 131 inciso b) de la LFTyR, mismas que deberán justificarse considerando los elementos utilizados para su cálculo en el mercado mexicano. </w:t>
      </w:r>
    </w:p>
    <w:p w14:paraId="3A9CF0C9" w14:textId="77777777" w:rsidR="00760EBF" w:rsidRDefault="00970EC3" w:rsidP="00760EBF">
      <w:pPr>
        <w:spacing w:before="240"/>
        <w:jc w:val="both"/>
        <w:rPr>
          <w:rFonts w:ascii="ITC Avant Garde" w:eastAsia="Times New Roman" w:hAnsi="ITC Avant Garde"/>
        </w:rPr>
      </w:pPr>
      <w:r w:rsidRPr="00B7644C">
        <w:rPr>
          <w:rFonts w:ascii="ITC Avant Garde" w:eastAsia="Times New Roman" w:hAnsi="ITC Avant Garde"/>
        </w:rPr>
        <w:t>Pegaso PCS señala que resultará ilegal la determinación de tarifas por terminación móvil para 2017, de conformidad con el principio de publicidad que establece el artículo 137 en relación con el artículo 131 inciso b) de la LFTyR hasta en tanto no sean publicadas en el Diario Oficial de la Federación, si las mismas no se establecen conforme al principio de asimetría, considerando la participación del mercado, congestionamiento de red y el volumen de tráfico que se apegue a la realidad del mercado mexicano.</w:t>
      </w:r>
    </w:p>
    <w:p w14:paraId="4D21F02C" w14:textId="77777777" w:rsidR="00760EBF" w:rsidRDefault="00970EC3" w:rsidP="00760EBF">
      <w:pPr>
        <w:spacing w:before="240"/>
        <w:jc w:val="both"/>
        <w:rPr>
          <w:rFonts w:ascii="ITC Avant Garde" w:eastAsia="Times New Roman" w:hAnsi="ITC Avant Garde"/>
        </w:rPr>
      </w:pPr>
      <w:r w:rsidRPr="00B7644C">
        <w:rPr>
          <w:rFonts w:ascii="ITC Avant Garde" w:eastAsia="Times New Roman" w:hAnsi="ITC Avant Garde"/>
        </w:rPr>
        <w:t>Asimismo, Pegaso PCS manifiesta que el Instituto debe actualizar la información de la demanda de los servicios, los precios de los insumos empleados, el Costo de Capital Promedio Ponderado y el tipo de cambio utilizados en el Modelo de Costos, con el fin de garantizar que se reflejen las condiciones de mercado, de lo contrario violará los derechos de legalidad, seguridad jurídica y demás derechos fundamentales y de interconexión de Pegaso PCS.</w:t>
      </w:r>
    </w:p>
    <w:p w14:paraId="00BB5A22" w14:textId="77777777" w:rsidR="00760EBF" w:rsidRDefault="00970EC3" w:rsidP="00760EBF">
      <w:pPr>
        <w:spacing w:before="240"/>
        <w:jc w:val="both"/>
        <w:rPr>
          <w:rFonts w:ascii="ITC Avant Garde" w:eastAsia="Times New Roman" w:hAnsi="ITC Avant Garde"/>
          <w:b/>
        </w:rPr>
      </w:pPr>
      <w:r w:rsidRPr="00B7644C">
        <w:rPr>
          <w:rFonts w:ascii="ITC Avant Garde" w:eastAsia="Times New Roman" w:hAnsi="ITC Avant Garde"/>
          <w:b/>
        </w:rPr>
        <w:t>Consideraciones del Instituto</w:t>
      </w:r>
    </w:p>
    <w:p w14:paraId="1D2638A7" w14:textId="77777777" w:rsidR="00760EBF" w:rsidRDefault="00970EC3" w:rsidP="00760EBF">
      <w:pPr>
        <w:spacing w:before="240"/>
        <w:jc w:val="both"/>
        <w:rPr>
          <w:rFonts w:ascii="ITC Avant Garde" w:eastAsia="Times New Roman" w:hAnsi="ITC Avant Garde"/>
          <w:szCs w:val="20"/>
        </w:rPr>
      </w:pPr>
      <w:r w:rsidRPr="00B7644C">
        <w:rPr>
          <w:rFonts w:ascii="ITC Avant Garde" w:eastAsia="Times New Roman" w:hAnsi="ITC Avant Garde"/>
        </w:rPr>
        <w:t>Respecto de las manifestaciones vertidas por Pegaso PCS en el sentido de que la determinación de tarifas resultaría ilegal al no estar publicadas en el DOF, se considera que sus señalamientos resultan infundados, toda vez que la autoridad puede resolver las tarifas materia del presente procedimiento fundando y motivando debidamente sus actos; sin embargo</w:t>
      </w:r>
      <w:r w:rsidR="007E09B3" w:rsidRPr="00B7644C">
        <w:rPr>
          <w:rFonts w:ascii="ITC Avant Garde" w:eastAsia="Times New Roman" w:hAnsi="ITC Avant Garde"/>
        </w:rPr>
        <w:t>,</w:t>
      </w:r>
      <w:r w:rsidRPr="00B7644C">
        <w:rPr>
          <w:rFonts w:ascii="ITC Avant Garde" w:eastAsia="Times New Roman" w:hAnsi="ITC Avant Garde"/>
        </w:rPr>
        <w:t xml:space="preserve"> se señala que el 3 de octubre de 2016, se publicó en el DOF el Acuerdo de CTM y Tarifas 2017, dando cumplimiento a lo establecido en el artículo 137 de la LFTyR, por lo que carece de materia el argumento de Pegaso PCS.</w:t>
      </w:r>
    </w:p>
    <w:p w14:paraId="73DB15C1" w14:textId="77777777" w:rsidR="00760EBF" w:rsidRDefault="00970EC3" w:rsidP="00760EBF">
      <w:pPr>
        <w:spacing w:before="240"/>
        <w:jc w:val="both"/>
        <w:rPr>
          <w:rFonts w:ascii="ITC Avant Garde" w:eastAsia="Times New Roman" w:hAnsi="ITC Avant Garde"/>
        </w:rPr>
      </w:pPr>
      <w:r w:rsidRPr="00B7644C">
        <w:rPr>
          <w:rFonts w:ascii="ITC Avant Garde" w:eastAsia="Times New Roman" w:hAnsi="ITC Avant Garde"/>
        </w:rPr>
        <w:t>Ahora bien, respecto de la actualización de la información en el Modelo de Costos argumentada por Pegaso PCS, se señala que de conformidad con el Considerando Quinto del Acuerdo de CTM y Tarifas 2017, se estableció lo siguiente:</w:t>
      </w:r>
    </w:p>
    <w:p w14:paraId="0F343864" w14:textId="77777777" w:rsidR="00760EBF" w:rsidRDefault="00970EC3" w:rsidP="00760EBF">
      <w:pPr>
        <w:spacing w:before="240"/>
        <w:ind w:left="567" w:right="615"/>
        <w:jc w:val="both"/>
        <w:rPr>
          <w:rFonts w:ascii="ITC Avant Garde" w:eastAsia="Times New Roman" w:hAnsi="ITC Avant Garde"/>
          <w:i/>
          <w:sz w:val="18"/>
        </w:rPr>
      </w:pPr>
      <w:r w:rsidRPr="00B7644C">
        <w:rPr>
          <w:rFonts w:ascii="Segoe UI Symbol" w:eastAsia="Times New Roman" w:hAnsi="Segoe UI Symbol"/>
          <w:i/>
          <w:sz w:val="18"/>
        </w:rPr>
        <w:t>«</w:t>
      </w:r>
      <w:r w:rsidRPr="00B7644C">
        <w:rPr>
          <w:rFonts w:ascii="ITC Avant Garde" w:eastAsia="Times New Roman" w:hAnsi="ITC Avant Garde"/>
          <w:b/>
          <w:i/>
          <w:sz w:val="18"/>
        </w:rPr>
        <w:t xml:space="preserve">QUINTO.- </w:t>
      </w:r>
      <w:r w:rsidRPr="00B7644C">
        <w:rPr>
          <w:rFonts w:ascii="ITC Avant Garde" w:eastAsia="Times New Roman" w:hAnsi="ITC Avant Garde"/>
          <w:i/>
          <w:sz w:val="18"/>
        </w:rPr>
        <w:t>[…]</w:t>
      </w:r>
    </w:p>
    <w:p w14:paraId="2BF21340" w14:textId="36DE74D1" w:rsidR="00970EC3" w:rsidRPr="00B7644C" w:rsidRDefault="00970EC3" w:rsidP="00760EBF">
      <w:pPr>
        <w:spacing w:before="240"/>
        <w:ind w:left="567" w:right="615"/>
        <w:jc w:val="both"/>
        <w:rPr>
          <w:rFonts w:ascii="ITC Avant Garde" w:eastAsia="Times New Roman" w:hAnsi="ITC Avant Garde"/>
          <w:i/>
          <w:sz w:val="18"/>
        </w:rPr>
      </w:pPr>
      <w:r w:rsidRPr="00B7644C">
        <w:rPr>
          <w:rFonts w:ascii="ITC Avant Garde" w:eastAsia="Times New Roman" w:hAnsi="ITC Avant Garde"/>
          <w:i/>
          <w:sz w:val="18"/>
        </w:rPr>
        <w:t>En este sentido, y con relación al Modelo de Costos utilizado para determinar las tarifas de interconexión aplicables durante 2015 y 2016 se ha actualizado la siguiente información:</w:t>
      </w:r>
    </w:p>
    <w:p w14:paraId="00D94E0E" w14:textId="77777777" w:rsidR="00970EC3" w:rsidRPr="00B7644C" w:rsidRDefault="00970EC3" w:rsidP="00760EBF">
      <w:pPr>
        <w:spacing w:before="240"/>
        <w:ind w:left="567" w:right="615"/>
        <w:jc w:val="both"/>
        <w:rPr>
          <w:rFonts w:ascii="ITC Avant Garde" w:eastAsia="Times New Roman" w:hAnsi="ITC Avant Garde"/>
          <w:i/>
          <w:sz w:val="18"/>
        </w:rPr>
      </w:pPr>
      <w:r w:rsidRPr="00B7644C">
        <w:rPr>
          <w:rFonts w:ascii="ITC Avant Garde" w:eastAsia="Times New Roman" w:hAnsi="ITC Avant Garde"/>
          <w:sz w:val="18"/>
        </w:rPr>
        <w:lastRenderedPageBreak/>
        <w:t>•</w:t>
      </w:r>
      <w:r w:rsidRPr="00B7644C">
        <w:rPr>
          <w:rFonts w:ascii="ITC Avant Garde" w:eastAsia="Times New Roman" w:hAnsi="ITC Avant Garde"/>
          <w:sz w:val="18"/>
        </w:rPr>
        <w:tab/>
      </w:r>
      <w:r w:rsidRPr="00B7644C">
        <w:rPr>
          <w:rFonts w:ascii="ITC Avant Garde" w:eastAsia="Times New Roman" w:hAnsi="ITC Avant Garde"/>
          <w:i/>
          <w:sz w:val="18"/>
        </w:rPr>
        <w:t>Los datos históricos y las proyecciones de demanda con la información más reciente con que cuenta el Instituto.</w:t>
      </w:r>
    </w:p>
    <w:p w14:paraId="2B940D5C" w14:textId="77777777" w:rsidR="00970EC3" w:rsidRPr="00B7644C" w:rsidRDefault="00970EC3" w:rsidP="00760EBF">
      <w:pPr>
        <w:spacing w:before="240"/>
        <w:ind w:left="567" w:right="615"/>
        <w:jc w:val="both"/>
        <w:rPr>
          <w:rFonts w:ascii="ITC Avant Garde" w:eastAsia="Times New Roman" w:hAnsi="ITC Avant Garde"/>
          <w:i/>
          <w:sz w:val="18"/>
        </w:rPr>
      </w:pPr>
      <w:r w:rsidRPr="00B7644C">
        <w:rPr>
          <w:rFonts w:ascii="ITC Avant Garde" w:eastAsia="Times New Roman" w:hAnsi="ITC Avant Garde"/>
          <w:i/>
          <w:sz w:val="18"/>
        </w:rPr>
        <w:t>•</w:t>
      </w:r>
      <w:r w:rsidRPr="00B7644C">
        <w:rPr>
          <w:rFonts w:ascii="ITC Avant Garde" w:eastAsia="Times New Roman" w:hAnsi="ITC Avant Garde"/>
          <w:i/>
          <w:sz w:val="18"/>
        </w:rPr>
        <w:tab/>
        <w:t>El tipo de cambio y la inflación a efecto de tener en cuenta los valores más recientes de dichas variables financieras.</w:t>
      </w:r>
    </w:p>
    <w:p w14:paraId="69D14495" w14:textId="77777777" w:rsidR="00970EC3" w:rsidRPr="00B7644C" w:rsidRDefault="00970EC3" w:rsidP="00760EBF">
      <w:pPr>
        <w:spacing w:before="240"/>
        <w:ind w:left="567" w:right="615"/>
        <w:jc w:val="both"/>
        <w:rPr>
          <w:rFonts w:ascii="ITC Avant Garde" w:eastAsia="Times New Roman" w:hAnsi="ITC Avant Garde"/>
          <w:i/>
          <w:sz w:val="18"/>
        </w:rPr>
      </w:pPr>
      <w:r w:rsidRPr="00B7644C">
        <w:rPr>
          <w:rFonts w:ascii="ITC Avant Garde" w:eastAsia="Times New Roman" w:hAnsi="ITC Avant Garde"/>
          <w:i/>
          <w:sz w:val="18"/>
        </w:rPr>
        <w:t>•</w:t>
      </w:r>
      <w:r w:rsidRPr="00B7644C">
        <w:rPr>
          <w:rFonts w:ascii="ITC Avant Garde" w:eastAsia="Times New Roman" w:hAnsi="ITC Avant Garde"/>
          <w:i/>
          <w:sz w:val="18"/>
        </w:rPr>
        <w:tab/>
        <w:t>La información de los costos unitarios de los equipos (CAPEX) con base en la información más reciente recibida de parte de los operadores.</w:t>
      </w:r>
    </w:p>
    <w:p w14:paraId="1C40FC62" w14:textId="77777777" w:rsidR="00970EC3" w:rsidRPr="00B7644C" w:rsidRDefault="00970EC3" w:rsidP="00760EBF">
      <w:pPr>
        <w:spacing w:before="240"/>
        <w:ind w:left="567" w:right="615"/>
        <w:jc w:val="both"/>
        <w:rPr>
          <w:rFonts w:ascii="ITC Avant Garde" w:eastAsia="Times New Roman" w:hAnsi="ITC Avant Garde"/>
          <w:i/>
          <w:sz w:val="18"/>
        </w:rPr>
      </w:pPr>
      <w:r w:rsidRPr="00B7644C">
        <w:rPr>
          <w:rFonts w:ascii="ITC Avant Garde" w:eastAsia="Times New Roman" w:hAnsi="ITC Avant Garde"/>
          <w:i/>
          <w:sz w:val="18"/>
        </w:rPr>
        <w:t>•</w:t>
      </w:r>
      <w:r w:rsidRPr="00B7644C">
        <w:rPr>
          <w:rFonts w:ascii="ITC Avant Garde" w:eastAsia="Times New Roman" w:hAnsi="ITC Avant Garde"/>
          <w:i/>
          <w:sz w:val="18"/>
        </w:rPr>
        <w:tab/>
        <w:t>La información de los costos de operación unitarios (OPEX) teniendo en cuenta la actual volatilidad del peso mexicano con respecto al dólar.</w:t>
      </w:r>
    </w:p>
    <w:p w14:paraId="041EFB25" w14:textId="77777777" w:rsidR="00970EC3" w:rsidRPr="00B7644C" w:rsidRDefault="00970EC3" w:rsidP="00760EBF">
      <w:pPr>
        <w:spacing w:before="240"/>
        <w:ind w:left="567" w:right="615"/>
        <w:jc w:val="both"/>
        <w:rPr>
          <w:rFonts w:ascii="ITC Avant Garde" w:eastAsia="Times New Roman" w:hAnsi="ITC Avant Garde"/>
          <w:i/>
          <w:sz w:val="18"/>
        </w:rPr>
      </w:pPr>
      <w:r w:rsidRPr="00B7644C">
        <w:rPr>
          <w:rFonts w:ascii="ITC Avant Garde" w:eastAsia="Times New Roman" w:hAnsi="ITC Avant Garde"/>
          <w:i/>
          <w:sz w:val="18"/>
        </w:rPr>
        <w:t>•</w:t>
      </w:r>
      <w:r w:rsidRPr="00B7644C">
        <w:rPr>
          <w:rFonts w:ascii="ITC Avant Garde" w:eastAsia="Times New Roman" w:hAnsi="ITC Avant Garde"/>
          <w:i/>
          <w:sz w:val="18"/>
        </w:rPr>
        <w:tab/>
        <w:t>El Costo de Capital Promedio Ponderado con la información más reciente de las variables que  lo integran.</w:t>
      </w:r>
    </w:p>
    <w:p w14:paraId="5635D3E0" w14:textId="77777777" w:rsidR="00760EBF" w:rsidRDefault="00970EC3" w:rsidP="00760EBF">
      <w:pPr>
        <w:spacing w:before="240"/>
        <w:ind w:left="567" w:right="615"/>
        <w:jc w:val="both"/>
        <w:rPr>
          <w:rFonts w:ascii="ITC Avant Garde" w:eastAsia="Times New Roman" w:hAnsi="ITC Avant Garde"/>
          <w:i/>
          <w:sz w:val="18"/>
        </w:rPr>
      </w:pPr>
      <w:r w:rsidRPr="00B7644C">
        <w:rPr>
          <w:rFonts w:ascii="ITC Avant Garde" w:eastAsia="Times New Roman" w:hAnsi="ITC Avant Garde"/>
          <w:i/>
          <w:sz w:val="18"/>
        </w:rPr>
        <w:t>[…]»</w:t>
      </w:r>
    </w:p>
    <w:p w14:paraId="3C9ACE96" w14:textId="77777777" w:rsidR="00760EBF" w:rsidRDefault="00970EC3" w:rsidP="00760EBF">
      <w:pPr>
        <w:spacing w:before="240"/>
        <w:jc w:val="both"/>
        <w:rPr>
          <w:rFonts w:ascii="ITC Avant Garde" w:eastAsia="Times New Roman" w:hAnsi="ITC Avant Garde"/>
        </w:rPr>
      </w:pPr>
      <w:r w:rsidRPr="00B7644C">
        <w:rPr>
          <w:rFonts w:ascii="ITC Avant Garde" w:eastAsia="Times New Roman" w:hAnsi="ITC Avant Garde"/>
        </w:rPr>
        <w:t>En virtud de lo anterior, se indica a Pegaso PCS que para determinar las tarifas correspondientes que serán aplicables al periodo 2017, fue actualizado el Modelo de Costos como se encuentra detallado en el Acuerdo de CTM y Tarifas 2017.</w:t>
      </w:r>
    </w:p>
    <w:p w14:paraId="4847E232" w14:textId="77777777" w:rsidR="00760EBF" w:rsidRDefault="00970EC3" w:rsidP="00760EBF">
      <w:pPr>
        <w:spacing w:before="240"/>
        <w:jc w:val="both"/>
        <w:rPr>
          <w:rFonts w:ascii="ITC Avant Garde" w:eastAsia="Times New Roman" w:hAnsi="ITC Avant Garde"/>
          <w:b/>
        </w:rPr>
      </w:pPr>
      <w:r w:rsidRPr="00B7644C">
        <w:rPr>
          <w:rFonts w:ascii="ITC Avant Garde" w:eastAsia="Times New Roman" w:hAnsi="ITC Avant Garde"/>
          <w:b/>
        </w:rPr>
        <w:t xml:space="preserve">B. Consideraciones para la determinación de una tarifa de interconexión por terminación en la </w:t>
      </w:r>
      <w:r w:rsidR="0094207A" w:rsidRPr="00B7644C">
        <w:rPr>
          <w:rFonts w:ascii="ITC Avant Garde" w:eastAsia="Times New Roman" w:hAnsi="ITC Avant Garde"/>
          <w:b/>
        </w:rPr>
        <w:t xml:space="preserve">red </w:t>
      </w:r>
      <w:r w:rsidRPr="00B7644C">
        <w:rPr>
          <w:rFonts w:ascii="ITC Avant Garde" w:eastAsia="Times New Roman" w:hAnsi="ITC Avant Garde"/>
          <w:b/>
        </w:rPr>
        <w:t>móvil de Pegaso PCS para 201</w:t>
      </w:r>
      <w:r w:rsidR="005A6948" w:rsidRPr="00B7644C">
        <w:rPr>
          <w:rFonts w:ascii="ITC Avant Garde" w:eastAsia="Times New Roman" w:hAnsi="ITC Avant Garde"/>
          <w:b/>
        </w:rPr>
        <w:t>7</w:t>
      </w:r>
      <w:r w:rsidRPr="00B7644C">
        <w:rPr>
          <w:rFonts w:ascii="ITC Avant Garde" w:eastAsia="Times New Roman" w:hAnsi="ITC Avant Garde"/>
          <w:b/>
        </w:rPr>
        <w:t xml:space="preserve"> atendiendo al principio de razonabilidad previsto en el artículo 131 inciso b) de la LFTyR, en relación con el artículo Décimo Tercero de la Metodología de Costos.</w:t>
      </w:r>
    </w:p>
    <w:p w14:paraId="672A3DC4" w14:textId="77777777" w:rsidR="00760EBF" w:rsidRDefault="00970EC3" w:rsidP="00760EBF">
      <w:pPr>
        <w:pStyle w:val="Prrafodelista"/>
        <w:tabs>
          <w:tab w:val="left" w:pos="284"/>
        </w:tabs>
        <w:spacing w:before="240" w:after="200" w:line="276" w:lineRule="auto"/>
        <w:ind w:left="0"/>
        <w:rPr>
          <w:rFonts w:ascii="ITC Avant Garde" w:hAnsi="ITC Avant Garde" w:cs="Arial"/>
        </w:rPr>
      </w:pPr>
      <w:r w:rsidRPr="00B7644C">
        <w:rPr>
          <w:rFonts w:ascii="ITC Avant Garde" w:hAnsi="ITC Avant Garde" w:cs="Arial"/>
        </w:rPr>
        <w:t>Pegaso PCS manifiesta que para la determinación de la tarifa de interconexión por terminación móvil para el año 2017, el Instituto pretende aplicar la Metodología de Costos publicada en el año 2014, por lo que, se debe atender al requisito de razonabilidad, el cual debe verse reflejado en la información que se debe de actualizar, previsto en el artículo 131, inciso b) de la LFTyR, y así atender las variables que debe actualizar conforme al artículo Décimo Tercero de la Metodología de Costos, en lo particular con el tipo de cambio para garantizar que efectivamente se reflejen las condiciones de mercado, de lo contrario la resolución que recaiga resultará ilegal al no considerar las volatilidad del mercado cambiario toda vez que el tipo de cambio actual supera los $18.00 pesos y puede alcanzar un máximo histórico en el año 2017 cercano a los $20.00 pesos por dólar.</w:t>
      </w:r>
    </w:p>
    <w:p w14:paraId="729A944F" w14:textId="77777777" w:rsidR="00760EBF" w:rsidRDefault="0094207A" w:rsidP="00760EBF">
      <w:pPr>
        <w:pStyle w:val="Prrafodelista"/>
        <w:tabs>
          <w:tab w:val="left" w:pos="284"/>
        </w:tabs>
        <w:spacing w:before="240" w:after="200" w:line="276" w:lineRule="auto"/>
        <w:ind w:left="0"/>
        <w:rPr>
          <w:rFonts w:ascii="ITC Avant Garde" w:hAnsi="ITC Avant Garde" w:cs="Arial"/>
        </w:rPr>
      </w:pPr>
      <w:r w:rsidRPr="00B7644C">
        <w:rPr>
          <w:rFonts w:ascii="ITC Avant Garde" w:hAnsi="ITC Avant Garde" w:cs="Arial"/>
        </w:rPr>
        <w:t>En este sentido,</w:t>
      </w:r>
      <w:r w:rsidR="00970EC3" w:rsidRPr="00B7644C">
        <w:rPr>
          <w:rFonts w:ascii="ITC Avant Garde" w:hAnsi="ITC Avant Garde" w:cs="Arial"/>
        </w:rPr>
        <w:t xml:space="preserve"> Pegaso PCS manifiesta que el Instituto debe actualizar la información relativa al tipo de cambio, así como las estimaciones realizadas por los analistas consultados por el Banco de México.</w:t>
      </w:r>
    </w:p>
    <w:p w14:paraId="2753DBD8" w14:textId="77777777" w:rsidR="00760EBF" w:rsidRDefault="00970EC3" w:rsidP="00760EBF">
      <w:pPr>
        <w:pStyle w:val="Prrafodelista"/>
        <w:tabs>
          <w:tab w:val="left" w:pos="284"/>
        </w:tabs>
        <w:spacing w:before="240" w:after="200" w:line="276" w:lineRule="auto"/>
        <w:ind w:left="0"/>
        <w:rPr>
          <w:rFonts w:ascii="ITC Avant Garde" w:hAnsi="ITC Avant Garde" w:cs="Arial"/>
          <w:b/>
        </w:rPr>
      </w:pPr>
      <w:r w:rsidRPr="00B7644C">
        <w:rPr>
          <w:rFonts w:ascii="ITC Avant Garde" w:hAnsi="ITC Avant Garde" w:cs="Arial"/>
          <w:b/>
        </w:rPr>
        <w:t>Consideraciones del Instituto</w:t>
      </w:r>
    </w:p>
    <w:p w14:paraId="5E2E20F3" w14:textId="77777777" w:rsidR="00760EBF" w:rsidRDefault="00970EC3" w:rsidP="00760EBF">
      <w:pPr>
        <w:spacing w:before="240"/>
        <w:jc w:val="both"/>
        <w:rPr>
          <w:rFonts w:ascii="ITC Avant Garde" w:eastAsia="Times New Roman" w:hAnsi="ITC Avant Garde" w:cs="Arial"/>
        </w:rPr>
      </w:pPr>
      <w:r w:rsidRPr="00B7644C">
        <w:rPr>
          <w:rFonts w:ascii="ITC Avant Garde" w:eastAsia="Times New Roman" w:hAnsi="ITC Avant Garde" w:cs="Arial"/>
        </w:rPr>
        <w:lastRenderedPageBreak/>
        <w:t>El artículo 129 de la LFTyR establece el procedimiento a través del cual el Instituto resolverá los desacuerdos en materia de interconexión que se presenten; la fracción VII de dicho artículo señala que concluido el plazo para formular alegatos el Instituto con o sin alegatos deberá emitir resolución en un plazo no mayor a 30 días hábiles; en este sentido se observa que es una obligación del Instituto resolver los diferendos en la materia dentro de los plazos legales por lo que una vez que se actualiza el supuesto de la presentación de un desacuerdo ante el Instituto y se cumplen con las formalidades del procedimiento se debe emitir la Resolución correspondiente.</w:t>
      </w:r>
    </w:p>
    <w:p w14:paraId="2D6FF2DB" w14:textId="77777777" w:rsidR="00760EBF" w:rsidRDefault="00970EC3" w:rsidP="00760EBF">
      <w:pPr>
        <w:spacing w:before="240"/>
        <w:jc w:val="both"/>
        <w:rPr>
          <w:rFonts w:ascii="ITC Avant Garde" w:hAnsi="ITC Avant Garde" w:cs="Arial"/>
        </w:rPr>
      </w:pPr>
      <w:r w:rsidRPr="00B7644C">
        <w:rPr>
          <w:rFonts w:ascii="ITC Avant Garde" w:eastAsia="Times New Roman" w:hAnsi="ITC Avant Garde" w:cs="Arial"/>
        </w:rPr>
        <w:t xml:space="preserve">En este orden de ideas, cabe señalar que de conformidad con el </w:t>
      </w:r>
      <w:r w:rsidRPr="00B7644C">
        <w:rPr>
          <w:rFonts w:ascii="ITC Avant Garde" w:hAnsi="ITC Avant Garde" w:cs="Arial"/>
        </w:rPr>
        <w:t xml:space="preserve">lineamiento Décimo Tercero de la Metodología de Costos, el Instituto podrá actualizar anualmente la información del Modelo de Costos, por lo que en apego al mismo y a efecto de generar certidumbre, el Instituto determinó en su XXXII Sesión Ordinaria de Pleno, celebrada el 20 de septiembre de 2016, las tarifas de interconexión aplicables para todo el año 2017, ordenamiento en el cual este Instituto actualizó los modelos incluyendo lo referente al tipo de cambio. </w:t>
      </w:r>
    </w:p>
    <w:p w14:paraId="50D9B598" w14:textId="77777777" w:rsidR="00760EBF" w:rsidRDefault="00970EC3" w:rsidP="00760EBF">
      <w:pPr>
        <w:pStyle w:val="Piedepgina"/>
        <w:widowControl w:val="0"/>
        <w:tabs>
          <w:tab w:val="left" w:pos="720"/>
        </w:tabs>
        <w:spacing w:before="240" w:after="200" w:line="276" w:lineRule="auto"/>
        <w:jc w:val="both"/>
        <w:rPr>
          <w:rFonts w:ascii="ITC Avant Garde" w:hAnsi="ITC Avant Garde"/>
        </w:rPr>
      </w:pPr>
      <w:r w:rsidRPr="00B7644C">
        <w:rPr>
          <w:rFonts w:ascii="ITC Avant Garde" w:hAnsi="ITC Avant Garde" w:cs="Arial"/>
        </w:rPr>
        <w:t xml:space="preserve">Ahora bien, </w:t>
      </w:r>
      <w:r w:rsidRPr="00B7644C">
        <w:rPr>
          <w:rFonts w:ascii="ITC Avant Garde" w:eastAsia="Times New Roman" w:hAnsi="ITC Avant Garde"/>
          <w:szCs w:val="24"/>
          <w:lang w:eastAsia="es-ES"/>
        </w:rPr>
        <w:t xml:space="preserve">cabe mencionar que resultaría improcedente y a todas luces discriminatorio determinar tarifas diferentes para el mismo servicio dependiendo de la fecha del año en la que se resuelva; esto es, el argumento </w:t>
      </w:r>
      <w:r w:rsidR="0067171D" w:rsidRPr="00B7644C">
        <w:rPr>
          <w:rFonts w:ascii="ITC Avant Garde" w:eastAsia="Times New Roman" w:hAnsi="ITC Avant Garde"/>
          <w:szCs w:val="24"/>
          <w:lang w:eastAsia="es-ES"/>
        </w:rPr>
        <w:t>de</w:t>
      </w:r>
      <w:r w:rsidRPr="00B7644C">
        <w:rPr>
          <w:rFonts w:ascii="ITC Avant Garde" w:eastAsia="Times New Roman" w:hAnsi="ITC Avant Garde"/>
          <w:szCs w:val="24"/>
          <w:lang w:eastAsia="es-ES"/>
        </w:rPr>
        <w:t xml:space="preserve"> Pegaso PCS implicaría que cada concesionario solicitante pagaría al concesionario solicitado una tarifa distinta, ya que cada que se resolviera un determinado desacuerdo se debería de utilizar la proyección del tipo de cambio vigente a esa fecha, por lo que la petición Pegaso PCS resulta improcedente</w:t>
      </w:r>
      <w:r w:rsidRPr="00B7644C">
        <w:rPr>
          <w:rFonts w:ascii="ITC Avant Garde" w:hAnsi="ITC Avant Garde" w:cs="Arial"/>
        </w:rPr>
        <w:t>.</w:t>
      </w:r>
    </w:p>
    <w:p w14:paraId="7A548455" w14:textId="43A29FD0" w:rsidR="00760EBF" w:rsidRDefault="0067171D" w:rsidP="00760EBF">
      <w:pPr>
        <w:spacing w:before="240"/>
        <w:jc w:val="both"/>
        <w:rPr>
          <w:rFonts w:ascii="ITC Avant Garde" w:eastAsia="Times New Roman" w:hAnsi="ITC Avant Garde"/>
          <w:b/>
        </w:rPr>
      </w:pPr>
      <w:r w:rsidRPr="00B7644C">
        <w:rPr>
          <w:rFonts w:ascii="ITC Avant Garde" w:eastAsia="Times New Roman" w:hAnsi="ITC Avant Garde"/>
          <w:b/>
        </w:rPr>
        <w:t>C. Consideraciones y elementos que debe tomar en cuenta el Instituto para la determinación de las tarifas de interconexión por terminación en la red móvil de Pegaso PCS.</w:t>
      </w:r>
    </w:p>
    <w:p w14:paraId="332A85AC" w14:textId="77777777" w:rsidR="00760EBF" w:rsidRDefault="0067171D" w:rsidP="00760EBF">
      <w:pPr>
        <w:spacing w:before="240"/>
        <w:jc w:val="both"/>
        <w:rPr>
          <w:rFonts w:ascii="ITC Avant Garde" w:eastAsia="Times New Roman" w:hAnsi="ITC Avant Garde" w:cs="Arial"/>
        </w:rPr>
      </w:pPr>
      <w:r w:rsidRPr="00B7644C">
        <w:rPr>
          <w:rFonts w:ascii="ITC Avant Garde" w:hAnsi="ITC Avant Garde" w:cs="Arial"/>
          <w:lang w:val="es-ES"/>
        </w:rPr>
        <w:t xml:space="preserve">De foja 15 a foja </w:t>
      </w:r>
      <w:r w:rsidR="005A6948" w:rsidRPr="00B7644C">
        <w:rPr>
          <w:rFonts w:ascii="ITC Avant Garde" w:hAnsi="ITC Avant Garde" w:cs="Arial"/>
          <w:lang w:val="es-ES"/>
        </w:rPr>
        <w:t>46</w:t>
      </w:r>
      <w:r w:rsidRPr="00B7644C">
        <w:rPr>
          <w:rFonts w:ascii="ITC Avant Garde" w:hAnsi="ITC Avant Garde" w:cs="Arial"/>
          <w:lang w:val="es-ES"/>
        </w:rPr>
        <w:t xml:space="preserve"> </w:t>
      </w:r>
      <w:r w:rsidR="007B6F28" w:rsidRPr="00B7644C">
        <w:rPr>
          <w:rFonts w:ascii="ITC Avant Garde" w:hAnsi="ITC Avant Garde" w:cs="Arial"/>
          <w:lang w:val="es-ES"/>
        </w:rPr>
        <w:t xml:space="preserve">y de foja 52 a 56 </w:t>
      </w:r>
      <w:r w:rsidRPr="00B7644C">
        <w:rPr>
          <w:rFonts w:ascii="ITC Avant Garde" w:hAnsi="ITC Avant Garde" w:cs="Arial"/>
          <w:lang w:val="es-ES"/>
        </w:rPr>
        <w:t>dentro del expediente IFT/221/UPR/DG-RIRST/</w:t>
      </w:r>
      <w:r w:rsidR="005A6948" w:rsidRPr="00B7644C">
        <w:rPr>
          <w:rFonts w:ascii="ITC Avant Garde" w:hAnsi="ITC Avant Garde" w:cs="Arial"/>
          <w:lang w:val="es-ES"/>
        </w:rPr>
        <w:t>0</w:t>
      </w:r>
      <w:r w:rsidRPr="00B7644C">
        <w:rPr>
          <w:rFonts w:ascii="ITC Avant Garde" w:hAnsi="ITC Avant Garde" w:cs="Arial"/>
          <w:lang w:val="es-ES"/>
        </w:rPr>
        <w:t>64.150716/ITX, del escrito de Respuesta presentado por Pegaso PCS, dicho concesionario realiza diversas manifestaciones acerca de la forma en que el Instituto debe determinar las tarifas de interconexión materia del presente procedimiento, como son: a) la aplicación del artículo 131, inciso b de la LFTyR, b) la participación de mercado del operador modelado, c) la utilización del concepto de externalidad de red, d) la aplicación del principio de asimetría tarifaria e) el respeto al principio de competencia y libre concurrencia, f) el enfoque sobre la recuperación de los c</w:t>
      </w:r>
      <w:r w:rsidR="007B6F28" w:rsidRPr="00B7644C">
        <w:rPr>
          <w:rFonts w:ascii="ITC Avant Garde" w:hAnsi="ITC Avant Garde" w:cs="Arial"/>
          <w:lang w:val="es-ES"/>
        </w:rPr>
        <w:t>ostos, g) la justa retribución,</w:t>
      </w:r>
      <w:r w:rsidRPr="00B7644C">
        <w:rPr>
          <w:rFonts w:ascii="ITC Avant Garde" w:hAnsi="ITC Avant Garde" w:cs="Arial"/>
          <w:lang w:val="es-ES"/>
        </w:rPr>
        <w:t xml:space="preserve"> h) improcedencia del modelo de Costos Incrementales de Largo Plazo Puros</w:t>
      </w:r>
      <w:r w:rsidR="007B6F28" w:rsidRPr="00B7644C">
        <w:rPr>
          <w:rFonts w:ascii="ITC Avant Garde" w:hAnsi="ITC Avant Garde" w:cs="Arial"/>
          <w:lang w:val="es-ES"/>
        </w:rPr>
        <w:t xml:space="preserve"> y i) elementos que deben ser adicionados al Modelo de Costos del Instituto.</w:t>
      </w:r>
    </w:p>
    <w:p w14:paraId="7B1C60DF" w14:textId="77777777" w:rsidR="00760EBF" w:rsidRDefault="0067171D" w:rsidP="00760EBF">
      <w:pPr>
        <w:spacing w:before="240"/>
        <w:jc w:val="both"/>
        <w:rPr>
          <w:rFonts w:ascii="ITC Avant Garde" w:hAnsi="ITC Avant Garde"/>
          <w:b/>
        </w:rPr>
      </w:pPr>
      <w:r w:rsidRPr="00B7644C">
        <w:rPr>
          <w:rFonts w:ascii="ITC Avant Garde" w:hAnsi="ITC Avant Garde"/>
          <w:b/>
        </w:rPr>
        <w:t>Consideraciones del Instituto</w:t>
      </w:r>
    </w:p>
    <w:p w14:paraId="1874974B" w14:textId="77777777" w:rsidR="00760EBF" w:rsidRDefault="0067171D" w:rsidP="00760EBF">
      <w:pPr>
        <w:spacing w:before="240"/>
        <w:jc w:val="both"/>
        <w:rPr>
          <w:rFonts w:ascii="ITC Avant Garde" w:hAnsi="ITC Avant Garde"/>
        </w:rPr>
      </w:pPr>
      <w:r w:rsidRPr="00B7644C">
        <w:rPr>
          <w:rFonts w:ascii="ITC Avant Garde" w:hAnsi="ITC Avant Garde"/>
        </w:rPr>
        <w:lastRenderedPageBreak/>
        <w:t>Los temas planteados por Pegaso PCS,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por lo que los argumentos de Pegaso PCS en cuanto a los elementos que debe tomar en cuenta el Instituto para la determinación de tarifas de interconexión resultan inoperantes.</w:t>
      </w:r>
    </w:p>
    <w:p w14:paraId="7140E136" w14:textId="77777777" w:rsidR="00760EBF" w:rsidRDefault="0067171D" w:rsidP="00760EBF">
      <w:pPr>
        <w:spacing w:before="240"/>
        <w:jc w:val="both"/>
        <w:rPr>
          <w:rFonts w:ascii="ITC Avant Garde" w:hAnsi="ITC Avant Garde"/>
        </w:rPr>
      </w:pPr>
      <w:r w:rsidRPr="00B7644C">
        <w:rPr>
          <w:rFonts w:ascii="ITC Avant Garde" w:hAnsi="ITC Avant Garde"/>
        </w:rPr>
        <w:t>De esta manera, al no ser procedente la modificación de aspectos que forman parte de la Metodología de Costos o del Acuerdo de CTM y Tarifas 2017, en el presente procedimiento no se entrará al análisis de las manifestaciones vertidas por Pegaso PCS.</w:t>
      </w:r>
    </w:p>
    <w:p w14:paraId="02961E31" w14:textId="77777777" w:rsidR="00760EBF" w:rsidRDefault="0067171D" w:rsidP="00760EBF">
      <w:pPr>
        <w:spacing w:before="240"/>
        <w:jc w:val="both"/>
        <w:rPr>
          <w:rFonts w:ascii="ITC Avant Garde" w:hAnsi="ITC Avant Garde"/>
        </w:rPr>
      </w:pPr>
      <w:r w:rsidRPr="00B7644C">
        <w:rPr>
          <w:rFonts w:ascii="ITC Avant Garde" w:hAnsi="ITC Avant Garde"/>
        </w:rPr>
        <w:t>Lo anterior no significa que el Instituto haya dejado de analizar todas y cada una de las manifestaciones realizadas por Pegaso PCS, sino que una respuesta detallada de las mismas en nada cambia el sentido de la presente Resolución, ante su inoperancia en los términos apuntados.</w:t>
      </w:r>
    </w:p>
    <w:p w14:paraId="737487A8" w14:textId="4B18698D" w:rsidR="00760EBF" w:rsidRDefault="004E42DE" w:rsidP="00760EBF">
      <w:pPr>
        <w:spacing w:before="240"/>
        <w:jc w:val="both"/>
        <w:rPr>
          <w:rFonts w:ascii="ITC Avant Garde" w:hAnsi="ITC Avant Garde"/>
          <w:b/>
        </w:rPr>
      </w:pPr>
      <w:r w:rsidRPr="00B7644C">
        <w:rPr>
          <w:rFonts w:ascii="ITC Avant Garde" w:hAnsi="ITC Avant Garde"/>
          <w:b/>
        </w:rPr>
        <w:t xml:space="preserve">D. Determinación de Costos Promedio de Capital conforme a los parámetros establecidos en la Consulta Pública </w:t>
      </w:r>
    </w:p>
    <w:p w14:paraId="0A6C204E" w14:textId="77777777" w:rsidR="00760EBF" w:rsidRDefault="004E42DE" w:rsidP="00760EBF">
      <w:pPr>
        <w:spacing w:before="240"/>
        <w:jc w:val="both"/>
        <w:rPr>
          <w:rFonts w:ascii="ITC Avant Garde" w:hAnsi="ITC Avant Garde"/>
        </w:rPr>
      </w:pPr>
      <w:r w:rsidRPr="00B7644C">
        <w:rPr>
          <w:rFonts w:ascii="ITC Avant Garde" w:hAnsi="ITC Avant Garde"/>
        </w:rPr>
        <w:t>Pegaso PCS manifiesta en su escrito de Respuesta que la Consulta Pública del “Anteproyecto de Condiciones Técnicas Mínimas para la Interconexión entre Concesionarios de Redes Públicas de Telecomunicaciones y las Tarifas que resulten de las Metodologías de Costos que estarán vigentes para el año 2017”, careció de transparencia sobre los mecanismos o métodos utilizados para llegar a los resultados que forman parte para el cálculo del Costo Capital Promedio Ponderado (en lo sucesivo, “WACC”, por sus siglas en inglés), toda vez que la autoridad omite dar a conocer de forma clara el proceso que lleva a cabo para deducir el resultado de los factores y elementos que integran el Costo de Capital Promedio Ponderado.</w:t>
      </w:r>
    </w:p>
    <w:p w14:paraId="75222A04" w14:textId="77777777" w:rsidR="00760EBF" w:rsidRDefault="004E42DE" w:rsidP="00760EBF">
      <w:pPr>
        <w:spacing w:before="240"/>
        <w:jc w:val="both"/>
        <w:rPr>
          <w:rFonts w:ascii="ITC Avant Garde" w:hAnsi="ITC Avant Garde"/>
        </w:rPr>
      </w:pPr>
      <w:r w:rsidRPr="00B7644C">
        <w:rPr>
          <w:rFonts w:ascii="ITC Avant Garde" w:hAnsi="ITC Avant Garde"/>
        </w:rPr>
        <w:t>Aunado a lo anterior, Pegaso PCS señala que l</w:t>
      </w:r>
      <w:r w:rsidR="00B722E6" w:rsidRPr="00B7644C">
        <w:rPr>
          <w:rFonts w:ascii="ITC Avant Garde" w:hAnsi="ITC Avant Garde"/>
        </w:rPr>
        <w:t>as</w:t>
      </w:r>
      <w:r w:rsidRPr="00B7644C">
        <w:rPr>
          <w:rFonts w:ascii="ITC Avant Garde" w:hAnsi="ITC Avant Garde"/>
        </w:rPr>
        <w:t xml:space="preserve"> </w:t>
      </w:r>
      <w:r w:rsidR="00B722E6" w:rsidRPr="00B7644C">
        <w:rPr>
          <w:rFonts w:ascii="ITC Avant Garde" w:hAnsi="ITC Avant Garde"/>
        </w:rPr>
        <w:t>tasas WACC utilizadas por el Instituto siguen siendo reducidas, al tratarse de redes que no son preponderantes. Manifiesta también que la WACC utilizada por el Instituto para determinar la tarifa de terminación móvil del Agente Económico Preponderante (en lo sucesivo, el “AEP”), en 2014 fue de 10.52% y para definir las tarifas del costo de coubicación móvil del AEP fue de 14.7%, mientras que el que pretende aplicarse en el modelo para el resto de la industria es de 10.7%. Por lo que resulta injustificable que se utilice una mayor WACC para el AEP, que concentra casi el 70% del mercado, que la del operador modelo.</w:t>
      </w:r>
    </w:p>
    <w:p w14:paraId="77C76EA0" w14:textId="77777777" w:rsidR="00760EBF" w:rsidRDefault="004E42DE" w:rsidP="00760EBF">
      <w:pPr>
        <w:spacing w:before="240"/>
        <w:jc w:val="both"/>
        <w:rPr>
          <w:rFonts w:ascii="ITC Avant Garde" w:hAnsi="ITC Avant Garde"/>
        </w:rPr>
      </w:pPr>
      <w:r w:rsidRPr="00B7644C">
        <w:rPr>
          <w:rFonts w:ascii="ITC Avant Garde" w:hAnsi="ITC Avant Garde"/>
          <w:b/>
        </w:rPr>
        <w:lastRenderedPageBreak/>
        <w:t>Consideraciones del Instituto</w:t>
      </w:r>
    </w:p>
    <w:p w14:paraId="4B4D9C45" w14:textId="77777777" w:rsidR="00760EBF" w:rsidRDefault="004E42DE" w:rsidP="00760EBF">
      <w:pPr>
        <w:spacing w:before="240"/>
        <w:jc w:val="both"/>
        <w:rPr>
          <w:rFonts w:ascii="ITC Avant Garde" w:hAnsi="ITC Avant Garde"/>
        </w:rPr>
      </w:pPr>
      <w:r w:rsidRPr="00B7644C">
        <w:rPr>
          <w:rFonts w:ascii="ITC Avant Garde" w:hAnsi="ITC Avant Garde"/>
        </w:rPr>
        <w:t>Al respecto, se señala que es falso que se utilice un Costo de Capital Promedio Ponderado (en lo sucesivo, “CCPP” o “WACC”) para los operadores preponderantes y uno para los operadores no preponderantes como manifiesta</w:t>
      </w:r>
      <w:r w:rsidR="004A456A" w:rsidRPr="00B7644C">
        <w:rPr>
          <w:rFonts w:ascii="ITC Avant Garde" w:hAnsi="ITC Avant Garde"/>
        </w:rPr>
        <w:t xml:space="preserve"> Pegaso PCS.</w:t>
      </w:r>
    </w:p>
    <w:p w14:paraId="339B24AC" w14:textId="77777777" w:rsidR="00760EBF" w:rsidRDefault="004E42DE" w:rsidP="00760EBF">
      <w:pPr>
        <w:spacing w:before="240"/>
        <w:jc w:val="both"/>
        <w:rPr>
          <w:rFonts w:ascii="ITC Avant Garde" w:hAnsi="ITC Avant Garde"/>
        </w:rPr>
      </w:pPr>
      <w:r w:rsidRPr="00B7644C">
        <w:rPr>
          <w:rFonts w:ascii="ITC Avant Garde" w:hAnsi="ITC Avant Garde"/>
        </w:rPr>
        <w:t>En este sentido, el CCPP no intenta reflejar las particularidades de algún agente preponderante o de algún otro concesionario en específico, sino las de un operador eficiente, calculadas con base en una metodología reconocida como mejor práctica internacional. Cabe señalar que la metodología utilizada por el Instituto para el cálculo del CCPP es ampliamente conocida y utilizada en las disciplinas económico-financieras para el cálculo del costo de capital, sus supuestos y fórmulas de cálculo han sido ampliamente documentados en la literatura especializada.</w:t>
      </w:r>
    </w:p>
    <w:p w14:paraId="19EF17BF" w14:textId="77777777" w:rsidR="00760EBF" w:rsidRDefault="004E42DE" w:rsidP="00760EBF">
      <w:pPr>
        <w:spacing w:before="240"/>
        <w:jc w:val="both"/>
        <w:rPr>
          <w:rFonts w:ascii="ITC Avant Garde" w:hAnsi="ITC Avant Garde"/>
        </w:rPr>
      </w:pPr>
      <w:r w:rsidRPr="00B7644C">
        <w:rPr>
          <w:rFonts w:ascii="ITC Avant Garde" w:hAnsi="ITC Avant Garde"/>
        </w:rPr>
        <w:t>Aunado a lo anterior, si bien es cierto que el CCPP del modelo de costos de coubicación al que hace referencia Pegaso PCS es mayor, ello se debe a que se trata del WACC nominal (es decir que incluye inflación), mientras que en los modelos de costos de interconexión el WACC es real, y la inflación se incorpora cuando se convierte el resultado de dólares reales a pesos nominales; por lo que los argumentos de Pegaso PCS únicamente se derivan de una errónea comparación.</w:t>
      </w:r>
    </w:p>
    <w:p w14:paraId="27ABAAF5" w14:textId="77777777" w:rsidR="00760EBF" w:rsidRDefault="005A6948" w:rsidP="00760EBF">
      <w:pPr>
        <w:spacing w:before="240"/>
        <w:jc w:val="both"/>
        <w:rPr>
          <w:rFonts w:ascii="ITC Avant Garde" w:hAnsi="ITC Avant Garde"/>
          <w:b/>
        </w:rPr>
      </w:pPr>
      <w:r w:rsidRPr="00B7644C">
        <w:rPr>
          <w:rFonts w:ascii="ITC Avant Garde" w:hAnsi="ITC Avant Garde"/>
          <w:b/>
        </w:rPr>
        <w:t>E. Objeción de documentos</w:t>
      </w:r>
    </w:p>
    <w:p w14:paraId="0A7AF7F6" w14:textId="77777777" w:rsidR="00760EBF" w:rsidRDefault="005A6948" w:rsidP="00760EBF">
      <w:pPr>
        <w:pStyle w:val="Piedepgina"/>
        <w:widowControl w:val="0"/>
        <w:tabs>
          <w:tab w:val="left" w:pos="720"/>
        </w:tabs>
        <w:spacing w:before="240" w:after="200" w:line="276" w:lineRule="auto"/>
        <w:jc w:val="both"/>
        <w:rPr>
          <w:rFonts w:ascii="ITC Avant Garde" w:hAnsi="ITC Avant Garde" w:cs="Arial"/>
          <w:b/>
          <w:lang w:val="es-ES"/>
        </w:rPr>
      </w:pPr>
      <w:r w:rsidRPr="00B7644C">
        <w:rPr>
          <w:rFonts w:ascii="ITC Avant Garde" w:hAnsi="ITC Avant Garde" w:cs="Arial"/>
          <w:b/>
          <w:lang w:val="es-ES"/>
        </w:rPr>
        <w:t xml:space="preserve">Argumentos de las partes </w:t>
      </w:r>
    </w:p>
    <w:p w14:paraId="2563D8E6" w14:textId="77777777" w:rsidR="00760EBF" w:rsidRDefault="005A6948" w:rsidP="00760EBF">
      <w:pPr>
        <w:spacing w:before="240"/>
        <w:jc w:val="both"/>
        <w:rPr>
          <w:rFonts w:ascii="ITC Avant Garde" w:hAnsi="ITC Avant Garde"/>
        </w:rPr>
      </w:pPr>
      <w:r w:rsidRPr="00B7644C">
        <w:rPr>
          <w:rFonts w:ascii="ITC Avant Garde" w:hAnsi="ITC Avant Garde"/>
        </w:rPr>
        <w:t xml:space="preserve">Argumenta Pegaso PCS que con fundamento en lo dispuesto por los artículos 203 y 204 del CFPC, ordenamiento supletorio a la ley de la materia, se objetan en cuanto a su alcance y valor probatorio todos y cada uno de los documentos exhibidos por MCM en el escrito con el cual se dio vista a Pegaso PCS. </w:t>
      </w:r>
    </w:p>
    <w:p w14:paraId="386059B2" w14:textId="77777777" w:rsidR="00760EBF" w:rsidRDefault="005A6948" w:rsidP="00760EBF">
      <w:pPr>
        <w:pStyle w:val="IFTnormal"/>
        <w:spacing w:before="240"/>
        <w:ind w:left="0"/>
        <w:rPr>
          <w:b/>
        </w:rPr>
      </w:pPr>
      <w:r w:rsidRPr="00B7644C">
        <w:rPr>
          <w:b/>
        </w:rPr>
        <w:t>Consideraciones del Instituto</w:t>
      </w:r>
    </w:p>
    <w:p w14:paraId="21D4D6E3" w14:textId="77777777" w:rsidR="00760EBF" w:rsidRDefault="005A6948" w:rsidP="00760EBF">
      <w:pPr>
        <w:pStyle w:val="IFTnormal"/>
        <w:spacing w:before="240"/>
        <w:ind w:left="0"/>
      </w:pPr>
      <w:r w:rsidRPr="00B7644C">
        <w:t xml:space="preserve">Respecto de lo señalado por Pegaso PCS sobre la objeción en cuanto al alcance y valor probatorio de todos y cada uno de los documentos exhibidos por MCM en su escrito,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w:t>
      </w:r>
      <w:r w:rsidRPr="00B7644C">
        <w:lastRenderedPageBreak/>
        <w:t>su contenido, en ese sentido, si Pegaso PCS sólo hace meras manifestaciones y no prueba la objeción, su pretensión resulta inoperante.</w:t>
      </w:r>
    </w:p>
    <w:p w14:paraId="486A3955" w14:textId="77777777" w:rsidR="00760EBF" w:rsidRDefault="005A6948" w:rsidP="00760EBF">
      <w:pPr>
        <w:pStyle w:val="IFTnormal"/>
        <w:spacing w:before="240"/>
        <w:ind w:left="0"/>
      </w:pPr>
      <w:r w:rsidRPr="00B7644C">
        <w:t>Al respecto, sirve de apoyo la presente tesis:</w:t>
      </w:r>
    </w:p>
    <w:p w14:paraId="0E112512" w14:textId="77777777" w:rsidR="00760EBF" w:rsidRDefault="005A6948" w:rsidP="00760EBF">
      <w:pPr>
        <w:spacing w:before="240"/>
        <w:ind w:left="567" w:right="615"/>
        <w:jc w:val="both"/>
        <w:rPr>
          <w:rFonts w:ascii="ITC Avant Garde" w:eastAsia="Times New Roman" w:hAnsi="ITC Avant Garde" w:cs="Arial"/>
          <w:i/>
          <w:sz w:val="18"/>
          <w:szCs w:val="18"/>
          <w:lang w:eastAsia="es-MX"/>
        </w:rPr>
      </w:pPr>
      <w:r w:rsidRPr="00B7644C">
        <w:rPr>
          <w:rFonts w:ascii="ITC Avant Garde" w:eastAsia="Times New Roman" w:hAnsi="ITC Avant Garde" w:cs="Arial"/>
          <w:i/>
          <w:sz w:val="18"/>
          <w:szCs w:val="18"/>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65B0196A" w14:textId="77777777" w:rsidR="00760EBF" w:rsidRDefault="005A6948" w:rsidP="00760EBF">
      <w:pPr>
        <w:pStyle w:val="Piedepgina"/>
        <w:widowControl w:val="0"/>
        <w:tabs>
          <w:tab w:val="left" w:pos="720"/>
        </w:tabs>
        <w:spacing w:before="240" w:after="200" w:line="276" w:lineRule="auto"/>
        <w:ind w:left="562" w:right="615"/>
        <w:jc w:val="both"/>
        <w:rPr>
          <w:rFonts w:ascii="ITC Avant Garde" w:eastAsia="Times New Roman" w:hAnsi="ITC Avant Garde" w:cs="Arial"/>
          <w:i/>
          <w:sz w:val="18"/>
          <w:szCs w:val="18"/>
          <w:lang w:eastAsia="es-MX"/>
        </w:rPr>
      </w:pPr>
      <w:r w:rsidRPr="00B7644C">
        <w:rPr>
          <w:rFonts w:ascii="ITC Avant Garde" w:eastAsia="Times New Roman" w:hAnsi="ITC Avant Garde" w:cs="Arial"/>
          <w:i/>
          <w:sz w:val="18"/>
          <w:szCs w:val="18"/>
          <w:lang w:eastAsia="es-MX"/>
        </w:rPr>
        <w:t xml:space="preserve">No basta que el interesado objete un documento proveniente de un tercero, para que por ese solo hecho pierda valor probatorio, ya que de acuerdo a lo establecido por el artículo </w:t>
      </w:r>
      <w:hyperlink r:id="rId11" w:history="1">
        <w:r w:rsidRPr="00B7644C">
          <w:rPr>
            <w:rFonts w:ascii="ITC Avant Garde" w:eastAsia="Times New Roman" w:hAnsi="ITC Avant Garde" w:cs="Arial"/>
            <w:i/>
            <w:sz w:val="18"/>
            <w:szCs w:val="18"/>
            <w:lang w:eastAsia="es-MX"/>
          </w:rPr>
          <w:t>203 del Código Federal de Procedimientos Civiles</w:t>
        </w:r>
      </w:hyperlink>
      <w:r w:rsidRPr="00B7644C">
        <w:rPr>
          <w:rFonts w:ascii="ITC Avant Garde" w:eastAsia="Times New Roman" w:hAnsi="ITC Avant Garde" w:cs="Arial"/>
          <w:i/>
          <w:sz w:val="18"/>
          <w:szCs w:val="18"/>
          <w:lang w:eastAsia="es-MX"/>
        </w:rPr>
        <w:t>,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Pr="00B7644C">
        <w:rPr>
          <w:rStyle w:val="Refdenotaalpie"/>
          <w:rFonts w:ascii="ITC Avant Garde" w:eastAsia="Times New Roman" w:hAnsi="ITC Avant Garde" w:cs="Arial"/>
          <w:i/>
          <w:sz w:val="18"/>
          <w:szCs w:val="18"/>
          <w:lang w:eastAsia="es-MX"/>
        </w:rPr>
        <w:footnoteReference w:id="1"/>
      </w:r>
    </w:p>
    <w:p w14:paraId="50A85A58" w14:textId="77777777" w:rsidR="00760EBF" w:rsidRDefault="005A6948" w:rsidP="00760EBF">
      <w:pPr>
        <w:pStyle w:val="TEXT"/>
        <w:tabs>
          <w:tab w:val="clear" w:pos="360"/>
          <w:tab w:val="clear" w:pos="720"/>
          <w:tab w:val="clear" w:pos="1080"/>
          <w:tab w:val="clear" w:pos="1440"/>
        </w:tabs>
        <w:spacing w:before="240" w:after="200" w:line="276" w:lineRule="auto"/>
        <w:rPr>
          <w:rFonts w:ascii="ITC Avant Garde" w:hAnsi="ITC Avant Garde"/>
        </w:rPr>
      </w:pPr>
      <w:r w:rsidRPr="00B7644C">
        <w:rPr>
          <w:rFonts w:ascii="ITC Avant Garde" w:hAnsi="ITC Avant Garde"/>
        </w:rPr>
        <w:t>Ahora bien, una vez analizadas las manifestaciones generales de Pegaso PCS, en términos del artículo 129 de la LFTyR, se procede a resolver las condiciones no convenidas solicitadas por las partes.</w:t>
      </w:r>
    </w:p>
    <w:p w14:paraId="3F7E4215" w14:textId="327BC103" w:rsidR="00760EBF" w:rsidRDefault="00B15D4E" w:rsidP="00760EBF">
      <w:pPr>
        <w:pStyle w:val="Prrafodelista"/>
        <w:numPr>
          <w:ilvl w:val="0"/>
          <w:numId w:val="27"/>
        </w:numPr>
        <w:spacing w:before="240" w:after="200"/>
        <w:jc w:val="left"/>
        <w:rPr>
          <w:rFonts w:ascii="ITC Avant Garde" w:hAnsi="ITC Avant Garde"/>
        </w:rPr>
      </w:pPr>
      <w:r w:rsidRPr="00B7644C">
        <w:rPr>
          <w:rFonts w:ascii="ITC Avant Garde" w:hAnsi="ITC Avant Garde"/>
          <w:b/>
          <w:lang w:val="es-ES"/>
        </w:rPr>
        <w:t>Tarifas de Interconexión</w:t>
      </w:r>
    </w:p>
    <w:p w14:paraId="1C935A10" w14:textId="77777777" w:rsidR="00760EBF" w:rsidRDefault="00803153" w:rsidP="00760EBF">
      <w:pPr>
        <w:spacing w:before="240"/>
        <w:jc w:val="both"/>
        <w:rPr>
          <w:rFonts w:ascii="ITC Avant Garde" w:eastAsia="Times New Roman" w:hAnsi="ITC Avant Garde"/>
          <w:b/>
          <w:szCs w:val="24"/>
          <w:lang w:eastAsia="es-ES"/>
        </w:rPr>
      </w:pPr>
      <w:r w:rsidRPr="00B7644C">
        <w:rPr>
          <w:rFonts w:ascii="ITC Avant Garde" w:eastAsia="Times New Roman" w:hAnsi="ITC Avant Garde"/>
          <w:b/>
          <w:szCs w:val="24"/>
          <w:lang w:eastAsia="es-ES"/>
        </w:rPr>
        <w:t>Argumentos de las partes</w:t>
      </w:r>
    </w:p>
    <w:p w14:paraId="10C335A3" w14:textId="77777777" w:rsidR="00760EBF" w:rsidRDefault="005F30D2" w:rsidP="00760EBF">
      <w:pPr>
        <w:spacing w:before="240"/>
        <w:jc w:val="both"/>
        <w:rPr>
          <w:rFonts w:ascii="ITC Avant Garde" w:hAnsi="ITC Avant Garde" w:cs="Arial"/>
        </w:rPr>
      </w:pPr>
      <w:r w:rsidRPr="00B7644C">
        <w:rPr>
          <w:rFonts w:ascii="ITC Avant Garde" w:hAnsi="ITC Avant Garde" w:cs="Arial"/>
        </w:rPr>
        <w:t>MCM</w:t>
      </w:r>
      <w:r w:rsidR="002B68F6" w:rsidRPr="00B7644C">
        <w:rPr>
          <w:rFonts w:ascii="ITC Avant Garde" w:hAnsi="ITC Avant Garde" w:cs="Arial"/>
        </w:rPr>
        <w:t xml:space="preserve"> solicita la determinación por parte del Instituto de la tarifa que deberá pagar a </w:t>
      </w:r>
      <w:r w:rsidRPr="00B7644C">
        <w:rPr>
          <w:rFonts w:ascii="ITC Avant Garde" w:hAnsi="ITC Avant Garde" w:cs="Arial"/>
        </w:rPr>
        <w:t xml:space="preserve">Pegaso </w:t>
      </w:r>
      <w:r w:rsidR="00A944F1" w:rsidRPr="00B7644C">
        <w:rPr>
          <w:rFonts w:ascii="ITC Avant Garde" w:hAnsi="ITC Avant Garde" w:cs="Arial"/>
        </w:rPr>
        <w:t>PCS</w:t>
      </w:r>
      <w:r w:rsidR="002B68F6" w:rsidRPr="00B7644C">
        <w:rPr>
          <w:rFonts w:ascii="ITC Avant Garde" w:hAnsi="ITC Avant Garde" w:cs="Arial"/>
        </w:rPr>
        <w:t xml:space="preserve"> por la terminación de tráfico en la red </w:t>
      </w:r>
      <w:r w:rsidRPr="00B7644C">
        <w:rPr>
          <w:rFonts w:ascii="ITC Avant Garde" w:hAnsi="ITC Avant Garde" w:cs="Arial"/>
        </w:rPr>
        <w:t>móvil</w:t>
      </w:r>
      <w:r w:rsidR="002B68F6" w:rsidRPr="00B7644C">
        <w:rPr>
          <w:rFonts w:ascii="ITC Avant Garde" w:hAnsi="ITC Avant Garde" w:cs="Arial"/>
        </w:rPr>
        <w:t xml:space="preserve"> de dicho concesionario para el ejercicio 2017</w:t>
      </w:r>
      <w:r w:rsidR="002B68F6" w:rsidRPr="00B7644C">
        <w:rPr>
          <w:rFonts w:ascii="ITC Avant Garde" w:eastAsia="Times New Roman" w:hAnsi="ITC Avant Garde" w:cs="Arial"/>
          <w:szCs w:val="24"/>
          <w:lang w:eastAsia="es-ES"/>
        </w:rPr>
        <w:t xml:space="preserve">. </w:t>
      </w:r>
    </w:p>
    <w:p w14:paraId="4FCBF250" w14:textId="77777777" w:rsidR="00760EBF" w:rsidRDefault="002B68F6" w:rsidP="00760EBF">
      <w:pPr>
        <w:spacing w:before="240"/>
        <w:jc w:val="both"/>
        <w:rPr>
          <w:rFonts w:ascii="ITC Avant Garde" w:hAnsi="ITC Avant Garde"/>
        </w:rPr>
      </w:pPr>
      <w:r w:rsidRPr="00B7644C">
        <w:rPr>
          <w:rFonts w:ascii="ITC Avant Garde" w:eastAsia="Times New Roman" w:hAnsi="ITC Avant Garde"/>
          <w:szCs w:val="24"/>
          <w:lang w:eastAsia="es-ES"/>
        </w:rPr>
        <w:t xml:space="preserve">Por su parte </w:t>
      </w:r>
      <w:r w:rsidR="005F30D2" w:rsidRPr="00B7644C">
        <w:rPr>
          <w:rFonts w:ascii="ITC Avant Garde" w:eastAsia="Times New Roman" w:hAnsi="ITC Avant Garde"/>
          <w:szCs w:val="24"/>
          <w:lang w:eastAsia="es-ES"/>
        </w:rPr>
        <w:t xml:space="preserve">Pegaso </w:t>
      </w:r>
      <w:r w:rsidR="00A944F1" w:rsidRPr="00B7644C">
        <w:rPr>
          <w:rFonts w:ascii="ITC Avant Garde" w:eastAsia="Times New Roman" w:hAnsi="ITC Avant Garde"/>
          <w:szCs w:val="24"/>
          <w:lang w:eastAsia="es-ES"/>
        </w:rPr>
        <w:t>PCS</w:t>
      </w:r>
      <w:r w:rsidRPr="00B7644C">
        <w:rPr>
          <w:rFonts w:ascii="ITC Avant Garde" w:eastAsia="Times New Roman" w:hAnsi="ITC Avant Garde"/>
          <w:szCs w:val="24"/>
          <w:lang w:eastAsia="es-ES"/>
        </w:rPr>
        <w:t xml:space="preserve"> </w:t>
      </w:r>
      <w:r w:rsidR="00D56344" w:rsidRPr="00B7644C">
        <w:rPr>
          <w:rFonts w:ascii="ITC Avant Garde" w:eastAsia="Times New Roman" w:hAnsi="ITC Avant Garde"/>
          <w:szCs w:val="24"/>
          <w:lang w:eastAsia="es-ES"/>
        </w:rPr>
        <w:t xml:space="preserve">señala que la tarifa de interconexión que </w:t>
      </w:r>
      <w:r w:rsidR="005F30D2" w:rsidRPr="00B7644C">
        <w:rPr>
          <w:rFonts w:ascii="ITC Avant Garde" w:eastAsia="Times New Roman" w:hAnsi="ITC Avant Garde"/>
          <w:szCs w:val="24"/>
          <w:lang w:eastAsia="es-ES"/>
        </w:rPr>
        <w:t>MCM</w:t>
      </w:r>
      <w:r w:rsidR="00D56344" w:rsidRPr="00B7644C">
        <w:rPr>
          <w:rFonts w:ascii="ITC Avant Garde" w:eastAsia="Times New Roman" w:hAnsi="ITC Avant Garde"/>
          <w:szCs w:val="24"/>
          <w:lang w:eastAsia="es-ES"/>
        </w:rPr>
        <w:t xml:space="preserve"> deberá pagar a </w:t>
      </w:r>
      <w:r w:rsidR="005F30D2" w:rsidRPr="00B7644C">
        <w:rPr>
          <w:rFonts w:ascii="ITC Avant Garde" w:eastAsia="Times New Roman" w:hAnsi="ITC Avant Garde"/>
          <w:szCs w:val="24"/>
          <w:lang w:eastAsia="es-ES"/>
        </w:rPr>
        <w:t xml:space="preserve">Pegaso </w:t>
      </w:r>
      <w:r w:rsidR="00A944F1" w:rsidRPr="00B7644C">
        <w:rPr>
          <w:rFonts w:ascii="ITC Avant Garde" w:eastAsia="Times New Roman" w:hAnsi="ITC Avant Garde"/>
          <w:szCs w:val="24"/>
          <w:lang w:eastAsia="es-ES"/>
        </w:rPr>
        <w:t>PCS</w:t>
      </w:r>
      <w:r w:rsidR="00D56344" w:rsidRPr="00B7644C">
        <w:rPr>
          <w:rFonts w:ascii="ITC Avant Garde" w:eastAsia="Times New Roman" w:hAnsi="ITC Avant Garde"/>
          <w:szCs w:val="24"/>
          <w:lang w:eastAsia="es-ES"/>
        </w:rPr>
        <w:t xml:space="preserve"> del 1de enero al 31 de diciembre de 2017 deberá ser de </w:t>
      </w:r>
      <w:r w:rsidR="005F30D2" w:rsidRPr="00B7644C">
        <w:rPr>
          <w:rFonts w:ascii="ITC Avant Garde" w:hAnsi="ITC Avant Garde"/>
        </w:rPr>
        <w:t>$.03489</w:t>
      </w:r>
      <w:r w:rsidR="003912AF" w:rsidRPr="00B7644C">
        <w:rPr>
          <w:rFonts w:ascii="ITC Avant Garde" w:hAnsi="ITC Avant Garde"/>
        </w:rPr>
        <w:t xml:space="preserve"> por minuto de interconexión</w:t>
      </w:r>
      <w:r w:rsidR="005F30D2" w:rsidRPr="00B7644C">
        <w:rPr>
          <w:rFonts w:ascii="ITC Avant Garde" w:hAnsi="ITC Avant Garde"/>
        </w:rPr>
        <w:t>.</w:t>
      </w:r>
    </w:p>
    <w:p w14:paraId="6AE96265" w14:textId="77777777" w:rsidR="00760EBF" w:rsidRDefault="005F30D2" w:rsidP="00760EBF">
      <w:pPr>
        <w:spacing w:before="240"/>
        <w:jc w:val="both"/>
        <w:rPr>
          <w:rFonts w:ascii="ITC Avant Garde" w:hAnsi="ITC Avant Garde" w:cs="Arial"/>
        </w:rPr>
      </w:pPr>
      <w:r w:rsidRPr="00B7644C">
        <w:rPr>
          <w:rFonts w:ascii="ITC Avant Garde" w:hAnsi="ITC Avant Garde"/>
        </w:rPr>
        <w:t>Asimismo</w:t>
      </w:r>
      <w:r w:rsidR="009B07DE" w:rsidRPr="00B7644C">
        <w:rPr>
          <w:rFonts w:ascii="ITC Avant Garde" w:hAnsi="ITC Avant Garde"/>
        </w:rPr>
        <w:t>,</w:t>
      </w:r>
      <w:r w:rsidRPr="00B7644C">
        <w:rPr>
          <w:rFonts w:ascii="ITC Avant Garde" w:hAnsi="ITC Avant Garde"/>
        </w:rPr>
        <w:t xml:space="preserve"> solicita sea determinada </w:t>
      </w:r>
      <w:r w:rsidRPr="00B7644C">
        <w:rPr>
          <w:rFonts w:ascii="ITC Avant Garde" w:hAnsi="ITC Avant Garde" w:cs="Arial"/>
        </w:rPr>
        <w:t xml:space="preserve">la tarifa </w:t>
      </w:r>
      <w:r w:rsidR="007B6F28" w:rsidRPr="00B7644C">
        <w:rPr>
          <w:rFonts w:ascii="ITC Avant Garde" w:hAnsi="ITC Avant Garde" w:cs="Arial"/>
        </w:rPr>
        <w:t xml:space="preserve">que Pegaso PCS deberá pagar por terminación en la red fija </w:t>
      </w:r>
      <w:r w:rsidRPr="00B7644C">
        <w:rPr>
          <w:rFonts w:ascii="ITC Avant Garde" w:hAnsi="ITC Avant Garde" w:cs="Arial"/>
        </w:rPr>
        <w:t>de MCM para el ejercicio 2017</w:t>
      </w:r>
      <w:r w:rsidR="003912AF" w:rsidRPr="00B7644C">
        <w:rPr>
          <w:rFonts w:ascii="ITC Avant Garde" w:eastAsia="Times New Roman" w:hAnsi="ITC Avant Garde" w:cs="Arial"/>
          <w:szCs w:val="24"/>
          <w:lang w:eastAsia="es-ES"/>
        </w:rPr>
        <w:t>.</w:t>
      </w:r>
    </w:p>
    <w:p w14:paraId="7E396CDE" w14:textId="77777777" w:rsidR="00760EBF" w:rsidRDefault="008E2F2D" w:rsidP="00760EBF">
      <w:pPr>
        <w:spacing w:before="240"/>
        <w:ind w:right="48"/>
        <w:jc w:val="both"/>
        <w:rPr>
          <w:rFonts w:ascii="ITC Avant Garde" w:hAnsi="ITC Avant Garde"/>
          <w:b/>
        </w:rPr>
      </w:pPr>
      <w:r w:rsidRPr="00B7644C">
        <w:rPr>
          <w:rFonts w:ascii="ITC Avant Garde" w:hAnsi="ITC Avant Garde"/>
          <w:b/>
        </w:rPr>
        <w:lastRenderedPageBreak/>
        <w:t xml:space="preserve">Consideraciones del Instituto </w:t>
      </w:r>
    </w:p>
    <w:p w14:paraId="69BE415B" w14:textId="77777777" w:rsidR="00760EBF" w:rsidRDefault="008E2F2D" w:rsidP="00760EBF">
      <w:pPr>
        <w:spacing w:before="240"/>
        <w:jc w:val="both"/>
        <w:rPr>
          <w:rFonts w:ascii="ITC Avant Garde" w:hAnsi="ITC Avant Garde" w:cs="Arial"/>
        </w:rPr>
      </w:pPr>
      <w:bookmarkStart w:id="2" w:name="vitalimportancia"/>
      <w:r w:rsidRPr="00B7644C">
        <w:rPr>
          <w:rFonts w:ascii="ITC Avant Garde" w:hAnsi="ITC Avant Garde" w:cs="Arial"/>
        </w:rPr>
        <w:t xml:space="preserve">Para la determinación de las tarifas de interconexión en las redes públicas de telecomunicaciones de </w:t>
      </w:r>
      <w:r w:rsidR="00A944F1" w:rsidRPr="00B7644C">
        <w:rPr>
          <w:rFonts w:ascii="ITC Avant Garde" w:hAnsi="ITC Avant Garde" w:cs="Arial"/>
        </w:rPr>
        <w:t>MCM</w:t>
      </w:r>
      <w:r w:rsidR="00B43CF2" w:rsidRPr="00B7644C">
        <w:rPr>
          <w:rFonts w:ascii="ITC Avant Garde" w:hAnsi="ITC Avant Garde" w:cs="Arial"/>
        </w:rPr>
        <w:t xml:space="preserve"> </w:t>
      </w:r>
      <w:r w:rsidRPr="00B7644C">
        <w:rPr>
          <w:rFonts w:ascii="ITC Avant Garde" w:hAnsi="ITC Avant Garde" w:cs="Arial"/>
        </w:rPr>
        <w:t xml:space="preserve">y </w:t>
      </w:r>
      <w:r w:rsidR="0023419F" w:rsidRPr="00B7644C">
        <w:rPr>
          <w:rFonts w:ascii="ITC Avant Garde" w:eastAsia="Times New Roman" w:hAnsi="ITC Avant Garde"/>
          <w:lang w:val="es-ES" w:eastAsia="es-ES"/>
        </w:rPr>
        <w:t xml:space="preserve">Pegaso </w:t>
      </w:r>
      <w:r w:rsidR="00A944F1" w:rsidRPr="00B7644C">
        <w:rPr>
          <w:rFonts w:ascii="ITC Avant Garde" w:eastAsia="Times New Roman" w:hAnsi="ITC Avant Garde"/>
          <w:lang w:val="es-ES" w:eastAsia="es-ES"/>
        </w:rPr>
        <w:t>PCS</w:t>
      </w:r>
      <w:r w:rsidRPr="00B7644C">
        <w:rPr>
          <w:rFonts w:ascii="ITC Avant Garde" w:hAnsi="ITC Avant Garde" w:cs="Arial"/>
        </w:rPr>
        <w:t>, se debe considerar que la propia LFTyR establece el marco normativo y regulatorio aplicable para la fijación de las tarifas de interconexión.</w:t>
      </w:r>
    </w:p>
    <w:p w14:paraId="60ADBA88" w14:textId="77777777" w:rsidR="00760EBF" w:rsidRDefault="008E2F2D" w:rsidP="00760EBF">
      <w:pPr>
        <w:widowControl w:val="0"/>
        <w:spacing w:before="240"/>
        <w:jc w:val="both"/>
        <w:rPr>
          <w:rFonts w:ascii="ITC Avant Garde" w:hAnsi="ITC Avant Garde" w:cs="Arial"/>
        </w:rPr>
      </w:pPr>
      <w:r w:rsidRPr="00B7644C">
        <w:rPr>
          <w:rFonts w:ascii="ITC Avant Garde" w:eastAsia="Times New Roman" w:hAnsi="ITC Avant Garde" w:cs="Arial"/>
        </w:rPr>
        <w:t xml:space="preserve">A tal efecto, </w:t>
      </w:r>
      <w:r w:rsidRPr="00B7644C">
        <w:rPr>
          <w:rFonts w:ascii="ITC Avant Garde" w:hAnsi="ITC Avant Garde" w:cs="Arial"/>
        </w:rPr>
        <w:t>el artículo 131 de la LFTyR dispone lo siguiente:</w:t>
      </w:r>
    </w:p>
    <w:p w14:paraId="5797E50E" w14:textId="77777777" w:rsidR="00760EBF" w:rsidRDefault="008E2F2D" w:rsidP="00760EBF">
      <w:pPr>
        <w:spacing w:before="240"/>
        <w:ind w:left="567" w:right="615"/>
        <w:jc w:val="both"/>
        <w:rPr>
          <w:rFonts w:ascii="ITC Avant Garde" w:hAnsi="ITC Avant Garde" w:cs="Arial"/>
          <w:i/>
          <w:sz w:val="18"/>
          <w:szCs w:val="18"/>
        </w:rPr>
      </w:pPr>
      <w:r w:rsidRPr="00B7644C">
        <w:rPr>
          <w:rFonts w:ascii="ITC Avant Garde" w:hAnsi="ITC Avant Garde" w:cs="Arial"/>
          <w:i/>
          <w:sz w:val="18"/>
          <w:szCs w:val="18"/>
        </w:rPr>
        <w:t>“</w:t>
      </w:r>
      <w:r w:rsidRPr="00B7644C">
        <w:rPr>
          <w:rFonts w:ascii="ITC Avant Garde" w:hAnsi="ITC Avant Garde" w:cs="Arial"/>
          <w:b/>
          <w:i/>
          <w:sz w:val="18"/>
          <w:szCs w:val="18"/>
        </w:rPr>
        <w:t>Artículo 131.</w:t>
      </w:r>
      <w:r w:rsidRPr="00B7644C">
        <w:rPr>
          <w:rFonts w:ascii="ITC Avant Garde" w:hAnsi="ITC Avant Garde" w:cs="Arial"/>
          <w:i/>
          <w:sz w:val="18"/>
          <w:szCs w:val="18"/>
        </w:rPr>
        <w:t xml:space="preserve"> […]</w:t>
      </w:r>
    </w:p>
    <w:p w14:paraId="6E92F91C" w14:textId="77777777" w:rsidR="00760EBF" w:rsidRDefault="008E2F2D" w:rsidP="00760EBF">
      <w:pPr>
        <w:spacing w:before="240"/>
        <w:ind w:left="567" w:right="615"/>
        <w:jc w:val="both"/>
        <w:rPr>
          <w:rFonts w:ascii="ITC Avant Garde" w:hAnsi="ITC Avant Garde" w:cs="Arial"/>
          <w:i/>
          <w:sz w:val="18"/>
          <w:szCs w:val="18"/>
        </w:rPr>
      </w:pPr>
      <w:r w:rsidRPr="00B7644C">
        <w:rPr>
          <w:rFonts w:ascii="ITC Avant Garde" w:hAnsi="ITC Avant Garde" w:cs="Arial"/>
          <w:i/>
          <w:sz w:val="18"/>
          <w:szCs w:val="18"/>
        </w:rPr>
        <w:t>[…]</w:t>
      </w:r>
    </w:p>
    <w:p w14:paraId="328EB8C2" w14:textId="793B2F50" w:rsidR="008E2F2D" w:rsidRPr="00B7644C" w:rsidRDefault="008E2F2D" w:rsidP="00760EBF">
      <w:pPr>
        <w:spacing w:before="240"/>
        <w:ind w:left="567" w:right="615"/>
        <w:jc w:val="both"/>
        <w:rPr>
          <w:rFonts w:ascii="ITC Avant Garde" w:hAnsi="ITC Avant Garde" w:cs="Arial"/>
          <w:i/>
          <w:sz w:val="18"/>
          <w:szCs w:val="18"/>
        </w:rPr>
      </w:pPr>
      <w:r w:rsidRPr="00B7644C">
        <w:rPr>
          <w:rFonts w:ascii="ITC Avant Garde" w:hAnsi="ITC Avant Garde" w:cs="Arial"/>
          <w:i/>
          <w:sz w:val="18"/>
          <w:szCs w:val="18"/>
        </w:rPr>
        <w:t>b) Para el tráfico que termine en la red de los demás concesionarios, la tarifa de interconexión será negociada libremente.</w:t>
      </w:r>
    </w:p>
    <w:p w14:paraId="161275DE" w14:textId="77777777" w:rsidR="00760EBF" w:rsidRDefault="008E2F2D" w:rsidP="00760EBF">
      <w:pPr>
        <w:spacing w:before="240"/>
        <w:ind w:left="567" w:right="615"/>
        <w:jc w:val="both"/>
        <w:rPr>
          <w:rFonts w:ascii="ITC Avant Garde" w:hAnsi="ITC Avant Garde" w:cs="Arial"/>
          <w:i/>
          <w:sz w:val="18"/>
          <w:szCs w:val="18"/>
        </w:rPr>
      </w:pPr>
      <w:r w:rsidRPr="00B7644C">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12B077E" w14:textId="77777777" w:rsidR="00760EBF" w:rsidRDefault="008E2F2D" w:rsidP="00760EBF">
      <w:pPr>
        <w:spacing w:before="240"/>
        <w:ind w:left="567" w:right="615"/>
        <w:jc w:val="both"/>
        <w:rPr>
          <w:rFonts w:ascii="ITC Avant Garde" w:hAnsi="ITC Avant Garde" w:cs="Arial"/>
          <w:i/>
          <w:sz w:val="18"/>
          <w:szCs w:val="18"/>
        </w:rPr>
      </w:pPr>
      <w:r w:rsidRPr="00B7644C">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01C4C58" w14:textId="77777777" w:rsidR="00760EBF" w:rsidRDefault="008E2F2D" w:rsidP="00760EBF">
      <w:pPr>
        <w:spacing w:before="240"/>
        <w:ind w:left="567" w:right="615"/>
        <w:jc w:val="both"/>
        <w:rPr>
          <w:rFonts w:ascii="ITC Avant Garde" w:hAnsi="ITC Avant Garde" w:cs="Arial"/>
          <w:i/>
          <w:sz w:val="18"/>
          <w:szCs w:val="18"/>
        </w:rPr>
      </w:pPr>
      <w:r w:rsidRPr="00B7644C">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1AF819AA" w14:textId="77777777" w:rsidR="00760EBF" w:rsidRDefault="008E2F2D" w:rsidP="00760EBF">
      <w:pPr>
        <w:spacing w:before="240"/>
        <w:ind w:left="567" w:right="615"/>
        <w:jc w:val="both"/>
        <w:rPr>
          <w:rFonts w:ascii="ITC Avant Garde" w:hAnsi="ITC Avant Garde" w:cs="Arial"/>
          <w:i/>
          <w:sz w:val="18"/>
          <w:szCs w:val="18"/>
        </w:rPr>
      </w:pPr>
      <w:r w:rsidRPr="00B7644C">
        <w:rPr>
          <w:rFonts w:ascii="ITC Avant Garde" w:hAnsi="ITC Avant Garde" w:cs="Arial"/>
          <w:i/>
          <w:sz w:val="18"/>
          <w:szCs w:val="18"/>
        </w:rPr>
        <w:t>[…]”</w:t>
      </w:r>
    </w:p>
    <w:p w14:paraId="22E27273" w14:textId="77777777" w:rsidR="00760EBF" w:rsidRDefault="008E2F2D" w:rsidP="00760EBF">
      <w:pPr>
        <w:spacing w:before="240"/>
        <w:ind w:right="20"/>
        <w:jc w:val="both"/>
        <w:rPr>
          <w:rFonts w:ascii="ITC Avant Garde" w:hAnsi="ITC Avant Garde" w:cs="Arial"/>
        </w:rPr>
      </w:pPr>
      <w:r w:rsidRPr="00B7644C">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0B622ADE" w14:textId="77777777" w:rsidR="00760EBF" w:rsidRDefault="008E2F2D" w:rsidP="00760EBF">
      <w:pPr>
        <w:spacing w:before="240"/>
        <w:ind w:right="20"/>
        <w:jc w:val="both"/>
        <w:rPr>
          <w:rFonts w:ascii="ITC Avant Garde" w:hAnsi="ITC Avant Garde" w:cs="Arial"/>
        </w:rPr>
      </w:pPr>
      <w:r w:rsidRPr="00B7644C">
        <w:rPr>
          <w:rFonts w:ascii="ITC Avant Garde" w:hAnsi="ITC Avant Garde" w:cs="Arial"/>
        </w:rPr>
        <w:t>En este orden de ideas, el artículo 137 de la LFTyR señala a la letra lo siguiente:</w:t>
      </w:r>
    </w:p>
    <w:p w14:paraId="0E58DBE7" w14:textId="77777777" w:rsidR="00760EBF" w:rsidRDefault="008E2F2D" w:rsidP="00760EBF">
      <w:pPr>
        <w:spacing w:before="240"/>
        <w:ind w:left="567" w:right="615"/>
        <w:jc w:val="both"/>
        <w:rPr>
          <w:rFonts w:ascii="ITC Avant Garde" w:hAnsi="ITC Avant Garde" w:cs="Arial"/>
          <w:i/>
          <w:sz w:val="18"/>
          <w:szCs w:val="18"/>
        </w:rPr>
      </w:pPr>
      <w:r w:rsidRPr="00B7644C">
        <w:rPr>
          <w:rFonts w:ascii="ITC Avant Garde" w:hAnsi="ITC Avant Garde" w:cs="Arial"/>
          <w:b/>
          <w:i/>
          <w:sz w:val="18"/>
          <w:szCs w:val="18"/>
        </w:rPr>
        <w:t>“Artículo 137.</w:t>
      </w:r>
      <w:r w:rsidRPr="00B7644C">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430D5CA4" w14:textId="77777777" w:rsidR="00760EBF" w:rsidRDefault="008E2F2D" w:rsidP="00760EBF">
      <w:pPr>
        <w:spacing w:before="240"/>
        <w:ind w:right="20"/>
        <w:jc w:val="both"/>
        <w:rPr>
          <w:rFonts w:ascii="ITC Avant Garde" w:eastAsia="Times New Roman" w:hAnsi="ITC Avant Garde" w:cs="Arial"/>
        </w:rPr>
      </w:pPr>
      <w:r w:rsidRPr="00B7644C">
        <w:rPr>
          <w:rFonts w:ascii="ITC Avant Garde" w:eastAsia="Times New Roman" w:hAnsi="ITC Avant Garde" w:cs="Arial"/>
        </w:rPr>
        <w:lastRenderedPageBreak/>
        <w:t xml:space="preserve">En apego a dicha metodología y en cumplimiento a lo establecido en el artículo 137, el </w:t>
      </w:r>
      <w:r w:rsidR="008E3985" w:rsidRPr="00B7644C">
        <w:rPr>
          <w:rFonts w:ascii="ITC Avant Garde" w:eastAsia="Times New Roman" w:hAnsi="ITC Avant Garde" w:cs="Arial"/>
        </w:rPr>
        <w:t>Instituto publicó en el DOF el 3</w:t>
      </w:r>
      <w:r w:rsidRPr="00B7644C">
        <w:rPr>
          <w:rFonts w:ascii="ITC Avant Garde" w:eastAsia="Times New Roman" w:hAnsi="ITC Avant Garde" w:cs="Arial"/>
        </w:rPr>
        <w:t xml:space="preserve"> de octubre de 201</w:t>
      </w:r>
      <w:r w:rsidR="008E3985" w:rsidRPr="00B7644C">
        <w:rPr>
          <w:rFonts w:ascii="ITC Avant Garde" w:eastAsia="Times New Roman" w:hAnsi="ITC Avant Garde" w:cs="Arial"/>
        </w:rPr>
        <w:t>6</w:t>
      </w:r>
      <w:r w:rsidRPr="00B7644C">
        <w:rPr>
          <w:rFonts w:ascii="ITC Avant Garde" w:eastAsia="Times New Roman" w:hAnsi="ITC Avant Garde" w:cs="Arial"/>
        </w:rPr>
        <w:t xml:space="preserve"> el </w:t>
      </w:r>
      <w:r w:rsidR="00222D07" w:rsidRPr="00B7644C">
        <w:rPr>
          <w:rFonts w:ascii="ITC Avant Garde" w:eastAsia="Times New Roman" w:hAnsi="ITC Avant Garde"/>
          <w:szCs w:val="24"/>
          <w:lang w:val="es-ES" w:eastAsia="es-ES"/>
        </w:rPr>
        <w:t>Acuerdo de CTM y Tarifas 2017</w:t>
      </w:r>
      <w:r w:rsidRPr="00B7644C">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w:t>
      </w:r>
      <w:r w:rsidR="008E3985" w:rsidRPr="00B7644C">
        <w:rPr>
          <w:rFonts w:ascii="ITC Avant Garde" w:eastAsia="Times New Roman" w:hAnsi="ITC Avant Garde" w:cs="Arial"/>
        </w:rPr>
        <w:t>nero al 31 de diciembre del 2017</w:t>
      </w:r>
      <w:r w:rsidRPr="00B7644C">
        <w:rPr>
          <w:rFonts w:ascii="ITC Avant Garde" w:eastAsia="Times New Roman" w:hAnsi="ITC Avant Garde" w:cs="Arial"/>
        </w:rPr>
        <w:t>.</w:t>
      </w:r>
    </w:p>
    <w:p w14:paraId="2B838F9A" w14:textId="77777777" w:rsidR="00760EBF" w:rsidRDefault="008E2F2D" w:rsidP="00760EBF">
      <w:pPr>
        <w:spacing w:before="240"/>
        <w:ind w:right="20"/>
        <w:jc w:val="both"/>
        <w:rPr>
          <w:rFonts w:ascii="ITC Avant Garde" w:eastAsia="Times New Roman" w:hAnsi="ITC Avant Garde" w:cs="Arial"/>
        </w:rPr>
      </w:pPr>
      <w:r w:rsidRPr="00B7644C">
        <w:rPr>
          <w:rFonts w:ascii="ITC Avant Garde" w:eastAsia="Times New Roman" w:hAnsi="ITC Avant Garde" w:cs="Arial"/>
        </w:rPr>
        <w:t xml:space="preserve">Cabe mencionar que dichos modelos de costos derivan de la aplicación de una disposición administrativa de carácter general como lo es la Metodología de Costos, y el procedimiento llevado a cabo para su construcción ha sido debidamente descrito en </w:t>
      </w:r>
      <w:r w:rsidR="008E3985" w:rsidRPr="00B7644C">
        <w:rPr>
          <w:rFonts w:ascii="ITC Avant Garde" w:eastAsia="Times New Roman" w:hAnsi="ITC Avant Garde" w:cs="Arial"/>
        </w:rPr>
        <w:t xml:space="preserve">el </w:t>
      </w:r>
      <w:r w:rsidR="00222D07" w:rsidRPr="00B7644C">
        <w:rPr>
          <w:rFonts w:ascii="ITC Avant Garde" w:eastAsia="Times New Roman" w:hAnsi="ITC Avant Garde"/>
          <w:szCs w:val="24"/>
          <w:lang w:val="es-ES" w:eastAsia="es-ES"/>
        </w:rPr>
        <w:t>Acuerdo de CTM y Tarifas 2017</w:t>
      </w:r>
      <w:r w:rsidRPr="00B7644C">
        <w:rPr>
          <w:rFonts w:ascii="ITC Avant Garde" w:eastAsia="Times New Roman" w:hAnsi="ITC Avant Garde" w:cs="Arial"/>
        </w:rPr>
        <w:t>.</w:t>
      </w:r>
    </w:p>
    <w:p w14:paraId="1912DDC8" w14:textId="77777777" w:rsidR="00760EBF" w:rsidRDefault="008E2F2D" w:rsidP="00760EBF">
      <w:pPr>
        <w:spacing w:before="240"/>
        <w:ind w:right="20"/>
        <w:jc w:val="both"/>
        <w:rPr>
          <w:rFonts w:ascii="ITC Avant Garde" w:hAnsi="ITC Avant Garde" w:cs="Arial"/>
        </w:rPr>
      </w:pPr>
      <w:r w:rsidRPr="00B7644C">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6262DBD6" w14:textId="659ED309" w:rsidR="00760EBF" w:rsidRDefault="00B43CF2" w:rsidP="00760EBF">
      <w:pPr>
        <w:spacing w:before="240"/>
        <w:jc w:val="both"/>
        <w:rPr>
          <w:rFonts w:ascii="ITC Avant Garde" w:hAnsi="ITC Avant Garde"/>
          <w:spacing w:val="-4"/>
          <w:lang w:val="es-ES"/>
        </w:rPr>
      </w:pPr>
      <w:r w:rsidRPr="00B7644C">
        <w:rPr>
          <w:rFonts w:ascii="ITC Avant Garde" w:hAnsi="ITC Avant Garde" w:cs="Arial"/>
        </w:rPr>
        <w:t xml:space="preserve">En tal virtud, la tarifa por los Servicios de Interconexión que </w:t>
      </w:r>
      <w:r w:rsidR="0023419F" w:rsidRPr="00B7644C">
        <w:rPr>
          <w:rFonts w:ascii="ITC Avant Garde" w:hAnsi="ITC Avant Garde" w:cs="Arial"/>
        </w:rPr>
        <w:t>MCM deberá</w:t>
      </w:r>
      <w:r w:rsidRPr="00B7644C">
        <w:rPr>
          <w:rFonts w:ascii="ITC Avant Garde" w:hAnsi="ITC Avant Garde" w:cs="Arial"/>
        </w:rPr>
        <w:t xml:space="preserve"> pagar a </w:t>
      </w:r>
      <w:r w:rsidR="0023419F" w:rsidRPr="00B7644C">
        <w:rPr>
          <w:rFonts w:ascii="ITC Avant Garde" w:hAnsi="ITC Avant Garde" w:cs="Arial"/>
        </w:rPr>
        <w:t xml:space="preserve">Pegaso </w:t>
      </w:r>
      <w:r w:rsidR="00A944F1" w:rsidRPr="00B7644C">
        <w:rPr>
          <w:rFonts w:ascii="ITC Avant Garde" w:hAnsi="ITC Avant Garde" w:cs="Arial"/>
        </w:rPr>
        <w:t>PCS</w:t>
      </w:r>
      <w:r w:rsidRPr="00B7644C">
        <w:rPr>
          <w:rFonts w:ascii="ITC Avant Garde" w:hAnsi="ITC Avant Garde" w:cs="Arial"/>
        </w:rPr>
        <w:t xml:space="preserve"> por los servicios de </w:t>
      </w:r>
      <w:r w:rsidR="0023419F" w:rsidRPr="00B7644C">
        <w:rPr>
          <w:rFonts w:ascii="ITC Avant Garde" w:hAnsi="ITC Avant Garde"/>
          <w:spacing w:val="-4"/>
          <w:lang w:val="es-ES"/>
        </w:rPr>
        <w:t>terminación del servicio local en usuarios móviles, será la siguiente:</w:t>
      </w:r>
    </w:p>
    <w:bookmarkEnd w:id="2"/>
    <w:p w14:paraId="1518874C" w14:textId="77777777" w:rsidR="00760EBF" w:rsidRDefault="0023419F" w:rsidP="00760EBF">
      <w:pPr>
        <w:pStyle w:val="Prrafodelista"/>
        <w:numPr>
          <w:ilvl w:val="0"/>
          <w:numId w:val="35"/>
        </w:numPr>
        <w:spacing w:before="240" w:after="200" w:line="276" w:lineRule="auto"/>
        <w:ind w:left="426"/>
        <w:rPr>
          <w:rFonts w:ascii="ITC Avant Garde" w:hAnsi="ITC Avant Garde"/>
          <w:b/>
          <w:spacing w:val="-4"/>
          <w:lang w:val="es-ES_tradnl"/>
        </w:rPr>
      </w:pPr>
      <w:r w:rsidRPr="00B7644C">
        <w:rPr>
          <w:rFonts w:ascii="ITC Avant Garde" w:hAnsi="ITC Avant Garde"/>
          <w:b/>
          <w:spacing w:val="-4"/>
          <w:lang w:val="es-ES_tradnl"/>
        </w:rPr>
        <w:t>Del 1 de enero al 31 de diciembre de 2017</w:t>
      </w:r>
      <w:r w:rsidR="003912AF" w:rsidRPr="00B7644C">
        <w:rPr>
          <w:rFonts w:ascii="ITC Avant Garde" w:hAnsi="ITC Avant Garde"/>
          <w:b/>
          <w:spacing w:val="-4"/>
          <w:lang w:val="es-ES_tradnl"/>
        </w:rPr>
        <w:t>,</w:t>
      </w:r>
      <w:r w:rsidRPr="00B7644C">
        <w:rPr>
          <w:rFonts w:ascii="ITC Avant Garde" w:hAnsi="ITC Avant Garde"/>
          <w:b/>
          <w:spacing w:val="-4"/>
          <w:lang w:val="es-ES_tradnl"/>
        </w:rPr>
        <w:t xml:space="preserve"> $0.1906 pesos M.N. por minuto de interconexión</w:t>
      </w:r>
    </w:p>
    <w:p w14:paraId="6B8093A7" w14:textId="77777777" w:rsidR="00760EBF" w:rsidRDefault="0023419F" w:rsidP="00760EBF">
      <w:pPr>
        <w:spacing w:before="240"/>
        <w:jc w:val="both"/>
        <w:rPr>
          <w:rFonts w:ascii="ITC Avant Garde" w:hAnsi="ITC Avant Garde" w:cs="Arial"/>
        </w:rPr>
      </w:pPr>
      <w:r w:rsidRPr="00B7644C">
        <w:rPr>
          <w:rFonts w:ascii="ITC Avant Garde" w:hAnsi="ITC Avant Garde" w:cs="Arial"/>
        </w:rPr>
        <w:t>Asimismo, la tarifa por los Servicios de Interconexión que Pegaso PCS deberá pagar a MCM por los servicios de terminación del servicio local en usuarios fijos, será la siguiente:</w:t>
      </w:r>
    </w:p>
    <w:p w14:paraId="1C65CC51" w14:textId="77777777" w:rsidR="00760EBF" w:rsidRDefault="0023419F" w:rsidP="00760EBF">
      <w:pPr>
        <w:pStyle w:val="Prrafodelista"/>
        <w:numPr>
          <w:ilvl w:val="0"/>
          <w:numId w:val="35"/>
        </w:numPr>
        <w:spacing w:before="240" w:after="200" w:line="276" w:lineRule="auto"/>
        <w:ind w:left="426"/>
        <w:rPr>
          <w:rFonts w:ascii="ITC Avant Garde" w:hAnsi="ITC Avant Garde"/>
          <w:b/>
          <w:spacing w:val="-4"/>
          <w:lang w:val="es-ES_tradnl"/>
        </w:rPr>
      </w:pPr>
      <w:r w:rsidRPr="00B7644C">
        <w:rPr>
          <w:rFonts w:ascii="ITC Avant Garde" w:hAnsi="ITC Avant Garde"/>
          <w:b/>
          <w:spacing w:val="-4"/>
          <w:lang w:val="es-ES_tradnl"/>
        </w:rPr>
        <w:t>Del 1 de enero al 31 de diciembre de 2017, $0.003094 pesos M.N. por minuto de interconexión.</w:t>
      </w:r>
    </w:p>
    <w:p w14:paraId="4F08C579" w14:textId="77777777" w:rsidR="00760EBF" w:rsidRDefault="0023419F" w:rsidP="00760EBF">
      <w:pPr>
        <w:spacing w:before="240"/>
        <w:jc w:val="both"/>
        <w:rPr>
          <w:rFonts w:ascii="ITC Avant Garde" w:hAnsi="ITC Avant Garde" w:cs="Arial"/>
        </w:rPr>
      </w:pPr>
      <w:r w:rsidRPr="00B7644C">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0F44B3D4" w14:textId="77777777" w:rsidR="00760EBF" w:rsidRDefault="0023419F" w:rsidP="00760EBF">
      <w:pPr>
        <w:spacing w:before="240"/>
        <w:jc w:val="both"/>
        <w:rPr>
          <w:rFonts w:ascii="ITC Avant Garde" w:eastAsia="Times New Roman" w:hAnsi="ITC Avant Garde" w:cs="Arial"/>
          <w:lang w:eastAsia="es-ES"/>
        </w:rPr>
      </w:pPr>
      <w:r w:rsidRPr="00B7644C">
        <w:rPr>
          <w:rFonts w:ascii="ITC Avant Garde" w:hAnsi="ITC Avant Garde" w:cs="Arial"/>
        </w:rPr>
        <w:t>Asimismo, las tarifas anteriores ya incluyen el costo correspondiente a los puertos necesarios para la interconexión.</w:t>
      </w:r>
    </w:p>
    <w:p w14:paraId="59DACC28" w14:textId="77777777" w:rsidR="00760EBF" w:rsidRDefault="008E2F2D" w:rsidP="00760EBF">
      <w:pPr>
        <w:spacing w:before="240"/>
        <w:jc w:val="both"/>
        <w:rPr>
          <w:rFonts w:ascii="ITC Avant Garde" w:hAnsi="ITC Avant Garde" w:cs="Arial"/>
        </w:rPr>
      </w:pPr>
      <w:r w:rsidRPr="00B7644C">
        <w:rPr>
          <w:rFonts w:ascii="ITC Avant Garde" w:hAnsi="ITC Avant Garde" w:cs="Arial"/>
        </w:rPr>
        <w:t xml:space="preserve">En virtud de los anterior y con el fin de que los términos, condiciones y tarifas de interconexión determinadas por este Instituto en la presente Resolución sean ofrecidos de manera no discriminatoria a los demás concesionarios que lo soliciten y que requieran </w:t>
      </w:r>
      <w:r w:rsidRPr="00B7644C">
        <w:rPr>
          <w:rFonts w:ascii="ITC Avant Garde" w:hAnsi="ITC Avant Garde" w:cs="Arial"/>
        </w:rPr>
        <w:lastRenderedPageBreak/>
        <w:t>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7EE563ED" w14:textId="77777777" w:rsidR="00760EBF" w:rsidRDefault="008E2F2D" w:rsidP="00760EBF">
      <w:pPr>
        <w:spacing w:before="240"/>
        <w:jc w:val="both"/>
        <w:rPr>
          <w:rFonts w:ascii="ITC Avant Garde" w:hAnsi="ITC Avant Garde" w:cs="Arial"/>
        </w:rPr>
      </w:pPr>
      <w:r w:rsidRPr="00B7644C">
        <w:rPr>
          <w:rFonts w:ascii="ITC Avant Garde" w:hAnsi="ITC Avant Garde" w:cs="Arial"/>
        </w:rPr>
        <w:t xml:space="preserve">Lo anterior, sin perjuicio de que </w:t>
      </w:r>
      <w:r w:rsidR="0023419F" w:rsidRPr="00B7644C">
        <w:rPr>
          <w:rFonts w:ascii="ITC Avant Garde" w:hAnsi="ITC Avant Garde" w:cs="Arial"/>
        </w:rPr>
        <w:t xml:space="preserve">MCM </w:t>
      </w:r>
      <w:r w:rsidRPr="00B7644C">
        <w:rPr>
          <w:rFonts w:ascii="ITC Avant Garde" w:hAnsi="ITC Avant Garde" w:cs="Arial"/>
        </w:rPr>
        <w:t xml:space="preserve">y </w:t>
      </w:r>
      <w:r w:rsidR="0023419F" w:rsidRPr="00B7644C">
        <w:rPr>
          <w:rFonts w:ascii="ITC Avant Garde" w:eastAsia="Times New Roman" w:hAnsi="ITC Avant Garde"/>
          <w:lang w:val="es-ES" w:eastAsia="es-ES"/>
        </w:rPr>
        <w:t xml:space="preserve">Pegaso </w:t>
      </w:r>
      <w:r w:rsidR="00A944F1" w:rsidRPr="00B7644C">
        <w:rPr>
          <w:rFonts w:ascii="ITC Avant Garde" w:eastAsia="Times New Roman" w:hAnsi="ITC Avant Garde"/>
          <w:lang w:val="es-ES" w:eastAsia="es-ES"/>
        </w:rPr>
        <w:t>PCS</w:t>
      </w:r>
      <w:r w:rsidR="00FC39AE" w:rsidRPr="00B7644C">
        <w:rPr>
          <w:rFonts w:ascii="ITC Avant Garde" w:eastAsia="Times New Roman" w:hAnsi="ITC Avant Garde"/>
          <w:lang w:val="es-ES" w:eastAsia="es-ES"/>
        </w:rPr>
        <w:t xml:space="preserve"> formalicen</w:t>
      </w:r>
      <w:r w:rsidRPr="00B7644C">
        <w:rPr>
          <w:rFonts w:ascii="ITC Avant Garde" w:hAnsi="ITC Avant Garde" w:cs="Arial"/>
        </w:rPr>
        <w:t xml:space="preserve">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LFTyR.</w:t>
      </w:r>
    </w:p>
    <w:p w14:paraId="057FAD62" w14:textId="77777777" w:rsidR="00760EBF" w:rsidRDefault="008E2F2D" w:rsidP="00760EBF">
      <w:pPr>
        <w:spacing w:before="240"/>
        <w:jc w:val="both"/>
        <w:rPr>
          <w:rFonts w:ascii="ITC Avant Garde" w:hAnsi="ITC Avant Garde" w:cs="Arial"/>
        </w:rPr>
      </w:pPr>
      <w:r w:rsidRPr="00B7644C">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 b, 176, 177 fracción VII, 178, 312 y 313 de la Ley Federal de Telecomunicaciones y Radiodifusión; 32, 35, fracción I, 36, 38, 39 y 57 fracción I de la Ley Federal de Procedimiento Administrativo; 197, 203 y 218 del Código Federal de Procedimientos Civiles; y 4 fracción I y 6, fracción XXXVII</w:t>
      </w:r>
      <w:r w:rsidR="000F3D52" w:rsidRPr="00B7644C">
        <w:rPr>
          <w:rFonts w:ascii="ITC Avant Garde" w:hAnsi="ITC Avant Garde" w:cs="Arial"/>
        </w:rPr>
        <w:t>I</w:t>
      </w:r>
      <w:r w:rsidRPr="00B7644C">
        <w:rPr>
          <w:rFonts w:ascii="ITC Avant Garde" w:hAnsi="ITC Avant Garde" w:cs="Arial"/>
        </w:rPr>
        <w:t xml:space="preserve"> del Estatuto Orgánico del Instituto Federal de Telecomunicaciones, el Pleno del Instituto Federal de Telecomunicaciones emite los siguientes:</w:t>
      </w:r>
    </w:p>
    <w:p w14:paraId="2B703FA8" w14:textId="77777777" w:rsidR="00760EBF" w:rsidRPr="00760EBF" w:rsidRDefault="00AC04A2" w:rsidP="00760EBF">
      <w:pPr>
        <w:pStyle w:val="Ttulo2"/>
        <w:keepLines/>
        <w:spacing w:before="40" w:after="240" w:line="276" w:lineRule="auto"/>
        <w:jc w:val="center"/>
        <w:rPr>
          <w:rFonts w:ascii="ITC Avant Garde" w:eastAsiaTheme="majorEastAsia" w:hAnsi="ITC Avant Garde" w:cstheme="majorBidi"/>
          <w:color w:val="000000" w:themeColor="text1"/>
          <w:szCs w:val="22"/>
        </w:rPr>
      </w:pPr>
      <w:r w:rsidRPr="00760EBF">
        <w:rPr>
          <w:rFonts w:ascii="ITC Avant Garde" w:eastAsiaTheme="majorEastAsia" w:hAnsi="ITC Avant Garde" w:cstheme="majorBidi"/>
          <w:color w:val="000000" w:themeColor="text1"/>
          <w:szCs w:val="22"/>
        </w:rPr>
        <w:t>RESOLUTIVOS</w:t>
      </w:r>
    </w:p>
    <w:p w14:paraId="132E73BC" w14:textId="77777777" w:rsidR="00760EBF" w:rsidRDefault="00946933" w:rsidP="00760EBF">
      <w:pPr>
        <w:spacing w:before="240"/>
        <w:jc w:val="both"/>
        <w:rPr>
          <w:rFonts w:ascii="ITC Avant Garde" w:hAnsi="ITC Avant Garde"/>
          <w:bCs/>
          <w:lang w:val="es-ES" w:eastAsia="es-ES"/>
        </w:rPr>
      </w:pPr>
      <w:r w:rsidRPr="00B7644C">
        <w:rPr>
          <w:rFonts w:ascii="ITC Avant Garde" w:hAnsi="ITC Avant Garde" w:cs="Arial"/>
          <w:b/>
        </w:rPr>
        <w:t>PRIMERO</w:t>
      </w:r>
      <w:r w:rsidRPr="00B7644C">
        <w:rPr>
          <w:rFonts w:ascii="ITC Avant Garde" w:hAnsi="ITC Avant Garde" w:cs="Arial"/>
        </w:rPr>
        <w:t xml:space="preserve">.- </w:t>
      </w:r>
      <w:r w:rsidR="0023419F" w:rsidRPr="00B7644C">
        <w:rPr>
          <w:rFonts w:ascii="ITC Avant Garde" w:hAnsi="ITC Avant Garde" w:cs="Arial"/>
        </w:rPr>
        <w:t xml:space="preserve">La tarifa de interconexión que </w:t>
      </w:r>
      <w:r w:rsidR="0023419F" w:rsidRPr="00B7644C">
        <w:rPr>
          <w:rFonts w:ascii="ITC Avant Garde" w:hAnsi="ITC Avant Garde" w:cs="Helvetica"/>
          <w:lang w:eastAsia="es-MX"/>
        </w:rPr>
        <w:t xml:space="preserve">Mega Cable Comunicaciones de México, S.A de C.V., deberá pagar a </w:t>
      </w:r>
      <w:r w:rsidR="0023419F" w:rsidRPr="00B7644C">
        <w:rPr>
          <w:rFonts w:ascii="ITC Avant Garde" w:eastAsia="Times New Roman" w:hAnsi="ITC Avant Garde"/>
          <w:bCs/>
          <w:lang w:val="es-ES" w:eastAsia="es-ES"/>
        </w:rPr>
        <w:t xml:space="preserve">Pegaso PCS, S.A. de C.V., </w:t>
      </w:r>
      <w:r w:rsidR="0023419F" w:rsidRPr="00B7644C">
        <w:rPr>
          <w:rFonts w:ascii="ITC Avant Garde" w:hAnsi="ITC Avant Garde"/>
          <w:bCs/>
          <w:lang w:val="es-ES" w:eastAsia="es-ES"/>
        </w:rPr>
        <w:t>por servicios de terminación del Servicio Local en usuarios móviles bajo la modalidad “El que llama paga”, será la siguiente:</w:t>
      </w:r>
    </w:p>
    <w:p w14:paraId="34B5C67C" w14:textId="77777777" w:rsidR="00760EBF" w:rsidRDefault="0023419F" w:rsidP="00760EBF">
      <w:pPr>
        <w:numPr>
          <w:ilvl w:val="0"/>
          <w:numId w:val="16"/>
        </w:numPr>
        <w:spacing w:before="240"/>
        <w:ind w:left="709"/>
        <w:jc w:val="both"/>
        <w:rPr>
          <w:rFonts w:ascii="ITC Avant Garde" w:hAnsi="ITC Avant Garde"/>
          <w:b/>
          <w:spacing w:val="-4"/>
          <w:lang w:val="es-ES_tradnl"/>
        </w:rPr>
      </w:pPr>
      <w:r w:rsidRPr="00B7644C">
        <w:rPr>
          <w:rFonts w:ascii="ITC Avant Garde" w:hAnsi="ITC Avant Garde"/>
          <w:b/>
          <w:spacing w:val="-4"/>
          <w:lang w:val="es-ES_tradnl"/>
        </w:rPr>
        <w:t>Del 1 de enero al 31 de diciembre de 2017</w:t>
      </w:r>
      <w:r w:rsidR="003912AF" w:rsidRPr="00B7644C">
        <w:rPr>
          <w:rFonts w:ascii="ITC Avant Garde" w:hAnsi="ITC Avant Garde"/>
          <w:b/>
          <w:spacing w:val="-4"/>
          <w:lang w:val="es-ES_tradnl"/>
        </w:rPr>
        <w:t>,</w:t>
      </w:r>
      <w:r w:rsidRPr="00B7644C">
        <w:rPr>
          <w:rFonts w:ascii="ITC Avant Garde" w:hAnsi="ITC Avant Garde"/>
          <w:b/>
          <w:spacing w:val="-4"/>
          <w:lang w:val="es-ES_tradnl"/>
        </w:rPr>
        <w:t xml:space="preserve"> $0.1906 pesos M.N. por minuto de interconexión.</w:t>
      </w:r>
    </w:p>
    <w:p w14:paraId="69C2BD0D" w14:textId="781ABC46" w:rsidR="00760EBF" w:rsidRDefault="0023419F" w:rsidP="00760EBF">
      <w:pPr>
        <w:spacing w:before="240"/>
        <w:jc w:val="both"/>
        <w:rPr>
          <w:rFonts w:ascii="ITC Avant Garde" w:eastAsia="Times New Roman" w:hAnsi="ITC Avant Garde"/>
          <w:lang w:eastAsia="es-ES"/>
        </w:rPr>
      </w:pPr>
      <w:r w:rsidRPr="00B7644C">
        <w:rPr>
          <w:rFonts w:ascii="ITC Avant Garde" w:eastAsia="Times New Roman" w:hAnsi="ITC Avant Garde"/>
          <w:lang w:eastAsia="es-ES"/>
        </w:rPr>
        <w:t>La tarifa anterior ya incluye el costo correspondiente a los puertos necesarios para la interconexión.</w:t>
      </w:r>
    </w:p>
    <w:p w14:paraId="70BFF788" w14:textId="77777777" w:rsidR="00760EBF" w:rsidRDefault="0023419F" w:rsidP="00760EBF">
      <w:pPr>
        <w:spacing w:before="240"/>
        <w:jc w:val="both"/>
        <w:rPr>
          <w:rFonts w:ascii="ITC Avant Garde" w:hAnsi="ITC Avant Garde" w:cs="Arial"/>
        </w:rPr>
      </w:pPr>
      <w:r w:rsidRPr="00B7644C">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510A85B5" w14:textId="3C8C6308" w:rsidR="0023419F" w:rsidRPr="00B7644C" w:rsidRDefault="00B43CF2" w:rsidP="00760EBF">
      <w:pPr>
        <w:spacing w:before="240"/>
        <w:jc w:val="both"/>
        <w:rPr>
          <w:rFonts w:ascii="ITC Avant Garde" w:hAnsi="ITC Avant Garde"/>
          <w:bCs/>
          <w:lang w:val="es-ES" w:eastAsia="es-ES"/>
        </w:rPr>
      </w:pPr>
      <w:r w:rsidRPr="00B7644C">
        <w:rPr>
          <w:rFonts w:ascii="ITC Avant Garde" w:hAnsi="ITC Avant Garde" w:cs="Arial"/>
          <w:b/>
        </w:rPr>
        <w:lastRenderedPageBreak/>
        <w:t xml:space="preserve">SEGUNDO.- </w:t>
      </w:r>
      <w:r w:rsidR="0023419F" w:rsidRPr="00B7644C">
        <w:rPr>
          <w:rFonts w:ascii="ITC Avant Garde" w:hAnsi="ITC Avant Garde" w:cs="Arial"/>
        </w:rPr>
        <w:t xml:space="preserve">La tarifa de interconexión que </w:t>
      </w:r>
      <w:r w:rsidR="0023419F" w:rsidRPr="00B7644C">
        <w:rPr>
          <w:rFonts w:ascii="ITC Avant Garde" w:eastAsia="Times New Roman" w:hAnsi="ITC Avant Garde"/>
          <w:bCs/>
          <w:lang w:val="es-ES" w:eastAsia="es-ES"/>
        </w:rPr>
        <w:t xml:space="preserve">Pegaso PCS, S.A. de C.V., </w:t>
      </w:r>
      <w:r w:rsidR="0023419F" w:rsidRPr="00B7644C">
        <w:rPr>
          <w:rFonts w:ascii="ITC Avant Garde" w:hAnsi="ITC Avant Garde" w:cs="Helvetica"/>
          <w:lang w:eastAsia="es-MX"/>
        </w:rPr>
        <w:t>deberá pagar a Mega Cable Comunicaciones de México, S.A de C.V.,</w:t>
      </w:r>
      <w:r w:rsidR="0023419F" w:rsidRPr="00B7644C">
        <w:rPr>
          <w:rFonts w:ascii="ITC Avant Garde" w:hAnsi="ITC Avant Garde"/>
          <w:bCs/>
          <w:lang w:val="es-ES" w:eastAsia="es-ES"/>
        </w:rPr>
        <w:t xml:space="preserve"> por servicios de terminación del Servicio Local en usuarios fijos, será la siguiente:</w:t>
      </w:r>
    </w:p>
    <w:p w14:paraId="6AB3A29F" w14:textId="77777777" w:rsidR="00760EBF" w:rsidRDefault="0023419F" w:rsidP="00760EBF">
      <w:pPr>
        <w:numPr>
          <w:ilvl w:val="0"/>
          <w:numId w:val="16"/>
        </w:numPr>
        <w:spacing w:before="240"/>
        <w:ind w:left="709"/>
        <w:jc w:val="both"/>
        <w:rPr>
          <w:rFonts w:ascii="ITC Avant Garde" w:hAnsi="ITC Avant Garde"/>
          <w:b/>
          <w:spacing w:val="-4"/>
          <w:lang w:val="es-ES_tradnl"/>
        </w:rPr>
      </w:pPr>
      <w:r w:rsidRPr="00B7644C">
        <w:rPr>
          <w:rFonts w:ascii="ITC Avant Garde" w:hAnsi="ITC Avant Garde"/>
          <w:b/>
          <w:spacing w:val="-4"/>
          <w:lang w:val="es-ES_tradnl"/>
        </w:rPr>
        <w:t>Del 1 de enero al 31 de diciembre de 2017, $0.003094 pesos M.N. por minuto de interconexión.</w:t>
      </w:r>
    </w:p>
    <w:p w14:paraId="2DA086EB" w14:textId="77777777" w:rsidR="00760EBF" w:rsidRDefault="0023419F" w:rsidP="00760EBF">
      <w:pPr>
        <w:spacing w:before="240"/>
        <w:jc w:val="both"/>
        <w:rPr>
          <w:rFonts w:ascii="ITC Avant Garde" w:eastAsia="Times New Roman" w:hAnsi="ITC Avant Garde"/>
          <w:lang w:eastAsia="es-ES"/>
        </w:rPr>
      </w:pPr>
      <w:r w:rsidRPr="00B7644C">
        <w:rPr>
          <w:rFonts w:ascii="ITC Avant Garde" w:eastAsia="Times New Roman" w:hAnsi="ITC Avant Garde"/>
          <w:lang w:eastAsia="es-ES"/>
        </w:rPr>
        <w:t>La tarifa anterior ya incluye el costo correspondiente a los puertos necesarios para la interconexión.</w:t>
      </w:r>
    </w:p>
    <w:p w14:paraId="6F0714BC" w14:textId="77777777" w:rsidR="00760EBF" w:rsidRDefault="0023419F" w:rsidP="00760EBF">
      <w:pPr>
        <w:spacing w:before="240"/>
        <w:jc w:val="both"/>
        <w:rPr>
          <w:rFonts w:ascii="ITC Avant Garde" w:hAnsi="ITC Avant Garde" w:cs="Arial"/>
        </w:rPr>
      </w:pPr>
      <w:r w:rsidRPr="00B7644C">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3D67F86" w14:textId="77777777" w:rsidR="00760EBF" w:rsidRDefault="0023419F" w:rsidP="00760EBF">
      <w:pPr>
        <w:spacing w:before="240"/>
        <w:ind w:right="20"/>
        <w:jc w:val="both"/>
        <w:rPr>
          <w:rFonts w:ascii="ITC Avant Garde" w:hAnsi="ITC Avant Garde" w:cs="Arial"/>
        </w:rPr>
      </w:pPr>
      <w:r w:rsidRPr="00B7644C">
        <w:rPr>
          <w:rFonts w:ascii="ITC Avant Garde" w:hAnsi="ITC Avant Garde" w:cs="Arial"/>
          <w:b/>
        </w:rPr>
        <w:t xml:space="preserve">TERCERO.- </w:t>
      </w:r>
      <w:r w:rsidR="00B43CF2" w:rsidRPr="00B7644C">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las empresas </w:t>
      </w:r>
      <w:r w:rsidRPr="00B7644C">
        <w:rPr>
          <w:rFonts w:ascii="ITC Avant Garde" w:eastAsia="Times New Roman" w:hAnsi="ITC Avant Garde"/>
          <w:bCs/>
          <w:lang w:val="es-ES" w:eastAsia="es-ES"/>
        </w:rPr>
        <w:t xml:space="preserve">Pegaso PCS, S.A. de C.V., </w:t>
      </w:r>
      <w:r w:rsidR="00B43CF2" w:rsidRPr="00B7644C">
        <w:rPr>
          <w:rFonts w:ascii="ITC Avant Garde" w:hAnsi="ITC Avant Garde" w:cs="Arial"/>
        </w:rPr>
        <w:t xml:space="preserve">y </w:t>
      </w:r>
      <w:r w:rsidR="005E309F" w:rsidRPr="00B7644C">
        <w:rPr>
          <w:rFonts w:ascii="ITC Avant Garde" w:hAnsi="ITC Avant Garde" w:cs="Arial"/>
        </w:rPr>
        <w:t>Meg</w:t>
      </w:r>
      <w:r w:rsidR="004A1108" w:rsidRPr="00B7644C">
        <w:rPr>
          <w:rFonts w:ascii="ITC Avant Garde" w:hAnsi="ITC Avant Garde" w:cs="Arial"/>
        </w:rPr>
        <w:t>acable Comunicaciones de México,</w:t>
      </w:r>
      <w:r w:rsidR="00B43CF2" w:rsidRPr="00B7644C">
        <w:rPr>
          <w:rFonts w:ascii="ITC Avant Garde" w:hAnsi="ITC Avant Garde" w:cs="Arial"/>
        </w:rPr>
        <w:t xml:space="preserve"> S.A. de C.V.</w:t>
      </w:r>
      <w:r w:rsidR="00B43CF2" w:rsidRPr="00B7644C">
        <w:rPr>
          <w:rFonts w:ascii="ITC Avant Garde" w:eastAsia="Times New Roman" w:hAnsi="ITC Avant Garde" w:cs="Arial"/>
        </w:rPr>
        <w:t>,</w:t>
      </w:r>
      <w:r w:rsidR="00B43CF2" w:rsidRPr="00B7644C">
        <w:t xml:space="preserve"> </w:t>
      </w:r>
      <w:r w:rsidR="00B43CF2" w:rsidRPr="00B7644C">
        <w:rPr>
          <w:rFonts w:ascii="ITC Avant Garde" w:hAnsi="ITC Avant Garde" w:cs="Arial"/>
        </w:rPr>
        <w:t xml:space="preserve">deberán </w:t>
      </w:r>
      <w:r w:rsidR="00B43CF2" w:rsidRPr="00B7644C">
        <w:rPr>
          <w:rFonts w:ascii="ITC Avant Garde" w:eastAsia="Times New Roman" w:hAnsi="ITC Avant Garde" w:cs="Arial"/>
        </w:rPr>
        <w:t xml:space="preserve">suscribir </w:t>
      </w:r>
      <w:r w:rsidR="00B43CF2" w:rsidRPr="00B7644C">
        <w:rPr>
          <w:rFonts w:ascii="ITC Avant Garde" w:hAnsi="ITC Avant Garde" w:cs="Arial"/>
        </w:rPr>
        <w:t>los convenios de interconexión de sus redes públicas de telecomunicaciones conforme a los términos y condiciones determinados en l</w:t>
      </w:r>
      <w:r w:rsidR="000F3D52" w:rsidRPr="00B7644C">
        <w:rPr>
          <w:rFonts w:ascii="ITC Avant Garde" w:hAnsi="ITC Avant Garde" w:cs="Arial"/>
        </w:rPr>
        <w:t>os</w:t>
      </w:r>
      <w:r w:rsidR="00B43CF2" w:rsidRPr="00B7644C">
        <w:rPr>
          <w:rFonts w:ascii="ITC Avant Garde" w:hAnsi="ITC Avant Garde" w:cs="Arial"/>
        </w:rPr>
        <w:t xml:space="preserve"> Resolutivo</w:t>
      </w:r>
      <w:r w:rsidR="000F3D52" w:rsidRPr="00B7644C">
        <w:rPr>
          <w:rFonts w:ascii="ITC Avant Garde" w:hAnsi="ITC Avant Garde" w:cs="Arial"/>
        </w:rPr>
        <w:t>s</w:t>
      </w:r>
      <w:r w:rsidR="00B43CF2" w:rsidRPr="00B7644C">
        <w:rPr>
          <w:rFonts w:ascii="ITC Avant Garde" w:hAnsi="ITC Avant Garde" w:cs="Arial"/>
        </w:rPr>
        <w:t xml:space="preserve"> PRIMERO</w:t>
      </w:r>
      <w:r w:rsidRPr="00B7644C">
        <w:rPr>
          <w:rFonts w:ascii="ITC Avant Garde" w:hAnsi="ITC Avant Garde" w:cs="Arial"/>
        </w:rPr>
        <w:t xml:space="preserve"> y </w:t>
      </w:r>
      <w:r w:rsidR="00892D58" w:rsidRPr="00B7644C">
        <w:rPr>
          <w:rFonts w:ascii="ITC Avant Garde" w:hAnsi="ITC Avant Garde" w:cs="Arial"/>
        </w:rPr>
        <w:t>SEGUNDO</w:t>
      </w:r>
      <w:r w:rsidR="005E309F" w:rsidRPr="00B7644C">
        <w:rPr>
          <w:rFonts w:ascii="ITC Avant Garde" w:hAnsi="ITC Avant Garde" w:cs="Arial"/>
        </w:rPr>
        <w:t xml:space="preserve">, </w:t>
      </w:r>
      <w:r w:rsidR="00B43CF2" w:rsidRPr="00B7644C">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5CD3C7BE" w14:textId="77777777" w:rsidR="00760EBF" w:rsidRDefault="00E74596" w:rsidP="00760EBF">
      <w:pPr>
        <w:spacing w:before="240"/>
        <w:jc w:val="both"/>
        <w:rPr>
          <w:rFonts w:ascii="ITC Avant Garde" w:hAnsi="ITC Avant Garde"/>
          <w:shd w:val="clear" w:color="auto" w:fill="FFFFFF"/>
        </w:rPr>
      </w:pPr>
      <w:r w:rsidRPr="00B7644C">
        <w:rPr>
          <w:rFonts w:ascii="ITC Avant Garde" w:hAnsi="ITC Avant Garde" w:cs="Arial"/>
          <w:b/>
        </w:rPr>
        <w:t>CUARTO</w:t>
      </w:r>
      <w:r w:rsidR="00B43CF2" w:rsidRPr="00B7644C">
        <w:rPr>
          <w:rFonts w:ascii="ITC Avant Garde" w:hAnsi="ITC Avant Garde" w:cs="Arial"/>
          <w:b/>
        </w:rPr>
        <w:t xml:space="preserve">.- </w:t>
      </w:r>
      <w:r w:rsidR="00B43CF2" w:rsidRPr="00B7644C">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las empresas </w:t>
      </w:r>
      <w:r w:rsidR="004A1108" w:rsidRPr="00B7644C">
        <w:rPr>
          <w:rFonts w:ascii="ITC Avant Garde" w:eastAsia="Times New Roman" w:hAnsi="ITC Avant Garde"/>
          <w:bCs/>
          <w:lang w:val="es-ES" w:eastAsia="es-ES"/>
        </w:rPr>
        <w:t xml:space="preserve">Pegaso PCS, S.A. de C.V. </w:t>
      </w:r>
      <w:r w:rsidR="00B43CF2" w:rsidRPr="00B7644C">
        <w:rPr>
          <w:rFonts w:ascii="ITC Avant Garde" w:hAnsi="ITC Avant Garde" w:cs="Arial"/>
        </w:rPr>
        <w:t xml:space="preserve">y </w:t>
      </w:r>
      <w:r w:rsidR="005E309F" w:rsidRPr="00B7644C">
        <w:rPr>
          <w:rFonts w:ascii="ITC Avant Garde" w:hAnsi="ITC Avant Garde" w:cs="Arial"/>
        </w:rPr>
        <w:t>Megacable Comunicaciones de México, S.A. de C.V.,</w:t>
      </w:r>
      <w:r w:rsidR="005E309F" w:rsidRPr="00B7644C">
        <w:rPr>
          <w:rFonts w:ascii="ITC Avant Garde" w:hAnsi="ITC Avant Garde" w:cs="Arial"/>
          <w:lang w:eastAsia="es-MX"/>
        </w:rPr>
        <w:t xml:space="preserve"> </w:t>
      </w:r>
      <w:r w:rsidR="00B43CF2" w:rsidRPr="00B7644C">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544F8A43" w14:textId="36E72719" w:rsidR="00B43CF2" w:rsidRPr="00B7644C" w:rsidRDefault="00E74596" w:rsidP="00760EBF">
      <w:pPr>
        <w:spacing w:before="240"/>
        <w:ind w:right="20"/>
        <w:jc w:val="both"/>
        <w:rPr>
          <w:rFonts w:ascii="ITC Avant Garde" w:eastAsia="Times New Roman" w:hAnsi="ITC Avant Garde" w:cs="Arial"/>
        </w:rPr>
      </w:pPr>
      <w:r w:rsidRPr="00B7644C">
        <w:rPr>
          <w:rFonts w:ascii="ITC Avant Garde" w:eastAsia="Times New Roman" w:hAnsi="ITC Avant Garde"/>
          <w:b/>
          <w:bCs/>
          <w:lang w:eastAsia="es-ES"/>
        </w:rPr>
        <w:lastRenderedPageBreak/>
        <w:t>QUINTO</w:t>
      </w:r>
      <w:r w:rsidR="00B43CF2" w:rsidRPr="00B7644C">
        <w:rPr>
          <w:rFonts w:ascii="ITC Avant Garde" w:eastAsia="Times New Roman" w:hAnsi="ITC Avant Garde"/>
          <w:b/>
          <w:bCs/>
          <w:lang w:eastAsia="es-ES"/>
        </w:rPr>
        <w:t>.-</w:t>
      </w:r>
      <w:r w:rsidR="00B43CF2" w:rsidRPr="00B7644C">
        <w:rPr>
          <w:rFonts w:ascii="ITC Avant Garde" w:hAnsi="ITC Avant Garde"/>
        </w:rPr>
        <w:t xml:space="preserve"> </w:t>
      </w:r>
      <w:r w:rsidR="00B43CF2" w:rsidRPr="00B7644C">
        <w:rPr>
          <w:rFonts w:ascii="ITC Avant Garde" w:hAnsi="ITC Avant Garde" w:cs="Arial"/>
        </w:rPr>
        <w:t xml:space="preserve">Notifíquese personalmente a los representantes legales de </w:t>
      </w:r>
      <w:r w:rsidR="00B43CF2" w:rsidRPr="00B7644C">
        <w:rPr>
          <w:rFonts w:ascii="ITC Avant Garde" w:hAnsi="ITC Avant Garde"/>
        </w:rPr>
        <w:t xml:space="preserve">las empresas </w:t>
      </w:r>
      <w:r w:rsidR="0023419F" w:rsidRPr="00B7644C">
        <w:rPr>
          <w:rFonts w:ascii="ITC Avant Garde" w:eastAsia="Times New Roman" w:hAnsi="ITC Avant Garde"/>
          <w:bCs/>
          <w:lang w:val="es-ES" w:eastAsia="es-ES"/>
        </w:rPr>
        <w:t>Pegaso PCS, S.A. de C.V.</w:t>
      </w:r>
      <w:r w:rsidR="00157269" w:rsidRPr="00B7644C">
        <w:rPr>
          <w:rFonts w:ascii="ITC Avant Garde" w:eastAsia="Times New Roman" w:hAnsi="ITC Avant Garde"/>
          <w:bCs/>
          <w:lang w:val="es-ES" w:eastAsia="es-ES"/>
        </w:rPr>
        <w:t xml:space="preserve"> </w:t>
      </w:r>
      <w:r w:rsidR="00157269" w:rsidRPr="00B7644C">
        <w:rPr>
          <w:rFonts w:ascii="ITC Avant Garde" w:hAnsi="ITC Avant Garde" w:cs="Arial"/>
        </w:rPr>
        <w:t xml:space="preserve">y </w:t>
      </w:r>
      <w:r w:rsidR="005E309F" w:rsidRPr="00B7644C">
        <w:rPr>
          <w:rFonts w:ascii="ITC Avant Garde" w:hAnsi="ITC Avant Garde" w:cs="Arial"/>
        </w:rPr>
        <w:t>Megacable Comunicaciones de México, S.A. de C.V.,</w:t>
      </w:r>
      <w:r w:rsidR="005E309F" w:rsidRPr="00B7644C">
        <w:rPr>
          <w:rFonts w:ascii="ITC Avant Garde" w:hAnsi="ITC Avant Garde" w:cs="Arial"/>
          <w:lang w:eastAsia="es-MX"/>
        </w:rPr>
        <w:t xml:space="preserve"> </w:t>
      </w:r>
      <w:r w:rsidR="00B43CF2" w:rsidRPr="00B7644C">
        <w:rPr>
          <w:rFonts w:ascii="ITC Avant Garde" w:hAnsi="ITC Avant Garde" w:cs="Arial"/>
          <w:bCs/>
        </w:rPr>
        <w:t>el</w:t>
      </w:r>
      <w:r w:rsidR="00B43CF2" w:rsidRPr="00B7644C">
        <w:rPr>
          <w:rFonts w:ascii="ITC Avant Garde" w:hAnsi="ITC Avant Garde" w:cs="Arial"/>
        </w:rPr>
        <w:t xml:space="preserve"> contenido de la presente Resolución, en términos de lo establecido en el artículo 129 fracción VIII de la Ley Federal de Telecomunicaciones y Radiodifusión.</w:t>
      </w:r>
    </w:p>
    <w:p w14:paraId="136C6EC2" w14:textId="77777777" w:rsidR="00952DBC" w:rsidRPr="00952DBC" w:rsidRDefault="00952DBC" w:rsidP="00760EBF">
      <w:pPr>
        <w:pStyle w:val="Prrafodelista"/>
        <w:spacing w:before="240" w:after="200"/>
        <w:ind w:left="0"/>
        <w:rPr>
          <w:sz w:val="13"/>
          <w:szCs w:val="13"/>
          <w:lang w:val="es-ES_tradnl" w:eastAsia="es-MX"/>
        </w:rPr>
      </w:pPr>
      <w:r w:rsidRPr="00952DBC">
        <w:rPr>
          <w:rFonts w:ascii="ITC Avant Garde" w:hAnsi="ITC Avant Garde"/>
          <w:sz w:val="13"/>
          <w:szCs w:val="13"/>
          <w:lang w:val="es-ES_tradnl"/>
        </w:rPr>
        <w:t>La presente Resolución fue aprobada por el Pleno del Instituto Federal de Telecomunicaciones en su XLIII Sesión Ordinaria celebrada el 30 de noviembre de 2016, en lo general por unanimidad de votos de los Comisionados Gabriel Oswaldo Contreras Saldívar, Ernesto Estrada González, Adriana Sofía Labardini Inzunza, María Elena Estavillo Flores, Mario Germán Fromow Rangel, Adolfo Cuevas Teja y Javier Juárez Mojica.</w:t>
      </w:r>
    </w:p>
    <w:p w14:paraId="0AB81F8B" w14:textId="77777777" w:rsidR="00952DBC" w:rsidRPr="00952DBC" w:rsidRDefault="00952DBC" w:rsidP="00760EBF">
      <w:pPr>
        <w:pStyle w:val="Prrafodelista"/>
        <w:spacing w:before="240" w:after="200"/>
        <w:ind w:left="0"/>
        <w:rPr>
          <w:sz w:val="13"/>
          <w:szCs w:val="13"/>
          <w:lang w:val="es-ES_tradnl"/>
        </w:rPr>
      </w:pPr>
      <w:r w:rsidRPr="00952DBC">
        <w:rPr>
          <w:rFonts w:ascii="ITC Avant Garde" w:hAnsi="ITC Avant Garde"/>
          <w:sz w:val="13"/>
          <w:szCs w:val="13"/>
          <w:lang w:val="es-ES_tradnl"/>
        </w:rPr>
        <w:t>En lo particular, la Comisionada María Elena Estavillo Flores manifestó voto concurrente en el Resolutivo Primero, por no coincidir con la mención de la modalidad “El que llama paga”.</w:t>
      </w:r>
    </w:p>
    <w:p w14:paraId="69BE110F" w14:textId="77777777" w:rsidR="00952DBC" w:rsidRPr="00952DBC" w:rsidRDefault="00952DBC" w:rsidP="00760EBF">
      <w:pPr>
        <w:pStyle w:val="Prrafodelista"/>
        <w:spacing w:before="240" w:after="200"/>
        <w:ind w:left="0"/>
        <w:rPr>
          <w:rFonts w:ascii="ITC Avant Garde" w:hAnsi="ITC Avant Garde"/>
          <w:sz w:val="13"/>
          <w:szCs w:val="13"/>
          <w:lang w:val="es-ES_tradnl"/>
        </w:rPr>
      </w:pPr>
      <w:r w:rsidRPr="00952DBC">
        <w:rPr>
          <w:rFonts w:ascii="ITC Avant Garde" w:hAnsi="ITC Avant Garde"/>
          <w:sz w:val="13"/>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P/IFT/301116/690.</w:t>
      </w:r>
    </w:p>
    <w:p w14:paraId="39456630" w14:textId="3F811B1E" w:rsidR="00952DBC" w:rsidRPr="00952DBC" w:rsidRDefault="00952DBC" w:rsidP="00760EBF">
      <w:pPr>
        <w:pStyle w:val="Prrafodelista"/>
        <w:spacing w:before="240" w:after="200"/>
        <w:ind w:left="0"/>
        <w:rPr>
          <w:rFonts w:ascii="ITC Avant Garde" w:hAnsi="ITC Avant Garde"/>
          <w:sz w:val="13"/>
          <w:szCs w:val="13"/>
          <w:lang w:val="es-ES_tradnl"/>
        </w:rPr>
      </w:pPr>
      <w:r w:rsidRPr="00952DBC">
        <w:rPr>
          <w:rFonts w:ascii="ITC Avant Garde" w:hAnsi="ITC Avant Garde"/>
          <w:sz w:val="13"/>
          <w:szCs w:val="13"/>
          <w:lang w:val="es-ES_tradnl"/>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3" w:name="_GoBack"/>
      <w:bookmarkEnd w:id="3"/>
    </w:p>
    <w:sectPr w:rsidR="00952DBC" w:rsidRPr="00952DBC" w:rsidSect="00B7644C">
      <w:headerReference w:type="even" r:id="rId12"/>
      <w:footerReference w:type="default" r:id="rId13"/>
      <w:headerReference w:type="first" r:id="rId14"/>
      <w:pgSz w:w="12240" w:h="15840"/>
      <w:pgMar w:top="2127"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48932" w14:textId="77777777" w:rsidR="006F3F91" w:rsidRDefault="006F3F91" w:rsidP="00072BC8">
      <w:pPr>
        <w:spacing w:after="0" w:line="240" w:lineRule="auto"/>
      </w:pPr>
      <w:r>
        <w:separator/>
      </w:r>
    </w:p>
  </w:endnote>
  <w:endnote w:type="continuationSeparator" w:id="0">
    <w:p w14:paraId="0B0C3549" w14:textId="77777777" w:rsidR="006F3F91" w:rsidRDefault="006F3F9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C6EF2" w14:textId="425DD7E5" w:rsidR="006F3F91" w:rsidRPr="00760EBF" w:rsidRDefault="006F3F91" w:rsidP="00760EBF">
    <w:pPr>
      <w:pStyle w:val="Piedepgina"/>
      <w:jc w:val="right"/>
      <w:rPr>
        <w:rFonts w:ascii="ITC Avant Garde" w:hAnsi="ITC Avant Garde"/>
        <w:caps/>
        <w:sz w:val="20"/>
        <w:szCs w:val="20"/>
      </w:rPr>
    </w:pPr>
    <w:r w:rsidRPr="006F3F91">
      <w:rPr>
        <w:rFonts w:ascii="ITC Avant Garde" w:hAnsi="ITC Avant Garde"/>
        <w:caps/>
        <w:sz w:val="20"/>
        <w:szCs w:val="20"/>
      </w:rPr>
      <w:fldChar w:fldCharType="begin"/>
    </w:r>
    <w:r w:rsidRPr="006F3F91">
      <w:rPr>
        <w:rFonts w:ascii="ITC Avant Garde" w:hAnsi="ITC Avant Garde"/>
        <w:caps/>
        <w:sz w:val="20"/>
        <w:szCs w:val="20"/>
      </w:rPr>
      <w:instrText>PAGE   \* MERGEFORMAT</w:instrText>
    </w:r>
    <w:r w:rsidRPr="006F3F91">
      <w:rPr>
        <w:rFonts w:ascii="ITC Avant Garde" w:hAnsi="ITC Avant Garde"/>
        <w:caps/>
        <w:sz w:val="20"/>
        <w:szCs w:val="20"/>
      </w:rPr>
      <w:fldChar w:fldCharType="separate"/>
    </w:r>
    <w:r w:rsidR="00760EBF" w:rsidRPr="00760EBF">
      <w:rPr>
        <w:rFonts w:ascii="ITC Avant Garde" w:hAnsi="ITC Avant Garde"/>
        <w:caps/>
        <w:noProof/>
        <w:sz w:val="20"/>
        <w:szCs w:val="20"/>
        <w:lang w:val="es-ES"/>
      </w:rPr>
      <w:t>16</w:t>
    </w:r>
    <w:r w:rsidRPr="006F3F91">
      <w:rPr>
        <w:rFonts w:ascii="ITC Avant Garde" w:hAnsi="ITC Avant Garde"/>
        <w: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A7741" w14:textId="77777777" w:rsidR="006F3F91" w:rsidRDefault="006F3F91" w:rsidP="00072BC8">
      <w:pPr>
        <w:spacing w:after="0" w:line="240" w:lineRule="auto"/>
      </w:pPr>
      <w:r>
        <w:separator/>
      </w:r>
    </w:p>
  </w:footnote>
  <w:footnote w:type="continuationSeparator" w:id="0">
    <w:p w14:paraId="3A2942C1" w14:textId="77777777" w:rsidR="006F3F91" w:rsidRDefault="006F3F91" w:rsidP="00072BC8">
      <w:pPr>
        <w:spacing w:after="0" w:line="240" w:lineRule="auto"/>
      </w:pPr>
      <w:r>
        <w:continuationSeparator/>
      </w:r>
    </w:p>
  </w:footnote>
  <w:footnote w:id="1">
    <w:p w14:paraId="01364912" w14:textId="77777777" w:rsidR="006F3F91" w:rsidRPr="00C44EA4" w:rsidRDefault="006F3F91" w:rsidP="005A6948">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w:t>
      </w:r>
      <w:hyperlink r:id="rId1" w:tgtFrame="_popup" w:history="1">
        <w:r w:rsidRPr="00C44EA4">
          <w:rPr>
            <w:rFonts w:ascii="ITC Avant Garde" w:hAnsi="ITC Avant Garde" w:cs="Arial"/>
            <w:sz w:val="18"/>
            <w:szCs w:val="18"/>
            <w:u w:val="single"/>
            <w:lang w:eastAsia="es-MX"/>
          </w:rPr>
          <w:t>CONTRADICCIÓN DE TESIS 246/2011.</w:t>
        </w:r>
      </w:hyperlink>
      <w:r w:rsidRPr="00C44EA4">
        <w:rPr>
          <w:rFonts w:ascii="ITC Avant Garde" w:hAnsi="ITC Avant Garde" w:cs="Arial"/>
          <w:sz w:val="18"/>
          <w:szCs w:val="18"/>
          <w:lang w:eastAsia="es-MX"/>
        </w:rPr>
        <w:t xml:space="preserve"> Entre las sustentadas por el Tercer Tribunal Colegiado en Materia Civil del Tercer Circuito y el Primer Tribunal Colegiado del Décimo Segundo Circuito. 30 de noviembre de 2011. La votación se dividió en dos partes: mayoría de cuatro votos por lo que se refiere a la competencia. Disidente: José Ramón Cossío Díaz. Unanimidad de cinco votos en cuanto al fondo. Ponente: Guillermo I. Ortiz Mayagoitia. Secretario: Óscar Vázquez Moreno.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B02B4" w14:textId="77777777" w:rsidR="006F3F91" w:rsidRDefault="00760EBF">
    <w:pPr>
      <w:pStyle w:val="Encabezado"/>
    </w:pPr>
    <w:r>
      <w:rPr>
        <w:noProof/>
        <w:lang w:eastAsia="es-MX"/>
      </w:rPr>
      <w:pict w14:anchorId="35C5C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433BB" w14:textId="77777777" w:rsidR="006F3F91" w:rsidRDefault="00760EBF">
    <w:pPr>
      <w:pStyle w:val="Encabezado"/>
    </w:pPr>
    <w:r>
      <w:rPr>
        <w:noProof/>
        <w:lang w:eastAsia="es-MX"/>
      </w:rPr>
      <w:pict w14:anchorId="7EA0F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90323E"/>
    <w:multiLevelType w:val="hybridMultilevel"/>
    <w:tmpl w:val="831EB352"/>
    <w:lvl w:ilvl="0" w:tplc="080A0017">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E55EC4"/>
    <w:multiLevelType w:val="hybridMultilevel"/>
    <w:tmpl w:val="5C80F370"/>
    <w:lvl w:ilvl="0" w:tplc="A90E1748">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320FEE"/>
    <w:multiLevelType w:val="hybridMultilevel"/>
    <w:tmpl w:val="894E1DC2"/>
    <w:lvl w:ilvl="0" w:tplc="080A000F">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1E2351D"/>
    <w:multiLevelType w:val="hybridMultilevel"/>
    <w:tmpl w:val="24427088"/>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47B68AA"/>
    <w:multiLevelType w:val="hybridMultilevel"/>
    <w:tmpl w:val="20048662"/>
    <w:lvl w:ilvl="0" w:tplc="0A188804">
      <w:start w:val="1"/>
      <w:numFmt w:val="upperLetter"/>
      <w:lvlText w:val="%1."/>
      <w:lvlJc w:val="left"/>
      <w:pPr>
        <w:ind w:left="588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9B7263"/>
    <w:multiLevelType w:val="hybridMultilevel"/>
    <w:tmpl w:val="C602C298"/>
    <w:lvl w:ilvl="0" w:tplc="32CAEBC6">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315541E6"/>
    <w:multiLevelType w:val="hybridMultilevel"/>
    <w:tmpl w:val="51A6ACEA"/>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3591D92"/>
    <w:multiLevelType w:val="hybridMultilevel"/>
    <w:tmpl w:val="1EE6CBF2"/>
    <w:lvl w:ilvl="0" w:tplc="7EC4C2C8">
      <w:start w:val="1"/>
      <w:numFmt w:val="lowerLetter"/>
      <w:lvlText w:val="%1)"/>
      <w:lvlJc w:val="left"/>
      <w:pPr>
        <w:ind w:left="3240" w:hanging="360"/>
      </w:pPr>
      <w:rPr>
        <w:b/>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14" w15:restartNumberingAfterBreak="0">
    <w:nsid w:val="387F0FF5"/>
    <w:multiLevelType w:val="hybridMultilevel"/>
    <w:tmpl w:val="B044CAD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3EFB53F0"/>
    <w:multiLevelType w:val="hybridMultilevel"/>
    <w:tmpl w:val="EBB08558"/>
    <w:lvl w:ilvl="0" w:tplc="1ABE651A">
      <w:start w:val="1"/>
      <w:numFmt w:val="bullet"/>
      <w:lvlText w:val="•"/>
      <w:lvlJc w:val="left"/>
      <w:pPr>
        <w:tabs>
          <w:tab w:val="num" w:pos="720"/>
        </w:tabs>
        <w:ind w:left="720" w:hanging="360"/>
      </w:pPr>
      <w:rPr>
        <w:rFonts w:ascii="Arial" w:hAnsi="Arial" w:hint="default"/>
      </w:rPr>
    </w:lvl>
    <w:lvl w:ilvl="1" w:tplc="32FE9A6A" w:tentative="1">
      <w:start w:val="1"/>
      <w:numFmt w:val="bullet"/>
      <w:lvlText w:val="•"/>
      <w:lvlJc w:val="left"/>
      <w:pPr>
        <w:tabs>
          <w:tab w:val="num" w:pos="1440"/>
        </w:tabs>
        <w:ind w:left="1440" w:hanging="360"/>
      </w:pPr>
      <w:rPr>
        <w:rFonts w:ascii="Arial" w:hAnsi="Arial" w:hint="default"/>
      </w:rPr>
    </w:lvl>
    <w:lvl w:ilvl="2" w:tplc="52C27514" w:tentative="1">
      <w:start w:val="1"/>
      <w:numFmt w:val="bullet"/>
      <w:lvlText w:val="•"/>
      <w:lvlJc w:val="left"/>
      <w:pPr>
        <w:tabs>
          <w:tab w:val="num" w:pos="2160"/>
        </w:tabs>
        <w:ind w:left="2160" w:hanging="360"/>
      </w:pPr>
      <w:rPr>
        <w:rFonts w:ascii="Arial" w:hAnsi="Arial" w:hint="default"/>
      </w:rPr>
    </w:lvl>
    <w:lvl w:ilvl="3" w:tplc="F60E1CE6" w:tentative="1">
      <w:start w:val="1"/>
      <w:numFmt w:val="bullet"/>
      <w:lvlText w:val="•"/>
      <w:lvlJc w:val="left"/>
      <w:pPr>
        <w:tabs>
          <w:tab w:val="num" w:pos="2880"/>
        </w:tabs>
        <w:ind w:left="2880" w:hanging="360"/>
      </w:pPr>
      <w:rPr>
        <w:rFonts w:ascii="Arial" w:hAnsi="Arial" w:hint="default"/>
      </w:rPr>
    </w:lvl>
    <w:lvl w:ilvl="4" w:tplc="02C8ED06" w:tentative="1">
      <w:start w:val="1"/>
      <w:numFmt w:val="bullet"/>
      <w:lvlText w:val="•"/>
      <w:lvlJc w:val="left"/>
      <w:pPr>
        <w:tabs>
          <w:tab w:val="num" w:pos="3600"/>
        </w:tabs>
        <w:ind w:left="3600" w:hanging="360"/>
      </w:pPr>
      <w:rPr>
        <w:rFonts w:ascii="Arial" w:hAnsi="Arial" w:hint="default"/>
      </w:rPr>
    </w:lvl>
    <w:lvl w:ilvl="5" w:tplc="9EF476F0" w:tentative="1">
      <w:start w:val="1"/>
      <w:numFmt w:val="bullet"/>
      <w:lvlText w:val="•"/>
      <w:lvlJc w:val="left"/>
      <w:pPr>
        <w:tabs>
          <w:tab w:val="num" w:pos="4320"/>
        </w:tabs>
        <w:ind w:left="4320" w:hanging="360"/>
      </w:pPr>
      <w:rPr>
        <w:rFonts w:ascii="Arial" w:hAnsi="Arial" w:hint="default"/>
      </w:rPr>
    </w:lvl>
    <w:lvl w:ilvl="6" w:tplc="78B8A3F6" w:tentative="1">
      <w:start w:val="1"/>
      <w:numFmt w:val="bullet"/>
      <w:lvlText w:val="•"/>
      <w:lvlJc w:val="left"/>
      <w:pPr>
        <w:tabs>
          <w:tab w:val="num" w:pos="5040"/>
        </w:tabs>
        <w:ind w:left="5040" w:hanging="360"/>
      </w:pPr>
      <w:rPr>
        <w:rFonts w:ascii="Arial" w:hAnsi="Arial" w:hint="default"/>
      </w:rPr>
    </w:lvl>
    <w:lvl w:ilvl="7" w:tplc="A796B622" w:tentative="1">
      <w:start w:val="1"/>
      <w:numFmt w:val="bullet"/>
      <w:lvlText w:val="•"/>
      <w:lvlJc w:val="left"/>
      <w:pPr>
        <w:tabs>
          <w:tab w:val="num" w:pos="5760"/>
        </w:tabs>
        <w:ind w:left="5760" w:hanging="360"/>
      </w:pPr>
      <w:rPr>
        <w:rFonts w:ascii="Arial" w:hAnsi="Arial" w:hint="default"/>
      </w:rPr>
    </w:lvl>
    <w:lvl w:ilvl="8" w:tplc="D12AF7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A1116D"/>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FF2151"/>
    <w:multiLevelType w:val="hybridMultilevel"/>
    <w:tmpl w:val="A65CAA14"/>
    <w:lvl w:ilvl="0" w:tplc="3F922046">
      <w:start w:val="1"/>
      <w:numFmt w:val="bullet"/>
      <w:lvlText w:val="•"/>
      <w:lvlJc w:val="left"/>
      <w:pPr>
        <w:tabs>
          <w:tab w:val="num" w:pos="720"/>
        </w:tabs>
        <w:ind w:left="720" w:hanging="360"/>
      </w:pPr>
      <w:rPr>
        <w:rFonts w:ascii="Arial" w:hAnsi="Arial" w:hint="default"/>
      </w:rPr>
    </w:lvl>
    <w:lvl w:ilvl="1" w:tplc="820A44C4" w:tentative="1">
      <w:start w:val="1"/>
      <w:numFmt w:val="bullet"/>
      <w:lvlText w:val="•"/>
      <w:lvlJc w:val="left"/>
      <w:pPr>
        <w:tabs>
          <w:tab w:val="num" w:pos="1440"/>
        </w:tabs>
        <w:ind w:left="1440" w:hanging="360"/>
      </w:pPr>
      <w:rPr>
        <w:rFonts w:ascii="Arial" w:hAnsi="Arial" w:hint="default"/>
      </w:rPr>
    </w:lvl>
    <w:lvl w:ilvl="2" w:tplc="9DAE9408" w:tentative="1">
      <w:start w:val="1"/>
      <w:numFmt w:val="bullet"/>
      <w:lvlText w:val="•"/>
      <w:lvlJc w:val="left"/>
      <w:pPr>
        <w:tabs>
          <w:tab w:val="num" w:pos="2160"/>
        </w:tabs>
        <w:ind w:left="2160" w:hanging="360"/>
      </w:pPr>
      <w:rPr>
        <w:rFonts w:ascii="Arial" w:hAnsi="Arial" w:hint="default"/>
      </w:rPr>
    </w:lvl>
    <w:lvl w:ilvl="3" w:tplc="9742308A" w:tentative="1">
      <w:start w:val="1"/>
      <w:numFmt w:val="bullet"/>
      <w:lvlText w:val="•"/>
      <w:lvlJc w:val="left"/>
      <w:pPr>
        <w:tabs>
          <w:tab w:val="num" w:pos="2880"/>
        </w:tabs>
        <w:ind w:left="2880" w:hanging="360"/>
      </w:pPr>
      <w:rPr>
        <w:rFonts w:ascii="Arial" w:hAnsi="Arial" w:hint="default"/>
      </w:rPr>
    </w:lvl>
    <w:lvl w:ilvl="4" w:tplc="79BED1AA" w:tentative="1">
      <w:start w:val="1"/>
      <w:numFmt w:val="bullet"/>
      <w:lvlText w:val="•"/>
      <w:lvlJc w:val="left"/>
      <w:pPr>
        <w:tabs>
          <w:tab w:val="num" w:pos="3600"/>
        </w:tabs>
        <w:ind w:left="3600" w:hanging="360"/>
      </w:pPr>
      <w:rPr>
        <w:rFonts w:ascii="Arial" w:hAnsi="Arial" w:hint="default"/>
      </w:rPr>
    </w:lvl>
    <w:lvl w:ilvl="5" w:tplc="16725704" w:tentative="1">
      <w:start w:val="1"/>
      <w:numFmt w:val="bullet"/>
      <w:lvlText w:val="•"/>
      <w:lvlJc w:val="left"/>
      <w:pPr>
        <w:tabs>
          <w:tab w:val="num" w:pos="4320"/>
        </w:tabs>
        <w:ind w:left="4320" w:hanging="360"/>
      </w:pPr>
      <w:rPr>
        <w:rFonts w:ascii="Arial" w:hAnsi="Arial" w:hint="default"/>
      </w:rPr>
    </w:lvl>
    <w:lvl w:ilvl="6" w:tplc="AF224ECA" w:tentative="1">
      <w:start w:val="1"/>
      <w:numFmt w:val="bullet"/>
      <w:lvlText w:val="•"/>
      <w:lvlJc w:val="left"/>
      <w:pPr>
        <w:tabs>
          <w:tab w:val="num" w:pos="5040"/>
        </w:tabs>
        <w:ind w:left="5040" w:hanging="360"/>
      </w:pPr>
      <w:rPr>
        <w:rFonts w:ascii="Arial" w:hAnsi="Arial" w:hint="default"/>
      </w:rPr>
    </w:lvl>
    <w:lvl w:ilvl="7" w:tplc="ED962D6A" w:tentative="1">
      <w:start w:val="1"/>
      <w:numFmt w:val="bullet"/>
      <w:lvlText w:val="•"/>
      <w:lvlJc w:val="left"/>
      <w:pPr>
        <w:tabs>
          <w:tab w:val="num" w:pos="5760"/>
        </w:tabs>
        <w:ind w:left="5760" w:hanging="360"/>
      </w:pPr>
      <w:rPr>
        <w:rFonts w:ascii="Arial" w:hAnsi="Arial" w:hint="default"/>
      </w:rPr>
    </w:lvl>
    <w:lvl w:ilvl="8" w:tplc="A83EBF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302369"/>
    <w:multiLevelType w:val="hybridMultilevel"/>
    <w:tmpl w:val="5ADC268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7"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14101A"/>
    <w:multiLevelType w:val="hybridMultilevel"/>
    <w:tmpl w:val="E878FCF2"/>
    <w:lvl w:ilvl="0" w:tplc="84E85124">
      <w:start w:val="1"/>
      <w:numFmt w:val="bullet"/>
      <w:lvlText w:val="•"/>
      <w:lvlJc w:val="left"/>
      <w:pPr>
        <w:tabs>
          <w:tab w:val="num" w:pos="720"/>
        </w:tabs>
        <w:ind w:left="720" w:hanging="360"/>
      </w:pPr>
      <w:rPr>
        <w:rFonts w:ascii="Arial" w:hAnsi="Arial" w:hint="default"/>
      </w:rPr>
    </w:lvl>
    <w:lvl w:ilvl="1" w:tplc="30800664" w:tentative="1">
      <w:start w:val="1"/>
      <w:numFmt w:val="bullet"/>
      <w:lvlText w:val="•"/>
      <w:lvlJc w:val="left"/>
      <w:pPr>
        <w:tabs>
          <w:tab w:val="num" w:pos="1440"/>
        </w:tabs>
        <w:ind w:left="1440" w:hanging="360"/>
      </w:pPr>
      <w:rPr>
        <w:rFonts w:ascii="Arial" w:hAnsi="Arial" w:hint="default"/>
      </w:rPr>
    </w:lvl>
    <w:lvl w:ilvl="2" w:tplc="873ED626" w:tentative="1">
      <w:start w:val="1"/>
      <w:numFmt w:val="bullet"/>
      <w:lvlText w:val="•"/>
      <w:lvlJc w:val="left"/>
      <w:pPr>
        <w:tabs>
          <w:tab w:val="num" w:pos="2160"/>
        </w:tabs>
        <w:ind w:left="2160" w:hanging="360"/>
      </w:pPr>
      <w:rPr>
        <w:rFonts w:ascii="Arial" w:hAnsi="Arial" w:hint="default"/>
      </w:rPr>
    </w:lvl>
    <w:lvl w:ilvl="3" w:tplc="3144843A" w:tentative="1">
      <w:start w:val="1"/>
      <w:numFmt w:val="bullet"/>
      <w:lvlText w:val="•"/>
      <w:lvlJc w:val="left"/>
      <w:pPr>
        <w:tabs>
          <w:tab w:val="num" w:pos="2880"/>
        </w:tabs>
        <w:ind w:left="2880" w:hanging="360"/>
      </w:pPr>
      <w:rPr>
        <w:rFonts w:ascii="Arial" w:hAnsi="Arial" w:hint="default"/>
      </w:rPr>
    </w:lvl>
    <w:lvl w:ilvl="4" w:tplc="4E34ADA0" w:tentative="1">
      <w:start w:val="1"/>
      <w:numFmt w:val="bullet"/>
      <w:lvlText w:val="•"/>
      <w:lvlJc w:val="left"/>
      <w:pPr>
        <w:tabs>
          <w:tab w:val="num" w:pos="3600"/>
        </w:tabs>
        <w:ind w:left="3600" w:hanging="360"/>
      </w:pPr>
      <w:rPr>
        <w:rFonts w:ascii="Arial" w:hAnsi="Arial" w:hint="default"/>
      </w:rPr>
    </w:lvl>
    <w:lvl w:ilvl="5" w:tplc="67E2D910" w:tentative="1">
      <w:start w:val="1"/>
      <w:numFmt w:val="bullet"/>
      <w:lvlText w:val="•"/>
      <w:lvlJc w:val="left"/>
      <w:pPr>
        <w:tabs>
          <w:tab w:val="num" w:pos="4320"/>
        </w:tabs>
        <w:ind w:left="4320" w:hanging="360"/>
      </w:pPr>
      <w:rPr>
        <w:rFonts w:ascii="Arial" w:hAnsi="Arial" w:hint="default"/>
      </w:rPr>
    </w:lvl>
    <w:lvl w:ilvl="6" w:tplc="D530121C" w:tentative="1">
      <w:start w:val="1"/>
      <w:numFmt w:val="bullet"/>
      <w:lvlText w:val="•"/>
      <w:lvlJc w:val="left"/>
      <w:pPr>
        <w:tabs>
          <w:tab w:val="num" w:pos="5040"/>
        </w:tabs>
        <w:ind w:left="5040" w:hanging="360"/>
      </w:pPr>
      <w:rPr>
        <w:rFonts w:ascii="Arial" w:hAnsi="Arial" w:hint="default"/>
      </w:rPr>
    </w:lvl>
    <w:lvl w:ilvl="7" w:tplc="1388B1A8" w:tentative="1">
      <w:start w:val="1"/>
      <w:numFmt w:val="bullet"/>
      <w:lvlText w:val="•"/>
      <w:lvlJc w:val="left"/>
      <w:pPr>
        <w:tabs>
          <w:tab w:val="num" w:pos="5760"/>
        </w:tabs>
        <w:ind w:left="5760" w:hanging="360"/>
      </w:pPr>
      <w:rPr>
        <w:rFonts w:ascii="Arial" w:hAnsi="Arial" w:hint="default"/>
      </w:rPr>
    </w:lvl>
    <w:lvl w:ilvl="8" w:tplc="FEC674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A40D1A"/>
    <w:multiLevelType w:val="hybridMultilevel"/>
    <w:tmpl w:val="CF58E4B0"/>
    <w:lvl w:ilvl="0" w:tplc="7D40A76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62227106"/>
    <w:multiLevelType w:val="hybridMultilevel"/>
    <w:tmpl w:val="51A6ACEA"/>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5040D10"/>
    <w:multiLevelType w:val="hybridMultilevel"/>
    <w:tmpl w:val="A508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71AAA"/>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20735C"/>
    <w:multiLevelType w:val="hybridMultilevel"/>
    <w:tmpl w:val="AD868C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E47B51"/>
    <w:multiLevelType w:val="hybridMultilevel"/>
    <w:tmpl w:val="51A6ACEA"/>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1B20EB2"/>
    <w:multiLevelType w:val="hybridMultilevel"/>
    <w:tmpl w:val="00AE5182"/>
    <w:lvl w:ilvl="0" w:tplc="7EC4C2C8">
      <w:start w:val="1"/>
      <w:numFmt w:val="lowerLetter"/>
      <w:lvlText w:val="%1)"/>
      <w:lvlJc w:val="left"/>
      <w:pPr>
        <w:ind w:left="3240" w:hanging="360"/>
      </w:pPr>
      <w:rPr>
        <w:b/>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36" w15:restartNumberingAfterBreak="0">
    <w:nsid w:val="73444EDF"/>
    <w:multiLevelType w:val="hybridMultilevel"/>
    <w:tmpl w:val="0B1C74F6"/>
    <w:lvl w:ilvl="0" w:tplc="7382C0B2">
      <w:start w:val="1"/>
      <w:numFmt w:val="bullet"/>
      <w:lvlText w:val="•"/>
      <w:lvlJc w:val="left"/>
      <w:pPr>
        <w:tabs>
          <w:tab w:val="num" w:pos="720"/>
        </w:tabs>
        <w:ind w:left="720" w:hanging="360"/>
      </w:pPr>
      <w:rPr>
        <w:rFonts w:ascii="Arial" w:hAnsi="Arial" w:hint="default"/>
      </w:rPr>
    </w:lvl>
    <w:lvl w:ilvl="1" w:tplc="12D6FDBA" w:tentative="1">
      <w:start w:val="1"/>
      <w:numFmt w:val="bullet"/>
      <w:lvlText w:val="•"/>
      <w:lvlJc w:val="left"/>
      <w:pPr>
        <w:tabs>
          <w:tab w:val="num" w:pos="1440"/>
        </w:tabs>
        <w:ind w:left="1440" w:hanging="360"/>
      </w:pPr>
      <w:rPr>
        <w:rFonts w:ascii="Arial" w:hAnsi="Arial" w:hint="default"/>
      </w:rPr>
    </w:lvl>
    <w:lvl w:ilvl="2" w:tplc="82D6C2F8" w:tentative="1">
      <w:start w:val="1"/>
      <w:numFmt w:val="bullet"/>
      <w:lvlText w:val="•"/>
      <w:lvlJc w:val="left"/>
      <w:pPr>
        <w:tabs>
          <w:tab w:val="num" w:pos="2160"/>
        </w:tabs>
        <w:ind w:left="2160" w:hanging="360"/>
      </w:pPr>
      <w:rPr>
        <w:rFonts w:ascii="Arial" w:hAnsi="Arial" w:hint="default"/>
      </w:rPr>
    </w:lvl>
    <w:lvl w:ilvl="3" w:tplc="5F52270A" w:tentative="1">
      <w:start w:val="1"/>
      <w:numFmt w:val="bullet"/>
      <w:lvlText w:val="•"/>
      <w:lvlJc w:val="left"/>
      <w:pPr>
        <w:tabs>
          <w:tab w:val="num" w:pos="2880"/>
        </w:tabs>
        <w:ind w:left="2880" w:hanging="360"/>
      </w:pPr>
      <w:rPr>
        <w:rFonts w:ascii="Arial" w:hAnsi="Arial" w:hint="default"/>
      </w:rPr>
    </w:lvl>
    <w:lvl w:ilvl="4" w:tplc="F12E1FAE" w:tentative="1">
      <w:start w:val="1"/>
      <w:numFmt w:val="bullet"/>
      <w:lvlText w:val="•"/>
      <w:lvlJc w:val="left"/>
      <w:pPr>
        <w:tabs>
          <w:tab w:val="num" w:pos="3600"/>
        </w:tabs>
        <w:ind w:left="3600" w:hanging="360"/>
      </w:pPr>
      <w:rPr>
        <w:rFonts w:ascii="Arial" w:hAnsi="Arial" w:hint="default"/>
      </w:rPr>
    </w:lvl>
    <w:lvl w:ilvl="5" w:tplc="CB4E1880" w:tentative="1">
      <w:start w:val="1"/>
      <w:numFmt w:val="bullet"/>
      <w:lvlText w:val="•"/>
      <w:lvlJc w:val="left"/>
      <w:pPr>
        <w:tabs>
          <w:tab w:val="num" w:pos="4320"/>
        </w:tabs>
        <w:ind w:left="4320" w:hanging="360"/>
      </w:pPr>
      <w:rPr>
        <w:rFonts w:ascii="Arial" w:hAnsi="Arial" w:hint="default"/>
      </w:rPr>
    </w:lvl>
    <w:lvl w:ilvl="6" w:tplc="6F02099E" w:tentative="1">
      <w:start w:val="1"/>
      <w:numFmt w:val="bullet"/>
      <w:lvlText w:val="•"/>
      <w:lvlJc w:val="left"/>
      <w:pPr>
        <w:tabs>
          <w:tab w:val="num" w:pos="5040"/>
        </w:tabs>
        <w:ind w:left="5040" w:hanging="360"/>
      </w:pPr>
      <w:rPr>
        <w:rFonts w:ascii="Arial" w:hAnsi="Arial" w:hint="default"/>
      </w:rPr>
    </w:lvl>
    <w:lvl w:ilvl="7" w:tplc="33F242CA" w:tentative="1">
      <w:start w:val="1"/>
      <w:numFmt w:val="bullet"/>
      <w:lvlText w:val="•"/>
      <w:lvlJc w:val="left"/>
      <w:pPr>
        <w:tabs>
          <w:tab w:val="num" w:pos="5760"/>
        </w:tabs>
        <w:ind w:left="5760" w:hanging="360"/>
      </w:pPr>
      <w:rPr>
        <w:rFonts w:ascii="Arial" w:hAnsi="Arial" w:hint="default"/>
      </w:rPr>
    </w:lvl>
    <w:lvl w:ilvl="8" w:tplc="B2DC211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72719A"/>
    <w:multiLevelType w:val="hybridMultilevel"/>
    <w:tmpl w:val="460802D4"/>
    <w:lvl w:ilvl="0" w:tplc="BC802A80">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3F294C"/>
    <w:multiLevelType w:val="hybridMultilevel"/>
    <w:tmpl w:val="17043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6"/>
  </w:num>
  <w:num w:numId="4">
    <w:abstractNumId w:val="0"/>
  </w:num>
  <w:num w:numId="5">
    <w:abstractNumId w:val="1"/>
  </w:num>
  <w:num w:numId="6">
    <w:abstractNumId w:val="21"/>
  </w:num>
  <w:num w:numId="7">
    <w:abstractNumId w:val="15"/>
  </w:num>
  <w:num w:numId="8">
    <w:abstractNumId w:val="24"/>
  </w:num>
  <w:num w:numId="9">
    <w:abstractNumId w:val="9"/>
  </w:num>
  <w:num w:numId="10">
    <w:abstractNumId w:val="19"/>
  </w:num>
  <w:num w:numId="11">
    <w:abstractNumId w:val="8"/>
  </w:num>
  <w:num w:numId="12">
    <w:abstractNumId w:val="27"/>
  </w:num>
  <w:num w:numId="13">
    <w:abstractNumId w:val="32"/>
  </w:num>
  <w:num w:numId="14">
    <w:abstractNumId w:val="20"/>
  </w:num>
  <w:num w:numId="15">
    <w:abstractNumId w:val="10"/>
  </w:num>
  <w:num w:numId="16">
    <w:abstractNumId w:val="17"/>
  </w:num>
  <w:num w:numId="17">
    <w:abstractNumId w:val="16"/>
  </w:num>
  <w:num w:numId="18">
    <w:abstractNumId w:val="34"/>
  </w:num>
  <w:num w:numId="19">
    <w:abstractNumId w:val="3"/>
  </w:num>
  <w:num w:numId="20">
    <w:abstractNumId w:val="7"/>
  </w:num>
  <w:num w:numId="21">
    <w:abstractNumId w:val="29"/>
  </w:num>
  <w:num w:numId="22">
    <w:abstractNumId w:val="3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5"/>
  </w:num>
  <w:num w:numId="26">
    <w:abstractNumId w:val="13"/>
  </w:num>
  <w:num w:numId="27">
    <w:abstractNumId w:val="4"/>
  </w:num>
  <w:num w:numId="28">
    <w:abstractNumId w:val="38"/>
  </w:num>
  <w:num w:numId="29">
    <w:abstractNumId w:val="2"/>
  </w:num>
  <w:num w:numId="30">
    <w:abstractNumId w:val="23"/>
  </w:num>
  <w:num w:numId="31">
    <w:abstractNumId w:val="12"/>
  </w:num>
  <w:num w:numId="32">
    <w:abstractNumId w:val="31"/>
  </w:num>
  <w:num w:numId="33">
    <w:abstractNumId w:val="37"/>
  </w:num>
  <w:num w:numId="34">
    <w:abstractNumId w:val="5"/>
  </w:num>
  <w:num w:numId="35">
    <w:abstractNumId w:val="14"/>
  </w:num>
  <w:num w:numId="36">
    <w:abstractNumId w:val="6"/>
  </w:num>
  <w:num w:numId="37">
    <w:abstractNumId w:val="22"/>
  </w:num>
  <w:num w:numId="38">
    <w:abstractNumId w:val="28"/>
  </w:num>
  <w:num w:numId="39">
    <w:abstractNumId w:val="18"/>
  </w:num>
  <w:num w:numId="40">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26F"/>
    <w:rsid w:val="00011447"/>
    <w:rsid w:val="00011561"/>
    <w:rsid w:val="00011680"/>
    <w:rsid w:val="00012F2B"/>
    <w:rsid w:val="000154B0"/>
    <w:rsid w:val="00016B3C"/>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14D2"/>
    <w:rsid w:val="00041B8A"/>
    <w:rsid w:val="00042E7E"/>
    <w:rsid w:val="00043036"/>
    <w:rsid w:val="00044BB8"/>
    <w:rsid w:val="00044E3C"/>
    <w:rsid w:val="000477FB"/>
    <w:rsid w:val="00047986"/>
    <w:rsid w:val="00052044"/>
    <w:rsid w:val="00054805"/>
    <w:rsid w:val="000553A7"/>
    <w:rsid w:val="00056BF9"/>
    <w:rsid w:val="00057A2A"/>
    <w:rsid w:val="00060D36"/>
    <w:rsid w:val="00063820"/>
    <w:rsid w:val="000638CF"/>
    <w:rsid w:val="00063F9C"/>
    <w:rsid w:val="00067018"/>
    <w:rsid w:val="0006731A"/>
    <w:rsid w:val="00071002"/>
    <w:rsid w:val="000718F8"/>
    <w:rsid w:val="000720EE"/>
    <w:rsid w:val="00072BC8"/>
    <w:rsid w:val="00072ED0"/>
    <w:rsid w:val="000737BC"/>
    <w:rsid w:val="00073DDC"/>
    <w:rsid w:val="00074558"/>
    <w:rsid w:val="0007607F"/>
    <w:rsid w:val="0007621B"/>
    <w:rsid w:val="00076577"/>
    <w:rsid w:val="000809FE"/>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2C6"/>
    <w:rsid w:val="000B6473"/>
    <w:rsid w:val="000B6B78"/>
    <w:rsid w:val="000B7FC8"/>
    <w:rsid w:val="000C0BB3"/>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B56"/>
    <w:rsid w:val="000D1C22"/>
    <w:rsid w:val="000D2CB0"/>
    <w:rsid w:val="000D30C6"/>
    <w:rsid w:val="000D35E4"/>
    <w:rsid w:val="000D4A3A"/>
    <w:rsid w:val="000D6A88"/>
    <w:rsid w:val="000D6F52"/>
    <w:rsid w:val="000E2BD4"/>
    <w:rsid w:val="000E305E"/>
    <w:rsid w:val="000E4C0A"/>
    <w:rsid w:val="000E6467"/>
    <w:rsid w:val="000E661E"/>
    <w:rsid w:val="000E6A28"/>
    <w:rsid w:val="000E6DA8"/>
    <w:rsid w:val="000E6F53"/>
    <w:rsid w:val="000F1509"/>
    <w:rsid w:val="000F21AB"/>
    <w:rsid w:val="000F2B01"/>
    <w:rsid w:val="000F348B"/>
    <w:rsid w:val="000F3AAC"/>
    <w:rsid w:val="000F3D52"/>
    <w:rsid w:val="000F4101"/>
    <w:rsid w:val="000F5BEC"/>
    <w:rsid w:val="00101EDA"/>
    <w:rsid w:val="00102C7D"/>
    <w:rsid w:val="001034E2"/>
    <w:rsid w:val="00103513"/>
    <w:rsid w:val="00104C74"/>
    <w:rsid w:val="0010524D"/>
    <w:rsid w:val="00106523"/>
    <w:rsid w:val="001079A7"/>
    <w:rsid w:val="00107A7F"/>
    <w:rsid w:val="001100CF"/>
    <w:rsid w:val="0011030F"/>
    <w:rsid w:val="00111434"/>
    <w:rsid w:val="001120B4"/>
    <w:rsid w:val="00112824"/>
    <w:rsid w:val="0011309A"/>
    <w:rsid w:val="00113E2E"/>
    <w:rsid w:val="00116976"/>
    <w:rsid w:val="00116D89"/>
    <w:rsid w:val="001175D7"/>
    <w:rsid w:val="00120922"/>
    <w:rsid w:val="00120E4C"/>
    <w:rsid w:val="00121E8F"/>
    <w:rsid w:val="001226C1"/>
    <w:rsid w:val="0012304B"/>
    <w:rsid w:val="00125061"/>
    <w:rsid w:val="00125F77"/>
    <w:rsid w:val="001272DB"/>
    <w:rsid w:val="00127EB9"/>
    <w:rsid w:val="001305D6"/>
    <w:rsid w:val="001318C4"/>
    <w:rsid w:val="00132D70"/>
    <w:rsid w:val="001335BC"/>
    <w:rsid w:val="00133CDF"/>
    <w:rsid w:val="0013466E"/>
    <w:rsid w:val="0013473E"/>
    <w:rsid w:val="00140E59"/>
    <w:rsid w:val="0014228B"/>
    <w:rsid w:val="0014251D"/>
    <w:rsid w:val="00144D4A"/>
    <w:rsid w:val="00147AF2"/>
    <w:rsid w:val="00147E33"/>
    <w:rsid w:val="00150A05"/>
    <w:rsid w:val="001514AC"/>
    <w:rsid w:val="00153C43"/>
    <w:rsid w:val="00153C44"/>
    <w:rsid w:val="00153FA4"/>
    <w:rsid w:val="00154F47"/>
    <w:rsid w:val="001566D4"/>
    <w:rsid w:val="001569CE"/>
    <w:rsid w:val="00157269"/>
    <w:rsid w:val="00157BBE"/>
    <w:rsid w:val="00160FBA"/>
    <w:rsid w:val="0016331C"/>
    <w:rsid w:val="00163E8A"/>
    <w:rsid w:val="001659E6"/>
    <w:rsid w:val="00170029"/>
    <w:rsid w:val="001709BB"/>
    <w:rsid w:val="00172834"/>
    <w:rsid w:val="001755FC"/>
    <w:rsid w:val="00175EFA"/>
    <w:rsid w:val="00175F83"/>
    <w:rsid w:val="00176C9C"/>
    <w:rsid w:val="00176F5F"/>
    <w:rsid w:val="00180852"/>
    <w:rsid w:val="00180E62"/>
    <w:rsid w:val="001813C5"/>
    <w:rsid w:val="001816B7"/>
    <w:rsid w:val="001829CE"/>
    <w:rsid w:val="001840B6"/>
    <w:rsid w:val="00185213"/>
    <w:rsid w:val="00186CD7"/>
    <w:rsid w:val="001927D9"/>
    <w:rsid w:val="0019438F"/>
    <w:rsid w:val="0019449A"/>
    <w:rsid w:val="00195DC5"/>
    <w:rsid w:val="001960F0"/>
    <w:rsid w:val="00196509"/>
    <w:rsid w:val="001A3875"/>
    <w:rsid w:val="001A48DD"/>
    <w:rsid w:val="001A4C2D"/>
    <w:rsid w:val="001A604E"/>
    <w:rsid w:val="001A7B3A"/>
    <w:rsid w:val="001A7F98"/>
    <w:rsid w:val="001B130F"/>
    <w:rsid w:val="001B33C4"/>
    <w:rsid w:val="001B395D"/>
    <w:rsid w:val="001B45C6"/>
    <w:rsid w:val="001B48C1"/>
    <w:rsid w:val="001B58A1"/>
    <w:rsid w:val="001B6768"/>
    <w:rsid w:val="001B67EF"/>
    <w:rsid w:val="001C020F"/>
    <w:rsid w:val="001C3815"/>
    <w:rsid w:val="001C5A3B"/>
    <w:rsid w:val="001C5A91"/>
    <w:rsid w:val="001C756D"/>
    <w:rsid w:val="001C77DD"/>
    <w:rsid w:val="001D0589"/>
    <w:rsid w:val="001D0D90"/>
    <w:rsid w:val="001D169C"/>
    <w:rsid w:val="001D2FA2"/>
    <w:rsid w:val="001D5838"/>
    <w:rsid w:val="001D7D8F"/>
    <w:rsid w:val="001E0251"/>
    <w:rsid w:val="001E1D9E"/>
    <w:rsid w:val="001E22C2"/>
    <w:rsid w:val="001E3033"/>
    <w:rsid w:val="001E3E45"/>
    <w:rsid w:val="001E5357"/>
    <w:rsid w:val="001E7E17"/>
    <w:rsid w:val="001F0A33"/>
    <w:rsid w:val="001F113D"/>
    <w:rsid w:val="001F2F07"/>
    <w:rsid w:val="001F325B"/>
    <w:rsid w:val="001F3BC9"/>
    <w:rsid w:val="001F45DE"/>
    <w:rsid w:val="001F75D3"/>
    <w:rsid w:val="002007A5"/>
    <w:rsid w:val="00201211"/>
    <w:rsid w:val="002012FB"/>
    <w:rsid w:val="002032A7"/>
    <w:rsid w:val="00204BE7"/>
    <w:rsid w:val="00204F43"/>
    <w:rsid w:val="0020508C"/>
    <w:rsid w:val="00207BF8"/>
    <w:rsid w:val="00207FD9"/>
    <w:rsid w:val="00210F73"/>
    <w:rsid w:val="002114BF"/>
    <w:rsid w:val="00214D9A"/>
    <w:rsid w:val="00214D9E"/>
    <w:rsid w:val="00215C44"/>
    <w:rsid w:val="00217CF8"/>
    <w:rsid w:val="00220B22"/>
    <w:rsid w:val="0022183B"/>
    <w:rsid w:val="00222035"/>
    <w:rsid w:val="00222D07"/>
    <w:rsid w:val="00223B93"/>
    <w:rsid w:val="0022460D"/>
    <w:rsid w:val="00224EFF"/>
    <w:rsid w:val="0022730A"/>
    <w:rsid w:val="00231937"/>
    <w:rsid w:val="002325C3"/>
    <w:rsid w:val="0023288D"/>
    <w:rsid w:val="00233F5F"/>
    <w:rsid w:val="0023419F"/>
    <w:rsid w:val="00236930"/>
    <w:rsid w:val="0023752B"/>
    <w:rsid w:val="00240818"/>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626DD"/>
    <w:rsid w:val="002629E7"/>
    <w:rsid w:val="00263859"/>
    <w:rsid w:val="002659C5"/>
    <w:rsid w:val="00266493"/>
    <w:rsid w:val="002679D7"/>
    <w:rsid w:val="00272721"/>
    <w:rsid w:val="00272B28"/>
    <w:rsid w:val="00275284"/>
    <w:rsid w:val="00275EE5"/>
    <w:rsid w:val="002762C4"/>
    <w:rsid w:val="002803B3"/>
    <w:rsid w:val="00281965"/>
    <w:rsid w:val="00282030"/>
    <w:rsid w:val="00282662"/>
    <w:rsid w:val="00282DC3"/>
    <w:rsid w:val="0028363B"/>
    <w:rsid w:val="00285020"/>
    <w:rsid w:val="002874C7"/>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6BB0"/>
    <w:rsid w:val="002A7A43"/>
    <w:rsid w:val="002B153F"/>
    <w:rsid w:val="002B20B2"/>
    <w:rsid w:val="002B2F19"/>
    <w:rsid w:val="002B32CE"/>
    <w:rsid w:val="002B4382"/>
    <w:rsid w:val="002B68F6"/>
    <w:rsid w:val="002B711E"/>
    <w:rsid w:val="002C05D5"/>
    <w:rsid w:val="002C12B0"/>
    <w:rsid w:val="002C1A95"/>
    <w:rsid w:val="002C21CB"/>
    <w:rsid w:val="002C2BC0"/>
    <w:rsid w:val="002C50F4"/>
    <w:rsid w:val="002D1D4B"/>
    <w:rsid w:val="002D2EF5"/>
    <w:rsid w:val="002D3433"/>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5A11"/>
    <w:rsid w:val="002F738E"/>
    <w:rsid w:val="00302363"/>
    <w:rsid w:val="003031D9"/>
    <w:rsid w:val="00305B3A"/>
    <w:rsid w:val="003073EE"/>
    <w:rsid w:val="00307639"/>
    <w:rsid w:val="00307F97"/>
    <w:rsid w:val="00310933"/>
    <w:rsid w:val="00311A21"/>
    <w:rsid w:val="0031277B"/>
    <w:rsid w:val="00313E5E"/>
    <w:rsid w:val="003152E2"/>
    <w:rsid w:val="00315919"/>
    <w:rsid w:val="003175D7"/>
    <w:rsid w:val="00320359"/>
    <w:rsid w:val="00321C60"/>
    <w:rsid w:val="00321CAA"/>
    <w:rsid w:val="00322371"/>
    <w:rsid w:val="0032280B"/>
    <w:rsid w:val="00323B87"/>
    <w:rsid w:val="00325F1E"/>
    <w:rsid w:val="00331467"/>
    <w:rsid w:val="00332C00"/>
    <w:rsid w:val="00334A78"/>
    <w:rsid w:val="00336DC1"/>
    <w:rsid w:val="00336E00"/>
    <w:rsid w:val="003407A1"/>
    <w:rsid w:val="00343316"/>
    <w:rsid w:val="003471D2"/>
    <w:rsid w:val="00351B83"/>
    <w:rsid w:val="00352302"/>
    <w:rsid w:val="00353A56"/>
    <w:rsid w:val="00353E67"/>
    <w:rsid w:val="0035405F"/>
    <w:rsid w:val="00356263"/>
    <w:rsid w:val="003577A5"/>
    <w:rsid w:val="00360A82"/>
    <w:rsid w:val="00360FFA"/>
    <w:rsid w:val="00361031"/>
    <w:rsid w:val="00361168"/>
    <w:rsid w:val="00361CDC"/>
    <w:rsid w:val="00365A3C"/>
    <w:rsid w:val="00367B4C"/>
    <w:rsid w:val="00370258"/>
    <w:rsid w:val="00370542"/>
    <w:rsid w:val="00370F9A"/>
    <w:rsid w:val="003719BA"/>
    <w:rsid w:val="00373118"/>
    <w:rsid w:val="00373D57"/>
    <w:rsid w:val="0037656D"/>
    <w:rsid w:val="00376BF1"/>
    <w:rsid w:val="003775F8"/>
    <w:rsid w:val="00383334"/>
    <w:rsid w:val="0038359B"/>
    <w:rsid w:val="00384051"/>
    <w:rsid w:val="00385515"/>
    <w:rsid w:val="00385C0C"/>
    <w:rsid w:val="00387AB8"/>
    <w:rsid w:val="00390026"/>
    <w:rsid w:val="00390CDA"/>
    <w:rsid w:val="003912AF"/>
    <w:rsid w:val="0039193D"/>
    <w:rsid w:val="003939FF"/>
    <w:rsid w:val="00394255"/>
    <w:rsid w:val="0039446C"/>
    <w:rsid w:val="00394A6D"/>
    <w:rsid w:val="003A0616"/>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F28"/>
    <w:rsid w:val="003C0823"/>
    <w:rsid w:val="003C0C79"/>
    <w:rsid w:val="003C27D5"/>
    <w:rsid w:val="003C657A"/>
    <w:rsid w:val="003C6814"/>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5520"/>
    <w:rsid w:val="00413744"/>
    <w:rsid w:val="00415AD6"/>
    <w:rsid w:val="0041760B"/>
    <w:rsid w:val="00417C54"/>
    <w:rsid w:val="00417E33"/>
    <w:rsid w:val="004203FE"/>
    <w:rsid w:val="00424AC8"/>
    <w:rsid w:val="0042597A"/>
    <w:rsid w:val="00425C7A"/>
    <w:rsid w:val="00426594"/>
    <w:rsid w:val="004265EF"/>
    <w:rsid w:val="00430AA3"/>
    <w:rsid w:val="0043174E"/>
    <w:rsid w:val="00432927"/>
    <w:rsid w:val="00433F7F"/>
    <w:rsid w:val="00434B05"/>
    <w:rsid w:val="00435D8E"/>
    <w:rsid w:val="00436827"/>
    <w:rsid w:val="00436B02"/>
    <w:rsid w:val="00437335"/>
    <w:rsid w:val="00437966"/>
    <w:rsid w:val="00437DD2"/>
    <w:rsid w:val="00440DF7"/>
    <w:rsid w:val="00442714"/>
    <w:rsid w:val="00443A5C"/>
    <w:rsid w:val="00446FCC"/>
    <w:rsid w:val="00450136"/>
    <w:rsid w:val="00450698"/>
    <w:rsid w:val="00450D28"/>
    <w:rsid w:val="00450F7F"/>
    <w:rsid w:val="004511A0"/>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3F14"/>
    <w:rsid w:val="00481148"/>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1108"/>
    <w:rsid w:val="004A2786"/>
    <w:rsid w:val="004A3929"/>
    <w:rsid w:val="004A456A"/>
    <w:rsid w:val="004A5DB0"/>
    <w:rsid w:val="004B1184"/>
    <w:rsid w:val="004B7269"/>
    <w:rsid w:val="004C04C8"/>
    <w:rsid w:val="004C22EA"/>
    <w:rsid w:val="004C417D"/>
    <w:rsid w:val="004C55C0"/>
    <w:rsid w:val="004C7D3F"/>
    <w:rsid w:val="004D049F"/>
    <w:rsid w:val="004D27BF"/>
    <w:rsid w:val="004D50DB"/>
    <w:rsid w:val="004E1AE6"/>
    <w:rsid w:val="004E20D1"/>
    <w:rsid w:val="004E22C5"/>
    <w:rsid w:val="004E25AD"/>
    <w:rsid w:val="004E273A"/>
    <w:rsid w:val="004E3E69"/>
    <w:rsid w:val="004E41F0"/>
    <w:rsid w:val="004E42DE"/>
    <w:rsid w:val="004E5E44"/>
    <w:rsid w:val="004E6845"/>
    <w:rsid w:val="004E7312"/>
    <w:rsid w:val="004F0C84"/>
    <w:rsid w:val="004F0C8C"/>
    <w:rsid w:val="004F2104"/>
    <w:rsid w:val="004F38AB"/>
    <w:rsid w:val="004F514E"/>
    <w:rsid w:val="004F6843"/>
    <w:rsid w:val="004F6B08"/>
    <w:rsid w:val="004F6CAF"/>
    <w:rsid w:val="0050010A"/>
    <w:rsid w:val="0050145B"/>
    <w:rsid w:val="005024BC"/>
    <w:rsid w:val="00502854"/>
    <w:rsid w:val="005039AE"/>
    <w:rsid w:val="005039BF"/>
    <w:rsid w:val="00504060"/>
    <w:rsid w:val="00504AA3"/>
    <w:rsid w:val="00504FF0"/>
    <w:rsid w:val="00505044"/>
    <w:rsid w:val="00506425"/>
    <w:rsid w:val="00506798"/>
    <w:rsid w:val="0050734A"/>
    <w:rsid w:val="0051108D"/>
    <w:rsid w:val="005112D1"/>
    <w:rsid w:val="0051181D"/>
    <w:rsid w:val="00513122"/>
    <w:rsid w:val="0051432C"/>
    <w:rsid w:val="0051488F"/>
    <w:rsid w:val="00514BC0"/>
    <w:rsid w:val="0051534E"/>
    <w:rsid w:val="005160CE"/>
    <w:rsid w:val="00516539"/>
    <w:rsid w:val="00516A2D"/>
    <w:rsid w:val="00516E36"/>
    <w:rsid w:val="00517FC6"/>
    <w:rsid w:val="00523C6E"/>
    <w:rsid w:val="005255A1"/>
    <w:rsid w:val="00525655"/>
    <w:rsid w:val="00526469"/>
    <w:rsid w:val="00526B1D"/>
    <w:rsid w:val="005306E4"/>
    <w:rsid w:val="00531974"/>
    <w:rsid w:val="00532D4D"/>
    <w:rsid w:val="005339FC"/>
    <w:rsid w:val="00534DA1"/>
    <w:rsid w:val="00536328"/>
    <w:rsid w:val="005375BB"/>
    <w:rsid w:val="00537EAE"/>
    <w:rsid w:val="005406C4"/>
    <w:rsid w:val="00540FBA"/>
    <w:rsid w:val="00543D44"/>
    <w:rsid w:val="00543EF7"/>
    <w:rsid w:val="0054490A"/>
    <w:rsid w:val="0054738F"/>
    <w:rsid w:val="005511F4"/>
    <w:rsid w:val="00557E14"/>
    <w:rsid w:val="005603B9"/>
    <w:rsid w:val="00561E24"/>
    <w:rsid w:val="00563BF8"/>
    <w:rsid w:val="00563F87"/>
    <w:rsid w:val="00564287"/>
    <w:rsid w:val="0056490C"/>
    <w:rsid w:val="0056638E"/>
    <w:rsid w:val="0056671C"/>
    <w:rsid w:val="00566B41"/>
    <w:rsid w:val="00567BE7"/>
    <w:rsid w:val="00567FDE"/>
    <w:rsid w:val="00572386"/>
    <w:rsid w:val="00572734"/>
    <w:rsid w:val="00577291"/>
    <w:rsid w:val="005811A6"/>
    <w:rsid w:val="0058316E"/>
    <w:rsid w:val="0058478C"/>
    <w:rsid w:val="00585428"/>
    <w:rsid w:val="00585B2F"/>
    <w:rsid w:val="00585CFD"/>
    <w:rsid w:val="00586C89"/>
    <w:rsid w:val="00587227"/>
    <w:rsid w:val="00591550"/>
    <w:rsid w:val="0059388A"/>
    <w:rsid w:val="00594337"/>
    <w:rsid w:val="00595011"/>
    <w:rsid w:val="00595BD1"/>
    <w:rsid w:val="00595F36"/>
    <w:rsid w:val="00596401"/>
    <w:rsid w:val="005976F5"/>
    <w:rsid w:val="00597908"/>
    <w:rsid w:val="00597A5A"/>
    <w:rsid w:val="005A115B"/>
    <w:rsid w:val="005A1679"/>
    <w:rsid w:val="005A55FF"/>
    <w:rsid w:val="005A6024"/>
    <w:rsid w:val="005A6948"/>
    <w:rsid w:val="005A7F63"/>
    <w:rsid w:val="005B0A5C"/>
    <w:rsid w:val="005B0D97"/>
    <w:rsid w:val="005B1A19"/>
    <w:rsid w:val="005B299D"/>
    <w:rsid w:val="005B41F5"/>
    <w:rsid w:val="005B4C24"/>
    <w:rsid w:val="005B4DE2"/>
    <w:rsid w:val="005B6987"/>
    <w:rsid w:val="005B7AEF"/>
    <w:rsid w:val="005C0CBF"/>
    <w:rsid w:val="005C0F63"/>
    <w:rsid w:val="005C1F9F"/>
    <w:rsid w:val="005C2DBE"/>
    <w:rsid w:val="005C4D9E"/>
    <w:rsid w:val="005C5AC8"/>
    <w:rsid w:val="005C74D3"/>
    <w:rsid w:val="005D1666"/>
    <w:rsid w:val="005D27A5"/>
    <w:rsid w:val="005D2F54"/>
    <w:rsid w:val="005D6448"/>
    <w:rsid w:val="005D64CC"/>
    <w:rsid w:val="005D709D"/>
    <w:rsid w:val="005D723B"/>
    <w:rsid w:val="005D7585"/>
    <w:rsid w:val="005E2570"/>
    <w:rsid w:val="005E309F"/>
    <w:rsid w:val="005E3257"/>
    <w:rsid w:val="005E3BAE"/>
    <w:rsid w:val="005E55D1"/>
    <w:rsid w:val="005E60AB"/>
    <w:rsid w:val="005E6BF9"/>
    <w:rsid w:val="005E6FA5"/>
    <w:rsid w:val="005F0528"/>
    <w:rsid w:val="005F0C9F"/>
    <w:rsid w:val="005F0D4E"/>
    <w:rsid w:val="005F124B"/>
    <w:rsid w:val="005F2C5B"/>
    <w:rsid w:val="005F2CE0"/>
    <w:rsid w:val="005F30D2"/>
    <w:rsid w:val="005F34C3"/>
    <w:rsid w:val="005F44DF"/>
    <w:rsid w:val="005F5681"/>
    <w:rsid w:val="005F57A2"/>
    <w:rsid w:val="005F641C"/>
    <w:rsid w:val="006019D4"/>
    <w:rsid w:val="00603633"/>
    <w:rsid w:val="00605423"/>
    <w:rsid w:val="00606231"/>
    <w:rsid w:val="00607B06"/>
    <w:rsid w:val="00611981"/>
    <w:rsid w:val="00611B90"/>
    <w:rsid w:val="00612222"/>
    <w:rsid w:val="0061535D"/>
    <w:rsid w:val="006163D3"/>
    <w:rsid w:val="00617D3E"/>
    <w:rsid w:val="00620F74"/>
    <w:rsid w:val="00621B17"/>
    <w:rsid w:val="006222EF"/>
    <w:rsid w:val="00623521"/>
    <w:rsid w:val="00625030"/>
    <w:rsid w:val="006259FF"/>
    <w:rsid w:val="00625D13"/>
    <w:rsid w:val="00631D55"/>
    <w:rsid w:val="00634F7D"/>
    <w:rsid w:val="00635D9B"/>
    <w:rsid w:val="00637AA1"/>
    <w:rsid w:val="00637C82"/>
    <w:rsid w:val="00640A10"/>
    <w:rsid w:val="00640D6D"/>
    <w:rsid w:val="00640D86"/>
    <w:rsid w:val="00641BAE"/>
    <w:rsid w:val="00642729"/>
    <w:rsid w:val="006432EB"/>
    <w:rsid w:val="00644742"/>
    <w:rsid w:val="0064494A"/>
    <w:rsid w:val="00644C80"/>
    <w:rsid w:val="00644D33"/>
    <w:rsid w:val="006451F4"/>
    <w:rsid w:val="00645733"/>
    <w:rsid w:val="00646BCE"/>
    <w:rsid w:val="00646E5B"/>
    <w:rsid w:val="006473DA"/>
    <w:rsid w:val="00650A16"/>
    <w:rsid w:val="00650FBB"/>
    <w:rsid w:val="00653AA8"/>
    <w:rsid w:val="00654A1E"/>
    <w:rsid w:val="00654BF8"/>
    <w:rsid w:val="00654EC5"/>
    <w:rsid w:val="00655AD8"/>
    <w:rsid w:val="00656863"/>
    <w:rsid w:val="00656F26"/>
    <w:rsid w:val="006575ED"/>
    <w:rsid w:val="0065777D"/>
    <w:rsid w:val="00660F8F"/>
    <w:rsid w:val="006617FD"/>
    <w:rsid w:val="00663124"/>
    <w:rsid w:val="00663F7D"/>
    <w:rsid w:val="006659FA"/>
    <w:rsid w:val="00666A7A"/>
    <w:rsid w:val="0067171D"/>
    <w:rsid w:val="00673A58"/>
    <w:rsid w:val="00674E6D"/>
    <w:rsid w:val="00674FBD"/>
    <w:rsid w:val="00675562"/>
    <w:rsid w:val="00676A1B"/>
    <w:rsid w:val="00677524"/>
    <w:rsid w:val="006842B5"/>
    <w:rsid w:val="00684D44"/>
    <w:rsid w:val="006858B0"/>
    <w:rsid w:val="00685C8E"/>
    <w:rsid w:val="00685CA2"/>
    <w:rsid w:val="00685E34"/>
    <w:rsid w:val="00687B5F"/>
    <w:rsid w:val="00690651"/>
    <w:rsid w:val="006914DB"/>
    <w:rsid w:val="00691B5A"/>
    <w:rsid w:val="00691DB5"/>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F4A"/>
    <w:rsid w:val="006B307F"/>
    <w:rsid w:val="006B3148"/>
    <w:rsid w:val="006B4389"/>
    <w:rsid w:val="006B5997"/>
    <w:rsid w:val="006B6E39"/>
    <w:rsid w:val="006B73CA"/>
    <w:rsid w:val="006C00BD"/>
    <w:rsid w:val="006C0794"/>
    <w:rsid w:val="006C0CEE"/>
    <w:rsid w:val="006C1D5C"/>
    <w:rsid w:val="006C2424"/>
    <w:rsid w:val="006C3B66"/>
    <w:rsid w:val="006C64FC"/>
    <w:rsid w:val="006D0E26"/>
    <w:rsid w:val="006D1173"/>
    <w:rsid w:val="006D22FE"/>
    <w:rsid w:val="006D4D62"/>
    <w:rsid w:val="006E1F9B"/>
    <w:rsid w:val="006E2215"/>
    <w:rsid w:val="006E24AE"/>
    <w:rsid w:val="006E3C70"/>
    <w:rsid w:val="006E59E7"/>
    <w:rsid w:val="006E5CDB"/>
    <w:rsid w:val="006E68D6"/>
    <w:rsid w:val="006E6FC6"/>
    <w:rsid w:val="006E7757"/>
    <w:rsid w:val="006E7DBD"/>
    <w:rsid w:val="006F00A8"/>
    <w:rsid w:val="006F171E"/>
    <w:rsid w:val="006F3F35"/>
    <w:rsid w:val="006F3F91"/>
    <w:rsid w:val="006F600B"/>
    <w:rsid w:val="006F7C21"/>
    <w:rsid w:val="006F7C9C"/>
    <w:rsid w:val="00700867"/>
    <w:rsid w:val="00703613"/>
    <w:rsid w:val="007047B1"/>
    <w:rsid w:val="00706775"/>
    <w:rsid w:val="00706D65"/>
    <w:rsid w:val="00706E09"/>
    <w:rsid w:val="007101A1"/>
    <w:rsid w:val="00710261"/>
    <w:rsid w:val="00711BDF"/>
    <w:rsid w:val="00711C32"/>
    <w:rsid w:val="00711FEF"/>
    <w:rsid w:val="00713703"/>
    <w:rsid w:val="0071420B"/>
    <w:rsid w:val="00714688"/>
    <w:rsid w:val="00714C16"/>
    <w:rsid w:val="00715548"/>
    <w:rsid w:val="00715551"/>
    <w:rsid w:val="007167AC"/>
    <w:rsid w:val="00720E65"/>
    <w:rsid w:val="00721E96"/>
    <w:rsid w:val="00723E35"/>
    <w:rsid w:val="00725844"/>
    <w:rsid w:val="00726A4D"/>
    <w:rsid w:val="00731B1C"/>
    <w:rsid w:val="007327DA"/>
    <w:rsid w:val="00732D99"/>
    <w:rsid w:val="00734FC3"/>
    <w:rsid w:val="00737377"/>
    <w:rsid w:val="00741CD1"/>
    <w:rsid w:val="007422A3"/>
    <w:rsid w:val="00742557"/>
    <w:rsid w:val="00743530"/>
    <w:rsid w:val="0074370A"/>
    <w:rsid w:val="007440E1"/>
    <w:rsid w:val="0074416D"/>
    <w:rsid w:val="0074542F"/>
    <w:rsid w:val="00753E5C"/>
    <w:rsid w:val="00753FBE"/>
    <w:rsid w:val="00754FD1"/>
    <w:rsid w:val="00755E7D"/>
    <w:rsid w:val="00760EBF"/>
    <w:rsid w:val="00761C83"/>
    <w:rsid w:val="00762446"/>
    <w:rsid w:val="00763D2A"/>
    <w:rsid w:val="00763E68"/>
    <w:rsid w:val="00764618"/>
    <w:rsid w:val="007660DB"/>
    <w:rsid w:val="007711CF"/>
    <w:rsid w:val="00773807"/>
    <w:rsid w:val="00773887"/>
    <w:rsid w:val="007759EF"/>
    <w:rsid w:val="00775BE7"/>
    <w:rsid w:val="007761CB"/>
    <w:rsid w:val="0077684D"/>
    <w:rsid w:val="00776CDC"/>
    <w:rsid w:val="007813C1"/>
    <w:rsid w:val="00781F67"/>
    <w:rsid w:val="00782DA8"/>
    <w:rsid w:val="00785CB9"/>
    <w:rsid w:val="007902F7"/>
    <w:rsid w:val="00795AF2"/>
    <w:rsid w:val="007964DF"/>
    <w:rsid w:val="00796567"/>
    <w:rsid w:val="007965D4"/>
    <w:rsid w:val="007977EA"/>
    <w:rsid w:val="00797958"/>
    <w:rsid w:val="007A0F2F"/>
    <w:rsid w:val="007A2313"/>
    <w:rsid w:val="007A43DC"/>
    <w:rsid w:val="007A6263"/>
    <w:rsid w:val="007A7913"/>
    <w:rsid w:val="007A7F5A"/>
    <w:rsid w:val="007B1C84"/>
    <w:rsid w:val="007B2A2F"/>
    <w:rsid w:val="007B3CE5"/>
    <w:rsid w:val="007B613D"/>
    <w:rsid w:val="007B6F28"/>
    <w:rsid w:val="007C1FFB"/>
    <w:rsid w:val="007C3CBD"/>
    <w:rsid w:val="007C6685"/>
    <w:rsid w:val="007C6BCB"/>
    <w:rsid w:val="007C75AA"/>
    <w:rsid w:val="007D74D8"/>
    <w:rsid w:val="007E09B3"/>
    <w:rsid w:val="007E18DA"/>
    <w:rsid w:val="007E1DF9"/>
    <w:rsid w:val="007E2CA1"/>
    <w:rsid w:val="007E3008"/>
    <w:rsid w:val="007E3AB4"/>
    <w:rsid w:val="007E5602"/>
    <w:rsid w:val="007F0319"/>
    <w:rsid w:val="007F0357"/>
    <w:rsid w:val="007F0439"/>
    <w:rsid w:val="007F196A"/>
    <w:rsid w:val="007F1C14"/>
    <w:rsid w:val="007F26A6"/>
    <w:rsid w:val="007F3DB0"/>
    <w:rsid w:val="007F4187"/>
    <w:rsid w:val="007F4C22"/>
    <w:rsid w:val="00800247"/>
    <w:rsid w:val="00801C4D"/>
    <w:rsid w:val="00803153"/>
    <w:rsid w:val="008035E9"/>
    <w:rsid w:val="0080395B"/>
    <w:rsid w:val="008058D7"/>
    <w:rsid w:val="00810133"/>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4CB7"/>
    <w:rsid w:val="00874E04"/>
    <w:rsid w:val="00875483"/>
    <w:rsid w:val="008758C3"/>
    <w:rsid w:val="00880192"/>
    <w:rsid w:val="008814D3"/>
    <w:rsid w:val="00883BE7"/>
    <w:rsid w:val="0088423D"/>
    <w:rsid w:val="008861F2"/>
    <w:rsid w:val="008871BE"/>
    <w:rsid w:val="008913A3"/>
    <w:rsid w:val="00892BAB"/>
    <w:rsid w:val="00892D58"/>
    <w:rsid w:val="00895C16"/>
    <w:rsid w:val="00895E8C"/>
    <w:rsid w:val="00896366"/>
    <w:rsid w:val="00896630"/>
    <w:rsid w:val="008A0EDD"/>
    <w:rsid w:val="008A4232"/>
    <w:rsid w:val="008A4534"/>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5992"/>
    <w:rsid w:val="008D5CE9"/>
    <w:rsid w:val="008D6E50"/>
    <w:rsid w:val="008D7869"/>
    <w:rsid w:val="008E21D8"/>
    <w:rsid w:val="008E2F2D"/>
    <w:rsid w:val="008E3985"/>
    <w:rsid w:val="008E46F2"/>
    <w:rsid w:val="008E4ED1"/>
    <w:rsid w:val="008E5006"/>
    <w:rsid w:val="008E62BD"/>
    <w:rsid w:val="008E6966"/>
    <w:rsid w:val="008E6A60"/>
    <w:rsid w:val="008E6E32"/>
    <w:rsid w:val="008E7682"/>
    <w:rsid w:val="008E7A3D"/>
    <w:rsid w:val="008F0918"/>
    <w:rsid w:val="008F11E7"/>
    <w:rsid w:val="008F1F51"/>
    <w:rsid w:val="008F5D07"/>
    <w:rsid w:val="008F6587"/>
    <w:rsid w:val="008F738B"/>
    <w:rsid w:val="008F7C86"/>
    <w:rsid w:val="008F7F01"/>
    <w:rsid w:val="00904329"/>
    <w:rsid w:val="0090537E"/>
    <w:rsid w:val="009055AD"/>
    <w:rsid w:val="0090751F"/>
    <w:rsid w:val="0091307B"/>
    <w:rsid w:val="00914D23"/>
    <w:rsid w:val="0091520E"/>
    <w:rsid w:val="009159B6"/>
    <w:rsid w:val="0091646C"/>
    <w:rsid w:val="00916A7E"/>
    <w:rsid w:val="00916B56"/>
    <w:rsid w:val="00924723"/>
    <w:rsid w:val="00925F61"/>
    <w:rsid w:val="00930549"/>
    <w:rsid w:val="00930964"/>
    <w:rsid w:val="009317C7"/>
    <w:rsid w:val="00931A0D"/>
    <w:rsid w:val="0093314F"/>
    <w:rsid w:val="0093357D"/>
    <w:rsid w:val="00934DD7"/>
    <w:rsid w:val="009360BF"/>
    <w:rsid w:val="009367D6"/>
    <w:rsid w:val="009368CE"/>
    <w:rsid w:val="00937F0D"/>
    <w:rsid w:val="0094022B"/>
    <w:rsid w:val="009418BE"/>
    <w:rsid w:val="0094207A"/>
    <w:rsid w:val="0094250B"/>
    <w:rsid w:val="0094254B"/>
    <w:rsid w:val="009448F5"/>
    <w:rsid w:val="00945D02"/>
    <w:rsid w:val="009464BB"/>
    <w:rsid w:val="00946933"/>
    <w:rsid w:val="00946B26"/>
    <w:rsid w:val="00946EA7"/>
    <w:rsid w:val="009529C1"/>
    <w:rsid w:val="00952C3A"/>
    <w:rsid w:val="00952DBC"/>
    <w:rsid w:val="00953C12"/>
    <w:rsid w:val="0095633D"/>
    <w:rsid w:val="009600EB"/>
    <w:rsid w:val="009613C9"/>
    <w:rsid w:val="00962602"/>
    <w:rsid w:val="0096296F"/>
    <w:rsid w:val="00964F7C"/>
    <w:rsid w:val="009669DE"/>
    <w:rsid w:val="00970EC3"/>
    <w:rsid w:val="00971E9B"/>
    <w:rsid w:val="00971FBE"/>
    <w:rsid w:val="00973367"/>
    <w:rsid w:val="00973D49"/>
    <w:rsid w:val="009768CE"/>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5CD3"/>
    <w:rsid w:val="00995EB6"/>
    <w:rsid w:val="00997354"/>
    <w:rsid w:val="00997B08"/>
    <w:rsid w:val="009A1A86"/>
    <w:rsid w:val="009A25FD"/>
    <w:rsid w:val="009A4640"/>
    <w:rsid w:val="009A4751"/>
    <w:rsid w:val="009A52AC"/>
    <w:rsid w:val="009A658C"/>
    <w:rsid w:val="009A7DBA"/>
    <w:rsid w:val="009B07DB"/>
    <w:rsid w:val="009B07DE"/>
    <w:rsid w:val="009B088D"/>
    <w:rsid w:val="009B0D32"/>
    <w:rsid w:val="009B2FED"/>
    <w:rsid w:val="009B4EBE"/>
    <w:rsid w:val="009B4EF5"/>
    <w:rsid w:val="009B63A8"/>
    <w:rsid w:val="009B67B9"/>
    <w:rsid w:val="009B7E3F"/>
    <w:rsid w:val="009C281B"/>
    <w:rsid w:val="009C307B"/>
    <w:rsid w:val="009C3918"/>
    <w:rsid w:val="009C4870"/>
    <w:rsid w:val="009D02B5"/>
    <w:rsid w:val="009D0466"/>
    <w:rsid w:val="009D0C9B"/>
    <w:rsid w:val="009D17AF"/>
    <w:rsid w:val="009D2077"/>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217F"/>
    <w:rsid w:val="009F23FB"/>
    <w:rsid w:val="009F3709"/>
    <w:rsid w:val="009F3D3D"/>
    <w:rsid w:val="009F45AA"/>
    <w:rsid w:val="009F49C0"/>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E3"/>
    <w:rsid w:val="00A25BED"/>
    <w:rsid w:val="00A26A82"/>
    <w:rsid w:val="00A3082A"/>
    <w:rsid w:val="00A30B0E"/>
    <w:rsid w:val="00A31178"/>
    <w:rsid w:val="00A31649"/>
    <w:rsid w:val="00A330A2"/>
    <w:rsid w:val="00A33134"/>
    <w:rsid w:val="00A35435"/>
    <w:rsid w:val="00A36073"/>
    <w:rsid w:val="00A40995"/>
    <w:rsid w:val="00A41DA3"/>
    <w:rsid w:val="00A420D2"/>
    <w:rsid w:val="00A4268F"/>
    <w:rsid w:val="00A429B9"/>
    <w:rsid w:val="00A435A7"/>
    <w:rsid w:val="00A47AA3"/>
    <w:rsid w:val="00A50269"/>
    <w:rsid w:val="00A50C4B"/>
    <w:rsid w:val="00A52F83"/>
    <w:rsid w:val="00A5312F"/>
    <w:rsid w:val="00A54818"/>
    <w:rsid w:val="00A54F59"/>
    <w:rsid w:val="00A561C2"/>
    <w:rsid w:val="00A5629D"/>
    <w:rsid w:val="00A5636E"/>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15BD"/>
    <w:rsid w:val="00A8213D"/>
    <w:rsid w:val="00A8499D"/>
    <w:rsid w:val="00A84C0E"/>
    <w:rsid w:val="00A850C1"/>
    <w:rsid w:val="00A86A0C"/>
    <w:rsid w:val="00A86A6B"/>
    <w:rsid w:val="00A86E00"/>
    <w:rsid w:val="00A91D02"/>
    <w:rsid w:val="00A91F6F"/>
    <w:rsid w:val="00A92E0D"/>
    <w:rsid w:val="00A93A31"/>
    <w:rsid w:val="00A944F1"/>
    <w:rsid w:val="00A95021"/>
    <w:rsid w:val="00A95361"/>
    <w:rsid w:val="00AA1914"/>
    <w:rsid w:val="00AA544C"/>
    <w:rsid w:val="00AA6A37"/>
    <w:rsid w:val="00AA7356"/>
    <w:rsid w:val="00AB04AF"/>
    <w:rsid w:val="00AB229C"/>
    <w:rsid w:val="00AB3AFA"/>
    <w:rsid w:val="00AB3E3E"/>
    <w:rsid w:val="00AB5806"/>
    <w:rsid w:val="00AB66F6"/>
    <w:rsid w:val="00AB79E4"/>
    <w:rsid w:val="00AB7BD4"/>
    <w:rsid w:val="00AC035E"/>
    <w:rsid w:val="00AC04A2"/>
    <w:rsid w:val="00AC2B91"/>
    <w:rsid w:val="00AC30E6"/>
    <w:rsid w:val="00AC3E75"/>
    <w:rsid w:val="00AC4508"/>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04BD"/>
    <w:rsid w:val="00AE19A2"/>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266D"/>
    <w:rsid w:val="00B046B2"/>
    <w:rsid w:val="00B04D8E"/>
    <w:rsid w:val="00B053F4"/>
    <w:rsid w:val="00B06312"/>
    <w:rsid w:val="00B07EB4"/>
    <w:rsid w:val="00B11341"/>
    <w:rsid w:val="00B114A0"/>
    <w:rsid w:val="00B114F0"/>
    <w:rsid w:val="00B12060"/>
    <w:rsid w:val="00B1290B"/>
    <w:rsid w:val="00B12A4B"/>
    <w:rsid w:val="00B12A7B"/>
    <w:rsid w:val="00B1374F"/>
    <w:rsid w:val="00B14B15"/>
    <w:rsid w:val="00B15112"/>
    <w:rsid w:val="00B15A31"/>
    <w:rsid w:val="00B15D4E"/>
    <w:rsid w:val="00B16173"/>
    <w:rsid w:val="00B16951"/>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3CF2"/>
    <w:rsid w:val="00B44A7F"/>
    <w:rsid w:val="00B46059"/>
    <w:rsid w:val="00B4630D"/>
    <w:rsid w:val="00B46792"/>
    <w:rsid w:val="00B46CE7"/>
    <w:rsid w:val="00B514ED"/>
    <w:rsid w:val="00B51A8D"/>
    <w:rsid w:val="00B51FB7"/>
    <w:rsid w:val="00B53B55"/>
    <w:rsid w:val="00B5414A"/>
    <w:rsid w:val="00B54661"/>
    <w:rsid w:val="00B54F1C"/>
    <w:rsid w:val="00B56ACF"/>
    <w:rsid w:val="00B6064D"/>
    <w:rsid w:val="00B60A8A"/>
    <w:rsid w:val="00B60D6C"/>
    <w:rsid w:val="00B613FF"/>
    <w:rsid w:val="00B614D3"/>
    <w:rsid w:val="00B62254"/>
    <w:rsid w:val="00B62270"/>
    <w:rsid w:val="00B630FC"/>
    <w:rsid w:val="00B63ABD"/>
    <w:rsid w:val="00B66F66"/>
    <w:rsid w:val="00B67744"/>
    <w:rsid w:val="00B703B6"/>
    <w:rsid w:val="00B722E6"/>
    <w:rsid w:val="00B7617B"/>
    <w:rsid w:val="00B761D6"/>
    <w:rsid w:val="00B763E3"/>
    <w:rsid w:val="00B7644C"/>
    <w:rsid w:val="00B817DE"/>
    <w:rsid w:val="00B81E13"/>
    <w:rsid w:val="00B8208C"/>
    <w:rsid w:val="00B825DE"/>
    <w:rsid w:val="00B82B34"/>
    <w:rsid w:val="00B85774"/>
    <w:rsid w:val="00B85E66"/>
    <w:rsid w:val="00B90B19"/>
    <w:rsid w:val="00B90D6E"/>
    <w:rsid w:val="00B93D94"/>
    <w:rsid w:val="00B94070"/>
    <w:rsid w:val="00B9618E"/>
    <w:rsid w:val="00BA189C"/>
    <w:rsid w:val="00BA5A36"/>
    <w:rsid w:val="00BA6EDA"/>
    <w:rsid w:val="00BA70C1"/>
    <w:rsid w:val="00BA7508"/>
    <w:rsid w:val="00BA7770"/>
    <w:rsid w:val="00BA7CFF"/>
    <w:rsid w:val="00BA7E35"/>
    <w:rsid w:val="00BB02F6"/>
    <w:rsid w:val="00BB1103"/>
    <w:rsid w:val="00BB22C6"/>
    <w:rsid w:val="00BB504D"/>
    <w:rsid w:val="00BB682C"/>
    <w:rsid w:val="00BB71F5"/>
    <w:rsid w:val="00BC1C8E"/>
    <w:rsid w:val="00BC2308"/>
    <w:rsid w:val="00BC2D7F"/>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C00AAD"/>
    <w:rsid w:val="00C00B59"/>
    <w:rsid w:val="00C00B7C"/>
    <w:rsid w:val="00C05F42"/>
    <w:rsid w:val="00C061C1"/>
    <w:rsid w:val="00C07675"/>
    <w:rsid w:val="00C07A78"/>
    <w:rsid w:val="00C10CEC"/>
    <w:rsid w:val="00C121DE"/>
    <w:rsid w:val="00C1387B"/>
    <w:rsid w:val="00C1573F"/>
    <w:rsid w:val="00C15D80"/>
    <w:rsid w:val="00C16F85"/>
    <w:rsid w:val="00C20169"/>
    <w:rsid w:val="00C21104"/>
    <w:rsid w:val="00C21449"/>
    <w:rsid w:val="00C21551"/>
    <w:rsid w:val="00C2218E"/>
    <w:rsid w:val="00C222FF"/>
    <w:rsid w:val="00C23577"/>
    <w:rsid w:val="00C23ADE"/>
    <w:rsid w:val="00C258BF"/>
    <w:rsid w:val="00C25F00"/>
    <w:rsid w:val="00C2605C"/>
    <w:rsid w:val="00C275BB"/>
    <w:rsid w:val="00C30463"/>
    <w:rsid w:val="00C30C97"/>
    <w:rsid w:val="00C32053"/>
    <w:rsid w:val="00C40381"/>
    <w:rsid w:val="00C42477"/>
    <w:rsid w:val="00C43215"/>
    <w:rsid w:val="00C4383C"/>
    <w:rsid w:val="00C43A66"/>
    <w:rsid w:val="00C524A0"/>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2A12"/>
    <w:rsid w:val="00C8323C"/>
    <w:rsid w:val="00C84779"/>
    <w:rsid w:val="00C84AAA"/>
    <w:rsid w:val="00C85B0E"/>
    <w:rsid w:val="00C905E4"/>
    <w:rsid w:val="00C90862"/>
    <w:rsid w:val="00C92C0A"/>
    <w:rsid w:val="00C92EBC"/>
    <w:rsid w:val="00C93805"/>
    <w:rsid w:val="00C9549E"/>
    <w:rsid w:val="00C95652"/>
    <w:rsid w:val="00C95888"/>
    <w:rsid w:val="00CA02D1"/>
    <w:rsid w:val="00CA04CA"/>
    <w:rsid w:val="00CA1B60"/>
    <w:rsid w:val="00CA490C"/>
    <w:rsid w:val="00CA4DFD"/>
    <w:rsid w:val="00CA60E6"/>
    <w:rsid w:val="00CB006D"/>
    <w:rsid w:val="00CB0DB6"/>
    <w:rsid w:val="00CB2B6B"/>
    <w:rsid w:val="00CB2D9F"/>
    <w:rsid w:val="00CB3CC1"/>
    <w:rsid w:val="00CB43DC"/>
    <w:rsid w:val="00CB45C7"/>
    <w:rsid w:val="00CB523C"/>
    <w:rsid w:val="00CB672F"/>
    <w:rsid w:val="00CB6A3B"/>
    <w:rsid w:val="00CB76D2"/>
    <w:rsid w:val="00CC3A4E"/>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F04"/>
    <w:rsid w:val="00CE51BA"/>
    <w:rsid w:val="00CE558C"/>
    <w:rsid w:val="00CE712C"/>
    <w:rsid w:val="00CE788F"/>
    <w:rsid w:val="00CE7C2A"/>
    <w:rsid w:val="00CF047B"/>
    <w:rsid w:val="00CF09B7"/>
    <w:rsid w:val="00CF35D8"/>
    <w:rsid w:val="00CF671E"/>
    <w:rsid w:val="00CF6E47"/>
    <w:rsid w:val="00D0096C"/>
    <w:rsid w:val="00D0142E"/>
    <w:rsid w:val="00D034D9"/>
    <w:rsid w:val="00D04925"/>
    <w:rsid w:val="00D060D6"/>
    <w:rsid w:val="00D1085A"/>
    <w:rsid w:val="00D11A5D"/>
    <w:rsid w:val="00D11BBB"/>
    <w:rsid w:val="00D11FC5"/>
    <w:rsid w:val="00D130F5"/>
    <w:rsid w:val="00D135AB"/>
    <w:rsid w:val="00D15D72"/>
    <w:rsid w:val="00D15FF7"/>
    <w:rsid w:val="00D16C86"/>
    <w:rsid w:val="00D1754B"/>
    <w:rsid w:val="00D176DF"/>
    <w:rsid w:val="00D20C63"/>
    <w:rsid w:val="00D211A5"/>
    <w:rsid w:val="00D21509"/>
    <w:rsid w:val="00D21775"/>
    <w:rsid w:val="00D2221B"/>
    <w:rsid w:val="00D225AB"/>
    <w:rsid w:val="00D2366D"/>
    <w:rsid w:val="00D2553A"/>
    <w:rsid w:val="00D25575"/>
    <w:rsid w:val="00D25CA6"/>
    <w:rsid w:val="00D26E54"/>
    <w:rsid w:val="00D370D2"/>
    <w:rsid w:val="00D37651"/>
    <w:rsid w:val="00D4008B"/>
    <w:rsid w:val="00D41493"/>
    <w:rsid w:val="00D4247D"/>
    <w:rsid w:val="00D43A25"/>
    <w:rsid w:val="00D4516C"/>
    <w:rsid w:val="00D452F9"/>
    <w:rsid w:val="00D46118"/>
    <w:rsid w:val="00D46C0A"/>
    <w:rsid w:val="00D46E0F"/>
    <w:rsid w:val="00D46EBF"/>
    <w:rsid w:val="00D47C6F"/>
    <w:rsid w:val="00D50226"/>
    <w:rsid w:val="00D508A1"/>
    <w:rsid w:val="00D511D7"/>
    <w:rsid w:val="00D51478"/>
    <w:rsid w:val="00D53241"/>
    <w:rsid w:val="00D53F28"/>
    <w:rsid w:val="00D551D1"/>
    <w:rsid w:val="00D56344"/>
    <w:rsid w:val="00D600BA"/>
    <w:rsid w:val="00D607EA"/>
    <w:rsid w:val="00D62A12"/>
    <w:rsid w:val="00D62D38"/>
    <w:rsid w:val="00D637C7"/>
    <w:rsid w:val="00D67DF2"/>
    <w:rsid w:val="00D73861"/>
    <w:rsid w:val="00D76F7A"/>
    <w:rsid w:val="00D80268"/>
    <w:rsid w:val="00D806B4"/>
    <w:rsid w:val="00D80891"/>
    <w:rsid w:val="00D80B2F"/>
    <w:rsid w:val="00D8186B"/>
    <w:rsid w:val="00D85766"/>
    <w:rsid w:val="00D862E4"/>
    <w:rsid w:val="00D8670A"/>
    <w:rsid w:val="00D94FDF"/>
    <w:rsid w:val="00D95B28"/>
    <w:rsid w:val="00D96107"/>
    <w:rsid w:val="00D97E2E"/>
    <w:rsid w:val="00D97EEC"/>
    <w:rsid w:val="00DA12E5"/>
    <w:rsid w:val="00DA1E5E"/>
    <w:rsid w:val="00DA344F"/>
    <w:rsid w:val="00DA3AF1"/>
    <w:rsid w:val="00DA49D9"/>
    <w:rsid w:val="00DA4F05"/>
    <w:rsid w:val="00DB1610"/>
    <w:rsid w:val="00DB1AA4"/>
    <w:rsid w:val="00DB22C1"/>
    <w:rsid w:val="00DB57A5"/>
    <w:rsid w:val="00DB6943"/>
    <w:rsid w:val="00DC08AF"/>
    <w:rsid w:val="00DC3AD1"/>
    <w:rsid w:val="00DC4682"/>
    <w:rsid w:val="00DC4719"/>
    <w:rsid w:val="00DC5789"/>
    <w:rsid w:val="00DC5DF9"/>
    <w:rsid w:val="00DD1A4D"/>
    <w:rsid w:val="00DD24C3"/>
    <w:rsid w:val="00DD38BA"/>
    <w:rsid w:val="00DD42C1"/>
    <w:rsid w:val="00DD5863"/>
    <w:rsid w:val="00DD7F1E"/>
    <w:rsid w:val="00DE0260"/>
    <w:rsid w:val="00DE2139"/>
    <w:rsid w:val="00DE2303"/>
    <w:rsid w:val="00DE2956"/>
    <w:rsid w:val="00DE46AA"/>
    <w:rsid w:val="00DE4BFC"/>
    <w:rsid w:val="00DE6F07"/>
    <w:rsid w:val="00DE779B"/>
    <w:rsid w:val="00DF0EDB"/>
    <w:rsid w:val="00DF0FA4"/>
    <w:rsid w:val="00DF1595"/>
    <w:rsid w:val="00DF202B"/>
    <w:rsid w:val="00DF32F5"/>
    <w:rsid w:val="00DF3952"/>
    <w:rsid w:val="00DF5226"/>
    <w:rsid w:val="00DF5753"/>
    <w:rsid w:val="00DF5787"/>
    <w:rsid w:val="00DF5BCF"/>
    <w:rsid w:val="00DF6664"/>
    <w:rsid w:val="00DF7E3B"/>
    <w:rsid w:val="00DF7E92"/>
    <w:rsid w:val="00E011C0"/>
    <w:rsid w:val="00E02220"/>
    <w:rsid w:val="00E035DC"/>
    <w:rsid w:val="00E03E63"/>
    <w:rsid w:val="00E040BA"/>
    <w:rsid w:val="00E05FD7"/>
    <w:rsid w:val="00E06A0B"/>
    <w:rsid w:val="00E11453"/>
    <w:rsid w:val="00E11C12"/>
    <w:rsid w:val="00E126B4"/>
    <w:rsid w:val="00E12BAC"/>
    <w:rsid w:val="00E135BC"/>
    <w:rsid w:val="00E13DEC"/>
    <w:rsid w:val="00E14E27"/>
    <w:rsid w:val="00E153F3"/>
    <w:rsid w:val="00E17263"/>
    <w:rsid w:val="00E17EBB"/>
    <w:rsid w:val="00E23348"/>
    <w:rsid w:val="00E2354C"/>
    <w:rsid w:val="00E238EC"/>
    <w:rsid w:val="00E27038"/>
    <w:rsid w:val="00E306CE"/>
    <w:rsid w:val="00E31E2B"/>
    <w:rsid w:val="00E31F63"/>
    <w:rsid w:val="00E33276"/>
    <w:rsid w:val="00E352CD"/>
    <w:rsid w:val="00E35FA1"/>
    <w:rsid w:val="00E36867"/>
    <w:rsid w:val="00E3789F"/>
    <w:rsid w:val="00E37BB2"/>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9CA"/>
    <w:rsid w:val="00E74596"/>
    <w:rsid w:val="00E747B2"/>
    <w:rsid w:val="00E7493A"/>
    <w:rsid w:val="00E74A01"/>
    <w:rsid w:val="00E77A04"/>
    <w:rsid w:val="00E77D14"/>
    <w:rsid w:val="00E810F9"/>
    <w:rsid w:val="00E81A0D"/>
    <w:rsid w:val="00E82039"/>
    <w:rsid w:val="00E82AE2"/>
    <w:rsid w:val="00E8371E"/>
    <w:rsid w:val="00E84AE6"/>
    <w:rsid w:val="00E86B17"/>
    <w:rsid w:val="00E908F1"/>
    <w:rsid w:val="00E91A57"/>
    <w:rsid w:val="00E92316"/>
    <w:rsid w:val="00E92352"/>
    <w:rsid w:val="00E927CA"/>
    <w:rsid w:val="00E93740"/>
    <w:rsid w:val="00E95170"/>
    <w:rsid w:val="00E96C61"/>
    <w:rsid w:val="00EA03CA"/>
    <w:rsid w:val="00EA2750"/>
    <w:rsid w:val="00EA49AC"/>
    <w:rsid w:val="00EA5E80"/>
    <w:rsid w:val="00EA6FA7"/>
    <w:rsid w:val="00EA7155"/>
    <w:rsid w:val="00EB0C06"/>
    <w:rsid w:val="00EB1811"/>
    <w:rsid w:val="00EB1B1F"/>
    <w:rsid w:val="00EB2C2A"/>
    <w:rsid w:val="00EB2FD9"/>
    <w:rsid w:val="00EB3116"/>
    <w:rsid w:val="00EB51AA"/>
    <w:rsid w:val="00EB61CB"/>
    <w:rsid w:val="00EC0F49"/>
    <w:rsid w:val="00EC176A"/>
    <w:rsid w:val="00EC2F8C"/>
    <w:rsid w:val="00EC459B"/>
    <w:rsid w:val="00EC4DE5"/>
    <w:rsid w:val="00EC4E55"/>
    <w:rsid w:val="00EC575C"/>
    <w:rsid w:val="00EC5D5F"/>
    <w:rsid w:val="00EC7A10"/>
    <w:rsid w:val="00EC7F68"/>
    <w:rsid w:val="00ED018D"/>
    <w:rsid w:val="00ED09B5"/>
    <w:rsid w:val="00ED1E15"/>
    <w:rsid w:val="00ED30B4"/>
    <w:rsid w:val="00ED312D"/>
    <w:rsid w:val="00ED4DAA"/>
    <w:rsid w:val="00ED7BAF"/>
    <w:rsid w:val="00EE307C"/>
    <w:rsid w:val="00EE3AFF"/>
    <w:rsid w:val="00EE4046"/>
    <w:rsid w:val="00EE47D1"/>
    <w:rsid w:val="00EE5B70"/>
    <w:rsid w:val="00EE77C6"/>
    <w:rsid w:val="00EE7C64"/>
    <w:rsid w:val="00EF1077"/>
    <w:rsid w:val="00EF17C0"/>
    <w:rsid w:val="00EF2BE3"/>
    <w:rsid w:val="00EF4E23"/>
    <w:rsid w:val="00EF4F8B"/>
    <w:rsid w:val="00EF5847"/>
    <w:rsid w:val="00F00A30"/>
    <w:rsid w:val="00F071AF"/>
    <w:rsid w:val="00F07759"/>
    <w:rsid w:val="00F11878"/>
    <w:rsid w:val="00F119AE"/>
    <w:rsid w:val="00F12A03"/>
    <w:rsid w:val="00F12FD2"/>
    <w:rsid w:val="00F14160"/>
    <w:rsid w:val="00F145E2"/>
    <w:rsid w:val="00F14AE8"/>
    <w:rsid w:val="00F173EE"/>
    <w:rsid w:val="00F217D4"/>
    <w:rsid w:val="00F2330A"/>
    <w:rsid w:val="00F23498"/>
    <w:rsid w:val="00F23A54"/>
    <w:rsid w:val="00F240A6"/>
    <w:rsid w:val="00F25313"/>
    <w:rsid w:val="00F25546"/>
    <w:rsid w:val="00F2748D"/>
    <w:rsid w:val="00F27A4A"/>
    <w:rsid w:val="00F3083F"/>
    <w:rsid w:val="00F31563"/>
    <w:rsid w:val="00F341FA"/>
    <w:rsid w:val="00F361E0"/>
    <w:rsid w:val="00F400D6"/>
    <w:rsid w:val="00F407F3"/>
    <w:rsid w:val="00F413A3"/>
    <w:rsid w:val="00F41E0A"/>
    <w:rsid w:val="00F428E9"/>
    <w:rsid w:val="00F42C2F"/>
    <w:rsid w:val="00F444CB"/>
    <w:rsid w:val="00F44769"/>
    <w:rsid w:val="00F460C8"/>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063"/>
    <w:rsid w:val="00F70B4C"/>
    <w:rsid w:val="00F71EA0"/>
    <w:rsid w:val="00F728DF"/>
    <w:rsid w:val="00F73879"/>
    <w:rsid w:val="00F74E67"/>
    <w:rsid w:val="00F75B76"/>
    <w:rsid w:val="00F77445"/>
    <w:rsid w:val="00F80F2F"/>
    <w:rsid w:val="00F810FB"/>
    <w:rsid w:val="00F8187C"/>
    <w:rsid w:val="00F85D8A"/>
    <w:rsid w:val="00F86A86"/>
    <w:rsid w:val="00F87C00"/>
    <w:rsid w:val="00F9232F"/>
    <w:rsid w:val="00F9257C"/>
    <w:rsid w:val="00F928A6"/>
    <w:rsid w:val="00F93247"/>
    <w:rsid w:val="00F94C2A"/>
    <w:rsid w:val="00F9536A"/>
    <w:rsid w:val="00F96FAC"/>
    <w:rsid w:val="00F971A0"/>
    <w:rsid w:val="00FA07AA"/>
    <w:rsid w:val="00FA2C6E"/>
    <w:rsid w:val="00FA4213"/>
    <w:rsid w:val="00FA6170"/>
    <w:rsid w:val="00FA65AE"/>
    <w:rsid w:val="00FA7C65"/>
    <w:rsid w:val="00FB0436"/>
    <w:rsid w:val="00FB2DD4"/>
    <w:rsid w:val="00FB3FFB"/>
    <w:rsid w:val="00FB4D4E"/>
    <w:rsid w:val="00FB7CC4"/>
    <w:rsid w:val="00FC0302"/>
    <w:rsid w:val="00FC0362"/>
    <w:rsid w:val="00FC1202"/>
    <w:rsid w:val="00FC12F9"/>
    <w:rsid w:val="00FC1836"/>
    <w:rsid w:val="00FC336E"/>
    <w:rsid w:val="00FC39AE"/>
    <w:rsid w:val="00FC3C90"/>
    <w:rsid w:val="00FC4BCC"/>
    <w:rsid w:val="00FC5947"/>
    <w:rsid w:val="00FC6C36"/>
    <w:rsid w:val="00FC77C8"/>
    <w:rsid w:val="00FD14EB"/>
    <w:rsid w:val="00FD183C"/>
    <w:rsid w:val="00FD1B98"/>
    <w:rsid w:val="00FD1D96"/>
    <w:rsid w:val="00FD1EB9"/>
    <w:rsid w:val="00FD55EF"/>
    <w:rsid w:val="00FD5D0E"/>
    <w:rsid w:val="00FD6184"/>
    <w:rsid w:val="00FE1171"/>
    <w:rsid w:val="00FE2046"/>
    <w:rsid w:val="00FE291F"/>
    <w:rsid w:val="00FE3050"/>
    <w:rsid w:val="00FE3503"/>
    <w:rsid w:val="00FE50BF"/>
    <w:rsid w:val="00FE525C"/>
    <w:rsid w:val="00FE5895"/>
    <w:rsid w:val="00FF02BD"/>
    <w:rsid w:val="00FF12C2"/>
    <w:rsid w:val="00FF22B7"/>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659E65A"/>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952DBC"/>
    <w:rPr>
      <w:rFonts w:ascii="ITC Avant Garde" w:eastAsia="Times New Roman" w:hAnsi="ITC Avant Garde"/>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0699468">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200.38.163.178/sjfsist/Paginas/DetalleGeneralV2.aspx?id=23537&amp;Clase=DetalleTesisEjecu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4A00093-8A31-44A6-9448-BC0FCBD0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6659</Words>
  <Characters>36630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7</cp:revision>
  <cp:lastPrinted>2016-12-08T02:19:00Z</cp:lastPrinted>
  <dcterms:created xsi:type="dcterms:W3CDTF">2016-11-18T03:16:00Z</dcterms:created>
  <dcterms:modified xsi:type="dcterms:W3CDTF">2017-03-23T18:50:00Z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