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9F9" w:rsidRPr="005669F9" w:rsidRDefault="00C65132" w:rsidP="005669F9">
      <w:pPr>
        <w:pStyle w:val="Ttulo1"/>
        <w:spacing w:after="240" w:line="240" w:lineRule="auto"/>
        <w:jc w:val="both"/>
        <w:rPr>
          <w:rFonts w:ascii="ITC Avant Garde" w:hAnsi="ITC Avant Garde"/>
          <w:b/>
          <w:color w:val="000000" w:themeColor="text1"/>
          <w:sz w:val="24"/>
          <w:szCs w:val="24"/>
          <w:lang w:eastAsia="es-MX"/>
        </w:rPr>
      </w:pPr>
      <w:bookmarkStart w:id="0" w:name="_GoBack"/>
      <w:r w:rsidRPr="005669F9">
        <w:rPr>
          <w:rFonts w:ascii="ITC Avant Garde" w:hAnsi="ITC Avant Garde"/>
          <w:b/>
          <w:color w:val="000000" w:themeColor="text1"/>
          <w:sz w:val="24"/>
          <w:szCs w:val="24"/>
          <w:lang w:eastAsia="es-MX"/>
        </w:rPr>
        <w:t xml:space="preserve">RESOLUCIÓN MEDIANTE LA CUAL EL PLENO DEL INSTITUTO FEDERAL DE TELECOMUNICACIONES </w:t>
      </w:r>
      <w:r w:rsidR="00BE7CAA" w:rsidRPr="005669F9">
        <w:rPr>
          <w:rFonts w:ascii="ITC Avant Garde" w:hAnsi="ITC Avant Garde"/>
          <w:b/>
          <w:color w:val="000000" w:themeColor="text1"/>
          <w:sz w:val="24"/>
          <w:szCs w:val="24"/>
          <w:lang w:eastAsia="es-MX"/>
        </w:rPr>
        <w:t>D</w:t>
      </w:r>
      <w:r w:rsidRPr="005669F9">
        <w:rPr>
          <w:rFonts w:ascii="ITC Avant Garde" w:hAnsi="ITC Avant Garde"/>
          <w:b/>
          <w:color w:val="000000" w:themeColor="text1"/>
          <w:sz w:val="24"/>
          <w:szCs w:val="24"/>
          <w:lang w:eastAsia="es-MX"/>
        </w:rPr>
        <w:t xml:space="preserve">ECLARA </w:t>
      </w:r>
      <w:r w:rsidR="00626410" w:rsidRPr="005669F9">
        <w:rPr>
          <w:rFonts w:ascii="ITC Avant Garde" w:hAnsi="ITC Avant Garde"/>
          <w:b/>
          <w:color w:val="000000" w:themeColor="text1"/>
          <w:sz w:val="24"/>
          <w:szCs w:val="24"/>
          <w:lang w:eastAsia="es-MX"/>
        </w:rPr>
        <w:t>IM</w:t>
      </w:r>
      <w:r w:rsidR="00605AF8" w:rsidRPr="005669F9">
        <w:rPr>
          <w:rFonts w:ascii="ITC Avant Garde" w:hAnsi="ITC Avant Garde"/>
          <w:b/>
          <w:color w:val="000000" w:themeColor="text1"/>
          <w:sz w:val="24"/>
          <w:szCs w:val="24"/>
          <w:lang w:eastAsia="es-MX"/>
        </w:rPr>
        <w:t>P</w:t>
      </w:r>
      <w:r w:rsidR="00BE7CAA" w:rsidRPr="005669F9">
        <w:rPr>
          <w:rFonts w:ascii="ITC Avant Garde" w:hAnsi="ITC Avant Garde"/>
          <w:b/>
          <w:color w:val="000000" w:themeColor="text1"/>
          <w:sz w:val="24"/>
          <w:szCs w:val="24"/>
          <w:lang w:eastAsia="es-MX"/>
        </w:rPr>
        <w:t>ROCEDENTE LA SOLICITUD DE SERVICIO ADICIONAL PRESENTADA POR COMBAND, S.A. DE C.V. EL 8 DE SEPTIEMBRE DE 2014, RESPECTO DE LA MODIFICACIÓN Y PRÓRROGA DE LA CONCESIÓN PARA USAR, APROVECHAR Y EXPLOTAR BANDAS DE FRECUENCIAS DEL ESPECTRO RADIOELÉCTRICO PARA USOS DETERMINADOS EN LOS ESTADOS UNIDOS MEXICANOS, OTORGADA EL 9 DE SEPTIEMBRE DE 2013</w:t>
      </w:r>
      <w:r w:rsidR="007F7F13" w:rsidRPr="005669F9">
        <w:rPr>
          <w:rFonts w:ascii="ITC Avant Garde" w:hAnsi="ITC Avant Garde"/>
          <w:b/>
          <w:color w:val="000000" w:themeColor="text1"/>
          <w:sz w:val="24"/>
          <w:szCs w:val="24"/>
          <w:lang w:eastAsia="es-MX"/>
        </w:rPr>
        <w:t xml:space="preserve"> Y </w:t>
      </w:r>
      <w:r w:rsidR="00C371F3" w:rsidRPr="005669F9">
        <w:rPr>
          <w:rFonts w:ascii="ITC Avant Garde" w:hAnsi="ITC Avant Garde"/>
          <w:b/>
          <w:color w:val="000000" w:themeColor="text1"/>
          <w:sz w:val="24"/>
          <w:szCs w:val="24"/>
          <w:lang w:eastAsia="es-MX"/>
        </w:rPr>
        <w:t xml:space="preserve">POR LO TANTO, </w:t>
      </w:r>
      <w:r w:rsidR="007F7F13" w:rsidRPr="005669F9">
        <w:rPr>
          <w:rFonts w:ascii="ITC Avant Garde" w:hAnsi="ITC Avant Garde"/>
          <w:b/>
          <w:color w:val="000000" w:themeColor="text1"/>
          <w:sz w:val="24"/>
          <w:szCs w:val="24"/>
          <w:lang w:eastAsia="es-MX"/>
        </w:rPr>
        <w:t>NIEGA LA PRESTACIÓN DEL SERVICIO ADICIONAL DE TELEVISIÓN RADIODIFUNDIDA</w:t>
      </w:r>
      <w:r w:rsidR="000D0333" w:rsidRPr="005669F9">
        <w:rPr>
          <w:rFonts w:ascii="ITC Avant Garde" w:hAnsi="ITC Avant Garde"/>
          <w:b/>
          <w:color w:val="000000" w:themeColor="text1"/>
          <w:sz w:val="24"/>
          <w:szCs w:val="24"/>
          <w:lang w:eastAsia="es-MX"/>
        </w:rPr>
        <w:t>, EN CUMPLIMIENTO A LA EJEC</w:t>
      </w:r>
      <w:r w:rsidR="008D37BC" w:rsidRPr="005669F9">
        <w:rPr>
          <w:rFonts w:ascii="ITC Avant Garde" w:hAnsi="ITC Avant Garde"/>
          <w:b/>
          <w:color w:val="000000" w:themeColor="text1"/>
          <w:sz w:val="24"/>
          <w:szCs w:val="24"/>
          <w:lang w:eastAsia="es-MX"/>
        </w:rPr>
        <w:t>U</w:t>
      </w:r>
      <w:r w:rsidR="000D0333" w:rsidRPr="005669F9">
        <w:rPr>
          <w:rFonts w:ascii="ITC Avant Garde" w:hAnsi="ITC Avant Garde"/>
          <w:b/>
          <w:color w:val="000000" w:themeColor="text1"/>
          <w:sz w:val="24"/>
          <w:szCs w:val="24"/>
          <w:lang w:eastAsia="es-MX"/>
        </w:rPr>
        <w:t>TORIA DICTADA EN EL AMPARO EN REVISIÓN R.A. 300/2016 EMITIDA POR LA SEGUNDA SALA DE LA SUPREMA CORTE DE JUSTICIA DE LA NACIÓN</w:t>
      </w:r>
      <w:r w:rsidRPr="005669F9">
        <w:rPr>
          <w:rFonts w:ascii="ITC Avant Garde" w:hAnsi="ITC Avant Garde"/>
          <w:b/>
          <w:color w:val="000000" w:themeColor="text1"/>
          <w:sz w:val="24"/>
          <w:szCs w:val="24"/>
          <w:lang w:eastAsia="es-MX"/>
        </w:rPr>
        <w:t>.</w:t>
      </w:r>
    </w:p>
    <w:p w:rsidR="005669F9" w:rsidRPr="005669F9" w:rsidRDefault="00C65132" w:rsidP="005669F9">
      <w:pPr>
        <w:pStyle w:val="Ttulo2"/>
        <w:spacing w:after="240"/>
        <w:jc w:val="center"/>
        <w:rPr>
          <w:rFonts w:ascii="ITC Avant Garde" w:hAnsi="ITC Avant Garde"/>
          <w:b/>
          <w:color w:val="000000" w:themeColor="text1"/>
          <w:sz w:val="22"/>
          <w:szCs w:val="22"/>
        </w:rPr>
      </w:pPr>
      <w:r w:rsidRPr="005669F9">
        <w:rPr>
          <w:rFonts w:ascii="ITC Avant Garde" w:hAnsi="ITC Avant Garde"/>
          <w:b/>
          <w:color w:val="000000" w:themeColor="text1"/>
          <w:sz w:val="22"/>
          <w:szCs w:val="22"/>
        </w:rPr>
        <w:t>ANTECEDENTES</w:t>
      </w:r>
    </w:p>
    <w:p w:rsidR="005669F9" w:rsidRPr="005669F9" w:rsidRDefault="00C65132" w:rsidP="005669F9">
      <w:pPr>
        <w:numPr>
          <w:ilvl w:val="0"/>
          <w:numId w:val="1"/>
        </w:numPr>
        <w:spacing w:before="240" w:line="276" w:lineRule="auto"/>
        <w:ind w:left="567" w:hanging="709"/>
        <w:jc w:val="both"/>
        <w:rPr>
          <w:rFonts w:ascii="ITC Avant Garde" w:eastAsia="Calibri" w:hAnsi="ITC Avant Garde" w:cs="Times New Roman"/>
          <w:bCs/>
          <w:color w:val="000000"/>
          <w:lang w:eastAsia="es-MX"/>
        </w:rPr>
      </w:pPr>
      <w:r w:rsidRPr="005669F9">
        <w:rPr>
          <w:rFonts w:ascii="ITC Avant Garde" w:eastAsia="Calibri" w:hAnsi="ITC Avant Garde" w:cs="Times New Roman"/>
          <w:b/>
          <w:bCs/>
          <w:color w:val="000000"/>
          <w:lang w:eastAsia="es-MX"/>
        </w:rPr>
        <w:t xml:space="preserve">Decreto de Reforma Constitucional. </w:t>
      </w:r>
      <w:r w:rsidRPr="005669F9">
        <w:rPr>
          <w:rFonts w:ascii="ITC Avant Garde" w:eastAsia="Calibri" w:hAnsi="ITC Avant Garde" w:cs="Times New Roman"/>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5669F9" w:rsidRPr="005669F9" w:rsidRDefault="00C65132" w:rsidP="005669F9">
      <w:pPr>
        <w:numPr>
          <w:ilvl w:val="0"/>
          <w:numId w:val="1"/>
        </w:numPr>
        <w:spacing w:before="240" w:line="276" w:lineRule="auto"/>
        <w:ind w:left="567" w:hanging="709"/>
        <w:jc w:val="both"/>
        <w:rPr>
          <w:rFonts w:ascii="ITC Avant Garde" w:eastAsia="Calibri" w:hAnsi="ITC Avant Garde" w:cs="Times New Roman"/>
          <w:bCs/>
          <w:color w:val="000000"/>
          <w:lang w:eastAsia="es-MX"/>
        </w:rPr>
      </w:pPr>
      <w:r w:rsidRPr="005669F9">
        <w:rPr>
          <w:rFonts w:ascii="ITC Avant Garde" w:eastAsia="Calibri" w:hAnsi="ITC Avant Garde" w:cs="Times New Roman"/>
          <w:b/>
          <w:bCs/>
          <w:color w:val="000000"/>
          <w:lang w:eastAsia="es-MX"/>
        </w:rPr>
        <w:t>Otorgamiento de la Concesión</w:t>
      </w:r>
      <w:r w:rsidR="00A14F00" w:rsidRPr="005669F9">
        <w:rPr>
          <w:rFonts w:ascii="ITC Avant Garde" w:eastAsia="Calibri" w:hAnsi="ITC Avant Garde" w:cs="Times New Roman"/>
          <w:b/>
          <w:bCs/>
          <w:color w:val="000000"/>
          <w:lang w:eastAsia="es-MX"/>
        </w:rPr>
        <w:t xml:space="preserve"> de Bandas</w:t>
      </w:r>
      <w:r w:rsidRPr="005669F9">
        <w:rPr>
          <w:rFonts w:ascii="ITC Avant Garde" w:eastAsia="Calibri" w:hAnsi="ITC Avant Garde" w:cs="Times New Roman"/>
          <w:b/>
          <w:bCs/>
          <w:color w:val="000000"/>
          <w:lang w:eastAsia="es-MX"/>
        </w:rPr>
        <w:t>.</w:t>
      </w:r>
      <w:r w:rsidRPr="005669F9">
        <w:rPr>
          <w:rFonts w:ascii="ITC Avant Garde" w:eastAsia="Calibri" w:hAnsi="ITC Avant Garde" w:cs="Times New Roman"/>
          <w:bCs/>
          <w:color w:val="000000"/>
          <w:lang w:eastAsia="es-MX"/>
        </w:rPr>
        <w:t xml:space="preserve"> El 9 de septiembre de 2013, la Secretaría de Comunicaciones y Transportes</w:t>
      </w:r>
      <w:r w:rsidR="00A14F00" w:rsidRPr="005669F9">
        <w:rPr>
          <w:rFonts w:ascii="ITC Avant Garde" w:eastAsia="Calibri" w:hAnsi="ITC Avant Garde" w:cs="Times New Roman"/>
          <w:bCs/>
          <w:color w:val="000000"/>
          <w:lang w:eastAsia="es-MX"/>
        </w:rPr>
        <w:t xml:space="preserve"> (la “Secretaría”)</w:t>
      </w:r>
      <w:r w:rsidRPr="005669F9">
        <w:rPr>
          <w:rFonts w:ascii="ITC Avant Garde" w:eastAsia="Calibri" w:hAnsi="ITC Avant Garde" w:cs="Times New Roman"/>
          <w:bCs/>
          <w:color w:val="000000"/>
          <w:lang w:eastAsia="es-MX"/>
        </w:rPr>
        <w:t xml:space="preserve"> otorgó a favor de MVS Multivisión, S.A. de C.V. la modificación y prórroga de la concesión para usar, aprovechar y explotar bandas de frecuencias del espectro radioeléctrico para usos determinados en la banda de frecuencias 692-698 MHz</w:t>
      </w:r>
      <w:r w:rsidR="00BE7CAA" w:rsidRPr="005669F9">
        <w:rPr>
          <w:rFonts w:ascii="ITC Avant Garde" w:eastAsia="Calibri" w:hAnsi="ITC Avant Garde" w:cs="Times New Roman"/>
          <w:bCs/>
          <w:color w:val="000000"/>
          <w:lang w:eastAsia="es-MX"/>
        </w:rPr>
        <w:t xml:space="preserve">, para prestar únicamente </w:t>
      </w:r>
      <w:r w:rsidR="000D28D6" w:rsidRPr="005669F9">
        <w:rPr>
          <w:rFonts w:ascii="ITC Avant Garde" w:eastAsia="Calibri" w:hAnsi="ITC Avant Garde" w:cs="Times New Roman"/>
          <w:bCs/>
          <w:color w:val="000000"/>
          <w:lang w:eastAsia="es-MX"/>
        </w:rPr>
        <w:t>el se</w:t>
      </w:r>
      <w:r w:rsidR="002129DC" w:rsidRPr="005669F9">
        <w:rPr>
          <w:rFonts w:ascii="ITC Avant Garde" w:eastAsia="Calibri" w:hAnsi="ITC Avant Garde" w:cs="Times New Roman"/>
          <w:bCs/>
          <w:color w:val="000000"/>
          <w:lang w:eastAsia="es-MX"/>
        </w:rPr>
        <w:t>rvicio de televisión restringida,</w:t>
      </w:r>
      <w:r w:rsidR="000D28D6" w:rsidRPr="005669F9">
        <w:rPr>
          <w:rFonts w:ascii="ITC Avant Garde" w:eastAsia="Calibri" w:hAnsi="ITC Avant Garde" w:cs="Times New Roman"/>
          <w:bCs/>
          <w:color w:val="000000"/>
          <w:lang w:eastAsia="es-MX"/>
        </w:rPr>
        <w:t xml:space="preserve"> en la Ciudad de México y área metropolitana</w:t>
      </w:r>
      <w:r w:rsidR="001C2711" w:rsidRPr="005669F9">
        <w:rPr>
          <w:rFonts w:ascii="ITC Avant Garde" w:eastAsia="Calibri" w:hAnsi="ITC Avant Garde" w:cs="Times New Roman"/>
          <w:bCs/>
          <w:color w:val="000000"/>
          <w:lang w:eastAsia="es-MX"/>
        </w:rPr>
        <w:t xml:space="preserve"> (la “Concesión”)</w:t>
      </w:r>
      <w:r w:rsidR="000D28D6" w:rsidRPr="005669F9">
        <w:rPr>
          <w:rFonts w:ascii="ITC Avant Garde" w:eastAsia="Calibri" w:hAnsi="ITC Avant Garde" w:cs="Times New Roman"/>
          <w:bCs/>
          <w:color w:val="000000"/>
          <w:lang w:eastAsia="es-MX"/>
        </w:rPr>
        <w:t>.</w:t>
      </w:r>
    </w:p>
    <w:p w:rsidR="00C65132" w:rsidRPr="005669F9" w:rsidRDefault="00C65132" w:rsidP="005669F9">
      <w:pPr>
        <w:numPr>
          <w:ilvl w:val="0"/>
          <w:numId w:val="1"/>
        </w:numPr>
        <w:spacing w:before="240" w:line="276" w:lineRule="auto"/>
        <w:ind w:left="567" w:hanging="709"/>
        <w:jc w:val="both"/>
        <w:rPr>
          <w:rFonts w:ascii="ITC Avant Garde" w:eastAsia="Calibri" w:hAnsi="ITC Avant Garde" w:cs="Times New Roman"/>
          <w:bCs/>
          <w:color w:val="000000"/>
          <w:lang w:eastAsia="es-MX"/>
        </w:rPr>
      </w:pPr>
      <w:r w:rsidRPr="005669F9">
        <w:rPr>
          <w:rFonts w:ascii="ITC Avant Garde" w:eastAsia="Calibri" w:hAnsi="ITC Avant Garde" w:cs="Times New Roman"/>
          <w:b/>
          <w:bCs/>
          <w:color w:val="000000"/>
          <w:lang w:eastAsia="es-MX"/>
        </w:rPr>
        <w:t>Lineamientos para la prestación de servicios adicionales.</w:t>
      </w:r>
      <w:r w:rsidRPr="005669F9">
        <w:rPr>
          <w:rFonts w:ascii="ITC Avant Garde" w:eastAsia="Calibri" w:hAnsi="ITC Avant Garde" w:cs="Times New Roman"/>
          <w:bCs/>
          <w:color w:val="000000"/>
          <w:lang w:eastAsia="es-MX"/>
        </w:rPr>
        <w:t xml:space="preserve"> El 28 de mayo de 2014, el Instituto, en cumplimiento</w:t>
      </w:r>
      <w:r w:rsidRPr="005669F9">
        <w:rPr>
          <w:rFonts w:ascii="ITC Avant Garde" w:eastAsia="Calibri" w:hAnsi="ITC Avant Garde" w:cs="Times New Roman"/>
          <w:b/>
          <w:bCs/>
          <w:color w:val="000000"/>
          <w:lang w:eastAsia="es-MX"/>
        </w:rPr>
        <w:t xml:space="preserve"> </w:t>
      </w:r>
      <w:r w:rsidRPr="005669F9">
        <w:rPr>
          <w:rFonts w:ascii="ITC Avant Garde" w:eastAsia="Calibri" w:hAnsi="ITC Avant Garde" w:cs="Times New Roman"/>
          <w:bCs/>
          <w:color w:val="000000"/>
          <w:lang w:eastAsia="es-MX"/>
        </w:rPr>
        <w:t>a lo dispuesto en el tercer párrafo del artículo Cuarto Transitorio del Decreto de Reforma Constitucional, publicó en el Diario Oficial de la Federación el “Acuerdo mediante el cual el Pleno del Instituto Federal de Telecomunicaciones emite los Lineamientos generales que establecen los requisitos, términos y condiciones que los actuales concesionarios de radiodifusión, telecomunicaciones y telefonía deberán cumplir para que se les autorice la prestación de servicios adicionales a los que son objeto de su concesión” (los “Lineamientos”).</w:t>
      </w:r>
    </w:p>
    <w:p w:rsidR="005669F9" w:rsidRPr="005669F9" w:rsidRDefault="00C65132" w:rsidP="005669F9">
      <w:pPr>
        <w:numPr>
          <w:ilvl w:val="0"/>
          <w:numId w:val="1"/>
        </w:numPr>
        <w:spacing w:before="240" w:line="276" w:lineRule="auto"/>
        <w:ind w:left="567" w:hanging="709"/>
        <w:jc w:val="both"/>
        <w:rPr>
          <w:rFonts w:ascii="ITC Avant Garde" w:eastAsia="Calibri" w:hAnsi="ITC Avant Garde" w:cs="Times New Roman"/>
          <w:bCs/>
          <w:color w:val="000000"/>
          <w:lang w:eastAsia="es-MX"/>
        </w:rPr>
      </w:pPr>
      <w:r w:rsidRPr="005669F9">
        <w:rPr>
          <w:rFonts w:ascii="ITC Avant Garde" w:eastAsia="Calibri" w:hAnsi="ITC Avant Garde" w:cs="Times New Roman"/>
          <w:b/>
          <w:bCs/>
          <w:color w:val="000000" w:themeColor="text1"/>
          <w:lang w:eastAsia="es-MX"/>
        </w:rPr>
        <w:lastRenderedPageBreak/>
        <w:t xml:space="preserve">Decreto de Ley. </w:t>
      </w:r>
      <w:r w:rsidRPr="005669F9">
        <w:rPr>
          <w:rFonts w:ascii="ITC Avant Garde" w:eastAsia="Calibri" w:hAnsi="ITC Avant Garde" w:cs="Times New Roman"/>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5669F9" w:rsidRPr="005669F9" w:rsidRDefault="00C65132" w:rsidP="005669F9">
      <w:pPr>
        <w:numPr>
          <w:ilvl w:val="0"/>
          <w:numId w:val="1"/>
        </w:numPr>
        <w:spacing w:before="240" w:line="276" w:lineRule="auto"/>
        <w:ind w:left="567"/>
        <w:jc w:val="both"/>
        <w:rPr>
          <w:rFonts w:ascii="ITC Avant Garde" w:eastAsia="Calibri" w:hAnsi="ITC Avant Garde" w:cs="Times New Roman"/>
          <w:bCs/>
          <w:color w:val="000000"/>
          <w:lang w:eastAsia="es-MX"/>
        </w:rPr>
      </w:pPr>
      <w:r w:rsidRPr="005669F9">
        <w:rPr>
          <w:rFonts w:ascii="ITC Avant Garde" w:eastAsia="Calibri" w:hAnsi="ITC Avant Garde" w:cs="Arial"/>
          <w:b/>
          <w:bCs/>
          <w:color w:val="000000"/>
          <w:shd w:val="clear" w:color="auto" w:fill="FFFFFF"/>
        </w:rPr>
        <w:t>Estatuto Orgánico.</w:t>
      </w:r>
      <w:r w:rsidRPr="005669F9">
        <w:rPr>
          <w:rFonts w:ascii="ITC Avant Garde" w:eastAsia="Calibri" w:hAnsi="ITC Avant Garde" w:cs="Arial"/>
          <w:b/>
          <w:bCs/>
          <w:color w:val="000000"/>
          <w:sz w:val="16"/>
          <w:szCs w:val="16"/>
          <w:shd w:val="clear" w:color="auto" w:fill="FFFFFF"/>
        </w:rPr>
        <w:t xml:space="preserve"> </w:t>
      </w:r>
      <w:r w:rsidRPr="005669F9">
        <w:rPr>
          <w:rFonts w:ascii="ITC Avant Garde" w:eastAsia="Calibri" w:hAnsi="ITC Avant Garde" w:cs="Times New Roman"/>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por última vez el 17 de octubre de 2016.</w:t>
      </w:r>
    </w:p>
    <w:p w:rsidR="005669F9" w:rsidRPr="005669F9" w:rsidRDefault="000D28D6" w:rsidP="005669F9">
      <w:pPr>
        <w:numPr>
          <w:ilvl w:val="0"/>
          <w:numId w:val="1"/>
        </w:numPr>
        <w:spacing w:before="240" w:line="276" w:lineRule="auto"/>
        <w:ind w:left="567"/>
        <w:jc w:val="both"/>
        <w:rPr>
          <w:rFonts w:ascii="ITC Avant Garde" w:eastAsia="Calibri" w:hAnsi="ITC Avant Garde" w:cs="Times New Roman"/>
          <w:bCs/>
          <w:color w:val="000000"/>
          <w:lang w:eastAsia="es-MX"/>
        </w:rPr>
      </w:pPr>
      <w:r w:rsidRPr="005669F9">
        <w:rPr>
          <w:rFonts w:ascii="ITC Avant Garde" w:eastAsia="Calibri" w:hAnsi="ITC Avant Garde" w:cs="Arial"/>
          <w:b/>
          <w:bCs/>
          <w:color w:val="000000"/>
          <w:shd w:val="clear" w:color="auto" w:fill="FFFFFF"/>
        </w:rPr>
        <w:t>Solicitud de S</w:t>
      </w:r>
      <w:r w:rsidR="00660B68" w:rsidRPr="005669F9">
        <w:rPr>
          <w:rFonts w:ascii="ITC Avant Garde" w:eastAsia="Calibri" w:hAnsi="ITC Avant Garde" w:cs="Arial"/>
          <w:b/>
          <w:bCs/>
          <w:color w:val="000000"/>
          <w:shd w:val="clear" w:color="auto" w:fill="FFFFFF"/>
        </w:rPr>
        <w:t>ervicio Adicional</w:t>
      </w:r>
      <w:r w:rsidRPr="005669F9">
        <w:rPr>
          <w:rFonts w:ascii="ITC Avant Garde" w:eastAsia="Calibri" w:hAnsi="ITC Avant Garde" w:cs="Arial"/>
          <w:b/>
          <w:bCs/>
          <w:color w:val="000000"/>
          <w:shd w:val="clear" w:color="auto" w:fill="FFFFFF"/>
        </w:rPr>
        <w:t>.</w:t>
      </w:r>
      <w:r w:rsidRPr="005669F9">
        <w:rPr>
          <w:rFonts w:ascii="ITC Avant Garde" w:eastAsia="Calibri" w:hAnsi="ITC Avant Garde" w:cs="Times New Roman"/>
          <w:bCs/>
          <w:color w:val="000000"/>
          <w:lang w:eastAsia="es-MX"/>
        </w:rPr>
        <w:t xml:space="preserve"> </w:t>
      </w:r>
      <w:r w:rsidR="001C2711" w:rsidRPr="005669F9">
        <w:rPr>
          <w:rFonts w:ascii="ITC Avant Garde" w:eastAsia="Calibri" w:hAnsi="ITC Avant Garde" w:cs="Times New Roman"/>
          <w:bCs/>
          <w:color w:val="000000"/>
          <w:lang w:eastAsia="es-MX"/>
        </w:rPr>
        <w:t>Con fecha 8 de septiembre de 2014, MVS Multivisión S.A. de C.V. solicit</w:t>
      </w:r>
      <w:r w:rsidR="00B30740" w:rsidRPr="005669F9">
        <w:rPr>
          <w:rFonts w:ascii="ITC Avant Garde" w:eastAsia="Calibri" w:hAnsi="ITC Avant Garde" w:cs="Times New Roman"/>
          <w:bCs/>
          <w:color w:val="000000"/>
          <w:lang w:eastAsia="es-MX"/>
        </w:rPr>
        <w:t>ó al Instituto</w:t>
      </w:r>
      <w:r w:rsidR="00D761C7" w:rsidRPr="005669F9">
        <w:rPr>
          <w:rFonts w:ascii="ITC Avant Garde" w:eastAsia="Calibri" w:hAnsi="ITC Avant Garde" w:cs="Times New Roman"/>
          <w:bCs/>
          <w:color w:val="000000"/>
          <w:lang w:eastAsia="es-MX"/>
        </w:rPr>
        <w:t>, con respecto a la Concesión</w:t>
      </w:r>
      <w:r w:rsidR="001C2711" w:rsidRPr="005669F9">
        <w:rPr>
          <w:rFonts w:ascii="ITC Avant Garde" w:eastAsia="Calibri" w:hAnsi="ITC Avant Garde" w:cs="Times New Roman"/>
          <w:bCs/>
          <w:color w:val="000000"/>
          <w:lang w:eastAsia="es-MX"/>
        </w:rPr>
        <w:t>:</w:t>
      </w:r>
      <w:r w:rsidR="00947575" w:rsidRPr="005669F9">
        <w:rPr>
          <w:rFonts w:ascii="ITC Avant Garde" w:eastAsia="Calibri" w:hAnsi="ITC Avant Garde" w:cs="Times New Roman"/>
          <w:bCs/>
          <w:color w:val="000000"/>
          <w:lang w:eastAsia="es-MX"/>
        </w:rPr>
        <w:t xml:space="preserve"> “[…] i) autorización para la prestación del servicio adicional de televisión radiodifundida digital, así como de ii)</w:t>
      </w:r>
      <w:r w:rsidR="001C2711" w:rsidRPr="005669F9">
        <w:rPr>
          <w:rFonts w:ascii="ITC Avant Garde" w:eastAsia="Calibri" w:hAnsi="ITC Avant Garde" w:cs="Times New Roman"/>
          <w:bCs/>
          <w:color w:val="000000"/>
          <w:lang w:eastAsia="es-MX"/>
        </w:rPr>
        <w:t xml:space="preserve"> modificación de</w:t>
      </w:r>
      <w:r w:rsidR="00947575" w:rsidRPr="005669F9">
        <w:rPr>
          <w:rFonts w:ascii="ITC Avant Garde" w:eastAsia="Calibri" w:hAnsi="ITC Avant Garde" w:cs="Times New Roman"/>
          <w:bCs/>
          <w:color w:val="000000"/>
          <w:lang w:eastAsia="es-MX"/>
        </w:rPr>
        <w:t>l título de concesión para eliminar la restricción respecto a la prestación de dicho servicio</w:t>
      </w:r>
      <w:r w:rsidR="00AB1D83" w:rsidRPr="005669F9">
        <w:rPr>
          <w:rFonts w:ascii="ITC Avant Garde" w:eastAsia="Calibri" w:hAnsi="ITC Avant Garde" w:cs="Times New Roman"/>
          <w:bCs/>
          <w:color w:val="000000"/>
          <w:lang w:eastAsia="es-MX"/>
        </w:rPr>
        <w:t>.</w:t>
      </w:r>
      <w:r w:rsidR="00947575" w:rsidRPr="005669F9">
        <w:rPr>
          <w:rFonts w:ascii="ITC Avant Garde" w:eastAsia="Calibri" w:hAnsi="ITC Avant Garde" w:cs="Times New Roman"/>
          <w:bCs/>
          <w:color w:val="000000"/>
          <w:lang w:eastAsia="es-MX"/>
        </w:rPr>
        <w:t>”</w:t>
      </w:r>
      <w:r w:rsidR="001C2711" w:rsidRPr="005669F9">
        <w:rPr>
          <w:rFonts w:ascii="ITC Avant Garde" w:eastAsia="Calibri" w:hAnsi="ITC Avant Garde" w:cs="Times New Roman"/>
          <w:bCs/>
          <w:color w:val="000000"/>
          <w:lang w:eastAsia="es-MX"/>
        </w:rPr>
        <w:t xml:space="preserve"> </w:t>
      </w:r>
      <w:r w:rsidR="00710A71" w:rsidRPr="005669F9">
        <w:rPr>
          <w:rFonts w:ascii="ITC Avant Garde" w:eastAsia="Calibri" w:hAnsi="ITC Avant Garde" w:cs="Times New Roman"/>
          <w:bCs/>
          <w:color w:val="000000"/>
          <w:lang w:eastAsia="es-MX"/>
        </w:rPr>
        <w:t>(</w:t>
      </w:r>
      <w:r w:rsidR="001C2711" w:rsidRPr="005669F9">
        <w:rPr>
          <w:rFonts w:ascii="ITC Avant Garde" w:eastAsia="Calibri" w:hAnsi="ITC Avant Garde" w:cs="Times New Roman"/>
          <w:bCs/>
          <w:color w:val="000000"/>
          <w:lang w:eastAsia="es-MX"/>
        </w:rPr>
        <w:t>la “Solicitud de Servicio Adicional”).</w:t>
      </w:r>
    </w:p>
    <w:p w:rsidR="005669F9" w:rsidRPr="005669F9" w:rsidRDefault="000D28D6" w:rsidP="005669F9">
      <w:pPr>
        <w:numPr>
          <w:ilvl w:val="0"/>
          <w:numId w:val="1"/>
        </w:numPr>
        <w:spacing w:before="240" w:line="276" w:lineRule="auto"/>
        <w:ind w:left="567"/>
        <w:jc w:val="both"/>
        <w:rPr>
          <w:rFonts w:ascii="ITC Avant Garde" w:eastAsia="Calibri" w:hAnsi="ITC Avant Garde" w:cs="Times New Roman"/>
          <w:bCs/>
          <w:color w:val="000000"/>
          <w:lang w:eastAsia="es-MX"/>
        </w:rPr>
      </w:pPr>
      <w:r w:rsidRPr="005669F9">
        <w:rPr>
          <w:rFonts w:ascii="ITC Avant Garde" w:eastAsia="Calibri" w:hAnsi="ITC Avant Garde" w:cs="Arial"/>
          <w:b/>
          <w:bCs/>
          <w:color w:val="000000"/>
          <w:shd w:val="clear" w:color="auto" w:fill="FFFFFF"/>
        </w:rPr>
        <w:t xml:space="preserve">Resolución de </w:t>
      </w:r>
      <w:r w:rsidR="00710A71" w:rsidRPr="005669F9">
        <w:rPr>
          <w:rFonts w:ascii="ITC Avant Garde" w:eastAsia="Calibri" w:hAnsi="ITC Avant Garde" w:cs="Arial"/>
          <w:b/>
          <w:bCs/>
          <w:color w:val="000000"/>
          <w:shd w:val="clear" w:color="auto" w:fill="FFFFFF"/>
        </w:rPr>
        <w:t>S</w:t>
      </w:r>
      <w:r w:rsidR="00660B68" w:rsidRPr="005669F9">
        <w:rPr>
          <w:rFonts w:ascii="ITC Avant Garde" w:eastAsia="Calibri" w:hAnsi="ITC Avant Garde" w:cs="Arial"/>
          <w:b/>
          <w:bCs/>
          <w:color w:val="000000"/>
          <w:shd w:val="clear" w:color="auto" w:fill="FFFFFF"/>
        </w:rPr>
        <w:t>ervicio Adicional</w:t>
      </w:r>
      <w:r w:rsidRPr="005669F9">
        <w:rPr>
          <w:rFonts w:ascii="ITC Avant Garde" w:eastAsia="Calibri" w:hAnsi="ITC Avant Garde" w:cs="Arial"/>
          <w:b/>
          <w:bCs/>
          <w:color w:val="000000"/>
          <w:shd w:val="clear" w:color="auto" w:fill="FFFFFF"/>
        </w:rPr>
        <w:t>.</w:t>
      </w:r>
      <w:r w:rsidRPr="005669F9">
        <w:rPr>
          <w:rFonts w:ascii="ITC Avant Garde" w:eastAsia="Calibri" w:hAnsi="ITC Avant Garde" w:cs="Times New Roman"/>
          <w:bCs/>
          <w:color w:val="000000"/>
          <w:lang w:eastAsia="es-MX"/>
        </w:rPr>
        <w:t xml:space="preserve"> El 7 de noviembre de 2014, el Pleno del Instituto aprobó el Acuerdo P/IFT/EXT/071114/214, mediante el cual declaró improcedente la </w:t>
      </w:r>
      <w:r w:rsidR="00710A71" w:rsidRPr="005669F9">
        <w:rPr>
          <w:rFonts w:ascii="ITC Avant Garde" w:eastAsia="Calibri" w:hAnsi="ITC Avant Garde" w:cs="Times New Roman"/>
          <w:bCs/>
          <w:color w:val="000000"/>
          <w:lang w:eastAsia="es-MX"/>
        </w:rPr>
        <w:t xml:space="preserve">Solicitud de Servicio </w:t>
      </w:r>
      <w:r w:rsidR="00660B68" w:rsidRPr="005669F9">
        <w:rPr>
          <w:rFonts w:ascii="ITC Avant Garde" w:eastAsia="Calibri" w:hAnsi="ITC Avant Garde" w:cs="Times New Roman"/>
          <w:bCs/>
          <w:color w:val="000000"/>
          <w:lang w:eastAsia="es-MX"/>
        </w:rPr>
        <w:t>Adicional</w:t>
      </w:r>
      <w:r w:rsidR="00710A71" w:rsidRPr="005669F9">
        <w:rPr>
          <w:rFonts w:ascii="ITC Avant Garde" w:eastAsia="Calibri" w:hAnsi="ITC Avant Garde" w:cs="Times New Roman"/>
          <w:bCs/>
          <w:color w:val="000000"/>
          <w:lang w:eastAsia="es-MX"/>
        </w:rPr>
        <w:t xml:space="preserve"> (la “Resolución de S</w:t>
      </w:r>
      <w:r w:rsidR="00660B68" w:rsidRPr="005669F9">
        <w:rPr>
          <w:rFonts w:ascii="ITC Avant Garde" w:eastAsia="Calibri" w:hAnsi="ITC Avant Garde" w:cs="Times New Roman"/>
          <w:bCs/>
          <w:color w:val="000000"/>
          <w:lang w:eastAsia="es-MX"/>
        </w:rPr>
        <w:t>ervicio Adicional</w:t>
      </w:r>
      <w:r w:rsidR="00710A71" w:rsidRPr="005669F9">
        <w:rPr>
          <w:rFonts w:ascii="ITC Avant Garde" w:eastAsia="Calibri" w:hAnsi="ITC Avant Garde" w:cs="Times New Roman"/>
          <w:bCs/>
          <w:color w:val="000000"/>
          <w:lang w:eastAsia="es-MX"/>
        </w:rPr>
        <w:t>”)</w:t>
      </w:r>
      <w:r w:rsidRPr="005669F9">
        <w:rPr>
          <w:rFonts w:ascii="ITC Avant Garde" w:eastAsia="Calibri" w:hAnsi="ITC Avant Garde" w:cs="Times New Roman"/>
          <w:bCs/>
          <w:color w:val="000000"/>
          <w:lang w:eastAsia="es-MX"/>
        </w:rPr>
        <w:t>.</w:t>
      </w:r>
    </w:p>
    <w:p w:rsidR="005669F9" w:rsidRPr="005669F9" w:rsidRDefault="00546DFC" w:rsidP="005669F9">
      <w:pPr>
        <w:numPr>
          <w:ilvl w:val="0"/>
          <w:numId w:val="1"/>
        </w:numPr>
        <w:spacing w:before="240" w:line="276" w:lineRule="auto"/>
        <w:ind w:left="567"/>
        <w:jc w:val="both"/>
        <w:rPr>
          <w:rFonts w:ascii="ITC Avant Garde" w:eastAsia="Calibri" w:hAnsi="ITC Avant Garde" w:cs="Times New Roman"/>
          <w:bCs/>
          <w:color w:val="000000"/>
          <w:lang w:eastAsia="es-MX"/>
        </w:rPr>
      </w:pPr>
      <w:r w:rsidRPr="005669F9">
        <w:rPr>
          <w:rFonts w:ascii="ITC Avant Garde" w:eastAsia="Calibri" w:hAnsi="ITC Avant Garde" w:cs="Arial"/>
          <w:b/>
          <w:bCs/>
          <w:color w:val="000000"/>
          <w:shd w:val="clear" w:color="auto" w:fill="FFFFFF"/>
        </w:rPr>
        <w:t xml:space="preserve">Amparo </w:t>
      </w:r>
      <w:r w:rsidR="009F4B9A" w:rsidRPr="005669F9">
        <w:rPr>
          <w:rFonts w:ascii="ITC Avant Garde" w:eastAsia="Calibri" w:hAnsi="ITC Avant Garde" w:cs="Arial"/>
          <w:b/>
          <w:bCs/>
          <w:color w:val="000000"/>
          <w:shd w:val="clear" w:color="auto" w:fill="FFFFFF"/>
        </w:rPr>
        <w:t>en R</w:t>
      </w:r>
      <w:r w:rsidRPr="005669F9">
        <w:rPr>
          <w:rFonts w:ascii="ITC Avant Garde" w:eastAsia="Calibri" w:hAnsi="ITC Avant Garde" w:cs="Arial"/>
          <w:b/>
          <w:bCs/>
          <w:color w:val="000000"/>
          <w:shd w:val="clear" w:color="auto" w:fill="FFFFFF"/>
        </w:rPr>
        <w:t>evisión R.</w:t>
      </w:r>
      <w:r w:rsidRPr="005669F9">
        <w:rPr>
          <w:rFonts w:ascii="ITC Avant Garde" w:eastAsia="Calibri" w:hAnsi="ITC Avant Garde" w:cs="Times New Roman"/>
          <w:b/>
          <w:bCs/>
          <w:color w:val="000000"/>
          <w:lang w:eastAsia="es-MX"/>
        </w:rPr>
        <w:t>A. 300/2016.</w:t>
      </w:r>
      <w:r w:rsidRPr="005669F9">
        <w:rPr>
          <w:rFonts w:ascii="ITC Avant Garde" w:eastAsia="Calibri" w:hAnsi="ITC Avant Garde" w:cs="Times New Roman"/>
          <w:bCs/>
          <w:color w:val="000000"/>
          <w:lang w:eastAsia="es-MX"/>
        </w:rPr>
        <w:t xml:space="preserve"> Mediante escrito presentado el 2 de diciembre de 2014 en la Oficialía de Correspondencia Común de los Juzgados de Distrito y Tribunales Colegiados en Materia Administrativa Especializados en Competencia Económica, Radiodifusión y Telecomunicaciones del Centro Auxiliar de la Primera Región, el representante legal de MVS Multivisión, S.A. de C.V., solicitó el amparo y protección de la Justicia de la Unión en contra de la Resolución de Servicio Adicional.</w:t>
      </w:r>
    </w:p>
    <w:p w:rsidR="005669F9" w:rsidRPr="005669F9" w:rsidRDefault="00710A71" w:rsidP="005669F9">
      <w:pPr>
        <w:numPr>
          <w:ilvl w:val="0"/>
          <w:numId w:val="1"/>
        </w:numPr>
        <w:spacing w:before="240" w:line="276" w:lineRule="auto"/>
        <w:ind w:left="567"/>
        <w:jc w:val="both"/>
        <w:rPr>
          <w:rFonts w:ascii="ITC Avant Garde" w:eastAsia="Calibri" w:hAnsi="ITC Avant Garde" w:cs="Times New Roman"/>
          <w:bCs/>
          <w:color w:val="000000"/>
          <w:lang w:eastAsia="es-MX"/>
        </w:rPr>
      </w:pPr>
      <w:r w:rsidRPr="005669F9">
        <w:rPr>
          <w:rFonts w:ascii="ITC Avant Garde" w:eastAsia="Calibri" w:hAnsi="ITC Avant Garde" w:cs="Arial"/>
          <w:b/>
          <w:bCs/>
          <w:color w:val="000000"/>
          <w:shd w:val="clear" w:color="auto" w:fill="FFFFFF"/>
        </w:rPr>
        <w:t>Cesión de Derechos y Obligaciones.</w:t>
      </w:r>
      <w:r w:rsidRPr="005669F9">
        <w:rPr>
          <w:rFonts w:ascii="ITC Avant Garde" w:eastAsia="Calibri" w:hAnsi="ITC Avant Garde" w:cs="Times New Roman"/>
          <w:bCs/>
          <w:color w:val="000000"/>
          <w:lang w:eastAsia="es-MX"/>
        </w:rPr>
        <w:t xml:space="preserve"> </w:t>
      </w:r>
      <w:r w:rsidR="00FC7CC7" w:rsidRPr="005669F9">
        <w:rPr>
          <w:rFonts w:ascii="ITC Avant Garde" w:eastAsia="Calibri" w:hAnsi="ITC Avant Garde" w:cs="Times New Roman"/>
          <w:bCs/>
          <w:color w:val="000000"/>
          <w:lang w:eastAsia="es-MX"/>
        </w:rPr>
        <w:t xml:space="preserve">El 28 de mayo de 2015, mediante número de inscripción 009767, se inscribió en el Registro Público de Concesiones la cesión de los derechos y obligaciones derivados de la Concesión, por restructura corporativa dentro del mismo grupo de control o agente económico, a favor de la empresa </w:t>
      </w:r>
      <w:proofErr w:type="spellStart"/>
      <w:r w:rsidR="00FC7CC7" w:rsidRPr="005669F9">
        <w:rPr>
          <w:rFonts w:ascii="ITC Avant Garde" w:eastAsia="Calibri" w:hAnsi="ITC Avant Garde" w:cs="Times New Roman"/>
          <w:bCs/>
          <w:color w:val="000000"/>
          <w:lang w:eastAsia="es-MX"/>
        </w:rPr>
        <w:t>Comband</w:t>
      </w:r>
      <w:proofErr w:type="spellEnd"/>
      <w:r w:rsidR="00FC7CC7" w:rsidRPr="005669F9">
        <w:rPr>
          <w:rFonts w:ascii="ITC Avant Garde" w:eastAsia="Calibri" w:hAnsi="ITC Avant Garde" w:cs="Times New Roman"/>
          <w:bCs/>
          <w:color w:val="000000"/>
          <w:lang w:eastAsia="es-MX"/>
        </w:rPr>
        <w:t>, S.A. de C.V. (“</w:t>
      </w:r>
      <w:proofErr w:type="spellStart"/>
      <w:r w:rsidR="00FC7CC7" w:rsidRPr="005669F9">
        <w:rPr>
          <w:rFonts w:ascii="ITC Avant Garde" w:eastAsia="Calibri" w:hAnsi="ITC Avant Garde" w:cs="Times New Roman"/>
          <w:bCs/>
          <w:color w:val="000000"/>
          <w:lang w:eastAsia="es-MX"/>
        </w:rPr>
        <w:t>Comband</w:t>
      </w:r>
      <w:proofErr w:type="spellEnd"/>
      <w:r w:rsidR="00FC7CC7" w:rsidRPr="005669F9">
        <w:rPr>
          <w:rFonts w:ascii="ITC Avant Garde" w:eastAsia="Calibri" w:hAnsi="ITC Avant Garde" w:cs="Times New Roman"/>
          <w:bCs/>
          <w:color w:val="000000"/>
          <w:lang w:eastAsia="es-MX"/>
        </w:rPr>
        <w:t>”).</w:t>
      </w:r>
    </w:p>
    <w:p w:rsidR="005669F9" w:rsidRPr="005669F9" w:rsidRDefault="000304CD" w:rsidP="005669F9">
      <w:pPr>
        <w:numPr>
          <w:ilvl w:val="0"/>
          <w:numId w:val="1"/>
        </w:numPr>
        <w:spacing w:before="240" w:line="276" w:lineRule="auto"/>
        <w:ind w:left="567"/>
        <w:jc w:val="both"/>
        <w:rPr>
          <w:rFonts w:ascii="ITC Avant Garde" w:eastAsia="Calibri" w:hAnsi="ITC Avant Garde" w:cs="Times New Roman"/>
          <w:bCs/>
          <w:color w:val="000000"/>
          <w:lang w:eastAsia="es-MX"/>
        </w:rPr>
      </w:pPr>
      <w:r w:rsidRPr="005669F9">
        <w:rPr>
          <w:rFonts w:ascii="ITC Avant Garde" w:eastAsia="Calibri" w:hAnsi="ITC Avant Garde" w:cs="Arial"/>
          <w:b/>
          <w:bCs/>
          <w:color w:val="000000"/>
          <w:shd w:val="clear" w:color="auto" w:fill="FFFFFF"/>
        </w:rPr>
        <w:t xml:space="preserve">Manifestaciones de </w:t>
      </w:r>
      <w:proofErr w:type="spellStart"/>
      <w:r w:rsidRPr="005669F9">
        <w:rPr>
          <w:rFonts w:ascii="ITC Avant Garde" w:eastAsia="Calibri" w:hAnsi="ITC Avant Garde" w:cs="Arial"/>
          <w:b/>
          <w:bCs/>
          <w:color w:val="000000"/>
          <w:shd w:val="clear" w:color="auto" w:fill="FFFFFF"/>
        </w:rPr>
        <w:t>Comband</w:t>
      </w:r>
      <w:proofErr w:type="spellEnd"/>
      <w:r w:rsidRPr="005669F9">
        <w:rPr>
          <w:rFonts w:ascii="ITC Avant Garde" w:eastAsia="Calibri" w:hAnsi="ITC Avant Garde" w:cs="Arial"/>
          <w:b/>
          <w:bCs/>
          <w:color w:val="000000"/>
          <w:shd w:val="clear" w:color="auto" w:fill="FFFFFF"/>
        </w:rPr>
        <w:t xml:space="preserve"> en relación con la Concesión.</w:t>
      </w:r>
      <w:r w:rsidRPr="005669F9">
        <w:rPr>
          <w:rFonts w:ascii="ITC Avant Garde" w:eastAsia="Calibri" w:hAnsi="ITC Avant Garde" w:cs="Times New Roman"/>
          <w:bCs/>
          <w:color w:val="000000"/>
          <w:lang w:eastAsia="es-MX"/>
        </w:rPr>
        <w:t xml:space="preserve"> El 2 de septiembre de 2016, el representante legal de </w:t>
      </w:r>
      <w:proofErr w:type="spellStart"/>
      <w:r w:rsidRPr="005669F9">
        <w:rPr>
          <w:rFonts w:ascii="ITC Avant Garde" w:eastAsia="Calibri" w:hAnsi="ITC Avant Garde" w:cs="Times New Roman"/>
          <w:bCs/>
          <w:color w:val="000000"/>
          <w:lang w:eastAsia="es-MX"/>
        </w:rPr>
        <w:t>Comband</w:t>
      </w:r>
      <w:proofErr w:type="spellEnd"/>
      <w:r w:rsidRPr="005669F9">
        <w:rPr>
          <w:rFonts w:ascii="ITC Avant Garde" w:eastAsia="Calibri" w:hAnsi="ITC Avant Garde" w:cs="Times New Roman"/>
          <w:bCs/>
          <w:color w:val="000000"/>
          <w:lang w:eastAsia="es-MX"/>
        </w:rPr>
        <w:t xml:space="preserve">, presentó ante el Instituto un escrito </w:t>
      </w:r>
      <w:r w:rsidRPr="005669F9">
        <w:rPr>
          <w:rFonts w:ascii="ITC Avant Garde" w:eastAsia="Calibri" w:hAnsi="ITC Avant Garde" w:cs="Times New Roman"/>
          <w:bCs/>
          <w:color w:val="000000"/>
          <w:lang w:eastAsia="es-MX"/>
        </w:rPr>
        <w:lastRenderedPageBreak/>
        <w:t xml:space="preserve">en el que realizó diversas manifestaciones </w:t>
      </w:r>
      <w:r w:rsidR="00AB1D83" w:rsidRPr="005669F9">
        <w:rPr>
          <w:rFonts w:ascii="ITC Avant Garde" w:eastAsia="Calibri" w:hAnsi="ITC Avant Garde" w:cs="Times New Roman"/>
          <w:bCs/>
          <w:color w:val="000000"/>
          <w:lang w:eastAsia="es-MX"/>
        </w:rPr>
        <w:t>con</w:t>
      </w:r>
      <w:r w:rsidRPr="005669F9">
        <w:rPr>
          <w:rFonts w:ascii="ITC Avant Garde" w:eastAsia="Calibri" w:hAnsi="ITC Avant Garde" w:cs="Times New Roman"/>
          <w:bCs/>
          <w:color w:val="000000"/>
          <w:lang w:eastAsia="es-MX"/>
        </w:rPr>
        <w:t xml:space="preserve"> relación </w:t>
      </w:r>
      <w:r w:rsidR="00AB1D83" w:rsidRPr="005669F9">
        <w:rPr>
          <w:rFonts w:ascii="ITC Avant Garde" w:eastAsia="Calibri" w:hAnsi="ITC Avant Garde" w:cs="Times New Roman"/>
          <w:bCs/>
          <w:color w:val="000000"/>
          <w:lang w:eastAsia="es-MX"/>
        </w:rPr>
        <w:t>a</w:t>
      </w:r>
      <w:r w:rsidRPr="005669F9">
        <w:rPr>
          <w:rFonts w:ascii="ITC Avant Garde" w:eastAsia="Calibri" w:hAnsi="ITC Avant Garde" w:cs="Times New Roman"/>
          <w:bCs/>
          <w:color w:val="000000"/>
          <w:lang w:eastAsia="es-MX"/>
        </w:rPr>
        <w:t xml:space="preserve"> la Concesión</w:t>
      </w:r>
      <w:r w:rsidR="009F4B9A" w:rsidRPr="005669F9">
        <w:rPr>
          <w:rFonts w:ascii="ITC Avant Garde" w:eastAsia="Calibri" w:hAnsi="ITC Avant Garde" w:cs="Times New Roman"/>
          <w:bCs/>
          <w:color w:val="000000"/>
          <w:lang w:eastAsia="es-MX"/>
        </w:rPr>
        <w:t xml:space="preserve"> </w:t>
      </w:r>
      <w:r w:rsidR="00AB1D83" w:rsidRPr="005669F9">
        <w:rPr>
          <w:rFonts w:ascii="ITC Avant Garde" w:eastAsia="Calibri" w:hAnsi="ITC Avant Garde" w:cs="Times New Roman"/>
          <w:bCs/>
          <w:color w:val="000000"/>
          <w:lang w:eastAsia="es-MX"/>
        </w:rPr>
        <w:t>y a</w:t>
      </w:r>
      <w:r w:rsidRPr="005669F9">
        <w:rPr>
          <w:rFonts w:ascii="ITC Avant Garde" w:eastAsia="Calibri" w:hAnsi="ITC Avant Garde" w:cs="Times New Roman"/>
          <w:bCs/>
          <w:color w:val="000000"/>
          <w:lang w:eastAsia="es-MX"/>
        </w:rPr>
        <w:t xml:space="preserve">l </w:t>
      </w:r>
      <w:r w:rsidR="009F4B9A" w:rsidRPr="005669F9">
        <w:rPr>
          <w:rFonts w:ascii="ITC Avant Garde" w:eastAsia="Calibri" w:hAnsi="ITC Avant Garde" w:cs="Arial"/>
          <w:bCs/>
          <w:color w:val="000000"/>
          <w:shd w:val="clear" w:color="auto" w:fill="FFFFFF"/>
        </w:rPr>
        <w:t>Amparo en R</w:t>
      </w:r>
      <w:r w:rsidR="003145A3" w:rsidRPr="005669F9">
        <w:rPr>
          <w:rFonts w:ascii="ITC Avant Garde" w:eastAsia="Calibri" w:hAnsi="ITC Avant Garde" w:cs="Arial"/>
          <w:bCs/>
          <w:color w:val="000000"/>
          <w:shd w:val="clear" w:color="auto" w:fill="FFFFFF"/>
        </w:rPr>
        <w:t>evisión R.</w:t>
      </w:r>
      <w:r w:rsidR="003145A3" w:rsidRPr="005669F9">
        <w:rPr>
          <w:rFonts w:ascii="ITC Avant Garde" w:eastAsia="Calibri" w:hAnsi="ITC Avant Garde" w:cs="Times New Roman"/>
          <w:bCs/>
          <w:color w:val="000000"/>
          <w:lang w:eastAsia="es-MX"/>
        </w:rPr>
        <w:t>A. 300/2016.</w:t>
      </w:r>
    </w:p>
    <w:p w:rsidR="005669F9" w:rsidRPr="005669F9" w:rsidRDefault="00856D33" w:rsidP="005669F9">
      <w:pPr>
        <w:numPr>
          <w:ilvl w:val="0"/>
          <w:numId w:val="1"/>
        </w:numPr>
        <w:spacing w:before="240" w:line="276" w:lineRule="auto"/>
        <w:ind w:left="567"/>
        <w:jc w:val="both"/>
        <w:rPr>
          <w:rFonts w:ascii="ITC Avant Garde" w:eastAsia="Calibri" w:hAnsi="ITC Avant Garde" w:cs="Times New Roman"/>
          <w:bCs/>
          <w:color w:val="000000"/>
          <w:lang w:eastAsia="es-MX"/>
        </w:rPr>
      </w:pPr>
      <w:r w:rsidRPr="005669F9">
        <w:rPr>
          <w:rFonts w:ascii="ITC Avant Garde" w:eastAsia="Calibri" w:hAnsi="ITC Avant Garde" w:cs="Arial"/>
          <w:b/>
          <w:bCs/>
          <w:color w:val="000000"/>
          <w:shd w:val="clear" w:color="auto" w:fill="FFFFFF"/>
        </w:rPr>
        <w:t xml:space="preserve">Sentencia </w:t>
      </w:r>
      <w:r w:rsidR="009F58F3" w:rsidRPr="005669F9">
        <w:rPr>
          <w:rFonts w:ascii="ITC Avant Garde" w:eastAsia="Calibri" w:hAnsi="ITC Avant Garde" w:cs="Arial"/>
          <w:b/>
          <w:bCs/>
          <w:color w:val="000000"/>
          <w:shd w:val="clear" w:color="auto" w:fill="FFFFFF"/>
        </w:rPr>
        <w:t xml:space="preserve">dictada </w:t>
      </w:r>
      <w:r w:rsidRPr="005669F9">
        <w:rPr>
          <w:rFonts w:ascii="ITC Avant Garde" w:eastAsia="Calibri" w:hAnsi="ITC Avant Garde" w:cs="Arial"/>
          <w:b/>
          <w:bCs/>
          <w:color w:val="000000"/>
          <w:shd w:val="clear" w:color="auto" w:fill="FFFFFF"/>
        </w:rPr>
        <w:t>en el</w:t>
      </w:r>
      <w:r w:rsidR="009F58F3" w:rsidRPr="005669F9">
        <w:rPr>
          <w:rFonts w:ascii="ITC Avant Garde" w:eastAsia="Calibri" w:hAnsi="ITC Avant Garde" w:cs="Arial"/>
          <w:b/>
          <w:bCs/>
          <w:color w:val="000000"/>
          <w:shd w:val="clear" w:color="auto" w:fill="FFFFFF"/>
        </w:rPr>
        <w:t xml:space="preserve"> Amparo </w:t>
      </w:r>
      <w:r w:rsidR="009F4B9A" w:rsidRPr="005669F9">
        <w:rPr>
          <w:rFonts w:ascii="ITC Avant Garde" w:eastAsia="Calibri" w:hAnsi="ITC Avant Garde" w:cs="Arial"/>
          <w:b/>
          <w:bCs/>
          <w:color w:val="000000"/>
          <w:shd w:val="clear" w:color="auto" w:fill="FFFFFF"/>
        </w:rPr>
        <w:t>en R</w:t>
      </w:r>
      <w:r w:rsidR="009F58F3" w:rsidRPr="005669F9">
        <w:rPr>
          <w:rFonts w:ascii="ITC Avant Garde" w:eastAsia="Calibri" w:hAnsi="ITC Avant Garde" w:cs="Arial"/>
          <w:b/>
          <w:bCs/>
          <w:color w:val="000000"/>
          <w:shd w:val="clear" w:color="auto" w:fill="FFFFFF"/>
        </w:rPr>
        <w:t>evisión R.</w:t>
      </w:r>
      <w:r w:rsidR="009F58F3" w:rsidRPr="005669F9">
        <w:rPr>
          <w:rFonts w:ascii="ITC Avant Garde" w:eastAsia="Calibri" w:hAnsi="ITC Avant Garde" w:cs="Times New Roman"/>
          <w:b/>
          <w:bCs/>
          <w:color w:val="000000"/>
          <w:lang w:eastAsia="es-MX"/>
        </w:rPr>
        <w:t>A. 300/2016.</w:t>
      </w:r>
      <w:r w:rsidR="006C787B" w:rsidRPr="005669F9">
        <w:rPr>
          <w:rFonts w:ascii="ITC Avant Garde" w:eastAsia="Calibri" w:hAnsi="ITC Avant Garde" w:cs="Arial"/>
          <w:b/>
          <w:bCs/>
          <w:color w:val="000000"/>
          <w:shd w:val="clear" w:color="auto" w:fill="FFFFFF"/>
        </w:rPr>
        <w:t xml:space="preserve"> </w:t>
      </w:r>
      <w:r w:rsidR="009F58F3" w:rsidRPr="005669F9">
        <w:rPr>
          <w:rFonts w:ascii="ITC Avant Garde" w:eastAsia="Calibri" w:hAnsi="ITC Avant Garde" w:cs="Arial"/>
          <w:bCs/>
          <w:color w:val="000000"/>
          <w:shd w:val="clear" w:color="auto" w:fill="FFFFFF"/>
        </w:rPr>
        <w:t xml:space="preserve">El 10 de febrero de 2017, se recibió en el Instituto el proveído de fecha 8 de febrero del mismo año, mediante el cual la </w:t>
      </w:r>
      <w:r w:rsidR="009F4B9A" w:rsidRPr="005669F9">
        <w:rPr>
          <w:rFonts w:ascii="ITC Avant Garde" w:eastAsia="Calibri" w:hAnsi="ITC Avant Garde" w:cs="Arial"/>
          <w:bCs/>
          <w:color w:val="000000"/>
          <w:shd w:val="clear" w:color="auto" w:fill="FFFFFF"/>
        </w:rPr>
        <w:t>J</w:t>
      </w:r>
      <w:r w:rsidRPr="005669F9">
        <w:rPr>
          <w:rFonts w:ascii="ITC Avant Garde" w:eastAsia="Calibri" w:hAnsi="ITC Avant Garde" w:cs="Arial"/>
          <w:bCs/>
          <w:color w:val="000000"/>
          <w:shd w:val="clear" w:color="auto" w:fill="FFFFFF"/>
        </w:rPr>
        <w:t>uez Primero de Distrito en Materia Administrativa especializado en Competencia Económica, Radiodifusión y Telecomunicaciones</w:t>
      </w:r>
      <w:r w:rsidR="009F58F3" w:rsidRPr="005669F9">
        <w:rPr>
          <w:rFonts w:ascii="ITC Avant Garde" w:eastAsia="Calibri" w:hAnsi="ITC Avant Garde" w:cs="Arial"/>
          <w:bCs/>
          <w:color w:val="000000"/>
          <w:shd w:val="clear" w:color="auto" w:fill="FFFFFF"/>
        </w:rPr>
        <w:t xml:space="preserve"> </w:t>
      </w:r>
      <w:r w:rsidRPr="005669F9">
        <w:rPr>
          <w:rFonts w:ascii="ITC Avant Garde" w:eastAsia="Calibri" w:hAnsi="ITC Avant Garde" w:cs="Arial"/>
          <w:bCs/>
          <w:color w:val="000000"/>
          <w:shd w:val="clear" w:color="auto" w:fill="FFFFFF"/>
        </w:rPr>
        <w:t xml:space="preserve">remite copia de la </w:t>
      </w:r>
      <w:r w:rsidR="009F58F3" w:rsidRPr="005669F9">
        <w:rPr>
          <w:rFonts w:ascii="ITC Avant Garde" w:eastAsia="Calibri" w:hAnsi="ITC Avant Garde" w:cs="Arial"/>
          <w:bCs/>
          <w:color w:val="000000"/>
          <w:shd w:val="clear" w:color="auto" w:fill="FFFFFF"/>
        </w:rPr>
        <w:t>ejecutoria dictada en el amparo en revisió</w:t>
      </w:r>
      <w:r w:rsidR="009F4B9A" w:rsidRPr="005669F9">
        <w:rPr>
          <w:rFonts w:ascii="ITC Avant Garde" w:eastAsia="Calibri" w:hAnsi="ITC Avant Garde" w:cs="Arial"/>
          <w:bCs/>
          <w:color w:val="000000"/>
          <w:shd w:val="clear" w:color="auto" w:fill="FFFFFF"/>
        </w:rPr>
        <w:t>n R.A. 300/2016</w:t>
      </w:r>
      <w:r w:rsidRPr="005669F9">
        <w:rPr>
          <w:rFonts w:ascii="ITC Avant Garde" w:eastAsia="Calibri" w:hAnsi="ITC Avant Garde" w:cs="Arial"/>
          <w:bCs/>
          <w:color w:val="000000"/>
          <w:shd w:val="clear" w:color="auto" w:fill="FFFFFF"/>
        </w:rPr>
        <w:t xml:space="preserve"> emitida por la Segunda Sala de la Suprema Corte de Justicia de la Nación</w:t>
      </w:r>
      <w:r w:rsidR="009F4B9A" w:rsidRPr="005669F9">
        <w:rPr>
          <w:rFonts w:ascii="ITC Avant Garde" w:eastAsia="Calibri" w:hAnsi="ITC Avant Garde" w:cs="Arial"/>
          <w:bCs/>
          <w:color w:val="000000"/>
          <w:shd w:val="clear" w:color="auto" w:fill="FFFFFF"/>
        </w:rPr>
        <w:t>, misma que entre otros aspectos resolvió</w:t>
      </w:r>
      <w:r w:rsidRPr="005669F9">
        <w:rPr>
          <w:rFonts w:ascii="ITC Avant Garde" w:eastAsia="Calibri" w:hAnsi="ITC Avant Garde" w:cs="Arial"/>
          <w:bCs/>
          <w:color w:val="000000"/>
          <w:shd w:val="clear" w:color="auto" w:fill="FFFFFF"/>
        </w:rPr>
        <w:t xml:space="preserve"> lo siguiente</w:t>
      </w:r>
      <w:r w:rsidR="009F58F3" w:rsidRPr="005669F9">
        <w:rPr>
          <w:rFonts w:ascii="ITC Avant Garde" w:eastAsia="Calibri" w:hAnsi="ITC Avant Garde" w:cs="Arial"/>
          <w:bCs/>
          <w:color w:val="000000"/>
          <w:shd w:val="clear" w:color="auto" w:fill="FFFFFF"/>
        </w:rPr>
        <w:t>:</w:t>
      </w:r>
    </w:p>
    <w:p w:rsidR="005669F9" w:rsidRPr="005669F9" w:rsidRDefault="009F58F3" w:rsidP="005669F9">
      <w:pPr>
        <w:spacing w:before="240" w:line="276" w:lineRule="auto"/>
        <w:ind w:left="851" w:right="333"/>
        <w:jc w:val="both"/>
        <w:rPr>
          <w:rFonts w:ascii="ITC Avant Garde" w:eastAsia="Calibri" w:hAnsi="ITC Avant Garde" w:cs="Times New Roman"/>
          <w:bCs/>
          <w:color w:val="000000"/>
          <w:sz w:val="18"/>
          <w:szCs w:val="18"/>
          <w:lang w:eastAsia="es-MX"/>
        </w:rPr>
      </w:pPr>
      <w:r w:rsidRPr="005669F9">
        <w:rPr>
          <w:rFonts w:ascii="ITC Avant Garde" w:eastAsia="Calibri" w:hAnsi="ITC Avant Garde" w:cs="Arial"/>
          <w:bCs/>
          <w:color w:val="000000"/>
          <w:sz w:val="18"/>
          <w:szCs w:val="18"/>
          <w:shd w:val="clear" w:color="auto" w:fill="FFFFFF"/>
        </w:rPr>
        <w:t>“[…</w:t>
      </w:r>
      <w:r w:rsidRPr="005669F9">
        <w:rPr>
          <w:rFonts w:ascii="ITC Avant Garde" w:eastAsia="Calibri" w:hAnsi="ITC Avant Garde" w:cs="Times New Roman"/>
          <w:bCs/>
          <w:color w:val="000000"/>
          <w:sz w:val="18"/>
          <w:szCs w:val="18"/>
          <w:lang w:eastAsia="es-MX"/>
        </w:rPr>
        <w:t xml:space="preserve">] la autoridad responsable emita una nueva resolución respecto de la solicitud de modificación presentada por la quejosa en la que únicamente tome en cuenta las consideraciones del título de concesión emitido por la Secretaría de Comunicaciones y Transportes el nueve de septiembre de dos mil trece. </w:t>
      </w:r>
    </w:p>
    <w:p w:rsidR="005669F9" w:rsidRPr="005669F9" w:rsidRDefault="009F58F3" w:rsidP="005669F9">
      <w:pPr>
        <w:spacing w:before="240" w:line="276" w:lineRule="auto"/>
        <w:ind w:left="851" w:right="333"/>
        <w:jc w:val="both"/>
        <w:rPr>
          <w:rFonts w:ascii="ITC Avant Garde" w:eastAsia="Calibri" w:hAnsi="ITC Avant Garde" w:cs="Arial"/>
          <w:bCs/>
          <w:color w:val="000000"/>
          <w:sz w:val="18"/>
          <w:szCs w:val="18"/>
          <w:shd w:val="clear" w:color="auto" w:fill="FFFFFF"/>
        </w:rPr>
      </w:pPr>
      <w:r w:rsidRPr="005669F9">
        <w:rPr>
          <w:rFonts w:ascii="ITC Avant Garde" w:eastAsia="Calibri" w:hAnsi="ITC Avant Garde" w:cs="Arial"/>
          <w:bCs/>
          <w:color w:val="000000"/>
          <w:sz w:val="18"/>
          <w:szCs w:val="18"/>
          <w:shd w:val="clear" w:color="auto" w:fill="FFFFFF"/>
        </w:rPr>
        <w:t>Además, con base en lo expuesto en esta ejecutoria, así como el marco constitucional y legal vigen</w:t>
      </w:r>
      <w:r w:rsidR="00E454F6" w:rsidRPr="005669F9">
        <w:rPr>
          <w:rFonts w:ascii="ITC Avant Garde" w:eastAsia="Calibri" w:hAnsi="ITC Avant Garde" w:cs="Arial"/>
          <w:bCs/>
          <w:color w:val="000000"/>
          <w:sz w:val="18"/>
          <w:szCs w:val="18"/>
          <w:shd w:val="clear" w:color="auto" w:fill="FFFFFF"/>
        </w:rPr>
        <w:t>te, analice las condiciones determinantes</w:t>
      </w:r>
      <w:r w:rsidRPr="005669F9">
        <w:rPr>
          <w:rFonts w:ascii="ITC Avant Garde" w:eastAsia="Calibri" w:hAnsi="ITC Avant Garde" w:cs="Arial"/>
          <w:bCs/>
          <w:color w:val="000000"/>
          <w:sz w:val="18"/>
          <w:szCs w:val="18"/>
          <w:shd w:val="clear" w:color="auto" w:fill="FFFFFF"/>
        </w:rPr>
        <w:t xml:space="preserve"> para el otorgamiento de la concesión</w:t>
      </w:r>
      <w:r w:rsidR="00E454F6" w:rsidRPr="005669F9">
        <w:rPr>
          <w:rFonts w:ascii="ITC Avant Garde" w:eastAsia="Calibri" w:hAnsi="ITC Avant Garde" w:cs="Arial"/>
          <w:bCs/>
          <w:color w:val="000000"/>
          <w:sz w:val="18"/>
          <w:szCs w:val="18"/>
          <w:shd w:val="clear" w:color="auto" w:fill="FFFFFF"/>
        </w:rPr>
        <w:t xml:space="preserve"> y con libertad de jurisdicción resuelva lo jurídicamente procedente en cuanto a la modificación del título de concesión solicitado por la quejosa</w:t>
      </w:r>
      <w:r w:rsidR="008F4DD4" w:rsidRPr="005669F9">
        <w:rPr>
          <w:rFonts w:ascii="ITC Avant Garde" w:eastAsia="Calibri" w:hAnsi="ITC Avant Garde" w:cs="Arial"/>
          <w:bCs/>
          <w:color w:val="000000"/>
          <w:sz w:val="18"/>
          <w:szCs w:val="18"/>
          <w:shd w:val="clear" w:color="auto" w:fill="FFFFFF"/>
        </w:rPr>
        <w:t>.</w:t>
      </w:r>
    </w:p>
    <w:p w:rsidR="005669F9" w:rsidRPr="005669F9" w:rsidRDefault="008F4DD4" w:rsidP="005669F9">
      <w:pPr>
        <w:spacing w:before="240" w:line="276" w:lineRule="auto"/>
        <w:ind w:left="851" w:right="333"/>
        <w:jc w:val="both"/>
        <w:rPr>
          <w:rFonts w:ascii="ITC Avant Garde" w:eastAsia="Calibri" w:hAnsi="ITC Avant Garde" w:cs="Times New Roman"/>
          <w:bCs/>
          <w:color w:val="000000"/>
          <w:sz w:val="18"/>
          <w:szCs w:val="18"/>
          <w:lang w:eastAsia="es-MX"/>
        </w:rPr>
      </w:pPr>
      <w:r w:rsidRPr="005669F9">
        <w:rPr>
          <w:rFonts w:ascii="ITC Avant Garde" w:eastAsia="Calibri" w:hAnsi="ITC Avant Garde" w:cs="Arial"/>
          <w:bCs/>
          <w:color w:val="000000"/>
          <w:sz w:val="18"/>
          <w:szCs w:val="18"/>
          <w:shd w:val="clear" w:color="auto" w:fill="FFFFFF"/>
        </w:rPr>
        <w:t>[…].</w:t>
      </w:r>
      <w:r w:rsidR="00E454F6" w:rsidRPr="005669F9">
        <w:rPr>
          <w:rFonts w:ascii="ITC Avant Garde" w:eastAsia="Calibri" w:hAnsi="ITC Avant Garde" w:cs="Arial"/>
          <w:bCs/>
          <w:color w:val="000000"/>
          <w:sz w:val="18"/>
          <w:szCs w:val="18"/>
          <w:shd w:val="clear" w:color="auto" w:fill="FFFFFF"/>
        </w:rPr>
        <w:t>”</w:t>
      </w:r>
    </w:p>
    <w:p w:rsidR="005669F9" w:rsidRPr="005669F9" w:rsidRDefault="009F4B9A" w:rsidP="005669F9">
      <w:pPr>
        <w:spacing w:before="240" w:line="276" w:lineRule="auto"/>
        <w:ind w:left="567"/>
        <w:jc w:val="both"/>
        <w:rPr>
          <w:rFonts w:ascii="ITC Avant Garde" w:eastAsia="Calibri" w:hAnsi="ITC Avant Garde" w:cs="Arial"/>
          <w:bCs/>
          <w:color w:val="000000"/>
          <w:shd w:val="clear" w:color="auto" w:fill="FFFFFF"/>
        </w:rPr>
      </w:pPr>
      <w:r w:rsidRPr="005669F9">
        <w:rPr>
          <w:rFonts w:ascii="ITC Avant Garde" w:eastAsia="Calibri" w:hAnsi="ITC Avant Garde" w:cs="Arial"/>
          <w:bCs/>
          <w:color w:val="000000"/>
          <w:shd w:val="clear" w:color="auto" w:fill="FFFFFF"/>
        </w:rPr>
        <w:t>En virtud de lo anterior, la Juez de D</w:t>
      </w:r>
      <w:r w:rsidR="005D15C2" w:rsidRPr="005669F9">
        <w:rPr>
          <w:rFonts w:ascii="ITC Avant Garde" w:eastAsia="Calibri" w:hAnsi="ITC Avant Garde" w:cs="Arial"/>
          <w:bCs/>
          <w:color w:val="000000"/>
          <w:shd w:val="clear" w:color="auto" w:fill="FFFFFF"/>
        </w:rPr>
        <w:t xml:space="preserve">istrito requirió al Instituto para que </w:t>
      </w:r>
      <w:r w:rsidR="008F4DD4" w:rsidRPr="005669F9">
        <w:rPr>
          <w:rFonts w:ascii="ITC Avant Garde" w:eastAsia="Calibri" w:hAnsi="ITC Avant Garde" w:cs="Arial"/>
          <w:bCs/>
          <w:color w:val="000000"/>
          <w:shd w:val="clear" w:color="auto" w:fill="FFFFFF"/>
        </w:rPr>
        <w:t xml:space="preserve">en </w:t>
      </w:r>
      <w:r w:rsidR="005D15C2" w:rsidRPr="005669F9">
        <w:rPr>
          <w:rFonts w:ascii="ITC Avant Garde" w:eastAsia="Calibri" w:hAnsi="ITC Avant Garde" w:cs="Arial"/>
          <w:bCs/>
          <w:color w:val="000000"/>
          <w:shd w:val="clear" w:color="auto" w:fill="FFFFFF"/>
        </w:rPr>
        <w:t>el plazo de 3</w:t>
      </w:r>
      <w:r w:rsidR="00525031" w:rsidRPr="005669F9">
        <w:rPr>
          <w:rFonts w:ascii="ITC Avant Garde" w:eastAsia="Calibri" w:hAnsi="ITC Avant Garde" w:cs="Arial"/>
          <w:bCs/>
          <w:color w:val="000000"/>
          <w:shd w:val="clear" w:color="auto" w:fill="FFFFFF"/>
        </w:rPr>
        <w:t xml:space="preserve"> (tres)</w:t>
      </w:r>
      <w:r w:rsidR="005D15C2" w:rsidRPr="005669F9">
        <w:rPr>
          <w:rFonts w:ascii="ITC Avant Garde" w:eastAsia="Calibri" w:hAnsi="ITC Avant Garde" w:cs="Arial"/>
          <w:bCs/>
          <w:color w:val="000000"/>
          <w:shd w:val="clear" w:color="auto" w:fill="FFFFFF"/>
        </w:rPr>
        <w:t xml:space="preserve"> días remitiera las constancias con las que acreditara haber dado cump</w:t>
      </w:r>
      <w:r w:rsidRPr="005669F9">
        <w:rPr>
          <w:rFonts w:ascii="ITC Avant Garde" w:eastAsia="Calibri" w:hAnsi="ITC Avant Garde" w:cs="Arial"/>
          <w:bCs/>
          <w:color w:val="000000"/>
          <w:shd w:val="clear" w:color="auto" w:fill="FFFFFF"/>
        </w:rPr>
        <w:t>limiento a la ejecutoria ya señalada</w:t>
      </w:r>
      <w:r w:rsidR="005D15C2" w:rsidRPr="005669F9">
        <w:rPr>
          <w:rFonts w:ascii="ITC Avant Garde" w:eastAsia="Calibri" w:hAnsi="ITC Avant Garde" w:cs="Arial"/>
          <w:bCs/>
          <w:color w:val="000000"/>
          <w:shd w:val="clear" w:color="auto" w:fill="FFFFFF"/>
        </w:rPr>
        <w:t>.</w:t>
      </w:r>
      <w:r w:rsidR="0078469E" w:rsidRPr="005669F9">
        <w:rPr>
          <w:rFonts w:ascii="ITC Avant Garde" w:eastAsia="Calibri" w:hAnsi="ITC Avant Garde" w:cs="Arial"/>
          <w:bCs/>
          <w:color w:val="000000"/>
          <w:shd w:val="clear" w:color="auto" w:fill="FFFFFF"/>
        </w:rPr>
        <w:t xml:space="preserve"> Asimismo, el 20 de febrero de 2017, se recibió en el Instituto el proveído de fecha 16 de febrero de 2017, dictado en el cuaderno principal del juicio de ampa</w:t>
      </w:r>
      <w:r w:rsidRPr="005669F9">
        <w:rPr>
          <w:rFonts w:ascii="ITC Avant Garde" w:eastAsia="Calibri" w:hAnsi="ITC Avant Garde" w:cs="Arial"/>
          <w:bCs/>
          <w:color w:val="000000"/>
          <w:shd w:val="clear" w:color="auto" w:fill="FFFFFF"/>
        </w:rPr>
        <w:t>ro citado, mediante el cual la J</w:t>
      </w:r>
      <w:r w:rsidR="0078469E" w:rsidRPr="005669F9">
        <w:rPr>
          <w:rFonts w:ascii="ITC Avant Garde" w:eastAsia="Calibri" w:hAnsi="ITC Avant Garde" w:cs="Arial"/>
          <w:bCs/>
          <w:color w:val="000000"/>
          <w:shd w:val="clear" w:color="auto" w:fill="FFFFFF"/>
        </w:rPr>
        <w:t xml:space="preserve">uez del conocimiento otorgó una prórroga de 10 </w:t>
      </w:r>
      <w:r w:rsidR="00E13722" w:rsidRPr="005669F9">
        <w:rPr>
          <w:rFonts w:ascii="ITC Avant Garde" w:eastAsia="Calibri" w:hAnsi="ITC Avant Garde" w:cs="Arial"/>
          <w:bCs/>
          <w:color w:val="000000"/>
          <w:shd w:val="clear" w:color="auto" w:fill="FFFFFF"/>
        </w:rPr>
        <w:t xml:space="preserve">(diez) </w:t>
      </w:r>
      <w:r w:rsidR="0078469E" w:rsidRPr="005669F9">
        <w:rPr>
          <w:rFonts w:ascii="ITC Avant Garde" w:eastAsia="Calibri" w:hAnsi="ITC Avant Garde" w:cs="Arial"/>
          <w:bCs/>
          <w:color w:val="000000"/>
          <w:shd w:val="clear" w:color="auto" w:fill="FFFFFF"/>
        </w:rPr>
        <w:t>días a efecto de que el Pleno del Instituto diera cumplimiento a la ejecutoria de mérito.</w:t>
      </w:r>
    </w:p>
    <w:p w:rsidR="005669F9" w:rsidRPr="005669F9" w:rsidRDefault="00E13722" w:rsidP="005669F9">
      <w:pPr>
        <w:spacing w:before="240" w:line="276" w:lineRule="auto"/>
        <w:ind w:left="567"/>
        <w:jc w:val="both"/>
        <w:rPr>
          <w:rFonts w:ascii="ITC Avant Garde" w:eastAsia="Calibri" w:hAnsi="ITC Avant Garde" w:cs="Arial"/>
          <w:bCs/>
          <w:color w:val="000000"/>
          <w:shd w:val="clear" w:color="auto" w:fill="FFFFFF"/>
        </w:rPr>
      </w:pPr>
      <w:r w:rsidRPr="005669F9">
        <w:rPr>
          <w:rFonts w:ascii="ITC Avant Garde" w:eastAsia="Calibri" w:hAnsi="ITC Avant Garde" w:cs="Arial"/>
          <w:bCs/>
          <w:color w:val="000000"/>
          <w:shd w:val="clear" w:color="auto" w:fill="FFFFFF"/>
        </w:rPr>
        <w:t xml:space="preserve">Finalmente, el pasado 10 de marzo de 2017, la citada Juez notificó al Instituto una prórroga adicional de 10 (diez) días hábiles a efecto de que este órgano autónomo acredite ante dicho órgano jurisdiccional </w:t>
      </w:r>
      <w:r w:rsidR="001841AB" w:rsidRPr="005669F9">
        <w:rPr>
          <w:rFonts w:ascii="ITC Avant Garde" w:eastAsia="Calibri" w:hAnsi="ITC Avant Garde" w:cs="Arial"/>
          <w:bCs/>
          <w:color w:val="000000"/>
          <w:shd w:val="clear" w:color="auto" w:fill="FFFFFF"/>
        </w:rPr>
        <w:t xml:space="preserve">el </w:t>
      </w:r>
      <w:r w:rsidRPr="005669F9">
        <w:rPr>
          <w:rFonts w:ascii="ITC Avant Garde" w:eastAsia="Calibri" w:hAnsi="ITC Avant Garde" w:cs="Arial"/>
          <w:bCs/>
          <w:color w:val="000000"/>
          <w:shd w:val="clear" w:color="auto" w:fill="FFFFFF"/>
        </w:rPr>
        <w:t>cumplimiento a la ejecutoria ya señalada. Esta prórroga vence el próximo 24 de marzo de 2017.</w:t>
      </w:r>
    </w:p>
    <w:p w:rsidR="005669F9" w:rsidRPr="005669F9" w:rsidRDefault="00C65132" w:rsidP="005669F9">
      <w:pPr>
        <w:spacing w:before="240" w:line="276" w:lineRule="auto"/>
        <w:jc w:val="both"/>
        <w:rPr>
          <w:rFonts w:ascii="ITC Avant Garde" w:eastAsia="Calibri" w:hAnsi="ITC Avant Garde" w:cs="Times New Roman"/>
          <w:bCs/>
          <w:color w:val="000000"/>
          <w:lang w:eastAsia="es-MX"/>
        </w:rPr>
      </w:pPr>
      <w:r w:rsidRPr="005669F9">
        <w:rPr>
          <w:rFonts w:ascii="ITC Avant Garde" w:eastAsia="Calibri" w:hAnsi="ITC Avant Garde" w:cs="Times New Roman"/>
          <w:bCs/>
          <w:color w:val="000000"/>
          <w:lang w:eastAsia="es-MX"/>
        </w:rPr>
        <w:t>En virtud de los Antecedentes referidos y,</w:t>
      </w:r>
    </w:p>
    <w:p w:rsidR="005669F9" w:rsidRPr="005669F9" w:rsidRDefault="00C65132" w:rsidP="005669F9">
      <w:pPr>
        <w:pStyle w:val="Ttulo2"/>
        <w:spacing w:after="240"/>
        <w:jc w:val="center"/>
        <w:rPr>
          <w:rFonts w:ascii="ITC Avant Garde" w:hAnsi="ITC Avant Garde"/>
          <w:b/>
          <w:color w:val="000000" w:themeColor="text1"/>
          <w:sz w:val="22"/>
          <w:szCs w:val="22"/>
        </w:rPr>
      </w:pPr>
      <w:r w:rsidRPr="005669F9">
        <w:rPr>
          <w:rFonts w:ascii="ITC Avant Garde" w:hAnsi="ITC Avant Garde"/>
          <w:b/>
          <w:color w:val="000000" w:themeColor="text1"/>
          <w:sz w:val="22"/>
          <w:szCs w:val="22"/>
        </w:rPr>
        <w:t>CONSIDERANDO</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
          <w:bCs/>
        </w:rPr>
        <w:t>Primero.- Competencia.</w:t>
      </w:r>
      <w:r w:rsidRPr="005669F9">
        <w:rPr>
          <w:rFonts w:ascii="ITC Avant Garde" w:eastAsia="Calibri" w:hAnsi="ITC Avant Garde" w:cs="Times New Roman"/>
          <w:bCs/>
        </w:rPr>
        <w:t xml:space="preserve"> Conforme lo dispone el artículo 28 párrafos décimo quinto, décimo sexto y décimo séptimo de la Constitución Política de los Estados Unidos Mexicanos (la “Constitución”), el Instituto es un órgano autónomo, con personalidad </w:t>
      </w:r>
      <w:r w:rsidRPr="005669F9">
        <w:rPr>
          <w:rFonts w:ascii="ITC Avant Garde" w:eastAsia="Calibri" w:hAnsi="ITC Avant Garde" w:cs="Times New Roman"/>
          <w:bCs/>
        </w:rPr>
        <w:lastRenderedPageBreak/>
        <w:t>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669F9" w:rsidRPr="005669F9" w:rsidRDefault="00865B55"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En términos de lo dispuesto por</w:t>
      </w:r>
      <w:r w:rsidR="00C65132" w:rsidRPr="005669F9">
        <w:rPr>
          <w:rFonts w:ascii="ITC Avant Garde" w:eastAsia="Calibri" w:hAnsi="ITC Avant Garde" w:cs="Times New Roman"/>
          <w:bCs/>
        </w:rPr>
        <w:t xml:space="preserve"> el párrafo tercero del artículo Cuarto Transitorio del Decreto de Reforma Constitucional, el Instituto publicó los Lineamientos, con la finalidad de determinar los requisitos, términos y condiciones que los actuales concesionarios de radiodifusión, telecomunicaciones y telefonía deben cumplir para obtener autorización para prestar servicios adicionales a los comprendidos en su título de concesión. </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Asimismo, el Pleno del Instituto está facultado, conforme a lo estableci</w:t>
      </w:r>
      <w:r w:rsidR="004926F6" w:rsidRPr="005669F9">
        <w:rPr>
          <w:rFonts w:ascii="ITC Avant Garde" w:eastAsia="Calibri" w:hAnsi="ITC Avant Garde" w:cs="Times New Roman"/>
          <w:bCs/>
        </w:rPr>
        <w:t>do por los artículos 15 fracciones</w:t>
      </w:r>
      <w:r w:rsidRPr="005669F9">
        <w:rPr>
          <w:rFonts w:ascii="ITC Avant Garde" w:eastAsia="Calibri" w:hAnsi="ITC Avant Garde" w:cs="Times New Roman"/>
          <w:bCs/>
        </w:rPr>
        <w:t xml:space="preserve"> </w:t>
      </w:r>
      <w:r w:rsidR="00EC107C" w:rsidRPr="005669F9">
        <w:rPr>
          <w:rFonts w:ascii="ITC Avant Garde" w:eastAsia="Calibri" w:hAnsi="ITC Avant Garde" w:cs="Times New Roman"/>
          <w:bCs/>
        </w:rPr>
        <w:t>IV</w:t>
      </w:r>
      <w:r w:rsidR="004926F6" w:rsidRPr="005669F9">
        <w:rPr>
          <w:rFonts w:ascii="ITC Avant Garde" w:eastAsia="Calibri" w:hAnsi="ITC Avant Garde" w:cs="Times New Roman"/>
          <w:bCs/>
        </w:rPr>
        <w:t xml:space="preserve"> y LVII</w:t>
      </w:r>
      <w:r w:rsidRPr="005669F9">
        <w:rPr>
          <w:rFonts w:ascii="ITC Avant Garde" w:eastAsia="Calibri" w:hAnsi="ITC Avant Garde" w:cs="Times New Roman"/>
          <w:bCs/>
        </w:rPr>
        <w:t>, 16 y 17 fracción I de la Ley</w:t>
      </w:r>
      <w:r w:rsidR="004926F6" w:rsidRPr="005669F9">
        <w:rPr>
          <w:rFonts w:ascii="ITC Avant Garde" w:eastAsia="Calibri" w:hAnsi="ITC Avant Garde" w:cs="Times New Roman"/>
          <w:bCs/>
        </w:rPr>
        <w:t xml:space="preserve"> Federal de Telecomunicaciones y Radiodifusión (la “Ley”)</w:t>
      </w:r>
      <w:r w:rsidRPr="005669F9">
        <w:rPr>
          <w:rFonts w:ascii="ITC Avant Garde" w:eastAsia="Calibri" w:hAnsi="ITC Avant Garde" w:cs="Times New Roman"/>
          <w:bCs/>
        </w:rPr>
        <w:t xml:space="preserve">, </w:t>
      </w:r>
      <w:r w:rsidR="00EC107C" w:rsidRPr="005669F9">
        <w:rPr>
          <w:rFonts w:ascii="ITC Avant Garde" w:eastAsia="Calibri" w:hAnsi="ITC Avant Garde" w:cs="Times New Roman"/>
          <w:bCs/>
        </w:rPr>
        <w:t>para resolver, entre otras, sobre las modificaciones de las concesiones</w:t>
      </w:r>
      <w:r w:rsidR="004926F6" w:rsidRPr="005669F9">
        <w:rPr>
          <w:rFonts w:ascii="ITC Avant Garde" w:eastAsia="Calibri" w:hAnsi="ITC Avant Garde" w:cs="Times New Roman"/>
          <w:bCs/>
        </w:rPr>
        <w:t xml:space="preserve"> y para interpretar la Ley, así como las disposiciones administrativas en materia de telecomunicaciones y radiodifusión, en el ámbito de sus atribuciones</w:t>
      </w:r>
      <w:r w:rsidRPr="005669F9">
        <w:rPr>
          <w:rFonts w:ascii="ITC Avant Garde" w:eastAsia="Calibri" w:hAnsi="ITC Avant Garde" w:cs="Times New Roman"/>
          <w:bCs/>
        </w:rPr>
        <w:t>.</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Por ot</w:t>
      </w:r>
      <w:r w:rsidR="00CE26F1" w:rsidRPr="005669F9">
        <w:rPr>
          <w:rFonts w:ascii="ITC Avant Garde" w:eastAsia="Calibri" w:hAnsi="ITC Avant Garde" w:cs="Times New Roman"/>
          <w:bCs/>
        </w:rPr>
        <w:t>ra parte, el artículo 6 fracciones</w:t>
      </w:r>
      <w:r w:rsidRPr="005669F9">
        <w:rPr>
          <w:rFonts w:ascii="ITC Avant Garde" w:eastAsia="Calibri" w:hAnsi="ITC Avant Garde" w:cs="Times New Roman"/>
          <w:bCs/>
        </w:rPr>
        <w:t xml:space="preserve"> XV </w:t>
      </w:r>
      <w:r w:rsidR="00CE26F1" w:rsidRPr="005669F9">
        <w:rPr>
          <w:rFonts w:ascii="ITC Avant Garde" w:eastAsia="Calibri" w:hAnsi="ITC Avant Garde" w:cs="Times New Roman"/>
          <w:bCs/>
        </w:rPr>
        <w:t xml:space="preserve">y XVIII </w:t>
      </w:r>
      <w:r w:rsidRPr="005669F9">
        <w:rPr>
          <w:rFonts w:ascii="ITC Avant Garde" w:eastAsia="Calibri" w:hAnsi="ITC Avant Garde" w:cs="Times New Roman"/>
          <w:bCs/>
        </w:rPr>
        <w:t xml:space="preserve">del Estatuto Orgánico, establece que corresponde al Pleno, además de las atribuciones establecidas como indelegables en la Ley, </w:t>
      </w:r>
      <w:r w:rsidR="00D1694E" w:rsidRPr="005669F9">
        <w:rPr>
          <w:rFonts w:ascii="ITC Avant Garde" w:eastAsia="Calibri" w:hAnsi="ITC Avant Garde" w:cs="Times New Roman"/>
          <w:bCs/>
        </w:rPr>
        <w:t xml:space="preserve">entre otras, </w:t>
      </w:r>
      <w:r w:rsidRPr="005669F9">
        <w:rPr>
          <w:rFonts w:ascii="ITC Avant Garde" w:eastAsia="Calibri" w:hAnsi="ITC Avant Garde" w:cs="Times New Roman"/>
          <w:bCs/>
        </w:rPr>
        <w:t>la atribución de autorizar las solicitudes de servicios adicionales a los originalmente contemplados en las concesiones otorgadas que utilicen bandas de frecuencias del espectro radioeléctrico</w:t>
      </w:r>
      <w:r w:rsidR="00CE26F1" w:rsidRPr="005669F9">
        <w:rPr>
          <w:rFonts w:ascii="ITC Avant Garde" w:eastAsia="Calibri" w:hAnsi="ITC Avant Garde" w:cs="Times New Roman"/>
          <w:bCs/>
        </w:rPr>
        <w:t>, así como interpretar, en su caso, la Ley, así como las disposiciones administrativas en materia de telecomunicaciones y radiodifusión, en el ámbito de sus atribuciones</w:t>
      </w:r>
      <w:r w:rsidR="00D1694E" w:rsidRPr="005669F9">
        <w:rPr>
          <w:rFonts w:ascii="ITC Avant Garde" w:eastAsia="Calibri" w:hAnsi="ITC Avant Garde" w:cs="Times New Roman"/>
          <w:bCs/>
        </w:rPr>
        <w:t>.</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lastRenderedPageBreak/>
        <w:t>Finalmente, conforme</w:t>
      </w:r>
      <w:r w:rsidR="00C93EBA" w:rsidRPr="005669F9">
        <w:rPr>
          <w:rFonts w:ascii="ITC Avant Garde" w:eastAsia="Calibri" w:hAnsi="ITC Avant Garde" w:cs="Times New Roman"/>
          <w:bCs/>
        </w:rPr>
        <w:t xml:space="preserve"> a los artículos 32 y 33 fracci</w:t>
      </w:r>
      <w:r w:rsidRPr="005669F9">
        <w:rPr>
          <w:rFonts w:ascii="ITC Avant Garde" w:eastAsia="Calibri" w:hAnsi="ITC Avant Garde" w:cs="Times New Roman"/>
          <w:bCs/>
        </w:rPr>
        <w:t>ón VII del Estatuto Orgánico, corresponde a la Unidad de Concesiones y Servicios, a través de la Dirección General de Concesiones de Telecomunicaciones, tramitar y evaluar, previa opinión de la Unidad de Espectro Radioeléctrico, las solicitudes de autorización para prestar servicios adicionales de las concesiones que hagan uso del espectro radioeléctrico, así como proponer al Pleno la resolución que corresponda.</w:t>
      </w:r>
    </w:p>
    <w:p w:rsidR="005669F9" w:rsidRPr="005669F9" w:rsidRDefault="00C65132" w:rsidP="005669F9">
      <w:pPr>
        <w:spacing w:before="240" w:line="276" w:lineRule="auto"/>
        <w:jc w:val="both"/>
        <w:rPr>
          <w:rFonts w:ascii="ITC Avant Garde" w:eastAsia="Times New Roman" w:hAnsi="ITC Avant Garde" w:cs="Times New Roman"/>
          <w:bCs/>
          <w:color w:val="000000"/>
          <w:lang w:eastAsia="es-ES"/>
        </w:rPr>
      </w:pPr>
      <w:r w:rsidRPr="005669F9">
        <w:rPr>
          <w:rFonts w:ascii="ITC Avant Garde" w:eastAsia="Times New Roman" w:hAnsi="ITC Avant Garde" w:cs="Times New Roman"/>
          <w:color w:val="000000"/>
          <w:lang w:eastAsia="es-ES"/>
        </w:rPr>
        <w:t xml:space="preserve">En este orden de ideas, </w:t>
      </w:r>
      <w:r w:rsidRPr="005669F9">
        <w:rPr>
          <w:rFonts w:ascii="ITC Avant Garde" w:eastAsia="Times New Roman" w:hAnsi="ITC Avant Garde" w:cs="Times New Roman"/>
          <w:bCs/>
          <w:color w:val="000000"/>
          <w:lang w:eastAsia="es-ES"/>
        </w:rPr>
        <w:t xml:space="preserve">el Instituto tiene a su cargo la regulación, promoción y supervisión del uso, aprovechamiento y explotación del espectro radioeléctrico, los recursos orbitales, los servicios satelitales, las redes de telecomunicaciones y la prestación de los servicios de radiodifusión y telecomunicaciones; el acceso a infraestructura activa, pasiva e insumos esenciales, </w:t>
      </w:r>
      <w:r w:rsidR="00A80CA8" w:rsidRPr="005669F9">
        <w:rPr>
          <w:rFonts w:ascii="ITC Avant Garde" w:eastAsia="Times New Roman" w:hAnsi="ITC Avant Garde" w:cs="Times New Roman"/>
          <w:bCs/>
          <w:color w:val="000000"/>
          <w:lang w:eastAsia="es-ES"/>
        </w:rPr>
        <w:t xml:space="preserve">la interpretación de la Ley y las disposiciones administrativas en materia de telecomunicaciones y radiodifusión en el ámbito de sus atribuciones; </w:t>
      </w:r>
      <w:r w:rsidRPr="005669F9">
        <w:rPr>
          <w:rFonts w:ascii="ITC Avant Garde" w:eastAsia="Times New Roman" w:hAnsi="ITC Avant Garde" w:cs="Times New Roman"/>
          <w:bCs/>
          <w:color w:val="000000"/>
          <w:lang w:eastAsia="es-ES"/>
        </w:rPr>
        <w:t>así como resolver sobre las solicitudes de autorización de servicios adicionales respecto de las concesiones para usar, aprovechar y explotar bandas de frecuencias del espectro radioeléctrico. En relación con lo anterior, el Pleno, como órgano máximo de gobierno y decisión del Instituto, se encuentra plenamente facultado para res</w:t>
      </w:r>
      <w:r w:rsidR="00FF1405" w:rsidRPr="005669F9">
        <w:rPr>
          <w:rFonts w:ascii="ITC Avant Garde" w:eastAsia="Times New Roman" w:hAnsi="ITC Avant Garde" w:cs="Times New Roman"/>
          <w:bCs/>
          <w:color w:val="000000"/>
          <w:lang w:eastAsia="es-ES"/>
        </w:rPr>
        <w:t xml:space="preserve">olver la Solicitud de Servicio </w:t>
      </w:r>
      <w:r w:rsidRPr="005669F9">
        <w:rPr>
          <w:rFonts w:ascii="ITC Avant Garde" w:eastAsia="Times New Roman" w:hAnsi="ITC Avant Garde" w:cs="Times New Roman"/>
          <w:bCs/>
          <w:color w:val="000000"/>
          <w:lang w:eastAsia="es-ES"/>
        </w:rPr>
        <w:t>Adicional.</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
          <w:bCs/>
        </w:rPr>
        <w:t>Segundo.- Marco normativo general aplicable</w:t>
      </w:r>
      <w:r w:rsidR="00FF1405" w:rsidRPr="005669F9">
        <w:rPr>
          <w:rFonts w:ascii="ITC Avant Garde" w:eastAsia="Calibri" w:hAnsi="ITC Avant Garde" w:cs="Times New Roman"/>
          <w:b/>
          <w:bCs/>
        </w:rPr>
        <w:t xml:space="preserve"> a la Solicitud de Servicio Adicional</w:t>
      </w:r>
      <w:r w:rsidRPr="005669F9">
        <w:rPr>
          <w:rFonts w:ascii="ITC Avant Garde" w:eastAsia="Calibri" w:hAnsi="ITC Avant Garde" w:cs="Times New Roman"/>
          <w:b/>
          <w:bCs/>
        </w:rPr>
        <w:t>.</w:t>
      </w:r>
      <w:r w:rsidRPr="005669F9">
        <w:rPr>
          <w:rFonts w:ascii="ITC Avant Garde" w:eastAsia="Calibri" w:hAnsi="ITC Avant Garde" w:cs="Times New Roman"/>
          <w:bCs/>
        </w:rPr>
        <w:t xml:space="preserve">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Federal de Telecomunicaciones establezca.</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 xml:space="preserve">En consistencia con lo anterior, </w:t>
      </w:r>
      <w:r w:rsidR="00FF1405" w:rsidRPr="005669F9">
        <w:rPr>
          <w:rFonts w:ascii="ITC Avant Garde" w:eastAsia="Calibri" w:hAnsi="ITC Avant Garde" w:cs="Times New Roman"/>
          <w:bCs/>
        </w:rPr>
        <w:t>la Concesión</w:t>
      </w:r>
      <w:r w:rsidR="00C966AE" w:rsidRPr="005669F9">
        <w:rPr>
          <w:rFonts w:ascii="ITC Avant Garde" w:eastAsia="Calibri" w:hAnsi="ITC Avant Garde" w:cs="Times New Roman"/>
          <w:bCs/>
        </w:rPr>
        <w:t xml:space="preserve"> de Bandas</w:t>
      </w:r>
      <w:r w:rsidRPr="005669F9">
        <w:rPr>
          <w:rFonts w:ascii="ITC Avant Garde" w:eastAsia="Calibri" w:hAnsi="ITC Avant Garde" w:cs="Times New Roman"/>
          <w:bCs/>
        </w:rPr>
        <w:t xml:space="preserve">, en su condición </w:t>
      </w:r>
      <w:r w:rsidRPr="005669F9">
        <w:rPr>
          <w:rFonts w:ascii="ITC Avant Garde" w:eastAsia="Calibri" w:hAnsi="ITC Avant Garde" w:cs="Times New Roman"/>
          <w:b/>
          <w:bCs/>
        </w:rPr>
        <w:t>“2.1. Servicios Adicionales”,</w:t>
      </w:r>
      <w:r w:rsidR="003F04A0" w:rsidRPr="005669F9">
        <w:rPr>
          <w:rFonts w:ascii="ITC Avant Garde" w:eastAsia="Calibri" w:hAnsi="ITC Avant Garde" w:cs="Times New Roman"/>
          <w:bCs/>
        </w:rPr>
        <w:t xml:space="preserve"> establece</w:t>
      </w:r>
      <w:r w:rsidRPr="005669F9">
        <w:rPr>
          <w:rFonts w:ascii="ITC Avant Garde" w:eastAsia="Calibri" w:hAnsi="ITC Avant Garde" w:cs="Times New Roman"/>
          <w:bCs/>
        </w:rPr>
        <w:t xml:space="preserve"> lo siguiente:</w:t>
      </w:r>
    </w:p>
    <w:p w:rsidR="00FF1405" w:rsidRPr="005669F9" w:rsidRDefault="00C65132" w:rsidP="005669F9">
      <w:pPr>
        <w:autoSpaceDE w:val="0"/>
        <w:autoSpaceDN w:val="0"/>
        <w:adjustRightInd w:val="0"/>
        <w:spacing w:before="240" w:line="276" w:lineRule="auto"/>
        <w:ind w:left="708" w:right="757"/>
        <w:jc w:val="both"/>
        <w:rPr>
          <w:rFonts w:ascii="ITC Avant Garde" w:eastAsia="Calibri" w:hAnsi="ITC Avant Garde" w:cs="Times New Roman"/>
          <w:bCs/>
          <w:sz w:val="18"/>
        </w:rPr>
      </w:pPr>
      <w:r w:rsidRPr="005669F9">
        <w:rPr>
          <w:rFonts w:ascii="ITC Avant Garde" w:eastAsia="Calibri" w:hAnsi="ITC Avant Garde" w:cs="Times New Roman"/>
          <w:bCs/>
          <w:sz w:val="18"/>
        </w:rPr>
        <w:t>“</w:t>
      </w:r>
      <w:r w:rsidRPr="005669F9">
        <w:rPr>
          <w:rFonts w:ascii="ITC Avant Garde" w:eastAsia="Calibri" w:hAnsi="ITC Avant Garde" w:cs="Times New Roman"/>
          <w:b/>
          <w:bCs/>
          <w:sz w:val="18"/>
        </w:rPr>
        <w:t>2.1. Servicios Adicionales.</w:t>
      </w:r>
      <w:r w:rsidR="00FF1405" w:rsidRPr="005669F9">
        <w:rPr>
          <w:rFonts w:ascii="ITC Avant Garde" w:eastAsia="Calibri" w:hAnsi="ITC Avant Garde" w:cs="Times New Roman"/>
          <w:bCs/>
          <w:sz w:val="18"/>
        </w:rPr>
        <w:t xml:space="preserve"> Si el Concesionario pretendiera prestar servicios diferentes al de televisión restringida, materia de la Concesión de Red, deberá solicitar autorización al Instituto, para lo cual deberá previamente haber cumplido con los términos, obligaciones y contraprestaciones que le imponga el Instituto.”</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Por otro lado, el párrafo tercero del artículo Cuarto Transitorio del Decreto de Reforma Constitucional señala la obligación del Instituto de establecer</w:t>
      </w:r>
      <w:r w:rsidR="00525031" w:rsidRPr="005669F9">
        <w:rPr>
          <w:rFonts w:ascii="ITC Avant Garde" w:eastAsia="Calibri" w:hAnsi="ITC Avant Garde" w:cs="Times New Roman"/>
          <w:bCs/>
        </w:rPr>
        <w:t>,</w:t>
      </w:r>
      <w:r w:rsidRPr="005669F9">
        <w:rPr>
          <w:rFonts w:ascii="ITC Avant Garde" w:eastAsia="Calibri" w:hAnsi="ITC Avant Garde" w:cs="Times New Roman"/>
          <w:bCs/>
        </w:rPr>
        <w:t xml:space="preserve"> mediante lineamientos de carácter general, los requisitos, términos y condiciones que los actuales concesionarios de radiodifusión, telecomunicaciones y telefonía deberán cumplir para que se les autorice, entre otros, </w:t>
      </w:r>
      <w:r w:rsidRPr="005669F9">
        <w:rPr>
          <w:rFonts w:ascii="ITC Avant Garde" w:eastAsia="Calibri" w:hAnsi="ITC Avant Garde" w:cs="Times New Roman"/>
          <w:color w:val="000000"/>
        </w:rPr>
        <w:t xml:space="preserve">prestar servicios adicionales a los comprendidos </w:t>
      </w:r>
      <w:r w:rsidRPr="005669F9">
        <w:rPr>
          <w:rFonts w:ascii="ITC Avant Garde" w:eastAsia="Calibri" w:hAnsi="ITC Avant Garde" w:cs="Times New Roman"/>
          <w:color w:val="000000"/>
        </w:rPr>
        <w:lastRenderedPageBreak/>
        <w:t>en su título de concesión</w:t>
      </w:r>
      <w:r w:rsidRPr="005669F9">
        <w:rPr>
          <w:rFonts w:ascii="ITC Avant Garde" w:eastAsia="Calibri" w:hAnsi="ITC Avant Garde" w:cs="Times New Roman"/>
          <w:bCs/>
        </w:rPr>
        <w:t>, siempre que se encuentren en cumplimiento de las obligaciones previstas en las leyes y en dichos títulos de concesión.</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En ese sentido, en cumplimiento a lo dispuesto por el artículo Cuarto Transitorio del Decreto de Reforma Constitucional, el 28 de mayo de 2014 se publicaron en el Diario Oficial de la Federación los Lineamientos, que tienen por objeto, entre otros, especificar los requisitos, términos y condiciones que los actuales concesionarios deberán cumplir para que se les autorice la prestación de servicios adicionales a los que son objeto de su concesión.</w:t>
      </w:r>
    </w:p>
    <w:p w:rsidR="005669F9" w:rsidRPr="005669F9" w:rsidRDefault="00B54FAD"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En el Acuerdo Primero de los Lineamientos, en el numeral 1.2., se definió a los Servicios Adicionales de la siguiente forma:</w:t>
      </w:r>
    </w:p>
    <w:p w:rsidR="005669F9" w:rsidRPr="005669F9" w:rsidRDefault="00B54FAD" w:rsidP="005669F9">
      <w:pPr>
        <w:autoSpaceDE w:val="0"/>
        <w:autoSpaceDN w:val="0"/>
        <w:adjustRightInd w:val="0"/>
        <w:spacing w:before="240" w:line="276" w:lineRule="auto"/>
        <w:ind w:left="708" w:right="757"/>
        <w:jc w:val="both"/>
        <w:rPr>
          <w:rFonts w:ascii="ITC Avant Garde" w:eastAsia="Calibri" w:hAnsi="ITC Avant Garde" w:cs="Times New Roman"/>
          <w:bCs/>
          <w:sz w:val="18"/>
        </w:rPr>
      </w:pPr>
      <w:r w:rsidRPr="005669F9">
        <w:rPr>
          <w:rFonts w:ascii="ITC Avant Garde" w:eastAsia="Calibri" w:hAnsi="ITC Avant Garde" w:cs="Times New Roman"/>
          <w:bCs/>
          <w:sz w:val="18"/>
        </w:rPr>
        <w:t>“Servicios Adicionales: Servicio(s) de telecomunicaciones y radiodifusión no autorizado(s) en el respectivo título de concesión y que es</w:t>
      </w:r>
      <w:r w:rsidR="007F7F13" w:rsidRPr="005669F9">
        <w:rPr>
          <w:rFonts w:ascii="ITC Avant Garde" w:eastAsia="Calibri" w:hAnsi="ITC Avant Garde" w:cs="Times New Roman"/>
          <w:bCs/>
          <w:sz w:val="18"/>
        </w:rPr>
        <w:t xml:space="preserve"> </w:t>
      </w:r>
      <w:r w:rsidRPr="005669F9">
        <w:rPr>
          <w:rFonts w:ascii="ITC Avant Garde" w:eastAsia="Calibri" w:hAnsi="ITC Avant Garde" w:cs="Times New Roman"/>
          <w:bCs/>
          <w:sz w:val="18"/>
        </w:rPr>
        <w:t>(son) susceptible(s) de autorización en términos de los Lineamientos</w:t>
      </w:r>
      <w:r w:rsidR="003D0002" w:rsidRPr="005669F9">
        <w:rPr>
          <w:rFonts w:ascii="ITC Avant Garde" w:eastAsia="Calibri" w:hAnsi="ITC Avant Garde" w:cs="Times New Roman"/>
          <w:bCs/>
          <w:sz w:val="18"/>
        </w:rPr>
        <w:t xml:space="preserve">, </w:t>
      </w:r>
      <w:r w:rsidR="003D0002" w:rsidRPr="005669F9">
        <w:rPr>
          <w:rFonts w:ascii="ITC Avant Garde" w:eastAsia="Calibri" w:hAnsi="ITC Avant Garde" w:cs="Times New Roman"/>
          <w:bCs/>
          <w:sz w:val="18"/>
          <w:u w:val="single"/>
        </w:rPr>
        <w:t>sin perjuicio de la obligación de prestar los servicios contemplados en la concesión respectiva</w:t>
      </w:r>
      <w:r w:rsidR="003D0002" w:rsidRPr="005669F9">
        <w:rPr>
          <w:rFonts w:ascii="ITC Avant Garde" w:eastAsia="Calibri" w:hAnsi="ITC Avant Garde" w:cs="Times New Roman"/>
          <w:bCs/>
          <w:sz w:val="18"/>
        </w:rPr>
        <w:t>.”</w:t>
      </w:r>
      <w:r w:rsidR="001603BC" w:rsidRPr="005669F9">
        <w:rPr>
          <w:rFonts w:ascii="ITC Avant Garde" w:eastAsia="Calibri" w:hAnsi="ITC Avant Garde" w:cs="Times New Roman"/>
          <w:bCs/>
          <w:sz w:val="18"/>
        </w:rPr>
        <w:t xml:space="preserve"> (Énfasis añadido).</w:t>
      </w:r>
    </w:p>
    <w:p w:rsidR="005669F9" w:rsidRPr="005669F9" w:rsidRDefault="001D25F9"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 xml:space="preserve">Adicionalmente, </w:t>
      </w:r>
      <w:r w:rsidR="00F22637" w:rsidRPr="005669F9">
        <w:rPr>
          <w:rFonts w:ascii="ITC Avant Garde" w:eastAsia="Calibri" w:hAnsi="ITC Avant Garde" w:cs="Times New Roman"/>
          <w:bCs/>
        </w:rPr>
        <w:t xml:space="preserve">la sección denominada “Disposiciones complementarias” de los Lineamientos, en su </w:t>
      </w:r>
      <w:r w:rsidRPr="005669F9">
        <w:rPr>
          <w:rFonts w:ascii="ITC Avant Garde" w:eastAsia="Calibri" w:hAnsi="ITC Avant Garde" w:cs="Times New Roman"/>
          <w:bCs/>
        </w:rPr>
        <w:t>fracción VII.1</w:t>
      </w:r>
      <w:r w:rsidR="00F22637" w:rsidRPr="005669F9">
        <w:rPr>
          <w:rFonts w:ascii="ITC Avant Garde" w:eastAsia="Calibri" w:hAnsi="ITC Avant Garde" w:cs="Times New Roman"/>
          <w:bCs/>
        </w:rPr>
        <w:t>,</w:t>
      </w:r>
      <w:r w:rsidRPr="005669F9">
        <w:rPr>
          <w:rFonts w:ascii="ITC Avant Garde" w:eastAsia="Calibri" w:hAnsi="ITC Avant Garde" w:cs="Times New Roman"/>
          <w:bCs/>
        </w:rPr>
        <w:t xml:space="preserve"> establece lo siguiente:</w:t>
      </w:r>
    </w:p>
    <w:p w:rsidR="005669F9" w:rsidRPr="005669F9" w:rsidRDefault="001D25F9" w:rsidP="005669F9">
      <w:pPr>
        <w:autoSpaceDE w:val="0"/>
        <w:autoSpaceDN w:val="0"/>
        <w:adjustRightInd w:val="0"/>
        <w:spacing w:before="240" w:line="276" w:lineRule="auto"/>
        <w:ind w:left="708" w:right="758"/>
        <w:jc w:val="both"/>
        <w:rPr>
          <w:rFonts w:ascii="ITC Avant Garde" w:eastAsia="Calibri" w:hAnsi="ITC Avant Garde" w:cs="Times New Roman"/>
          <w:bCs/>
          <w:sz w:val="18"/>
        </w:rPr>
      </w:pPr>
      <w:r w:rsidRPr="005669F9">
        <w:rPr>
          <w:rFonts w:ascii="ITC Avant Garde" w:eastAsia="Calibri" w:hAnsi="ITC Avant Garde" w:cs="Times New Roman"/>
          <w:b/>
          <w:bCs/>
          <w:sz w:val="18"/>
        </w:rPr>
        <w:t xml:space="preserve">“VII.1. </w:t>
      </w:r>
      <w:r w:rsidRPr="005669F9">
        <w:rPr>
          <w:rFonts w:ascii="ITC Avant Garde" w:eastAsia="Calibri" w:hAnsi="ITC Avant Garde" w:cs="Times New Roman"/>
          <w:bCs/>
          <w:sz w:val="18"/>
        </w:rPr>
        <w:t xml:space="preserve">La autorización que en su caso emita el Instituto respecto de Solicitudes de Servicios Adicionales, </w:t>
      </w:r>
      <w:r w:rsidRPr="005669F9">
        <w:rPr>
          <w:rFonts w:ascii="ITC Avant Garde" w:eastAsia="Calibri" w:hAnsi="ITC Avant Garde" w:cs="Times New Roman"/>
          <w:bCs/>
          <w:sz w:val="18"/>
          <w:u w:val="single"/>
        </w:rPr>
        <w:t>será sin perjuicio de la obligación de prestar los servicios contemplados en la concesión de que se trate</w:t>
      </w:r>
      <w:r w:rsidRPr="005669F9">
        <w:rPr>
          <w:rFonts w:ascii="ITC Avant Garde" w:eastAsia="Calibri" w:hAnsi="ITC Avant Garde" w:cs="Times New Roman"/>
          <w:bCs/>
          <w:sz w:val="18"/>
        </w:rPr>
        <w:t>.” (Énfasis añadido)</w:t>
      </w:r>
    </w:p>
    <w:p w:rsidR="005669F9" w:rsidRPr="005669F9" w:rsidRDefault="00F22637"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 xml:space="preserve">De lo anterior se concluye que en caso en que el Instituto autorice la prestación de servicios adicionales, el concesionario de que se trate quedará obligado a </w:t>
      </w:r>
      <w:r w:rsidR="00CC085B" w:rsidRPr="005669F9">
        <w:rPr>
          <w:rFonts w:ascii="ITC Avant Garde" w:eastAsia="Calibri" w:hAnsi="ITC Avant Garde" w:cs="Times New Roman"/>
          <w:bCs/>
        </w:rPr>
        <w:t>continuar prestando los servicios originalmente autorizados en la concesión</w:t>
      </w:r>
      <w:r w:rsidRPr="005669F9">
        <w:rPr>
          <w:rFonts w:ascii="ITC Avant Garde" w:eastAsia="Calibri" w:hAnsi="ITC Avant Garde" w:cs="Times New Roman"/>
          <w:bCs/>
        </w:rPr>
        <w:t xml:space="preserve"> respectiva</w:t>
      </w:r>
      <w:r w:rsidR="00CC085B" w:rsidRPr="005669F9">
        <w:rPr>
          <w:rFonts w:ascii="ITC Avant Garde" w:eastAsia="Calibri" w:hAnsi="ITC Avant Garde" w:cs="Times New Roman"/>
          <w:bCs/>
        </w:rPr>
        <w:t>.</w:t>
      </w:r>
    </w:p>
    <w:p w:rsidR="005669F9" w:rsidRPr="005669F9" w:rsidRDefault="00CC085B"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 xml:space="preserve">En ese sentido, el 13 de agosto de 2014 </w:t>
      </w:r>
      <w:r w:rsidR="002B070B" w:rsidRPr="005669F9">
        <w:rPr>
          <w:rFonts w:ascii="ITC Avant Garde" w:eastAsia="Calibri" w:hAnsi="ITC Avant Garde" w:cs="Times New Roman"/>
          <w:bCs/>
        </w:rPr>
        <w:t xml:space="preserve">entró en vigor la Ley, misma que en su </w:t>
      </w:r>
      <w:r w:rsidR="00372304" w:rsidRPr="005669F9">
        <w:rPr>
          <w:rFonts w:ascii="ITC Avant Garde" w:eastAsia="Calibri" w:hAnsi="ITC Avant Garde" w:cs="Times New Roman"/>
          <w:bCs/>
        </w:rPr>
        <w:t xml:space="preserve">Capítulo IX “Disposiciones Específicas para el Servicio de Radiodifusión, Televisión y Audio Restringidos” Sección II denominada “Multiprogramación” y en específico en su </w:t>
      </w:r>
      <w:r w:rsidR="002B070B" w:rsidRPr="005669F9">
        <w:rPr>
          <w:rFonts w:ascii="ITC Avant Garde" w:eastAsia="Calibri" w:hAnsi="ITC Avant Garde" w:cs="Times New Roman"/>
          <w:bCs/>
        </w:rPr>
        <w:t>artículo 158, fracción V estableció lo siguiente:</w:t>
      </w:r>
    </w:p>
    <w:p w:rsidR="005669F9" w:rsidRPr="005669F9" w:rsidRDefault="002B070B" w:rsidP="005669F9">
      <w:pPr>
        <w:autoSpaceDE w:val="0"/>
        <w:autoSpaceDN w:val="0"/>
        <w:adjustRightInd w:val="0"/>
        <w:spacing w:before="240" w:line="276" w:lineRule="auto"/>
        <w:ind w:left="284" w:right="616"/>
        <w:jc w:val="both"/>
        <w:rPr>
          <w:rFonts w:ascii="ITC Avant Garde" w:eastAsia="Calibri" w:hAnsi="ITC Avant Garde" w:cs="Times New Roman"/>
          <w:bCs/>
          <w:sz w:val="18"/>
        </w:rPr>
      </w:pPr>
      <w:r w:rsidRPr="005669F9">
        <w:rPr>
          <w:rFonts w:ascii="ITC Avant Garde" w:eastAsia="Calibri" w:hAnsi="ITC Avant Garde" w:cs="Times New Roman"/>
          <w:bCs/>
          <w:sz w:val="18"/>
        </w:rPr>
        <w:t>“</w:t>
      </w:r>
      <w:r w:rsidRPr="005669F9">
        <w:rPr>
          <w:rFonts w:ascii="ITC Avant Garde" w:eastAsia="Calibri" w:hAnsi="ITC Avant Garde" w:cs="Times New Roman"/>
          <w:b/>
          <w:bCs/>
          <w:sz w:val="18"/>
        </w:rPr>
        <w:t>Artículo 158.</w:t>
      </w:r>
      <w:r w:rsidRPr="005669F9">
        <w:rPr>
          <w:rFonts w:ascii="ITC Avant Garde" w:eastAsia="Calibri" w:hAnsi="ITC Avant Garde" w:cs="Times New Roman"/>
          <w:bCs/>
          <w:sz w:val="18"/>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5669F9" w:rsidRPr="005669F9" w:rsidRDefault="002B070B" w:rsidP="005669F9">
      <w:pPr>
        <w:autoSpaceDE w:val="0"/>
        <w:autoSpaceDN w:val="0"/>
        <w:adjustRightInd w:val="0"/>
        <w:spacing w:before="240" w:line="276" w:lineRule="auto"/>
        <w:ind w:left="284" w:right="616"/>
        <w:jc w:val="both"/>
        <w:rPr>
          <w:rFonts w:ascii="ITC Avant Garde" w:eastAsia="Calibri" w:hAnsi="ITC Avant Garde" w:cs="Times New Roman"/>
          <w:bCs/>
          <w:sz w:val="18"/>
        </w:rPr>
      </w:pPr>
      <w:r w:rsidRPr="005669F9">
        <w:rPr>
          <w:rFonts w:ascii="ITC Avant Garde" w:eastAsia="Calibri" w:hAnsi="ITC Avant Garde" w:cs="Times New Roman"/>
          <w:bCs/>
          <w:sz w:val="18"/>
        </w:rPr>
        <w:t>[…]</w:t>
      </w:r>
    </w:p>
    <w:p w:rsidR="005669F9" w:rsidRPr="005669F9" w:rsidRDefault="002B070B" w:rsidP="005669F9">
      <w:pPr>
        <w:autoSpaceDE w:val="0"/>
        <w:autoSpaceDN w:val="0"/>
        <w:adjustRightInd w:val="0"/>
        <w:spacing w:before="240" w:line="276" w:lineRule="auto"/>
        <w:ind w:left="284" w:right="616"/>
        <w:jc w:val="both"/>
        <w:rPr>
          <w:rFonts w:ascii="ITC Avant Garde" w:eastAsia="Calibri" w:hAnsi="ITC Avant Garde" w:cs="Times New Roman"/>
          <w:bCs/>
          <w:sz w:val="18"/>
        </w:rPr>
      </w:pPr>
      <w:r w:rsidRPr="005669F9">
        <w:rPr>
          <w:rFonts w:ascii="ITC Avant Garde" w:eastAsia="Calibri" w:hAnsi="ITC Avant Garde" w:cs="Times New Roman"/>
          <w:b/>
          <w:bCs/>
          <w:sz w:val="18"/>
        </w:rPr>
        <w:t>V.</w:t>
      </w:r>
      <w:r w:rsidRPr="005669F9">
        <w:rPr>
          <w:rFonts w:ascii="ITC Avant Garde" w:eastAsia="Calibri" w:hAnsi="ITC Avant Garde" w:cs="Times New Roman"/>
          <w:bCs/>
          <w:sz w:val="18"/>
        </w:rPr>
        <w:t xml:space="preserve"> </w:t>
      </w:r>
      <w:r w:rsidRPr="005669F9">
        <w:rPr>
          <w:rFonts w:ascii="ITC Avant Garde" w:eastAsia="Calibri" w:hAnsi="ITC Avant Garde" w:cs="Times New Roman"/>
          <w:b/>
          <w:bCs/>
          <w:sz w:val="18"/>
        </w:rPr>
        <w:t>En ningún caso se autorizará que los concesionarios utilicen el espectro radioeléctrico para prestar servicios de televisión o audio restringidos.</w:t>
      </w:r>
      <w:r w:rsidRPr="005669F9">
        <w:rPr>
          <w:rFonts w:ascii="ITC Avant Garde" w:eastAsia="Calibri" w:hAnsi="ITC Avant Garde" w:cs="Times New Roman"/>
          <w:bCs/>
          <w:sz w:val="18"/>
        </w:rPr>
        <w:t>” [Énfasis añadido]</w:t>
      </w:r>
    </w:p>
    <w:p w:rsidR="005669F9" w:rsidRPr="005669F9" w:rsidRDefault="00372304"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lastRenderedPageBreak/>
        <w:t xml:space="preserve">Al respecto, es pertinente destacar que este artículo establece una prohibición </w:t>
      </w:r>
      <w:r w:rsidR="009A51BA" w:rsidRPr="005669F9">
        <w:rPr>
          <w:rFonts w:ascii="ITC Avant Garde" w:eastAsia="Calibri" w:hAnsi="ITC Avant Garde" w:cs="Times New Roman"/>
          <w:bCs/>
        </w:rPr>
        <w:t xml:space="preserve">expresa </w:t>
      </w:r>
      <w:r w:rsidRPr="005669F9">
        <w:rPr>
          <w:rFonts w:ascii="ITC Avant Garde" w:eastAsia="Calibri" w:hAnsi="ITC Avant Garde" w:cs="Times New Roman"/>
          <w:bCs/>
        </w:rPr>
        <w:t xml:space="preserve">a los concesionarios que </w:t>
      </w:r>
      <w:r w:rsidR="009A51BA" w:rsidRPr="005669F9">
        <w:rPr>
          <w:rFonts w:ascii="ITC Avant Garde" w:eastAsia="Calibri" w:hAnsi="ITC Avant Garde" w:cs="Times New Roman"/>
          <w:bCs/>
        </w:rPr>
        <w:t>utilicen espectro radioeléctrico</w:t>
      </w:r>
      <w:r w:rsidR="0052737A" w:rsidRPr="005669F9">
        <w:rPr>
          <w:rFonts w:ascii="ITC Avant Garde" w:eastAsia="Calibri" w:hAnsi="ITC Avant Garde" w:cs="Times New Roman"/>
          <w:bCs/>
        </w:rPr>
        <w:t>,</w:t>
      </w:r>
      <w:r w:rsidRPr="005669F9">
        <w:rPr>
          <w:rFonts w:ascii="ITC Avant Garde" w:eastAsia="Calibri" w:hAnsi="ITC Avant Garde" w:cs="Times New Roman"/>
          <w:bCs/>
        </w:rPr>
        <w:t xml:space="preserve"> para prestar servicios de televisión o audio restringidos</w:t>
      </w:r>
      <w:r w:rsidR="00C30135" w:rsidRPr="005669F9">
        <w:rPr>
          <w:rFonts w:ascii="ITC Avant Garde" w:eastAsia="Calibri" w:hAnsi="ITC Avant Garde" w:cs="Times New Roman"/>
          <w:bCs/>
        </w:rPr>
        <w:t xml:space="preserve">, </w:t>
      </w:r>
      <w:r w:rsidR="009A51BA" w:rsidRPr="005669F9">
        <w:rPr>
          <w:rFonts w:ascii="ITC Avant Garde" w:eastAsia="Calibri" w:hAnsi="ITC Avant Garde" w:cs="Times New Roman"/>
          <w:bCs/>
        </w:rPr>
        <w:t xml:space="preserve">precisamente </w:t>
      </w:r>
      <w:r w:rsidR="00C30135" w:rsidRPr="005669F9">
        <w:rPr>
          <w:rFonts w:ascii="ITC Avant Garde" w:eastAsia="Calibri" w:hAnsi="ITC Avant Garde" w:cs="Times New Roman"/>
          <w:bCs/>
        </w:rPr>
        <w:t>mediante el uso del espectro concesionado</w:t>
      </w:r>
      <w:r w:rsidR="00CC085B" w:rsidRPr="005669F9">
        <w:rPr>
          <w:rFonts w:ascii="ITC Avant Garde" w:eastAsia="Calibri" w:hAnsi="ITC Avant Garde" w:cs="Times New Roman"/>
          <w:bCs/>
        </w:rPr>
        <w:t>.</w:t>
      </w:r>
    </w:p>
    <w:p w:rsidR="005669F9" w:rsidRPr="005669F9" w:rsidRDefault="00F979D8" w:rsidP="005669F9">
      <w:pPr>
        <w:autoSpaceDE w:val="0"/>
        <w:autoSpaceDN w:val="0"/>
        <w:adjustRightInd w:val="0"/>
        <w:spacing w:before="240" w:line="276" w:lineRule="auto"/>
        <w:jc w:val="both"/>
        <w:rPr>
          <w:rFonts w:ascii="ITC Avant Garde" w:eastAsia="Calibri" w:hAnsi="ITC Avant Garde" w:cs="Times New Roman"/>
        </w:rPr>
      </w:pPr>
      <w:r w:rsidRPr="005669F9">
        <w:rPr>
          <w:rFonts w:ascii="ITC Avant Garde" w:eastAsia="Calibri" w:hAnsi="ITC Avant Garde" w:cs="Times New Roman"/>
          <w:b/>
          <w:bCs/>
        </w:rPr>
        <w:t>Tercero.- Análisis de la Solicitud de Servicio</w:t>
      </w:r>
      <w:r w:rsidR="000140FE" w:rsidRPr="005669F9">
        <w:rPr>
          <w:rFonts w:ascii="ITC Avant Garde" w:eastAsia="Calibri" w:hAnsi="ITC Avant Garde" w:cs="Times New Roman"/>
          <w:b/>
          <w:bCs/>
        </w:rPr>
        <w:t xml:space="preserve"> </w:t>
      </w:r>
      <w:r w:rsidRPr="005669F9">
        <w:rPr>
          <w:rFonts w:ascii="ITC Avant Garde" w:eastAsia="Calibri" w:hAnsi="ITC Avant Garde" w:cs="Times New Roman"/>
          <w:b/>
          <w:bCs/>
        </w:rPr>
        <w:t>Adicional.</w:t>
      </w:r>
      <w:r w:rsidRPr="005669F9">
        <w:rPr>
          <w:rFonts w:ascii="ITC Avant Garde" w:eastAsia="Calibri" w:hAnsi="ITC Avant Garde" w:cs="Times New Roman"/>
          <w:bCs/>
        </w:rPr>
        <w:t xml:space="preserve"> </w:t>
      </w:r>
      <w:r w:rsidR="000140FE" w:rsidRPr="005669F9">
        <w:rPr>
          <w:rFonts w:ascii="ITC Avant Garde" w:eastAsia="Calibri" w:hAnsi="ITC Avant Garde" w:cs="Times New Roman"/>
          <w:bCs/>
        </w:rPr>
        <w:t>Como</w:t>
      </w:r>
      <w:r w:rsidR="00FF0CA5" w:rsidRPr="005669F9">
        <w:rPr>
          <w:rFonts w:ascii="ITC Avant Garde" w:eastAsia="Calibri" w:hAnsi="ITC Avant Garde" w:cs="Times New Roman"/>
          <w:bCs/>
        </w:rPr>
        <w:t xml:space="preserve"> se indicó en el Antecedente VI</w:t>
      </w:r>
      <w:r w:rsidRPr="005669F9">
        <w:rPr>
          <w:rFonts w:ascii="ITC Avant Garde" w:eastAsia="Calibri" w:hAnsi="ITC Avant Garde" w:cs="Times New Roman"/>
          <w:bCs/>
        </w:rPr>
        <w:t xml:space="preserve"> de la presente Resolución, el </w:t>
      </w:r>
      <w:r w:rsidR="000140FE" w:rsidRPr="005669F9">
        <w:rPr>
          <w:rFonts w:ascii="ITC Avant Garde" w:eastAsia="Calibri" w:hAnsi="ITC Avant Garde" w:cs="Times New Roman"/>
          <w:color w:val="000000"/>
          <w:lang w:eastAsia="es-MX"/>
        </w:rPr>
        <w:t>8 de septiem</w:t>
      </w:r>
      <w:r w:rsidRPr="005669F9">
        <w:rPr>
          <w:rFonts w:ascii="ITC Avant Garde" w:eastAsia="Calibri" w:hAnsi="ITC Avant Garde" w:cs="Times New Roman"/>
          <w:color w:val="000000"/>
          <w:lang w:eastAsia="es-MX"/>
        </w:rPr>
        <w:t>bre</w:t>
      </w:r>
      <w:r w:rsidR="000140FE" w:rsidRPr="005669F9">
        <w:rPr>
          <w:rFonts w:ascii="ITC Avant Garde" w:eastAsia="Calibri" w:hAnsi="ITC Avant Garde" w:cs="Times New Roman"/>
        </w:rPr>
        <w:t xml:space="preserve"> de 2014</w:t>
      </w:r>
      <w:r w:rsidRPr="005669F9">
        <w:rPr>
          <w:rFonts w:ascii="ITC Avant Garde" w:eastAsia="Calibri" w:hAnsi="ITC Avant Garde" w:cs="Times New Roman"/>
        </w:rPr>
        <w:t xml:space="preserve"> </w:t>
      </w:r>
      <w:r w:rsidR="000140FE" w:rsidRPr="005669F9">
        <w:rPr>
          <w:rFonts w:ascii="ITC Avant Garde" w:eastAsia="Calibri" w:hAnsi="ITC Avant Garde" w:cs="Times New Roman"/>
        </w:rPr>
        <w:t>Comband</w:t>
      </w:r>
      <w:r w:rsidRPr="005669F9">
        <w:rPr>
          <w:rFonts w:ascii="ITC Avant Garde" w:eastAsia="Calibri" w:hAnsi="ITC Avant Garde" w:cs="Times New Roman"/>
        </w:rPr>
        <w:t xml:space="preserve"> </w:t>
      </w:r>
      <w:r w:rsidRPr="005669F9">
        <w:rPr>
          <w:rFonts w:ascii="ITC Avant Garde" w:eastAsia="Calibri" w:hAnsi="ITC Avant Garde" w:cs="Times New Roman"/>
          <w:color w:val="000000"/>
          <w:lang w:eastAsia="es-MX"/>
        </w:rPr>
        <w:t xml:space="preserve">presentó </w:t>
      </w:r>
      <w:r w:rsidRPr="005669F9">
        <w:rPr>
          <w:rFonts w:ascii="ITC Avant Garde" w:eastAsia="Calibri" w:hAnsi="ITC Avant Garde" w:cs="Times New Roman"/>
        </w:rPr>
        <w:t>la Solicitud de Servicio Adicional</w:t>
      </w:r>
      <w:r w:rsidR="0052737A" w:rsidRPr="005669F9">
        <w:rPr>
          <w:rFonts w:ascii="ITC Avant Garde" w:eastAsia="Calibri" w:hAnsi="ITC Avant Garde" w:cs="Times New Roman"/>
        </w:rPr>
        <w:t xml:space="preserve">, estando en vigor la Ley. En ese sentido, </w:t>
      </w:r>
      <w:r w:rsidR="009A51BA" w:rsidRPr="005669F9">
        <w:rPr>
          <w:rFonts w:ascii="ITC Avant Garde" w:eastAsia="Calibri" w:hAnsi="ITC Avant Garde" w:cs="Times New Roman"/>
        </w:rPr>
        <w:t>autorizar a Comband la prestación del Servicio Adicional solicitado, implicaría que dicha concesionaria adquiriría el carácter de concesionario de servicios tanto de telecomunicaciones –televisión y audio restringidos-, como de radiodifusión –televisión radiodifundida- situación</w:t>
      </w:r>
      <w:r w:rsidR="00C14F08" w:rsidRPr="005669F9">
        <w:rPr>
          <w:rFonts w:ascii="ITC Avant Garde" w:eastAsia="Calibri" w:hAnsi="ITC Avant Garde" w:cs="Times New Roman"/>
        </w:rPr>
        <w:t xml:space="preserve"> que ubicaría a dicha empresa en la hipótesis contenida en la fracción V del artículo 158 de la Ley.</w:t>
      </w:r>
      <w:r w:rsidR="00C14F08" w:rsidRPr="005669F9" w:rsidDel="009A51BA">
        <w:rPr>
          <w:rFonts w:ascii="ITC Avant Garde" w:eastAsia="Calibri" w:hAnsi="ITC Avant Garde" w:cs="Times New Roman"/>
        </w:rPr>
        <w:t xml:space="preserve"> </w:t>
      </w:r>
    </w:p>
    <w:p w:rsidR="005669F9" w:rsidRPr="005669F9" w:rsidRDefault="00C14F08" w:rsidP="005669F9">
      <w:pPr>
        <w:autoSpaceDE w:val="0"/>
        <w:autoSpaceDN w:val="0"/>
        <w:adjustRightInd w:val="0"/>
        <w:spacing w:before="240" w:line="276" w:lineRule="auto"/>
        <w:jc w:val="both"/>
        <w:rPr>
          <w:rFonts w:ascii="ITC Avant Garde" w:eastAsia="Calibri" w:hAnsi="ITC Avant Garde" w:cs="Times New Roman"/>
        </w:rPr>
      </w:pPr>
      <w:r w:rsidRPr="005669F9">
        <w:rPr>
          <w:rFonts w:ascii="ITC Avant Garde" w:eastAsia="Calibri" w:hAnsi="ITC Avant Garde" w:cs="Times New Roman"/>
        </w:rPr>
        <w:t xml:space="preserve">En este sentido, y como quedó señalado en el Considerando anterior, </w:t>
      </w:r>
      <w:r w:rsidR="00513538" w:rsidRPr="005669F9">
        <w:rPr>
          <w:rFonts w:ascii="ITC Avant Garde" w:eastAsia="Calibri" w:hAnsi="ITC Avant Garde" w:cs="Times New Roman"/>
        </w:rPr>
        <w:t xml:space="preserve">la Sección II “Multiprogramación” de la Ley, en el </w:t>
      </w:r>
      <w:r w:rsidR="001D25F9" w:rsidRPr="005669F9">
        <w:rPr>
          <w:rFonts w:ascii="ITC Avant Garde" w:eastAsia="Calibri" w:hAnsi="ITC Avant Garde" w:cs="Times New Roman"/>
        </w:rPr>
        <w:t>artículo</w:t>
      </w:r>
      <w:r w:rsidR="00513538" w:rsidRPr="005669F9">
        <w:rPr>
          <w:rFonts w:ascii="ITC Avant Garde" w:eastAsia="Calibri" w:hAnsi="ITC Avant Garde" w:cs="Times New Roman"/>
        </w:rPr>
        <w:t xml:space="preserve"> 158 fracción V, </w:t>
      </w:r>
      <w:r w:rsidR="001D25F9" w:rsidRPr="005669F9">
        <w:rPr>
          <w:rFonts w:ascii="ITC Avant Garde" w:eastAsia="Calibri" w:hAnsi="ITC Avant Garde" w:cs="Times New Roman"/>
        </w:rPr>
        <w:t xml:space="preserve">establece que en ningún caso </w:t>
      </w:r>
      <w:r w:rsidR="00222DDE" w:rsidRPr="005669F9">
        <w:rPr>
          <w:rFonts w:ascii="ITC Avant Garde" w:eastAsia="Calibri" w:hAnsi="ITC Avant Garde" w:cs="Times New Roman"/>
        </w:rPr>
        <w:t xml:space="preserve">se podrá autorizar que se utilice el espectro radioeléctrico para prestar servicios de televisión o audio restringidos, cuando con dicho espectro se prestan servicios de radiodifusión, lo cual toma relevancia toda vez que </w:t>
      </w:r>
      <w:r w:rsidR="0052737A" w:rsidRPr="005669F9">
        <w:rPr>
          <w:rFonts w:ascii="ITC Avant Garde" w:eastAsia="Calibri" w:hAnsi="ITC Avant Garde" w:cs="Times New Roman"/>
        </w:rPr>
        <w:t xml:space="preserve">si </w:t>
      </w:r>
      <w:r w:rsidR="00222DDE" w:rsidRPr="005669F9">
        <w:rPr>
          <w:rFonts w:ascii="ITC Avant Garde" w:eastAsia="Calibri" w:hAnsi="ITC Avant Garde" w:cs="Times New Roman"/>
        </w:rPr>
        <w:t xml:space="preserve">este Instituto resolviera favorablemente la </w:t>
      </w:r>
      <w:r w:rsidR="0052737A" w:rsidRPr="005669F9">
        <w:rPr>
          <w:rFonts w:ascii="ITC Avant Garde" w:eastAsia="Calibri" w:hAnsi="ITC Avant Garde" w:cs="Times New Roman"/>
        </w:rPr>
        <w:t>Solicitud de Servicio Adicional, Comband estaría habilitado para ofrecer el servicio de televisión radiodifundida, además de estar obligado a continuar prestando los servicios de televisión y audio restringidos originalmente concesionados de conformidad con los Lineamientos</w:t>
      </w:r>
      <w:r w:rsidR="009A51BA" w:rsidRPr="005669F9">
        <w:rPr>
          <w:rFonts w:ascii="ITC Avant Garde" w:eastAsia="Calibri" w:hAnsi="ITC Avant Garde" w:cs="Times New Roman"/>
        </w:rPr>
        <w:t>.</w:t>
      </w:r>
      <w:r w:rsidR="00222DDE" w:rsidRPr="005669F9">
        <w:rPr>
          <w:rFonts w:ascii="ITC Avant Garde" w:eastAsia="Calibri" w:hAnsi="ITC Avant Garde" w:cs="Times New Roman"/>
        </w:rPr>
        <w:t xml:space="preserve"> </w:t>
      </w:r>
    </w:p>
    <w:p w:rsidR="005669F9" w:rsidRPr="005669F9" w:rsidRDefault="00C14F08"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 xml:space="preserve">Al respecto, </w:t>
      </w:r>
      <w:proofErr w:type="spellStart"/>
      <w:r w:rsidRPr="005669F9">
        <w:rPr>
          <w:rFonts w:ascii="ITC Avant Garde" w:eastAsia="Calibri" w:hAnsi="ITC Avant Garde" w:cs="Times New Roman"/>
          <w:bCs/>
        </w:rPr>
        <w:t>Comband</w:t>
      </w:r>
      <w:proofErr w:type="spellEnd"/>
      <w:r w:rsidRPr="005669F9">
        <w:rPr>
          <w:rFonts w:ascii="ITC Avant Garde" w:eastAsia="Calibri" w:hAnsi="ITC Avant Garde" w:cs="Times New Roman"/>
          <w:bCs/>
        </w:rPr>
        <w:t>, a</w:t>
      </w:r>
      <w:r w:rsidR="00222DDE" w:rsidRPr="005669F9">
        <w:rPr>
          <w:rFonts w:ascii="ITC Avant Garde" w:eastAsia="Calibri" w:hAnsi="ITC Avant Garde" w:cs="Times New Roman"/>
          <w:bCs/>
        </w:rPr>
        <w:t xml:space="preserve">l estar obligado </w:t>
      </w:r>
      <w:r w:rsidR="00513538" w:rsidRPr="005669F9">
        <w:rPr>
          <w:rFonts w:ascii="ITC Avant Garde" w:eastAsia="Calibri" w:hAnsi="ITC Avant Garde" w:cs="Times New Roman"/>
          <w:bCs/>
        </w:rPr>
        <w:t xml:space="preserve">por los Lineamientos </w:t>
      </w:r>
      <w:r w:rsidR="00222DDE" w:rsidRPr="005669F9">
        <w:rPr>
          <w:rFonts w:ascii="ITC Avant Garde" w:eastAsia="Calibri" w:hAnsi="ITC Avant Garde" w:cs="Times New Roman"/>
          <w:bCs/>
        </w:rPr>
        <w:t xml:space="preserve">a </w:t>
      </w:r>
      <w:r w:rsidRPr="005669F9">
        <w:rPr>
          <w:rFonts w:ascii="ITC Avant Garde" w:eastAsia="Calibri" w:hAnsi="ITC Avant Garde" w:cs="Times New Roman"/>
          <w:bCs/>
        </w:rPr>
        <w:t xml:space="preserve">continuar </w:t>
      </w:r>
      <w:r w:rsidR="00222DDE" w:rsidRPr="005669F9">
        <w:rPr>
          <w:rFonts w:ascii="ITC Avant Garde" w:eastAsia="Calibri" w:hAnsi="ITC Avant Garde" w:cs="Times New Roman"/>
          <w:bCs/>
        </w:rPr>
        <w:t>presta</w:t>
      </w:r>
      <w:r w:rsidRPr="005669F9">
        <w:rPr>
          <w:rFonts w:ascii="ITC Avant Garde" w:eastAsia="Calibri" w:hAnsi="ITC Avant Garde" w:cs="Times New Roman"/>
          <w:bCs/>
        </w:rPr>
        <w:t>ndo</w:t>
      </w:r>
      <w:r w:rsidR="00222DDE" w:rsidRPr="005669F9">
        <w:rPr>
          <w:rFonts w:ascii="ITC Avant Garde" w:eastAsia="Calibri" w:hAnsi="ITC Avant Garde" w:cs="Times New Roman"/>
          <w:bCs/>
        </w:rPr>
        <w:t xml:space="preserve"> los servicios de telecomunicaciones contemplados originalmente en la Concesión, </w:t>
      </w:r>
      <w:r w:rsidRPr="005669F9">
        <w:rPr>
          <w:rFonts w:ascii="ITC Avant Garde" w:eastAsia="Calibri" w:hAnsi="ITC Avant Garde" w:cs="Times New Roman"/>
          <w:bCs/>
        </w:rPr>
        <w:t xml:space="preserve">con la determinación de procedencia del servicio adicional solicitado, </w:t>
      </w:r>
      <w:r w:rsidR="00222DDE" w:rsidRPr="005669F9">
        <w:rPr>
          <w:rFonts w:ascii="ITC Avant Garde" w:eastAsia="Calibri" w:hAnsi="ITC Avant Garde" w:cs="Times New Roman"/>
          <w:bCs/>
        </w:rPr>
        <w:t>se</w:t>
      </w:r>
      <w:r w:rsidR="00154D87" w:rsidRPr="005669F9">
        <w:rPr>
          <w:rFonts w:ascii="ITC Avant Garde" w:eastAsia="Calibri" w:hAnsi="ITC Avant Garde" w:cs="Times New Roman"/>
          <w:bCs/>
        </w:rPr>
        <w:t xml:space="preserve"> estaría autoriz</w:t>
      </w:r>
      <w:r w:rsidR="00E3326D" w:rsidRPr="005669F9">
        <w:rPr>
          <w:rFonts w:ascii="ITC Avant Garde" w:eastAsia="Calibri" w:hAnsi="ITC Avant Garde" w:cs="Times New Roman"/>
          <w:bCs/>
        </w:rPr>
        <w:t xml:space="preserve">ando un acto contrario a la Ley, o bien, si </w:t>
      </w:r>
      <w:r w:rsidRPr="005669F9">
        <w:rPr>
          <w:rFonts w:ascii="ITC Avant Garde" w:eastAsia="Calibri" w:hAnsi="ITC Avant Garde" w:cs="Times New Roman"/>
          <w:bCs/>
        </w:rPr>
        <w:t xml:space="preserve">Comband </w:t>
      </w:r>
      <w:r w:rsidR="00E3326D" w:rsidRPr="005669F9">
        <w:rPr>
          <w:rFonts w:ascii="ITC Avant Garde" w:eastAsia="Calibri" w:hAnsi="ITC Avant Garde" w:cs="Times New Roman"/>
          <w:bCs/>
        </w:rPr>
        <w:t xml:space="preserve">dejase de prestar los servicios de telecomunicaciones originalmente concesionados, es decir, televisión y audio restringidos, </w:t>
      </w:r>
      <w:r w:rsidR="00513538" w:rsidRPr="005669F9">
        <w:rPr>
          <w:rFonts w:ascii="ITC Avant Garde" w:eastAsia="Calibri" w:hAnsi="ITC Avant Garde" w:cs="Times New Roman"/>
          <w:bCs/>
        </w:rPr>
        <w:t xml:space="preserve">para no actualizar la hipótesis de la fracción V del artículo 158 de la Ley relativo a la multiprogramación, </w:t>
      </w:r>
      <w:r w:rsidR="00E3326D" w:rsidRPr="005669F9">
        <w:rPr>
          <w:rFonts w:ascii="ITC Avant Garde" w:eastAsia="Calibri" w:hAnsi="ITC Avant Garde" w:cs="Times New Roman"/>
          <w:bCs/>
        </w:rPr>
        <w:t xml:space="preserve">se estaría vulnerando lo establecido en los numerales 1.2 y VII.1 de los Lineamientos. </w:t>
      </w:r>
    </w:p>
    <w:p w:rsidR="005669F9" w:rsidRPr="005669F9" w:rsidRDefault="00653DD9"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Derivado de lo anteriormente señalado, resulta improcedente</w:t>
      </w:r>
      <w:r w:rsidR="00561431" w:rsidRPr="005669F9">
        <w:rPr>
          <w:rFonts w:ascii="ITC Avant Garde" w:eastAsia="Calibri" w:hAnsi="ITC Avant Garde" w:cs="Times New Roman"/>
          <w:bCs/>
        </w:rPr>
        <w:t xml:space="preserve"> la Solicitud de Servicio Adicional presentada por Comband</w:t>
      </w:r>
      <w:r w:rsidRPr="005669F9">
        <w:rPr>
          <w:rFonts w:ascii="ITC Avant Garde" w:eastAsia="Calibri" w:hAnsi="ITC Avant Garde" w:cs="Times New Roman"/>
          <w:bCs/>
        </w:rPr>
        <w:t>, toda vez que la misma es contraria a lo previsto por el artículo 158 fracción V de la Ley</w:t>
      </w:r>
      <w:r w:rsidR="00D32879" w:rsidRPr="005669F9">
        <w:rPr>
          <w:rFonts w:ascii="ITC Avant Garde" w:eastAsia="Calibri" w:hAnsi="ITC Avant Garde" w:cs="Times New Roman"/>
          <w:bCs/>
        </w:rPr>
        <w:t>.</w:t>
      </w:r>
    </w:p>
    <w:p w:rsidR="005669F9" w:rsidRPr="005669F9" w:rsidRDefault="00BC5090"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 xml:space="preserve">Finalmente, por lo que toca a la petición relativa a la “(ii) modificación del título de concesión para eliminar la restricción respecto a la prestación de dicho servicio”, debe hacerse notar que la misma no amerita pronunciamiento alguno por parte de este Instituto, ya que la Concesión no contiene prohibición o restricción alguna para </w:t>
      </w:r>
      <w:r w:rsidRPr="005669F9">
        <w:rPr>
          <w:rFonts w:ascii="ITC Avant Garde" w:eastAsia="Calibri" w:hAnsi="ITC Avant Garde" w:cs="Times New Roman"/>
          <w:bCs/>
        </w:rPr>
        <w:lastRenderedPageBreak/>
        <w:t>la prestación de un servicio determinado, por lo que dicha petición carece de materia.</w:t>
      </w:r>
      <w:r w:rsidRPr="005669F9" w:rsidDel="001279B0">
        <w:rPr>
          <w:rFonts w:ascii="ITC Avant Garde" w:eastAsia="Calibri" w:hAnsi="ITC Avant Garde" w:cs="Times New Roman"/>
          <w:bCs/>
        </w:rPr>
        <w:t xml:space="preserve"> </w:t>
      </w:r>
    </w:p>
    <w:p w:rsidR="005669F9" w:rsidRPr="005669F9" w:rsidRDefault="00C65132"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Cs/>
        </w:rPr>
        <w:t>Por lo anteriormente señalado, y con fundamento en los artículos 28 párrafos décimo quinto, décimo sexto y décimo séptimo de la Constitución Política de los Estados Unidos Mexicanos; Cuarto Transitorio del “</w:t>
      </w:r>
      <w:r w:rsidRPr="005669F9">
        <w:rPr>
          <w:rFonts w:ascii="ITC Avant Garde" w:eastAsia="Calibri" w:hAnsi="ITC Avant Garde" w:cs="Times New Roman"/>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5669F9">
        <w:rPr>
          <w:rFonts w:ascii="ITC Avant Garde" w:eastAsia="Calibri" w:hAnsi="ITC Avant Garde" w:cs="Times New Roman"/>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w:t>
      </w:r>
      <w:r w:rsidR="007F7F13" w:rsidRPr="005669F9">
        <w:rPr>
          <w:rFonts w:ascii="ITC Avant Garde" w:eastAsia="Calibri" w:hAnsi="ITC Avant Garde" w:cs="Times New Roman"/>
          <w:bCs/>
        </w:rPr>
        <w:t xml:space="preserve"> y</w:t>
      </w:r>
      <w:r w:rsidRPr="005669F9">
        <w:rPr>
          <w:rFonts w:ascii="ITC Avant Garde" w:eastAsia="Calibri" w:hAnsi="ITC Avant Garde" w:cs="Times New Roman"/>
          <w:bCs/>
        </w:rPr>
        <w:t>,</w:t>
      </w:r>
      <w:r w:rsidR="007F7F13" w:rsidRPr="005669F9">
        <w:rPr>
          <w:rFonts w:ascii="ITC Avant Garde" w:eastAsia="Calibri" w:hAnsi="ITC Avant Garde" w:cs="Times New Roman"/>
          <w:bCs/>
        </w:rPr>
        <w:t xml:space="preserve"> </w:t>
      </w:r>
      <w:r w:rsidRPr="005669F9">
        <w:rPr>
          <w:rFonts w:ascii="ITC Avant Garde" w:eastAsia="Calibri" w:hAnsi="ITC Avant Garde" w:cs="Times New Roman"/>
          <w:bCs/>
        </w:rPr>
        <w:t>15 fracciones I</w:t>
      </w:r>
      <w:r w:rsidR="00164992" w:rsidRPr="005669F9">
        <w:rPr>
          <w:rFonts w:ascii="ITC Avant Garde" w:eastAsia="Calibri" w:hAnsi="ITC Avant Garde" w:cs="Times New Roman"/>
          <w:bCs/>
        </w:rPr>
        <w:t>V</w:t>
      </w:r>
      <w:r w:rsidR="00AF3C75" w:rsidRPr="005669F9">
        <w:rPr>
          <w:rFonts w:ascii="ITC Avant Garde" w:eastAsia="Calibri" w:hAnsi="ITC Avant Garde" w:cs="Times New Roman"/>
          <w:bCs/>
        </w:rPr>
        <w:t xml:space="preserve"> y LVII</w:t>
      </w:r>
      <w:r w:rsidRPr="005669F9">
        <w:rPr>
          <w:rFonts w:ascii="ITC Avant Garde" w:eastAsia="Calibri" w:hAnsi="ITC Avant Garde" w:cs="Times New Roman"/>
          <w:bCs/>
        </w:rPr>
        <w:t xml:space="preserve">, 16, 17 fracción I y </w:t>
      </w:r>
      <w:r w:rsidR="00A13679" w:rsidRPr="005669F9">
        <w:rPr>
          <w:rFonts w:ascii="ITC Avant Garde" w:eastAsia="Calibri" w:hAnsi="ITC Avant Garde" w:cs="Times New Roman"/>
          <w:bCs/>
        </w:rPr>
        <w:t>158</w:t>
      </w:r>
      <w:r w:rsidRPr="005669F9">
        <w:rPr>
          <w:rFonts w:ascii="ITC Avant Garde" w:eastAsia="Calibri" w:hAnsi="ITC Avant Garde" w:cs="Times New Roman"/>
          <w:bCs/>
        </w:rPr>
        <w:t xml:space="preserve"> de la Ley Federal de Telecomunicaciones y Radiodifusión; 35 fracción I, 36, 38, 39 y 57 fracción I de la Ley Federal de Procedimiento Administrativo; 1, 6 fracciones I, XV</w:t>
      </w:r>
      <w:r w:rsidR="00AF3C75" w:rsidRPr="005669F9">
        <w:rPr>
          <w:rFonts w:ascii="ITC Avant Garde" w:eastAsia="Calibri" w:hAnsi="ITC Avant Garde" w:cs="Times New Roman"/>
          <w:bCs/>
        </w:rPr>
        <w:t>, XVIII</w:t>
      </w:r>
      <w:r w:rsidR="00A13679" w:rsidRPr="005669F9">
        <w:rPr>
          <w:rFonts w:ascii="ITC Avant Garde" w:eastAsia="Calibri" w:hAnsi="ITC Avant Garde" w:cs="Times New Roman"/>
          <w:bCs/>
        </w:rPr>
        <w:t xml:space="preserve"> y XXXVIII, 32, 33 fracción VI </w:t>
      </w:r>
      <w:r w:rsidRPr="005669F9">
        <w:rPr>
          <w:rFonts w:ascii="ITC Avant Garde" w:eastAsia="Calibri" w:hAnsi="ITC Avant Garde" w:cs="Times New Roman"/>
          <w:bCs/>
        </w:rPr>
        <w:t>del Estatuto Orgánico del Instituto Federal de Telecomunicaciones; así como los “Lineamientos generales que establecen los requisitos, términos y condiciones que los actuales concesionarios de radiodifusión, telecomunicaciones y telefonía deberán cumplir para que se les autorice la prestación de servicios adicionales a los que son objeto de su concesión” publicados en el Diario Oficial de la Federación el 28 de mayo de 2014, este órgano autónomo constitucional emite los siguientes:</w:t>
      </w:r>
    </w:p>
    <w:p w:rsidR="005669F9" w:rsidRPr="005669F9" w:rsidRDefault="00C65132" w:rsidP="005669F9">
      <w:pPr>
        <w:pStyle w:val="Ttulo2"/>
        <w:spacing w:after="240"/>
        <w:jc w:val="center"/>
        <w:rPr>
          <w:rFonts w:ascii="ITC Avant Garde" w:hAnsi="ITC Avant Garde"/>
          <w:b/>
          <w:color w:val="000000" w:themeColor="text1"/>
          <w:sz w:val="22"/>
          <w:szCs w:val="22"/>
        </w:rPr>
      </w:pPr>
      <w:r w:rsidRPr="005669F9">
        <w:rPr>
          <w:rFonts w:ascii="ITC Avant Garde" w:hAnsi="ITC Avant Garde"/>
          <w:b/>
          <w:color w:val="000000" w:themeColor="text1"/>
          <w:sz w:val="22"/>
          <w:szCs w:val="22"/>
        </w:rPr>
        <w:t>RESOLUTIVOS</w:t>
      </w:r>
    </w:p>
    <w:p w:rsidR="00C65132" w:rsidRPr="005669F9" w:rsidRDefault="00C65132" w:rsidP="005669F9">
      <w:pPr>
        <w:autoSpaceDE w:val="0"/>
        <w:autoSpaceDN w:val="0"/>
        <w:adjustRightInd w:val="0"/>
        <w:spacing w:before="240" w:line="276" w:lineRule="auto"/>
        <w:jc w:val="both"/>
        <w:rPr>
          <w:rFonts w:ascii="ITC Avant Garde" w:eastAsia="Calibri" w:hAnsi="ITC Avant Garde" w:cs="Times New Roman"/>
          <w:bCs/>
          <w:color w:val="000000"/>
          <w:lang w:eastAsia="es-MX"/>
        </w:rPr>
      </w:pPr>
      <w:r w:rsidRPr="005669F9">
        <w:rPr>
          <w:rFonts w:ascii="ITC Avant Garde" w:eastAsia="Calibri" w:hAnsi="ITC Avant Garde" w:cs="Times New Roman"/>
          <w:b/>
          <w:bCs/>
          <w:color w:val="000000"/>
          <w:lang w:eastAsia="es-MX"/>
        </w:rPr>
        <w:t>PRIMERO.-</w:t>
      </w:r>
      <w:r w:rsidRPr="005669F9">
        <w:rPr>
          <w:rFonts w:ascii="ITC Avant Garde" w:eastAsia="Calibri" w:hAnsi="ITC Avant Garde" w:cs="Times New Roman"/>
          <w:bCs/>
          <w:color w:val="000000"/>
          <w:lang w:eastAsia="es-MX"/>
        </w:rPr>
        <w:t xml:space="preserve"> S</w:t>
      </w:r>
      <w:r w:rsidR="00A13679" w:rsidRPr="005669F9">
        <w:rPr>
          <w:rFonts w:ascii="ITC Avant Garde" w:eastAsia="Calibri" w:hAnsi="ITC Avant Garde" w:cs="Times New Roman"/>
          <w:bCs/>
          <w:color w:val="000000"/>
          <w:lang w:eastAsia="es-MX"/>
        </w:rPr>
        <w:t xml:space="preserve">e </w:t>
      </w:r>
      <w:r w:rsidR="00CD75BB" w:rsidRPr="005669F9">
        <w:rPr>
          <w:rFonts w:ascii="ITC Avant Garde" w:eastAsia="Calibri" w:hAnsi="ITC Avant Garde" w:cs="Times New Roman"/>
          <w:bCs/>
          <w:color w:val="000000"/>
          <w:lang w:eastAsia="es-MX"/>
        </w:rPr>
        <w:t xml:space="preserve">niega a Comband, S.A. de C.V., la autorización para la prestación del servicio de televisión radiodifundida como adicional al contemplado </w:t>
      </w:r>
      <w:r w:rsidR="00A13679" w:rsidRPr="005669F9">
        <w:rPr>
          <w:rFonts w:ascii="ITC Avant Garde" w:eastAsia="Calibri" w:hAnsi="ITC Avant Garde" w:cs="Times New Roman"/>
          <w:bCs/>
          <w:color w:val="000000"/>
          <w:lang w:eastAsia="es-MX"/>
        </w:rPr>
        <w:t>en</w:t>
      </w:r>
      <w:r w:rsidR="00B07A66" w:rsidRPr="005669F9">
        <w:rPr>
          <w:rFonts w:ascii="ITC Avant Garde" w:eastAsia="Calibri" w:hAnsi="ITC Avant Garde" w:cs="Times New Roman"/>
          <w:bCs/>
          <w:color w:val="000000"/>
          <w:lang w:eastAsia="es-MX"/>
        </w:rPr>
        <w:t xml:space="preserve"> la</w:t>
      </w:r>
      <w:r w:rsidR="00A13679" w:rsidRPr="005669F9">
        <w:rPr>
          <w:rFonts w:ascii="ITC Avant Garde" w:eastAsia="Calibri" w:hAnsi="ITC Avant Garde" w:cs="Times New Roman"/>
          <w:bCs/>
          <w:color w:val="000000"/>
          <w:lang w:eastAsia="es-MX"/>
        </w:rPr>
        <w:t xml:space="preserve"> modificación y prórroga de la concesión para usar, aprovechar y explotar bandas de frecuencias del espectro radioeléctrico para usos determinados en la banda de frecuencias 692-698 MHz, otorgad</w:t>
      </w:r>
      <w:r w:rsidR="00CD75BB" w:rsidRPr="005669F9">
        <w:rPr>
          <w:rFonts w:ascii="ITC Avant Garde" w:eastAsia="Calibri" w:hAnsi="ITC Avant Garde" w:cs="Times New Roman"/>
          <w:bCs/>
          <w:color w:val="000000"/>
          <w:lang w:eastAsia="es-MX"/>
        </w:rPr>
        <w:t>o</w:t>
      </w:r>
      <w:r w:rsidR="00A13679" w:rsidRPr="005669F9">
        <w:rPr>
          <w:rFonts w:ascii="ITC Avant Garde" w:eastAsia="Calibri" w:hAnsi="ITC Avant Garde" w:cs="Times New Roman"/>
          <w:bCs/>
          <w:color w:val="000000"/>
          <w:lang w:eastAsia="es-MX"/>
        </w:rPr>
        <w:t xml:space="preserve"> el 9 de septiembre de 2013 a Comband, S.A. de C.V.</w:t>
      </w:r>
      <w:r w:rsidR="00AF3C75" w:rsidRPr="005669F9">
        <w:rPr>
          <w:rFonts w:ascii="ITC Avant Garde" w:eastAsia="Calibri" w:hAnsi="ITC Avant Garde" w:cs="Times New Roman"/>
          <w:bCs/>
          <w:color w:val="000000"/>
          <w:lang w:eastAsia="es-MX"/>
        </w:rPr>
        <w:t>, en virtud de lo señalado en el Considerando Tercero de la presente Resolución.</w:t>
      </w:r>
    </w:p>
    <w:p w:rsidR="005669F9" w:rsidRPr="005669F9" w:rsidRDefault="00CD75BB" w:rsidP="005669F9">
      <w:pPr>
        <w:autoSpaceDE w:val="0"/>
        <w:autoSpaceDN w:val="0"/>
        <w:adjustRightInd w:val="0"/>
        <w:spacing w:before="240" w:line="276" w:lineRule="auto"/>
        <w:jc w:val="both"/>
        <w:rPr>
          <w:rFonts w:ascii="Calibri" w:eastAsia="Calibri" w:hAnsi="Calibri" w:cs="Times New Roman"/>
          <w:sz w:val="20"/>
          <w:szCs w:val="20"/>
        </w:rPr>
      </w:pPr>
      <w:r w:rsidRPr="005669F9">
        <w:rPr>
          <w:rFonts w:ascii="ITC Avant Garde" w:eastAsia="Calibri" w:hAnsi="ITC Avant Garde" w:cs="Times New Roman"/>
          <w:b/>
          <w:bCs/>
          <w:color w:val="000000"/>
          <w:lang w:eastAsia="es-MX"/>
        </w:rPr>
        <w:t>SEGUNDO</w:t>
      </w:r>
      <w:r w:rsidR="00A13679" w:rsidRPr="005669F9">
        <w:rPr>
          <w:rFonts w:ascii="ITC Avant Garde" w:eastAsia="Calibri" w:hAnsi="ITC Avant Garde" w:cs="Times New Roman"/>
          <w:b/>
          <w:bCs/>
          <w:color w:val="000000"/>
          <w:lang w:eastAsia="es-MX"/>
        </w:rPr>
        <w:t>.</w:t>
      </w:r>
      <w:r w:rsidR="00A13679" w:rsidRPr="005669F9">
        <w:rPr>
          <w:rFonts w:ascii="ITC Avant Garde" w:eastAsia="Calibri" w:hAnsi="ITC Avant Garde" w:cs="Times New Roman"/>
          <w:bCs/>
          <w:color w:val="000000"/>
          <w:lang w:eastAsia="es-MX"/>
        </w:rPr>
        <w:t xml:space="preserve">- Se instruye a la Unidad de Concesiones y </w:t>
      </w:r>
      <w:r w:rsidR="004C1570" w:rsidRPr="005669F9">
        <w:rPr>
          <w:rFonts w:ascii="ITC Avant Garde" w:eastAsia="Calibri" w:hAnsi="ITC Avant Garde" w:cs="Times New Roman"/>
          <w:bCs/>
          <w:color w:val="000000"/>
          <w:lang w:eastAsia="es-MX"/>
        </w:rPr>
        <w:t>S</w:t>
      </w:r>
      <w:r w:rsidR="00A13679" w:rsidRPr="005669F9">
        <w:rPr>
          <w:rFonts w:ascii="ITC Avant Garde" w:eastAsia="Calibri" w:hAnsi="ITC Avant Garde" w:cs="Times New Roman"/>
          <w:bCs/>
          <w:color w:val="000000"/>
          <w:lang w:eastAsia="es-MX"/>
        </w:rPr>
        <w:t>ervicios a notificar a Comband, S.A. de C.V., el contenido de la presente Resolución.</w:t>
      </w:r>
    </w:p>
    <w:p w:rsidR="005669F9" w:rsidRPr="005669F9" w:rsidRDefault="00CD75BB" w:rsidP="005669F9">
      <w:pPr>
        <w:autoSpaceDE w:val="0"/>
        <w:autoSpaceDN w:val="0"/>
        <w:adjustRightInd w:val="0"/>
        <w:spacing w:before="240" w:line="276" w:lineRule="auto"/>
        <w:jc w:val="both"/>
        <w:rPr>
          <w:rFonts w:ascii="ITC Avant Garde" w:eastAsia="Calibri" w:hAnsi="ITC Avant Garde" w:cs="Times New Roman"/>
          <w:bCs/>
        </w:rPr>
      </w:pPr>
      <w:r w:rsidRPr="005669F9">
        <w:rPr>
          <w:rFonts w:ascii="ITC Avant Garde" w:eastAsia="Calibri" w:hAnsi="ITC Avant Garde" w:cs="Times New Roman"/>
          <w:b/>
          <w:bCs/>
        </w:rPr>
        <w:t>TERCERO</w:t>
      </w:r>
      <w:r w:rsidR="00C65132" w:rsidRPr="005669F9">
        <w:rPr>
          <w:rFonts w:ascii="ITC Avant Garde" w:eastAsia="Calibri" w:hAnsi="ITC Avant Garde" w:cs="Times New Roman"/>
          <w:b/>
          <w:bCs/>
        </w:rPr>
        <w:t>.-</w:t>
      </w:r>
      <w:r w:rsidR="00C65132" w:rsidRPr="005669F9">
        <w:rPr>
          <w:rFonts w:ascii="ITC Avant Garde" w:eastAsia="Calibri" w:hAnsi="ITC Avant Garde" w:cs="Times New Roman"/>
          <w:bCs/>
        </w:rPr>
        <w:t xml:space="preserve"> Se instruye a la Secretaría Técnica del Pleno a hacer del conocimiento de la Unidad de Espectro Radioeléctrico</w:t>
      </w:r>
      <w:r w:rsidRPr="005669F9">
        <w:rPr>
          <w:rFonts w:ascii="ITC Avant Garde" w:eastAsia="Calibri" w:hAnsi="ITC Avant Garde" w:cs="Times New Roman"/>
          <w:bCs/>
        </w:rPr>
        <w:t>,</w:t>
      </w:r>
      <w:r w:rsidR="00C65132" w:rsidRPr="005669F9">
        <w:rPr>
          <w:rFonts w:ascii="ITC Avant Garde" w:eastAsia="Calibri" w:hAnsi="ITC Avant Garde" w:cs="Times New Roman"/>
          <w:bCs/>
        </w:rPr>
        <w:t xml:space="preserve"> el contenido de la presente Resolución para los efectos conducentes. </w:t>
      </w:r>
    </w:p>
    <w:p w:rsidR="008C1BFE" w:rsidRPr="005669F9" w:rsidRDefault="008C1BFE" w:rsidP="005669F9">
      <w:pPr>
        <w:spacing w:before="240" w:line="240" w:lineRule="auto"/>
        <w:jc w:val="both"/>
        <w:rPr>
          <w:rFonts w:ascii="ITC Avant Garde" w:hAnsi="ITC Avant Garde"/>
          <w:sz w:val="12"/>
          <w:szCs w:val="12"/>
        </w:rPr>
      </w:pPr>
      <w:r w:rsidRPr="005669F9">
        <w:rPr>
          <w:rFonts w:ascii="ITC Avant Garde" w:hAnsi="ITC Avant Garde"/>
          <w:sz w:val="12"/>
          <w:szCs w:val="12"/>
          <w:lang w:val="es-ES"/>
        </w:rPr>
        <w:lastRenderedPageBreak/>
        <w:t xml:space="preserve">La presente Resolución fue aprobada por el Pleno del Instituto Federal de Telecomunicaciones en su XIII Sesión Ordinaria celebrada el 29 de marzo de 2017, </w:t>
      </w:r>
      <w:r w:rsidRPr="005669F9">
        <w:rPr>
          <w:rFonts w:ascii="ITC Avant Garde" w:hAnsi="ITC Avant Garde"/>
          <w:bCs/>
          <w:sz w:val="12"/>
          <w:szCs w:val="12"/>
          <w:lang w:val="es-ES"/>
        </w:rPr>
        <w:t xml:space="preserve">en lo general por mayoría </w:t>
      </w:r>
      <w:r w:rsidRPr="005669F9">
        <w:rPr>
          <w:rFonts w:ascii="ITC Avant Garde" w:hAnsi="ITC Avant Garde"/>
          <w:sz w:val="12"/>
          <w:szCs w:val="12"/>
          <w:lang w:val="es-ES"/>
        </w:rPr>
        <w:t>de votos de los Comisionados Gabriel Oswaldo Contreras Saldívar, María Elena Estavillo Flores, Mario Germán Fromow Rangel, Adolfo Cuevas Teja y Javier Juárez Mojica; y con el voto en contra de la Comisionada Adriana Sofía Labardini Inzunza.</w:t>
      </w:r>
    </w:p>
    <w:p w:rsidR="008C1BFE" w:rsidRPr="005669F9" w:rsidRDefault="008C1BFE" w:rsidP="005669F9">
      <w:pPr>
        <w:spacing w:before="240" w:line="240" w:lineRule="auto"/>
        <w:jc w:val="both"/>
        <w:rPr>
          <w:rFonts w:ascii="ITC Avant Garde" w:hAnsi="ITC Avant Garde"/>
          <w:sz w:val="12"/>
          <w:szCs w:val="12"/>
          <w:lang w:val="es-ES"/>
        </w:rPr>
      </w:pPr>
      <w:r w:rsidRPr="005669F9">
        <w:rPr>
          <w:rFonts w:ascii="ITC Avant Garde" w:hAnsi="ITC Avant Garde"/>
          <w:sz w:val="12"/>
          <w:szCs w:val="12"/>
          <w:lang w:val="es-ES"/>
        </w:rPr>
        <w:t>La Comisionada María Elena Estavillo Flores manifestó voto concurrente manifestando que si bien coincide con los argumentos de la Resolución, considera que existen otros importantes que justifican la decisión pero que no fueron analizados.</w:t>
      </w:r>
    </w:p>
    <w:p w:rsidR="008C1BFE" w:rsidRPr="005669F9" w:rsidRDefault="008C1BFE" w:rsidP="005669F9">
      <w:pPr>
        <w:spacing w:before="240" w:line="240" w:lineRule="auto"/>
        <w:jc w:val="both"/>
        <w:rPr>
          <w:rFonts w:ascii="ITC Avant Garde" w:hAnsi="ITC Avant Garde"/>
          <w:sz w:val="12"/>
          <w:szCs w:val="12"/>
          <w:lang w:val="es-ES"/>
        </w:rPr>
      </w:pPr>
      <w:r w:rsidRPr="005669F9">
        <w:rPr>
          <w:rFonts w:ascii="ITC Avant Garde" w:hAnsi="ITC Avant Garde"/>
          <w:sz w:val="12"/>
          <w:szCs w:val="12"/>
          <w:lang w:val="es-ES"/>
        </w:rPr>
        <w:t>Asimismo, los Comisionados Adolfo Cuevas Teja y Javier Juárez Mojica manifestaron votos concurrentes atendiendo a las consideraciones que señalaron durante la sesión.</w:t>
      </w:r>
    </w:p>
    <w:p w:rsidR="008C1BFE" w:rsidRPr="005669F9" w:rsidRDefault="008C1BFE" w:rsidP="005669F9">
      <w:pPr>
        <w:spacing w:before="240" w:line="240" w:lineRule="auto"/>
        <w:jc w:val="both"/>
        <w:rPr>
          <w:rFonts w:ascii="ITC Avant Garde" w:hAnsi="ITC Avant Garde"/>
          <w:sz w:val="12"/>
          <w:szCs w:val="12"/>
          <w:lang w:val="es-ES"/>
        </w:rPr>
      </w:pPr>
      <w:r w:rsidRPr="005669F9">
        <w:rPr>
          <w:rFonts w:ascii="ITC Avant Garde" w:hAnsi="ITC Avant Garde"/>
          <w:sz w:val="12"/>
          <w:szCs w:val="12"/>
          <w:lang w:val="es-ES"/>
        </w:rPr>
        <w:t xml:space="preserve">En lo particular, el Comisionado Javier Juárez Mojica manifestó voto en contra del Resolutivo Tercero. </w:t>
      </w:r>
    </w:p>
    <w:p w:rsidR="008C1BFE" w:rsidRPr="005669F9" w:rsidRDefault="008C1BFE" w:rsidP="005669F9">
      <w:pPr>
        <w:spacing w:before="240" w:line="240" w:lineRule="auto"/>
        <w:jc w:val="both"/>
        <w:rPr>
          <w:rFonts w:ascii="ITC Avant Garde" w:hAnsi="ITC Avant Garde"/>
          <w:sz w:val="12"/>
          <w:szCs w:val="12"/>
          <w:lang w:val="es-ES"/>
        </w:rPr>
      </w:pPr>
      <w:r w:rsidRPr="005669F9">
        <w:rPr>
          <w:rFonts w:ascii="ITC Avant Garde" w:hAnsi="ITC Avant Garde"/>
          <w:sz w:val="12"/>
          <w:szCs w:val="12"/>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P/IFT/290317/162.</w:t>
      </w:r>
    </w:p>
    <w:p w:rsidR="008C1BFE" w:rsidRPr="005669F9" w:rsidRDefault="008C1BFE" w:rsidP="005669F9">
      <w:pPr>
        <w:spacing w:before="240" w:line="240" w:lineRule="auto"/>
        <w:jc w:val="both"/>
        <w:rPr>
          <w:rFonts w:ascii="ITC Avant Garde" w:eastAsia="Calibri" w:hAnsi="ITC Avant Garde" w:cs="Times New Roman"/>
          <w:bCs/>
        </w:rPr>
      </w:pPr>
      <w:r w:rsidRPr="005669F9">
        <w:rPr>
          <w:rFonts w:ascii="ITC Avant Garde" w:hAnsi="ITC Avant Garde"/>
          <w:sz w:val="12"/>
          <w:szCs w:val="12"/>
          <w:lang w:val="es-ES"/>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End w:id="0"/>
    </w:p>
    <w:sectPr w:rsidR="008C1BFE" w:rsidRPr="005669F9" w:rsidSect="00AB433D">
      <w:footerReference w:type="default" r:id="rId8"/>
      <w:pgSz w:w="12240" w:h="15840"/>
      <w:pgMar w:top="1985"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225" w:rsidRDefault="00812225" w:rsidP="00C65132">
      <w:pPr>
        <w:spacing w:after="0" w:line="240" w:lineRule="auto"/>
      </w:pPr>
      <w:r>
        <w:separator/>
      </w:r>
    </w:p>
  </w:endnote>
  <w:endnote w:type="continuationSeparator" w:id="0">
    <w:p w:rsidR="00812225" w:rsidRDefault="00812225" w:rsidP="00C6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650960"/>
      <w:docPartObj>
        <w:docPartGallery w:val="Page Numbers (Bottom of Page)"/>
        <w:docPartUnique/>
      </w:docPartObj>
    </w:sdtPr>
    <w:sdtEndPr>
      <w:rPr>
        <w:rFonts w:ascii="ITC Avant Garde" w:hAnsi="ITC Avant Garde"/>
        <w:sz w:val="20"/>
        <w:szCs w:val="20"/>
      </w:rPr>
    </w:sdtEndPr>
    <w:sdtContent>
      <w:p w:rsidR="00C52447" w:rsidRPr="005669F9" w:rsidRDefault="00B421E4" w:rsidP="005669F9">
        <w:pPr>
          <w:pStyle w:val="Piedepgina"/>
          <w:jc w:val="right"/>
          <w:rPr>
            <w:rFonts w:ascii="ITC Avant Garde" w:hAnsi="ITC Avant Garde"/>
            <w:sz w:val="20"/>
            <w:szCs w:val="20"/>
          </w:rPr>
        </w:pPr>
        <w:r w:rsidRPr="00B421E4">
          <w:rPr>
            <w:rFonts w:ascii="ITC Avant Garde" w:hAnsi="ITC Avant Garde"/>
            <w:sz w:val="20"/>
            <w:szCs w:val="20"/>
          </w:rPr>
          <w:fldChar w:fldCharType="begin"/>
        </w:r>
        <w:r w:rsidRPr="00B421E4">
          <w:rPr>
            <w:rFonts w:ascii="ITC Avant Garde" w:hAnsi="ITC Avant Garde"/>
            <w:sz w:val="20"/>
            <w:szCs w:val="20"/>
          </w:rPr>
          <w:instrText>PAGE   \* MERGEFORMAT</w:instrText>
        </w:r>
        <w:r w:rsidRPr="00B421E4">
          <w:rPr>
            <w:rFonts w:ascii="ITC Avant Garde" w:hAnsi="ITC Avant Garde"/>
            <w:sz w:val="20"/>
            <w:szCs w:val="20"/>
          </w:rPr>
          <w:fldChar w:fldCharType="separate"/>
        </w:r>
        <w:r w:rsidR="005669F9" w:rsidRPr="005669F9">
          <w:rPr>
            <w:rFonts w:ascii="ITC Avant Garde" w:hAnsi="ITC Avant Garde"/>
            <w:noProof/>
            <w:sz w:val="20"/>
            <w:szCs w:val="20"/>
            <w:lang w:val="es-ES"/>
          </w:rPr>
          <w:t>9</w:t>
        </w:r>
        <w:r w:rsidRPr="00B421E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225" w:rsidRDefault="00812225" w:rsidP="00C65132">
      <w:pPr>
        <w:spacing w:after="0" w:line="240" w:lineRule="auto"/>
      </w:pPr>
      <w:r>
        <w:separator/>
      </w:r>
    </w:p>
  </w:footnote>
  <w:footnote w:type="continuationSeparator" w:id="0">
    <w:p w:rsidR="00812225" w:rsidRDefault="00812225" w:rsidP="00C65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45EE7362"/>
    <w:multiLevelType w:val="hybridMultilevel"/>
    <w:tmpl w:val="090EABDA"/>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073881"/>
    <w:multiLevelType w:val="hybridMultilevel"/>
    <w:tmpl w:val="9B7ED5A4"/>
    <w:lvl w:ilvl="0" w:tplc="B2B0BDFA">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5"/>
  </w:num>
  <w:num w:numId="2">
    <w:abstractNumId w:val="4"/>
  </w:num>
  <w:num w:numId="3">
    <w:abstractNumId w:val="12"/>
  </w:num>
  <w:num w:numId="4">
    <w:abstractNumId w:val="0"/>
  </w:num>
  <w:num w:numId="5">
    <w:abstractNumId w:val="6"/>
  </w:num>
  <w:num w:numId="6">
    <w:abstractNumId w:val="2"/>
  </w:num>
  <w:num w:numId="7">
    <w:abstractNumId w:val="11"/>
  </w:num>
  <w:num w:numId="8">
    <w:abstractNumId w:val="13"/>
  </w:num>
  <w:num w:numId="9">
    <w:abstractNumId w:val="15"/>
  </w:num>
  <w:num w:numId="10">
    <w:abstractNumId w:val="14"/>
  </w:num>
  <w:num w:numId="11">
    <w:abstractNumId w:val="8"/>
  </w:num>
  <w:num w:numId="12">
    <w:abstractNumId w:val="1"/>
  </w:num>
  <w:num w:numId="13">
    <w:abstractNumId w:val="3"/>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32"/>
    <w:rsid w:val="000140FE"/>
    <w:rsid w:val="00020D5F"/>
    <w:rsid w:val="000266C4"/>
    <w:rsid w:val="000267DF"/>
    <w:rsid w:val="000304CD"/>
    <w:rsid w:val="0006486E"/>
    <w:rsid w:val="00070CA3"/>
    <w:rsid w:val="000A7731"/>
    <w:rsid w:val="000D0333"/>
    <w:rsid w:val="000D28D6"/>
    <w:rsid w:val="001279B0"/>
    <w:rsid w:val="00154D87"/>
    <w:rsid w:val="001603BC"/>
    <w:rsid w:val="00164992"/>
    <w:rsid w:val="00181010"/>
    <w:rsid w:val="001841AB"/>
    <w:rsid w:val="001C21ED"/>
    <w:rsid w:val="001C2711"/>
    <w:rsid w:val="001C3137"/>
    <w:rsid w:val="001D25F9"/>
    <w:rsid w:val="00211DD3"/>
    <w:rsid w:val="002129DC"/>
    <w:rsid w:val="00222DDE"/>
    <w:rsid w:val="0024053E"/>
    <w:rsid w:val="00271B01"/>
    <w:rsid w:val="002A17D2"/>
    <w:rsid w:val="002B070B"/>
    <w:rsid w:val="003145A3"/>
    <w:rsid w:val="00372304"/>
    <w:rsid w:val="0037634A"/>
    <w:rsid w:val="003D0002"/>
    <w:rsid w:val="003D0EAF"/>
    <w:rsid w:val="003F04A0"/>
    <w:rsid w:val="004273CD"/>
    <w:rsid w:val="00460FA4"/>
    <w:rsid w:val="00481CFF"/>
    <w:rsid w:val="004926F6"/>
    <w:rsid w:val="004B49A8"/>
    <w:rsid w:val="004C1570"/>
    <w:rsid w:val="00501A80"/>
    <w:rsid w:val="00513538"/>
    <w:rsid w:val="00525031"/>
    <w:rsid w:val="0052737A"/>
    <w:rsid w:val="00546DFC"/>
    <w:rsid w:val="00561431"/>
    <w:rsid w:val="005669F9"/>
    <w:rsid w:val="005B6A3E"/>
    <w:rsid w:val="005D15C2"/>
    <w:rsid w:val="00605AF8"/>
    <w:rsid w:val="00621E6C"/>
    <w:rsid w:val="00626410"/>
    <w:rsid w:val="00653DD9"/>
    <w:rsid w:val="006548A7"/>
    <w:rsid w:val="00660B68"/>
    <w:rsid w:val="006A70E8"/>
    <w:rsid w:val="006C787B"/>
    <w:rsid w:val="007106AC"/>
    <w:rsid w:val="00710A71"/>
    <w:rsid w:val="00715918"/>
    <w:rsid w:val="0073114F"/>
    <w:rsid w:val="0078469E"/>
    <w:rsid w:val="007C7981"/>
    <w:rsid w:val="007E6249"/>
    <w:rsid w:val="007F7F13"/>
    <w:rsid w:val="00812225"/>
    <w:rsid w:val="008161E5"/>
    <w:rsid w:val="00856D33"/>
    <w:rsid w:val="00865B55"/>
    <w:rsid w:val="008A7956"/>
    <w:rsid w:val="008C1BFE"/>
    <w:rsid w:val="008D37BC"/>
    <w:rsid w:val="008D6508"/>
    <w:rsid w:val="008E1674"/>
    <w:rsid w:val="008F4DD4"/>
    <w:rsid w:val="008F59F7"/>
    <w:rsid w:val="00912FDB"/>
    <w:rsid w:val="00915491"/>
    <w:rsid w:val="00920FE6"/>
    <w:rsid w:val="00921A0C"/>
    <w:rsid w:val="00947575"/>
    <w:rsid w:val="0099181B"/>
    <w:rsid w:val="0099478E"/>
    <w:rsid w:val="009A51BA"/>
    <w:rsid w:val="009B006E"/>
    <w:rsid w:val="009F4B9A"/>
    <w:rsid w:val="009F58F3"/>
    <w:rsid w:val="00A03369"/>
    <w:rsid w:val="00A118D7"/>
    <w:rsid w:val="00A13679"/>
    <w:rsid w:val="00A14F00"/>
    <w:rsid w:val="00A23615"/>
    <w:rsid w:val="00A7638B"/>
    <w:rsid w:val="00A80CA8"/>
    <w:rsid w:val="00AA6F94"/>
    <w:rsid w:val="00AB1D83"/>
    <w:rsid w:val="00AB433D"/>
    <w:rsid w:val="00AB4D22"/>
    <w:rsid w:val="00AD77F6"/>
    <w:rsid w:val="00AD7D1F"/>
    <w:rsid w:val="00AF3C75"/>
    <w:rsid w:val="00AF5ED8"/>
    <w:rsid w:val="00B05606"/>
    <w:rsid w:val="00B07A66"/>
    <w:rsid w:val="00B30740"/>
    <w:rsid w:val="00B421E4"/>
    <w:rsid w:val="00B52B4B"/>
    <w:rsid w:val="00B54FAD"/>
    <w:rsid w:val="00BA5BED"/>
    <w:rsid w:val="00BB5029"/>
    <w:rsid w:val="00BC5090"/>
    <w:rsid w:val="00BE7CAA"/>
    <w:rsid w:val="00C14F08"/>
    <w:rsid w:val="00C248AB"/>
    <w:rsid w:val="00C25B94"/>
    <w:rsid w:val="00C30135"/>
    <w:rsid w:val="00C371F3"/>
    <w:rsid w:val="00C52447"/>
    <w:rsid w:val="00C65132"/>
    <w:rsid w:val="00C93EBA"/>
    <w:rsid w:val="00C966AE"/>
    <w:rsid w:val="00CB1D5F"/>
    <w:rsid w:val="00CC085B"/>
    <w:rsid w:val="00CD0351"/>
    <w:rsid w:val="00CD4409"/>
    <w:rsid w:val="00CD75BB"/>
    <w:rsid w:val="00CE26F1"/>
    <w:rsid w:val="00CF54E6"/>
    <w:rsid w:val="00D061A8"/>
    <w:rsid w:val="00D1694E"/>
    <w:rsid w:val="00D32879"/>
    <w:rsid w:val="00D761C7"/>
    <w:rsid w:val="00DA0F74"/>
    <w:rsid w:val="00DF4E12"/>
    <w:rsid w:val="00DF6BE9"/>
    <w:rsid w:val="00E13697"/>
    <w:rsid w:val="00E13722"/>
    <w:rsid w:val="00E20D7A"/>
    <w:rsid w:val="00E3326D"/>
    <w:rsid w:val="00E454F6"/>
    <w:rsid w:val="00EB0AE1"/>
    <w:rsid w:val="00EC107C"/>
    <w:rsid w:val="00ED7739"/>
    <w:rsid w:val="00EF2B57"/>
    <w:rsid w:val="00F22637"/>
    <w:rsid w:val="00F979D8"/>
    <w:rsid w:val="00FB52CC"/>
    <w:rsid w:val="00FC7CC7"/>
    <w:rsid w:val="00FE6BCF"/>
    <w:rsid w:val="00FE7AAE"/>
    <w:rsid w:val="00FF01D9"/>
    <w:rsid w:val="00FF0CA5"/>
    <w:rsid w:val="00FF1405"/>
    <w:rsid w:val="00FF2B86"/>
    <w:rsid w:val="00FF39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D397E-62F0-433D-A3C0-FAA3329E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669F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669F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65132"/>
  </w:style>
  <w:style w:type="paragraph" w:styleId="Encabezado">
    <w:name w:val="header"/>
    <w:basedOn w:val="Normal"/>
    <w:link w:val="EncabezadoCar"/>
    <w:uiPriority w:val="99"/>
    <w:unhideWhenUsed/>
    <w:rsid w:val="00C6513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65132"/>
    <w:rPr>
      <w:rFonts w:ascii="Calibri" w:eastAsia="Calibri" w:hAnsi="Calibri" w:cs="Times New Roman"/>
    </w:rPr>
  </w:style>
  <w:style w:type="paragraph" w:styleId="Prrafodelista">
    <w:name w:val="List Paragraph"/>
    <w:aliases w:val="4 Viñ 1nivel,Numeración 1,Cuadrícula media 1 - Énfasis 21"/>
    <w:basedOn w:val="Normal"/>
    <w:link w:val="PrrafodelistaCar"/>
    <w:uiPriority w:val="34"/>
    <w:qFormat/>
    <w:rsid w:val="00C65132"/>
    <w:pPr>
      <w:spacing w:after="0" w:line="240" w:lineRule="auto"/>
      <w:ind w:left="708"/>
    </w:pPr>
    <w:rPr>
      <w:rFonts w:ascii="Arial" w:eastAsia="Times New Roman" w:hAnsi="Arial" w:cs="Times New Roman"/>
      <w:sz w:val="24"/>
      <w:szCs w:val="20"/>
      <w:lang w:val="es-ES" w:eastAsia="es-ES"/>
    </w:rPr>
  </w:style>
  <w:style w:type="character" w:customStyle="1" w:styleId="apple-converted-space">
    <w:name w:val="apple-converted-space"/>
    <w:basedOn w:val="Fuentedeprrafopredeter"/>
    <w:rsid w:val="00C65132"/>
  </w:style>
  <w:style w:type="character" w:styleId="Refdecomentario">
    <w:name w:val="annotation reference"/>
    <w:basedOn w:val="Fuentedeprrafopredeter"/>
    <w:uiPriority w:val="99"/>
    <w:semiHidden/>
    <w:unhideWhenUsed/>
    <w:rsid w:val="00C65132"/>
    <w:rPr>
      <w:sz w:val="16"/>
      <w:szCs w:val="16"/>
    </w:rPr>
  </w:style>
  <w:style w:type="paragraph" w:styleId="Textocomentario">
    <w:name w:val="annotation text"/>
    <w:basedOn w:val="Normal"/>
    <w:link w:val="TextocomentarioCar"/>
    <w:uiPriority w:val="99"/>
    <w:semiHidden/>
    <w:unhideWhenUsed/>
    <w:rsid w:val="00C65132"/>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C65132"/>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
    <w:link w:val="Prrafodelista"/>
    <w:uiPriority w:val="34"/>
    <w:rsid w:val="00C65132"/>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C65132"/>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C65132"/>
    <w:rPr>
      <w:rFonts w:ascii="Segoe UI" w:eastAsia="Calibri" w:hAnsi="Segoe UI" w:cs="Segoe UI"/>
      <w:sz w:val="18"/>
      <w:szCs w:val="18"/>
    </w:rPr>
  </w:style>
  <w:style w:type="table" w:styleId="Tablaconcuadrcula">
    <w:name w:val="Table Grid"/>
    <w:basedOn w:val="Tablanormal"/>
    <w:uiPriority w:val="39"/>
    <w:rsid w:val="00C6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6513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65132"/>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C65132"/>
    <w:rPr>
      <w:b/>
      <w:bCs/>
    </w:rPr>
  </w:style>
  <w:style w:type="character" w:customStyle="1" w:styleId="AsuntodelcomentarioCar">
    <w:name w:val="Asunto del comentario Car"/>
    <w:basedOn w:val="TextocomentarioCar"/>
    <w:link w:val="Asuntodelcomentario"/>
    <w:uiPriority w:val="99"/>
    <w:semiHidden/>
    <w:rsid w:val="00C65132"/>
    <w:rPr>
      <w:rFonts w:ascii="Calibri" w:eastAsia="Calibri" w:hAnsi="Calibri" w:cs="Times New Roman"/>
      <w:b/>
      <w:bCs/>
      <w:sz w:val="20"/>
      <w:szCs w:val="20"/>
    </w:rPr>
  </w:style>
  <w:style w:type="paragraph" w:styleId="NormalWeb">
    <w:name w:val="Normal (Web)"/>
    <w:basedOn w:val="Normal"/>
    <w:uiPriority w:val="99"/>
    <w:rsid w:val="00C65132"/>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C65132"/>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C65132"/>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C65132"/>
    <w:rPr>
      <w:vertAlign w:val="superscript"/>
    </w:rPr>
  </w:style>
  <w:style w:type="character" w:styleId="Hipervnculo">
    <w:name w:val="Hyperlink"/>
    <w:basedOn w:val="Fuentedeprrafopredeter"/>
    <w:uiPriority w:val="99"/>
    <w:unhideWhenUsed/>
    <w:rsid w:val="00C65132"/>
    <w:rPr>
      <w:color w:val="0563C1" w:themeColor="hyperlink"/>
      <w:u w:val="single"/>
    </w:rPr>
  </w:style>
  <w:style w:type="character" w:styleId="Hipervnculovisitado">
    <w:name w:val="FollowedHyperlink"/>
    <w:basedOn w:val="Fuentedeprrafopredeter"/>
    <w:uiPriority w:val="99"/>
    <w:semiHidden/>
    <w:unhideWhenUsed/>
    <w:rsid w:val="00C65132"/>
    <w:rPr>
      <w:color w:val="954F72"/>
      <w:u w:val="single"/>
    </w:rPr>
  </w:style>
  <w:style w:type="paragraph" w:customStyle="1" w:styleId="xl65">
    <w:name w:val="xl65"/>
    <w:basedOn w:val="Normal"/>
    <w:rsid w:val="00C6513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C65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C6513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C6513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C6513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C6513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C6513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C6513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C651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C6513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5">
    <w:name w:val="xl75"/>
    <w:basedOn w:val="Normal"/>
    <w:rsid w:val="00C6513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C65132"/>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C65132"/>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8">
    <w:name w:val="xl78"/>
    <w:basedOn w:val="Normal"/>
    <w:rsid w:val="00C65132"/>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C6513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C6513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C6513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C6513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3">
    <w:name w:val="xl83"/>
    <w:basedOn w:val="Normal"/>
    <w:rsid w:val="00C651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C65132"/>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C6513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6">
    <w:name w:val="xl86"/>
    <w:basedOn w:val="Normal"/>
    <w:rsid w:val="00C651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C65132"/>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C6513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9">
    <w:name w:val="xl89"/>
    <w:basedOn w:val="Normal"/>
    <w:rsid w:val="00C65132"/>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C65132"/>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3">
    <w:name w:val="xl63"/>
    <w:basedOn w:val="Normal"/>
    <w:rsid w:val="00C6513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C651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C65132"/>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C65132"/>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C65132"/>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C6513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C651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C6513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C65132"/>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C6513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9">
    <w:name w:val="xl99"/>
    <w:basedOn w:val="Normal"/>
    <w:rsid w:val="00C651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0">
    <w:name w:val="xl100"/>
    <w:basedOn w:val="Normal"/>
    <w:rsid w:val="00C6513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1">
    <w:name w:val="xl101"/>
    <w:basedOn w:val="Normal"/>
    <w:rsid w:val="00C6513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2">
    <w:name w:val="xl102"/>
    <w:basedOn w:val="Normal"/>
    <w:rsid w:val="00C6513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3">
    <w:name w:val="xl103"/>
    <w:basedOn w:val="Normal"/>
    <w:rsid w:val="00C6513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C65132"/>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5">
    <w:name w:val="xl105"/>
    <w:basedOn w:val="Normal"/>
    <w:rsid w:val="00C65132"/>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rsid w:val="00C65132"/>
    <w:pPr>
      <w:spacing w:after="0" w:line="240" w:lineRule="auto"/>
      <w:jc w:val="both"/>
    </w:pPr>
    <w:rPr>
      <w:rFonts w:ascii="Times New Roman" w:eastAsia="Times New Roman" w:hAnsi="Times New Roman" w:cs="Times New Roman"/>
      <w:i/>
      <w:sz w:val="20"/>
      <w:szCs w:val="20"/>
      <w:lang w:val="es-ES_tradnl" w:eastAsia="es-ES"/>
    </w:rPr>
  </w:style>
  <w:style w:type="character" w:customStyle="1" w:styleId="TextoindependienteCar">
    <w:name w:val="Texto independiente Car"/>
    <w:basedOn w:val="Fuentedeprrafopredeter"/>
    <w:link w:val="Textoindependiente"/>
    <w:rsid w:val="00C65132"/>
    <w:rPr>
      <w:rFonts w:ascii="Times New Roman" w:eastAsia="Times New Roman" w:hAnsi="Times New Roman" w:cs="Times New Roman"/>
      <w:i/>
      <w:sz w:val="20"/>
      <w:szCs w:val="20"/>
      <w:lang w:val="es-ES_tradnl" w:eastAsia="es-ES"/>
    </w:rPr>
  </w:style>
  <w:style w:type="paragraph" w:customStyle="1" w:styleId="n1ift">
    <w:name w:val="n1ift"/>
    <w:basedOn w:val="Normal"/>
    <w:rsid w:val="008C1BFE"/>
    <w:pPr>
      <w:spacing w:before="100" w:beforeAutospacing="1" w:after="100" w:afterAutospacing="1" w:line="240" w:lineRule="auto"/>
    </w:pPr>
    <w:rPr>
      <w:rFonts w:ascii="Times New Roman" w:hAnsi="Times New Roman" w:cs="Times New Roman"/>
      <w:sz w:val="24"/>
      <w:szCs w:val="24"/>
      <w:lang w:eastAsia="es-MX"/>
    </w:rPr>
  </w:style>
  <w:style w:type="character" w:customStyle="1" w:styleId="Ttulo1Car">
    <w:name w:val="Título 1 Car"/>
    <w:basedOn w:val="Fuentedeprrafopredeter"/>
    <w:link w:val="Ttulo1"/>
    <w:uiPriority w:val="9"/>
    <w:rsid w:val="005669F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669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3471">
      <w:bodyDiv w:val="1"/>
      <w:marLeft w:val="0"/>
      <w:marRight w:val="0"/>
      <w:marTop w:val="0"/>
      <w:marBottom w:val="0"/>
      <w:divBdr>
        <w:top w:val="none" w:sz="0" w:space="0" w:color="auto"/>
        <w:left w:val="none" w:sz="0" w:space="0" w:color="auto"/>
        <w:bottom w:val="none" w:sz="0" w:space="0" w:color="auto"/>
        <w:right w:val="none" w:sz="0" w:space="0" w:color="auto"/>
      </w:divBdr>
      <w:divsChild>
        <w:div w:id="883056916">
          <w:marLeft w:val="0"/>
          <w:marRight w:val="0"/>
          <w:marTop w:val="0"/>
          <w:marBottom w:val="90"/>
          <w:divBdr>
            <w:top w:val="none" w:sz="0" w:space="0" w:color="auto"/>
            <w:left w:val="none" w:sz="0" w:space="0" w:color="auto"/>
            <w:bottom w:val="none" w:sz="0" w:space="0" w:color="auto"/>
            <w:right w:val="none" w:sz="0" w:space="0" w:color="auto"/>
          </w:divBdr>
        </w:div>
        <w:div w:id="1625575027">
          <w:marLeft w:val="1080"/>
          <w:marRight w:val="0"/>
          <w:marTop w:val="0"/>
          <w:marBottom w:val="90"/>
          <w:divBdr>
            <w:top w:val="none" w:sz="0" w:space="0" w:color="auto"/>
            <w:left w:val="none" w:sz="0" w:space="0" w:color="auto"/>
            <w:bottom w:val="none" w:sz="0" w:space="0" w:color="auto"/>
            <w:right w:val="none" w:sz="0" w:space="0" w:color="auto"/>
          </w:divBdr>
        </w:div>
        <w:div w:id="831289721">
          <w:marLeft w:val="1080"/>
          <w:marRight w:val="0"/>
          <w:marTop w:val="0"/>
          <w:marBottom w:val="90"/>
          <w:divBdr>
            <w:top w:val="none" w:sz="0" w:space="0" w:color="auto"/>
            <w:left w:val="none" w:sz="0" w:space="0" w:color="auto"/>
            <w:bottom w:val="none" w:sz="0" w:space="0" w:color="auto"/>
            <w:right w:val="none" w:sz="0" w:space="0" w:color="auto"/>
          </w:divBdr>
        </w:div>
        <w:div w:id="900334791">
          <w:marLeft w:val="1080"/>
          <w:marRight w:val="0"/>
          <w:marTop w:val="0"/>
          <w:marBottom w:val="90"/>
          <w:divBdr>
            <w:top w:val="none" w:sz="0" w:space="0" w:color="auto"/>
            <w:left w:val="none" w:sz="0" w:space="0" w:color="auto"/>
            <w:bottom w:val="none" w:sz="0" w:space="0" w:color="auto"/>
            <w:right w:val="none" w:sz="0" w:space="0" w:color="auto"/>
          </w:divBdr>
        </w:div>
        <w:div w:id="1130131208">
          <w:marLeft w:val="1080"/>
          <w:marRight w:val="0"/>
          <w:marTop w:val="0"/>
          <w:marBottom w:val="90"/>
          <w:divBdr>
            <w:top w:val="none" w:sz="0" w:space="0" w:color="auto"/>
            <w:left w:val="none" w:sz="0" w:space="0" w:color="auto"/>
            <w:bottom w:val="none" w:sz="0" w:space="0" w:color="auto"/>
            <w:right w:val="none" w:sz="0" w:space="0" w:color="auto"/>
          </w:divBdr>
        </w:div>
        <w:div w:id="815609933">
          <w:marLeft w:val="1080"/>
          <w:marRight w:val="0"/>
          <w:marTop w:val="0"/>
          <w:marBottom w:val="90"/>
          <w:divBdr>
            <w:top w:val="none" w:sz="0" w:space="0" w:color="auto"/>
            <w:left w:val="none" w:sz="0" w:space="0" w:color="auto"/>
            <w:bottom w:val="none" w:sz="0" w:space="0" w:color="auto"/>
            <w:right w:val="none" w:sz="0" w:space="0" w:color="auto"/>
          </w:divBdr>
        </w:div>
      </w:divsChild>
    </w:div>
    <w:div w:id="16402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C0E1-3B6B-48DC-AEE3-3E40768D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3420</Words>
  <Characters>18812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Arciniega</dc:creator>
  <cp:keywords/>
  <dc:description/>
  <cp:lastModifiedBy>Maria del Consuelo Gonzalez Moreno</cp:lastModifiedBy>
  <cp:revision>8</cp:revision>
  <dcterms:created xsi:type="dcterms:W3CDTF">2017-03-29T18:28:00Z</dcterms:created>
  <dcterms:modified xsi:type="dcterms:W3CDTF">2017-04-05T16:40:00Z</dcterms:modified>
</cp:coreProperties>
</file>