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F0872" w14:textId="77777777" w:rsidR="00E532A3" w:rsidRPr="00E532A3" w:rsidRDefault="00E532A3" w:rsidP="00E532A3">
      <w:pPr>
        <w:pStyle w:val="Ttulo1"/>
        <w:numPr>
          <w:ilvl w:val="0"/>
          <w:numId w:val="0"/>
        </w:numPr>
        <w:ind w:left="360"/>
        <w:rPr>
          <w:rStyle w:val="NormalIFTCar"/>
          <w:rFonts w:eastAsia="Calibri"/>
          <w:color w:val="000000" w:themeColor="text1"/>
          <w:szCs w:val="22"/>
        </w:rPr>
      </w:pPr>
      <w:bookmarkStart w:id="0" w:name="_GoBack"/>
      <w:bookmarkEnd w:id="0"/>
      <w:r w:rsidRPr="00E532A3">
        <w:rPr>
          <w:rStyle w:val="NormalIFTCar"/>
          <w:rFonts w:eastAsia="Calibri"/>
          <w:color w:val="000000" w:themeColor="text1"/>
          <w:szCs w:val="22"/>
        </w:rPr>
        <w:t xml:space="preserve">ACUERDO MEDIANTE EL CUAL EL PLENO DEL INSTITUTO FEDERAL DE TELECOMUNICACIONES EXPIDE LA GUÍA PARA EL CONTROL DE CONCENTRACIONES EN LOS SECTORES DE TELECOMUNICACIONES Y RADIODIFUSIÓN </w:t>
      </w:r>
    </w:p>
    <w:p w14:paraId="7393ED5B" w14:textId="77777777" w:rsidR="00E532A3" w:rsidRPr="00E532A3" w:rsidRDefault="00E532A3" w:rsidP="00E532A3">
      <w:pPr>
        <w:pStyle w:val="Ttulo2"/>
        <w:jc w:val="center"/>
        <w:rPr>
          <w:rStyle w:val="NormalIFTCar"/>
          <w:rFonts w:eastAsia="Calibri"/>
          <w:color w:val="000000" w:themeColor="text1"/>
          <w:szCs w:val="22"/>
        </w:rPr>
      </w:pPr>
      <w:r w:rsidRPr="00E532A3">
        <w:rPr>
          <w:bCs/>
          <w:color w:val="000000" w:themeColor="text1"/>
        </w:rPr>
        <w:t>ANTECEDENTES</w:t>
      </w:r>
    </w:p>
    <w:p w14:paraId="0D05A423" w14:textId="77777777" w:rsidR="00E532A3" w:rsidRPr="00E532A3" w:rsidRDefault="00E532A3" w:rsidP="00E532A3">
      <w:pPr>
        <w:pStyle w:val="Texto"/>
        <w:numPr>
          <w:ilvl w:val="0"/>
          <w:numId w:val="103"/>
        </w:numPr>
        <w:spacing w:before="240" w:after="120" w:line="276" w:lineRule="auto"/>
        <w:ind w:left="360"/>
        <w:rPr>
          <w:rFonts w:ascii="ITC Avant Garde" w:hAnsi="ITC Avant Garde"/>
          <w:color w:val="000000" w:themeColor="text1"/>
          <w:sz w:val="22"/>
          <w:szCs w:val="22"/>
          <w:lang w:val="es-MX"/>
        </w:rPr>
      </w:pPr>
      <w:r w:rsidRPr="00E532A3">
        <w:rPr>
          <w:rFonts w:ascii="ITC Avant Garde" w:hAnsi="ITC Avant Garde"/>
          <w:color w:val="000000" w:themeColor="text1"/>
          <w:sz w:val="22"/>
          <w:szCs w:val="22"/>
          <w:lang w:val="es-MX"/>
        </w:rPr>
        <w:t xml:space="preserve">En su sesión XLIV Sesión Ordinaria celebrada el ocho de diciembre de dos mil dieciséis, mediante Acuerdo P/IFT/081216/707, el Pleno del Instituto Federal de Telecomunicaciones (Instituto) determinó someter a consulta pública el </w:t>
      </w:r>
      <w:r w:rsidRPr="00E532A3">
        <w:rPr>
          <w:rFonts w:ascii="ITC Avant Garde" w:hAnsi="ITC Avant Garde"/>
          <w:color w:val="000000" w:themeColor="text1"/>
          <w:sz w:val="22"/>
          <w:szCs w:val="22"/>
          <w:lang w:eastAsia="ja-JP"/>
        </w:rPr>
        <w:t>“Anteproyecto de guía para el control de concentraciones en los sectores de telecomunicaciones y radiodifusión” (Anteproyecto de la guía de concentraciones)</w:t>
      </w:r>
      <w:r w:rsidRPr="00E532A3">
        <w:rPr>
          <w:rFonts w:ascii="ITC Avant Garde" w:hAnsi="ITC Avant Garde"/>
          <w:color w:val="000000" w:themeColor="text1"/>
          <w:sz w:val="22"/>
          <w:szCs w:val="22"/>
          <w:lang w:val="es-MX"/>
        </w:rPr>
        <w:t>.</w:t>
      </w:r>
    </w:p>
    <w:p w14:paraId="2C7691BB" w14:textId="77777777" w:rsidR="00E532A3" w:rsidRPr="00E532A3" w:rsidRDefault="00E532A3" w:rsidP="00E532A3">
      <w:pPr>
        <w:pStyle w:val="Texto"/>
        <w:numPr>
          <w:ilvl w:val="0"/>
          <w:numId w:val="103"/>
        </w:numPr>
        <w:spacing w:before="240" w:after="120" w:line="276" w:lineRule="auto"/>
        <w:ind w:left="360"/>
        <w:rPr>
          <w:rFonts w:ascii="ITC Avant Garde" w:hAnsi="ITC Avant Garde"/>
          <w:color w:val="000000" w:themeColor="text1"/>
          <w:sz w:val="22"/>
          <w:szCs w:val="22"/>
          <w:lang w:val="es-MX"/>
        </w:rPr>
      </w:pPr>
      <w:r w:rsidRPr="00E532A3">
        <w:rPr>
          <w:rFonts w:ascii="ITC Avant Garde" w:hAnsi="ITC Avant Garde"/>
          <w:color w:val="000000" w:themeColor="text1"/>
          <w:sz w:val="22"/>
          <w:szCs w:val="22"/>
          <w:lang w:val="es-MX"/>
        </w:rPr>
        <w:t>Con fundamento en lo establecido en los artículos 12, fracción XXII, párrafo tercero, inciso a), y 138, fracción I, de la Ley Federal de Competencia Económica (LFCE); 15, fracción XL, de la Ley Federal de Telecomunicaciones y Radiodifusión (LFTR); y 1, párrafos primero y tercero, 2, fracción X, 4, fracciones I, V, inciso vi), y VI, y 6, fracción XXXVIII, del Estatuto Orgánico del Instituto Federal de Telecomunicaciones (Estatuto Orgánico), el veintitrés de diciembre de dos mil dieciséis se publicó en el Diario Oficial de la Federación (DOF)</w:t>
      </w:r>
      <w:r w:rsidRPr="00E532A3">
        <w:rPr>
          <w:rStyle w:val="Refdenotaalpie"/>
          <w:rFonts w:ascii="ITC Avant Garde" w:hAnsi="ITC Avant Garde"/>
          <w:color w:val="000000" w:themeColor="text1"/>
          <w:sz w:val="22"/>
          <w:szCs w:val="22"/>
          <w:lang w:val="es-MX"/>
        </w:rPr>
        <w:footnoteReference w:id="2"/>
      </w:r>
      <w:r w:rsidRPr="00E532A3">
        <w:rPr>
          <w:rFonts w:ascii="ITC Avant Garde" w:hAnsi="ITC Avant Garde"/>
          <w:color w:val="000000" w:themeColor="text1"/>
          <w:sz w:val="22"/>
          <w:szCs w:val="22"/>
          <w:lang w:val="es-MX"/>
        </w:rPr>
        <w:t xml:space="preserve"> un extracto del Anteproyecto de la guía de concentraciones e íntegramente en la página de internet del Instituto,</w:t>
      </w:r>
      <w:r w:rsidRPr="00E532A3">
        <w:rPr>
          <w:rStyle w:val="Refdenotaalpie"/>
          <w:rFonts w:ascii="ITC Avant Garde" w:hAnsi="ITC Avant Garde"/>
          <w:color w:val="000000" w:themeColor="text1"/>
          <w:sz w:val="22"/>
          <w:szCs w:val="22"/>
          <w:lang w:val="es-MX"/>
        </w:rPr>
        <w:footnoteReference w:id="3"/>
      </w:r>
      <w:r w:rsidRPr="00E532A3">
        <w:rPr>
          <w:rFonts w:ascii="ITC Avant Garde" w:hAnsi="ITC Avant Garde"/>
          <w:color w:val="000000" w:themeColor="text1"/>
          <w:sz w:val="22"/>
          <w:szCs w:val="22"/>
          <w:lang w:val="es-MX"/>
        </w:rPr>
        <w:t xml:space="preserve"> a efecto de abrir un periodo de consulta pública.</w:t>
      </w:r>
    </w:p>
    <w:p w14:paraId="5BC1838E" w14:textId="77777777" w:rsidR="00E532A3" w:rsidRPr="00E532A3" w:rsidRDefault="00E532A3" w:rsidP="00E532A3">
      <w:pPr>
        <w:pStyle w:val="Texto"/>
        <w:numPr>
          <w:ilvl w:val="0"/>
          <w:numId w:val="103"/>
        </w:numPr>
        <w:spacing w:before="240" w:after="120" w:line="276" w:lineRule="auto"/>
        <w:ind w:left="360"/>
        <w:rPr>
          <w:rFonts w:ascii="ITC Avant Garde" w:hAnsi="ITC Avant Garde"/>
          <w:color w:val="000000" w:themeColor="text1"/>
          <w:sz w:val="22"/>
          <w:szCs w:val="22"/>
          <w:lang w:val="es-MX"/>
        </w:rPr>
      </w:pPr>
      <w:r w:rsidRPr="00E532A3">
        <w:rPr>
          <w:rFonts w:ascii="ITC Avant Garde" w:hAnsi="ITC Avant Garde"/>
          <w:color w:val="000000" w:themeColor="text1"/>
          <w:sz w:val="22"/>
          <w:szCs w:val="22"/>
          <w:lang w:val="es-MX"/>
        </w:rPr>
        <w:t>El proceso de consulta pública tuvo una duración de treinta días hábiles que corrieron del cinco de enero al dieciséis de febrero de dos mil diecisiete. En este periodo el Instituto recibió siete opiniones sobre el Anteproyecto</w:t>
      </w:r>
      <w:r w:rsidRPr="00E532A3">
        <w:rPr>
          <w:rFonts w:ascii="ITC Avant Garde" w:hAnsi="ITC Avant Garde"/>
          <w:color w:val="000000" w:themeColor="text1"/>
          <w:sz w:val="22"/>
          <w:szCs w:val="22"/>
          <w:lang w:eastAsia="ja-JP"/>
        </w:rPr>
        <w:t xml:space="preserve"> de la guía de concentraciones</w:t>
      </w:r>
      <w:r w:rsidRPr="00E532A3">
        <w:rPr>
          <w:rFonts w:ascii="ITC Avant Garde" w:hAnsi="ITC Avant Garde"/>
          <w:color w:val="000000" w:themeColor="text1"/>
          <w:sz w:val="22"/>
          <w:szCs w:val="22"/>
          <w:lang w:val="es-MX"/>
        </w:rPr>
        <w:t>. Las opiniones recibidas son públicas</w:t>
      </w:r>
      <w:r w:rsidRPr="00E532A3">
        <w:rPr>
          <w:rStyle w:val="Refdenotaalpie"/>
          <w:rFonts w:ascii="ITC Avant Garde" w:hAnsi="ITC Avant Garde"/>
          <w:color w:val="000000" w:themeColor="text1"/>
          <w:sz w:val="22"/>
          <w:szCs w:val="22"/>
          <w:lang w:val="es-MX"/>
        </w:rPr>
        <w:footnoteReference w:id="4"/>
      </w:r>
      <w:r w:rsidRPr="00E532A3">
        <w:rPr>
          <w:rFonts w:ascii="ITC Avant Garde" w:hAnsi="ITC Avant Garde"/>
          <w:color w:val="000000" w:themeColor="text1"/>
          <w:sz w:val="22"/>
          <w:szCs w:val="22"/>
          <w:lang w:val="es-MX"/>
        </w:rPr>
        <w:t xml:space="preserve"> y pueden consultarse en la página de Internet del Instituto.</w:t>
      </w:r>
    </w:p>
    <w:p w14:paraId="29E0C983" w14:textId="77777777" w:rsidR="00E532A3" w:rsidRPr="00E532A3" w:rsidRDefault="00E532A3" w:rsidP="00E532A3">
      <w:pPr>
        <w:pStyle w:val="Texto"/>
        <w:numPr>
          <w:ilvl w:val="0"/>
          <w:numId w:val="103"/>
        </w:numPr>
        <w:spacing w:before="240" w:after="120" w:line="276" w:lineRule="auto"/>
        <w:ind w:left="360"/>
        <w:rPr>
          <w:rFonts w:ascii="ITC Avant Garde" w:hAnsi="ITC Avant Garde"/>
          <w:color w:val="000000" w:themeColor="text1"/>
          <w:sz w:val="22"/>
          <w:szCs w:val="22"/>
          <w:lang w:val="es-MX"/>
        </w:rPr>
      </w:pPr>
      <w:r w:rsidRPr="00E532A3">
        <w:rPr>
          <w:rFonts w:ascii="ITC Avant Garde" w:hAnsi="ITC Avant Garde"/>
          <w:bCs/>
          <w:color w:val="000000" w:themeColor="text1"/>
          <w:sz w:val="22"/>
          <w:szCs w:val="22"/>
          <w:lang w:val="es-ES_tradnl" w:eastAsia="es-MX"/>
        </w:rPr>
        <w:t xml:space="preserve">El informe de los comentarios, observaciones, propuestas y/o adiciones recibidas durante la consulta pública del </w:t>
      </w:r>
      <w:r w:rsidRPr="00E532A3">
        <w:rPr>
          <w:rFonts w:ascii="ITC Avant Garde" w:hAnsi="ITC Avant Garde"/>
          <w:color w:val="000000" w:themeColor="text1"/>
          <w:sz w:val="22"/>
          <w:szCs w:val="22"/>
          <w:lang w:val="es-MX"/>
        </w:rPr>
        <w:t>Anteproyecto de la guía de concentraciones</w:t>
      </w:r>
      <w:r w:rsidRPr="00E532A3">
        <w:rPr>
          <w:rFonts w:ascii="ITC Avant Garde" w:hAnsi="ITC Avant Garde"/>
          <w:bCs/>
          <w:color w:val="000000" w:themeColor="text1"/>
          <w:sz w:val="22"/>
          <w:szCs w:val="22"/>
          <w:lang w:val="es-ES_tradnl" w:eastAsia="es-MX"/>
        </w:rPr>
        <w:t xml:space="preserve">, así </w:t>
      </w:r>
      <w:r w:rsidRPr="00E532A3">
        <w:rPr>
          <w:rFonts w:ascii="ITC Avant Garde" w:hAnsi="ITC Avant Garde"/>
          <w:bCs/>
          <w:color w:val="000000" w:themeColor="text1"/>
          <w:sz w:val="22"/>
          <w:szCs w:val="22"/>
          <w:lang w:val="es-ES_tradnl" w:eastAsia="es-MX"/>
        </w:rPr>
        <w:lastRenderedPageBreak/>
        <w:t>como de las consideraciones a los mismos, previsto en el artículo 138, fracción II, de la LFCE, fue elaborado por la Unidad de Competencia Económica (UCE) y publicado en el sitio de Internet del Instituto el treinta y uno de marzo de dos mil diecisiete.</w:t>
      </w:r>
      <w:r w:rsidRPr="00E532A3">
        <w:rPr>
          <w:rStyle w:val="Refdenotaalpie"/>
          <w:rFonts w:ascii="ITC Avant Garde" w:hAnsi="ITC Avant Garde"/>
          <w:bCs/>
          <w:color w:val="000000" w:themeColor="text1"/>
          <w:sz w:val="22"/>
          <w:szCs w:val="22"/>
          <w:lang w:val="es-ES_tradnl" w:eastAsia="es-MX"/>
        </w:rPr>
        <w:footnoteReference w:id="5"/>
      </w:r>
      <w:r w:rsidRPr="00E532A3">
        <w:rPr>
          <w:rFonts w:ascii="ITC Avant Garde" w:hAnsi="ITC Avant Garde"/>
          <w:bCs/>
          <w:color w:val="000000" w:themeColor="text1"/>
          <w:sz w:val="22"/>
          <w:szCs w:val="22"/>
          <w:lang w:val="es-ES_tradnl" w:eastAsia="es-MX"/>
        </w:rPr>
        <w:t xml:space="preserve"> </w:t>
      </w:r>
    </w:p>
    <w:p w14:paraId="2F9F61C9" w14:textId="77777777" w:rsidR="00E532A3" w:rsidRPr="00E532A3" w:rsidRDefault="00E532A3" w:rsidP="00E532A3">
      <w:pPr>
        <w:pStyle w:val="Default"/>
        <w:tabs>
          <w:tab w:val="left" w:pos="0"/>
        </w:tabs>
        <w:spacing w:before="240" w:after="120" w:line="276" w:lineRule="auto"/>
        <w:rPr>
          <w:rFonts w:ascii="ITC Avant Garde" w:eastAsia="Times New Roman" w:hAnsi="ITC Avant Garde" w:cs="Arial"/>
          <w:color w:val="000000" w:themeColor="text1"/>
          <w:sz w:val="22"/>
          <w:szCs w:val="22"/>
          <w:lang w:eastAsia="es-ES"/>
        </w:rPr>
      </w:pPr>
      <w:r w:rsidRPr="00E532A3">
        <w:rPr>
          <w:rFonts w:ascii="ITC Avant Garde" w:eastAsia="Times New Roman" w:hAnsi="ITC Avant Garde" w:cs="Arial"/>
          <w:color w:val="000000" w:themeColor="text1"/>
          <w:sz w:val="22"/>
          <w:szCs w:val="22"/>
          <w:lang w:eastAsia="es-ES"/>
        </w:rPr>
        <w:t>En atención a los antecedentes aquí señalados y:</w:t>
      </w:r>
    </w:p>
    <w:p w14:paraId="10772288" w14:textId="77777777" w:rsidR="00E532A3" w:rsidRPr="00E532A3" w:rsidRDefault="00E532A3" w:rsidP="00E532A3">
      <w:pPr>
        <w:pStyle w:val="Ttulo2"/>
        <w:jc w:val="center"/>
        <w:rPr>
          <w:rStyle w:val="NormalIFTCar"/>
          <w:rFonts w:eastAsia="Calibri"/>
          <w:color w:val="000000" w:themeColor="text1"/>
          <w:szCs w:val="22"/>
        </w:rPr>
      </w:pPr>
      <w:r w:rsidRPr="00E532A3">
        <w:rPr>
          <w:color w:val="000000" w:themeColor="text1"/>
        </w:rPr>
        <w:t>CONSIDERANDO</w:t>
      </w:r>
    </w:p>
    <w:p w14:paraId="45746BF6" w14:textId="77777777" w:rsidR="00E532A3" w:rsidRPr="00E532A3" w:rsidRDefault="00E532A3" w:rsidP="00E532A3">
      <w:pPr>
        <w:pStyle w:val="Default"/>
        <w:tabs>
          <w:tab w:val="left" w:pos="0"/>
        </w:tabs>
        <w:spacing w:before="240" w:after="120" w:line="276" w:lineRule="auto"/>
        <w:rPr>
          <w:rFonts w:ascii="ITC Avant Garde" w:hAnsi="ITC Avant Garde" w:cstheme="minorBidi"/>
          <w:b/>
          <w:color w:val="000000" w:themeColor="text1"/>
          <w:sz w:val="22"/>
          <w:szCs w:val="22"/>
        </w:rPr>
      </w:pPr>
      <w:bookmarkStart w:id="1" w:name="_Toc441722856"/>
      <w:bookmarkStart w:id="2" w:name="_Toc441755189"/>
      <w:r w:rsidRPr="00E532A3">
        <w:rPr>
          <w:rFonts w:ascii="ITC Avant Garde" w:hAnsi="ITC Avant Garde" w:cstheme="minorBidi"/>
          <w:b/>
          <w:color w:val="000000" w:themeColor="text1"/>
          <w:sz w:val="22"/>
          <w:szCs w:val="22"/>
        </w:rPr>
        <w:t xml:space="preserve">Primero. </w:t>
      </w:r>
      <w:bookmarkEnd w:id="1"/>
      <w:bookmarkEnd w:id="2"/>
      <w:r w:rsidRPr="00E532A3">
        <w:rPr>
          <w:rFonts w:ascii="ITC Avant Garde" w:hAnsi="ITC Avant Garde" w:cstheme="minorBidi"/>
          <w:b/>
          <w:color w:val="000000" w:themeColor="text1"/>
          <w:sz w:val="22"/>
          <w:szCs w:val="22"/>
        </w:rPr>
        <w:t xml:space="preserve">Competencia del Instituto. </w:t>
      </w:r>
    </w:p>
    <w:p w14:paraId="1E5E8AD2" w14:textId="77777777" w:rsidR="00E532A3" w:rsidRPr="00E532A3" w:rsidRDefault="00E532A3" w:rsidP="00E532A3">
      <w:pPr>
        <w:spacing w:before="240"/>
        <w:rPr>
          <w:b/>
          <w:color w:val="000000" w:themeColor="text1"/>
          <w:lang w:eastAsia="es-MX"/>
        </w:rPr>
      </w:pPr>
      <w:r w:rsidRPr="00E532A3">
        <w:rPr>
          <w:color w:val="000000" w:themeColor="text1"/>
          <w:lang w:eastAsia="es-MX"/>
        </w:rPr>
        <w:t>De conformidad con lo dispuesto en el artículo 28, párrafo décimo sexto, de la Constitución Política de los Estados Unidos Mexicanos (CPEUM); 5, párrafo primero, de la LFCE; y 7, párrafo tercero, de la Ley Federal de Telecomunicaciones y Radiodifusión (LFTR), el Instituto es la autoridad en materia de competencia económica en los sectores de radiodifusión y telecomunicaciones, por lo que en éstos ejercerá en forma exclusiva las facultades que el artículo constitucional citado y las leyes establecen para la Comisión Federal de Competencia Económica (COFECE).</w:t>
      </w:r>
    </w:p>
    <w:p w14:paraId="2C005496" w14:textId="77777777" w:rsidR="00E532A3" w:rsidRPr="00E532A3" w:rsidRDefault="00E532A3" w:rsidP="00E532A3">
      <w:pPr>
        <w:pStyle w:val="Sinespaciado"/>
        <w:spacing w:before="240" w:after="120" w:line="276" w:lineRule="auto"/>
        <w:rPr>
          <w:color w:val="000000" w:themeColor="text1"/>
        </w:rPr>
      </w:pPr>
      <w:r w:rsidRPr="00E532A3">
        <w:rPr>
          <w:rFonts w:eastAsia="Times New Roman"/>
          <w:bCs/>
          <w:color w:val="000000" w:themeColor="text1"/>
          <w:lang w:eastAsia="es-MX"/>
        </w:rPr>
        <w:t xml:space="preserve">El </w:t>
      </w:r>
      <w:r w:rsidRPr="00E532A3">
        <w:rPr>
          <w:color w:val="000000" w:themeColor="text1"/>
        </w:rPr>
        <w:t>artículo 12, fracción XXII, párrafo tercero, inciso a) de la LFCE señala como parte de las atribuciones del Instituto la siguiente:</w:t>
      </w:r>
    </w:p>
    <w:p w14:paraId="23B9BE1C" w14:textId="77777777" w:rsidR="00E532A3" w:rsidRPr="00E532A3" w:rsidRDefault="00E532A3" w:rsidP="00E532A3">
      <w:pPr>
        <w:pStyle w:val="Sinespaciado"/>
        <w:spacing w:before="240" w:after="120" w:line="276" w:lineRule="auto"/>
        <w:ind w:left="708"/>
        <w:rPr>
          <w:color w:val="000000" w:themeColor="text1"/>
          <w:sz w:val="21"/>
          <w:szCs w:val="21"/>
          <w:u w:val="single"/>
        </w:rPr>
      </w:pPr>
      <w:r w:rsidRPr="00E532A3">
        <w:rPr>
          <w:color w:val="000000" w:themeColor="text1"/>
          <w:sz w:val="21"/>
          <w:szCs w:val="21"/>
        </w:rPr>
        <w:t>“Con independencia de la publicación de las disposiciones regulatorias a que se refiere esta Ley, la Comisión</w:t>
      </w:r>
      <w:r w:rsidRPr="00E532A3">
        <w:rPr>
          <w:color w:val="000000" w:themeColor="text1"/>
          <w:sz w:val="21"/>
          <w:szCs w:val="21"/>
          <w:u w:val="single"/>
        </w:rPr>
        <w:t xml:space="preserve"> (el Instituto) deberá expedir directrices, guías, lineamientos y criterios técnicos, previa consulta pública, en los términos del artículo 138 de esta Ley, en materia de:</w:t>
      </w:r>
    </w:p>
    <w:p w14:paraId="27BEF3D1" w14:textId="77777777" w:rsidR="00E532A3" w:rsidRPr="00E532A3" w:rsidRDefault="00E532A3" w:rsidP="00E532A3">
      <w:pPr>
        <w:pStyle w:val="Sinespaciado"/>
        <w:numPr>
          <w:ilvl w:val="0"/>
          <w:numId w:val="105"/>
        </w:numPr>
        <w:spacing w:before="240" w:after="120" w:line="276" w:lineRule="auto"/>
        <w:rPr>
          <w:color w:val="000000" w:themeColor="text1"/>
          <w:sz w:val="21"/>
          <w:szCs w:val="21"/>
          <w:u w:val="single"/>
        </w:rPr>
      </w:pPr>
      <w:r w:rsidRPr="00E532A3">
        <w:rPr>
          <w:color w:val="000000" w:themeColor="text1"/>
          <w:sz w:val="21"/>
          <w:szCs w:val="21"/>
          <w:u w:val="single"/>
        </w:rPr>
        <w:t>Concentraciones;</w:t>
      </w:r>
    </w:p>
    <w:p w14:paraId="639C62E1" w14:textId="77777777" w:rsidR="00E532A3" w:rsidRPr="00E532A3" w:rsidRDefault="00E532A3" w:rsidP="00E532A3">
      <w:pPr>
        <w:pStyle w:val="Sinespaciado"/>
        <w:spacing w:before="240" w:after="120" w:line="276" w:lineRule="auto"/>
        <w:ind w:left="708" w:firstLine="360"/>
        <w:rPr>
          <w:color w:val="000000" w:themeColor="text1"/>
          <w:sz w:val="21"/>
          <w:szCs w:val="21"/>
        </w:rPr>
      </w:pPr>
      <w:r w:rsidRPr="00E532A3">
        <w:rPr>
          <w:color w:val="000000" w:themeColor="text1"/>
          <w:sz w:val="21"/>
          <w:szCs w:val="21"/>
        </w:rPr>
        <w:t>…</w:t>
      </w:r>
    </w:p>
    <w:p w14:paraId="018A364C" w14:textId="77777777" w:rsidR="00E532A3" w:rsidRPr="00E532A3" w:rsidRDefault="00E532A3" w:rsidP="00E532A3">
      <w:pPr>
        <w:pStyle w:val="Sinespaciado"/>
        <w:numPr>
          <w:ilvl w:val="0"/>
          <w:numId w:val="104"/>
        </w:numPr>
        <w:spacing w:before="240" w:after="120" w:line="276" w:lineRule="auto"/>
        <w:rPr>
          <w:color w:val="000000" w:themeColor="text1"/>
          <w:sz w:val="21"/>
          <w:szCs w:val="21"/>
        </w:rPr>
      </w:pPr>
      <w:r w:rsidRPr="00E532A3">
        <w:rPr>
          <w:color w:val="000000" w:themeColor="text1"/>
          <w:sz w:val="21"/>
          <w:szCs w:val="21"/>
        </w:rPr>
        <w:t xml:space="preserve">…” </w:t>
      </w:r>
    </w:p>
    <w:p w14:paraId="2E51ABF2" w14:textId="77777777" w:rsidR="00E532A3" w:rsidRPr="00E532A3" w:rsidRDefault="00E532A3" w:rsidP="00E532A3">
      <w:pPr>
        <w:pStyle w:val="Sinespaciado"/>
        <w:spacing w:before="240" w:after="120" w:line="276" w:lineRule="auto"/>
        <w:ind w:firstLine="708"/>
        <w:rPr>
          <w:color w:val="000000" w:themeColor="text1"/>
          <w:sz w:val="21"/>
          <w:szCs w:val="21"/>
        </w:rPr>
      </w:pPr>
      <w:r w:rsidRPr="00E532A3">
        <w:rPr>
          <w:color w:val="000000" w:themeColor="text1"/>
          <w:sz w:val="21"/>
          <w:szCs w:val="21"/>
        </w:rPr>
        <w:t>(Énfasis añadido)</w:t>
      </w:r>
    </w:p>
    <w:p w14:paraId="0E3E2E72" w14:textId="77777777" w:rsidR="00E532A3" w:rsidRPr="00E532A3" w:rsidRDefault="00E532A3" w:rsidP="00E532A3">
      <w:pPr>
        <w:pStyle w:val="Sinespaciado"/>
        <w:spacing w:before="240" w:after="120" w:line="276" w:lineRule="auto"/>
        <w:rPr>
          <w:color w:val="000000" w:themeColor="text1"/>
        </w:rPr>
      </w:pPr>
      <w:r w:rsidRPr="00E532A3">
        <w:rPr>
          <w:color w:val="000000" w:themeColor="text1"/>
        </w:rPr>
        <w:t>En concordancia con lo anterior, el artículo 187 de las Disposiciones Regulatorias de la Ley Federal de Competencia Económica para los sectores de telecomunicaciones y radiodifusión (Disposiciones Regulatorias) señala:</w:t>
      </w:r>
    </w:p>
    <w:p w14:paraId="02888DFE" w14:textId="77777777" w:rsidR="00E532A3" w:rsidRPr="00E532A3" w:rsidRDefault="00E532A3" w:rsidP="00E532A3">
      <w:pPr>
        <w:pStyle w:val="Texto"/>
        <w:spacing w:before="240" w:after="120" w:line="276" w:lineRule="auto"/>
        <w:ind w:left="708" w:firstLine="0"/>
        <w:rPr>
          <w:rFonts w:ascii="ITC Avant Garde" w:hAnsi="ITC Avant Garde" w:cs="Times New Roman"/>
          <w:color w:val="000000" w:themeColor="text1"/>
          <w:sz w:val="21"/>
          <w:szCs w:val="21"/>
          <w:lang w:val="es-MX"/>
        </w:rPr>
      </w:pPr>
      <w:r w:rsidRPr="00E532A3">
        <w:rPr>
          <w:rFonts w:ascii="ITC Avant Garde" w:hAnsi="ITC Avant Garde" w:cs="Times New Roman"/>
          <w:color w:val="000000" w:themeColor="text1"/>
          <w:sz w:val="21"/>
          <w:szCs w:val="21"/>
          <w:lang w:val="es-MX"/>
        </w:rPr>
        <w:lastRenderedPageBreak/>
        <w:t xml:space="preserve">“Artículo 187. El Instituto puede </w:t>
      </w:r>
      <w:r w:rsidRPr="00E532A3">
        <w:rPr>
          <w:rFonts w:ascii="ITC Avant Garde" w:hAnsi="ITC Avant Garde" w:cs="Times New Roman"/>
          <w:color w:val="000000" w:themeColor="text1"/>
          <w:sz w:val="21"/>
          <w:szCs w:val="21"/>
          <w:u w:val="single"/>
          <w:lang w:val="es-MX"/>
        </w:rPr>
        <w:t>elaborar y expedir, previa consulta pública, las directrices, guías, lineamientos, criterios técnicos y elementos de análisis técnico que orienten su actuación</w:t>
      </w:r>
      <w:r w:rsidRPr="00E532A3">
        <w:rPr>
          <w:rFonts w:ascii="ITC Avant Garde" w:hAnsi="ITC Avant Garde" w:cs="Times New Roman"/>
          <w:color w:val="000000" w:themeColor="text1"/>
          <w:sz w:val="21"/>
          <w:szCs w:val="21"/>
          <w:lang w:val="es-MX"/>
        </w:rPr>
        <w:t xml:space="preserve"> en el ejercicio que las facultades que en materia de competencia económica le otorgan el artículo 28 de la Constitución Política de los Estados Unidos Mexicanos, la Ley y la Ley Federal de Telecomunicaciones y Radiodifusión.”</w:t>
      </w:r>
    </w:p>
    <w:p w14:paraId="4BBBF871" w14:textId="77777777" w:rsidR="00E532A3" w:rsidRPr="00E532A3" w:rsidRDefault="00E532A3" w:rsidP="00E532A3">
      <w:pPr>
        <w:spacing w:before="240"/>
        <w:rPr>
          <w:rFonts w:eastAsia="Times New Roman"/>
          <w:bCs/>
          <w:color w:val="000000" w:themeColor="text1"/>
          <w:lang w:eastAsia="es-MX"/>
        </w:rPr>
      </w:pPr>
      <w:r w:rsidRPr="00E532A3">
        <w:rPr>
          <w:rFonts w:eastAsia="Times New Roman"/>
          <w:bCs/>
          <w:color w:val="000000" w:themeColor="text1"/>
          <w:lang w:eastAsia="es-MX"/>
        </w:rPr>
        <w:t xml:space="preserve">De acuerdo con las disposiciones señaladas, el Instituto tiene atribuciones para emitir, entre otras, una guía en materia de concentraciones, la cual en el presente caso tiene como objetivo presentar información sobre la aplicación de los controles de concentraciones en los sectores de telecomunicaciones y radiodifusión. </w:t>
      </w:r>
    </w:p>
    <w:p w14:paraId="0536DADD" w14:textId="77777777" w:rsidR="00E532A3" w:rsidRPr="00E532A3" w:rsidRDefault="00E532A3" w:rsidP="00E532A3">
      <w:pPr>
        <w:spacing w:before="240"/>
        <w:rPr>
          <w:rFonts w:eastAsia="Times New Roman"/>
          <w:bCs/>
          <w:color w:val="000000" w:themeColor="text1"/>
          <w:lang w:eastAsia="es-MX"/>
        </w:rPr>
      </w:pPr>
      <w:r w:rsidRPr="00E532A3">
        <w:rPr>
          <w:rFonts w:eastAsia="Times New Roman"/>
          <w:bCs/>
          <w:color w:val="000000" w:themeColor="text1"/>
          <w:lang w:eastAsia="es-MX"/>
        </w:rPr>
        <w:t xml:space="preserve">Lo anterior, con la finalidad de orientar en forma no vinculante a los agentes económicos, a la industria, a los interesados en los sectores y a la sociedad en general respecto de los procedimientos, formas de análisis, actuaciones y evaluaciones que el Instituto lleva a cabo en materia de concentraciones. </w:t>
      </w:r>
    </w:p>
    <w:p w14:paraId="24770DE1" w14:textId="77777777" w:rsidR="00E532A3" w:rsidRPr="00E532A3" w:rsidRDefault="00E532A3" w:rsidP="00E532A3">
      <w:pPr>
        <w:spacing w:before="240"/>
        <w:rPr>
          <w:color w:val="000000" w:themeColor="text1"/>
        </w:rPr>
      </w:pPr>
      <w:r w:rsidRPr="00E532A3">
        <w:rPr>
          <w:rFonts w:eastAsia="Times New Roman"/>
          <w:bCs/>
          <w:color w:val="000000" w:themeColor="text1"/>
          <w:lang w:eastAsia="es-MX"/>
        </w:rPr>
        <w:t xml:space="preserve">La emisión de la Guía de Concentraciones es un acto necesario, toda vez que el marco legal e institucional aplicable a las concentraciones en los sectores de telecomunicaciones y radiodifusión se modificó en dos mil catorce, con la emisión de la LFCE y la LFTR que reglamentan lo dispuesto en el artículo 28 de la CPEUM. De tal forma que es procedente emitir una guía que oriente a los agentes económicos e informe a la sociedad de la forma en la que se tramitan, analizan y resuelven las concentraciones en ambos sectores. </w:t>
      </w:r>
    </w:p>
    <w:p w14:paraId="065C300E" w14:textId="77777777" w:rsidR="00E532A3" w:rsidRPr="00E532A3" w:rsidRDefault="00E532A3" w:rsidP="00E532A3">
      <w:pPr>
        <w:pStyle w:val="Default"/>
        <w:tabs>
          <w:tab w:val="left" w:pos="0"/>
        </w:tabs>
        <w:spacing w:before="240" w:after="120" w:line="276" w:lineRule="auto"/>
        <w:rPr>
          <w:color w:val="000000" w:themeColor="text1"/>
        </w:rPr>
      </w:pPr>
      <w:r w:rsidRPr="00E532A3">
        <w:rPr>
          <w:rFonts w:ascii="ITC Avant Garde" w:hAnsi="ITC Avant Garde" w:cstheme="minorBidi"/>
          <w:b/>
          <w:color w:val="000000" w:themeColor="text1"/>
          <w:sz w:val="22"/>
          <w:szCs w:val="22"/>
        </w:rPr>
        <w:t>Segunda</w:t>
      </w:r>
      <w:r w:rsidRPr="00E532A3">
        <w:rPr>
          <w:color w:val="000000" w:themeColor="text1"/>
        </w:rPr>
        <w:t xml:space="preserve">. Consulta pública del Anteproyecto de la Guía de Concentraciones. </w:t>
      </w:r>
    </w:p>
    <w:p w14:paraId="19AC4F39" w14:textId="77777777" w:rsidR="00E532A3" w:rsidRPr="00E532A3" w:rsidRDefault="00E532A3" w:rsidP="00E532A3">
      <w:pPr>
        <w:spacing w:before="240"/>
        <w:rPr>
          <w:color w:val="000000" w:themeColor="text1"/>
        </w:rPr>
      </w:pPr>
      <w:r w:rsidRPr="00E532A3">
        <w:rPr>
          <w:color w:val="000000" w:themeColor="text1"/>
        </w:rPr>
        <w:t>El artículo 138, fracción I, de la LFCE, señala:</w:t>
      </w:r>
    </w:p>
    <w:p w14:paraId="0267F1C9" w14:textId="77777777" w:rsidR="00E532A3" w:rsidRPr="00E532A3" w:rsidRDefault="00E532A3" w:rsidP="00E532A3">
      <w:pPr>
        <w:pStyle w:val="Sinespaciado"/>
        <w:spacing w:before="240" w:after="120" w:line="276" w:lineRule="auto"/>
        <w:ind w:left="708"/>
        <w:rPr>
          <w:color w:val="000000" w:themeColor="text1"/>
          <w:sz w:val="21"/>
          <w:szCs w:val="21"/>
        </w:rPr>
      </w:pPr>
      <w:r w:rsidRPr="00E532A3">
        <w:rPr>
          <w:color w:val="000000" w:themeColor="text1"/>
          <w:sz w:val="21"/>
          <w:szCs w:val="21"/>
        </w:rPr>
        <w:t xml:space="preserve">“Artículo 138. En la elaboración y expedición de las disposiciones que contengan las directrices, </w:t>
      </w:r>
      <w:r w:rsidRPr="00E532A3">
        <w:rPr>
          <w:b/>
          <w:color w:val="000000" w:themeColor="text1"/>
          <w:sz w:val="21"/>
          <w:szCs w:val="21"/>
        </w:rPr>
        <w:t>guías</w:t>
      </w:r>
      <w:r w:rsidRPr="00E532A3">
        <w:rPr>
          <w:color w:val="000000" w:themeColor="text1"/>
          <w:sz w:val="21"/>
          <w:szCs w:val="21"/>
        </w:rPr>
        <w:t>, lineamientos y criterios técnicos a que hace referencia el artículo 12, fracción XXII, de esta Ley, se estará a lo siguiente:</w:t>
      </w:r>
    </w:p>
    <w:p w14:paraId="68B368B6" w14:textId="77777777" w:rsidR="00E532A3" w:rsidRPr="00E532A3" w:rsidRDefault="00E532A3" w:rsidP="00E532A3">
      <w:pPr>
        <w:pStyle w:val="Sinespaciado"/>
        <w:numPr>
          <w:ilvl w:val="0"/>
          <w:numId w:val="106"/>
        </w:numPr>
        <w:spacing w:before="240" w:after="120" w:line="276" w:lineRule="auto"/>
        <w:rPr>
          <w:color w:val="000000" w:themeColor="text1"/>
          <w:sz w:val="21"/>
          <w:szCs w:val="21"/>
        </w:rPr>
      </w:pPr>
      <w:r w:rsidRPr="00E532A3">
        <w:rPr>
          <w:b/>
          <w:color w:val="000000" w:themeColor="text1"/>
          <w:sz w:val="21"/>
          <w:szCs w:val="21"/>
        </w:rPr>
        <w:t>La Comisión mandará publicar un extracto del anteproyecto en el Diario Oficial de la Federación, e íntegramente en el sitio de Internet de la Comisión, a efecto de abrir un período de consulta pública por treinta días a fin de que cualquier interesado presente opiniones a la Comisión sobre el anteproyecto respectivo</w:t>
      </w:r>
      <w:r w:rsidRPr="00E532A3">
        <w:rPr>
          <w:color w:val="000000" w:themeColor="text1"/>
          <w:sz w:val="21"/>
          <w:szCs w:val="21"/>
        </w:rPr>
        <w:t>. Asimismo, se deberá solicitar, y en su caso, recabar la opinión del Instituto Federal de Telecomunicaciones;</w:t>
      </w:r>
    </w:p>
    <w:p w14:paraId="45C4ECE7" w14:textId="77777777" w:rsidR="00E532A3" w:rsidRPr="00E532A3" w:rsidRDefault="00E532A3" w:rsidP="00E532A3">
      <w:pPr>
        <w:pStyle w:val="Sinespaciado"/>
        <w:numPr>
          <w:ilvl w:val="0"/>
          <w:numId w:val="106"/>
        </w:numPr>
        <w:spacing w:before="240" w:after="120" w:line="276" w:lineRule="auto"/>
        <w:rPr>
          <w:color w:val="000000" w:themeColor="text1"/>
          <w:sz w:val="21"/>
          <w:szCs w:val="21"/>
        </w:rPr>
      </w:pPr>
      <w:r w:rsidRPr="00E532A3">
        <w:rPr>
          <w:color w:val="000000" w:themeColor="text1"/>
          <w:sz w:val="21"/>
          <w:szCs w:val="21"/>
        </w:rPr>
        <w:lastRenderedPageBreak/>
        <w:t>…</w:t>
      </w:r>
    </w:p>
    <w:p w14:paraId="2EC14225" w14:textId="77777777" w:rsidR="00E532A3" w:rsidRPr="00E532A3" w:rsidRDefault="00E532A3" w:rsidP="00E532A3">
      <w:pPr>
        <w:pStyle w:val="Sinespaciado"/>
        <w:spacing w:before="240" w:after="120" w:line="276" w:lineRule="auto"/>
        <w:ind w:left="708"/>
        <w:rPr>
          <w:color w:val="000000" w:themeColor="text1"/>
          <w:sz w:val="21"/>
          <w:szCs w:val="21"/>
        </w:rPr>
      </w:pPr>
      <w:r w:rsidRPr="00E532A3">
        <w:rPr>
          <w:color w:val="000000" w:themeColor="text1"/>
          <w:sz w:val="21"/>
          <w:szCs w:val="21"/>
        </w:rPr>
        <w:t>…”</w:t>
      </w:r>
    </w:p>
    <w:p w14:paraId="47135251" w14:textId="77777777" w:rsidR="00E532A3" w:rsidRPr="00E532A3" w:rsidRDefault="00E532A3" w:rsidP="00E532A3">
      <w:pPr>
        <w:pStyle w:val="Sinespaciado"/>
        <w:spacing w:before="240" w:after="120" w:line="276" w:lineRule="auto"/>
        <w:ind w:left="708"/>
        <w:rPr>
          <w:color w:val="000000" w:themeColor="text1"/>
          <w:sz w:val="21"/>
          <w:szCs w:val="21"/>
        </w:rPr>
      </w:pPr>
      <w:r w:rsidRPr="00E532A3">
        <w:rPr>
          <w:color w:val="000000" w:themeColor="text1"/>
          <w:sz w:val="21"/>
          <w:szCs w:val="21"/>
        </w:rPr>
        <w:t>(Énfasis añadido)</w:t>
      </w:r>
    </w:p>
    <w:p w14:paraId="4B49D533" w14:textId="77777777" w:rsidR="00E532A3" w:rsidRPr="00E532A3" w:rsidRDefault="00E532A3" w:rsidP="00E532A3">
      <w:pPr>
        <w:spacing w:before="240"/>
        <w:rPr>
          <w:rFonts w:eastAsia="Times New Roman"/>
          <w:bCs/>
          <w:color w:val="000000" w:themeColor="text1"/>
          <w:lang w:val="es-ES_tradnl" w:eastAsia="es-MX"/>
        </w:rPr>
      </w:pPr>
      <w:r w:rsidRPr="00E532A3">
        <w:rPr>
          <w:color w:val="000000" w:themeColor="text1"/>
        </w:rPr>
        <w:t>En cumplimiento de la disposición aludida, el Instituto publicó un extracto del Anteproyecto de la guía de concentraciones</w:t>
      </w:r>
      <w:r w:rsidRPr="00E532A3">
        <w:rPr>
          <w:color w:val="000000" w:themeColor="text1"/>
          <w:lang w:val="es-ES_tradnl"/>
        </w:rPr>
        <w:t xml:space="preserve"> </w:t>
      </w:r>
      <w:r w:rsidRPr="00E532A3">
        <w:rPr>
          <w:rFonts w:eastAsia="Times New Roman"/>
          <w:bCs/>
          <w:color w:val="000000" w:themeColor="text1"/>
          <w:lang w:val="es-ES_tradnl" w:eastAsia="es-MX"/>
        </w:rPr>
        <w:t>en el DOF y una versión íntegra de dicho documento en el portal del Instituto.</w:t>
      </w:r>
    </w:p>
    <w:p w14:paraId="6A84F551" w14:textId="77777777" w:rsidR="00E532A3" w:rsidRPr="00E532A3" w:rsidRDefault="00E532A3" w:rsidP="00E532A3">
      <w:pPr>
        <w:spacing w:before="240"/>
        <w:rPr>
          <w:color w:val="000000" w:themeColor="text1"/>
        </w:rPr>
      </w:pPr>
      <w:r w:rsidRPr="00E532A3">
        <w:rPr>
          <w:rFonts w:eastAsia="Times New Roman"/>
          <w:bCs/>
          <w:color w:val="000000" w:themeColor="text1"/>
          <w:lang w:val="es-ES_tradnl" w:eastAsia="es-MX"/>
        </w:rPr>
        <w:t xml:space="preserve">De esta forma, se abrió un </w:t>
      </w:r>
      <w:r w:rsidRPr="00E532A3">
        <w:rPr>
          <w:color w:val="000000" w:themeColor="text1"/>
        </w:rPr>
        <w:t xml:space="preserve">proceso de consulta pública sobre el </w:t>
      </w:r>
      <w:r w:rsidRPr="00E532A3">
        <w:rPr>
          <w:rFonts w:eastAsia="Times New Roman"/>
          <w:color w:val="000000" w:themeColor="text1"/>
          <w:lang w:eastAsia="ja-JP"/>
        </w:rPr>
        <w:t>Anteproyecto de la guía de concentraciones; dicho proceso</w:t>
      </w:r>
      <w:r w:rsidRPr="00E532A3">
        <w:rPr>
          <w:color w:val="000000" w:themeColor="text1"/>
        </w:rPr>
        <w:t xml:space="preserve"> tuvo una duración de treinta días hábiles, los cuales transcurrieron del cinco de enero al dieciséis de febrero de dos mil diecisiete.</w:t>
      </w:r>
    </w:p>
    <w:p w14:paraId="09C424EE" w14:textId="77777777" w:rsidR="00E532A3" w:rsidRPr="00E532A3" w:rsidRDefault="00E532A3" w:rsidP="00E532A3">
      <w:pPr>
        <w:spacing w:before="240"/>
        <w:rPr>
          <w:color w:val="000000" w:themeColor="text1"/>
        </w:rPr>
      </w:pPr>
      <w:r w:rsidRPr="00E532A3">
        <w:rPr>
          <w:bCs/>
          <w:color w:val="000000" w:themeColor="text1"/>
          <w:lang w:val="es-ES_tradnl" w:eastAsia="es-MX"/>
        </w:rPr>
        <w:t>El informe de los comentarios, observaciones, propuestas y/o adiciones recibidas durante la consulta pública, así como de las consideraciones a los mismos, previsto en el artículo 138, fracción II, de la LFCE, fue elaborado por la UCE y publicado en el sitio de Internet del Instituto, el treinta y uno de marzo de dos mil diecisiete.</w:t>
      </w:r>
    </w:p>
    <w:p w14:paraId="44C985A5" w14:textId="77777777" w:rsidR="00E532A3" w:rsidRPr="00E532A3" w:rsidRDefault="00E532A3" w:rsidP="00E532A3">
      <w:pPr>
        <w:pStyle w:val="Sinespaciado"/>
        <w:spacing w:before="240" w:after="120" w:line="276" w:lineRule="auto"/>
        <w:rPr>
          <w:rFonts w:eastAsia="Times New Roman"/>
          <w:bCs/>
          <w:color w:val="000000" w:themeColor="text1"/>
          <w:lang w:val="es-ES_tradnl" w:eastAsia="es-MX"/>
        </w:rPr>
      </w:pPr>
      <w:r w:rsidRPr="00E532A3">
        <w:rPr>
          <w:rFonts w:eastAsia="Times New Roman"/>
          <w:bCs/>
          <w:color w:val="000000" w:themeColor="text1"/>
          <w:lang w:val="es-ES_tradnl" w:eastAsia="es-MX"/>
        </w:rPr>
        <w:t xml:space="preserve">Previa consideración y análisis de los comentarios, las opiniones y las propuestas recibidas durante la consulta pública del Anteproyecto </w:t>
      </w:r>
      <w:r w:rsidRPr="00E532A3">
        <w:rPr>
          <w:color w:val="000000" w:themeColor="text1"/>
        </w:rPr>
        <w:t>de la guía de concentraciones</w:t>
      </w:r>
      <w:r w:rsidRPr="00E532A3">
        <w:rPr>
          <w:rFonts w:eastAsia="Times New Roman"/>
          <w:bCs/>
          <w:color w:val="000000" w:themeColor="text1"/>
          <w:lang w:val="es-ES_tradnl" w:eastAsia="es-MX"/>
        </w:rPr>
        <w:t>, así como de una revisión propia del Instituto, se determina:</w:t>
      </w:r>
    </w:p>
    <w:p w14:paraId="0218D3DA" w14:textId="77777777" w:rsidR="00E532A3" w:rsidRPr="00E532A3" w:rsidRDefault="00E532A3" w:rsidP="00E532A3">
      <w:pPr>
        <w:pStyle w:val="Prrafodelista"/>
        <w:numPr>
          <w:ilvl w:val="0"/>
          <w:numId w:val="107"/>
        </w:numPr>
        <w:spacing w:before="240" w:after="200"/>
        <w:contextualSpacing/>
        <w:rPr>
          <w:rFonts w:eastAsia="Times New Roman"/>
          <w:bCs/>
          <w:color w:val="000000" w:themeColor="text1"/>
          <w:lang w:eastAsia="es-MX"/>
        </w:rPr>
      </w:pPr>
      <w:r w:rsidRPr="00E532A3">
        <w:rPr>
          <w:rFonts w:eastAsia="Times New Roman"/>
          <w:bCs/>
          <w:color w:val="000000" w:themeColor="text1"/>
          <w:lang w:eastAsia="es-MX"/>
        </w:rPr>
        <w:t>Establecer que los objetivos de la guía consisten en orientar en forma no vinculante a los agentes económicos, a la industria, a los interesados en los sectores y a la sociedad en general sobre la aplicación de los controles de concentraciones en los sectores de telecomunicaciones y radiodifusión, incluyendo los procedimientos, formas de análisis, actuaciones y evaluaciones que realiza el Instituto.</w:t>
      </w:r>
    </w:p>
    <w:p w14:paraId="0D83FB8F" w14:textId="77777777" w:rsidR="00E532A3" w:rsidRPr="00E532A3" w:rsidRDefault="00E532A3" w:rsidP="00E532A3">
      <w:pPr>
        <w:pStyle w:val="Prrafodelista"/>
        <w:numPr>
          <w:ilvl w:val="0"/>
          <w:numId w:val="107"/>
        </w:numPr>
        <w:spacing w:before="240" w:after="200"/>
        <w:contextualSpacing/>
        <w:rPr>
          <w:rFonts w:eastAsia="Times New Roman"/>
          <w:bCs/>
          <w:color w:val="000000" w:themeColor="text1"/>
          <w:lang w:eastAsia="es-MX"/>
        </w:rPr>
      </w:pPr>
      <w:r w:rsidRPr="00E532A3">
        <w:rPr>
          <w:rFonts w:eastAsia="Times New Roman"/>
          <w:bCs/>
          <w:color w:val="000000" w:themeColor="text1"/>
          <w:lang w:eastAsia="es-MX"/>
        </w:rPr>
        <w:t xml:space="preserve">Presentar elementos orientadores sobre la forma en que se implementan las disposiciones en materia de concentraciones contenidas en la CPEUM, la LFCE, la LFTR y los precedentes decisorios, tanto del Instituto como del Poder Judicial de la Federación. </w:t>
      </w:r>
    </w:p>
    <w:p w14:paraId="1B565A9F" w14:textId="77777777" w:rsidR="00E532A3" w:rsidRPr="00E532A3" w:rsidRDefault="00E532A3" w:rsidP="00E532A3">
      <w:pPr>
        <w:pStyle w:val="Prrafodelista"/>
        <w:numPr>
          <w:ilvl w:val="0"/>
          <w:numId w:val="107"/>
        </w:numPr>
        <w:spacing w:before="240" w:after="200"/>
        <w:contextualSpacing/>
        <w:rPr>
          <w:rFonts w:eastAsia="Times New Roman"/>
          <w:bCs/>
          <w:color w:val="000000" w:themeColor="text1"/>
          <w:lang w:eastAsia="es-MX"/>
        </w:rPr>
      </w:pPr>
      <w:r w:rsidRPr="00E532A3">
        <w:rPr>
          <w:rFonts w:eastAsia="Times New Roman"/>
          <w:bCs/>
          <w:color w:val="000000" w:themeColor="text1"/>
          <w:lang w:eastAsia="es-MX"/>
        </w:rPr>
        <w:t>Establecer que la naturaleza de la guía es informativa y no vinculante. Por tal razón los elementos contenidos en la guía no prejuzgan ni pueden hacerse extensivos a otros procedimientos previstos en la LFCE y la LFTR. Tampoco son vinculantes para el Instituto que ejercerá sus facultades de análisis y decisión en cada asunto.</w:t>
      </w:r>
    </w:p>
    <w:p w14:paraId="5ADF3CAF" w14:textId="77777777" w:rsidR="00E532A3" w:rsidRPr="00E532A3" w:rsidRDefault="00E532A3" w:rsidP="00E532A3">
      <w:pPr>
        <w:pStyle w:val="Prrafodelista"/>
        <w:numPr>
          <w:ilvl w:val="0"/>
          <w:numId w:val="107"/>
        </w:numPr>
        <w:spacing w:before="240" w:after="200"/>
        <w:contextualSpacing/>
        <w:rPr>
          <w:rFonts w:eastAsia="Times New Roman"/>
          <w:bCs/>
          <w:color w:val="000000" w:themeColor="text1"/>
          <w:lang w:eastAsia="es-MX"/>
        </w:rPr>
      </w:pPr>
      <w:r w:rsidRPr="00E532A3">
        <w:rPr>
          <w:rFonts w:eastAsia="Times New Roman"/>
          <w:bCs/>
          <w:color w:val="000000" w:themeColor="text1"/>
          <w:lang w:eastAsia="es-MX"/>
        </w:rPr>
        <w:t xml:space="preserve">Anunciar que la guía será revisada, por lo menos cada cinco años en términos del artículo 138 in fine de la LFCE; y susceptible ser modificada en la medida </w:t>
      </w:r>
      <w:r w:rsidRPr="00E532A3">
        <w:rPr>
          <w:rFonts w:eastAsia="Times New Roman"/>
          <w:bCs/>
          <w:color w:val="000000" w:themeColor="text1"/>
          <w:lang w:eastAsia="es-MX"/>
        </w:rPr>
        <w:lastRenderedPageBreak/>
        <w:t xml:space="preserve">necesaria para mantenerla actualizada respecto de la legislación y la práctica que orienta la aplicación de los controles de concentraciones. </w:t>
      </w:r>
    </w:p>
    <w:p w14:paraId="4127E4E2" w14:textId="77777777" w:rsidR="00E532A3" w:rsidRPr="00E532A3" w:rsidRDefault="00E532A3" w:rsidP="00E532A3">
      <w:pPr>
        <w:spacing w:before="240"/>
        <w:jc w:val="center"/>
        <w:rPr>
          <w:color w:val="000000" w:themeColor="text1"/>
        </w:rPr>
      </w:pPr>
      <w:r w:rsidRPr="00E532A3">
        <w:rPr>
          <w:color w:val="000000" w:themeColor="text1"/>
        </w:rPr>
        <w:t>*</w:t>
      </w:r>
    </w:p>
    <w:p w14:paraId="32848DBD" w14:textId="77777777" w:rsidR="00E532A3" w:rsidRPr="00E532A3" w:rsidRDefault="00E532A3" w:rsidP="00E532A3">
      <w:pPr>
        <w:spacing w:before="240"/>
        <w:rPr>
          <w:color w:val="000000" w:themeColor="text1"/>
        </w:rPr>
      </w:pPr>
      <w:r w:rsidRPr="00E532A3">
        <w:rPr>
          <w:color w:val="000000" w:themeColor="text1"/>
        </w:rPr>
        <w:t>Con base en lo anterior y con fundamento en lo dispuesto por los artículos 28 párrafos décimo cuarto, décimo quinto y décimo sexto de la Constitución Política de los Estados Unidos Mexicanos;</w:t>
      </w:r>
      <w:r w:rsidRPr="00E532A3">
        <w:rPr>
          <w:bCs/>
          <w:color w:val="000000" w:themeColor="text1"/>
          <w:lang w:eastAsia="es-MX"/>
        </w:rPr>
        <w:t xml:space="preserve"> 7 párrafo tercero de la Ley Federal de Telecomunicaciones y Radiodifusión</w:t>
      </w:r>
      <w:r w:rsidRPr="00E532A3">
        <w:rPr>
          <w:color w:val="000000" w:themeColor="text1"/>
        </w:rPr>
        <w:t>; 1, 2, 5 párrafo primero, 12 fracciones I y XXII párrafo tercero inciso a), 18 párrafo séptimo, y 138 fracción III de la Ley Federal de Competencia Económica</w:t>
      </w:r>
      <w:r w:rsidRPr="00E532A3">
        <w:rPr>
          <w:color w:val="000000" w:themeColor="text1"/>
          <w:shd w:val="clear" w:color="auto" w:fill="FFFFFF"/>
        </w:rPr>
        <w:t>; 187 de las Disposiciones Regulatorias de la Ley Federal de Competencia Económica para los sectores de telecomunicaciones y radiodifusión;</w:t>
      </w:r>
      <w:r w:rsidRPr="00E532A3">
        <w:rPr>
          <w:color w:val="000000" w:themeColor="text1"/>
        </w:rPr>
        <w:t xml:space="preserve"> y 1 párrafos primero y tercero, 2 fracción X, 4 fracciones I, V inciso vi) y VI, y 6, fracción XXXVII, del Estatuto Orgánico del Instituto Federal de Telecomunicaciones, el Pleno del Instituto Federal de Telecomunicaciones emite el siguiente:</w:t>
      </w:r>
    </w:p>
    <w:p w14:paraId="223E6B1F" w14:textId="77777777" w:rsidR="00E532A3" w:rsidRPr="00E532A3" w:rsidRDefault="00E532A3" w:rsidP="00E532A3">
      <w:pPr>
        <w:pStyle w:val="Ttulo2"/>
        <w:jc w:val="center"/>
        <w:rPr>
          <w:rStyle w:val="NormalIFTCar"/>
          <w:rFonts w:eastAsia="Calibri"/>
          <w:b w:val="0"/>
          <w:bCs w:val="0"/>
          <w:color w:val="000000" w:themeColor="text1"/>
          <w:szCs w:val="22"/>
        </w:rPr>
      </w:pPr>
      <w:r w:rsidRPr="00E532A3">
        <w:rPr>
          <w:bCs/>
          <w:color w:val="000000" w:themeColor="text1"/>
        </w:rPr>
        <w:t>ACUERDO</w:t>
      </w:r>
    </w:p>
    <w:p w14:paraId="4FA04779" w14:textId="77777777" w:rsidR="00E532A3" w:rsidRPr="00652B5F" w:rsidRDefault="00E532A3" w:rsidP="00E532A3">
      <w:pPr>
        <w:spacing w:before="240"/>
      </w:pPr>
      <w:r w:rsidRPr="00652B5F">
        <w:rPr>
          <w:b/>
        </w:rPr>
        <w:t>PRIMERO</w:t>
      </w:r>
      <w:r w:rsidRPr="00652B5F">
        <w:t>. Se expide la “Guía para el control de concentraciones en los sectores de telecomunicaciones y radiodifusión”, que se adjunta como Anexo Único.</w:t>
      </w:r>
    </w:p>
    <w:p w14:paraId="52E2C42C" w14:textId="77777777" w:rsidR="00E532A3" w:rsidRPr="00652B5F" w:rsidRDefault="00E532A3" w:rsidP="00E532A3">
      <w:pPr>
        <w:spacing w:before="240"/>
        <w:rPr>
          <w:sz w:val="12"/>
        </w:rPr>
      </w:pPr>
      <w:r w:rsidRPr="00652B5F">
        <w:rPr>
          <w:b/>
        </w:rPr>
        <w:t>SEGUNDO.</w:t>
      </w:r>
      <w:r w:rsidRPr="00652B5F">
        <w:t xml:space="preserve"> Publíquese un extracto de la “Guía para el control de concentraciones en los sectores de telecomunicaciones y radiodifusión” en el Diario Oficial de la Federación e íntegramente en el sitio de Internet del Instituto.</w:t>
      </w:r>
      <w:r w:rsidRPr="00652B5F">
        <w:rPr>
          <w:sz w:val="12"/>
        </w:rPr>
        <w:t xml:space="preserve"> </w:t>
      </w:r>
    </w:p>
    <w:p w14:paraId="608CB64E" w14:textId="77777777" w:rsidR="00E532A3" w:rsidRPr="00652B5F" w:rsidRDefault="00E532A3" w:rsidP="00E532A3">
      <w:pPr>
        <w:spacing w:before="240" w:after="0" w:line="240" w:lineRule="auto"/>
        <w:rPr>
          <w:sz w:val="12"/>
        </w:rPr>
      </w:pPr>
      <w:r w:rsidRPr="00652B5F">
        <w:rPr>
          <w:sz w:val="12"/>
        </w:rPr>
        <w:t xml:space="preserve">El presente Acuerdo fue aprobado por el Pleno del Instituto Federal de Telecomunicaciones en su XXVII Sesión Ordinaria celebrada el 28 de junio de 2017, por </w:t>
      </w:r>
      <w:r w:rsidRPr="00652B5F">
        <w:rPr>
          <w:bCs/>
          <w:sz w:val="12"/>
        </w:rPr>
        <w:t>unanimidad</w:t>
      </w:r>
      <w:r w:rsidRPr="00652B5F">
        <w:rPr>
          <w:sz w:val="12"/>
        </w:rPr>
        <w:t xml:space="preserve"> de votos de los Comisionados Gabriel Oswaldo Contreras Saldívar, Adriana Sofía </w:t>
      </w:r>
      <w:proofErr w:type="spellStart"/>
      <w:r w:rsidRPr="00652B5F">
        <w:rPr>
          <w:sz w:val="12"/>
        </w:rPr>
        <w:t>Labardini</w:t>
      </w:r>
      <w:proofErr w:type="spellEnd"/>
      <w:r w:rsidRPr="00652B5F">
        <w:rPr>
          <w:sz w:val="12"/>
        </w:rPr>
        <w:t xml:space="preserve"> </w:t>
      </w:r>
      <w:proofErr w:type="spellStart"/>
      <w:r w:rsidRPr="00652B5F">
        <w:rPr>
          <w:sz w:val="12"/>
        </w:rPr>
        <w:t>Inzunza</w:t>
      </w:r>
      <w:proofErr w:type="spellEnd"/>
      <w:r w:rsidRPr="00652B5F">
        <w:rPr>
          <w:sz w:val="12"/>
        </w:rPr>
        <w:t xml:space="preserve">, María Elena </w:t>
      </w:r>
      <w:proofErr w:type="spellStart"/>
      <w:r w:rsidRPr="00652B5F">
        <w:rPr>
          <w:sz w:val="12"/>
        </w:rPr>
        <w:t>Estavillo</w:t>
      </w:r>
      <w:proofErr w:type="spellEnd"/>
      <w:r w:rsidRPr="00652B5F">
        <w:rPr>
          <w:sz w:val="12"/>
        </w:rPr>
        <w:t xml:space="preserve"> Flores, Mario Germán </w:t>
      </w:r>
      <w:proofErr w:type="spellStart"/>
      <w:r w:rsidRPr="00652B5F">
        <w:rPr>
          <w:sz w:val="12"/>
        </w:rPr>
        <w:t>Fromow</w:t>
      </w:r>
      <w:proofErr w:type="spellEnd"/>
      <w:r w:rsidRPr="00652B5F">
        <w:rPr>
          <w:sz w:val="12"/>
        </w:rPr>
        <w:t xml:space="preserve"> Rangel, Adolfo Cuevas Teja, Javier Juárez Mojica y Arturo Robles </w:t>
      </w:r>
      <w:proofErr w:type="spellStart"/>
      <w:r w:rsidRPr="00652B5F">
        <w:rPr>
          <w:sz w:val="12"/>
        </w:rPr>
        <w:t>Rovalo</w:t>
      </w:r>
      <w:proofErr w:type="spellEnd"/>
      <w:r w:rsidRPr="00652B5F">
        <w:rPr>
          <w:sz w:val="12"/>
        </w:rPr>
        <w:t>;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P/IFT/280617/368.</w:t>
      </w:r>
    </w:p>
    <w:p w14:paraId="113AC4E0" w14:textId="77777777" w:rsidR="00E532A3" w:rsidRDefault="00E532A3" w:rsidP="00E532A3">
      <w:pPr>
        <w:spacing w:before="240" w:after="0" w:line="240" w:lineRule="auto"/>
        <w:rPr>
          <w:sz w:val="12"/>
        </w:rPr>
        <w:sectPr w:rsidR="00E532A3" w:rsidSect="00E532A3">
          <w:footerReference w:type="default" r:id="rId8"/>
          <w:type w:val="continuous"/>
          <w:pgSz w:w="12240" w:h="15840"/>
          <w:pgMar w:top="2268" w:right="1467" w:bottom="1276" w:left="1418" w:header="709" w:footer="709" w:gutter="0"/>
          <w:cols w:space="708"/>
          <w:docGrid w:linePitch="360"/>
        </w:sectPr>
      </w:pPr>
      <w:r w:rsidRPr="00652B5F">
        <w:rPr>
          <w:sz w:val="12"/>
        </w:rPr>
        <w:t xml:space="preserve">El Comisionado Arturo Robles </w:t>
      </w:r>
      <w:proofErr w:type="spellStart"/>
      <w:r w:rsidRPr="00652B5F">
        <w:rPr>
          <w:sz w:val="12"/>
        </w:rPr>
        <w:t>Rovalo</w:t>
      </w:r>
      <w:proofErr w:type="spellEnd"/>
      <w:r w:rsidRPr="00652B5F">
        <w:rPr>
          <w:sz w:val="12"/>
        </w:rPr>
        <w:t>, previendo su ausencia justificada a la sesión, emitió su voto razonado por escrito, en términos de los artículos 18 segundo párrafo de la Ley Federal de Competencia Económica, y 8 segundo párrafo del Estatuto Orgánico del Instituto Federal de Telecomunicaciones.</w:t>
      </w:r>
    </w:p>
    <w:p w14:paraId="2204A7D8" w14:textId="1AF1A9D9" w:rsidR="008C2DD4" w:rsidRPr="00A07D9A" w:rsidRDefault="00644193" w:rsidP="009844DA">
      <w:pPr>
        <w:rPr>
          <w:color w:val="000000" w:themeColor="text1"/>
        </w:rPr>
        <w:sectPr w:rsidR="008C2DD4" w:rsidRPr="00A07D9A" w:rsidSect="00E532A3">
          <w:headerReference w:type="default" r:id="rId9"/>
          <w:footerReference w:type="default" r:id="rId10"/>
          <w:pgSz w:w="12240" w:h="15840" w:code="1"/>
          <w:pgMar w:top="720" w:right="720" w:bottom="720" w:left="720" w:header="720" w:footer="720" w:gutter="0"/>
          <w:cols w:space="720"/>
          <w:titlePg/>
          <w:docGrid w:linePitch="360"/>
        </w:sectPr>
      </w:pPr>
      <w:r w:rsidRPr="00A07D9A">
        <w:rPr>
          <w:noProof/>
          <w:color w:val="000000" w:themeColor="text1"/>
          <w:lang w:val="es-MX" w:eastAsia="es-MX"/>
        </w:rPr>
        <w:lastRenderedPageBreak/>
        <mc:AlternateContent>
          <mc:Choice Requires="wps">
            <w:drawing>
              <wp:inline distT="0" distB="0" distL="0" distR="0" wp14:anchorId="36EEBF68" wp14:editId="0031CCC8">
                <wp:extent cx="5521960" cy="6553200"/>
                <wp:effectExtent l="0" t="0" r="2540" b="0"/>
                <wp:docPr id="2" name="Text Box 21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655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9BC6" w14:textId="77777777" w:rsidR="00BD77B6" w:rsidRPr="00CF759C" w:rsidRDefault="00BD77B6" w:rsidP="009844DA">
                            <w:pPr>
                              <w:pStyle w:val="TitleCover"/>
                              <w:rPr>
                                <w:color w:val="0D0D0D" w:themeColor="text1" w:themeTint="F2"/>
                              </w:rPr>
                            </w:pPr>
                          </w:p>
                          <w:p w14:paraId="796DCA47" w14:textId="4E204BCB" w:rsidR="00BD77B6" w:rsidRPr="00CF759C" w:rsidRDefault="00BD77B6" w:rsidP="009844DA">
                            <w:pPr>
                              <w:pStyle w:val="SubtitleCover"/>
                              <w:rPr>
                                <w:color w:val="0D0D0D" w:themeColor="text1" w:themeTint="F2"/>
                              </w:rPr>
                            </w:pPr>
                          </w:p>
                          <w:p w14:paraId="03F5ED59" w14:textId="77777777" w:rsidR="00BD77B6" w:rsidRPr="00CF759C" w:rsidRDefault="00342F4A" w:rsidP="009844DA">
                            <w:pPr>
                              <w:pStyle w:val="TitleCover"/>
                            </w:pPr>
                            <w:sdt>
                              <w:sdtPr>
                                <w:rPr>
                                  <w:color w:val="FFFFFF" w:themeColor="background1"/>
                                </w:rPr>
                                <w:tag w:val="Report Notebook"/>
                                <w:id w:val="-850873581"/>
                                <w:placeholder>
                                  <w:docPart w:val="A512F03A80C9441F8BDA962F6906DFCE"/>
                                </w:placeholder>
                              </w:sdtPr>
                              <w:sdtEndPr/>
                              <w:sdtContent>
                                <w:r w:rsidR="00BD77B6">
                                  <w:t>gUÍA PARA EL CONTROL DE CONCENTRACIONES EN LOS SECTORES DE TELECOMUNICACIONES Y RADIODIFUSIÓN</w:t>
                                </w:r>
                              </w:sdtContent>
                            </w:sdt>
                          </w:p>
                          <w:p w14:paraId="0C9F2403" w14:textId="77777777" w:rsidR="00BD77B6" w:rsidRPr="00EA779E" w:rsidRDefault="00BD77B6" w:rsidP="009844DA">
                            <w:pPr>
                              <w:pStyle w:val="TitleCover"/>
                            </w:pPr>
                          </w:p>
                          <w:sdt>
                            <w:sdtPr>
                              <w:tag w:val="Room Number"/>
                              <w:id w:val="838190113"/>
                              <w:placeholder>
                                <w:docPart w:val="CC4C32B6C69245EFAA8DCA19AFA7E159"/>
                              </w:placeholder>
                            </w:sdtPr>
                            <w:sdtEndPr/>
                            <w:sdtContent>
                              <w:p w14:paraId="50352ECD" w14:textId="77777777" w:rsidR="00BD77B6" w:rsidRPr="00FA61D6" w:rsidRDefault="00BD77B6" w:rsidP="00FA61D6">
                                <w:pPr>
                                  <w:pStyle w:val="TitleCover"/>
                                </w:pPr>
                                <w:r>
                                  <w:t>2017</w:t>
                                </w:r>
                              </w:p>
                            </w:sdtContent>
                          </w:sdt>
                          <w:p w14:paraId="235152A7" w14:textId="77777777" w:rsidR="00BD77B6" w:rsidRPr="00CF759C" w:rsidRDefault="00BD77B6" w:rsidP="009844DA">
                            <w:pPr>
                              <w:pStyle w:val="TitleCover"/>
                            </w:pPr>
                          </w:p>
                          <w:p w14:paraId="01DCA4E4" w14:textId="77777777" w:rsidR="00BD77B6" w:rsidRPr="00CF759C" w:rsidRDefault="00342F4A" w:rsidP="00347F8F">
                            <w:pPr>
                              <w:pStyle w:val="SubtitleCover"/>
                            </w:pPr>
                            <w:sdt>
                              <w:sdtPr>
                                <w:rPr>
                                  <w:color w:val="7F7F7F" w:themeColor="text1" w:themeTint="80"/>
                                </w:rPr>
                                <w:tag w:val="Class Name"/>
                                <w:id w:val="730425277"/>
                                <w:placeholder>
                                  <w:docPart w:val="64761DDC51BC48CCBC49FB6CCD87CA4E"/>
                                </w:placeholder>
                              </w:sdtPr>
                              <w:sdtEndPr>
                                <w:rPr>
                                  <w:color w:val="0D0D0D" w:themeColor="text1" w:themeTint="F2"/>
                                </w:rPr>
                              </w:sdtEndPr>
                              <w:sdtContent>
                                <w:r w:rsidR="00BD77B6">
                                  <w:rPr>
                                    <w:color w:val="7F7F7F" w:themeColor="text1" w:themeTint="80"/>
                                  </w:rPr>
                                  <w:t>Instituto Federal de Telecomunicaciones</w:t>
                                </w:r>
                              </w:sdtContent>
                            </w:sdt>
                          </w:p>
                        </w:txbxContent>
                      </wps:txbx>
                      <wps:bodyPr rot="0" vert="horz" wrap="square" lIns="0" tIns="0" rIns="0" bIns="0" anchor="t" anchorCtr="0" upright="1">
                        <a:noAutofit/>
                      </wps:bodyPr>
                    </wps:wsp>
                  </a:graphicData>
                </a:graphic>
              </wp:inline>
            </w:drawing>
          </mc:Choice>
          <mc:Fallback>
            <w:pict>
              <v:shapetype w14:anchorId="36EEBF68" id="_x0000_t202" coordsize="21600,21600" o:spt="202" path="m,l,21600r21600,l21600,xe">
                <v:stroke joinstyle="miter"/>
                <v:path gradientshapeok="t" o:connecttype="rect"/>
              </v:shapetype>
              <v:shape id="Text Box 216" o:spid="_x0000_s1026" type="#_x0000_t202" alt="Text Box:" style="width:434.8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" filled="f" stroked="f">
                <v:textbox inset="0,0,0,0">
                  <w:txbxContent>
                    <w:p w14:paraId="409D9BC6" w14:textId="77777777" w:rsidR="00BD77B6" w:rsidRPr="00CF759C" w:rsidRDefault="00BD77B6" w:rsidP="009844DA">
                      <w:pPr>
                        <w:pStyle w:val="TitleCover"/>
                        <w:rPr>
                          <w:color w:val="0D0D0D" w:themeColor="text1" w:themeTint="F2"/>
                        </w:rPr>
                      </w:pPr>
                    </w:p>
                    <w:p w14:paraId="796DCA47" w14:textId="4E204BCB" w:rsidR="00BD77B6" w:rsidRPr="00CF759C" w:rsidRDefault="00BD77B6" w:rsidP="009844DA">
                      <w:pPr>
                        <w:pStyle w:val="SubtitleCover"/>
                        <w:rPr>
                          <w:color w:val="0D0D0D" w:themeColor="text1" w:themeTint="F2"/>
                        </w:rPr>
                      </w:pPr>
                    </w:p>
                    <w:p w14:paraId="03F5ED59" w14:textId="77777777" w:rsidR="00BD77B6" w:rsidRPr="00CF759C" w:rsidRDefault="00342F4A" w:rsidP="009844DA">
                      <w:pPr>
                        <w:pStyle w:val="TitleCover"/>
                      </w:pPr>
                      <w:sdt>
                        <w:sdtPr>
                          <w:rPr>
                            <w:color w:val="FFFFFF" w:themeColor="background1"/>
                          </w:rPr>
                          <w:tag w:val="Report Notebook"/>
                          <w:id w:val="-850873581"/>
                          <w:placeholder>
                            <w:docPart w:val="A512F03A80C9441F8BDA962F6906DFCE"/>
                          </w:placeholder>
                        </w:sdtPr>
                        <w:sdtEndPr/>
                        <w:sdtContent>
                          <w:r w:rsidR="00BD77B6">
                            <w:t>gUÍA PARA EL CONTROL DE CONCENTRACIONES EN LOS SECTORES DE TELECOMUNICACIONES Y RADIODIFUSIÓN</w:t>
                          </w:r>
                        </w:sdtContent>
                      </w:sdt>
                    </w:p>
                    <w:p w14:paraId="0C9F2403" w14:textId="77777777" w:rsidR="00BD77B6" w:rsidRPr="00EA779E" w:rsidRDefault="00BD77B6" w:rsidP="009844DA">
                      <w:pPr>
                        <w:pStyle w:val="TitleCover"/>
                      </w:pPr>
                    </w:p>
                    <w:sdt>
                      <w:sdtPr>
                        <w:tag w:val="Room Number"/>
                        <w:id w:val="838190113"/>
                        <w:placeholder>
                          <w:docPart w:val="CC4C32B6C69245EFAA8DCA19AFA7E159"/>
                        </w:placeholder>
                      </w:sdtPr>
                      <w:sdtEndPr/>
                      <w:sdtContent>
                        <w:p w14:paraId="50352ECD" w14:textId="77777777" w:rsidR="00BD77B6" w:rsidRPr="00FA61D6" w:rsidRDefault="00BD77B6" w:rsidP="00FA61D6">
                          <w:pPr>
                            <w:pStyle w:val="TitleCover"/>
                          </w:pPr>
                          <w:r>
                            <w:t>2017</w:t>
                          </w:r>
                        </w:p>
                      </w:sdtContent>
                    </w:sdt>
                    <w:p w14:paraId="235152A7" w14:textId="77777777" w:rsidR="00BD77B6" w:rsidRPr="00CF759C" w:rsidRDefault="00BD77B6" w:rsidP="009844DA">
                      <w:pPr>
                        <w:pStyle w:val="TitleCover"/>
                      </w:pPr>
                    </w:p>
                    <w:p w14:paraId="01DCA4E4" w14:textId="77777777" w:rsidR="00BD77B6" w:rsidRPr="00CF759C" w:rsidRDefault="00342F4A" w:rsidP="00347F8F">
                      <w:pPr>
                        <w:pStyle w:val="SubtitleCover"/>
                      </w:pPr>
                      <w:sdt>
                        <w:sdtPr>
                          <w:rPr>
                            <w:color w:val="7F7F7F" w:themeColor="text1" w:themeTint="80"/>
                          </w:rPr>
                          <w:tag w:val="Class Name"/>
                          <w:id w:val="730425277"/>
                          <w:placeholder>
                            <w:docPart w:val="64761DDC51BC48CCBC49FB6CCD87CA4E"/>
                          </w:placeholder>
                        </w:sdtPr>
                        <w:sdtEndPr>
                          <w:rPr>
                            <w:color w:val="0D0D0D" w:themeColor="text1" w:themeTint="F2"/>
                          </w:rPr>
                        </w:sdtEndPr>
                        <w:sdtContent>
                          <w:r w:rsidR="00BD77B6">
                            <w:rPr>
                              <w:color w:val="7F7F7F" w:themeColor="text1" w:themeTint="80"/>
                            </w:rPr>
                            <w:t>Instituto Federal de Telecomunicaciones</w:t>
                          </w:r>
                        </w:sdtContent>
                      </w:sdt>
                    </w:p>
                  </w:txbxContent>
                </v:textbox>
                <w10:anchorlock/>
              </v:shape>
            </w:pict>
          </mc:Fallback>
        </mc:AlternateContent>
      </w:r>
    </w:p>
    <w:p w14:paraId="69AF1A15" w14:textId="77777777" w:rsidR="00644193" w:rsidRPr="00A07D9A" w:rsidRDefault="00644193" w:rsidP="00644193">
      <w:pPr>
        <w:rPr>
          <w:b/>
          <w:color w:val="000000" w:themeColor="text1"/>
        </w:rPr>
      </w:pPr>
      <w:r w:rsidRPr="00A07D9A">
        <w:rPr>
          <w:b/>
          <w:color w:val="000000" w:themeColor="text1"/>
        </w:rPr>
        <w:lastRenderedPageBreak/>
        <w:t>Índice de contenido</w:t>
      </w:r>
    </w:p>
    <w:p w14:paraId="399DC3B8" w14:textId="77777777" w:rsidR="001C32E5" w:rsidRPr="00A07D9A" w:rsidRDefault="00030283">
      <w:pPr>
        <w:pStyle w:val="TDC1"/>
        <w:tabs>
          <w:tab w:val="right" w:leader="dot" w:pos="8828"/>
        </w:tabs>
        <w:rPr>
          <w:rFonts w:asciiTheme="minorHAnsi" w:eastAsiaTheme="minorEastAsia" w:hAnsiTheme="minorHAnsi"/>
          <w:noProof/>
          <w:color w:val="000000" w:themeColor="text1"/>
          <w:lang w:val="es-MX" w:eastAsia="es-MX"/>
        </w:rPr>
      </w:pPr>
      <w:r w:rsidRPr="00A07D9A">
        <w:rPr>
          <w:color w:val="000000" w:themeColor="text1"/>
        </w:rPr>
        <w:fldChar w:fldCharType="begin"/>
      </w:r>
      <w:r w:rsidRPr="00A07D9A">
        <w:rPr>
          <w:color w:val="000000" w:themeColor="text1"/>
        </w:rPr>
        <w:instrText xml:space="preserve"> TOC \o "1-3" \h \z \u </w:instrText>
      </w:r>
      <w:r w:rsidRPr="00A07D9A">
        <w:rPr>
          <w:color w:val="000000" w:themeColor="text1"/>
        </w:rPr>
        <w:fldChar w:fldCharType="separate"/>
      </w:r>
      <w:hyperlink w:anchor="_Toc486519789" w:history="1">
        <w:r w:rsidR="001C32E5" w:rsidRPr="00A07D9A">
          <w:rPr>
            <w:rStyle w:val="Hipervnculo"/>
            <w:noProof/>
            <w:color w:val="000000" w:themeColor="text1"/>
          </w:rPr>
          <w:t>Introducción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_Toc486519789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4</w:t>
        </w:r>
        <w:r w:rsidR="001C32E5" w:rsidRPr="00A07D9A">
          <w:rPr>
            <w:noProof/>
            <w:webHidden/>
            <w:color w:val="000000" w:themeColor="text1"/>
          </w:rPr>
          <w:fldChar w:fldCharType="end"/>
        </w:r>
      </w:hyperlink>
    </w:p>
    <w:p w14:paraId="746A4BD9" w14:textId="77777777" w:rsidR="001C32E5" w:rsidRPr="00A07D9A" w:rsidRDefault="00342F4A">
      <w:pPr>
        <w:pStyle w:val="TDC1"/>
        <w:tabs>
          <w:tab w:val="right" w:leader="dot" w:pos="8828"/>
        </w:tabs>
        <w:rPr>
          <w:rFonts w:asciiTheme="minorHAnsi" w:eastAsiaTheme="minorEastAsia" w:hAnsiTheme="minorHAnsi"/>
          <w:noProof/>
          <w:color w:val="000000" w:themeColor="text1"/>
          <w:lang w:val="es-MX" w:eastAsia="es-MX"/>
        </w:rPr>
      </w:pPr>
      <w:hyperlink w:anchor="_Toc486519790" w:history="1">
        <w:r w:rsidR="001C32E5" w:rsidRPr="00A07D9A">
          <w:rPr>
            <w:rStyle w:val="Hipervnculo"/>
            <w:noProof/>
            <w:color w:val="000000" w:themeColor="text1"/>
          </w:rPr>
          <w:t>Glosario</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_Toc486519790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6</w:t>
        </w:r>
        <w:r w:rsidR="001C32E5" w:rsidRPr="00A07D9A">
          <w:rPr>
            <w:noProof/>
            <w:webHidden/>
            <w:color w:val="000000" w:themeColor="text1"/>
          </w:rPr>
          <w:fldChar w:fldCharType="end"/>
        </w:r>
      </w:hyperlink>
    </w:p>
    <w:p w14:paraId="2CECB427" w14:textId="77777777" w:rsidR="001C32E5" w:rsidRPr="00A07D9A" w:rsidRDefault="00342F4A">
      <w:pPr>
        <w:pStyle w:val="TDC1"/>
        <w:tabs>
          <w:tab w:val="left" w:pos="440"/>
          <w:tab w:val="right" w:leader="dot" w:pos="8828"/>
        </w:tabs>
        <w:rPr>
          <w:rFonts w:asciiTheme="minorHAnsi" w:eastAsiaTheme="minorEastAsia" w:hAnsiTheme="minorHAnsi"/>
          <w:noProof/>
          <w:color w:val="000000" w:themeColor="text1"/>
          <w:lang w:val="es-MX" w:eastAsia="es-MX"/>
        </w:rPr>
      </w:pPr>
      <w:hyperlink w:anchor="_Toc486519791" w:history="1">
        <w:r w:rsidR="001C32E5" w:rsidRPr="00A07D9A">
          <w:rPr>
            <w:rStyle w:val="Hipervnculo"/>
            <w:noProof/>
            <w:color w:val="000000" w:themeColor="text1"/>
          </w:rPr>
          <w:t>I.</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Aspectos Generales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_Toc486519791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8</w:t>
        </w:r>
        <w:r w:rsidR="001C32E5" w:rsidRPr="00A07D9A">
          <w:rPr>
            <w:noProof/>
            <w:webHidden/>
            <w:color w:val="000000" w:themeColor="text1"/>
          </w:rPr>
          <w:fldChar w:fldCharType="end"/>
        </w:r>
      </w:hyperlink>
    </w:p>
    <w:p w14:paraId="0FC7FA70" w14:textId="77777777" w:rsidR="001C32E5" w:rsidRPr="00A07D9A" w:rsidRDefault="00342F4A">
      <w:pPr>
        <w:pStyle w:val="TDC1"/>
        <w:tabs>
          <w:tab w:val="left" w:pos="440"/>
          <w:tab w:val="right" w:leader="dot" w:pos="8828"/>
        </w:tabs>
        <w:rPr>
          <w:rFonts w:asciiTheme="minorHAnsi" w:eastAsiaTheme="minorEastAsia" w:hAnsiTheme="minorHAnsi"/>
          <w:noProof/>
          <w:color w:val="000000" w:themeColor="text1"/>
          <w:lang w:val="es-MX" w:eastAsia="es-MX"/>
        </w:rPr>
      </w:pPr>
      <w:hyperlink w:anchor="_Toc486519792" w:history="1">
        <w:r w:rsidR="001C32E5" w:rsidRPr="00A07D9A">
          <w:rPr>
            <w:rStyle w:val="Hipervnculo"/>
            <w:noProof/>
            <w:color w:val="000000" w:themeColor="text1"/>
          </w:rPr>
          <w:t>1.</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Objeto del control de concentraciones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_Toc486519792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8</w:t>
        </w:r>
        <w:r w:rsidR="001C32E5" w:rsidRPr="00A07D9A">
          <w:rPr>
            <w:noProof/>
            <w:webHidden/>
            <w:color w:val="000000" w:themeColor="text1"/>
          </w:rPr>
          <w:fldChar w:fldCharType="end"/>
        </w:r>
      </w:hyperlink>
    </w:p>
    <w:p w14:paraId="05DF4BFF" w14:textId="77777777" w:rsidR="001C32E5" w:rsidRPr="00A07D9A" w:rsidRDefault="00342F4A">
      <w:pPr>
        <w:pStyle w:val="TDC1"/>
        <w:tabs>
          <w:tab w:val="left" w:pos="440"/>
          <w:tab w:val="right" w:leader="dot" w:pos="8828"/>
        </w:tabs>
        <w:rPr>
          <w:rFonts w:asciiTheme="minorHAnsi" w:eastAsiaTheme="minorEastAsia" w:hAnsiTheme="minorHAnsi"/>
          <w:noProof/>
          <w:color w:val="000000" w:themeColor="text1"/>
          <w:lang w:val="es-MX" w:eastAsia="es-MX"/>
        </w:rPr>
      </w:pPr>
      <w:hyperlink w:anchor="_Toc486519793" w:history="1">
        <w:r w:rsidR="001C32E5" w:rsidRPr="00A07D9A">
          <w:rPr>
            <w:rStyle w:val="Hipervnculo"/>
            <w:noProof/>
            <w:color w:val="000000" w:themeColor="text1"/>
          </w:rPr>
          <w:t>2.</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Definiciones relevantes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_Toc486519793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w:t>
        </w:r>
        <w:r w:rsidR="001C32E5" w:rsidRPr="00A07D9A">
          <w:rPr>
            <w:noProof/>
            <w:webHidden/>
            <w:color w:val="000000" w:themeColor="text1"/>
          </w:rPr>
          <w:fldChar w:fldCharType="end"/>
        </w:r>
      </w:hyperlink>
    </w:p>
    <w:p w14:paraId="627316AE"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794" w:history="1">
        <w:r w:rsidR="001C32E5" w:rsidRPr="00A07D9A">
          <w:rPr>
            <w:rStyle w:val="Hipervnculo"/>
            <w:noProof/>
            <w:color w:val="000000" w:themeColor="text1"/>
          </w:rPr>
          <w:t>2.1. Concentración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_Toc486519794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w:t>
        </w:r>
        <w:r w:rsidR="001C32E5" w:rsidRPr="00A07D9A">
          <w:rPr>
            <w:noProof/>
            <w:webHidden/>
            <w:color w:val="000000" w:themeColor="text1"/>
          </w:rPr>
          <w:fldChar w:fldCharType="end"/>
        </w:r>
      </w:hyperlink>
    </w:p>
    <w:p w14:paraId="7439EF05"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795" w:history="1">
        <w:r w:rsidR="001C32E5" w:rsidRPr="00A07D9A">
          <w:rPr>
            <w:rStyle w:val="Hipervnculo"/>
            <w:noProof/>
            <w:color w:val="000000" w:themeColor="text1"/>
          </w:rPr>
          <w:t>2.2. Agente Económico</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_Toc486519795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12</w:t>
        </w:r>
        <w:r w:rsidR="001C32E5" w:rsidRPr="00A07D9A">
          <w:rPr>
            <w:noProof/>
            <w:webHidden/>
            <w:color w:val="000000" w:themeColor="text1"/>
          </w:rPr>
          <w:fldChar w:fldCharType="end"/>
        </w:r>
      </w:hyperlink>
    </w:p>
    <w:p w14:paraId="6D937C8A"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796" w:history="1">
        <w:r w:rsidR="001C32E5" w:rsidRPr="00A07D9A">
          <w:rPr>
            <w:rStyle w:val="Hipervnculo"/>
            <w:noProof/>
            <w:color w:val="000000" w:themeColor="text1"/>
          </w:rPr>
          <w:t>2.3. Grupo de Interés Económico (GIE)</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_Toc486519796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13</w:t>
        </w:r>
        <w:r w:rsidR="001C32E5" w:rsidRPr="00A07D9A">
          <w:rPr>
            <w:noProof/>
            <w:webHidden/>
            <w:color w:val="000000" w:themeColor="text1"/>
          </w:rPr>
          <w:fldChar w:fldCharType="end"/>
        </w:r>
      </w:hyperlink>
    </w:p>
    <w:p w14:paraId="4E1D9F5C"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797" w:history="1">
        <w:r w:rsidR="001C32E5" w:rsidRPr="00A07D9A">
          <w:rPr>
            <w:rStyle w:val="Hipervnculo"/>
            <w:noProof/>
            <w:color w:val="000000" w:themeColor="text1"/>
          </w:rPr>
          <w:t>2.4. Control e Influencia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_Toc486519797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15</w:t>
        </w:r>
        <w:r w:rsidR="001C32E5" w:rsidRPr="00A07D9A">
          <w:rPr>
            <w:noProof/>
            <w:webHidden/>
            <w:color w:val="000000" w:themeColor="text1"/>
          </w:rPr>
          <w:fldChar w:fldCharType="end"/>
        </w:r>
      </w:hyperlink>
    </w:p>
    <w:p w14:paraId="6177758B"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798" w:history="1">
        <w:r w:rsidR="001C32E5" w:rsidRPr="00A07D9A">
          <w:rPr>
            <w:rStyle w:val="Hipervnculo"/>
            <w:noProof/>
            <w:color w:val="000000" w:themeColor="text1"/>
          </w:rPr>
          <w:t>Control o influencia Decisiva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_Toc486519798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16</w:t>
        </w:r>
        <w:r w:rsidR="001C32E5" w:rsidRPr="00A07D9A">
          <w:rPr>
            <w:noProof/>
            <w:webHidden/>
            <w:color w:val="000000" w:themeColor="text1"/>
          </w:rPr>
          <w:fldChar w:fldCharType="end"/>
        </w:r>
      </w:hyperlink>
    </w:p>
    <w:p w14:paraId="3EE54FA1"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799" w:history="1">
        <w:r w:rsidR="001C32E5" w:rsidRPr="00A07D9A">
          <w:rPr>
            <w:rStyle w:val="Hipervnculo"/>
            <w:noProof/>
            <w:color w:val="000000" w:themeColor="text1"/>
          </w:rPr>
          <w:t>Influencia o Influencia Significativa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_Toc486519799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18</w:t>
        </w:r>
        <w:r w:rsidR="001C32E5" w:rsidRPr="00A07D9A">
          <w:rPr>
            <w:noProof/>
            <w:webHidden/>
            <w:color w:val="000000" w:themeColor="text1"/>
          </w:rPr>
          <w:fldChar w:fldCharType="end"/>
        </w:r>
      </w:hyperlink>
    </w:p>
    <w:p w14:paraId="7E2CB02C" w14:textId="77777777" w:rsidR="001C32E5" w:rsidRPr="00A07D9A" w:rsidRDefault="00342F4A">
      <w:pPr>
        <w:pStyle w:val="TDC1"/>
        <w:tabs>
          <w:tab w:val="left" w:pos="440"/>
          <w:tab w:val="right" w:leader="dot" w:pos="8828"/>
        </w:tabs>
        <w:rPr>
          <w:rFonts w:asciiTheme="minorHAnsi" w:eastAsiaTheme="minorEastAsia" w:hAnsiTheme="minorHAnsi"/>
          <w:noProof/>
          <w:color w:val="000000" w:themeColor="text1"/>
          <w:lang w:val="es-MX" w:eastAsia="es-MX"/>
        </w:rPr>
      </w:pPr>
      <w:hyperlink w:anchor="_Toc486519800" w:history="1">
        <w:r w:rsidR="001C32E5" w:rsidRPr="00A07D9A">
          <w:rPr>
            <w:rStyle w:val="Hipervnculo"/>
            <w:noProof/>
            <w:color w:val="000000" w:themeColor="text1"/>
          </w:rPr>
          <w:t>3.</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Mecanismos para el control de concentraciones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_Toc486519800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20</w:t>
        </w:r>
        <w:r w:rsidR="001C32E5" w:rsidRPr="00A07D9A">
          <w:rPr>
            <w:noProof/>
            <w:webHidden/>
            <w:color w:val="000000" w:themeColor="text1"/>
          </w:rPr>
          <w:fldChar w:fldCharType="end"/>
        </w:r>
      </w:hyperlink>
    </w:p>
    <w:p w14:paraId="136F7C47" w14:textId="77777777" w:rsidR="001C32E5" w:rsidRPr="00A07D9A" w:rsidRDefault="00342F4A">
      <w:pPr>
        <w:pStyle w:val="TDC1"/>
        <w:tabs>
          <w:tab w:val="left" w:pos="660"/>
          <w:tab w:val="right" w:leader="dot" w:pos="8828"/>
        </w:tabs>
        <w:rPr>
          <w:rFonts w:asciiTheme="minorHAnsi" w:eastAsiaTheme="minorEastAsia" w:hAnsiTheme="minorHAnsi"/>
          <w:noProof/>
          <w:color w:val="000000" w:themeColor="text1"/>
          <w:lang w:val="es-MX" w:eastAsia="es-MX"/>
        </w:rPr>
      </w:pPr>
      <w:hyperlink w:anchor="_Toc486519801" w:history="1">
        <w:r w:rsidR="001C32E5" w:rsidRPr="00A07D9A">
          <w:rPr>
            <w:rStyle w:val="Hipervnculo"/>
            <w:noProof/>
            <w:color w:val="000000" w:themeColor="text1"/>
          </w:rPr>
          <w:t>3.1.</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De aplicación ex ante</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_Toc486519801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20</w:t>
        </w:r>
        <w:r w:rsidR="001C32E5" w:rsidRPr="00A07D9A">
          <w:rPr>
            <w:noProof/>
            <w:webHidden/>
            <w:color w:val="000000" w:themeColor="text1"/>
          </w:rPr>
          <w:fldChar w:fldCharType="end"/>
        </w:r>
      </w:hyperlink>
    </w:p>
    <w:p w14:paraId="36FF5FAC" w14:textId="77777777" w:rsidR="001C32E5" w:rsidRPr="00A07D9A" w:rsidRDefault="00342F4A">
      <w:pPr>
        <w:pStyle w:val="TDC1"/>
        <w:tabs>
          <w:tab w:val="left" w:pos="660"/>
          <w:tab w:val="right" w:leader="dot" w:pos="8828"/>
        </w:tabs>
        <w:rPr>
          <w:rFonts w:asciiTheme="minorHAnsi" w:eastAsiaTheme="minorEastAsia" w:hAnsiTheme="minorHAnsi"/>
          <w:noProof/>
          <w:color w:val="000000" w:themeColor="text1"/>
          <w:lang w:val="es-MX" w:eastAsia="es-MX"/>
        </w:rPr>
      </w:pPr>
      <w:hyperlink w:anchor="_Toc486519802" w:history="1">
        <w:r w:rsidR="001C32E5" w:rsidRPr="00A07D9A">
          <w:rPr>
            <w:rStyle w:val="Hipervnculo"/>
            <w:noProof/>
            <w:color w:val="000000" w:themeColor="text1"/>
          </w:rPr>
          <w:t>3.2.</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De aplicación ex post</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_Toc486519802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23</w:t>
        </w:r>
        <w:r w:rsidR="001C32E5" w:rsidRPr="00A07D9A">
          <w:rPr>
            <w:noProof/>
            <w:webHidden/>
            <w:color w:val="000000" w:themeColor="text1"/>
          </w:rPr>
          <w:fldChar w:fldCharType="end"/>
        </w:r>
      </w:hyperlink>
    </w:p>
    <w:p w14:paraId="7E0625F1" w14:textId="77777777" w:rsidR="001C32E5" w:rsidRPr="00A07D9A" w:rsidRDefault="00342F4A">
      <w:pPr>
        <w:pStyle w:val="TDC1"/>
        <w:tabs>
          <w:tab w:val="right" w:leader="dot" w:pos="8828"/>
        </w:tabs>
        <w:rPr>
          <w:rFonts w:asciiTheme="minorHAnsi" w:eastAsiaTheme="minorEastAsia" w:hAnsiTheme="minorHAnsi"/>
          <w:noProof/>
          <w:color w:val="000000" w:themeColor="text1"/>
          <w:lang w:val="es-MX" w:eastAsia="es-MX"/>
        </w:rPr>
      </w:pPr>
      <w:hyperlink w:anchor="_Toc486519803" w:history="1">
        <w:r w:rsidR="001C32E5" w:rsidRPr="00A07D9A">
          <w:rPr>
            <w:rStyle w:val="Hipervnculo"/>
            <w:noProof/>
            <w:color w:val="000000" w:themeColor="text1"/>
          </w:rPr>
          <w:t>4. Ámbito de competencia del Instituto</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_Toc486519803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24</w:t>
        </w:r>
        <w:r w:rsidR="001C32E5" w:rsidRPr="00A07D9A">
          <w:rPr>
            <w:noProof/>
            <w:webHidden/>
            <w:color w:val="000000" w:themeColor="text1"/>
          </w:rPr>
          <w:fldChar w:fldCharType="end"/>
        </w:r>
      </w:hyperlink>
    </w:p>
    <w:p w14:paraId="4CEA944C"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04" w:history="1">
        <w:r w:rsidR="001C32E5" w:rsidRPr="00A07D9A">
          <w:rPr>
            <w:rStyle w:val="Hipervnculo"/>
            <w:noProof/>
            <w:color w:val="000000" w:themeColor="text1"/>
          </w:rPr>
          <w:t>4.1. Criterios de referencia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_Toc486519804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24</w:t>
        </w:r>
        <w:r w:rsidR="001C32E5" w:rsidRPr="00A07D9A">
          <w:rPr>
            <w:noProof/>
            <w:webHidden/>
            <w:color w:val="000000" w:themeColor="text1"/>
          </w:rPr>
          <w:fldChar w:fldCharType="end"/>
        </w:r>
      </w:hyperlink>
    </w:p>
    <w:p w14:paraId="5E480A4A"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05" w:history="1">
        <w:r w:rsidR="001C32E5" w:rsidRPr="00A07D9A">
          <w:rPr>
            <w:rStyle w:val="Hipervnculo"/>
            <w:noProof/>
            <w:color w:val="000000" w:themeColor="text1"/>
          </w:rPr>
          <w:t>4.2. Fijar la competencia entre el Instituto y la COFECE</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_Toc486519805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27</w:t>
        </w:r>
        <w:r w:rsidR="001C32E5" w:rsidRPr="00A07D9A">
          <w:rPr>
            <w:noProof/>
            <w:webHidden/>
            <w:color w:val="000000" w:themeColor="text1"/>
          </w:rPr>
          <w:fldChar w:fldCharType="end"/>
        </w:r>
      </w:hyperlink>
    </w:p>
    <w:p w14:paraId="0CBF9B31"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06" w:history="1">
        <w:r w:rsidR="001C32E5" w:rsidRPr="00A07D9A">
          <w:rPr>
            <w:rStyle w:val="Hipervnculo"/>
            <w:noProof/>
            <w:color w:val="000000" w:themeColor="text1"/>
          </w:rPr>
          <w:t>Cuando ambas autoridades se consideren competentes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_Toc486519806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27</w:t>
        </w:r>
        <w:r w:rsidR="001C32E5" w:rsidRPr="00A07D9A">
          <w:rPr>
            <w:noProof/>
            <w:webHidden/>
            <w:color w:val="000000" w:themeColor="text1"/>
          </w:rPr>
          <w:fldChar w:fldCharType="end"/>
        </w:r>
      </w:hyperlink>
    </w:p>
    <w:p w14:paraId="2DB16644"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07" w:history="1">
        <w:r w:rsidR="001C32E5" w:rsidRPr="00A07D9A">
          <w:rPr>
            <w:rStyle w:val="Hipervnculo"/>
            <w:noProof/>
            <w:color w:val="000000" w:themeColor="text1"/>
          </w:rPr>
          <w:t>Cuando ninguna autoridad se considere competente</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_Toc486519807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27</w:t>
        </w:r>
        <w:r w:rsidR="001C32E5" w:rsidRPr="00A07D9A">
          <w:rPr>
            <w:noProof/>
            <w:webHidden/>
            <w:color w:val="000000" w:themeColor="text1"/>
          </w:rPr>
          <w:fldChar w:fldCharType="end"/>
        </w:r>
      </w:hyperlink>
    </w:p>
    <w:p w14:paraId="09AD12C7"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08" w:history="1">
        <w:r w:rsidR="001C32E5" w:rsidRPr="00A07D9A">
          <w:rPr>
            <w:rStyle w:val="Hipervnculo"/>
            <w:noProof/>
            <w:color w:val="000000" w:themeColor="text1"/>
          </w:rPr>
          <w:t>Precedentes Judiciales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_Toc486519808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28</w:t>
        </w:r>
        <w:r w:rsidR="001C32E5" w:rsidRPr="00A07D9A">
          <w:rPr>
            <w:noProof/>
            <w:webHidden/>
            <w:color w:val="000000" w:themeColor="text1"/>
          </w:rPr>
          <w:fldChar w:fldCharType="end"/>
        </w:r>
      </w:hyperlink>
    </w:p>
    <w:p w14:paraId="4FB60820"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09" w:history="1">
        <w:r w:rsidR="001C32E5" w:rsidRPr="00A07D9A">
          <w:rPr>
            <w:rStyle w:val="Hipervnculo"/>
            <w:noProof/>
            <w:color w:val="000000" w:themeColor="text1"/>
          </w:rPr>
          <w:t>4.3. Elementos para evaluar concentraciones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_Toc486519809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30</w:t>
        </w:r>
        <w:r w:rsidR="001C32E5" w:rsidRPr="00A07D9A">
          <w:rPr>
            <w:noProof/>
            <w:webHidden/>
            <w:color w:val="000000" w:themeColor="text1"/>
          </w:rPr>
          <w:fldChar w:fldCharType="end"/>
        </w:r>
      </w:hyperlink>
    </w:p>
    <w:p w14:paraId="1562976F"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10" w:history="1">
        <w:r w:rsidR="001C32E5" w:rsidRPr="00A07D9A">
          <w:rPr>
            <w:rStyle w:val="Hipervnculo"/>
            <w:noProof/>
            <w:color w:val="000000" w:themeColor="text1"/>
          </w:rPr>
          <w:t>4.3.1. Información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_Toc486519810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30</w:t>
        </w:r>
        <w:r w:rsidR="001C32E5" w:rsidRPr="00A07D9A">
          <w:rPr>
            <w:noProof/>
            <w:webHidden/>
            <w:color w:val="000000" w:themeColor="text1"/>
          </w:rPr>
          <w:fldChar w:fldCharType="end"/>
        </w:r>
      </w:hyperlink>
    </w:p>
    <w:p w14:paraId="02582EB5"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11" w:history="1">
        <w:r w:rsidR="001C32E5" w:rsidRPr="00A07D9A">
          <w:rPr>
            <w:rStyle w:val="Hipervnculo"/>
            <w:noProof/>
            <w:color w:val="000000" w:themeColor="text1"/>
          </w:rPr>
          <w:t>Básica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_Toc486519811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30</w:t>
        </w:r>
        <w:r w:rsidR="001C32E5" w:rsidRPr="00A07D9A">
          <w:rPr>
            <w:noProof/>
            <w:webHidden/>
            <w:color w:val="000000" w:themeColor="text1"/>
          </w:rPr>
          <w:fldChar w:fldCharType="end"/>
        </w:r>
      </w:hyperlink>
    </w:p>
    <w:p w14:paraId="0C047DC5"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12" w:history="1">
        <w:r w:rsidR="001C32E5" w:rsidRPr="00A07D9A">
          <w:rPr>
            <w:rStyle w:val="Hipervnculo"/>
            <w:noProof/>
            <w:color w:val="000000" w:themeColor="text1"/>
          </w:rPr>
          <w:t>Adicional</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_Toc486519812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31</w:t>
        </w:r>
        <w:r w:rsidR="001C32E5" w:rsidRPr="00A07D9A">
          <w:rPr>
            <w:noProof/>
            <w:webHidden/>
            <w:color w:val="000000" w:themeColor="text1"/>
          </w:rPr>
          <w:fldChar w:fldCharType="end"/>
        </w:r>
      </w:hyperlink>
    </w:p>
    <w:p w14:paraId="2359A1E6"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13" w:history="1">
        <w:r w:rsidR="001C32E5" w:rsidRPr="00A07D9A">
          <w:rPr>
            <w:rStyle w:val="Hipervnculo"/>
            <w:noProof/>
            <w:color w:val="000000" w:themeColor="text1"/>
          </w:rPr>
          <w:t>4.3.2. Coadyuvancia de terceros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_Toc486519813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36</w:t>
        </w:r>
        <w:r w:rsidR="001C32E5" w:rsidRPr="00A07D9A">
          <w:rPr>
            <w:noProof/>
            <w:webHidden/>
            <w:color w:val="000000" w:themeColor="text1"/>
          </w:rPr>
          <w:fldChar w:fldCharType="end"/>
        </w:r>
      </w:hyperlink>
    </w:p>
    <w:p w14:paraId="40A4A8EC"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14" w:history="1">
        <w:r w:rsidR="001C32E5" w:rsidRPr="00A07D9A">
          <w:rPr>
            <w:rStyle w:val="Hipervnculo"/>
            <w:noProof/>
            <w:color w:val="000000" w:themeColor="text1"/>
          </w:rPr>
          <w:t>4.3.3. Cooperación con otras autoridades de competencia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_Toc486519814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36</w:t>
        </w:r>
        <w:r w:rsidR="001C32E5" w:rsidRPr="00A07D9A">
          <w:rPr>
            <w:noProof/>
            <w:webHidden/>
            <w:color w:val="000000" w:themeColor="text1"/>
          </w:rPr>
          <w:fldChar w:fldCharType="end"/>
        </w:r>
      </w:hyperlink>
    </w:p>
    <w:p w14:paraId="07F12F0E"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15" w:history="1">
        <w:r w:rsidR="001C32E5" w:rsidRPr="00A07D9A">
          <w:rPr>
            <w:rStyle w:val="Hipervnculo"/>
            <w:noProof/>
            <w:color w:val="000000" w:themeColor="text1"/>
          </w:rPr>
          <w:t>4.3.4. Clasificación de la información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_Toc486519815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37</w:t>
        </w:r>
        <w:r w:rsidR="001C32E5" w:rsidRPr="00A07D9A">
          <w:rPr>
            <w:noProof/>
            <w:webHidden/>
            <w:color w:val="000000" w:themeColor="text1"/>
          </w:rPr>
          <w:fldChar w:fldCharType="end"/>
        </w:r>
      </w:hyperlink>
    </w:p>
    <w:p w14:paraId="4AA6E8A1" w14:textId="77777777" w:rsidR="001C32E5" w:rsidRPr="00A07D9A" w:rsidRDefault="00342F4A">
      <w:pPr>
        <w:pStyle w:val="TDC1"/>
        <w:tabs>
          <w:tab w:val="left" w:pos="440"/>
          <w:tab w:val="right" w:leader="dot" w:pos="8828"/>
        </w:tabs>
        <w:rPr>
          <w:rFonts w:asciiTheme="minorHAnsi" w:eastAsiaTheme="minorEastAsia" w:hAnsiTheme="minorHAnsi"/>
          <w:noProof/>
          <w:color w:val="000000" w:themeColor="text1"/>
          <w:lang w:val="es-MX" w:eastAsia="es-MX"/>
        </w:rPr>
      </w:pPr>
      <w:hyperlink w:anchor="_Toc486519816" w:history="1">
        <w:r w:rsidR="001C32E5" w:rsidRPr="00A07D9A">
          <w:rPr>
            <w:rStyle w:val="Hipervnculo"/>
            <w:noProof/>
            <w:color w:val="000000" w:themeColor="text1"/>
          </w:rPr>
          <w:t>II.</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Procedimientos Específicos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_Toc486519816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40</w:t>
        </w:r>
        <w:r w:rsidR="001C32E5" w:rsidRPr="00A07D9A">
          <w:rPr>
            <w:noProof/>
            <w:webHidden/>
            <w:color w:val="000000" w:themeColor="text1"/>
          </w:rPr>
          <w:fldChar w:fldCharType="end"/>
        </w:r>
      </w:hyperlink>
    </w:p>
    <w:p w14:paraId="00373957" w14:textId="77777777" w:rsidR="001C32E5" w:rsidRPr="00A07D9A" w:rsidRDefault="00342F4A">
      <w:pPr>
        <w:pStyle w:val="TDC1"/>
        <w:tabs>
          <w:tab w:val="right" w:leader="dot" w:pos="8828"/>
        </w:tabs>
        <w:rPr>
          <w:rFonts w:asciiTheme="minorHAnsi" w:eastAsiaTheme="minorEastAsia" w:hAnsiTheme="minorHAnsi"/>
          <w:noProof/>
          <w:color w:val="000000" w:themeColor="text1"/>
          <w:lang w:val="es-MX" w:eastAsia="es-MX"/>
        </w:rPr>
      </w:pPr>
      <w:hyperlink w:anchor="_Toc486519817" w:history="1">
        <w:r w:rsidR="001C32E5" w:rsidRPr="00A07D9A">
          <w:rPr>
            <w:rStyle w:val="Hipervnculo"/>
            <w:noProof/>
            <w:color w:val="000000" w:themeColor="text1"/>
          </w:rPr>
          <w:t>5. Notificación de concentraciones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_Toc486519817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40</w:t>
        </w:r>
        <w:r w:rsidR="001C32E5" w:rsidRPr="00A07D9A">
          <w:rPr>
            <w:noProof/>
            <w:webHidden/>
            <w:color w:val="000000" w:themeColor="text1"/>
          </w:rPr>
          <w:fldChar w:fldCharType="end"/>
        </w:r>
      </w:hyperlink>
    </w:p>
    <w:p w14:paraId="619F71B4"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18" w:history="1">
        <w:r w:rsidR="001C32E5" w:rsidRPr="00A07D9A">
          <w:rPr>
            <w:rStyle w:val="Hipervnculo"/>
            <w:noProof/>
            <w:color w:val="000000" w:themeColor="text1"/>
          </w:rPr>
          <w:t>5.1. Umbrales para la notificación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_Toc486519818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40</w:t>
        </w:r>
        <w:r w:rsidR="001C32E5" w:rsidRPr="00A07D9A">
          <w:rPr>
            <w:noProof/>
            <w:webHidden/>
            <w:color w:val="000000" w:themeColor="text1"/>
          </w:rPr>
          <w:fldChar w:fldCharType="end"/>
        </w:r>
      </w:hyperlink>
    </w:p>
    <w:p w14:paraId="3CDA01F3"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19" w:history="1">
        <w:r w:rsidR="001C32E5" w:rsidRPr="00A07D9A">
          <w:rPr>
            <w:rStyle w:val="Hipervnculo"/>
            <w:noProof/>
            <w:color w:val="000000" w:themeColor="text1"/>
          </w:rPr>
          <w:t>5.2. Notificación voluntaria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_Toc486519819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46</w:t>
        </w:r>
        <w:r w:rsidR="001C32E5" w:rsidRPr="00A07D9A">
          <w:rPr>
            <w:noProof/>
            <w:webHidden/>
            <w:color w:val="000000" w:themeColor="text1"/>
          </w:rPr>
          <w:fldChar w:fldCharType="end"/>
        </w:r>
      </w:hyperlink>
    </w:p>
    <w:p w14:paraId="12899D4C"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20" w:history="1">
        <w:r w:rsidR="001C32E5" w:rsidRPr="00A07D9A">
          <w:rPr>
            <w:rStyle w:val="Hipervnculo"/>
            <w:noProof/>
            <w:color w:val="000000" w:themeColor="text1"/>
          </w:rPr>
          <w:t>5.3. Sucesión de actos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_Toc486519820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47</w:t>
        </w:r>
        <w:r w:rsidR="001C32E5" w:rsidRPr="00A07D9A">
          <w:rPr>
            <w:noProof/>
            <w:webHidden/>
            <w:color w:val="000000" w:themeColor="text1"/>
          </w:rPr>
          <w:fldChar w:fldCharType="end"/>
        </w:r>
      </w:hyperlink>
    </w:p>
    <w:p w14:paraId="4464342A"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21" w:history="1">
        <w:r w:rsidR="001C32E5" w:rsidRPr="00A07D9A">
          <w:rPr>
            <w:rStyle w:val="Hipervnculo"/>
            <w:noProof/>
            <w:color w:val="000000" w:themeColor="text1"/>
          </w:rPr>
          <w:t>5.4. Oportunidad en la notificación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_Toc486519821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48</w:t>
        </w:r>
        <w:r w:rsidR="001C32E5" w:rsidRPr="00A07D9A">
          <w:rPr>
            <w:noProof/>
            <w:webHidden/>
            <w:color w:val="000000" w:themeColor="text1"/>
          </w:rPr>
          <w:fldChar w:fldCharType="end"/>
        </w:r>
      </w:hyperlink>
    </w:p>
    <w:p w14:paraId="53321B01"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22" w:history="1">
        <w:r w:rsidR="001C32E5" w:rsidRPr="00A07D9A">
          <w:rPr>
            <w:rStyle w:val="Hipervnculo"/>
            <w:noProof/>
            <w:color w:val="000000" w:themeColor="text1"/>
          </w:rPr>
          <w:t>5.5. Notificación extemporánea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_Toc486519822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51</w:t>
        </w:r>
        <w:r w:rsidR="001C32E5" w:rsidRPr="00A07D9A">
          <w:rPr>
            <w:noProof/>
            <w:webHidden/>
            <w:color w:val="000000" w:themeColor="text1"/>
          </w:rPr>
          <w:fldChar w:fldCharType="end"/>
        </w:r>
      </w:hyperlink>
    </w:p>
    <w:p w14:paraId="4442D6D8"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23" w:history="1">
        <w:r w:rsidR="001C32E5" w:rsidRPr="00A07D9A">
          <w:rPr>
            <w:rStyle w:val="Hipervnculo"/>
            <w:noProof/>
            <w:color w:val="000000" w:themeColor="text1"/>
          </w:rPr>
          <w:t>5.6. Obligados a notificar</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_Toc486519823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52</w:t>
        </w:r>
        <w:r w:rsidR="001C32E5" w:rsidRPr="00A07D9A">
          <w:rPr>
            <w:noProof/>
            <w:webHidden/>
            <w:color w:val="000000" w:themeColor="text1"/>
          </w:rPr>
          <w:fldChar w:fldCharType="end"/>
        </w:r>
      </w:hyperlink>
    </w:p>
    <w:p w14:paraId="5339025F" w14:textId="77777777" w:rsidR="001C32E5" w:rsidRPr="00A07D9A" w:rsidRDefault="00342F4A">
      <w:pPr>
        <w:pStyle w:val="TDC2"/>
        <w:tabs>
          <w:tab w:val="left" w:pos="880"/>
          <w:tab w:val="right" w:leader="dot" w:pos="8828"/>
        </w:tabs>
        <w:rPr>
          <w:rFonts w:asciiTheme="minorHAnsi" w:eastAsiaTheme="minorEastAsia" w:hAnsiTheme="minorHAnsi"/>
          <w:noProof/>
          <w:color w:val="000000" w:themeColor="text1"/>
          <w:lang w:val="es-MX" w:eastAsia="es-MX"/>
        </w:rPr>
      </w:pPr>
      <w:hyperlink w:anchor="_Toc486519824" w:history="1">
        <w:r w:rsidR="001C32E5" w:rsidRPr="00A07D9A">
          <w:rPr>
            <w:rStyle w:val="Hipervnculo"/>
            <w:noProof/>
            <w:color w:val="000000" w:themeColor="text1"/>
          </w:rPr>
          <w:t>5.7.</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Escrito de notificación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_Toc486519824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53</w:t>
        </w:r>
        <w:r w:rsidR="001C32E5" w:rsidRPr="00A07D9A">
          <w:rPr>
            <w:noProof/>
            <w:webHidden/>
            <w:color w:val="000000" w:themeColor="text1"/>
          </w:rPr>
          <w:fldChar w:fldCharType="end"/>
        </w:r>
      </w:hyperlink>
    </w:p>
    <w:p w14:paraId="4D1CD18D"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25" w:history="1">
        <w:r w:rsidR="001C32E5" w:rsidRPr="00A07D9A">
          <w:rPr>
            <w:rStyle w:val="Hipervnculo"/>
            <w:noProof/>
            <w:color w:val="000000" w:themeColor="text1"/>
          </w:rPr>
          <w:t>Requisitos específicos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_Toc486519825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53</w:t>
        </w:r>
        <w:r w:rsidR="001C32E5" w:rsidRPr="00A07D9A">
          <w:rPr>
            <w:noProof/>
            <w:webHidden/>
            <w:color w:val="000000" w:themeColor="text1"/>
          </w:rPr>
          <w:fldChar w:fldCharType="end"/>
        </w:r>
      </w:hyperlink>
    </w:p>
    <w:p w14:paraId="659FDC4C"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26" w:history="1">
        <w:r w:rsidR="001C32E5" w:rsidRPr="00A07D9A">
          <w:rPr>
            <w:rStyle w:val="Hipervnculo"/>
            <w:noProof/>
            <w:color w:val="000000" w:themeColor="text1"/>
          </w:rPr>
          <w:t>Requisitos generales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_Toc486519826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69</w:t>
        </w:r>
        <w:r w:rsidR="001C32E5" w:rsidRPr="00A07D9A">
          <w:rPr>
            <w:noProof/>
            <w:webHidden/>
            <w:color w:val="000000" w:themeColor="text1"/>
          </w:rPr>
          <w:fldChar w:fldCharType="end"/>
        </w:r>
      </w:hyperlink>
    </w:p>
    <w:p w14:paraId="40D333CA"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27" w:history="1">
        <w:r w:rsidR="001C32E5" w:rsidRPr="00A07D9A">
          <w:rPr>
            <w:rStyle w:val="Hipervnculo"/>
            <w:noProof/>
            <w:color w:val="000000" w:themeColor="text1"/>
          </w:rPr>
          <w:t>5.8. Procedimiento</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_Toc486519827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69</w:t>
        </w:r>
        <w:r w:rsidR="001C32E5" w:rsidRPr="00A07D9A">
          <w:rPr>
            <w:noProof/>
            <w:webHidden/>
            <w:color w:val="000000" w:themeColor="text1"/>
          </w:rPr>
          <w:fldChar w:fldCharType="end"/>
        </w:r>
      </w:hyperlink>
    </w:p>
    <w:p w14:paraId="0176A09B"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28" w:history="1">
        <w:r w:rsidR="001C32E5" w:rsidRPr="00A07D9A">
          <w:rPr>
            <w:rStyle w:val="Hipervnculo"/>
            <w:noProof/>
            <w:color w:val="000000" w:themeColor="text1"/>
          </w:rPr>
          <w:t>Acuerdo de Prevención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_Toc486519828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71</w:t>
        </w:r>
        <w:r w:rsidR="001C32E5" w:rsidRPr="00A07D9A">
          <w:rPr>
            <w:noProof/>
            <w:webHidden/>
            <w:color w:val="000000" w:themeColor="text1"/>
          </w:rPr>
          <w:fldChar w:fldCharType="end"/>
        </w:r>
      </w:hyperlink>
    </w:p>
    <w:p w14:paraId="3EFC1414"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29" w:history="1">
        <w:r w:rsidR="001C32E5" w:rsidRPr="00A07D9A">
          <w:rPr>
            <w:rStyle w:val="Hipervnculo"/>
            <w:noProof/>
            <w:color w:val="000000" w:themeColor="text1"/>
          </w:rPr>
          <w:t>Recepción de la Notificación de Concentración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_Toc486519829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72</w:t>
        </w:r>
        <w:r w:rsidR="001C32E5" w:rsidRPr="00A07D9A">
          <w:rPr>
            <w:noProof/>
            <w:webHidden/>
            <w:color w:val="000000" w:themeColor="text1"/>
          </w:rPr>
          <w:fldChar w:fldCharType="end"/>
        </w:r>
      </w:hyperlink>
    </w:p>
    <w:p w14:paraId="679B1ED4"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30" w:history="1">
        <w:r w:rsidR="001C32E5" w:rsidRPr="00A07D9A">
          <w:rPr>
            <w:rStyle w:val="Hipervnculo"/>
            <w:noProof/>
            <w:color w:val="000000" w:themeColor="text1"/>
          </w:rPr>
          <w:t>Emisión del Requerimiento de Información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_Toc486519830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73</w:t>
        </w:r>
        <w:r w:rsidR="001C32E5" w:rsidRPr="00A07D9A">
          <w:rPr>
            <w:noProof/>
            <w:webHidden/>
            <w:color w:val="000000" w:themeColor="text1"/>
          </w:rPr>
          <w:fldChar w:fldCharType="end"/>
        </w:r>
      </w:hyperlink>
    </w:p>
    <w:p w14:paraId="44FA8EF8"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31" w:history="1">
        <w:r w:rsidR="001C32E5" w:rsidRPr="00A07D9A">
          <w:rPr>
            <w:rStyle w:val="Hipervnculo"/>
            <w:noProof/>
            <w:color w:val="000000" w:themeColor="text1"/>
          </w:rPr>
          <w:t>Requerimientos de Información Adicional</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_Toc486519831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75</w:t>
        </w:r>
        <w:r w:rsidR="001C32E5" w:rsidRPr="00A07D9A">
          <w:rPr>
            <w:noProof/>
            <w:webHidden/>
            <w:color w:val="000000" w:themeColor="text1"/>
          </w:rPr>
          <w:fldChar w:fldCharType="end"/>
        </w:r>
      </w:hyperlink>
    </w:p>
    <w:p w14:paraId="5B4BA5C5"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32" w:history="1">
        <w:r w:rsidR="001C32E5" w:rsidRPr="00A07D9A">
          <w:rPr>
            <w:rStyle w:val="Hipervnculo"/>
            <w:noProof/>
            <w:color w:val="000000" w:themeColor="text1"/>
          </w:rPr>
          <w:t>Acuerdo que tiene por no presentada una Notificación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_Toc486519832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75</w:t>
        </w:r>
        <w:r w:rsidR="001C32E5" w:rsidRPr="00A07D9A">
          <w:rPr>
            <w:noProof/>
            <w:webHidden/>
            <w:color w:val="000000" w:themeColor="text1"/>
          </w:rPr>
          <w:fldChar w:fldCharType="end"/>
        </w:r>
      </w:hyperlink>
    </w:p>
    <w:p w14:paraId="00236311"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33" w:history="1">
        <w:r w:rsidR="001C32E5" w:rsidRPr="00A07D9A">
          <w:rPr>
            <w:rStyle w:val="Hipervnculo"/>
            <w:noProof/>
            <w:color w:val="000000" w:themeColor="text1"/>
          </w:rPr>
          <w:t>Notificaciones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_Toc486519833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76</w:t>
        </w:r>
        <w:r w:rsidR="001C32E5" w:rsidRPr="00A07D9A">
          <w:rPr>
            <w:noProof/>
            <w:webHidden/>
            <w:color w:val="000000" w:themeColor="text1"/>
          </w:rPr>
          <w:fldChar w:fldCharType="end"/>
        </w:r>
      </w:hyperlink>
    </w:p>
    <w:p w14:paraId="689C3740"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34" w:history="1">
        <w:r w:rsidR="001C32E5" w:rsidRPr="00A07D9A">
          <w:rPr>
            <w:rStyle w:val="Hipervnculo"/>
            <w:noProof/>
            <w:color w:val="000000" w:themeColor="text1"/>
          </w:rPr>
          <w:t>Incumplimientos a la LFCE</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_Toc486519834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77</w:t>
        </w:r>
        <w:r w:rsidR="001C32E5" w:rsidRPr="00A07D9A">
          <w:rPr>
            <w:noProof/>
            <w:webHidden/>
            <w:color w:val="000000" w:themeColor="text1"/>
          </w:rPr>
          <w:fldChar w:fldCharType="end"/>
        </w:r>
      </w:hyperlink>
    </w:p>
    <w:p w14:paraId="4C00754E"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35" w:history="1">
        <w:r w:rsidR="001C32E5" w:rsidRPr="00A07D9A">
          <w:rPr>
            <w:rStyle w:val="Hipervnculo"/>
            <w:noProof/>
            <w:color w:val="000000" w:themeColor="text1"/>
          </w:rPr>
          <w:t>Desistimientos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_Toc486519835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77</w:t>
        </w:r>
        <w:r w:rsidR="001C32E5" w:rsidRPr="00A07D9A">
          <w:rPr>
            <w:noProof/>
            <w:webHidden/>
            <w:color w:val="000000" w:themeColor="text1"/>
          </w:rPr>
          <w:fldChar w:fldCharType="end"/>
        </w:r>
      </w:hyperlink>
    </w:p>
    <w:p w14:paraId="48A11E82"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36" w:history="1">
        <w:r w:rsidR="001C32E5" w:rsidRPr="00A07D9A">
          <w:rPr>
            <w:rStyle w:val="Hipervnculo"/>
            <w:noProof/>
            <w:color w:val="000000" w:themeColor="text1"/>
          </w:rPr>
          <w:t>5.9. Tipos de Resoluciones y Elementos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_Toc486519836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78</w:t>
        </w:r>
        <w:r w:rsidR="001C32E5" w:rsidRPr="00A07D9A">
          <w:rPr>
            <w:noProof/>
            <w:webHidden/>
            <w:color w:val="000000" w:themeColor="text1"/>
          </w:rPr>
          <w:fldChar w:fldCharType="end"/>
        </w:r>
      </w:hyperlink>
    </w:p>
    <w:p w14:paraId="681C2DA7"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37" w:history="1">
        <w:r w:rsidR="001C32E5" w:rsidRPr="00A07D9A">
          <w:rPr>
            <w:rStyle w:val="Hipervnculo"/>
            <w:noProof/>
            <w:color w:val="000000" w:themeColor="text1"/>
          </w:rPr>
          <w:t>Vigencia de la Autorización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_Toc486519837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78</w:t>
        </w:r>
        <w:r w:rsidR="001C32E5" w:rsidRPr="00A07D9A">
          <w:rPr>
            <w:noProof/>
            <w:webHidden/>
            <w:color w:val="000000" w:themeColor="text1"/>
          </w:rPr>
          <w:fldChar w:fldCharType="end"/>
        </w:r>
      </w:hyperlink>
    </w:p>
    <w:p w14:paraId="1C104400"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38" w:history="1">
        <w:r w:rsidR="001C32E5" w:rsidRPr="00A07D9A">
          <w:rPr>
            <w:rStyle w:val="Hipervnculo"/>
            <w:noProof/>
            <w:color w:val="000000" w:themeColor="text1"/>
          </w:rPr>
          <w:t>Acuerdo de Riesgos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_Toc486519838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79</w:t>
        </w:r>
        <w:r w:rsidR="001C32E5" w:rsidRPr="00A07D9A">
          <w:rPr>
            <w:noProof/>
            <w:webHidden/>
            <w:color w:val="000000" w:themeColor="text1"/>
          </w:rPr>
          <w:fldChar w:fldCharType="end"/>
        </w:r>
      </w:hyperlink>
    </w:p>
    <w:p w14:paraId="370D6FCB"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39" w:history="1">
        <w:r w:rsidR="001C32E5" w:rsidRPr="00A07D9A">
          <w:rPr>
            <w:rStyle w:val="Hipervnculo"/>
            <w:noProof/>
            <w:color w:val="000000" w:themeColor="text1"/>
          </w:rPr>
          <w:t>Propuestas de Condiciones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_Toc486519839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80</w:t>
        </w:r>
        <w:r w:rsidR="001C32E5" w:rsidRPr="00A07D9A">
          <w:rPr>
            <w:noProof/>
            <w:webHidden/>
            <w:color w:val="000000" w:themeColor="text1"/>
          </w:rPr>
          <w:fldChar w:fldCharType="end"/>
        </w:r>
      </w:hyperlink>
    </w:p>
    <w:p w14:paraId="198696A4"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40" w:history="1">
        <w:r w:rsidR="001C32E5" w:rsidRPr="00A07D9A">
          <w:rPr>
            <w:rStyle w:val="Hipervnculo"/>
            <w:noProof/>
            <w:color w:val="000000" w:themeColor="text1"/>
          </w:rPr>
          <w:t>Tipos de Condiciones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_Toc486519840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81</w:t>
        </w:r>
        <w:r w:rsidR="001C32E5" w:rsidRPr="00A07D9A">
          <w:rPr>
            <w:noProof/>
            <w:webHidden/>
            <w:color w:val="000000" w:themeColor="text1"/>
          </w:rPr>
          <w:fldChar w:fldCharType="end"/>
        </w:r>
      </w:hyperlink>
    </w:p>
    <w:p w14:paraId="5B4DC786" w14:textId="77777777" w:rsidR="001C32E5" w:rsidRPr="00A07D9A" w:rsidRDefault="00342F4A">
      <w:pPr>
        <w:pStyle w:val="TDC1"/>
        <w:tabs>
          <w:tab w:val="left" w:pos="440"/>
          <w:tab w:val="right" w:leader="dot" w:pos="8828"/>
        </w:tabs>
        <w:rPr>
          <w:rFonts w:asciiTheme="minorHAnsi" w:eastAsiaTheme="minorEastAsia" w:hAnsiTheme="minorHAnsi"/>
          <w:noProof/>
          <w:color w:val="000000" w:themeColor="text1"/>
          <w:lang w:val="es-MX" w:eastAsia="es-MX"/>
        </w:rPr>
      </w:pPr>
      <w:hyperlink w:anchor="_Toc486519841" w:history="1">
        <w:r w:rsidR="001C32E5" w:rsidRPr="00A07D9A">
          <w:rPr>
            <w:rStyle w:val="Hipervnculo"/>
            <w:noProof/>
            <w:color w:val="000000" w:themeColor="text1"/>
          </w:rPr>
          <w:t>6.</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Excepciones a la Notificación de Concentraciones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_Toc486519841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82</w:t>
        </w:r>
        <w:r w:rsidR="001C32E5" w:rsidRPr="00A07D9A">
          <w:rPr>
            <w:noProof/>
            <w:webHidden/>
            <w:color w:val="000000" w:themeColor="text1"/>
          </w:rPr>
          <w:fldChar w:fldCharType="end"/>
        </w:r>
      </w:hyperlink>
    </w:p>
    <w:p w14:paraId="51EC577D" w14:textId="77777777" w:rsidR="001C32E5" w:rsidRPr="00A07D9A" w:rsidRDefault="00342F4A">
      <w:pPr>
        <w:pStyle w:val="TDC1"/>
        <w:tabs>
          <w:tab w:val="left" w:pos="440"/>
          <w:tab w:val="right" w:leader="dot" w:pos="8828"/>
        </w:tabs>
        <w:rPr>
          <w:rFonts w:asciiTheme="minorHAnsi" w:eastAsiaTheme="minorEastAsia" w:hAnsiTheme="minorHAnsi"/>
          <w:noProof/>
          <w:color w:val="000000" w:themeColor="text1"/>
          <w:lang w:val="es-MX" w:eastAsia="es-MX"/>
        </w:rPr>
      </w:pPr>
      <w:hyperlink w:anchor="_Toc486519842" w:history="1">
        <w:r w:rsidR="001C32E5" w:rsidRPr="00A07D9A">
          <w:rPr>
            <w:rStyle w:val="Hipervnculo"/>
            <w:noProof/>
            <w:color w:val="000000" w:themeColor="text1"/>
          </w:rPr>
          <w:t>7.</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Procedimiento Simplificado de Notificación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_Toc486519842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88</w:t>
        </w:r>
        <w:r w:rsidR="001C32E5" w:rsidRPr="00A07D9A">
          <w:rPr>
            <w:noProof/>
            <w:webHidden/>
            <w:color w:val="000000" w:themeColor="text1"/>
          </w:rPr>
          <w:fldChar w:fldCharType="end"/>
        </w:r>
      </w:hyperlink>
    </w:p>
    <w:p w14:paraId="72E54141"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43" w:history="1">
        <w:r w:rsidR="001C32E5" w:rsidRPr="00A07D9A">
          <w:rPr>
            <w:rStyle w:val="Hipervnculo"/>
            <w:noProof/>
            <w:color w:val="000000" w:themeColor="text1"/>
          </w:rPr>
          <w:t>7.1 Particularidades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_Toc486519843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88</w:t>
        </w:r>
        <w:r w:rsidR="001C32E5" w:rsidRPr="00A07D9A">
          <w:rPr>
            <w:noProof/>
            <w:webHidden/>
            <w:color w:val="000000" w:themeColor="text1"/>
          </w:rPr>
          <w:fldChar w:fldCharType="end"/>
        </w:r>
      </w:hyperlink>
    </w:p>
    <w:p w14:paraId="60055B90"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44" w:history="1">
        <w:r w:rsidR="001C32E5" w:rsidRPr="00A07D9A">
          <w:rPr>
            <w:rStyle w:val="Hipervnculo"/>
            <w:noProof/>
            <w:color w:val="000000" w:themeColor="text1"/>
          </w:rPr>
          <w:t>7.2 Elementos de notoriedad</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_Toc486519844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89</w:t>
        </w:r>
        <w:r w:rsidR="001C32E5" w:rsidRPr="00A07D9A">
          <w:rPr>
            <w:noProof/>
            <w:webHidden/>
            <w:color w:val="000000" w:themeColor="text1"/>
          </w:rPr>
          <w:fldChar w:fldCharType="end"/>
        </w:r>
      </w:hyperlink>
    </w:p>
    <w:p w14:paraId="48969461"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45" w:history="1">
        <w:r w:rsidR="001C32E5" w:rsidRPr="00A07D9A">
          <w:rPr>
            <w:rStyle w:val="Hipervnculo"/>
            <w:noProof/>
            <w:color w:val="000000" w:themeColor="text1"/>
          </w:rPr>
          <w:t>7.3 Análisis de las fracciones I a IV del artículo 92 de la LFCE</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_Toc486519845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90</w:t>
        </w:r>
        <w:r w:rsidR="001C32E5" w:rsidRPr="00A07D9A">
          <w:rPr>
            <w:noProof/>
            <w:webHidden/>
            <w:color w:val="000000" w:themeColor="text1"/>
          </w:rPr>
          <w:fldChar w:fldCharType="end"/>
        </w:r>
      </w:hyperlink>
    </w:p>
    <w:p w14:paraId="53C72ABF"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46" w:history="1">
        <w:r w:rsidR="001C32E5" w:rsidRPr="00A07D9A">
          <w:rPr>
            <w:rStyle w:val="Hipervnculo"/>
            <w:noProof/>
            <w:color w:val="000000" w:themeColor="text1"/>
          </w:rPr>
          <w:t>7.4 Trámite del procedimiento simplificado</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_Toc486519846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92</w:t>
        </w:r>
        <w:r w:rsidR="001C32E5" w:rsidRPr="00A07D9A">
          <w:rPr>
            <w:noProof/>
            <w:webHidden/>
            <w:color w:val="000000" w:themeColor="text1"/>
          </w:rPr>
          <w:fldChar w:fldCharType="end"/>
        </w:r>
      </w:hyperlink>
    </w:p>
    <w:p w14:paraId="1ABFD59A"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47" w:history="1">
        <w:r w:rsidR="001C32E5" w:rsidRPr="00A07D9A">
          <w:rPr>
            <w:rStyle w:val="Hipervnculo"/>
            <w:noProof/>
            <w:color w:val="000000" w:themeColor="text1"/>
          </w:rPr>
          <w:t>Plazos del procedimiento simplificado (artículo 92 de la LFCE)</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_Toc486519847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93</w:t>
        </w:r>
        <w:r w:rsidR="001C32E5" w:rsidRPr="00A07D9A">
          <w:rPr>
            <w:noProof/>
            <w:webHidden/>
            <w:color w:val="000000" w:themeColor="text1"/>
          </w:rPr>
          <w:fldChar w:fldCharType="end"/>
        </w:r>
      </w:hyperlink>
    </w:p>
    <w:p w14:paraId="4C724438" w14:textId="77777777" w:rsidR="001C32E5" w:rsidRPr="00A07D9A" w:rsidRDefault="00342F4A">
      <w:pPr>
        <w:pStyle w:val="TDC1"/>
        <w:tabs>
          <w:tab w:val="left" w:pos="440"/>
          <w:tab w:val="right" w:leader="dot" w:pos="8828"/>
        </w:tabs>
        <w:rPr>
          <w:rFonts w:asciiTheme="minorHAnsi" w:eastAsiaTheme="minorEastAsia" w:hAnsiTheme="minorHAnsi"/>
          <w:noProof/>
          <w:color w:val="000000" w:themeColor="text1"/>
          <w:lang w:val="es-MX" w:eastAsia="es-MX"/>
        </w:rPr>
      </w:pPr>
      <w:hyperlink w:anchor="_Toc486519848" w:history="1">
        <w:r w:rsidR="001C32E5" w:rsidRPr="00A07D9A">
          <w:rPr>
            <w:rStyle w:val="Hipervnculo"/>
            <w:noProof/>
            <w:color w:val="000000" w:themeColor="text1"/>
          </w:rPr>
          <w:t>8.</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Concentraciones reguladas por la LFTR</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_Toc486519848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94</w:t>
        </w:r>
        <w:r w:rsidR="001C32E5" w:rsidRPr="00A07D9A">
          <w:rPr>
            <w:noProof/>
            <w:webHidden/>
            <w:color w:val="000000" w:themeColor="text1"/>
          </w:rPr>
          <w:fldChar w:fldCharType="end"/>
        </w:r>
      </w:hyperlink>
    </w:p>
    <w:p w14:paraId="56AFF8ED"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49" w:history="1">
        <w:r w:rsidR="001C32E5" w:rsidRPr="00A07D9A">
          <w:rPr>
            <w:rStyle w:val="Hipervnculo"/>
            <w:noProof/>
            <w:color w:val="000000" w:themeColor="text1"/>
          </w:rPr>
          <w:t>8.1. Trámites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_Toc486519849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94</w:t>
        </w:r>
        <w:r w:rsidR="001C32E5" w:rsidRPr="00A07D9A">
          <w:rPr>
            <w:noProof/>
            <w:webHidden/>
            <w:color w:val="000000" w:themeColor="text1"/>
          </w:rPr>
          <w:fldChar w:fldCharType="end"/>
        </w:r>
      </w:hyperlink>
    </w:p>
    <w:p w14:paraId="37ED7B1C"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50" w:history="1">
        <w:r w:rsidR="001C32E5" w:rsidRPr="00A07D9A">
          <w:rPr>
            <w:rStyle w:val="Hipervnculo"/>
            <w:noProof/>
            <w:color w:val="000000" w:themeColor="text1"/>
          </w:rPr>
          <w:t>Arrendamiento de bandas de frecuencia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_Toc486519850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98</w:t>
        </w:r>
        <w:r w:rsidR="001C32E5" w:rsidRPr="00A07D9A">
          <w:rPr>
            <w:noProof/>
            <w:webHidden/>
            <w:color w:val="000000" w:themeColor="text1"/>
          </w:rPr>
          <w:fldChar w:fldCharType="end"/>
        </w:r>
      </w:hyperlink>
    </w:p>
    <w:p w14:paraId="2C98A0F0"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51" w:history="1">
        <w:r w:rsidR="001C32E5" w:rsidRPr="00A07D9A">
          <w:rPr>
            <w:rStyle w:val="Hipervnculo"/>
            <w:noProof/>
            <w:color w:val="000000" w:themeColor="text1"/>
          </w:rPr>
          <w:t>Intercambio de bandas de frecuencia del espectro radioeléctrico</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_Toc486519851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99</w:t>
        </w:r>
        <w:r w:rsidR="001C32E5" w:rsidRPr="00A07D9A">
          <w:rPr>
            <w:noProof/>
            <w:webHidden/>
            <w:color w:val="000000" w:themeColor="text1"/>
          </w:rPr>
          <w:fldChar w:fldCharType="end"/>
        </w:r>
      </w:hyperlink>
    </w:p>
    <w:p w14:paraId="7662E0C4"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52" w:history="1">
        <w:r w:rsidR="001C32E5" w:rsidRPr="00A07D9A">
          <w:rPr>
            <w:rStyle w:val="Hipervnculo"/>
            <w:noProof/>
            <w:color w:val="000000" w:themeColor="text1"/>
          </w:rPr>
          <w:t>Suscripción o enajenación de acciones o partes sociales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_Toc486519852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100</w:t>
        </w:r>
        <w:r w:rsidR="001C32E5" w:rsidRPr="00A07D9A">
          <w:rPr>
            <w:noProof/>
            <w:webHidden/>
            <w:color w:val="000000" w:themeColor="text1"/>
          </w:rPr>
          <w:fldChar w:fldCharType="end"/>
        </w:r>
      </w:hyperlink>
    </w:p>
    <w:p w14:paraId="4A55A747"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53" w:history="1">
        <w:r w:rsidR="001C32E5" w:rsidRPr="00A07D9A">
          <w:rPr>
            <w:rStyle w:val="Hipervnculo"/>
            <w:noProof/>
            <w:color w:val="000000" w:themeColor="text1"/>
          </w:rPr>
          <w:t>8.2. Evaluación en materia de competencia económica</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_Toc486519853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101</w:t>
        </w:r>
        <w:r w:rsidR="001C32E5" w:rsidRPr="00A07D9A">
          <w:rPr>
            <w:noProof/>
            <w:webHidden/>
            <w:color w:val="000000" w:themeColor="text1"/>
          </w:rPr>
          <w:fldChar w:fldCharType="end"/>
        </w:r>
      </w:hyperlink>
    </w:p>
    <w:p w14:paraId="52FF342C"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54" w:history="1">
        <w:r w:rsidR="001C32E5" w:rsidRPr="00A07D9A">
          <w:rPr>
            <w:rStyle w:val="Hipervnculo"/>
            <w:noProof/>
            <w:color w:val="000000" w:themeColor="text1"/>
          </w:rPr>
          <w:t>8.3. Licitaciones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_Toc486519854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102</w:t>
        </w:r>
        <w:r w:rsidR="001C32E5" w:rsidRPr="00A07D9A">
          <w:rPr>
            <w:noProof/>
            <w:webHidden/>
            <w:color w:val="000000" w:themeColor="text1"/>
          </w:rPr>
          <w:fldChar w:fldCharType="end"/>
        </w:r>
      </w:hyperlink>
    </w:p>
    <w:p w14:paraId="23814C9C"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55" w:history="1">
        <w:r w:rsidR="001C32E5" w:rsidRPr="00A07D9A">
          <w:rPr>
            <w:rStyle w:val="Hipervnculo"/>
            <w:noProof/>
            <w:color w:val="000000" w:themeColor="text1"/>
          </w:rPr>
          <w:t>Opinión en materia de competencia económica sobre las Convocatorias, las Bases y otros documentos emitidos por el IFT</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_Toc486519855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102</w:t>
        </w:r>
        <w:r w:rsidR="001C32E5" w:rsidRPr="00A07D9A">
          <w:rPr>
            <w:noProof/>
            <w:webHidden/>
            <w:color w:val="000000" w:themeColor="text1"/>
          </w:rPr>
          <w:fldChar w:fldCharType="end"/>
        </w:r>
      </w:hyperlink>
    </w:p>
    <w:p w14:paraId="3264C13B"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56" w:history="1">
        <w:r w:rsidR="001C32E5" w:rsidRPr="00A07D9A">
          <w:rPr>
            <w:rStyle w:val="Hipervnculo"/>
            <w:noProof/>
            <w:color w:val="000000" w:themeColor="text1"/>
          </w:rPr>
          <w:t>Evaluación en materia económica de los interesados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_Toc486519856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103</w:t>
        </w:r>
        <w:r w:rsidR="001C32E5" w:rsidRPr="00A07D9A">
          <w:rPr>
            <w:noProof/>
            <w:webHidden/>
            <w:color w:val="000000" w:themeColor="text1"/>
          </w:rPr>
          <w:fldChar w:fldCharType="end"/>
        </w:r>
      </w:hyperlink>
    </w:p>
    <w:p w14:paraId="5E55D5FD" w14:textId="77777777" w:rsidR="001C32E5" w:rsidRPr="00A07D9A" w:rsidRDefault="00342F4A">
      <w:pPr>
        <w:pStyle w:val="TDC1"/>
        <w:tabs>
          <w:tab w:val="left" w:pos="440"/>
          <w:tab w:val="right" w:leader="dot" w:pos="8828"/>
        </w:tabs>
        <w:rPr>
          <w:rFonts w:asciiTheme="minorHAnsi" w:eastAsiaTheme="minorEastAsia" w:hAnsiTheme="minorHAnsi"/>
          <w:noProof/>
          <w:color w:val="000000" w:themeColor="text1"/>
          <w:lang w:val="es-MX" w:eastAsia="es-MX"/>
        </w:rPr>
      </w:pPr>
      <w:hyperlink w:anchor="_Toc486519857" w:history="1">
        <w:r w:rsidR="001C32E5" w:rsidRPr="00A07D9A">
          <w:rPr>
            <w:rStyle w:val="Hipervnculo"/>
            <w:noProof/>
            <w:color w:val="000000" w:themeColor="text1"/>
          </w:rPr>
          <w:t>9.</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Aviso de Concentración en términos de los párrafos primero a cuarto del Artículo Noveno Transitorio del Decreto que expidió la LFTR</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_Toc486519857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104</w:t>
        </w:r>
        <w:r w:rsidR="001C32E5" w:rsidRPr="00A07D9A">
          <w:rPr>
            <w:noProof/>
            <w:webHidden/>
            <w:color w:val="000000" w:themeColor="text1"/>
          </w:rPr>
          <w:fldChar w:fldCharType="end"/>
        </w:r>
      </w:hyperlink>
    </w:p>
    <w:p w14:paraId="1DFF37C9"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58" w:history="1">
        <w:r w:rsidR="001C32E5" w:rsidRPr="00A07D9A">
          <w:rPr>
            <w:rStyle w:val="Hipervnculo"/>
            <w:noProof/>
            <w:color w:val="000000" w:themeColor="text1"/>
          </w:rPr>
          <w:t>Aspectos Generales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_Toc486519858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104</w:t>
        </w:r>
        <w:r w:rsidR="001C32E5" w:rsidRPr="00A07D9A">
          <w:rPr>
            <w:noProof/>
            <w:webHidden/>
            <w:color w:val="000000" w:themeColor="text1"/>
          </w:rPr>
          <w:fldChar w:fldCharType="end"/>
        </w:r>
      </w:hyperlink>
    </w:p>
    <w:p w14:paraId="630BCA92" w14:textId="77777777" w:rsidR="001C32E5" w:rsidRPr="00A07D9A" w:rsidRDefault="00342F4A">
      <w:pPr>
        <w:pStyle w:val="TDC3"/>
        <w:tabs>
          <w:tab w:val="right" w:leader="dot" w:pos="8828"/>
        </w:tabs>
        <w:rPr>
          <w:rFonts w:asciiTheme="minorHAnsi" w:eastAsiaTheme="minorEastAsia" w:hAnsiTheme="minorHAnsi"/>
          <w:noProof/>
          <w:color w:val="000000" w:themeColor="text1"/>
          <w:lang w:val="es-MX" w:eastAsia="es-MX"/>
        </w:rPr>
      </w:pPr>
      <w:hyperlink w:anchor="_Toc486519859" w:history="1">
        <w:r w:rsidR="001C32E5" w:rsidRPr="00A07D9A">
          <w:rPr>
            <w:rStyle w:val="Hipervnculo"/>
            <w:noProof/>
            <w:color w:val="000000" w:themeColor="text1"/>
          </w:rPr>
          <w:t>Aviso de Concentración</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_Toc486519859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105</w:t>
        </w:r>
        <w:r w:rsidR="001C32E5" w:rsidRPr="00A07D9A">
          <w:rPr>
            <w:noProof/>
            <w:webHidden/>
            <w:color w:val="000000" w:themeColor="text1"/>
          </w:rPr>
          <w:fldChar w:fldCharType="end"/>
        </w:r>
      </w:hyperlink>
    </w:p>
    <w:p w14:paraId="566737DA"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60" w:history="1">
        <w:r w:rsidR="001C32E5" w:rsidRPr="00A07D9A">
          <w:rPr>
            <w:rStyle w:val="Hipervnculo"/>
            <w:noProof/>
            <w:color w:val="000000" w:themeColor="text1"/>
          </w:rPr>
          <w:t>9.1. Requisitos</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_Toc486519860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106</w:t>
        </w:r>
        <w:r w:rsidR="001C32E5" w:rsidRPr="00A07D9A">
          <w:rPr>
            <w:noProof/>
            <w:webHidden/>
            <w:color w:val="000000" w:themeColor="text1"/>
          </w:rPr>
          <w:fldChar w:fldCharType="end"/>
        </w:r>
      </w:hyperlink>
    </w:p>
    <w:p w14:paraId="50D686DA" w14:textId="77777777" w:rsidR="001C32E5" w:rsidRPr="00A07D9A" w:rsidRDefault="00342F4A">
      <w:pPr>
        <w:pStyle w:val="TDC2"/>
        <w:tabs>
          <w:tab w:val="right" w:leader="dot" w:pos="8828"/>
        </w:tabs>
        <w:rPr>
          <w:rFonts w:asciiTheme="minorHAnsi" w:eastAsiaTheme="minorEastAsia" w:hAnsiTheme="minorHAnsi"/>
          <w:noProof/>
          <w:color w:val="000000" w:themeColor="text1"/>
          <w:lang w:val="es-MX" w:eastAsia="es-MX"/>
        </w:rPr>
      </w:pPr>
      <w:hyperlink w:anchor="_Toc486519861" w:history="1">
        <w:r w:rsidR="001C32E5" w:rsidRPr="00A07D9A">
          <w:rPr>
            <w:rStyle w:val="Hipervnculo"/>
            <w:noProof/>
            <w:color w:val="000000" w:themeColor="text1"/>
          </w:rPr>
          <w:t>9.2. Procedimiento</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_Toc486519861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108</w:t>
        </w:r>
        <w:r w:rsidR="001C32E5" w:rsidRPr="00A07D9A">
          <w:rPr>
            <w:noProof/>
            <w:webHidden/>
            <w:color w:val="000000" w:themeColor="text1"/>
          </w:rPr>
          <w:fldChar w:fldCharType="end"/>
        </w:r>
      </w:hyperlink>
    </w:p>
    <w:p w14:paraId="51003F2C" w14:textId="77777777" w:rsidR="001C32E5" w:rsidRPr="00A07D9A" w:rsidRDefault="00342F4A">
      <w:pPr>
        <w:pStyle w:val="TDC1"/>
        <w:tabs>
          <w:tab w:val="left" w:pos="660"/>
          <w:tab w:val="right" w:leader="dot" w:pos="8828"/>
        </w:tabs>
        <w:rPr>
          <w:rFonts w:asciiTheme="minorHAnsi" w:eastAsiaTheme="minorEastAsia" w:hAnsiTheme="minorHAnsi"/>
          <w:noProof/>
          <w:color w:val="000000" w:themeColor="text1"/>
          <w:lang w:val="es-MX" w:eastAsia="es-MX"/>
        </w:rPr>
      </w:pPr>
      <w:hyperlink w:anchor="_Toc486519862" w:history="1">
        <w:r w:rsidR="001C32E5" w:rsidRPr="00A07D9A">
          <w:rPr>
            <w:rStyle w:val="Hipervnculo"/>
            <w:noProof/>
            <w:color w:val="000000" w:themeColor="text1"/>
          </w:rPr>
          <w:t>10.</w:t>
        </w:r>
        <w:r w:rsidR="001C32E5" w:rsidRPr="00A07D9A">
          <w:rPr>
            <w:rFonts w:asciiTheme="minorHAnsi" w:eastAsiaTheme="minorEastAsia" w:hAnsiTheme="minorHAnsi"/>
            <w:noProof/>
            <w:color w:val="000000" w:themeColor="text1"/>
            <w:lang w:val="es-MX" w:eastAsia="es-MX"/>
          </w:rPr>
          <w:tab/>
        </w:r>
        <w:r w:rsidR="001C32E5" w:rsidRPr="00A07D9A">
          <w:rPr>
            <w:rStyle w:val="Hipervnculo"/>
            <w:noProof/>
            <w:color w:val="000000" w:themeColor="text1"/>
          </w:rPr>
          <w:t>Consultas y Solicitudes de opiniones formales y de orientación general</w:t>
        </w:r>
        <w:r w:rsidR="001C32E5" w:rsidRPr="00A07D9A">
          <w:rPr>
            <w:noProof/>
            <w:webHidden/>
            <w:color w:val="000000" w:themeColor="text1"/>
          </w:rPr>
          <w:tab/>
        </w:r>
        <w:r w:rsidR="001C32E5" w:rsidRPr="00A07D9A">
          <w:rPr>
            <w:noProof/>
            <w:webHidden/>
            <w:color w:val="000000" w:themeColor="text1"/>
          </w:rPr>
          <w:fldChar w:fldCharType="begin"/>
        </w:r>
        <w:r w:rsidR="001C32E5" w:rsidRPr="00A07D9A">
          <w:rPr>
            <w:noProof/>
            <w:webHidden/>
            <w:color w:val="000000" w:themeColor="text1"/>
          </w:rPr>
          <w:instrText xml:space="preserve"> PAGEREF _Toc486519862 \h </w:instrText>
        </w:r>
        <w:r w:rsidR="001C32E5" w:rsidRPr="00A07D9A">
          <w:rPr>
            <w:noProof/>
            <w:webHidden/>
            <w:color w:val="000000" w:themeColor="text1"/>
          </w:rPr>
        </w:r>
        <w:r w:rsidR="001C32E5" w:rsidRPr="00A07D9A">
          <w:rPr>
            <w:noProof/>
            <w:webHidden/>
            <w:color w:val="000000" w:themeColor="text1"/>
          </w:rPr>
          <w:fldChar w:fldCharType="separate"/>
        </w:r>
        <w:r w:rsidR="00841DF0" w:rsidRPr="00A07D9A">
          <w:rPr>
            <w:noProof/>
            <w:webHidden/>
            <w:color w:val="000000" w:themeColor="text1"/>
          </w:rPr>
          <w:t>115</w:t>
        </w:r>
        <w:r w:rsidR="001C32E5" w:rsidRPr="00A07D9A">
          <w:rPr>
            <w:noProof/>
            <w:webHidden/>
            <w:color w:val="000000" w:themeColor="text1"/>
          </w:rPr>
          <w:fldChar w:fldCharType="end"/>
        </w:r>
      </w:hyperlink>
    </w:p>
    <w:p w14:paraId="14E55A07" w14:textId="59E48CA8" w:rsidR="008C2DD4" w:rsidRPr="00A07D9A" w:rsidRDefault="00030283" w:rsidP="009844DA">
      <w:pPr>
        <w:rPr>
          <w:color w:val="000000" w:themeColor="text1"/>
        </w:rPr>
      </w:pPr>
      <w:r w:rsidRPr="00A07D9A">
        <w:rPr>
          <w:color w:val="000000" w:themeColor="text1"/>
        </w:rPr>
        <w:fldChar w:fldCharType="end"/>
      </w:r>
      <w:r w:rsidR="00213684" w:rsidRPr="00A07D9A">
        <w:rPr>
          <w:color w:val="000000" w:themeColor="text1"/>
        </w:rPr>
        <w:br w:type="page"/>
      </w:r>
    </w:p>
    <w:p w14:paraId="3DBB7B3C" w14:textId="77777777" w:rsidR="00EB7743" w:rsidRPr="00A07D9A" w:rsidRDefault="00EB7743" w:rsidP="00EB7743">
      <w:pPr>
        <w:pStyle w:val="Ttulo1"/>
        <w:numPr>
          <w:ilvl w:val="0"/>
          <w:numId w:val="0"/>
        </w:numPr>
        <w:ind w:left="360" w:hanging="360"/>
        <w:rPr>
          <w:color w:val="000000" w:themeColor="text1"/>
        </w:rPr>
      </w:pPr>
      <w:bookmarkStart w:id="3" w:name="_Toc486519789"/>
      <w:bookmarkStart w:id="4" w:name="_Toc462053099"/>
      <w:r w:rsidRPr="00A07D9A">
        <w:rPr>
          <w:color w:val="000000" w:themeColor="text1"/>
        </w:rPr>
        <w:lastRenderedPageBreak/>
        <w:t>Introducción</w:t>
      </w:r>
      <w:bookmarkEnd w:id="3"/>
    </w:p>
    <w:p w14:paraId="5C738B94" w14:textId="77777777" w:rsidR="00677F45" w:rsidRPr="00A07D9A" w:rsidRDefault="00EB7743" w:rsidP="00EB7743">
      <w:pPr>
        <w:rPr>
          <w:color w:val="000000" w:themeColor="text1"/>
        </w:rPr>
      </w:pPr>
      <w:r w:rsidRPr="00A07D9A">
        <w:rPr>
          <w:color w:val="000000" w:themeColor="text1"/>
        </w:rPr>
        <w:t>El Instituto</w:t>
      </w:r>
      <w:r w:rsidR="00F00C5F" w:rsidRPr="00A07D9A">
        <w:rPr>
          <w:color w:val="000000" w:themeColor="text1"/>
        </w:rPr>
        <w:t xml:space="preserve"> Federal de Telecomunicaciones (en adelante el “Instituto”)</w:t>
      </w:r>
      <w:r w:rsidRPr="00A07D9A">
        <w:rPr>
          <w:color w:val="000000" w:themeColor="text1"/>
        </w:rPr>
        <w:t xml:space="preserve"> publica la Guía </w:t>
      </w:r>
      <w:r w:rsidR="00F00C5F" w:rsidRPr="00A07D9A">
        <w:rPr>
          <w:color w:val="000000" w:themeColor="text1"/>
        </w:rPr>
        <w:t xml:space="preserve">para el Control </w:t>
      </w:r>
      <w:r w:rsidRPr="00A07D9A">
        <w:rPr>
          <w:color w:val="000000" w:themeColor="text1"/>
        </w:rPr>
        <w:t xml:space="preserve">de Concentraciones </w:t>
      </w:r>
      <w:r w:rsidR="00F00C5F" w:rsidRPr="00A07D9A">
        <w:rPr>
          <w:color w:val="000000" w:themeColor="text1"/>
        </w:rPr>
        <w:t xml:space="preserve">en los sectores de telecomunicaciones y radiodifusión (en adelante la “Guía de Concentraciones”) </w:t>
      </w:r>
      <w:r w:rsidRPr="00A07D9A">
        <w:rPr>
          <w:color w:val="000000" w:themeColor="text1"/>
        </w:rPr>
        <w:t>que presenta información y orientación general no vinculante sobre la aplicación de los controles de concentraciones en los sectores de telecomunicaciones y radiodifusión.</w:t>
      </w:r>
    </w:p>
    <w:p w14:paraId="57BEA45A" w14:textId="77777777" w:rsidR="00677F45" w:rsidRPr="00A07D9A" w:rsidRDefault="00677F45" w:rsidP="00EB7743">
      <w:pPr>
        <w:rPr>
          <w:color w:val="000000" w:themeColor="text1"/>
        </w:rPr>
      </w:pPr>
      <w:r w:rsidRPr="00A07D9A">
        <w:rPr>
          <w:color w:val="000000" w:themeColor="text1"/>
        </w:rPr>
        <w:t>Se trata de un documento que reúne elementos orientadores para los agentes económicos sobre algunos conceptos, procedimientos, evaluación y resoluciones en materia de concentraciones contenidos en la CPEUM, la LFCE, la LFTR y los precedentes decisorios, tanto del Instituto como del Poder Judicial de la Federación</w:t>
      </w:r>
      <w:r w:rsidR="00A4040F" w:rsidRPr="00A07D9A">
        <w:rPr>
          <w:color w:val="000000" w:themeColor="text1"/>
        </w:rPr>
        <w:t xml:space="preserve"> (en adelante el “PJF”)</w:t>
      </w:r>
      <w:r w:rsidRPr="00A07D9A">
        <w:rPr>
          <w:color w:val="000000" w:themeColor="text1"/>
        </w:rPr>
        <w:t>. Estos elementos no prejuzgan ni son extensivos a otros procedimientos previstos en la LFCE y la LFTR. Tampoco son vinculantes para el IFT</w:t>
      </w:r>
      <w:r w:rsidR="00BC7CE0" w:rsidRPr="00A07D9A">
        <w:rPr>
          <w:color w:val="000000" w:themeColor="text1"/>
        </w:rPr>
        <w:t>,</w:t>
      </w:r>
      <w:r w:rsidRPr="00A07D9A">
        <w:rPr>
          <w:color w:val="000000" w:themeColor="text1"/>
        </w:rPr>
        <w:t xml:space="preserve"> que ejercerá sus facultades de análisis y decisión en cada asunto.</w:t>
      </w:r>
    </w:p>
    <w:p w14:paraId="47B3E6A3" w14:textId="77777777" w:rsidR="00EB7743" w:rsidRPr="00A07D9A" w:rsidRDefault="000B1459" w:rsidP="00EB7743">
      <w:pPr>
        <w:rPr>
          <w:color w:val="000000" w:themeColor="text1"/>
        </w:rPr>
      </w:pPr>
      <w:r w:rsidRPr="00A07D9A">
        <w:rPr>
          <w:color w:val="000000" w:themeColor="text1"/>
        </w:rPr>
        <w:t>E</w:t>
      </w:r>
      <w:r w:rsidR="00EB7743" w:rsidRPr="00A07D9A">
        <w:rPr>
          <w:color w:val="000000" w:themeColor="text1"/>
        </w:rPr>
        <w:t>n materia de concentraciones, existe el derecho constitucional de l</w:t>
      </w:r>
      <w:r w:rsidR="003D1C2F" w:rsidRPr="00A07D9A">
        <w:rPr>
          <w:color w:val="000000" w:themeColor="text1"/>
        </w:rPr>
        <w:t>os particulares a la libre asociación y realización de actividades económicas como parte de los derechos individuales</w:t>
      </w:r>
      <w:r w:rsidR="00EB7743" w:rsidRPr="00A07D9A">
        <w:rPr>
          <w:color w:val="000000" w:themeColor="text1"/>
        </w:rPr>
        <w:t>.</w:t>
      </w:r>
      <w:r w:rsidR="00EB7743" w:rsidRPr="00A07D9A">
        <w:rPr>
          <w:rStyle w:val="Refdenotaalpie"/>
          <w:color w:val="000000" w:themeColor="text1"/>
        </w:rPr>
        <w:footnoteReference w:id="6"/>
      </w:r>
      <w:r w:rsidR="00EB7743" w:rsidRPr="00A07D9A">
        <w:rPr>
          <w:color w:val="000000" w:themeColor="text1"/>
        </w:rPr>
        <w:t xml:space="preserve"> La CPEUM también establece </w:t>
      </w:r>
      <w:r w:rsidR="00960545" w:rsidRPr="00A07D9A">
        <w:rPr>
          <w:color w:val="000000" w:themeColor="text1"/>
        </w:rPr>
        <w:t>la facultad a cargo del Instituto para</w:t>
      </w:r>
      <w:r w:rsidR="00EB7743" w:rsidRPr="00A07D9A">
        <w:rPr>
          <w:color w:val="000000" w:themeColor="text1"/>
        </w:rPr>
        <w:t xml:space="preserve"> prevenir y, en su caso, investigar y combatir las concentraciones que restrinjan el funcionamiento eficiente de los mercados</w:t>
      </w:r>
      <w:r w:rsidR="002B493B" w:rsidRPr="00A07D9A">
        <w:rPr>
          <w:rStyle w:val="Refdenotaalpie"/>
          <w:color w:val="000000" w:themeColor="text1"/>
        </w:rPr>
        <w:footnoteReference w:id="7"/>
      </w:r>
      <w:r w:rsidR="00EB7743" w:rsidRPr="00A07D9A">
        <w:rPr>
          <w:color w:val="000000" w:themeColor="text1"/>
        </w:rPr>
        <w:t xml:space="preserve"> y resulten contrarias al interés público.</w:t>
      </w:r>
      <w:r w:rsidR="00EB7743" w:rsidRPr="00A07D9A">
        <w:rPr>
          <w:rStyle w:val="Refdenotaalpie"/>
          <w:color w:val="000000" w:themeColor="text1"/>
        </w:rPr>
        <w:footnoteReference w:id="8"/>
      </w:r>
    </w:p>
    <w:p w14:paraId="5BA3E22A" w14:textId="77777777" w:rsidR="00EB7743" w:rsidRPr="00A07D9A" w:rsidRDefault="00EB7743" w:rsidP="00EB7743">
      <w:pPr>
        <w:rPr>
          <w:color w:val="000000" w:themeColor="text1"/>
        </w:rPr>
      </w:pPr>
      <w:r w:rsidRPr="00A07D9A">
        <w:rPr>
          <w:color w:val="000000" w:themeColor="text1"/>
        </w:rPr>
        <w:t>En los sectores de telecomunicaciones y de radiodifusión, el Instituto actúa como la autoridad de competencia económica</w:t>
      </w:r>
      <w:r w:rsidR="002B493B" w:rsidRPr="00A07D9A">
        <w:rPr>
          <w:color w:val="000000" w:themeColor="text1"/>
        </w:rPr>
        <w:t>,</w:t>
      </w:r>
      <w:r w:rsidRPr="00A07D9A">
        <w:rPr>
          <w:rStyle w:val="Refdenotaalpie"/>
          <w:color w:val="000000" w:themeColor="text1"/>
        </w:rPr>
        <w:footnoteReference w:id="9"/>
      </w:r>
      <w:r w:rsidR="002B493B" w:rsidRPr="00A07D9A">
        <w:rPr>
          <w:color w:val="000000" w:themeColor="text1"/>
        </w:rPr>
        <w:t xml:space="preserve"> por lo cual</w:t>
      </w:r>
      <w:r w:rsidRPr="00A07D9A">
        <w:rPr>
          <w:color w:val="000000" w:themeColor="text1"/>
        </w:rPr>
        <w:t xml:space="preserve"> </w:t>
      </w:r>
      <w:r w:rsidR="00EA3B5C" w:rsidRPr="00A07D9A">
        <w:rPr>
          <w:color w:val="000000" w:themeColor="text1"/>
        </w:rPr>
        <w:t xml:space="preserve">tiene la facultad de </w:t>
      </w:r>
      <w:r w:rsidRPr="00A07D9A">
        <w:rPr>
          <w:color w:val="000000" w:themeColor="text1"/>
        </w:rPr>
        <w:t>aplica</w:t>
      </w:r>
      <w:r w:rsidR="00EA3B5C" w:rsidRPr="00A07D9A">
        <w:rPr>
          <w:color w:val="000000" w:themeColor="text1"/>
        </w:rPr>
        <w:t>r</w:t>
      </w:r>
      <w:r w:rsidRPr="00A07D9A">
        <w:rPr>
          <w:color w:val="000000" w:themeColor="text1"/>
        </w:rPr>
        <w:t xml:space="preserve"> controles preventivos (ex ante) y posteriores</w:t>
      </w:r>
      <w:r w:rsidR="009C6FC6" w:rsidRPr="00A07D9A">
        <w:rPr>
          <w:color w:val="000000" w:themeColor="text1"/>
        </w:rPr>
        <w:t xml:space="preserve"> </w:t>
      </w:r>
      <w:r w:rsidRPr="00A07D9A">
        <w:rPr>
          <w:color w:val="000000" w:themeColor="text1"/>
        </w:rPr>
        <w:t xml:space="preserve">(ex post) </w:t>
      </w:r>
      <w:r w:rsidR="00EA3B5C" w:rsidRPr="00A07D9A">
        <w:rPr>
          <w:color w:val="000000" w:themeColor="text1"/>
        </w:rPr>
        <w:t>a las concentraciones,</w:t>
      </w:r>
      <w:r w:rsidRPr="00A07D9A">
        <w:rPr>
          <w:color w:val="000000" w:themeColor="text1"/>
        </w:rPr>
        <w:t xml:space="preserve"> en términos de lo dispuesto en la CPEUM, la LFCE y la LFTR. De esta forma, cuenta con la </w:t>
      </w:r>
      <w:r w:rsidR="008930BA" w:rsidRPr="00A07D9A">
        <w:rPr>
          <w:color w:val="000000" w:themeColor="text1"/>
        </w:rPr>
        <w:t xml:space="preserve">especialización </w:t>
      </w:r>
      <w:r w:rsidRPr="00A07D9A">
        <w:rPr>
          <w:color w:val="000000" w:themeColor="text1"/>
        </w:rPr>
        <w:t>y la capacidad de analizar en forma integral las concentraciones, a través de criterios y procedimientos convergentes</w:t>
      </w:r>
      <w:r w:rsidR="009C6FC6" w:rsidRPr="00A07D9A">
        <w:rPr>
          <w:color w:val="000000" w:themeColor="text1"/>
        </w:rPr>
        <w:t xml:space="preserve"> y</w:t>
      </w:r>
      <w:r w:rsidRPr="00A07D9A">
        <w:rPr>
          <w:color w:val="000000" w:themeColor="text1"/>
        </w:rPr>
        <w:t xml:space="preserve"> </w:t>
      </w:r>
      <w:r w:rsidR="009C6FC6" w:rsidRPr="00A07D9A">
        <w:rPr>
          <w:color w:val="000000" w:themeColor="text1"/>
        </w:rPr>
        <w:t xml:space="preserve">sujetos a </w:t>
      </w:r>
      <w:r w:rsidRPr="00A07D9A">
        <w:rPr>
          <w:color w:val="000000" w:themeColor="text1"/>
        </w:rPr>
        <w:t>la simplificación administrativa.</w:t>
      </w:r>
    </w:p>
    <w:p w14:paraId="39285520" w14:textId="77777777" w:rsidR="00EB7743" w:rsidRPr="00A07D9A" w:rsidRDefault="00EB7743" w:rsidP="00EB7743">
      <w:pPr>
        <w:rPr>
          <w:color w:val="000000" w:themeColor="text1"/>
        </w:rPr>
      </w:pPr>
      <w:r w:rsidRPr="00A07D9A">
        <w:rPr>
          <w:color w:val="000000" w:themeColor="text1"/>
        </w:rPr>
        <w:t xml:space="preserve">La LFCE establece </w:t>
      </w:r>
      <w:r w:rsidR="002B493B" w:rsidRPr="00A07D9A">
        <w:rPr>
          <w:color w:val="000000" w:themeColor="text1"/>
        </w:rPr>
        <w:t>diversa</w:t>
      </w:r>
      <w:r w:rsidRPr="00A07D9A">
        <w:rPr>
          <w:color w:val="000000" w:themeColor="text1"/>
        </w:rPr>
        <w:t>s definiciones y los criterios p</w:t>
      </w:r>
      <w:r w:rsidR="009C6FC6" w:rsidRPr="00A07D9A">
        <w:rPr>
          <w:color w:val="000000" w:themeColor="text1"/>
        </w:rPr>
        <w:t xml:space="preserve">ara evaluar las concentraciones, </w:t>
      </w:r>
      <w:r w:rsidRPr="00A07D9A">
        <w:rPr>
          <w:color w:val="000000" w:themeColor="text1"/>
        </w:rPr>
        <w:t xml:space="preserve">los cuales se </w:t>
      </w:r>
      <w:r w:rsidR="009C6FC6" w:rsidRPr="00A07D9A">
        <w:rPr>
          <w:color w:val="000000" w:themeColor="text1"/>
        </w:rPr>
        <w:t xml:space="preserve">aplican en los procedimientos previstos en esa ley y </w:t>
      </w:r>
      <w:r w:rsidR="009C6FC6" w:rsidRPr="00A07D9A">
        <w:rPr>
          <w:color w:val="000000" w:themeColor="text1"/>
        </w:rPr>
        <w:lastRenderedPageBreak/>
        <w:t xml:space="preserve">se </w:t>
      </w:r>
      <w:r w:rsidR="00C737D8" w:rsidRPr="00A07D9A">
        <w:rPr>
          <w:color w:val="000000" w:themeColor="text1"/>
        </w:rPr>
        <w:t xml:space="preserve">toman como referencia </w:t>
      </w:r>
      <w:r w:rsidR="009C6FC6" w:rsidRPr="00A07D9A">
        <w:rPr>
          <w:color w:val="000000" w:themeColor="text1"/>
        </w:rPr>
        <w:t xml:space="preserve">al analizar </w:t>
      </w:r>
      <w:r w:rsidRPr="00A07D9A">
        <w:rPr>
          <w:color w:val="000000" w:themeColor="text1"/>
        </w:rPr>
        <w:t xml:space="preserve">asuntos que </w:t>
      </w:r>
      <w:r w:rsidR="009C6FC6" w:rsidRPr="00A07D9A">
        <w:rPr>
          <w:color w:val="000000" w:themeColor="text1"/>
        </w:rPr>
        <w:t xml:space="preserve">involucran concentraciones </w:t>
      </w:r>
      <w:r w:rsidR="00960545" w:rsidRPr="00A07D9A">
        <w:rPr>
          <w:color w:val="000000" w:themeColor="text1"/>
        </w:rPr>
        <w:t>previstos en</w:t>
      </w:r>
      <w:r w:rsidRPr="00A07D9A">
        <w:rPr>
          <w:color w:val="000000" w:themeColor="text1"/>
        </w:rPr>
        <w:t xml:space="preserve"> la LFTR.</w:t>
      </w:r>
    </w:p>
    <w:p w14:paraId="5B568DBB" w14:textId="77777777" w:rsidR="009E40EB" w:rsidRPr="00A07D9A" w:rsidRDefault="00EB7743" w:rsidP="003F67F8">
      <w:pPr>
        <w:rPr>
          <w:color w:val="000000" w:themeColor="text1"/>
        </w:rPr>
      </w:pPr>
      <w:r w:rsidRPr="00A07D9A">
        <w:rPr>
          <w:color w:val="000000" w:themeColor="text1"/>
        </w:rPr>
        <w:t>Este documento es susceptible de modificaciones futuras en la medida que la legislación y los criterios que guían su aplicación cambien; y en atención a las interpretaciones y los criterios que emitan las autoridades competentes</w:t>
      </w:r>
      <w:r w:rsidR="008930BA" w:rsidRPr="00A07D9A">
        <w:rPr>
          <w:color w:val="000000" w:themeColor="text1"/>
        </w:rPr>
        <w:t xml:space="preserve">, así </w:t>
      </w:r>
      <w:r w:rsidR="00105E2E" w:rsidRPr="00A07D9A">
        <w:rPr>
          <w:color w:val="000000" w:themeColor="text1"/>
        </w:rPr>
        <w:t>como</w:t>
      </w:r>
      <w:r w:rsidR="008930BA" w:rsidRPr="00A07D9A">
        <w:rPr>
          <w:color w:val="000000" w:themeColor="text1"/>
        </w:rPr>
        <w:t xml:space="preserve"> los precedentes del PJF</w:t>
      </w:r>
      <w:r w:rsidRPr="00A07D9A">
        <w:rPr>
          <w:color w:val="000000" w:themeColor="text1"/>
        </w:rPr>
        <w:t>.</w:t>
      </w:r>
      <w:r w:rsidR="00960545" w:rsidRPr="00A07D9A">
        <w:rPr>
          <w:color w:val="000000" w:themeColor="text1"/>
        </w:rPr>
        <w:t xml:space="preserve"> Asimismo, e</w:t>
      </w:r>
      <w:r w:rsidR="003F67F8" w:rsidRPr="00A07D9A">
        <w:rPr>
          <w:color w:val="000000" w:themeColor="text1"/>
        </w:rPr>
        <w:t>sta Guía será revisada por</w:t>
      </w:r>
      <w:r w:rsidR="00EA3B5C" w:rsidRPr="00A07D9A">
        <w:rPr>
          <w:color w:val="000000" w:themeColor="text1"/>
        </w:rPr>
        <w:t xml:space="preserve"> el Instituto,</w:t>
      </w:r>
      <w:r w:rsidR="003F67F8" w:rsidRPr="00A07D9A">
        <w:rPr>
          <w:color w:val="000000" w:themeColor="text1"/>
        </w:rPr>
        <w:t xml:space="preserve"> por lo menos cada cinco años, de conformidad con lo señalado en el artículo 138 in fine, de la LFCE.</w:t>
      </w:r>
      <w:r w:rsidR="003F67F8" w:rsidRPr="00A07D9A">
        <w:rPr>
          <w:color w:val="000000" w:themeColor="text1"/>
        </w:rPr>
        <w:cr/>
      </w:r>
    </w:p>
    <w:p w14:paraId="2288285C" w14:textId="77777777" w:rsidR="00EB7743" w:rsidRPr="00A07D9A" w:rsidRDefault="00EB7743" w:rsidP="00EB7743">
      <w:pPr>
        <w:rPr>
          <w:color w:val="000000" w:themeColor="text1"/>
        </w:rPr>
        <w:sectPr w:rsidR="00EB7743" w:rsidRPr="00A07D9A" w:rsidSect="00882B94">
          <w:pgSz w:w="12240" w:h="15840" w:code="1"/>
          <w:pgMar w:top="1985" w:right="1701" w:bottom="1418" w:left="1701" w:header="720" w:footer="720" w:gutter="0"/>
          <w:pgNumType w:start="1"/>
          <w:cols w:space="720"/>
          <w:noEndnote/>
          <w:docGrid w:linePitch="326"/>
        </w:sectPr>
      </w:pPr>
    </w:p>
    <w:p w14:paraId="5C811AB3" w14:textId="77777777" w:rsidR="009844DA" w:rsidRPr="00A07D9A" w:rsidRDefault="009844DA" w:rsidP="00EB7743">
      <w:pPr>
        <w:pStyle w:val="Ttulo1"/>
        <w:numPr>
          <w:ilvl w:val="0"/>
          <w:numId w:val="0"/>
        </w:numPr>
        <w:ind w:left="360" w:hanging="360"/>
        <w:jc w:val="center"/>
        <w:rPr>
          <w:color w:val="000000" w:themeColor="text1"/>
        </w:rPr>
      </w:pPr>
      <w:bookmarkStart w:id="5" w:name="_Toc486519790"/>
      <w:r w:rsidRPr="00A07D9A">
        <w:rPr>
          <w:color w:val="000000" w:themeColor="text1"/>
        </w:rPr>
        <w:lastRenderedPageBreak/>
        <w:t>G</w:t>
      </w:r>
      <w:r w:rsidR="00EB7743" w:rsidRPr="00A07D9A">
        <w:rPr>
          <w:color w:val="000000" w:themeColor="text1"/>
        </w:rPr>
        <w:t>losario</w:t>
      </w:r>
      <w:r w:rsidR="002B493B" w:rsidRPr="00A07D9A">
        <w:rPr>
          <w:rStyle w:val="Refdenotaalpie"/>
          <w:color w:val="000000" w:themeColor="text1"/>
        </w:rPr>
        <w:footnoteReference w:id="10"/>
      </w:r>
      <w:bookmarkEnd w:id="5"/>
    </w:p>
    <w:tbl>
      <w:tblPr>
        <w:tblStyle w:val="Tablanormal4"/>
        <w:tblW w:w="9394" w:type="dxa"/>
        <w:jc w:val="center"/>
        <w:tblLayout w:type="fixed"/>
        <w:tblLook w:val="04A0" w:firstRow="1" w:lastRow="0" w:firstColumn="1" w:lastColumn="0" w:noHBand="0" w:noVBand="1"/>
        <w:tblCaption w:val="Tabla 1."/>
        <w:tblDescription w:val="Glosario."/>
      </w:tblPr>
      <w:tblGrid>
        <w:gridCol w:w="2744"/>
        <w:gridCol w:w="6650"/>
      </w:tblGrid>
      <w:tr w:rsidR="00A07D9A" w:rsidRPr="00A07D9A" w14:paraId="01D72F1A" w14:textId="77777777" w:rsidTr="00BD77B6">
        <w:trPr>
          <w:cnfStyle w:val="100000000000" w:firstRow="1" w:lastRow="0" w:firstColumn="0" w:lastColumn="0" w:oddVBand="0" w:evenVBand="0" w:oddHBand="0" w:evenHBand="0" w:firstRowFirstColumn="0" w:firstRowLastColumn="0" w:lastRowFirstColumn="0" w:lastRowLastColumn="0"/>
          <w:trHeight w:val="301"/>
          <w:tblHeade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5FEA3797" w14:textId="77777777" w:rsidR="009844DA" w:rsidRPr="00A07D9A" w:rsidRDefault="00C737D8" w:rsidP="00C737D8">
            <w:pPr>
              <w:pStyle w:val="Sinespaciado"/>
              <w:jc w:val="left"/>
              <w:rPr>
                <w:color w:val="000000" w:themeColor="text1"/>
              </w:rPr>
            </w:pPr>
            <w:r w:rsidRPr="00A07D9A">
              <w:rPr>
                <w:color w:val="000000" w:themeColor="text1"/>
              </w:rPr>
              <w:t>A</w:t>
            </w:r>
            <w:r w:rsidR="008A07CB" w:rsidRPr="00A07D9A">
              <w:rPr>
                <w:color w:val="000000" w:themeColor="text1"/>
              </w:rPr>
              <w:t>gentes económicos</w:t>
            </w:r>
            <w:r w:rsidR="009844DA" w:rsidRPr="00A07D9A">
              <w:rPr>
                <w:color w:val="000000" w:themeColor="text1"/>
              </w:rPr>
              <w:t xml:space="preserve"> involucrados</w:t>
            </w:r>
          </w:p>
        </w:tc>
        <w:tc>
          <w:tcPr>
            <w:tcW w:w="6650" w:type="dxa"/>
            <w:vAlign w:val="center"/>
          </w:tcPr>
          <w:p w14:paraId="376391A5" w14:textId="77777777" w:rsidR="009844DA" w:rsidRPr="00A07D9A" w:rsidRDefault="00EA3B5C" w:rsidP="00147553">
            <w:pPr>
              <w:pStyle w:val="Sinespaciado"/>
              <w:cnfStyle w:val="100000000000" w:firstRow="1"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 xml:space="preserve">Agentes económicos que </w:t>
            </w:r>
            <w:r w:rsidR="00147553" w:rsidRPr="00A07D9A">
              <w:rPr>
                <w:color w:val="000000" w:themeColor="text1"/>
              </w:rPr>
              <w:t>p</w:t>
            </w:r>
            <w:r w:rsidR="009844DA" w:rsidRPr="00A07D9A">
              <w:rPr>
                <w:color w:val="000000" w:themeColor="text1"/>
              </w:rPr>
              <w:t xml:space="preserve">articipan en la concentración y </w:t>
            </w:r>
            <w:r w:rsidR="00147553" w:rsidRPr="00A07D9A">
              <w:rPr>
                <w:color w:val="000000" w:themeColor="text1"/>
              </w:rPr>
              <w:t xml:space="preserve">son </w:t>
            </w:r>
            <w:r w:rsidR="009844DA" w:rsidRPr="00A07D9A">
              <w:rPr>
                <w:color w:val="000000" w:themeColor="text1"/>
              </w:rPr>
              <w:t>evaluados bajo su dimensión de personas o de grupo de interés económico.</w:t>
            </w:r>
          </w:p>
        </w:tc>
      </w:tr>
      <w:tr w:rsidR="00A07D9A" w:rsidRPr="00A07D9A" w14:paraId="447BE6A8" w14:textId="77777777" w:rsidTr="00BD77B6">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3736A8DA" w14:textId="77777777" w:rsidR="009844DA" w:rsidRPr="00A07D9A" w:rsidRDefault="00C737D8" w:rsidP="00C737D8">
            <w:pPr>
              <w:pStyle w:val="Sinespaciado"/>
              <w:jc w:val="left"/>
              <w:rPr>
                <w:color w:val="000000" w:themeColor="text1"/>
              </w:rPr>
            </w:pPr>
            <w:r w:rsidRPr="00A07D9A">
              <w:rPr>
                <w:color w:val="000000" w:themeColor="text1"/>
              </w:rPr>
              <w:t>A</w:t>
            </w:r>
            <w:r w:rsidR="008A07CB" w:rsidRPr="00A07D9A">
              <w:rPr>
                <w:color w:val="000000" w:themeColor="text1"/>
              </w:rPr>
              <w:t>gentes económicos</w:t>
            </w:r>
            <w:r w:rsidR="009844DA" w:rsidRPr="00A07D9A">
              <w:rPr>
                <w:color w:val="000000" w:themeColor="text1"/>
              </w:rPr>
              <w:t xml:space="preserve"> notificantes</w:t>
            </w:r>
          </w:p>
        </w:tc>
        <w:tc>
          <w:tcPr>
            <w:tcW w:w="6650" w:type="dxa"/>
            <w:vAlign w:val="center"/>
          </w:tcPr>
          <w:p w14:paraId="46F873B6" w14:textId="77777777" w:rsidR="009844DA" w:rsidRPr="00A07D9A" w:rsidRDefault="00EA3B5C" w:rsidP="00310203">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 xml:space="preserve">Agentes económicos que </w:t>
            </w:r>
            <w:r w:rsidR="009844DA" w:rsidRPr="00A07D9A">
              <w:rPr>
                <w:color w:val="000000" w:themeColor="text1"/>
              </w:rPr>
              <w:t>notifican</w:t>
            </w:r>
            <w:r w:rsidRPr="00A07D9A">
              <w:rPr>
                <w:color w:val="000000" w:themeColor="text1"/>
              </w:rPr>
              <w:t>, ante el Instituto,</w:t>
            </w:r>
            <w:r w:rsidR="009844DA" w:rsidRPr="00A07D9A">
              <w:rPr>
                <w:color w:val="000000" w:themeColor="text1"/>
              </w:rPr>
              <w:t xml:space="preserve"> </w:t>
            </w:r>
            <w:r w:rsidR="00F77F60" w:rsidRPr="00A07D9A">
              <w:rPr>
                <w:color w:val="000000" w:themeColor="text1"/>
              </w:rPr>
              <w:t xml:space="preserve"> </w:t>
            </w:r>
            <w:r w:rsidR="009844DA" w:rsidRPr="00A07D9A">
              <w:rPr>
                <w:color w:val="000000" w:themeColor="text1"/>
              </w:rPr>
              <w:t>una concentración.</w:t>
            </w:r>
          </w:p>
        </w:tc>
      </w:tr>
      <w:tr w:rsidR="00A07D9A" w:rsidRPr="00A07D9A" w14:paraId="43C5E593" w14:textId="77777777" w:rsidTr="00BD77B6">
        <w:trPr>
          <w:trHeight w:val="301"/>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604C9731" w14:textId="77777777" w:rsidR="009844DA" w:rsidRPr="00A07D9A" w:rsidRDefault="009844DA" w:rsidP="00C737D8">
            <w:pPr>
              <w:pStyle w:val="Sinespaciado"/>
              <w:jc w:val="left"/>
              <w:rPr>
                <w:color w:val="000000" w:themeColor="text1"/>
              </w:rPr>
            </w:pPr>
            <w:r w:rsidRPr="00A07D9A">
              <w:rPr>
                <w:color w:val="000000" w:themeColor="text1"/>
              </w:rPr>
              <w:t>AI</w:t>
            </w:r>
          </w:p>
        </w:tc>
        <w:tc>
          <w:tcPr>
            <w:tcW w:w="6650" w:type="dxa"/>
            <w:vAlign w:val="center"/>
          </w:tcPr>
          <w:p w14:paraId="75511CAC"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Autoridad Investigadora del Instituto Federal de Telecomunicaciones</w:t>
            </w:r>
          </w:p>
        </w:tc>
      </w:tr>
      <w:tr w:rsidR="00A07D9A" w:rsidRPr="00A07D9A" w14:paraId="5489A58D" w14:textId="77777777" w:rsidTr="00BD77B6">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1A05123E" w14:textId="77777777" w:rsidR="009844DA" w:rsidRPr="00A07D9A" w:rsidRDefault="009844DA" w:rsidP="00C737D8">
            <w:pPr>
              <w:pStyle w:val="Sinespaciado"/>
              <w:jc w:val="left"/>
              <w:rPr>
                <w:color w:val="000000" w:themeColor="text1"/>
              </w:rPr>
            </w:pPr>
            <w:r w:rsidRPr="00A07D9A">
              <w:rPr>
                <w:color w:val="000000" w:themeColor="text1"/>
              </w:rPr>
              <w:t>CCF</w:t>
            </w:r>
          </w:p>
        </w:tc>
        <w:tc>
          <w:tcPr>
            <w:tcW w:w="6650" w:type="dxa"/>
            <w:vAlign w:val="center"/>
          </w:tcPr>
          <w:p w14:paraId="4F99A632" w14:textId="77777777" w:rsidR="009844DA" w:rsidRPr="00A07D9A" w:rsidRDefault="009844DA">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Código Civil Federal</w:t>
            </w:r>
            <w:r w:rsidR="00960545" w:rsidRPr="00A07D9A">
              <w:rPr>
                <w:color w:val="000000" w:themeColor="text1"/>
              </w:rPr>
              <w:t xml:space="preserve">. Este ordenamiento es de aplicación supletoria a lo dispuesto en la LFCE y sus Disposiciones Regulatorias, en términos del artículo 121 de ese ordenamiento. </w:t>
            </w:r>
          </w:p>
        </w:tc>
      </w:tr>
      <w:tr w:rsidR="00A07D9A" w:rsidRPr="00A07D9A" w14:paraId="51976067" w14:textId="77777777" w:rsidTr="00BD77B6">
        <w:trPr>
          <w:trHeight w:val="301"/>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3FA106D0" w14:textId="77777777" w:rsidR="009844DA" w:rsidRPr="00A07D9A" w:rsidRDefault="009844DA" w:rsidP="00C737D8">
            <w:pPr>
              <w:pStyle w:val="Sinespaciado"/>
              <w:jc w:val="left"/>
              <w:rPr>
                <w:color w:val="000000" w:themeColor="text1"/>
              </w:rPr>
            </w:pPr>
            <w:r w:rsidRPr="00A07D9A">
              <w:rPr>
                <w:color w:val="000000" w:themeColor="text1"/>
              </w:rPr>
              <w:t>CFPC</w:t>
            </w:r>
          </w:p>
        </w:tc>
        <w:tc>
          <w:tcPr>
            <w:tcW w:w="6650" w:type="dxa"/>
            <w:vAlign w:val="center"/>
          </w:tcPr>
          <w:p w14:paraId="1F8F2551"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Código Federal de Procedimientos Civiles.</w:t>
            </w:r>
          </w:p>
        </w:tc>
      </w:tr>
      <w:tr w:rsidR="00A07D9A" w:rsidRPr="00A07D9A" w14:paraId="6C2D8D6A" w14:textId="77777777" w:rsidTr="00BD77B6">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375A304D" w14:textId="77777777" w:rsidR="009844DA" w:rsidRPr="00A07D9A" w:rsidRDefault="009844DA" w:rsidP="00C737D8">
            <w:pPr>
              <w:pStyle w:val="Sinespaciado"/>
              <w:jc w:val="left"/>
              <w:rPr>
                <w:color w:val="000000" w:themeColor="text1"/>
              </w:rPr>
            </w:pPr>
            <w:r w:rsidRPr="00A07D9A">
              <w:rPr>
                <w:color w:val="000000" w:themeColor="text1"/>
              </w:rPr>
              <w:t>COFECE</w:t>
            </w:r>
          </w:p>
        </w:tc>
        <w:tc>
          <w:tcPr>
            <w:tcW w:w="6650" w:type="dxa"/>
            <w:vAlign w:val="center"/>
          </w:tcPr>
          <w:p w14:paraId="19FBCE7F" w14:textId="77777777" w:rsidR="009844DA" w:rsidRPr="00A07D9A" w:rsidRDefault="009844DA" w:rsidP="00334C52">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Comisión Federal de Competencia Económica.</w:t>
            </w:r>
          </w:p>
        </w:tc>
      </w:tr>
      <w:tr w:rsidR="00A07D9A" w:rsidRPr="00A07D9A" w14:paraId="348EF00E"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2A970CF3" w14:textId="77777777" w:rsidR="009844DA" w:rsidRPr="00A07D9A" w:rsidRDefault="009844DA" w:rsidP="00C737D8">
            <w:pPr>
              <w:pStyle w:val="Sinespaciado"/>
              <w:jc w:val="left"/>
              <w:rPr>
                <w:color w:val="000000" w:themeColor="text1"/>
              </w:rPr>
            </w:pPr>
            <w:r w:rsidRPr="00A07D9A">
              <w:rPr>
                <w:color w:val="000000" w:themeColor="text1"/>
              </w:rPr>
              <w:t>CPEUM</w:t>
            </w:r>
          </w:p>
        </w:tc>
        <w:tc>
          <w:tcPr>
            <w:tcW w:w="6650" w:type="dxa"/>
            <w:vAlign w:val="center"/>
          </w:tcPr>
          <w:p w14:paraId="7FD8A06A"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Constitución Política de los Estados Unidos Mexicanos.</w:t>
            </w:r>
          </w:p>
        </w:tc>
      </w:tr>
      <w:tr w:rsidR="00A07D9A" w:rsidRPr="00A07D9A" w14:paraId="026B4A74"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6A9C1224" w14:textId="77777777" w:rsidR="009844DA" w:rsidRPr="00A07D9A" w:rsidRDefault="009844DA" w:rsidP="00C737D8">
            <w:pPr>
              <w:pStyle w:val="Sinespaciado"/>
              <w:jc w:val="left"/>
              <w:rPr>
                <w:color w:val="000000" w:themeColor="text1"/>
              </w:rPr>
            </w:pPr>
            <w:r w:rsidRPr="00A07D9A">
              <w:rPr>
                <w:color w:val="000000" w:themeColor="text1"/>
              </w:rPr>
              <w:t>Decreto de Reforma Constitucional</w:t>
            </w:r>
          </w:p>
        </w:tc>
        <w:tc>
          <w:tcPr>
            <w:tcW w:w="6650" w:type="dxa"/>
            <w:vAlign w:val="center"/>
          </w:tcPr>
          <w:p w14:paraId="0070CCBE" w14:textId="77777777" w:rsidR="009844DA" w:rsidRPr="00A07D9A" w:rsidRDefault="009844DA" w:rsidP="00334C52">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Decreto por el que se reforman y adicionan diversas disposiciones de los artículos 6o., 7o., 27, 28, 73, 78, 94 y 105 de la Constitución Política de los Estados Unidos Mexicanos, en materia de telecomunicaciones, publicado en el DOF el once de junio de dos mil trece.</w:t>
            </w:r>
          </w:p>
        </w:tc>
      </w:tr>
      <w:tr w:rsidR="00A07D9A" w:rsidRPr="00A07D9A" w14:paraId="4BE2F08E"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6913E4CF" w14:textId="77777777" w:rsidR="009844DA" w:rsidRPr="00A07D9A" w:rsidRDefault="009844DA" w:rsidP="00C737D8">
            <w:pPr>
              <w:pStyle w:val="Sinespaciado"/>
              <w:jc w:val="left"/>
              <w:rPr>
                <w:color w:val="000000" w:themeColor="text1"/>
              </w:rPr>
            </w:pPr>
            <w:r w:rsidRPr="00A07D9A">
              <w:rPr>
                <w:color w:val="000000" w:themeColor="text1"/>
              </w:rPr>
              <w:t>DGCC</w:t>
            </w:r>
          </w:p>
        </w:tc>
        <w:tc>
          <w:tcPr>
            <w:tcW w:w="6650" w:type="dxa"/>
            <w:vAlign w:val="center"/>
          </w:tcPr>
          <w:p w14:paraId="3B3DC608"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Dirección General de Concentraciones y Concesiones, adscrita a la Unidad de Competencia Económica del IFT.</w:t>
            </w:r>
          </w:p>
        </w:tc>
      </w:tr>
      <w:tr w:rsidR="00A07D9A" w:rsidRPr="00A07D9A" w14:paraId="0463BDC2"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5C3354A5" w14:textId="77777777" w:rsidR="009844DA" w:rsidRPr="00A07D9A" w:rsidRDefault="009844DA" w:rsidP="00C737D8">
            <w:pPr>
              <w:pStyle w:val="Sinespaciado"/>
              <w:jc w:val="left"/>
              <w:rPr>
                <w:color w:val="000000" w:themeColor="text1"/>
              </w:rPr>
            </w:pPr>
            <w:r w:rsidRPr="00A07D9A">
              <w:rPr>
                <w:color w:val="000000" w:themeColor="text1"/>
              </w:rPr>
              <w:t>DOF</w:t>
            </w:r>
          </w:p>
        </w:tc>
        <w:tc>
          <w:tcPr>
            <w:tcW w:w="6650" w:type="dxa"/>
            <w:vAlign w:val="center"/>
          </w:tcPr>
          <w:p w14:paraId="38432EB6" w14:textId="77777777" w:rsidR="009844DA" w:rsidRPr="00A07D9A" w:rsidRDefault="009844DA" w:rsidP="00334C52">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Diario Oficial de la Federación.</w:t>
            </w:r>
          </w:p>
        </w:tc>
      </w:tr>
      <w:tr w:rsidR="00A07D9A" w:rsidRPr="00A07D9A" w14:paraId="16ED9FE5"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01737374" w14:textId="77777777" w:rsidR="009844DA" w:rsidRPr="00A07D9A" w:rsidRDefault="00B94D75" w:rsidP="00C737D8">
            <w:pPr>
              <w:pStyle w:val="Sinespaciado"/>
              <w:jc w:val="left"/>
              <w:rPr>
                <w:color w:val="000000" w:themeColor="text1"/>
              </w:rPr>
            </w:pPr>
            <w:r w:rsidRPr="00A07D9A">
              <w:rPr>
                <w:color w:val="000000" w:themeColor="text1"/>
              </w:rPr>
              <w:t>Disposiciones Regulatorias</w:t>
            </w:r>
          </w:p>
        </w:tc>
        <w:tc>
          <w:tcPr>
            <w:tcW w:w="6650" w:type="dxa"/>
            <w:vAlign w:val="center"/>
          </w:tcPr>
          <w:p w14:paraId="4520D08E"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Disposiciones Regulatorias de la Ley Federal de Competencia Económica para los sectores de telecomunicaciones y radiodifusión, emitidas por el Pleno del Instituto Federal de Telecomunicaciones.</w:t>
            </w:r>
            <w:r w:rsidR="00960545" w:rsidRPr="00A07D9A">
              <w:rPr>
                <w:rStyle w:val="Refdenotaalpie"/>
                <w:color w:val="000000" w:themeColor="text1"/>
              </w:rPr>
              <w:footnoteReference w:id="11"/>
            </w:r>
          </w:p>
        </w:tc>
      </w:tr>
      <w:tr w:rsidR="00A07D9A" w:rsidRPr="00A07D9A" w14:paraId="3899D48E"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351BDDFF" w14:textId="77777777" w:rsidR="009844DA" w:rsidRPr="00A07D9A" w:rsidRDefault="009844DA" w:rsidP="00C737D8">
            <w:pPr>
              <w:pStyle w:val="Sinespaciado"/>
              <w:jc w:val="left"/>
              <w:rPr>
                <w:color w:val="000000" w:themeColor="text1"/>
              </w:rPr>
            </w:pPr>
            <w:r w:rsidRPr="00A07D9A">
              <w:rPr>
                <w:color w:val="000000" w:themeColor="text1"/>
              </w:rPr>
              <w:t>Estatuto Orgánico</w:t>
            </w:r>
          </w:p>
        </w:tc>
        <w:tc>
          <w:tcPr>
            <w:tcW w:w="6650" w:type="dxa"/>
            <w:vAlign w:val="center"/>
          </w:tcPr>
          <w:p w14:paraId="09205642" w14:textId="77777777" w:rsidR="009844DA" w:rsidRPr="00A07D9A" w:rsidRDefault="009844DA" w:rsidP="00334C52">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Estatuto Orgánico del Instituto Federal de Telecomunicaciones.</w:t>
            </w:r>
          </w:p>
        </w:tc>
      </w:tr>
      <w:tr w:rsidR="00A07D9A" w:rsidRPr="00A07D9A" w14:paraId="56F9446F"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007C165E" w14:textId="77777777" w:rsidR="009844DA" w:rsidRPr="00A07D9A" w:rsidRDefault="009844DA" w:rsidP="00C737D8">
            <w:pPr>
              <w:pStyle w:val="Sinespaciado"/>
              <w:jc w:val="left"/>
              <w:rPr>
                <w:color w:val="000000" w:themeColor="text1"/>
              </w:rPr>
            </w:pPr>
            <w:r w:rsidRPr="00A07D9A">
              <w:rPr>
                <w:color w:val="000000" w:themeColor="text1"/>
              </w:rPr>
              <w:t>Guía de Concentraciones</w:t>
            </w:r>
          </w:p>
        </w:tc>
        <w:tc>
          <w:tcPr>
            <w:tcW w:w="6650" w:type="dxa"/>
            <w:vAlign w:val="center"/>
          </w:tcPr>
          <w:p w14:paraId="3372D244" w14:textId="77777777" w:rsidR="009844DA" w:rsidRPr="00A07D9A" w:rsidRDefault="0006360F"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 xml:space="preserve">El presente documento. </w:t>
            </w:r>
          </w:p>
        </w:tc>
      </w:tr>
      <w:tr w:rsidR="00A07D9A" w:rsidRPr="00A07D9A" w14:paraId="5FCC0CDF"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33C3317A" w14:textId="77777777" w:rsidR="009844DA" w:rsidRPr="00A07D9A" w:rsidRDefault="009844DA" w:rsidP="00C737D8">
            <w:pPr>
              <w:pStyle w:val="Sinespaciado"/>
              <w:jc w:val="left"/>
              <w:rPr>
                <w:color w:val="000000" w:themeColor="text1"/>
              </w:rPr>
            </w:pPr>
            <w:r w:rsidRPr="00A07D9A">
              <w:rPr>
                <w:color w:val="000000" w:themeColor="text1"/>
              </w:rPr>
              <w:t>LFCE</w:t>
            </w:r>
          </w:p>
        </w:tc>
        <w:tc>
          <w:tcPr>
            <w:tcW w:w="6650" w:type="dxa"/>
            <w:vAlign w:val="center"/>
          </w:tcPr>
          <w:p w14:paraId="624DDAB4" w14:textId="77777777" w:rsidR="009844DA" w:rsidRPr="00A07D9A" w:rsidRDefault="009844DA" w:rsidP="00334C52">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Ley Federal de Competencia Económica.</w:t>
            </w:r>
          </w:p>
        </w:tc>
      </w:tr>
      <w:tr w:rsidR="00A07D9A" w:rsidRPr="00A07D9A" w14:paraId="7D48626E"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3216ACEA" w14:textId="77777777" w:rsidR="009844DA" w:rsidRPr="00A07D9A" w:rsidRDefault="009844DA" w:rsidP="00C737D8">
            <w:pPr>
              <w:pStyle w:val="Sinespaciado"/>
              <w:jc w:val="left"/>
              <w:rPr>
                <w:color w:val="000000" w:themeColor="text1"/>
              </w:rPr>
            </w:pPr>
            <w:r w:rsidRPr="00A07D9A">
              <w:rPr>
                <w:color w:val="000000" w:themeColor="text1"/>
              </w:rPr>
              <w:t>LFPA</w:t>
            </w:r>
          </w:p>
        </w:tc>
        <w:tc>
          <w:tcPr>
            <w:tcW w:w="6650" w:type="dxa"/>
            <w:vAlign w:val="center"/>
          </w:tcPr>
          <w:p w14:paraId="2AF4680C"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Ley Federal de Procedimiento Administrativo.</w:t>
            </w:r>
          </w:p>
        </w:tc>
      </w:tr>
      <w:tr w:rsidR="00A07D9A" w:rsidRPr="00A07D9A" w14:paraId="10EDEAA3"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5CF52080" w14:textId="77777777" w:rsidR="009844DA" w:rsidRPr="00A07D9A" w:rsidRDefault="009844DA" w:rsidP="00C737D8">
            <w:pPr>
              <w:pStyle w:val="Sinespaciado"/>
              <w:jc w:val="left"/>
              <w:rPr>
                <w:color w:val="000000" w:themeColor="text1"/>
              </w:rPr>
            </w:pPr>
            <w:r w:rsidRPr="00A07D9A">
              <w:rPr>
                <w:color w:val="000000" w:themeColor="text1"/>
              </w:rPr>
              <w:t>LFTR</w:t>
            </w:r>
          </w:p>
        </w:tc>
        <w:tc>
          <w:tcPr>
            <w:tcW w:w="6650" w:type="dxa"/>
            <w:vAlign w:val="center"/>
          </w:tcPr>
          <w:p w14:paraId="42ECC928" w14:textId="77777777" w:rsidR="009844DA" w:rsidRPr="00A07D9A" w:rsidRDefault="009844DA" w:rsidP="00334C52">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Ley Federal de Telecomunicaciones y Radiodifusión.</w:t>
            </w:r>
          </w:p>
        </w:tc>
      </w:tr>
      <w:tr w:rsidR="00A07D9A" w:rsidRPr="00A07D9A" w14:paraId="30D53A59"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124F204C" w14:textId="77777777" w:rsidR="00766502" w:rsidRPr="00A07D9A" w:rsidRDefault="00766502" w:rsidP="00C737D8">
            <w:pPr>
              <w:pStyle w:val="Sinespaciado"/>
              <w:jc w:val="left"/>
              <w:rPr>
                <w:color w:val="000000" w:themeColor="text1"/>
              </w:rPr>
            </w:pPr>
            <w:r w:rsidRPr="00A07D9A">
              <w:rPr>
                <w:color w:val="000000" w:themeColor="text1"/>
              </w:rPr>
              <w:t>LGTAIP</w:t>
            </w:r>
          </w:p>
        </w:tc>
        <w:tc>
          <w:tcPr>
            <w:tcW w:w="6650" w:type="dxa"/>
            <w:vAlign w:val="center"/>
          </w:tcPr>
          <w:p w14:paraId="0096B61E" w14:textId="77777777" w:rsidR="00766502" w:rsidRPr="00A07D9A" w:rsidRDefault="00766502"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bCs/>
                <w:color w:val="000000" w:themeColor="text1"/>
                <w:lang w:eastAsia="es-MX"/>
              </w:rPr>
              <w:t>Ley General de Transparencia y Acceso a la Información Pública.</w:t>
            </w:r>
          </w:p>
        </w:tc>
      </w:tr>
      <w:tr w:rsidR="00A07D9A" w:rsidRPr="00A07D9A" w14:paraId="6857EE1F"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7F2C2A91" w14:textId="77777777" w:rsidR="009844DA" w:rsidRPr="00A07D9A" w:rsidRDefault="009844DA" w:rsidP="00C737D8">
            <w:pPr>
              <w:pStyle w:val="Sinespaciado"/>
              <w:jc w:val="left"/>
              <w:rPr>
                <w:color w:val="000000" w:themeColor="text1"/>
              </w:rPr>
            </w:pPr>
            <w:r w:rsidRPr="00A07D9A">
              <w:rPr>
                <w:color w:val="000000" w:themeColor="text1"/>
              </w:rPr>
              <w:t>Lineamientos de Arrendamiento</w:t>
            </w:r>
          </w:p>
        </w:tc>
        <w:tc>
          <w:tcPr>
            <w:tcW w:w="6650" w:type="dxa"/>
            <w:vAlign w:val="center"/>
          </w:tcPr>
          <w:p w14:paraId="5C69F7E5" w14:textId="77777777" w:rsidR="009844DA" w:rsidRPr="00A07D9A" w:rsidRDefault="009844DA" w:rsidP="00334C52">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Lineamientos Generales sobre la Autorización de Arrendamiento de Espectro Radioeléctrico.</w:t>
            </w:r>
          </w:p>
        </w:tc>
      </w:tr>
      <w:tr w:rsidR="00A07D9A" w:rsidRPr="00A07D9A" w14:paraId="6864CFA7"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1057049D" w14:textId="77777777" w:rsidR="009844DA" w:rsidRPr="00A07D9A" w:rsidRDefault="009844DA" w:rsidP="00C737D8">
            <w:pPr>
              <w:pStyle w:val="Sinespaciado"/>
              <w:jc w:val="left"/>
              <w:rPr>
                <w:color w:val="000000" w:themeColor="text1"/>
              </w:rPr>
            </w:pPr>
            <w:r w:rsidRPr="00A07D9A">
              <w:rPr>
                <w:color w:val="000000" w:themeColor="text1"/>
              </w:rPr>
              <w:t>ICN</w:t>
            </w:r>
          </w:p>
        </w:tc>
        <w:tc>
          <w:tcPr>
            <w:tcW w:w="6650" w:type="dxa"/>
            <w:vAlign w:val="center"/>
          </w:tcPr>
          <w:p w14:paraId="7558BD58"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Red Internacional de Competencia.</w:t>
            </w:r>
          </w:p>
        </w:tc>
      </w:tr>
      <w:tr w:rsidR="00A07D9A" w:rsidRPr="00A07D9A" w14:paraId="16380FDC"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7E7F2F14" w14:textId="77777777" w:rsidR="009844DA" w:rsidRPr="00A07D9A" w:rsidRDefault="009844DA" w:rsidP="00C737D8">
            <w:pPr>
              <w:pStyle w:val="Sinespaciado"/>
              <w:jc w:val="left"/>
              <w:rPr>
                <w:color w:val="000000" w:themeColor="text1"/>
              </w:rPr>
            </w:pPr>
            <w:r w:rsidRPr="00A07D9A">
              <w:rPr>
                <w:color w:val="000000" w:themeColor="text1"/>
              </w:rPr>
              <w:t xml:space="preserve">IFT o Instituto </w:t>
            </w:r>
          </w:p>
        </w:tc>
        <w:tc>
          <w:tcPr>
            <w:tcW w:w="6650" w:type="dxa"/>
            <w:vAlign w:val="center"/>
          </w:tcPr>
          <w:p w14:paraId="703E044E" w14:textId="77777777" w:rsidR="009844DA" w:rsidRPr="00A07D9A" w:rsidRDefault="009844DA" w:rsidP="00334C52">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Instituto Federal de Telecomunicaciones.</w:t>
            </w:r>
          </w:p>
        </w:tc>
      </w:tr>
      <w:tr w:rsidR="00A07D9A" w:rsidRPr="00A07D9A" w14:paraId="178FB460"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7FC53792" w14:textId="77777777" w:rsidR="009844DA" w:rsidRPr="00A07D9A" w:rsidRDefault="009844DA" w:rsidP="00C737D8">
            <w:pPr>
              <w:pStyle w:val="Sinespaciado"/>
              <w:jc w:val="left"/>
              <w:rPr>
                <w:color w:val="000000" w:themeColor="text1"/>
              </w:rPr>
            </w:pPr>
            <w:r w:rsidRPr="00A07D9A">
              <w:rPr>
                <w:color w:val="000000" w:themeColor="text1"/>
              </w:rPr>
              <w:lastRenderedPageBreak/>
              <w:t>OCDE</w:t>
            </w:r>
          </w:p>
        </w:tc>
        <w:tc>
          <w:tcPr>
            <w:tcW w:w="6650" w:type="dxa"/>
            <w:vAlign w:val="center"/>
          </w:tcPr>
          <w:p w14:paraId="4BF1D546"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Organización para la Cooperación y el Desarrollo Económicos.</w:t>
            </w:r>
          </w:p>
        </w:tc>
      </w:tr>
      <w:tr w:rsidR="00A07D9A" w:rsidRPr="00A07D9A" w14:paraId="7A44A2B6"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7F078776" w14:textId="77777777" w:rsidR="005E3FD7" w:rsidRPr="00A07D9A" w:rsidRDefault="005E3FD7" w:rsidP="00C737D8">
            <w:pPr>
              <w:pStyle w:val="Sinespaciado"/>
              <w:jc w:val="left"/>
              <w:rPr>
                <w:color w:val="000000" w:themeColor="text1"/>
              </w:rPr>
            </w:pPr>
            <w:r w:rsidRPr="00A07D9A">
              <w:rPr>
                <w:color w:val="000000" w:themeColor="text1"/>
              </w:rPr>
              <w:t>Tribunal Especializado</w:t>
            </w:r>
          </w:p>
        </w:tc>
        <w:tc>
          <w:tcPr>
            <w:tcW w:w="6650" w:type="dxa"/>
            <w:vAlign w:val="center"/>
          </w:tcPr>
          <w:p w14:paraId="5EE4A9BC" w14:textId="77777777" w:rsidR="005E3FD7" w:rsidRPr="00A07D9A" w:rsidRDefault="005E3FD7" w:rsidP="005E3FD7">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Tribunal Colegiado de Circuito especializado en materia</w:t>
            </w:r>
          </w:p>
          <w:p w14:paraId="0550727C" w14:textId="77777777" w:rsidR="005E3FD7" w:rsidRPr="00A07D9A" w:rsidRDefault="005E3FD7" w:rsidP="005E3FD7">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de competencia económica, radiodifusión y telecomunicaciones</w:t>
            </w:r>
          </w:p>
        </w:tc>
      </w:tr>
      <w:tr w:rsidR="00A07D9A" w:rsidRPr="00A07D9A" w14:paraId="198C2D4F"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36230BA4" w14:textId="77777777" w:rsidR="009844DA" w:rsidRPr="00A07D9A" w:rsidRDefault="009844DA" w:rsidP="00C737D8">
            <w:pPr>
              <w:pStyle w:val="Sinespaciado"/>
              <w:jc w:val="left"/>
              <w:rPr>
                <w:color w:val="000000" w:themeColor="text1"/>
              </w:rPr>
            </w:pPr>
            <w:r w:rsidRPr="00A07D9A">
              <w:rPr>
                <w:color w:val="000000" w:themeColor="text1"/>
              </w:rPr>
              <w:t>UCE</w:t>
            </w:r>
          </w:p>
        </w:tc>
        <w:tc>
          <w:tcPr>
            <w:tcW w:w="6650" w:type="dxa"/>
            <w:vAlign w:val="center"/>
          </w:tcPr>
          <w:p w14:paraId="79825F3A"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Unidad de Competencia Económica del IFT.</w:t>
            </w:r>
          </w:p>
        </w:tc>
      </w:tr>
      <w:tr w:rsidR="00A07D9A" w:rsidRPr="00A07D9A" w14:paraId="6646A1E4"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31B2DF48" w14:textId="77777777" w:rsidR="009844DA" w:rsidRPr="00A07D9A" w:rsidRDefault="009844DA" w:rsidP="00C737D8">
            <w:pPr>
              <w:pStyle w:val="Sinespaciado"/>
              <w:jc w:val="left"/>
              <w:rPr>
                <w:color w:val="000000" w:themeColor="text1"/>
              </w:rPr>
            </w:pPr>
            <w:r w:rsidRPr="00A07D9A">
              <w:rPr>
                <w:color w:val="000000" w:themeColor="text1"/>
              </w:rPr>
              <w:t>UCS</w:t>
            </w:r>
          </w:p>
        </w:tc>
        <w:tc>
          <w:tcPr>
            <w:tcW w:w="6650" w:type="dxa"/>
            <w:vAlign w:val="center"/>
          </w:tcPr>
          <w:p w14:paraId="362C8DBF" w14:textId="77777777" w:rsidR="009844DA" w:rsidRPr="00A07D9A" w:rsidRDefault="009844DA" w:rsidP="00334C52">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Unidad de Concesiones y Servicios del IFT.</w:t>
            </w:r>
          </w:p>
        </w:tc>
      </w:tr>
      <w:tr w:rsidR="00A07D9A" w:rsidRPr="00A07D9A" w14:paraId="5F9DBA87" w14:textId="77777777" w:rsidTr="00BD77B6">
        <w:trPr>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3EBD88F0" w14:textId="77777777" w:rsidR="009844DA" w:rsidRPr="00A07D9A" w:rsidRDefault="009844DA" w:rsidP="00C737D8">
            <w:pPr>
              <w:pStyle w:val="Sinespaciado"/>
              <w:jc w:val="left"/>
              <w:rPr>
                <w:color w:val="000000" w:themeColor="text1"/>
              </w:rPr>
            </w:pPr>
            <w:r w:rsidRPr="00A07D9A">
              <w:rPr>
                <w:color w:val="000000" w:themeColor="text1"/>
              </w:rPr>
              <w:t>UER</w:t>
            </w:r>
          </w:p>
        </w:tc>
        <w:tc>
          <w:tcPr>
            <w:tcW w:w="6650" w:type="dxa"/>
            <w:vAlign w:val="center"/>
          </w:tcPr>
          <w:p w14:paraId="083B2241" w14:textId="77777777" w:rsidR="009844DA" w:rsidRPr="00A07D9A" w:rsidRDefault="009844DA" w:rsidP="00334C52">
            <w:pPr>
              <w:pStyle w:val="Sinespaciado"/>
              <w:cnfStyle w:val="000000000000" w:firstRow="0" w:lastRow="0" w:firstColumn="0" w:lastColumn="0" w:oddVBand="0" w:evenVBand="0" w:oddHBand="0" w:evenHBand="0" w:firstRowFirstColumn="0" w:firstRowLastColumn="0" w:lastRowFirstColumn="0" w:lastRowLastColumn="0"/>
              <w:rPr>
                <w:color w:val="000000" w:themeColor="text1"/>
              </w:rPr>
            </w:pPr>
            <w:r w:rsidRPr="00A07D9A">
              <w:rPr>
                <w:color w:val="000000" w:themeColor="text1"/>
              </w:rPr>
              <w:t>Unidad de Espectro Radioeléctrico del IFT.</w:t>
            </w:r>
          </w:p>
        </w:tc>
      </w:tr>
      <w:tr w:rsidR="00A07D9A" w:rsidRPr="00A07D9A" w14:paraId="19FFEE3E" w14:textId="77777777" w:rsidTr="00BD77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44" w:type="dxa"/>
            <w:vAlign w:val="center"/>
          </w:tcPr>
          <w:p w14:paraId="4109BF9C" w14:textId="77777777" w:rsidR="00605675" w:rsidRPr="00A07D9A" w:rsidRDefault="00605675" w:rsidP="00C737D8">
            <w:pPr>
              <w:pStyle w:val="Sinespaciado"/>
              <w:jc w:val="left"/>
              <w:rPr>
                <w:color w:val="000000" w:themeColor="text1"/>
              </w:rPr>
            </w:pPr>
            <w:r w:rsidRPr="00A07D9A">
              <w:rPr>
                <w:color w:val="000000" w:themeColor="text1"/>
              </w:rPr>
              <w:t>UMA</w:t>
            </w:r>
          </w:p>
        </w:tc>
        <w:tc>
          <w:tcPr>
            <w:tcW w:w="6650" w:type="dxa"/>
            <w:vAlign w:val="center"/>
          </w:tcPr>
          <w:p w14:paraId="2E089319" w14:textId="77777777" w:rsidR="00605675" w:rsidRPr="00A07D9A" w:rsidRDefault="000B1459">
            <w:pPr>
              <w:pStyle w:val="Sinespaciado"/>
              <w:cnfStyle w:val="000000100000" w:firstRow="0" w:lastRow="0" w:firstColumn="0" w:lastColumn="0" w:oddVBand="0" w:evenVBand="0" w:oddHBand="1" w:evenHBand="0" w:firstRowFirstColumn="0" w:firstRowLastColumn="0" w:lastRowFirstColumn="0" w:lastRowLastColumn="0"/>
              <w:rPr>
                <w:color w:val="000000" w:themeColor="text1"/>
              </w:rPr>
            </w:pPr>
            <w:r w:rsidRPr="00A07D9A">
              <w:rPr>
                <w:color w:val="000000" w:themeColor="text1"/>
              </w:rPr>
              <w:t>U</w:t>
            </w:r>
            <w:r w:rsidR="00605675" w:rsidRPr="00A07D9A">
              <w:rPr>
                <w:color w:val="000000" w:themeColor="text1"/>
              </w:rPr>
              <w:t>nidades de medida y actualización. Este elemento constituye la referencia para estimar: (i) los umbrales previstos en el artículo 86 de la LFCE con base en los cuales se actualiza la obligación de notificar; y (ii) las medidas de apremio y sanciones establecid</w:t>
            </w:r>
            <w:r w:rsidR="0054002D" w:rsidRPr="00A07D9A">
              <w:rPr>
                <w:color w:val="000000" w:themeColor="text1"/>
              </w:rPr>
              <w:t>a</w:t>
            </w:r>
            <w:r w:rsidR="00605675" w:rsidRPr="00A07D9A">
              <w:rPr>
                <w:color w:val="000000" w:themeColor="text1"/>
              </w:rPr>
              <w:t>s en los artículos 126 y 12</w:t>
            </w:r>
            <w:r w:rsidR="00C2512D" w:rsidRPr="00A07D9A">
              <w:rPr>
                <w:color w:val="000000" w:themeColor="text1"/>
              </w:rPr>
              <w:t>7</w:t>
            </w:r>
            <w:r w:rsidR="00605675" w:rsidRPr="00A07D9A">
              <w:rPr>
                <w:color w:val="000000" w:themeColor="text1"/>
              </w:rPr>
              <w:t xml:space="preserve"> de la misma ley</w:t>
            </w:r>
            <w:r w:rsidR="00960545" w:rsidRPr="00A07D9A">
              <w:rPr>
                <w:color w:val="000000" w:themeColor="text1"/>
              </w:rPr>
              <w:t>.</w:t>
            </w:r>
            <w:r w:rsidR="00605675" w:rsidRPr="00A07D9A">
              <w:rPr>
                <w:rStyle w:val="Refdenotaalpie"/>
                <w:color w:val="000000" w:themeColor="text1"/>
              </w:rPr>
              <w:footnoteReference w:id="12"/>
            </w:r>
          </w:p>
        </w:tc>
      </w:tr>
    </w:tbl>
    <w:p w14:paraId="0A6370EE" w14:textId="77777777" w:rsidR="00A70F7F" w:rsidRPr="00A07D9A" w:rsidRDefault="00A70F7F" w:rsidP="00A70F7F">
      <w:pPr>
        <w:pStyle w:val="Ttulo1"/>
        <w:rPr>
          <w:color w:val="000000" w:themeColor="text1"/>
        </w:rPr>
        <w:sectPr w:rsidR="00A70F7F" w:rsidRPr="00A07D9A" w:rsidSect="00030283">
          <w:pgSz w:w="12240" w:h="15840" w:code="1"/>
          <w:pgMar w:top="1417" w:right="1701" w:bottom="1417" w:left="1701" w:header="720" w:footer="720" w:gutter="0"/>
          <w:cols w:space="720"/>
          <w:noEndnote/>
          <w:docGrid w:linePitch="326"/>
        </w:sectPr>
      </w:pPr>
    </w:p>
    <w:p w14:paraId="23F01AFA" w14:textId="77777777" w:rsidR="00D75550" w:rsidRPr="00A07D9A" w:rsidRDefault="00D75550" w:rsidP="003071C4">
      <w:pPr>
        <w:pStyle w:val="Ttulo1"/>
        <w:numPr>
          <w:ilvl w:val="0"/>
          <w:numId w:val="67"/>
        </w:numPr>
        <w:jc w:val="center"/>
        <w:rPr>
          <w:color w:val="000000" w:themeColor="text1"/>
        </w:rPr>
      </w:pPr>
      <w:bookmarkStart w:id="6" w:name="_Toc486519791"/>
      <w:bookmarkEnd w:id="4"/>
      <w:r w:rsidRPr="00A07D9A">
        <w:rPr>
          <w:color w:val="000000" w:themeColor="text1"/>
        </w:rPr>
        <w:lastRenderedPageBreak/>
        <w:t>Aspectos Generales</w:t>
      </w:r>
      <w:bookmarkEnd w:id="6"/>
    </w:p>
    <w:p w14:paraId="4D47AB5B" w14:textId="77777777" w:rsidR="00466854" w:rsidRPr="00A07D9A" w:rsidRDefault="00466854" w:rsidP="00A72DD4">
      <w:pPr>
        <w:pStyle w:val="Ttulo1"/>
        <w:numPr>
          <w:ilvl w:val="0"/>
          <w:numId w:val="99"/>
        </w:numPr>
        <w:rPr>
          <w:color w:val="000000" w:themeColor="text1"/>
        </w:rPr>
      </w:pPr>
      <w:bookmarkStart w:id="7" w:name="_Toc486519792"/>
      <w:r w:rsidRPr="00A07D9A">
        <w:rPr>
          <w:color w:val="000000" w:themeColor="text1"/>
        </w:rPr>
        <w:t>Objeto del control de concentraciones</w:t>
      </w:r>
      <w:r w:rsidRPr="00A07D9A">
        <w:rPr>
          <w:rStyle w:val="Refdenotaalpie"/>
          <w:color w:val="000000" w:themeColor="text1"/>
        </w:rPr>
        <w:footnoteReference w:id="13"/>
      </w:r>
      <w:bookmarkEnd w:id="7"/>
    </w:p>
    <w:p w14:paraId="5185A749" w14:textId="77777777" w:rsidR="00BC5684" w:rsidRPr="00A07D9A" w:rsidRDefault="00BC5684" w:rsidP="00BC5684">
      <w:pPr>
        <w:rPr>
          <w:color w:val="000000" w:themeColor="text1"/>
        </w:rPr>
      </w:pPr>
      <w:r w:rsidRPr="00A07D9A">
        <w:rPr>
          <w:color w:val="000000" w:themeColor="text1"/>
        </w:rPr>
        <w:t>El artículo 5o. de la CPEUM otorga el derecho a las personas</w:t>
      </w:r>
      <w:r w:rsidR="00D22DB1" w:rsidRPr="00A07D9A">
        <w:rPr>
          <w:rStyle w:val="Refdenotaalpie"/>
          <w:color w:val="000000" w:themeColor="text1"/>
        </w:rPr>
        <w:footnoteReference w:id="14"/>
      </w:r>
      <w:r w:rsidRPr="00A07D9A">
        <w:rPr>
          <w:color w:val="000000" w:themeColor="text1"/>
        </w:rPr>
        <w:t xml:space="preserve"> </w:t>
      </w:r>
      <w:r w:rsidR="00D22DB1" w:rsidRPr="00A07D9A">
        <w:rPr>
          <w:color w:val="000000" w:themeColor="text1"/>
        </w:rPr>
        <w:t xml:space="preserve">físicas y morales </w:t>
      </w:r>
      <w:r w:rsidRPr="00A07D9A">
        <w:rPr>
          <w:color w:val="000000" w:themeColor="text1"/>
        </w:rPr>
        <w:t xml:space="preserve">de realizar las actividades económicas </w:t>
      </w:r>
      <w:r w:rsidR="00AD7649" w:rsidRPr="00A07D9A">
        <w:rPr>
          <w:color w:val="000000" w:themeColor="text1"/>
        </w:rPr>
        <w:t>lícitas de su elección</w:t>
      </w:r>
      <w:r w:rsidRPr="00A07D9A">
        <w:rPr>
          <w:color w:val="000000" w:themeColor="text1"/>
        </w:rPr>
        <w:t xml:space="preserve">. Este derecho </w:t>
      </w:r>
      <w:r w:rsidR="00DE4502" w:rsidRPr="00A07D9A">
        <w:rPr>
          <w:color w:val="000000" w:themeColor="text1"/>
        </w:rPr>
        <w:t xml:space="preserve">incluye </w:t>
      </w:r>
      <w:r w:rsidR="00960545" w:rsidRPr="00A07D9A">
        <w:rPr>
          <w:color w:val="000000" w:themeColor="text1"/>
        </w:rPr>
        <w:t xml:space="preserve">la </w:t>
      </w:r>
      <w:r w:rsidRPr="00A07D9A">
        <w:rPr>
          <w:color w:val="000000" w:themeColor="text1"/>
        </w:rPr>
        <w:t>realización de las concentraciones</w:t>
      </w:r>
      <w:r w:rsidR="00AD7649" w:rsidRPr="00A07D9A">
        <w:rPr>
          <w:color w:val="000000" w:themeColor="text1"/>
        </w:rPr>
        <w:t>,</w:t>
      </w:r>
      <w:r w:rsidR="00DE4502" w:rsidRPr="00A07D9A">
        <w:rPr>
          <w:color w:val="000000" w:themeColor="text1"/>
        </w:rPr>
        <w:t xml:space="preserve"> </w:t>
      </w:r>
      <w:r w:rsidRPr="00A07D9A">
        <w:rPr>
          <w:color w:val="000000" w:themeColor="text1"/>
        </w:rPr>
        <w:t xml:space="preserve">en tanto sean lícitas en términos de lo dispuesto en </w:t>
      </w:r>
      <w:r w:rsidR="00AD7649" w:rsidRPr="00A07D9A">
        <w:rPr>
          <w:color w:val="000000" w:themeColor="text1"/>
        </w:rPr>
        <w:t>el artículo 28, párrafo decimocuarto de la</w:t>
      </w:r>
      <w:r w:rsidRPr="00A07D9A">
        <w:rPr>
          <w:color w:val="000000" w:themeColor="text1"/>
        </w:rPr>
        <w:t xml:space="preserve"> CPEUM y las leyes aplicables.</w:t>
      </w:r>
    </w:p>
    <w:p w14:paraId="0F6F8493" w14:textId="77777777" w:rsidR="00593C5A" w:rsidRPr="00A07D9A" w:rsidRDefault="00F56FC7" w:rsidP="00466854">
      <w:pPr>
        <w:rPr>
          <w:color w:val="000000" w:themeColor="text1"/>
        </w:rPr>
      </w:pPr>
      <w:r w:rsidRPr="00A07D9A">
        <w:rPr>
          <w:color w:val="000000" w:themeColor="text1"/>
        </w:rPr>
        <w:t>L</w:t>
      </w:r>
      <w:r w:rsidR="00466854" w:rsidRPr="00A07D9A">
        <w:rPr>
          <w:color w:val="000000" w:themeColor="text1"/>
        </w:rPr>
        <w:t>a CPEUM</w:t>
      </w:r>
      <w:r w:rsidRPr="00A07D9A">
        <w:rPr>
          <w:color w:val="000000" w:themeColor="text1"/>
        </w:rPr>
        <w:t xml:space="preserve">, </w:t>
      </w:r>
      <w:r w:rsidR="00466854" w:rsidRPr="00A07D9A">
        <w:rPr>
          <w:color w:val="000000" w:themeColor="text1"/>
        </w:rPr>
        <w:t xml:space="preserve">la LFCE </w:t>
      </w:r>
      <w:r w:rsidRPr="00A07D9A">
        <w:rPr>
          <w:color w:val="000000" w:themeColor="text1"/>
        </w:rPr>
        <w:t xml:space="preserve">y la LFTR establecen </w:t>
      </w:r>
      <w:r w:rsidR="00466854" w:rsidRPr="00A07D9A">
        <w:rPr>
          <w:color w:val="000000" w:themeColor="text1"/>
        </w:rPr>
        <w:t>control</w:t>
      </w:r>
      <w:r w:rsidRPr="00A07D9A">
        <w:rPr>
          <w:color w:val="000000" w:themeColor="text1"/>
        </w:rPr>
        <w:t xml:space="preserve">es sobre </w:t>
      </w:r>
      <w:r w:rsidR="00466854" w:rsidRPr="00A07D9A">
        <w:rPr>
          <w:color w:val="000000" w:themeColor="text1"/>
        </w:rPr>
        <w:t>las concentraciones</w:t>
      </w:r>
      <w:r w:rsidRPr="00A07D9A">
        <w:rPr>
          <w:color w:val="000000" w:themeColor="text1"/>
        </w:rPr>
        <w:t xml:space="preserve"> cuyo propósito es </w:t>
      </w:r>
      <w:r w:rsidR="00466854" w:rsidRPr="00A07D9A">
        <w:rPr>
          <w:color w:val="000000" w:themeColor="text1"/>
        </w:rPr>
        <w:t xml:space="preserve">prevenir y, en su caso, sancionar las transacciones que </w:t>
      </w:r>
      <w:r w:rsidRPr="00A07D9A">
        <w:rPr>
          <w:color w:val="000000" w:themeColor="text1"/>
        </w:rPr>
        <w:t>restrinjan el funcionamiento eficiente de los mercados</w:t>
      </w:r>
      <w:r w:rsidRPr="00A07D9A">
        <w:rPr>
          <w:rStyle w:val="Refdenotaalpie"/>
          <w:color w:val="000000" w:themeColor="text1"/>
        </w:rPr>
        <w:footnoteReference w:id="15"/>
      </w:r>
      <w:r w:rsidRPr="00A07D9A">
        <w:rPr>
          <w:color w:val="000000" w:themeColor="text1"/>
        </w:rPr>
        <w:t xml:space="preserve"> y </w:t>
      </w:r>
      <w:r w:rsidR="00466854" w:rsidRPr="00A07D9A">
        <w:rPr>
          <w:color w:val="000000" w:themeColor="text1"/>
        </w:rPr>
        <w:t>generen fenó</w:t>
      </w:r>
      <w:r w:rsidR="00C25534" w:rsidRPr="00A07D9A">
        <w:rPr>
          <w:color w:val="000000" w:themeColor="text1"/>
        </w:rPr>
        <w:t>menos de concentración contrario</w:t>
      </w:r>
      <w:r w:rsidR="00466854" w:rsidRPr="00A07D9A">
        <w:rPr>
          <w:color w:val="000000" w:themeColor="text1"/>
        </w:rPr>
        <w:t>s al int</w:t>
      </w:r>
      <w:r w:rsidR="00D33B69" w:rsidRPr="00A07D9A">
        <w:rPr>
          <w:color w:val="000000" w:themeColor="text1"/>
        </w:rPr>
        <w:t>erés público</w:t>
      </w:r>
      <w:r w:rsidR="00466854" w:rsidRPr="00A07D9A">
        <w:rPr>
          <w:color w:val="000000" w:themeColor="text1"/>
        </w:rPr>
        <w:t>.</w:t>
      </w:r>
      <w:r w:rsidR="00466854" w:rsidRPr="00A07D9A">
        <w:rPr>
          <w:rStyle w:val="Refdenotaalpie"/>
          <w:color w:val="000000" w:themeColor="text1"/>
        </w:rPr>
        <w:footnoteReference w:id="16"/>
      </w:r>
      <w:r w:rsidR="00466854" w:rsidRPr="00A07D9A">
        <w:rPr>
          <w:color w:val="000000" w:themeColor="text1"/>
        </w:rPr>
        <w:t xml:space="preserve"> </w:t>
      </w:r>
    </w:p>
    <w:p w14:paraId="443DA1D7" w14:textId="77777777" w:rsidR="00593C5A" w:rsidRPr="00A07D9A" w:rsidRDefault="00593C5A" w:rsidP="00466854">
      <w:pPr>
        <w:rPr>
          <w:color w:val="000000" w:themeColor="text1"/>
        </w:rPr>
      </w:pPr>
      <w:r w:rsidRPr="00A07D9A">
        <w:rPr>
          <w:color w:val="000000" w:themeColor="text1"/>
        </w:rPr>
        <w:t xml:space="preserve">En particular, </w:t>
      </w:r>
      <w:r w:rsidR="00C25534" w:rsidRPr="00A07D9A">
        <w:rPr>
          <w:color w:val="000000" w:themeColor="text1"/>
        </w:rPr>
        <w:t>los</w:t>
      </w:r>
      <w:r w:rsidRPr="00A07D9A">
        <w:rPr>
          <w:color w:val="000000" w:themeColor="text1"/>
        </w:rPr>
        <w:t xml:space="preserve"> artículo</w:t>
      </w:r>
      <w:r w:rsidR="00C25534" w:rsidRPr="00A07D9A">
        <w:rPr>
          <w:color w:val="000000" w:themeColor="text1"/>
        </w:rPr>
        <w:t>s</w:t>
      </w:r>
      <w:r w:rsidRPr="00A07D9A">
        <w:rPr>
          <w:color w:val="000000" w:themeColor="text1"/>
        </w:rPr>
        <w:t xml:space="preserve"> 61 </w:t>
      </w:r>
      <w:r w:rsidR="00C25534" w:rsidRPr="00A07D9A">
        <w:rPr>
          <w:color w:val="000000" w:themeColor="text1"/>
        </w:rPr>
        <w:t xml:space="preserve">y 62 </w:t>
      </w:r>
      <w:r w:rsidRPr="00A07D9A">
        <w:rPr>
          <w:color w:val="000000" w:themeColor="text1"/>
        </w:rPr>
        <w:t>de la LFCE establece</w:t>
      </w:r>
      <w:r w:rsidR="00C25534" w:rsidRPr="00A07D9A">
        <w:rPr>
          <w:color w:val="000000" w:themeColor="text1"/>
        </w:rPr>
        <w:t>n</w:t>
      </w:r>
      <w:r w:rsidRPr="00A07D9A">
        <w:rPr>
          <w:color w:val="000000" w:themeColor="text1"/>
        </w:rPr>
        <w:t>:</w:t>
      </w:r>
    </w:p>
    <w:p w14:paraId="0B7695EB" w14:textId="77777777" w:rsidR="00455281" w:rsidRPr="00A07D9A" w:rsidRDefault="00593C5A" w:rsidP="00455281">
      <w:pPr>
        <w:pStyle w:val="Cita"/>
        <w:rPr>
          <w:i w:val="0"/>
          <w:color w:val="000000" w:themeColor="text1"/>
        </w:rPr>
      </w:pPr>
      <w:r w:rsidRPr="00A07D9A">
        <w:rPr>
          <w:i w:val="0"/>
          <w:color w:val="000000" w:themeColor="text1"/>
        </w:rPr>
        <w:t>“</w:t>
      </w:r>
      <w:r w:rsidR="00487121" w:rsidRPr="00A07D9A">
        <w:rPr>
          <w:i w:val="0"/>
          <w:color w:val="000000" w:themeColor="text1"/>
        </w:rPr>
        <w:t>A</w:t>
      </w:r>
      <w:r w:rsidR="00C561C7" w:rsidRPr="00A07D9A">
        <w:rPr>
          <w:i w:val="0"/>
          <w:color w:val="000000" w:themeColor="text1"/>
        </w:rPr>
        <w:t>rtículo</w:t>
      </w:r>
      <w:r w:rsidR="00C25534" w:rsidRPr="00A07D9A">
        <w:rPr>
          <w:i w:val="0"/>
          <w:color w:val="000000" w:themeColor="text1"/>
        </w:rPr>
        <w:t xml:space="preserve"> 61. </w:t>
      </w:r>
      <w:r w:rsidR="00455281" w:rsidRPr="00A07D9A">
        <w:rPr>
          <w:i w:val="0"/>
          <w:color w:val="000000" w:themeColor="text1"/>
          <w:szCs w:val="20"/>
        </w:rPr>
        <w:t>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La Comisión no autorizará o en su caso investigará y sancionará aquellas concentraciones cuyo objeto o efecto sea disminuir, dañar o impedir la competencia y la libre concurrencia respecto de bienes o servicios iguales, similares o sustancialmente relacionados.”</w:t>
      </w:r>
    </w:p>
    <w:p w14:paraId="5F61FF8F" w14:textId="77777777" w:rsidR="00593C5A" w:rsidRPr="00A07D9A" w:rsidRDefault="00593C5A" w:rsidP="00455281">
      <w:pPr>
        <w:pStyle w:val="Cita"/>
        <w:rPr>
          <w:i w:val="0"/>
          <w:color w:val="000000" w:themeColor="text1"/>
        </w:rPr>
      </w:pPr>
      <w:r w:rsidRPr="00A07D9A">
        <w:rPr>
          <w:i w:val="0"/>
          <w:color w:val="000000" w:themeColor="text1"/>
        </w:rPr>
        <w:t>“</w:t>
      </w:r>
      <w:r w:rsidR="00487121" w:rsidRPr="00A07D9A">
        <w:rPr>
          <w:i w:val="0"/>
          <w:color w:val="000000" w:themeColor="text1"/>
        </w:rPr>
        <w:t>A</w:t>
      </w:r>
      <w:r w:rsidR="00C561C7" w:rsidRPr="00A07D9A">
        <w:rPr>
          <w:i w:val="0"/>
          <w:color w:val="000000" w:themeColor="text1"/>
        </w:rPr>
        <w:t>rtículo</w:t>
      </w:r>
      <w:r w:rsidR="00C25534" w:rsidRPr="00A07D9A">
        <w:rPr>
          <w:i w:val="0"/>
          <w:color w:val="000000" w:themeColor="text1"/>
        </w:rPr>
        <w:t xml:space="preserve"> 62. </w:t>
      </w:r>
      <w:r w:rsidRPr="00A07D9A">
        <w:rPr>
          <w:i w:val="0"/>
          <w:color w:val="000000" w:themeColor="text1"/>
        </w:rPr>
        <w:t>Se consideran ilícitas aquellas concentraciones que tengan por objeto o efecto obstaculizar, disminuir, dañar o impedir la libre concurrencia o la competencia económica.”</w:t>
      </w:r>
    </w:p>
    <w:p w14:paraId="4D95EAB6" w14:textId="77777777" w:rsidR="00165D7C" w:rsidRPr="00A07D9A" w:rsidRDefault="00165D7C" w:rsidP="00165D7C">
      <w:pPr>
        <w:rPr>
          <w:color w:val="000000" w:themeColor="text1"/>
        </w:rPr>
      </w:pPr>
      <w:r w:rsidRPr="00A07D9A">
        <w:rPr>
          <w:color w:val="000000" w:themeColor="text1"/>
        </w:rPr>
        <w:t xml:space="preserve">Así, </w:t>
      </w:r>
      <w:r w:rsidR="00DE4502" w:rsidRPr="00A07D9A">
        <w:rPr>
          <w:color w:val="000000" w:themeColor="text1"/>
        </w:rPr>
        <w:t xml:space="preserve">el control de concentraciones </w:t>
      </w:r>
      <w:r w:rsidRPr="00A07D9A">
        <w:rPr>
          <w:color w:val="000000" w:themeColor="text1"/>
        </w:rPr>
        <w:t xml:space="preserve">tiene por objeto </w:t>
      </w:r>
      <w:r w:rsidR="00487121" w:rsidRPr="00A07D9A">
        <w:rPr>
          <w:color w:val="000000" w:themeColor="text1"/>
        </w:rPr>
        <w:t xml:space="preserve">que la autoridad </w:t>
      </w:r>
      <w:r w:rsidR="00C25534" w:rsidRPr="00A07D9A">
        <w:rPr>
          <w:color w:val="000000" w:themeColor="text1"/>
        </w:rPr>
        <w:t>anali</w:t>
      </w:r>
      <w:r w:rsidR="00487121" w:rsidRPr="00A07D9A">
        <w:rPr>
          <w:color w:val="000000" w:themeColor="text1"/>
        </w:rPr>
        <w:t>ce</w:t>
      </w:r>
      <w:r w:rsidR="00C25534" w:rsidRPr="00A07D9A">
        <w:rPr>
          <w:color w:val="000000" w:themeColor="text1"/>
        </w:rPr>
        <w:t xml:space="preserve"> los </w:t>
      </w:r>
      <w:r w:rsidRPr="00A07D9A">
        <w:rPr>
          <w:color w:val="000000" w:themeColor="text1"/>
        </w:rPr>
        <w:t xml:space="preserve">cambios en </w:t>
      </w:r>
      <w:r w:rsidR="00DE4502" w:rsidRPr="00A07D9A">
        <w:rPr>
          <w:color w:val="000000" w:themeColor="text1"/>
        </w:rPr>
        <w:t xml:space="preserve">la estructura de </w:t>
      </w:r>
      <w:r w:rsidRPr="00A07D9A">
        <w:rPr>
          <w:color w:val="000000" w:themeColor="text1"/>
        </w:rPr>
        <w:t xml:space="preserve">los </w:t>
      </w:r>
      <w:r w:rsidR="00DE4502" w:rsidRPr="00A07D9A">
        <w:rPr>
          <w:color w:val="000000" w:themeColor="text1"/>
        </w:rPr>
        <w:t>mercado</w:t>
      </w:r>
      <w:r w:rsidRPr="00A07D9A">
        <w:rPr>
          <w:color w:val="000000" w:themeColor="text1"/>
        </w:rPr>
        <w:t>s</w:t>
      </w:r>
      <w:r w:rsidR="00DE4502" w:rsidRPr="00A07D9A">
        <w:rPr>
          <w:color w:val="000000" w:themeColor="text1"/>
        </w:rPr>
        <w:t xml:space="preserve"> que pueda</w:t>
      </w:r>
      <w:r w:rsidRPr="00A07D9A">
        <w:rPr>
          <w:color w:val="000000" w:themeColor="text1"/>
        </w:rPr>
        <w:t xml:space="preserve">n </w:t>
      </w:r>
      <w:r w:rsidR="00DE4502" w:rsidRPr="00A07D9A">
        <w:rPr>
          <w:color w:val="000000" w:themeColor="text1"/>
        </w:rPr>
        <w:t xml:space="preserve">resultar en una </w:t>
      </w:r>
      <w:r w:rsidR="00C25534" w:rsidRPr="00A07D9A">
        <w:rPr>
          <w:color w:val="000000" w:themeColor="text1"/>
        </w:rPr>
        <w:t xml:space="preserve">afectación (i.e. daño, disminución o restricción) </w:t>
      </w:r>
      <w:r w:rsidR="00DE4502" w:rsidRPr="00A07D9A">
        <w:rPr>
          <w:color w:val="000000" w:themeColor="text1"/>
        </w:rPr>
        <w:t>significativa de la competencia</w:t>
      </w:r>
      <w:r w:rsidRPr="00A07D9A">
        <w:rPr>
          <w:color w:val="000000" w:themeColor="text1"/>
        </w:rPr>
        <w:t xml:space="preserve"> y la libre concurrencia</w:t>
      </w:r>
      <w:r w:rsidR="00DE4502" w:rsidRPr="00A07D9A">
        <w:rPr>
          <w:color w:val="000000" w:themeColor="text1"/>
        </w:rPr>
        <w:t>.</w:t>
      </w:r>
    </w:p>
    <w:p w14:paraId="0B5A3930" w14:textId="77777777" w:rsidR="00466854" w:rsidRPr="00A07D9A" w:rsidRDefault="00165D7C" w:rsidP="00165D7C">
      <w:pPr>
        <w:rPr>
          <w:color w:val="000000" w:themeColor="text1"/>
        </w:rPr>
      </w:pPr>
      <w:r w:rsidRPr="00A07D9A">
        <w:rPr>
          <w:color w:val="000000" w:themeColor="text1"/>
        </w:rPr>
        <w:lastRenderedPageBreak/>
        <w:t xml:space="preserve">En forma consistente con lo establecido en el artículo 28 de la CPEUM, la LFCE y la LFTR </w:t>
      </w:r>
      <w:r w:rsidR="00A85D5D" w:rsidRPr="00A07D9A">
        <w:rPr>
          <w:color w:val="000000" w:themeColor="text1"/>
        </w:rPr>
        <w:t>establece</w:t>
      </w:r>
      <w:r w:rsidRPr="00A07D9A">
        <w:rPr>
          <w:color w:val="000000" w:themeColor="text1"/>
        </w:rPr>
        <w:t xml:space="preserve">n procedimientos que constituyen controles </w:t>
      </w:r>
      <w:r w:rsidR="00487121" w:rsidRPr="00A07D9A">
        <w:rPr>
          <w:color w:val="000000" w:themeColor="text1"/>
        </w:rPr>
        <w:t xml:space="preserve">para </w:t>
      </w:r>
      <w:r w:rsidRPr="00A07D9A">
        <w:rPr>
          <w:color w:val="000000" w:themeColor="text1"/>
        </w:rPr>
        <w:t xml:space="preserve">las concentraciones </w:t>
      </w:r>
      <w:r w:rsidR="00536ABF" w:rsidRPr="00A07D9A">
        <w:rPr>
          <w:color w:val="000000" w:themeColor="text1"/>
        </w:rPr>
        <w:t>cuya</w:t>
      </w:r>
      <w:r w:rsidRPr="00A07D9A">
        <w:rPr>
          <w:color w:val="000000" w:themeColor="text1"/>
        </w:rPr>
        <w:t xml:space="preserve"> aplicación</w:t>
      </w:r>
      <w:r w:rsidR="00536ABF" w:rsidRPr="00A07D9A">
        <w:rPr>
          <w:color w:val="000000" w:themeColor="text1"/>
        </w:rPr>
        <w:t xml:space="preserve"> puede ser</w:t>
      </w:r>
      <w:r w:rsidR="00593C5A" w:rsidRPr="00A07D9A">
        <w:rPr>
          <w:color w:val="000000" w:themeColor="text1"/>
        </w:rPr>
        <w:t>:</w:t>
      </w:r>
    </w:p>
    <w:p w14:paraId="1F509D96" w14:textId="77777777" w:rsidR="00A85D5D" w:rsidRPr="00A07D9A" w:rsidRDefault="00165D7C" w:rsidP="00A85D5D">
      <w:pPr>
        <w:pStyle w:val="Prrafodelista"/>
        <w:rPr>
          <w:color w:val="000000" w:themeColor="text1"/>
        </w:rPr>
      </w:pPr>
      <w:r w:rsidRPr="00A07D9A">
        <w:rPr>
          <w:color w:val="000000" w:themeColor="text1"/>
        </w:rPr>
        <w:t xml:space="preserve">Ex </w:t>
      </w:r>
      <w:r w:rsidR="00466854" w:rsidRPr="00A07D9A">
        <w:rPr>
          <w:color w:val="000000" w:themeColor="text1"/>
        </w:rPr>
        <w:t>ante</w:t>
      </w:r>
      <w:r w:rsidRPr="00A07D9A">
        <w:rPr>
          <w:color w:val="000000" w:themeColor="text1"/>
        </w:rPr>
        <w:t>, l</w:t>
      </w:r>
      <w:r w:rsidR="00960545" w:rsidRPr="00A07D9A">
        <w:rPr>
          <w:color w:val="000000" w:themeColor="text1"/>
        </w:rPr>
        <w:t>o</w:t>
      </w:r>
      <w:r w:rsidRPr="00A07D9A">
        <w:rPr>
          <w:color w:val="000000" w:themeColor="text1"/>
        </w:rPr>
        <w:t xml:space="preserve">s cuales están </w:t>
      </w:r>
      <w:r w:rsidR="00F56FC7" w:rsidRPr="00A07D9A">
        <w:rPr>
          <w:color w:val="000000" w:themeColor="text1"/>
        </w:rPr>
        <w:t xml:space="preserve">orientadas a prevenir </w:t>
      </w:r>
      <w:r w:rsidR="00DE4502" w:rsidRPr="00A07D9A">
        <w:rPr>
          <w:color w:val="000000" w:themeColor="text1"/>
        </w:rPr>
        <w:t>concentraciones que tengan por objeto o efecto obstaculizar, disminuir, dañar o impedir la libre concurrencia o la competencia económica</w:t>
      </w:r>
      <w:r w:rsidR="00F56FC7" w:rsidRPr="00A07D9A">
        <w:rPr>
          <w:color w:val="000000" w:themeColor="text1"/>
        </w:rPr>
        <w:t xml:space="preserve"> </w:t>
      </w:r>
      <w:r w:rsidR="00DE4502" w:rsidRPr="00A07D9A">
        <w:rPr>
          <w:color w:val="000000" w:themeColor="text1"/>
        </w:rPr>
        <w:t xml:space="preserve">en los </w:t>
      </w:r>
      <w:r w:rsidR="00F56FC7" w:rsidRPr="00A07D9A">
        <w:rPr>
          <w:color w:val="000000" w:themeColor="text1"/>
        </w:rPr>
        <w:t>mercados</w:t>
      </w:r>
      <w:r w:rsidR="00A85D5D" w:rsidRPr="00A07D9A">
        <w:rPr>
          <w:color w:val="000000" w:themeColor="text1"/>
        </w:rPr>
        <w:t xml:space="preserve">, y </w:t>
      </w:r>
    </w:p>
    <w:p w14:paraId="72BA5157" w14:textId="77777777" w:rsidR="00A85D5D" w:rsidRPr="00A07D9A" w:rsidRDefault="00165D7C" w:rsidP="00A85D5D">
      <w:pPr>
        <w:pStyle w:val="Prrafodelista"/>
        <w:rPr>
          <w:color w:val="000000" w:themeColor="text1"/>
        </w:rPr>
      </w:pPr>
      <w:r w:rsidRPr="00A07D9A">
        <w:rPr>
          <w:color w:val="000000" w:themeColor="text1"/>
        </w:rPr>
        <w:t xml:space="preserve">Ex </w:t>
      </w:r>
      <w:r w:rsidR="00F56FC7" w:rsidRPr="00A07D9A">
        <w:rPr>
          <w:color w:val="000000" w:themeColor="text1"/>
        </w:rPr>
        <w:t>post</w:t>
      </w:r>
      <w:r w:rsidR="00D60BA0" w:rsidRPr="00A07D9A">
        <w:rPr>
          <w:color w:val="000000" w:themeColor="text1"/>
        </w:rPr>
        <w:t>,</w:t>
      </w:r>
      <w:r w:rsidR="00F56FC7" w:rsidRPr="00A07D9A">
        <w:rPr>
          <w:color w:val="000000" w:themeColor="text1"/>
        </w:rPr>
        <w:t xml:space="preserve"> que consiste en investigar </w:t>
      </w:r>
      <w:r w:rsidR="00466854" w:rsidRPr="00A07D9A">
        <w:rPr>
          <w:color w:val="000000" w:themeColor="text1"/>
        </w:rPr>
        <w:t>concentraciones ya realizadas</w:t>
      </w:r>
      <w:r w:rsidR="00487121" w:rsidRPr="00A07D9A">
        <w:rPr>
          <w:color w:val="000000" w:themeColor="text1"/>
        </w:rPr>
        <w:t>, en los casos que no hayan obtenido una autorización previa de la autoridad</w:t>
      </w:r>
      <w:r w:rsidR="00D60BA0" w:rsidRPr="00A07D9A">
        <w:rPr>
          <w:color w:val="000000" w:themeColor="text1"/>
        </w:rPr>
        <w:t>,</w:t>
      </w:r>
      <w:r w:rsidR="00487121" w:rsidRPr="00A07D9A">
        <w:rPr>
          <w:color w:val="000000" w:themeColor="text1"/>
        </w:rPr>
        <w:t xml:space="preserve"> o bien, en aquellos casos en que la resolución correspondiente se haya obtenido con base en información falsa o haya quedado sujeta a condiciones posteriores y las mismas no se hayan cumplido en el plazo establecido para tal efecto</w:t>
      </w:r>
      <w:r w:rsidR="00C25534" w:rsidRPr="00A07D9A">
        <w:rPr>
          <w:color w:val="000000" w:themeColor="text1"/>
        </w:rPr>
        <w:t xml:space="preserve"> y, en su caso, sancionar su realización en forma proporcional a la afectación a la libre concurrencia o la competencia económica en los mercados. </w:t>
      </w:r>
    </w:p>
    <w:p w14:paraId="70CF6C3E" w14:textId="77777777" w:rsidR="00C25534" w:rsidRPr="00A07D9A" w:rsidRDefault="00E625EF" w:rsidP="007A15B8">
      <w:pPr>
        <w:rPr>
          <w:color w:val="000000" w:themeColor="text1"/>
        </w:rPr>
      </w:pPr>
      <w:r w:rsidRPr="00A07D9A">
        <w:rPr>
          <w:color w:val="000000" w:themeColor="text1"/>
        </w:rPr>
        <w:t>El uso de controles</w:t>
      </w:r>
      <w:r w:rsidR="00960545" w:rsidRPr="00A07D9A">
        <w:rPr>
          <w:color w:val="000000" w:themeColor="text1"/>
        </w:rPr>
        <w:t xml:space="preserve"> sobre las concentraciones</w:t>
      </w:r>
      <w:r w:rsidRPr="00A07D9A">
        <w:rPr>
          <w:color w:val="000000" w:themeColor="text1"/>
        </w:rPr>
        <w:t xml:space="preserve"> es consistente con la práctica internacional. En México, como en otras jurisdicciones,</w:t>
      </w:r>
      <w:r w:rsidRPr="00A07D9A">
        <w:rPr>
          <w:rStyle w:val="Refdenotaalpie"/>
          <w:color w:val="000000" w:themeColor="text1"/>
        </w:rPr>
        <w:footnoteReference w:id="17"/>
      </w:r>
      <w:r w:rsidRPr="00A07D9A">
        <w:rPr>
          <w:color w:val="000000" w:themeColor="text1"/>
        </w:rPr>
        <w:t xml:space="preserve"> las autoridades de competencia económica </w:t>
      </w:r>
      <w:r w:rsidR="00960545" w:rsidRPr="00A07D9A">
        <w:rPr>
          <w:color w:val="000000" w:themeColor="text1"/>
        </w:rPr>
        <w:t>tienen facultades para</w:t>
      </w:r>
      <w:r w:rsidRPr="00A07D9A">
        <w:rPr>
          <w:color w:val="000000" w:themeColor="text1"/>
        </w:rPr>
        <w:t xml:space="preserve"> revisar determinadas concentraciones antes de su realización</w:t>
      </w:r>
      <w:r w:rsidR="003F12A5" w:rsidRPr="00A07D9A">
        <w:rPr>
          <w:color w:val="000000" w:themeColor="text1"/>
        </w:rPr>
        <w:t>.</w:t>
      </w:r>
    </w:p>
    <w:p w14:paraId="60786741" w14:textId="77777777" w:rsidR="006F0624" w:rsidRPr="00A07D9A" w:rsidRDefault="006F0624" w:rsidP="00A85D5D">
      <w:pPr>
        <w:rPr>
          <w:color w:val="000000" w:themeColor="text1"/>
        </w:rPr>
        <w:sectPr w:rsidR="006F0624" w:rsidRPr="00A07D9A" w:rsidSect="00030283">
          <w:pgSz w:w="12240" w:h="15840" w:code="1"/>
          <w:pgMar w:top="1417" w:right="1701" w:bottom="1417" w:left="1701" w:header="720" w:footer="720" w:gutter="0"/>
          <w:cols w:space="720"/>
          <w:noEndnote/>
          <w:docGrid w:linePitch="326"/>
        </w:sectPr>
      </w:pPr>
    </w:p>
    <w:p w14:paraId="061E15A3" w14:textId="77777777" w:rsidR="008C2DD4" w:rsidRPr="00A07D9A" w:rsidRDefault="00165D7C" w:rsidP="000529E2">
      <w:pPr>
        <w:pStyle w:val="Ttulo1"/>
        <w:rPr>
          <w:color w:val="000000" w:themeColor="text1"/>
        </w:rPr>
      </w:pPr>
      <w:bookmarkStart w:id="8" w:name="_Toc486519793"/>
      <w:r w:rsidRPr="00A07D9A">
        <w:rPr>
          <w:color w:val="000000" w:themeColor="text1"/>
        </w:rPr>
        <w:lastRenderedPageBreak/>
        <w:t>Definiciones relevantes</w:t>
      </w:r>
      <w:bookmarkEnd w:id="8"/>
    </w:p>
    <w:p w14:paraId="4B30CCB4" w14:textId="77777777" w:rsidR="00165D7C" w:rsidRPr="00A07D9A" w:rsidRDefault="00165D7C" w:rsidP="00165D7C">
      <w:pPr>
        <w:pStyle w:val="Ttulo2"/>
        <w:rPr>
          <w:color w:val="000000" w:themeColor="text1"/>
        </w:rPr>
      </w:pPr>
      <w:bookmarkStart w:id="9" w:name="_Toc486519794"/>
      <w:r w:rsidRPr="00A07D9A">
        <w:rPr>
          <w:color w:val="000000" w:themeColor="text1"/>
        </w:rPr>
        <w:t>2.1. Concentración</w:t>
      </w:r>
      <w:bookmarkEnd w:id="9"/>
    </w:p>
    <w:p w14:paraId="2A2A01F7" w14:textId="77777777" w:rsidR="000529E2" w:rsidRPr="00A07D9A" w:rsidRDefault="00466854" w:rsidP="000529E2">
      <w:pPr>
        <w:rPr>
          <w:color w:val="000000" w:themeColor="text1"/>
        </w:rPr>
      </w:pPr>
      <w:r w:rsidRPr="00A07D9A">
        <w:rPr>
          <w:color w:val="000000" w:themeColor="text1"/>
        </w:rPr>
        <w:t>L</w:t>
      </w:r>
      <w:r w:rsidR="00770A4F" w:rsidRPr="00A07D9A">
        <w:rPr>
          <w:color w:val="000000" w:themeColor="text1"/>
        </w:rPr>
        <w:t xml:space="preserve">a LFCE define lo que debe entenderse como una </w:t>
      </w:r>
      <w:r w:rsidR="001552C8" w:rsidRPr="00A07D9A">
        <w:rPr>
          <w:color w:val="000000" w:themeColor="text1"/>
        </w:rPr>
        <w:t>c</w:t>
      </w:r>
      <w:r w:rsidR="00770A4F" w:rsidRPr="00A07D9A">
        <w:rPr>
          <w:color w:val="000000" w:themeColor="text1"/>
        </w:rPr>
        <w:t>oncentración:</w:t>
      </w:r>
    </w:p>
    <w:p w14:paraId="289A1BC7" w14:textId="77777777" w:rsidR="000529E2" w:rsidRPr="00A07D9A" w:rsidRDefault="000529E2" w:rsidP="00455281">
      <w:pPr>
        <w:pStyle w:val="Cita"/>
        <w:rPr>
          <w:i w:val="0"/>
          <w:color w:val="000000" w:themeColor="text1"/>
        </w:rPr>
      </w:pPr>
      <w:r w:rsidRPr="00A07D9A">
        <w:rPr>
          <w:i w:val="0"/>
          <w:color w:val="000000" w:themeColor="text1"/>
        </w:rPr>
        <w:t>“</w:t>
      </w:r>
      <w:r w:rsidR="00487121" w:rsidRPr="00A07D9A">
        <w:rPr>
          <w:i w:val="0"/>
          <w:color w:val="000000" w:themeColor="text1"/>
        </w:rPr>
        <w:t>Artículo</w:t>
      </w:r>
      <w:r w:rsidRPr="00A07D9A">
        <w:rPr>
          <w:i w:val="0"/>
          <w:color w:val="000000" w:themeColor="text1"/>
        </w:rPr>
        <w:t xml:space="preserve"> 61.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w:t>
      </w:r>
      <w:r w:rsidR="00770A4F" w:rsidRPr="00A07D9A">
        <w:rPr>
          <w:i w:val="0"/>
          <w:color w:val="000000" w:themeColor="text1"/>
        </w:rPr>
        <w:t>.</w:t>
      </w:r>
      <w:r w:rsidRPr="00A07D9A">
        <w:rPr>
          <w:i w:val="0"/>
          <w:color w:val="000000" w:themeColor="text1"/>
        </w:rPr>
        <w:t>”</w:t>
      </w:r>
    </w:p>
    <w:p w14:paraId="3B2859DD" w14:textId="77777777" w:rsidR="00770A4F" w:rsidRPr="00A07D9A" w:rsidRDefault="001B4405" w:rsidP="000529E2">
      <w:pPr>
        <w:rPr>
          <w:color w:val="000000" w:themeColor="text1"/>
        </w:rPr>
      </w:pPr>
      <w:r w:rsidRPr="00A07D9A">
        <w:rPr>
          <w:color w:val="000000" w:themeColor="text1"/>
        </w:rPr>
        <w:t>L</w:t>
      </w:r>
      <w:r w:rsidR="00770A4F" w:rsidRPr="00A07D9A">
        <w:rPr>
          <w:color w:val="000000" w:themeColor="text1"/>
        </w:rPr>
        <w:t xml:space="preserve">os </w:t>
      </w:r>
      <w:r w:rsidR="000529E2" w:rsidRPr="00A07D9A">
        <w:rPr>
          <w:color w:val="000000" w:themeColor="text1"/>
        </w:rPr>
        <w:t>elemento</w:t>
      </w:r>
      <w:r w:rsidR="00770A4F" w:rsidRPr="00A07D9A">
        <w:rPr>
          <w:color w:val="000000" w:themeColor="text1"/>
        </w:rPr>
        <w:t>s</w:t>
      </w:r>
      <w:r w:rsidR="000529E2" w:rsidRPr="00A07D9A">
        <w:rPr>
          <w:color w:val="000000" w:themeColor="text1"/>
        </w:rPr>
        <w:t xml:space="preserve"> </w:t>
      </w:r>
      <w:r w:rsidR="00770A4F" w:rsidRPr="00A07D9A">
        <w:rPr>
          <w:color w:val="000000" w:themeColor="text1"/>
        </w:rPr>
        <w:t xml:space="preserve">más </w:t>
      </w:r>
      <w:r w:rsidR="000529E2" w:rsidRPr="00A07D9A">
        <w:rPr>
          <w:color w:val="000000" w:themeColor="text1"/>
        </w:rPr>
        <w:t>significativo</w:t>
      </w:r>
      <w:r w:rsidR="00770A4F" w:rsidRPr="00A07D9A">
        <w:rPr>
          <w:color w:val="000000" w:themeColor="text1"/>
        </w:rPr>
        <w:t xml:space="preserve">s </w:t>
      </w:r>
      <w:r w:rsidRPr="00A07D9A">
        <w:rPr>
          <w:color w:val="000000" w:themeColor="text1"/>
        </w:rPr>
        <w:t xml:space="preserve">que definen </w:t>
      </w:r>
      <w:r w:rsidR="00770A4F" w:rsidRPr="00A07D9A">
        <w:rPr>
          <w:color w:val="000000" w:themeColor="text1"/>
        </w:rPr>
        <w:t xml:space="preserve">una </w:t>
      </w:r>
      <w:r w:rsidR="000529E2" w:rsidRPr="00A07D9A">
        <w:rPr>
          <w:color w:val="000000" w:themeColor="text1"/>
        </w:rPr>
        <w:t>concentración</w:t>
      </w:r>
      <w:r w:rsidRPr="00A07D9A">
        <w:rPr>
          <w:color w:val="000000" w:themeColor="text1"/>
        </w:rPr>
        <w:t xml:space="preserve"> son</w:t>
      </w:r>
      <w:r w:rsidR="00770A4F" w:rsidRPr="00A07D9A">
        <w:rPr>
          <w:color w:val="000000" w:themeColor="text1"/>
        </w:rPr>
        <w:t>:</w:t>
      </w:r>
    </w:p>
    <w:p w14:paraId="160C5272" w14:textId="77777777" w:rsidR="000529E2" w:rsidRPr="00A07D9A" w:rsidRDefault="001B4405" w:rsidP="00466854">
      <w:pPr>
        <w:pStyle w:val="Prrafodelista"/>
        <w:rPr>
          <w:color w:val="000000" w:themeColor="text1"/>
        </w:rPr>
      </w:pPr>
      <w:r w:rsidRPr="00A07D9A">
        <w:rPr>
          <w:color w:val="000000" w:themeColor="text1"/>
        </w:rPr>
        <w:t>Que e</w:t>
      </w:r>
      <w:r w:rsidR="000529E2" w:rsidRPr="00A07D9A">
        <w:rPr>
          <w:color w:val="000000" w:themeColor="text1"/>
        </w:rPr>
        <w:t xml:space="preserve">s </w:t>
      </w:r>
      <w:r w:rsidR="000529E2" w:rsidRPr="00A07D9A">
        <w:rPr>
          <w:b/>
          <w:color w:val="000000" w:themeColor="text1"/>
        </w:rPr>
        <w:t>cualquier acto</w:t>
      </w:r>
      <w:r w:rsidR="000529E2" w:rsidRPr="00A07D9A">
        <w:rPr>
          <w:color w:val="000000" w:themeColor="text1"/>
        </w:rPr>
        <w:t xml:space="preserve"> </w:t>
      </w:r>
      <w:r w:rsidR="00770A4F" w:rsidRPr="00A07D9A">
        <w:rPr>
          <w:color w:val="000000" w:themeColor="text1"/>
        </w:rPr>
        <w:t xml:space="preserve">en el que se unan </w:t>
      </w:r>
      <w:r w:rsidR="000529E2" w:rsidRPr="00A07D9A">
        <w:rPr>
          <w:color w:val="000000" w:themeColor="text1"/>
        </w:rPr>
        <w:t>sociedades, asociaciones, acciones, partes sociales, fideicomisos o activos en general</w:t>
      </w:r>
      <w:r w:rsidR="00FD7F03" w:rsidRPr="00A07D9A">
        <w:rPr>
          <w:color w:val="000000" w:themeColor="text1"/>
        </w:rPr>
        <w:t>. De manera enunciativa, no limitativa, la LFCE señala que la “unión” puede ocurrir mediante una fusión o adquisición de control, y</w:t>
      </w:r>
    </w:p>
    <w:p w14:paraId="71C3AD1D" w14:textId="77777777" w:rsidR="00770A4F" w:rsidRPr="00A07D9A" w:rsidRDefault="00A60206" w:rsidP="00466854">
      <w:pPr>
        <w:pStyle w:val="Prrafodelista"/>
        <w:rPr>
          <w:color w:val="000000" w:themeColor="text1"/>
        </w:rPr>
      </w:pPr>
      <w:r w:rsidRPr="00A07D9A">
        <w:rPr>
          <w:color w:val="000000" w:themeColor="text1"/>
        </w:rPr>
        <w:t xml:space="preserve">Que debe realizarse entre </w:t>
      </w:r>
      <w:r w:rsidR="008A07CB" w:rsidRPr="00A07D9A">
        <w:rPr>
          <w:b/>
          <w:color w:val="000000" w:themeColor="text1"/>
        </w:rPr>
        <w:t>agentes económicos</w:t>
      </w:r>
      <w:r w:rsidR="00CF65FE" w:rsidRPr="00A07D9A">
        <w:rPr>
          <w:color w:val="000000" w:themeColor="text1"/>
        </w:rPr>
        <w:t>, lo que incluye pero no se limita a competidores, proveedores, clientes o cualesquiera otros agentes económicos.</w:t>
      </w:r>
    </w:p>
    <w:p w14:paraId="7AD5193C" w14:textId="77777777" w:rsidR="000529E2" w:rsidRPr="00A07D9A" w:rsidRDefault="000529E2" w:rsidP="000529E2">
      <w:pPr>
        <w:rPr>
          <w:color w:val="000000" w:themeColor="text1"/>
        </w:rPr>
      </w:pPr>
      <w:r w:rsidRPr="00A07D9A">
        <w:rPr>
          <w:color w:val="000000" w:themeColor="text1"/>
        </w:rPr>
        <w:t>Por ejemplo, las concentraciones</w:t>
      </w:r>
      <w:r w:rsidR="00D60BA0" w:rsidRPr="00A07D9A">
        <w:rPr>
          <w:color w:val="000000" w:themeColor="text1"/>
        </w:rPr>
        <w:t xml:space="preserve"> deben</w:t>
      </w:r>
      <w:r w:rsidRPr="00A07D9A">
        <w:rPr>
          <w:color w:val="000000" w:themeColor="text1"/>
        </w:rPr>
        <w:t xml:space="preserve"> </w:t>
      </w:r>
      <w:r w:rsidR="00487121" w:rsidRPr="00A07D9A">
        <w:rPr>
          <w:color w:val="000000" w:themeColor="text1"/>
        </w:rPr>
        <w:t>realizarse a través de cualquiera de los siguientes actos</w:t>
      </w:r>
      <w:r w:rsidRPr="00A07D9A">
        <w:rPr>
          <w:color w:val="000000" w:themeColor="text1"/>
        </w:rPr>
        <w:t>:</w:t>
      </w:r>
    </w:p>
    <w:p w14:paraId="5C35FB9F" w14:textId="77777777" w:rsidR="00677F3A" w:rsidRPr="00A07D9A" w:rsidRDefault="00677F3A" w:rsidP="003071C4">
      <w:pPr>
        <w:pStyle w:val="Prrafodelista"/>
        <w:numPr>
          <w:ilvl w:val="0"/>
          <w:numId w:val="61"/>
        </w:numPr>
        <w:spacing w:before="0" w:after="160" w:line="259" w:lineRule="auto"/>
        <w:ind w:left="567"/>
        <w:rPr>
          <w:color w:val="000000" w:themeColor="text1"/>
        </w:rPr>
      </w:pPr>
      <w:r w:rsidRPr="00A07D9A">
        <w:rPr>
          <w:color w:val="000000" w:themeColor="text1"/>
        </w:rPr>
        <w:t>Adquisiciones o compras, totales o parciales, de control o minoritarias, de acciones, partes sociales, unidades de participación y/o activos, incluyendo títulos de concesión;</w:t>
      </w:r>
      <w:r w:rsidRPr="00A07D9A">
        <w:rPr>
          <w:rStyle w:val="Refdenotaalpie"/>
          <w:color w:val="000000" w:themeColor="text1"/>
        </w:rPr>
        <w:footnoteReference w:id="18"/>
      </w:r>
    </w:p>
    <w:p w14:paraId="1E02E119" w14:textId="77777777" w:rsidR="00677F3A" w:rsidRPr="00A07D9A" w:rsidRDefault="00677F3A" w:rsidP="003071C4">
      <w:pPr>
        <w:pStyle w:val="Prrafodelista"/>
        <w:numPr>
          <w:ilvl w:val="0"/>
          <w:numId w:val="61"/>
        </w:numPr>
        <w:spacing w:before="0" w:after="160" w:line="259" w:lineRule="auto"/>
        <w:ind w:left="567"/>
        <w:rPr>
          <w:color w:val="000000" w:themeColor="text1"/>
        </w:rPr>
      </w:pPr>
      <w:r w:rsidRPr="00A07D9A">
        <w:rPr>
          <w:color w:val="000000" w:themeColor="text1"/>
        </w:rPr>
        <w:t xml:space="preserve">Coinversiones que implican la asociación de dos o más </w:t>
      </w:r>
      <w:r w:rsidR="00FC14BD" w:rsidRPr="00A07D9A">
        <w:rPr>
          <w:color w:val="000000" w:themeColor="text1"/>
        </w:rPr>
        <w:t>agentes económicos</w:t>
      </w:r>
      <w:r w:rsidRPr="00A07D9A">
        <w:rPr>
          <w:color w:val="000000" w:themeColor="text1"/>
        </w:rPr>
        <w:t xml:space="preserve"> a través de una sociedad que funciona como vehículo de coinversión, y que puede implicar la aportación de sociedades</w:t>
      </w:r>
      <w:r w:rsidR="008759DC" w:rsidRPr="00A07D9A">
        <w:rPr>
          <w:color w:val="000000" w:themeColor="text1"/>
        </w:rPr>
        <w:t>, acciones</w:t>
      </w:r>
      <w:r w:rsidRPr="00A07D9A">
        <w:rPr>
          <w:color w:val="000000" w:themeColor="text1"/>
        </w:rPr>
        <w:t xml:space="preserve"> y/o activos a ese vehículo;</w:t>
      </w:r>
      <w:r w:rsidRPr="00A07D9A">
        <w:rPr>
          <w:rStyle w:val="Refdenotaalpie"/>
          <w:color w:val="000000" w:themeColor="text1"/>
        </w:rPr>
        <w:footnoteReference w:id="19"/>
      </w:r>
    </w:p>
    <w:p w14:paraId="6F8249DB" w14:textId="77777777" w:rsidR="00677F3A" w:rsidRPr="00A07D9A" w:rsidRDefault="00677F3A" w:rsidP="003071C4">
      <w:pPr>
        <w:pStyle w:val="Prrafodelista"/>
        <w:numPr>
          <w:ilvl w:val="0"/>
          <w:numId w:val="61"/>
        </w:numPr>
        <w:spacing w:before="0" w:after="160" w:line="259" w:lineRule="auto"/>
        <w:ind w:left="567"/>
        <w:rPr>
          <w:color w:val="000000" w:themeColor="text1"/>
        </w:rPr>
      </w:pPr>
      <w:r w:rsidRPr="00A07D9A">
        <w:rPr>
          <w:color w:val="000000" w:themeColor="text1"/>
        </w:rPr>
        <w:t xml:space="preserve">Fusiones, en las que el </w:t>
      </w:r>
      <w:r w:rsidR="00536ABF" w:rsidRPr="00A07D9A">
        <w:rPr>
          <w:color w:val="000000" w:themeColor="text1"/>
        </w:rPr>
        <w:t>Agente Económico</w:t>
      </w:r>
      <w:r w:rsidRPr="00A07D9A">
        <w:rPr>
          <w:color w:val="000000" w:themeColor="text1"/>
        </w:rPr>
        <w:t xml:space="preserve"> fusionado desaparece y el </w:t>
      </w:r>
      <w:r w:rsidR="00536ABF" w:rsidRPr="00A07D9A">
        <w:rPr>
          <w:color w:val="000000" w:themeColor="text1"/>
        </w:rPr>
        <w:t>Agente Económico</w:t>
      </w:r>
      <w:r w:rsidRPr="00A07D9A">
        <w:rPr>
          <w:color w:val="000000" w:themeColor="text1"/>
        </w:rPr>
        <w:t xml:space="preserve"> que subsiste como sociedad </w:t>
      </w:r>
      <w:proofErr w:type="spellStart"/>
      <w:r w:rsidRPr="00A07D9A">
        <w:rPr>
          <w:color w:val="000000" w:themeColor="text1"/>
        </w:rPr>
        <w:t>fusionante</w:t>
      </w:r>
      <w:proofErr w:type="spellEnd"/>
      <w:r w:rsidRPr="00A07D9A">
        <w:rPr>
          <w:color w:val="000000" w:themeColor="text1"/>
        </w:rPr>
        <w:t xml:space="preserve"> adquiere todos los activos </w:t>
      </w:r>
      <w:r w:rsidRPr="00A07D9A">
        <w:rPr>
          <w:color w:val="000000" w:themeColor="text1"/>
        </w:rPr>
        <w:lastRenderedPageBreak/>
        <w:t xml:space="preserve">y obligaciones del </w:t>
      </w:r>
      <w:r w:rsidR="00536ABF" w:rsidRPr="00A07D9A">
        <w:rPr>
          <w:color w:val="000000" w:themeColor="text1"/>
        </w:rPr>
        <w:t>Agente Económico</w:t>
      </w:r>
      <w:r w:rsidRPr="00A07D9A">
        <w:rPr>
          <w:color w:val="000000" w:themeColor="text1"/>
        </w:rPr>
        <w:t xml:space="preserve"> fusionado (fusión por incorporación)</w:t>
      </w:r>
      <w:r w:rsidR="00536ABF" w:rsidRPr="00A07D9A">
        <w:rPr>
          <w:color w:val="000000" w:themeColor="text1"/>
        </w:rPr>
        <w:t>;</w:t>
      </w:r>
      <w:r w:rsidRPr="00A07D9A">
        <w:rPr>
          <w:rStyle w:val="Refdenotaalpie"/>
          <w:color w:val="000000" w:themeColor="text1"/>
        </w:rPr>
        <w:footnoteReference w:id="20"/>
      </w:r>
      <w:r w:rsidRPr="00A07D9A">
        <w:rPr>
          <w:color w:val="000000" w:themeColor="text1"/>
        </w:rPr>
        <w:t xml:space="preserve"> o en la que los </w:t>
      </w:r>
      <w:r w:rsidR="00FC14BD" w:rsidRPr="00A07D9A">
        <w:rPr>
          <w:color w:val="000000" w:themeColor="text1"/>
        </w:rPr>
        <w:t>agentes económicos</w:t>
      </w:r>
      <w:r w:rsidRPr="00A07D9A">
        <w:rPr>
          <w:color w:val="000000" w:themeColor="text1"/>
        </w:rPr>
        <w:t xml:space="preserve"> participantes desaparecen y transfieren todos sus activos y obligaciones a una nueva so</w:t>
      </w:r>
      <w:r w:rsidR="00536ABF" w:rsidRPr="00A07D9A">
        <w:rPr>
          <w:color w:val="000000" w:themeColor="text1"/>
        </w:rPr>
        <w:t>ciedad (fusión por integración);</w:t>
      </w:r>
    </w:p>
    <w:p w14:paraId="7458453A" w14:textId="77777777" w:rsidR="00677F3A" w:rsidRPr="00A07D9A" w:rsidRDefault="00536ABF" w:rsidP="003071C4">
      <w:pPr>
        <w:pStyle w:val="Prrafodelista"/>
        <w:numPr>
          <w:ilvl w:val="0"/>
          <w:numId w:val="61"/>
        </w:numPr>
        <w:spacing w:before="0" w:after="160" w:line="259" w:lineRule="auto"/>
        <w:ind w:left="567"/>
        <w:rPr>
          <w:color w:val="000000" w:themeColor="text1"/>
        </w:rPr>
      </w:pPr>
      <w:r w:rsidRPr="00A07D9A">
        <w:rPr>
          <w:color w:val="000000" w:themeColor="text1"/>
        </w:rPr>
        <w:t>M</w:t>
      </w:r>
      <w:r w:rsidR="00677F3A" w:rsidRPr="00A07D9A">
        <w:rPr>
          <w:color w:val="000000" w:themeColor="text1"/>
        </w:rPr>
        <w:t>odificaciones en la estructur</w:t>
      </w:r>
      <w:r w:rsidRPr="00A07D9A">
        <w:rPr>
          <w:color w:val="000000" w:themeColor="text1"/>
        </w:rPr>
        <w:t>a accionaria del capital social,</w:t>
      </w:r>
      <w:r w:rsidR="00677F3A" w:rsidRPr="00A07D9A">
        <w:rPr>
          <w:rStyle w:val="Refdenotaalpie"/>
          <w:color w:val="000000" w:themeColor="text1"/>
        </w:rPr>
        <w:footnoteReference w:id="21"/>
      </w:r>
      <w:r w:rsidRPr="00A07D9A">
        <w:rPr>
          <w:color w:val="000000" w:themeColor="text1"/>
        </w:rPr>
        <w:t xml:space="preserve"> incluyendo ampliaciones o reducciones;</w:t>
      </w:r>
    </w:p>
    <w:p w14:paraId="7964A6D8" w14:textId="77777777" w:rsidR="001C48E5" w:rsidRPr="00A07D9A" w:rsidRDefault="00677F3A" w:rsidP="003071C4">
      <w:pPr>
        <w:numPr>
          <w:ilvl w:val="0"/>
          <w:numId w:val="61"/>
        </w:numPr>
        <w:spacing w:before="0" w:after="160" w:line="259" w:lineRule="auto"/>
        <w:ind w:left="567"/>
        <w:rPr>
          <w:color w:val="000000" w:themeColor="text1"/>
        </w:rPr>
      </w:pPr>
      <w:r w:rsidRPr="00A07D9A">
        <w:rPr>
          <w:color w:val="000000" w:themeColor="text1"/>
        </w:rPr>
        <w:t xml:space="preserve">Adquisiciones de American </w:t>
      </w:r>
      <w:proofErr w:type="spellStart"/>
      <w:r w:rsidRPr="00A07D9A">
        <w:rPr>
          <w:color w:val="000000" w:themeColor="text1"/>
        </w:rPr>
        <w:t>Depositary</w:t>
      </w:r>
      <w:proofErr w:type="spellEnd"/>
      <w:r w:rsidRPr="00A07D9A">
        <w:rPr>
          <w:color w:val="000000" w:themeColor="text1"/>
        </w:rPr>
        <w:t xml:space="preserve"> </w:t>
      </w:r>
      <w:proofErr w:type="spellStart"/>
      <w:r w:rsidRPr="00A07D9A">
        <w:rPr>
          <w:color w:val="000000" w:themeColor="text1"/>
        </w:rPr>
        <w:t>Receipts</w:t>
      </w:r>
      <w:proofErr w:type="spellEnd"/>
      <w:r w:rsidRPr="00A07D9A">
        <w:rPr>
          <w:color w:val="000000" w:themeColor="text1"/>
        </w:rPr>
        <w:t xml:space="preserve"> ("</w:t>
      </w:r>
      <w:proofErr w:type="spellStart"/>
      <w:r w:rsidRPr="00A07D9A">
        <w:rPr>
          <w:color w:val="000000" w:themeColor="text1"/>
        </w:rPr>
        <w:t>ADRs</w:t>
      </w:r>
      <w:proofErr w:type="spellEnd"/>
      <w:r w:rsidRPr="00A07D9A">
        <w:rPr>
          <w:color w:val="000000" w:themeColor="text1"/>
        </w:rPr>
        <w:t xml:space="preserve">") que </w:t>
      </w:r>
      <w:r w:rsidRPr="00A07D9A">
        <w:rPr>
          <w:rFonts w:cs="Arial"/>
          <w:color w:val="000000" w:themeColor="text1"/>
          <w:shd w:val="clear" w:color="auto" w:fill="FFFFFF"/>
        </w:rPr>
        <w:t>son certificados negociables</w:t>
      </w:r>
      <w:r w:rsidR="00EB1630" w:rsidRPr="00A07D9A">
        <w:rPr>
          <w:rFonts w:cs="Arial"/>
          <w:color w:val="000000" w:themeColor="text1"/>
          <w:shd w:val="clear" w:color="auto" w:fill="FFFFFF"/>
        </w:rPr>
        <w:t xml:space="preserve"> emitidos por un banco</w:t>
      </w:r>
      <w:r w:rsidRPr="00A07D9A">
        <w:rPr>
          <w:rFonts w:cs="Arial"/>
          <w:color w:val="000000" w:themeColor="text1"/>
          <w:shd w:val="clear" w:color="auto" w:fill="FFFFFF"/>
        </w:rPr>
        <w:t xml:space="preserve"> en los Estados Unidos de América y representan la propiedad de acciones de una sociedad constituida fuera de ese país; pero que les otorgan a sus tenedores </w:t>
      </w:r>
      <w:r w:rsidRPr="00A07D9A">
        <w:rPr>
          <w:color w:val="000000" w:themeColor="text1"/>
          <w:shd w:val="clear" w:color="auto" w:fill="FFFFFF"/>
        </w:rPr>
        <w:t>todos los derechos y obligaciones, incluidos los de dividendo y voto, de esas acciones,</w:t>
      </w:r>
      <w:r w:rsidR="0054002D" w:rsidRPr="00A07D9A">
        <w:rPr>
          <w:color w:val="000000" w:themeColor="text1"/>
          <w:shd w:val="clear" w:color="auto" w:fill="FFFFFF"/>
        </w:rPr>
        <w:t xml:space="preserve"> que pueden ejercer </w:t>
      </w:r>
      <w:r w:rsidR="00CB3CE8" w:rsidRPr="00A07D9A">
        <w:rPr>
          <w:color w:val="000000" w:themeColor="text1"/>
          <w:shd w:val="clear" w:color="auto" w:fill="FFFFFF"/>
        </w:rPr>
        <w:t xml:space="preserve">por sí o </w:t>
      </w:r>
      <w:r w:rsidR="0054002D" w:rsidRPr="00A07D9A">
        <w:rPr>
          <w:color w:val="000000" w:themeColor="text1"/>
          <w:shd w:val="clear" w:color="auto" w:fill="FFFFFF"/>
        </w:rPr>
        <w:t>a través de la institución financiera tenedora de los mismos</w:t>
      </w:r>
      <w:r w:rsidR="00CB3CE8" w:rsidRPr="00A07D9A">
        <w:rPr>
          <w:color w:val="000000" w:themeColor="text1"/>
          <w:shd w:val="clear" w:color="auto" w:fill="FFFFFF"/>
        </w:rPr>
        <w:t>,</w:t>
      </w:r>
      <w:r w:rsidRPr="00A07D9A">
        <w:rPr>
          <w:color w:val="000000" w:themeColor="text1"/>
          <w:shd w:val="clear" w:color="auto" w:fill="FFFFFF"/>
        </w:rPr>
        <w:t xml:space="preserve"> y que además pueden ser canjeados por las acciones en cualquier momento a solicitud del tenedor</w:t>
      </w:r>
      <w:r w:rsidR="00536ABF" w:rsidRPr="00A07D9A">
        <w:rPr>
          <w:color w:val="000000" w:themeColor="text1"/>
        </w:rPr>
        <w:t>;</w:t>
      </w:r>
      <w:r w:rsidRPr="00A07D9A">
        <w:rPr>
          <w:rStyle w:val="Refdenotaalpie"/>
          <w:color w:val="000000" w:themeColor="text1"/>
        </w:rPr>
        <w:footnoteReference w:id="22"/>
      </w:r>
    </w:p>
    <w:p w14:paraId="2561B883" w14:textId="77777777" w:rsidR="001C48E5" w:rsidRPr="00A07D9A" w:rsidRDefault="001C48E5" w:rsidP="00F440B0">
      <w:pPr>
        <w:spacing w:before="0" w:after="160" w:line="259" w:lineRule="auto"/>
        <w:ind w:left="567"/>
        <w:rPr>
          <w:color w:val="000000" w:themeColor="text1"/>
        </w:rPr>
      </w:pPr>
      <w:r w:rsidRPr="00A07D9A">
        <w:rPr>
          <w:color w:val="000000" w:themeColor="text1"/>
        </w:rPr>
        <w:t xml:space="preserve">En la práctica, se identifica que hay distintos tipos de </w:t>
      </w:r>
      <w:proofErr w:type="spellStart"/>
      <w:r w:rsidRPr="00A07D9A">
        <w:rPr>
          <w:color w:val="000000" w:themeColor="text1"/>
        </w:rPr>
        <w:t>ADRs</w:t>
      </w:r>
      <w:proofErr w:type="spellEnd"/>
      <w:r w:rsidRPr="00A07D9A">
        <w:rPr>
          <w:color w:val="000000" w:themeColor="text1"/>
        </w:rPr>
        <w:t xml:space="preserve"> dependiendo de la relación y términos contractuales que los rigen. </w:t>
      </w:r>
    </w:p>
    <w:p w14:paraId="30F03FCD" w14:textId="77777777" w:rsidR="001C48E5" w:rsidRPr="00A07D9A" w:rsidRDefault="001C48E5" w:rsidP="00F440B0">
      <w:pPr>
        <w:spacing w:before="0" w:after="160" w:line="259" w:lineRule="auto"/>
        <w:ind w:left="567"/>
        <w:rPr>
          <w:color w:val="000000" w:themeColor="text1"/>
        </w:rPr>
      </w:pPr>
      <w:r w:rsidRPr="00A07D9A">
        <w:rPr>
          <w:color w:val="000000" w:themeColor="text1"/>
        </w:rPr>
        <w:t xml:space="preserve">Para efectos de </w:t>
      </w:r>
      <w:r w:rsidR="00FD637F" w:rsidRPr="00A07D9A">
        <w:rPr>
          <w:color w:val="000000" w:themeColor="text1"/>
        </w:rPr>
        <w:t>concentraciones</w:t>
      </w:r>
      <w:r w:rsidRPr="00A07D9A">
        <w:rPr>
          <w:color w:val="000000" w:themeColor="text1"/>
        </w:rPr>
        <w:t xml:space="preserve">, </w:t>
      </w:r>
      <w:r w:rsidR="00034E0E" w:rsidRPr="00A07D9A">
        <w:rPr>
          <w:color w:val="000000" w:themeColor="text1"/>
        </w:rPr>
        <w:t>puede</w:t>
      </w:r>
      <w:r w:rsidRPr="00A07D9A">
        <w:rPr>
          <w:color w:val="000000" w:themeColor="text1"/>
        </w:rPr>
        <w:t xml:space="preserve"> considerarse que es necesario notificar la adquisición de </w:t>
      </w:r>
      <w:proofErr w:type="spellStart"/>
      <w:r w:rsidRPr="00A07D9A">
        <w:rPr>
          <w:color w:val="000000" w:themeColor="text1"/>
        </w:rPr>
        <w:t>ADRs</w:t>
      </w:r>
      <w:proofErr w:type="spellEnd"/>
      <w:r w:rsidRPr="00A07D9A">
        <w:rPr>
          <w:color w:val="000000" w:themeColor="text1"/>
        </w:rPr>
        <w:t xml:space="preserve"> en aquellos casos en que </w:t>
      </w:r>
      <w:r w:rsidR="00F440B0" w:rsidRPr="00A07D9A">
        <w:rPr>
          <w:color w:val="000000" w:themeColor="text1"/>
        </w:rPr>
        <w:t xml:space="preserve">habiendo superado los umbrales a que se refiere el artículo 86 de la LFCE, </w:t>
      </w:r>
      <w:r w:rsidR="00434E11" w:rsidRPr="00A07D9A">
        <w:rPr>
          <w:color w:val="000000" w:themeColor="text1"/>
        </w:rPr>
        <w:t xml:space="preserve">previamente </w:t>
      </w:r>
      <w:r w:rsidRPr="00A07D9A">
        <w:rPr>
          <w:color w:val="000000" w:themeColor="text1"/>
        </w:rPr>
        <w:t>a su canje, éstos concedan al tenedor derechos de voto extendidos (</w:t>
      </w:r>
      <w:r w:rsidR="00105E2E" w:rsidRPr="00A07D9A">
        <w:rPr>
          <w:color w:val="000000" w:themeColor="text1"/>
        </w:rPr>
        <w:t xml:space="preserve">to </w:t>
      </w:r>
      <w:proofErr w:type="spellStart"/>
      <w:r w:rsidRPr="00A07D9A">
        <w:rPr>
          <w:color w:val="000000" w:themeColor="text1"/>
        </w:rPr>
        <w:t>extend</w:t>
      </w:r>
      <w:proofErr w:type="spellEnd"/>
      <w:r w:rsidRPr="00A07D9A">
        <w:rPr>
          <w:color w:val="000000" w:themeColor="text1"/>
        </w:rPr>
        <w:t xml:space="preserve"> </w:t>
      </w:r>
      <w:proofErr w:type="spellStart"/>
      <w:r w:rsidRPr="00A07D9A">
        <w:rPr>
          <w:color w:val="000000" w:themeColor="text1"/>
        </w:rPr>
        <w:t>voting</w:t>
      </w:r>
      <w:proofErr w:type="spellEnd"/>
      <w:r w:rsidRPr="00A07D9A">
        <w:rPr>
          <w:color w:val="000000" w:themeColor="text1"/>
        </w:rPr>
        <w:t xml:space="preserve"> </w:t>
      </w:r>
      <w:proofErr w:type="spellStart"/>
      <w:r w:rsidRPr="00A07D9A">
        <w:rPr>
          <w:color w:val="000000" w:themeColor="text1"/>
        </w:rPr>
        <w:t>rights</w:t>
      </w:r>
      <w:proofErr w:type="spellEnd"/>
      <w:r w:rsidRPr="00A07D9A">
        <w:rPr>
          <w:color w:val="000000" w:themeColor="text1"/>
        </w:rPr>
        <w:t>); es decir, concedan derechos a través de los cuales el tenedor pueda instruir al banco depositario administrador la forma de votar como tenedor de acciones.</w:t>
      </w:r>
    </w:p>
    <w:p w14:paraId="0BCC5685" w14:textId="77777777" w:rsidR="001C48E5" w:rsidRPr="00A07D9A" w:rsidRDefault="001C48E5" w:rsidP="00F440B0">
      <w:pPr>
        <w:spacing w:before="0" w:after="160" w:line="259" w:lineRule="auto"/>
        <w:ind w:left="567"/>
        <w:rPr>
          <w:color w:val="000000" w:themeColor="text1"/>
        </w:rPr>
      </w:pPr>
      <w:r w:rsidRPr="00A07D9A">
        <w:rPr>
          <w:color w:val="000000" w:themeColor="text1"/>
        </w:rPr>
        <w:t xml:space="preserve">Por el contrario, no </w:t>
      </w:r>
      <w:r w:rsidR="00034E0E" w:rsidRPr="00A07D9A">
        <w:rPr>
          <w:color w:val="000000" w:themeColor="text1"/>
        </w:rPr>
        <w:t>sería necesario</w:t>
      </w:r>
      <w:r w:rsidRPr="00A07D9A">
        <w:rPr>
          <w:color w:val="000000" w:themeColor="text1"/>
        </w:rPr>
        <w:t xml:space="preserve"> notificarse cuando la adquisición no conceda al tenedor ningún tipo de derechos semejantes al de un accionista previo al canje de tales títulos, sea ejercido éste por propia cuenta o a través del banco depositario (i.e. </w:t>
      </w:r>
      <w:proofErr w:type="spellStart"/>
      <w:r w:rsidRPr="00A07D9A">
        <w:rPr>
          <w:color w:val="000000" w:themeColor="text1"/>
        </w:rPr>
        <w:t>extend</w:t>
      </w:r>
      <w:proofErr w:type="spellEnd"/>
      <w:r w:rsidRPr="00A07D9A">
        <w:rPr>
          <w:color w:val="000000" w:themeColor="text1"/>
        </w:rPr>
        <w:t xml:space="preserve"> </w:t>
      </w:r>
      <w:proofErr w:type="spellStart"/>
      <w:r w:rsidRPr="00A07D9A">
        <w:rPr>
          <w:color w:val="000000" w:themeColor="text1"/>
        </w:rPr>
        <w:t>voting</w:t>
      </w:r>
      <w:proofErr w:type="spellEnd"/>
      <w:r w:rsidRPr="00A07D9A">
        <w:rPr>
          <w:color w:val="000000" w:themeColor="text1"/>
        </w:rPr>
        <w:t xml:space="preserve"> </w:t>
      </w:r>
      <w:proofErr w:type="spellStart"/>
      <w:r w:rsidRPr="00A07D9A">
        <w:rPr>
          <w:color w:val="000000" w:themeColor="text1"/>
        </w:rPr>
        <w:t>rights</w:t>
      </w:r>
      <w:proofErr w:type="spellEnd"/>
      <w:r w:rsidRPr="00A07D9A">
        <w:rPr>
          <w:color w:val="000000" w:themeColor="text1"/>
        </w:rPr>
        <w:t xml:space="preserve">). </w:t>
      </w:r>
      <w:r w:rsidR="00F440B0" w:rsidRPr="00A07D9A">
        <w:rPr>
          <w:color w:val="000000" w:themeColor="text1"/>
        </w:rPr>
        <w:t xml:space="preserve">En este caso, </w:t>
      </w:r>
      <w:r w:rsidR="00055BB4" w:rsidRPr="00A07D9A">
        <w:rPr>
          <w:color w:val="000000" w:themeColor="text1"/>
        </w:rPr>
        <w:t>únicamente cuando</w:t>
      </w:r>
      <w:r w:rsidR="00F440B0" w:rsidRPr="00A07D9A">
        <w:rPr>
          <w:color w:val="000000" w:themeColor="text1"/>
        </w:rPr>
        <w:t xml:space="preserve"> los </w:t>
      </w:r>
      <w:proofErr w:type="spellStart"/>
      <w:r w:rsidR="00F440B0" w:rsidRPr="00A07D9A">
        <w:rPr>
          <w:color w:val="000000" w:themeColor="text1"/>
        </w:rPr>
        <w:t>ADRs</w:t>
      </w:r>
      <w:proofErr w:type="spellEnd"/>
      <w:r w:rsidR="00F440B0" w:rsidRPr="00A07D9A">
        <w:rPr>
          <w:color w:val="000000" w:themeColor="text1"/>
        </w:rPr>
        <w:t xml:space="preserve"> se canjeen por acciones, la operación ser</w:t>
      </w:r>
      <w:r w:rsidR="00034E0E" w:rsidRPr="00A07D9A">
        <w:rPr>
          <w:color w:val="000000" w:themeColor="text1"/>
        </w:rPr>
        <w:t>ía</w:t>
      </w:r>
      <w:r w:rsidR="00F440B0" w:rsidRPr="00A07D9A">
        <w:rPr>
          <w:color w:val="000000" w:themeColor="text1"/>
        </w:rPr>
        <w:t xml:space="preserve"> notificada previamente en caso de que se superen los umbrales a que se refiere el artículo 86 de la LFCE.</w:t>
      </w:r>
    </w:p>
    <w:p w14:paraId="391FE4E3" w14:textId="77777777" w:rsidR="001C48E5" w:rsidRPr="00A07D9A" w:rsidRDefault="001C48E5" w:rsidP="003071C4">
      <w:pPr>
        <w:spacing w:before="0" w:after="160" w:line="259" w:lineRule="auto"/>
        <w:ind w:left="567"/>
        <w:rPr>
          <w:color w:val="000000" w:themeColor="text1"/>
        </w:rPr>
      </w:pPr>
      <w:r w:rsidRPr="00A07D9A">
        <w:rPr>
          <w:color w:val="000000" w:themeColor="text1"/>
        </w:rPr>
        <w:lastRenderedPageBreak/>
        <w:t xml:space="preserve">En conclusión, los supuestos en adquisición de </w:t>
      </w:r>
      <w:proofErr w:type="spellStart"/>
      <w:r w:rsidRPr="00A07D9A">
        <w:rPr>
          <w:color w:val="000000" w:themeColor="text1"/>
        </w:rPr>
        <w:t>ADRs</w:t>
      </w:r>
      <w:proofErr w:type="spellEnd"/>
      <w:r w:rsidRPr="00A07D9A">
        <w:rPr>
          <w:color w:val="000000" w:themeColor="text1"/>
        </w:rPr>
        <w:t xml:space="preserve"> se evaluarán caso por caso y derivado de las condiciones y términos en los cuales estos títulos se hayan adquirido.</w:t>
      </w:r>
    </w:p>
    <w:p w14:paraId="179CB7A0" w14:textId="77777777" w:rsidR="00677F3A" w:rsidRPr="00A07D9A" w:rsidRDefault="00677F3A" w:rsidP="003071C4">
      <w:pPr>
        <w:pStyle w:val="Prrafodelista"/>
        <w:numPr>
          <w:ilvl w:val="0"/>
          <w:numId w:val="61"/>
        </w:numPr>
        <w:spacing w:before="0" w:after="160" w:line="259" w:lineRule="auto"/>
        <w:ind w:left="567"/>
        <w:rPr>
          <w:color w:val="000000" w:themeColor="text1"/>
        </w:rPr>
      </w:pPr>
      <w:r w:rsidRPr="00A07D9A">
        <w:rPr>
          <w:color w:val="000000" w:themeColor="text1"/>
        </w:rPr>
        <w:t>Cesiones, donaciones y enajen</w:t>
      </w:r>
      <w:r w:rsidR="00536ABF" w:rsidRPr="00A07D9A">
        <w:rPr>
          <w:color w:val="000000" w:themeColor="text1"/>
        </w:rPr>
        <w:t>aciones de acciones</w:t>
      </w:r>
      <w:r w:rsidR="003E700D" w:rsidRPr="00A07D9A">
        <w:rPr>
          <w:color w:val="000000" w:themeColor="text1"/>
        </w:rPr>
        <w:t>, partes sociales</w:t>
      </w:r>
      <w:r w:rsidR="00536ABF" w:rsidRPr="00A07D9A">
        <w:rPr>
          <w:color w:val="000000" w:themeColor="text1"/>
        </w:rPr>
        <w:t xml:space="preserve"> y/o activos</w:t>
      </w:r>
      <w:r w:rsidR="00147553" w:rsidRPr="00A07D9A">
        <w:rPr>
          <w:color w:val="000000" w:themeColor="text1"/>
        </w:rPr>
        <w:t>;</w:t>
      </w:r>
      <w:r w:rsidRPr="00A07D9A">
        <w:rPr>
          <w:rStyle w:val="Refdenotaalpie"/>
          <w:color w:val="000000" w:themeColor="text1"/>
        </w:rPr>
        <w:footnoteReference w:id="23"/>
      </w:r>
      <w:r w:rsidR="00536ABF" w:rsidRPr="00A07D9A">
        <w:rPr>
          <w:color w:val="000000" w:themeColor="text1"/>
        </w:rPr>
        <w:t xml:space="preserve"> </w:t>
      </w:r>
    </w:p>
    <w:p w14:paraId="723D42D3" w14:textId="77777777" w:rsidR="00677F3A" w:rsidRPr="00A07D9A" w:rsidRDefault="00677F3A" w:rsidP="003071C4">
      <w:pPr>
        <w:pStyle w:val="Prrafodelista"/>
        <w:numPr>
          <w:ilvl w:val="0"/>
          <w:numId w:val="61"/>
        </w:numPr>
        <w:spacing w:before="0" w:after="160" w:line="259" w:lineRule="auto"/>
        <w:ind w:left="567"/>
        <w:rPr>
          <w:color w:val="000000" w:themeColor="text1"/>
        </w:rPr>
      </w:pPr>
      <w:r w:rsidRPr="00A07D9A">
        <w:rPr>
          <w:color w:val="000000" w:themeColor="text1"/>
        </w:rPr>
        <w:t>Intercambio</w:t>
      </w:r>
      <w:r w:rsidR="00533EA7" w:rsidRPr="00A07D9A">
        <w:rPr>
          <w:color w:val="000000" w:themeColor="text1"/>
        </w:rPr>
        <w:t>s</w:t>
      </w:r>
      <w:r w:rsidRPr="00A07D9A">
        <w:rPr>
          <w:color w:val="000000" w:themeColor="text1"/>
        </w:rPr>
        <w:t xml:space="preserve"> o permutas de acciones</w:t>
      </w:r>
      <w:r w:rsidR="003E700D" w:rsidRPr="00A07D9A">
        <w:rPr>
          <w:color w:val="000000" w:themeColor="text1"/>
        </w:rPr>
        <w:t>, partes sociales</w:t>
      </w:r>
      <w:r w:rsidRPr="00A07D9A">
        <w:rPr>
          <w:color w:val="000000" w:themeColor="text1"/>
        </w:rPr>
        <w:t xml:space="preserve"> y/o activos</w:t>
      </w:r>
      <w:r w:rsidR="00147553" w:rsidRPr="00A07D9A">
        <w:rPr>
          <w:color w:val="000000" w:themeColor="text1"/>
        </w:rPr>
        <w:t>;</w:t>
      </w:r>
      <w:r w:rsidRPr="00A07D9A">
        <w:rPr>
          <w:rStyle w:val="Refdenotaalpie"/>
          <w:color w:val="000000" w:themeColor="text1"/>
        </w:rPr>
        <w:footnoteReference w:id="24"/>
      </w:r>
    </w:p>
    <w:p w14:paraId="3339805B" w14:textId="77777777" w:rsidR="0088660A" w:rsidRPr="00A07D9A" w:rsidRDefault="0088660A" w:rsidP="003071C4">
      <w:pPr>
        <w:pStyle w:val="Prrafodelista"/>
        <w:numPr>
          <w:ilvl w:val="0"/>
          <w:numId w:val="61"/>
        </w:numPr>
        <w:spacing w:before="0" w:after="160" w:line="259" w:lineRule="auto"/>
        <w:ind w:left="567"/>
        <w:rPr>
          <w:color w:val="000000" w:themeColor="text1"/>
        </w:rPr>
      </w:pPr>
      <w:r w:rsidRPr="00A07D9A">
        <w:rPr>
          <w:color w:val="000000" w:themeColor="text1"/>
        </w:rPr>
        <w:t>Arrendamientos (i.e. espectro radioeléctrico)</w:t>
      </w:r>
      <w:r w:rsidR="00147553" w:rsidRPr="00A07D9A">
        <w:rPr>
          <w:color w:val="000000" w:themeColor="text1"/>
        </w:rPr>
        <w:t>,</w:t>
      </w:r>
      <w:r w:rsidRPr="00A07D9A">
        <w:rPr>
          <w:rStyle w:val="Refdenotaalpie"/>
          <w:color w:val="000000" w:themeColor="text1"/>
        </w:rPr>
        <w:footnoteReference w:id="25"/>
      </w:r>
      <w:r w:rsidR="00147553" w:rsidRPr="00A07D9A">
        <w:rPr>
          <w:color w:val="000000" w:themeColor="text1"/>
        </w:rPr>
        <w:t xml:space="preserve"> y</w:t>
      </w:r>
    </w:p>
    <w:p w14:paraId="3FFDE585" w14:textId="77777777" w:rsidR="0088660A" w:rsidRPr="00A07D9A" w:rsidRDefault="0088660A" w:rsidP="003071C4">
      <w:pPr>
        <w:pStyle w:val="Prrafodelista"/>
        <w:numPr>
          <w:ilvl w:val="0"/>
          <w:numId w:val="61"/>
        </w:numPr>
        <w:spacing w:before="0" w:after="160" w:line="259" w:lineRule="auto"/>
        <w:ind w:left="567"/>
        <w:rPr>
          <w:color w:val="000000" w:themeColor="text1"/>
        </w:rPr>
      </w:pPr>
      <w:r w:rsidRPr="00A07D9A">
        <w:rPr>
          <w:color w:val="000000" w:themeColor="text1"/>
        </w:rPr>
        <w:t xml:space="preserve">Convenios comerciales mediante los cuales se adquieran activos, capital social u otros bienes o derechos reales, personales o societarios. </w:t>
      </w:r>
    </w:p>
    <w:p w14:paraId="0A5AFD94" w14:textId="77777777" w:rsidR="00274925" w:rsidRPr="00A07D9A" w:rsidRDefault="00274925" w:rsidP="003071C4">
      <w:pPr>
        <w:pStyle w:val="Prrafodelista"/>
        <w:numPr>
          <w:ilvl w:val="0"/>
          <w:numId w:val="61"/>
        </w:numPr>
        <w:spacing w:before="0" w:after="160" w:line="259" w:lineRule="auto"/>
        <w:ind w:left="567"/>
        <w:rPr>
          <w:color w:val="000000" w:themeColor="text1"/>
        </w:rPr>
      </w:pPr>
      <w:r w:rsidRPr="00A07D9A">
        <w:rPr>
          <w:color w:val="000000" w:themeColor="text1"/>
        </w:rPr>
        <w:t xml:space="preserve">Contratos, convenios, acuerdos o actos que otorguen, de hecho o de derecho, a un agente económico influencia o control sobre </w:t>
      </w:r>
      <w:r w:rsidR="00434E11" w:rsidRPr="00A07D9A">
        <w:rPr>
          <w:color w:val="000000" w:themeColor="text1"/>
        </w:rPr>
        <w:t xml:space="preserve">activos u </w:t>
      </w:r>
      <w:r w:rsidRPr="00A07D9A">
        <w:rPr>
          <w:color w:val="000000" w:themeColor="text1"/>
        </w:rPr>
        <w:t>otro agente económico, aunque éstos no impliquen la adquisición de activos o capital social.</w:t>
      </w:r>
    </w:p>
    <w:p w14:paraId="5FBEDD92" w14:textId="77777777" w:rsidR="00156B97" w:rsidRPr="00A07D9A" w:rsidRDefault="003E45CA" w:rsidP="003E45CA">
      <w:pPr>
        <w:pStyle w:val="Ttulo2"/>
        <w:rPr>
          <w:color w:val="000000" w:themeColor="text1"/>
        </w:rPr>
      </w:pPr>
      <w:bookmarkStart w:id="10" w:name="_Toc486519795"/>
      <w:r w:rsidRPr="00A07D9A">
        <w:rPr>
          <w:color w:val="000000" w:themeColor="text1"/>
        </w:rPr>
        <w:t xml:space="preserve">2.2. </w:t>
      </w:r>
      <w:r w:rsidR="00156B97" w:rsidRPr="00A07D9A">
        <w:rPr>
          <w:color w:val="000000" w:themeColor="text1"/>
        </w:rPr>
        <w:t>Agente Económico</w:t>
      </w:r>
      <w:bookmarkEnd w:id="10"/>
    </w:p>
    <w:p w14:paraId="38471CD4" w14:textId="77777777" w:rsidR="00E54CAC" w:rsidRPr="00A07D9A" w:rsidRDefault="00536ABF" w:rsidP="00E54CAC">
      <w:pPr>
        <w:rPr>
          <w:rFonts w:cs="Arial"/>
          <w:color w:val="000000" w:themeColor="text1"/>
        </w:rPr>
      </w:pPr>
      <w:r w:rsidRPr="00A07D9A">
        <w:rPr>
          <w:rFonts w:cs="Arial"/>
          <w:color w:val="000000" w:themeColor="text1"/>
        </w:rPr>
        <w:t>E</w:t>
      </w:r>
      <w:r w:rsidR="006F7940" w:rsidRPr="00A07D9A">
        <w:rPr>
          <w:rFonts w:cs="Arial"/>
          <w:color w:val="000000" w:themeColor="text1"/>
        </w:rPr>
        <w:t>l a</w:t>
      </w:r>
      <w:r w:rsidRPr="00A07D9A">
        <w:rPr>
          <w:rFonts w:cs="Arial"/>
          <w:color w:val="000000" w:themeColor="text1"/>
        </w:rPr>
        <w:t>rtículo 3</w:t>
      </w:r>
      <w:r w:rsidR="00364D45" w:rsidRPr="00A07D9A">
        <w:rPr>
          <w:rFonts w:cs="Arial"/>
          <w:color w:val="000000" w:themeColor="text1"/>
        </w:rPr>
        <w:t>,</w:t>
      </w:r>
      <w:r w:rsidRPr="00A07D9A">
        <w:rPr>
          <w:rFonts w:cs="Arial"/>
          <w:color w:val="000000" w:themeColor="text1"/>
        </w:rPr>
        <w:t xml:space="preserve"> fracción I de la LFCE define que </w:t>
      </w:r>
      <w:r w:rsidR="006F7940" w:rsidRPr="00A07D9A">
        <w:rPr>
          <w:rFonts w:cs="Arial"/>
          <w:color w:val="000000" w:themeColor="text1"/>
        </w:rPr>
        <w:t xml:space="preserve">un </w:t>
      </w:r>
      <w:r w:rsidRPr="00A07D9A">
        <w:rPr>
          <w:rFonts w:cs="Arial"/>
          <w:color w:val="000000" w:themeColor="text1"/>
        </w:rPr>
        <w:t>Agente Económico</w:t>
      </w:r>
      <w:r w:rsidR="006F7940" w:rsidRPr="00A07D9A">
        <w:rPr>
          <w:rFonts w:cs="Arial"/>
          <w:color w:val="000000" w:themeColor="text1"/>
        </w:rPr>
        <w:t xml:space="preserve"> es t</w:t>
      </w:r>
      <w:r w:rsidR="00E54CAC" w:rsidRPr="00A07D9A">
        <w:rPr>
          <w:rFonts w:cs="Arial"/>
          <w:color w:val="000000" w:themeColor="text1"/>
        </w:rPr>
        <w: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14:paraId="1B29D559" w14:textId="77777777" w:rsidR="00680658" w:rsidRPr="00A07D9A" w:rsidRDefault="00680658" w:rsidP="00680658">
      <w:pPr>
        <w:rPr>
          <w:rFonts w:cs="Arial"/>
          <w:color w:val="000000" w:themeColor="text1"/>
        </w:rPr>
      </w:pPr>
      <w:r w:rsidRPr="00A07D9A">
        <w:rPr>
          <w:rFonts w:cs="Arial"/>
          <w:color w:val="000000" w:themeColor="text1"/>
        </w:rPr>
        <w:t>Un aspecto relevante en la definición es “cualquier forma de participación en la actividad económica</w:t>
      </w:r>
      <w:r w:rsidR="00AD488F" w:rsidRPr="00A07D9A">
        <w:rPr>
          <w:rFonts w:cs="Arial"/>
          <w:color w:val="000000" w:themeColor="text1"/>
        </w:rPr>
        <w:t>”</w:t>
      </w:r>
      <w:r w:rsidR="00533EA7" w:rsidRPr="00A07D9A">
        <w:rPr>
          <w:rFonts w:cs="Arial"/>
          <w:color w:val="000000" w:themeColor="text1"/>
        </w:rPr>
        <w:t>, lo cual implica no limitarse al concepto jurídico de persona, física o moral; es decir, un “quién”, sino  a un “cómo” se participa en el mercado</w:t>
      </w:r>
      <w:r w:rsidR="00AD488F" w:rsidRPr="00A07D9A">
        <w:rPr>
          <w:rFonts w:cs="Arial"/>
          <w:color w:val="000000" w:themeColor="text1"/>
        </w:rPr>
        <w:t xml:space="preserve">. Los demás </w:t>
      </w:r>
      <w:r w:rsidRPr="00A07D9A">
        <w:rPr>
          <w:rFonts w:cs="Arial"/>
          <w:color w:val="000000" w:themeColor="text1"/>
        </w:rPr>
        <w:t xml:space="preserve">elementos que preceden este texto </w:t>
      </w:r>
      <w:r w:rsidR="00AD488F" w:rsidRPr="00A07D9A">
        <w:rPr>
          <w:rFonts w:cs="Arial"/>
          <w:color w:val="000000" w:themeColor="text1"/>
        </w:rPr>
        <w:t xml:space="preserve">en la definición </w:t>
      </w:r>
      <w:r w:rsidRPr="00A07D9A">
        <w:rPr>
          <w:rFonts w:cs="Arial"/>
          <w:color w:val="000000" w:themeColor="text1"/>
        </w:rPr>
        <w:t xml:space="preserve">son enunciativos, no limitativos de lo que debe entenderse por </w:t>
      </w:r>
      <w:r w:rsidR="00536ABF" w:rsidRPr="00A07D9A">
        <w:rPr>
          <w:rFonts w:cs="Arial"/>
          <w:color w:val="000000" w:themeColor="text1"/>
        </w:rPr>
        <w:t>Agente Económico</w:t>
      </w:r>
      <w:r w:rsidRPr="00A07D9A">
        <w:rPr>
          <w:rFonts w:cs="Arial"/>
          <w:color w:val="000000" w:themeColor="text1"/>
        </w:rPr>
        <w:t>.</w:t>
      </w:r>
    </w:p>
    <w:p w14:paraId="2EEA7320" w14:textId="77777777" w:rsidR="004B613B" w:rsidRPr="00A07D9A" w:rsidRDefault="004B613B" w:rsidP="00680658">
      <w:pPr>
        <w:rPr>
          <w:rFonts w:cs="Arial"/>
          <w:color w:val="000000" w:themeColor="text1"/>
        </w:rPr>
      </w:pPr>
      <w:r w:rsidRPr="00A07D9A">
        <w:rPr>
          <w:rFonts w:cs="Arial"/>
          <w:color w:val="000000" w:themeColor="text1"/>
        </w:rPr>
        <w:t>Las autoridades de competencia económica en su práctica decisoria definen a los Agentes Económicos hasta su dimensión de Grupo de Interés Económico, la cual se realiza caso por caso en función de</w:t>
      </w:r>
      <w:r w:rsidR="00095030" w:rsidRPr="00A07D9A">
        <w:rPr>
          <w:rFonts w:cs="Arial"/>
          <w:color w:val="000000" w:themeColor="text1"/>
        </w:rPr>
        <w:t xml:space="preserve"> los vínculos </w:t>
      </w:r>
      <w:r w:rsidR="002C0F2F" w:rsidRPr="00A07D9A">
        <w:rPr>
          <w:color w:val="000000" w:themeColor="text1"/>
        </w:rPr>
        <w:t xml:space="preserve">de tipo comercial, organizativo, económico o jurídico que tengan </w:t>
      </w:r>
      <w:r w:rsidR="002C0F2F" w:rsidRPr="00A07D9A">
        <w:rPr>
          <w:rFonts w:cs="Arial"/>
          <w:color w:val="000000" w:themeColor="text1"/>
        </w:rPr>
        <w:t>entre ellos</w:t>
      </w:r>
      <w:r w:rsidR="005201D8" w:rsidRPr="00A07D9A">
        <w:rPr>
          <w:rFonts w:cs="Arial"/>
          <w:color w:val="000000" w:themeColor="text1"/>
        </w:rPr>
        <w:t>; y tomando en consideración sus actividades económicas</w:t>
      </w:r>
      <w:r w:rsidRPr="00A07D9A">
        <w:rPr>
          <w:rFonts w:cs="Arial"/>
          <w:color w:val="000000" w:themeColor="text1"/>
        </w:rPr>
        <w:t xml:space="preserve">. La figura de Agente Económico se define con el objeto de identificar a la(s) persona(s) que concurre(n) y compite(n), o pueden hacerlo, </w:t>
      </w:r>
      <w:r w:rsidRPr="00A07D9A">
        <w:rPr>
          <w:rFonts w:cs="Arial"/>
          <w:color w:val="000000" w:themeColor="text1"/>
        </w:rPr>
        <w:lastRenderedPageBreak/>
        <w:t xml:space="preserve">en un mercado en forma </w:t>
      </w:r>
      <w:r w:rsidR="008930BA" w:rsidRPr="00A07D9A">
        <w:rPr>
          <w:rFonts w:cs="Arial"/>
          <w:color w:val="000000" w:themeColor="text1"/>
        </w:rPr>
        <w:t xml:space="preserve">autónoma </w:t>
      </w:r>
      <w:r w:rsidRPr="00A07D9A">
        <w:rPr>
          <w:rFonts w:cs="Arial"/>
          <w:color w:val="000000" w:themeColor="text1"/>
        </w:rPr>
        <w:t>de los demás Agentes Económicos</w:t>
      </w:r>
      <w:r w:rsidR="008930BA" w:rsidRPr="00A07D9A">
        <w:rPr>
          <w:rFonts w:cs="Arial"/>
          <w:color w:val="000000" w:themeColor="text1"/>
        </w:rPr>
        <w:t>, con independencia de su estatus jurídico</w:t>
      </w:r>
      <w:r w:rsidRPr="00A07D9A">
        <w:rPr>
          <w:rFonts w:cs="Arial"/>
          <w:color w:val="000000" w:themeColor="text1"/>
        </w:rPr>
        <w:t xml:space="preserve">. </w:t>
      </w:r>
    </w:p>
    <w:p w14:paraId="734F6A83" w14:textId="77777777" w:rsidR="00AD488F" w:rsidRPr="00A07D9A" w:rsidRDefault="00AD488F" w:rsidP="00AD488F">
      <w:pPr>
        <w:pStyle w:val="Subttulo"/>
        <w:rPr>
          <w:color w:val="000000" w:themeColor="text1"/>
        </w:rPr>
      </w:pPr>
      <w:r w:rsidRPr="00A07D9A">
        <w:rPr>
          <w:color w:val="000000" w:themeColor="text1"/>
        </w:rPr>
        <w:t>Criterios emitidos por el Poder Judicial</w:t>
      </w:r>
    </w:p>
    <w:p w14:paraId="48B62644" w14:textId="77777777" w:rsidR="00AD488F" w:rsidRPr="00A07D9A" w:rsidRDefault="00AD488F" w:rsidP="00680658">
      <w:pPr>
        <w:rPr>
          <w:rFonts w:cs="Arial"/>
          <w:color w:val="000000" w:themeColor="text1"/>
        </w:rPr>
      </w:pPr>
      <w:r w:rsidRPr="00A07D9A">
        <w:rPr>
          <w:rFonts w:cs="Arial"/>
          <w:color w:val="000000" w:themeColor="text1"/>
        </w:rPr>
        <w:t>U</w:t>
      </w:r>
      <w:r w:rsidR="00680658" w:rsidRPr="00A07D9A">
        <w:rPr>
          <w:rFonts w:cs="Arial"/>
          <w:color w:val="000000" w:themeColor="text1"/>
        </w:rPr>
        <w:t xml:space="preserve">n </w:t>
      </w:r>
      <w:r w:rsidR="00536ABF" w:rsidRPr="00A07D9A">
        <w:rPr>
          <w:rFonts w:cs="Arial"/>
          <w:color w:val="000000" w:themeColor="text1"/>
        </w:rPr>
        <w:t>Agente Económico</w:t>
      </w:r>
      <w:r w:rsidR="00680658" w:rsidRPr="00A07D9A">
        <w:rPr>
          <w:rFonts w:cs="Arial"/>
          <w:color w:val="000000" w:themeColor="text1"/>
        </w:rPr>
        <w:t xml:space="preserve"> puede definirse como</w:t>
      </w:r>
      <w:r w:rsidRPr="00A07D9A">
        <w:rPr>
          <w:rFonts w:cs="Arial"/>
          <w:color w:val="000000" w:themeColor="text1"/>
        </w:rPr>
        <w:t>:</w:t>
      </w:r>
      <w:r w:rsidRPr="00A07D9A">
        <w:rPr>
          <w:rStyle w:val="Refdenotaalpie"/>
          <w:color w:val="000000" w:themeColor="text1"/>
        </w:rPr>
        <w:t xml:space="preserve"> </w:t>
      </w:r>
      <w:r w:rsidRPr="00A07D9A">
        <w:rPr>
          <w:rStyle w:val="Refdenotaalpie"/>
          <w:color w:val="000000" w:themeColor="text1"/>
        </w:rPr>
        <w:footnoteReference w:id="26"/>
      </w:r>
    </w:p>
    <w:p w14:paraId="0EE6D027" w14:textId="77777777" w:rsidR="00AD488F" w:rsidRPr="00A07D9A" w:rsidRDefault="00AD488F" w:rsidP="00A06596">
      <w:pPr>
        <w:pStyle w:val="Prrafodelista"/>
        <w:numPr>
          <w:ilvl w:val="0"/>
          <w:numId w:val="80"/>
        </w:numPr>
        <w:ind w:left="426"/>
        <w:rPr>
          <w:color w:val="000000" w:themeColor="text1"/>
        </w:rPr>
      </w:pPr>
      <w:r w:rsidRPr="00A07D9A">
        <w:rPr>
          <w:color w:val="000000" w:themeColor="text1"/>
        </w:rPr>
        <w:t>C</w:t>
      </w:r>
      <w:r w:rsidR="00680658" w:rsidRPr="00A07D9A">
        <w:rPr>
          <w:color w:val="000000" w:themeColor="text1"/>
        </w:rPr>
        <w:t>ualquier sujeto de derecho -pers</w:t>
      </w:r>
      <w:r w:rsidRPr="00A07D9A">
        <w:rPr>
          <w:color w:val="000000" w:themeColor="text1"/>
        </w:rPr>
        <w:t>ona física o moral (jurídica)-</w:t>
      </w:r>
      <w:r w:rsidR="00680658" w:rsidRPr="00A07D9A">
        <w:rPr>
          <w:color w:val="000000" w:themeColor="text1"/>
        </w:rPr>
        <w:t xml:space="preserve"> que ejerza de forma autónoma una actividad económica en el mercado, o bien, </w:t>
      </w:r>
    </w:p>
    <w:p w14:paraId="47CC2CA7" w14:textId="77777777" w:rsidR="00AD488F" w:rsidRPr="00A07D9A" w:rsidRDefault="00AD488F" w:rsidP="00A06596">
      <w:pPr>
        <w:pStyle w:val="Prrafodelista"/>
        <w:numPr>
          <w:ilvl w:val="0"/>
          <w:numId w:val="80"/>
        </w:numPr>
        <w:ind w:left="426"/>
        <w:rPr>
          <w:color w:val="000000" w:themeColor="text1"/>
        </w:rPr>
      </w:pPr>
      <w:r w:rsidRPr="00A07D9A">
        <w:rPr>
          <w:color w:val="000000" w:themeColor="text1"/>
        </w:rPr>
        <w:t>T</w:t>
      </w:r>
      <w:r w:rsidR="00680658" w:rsidRPr="00A07D9A">
        <w:rPr>
          <w:color w:val="000000" w:themeColor="text1"/>
        </w:rPr>
        <w:t xml:space="preserve">oda entidad que ejerza una actividad económica, independientemente de su estatuto jurídico o de su modo de </w:t>
      </w:r>
      <w:r w:rsidRPr="00A07D9A">
        <w:rPr>
          <w:color w:val="000000" w:themeColor="text1"/>
        </w:rPr>
        <w:t xml:space="preserve">financiación, y </w:t>
      </w:r>
    </w:p>
    <w:p w14:paraId="7ED9DD41" w14:textId="77777777" w:rsidR="00680658" w:rsidRPr="00A07D9A" w:rsidRDefault="00680658" w:rsidP="00A06596">
      <w:pPr>
        <w:pStyle w:val="Prrafodelista"/>
        <w:numPr>
          <w:ilvl w:val="0"/>
          <w:numId w:val="80"/>
        </w:numPr>
        <w:ind w:left="426"/>
        <w:rPr>
          <w:color w:val="000000" w:themeColor="text1"/>
        </w:rPr>
      </w:pPr>
      <w:r w:rsidRPr="00A07D9A">
        <w:rPr>
          <w:color w:val="000000" w:themeColor="text1"/>
        </w:rPr>
        <w:t xml:space="preserve">De acuerdo con lo anterior, </w:t>
      </w:r>
      <w:r w:rsidR="00A56B96" w:rsidRPr="00A07D9A">
        <w:rPr>
          <w:color w:val="000000" w:themeColor="text1"/>
        </w:rPr>
        <w:t>se</w:t>
      </w:r>
      <w:r w:rsidRPr="00A07D9A">
        <w:rPr>
          <w:color w:val="000000" w:themeColor="text1"/>
        </w:rPr>
        <w:t xml:space="preserve"> ent</w:t>
      </w:r>
      <w:r w:rsidR="00A56B96" w:rsidRPr="00A07D9A">
        <w:rPr>
          <w:color w:val="000000" w:themeColor="text1"/>
        </w:rPr>
        <w:t>i</w:t>
      </w:r>
      <w:r w:rsidRPr="00A07D9A">
        <w:rPr>
          <w:color w:val="000000" w:themeColor="text1"/>
        </w:rPr>
        <w:t xml:space="preserve">ende por </w:t>
      </w:r>
      <w:r w:rsidR="00536ABF" w:rsidRPr="00A07D9A">
        <w:rPr>
          <w:color w:val="000000" w:themeColor="text1"/>
        </w:rPr>
        <w:t>Agente Económico</w:t>
      </w:r>
      <w:r w:rsidRPr="00A07D9A">
        <w:rPr>
          <w:color w:val="000000" w:themeColor="text1"/>
        </w:rPr>
        <w:t xml:space="preserve"> a aquellas personas que </w:t>
      </w:r>
      <w:r w:rsidR="005303E3" w:rsidRPr="00A07D9A">
        <w:rPr>
          <w:color w:val="000000" w:themeColor="text1"/>
        </w:rPr>
        <w:t xml:space="preserve">participan </w:t>
      </w:r>
      <w:r w:rsidRPr="00A07D9A">
        <w:rPr>
          <w:color w:val="000000" w:themeColor="text1"/>
        </w:rPr>
        <w:t>y concurren en la producción, procesamiento, distribución y comercialización de bienes y servicios, mediante contratos, convenios, arreglos o combinaciones que pactan entre sí, de tal forma que su actividad repercute en los mercados y procesos de libre concurrencia, ya que dadas las ganancias o utilidades comerciales que obtienen, trascienden a la economía del Estado.</w:t>
      </w:r>
    </w:p>
    <w:p w14:paraId="246CCBDA" w14:textId="1D9E8B4C" w:rsidR="004B613B" w:rsidRPr="00A07D9A" w:rsidRDefault="003962C1" w:rsidP="00E54CAC">
      <w:pPr>
        <w:rPr>
          <w:color w:val="000000" w:themeColor="text1"/>
        </w:rPr>
      </w:pPr>
      <w:r w:rsidRPr="00A07D9A">
        <w:rPr>
          <w:rFonts w:cs="Arial"/>
          <w:color w:val="000000" w:themeColor="text1"/>
        </w:rPr>
        <w:t xml:space="preserve">Así, cuando el artículo 3 de la LFCE se refiere a “cualquier otra forma de participación en la actividad económica”, no </w:t>
      </w:r>
      <w:r w:rsidR="000B1459" w:rsidRPr="00A07D9A">
        <w:rPr>
          <w:rFonts w:cs="Arial"/>
          <w:color w:val="000000" w:themeColor="text1"/>
        </w:rPr>
        <w:t xml:space="preserve">se </w:t>
      </w:r>
      <w:r w:rsidR="00504319" w:rsidRPr="00A07D9A">
        <w:rPr>
          <w:rFonts w:cs="Arial"/>
          <w:color w:val="000000" w:themeColor="text1"/>
        </w:rPr>
        <w:t xml:space="preserve">refiere </w:t>
      </w:r>
      <w:r w:rsidR="001853A8" w:rsidRPr="00A07D9A">
        <w:rPr>
          <w:rFonts w:cs="Arial"/>
          <w:color w:val="000000" w:themeColor="text1"/>
        </w:rPr>
        <w:t xml:space="preserve">solamente </w:t>
      </w:r>
      <w:r w:rsidR="00504319" w:rsidRPr="00A07D9A">
        <w:rPr>
          <w:rFonts w:cs="Arial"/>
          <w:color w:val="000000" w:themeColor="text1"/>
        </w:rPr>
        <w:t xml:space="preserve">a </w:t>
      </w:r>
      <w:r w:rsidR="001853A8" w:rsidRPr="00A07D9A">
        <w:rPr>
          <w:rFonts w:cs="Arial"/>
          <w:color w:val="000000" w:themeColor="text1"/>
        </w:rPr>
        <w:t xml:space="preserve">la presencia de </w:t>
      </w:r>
      <w:r w:rsidR="00504319" w:rsidRPr="00A07D9A">
        <w:rPr>
          <w:rFonts w:cs="Arial"/>
          <w:color w:val="000000" w:themeColor="text1"/>
        </w:rPr>
        <w:t>algún sujeto de derecho, sino t</w:t>
      </w:r>
      <w:r w:rsidR="001853A8" w:rsidRPr="00A07D9A">
        <w:rPr>
          <w:rFonts w:cs="Arial"/>
          <w:color w:val="000000" w:themeColor="text1"/>
        </w:rPr>
        <w:t>ambién</w:t>
      </w:r>
      <w:r w:rsidR="00504319" w:rsidRPr="00A07D9A">
        <w:rPr>
          <w:rFonts w:cs="Arial"/>
          <w:color w:val="000000" w:themeColor="text1"/>
        </w:rPr>
        <w:t xml:space="preserve"> a la actividad que éstos pueden desarrollar o realizar y que trasciende a la vida económica del país. Por ende, se colige que un grupo de personas físicas o morales, al participar en la economía como un solo ente, pueden, en su conjunto, considerarse como</w:t>
      </w:r>
      <w:r w:rsidR="003E700D" w:rsidRPr="00A07D9A">
        <w:rPr>
          <w:rFonts w:cs="Arial"/>
          <w:color w:val="000000" w:themeColor="text1"/>
        </w:rPr>
        <w:t xml:space="preserve"> un</w:t>
      </w:r>
      <w:r w:rsidR="00504319" w:rsidRPr="00A07D9A">
        <w:rPr>
          <w:rFonts w:cs="Arial"/>
          <w:color w:val="000000" w:themeColor="text1"/>
        </w:rPr>
        <w:t xml:space="preserve"> </w:t>
      </w:r>
      <w:r w:rsidR="001853A8" w:rsidRPr="00A07D9A">
        <w:rPr>
          <w:rFonts w:cs="Arial"/>
          <w:color w:val="000000" w:themeColor="text1"/>
        </w:rPr>
        <w:t>“</w:t>
      </w:r>
      <w:r w:rsidR="00536ABF" w:rsidRPr="00A07D9A">
        <w:rPr>
          <w:rFonts w:cs="Arial"/>
          <w:color w:val="000000" w:themeColor="text1"/>
        </w:rPr>
        <w:t>Agente Económico</w:t>
      </w:r>
      <w:r w:rsidR="001853A8" w:rsidRPr="00A07D9A">
        <w:rPr>
          <w:rFonts w:cs="Arial"/>
          <w:color w:val="000000" w:themeColor="text1"/>
        </w:rPr>
        <w:t>”</w:t>
      </w:r>
      <w:r w:rsidR="00504319" w:rsidRPr="00A07D9A">
        <w:rPr>
          <w:rFonts w:cs="Arial"/>
          <w:color w:val="000000" w:themeColor="text1"/>
        </w:rPr>
        <w:t>, con independencia de la forma en que el grupo esté configurado.</w:t>
      </w:r>
      <w:r w:rsidR="00D378B1" w:rsidRPr="00A07D9A">
        <w:rPr>
          <w:rStyle w:val="Refdenotaalpie"/>
          <w:rFonts w:cs="Arial"/>
          <w:color w:val="000000" w:themeColor="text1"/>
        </w:rPr>
        <w:footnoteReference w:id="27"/>
      </w:r>
    </w:p>
    <w:p w14:paraId="7CD53C2A" w14:textId="77777777" w:rsidR="00E54CAC" w:rsidRPr="00A07D9A" w:rsidRDefault="00E54CAC" w:rsidP="00E54CAC">
      <w:pPr>
        <w:pStyle w:val="Ttulo2"/>
        <w:rPr>
          <w:color w:val="000000" w:themeColor="text1"/>
        </w:rPr>
      </w:pPr>
      <w:bookmarkStart w:id="11" w:name="_Toc462053104"/>
      <w:bookmarkStart w:id="12" w:name="_Toc486519796"/>
      <w:r w:rsidRPr="00A07D9A">
        <w:rPr>
          <w:color w:val="000000" w:themeColor="text1"/>
        </w:rPr>
        <w:t>2.3. Grupo de Interés Económico (GIE)</w:t>
      </w:r>
      <w:bookmarkEnd w:id="11"/>
      <w:bookmarkEnd w:id="12"/>
    </w:p>
    <w:p w14:paraId="1B720C86" w14:textId="77777777" w:rsidR="00E54CAC" w:rsidRPr="00A07D9A" w:rsidRDefault="00D378B1" w:rsidP="00E54CAC">
      <w:pPr>
        <w:rPr>
          <w:rFonts w:cs="Arial"/>
          <w:color w:val="000000" w:themeColor="text1"/>
        </w:rPr>
      </w:pPr>
      <w:r w:rsidRPr="00A07D9A">
        <w:rPr>
          <w:rFonts w:cs="Arial"/>
          <w:color w:val="000000" w:themeColor="text1"/>
        </w:rPr>
        <w:t xml:space="preserve">De conformidad con precedentes decisorios de las autoridades de competencia </w:t>
      </w:r>
      <w:r w:rsidR="00487121" w:rsidRPr="00A07D9A">
        <w:rPr>
          <w:rFonts w:cs="Arial"/>
          <w:color w:val="000000" w:themeColor="text1"/>
        </w:rPr>
        <w:t xml:space="preserve">económica </w:t>
      </w:r>
      <w:r w:rsidRPr="00A07D9A">
        <w:rPr>
          <w:rFonts w:cs="Arial"/>
          <w:color w:val="000000" w:themeColor="text1"/>
        </w:rPr>
        <w:t xml:space="preserve">y del </w:t>
      </w:r>
      <w:r w:rsidR="00F77F60" w:rsidRPr="00A07D9A">
        <w:rPr>
          <w:rFonts w:cs="Arial"/>
          <w:color w:val="000000" w:themeColor="text1"/>
        </w:rPr>
        <w:t>PJF</w:t>
      </w:r>
      <w:r w:rsidRPr="00A07D9A">
        <w:rPr>
          <w:rFonts w:cs="Arial"/>
          <w:color w:val="000000" w:themeColor="text1"/>
        </w:rPr>
        <w:t xml:space="preserve">, un GIE se define como dos o más </w:t>
      </w:r>
      <w:r w:rsidR="00E54CAC" w:rsidRPr="00A07D9A">
        <w:rPr>
          <w:rFonts w:cs="Arial"/>
          <w:color w:val="000000" w:themeColor="text1"/>
        </w:rPr>
        <w:t xml:space="preserve">de sujetos de derecho con intereses comerciales y financieros afines que coordinan sus actividades para participar en los mercados y actividades económicas, a través del control o influencia decisiva, directa o indirecta, que uno de sus integrantes ejerce sobre los demás. El GIE tiene </w:t>
      </w:r>
      <w:r w:rsidR="00E54CAC" w:rsidRPr="00A07D9A">
        <w:rPr>
          <w:color w:val="000000" w:themeColor="text1"/>
        </w:rPr>
        <w:t xml:space="preserve">el carácter de </w:t>
      </w:r>
      <w:r w:rsidR="00536ABF" w:rsidRPr="00A07D9A">
        <w:rPr>
          <w:color w:val="000000" w:themeColor="text1"/>
        </w:rPr>
        <w:t>Agente Económico</w:t>
      </w:r>
      <w:r w:rsidR="00E54CAC" w:rsidRPr="00A07D9A">
        <w:rPr>
          <w:color w:val="000000" w:themeColor="text1"/>
        </w:rPr>
        <w:t xml:space="preserve"> para efectos de la LFCE</w:t>
      </w:r>
      <w:r w:rsidR="001853A8" w:rsidRPr="00A07D9A">
        <w:rPr>
          <w:color w:val="000000" w:themeColor="text1"/>
        </w:rPr>
        <w:t>, e incluso, para efectos de la LFTR</w:t>
      </w:r>
      <w:r w:rsidR="00E54CAC" w:rsidRPr="00A07D9A">
        <w:rPr>
          <w:color w:val="000000" w:themeColor="text1"/>
        </w:rPr>
        <w:t>.</w:t>
      </w:r>
    </w:p>
    <w:p w14:paraId="01572E80" w14:textId="77777777" w:rsidR="00E54CAC" w:rsidRPr="00A07D9A" w:rsidRDefault="00E54CAC" w:rsidP="00E54CAC">
      <w:pPr>
        <w:rPr>
          <w:color w:val="000000" w:themeColor="text1"/>
        </w:rPr>
      </w:pPr>
      <w:r w:rsidRPr="00A07D9A">
        <w:rPr>
          <w:color w:val="000000" w:themeColor="text1"/>
        </w:rPr>
        <w:lastRenderedPageBreak/>
        <w:t>Respecto de este concepto, se precisa que el análisis en materia de competencia económica no atiende únicamente a una dimensión de las personas físicas o morales que están involucradas en una concentraci</w:t>
      </w:r>
      <w:r w:rsidR="00487121" w:rsidRPr="00A07D9A">
        <w:rPr>
          <w:color w:val="000000" w:themeColor="text1"/>
        </w:rPr>
        <w:t>ón</w:t>
      </w:r>
      <w:r w:rsidRPr="00A07D9A">
        <w:rPr>
          <w:color w:val="000000" w:themeColor="text1"/>
        </w:rPr>
        <w:t xml:space="preserve">, sino que incorpora la evaluación de los </w:t>
      </w:r>
      <w:r w:rsidR="00FC14BD" w:rsidRPr="00A07D9A">
        <w:rPr>
          <w:color w:val="000000" w:themeColor="text1"/>
        </w:rPr>
        <w:t>agentes económicos</w:t>
      </w:r>
      <w:r w:rsidRPr="00A07D9A">
        <w:rPr>
          <w:color w:val="000000" w:themeColor="text1"/>
        </w:rPr>
        <w:t xml:space="preserve"> bajo una dimensión de GIE. El análisis de pertenencia a un GIE tiene como eje rector la identificación de las estructuras de control.</w:t>
      </w:r>
    </w:p>
    <w:p w14:paraId="089F925C" w14:textId="77777777" w:rsidR="00E54CAC" w:rsidRPr="00A07D9A" w:rsidRDefault="00E54CAC" w:rsidP="00FA41F5">
      <w:pPr>
        <w:rPr>
          <w:color w:val="000000" w:themeColor="text1"/>
        </w:rPr>
      </w:pPr>
      <w:r w:rsidRPr="00A07D9A">
        <w:rPr>
          <w:color w:val="000000" w:themeColor="text1"/>
        </w:rPr>
        <w:t xml:space="preserve">Considerando diversos precedentes </w:t>
      </w:r>
      <w:r w:rsidR="00D378B1" w:rsidRPr="00A07D9A">
        <w:rPr>
          <w:color w:val="000000" w:themeColor="text1"/>
        </w:rPr>
        <w:t>decisorios</w:t>
      </w:r>
      <w:r w:rsidR="00FA41F5" w:rsidRPr="00A07D9A">
        <w:rPr>
          <w:color w:val="000000" w:themeColor="text1"/>
        </w:rPr>
        <w:t xml:space="preserve"> en materia de competencia económica</w:t>
      </w:r>
      <w:r w:rsidR="004B54A6" w:rsidRPr="00A07D9A">
        <w:rPr>
          <w:color w:val="000000" w:themeColor="text1"/>
        </w:rPr>
        <w:t>, los</w:t>
      </w:r>
      <w:r w:rsidR="002B7502" w:rsidRPr="00A07D9A">
        <w:rPr>
          <w:color w:val="000000" w:themeColor="text1"/>
        </w:rPr>
        <w:t xml:space="preserve"> </w:t>
      </w:r>
      <w:r w:rsidRPr="00A07D9A">
        <w:rPr>
          <w:color w:val="000000" w:themeColor="text1"/>
        </w:rPr>
        <w:t xml:space="preserve">GIE </w:t>
      </w:r>
      <w:r w:rsidR="002B7502" w:rsidRPr="00A07D9A">
        <w:rPr>
          <w:color w:val="000000" w:themeColor="text1"/>
        </w:rPr>
        <w:t xml:space="preserve">pueden definirse tomando en consideración </w:t>
      </w:r>
      <w:r w:rsidR="008930BA" w:rsidRPr="00A07D9A">
        <w:rPr>
          <w:color w:val="000000" w:themeColor="text1"/>
        </w:rPr>
        <w:t xml:space="preserve">algunos o todos de </w:t>
      </w:r>
      <w:r w:rsidRPr="00A07D9A">
        <w:rPr>
          <w:color w:val="000000" w:themeColor="text1"/>
        </w:rPr>
        <w:t>los siguientes elementos:</w:t>
      </w:r>
      <w:r w:rsidRPr="00A07D9A">
        <w:rPr>
          <w:rStyle w:val="Refdenotaalpie"/>
          <w:color w:val="000000" w:themeColor="text1"/>
        </w:rPr>
        <w:footnoteReference w:id="28"/>
      </w:r>
    </w:p>
    <w:p w14:paraId="6CBE8D31" w14:textId="77777777" w:rsidR="00E54CAC" w:rsidRPr="00A07D9A" w:rsidRDefault="00E54CAC" w:rsidP="008F672A">
      <w:pPr>
        <w:pStyle w:val="Prrafodelista"/>
        <w:numPr>
          <w:ilvl w:val="0"/>
          <w:numId w:val="63"/>
        </w:numPr>
        <w:spacing w:before="0" w:after="160" w:line="259" w:lineRule="auto"/>
        <w:ind w:left="567"/>
        <w:rPr>
          <w:color w:val="000000" w:themeColor="text1"/>
        </w:rPr>
      </w:pPr>
      <w:r w:rsidRPr="00A07D9A">
        <w:rPr>
          <w:color w:val="000000" w:themeColor="text1"/>
        </w:rPr>
        <w:t>Estar conformado por distintas personas, físicas o morales, con intereses comerciales y financieros afines, y que coordinan sus actividades para logra</w:t>
      </w:r>
      <w:r w:rsidR="002B7502" w:rsidRPr="00A07D9A">
        <w:rPr>
          <w:color w:val="000000" w:themeColor="text1"/>
        </w:rPr>
        <w:t>r un determinado objetivo común;</w:t>
      </w:r>
    </w:p>
    <w:p w14:paraId="653B77DD" w14:textId="77777777" w:rsidR="00E54CAC" w:rsidRPr="00A07D9A" w:rsidRDefault="00E54CAC" w:rsidP="008F672A">
      <w:pPr>
        <w:pStyle w:val="Prrafodelista"/>
        <w:numPr>
          <w:ilvl w:val="0"/>
          <w:numId w:val="63"/>
        </w:numPr>
        <w:spacing w:before="0" w:after="160" w:line="259" w:lineRule="auto"/>
        <w:ind w:left="567"/>
        <w:rPr>
          <w:color w:val="000000" w:themeColor="text1"/>
        </w:rPr>
      </w:pPr>
      <w:r w:rsidRPr="00A07D9A">
        <w:rPr>
          <w:color w:val="000000" w:themeColor="text1"/>
        </w:rPr>
        <w:t>Que una misma persona (o conjunto de personas), directa o indirectamente, coordine las actividades de los demás integrantes del grupo para operar en los mercados y, además, ejerza influencia decisiva o control sobre los mismos, sin que sea necesario que estos supuestos</w:t>
      </w:r>
      <w:r w:rsidR="002B7502" w:rsidRPr="00A07D9A">
        <w:rPr>
          <w:color w:val="000000" w:themeColor="text1"/>
        </w:rPr>
        <w:t xml:space="preserve"> se den de manera concomitante.</w:t>
      </w:r>
    </w:p>
    <w:p w14:paraId="35724076" w14:textId="77777777" w:rsidR="00E54CAC" w:rsidRPr="00A07D9A" w:rsidRDefault="00E54CAC" w:rsidP="002B7502">
      <w:pPr>
        <w:pStyle w:val="Prrafodelista"/>
        <w:numPr>
          <w:ilvl w:val="0"/>
          <w:numId w:val="0"/>
        </w:numPr>
        <w:ind w:left="567"/>
        <w:rPr>
          <w:color w:val="000000" w:themeColor="text1"/>
        </w:rPr>
      </w:pPr>
      <w:r w:rsidRPr="00A07D9A">
        <w:rPr>
          <w:color w:val="000000" w:themeColor="text1"/>
        </w:rPr>
        <w:t>El control no necesariamente debe ser real, sino que también puede ser latente. El control es real si se refiere a la conducción efectiva de una empresa controladora hacia sus subsidiarias. El control es latente o potencial cuando existe la posibilidad de efectuarlo por medio de medidas persuasivas que pueden darse entre las empresas aun cuando no exista vínculo juríd</w:t>
      </w:r>
      <w:r w:rsidR="002B7502" w:rsidRPr="00A07D9A">
        <w:rPr>
          <w:color w:val="000000" w:themeColor="text1"/>
        </w:rPr>
        <w:t>ico centralizado y jerarquizado;</w:t>
      </w:r>
    </w:p>
    <w:p w14:paraId="7B1FCD46" w14:textId="77777777" w:rsidR="00E54CAC" w:rsidRPr="00A07D9A" w:rsidRDefault="00E54CAC" w:rsidP="008F672A">
      <w:pPr>
        <w:pStyle w:val="Prrafodelista"/>
        <w:numPr>
          <w:ilvl w:val="0"/>
          <w:numId w:val="63"/>
        </w:numPr>
        <w:spacing w:before="0" w:after="160" w:line="259" w:lineRule="auto"/>
        <w:ind w:left="567"/>
        <w:rPr>
          <w:color w:val="000000" w:themeColor="text1"/>
        </w:rPr>
      </w:pPr>
      <w:r w:rsidRPr="00A07D9A">
        <w:rPr>
          <w:color w:val="000000" w:themeColor="text1"/>
        </w:rPr>
        <w:t>Presencia de unidad de comportamiento en el mercado, lo cual implica que toda actuación individual de los integrantes corresponde a un mecanismo de comportamiento mayor alineado con los intereses del grupo. Esencialmente, se trata de una pérdida de la libertad individual en el comportamiento aislado</w:t>
      </w:r>
      <w:r w:rsidR="002B7502" w:rsidRPr="00A07D9A">
        <w:rPr>
          <w:color w:val="000000" w:themeColor="text1"/>
        </w:rPr>
        <w:t xml:space="preserve"> de cada uno de los integrantes, y</w:t>
      </w:r>
    </w:p>
    <w:p w14:paraId="0E12F18A" w14:textId="77777777" w:rsidR="00E54CAC" w:rsidRPr="00A07D9A" w:rsidRDefault="00E54CAC" w:rsidP="008F672A">
      <w:pPr>
        <w:pStyle w:val="Prrafodelista"/>
        <w:numPr>
          <w:ilvl w:val="0"/>
          <w:numId w:val="63"/>
        </w:numPr>
        <w:spacing w:before="0" w:after="160" w:line="259" w:lineRule="auto"/>
        <w:ind w:left="567"/>
        <w:rPr>
          <w:color w:val="000000" w:themeColor="text1"/>
        </w:rPr>
      </w:pPr>
      <w:r w:rsidRPr="00A07D9A">
        <w:rPr>
          <w:color w:val="000000" w:themeColor="text1"/>
        </w:rPr>
        <w:t xml:space="preserve">Existencia de parentesco, por afinidad o consanguinidad, hasta el cuarto grado de personas físicas que formen parte del grupo o que participen de alguna forma en las sociedades que integran al mismo, ya sea como socios, </w:t>
      </w:r>
      <w:r w:rsidRPr="00A07D9A">
        <w:rPr>
          <w:color w:val="000000" w:themeColor="text1"/>
        </w:rPr>
        <w:lastRenderedPageBreak/>
        <w:t xml:space="preserve">asociados, accionistas o que formen parte de los órganos </w:t>
      </w:r>
      <w:r w:rsidRPr="00A07D9A">
        <w:rPr>
          <w:rFonts w:cs="Arial"/>
          <w:color w:val="000000" w:themeColor="text1"/>
        </w:rPr>
        <w:t xml:space="preserve">encargados </w:t>
      </w:r>
      <w:r w:rsidRPr="00A07D9A">
        <w:rPr>
          <w:color w:val="000000" w:themeColor="text1"/>
        </w:rPr>
        <w:t>de tomar las decisiones de las sociedades respectivas.</w:t>
      </w:r>
    </w:p>
    <w:p w14:paraId="07C8FF65" w14:textId="77777777" w:rsidR="00E54CAC" w:rsidRPr="00A07D9A" w:rsidRDefault="00E54CAC" w:rsidP="00E54CAC">
      <w:pPr>
        <w:rPr>
          <w:color w:val="000000" w:themeColor="text1"/>
        </w:rPr>
      </w:pPr>
      <w:r w:rsidRPr="00A07D9A">
        <w:rPr>
          <w:color w:val="000000" w:themeColor="text1"/>
        </w:rPr>
        <w:t>Cabe agregar que los criterios judiciales prevén que corresponde a los particulares la carga de la prueba para demostrar que no pertenecen a un GIE</w:t>
      </w:r>
      <w:r w:rsidR="000320BB" w:rsidRPr="00A07D9A">
        <w:rPr>
          <w:rStyle w:val="Refdenotaalpie"/>
          <w:color w:val="000000" w:themeColor="text1"/>
        </w:rPr>
        <w:footnoteReference w:id="29"/>
      </w:r>
      <w:r w:rsidRPr="00A07D9A">
        <w:rPr>
          <w:color w:val="000000" w:themeColor="text1"/>
        </w:rPr>
        <w:t xml:space="preserve"> y, en contraposición, al IFT </w:t>
      </w:r>
      <w:r w:rsidR="000320BB" w:rsidRPr="00A07D9A">
        <w:rPr>
          <w:color w:val="000000" w:themeColor="text1"/>
        </w:rPr>
        <w:t>corresponde</w:t>
      </w:r>
      <w:r w:rsidRPr="00A07D9A">
        <w:rPr>
          <w:color w:val="000000" w:themeColor="text1"/>
        </w:rPr>
        <w:t xml:space="preserve"> reunir la mayor cantidad de elementos indiciarios posibles a partir de los cuales </w:t>
      </w:r>
      <w:r w:rsidR="000320BB" w:rsidRPr="00A07D9A">
        <w:rPr>
          <w:color w:val="000000" w:themeColor="text1"/>
        </w:rPr>
        <w:t>sustente la existencia de un GIE</w:t>
      </w:r>
      <w:r w:rsidRPr="00A07D9A">
        <w:rPr>
          <w:color w:val="000000" w:themeColor="text1"/>
        </w:rPr>
        <w:t>. Asimismo, atend</w:t>
      </w:r>
      <w:r w:rsidR="003E700D" w:rsidRPr="00A07D9A">
        <w:rPr>
          <w:color w:val="000000" w:themeColor="text1"/>
        </w:rPr>
        <w:t>iend</w:t>
      </w:r>
      <w:r w:rsidRPr="00A07D9A">
        <w:rPr>
          <w:color w:val="000000" w:themeColor="text1"/>
        </w:rPr>
        <w:t>o a cada caso particular, el IFT podría tomar en cuenta otros elementos o circunstancias que, en el marco de los elementos arriba apuntados, permitan concluir la existencia de un GIE.</w:t>
      </w:r>
    </w:p>
    <w:p w14:paraId="44FA8B60" w14:textId="77777777" w:rsidR="00E54CAC" w:rsidRPr="00A07D9A" w:rsidRDefault="00E54CAC" w:rsidP="00E54CAC">
      <w:pPr>
        <w:pStyle w:val="Ttulo2"/>
        <w:rPr>
          <w:color w:val="000000" w:themeColor="text1"/>
        </w:rPr>
      </w:pPr>
      <w:bookmarkStart w:id="13" w:name="_Toc462053105"/>
      <w:bookmarkStart w:id="14" w:name="_Toc486519797"/>
      <w:r w:rsidRPr="00A07D9A">
        <w:rPr>
          <w:color w:val="000000" w:themeColor="text1"/>
        </w:rPr>
        <w:t>2.4. Control e Influencia</w:t>
      </w:r>
      <w:bookmarkEnd w:id="13"/>
      <w:bookmarkEnd w:id="14"/>
    </w:p>
    <w:p w14:paraId="5AC1B8DE" w14:textId="77777777" w:rsidR="005C64EE" w:rsidRPr="00A07D9A" w:rsidRDefault="005C64EE" w:rsidP="005C64EE">
      <w:pPr>
        <w:rPr>
          <w:rFonts w:cs="Arial"/>
          <w:color w:val="000000" w:themeColor="text1"/>
        </w:rPr>
      </w:pPr>
      <w:r w:rsidRPr="00A07D9A">
        <w:rPr>
          <w:rFonts w:cs="Arial"/>
          <w:color w:val="000000" w:themeColor="text1"/>
        </w:rPr>
        <w:t xml:space="preserve">La LFCE </w:t>
      </w:r>
      <w:r w:rsidR="00487121" w:rsidRPr="00A07D9A">
        <w:rPr>
          <w:rFonts w:cs="Arial"/>
          <w:color w:val="000000" w:themeColor="text1"/>
        </w:rPr>
        <w:t xml:space="preserve">se refiere en diversos apartados a los términos de control e influencia; sin que se </w:t>
      </w:r>
      <w:r w:rsidRPr="00A07D9A">
        <w:rPr>
          <w:rFonts w:cs="Arial"/>
          <w:color w:val="000000" w:themeColor="text1"/>
        </w:rPr>
        <w:t>defin</w:t>
      </w:r>
      <w:r w:rsidR="00487121" w:rsidRPr="00A07D9A">
        <w:rPr>
          <w:rFonts w:cs="Arial"/>
          <w:color w:val="000000" w:themeColor="text1"/>
        </w:rPr>
        <w:t>a</w:t>
      </w:r>
      <w:r w:rsidRPr="00A07D9A">
        <w:rPr>
          <w:rFonts w:cs="Arial"/>
          <w:color w:val="000000" w:themeColor="text1"/>
        </w:rPr>
        <w:t xml:space="preserve"> lo que debe entenderse </w:t>
      </w:r>
      <w:r w:rsidR="00487121" w:rsidRPr="00A07D9A">
        <w:rPr>
          <w:rFonts w:cs="Arial"/>
          <w:color w:val="000000" w:themeColor="text1"/>
        </w:rPr>
        <w:t>por estos conceptos</w:t>
      </w:r>
      <w:r w:rsidRPr="00A07D9A">
        <w:rPr>
          <w:rFonts w:cs="Arial"/>
          <w:color w:val="000000" w:themeColor="text1"/>
        </w:rPr>
        <w:t>, ya sea decisiva</w:t>
      </w:r>
      <w:r w:rsidRPr="00A07D9A">
        <w:rPr>
          <w:rStyle w:val="Refdenotaalpie"/>
          <w:rFonts w:cs="Arial"/>
          <w:color w:val="000000" w:themeColor="text1"/>
        </w:rPr>
        <w:footnoteReference w:id="30"/>
      </w:r>
      <w:r w:rsidRPr="00A07D9A">
        <w:rPr>
          <w:rFonts w:cs="Arial"/>
          <w:color w:val="000000" w:themeColor="text1"/>
        </w:rPr>
        <w:t xml:space="preserve"> o significativa.</w:t>
      </w:r>
      <w:r w:rsidRPr="00A07D9A">
        <w:rPr>
          <w:rStyle w:val="Refdenotaalpie"/>
          <w:rFonts w:cs="Arial"/>
          <w:color w:val="000000" w:themeColor="text1"/>
        </w:rPr>
        <w:footnoteReference w:id="31"/>
      </w:r>
      <w:r w:rsidRPr="00A07D9A">
        <w:rPr>
          <w:rFonts w:cs="Arial"/>
          <w:color w:val="000000" w:themeColor="text1"/>
        </w:rPr>
        <w:t xml:space="preserve"> </w:t>
      </w:r>
      <w:r w:rsidR="00487121" w:rsidRPr="00A07D9A">
        <w:rPr>
          <w:rFonts w:cs="Arial"/>
          <w:color w:val="000000" w:themeColor="text1"/>
        </w:rPr>
        <w:t>Es así que s</w:t>
      </w:r>
      <w:r w:rsidR="001341CB" w:rsidRPr="00A07D9A">
        <w:rPr>
          <w:rFonts w:cs="Arial"/>
          <w:color w:val="000000" w:themeColor="text1"/>
        </w:rPr>
        <w:t xml:space="preserve">e trata de conceptos jurídicos indeterminados. </w:t>
      </w:r>
    </w:p>
    <w:p w14:paraId="54DDF211" w14:textId="77777777" w:rsidR="00143FF5" w:rsidRPr="00A07D9A" w:rsidRDefault="00487121" w:rsidP="00143FF5">
      <w:pPr>
        <w:rPr>
          <w:color w:val="000000" w:themeColor="text1"/>
        </w:rPr>
      </w:pPr>
      <w:r w:rsidRPr="00A07D9A">
        <w:rPr>
          <w:color w:val="000000" w:themeColor="text1"/>
        </w:rPr>
        <w:t>E</w:t>
      </w:r>
      <w:r w:rsidR="00143FF5" w:rsidRPr="00A07D9A">
        <w:rPr>
          <w:color w:val="000000" w:themeColor="text1"/>
        </w:rPr>
        <w:t xml:space="preserve">l </w:t>
      </w:r>
      <w:r w:rsidR="001F4B83" w:rsidRPr="00A07D9A">
        <w:rPr>
          <w:color w:val="000000" w:themeColor="text1"/>
        </w:rPr>
        <w:t>PJF</w:t>
      </w:r>
      <w:r w:rsidRPr="00A07D9A">
        <w:rPr>
          <w:color w:val="000000" w:themeColor="text1"/>
        </w:rPr>
        <w:t xml:space="preserve"> ha señalado en diversos criterios que</w:t>
      </w:r>
      <w:r w:rsidR="00143FF5" w:rsidRPr="00A07D9A">
        <w:rPr>
          <w:color w:val="000000" w:themeColor="text1"/>
        </w:rPr>
        <w:t xml:space="preserve"> las leyes no son diccionarios y por tanto, no pueden definir todos los conceptos que emplean. Toda vez que la norma no puede agotar la totalidad de casos posibles de aplicación, </w:t>
      </w:r>
      <w:r w:rsidR="00CE0870" w:rsidRPr="00A07D9A">
        <w:rPr>
          <w:color w:val="000000" w:themeColor="text1"/>
        </w:rPr>
        <w:t>los conceptos jurídicos indeterminados</w:t>
      </w:r>
      <w:r w:rsidR="00143FF5" w:rsidRPr="00A07D9A">
        <w:rPr>
          <w:color w:val="000000" w:themeColor="text1"/>
        </w:rPr>
        <w:t xml:space="preserve"> se definen caso por caso y se interpretan de forma armónica con las disposiciones que la</w:t>
      </w:r>
      <w:r w:rsidR="00CE0870" w:rsidRPr="00A07D9A">
        <w:rPr>
          <w:color w:val="000000" w:themeColor="text1"/>
        </w:rPr>
        <w:t xml:space="preserve">s leyes aplicables </w:t>
      </w:r>
      <w:r w:rsidR="00143FF5" w:rsidRPr="00A07D9A">
        <w:rPr>
          <w:color w:val="000000" w:themeColor="text1"/>
        </w:rPr>
        <w:t>establece</w:t>
      </w:r>
      <w:r w:rsidR="00CE0870" w:rsidRPr="00A07D9A">
        <w:rPr>
          <w:color w:val="000000" w:themeColor="text1"/>
        </w:rPr>
        <w:t>n</w:t>
      </w:r>
      <w:r w:rsidR="00143FF5" w:rsidRPr="00A07D9A">
        <w:rPr>
          <w:color w:val="000000" w:themeColor="text1"/>
        </w:rPr>
        <w:t>, para que su contenido adquiera sentido y precisión.</w:t>
      </w:r>
      <w:r w:rsidR="00143FF5" w:rsidRPr="00A07D9A">
        <w:rPr>
          <w:rStyle w:val="Refdenotaalpie"/>
          <w:color w:val="000000" w:themeColor="text1"/>
          <w:szCs w:val="20"/>
        </w:rPr>
        <w:footnoteReference w:id="32"/>
      </w:r>
    </w:p>
    <w:p w14:paraId="619C52B6" w14:textId="77777777" w:rsidR="00143FF5" w:rsidRPr="00A07D9A" w:rsidRDefault="00143FF5" w:rsidP="00143FF5">
      <w:pPr>
        <w:rPr>
          <w:color w:val="000000" w:themeColor="text1"/>
        </w:rPr>
      </w:pPr>
      <w:r w:rsidRPr="00A07D9A">
        <w:rPr>
          <w:color w:val="000000" w:themeColor="text1"/>
        </w:rPr>
        <w:t xml:space="preserve">La inclusión de conceptos jurídicos indeterminados </w:t>
      </w:r>
      <w:r w:rsidR="00487121" w:rsidRPr="00A07D9A">
        <w:rPr>
          <w:color w:val="000000" w:themeColor="text1"/>
        </w:rPr>
        <w:t xml:space="preserve">en la norma, </w:t>
      </w:r>
      <w:r w:rsidR="001853A8" w:rsidRPr="00A07D9A">
        <w:rPr>
          <w:color w:val="000000" w:themeColor="text1"/>
        </w:rPr>
        <w:t>permite</w:t>
      </w:r>
      <w:r w:rsidRPr="00A07D9A">
        <w:rPr>
          <w:color w:val="000000" w:themeColor="text1"/>
        </w:rPr>
        <w:t xml:space="preserve"> al Instituto a emplear la información que, a su juicio, sea necesaria para llevar a cabo el análisis del asunto específico y cuya razonabilidad debe acreditarse en el caso </w:t>
      </w:r>
      <w:r w:rsidRPr="00A07D9A">
        <w:rPr>
          <w:color w:val="000000" w:themeColor="text1"/>
        </w:rPr>
        <w:lastRenderedPageBreak/>
        <w:t>concreto, tomando como referencia la relación que debe guardar con los hechos que sean materia y contenido del análisis realizado.</w:t>
      </w:r>
      <w:r w:rsidRPr="00A07D9A">
        <w:rPr>
          <w:rStyle w:val="Refdenotaalpie"/>
          <w:color w:val="000000" w:themeColor="text1"/>
          <w:szCs w:val="20"/>
        </w:rPr>
        <w:footnoteReference w:id="33"/>
      </w:r>
    </w:p>
    <w:p w14:paraId="451DF678" w14:textId="77777777" w:rsidR="00DD7437" w:rsidRPr="00A07D9A" w:rsidRDefault="00DD7437" w:rsidP="00DD7437">
      <w:pPr>
        <w:rPr>
          <w:color w:val="000000" w:themeColor="text1"/>
        </w:rPr>
      </w:pPr>
      <w:r w:rsidRPr="00A07D9A">
        <w:rPr>
          <w:color w:val="000000" w:themeColor="text1"/>
        </w:rPr>
        <w:t xml:space="preserve">Los conceptos de control e influencia decisiva o significativa sirven para identificar si dos o más agentes económicos </w:t>
      </w:r>
      <w:r w:rsidR="00487121" w:rsidRPr="00A07D9A">
        <w:rPr>
          <w:color w:val="000000" w:themeColor="text1"/>
        </w:rPr>
        <w:t xml:space="preserve">son </w:t>
      </w:r>
      <w:r w:rsidRPr="00A07D9A">
        <w:rPr>
          <w:color w:val="000000" w:themeColor="text1"/>
        </w:rPr>
        <w:t>autónomos e independientes entre sí, o bien, si en virtud de los vínculos que existan o puedan existir (ej. a partir de una concentración propuesta) deben ser considerados partes de un mismo Grupo de Interés Económico y, en consecuencia, el mismo Agente Económico.</w:t>
      </w:r>
      <w:r w:rsidRPr="00A07D9A">
        <w:rPr>
          <w:rStyle w:val="Refdenotaalpie"/>
          <w:color w:val="000000" w:themeColor="text1"/>
        </w:rPr>
        <w:footnoteReference w:id="34"/>
      </w:r>
    </w:p>
    <w:p w14:paraId="29853814" w14:textId="77777777" w:rsidR="00C83A4C" w:rsidRPr="00A07D9A" w:rsidRDefault="00AC73E4" w:rsidP="00DD7437">
      <w:pPr>
        <w:rPr>
          <w:color w:val="000000" w:themeColor="text1"/>
        </w:rPr>
      </w:pPr>
      <w:r w:rsidRPr="00A07D9A">
        <w:rPr>
          <w:color w:val="000000" w:themeColor="text1"/>
        </w:rPr>
        <w:t>La existencia del control e influencia decisiva o significativa</w:t>
      </w:r>
      <w:r w:rsidR="00C83A4C" w:rsidRPr="00A07D9A">
        <w:rPr>
          <w:color w:val="000000" w:themeColor="text1"/>
        </w:rPr>
        <w:t xml:space="preserve"> se </w:t>
      </w:r>
      <w:r w:rsidR="00487121" w:rsidRPr="00A07D9A">
        <w:rPr>
          <w:color w:val="000000" w:themeColor="text1"/>
        </w:rPr>
        <w:t>puede</w:t>
      </w:r>
      <w:r w:rsidR="00C83A4C" w:rsidRPr="00A07D9A">
        <w:rPr>
          <w:color w:val="000000" w:themeColor="text1"/>
        </w:rPr>
        <w:t xml:space="preserve"> determina</w:t>
      </w:r>
      <w:r w:rsidR="00487121" w:rsidRPr="00A07D9A">
        <w:rPr>
          <w:color w:val="000000" w:themeColor="text1"/>
        </w:rPr>
        <w:t>r</w:t>
      </w:r>
      <w:r w:rsidR="00C83A4C" w:rsidRPr="00A07D9A">
        <w:rPr>
          <w:color w:val="000000" w:themeColor="text1"/>
        </w:rPr>
        <w:t xml:space="preserve"> como resultado de los vínculos</w:t>
      </w:r>
      <w:r w:rsidR="00470F64" w:rsidRPr="00A07D9A">
        <w:rPr>
          <w:color w:val="000000" w:themeColor="text1"/>
        </w:rPr>
        <w:t xml:space="preserve"> </w:t>
      </w:r>
      <w:r w:rsidR="00C83A4C" w:rsidRPr="00A07D9A">
        <w:rPr>
          <w:color w:val="000000" w:themeColor="text1"/>
        </w:rPr>
        <w:t xml:space="preserve">de tipo de comercial, organizativo, económico o jurídico </w:t>
      </w:r>
      <w:r w:rsidR="00DD7437" w:rsidRPr="00A07D9A">
        <w:rPr>
          <w:color w:val="000000" w:themeColor="text1"/>
        </w:rPr>
        <w:t>entre dos o más</w:t>
      </w:r>
      <w:r w:rsidR="00487121" w:rsidRPr="00A07D9A">
        <w:rPr>
          <w:color w:val="000000" w:themeColor="text1"/>
        </w:rPr>
        <w:t xml:space="preserve"> agentes </w:t>
      </w:r>
      <w:r w:rsidR="004B54A6" w:rsidRPr="00A07D9A">
        <w:rPr>
          <w:color w:val="000000" w:themeColor="text1"/>
        </w:rPr>
        <w:t xml:space="preserve">económicos. </w:t>
      </w:r>
    </w:p>
    <w:p w14:paraId="76C532FA" w14:textId="77777777" w:rsidR="00E54CAC" w:rsidRPr="00A07D9A" w:rsidRDefault="003962C1" w:rsidP="00E54CAC">
      <w:pPr>
        <w:pStyle w:val="Ttulo3"/>
        <w:rPr>
          <w:color w:val="000000" w:themeColor="text1"/>
        </w:rPr>
      </w:pPr>
      <w:bookmarkStart w:id="15" w:name="_Toc486519798"/>
      <w:r w:rsidRPr="00A07D9A">
        <w:rPr>
          <w:color w:val="000000" w:themeColor="text1"/>
        </w:rPr>
        <w:t>Cont</w:t>
      </w:r>
      <w:r w:rsidR="00E54CAC" w:rsidRPr="00A07D9A">
        <w:rPr>
          <w:color w:val="000000" w:themeColor="text1"/>
        </w:rPr>
        <w:t>rol</w:t>
      </w:r>
      <w:r w:rsidR="00252F19" w:rsidRPr="00A07D9A">
        <w:rPr>
          <w:color w:val="000000" w:themeColor="text1"/>
        </w:rPr>
        <w:t xml:space="preserve"> o influencia </w:t>
      </w:r>
      <w:r w:rsidR="00347F8F" w:rsidRPr="00A07D9A">
        <w:rPr>
          <w:color w:val="000000" w:themeColor="text1"/>
        </w:rPr>
        <w:t>D</w:t>
      </w:r>
      <w:r w:rsidR="00252F19" w:rsidRPr="00A07D9A">
        <w:rPr>
          <w:color w:val="000000" w:themeColor="text1"/>
        </w:rPr>
        <w:t>ecisiva</w:t>
      </w:r>
      <w:r w:rsidR="00A343F2" w:rsidRPr="00A07D9A">
        <w:rPr>
          <w:rStyle w:val="Refdenotaalpie"/>
          <w:color w:val="000000" w:themeColor="text1"/>
        </w:rPr>
        <w:footnoteReference w:id="35"/>
      </w:r>
      <w:bookmarkEnd w:id="15"/>
    </w:p>
    <w:p w14:paraId="06418740" w14:textId="77777777" w:rsidR="00FC14BD" w:rsidRPr="00A07D9A" w:rsidRDefault="00FC14BD" w:rsidP="00E54CAC">
      <w:pPr>
        <w:rPr>
          <w:rFonts w:cs="Arial"/>
          <w:b/>
          <w:color w:val="000000" w:themeColor="text1"/>
        </w:rPr>
      </w:pPr>
      <w:r w:rsidRPr="00A07D9A">
        <w:rPr>
          <w:rFonts w:cs="Arial"/>
          <w:b/>
          <w:color w:val="000000" w:themeColor="text1"/>
        </w:rPr>
        <w:t>Definición</w:t>
      </w:r>
    </w:p>
    <w:p w14:paraId="1AEE616B" w14:textId="77777777" w:rsidR="00E54CAC" w:rsidRPr="00A07D9A" w:rsidRDefault="00E54CAC" w:rsidP="00E54CAC">
      <w:pPr>
        <w:rPr>
          <w:rFonts w:cs="Arial"/>
          <w:color w:val="000000" w:themeColor="text1"/>
        </w:rPr>
      </w:pPr>
      <w:r w:rsidRPr="00A07D9A">
        <w:rPr>
          <w:rFonts w:cs="Arial"/>
          <w:color w:val="000000" w:themeColor="text1"/>
        </w:rPr>
        <w:t>La capacidad, de hecho o de derecho, de un</w:t>
      </w:r>
      <w:r w:rsidR="00487121" w:rsidRPr="00A07D9A">
        <w:rPr>
          <w:rFonts w:cs="Arial"/>
          <w:color w:val="000000" w:themeColor="text1"/>
        </w:rPr>
        <w:t xml:space="preserve"> agente económico</w:t>
      </w:r>
      <w:r w:rsidRPr="00A07D9A">
        <w:rPr>
          <w:rFonts w:cs="Arial"/>
          <w:color w:val="000000" w:themeColor="text1"/>
        </w:rPr>
        <w:t xml:space="preserve"> de participar o intervenir en forma </w:t>
      </w:r>
      <w:r w:rsidRPr="00A07D9A">
        <w:rPr>
          <w:rFonts w:cs="Arial"/>
          <w:b/>
          <w:color w:val="000000" w:themeColor="text1"/>
          <w:u w:val="single"/>
        </w:rPr>
        <w:t>decisiva</w:t>
      </w:r>
      <w:r w:rsidRPr="00A07D9A">
        <w:rPr>
          <w:rFonts w:cs="Arial"/>
          <w:color w:val="000000" w:themeColor="text1"/>
        </w:rPr>
        <w:t>, directa o indirectamente, por cualquier medio en las decisiones que incluyen pero no se limitan a la administración, la definición de las políticas y los objetivos o la gestión, conducción y ejecución de las actividades de otr</w:t>
      </w:r>
      <w:r w:rsidR="00331E60" w:rsidRPr="00A07D9A">
        <w:rPr>
          <w:rFonts w:cs="Arial"/>
          <w:color w:val="000000" w:themeColor="text1"/>
        </w:rPr>
        <w:t>o</w:t>
      </w:r>
      <w:r w:rsidRPr="00A07D9A">
        <w:rPr>
          <w:rFonts w:cs="Arial"/>
          <w:color w:val="000000" w:themeColor="text1"/>
        </w:rPr>
        <w:t xml:space="preserve">(s) </w:t>
      </w:r>
      <w:r w:rsidR="00331E60" w:rsidRPr="00A07D9A">
        <w:rPr>
          <w:color w:val="000000" w:themeColor="text1"/>
        </w:rPr>
        <w:t>agente (s) económico</w:t>
      </w:r>
      <w:r w:rsidRPr="00A07D9A">
        <w:rPr>
          <w:rFonts w:cs="Arial"/>
          <w:color w:val="000000" w:themeColor="text1"/>
        </w:rPr>
        <w:t>(s).</w:t>
      </w:r>
    </w:p>
    <w:p w14:paraId="461BFE11" w14:textId="77777777" w:rsidR="00B20695" w:rsidRPr="00A07D9A" w:rsidRDefault="00B20695" w:rsidP="00E54CAC">
      <w:pPr>
        <w:rPr>
          <w:rFonts w:cs="Arial"/>
          <w:b/>
          <w:color w:val="000000" w:themeColor="text1"/>
        </w:rPr>
      </w:pPr>
      <w:r w:rsidRPr="00A07D9A">
        <w:rPr>
          <w:rFonts w:cs="Arial"/>
          <w:b/>
          <w:color w:val="000000" w:themeColor="text1"/>
        </w:rPr>
        <w:t>Alcances</w:t>
      </w:r>
    </w:p>
    <w:p w14:paraId="3AEEB4DB" w14:textId="77777777" w:rsidR="004B613B" w:rsidRPr="00A07D9A" w:rsidRDefault="004B613B" w:rsidP="00E54CAC">
      <w:pPr>
        <w:rPr>
          <w:rFonts w:cs="Arial"/>
          <w:color w:val="000000" w:themeColor="text1"/>
        </w:rPr>
      </w:pPr>
      <w:r w:rsidRPr="00A07D9A">
        <w:rPr>
          <w:rFonts w:cs="Arial"/>
          <w:color w:val="000000" w:themeColor="text1"/>
        </w:rPr>
        <w:t xml:space="preserve">A partir de esta definición, no es necesario que se ejerza </w:t>
      </w:r>
      <w:r w:rsidR="008930BA" w:rsidRPr="00A07D9A">
        <w:rPr>
          <w:rFonts w:cs="Arial"/>
          <w:color w:val="000000" w:themeColor="text1"/>
        </w:rPr>
        <w:t xml:space="preserve">el control o </w:t>
      </w:r>
      <w:r w:rsidRPr="00A07D9A">
        <w:rPr>
          <w:rFonts w:cs="Arial"/>
          <w:color w:val="000000" w:themeColor="text1"/>
        </w:rPr>
        <w:t>influencia decisiva. Basta con tener la capacidad de ejercerla.</w:t>
      </w:r>
    </w:p>
    <w:p w14:paraId="729D17DD" w14:textId="77777777" w:rsidR="00B20695" w:rsidRPr="00A07D9A" w:rsidRDefault="00B20695" w:rsidP="00E54CAC">
      <w:pPr>
        <w:rPr>
          <w:rFonts w:cs="Arial"/>
          <w:color w:val="000000" w:themeColor="text1"/>
        </w:rPr>
      </w:pPr>
      <w:r w:rsidRPr="00A07D9A">
        <w:rPr>
          <w:rFonts w:cs="Arial"/>
          <w:color w:val="000000" w:themeColor="text1"/>
        </w:rPr>
        <w:lastRenderedPageBreak/>
        <w:t>La existencia de elementos que otorguen a un</w:t>
      </w:r>
      <w:r w:rsidR="001853A8" w:rsidRPr="00A07D9A">
        <w:rPr>
          <w:rFonts w:cs="Arial"/>
          <w:color w:val="000000" w:themeColor="text1"/>
        </w:rPr>
        <w:t xml:space="preserve"> Agente </w:t>
      </w:r>
      <w:r w:rsidR="004B54A6" w:rsidRPr="00A07D9A">
        <w:rPr>
          <w:rFonts w:cs="Arial"/>
          <w:color w:val="000000" w:themeColor="text1"/>
        </w:rPr>
        <w:t>Económico la</w:t>
      </w:r>
      <w:r w:rsidRPr="00A07D9A">
        <w:rPr>
          <w:rFonts w:cs="Arial"/>
          <w:color w:val="000000" w:themeColor="text1"/>
        </w:rPr>
        <w:t xml:space="preserve"> capacidad de ejercer control o influencia decisiva sobre otra(s) permiten determinar que esas personas forman parte de un mismo Agente Económico, en su dimensión de Grupo de Interés Económico. </w:t>
      </w:r>
    </w:p>
    <w:p w14:paraId="0FA95F1E" w14:textId="77777777" w:rsidR="00FC14BD" w:rsidRPr="00A07D9A" w:rsidRDefault="00FC14BD" w:rsidP="00E54CAC">
      <w:pPr>
        <w:rPr>
          <w:rFonts w:cs="Arial"/>
          <w:b/>
          <w:color w:val="000000" w:themeColor="text1"/>
        </w:rPr>
      </w:pPr>
      <w:r w:rsidRPr="00A07D9A">
        <w:rPr>
          <w:rFonts w:cs="Arial"/>
          <w:b/>
          <w:color w:val="000000" w:themeColor="text1"/>
        </w:rPr>
        <w:t>Elementos de referencia para determinar su existencia</w:t>
      </w:r>
    </w:p>
    <w:p w14:paraId="6FB2AFAD" w14:textId="77777777" w:rsidR="00E54CAC" w:rsidRPr="00A07D9A" w:rsidRDefault="00E54CAC" w:rsidP="00E54CAC">
      <w:pPr>
        <w:rPr>
          <w:rFonts w:cs="Arial"/>
          <w:color w:val="000000" w:themeColor="text1"/>
        </w:rPr>
      </w:pPr>
      <w:r w:rsidRPr="00A07D9A">
        <w:rPr>
          <w:rFonts w:cs="Arial"/>
          <w:color w:val="000000" w:themeColor="text1"/>
        </w:rPr>
        <w:t>El control</w:t>
      </w:r>
      <w:r w:rsidR="003E700D" w:rsidRPr="00A07D9A">
        <w:rPr>
          <w:rFonts w:cs="Arial"/>
          <w:color w:val="000000" w:themeColor="text1"/>
        </w:rPr>
        <w:t xml:space="preserve"> o influencia decisiva</w:t>
      </w:r>
      <w:r w:rsidRPr="00A07D9A">
        <w:rPr>
          <w:rFonts w:cs="Arial"/>
          <w:color w:val="000000" w:themeColor="text1"/>
        </w:rPr>
        <w:t xml:space="preserve"> </w:t>
      </w:r>
      <w:r w:rsidR="00331E60" w:rsidRPr="00A07D9A">
        <w:rPr>
          <w:rFonts w:cs="Arial"/>
          <w:color w:val="000000" w:themeColor="text1"/>
        </w:rPr>
        <w:t xml:space="preserve">puede </w:t>
      </w:r>
      <w:r w:rsidRPr="00A07D9A">
        <w:rPr>
          <w:rFonts w:cs="Arial"/>
          <w:color w:val="000000" w:themeColor="text1"/>
        </w:rPr>
        <w:t>resulta</w:t>
      </w:r>
      <w:r w:rsidR="00331E60" w:rsidRPr="00A07D9A">
        <w:rPr>
          <w:rFonts w:cs="Arial"/>
          <w:color w:val="000000" w:themeColor="text1"/>
        </w:rPr>
        <w:t>r</w:t>
      </w:r>
      <w:r w:rsidRPr="00A07D9A">
        <w:rPr>
          <w:rFonts w:cs="Arial"/>
          <w:color w:val="000000" w:themeColor="text1"/>
        </w:rPr>
        <w:t xml:space="preserve"> de los derechos, contratos</w:t>
      </w:r>
      <w:r w:rsidR="00434E11" w:rsidRPr="00A07D9A">
        <w:rPr>
          <w:rFonts w:cs="Arial"/>
          <w:color w:val="000000" w:themeColor="text1"/>
        </w:rPr>
        <w:t>,</w:t>
      </w:r>
      <w:r w:rsidR="00D94814" w:rsidRPr="00A07D9A">
        <w:rPr>
          <w:rStyle w:val="Refdenotaalpie"/>
          <w:rFonts w:cs="Arial"/>
          <w:color w:val="000000" w:themeColor="text1"/>
        </w:rPr>
        <w:footnoteReference w:id="36"/>
      </w:r>
      <w:r w:rsidRPr="00A07D9A">
        <w:rPr>
          <w:rFonts w:cs="Arial"/>
          <w:color w:val="000000" w:themeColor="text1"/>
        </w:rPr>
        <w:t xml:space="preserve"> </w:t>
      </w:r>
      <w:r w:rsidR="00434E11" w:rsidRPr="00A07D9A">
        <w:rPr>
          <w:rFonts w:cs="Arial"/>
          <w:color w:val="000000" w:themeColor="text1"/>
        </w:rPr>
        <w:t xml:space="preserve">relaciones económicas, comerciales o financieras </w:t>
      </w:r>
      <w:r w:rsidRPr="00A07D9A">
        <w:rPr>
          <w:rFonts w:cs="Arial"/>
          <w:color w:val="000000" w:themeColor="text1"/>
        </w:rPr>
        <w:t>u otros medios que por sí mismos o en conjunto otorgan la capacidad antes señalada.</w:t>
      </w:r>
    </w:p>
    <w:p w14:paraId="350A7F60" w14:textId="77777777" w:rsidR="003962C1" w:rsidRPr="00A07D9A" w:rsidRDefault="003E700D" w:rsidP="003962C1">
      <w:pPr>
        <w:rPr>
          <w:rFonts w:cs="Arial"/>
          <w:color w:val="000000" w:themeColor="text1"/>
        </w:rPr>
      </w:pPr>
      <w:r w:rsidRPr="00A07D9A">
        <w:rPr>
          <w:rFonts w:cs="Arial"/>
          <w:color w:val="000000" w:themeColor="text1"/>
        </w:rPr>
        <w:t>Si bien es cierto que existe una variedad de formas en que un Agente Económico puede adquirir el control o influencia decisiva sobre otro,</w:t>
      </w:r>
      <w:r w:rsidR="003962C1" w:rsidRPr="00A07D9A">
        <w:rPr>
          <w:rFonts w:cs="Arial"/>
          <w:color w:val="000000" w:themeColor="text1"/>
        </w:rPr>
        <w:t xml:space="preserve"> entre los elementos de referencia para identificar lo anterior</w:t>
      </w:r>
      <w:r w:rsidR="001853A8" w:rsidRPr="00A07D9A">
        <w:rPr>
          <w:rFonts w:cs="Arial"/>
          <w:color w:val="000000" w:themeColor="text1"/>
        </w:rPr>
        <w:t xml:space="preserve">, de manera enunciativa </w:t>
      </w:r>
      <w:proofErr w:type="gramStart"/>
      <w:r w:rsidR="001853A8" w:rsidRPr="00A07D9A">
        <w:rPr>
          <w:rFonts w:cs="Arial"/>
          <w:color w:val="000000" w:themeColor="text1"/>
        </w:rPr>
        <w:t>m</w:t>
      </w:r>
      <w:r w:rsidR="001F4B83" w:rsidRPr="00A07D9A">
        <w:rPr>
          <w:rFonts w:cs="Arial"/>
          <w:color w:val="000000" w:themeColor="text1"/>
        </w:rPr>
        <w:t>a</w:t>
      </w:r>
      <w:r w:rsidR="001853A8" w:rsidRPr="00A07D9A">
        <w:rPr>
          <w:rFonts w:cs="Arial"/>
          <w:color w:val="000000" w:themeColor="text1"/>
        </w:rPr>
        <w:t>s</w:t>
      </w:r>
      <w:proofErr w:type="gramEnd"/>
      <w:r w:rsidR="001853A8" w:rsidRPr="00A07D9A">
        <w:rPr>
          <w:rFonts w:cs="Arial"/>
          <w:color w:val="000000" w:themeColor="text1"/>
        </w:rPr>
        <w:t xml:space="preserve"> no limitativa,</w:t>
      </w:r>
      <w:r w:rsidR="003962C1" w:rsidRPr="00A07D9A">
        <w:rPr>
          <w:rFonts w:cs="Arial"/>
          <w:color w:val="000000" w:themeColor="text1"/>
        </w:rPr>
        <w:t xml:space="preserve"> se encuentran los siguientes:</w:t>
      </w:r>
    </w:p>
    <w:p w14:paraId="6EC565B5" w14:textId="77777777" w:rsidR="00E54CAC" w:rsidRPr="00A07D9A" w:rsidRDefault="00E54CAC" w:rsidP="008F672A">
      <w:pPr>
        <w:pStyle w:val="Prrafodelista"/>
        <w:numPr>
          <w:ilvl w:val="0"/>
          <w:numId w:val="62"/>
        </w:numPr>
        <w:rPr>
          <w:rFonts w:cs="Arial"/>
          <w:color w:val="000000" w:themeColor="text1"/>
        </w:rPr>
      </w:pPr>
      <w:r w:rsidRPr="00A07D9A">
        <w:rPr>
          <w:rFonts w:cs="Arial"/>
          <w:color w:val="000000" w:themeColor="text1"/>
        </w:rPr>
        <w:t>La capacidad o el derecho para designar, nombrar, vetar o destituir a</w:t>
      </w:r>
      <w:r w:rsidR="005C64EE" w:rsidRPr="00A07D9A">
        <w:rPr>
          <w:rFonts w:cs="Arial"/>
          <w:color w:val="000000" w:themeColor="text1"/>
        </w:rPr>
        <w:t xml:space="preserve">: (i) </w:t>
      </w:r>
      <w:r w:rsidR="00ED78DF" w:rsidRPr="00A07D9A">
        <w:rPr>
          <w:rFonts w:cs="Arial"/>
          <w:color w:val="000000" w:themeColor="text1"/>
        </w:rPr>
        <w:t xml:space="preserve">la mayoría de </w:t>
      </w:r>
      <w:r w:rsidRPr="00A07D9A">
        <w:rPr>
          <w:rFonts w:cs="Arial"/>
          <w:color w:val="000000" w:themeColor="text1"/>
        </w:rPr>
        <w:t>los miembros que integren el o los órganos encargados de tomar las decisiones que incluyen pero no se limitan a la administración, la definición de las políticas y los objetivos o la gestión, conducción y ejecución de las ac</w:t>
      </w:r>
      <w:r w:rsidR="00D85EF8" w:rsidRPr="00A07D9A">
        <w:rPr>
          <w:rFonts w:cs="Arial"/>
          <w:color w:val="000000" w:themeColor="text1"/>
        </w:rPr>
        <w:t>tividades de la otra persona; y</w:t>
      </w:r>
      <w:r w:rsidRPr="00A07D9A">
        <w:rPr>
          <w:rFonts w:cs="Arial"/>
          <w:color w:val="000000" w:themeColor="text1"/>
        </w:rPr>
        <w:t xml:space="preserve"> </w:t>
      </w:r>
      <w:r w:rsidR="005C64EE" w:rsidRPr="00A07D9A">
        <w:rPr>
          <w:rFonts w:cs="Arial"/>
          <w:color w:val="000000" w:themeColor="text1"/>
        </w:rPr>
        <w:t xml:space="preserve">(ii) </w:t>
      </w:r>
      <w:r w:rsidRPr="00A07D9A">
        <w:rPr>
          <w:rFonts w:cs="Arial"/>
          <w:color w:val="000000" w:themeColor="text1"/>
        </w:rPr>
        <w:t>a los directivos, gerentes, administradores o sus equivalentes</w:t>
      </w:r>
      <w:r w:rsidR="005C64EE" w:rsidRPr="00A07D9A">
        <w:rPr>
          <w:rFonts w:cs="Arial"/>
          <w:color w:val="000000" w:themeColor="text1"/>
        </w:rPr>
        <w:t xml:space="preserve"> que toman esas decisiones</w:t>
      </w:r>
      <w:r w:rsidRPr="00A07D9A">
        <w:rPr>
          <w:rFonts w:cs="Arial"/>
          <w:color w:val="000000" w:themeColor="text1"/>
        </w:rPr>
        <w:t>;</w:t>
      </w:r>
      <w:r w:rsidRPr="00A07D9A">
        <w:rPr>
          <w:rStyle w:val="Refdenotaalpie"/>
          <w:rFonts w:cs="Arial"/>
          <w:color w:val="000000" w:themeColor="text1"/>
        </w:rPr>
        <w:footnoteReference w:id="37"/>
      </w:r>
    </w:p>
    <w:p w14:paraId="25DBB6CF" w14:textId="77777777" w:rsidR="00E54CAC" w:rsidRPr="00A07D9A" w:rsidRDefault="00E54CAC" w:rsidP="008F672A">
      <w:pPr>
        <w:pStyle w:val="Prrafodelista"/>
        <w:numPr>
          <w:ilvl w:val="0"/>
          <w:numId w:val="62"/>
        </w:numPr>
        <w:rPr>
          <w:rFonts w:cs="Arial"/>
          <w:color w:val="000000" w:themeColor="text1"/>
        </w:rPr>
      </w:pPr>
      <w:r w:rsidRPr="00A07D9A">
        <w:rPr>
          <w:rFonts w:cs="Arial"/>
          <w:color w:val="000000" w:themeColor="text1"/>
        </w:rPr>
        <w:t>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 anterior</w:t>
      </w:r>
      <w:r w:rsidR="006273DC" w:rsidRPr="00A07D9A">
        <w:rPr>
          <w:rFonts w:cs="Arial"/>
          <w:color w:val="000000" w:themeColor="text1"/>
        </w:rPr>
        <w:t>;</w:t>
      </w:r>
    </w:p>
    <w:p w14:paraId="7900E5F5" w14:textId="77777777" w:rsidR="00E54CAC" w:rsidRPr="00A07D9A" w:rsidRDefault="00E54CAC" w:rsidP="008F672A">
      <w:pPr>
        <w:pStyle w:val="Prrafodelista"/>
        <w:numPr>
          <w:ilvl w:val="0"/>
          <w:numId w:val="62"/>
        </w:numPr>
        <w:rPr>
          <w:rFonts w:cs="Arial"/>
          <w:color w:val="000000" w:themeColor="text1"/>
        </w:rPr>
      </w:pPr>
      <w:r w:rsidRPr="00A07D9A">
        <w:rPr>
          <w:rFonts w:cs="Arial"/>
          <w:color w:val="000000" w:themeColor="text1"/>
        </w:rPr>
        <w:t>Haber celebrado acuerdos, contratos, convenios o cualquier acto que otorgue a una persona beneficios similares a los señalados en los incisos a) y b) precedentes, o la capacidad de tener esos beneficios. Al respecto, para evaluar este inciso, se podrá considerar:</w:t>
      </w:r>
    </w:p>
    <w:p w14:paraId="3282E223" w14:textId="77777777" w:rsidR="00E54CAC" w:rsidRPr="00A07D9A" w:rsidRDefault="00E54CAC" w:rsidP="008F672A">
      <w:pPr>
        <w:pStyle w:val="Prrafodelista"/>
        <w:numPr>
          <w:ilvl w:val="1"/>
          <w:numId w:val="65"/>
        </w:numPr>
        <w:ind w:left="709"/>
        <w:rPr>
          <w:rFonts w:cs="Arial"/>
          <w:color w:val="000000" w:themeColor="text1"/>
        </w:rPr>
      </w:pPr>
      <w:r w:rsidRPr="00A07D9A">
        <w:rPr>
          <w:rFonts w:cs="Arial"/>
          <w:color w:val="000000" w:themeColor="text1"/>
        </w:rPr>
        <w:t xml:space="preserve">La capacidad o el derecho de participar o intervenir en forma decisiva en la toma de decisiones que incluyen pero no se limitan a la administración, la definición de las políticas y los objetivos o la gestión, conducción y ejecución de las actividades de otra persona; </w:t>
      </w:r>
    </w:p>
    <w:p w14:paraId="622A358D" w14:textId="77777777" w:rsidR="00E54CAC" w:rsidRPr="00A07D9A" w:rsidRDefault="00E54CAC" w:rsidP="008F672A">
      <w:pPr>
        <w:pStyle w:val="Prrafodelista"/>
        <w:numPr>
          <w:ilvl w:val="1"/>
          <w:numId w:val="65"/>
        </w:numPr>
        <w:ind w:left="709"/>
        <w:rPr>
          <w:rFonts w:cs="Arial"/>
          <w:color w:val="000000" w:themeColor="text1"/>
        </w:rPr>
      </w:pPr>
      <w:r w:rsidRPr="00A07D9A">
        <w:rPr>
          <w:rFonts w:cs="Arial"/>
          <w:color w:val="000000" w:themeColor="text1"/>
        </w:rPr>
        <w:lastRenderedPageBreak/>
        <w:t>Cuando debido a su importancia en las ventas, las compras, los ingresos, la producción, el consumo, el financiamiento, los créditos o los adeudos, una persona pueda participar o intervenir en forma decisiva en las decisiones de otra persona, y</w:t>
      </w:r>
    </w:p>
    <w:p w14:paraId="08553E17" w14:textId="77777777" w:rsidR="00E54CAC" w:rsidRPr="00A07D9A" w:rsidRDefault="00E54CAC" w:rsidP="008F672A">
      <w:pPr>
        <w:pStyle w:val="Prrafodelista"/>
        <w:numPr>
          <w:ilvl w:val="1"/>
          <w:numId w:val="65"/>
        </w:numPr>
        <w:ind w:left="709"/>
        <w:rPr>
          <w:rFonts w:cs="Arial"/>
          <w:color w:val="000000" w:themeColor="text1"/>
        </w:rPr>
      </w:pPr>
      <w:r w:rsidRPr="00A07D9A">
        <w:rPr>
          <w:rFonts w:cs="Arial"/>
          <w:color w:val="000000" w:themeColor="text1"/>
        </w:rPr>
        <w:t>Tener derechos de propiedad, uso, usufructo o derechos fiduciarios sobre la mayor parte de los acti</w:t>
      </w:r>
      <w:r w:rsidR="006273DC" w:rsidRPr="00A07D9A">
        <w:rPr>
          <w:rFonts w:cs="Arial"/>
          <w:color w:val="000000" w:themeColor="text1"/>
        </w:rPr>
        <w:t>vos productivos de otra persona;</w:t>
      </w:r>
    </w:p>
    <w:p w14:paraId="493B9FFE" w14:textId="77777777" w:rsidR="00735B25" w:rsidRPr="00A07D9A" w:rsidRDefault="00735B25" w:rsidP="008F672A">
      <w:pPr>
        <w:pStyle w:val="Prrafodelista"/>
        <w:numPr>
          <w:ilvl w:val="0"/>
          <w:numId w:val="62"/>
        </w:numPr>
        <w:rPr>
          <w:rFonts w:cs="Arial"/>
          <w:color w:val="000000" w:themeColor="text1"/>
        </w:rPr>
      </w:pPr>
      <w:r w:rsidRPr="00A07D9A">
        <w:rPr>
          <w:rFonts w:cs="Arial"/>
          <w:color w:val="000000" w:themeColor="text1"/>
        </w:rPr>
        <w:t>Que existan intereses económicos, comerciales o financieros comunes;</w:t>
      </w:r>
    </w:p>
    <w:p w14:paraId="0F75B07D" w14:textId="77777777" w:rsidR="00E54CAC" w:rsidRPr="00A07D9A" w:rsidRDefault="00E54CAC" w:rsidP="008F672A">
      <w:pPr>
        <w:pStyle w:val="Prrafodelista"/>
        <w:numPr>
          <w:ilvl w:val="0"/>
          <w:numId w:val="62"/>
        </w:numPr>
        <w:rPr>
          <w:rFonts w:cs="Arial"/>
          <w:color w:val="000000" w:themeColor="text1"/>
        </w:rPr>
      </w:pPr>
      <w:r w:rsidRPr="00A07D9A">
        <w:rPr>
          <w:rFonts w:cs="Arial"/>
          <w:color w:val="000000" w:themeColor="text1"/>
        </w:rPr>
        <w:t xml:space="preserve">Que exista parentesco por consanguinidad, afinidad o civil hasta </w:t>
      </w:r>
      <w:r w:rsidR="00533EA7" w:rsidRPr="00A07D9A">
        <w:rPr>
          <w:rFonts w:cs="Arial"/>
          <w:color w:val="000000" w:themeColor="text1"/>
        </w:rPr>
        <w:t xml:space="preserve">el </w:t>
      </w:r>
      <w:r w:rsidRPr="00A07D9A">
        <w:rPr>
          <w:rFonts w:cs="Arial"/>
          <w:color w:val="000000" w:themeColor="text1"/>
        </w:rPr>
        <w:t>cuarto grado, los cónyuges y el concubinario, tratándose de personas físicas</w:t>
      </w:r>
      <w:r w:rsidRPr="00A07D9A">
        <w:rPr>
          <w:rStyle w:val="Refdenotaalpie"/>
          <w:rFonts w:cs="Arial"/>
          <w:color w:val="000000" w:themeColor="text1"/>
        </w:rPr>
        <w:footnoteReference w:id="38"/>
      </w:r>
      <w:r w:rsidRPr="00A07D9A">
        <w:rPr>
          <w:rFonts w:cs="Arial"/>
          <w:color w:val="000000" w:themeColor="text1"/>
        </w:rPr>
        <w:t xml:space="preserve"> que actualicen los supuestos establecidos en los incisos anteriores, y</w:t>
      </w:r>
    </w:p>
    <w:p w14:paraId="31005D63" w14:textId="77777777" w:rsidR="00E54CAC" w:rsidRPr="00A07D9A" w:rsidRDefault="00E54CAC" w:rsidP="008F672A">
      <w:pPr>
        <w:pStyle w:val="Prrafodelista"/>
        <w:numPr>
          <w:ilvl w:val="0"/>
          <w:numId w:val="62"/>
        </w:numPr>
        <w:rPr>
          <w:color w:val="000000" w:themeColor="text1"/>
        </w:rPr>
      </w:pPr>
      <w:r w:rsidRPr="00A07D9A">
        <w:rPr>
          <w:rFonts w:cs="Arial"/>
          <w:color w:val="000000" w:themeColor="text1"/>
        </w:rPr>
        <w:t>Cuando las partes expresamente así lo reconozcan.</w:t>
      </w:r>
      <w:r w:rsidR="00910B4F" w:rsidRPr="00A07D9A">
        <w:rPr>
          <w:rFonts w:cs="Arial"/>
          <w:color w:val="000000" w:themeColor="text1"/>
        </w:rPr>
        <w:t xml:space="preserve"> En este caso, el IFT puede tomar en consideración la información publicada por los agentes económicos, incluyendo </w:t>
      </w:r>
      <w:r w:rsidR="00331E60" w:rsidRPr="00A07D9A">
        <w:rPr>
          <w:rFonts w:cs="Arial"/>
          <w:color w:val="000000" w:themeColor="text1"/>
        </w:rPr>
        <w:t xml:space="preserve">aquella contenida en </w:t>
      </w:r>
      <w:r w:rsidR="00910B4F" w:rsidRPr="00A07D9A">
        <w:rPr>
          <w:rFonts w:cs="Arial"/>
          <w:color w:val="000000" w:themeColor="text1"/>
        </w:rPr>
        <w:t>sus páginas de Internet.</w:t>
      </w:r>
      <w:r w:rsidR="00910B4F" w:rsidRPr="00A07D9A">
        <w:rPr>
          <w:rStyle w:val="Refdenotaalpie"/>
          <w:rFonts w:cs="Arial"/>
          <w:color w:val="000000" w:themeColor="text1"/>
        </w:rPr>
        <w:footnoteReference w:id="39"/>
      </w:r>
    </w:p>
    <w:p w14:paraId="760B7EB8" w14:textId="77777777" w:rsidR="00E54CAC" w:rsidRPr="00A07D9A" w:rsidRDefault="00E54CAC" w:rsidP="00252F19">
      <w:pPr>
        <w:pStyle w:val="Ttulo3"/>
        <w:rPr>
          <w:color w:val="000000" w:themeColor="text1"/>
        </w:rPr>
      </w:pPr>
      <w:bookmarkStart w:id="16" w:name="_Toc462053106"/>
      <w:bookmarkStart w:id="17" w:name="_Toc486519799"/>
      <w:r w:rsidRPr="00A07D9A">
        <w:rPr>
          <w:color w:val="000000" w:themeColor="text1"/>
        </w:rPr>
        <w:t xml:space="preserve">Influencia </w:t>
      </w:r>
      <w:r w:rsidR="003E700D" w:rsidRPr="00A07D9A">
        <w:rPr>
          <w:color w:val="000000" w:themeColor="text1"/>
        </w:rPr>
        <w:t>o</w:t>
      </w:r>
      <w:r w:rsidR="006273DC" w:rsidRPr="00A07D9A">
        <w:rPr>
          <w:color w:val="000000" w:themeColor="text1"/>
        </w:rPr>
        <w:t xml:space="preserve"> Influencia </w:t>
      </w:r>
      <w:r w:rsidRPr="00A07D9A">
        <w:rPr>
          <w:color w:val="000000" w:themeColor="text1"/>
        </w:rPr>
        <w:t>Significativa</w:t>
      </w:r>
      <w:bookmarkEnd w:id="16"/>
      <w:bookmarkEnd w:id="17"/>
    </w:p>
    <w:p w14:paraId="32095E4B" w14:textId="77777777" w:rsidR="00FC14BD" w:rsidRPr="00A07D9A" w:rsidRDefault="00FC14BD" w:rsidP="00E54CAC">
      <w:pPr>
        <w:rPr>
          <w:rFonts w:cs="Arial"/>
          <w:b/>
          <w:color w:val="000000" w:themeColor="text1"/>
        </w:rPr>
      </w:pPr>
      <w:r w:rsidRPr="00A07D9A">
        <w:rPr>
          <w:rFonts w:cs="Arial"/>
          <w:b/>
          <w:color w:val="000000" w:themeColor="text1"/>
        </w:rPr>
        <w:t>Definición</w:t>
      </w:r>
    </w:p>
    <w:p w14:paraId="2C732A0E" w14:textId="77777777" w:rsidR="00E54CAC" w:rsidRPr="00A07D9A" w:rsidRDefault="00FC14BD" w:rsidP="00E54CAC">
      <w:pPr>
        <w:rPr>
          <w:rFonts w:cs="Arial"/>
          <w:color w:val="000000" w:themeColor="text1"/>
        </w:rPr>
      </w:pPr>
      <w:r w:rsidRPr="00A07D9A">
        <w:rPr>
          <w:rFonts w:cs="Arial"/>
          <w:color w:val="000000" w:themeColor="text1"/>
        </w:rPr>
        <w:t>Es l</w:t>
      </w:r>
      <w:r w:rsidR="00E54CAC" w:rsidRPr="00A07D9A">
        <w:rPr>
          <w:rFonts w:cs="Arial"/>
          <w:color w:val="000000" w:themeColor="text1"/>
        </w:rPr>
        <w:t>a capacidad, de hecho o de derecho, de un</w:t>
      </w:r>
      <w:r w:rsidR="00331E60" w:rsidRPr="00A07D9A">
        <w:rPr>
          <w:rFonts w:cs="Arial"/>
          <w:color w:val="000000" w:themeColor="text1"/>
        </w:rPr>
        <w:t xml:space="preserve"> </w:t>
      </w:r>
      <w:r w:rsidR="00E54CAC" w:rsidRPr="00A07D9A">
        <w:rPr>
          <w:rFonts w:cs="Arial"/>
          <w:color w:val="000000" w:themeColor="text1"/>
        </w:rPr>
        <w:t>a</w:t>
      </w:r>
      <w:r w:rsidR="00331E60" w:rsidRPr="00A07D9A">
        <w:rPr>
          <w:rFonts w:cs="Arial"/>
          <w:color w:val="000000" w:themeColor="text1"/>
        </w:rPr>
        <w:t xml:space="preserve">gente </w:t>
      </w:r>
      <w:r w:rsidR="004B54A6" w:rsidRPr="00A07D9A">
        <w:rPr>
          <w:rFonts w:cs="Arial"/>
          <w:color w:val="000000" w:themeColor="text1"/>
        </w:rPr>
        <w:t>económico</w:t>
      </w:r>
      <w:r w:rsidR="00E54CAC" w:rsidRPr="00A07D9A">
        <w:rPr>
          <w:rFonts w:cs="Arial"/>
          <w:color w:val="000000" w:themeColor="text1"/>
        </w:rPr>
        <w:t xml:space="preserve"> de participar o intervenir en forma </w:t>
      </w:r>
      <w:r w:rsidR="006273DC" w:rsidRPr="00A07D9A">
        <w:rPr>
          <w:rFonts w:cs="Arial"/>
          <w:b/>
          <w:color w:val="000000" w:themeColor="text1"/>
          <w:u w:val="single"/>
        </w:rPr>
        <w:t>significativa</w:t>
      </w:r>
      <w:r w:rsidR="00CA494F" w:rsidRPr="00A07D9A">
        <w:rPr>
          <w:rFonts w:cs="Arial"/>
          <w:b/>
          <w:color w:val="000000" w:themeColor="text1"/>
        </w:rPr>
        <w:t xml:space="preserve"> </w:t>
      </w:r>
      <w:r w:rsidR="006273DC" w:rsidRPr="00A07D9A">
        <w:rPr>
          <w:rFonts w:cs="Arial"/>
          <w:color w:val="000000" w:themeColor="text1"/>
        </w:rPr>
        <w:t>-</w:t>
      </w:r>
      <w:r w:rsidR="00AC73E4" w:rsidRPr="00A07D9A">
        <w:rPr>
          <w:rFonts w:cs="Arial"/>
          <w:color w:val="000000" w:themeColor="text1"/>
        </w:rPr>
        <w:t>n</w:t>
      </w:r>
      <w:r w:rsidR="00E54CAC" w:rsidRPr="00A07D9A">
        <w:rPr>
          <w:rFonts w:cs="Arial"/>
          <w:color w:val="000000" w:themeColor="text1"/>
        </w:rPr>
        <w:t>o decisiva</w:t>
      </w:r>
      <w:r w:rsidR="00AC73E4" w:rsidRPr="00A07D9A">
        <w:rPr>
          <w:rFonts w:cs="Arial"/>
          <w:color w:val="000000" w:themeColor="text1"/>
        </w:rPr>
        <w:t xml:space="preserve">- </w:t>
      </w:r>
      <w:r w:rsidR="00E54CAC" w:rsidRPr="00A07D9A">
        <w:rPr>
          <w:rFonts w:cs="Arial"/>
          <w:color w:val="000000" w:themeColor="text1"/>
        </w:rPr>
        <w:t>directa o indirectamente, por cualquier medio en las decisiones que incluyen pero no se limitan a la administración, la definición de las políticas y los objetivos o la gestión, conducción y ejecución de las actividades de otra(s) persona(s).</w:t>
      </w:r>
    </w:p>
    <w:p w14:paraId="59212783" w14:textId="77777777" w:rsidR="00B20695" w:rsidRPr="00A07D9A" w:rsidRDefault="00B20695" w:rsidP="00E54CAC">
      <w:pPr>
        <w:rPr>
          <w:rFonts w:cs="Arial"/>
          <w:b/>
          <w:color w:val="000000" w:themeColor="text1"/>
        </w:rPr>
      </w:pPr>
      <w:r w:rsidRPr="00A07D9A">
        <w:rPr>
          <w:rFonts w:cs="Arial"/>
          <w:b/>
          <w:color w:val="000000" w:themeColor="text1"/>
        </w:rPr>
        <w:t>Alcances</w:t>
      </w:r>
    </w:p>
    <w:p w14:paraId="67F5B0EB" w14:textId="77777777" w:rsidR="00B20695" w:rsidRPr="00A07D9A" w:rsidRDefault="00B20695" w:rsidP="00B20695">
      <w:pPr>
        <w:rPr>
          <w:rFonts w:cs="Arial"/>
          <w:color w:val="000000" w:themeColor="text1"/>
        </w:rPr>
      </w:pPr>
      <w:r w:rsidRPr="00A07D9A">
        <w:rPr>
          <w:rFonts w:cs="Arial"/>
          <w:color w:val="000000" w:themeColor="text1"/>
        </w:rPr>
        <w:t xml:space="preserve">A partir de esta definición, no es necesario que </w:t>
      </w:r>
      <w:r w:rsidR="00331E60" w:rsidRPr="00A07D9A">
        <w:rPr>
          <w:rFonts w:cs="Arial"/>
          <w:color w:val="000000" w:themeColor="text1"/>
        </w:rPr>
        <w:t>el agente económico de que se trate</w:t>
      </w:r>
      <w:r w:rsidRPr="00A07D9A">
        <w:rPr>
          <w:rFonts w:cs="Arial"/>
          <w:color w:val="000000" w:themeColor="text1"/>
        </w:rPr>
        <w:t xml:space="preserve"> ejerza la influencia o influencia significativa. Basta con tener la capacidad de ejercerla.</w:t>
      </w:r>
    </w:p>
    <w:p w14:paraId="57910987" w14:textId="77777777" w:rsidR="00B20695" w:rsidRPr="00A07D9A" w:rsidRDefault="00B20695" w:rsidP="00E54CAC">
      <w:pPr>
        <w:rPr>
          <w:rFonts w:cs="Arial"/>
          <w:color w:val="000000" w:themeColor="text1"/>
        </w:rPr>
      </w:pPr>
      <w:r w:rsidRPr="00A07D9A">
        <w:rPr>
          <w:rFonts w:cs="Arial"/>
          <w:color w:val="000000" w:themeColor="text1"/>
        </w:rPr>
        <w:t xml:space="preserve">La existencia de vínculos entre dos o más </w:t>
      </w:r>
      <w:r w:rsidRPr="00A07D9A">
        <w:rPr>
          <w:color w:val="000000" w:themeColor="text1"/>
        </w:rPr>
        <w:t>personas</w:t>
      </w:r>
      <w:r w:rsidRPr="00A07D9A">
        <w:rPr>
          <w:rFonts w:cs="Arial"/>
          <w:color w:val="000000" w:themeColor="text1"/>
        </w:rPr>
        <w:t xml:space="preserve"> que otorguen a una </w:t>
      </w:r>
      <w:r w:rsidR="001853A8" w:rsidRPr="00A07D9A">
        <w:rPr>
          <w:rFonts w:cs="Arial"/>
          <w:color w:val="000000" w:themeColor="text1"/>
        </w:rPr>
        <w:t xml:space="preserve">de ellas </w:t>
      </w:r>
      <w:r w:rsidRPr="00A07D9A">
        <w:rPr>
          <w:rFonts w:cs="Arial"/>
          <w:color w:val="000000" w:themeColor="text1"/>
        </w:rPr>
        <w:t xml:space="preserve">la capacidad de ejercer influencia o influencia significativa no significa </w:t>
      </w:r>
      <w:r w:rsidR="0083391D" w:rsidRPr="00A07D9A">
        <w:rPr>
          <w:rFonts w:cs="Arial"/>
          <w:color w:val="000000" w:themeColor="text1"/>
        </w:rPr>
        <w:t xml:space="preserve">que </w:t>
      </w:r>
      <w:r w:rsidRPr="00A07D9A">
        <w:rPr>
          <w:rFonts w:cs="Arial"/>
          <w:color w:val="000000" w:themeColor="text1"/>
        </w:rPr>
        <w:t xml:space="preserve">forman </w:t>
      </w:r>
      <w:r w:rsidRPr="00A07D9A">
        <w:rPr>
          <w:rFonts w:cs="Arial"/>
          <w:color w:val="000000" w:themeColor="text1"/>
        </w:rPr>
        <w:lastRenderedPageBreak/>
        <w:t>parte de un mismo Agente Económico, pero sí constituyen indicios de que no son completamente independientes uno del otro.</w:t>
      </w:r>
    </w:p>
    <w:p w14:paraId="722757EE" w14:textId="77777777" w:rsidR="00FC14BD" w:rsidRPr="00A07D9A" w:rsidRDefault="00FC14BD" w:rsidP="00E54CAC">
      <w:pPr>
        <w:rPr>
          <w:rFonts w:cs="Arial"/>
          <w:b/>
          <w:color w:val="000000" w:themeColor="text1"/>
        </w:rPr>
      </w:pPr>
      <w:r w:rsidRPr="00A07D9A">
        <w:rPr>
          <w:rFonts w:cs="Arial"/>
          <w:b/>
          <w:color w:val="000000" w:themeColor="text1"/>
        </w:rPr>
        <w:t>Elementos de referencia para determinar su existencia</w:t>
      </w:r>
    </w:p>
    <w:p w14:paraId="6A654822" w14:textId="77777777" w:rsidR="00E54CAC" w:rsidRPr="00A07D9A" w:rsidRDefault="00E54CAC" w:rsidP="00E54CAC">
      <w:pPr>
        <w:rPr>
          <w:rFonts w:cs="Arial"/>
          <w:color w:val="000000" w:themeColor="text1"/>
        </w:rPr>
      </w:pPr>
      <w:r w:rsidRPr="00A07D9A">
        <w:rPr>
          <w:rFonts w:cs="Arial"/>
          <w:color w:val="000000" w:themeColor="text1"/>
        </w:rPr>
        <w:t xml:space="preserve">La influencia </w:t>
      </w:r>
      <w:r w:rsidR="008930BA" w:rsidRPr="00A07D9A">
        <w:rPr>
          <w:rFonts w:cs="Arial"/>
          <w:color w:val="000000" w:themeColor="text1"/>
        </w:rPr>
        <w:t xml:space="preserve">o influencia </w:t>
      </w:r>
      <w:r w:rsidR="00FC14BD" w:rsidRPr="00A07D9A">
        <w:rPr>
          <w:rFonts w:cs="Arial"/>
          <w:color w:val="000000" w:themeColor="text1"/>
        </w:rPr>
        <w:t xml:space="preserve">significativa </w:t>
      </w:r>
      <w:r w:rsidRPr="00A07D9A">
        <w:rPr>
          <w:rFonts w:cs="Arial"/>
          <w:color w:val="000000" w:themeColor="text1"/>
        </w:rPr>
        <w:t xml:space="preserve">también </w:t>
      </w:r>
      <w:r w:rsidR="00331E60" w:rsidRPr="00A07D9A">
        <w:rPr>
          <w:rFonts w:cs="Arial"/>
          <w:color w:val="000000" w:themeColor="text1"/>
        </w:rPr>
        <w:t xml:space="preserve">puede </w:t>
      </w:r>
      <w:r w:rsidRPr="00A07D9A">
        <w:rPr>
          <w:rFonts w:cs="Arial"/>
          <w:color w:val="000000" w:themeColor="text1"/>
        </w:rPr>
        <w:t>resulta</w:t>
      </w:r>
      <w:r w:rsidR="00331E60" w:rsidRPr="00A07D9A">
        <w:rPr>
          <w:rFonts w:cs="Arial"/>
          <w:color w:val="000000" w:themeColor="text1"/>
        </w:rPr>
        <w:t>r</w:t>
      </w:r>
      <w:r w:rsidRPr="00A07D9A">
        <w:rPr>
          <w:rFonts w:cs="Arial"/>
          <w:color w:val="000000" w:themeColor="text1"/>
        </w:rPr>
        <w:t xml:space="preserve"> de los derechos, contratos</w:t>
      </w:r>
      <w:r w:rsidR="00735B25" w:rsidRPr="00A07D9A">
        <w:rPr>
          <w:rFonts w:cs="Arial"/>
          <w:color w:val="000000" w:themeColor="text1"/>
        </w:rPr>
        <w:t>, relaciones económicas, comerciales o financieras,</w:t>
      </w:r>
      <w:r w:rsidRPr="00A07D9A">
        <w:rPr>
          <w:rFonts w:cs="Arial"/>
          <w:color w:val="000000" w:themeColor="text1"/>
        </w:rPr>
        <w:t xml:space="preserve"> u otros medios que por sí mismos o en conjunto otorgan la capacidad antes señalada.</w:t>
      </w:r>
    </w:p>
    <w:p w14:paraId="4A8D3829" w14:textId="77777777" w:rsidR="003962C1" w:rsidRPr="00A07D9A" w:rsidRDefault="003962C1" w:rsidP="003962C1">
      <w:pPr>
        <w:rPr>
          <w:rFonts w:cs="Arial"/>
          <w:color w:val="000000" w:themeColor="text1"/>
        </w:rPr>
      </w:pPr>
      <w:r w:rsidRPr="00A07D9A">
        <w:rPr>
          <w:rFonts w:cs="Arial"/>
          <w:color w:val="000000" w:themeColor="text1"/>
        </w:rPr>
        <w:t>Como elementos de referencia para identificar si una persona tiene influencia sobre otra se encuentran los siguientes:</w:t>
      </w:r>
    </w:p>
    <w:p w14:paraId="26B067BF" w14:textId="77777777" w:rsidR="00E54CAC" w:rsidRPr="00A07D9A" w:rsidRDefault="00E54CAC" w:rsidP="008F672A">
      <w:pPr>
        <w:pStyle w:val="Prrafodelista"/>
        <w:numPr>
          <w:ilvl w:val="0"/>
          <w:numId w:val="66"/>
        </w:numPr>
        <w:rPr>
          <w:rFonts w:cs="Arial"/>
          <w:color w:val="000000" w:themeColor="text1"/>
        </w:rPr>
      </w:pPr>
      <w:r w:rsidRPr="00A07D9A">
        <w:rPr>
          <w:rFonts w:cs="Arial"/>
          <w:color w:val="000000" w:themeColor="text1"/>
        </w:rPr>
        <w:t>La capacidad o el derecho para designar, nombrar, vetar o destituir a</w:t>
      </w:r>
      <w:r w:rsidR="008930BA" w:rsidRPr="00A07D9A">
        <w:rPr>
          <w:rFonts w:cs="Arial"/>
          <w:color w:val="000000" w:themeColor="text1"/>
        </w:rPr>
        <w:t>: (i)</w:t>
      </w:r>
      <w:r w:rsidRPr="00A07D9A">
        <w:rPr>
          <w:rFonts w:cs="Arial"/>
          <w:color w:val="000000" w:themeColor="text1"/>
        </w:rPr>
        <w:t xml:space="preserve"> por lo menos uno de los miembros que integren el o los órganos enc</w:t>
      </w:r>
      <w:r w:rsidR="00FC14BD" w:rsidRPr="00A07D9A">
        <w:rPr>
          <w:rFonts w:cs="Arial"/>
          <w:color w:val="000000" w:themeColor="text1"/>
        </w:rPr>
        <w:t>argados de tomar las decisiones;</w:t>
      </w:r>
      <w:r w:rsidRPr="00A07D9A">
        <w:rPr>
          <w:rFonts w:cs="Arial"/>
          <w:color w:val="000000" w:themeColor="text1"/>
        </w:rPr>
        <w:t xml:space="preserve"> o </w:t>
      </w:r>
      <w:r w:rsidR="008930BA" w:rsidRPr="00A07D9A">
        <w:rPr>
          <w:rFonts w:cs="Arial"/>
          <w:color w:val="000000" w:themeColor="text1"/>
        </w:rPr>
        <w:t xml:space="preserve">(ii) </w:t>
      </w:r>
      <w:r w:rsidRPr="00A07D9A">
        <w:rPr>
          <w:rFonts w:cs="Arial"/>
          <w:color w:val="000000" w:themeColor="text1"/>
        </w:rPr>
        <w:t>a los consultores, directivos, gerentes, administradores o sus equivalentes</w:t>
      </w:r>
      <w:r w:rsidR="008930BA" w:rsidRPr="00A07D9A">
        <w:rPr>
          <w:rFonts w:cs="Arial"/>
          <w:color w:val="000000" w:themeColor="text1"/>
        </w:rPr>
        <w:t xml:space="preserve"> que toman esas decisiones</w:t>
      </w:r>
      <w:r w:rsidRPr="00A07D9A">
        <w:rPr>
          <w:rFonts w:cs="Arial"/>
          <w:color w:val="000000" w:themeColor="text1"/>
        </w:rPr>
        <w:t>;</w:t>
      </w:r>
    </w:p>
    <w:p w14:paraId="5888BE9C" w14:textId="77777777" w:rsidR="00E54CAC" w:rsidRPr="00A07D9A" w:rsidRDefault="00E54CAC" w:rsidP="008F672A">
      <w:pPr>
        <w:pStyle w:val="Prrafodelista"/>
        <w:numPr>
          <w:ilvl w:val="0"/>
          <w:numId w:val="66"/>
        </w:numPr>
        <w:rPr>
          <w:rFonts w:cs="Arial"/>
          <w:color w:val="000000" w:themeColor="text1"/>
        </w:rPr>
      </w:pPr>
      <w:r w:rsidRPr="00A07D9A">
        <w:rPr>
          <w:rFonts w:cs="Arial"/>
          <w:color w:val="000000" w:themeColor="text1"/>
        </w:rPr>
        <w:t xml:space="preserve">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 anterior. </w:t>
      </w:r>
    </w:p>
    <w:p w14:paraId="110557AB" w14:textId="77777777" w:rsidR="00E54CAC" w:rsidRPr="00A07D9A" w:rsidRDefault="00E54CAC" w:rsidP="00FC14BD">
      <w:pPr>
        <w:pStyle w:val="Prrafodelista"/>
        <w:numPr>
          <w:ilvl w:val="0"/>
          <w:numId w:val="0"/>
        </w:numPr>
        <w:ind w:left="360"/>
        <w:rPr>
          <w:rFonts w:cs="Arial"/>
          <w:color w:val="000000" w:themeColor="text1"/>
        </w:rPr>
      </w:pPr>
      <w:r w:rsidRPr="00A07D9A">
        <w:rPr>
          <w:rFonts w:cs="Arial"/>
          <w:color w:val="000000" w:themeColor="text1"/>
        </w:rPr>
        <w:t xml:space="preserve">El IFT </w:t>
      </w:r>
      <w:r w:rsidR="00331E60" w:rsidRPr="00A07D9A">
        <w:rPr>
          <w:rFonts w:cs="Arial"/>
          <w:color w:val="000000" w:themeColor="text1"/>
        </w:rPr>
        <w:t xml:space="preserve">ha </w:t>
      </w:r>
      <w:r w:rsidR="004B54A6" w:rsidRPr="00A07D9A">
        <w:rPr>
          <w:rFonts w:cs="Arial"/>
          <w:color w:val="000000" w:themeColor="text1"/>
        </w:rPr>
        <w:t>considerado</w:t>
      </w:r>
      <w:r w:rsidRPr="00A07D9A">
        <w:rPr>
          <w:rFonts w:cs="Arial"/>
          <w:color w:val="000000" w:themeColor="text1"/>
        </w:rPr>
        <w:t xml:space="preserve"> que una participación mayor o igual al 10% (diez por ciento) de las acciones representativas del capital social con derecho a voto </w:t>
      </w:r>
      <w:r w:rsidR="006273DC" w:rsidRPr="00A07D9A">
        <w:rPr>
          <w:rFonts w:cs="Arial"/>
          <w:color w:val="000000" w:themeColor="text1"/>
        </w:rPr>
        <w:t xml:space="preserve">o veto </w:t>
      </w:r>
      <w:r w:rsidRPr="00A07D9A">
        <w:rPr>
          <w:rFonts w:cs="Arial"/>
          <w:color w:val="000000" w:themeColor="text1"/>
        </w:rPr>
        <w:t xml:space="preserve">de un </w:t>
      </w:r>
      <w:r w:rsidR="00536ABF" w:rsidRPr="00A07D9A">
        <w:rPr>
          <w:rFonts w:cs="Arial"/>
          <w:color w:val="000000" w:themeColor="text1"/>
        </w:rPr>
        <w:t>Agente Económico</w:t>
      </w:r>
      <w:r w:rsidRPr="00A07D9A">
        <w:rPr>
          <w:rFonts w:cs="Arial"/>
          <w:color w:val="000000" w:themeColor="text1"/>
        </w:rPr>
        <w:t xml:space="preserve"> sobre otro le otorga influencia</w:t>
      </w:r>
      <w:r w:rsidR="008930BA" w:rsidRPr="00A07D9A">
        <w:rPr>
          <w:rFonts w:cs="Arial"/>
          <w:color w:val="000000" w:themeColor="text1"/>
        </w:rPr>
        <w:t xml:space="preserve"> o influencia significativa</w:t>
      </w:r>
      <w:r w:rsidR="006273DC" w:rsidRPr="00A07D9A">
        <w:rPr>
          <w:rFonts w:cs="Arial"/>
          <w:color w:val="000000" w:themeColor="text1"/>
        </w:rPr>
        <w:t>.</w:t>
      </w:r>
      <w:r w:rsidRPr="00A07D9A">
        <w:rPr>
          <w:rStyle w:val="Refdenotaalpie"/>
          <w:rFonts w:cs="Arial"/>
          <w:color w:val="000000" w:themeColor="text1"/>
        </w:rPr>
        <w:footnoteReference w:id="40"/>
      </w:r>
    </w:p>
    <w:p w14:paraId="1500EB4E" w14:textId="77777777" w:rsidR="00E54CAC" w:rsidRPr="00A07D9A" w:rsidRDefault="00E54CAC" w:rsidP="00FC14BD">
      <w:pPr>
        <w:pStyle w:val="Prrafodelista"/>
        <w:numPr>
          <w:ilvl w:val="0"/>
          <w:numId w:val="0"/>
        </w:numPr>
        <w:ind w:left="360"/>
        <w:rPr>
          <w:rFonts w:cs="Arial"/>
          <w:color w:val="000000" w:themeColor="text1"/>
        </w:rPr>
      </w:pPr>
      <w:r w:rsidRPr="00A07D9A">
        <w:rPr>
          <w:rFonts w:cs="Arial"/>
          <w:color w:val="000000" w:themeColor="text1"/>
        </w:rPr>
        <w:t xml:space="preserve">Sin embargo, no se descarta </w:t>
      </w:r>
      <w:r w:rsidR="00331E60" w:rsidRPr="00A07D9A">
        <w:rPr>
          <w:rFonts w:cs="Arial"/>
          <w:color w:val="000000" w:themeColor="text1"/>
        </w:rPr>
        <w:t xml:space="preserve">que pueda existir influencia significativa </w:t>
      </w:r>
      <w:r w:rsidRPr="00A07D9A">
        <w:rPr>
          <w:rFonts w:cs="Arial"/>
          <w:color w:val="000000" w:themeColor="text1"/>
        </w:rPr>
        <w:t>con una participación menor</w:t>
      </w:r>
      <w:r w:rsidR="00331E60" w:rsidRPr="00A07D9A">
        <w:rPr>
          <w:rFonts w:cs="Arial"/>
          <w:color w:val="000000" w:themeColor="text1"/>
        </w:rPr>
        <w:t xml:space="preserve"> a dicho porcentaje</w:t>
      </w:r>
      <w:r w:rsidRPr="00A07D9A">
        <w:rPr>
          <w:rFonts w:cs="Arial"/>
          <w:color w:val="000000" w:themeColor="text1"/>
        </w:rPr>
        <w:t xml:space="preserve">, por lo que el IFT </w:t>
      </w:r>
      <w:r w:rsidR="006C54FC" w:rsidRPr="00A07D9A">
        <w:rPr>
          <w:rFonts w:cs="Arial"/>
          <w:color w:val="000000" w:themeColor="text1"/>
        </w:rPr>
        <w:t>podrá evaluar también a</w:t>
      </w:r>
      <w:r w:rsidRPr="00A07D9A">
        <w:rPr>
          <w:rFonts w:cs="Arial"/>
          <w:color w:val="000000" w:themeColor="text1"/>
        </w:rPr>
        <w:t xml:space="preserve"> los </w:t>
      </w:r>
      <w:r w:rsidR="00FC14BD" w:rsidRPr="00A07D9A">
        <w:rPr>
          <w:rFonts w:cs="Arial"/>
          <w:color w:val="000000" w:themeColor="text1"/>
        </w:rPr>
        <w:t>agentes económicos</w:t>
      </w:r>
      <w:r w:rsidRPr="00A07D9A">
        <w:rPr>
          <w:rFonts w:cs="Arial"/>
          <w:color w:val="000000" w:themeColor="text1"/>
        </w:rPr>
        <w:t xml:space="preserve"> en el caso de que </w:t>
      </w:r>
      <w:r w:rsidR="006C54FC" w:rsidRPr="00A07D9A">
        <w:rPr>
          <w:rFonts w:cs="Arial"/>
          <w:color w:val="000000" w:themeColor="text1"/>
        </w:rPr>
        <w:t xml:space="preserve">sus participaciones </w:t>
      </w:r>
      <w:r w:rsidRPr="00A07D9A">
        <w:rPr>
          <w:rFonts w:cs="Arial"/>
          <w:color w:val="000000" w:themeColor="text1"/>
        </w:rPr>
        <w:t>sean menores al 10% (diez por ciento) de las acciones representativas del cap</w:t>
      </w:r>
      <w:r w:rsidR="006273DC" w:rsidRPr="00A07D9A">
        <w:rPr>
          <w:rFonts w:cs="Arial"/>
          <w:color w:val="000000" w:themeColor="text1"/>
        </w:rPr>
        <w:t>ital social con derecho a voto;</w:t>
      </w:r>
    </w:p>
    <w:p w14:paraId="5F4FBAF1" w14:textId="77777777" w:rsidR="00E54CAC" w:rsidRPr="00A07D9A" w:rsidRDefault="00E54CAC" w:rsidP="008F672A">
      <w:pPr>
        <w:pStyle w:val="Prrafodelista"/>
        <w:numPr>
          <w:ilvl w:val="0"/>
          <w:numId w:val="66"/>
        </w:numPr>
        <w:rPr>
          <w:rFonts w:cs="Arial"/>
          <w:color w:val="000000" w:themeColor="text1"/>
        </w:rPr>
      </w:pPr>
      <w:r w:rsidRPr="00A07D9A">
        <w:rPr>
          <w:rFonts w:cs="Arial"/>
          <w:color w:val="000000" w:themeColor="text1"/>
        </w:rPr>
        <w:t>Haber celebrado acuerdos, contratos, convenios o cualquier acto que otorgue a una persona beneficios similares a los señalados en los incisos a) y b) precedentes, o la capa</w:t>
      </w:r>
      <w:r w:rsidR="006273DC" w:rsidRPr="00A07D9A">
        <w:rPr>
          <w:rFonts w:cs="Arial"/>
          <w:color w:val="000000" w:themeColor="text1"/>
        </w:rPr>
        <w:t>cidad de tener esos beneficios;</w:t>
      </w:r>
    </w:p>
    <w:p w14:paraId="10C3A4D1" w14:textId="77777777" w:rsidR="00735B25" w:rsidRPr="00A07D9A" w:rsidRDefault="00735B25" w:rsidP="008F672A">
      <w:pPr>
        <w:pStyle w:val="Prrafodelista"/>
        <w:numPr>
          <w:ilvl w:val="0"/>
          <w:numId w:val="66"/>
        </w:numPr>
        <w:rPr>
          <w:rFonts w:cs="Arial"/>
          <w:color w:val="000000" w:themeColor="text1"/>
        </w:rPr>
      </w:pPr>
      <w:r w:rsidRPr="00A07D9A">
        <w:rPr>
          <w:rFonts w:cs="Arial"/>
          <w:color w:val="000000" w:themeColor="text1"/>
        </w:rPr>
        <w:t>Que existan intereses económicos, comerciales o financieros comunes;</w:t>
      </w:r>
    </w:p>
    <w:p w14:paraId="3C96A3AB" w14:textId="77777777" w:rsidR="00E54CAC" w:rsidRPr="00A07D9A" w:rsidRDefault="00E54CAC" w:rsidP="008F672A">
      <w:pPr>
        <w:pStyle w:val="Prrafodelista"/>
        <w:numPr>
          <w:ilvl w:val="0"/>
          <w:numId w:val="66"/>
        </w:numPr>
        <w:rPr>
          <w:rFonts w:cs="Arial"/>
          <w:color w:val="000000" w:themeColor="text1"/>
        </w:rPr>
      </w:pPr>
      <w:r w:rsidRPr="00A07D9A">
        <w:rPr>
          <w:rFonts w:cs="Arial"/>
          <w:color w:val="000000" w:themeColor="text1"/>
        </w:rPr>
        <w:lastRenderedPageBreak/>
        <w:t xml:space="preserve">Que exista parentesco por consanguinidad, afinidad o civil de hasta </w:t>
      </w:r>
      <w:r w:rsidR="00533EA7" w:rsidRPr="00A07D9A">
        <w:rPr>
          <w:rFonts w:cs="Arial"/>
          <w:color w:val="000000" w:themeColor="text1"/>
        </w:rPr>
        <w:t xml:space="preserve">el </w:t>
      </w:r>
      <w:r w:rsidRPr="00A07D9A">
        <w:rPr>
          <w:rFonts w:cs="Arial"/>
          <w:color w:val="000000" w:themeColor="text1"/>
        </w:rPr>
        <w:t xml:space="preserve">cuarto grado, los cónyuges y </w:t>
      </w:r>
      <w:r w:rsidR="00331E60" w:rsidRPr="00A07D9A">
        <w:rPr>
          <w:rFonts w:cs="Arial"/>
          <w:color w:val="000000" w:themeColor="text1"/>
        </w:rPr>
        <w:t>concubinos</w:t>
      </w:r>
      <w:r w:rsidRPr="00A07D9A">
        <w:rPr>
          <w:rFonts w:cs="Arial"/>
          <w:color w:val="000000" w:themeColor="text1"/>
        </w:rPr>
        <w:t>, tratándose de personas físicas que actualicen los supuestos establecidos en los incisos anteriores, y</w:t>
      </w:r>
    </w:p>
    <w:p w14:paraId="7A11A45E" w14:textId="77777777" w:rsidR="00E54CAC" w:rsidRPr="00A07D9A" w:rsidRDefault="00E54CAC" w:rsidP="008F672A">
      <w:pPr>
        <w:pStyle w:val="Prrafodelista"/>
        <w:numPr>
          <w:ilvl w:val="0"/>
          <w:numId w:val="66"/>
        </w:numPr>
        <w:rPr>
          <w:rFonts w:cs="Arial"/>
          <w:color w:val="000000" w:themeColor="text1"/>
        </w:rPr>
      </w:pPr>
      <w:r w:rsidRPr="00A07D9A">
        <w:rPr>
          <w:rFonts w:cs="Arial"/>
          <w:color w:val="000000" w:themeColor="text1"/>
        </w:rPr>
        <w:t>Cuando las partes expresamente así lo reconozcan.</w:t>
      </w:r>
      <w:r w:rsidR="00331E60" w:rsidRPr="00A07D9A">
        <w:rPr>
          <w:rFonts w:cs="Arial"/>
          <w:color w:val="000000" w:themeColor="text1"/>
        </w:rPr>
        <w:t xml:space="preserve"> En este caso, el IFT puede tomar en consideración la información publicada por los agentes económicos, incluyendo aquella contenida en sus páginas de Internet.</w:t>
      </w:r>
    </w:p>
    <w:p w14:paraId="13B83F54" w14:textId="77777777" w:rsidR="00D039F8" w:rsidRPr="00A07D9A" w:rsidRDefault="00D039F8" w:rsidP="00D039F8">
      <w:pPr>
        <w:pStyle w:val="Ttulo1"/>
        <w:rPr>
          <w:color w:val="000000" w:themeColor="text1"/>
        </w:rPr>
      </w:pPr>
      <w:bookmarkStart w:id="18" w:name="_Toc486519800"/>
      <w:r w:rsidRPr="00A07D9A">
        <w:rPr>
          <w:color w:val="000000" w:themeColor="text1"/>
        </w:rPr>
        <w:t>Mecanismos para el control de concentraciones</w:t>
      </w:r>
      <w:bookmarkEnd w:id="18"/>
    </w:p>
    <w:p w14:paraId="1E6228DF" w14:textId="77777777" w:rsidR="001E3D0F" w:rsidRPr="00A07D9A" w:rsidRDefault="00CC084B" w:rsidP="001E3D0F">
      <w:pPr>
        <w:rPr>
          <w:color w:val="000000" w:themeColor="text1"/>
        </w:rPr>
      </w:pPr>
      <w:r w:rsidRPr="00A07D9A">
        <w:rPr>
          <w:color w:val="000000" w:themeColor="text1"/>
        </w:rPr>
        <w:t xml:space="preserve">La LFCE </w:t>
      </w:r>
      <w:r w:rsidR="0036086F" w:rsidRPr="00A07D9A">
        <w:rPr>
          <w:color w:val="000000" w:themeColor="text1"/>
        </w:rPr>
        <w:t xml:space="preserve">y la LFTR </w:t>
      </w:r>
      <w:r w:rsidRPr="00A07D9A">
        <w:rPr>
          <w:color w:val="000000" w:themeColor="text1"/>
        </w:rPr>
        <w:t>establece</w:t>
      </w:r>
      <w:r w:rsidR="0036086F" w:rsidRPr="00A07D9A">
        <w:rPr>
          <w:color w:val="000000" w:themeColor="text1"/>
        </w:rPr>
        <w:t>n</w:t>
      </w:r>
      <w:r w:rsidRPr="00A07D9A">
        <w:rPr>
          <w:color w:val="000000" w:themeColor="text1"/>
        </w:rPr>
        <w:t xml:space="preserve"> procedimientos específicos para </w:t>
      </w:r>
      <w:r w:rsidR="001E3D0F" w:rsidRPr="00A07D9A">
        <w:rPr>
          <w:color w:val="000000" w:themeColor="text1"/>
        </w:rPr>
        <w:t xml:space="preserve">que las autoridades </w:t>
      </w:r>
      <w:r w:rsidR="00077876" w:rsidRPr="00A07D9A">
        <w:rPr>
          <w:color w:val="000000" w:themeColor="text1"/>
        </w:rPr>
        <w:t xml:space="preserve">en materia </w:t>
      </w:r>
      <w:r w:rsidR="001E3D0F" w:rsidRPr="00A07D9A">
        <w:rPr>
          <w:color w:val="000000" w:themeColor="text1"/>
        </w:rPr>
        <w:t>de competencia económica ejerzan sus atribuciones de prevenir, investigar, combatir, perseguir con eficacia, castigar severamente y eliminar las concentraciones ilícitas.</w:t>
      </w:r>
    </w:p>
    <w:p w14:paraId="36C6C50F" w14:textId="77777777" w:rsidR="00D039F8" w:rsidRPr="00A07D9A" w:rsidRDefault="0036086F" w:rsidP="001E3D0F">
      <w:pPr>
        <w:rPr>
          <w:color w:val="000000" w:themeColor="text1"/>
        </w:rPr>
      </w:pPr>
      <w:r w:rsidRPr="00A07D9A">
        <w:rPr>
          <w:color w:val="000000" w:themeColor="text1"/>
        </w:rPr>
        <w:t>E</w:t>
      </w:r>
      <w:r w:rsidR="00D039F8" w:rsidRPr="00A07D9A">
        <w:rPr>
          <w:color w:val="000000" w:themeColor="text1"/>
        </w:rPr>
        <w:t>l Pleno del Instituto</w:t>
      </w:r>
      <w:r w:rsidRPr="00A07D9A">
        <w:rPr>
          <w:color w:val="000000" w:themeColor="text1"/>
        </w:rPr>
        <w:t xml:space="preserve">, al ejercer las </w:t>
      </w:r>
      <w:r w:rsidR="00D039F8" w:rsidRPr="00A07D9A">
        <w:rPr>
          <w:color w:val="000000" w:themeColor="text1"/>
        </w:rPr>
        <w:t xml:space="preserve">atribuciones de autoridad </w:t>
      </w:r>
      <w:r w:rsidR="00077876" w:rsidRPr="00A07D9A">
        <w:rPr>
          <w:color w:val="000000" w:themeColor="text1"/>
        </w:rPr>
        <w:t xml:space="preserve">en materia </w:t>
      </w:r>
      <w:r w:rsidR="00D039F8" w:rsidRPr="00A07D9A">
        <w:rPr>
          <w:color w:val="000000" w:themeColor="text1"/>
        </w:rPr>
        <w:t>de competencia económica y de regulador</w:t>
      </w:r>
      <w:r w:rsidR="0096345F" w:rsidRPr="00A07D9A">
        <w:rPr>
          <w:color w:val="000000" w:themeColor="text1"/>
        </w:rPr>
        <w:t xml:space="preserve"> en los sectores de telecomunicaciones y radiodifusión</w:t>
      </w:r>
      <w:r w:rsidRPr="00A07D9A">
        <w:rPr>
          <w:color w:val="000000" w:themeColor="text1"/>
        </w:rPr>
        <w:t xml:space="preserve">, ha adoptado una </w:t>
      </w:r>
      <w:r w:rsidR="00D039F8" w:rsidRPr="00A07D9A">
        <w:rPr>
          <w:color w:val="000000" w:themeColor="text1"/>
        </w:rPr>
        <w:t xml:space="preserve">perspectiva de convergencia </w:t>
      </w:r>
      <w:r w:rsidRPr="00A07D9A">
        <w:rPr>
          <w:color w:val="000000" w:themeColor="text1"/>
        </w:rPr>
        <w:t xml:space="preserve">y simplificación administrativa </w:t>
      </w:r>
      <w:r w:rsidR="00D039F8" w:rsidRPr="00A07D9A">
        <w:rPr>
          <w:color w:val="000000" w:themeColor="text1"/>
        </w:rPr>
        <w:t xml:space="preserve">en el análisis </w:t>
      </w:r>
      <w:r w:rsidRPr="00A07D9A">
        <w:rPr>
          <w:color w:val="000000" w:themeColor="text1"/>
        </w:rPr>
        <w:t>de los asuntos y el desahogo de</w:t>
      </w:r>
      <w:r w:rsidR="00D039F8" w:rsidRPr="00A07D9A">
        <w:rPr>
          <w:color w:val="000000" w:themeColor="text1"/>
        </w:rPr>
        <w:t xml:space="preserve"> los </w:t>
      </w:r>
      <w:r w:rsidR="00EB7743" w:rsidRPr="00A07D9A">
        <w:rPr>
          <w:color w:val="000000" w:themeColor="text1"/>
        </w:rPr>
        <w:t>procedimientos</w:t>
      </w:r>
      <w:r w:rsidR="00D039F8" w:rsidRPr="00A07D9A">
        <w:rPr>
          <w:color w:val="000000" w:themeColor="text1"/>
        </w:rPr>
        <w:t>.</w:t>
      </w:r>
    </w:p>
    <w:p w14:paraId="0282A652" w14:textId="77777777" w:rsidR="00D90F3B" w:rsidRPr="00A07D9A" w:rsidRDefault="00D90F3B" w:rsidP="00D90F3B">
      <w:pPr>
        <w:rPr>
          <w:color w:val="000000" w:themeColor="text1"/>
        </w:rPr>
      </w:pPr>
      <w:bookmarkStart w:id="19" w:name="_Toc462053148"/>
      <w:bookmarkStart w:id="20" w:name="_Toc462053109"/>
      <w:r w:rsidRPr="00A07D9A">
        <w:rPr>
          <w:color w:val="000000" w:themeColor="text1"/>
        </w:rPr>
        <w:t xml:space="preserve">El Instituto tiene facultades constitucionales y legales para evaluar las concentraciones: </w:t>
      </w:r>
    </w:p>
    <w:p w14:paraId="69335168" w14:textId="77777777" w:rsidR="00D90F3B" w:rsidRPr="00A07D9A" w:rsidRDefault="00D75550" w:rsidP="008F672A">
      <w:pPr>
        <w:numPr>
          <w:ilvl w:val="0"/>
          <w:numId w:val="3"/>
        </w:numPr>
        <w:rPr>
          <w:color w:val="000000" w:themeColor="text1"/>
        </w:rPr>
      </w:pPr>
      <w:r w:rsidRPr="00A07D9A">
        <w:rPr>
          <w:color w:val="000000" w:themeColor="text1"/>
        </w:rPr>
        <w:t>A</w:t>
      </w:r>
      <w:r w:rsidR="00D90F3B" w:rsidRPr="00A07D9A">
        <w:rPr>
          <w:color w:val="000000" w:themeColor="text1"/>
        </w:rPr>
        <w:t>ntes de que se realicen (evaluación ex ante)</w:t>
      </w:r>
      <w:r w:rsidRPr="00A07D9A">
        <w:rPr>
          <w:color w:val="000000" w:themeColor="text1"/>
        </w:rPr>
        <w:t>, y</w:t>
      </w:r>
    </w:p>
    <w:p w14:paraId="70C6F6C5" w14:textId="77777777" w:rsidR="00815830" w:rsidRPr="00A07D9A" w:rsidRDefault="00D75550" w:rsidP="008F672A">
      <w:pPr>
        <w:numPr>
          <w:ilvl w:val="0"/>
          <w:numId w:val="3"/>
        </w:numPr>
        <w:rPr>
          <w:color w:val="000000" w:themeColor="text1"/>
        </w:rPr>
      </w:pPr>
      <w:r w:rsidRPr="00A07D9A">
        <w:rPr>
          <w:color w:val="000000" w:themeColor="text1"/>
        </w:rPr>
        <w:t>D</w:t>
      </w:r>
      <w:r w:rsidR="00D90F3B" w:rsidRPr="00A07D9A">
        <w:rPr>
          <w:color w:val="000000" w:themeColor="text1"/>
        </w:rPr>
        <w:t>espués de que se realicen (evaluación ex post).</w:t>
      </w:r>
    </w:p>
    <w:p w14:paraId="1BF5DB4E" w14:textId="77777777" w:rsidR="00815830" w:rsidRPr="00A07D9A" w:rsidRDefault="00815830" w:rsidP="00815830">
      <w:pPr>
        <w:rPr>
          <w:color w:val="000000" w:themeColor="text1"/>
        </w:rPr>
      </w:pPr>
      <w:r w:rsidRPr="00A07D9A">
        <w:rPr>
          <w:color w:val="000000" w:themeColor="text1"/>
        </w:rPr>
        <w:t>Los temas de aplicación ex post no serán materia de este documento, pues corresponden a facultades de la AI, quien cuenta con autonomía e independencia en el ejercicio de sus atribuciones conforme a la LFCE y la LFTR.</w:t>
      </w:r>
    </w:p>
    <w:p w14:paraId="41EAFD01" w14:textId="47C165A6" w:rsidR="00D90F3B" w:rsidRPr="00A07D9A" w:rsidRDefault="008C0D6D" w:rsidP="008C0D6D">
      <w:pPr>
        <w:pStyle w:val="Ttulo2"/>
        <w:rPr>
          <w:color w:val="000000" w:themeColor="text1"/>
        </w:rPr>
      </w:pPr>
      <w:bookmarkStart w:id="21" w:name="_Toc486519801"/>
      <w:r w:rsidRPr="00A07D9A">
        <w:rPr>
          <w:color w:val="000000" w:themeColor="text1"/>
        </w:rPr>
        <w:t xml:space="preserve">3.1 </w:t>
      </w:r>
      <w:r w:rsidR="00D75550" w:rsidRPr="00A07D9A">
        <w:rPr>
          <w:color w:val="000000" w:themeColor="text1"/>
        </w:rPr>
        <w:t xml:space="preserve">De aplicación </w:t>
      </w:r>
      <w:r w:rsidR="00D90F3B" w:rsidRPr="00A07D9A">
        <w:rPr>
          <w:color w:val="000000" w:themeColor="text1"/>
        </w:rPr>
        <w:t>ex ante</w:t>
      </w:r>
      <w:bookmarkEnd w:id="21"/>
    </w:p>
    <w:p w14:paraId="6EF8D5A5" w14:textId="77777777" w:rsidR="004D2272" w:rsidRPr="00A07D9A" w:rsidRDefault="00D90F3B" w:rsidP="00D90F3B">
      <w:pPr>
        <w:rPr>
          <w:color w:val="000000" w:themeColor="text1"/>
        </w:rPr>
      </w:pPr>
      <w:r w:rsidRPr="00A07D9A">
        <w:rPr>
          <w:color w:val="000000" w:themeColor="text1"/>
          <w:u w:val="single"/>
        </w:rPr>
        <w:t xml:space="preserve">La evaluación ex ante </w:t>
      </w:r>
      <w:r w:rsidR="00331E60" w:rsidRPr="00A07D9A">
        <w:rPr>
          <w:color w:val="000000" w:themeColor="text1"/>
          <w:u w:val="single"/>
        </w:rPr>
        <w:t xml:space="preserve">se realiza por el Instituto </w:t>
      </w:r>
      <w:r w:rsidRPr="00A07D9A">
        <w:rPr>
          <w:color w:val="000000" w:themeColor="text1"/>
          <w:u w:val="single"/>
        </w:rPr>
        <w:t xml:space="preserve">en aquellos casos en que dos o más agentes económicos tienen la intención de </w:t>
      </w:r>
      <w:r w:rsidR="00331E60" w:rsidRPr="00A07D9A">
        <w:rPr>
          <w:color w:val="000000" w:themeColor="text1"/>
          <w:u w:val="single"/>
        </w:rPr>
        <w:t xml:space="preserve">llevar a cabo </w:t>
      </w:r>
      <w:r w:rsidRPr="00A07D9A">
        <w:rPr>
          <w:color w:val="000000" w:themeColor="text1"/>
          <w:u w:val="single"/>
        </w:rPr>
        <w:t xml:space="preserve">una concentración y </w:t>
      </w:r>
      <w:r w:rsidR="004D2272" w:rsidRPr="00A07D9A">
        <w:rPr>
          <w:color w:val="000000" w:themeColor="text1"/>
          <w:u w:val="single"/>
        </w:rPr>
        <w:t xml:space="preserve">las leyes establecen la obligación </w:t>
      </w:r>
      <w:r w:rsidR="00331E60" w:rsidRPr="00A07D9A">
        <w:rPr>
          <w:color w:val="000000" w:themeColor="text1"/>
          <w:u w:val="single"/>
        </w:rPr>
        <w:t>a cargo de los agentes económicos</w:t>
      </w:r>
      <w:r w:rsidR="004D2272" w:rsidRPr="00A07D9A">
        <w:rPr>
          <w:color w:val="000000" w:themeColor="text1"/>
          <w:u w:val="single"/>
        </w:rPr>
        <w:t xml:space="preserve"> de obtener la autorización del IFT antes de</w:t>
      </w:r>
      <w:r w:rsidRPr="00A07D9A">
        <w:rPr>
          <w:color w:val="000000" w:themeColor="text1"/>
          <w:u w:val="single"/>
        </w:rPr>
        <w:t xml:space="preserve"> su realización</w:t>
      </w:r>
      <w:r w:rsidR="005871B0" w:rsidRPr="00A07D9A">
        <w:rPr>
          <w:color w:val="000000" w:themeColor="text1"/>
          <w:u w:val="single"/>
        </w:rPr>
        <w:t xml:space="preserve"> o porque los agentes económicos deciden notificarla voluntariamente</w:t>
      </w:r>
      <w:r w:rsidRPr="00A07D9A">
        <w:rPr>
          <w:color w:val="000000" w:themeColor="text1"/>
        </w:rPr>
        <w:t xml:space="preserve">. </w:t>
      </w:r>
    </w:p>
    <w:p w14:paraId="5B290351" w14:textId="77777777" w:rsidR="00D90F3B" w:rsidRPr="00A07D9A" w:rsidRDefault="00331E60" w:rsidP="00D90F3B">
      <w:pPr>
        <w:rPr>
          <w:color w:val="000000" w:themeColor="text1"/>
        </w:rPr>
      </w:pPr>
      <w:r w:rsidRPr="00A07D9A">
        <w:rPr>
          <w:color w:val="000000" w:themeColor="text1"/>
        </w:rPr>
        <w:t xml:space="preserve">Los </w:t>
      </w:r>
      <w:r w:rsidR="004D2272" w:rsidRPr="00A07D9A">
        <w:rPr>
          <w:color w:val="000000" w:themeColor="text1"/>
        </w:rPr>
        <w:t xml:space="preserve">procedimientos </w:t>
      </w:r>
      <w:r w:rsidRPr="00A07D9A">
        <w:rPr>
          <w:color w:val="000000" w:themeColor="text1"/>
        </w:rPr>
        <w:t xml:space="preserve">para evaluar las concentraciones ex ante </w:t>
      </w:r>
      <w:r w:rsidR="004D2272" w:rsidRPr="00A07D9A">
        <w:rPr>
          <w:color w:val="000000" w:themeColor="text1"/>
        </w:rPr>
        <w:t xml:space="preserve">constituyen </w:t>
      </w:r>
      <w:r w:rsidR="00D90F3B" w:rsidRPr="00A07D9A">
        <w:rPr>
          <w:color w:val="000000" w:themeColor="text1"/>
        </w:rPr>
        <w:t xml:space="preserve">un régimen preventivo </w:t>
      </w:r>
      <w:r w:rsidRPr="00A07D9A">
        <w:rPr>
          <w:color w:val="000000" w:themeColor="text1"/>
        </w:rPr>
        <w:t>respecto</w:t>
      </w:r>
      <w:r w:rsidR="00D90F3B" w:rsidRPr="00A07D9A">
        <w:rPr>
          <w:color w:val="000000" w:themeColor="text1"/>
        </w:rPr>
        <w:t xml:space="preserve"> de operaciones</w:t>
      </w:r>
      <w:r w:rsidR="004D2272" w:rsidRPr="00A07D9A">
        <w:rPr>
          <w:color w:val="000000" w:themeColor="text1"/>
        </w:rPr>
        <w:t xml:space="preserve"> </w:t>
      </w:r>
      <w:r w:rsidR="00D90F3B" w:rsidRPr="00A07D9A">
        <w:rPr>
          <w:color w:val="000000" w:themeColor="text1"/>
        </w:rPr>
        <w:t>que pudieran representar un daño a la libre concurrencia o competencia económica.</w:t>
      </w:r>
    </w:p>
    <w:p w14:paraId="4F711550" w14:textId="77777777" w:rsidR="004D2272" w:rsidRPr="00A07D9A" w:rsidRDefault="004D2272" w:rsidP="00D90F3B">
      <w:pPr>
        <w:rPr>
          <w:b/>
          <w:color w:val="000000" w:themeColor="text1"/>
        </w:rPr>
      </w:pPr>
      <w:r w:rsidRPr="00A07D9A">
        <w:rPr>
          <w:b/>
          <w:color w:val="000000" w:themeColor="text1"/>
        </w:rPr>
        <w:t>Procedimientos específicos</w:t>
      </w:r>
    </w:p>
    <w:p w14:paraId="404B8491" w14:textId="77777777" w:rsidR="00D90F3B" w:rsidRPr="00A07D9A" w:rsidRDefault="00D90F3B" w:rsidP="00D90F3B">
      <w:pPr>
        <w:rPr>
          <w:color w:val="000000" w:themeColor="text1"/>
        </w:rPr>
      </w:pPr>
      <w:r w:rsidRPr="00A07D9A">
        <w:rPr>
          <w:color w:val="000000" w:themeColor="text1"/>
        </w:rPr>
        <w:t xml:space="preserve">De conformidad con la LFCE, la </w:t>
      </w:r>
      <w:r w:rsidR="00331E60" w:rsidRPr="00A07D9A">
        <w:rPr>
          <w:color w:val="000000" w:themeColor="text1"/>
        </w:rPr>
        <w:t xml:space="preserve">evaluación ex ante </w:t>
      </w:r>
      <w:r w:rsidRPr="00A07D9A">
        <w:rPr>
          <w:color w:val="000000" w:themeColor="text1"/>
        </w:rPr>
        <w:t xml:space="preserve">de una concentración </w:t>
      </w:r>
      <w:r w:rsidR="000B6623" w:rsidRPr="00A07D9A">
        <w:rPr>
          <w:color w:val="000000" w:themeColor="text1"/>
        </w:rPr>
        <w:t xml:space="preserve">se realiza </w:t>
      </w:r>
      <w:r w:rsidRPr="00A07D9A">
        <w:rPr>
          <w:color w:val="000000" w:themeColor="text1"/>
        </w:rPr>
        <w:t xml:space="preserve">a partir de un procedimiento de notificación de </w:t>
      </w:r>
      <w:r w:rsidR="000B6623" w:rsidRPr="00A07D9A">
        <w:rPr>
          <w:color w:val="000000" w:themeColor="text1"/>
        </w:rPr>
        <w:t>concentraciones previsto</w:t>
      </w:r>
      <w:r w:rsidRPr="00A07D9A">
        <w:rPr>
          <w:color w:val="000000" w:themeColor="text1"/>
        </w:rPr>
        <w:t xml:space="preserve"> en los artículos 90 y 92 de ese ordena</w:t>
      </w:r>
      <w:r w:rsidR="00D75550" w:rsidRPr="00A07D9A">
        <w:rPr>
          <w:color w:val="000000" w:themeColor="text1"/>
        </w:rPr>
        <w:t>miento.</w:t>
      </w:r>
    </w:p>
    <w:p w14:paraId="2C2974BC" w14:textId="77777777" w:rsidR="00D75550" w:rsidRPr="00A07D9A" w:rsidRDefault="004D2272" w:rsidP="00D75550">
      <w:pPr>
        <w:rPr>
          <w:color w:val="000000" w:themeColor="text1"/>
        </w:rPr>
      </w:pPr>
      <w:r w:rsidRPr="00A07D9A">
        <w:rPr>
          <w:color w:val="000000" w:themeColor="text1"/>
        </w:rPr>
        <w:lastRenderedPageBreak/>
        <w:t xml:space="preserve">A su vez, </w:t>
      </w:r>
      <w:r w:rsidR="00D75550" w:rsidRPr="00A07D9A">
        <w:rPr>
          <w:color w:val="000000" w:themeColor="text1"/>
        </w:rPr>
        <w:t>la LFTR</w:t>
      </w:r>
      <w:r w:rsidRPr="00A07D9A">
        <w:rPr>
          <w:color w:val="000000" w:themeColor="text1"/>
        </w:rPr>
        <w:t xml:space="preserve"> prevé </w:t>
      </w:r>
      <w:r w:rsidR="004422C3" w:rsidRPr="00A07D9A">
        <w:rPr>
          <w:color w:val="000000" w:themeColor="text1"/>
        </w:rPr>
        <w:t xml:space="preserve">diversos </w:t>
      </w:r>
      <w:r w:rsidR="000B6623" w:rsidRPr="00A07D9A">
        <w:rPr>
          <w:color w:val="000000" w:themeColor="text1"/>
        </w:rPr>
        <w:t xml:space="preserve">casos </w:t>
      </w:r>
      <w:r w:rsidRPr="00A07D9A">
        <w:rPr>
          <w:color w:val="000000" w:themeColor="text1"/>
        </w:rPr>
        <w:t xml:space="preserve">en los que se analizan </w:t>
      </w:r>
      <w:r w:rsidR="00D75550" w:rsidRPr="00A07D9A">
        <w:rPr>
          <w:color w:val="000000" w:themeColor="text1"/>
        </w:rPr>
        <w:t>transacciones u operaciones que actualizan la definición de concentración</w:t>
      </w:r>
      <w:r w:rsidRPr="00A07D9A">
        <w:rPr>
          <w:color w:val="000000" w:themeColor="text1"/>
        </w:rPr>
        <w:t xml:space="preserve"> prevista en la LFCE</w:t>
      </w:r>
      <w:r w:rsidR="00D75550" w:rsidRPr="00A07D9A">
        <w:rPr>
          <w:color w:val="000000" w:themeColor="text1"/>
        </w:rPr>
        <w:t>, pues implican una unión o acumulación de sociedades, asociaciones, acciones, partes s</w:t>
      </w:r>
      <w:r w:rsidRPr="00A07D9A">
        <w:rPr>
          <w:color w:val="000000" w:themeColor="text1"/>
        </w:rPr>
        <w:t xml:space="preserve">ociales, fideicomisos o activos. Esos </w:t>
      </w:r>
      <w:r w:rsidR="000B6623" w:rsidRPr="00A07D9A">
        <w:rPr>
          <w:color w:val="000000" w:themeColor="text1"/>
        </w:rPr>
        <w:t>casos</w:t>
      </w:r>
      <w:r w:rsidRPr="00A07D9A">
        <w:rPr>
          <w:color w:val="000000" w:themeColor="text1"/>
        </w:rPr>
        <w:t xml:space="preserve"> son:</w:t>
      </w:r>
      <w:r w:rsidR="006273DC" w:rsidRPr="00A07D9A">
        <w:rPr>
          <w:rStyle w:val="Refdenotaalpie"/>
          <w:color w:val="000000" w:themeColor="text1"/>
        </w:rPr>
        <w:footnoteReference w:id="41"/>
      </w:r>
    </w:p>
    <w:p w14:paraId="4D7023C4" w14:textId="77777777" w:rsidR="00D75550" w:rsidRPr="00A07D9A" w:rsidRDefault="004D2272" w:rsidP="008F672A">
      <w:pPr>
        <w:pStyle w:val="Prrafodelista"/>
        <w:numPr>
          <w:ilvl w:val="0"/>
          <w:numId w:val="68"/>
        </w:numPr>
        <w:rPr>
          <w:color w:val="000000" w:themeColor="text1"/>
        </w:rPr>
      </w:pPr>
      <w:r w:rsidRPr="00A07D9A">
        <w:rPr>
          <w:color w:val="000000" w:themeColor="text1"/>
        </w:rPr>
        <w:t>El a</w:t>
      </w:r>
      <w:r w:rsidR="00D75550" w:rsidRPr="00A07D9A">
        <w:rPr>
          <w:color w:val="000000" w:themeColor="text1"/>
        </w:rPr>
        <w:t>rrendamiento del espectro radioeléctrico</w:t>
      </w:r>
      <w:r w:rsidRPr="00A07D9A">
        <w:rPr>
          <w:color w:val="000000" w:themeColor="text1"/>
        </w:rPr>
        <w:t xml:space="preserve">, </w:t>
      </w:r>
      <w:r w:rsidR="00D75550" w:rsidRPr="00A07D9A">
        <w:rPr>
          <w:color w:val="000000" w:themeColor="text1"/>
        </w:rPr>
        <w:t>previst</w:t>
      </w:r>
      <w:r w:rsidRPr="00A07D9A">
        <w:rPr>
          <w:color w:val="000000" w:themeColor="text1"/>
        </w:rPr>
        <w:t>o en el artículo 104 de la LFTR;</w:t>
      </w:r>
      <w:r w:rsidR="009A2026" w:rsidRPr="00A07D9A">
        <w:rPr>
          <w:rStyle w:val="Refdenotaalpie"/>
          <w:color w:val="000000" w:themeColor="text1"/>
        </w:rPr>
        <w:footnoteReference w:id="42"/>
      </w:r>
      <w:r w:rsidR="00F77BE2" w:rsidRPr="00A07D9A">
        <w:rPr>
          <w:color w:val="000000" w:themeColor="text1"/>
        </w:rPr>
        <w:t xml:space="preserve"> </w:t>
      </w:r>
      <w:r w:rsidR="00F77BE2" w:rsidRPr="00A07D9A">
        <w:rPr>
          <w:color w:val="000000" w:themeColor="text1"/>
          <w:vertAlign w:val="superscript"/>
        </w:rPr>
        <w:t xml:space="preserve">y </w:t>
      </w:r>
      <w:r w:rsidR="00F77BE2" w:rsidRPr="00A07D9A">
        <w:rPr>
          <w:rStyle w:val="Refdenotaalpie"/>
          <w:color w:val="000000" w:themeColor="text1"/>
        </w:rPr>
        <w:footnoteReference w:id="43"/>
      </w:r>
    </w:p>
    <w:p w14:paraId="6218FD61" w14:textId="77777777" w:rsidR="00D75550" w:rsidRPr="00A07D9A" w:rsidRDefault="004D2272" w:rsidP="008F672A">
      <w:pPr>
        <w:pStyle w:val="Prrafodelista"/>
        <w:numPr>
          <w:ilvl w:val="0"/>
          <w:numId w:val="68"/>
        </w:numPr>
        <w:rPr>
          <w:color w:val="000000" w:themeColor="text1"/>
        </w:rPr>
      </w:pPr>
      <w:r w:rsidRPr="00A07D9A">
        <w:rPr>
          <w:color w:val="000000" w:themeColor="text1"/>
        </w:rPr>
        <w:t>El i</w:t>
      </w:r>
      <w:r w:rsidR="00D75550" w:rsidRPr="00A07D9A">
        <w:rPr>
          <w:color w:val="000000" w:themeColor="text1"/>
        </w:rPr>
        <w:t>ntercambio de frecuencias de espectro radioeléctrico</w:t>
      </w:r>
      <w:r w:rsidRPr="00A07D9A">
        <w:rPr>
          <w:color w:val="000000" w:themeColor="text1"/>
        </w:rPr>
        <w:t>, previsto en el artículo 106 de la LFTR;</w:t>
      </w:r>
      <w:r w:rsidR="00D40E98" w:rsidRPr="00A07D9A">
        <w:rPr>
          <w:rStyle w:val="Refdenotaalpie"/>
          <w:color w:val="000000" w:themeColor="text1"/>
        </w:rPr>
        <w:t xml:space="preserve"> </w:t>
      </w:r>
      <w:r w:rsidR="00D40E98" w:rsidRPr="00A07D9A">
        <w:rPr>
          <w:rStyle w:val="Refdenotaalpie"/>
          <w:color w:val="000000" w:themeColor="text1"/>
        </w:rPr>
        <w:footnoteReference w:id="44"/>
      </w:r>
    </w:p>
    <w:p w14:paraId="73BD50A5" w14:textId="77777777" w:rsidR="00D75550" w:rsidRPr="00A07D9A" w:rsidRDefault="004D2272" w:rsidP="008F672A">
      <w:pPr>
        <w:pStyle w:val="Prrafodelista"/>
        <w:numPr>
          <w:ilvl w:val="0"/>
          <w:numId w:val="68"/>
        </w:numPr>
        <w:rPr>
          <w:color w:val="000000" w:themeColor="text1"/>
        </w:rPr>
      </w:pPr>
      <w:r w:rsidRPr="00A07D9A">
        <w:rPr>
          <w:color w:val="000000" w:themeColor="text1"/>
        </w:rPr>
        <w:t>Las c</w:t>
      </w:r>
      <w:r w:rsidR="00D75550" w:rsidRPr="00A07D9A">
        <w:rPr>
          <w:color w:val="000000" w:themeColor="text1"/>
        </w:rPr>
        <w:t>esiones de derechos de títulos de concesión</w:t>
      </w:r>
      <w:r w:rsidRPr="00A07D9A">
        <w:rPr>
          <w:color w:val="000000" w:themeColor="text1"/>
        </w:rPr>
        <w:t xml:space="preserve">, previstas en el </w:t>
      </w:r>
      <w:r w:rsidR="009A2026" w:rsidRPr="00A07D9A">
        <w:rPr>
          <w:color w:val="000000" w:themeColor="text1"/>
        </w:rPr>
        <w:t>artículo 110 de la LFTR;</w:t>
      </w:r>
      <w:r w:rsidR="00F77BE2" w:rsidRPr="00A07D9A">
        <w:rPr>
          <w:rStyle w:val="Refdenotaalpie"/>
          <w:color w:val="000000" w:themeColor="text1"/>
        </w:rPr>
        <w:footnoteReference w:id="45"/>
      </w:r>
    </w:p>
    <w:p w14:paraId="40CBC50D" w14:textId="77777777" w:rsidR="00D75550" w:rsidRPr="00A07D9A" w:rsidRDefault="004D2272" w:rsidP="008F672A">
      <w:pPr>
        <w:pStyle w:val="Prrafodelista"/>
        <w:numPr>
          <w:ilvl w:val="0"/>
          <w:numId w:val="68"/>
        </w:numPr>
        <w:rPr>
          <w:color w:val="000000" w:themeColor="text1"/>
        </w:rPr>
      </w:pPr>
      <w:r w:rsidRPr="00A07D9A">
        <w:rPr>
          <w:color w:val="000000" w:themeColor="text1"/>
        </w:rPr>
        <w:t>La s</w:t>
      </w:r>
      <w:r w:rsidR="00D75550" w:rsidRPr="00A07D9A">
        <w:rPr>
          <w:color w:val="000000" w:themeColor="text1"/>
        </w:rPr>
        <w:t>uscripción, adquisición o enajenaciones de acciones o partes social</w:t>
      </w:r>
      <w:r w:rsidRPr="00A07D9A">
        <w:rPr>
          <w:color w:val="000000" w:themeColor="text1"/>
        </w:rPr>
        <w:t xml:space="preserve">es de sociedades concesionarias, </w:t>
      </w:r>
      <w:r w:rsidR="003E700D" w:rsidRPr="00A07D9A">
        <w:rPr>
          <w:color w:val="000000" w:themeColor="text1"/>
        </w:rPr>
        <w:t xml:space="preserve">en un acto o sucesión de actos, </w:t>
      </w:r>
      <w:r w:rsidRPr="00A07D9A">
        <w:rPr>
          <w:color w:val="000000" w:themeColor="text1"/>
        </w:rPr>
        <w:t>prevista en el a</w:t>
      </w:r>
      <w:r w:rsidR="00D75550" w:rsidRPr="00A07D9A">
        <w:rPr>
          <w:color w:val="000000" w:themeColor="text1"/>
        </w:rPr>
        <w:t>rtículo 112 de la LFTR</w:t>
      </w:r>
      <w:r w:rsidR="005055B7" w:rsidRPr="00A07D9A">
        <w:rPr>
          <w:color w:val="000000" w:themeColor="text1"/>
        </w:rPr>
        <w:t>, incluyendo aquéllas en el que el activo es el espectro radioeléctrico</w:t>
      </w:r>
      <w:r w:rsidR="009708B5" w:rsidRPr="00A07D9A">
        <w:rPr>
          <w:color w:val="000000" w:themeColor="text1"/>
        </w:rPr>
        <w:t>;</w:t>
      </w:r>
      <w:r w:rsidR="00F77BE2" w:rsidRPr="00A07D9A">
        <w:rPr>
          <w:rStyle w:val="Refdenotaalpie"/>
          <w:color w:val="000000" w:themeColor="text1"/>
        </w:rPr>
        <w:footnoteReference w:id="46"/>
      </w:r>
      <w:r w:rsidR="009A2026" w:rsidRPr="00A07D9A">
        <w:rPr>
          <w:color w:val="000000" w:themeColor="text1"/>
        </w:rPr>
        <w:t xml:space="preserve"> </w:t>
      </w:r>
    </w:p>
    <w:p w14:paraId="645347FB" w14:textId="77777777" w:rsidR="00704BEB" w:rsidRPr="00A07D9A" w:rsidRDefault="009A2026" w:rsidP="008F672A">
      <w:pPr>
        <w:pStyle w:val="Prrafodelista"/>
        <w:numPr>
          <w:ilvl w:val="0"/>
          <w:numId w:val="68"/>
        </w:numPr>
        <w:rPr>
          <w:color w:val="000000" w:themeColor="text1"/>
        </w:rPr>
      </w:pPr>
      <w:r w:rsidRPr="00A07D9A">
        <w:rPr>
          <w:color w:val="000000" w:themeColor="text1"/>
        </w:rPr>
        <w:t>Las licitaciones para otorgar concesiones sobre el espectro radioeléctrico para uso comercial o privado en las que el IFT actúa como convocante y autoridad de competencia para prevenir fenómenos de concentración contrarios al interés público, en los términos previstos en el artículo 78 de la LFTR</w:t>
      </w:r>
      <w:r w:rsidR="00704BEB" w:rsidRPr="00A07D9A">
        <w:rPr>
          <w:color w:val="000000" w:themeColor="text1"/>
        </w:rPr>
        <w:t xml:space="preserve">. </w:t>
      </w:r>
    </w:p>
    <w:p w14:paraId="69FD543A" w14:textId="77777777" w:rsidR="004422C3" w:rsidRPr="00A07D9A" w:rsidRDefault="00704BEB" w:rsidP="00704BEB">
      <w:pPr>
        <w:pStyle w:val="Prrafodelista"/>
        <w:numPr>
          <w:ilvl w:val="0"/>
          <w:numId w:val="0"/>
        </w:numPr>
        <w:ind w:left="720"/>
        <w:rPr>
          <w:color w:val="000000" w:themeColor="text1"/>
        </w:rPr>
      </w:pPr>
      <w:r w:rsidRPr="00A07D9A">
        <w:rPr>
          <w:color w:val="000000" w:themeColor="text1"/>
        </w:rPr>
        <w:t>Por ejemplo, las licitaciones de espectro radioeléctrico para servicios de telecomunicaciones y de radiodifusión de usos comerciales</w:t>
      </w:r>
      <w:r w:rsidR="009708B5" w:rsidRPr="00A07D9A">
        <w:rPr>
          <w:color w:val="000000" w:themeColor="text1"/>
        </w:rPr>
        <w:t>;</w:t>
      </w:r>
      <w:r w:rsidR="00CC34A7" w:rsidRPr="00A07D9A">
        <w:rPr>
          <w:rStyle w:val="Refdenotaalpie"/>
          <w:color w:val="000000" w:themeColor="text1"/>
        </w:rPr>
        <w:footnoteReference w:id="47"/>
      </w:r>
      <w:r w:rsidR="009708B5" w:rsidRPr="00A07D9A">
        <w:rPr>
          <w:color w:val="000000" w:themeColor="text1"/>
        </w:rPr>
        <w:t xml:space="preserve"> </w:t>
      </w:r>
    </w:p>
    <w:p w14:paraId="3695326D" w14:textId="77777777" w:rsidR="00533EA7" w:rsidRPr="00A07D9A" w:rsidRDefault="004422C3" w:rsidP="008F672A">
      <w:pPr>
        <w:pStyle w:val="Prrafodelista"/>
        <w:numPr>
          <w:ilvl w:val="0"/>
          <w:numId w:val="68"/>
        </w:numPr>
        <w:rPr>
          <w:color w:val="000000" w:themeColor="text1"/>
        </w:rPr>
      </w:pPr>
      <w:r w:rsidRPr="00A07D9A">
        <w:rPr>
          <w:color w:val="000000" w:themeColor="text1"/>
        </w:rPr>
        <w:t>Licitaciones de concesiones para ocupar y explotar recursos orbitales en usos comercial y privado;</w:t>
      </w:r>
      <w:r w:rsidRPr="00A07D9A">
        <w:rPr>
          <w:rStyle w:val="Refdenotaalpie"/>
          <w:color w:val="000000" w:themeColor="text1"/>
        </w:rPr>
        <w:footnoteReference w:id="48"/>
      </w:r>
    </w:p>
    <w:p w14:paraId="14BC5505" w14:textId="780C8CBE" w:rsidR="004422C3" w:rsidRPr="00A07D9A" w:rsidRDefault="00533EA7" w:rsidP="008F672A">
      <w:pPr>
        <w:pStyle w:val="Prrafodelista"/>
        <w:numPr>
          <w:ilvl w:val="0"/>
          <w:numId w:val="68"/>
        </w:numPr>
        <w:rPr>
          <w:color w:val="000000" w:themeColor="text1"/>
        </w:rPr>
      </w:pPr>
      <w:r w:rsidRPr="00A07D9A">
        <w:rPr>
          <w:color w:val="000000" w:themeColor="text1"/>
        </w:rPr>
        <w:lastRenderedPageBreak/>
        <w:t>Las a</w:t>
      </w:r>
      <w:r w:rsidR="004C0DEC" w:rsidRPr="00A07D9A">
        <w:rPr>
          <w:color w:val="000000" w:themeColor="text1"/>
        </w:rPr>
        <w:t>utoriza</w:t>
      </w:r>
      <w:r w:rsidRPr="00A07D9A">
        <w:rPr>
          <w:color w:val="000000" w:themeColor="text1"/>
        </w:rPr>
        <w:t>ciones</w:t>
      </w:r>
      <w:r w:rsidR="004C0DEC" w:rsidRPr="00A07D9A">
        <w:rPr>
          <w:color w:val="000000" w:themeColor="text1"/>
        </w:rPr>
        <w:t xml:space="preserve"> </w:t>
      </w:r>
      <w:r w:rsidRPr="00A07D9A">
        <w:rPr>
          <w:color w:val="000000" w:themeColor="text1"/>
        </w:rPr>
        <w:t>a</w:t>
      </w:r>
      <w:r w:rsidR="004C0DEC" w:rsidRPr="00A07D9A">
        <w:rPr>
          <w:color w:val="000000" w:themeColor="text1"/>
        </w:rPr>
        <w:t>l acceso a multiprogramación a concesionarios de radiodifusión</w:t>
      </w:r>
      <w:r w:rsidR="004422C3" w:rsidRPr="00A07D9A">
        <w:rPr>
          <w:color w:val="000000" w:themeColor="text1"/>
        </w:rPr>
        <w:t>; y</w:t>
      </w:r>
    </w:p>
    <w:p w14:paraId="181656FE" w14:textId="77777777" w:rsidR="009708B5" w:rsidRPr="00A07D9A" w:rsidRDefault="00704BEB" w:rsidP="008F672A">
      <w:pPr>
        <w:pStyle w:val="Prrafodelista"/>
        <w:numPr>
          <w:ilvl w:val="0"/>
          <w:numId w:val="68"/>
        </w:numPr>
        <w:rPr>
          <w:color w:val="000000" w:themeColor="text1"/>
        </w:rPr>
      </w:pPr>
      <w:r w:rsidRPr="00A07D9A">
        <w:rPr>
          <w:color w:val="000000" w:themeColor="text1"/>
        </w:rPr>
        <w:t>Al emitir opinión o autorización en el otorgamiento de licencias, concesiones, cesiones, venta de acciones de empresas concesionarias o permisionarias u otras cuestiones análogas en los términos previstos en leyes o cuando así lo determine o solicite el Ejecutivo Federal. Por ejemplo, el Proyecto de la Red Compartida, en el que el IFT como autoridad de competencia económica emitió opinión sobre las Bases del Concurso y evaluó a los interesados antes del Concurso para –entre otros elementos- prevenir fenómenos de concentración contrarios al interés público.</w:t>
      </w:r>
    </w:p>
    <w:p w14:paraId="2C140E44" w14:textId="77777777" w:rsidR="00704BEB" w:rsidRPr="00A07D9A" w:rsidRDefault="00704BEB" w:rsidP="00704BEB">
      <w:pPr>
        <w:pStyle w:val="Subttulo"/>
        <w:rPr>
          <w:color w:val="000000" w:themeColor="text1"/>
        </w:rPr>
      </w:pPr>
      <w:r w:rsidRPr="00A07D9A">
        <w:rPr>
          <w:color w:val="000000" w:themeColor="text1"/>
        </w:rPr>
        <w:t>Convergencia y simplificación administrativas</w:t>
      </w:r>
    </w:p>
    <w:p w14:paraId="1873FED4" w14:textId="77777777" w:rsidR="00D40E98" w:rsidRPr="00A07D9A" w:rsidRDefault="000B6623" w:rsidP="00D40E98">
      <w:pPr>
        <w:pStyle w:val="Prrafodelista"/>
        <w:numPr>
          <w:ilvl w:val="0"/>
          <w:numId w:val="0"/>
        </w:numPr>
        <w:rPr>
          <w:color w:val="000000" w:themeColor="text1"/>
        </w:rPr>
      </w:pPr>
      <w:r w:rsidRPr="00A07D9A">
        <w:rPr>
          <w:color w:val="000000" w:themeColor="text1"/>
        </w:rPr>
        <w:t>Respecto de los casos</w:t>
      </w:r>
      <w:r w:rsidR="00D40E98" w:rsidRPr="00A07D9A">
        <w:rPr>
          <w:color w:val="000000" w:themeColor="text1"/>
        </w:rPr>
        <w:t xml:space="preserve"> señalados en los incisos (a) y (b) anteriores, el Instituto cuenta con dos procedimientos para analizar </w:t>
      </w:r>
      <w:r w:rsidR="008F785B" w:rsidRPr="00A07D9A">
        <w:rPr>
          <w:color w:val="000000" w:themeColor="text1"/>
        </w:rPr>
        <w:t>dichas solicitudes</w:t>
      </w:r>
      <w:r w:rsidR="00D40E98" w:rsidRPr="00A07D9A">
        <w:rPr>
          <w:color w:val="000000" w:themeColor="text1"/>
        </w:rPr>
        <w:t>: el que deriva del análisis de competencia previsto en</w:t>
      </w:r>
      <w:r w:rsidR="002B6F69" w:rsidRPr="00A07D9A">
        <w:rPr>
          <w:color w:val="000000" w:themeColor="text1"/>
        </w:rPr>
        <w:t xml:space="preserve"> cada caso</w:t>
      </w:r>
      <w:r w:rsidR="00D40E98" w:rsidRPr="00A07D9A">
        <w:rPr>
          <w:color w:val="000000" w:themeColor="text1"/>
        </w:rPr>
        <w:t xml:space="preserve"> en la LFTR, y, </w:t>
      </w:r>
      <w:r w:rsidR="003E700D" w:rsidRPr="00A07D9A">
        <w:rPr>
          <w:color w:val="000000" w:themeColor="text1"/>
        </w:rPr>
        <w:t xml:space="preserve">el </w:t>
      </w:r>
      <w:r w:rsidR="00D40E98" w:rsidRPr="00A07D9A">
        <w:rPr>
          <w:color w:val="000000" w:themeColor="text1"/>
        </w:rPr>
        <w:t>de notificación previa de concentraciones previsto en la LFCE.</w:t>
      </w:r>
    </w:p>
    <w:p w14:paraId="3503C05E" w14:textId="77777777" w:rsidR="00D40E98" w:rsidRPr="00A07D9A" w:rsidRDefault="00D40E98" w:rsidP="00D40E98">
      <w:pPr>
        <w:pStyle w:val="Prrafodelista"/>
        <w:numPr>
          <w:ilvl w:val="0"/>
          <w:numId w:val="0"/>
        </w:numPr>
        <w:rPr>
          <w:color w:val="000000" w:themeColor="text1"/>
        </w:rPr>
      </w:pPr>
      <w:r w:rsidRPr="00A07D9A">
        <w:rPr>
          <w:color w:val="000000" w:themeColor="text1"/>
        </w:rPr>
        <w:t xml:space="preserve">No obstante lo anterior, </w:t>
      </w:r>
      <w:r w:rsidR="002B6F69" w:rsidRPr="00A07D9A">
        <w:rPr>
          <w:color w:val="000000" w:themeColor="text1"/>
        </w:rPr>
        <w:t xml:space="preserve">dado que </w:t>
      </w:r>
      <w:r w:rsidRPr="00A07D9A">
        <w:rPr>
          <w:color w:val="000000" w:themeColor="text1"/>
        </w:rPr>
        <w:t xml:space="preserve">las normas procesales </w:t>
      </w:r>
      <w:r w:rsidR="00BD5CF1" w:rsidRPr="00A07D9A">
        <w:rPr>
          <w:color w:val="000000" w:themeColor="text1"/>
        </w:rPr>
        <w:t xml:space="preserve">se </w:t>
      </w:r>
      <w:r w:rsidRPr="00A07D9A">
        <w:rPr>
          <w:color w:val="000000" w:themeColor="text1"/>
        </w:rPr>
        <w:t>interpreta</w:t>
      </w:r>
      <w:r w:rsidR="00BD5CF1" w:rsidRPr="00A07D9A">
        <w:rPr>
          <w:color w:val="000000" w:themeColor="text1"/>
        </w:rPr>
        <w:t>n</w:t>
      </w:r>
      <w:r w:rsidRPr="00A07D9A">
        <w:rPr>
          <w:color w:val="000000" w:themeColor="text1"/>
        </w:rPr>
        <w:t xml:space="preserve"> bajo la óptica de los derechos humanos y, por tanto, en aras de brindar certeza y seguridad jurídica y permitir el acceso oportuno, efectivo y expedito a la justicia, </w:t>
      </w:r>
      <w:r w:rsidR="002B6F69" w:rsidRPr="00A07D9A">
        <w:rPr>
          <w:color w:val="000000" w:themeColor="text1"/>
        </w:rPr>
        <w:t xml:space="preserve">el Pleno ha determinado que </w:t>
      </w:r>
      <w:r w:rsidRPr="00A07D9A">
        <w:rPr>
          <w:color w:val="000000" w:themeColor="text1"/>
        </w:rPr>
        <w:t>no es necesario sujetar el mismo acto a dos procedimientos distintos cuyo trámite, evaluación y resolución competen a la misma autoridad.</w:t>
      </w:r>
    </w:p>
    <w:p w14:paraId="6BF79636" w14:textId="77777777" w:rsidR="00D40E98" w:rsidRPr="00A07D9A" w:rsidRDefault="002B6F69" w:rsidP="00D40E98">
      <w:pPr>
        <w:pStyle w:val="Prrafodelista"/>
        <w:numPr>
          <w:ilvl w:val="0"/>
          <w:numId w:val="0"/>
        </w:numPr>
        <w:rPr>
          <w:color w:val="000000" w:themeColor="text1"/>
        </w:rPr>
      </w:pPr>
      <w:r w:rsidRPr="00A07D9A">
        <w:rPr>
          <w:color w:val="000000" w:themeColor="text1"/>
        </w:rPr>
        <w:t>Lo anterior es consistente con</w:t>
      </w:r>
      <w:r w:rsidR="00D40E98" w:rsidRPr="00A07D9A">
        <w:rPr>
          <w:color w:val="000000" w:themeColor="text1"/>
        </w:rPr>
        <w:t xml:space="preserve"> uno de los propósitos centrales de la reforma constitucional</w:t>
      </w:r>
      <w:r w:rsidR="004B54A6" w:rsidRPr="00A07D9A">
        <w:rPr>
          <w:color w:val="000000" w:themeColor="text1"/>
        </w:rPr>
        <w:t>: consolidar</w:t>
      </w:r>
      <w:r w:rsidR="00D40E98" w:rsidRPr="00A07D9A">
        <w:rPr>
          <w:color w:val="000000" w:themeColor="text1"/>
        </w:rPr>
        <w:t xml:space="preserve"> un régimen regulatorio plenamente convergente que brinde al Instituto las herramientas necesarias para ser un regulador eficaz en los sectores de telecomunicaciones y radiodifusión.</w:t>
      </w:r>
      <w:r w:rsidRPr="00A07D9A">
        <w:rPr>
          <w:color w:val="000000" w:themeColor="text1"/>
        </w:rPr>
        <w:t xml:space="preserve"> Además la LFCE y la LFTR establecen que los funcionarios del Instituto deben guiarse por los principios, entre otros, de legalidad, certeza, eficiencia y eficacia cuentas. </w:t>
      </w:r>
    </w:p>
    <w:p w14:paraId="144A7B13" w14:textId="77777777" w:rsidR="00D40E98" w:rsidRPr="00A07D9A" w:rsidRDefault="00D40E98" w:rsidP="00D40E98">
      <w:pPr>
        <w:pStyle w:val="Prrafodelista"/>
        <w:numPr>
          <w:ilvl w:val="0"/>
          <w:numId w:val="0"/>
        </w:numPr>
        <w:rPr>
          <w:color w:val="000000" w:themeColor="text1"/>
        </w:rPr>
      </w:pPr>
      <w:r w:rsidRPr="00A07D9A">
        <w:rPr>
          <w:color w:val="000000" w:themeColor="text1"/>
        </w:rPr>
        <w:t xml:space="preserve">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gestión del espectro radioeléctrico. </w:t>
      </w:r>
    </w:p>
    <w:p w14:paraId="08603949" w14:textId="77777777" w:rsidR="004A236F" w:rsidRPr="00A07D9A" w:rsidRDefault="00D40E98" w:rsidP="00D40E98">
      <w:pPr>
        <w:pStyle w:val="Prrafodelista"/>
        <w:numPr>
          <w:ilvl w:val="0"/>
          <w:numId w:val="0"/>
        </w:numPr>
        <w:rPr>
          <w:color w:val="000000" w:themeColor="text1"/>
        </w:rPr>
      </w:pPr>
      <w:r w:rsidRPr="00A07D9A">
        <w:rPr>
          <w:color w:val="000000" w:themeColor="text1"/>
        </w:rPr>
        <w:t>Por lo anterior, al momento de evaluar las solicitudes</w:t>
      </w:r>
      <w:r w:rsidR="002B6F69" w:rsidRPr="00A07D9A">
        <w:rPr>
          <w:color w:val="000000" w:themeColor="text1"/>
        </w:rPr>
        <w:t xml:space="preserve"> sobre los casos referidos en los incisos a y b</w:t>
      </w:r>
      <w:r w:rsidR="004B54A6" w:rsidRPr="00A07D9A">
        <w:rPr>
          <w:color w:val="000000" w:themeColor="text1"/>
        </w:rPr>
        <w:t>,</w:t>
      </w:r>
      <w:r w:rsidRPr="00A07D9A">
        <w:rPr>
          <w:color w:val="000000" w:themeColor="text1"/>
        </w:rPr>
        <w:t xml:space="preserve"> el Instituto incluirá el análisis en materia de competencia económica </w:t>
      </w:r>
      <w:r w:rsidR="00BA555E" w:rsidRPr="00A07D9A">
        <w:rPr>
          <w:color w:val="000000" w:themeColor="text1"/>
        </w:rPr>
        <w:t>como está</w:t>
      </w:r>
      <w:r w:rsidRPr="00A07D9A">
        <w:rPr>
          <w:color w:val="000000" w:themeColor="text1"/>
        </w:rPr>
        <w:t xml:space="preserve"> previsto en la </w:t>
      </w:r>
      <w:r w:rsidR="00704BEB" w:rsidRPr="00A07D9A">
        <w:rPr>
          <w:color w:val="000000" w:themeColor="text1"/>
        </w:rPr>
        <w:t>LFTR</w:t>
      </w:r>
      <w:r w:rsidR="00BA555E" w:rsidRPr="00A07D9A">
        <w:rPr>
          <w:color w:val="000000" w:themeColor="text1"/>
        </w:rPr>
        <w:t xml:space="preserve">, el cual se desarrolla tomando como referencia los criterios </w:t>
      </w:r>
      <w:r w:rsidR="00DD3381" w:rsidRPr="00A07D9A">
        <w:rPr>
          <w:color w:val="000000" w:themeColor="text1"/>
        </w:rPr>
        <w:t xml:space="preserve">aplicables al análisis de concentraciones </w:t>
      </w:r>
      <w:r w:rsidR="00BA555E" w:rsidRPr="00A07D9A">
        <w:rPr>
          <w:color w:val="000000" w:themeColor="text1"/>
        </w:rPr>
        <w:t>establecidos en los artículos 58, 59, 61</w:t>
      </w:r>
      <w:r w:rsidR="001F75F3" w:rsidRPr="00A07D9A">
        <w:rPr>
          <w:color w:val="000000" w:themeColor="text1"/>
        </w:rPr>
        <w:t>,</w:t>
      </w:r>
      <w:r w:rsidR="00BA555E" w:rsidRPr="00A07D9A">
        <w:rPr>
          <w:color w:val="000000" w:themeColor="text1"/>
        </w:rPr>
        <w:t xml:space="preserve"> 63</w:t>
      </w:r>
      <w:r w:rsidR="001F75F3" w:rsidRPr="00A07D9A">
        <w:rPr>
          <w:color w:val="000000" w:themeColor="text1"/>
        </w:rPr>
        <w:t xml:space="preserve"> y 64</w:t>
      </w:r>
      <w:r w:rsidR="00BA555E" w:rsidRPr="00A07D9A">
        <w:rPr>
          <w:color w:val="000000" w:themeColor="text1"/>
        </w:rPr>
        <w:t xml:space="preserve"> de la LFCE. E</w:t>
      </w:r>
      <w:r w:rsidRPr="00A07D9A">
        <w:rPr>
          <w:color w:val="000000" w:themeColor="text1"/>
        </w:rPr>
        <w:t xml:space="preserve">n consecuencia, </w:t>
      </w:r>
      <w:r w:rsidR="002B6F69" w:rsidRPr="00A07D9A">
        <w:rPr>
          <w:color w:val="000000" w:themeColor="text1"/>
        </w:rPr>
        <w:t xml:space="preserve">en esos casos </w:t>
      </w:r>
      <w:r w:rsidRPr="00A07D9A">
        <w:rPr>
          <w:color w:val="000000" w:themeColor="text1"/>
        </w:rPr>
        <w:t xml:space="preserve">no </w:t>
      </w:r>
      <w:r w:rsidR="002B6F69" w:rsidRPr="00A07D9A">
        <w:rPr>
          <w:color w:val="000000" w:themeColor="text1"/>
        </w:rPr>
        <w:t xml:space="preserve">será </w:t>
      </w:r>
      <w:r w:rsidRPr="00A07D9A">
        <w:rPr>
          <w:color w:val="000000" w:themeColor="text1"/>
        </w:rPr>
        <w:t>necesario que</w:t>
      </w:r>
      <w:r w:rsidR="002B6F69" w:rsidRPr="00A07D9A">
        <w:rPr>
          <w:color w:val="000000" w:themeColor="text1"/>
        </w:rPr>
        <w:t xml:space="preserve"> </w:t>
      </w:r>
      <w:r w:rsidR="002B6F69" w:rsidRPr="00A07D9A">
        <w:rPr>
          <w:color w:val="000000" w:themeColor="text1"/>
        </w:rPr>
        <w:lastRenderedPageBreak/>
        <w:t>los solicitantes</w:t>
      </w:r>
      <w:r w:rsidRPr="00A07D9A">
        <w:rPr>
          <w:color w:val="000000" w:themeColor="text1"/>
        </w:rPr>
        <w:t xml:space="preserve"> deban agotar el procedimiento de notificación previa de concentraciones previsto en la LFCE. </w:t>
      </w:r>
    </w:p>
    <w:p w14:paraId="6E824D87" w14:textId="77777777" w:rsidR="00256698" w:rsidRPr="00A07D9A" w:rsidRDefault="00D40E98" w:rsidP="00D40E98">
      <w:pPr>
        <w:pStyle w:val="Prrafodelista"/>
        <w:numPr>
          <w:ilvl w:val="0"/>
          <w:numId w:val="0"/>
        </w:numPr>
        <w:rPr>
          <w:color w:val="000000" w:themeColor="text1"/>
        </w:rPr>
      </w:pPr>
      <w:r w:rsidRPr="00A07D9A">
        <w:rPr>
          <w:color w:val="000000" w:themeColor="text1"/>
        </w:rPr>
        <w:t xml:space="preserve">Lo anterior en el entendido que la obligación de </w:t>
      </w:r>
      <w:r w:rsidR="00256698" w:rsidRPr="00A07D9A">
        <w:rPr>
          <w:color w:val="000000" w:themeColor="text1"/>
        </w:rPr>
        <w:t>notificar previamente al</w:t>
      </w:r>
      <w:r w:rsidRPr="00A07D9A">
        <w:rPr>
          <w:color w:val="000000" w:themeColor="text1"/>
        </w:rPr>
        <w:t xml:space="preserve"> Instituto, como regulador sectorial en términos de la LFTR y como autoridad de competencia económica en términos de la LFCE, queda</w:t>
      </w:r>
      <w:r w:rsidR="002B6F69" w:rsidRPr="00A07D9A">
        <w:rPr>
          <w:color w:val="000000" w:themeColor="text1"/>
        </w:rPr>
        <w:t>rá</w:t>
      </w:r>
      <w:r w:rsidRPr="00A07D9A">
        <w:rPr>
          <w:color w:val="000000" w:themeColor="text1"/>
        </w:rPr>
        <w:t xml:space="preserve"> satisfecha a través del procedimiento a que se refiere la LFTR</w:t>
      </w:r>
      <w:r w:rsidR="00DD3381" w:rsidRPr="00A07D9A">
        <w:rPr>
          <w:color w:val="000000" w:themeColor="text1"/>
        </w:rPr>
        <w:t>, únicamente por lo que corresponda al espectro radioeléctrico involucrado y los elementos comprendidos en el alcance de la resolución que emita el Pleno del Instituto</w:t>
      </w:r>
      <w:r w:rsidRPr="00A07D9A">
        <w:rPr>
          <w:color w:val="000000" w:themeColor="text1"/>
        </w:rPr>
        <w:t>.</w:t>
      </w:r>
      <w:r w:rsidR="009946B4" w:rsidRPr="00A07D9A">
        <w:rPr>
          <w:color w:val="000000" w:themeColor="text1"/>
        </w:rPr>
        <w:t xml:space="preserve"> </w:t>
      </w:r>
    </w:p>
    <w:p w14:paraId="17E53419" w14:textId="77777777" w:rsidR="00EB1630" w:rsidRPr="00A07D9A" w:rsidRDefault="002B6F69" w:rsidP="00D40E98">
      <w:pPr>
        <w:pStyle w:val="Prrafodelista"/>
        <w:numPr>
          <w:ilvl w:val="0"/>
          <w:numId w:val="0"/>
        </w:numPr>
        <w:rPr>
          <w:color w:val="000000" w:themeColor="text1"/>
        </w:rPr>
      </w:pPr>
      <w:r w:rsidRPr="00A07D9A">
        <w:rPr>
          <w:color w:val="000000" w:themeColor="text1"/>
        </w:rPr>
        <w:t xml:space="preserve">Ahora bien, respecto a los casos de </w:t>
      </w:r>
      <w:r w:rsidR="009946B4" w:rsidRPr="00A07D9A">
        <w:rPr>
          <w:color w:val="000000" w:themeColor="text1"/>
        </w:rPr>
        <w:t>cesiones y enajenaciones o cambios de control accionario en materia de concesiones,</w:t>
      </w:r>
      <w:r w:rsidR="009946B4" w:rsidRPr="00A07D9A">
        <w:rPr>
          <w:rStyle w:val="Refdenotaalpie"/>
          <w:color w:val="000000" w:themeColor="text1"/>
        </w:rPr>
        <w:footnoteReference w:id="49"/>
      </w:r>
      <w:r w:rsidR="009946B4" w:rsidRPr="00A07D9A">
        <w:rPr>
          <w:color w:val="000000" w:themeColor="text1"/>
        </w:rPr>
        <w:t xml:space="preserve"> </w:t>
      </w:r>
      <w:r w:rsidRPr="00A07D9A">
        <w:rPr>
          <w:color w:val="000000" w:themeColor="text1"/>
        </w:rPr>
        <w:t xml:space="preserve">a que se refieren los incisos c y d </w:t>
      </w:r>
      <w:r w:rsidR="004B54A6" w:rsidRPr="00A07D9A">
        <w:rPr>
          <w:color w:val="000000" w:themeColor="text1"/>
        </w:rPr>
        <w:t>anteriores la</w:t>
      </w:r>
      <w:r w:rsidR="005B7578" w:rsidRPr="00A07D9A">
        <w:rPr>
          <w:color w:val="000000" w:themeColor="text1"/>
        </w:rPr>
        <w:t xml:space="preserve"> LFTR establece que </w:t>
      </w:r>
      <w:r w:rsidR="009946B4" w:rsidRPr="00A07D9A">
        <w:rPr>
          <w:color w:val="000000" w:themeColor="text1"/>
        </w:rPr>
        <w:t xml:space="preserve">si los montos de dichas operaciones rebasan los umbrales señalados en el artículo 86 de la LFCE, el asunto se tramitará conforme a lo previsto en el procedimiento de notificación de concentraciones contemplado en la LFCE. </w:t>
      </w:r>
      <w:r w:rsidR="005B7578" w:rsidRPr="00A07D9A">
        <w:rPr>
          <w:color w:val="000000" w:themeColor="text1"/>
        </w:rPr>
        <w:t>En estos casos, el procedimiento previsto en el artículo 90 de la LFCE deberá adicionar las consideraciones señaladas en las disposiciones de la LFTR aplicables a esas transacciones.</w:t>
      </w:r>
    </w:p>
    <w:p w14:paraId="4F0C66E4" w14:textId="77777777" w:rsidR="00EB1630" w:rsidRPr="00A07D9A" w:rsidRDefault="00EB1630" w:rsidP="00D40E98">
      <w:pPr>
        <w:pStyle w:val="Prrafodelista"/>
        <w:numPr>
          <w:ilvl w:val="0"/>
          <w:numId w:val="0"/>
        </w:numPr>
        <w:rPr>
          <w:color w:val="000000" w:themeColor="text1"/>
        </w:rPr>
      </w:pPr>
      <w:r w:rsidRPr="00A07D9A">
        <w:rPr>
          <w:color w:val="000000" w:themeColor="text1"/>
        </w:rPr>
        <w:t>En caso de que las autorizaciones señaladas en los incisos (c) y (d) anteriores no rebasen los umbrales señalados en el artículo 86 de la LFCE, se tramitarán conforme a lo previsto en los artículos 110 y 112 de la LFTR.</w:t>
      </w:r>
    </w:p>
    <w:p w14:paraId="29D4216E" w14:textId="4CBCB47B" w:rsidR="00D90F3B" w:rsidRPr="00A07D9A" w:rsidRDefault="008C0D6D" w:rsidP="008C0D6D">
      <w:pPr>
        <w:pStyle w:val="Ttulo2"/>
        <w:rPr>
          <w:color w:val="000000" w:themeColor="text1"/>
        </w:rPr>
      </w:pPr>
      <w:bookmarkStart w:id="22" w:name="_Toc486519802"/>
      <w:r w:rsidRPr="00A07D9A">
        <w:rPr>
          <w:color w:val="000000" w:themeColor="text1"/>
        </w:rPr>
        <w:t xml:space="preserve">3.2 </w:t>
      </w:r>
      <w:r w:rsidR="00D75550" w:rsidRPr="00A07D9A">
        <w:rPr>
          <w:color w:val="000000" w:themeColor="text1"/>
        </w:rPr>
        <w:t xml:space="preserve">De aplicación </w:t>
      </w:r>
      <w:r w:rsidR="00D90F3B" w:rsidRPr="00A07D9A">
        <w:rPr>
          <w:color w:val="000000" w:themeColor="text1"/>
        </w:rPr>
        <w:t>ex post</w:t>
      </w:r>
      <w:bookmarkEnd w:id="22"/>
    </w:p>
    <w:p w14:paraId="4A134251" w14:textId="77777777" w:rsidR="002B6F69" w:rsidRPr="00A07D9A" w:rsidRDefault="002B6F69" w:rsidP="002B6F69">
      <w:pPr>
        <w:keepNext/>
        <w:keepLines/>
        <w:rPr>
          <w:color w:val="000000" w:themeColor="text1"/>
        </w:rPr>
      </w:pPr>
      <w:r w:rsidRPr="00A07D9A">
        <w:rPr>
          <w:color w:val="000000" w:themeColor="text1"/>
        </w:rPr>
        <w:t>La evaluación ex post se lleva a cabo respecto de concentraciones ya realizadas y que fueron investigadas por el Instituto.</w:t>
      </w:r>
    </w:p>
    <w:p w14:paraId="5FE3F098" w14:textId="77777777" w:rsidR="002F6B2F" w:rsidRPr="00A07D9A" w:rsidRDefault="002B6F69" w:rsidP="00704BEB">
      <w:pPr>
        <w:keepNext/>
        <w:keepLines/>
        <w:rPr>
          <w:color w:val="000000" w:themeColor="text1"/>
        </w:rPr>
      </w:pPr>
      <w:r w:rsidRPr="00A07D9A">
        <w:rPr>
          <w:color w:val="000000" w:themeColor="text1"/>
        </w:rPr>
        <w:t>La LFCE prevé que el Instituto puede llevar a cabo investigaciones para revisar concentraciones ya realizadas en los siguientes casos</w:t>
      </w:r>
      <w:r w:rsidR="002F6B2F" w:rsidRPr="00A07D9A">
        <w:rPr>
          <w:color w:val="000000" w:themeColor="text1"/>
        </w:rPr>
        <w:t>:</w:t>
      </w:r>
    </w:p>
    <w:p w14:paraId="4691E8E3" w14:textId="77777777" w:rsidR="006C54FC" w:rsidRPr="00A07D9A" w:rsidRDefault="002F6B2F" w:rsidP="008F672A">
      <w:pPr>
        <w:numPr>
          <w:ilvl w:val="0"/>
          <w:numId w:val="69"/>
        </w:numPr>
        <w:rPr>
          <w:color w:val="000000" w:themeColor="text1"/>
        </w:rPr>
      </w:pPr>
      <w:r w:rsidRPr="00A07D9A">
        <w:rPr>
          <w:color w:val="000000" w:themeColor="text1"/>
        </w:rPr>
        <w:t xml:space="preserve">Existiendo la </w:t>
      </w:r>
      <w:r w:rsidR="00D90F3B" w:rsidRPr="00A07D9A">
        <w:rPr>
          <w:color w:val="000000" w:themeColor="text1"/>
        </w:rPr>
        <w:t xml:space="preserve">obligación de obtener </w:t>
      </w:r>
      <w:r w:rsidR="003816E4" w:rsidRPr="00A07D9A">
        <w:rPr>
          <w:color w:val="000000" w:themeColor="text1"/>
        </w:rPr>
        <w:t xml:space="preserve">una </w:t>
      </w:r>
      <w:r w:rsidR="00D90F3B" w:rsidRPr="00A07D9A">
        <w:rPr>
          <w:color w:val="000000" w:themeColor="text1"/>
        </w:rPr>
        <w:t>autorización previa</w:t>
      </w:r>
      <w:r w:rsidR="003816E4" w:rsidRPr="00A07D9A">
        <w:rPr>
          <w:color w:val="000000" w:themeColor="text1"/>
        </w:rPr>
        <w:t xml:space="preserve"> del I</w:t>
      </w:r>
      <w:r w:rsidR="009708B5" w:rsidRPr="00A07D9A">
        <w:rPr>
          <w:color w:val="000000" w:themeColor="text1"/>
        </w:rPr>
        <w:t xml:space="preserve">nstituto, no la hayan </w:t>
      </w:r>
      <w:r w:rsidR="002E3BE1" w:rsidRPr="00A07D9A">
        <w:rPr>
          <w:color w:val="000000" w:themeColor="text1"/>
        </w:rPr>
        <w:t>notificado</w:t>
      </w:r>
      <w:r w:rsidR="004A236F" w:rsidRPr="00A07D9A">
        <w:rPr>
          <w:color w:val="000000" w:themeColor="text1"/>
        </w:rPr>
        <w:t xml:space="preserve"> (i.e. concentración no notificada)</w:t>
      </w:r>
      <w:r w:rsidR="009708B5" w:rsidRPr="00A07D9A">
        <w:rPr>
          <w:color w:val="000000" w:themeColor="text1"/>
        </w:rPr>
        <w:t>,</w:t>
      </w:r>
      <w:r w:rsidR="004A236F" w:rsidRPr="00A07D9A">
        <w:rPr>
          <w:rStyle w:val="Refdenotaalpie"/>
          <w:color w:val="000000" w:themeColor="text1"/>
        </w:rPr>
        <w:footnoteReference w:id="50"/>
      </w:r>
      <w:r w:rsidR="009708B5" w:rsidRPr="00A07D9A">
        <w:rPr>
          <w:color w:val="000000" w:themeColor="text1"/>
        </w:rPr>
        <w:t xml:space="preserve"> </w:t>
      </w:r>
    </w:p>
    <w:p w14:paraId="66A014FE" w14:textId="77777777" w:rsidR="002F6B2F" w:rsidRPr="00A07D9A" w:rsidRDefault="006C54FC" w:rsidP="008F672A">
      <w:pPr>
        <w:numPr>
          <w:ilvl w:val="0"/>
          <w:numId w:val="69"/>
        </w:numPr>
        <w:rPr>
          <w:color w:val="000000" w:themeColor="text1"/>
        </w:rPr>
      </w:pPr>
      <w:r w:rsidRPr="00A07D9A">
        <w:rPr>
          <w:color w:val="000000" w:themeColor="text1"/>
        </w:rPr>
        <w:t xml:space="preserve">Cuando la resolución se haya obtenido con base en información falsa o bien cuando haya quedado sujeta a condiciones posteriores y las mismas no se hayan cumplido en el plazo establecido para tal efecto, </w:t>
      </w:r>
      <w:r w:rsidR="009708B5" w:rsidRPr="00A07D9A">
        <w:rPr>
          <w:color w:val="000000" w:themeColor="text1"/>
        </w:rPr>
        <w:t>o</w:t>
      </w:r>
    </w:p>
    <w:p w14:paraId="26524DE2" w14:textId="77777777" w:rsidR="002F6B2F" w:rsidRPr="00A07D9A" w:rsidRDefault="002F6B2F" w:rsidP="008F672A">
      <w:pPr>
        <w:numPr>
          <w:ilvl w:val="0"/>
          <w:numId w:val="69"/>
        </w:numPr>
        <w:rPr>
          <w:color w:val="000000" w:themeColor="text1"/>
        </w:rPr>
      </w:pPr>
      <w:r w:rsidRPr="00A07D9A">
        <w:rPr>
          <w:color w:val="000000" w:themeColor="text1"/>
        </w:rPr>
        <w:t xml:space="preserve">No </w:t>
      </w:r>
      <w:r w:rsidR="002E3BE1" w:rsidRPr="00A07D9A">
        <w:rPr>
          <w:color w:val="000000" w:themeColor="text1"/>
        </w:rPr>
        <w:t xml:space="preserve">teniendo </w:t>
      </w:r>
      <w:r w:rsidRPr="00A07D9A">
        <w:rPr>
          <w:color w:val="000000" w:themeColor="text1"/>
        </w:rPr>
        <w:t>una autorización previa del Institut</w:t>
      </w:r>
      <w:r w:rsidR="003816E4" w:rsidRPr="00A07D9A">
        <w:rPr>
          <w:color w:val="000000" w:themeColor="text1"/>
        </w:rPr>
        <w:t>o</w:t>
      </w:r>
      <w:r w:rsidRPr="00A07D9A">
        <w:rPr>
          <w:color w:val="000000" w:themeColor="text1"/>
        </w:rPr>
        <w:t>, se tengan indicios de que la co</w:t>
      </w:r>
      <w:r w:rsidR="00704BEB" w:rsidRPr="00A07D9A">
        <w:rPr>
          <w:color w:val="000000" w:themeColor="text1"/>
        </w:rPr>
        <w:t>ncentración puede ser ilícita</w:t>
      </w:r>
      <w:r w:rsidR="002E3BE1" w:rsidRPr="00A07D9A">
        <w:rPr>
          <w:color w:val="000000" w:themeColor="text1"/>
        </w:rPr>
        <w:t xml:space="preserve"> porque </w:t>
      </w:r>
      <w:r w:rsidR="0082255F" w:rsidRPr="00A07D9A">
        <w:rPr>
          <w:color w:val="000000" w:themeColor="text1"/>
        </w:rPr>
        <w:t xml:space="preserve">su </w:t>
      </w:r>
      <w:r w:rsidR="004A236F" w:rsidRPr="00A07D9A">
        <w:rPr>
          <w:color w:val="000000" w:themeColor="text1"/>
        </w:rPr>
        <w:t xml:space="preserve">objeto o efecto </w:t>
      </w:r>
      <w:r w:rsidR="0082255F" w:rsidRPr="00A07D9A">
        <w:rPr>
          <w:color w:val="000000" w:themeColor="text1"/>
        </w:rPr>
        <w:t xml:space="preserve">sea </w:t>
      </w:r>
      <w:r w:rsidR="004A236F" w:rsidRPr="00A07D9A">
        <w:rPr>
          <w:color w:val="000000" w:themeColor="text1"/>
        </w:rPr>
        <w:t>obstaculizar, disminuir, dañar o impedir la libre concurrencia o la competencia económica</w:t>
      </w:r>
      <w:r w:rsidR="00704BEB" w:rsidRPr="00A07D9A">
        <w:rPr>
          <w:color w:val="000000" w:themeColor="text1"/>
        </w:rPr>
        <w:t>.</w:t>
      </w:r>
    </w:p>
    <w:p w14:paraId="3E82A960" w14:textId="77777777" w:rsidR="00D90F3B" w:rsidRPr="00A07D9A" w:rsidRDefault="004A236F" w:rsidP="00627F62">
      <w:pPr>
        <w:rPr>
          <w:color w:val="000000" w:themeColor="text1"/>
        </w:rPr>
      </w:pPr>
      <w:r w:rsidRPr="00A07D9A">
        <w:rPr>
          <w:color w:val="000000" w:themeColor="text1"/>
        </w:rPr>
        <w:lastRenderedPageBreak/>
        <w:t xml:space="preserve">Estos procedimientos </w:t>
      </w:r>
      <w:r w:rsidR="002B6F69" w:rsidRPr="00A07D9A">
        <w:rPr>
          <w:color w:val="000000" w:themeColor="text1"/>
        </w:rPr>
        <w:t>de investigación (los cuales podrían avanzar hacia un procedimiento seguido en forma de juicio)</w:t>
      </w:r>
      <w:r w:rsidRPr="00A07D9A">
        <w:rPr>
          <w:color w:val="000000" w:themeColor="text1"/>
        </w:rPr>
        <w:t xml:space="preserve"> pueden </w:t>
      </w:r>
      <w:r w:rsidR="00D90F3B" w:rsidRPr="00A07D9A">
        <w:rPr>
          <w:color w:val="000000" w:themeColor="text1"/>
        </w:rPr>
        <w:t xml:space="preserve">concluir con la </w:t>
      </w:r>
      <w:r w:rsidR="005B7578" w:rsidRPr="00A07D9A">
        <w:rPr>
          <w:color w:val="000000" w:themeColor="text1"/>
        </w:rPr>
        <w:t xml:space="preserve">imposición </w:t>
      </w:r>
      <w:r w:rsidR="00D90F3B" w:rsidRPr="00A07D9A">
        <w:rPr>
          <w:color w:val="000000" w:themeColor="text1"/>
        </w:rPr>
        <w:t>de sanciones por concentración no notificada e incluso por</w:t>
      </w:r>
      <w:r w:rsidRPr="00A07D9A">
        <w:rPr>
          <w:color w:val="000000" w:themeColor="text1"/>
        </w:rPr>
        <w:t xml:space="preserve"> concentración ilícita</w:t>
      </w:r>
      <w:r w:rsidR="005B7578" w:rsidRPr="00A07D9A">
        <w:rPr>
          <w:color w:val="000000" w:themeColor="text1"/>
        </w:rPr>
        <w:t xml:space="preserve">; la orden de </w:t>
      </w:r>
      <w:r w:rsidR="006C54FC" w:rsidRPr="00A07D9A">
        <w:rPr>
          <w:color w:val="000000" w:themeColor="text1"/>
        </w:rPr>
        <w:t>supr</w:t>
      </w:r>
      <w:r w:rsidR="005B7578" w:rsidRPr="00A07D9A">
        <w:rPr>
          <w:color w:val="000000" w:themeColor="text1"/>
        </w:rPr>
        <w:t>imir</w:t>
      </w:r>
      <w:r w:rsidR="006C54FC" w:rsidRPr="00A07D9A">
        <w:rPr>
          <w:color w:val="000000" w:themeColor="text1"/>
        </w:rPr>
        <w:t xml:space="preserve"> </w:t>
      </w:r>
      <w:r w:rsidR="005B7578" w:rsidRPr="00A07D9A">
        <w:rPr>
          <w:color w:val="000000" w:themeColor="text1"/>
        </w:rPr>
        <w:t xml:space="preserve">en </w:t>
      </w:r>
      <w:r w:rsidR="006C54FC" w:rsidRPr="00A07D9A">
        <w:rPr>
          <w:color w:val="000000" w:themeColor="text1"/>
        </w:rPr>
        <w:t>definitiva la concentración ilícita o sus efectos</w:t>
      </w:r>
      <w:r w:rsidR="005B7578" w:rsidRPr="00A07D9A">
        <w:rPr>
          <w:color w:val="000000" w:themeColor="text1"/>
        </w:rPr>
        <w:t>;</w:t>
      </w:r>
      <w:r w:rsidR="006C54FC" w:rsidRPr="00A07D9A">
        <w:rPr>
          <w:color w:val="000000" w:themeColor="text1"/>
        </w:rPr>
        <w:t xml:space="preserve"> o la </w:t>
      </w:r>
      <w:r w:rsidR="005B7578" w:rsidRPr="00A07D9A">
        <w:rPr>
          <w:color w:val="000000" w:themeColor="text1"/>
        </w:rPr>
        <w:t>orden</w:t>
      </w:r>
      <w:r w:rsidR="006C54FC" w:rsidRPr="00A07D9A">
        <w:rPr>
          <w:color w:val="000000" w:themeColor="text1"/>
        </w:rPr>
        <w:t xml:space="preserve"> de realizar actos o acciones cuya omisión haya causado la concentración ilícita</w:t>
      </w:r>
      <w:r w:rsidR="005B7578" w:rsidRPr="00A07D9A">
        <w:rPr>
          <w:color w:val="000000" w:themeColor="text1"/>
        </w:rPr>
        <w:t>. La resolución del Instituto</w:t>
      </w:r>
      <w:r w:rsidR="006C54FC" w:rsidRPr="00A07D9A">
        <w:rPr>
          <w:color w:val="000000" w:themeColor="text1"/>
        </w:rPr>
        <w:t xml:space="preserve">, </w:t>
      </w:r>
      <w:r w:rsidR="005B7578" w:rsidRPr="00A07D9A">
        <w:rPr>
          <w:color w:val="000000" w:themeColor="text1"/>
        </w:rPr>
        <w:t xml:space="preserve">en estos casos </w:t>
      </w:r>
      <w:r w:rsidR="006C54FC" w:rsidRPr="00A07D9A">
        <w:rPr>
          <w:color w:val="000000" w:themeColor="text1"/>
        </w:rPr>
        <w:t>inclu</w:t>
      </w:r>
      <w:r w:rsidR="005B7578" w:rsidRPr="00A07D9A">
        <w:rPr>
          <w:color w:val="000000" w:themeColor="text1"/>
        </w:rPr>
        <w:t xml:space="preserve">iría </w:t>
      </w:r>
      <w:r w:rsidR="006C54FC" w:rsidRPr="00A07D9A">
        <w:rPr>
          <w:color w:val="000000" w:themeColor="text1"/>
        </w:rPr>
        <w:t xml:space="preserve">los medios y plazos para acreditar el cumplimiento de </w:t>
      </w:r>
      <w:r w:rsidR="005B7578" w:rsidRPr="00A07D9A">
        <w:rPr>
          <w:color w:val="000000" w:themeColor="text1"/>
        </w:rPr>
        <w:t xml:space="preserve">lo ordenado, </w:t>
      </w:r>
      <w:r w:rsidR="006C54FC" w:rsidRPr="00A07D9A">
        <w:rPr>
          <w:color w:val="000000" w:themeColor="text1"/>
        </w:rPr>
        <w:t>de conformidad con lo previsto en el artículo 85, fracción III de la LFCE</w:t>
      </w:r>
      <w:r w:rsidR="00D90F3B" w:rsidRPr="00A07D9A">
        <w:rPr>
          <w:color w:val="000000" w:themeColor="text1"/>
        </w:rPr>
        <w:t>.</w:t>
      </w:r>
      <w:r w:rsidR="00AC4DA6" w:rsidRPr="00A07D9A">
        <w:rPr>
          <w:color w:val="000000" w:themeColor="text1"/>
        </w:rPr>
        <w:t xml:space="preserve"> </w:t>
      </w:r>
    </w:p>
    <w:p w14:paraId="35A88C49" w14:textId="77777777" w:rsidR="008C10F8" w:rsidRPr="00A07D9A" w:rsidRDefault="004F45D4" w:rsidP="005B7578">
      <w:pPr>
        <w:pStyle w:val="Ttulo1"/>
        <w:numPr>
          <w:ilvl w:val="0"/>
          <w:numId w:val="0"/>
        </w:numPr>
        <w:rPr>
          <w:color w:val="000000" w:themeColor="text1"/>
        </w:rPr>
      </w:pPr>
      <w:bookmarkStart w:id="23" w:name="_Toc486519803"/>
      <w:r w:rsidRPr="00A07D9A">
        <w:rPr>
          <w:color w:val="000000" w:themeColor="text1"/>
        </w:rPr>
        <w:t>4</w:t>
      </w:r>
      <w:r w:rsidR="00256698" w:rsidRPr="00A07D9A">
        <w:rPr>
          <w:color w:val="000000" w:themeColor="text1"/>
        </w:rPr>
        <w:t xml:space="preserve">. </w:t>
      </w:r>
      <w:r w:rsidR="008C10F8" w:rsidRPr="00A07D9A">
        <w:rPr>
          <w:color w:val="000000" w:themeColor="text1"/>
        </w:rPr>
        <w:t xml:space="preserve">Ámbito de </w:t>
      </w:r>
      <w:bookmarkEnd w:id="19"/>
      <w:r w:rsidR="008C10F8" w:rsidRPr="00A07D9A">
        <w:rPr>
          <w:color w:val="000000" w:themeColor="text1"/>
        </w:rPr>
        <w:t>competencia del Instituto</w:t>
      </w:r>
      <w:bookmarkEnd w:id="23"/>
    </w:p>
    <w:p w14:paraId="1E1AA024" w14:textId="77777777" w:rsidR="008C10F8" w:rsidRPr="00A07D9A" w:rsidRDefault="008C10F8" w:rsidP="008C10F8">
      <w:pPr>
        <w:rPr>
          <w:color w:val="000000" w:themeColor="text1"/>
        </w:rPr>
      </w:pPr>
      <w:r w:rsidRPr="00A07D9A">
        <w:rPr>
          <w:color w:val="000000" w:themeColor="text1"/>
        </w:rPr>
        <w:t xml:space="preserve">En términos de los artículos 28 de la CPEUM, 5 de la LFCE y 7 de la LFTR, el IFT tiene atribuciones exclusivas en materia de concentraciones en los sectores de telecomunicaciones y radiodifusión en el territorio nacional. </w:t>
      </w:r>
      <w:r w:rsidR="002B6F69" w:rsidRPr="00A07D9A">
        <w:rPr>
          <w:color w:val="000000" w:themeColor="text1"/>
        </w:rPr>
        <w:t>En tanto que l</w:t>
      </w:r>
      <w:r w:rsidRPr="00A07D9A">
        <w:rPr>
          <w:color w:val="000000" w:themeColor="text1"/>
        </w:rPr>
        <w:t xml:space="preserve">a COFECE es la autoridad competente </w:t>
      </w:r>
      <w:r w:rsidR="002B6F69" w:rsidRPr="00A07D9A">
        <w:rPr>
          <w:color w:val="000000" w:themeColor="text1"/>
        </w:rPr>
        <w:t xml:space="preserve">de </w:t>
      </w:r>
      <w:r w:rsidR="009946B4" w:rsidRPr="00A07D9A">
        <w:rPr>
          <w:color w:val="000000" w:themeColor="text1"/>
        </w:rPr>
        <w:t xml:space="preserve">las concentraciones </w:t>
      </w:r>
      <w:r w:rsidR="002B6F69" w:rsidRPr="00A07D9A">
        <w:rPr>
          <w:color w:val="000000" w:themeColor="text1"/>
        </w:rPr>
        <w:t xml:space="preserve">que se lleven a cabo en </w:t>
      </w:r>
      <w:r w:rsidRPr="00A07D9A">
        <w:rPr>
          <w:color w:val="000000" w:themeColor="text1"/>
        </w:rPr>
        <w:t>las demás áreas de la actividad económica</w:t>
      </w:r>
      <w:r w:rsidR="002B6F69" w:rsidRPr="00A07D9A">
        <w:rPr>
          <w:color w:val="000000" w:themeColor="text1"/>
        </w:rPr>
        <w:t xml:space="preserve"> del país</w:t>
      </w:r>
      <w:r w:rsidRPr="00A07D9A">
        <w:rPr>
          <w:color w:val="000000" w:themeColor="text1"/>
        </w:rPr>
        <w:t>. Además, tratándose de concentraciones que involucren actividades concesionadas sujetas a la LFTR, el IFT es la única autoridad competente en conocer y resolver sobre su realización.</w:t>
      </w:r>
    </w:p>
    <w:p w14:paraId="7E7E53D3" w14:textId="77777777" w:rsidR="008C10F8" w:rsidRPr="00A07D9A" w:rsidRDefault="008C10F8" w:rsidP="008C10F8">
      <w:pPr>
        <w:rPr>
          <w:color w:val="000000" w:themeColor="text1"/>
        </w:rPr>
      </w:pPr>
      <w:r w:rsidRPr="00A07D9A">
        <w:rPr>
          <w:color w:val="000000" w:themeColor="text1"/>
        </w:rPr>
        <w:t>En la práctica pueden existir transacciones en las que no sea sencillo determinar si el ámbito de competencia pertenece al IFT</w:t>
      </w:r>
      <w:r w:rsidR="009513F1" w:rsidRPr="00A07D9A">
        <w:rPr>
          <w:color w:val="000000" w:themeColor="text1"/>
        </w:rPr>
        <w:t xml:space="preserve"> o a la COFECE</w:t>
      </w:r>
      <w:r w:rsidRPr="00A07D9A">
        <w:rPr>
          <w:color w:val="000000" w:themeColor="text1"/>
        </w:rPr>
        <w:t xml:space="preserve">. En esos casos, en términos del artículo 110 de la LFCE, el IFT ofrece orientación general a cualquier persona y Autoridad </w:t>
      </w:r>
      <w:r w:rsidR="002B6F69" w:rsidRPr="00A07D9A">
        <w:rPr>
          <w:color w:val="000000" w:themeColor="text1"/>
        </w:rPr>
        <w:t xml:space="preserve">con </w:t>
      </w:r>
      <w:r w:rsidRPr="00A07D9A">
        <w:rPr>
          <w:color w:val="000000" w:themeColor="text1"/>
        </w:rPr>
        <w:t xml:space="preserve">relación </w:t>
      </w:r>
      <w:r w:rsidR="002B6F69" w:rsidRPr="00A07D9A">
        <w:rPr>
          <w:color w:val="000000" w:themeColor="text1"/>
        </w:rPr>
        <w:t xml:space="preserve">a </w:t>
      </w:r>
      <w:r w:rsidRPr="00A07D9A">
        <w:rPr>
          <w:color w:val="000000" w:themeColor="text1"/>
        </w:rPr>
        <w:t xml:space="preserve">la aplicación de esa ley. De esta forma, se brinda seguridad jurídica a los particulares que deseen identificar, antes de iniciar un </w:t>
      </w:r>
      <w:r w:rsidR="00EB7743" w:rsidRPr="00A07D9A">
        <w:rPr>
          <w:color w:val="000000" w:themeColor="text1"/>
        </w:rPr>
        <w:t>procedimiento</w:t>
      </w:r>
      <w:r w:rsidRPr="00A07D9A">
        <w:rPr>
          <w:color w:val="000000" w:themeColor="text1"/>
        </w:rPr>
        <w:t>, qué autoridad es competente para conocer y resolver.</w:t>
      </w:r>
    </w:p>
    <w:p w14:paraId="4F62C22F" w14:textId="77777777" w:rsidR="008C10F8" w:rsidRPr="00A07D9A" w:rsidRDefault="004F45D4" w:rsidP="008C10F8">
      <w:pPr>
        <w:pStyle w:val="Ttulo2"/>
        <w:rPr>
          <w:color w:val="000000" w:themeColor="text1"/>
        </w:rPr>
      </w:pPr>
      <w:bookmarkStart w:id="24" w:name="_Toc486519804"/>
      <w:r w:rsidRPr="00A07D9A">
        <w:rPr>
          <w:color w:val="000000" w:themeColor="text1"/>
        </w:rPr>
        <w:t>4</w:t>
      </w:r>
      <w:r w:rsidR="008C10F8" w:rsidRPr="00A07D9A">
        <w:rPr>
          <w:color w:val="000000" w:themeColor="text1"/>
        </w:rPr>
        <w:t>.1. Criterios de referencia</w:t>
      </w:r>
      <w:bookmarkEnd w:id="24"/>
    </w:p>
    <w:p w14:paraId="1AC05AB8" w14:textId="14805827" w:rsidR="008C10F8" w:rsidRPr="00A07D9A" w:rsidRDefault="008C10F8" w:rsidP="008C10F8">
      <w:pPr>
        <w:rPr>
          <w:color w:val="000000" w:themeColor="text1"/>
        </w:rPr>
      </w:pPr>
      <w:r w:rsidRPr="00A07D9A">
        <w:rPr>
          <w:color w:val="000000" w:themeColor="text1"/>
        </w:rPr>
        <w:t xml:space="preserve">En su práctica decisoria, el IFT ha adoptado criterios </w:t>
      </w:r>
      <w:r w:rsidR="008279FC" w:rsidRPr="00A07D9A">
        <w:rPr>
          <w:color w:val="000000" w:themeColor="text1"/>
        </w:rPr>
        <w:t>emanados de su experiencia y e</w:t>
      </w:r>
      <w:r w:rsidR="00CB3CE8" w:rsidRPr="00A07D9A">
        <w:rPr>
          <w:color w:val="000000" w:themeColor="text1"/>
        </w:rPr>
        <w:t>specialidad</w:t>
      </w:r>
      <w:r w:rsidR="008279FC" w:rsidRPr="00A07D9A">
        <w:rPr>
          <w:color w:val="000000" w:themeColor="text1"/>
        </w:rPr>
        <w:t xml:space="preserve"> </w:t>
      </w:r>
      <w:r w:rsidRPr="00A07D9A">
        <w:rPr>
          <w:color w:val="000000" w:themeColor="text1"/>
        </w:rPr>
        <w:t xml:space="preserve">para </w:t>
      </w:r>
      <w:r w:rsidR="008279FC" w:rsidRPr="00A07D9A">
        <w:rPr>
          <w:color w:val="000000" w:themeColor="text1"/>
        </w:rPr>
        <w:t xml:space="preserve">determinar su </w:t>
      </w:r>
      <w:r w:rsidR="00A97E95" w:rsidRPr="00A07D9A">
        <w:rPr>
          <w:color w:val="000000" w:themeColor="text1"/>
        </w:rPr>
        <w:t>ámbito</w:t>
      </w:r>
      <w:r w:rsidRPr="00A07D9A">
        <w:rPr>
          <w:color w:val="000000" w:themeColor="text1"/>
        </w:rPr>
        <w:t xml:space="preserve"> de competencia para conocer y resolver sobre concentraciones. Estos criterios pueden servir de referencia para identificar en futuras concentraciones</w:t>
      </w:r>
      <w:r w:rsidR="0000595F" w:rsidRPr="00A07D9A">
        <w:rPr>
          <w:color w:val="000000" w:themeColor="text1"/>
        </w:rPr>
        <w:t xml:space="preserve"> si</w:t>
      </w:r>
      <w:r w:rsidR="00AE6CA8" w:rsidRPr="00A07D9A">
        <w:rPr>
          <w:color w:val="000000" w:themeColor="text1"/>
        </w:rPr>
        <w:t>, atendiendo a las particularidades del caso en concreto,</w:t>
      </w:r>
      <w:r w:rsidRPr="00A07D9A">
        <w:rPr>
          <w:color w:val="000000" w:themeColor="text1"/>
        </w:rPr>
        <w:t xml:space="preserve"> </w:t>
      </w:r>
      <w:r w:rsidR="007053AF" w:rsidRPr="00A07D9A">
        <w:rPr>
          <w:color w:val="000000" w:themeColor="text1"/>
        </w:rPr>
        <w:t>é</w:t>
      </w:r>
      <w:r w:rsidR="0000595F" w:rsidRPr="00A07D9A">
        <w:rPr>
          <w:color w:val="000000" w:themeColor="text1"/>
        </w:rPr>
        <w:t>stas</w:t>
      </w:r>
      <w:r w:rsidRPr="00A07D9A">
        <w:rPr>
          <w:color w:val="000000" w:themeColor="text1"/>
        </w:rPr>
        <w:t xml:space="preserve"> pertenecen al ámbito de competencia del Instituto.</w:t>
      </w:r>
    </w:p>
    <w:p w14:paraId="60650FEC" w14:textId="77777777" w:rsidR="008C10F8" w:rsidRPr="00A07D9A" w:rsidRDefault="008C10F8" w:rsidP="008F672A">
      <w:pPr>
        <w:numPr>
          <w:ilvl w:val="0"/>
          <w:numId w:val="59"/>
        </w:numPr>
        <w:rPr>
          <w:color w:val="000000" w:themeColor="text1"/>
        </w:rPr>
      </w:pPr>
      <w:r w:rsidRPr="00A07D9A">
        <w:rPr>
          <w:b/>
          <w:color w:val="000000" w:themeColor="text1"/>
        </w:rPr>
        <w:t>Primero</w:t>
      </w:r>
      <w:r w:rsidRPr="00A07D9A">
        <w:rPr>
          <w:color w:val="000000" w:themeColor="text1"/>
        </w:rPr>
        <w:t>, se identifican las actividades en las que:</w:t>
      </w:r>
    </w:p>
    <w:p w14:paraId="2020AABA" w14:textId="77777777" w:rsidR="008C10F8" w:rsidRPr="00A07D9A" w:rsidRDefault="009513F1" w:rsidP="008F672A">
      <w:pPr>
        <w:pStyle w:val="Prrafodelista"/>
        <w:numPr>
          <w:ilvl w:val="0"/>
          <w:numId w:val="60"/>
        </w:numPr>
        <w:spacing w:before="0" w:after="160" w:line="259" w:lineRule="auto"/>
        <w:rPr>
          <w:color w:val="000000" w:themeColor="text1"/>
        </w:rPr>
      </w:pPr>
      <w:r w:rsidRPr="00A07D9A">
        <w:rPr>
          <w:color w:val="000000" w:themeColor="text1"/>
        </w:rPr>
        <w:t xml:space="preserve">Ocurre </w:t>
      </w:r>
      <w:r w:rsidR="008C10F8" w:rsidRPr="00A07D9A">
        <w:rPr>
          <w:color w:val="000000" w:themeColor="text1"/>
        </w:rPr>
        <w:t>la concentración</w:t>
      </w:r>
      <w:r w:rsidRPr="00A07D9A">
        <w:rPr>
          <w:color w:val="000000" w:themeColor="text1"/>
        </w:rPr>
        <w:t xml:space="preserve">, </w:t>
      </w:r>
      <w:r w:rsidR="008C10F8" w:rsidRPr="00A07D9A">
        <w:rPr>
          <w:color w:val="000000" w:themeColor="text1"/>
        </w:rPr>
        <w:t>i.e. pos</w:t>
      </w:r>
      <w:r w:rsidRPr="00A07D9A">
        <w:rPr>
          <w:color w:val="000000" w:themeColor="text1"/>
        </w:rPr>
        <w:t>ible(s) mercado(s) relevante(s)</w:t>
      </w:r>
      <w:r w:rsidR="008C10F8" w:rsidRPr="00A07D9A">
        <w:rPr>
          <w:color w:val="000000" w:themeColor="text1"/>
        </w:rPr>
        <w:t>,</w:t>
      </w:r>
      <w:r w:rsidR="008C10F8" w:rsidRPr="00A07D9A">
        <w:rPr>
          <w:rStyle w:val="Refdenotaalpie"/>
          <w:color w:val="000000" w:themeColor="text1"/>
        </w:rPr>
        <w:footnoteReference w:id="51"/>
      </w:r>
      <w:r w:rsidR="008C10F8" w:rsidRPr="00A07D9A">
        <w:rPr>
          <w:color w:val="000000" w:themeColor="text1"/>
        </w:rPr>
        <w:t xml:space="preserve"> y </w:t>
      </w:r>
    </w:p>
    <w:p w14:paraId="20425AD1" w14:textId="77777777" w:rsidR="008C10F8" w:rsidRPr="00A07D9A" w:rsidRDefault="009513F1" w:rsidP="008F672A">
      <w:pPr>
        <w:pStyle w:val="Prrafodelista"/>
        <w:numPr>
          <w:ilvl w:val="0"/>
          <w:numId w:val="60"/>
        </w:numPr>
        <w:spacing w:before="0" w:after="160" w:line="259" w:lineRule="auto"/>
        <w:rPr>
          <w:color w:val="000000" w:themeColor="text1"/>
        </w:rPr>
      </w:pPr>
      <w:r w:rsidRPr="00A07D9A">
        <w:rPr>
          <w:color w:val="000000" w:themeColor="text1"/>
        </w:rPr>
        <w:t xml:space="preserve">Puede tener efectos la concentración, </w:t>
      </w:r>
      <w:r w:rsidR="008C10F8" w:rsidRPr="00A07D9A">
        <w:rPr>
          <w:color w:val="000000" w:themeColor="text1"/>
        </w:rPr>
        <w:t>i.e.</w:t>
      </w:r>
      <w:r w:rsidRPr="00A07D9A">
        <w:rPr>
          <w:color w:val="000000" w:themeColor="text1"/>
        </w:rPr>
        <w:t xml:space="preserve"> posibles mercados relacionados</w:t>
      </w:r>
      <w:r w:rsidR="00AE6CA8" w:rsidRPr="00A07D9A">
        <w:rPr>
          <w:color w:val="000000" w:themeColor="text1"/>
        </w:rPr>
        <w:t xml:space="preserve">, </w:t>
      </w:r>
      <w:r w:rsidR="001F75F3" w:rsidRPr="00A07D9A">
        <w:rPr>
          <w:color w:val="000000" w:themeColor="text1"/>
        </w:rPr>
        <w:t xml:space="preserve">con </w:t>
      </w:r>
      <w:r w:rsidR="00AE6CA8" w:rsidRPr="00A07D9A">
        <w:rPr>
          <w:color w:val="000000" w:themeColor="text1"/>
        </w:rPr>
        <w:t>l</w:t>
      </w:r>
      <w:r w:rsidR="001F75F3" w:rsidRPr="00A07D9A">
        <w:rPr>
          <w:color w:val="000000" w:themeColor="text1"/>
        </w:rPr>
        <w:t>os</w:t>
      </w:r>
      <w:r w:rsidR="00AE6CA8" w:rsidRPr="00A07D9A">
        <w:rPr>
          <w:color w:val="000000" w:themeColor="text1"/>
        </w:rPr>
        <w:t xml:space="preserve"> sector</w:t>
      </w:r>
      <w:r w:rsidR="00F711E9" w:rsidRPr="00A07D9A">
        <w:rPr>
          <w:color w:val="000000" w:themeColor="text1"/>
        </w:rPr>
        <w:t>es</w:t>
      </w:r>
      <w:r w:rsidR="00AE6CA8" w:rsidRPr="00A07D9A">
        <w:rPr>
          <w:color w:val="000000" w:themeColor="text1"/>
        </w:rPr>
        <w:t xml:space="preserve"> de Telecomunicaciones y Radiodifusión</w:t>
      </w:r>
      <w:r w:rsidR="008C10F8" w:rsidRPr="00A07D9A">
        <w:rPr>
          <w:color w:val="000000" w:themeColor="text1"/>
        </w:rPr>
        <w:t xml:space="preserve">. </w:t>
      </w:r>
      <w:r w:rsidR="008C10F8" w:rsidRPr="00A07D9A">
        <w:rPr>
          <w:rStyle w:val="Refdenotaalpie"/>
          <w:color w:val="000000" w:themeColor="text1"/>
        </w:rPr>
        <w:footnoteReference w:id="52"/>
      </w:r>
      <w:r w:rsidR="008C10F8" w:rsidRPr="00A07D9A">
        <w:rPr>
          <w:color w:val="000000" w:themeColor="text1"/>
        </w:rPr>
        <w:t xml:space="preserve"> </w:t>
      </w:r>
    </w:p>
    <w:p w14:paraId="2CA2D513" w14:textId="77777777" w:rsidR="008C10F8" w:rsidRPr="00A07D9A" w:rsidRDefault="008C10F8" w:rsidP="008C10F8">
      <w:pPr>
        <w:ind w:left="360"/>
        <w:rPr>
          <w:color w:val="000000" w:themeColor="text1"/>
        </w:rPr>
      </w:pPr>
      <w:r w:rsidRPr="00A07D9A">
        <w:rPr>
          <w:color w:val="000000" w:themeColor="text1"/>
        </w:rPr>
        <w:lastRenderedPageBreak/>
        <w:t xml:space="preserve">Para ello se toman en consideración las actividades económicas que realizan </w:t>
      </w:r>
      <w:r w:rsidR="002B6F69" w:rsidRPr="00A07D9A">
        <w:rPr>
          <w:color w:val="000000" w:themeColor="text1"/>
        </w:rPr>
        <w:t>los Agentes Económicos Involucrados</w:t>
      </w:r>
      <w:r w:rsidRPr="00A07D9A">
        <w:rPr>
          <w:color w:val="000000" w:themeColor="text1"/>
        </w:rPr>
        <w:t>.</w:t>
      </w:r>
    </w:p>
    <w:p w14:paraId="7DD508E0" w14:textId="32892AE4" w:rsidR="008C10F8" w:rsidRPr="00A07D9A" w:rsidRDefault="008C10F8" w:rsidP="008F672A">
      <w:pPr>
        <w:numPr>
          <w:ilvl w:val="0"/>
          <w:numId w:val="59"/>
        </w:numPr>
        <w:rPr>
          <w:color w:val="000000" w:themeColor="text1"/>
        </w:rPr>
      </w:pPr>
      <w:r w:rsidRPr="00A07D9A">
        <w:rPr>
          <w:b/>
          <w:color w:val="000000" w:themeColor="text1"/>
        </w:rPr>
        <w:t>En segundo lugar</w:t>
      </w:r>
      <w:r w:rsidRPr="00A07D9A">
        <w:rPr>
          <w:color w:val="000000" w:themeColor="text1"/>
        </w:rPr>
        <w:t>, se determina si las actividades identificadas en (a) satisfacen alguno de los siguientes supuestos</w:t>
      </w:r>
      <w:r w:rsidR="00AE6CA8" w:rsidRPr="00A07D9A">
        <w:rPr>
          <w:color w:val="000000" w:themeColor="text1"/>
        </w:rPr>
        <w:t>, siempre atendiendo a los precedentes</w:t>
      </w:r>
      <w:r w:rsidR="00364DF2" w:rsidRPr="00A07D9A">
        <w:rPr>
          <w:color w:val="000000" w:themeColor="text1"/>
        </w:rPr>
        <w:t xml:space="preserve"> judiciales</w:t>
      </w:r>
      <w:r w:rsidR="00AE6CA8" w:rsidRPr="00A07D9A">
        <w:rPr>
          <w:color w:val="000000" w:themeColor="text1"/>
        </w:rPr>
        <w:t xml:space="preserve">, </w:t>
      </w:r>
      <w:r w:rsidR="00364DF2" w:rsidRPr="00A07D9A">
        <w:rPr>
          <w:color w:val="000000" w:themeColor="text1"/>
        </w:rPr>
        <w:t xml:space="preserve">así como a </w:t>
      </w:r>
      <w:r w:rsidR="00AE6CA8" w:rsidRPr="00A07D9A">
        <w:rPr>
          <w:color w:val="000000" w:themeColor="text1"/>
        </w:rPr>
        <w:t>las características del caso específico y la e</w:t>
      </w:r>
      <w:r w:rsidR="004D20DE" w:rsidRPr="00A07D9A">
        <w:rPr>
          <w:color w:val="000000" w:themeColor="text1"/>
        </w:rPr>
        <w:t>specialización</w:t>
      </w:r>
      <w:r w:rsidR="00AE6CA8" w:rsidRPr="00A07D9A">
        <w:rPr>
          <w:color w:val="000000" w:themeColor="text1"/>
        </w:rPr>
        <w:t xml:space="preserve"> del IFT y de la COFECE</w:t>
      </w:r>
      <w:r w:rsidRPr="00A07D9A">
        <w:rPr>
          <w:color w:val="000000" w:themeColor="text1"/>
        </w:rPr>
        <w:t>:</w:t>
      </w:r>
    </w:p>
    <w:p w14:paraId="70C26472" w14:textId="77777777" w:rsidR="008C10F8" w:rsidRPr="00A07D9A" w:rsidRDefault="008C10F8" w:rsidP="008F672A">
      <w:pPr>
        <w:pStyle w:val="Prrafodelista"/>
        <w:numPr>
          <w:ilvl w:val="0"/>
          <w:numId w:val="70"/>
        </w:numPr>
        <w:spacing w:before="0" w:after="160" w:line="259" w:lineRule="auto"/>
        <w:rPr>
          <w:color w:val="000000" w:themeColor="text1"/>
        </w:rPr>
      </w:pPr>
      <w:r w:rsidRPr="00A07D9A">
        <w:rPr>
          <w:color w:val="000000" w:themeColor="text1"/>
        </w:rPr>
        <w:t>Pertenecen a los sectores de telecomunicaciones o radiodifusión;</w:t>
      </w:r>
      <w:r w:rsidRPr="00A07D9A">
        <w:rPr>
          <w:rStyle w:val="Refdenotaalpie"/>
          <w:color w:val="000000" w:themeColor="text1"/>
        </w:rPr>
        <w:footnoteReference w:id="53"/>
      </w:r>
    </w:p>
    <w:p w14:paraId="6C9458FB" w14:textId="77777777" w:rsidR="008C10F8" w:rsidRPr="00A07D9A" w:rsidRDefault="008C10F8" w:rsidP="008F672A">
      <w:pPr>
        <w:pStyle w:val="Prrafodelista"/>
        <w:numPr>
          <w:ilvl w:val="0"/>
          <w:numId w:val="70"/>
        </w:numPr>
        <w:spacing w:before="0" w:after="160" w:line="259" w:lineRule="auto"/>
        <w:rPr>
          <w:color w:val="000000" w:themeColor="text1"/>
        </w:rPr>
      </w:pPr>
      <w:r w:rsidRPr="00A07D9A">
        <w:rPr>
          <w:color w:val="000000" w:themeColor="text1"/>
        </w:rPr>
        <w:t xml:space="preserve">Su análisis exige un conocimiento técnico especializado en los sectores de telecomunicaciones o radiodifusión, así como en los diversos elementos que </w:t>
      </w:r>
      <w:r w:rsidR="0018586E" w:rsidRPr="00A07D9A">
        <w:rPr>
          <w:color w:val="000000" w:themeColor="text1"/>
        </w:rPr>
        <w:t xml:space="preserve">confluyen </w:t>
      </w:r>
      <w:r w:rsidRPr="00A07D9A">
        <w:rPr>
          <w:color w:val="000000" w:themeColor="text1"/>
        </w:rPr>
        <w:t>en los mismos;</w:t>
      </w:r>
      <w:r w:rsidRPr="00A07D9A">
        <w:rPr>
          <w:rStyle w:val="Refdenotaalpie"/>
          <w:color w:val="000000" w:themeColor="text1"/>
        </w:rPr>
        <w:footnoteReference w:id="54"/>
      </w:r>
    </w:p>
    <w:p w14:paraId="122680DC" w14:textId="77777777" w:rsidR="008C10F8" w:rsidRPr="00A07D9A" w:rsidRDefault="008C10F8" w:rsidP="008F672A">
      <w:pPr>
        <w:pStyle w:val="Prrafodelista"/>
        <w:numPr>
          <w:ilvl w:val="0"/>
          <w:numId w:val="70"/>
        </w:numPr>
        <w:spacing w:before="0" w:after="160" w:line="259" w:lineRule="auto"/>
        <w:rPr>
          <w:color w:val="000000" w:themeColor="text1"/>
        </w:rPr>
      </w:pPr>
      <w:r w:rsidRPr="00A07D9A">
        <w:rPr>
          <w:color w:val="000000" w:themeColor="text1"/>
        </w:rPr>
        <w:t>Pertenecen a la cadena de valor de otras actividades que forman parte de los sectores de telecomunicaciones o radiodifusión,</w:t>
      </w:r>
      <w:r w:rsidRPr="00A07D9A">
        <w:rPr>
          <w:rStyle w:val="Refdenotaalpie"/>
          <w:color w:val="000000" w:themeColor="text1"/>
        </w:rPr>
        <w:footnoteReference w:id="55"/>
      </w:r>
      <w:r w:rsidRPr="00A07D9A">
        <w:rPr>
          <w:color w:val="000000" w:themeColor="text1"/>
        </w:rPr>
        <w:t xml:space="preserve"> y </w:t>
      </w:r>
    </w:p>
    <w:p w14:paraId="6A2A2C25" w14:textId="77777777" w:rsidR="008C10F8" w:rsidRPr="00A07D9A" w:rsidRDefault="008C10F8" w:rsidP="008F672A">
      <w:pPr>
        <w:pStyle w:val="Prrafodelista"/>
        <w:numPr>
          <w:ilvl w:val="0"/>
          <w:numId w:val="70"/>
        </w:numPr>
        <w:spacing w:before="0" w:after="160" w:line="259" w:lineRule="auto"/>
        <w:rPr>
          <w:color w:val="000000" w:themeColor="text1"/>
        </w:rPr>
      </w:pPr>
      <w:r w:rsidRPr="00A07D9A">
        <w:rPr>
          <w:color w:val="000000" w:themeColor="text1"/>
        </w:rPr>
        <w:t>Utiliza</w:t>
      </w:r>
      <w:r w:rsidR="009946B4" w:rsidRPr="00A07D9A">
        <w:rPr>
          <w:color w:val="000000" w:themeColor="text1"/>
        </w:rPr>
        <w:t>n</w:t>
      </w:r>
      <w:r w:rsidRPr="00A07D9A">
        <w:rPr>
          <w:color w:val="000000" w:themeColor="text1"/>
        </w:rPr>
        <w:t xml:space="preserve"> como insumo las redes de telecomunicaciones, en forma significativa.</w:t>
      </w:r>
      <w:r w:rsidRPr="00A07D9A">
        <w:rPr>
          <w:rStyle w:val="Refdenotaalpie"/>
          <w:color w:val="000000" w:themeColor="text1"/>
        </w:rPr>
        <w:footnoteReference w:id="56"/>
      </w:r>
    </w:p>
    <w:p w14:paraId="6EEC786E" w14:textId="77777777" w:rsidR="008C10F8" w:rsidRPr="00A07D9A" w:rsidRDefault="00AE6CA8" w:rsidP="008C10F8">
      <w:pPr>
        <w:ind w:left="360"/>
        <w:rPr>
          <w:color w:val="000000" w:themeColor="text1"/>
        </w:rPr>
      </w:pPr>
      <w:r w:rsidRPr="00A07D9A">
        <w:rPr>
          <w:color w:val="000000" w:themeColor="text1"/>
        </w:rPr>
        <w:t xml:space="preserve">De forma enunciativa, </w:t>
      </w:r>
      <w:proofErr w:type="gramStart"/>
      <w:r w:rsidR="004B54A6" w:rsidRPr="00A07D9A">
        <w:rPr>
          <w:color w:val="000000" w:themeColor="text1"/>
        </w:rPr>
        <w:t>m</w:t>
      </w:r>
      <w:r w:rsidR="0091295A" w:rsidRPr="00A07D9A">
        <w:rPr>
          <w:color w:val="000000" w:themeColor="text1"/>
        </w:rPr>
        <w:t>a</w:t>
      </w:r>
      <w:r w:rsidR="004B54A6" w:rsidRPr="00A07D9A">
        <w:rPr>
          <w:color w:val="000000" w:themeColor="text1"/>
        </w:rPr>
        <w:t>s</w:t>
      </w:r>
      <w:proofErr w:type="gramEnd"/>
      <w:r w:rsidR="007053AF" w:rsidRPr="00A07D9A">
        <w:rPr>
          <w:color w:val="000000" w:themeColor="text1"/>
        </w:rPr>
        <w:t xml:space="preserve"> </w:t>
      </w:r>
      <w:r w:rsidRPr="00A07D9A">
        <w:rPr>
          <w:color w:val="000000" w:themeColor="text1"/>
        </w:rPr>
        <w:t>no limitativa, l</w:t>
      </w:r>
      <w:r w:rsidR="008C10F8" w:rsidRPr="00A07D9A">
        <w:rPr>
          <w:color w:val="000000" w:themeColor="text1"/>
        </w:rPr>
        <w:t xml:space="preserve">as actividades que </w:t>
      </w:r>
      <w:r w:rsidRPr="00A07D9A">
        <w:rPr>
          <w:color w:val="000000" w:themeColor="text1"/>
        </w:rPr>
        <w:t>se considera incumben</w:t>
      </w:r>
      <w:r w:rsidR="008C10F8" w:rsidRPr="00A07D9A">
        <w:rPr>
          <w:color w:val="000000" w:themeColor="text1"/>
        </w:rPr>
        <w:t xml:space="preserve"> a los sectores de telecomunicaciones o radiodifusión</w:t>
      </w:r>
      <w:r w:rsidRPr="00A07D9A">
        <w:rPr>
          <w:color w:val="000000" w:themeColor="text1"/>
        </w:rPr>
        <w:t>, atendiendo a las características del caso en concreto,</w:t>
      </w:r>
      <w:r w:rsidR="008C10F8" w:rsidRPr="00A07D9A">
        <w:rPr>
          <w:color w:val="000000" w:themeColor="text1"/>
        </w:rPr>
        <w:t xml:space="preserve"> incluyen, entre otras, las siguientes:</w:t>
      </w:r>
    </w:p>
    <w:p w14:paraId="00D510DF" w14:textId="77777777" w:rsidR="008C10F8" w:rsidRPr="00A07D9A" w:rsidRDefault="008C10F8" w:rsidP="008F672A">
      <w:pPr>
        <w:pStyle w:val="Prrafodelista"/>
        <w:numPr>
          <w:ilvl w:val="0"/>
          <w:numId w:val="46"/>
        </w:numPr>
        <w:spacing w:after="160" w:line="259" w:lineRule="auto"/>
        <w:rPr>
          <w:color w:val="000000" w:themeColor="text1"/>
        </w:rPr>
      </w:pPr>
      <w:r w:rsidRPr="00A07D9A">
        <w:rPr>
          <w:color w:val="000000" w:themeColor="text1"/>
        </w:rPr>
        <w:t xml:space="preserve">Aquéllas </w:t>
      </w:r>
      <w:r w:rsidR="009513F1" w:rsidRPr="00A07D9A">
        <w:rPr>
          <w:color w:val="000000" w:themeColor="text1"/>
        </w:rPr>
        <w:t xml:space="preserve">cuya prestación requiere de </w:t>
      </w:r>
      <w:r w:rsidRPr="00A07D9A">
        <w:rPr>
          <w:rFonts w:cs="Arial"/>
          <w:color w:val="000000" w:themeColor="text1"/>
        </w:rPr>
        <w:t xml:space="preserve">concesiones o </w:t>
      </w:r>
      <w:r w:rsidRPr="00A07D9A">
        <w:rPr>
          <w:color w:val="000000" w:themeColor="text1"/>
        </w:rPr>
        <w:t>autorizaciones</w:t>
      </w:r>
      <w:r w:rsidRPr="00A07D9A">
        <w:rPr>
          <w:rFonts w:cs="Arial"/>
          <w:color w:val="000000" w:themeColor="text1"/>
        </w:rPr>
        <w:t xml:space="preserve"> </w:t>
      </w:r>
      <w:r w:rsidRPr="00A07D9A">
        <w:rPr>
          <w:color w:val="000000" w:themeColor="text1"/>
        </w:rPr>
        <w:t>previstas en</w:t>
      </w:r>
      <w:r w:rsidRPr="00A07D9A">
        <w:rPr>
          <w:rFonts w:cs="Arial"/>
          <w:color w:val="000000" w:themeColor="text1"/>
        </w:rPr>
        <w:t xml:space="preserve"> </w:t>
      </w:r>
      <w:r w:rsidR="00B917E7" w:rsidRPr="00A07D9A">
        <w:rPr>
          <w:rFonts w:cs="Arial"/>
          <w:color w:val="000000" w:themeColor="text1"/>
        </w:rPr>
        <w:t xml:space="preserve">términos de </w:t>
      </w:r>
      <w:r w:rsidRPr="00A07D9A">
        <w:rPr>
          <w:rFonts w:cs="Arial"/>
          <w:color w:val="000000" w:themeColor="text1"/>
        </w:rPr>
        <w:t>la LFTR;</w:t>
      </w:r>
    </w:p>
    <w:p w14:paraId="08F4E6B3" w14:textId="77777777" w:rsidR="008C10F8" w:rsidRPr="00A07D9A" w:rsidRDefault="008C10F8" w:rsidP="008F672A">
      <w:pPr>
        <w:pStyle w:val="Prrafodelista"/>
        <w:numPr>
          <w:ilvl w:val="0"/>
          <w:numId w:val="46"/>
        </w:numPr>
        <w:spacing w:after="160" w:line="259" w:lineRule="auto"/>
        <w:ind w:left="714" w:hanging="357"/>
        <w:rPr>
          <w:color w:val="000000" w:themeColor="text1"/>
        </w:rPr>
      </w:pPr>
      <w:r w:rsidRPr="00A07D9A">
        <w:rPr>
          <w:color w:val="000000" w:themeColor="text1"/>
        </w:rPr>
        <w:t>La comercialización de servicios de telecomunicaciones, es decir, aquellos que se proporcionan a usuarios finales mediante el uso de capacidad de una o varias redes públicas de telecomunicaciones sin tener el carácter de concesionario en los términos de la LFTR;</w:t>
      </w:r>
    </w:p>
    <w:p w14:paraId="36431089" w14:textId="77777777" w:rsidR="008C10F8" w:rsidRPr="00A07D9A" w:rsidRDefault="008C10F8" w:rsidP="008F672A">
      <w:pPr>
        <w:pStyle w:val="Prrafodelista"/>
        <w:numPr>
          <w:ilvl w:val="0"/>
          <w:numId w:val="46"/>
        </w:numPr>
        <w:spacing w:after="160" w:line="259" w:lineRule="auto"/>
        <w:ind w:left="714" w:hanging="357"/>
        <w:rPr>
          <w:rFonts w:cs="Times New Roman"/>
          <w:color w:val="000000" w:themeColor="text1"/>
        </w:rPr>
      </w:pPr>
      <w:r w:rsidRPr="00A07D9A">
        <w:rPr>
          <w:color w:val="000000" w:themeColor="text1"/>
        </w:rPr>
        <w:t>La provisión de</w:t>
      </w:r>
      <w:r w:rsidRPr="00A07D9A">
        <w:rPr>
          <w:rFonts w:cs="Times New Roman"/>
          <w:color w:val="000000" w:themeColor="text1"/>
        </w:rPr>
        <w:t xml:space="preserve"> infraestructura pasiva, es decir, elementos accesorios que proporcionan soporte a la infraestructura activa, entre otros, bastidores, cableado subterráneo y aéreo, canalizaciones, construcciones, ductos, obras, postes, sistemas de suministro y respaldo de energía eléctrica, sistemas </w:t>
      </w:r>
      <w:r w:rsidRPr="00A07D9A">
        <w:rPr>
          <w:rFonts w:cs="Times New Roman"/>
          <w:color w:val="000000" w:themeColor="text1"/>
        </w:rPr>
        <w:lastRenderedPageBreak/>
        <w:t>de climatización, sitios, torres y demás aditamentos, incluyendo derechos de vía, que sean necesarios para la instalación y operación de las redes, así como para la prestación de servicios de telecomunicaciones y radiodifusión;</w:t>
      </w:r>
    </w:p>
    <w:p w14:paraId="45DE1CE4" w14:textId="77777777" w:rsidR="008C10F8" w:rsidRPr="00A07D9A" w:rsidRDefault="008C10F8" w:rsidP="008F672A">
      <w:pPr>
        <w:pStyle w:val="Prrafodelista"/>
        <w:numPr>
          <w:ilvl w:val="0"/>
          <w:numId w:val="46"/>
        </w:numPr>
        <w:spacing w:after="160" w:line="259" w:lineRule="auto"/>
        <w:ind w:left="714" w:hanging="357"/>
        <w:rPr>
          <w:rFonts w:cs="Times New Roman"/>
          <w:color w:val="000000" w:themeColor="text1"/>
        </w:rPr>
      </w:pPr>
      <w:r w:rsidRPr="00A07D9A">
        <w:rPr>
          <w:color w:val="000000" w:themeColor="text1"/>
        </w:rPr>
        <w:t>La provisión de</w:t>
      </w:r>
      <w:r w:rsidRPr="00A07D9A">
        <w:rPr>
          <w:rFonts w:cs="Times New Roman"/>
          <w:color w:val="000000" w:themeColor="text1"/>
        </w:rPr>
        <w:t xml:space="preserve"> infraestructura activa, es decir, e</w:t>
      </w:r>
      <w:r w:rsidRPr="00A07D9A">
        <w:rPr>
          <w:color w:val="000000" w:themeColor="text1"/>
        </w:rPr>
        <w:t>lementos de las redes de telecomunicaciones o radiodifusión que almacenan, emiten, procesan, reciben o transmiten escritos, imágenes, sonidos, señales, signos o información de cualquier naturaleza;</w:t>
      </w:r>
    </w:p>
    <w:p w14:paraId="75073323" w14:textId="77777777" w:rsidR="008C10F8" w:rsidRPr="00A07D9A" w:rsidRDefault="008C10F8" w:rsidP="008F672A">
      <w:pPr>
        <w:pStyle w:val="Prrafodelista"/>
        <w:numPr>
          <w:ilvl w:val="0"/>
          <w:numId w:val="46"/>
        </w:numPr>
        <w:spacing w:after="160" w:line="259" w:lineRule="auto"/>
        <w:ind w:left="714" w:hanging="357"/>
        <w:rPr>
          <w:rFonts w:cs="Times New Roman"/>
          <w:color w:val="000000" w:themeColor="text1"/>
        </w:rPr>
      </w:pPr>
      <w:r w:rsidRPr="00A07D9A">
        <w:rPr>
          <w:color w:val="000000" w:themeColor="text1"/>
        </w:rPr>
        <w:t xml:space="preserve">La producción, venta y/o transmisión de </w:t>
      </w:r>
      <w:r w:rsidR="007462D3" w:rsidRPr="00A07D9A">
        <w:rPr>
          <w:color w:val="000000" w:themeColor="text1"/>
        </w:rPr>
        <w:t xml:space="preserve">aplicaciones y </w:t>
      </w:r>
      <w:r w:rsidRPr="00A07D9A">
        <w:rPr>
          <w:color w:val="000000" w:themeColor="text1"/>
        </w:rPr>
        <w:t>contenido, a nivel nacional, regional o local, que se transmiten a través de frecuencias de radiodifusión o redes de telecomunicaciones;</w:t>
      </w:r>
    </w:p>
    <w:p w14:paraId="3041BD87" w14:textId="77777777" w:rsidR="008C10F8" w:rsidRPr="00A07D9A" w:rsidRDefault="008C10F8" w:rsidP="008F672A">
      <w:pPr>
        <w:pStyle w:val="Prrafodelista"/>
        <w:numPr>
          <w:ilvl w:val="0"/>
          <w:numId w:val="46"/>
        </w:numPr>
        <w:spacing w:after="160" w:line="259" w:lineRule="auto"/>
        <w:ind w:left="714" w:hanging="357"/>
        <w:rPr>
          <w:rFonts w:cs="Times New Roman"/>
          <w:color w:val="000000" w:themeColor="text1"/>
        </w:rPr>
      </w:pPr>
      <w:r w:rsidRPr="00A07D9A">
        <w:rPr>
          <w:color w:val="000000" w:themeColor="text1"/>
        </w:rPr>
        <w:t xml:space="preserve">La venta y/o transmisión de espacios y/o tiempo de publicidad que se transmiten </w:t>
      </w:r>
      <w:r w:rsidR="007053AF" w:rsidRPr="00A07D9A">
        <w:rPr>
          <w:color w:val="000000" w:themeColor="text1"/>
        </w:rPr>
        <w:t xml:space="preserve">por redes de </w:t>
      </w:r>
      <w:r w:rsidR="009513F1" w:rsidRPr="00A07D9A">
        <w:rPr>
          <w:color w:val="000000" w:themeColor="text1"/>
        </w:rPr>
        <w:t>telecomunicaciones y de radiodifusión</w:t>
      </w:r>
      <w:r w:rsidRPr="00A07D9A">
        <w:rPr>
          <w:color w:val="000000" w:themeColor="text1"/>
        </w:rPr>
        <w:t>;</w:t>
      </w:r>
    </w:p>
    <w:p w14:paraId="6510A89A" w14:textId="77777777" w:rsidR="008C10F8" w:rsidRPr="00A07D9A" w:rsidRDefault="008C10F8" w:rsidP="008F672A">
      <w:pPr>
        <w:pStyle w:val="Prrafodelista"/>
        <w:numPr>
          <w:ilvl w:val="0"/>
          <w:numId w:val="46"/>
        </w:numPr>
        <w:spacing w:after="160" w:line="259" w:lineRule="auto"/>
        <w:ind w:left="714" w:hanging="357"/>
        <w:rPr>
          <w:rFonts w:cs="Times New Roman"/>
          <w:color w:val="000000" w:themeColor="text1"/>
        </w:rPr>
      </w:pPr>
      <w:r w:rsidRPr="00A07D9A">
        <w:rPr>
          <w:color w:val="000000" w:themeColor="text1"/>
        </w:rPr>
        <w:t>La provisión de equipos que pueden ser conectados a las redes de telecomunicaciones, o hacer uso del espectro radioeléctrico con alguna de las siguientes características:</w:t>
      </w:r>
    </w:p>
    <w:p w14:paraId="4B20FD80" w14:textId="77777777" w:rsidR="008C10F8" w:rsidRPr="00A07D9A" w:rsidRDefault="008C10F8" w:rsidP="008F672A">
      <w:pPr>
        <w:pStyle w:val="Prrafodelista"/>
        <w:numPr>
          <w:ilvl w:val="1"/>
          <w:numId w:val="30"/>
        </w:numPr>
        <w:spacing w:after="160" w:line="259" w:lineRule="auto"/>
        <w:rPr>
          <w:color w:val="000000" w:themeColor="text1"/>
        </w:rPr>
      </w:pPr>
      <w:r w:rsidRPr="00A07D9A">
        <w:rPr>
          <w:color w:val="000000" w:themeColor="text1"/>
        </w:rPr>
        <w:t xml:space="preserve">Son objeto de regulación por parte del IFT, y </w:t>
      </w:r>
    </w:p>
    <w:p w14:paraId="4BAA045F" w14:textId="77777777" w:rsidR="008C10F8" w:rsidRPr="00A07D9A" w:rsidRDefault="008C10F8" w:rsidP="008F672A">
      <w:pPr>
        <w:pStyle w:val="Prrafodelista"/>
        <w:numPr>
          <w:ilvl w:val="1"/>
          <w:numId w:val="30"/>
        </w:numPr>
        <w:spacing w:after="160" w:line="259" w:lineRule="auto"/>
        <w:rPr>
          <w:color w:val="000000" w:themeColor="text1"/>
        </w:rPr>
      </w:pPr>
      <w:r w:rsidRPr="00A07D9A">
        <w:rPr>
          <w:color w:val="000000" w:themeColor="text1"/>
        </w:rPr>
        <w:t>Sus principales demandantes son agentes económicos que los utilizan para proveer servicios de telecomunicaciones o radiodifusión o para instalar y operar infraestructura activa o pasiva;</w:t>
      </w:r>
    </w:p>
    <w:p w14:paraId="5476876D" w14:textId="77777777" w:rsidR="008C10F8" w:rsidRPr="00A07D9A" w:rsidRDefault="008C10F8" w:rsidP="008F672A">
      <w:pPr>
        <w:pStyle w:val="Prrafodelista"/>
        <w:numPr>
          <w:ilvl w:val="0"/>
          <w:numId w:val="46"/>
        </w:numPr>
        <w:spacing w:after="160" w:line="259" w:lineRule="auto"/>
        <w:rPr>
          <w:rFonts w:cs="Times New Roman"/>
          <w:color w:val="000000" w:themeColor="text1"/>
        </w:rPr>
      </w:pPr>
      <w:r w:rsidRPr="00A07D9A">
        <w:rPr>
          <w:color w:val="000000" w:themeColor="text1"/>
        </w:rPr>
        <w:t>La provisión de servicios conexos</w:t>
      </w:r>
      <w:r w:rsidRPr="00A07D9A">
        <w:rPr>
          <w:rStyle w:val="Refdenotaalpie"/>
          <w:color w:val="000000" w:themeColor="text1"/>
        </w:rPr>
        <w:footnoteReference w:id="57"/>
      </w:r>
      <w:r w:rsidRPr="00A07D9A">
        <w:rPr>
          <w:color w:val="000000" w:themeColor="text1"/>
        </w:rPr>
        <w:t xml:space="preserve"> y/o no conexos</w:t>
      </w:r>
      <w:r w:rsidRPr="00A07D9A">
        <w:rPr>
          <w:rStyle w:val="Refdenotaalpie"/>
          <w:color w:val="000000" w:themeColor="text1"/>
        </w:rPr>
        <w:footnoteReference w:id="58"/>
      </w:r>
      <w:r w:rsidRPr="00A07D9A">
        <w:rPr>
          <w:color w:val="000000" w:themeColor="text1"/>
        </w:rPr>
        <w:t xml:space="preserve"> para instalar, operar y mantener equipo de infraestructura activa en los sectores de telecomunicaci</w:t>
      </w:r>
      <w:r w:rsidR="009513F1" w:rsidRPr="00A07D9A">
        <w:rPr>
          <w:color w:val="000000" w:themeColor="text1"/>
        </w:rPr>
        <w:t xml:space="preserve">ones y/o radiodifusión, y </w:t>
      </w:r>
    </w:p>
    <w:p w14:paraId="62365569" w14:textId="77777777" w:rsidR="008C10F8" w:rsidRPr="00A07D9A" w:rsidRDefault="008C10F8" w:rsidP="008F672A">
      <w:pPr>
        <w:pStyle w:val="Prrafodelista"/>
        <w:numPr>
          <w:ilvl w:val="0"/>
          <w:numId w:val="46"/>
        </w:numPr>
        <w:spacing w:after="160" w:line="259" w:lineRule="auto"/>
        <w:ind w:left="714" w:hanging="357"/>
        <w:rPr>
          <w:rFonts w:cs="Times New Roman"/>
          <w:color w:val="000000" w:themeColor="text1"/>
        </w:rPr>
      </w:pPr>
      <w:r w:rsidRPr="00A07D9A">
        <w:rPr>
          <w:rFonts w:cs="Times New Roman"/>
          <w:color w:val="000000" w:themeColor="text1"/>
        </w:rPr>
        <w:t xml:space="preserve">La provisión de servicios de tecnologías de la información y </w:t>
      </w:r>
      <w:r w:rsidR="009946B4" w:rsidRPr="00A07D9A">
        <w:rPr>
          <w:rFonts w:cs="Times New Roman"/>
          <w:color w:val="000000" w:themeColor="text1"/>
        </w:rPr>
        <w:t xml:space="preserve">comunicación, así como </w:t>
      </w:r>
      <w:r w:rsidRPr="00A07D9A">
        <w:rPr>
          <w:rFonts w:cs="Times New Roman"/>
          <w:color w:val="000000" w:themeColor="text1"/>
        </w:rPr>
        <w:t>centros de datos.</w:t>
      </w:r>
    </w:p>
    <w:p w14:paraId="59777DCD" w14:textId="77777777" w:rsidR="008C10F8" w:rsidRPr="00A07D9A" w:rsidRDefault="008C10F8" w:rsidP="009513F1">
      <w:pPr>
        <w:rPr>
          <w:color w:val="000000" w:themeColor="text1"/>
        </w:rPr>
      </w:pPr>
      <w:r w:rsidRPr="00A07D9A">
        <w:rPr>
          <w:color w:val="000000" w:themeColor="text1"/>
        </w:rPr>
        <w:t>Estos criterios son enunciativos y orientadores</w:t>
      </w:r>
      <w:r w:rsidR="0018586E" w:rsidRPr="00A07D9A">
        <w:rPr>
          <w:color w:val="000000" w:themeColor="text1"/>
        </w:rPr>
        <w:t xml:space="preserve"> y </w:t>
      </w:r>
      <w:r w:rsidRPr="00A07D9A">
        <w:rPr>
          <w:color w:val="000000" w:themeColor="text1"/>
        </w:rPr>
        <w:t xml:space="preserve">se </w:t>
      </w:r>
      <w:r w:rsidR="0018586E" w:rsidRPr="00A07D9A">
        <w:rPr>
          <w:color w:val="000000" w:themeColor="text1"/>
        </w:rPr>
        <w:t>encuentran plasmados</w:t>
      </w:r>
      <w:r w:rsidRPr="00A07D9A">
        <w:rPr>
          <w:color w:val="000000" w:themeColor="text1"/>
        </w:rPr>
        <w:t xml:space="preserve"> </w:t>
      </w:r>
      <w:r w:rsidR="00FF39CE" w:rsidRPr="00A07D9A">
        <w:rPr>
          <w:color w:val="000000" w:themeColor="text1"/>
        </w:rPr>
        <w:t xml:space="preserve">tanto </w:t>
      </w:r>
      <w:r w:rsidRPr="00A07D9A">
        <w:rPr>
          <w:color w:val="000000" w:themeColor="text1"/>
        </w:rPr>
        <w:t>de la práctica decisoria del IFT</w:t>
      </w:r>
      <w:r w:rsidR="00FF39CE" w:rsidRPr="00A07D9A">
        <w:rPr>
          <w:color w:val="000000" w:themeColor="text1"/>
        </w:rPr>
        <w:t xml:space="preserve"> como de las referencias provenientes de Tribunales Especializados</w:t>
      </w:r>
      <w:r w:rsidR="0018586E" w:rsidRPr="00A07D9A">
        <w:rPr>
          <w:color w:val="000000" w:themeColor="text1"/>
        </w:rPr>
        <w:t>. El Instituto</w:t>
      </w:r>
      <w:r w:rsidR="00AE6CA8" w:rsidRPr="00A07D9A">
        <w:rPr>
          <w:color w:val="000000" w:themeColor="text1"/>
        </w:rPr>
        <w:t xml:space="preserve"> siempre </w:t>
      </w:r>
      <w:r w:rsidR="0018586E" w:rsidRPr="00A07D9A">
        <w:rPr>
          <w:color w:val="000000" w:themeColor="text1"/>
        </w:rPr>
        <w:t xml:space="preserve">realizará un </w:t>
      </w:r>
      <w:r w:rsidR="004B54A6" w:rsidRPr="00A07D9A">
        <w:rPr>
          <w:color w:val="000000" w:themeColor="text1"/>
        </w:rPr>
        <w:t>análisis caso</w:t>
      </w:r>
      <w:r w:rsidR="00AE6CA8" w:rsidRPr="00A07D9A">
        <w:rPr>
          <w:color w:val="000000" w:themeColor="text1"/>
        </w:rPr>
        <w:t xml:space="preserve"> por caso, de conformidad con la información presentada, los precedentes</w:t>
      </w:r>
      <w:r w:rsidR="00364DF2" w:rsidRPr="00A07D9A">
        <w:rPr>
          <w:color w:val="000000" w:themeColor="text1"/>
        </w:rPr>
        <w:t xml:space="preserve"> judiciales</w:t>
      </w:r>
      <w:r w:rsidR="00AE6CA8" w:rsidRPr="00A07D9A">
        <w:rPr>
          <w:color w:val="000000" w:themeColor="text1"/>
        </w:rPr>
        <w:t xml:space="preserve"> y </w:t>
      </w:r>
      <w:r w:rsidR="00364DF2" w:rsidRPr="00A07D9A">
        <w:rPr>
          <w:color w:val="000000" w:themeColor="text1"/>
        </w:rPr>
        <w:t xml:space="preserve">la </w:t>
      </w:r>
      <w:r w:rsidR="00AE6CA8" w:rsidRPr="00A07D9A">
        <w:rPr>
          <w:color w:val="000000" w:themeColor="text1"/>
        </w:rPr>
        <w:t>especialidad de la materia</w:t>
      </w:r>
      <w:r w:rsidR="00364DF2" w:rsidRPr="00A07D9A">
        <w:rPr>
          <w:color w:val="000000" w:themeColor="text1"/>
        </w:rPr>
        <w:t xml:space="preserve"> que corresponda</w:t>
      </w:r>
      <w:r w:rsidR="00AE6CA8" w:rsidRPr="00A07D9A">
        <w:rPr>
          <w:color w:val="000000" w:themeColor="text1"/>
        </w:rPr>
        <w:t>, por lo que</w:t>
      </w:r>
      <w:r w:rsidR="00FF39CE" w:rsidRPr="00A07D9A">
        <w:rPr>
          <w:color w:val="000000" w:themeColor="text1"/>
        </w:rPr>
        <w:t xml:space="preserve"> </w:t>
      </w:r>
      <w:r w:rsidRPr="00A07D9A">
        <w:rPr>
          <w:color w:val="000000" w:themeColor="text1"/>
        </w:rPr>
        <w:t xml:space="preserve">de ninguna manera </w:t>
      </w:r>
      <w:r w:rsidR="0018586E" w:rsidRPr="00A07D9A">
        <w:rPr>
          <w:color w:val="000000" w:themeColor="text1"/>
        </w:rPr>
        <w:t xml:space="preserve">los criterios antes referidos </w:t>
      </w:r>
      <w:r w:rsidRPr="00A07D9A">
        <w:rPr>
          <w:color w:val="000000" w:themeColor="text1"/>
        </w:rPr>
        <w:t>restring</w:t>
      </w:r>
      <w:r w:rsidR="0018586E" w:rsidRPr="00A07D9A">
        <w:rPr>
          <w:color w:val="000000" w:themeColor="text1"/>
        </w:rPr>
        <w:t>irán</w:t>
      </w:r>
      <w:r w:rsidRPr="00A07D9A">
        <w:rPr>
          <w:color w:val="000000" w:themeColor="text1"/>
        </w:rPr>
        <w:t xml:space="preserve"> la facultad del Pleno del IFT para fijar competencia atendiendo a las características particulares de cada caso.</w:t>
      </w:r>
    </w:p>
    <w:p w14:paraId="58220773" w14:textId="77777777" w:rsidR="008C10F8" w:rsidRPr="00A07D9A" w:rsidRDefault="004F45D4" w:rsidP="008C10F8">
      <w:pPr>
        <w:pStyle w:val="Ttulo2"/>
        <w:ind w:left="602" w:hanging="602"/>
        <w:rPr>
          <w:color w:val="000000" w:themeColor="text1"/>
        </w:rPr>
      </w:pPr>
      <w:bookmarkStart w:id="25" w:name="_Toc486519805"/>
      <w:r w:rsidRPr="00A07D9A">
        <w:rPr>
          <w:color w:val="000000" w:themeColor="text1"/>
        </w:rPr>
        <w:lastRenderedPageBreak/>
        <w:t>4</w:t>
      </w:r>
      <w:r w:rsidR="008C10F8" w:rsidRPr="00A07D9A">
        <w:rPr>
          <w:color w:val="000000" w:themeColor="text1"/>
        </w:rPr>
        <w:t>.2. Fijar la competencia entre</w:t>
      </w:r>
      <w:r w:rsidR="00B00878" w:rsidRPr="00A07D9A">
        <w:rPr>
          <w:color w:val="000000" w:themeColor="text1"/>
        </w:rPr>
        <w:t xml:space="preserve"> el Instituto y la COFECE</w:t>
      </w:r>
      <w:bookmarkEnd w:id="25"/>
    </w:p>
    <w:p w14:paraId="2C84A8C9" w14:textId="77777777" w:rsidR="008C10F8" w:rsidRPr="00A07D9A" w:rsidRDefault="008C10F8" w:rsidP="008C10F8">
      <w:pPr>
        <w:rPr>
          <w:color w:val="000000" w:themeColor="text1"/>
        </w:rPr>
      </w:pPr>
      <w:r w:rsidRPr="00A07D9A">
        <w:rPr>
          <w:color w:val="000000" w:themeColor="text1"/>
        </w:rPr>
        <w:t>El IFT y la COFECE mantienen una comunicación para solicitar</w:t>
      </w:r>
      <w:r w:rsidR="00FF39CE" w:rsidRPr="00A07D9A">
        <w:rPr>
          <w:color w:val="000000" w:themeColor="text1"/>
        </w:rPr>
        <w:t>se</w:t>
      </w:r>
      <w:r w:rsidRPr="00A07D9A">
        <w:rPr>
          <w:color w:val="000000" w:themeColor="text1"/>
        </w:rPr>
        <w:t xml:space="preserve"> </w:t>
      </w:r>
      <w:r w:rsidR="00FF39CE" w:rsidRPr="00A07D9A">
        <w:rPr>
          <w:color w:val="000000" w:themeColor="text1"/>
        </w:rPr>
        <w:t xml:space="preserve">recíprocamente </w:t>
      </w:r>
      <w:r w:rsidRPr="00A07D9A">
        <w:rPr>
          <w:color w:val="000000" w:themeColor="text1"/>
        </w:rPr>
        <w:t>comentarios respecto de asuntos específicos. Así, ambas autoridades tienen la oportunidad de manifestarse sobre su competencia para conocer y resolver los procedimientos, en beneficio de los agentes económicos.</w:t>
      </w:r>
      <w:r w:rsidRPr="00A07D9A">
        <w:rPr>
          <w:rStyle w:val="Refdenotaalpie"/>
          <w:color w:val="000000" w:themeColor="text1"/>
        </w:rPr>
        <w:footnoteReference w:id="59"/>
      </w:r>
    </w:p>
    <w:p w14:paraId="784BF0F8" w14:textId="77777777" w:rsidR="008C10F8" w:rsidRPr="00A07D9A" w:rsidRDefault="008C10F8" w:rsidP="008C10F8">
      <w:pPr>
        <w:rPr>
          <w:color w:val="000000" w:themeColor="text1"/>
        </w:rPr>
      </w:pPr>
      <w:r w:rsidRPr="00A07D9A">
        <w:rPr>
          <w:color w:val="000000" w:themeColor="text1"/>
        </w:rPr>
        <w:t xml:space="preserve">El artículo 5, </w:t>
      </w:r>
      <w:proofErr w:type="gramStart"/>
      <w:r w:rsidRPr="00A07D9A">
        <w:rPr>
          <w:color w:val="000000" w:themeColor="text1"/>
        </w:rPr>
        <w:t>párrafos</w:t>
      </w:r>
      <w:r w:rsidR="006969DB" w:rsidRPr="00A07D9A">
        <w:rPr>
          <w:color w:val="000000" w:themeColor="text1"/>
        </w:rPr>
        <w:t xml:space="preserve"> </w:t>
      </w:r>
      <w:r w:rsidRPr="00A07D9A">
        <w:rPr>
          <w:color w:val="000000" w:themeColor="text1"/>
        </w:rPr>
        <w:t>segundo</w:t>
      </w:r>
      <w:proofErr w:type="gramEnd"/>
      <w:r w:rsidRPr="00A07D9A">
        <w:rPr>
          <w:color w:val="000000" w:themeColor="text1"/>
        </w:rPr>
        <w:t xml:space="preserve"> a cuarto, de la LFCE, establece el procedimiento para fijar competencia en asuntos en los que ambas aut</w:t>
      </w:r>
      <w:r w:rsidR="009513F1" w:rsidRPr="00A07D9A">
        <w:rPr>
          <w:color w:val="000000" w:themeColor="text1"/>
        </w:rPr>
        <w:t xml:space="preserve">oridades –el IFT y la COFECE- </w:t>
      </w:r>
      <w:r w:rsidRPr="00A07D9A">
        <w:rPr>
          <w:color w:val="000000" w:themeColor="text1"/>
        </w:rPr>
        <w:t xml:space="preserve">consideran que les corresponde o no les corresponde conocer. En estas situaciones, corresponde a un Tribunal Especializado fijar la competencia. Los plazos previstos en la LFCE </w:t>
      </w:r>
      <w:r w:rsidR="0018586E" w:rsidRPr="00A07D9A">
        <w:rPr>
          <w:color w:val="000000" w:themeColor="text1"/>
        </w:rPr>
        <w:t xml:space="preserve">respecto al procedimiento de concentración de que se trate se suspenderán a partir de </w:t>
      </w:r>
      <w:r w:rsidR="00AE6CA8" w:rsidRPr="00A07D9A">
        <w:rPr>
          <w:color w:val="000000" w:themeColor="text1"/>
        </w:rPr>
        <w:t xml:space="preserve">que el Pleno del IFT o de la COFECE </w:t>
      </w:r>
      <w:r w:rsidR="0018586E" w:rsidRPr="00A07D9A">
        <w:rPr>
          <w:color w:val="000000" w:themeColor="text1"/>
        </w:rPr>
        <w:t xml:space="preserve">declaren </w:t>
      </w:r>
      <w:r w:rsidRPr="00A07D9A">
        <w:rPr>
          <w:color w:val="000000" w:themeColor="text1"/>
        </w:rPr>
        <w:t xml:space="preserve">el inicio de cualquier procedimiento previsto en </w:t>
      </w:r>
      <w:r w:rsidR="0018586E" w:rsidRPr="00A07D9A">
        <w:rPr>
          <w:color w:val="000000" w:themeColor="text1"/>
        </w:rPr>
        <w:t>el</w:t>
      </w:r>
      <w:r w:rsidRPr="00A07D9A">
        <w:rPr>
          <w:color w:val="000000" w:themeColor="text1"/>
        </w:rPr>
        <w:t xml:space="preserve"> artículo </w:t>
      </w:r>
      <w:r w:rsidR="0018586E" w:rsidRPr="00A07D9A">
        <w:rPr>
          <w:color w:val="000000" w:themeColor="text1"/>
        </w:rPr>
        <w:t>5 de la LFCE, y se reiniciarán</w:t>
      </w:r>
      <w:r w:rsidR="00810BC8" w:rsidRPr="00A07D9A">
        <w:rPr>
          <w:color w:val="000000" w:themeColor="text1"/>
        </w:rPr>
        <w:t xml:space="preserve"> a partir del día hábil siguiente a aquél en</w:t>
      </w:r>
      <w:r w:rsidR="0018586E" w:rsidRPr="00A07D9A">
        <w:rPr>
          <w:color w:val="000000" w:themeColor="text1"/>
        </w:rPr>
        <w:t xml:space="preserve"> que el TCC notifique a la autoridad </w:t>
      </w:r>
      <w:r w:rsidR="004B54A6" w:rsidRPr="00A07D9A">
        <w:rPr>
          <w:color w:val="000000" w:themeColor="text1"/>
        </w:rPr>
        <w:t>competente</w:t>
      </w:r>
      <w:r w:rsidR="003F5C9E" w:rsidRPr="00A07D9A">
        <w:rPr>
          <w:color w:val="000000" w:themeColor="text1"/>
        </w:rPr>
        <w:t xml:space="preserve"> la</w:t>
      </w:r>
      <w:r w:rsidR="004B54A6" w:rsidRPr="00A07D9A">
        <w:rPr>
          <w:color w:val="000000" w:themeColor="text1"/>
        </w:rPr>
        <w:t xml:space="preserve"> resolución</w:t>
      </w:r>
      <w:r w:rsidRPr="00A07D9A">
        <w:rPr>
          <w:color w:val="000000" w:themeColor="text1"/>
        </w:rPr>
        <w:t>.</w:t>
      </w:r>
    </w:p>
    <w:p w14:paraId="14686504" w14:textId="77777777" w:rsidR="008C10F8" w:rsidRPr="00A07D9A" w:rsidRDefault="008C10F8" w:rsidP="008C10F8">
      <w:pPr>
        <w:pStyle w:val="Ttulo3"/>
        <w:rPr>
          <w:color w:val="000000" w:themeColor="text1"/>
        </w:rPr>
      </w:pPr>
      <w:bookmarkStart w:id="26" w:name="_Toc486519806"/>
      <w:r w:rsidRPr="00A07D9A">
        <w:rPr>
          <w:color w:val="000000" w:themeColor="text1"/>
        </w:rPr>
        <w:t>Cuand</w:t>
      </w:r>
      <w:r w:rsidR="009513F1" w:rsidRPr="00A07D9A">
        <w:rPr>
          <w:color w:val="000000" w:themeColor="text1"/>
        </w:rPr>
        <w:t>o ambas autoridades se considere</w:t>
      </w:r>
      <w:r w:rsidRPr="00A07D9A">
        <w:rPr>
          <w:color w:val="000000" w:themeColor="text1"/>
        </w:rPr>
        <w:t>n competentes</w:t>
      </w:r>
      <w:bookmarkEnd w:id="26"/>
    </w:p>
    <w:p w14:paraId="03F7F4F1" w14:textId="77777777" w:rsidR="008C10F8" w:rsidRPr="00A07D9A" w:rsidRDefault="008C10F8" w:rsidP="008C10F8">
      <w:pPr>
        <w:rPr>
          <w:color w:val="000000" w:themeColor="text1"/>
        </w:rPr>
      </w:pPr>
      <w:bookmarkStart w:id="27" w:name="_Toc462053149"/>
      <w:r w:rsidRPr="00A07D9A">
        <w:rPr>
          <w:color w:val="000000" w:themeColor="text1"/>
        </w:rPr>
        <w:t xml:space="preserve">En caso </w:t>
      </w:r>
      <w:r w:rsidR="00486798" w:rsidRPr="00A07D9A">
        <w:rPr>
          <w:color w:val="000000" w:themeColor="text1"/>
        </w:rPr>
        <w:t xml:space="preserve">de </w:t>
      </w:r>
      <w:r w:rsidRPr="00A07D9A">
        <w:rPr>
          <w:color w:val="000000" w:themeColor="text1"/>
        </w:rPr>
        <w:t>que el IFT o la COFECE tengan información de que la otra autoridad conoce de un asunto que</w:t>
      </w:r>
      <w:r w:rsidR="003F5C9E" w:rsidRPr="00A07D9A">
        <w:rPr>
          <w:color w:val="000000" w:themeColor="text1"/>
        </w:rPr>
        <w:t xml:space="preserve"> estima</w:t>
      </w:r>
      <w:r w:rsidRPr="00A07D9A">
        <w:rPr>
          <w:color w:val="000000" w:themeColor="text1"/>
        </w:rPr>
        <w:t xml:space="preserve"> le correspond</w:t>
      </w:r>
      <w:r w:rsidR="003F5C9E" w:rsidRPr="00A07D9A">
        <w:rPr>
          <w:color w:val="000000" w:themeColor="text1"/>
        </w:rPr>
        <w:t>e</w:t>
      </w:r>
      <w:r w:rsidRPr="00A07D9A">
        <w:rPr>
          <w:color w:val="000000" w:themeColor="text1"/>
        </w:rPr>
        <w:t xml:space="preserve">, le solicitará </w:t>
      </w:r>
      <w:r w:rsidR="00FB34C8" w:rsidRPr="00A07D9A">
        <w:rPr>
          <w:color w:val="000000" w:themeColor="text1"/>
        </w:rPr>
        <w:t xml:space="preserve">mediante oficio la </w:t>
      </w:r>
      <w:r w:rsidR="004B54A6" w:rsidRPr="00A07D9A">
        <w:rPr>
          <w:color w:val="000000" w:themeColor="text1"/>
        </w:rPr>
        <w:t xml:space="preserve">remisión del </w:t>
      </w:r>
      <w:r w:rsidRPr="00A07D9A">
        <w:rPr>
          <w:color w:val="000000" w:themeColor="text1"/>
        </w:rPr>
        <w:t>expediente respectivo</w:t>
      </w:r>
      <w:r w:rsidR="00815830" w:rsidRPr="00A07D9A">
        <w:rPr>
          <w:color w:val="000000" w:themeColor="text1"/>
        </w:rPr>
        <w:t xml:space="preserve">, en términos de lo dispuesto en el </w:t>
      </w:r>
      <w:r w:rsidR="006969DB" w:rsidRPr="00A07D9A">
        <w:rPr>
          <w:color w:val="000000" w:themeColor="text1"/>
        </w:rPr>
        <w:t>párrafo segundo del artículo 5 de la LFCE</w:t>
      </w:r>
      <w:r w:rsidRPr="00A07D9A">
        <w:rPr>
          <w:color w:val="000000" w:themeColor="text1"/>
        </w:rPr>
        <w:t>.</w:t>
      </w:r>
    </w:p>
    <w:p w14:paraId="5A7C74A7" w14:textId="77777777" w:rsidR="008C10F8" w:rsidRPr="00A07D9A" w:rsidRDefault="008C10F8" w:rsidP="008C10F8">
      <w:pPr>
        <w:rPr>
          <w:b/>
          <w:color w:val="000000" w:themeColor="text1"/>
        </w:rPr>
      </w:pPr>
      <w:r w:rsidRPr="00A07D9A">
        <w:rPr>
          <w:color w:val="000000" w:themeColor="text1"/>
        </w:rPr>
        <w:t xml:space="preserve">Si la autoridad que recibe la </w:t>
      </w:r>
      <w:r w:rsidR="004B54A6" w:rsidRPr="00A07D9A">
        <w:rPr>
          <w:color w:val="000000" w:themeColor="text1"/>
        </w:rPr>
        <w:t>solicitud del</w:t>
      </w:r>
      <w:r w:rsidR="00810BC8" w:rsidRPr="00A07D9A">
        <w:rPr>
          <w:color w:val="000000" w:themeColor="text1"/>
        </w:rPr>
        <w:t xml:space="preserve"> expediente </w:t>
      </w:r>
      <w:r w:rsidRPr="00A07D9A">
        <w:rPr>
          <w:color w:val="000000" w:themeColor="text1"/>
        </w:rPr>
        <w:t xml:space="preserve">estima </w:t>
      </w:r>
      <w:r w:rsidR="00FB34C8" w:rsidRPr="00A07D9A">
        <w:rPr>
          <w:color w:val="000000" w:themeColor="text1"/>
        </w:rPr>
        <w:t>que la competencia para conocer y resolver de la concentración corresponde a la autoridad solicitante</w:t>
      </w:r>
      <w:r w:rsidR="006969DB" w:rsidRPr="00A07D9A">
        <w:rPr>
          <w:color w:val="000000" w:themeColor="text1"/>
        </w:rPr>
        <w:t>,</w:t>
      </w:r>
      <w:r w:rsidRPr="00A07D9A">
        <w:rPr>
          <w:color w:val="000000" w:themeColor="text1"/>
        </w:rPr>
        <w:t xml:space="preserve"> remit</w:t>
      </w:r>
      <w:r w:rsidR="006969DB" w:rsidRPr="00A07D9A">
        <w:rPr>
          <w:color w:val="000000" w:themeColor="text1"/>
        </w:rPr>
        <w:t>irá</w:t>
      </w:r>
      <w:r w:rsidRPr="00A07D9A">
        <w:rPr>
          <w:color w:val="000000" w:themeColor="text1"/>
        </w:rPr>
        <w:t xml:space="preserve"> el expediente a </w:t>
      </w:r>
      <w:r w:rsidR="00FB34C8" w:rsidRPr="00A07D9A">
        <w:rPr>
          <w:color w:val="000000" w:themeColor="text1"/>
        </w:rPr>
        <w:t>dicha autoridad</w:t>
      </w:r>
      <w:r w:rsidRPr="00A07D9A">
        <w:rPr>
          <w:color w:val="000000" w:themeColor="text1"/>
        </w:rPr>
        <w:t xml:space="preserve">. En caso contrario, la autoridad que recibe la solicitud </w:t>
      </w:r>
      <w:r w:rsidR="00FB34C8" w:rsidRPr="00A07D9A">
        <w:rPr>
          <w:color w:val="000000" w:themeColor="text1"/>
        </w:rPr>
        <w:t xml:space="preserve">de remisión del expediente </w:t>
      </w:r>
      <w:r w:rsidRPr="00A07D9A">
        <w:rPr>
          <w:color w:val="000000" w:themeColor="text1"/>
        </w:rPr>
        <w:t>informará de su resolución</w:t>
      </w:r>
      <w:r w:rsidR="00FB34C8" w:rsidRPr="00A07D9A">
        <w:rPr>
          <w:color w:val="000000" w:themeColor="text1"/>
        </w:rPr>
        <w:t>, en la que estima que la competencia no es de la autoridad</w:t>
      </w:r>
      <w:r w:rsidRPr="00A07D9A">
        <w:rPr>
          <w:color w:val="000000" w:themeColor="text1"/>
        </w:rPr>
        <w:t xml:space="preserve"> la solicitante, en cuyo caso </w:t>
      </w:r>
      <w:r w:rsidR="00FB34C8" w:rsidRPr="00A07D9A">
        <w:rPr>
          <w:color w:val="000000" w:themeColor="text1"/>
        </w:rPr>
        <w:t xml:space="preserve">al existir dos autoridades que </w:t>
      </w:r>
      <w:r w:rsidRPr="00A07D9A">
        <w:rPr>
          <w:color w:val="000000" w:themeColor="text1"/>
        </w:rPr>
        <w:t xml:space="preserve">se </w:t>
      </w:r>
      <w:r w:rsidR="00FB34C8" w:rsidRPr="00A07D9A">
        <w:rPr>
          <w:color w:val="000000" w:themeColor="text1"/>
        </w:rPr>
        <w:t xml:space="preserve">han declarados competentes, </w:t>
      </w:r>
      <w:r w:rsidRPr="00A07D9A">
        <w:rPr>
          <w:color w:val="000000" w:themeColor="text1"/>
        </w:rPr>
        <w:t>se suspende</w:t>
      </w:r>
      <w:r w:rsidR="00FB34C8" w:rsidRPr="00A07D9A">
        <w:rPr>
          <w:color w:val="000000" w:themeColor="text1"/>
        </w:rPr>
        <w:t>rá</w:t>
      </w:r>
      <w:r w:rsidRPr="00A07D9A">
        <w:rPr>
          <w:color w:val="000000" w:themeColor="text1"/>
        </w:rPr>
        <w:t xml:space="preserve"> el procedimiento y se remit</w:t>
      </w:r>
      <w:r w:rsidR="00FB34C8" w:rsidRPr="00A07D9A">
        <w:rPr>
          <w:color w:val="000000" w:themeColor="text1"/>
        </w:rPr>
        <w:t>irá</w:t>
      </w:r>
      <w:r w:rsidRPr="00A07D9A">
        <w:rPr>
          <w:color w:val="000000" w:themeColor="text1"/>
        </w:rPr>
        <w:t xml:space="preserve"> el expediente al Tribunal Especializado, quien fijará la competencia.</w:t>
      </w:r>
    </w:p>
    <w:p w14:paraId="7393FFDC" w14:textId="77777777" w:rsidR="008C10F8" w:rsidRPr="00A07D9A" w:rsidRDefault="008C10F8" w:rsidP="008C10F8">
      <w:pPr>
        <w:pStyle w:val="Ttulo3"/>
        <w:rPr>
          <w:rFonts w:eastAsiaTheme="minorHAnsi"/>
          <w:color w:val="000000" w:themeColor="text1"/>
        </w:rPr>
      </w:pPr>
      <w:bookmarkStart w:id="28" w:name="_Toc486519807"/>
      <w:r w:rsidRPr="00A07D9A">
        <w:rPr>
          <w:rFonts w:eastAsiaTheme="minorHAnsi"/>
          <w:color w:val="000000" w:themeColor="text1"/>
        </w:rPr>
        <w:t>Cuando ninguna autoridad se considere competente</w:t>
      </w:r>
      <w:bookmarkEnd w:id="28"/>
    </w:p>
    <w:p w14:paraId="0FCB88EB" w14:textId="77777777" w:rsidR="008C10F8" w:rsidRPr="00A07D9A" w:rsidRDefault="008C10F8" w:rsidP="008C10F8">
      <w:pPr>
        <w:rPr>
          <w:color w:val="000000" w:themeColor="text1"/>
        </w:rPr>
      </w:pPr>
      <w:r w:rsidRPr="00A07D9A">
        <w:rPr>
          <w:color w:val="000000" w:themeColor="text1"/>
        </w:rPr>
        <w:t xml:space="preserve">En el caso de que el IFT o la COFECE conozcan de </w:t>
      </w:r>
      <w:r w:rsidR="00FB34C8" w:rsidRPr="00A07D9A">
        <w:rPr>
          <w:color w:val="000000" w:themeColor="text1"/>
        </w:rPr>
        <w:t xml:space="preserve">una concentración </w:t>
      </w:r>
      <w:r w:rsidRPr="00A07D9A">
        <w:rPr>
          <w:color w:val="000000" w:themeColor="text1"/>
        </w:rPr>
        <w:t>y considere</w:t>
      </w:r>
      <w:r w:rsidR="00FB34C8" w:rsidRPr="00A07D9A">
        <w:rPr>
          <w:color w:val="000000" w:themeColor="text1"/>
        </w:rPr>
        <w:t>n</w:t>
      </w:r>
      <w:r w:rsidRPr="00A07D9A">
        <w:rPr>
          <w:color w:val="000000" w:themeColor="text1"/>
        </w:rPr>
        <w:t xml:space="preserve"> carecer de competencia para conocerl</w:t>
      </w:r>
      <w:r w:rsidR="00FB34C8" w:rsidRPr="00A07D9A">
        <w:rPr>
          <w:color w:val="000000" w:themeColor="text1"/>
        </w:rPr>
        <w:t>a</w:t>
      </w:r>
      <w:r w:rsidRPr="00A07D9A">
        <w:rPr>
          <w:color w:val="000000" w:themeColor="text1"/>
        </w:rPr>
        <w:t>, enviará el expediente respectivo a la otra</w:t>
      </w:r>
      <w:r w:rsidR="00FB34C8" w:rsidRPr="00A07D9A">
        <w:rPr>
          <w:color w:val="000000" w:themeColor="text1"/>
        </w:rPr>
        <w:t xml:space="preserve"> autoridad</w:t>
      </w:r>
      <w:r w:rsidR="00815830" w:rsidRPr="00A07D9A">
        <w:rPr>
          <w:color w:val="000000" w:themeColor="text1"/>
        </w:rPr>
        <w:t xml:space="preserve">, como establece el </w:t>
      </w:r>
      <w:r w:rsidR="006969DB" w:rsidRPr="00A07D9A">
        <w:rPr>
          <w:color w:val="000000" w:themeColor="text1"/>
        </w:rPr>
        <w:t>párrafo tercero del artículo 5 de la LFCE</w:t>
      </w:r>
      <w:r w:rsidRPr="00A07D9A">
        <w:rPr>
          <w:color w:val="000000" w:themeColor="text1"/>
        </w:rPr>
        <w:t>.</w:t>
      </w:r>
    </w:p>
    <w:p w14:paraId="0E506BBA" w14:textId="77777777" w:rsidR="008C10F8" w:rsidRPr="00A07D9A" w:rsidRDefault="008C10F8" w:rsidP="008C10F8">
      <w:pPr>
        <w:rPr>
          <w:color w:val="000000" w:themeColor="text1"/>
        </w:rPr>
      </w:pPr>
      <w:r w:rsidRPr="00A07D9A">
        <w:rPr>
          <w:color w:val="000000" w:themeColor="text1"/>
        </w:rPr>
        <w:t xml:space="preserve">Si la autoridad que recibe el expediente acepta la competencia, se </w:t>
      </w:r>
      <w:proofErr w:type="spellStart"/>
      <w:r w:rsidRPr="00A07D9A">
        <w:rPr>
          <w:color w:val="000000" w:themeColor="text1"/>
        </w:rPr>
        <w:t>avocará</w:t>
      </w:r>
      <w:proofErr w:type="spellEnd"/>
      <w:r w:rsidRPr="00A07D9A">
        <w:rPr>
          <w:color w:val="000000" w:themeColor="text1"/>
        </w:rPr>
        <w:t xml:space="preserve"> a su conocimiento y resolverá lo conducente. En caso contrario, comunicará su </w:t>
      </w:r>
      <w:r w:rsidRPr="00A07D9A">
        <w:rPr>
          <w:color w:val="000000" w:themeColor="text1"/>
        </w:rPr>
        <w:lastRenderedPageBreak/>
        <w:t>resolución al órgano que declinó la competencia y remitirá los autos al Tribunal Especializado para que fije la competencia.</w:t>
      </w:r>
    </w:p>
    <w:p w14:paraId="3E417591" w14:textId="77777777" w:rsidR="008C10F8" w:rsidRPr="00A07D9A" w:rsidRDefault="008C10F8" w:rsidP="008C10F8">
      <w:pPr>
        <w:pStyle w:val="Ttulo3"/>
        <w:rPr>
          <w:rFonts w:eastAsiaTheme="minorHAnsi"/>
          <w:color w:val="000000" w:themeColor="text1"/>
        </w:rPr>
      </w:pPr>
      <w:bookmarkStart w:id="29" w:name="_Toc486519808"/>
      <w:r w:rsidRPr="00A07D9A">
        <w:rPr>
          <w:rFonts w:eastAsiaTheme="minorHAnsi"/>
          <w:color w:val="000000" w:themeColor="text1"/>
        </w:rPr>
        <w:t>Precedente</w:t>
      </w:r>
      <w:r w:rsidR="00347F8F" w:rsidRPr="00A07D9A">
        <w:rPr>
          <w:rFonts w:eastAsiaTheme="minorHAnsi"/>
          <w:color w:val="000000" w:themeColor="text1"/>
        </w:rPr>
        <w:t>s</w:t>
      </w:r>
      <w:r w:rsidRPr="00A07D9A">
        <w:rPr>
          <w:rFonts w:eastAsiaTheme="minorHAnsi"/>
          <w:color w:val="000000" w:themeColor="text1"/>
        </w:rPr>
        <w:t xml:space="preserve"> Judicial</w:t>
      </w:r>
      <w:bookmarkEnd w:id="27"/>
      <w:r w:rsidR="00347F8F" w:rsidRPr="00A07D9A">
        <w:rPr>
          <w:rFonts w:eastAsiaTheme="minorHAnsi"/>
          <w:color w:val="000000" w:themeColor="text1"/>
        </w:rPr>
        <w:t>es</w:t>
      </w:r>
      <w:bookmarkEnd w:id="29"/>
    </w:p>
    <w:p w14:paraId="704821F3" w14:textId="77777777" w:rsidR="00315E66" w:rsidRPr="00A07D9A" w:rsidRDefault="00315E66" w:rsidP="00315E66">
      <w:pPr>
        <w:rPr>
          <w:color w:val="000000" w:themeColor="text1"/>
        </w:rPr>
      </w:pPr>
      <w:r w:rsidRPr="00A07D9A">
        <w:rPr>
          <w:color w:val="000000" w:themeColor="text1"/>
        </w:rPr>
        <w:t>En 2015, se tramitó y resolvió el primer procedimiento para fijar competencia para conocer y resolver una concentración, en términos de lo previsto en el artículo 5 de la LFCE, ya que tanto el IFT como la COFECE alegaban ser autoridades competentes.</w:t>
      </w:r>
    </w:p>
    <w:p w14:paraId="1A4B6529" w14:textId="77777777" w:rsidR="00315E66" w:rsidRPr="00A07D9A" w:rsidRDefault="00315E66" w:rsidP="00315E66">
      <w:pPr>
        <w:rPr>
          <w:color w:val="000000" w:themeColor="text1"/>
        </w:rPr>
      </w:pPr>
      <w:r w:rsidRPr="00A07D9A">
        <w:rPr>
          <w:color w:val="000000" w:themeColor="text1"/>
        </w:rPr>
        <w:t>Ambas autoridades se sujetaron al procedimiento previsto en el artículo 5, párrafo segundo de la LFCE con la finalidad de que un Tribunal especializado fijara la competencia.</w:t>
      </w:r>
    </w:p>
    <w:p w14:paraId="59748F5D" w14:textId="77777777" w:rsidR="008C10F8" w:rsidRPr="00A07D9A" w:rsidRDefault="008C10F8" w:rsidP="008C10F8">
      <w:pPr>
        <w:rPr>
          <w:color w:val="000000" w:themeColor="text1"/>
        </w:rPr>
      </w:pPr>
      <w:r w:rsidRPr="00A07D9A">
        <w:rPr>
          <w:color w:val="000000" w:themeColor="text1"/>
        </w:rPr>
        <w:t>Este procedimiento</w:t>
      </w:r>
      <w:r w:rsidRPr="00A07D9A">
        <w:rPr>
          <w:rStyle w:val="Refdenotaalpie"/>
          <w:color w:val="000000" w:themeColor="text1"/>
        </w:rPr>
        <w:footnoteReference w:id="60"/>
      </w:r>
      <w:r w:rsidRPr="00A07D9A">
        <w:rPr>
          <w:color w:val="000000" w:themeColor="text1"/>
        </w:rPr>
        <w:t xml:space="preserve"> </w:t>
      </w:r>
      <w:r w:rsidR="00A537B0" w:rsidRPr="00A07D9A">
        <w:rPr>
          <w:color w:val="000000" w:themeColor="text1"/>
        </w:rPr>
        <w:t xml:space="preserve">(derivado del trámite de una concentración entre Nokia </w:t>
      </w:r>
      <w:proofErr w:type="spellStart"/>
      <w:r w:rsidR="00A537B0" w:rsidRPr="00A07D9A">
        <w:rPr>
          <w:color w:val="000000" w:themeColor="text1"/>
        </w:rPr>
        <w:t>Corporation</w:t>
      </w:r>
      <w:proofErr w:type="spellEnd"/>
      <w:r w:rsidR="00A537B0" w:rsidRPr="00A07D9A">
        <w:rPr>
          <w:color w:val="000000" w:themeColor="text1"/>
        </w:rPr>
        <w:t xml:space="preserve"> y Alcatel </w:t>
      </w:r>
      <w:proofErr w:type="spellStart"/>
      <w:r w:rsidR="00A537B0" w:rsidRPr="00A07D9A">
        <w:rPr>
          <w:color w:val="000000" w:themeColor="text1"/>
        </w:rPr>
        <w:t>Lucent</w:t>
      </w:r>
      <w:proofErr w:type="spellEnd"/>
      <w:r w:rsidR="00A537B0" w:rsidRPr="00A07D9A">
        <w:rPr>
          <w:color w:val="000000" w:themeColor="text1"/>
        </w:rPr>
        <w:t xml:space="preserve">) </w:t>
      </w:r>
      <w:r w:rsidRPr="00A07D9A">
        <w:rPr>
          <w:color w:val="000000" w:themeColor="text1"/>
        </w:rPr>
        <w:t>fue resuelto por el Segundo Tribunal Especializado</w:t>
      </w:r>
      <w:r w:rsidR="00AA039A" w:rsidRPr="00A07D9A">
        <w:rPr>
          <w:color w:val="000000" w:themeColor="text1"/>
        </w:rPr>
        <w:t>, el cual</w:t>
      </w:r>
      <w:r w:rsidRPr="00A07D9A">
        <w:rPr>
          <w:color w:val="000000" w:themeColor="text1"/>
        </w:rPr>
        <w:t xml:space="preserve"> fijó la competencia a favor del IFT</w:t>
      </w:r>
      <w:r w:rsidRPr="00A07D9A">
        <w:rPr>
          <w:rStyle w:val="Refdenotaalpie"/>
          <w:color w:val="000000" w:themeColor="text1"/>
        </w:rPr>
        <w:footnoteReference w:id="61"/>
      </w:r>
      <w:r w:rsidRPr="00A07D9A">
        <w:rPr>
          <w:color w:val="000000" w:themeColor="text1"/>
        </w:rPr>
        <w:t xml:space="preserve"> con base, entre otras, en las siguientes consideraciones:</w:t>
      </w:r>
    </w:p>
    <w:p w14:paraId="67ACC8D6" w14:textId="77777777" w:rsidR="008C10F8" w:rsidRPr="00A07D9A" w:rsidRDefault="008C10F8" w:rsidP="009446C3">
      <w:pPr>
        <w:pStyle w:val="Prrafodelista"/>
        <w:numPr>
          <w:ilvl w:val="0"/>
          <w:numId w:val="45"/>
        </w:numPr>
        <w:spacing w:after="160" w:line="259" w:lineRule="auto"/>
        <w:ind w:left="284" w:hanging="284"/>
        <w:rPr>
          <w:color w:val="000000" w:themeColor="text1"/>
        </w:rPr>
      </w:pPr>
      <w:r w:rsidRPr="00A07D9A">
        <w:rPr>
          <w:color w:val="000000" w:themeColor="text1"/>
        </w:rPr>
        <w:t>El ámbito competencial del IFT comprende la provisión de bienes necesarios o utilizados expresamente para el funcionamiento de redes de telecomunicaciones y los servicios conexos, y</w:t>
      </w:r>
    </w:p>
    <w:p w14:paraId="6AA1A2B7" w14:textId="77777777" w:rsidR="008C10F8" w:rsidRPr="00A07D9A" w:rsidRDefault="008C10F8" w:rsidP="009446C3">
      <w:pPr>
        <w:pStyle w:val="Prrafodelista"/>
        <w:numPr>
          <w:ilvl w:val="0"/>
          <w:numId w:val="45"/>
        </w:numPr>
        <w:spacing w:after="160" w:line="259" w:lineRule="auto"/>
        <w:ind w:left="284" w:hanging="284"/>
        <w:rPr>
          <w:color w:val="000000" w:themeColor="text1"/>
        </w:rPr>
      </w:pPr>
      <w:r w:rsidRPr="00A07D9A">
        <w:rPr>
          <w:color w:val="000000" w:themeColor="text1"/>
        </w:rPr>
        <w:t>Para fijar competencia, resulta aplicable un principio de especialidad, esto es, que el asunto exigía un conocimiento altamente técnico y especializado en el sector de telecomunicaciones y los diversos elementos que confluyen en el mismo, lo cual es propio del IFT, por virtud de las atribuciones que el Constituyente Permanente le otorgó cuando lo instituyó como órgano regulador de los sectores de telecomunicaciones y radiodifusión.</w:t>
      </w:r>
    </w:p>
    <w:p w14:paraId="55EC32AD" w14:textId="77777777" w:rsidR="00315E66" w:rsidRPr="00A07D9A" w:rsidRDefault="00BB444A" w:rsidP="00315E66">
      <w:pPr>
        <w:rPr>
          <w:color w:val="000000" w:themeColor="text1"/>
        </w:rPr>
      </w:pPr>
      <w:bookmarkStart w:id="30" w:name="_Toc462053137"/>
      <w:bookmarkEnd w:id="20"/>
      <w:r w:rsidRPr="00A07D9A">
        <w:rPr>
          <w:color w:val="000000" w:themeColor="text1"/>
        </w:rPr>
        <w:t>En 201</w:t>
      </w:r>
      <w:r w:rsidR="00B917E7" w:rsidRPr="00A07D9A">
        <w:rPr>
          <w:color w:val="000000" w:themeColor="text1"/>
        </w:rPr>
        <w:t>7</w:t>
      </w:r>
      <w:r w:rsidRPr="00A07D9A">
        <w:rPr>
          <w:color w:val="000000" w:themeColor="text1"/>
        </w:rPr>
        <w:t xml:space="preserve">, </w:t>
      </w:r>
      <w:r w:rsidR="00315E66" w:rsidRPr="00A07D9A">
        <w:rPr>
          <w:color w:val="000000" w:themeColor="text1"/>
        </w:rPr>
        <w:t>la COFECE y el IFT se sujetaron</w:t>
      </w:r>
      <w:r w:rsidRPr="00A07D9A">
        <w:rPr>
          <w:color w:val="000000" w:themeColor="text1"/>
        </w:rPr>
        <w:t>,</w:t>
      </w:r>
      <w:r w:rsidR="00315E66" w:rsidRPr="00A07D9A">
        <w:rPr>
          <w:color w:val="000000" w:themeColor="text1"/>
        </w:rPr>
        <w:t xml:space="preserve"> </w:t>
      </w:r>
      <w:r w:rsidRPr="00A07D9A">
        <w:rPr>
          <w:color w:val="000000" w:themeColor="text1"/>
        </w:rPr>
        <w:t xml:space="preserve">por segunda ocasión, </w:t>
      </w:r>
      <w:r w:rsidR="00315E66" w:rsidRPr="00A07D9A">
        <w:rPr>
          <w:color w:val="000000" w:themeColor="text1"/>
        </w:rPr>
        <w:t xml:space="preserve">al procedimiento </w:t>
      </w:r>
      <w:r w:rsidRPr="00A07D9A">
        <w:rPr>
          <w:color w:val="000000" w:themeColor="text1"/>
        </w:rPr>
        <w:t xml:space="preserve">en término de lo </w:t>
      </w:r>
      <w:r w:rsidR="00315E66" w:rsidRPr="00A07D9A">
        <w:rPr>
          <w:color w:val="000000" w:themeColor="text1"/>
        </w:rPr>
        <w:t>previsto en el artículo 5, párrafo segundo, de la LFCE con la finalidad de dirimir la competencia de</w:t>
      </w:r>
      <w:r w:rsidRPr="00A07D9A">
        <w:rPr>
          <w:color w:val="000000" w:themeColor="text1"/>
        </w:rPr>
        <w:t xml:space="preserve"> </w:t>
      </w:r>
      <w:r w:rsidR="00A537B0" w:rsidRPr="00A07D9A">
        <w:rPr>
          <w:color w:val="000000" w:themeColor="text1"/>
        </w:rPr>
        <w:t>otr</w:t>
      </w:r>
      <w:r w:rsidRPr="00A07D9A">
        <w:rPr>
          <w:color w:val="000000" w:themeColor="text1"/>
        </w:rPr>
        <w:t>a</w:t>
      </w:r>
      <w:r w:rsidR="00315E66" w:rsidRPr="00A07D9A">
        <w:rPr>
          <w:color w:val="000000" w:themeColor="text1"/>
        </w:rPr>
        <w:t xml:space="preserve"> concentración</w:t>
      </w:r>
      <w:r w:rsidR="00A537B0" w:rsidRPr="00A07D9A">
        <w:rPr>
          <w:color w:val="000000" w:themeColor="text1"/>
        </w:rPr>
        <w:t xml:space="preserve"> (suscitada entre AT&amp;T, Inc. y Time Warner, </w:t>
      </w:r>
      <w:proofErr w:type="spellStart"/>
      <w:r w:rsidR="00A537B0" w:rsidRPr="00A07D9A">
        <w:rPr>
          <w:color w:val="000000" w:themeColor="text1"/>
        </w:rPr>
        <w:t>Inc</w:t>
      </w:r>
      <w:proofErr w:type="spellEnd"/>
      <w:r w:rsidR="00A537B0" w:rsidRPr="00A07D9A">
        <w:rPr>
          <w:color w:val="000000" w:themeColor="text1"/>
        </w:rPr>
        <w:t>)</w:t>
      </w:r>
      <w:r w:rsidR="00315E66" w:rsidRPr="00A07D9A">
        <w:rPr>
          <w:color w:val="000000" w:themeColor="text1"/>
        </w:rPr>
        <w:t>.</w:t>
      </w:r>
      <w:r w:rsidR="00AF278C" w:rsidRPr="00A07D9A">
        <w:rPr>
          <w:rStyle w:val="Refdenotaalpie"/>
          <w:color w:val="000000" w:themeColor="text1"/>
        </w:rPr>
        <w:footnoteReference w:id="62"/>
      </w:r>
    </w:p>
    <w:p w14:paraId="6160FBC6" w14:textId="77777777" w:rsidR="00315E66" w:rsidRPr="00A07D9A" w:rsidRDefault="00315E66" w:rsidP="00315E66">
      <w:pPr>
        <w:rPr>
          <w:color w:val="000000" w:themeColor="text1"/>
        </w:rPr>
      </w:pPr>
      <w:r w:rsidRPr="00A07D9A">
        <w:rPr>
          <w:color w:val="000000" w:themeColor="text1"/>
        </w:rPr>
        <w:t xml:space="preserve">Este procedimiento fue resuelto por el </w:t>
      </w:r>
      <w:r w:rsidR="00364DF2" w:rsidRPr="00A07D9A">
        <w:rPr>
          <w:color w:val="000000" w:themeColor="text1"/>
        </w:rPr>
        <w:t xml:space="preserve">mismo </w:t>
      </w:r>
      <w:r w:rsidRPr="00A07D9A">
        <w:rPr>
          <w:color w:val="000000" w:themeColor="text1"/>
        </w:rPr>
        <w:t>Segundo Tribunal Especializado</w:t>
      </w:r>
      <w:r w:rsidR="00364DF2" w:rsidRPr="00A07D9A">
        <w:rPr>
          <w:color w:val="000000" w:themeColor="text1"/>
        </w:rPr>
        <w:t>, quien</w:t>
      </w:r>
      <w:r w:rsidR="00A537B0" w:rsidRPr="00A07D9A">
        <w:rPr>
          <w:color w:val="000000" w:themeColor="text1"/>
        </w:rPr>
        <w:t>, no obstante, en esta ocasión</w:t>
      </w:r>
      <w:r w:rsidRPr="00A07D9A">
        <w:rPr>
          <w:color w:val="000000" w:themeColor="text1"/>
        </w:rPr>
        <w:t xml:space="preserve"> </w:t>
      </w:r>
      <w:r w:rsidR="00BB444A" w:rsidRPr="00A07D9A">
        <w:rPr>
          <w:color w:val="000000" w:themeColor="text1"/>
        </w:rPr>
        <w:t xml:space="preserve">determinó una </w:t>
      </w:r>
      <w:r w:rsidRPr="00A07D9A">
        <w:rPr>
          <w:color w:val="000000" w:themeColor="text1"/>
        </w:rPr>
        <w:t xml:space="preserve">competencia </w:t>
      </w:r>
      <w:r w:rsidR="00BB444A" w:rsidRPr="00A07D9A">
        <w:rPr>
          <w:color w:val="000000" w:themeColor="text1"/>
        </w:rPr>
        <w:t>co</w:t>
      </w:r>
      <w:r w:rsidR="00364DF2" w:rsidRPr="00A07D9A">
        <w:rPr>
          <w:color w:val="000000" w:themeColor="text1"/>
        </w:rPr>
        <w:t>ncurrente</w:t>
      </w:r>
      <w:r w:rsidRPr="00A07D9A">
        <w:rPr>
          <w:color w:val="000000" w:themeColor="text1"/>
        </w:rPr>
        <w:t xml:space="preserve"> </w:t>
      </w:r>
      <w:r w:rsidR="00A537B0" w:rsidRPr="00A07D9A">
        <w:rPr>
          <w:color w:val="000000" w:themeColor="text1"/>
        </w:rPr>
        <w:t xml:space="preserve">(para ambas autoridades) </w:t>
      </w:r>
      <w:r w:rsidRPr="00A07D9A">
        <w:rPr>
          <w:color w:val="000000" w:themeColor="text1"/>
        </w:rPr>
        <w:t>con base</w:t>
      </w:r>
      <w:r w:rsidR="00364DF2" w:rsidRPr="00A07D9A">
        <w:rPr>
          <w:color w:val="000000" w:themeColor="text1"/>
        </w:rPr>
        <w:t xml:space="preserve"> </w:t>
      </w:r>
      <w:r w:rsidRPr="00A07D9A">
        <w:rPr>
          <w:color w:val="000000" w:themeColor="text1"/>
        </w:rPr>
        <w:t>en las siguientes consideraciones:</w:t>
      </w:r>
      <w:r w:rsidR="00272A64" w:rsidRPr="00A07D9A">
        <w:rPr>
          <w:rStyle w:val="Refdenotaalpie"/>
          <w:color w:val="000000" w:themeColor="text1"/>
        </w:rPr>
        <w:footnoteReference w:id="63"/>
      </w:r>
    </w:p>
    <w:p w14:paraId="60A7CE78" w14:textId="77777777" w:rsidR="00315E66" w:rsidRPr="00A07D9A" w:rsidRDefault="00315E66" w:rsidP="009446C3">
      <w:pPr>
        <w:pStyle w:val="Prrafodelista"/>
        <w:numPr>
          <w:ilvl w:val="0"/>
          <w:numId w:val="75"/>
        </w:numPr>
        <w:pBdr>
          <w:top w:val="nil"/>
          <w:left w:val="nil"/>
          <w:bottom w:val="nil"/>
          <w:right w:val="nil"/>
          <w:between w:val="nil"/>
          <w:bar w:val="nil"/>
        </w:pBdr>
        <w:spacing w:line="240" w:lineRule="auto"/>
        <w:rPr>
          <w:color w:val="000000" w:themeColor="text1"/>
        </w:rPr>
      </w:pPr>
      <w:r w:rsidRPr="00A07D9A">
        <w:rPr>
          <w:color w:val="000000" w:themeColor="text1"/>
        </w:rPr>
        <w:lastRenderedPageBreak/>
        <w:t>El IFT es el órgano a través del cual el Estado ejerce su rectoría en el sector de las telecomunicaciones y radiodifusión y es autoridad en materia de competencia económica de tales sectores;</w:t>
      </w:r>
    </w:p>
    <w:p w14:paraId="20A8AEE2" w14:textId="77777777" w:rsidR="00315E66" w:rsidRPr="00A07D9A" w:rsidRDefault="00AA37D5" w:rsidP="009446C3">
      <w:pPr>
        <w:pStyle w:val="Prrafodelista"/>
        <w:numPr>
          <w:ilvl w:val="0"/>
          <w:numId w:val="75"/>
        </w:numPr>
        <w:pBdr>
          <w:top w:val="nil"/>
          <w:left w:val="nil"/>
          <w:bottom w:val="nil"/>
          <w:right w:val="nil"/>
          <w:between w:val="nil"/>
          <w:bar w:val="nil"/>
        </w:pBdr>
        <w:spacing w:line="240" w:lineRule="auto"/>
        <w:rPr>
          <w:color w:val="000000" w:themeColor="text1"/>
        </w:rPr>
      </w:pPr>
      <w:r w:rsidRPr="00A07D9A">
        <w:rPr>
          <w:color w:val="000000" w:themeColor="text1"/>
        </w:rPr>
        <w:t>Por su parte</w:t>
      </w:r>
      <w:r w:rsidR="00A537B0" w:rsidRPr="00A07D9A">
        <w:rPr>
          <w:color w:val="000000" w:themeColor="text1"/>
        </w:rPr>
        <w:t xml:space="preserve">, </w:t>
      </w:r>
      <w:r w:rsidR="00236D08" w:rsidRPr="00A07D9A">
        <w:rPr>
          <w:color w:val="000000" w:themeColor="text1"/>
        </w:rPr>
        <w:t>la COFECE es la encargada de prevenir y evitar los monopolios, las prácticas monopólicas y las demás restricciones al funcionamiento eficiente de los mercados de bienes y servicios que no correspondan a las telecomunicaciones y a la radiodifusión</w:t>
      </w:r>
      <w:r w:rsidR="00315E66" w:rsidRPr="00A07D9A">
        <w:rPr>
          <w:color w:val="000000" w:themeColor="text1"/>
        </w:rPr>
        <w:t>;</w:t>
      </w:r>
    </w:p>
    <w:p w14:paraId="0249CD0D" w14:textId="77777777" w:rsidR="00A537B0" w:rsidRPr="00A07D9A" w:rsidRDefault="00AA37D5" w:rsidP="009446C3">
      <w:pPr>
        <w:pStyle w:val="Prrafodelista"/>
        <w:numPr>
          <w:ilvl w:val="0"/>
          <w:numId w:val="75"/>
        </w:numPr>
        <w:pBdr>
          <w:top w:val="nil"/>
          <w:left w:val="nil"/>
          <w:bottom w:val="nil"/>
          <w:right w:val="nil"/>
          <w:between w:val="nil"/>
          <w:bar w:val="nil"/>
        </w:pBdr>
        <w:spacing w:line="240" w:lineRule="auto"/>
        <w:rPr>
          <w:color w:val="000000" w:themeColor="text1"/>
        </w:rPr>
      </w:pPr>
      <w:r w:rsidRPr="00A07D9A">
        <w:rPr>
          <w:color w:val="000000" w:themeColor="text1"/>
        </w:rPr>
        <w:t>E</w:t>
      </w:r>
      <w:r w:rsidR="00236D08" w:rsidRPr="00A07D9A">
        <w:rPr>
          <w:color w:val="000000" w:themeColor="text1"/>
        </w:rPr>
        <w:t xml:space="preserve">n operaciones que afectan a los sectores de </w:t>
      </w:r>
      <w:r w:rsidR="00364DF2" w:rsidRPr="00A07D9A">
        <w:rPr>
          <w:color w:val="000000" w:themeColor="text1"/>
        </w:rPr>
        <w:t>t</w:t>
      </w:r>
      <w:r w:rsidR="00236D08" w:rsidRPr="00A07D9A">
        <w:rPr>
          <w:color w:val="000000" w:themeColor="text1"/>
        </w:rPr>
        <w:t xml:space="preserve">elecomunicaciones y </w:t>
      </w:r>
      <w:r w:rsidR="00364DF2" w:rsidRPr="00A07D9A">
        <w:rPr>
          <w:color w:val="000000" w:themeColor="text1"/>
        </w:rPr>
        <w:t>r</w:t>
      </w:r>
      <w:r w:rsidR="00236D08" w:rsidRPr="00A07D9A">
        <w:rPr>
          <w:color w:val="000000" w:themeColor="text1"/>
        </w:rPr>
        <w:t>adiodifusión, a pesar de</w:t>
      </w:r>
      <w:r w:rsidR="00310CFD" w:rsidRPr="00A07D9A">
        <w:rPr>
          <w:color w:val="000000" w:themeColor="text1"/>
        </w:rPr>
        <w:t xml:space="preserve"> la especialidad del IFT,</w:t>
      </w:r>
      <w:r w:rsidR="00236D08" w:rsidRPr="00A07D9A">
        <w:rPr>
          <w:color w:val="000000" w:themeColor="text1"/>
        </w:rPr>
        <w:t xml:space="preserve"> </w:t>
      </w:r>
      <w:r w:rsidR="00810BC8" w:rsidRPr="00A07D9A">
        <w:rPr>
          <w:color w:val="000000" w:themeColor="text1"/>
        </w:rPr>
        <w:t xml:space="preserve">existen materias o mercados sobre los cuales </w:t>
      </w:r>
      <w:r w:rsidR="00236D08" w:rsidRPr="00A07D9A">
        <w:rPr>
          <w:color w:val="000000" w:themeColor="text1"/>
        </w:rPr>
        <w:t>puede conocer la COFECE, por lo que cada quien deberá resolver dentro de sus respectivas competencias.</w:t>
      </w:r>
    </w:p>
    <w:p w14:paraId="644C20FF" w14:textId="77777777" w:rsidR="00E2128A" w:rsidRPr="00A07D9A" w:rsidRDefault="00A537B0" w:rsidP="00A537B0">
      <w:pPr>
        <w:pBdr>
          <w:top w:val="nil"/>
          <w:left w:val="nil"/>
          <w:bottom w:val="nil"/>
          <w:right w:val="nil"/>
          <w:between w:val="nil"/>
          <w:bar w:val="nil"/>
        </w:pBdr>
        <w:spacing w:line="240" w:lineRule="auto"/>
        <w:rPr>
          <w:color w:val="000000" w:themeColor="text1"/>
        </w:rPr>
      </w:pPr>
      <w:r w:rsidRPr="00A07D9A">
        <w:rPr>
          <w:color w:val="000000" w:themeColor="text1"/>
        </w:rPr>
        <w:t xml:space="preserve">Al respecto, </w:t>
      </w:r>
      <w:r w:rsidR="00472315" w:rsidRPr="00A07D9A">
        <w:rPr>
          <w:color w:val="000000" w:themeColor="text1"/>
        </w:rPr>
        <w:t xml:space="preserve">en su resolución, el Segundo Tribunal Especializado </w:t>
      </w:r>
      <w:r w:rsidR="00AF278C" w:rsidRPr="00A07D9A">
        <w:rPr>
          <w:color w:val="000000" w:themeColor="text1"/>
        </w:rPr>
        <w:t>concluy</w:t>
      </w:r>
      <w:r w:rsidR="00472315" w:rsidRPr="00A07D9A">
        <w:rPr>
          <w:color w:val="000000" w:themeColor="text1"/>
        </w:rPr>
        <w:t>ó que ambas autoridades pueden resolver sobre una misma concentraci</w:t>
      </w:r>
      <w:r w:rsidR="00AF278C" w:rsidRPr="00A07D9A">
        <w:rPr>
          <w:color w:val="000000" w:themeColor="text1"/>
        </w:rPr>
        <w:t xml:space="preserve">ón. </w:t>
      </w:r>
    </w:p>
    <w:p w14:paraId="579AB619" w14:textId="77777777" w:rsidR="00315E66" w:rsidRPr="00A07D9A" w:rsidRDefault="00B822FE" w:rsidP="00A537B0">
      <w:pPr>
        <w:pBdr>
          <w:top w:val="nil"/>
          <w:left w:val="nil"/>
          <w:bottom w:val="nil"/>
          <w:right w:val="nil"/>
          <w:between w:val="nil"/>
          <w:bar w:val="nil"/>
        </w:pBdr>
        <w:spacing w:line="240" w:lineRule="auto"/>
        <w:rPr>
          <w:color w:val="000000" w:themeColor="text1"/>
        </w:rPr>
      </w:pPr>
      <w:r w:rsidRPr="00A07D9A">
        <w:rPr>
          <w:color w:val="000000" w:themeColor="text1"/>
        </w:rPr>
        <w:t>Tomando en consideración este</w:t>
      </w:r>
      <w:r w:rsidR="00E2128A" w:rsidRPr="00A07D9A">
        <w:rPr>
          <w:color w:val="000000" w:themeColor="text1"/>
        </w:rPr>
        <w:t xml:space="preserve"> segundo precedente, se prevé que en algunos casos mantener la separación de la continencia de la causa podría </w:t>
      </w:r>
      <w:r w:rsidR="00D040FF" w:rsidRPr="00A07D9A">
        <w:rPr>
          <w:color w:val="000000" w:themeColor="text1"/>
        </w:rPr>
        <w:t xml:space="preserve">ser </w:t>
      </w:r>
      <w:r w:rsidR="00AF278C" w:rsidRPr="00A07D9A">
        <w:rPr>
          <w:color w:val="000000" w:themeColor="text1"/>
        </w:rPr>
        <w:t>complej</w:t>
      </w:r>
      <w:r w:rsidR="00D040FF" w:rsidRPr="00A07D9A">
        <w:rPr>
          <w:color w:val="000000" w:themeColor="text1"/>
        </w:rPr>
        <w:t>o</w:t>
      </w:r>
      <w:r w:rsidR="00E2128A" w:rsidRPr="00A07D9A">
        <w:rPr>
          <w:color w:val="000000" w:themeColor="text1"/>
        </w:rPr>
        <w:t>. E</w:t>
      </w:r>
      <w:r w:rsidR="00AF278C" w:rsidRPr="00A07D9A">
        <w:rPr>
          <w:color w:val="000000" w:themeColor="text1"/>
        </w:rPr>
        <w:t xml:space="preserve">n </w:t>
      </w:r>
      <w:r w:rsidRPr="00A07D9A">
        <w:rPr>
          <w:color w:val="000000" w:themeColor="text1"/>
        </w:rPr>
        <w:t>ciertas concentraciones</w:t>
      </w:r>
      <w:r w:rsidR="00E2128A" w:rsidRPr="00A07D9A">
        <w:rPr>
          <w:color w:val="000000" w:themeColor="text1"/>
        </w:rPr>
        <w:t>, aun cuando en etapas iniciales se vea factible la separación de los mercados, a medida que avancen los procedimiento</w:t>
      </w:r>
      <w:r w:rsidR="00D040FF" w:rsidRPr="00A07D9A">
        <w:rPr>
          <w:color w:val="000000" w:themeColor="text1"/>
        </w:rPr>
        <w:t>s</w:t>
      </w:r>
      <w:r w:rsidR="00E2128A" w:rsidRPr="00A07D9A">
        <w:rPr>
          <w:color w:val="000000" w:themeColor="text1"/>
        </w:rPr>
        <w:t xml:space="preserve"> se podrían generar traslapes en el a</w:t>
      </w:r>
      <w:r w:rsidR="00472315" w:rsidRPr="00A07D9A">
        <w:rPr>
          <w:color w:val="000000" w:themeColor="text1"/>
        </w:rPr>
        <w:t xml:space="preserve">nálisis </w:t>
      </w:r>
      <w:r w:rsidR="00E2128A" w:rsidRPr="00A07D9A">
        <w:rPr>
          <w:color w:val="000000" w:themeColor="text1"/>
        </w:rPr>
        <w:t>de las transacciones</w:t>
      </w:r>
      <w:r w:rsidR="00AF278C" w:rsidRPr="00A07D9A">
        <w:rPr>
          <w:color w:val="000000" w:themeColor="text1"/>
        </w:rPr>
        <w:t xml:space="preserve"> y, en el escenario más complicado,</w:t>
      </w:r>
      <w:r w:rsidR="00472315" w:rsidRPr="00A07D9A">
        <w:rPr>
          <w:color w:val="000000" w:themeColor="text1"/>
        </w:rPr>
        <w:t xml:space="preserve"> </w:t>
      </w:r>
      <w:r w:rsidR="00D040FF" w:rsidRPr="00A07D9A">
        <w:rPr>
          <w:color w:val="000000" w:themeColor="text1"/>
        </w:rPr>
        <w:t>podrían generarse resoluciones o imponerse condiciones contradictorias</w:t>
      </w:r>
      <w:r w:rsidR="00472315" w:rsidRPr="00A07D9A">
        <w:rPr>
          <w:color w:val="000000" w:themeColor="text1"/>
        </w:rPr>
        <w:t>.</w:t>
      </w:r>
    </w:p>
    <w:p w14:paraId="6548B74B" w14:textId="77777777" w:rsidR="00272A64" w:rsidRPr="00A07D9A" w:rsidRDefault="00AF278C" w:rsidP="00A537B0">
      <w:pPr>
        <w:pBdr>
          <w:top w:val="nil"/>
          <w:left w:val="nil"/>
          <w:bottom w:val="nil"/>
          <w:right w:val="nil"/>
          <w:between w:val="nil"/>
          <w:bar w:val="nil"/>
        </w:pBdr>
        <w:spacing w:line="240" w:lineRule="auto"/>
        <w:rPr>
          <w:color w:val="000000" w:themeColor="text1"/>
        </w:rPr>
      </w:pPr>
      <w:r w:rsidRPr="00A07D9A">
        <w:rPr>
          <w:color w:val="000000" w:themeColor="text1"/>
        </w:rPr>
        <w:t xml:space="preserve">Precisamente por ello, al interior de dicho conflicto competencial, el Instituto </w:t>
      </w:r>
      <w:r w:rsidR="0080690A" w:rsidRPr="00A07D9A">
        <w:rPr>
          <w:color w:val="000000" w:themeColor="text1"/>
        </w:rPr>
        <w:t>planteó la necesidad de que sólo una de las autoridades resolviera sobre toda la con</w:t>
      </w:r>
      <w:r w:rsidR="00D040FF" w:rsidRPr="00A07D9A">
        <w:rPr>
          <w:color w:val="000000" w:themeColor="text1"/>
        </w:rPr>
        <w:t>centración, destacando que</w:t>
      </w:r>
      <w:r w:rsidR="00272A64" w:rsidRPr="00A07D9A">
        <w:rPr>
          <w:color w:val="000000" w:themeColor="text1"/>
        </w:rPr>
        <w:t>:</w:t>
      </w:r>
    </w:p>
    <w:p w14:paraId="31ACACC3" w14:textId="77777777" w:rsidR="00272A64" w:rsidRPr="00A07D9A" w:rsidRDefault="0080690A" w:rsidP="007D794D">
      <w:pPr>
        <w:pBdr>
          <w:top w:val="nil"/>
          <w:left w:val="nil"/>
          <w:bottom w:val="nil"/>
          <w:right w:val="nil"/>
          <w:between w:val="nil"/>
          <w:bar w:val="nil"/>
        </w:pBdr>
        <w:spacing w:line="240" w:lineRule="auto"/>
        <w:ind w:left="671"/>
        <w:rPr>
          <w:color w:val="000000" w:themeColor="text1"/>
        </w:rPr>
      </w:pPr>
      <w:r w:rsidRPr="00A07D9A">
        <w:rPr>
          <w:color w:val="000000" w:themeColor="text1"/>
        </w:rPr>
        <w:t>“</w:t>
      </w:r>
      <w:r w:rsidR="00D040FF" w:rsidRPr="00A07D9A">
        <w:rPr>
          <w:color w:val="000000" w:themeColor="text1"/>
        </w:rPr>
        <w:t xml:space="preserve">(…) </w:t>
      </w:r>
      <w:r w:rsidR="00272A64" w:rsidRPr="00A07D9A">
        <w:rPr>
          <w:color w:val="000000" w:themeColor="text1"/>
        </w:rPr>
        <w:t>involucra los siguientes mercados que no forman parte de los sectores de telecomunicaciones y radiodifusión, pero no pueden analizarse de manera aislada o independiente del resto de las actividades que sí forman parte de los sectores de telecomunicaciones y radiodifusión:</w:t>
      </w:r>
      <w:r w:rsidR="00D040FF" w:rsidRPr="00A07D9A">
        <w:rPr>
          <w:rStyle w:val="Refdenotaalpie"/>
          <w:color w:val="000000" w:themeColor="text1"/>
        </w:rPr>
        <w:t xml:space="preserve"> </w:t>
      </w:r>
      <w:r w:rsidR="00D040FF" w:rsidRPr="00A07D9A">
        <w:rPr>
          <w:rStyle w:val="Refdenotaalpie"/>
          <w:color w:val="000000" w:themeColor="text1"/>
        </w:rPr>
        <w:footnoteReference w:id="64"/>
      </w:r>
    </w:p>
    <w:p w14:paraId="486C79A0" w14:textId="77777777" w:rsidR="0080690A" w:rsidRPr="00A07D9A" w:rsidRDefault="00D040FF" w:rsidP="00D040FF">
      <w:pPr>
        <w:pStyle w:val="Prrafodelista"/>
        <w:numPr>
          <w:ilvl w:val="0"/>
          <w:numId w:val="0"/>
        </w:numPr>
        <w:pBdr>
          <w:top w:val="nil"/>
          <w:left w:val="nil"/>
          <w:bottom w:val="nil"/>
          <w:right w:val="nil"/>
          <w:between w:val="nil"/>
          <w:bar w:val="nil"/>
        </w:pBdr>
        <w:spacing w:line="240" w:lineRule="auto"/>
        <w:ind w:left="851"/>
        <w:rPr>
          <w:color w:val="000000" w:themeColor="text1"/>
        </w:rPr>
      </w:pPr>
      <w:r w:rsidRPr="00A07D9A">
        <w:rPr>
          <w:color w:val="000000" w:themeColor="text1"/>
        </w:rPr>
        <w:t>(…)</w:t>
      </w:r>
    </w:p>
    <w:p w14:paraId="0482BF3A" w14:textId="77777777" w:rsidR="0080690A" w:rsidRPr="00A07D9A" w:rsidRDefault="0080690A" w:rsidP="007D794D">
      <w:pPr>
        <w:pBdr>
          <w:top w:val="nil"/>
          <w:left w:val="nil"/>
          <w:bottom w:val="nil"/>
          <w:right w:val="nil"/>
          <w:between w:val="nil"/>
          <w:bar w:val="nil"/>
        </w:pBdr>
        <w:spacing w:line="240" w:lineRule="auto"/>
        <w:ind w:left="720"/>
        <w:rPr>
          <w:color w:val="000000" w:themeColor="text1"/>
        </w:rPr>
      </w:pPr>
      <w:r w:rsidRPr="00A07D9A">
        <w:rPr>
          <w:color w:val="000000" w:themeColor="text1"/>
        </w:rPr>
        <w:t xml:space="preserve">Estudiar aislada e independientemente las distintas actividades económicas relacionadas con la explotación, distribución y comercialización de contenidos audiovisuales a través de diversas plataformas </w:t>
      </w:r>
      <w:proofErr w:type="gramStart"/>
      <w:r w:rsidRPr="00A07D9A">
        <w:rPr>
          <w:color w:val="000000" w:themeColor="text1"/>
        </w:rPr>
        <w:t>llevaría</w:t>
      </w:r>
      <w:proofErr w:type="gramEnd"/>
      <w:r w:rsidRPr="00A07D9A">
        <w:rPr>
          <w:color w:val="000000" w:themeColor="text1"/>
        </w:rPr>
        <w:t xml:space="preserve"> a un análisis parcial e incompleto sobre los posibles efectos y conductas en materia de competencia económica.</w:t>
      </w:r>
      <w:r w:rsidR="0001208C" w:rsidRPr="00A07D9A">
        <w:rPr>
          <w:color w:val="000000" w:themeColor="text1"/>
        </w:rPr>
        <w:t xml:space="preserve"> </w:t>
      </w:r>
      <w:r w:rsidR="0001208C" w:rsidRPr="00A07D9A">
        <w:rPr>
          <w:rStyle w:val="Refdenotaalpie"/>
          <w:color w:val="000000" w:themeColor="text1"/>
        </w:rPr>
        <w:footnoteReference w:id="65"/>
      </w:r>
    </w:p>
    <w:p w14:paraId="26EECE37" w14:textId="77777777" w:rsidR="00D040FF" w:rsidRPr="00A07D9A" w:rsidRDefault="00D040FF" w:rsidP="007D794D">
      <w:pPr>
        <w:pBdr>
          <w:top w:val="nil"/>
          <w:left w:val="nil"/>
          <w:bottom w:val="nil"/>
          <w:right w:val="nil"/>
          <w:between w:val="nil"/>
          <w:bar w:val="nil"/>
        </w:pBdr>
        <w:spacing w:line="240" w:lineRule="auto"/>
        <w:ind w:left="720"/>
        <w:rPr>
          <w:color w:val="000000" w:themeColor="text1"/>
        </w:rPr>
      </w:pPr>
      <w:r w:rsidRPr="00A07D9A">
        <w:rPr>
          <w:color w:val="000000" w:themeColor="text1"/>
        </w:rPr>
        <w:t>(…)</w:t>
      </w:r>
    </w:p>
    <w:p w14:paraId="3269EC06" w14:textId="77777777" w:rsidR="0001208C" w:rsidRPr="00A07D9A" w:rsidRDefault="0001208C" w:rsidP="007D794D">
      <w:pPr>
        <w:pBdr>
          <w:top w:val="nil"/>
          <w:left w:val="nil"/>
          <w:bottom w:val="nil"/>
          <w:right w:val="nil"/>
          <w:between w:val="nil"/>
          <w:bar w:val="nil"/>
        </w:pBdr>
        <w:spacing w:line="240" w:lineRule="auto"/>
        <w:ind w:left="720"/>
        <w:rPr>
          <w:color w:val="000000" w:themeColor="text1"/>
        </w:rPr>
      </w:pPr>
      <w:r w:rsidRPr="00A07D9A">
        <w:rPr>
          <w:color w:val="000000" w:themeColor="text1"/>
        </w:rPr>
        <w:t xml:space="preserve">Se reconoce que la concentración involucra mercados que no pertenecen a los sectores de telecomunicaciones y radiodifusión, pero se tienen elementos para prever que sus principales efectos ocurrirán en mercados que sí forman parte de estos sectores.” </w:t>
      </w:r>
      <w:r w:rsidRPr="00A07D9A">
        <w:rPr>
          <w:rStyle w:val="Refdenotaalpie"/>
          <w:color w:val="000000" w:themeColor="text1"/>
        </w:rPr>
        <w:footnoteReference w:id="66"/>
      </w:r>
    </w:p>
    <w:p w14:paraId="24906611" w14:textId="77777777" w:rsidR="0001208C" w:rsidRPr="00A07D9A" w:rsidRDefault="00D040FF" w:rsidP="00AA37D5">
      <w:pPr>
        <w:pBdr>
          <w:top w:val="nil"/>
          <w:left w:val="nil"/>
          <w:bottom w:val="nil"/>
          <w:right w:val="nil"/>
          <w:between w:val="nil"/>
          <w:bar w:val="nil"/>
        </w:pBdr>
        <w:spacing w:line="240" w:lineRule="auto"/>
        <w:rPr>
          <w:color w:val="000000" w:themeColor="text1"/>
        </w:rPr>
      </w:pPr>
      <w:r w:rsidRPr="00A07D9A">
        <w:rPr>
          <w:color w:val="000000" w:themeColor="text1"/>
        </w:rPr>
        <w:lastRenderedPageBreak/>
        <w:t>Por lo anterior, previsiblemente la fijación de la competencia entre el IFT y la COFECE continuará definiéndose caso por caso ante los Tribunales Especializados, pues aún no se ha generado un criterio general</w:t>
      </w:r>
      <w:r w:rsidR="00AA039A" w:rsidRPr="00A07D9A">
        <w:rPr>
          <w:color w:val="000000" w:themeColor="text1"/>
        </w:rPr>
        <w:t>.</w:t>
      </w:r>
      <w:r w:rsidR="0001208C" w:rsidRPr="00A07D9A">
        <w:rPr>
          <w:color w:val="000000" w:themeColor="text1"/>
        </w:rPr>
        <w:t xml:space="preserve"> </w:t>
      </w:r>
    </w:p>
    <w:p w14:paraId="52A86361" w14:textId="77777777" w:rsidR="00A11C90" w:rsidRPr="00A07D9A" w:rsidRDefault="004F45D4" w:rsidP="004F45D4">
      <w:pPr>
        <w:pStyle w:val="Ttulo2"/>
        <w:rPr>
          <w:color w:val="000000" w:themeColor="text1"/>
        </w:rPr>
      </w:pPr>
      <w:bookmarkStart w:id="31" w:name="_Toc486519809"/>
      <w:r w:rsidRPr="00A07D9A">
        <w:rPr>
          <w:color w:val="000000" w:themeColor="text1"/>
        </w:rPr>
        <w:t xml:space="preserve">4.3. </w:t>
      </w:r>
      <w:r w:rsidR="00A11C90" w:rsidRPr="00A07D9A">
        <w:rPr>
          <w:color w:val="000000" w:themeColor="text1"/>
        </w:rPr>
        <w:t xml:space="preserve">Elementos para </w:t>
      </w:r>
      <w:bookmarkEnd w:id="30"/>
      <w:r w:rsidR="00A11C90" w:rsidRPr="00A07D9A">
        <w:rPr>
          <w:color w:val="000000" w:themeColor="text1"/>
        </w:rPr>
        <w:t>evaluar concentraciones</w:t>
      </w:r>
      <w:bookmarkEnd w:id="31"/>
    </w:p>
    <w:p w14:paraId="20F96BD6" w14:textId="77777777" w:rsidR="00A11C90" w:rsidRPr="00A07D9A" w:rsidRDefault="00A11C90" w:rsidP="00A11C90">
      <w:pPr>
        <w:rPr>
          <w:color w:val="000000" w:themeColor="text1"/>
        </w:rPr>
      </w:pPr>
      <w:r w:rsidRPr="00A07D9A">
        <w:rPr>
          <w:color w:val="000000" w:themeColor="text1"/>
        </w:rPr>
        <w:t xml:space="preserve">La LFCE, en sus artículos 58, 59, 63 y 64 y los artículos correspondientes en las </w:t>
      </w:r>
      <w:r w:rsidR="00B94D75" w:rsidRPr="00A07D9A">
        <w:rPr>
          <w:color w:val="000000" w:themeColor="text1"/>
        </w:rPr>
        <w:t>Disposiciones Regulatorias</w:t>
      </w:r>
      <w:r w:rsidRPr="00A07D9A">
        <w:rPr>
          <w:color w:val="000000" w:themeColor="text1"/>
        </w:rPr>
        <w:t>, impone</w:t>
      </w:r>
      <w:r w:rsidR="00AA039A" w:rsidRPr="00A07D9A">
        <w:rPr>
          <w:color w:val="000000" w:themeColor="text1"/>
        </w:rPr>
        <w:t>n</w:t>
      </w:r>
      <w:r w:rsidRPr="00A07D9A">
        <w:rPr>
          <w:color w:val="000000" w:themeColor="text1"/>
        </w:rPr>
        <w:t xml:space="preserve"> un estándar de análisis para la evaluación de concentraciones</w:t>
      </w:r>
      <w:r w:rsidR="009513F1" w:rsidRPr="00A07D9A">
        <w:rPr>
          <w:color w:val="000000" w:themeColor="text1"/>
        </w:rPr>
        <w:t xml:space="preserve"> en los procedimientos establecidos en la misma ley</w:t>
      </w:r>
      <w:r w:rsidRPr="00A07D9A">
        <w:rPr>
          <w:color w:val="000000" w:themeColor="text1"/>
        </w:rPr>
        <w:t>.</w:t>
      </w:r>
    </w:p>
    <w:p w14:paraId="1BAAC44A" w14:textId="77777777" w:rsidR="00B20695" w:rsidRPr="00A07D9A" w:rsidRDefault="00A11C90" w:rsidP="00A11C90">
      <w:pPr>
        <w:rPr>
          <w:color w:val="000000" w:themeColor="text1"/>
        </w:rPr>
      </w:pPr>
      <w:r w:rsidRPr="00A07D9A">
        <w:rPr>
          <w:color w:val="000000" w:themeColor="text1"/>
        </w:rPr>
        <w:t xml:space="preserve">Dicho estándar también </w:t>
      </w:r>
      <w:r w:rsidR="00B20695" w:rsidRPr="00A07D9A">
        <w:rPr>
          <w:color w:val="000000" w:themeColor="text1"/>
        </w:rPr>
        <w:t xml:space="preserve">se toma como referencia al elaborar las </w:t>
      </w:r>
      <w:r w:rsidRPr="00A07D9A">
        <w:rPr>
          <w:color w:val="000000" w:themeColor="text1"/>
        </w:rPr>
        <w:t xml:space="preserve">opiniones en materia de competencia económica </w:t>
      </w:r>
      <w:r w:rsidR="00B20695" w:rsidRPr="00A07D9A">
        <w:rPr>
          <w:color w:val="000000" w:themeColor="text1"/>
        </w:rPr>
        <w:t xml:space="preserve">que la </w:t>
      </w:r>
      <w:r w:rsidR="00256698" w:rsidRPr="00A07D9A">
        <w:rPr>
          <w:color w:val="000000" w:themeColor="text1"/>
        </w:rPr>
        <w:t xml:space="preserve">UCE </w:t>
      </w:r>
      <w:r w:rsidR="00B20695" w:rsidRPr="00A07D9A">
        <w:rPr>
          <w:color w:val="000000" w:themeColor="text1"/>
        </w:rPr>
        <w:t xml:space="preserve">del IFT aporta a la </w:t>
      </w:r>
      <w:r w:rsidR="00256698" w:rsidRPr="00A07D9A">
        <w:rPr>
          <w:color w:val="000000" w:themeColor="text1"/>
        </w:rPr>
        <w:t xml:space="preserve">UCS </w:t>
      </w:r>
      <w:r w:rsidRPr="00A07D9A">
        <w:rPr>
          <w:color w:val="000000" w:themeColor="text1"/>
        </w:rPr>
        <w:t xml:space="preserve">en </w:t>
      </w:r>
      <w:r w:rsidR="00B20695" w:rsidRPr="00A07D9A">
        <w:rPr>
          <w:color w:val="000000" w:themeColor="text1"/>
        </w:rPr>
        <w:t xml:space="preserve">los </w:t>
      </w:r>
      <w:r w:rsidRPr="00A07D9A">
        <w:rPr>
          <w:color w:val="000000" w:themeColor="text1"/>
        </w:rPr>
        <w:t xml:space="preserve">procedimientos </w:t>
      </w:r>
      <w:r w:rsidR="00B20695" w:rsidRPr="00A07D9A">
        <w:rPr>
          <w:color w:val="000000" w:themeColor="text1"/>
        </w:rPr>
        <w:t xml:space="preserve">previstos en la LFTR </w:t>
      </w:r>
      <w:r w:rsidR="00256698" w:rsidRPr="00A07D9A">
        <w:rPr>
          <w:color w:val="000000" w:themeColor="text1"/>
        </w:rPr>
        <w:t xml:space="preserve">y el Estatuto Orgánico </w:t>
      </w:r>
      <w:r w:rsidRPr="00A07D9A">
        <w:rPr>
          <w:color w:val="000000" w:themeColor="text1"/>
        </w:rPr>
        <w:t>que así lo requieren</w:t>
      </w:r>
      <w:r w:rsidR="00B20695" w:rsidRPr="00A07D9A">
        <w:rPr>
          <w:color w:val="000000" w:themeColor="text1"/>
        </w:rPr>
        <w:t xml:space="preserve">. </w:t>
      </w:r>
    </w:p>
    <w:p w14:paraId="013912AB" w14:textId="77777777" w:rsidR="00AB6578" w:rsidRPr="00A07D9A" w:rsidRDefault="00B20695" w:rsidP="00A11C90">
      <w:pPr>
        <w:rPr>
          <w:color w:val="000000" w:themeColor="text1"/>
        </w:rPr>
      </w:pPr>
      <w:r w:rsidRPr="00A07D9A">
        <w:rPr>
          <w:color w:val="000000" w:themeColor="text1"/>
        </w:rPr>
        <w:t>En ambos casos, el estándar de análisis permite identificar</w:t>
      </w:r>
      <w:r w:rsidR="00AC4DA6" w:rsidRPr="00A07D9A">
        <w:rPr>
          <w:color w:val="000000" w:themeColor="text1"/>
        </w:rPr>
        <w:t xml:space="preserve">, por una parte, </w:t>
      </w:r>
      <w:r w:rsidR="00AB6578" w:rsidRPr="00A07D9A">
        <w:rPr>
          <w:color w:val="000000" w:themeColor="text1"/>
        </w:rPr>
        <w:t xml:space="preserve">las concentraciones que previsiblemente no generan un riesgo a la competencia y libre concurrencia, </w:t>
      </w:r>
      <w:r w:rsidR="00AC4DA6" w:rsidRPr="00A07D9A">
        <w:rPr>
          <w:color w:val="000000" w:themeColor="text1"/>
        </w:rPr>
        <w:t xml:space="preserve">y por la otra, </w:t>
      </w:r>
      <w:r w:rsidR="00AB6578" w:rsidRPr="00A07D9A">
        <w:rPr>
          <w:color w:val="000000" w:themeColor="text1"/>
        </w:rPr>
        <w:t>l</w:t>
      </w:r>
      <w:r w:rsidR="00E1626A" w:rsidRPr="00A07D9A">
        <w:rPr>
          <w:color w:val="000000" w:themeColor="text1"/>
        </w:rPr>
        <w:t>a</w:t>
      </w:r>
      <w:r w:rsidR="00AB6578" w:rsidRPr="00A07D9A">
        <w:rPr>
          <w:color w:val="000000" w:themeColor="text1"/>
        </w:rPr>
        <w:t xml:space="preserve">s que deben analizarse con mayor profundidad para determinar si tal riesgo existe y, de ser el caso, </w:t>
      </w:r>
      <w:r w:rsidR="00AC4DA6" w:rsidRPr="00A07D9A">
        <w:rPr>
          <w:color w:val="000000" w:themeColor="text1"/>
        </w:rPr>
        <w:t>realizar un análisis más exhaustivo</w:t>
      </w:r>
      <w:r w:rsidR="00AB6578" w:rsidRPr="00A07D9A">
        <w:rPr>
          <w:color w:val="000000" w:themeColor="text1"/>
        </w:rPr>
        <w:t xml:space="preserve">. </w:t>
      </w:r>
    </w:p>
    <w:p w14:paraId="058DDE0D" w14:textId="77777777" w:rsidR="00A11C90" w:rsidRPr="00A07D9A" w:rsidRDefault="00AB6578" w:rsidP="00A11C90">
      <w:pPr>
        <w:rPr>
          <w:color w:val="000000" w:themeColor="text1"/>
        </w:rPr>
      </w:pPr>
      <w:r w:rsidRPr="00A07D9A">
        <w:rPr>
          <w:color w:val="000000" w:themeColor="text1"/>
        </w:rPr>
        <w:t>En</w:t>
      </w:r>
      <w:r w:rsidR="00A11C90" w:rsidRPr="00A07D9A">
        <w:rPr>
          <w:color w:val="000000" w:themeColor="text1"/>
        </w:rPr>
        <w:t xml:space="preserve"> </w:t>
      </w:r>
      <w:r w:rsidRPr="00A07D9A">
        <w:rPr>
          <w:color w:val="000000" w:themeColor="text1"/>
        </w:rPr>
        <w:t xml:space="preserve">algunos </w:t>
      </w:r>
      <w:r w:rsidR="00A11C90" w:rsidRPr="00A07D9A">
        <w:rPr>
          <w:color w:val="000000" w:themeColor="text1"/>
        </w:rPr>
        <w:t xml:space="preserve">casos </w:t>
      </w:r>
      <w:r w:rsidR="00AC4DA6" w:rsidRPr="00A07D9A">
        <w:rPr>
          <w:color w:val="000000" w:themeColor="text1"/>
        </w:rPr>
        <w:t>se requiere de</w:t>
      </w:r>
      <w:r w:rsidR="00A11C90" w:rsidRPr="00A07D9A">
        <w:rPr>
          <w:color w:val="000000" w:themeColor="text1"/>
        </w:rPr>
        <w:t xml:space="preserve"> elementos </w:t>
      </w:r>
      <w:r w:rsidRPr="00A07D9A">
        <w:rPr>
          <w:color w:val="000000" w:themeColor="text1"/>
        </w:rPr>
        <w:t xml:space="preserve">e información </w:t>
      </w:r>
      <w:r w:rsidR="00AC4DA6" w:rsidRPr="00A07D9A">
        <w:rPr>
          <w:color w:val="000000" w:themeColor="text1"/>
        </w:rPr>
        <w:t xml:space="preserve">básicos </w:t>
      </w:r>
      <w:r w:rsidR="00A11C90" w:rsidRPr="00A07D9A">
        <w:rPr>
          <w:color w:val="000000" w:themeColor="text1"/>
        </w:rPr>
        <w:t>para descartar efectos contrarios a la libre concurrencia y competencia económica (casos sencillos). En estos casos, en general, el IFT no solicita información adicional</w:t>
      </w:r>
      <w:r w:rsidRPr="00A07D9A">
        <w:rPr>
          <w:color w:val="000000" w:themeColor="text1"/>
        </w:rPr>
        <w:t xml:space="preserve"> con el propósito de </w:t>
      </w:r>
      <w:r w:rsidR="00A11C90" w:rsidRPr="00A07D9A">
        <w:rPr>
          <w:color w:val="000000" w:themeColor="text1"/>
        </w:rPr>
        <w:t>resolver de la forma más expedita posible.</w:t>
      </w:r>
    </w:p>
    <w:p w14:paraId="2E8C477B" w14:textId="77777777" w:rsidR="00A11C90" w:rsidRPr="00A07D9A" w:rsidRDefault="00AB6578" w:rsidP="00A11C90">
      <w:pPr>
        <w:rPr>
          <w:color w:val="000000" w:themeColor="text1"/>
        </w:rPr>
      </w:pPr>
      <w:r w:rsidRPr="00A07D9A">
        <w:rPr>
          <w:color w:val="000000" w:themeColor="text1"/>
        </w:rPr>
        <w:t>En otros casos, se</w:t>
      </w:r>
      <w:r w:rsidR="00A11C90" w:rsidRPr="00A07D9A">
        <w:rPr>
          <w:color w:val="000000" w:themeColor="text1"/>
        </w:rPr>
        <w:t xml:space="preserve"> requiere una evaluación exhaustiva de los elementos contenidos en los artículos 58, 59, 63 y 64 </w:t>
      </w:r>
      <w:r w:rsidR="006969DB" w:rsidRPr="00A07D9A">
        <w:rPr>
          <w:color w:val="000000" w:themeColor="text1"/>
        </w:rPr>
        <w:t xml:space="preserve">de la LFCE </w:t>
      </w:r>
      <w:r w:rsidR="00A11C90" w:rsidRPr="00A07D9A">
        <w:rPr>
          <w:color w:val="000000" w:themeColor="text1"/>
        </w:rPr>
        <w:t xml:space="preserve">y los artículos correspondientes en las </w:t>
      </w:r>
      <w:r w:rsidR="00B94D75" w:rsidRPr="00A07D9A">
        <w:rPr>
          <w:color w:val="000000" w:themeColor="text1"/>
        </w:rPr>
        <w:t>Disposiciones Regulatorias</w:t>
      </w:r>
      <w:r w:rsidR="00A11C90" w:rsidRPr="00A07D9A">
        <w:rPr>
          <w:color w:val="000000" w:themeColor="text1"/>
        </w:rPr>
        <w:t xml:space="preserve">, para determinar los efectos </w:t>
      </w:r>
      <w:r w:rsidRPr="00A07D9A">
        <w:rPr>
          <w:color w:val="000000" w:themeColor="text1"/>
        </w:rPr>
        <w:t xml:space="preserve">de la concentración </w:t>
      </w:r>
      <w:r w:rsidR="00A11C90" w:rsidRPr="00A07D9A">
        <w:rPr>
          <w:color w:val="000000" w:themeColor="text1"/>
        </w:rPr>
        <w:t>sobre la libre concurrencia y competencia económica (casos exhaustivos). En estos casos, en general, el IFT sí solicita información adicional</w:t>
      </w:r>
      <w:r w:rsidR="008F7493" w:rsidRPr="00A07D9A">
        <w:rPr>
          <w:color w:val="000000" w:themeColor="text1"/>
        </w:rPr>
        <w:t xml:space="preserve"> en casos justificados</w:t>
      </w:r>
      <w:r w:rsidR="00A11C90" w:rsidRPr="00A07D9A">
        <w:rPr>
          <w:color w:val="000000" w:themeColor="text1"/>
        </w:rPr>
        <w:t>.</w:t>
      </w:r>
    </w:p>
    <w:p w14:paraId="36B85811" w14:textId="16A99117" w:rsidR="00E871E9" w:rsidRPr="00A07D9A" w:rsidRDefault="00867F46" w:rsidP="00E871E9">
      <w:pPr>
        <w:pStyle w:val="Ttulo3"/>
        <w:rPr>
          <w:color w:val="000000" w:themeColor="text1"/>
        </w:rPr>
      </w:pPr>
      <w:bookmarkStart w:id="32" w:name="_Toc486519810"/>
      <w:r w:rsidRPr="00A07D9A">
        <w:rPr>
          <w:color w:val="000000" w:themeColor="text1"/>
        </w:rPr>
        <w:t xml:space="preserve">4.3.1. </w:t>
      </w:r>
      <w:r w:rsidR="00A11C90" w:rsidRPr="00A07D9A">
        <w:rPr>
          <w:color w:val="000000" w:themeColor="text1"/>
        </w:rPr>
        <w:t>Informaci</w:t>
      </w:r>
      <w:r w:rsidR="003F2656" w:rsidRPr="00A07D9A">
        <w:rPr>
          <w:color w:val="000000" w:themeColor="text1"/>
        </w:rPr>
        <w:t>ón</w:t>
      </w:r>
      <w:bookmarkStart w:id="33" w:name="_Toc486519811"/>
      <w:bookmarkEnd w:id="32"/>
    </w:p>
    <w:p w14:paraId="2DB006F3" w14:textId="77777777" w:rsidR="00A11C90" w:rsidRPr="00A07D9A" w:rsidRDefault="003F2656" w:rsidP="00E871E9">
      <w:pPr>
        <w:pStyle w:val="Ttulo4"/>
        <w:rPr>
          <w:color w:val="000000" w:themeColor="text1"/>
        </w:rPr>
      </w:pPr>
      <w:r w:rsidRPr="00A07D9A">
        <w:rPr>
          <w:color w:val="000000" w:themeColor="text1"/>
        </w:rPr>
        <w:t>Básica</w:t>
      </w:r>
      <w:bookmarkEnd w:id="33"/>
    </w:p>
    <w:p w14:paraId="55076168" w14:textId="77777777" w:rsidR="00A11C90" w:rsidRPr="00A07D9A" w:rsidRDefault="00A11C90" w:rsidP="00A11C90">
      <w:pPr>
        <w:rPr>
          <w:color w:val="000000" w:themeColor="text1"/>
        </w:rPr>
      </w:pPr>
      <w:r w:rsidRPr="00A07D9A">
        <w:rPr>
          <w:color w:val="000000" w:themeColor="text1"/>
        </w:rPr>
        <w:t xml:space="preserve">En general, para las concentraciones que no requieren un análisis exhaustivo o </w:t>
      </w:r>
      <w:r w:rsidR="006969DB" w:rsidRPr="00A07D9A">
        <w:rPr>
          <w:color w:val="000000" w:themeColor="text1"/>
        </w:rPr>
        <w:t>c</w:t>
      </w:r>
      <w:r w:rsidRPr="00A07D9A">
        <w:rPr>
          <w:color w:val="000000" w:themeColor="text1"/>
        </w:rPr>
        <w:t xml:space="preserve">asos sencillos, la entrega completa de la información </w:t>
      </w:r>
      <w:r w:rsidR="00AB6578" w:rsidRPr="00A07D9A">
        <w:rPr>
          <w:color w:val="000000" w:themeColor="text1"/>
        </w:rPr>
        <w:t xml:space="preserve">prevista en el </w:t>
      </w:r>
      <w:r w:rsidRPr="00A07D9A">
        <w:rPr>
          <w:color w:val="000000" w:themeColor="text1"/>
        </w:rPr>
        <w:t>artículo 89 de la LFCE bastar</w:t>
      </w:r>
      <w:r w:rsidR="00256698" w:rsidRPr="00A07D9A">
        <w:rPr>
          <w:color w:val="000000" w:themeColor="text1"/>
        </w:rPr>
        <w:t>ía</w:t>
      </w:r>
      <w:r w:rsidRPr="00A07D9A">
        <w:rPr>
          <w:color w:val="000000" w:themeColor="text1"/>
        </w:rPr>
        <w:t xml:space="preserve"> para descartar efectos contrarios a la libre concurrencia y competencia económica. </w:t>
      </w:r>
    </w:p>
    <w:p w14:paraId="1730B76A" w14:textId="77777777" w:rsidR="00A11C90" w:rsidRPr="00A07D9A" w:rsidRDefault="00A11C90" w:rsidP="00A11C90">
      <w:pPr>
        <w:rPr>
          <w:color w:val="000000" w:themeColor="text1"/>
        </w:rPr>
      </w:pPr>
      <w:r w:rsidRPr="00A07D9A">
        <w:rPr>
          <w:color w:val="000000" w:themeColor="text1"/>
        </w:rPr>
        <w:t xml:space="preserve">Efectivamente, la información a que se refiere </w:t>
      </w:r>
      <w:r w:rsidR="008F7493" w:rsidRPr="00A07D9A">
        <w:rPr>
          <w:color w:val="000000" w:themeColor="text1"/>
        </w:rPr>
        <w:t>esta disposición</w:t>
      </w:r>
      <w:r w:rsidRPr="00A07D9A">
        <w:rPr>
          <w:color w:val="000000" w:themeColor="text1"/>
        </w:rPr>
        <w:t>, principalmente en sus fracciones IX, X y XI, podría permitir identificar o descartar:</w:t>
      </w:r>
    </w:p>
    <w:p w14:paraId="42F90ED0" w14:textId="77777777" w:rsidR="00A11C90" w:rsidRPr="00A07D9A" w:rsidRDefault="00A11C90" w:rsidP="009446C3">
      <w:pPr>
        <w:pStyle w:val="Prrafodelista"/>
        <w:numPr>
          <w:ilvl w:val="0"/>
          <w:numId w:val="36"/>
        </w:numPr>
        <w:spacing w:after="160" w:line="259" w:lineRule="auto"/>
        <w:ind w:left="567"/>
        <w:rPr>
          <w:color w:val="000000" w:themeColor="text1"/>
        </w:rPr>
      </w:pPr>
      <w:r w:rsidRPr="00A07D9A">
        <w:rPr>
          <w:color w:val="000000" w:themeColor="text1"/>
        </w:rPr>
        <w:t>Coincidencias de productos o servicios en los mercados.</w:t>
      </w:r>
    </w:p>
    <w:p w14:paraId="67BA08F8" w14:textId="77777777" w:rsidR="00A11C90" w:rsidRPr="00A07D9A" w:rsidRDefault="00A11C90" w:rsidP="009446C3">
      <w:pPr>
        <w:pStyle w:val="Prrafodelista"/>
        <w:numPr>
          <w:ilvl w:val="0"/>
          <w:numId w:val="36"/>
        </w:numPr>
        <w:spacing w:after="160" w:line="259" w:lineRule="auto"/>
        <w:ind w:left="567" w:hanging="357"/>
        <w:rPr>
          <w:color w:val="000000" w:themeColor="text1"/>
        </w:rPr>
      </w:pPr>
      <w:r w:rsidRPr="00A07D9A">
        <w:rPr>
          <w:color w:val="000000" w:themeColor="text1"/>
        </w:rPr>
        <w:t>Integraciones verticales.</w:t>
      </w:r>
    </w:p>
    <w:p w14:paraId="66F6EFE7" w14:textId="77777777" w:rsidR="00A11C90" w:rsidRPr="00A07D9A" w:rsidRDefault="00A11C90" w:rsidP="009446C3">
      <w:pPr>
        <w:pStyle w:val="Prrafodelista"/>
        <w:numPr>
          <w:ilvl w:val="0"/>
          <w:numId w:val="36"/>
        </w:numPr>
        <w:spacing w:after="160" w:line="259" w:lineRule="auto"/>
        <w:ind w:left="567" w:hanging="357"/>
        <w:rPr>
          <w:color w:val="000000" w:themeColor="text1"/>
        </w:rPr>
      </w:pPr>
      <w:r w:rsidRPr="00A07D9A">
        <w:rPr>
          <w:color w:val="000000" w:themeColor="text1"/>
        </w:rPr>
        <w:lastRenderedPageBreak/>
        <w:t>Posibles concentraciones de conglomerado que pudieran tener efectos sobre la competencia.</w:t>
      </w:r>
    </w:p>
    <w:p w14:paraId="2A5E5AA5" w14:textId="77777777" w:rsidR="00A11C90" w:rsidRPr="00A07D9A" w:rsidRDefault="00A11C90" w:rsidP="009446C3">
      <w:pPr>
        <w:pStyle w:val="Prrafodelista"/>
        <w:numPr>
          <w:ilvl w:val="0"/>
          <w:numId w:val="36"/>
        </w:numPr>
        <w:spacing w:after="160" w:line="259" w:lineRule="auto"/>
        <w:ind w:left="567" w:hanging="357"/>
        <w:rPr>
          <w:color w:val="000000" w:themeColor="text1"/>
        </w:rPr>
      </w:pPr>
      <w:r w:rsidRPr="00A07D9A">
        <w:rPr>
          <w:color w:val="000000" w:themeColor="text1"/>
        </w:rPr>
        <w:t>Coincidencias en coberturas geográficas.</w:t>
      </w:r>
    </w:p>
    <w:p w14:paraId="00C82ABC" w14:textId="77777777" w:rsidR="005055B7" w:rsidRPr="00A07D9A" w:rsidRDefault="00A11C90" w:rsidP="009446C3">
      <w:pPr>
        <w:pStyle w:val="Prrafodelista"/>
        <w:numPr>
          <w:ilvl w:val="0"/>
          <w:numId w:val="36"/>
        </w:numPr>
        <w:spacing w:after="160" w:line="259" w:lineRule="auto"/>
        <w:ind w:left="567" w:hanging="357"/>
        <w:rPr>
          <w:color w:val="000000" w:themeColor="text1"/>
        </w:rPr>
      </w:pPr>
      <w:r w:rsidRPr="00A07D9A">
        <w:rPr>
          <w:color w:val="000000" w:themeColor="text1"/>
        </w:rPr>
        <w:t>Elevadas participaciones de mercado bajo distintos niveles de agregación de definición del mercado re</w:t>
      </w:r>
      <w:r w:rsidR="00AC4DA6" w:rsidRPr="00A07D9A">
        <w:rPr>
          <w:color w:val="000000" w:themeColor="text1"/>
        </w:rPr>
        <w:t>levante y mercados relacionados.</w:t>
      </w:r>
    </w:p>
    <w:p w14:paraId="1A1C2A04" w14:textId="77777777" w:rsidR="00A11C90" w:rsidRPr="00A07D9A" w:rsidRDefault="005055B7" w:rsidP="009446C3">
      <w:pPr>
        <w:pStyle w:val="Prrafodelista"/>
        <w:numPr>
          <w:ilvl w:val="0"/>
          <w:numId w:val="36"/>
        </w:numPr>
        <w:spacing w:after="160" w:line="259" w:lineRule="auto"/>
        <w:ind w:left="567" w:hanging="357"/>
        <w:rPr>
          <w:color w:val="000000" w:themeColor="text1"/>
        </w:rPr>
      </w:pPr>
      <w:r w:rsidRPr="00A07D9A">
        <w:rPr>
          <w:color w:val="000000" w:themeColor="text1"/>
        </w:rPr>
        <w:t>Elevada acumulación de espectro u otros bienes públicos escasos, cuya concentración tendría efectos contrarios al interés público.</w:t>
      </w:r>
      <w:r w:rsidR="00AC4DA6" w:rsidRPr="00A07D9A">
        <w:rPr>
          <w:color w:val="000000" w:themeColor="text1"/>
        </w:rPr>
        <w:t xml:space="preserve"> </w:t>
      </w:r>
    </w:p>
    <w:p w14:paraId="4584AC60" w14:textId="77777777" w:rsidR="00A11C90" w:rsidRPr="00A07D9A" w:rsidRDefault="00A11C90" w:rsidP="00A11C90">
      <w:pPr>
        <w:rPr>
          <w:color w:val="000000" w:themeColor="text1"/>
        </w:rPr>
      </w:pPr>
      <w:r w:rsidRPr="00A07D9A">
        <w:rPr>
          <w:color w:val="000000" w:themeColor="text1"/>
        </w:rPr>
        <w:t xml:space="preserve">En caso de descartar cualquiera de esas situaciones, el IFT pudiera concluir que la concentración no tiene como objeto o efecto obstaculizar, disminuir, dañar o impedir la libre concurrencia y competencia económica, por lo cual el IFT considerará finalizado su análisis. </w:t>
      </w:r>
    </w:p>
    <w:p w14:paraId="0DD5CAD0" w14:textId="77777777" w:rsidR="00AC4DA6" w:rsidRPr="00A07D9A" w:rsidRDefault="00AC4DA6" w:rsidP="00A11C90">
      <w:pPr>
        <w:rPr>
          <w:color w:val="000000" w:themeColor="text1"/>
        </w:rPr>
      </w:pPr>
      <w:r w:rsidRPr="00A07D9A">
        <w:rPr>
          <w:color w:val="000000" w:themeColor="text1"/>
        </w:rPr>
        <w:t>En las concentraciones que se analizan en procedimientos previstos en la LFTR, la información básica se determina caso por caso, tomando referencia y guardando consistencia con el estándar establecido en el artículo 89 de la LFCE.</w:t>
      </w:r>
    </w:p>
    <w:p w14:paraId="5DD246F5" w14:textId="77777777" w:rsidR="00A11C90" w:rsidRPr="00A07D9A" w:rsidRDefault="003F2656" w:rsidP="00E871E9">
      <w:pPr>
        <w:pStyle w:val="Ttulo4"/>
        <w:rPr>
          <w:color w:val="000000" w:themeColor="text1"/>
        </w:rPr>
      </w:pPr>
      <w:bookmarkStart w:id="34" w:name="_Toc486519812"/>
      <w:r w:rsidRPr="00A07D9A">
        <w:rPr>
          <w:color w:val="000000" w:themeColor="text1"/>
        </w:rPr>
        <w:t>Adicional</w:t>
      </w:r>
      <w:bookmarkEnd w:id="34"/>
    </w:p>
    <w:p w14:paraId="66F90416" w14:textId="77777777" w:rsidR="00A11C90" w:rsidRPr="00A07D9A" w:rsidRDefault="00A11C90" w:rsidP="00A11C90">
      <w:pPr>
        <w:rPr>
          <w:color w:val="000000" w:themeColor="text1"/>
        </w:rPr>
      </w:pPr>
      <w:r w:rsidRPr="00A07D9A">
        <w:rPr>
          <w:color w:val="000000" w:themeColor="text1"/>
        </w:rPr>
        <w:t xml:space="preserve">Para operaciones que requieren de forma exhaustiva la evaluación de los elementos a que se refieren los artículos 58, 59, 63 y 64 de la LFCE y las correspondientes fracciones de las </w:t>
      </w:r>
      <w:r w:rsidR="00B94D75" w:rsidRPr="00A07D9A">
        <w:rPr>
          <w:color w:val="000000" w:themeColor="text1"/>
        </w:rPr>
        <w:t>Disposiciones Regulatorias</w:t>
      </w:r>
      <w:r w:rsidRPr="00A07D9A">
        <w:rPr>
          <w:color w:val="000000" w:themeColor="text1"/>
        </w:rPr>
        <w:t>, el IFT requerirá diversa evidencia.</w:t>
      </w:r>
      <w:r w:rsidR="00AC4DA6" w:rsidRPr="00A07D9A">
        <w:rPr>
          <w:color w:val="000000" w:themeColor="text1"/>
        </w:rPr>
        <w:t xml:space="preserve"> Este estándar también se toma como referencia en el análisis de concentraciones involucradas en procedimientos previstos en la LFTR.</w:t>
      </w:r>
    </w:p>
    <w:p w14:paraId="7A1EAD16" w14:textId="77777777" w:rsidR="00A11C90" w:rsidRPr="00A07D9A" w:rsidRDefault="00A11C90" w:rsidP="00A11C90">
      <w:pPr>
        <w:rPr>
          <w:color w:val="000000" w:themeColor="text1"/>
        </w:rPr>
      </w:pPr>
      <w:r w:rsidRPr="00A07D9A">
        <w:rPr>
          <w:color w:val="000000" w:themeColor="text1"/>
        </w:rPr>
        <w:t>Entre la evidencia que el IFT</w:t>
      </w:r>
      <w:r w:rsidR="00E835A4" w:rsidRPr="00A07D9A">
        <w:rPr>
          <w:color w:val="000000" w:themeColor="text1"/>
        </w:rPr>
        <w:t xml:space="preserve"> analizará</w:t>
      </w:r>
      <w:r w:rsidRPr="00A07D9A">
        <w:rPr>
          <w:color w:val="000000" w:themeColor="text1"/>
        </w:rPr>
        <w:t>, se puede identificar la siguiente:</w:t>
      </w:r>
    </w:p>
    <w:p w14:paraId="05E310D1" w14:textId="77777777" w:rsidR="00A11C90" w:rsidRPr="00A07D9A" w:rsidRDefault="00A11C90" w:rsidP="009446C3">
      <w:pPr>
        <w:pStyle w:val="Prrafodelista"/>
        <w:numPr>
          <w:ilvl w:val="0"/>
          <w:numId w:val="35"/>
        </w:numPr>
        <w:spacing w:after="160" w:line="259" w:lineRule="auto"/>
        <w:ind w:left="426"/>
        <w:rPr>
          <w:color w:val="000000" w:themeColor="text1"/>
        </w:rPr>
      </w:pPr>
      <w:r w:rsidRPr="00A07D9A">
        <w:rPr>
          <w:color w:val="000000" w:themeColor="text1"/>
        </w:rPr>
        <w:t>Para determinar el mercado relevante y los mercados relacionados bajo su dimensión de producto y servicio:</w:t>
      </w:r>
    </w:p>
    <w:p w14:paraId="7308E416"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Descripción, precios (series mensuales en un plazo de cinco años) y características tecnológicas de los bienes o servicios ofrecidos por los </w:t>
      </w:r>
      <w:r w:rsidR="008A07CB" w:rsidRPr="00A07D9A">
        <w:rPr>
          <w:color w:val="000000" w:themeColor="text1"/>
        </w:rPr>
        <w:t>agentes económicos</w:t>
      </w:r>
      <w:r w:rsidRPr="00A07D9A">
        <w:rPr>
          <w:color w:val="000000" w:themeColor="text1"/>
        </w:rPr>
        <w:t xml:space="preserve"> involucrados.</w:t>
      </w:r>
    </w:p>
    <w:p w14:paraId="372308BE"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Descripción, precios y características tecnológicas de los productos o servicios sustitutos o competidores identificados por los </w:t>
      </w:r>
      <w:r w:rsidR="008A07CB" w:rsidRPr="00A07D9A">
        <w:rPr>
          <w:color w:val="000000" w:themeColor="text1"/>
        </w:rPr>
        <w:t>agentes económicos</w:t>
      </w:r>
      <w:r w:rsidRPr="00A07D9A">
        <w:rPr>
          <w:color w:val="000000" w:themeColor="text1"/>
        </w:rPr>
        <w:t xml:space="preserve"> notificantes.</w:t>
      </w:r>
    </w:p>
    <w:p w14:paraId="56133877" w14:textId="77777777" w:rsidR="00A11C90" w:rsidRPr="00A07D9A" w:rsidRDefault="006969DB" w:rsidP="009446C3">
      <w:pPr>
        <w:pStyle w:val="Prrafodelista"/>
        <w:numPr>
          <w:ilvl w:val="0"/>
          <w:numId w:val="30"/>
        </w:numPr>
        <w:spacing w:after="160" w:line="259" w:lineRule="auto"/>
        <w:rPr>
          <w:color w:val="000000" w:themeColor="text1"/>
        </w:rPr>
      </w:pPr>
      <w:r w:rsidRPr="00A07D9A">
        <w:rPr>
          <w:color w:val="000000" w:themeColor="text1"/>
        </w:rPr>
        <w:t>D</w:t>
      </w:r>
      <w:r w:rsidR="00A11C90" w:rsidRPr="00A07D9A">
        <w:rPr>
          <w:color w:val="000000" w:themeColor="text1"/>
        </w:rPr>
        <w:t>escripción de la cadena de valor.</w:t>
      </w:r>
    </w:p>
    <w:p w14:paraId="3A6A0619" w14:textId="77777777" w:rsidR="00A11C90" w:rsidRPr="00A07D9A" w:rsidRDefault="00A11C90" w:rsidP="009446C3">
      <w:pPr>
        <w:pStyle w:val="Prrafodelista"/>
        <w:numPr>
          <w:ilvl w:val="0"/>
          <w:numId w:val="35"/>
        </w:numPr>
        <w:spacing w:after="160" w:line="259" w:lineRule="auto"/>
        <w:ind w:left="426"/>
        <w:rPr>
          <w:color w:val="000000" w:themeColor="text1"/>
        </w:rPr>
      </w:pPr>
      <w:r w:rsidRPr="00A07D9A">
        <w:rPr>
          <w:color w:val="000000" w:themeColor="text1"/>
        </w:rPr>
        <w:t xml:space="preserve">Para determinar el mercado relevante </w:t>
      </w:r>
      <w:r w:rsidR="0087408A" w:rsidRPr="00A07D9A">
        <w:rPr>
          <w:color w:val="000000" w:themeColor="text1"/>
        </w:rPr>
        <w:t xml:space="preserve">y los mercados relacionados </w:t>
      </w:r>
      <w:r w:rsidRPr="00A07D9A">
        <w:rPr>
          <w:color w:val="000000" w:themeColor="text1"/>
        </w:rPr>
        <w:t>bajo su dimensión geográfica:</w:t>
      </w:r>
    </w:p>
    <w:p w14:paraId="1078B0E5"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La ubicación y las coberturas territoriales de las concesiones que detenten de radiodifusión y/o de telecomunicaciones</w:t>
      </w:r>
      <w:r w:rsidR="006969DB" w:rsidRPr="00A07D9A">
        <w:rPr>
          <w:color w:val="000000" w:themeColor="text1"/>
        </w:rPr>
        <w:t xml:space="preserve"> por</w:t>
      </w:r>
      <w:r w:rsidRPr="00A07D9A">
        <w:rPr>
          <w:color w:val="000000" w:themeColor="text1"/>
        </w:rPr>
        <w:t xml:space="preserve"> los </w:t>
      </w:r>
      <w:r w:rsidR="008A07CB" w:rsidRPr="00A07D9A">
        <w:rPr>
          <w:color w:val="000000" w:themeColor="text1"/>
        </w:rPr>
        <w:t>agentes económicos</w:t>
      </w:r>
      <w:r w:rsidRPr="00A07D9A">
        <w:rPr>
          <w:color w:val="000000" w:themeColor="text1"/>
        </w:rPr>
        <w:t xml:space="preserve"> involucrados.</w:t>
      </w:r>
    </w:p>
    <w:p w14:paraId="0127036F"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lastRenderedPageBreak/>
        <w:t xml:space="preserve">Los costos de distribución de los bienes o servicios ofrecidos por los </w:t>
      </w:r>
      <w:r w:rsidR="008A07CB" w:rsidRPr="00A07D9A">
        <w:rPr>
          <w:color w:val="000000" w:themeColor="text1"/>
        </w:rPr>
        <w:t>agentes económicos</w:t>
      </w:r>
      <w:r w:rsidRPr="00A07D9A">
        <w:rPr>
          <w:color w:val="000000" w:themeColor="text1"/>
        </w:rPr>
        <w:t xml:space="preserve"> involucrados; los costos de sus insumos relevantes; los costos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50BB5C51"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Los costos que enfrentan los usuarios o consumidores para acudir a otros mercados.</w:t>
      </w:r>
    </w:p>
    <w:p w14:paraId="3ED16299"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Las restricciones normativas de carácter </w:t>
      </w:r>
      <w:r w:rsidR="000354FD" w:rsidRPr="00A07D9A">
        <w:rPr>
          <w:color w:val="000000" w:themeColor="text1"/>
        </w:rPr>
        <w:t xml:space="preserve">local, </w:t>
      </w:r>
      <w:r w:rsidRPr="00A07D9A">
        <w:rPr>
          <w:color w:val="000000" w:themeColor="text1"/>
        </w:rPr>
        <w:t>federal o internacional que limiten el acceso de usuarios o consumidores a fuentes de abasto alternativas, o el acceso de los proveedores a clientes alternativos.</w:t>
      </w:r>
    </w:p>
    <w:p w14:paraId="01C05E5A" w14:textId="77777777" w:rsidR="008F7493" w:rsidRPr="00A07D9A" w:rsidRDefault="008F7493" w:rsidP="00C9397B">
      <w:pPr>
        <w:pStyle w:val="Prrafodelista"/>
        <w:numPr>
          <w:ilvl w:val="0"/>
          <w:numId w:val="35"/>
        </w:numPr>
        <w:spacing w:after="160" w:line="259" w:lineRule="auto"/>
        <w:ind w:left="426"/>
        <w:rPr>
          <w:color w:val="000000" w:themeColor="text1"/>
        </w:rPr>
      </w:pPr>
      <w:r w:rsidRPr="00A07D9A">
        <w:rPr>
          <w:color w:val="000000" w:themeColor="text1"/>
        </w:rPr>
        <w:t>Los mercados relacionados, en términos del artículo 6 de las Disposiciones Regulatorias, se definen como aquellos que involucran bienes, servicios o áreas geográficas distintas a las que forman parte del mercado relevante, pero que inciden en o son influidos por las condiciones de competencia y libre concurrencia imperantes en el mismo.</w:t>
      </w:r>
    </w:p>
    <w:p w14:paraId="4BF06335" w14:textId="77777777" w:rsidR="008F7493" w:rsidRPr="00A07D9A" w:rsidRDefault="008F7493" w:rsidP="00C9397B">
      <w:pPr>
        <w:pStyle w:val="Prrafodelista"/>
        <w:numPr>
          <w:ilvl w:val="0"/>
          <w:numId w:val="0"/>
        </w:numPr>
        <w:spacing w:after="160" w:line="259" w:lineRule="auto"/>
        <w:ind w:left="426"/>
        <w:rPr>
          <w:color w:val="000000" w:themeColor="text1"/>
        </w:rPr>
      </w:pPr>
      <w:r w:rsidRPr="00A07D9A">
        <w:rPr>
          <w:color w:val="000000" w:themeColor="text1"/>
        </w:rPr>
        <w:t>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p w14:paraId="601AD127" w14:textId="7E44D54A" w:rsidR="00A11C90" w:rsidRPr="00A07D9A" w:rsidRDefault="00A11C90" w:rsidP="009446C3">
      <w:pPr>
        <w:pStyle w:val="Prrafodelista"/>
        <w:numPr>
          <w:ilvl w:val="0"/>
          <w:numId w:val="35"/>
        </w:numPr>
        <w:spacing w:after="160" w:line="259" w:lineRule="auto"/>
        <w:ind w:left="426"/>
        <w:rPr>
          <w:color w:val="000000" w:themeColor="text1"/>
        </w:rPr>
      </w:pPr>
      <w:r w:rsidRPr="00A07D9A">
        <w:rPr>
          <w:color w:val="000000" w:themeColor="text1"/>
        </w:rPr>
        <w:t>Para el análisis de poder en el mercado relevante</w:t>
      </w:r>
      <w:r w:rsidR="00FF39CE" w:rsidRPr="00A07D9A">
        <w:rPr>
          <w:color w:val="000000" w:themeColor="text1"/>
        </w:rPr>
        <w:t xml:space="preserve"> </w:t>
      </w:r>
      <w:r w:rsidR="0087408A" w:rsidRPr="00A07D9A">
        <w:rPr>
          <w:color w:val="000000" w:themeColor="text1"/>
        </w:rPr>
        <w:t>y los mercados relacionados</w:t>
      </w:r>
      <w:r w:rsidRPr="00A07D9A">
        <w:rPr>
          <w:color w:val="000000" w:themeColor="text1"/>
        </w:rPr>
        <w:t>:</w:t>
      </w:r>
    </w:p>
    <w:p w14:paraId="7FD6C165"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Identificación de los competidores.</w:t>
      </w:r>
    </w:p>
    <w:p w14:paraId="6CC64609"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Participaciones de mercado de los </w:t>
      </w:r>
      <w:r w:rsidR="008A07CB" w:rsidRPr="00A07D9A">
        <w:rPr>
          <w:color w:val="000000" w:themeColor="text1"/>
        </w:rPr>
        <w:t>agentes económicos</w:t>
      </w:r>
      <w:r w:rsidRPr="00A07D9A">
        <w:rPr>
          <w:color w:val="000000" w:themeColor="text1"/>
        </w:rPr>
        <w:t xml:space="preserve"> involucrados y de sus competidores.</w:t>
      </w:r>
    </w:p>
    <w:p w14:paraId="0D79BB56"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Identificación de usuarios y clientes.</w:t>
      </w:r>
    </w:p>
    <w:p w14:paraId="121493A8"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El grado de concentración en dicho mercado.</w:t>
      </w:r>
    </w:p>
    <w:p w14:paraId="3A715D76" w14:textId="77777777" w:rsidR="00A11C90" w:rsidRPr="00A07D9A" w:rsidRDefault="00A11C90" w:rsidP="00A11C90">
      <w:pPr>
        <w:ind w:left="360"/>
        <w:rPr>
          <w:color w:val="000000" w:themeColor="text1"/>
        </w:rPr>
      </w:pPr>
      <w:r w:rsidRPr="00A07D9A">
        <w:rPr>
          <w:color w:val="000000" w:themeColor="text1"/>
        </w:rPr>
        <w:t>Al respecto, en el</w:t>
      </w:r>
      <w:r w:rsidR="0058335E" w:rsidRPr="00A07D9A">
        <w:rPr>
          <w:color w:val="000000" w:themeColor="text1"/>
        </w:rPr>
        <w:t xml:space="preserve"> “</w:t>
      </w:r>
      <w:r w:rsidR="0058335E" w:rsidRPr="00A07D9A">
        <w:rPr>
          <w:bCs/>
          <w:color w:val="000000" w:themeColor="text1"/>
        </w:rPr>
        <w:t>Criterio Técnico para el Cálculo y Aplicación de un Índice Cuantitativo a Fin de Determinar el Grado de Concentración en los Mercados y Servicios Correspondientes a los Sectores de Telecomunicaciones y Radiodifusión” (Criterio de Índice de Concentración)</w:t>
      </w:r>
      <w:r w:rsidRPr="00A07D9A">
        <w:rPr>
          <w:bCs/>
          <w:color w:val="000000" w:themeColor="text1"/>
        </w:rPr>
        <w:t>,</w:t>
      </w:r>
      <w:r w:rsidR="00AB6578" w:rsidRPr="00A07D9A">
        <w:rPr>
          <w:rStyle w:val="Refdenotaalpie"/>
          <w:bCs/>
          <w:color w:val="000000" w:themeColor="text1"/>
        </w:rPr>
        <w:footnoteReference w:id="67"/>
      </w:r>
      <w:r w:rsidRPr="00A07D9A">
        <w:rPr>
          <w:color w:val="000000" w:themeColor="text1"/>
        </w:rPr>
        <w:t xml:space="preserve"> se identifican tres niveles de concentración:</w:t>
      </w:r>
    </w:p>
    <w:p w14:paraId="2A1B5202" w14:textId="77777777" w:rsidR="00A11C90" w:rsidRPr="00A07D9A" w:rsidRDefault="00A11C90" w:rsidP="009446C3">
      <w:pPr>
        <w:pStyle w:val="Default"/>
        <w:numPr>
          <w:ilvl w:val="1"/>
          <w:numId w:val="30"/>
        </w:numPr>
        <w:spacing w:after="160" w:line="259" w:lineRule="auto"/>
        <w:ind w:left="851"/>
        <w:jc w:val="both"/>
        <w:rPr>
          <w:rFonts w:ascii="ITC Avant Garde" w:hAnsi="ITC Avant Garde"/>
          <w:color w:val="000000" w:themeColor="text1"/>
          <w:sz w:val="22"/>
          <w:szCs w:val="22"/>
        </w:rPr>
      </w:pPr>
      <w:r w:rsidRPr="00A07D9A">
        <w:rPr>
          <w:rFonts w:ascii="ITC Avant Garde" w:hAnsi="ITC Avant Garde"/>
          <w:color w:val="000000" w:themeColor="text1"/>
          <w:sz w:val="22"/>
          <w:szCs w:val="22"/>
        </w:rPr>
        <w:lastRenderedPageBreak/>
        <w:t>Bajo, en el que el IHH es menor o igual a 2,000 puntos después de la concentración.</w:t>
      </w:r>
    </w:p>
    <w:p w14:paraId="7525DDE8" w14:textId="77777777" w:rsidR="00A11C90" w:rsidRPr="00A07D9A" w:rsidRDefault="00A11C90" w:rsidP="009446C3">
      <w:pPr>
        <w:pStyle w:val="Default"/>
        <w:numPr>
          <w:ilvl w:val="1"/>
          <w:numId w:val="30"/>
        </w:numPr>
        <w:spacing w:after="160" w:line="259" w:lineRule="auto"/>
        <w:ind w:left="851"/>
        <w:jc w:val="both"/>
        <w:rPr>
          <w:rFonts w:ascii="ITC Avant Garde" w:hAnsi="ITC Avant Garde"/>
          <w:color w:val="000000" w:themeColor="text1"/>
          <w:sz w:val="22"/>
          <w:szCs w:val="22"/>
        </w:rPr>
      </w:pPr>
      <w:r w:rsidRPr="00A07D9A">
        <w:rPr>
          <w:rFonts w:ascii="ITC Avant Garde" w:hAnsi="ITC Avant Garde"/>
          <w:color w:val="000000" w:themeColor="text1"/>
          <w:sz w:val="22"/>
          <w:szCs w:val="22"/>
        </w:rPr>
        <w:t>Moderado, donde el que el IHH se ubica entre los 2,000 y 3,000 puntos.</w:t>
      </w:r>
    </w:p>
    <w:p w14:paraId="48BEFC8D" w14:textId="77777777" w:rsidR="00A11C90" w:rsidRPr="00A07D9A" w:rsidRDefault="00A11C90" w:rsidP="009446C3">
      <w:pPr>
        <w:pStyle w:val="Default"/>
        <w:numPr>
          <w:ilvl w:val="1"/>
          <w:numId w:val="30"/>
        </w:numPr>
        <w:spacing w:after="160" w:line="259" w:lineRule="auto"/>
        <w:ind w:left="851"/>
        <w:jc w:val="both"/>
        <w:rPr>
          <w:rFonts w:ascii="ITC Avant Garde" w:hAnsi="ITC Avant Garde"/>
          <w:color w:val="000000" w:themeColor="text1"/>
          <w:sz w:val="22"/>
          <w:szCs w:val="22"/>
        </w:rPr>
      </w:pPr>
      <w:r w:rsidRPr="00A07D9A">
        <w:rPr>
          <w:rFonts w:ascii="ITC Avant Garde" w:hAnsi="ITC Avant Garde"/>
          <w:color w:val="000000" w:themeColor="text1"/>
          <w:sz w:val="22"/>
          <w:szCs w:val="22"/>
        </w:rPr>
        <w:t>Elevado, donde el que el IHH es mayor a 3,000 puntos.</w:t>
      </w:r>
    </w:p>
    <w:p w14:paraId="61EB7D05" w14:textId="77777777" w:rsidR="00A11C90" w:rsidRPr="00A07D9A" w:rsidRDefault="00AB6578" w:rsidP="00A11C90">
      <w:pPr>
        <w:ind w:left="360"/>
        <w:rPr>
          <w:color w:val="000000" w:themeColor="text1"/>
        </w:rPr>
      </w:pPr>
      <w:r w:rsidRPr="00A07D9A">
        <w:rPr>
          <w:color w:val="000000" w:themeColor="text1"/>
        </w:rPr>
        <w:t>El IFT considera</w:t>
      </w:r>
      <w:r w:rsidR="00A11C90" w:rsidRPr="00A07D9A">
        <w:rPr>
          <w:color w:val="000000" w:themeColor="text1"/>
        </w:rPr>
        <w:t xml:space="preserve"> que es poco probable que una concentración tiene por objeto o efecto obstaculizar, disminuir, dañar o impedir la competencia y la libre concurrencia, cuando posterior</w:t>
      </w:r>
      <w:r w:rsidR="00FF39CE" w:rsidRPr="00A07D9A">
        <w:rPr>
          <w:color w:val="000000" w:themeColor="text1"/>
        </w:rPr>
        <w:t>mente</w:t>
      </w:r>
      <w:r w:rsidR="00A11C90" w:rsidRPr="00A07D9A">
        <w:rPr>
          <w:color w:val="000000" w:themeColor="text1"/>
        </w:rPr>
        <w:t xml:space="preserve"> a ésta suceda alguna de las siguientes situaciones:</w:t>
      </w:r>
    </w:p>
    <w:p w14:paraId="222813D1" w14:textId="06F215C0" w:rsidR="00A11C90" w:rsidRPr="00A07D9A" w:rsidRDefault="00A11C90" w:rsidP="009446C3">
      <w:pPr>
        <w:pStyle w:val="Default"/>
        <w:numPr>
          <w:ilvl w:val="0"/>
          <w:numId w:val="33"/>
        </w:numPr>
        <w:spacing w:after="160" w:line="259" w:lineRule="auto"/>
        <w:ind w:left="2552" w:hanging="357"/>
        <w:jc w:val="both"/>
        <w:rPr>
          <w:rFonts w:ascii="ITC Avant Garde" w:hAnsi="ITC Avant Garde"/>
          <w:color w:val="000000" w:themeColor="text1"/>
          <w:sz w:val="22"/>
          <w:szCs w:val="22"/>
        </w:rPr>
      </w:pPr>
      <w:r w:rsidRPr="00A07D9A">
        <w:rPr>
          <w:rFonts w:ascii="ITC Avant Garde" w:hAnsi="ITC Avant Garde"/>
          <w:color w:val="000000" w:themeColor="text1"/>
          <w:sz w:val="22"/>
          <w:szCs w:val="22"/>
        </w:rPr>
        <w:t xml:space="preserve">IHH </w:t>
      </w:r>
      <m:oMath>
        <m:r>
          <m:rPr>
            <m:sty m:val="p"/>
          </m:rPr>
          <w:rPr>
            <w:rFonts w:ascii="Cambria Math" w:hAnsi="Cambria Math"/>
            <w:color w:val="000000" w:themeColor="text1"/>
            <w:sz w:val="22"/>
            <w:szCs w:val="22"/>
          </w:rPr>
          <m:t>≤</m:t>
        </m:r>
      </m:oMath>
      <w:r w:rsidRPr="00A07D9A">
        <w:rPr>
          <w:rFonts w:ascii="ITC Avant Garde" w:hAnsi="ITC Avant Garde"/>
          <w:color w:val="000000" w:themeColor="text1"/>
          <w:sz w:val="22"/>
          <w:szCs w:val="22"/>
        </w:rPr>
        <w:t xml:space="preserve"> 2,000 puntos.</w:t>
      </w:r>
    </w:p>
    <w:p w14:paraId="768CFB16" w14:textId="711AE24A" w:rsidR="00A11C90" w:rsidRPr="00A07D9A" w:rsidRDefault="00A11C90" w:rsidP="009446C3">
      <w:pPr>
        <w:pStyle w:val="Default"/>
        <w:numPr>
          <w:ilvl w:val="0"/>
          <w:numId w:val="33"/>
        </w:numPr>
        <w:spacing w:after="160" w:line="259" w:lineRule="auto"/>
        <w:ind w:left="2552" w:hanging="357"/>
        <w:jc w:val="both"/>
        <w:rPr>
          <w:rFonts w:ascii="ITC Avant Garde" w:hAnsi="ITC Avant Garde"/>
          <w:color w:val="000000" w:themeColor="text1"/>
          <w:sz w:val="22"/>
          <w:szCs w:val="22"/>
        </w:rPr>
      </w:pPr>
      <w:r w:rsidRPr="00A07D9A">
        <w:rPr>
          <w:rFonts w:ascii="ITC Avant Garde" w:hAnsi="ITC Avant Garde"/>
          <w:color w:val="000000" w:themeColor="text1"/>
          <w:sz w:val="22"/>
          <w:szCs w:val="22"/>
        </w:rPr>
        <w:t xml:space="preserve">2,000 &lt; IHH </w:t>
      </w:r>
      <m:oMath>
        <m:r>
          <m:rPr>
            <m:sty m:val="p"/>
          </m:rPr>
          <w:rPr>
            <w:rFonts w:ascii="Cambria Math" w:hAnsi="Cambria Math"/>
            <w:color w:val="000000" w:themeColor="text1"/>
            <w:sz w:val="22"/>
            <w:szCs w:val="22"/>
          </w:rPr>
          <m:t>≤</m:t>
        </m:r>
      </m:oMath>
      <w:r w:rsidRPr="00A07D9A">
        <w:rPr>
          <w:rFonts w:ascii="ITC Avant Garde" w:hAnsi="ITC Avant Garde"/>
          <w:color w:val="000000" w:themeColor="text1"/>
          <w:sz w:val="22"/>
          <w:szCs w:val="22"/>
        </w:rPr>
        <w:t xml:space="preserve"> 3,000 y</w:t>
      </w:r>
      <w:r w:rsidRPr="00A07D9A">
        <w:rPr>
          <w:rFonts w:ascii="ITC Avant Garde" w:eastAsiaTheme="minorEastAsia" w:hAnsi="ITC Avant Garde"/>
          <w:color w:val="000000" w:themeColor="text1"/>
          <w:sz w:val="22"/>
          <w:szCs w:val="22"/>
        </w:rPr>
        <w:t xml:space="preserve"> </w:t>
      </w:r>
      <m:oMath>
        <m:r>
          <m:rPr>
            <m:sty m:val="p"/>
          </m:rPr>
          <w:rPr>
            <w:rFonts w:ascii="Cambria Math" w:hAnsi="Cambria Math"/>
            <w:color w:val="000000" w:themeColor="text1"/>
            <w:sz w:val="22"/>
            <w:szCs w:val="22"/>
          </w:rPr>
          <m:t>∆HH</m:t>
        </m:r>
      </m:oMath>
      <w:r w:rsidRPr="00A07D9A">
        <w:rPr>
          <w:rFonts w:ascii="ITC Avant Garde" w:hAnsi="ITC Avant Garde"/>
          <w:color w:val="000000" w:themeColor="text1"/>
          <w:sz w:val="22"/>
          <w:szCs w:val="22"/>
        </w:rPr>
        <w:t xml:space="preserve"> </w:t>
      </w:r>
      <m:oMath>
        <m:r>
          <m:rPr>
            <m:sty m:val="p"/>
          </m:rPr>
          <w:rPr>
            <w:rFonts w:ascii="Cambria Math" w:hAnsi="Cambria Math"/>
            <w:color w:val="000000" w:themeColor="text1"/>
            <w:sz w:val="22"/>
            <w:szCs w:val="22"/>
          </w:rPr>
          <m:t>≤</m:t>
        </m:r>
      </m:oMath>
      <w:r w:rsidRPr="00A07D9A">
        <w:rPr>
          <w:rFonts w:ascii="ITC Avant Garde" w:hAnsi="ITC Avant Garde"/>
          <w:color w:val="000000" w:themeColor="text1"/>
          <w:sz w:val="22"/>
          <w:szCs w:val="22"/>
        </w:rPr>
        <w:t xml:space="preserve"> 150 puntos.</w:t>
      </w:r>
    </w:p>
    <w:p w14:paraId="198963BF" w14:textId="77EFCEAE" w:rsidR="00A11C90" w:rsidRPr="00A07D9A" w:rsidRDefault="00A11C90" w:rsidP="009446C3">
      <w:pPr>
        <w:pStyle w:val="Default"/>
        <w:numPr>
          <w:ilvl w:val="0"/>
          <w:numId w:val="33"/>
        </w:numPr>
        <w:spacing w:after="160" w:line="259" w:lineRule="auto"/>
        <w:ind w:left="2552" w:right="-1"/>
        <w:jc w:val="both"/>
        <w:rPr>
          <w:rFonts w:ascii="ITC Avant Garde" w:hAnsi="ITC Avant Garde"/>
          <w:color w:val="000000" w:themeColor="text1"/>
          <w:sz w:val="22"/>
          <w:szCs w:val="22"/>
        </w:rPr>
      </w:pPr>
      <w:r w:rsidRPr="00A07D9A">
        <w:rPr>
          <w:rFonts w:ascii="ITC Avant Garde" w:hAnsi="ITC Avant Garde"/>
          <w:color w:val="000000" w:themeColor="text1"/>
          <w:sz w:val="22"/>
          <w:szCs w:val="22"/>
        </w:rPr>
        <w:t xml:space="preserve">IHH &gt; 3,000 y </w:t>
      </w:r>
      <m:oMath>
        <m:r>
          <m:rPr>
            <m:sty m:val="p"/>
          </m:rPr>
          <w:rPr>
            <w:rFonts w:ascii="Cambria Math" w:hAnsi="Cambria Math"/>
            <w:color w:val="000000" w:themeColor="text1"/>
            <w:sz w:val="22"/>
            <w:szCs w:val="22"/>
          </w:rPr>
          <m:t>∆HH</m:t>
        </m:r>
      </m:oMath>
      <w:r w:rsidRPr="00A07D9A">
        <w:rPr>
          <w:rFonts w:ascii="ITC Avant Garde" w:hAnsi="ITC Avant Garde"/>
          <w:color w:val="000000" w:themeColor="text1"/>
          <w:sz w:val="22"/>
          <w:szCs w:val="22"/>
        </w:rPr>
        <w:t xml:space="preserve"> </w:t>
      </w:r>
      <m:oMath>
        <m:r>
          <m:rPr>
            <m:sty m:val="p"/>
          </m:rPr>
          <w:rPr>
            <w:rFonts w:ascii="Cambria Math" w:hAnsi="Cambria Math"/>
            <w:color w:val="000000" w:themeColor="text1"/>
            <w:sz w:val="22"/>
            <w:szCs w:val="22"/>
          </w:rPr>
          <m:t>≤</m:t>
        </m:r>
      </m:oMath>
      <w:r w:rsidRPr="00A07D9A">
        <w:rPr>
          <w:rFonts w:ascii="ITC Avant Garde" w:eastAsiaTheme="minorEastAsia" w:hAnsi="ITC Avant Garde"/>
          <w:color w:val="000000" w:themeColor="text1"/>
          <w:sz w:val="22"/>
          <w:szCs w:val="22"/>
        </w:rPr>
        <w:t xml:space="preserve"> </w:t>
      </w:r>
      <w:r w:rsidRPr="00A07D9A">
        <w:rPr>
          <w:rFonts w:ascii="ITC Avant Garde" w:hAnsi="ITC Avant Garde"/>
          <w:color w:val="000000" w:themeColor="text1"/>
          <w:sz w:val="22"/>
          <w:szCs w:val="22"/>
        </w:rPr>
        <w:t>100 puntos.</w:t>
      </w:r>
    </w:p>
    <w:p w14:paraId="46C44777" w14:textId="77777777" w:rsidR="005055B7" w:rsidRPr="00A07D9A" w:rsidRDefault="005055B7" w:rsidP="0082165A">
      <w:pPr>
        <w:ind w:left="360"/>
        <w:rPr>
          <w:color w:val="000000" w:themeColor="text1"/>
        </w:rPr>
      </w:pPr>
      <w:r w:rsidRPr="00A07D9A">
        <w:rPr>
          <w:color w:val="000000" w:themeColor="text1"/>
        </w:rPr>
        <w:t>En el Criterio Técnico se señala que las participaciones se calcularán a partir de variables que el Instituto considere pertinentes para el caso particular de estudio, que incluyen sin limitar: el número de usuarios, suscripciones, audiencia, tráfico en las redes, número de frecuencias o estaciones, capacidad instalada, valor o volumen de las ventas.</w:t>
      </w:r>
    </w:p>
    <w:p w14:paraId="72F67918" w14:textId="77777777" w:rsidR="00A11C90" w:rsidRPr="00A07D9A" w:rsidRDefault="00A11C90" w:rsidP="009446C3">
      <w:pPr>
        <w:pStyle w:val="Prrafodelista"/>
        <w:numPr>
          <w:ilvl w:val="0"/>
          <w:numId w:val="35"/>
        </w:numPr>
        <w:spacing w:after="160" w:line="259" w:lineRule="auto"/>
        <w:ind w:left="426"/>
        <w:rPr>
          <w:color w:val="000000" w:themeColor="text1"/>
        </w:rPr>
      </w:pPr>
      <w:r w:rsidRPr="00A07D9A">
        <w:rPr>
          <w:color w:val="000000" w:themeColor="text1"/>
        </w:rPr>
        <w:t xml:space="preserve">Para la descripción de otros </w:t>
      </w:r>
      <w:r w:rsidR="008A07CB" w:rsidRPr="00A07D9A">
        <w:rPr>
          <w:color w:val="000000" w:themeColor="text1"/>
        </w:rPr>
        <w:t>agentes económicos</w:t>
      </w:r>
      <w:r w:rsidRPr="00A07D9A">
        <w:rPr>
          <w:color w:val="000000" w:themeColor="text1"/>
        </w:rPr>
        <w:t xml:space="preserve"> relacionados con los notificantes</w:t>
      </w:r>
      <w:r w:rsidR="004F1312" w:rsidRPr="00A07D9A">
        <w:rPr>
          <w:color w:val="000000" w:themeColor="text1"/>
        </w:rPr>
        <w:t xml:space="preserve">, para efectos de determinar si existen relaciones de control o influencia </w:t>
      </w:r>
      <w:r w:rsidR="00FF39CE" w:rsidRPr="00A07D9A">
        <w:rPr>
          <w:color w:val="000000" w:themeColor="text1"/>
        </w:rPr>
        <w:t>significativa</w:t>
      </w:r>
      <w:r w:rsidRPr="00A07D9A">
        <w:rPr>
          <w:color w:val="000000" w:themeColor="text1"/>
        </w:rPr>
        <w:t>:</w:t>
      </w:r>
    </w:p>
    <w:p w14:paraId="749077E4"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Sociedades en que los </w:t>
      </w:r>
      <w:r w:rsidR="008A07CB" w:rsidRPr="00A07D9A">
        <w:rPr>
          <w:color w:val="000000" w:themeColor="text1"/>
        </w:rPr>
        <w:t>agentes económicos</w:t>
      </w:r>
      <w:r w:rsidRPr="00A07D9A">
        <w:rPr>
          <w:color w:val="000000" w:themeColor="text1"/>
        </w:rPr>
        <w:t xml:space="preserve"> involucrados, así como los miembros de sus órganos </w:t>
      </w:r>
      <w:r w:rsidRPr="00A07D9A">
        <w:rPr>
          <w:rFonts w:cs="Arial"/>
          <w:color w:val="000000" w:themeColor="text1"/>
        </w:rPr>
        <w:t>encargados de tomar las decisiones y/o directivos, gerentes, administradores o sus equivalentes</w:t>
      </w:r>
      <w:r w:rsidRPr="00A07D9A">
        <w:rPr>
          <w:color w:val="000000" w:themeColor="text1"/>
        </w:rPr>
        <w:t xml:space="preserve">: </w:t>
      </w:r>
    </w:p>
    <w:p w14:paraId="65544E80" w14:textId="77777777" w:rsidR="00A11C90" w:rsidRPr="00A07D9A" w:rsidRDefault="00A11C90" w:rsidP="009446C3">
      <w:pPr>
        <w:pStyle w:val="Prrafodelista"/>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rPr>
          <w:rFonts w:cs="Helvetica"/>
          <w:color w:val="000000" w:themeColor="text1"/>
        </w:rPr>
      </w:pPr>
      <w:r w:rsidRPr="00A07D9A">
        <w:rPr>
          <w:color w:val="000000" w:themeColor="text1"/>
        </w:rPr>
        <w:t xml:space="preserve">participen en los órganos </w:t>
      </w:r>
      <w:r w:rsidRPr="00A07D9A">
        <w:rPr>
          <w:rFonts w:cs="Arial"/>
          <w:color w:val="000000" w:themeColor="text1"/>
        </w:rPr>
        <w:t>encargados de tomar las decisiones</w:t>
      </w:r>
      <w:r w:rsidRPr="00A07D9A">
        <w:rPr>
          <w:color w:val="000000" w:themeColor="text1"/>
        </w:rPr>
        <w:t>.</w:t>
      </w:r>
    </w:p>
    <w:p w14:paraId="6E547B42" w14:textId="77777777" w:rsidR="00A11C90" w:rsidRPr="00A07D9A" w:rsidRDefault="00A11C90" w:rsidP="009446C3">
      <w:pPr>
        <w:pStyle w:val="Prrafodelista"/>
        <w:widowControl w:val="0"/>
        <w:numPr>
          <w:ilvl w:val="0"/>
          <w:numId w:val="3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1287" w:hanging="357"/>
        <w:rPr>
          <w:rFonts w:cs="Helvetica"/>
          <w:color w:val="000000" w:themeColor="text1"/>
        </w:rPr>
      </w:pPr>
      <w:r w:rsidRPr="00A07D9A">
        <w:rPr>
          <w:color w:val="000000" w:themeColor="text1"/>
        </w:rPr>
        <w:t xml:space="preserve">sean </w:t>
      </w:r>
      <w:r w:rsidRPr="00A07D9A">
        <w:rPr>
          <w:rFonts w:cs="Arial"/>
          <w:color w:val="000000" w:themeColor="text1"/>
        </w:rPr>
        <w:t>directivos, gerentes, administradores o sus equivalentes</w:t>
      </w:r>
      <w:r w:rsidRPr="00A07D9A">
        <w:rPr>
          <w:color w:val="000000" w:themeColor="text1"/>
        </w:rPr>
        <w:t>.</w:t>
      </w:r>
    </w:p>
    <w:p w14:paraId="3A098F5C"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Identificación de las sociedades en las que los </w:t>
      </w:r>
      <w:r w:rsidR="008A07CB" w:rsidRPr="00A07D9A">
        <w:rPr>
          <w:color w:val="000000" w:themeColor="text1"/>
        </w:rPr>
        <w:t>agentes económicos</w:t>
      </w:r>
      <w:r w:rsidRPr="00A07D9A">
        <w:rPr>
          <w:color w:val="000000" w:themeColor="text1"/>
        </w:rPr>
        <w:t xml:space="preserve"> involucrados, así como los miembros de los órganos </w:t>
      </w:r>
      <w:r w:rsidRPr="00A07D9A">
        <w:rPr>
          <w:rFonts w:cs="Arial"/>
          <w:color w:val="000000" w:themeColor="text1"/>
        </w:rPr>
        <w:t xml:space="preserve">encargados de tomar las decisiones y/o directivos, gerentes, administradores o sus equivalentes de esos </w:t>
      </w:r>
      <w:r w:rsidR="008A07CB" w:rsidRPr="00A07D9A">
        <w:rPr>
          <w:rFonts w:cs="Arial"/>
          <w:color w:val="000000" w:themeColor="text1"/>
        </w:rPr>
        <w:t>agentes económicos</w:t>
      </w:r>
      <w:r w:rsidRPr="00A07D9A">
        <w:rPr>
          <w:rFonts w:cs="Arial"/>
          <w:color w:val="000000" w:themeColor="text1"/>
        </w:rPr>
        <w:t>, p</w:t>
      </w:r>
      <w:r w:rsidRPr="00A07D9A">
        <w:rPr>
          <w:color w:val="000000" w:themeColor="text1"/>
        </w:rPr>
        <w:t xml:space="preserve">articipen en: a) los órganos </w:t>
      </w:r>
      <w:r w:rsidRPr="00A07D9A">
        <w:rPr>
          <w:rFonts w:cs="Arial"/>
          <w:color w:val="000000" w:themeColor="text1"/>
        </w:rPr>
        <w:t xml:space="preserve">encargados de tomar las decisiones; </w:t>
      </w:r>
      <w:r w:rsidRPr="00A07D9A">
        <w:rPr>
          <w:color w:val="000000" w:themeColor="text1"/>
        </w:rPr>
        <w:t xml:space="preserve">o b) sean </w:t>
      </w:r>
      <w:r w:rsidRPr="00A07D9A">
        <w:rPr>
          <w:rFonts w:cs="Arial"/>
          <w:color w:val="000000" w:themeColor="text1"/>
        </w:rPr>
        <w:t>directivos, gerentes, administradores o sus equivalentes</w:t>
      </w:r>
      <w:r w:rsidRPr="00A07D9A">
        <w:rPr>
          <w:color w:val="000000" w:themeColor="text1"/>
        </w:rPr>
        <w:t>.</w:t>
      </w:r>
    </w:p>
    <w:p w14:paraId="1BCD83FB"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Identificación de las concesionarias o las concesiones de frecuencias que se encuentren afiliadas, para transmitir contenidos y/o publicidad, a cualquiera de los </w:t>
      </w:r>
      <w:r w:rsidR="008A07CB" w:rsidRPr="00A07D9A">
        <w:rPr>
          <w:color w:val="000000" w:themeColor="text1"/>
        </w:rPr>
        <w:t>agentes económicos</w:t>
      </w:r>
      <w:r w:rsidRPr="00A07D9A">
        <w:rPr>
          <w:color w:val="000000" w:themeColor="text1"/>
        </w:rPr>
        <w:t xml:space="preserve"> involucrados.</w:t>
      </w:r>
    </w:p>
    <w:p w14:paraId="364CF991" w14:textId="77777777" w:rsidR="00A11C90" w:rsidRPr="00A07D9A" w:rsidRDefault="00A11C90" w:rsidP="009446C3">
      <w:pPr>
        <w:pStyle w:val="Prrafodelista"/>
        <w:numPr>
          <w:ilvl w:val="0"/>
          <w:numId w:val="35"/>
        </w:numPr>
        <w:spacing w:after="160" w:line="259" w:lineRule="auto"/>
        <w:ind w:left="426"/>
        <w:rPr>
          <w:color w:val="000000" w:themeColor="text1"/>
        </w:rPr>
      </w:pPr>
      <w:r w:rsidRPr="00A07D9A">
        <w:rPr>
          <w:color w:val="000000" w:themeColor="text1"/>
        </w:rPr>
        <w:t>Para el análisis de barreras a la entrada:</w:t>
      </w:r>
    </w:p>
    <w:p w14:paraId="420F1128" w14:textId="77777777" w:rsidR="00A11C90" w:rsidRPr="00A07D9A" w:rsidRDefault="00A11C90" w:rsidP="009446C3">
      <w:pPr>
        <w:pStyle w:val="Prrafodelista"/>
        <w:numPr>
          <w:ilvl w:val="0"/>
          <w:numId w:val="30"/>
        </w:numPr>
        <w:spacing w:after="160" w:line="259" w:lineRule="auto"/>
        <w:rPr>
          <w:rFonts w:cs="Helvetica"/>
          <w:color w:val="000000" w:themeColor="text1"/>
        </w:rPr>
      </w:pPr>
      <w:r w:rsidRPr="00A07D9A">
        <w:rPr>
          <w:rFonts w:cs="Helvetica"/>
          <w:color w:val="000000" w:themeColor="text1"/>
        </w:rPr>
        <w:lastRenderedPageBreak/>
        <w:t>Los costos financieros, los costos de desarrollar canales alternativos y el acceso limitado al financiamiento, a la tecnología o a canales de distribución eficientes.</w:t>
      </w:r>
    </w:p>
    <w:p w14:paraId="5712116F" w14:textId="77777777" w:rsidR="00A11C90" w:rsidRPr="00A07D9A" w:rsidRDefault="00A11C90" w:rsidP="009446C3">
      <w:pPr>
        <w:pStyle w:val="Prrafodelista"/>
        <w:numPr>
          <w:ilvl w:val="0"/>
          <w:numId w:val="30"/>
        </w:numPr>
        <w:autoSpaceDE w:val="0"/>
        <w:autoSpaceDN w:val="0"/>
        <w:adjustRightInd w:val="0"/>
        <w:spacing w:after="160" w:line="259" w:lineRule="auto"/>
        <w:rPr>
          <w:rFonts w:cs="Helvetica"/>
          <w:color w:val="000000" w:themeColor="text1"/>
        </w:rPr>
      </w:pPr>
      <w:r w:rsidRPr="00A07D9A">
        <w:rPr>
          <w:rFonts w:cs="Helvetica"/>
          <w:color w:val="000000" w:themeColor="text1"/>
        </w:rPr>
        <w:t>El monto, la indivisibilidad y el plazo de recuperación de la inversión requerida, así como la ausencia o escasa viabilidad de usos alternativos de infraestructura y equipo.</w:t>
      </w:r>
    </w:p>
    <w:p w14:paraId="6B33AA5C" w14:textId="77777777" w:rsidR="00A11C90" w:rsidRPr="00A07D9A" w:rsidRDefault="00A11C90" w:rsidP="009446C3">
      <w:pPr>
        <w:pStyle w:val="Prrafodelista"/>
        <w:numPr>
          <w:ilvl w:val="0"/>
          <w:numId w:val="30"/>
        </w:numPr>
        <w:autoSpaceDE w:val="0"/>
        <w:autoSpaceDN w:val="0"/>
        <w:adjustRightInd w:val="0"/>
        <w:spacing w:after="160" w:line="259" w:lineRule="auto"/>
        <w:rPr>
          <w:rFonts w:cs="Helvetica"/>
          <w:color w:val="000000" w:themeColor="text1"/>
        </w:rPr>
      </w:pPr>
      <w:r w:rsidRPr="00A07D9A">
        <w:rPr>
          <w:rFonts w:cs="Helvetica"/>
          <w:color w:val="000000" w:themeColor="text1"/>
        </w:rPr>
        <w:t>La necesidad de contar con concesiones, licencias, permisos o cualquier clase de autorización o título habilitante expedido por Autoridad Pública, así como con derechos de uso o explotación protegidos por la legislación en materia de propiedad intelectual e industrial.</w:t>
      </w:r>
    </w:p>
    <w:p w14:paraId="381B7FDC" w14:textId="77777777" w:rsidR="00A11C90" w:rsidRPr="00A07D9A" w:rsidRDefault="00A11C90" w:rsidP="009446C3">
      <w:pPr>
        <w:pStyle w:val="Prrafodelista"/>
        <w:numPr>
          <w:ilvl w:val="0"/>
          <w:numId w:val="30"/>
        </w:numPr>
        <w:autoSpaceDE w:val="0"/>
        <w:autoSpaceDN w:val="0"/>
        <w:adjustRightInd w:val="0"/>
        <w:spacing w:after="160" w:line="259" w:lineRule="auto"/>
        <w:rPr>
          <w:rFonts w:cs="Helvetica"/>
          <w:color w:val="000000" w:themeColor="text1"/>
        </w:rPr>
      </w:pPr>
      <w:r w:rsidRPr="00A07D9A">
        <w:rPr>
          <w:rFonts w:cs="Helvetica"/>
          <w:color w:val="000000" w:themeColor="text1"/>
        </w:rPr>
        <w:t>La inversión en publicidad requerida para que una marca o nombre comercial adquiera una presencia de mercado que le permita competir con marcas o nombres establecidos.</w:t>
      </w:r>
    </w:p>
    <w:p w14:paraId="1204FF41" w14:textId="77777777" w:rsidR="005055B7" w:rsidRPr="00A07D9A" w:rsidRDefault="005055B7" w:rsidP="008843CF">
      <w:pPr>
        <w:pStyle w:val="Prrafodelista"/>
        <w:numPr>
          <w:ilvl w:val="0"/>
          <w:numId w:val="30"/>
        </w:numPr>
        <w:autoSpaceDE w:val="0"/>
        <w:autoSpaceDN w:val="0"/>
        <w:adjustRightInd w:val="0"/>
        <w:spacing w:after="160" w:line="259" w:lineRule="auto"/>
        <w:rPr>
          <w:rFonts w:cs="Helvetica"/>
          <w:color w:val="000000" w:themeColor="text1"/>
        </w:rPr>
      </w:pPr>
      <w:r w:rsidRPr="00A07D9A">
        <w:rPr>
          <w:rFonts w:cs="Helvetica"/>
          <w:color w:val="000000" w:themeColor="text1"/>
        </w:rPr>
        <w:t>La necesidad de tener acceso a un insumo esencial u otros muy relevantes, como espectro radioeléctrico, derechos de vía, infraestructura pasiva, posiciones orbitales, entre otros, independientemente del título legal bajo el cual se obtenga dicho acceso.</w:t>
      </w:r>
    </w:p>
    <w:p w14:paraId="64C11C67" w14:textId="77777777" w:rsidR="00A11C90" w:rsidRPr="00A07D9A" w:rsidRDefault="00A11C90" w:rsidP="009446C3">
      <w:pPr>
        <w:pStyle w:val="Prrafodelista"/>
        <w:numPr>
          <w:ilvl w:val="0"/>
          <w:numId w:val="30"/>
        </w:numPr>
        <w:autoSpaceDE w:val="0"/>
        <w:autoSpaceDN w:val="0"/>
        <w:adjustRightInd w:val="0"/>
        <w:spacing w:after="160" w:line="259" w:lineRule="auto"/>
        <w:rPr>
          <w:rFonts w:cs="Helvetica"/>
          <w:color w:val="000000" w:themeColor="text1"/>
        </w:rPr>
      </w:pPr>
      <w:r w:rsidRPr="00A07D9A">
        <w:rPr>
          <w:rFonts w:cs="Helvetica"/>
          <w:color w:val="000000" w:themeColor="text1"/>
        </w:rPr>
        <w:t>Las limitaciones a la competencia en los mercados internacionales.</w:t>
      </w:r>
    </w:p>
    <w:p w14:paraId="5F6B99AC" w14:textId="77777777" w:rsidR="00A11C90" w:rsidRPr="00A07D9A" w:rsidRDefault="00A11C90" w:rsidP="009446C3">
      <w:pPr>
        <w:pStyle w:val="Prrafodelista"/>
        <w:numPr>
          <w:ilvl w:val="0"/>
          <w:numId w:val="30"/>
        </w:numPr>
        <w:autoSpaceDE w:val="0"/>
        <w:autoSpaceDN w:val="0"/>
        <w:adjustRightInd w:val="0"/>
        <w:spacing w:after="160" w:line="259" w:lineRule="auto"/>
        <w:rPr>
          <w:rFonts w:cs="Helvetica"/>
          <w:color w:val="000000" w:themeColor="text1"/>
        </w:rPr>
      </w:pPr>
      <w:r w:rsidRPr="00A07D9A">
        <w:rPr>
          <w:rFonts w:cs="Helvetica"/>
          <w:color w:val="000000" w:themeColor="text1"/>
        </w:rPr>
        <w:t xml:space="preserve">Las restricciones constituidas por prácticas realizadas por los </w:t>
      </w:r>
      <w:r w:rsidR="008A07CB" w:rsidRPr="00A07D9A">
        <w:rPr>
          <w:rFonts w:cs="Helvetica"/>
          <w:color w:val="000000" w:themeColor="text1"/>
        </w:rPr>
        <w:t>agentes económicos</w:t>
      </w:r>
      <w:r w:rsidRPr="00A07D9A">
        <w:rPr>
          <w:rFonts w:cs="Helvetica"/>
          <w:color w:val="000000" w:themeColor="text1"/>
        </w:rPr>
        <w:t xml:space="preserve"> establecidos en el mercado relevante.</w:t>
      </w:r>
    </w:p>
    <w:p w14:paraId="3DF337CC" w14:textId="77777777" w:rsidR="00A11C90" w:rsidRPr="00A07D9A" w:rsidRDefault="00A11C90" w:rsidP="009446C3">
      <w:pPr>
        <w:pStyle w:val="Prrafodelista"/>
        <w:numPr>
          <w:ilvl w:val="0"/>
          <w:numId w:val="30"/>
        </w:numPr>
        <w:autoSpaceDE w:val="0"/>
        <w:autoSpaceDN w:val="0"/>
        <w:adjustRightInd w:val="0"/>
        <w:spacing w:after="160" w:line="259" w:lineRule="auto"/>
        <w:rPr>
          <w:rFonts w:cs="Helvetica"/>
          <w:color w:val="000000" w:themeColor="text1"/>
        </w:rPr>
      </w:pPr>
      <w:r w:rsidRPr="00A07D9A">
        <w:rPr>
          <w:rFonts w:cs="Helvetica"/>
          <w:color w:val="000000" w:themeColor="text1"/>
        </w:rPr>
        <w:t>Los actos de cualquier Autoridad Pública o disposiciones jurídicas que discriminen en el otorgamiento de estímulos, subsidios, acceso o apoyos a ciertos productores, comercializadores, distribuidores o prestadores de servicios.</w:t>
      </w:r>
    </w:p>
    <w:p w14:paraId="36B05E8F" w14:textId="77777777" w:rsidR="00A11C90" w:rsidRPr="00A07D9A" w:rsidRDefault="00A11C90" w:rsidP="009446C3">
      <w:pPr>
        <w:pStyle w:val="Prrafodelista"/>
        <w:numPr>
          <w:ilvl w:val="0"/>
          <w:numId w:val="35"/>
        </w:numPr>
        <w:spacing w:after="160" w:line="259" w:lineRule="auto"/>
        <w:ind w:left="426"/>
        <w:rPr>
          <w:color w:val="000000" w:themeColor="text1"/>
        </w:rPr>
      </w:pPr>
      <w:r w:rsidRPr="00A07D9A">
        <w:rPr>
          <w:color w:val="000000" w:themeColor="text1"/>
        </w:rPr>
        <w:t>Para el análisis de eficiencias:</w:t>
      </w:r>
    </w:p>
    <w:p w14:paraId="2728586F"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Las posibles eficiencias del mercado que se lograrían derivadas de la concentración y que incidirán favorablemente en el proceso de competencia y libre concurrencia, en términos del artículo 14 de las </w:t>
      </w:r>
      <w:r w:rsidR="00B94D75" w:rsidRPr="00A07D9A">
        <w:rPr>
          <w:color w:val="000000" w:themeColor="text1"/>
        </w:rPr>
        <w:t>Disposiciones Regulatorias</w:t>
      </w:r>
      <w:r w:rsidRPr="00A07D9A">
        <w:rPr>
          <w:color w:val="000000" w:themeColor="text1"/>
        </w:rPr>
        <w:t>, y</w:t>
      </w:r>
    </w:p>
    <w:p w14:paraId="51D574E9"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Que éstas derivarán específicamente de la concentración; superarán de forma continua sus posibles efectos anticompetitivos en el mercado y resultarán en una mejora al bienestar del consumidor.</w:t>
      </w:r>
    </w:p>
    <w:p w14:paraId="04F2FFA4" w14:textId="77777777" w:rsidR="00F674AD"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Al respecto, para la acreditación de eficiencias, resulta esencial que los </w:t>
      </w:r>
      <w:r w:rsidR="008A07CB" w:rsidRPr="00A07D9A">
        <w:rPr>
          <w:color w:val="000000" w:themeColor="text1"/>
        </w:rPr>
        <w:t>agentes económicos</w:t>
      </w:r>
      <w:r w:rsidRPr="00A07D9A">
        <w:rPr>
          <w:color w:val="000000" w:themeColor="text1"/>
        </w:rPr>
        <w:t xml:space="preserve"> expliquen cómo se generará, en última instancia, un beneficio directo para los usuarios o consumidores, resultando indispensable que las mismas puedan medirse o estimarse de forma objetiva y razonable</w:t>
      </w:r>
      <w:r w:rsidR="00F674AD" w:rsidRPr="00A07D9A">
        <w:rPr>
          <w:color w:val="000000" w:themeColor="text1"/>
        </w:rPr>
        <w:t>, así como que sean un resultado directo de la concentración u operación efectivamente notificada</w:t>
      </w:r>
      <w:r w:rsidR="00BC6019" w:rsidRPr="00A07D9A">
        <w:rPr>
          <w:color w:val="000000" w:themeColor="text1"/>
        </w:rPr>
        <w:t xml:space="preserve">. </w:t>
      </w:r>
    </w:p>
    <w:p w14:paraId="7945E6C1" w14:textId="77777777" w:rsidR="00364DF2" w:rsidRPr="00A07D9A" w:rsidRDefault="00BC6019" w:rsidP="00F674AD">
      <w:pPr>
        <w:pStyle w:val="Prrafodelista"/>
        <w:numPr>
          <w:ilvl w:val="0"/>
          <w:numId w:val="0"/>
        </w:numPr>
        <w:spacing w:after="160" w:line="259" w:lineRule="auto"/>
        <w:ind w:left="720"/>
        <w:rPr>
          <w:color w:val="000000" w:themeColor="text1"/>
        </w:rPr>
      </w:pPr>
      <w:r w:rsidRPr="00A07D9A">
        <w:rPr>
          <w:color w:val="000000" w:themeColor="text1"/>
        </w:rPr>
        <w:lastRenderedPageBreak/>
        <w:t>Para acreditar lo anterior</w:t>
      </w:r>
      <w:r w:rsidR="007F4919" w:rsidRPr="00A07D9A">
        <w:rPr>
          <w:color w:val="000000" w:themeColor="text1"/>
        </w:rPr>
        <w:t xml:space="preserve">, </w:t>
      </w:r>
      <w:r w:rsidR="00FB395C" w:rsidRPr="00A07D9A">
        <w:rPr>
          <w:color w:val="000000" w:themeColor="text1"/>
        </w:rPr>
        <w:t xml:space="preserve">por ejemplo, </w:t>
      </w:r>
      <w:r w:rsidR="007F4919" w:rsidRPr="00A07D9A">
        <w:rPr>
          <w:color w:val="000000" w:themeColor="text1"/>
        </w:rPr>
        <w:t>podrán presentar</w:t>
      </w:r>
      <w:r w:rsidR="00FB395C" w:rsidRPr="00A07D9A">
        <w:rPr>
          <w:color w:val="000000" w:themeColor="text1"/>
        </w:rPr>
        <w:t>: estimaciones numéricas basadas en estadísticas propias</w:t>
      </w:r>
      <w:r w:rsidR="0087408A" w:rsidRPr="00A07D9A">
        <w:rPr>
          <w:color w:val="000000" w:themeColor="text1"/>
        </w:rPr>
        <w:t xml:space="preserve"> o públicas</w:t>
      </w:r>
      <w:r w:rsidR="00FB395C" w:rsidRPr="00A07D9A">
        <w:rPr>
          <w:color w:val="000000" w:themeColor="text1"/>
        </w:rPr>
        <w:t>, dictámenes periciales, estudios científicos y/o técnicos propios y/o de terceros, así como insumos que presenten una metodología y conclusiones debidamente elaboradas para el caso concreto a efecto de poder ser valorados en la resolución correspondiente</w:t>
      </w:r>
      <w:r w:rsidR="00A11C90" w:rsidRPr="00A07D9A">
        <w:rPr>
          <w:color w:val="000000" w:themeColor="text1"/>
        </w:rPr>
        <w:t xml:space="preserve">. </w:t>
      </w:r>
    </w:p>
    <w:p w14:paraId="09B27274" w14:textId="77777777" w:rsidR="00A11C90" w:rsidRPr="00A07D9A" w:rsidRDefault="00A11C90" w:rsidP="009446C3">
      <w:pPr>
        <w:pStyle w:val="Prrafodelista"/>
        <w:numPr>
          <w:ilvl w:val="0"/>
          <w:numId w:val="0"/>
        </w:numPr>
        <w:spacing w:after="160" w:line="259" w:lineRule="auto"/>
        <w:ind w:left="720"/>
        <w:rPr>
          <w:color w:val="000000" w:themeColor="text1"/>
        </w:rPr>
      </w:pPr>
      <w:r w:rsidRPr="00A07D9A">
        <w:rPr>
          <w:color w:val="000000" w:themeColor="text1"/>
        </w:rPr>
        <w:t xml:space="preserve">Por ende, no serán tomadas en cuenta las manifestaciones discursivas y/o retóricas de los </w:t>
      </w:r>
      <w:r w:rsidR="008A07CB" w:rsidRPr="00A07D9A">
        <w:rPr>
          <w:color w:val="000000" w:themeColor="text1"/>
        </w:rPr>
        <w:t>agentes económicos</w:t>
      </w:r>
      <w:r w:rsidRPr="00A07D9A">
        <w:rPr>
          <w:color w:val="000000" w:themeColor="text1"/>
        </w:rPr>
        <w:t xml:space="preserve"> notificantes en este rubro</w:t>
      </w:r>
      <w:r w:rsidR="00D609E1" w:rsidRPr="00A07D9A">
        <w:rPr>
          <w:color w:val="000000" w:themeColor="text1"/>
        </w:rPr>
        <w:t xml:space="preserve"> que no tengan sustento objetivo, empírico y real </w:t>
      </w:r>
      <w:r w:rsidR="007F4919" w:rsidRPr="00A07D9A">
        <w:rPr>
          <w:color w:val="000000" w:themeColor="text1"/>
        </w:rPr>
        <w:t>o potencial para el caso en concreto,</w:t>
      </w:r>
      <w:r w:rsidR="00BC6019" w:rsidRPr="00A07D9A">
        <w:rPr>
          <w:color w:val="000000" w:themeColor="text1"/>
        </w:rPr>
        <w:t xml:space="preserve"> por lo que </w:t>
      </w:r>
      <w:r w:rsidR="004B54A6" w:rsidRPr="00A07D9A">
        <w:rPr>
          <w:color w:val="000000" w:themeColor="text1"/>
        </w:rPr>
        <w:t>deberán</w:t>
      </w:r>
      <w:r w:rsidR="00BC6019" w:rsidRPr="00A07D9A">
        <w:rPr>
          <w:color w:val="000000" w:themeColor="text1"/>
        </w:rPr>
        <w:t xml:space="preserve"> evitar</w:t>
      </w:r>
      <w:r w:rsidR="007F4919" w:rsidRPr="00A07D9A">
        <w:rPr>
          <w:color w:val="000000" w:themeColor="text1"/>
        </w:rPr>
        <w:t xml:space="preserve"> el uso de adjetivos, adverbios y frases literarias que no lleven a la actualización de los supuestos previstos en el artículo 14 de las Disposiciones Regulatorias</w:t>
      </w:r>
      <w:r w:rsidRPr="00A07D9A">
        <w:rPr>
          <w:color w:val="000000" w:themeColor="text1"/>
        </w:rPr>
        <w:t>.</w:t>
      </w:r>
    </w:p>
    <w:p w14:paraId="1DDD74D4" w14:textId="77777777" w:rsidR="00A11C90" w:rsidRPr="00A07D9A" w:rsidRDefault="00A11C90" w:rsidP="009446C3">
      <w:pPr>
        <w:pStyle w:val="Prrafodelista"/>
        <w:numPr>
          <w:ilvl w:val="0"/>
          <w:numId w:val="30"/>
        </w:numPr>
        <w:spacing w:after="160" w:line="259" w:lineRule="auto"/>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notificantes pueden presentar sus análisis de eficiencia desde el escrito de notificación de concentración y hasta dentro de los tres días siguientes contados a partir de la fecha en que se les comunique la existencia de posibles riesgos al proceso de competencia y libre concurrencia en términos de los artículos 90, fracción V, segundo párrafo, de la LFCE y 14, tercer párrafo, de las </w:t>
      </w:r>
      <w:r w:rsidR="00B94D75" w:rsidRPr="00A07D9A">
        <w:rPr>
          <w:color w:val="000000" w:themeColor="text1"/>
        </w:rPr>
        <w:t>Disposiciones Regulatorias</w:t>
      </w:r>
      <w:r w:rsidRPr="00A07D9A">
        <w:rPr>
          <w:color w:val="000000" w:themeColor="text1"/>
        </w:rPr>
        <w:t xml:space="preserve">. </w:t>
      </w:r>
    </w:p>
    <w:p w14:paraId="53D7B4B1" w14:textId="77777777" w:rsidR="00FF39CE" w:rsidRPr="00A07D9A" w:rsidRDefault="004F1312" w:rsidP="00A11C90">
      <w:pPr>
        <w:rPr>
          <w:color w:val="000000" w:themeColor="text1"/>
        </w:rPr>
      </w:pPr>
      <w:r w:rsidRPr="00A07D9A">
        <w:rPr>
          <w:color w:val="000000" w:themeColor="text1"/>
        </w:rPr>
        <w:t>El análisis de eficiencias forma parte del análisis de efectos de la concentración</w:t>
      </w:r>
      <w:r w:rsidR="00EA553E" w:rsidRPr="00A07D9A">
        <w:rPr>
          <w:color w:val="000000" w:themeColor="text1"/>
        </w:rPr>
        <w:t xml:space="preserve"> en </w:t>
      </w:r>
      <w:r w:rsidR="000A3EEF" w:rsidRPr="00A07D9A">
        <w:rPr>
          <w:color w:val="000000" w:themeColor="text1"/>
        </w:rPr>
        <w:t>los mercados relevantes y relacionados</w:t>
      </w:r>
      <w:r w:rsidR="00EA553E" w:rsidRPr="00A07D9A">
        <w:rPr>
          <w:color w:val="000000" w:themeColor="text1"/>
        </w:rPr>
        <w:t>. E</w:t>
      </w:r>
      <w:r w:rsidR="006474B4" w:rsidRPr="00A07D9A">
        <w:rPr>
          <w:color w:val="000000" w:themeColor="text1"/>
        </w:rPr>
        <w:t xml:space="preserve">n términos de lo dispuesto en los artículos 63, fracciones V y VI, de la LFCE y </w:t>
      </w:r>
      <w:r w:rsidR="00EA553E" w:rsidRPr="00A07D9A">
        <w:rPr>
          <w:color w:val="000000" w:themeColor="text1"/>
        </w:rPr>
        <w:t xml:space="preserve">14 de las Disposiciones Regulatorias </w:t>
      </w:r>
      <w:r w:rsidRPr="00A07D9A">
        <w:rPr>
          <w:color w:val="000000" w:themeColor="text1"/>
        </w:rPr>
        <w:t xml:space="preserve">se tomará en consideración </w:t>
      </w:r>
      <w:r w:rsidR="00EA553E" w:rsidRPr="00A07D9A">
        <w:rPr>
          <w:color w:val="000000" w:themeColor="text1"/>
        </w:rPr>
        <w:t>las siguientes:</w:t>
      </w:r>
      <w:r w:rsidR="00FF39CE" w:rsidRPr="00A07D9A">
        <w:rPr>
          <w:color w:val="000000" w:themeColor="text1"/>
        </w:rPr>
        <w:t xml:space="preserve"> </w:t>
      </w:r>
    </w:p>
    <w:p w14:paraId="153BD5AD" w14:textId="77777777" w:rsidR="00EA553E" w:rsidRPr="00A07D9A" w:rsidRDefault="00EA553E" w:rsidP="009446C3">
      <w:pPr>
        <w:numPr>
          <w:ilvl w:val="0"/>
          <w:numId w:val="71"/>
        </w:numPr>
        <w:rPr>
          <w:color w:val="000000" w:themeColor="text1"/>
        </w:rPr>
      </w:pPr>
      <w:r w:rsidRPr="00A07D9A">
        <w:rPr>
          <w:color w:val="000000" w:themeColor="text1"/>
        </w:rPr>
        <w:t>La obtención de ahorros en recursos que permitan producir o proveer la misma cantidad del bien o servicio a menor costo o una mayor cantidad del bien o servicio al mismo costo, sin disminuir la calidad del bien o servicio;</w:t>
      </w:r>
    </w:p>
    <w:p w14:paraId="33810C7D" w14:textId="77777777" w:rsidR="00EA553E" w:rsidRPr="00A07D9A" w:rsidRDefault="00EA553E" w:rsidP="009446C3">
      <w:pPr>
        <w:numPr>
          <w:ilvl w:val="0"/>
          <w:numId w:val="71"/>
        </w:numPr>
        <w:rPr>
          <w:color w:val="000000" w:themeColor="text1"/>
        </w:rPr>
      </w:pPr>
      <w:r w:rsidRPr="00A07D9A">
        <w:rPr>
          <w:color w:val="000000" w:themeColor="text1"/>
        </w:rPr>
        <w:t>La reducción de costos si se producen dos o más bienes o servicios de manera conjunta en lugar de separadamente;</w:t>
      </w:r>
    </w:p>
    <w:p w14:paraId="78C8EB8D" w14:textId="77777777" w:rsidR="00EA553E" w:rsidRPr="00A07D9A" w:rsidRDefault="00EA553E" w:rsidP="009446C3">
      <w:pPr>
        <w:numPr>
          <w:ilvl w:val="0"/>
          <w:numId w:val="71"/>
        </w:numPr>
        <w:rPr>
          <w:color w:val="000000" w:themeColor="text1"/>
        </w:rPr>
      </w:pPr>
      <w:r w:rsidRPr="00A07D9A">
        <w:rPr>
          <w:color w:val="000000" w:themeColor="text1"/>
        </w:rPr>
        <w:t>La transferencia o desarrollo de tecnología que genere una mejora en la producción o provisión de bienes o servicios;</w:t>
      </w:r>
    </w:p>
    <w:p w14:paraId="4F017FC0" w14:textId="77777777" w:rsidR="00EA553E" w:rsidRPr="00A07D9A" w:rsidRDefault="00EA553E" w:rsidP="009446C3">
      <w:pPr>
        <w:numPr>
          <w:ilvl w:val="0"/>
          <w:numId w:val="71"/>
        </w:numPr>
        <w:rPr>
          <w:color w:val="000000" w:themeColor="text1"/>
        </w:rPr>
      </w:pPr>
      <w:r w:rsidRPr="00A07D9A">
        <w:rPr>
          <w:color w:val="000000" w:themeColor="text1"/>
        </w:rPr>
        <w:t>La disminución del costo de producción o comercialización derivada de la expansión de una red de infraestructura o distribución, y</w:t>
      </w:r>
    </w:p>
    <w:p w14:paraId="078EC896" w14:textId="77777777" w:rsidR="00EA553E" w:rsidRPr="00A07D9A" w:rsidRDefault="00EA553E" w:rsidP="009446C3">
      <w:pPr>
        <w:numPr>
          <w:ilvl w:val="0"/>
          <w:numId w:val="71"/>
        </w:numPr>
        <w:rPr>
          <w:color w:val="000000" w:themeColor="text1"/>
        </w:rPr>
      </w:pPr>
      <w:r w:rsidRPr="00A07D9A">
        <w:rPr>
          <w:color w:val="000000" w:themeColor="text1"/>
        </w:rPr>
        <w:t>Las demás que demuestren que las aportaciones netas al bienestar del consumidor derivadas de la concentración superan sus efectos anticompetitivos.</w:t>
      </w:r>
    </w:p>
    <w:p w14:paraId="0BB1E22F" w14:textId="77777777" w:rsidR="00EA553E" w:rsidRPr="00A07D9A" w:rsidRDefault="00EA553E" w:rsidP="00EA553E">
      <w:pPr>
        <w:rPr>
          <w:color w:val="000000" w:themeColor="text1"/>
        </w:rPr>
      </w:pPr>
      <w:r w:rsidRPr="00A07D9A">
        <w:rPr>
          <w:color w:val="000000" w:themeColor="text1"/>
        </w:rPr>
        <w:t>Para que las ganancias en eficiencia sean tomadas en cuenta, los agentes económicos notificantes deben presentar el análisis, los estudios, los peritajes u otros documentos.</w:t>
      </w:r>
      <w:r w:rsidR="008930BA" w:rsidRPr="00A07D9A">
        <w:rPr>
          <w:color w:val="000000" w:themeColor="text1"/>
        </w:rPr>
        <w:t xml:space="preserve"> La sola presentación no implicará la acreditación de eficiencias, sino </w:t>
      </w:r>
      <w:r w:rsidR="008930BA" w:rsidRPr="00A07D9A">
        <w:rPr>
          <w:color w:val="000000" w:themeColor="text1"/>
        </w:rPr>
        <w:lastRenderedPageBreak/>
        <w:t>corresponde al IFT valorar su pertinencia y si son inherentes a la operación de q</w:t>
      </w:r>
      <w:r w:rsidR="00F674AD" w:rsidRPr="00A07D9A">
        <w:rPr>
          <w:color w:val="000000" w:themeColor="text1"/>
        </w:rPr>
        <w:t>u</w:t>
      </w:r>
      <w:r w:rsidR="008930BA" w:rsidRPr="00A07D9A">
        <w:rPr>
          <w:color w:val="000000" w:themeColor="text1"/>
        </w:rPr>
        <w:t xml:space="preserve">e se trate. </w:t>
      </w:r>
    </w:p>
    <w:p w14:paraId="423EE7B0" w14:textId="77777777" w:rsidR="005055B7" w:rsidRPr="00A07D9A" w:rsidRDefault="005055B7" w:rsidP="00EA553E">
      <w:pPr>
        <w:rPr>
          <w:color w:val="000000" w:themeColor="text1"/>
        </w:rPr>
      </w:pPr>
      <w:r w:rsidRPr="00A07D9A">
        <w:rPr>
          <w:color w:val="000000" w:themeColor="text1"/>
        </w:rPr>
        <w:t>Si los agentes económicos presentan proyecciones de inversión que se materializarían en eficiencias, deberán demostrar que son inherentes a la operación, explicar cómo se traducirán en eficiencias en términos de la LFCE y Disposiciones Regulatorias y desglosar las estrategias necesarias para su materialización.</w:t>
      </w:r>
    </w:p>
    <w:p w14:paraId="024B10C6" w14:textId="77777777" w:rsidR="00A11C90" w:rsidRPr="00A07D9A" w:rsidRDefault="00A11C90" w:rsidP="00A11C90">
      <w:pPr>
        <w:rPr>
          <w:color w:val="000000" w:themeColor="text1"/>
        </w:rPr>
      </w:pPr>
      <w:r w:rsidRPr="00A07D9A">
        <w:rPr>
          <w:color w:val="000000" w:themeColor="text1"/>
        </w:rPr>
        <w:t xml:space="preserve">Con </w:t>
      </w:r>
      <w:r w:rsidR="00FF39CE" w:rsidRPr="00A07D9A">
        <w:rPr>
          <w:color w:val="000000" w:themeColor="text1"/>
        </w:rPr>
        <w:t>tod</w:t>
      </w:r>
      <w:r w:rsidRPr="00A07D9A">
        <w:rPr>
          <w:color w:val="000000" w:themeColor="text1"/>
        </w:rPr>
        <w:t xml:space="preserve">a </w:t>
      </w:r>
      <w:r w:rsidR="00FF39CE" w:rsidRPr="00A07D9A">
        <w:rPr>
          <w:color w:val="000000" w:themeColor="text1"/>
        </w:rPr>
        <w:t xml:space="preserve">la </w:t>
      </w:r>
      <w:r w:rsidRPr="00A07D9A">
        <w:rPr>
          <w:color w:val="000000" w:themeColor="text1"/>
        </w:rPr>
        <w:t>evidencia</w:t>
      </w:r>
      <w:r w:rsidR="00FF39CE" w:rsidRPr="00A07D9A">
        <w:rPr>
          <w:color w:val="000000" w:themeColor="text1"/>
        </w:rPr>
        <w:t xml:space="preserve"> anterior</w:t>
      </w:r>
      <w:r w:rsidRPr="00A07D9A">
        <w:rPr>
          <w:color w:val="000000" w:themeColor="text1"/>
        </w:rPr>
        <w:t xml:space="preserve">, el IFT buscará determinar si la concentración tiene como objeto o efecto obstaculizar, disminuir, dañar o impedir la libre concurrencia y competencia económica. </w:t>
      </w:r>
    </w:p>
    <w:p w14:paraId="14CF3A7F" w14:textId="77777777" w:rsidR="008930BA" w:rsidRPr="00A07D9A" w:rsidRDefault="008930BA" w:rsidP="00A11C90">
      <w:pPr>
        <w:rPr>
          <w:color w:val="000000" w:themeColor="text1"/>
        </w:rPr>
      </w:pPr>
      <w:bookmarkStart w:id="35" w:name="_Toc462053140"/>
      <w:r w:rsidRPr="00A07D9A">
        <w:rPr>
          <w:color w:val="000000" w:themeColor="text1"/>
        </w:rPr>
        <w:t>En resumen, corresponde a los interesados proporcionar y acreditar a la autoridad los elementos de convicción, mientras que a la segunda su valoración.</w:t>
      </w:r>
    </w:p>
    <w:p w14:paraId="6D03E750" w14:textId="77777777" w:rsidR="00A11C90" w:rsidRPr="00A07D9A" w:rsidRDefault="00867F46" w:rsidP="00A936C9">
      <w:pPr>
        <w:pStyle w:val="Ttulo3"/>
        <w:rPr>
          <w:color w:val="000000" w:themeColor="text1"/>
        </w:rPr>
      </w:pPr>
      <w:bookmarkStart w:id="36" w:name="_Toc486519813"/>
      <w:r w:rsidRPr="00A07D9A">
        <w:rPr>
          <w:color w:val="000000" w:themeColor="text1"/>
        </w:rPr>
        <w:t xml:space="preserve">4.3.2. </w:t>
      </w:r>
      <w:proofErr w:type="spellStart"/>
      <w:r w:rsidR="00A11C90" w:rsidRPr="00A07D9A">
        <w:rPr>
          <w:color w:val="000000" w:themeColor="text1"/>
        </w:rPr>
        <w:t>Coadyuvancia</w:t>
      </w:r>
      <w:proofErr w:type="spellEnd"/>
      <w:r w:rsidR="00A11C90" w:rsidRPr="00A07D9A">
        <w:rPr>
          <w:color w:val="000000" w:themeColor="text1"/>
        </w:rPr>
        <w:t xml:space="preserve"> de terceros</w:t>
      </w:r>
      <w:bookmarkEnd w:id="35"/>
      <w:bookmarkEnd w:id="36"/>
    </w:p>
    <w:p w14:paraId="49CDDC5A" w14:textId="77777777" w:rsidR="00F674AD" w:rsidRPr="00A07D9A" w:rsidRDefault="00034E0E" w:rsidP="00A11C90">
      <w:pPr>
        <w:pStyle w:val="Default"/>
        <w:spacing w:after="160" w:line="259" w:lineRule="auto"/>
        <w:jc w:val="both"/>
        <w:rPr>
          <w:rFonts w:ascii="ITC Avant Garde" w:hAnsi="ITC Avant Garde"/>
          <w:color w:val="000000" w:themeColor="text1"/>
          <w:sz w:val="22"/>
          <w:szCs w:val="22"/>
        </w:rPr>
      </w:pPr>
      <w:r w:rsidRPr="00A07D9A">
        <w:rPr>
          <w:rFonts w:ascii="ITC Avant Garde" w:hAnsi="ITC Avant Garde"/>
          <w:color w:val="000000" w:themeColor="text1"/>
          <w:sz w:val="22"/>
          <w:szCs w:val="22"/>
        </w:rPr>
        <w:t>En los procedimientos de notificación de concentraciones, los terceros ajenos únicamente pueden aportar información, documentación y/o manifestaciones sobre una concentración a través de dos vías: i) que les haya sido desechada una denuncia por parte de la AI en términos del artículo 70, fracción V, de la LFCE y ii) a través de la emisión de un Requerimiento de Información directamente emitido por la UCE. Lo anterior, debido a que la LFCE no autoriza otra vía para que información de terceros sea recibida con motivo de una concentración tramitada.</w:t>
      </w:r>
    </w:p>
    <w:p w14:paraId="798B3EEF" w14:textId="77777777" w:rsidR="00034E0E" w:rsidRPr="00A07D9A" w:rsidRDefault="00F674AD" w:rsidP="00A11C90">
      <w:pPr>
        <w:pStyle w:val="Default"/>
        <w:spacing w:after="160" w:line="259" w:lineRule="auto"/>
        <w:jc w:val="both"/>
        <w:rPr>
          <w:rFonts w:ascii="ITC Avant Garde" w:hAnsi="ITC Avant Garde"/>
          <w:color w:val="000000" w:themeColor="text1"/>
          <w:sz w:val="22"/>
          <w:szCs w:val="22"/>
        </w:rPr>
      </w:pPr>
      <w:r w:rsidRPr="00A07D9A">
        <w:rPr>
          <w:rFonts w:ascii="ITC Avant Garde" w:hAnsi="ITC Avant Garde"/>
          <w:color w:val="000000" w:themeColor="text1"/>
          <w:sz w:val="22"/>
          <w:szCs w:val="22"/>
        </w:rPr>
        <w:t>Cabe señalar que los terceros no podrán tener acceso a la información y/o documentación del expediente relativa a la concentración de que se trate.</w:t>
      </w:r>
    </w:p>
    <w:p w14:paraId="6DFA59A6" w14:textId="77777777" w:rsidR="00A11C90" w:rsidRPr="00A07D9A" w:rsidRDefault="00867F46" w:rsidP="00A936C9">
      <w:pPr>
        <w:pStyle w:val="Ttulo3"/>
        <w:rPr>
          <w:color w:val="000000" w:themeColor="text1"/>
        </w:rPr>
      </w:pPr>
      <w:bookmarkStart w:id="37" w:name="_Toc462053141"/>
      <w:bookmarkStart w:id="38" w:name="_Toc486519814"/>
      <w:r w:rsidRPr="00A07D9A">
        <w:rPr>
          <w:color w:val="000000" w:themeColor="text1"/>
        </w:rPr>
        <w:t xml:space="preserve">4.3.3. </w:t>
      </w:r>
      <w:r w:rsidR="00A11C90" w:rsidRPr="00A07D9A">
        <w:rPr>
          <w:color w:val="000000" w:themeColor="text1"/>
        </w:rPr>
        <w:t>Cooperación con otras autoridades de competencia</w:t>
      </w:r>
      <w:bookmarkEnd w:id="37"/>
      <w:bookmarkEnd w:id="38"/>
    </w:p>
    <w:p w14:paraId="384E14D7" w14:textId="77777777" w:rsidR="00A11C90" w:rsidRPr="00A07D9A" w:rsidRDefault="00A11C90" w:rsidP="00A11C90">
      <w:pPr>
        <w:autoSpaceDE w:val="0"/>
        <w:autoSpaceDN w:val="0"/>
        <w:adjustRightInd w:val="0"/>
        <w:rPr>
          <w:rFonts w:cs="Times New Roman"/>
          <w:color w:val="000000" w:themeColor="text1"/>
        </w:rPr>
      </w:pPr>
      <w:r w:rsidRPr="00A07D9A">
        <w:rPr>
          <w:rFonts w:cs="Times New Roman"/>
          <w:color w:val="000000" w:themeColor="text1"/>
        </w:rPr>
        <w:t xml:space="preserve">Para el caso de operaciones que se notifican en diversos países, tanto en </w:t>
      </w:r>
      <w:r w:rsidR="006969DB" w:rsidRPr="00A07D9A">
        <w:rPr>
          <w:rFonts w:cs="Times New Roman"/>
          <w:color w:val="000000" w:themeColor="text1"/>
        </w:rPr>
        <w:t>c</w:t>
      </w:r>
      <w:r w:rsidRPr="00A07D9A">
        <w:rPr>
          <w:rFonts w:cs="Times New Roman"/>
          <w:color w:val="000000" w:themeColor="text1"/>
        </w:rPr>
        <w:t xml:space="preserve">asos sencillos como en </w:t>
      </w:r>
      <w:r w:rsidR="00256698" w:rsidRPr="00A07D9A">
        <w:rPr>
          <w:rFonts w:cs="Times New Roman"/>
          <w:color w:val="000000" w:themeColor="text1"/>
        </w:rPr>
        <w:t xml:space="preserve">casos </w:t>
      </w:r>
      <w:r w:rsidRPr="00A07D9A">
        <w:rPr>
          <w:rFonts w:cs="Times New Roman"/>
          <w:color w:val="000000" w:themeColor="text1"/>
        </w:rPr>
        <w:t xml:space="preserve">exhaustivos, el IFT requiere </w:t>
      </w:r>
      <w:r w:rsidR="00490C1D" w:rsidRPr="00A07D9A">
        <w:rPr>
          <w:rFonts w:cs="Times New Roman"/>
          <w:color w:val="000000" w:themeColor="text1"/>
        </w:rPr>
        <w:t xml:space="preserve">de forma orientadora </w:t>
      </w:r>
      <w:r w:rsidRPr="00A07D9A">
        <w:rPr>
          <w:rFonts w:cs="Times New Roman"/>
          <w:color w:val="000000" w:themeColor="text1"/>
        </w:rPr>
        <w:t xml:space="preserve">que los </w:t>
      </w:r>
      <w:r w:rsidR="008A07CB" w:rsidRPr="00A07D9A">
        <w:rPr>
          <w:rFonts w:cs="Times New Roman"/>
          <w:color w:val="000000" w:themeColor="text1"/>
        </w:rPr>
        <w:t>agentes económicos</w:t>
      </w:r>
      <w:r w:rsidRPr="00A07D9A">
        <w:rPr>
          <w:rFonts w:cs="Times New Roman"/>
          <w:color w:val="000000" w:themeColor="text1"/>
        </w:rPr>
        <w:t xml:space="preserve"> notificantes informen sobre el estado que guarda el proceso de revisión de la concentración en esos países; principalmente de aquellos donde la obtención de la autorización en materia de competencia económica se incorporó como una de las condiciones suspensivas a que se sujetó la realización de la transacción. </w:t>
      </w:r>
    </w:p>
    <w:p w14:paraId="2682465C" w14:textId="77777777" w:rsidR="00911E20" w:rsidRPr="00A07D9A" w:rsidRDefault="00A11C90" w:rsidP="00A11C90">
      <w:pPr>
        <w:autoSpaceDE w:val="0"/>
        <w:autoSpaceDN w:val="0"/>
        <w:adjustRightInd w:val="0"/>
        <w:rPr>
          <w:rFonts w:cs="Times New Roman"/>
          <w:color w:val="000000" w:themeColor="text1"/>
        </w:rPr>
      </w:pPr>
      <w:r w:rsidRPr="00A07D9A">
        <w:rPr>
          <w:rFonts w:cs="Times New Roman"/>
          <w:color w:val="000000" w:themeColor="text1"/>
        </w:rPr>
        <w:t>En ese tipo de concentraciones, servidores públicos del IFT podrán establecer contacto con personal de las demás autoridades de competencia donde la operación fue notificada; esto, con el objeto de identificar aspectos del análisis de la concentración identificados por esas autoridades. Sólo en los casos en los que se requiere intercambio de información confidencial, el IFT solicita</w:t>
      </w:r>
      <w:r w:rsidR="006969DB" w:rsidRPr="00A07D9A">
        <w:rPr>
          <w:rFonts w:cs="Times New Roman"/>
          <w:color w:val="000000" w:themeColor="text1"/>
        </w:rPr>
        <w:t>rá</w:t>
      </w:r>
      <w:r w:rsidRPr="00A07D9A">
        <w:rPr>
          <w:rFonts w:cs="Times New Roman"/>
          <w:color w:val="000000" w:themeColor="text1"/>
        </w:rPr>
        <w:t xml:space="preserve"> la aprobación de los </w:t>
      </w:r>
      <w:r w:rsidR="008A07CB" w:rsidRPr="00A07D9A">
        <w:rPr>
          <w:rFonts w:cs="Times New Roman"/>
          <w:color w:val="000000" w:themeColor="text1"/>
        </w:rPr>
        <w:t>agentes económicos</w:t>
      </w:r>
      <w:r w:rsidRPr="00A07D9A">
        <w:rPr>
          <w:rFonts w:cs="Times New Roman"/>
          <w:color w:val="000000" w:themeColor="text1"/>
        </w:rPr>
        <w:t xml:space="preserve"> notificantes.</w:t>
      </w:r>
    </w:p>
    <w:p w14:paraId="6ED2117C" w14:textId="77777777" w:rsidR="007F5661" w:rsidRPr="00A07D9A" w:rsidRDefault="007F5661" w:rsidP="007F5661">
      <w:pPr>
        <w:pStyle w:val="Ttulo3"/>
        <w:rPr>
          <w:color w:val="000000" w:themeColor="text1"/>
        </w:rPr>
      </w:pPr>
      <w:bookmarkStart w:id="39" w:name="_Toc486519815"/>
      <w:r w:rsidRPr="00A07D9A">
        <w:rPr>
          <w:color w:val="000000" w:themeColor="text1"/>
        </w:rPr>
        <w:lastRenderedPageBreak/>
        <w:t>4.3.4. Clasificación de la información</w:t>
      </w:r>
      <w:bookmarkEnd w:id="39"/>
      <w:r w:rsidRPr="00A07D9A">
        <w:rPr>
          <w:color w:val="000000" w:themeColor="text1"/>
        </w:rPr>
        <w:t xml:space="preserve"> </w:t>
      </w:r>
    </w:p>
    <w:p w14:paraId="0BF5A8A1" w14:textId="77777777" w:rsidR="007F5661" w:rsidRPr="00A07D9A" w:rsidRDefault="007F5661" w:rsidP="007F5661">
      <w:pPr>
        <w:spacing w:line="300" w:lineRule="auto"/>
        <w:rPr>
          <w:bCs/>
          <w:color w:val="000000" w:themeColor="text1"/>
          <w:lang w:eastAsia="es-MX"/>
        </w:rPr>
      </w:pPr>
      <w:r w:rsidRPr="00A07D9A">
        <w:rPr>
          <w:rFonts w:cs="Times New Roman"/>
          <w:color w:val="000000" w:themeColor="text1"/>
        </w:rPr>
        <w:t>E</w:t>
      </w:r>
      <w:r w:rsidRPr="00A07D9A">
        <w:rPr>
          <w:bCs/>
          <w:color w:val="000000" w:themeColor="text1"/>
          <w:lang w:eastAsia="es-MX"/>
        </w:rPr>
        <w:t xml:space="preserve">n términos de los artículos 124 y 125 de </w:t>
      </w:r>
      <w:r w:rsidR="00151808" w:rsidRPr="00A07D9A">
        <w:rPr>
          <w:bCs/>
          <w:color w:val="000000" w:themeColor="text1"/>
          <w:lang w:eastAsia="es-MX"/>
        </w:rPr>
        <w:t>la LFCE, la información que el Instituto obtiene</w:t>
      </w:r>
      <w:r w:rsidRPr="00A07D9A">
        <w:rPr>
          <w:bCs/>
          <w:color w:val="000000" w:themeColor="text1"/>
          <w:lang w:eastAsia="es-MX"/>
        </w:rPr>
        <w:t xml:space="preserve"> durante el trámite de notificaci</w:t>
      </w:r>
      <w:r w:rsidR="00151808" w:rsidRPr="00A07D9A">
        <w:rPr>
          <w:bCs/>
          <w:color w:val="000000" w:themeColor="text1"/>
          <w:lang w:eastAsia="es-MX"/>
        </w:rPr>
        <w:t>ón de concentraciones debe ser</w:t>
      </w:r>
      <w:r w:rsidRPr="00A07D9A">
        <w:rPr>
          <w:bCs/>
          <w:color w:val="000000" w:themeColor="text1"/>
          <w:lang w:eastAsia="es-MX"/>
        </w:rPr>
        <w:t xml:space="preserve"> clasificada como pública, reservada o confidencial, según corresponda.</w:t>
      </w:r>
    </w:p>
    <w:p w14:paraId="6A52CF39" w14:textId="77777777" w:rsidR="007F5661" w:rsidRPr="00A07D9A" w:rsidRDefault="007F5661" w:rsidP="007F5661">
      <w:pPr>
        <w:spacing w:line="300" w:lineRule="auto"/>
        <w:rPr>
          <w:bCs/>
          <w:color w:val="000000" w:themeColor="text1"/>
          <w:lang w:eastAsia="es-MX"/>
        </w:rPr>
      </w:pPr>
      <w:r w:rsidRPr="00A07D9A">
        <w:rPr>
          <w:bCs/>
          <w:color w:val="000000" w:themeColor="text1"/>
          <w:lang w:eastAsia="es-MX"/>
        </w:rPr>
        <w:t>En términos del artículo 3, fracción XI, de la LFCE se entiende por información reservada:</w:t>
      </w:r>
    </w:p>
    <w:p w14:paraId="05E4BA64" w14:textId="77777777" w:rsidR="007F5661" w:rsidRPr="00A07D9A" w:rsidRDefault="007F5661" w:rsidP="007D794D">
      <w:pPr>
        <w:spacing w:line="300" w:lineRule="auto"/>
        <w:ind w:left="720"/>
        <w:rPr>
          <w:bCs/>
          <w:color w:val="000000" w:themeColor="text1"/>
          <w:lang w:eastAsia="es-MX"/>
        </w:rPr>
      </w:pPr>
      <w:r w:rsidRPr="00A07D9A">
        <w:rPr>
          <w:bCs/>
          <w:color w:val="000000" w:themeColor="text1"/>
          <w:lang w:eastAsia="es-MX"/>
        </w:rPr>
        <w:t>“XI. Información Reservada: Aquélla a la que sólo los Agentes Económicos con interés jurídico en el procedimiento pueden tener acceso.”</w:t>
      </w:r>
    </w:p>
    <w:p w14:paraId="32CF4B65" w14:textId="77777777" w:rsidR="007F5661" w:rsidRPr="00A07D9A" w:rsidRDefault="007F5661" w:rsidP="007F5661">
      <w:pPr>
        <w:spacing w:line="300" w:lineRule="auto"/>
        <w:rPr>
          <w:bCs/>
          <w:color w:val="000000" w:themeColor="text1"/>
          <w:lang w:eastAsia="es-MX"/>
        </w:rPr>
      </w:pPr>
      <w:r w:rsidRPr="00A07D9A">
        <w:rPr>
          <w:bCs/>
          <w:color w:val="000000" w:themeColor="text1"/>
          <w:lang w:eastAsia="es-MX"/>
        </w:rPr>
        <w:t>En términos del artículo 3, fracción IX, de la LFCE se entiende por información confidencial:</w:t>
      </w:r>
    </w:p>
    <w:p w14:paraId="558C3CF4" w14:textId="77777777" w:rsidR="007F5661" w:rsidRPr="00A07D9A" w:rsidRDefault="007F5661" w:rsidP="007D794D">
      <w:pPr>
        <w:spacing w:line="300" w:lineRule="auto"/>
        <w:ind w:left="720"/>
        <w:rPr>
          <w:bCs/>
          <w:color w:val="000000" w:themeColor="text1"/>
          <w:lang w:eastAsia="es-MX"/>
        </w:rPr>
      </w:pPr>
      <w:r w:rsidRPr="00A07D9A">
        <w:rPr>
          <w:bCs/>
          <w:color w:val="000000" w:themeColor="text1"/>
          <w:lang w:eastAsia="es-MX"/>
        </w:rPr>
        <w:t>“IX. Información Confidencial: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p>
    <w:p w14:paraId="000B3FA0" w14:textId="77777777" w:rsidR="007F5661" w:rsidRPr="00A07D9A" w:rsidRDefault="007F5661" w:rsidP="007F5661">
      <w:pPr>
        <w:spacing w:line="300" w:lineRule="auto"/>
        <w:rPr>
          <w:bCs/>
          <w:color w:val="000000" w:themeColor="text1"/>
          <w:lang w:eastAsia="es-MX"/>
        </w:rPr>
      </w:pPr>
      <w:r w:rsidRPr="00A07D9A">
        <w:rPr>
          <w:bCs/>
          <w:color w:val="000000" w:themeColor="text1"/>
          <w:lang w:eastAsia="es-MX"/>
        </w:rPr>
        <w:t>En lo que se refiere a la información pública, el artículo 3, fracción X, de la LFCE, dispone:</w:t>
      </w:r>
    </w:p>
    <w:p w14:paraId="4A948E94" w14:textId="77777777" w:rsidR="007F5661" w:rsidRPr="00A07D9A" w:rsidRDefault="007F5661" w:rsidP="007D794D">
      <w:pPr>
        <w:spacing w:line="300" w:lineRule="auto"/>
        <w:ind w:left="720"/>
        <w:rPr>
          <w:bCs/>
          <w:color w:val="000000" w:themeColor="text1"/>
          <w:lang w:eastAsia="es-MX"/>
        </w:rPr>
      </w:pPr>
      <w:r w:rsidRPr="00A07D9A">
        <w:rPr>
          <w:bCs/>
          <w:color w:val="000000" w:themeColor="text1"/>
          <w:lang w:eastAsia="es-MX"/>
        </w:rPr>
        <w:t>“X. Información Pública: Aquélla que se haya dado a conocer por cualquier medio de difusión público, se halle en registros o en fuentes de acceso públicos;”</w:t>
      </w:r>
    </w:p>
    <w:p w14:paraId="402E991C" w14:textId="77777777" w:rsidR="007F5661" w:rsidRPr="00A07D9A" w:rsidRDefault="007F5661">
      <w:pPr>
        <w:spacing w:line="300" w:lineRule="auto"/>
        <w:rPr>
          <w:bCs/>
          <w:color w:val="000000" w:themeColor="text1"/>
          <w:lang w:eastAsia="es-MX"/>
        </w:rPr>
      </w:pPr>
      <w:r w:rsidRPr="00A07D9A">
        <w:rPr>
          <w:bCs/>
          <w:color w:val="000000" w:themeColor="text1"/>
          <w:lang w:eastAsia="es-MX"/>
        </w:rPr>
        <w:t>Tales disposiciones</w:t>
      </w:r>
      <w:r w:rsidR="004A63F3" w:rsidRPr="00A07D9A">
        <w:rPr>
          <w:bCs/>
          <w:color w:val="000000" w:themeColor="text1"/>
          <w:lang w:eastAsia="es-MX"/>
        </w:rPr>
        <w:t xml:space="preserve"> </w:t>
      </w:r>
      <w:r w:rsidRPr="00A07D9A">
        <w:rPr>
          <w:bCs/>
          <w:color w:val="000000" w:themeColor="text1"/>
          <w:lang w:eastAsia="es-MX"/>
        </w:rPr>
        <w:t>tendrán en consideración los mandatos y disposiciones establecidas en la</w:t>
      </w:r>
      <w:r w:rsidR="00766502" w:rsidRPr="00A07D9A">
        <w:rPr>
          <w:bCs/>
          <w:color w:val="000000" w:themeColor="text1"/>
          <w:lang w:eastAsia="es-MX"/>
        </w:rPr>
        <w:t xml:space="preserve"> LGTAIP</w:t>
      </w:r>
      <w:r w:rsidRPr="00A07D9A">
        <w:rPr>
          <w:bCs/>
          <w:color w:val="000000" w:themeColor="text1"/>
          <w:lang w:eastAsia="es-MX"/>
        </w:rPr>
        <w:t xml:space="preserve">, </w:t>
      </w:r>
      <w:r w:rsidR="00151808" w:rsidRPr="00A07D9A">
        <w:rPr>
          <w:bCs/>
          <w:color w:val="000000" w:themeColor="text1"/>
          <w:lang w:eastAsia="es-MX"/>
        </w:rPr>
        <w:t xml:space="preserve">normatividad </w:t>
      </w:r>
      <w:r w:rsidRPr="00A07D9A">
        <w:rPr>
          <w:bCs/>
          <w:color w:val="000000" w:themeColor="text1"/>
          <w:lang w:eastAsia="es-MX"/>
        </w:rPr>
        <w:t xml:space="preserve">que tiene un ámbito de aplicación general y nacional, </w:t>
      </w:r>
      <w:r w:rsidR="00151808" w:rsidRPr="00A07D9A">
        <w:rPr>
          <w:bCs/>
          <w:color w:val="000000" w:themeColor="text1"/>
          <w:lang w:eastAsia="es-MX"/>
        </w:rPr>
        <w:t xml:space="preserve">la cual </w:t>
      </w:r>
      <w:r w:rsidRPr="00A07D9A">
        <w:rPr>
          <w:bCs/>
          <w:color w:val="000000" w:themeColor="text1"/>
          <w:lang w:eastAsia="es-MX"/>
        </w:rPr>
        <w:t>prev</w:t>
      </w:r>
      <w:r w:rsidR="00766502" w:rsidRPr="00A07D9A">
        <w:rPr>
          <w:bCs/>
          <w:color w:val="000000" w:themeColor="text1"/>
          <w:lang w:eastAsia="es-MX"/>
        </w:rPr>
        <w:t>é</w:t>
      </w:r>
      <w:r w:rsidR="00151808" w:rsidRPr="00A07D9A">
        <w:rPr>
          <w:bCs/>
          <w:color w:val="000000" w:themeColor="text1"/>
          <w:lang w:eastAsia="es-MX"/>
        </w:rPr>
        <w:t xml:space="preserve"> los supuestos</w:t>
      </w:r>
      <w:r w:rsidR="00766502" w:rsidRPr="00A07D9A">
        <w:rPr>
          <w:bCs/>
          <w:color w:val="000000" w:themeColor="text1"/>
          <w:lang w:eastAsia="es-MX"/>
        </w:rPr>
        <w:t xml:space="preserve"> </w:t>
      </w:r>
      <w:r w:rsidRPr="00A07D9A">
        <w:rPr>
          <w:bCs/>
          <w:color w:val="000000" w:themeColor="text1"/>
          <w:lang w:eastAsia="es-MX"/>
        </w:rPr>
        <w:t>bajo</w:t>
      </w:r>
      <w:r w:rsidR="00151808" w:rsidRPr="00A07D9A">
        <w:rPr>
          <w:bCs/>
          <w:color w:val="000000" w:themeColor="text1"/>
          <w:lang w:eastAsia="es-MX"/>
        </w:rPr>
        <w:t xml:space="preserve"> los cuales, en principio, es posible</w:t>
      </w:r>
      <w:r w:rsidR="00766502" w:rsidRPr="00A07D9A">
        <w:rPr>
          <w:bCs/>
          <w:color w:val="000000" w:themeColor="text1"/>
          <w:lang w:eastAsia="es-MX"/>
        </w:rPr>
        <w:t xml:space="preserve"> considerar que</w:t>
      </w:r>
      <w:r w:rsidR="00151808" w:rsidRPr="00A07D9A">
        <w:rPr>
          <w:bCs/>
          <w:color w:val="000000" w:themeColor="text1"/>
          <w:lang w:eastAsia="es-MX"/>
        </w:rPr>
        <w:t xml:space="preserve"> cierta</w:t>
      </w:r>
      <w:r w:rsidRPr="00A07D9A">
        <w:rPr>
          <w:bCs/>
          <w:color w:val="000000" w:themeColor="text1"/>
          <w:lang w:eastAsia="es-MX"/>
        </w:rPr>
        <w:t xml:space="preserve"> información </w:t>
      </w:r>
      <w:r w:rsidR="00766502" w:rsidRPr="00A07D9A">
        <w:rPr>
          <w:bCs/>
          <w:color w:val="000000" w:themeColor="text1"/>
          <w:lang w:eastAsia="es-MX"/>
        </w:rPr>
        <w:t>se trata de</w:t>
      </w:r>
      <w:r w:rsidRPr="00A07D9A">
        <w:rPr>
          <w:bCs/>
          <w:color w:val="000000" w:themeColor="text1"/>
          <w:lang w:eastAsia="es-MX"/>
        </w:rPr>
        <w:t xml:space="preserve"> públi</w:t>
      </w:r>
      <w:r w:rsidR="00151808" w:rsidRPr="00A07D9A">
        <w:rPr>
          <w:bCs/>
          <w:color w:val="000000" w:themeColor="text1"/>
          <w:lang w:eastAsia="es-MX"/>
        </w:rPr>
        <w:t>ca, reservada o confidencial,</w:t>
      </w:r>
      <w:r w:rsidRPr="00A07D9A">
        <w:rPr>
          <w:bCs/>
          <w:color w:val="000000" w:themeColor="text1"/>
          <w:lang w:eastAsia="es-MX"/>
        </w:rPr>
        <w:t xml:space="preserve"> sin que ello impida que pueda recurri</w:t>
      </w:r>
      <w:r w:rsidR="00766502" w:rsidRPr="00A07D9A">
        <w:rPr>
          <w:bCs/>
          <w:color w:val="000000" w:themeColor="text1"/>
          <w:lang w:eastAsia="es-MX"/>
        </w:rPr>
        <w:t>r</w:t>
      </w:r>
      <w:r w:rsidRPr="00A07D9A">
        <w:rPr>
          <w:bCs/>
          <w:color w:val="000000" w:themeColor="text1"/>
          <w:lang w:eastAsia="es-MX"/>
        </w:rPr>
        <w:t xml:space="preserve">se </w:t>
      </w:r>
      <w:r w:rsidR="00766502" w:rsidRPr="00A07D9A">
        <w:rPr>
          <w:bCs/>
          <w:color w:val="000000" w:themeColor="text1"/>
          <w:lang w:eastAsia="es-MX"/>
        </w:rPr>
        <w:t xml:space="preserve">también </w:t>
      </w:r>
      <w:r w:rsidRPr="00A07D9A">
        <w:rPr>
          <w:bCs/>
          <w:color w:val="000000" w:themeColor="text1"/>
          <w:lang w:eastAsia="es-MX"/>
        </w:rPr>
        <w:t xml:space="preserve">a otros ordenamientos </w:t>
      </w:r>
      <w:r w:rsidR="00766502" w:rsidRPr="00A07D9A">
        <w:rPr>
          <w:bCs/>
          <w:color w:val="000000" w:themeColor="text1"/>
          <w:lang w:eastAsia="es-MX"/>
        </w:rPr>
        <w:t xml:space="preserve">especializados </w:t>
      </w:r>
      <w:r w:rsidRPr="00A07D9A">
        <w:rPr>
          <w:bCs/>
          <w:color w:val="000000" w:themeColor="text1"/>
          <w:lang w:eastAsia="es-MX"/>
        </w:rPr>
        <w:t>para determinar la calidad de cierta información (i.e. Ley de la</w:t>
      </w:r>
      <w:r w:rsidR="00766502" w:rsidRPr="00A07D9A">
        <w:rPr>
          <w:bCs/>
          <w:color w:val="000000" w:themeColor="text1"/>
          <w:lang w:eastAsia="es-MX"/>
        </w:rPr>
        <w:t xml:space="preserve"> Propiedad Industrial, normatividad emitida por órganos constitucionales autónomos, entre otras</w:t>
      </w:r>
      <w:r w:rsidRPr="00A07D9A">
        <w:rPr>
          <w:bCs/>
          <w:color w:val="000000" w:themeColor="text1"/>
          <w:lang w:eastAsia="es-MX"/>
        </w:rPr>
        <w:t>)</w:t>
      </w:r>
      <w:r w:rsidR="00766502" w:rsidRPr="00A07D9A">
        <w:rPr>
          <w:bCs/>
          <w:color w:val="000000" w:themeColor="text1"/>
          <w:lang w:eastAsia="es-MX"/>
        </w:rPr>
        <w:t>.</w:t>
      </w:r>
    </w:p>
    <w:p w14:paraId="56B4AA60" w14:textId="77777777" w:rsidR="007F5661" w:rsidRPr="00A07D9A" w:rsidRDefault="00766502" w:rsidP="007F5661">
      <w:pPr>
        <w:spacing w:line="300" w:lineRule="auto"/>
        <w:rPr>
          <w:rFonts w:cs="Arial"/>
          <w:color w:val="000000" w:themeColor="text1"/>
        </w:rPr>
      </w:pPr>
      <w:r w:rsidRPr="00A07D9A">
        <w:rPr>
          <w:rFonts w:cs="Arial"/>
          <w:color w:val="000000" w:themeColor="text1"/>
        </w:rPr>
        <w:t xml:space="preserve">En efecto, la información confidencial así clasificada </w:t>
      </w:r>
      <w:r w:rsidR="00C751D7" w:rsidRPr="00A07D9A">
        <w:rPr>
          <w:rFonts w:cs="Arial"/>
          <w:color w:val="000000" w:themeColor="text1"/>
        </w:rPr>
        <w:t>en los</w:t>
      </w:r>
      <w:r w:rsidRPr="00A07D9A">
        <w:rPr>
          <w:rFonts w:cs="Arial"/>
          <w:color w:val="000000" w:themeColor="text1"/>
        </w:rPr>
        <w:t xml:space="preserve"> procedimiento</w:t>
      </w:r>
      <w:r w:rsidR="00C751D7" w:rsidRPr="00A07D9A">
        <w:rPr>
          <w:rFonts w:cs="Arial"/>
          <w:color w:val="000000" w:themeColor="text1"/>
        </w:rPr>
        <w:t>s</w:t>
      </w:r>
      <w:r w:rsidRPr="00A07D9A">
        <w:rPr>
          <w:rFonts w:cs="Arial"/>
          <w:color w:val="000000" w:themeColor="text1"/>
        </w:rPr>
        <w:t xml:space="preserve"> de concentraci</w:t>
      </w:r>
      <w:r w:rsidR="00C751D7" w:rsidRPr="00A07D9A">
        <w:rPr>
          <w:rFonts w:cs="Arial"/>
          <w:color w:val="000000" w:themeColor="text1"/>
        </w:rPr>
        <w:t>ones</w:t>
      </w:r>
      <w:r w:rsidRPr="00A07D9A">
        <w:rPr>
          <w:rFonts w:cs="Arial"/>
          <w:color w:val="000000" w:themeColor="text1"/>
        </w:rPr>
        <w:t xml:space="preserve"> </w:t>
      </w:r>
      <w:r w:rsidR="007F5661" w:rsidRPr="00A07D9A">
        <w:rPr>
          <w:rFonts w:cs="Arial"/>
          <w:color w:val="000000" w:themeColor="text1"/>
        </w:rPr>
        <w:t>no estará sujeta a temporalidad alguna para su protección y sólo podrán tener acceso a ella los titulares de la misma, sus representantes y los Servidores Públicos facultados para ello.</w:t>
      </w:r>
      <w:r w:rsidR="00C751D7" w:rsidRPr="00A07D9A">
        <w:rPr>
          <w:rFonts w:cs="Arial"/>
          <w:color w:val="000000" w:themeColor="text1"/>
        </w:rPr>
        <w:t xml:space="preserve"> Cualquier persona que no sea parte en un procedimiento, sólo podrán tener acceso a las versiones públicas de esa información.</w:t>
      </w:r>
    </w:p>
    <w:p w14:paraId="6BF91198" w14:textId="77777777" w:rsidR="00766502" w:rsidRPr="00A07D9A" w:rsidRDefault="00766502" w:rsidP="007F5661">
      <w:pPr>
        <w:spacing w:line="300" w:lineRule="auto"/>
        <w:rPr>
          <w:rFonts w:cs="Arial"/>
          <w:color w:val="000000" w:themeColor="text1"/>
        </w:rPr>
      </w:pPr>
      <w:r w:rsidRPr="00A07D9A">
        <w:rPr>
          <w:rFonts w:cs="Arial"/>
          <w:color w:val="000000" w:themeColor="text1"/>
        </w:rPr>
        <w:lastRenderedPageBreak/>
        <w:t>Como supuestos de confidencialidad, en principio, el Instituto considera lo establecido en el artículo 116 de la LGTAIP que a la letra dispone:</w:t>
      </w:r>
    </w:p>
    <w:p w14:paraId="4D24E390" w14:textId="77777777" w:rsidR="00766502" w:rsidRPr="00A07D9A" w:rsidRDefault="00766502" w:rsidP="007D794D">
      <w:pPr>
        <w:spacing w:line="300" w:lineRule="auto"/>
        <w:ind w:left="720"/>
        <w:rPr>
          <w:color w:val="000000" w:themeColor="text1"/>
        </w:rPr>
      </w:pPr>
      <w:r w:rsidRPr="00A07D9A">
        <w:rPr>
          <w:color w:val="000000" w:themeColor="text1"/>
        </w:rPr>
        <w:t xml:space="preserve">“Artículo 116. Se considera información confidencial </w:t>
      </w:r>
      <w:r w:rsidRPr="00A07D9A">
        <w:rPr>
          <w:b/>
          <w:color w:val="000000" w:themeColor="text1"/>
        </w:rPr>
        <w:t>la que contiene datos personales concernientes a una persona identificada o identificable</w:t>
      </w:r>
      <w:r w:rsidRPr="00A07D9A">
        <w:rPr>
          <w:color w:val="000000" w:themeColor="text1"/>
        </w:rPr>
        <w:t>.</w:t>
      </w:r>
    </w:p>
    <w:p w14:paraId="1B3AE228" w14:textId="77777777" w:rsidR="00766502" w:rsidRPr="00A07D9A" w:rsidRDefault="00766502" w:rsidP="007D794D">
      <w:pPr>
        <w:spacing w:line="300" w:lineRule="auto"/>
        <w:ind w:left="720"/>
        <w:rPr>
          <w:color w:val="000000" w:themeColor="text1"/>
        </w:rPr>
      </w:pPr>
      <w:r w:rsidRPr="00A07D9A">
        <w:rPr>
          <w:color w:val="000000" w:themeColor="text1"/>
        </w:rPr>
        <w:t>La información confidencial no estará sujeta a temporalidad alguna y sólo podrán tener acceso a ella los titulares de la misma, sus representantes y los Servidores Públicos facultados para ello.</w:t>
      </w:r>
    </w:p>
    <w:p w14:paraId="3D02E003" w14:textId="77777777" w:rsidR="00766502" w:rsidRPr="00A07D9A" w:rsidRDefault="00766502" w:rsidP="007D794D">
      <w:pPr>
        <w:spacing w:line="300" w:lineRule="auto"/>
        <w:ind w:left="720"/>
        <w:rPr>
          <w:color w:val="000000" w:themeColor="text1"/>
        </w:rPr>
      </w:pPr>
      <w:r w:rsidRPr="00A07D9A">
        <w:rPr>
          <w:b/>
          <w:color w:val="000000" w:themeColor="text1"/>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r w:rsidRPr="00A07D9A">
        <w:rPr>
          <w:color w:val="000000" w:themeColor="text1"/>
        </w:rPr>
        <w:t>.</w:t>
      </w:r>
    </w:p>
    <w:p w14:paraId="3258B7DF" w14:textId="77777777" w:rsidR="00766502" w:rsidRPr="00A07D9A" w:rsidRDefault="00766502" w:rsidP="007D794D">
      <w:pPr>
        <w:spacing w:line="300" w:lineRule="auto"/>
        <w:ind w:left="720"/>
        <w:rPr>
          <w:color w:val="000000" w:themeColor="text1"/>
        </w:rPr>
      </w:pPr>
      <w:r w:rsidRPr="00A07D9A">
        <w:rPr>
          <w:color w:val="000000" w:themeColor="text1"/>
        </w:rPr>
        <w:t>Asimismo, será información confidencial aquella que presenten los particulares a los sujetos obligados, siempre que tengan el derecho a ello, de conformidad con lo dispuesto por las leyes o los tratados internacionales.”</w:t>
      </w:r>
    </w:p>
    <w:p w14:paraId="1092A541" w14:textId="77777777" w:rsidR="00766502" w:rsidRPr="00A07D9A" w:rsidRDefault="00766502" w:rsidP="007D794D">
      <w:pPr>
        <w:spacing w:line="300" w:lineRule="auto"/>
        <w:ind w:left="720"/>
        <w:rPr>
          <w:color w:val="000000" w:themeColor="text1"/>
        </w:rPr>
      </w:pPr>
      <w:r w:rsidRPr="00A07D9A">
        <w:rPr>
          <w:color w:val="000000" w:themeColor="text1"/>
        </w:rPr>
        <w:t>(Énfasis añadido)</w:t>
      </w:r>
    </w:p>
    <w:p w14:paraId="64DA6DC7" w14:textId="77777777" w:rsidR="00766502" w:rsidRPr="00A07D9A" w:rsidRDefault="00766502" w:rsidP="00766502">
      <w:pPr>
        <w:spacing w:line="300" w:lineRule="auto"/>
        <w:rPr>
          <w:color w:val="000000" w:themeColor="text1"/>
        </w:rPr>
      </w:pPr>
      <w:r w:rsidRPr="00A07D9A">
        <w:rPr>
          <w:color w:val="000000" w:themeColor="text1"/>
        </w:rPr>
        <w:t xml:space="preserve">Asimismo, </w:t>
      </w:r>
      <w:r w:rsidR="00151808" w:rsidRPr="00A07D9A">
        <w:rPr>
          <w:color w:val="000000" w:themeColor="text1"/>
        </w:rPr>
        <w:t>para la clasificación de información confidencial</w:t>
      </w:r>
      <w:r w:rsidR="0012690D" w:rsidRPr="00A07D9A">
        <w:rPr>
          <w:color w:val="000000" w:themeColor="text1"/>
        </w:rPr>
        <w:t>,</w:t>
      </w:r>
      <w:r w:rsidR="00151808" w:rsidRPr="00A07D9A">
        <w:rPr>
          <w:color w:val="000000" w:themeColor="text1"/>
        </w:rPr>
        <w:t xml:space="preserve"> </w:t>
      </w:r>
      <w:r w:rsidRPr="00A07D9A">
        <w:rPr>
          <w:color w:val="000000" w:themeColor="text1"/>
        </w:rPr>
        <w:t>se considera de forma orientadora lo establecido en el Lineamiento Cuadragésimo de los “Lineamientos generales en materia de clasificación y desclasificación de la información, así como para la elaboración de versiones públicas”</w:t>
      </w:r>
      <w:r w:rsidRPr="00A07D9A">
        <w:rPr>
          <w:rStyle w:val="Refdenotaalpie"/>
          <w:color w:val="000000" w:themeColor="text1"/>
        </w:rPr>
        <w:footnoteReference w:id="68"/>
      </w:r>
      <w:r w:rsidRPr="00A07D9A">
        <w:rPr>
          <w:color w:val="000000" w:themeColor="text1"/>
        </w:rPr>
        <w:t xml:space="preserve"> que a la letra señala:</w:t>
      </w:r>
    </w:p>
    <w:p w14:paraId="2AB249DB" w14:textId="77777777" w:rsidR="00766502" w:rsidRPr="00A07D9A" w:rsidRDefault="00151808" w:rsidP="007D794D">
      <w:pPr>
        <w:spacing w:line="300" w:lineRule="auto"/>
        <w:ind w:left="720"/>
        <w:rPr>
          <w:color w:val="000000" w:themeColor="text1"/>
        </w:rPr>
      </w:pPr>
      <w:r w:rsidRPr="00A07D9A">
        <w:rPr>
          <w:color w:val="000000" w:themeColor="text1"/>
        </w:rPr>
        <w:t>“</w:t>
      </w:r>
      <w:r w:rsidR="00766502" w:rsidRPr="00A07D9A">
        <w:rPr>
          <w:color w:val="000000" w:themeColor="text1"/>
        </w:rPr>
        <w:t>Cuadragésimo. En relación con el último párrafo del artículo 116 de la Ley General, para clasificar la información por confidencialidad, no será suficiente que los particulares la hayan entregado con ese carácter ya que los sujetos obligados deberán determinar si aquéllos son titulares de la información y si tienen el derecho de que se considere clasificada, debiendo fundar y motivar la confidencialidad. La información que podrá actualizar este supuesto, entre otra, es la siguiente:</w:t>
      </w:r>
    </w:p>
    <w:p w14:paraId="14C812E1" w14:textId="77777777" w:rsidR="00766502" w:rsidRPr="00A07D9A" w:rsidRDefault="00766502" w:rsidP="007D794D">
      <w:pPr>
        <w:pStyle w:val="Prrafodelista"/>
        <w:numPr>
          <w:ilvl w:val="2"/>
          <w:numId w:val="30"/>
        </w:numPr>
        <w:spacing w:line="300" w:lineRule="auto"/>
        <w:ind w:left="1418"/>
        <w:rPr>
          <w:color w:val="000000" w:themeColor="text1"/>
        </w:rPr>
      </w:pPr>
      <w:r w:rsidRPr="00A07D9A">
        <w:rPr>
          <w:b/>
          <w:color w:val="000000" w:themeColor="text1"/>
        </w:rPr>
        <w:t>La que se refiera al patrimonio de una persona moral</w:t>
      </w:r>
      <w:r w:rsidRPr="00A07D9A">
        <w:rPr>
          <w:color w:val="000000" w:themeColor="text1"/>
        </w:rPr>
        <w:t>, y</w:t>
      </w:r>
    </w:p>
    <w:p w14:paraId="5A88FDAE" w14:textId="77777777" w:rsidR="00766502" w:rsidRPr="00A07D9A" w:rsidRDefault="00766502" w:rsidP="007D794D">
      <w:pPr>
        <w:pStyle w:val="Prrafodelista"/>
        <w:numPr>
          <w:ilvl w:val="2"/>
          <w:numId w:val="30"/>
        </w:numPr>
        <w:spacing w:line="300" w:lineRule="auto"/>
        <w:ind w:left="1418"/>
        <w:rPr>
          <w:color w:val="000000" w:themeColor="text1"/>
        </w:rPr>
      </w:pPr>
      <w:r w:rsidRPr="00A07D9A">
        <w:rPr>
          <w:b/>
          <w:color w:val="000000" w:themeColor="text1"/>
        </w:rPr>
        <w:t xml:space="preserve">La que comprenda hechos y actos de carácter económico, contable, jurídico o administrativo relativos a una persona, que pudiera ser útil para un competidor por ejemplo, la relativa a detalles </w:t>
      </w:r>
      <w:r w:rsidRPr="00A07D9A">
        <w:rPr>
          <w:b/>
          <w:color w:val="000000" w:themeColor="text1"/>
        </w:rPr>
        <w:lastRenderedPageBreak/>
        <w:t>sobre el manejo del negocio del titular, sobre su proceso de toma de decisiones o información que pudiera afectar sus negociaciones, acuerdos de los órganos de administración, políticas de dividendos y sus modificaciones o actas de asamblea</w:t>
      </w:r>
      <w:r w:rsidRPr="00A07D9A">
        <w:rPr>
          <w:color w:val="000000" w:themeColor="text1"/>
        </w:rPr>
        <w:t>.</w:t>
      </w:r>
      <w:r w:rsidR="00151808" w:rsidRPr="00A07D9A">
        <w:rPr>
          <w:color w:val="000000" w:themeColor="text1"/>
        </w:rPr>
        <w:t>”</w:t>
      </w:r>
    </w:p>
    <w:p w14:paraId="5478E20A" w14:textId="77777777" w:rsidR="00151808" w:rsidRPr="00A07D9A" w:rsidRDefault="00151808" w:rsidP="007D794D">
      <w:pPr>
        <w:spacing w:line="300" w:lineRule="auto"/>
        <w:ind w:left="720"/>
        <w:rPr>
          <w:color w:val="000000" w:themeColor="text1"/>
        </w:rPr>
      </w:pPr>
      <w:r w:rsidRPr="00A07D9A">
        <w:rPr>
          <w:color w:val="000000" w:themeColor="text1"/>
        </w:rPr>
        <w:t>(Énfasis añadido)</w:t>
      </w:r>
    </w:p>
    <w:p w14:paraId="3C846DB4" w14:textId="77777777" w:rsidR="00151808" w:rsidRPr="00A07D9A" w:rsidRDefault="00151808" w:rsidP="00A11C90">
      <w:pPr>
        <w:autoSpaceDE w:val="0"/>
        <w:autoSpaceDN w:val="0"/>
        <w:adjustRightInd w:val="0"/>
        <w:rPr>
          <w:rFonts w:cs="Times New Roman"/>
          <w:color w:val="000000" w:themeColor="text1"/>
        </w:rPr>
      </w:pPr>
      <w:r w:rsidRPr="00A07D9A">
        <w:rPr>
          <w:rFonts w:cs="Times New Roman"/>
          <w:color w:val="000000" w:themeColor="text1"/>
        </w:rPr>
        <w:t xml:space="preserve">Como parte de su actividad procedimental y respecto de las resoluciones que se emite en materia de notificación de concentraciones, el Instituto está obligado a emitir una versión pública de las mismas protegiendo la información reservada y/o confidencial </w:t>
      </w:r>
      <w:r w:rsidR="0012690D" w:rsidRPr="00A07D9A">
        <w:rPr>
          <w:rFonts w:cs="Times New Roman"/>
          <w:color w:val="000000" w:themeColor="text1"/>
        </w:rPr>
        <w:t>en ella</w:t>
      </w:r>
      <w:r w:rsidR="004A63F3" w:rsidRPr="00A07D9A">
        <w:rPr>
          <w:rFonts w:cs="Times New Roman"/>
          <w:color w:val="000000" w:themeColor="text1"/>
        </w:rPr>
        <w:t>s</w:t>
      </w:r>
      <w:r w:rsidR="0012690D" w:rsidRPr="00A07D9A">
        <w:rPr>
          <w:rFonts w:cs="Times New Roman"/>
          <w:color w:val="000000" w:themeColor="text1"/>
        </w:rPr>
        <w:t xml:space="preserve"> </w:t>
      </w:r>
      <w:r w:rsidR="004A63F3" w:rsidRPr="00A07D9A">
        <w:rPr>
          <w:rFonts w:cs="Times New Roman"/>
          <w:color w:val="000000" w:themeColor="text1"/>
        </w:rPr>
        <w:t xml:space="preserve">contenidos. En cada versión pública se presentará un resumen de la información clasificada. </w:t>
      </w:r>
    </w:p>
    <w:p w14:paraId="3F716496" w14:textId="77777777" w:rsidR="001E6BB0" w:rsidRPr="00A07D9A" w:rsidRDefault="001E6BB0" w:rsidP="00A11C90">
      <w:pPr>
        <w:autoSpaceDE w:val="0"/>
        <w:autoSpaceDN w:val="0"/>
        <w:adjustRightInd w:val="0"/>
        <w:rPr>
          <w:rFonts w:cs="Times New Roman"/>
          <w:color w:val="000000" w:themeColor="text1"/>
        </w:rPr>
      </w:pPr>
      <w:r w:rsidRPr="00A07D9A">
        <w:rPr>
          <w:rFonts w:cs="Times New Roman"/>
          <w:color w:val="000000" w:themeColor="text1"/>
        </w:rPr>
        <w:t>En términos del artículo 51, párrafo tercero, de las Disposiciones Regulatorias:</w:t>
      </w:r>
    </w:p>
    <w:p w14:paraId="7C2CB24B" w14:textId="77777777" w:rsidR="001E6BB0" w:rsidRPr="00A07D9A" w:rsidRDefault="001E6BB0" w:rsidP="007D794D">
      <w:pPr>
        <w:autoSpaceDE w:val="0"/>
        <w:autoSpaceDN w:val="0"/>
        <w:adjustRightInd w:val="0"/>
        <w:ind w:left="720"/>
        <w:rPr>
          <w:rFonts w:cs="Times New Roman"/>
          <w:color w:val="000000" w:themeColor="text1"/>
        </w:rPr>
      </w:pPr>
      <w:r w:rsidRPr="00A07D9A">
        <w:rPr>
          <w:rFonts w:cs="Times New Roman"/>
          <w:color w:val="000000" w:themeColor="text1"/>
        </w:rPr>
        <w:t>“La versión pública de una resolución debe ser publicada dentro de los quince días siguientes a aquel en que surta efectos la notificación.”</w:t>
      </w:r>
    </w:p>
    <w:p w14:paraId="59C0E559" w14:textId="77777777" w:rsidR="001E6BB0" w:rsidRPr="00A07D9A" w:rsidRDefault="001E6BB0" w:rsidP="001E6BB0">
      <w:pPr>
        <w:autoSpaceDE w:val="0"/>
        <w:autoSpaceDN w:val="0"/>
        <w:adjustRightInd w:val="0"/>
        <w:rPr>
          <w:rFonts w:cs="Times New Roman"/>
          <w:color w:val="000000" w:themeColor="text1"/>
        </w:rPr>
      </w:pPr>
      <w:r w:rsidRPr="00A07D9A">
        <w:rPr>
          <w:rFonts w:cs="Times New Roman"/>
          <w:color w:val="000000" w:themeColor="text1"/>
        </w:rPr>
        <w:t>Asimismo, el artículo 52 de las Disposiciones Regulatorias establece:</w:t>
      </w:r>
    </w:p>
    <w:p w14:paraId="582B7C25" w14:textId="77777777" w:rsidR="001E6BB0" w:rsidRPr="00A07D9A" w:rsidRDefault="001E6BB0" w:rsidP="007D794D">
      <w:pPr>
        <w:autoSpaceDE w:val="0"/>
        <w:autoSpaceDN w:val="0"/>
        <w:adjustRightInd w:val="0"/>
        <w:ind w:left="720"/>
        <w:rPr>
          <w:rFonts w:cs="Times New Roman"/>
          <w:color w:val="000000" w:themeColor="text1"/>
        </w:rPr>
      </w:pPr>
      <w:r w:rsidRPr="00A07D9A">
        <w:rPr>
          <w:rFonts w:cs="Times New Roman"/>
          <w:color w:val="000000" w:themeColor="text1"/>
        </w:rPr>
        <w:t>“Artículo 52. En el caso del procedimiento de notificación de concentraciones,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w:t>
      </w:r>
    </w:p>
    <w:p w14:paraId="1746781A" w14:textId="77777777" w:rsidR="001E6BB0" w:rsidRPr="00A07D9A" w:rsidRDefault="001E6BB0" w:rsidP="007D794D">
      <w:pPr>
        <w:autoSpaceDE w:val="0"/>
        <w:autoSpaceDN w:val="0"/>
        <w:adjustRightInd w:val="0"/>
        <w:ind w:left="720"/>
        <w:rPr>
          <w:rFonts w:cs="Times New Roman"/>
          <w:color w:val="000000" w:themeColor="text1"/>
        </w:rPr>
      </w:pPr>
      <w:r w:rsidRPr="00A07D9A">
        <w:rPr>
          <w:rFonts w:cs="Times New Roman"/>
          <w:color w:val="000000" w:themeColor="text1"/>
        </w:rPr>
        <w:t>En este caso,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057A3D10" w14:textId="77777777" w:rsidR="007F5661" w:rsidRPr="00A07D9A" w:rsidRDefault="001E6BB0" w:rsidP="00A11C90">
      <w:pPr>
        <w:autoSpaceDE w:val="0"/>
        <w:autoSpaceDN w:val="0"/>
        <w:adjustRightInd w:val="0"/>
        <w:rPr>
          <w:rFonts w:cs="Times New Roman"/>
          <w:color w:val="000000" w:themeColor="text1"/>
        </w:rPr>
      </w:pPr>
      <w:r w:rsidRPr="00A07D9A">
        <w:rPr>
          <w:rFonts w:cs="Times New Roman"/>
          <w:color w:val="000000" w:themeColor="text1"/>
        </w:rPr>
        <w:t>Cabe señalar que</w:t>
      </w:r>
      <w:r w:rsidR="00151808" w:rsidRPr="00A07D9A">
        <w:rPr>
          <w:rFonts w:cs="Times New Roman"/>
          <w:color w:val="000000" w:themeColor="text1"/>
        </w:rPr>
        <w:t xml:space="preserve"> tales versiones públicas contendrán los fundamentos de clasificación y las razones por las cuales cierta información aparece testada o protegida en el documento correspondiente.</w:t>
      </w:r>
    </w:p>
    <w:p w14:paraId="3D854A75" w14:textId="77777777" w:rsidR="00155A61" w:rsidRPr="00A07D9A" w:rsidRDefault="00151808" w:rsidP="00151808">
      <w:pPr>
        <w:autoSpaceDE w:val="0"/>
        <w:autoSpaceDN w:val="0"/>
        <w:adjustRightInd w:val="0"/>
        <w:rPr>
          <w:rFonts w:cs="Times New Roman"/>
          <w:color w:val="000000" w:themeColor="text1"/>
        </w:rPr>
      </w:pPr>
      <w:r w:rsidRPr="00A07D9A">
        <w:rPr>
          <w:rFonts w:cs="Times New Roman"/>
          <w:color w:val="000000" w:themeColor="text1"/>
        </w:rPr>
        <w:t>Específicamente, en el tema de clasificación de ciertas condiciones impuestas en las resoluciones de concentración, se ha seguido un criterio de no revelar información que pudiera generar al posible afectado un trato discriminatorio por parte de otros agentes económicos del mercado. Ello en atención a los supuestos así contemplados tanto en la LGTAIP como en los “</w:t>
      </w:r>
      <w:r w:rsidRPr="00A07D9A">
        <w:rPr>
          <w:color w:val="000000" w:themeColor="text1"/>
        </w:rPr>
        <w:t>Lineamientos generales en materia de clasificación y desclasificación de la información, así como para la elaboración de versiones públicas.”</w:t>
      </w:r>
      <w:r w:rsidRPr="00A07D9A">
        <w:rPr>
          <w:rFonts w:cs="Times New Roman"/>
          <w:color w:val="000000" w:themeColor="text1"/>
        </w:rPr>
        <w:t xml:space="preserve"> </w:t>
      </w:r>
    </w:p>
    <w:p w14:paraId="3D863475" w14:textId="77777777" w:rsidR="00151808" w:rsidRPr="00A07D9A" w:rsidRDefault="00151808" w:rsidP="00151808">
      <w:pPr>
        <w:autoSpaceDE w:val="0"/>
        <w:autoSpaceDN w:val="0"/>
        <w:adjustRightInd w:val="0"/>
        <w:rPr>
          <w:rFonts w:cs="Times New Roman"/>
          <w:color w:val="000000" w:themeColor="text1"/>
        </w:rPr>
      </w:pPr>
      <w:r w:rsidRPr="00A07D9A">
        <w:rPr>
          <w:rFonts w:cs="Times New Roman"/>
          <w:color w:val="000000" w:themeColor="text1"/>
        </w:rPr>
        <w:lastRenderedPageBreak/>
        <w:t>Esto sucede, por ejemplo</w:t>
      </w:r>
      <w:r w:rsidR="00C751D7" w:rsidRPr="00A07D9A">
        <w:rPr>
          <w:rFonts w:cs="Times New Roman"/>
          <w:color w:val="000000" w:themeColor="text1"/>
        </w:rPr>
        <w:t xml:space="preserve"> cuando</w:t>
      </w:r>
      <w:r w:rsidRPr="00A07D9A">
        <w:rPr>
          <w:rFonts w:cs="Times New Roman"/>
          <w:color w:val="000000" w:themeColor="text1"/>
        </w:rPr>
        <w:t>:</w:t>
      </w:r>
      <w:r w:rsidR="0032224B" w:rsidRPr="00A07D9A">
        <w:rPr>
          <w:rStyle w:val="Refdenotaalpie"/>
          <w:rFonts w:cs="Times New Roman"/>
          <w:color w:val="000000" w:themeColor="text1"/>
        </w:rPr>
        <w:footnoteReference w:id="69"/>
      </w:r>
    </w:p>
    <w:p w14:paraId="6097510E" w14:textId="77777777" w:rsidR="00151808" w:rsidRPr="00A07D9A" w:rsidRDefault="00C751D7" w:rsidP="007D794D">
      <w:pPr>
        <w:pStyle w:val="Prrafodelista"/>
        <w:numPr>
          <w:ilvl w:val="4"/>
          <w:numId w:val="65"/>
        </w:numPr>
        <w:autoSpaceDE w:val="0"/>
        <w:autoSpaceDN w:val="0"/>
        <w:adjustRightInd w:val="0"/>
        <w:ind w:left="709"/>
        <w:rPr>
          <w:rFonts w:cs="Times New Roman"/>
          <w:color w:val="000000" w:themeColor="text1"/>
        </w:rPr>
      </w:pPr>
      <w:r w:rsidRPr="00A07D9A">
        <w:rPr>
          <w:rFonts w:cs="Times New Roman"/>
          <w:color w:val="000000" w:themeColor="text1"/>
        </w:rPr>
        <w:t>El conocimiento de terceros de u</w:t>
      </w:r>
      <w:r w:rsidR="00151808" w:rsidRPr="00A07D9A">
        <w:rPr>
          <w:rFonts w:cs="Times New Roman"/>
          <w:color w:val="000000" w:themeColor="text1"/>
        </w:rPr>
        <w:t xml:space="preserve">na condición </w:t>
      </w:r>
      <w:r w:rsidRPr="00A07D9A">
        <w:rPr>
          <w:rFonts w:cs="Times New Roman"/>
          <w:color w:val="000000" w:themeColor="text1"/>
        </w:rPr>
        <w:t>impuesta pueda</w:t>
      </w:r>
      <w:r w:rsidR="00151808" w:rsidRPr="00A07D9A">
        <w:rPr>
          <w:rFonts w:cs="Times New Roman"/>
          <w:color w:val="000000" w:themeColor="text1"/>
        </w:rPr>
        <w:t xml:space="preserve"> generar</w:t>
      </w:r>
      <w:r w:rsidRPr="00A07D9A">
        <w:rPr>
          <w:rFonts w:cs="Times New Roman"/>
          <w:color w:val="000000" w:themeColor="text1"/>
        </w:rPr>
        <w:t xml:space="preserve"> a un agente económico </w:t>
      </w:r>
      <w:r w:rsidR="00151808" w:rsidRPr="00A07D9A">
        <w:rPr>
          <w:rFonts w:cs="Times New Roman"/>
          <w:color w:val="000000" w:themeColor="text1"/>
        </w:rPr>
        <w:t>u</w:t>
      </w:r>
      <w:r w:rsidR="00107613" w:rsidRPr="00A07D9A">
        <w:rPr>
          <w:rFonts w:cs="Times New Roman"/>
          <w:color w:val="000000" w:themeColor="text1"/>
        </w:rPr>
        <w:t xml:space="preserve">n trato diferenciado </w:t>
      </w:r>
      <w:r w:rsidRPr="00A07D9A">
        <w:rPr>
          <w:rFonts w:cs="Times New Roman"/>
          <w:color w:val="000000" w:themeColor="text1"/>
        </w:rPr>
        <w:t>en sus actividades económicas</w:t>
      </w:r>
      <w:r w:rsidR="00107613" w:rsidRPr="00A07D9A">
        <w:rPr>
          <w:rFonts w:cs="Times New Roman"/>
          <w:color w:val="000000" w:themeColor="text1"/>
        </w:rPr>
        <w:t xml:space="preserve">, </w:t>
      </w:r>
      <w:r w:rsidRPr="00A07D9A">
        <w:rPr>
          <w:rFonts w:cs="Times New Roman"/>
          <w:color w:val="000000" w:themeColor="text1"/>
        </w:rPr>
        <w:t>causando una disminución a su capacidad de negociación o contratación</w:t>
      </w:r>
      <w:r w:rsidR="00151808" w:rsidRPr="00A07D9A">
        <w:rPr>
          <w:rFonts w:cs="Times New Roman"/>
          <w:color w:val="000000" w:themeColor="text1"/>
        </w:rPr>
        <w:t>.</w:t>
      </w:r>
    </w:p>
    <w:p w14:paraId="280D7D26" w14:textId="77777777" w:rsidR="00151808" w:rsidRPr="00A07D9A" w:rsidRDefault="00C751D7" w:rsidP="007D794D">
      <w:pPr>
        <w:pStyle w:val="Prrafodelista"/>
        <w:numPr>
          <w:ilvl w:val="4"/>
          <w:numId w:val="65"/>
        </w:numPr>
        <w:autoSpaceDE w:val="0"/>
        <w:autoSpaceDN w:val="0"/>
        <w:adjustRightInd w:val="0"/>
        <w:ind w:left="709"/>
        <w:rPr>
          <w:rFonts w:cs="Times New Roman"/>
          <w:color w:val="000000" w:themeColor="text1"/>
        </w:rPr>
      </w:pPr>
      <w:r w:rsidRPr="00A07D9A">
        <w:rPr>
          <w:rFonts w:cs="Times New Roman"/>
          <w:color w:val="000000" w:themeColor="text1"/>
        </w:rPr>
        <w:t>El conocimiento de terceros de una</w:t>
      </w:r>
      <w:r w:rsidR="00151808" w:rsidRPr="00A07D9A">
        <w:rPr>
          <w:rFonts w:cs="Times New Roman"/>
          <w:color w:val="000000" w:themeColor="text1"/>
        </w:rPr>
        <w:t xml:space="preserve"> condición </w:t>
      </w:r>
      <w:r w:rsidRPr="00A07D9A">
        <w:rPr>
          <w:rFonts w:cs="Times New Roman"/>
          <w:color w:val="000000" w:themeColor="text1"/>
        </w:rPr>
        <w:t xml:space="preserve">les </w:t>
      </w:r>
      <w:r w:rsidR="00B96BF6" w:rsidRPr="00A07D9A">
        <w:rPr>
          <w:rFonts w:cs="Times New Roman"/>
          <w:color w:val="000000" w:themeColor="text1"/>
        </w:rPr>
        <w:t>permita</w:t>
      </w:r>
      <w:r w:rsidR="00107613" w:rsidRPr="00A07D9A">
        <w:rPr>
          <w:rFonts w:cs="Times New Roman"/>
          <w:color w:val="000000" w:themeColor="text1"/>
        </w:rPr>
        <w:t xml:space="preserve"> predecir el</w:t>
      </w:r>
      <w:r w:rsidR="00151808" w:rsidRPr="00A07D9A">
        <w:rPr>
          <w:rFonts w:cs="Times New Roman"/>
          <w:color w:val="000000" w:themeColor="text1"/>
        </w:rPr>
        <w:t xml:space="preserve"> comportamiento de</w:t>
      </w:r>
      <w:r w:rsidRPr="00A07D9A">
        <w:rPr>
          <w:rFonts w:cs="Times New Roman"/>
          <w:color w:val="000000" w:themeColor="text1"/>
        </w:rPr>
        <w:t>l agente económico obligado al cumplimiento de esa condición</w:t>
      </w:r>
      <w:r w:rsidR="00107613" w:rsidRPr="00A07D9A">
        <w:rPr>
          <w:rFonts w:cs="Times New Roman"/>
          <w:color w:val="000000" w:themeColor="text1"/>
        </w:rPr>
        <w:t xml:space="preserve">, </w:t>
      </w:r>
      <w:r w:rsidR="0032224B" w:rsidRPr="00A07D9A">
        <w:rPr>
          <w:rFonts w:cs="Times New Roman"/>
          <w:color w:val="000000" w:themeColor="text1"/>
        </w:rPr>
        <w:t>afectando su capacidad de competir</w:t>
      </w:r>
      <w:r w:rsidR="00151808" w:rsidRPr="00A07D9A">
        <w:rPr>
          <w:rFonts w:cs="Times New Roman"/>
          <w:color w:val="000000" w:themeColor="text1"/>
        </w:rPr>
        <w:t xml:space="preserve">.  </w:t>
      </w:r>
    </w:p>
    <w:p w14:paraId="2886E656" w14:textId="2DD12F82" w:rsidR="0071156C" w:rsidRPr="00A07D9A" w:rsidRDefault="0071156C" w:rsidP="00A11C90">
      <w:pPr>
        <w:autoSpaceDE w:val="0"/>
        <w:autoSpaceDN w:val="0"/>
        <w:adjustRightInd w:val="0"/>
        <w:rPr>
          <w:rFonts w:cs="Times New Roman"/>
          <w:color w:val="000000" w:themeColor="text1"/>
        </w:rPr>
      </w:pPr>
      <w:r w:rsidRPr="00A07D9A">
        <w:rPr>
          <w:rFonts w:cs="Times New Roman"/>
          <w:color w:val="000000" w:themeColor="text1"/>
        </w:rPr>
        <w:t>Al respecto, nada exime que ciertas condiciones</w:t>
      </w:r>
      <w:r w:rsidR="005055B7" w:rsidRPr="00A07D9A">
        <w:rPr>
          <w:rFonts w:cs="Times New Roman"/>
          <w:color w:val="000000" w:themeColor="text1"/>
        </w:rPr>
        <w:t xml:space="preserve"> impuestas para la autorización de</w:t>
      </w:r>
      <w:r w:rsidRPr="00A07D9A">
        <w:rPr>
          <w:rFonts w:cs="Times New Roman"/>
          <w:color w:val="000000" w:themeColor="text1"/>
        </w:rPr>
        <w:t xml:space="preserve"> concentraciones pudieran reservarse por tiempo determinado, caso en el cual una vez concluida su vigencia </w:t>
      </w:r>
      <w:r w:rsidR="005055B7" w:rsidRPr="00A07D9A">
        <w:rPr>
          <w:rFonts w:cs="Times New Roman"/>
          <w:color w:val="000000" w:themeColor="text1"/>
        </w:rPr>
        <w:t xml:space="preserve">se </w:t>
      </w:r>
      <w:r w:rsidRPr="00A07D9A">
        <w:rPr>
          <w:rFonts w:cs="Times New Roman"/>
          <w:color w:val="000000" w:themeColor="text1"/>
        </w:rPr>
        <w:t>revelar</w:t>
      </w:r>
      <w:r w:rsidR="005055B7" w:rsidRPr="00A07D9A">
        <w:rPr>
          <w:rFonts w:cs="Times New Roman"/>
          <w:color w:val="000000" w:themeColor="text1"/>
        </w:rPr>
        <w:t>án</w:t>
      </w:r>
      <w:r w:rsidRPr="00A07D9A">
        <w:rPr>
          <w:rFonts w:cs="Times New Roman"/>
          <w:color w:val="000000" w:themeColor="text1"/>
        </w:rPr>
        <w:t xml:space="preserve"> o desclasificar</w:t>
      </w:r>
      <w:r w:rsidR="005055B7" w:rsidRPr="00A07D9A">
        <w:rPr>
          <w:rFonts w:cs="Times New Roman"/>
          <w:color w:val="000000" w:themeColor="text1"/>
        </w:rPr>
        <w:t>án</w:t>
      </w:r>
      <w:r w:rsidRPr="00A07D9A">
        <w:rPr>
          <w:rFonts w:cs="Times New Roman"/>
          <w:color w:val="000000" w:themeColor="text1"/>
        </w:rPr>
        <w:t xml:space="preserve"> en las versiones públicas correspondientes.</w:t>
      </w:r>
    </w:p>
    <w:p w14:paraId="5A3F2850" w14:textId="77777777" w:rsidR="007F5661" w:rsidRPr="00A07D9A" w:rsidRDefault="0071156C" w:rsidP="00A11C90">
      <w:pPr>
        <w:autoSpaceDE w:val="0"/>
        <w:autoSpaceDN w:val="0"/>
        <w:adjustRightInd w:val="0"/>
        <w:rPr>
          <w:rFonts w:cs="Times New Roman"/>
          <w:color w:val="000000" w:themeColor="text1"/>
        </w:rPr>
      </w:pPr>
      <w:r w:rsidRPr="00A07D9A">
        <w:rPr>
          <w:rFonts w:cs="Times New Roman"/>
          <w:color w:val="000000" w:themeColor="text1"/>
        </w:rPr>
        <w:t xml:space="preserve">Por otra parte, </w:t>
      </w:r>
      <w:r w:rsidR="0032224B" w:rsidRPr="00A07D9A">
        <w:rPr>
          <w:rFonts w:cs="Times New Roman"/>
          <w:color w:val="000000" w:themeColor="text1"/>
        </w:rPr>
        <w:t xml:space="preserve">cuando la información contenida en las condiciones impuestas en las resoluciones de concentraciones no </w:t>
      </w:r>
      <w:r w:rsidR="00E2128A" w:rsidRPr="00A07D9A">
        <w:rPr>
          <w:rFonts w:cs="Times New Roman"/>
          <w:color w:val="000000" w:themeColor="text1"/>
        </w:rPr>
        <w:t>actualice</w:t>
      </w:r>
      <w:r w:rsidR="0032224B" w:rsidRPr="00A07D9A">
        <w:rPr>
          <w:rFonts w:cs="Times New Roman"/>
          <w:color w:val="000000" w:themeColor="text1"/>
        </w:rPr>
        <w:t xml:space="preserve"> los supuestos para ser clasificadas como confidencial o reservada</w:t>
      </w:r>
      <w:r w:rsidRPr="00A07D9A">
        <w:rPr>
          <w:rFonts w:cs="Times New Roman"/>
          <w:color w:val="000000" w:themeColor="text1"/>
        </w:rPr>
        <w:t>,</w:t>
      </w:r>
      <w:r w:rsidR="0032224B" w:rsidRPr="00A07D9A">
        <w:rPr>
          <w:rFonts w:cs="Times New Roman"/>
          <w:color w:val="000000" w:themeColor="text1"/>
        </w:rPr>
        <w:t xml:space="preserve"> éstas serán incluidas en las versiones públicas de la resolución</w:t>
      </w:r>
      <w:r w:rsidRPr="00A07D9A">
        <w:rPr>
          <w:rFonts w:cs="Times New Roman"/>
          <w:color w:val="000000" w:themeColor="text1"/>
        </w:rPr>
        <w:t>.</w:t>
      </w:r>
      <w:r w:rsidRPr="00A07D9A">
        <w:rPr>
          <w:rStyle w:val="Refdenotaalpie"/>
          <w:rFonts w:cs="Times New Roman"/>
          <w:color w:val="000000" w:themeColor="text1"/>
        </w:rPr>
        <w:footnoteReference w:id="70"/>
      </w:r>
    </w:p>
    <w:p w14:paraId="43FA724F" w14:textId="77777777" w:rsidR="00D75550" w:rsidRPr="00A07D9A" w:rsidRDefault="00D75550" w:rsidP="009446C3">
      <w:pPr>
        <w:pStyle w:val="Ttulo1"/>
        <w:numPr>
          <w:ilvl w:val="0"/>
          <w:numId w:val="67"/>
        </w:numPr>
        <w:jc w:val="center"/>
        <w:rPr>
          <w:color w:val="000000" w:themeColor="text1"/>
        </w:rPr>
      </w:pPr>
      <w:bookmarkStart w:id="40" w:name="_Toc486519816"/>
      <w:r w:rsidRPr="00A07D9A">
        <w:rPr>
          <w:color w:val="000000" w:themeColor="text1"/>
        </w:rPr>
        <w:t>Procedimientos Específicos</w:t>
      </w:r>
      <w:bookmarkEnd w:id="40"/>
    </w:p>
    <w:p w14:paraId="7A001417" w14:textId="77777777" w:rsidR="00A11C90" w:rsidRPr="00A07D9A" w:rsidRDefault="00867F46" w:rsidP="00EA553E">
      <w:pPr>
        <w:pStyle w:val="Ttulo1"/>
        <w:numPr>
          <w:ilvl w:val="0"/>
          <w:numId w:val="0"/>
        </w:numPr>
        <w:rPr>
          <w:color w:val="000000" w:themeColor="text1"/>
        </w:rPr>
      </w:pPr>
      <w:bookmarkStart w:id="41" w:name="_Toc486519817"/>
      <w:r w:rsidRPr="00A07D9A">
        <w:rPr>
          <w:color w:val="000000" w:themeColor="text1"/>
        </w:rPr>
        <w:t>5</w:t>
      </w:r>
      <w:r w:rsidR="00256698" w:rsidRPr="00A07D9A">
        <w:rPr>
          <w:color w:val="000000" w:themeColor="text1"/>
        </w:rPr>
        <w:t xml:space="preserve">. </w:t>
      </w:r>
      <w:r w:rsidR="00A11C90" w:rsidRPr="00A07D9A">
        <w:rPr>
          <w:color w:val="000000" w:themeColor="text1"/>
        </w:rPr>
        <w:t>Notificación de concentraciones</w:t>
      </w:r>
      <w:bookmarkEnd w:id="41"/>
    </w:p>
    <w:p w14:paraId="700FBCED" w14:textId="77777777" w:rsidR="00A11C90" w:rsidRPr="00A07D9A" w:rsidRDefault="00867F46" w:rsidP="003F2656">
      <w:pPr>
        <w:pStyle w:val="Ttulo2"/>
        <w:rPr>
          <w:rFonts w:eastAsiaTheme="minorHAnsi"/>
          <w:color w:val="000000" w:themeColor="text1"/>
        </w:rPr>
      </w:pPr>
      <w:bookmarkStart w:id="42" w:name="_Toc462053111"/>
      <w:bookmarkStart w:id="43" w:name="_Ref463329308"/>
      <w:bookmarkStart w:id="44" w:name="_Toc486519818"/>
      <w:r w:rsidRPr="00A07D9A">
        <w:rPr>
          <w:rFonts w:eastAsiaTheme="minorHAnsi"/>
          <w:color w:val="000000" w:themeColor="text1"/>
        </w:rPr>
        <w:t>5</w:t>
      </w:r>
      <w:r w:rsidR="003F2656" w:rsidRPr="00A07D9A">
        <w:rPr>
          <w:rFonts w:eastAsiaTheme="minorHAnsi"/>
          <w:color w:val="000000" w:themeColor="text1"/>
        </w:rPr>
        <w:t xml:space="preserve">.1. </w:t>
      </w:r>
      <w:r w:rsidR="00A11C90" w:rsidRPr="00A07D9A">
        <w:rPr>
          <w:rFonts w:eastAsiaTheme="minorHAnsi"/>
          <w:color w:val="000000" w:themeColor="text1"/>
        </w:rPr>
        <w:t>Umbrales para la notificación</w:t>
      </w:r>
      <w:bookmarkEnd w:id="42"/>
      <w:bookmarkEnd w:id="43"/>
      <w:bookmarkEnd w:id="44"/>
    </w:p>
    <w:p w14:paraId="26CFB2A1" w14:textId="77777777" w:rsidR="00A11C90" w:rsidRPr="00A07D9A" w:rsidRDefault="00A11C90" w:rsidP="00A11C90">
      <w:pPr>
        <w:rPr>
          <w:color w:val="000000" w:themeColor="text1"/>
        </w:rPr>
      </w:pPr>
      <w:r w:rsidRPr="00A07D9A">
        <w:rPr>
          <w:color w:val="000000" w:themeColor="text1"/>
        </w:rPr>
        <w:t>El artículo 86 de la LFCE inicia con la siguiente redacción:</w:t>
      </w:r>
    </w:p>
    <w:p w14:paraId="09049EF0" w14:textId="77777777" w:rsidR="00A11C90" w:rsidRPr="00A07D9A" w:rsidRDefault="00A11C90" w:rsidP="00A11C90">
      <w:pPr>
        <w:ind w:left="708"/>
        <w:rPr>
          <w:color w:val="000000" w:themeColor="text1"/>
        </w:rPr>
      </w:pPr>
      <w:r w:rsidRPr="00A07D9A">
        <w:rPr>
          <w:color w:val="000000" w:themeColor="text1"/>
        </w:rPr>
        <w:t>“</w:t>
      </w:r>
      <w:r w:rsidR="00CF23ED" w:rsidRPr="00A07D9A">
        <w:rPr>
          <w:color w:val="000000" w:themeColor="text1"/>
        </w:rPr>
        <w:t>A</w:t>
      </w:r>
      <w:r w:rsidR="00C561C7" w:rsidRPr="00A07D9A">
        <w:rPr>
          <w:color w:val="000000" w:themeColor="text1"/>
        </w:rPr>
        <w:t>rtículo</w:t>
      </w:r>
      <w:r w:rsidRPr="00A07D9A">
        <w:rPr>
          <w:color w:val="000000" w:themeColor="text1"/>
        </w:rPr>
        <w:t xml:space="preserve"> 86. Las siguientes concentraciones </w:t>
      </w:r>
      <w:r w:rsidRPr="00A07D9A">
        <w:rPr>
          <w:b/>
          <w:color w:val="000000" w:themeColor="text1"/>
          <w:u w:val="single"/>
        </w:rPr>
        <w:t>deberán ser autorizadas</w:t>
      </w:r>
      <w:r w:rsidRPr="00A07D9A">
        <w:rPr>
          <w:b/>
          <w:color w:val="000000" w:themeColor="text1"/>
        </w:rPr>
        <w:t xml:space="preserve"> por el IFT antes de que se lleven a cabo</w:t>
      </w:r>
      <w:r w:rsidRPr="00A07D9A">
        <w:rPr>
          <w:color w:val="000000" w:themeColor="text1"/>
        </w:rPr>
        <w:t>:</w:t>
      </w:r>
    </w:p>
    <w:p w14:paraId="438BA176" w14:textId="77777777" w:rsidR="00C9397B" w:rsidRPr="00A07D9A" w:rsidRDefault="00A11C90" w:rsidP="00A11C90">
      <w:pPr>
        <w:ind w:left="708"/>
        <w:rPr>
          <w:color w:val="000000" w:themeColor="text1"/>
        </w:rPr>
      </w:pPr>
      <w:r w:rsidRPr="00A07D9A">
        <w:rPr>
          <w:color w:val="000000" w:themeColor="text1"/>
        </w:rPr>
        <w:t>(…)</w:t>
      </w:r>
      <w:r w:rsidR="003F2656" w:rsidRPr="00A07D9A">
        <w:rPr>
          <w:color w:val="000000" w:themeColor="text1"/>
        </w:rPr>
        <w:t>.</w:t>
      </w:r>
      <w:r w:rsidRPr="00A07D9A">
        <w:rPr>
          <w:color w:val="000000" w:themeColor="text1"/>
        </w:rPr>
        <w:t>”</w:t>
      </w:r>
      <w:r w:rsidR="003F2656" w:rsidRPr="00A07D9A">
        <w:rPr>
          <w:color w:val="000000" w:themeColor="text1"/>
        </w:rPr>
        <w:t xml:space="preserve"> </w:t>
      </w:r>
    </w:p>
    <w:p w14:paraId="11520581" w14:textId="5EBDF97E" w:rsidR="00A11C90" w:rsidRPr="00A07D9A" w:rsidRDefault="00A11C90" w:rsidP="00A11C90">
      <w:pPr>
        <w:ind w:left="708"/>
        <w:rPr>
          <w:color w:val="000000" w:themeColor="text1"/>
        </w:rPr>
      </w:pPr>
      <w:r w:rsidRPr="00A07D9A">
        <w:rPr>
          <w:color w:val="000000" w:themeColor="text1"/>
        </w:rPr>
        <w:t>(Énfasis y subrayado añadidos)</w:t>
      </w:r>
    </w:p>
    <w:p w14:paraId="12A9CEB4" w14:textId="77777777" w:rsidR="0002742C" w:rsidRPr="00A07D9A" w:rsidRDefault="00A11C90" w:rsidP="00A11C90">
      <w:pPr>
        <w:rPr>
          <w:color w:val="000000" w:themeColor="text1"/>
        </w:rPr>
      </w:pPr>
      <w:r w:rsidRPr="00A07D9A">
        <w:rPr>
          <w:color w:val="000000" w:themeColor="text1"/>
        </w:rPr>
        <w:t xml:space="preserve">Al respecto, el artículo 86 especifica en tres fracciones los montos o umbrales monetarios </w:t>
      </w:r>
      <w:r w:rsidR="0002742C" w:rsidRPr="00A07D9A">
        <w:rPr>
          <w:color w:val="000000" w:themeColor="text1"/>
        </w:rPr>
        <w:t xml:space="preserve">que se determinan en múltiplos de </w:t>
      </w:r>
      <w:r w:rsidR="00CE6784" w:rsidRPr="00A07D9A">
        <w:rPr>
          <w:color w:val="000000" w:themeColor="text1"/>
        </w:rPr>
        <w:t xml:space="preserve">la </w:t>
      </w:r>
      <w:r w:rsidR="009C0496" w:rsidRPr="00A07D9A">
        <w:rPr>
          <w:color w:val="000000" w:themeColor="text1"/>
        </w:rPr>
        <w:t>UMA</w:t>
      </w:r>
      <w:r w:rsidR="0002742C" w:rsidRPr="00A07D9A">
        <w:rPr>
          <w:color w:val="000000" w:themeColor="text1"/>
        </w:rPr>
        <w:t xml:space="preserve"> </w:t>
      </w:r>
      <w:r w:rsidR="00CE6784" w:rsidRPr="00A07D9A">
        <w:rPr>
          <w:color w:val="000000" w:themeColor="text1"/>
        </w:rPr>
        <w:t>diaria</w:t>
      </w:r>
      <w:r w:rsidR="0002742C" w:rsidRPr="00A07D9A">
        <w:rPr>
          <w:color w:val="000000" w:themeColor="text1"/>
        </w:rPr>
        <w:t xml:space="preserve"> </w:t>
      </w:r>
      <w:r w:rsidRPr="00A07D9A">
        <w:rPr>
          <w:color w:val="000000" w:themeColor="text1"/>
        </w:rPr>
        <w:t xml:space="preserve">que obligan a los </w:t>
      </w:r>
      <w:r w:rsidR="008A07CB" w:rsidRPr="00A07D9A">
        <w:rPr>
          <w:color w:val="000000" w:themeColor="text1"/>
        </w:rPr>
        <w:t>agentes económicos</w:t>
      </w:r>
      <w:r w:rsidRPr="00A07D9A">
        <w:rPr>
          <w:color w:val="000000" w:themeColor="text1"/>
        </w:rPr>
        <w:t xml:space="preserve"> a notificar concentraciones ante el IFT antes de llevarse a cabo. </w:t>
      </w:r>
    </w:p>
    <w:p w14:paraId="176B82A5" w14:textId="77777777" w:rsidR="0002742C" w:rsidRPr="00A07D9A" w:rsidRDefault="0002742C" w:rsidP="0002742C">
      <w:pPr>
        <w:rPr>
          <w:color w:val="000000" w:themeColor="text1"/>
        </w:rPr>
      </w:pPr>
      <w:r w:rsidRPr="00A07D9A">
        <w:rPr>
          <w:color w:val="000000" w:themeColor="text1"/>
        </w:rPr>
        <w:t xml:space="preserve">De conformidad con lo establecido en los artículos 26, apartado B, penúltimo párrafo de la CPEUM y Segundo Transitorio del Decreto por el que se reforman y </w:t>
      </w:r>
      <w:r w:rsidRPr="00A07D9A">
        <w:rPr>
          <w:color w:val="000000" w:themeColor="text1"/>
        </w:rPr>
        <w:lastRenderedPageBreak/>
        <w:t xml:space="preserve">adicionan diversas disposiciones de la CPEUM en materia de desindexación del salario mínimo, a partir del 28 de enero de 2016 toda mención al salario </w:t>
      </w:r>
      <w:r w:rsidR="004B54A6" w:rsidRPr="00A07D9A">
        <w:rPr>
          <w:color w:val="000000" w:themeColor="text1"/>
        </w:rPr>
        <w:t>mínimo se</w:t>
      </w:r>
      <w:r w:rsidRPr="00A07D9A">
        <w:rPr>
          <w:color w:val="000000" w:themeColor="text1"/>
        </w:rPr>
        <w:t xml:space="preserve"> entenderá referida a la </w:t>
      </w:r>
      <w:r w:rsidR="009C0496" w:rsidRPr="00A07D9A">
        <w:rPr>
          <w:color w:val="000000" w:themeColor="text1"/>
        </w:rPr>
        <w:t>u</w:t>
      </w:r>
      <w:r w:rsidRPr="00A07D9A">
        <w:rPr>
          <w:color w:val="000000" w:themeColor="text1"/>
        </w:rPr>
        <w:t xml:space="preserve">nidad de </w:t>
      </w:r>
      <w:r w:rsidR="009C0496" w:rsidRPr="00A07D9A">
        <w:rPr>
          <w:color w:val="000000" w:themeColor="text1"/>
        </w:rPr>
        <w:t>m</w:t>
      </w:r>
      <w:r w:rsidRPr="00A07D9A">
        <w:rPr>
          <w:color w:val="000000" w:themeColor="text1"/>
        </w:rPr>
        <w:t xml:space="preserve">edida y </w:t>
      </w:r>
      <w:r w:rsidR="009C0496" w:rsidRPr="00A07D9A">
        <w:rPr>
          <w:color w:val="000000" w:themeColor="text1"/>
        </w:rPr>
        <w:t>a</w:t>
      </w:r>
      <w:r w:rsidRPr="00A07D9A">
        <w:rPr>
          <w:color w:val="000000" w:themeColor="text1"/>
        </w:rPr>
        <w:t>ctualización (UMA) que emita el Instituto Nacional de Geografía y Estadística (INEGI). La UMA es la unidad de cuenta, índice, base, medida o referencia económica en pesos para determinar la cuantía de las obligaciones y supuestos previstos en las leyes federales, de las entidades federativas y de</w:t>
      </w:r>
      <w:r w:rsidR="00E1626A" w:rsidRPr="00A07D9A">
        <w:rPr>
          <w:color w:val="000000" w:themeColor="text1"/>
        </w:rPr>
        <w:t xml:space="preserve"> la Ciudad de México</w:t>
      </w:r>
      <w:r w:rsidRPr="00A07D9A">
        <w:rPr>
          <w:color w:val="000000" w:themeColor="text1"/>
        </w:rPr>
        <w:t xml:space="preserve">, así como en las disposiciones jurídicas que emanen de todas las anteriores. </w:t>
      </w:r>
      <w:r w:rsidR="008930BA" w:rsidRPr="00A07D9A">
        <w:rPr>
          <w:color w:val="000000" w:themeColor="text1"/>
        </w:rPr>
        <w:t>Los valores de la UMA y el SMGV podrán ir divergiendo en años posteriores conforme decisiones de las autoridades competentes</w:t>
      </w:r>
      <w:r w:rsidRPr="00A07D9A">
        <w:rPr>
          <w:color w:val="000000" w:themeColor="text1"/>
        </w:rPr>
        <w:t>.</w:t>
      </w:r>
      <w:r w:rsidR="00256698" w:rsidRPr="00A07D9A">
        <w:rPr>
          <w:color w:val="000000" w:themeColor="text1"/>
        </w:rPr>
        <w:t xml:space="preserve"> </w:t>
      </w:r>
    </w:p>
    <w:p w14:paraId="127FB0B6" w14:textId="4D185003" w:rsidR="00A11C90" w:rsidRPr="00A07D9A" w:rsidRDefault="00A11C90" w:rsidP="00A11C90">
      <w:pPr>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tienen la obligación de notificar, antes de su realización, las concentraciones que actualicen los umbrales establecidos en cualquiera de esas fracciones</w:t>
      </w:r>
      <w:r w:rsidR="005055B7" w:rsidRPr="00A07D9A">
        <w:rPr>
          <w:color w:val="000000" w:themeColor="text1"/>
        </w:rPr>
        <w:t>, para lo cual el IFT utilizará la información de los estados financieros aportados por los notificantes y la demás información disponible sobre la transacción.</w:t>
      </w:r>
    </w:p>
    <w:p w14:paraId="47AAF582" w14:textId="77777777" w:rsidR="00A11C90" w:rsidRPr="00A07D9A" w:rsidRDefault="00A11C90" w:rsidP="00A11C90">
      <w:pPr>
        <w:rPr>
          <w:color w:val="000000" w:themeColor="text1"/>
        </w:rPr>
      </w:pPr>
      <w:r w:rsidRPr="00A07D9A">
        <w:rPr>
          <w:color w:val="000000" w:themeColor="text1"/>
        </w:rPr>
        <w:t>A continuación, se explica el alcance de los umbrales referidos las fracciones I a III del artículo 86 de la LFCE:</w:t>
      </w:r>
    </w:p>
    <w:p w14:paraId="04994955" w14:textId="77777777" w:rsidR="00A11C90" w:rsidRPr="00A07D9A" w:rsidRDefault="00A11C90" w:rsidP="00B14792">
      <w:pPr>
        <w:pStyle w:val="Ttulo3"/>
        <w:rPr>
          <w:color w:val="000000" w:themeColor="text1"/>
        </w:rPr>
      </w:pPr>
      <w:bookmarkStart w:id="45" w:name="_Toc462053112"/>
      <w:r w:rsidRPr="00A07D9A">
        <w:rPr>
          <w:color w:val="000000" w:themeColor="text1"/>
        </w:rPr>
        <w:t>Primer umbral. Fracción I del artículo 86 de la LFCE</w:t>
      </w:r>
      <w:bookmarkEnd w:id="45"/>
    </w:p>
    <w:p w14:paraId="079EF1D6" w14:textId="77777777" w:rsidR="00A11C90" w:rsidRPr="00A07D9A" w:rsidRDefault="00A11C90" w:rsidP="009446C3">
      <w:pPr>
        <w:pStyle w:val="Prrafodelista"/>
        <w:numPr>
          <w:ilvl w:val="0"/>
          <w:numId w:val="0"/>
        </w:numPr>
        <w:ind w:left="720"/>
        <w:rPr>
          <w:color w:val="000000" w:themeColor="text1"/>
        </w:rPr>
      </w:pPr>
      <w:r w:rsidRPr="00A07D9A">
        <w:rPr>
          <w:color w:val="000000" w:themeColor="text1"/>
        </w:rPr>
        <w:t>“I.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77B05BCE" w14:textId="77777777" w:rsidR="00A11C90" w:rsidRPr="00A07D9A" w:rsidRDefault="00A11C90" w:rsidP="00A11C90">
      <w:pPr>
        <w:rPr>
          <w:color w:val="000000" w:themeColor="text1"/>
        </w:rPr>
      </w:pPr>
      <w:r w:rsidRPr="00A07D9A">
        <w:rPr>
          <w:color w:val="000000" w:themeColor="text1"/>
        </w:rPr>
        <w:t xml:space="preserve">En este supuesto, el IFT identificará el monto que </w:t>
      </w:r>
      <w:r w:rsidR="00E1626A" w:rsidRPr="00A07D9A">
        <w:rPr>
          <w:color w:val="000000" w:themeColor="text1"/>
        </w:rPr>
        <w:t>e</w:t>
      </w:r>
      <w:r w:rsidRPr="00A07D9A">
        <w:rPr>
          <w:color w:val="000000" w:themeColor="text1"/>
        </w:rPr>
        <w:t xml:space="preserve">l </w:t>
      </w:r>
      <w:r w:rsidR="00A83FB8" w:rsidRPr="00A07D9A">
        <w:rPr>
          <w:color w:val="000000" w:themeColor="text1"/>
        </w:rPr>
        <w:t>agente económico</w:t>
      </w:r>
      <w:r w:rsidRPr="00A07D9A">
        <w:rPr>
          <w:color w:val="000000" w:themeColor="text1"/>
        </w:rPr>
        <w:t xml:space="preserve"> comprador o adquiriente en una concentración pagará, por cualquier medio o forma, al </w:t>
      </w:r>
      <w:r w:rsidR="00A83FB8" w:rsidRPr="00A07D9A">
        <w:rPr>
          <w:color w:val="000000" w:themeColor="text1"/>
        </w:rPr>
        <w:t>agente económico</w:t>
      </w:r>
      <w:r w:rsidRPr="00A07D9A">
        <w:rPr>
          <w:color w:val="000000" w:themeColor="text1"/>
        </w:rPr>
        <w:t xml:space="preserve"> vendedor por acciones, partes sociales, unidades de participación que tenga, directa o indirectamente, de las sociedades mexicanas o por cualquier tipo de activo que se ubique en el territorio nacional, que sean objeto de la concentración. Lo anterior, independientemente de que el acto o actos se celebren en México o cualquier otro país. </w:t>
      </w:r>
    </w:p>
    <w:p w14:paraId="43BEEF76" w14:textId="77777777" w:rsidR="00A11C90" w:rsidRPr="00A07D9A" w:rsidRDefault="00A11C90" w:rsidP="00A11C90">
      <w:pPr>
        <w:rPr>
          <w:color w:val="000000" w:themeColor="text1"/>
        </w:rPr>
      </w:pPr>
      <w:r w:rsidRPr="00A07D9A">
        <w:rPr>
          <w:color w:val="000000" w:themeColor="text1"/>
        </w:rPr>
        <w:t xml:space="preserve">El monto a pagar con motivo de la concentración debe sumar el precio de la operación y, en su caso, la asunción de deudas, intercambio de acciones y/o activos, o cualquier otro elemento que los </w:t>
      </w:r>
      <w:r w:rsidR="008A07CB" w:rsidRPr="00A07D9A">
        <w:rPr>
          <w:color w:val="000000" w:themeColor="text1"/>
        </w:rPr>
        <w:t>agentes económicos</w:t>
      </w:r>
      <w:r w:rsidRPr="00A07D9A">
        <w:rPr>
          <w:color w:val="000000" w:themeColor="text1"/>
        </w:rPr>
        <w:t xml:space="preserve"> hubieran considerado para la compraventa de todas las acciones, partes sociales, unidades de participación y/o activos involucrados en la adquisición en México.</w:t>
      </w:r>
    </w:p>
    <w:p w14:paraId="0EF56500" w14:textId="77777777" w:rsidR="00A11C90" w:rsidRPr="00A07D9A" w:rsidRDefault="00A11C90" w:rsidP="00A11C90">
      <w:pPr>
        <w:rPr>
          <w:color w:val="000000" w:themeColor="text1"/>
        </w:rPr>
      </w:pPr>
      <w:r w:rsidRPr="00A07D9A">
        <w:rPr>
          <w:color w:val="000000" w:themeColor="text1"/>
        </w:rPr>
        <w:t xml:space="preserve">Asimismo, el monto se calculará respecto del acto o del conjunto de actos que integran la concentración. En consecuencia, si una transacción se compone de una sucesión de actos, deberá sumarse la totalidad de los montos que los </w:t>
      </w:r>
      <w:r w:rsidR="008A07CB" w:rsidRPr="00A07D9A">
        <w:rPr>
          <w:color w:val="000000" w:themeColor="text1"/>
        </w:rPr>
        <w:t xml:space="preserve">agentes </w:t>
      </w:r>
      <w:r w:rsidR="008A07CB" w:rsidRPr="00A07D9A">
        <w:rPr>
          <w:color w:val="000000" w:themeColor="text1"/>
        </w:rPr>
        <w:lastRenderedPageBreak/>
        <w:t>económicos</w:t>
      </w:r>
      <w:r w:rsidRPr="00A07D9A">
        <w:rPr>
          <w:color w:val="000000" w:themeColor="text1"/>
        </w:rPr>
        <w:t xml:space="preserve"> asignaron a cada uno de éstos y el resultado deberá ser superior a l</w:t>
      </w:r>
      <w:r w:rsidR="006969DB" w:rsidRPr="00A07D9A">
        <w:rPr>
          <w:color w:val="000000" w:themeColor="text1"/>
        </w:rPr>
        <w:t>o</w:t>
      </w:r>
      <w:r w:rsidRPr="00A07D9A">
        <w:rPr>
          <w:color w:val="000000" w:themeColor="text1"/>
        </w:rPr>
        <w:t xml:space="preserve">s dieciocho millones de veces </w:t>
      </w:r>
      <w:r w:rsidR="00CE6784" w:rsidRPr="00A07D9A">
        <w:rPr>
          <w:color w:val="000000" w:themeColor="text1"/>
        </w:rPr>
        <w:t xml:space="preserve">el valor diario de </w:t>
      </w:r>
      <w:r w:rsidR="00544635" w:rsidRPr="00A07D9A">
        <w:rPr>
          <w:color w:val="000000" w:themeColor="text1"/>
        </w:rPr>
        <w:t>la UMA</w:t>
      </w:r>
      <w:r w:rsidRPr="00A07D9A">
        <w:rPr>
          <w:color w:val="000000" w:themeColor="text1"/>
        </w:rPr>
        <w:t>.</w:t>
      </w:r>
    </w:p>
    <w:p w14:paraId="77307063" w14:textId="77777777" w:rsidR="00A11C90" w:rsidRPr="00A07D9A" w:rsidRDefault="00A11C90" w:rsidP="00A11C90">
      <w:pPr>
        <w:rPr>
          <w:color w:val="000000" w:themeColor="text1"/>
        </w:rPr>
      </w:pPr>
      <w:r w:rsidRPr="00A07D9A">
        <w:rPr>
          <w:color w:val="000000" w:themeColor="text1"/>
        </w:rPr>
        <w:t>Para el caso de concentraciones que sólo involucran sociedades mexicanas y activos ubicados en territorio nacional, el monto de la operación se integra</w:t>
      </w:r>
      <w:r w:rsidR="00B23B67" w:rsidRPr="00A07D9A">
        <w:rPr>
          <w:color w:val="000000" w:themeColor="text1"/>
        </w:rPr>
        <w:t>, en general,</w:t>
      </w:r>
      <w:r w:rsidRPr="00A07D9A">
        <w:rPr>
          <w:color w:val="000000" w:themeColor="text1"/>
        </w:rPr>
        <w:t xml:space="preserve"> en los contratos o convenios firmados por los </w:t>
      </w:r>
      <w:r w:rsidR="008A07CB" w:rsidRPr="00A07D9A">
        <w:rPr>
          <w:color w:val="000000" w:themeColor="text1"/>
        </w:rPr>
        <w:t>agentes económicos</w:t>
      </w:r>
      <w:r w:rsidRPr="00A07D9A">
        <w:rPr>
          <w:color w:val="000000" w:themeColor="text1"/>
        </w:rPr>
        <w:t xml:space="preserve"> involucrados</w:t>
      </w:r>
      <w:r w:rsidR="009A5AA2" w:rsidRPr="00A07D9A">
        <w:rPr>
          <w:color w:val="000000" w:themeColor="text1"/>
        </w:rPr>
        <w:t>, así como con la información proveniente de sus estados financieros</w:t>
      </w:r>
      <w:r w:rsidRPr="00A07D9A">
        <w:rPr>
          <w:color w:val="000000" w:themeColor="text1"/>
        </w:rPr>
        <w:t xml:space="preserve">. </w:t>
      </w:r>
    </w:p>
    <w:p w14:paraId="1854796F" w14:textId="00E91386" w:rsidR="003C2338" w:rsidRPr="00A07D9A" w:rsidRDefault="00A11C90" w:rsidP="00A11C90">
      <w:pPr>
        <w:rPr>
          <w:color w:val="000000" w:themeColor="text1"/>
        </w:rPr>
      </w:pPr>
      <w:r w:rsidRPr="00A07D9A">
        <w:rPr>
          <w:color w:val="000000" w:themeColor="text1"/>
        </w:rPr>
        <w:t xml:space="preserve">Para el caso de concentraciones internacionales con impacto en México, es común que los </w:t>
      </w:r>
      <w:r w:rsidR="008A07CB" w:rsidRPr="00A07D9A">
        <w:rPr>
          <w:color w:val="000000" w:themeColor="text1"/>
        </w:rPr>
        <w:t>agentes económicos</w:t>
      </w:r>
      <w:r w:rsidRPr="00A07D9A">
        <w:rPr>
          <w:color w:val="000000" w:themeColor="text1"/>
        </w:rPr>
        <w:t xml:space="preserve"> involucrados establezcan un único monto por la adquisición de acciones y/o activos que se ubiquen en diversas partes del mundo, sin hacer una separación por país. Para efectos de evaluar la fracción I del artículo 86 de la LFCE, el IFT sólo considerará aquellos montos que los </w:t>
      </w:r>
      <w:r w:rsidR="008A07CB" w:rsidRPr="00A07D9A">
        <w:rPr>
          <w:color w:val="000000" w:themeColor="text1"/>
        </w:rPr>
        <w:t>agentes económicos</w:t>
      </w:r>
      <w:r w:rsidRPr="00A07D9A">
        <w:rPr>
          <w:color w:val="000000" w:themeColor="text1"/>
        </w:rPr>
        <w:t xml:space="preserve"> separen para el territorio nacional. </w:t>
      </w:r>
      <w:r w:rsidR="005055B7" w:rsidRPr="00A07D9A">
        <w:rPr>
          <w:color w:val="000000" w:themeColor="text1"/>
        </w:rPr>
        <w:t>Para</w:t>
      </w:r>
      <w:r w:rsidR="0057335A" w:rsidRPr="00A07D9A">
        <w:rPr>
          <w:color w:val="000000" w:themeColor="text1"/>
        </w:rPr>
        <w:t xml:space="preserve"> tal efecto, el IFT podrá allegar</w:t>
      </w:r>
      <w:r w:rsidR="005055B7" w:rsidRPr="00A07D9A">
        <w:rPr>
          <w:color w:val="000000" w:themeColor="text1"/>
        </w:rPr>
        <w:t>se de información proveniente de estados financieros.</w:t>
      </w:r>
    </w:p>
    <w:p w14:paraId="7BC3475A" w14:textId="77777777" w:rsidR="00F67F84" w:rsidRPr="00A07D9A" w:rsidRDefault="00F67F84" w:rsidP="00A11C90">
      <w:pPr>
        <w:rPr>
          <w:color w:val="000000" w:themeColor="text1"/>
        </w:rPr>
      </w:pPr>
      <w:r w:rsidRPr="00A07D9A">
        <w:rPr>
          <w:color w:val="000000" w:themeColor="text1"/>
        </w:rPr>
        <w:t xml:space="preserve">Para contratos, convenios, acuerdos o actos que otorguen, de hecho o de derecho, a un agente económico influencia o control sobre otro agente económico, que no impliquen la adquisición de activos o capital social, </w:t>
      </w:r>
      <w:r w:rsidR="00695CF5" w:rsidRPr="00A07D9A">
        <w:rPr>
          <w:color w:val="000000" w:themeColor="text1"/>
        </w:rPr>
        <w:t>el monto de la operación establecido en los contratos, convenios, acuerdos o actos correspondientes será considerado para evaluar la actualización de la hipótesis correspondiente a la fracción I de este artículo</w:t>
      </w:r>
      <w:r w:rsidRPr="00A07D9A">
        <w:rPr>
          <w:color w:val="000000" w:themeColor="text1"/>
        </w:rPr>
        <w:t>.</w:t>
      </w:r>
    </w:p>
    <w:p w14:paraId="0D953219" w14:textId="77777777" w:rsidR="00A11C90" w:rsidRPr="00A07D9A" w:rsidRDefault="00A11C90" w:rsidP="00B14792">
      <w:pPr>
        <w:pStyle w:val="Ttulo3"/>
        <w:rPr>
          <w:color w:val="000000" w:themeColor="text1"/>
        </w:rPr>
      </w:pPr>
      <w:bookmarkStart w:id="46" w:name="_Toc462053113"/>
      <w:r w:rsidRPr="00A07D9A">
        <w:rPr>
          <w:color w:val="000000" w:themeColor="text1"/>
        </w:rPr>
        <w:t>Segundo umbral. Fracción II del artículo 86 de la LFCE</w:t>
      </w:r>
      <w:bookmarkEnd w:id="46"/>
    </w:p>
    <w:p w14:paraId="2FAF99DD" w14:textId="77777777" w:rsidR="00A11C90" w:rsidRPr="00A07D9A" w:rsidRDefault="00A11C90" w:rsidP="009446C3">
      <w:pPr>
        <w:pStyle w:val="Prrafodelista"/>
        <w:numPr>
          <w:ilvl w:val="0"/>
          <w:numId w:val="0"/>
        </w:numPr>
        <w:ind w:left="720"/>
        <w:rPr>
          <w:color w:val="000000" w:themeColor="text1"/>
        </w:rPr>
      </w:pPr>
      <w:r w:rsidRPr="00A07D9A">
        <w:rPr>
          <w:color w:val="000000" w:themeColor="text1"/>
        </w:rPr>
        <w:t>“II.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7EAE7046" w14:textId="77777777" w:rsidR="00A11C90" w:rsidRPr="00A07D9A" w:rsidRDefault="00A11C90" w:rsidP="00A11C90">
      <w:pPr>
        <w:rPr>
          <w:color w:val="000000" w:themeColor="text1"/>
        </w:rPr>
      </w:pPr>
      <w:r w:rsidRPr="00A07D9A">
        <w:rPr>
          <w:color w:val="000000" w:themeColor="text1"/>
        </w:rPr>
        <w:t xml:space="preserve">Este umbral se compone de dos partes o requisitos que se aplican al </w:t>
      </w:r>
      <w:r w:rsidR="00A83FB8" w:rsidRPr="00A07D9A">
        <w:rPr>
          <w:color w:val="000000" w:themeColor="text1"/>
        </w:rPr>
        <w:t>agente económico</w:t>
      </w:r>
      <w:r w:rsidRPr="00A07D9A">
        <w:rPr>
          <w:color w:val="000000" w:themeColor="text1"/>
        </w:rPr>
        <w:t xml:space="preserve"> adquirido, que pueden estar integrados por una única persona o por un conjunto de personas o activos. </w:t>
      </w:r>
    </w:p>
    <w:p w14:paraId="05162817" w14:textId="77777777" w:rsidR="00A11C90" w:rsidRPr="00A07D9A" w:rsidRDefault="00A11C90" w:rsidP="00A11C90">
      <w:pPr>
        <w:rPr>
          <w:color w:val="000000" w:themeColor="text1"/>
        </w:rPr>
      </w:pPr>
      <w:r w:rsidRPr="00A07D9A">
        <w:rPr>
          <w:color w:val="000000" w:themeColor="text1"/>
        </w:rPr>
        <w:t xml:space="preserve">Con relación a la primera parte, el IFT debe considerar que el acto o sucesión de actos impliquen la acumulación del 35% (treinta y cinco por ciento) o más de los activos o acciones del </w:t>
      </w:r>
      <w:r w:rsidR="00A83FB8" w:rsidRPr="00A07D9A">
        <w:rPr>
          <w:color w:val="000000" w:themeColor="text1"/>
        </w:rPr>
        <w:t>agente económico</w:t>
      </w:r>
      <w:r w:rsidR="004A1552" w:rsidRPr="00A07D9A">
        <w:rPr>
          <w:color w:val="000000" w:themeColor="text1"/>
        </w:rPr>
        <w:t xml:space="preserve"> adquirido</w:t>
      </w:r>
      <w:r w:rsidRPr="00A07D9A">
        <w:rPr>
          <w:color w:val="000000" w:themeColor="text1"/>
        </w:rPr>
        <w:t xml:space="preserve">. Al respecto, el IFT no se limita a considerar </w:t>
      </w:r>
      <w:r w:rsidR="008A07CB" w:rsidRPr="00A07D9A">
        <w:rPr>
          <w:color w:val="000000" w:themeColor="text1"/>
        </w:rPr>
        <w:t>agentes económicos</w:t>
      </w:r>
      <w:r w:rsidRPr="00A07D9A">
        <w:rPr>
          <w:color w:val="000000" w:themeColor="text1"/>
        </w:rPr>
        <w:t xml:space="preserve"> que se ubiquen en México o tengan una nacionalidad mexicana, sino que el efecto de la acumulación se pueda dar sobre cualquier empresa o grupo de empresas de cualquier nacionalidad y ubicadas en cualquier parte del mundo, siempre y cuando las mismas, directa o indirectamente, tengan ventas originadas en México o activos en territorio nacional.</w:t>
      </w:r>
    </w:p>
    <w:p w14:paraId="3E0CBB2B" w14:textId="77777777" w:rsidR="00A11C90" w:rsidRPr="00A07D9A" w:rsidRDefault="00A11C90" w:rsidP="00A11C90">
      <w:pPr>
        <w:rPr>
          <w:color w:val="000000" w:themeColor="text1"/>
        </w:rPr>
      </w:pPr>
      <w:r w:rsidRPr="00A07D9A">
        <w:rPr>
          <w:color w:val="000000" w:themeColor="text1"/>
        </w:rPr>
        <w:lastRenderedPageBreak/>
        <w:t xml:space="preserve">En la segunda parte, se evaluará respecto al </w:t>
      </w:r>
      <w:r w:rsidR="00AC4DA6" w:rsidRPr="00A07D9A">
        <w:rPr>
          <w:color w:val="000000" w:themeColor="text1"/>
        </w:rPr>
        <w:t>agente económico</w:t>
      </w:r>
      <w:r w:rsidRPr="00A07D9A">
        <w:rPr>
          <w:color w:val="000000" w:themeColor="text1"/>
        </w:rPr>
        <w:t xml:space="preserve"> adquirido que sus ventas anuales originadas en México o activos en el territorio nacional superen los dieciocho millones de veces </w:t>
      </w:r>
      <w:r w:rsidR="00CE6784" w:rsidRPr="00A07D9A">
        <w:rPr>
          <w:color w:val="000000" w:themeColor="text1"/>
        </w:rPr>
        <w:t xml:space="preserve">el valor diario de </w:t>
      </w:r>
      <w:r w:rsidR="00544635" w:rsidRPr="00A07D9A">
        <w:rPr>
          <w:color w:val="000000" w:themeColor="text1"/>
        </w:rPr>
        <w:t>la UMA</w:t>
      </w:r>
      <w:r w:rsidRPr="00A07D9A">
        <w:rPr>
          <w:color w:val="000000" w:themeColor="text1"/>
        </w:rPr>
        <w:t xml:space="preserve">. Por ventas anuales originadas en el territorio nacional, se entiende las ventas por bienes o servicios, intermedios o finales, que se </w:t>
      </w:r>
      <w:r w:rsidR="00A200A3" w:rsidRPr="00A07D9A">
        <w:rPr>
          <w:color w:val="000000" w:themeColor="text1"/>
        </w:rPr>
        <w:t xml:space="preserve">facturen </w:t>
      </w:r>
      <w:r w:rsidRPr="00A07D9A">
        <w:rPr>
          <w:color w:val="000000" w:themeColor="text1"/>
        </w:rPr>
        <w:t>dentro del territorio nacional. Para el caso de los activos, estos deben tratarse de cualquier activo que se ubique en territorio nacional.</w:t>
      </w:r>
    </w:p>
    <w:p w14:paraId="09753F09" w14:textId="77777777" w:rsidR="0097607F" w:rsidRPr="00A07D9A" w:rsidRDefault="00A11C90" w:rsidP="00A11C90">
      <w:pPr>
        <w:rPr>
          <w:color w:val="000000" w:themeColor="text1"/>
        </w:rPr>
      </w:pPr>
      <w:r w:rsidRPr="00A07D9A">
        <w:rPr>
          <w:color w:val="000000" w:themeColor="text1"/>
        </w:rPr>
        <w:t>Los dos requisitos identificados deben actualizarse para considerarse que una concentración es objeto de obligación de notificación.</w:t>
      </w:r>
    </w:p>
    <w:p w14:paraId="71FFEAA6" w14:textId="77777777" w:rsidR="0097607F" w:rsidRPr="00A07D9A" w:rsidRDefault="0097607F" w:rsidP="00A11C90">
      <w:pPr>
        <w:rPr>
          <w:color w:val="000000" w:themeColor="text1"/>
        </w:rPr>
      </w:pPr>
      <w:r w:rsidRPr="00A07D9A">
        <w:rPr>
          <w:color w:val="000000" w:themeColor="text1"/>
        </w:rPr>
        <w:t>Ejemplo. Una empresa A en el extranjero adquiere el 40% (cuarenta por ciento) del capital social de un</w:t>
      </w:r>
      <w:r w:rsidR="005F334C" w:rsidRPr="00A07D9A">
        <w:rPr>
          <w:color w:val="000000" w:themeColor="text1"/>
        </w:rPr>
        <w:t xml:space="preserve"> agente económico</w:t>
      </w:r>
      <w:r w:rsidRPr="00A07D9A">
        <w:rPr>
          <w:color w:val="000000" w:themeColor="text1"/>
        </w:rPr>
        <w:t xml:space="preserve"> B en el extranjero. </w:t>
      </w:r>
      <w:r w:rsidR="005F334C" w:rsidRPr="00A07D9A">
        <w:rPr>
          <w:color w:val="000000" w:themeColor="text1"/>
        </w:rPr>
        <w:t>El agente económico</w:t>
      </w:r>
      <w:r w:rsidRPr="00A07D9A">
        <w:rPr>
          <w:color w:val="000000" w:themeColor="text1"/>
        </w:rPr>
        <w:t xml:space="preserve"> B, a su vez, detenta el 10% (diez por ciento) del capital social de una empresa C en M</w:t>
      </w:r>
      <w:r w:rsidR="003C2338" w:rsidRPr="00A07D9A">
        <w:rPr>
          <w:color w:val="000000" w:themeColor="text1"/>
        </w:rPr>
        <w:t>éxico, la cual</w:t>
      </w:r>
      <w:r w:rsidRPr="00A07D9A">
        <w:rPr>
          <w:color w:val="000000" w:themeColor="text1"/>
        </w:rPr>
        <w:t xml:space="preserve"> registra ventas o activos en territorio nacional.</w:t>
      </w:r>
    </w:p>
    <w:p w14:paraId="01D9CCDB" w14:textId="77777777" w:rsidR="0097607F" w:rsidRPr="00A07D9A" w:rsidRDefault="0097607F" w:rsidP="00A11C90">
      <w:pPr>
        <w:rPr>
          <w:color w:val="000000" w:themeColor="text1"/>
        </w:rPr>
      </w:pPr>
      <w:r w:rsidRPr="00A07D9A">
        <w:rPr>
          <w:color w:val="000000" w:themeColor="text1"/>
        </w:rPr>
        <w:t xml:space="preserve">La operación </w:t>
      </w:r>
      <w:r w:rsidR="003C2338" w:rsidRPr="00A07D9A">
        <w:rPr>
          <w:color w:val="000000" w:themeColor="text1"/>
        </w:rPr>
        <w:t xml:space="preserve">ejemplificada </w:t>
      </w:r>
      <w:r w:rsidRPr="00A07D9A">
        <w:rPr>
          <w:color w:val="000000" w:themeColor="text1"/>
        </w:rPr>
        <w:t xml:space="preserve">actualiza la primera parte de la fracción II del artículo 86 de la LFCE, pues </w:t>
      </w:r>
      <w:r w:rsidR="003C2338" w:rsidRPr="00A07D9A">
        <w:rPr>
          <w:color w:val="000000" w:themeColor="text1"/>
        </w:rPr>
        <w:t xml:space="preserve">refleja la adquisición de </w:t>
      </w:r>
      <w:r w:rsidRPr="00A07D9A">
        <w:rPr>
          <w:color w:val="000000" w:themeColor="text1"/>
        </w:rPr>
        <w:t>más del 35% (treinta y cinco por ciento) de un agente económico (en este caso, el agente económico B),</w:t>
      </w:r>
      <w:r w:rsidR="00312C1C" w:rsidRPr="00A07D9A">
        <w:rPr>
          <w:color w:val="000000" w:themeColor="text1"/>
        </w:rPr>
        <w:t xml:space="preserve"> siendo irrelevante si</w:t>
      </w:r>
      <w:r w:rsidRPr="00A07D9A">
        <w:rPr>
          <w:color w:val="000000" w:themeColor="text1"/>
        </w:rPr>
        <w:t xml:space="preserve"> </w:t>
      </w:r>
      <w:r w:rsidR="003C2338" w:rsidRPr="00A07D9A">
        <w:rPr>
          <w:color w:val="000000" w:themeColor="text1"/>
        </w:rPr>
        <w:t xml:space="preserve">ello </w:t>
      </w:r>
      <w:r w:rsidRPr="00A07D9A">
        <w:rPr>
          <w:color w:val="000000" w:themeColor="text1"/>
        </w:rPr>
        <w:t>sucede en el extranjero o en el territorio nacional.</w:t>
      </w:r>
    </w:p>
    <w:p w14:paraId="31A7944A" w14:textId="1C4294D4" w:rsidR="009A5AA2" w:rsidRPr="00A07D9A" w:rsidRDefault="0097607F" w:rsidP="003C2FAD">
      <w:pPr>
        <w:rPr>
          <w:color w:val="000000" w:themeColor="text1"/>
        </w:rPr>
      </w:pPr>
      <w:r w:rsidRPr="00A07D9A">
        <w:rPr>
          <w:color w:val="000000" w:themeColor="text1"/>
        </w:rPr>
        <w:t>Asimismo, la operación actualizaría la segunda parte de la fracción II del artículo 86 de la LFCE si y s</w:t>
      </w:r>
      <w:r w:rsidR="003C2338" w:rsidRPr="00A07D9A">
        <w:rPr>
          <w:color w:val="000000" w:themeColor="text1"/>
        </w:rPr>
        <w:t>ólo si</w:t>
      </w:r>
      <w:r w:rsidRPr="00A07D9A">
        <w:rPr>
          <w:color w:val="000000" w:themeColor="text1"/>
        </w:rPr>
        <w:t xml:space="preserve"> </w:t>
      </w:r>
      <w:r w:rsidR="00852928" w:rsidRPr="00A07D9A">
        <w:rPr>
          <w:color w:val="000000" w:themeColor="text1"/>
        </w:rPr>
        <w:t xml:space="preserve">el 10% </w:t>
      </w:r>
      <w:r w:rsidR="00695CF5" w:rsidRPr="00A07D9A">
        <w:rPr>
          <w:color w:val="000000" w:themeColor="text1"/>
        </w:rPr>
        <w:t xml:space="preserve">(diez por ciento) de los </w:t>
      </w:r>
      <w:r w:rsidR="00312C1C" w:rsidRPr="00A07D9A">
        <w:rPr>
          <w:color w:val="000000" w:themeColor="text1"/>
        </w:rPr>
        <w:t xml:space="preserve">activos </w:t>
      </w:r>
      <w:r w:rsidR="00852928" w:rsidRPr="00A07D9A">
        <w:rPr>
          <w:color w:val="000000" w:themeColor="text1"/>
        </w:rPr>
        <w:t xml:space="preserve">o las ventas anuales originadas </w:t>
      </w:r>
      <w:r w:rsidRPr="00A07D9A">
        <w:rPr>
          <w:color w:val="000000" w:themeColor="text1"/>
        </w:rPr>
        <w:t xml:space="preserve">en el territorio nacional </w:t>
      </w:r>
      <w:r w:rsidR="003C2338" w:rsidRPr="00A07D9A">
        <w:rPr>
          <w:color w:val="000000" w:themeColor="text1"/>
        </w:rPr>
        <w:t>de es</w:t>
      </w:r>
      <w:r w:rsidR="00312C1C" w:rsidRPr="00A07D9A">
        <w:rPr>
          <w:color w:val="000000" w:themeColor="text1"/>
        </w:rPr>
        <w:t xml:space="preserve">a empresa C </w:t>
      </w:r>
      <w:r w:rsidRPr="00A07D9A">
        <w:rPr>
          <w:color w:val="000000" w:themeColor="text1"/>
        </w:rPr>
        <w:t xml:space="preserve">supera los dieciocho millones de veces </w:t>
      </w:r>
      <w:r w:rsidR="00CE6784" w:rsidRPr="00A07D9A">
        <w:rPr>
          <w:color w:val="000000" w:themeColor="text1"/>
        </w:rPr>
        <w:t xml:space="preserve">el valor diario de </w:t>
      </w:r>
      <w:r w:rsidRPr="00A07D9A">
        <w:rPr>
          <w:color w:val="000000" w:themeColor="text1"/>
        </w:rPr>
        <w:t xml:space="preserve">la UMA. Es decir, para acreditar la segunda parte del umbral, se considerarán exactamente </w:t>
      </w:r>
      <w:r w:rsidR="00852928" w:rsidRPr="00A07D9A">
        <w:rPr>
          <w:color w:val="000000" w:themeColor="text1"/>
        </w:rPr>
        <w:t>los</w:t>
      </w:r>
      <w:r w:rsidR="00312C1C" w:rsidRPr="00A07D9A">
        <w:rPr>
          <w:color w:val="000000" w:themeColor="text1"/>
        </w:rPr>
        <w:t xml:space="preserve"> activos </w:t>
      </w:r>
      <w:r w:rsidR="00852928" w:rsidRPr="00A07D9A">
        <w:rPr>
          <w:color w:val="000000" w:themeColor="text1"/>
        </w:rPr>
        <w:t xml:space="preserve">o las ventas anuales originadas </w:t>
      </w:r>
      <w:r w:rsidR="00312C1C" w:rsidRPr="00A07D9A">
        <w:rPr>
          <w:color w:val="000000" w:themeColor="text1"/>
        </w:rPr>
        <w:t>en México</w:t>
      </w:r>
      <w:r w:rsidR="00852928" w:rsidRPr="00A07D9A">
        <w:rPr>
          <w:color w:val="000000" w:themeColor="text1"/>
        </w:rPr>
        <w:t xml:space="preserve"> que pueden ser </w:t>
      </w:r>
      <w:r w:rsidR="005F334C" w:rsidRPr="00A07D9A">
        <w:rPr>
          <w:color w:val="000000" w:themeColor="text1"/>
        </w:rPr>
        <w:t xml:space="preserve">atribuidas al agente económico B en territorio nacional y, que en este caso, corresponderían al 10% </w:t>
      </w:r>
      <w:r w:rsidR="00695CF5" w:rsidRPr="00A07D9A">
        <w:rPr>
          <w:color w:val="000000" w:themeColor="text1"/>
        </w:rPr>
        <w:t xml:space="preserve">(diez por ciento) </w:t>
      </w:r>
      <w:r w:rsidR="005F334C" w:rsidRPr="00A07D9A">
        <w:rPr>
          <w:color w:val="000000" w:themeColor="text1"/>
        </w:rPr>
        <w:t>de esos indicadores financieros</w:t>
      </w:r>
      <w:r w:rsidR="00431936" w:rsidRPr="00A07D9A">
        <w:rPr>
          <w:color w:val="000000" w:themeColor="text1"/>
        </w:rPr>
        <w:t>. Lo anterior,</w:t>
      </w:r>
      <w:r w:rsidR="005F334C" w:rsidRPr="00A07D9A">
        <w:rPr>
          <w:color w:val="000000" w:themeColor="text1"/>
        </w:rPr>
        <w:t xml:space="preserve"> pues ese porcentaje corresponde a la participación en el capital social que el agente económico B tiene en la empresa C</w:t>
      </w:r>
      <w:r w:rsidR="00312C1C" w:rsidRPr="00A07D9A">
        <w:rPr>
          <w:color w:val="000000" w:themeColor="text1"/>
        </w:rPr>
        <w:t>.</w:t>
      </w:r>
    </w:p>
    <w:p w14:paraId="04F09854" w14:textId="77777777" w:rsidR="00A11C90" w:rsidRPr="00A07D9A" w:rsidRDefault="00A11C90" w:rsidP="00B14792">
      <w:pPr>
        <w:pStyle w:val="Ttulo3"/>
        <w:rPr>
          <w:color w:val="000000" w:themeColor="text1"/>
        </w:rPr>
      </w:pPr>
      <w:bookmarkStart w:id="47" w:name="_Toc462053114"/>
      <w:r w:rsidRPr="00A07D9A">
        <w:rPr>
          <w:color w:val="000000" w:themeColor="text1"/>
        </w:rPr>
        <w:t>Tercer umbral. Fracción III del artículo 86 de la LFCE</w:t>
      </w:r>
      <w:bookmarkEnd w:id="47"/>
    </w:p>
    <w:p w14:paraId="1D107FE5" w14:textId="77777777" w:rsidR="00A11C90" w:rsidRPr="00A07D9A" w:rsidRDefault="00A11C90" w:rsidP="00431936">
      <w:pPr>
        <w:pStyle w:val="Prrafodelista"/>
        <w:numPr>
          <w:ilvl w:val="0"/>
          <w:numId w:val="0"/>
        </w:numPr>
        <w:ind w:left="720"/>
        <w:rPr>
          <w:color w:val="000000" w:themeColor="text1"/>
        </w:rPr>
      </w:pPr>
      <w:r w:rsidRPr="00A07D9A">
        <w:rPr>
          <w:color w:val="000000" w:themeColor="text1"/>
        </w:rPr>
        <w:t>“III.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1D074292" w14:textId="77777777" w:rsidR="00A11C90" w:rsidRPr="00A07D9A" w:rsidRDefault="00A11C90" w:rsidP="00A11C90">
      <w:pPr>
        <w:rPr>
          <w:color w:val="000000" w:themeColor="text1"/>
        </w:rPr>
      </w:pPr>
      <w:r w:rsidRPr="00A07D9A">
        <w:rPr>
          <w:color w:val="000000" w:themeColor="text1"/>
        </w:rPr>
        <w:t>Este umbral también se integra de dos partes.</w:t>
      </w:r>
    </w:p>
    <w:p w14:paraId="3A918E5E" w14:textId="77777777" w:rsidR="00A11C90" w:rsidRPr="00A07D9A" w:rsidRDefault="00A11C90" w:rsidP="00A11C90">
      <w:pPr>
        <w:rPr>
          <w:color w:val="000000" w:themeColor="text1"/>
        </w:rPr>
      </w:pPr>
      <w:r w:rsidRPr="00A07D9A">
        <w:rPr>
          <w:color w:val="000000" w:themeColor="text1"/>
        </w:rPr>
        <w:t xml:space="preserve">En la primera parte, se identificará si el acto o sucesión de actos que le dan origen a la concentración implican una acumulación en el territorio nacional de activos o </w:t>
      </w:r>
      <w:r w:rsidRPr="00A07D9A">
        <w:rPr>
          <w:color w:val="000000" w:themeColor="text1"/>
        </w:rPr>
        <w:lastRenderedPageBreak/>
        <w:t xml:space="preserve">capital social superior a ocho millones cuatrocientas mil veces </w:t>
      </w:r>
      <w:r w:rsidR="00CE6784" w:rsidRPr="00A07D9A">
        <w:rPr>
          <w:color w:val="000000" w:themeColor="text1"/>
        </w:rPr>
        <w:t>el valor diario de</w:t>
      </w:r>
      <w:r w:rsidRPr="00A07D9A">
        <w:rPr>
          <w:color w:val="000000" w:themeColor="text1"/>
        </w:rPr>
        <w:t xml:space="preserve"> </w:t>
      </w:r>
      <w:r w:rsidR="00544635" w:rsidRPr="00A07D9A">
        <w:rPr>
          <w:color w:val="000000" w:themeColor="text1"/>
        </w:rPr>
        <w:t>la UMA</w:t>
      </w:r>
      <w:r w:rsidRPr="00A07D9A">
        <w:rPr>
          <w:color w:val="000000" w:themeColor="text1"/>
        </w:rPr>
        <w:t xml:space="preserve">. </w:t>
      </w:r>
    </w:p>
    <w:p w14:paraId="7D0F6FE1" w14:textId="77777777" w:rsidR="00A11C90" w:rsidRPr="00A07D9A" w:rsidRDefault="00A11C90" w:rsidP="00A11C90">
      <w:pPr>
        <w:rPr>
          <w:color w:val="000000" w:themeColor="text1"/>
        </w:rPr>
      </w:pPr>
      <w:r w:rsidRPr="00A07D9A">
        <w:rPr>
          <w:color w:val="000000" w:themeColor="text1"/>
        </w:rPr>
        <w:t>Al respecto, son pertinentes las siguientes aclaraciones:</w:t>
      </w:r>
    </w:p>
    <w:p w14:paraId="544412BB" w14:textId="77777777" w:rsidR="00A11C90" w:rsidRPr="00A07D9A" w:rsidRDefault="00A11C90" w:rsidP="00431936">
      <w:pPr>
        <w:pStyle w:val="Prrafodelista"/>
        <w:numPr>
          <w:ilvl w:val="0"/>
          <w:numId w:val="5"/>
        </w:numPr>
        <w:spacing w:after="160" w:line="259" w:lineRule="auto"/>
        <w:ind w:left="567"/>
        <w:rPr>
          <w:color w:val="000000" w:themeColor="text1"/>
        </w:rPr>
      </w:pPr>
      <w:r w:rsidRPr="00A07D9A">
        <w:rPr>
          <w:color w:val="000000" w:themeColor="text1"/>
        </w:rPr>
        <w:t>La acumulación sólo se refiere a activos que se ubica</w:t>
      </w:r>
      <w:r w:rsidR="00A200A3" w:rsidRPr="00A07D9A">
        <w:rPr>
          <w:color w:val="000000" w:themeColor="text1"/>
        </w:rPr>
        <w:t>n</w:t>
      </w:r>
      <w:r w:rsidRPr="00A07D9A">
        <w:rPr>
          <w:color w:val="000000" w:themeColor="text1"/>
        </w:rPr>
        <w:t xml:space="preserve"> en territorio nacional </w:t>
      </w:r>
      <w:r w:rsidR="00A200A3" w:rsidRPr="00A07D9A">
        <w:rPr>
          <w:color w:val="000000" w:themeColor="text1"/>
        </w:rPr>
        <w:t>o capital social de personas morales de nacionalidad mexicana; que pertenecen a</w:t>
      </w:r>
      <w:r w:rsidRPr="00A07D9A">
        <w:rPr>
          <w:color w:val="000000" w:themeColor="text1"/>
        </w:rPr>
        <w:t xml:space="preserve">l </w:t>
      </w:r>
      <w:r w:rsidR="00A83FB8" w:rsidRPr="00A07D9A">
        <w:rPr>
          <w:color w:val="000000" w:themeColor="text1"/>
        </w:rPr>
        <w:t>agente económico</w:t>
      </w:r>
      <w:r w:rsidRPr="00A07D9A">
        <w:rPr>
          <w:color w:val="000000" w:themeColor="text1"/>
        </w:rPr>
        <w:t xml:space="preserve"> adquirido.</w:t>
      </w:r>
    </w:p>
    <w:p w14:paraId="528F83D9" w14:textId="77777777" w:rsidR="00A11C90" w:rsidRPr="00A07D9A" w:rsidRDefault="00A11C90" w:rsidP="00431936">
      <w:pPr>
        <w:pStyle w:val="Prrafodelista"/>
        <w:numPr>
          <w:ilvl w:val="0"/>
          <w:numId w:val="5"/>
        </w:numPr>
        <w:spacing w:after="160" w:line="259" w:lineRule="auto"/>
        <w:ind w:left="567"/>
        <w:rPr>
          <w:color w:val="000000" w:themeColor="text1"/>
        </w:rPr>
      </w:pPr>
      <w:r w:rsidRPr="00A07D9A">
        <w:rPr>
          <w:color w:val="000000" w:themeColor="text1"/>
        </w:rPr>
        <w:t>En concentraciones que no implican adquisiciones, directas o indirectas, del total del capital social de una sociedad en particular, no es posible obtener inmediatamente la acumulación de activos correspondiente. Para obtener ese dato, es necesario multiplicar la parte porcentual del capital social que se adquiere por el monto total de los activos de la sociedad objeto de la adquisición.</w:t>
      </w:r>
    </w:p>
    <w:p w14:paraId="66C1F598" w14:textId="77777777" w:rsidR="00A11C90" w:rsidRPr="00A07D9A" w:rsidRDefault="00A11C90" w:rsidP="00A11C90">
      <w:pPr>
        <w:rPr>
          <w:color w:val="000000" w:themeColor="text1"/>
        </w:rPr>
      </w:pPr>
      <w:r w:rsidRPr="00A07D9A">
        <w:rPr>
          <w:color w:val="000000" w:themeColor="text1"/>
        </w:rPr>
        <w:t xml:space="preserve">En la segunda parte, se evaluará que los </w:t>
      </w:r>
      <w:r w:rsidR="008A07CB" w:rsidRPr="00A07D9A">
        <w:rPr>
          <w:color w:val="000000" w:themeColor="text1"/>
        </w:rPr>
        <w:t>agentes económicos</w:t>
      </w:r>
      <w:r w:rsidRPr="00A07D9A">
        <w:rPr>
          <w:color w:val="000000" w:themeColor="text1"/>
        </w:rPr>
        <w:t xml:space="preserve">, conjunta o separadamente, tengan ventas anuales o activos en el territorio nacional por más de cuarenta y ocho millones de veces </w:t>
      </w:r>
      <w:r w:rsidR="00CE6784" w:rsidRPr="00A07D9A">
        <w:rPr>
          <w:color w:val="000000" w:themeColor="text1"/>
        </w:rPr>
        <w:t xml:space="preserve">el valor diario de </w:t>
      </w:r>
      <w:r w:rsidR="00544635" w:rsidRPr="00A07D9A">
        <w:rPr>
          <w:color w:val="000000" w:themeColor="text1"/>
        </w:rPr>
        <w:t>la UMA</w:t>
      </w:r>
      <w:r w:rsidRPr="00A07D9A">
        <w:rPr>
          <w:color w:val="000000" w:themeColor="text1"/>
        </w:rPr>
        <w:t>. En este caso, es necesario puntualizar lo siguiente:</w:t>
      </w:r>
    </w:p>
    <w:p w14:paraId="39F7B949" w14:textId="77777777" w:rsidR="00A11C90" w:rsidRPr="00A07D9A" w:rsidRDefault="00A11C90" w:rsidP="00C164BD">
      <w:pPr>
        <w:pStyle w:val="Prrafodelista"/>
        <w:numPr>
          <w:ilvl w:val="0"/>
          <w:numId w:val="6"/>
        </w:numPr>
        <w:spacing w:after="160" w:line="259" w:lineRule="auto"/>
        <w:ind w:left="714" w:hanging="357"/>
        <w:rPr>
          <w:color w:val="000000" w:themeColor="text1"/>
        </w:rPr>
      </w:pPr>
      <w:r w:rsidRPr="00A07D9A">
        <w:rPr>
          <w:color w:val="000000" w:themeColor="text1"/>
        </w:rPr>
        <w:t xml:space="preserve">Se deben sumar las ventas anuales originadas en México o activos ubicados en territorio nacional de todas las sociedades que conforman los </w:t>
      </w:r>
      <w:r w:rsidR="008A07CB" w:rsidRPr="00A07D9A">
        <w:rPr>
          <w:color w:val="000000" w:themeColor="text1"/>
        </w:rPr>
        <w:t>agentes económicos</w:t>
      </w:r>
      <w:r w:rsidRPr="00A07D9A">
        <w:rPr>
          <w:color w:val="000000" w:themeColor="text1"/>
        </w:rPr>
        <w:t xml:space="preserve"> que participan en la concentración (usualmente </w:t>
      </w:r>
      <w:r w:rsidR="00A83FB8" w:rsidRPr="00A07D9A">
        <w:rPr>
          <w:color w:val="000000" w:themeColor="text1"/>
        </w:rPr>
        <w:t>agentes económicos</w:t>
      </w:r>
      <w:r w:rsidRPr="00A07D9A">
        <w:rPr>
          <w:color w:val="000000" w:themeColor="text1"/>
        </w:rPr>
        <w:t xml:space="preserve"> comprador y </w:t>
      </w:r>
      <w:r w:rsidR="00A83FB8" w:rsidRPr="00A07D9A">
        <w:rPr>
          <w:color w:val="000000" w:themeColor="text1"/>
        </w:rPr>
        <w:t>agentes económicos</w:t>
      </w:r>
      <w:r w:rsidRPr="00A07D9A">
        <w:rPr>
          <w:color w:val="000000" w:themeColor="text1"/>
        </w:rPr>
        <w:t xml:space="preserve"> vendedor), evaluados bajo su dimensión de GIE, independientemente de su nacionalidad. </w:t>
      </w:r>
    </w:p>
    <w:p w14:paraId="6F8C0307" w14:textId="77777777" w:rsidR="00A11C90" w:rsidRPr="00A07D9A" w:rsidRDefault="00A11C90" w:rsidP="00C164BD">
      <w:pPr>
        <w:pStyle w:val="Prrafodelista"/>
        <w:numPr>
          <w:ilvl w:val="0"/>
          <w:numId w:val="6"/>
        </w:numPr>
        <w:spacing w:after="160" w:line="259" w:lineRule="auto"/>
        <w:ind w:left="714" w:hanging="357"/>
        <w:rPr>
          <w:color w:val="000000" w:themeColor="text1"/>
        </w:rPr>
      </w:pPr>
      <w:r w:rsidRPr="00A07D9A">
        <w:rPr>
          <w:color w:val="000000" w:themeColor="text1"/>
        </w:rPr>
        <w:t xml:space="preserve">Los términos conjunta o separadamente hacen referencia a la suma de las ventas o activos en el territorio nacional de uno o más de esos </w:t>
      </w:r>
      <w:r w:rsidR="008A07CB" w:rsidRPr="00A07D9A">
        <w:rPr>
          <w:color w:val="000000" w:themeColor="text1"/>
        </w:rPr>
        <w:t>agentes económicos</w:t>
      </w:r>
      <w:r w:rsidRPr="00A07D9A">
        <w:rPr>
          <w:color w:val="000000" w:themeColor="text1"/>
        </w:rPr>
        <w:t xml:space="preserve">. En caso de que alguno de los </w:t>
      </w:r>
      <w:r w:rsidR="008A07CB" w:rsidRPr="00A07D9A">
        <w:rPr>
          <w:color w:val="000000" w:themeColor="text1"/>
        </w:rPr>
        <w:t>agentes económicos</w:t>
      </w:r>
      <w:r w:rsidRPr="00A07D9A">
        <w:rPr>
          <w:color w:val="000000" w:themeColor="text1"/>
        </w:rPr>
        <w:t xml:space="preserve"> que participen en la concentración tenga ventas o activos que superen l</w:t>
      </w:r>
      <w:r w:rsidR="006969DB" w:rsidRPr="00A07D9A">
        <w:rPr>
          <w:color w:val="000000" w:themeColor="text1"/>
        </w:rPr>
        <w:t>o</w:t>
      </w:r>
      <w:r w:rsidRPr="00A07D9A">
        <w:rPr>
          <w:color w:val="000000" w:themeColor="text1"/>
        </w:rPr>
        <w:t xml:space="preserve">s cuarenta y ocho millones de veces </w:t>
      </w:r>
      <w:r w:rsidR="00CE6784" w:rsidRPr="00A07D9A">
        <w:rPr>
          <w:color w:val="000000" w:themeColor="text1"/>
        </w:rPr>
        <w:t xml:space="preserve">el valor diario de </w:t>
      </w:r>
      <w:r w:rsidR="00544635" w:rsidRPr="00A07D9A">
        <w:rPr>
          <w:color w:val="000000" w:themeColor="text1"/>
        </w:rPr>
        <w:t>la UMA</w:t>
      </w:r>
      <w:r w:rsidRPr="00A07D9A">
        <w:rPr>
          <w:color w:val="000000" w:themeColor="text1"/>
        </w:rPr>
        <w:t xml:space="preserve">, será suficiente para concluir que se supera el umbral a que se refiere esta segunda parte de la </w:t>
      </w:r>
      <w:r w:rsidR="00810E02" w:rsidRPr="00A07D9A">
        <w:rPr>
          <w:color w:val="000000" w:themeColor="text1"/>
        </w:rPr>
        <w:t xml:space="preserve">fracción </w:t>
      </w:r>
      <w:r w:rsidRPr="00A07D9A">
        <w:rPr>
          <w:color w:val="000000" w:themeColor="text1"/>
        </w:rPr>
        <w:t xml:space="preserve">III del artículo 86 de la LFCE. </w:t>
      </w:r>
    </w:p>
    <w:p w14:paraId="695D17C1" w14:textId="77777777" w:rsidR="00A11C90" w:rsidRPr="00A07D9A" w:rsidRDefault="00A11C90" w:rsidP="00C164BD">
      <w:pPr>
        <w:pStyle w:val="Prrafodelista"/>
        <w:numPr>
          <w:ilvl w:val="0"/>
          <w:numId w:val="6"/>
        </w:numPr>
        <w:spacing w:after="160" w:line="259" w:lineRule="auto"/>
        <w:ind w:left="714" w:hanging="357"/>
        <w:rPr>
          <w:color w:val="000000" w:themeColor="text1"/>
        </w:rPr>
      </w:pPr>
      <w:r w:rsidRPr="00A07D9A">
        <w:rPr>
          <w:color w:val="000000" w:themeColor="text1"/>
        </w:rPr>
        <w:t xml:space="preserve">Para efectos del umbral, se requiere tener cuidado en no contabilizar doblemente las ventas o activos de las sociedades que integran los </w:t>
      </w:r>
      <w:r w:rsidR="008A07CB" w:rsidRPr="00A07D9A">
        <w:rPr>
          <w:color w:val="000000" w:themeColor="text1"/>
        </w:rPr>
        <w:t>agentes económicos</w:t>
      </w:r>
      <w:r w:rsidRPr="00A07D9A">
        <w:rPr>
          <w:color w:val="000000" w:themeColor="text1"/>
        </w:rPr>
        <w:t xml:space="preserve"> que participan en concentración. Lo anterior, debido a que las sociedades pertenecientes a un mismo GIE, en tanto son controladas por una misma persona, pueden incluir </w:t>
      </w:r>
      <w:r w:rsidR="00A200A3" w:rsidRPr="00A07D9A">
        <w:rPr>
          <w:color w:val="000000" w:themeColor="text1"/>
        </w:rPr>
        <w:t>operaciones entre sociedades relacionadas</w:t>
      </w:r>
      <w:r w:rsidRPr="00A07D9A">
        <w:rPr>
          <w:color w:val="000000" w:themeColor="text1"/>
        </w:rPr>
        <w:t xml:space="preserve"> que incluyen un mismo monto y su suma resulta en una contabilización doble de ese monto.</w:t>
      </w:r>
    </w:p>
    <w:p w14:paraId="33653CD4" w14:textId="77777777" w:rsidR="00A11C90" w:rsidRPr="00A07D9A" w:rsidRDefault="00A11C90" w:rsidP="00A11C90">
      <w:pPr>
        <w:rPr>
          <w:color w:val="000000" w:themeColor="text1"/>
        </w:rPr>
      </w:pPr>
      <w:r w:rsidRPr="00A07D9A">
        <w:rPr>
          <w:color w:val="000000" w:themeColor="text1"/>
        </w:rPr>
        <w:t>Al igual que para la fracción anterior, los dos requisitos identificados deben actualizarse para considerarse que una concentración es objeto de la obligación de notificación.</w:t>
      </w:r>
    </w:p>
    <w:p w14:paraId="4DDB5234" w14:textId="77777777" w:rsidR="006E423F" w:rsidRPr="00A07D9A" w:rsidRDefault="003C2338" w:rsidP="00A11C90">
      <w:pPr>
        <w:rPr>
          <w:color w:val="000000" w:themeColor="text1"/>
        </w:rPr>
      </w:pPr>
      <w:r w:rsidRPr="00A07D9A">
        <w:rPr>
          <w:color w:val="000000" w:themeColor="text1"/>
        </w:rPr>
        <w:lastRenderedPageBreak/>
        <w:t xml:space="preserve">Ejemplo. </w:t>
      </w:r>
      <w:r w:rsidR="007D6A74" w:rsidRPr="00A07D9A">
        <w:rPr>
          <w:color w:val="000000" w:themeColor="text1"/>
        </w:rPr>
        <w:t xml:space="preserve">Una empresa A extranjera adquiere el 10% (diez por ciento) de las acciones representativas del capital social de una empresa B mexicana, mismas que representan un valor monetario de diez millones de veces </w:t>
      </w:r>
      <w:r w:rsidR="00CE6784" w:rsidRPr="00A07D9A">
        <w:rPr>
          <w:color w:val="000000" w:themeColor="text1"/>
        </w:rPr>
        <w:t xml:space="preserve">el valor diario de </w:t>
      </w:r>
      <w:r w:rsidR="007D6A74" w:rsidRPr="00A07D9A">
        <w:rPr>
          <w:color w:val="000000" w:themeColor="text1"/>
        </w:rPr>
        <w:t xml:space="preserve">la UMA. </w:t>
      </w:r>
      <w:r w:rsidR="00624ACE" w:rsidRPr="00A07D9A">
        <w:rPr>
          <w:color w:val="000000" w:themeColor="text1"/>
        </w:rPr>
        <w:t>Esa operación</w:t>
      </w:r>
      <w:r w:rsidR="007D6A74" w:rsidRPr="00A07D9A">
        <w:rPr>
          <w:color w:val="000000" w:themeColor="text1"/>
        </w:rPr>
        <w:t xml:space="preserve"> </w:t>
      </w:r>
      <w:r w:rsidR="00BC586E" w:rsidRPr="00A07D9A">
        <w:rPr>
          <w:color w:val="000000" w:themeColor="text1"/>
        </w:rPr>
        <w:t xml:space="preserve">actualiza la primera parte de la fracción III </w:t>
      </w:r>
      <w:r w:rsidR="007D6A74" w:rsidRPr="00A07D9A">
        <w:rPr>
          <w:color w:val="000000" w:themeColor="text1"/>
        </w:rPr>
        <w:t xml:space="preserve">del artículo 86, de la LFCE. </w:t>
      </w:r>
    </w:p>
    <w:p w14:paraId="71ED6FC7" w14:textId="77777777" w:rsidR="003C2338" w:rsidRPr="00A07D9A" w:rsidRDefault="00BC586E" w:rsidP="00A11C90">
      <w:pPr>
        <w:rPr>
          <w:color w:val="000000" w:themeColor="text1"/>
        </w:rPr>
      </w:pPr>
      <w:r w:rsidRPr="00A07D9A">
        <w:rPr>
          <w:color w:val="000000" w:themeColor="text1"/>
        </w:rPr>
        <w:t>E</w:t>
      </w:r>
      <w:r w:rsidR="006E423F" w:rsidRPr="00A07D9A">
        <w:rPr>
          <w:color w:val="000000" w:themeColor="text1"/>
        </w:rPr>
        <w:t xml:space="preserve">sa transacción </w:t>
      </w:r>
      <w:r w:rsidR="007D6A74" w:rsidRPr="00A07D9A">
        <w:rPr>
          <w:color w:val="000000" w:themeColor="text1"/>
        </w:rPr>
        <w:t xml:space="preserve">será </w:t>
      </w:r>
      <w:proofErr w:type="spellStart"/>
      <w:r w:rsidR="007D6A74" w:rsidRPr="00A07D9A">
        <w:rPr>
          <w:color w:val="000000" w:themeColor="text1"/>
        </w:rPr>
        <w:t>notificable</w:t>
      </w:r>
      <w:proofErr w:type="spellEnd"/>
      <w:r w:rsidR="007D6A74" w:rsidRPr="00A07D9A">
        <w:rPr>
          <w:color w:val="000000" w:themeColor="text1"/>
        </w:rPr>
        <w:t xml:space="preserve"> si</w:t>
      </w:r>
      <w:r w:rsidR="006E423F" w:rsidRPr="00A07D9A">
        <w:rPr>
          <w:color w:val="000000" w:themeColor="text1"/>
        </w:rPr>
        <w:t>empre que</w:t>
      </w:r>
      <w:r w:rsidR="007D6A74" w:rsidRPr="00A07D9A">
        <w:rPr>
          <w:color w:val="000000" w:themeColor="text1"/>
        </w:rPr>
        <w:t xml:space="preserve"> </w:t>
      </w:r>
      <w:r w:rsidR="00FE6791" w:rsidRPr="00A07D9A">
        <w:rPr>
          <w:color w:val="000000" w:themeColor="text1"/>
        </w:rPr>
        <w:t>el</w:t>
      </w:r>
      <w:r w:rsidR="006C1A15" w:rsidRPr="00A07D9A">
        <w:rPr>
          <w:color w:val="000000" w:themeColor="text1"/>
        </w:rPr>
        <w:t xml:space="preserve"> agente económico al que pertenece </w:t>
      </w:r>
      <w:r w:rsidR="007D6A74" w:rsidRPr="00A07D9A">
        <w:rPr>
          <w:color w:val="000000" w:themeColor="text1"/>
        </w:rPr>
        <w:t>la empresa A</w:t>
      </w:r>
      <w:r w:rsidR="006C1A15" w:rsidRPr="00A07D9A">
        <w:rPr>
          <w:color w:val="000000" w:themeColor="text1"/>
        </w:rPr>
        <w:t>, evaluad</w:t>
      </w:r>
      <w:r w:rsidR="00FE6791" w:rsidRPr="00A07D9A">
        <w:rPr>
          <w:color w:val="000000" w:themeColor="text1"/>
        </w:rPr>
        <w:t>o</w:t>
      </w:r>
      <w:r w:rsidR="006C1A15" w:rsidRPr="00A07D9A">
        <w:rPr>
          <w:color w:val="000000" w:themeColor="text1"/>
        </w:rPr>
        <w:t xml:space="preserve"> bajo su dimensión de </w:t>
      </w:r>
      <w:r w:rsidR="00FE6791" w:rsidRPr="00A07D9A">
        <w:rPr>
          <w:color w:val="000000" w:themeColor="text1"/>
        </w:rPr>
        <w:t>GIE</w:t>
      </w:r>
      <w:r w:rsidR="006C1A15" w:rsidRPr="00A07D9A">
        <w:rPr>
          <w:color w:val="000000" w:themeColor="text1"/>
        </w:rPr>
        <w:t>,</w:t>
      </w:r>
      <w:r w:rsidR="006E423F" w:rsidRPr="00A07D9A">
        <w:rPr>
          <w:color w:val="000000" w:themeColor="text1"/>
        </w:rPr>
        <w:t xml:space="preserve"> </w:t>
      </w:r>
      <w:r w:rsidR="00FE6791" w:rsidRPr="00A07D9A">
        <w:rPr>
          <w:color w:val="000000" w:themeColor="text1"/>
        </w:rPr>
        <w:t xml:space="preserve">y/o el agente económico al que pertenece la empresa B, evaluado bajo su dimensión de GIE, </w:t>
      </w:r>
      <w:r w:rsidR="006E423F" w:rsidRPr="00A07D9A">
        <w:rPr>
          <w:color w:val="000000" w:themeColor="text1"/>
        </w:rPr>
        <w:t>cuente</w:t>
      </w:r>
      <w:r w:rsidR="007D6A74" w:rsidRPr="00A07D9A">
        <w:rPr>
          <w:color w:val="000000" w:themeColor="text1"/>
        </w:rPr>
        <w:t xml:space="preserve">n con ventas anuales originadas en el territorio nacional o activos en el territorio nacional </w:t>
      </w:r>
      <w:r w:rsidR="00FE6791" w:rsidRPr="00A07D9A">
        <w:rPr>
          <w:color w:val="000000" w:themeColor="text1"/>
        </w:rPr>
        <w:t xml:space="preserve">que, </w:t>
      </w:r>
      <w:r w:rsidR="007D6A74" w:rsidRPr="00A07D9A">
        <w:rPr>
          <w:color w:val="000000" w:themeColor="text1"/>
        </w:rPr>
        <w:t>conjunta o separadamente</w:t>
      </w:r>
      <w:r w:rsidR="00FE6791" w:rsidRPr="00A07D9A">
        <w:rPr>
          <w:color w:val="000000" w:themeColor="text1"/>
        </w:rPr>
        <w:t>,</w:t>
      </w:r>
      <w:r w:rsidR="007D6A74" w:rsidRPr="00A07D9A">
        <w:rPr>
          <w:color w:val="000000" w:themeColor="text1"/>
        </w:rPr>
        <w:t xml:space="preserve"> </w:t>
      </w:r>
      <w:r w:rsidR="00FE6791" w:rsidRPr="00A07D9A">
        <w:rPr>
          <w:color w:val="000000" w:themeColor="text1"/>
        </w:rPr>
        <w:t>sumen</w:t>
      </w:r>
      <w:r w:rsidR="007D6A74" w:rsidRPr="00A07D9A">
        <w:rPr>
          <w:color w:val="000000" w:themeColor="text1"/>
        </w:rPr>
        <w:t xml:space="preserve"> más de cuarenta y ocho millones de veces </w:t>
      </w:r>
      <w:r w:rsidR="00CE6784" w:rsidRPr="00A07D9A">
        <w:rPr>
          <w:color w:val="000000" w:themeColor="text1"/>
        </w:rPr>
        <w:t xml:space="preserve">el valor diario de </w:t>
      </w:r>
      <w:r w:rsidR="007D6A74" w:rsidRPr="00A07D9A">
        <w:rPr>
          <w:color w:val="000000" w:themeColor="text1"/>
        </w:rPr>
        <w:t xml:space="preserve">la UMA. </w:t>
      </w:r>
      <w:r w:rsidR="00F51CFA" w:rsidRPr="00A07D9A">
        <w:rPr>
          <w:color w:val="000000" w:themeColor="text1"/>
        </w:rPr>
        <w:t>Es decir, para la actualización de la segunda parte de la fracción III del artículo 86 de la LFCE, no únicamente se consideran las ventas anuales originadas en el territorio nacional o activos en el territorio nacional de las empresas directamente involucradas en la operación, sino la suma de esos indicadores para el conjunto de sociedades que integran los GIE al que pertenecen esas empresas.</w:t>
      </w:r>
    </w:p>
    <w:p w14:paraId="3CE60BCC" w14:textId="77777777" w:rsidR="00A11C90" w:rsidRPr="00A07D9A" w:rsidRDefault="00A11C90" w:rsidP="00B14792">
      <w:pPr>
        <w:pStyle w:val="Ttulo3"/>
        <w:rPr>
          <w:color w:val="000000" w:themeColor="text1"/>
        </w:rPr>
      </w:pPr>
      <w:bookmarkStart w:id="48" w:name="_Toc462053115"/>
      <w:r w:rsidRPr="00A07D9A">
        <w:rPr>
          <w:color w:val="000000" w:themeColor="text1"/>
        </w:rPr>
        <w:t>Consideraciones en el cálculo de los umbrales</w:t>
      </w:r>
      <w:bookmarkEnd w:id="48"/>
    </w:p>
    <w:p w14:paraId="605F572A" w14:textId="77777777" w:rsidR="00A11C90" w:rsidRPr="00A07D9A" w:rsidRDefault="00A11C90" w:rsidP="00A11C90">
      <w:pPr>
        <w:rPr>
          <w:color w:val="000000" w:themeColor="text1"/>
        </w:rPr>
      </w:pPr>
      <w:r w:rsidRPr="00A07D9A">
        <w:rPr>
          <w:color w:val="000000" w:themeColor="text1"/>
        </w:rPr>
        <w:t xml:space="preserve">En el cálculo de los umbrales monetarios a los que se refiere el artículo 86 de la LFCE, el artículo 15 de las </w:t>
      </w:r>
      <w:r w:rsidR="00B94D75" w:rsidRPr="00A07D9A">
        <w:rPr>
          <w:color w:val="000000" w:themeColor="text1"/>
        </w:rPr>
        <w:t>Disposiciones Regulatorias</w:t>
      </w:r>
      <w:r w:rsidRPr="00A07D9A">
        <w:rPr>
          <w:color w:val="000000" w:themeColor="text1"/>
        </w:rPr>
        <w:t xml:space="preserve"> señala lo siguiente:</w:t>
      </w:r>
    </w:p>
    <w:p w14:paraId="449FE017" w14:textId="77777777" w:rsidR="00A11C90" w:rsidRPr="00A07D9A" w:rsidRDefault="00A11C90" w:rsidP="005B0EBD">
      <w:pPr>
        <w:pStyle w:val="Prrafodelista"/>
        <w:numPr>
          <w:ilvl w:val="0"/>
          <w:numId w:val="7"/>
        </w:numPr>
        <w:spacing w:after="160" w:line="259" w:lineRule="auto"/>
        <w:ind w:left="567"/>
        <w:rPr>
          <w:color w:val="000000" w:themeColor="text1"/>
        </w:rPr>
      </w:pPr>
      <w:r w:rsidRPr="00A07D9A">
        <w:rPr>
          <w:color w:val="000000" w:themeColor="text1"/>
        </w:rPr>
        <w:t xml:space="preserve">El IFT </w:t>
      </w:r>
      <w:r w:rsidR="00490C1D" w:rsidRPr="00A07D9A">
        <w:rPr>
          <w:color w:val="000000" w:themeColor="text1"/>
        </w:rPr>
        <w:t>utilizará</w:t>
      </w:r>
      <w:r w:rsidRPr="00A07D9A">
        <w:rPr>
          <w:color w:val="000000" w:themeColor="text1"/>
        </w:rPr>
        <w:t xml:space="preserve"> la cifra que resulte más elevada entre el valor total de los activos del balance general y el valor comercial de los activos.</w:t>
      </w:r>
    </w:p>
    <w:p w14:paraId="4464B988" w14:textId="77777777" w:rsidR="00A11C90" w:rsidRPr="00A07D9A" w:rsidRDefault="00A11C90" w:rsidP="000273EE">
      <w:pPr>
        <w:pStyle w:val="Prrafodelista"/>
        <w:numPr>
          <w:ilvl w:val="0"/>
          <w:numId w:val="0"/>
        </w:numPr>
        <w:ind w:left="502"/>
        <w:rPr>
          <w:color w:val="000000" w:themeColor="text1"/>
        </w:rPr>
      </w:pPr>
      <w:r w:rsidRPr="00A07D9A">
        <w:rPr>
          <w:color w:val="000000" w:themeColor="text1"/>
        </w:rPr>
        <w:t xml:space="preserve">Al respecto, uno de los requisitos del escrito de notificación de concentración consiste en aportar los estados financieros del ejercicio inmediato anterior de los </w:t>
      </w:r>
      <w:r w:rsidR="008A07CB" w:rsidRPr="00A07D9A">
        <w:rPr>
          <w:color w:val="000000" w:themeColor="text1"/>
        </w:rPr>
        <w:t>agentes económicos</w:t>
      </w:r>
      <w:r w:rsidRPr="00A07D9A">
        <w:rPr>
          <w:color w:val="000000" w:themeColor="text1"/>
        </w:rPr>
        <w:t xml:space="preserve"> involucrados (artículo 89, fracción VI, de la LFCE).</w:t>
      </w:r>
    </w:p>
    <w:p w14:paraId="672E74D0" w14:textId="77777777" w:rsidR="00A200A3" w:rsidRPr="00A07D9A" w:rsidRDefault="00A200A3" w:rsidP="005B0EBD">
      <w:pPr>
        <w:pStyle w:val="Prrafodelista"/>
        <w:numPr>
          <w:ilvl w:val="0"/>
          <w:numId w:val="7"/>
        </w:numPr>
        <w:rPr>
          <w:color w:val="000000" w:themeColor="text1"/>
        </w:rPr>
      </w:pPr>
      <w:r w:rsidRPr="00A07D9A">
        <w:rPr>
          <w:color w:val="000000" w:themeColor="text1"/>
        </w:rPr>
        <w:t>El valor comercial de los activos es aportado, en general, por los agentes económicos notificantes; por ejemplo, en el contrato de compraventa donde ese monto está especificado y acordado por los participantes en la concentración.</w:t>
      </w:r>
    </w:p>
    <w:p w14:paraId="7C444AAB" w14:textId="77777777" w:rsidR="00A11C90" w:rsidRPr="00A07D9A" w:rsidRDefault="00A11C90" w:rsidP="005B0EBD">
      <w:pPr>
        <w:pStyle w:val="Prrafodelista"/>
        <w:numPr>
          <w:ilvl w:val="0"/>
          <w:numId w:val="7"/>
        </w:numPr>
        <w:spacing w:after="160" w:line="259" w:lineRule="auto"/>
        <w:ind w:left="567"/>
        <w:rPr>
          <w:color w:val="000000" w:themeColor="text1"/>
        </w:rPr>
      </w:pPr>
      <w:r w:rsidRPr="00A07D9A">
        <w:rPr>
          <w:color w:val="000000" w:themeColor="text1"/>
        </w:rPr>
        <w:t xml:space="preserve">Se debe tomar en cuenta </w:t>
      </w:r>
      <w:r w:rsidR="00CE6784" w:rsidRPr="00A07D9A">
        <w:rPr>
          <w:color w:val="000000" w:themeColor="text1"/>
        </w:rPr>
        <w:t xml:space="preserve">el valor diario de </w:t>
      </w:r>
      <w:r w:rsidR="00544635" w:rsidRPr="00A07D9A">
        <w:rPr>
          <w:color w:val="000000" w:themeColor="text1"/>
        </w:rPr>
        <w:t>la UMA</w:t>
      </w:r>
      <w:r w:rsidRPr="00A07D9A">
        <w:rPr>
          <w:color w:val="000000" w:themeColor="text1"/>
        </w:rPr>
        <w:t xml:space="preserve"> </w:t>
      </w:r>
      <w:r w:rsidR="00CE6784" w:rsidRPr="00A07D9A">
        <w:rPr>
          <w:color w:val="000000" w:themeColor="text1"/>
        </w:rPr>
        <w:t>que se encuentre vigente a</w:t>
      </w:r>
      <w:r w:rsidRPr="00A07D9A">
        <w:rPr>
          <w:color w:val="000000" w:themeColor="text1"/>
        </w:rPr>
        <w:t>l día anterior a aquél en que se realice la notificación.</w:t>
      </w:r>
    </w:p>
    <w:p w14:paraId="62F16CAB" w14:textId="77777777" w:rsidR="00A11C90" w:rsidRPr="00A07D9A" w:rsidRDefault="00A11C90" w:rsidP="005B0EBD">
      <w:pPr>
        <w:pStyle w:val="Prrafodelista"/>
        <w:numPr>
          <w:ilvl w:val="0"/>
          <w:numId w:val="7"/>
        </w:numPr>
        <w:spacing w:after="160" w:line="259" w:lineRule="auto"/>
        <w:ind w:left="567"/>
        <w:rPr>
          <w:color w:val="000000" w:themeColor="text1"/>
        </w:rPr>
      </w:pPr>
      <w:r w:rsidRPr="00A07D9A">
        <w:rPr>
          <w:rFonts w:cs="Arial"/>
          <w:color w:val="000000" w:themeColor="text1"/>
        </w:rPr>
        <w:t>En caso de que las operaciones se pacten en dólares de los Estados Unidos de América, se debe aplicar el tipo de cambio para solventar obligaciones denominadas en moneda extranjera pagaderas en la República Mexicana publicado por el Banco de México, que resulte más bajo durante los cinco días anteriores a aquél en que se realice la notificación.</w:t>
      </w:r>
    </w:p>
    <w:p w14:paraId="62E2C159" w14:textId="77777777" w:rsidR="00A11C90" w:rsidRPr="00A07D9A" w:rsidRDefault="00A11C90" w:rsidP="005B0EBD">
      <w:pPr>
        <w:pStyle w:val="Prrafodelista"/>
        <w:numPr>
          <w:ilvl w:val="0"/>
          <w:numId w:val="7"/>
        </w:numPr>
        <w:spacing w:after="160" w:line="259" w:lineRule="auto"/>
        <w:ind w:left="567"/>
        <w:rPr>
          <w:color w:val="000000" w:themeColor="text1"/>
        </w:rPr>
      </w:pPr>
      <w:r w:rsidRPr="00A07D9A">
        <w:rPr>
          <w:rFonts w:cs="Arial"/>
          <w:color w:val="000000" w:themeColor="text1"/>
        </w:rPr>
        <w:t xml:space="preserve">Tratándose de divisas distintas a los dólares de los Estados Unidos de América, se puede utilizar cualquier indicador de tipo de cambio del día anterior a </w:t>
      </w:r>
      <w:r w:rsidRPr="00A07D9A">
        <w:rPr>
          <w:rFonts w:cs="Arial"/>
          <w:color w:val="000000" w:themeColor="text1"/>
        </w:rPr>
        <w:lastRenderedPageBreak/>
        <w:t>aquél en que se realice la notificación y que refleje el valor de la moneda nacional con respecto a la moneda extranjera de que se trate.</w:t>
      </w:r>
    </w:p>
    <w:p w14:paraId="30205C62" w14:textId="77777777" w:rsidR="00A11C90" w:rsidRPr="00A07D9A" w:rsidRDefault="00A11C90" w:rsidP="000273EE">
      <w:pPr>
        <w:ind w:left="567"/>
        <w:rPr>
          <w:color w:val="000000" w:themeColor="text1"/>
        </w:rPr>
      </w:pPr>
      <w:r w:rsidRPr="00A07D9A">
        <w:rPr>
          <w:color w:val="000000" w:themeColor="text1"/>
        </w:rPr>
        <w:t xml:space="preserve">En el mismo sentido, las </w:t>
      </w:r>
      <w:r w:rsidR="00B94D75" w:rsidRPr="00A07D9A">
        <w:rPr>
          <w:color w:val="000000" w:themeColor="text1"/>
        </w:rPr>
        <w:t>Disposiciones Regulatorias</w:t>
      </w:r>
      <w:r w:rsidRPr="00A07D9A">
        <w:rPr>
          <w:color w:val="000000" w:themeColor="text1"/>
        </w:rPr>
        <w:t xml:space="preserve"> contienen una disposición especial para el cálculo de umbrales que </w:t>
      </w:r>
      <w:r w:rsidR="0087408A" w:rsidRPr="00A07D9A">
        <w:rPr>
          <w:color w:val="000000" w:themeColor="text1"/>
        </w:rPr>
        <w:t xml:space="preserve">se </w:t>
      </w:r>
      <w:r w:rsidRPr="00A07D9A">
        <w:rPr>
          <w:color w:val="000000" w:themeColor="text1"/>
        </w:rPr>
        <w:t xml:space="preserve">aplicará únicamente en aquellos casos en que se haya omitido la notificación de una concentración y que se deberá atender en el procedimiento que corresponda. Para ello, el artículo 15, in fine, de las </w:t>
      </w:r>
      <w:r w:rsidR="00B94D75" w:rsidRPr="00A07D9A">
        <w:rPr>
          <w:color w:val="000000" w:themeColor="text1"/>
        </w:rPr>
        <w:t>Disposiciones Regulatorias</w:t>
      </w:r>
      <w:r w:rsidRPr="00A07D9A">
        <w:rPr>
          <w:color w:val="000000" w:themeColor="text1"/>
        </w:rPr>
        <w:t>, establece que se tomará en cuenta:</w:t>
      </w:r>
    </w:p>
    <w:p w14:paraId="6484E867" w14:textId="77777777" w:rsidR="00A11C90" w:rsidRPr="00A07D9A" w:rsidRDefault="00CE6784" w:rsidP="005B0EBD">
      <w:pPr>
        <w:pStyle w:val="Prrafodelista"/>
        <w:numPr>
          <w:ilvl w:val="0"/>
          <w:numId w:val="7"/>
        </w:numPr>
        <w:spacing w:after="160" w:line="259" w:lineRule="auto"/>
        <w:ind w:left="567"/>
        <w:rPr>
          <w:color w:val="000000" w:themeColor="text1"/>
        </w:rPr>
      </w:pPr>
      <w:r w:rsidRPr="00A07D9A">
        <w:rPr>
          <w:color w:val="000000" w:themeColor="text1"/>
        </w:rPr>
        <w:t xml:space="preserve">El valor diario de la UMA que se encuentre vigente al </w:t>
      </w:r>
      <w:r w:rsidR="00A11C90" w:rsidRPr="00A07D9A">
        <w:rPr>
          <w:color w:val="000000" w:themeColor="text1"/>
        </w:rPr>
        <w:t>día anterior a la realización de la transacción.</w:t>
      </w:r>
    </w:p>
    <w:p w14:paraId="1189B986" w14:textId="292A623C" w:rsidR="00564016" w:rsidRPr="00A07D9A" w:rsidRDefault="00A11C90" w:rsidP="00564016">
      <w:pPr>
        <w:pStyle w:val="Prrafodelista"/>
        <w:numPr>
          <w:ilvl w:val="0"/>
          <w:numId w:val="7"/>
        </w:numPr>
        <w:spacing w:after="160" w:line="259" w:lineRule="auto"/>
        <w:ind w:left="567"/>
        <w:rPr>
          <w:color w:val="000000" w:themeColor="text1"/>
        </w:rPr>
      </w:pPr>
      <w:r w:rsidRPr="00A07D9A">
        <w:rPr>
          <w:color w:val="000000" w:themeColor="text1"/>
        </w:rPr>
        <w:t>En caso de que las operaciones se pacten en dólares de los Estados Unidos de América, se debe aplicar el tipo de cambio para solventar obligaciones denominadas en moneda extranjera pagaderas en la República Mexicana publicado por el Banco de México, del día anterior a aquél en que se realice la operación. Tratándose de divisas distintas a los dólares de los Estados Unidos de América, se puede utilizar cualquier indicador de tipo de cambio, del día anterior a aquél en que se realice la notificación, que refleje el valor de la moneda nacional con respecto a la moneda extranjera de que se trate.</w:t>
      </w:r>
      <w:bookmarkStart w:id="49" w:name="_Toc462053117"/>
      <w:bookmarkStart w:id="50" w:name="_Toc486519819"/>
    </w:p>
    <w:p w14:paraId="4BE0B69F" w14:textId="77777777" w:rsidR="00A11C90" w:rsidRPr="00A07D9A" w:rsidRDefault="00867F46" w:rsidP="003F2656">
      <w:pPr>
        <w:pStyle w:val="Ttulo2"/>
        <w:rPr>
          <w:color w:val="000000" w:themeColor="text1"/>
        </w:rPr>
      </w:pPr>
      <w:r w:rsidRPr="00A07D9A">
        <w:rPr>
          <w:color w:val="000000" w:themeColor="text1"/>
        </w:rPr>
        <w:t>5</w:t>
      </w:r>
      <w:r w:rsidR="003F2656" w:rsidRPr="00A07D9A">
        <w:rPr>
          <w:color w:val="000000" w:themeColor="text1"/>
        </w:rPr>
        <w:t xml:space="preserve">.2. </w:t>
      </w:r>
      <w:bookmarkEnd w:id="49"/>
      <w:r w:rsidR="003F2656" w:rsidRPr="00A07D9A">
        <w:rPr>
          <w:color w:val="000000" w:themeColor="text1"/>
        </w:rPr>
        <w:t>Notificación voluntaria</w:t>
      </w:r>
      <w:bookmarkEnd w:id="50"/>
    </w:p>
    <w:p w14:paraId="06CACB88" w14:textId="77777777" w:rsidR="00A11C90" w:rsidRPr="00A07D9A" w:rsidRDefault="00A11C90" w:rsidP="00A11C90">
      <w:pPr>
        <w:rPr>
          <w:color w:val="000000" w:themeColor="text1"/>
        </w:rPr>
      </w:pPr>
      <w:r w:rsidRPr="00A07D9A">
        <w:rPr>
          <w:color w:val="000000" w:themeColor="text1"/>
        </w:rPr>
        <w:t xml:space="preserve">Cualquier concentración que no supere los umbrales señalados en el artículo 86 de la LFCE, estará exenta de la obligación de solicitar autorización y, por lo tanto, del procedimiento de notificación. </w:t>
      </w:r>
    </w:p>
    <w:p w14:paraId="2CEEC4BF" w14:textId="77777777" w:rsidR="00A11C90" w:rsidRPr="00A07D9A" w:rsidRDefault="00A11C90" w:rsidP="00A11C90">
      <w:pPr>
        <w:rPr>
          <w:color w:val="000000" w:themeColor="text1"/>
        </w:rPr>
      </w:pPr>
      <w:r w:rsidRPr="00A07D9A">
        <w:rPr>
          <w:color w:val="000000" w:themeColor="text1"/>
        </w:rPr>
        <w:t xml:space="preserve">Sin embargo, en términos del último párrafo del artículo 86 de la LFCE, los </w:t>
      </w:r>
      <w:r w:rsidR="008A07CB" w:rsidRPr="00A07D9A">
        <w:rPr>
          <w:color w:val="000000" w:themeColor="text1"/>
        </w:rPr>
        <w:t>agentes económicos</w:t>
      </w:r>
      <w:r w:rsidRPr="00A07D9A">
        <w:rPr>
          <w:color w:val="000000" w:themeColor="text1"/>
        </w:rPr>
        <w:t xml:space="preserve"> involucrados que no se encuentren en los supuestos establecidos en las fracciones I, II y III de ese artículo podrán notificar en forma voluntaria al IFT cualquier tipo de concentración.</w:t>
      </w:r>
    </w:p>
    <w:p w14:paraId="5EFEB0E5" w14:textId="77777777" w:rsidR="00A11C90" w:rsidRPr="00A07D9A" w:rsidRDefault="00A11C90" w:rsidP="00A11C90">
      <w:pPr>
        <w:rPr>
          <w:color w:val="000000" w:themeColor="text1"/>
        </w:rPr>
      </w:pPr>
      <w:r w:rsidRPr="00A07D9A">
        <w:rPr>
          <w:color w:val="000000" w:themeColor="text1"/>
        </w:rPr>
        <w:t xml:space="preserve">Al respecto, la notificación voluntaria de concentraciones que no actualizan los umbrales del artículo 86 de la LFCE es particularmente recomendable en situaciones donde los </w:t>
      </w:r>
      <w:r w:rsidR="008A07CB" w:rsidRPr="00A07D9A">
        <w:rPr>
          <w:color w:val="000000" w:themeColor="text1"/>
        </w:rPr>
        <w:t>agentes económicos</w:t>
      </w:r>
      <w:r w:rsidRPr="00A07D9A">
        <w:rPr>
          <w:color w:val="000000" w:themeColor="text1"/>
        </w:rPr>
        <w:t xml:space="preserve"> tengan dudas de los posibles efectos de la concentración sobre el proceso de competencia económica y libre concurrencia.</w:t>
      </w:r>
    </w:p>
    <w:p w14:paraId="6BD53567" w14:textId="77777777" w:rsidR="00A11C90" w:rsidRPr="00A07D9A" w:rsidRDefault="00A11C90" w:rsidP="00A11C90">
      <w:pPr>
        <w:rPr>
          <w:color w:val="000000" w:themeColor="text1"/>
        </w:rPr>
      </w:pPr>
      <w:r w:rsidRPr="00A07D9A">
        <w:rPr>
          <w:color w:val="000000" w:themeColor="text1"/>
        </w:rPr>
        <w:t>En ese sentido, el segundo p</w:t>
      </w:r>
      <w:r w:rsidRPr="00A07D9A">
        <w:rPr>
          <w:rFonts w:hint="eastAsia"/>
          <w:color w:val="000000" w:themeColor="text1"/>
        </w:rPr>
        <w:t>á</w:t>
      </w:r>
      <w:r w:rsidRPr="00A07D9A">
        <w:rPr>
          <w:color w:val="000000" w:themeColor="text1"/>
        </w:rPr>
        <w:t>rrafo del artículo 65 de la LFCE establece que no podrán ser investigadas las concentraciones que no requieran ser previamente notificadas, una vez transcurrido un año de su realización.</w:t>
      </w:r>
    </w:p>
    <w:p w14:paraId="6D6EA60E" w14:textId="77777777" w:rsidR="00A11C90" w:rsidRPr="00A07D9A" w:rsidRDefault="002D60FD" w:rsidP="00A11C90">
      <w:pPr>
        <w:rPr>
          <w:color w:val="000000" w:themeColor="text1"/>
        </w:rPr>
      </w:pPr>
      <w:r w:rsidRPr="00A07D9A">
        <w:rPr>
          <w:color w:val="000000" w:themeColor="text1"/>
        </w:rPr>
        <w:t xml:space="preserve">Así, en los casos en que la operación no actualice los umbrales del </w:t>
      </w:r>
      <w:r w:rsidR="00AC4DA6" w:rsidRPr="00A07D9A">
        <w:rPr>
          <w:color w:val="000000" w:themeColor="text1"/>
        </w:rPr>
        <w:t>a</w:t>
      </w:r>
      <w:r w:rsidRPr="00A07D9A">
        <w:rPr>
          <w:color w:val="000000" w:themeColor="text1"/>
        </w:rPr>
        <w:t>rtículo 86 de la LFCE y se pudiera tratar de una concentración ilícita,</w:t>
      </w:r>
      <w:r w:rsidR="00A11C90" w:rsidRPr="00A07D9A">
        <w:rPr>
          <w:color w:val="000000" w:themeColor="text1"/>
        </w:rPr>
        <w:t xml:space="preserve"> los </w:t>
      </w:r>
      <w:r w:rsidR="008A07CB" w:rsidRPr="00A07D9A">
        <w:rPr>
          <w:color w:val="000000" w:themeColor="text1"/>
        </w:rPr>
        <w:t>agentes económicos</w:t>
      </w:r>
      <w:r w:rsidR="00A11C90" w:rsidRPr="00A07D9A">
        <w:rPr>
          <w:color w:val="000000" w:themeColor="text1"/>
        </w:rPr>
        <w:t xml:space="preserve"> </w:t>
      </w:r>
      <w:r w:rsidR="00A11C90" w:rsidRPr="00A07D9A">
        <w:rPr>
          <w:color w:val="000000" w:themeColor="text1"/>
        </w:rPr>
        <w:lastRenderedPageBreak/>
        <w:t>involucrados estarán expuestos durante el plazo de un año a que el IFT,</w:t>
      </w:r>
      <w:r w:rsidR="00CB69C4" w:rsidRPr="00A07D9A">
        <w:rPr>
          <w:rStyle w:val="Refdenotaalpie"/>
          <w:color w:val="000000" w:themeColor="text1"/>
        </w:rPr>
        <w:footnoteReference w:id="71"/>
      </w:r>
      <w:r w:rsidR="00A11C90" w:rsidRPr="00A07D9A">
        <w:rPr>
          <w:color w:val="000000" w:themeColor="text1"/>
        </w:rPr>
        <w:t xml:space="preserve"> a través de la AI, pueda iniciar una investigación, lo cual puede derivar en un procedimiento seguido en forma de juicio y, en su caso, sanciones</w:t>
      </w:r>
      <w:r w:rsidR="00942328" w:rsidRPr="00A07D9A">
        <w:rPr>
          <w:color w:val="000000" w:themeColor="text1"/>
        </w:rPr>
        <w:t xml:space="preserve"> incluyendo la desconcentración</w:t>
      </w:r>
      <w:r w:rsidR="00A11C90" w:rsidRPr="00A07D9A">
        <w:rPr>
          <w:color w:val="000000" w:themeColor="text1"/>
        </w:rPr>
        <w:t xml:space="preserve">. En esos casos, la notificación voluntaria evita riesgos a los </w:t>
      </w:r>
      <w:r w:rsidR="008A07CB" w:rsidRPr="00A07D9A">
        <w:rPr>
          <w:color w:val="000000" w:themeColor="text1"/>
        </w:rPr>
        <w:t>agentes económicos</w:t>
      </w:r>
      <w:r w:rsidR="00A11C90" w:rsidRPr="00A07D9A">
        <w:rPr>
          <w:color w:val="000000" w:themeColor="text1"/>
        </w:rPr>
        <w:t xml:space="preserve">. </w:t>
      </w:r>
    </w:p>
    <w:p w14:paraId="48E547D1" w14:textId="77777777" w:rsidR="00A11C90" w:rsidRPr="00A07D9A" w:rsidRDefault="00A11C90" w:rsidP="003F2656">
      <w:pPr>
        <w:rPr>
          <w:color w:val="000000" w:themeColor="text1"/>
        </w:rPr>
      </w:pPr>
      <w:r w:rsidRPr="00A07D9A">
        <w:rPr>
          <w:color w:val="000000" w:themeColor="text1"/>
        </w:rPr>
        <w:t>Cabe precisar que, una vez que las concentraciones son notificadas al IFT y aun</w:t>
      </w:r>
      <w:r w:rsidR="00FC3B43" w:rsidRPr="00A07D9A">
        <w:rPr>
          <w:color w:val="000000" w:themeColor="text1"/>
        </w:rPr>
        <w:t xml:space="preserve"> en los casos </w:t>
      </w:r>
      <w:r w:rsidRPr="00A07D9A">
        <w:rPr>
          <w:color w:val="000000" w:themeColor="text1"/>
        </w:rPr>
        <w:t xml:space="preserve">que éstas no actualicen los umbrales del artículo 86 de la LFCE, los </w:t>
      </w:r>
      <w:r w:rsidR="008A07CB" w:rsidRPr="00A07D9A">
        <w:rPr>
          <w:color w:val="000000" w:themeColor="text1"/>
        </w:rPr>
        <w:t>agentes económicos</w:t>
      </w:r>
      <w:r w:rsidRPr="00A07D9A">
        <w:rPr>
          <w:color w:val="000000" w:themeColor="text1"/>
        </w:rPr>
        <w:t xml:space="preserve"> notificantes no están exentos de aportar la información necesaria para que el IFT la evalúe en materia de competencia económica, en términos de los artículos 58, 59, 63 y 64 de la LFCE y los artículos correspondientes en las </w:t>
      </w:r>
      <w:r w:rsidR="00B94D75" w:rsidRPr="00A07D9A">
        <w:rPr>
          <w:color w:val="000000" w:themeColor="text1"/>
        </w:rPr>
        <w:t>Disposiciones Regulatorias</w:t>
      </w:r>
      <w:r w:rsidRPr="00A07D9A">
        <w:rPr>
          <w:color w:val="000000" w:themeColor="text1"/>
        </w:rPr>
        <w:t>.</w:t>
      </w:r>
    </w:p>
    <w:p w14:paraId="1F0109F3" w14:textId="77777777" w:rsidR="00A11C90" w:rsidRPr="00A07D9A" w:rsidRDefault="00867F46" w:rsidP="003F2656">
      <w:pPr>
        <w:pStyle w:val="Ttulo2"/>
        <w:rPr>
          <w:color w:val="000000" w:themeColor="text1"/>
        </w:rPr>
      </w:pPr>
      <w:bookmarkStart w:id="51" w:name="_Toc462053118"/>
      <w:bookmarkStart w:id="52" w:name="_Toc486519820"/>
      <w:r w:rsidRPr="00A07D9A">
        <w:rPr>
          <w:color w:val="000000" w:themeColor="text1"/>
        </w:rPr>
        <w:t>5</w:t>
      </w:r>
      <w:r w:rsidR="003F2656" w:rsidRPr="00A07D9A">
        <w:rPr>
          <w:color w:val="000000" w:themeColor="text1"/>
        </w:rPr>
        <w:t xml:space="preserve">.3. </w:t>
      </w:r>
      <w:bookmarkEnd w:id="51"/>
      <w:r w:rsidR="003F2656" w:rsidRPr="00A07D9A">
        <w:rPr>
          <w:color w:val="000000" w:themeColor="text1"/>
        </w:rPr>
        <w:t>Sucesión de actos</w:t>
      </w:r>
      <w:bookmarkEnd w:id="52"/>
    </w:p>
    <w:p w14:paraId="05E76DC5" w14:textId="77777777" w:rsidR="00A11C90" w:rsidRPr="00A07D9A" w:rsidRDefault="00CE6784" w:rsidP="00A11C90">
      <w:pPr>
        <w:rPr>
          <w:color w:val="000000" w:themeColor="text1"/>
        </w:rPr>
      </w:pPr>
      <w:r w:rsidRPr="00A07D9A">
        <w:rPr>
          <w:color w:val="000000" w:themeColor="text1"/>
        </w:rPr>
        <w:t>Es común</w:t>
      </w:r>
      <w:r w:rsidR="00A11C90" w:rsidRPr="00A07D9A">
        <w:rPr>
          <w:color w:val="000000" w:themeColor="text1"/>
        </w:rPr>
        <w:t xml:space="preserve"> que los </w:t>
      </w:r>
      <w:r w:rsidR="008A07CB" w:rsidRPr="00A07D9A">
        <w:rPr>
          <w:color w:val="000000" w:themeColor="text1"/>
        </w:rPr>
        <w:t>agentes económicos</w:t>
      </w:r>
      <w:r w:rsidR="00A11C90" w:rsidRPr="00A07D9A">
        <w:rPr>
          <w:color w:val="000000" w:themeColor="text1"/>
        </w:rPr>
        <w:t xml:space="preserve"> que </w:t>
      </w:r>
      <w:r w:rsidRPr="00A07D9A">
        <w:rPr>
          <w:color w:val="000000" w:themeColor="text1"/>
        </w:rPr>
        <w:t>llevan</w:t>
      </w:r>
      <w:r w:rsidR="00A11C90" w:rsidRPr="00A07D9A">
        <w:rPr>
          <w:color w:val="000000" w:themeColor="text1"/>
        </w:rPr>
        <w:t xml:space="preserve"> a cabo una serie de actos </w:t>
      </w:r>
      <w:r w:rsidR="00256698" w:rsidRPr="00A07D9A">
        <w:rPr>
          <w:color w:val="000000" w:themeColor="text1"/>
        </w:rPr>
        <w:t xml:space="preserve">u operaciones </w:t>
      </w:r>
      <w:r w:rsidR="00A11C90" w:rsidRPr="00A07D9A">
        <w:rPr>
          <w:color w:val="000000" w:themeColor="text1"/>
        </w:rPr>
        <w:t xml:space="preserve">que en su conjunto actualizan </w:t>
      </w:r>
      <w:r w:rsidR="00256698" w:rsidRPr="00A07D9A">
        <w:rPr>
          <w:color w:val="000000" w:themeColor="text1"/>
        </w:rPr>
        <w:t xml:space="preserve">o pueden actualizar </w:t>
      </w:r>
      <w:r w:rsidR="00A11C90" w:rsidRPr="00A07D9A">
        <w:rPr>
          <w:color w:val="000000" w:themeColor="text1"/>
        </w:rPr>
        <w:t>alguno de los umbrales a que se refiere el artículo 86 de la LFCE, se enfrenten a la problemática de determinar si estos constituyen una sucesión de actos en términos de ese artículo y, por lo tanto, deban considerarse como parte integral de una concentración.</w:t>
      </w:r>
    </w:p>
    <w:p w14:paraId="1A6AE4C7" w14:textId="77777777" w:rsidR="00A11C90" w:rsidRPr="00A07D9A" w:rsidRDefault="00A11C90" w:rsidP="00A11C90">
      <w:pPr>
        <w:rPr>
          <w:color w:val="000000" w:themeColor="text1"/>
        </w:rPr>
      </w:pPr>
      <w:r w:rsidRPr="00A07D9A">
        <w:rPr>
          <w:color w:val="000000" w:themeColor="text1"/>
        </w:rPr>
        <w:t xml:space="preserve">Al respecto, se considera que una sucesión de actos </w:t>
      </w:r>
      <w:r w:rsidR="00EA553E" w:rsidRPr="00A07D9A">
        <w:rPr>
          <w:color w:val="000000" w:themeColor="text1"/>
        </w:rPr>
        <w:t xml:space="preserve">constituyen </w:t>
      </w:r>
      <w:r w:rsidRPr="00A07D9A">
        <w:rPr>
          <w:color w:val="000000" w:themeColor="text1"/>
        </w:rPr>
        <w:t xml:space="preserve">una concentración cuando presentan alguna </w:t>
      </w:r>
      <w:r w:rsidR="00EA553E" w:rsidRPr="00A07D9A">
        <w:rPr>
          <w:color w:val="000000" w:themeColor="text1"/>
        </w:rPr>
        <w:t>de</w:t>
      </w:r>
      <w:r w:rsidRPr="00A07D9A">
        <w:rPr>
          <w:color w:val="000000" w:themeColor="text1"/>
        </w:rPr>
        <w:t xml:space="preserve"> las siguientes</w:t>
      </w:r>
      <w:r w:rsidR="00EA553E" w:rsidRPr="00A07D9A">
        <w:rPr>
          <w:color w:val="000000" w:themeColor="text1"/>
        </w:rPr>
        <w:t xml:space="preserve"> características</w:t>
      </w:r>
      <w:r w:rsidR="0025135F" w:rsidRPr="00A07D9A">
        <w:rPr>
          <w:color w:val="000000" w:themeColor="text1"/>
        </w:rPr>
        <w:t xml:space="preserve"> enunciativas, </w:t>
      </w:r>
      <w:r w:rsidR="004B54A6" w:rsidRPr="00A07D9A">
        <w:rPr>
          <w:color w:val="000000" w:themeColor="text1"/>
        </w:rPr>
        <w:t>más</w:t>
      </w:r>
      <w:r w:rsidR="0025135F" w:rsidRPr="00A07D9A">
        <w:rPr>
          <w:color w:val="000000" w:themeColor="text1"/>
        </w:rPr>
        <w:t xml:space="preserve"> no limitativas</w:t>
      </w:r>
      <w:r w:rsidRPr="00A07D9A">
        <w:rPr>
          <w:color w:val="000000" w:themeColor="text1"/>
        </w:rPr>
        <w:t>:</w:t>
      </w:r>
    </w:p>
    <w:p w14:paraId="11D76157" w14:textId="77777777" w:rsidR="00A11C90" w:rsidRPr="00A07D9A" w:rsidRDefault="00A11C90" w:rsidP="00FE6791">
      <w:pPr>
        <w:pStyle w:val="Prrafodelista"/>
        <w:numPr>
          <w:ilvl w:val="0"/>
          <w:numId w:val="16"/>
        </w:numPr>
        <w:spacing w:after="160" w:line="259" w:lineRule="auto"/>
        <w:ind w:left="567" w:hanging="283"/>
        <w:rPr>
          <w:color w:val="000000" w:themeColor="text1"/>
        </w:rPr>
      </w:pPr>
      <w:r w:rsidRPr="00A07D9A">
        <w:rPr>
          <w:color w:val="000000" w:themeColor="text1"/>
        </w:rPr>
        <w:t>Están incluidos en un contrato o convenio marco que ampara la realización de una concentración</w:t>
      </w:r>
      <w:r w:rsidR="00EA553E" w:rsidRPr="00A07D9A">
        <w:rPr>
          <w:color w:val="000000" w:themeColor="text1"/>
        </w:rPr>
        <w:t>;</w:t>
      </w:r>
    </w:p>
    <w:p w14:paraId="0EBDFF2E" w14:textId="77777777" w:rsidR="0024068C" w:rsidRPr="00A07D9A" w:rsidRDefault="0024068C" w:rsidP="00FE6791">
      <w:pPr>
        <w:pStyle w:val="Prrafodelista"/>
        <w:numPr>
          <w:ilvl w:val="0"/>
          <w:numId w:val="16"/>
        </w:numPr>
        <w:spacing w:after="160" w:line="259" w:lineRule="auto"/>
        <w:ind w:left="567" w:hanging="283"/>
        <w:rPr>
          <w:color w:val="000000" w:themeColor="text1"/>
        </w:rPr>
      </w:pPr>
      <w:r w:rsidRPr="00A07D9A">
        <w:rPr>
          <w:color w:val="000000" w:themeColor="text1"/>
        </w:rPr>
        <w:t>Persiguen un mismo fin u objetivo o exhiban coincidencias significativas en el objeto o motivo de la concentración;</w:t>
      </w:r>
    </w:p>
    <w:p w14:paraId="29F34082" w14:textId="77777777" w:rsidR="00A11C90" w:rsidRPr="00A07D9A" w:rsidRDefault="00A11C90" w:rsidP="00FE6791">
      <w:pPr>
        <w:pStyle w:val="Prrafodelista"/>
        <w:numPr>
          <w:ilvl w:val="0"/>
          <w:numId w:val="16"/>
        </w:numPr>
        <w:spacing w:after="160" w:line="259" w:lineRule="auto"/>
        <w:ind w:left="567" w:hanging="283"/>
        <w:rPr>
          <w:color w:val="000000" w:themeColor="text1"/>
        </w:rPr>
      </w:pPr>
      <w:r w:rsidRPr="00A07D9A">
        <w:rPr>
          <w:color w:val="000000" w:themeColor="text1"/>
        </w:rPr>
        <w:t xml:space="preserve">Se realizan dentro de un plazo de </w:t>
      </w:r>
      <w:r w:rsidR="00EA553E" w:rsidRPr="00A07D9A">
        <w:rPr>
          <w:color w:val="000000" w:themeColor="text1"/>
        </w:rPr>
        <w:t xml:space="preserve">hasta </w:t>
      </w:r>
      <w:r w:rsidRPr="00A07D9A">
        <w:rPr>
          <w:color w:val="000000" w:themeColor="text1"/>
        </w:rPr>
        <w:t>cinco años</w:t>
      </w:r>
      <w:r w:rsidR="00EA553E" w:rsidRPr="00A07D9A">
        <w:rPr>
          <w:color w:val="000000" w:themeColor="text1"/>
        </w:rPr>
        <w:t xml:space="preserve">, </w:t>
      </w:r>
      <w:r w:rsidR="0024068C" w:rsidRPr="00A07D9A">
        <w:rPr>
          <w:color w:val="000000" w:themeColor="text1"/>
        </w:rPr>
        <w:t>o</w:t>
      </w:r>
    </w:p>
    <w:p w14:paraId="73FE88ED" w14:textId="77777777" w:rsidR="00A11C90" w:rsidRPr="00A07D9A" w:rsidRDefault="0024068C" w:rsidP="00FE6791">
      <w:pPr>
        <w:pStyle w:val="Prrafodelista"/>
        <w:numPr>
          <w:ilvl w:val="0"/>
          <w:numId w:val="16"/>
        </w:numPr>
        <w:spacing w:after="160" w:line="259" w:lineRule="auto"/>
        <w:ind w:left="567" w:hanging="283"/>
        <w:rPr>
          <w:color w:val="000000" w:themeColor="text1"/>
        </w:rPr>
      </w:pPr>
      <w:r w:rsidRPr="00A07D9A">
        <w:rPr>
          <w:color w:val="000000" w:themeColor="text1"/>
        </w:rPr>
        <w:t>I</w:t>
      </w:r>
      <w:r w:rsidR="00A11C90" w:rsidRPr="00A07D9A">
        <w:rPr>
          <w:color w:val="000000" w:themeColor="text1"/>
        </w:rPr>
        <w:t>mplica</w:t>
      </w:r>
      <w:r w:rsidRPr="00A07D9A">
        <w:rPr>
          <w:color w:val="000000" w:themeColor="text1"/>
        </w:rPr>
        <w:t xml:space="preserve">n en </w:t>
      </w:r>
      <w:r w:rsidR="000A3EEF" w:rsidRPr="00A07D9A">
        <w:rPr>
          <w:color w:val="000000" w:themeColor="text1"/>
        </w:rPr>
        <w:t>conjunto la</w:t>
      </w:r>
      <w:r w:rsidR="00A11C90" w:rsidRPr="00A07D9A">
        <w:rPr>
          <w:color w:val="000000" w:themeColor="text1"/>
        </w:rPr>
        <w:t xml:space="preserve"> adquisición de influencia o de control </w:t>
      </w:r>
      <w:r w:rsidRPr="00A07D9A">
        <w:rPr>
          <w:color w:val="000000" w:themeColor="text1"/>
        </w:rPr>
        <w:t>por parte del mismo o los mismos Agentes Económicos adquirientes</w:t>
      </w:r>
      <w:r w:rsidR="00A11C90" w:rsidRPr="00A07D9A">
        <w:rPr>
          <w:rFonts w:cs="Arial"/>
          <w:color w:val="000000" w:themeColor="text1"/>
        </w:rPr>
        <w:t xml:space="preserve">. </w:t>
      </w:r>
    </w:p>
    <w:p w14:paraId="06D7D3CD" w14:textId="77777777" w:rsidR="0025135F" w:rsidRPr="00A07D9A" w:rsidRDefault="0025135F" w:rsidP="00A11C90">
      <w:pPr>
        <w:rPr>
          <w:color w:val="000000" w:themeColor="text1"/>
        </w:rPr>
      </w:pPr>
      <w:r w:rsidRPr="00A07D9A">
        <w:rPr>
          <w:color w:val="000000" w:themeColor="text1"/>
        </w:rPr>
        <w:t>La obligación de notificación en estos casos se presenta en el momento en que la realización de un acto signifique la actualización de los umbrales monetarios señalados en el artículo 86 de la LFCE, considerando de manera conjunta los diversos actos efectuados.</w:t>
      </w:r>
    </w:p>
    <w:p w14:paraId="20E521F0" w14:textId="77777777" w:rsidR="00A11C90" w:rsidRPr="00A07D9A" w:rsidRDefault="00F31B74" w:rsidP="00A11C90">
      <w:pPr>
        <w:rPr>
          <w:color w:val="000000" w:themeColor="text1"/>
        </w:rPr>
      </w:pPr>
      <w:r w:rsidRPr="00A07D9A">
        <w:rPr>
          <w:color w:val="000000" w:themeColor="text1"/>
        </w:rPr>
        <w:lastRenderedPageBreak/>
        <w:t>En este sentido</w:t>
      </w:r>
      <w:r w:rsidR="00A11C90" w:rsidRPr="00A07D9A">
        <w:rPr>
          <w:color w:val="000000" w:themeColor="text1"/>
        </w:rPr>
        <w:t xml:space="preserve">, los </w:t>
      </w:r>
      <w:r w:rsidR="008A07CB" w:rsidRPr="00A07D9A">
        <w:rPr>
          <w:color w:val="000000" w:themeColor="text1"/>
        </w:rPr>
        <w:t>agentes económicos</w:t>
      </w:r>
      <w:r w:rsidR="00A11C90" w:rsidRPr="00A07D9A">
        <w:rPr>
          <w:color w:val="000000" w:themeColor="text1"/>
        </w:rPr>
        <w:t xml:space="preserve"> deberán notificar las concentraciones que se integren por sucesiones de actos, previamente a que se perfeccione el último de ellos por virtud del cual se rebasen los montos establecidos en el artículo 86 de la LFCE.</w:t>
      </w:r>
      <w:r w:rsidR="00C37A19" w:rsidRPr="00A07D9A">
        <w:rPr>
          <w:color w:val="000000" w:themeColor="text1"/>
        </w:rPr>
        <w:t xml:space="preserve"> El IFT evaluará caso por caso y conforme a sus propios méritos aquellos </w:t>
      </w:r>
      <w:r w:rsidRPr="00A07D9A">
        <w:rPr>
          <w:color w:val="000000" w:themeColor="text1"/>
        </w:rPr>
        <w:t xml:space="preserve">asuntos </w:t>
      </w:r>
      <w:r w:rsidR="00C37A19" w:rsidRPr="00A07D9A">
        <w:rPr>
          <w:color w:val="000000" w:themeColor="text1"/>
        </w:rPr>
        <w:t>que pudieran actualizar ese supuesto aludido de sucesión de actos.</w:t>
      </w:r>
    </w:p>
    <w:p w14:paraId="1153AC16" w14:textId="77777777" w:rsidR="00E632AB" w:rsidRPr="00A07D9A" w:rsidRDefault="0025135F" w:rsidP="00E632AB">
      <w:pPr>
        <w:rPr>
          <w:color w:val="000000" w:themeColor="text1"/>
        </w:rPr>
      </w:pPr>
      <w:bookmarkStart w:id="53" w:name="_Toc462053119"/>
      <w:r w:rsidRPr="00A07D9A">
        <w:rPr>
          <w:color w:val="000000" w:themeColor="text1"/>
        </w:rPr>
        <w:t>D</w:t>
      </w:r>
      <w:r w:rsidR="00E632AB" w:rsidRPr="00A07D9A">
        <w:rPr>
          <w:color w:val="000000" w:themeColor="text1"/>
        </w:rPr>
        <w:t>ebe señalarse que las operaciones o actos que conforman una sucesión de actos pueden involucrar transacciones u operaciones reguladas en la LFTR y que actualizan la definición de concentración prevista en la LFCE: enajenaciones de acciones, cesiones de derechos, arrendamiento de espectro y cambio de frecuencias. Puede ocurrir que un agente económico realice estas operaciones por montos que en lo individual o de manera agregada se encuentren por debajo de los umbrales señalados en el artículo 86 de la LFCE, pero que llegue un momento en que sí se actualice alguno de dichos umbrales. En ese caso, puede ser que gradualmente el agente económico obtenga control real o latente sobre otro.</w:t>
      </w:r>
    </w:p>
    <w:p w14:paraId="075C1AE7" w14:textId="2B315C39" w:rsidR="00E632AB" w:rsidRPr="00A07D9A" w:rsidRDefault="00E632AB" w:rsidP="00A11C90">
      <w:pPr>
        <w:rPr>
          <w:color w:val="000000" w:themeColor="text1"/>
        </w:rPr>
      </w:pPr>
      <w:r w:rsidRPr="00A07D9A">
        <w:rPr>
          <w:color w:val="000000" w:themeColor="text1"/>
        </w:rPr>
        <w:t>En caso que un Agente económico considere que pueda estar en riesgo de incurrir en una concentración no notificada, puede consultar al IFT o realizar la notificación voluntaria.</w:t>
      </w:r>
    </w:p>
    <w:p w14:paraId="7380CDE1" w14:textId="77777777" w:rsidR="00A11C90" w:rsidRPr="00A07D9A" w:rsidRDefault="00867F46" w:rsidP="003F2656">
      <w:pPr>
        <w:pStyle w:val="Ttulo2"/>
        <w:rPr>
          <w:color w:val="000000" w:themeColor="text1"/>
        </w:rPr>
      </w:pPr>
      <w:bookmarkStart w:id="54" w:name="_Toc486519821"/>
      <w:r w:rsidRPr="00A07D9A">
        <w:rPr>
          <w:color w:val="000000" w:themeColor="text1"/>
        </w:rPr>
        <w:t>5</w:t>
      </w:r>
      <w:r w:rsidR="003F2656" w:rsidRPr="00A07D9A">
        <w:rPr>
          <w:color w:val="000000" w:themeColor="text1"/>
        </w:rPr>
        <w:t xml:space="preserve">.4. </w:t>
      </w:r>
      <w:bookmarkEnd w:id="53"/>
      <w:r w:rsidR="008539D9" w:rsidRPr="00A07D9A">
        <w:rPr>
          <w:color w:val="000000" w:themeColor="text1"/>
        </w:rPr>
        <w:t>O</w:t>
      </w:r>
      <w:r w:rsidR="003F2656" w:rsidRPr="00A07D9A">
        <w:rPr>
          <w:color w:val="000000" w:themeColor="text1"/>
        </w:rPr>
        <w:t>portunidad en la notificación</w:t>
      </w:r>
      <w:bookmarkEnd w:id="54"/>
    </w:p>
    <w:p w14:paraId="2F673942" w14:textId="77777777" w:rsidR="00A11C90" w:rsidRPr="00A07D9A" w:rsidRDefault="00A11C90" w:rsidP="00A11C90">
      <w:pPr>
        <w:rPr>
          <w:color w:val="000000" w:themeColor="text1"/>
        </w:rPr>
      </w:pPr>
      <w:r w:rsidRPr="00A07D9A">
        <w:rPr>
          <w:color w:val="000000" w:themeColor="text1"/>
        </w:rPr>
        <w:t xml:space="preserve">De acuerdo con el artículo 87 de la LFCE, los </w:t>
      </w:r>
      <w:r w:rsidR="008A07CB" w:rsidRPr="00A07D9A">
        <w:rPr>
          <w:color w:val="000000" w:themeColor="text1"/>
        </w:rPr>
        <w:t>agentes económicos</w:t>
      </w:r>
      <w:r w:rsidRPr="00A07D9A">
        <w:rPr>
          <w:color w:val="000000" w:themeColor="text1"/>
        </w:rPr>
        <w:t xml:space="preserve"> deben obtener la autorización para realizar la concentración y, por ende, notificarla, antes de que suceda cualquiera de los siguientes supuestos:</w:t>
      </w:r>
    </w:p>
    <w:p w14:paraId="260C7105" w14:textId="77777777" w:rsidR="00A11C90" w:rsidRPr="00A07D9A" w:rsidRDefault="00A11C90" w:rsidP="00A11C90">
      <w:pPr>
        <w:ind w:left="1276" w:hanging="1276"/>
        <w:rPr>
          <w:b/>
          <w:color w:val="000000" w:themeColor="text1"/>
        </w:rPr>
      </w:pPr>
      <w:r w:rsidRPr="00A07D9A">
        <w:rPr>
          <w:b/>
          <w:color w:val="000000" w:themeColor="text1"/>
        </w:rPr>
        <w:t>Supuesto 1. El acto jurídico se perfeccione de conformidad con la legislación aplicable o, en su caso, se cumpla la condición suspensiva a la que esté sujeto dicho acto.</w:t>
      </w:r>
    </w:p>
    <w:p w14:paraId="465890B4" w14:textId="77777777" w:rsidR="00A11C90" w:rsidRPr="00A07D9A" w:rsidRDefault="00A11C90" w:rsidP="00A11C90">
      <w:pPr>
        <w:rPr>
          <w:color w:val="000000" w:themeColor="text1"/>
        </w:rPr>
      </w:pPr>
      <w:r w:rsidRPr="00A07D9A">
        <w:rPr>
          <w:color w:val="000000" w:themeColor="text1"/>
        </w:rPr>
        <w:t>Perfeccionamiento del acto jurídico y condiciones suspensivas</w:t>
      </w:r>
    </w:p>
    <w:p w14:paraId="4EB41298" w14:textId="77777777" w:rsidR="00A11C90" w:rsidRPr="00A07D9A" w:rsidRDefault="00A11C90" w:rsidP="00A11C90">
      <w:pPr>
        <w:rPr>
          <w:color w:val="000000" w:themeColor="text1"/>
        </w:rPr>
      </w:pPr>
      <w:r w:rsidRPr="00A07D9A">
        <w:rPr>
          <w:color w:val="000000" w:themeColor="text1"/>
        </w:rPr>
        <w:t>De conformidad con el artículo 2014 del CCF:</w:t>
      </w:r>
    </w:p>
    <w:p w14:paraId="6D3A3CD0" w14:textId="77777777" w:rsidR="00A11C90" w:rsidRPr="00A07D9A" w:rsidRDefault="00A11C90" w:rsidP="00A11C90">
      <w:pPr>
        <w:ind w:left="360"/>
        <w:rPr>
          <w:color w:val="000000" w:themeColor="text1"/>
        </w:rPr>
      </w:pPr>
      <w:r w:rsidRPr="00A07D9A">
        <w:rPr>
          <w:color w:val="000000" w:themeColor="text1"/>
        </w:rPr>
        <w:t>“</w:t>
      </w:r>
      <w:r w:rsidR="00641D8D" w:rsidRPr="00A07D9A">
        <w:rPr>
          <w:color w:val="000000" w:themeColor="text1"/>
        </w:rPr>
        <w:t>A</w:t>
      </w:r>
      <w:r w:rsidR="00C561C7" w:rsidRPr="00A07D9A">
        <w:rPr>
          <w:color w:val="000000" w:themeColor="text1"/>
        </w:rPr>
        <w:t>rtículo</w:t>
      </w:r>
      <w:r w:rsidRPr="00A07D9A">
        <w:rPr>
          <w:color w:val="000000" w:themeColor="text1"/>
        </w:rPr>
        <w:t xml:space="preserve"> 2014.- En las enajenaciones de cosas ciertas y determinadas, </w:t>
      </w:r>
      <w:r w:rsidRPr="00A07D9A">
        <w:rPr>
          <w:b/>
          <w:color w:val="000000" w:themeColor="text1"/>
        </w:rPr>
        <w:t>la traslación de la propiedad se verifica entre los contratantes, por mero efecto del contrato</w:t>
      </w:r>
      <w:r w:rsidRPr="00A07D9A">
        <w:rPr>
          <w:color w:val="000000" w:themeColor="text1"/>
        </w:rPr>
        <w:t>, sin dependencia de tradición ya sea natural, ya sea simbólica; debiendo tenerse en cuenta las disposiciones relativas del Registro Público.”</w:t>
      </w:r>
    </w:p>
    <w:p w14:paraId="6E3BF178" w14:textId="77777777" w:rsidR="00A11C90" w:rsidRPr="00A07D9A" w:rsidRDefault="00A11C90" w:rsidP="00A11C90">
      <w:pPr>
        <w:ind w:left="360"/>
        <w:rPr>
          <w:color w:val="000000" w:themeColor="text1"/>
        </w:rPr>
      </w:pPr>
      <w:r w:rsidRPr="00A07D9A">
        <w:rPr>
          <w:color w:val="000000" w:themeColor="text1"/>
        </w:rPr>
        <w:t>(Énfasis añadido)</w:t>
      </w:r>
    </w:p>
    <w:p w14:paraId="0CAB76D1" w14:textId="77777777" w:rsidR="00A11C90" w:rsidRPr="00A07D9A" w:rsidRDefault="00A11C90" w:rsidP="00A11C90">
      <w:pPr>
        <w:rPr>
          <w:color w:val="000000" w:themeColor="text1"/>
        </w:rPr>
      </w:pPr>
      <w:r w:rsidRPr="00A07D9A">
        <w:rPr>
          <w:color w:val="000000" w:themeColor="text1"/>
        </w:rPr>
        <w:t xml:space="preserve">La disposición anterior (conocida en la doctrina jurídica como “teoría de riesgos”) establece que todos los contratos que implican una transmisión de propiedad surten sus efectos entre las partes desde la celebración del acuerdo respectivo, sin importar que la entrega de los bienes, activos, derechos o capital involucrado suceda con posterioridad. Como consecuencia del artículo 2014 del CCF, la celebración de este tipo de contratos o convenios traslativos de propiedad </w:t>
      </w:r>
      <w:r w:rsidR="008279FC" w:rsidRPr="00A07D9A">
        <w:rPr>
          <w:color w:val="000000" w:themeColor="text1"/>
        </w:rPr>
        <w:t xml:space="preserve">podría </w:t>
      </w:r>
      <w:r w:rsidRPr="00A07D9A">
        <w:rPr>
          <w:color w:val="000000" w:themeColor="text1"/>
        </w:rPr>
        <w:lastRenderedPageBreak/>
        <w:t>incorpor</w:t>
      </w:r>
      <w:r w:rsidR="008279FC" w:rsidRPr="00A07D9A">
        <w:rPr>
          <w:color w:val="000000" w:themeColor="text1"/>
        </w:rPr>
        <w:t>ar</w:t>
      </w:r>
      <w:r w:rsidRPr="00A07D9A">
        <w:rPr>
          <w:color w:val="000000" w:themeColor="text1"/>
        </w:rPr>
        <w:t xml:space="preserve"> cláusulas suspensivas que sujeten la existencia de la transacción a la existencia previa de una autorización por parte del IFT. </w:t>
      </w:r>
    </w:p>
    <w:p w14:paraId="28F9EAE5" w14:textId="77777777" w:rsidR="00A11C90" w:rsidRPr="00A07D9A" w:rsidRDefault="00A11C90" w:rsidP="00A11C90">
      <w:pPr>
        <w:rPr>
          <w:rFonts w:cs="Helvetica"/>
          <w:color w:val="000000" w:themeColor="text1"/>
        </w:rPr>
      </w:pPr>
      <w:r w:rsidRPr="00A07D9A">
        <w:rPr>
          <w:color w:val="000000" w:themeColor="text1"/>
        </w:rPr>
        <w:t xml:space="preserve">Al respecto, el artículo 16 de las </w:t>
      </w:r>
      <w:r w:rsidR="00B94D75" w:rsidRPr="00A07D9A">
        <w:rPr>
          <w:color w:val="000000" w:themeColor="text1"/>
        </w:rPr>
        <w:t>Disposiciones Regulatorias</w:t>
      </w:r>
      <w:r w:rsidRPr="00A07D9A">
        <w:rPr>
          <w:color w:val="000000" w:themeColor="text1"/>
        </w:rPr>
        <w:t xml:space="preserve"> establece que </w:t>
      </w:r>
      <w:r w:rsidRPr="00A07D9A">
        <w:rPr>
          <w:rFonts w:cs="Helvetica"/>
          <w:color w:val="000000" w:themeColor="text1"/>
        </w:rPr>
        <w:t xml:space="preserve">los </w:t>
      </w:r>
      <w:r w:rsidR="008A07CB" w:rsidRPr="00A07D9A">
        <w:rPr>
          <w:rFonts w:cs="Helvetica"/>
          <w:color w:val="000000" w:themeColor="text1"/>
        </w:rPr>
        <w:t>agentes económicos</w:t>
      </w:r>
      <w:r w:rsidRPr="00A07D9A">
        <w:rPr>
          <w:rFonts w:cs="Helvetica"/>
          <w:color w:val="000000" w:themeColor="text1"/>
        </w:rPr>
        <w:t xml:space="preserve"> involucrados pueden acordar, en los contratos o convenios que firmen, sujetar la realización de una transacción a la condición suspensiva de obtener la autorización del IFT y deben hacer constar que los actos relativos a la transacción no producirán efecto alguno hasta que se obtenga una autorización por parte del IFT o, en su caso, se entienda que no tiene objeción en términos de la Ley.</w:t>
      </w:r>
    </w:p>
    <w:p w14:paraId="16B52B29" w14:textId="77777777" w:rsidR="00A11C90" w:rsidRPr="00A07D9A" w:rsidRDefault="00A11C90" w:rsidP="00A11C90">
      <w:pPr>
        <w:autoSpaceDE w:val="0"/>
        <w:autoSpaceDN w:val="0"/>
        <w:adjustRightInd w:val="0"/>
        <w:rPr>
          <w:rFonts w:cs="Helvetica"/>
          <w:color w:val="000000" w:themeColor="text1"/>
        </w:rPr>
      </w:pPr>
      <w:r w:rsidRPr="00A07D9A">
        <w:rPr>
          <w:rFonts w:cs="Helvetica"/>
          <w:color w:val="000000" w:themeColor="text1"/>
        </w:rPr>
        <w:t xml:space="preserve">Ese mismo artículo también precisa que, en caso de que el IFT sujete la realización de la transacción al cumplimiento de condiciones que tengan por objeto la prevención de posibles efectos contrarios al proceso de competencia y libre concurrencia que pudieran derivar de la concentración notificada, los </w:t>
      </w:r>
      <w:r w:rsidR="008A07CB" w:rsidRPr="00A07D9A">
        <w:rPr>
          <w:rFonts w:cs="Helvetica"/>
          <w:color w:val="000000" w:themeColor="text1"/>
        </w:rPr>
        <w:t>agentes económicos</w:t>
      </w:r>
      <w:r w:rsidRPr="00A07D9A">
        <w:rPr>
          <w:rFonts w:cs="Helvetica"/>
          <w:color w:val="000000" w:themeColor="text1"/>
        </w:rPr>
        <w:t xml:space="preserve"> deben hacer constar que se obligan a realizar los actos necesarios para cumplir con ellas y que, hasta en tanto no se obtenga la autorización, los actos correspondientes no producirán efecto legal alguno, excepto cuando la propia resolución así lo autorice.</w:t>
      </w:r>
    </w:p>
    <w:p w14:paraId="3F4580D0" w14:textId="77777777" w:rsidR="00A11C90" w:rsidRPr="00A07D9A" w:rsidRDefault="00A11C90" w:rsidP="00A11C90">
      <w:pPr>
        <w:autoSpaceDE w:val="0"/>
        <w:autoSpaceDN w:val="0"/>
        <w:adjustRightInd w:val="0"/>
        <w:rPr>
          <w:color w:val="000000" w:themeColor="text1"/>
        </w:rPr>
      </w:pPr>
      <w:r w:rsidRPr="00A07D9A">
        <w:rPr>
          <w:rFonts w:cs="Helvetica"/>
          <w:color w:val="000000" w:themeColor="text1"/>
        </w:rPr>
        <w:t xml:space="preserve">Asimismo, el </w:t>
      </w:r>
      <w:r w:rsidRPr="00A07D9A">
        <w:rPr>
          <w:color w:val="000000" w:themeColor="text1"/>
        </w:rPr>
        <w:t xml:space="preserve">artículo 16 de las </w:t>
      </w:r>
      <w:r w:rsidR="00B94D75" w:rsidRPr="00A07D9A">
        <w:rPr>
          <w:color w:val="000000" w:themeColor="text1"/>
        </w:rPr>
        <w:t>Disposiciones Regulatorias</w:t>
      </w:r>
      <w:r w:rsidRPr="00A07D9A">
        <w:rPr>
          <w:rFonts w:cs="Helvetica"/>
          <w:color w:val="000000" w:themeColor="text1"/>
        </w:rPr>
        <w:t xml:space="preserve"> señala que el acuerdo mencionado puede constar en los libros corporativos o en instrumento público, los cuales deben ser presentados al IFT en instrumento emitido por fedatario público, al momento de notificarse la concentración en términos del artículo 89 de la LFCE o dentro de los diez días siguientes a la formalización del acuerdo.</w:t>
      </w:r>
    </w:p>
    <w:p w14:paraId="686B78E3" w14:textId="77777777" w:rsidR="00A11C90" w:rsidRPr="00A07D9A" w:rsidRDefault="00A11C90" w:rsidP="00A11C90">
      <w:pPr>
        <w:rPr>
          <w:b/>
          <w:color w:val="000000" w:themeColor="text1"/>
        </w:rPr>
      </w:pPr>
      <w:r w:rsidRPr="00A07D9A">
        <w:rPr>
          <w:b/>
          <w:color w:val="000000" w:themeColor="text1"/>
        </w:rPr>
        <w:t>Presentación de la notificación previamente a la firma del contrato</w:t>
      </w:r>
    </w:p>
    <w:p w14:paraId="7E0987AF" w14:textId="77777777" w:rsidR="00A11C90" w:rsidRPr="00A07D9A" w:rsidRDefault="00CE6784" w:rsidP="00A11C90">
      <w:pPr>
        <w:rPr>
          <w:color w:val="000000" w:themeColor="text1"/>
        </w:rPr>
      </w:pPr>
      <w:r w:rsidRPr="00A07D9A">
        <w:rPr>
          <w:color w:val="000000" w:themeColor="text1"/>
        </w:rPr>
        <w:t>L</w:t>
      </w:r>
      <w:r w:rsidR="00A11C90" w:rsidRPr="00A07D9A">
        <w:rPr>
          <w:color w:val="000000" w:themeColor="text1"/>
        </w:rPr>
        <w:t xml:space="preserve">os involucrados </w:t>
      </w:r>
      <w:r w:rsidRPr="00A07D9A">
        <w:rPr>
          <w:color w:val="000000" w:themeColor="text1"/>
        </w:rPr>
        <w:t xml:space="preserve">podrán </w:t>
      </w:r>
      <w:r w:rsidR="00A11C90" w:rsidRPr="00A07D9A">
        <w:rPr>
          <w:color w:val="000000" w:themeColor="text1"/>
        </w:rPr>
        <w:t>acud</w:t>
      </w:r>
      <w:r w:rsidRPr="00A07D9A">
        <w:rPr>
          <w:color w:val="000000" w:themeColor="text1"/>
        </w:rPr>
        <w:t>ir</w:t>
      </w:r>
      <w:r w:rsidR="00A11C90" w:rsidRPr="00A07D9A">
        <w:rPr>
          <w:color w:val="000000" w:themeColor="text1"/>
        </w:rPr>
        <w:t xml:space="preserve"> al IFT previ</w:t>
      </w:r>
      <w:r w:rsidR="009F1D7D" w:rsidRPr="00A07D9A">
        <w:rPr>
          <w:color w:val="000000" w:themeColor="text1"/>
        </w:rPr>
        <w:t>amente</w:t>
      </w:r>
      <w:r w:rsidR="00A11C90" w:rsidRPr="00A07D9A">
        <w:rPr>
          <w:color w:val="000000" w:themeColor="text1"/>
        </w:rPr>
        <w:t xml:space="preserve"> a la firma de cualquier contrato, convenio o acuerdo</w:t>
      </w:r>
      <w:r w:rsidR="004E7B90" w:rsidRPr="00A07D9A">
        <w:rPr>
          <w:color w:val="000000" w:themeColor="text1"/>
        </w:rPr>
        <w:t>, o combinaciones de éstos.</w:t>
      </w:r>
      <w:r w:rsidR="00A11C90" w:rsidRPr="00A07D9A">
        <w:rPr>
          <w:color w:val="000000" w:themeColor="text1"/>
        </w:rPr>
        <w:t xml:space="preserve"> En términos de la fracci</w:t>
      </w:r>
      <w:r w:rsidR="00A11C90" w:rsidRPr="00A07D9A">
        <w:rPr>
          <w:rFonts w:hint="eastAsia"/>
          <w:color w:val="000000" w:themeColor="text1"/>
        </w:rPr>
        <w:t>ó</w:t>
      </w:r>
      <w:r w:rsidR="00A11C90" w:rsidRPr="00A07D9A">
        <w:rPr>
          <w:color w:val="000000" w:themeColor="text1"/>
        </w:rPr>
        <w:t xml:space="preserve">n III del artículo 89 de la LFCE, los </w:t>
      </w:r>
      <w:r w:rsidR="008A07CB" w:rsidRPr="00A07D9A">
        <w:rPr>
          <w:color w:val="000000" w:themeColor="text1"/>
        </w:rPr>
        <w:t>agentes económicos</w:t>
      </w:r>
      <w:r w:rsidR="00A11C90" w:rsidRPr="00A07D9A">
        <w:rPr>
          <w:color w:val="000000" w:themeColor="text1"/>
        </w:rPr>
        <w:t xml:space="preserve"> pueden presentar un proyecto de acto jurídico, el cual deberá contener las características esenciales de la operación pretendida, que deben incluir la identificación de:</w:t>
      </w:r>
    </w:p>
    <w:p w14:paraId="4EA74201" w14:textId="77777777" w:rsidR="00A11C90" w:rsidRPr="00A07D9A" w:rsidRDefault="00A11C90" w:rsidP="00FE6791">
      <w:pPr>
        <w:pStyle w:val="Prrafodelista"/>
        <w:numPr>
          <w:ilvl w:val="0"/>
          <w:numId w:val="19"/>
        </w:numPr>
        <w:spacing w:after="160" w:line="259" w:lineRule="auto"/>
        <w:ind w:left="567" w:hanging="357"/>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que firmarán el acto jurídico.</w:t>
      </w:r>
    </w:p>
    <w:p w14:paraId="019BFCE7" w14:textId="77777777" w:rsidR="00A11C90" w:rsidRPr="00A07D9A" w:rsidRDefault="00A11C90" w:rsidP="00FE6791">
      <w:pPr>
        <w:pStyle w:val="Prrafodelista"/>
        <w:numPr>
          <w:ilvl w:val="0"/>
          <w:numId w:val="19"/>
        </w:numPr>
        <w:spacing w:after="160" w:line="259" w:lineRule="auto"/>
        <w:ind w:left="567" w:hanging="357"/>
        <w:rPr>
          <w:color w:val="000000" w:themeColor="text1"/>
        </w:rPr>
      </w:pPr>
      <w:r w:rsidRPr="00A07D9A">
        <w:rPr>
          <w:color w:val="000000" w:themeColor="text1"/>
        </w:rPr>
        <w:t>La concentración que se llevará a cabo.</w:t>
      </w:r>
    </w:p>
    <w:p w14:paraId="5841E9E8" w14:textId="77777777" w:rsidR="00A11C90" w:rsidRPr="00A07D9A" w:rsidRDefault="00A11C90" w:rsidP="00FE6791">
      <w:pPr>
        <w:pStyle w:val="Prrafodelista"/>
        <w:numPr>
          <w:ilvl w:val="0"/>
          <w:numId w:val="19"/>
        </w:numPr>
        <w:spacing w:after="160" w:line="259" w:lineRule="auto"/>
        <w:ind w:left="567" w:hanging="357"/>
        <w:rPr>
          <w:color w:val="000000" w:themeColor="text1"/>
        </w:rPr>
      </w:pPr>
      <w:r w:rsidRPr="00A07D9A">
        <w:rPr>
          <w:color w:val="000000" w:themeColor="text1"/>
        </w:rPr>
        <w:t>Las acciones, partes sociales, unidades de participación y/o activos a ser adquiridos.</w:t>
      </w:r>
    </w:p>
    <w:p w14:paraId="73B747C4" w14:textId="77777777" w:rsidR="00A11C90" w:rsidRPr="00A07D9A" w:rsidRDefault="00A11C90" w:rsidP="00FE6791">
      <w:pPr>
        <w:pStyle w:val="Prrafodelista"/>
        <w:numPr>
          <w:ilvl w:val="0"/>
          <w:numId w:val="19"/>
        </w:numPr>
        <w:spacing w:after="160" w:line="259" w:lineRule="auto"/>
        <w:ind w:left="567" w:hanging="357"/>
        <w:rPr>
          <w:color w:val="000000" w:themeColor="text1"/>
        </w:rPr>
      </w:pPr>
      <w:r w:rsidRPr="00A07D9A">
        <w:rPr>
          <w:color w:val="000000" w:themeColor="text1"/>
        </w:rPr>
        <w:t>El monto de la operación.</w:t>
      </w:r>
    </w:p>
    <w:p w14:paraId="59491161" w14:textId="77777777" w:rsidR="00A11C90" w:rsidRPr="00A07D9A" w:rsidRDefault="00A11C90" w:rsidP="00FE6791">
      <w:pPr>
        <w:pStyle w:val="Prrafodelista"/>
        <w:numPr>
          <w:ilvl w:val="0"/>
          <w:numId w:val="19"/>
        </w:numPr>
        <w:spacing w:after="160" w:line="259" w:lineRule="auto"/>
        <w:ind w:left="567" w:hanging="357"/>
        <w:rPr>
          <w:color w:val="000000" w:themeColor="text1"/>
        </w:rPr>
      </w:pPr>
      <w:r w:rsidRPr="00A07D9A">
        <w:rPr>
          <w:color w:val="000000" w:themeColor="text1"/>
        </w:rPr>
        <w:t xml:space="preserve">Los derechos y obligaciones pactados entre los </w:t>
      </w:r>
      <w:r w:rsidR="008A07CB" w:rsidRPr="00A07D9A">
        <w:rPr>
          <w:color w:val="000000" w:themeColor="text1"/>
        </w:rPr>
        <w:t>agentes económicos</w:t>
      </w:r>
      <w:r w:rsidRPr="00A07D9A">
        <w:rPr>
          <w:color w:val="000000" w:themeColor="text1"/>
        </w:rPr>
        <w:t xml:space="preserve"> que intervienen en la operación. </w:t>
      </w:r>
    </w:p>
    <w:p w14:paraId="632C94B9" w14:textId="77777777" w:rsidR="00A11C90" w:rsidRPr="00A07D9A" w:rsidRDefault="00A11C90" w:rsidP="00FE6791">
      <w:pPr>
        <w:pStyle w:val="Prrafodelista"/>
        <w:numPr>
          <w:ilvl w:val="0"/>
          <w:numId w:val="19"/>
        </w:numPr>
        <w:spacing w:after="160" w:line="259" w:lineRule="auto"/>
        <w:ind w:left="567" w:hanging="357"/>
        <w:rPr>
          <w:color w:val="000000" w:themeColor="text1"/>
        </w:rPr>
      </w:pPr>
      <w:r w:rsidRPr="00A07D9A">
        <w:rPr>
          <w:color w:val="000000" w:themeColor="text1"/>
        </w:rPr>
        <w:t>Las condiciones suspensivas</w:t>
      </w:r>
      <w:r w:rsidR="002141E4" w:rsidRPr="00A07D9A">
        <w:rPr>
          <w:color w:val="000000" w:themeColor="text1"/>
        </w:rPr>
        <w:t xml:space="preserve"> sujetas</w:t>
      </w:r>
      <w:r w:rsidRPr="00A07D9A">
        <w:rPr>
          <w:color w:val="000000" w:themeColor="text1"/>
        </w:rPr>
        <w:t xml:space="preserve"> a obtener la autorización por parte del IFT, en caso de existir.</w:t>
      </w:r>
    </w:p>
    <w:p w14:paraId="405258EB" w14:textId="77777777" w:rsidR="00A11C90" w:rsidRPr="00A07D9A" w:rsidRDefault="00A11C90" w:rsidP="00FE6791">
      <w:pPr>
        <w:pStyle w:val="Prrafodelista"/>
        <w:numPr>
          <w:ilvl w:val="0"/>
          <w:numId w:val="19"/>
        </w:numPr>
        <w:spacing w:after="160" w:line="259" w:lineRule="auto"/>
        <w:ind w:left="567" w:hanging="357"/>
        <w:rPr>
          <w:color w:val="000000" w:themeColor="text1"/>
        </w:rPr>
      </w:pPr>
      <w:r w:rsidRPr="00A07D9A">
        <w:rPr>
          <w:color w:val="000000" w:themeColor="text1"/>
        </w:rPr>
        <w:lastRenderedPageBreak/>
        <w:t xml:space="preserve">El proyecto de las cláusulas por virtud de las cuales los </w:t>
      </w:r>
      <w:r w:rsidR="008A07CB" w:rsidRPr="00A07D9A">
        <w:rPr>
          <w:color w:val="000000" w:themeColor="text1"/>
        </w:rPr>
        <w:t>agentes económicos</w:t>
      </w:r>
      <w:r w:rsidRPr="00A07D9A">
        <w:rPr>
          <w:color w:val="000000" w:themeColor="text1"/>
        </w:rPr>
        <w:t xml:space="preserve"> participantes se obligan a no competir en caso de existir.</w:t>
      </w:r>
    </w:p>
    <w:p w14:paraId="322A15CD" w14:textId="77777777" w:rsidR="00A11C90" w:rsidRPr="00A07D9A" w:rsidRDefault="00A11C90" w:rsidP="00A11C90">
      <w:pPr>
        <w:rPr>
          <w:color w:val="000000" w:themeColor="text1"/>
        </w:rPr>
      </w:pPr>
      <w:r w:rsidRPr="00A07D9A">
        <w:rPr>
          <w:color w:val="000000" w:themeColor="text1"/>
        </w:rPr>
        <w:t xml:space="preserve">En tales supuestos si bien no se ha perfeccionado un acuerdo de voluntades entre los involucrados, como consecuencia del procedimiento de notificación, los </w:t>
      </w:r>
      <w:r w:rsidR="008A07CB" w:rsidRPr="00A07D9A">
        <w:rPr>
          <w:color w:val="000000" w:themeColor="text1"/>
        </w:rPr>
        <w:t>agentes económicos</w:t>
      </w:r>
      <w:r w:rsidRPr="00A07D9A">
        <w:rPr>
          <w:color w:val="000000" w:themeColor="text1"/>
        </w:rPr>
        <w:t xml:space="preserve"> deberán asumir que la resolución emitida únicamente deberá entenderse respecto de los términos de la operación que le fueron notificados al IFT. Así, cualquier modificación en la concentración </w:t>
      </w:r>
      <w:r w:rsidR="00A91603" w:rsidRPr="00A07D9A">
        <w:rPr>
          <w:color w:val="000000" w:themeColor="text1"/>
        </w:rPr>
        <w:t xml:space="preserve">deberá ser informada al IFT antes de </w:t>
      </w:r>
      <w:r w:rsidR="005F4B6C" w:rsidRPr="00A07D9A">
        <w:rPr>
          <w:color w:val="000000" w:themeColor="text1"/>
        </w:rPr>
        <w:t xml:space="preserve">realizarse </w:t>
      </w:r>
      <w:r w:rsidR="00A91603" w:rsidRPr="00A07D9A">
        <w:rPr>
          <w:color w:val="000000" w:themeColor="text1"/>
        </w:rPr>
        <w:t xml:space="preserve">para efectos de determinar si </w:t>
      </w:r>
      <w:r w:rsidRPr="00A07D9A">
        <w:rPr>
          <w:color w:val="000000" w:themeColor="text1"/>
        </w:rPr>
        <w:t xml:space="preserve">implicará </w:t>
      </w:r>
      <w:r w:rsidR="00A91603" w:rsidRPr="00A07D9A">
        <w:rPr>
          <w:color w:val="000000" w:themeColor="text1"/>
        </w:rPr>
        <w:t xml:space="preserve">un cambio significativo en la transacción, </w:t>
      </w:r>
      <w:r w:rsidR="005F4B6C" w:rsidRPr="00A07D9A">
        <w:rPr>
          <w:color w:val="000000" w:themeColor="text1"/>
        </w:rPr>
        <w:t>para efectos de determinar si constituye</w:t>
      </w:r>
      <w:r w:rsidR="00A91603" w:rsidRPr="00A07D9A">
        <w:rPr>
          <w:color w:val="000000" w:themeColor="text1"/>
        </w:rPr>
        <w:t xml:space="preserve"> </w:t>
      </w:r>
      <w:r w:rsidRPr="00A07D9A">
        <w:rPr>
          <w:color w:val="000000" w:themeColor="text1"/>
        </w:rPr>
        <w:t xml:space="preserve"> otra concentración</w:t>
      </w:r>
      <w:r w:rsidR="005F4B6C" w:rsidRPr="00A07D9A">
        <w:rPr>
          <w:color w:val="000000" w:themeColor="text1"/>
        </w:rPr>
        <w:t>. De ser el caso, l</w:t>
      </w:r>
      <w:r w:rsidRPr="00A07D9A">
        <w:rPr>
          <w:color w:val="000000" w:themeColor="text1"/>
        </w:rPr>
        <w:t>a resolución previa</w:t>
      </w:r>
      <w:r w:rsidR="005F4B6C" w:rsidRPr="00A07D9A">
        <w:rPr>
          <w:color w:val="000000" w:themeColor="text1"/>
        </w:rPr>
        <w:t xml:space="preserve"> </w:t>
      </w:r>
      <w:r w:rsidRPr="00A07D9A">
        <w:rPr>
          <w:color w:val="000000" w:themeColor="text1"/>
        </w:rPr>
        <w:t xml:space="preserve"> ya no ser</w:t>
      </w:r>
      <w:r w:rsidR="005F4B6C" w:rsidRPr="00A07D9A">
        <w:rPr>
          <w:color w:val="000000" w:themeColor="text1"/>
        </w:rPr>
        <w:t>ía</w:t>
      </w:r>
      <w:r w:rsidRPr="00A07D9A">
        <w:rPr>
          <w:color w:val="000000" w:themeColor="text1"/>
        </w:rPr>
        <w:t xml:space="preserve"> aplicable </w:t>
      </w:r>
      <w:r w:rsidR="005F4B6C" w:rsidRPr="00A07D9A">
        <w:rPr>
          <w:color w:val="000000" w:themeColor="text1"/>
        </w:rPr>
        <w:t xml:space="preserve"> y</w:t>
      </w:r>
      <w:r w:rsidRPr="00A07D9A">
        <w:rPr>
          <w:color w:val="000000" w:themeColor="text1"/>
        </w:rPr>
        <w:t xml:space="preserve"> los </w:t>
      </w:r>
      <w:r w:rsidR="008A07CB" w:rsidRPr="00A07D9A">
        <w:rPr>
          <w:color w:val="000000" w:themeColor="text1"/>
        </w:rPr>
        <w:t>agentes económicos</w:t>
      </w:r>
      <w:r w:rsidRPr="00A07D9A">
        <w:rPr>
          <w:color w:val="000000" w:themeColor="text1"/>
        </w:rPr>
        <w:t xml:space="preserve"> deberán notificar esta última concentración antes de realizarla.</w:t>
      </w:r>
    </w:p>
    <w:p w14:paraId="13931891" w14:textId="77777777" w:rsidR="00A11C90" w:rsidRPr="00A07D9A" w:rsidRDefault="00A11C90" w:rsidP="00A11C90">
      <w:pPr>
        <w:ind w:left="1276" w:hanging="1276"/>
        <w:rPr>
          <w:b/>
          <w:color w:val="000000" w:themeColor="text1"/>
        </w:rPr>
      </w:pPr>
      <w:r w:rsidRPr="00A07D9A">
        <w:rPr>
          <w:b/>
          <w:color w:val="000000" w:themeColor="text1"/>
        </w:rPr>
        <w:t>Supuesto 2. Se adquiera o se ejerza directa o indirectamente el control de hecho o de derecho sobre otro Agente Económico, o se adquieran de hecho o de derecho activos, participación en fideicomisos, partes sociales o acciones de otro Agente Económico.</w:t>
      </w:r>
    </w:p>
    <w:p w14:paraId="0D2223E8" w14:textId="77777777" w:rsidR="00A11C90" w:rsidRPr="00A07D9A" w:rsidRDefault="00A11C90" w:rsidP="00A11C90">
      <w:pPr>
        <w:rPr>
          <w:color w:val="000000" w:themeColor="text1"/>
        </w:rPr>
      </w:pPr>
      <w:r w:rsidRPr="00A07D9A">
        <w:rPr>
          <w:color w:val="000000" w:themeColor="text1"/>
        </w:rPr>
        <w:t xml:space="preserve">Este supuesto implica que la concentración debe notificarse </w:t>
      </w:r>
      <w:r w:rsidR="009F1D7D" w:rsidRPr="00A07D9A">
        <w:rPr>
          <w:color w:val="000000" w:themeColor="text1"/>
        </w:rPr>
        <w:t xml:space="preserve">antes de </w:t>
      </w:r>
      <w:r w:rsidRPr="00A07D9A">
        <w:rPr>
          <w:color w:val="000000" w:themeColor="text1"/>
        </w:rPr>
        <w:t xml:space="preserve">que exista una transmisión de propiedad, de hecho o de derecho, entre los </w:t>
      </w:r>
      <w:r w:rsidR="008A07CB" w:rsidRPr="00A07D9A">
        <w:rPr>
          <w:color w:val="000000" w:themeColor="text1"/>
        </w:rPr>
        <w:t>agentes económicos</w:t>
      </w:r>
      <w:r w:rsidRPr="00A07D9A">
        <w:rPr>
          <w:color w:val="000000" w:themeColor="text1"/>
        </w:rPr>
        <w:t xml:space="preserve"> involucrados o, bien, antes de que se ejerza alguna forma de control de uno(s) sobre otro(s).</w:t>
      </w:r>
    </w:p>
    <w:p w14:paraId="71C83BB8" w14:textId="77777777" w:rsidR="00A11C90" w:rsidRPr="00A07D9A" w:rsidRDefault="00A11C90" w:rsidP="00A11C90">
      <w:pPr>
        <w:ind w:left="1276" w:hanging="1276"/>
        <w:rPr>
          <w:b/>
          <w:color w:val="000000" w:themeColor="text1"/>
        </w:rPr>
      </w:pPr>
      <w:r w:rsidRPr="00A07D9A">
        <w:rPr>
          <w:b/>
          <w:color w:val="000000" w:themeColor="text1"/>
        </w:rPr>
        <w:t>Supuesto 3. Se lleve a cabo la firma de un convenio de fusión entre los Agentes Económicos involucrados.</w:t>
      </w:r>
    </w:p>
    <w:p w14:paraId="29A7E3C7" w14:textId="77777777" w:rsidR="00A11C90" w:rsidRPr="00A07D9A" w:rsidRDefault="00A11C90" w:rsidP="00A11C90">
      <w:pPr>
        <w:rPr>
          <w:color w:val="000000" w:themeColor="text1"/>
        </w:rPr>
      </w:pPr>
      <w:r w:rsidRPr="00A07D9A">
        <w:rPr>
          <w:color w:val="000000" w:themeColor="text1"/>
        </w:rPr>
        <w:t xml:space="preserve">En el caso de concentraciones que se traten de fusiones, </w:t>
      </w:r>
      <w:r w:rsidR="004A1552" w:rsidRPr="00A07D9A">
        <w:rPr>
          <w:color w:val="000000" w:themeColor="text1"/>
        </w:rPr>
        <w:t xml:space="preserve">entre los agentes económicos directamente involucrados, estos </w:t>
      </w:r>
      <w:r w:rsidRPr="00A07D9A">
        <w:rPr>
          <w:color w:val="000000" w:themeColor="text1"/>
        </w:rPr>
        <w:t xml:space="preserve">deben obtener la autorización para realizar la concentración, y por lo tanto notificar la misma, antes de que se lleve a cabo la firma del convenio, contrato o acuerdo de fusión entre los </w:t>
      </w:r>
      <w:r w:rsidR="008A07CB" w:rsidRPr="00A07D9A">
        <w:rPr>
          <w:color w:val="000000" w:themeColor="text1"/>
        </w:rPr>
        <w:t>agentes económicos</w:t>
      </w:r>
      <w:r w:rsidRPr="00A07D9A">
        <w:rPr>
          <w:color w:val="000000" w:themeColor="text1"/>
        </w:rPr>
        <w:t xml:space="preserve"> involucrados.</w:t>
      </w:r>
    </w:p>
    <w:p w14:paraId="28DA0C5B" w14:textId="77777777" w:rsidR="00A11C90" w:rsidRPr="00A07D9A" w:rsidRDefault="00A11C90" w:rsidP="00A11C90">
      <w:pPr>
        <w:rPr>
          <w:color w:val="000000" w:themeColor="text1"/>
        </w:rPr>
      </w:pPr>
      <w:r w:rsidRPr="00A07D9A">
        <w:rPr>
          <w:color w:val="000000" w:themeColor="text1"/>
        </w:rPr>
        <w:t xml:space="preserve">Es de precisar que en el caso de algunas concentraciones que tienen como fin la adquisición del capital social de otros </w:t>
      </w:r>
      <w:r w:rsidR="008A07CB" w:rsidRPr="00A07D9A">
        <w:rPr>
          <w:color w:val="000000" w:themeColor="text1"/>
        </w:rPr>
        <w:t>agentes económicos</w:t>
      </w:r>
      <w:r w:rsidRPr="00A07D9A">
        <w:rPr>
          <w:color w:val="000000" w:themeColor="text1"/>
        </w:rPr>
        <w:t xml:space="preserve">, éstas pueden incorporar como un acto intermedio a la adquisición, la implementación de una fusión entre algunos de los integrantes de los </w:t>
      </w:r>
      <w:r w:rsidR="008A07CB" w:rsidRPr="00A07D9A">
        <w:rPr>
          <w:color w:val="000000" w:themeColor="text1"/>
        </w:rPr>
        <w:t>agentes económicos</w:t>
      </w:r>
      <w:r w:rsidRPr="00A07D9A">
        <w:rPr>
          <w:color w:val="000000" w:themeColor="text1"/>
        </w:rPr>
        <w:t xml:space="preserve"> que participan en la concentración. </w:t>
      </w:r>
    </w:p>
    <w:p w14:paraId="5018C856" w14:textId="77777777" w:rsidR="00A11C90" w:rsidRPr="00A07D9A" w:rsidRDefault="00A11C90" w:rsidP="00A11C90">
      <w:pPr>
        <w:rPr>
          <w:color w:val="000000" w:themeColor="text1"/>
        </w:rPr>
      </w:pPr>
      <w:r w:rsidRPr="00A07D9A">
        <w:rPr>
          <w:color w:val="000000" w:themeColor="text1"/>
        </w:rPr>
        <w:t xml:space="preserve">En este caso, debido a que la concentración no tiene como fin en sí misma la realización de una fusión, ni tampoco participan únicamente las figuras de </w:t>
      </w:r>
      <w:proofErr w:type="spellStart"/>
      <w:r w:rsidRPr="00A07D9A">
        <w:rPr>
          <w:color w:val="000000" w:themeColor="text1"/>
        </w:rPr>
        <w:t>fusionante</w:t>
      </w:r>
      <w:proofErr w:type="spellEnd"/>
      <w:r w:rsidRPr="00A07D9A">
        <w:rPr>
          <w:color w:val="000000" w:themeColor="text1"/>
        </w:rPr>
        <w:t xml:space="preserve"> y fusionado, las partes podrán firmar el acto jurídico que corresponda, incluyendo el de fusión, y obtener la autorización para realizar la concentración previamente a que éste se perfeccione de conformidad con la legislación </w:t>
      </w:r>
      <w:r w:rsidRPr="00A07D9A">
        <w:rPr>
          <w:color w:val="000000" w:themeColor="text1"/>
        </w:rPr>
        <w:lastRenderedPageBreak/>
        <w:t>aplicable o, en su caso, se cumpla la condición suspensiva a la que esté sujeto dicho acto.</w:t>
      </w:r>
    </w:p>
    <w:p w14:paraId="61CA7DCE" w14:textId="77777777" w:rsidR="00A11C90" w:rsidRPr="00A07D9A" w:rsidRDefault="00A11C90" w:rsidP="00A11C90">
      <w:pPr>
        <w:ind w:left="1276" w:hanging="1276"/>
        <w:rPr>
          <w:b/>
          <w:color w:val="000000" w:themeColor="text1"/>
        </w:rPr>
      </w:pPr>
      <w:r w:rsidRPr="00A07D9A">
        <w:rPr>
          <w:b/>
          <w:color w:val="000000" w:themeColor="text1"/>
        </w:rPr>
        <w:t>Supuesto 4. Tratándose de una sucesión de actos, se perfeccione el último de ellos, por virtud del cual se rebasen los montos establecidos en el artículo 86 de la LFCE.</w:t>
      </w:r>
    </w:p>
    <w:p w14:paraId="30493DA0" w14:textId="77777777" w:rsidR="00A11C90" w:rsidRPr="00A07D9A" w:rsidRDefault="00A11C90" w:rsidP="00A11C90">
      <w:pPr>
        <w:rPr>
          <w:color w:val="000000" w:themeColor="text1"/>
        </w:rPr>
      </w:pPr>
      <w:r w:rsidRPr="00A07D9A">
        <w:rPr>
          <w:color w:val="000000" w:themeColor="text1"/>
        </w:rPr>
        <w:t xml:space="preserve">Este supuesto implica la existencia de diversos actos celebrados con una misma intención, objeto o efecto de alcanzar una concentración entre los mismos </w:t>
      </w:r>
      <w:r w:rsidR="008A07CB" w:rsidRPr="00A07D9A">
        <w:rPr>
          <w:color w:val="000000" w:themeColor="text1"/>
        </w:rPr>
        <w:t>agentes económicos</w:t>
      </w:r>
      <w:r w:rsidRPr="00A07D9A">
        <w:rPr>
          <w:color w:val="000000" w:themeColor="text1"/>
        </w:rPr>
        <w:t xml:space="preserve"> involucrados y que, consideradas en su conjunto, rebasen los umbrales establecidos en el artículo 86 de la LFCE. </w:t>
      </w:r>
    </w:p>
    <w:p w14:paraId="04CDEB49" w14:textId="77777777" w:rsidR="00A11C90" w:rsidRPr="00A07D9A" w:rsidRDefault="00A11C90" w:rsidP="00A11C90">
      <w:pPr>
        <w:rPr>
          <w:color w:val="000000" w:themeColor="text1"/>
        </w:rPr>
      </w:pPr>
      <w:r w:rsidRPr="00A07D9A">
        <w:rPr>
          <w:color w:val="000000" w:themeColor="text1"/>
        </w:rPr>
        <w:t xml:space="preserve">En este caso, los </w:t>
      </w:r>
      <w:r w:rsidR="008A07CB" w:rsidRPr="00A07D9A">
        <w:rPr>
          <w:color w:val="000000" w:themeColor="text1"/>
        </w:rPr>
        <w:t>agentes económicos</w:t>
      </w:r>
      <w:r w:rsidRPr="00A07D9A">
        <w:rPr>
          <w:color w:val="000000" w:themeColor="text1"/>
        </w:rPr>
        <w:t xml:space="preserve"> involucrados estarán en oportunidad de notificar la operación siempre y cuando no se haya realizado el último acto por virtud del cual se rebasen dichos umbrales, aunque los demás ya hayan surtido sus efectos o se hayan perfeccionado en términos de la legislación aplicable. </w:t>
      </w:r>
      <w:r w:rsidR="004E7B90" w:rsidRPr="00A07D9A">
        <w:rPr>
          <w:color w:val="000000" w:themeColor="text1"/>
        </w:rPr>
        <w:t>Ello con independencia de que la concentración contemple actos que se llevarán a cabo con posterioridad a aquél por el que se rebase algunos de los umbrales referidos.</w:t>
      </w:r>
      <w:r w:rsidRPr="00A07D9A">
        <w:rPr>
          <w:color w:val="000000" w:themeColor="text1"/>
        </w:rPr>
        <w:t xml:space="preserve"> </w:t>
      </w:r>
    </w:p>
    <w:p w14:paraId="6AC7FFEC" w14:textId="77777777" w:rsidR="00A11C90" w:rsidRPr="00A07D9A" w:rsidRDefault="00867F46" w:rsidP="003F2656">
      <w:pPr>
        <w:pStyle w:val="Ttulo2"/>
        <w:rPr>
          <w:rFonts w:eastAsiaTheme="minorHAnsi"/>
          <w:color w:val="000000" w:themeColor="text1"/>
        </w:rPr>
      </w:pPr>
      <w:bookmarkStart w:id="55" w:name="_Toc462053120"/>
      <w:bookmarkStart w:id="56" w:name="_Toc486519822"/>
      <w:r w:rsidRPr="00A07D9A">
        <w:rPr>
          <w:rFonts w:eastAsiaTheme="minorHAnsi"/>
          <w:color w:val="000000" w:themeColor="text1"/>
        </w:rPr>
        <w:t>5.5.</w:t>
      </w:r>
      <w:r w:rsidR="003F2656" w:rsidRPr="00A07D9A">
        <w:rPr>
          <w:rFonts w:eastAsiaTheme="minorHAnsi"/>
          <w:color w:val="000000" w:themeColor="text1"/>
        </w:rPr>
        <w:t xml:space="preserve"> </w:t>
      </w:r>
      <w:bookmarkEnd w:id="55"/>
      <w:r w:rsidR="003F2656" w:rsidRPr="00A07D9A">
        <w:rPr>
          <w:rFonts w:eastAsiaTheme="minorHAnsi"/>
          <w:color w:val="000000" w:themeColor="text1"/>
        </w:rPr>
        <w:t>Notificación extemporánea</w:t>
      </w:r>
      <w:bookmarkEnd w:id="56"/>
    </w:p>
    <w:p w14:paraId="15B1E79D" w14:textId="77777777" w:rsidR="00967463" w:rsidRPr="00A07D9A" w:rsidRDefault="00A11C90" w:rsidP="00967463">
      <w:pPr>
        <w:rPr>
          <w:color w:val="000000" w:themeColor="text1"/>
        </w:rPr>
      </w:pPr>
      <w:r w:rsidRPr="00A07D9A">
        <w:rPr>
          <w:color w:val="000000" w:themeColor="text1"/>
        </w:rPr>
        <w:t>En términos de</w:t>
      </w:r>
      <w:r w:rsidR="00D25B9A" w:rsidRPr="00A07D9A">
        <w:rPr>
          <w:color w:val="000000" w:themeColor="text1"/>
        </w:rPr>
        <w:t xml:space="preserve">l </w:t>
      </w:r>
      <w:r w:rsidRPr="00A07D9A">
        <w:rPr>
          <w:color w:val="000000" w:themeColor="text1"/>
        </w:rPr>
        <w:t xml:space="preserve">artículo 86 de la LFCE, las concentraciones que superen los umbrales que </w:t>
      </w:r>
      <w:r w:rsidR="00206834" w:rsidRPr="00A07D9A">
        <w:rPr>
          <w:color w:val="000000" w:themeColor="text1"/>
        </w:rPr>
        <w:t>menciona</w:t>
      </w:r>
      <w:r w:rsidRPr="00A07D9A">
        <w:rPr>
          <w:color w:val="000000" w:themeColor="text1"/>
        </w:rPr>
        <w:t xml:space="preserve"> deberán ser autorizadas por el IFT</w:t>
      </w:r>
      <w:r w:rsidR="00206834" w:rsidRPr="00A07D9A">
        <w:rPr>
          <w:color w:val="000000" w:themeColor="text1"/>
        </w:rPr>
        <w:t xml:space="preserve">. </w:t>
      </w:r>
      <w:r w:rsidR="00364DF2" w:rsidRPr="00A07D9A">
        <w:rPr>
          <w:color w:val="000000" w:themeColor="text1"/>
        </w:rPr>
        <w:t>Asimismo, c</w:t>
      </w:r>
      <w:r w:rsidR="00206834" w:rsidRPr="00A07D9A">
        <w:rPr>
          <w:color w:val="000000" w:themeColor="text1"/>
        </w:rPr>
        <w:t>on base en el artículo 87 de la misma ley</w:t>
      </w:r>
      <w:r w:rsidR="00A93DBA" w:rsidRPr="00A07D9A">
        <w:rPr>
          <w:color w:val="000000" w:themeColor="text1"/>
        </w:rPr>
        <w:t>,</w:t>
      </w:r>
      <w:r w:rsidR="00206834" w:rsidRPr="00A07D9A">
        <w:rPr>
          <w:color w:val="000000" w:themeColor="text1"/>
        </w:rPr>
        <w:t xml:space="preserve"> la autorización deberá lograrse previo a que se</w:t>
      </w:r>
      <w:r w:rsidR="00CA49A7" w:rsidRPr="00A07D9A">
        <w:rPr>
          <w:color w:val="000000" w:themeColor="text1"/>
        </w:rPr>
        <w:t xml:space="preserve"> perfeccione </w:t>
      </w:r>
      <w:r w:rsidR="00206834" w:rsidRPr="00A07D9A">
        <w:rPr>
          <w:color w:val="000000" w:themeColor="text1"/>
        </w:rPr>
        <w:t>la operación</w:t>
      </w:r>
      <w:r w:rsidR="00CA49A7" w:rsidRPr="00A07D9A">
        <w:rPr>
          <w:color w:val="000000" w:themeColor="text1"/>
        </w:rPr>
        <w:t xml:space="preserve">. </w:t>
      </w:r>
    </w:p>
    <w:p w14:paraId="650F34A5" w14:textId="77777777" w:rsidR="00967463" w:rsidRPr="00A07D9A" w:rsidRDefault="00967463" w:rsidP="00967463">
      <w:pPr>
        <w:rPr>
          <w:color w:val="000000" w:themeColor="text1"/>
        </w:rPr>
      </w:pPr>
      <w:r w:rsidRPr="00A07D9A">
        <w:rPr>
          <w:color w:val="000000" w:themeColor="text1"/>
        </w:rPr>
        <w:t>Si la notificación se presenta después de que se actualice alguno de los supuestos señalados por el artículo 87 de la LFCE, ésta se considera extemporánea y el IFT podrá imponer las sanciones señaladas en las fracciones II y VIII del artículo 127 de la LFCE, sin perjuicio de la responsabilidad administrativa, civil y penal de los agentes económicos y de las personas que ordenaron o coadyuvaron en la ejecución.</w:t>
      </w:r>
    </w:p>
    <w:p w14:paraId="13638A24" w14:textId="77777777" w:rsidR="00967463" w:rsidRPr="00A07D9A" w:rsidRDefault="00967463" w:rsidP="00967463">
      <w:pPr>
        <w:rPr>
          <w:color w:val="000000" w:themeColor="text1"/>
        </w:rPr>
      </w:pPr>
      <w:r w:rsidRPr="00A07D9A">
        <w:rPr>
          <w:color w:val="000000" w:themeColor="text1"/>
        </w:rPr>
        <w:t>El artículo 86 de la LFCE dispone que los actos relativos a una concentración no producirán efectos jurídicos ni podrán registrarse en los libros corporativos, formalizarse en instrumento público ni inscribirse en el Registro Público de Comercio hasta que se obtenga la autorización del Instituto o transcurran los plazos que tiene para emitir resolución sin que lo hubiera hecho.</w:t>
      </w:r>
    </w:p>
    <w:p w14:paraId="6EAE6E1F" w14:textId="1BE0903D" w:rsidR="0049600B" w:rsidRPr="00A07D9A" w:rsidRDefault="00967463" w:rsidP="00A11C90">
      <w:pPr>
        <w:rPr>
          <w:color w:val="000000" w:themeColor="text1"/>
        </w:rPr>
      </w:pPr>
      <w:r w:rsidRPr="00A07D9A">
        <w:rPr>
          <w:color w:val="000000" w:themeColor="text1"/>
        </w:rPr>
        <w:t>Al respecto, la fracción XIII del artículo 127 de la LFCE establece una multa hasta por el equivalente a ciento ochenta mil veces la UMA a los fedatarios públicos que intervengan en los actos relativos a una concentración cuando no hubiera sido autorizada por el Instituto.</w:t>
      </w:r>
    </w:p>
    <w:p w14:paraId="34C39505" w14:textId="77777777" w:rsidR="00A11C90" w:rsidRPr="00A07D9A" w:rsidRDefault="00867F46" w:rsidP="003F2656">
      <w:pPr>
        <w:pStyle w:val="Ttulo2"/>
        <w:rPr>
          <w:rFonts w:eastAsiaTheme="minorHAnsi"/>
          <w:color w:val="000000" w:themeColor="text1"/>
        </w:rPr>
      </w:pPr>
      <w:bookmarkStart w:id="57" w:name="_Toc462053121"/>
      <w:bookmarkStart w:id="58" w:name="_Toc486519823"/>
      <w:r w:rsidRPr="00A07D9A">
        <w:rPr>
          <w:rFonts w:eastAsiaTheme="minorHAnsi"/>
          <w:color w:val="000000" w:themeColor="text1"/>
        </w:rPr>
        <w:lastRenderedPageBreak/>
        <w:t>5</w:t>
      </w:r>
      <w:r w:rsidR="003F2656" w:rsidRPr="00A07D9A">
        <w:rPr>
          <w:rFonts w:eastAsiaTheme="minorHAnsi"/>
          <w:color w:val="000000" w:themeColor="text1"/>
        </w:rPr>
        <w:t>.</w:t>
      </w:r>
      <w:r w:rsidRPr="00A07D9A">
        <w:rPr>
          <w:rFonts w:eastAsiaTheme="minorHAnsi"/>
          <w:color w:val="000000" w:themeColor="text1"/>
        </w:rPr>
        <w:t>6</w:t>
      </w:r>
      <w:r w:rsidR="003F2656" w:rsidRPr="00A07D9A">
        <w:rPr>
          <w:rFonts w:eastAsiaTheme="minorHAnsi"/>
          <w:color w:val="000000" w:themeColor="text1"/>
        </w:rPr>
        <w:t xml:space="preserve">. Obligados a </w:t>
      </w:r>
      <w:bookmarkEnd w:id="57"/>
      <w:r w:rsidR="003F2656" w:rsidRPr="00A07D9A">
        <w:rPr>
          <w:rFonts w:eastAsiaTheme="minorHAnsi"/>
          <w:color w:val="000000" w:themeColor="text1"/>
        </w:rPr>
        <w:t>notificar</w:t>
      </w:r>
      <w:bookmarkEnd w:id="58"/>
    </w:p>
    <w:p w14:paraId="4E38C119" w14:textId="77777777" w:rsidR="00A11C90" w:rsidRPr="00A07D9A" w:rsidRDefault="00A11C90" w:rsidP="00A11C90">
      <w:pPr>
        <w:rPr>
          <w:color w:val="000000" w:themeColor="text1"/>
        </w:rPr>
      </w:pPr>
      <w:r w:rsidRPr="00A07D9A">
        <w:rPr>
          <w:color w:val="000000" w:themeColor="text1"/>
        </w:rPr>
        <w:t xml:space="preserve">La regla general contenida en el artículo 88, primer párrafo de la LFCE, señala que están obligados a notificar la concentración todos aquellos </w:t>
      </w:r>
      <w:r w:rsidR="008A07CB" w:rsidRPr="00A07D9A">
        <w:rPr>
          <w:color w:val="000000" w:themeColor="text1"/>
        </w:rPr>
        <w:t>agentes económicos</w:t>
      </w:r>
      <w:r w:rsidRPr="00A07D9A">
        <w:rPr>
          <w:color w:val="000000" w:themeColor="text1"/>
        </w:rPr>
        <w:t xml:space="preserve"> que participan directamente en la misma.</w:t>
      </w:r>
    </w:p>
    <w:p w14:paraId="7254C594" w14:textId="77777777" w:rsidR="00A11C90" w:rsidRPr="00A07D9A" w:rsidRDefault="00A11C90" w:rsidP="00A11C90">
      <w:pPr>
        <w:rPr>
          <w:color w:val="000000" w:themeColor="text1"/>
        </w:rPr>
      </w:pPr>
      <w:r w:rsidRPr="00A07D9A">
        <w:rPr>
          <w:color w:val="000000" w:themeColor="text1"/>
        </w:rPr>
        <w:t xml:space="preserve">Se entiende como </w:t>
      </w:r>
      <w:r w:rsidR="008A07CB" w:rsidRPr="00A07D9A">
        <w:rPr>
          <w:color w:val="000000" w:themeColor="text1"/>
        </w:rPr>
        <w:t>agentes económicos</w:t>
      </w:r>
      <w:r w:rsidRPr="00A07D9A">
        <w:rPr>
          <w:color w:val="000000" w:themeColor="text1"/>
        </w:rPr>
        <w:t xml:space="preserve"> que participan directamente en una concentración a las personas físicas y morales que firman o firmarán los contratos, convenios, acuerdos o cualquier acto jurídico que amparan la realización de una concentración, y que estén involucradas en el acto </w:t>
      </w:r>
      <w:r w:rsidR="004E7B90" w:rsidRPr="00A07D9A">
        <w:rPr>
          <w:color w:val="000000" w:themeColor="text1"/>
        </w:rPr>
        <w:t>o sucesión de actos que llevarán a una</w:t>
      </w:r>
      <w:r w:rsidRPr="00A07D9A">
        <w:rPr>
          <w:color w:val="000000" w:themeColor="text1"/>
        </w:rPr>
        <w:t xml:space="preserve"> concentración, lo que incluye a las sociedades que son objeto de adquisición. Como ejemplo, estos </w:t>
      </w:r>
      <w:r w:rsidR="008A07CB" w:rsidRPr="00A07D9A">
        <w:rPr>
          <w:color w:val="000000" w:themeColor="text1"/>
        </w:rPr>
        <w:t>agentes económicos</w:t>
      </w:r>
      <w:r w:rsidRPr="00A07D9A">
        <w:rPr>
          <w:color w:val="000000" w:themeColor="text1"/>
        </w:rPr>
        <w:t xml:space="preserve"> pueden ser: </w:t>
      </w:r>
    </w:p>
    <w:p w14:paraId="392CB561" w14:textId="77777777" w:rsidR="00A11C90" w:rsidRPr="00A07D9A" w:rsidRDefault="00A11C90" w:rsidP="00FE6791">
      <w:pPr>
        <w:pStyle w:val="Prrafodelista"/>
        <w:numPr>
          <w:ilvl w:val="0"/>
          <w:numId w:val="17"/>
        </w:numPr>
        <w:spacing w:after="160" w:line="259" w:lineRule="auto"/>
        <w:ind w:left="709" w:hanging="425"/>
        <w:rPr>
          <w:color w:val="000000" w:themeColor="text1"/>
        </w:rPr>
      </w:pPr>
      <w:r w:rsidRPr="00A07D9A">
        <w:rPr>
          <w:color w:val="000000" w:themeColor="text1"/>
        </w:rPr>
        <w:t xml:space="preserve">El </w:t>
      </w:r>
      <w:proofErr w:type="spellStart"/>
      <w:r w:rsidRPr="00A07D9A">
        <w:rPr>
          <w:color w:val="000000" w:themeColor="text1"/>
        </w:rPr>
        <w:t>fusionante</w:t>
      </w:r>
      <w:proofErr w:type="spellEnd"/>
      <w:r w:rsidRPr="00A07D9A">
        <w:rPr>
          <w:color w:val="000000" w:themeColor="text1"/>
        </w:rPr>
        <w:t xml:space="preserve"> y el fusionado, en una operación de fusión.</w:t>
      </w:r>
    </w:p>
    <w:p w14:paraId="03371266" w14:textId="77777777" w:rsidR="00A11C90" w:rsidRPr="00A07D9A" w:rsidRDefault="00A11C90" w:rsidP="00FE6791">
      <w:pPr>
        <w:pStyle w:val="Prrafodelista"/>
        <w:numPr>
          <w:ilvl w:val="0"/>
          <w:numId w:val="17"/>
        </w:numPr>
        <w:spacing w:after="160" w:line="259" w:lineRule="auto"/>
        <w:ind w:left="709" w:hanging="425"/>
        <w:rPr>
          <w:color w:val="000000" w:themeColor="text1"/>
        </w:rPr>
      </w:pPr>
      <w:r w:rsidRPr="00A07D9A">
        <w:rPr>
          <w:color w:val="000000" w:themeColor="text1"/>
        </w:rPr>
        <w:t>El comprador, adquirente o cesionario; el adquirido u objeto de la concentración; y el vendedor, enajenante o cedente, en operaciones de compraventa, adquisición o cesión.</w:t>
      </w:r>
    </w:p>
    <w:p w14:paraId="72C98375" w14:textId="77777777" w:rsidR="00A11C90" w:rsidRPr="00A07D9A" w:rsidRDefault="00A11C90" w:rsidP="008C7E13">
      <w:pPr>
        <w:pStyle w:val="Prrafodelista"/>
        <w:numPr>
          <w:ilvl w:val="0"/>
          <w:numId w:val="17"/>
        </w:numPr>
        <w:spacing w:after="160" w:line="259" w:lineRule="auto"/>
        <w:ind w:left="709" w:hanging="425"/>
        <w:rPr>
          <w:color w:val="000000" w:themeColor="text1"/>
        </w:rPr>
      </w:pPr>
      <w:r w:rsidRPr="00A07D9A">
        <w:rPr>
          <w:color w:val="000000" w:themeColor="text1"/>
        </w:rPr>
        <w:t>En casos donde el vendedor, enajenante o cedente sea un notificante y controle al agente adquirido, éste último se identifica, previ</w:t>
      </w:r>
      <w:r w:rsidR="00C37A19" w:rsidRPr="00A07D9A">
        <w:rPr>
          <w:color w:val="000000" w:themeColor="text1"/>
        </w:rPr>
        <w:t>amente</w:t>
      </w:r>
      <w:r w:rsidRPr="00A07D9A">
        <w:rPr>
          <w:color w:val="000000" w:themeColor="text1"/>
        </w:rPr>
        <w:t xml:space="preserve"> a la realización de la concentración, como parte del GIE del primero, por lo cual no será necesario que se presente también como notificante.</w:t>
      </w:r>
    </w:p>
    <w:p w14:paraId="37C50662" w14:textId="77777777" w:rsidR="00A11C90" w:rsidRPr="00A07D9A" w:rsidRDefault="00A11C90" w:rsidP="008C7E13">
      <w:pPr>
        <w:pStyle w:val="Prrafodelista"/>
        <w:numPr>
          <w:ilvl w:val="0"/>
          <w:numId w:val="17"/>
        </w:numPr>
        <w:spacing w:after="160" w:line="259" w:lineRule="auto"/>
        <w:ind w:left="709" w:hanging="425"/>
        <w:rPr>
          <w:color w:val="000000" w:themeColor="text1"/>
        </w:rPr>
      </w:pPr>
      <w:r w:rsidRPr="00A07D9A">
        <w:rPr>
          <w:color w:val="000000" w:themeColor="text1"/>
        </w:rPr>
        <w:t xml:space="preserve">Los </w:t>
      </w:r>
      <w:proofErr w:type="spellStart"/>
      <w:r w:rsidRPr="00A07D9A">
        <w:rPr>
          <w:color w:val="000000" w:themeColor="text1"/>
        </w:rPr>
        <w:t>coinversionistas</w:t>
      </w:r>
      <w:proofErr w:type="spellEnd"/>
      <w:r w:rsidRPr="00A07D9A">
        <w:rPr>
          <w:color w:val="000000" w:themeColor="text1"/>
        </w:rPr>
        <w:t xml:space="preserve"> o socios, en una operación de </w:t>
      </w:r>
      <w:proofErr w:type="spellStart"/>
      <w:r w:rsidRPr="00A07D9A">
        <w:rPr>
          <w:color w:val="000000" w:themeColor="text1"/>
        </w:rPr>
        <w:t>co</w:t>
      </w:r>
      <w:proofErr w:type="spellEnd"/>
      <w:r w:rsidRPr="00A07D9A">
        <w:rPr>
          <w:color w:val="000000" w:themeColor="text1"/>
        </w:rPr>
        <w:t>-inversión o asociación.</w:t>
      </w:r>
    </w:p>
    <w:p w14:paraId="1C92B725" w14:textId="77777777" w:rsidR="00A11C90" w:rsidRPr="00A07D9A" w:rsidRDefault="00A11C90" w:rsidP="00A11C90">
      <w:pPr>
        <w:rPr>
          <w:color w:val="000000" w:themeColor="text1"/>
        </w:rPr>
      </w:pPr>
      <w:r w:rsidRPr="00A07D9A">
        <w:rPr>
          <w:color w:val="000000" w:themeColor="text1"/>
        </w:rPr>
        <w:t xml:space="preserve">Al respecto, la legislación supone que todos los </w:t>
      </w:r>
      <w:r w:rsidR="008A07CB" w:rsidRPr="00A07D9A">
        <w:rPr>
          <w:color w:val="000000" w:themeColor="text1"/>
        </w:rPr>
        <w:t>agentes económicos</w:t>
      </w:r>
      <w:r w:rsidRPr="00A07D9A">
        <w:rPr>
          <w:color w:val="000000" w:themeColor="text1"/>
        </w:rPr>
        <w:t xml:space="preserve"> que participan directamente en una concentración serán quienes firmen el escrito de notificación de concentración respectivo (</w:t>
      </w:r>
      <w:r w:rsidR="008A07CB" w:rsidRPr="00A07D9A">
        <w:rPr>
          <w:color w:val="000000" w:themeColor="text1"/>
        </w:rPr>
        <w:t>agentes económicos</w:t>
      </w:r>
      <w:r w:rsidRPr="00A07D9A">
        <w:rPr>
          <w:color w:val="000000" w:themeColor="text1"/>
        </w:rPr>
        <w:t xml:space="preserve"> notificantes) y serán quienes acudirán en un mismo acto de notificación.</w:t>
      </w:r>
    </w:p>
    <w:p w14:paraId="4388BC3D" w14:textId="77777777" w:rsidR="00A11C90" w:rsidRPr="00A07D9A" w:rsidRDefault="00A11C90" w:rsidP="00A11C90">
      <w:pPr>
        <w:rPr>
          <w:color w:val="000000" w:themeColor="text1"/>
        </w:rPr>
      </w:pPr>
      <w:r w:rsidRPr="00A07D9A">
        <w:rPr>
          <w:color w:val="000000" w:themeColor="text1"/>
        </w:rPr>
        <w:t xml:space="preserve">Sin embargo, la misma LFCE prevé que esta regla general puede exceptuarse y corresponderá a los </w:t>
      </w:r>
      <w:r w:rsidR="008A07CB" w:rsidRPr="00A07D9A">
        <w:rPr>
          <w:color w:val="000000" w:themeColor="text1"/>
        </w:rPr>
        <w:t>agentes económicos</w:t>
      </w:r>
      <w:r w:rsidRPr="00A07D9A">
        <w:rPr>
          <w:color w:val="000000" w:themeColor="text1"/>
        </w:rPr>
        <w:t xml:space="preserve"> </w:t>
      </w:r>
      <w:proofErr w:type="spellStart"/>
      <w:r w:rsidRPr="00A07D9A">
        <w:rPr>
          <w:color w:val="000000" w:themeColor="text1"/>
        </w:rPr>
        <w:t>promoventes</w:t>
      </w:r>
      <w:proofErr w:type="spellEnd"/>
      <w:r w:rsidRPr="00A07D9A">
        <w:rPr>
          <w:color w:val="000000" w:themeColor="text1"/>
        </w:rPr>
        <w:t xml:space="preserve"> del escrito respectivo acreditar la imposibilidad o el hecho. Al respecto, el artículo 19 de las </w:t>
      </w:r>
      <w:r w:rsidR="00B94D75" w:rsidRPr="00A07D9A">
        <w:rPr>
          <w:color w:val="000000" w:themeColor="text1"/>
        </w:rPr>
        <w:t>Disposiciones Regulatorias</w:t>
      </w:r>
      <w:r w:rsidRPr="00A07D9A">
        <w:rPr>
          <w:color w:val="000000" w:themeColor="text1"/>
        </w:rPr>
        <w:t xml:space="preserve"> establece que el </w:t>
      </w:r>
      <w:r w:rsidR="006A2745" w:rsidRPr="00A07D9A">
        <w:rPr>
          <w:color w:val="000000" w:themeColor="text1"/>
        </w:rPr>
        <w:t>agente económico</w:t>
      </w:r>
      <w:r w:rsidRPr="00A07D9A">
        <w:rPr>
          <w:color w:val="000000" w:themeColor="text1"/>
        </w:rPr>
        <w:t xml:space="preserve"> que notifique está obligado a demostrar en su escrito de notificación de concentración la causa.</w:t>
      </w:r>
    </w:p>
    <w:p w14:paraId="6FAA5A08" w14:textId="77777777" w:rsidR="00A11C90" w:rsidRPr="00A07D9A" w:rsidRDefault="00A11C90" w:rsidP="00A11C90">
      <w:pPr>
        <w:rPr>
          <w:color w:val="000000" w:themeColor="text1"/>
        </w:rPr>
      </w:pPr>
      <w:r w:rsidRPr="00A07D9A">
        <w:rPr>
          <w:color w:val="000000" w:themeColor="text1"/>
        </w:rPr>
        <w:t xml:space="preserve">No obstante, la excepción aludida nunca aplicará respecto del </w:t>
      </w:r>
      <w:proofErr w:type="spellStart"/>
      <w:r w:rsidRPr="00A07D9A">
        <w:rPr>
          <w:color w:val="000000" w:themeColor="text1"/>
        </w:rPr>
        <w:t>fusionante</w:t>
      </w:r>
      <w:proofErr w:type="spellEnd"/>
      <w:r w:rsidRPr="00A07D9A">
        <w:rPr>
          <w:color w:val="000000" w:themeColor="text1"/>
        </w:rPr>
        <w:t>, adquirente o del que pretenda realizar el acto o producir el efecto de “acumulación”, quienes en todo momento tienen la obligación de notificar las concentraciones. De lo contrario, el IFT tendrá por no presentada la notificación respectiva.</w:t>
      </w:r>
    </w:p>
    <w:p w14:paraId="754CD7FE" w14:textId="77777777" w:rsidR="00A11C90" w:rsidRPr="00A07D9A" w:rsidRDefault="00A11C90" w:rsidP="00A11C90">
      <w:pPr>
        <w:rPr>
          <w:rFonts w:cs="Helvetica"/>
          <w:color w:val="000000" w:themeColor="text1"/>
        </w:rPr>
      </w:pPr>
      <w:r w:rsidRPr="00A07D9A">
        <w:rPr>
          <w:rFonts w:cs="Helvetica"/>
          <w:color w:val="000000" w:themeColor="text1"/>
        </w:rPr>
        <w:t xml:space="preserve">Es de precisar algunos </w:t>
      </w:r>
      <w:r w:rsidR="008C7E13" w:rsidRPr="00A07D9A">
        <w:rPr>
          <w:rFonts w:cs="Helvetica"/>
          <w:color w:val="000000" w:themeColor="text1"/>
        </w:rPr>
        <w:t>ejemplos</w:t>
      </w:r>
      <w:r w:rsidRPr="00A07D9A">
        <w:rPr>
          <w:rFonts w:cs="Helvetica"/>
          <w:color w:val="000000" w:themeColor="text1"/>
        </w:rPr>
        <w:t xml:space="preserve"> en los que puede ser justificable, sujeto a su acreditación, </w:t>
      </w:r>
      <w:r w:rsidRPr="00A07D9A">
        <w:rPr>
          <w:color w:val="000000" w:themeColor="text1"/>
        </w:rPr>
        <w:t xml:space="preserve">la imposibilidad o el hecho </w:t>
      </w:r>
      <w:r w:rsidRPr="00A07D9A">
        <w:rPr>
          <w:rFonts w:cs="Helvetica"/>
          <w:color w:val="000000" w:themeColor="text1"/>
        </w:rPr>
        <w:t>que participantes directos queden exentos de presentar la notificación:</w:t>
      </w:r>
    </w:p>
    <w:p w14:paraId="20072B7A" w14:textId="77777777" w:rsidR="00A11C90" w:rsidRPr="00A07D9A" w:rsidRDefault="00A11C90" w:rsidP="00FE6791">
      <w:pPr>
        <w:pStyle w:val="Prrafodelista"/>
        <w:numPr>
          <w:ilvl w:val="0"/>
          <w:numId w:val="18"/>
        </w:numPr>
        <w:spacing w:after="160" w:line="259" w:lineRule="auto"/>
        <w:rPr>
          <w:color w:val="000000" w:themeColor="text1"/>
        </w:rPr>
      </w:pPr>
      <w:r w:rsidRPr="00A07D9A">
        <w:rPr>
          <w:rFonts w:cs="Helvetica"/>
          <w:color w:val="000000" w:themeColor="text1"/>
        </w:rPr>
        <w:lastRenderedPageBreak/>
        <w:t>Adquisiciones hostiles, donde los directivos y administradores del agente objeto de la concentración se oponen a la adquisición.</w:t>
      </w:r>
    </w:p>
    <w:p w14:paraId="4E1BB911" w14:textId="77777777" w:rsidR="00A11C90" w:rsidRPr="00A07D9A" w:rsidRDefault="00A11C90" w:rsidP="00FE6791">
      <w:pPr>
        <w:pStyle w:val="Prrafodelista"/>
        <w:numPr>
          <w:ilvl w:val="0"/>
          <w:numId w:val="18"/>
        </w:numPr>
        <w:spacing w:after="160" w:line="259" w:lineRule="auto"/>
        <w:rPr>
          <w:color w:val="000000" w:themeColor="text1"/>
        </w:rPr>
      </w:pPr>
      <w:r w:rsidRPr="00A07D9A">
        <w:rPr>
          <w:rFonts w:cs="Helvetica"/>
          <w:color w:val="000000" w:themeColor="text1"/>
        </w:rPr>
        <w:t>Ofertas públicas de adquisición en mercados de valores en donde el capital social se encuentra diluido, es decir, donde cada uno de los accionistas/vendedores cuentan con menos del 5% (cinco por ciento) del capital social del agente a ser adquirido.</w:t>
      </w:r>
    </w:p>
    <w:p w14:paraId="1897A189" w14:textId="77777777" w:rsidR="00C37A19" w:rsidRPr="00A07D9A" w:rsidRDefault="00C37A19" w:rsidP="00A11C90">
      <w:pPr>
        <w:rPr>
          <w:color w:val="000000" w:themeColor="text1"/>
        </w:rPr>
      </w:pPr>
      <w:r w:rsidRPr="00A07D9A">
        <w:rPr>
          <w:color w:val="000000" w:themeColor="text1"/>
        </w:rPr>
        <w:t xml:space="preserve">Cabe señalar que la excepción de acudir a la notificación únicamente está permitida para los </w:t>
      </w:r>
      <w:r w:rsidR="0024068C" w:rsidRPr="00A07D9A">
        <w:rPr>
          <w:color w:val="000000" w:themeColor="text1"/>
        </w:rPr>
        <w:t xml:space="preserve">Agentes Económicos </w:t>
      </w:r>
      <w:r w:rsidRPr="00A07D9A">
        <w:rPr>
          <w:color w:val="000000" w:themeColor="text1"/>
        </w:rPr>
        <w:t>adquiridos, no así para los adquirentes en términos del artículo 88, párrafo segundo de la LFCE.</w:t>
      </w:r>
    </w:p>
    <w:p w14:paraId="0C1CCEE1" w14:textId="77777777" w:rsidR="00A11C90" w:rsidRPr="00A07D9A" w:rsidRDefault="00A11C90" w:rsidP="00A11C90">
      <w:pPr>
        <w:rPr>
          <w:rFonts w:cs="Helvetica"/>
          <w:color w:val="000000" w:themeColor="text1"/>
        </w:rPr>
      </w:pPr>
      <w:r w:rsidRPr="00A07D9A">
        <w:rPr>
          <w:color w:val="000000" w:themeColor="text1"/>
        </w:rPr>
        <w:t xml:space="preserve">Por otro lado, el </w:t>
      </w:r>
      <w:r w:rsidRPr="00A07D9A">
        <w:rPr>
          <w:rFonts w:cs="Helvetica"/>
          <w:bCs/>
          <w:color w:val="000000" w:themeColor="text1"/>
        </w:rPr>
        <w:t xml:space="preserve">artículo 20 de las </w:t>
      </w:r>
      <w:r w:rsidR="00B94D75" w:rsidRPr="00A07D9A">
        <w:rPr>
          <w:rFonts w:cs="Helvetica"/>
          <w:bCs/>
          <w:color w:val="000000" w:themeColor="text1"/>
        </w:rPr>
        <w:t>Disposiciones Regulatorias</w:t>
      </w:r>
      <w:r w:rsidRPr="00A07D9A">
        <w:rPr>
          <w:rFonts w:cs="Helvetica"/>
          <w:bCs/>
          <w:color w:val="000000" w:themeColor="text1"/>
        </w:rPr>
        <w:t xml:space="preserve"> precisa que s</w:t>
      </w:r>
      <w:r w:rsidRPr="00A07D9A">
        <w:rPr>
          <w:rFonts w:cs="Helvetica"/>
          <w:color w:val="000000" w:themeColor="text1"/>
        </w:rPr>
        <w:t>i la concentración involucra a varios enajenantes o adquirentes que pertenezcan a un mismo GIE, pueden presentar la notificación aquella o aquellas personas o sociedades que controlen a dicho grupo, siempre y cuando lo demuestren fehacientemente que la persona o la sociedad que aparece como parte notificante efectivamente controla al GIE del que forman parte las personas enajenantes o adquirentes involucrados en la operación.</w:t>
      </w:r>
    </w:p>
    <w:p w14:paraId="48393381" w14:textId="77777777" w:rsidR="00A11C90" w:rsidRPr="00A07D9A" w:rsidRDefault="00A11C90" w:rsidP="00A11C90">
      <w:pPr>
        <w:rPr>
          <w:color w:val="000000" w:themeColor="text1"/>
        </w:rPr>
      </w:pPr>
      <w:r w:rsidRPr="00A07D9A">
        <w:rPr>
          <w:color w:val="000000" w:themeColor="text1"/>
        </w:rPr>
        <w:t xml:space="preserve">En el caso del procedimiento previsto en el artículo 92 de la LFCE, el </w:t>
      </w:r>
      <w:proofErr w:type="spellStart"/>
      <w:r w:rsidRPr="00A07D9A">
        <w:rPr>
          <w:color w:val="000000" w:themeColor="text1"/>
        </w:rPr>
        <w:t>fusionante</w:t>
      </w:r>
      <w:proofErr w:type="spellEnd"/>
      <w:r w:rsidRPr="00A07D9A">
        <w:rPr>
          <w:color w:val="000000" w:themeColor="text1"/>
        </w:rPr>
        <w:t>, adquirente o el que pretenda realizar el acto o producir el efecto de acumulación, también pueden ser los únicos encargados de presentar la notificación ante el IFT.</w:t>
      </w:r>
    </w:p>
    <w:p w14:paraId="5579A451" w14:textId="77777777" w:rsidR="00A11C90" w:rsidRPr="00A07D9A" w:rsidRDefault="003F2656" w:rsidP="00FE6791">
      <w:pPr>
        <w:pStyle w:val="Ttulo2"/>
        <w:numPr>
          <w:ilvl w:val="1"/>
          <w:numId w:val="74"/>
        </w:numPr>
        <w:rPr>
          <w:rFonts w:eastAsiaTheme="minorHAnsi"/>
          <w:color w:val="000000" w:themeColor="text1"/>
        </w:rPr>
      </w:pPr>
      <w:bookmarkStart w:id="59" w:name="_Toc486519824"/>
      <w:r w:rsidRPr="00A07D9A">
        <w:rPr>
          <w:rFonts w:eastAsiaTheme="minorHAnsi"/>
          <w:color w:val="000000" w:themeColor="text1"/>
        </w:rPr>
        <w:t>Escrito de notificación</w:t>
      </w:r>
      <w:bookmarkEnd w:id="59"/>
    </w:p>
    <w:p w14:paraId="36A1AA11" w14:textId="77777777" w:rsidR="007B43E4" w:rsidRPr="00A07D9A" w:rsidRDefault="007B43E4" w:rsidP="00A936C9">
      <w:pPr>
        <w:pStyle w:val="Ttulo3"/>
        <w:rPr>
          <w:color w:val="000000" w:themeColor="text1"/>
        </w:rPr>
      </w:pPr>
      <w:bookmarkStart w:id="60" w:name="_Toc486519825"/>
      <w:r w:rsidRPr="00A07D9A">
        <w:rPr>
          <w:color w:val="000000" w:themeColor="text1"/>
        </w:rPr>
        <w:t>Requisitos específicos</w:t>
      </w:r>
      <w:bookmarkEnd w:id="60"/>
    </w:p>
    <w:p w14:paraId="73062491" w14:textId="77777777" w:rsidR="00A11C90" w:rsidRPr="00A07D9A" w:rsidRDefault="00A11C90" w:rsidP="00A11C90">
      <w:pPr>
        <w:rPr>
          <w:color w:val="000000" w:themeColor="text1"/>
        </w:rPr>
      </w:pPr>
      <w:r w:rsidRPr="00A07D9A">
        <w:rPr>
          <w:color w:val="000000" w:themeColor="text1"/>
        </w:rPr>
        <w:t>La presentación del escrito de notificación de concentración no requiere formatos ni anotaciones especiales. Implica, esencialmente, el cumplimiento de cada uno de los elementos o requisitos señalados en el artículo 89 de la LFCE. Dichos requisitos se describen a continuación.</w:t>
      </w:r>
    </w:p>
    <w:p w14:paraId="4DB5B913" w14:textId="77777777" w:rsidR="00A11C90" w:rsidRPr="00A07D9A" w:rsidRDefault="00A11C90" w:rsidP="00FE6791">
      <w:pPr>
        <w:pStyle w:val="Prrafodelista"/>
        <w:numPr>
          <w:ilvl w:val="0"/>
          <w:numId w:val="8"/>
        </w:numPr>
        <w:spacing w:after="160" w:line="259" w:lineRule="auto"/>
        <w:ind w:left="567" w:hanging="425"/>
        <w:rPr>
          <w:b/>
          <w:color w:val="000000" w:themeColor="text1"/>
        </w:rPr>
      </w:pPr>
      <w:r w:rsidRPr="00A07D9A">
        <w:rPr>
          <w:b/>
          <w:color w:val="000000" w:themeColor="text1"/>
        </w:rPr>
        <w:t>Nombre, denominación o razón social de los Agentes Económicos que notifican la concentración y de aquéllos que participan en ella directa e indirectamente.</w:t>
      </w:r>
    </w:p>
    <w:p w14:paraId="4F89E50B" w14:textId="77777777" w:rsidR="00A11C90" w:rsidRPr="00A07D9A" w:rsidRDefault="00A11C90" w:rsidP="00A11C90">
      <w:pPr>
        <w:rPr>
          <w:color w:val="000000" w:themeColor="text1"/>
        </w:rPr>
      </w:pPr>
      <w:r w:rsidRPr="00A07D9A">
        <w:rPr>
          <w:color w:val="000000" w:themeColor="text1"/>
        </w:rPr>
        <w:t>Este requisito debe entenderse en dos modalidades: a) identificar a quien(es) acude(n) a notificar la concentración (</w:t>
      </w:r>
      <w:r w:rsidR="008A07CB" w:rsidRPr="00A07D9A">
        <w:rPr>
          <w:color w:val="000000" w:themeColor="text1"/>
        </w:rPr>
        <w:t>agentes económicos</w:t>
      </w:r>
      <w:r w:rsidRPr="00A07D9A">
        <w:rPr>
          <w:color w:val="000000" w:themeColor="text1"/>
        </w:rPr>
        <w:t xml:space="preserve"> notificantes), e b) identificar a aquéllos quienes directa o indirectamente participan en ella (</w:t>
      </w:r>
      <w:r w:rsidR="008A07CB" w:rsidRPr="00A07D9A">
        <w:rPr>
          <w:color w:val="000000" w:themeColor="text1"/>
        </w:rPr>
        <w:t>agentes económicos</w:t>
      </w:r>
      <w:r w:rsidRPr="00A07D9A">
        <w:rPr>
          <w:color w:val="000000" w:themeColor="text1"/>
        </w:rPr>
        <w:t xml:space="preserve"> involucrados).</w:t>
      </w:r>
    </w:p>
    <w:p w14:paraId="7824BA59" w14:textId="77777777" w:rsidR="00A11C90" w:rsidRPr="00A07D9A" w:rsidRDefault="00A11C90" w:rsidP="00A11C90">
      <w:pPr>
        <w:rPr>
          <w:color w:val="000000" w:themeColor="text1"/>
        </w:rPr>
      </w:pPr>
      <w:r w:rsidRPr="00A07D9A">
        <w:rPr>
          <w:color w:val="000000" w:themeColor="text1"/>
        </w:rPr>
        <w:t>La redacción distingue entre aquéllos que dan parte al IFT con el escrito de notificación de concentración de aquéllos quienes directa o indirectamente están involucrados en la operación pretendida. Como se observa, el IFT necesita contar con la identificación de ambos.</w:t>
      </w:r>
    </w:p>
    <w:p w14:paraId="340DE2FE" w14:textId="77777777" w:rsidR="00A11C90" w:rsidRPr="00A07D9A" w:rsidRDefault="00A11C90" w:rsidP="00A11C90">
      <w:pPr>
        <w:rPr>
          <w:color w:val="000000" w:themeColor="text1"/>
        </w:rPr>
      </w:pPr>
      <w:r w:rsidRPr="00A07D9A">
        <w:rPr>
          <w:color w:val="000000" w:themeColor="text1"/>
        </w:rPr>
        <w:lastRenderedPageBreak/>
        <w:t xml:space="preserve">En el caso de los </w:t>
      </w:r>
      <w:r w:rsidR="008A07CB" w:rsidRPr="00A07D9A">
        <w:rPr>
          <w:color w:val="000000" w:themeColor="text1"/>
        </w:rPr>
        <w:t>agentes económicos</w:t>
      </w:r>
      <w:r w:rsidRPr="00A07D9A">
        <w:rPr>
          <w:color w:val="000000" w:themeColor="text1"/>
        </w:rPr>
        <w:t xml:space="preserve"> involucrados, la información que se debe presentar es respecto a todas y cada una de las personas físicas o morales que integran el GIE al que pertenecen esos agentes, así como de las personas vinculadas. De esta manera, la información que se debe presentar, además de los </w:t>
      </w:r>
      <w:r w:rsidR="008A07CB" w:rsidRPr="00A07D9A">
        <w:rPr>
          <w:color w:val="000000" w:themeColor="text1"/>
        </w:rPr>
        <w:t>agentes económicos</w:t>
      </w:r>
      <w:r w:rsidRPr="00A07D9A">
        <w:rPr>
          <w:color w:val="000000" w:themeColor="text1"/>
        </w:rPr>
        <w:t xml:space="preserve"> notificantes, es sobre cada una</w:t>
      </w:r>
      <w:r w:rsidR="004E7B90" w:rsidRPr="00A07D9A">
        <w:rPr>
          <w:color w:val="000000" w:themeColor="text1"/>
        </w:rPr>
        <w:t xml:space="preserve"> de</w:t>
      </w:r>
      <w:r w:rsidRPr="00A07D9A">
        <w:rPr>
          <w:color w:val="000000" w:themeColor="text1"/>
        </w:rPr>
        <w:t xml:space="preserve"> las siguientes personas (</w:t>
      </w:r>
      <w:r w:rsidR="008A07CB" w:rsidRPr="00A07D9A">
        <w:rPr>
          <w:color w:val="000000" w:themeColor="text1"/>
        </w:rPr>
        <w:t>agentes económicos</w:t>
      </w:r>
      <w:r w:rsidRPr="00A07D9A">
        <w:rPr>
          <w:color w:val="000000" w:themeColor="text1"/>
        </w:rPr>
        <w:t xml:space="preserve"> involucrados, que incluye a los </w:t>
      </w:r>
      <w:r w:rsidR="008A07CB" w:rsidRPr="00A07D9A">
        <w:rPr>
          <w:color w:val="000000" w:themeColor="text1"/>
        </w:rPr>
        <w:t>agentes económicos</w:t>
      </w:r>
      <w:r w:rsidRPr="00A07D9A">
        <w:rPr>
          <w:color w:val="000000" w:themeColor="text1"/>
        </w:rPr>
        <w:t xml:space="preserve"> notificantes):</w:t>
      </w:r>
    </w:p>
    <w:p w14:paraId="13C9EB17" w14:textId="77777777" w:rsidR="00A11C90" w:rsidRPr="00A07D9A" w:rsidRDefault="00A11C90" w:rsidP="00FE6791">
      <w:pPr>
        <w:pStyle w:val="Prrafodelista"/>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color w:val="000000" w:themeColor="text1"/>
        </w:rPr>
      </w:pPr>
      <w:r w:rsidRPr="00A07D9A">
        <w:rPr>
          <w:color w:val="000000" w:themeColor="text1"/>
        </w:rPr>
        <w:t xml:space="preserve">Socios, accionistas o asociados, directos e indirectos, hasta llegar a un nivel de personas físicas, con participaciones en el capital social mayores al 5% (cinco por ciento) de los </w:t>
      </w:r>
      <w:r w:rsidR="008A07CB" w:rsidRPr="00A07D9A">
        <w:rPr>
          <w:color w:val="000000" w:themeColor="text1"/>
        </w:rPr>
        <w:t>agentes económicos</w:t>
      </w:r>
      <w:r w:rsidRPr="00A07D9A">
        <w:rPr>
          <w:color w:val="000000" w:themeColor="text1"/>
        </w:rPr>
        <w:t xml:space="preserve"> notificantes.</w:t>
      </w:r>
    </w:p>
    <w:p w14:paraId="444C8967" w14:textId="77777777" w:rsidR="00A11C90" w:rsidRPr="00A07D9A" w:rsidRDefault="00A11C90" w:rsidP="00FE6791">
      <w:pPr>
        <w:pStyle w:val="Prrafodelista"/>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color w:val="000000" w:themeColor="text1"/>
        </w:rPr>
      </w:pPr>
      <w:r w:rsidRPr="00A07D9A">
        <w:rPr>
          <w:color w:val="000000" w:themeColor="text1"/>
        </w:rPr>
        <w:t xml:space="preserve">Personas físicas que tengan vínculos por parentesco o por afinidad, hasta el cuarto grado, en términos de los artículos 292 a 300 del Código Civil Federal, con: i) los </w:t>
      </w:r>
      <w:r w:rsidR="008A07CB" w:rsidRPr="00A07D9A">
        <w:rPr>
          <w:color w:val="000000" w:themeColor="text1"/>
        </w:rPr>
        <w:t>agentes económicos</w:t>
      </w:r>
      <w:r w:rsidRPr="00A07D9A">
        <w:rPr>
          <w:color w:val="000000" w:themeColor="text1"/>
        </w:rPr>
        <w:t xml:space="preserve"> notificantes, o ii) con cada una de los socios, accionistas, asociados o personas identificadas en el inciso a).</w:t>
      </w:r>
    </w:p>
    <w:p w14:paraId="47400929" w14:textId="77777777" w:rsidR="00A11C90" w:rsidRPr="00A07D9A" w:rsidRDefault="00A11C90" w:rsidP="00FE6791">
      <w:pPr>
        <w:pStyle w:val="Prrafodelista"/>
        <w:widowControl w:val="0"/>
        <w:numPr>
          <w:ilvl w:val="0"/>
          <w:numId w:val="2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160" w:line="259" w:lineRule="auto"/>
        <w:ind w:left="851"/>
        <w:rPr>
          <w:rFonts w:cs="Helvetica"/>
          <w:color w:val="000000" w:themeColor="text1"/>
        </w:rPr>
      </w:pPr>
      <w:bookmarkStart w:id="61" w:name="_Ref450759370"/>
      <w:r w:rsidRPr="00A07D9A">
        <w:rPr>
          <w:color w:val="000000" w:themeColor="text1"/>
        </w:rPr>
        <w:t xml:space="preserve">Sociedades donde los </w:t>
      </w:r>
      <w:r w:rsidR="008A07CB" w:rsidRPr="00A07D9A">
        <w:rPr>
          <w:color w:val="000000" w:themeColor="text1"/>
        </w:rPr>
        <w:t>agentes económicos</w:t>
      </w:r>
      <w:r w:rsidRPr="00A07D9A">
        <w:rPr>
          <w:color w:val="000000" w:themeColor="text1"/>
        </w:rPr>
        <w:t xml:space="preserve"> notificantes y cada uno de los socios, accionistas, asociados o personas identificadas en el inciso a) tengan participaciones accionarias o societarias, directas e indirectas, superiores al 5% (cinco por ciento) del capital social</w:t>
      </w:r>
      <w:bookmarkEnd w:id="61"/>
      <w:r w:rsidRPr="00A07D9A">
        <w:rPr>
          <w:color w:val="000000" w:themeColor="text1"/>
        </w:rPr>
        <w:t>.</w:t>
      </w:r>
    </w:p>
    <w:p w14:paraId="7EAC5470" w14:textId="77777777" w:rsidR="00A11C90" w:rsidRPr="00A07D9A" w:rsidRDefault="00A11C90" w:rsidP="00A11C90">
      <w:pPr>
        <w:rPr>
          <w:color w:val="000000" w:themeColor="text1"/>
        </w:rPr>
      </w:pPr>
      <w:r w:rsidRPr="00A07D9A">
        <w:rPr>
          <w:color w:val="000000" w:themeColor="text1"/>
        </w:rPr>
        <w:t>No será necesario presentar la información para las personas físicas o morales, integrantes de los GIE a los que pertenecen los vendedores, enajenantes o cedentes, en caso de que después de la concentración no exista asociación entre integrantes de esos GIE e integrantes de los GIE al que pertenecen los demás participantes en la concentración.</w:t>
      </w:r>
    </w:p>
    <w:p w14:paraId="34305821" w14:textId="77777777" w:rsidR="00A11C90" w:rsidRPr="00A07D9A" w:rsidRDefault="00A11C90" w:rsidP="00FE6791">
      <w:pPr>
        <w:pStyle w:val="Prrafodelista"/>
        <w:numPr>
          <w:ilvl w:val="0"/>
          <w:numId w:val="8"/>
        </w:numPr>
        <w:spacing w:after="160" w:line="259" w:lineRule="auto"/>
        <w:ind w:left="567" w:hanging="425"/>
        <w:rPr>
          <w:b/>
          <w:color w:val="000000" w:themeColor="text1"/>
        </w:rPr>
      </w:pPr>
      <w:r w:rsidRPr="00A07D9A">
        <w:rPr>
          <w:b/>
          <w:color w:val="000000" w:themeColor="text1"/>
        </w:rPr>
        <w:t>En su caso, nombre del representante legal y el documento o instrumento que contenga las facultades de representación de conformidad con las formalidades establecidas en la legislación aplicable. Nombre del representante común y domicilio para oír y recibir notificaciones y personas autorizadas, así como los datos que permitan su pronta localización.</w:t>
      </w:r>
    </w:p>
    <w:p w14:paraId="3DB1C52D" w14:textId="77777777" w:rsidR="00A11C90" w:rsidRPr="00A07D9A" w:rsidRDefault="00A11C90" w:rsidP="00A11C90">
      <w:pPr>
        <w:rPr>
          <w:b/>
          <w:color w:val="000000" w:themeColor="text1"/>
        </w:rPr>
      </w:pPr>
      <w:r w:rsidRPr="00A07D9A">
        <w:rPr>
          <w:b/>
          <w:color w:val="000000" w:themeColor="text1"/>
        </w:rPr>
        <w:t>Representante legal y documento que contiene las facultades de representación</w:t>
      </w:r>
    </w:p>
    <w:p w14:paraId="67E62B5C" w14:textId="77777777" w:rsidR="00A11C90" w:rsidRPr="00A07D9A" w:rsidRDefault="00A11C90" w:rsidP="00A11C90">
      <w:pPr>
        <w:rPr>
          <w:color w:val="000000" w:themeColor="text1"/>
        </w:rPr>
      </w:pPr>
      <w:r w:rsidRPr="00A07D9A">
        <w:rPr>
          <w:color w:val="000000" w:themeColor="text1"/>
        </w:rPr>
        <w:t xml:space="preserve">Debido a que la notificación de concentraciones requiere de la voluntad directa por parte de los </w:t>
      </w:r>
      <w:r w:rsidR="008A07CB" w:rsidRPr="00A07D9A">
        <w:rPr>
          <w:color w:val="000000" w:themeColor="text1"/>
        </w:rPr>
        <w:t>agentes económicos</w:t>
      </w:r>
      <w:r w:rsidRPr="00A07D9A">
        <w:rPr>
          <w:color w:val="000000" w:themeColor="text1"/>
        </w:rPr>
        <w:t xml:space="preserve"> involucrados en ella, es necesario que estos acudan al procedimiento por propio derecho o, en su caso, a través de una representación directa (apoderado general o especial</w:t>
      </w:r>
      <w:r w:rsidR="00E1626A" w:rsidRPr="00A07D9A">
        <w:rPr>
          <w:color w:val="000000" w:themeColor="text1"/>
        </w:rPr>
        <w:t xml:space="preserve"> y/o persona que cuente con atribuciones de representación suficientes</w:t>
      </w:r>
      <w:r w:rsidRPr="00A07D9A">
        <w:rPr>
          <w:color w:val="000000" w:themeColor="text1"/>
        </w:rPr>
        <w:t>) de acuerdo con lo previsto en el artículo 2554 del CCF. Esto sucede, en su generalidad, en lo que corresponde a las personas morales.</w:t>
      </w:r>
    </w:p>
    <w:p w14:paraId="041A445D" w14:textId="77777777" w:rsidR="00A11C90" w:rsidRPr="00A07D9A" w:rsidRDefault="00A11C90" w:rsidP="00A11C90">
      <w:pPr>
        <w:rPr>
          <w:color w:val="000000" w:themeColor="text1"/>
        </w:rPr>
      </w:pPr>
      <w:r w:rsidRPr="00A07D9A">
        <w:rPr>
          <w:color w:val="000000" w:themeColor="text1"/>
        </w:rPr>
        <w:t xml:space="preserve">Para el procedimiento de notificación de concentraciones basta la existencia de un poder especial o de un poder para actos de administración. El poder deberá </w:t>
      </w:r>
      <w:r w:rsidRPr="00A07D9A">
        <w:rPr>
          <w:color w:val="000000" w:themeColor="text1"/>
        </w:rPr>
        <w:lastRenderedPageBreak/>
        <w:t>aportarse en testimonio notarial o copia certificada</w:t>
      </w:r>
      <w:r w:rsidRPr="00A07D9A">
        <w:rPr>
          <w:rStyle w:val="Refdenotaalpie"/>
          <w:color w:val="000000" w:themeColor="text1"/>
        </w:rPr>
        <w:footnoteReference w:id="72"/>
      </w:r>
      <w:r w:rsidRPr="00A07D9A">
        <w:rPr>
          <w:color w:val="000000" w:themeColor="text1"/>
        </w:rPr>
        <w:t xml:space="preserve"> como parte del escrito de notificación de concentración.</w:t>
      </w:r>
    </w:p>
    <w:p w14:paraId="7EBD5263" w14:textId="77777777" w:rsidR="00A11C90" w:rsidRPr="00A07D9A" w:rsidRDefault="00A11C90" w:rsidP="00A11C90">
      <w:pPr>
        <w:rPr>
          <w:color w:val="000000" w:themeColor="text1"/>
        </w:rPr>
      </w:pPr>
      <w:r w:rsidRPr="00A07D9A">
        <w:rPr>
          <w:color w:val="000000" w:themeColor="text1"/>
        </w:rPr>
        <w:t xml:space="preserve">En relación con los requisitos que deben reunir los poderes </w:t>
      </w:r>
      <w:r w:rsidR="00E1626A" w:rsidRPr="00A07D9A">
        <w:rPr>
          <w:color w:val="000000" w:themeColor="text1"/>
        </w:rPr>
        <w:t xml:space="preserve">o documentos </w:t>
      </w:r>
      <w:r w:rsidRPr="00A07D9A">
        <w:rPr>
          <w:color w:val="000000" w:themeColor="text1"/>
        </w:rPr>
        <w:t xml:space="preserve">por los cuales se ejerza la representación directa de los </w:t>
      </w:r>
      <w:r w:rsidR="008A07CB" w:rsidRPr="00A07D9A">
        <w:rPr>
          <w:color w:val="000000" w:themeColor="text1"/>
        </w:rPr>
        <w:t>agentes económicos</w:t>
      </w:r>
      <w:r w:rsidRPr="00A07D9A">
        <w:rPr>
          <w:color w:val="000000" w:themeColor="text1"/>
        </w:rPr>
        <w:t xml:space="preserve"> en el procedimiento de notificación de concentración, se prevé que estos deberán constar en escritura pública en donde se cumplan todos los requisitos necesarios para su validez, entre ellos: nombre e identificación del poderdante; nombre e identificación del apoderado; el tipo de poder; lugar y fecha de la emisión; en su caso, plazo o duración del poder; fe pública y/o certificación notarial, y datos de identificación del testimonio notarial.</w:t>
      </w:r>
    </w:p>
    <w:p w14:paraId="400E9F6B" w14:textId="77777777" w:rsidR="00A11C90" w:rsidRPr="00A07D9A" w:rsidRDefault="00A11C90" w:rsidP="00A11C90">
      <w:pPr>
        <w:rPr>
          <w:color w:val="000000" w:themeColor="text1"/>
        </w:rPr>
      </w:pPr>
      <w:r w:rsidRPr="00A07D9A">
        <w:rPr>
          <w:color w:val="000000" w:themeColor="text1"/>
        </w:rPr>
        <w:t>En el caso de los poderes emitidos en el extranjero, además de los requisitos anteriores, estos deberán reunir lo siguiente:</w:t>
      </w:r>
    </w:p>
    <w:p w14:paraId="0C06A4AA" w14:textId="77777777" w:rsidR="00A11C90" w:rsidRPr="00A07D9A" w:rsidRDefault="00A11C90" w:rsidP="00FE6791">
      <w:pPr>
        <w:pStyle w:val="Prrafodelista"/>
        <w:numPr>
          <w:ilvl w:val="0"/>
          <w:numId w:val="27"/>
        </w:numPr>
        <w:spacing w:after="160" w:line="259" w:lineRule="auto"/>
        <w:ind w:left="567"/>
        <w:rPr>
          <w:color w:val="000000" w:themeColor="text1"/>
        </w:rPr>
      </w:pPr>
      <w:r w:rsidRPr="00A07D9A">
        <w:rPr>
          <w:color w:val="000000" w:themeColor="text1"/>
        </w:rPr>
        <w:t>Contar con la apostilla necesaria en caso de que se trate de documentos públicos expedidos en países miembros de la “Convención por la que se suprime el requisito de legalización de los documentos públicos extranjeros” (de fecha 5 de octubre de 1961).</w:t>
      </w:r>
      <w:r w:rsidRPr="00A07D9A">
        <w:rPr>
          <w:rStyle w:val="Refdenotaalpie"/>
          <w:color w:val="000000" w:themeColor="text1"/>
        </w:rPr>
        <w:footnoteReference w:id="73"/>
      </w:r>
    </w:p>
    <w:p w14:paraId="75E7CA99" w14:textId="77777777" w:rsidR="00A11C90" w:rsidRPr="00A07D9A" w:rsidRDefault="00A11C90" w:rsidP="00FE6791">
      <w:pPr>
        <w:pStyle w:val="Prrafodelista"/>
        <w:numPr>
          <w:ilvl w:val="0"/>
          <w:numId w:val="27"/>
        </w:numPr>
        <w:spacing w:after="160" w:line="259" w:lineRule="auto"/>
        <w:ind w:left="567"/>
        <w:rPr>
          <w:color w:val="000000" w:themeColor="text1"/>
        </w:rPr>
      </w:pPr>
      <w:r w:rsidRPr="00A07D9A">
        <w:rPr>
          <w:color w:val="000000" w:themeColor="text1"/>
        </w:rPr>
        <w:t xml:space="preserve">En caso de que se trate de documentos públicos expedidos en países que no son miembros de la Convención aludida, los documentos deberán ser legalizados por el Ministerio de Relaciones Exteriores o por la autoridad que defina el Gobierno del país que lo emite. Posteriormente, el mismo deberá ser legalizado por las Representaciones Diplomáticas y Consulares de México en ese país. </w:t>
      </w:r>
    </w:p>
    <w:p w14:paraId="58543C4D" w14:textId="77777777" w:rsidR="00A11C90" w:rsidRPr="00A07D9A" w:rsidRDefault="00A11C90" w:rsidP="00FE6791">
      <w:pPr>
        <w:pStyle w:val="Prrafodelista"/>
        <w:numPr>
          <w:ilvl w:val="0"/>
          <w:numId w:val="27"/>
        </w:numPr>
        <w:spacing w:after="160" w:line="259" w:lineRule="auto"/>
        <w:ind w:left="567"/>
        <w:rPr>
          <w:color w:val="000000" w:themeColor="text1"/>
        </w:rPr>
      </w:pPr>
      <w:r w:rsidRPr="00A07D9A">
        <w:rPr>
          <w:color w:val="000000" w:themeColor="text1"/>
        </w:rPr>
        <w:t xml:space="preserve">En caso de que no exista representación diplomática o consular mexicana en algún país respectivo, podrá ser aplicable este </w:t>
      </w:r>
      <w:r w:rsidR="00EB7743" w:rsidRPr="00A07D9A">
        <w:rPr>
          <w:color w:val="000000" w:themeColor="text1"/>
        </w:rPr>
        <w:t>procedimiento</w:t>
      </w:r>
      <w:r w:rsidRPr="00A07D9A">
        <w:rPr>
          <w:color w:val="000000" w:themeColor="text1"/>
        </w:rPr>
        <w:t xml:space="preserve"> bajo la figura de país amigo.</w:t>
      </w:r>
    </w:p>
    <w:p w14:paraId="329A4564" w14:textId="77777777" w:rsidR="00A11C90" w:rsidRPr="00A07D9A" w:rsidRDefault="00A11C90" w:rsidP="00FE6791">
      <w:pPr>
        <w:pStyle w:val="Prrafodelista"/>
        <w:numPr>
          <w:ilvl w:val="0"/>
          <w:numId w:val="27"/>
        </w:numPr>
        <w:spacing w:after="160" w:line="259" w:lineRule="auto"/>
        <w:ind w:left="567" w:hanging="357"/>
        <w:rPr>
          <w:color w:val="000000" w:themeColor="text1"/>
        </w:rPr>
      </w:pPr>
      <w:r w:rsidRPr="00A07D9A">
        <w:rPr>
          <w:color w:val="000000" w:themeColor="text1"/>
        </w:rPr>
        <w:t>En cualquiera de los dos casos anteriores, deberán acompañarse de una traducción emitida por perito certificado en el idioma que se trate.</w:t>
      </w:r>
    </w:p>
    <w:p w14:paraId="6364EAFD" w14:textId="77777777" w:rsidR="00A11C90" w:rsidRPr="00A07D9A" w:rsidRDefault="00A11C90" w:rsidP="00A11C90">
      <w:pPr>
        <w:rPr>
          <w:b/>
          <w:color w:val="000000" w:themeColor="text1"/>
        </w:rPr>
      </w:pPr>
      <w:r w:rsidRPr="00A07D9A">
        <w:rPr>
          <w:b/>
          <w:color w:val="000000" w:themeColor="text1"/>
        </w:rPr>
        <w:t xml:space="preserve">Autorizados de los </w:t>
      </w:r>
      <w:r w:rsidR="008A07CB" w:rsidRPr="00A07D9A">
        <w:rPr>
          <w:b/>
          <w:color w:val="000000" w:themeColor="text1"/>
        </w:rPr>
        <w:t>agentes económicos</w:t>
      </w:r>
      <w:r w:rsidRPr="00A07D9A">
        <w:rPr>
          <w:b/>
          <w:color w:val="000000" w:themeColor="text1"/>
        </w:rPr>
        <w:t xml:space="preserve"> notificantes</w:t>
      </w:r>
    </w:p>
    <w:p w14:paraId="3197C7B3" w14:textId="77777777" w:rsidR="00A11C90" w:rsidRPr="00A07D9A" w:rsidRDefault="00A11C90" w:rsidP="00A11C90">
      <w:pPr>
        <w:rPr>
          <w:color w:val="000000" w:themeColor="text1"/>
        </w:rPr>
      </w:pPr>
      <w:r w:rsidRPr="00A07D9A">
        <w:rPr>
          <w:color w:val="000000" w:themeColor="text1"/>
        </w:rPr>
        <w:t xml:space="preserve">Para una representación indirecta, la LFCE reconoce que los </w:t>
      </w:r>
      <w:r w:rsidR="008A07CB" w:rsidRPr="00A07D9A">
        <w:rPr>
          <w:color w:val="000000" w:themeColor="text1"/>
        </w:rPr>
        <w:t>agentes económicos</w:t>
      </w:r>
      <w:r w:rsidRPr="00A07D9A">
        <w:rPr>
          <w:color w:val="000000" w:themeColor="text1"/>
        </w:rPr>
        <w:t xml:space="preserve"> involucrados podrán designar autorizados para: </w:t>
      </w:r>
    </w:p>
    <w:p w14:paraId="26D4E510" w14:textId="77777777" w:rsidR="00A11C90" w:rsidRPr="00A07D9A" w:rsidRDefault="00A11C90" w:rsidP="00FE6791">
      <w:pPr>
        <w:pStyle w:val="Prrafodelista"/>
        <w:numPr>
          <w:ilvl w:val="0"/>
          <w:numId w:val="9"/>
        </w:numPr>
        <w:spacing w:after="160" w:line="259" w:lineRule="auto"/>
        <w:ind w:left="567" w:hanging="357"/>
        <w:rPr>
          <w:color w:val="000000" w:themeColor="text1"/>
        </w:rPr>
      </w:pPr>
      <w:r w:rsidRPr="00A07D9A">
        <w:rPr>
          <w:color w:val="000000" w:themeColor="text1"/>
        </w:rPr>
        <w:t>Realizar promociones, ofrecer medios de prueba, concurrir al desahogo de pruebas, formular alegatos y en general llevar a cabo los actos necesarios para la debida sustanciación del procedimiento (autorización amplia, en términos del párrafo segundo del artículo 111 de la LFCE).</w:t>
      </w:r>
    </w:p>
    <w:p w14:paraId="506451C8" w14:textId="77777777" w:rsidR="00A11C90" w:rsidRPr="00A07D9A" w:rsidRDefault="00A11C90" w:rsidP="00FE6791">
      <w:pPr>
        <w:pStyle w:val="Prrafodelista"/>
        <w:numPr>
          <w:ilvl w:val="0"/>
          <w:numId w:val="9"/>
        </w:numPr>
        <w:spacing w:after="160" w:line="259" w:lineRule="auto"/>
        <w:ind w:left="567" w:hanging="357"/>
        <w:rPr>
          <w:color w:val="000000" w:themeColor="text1"/>
        </w:rPr>
      </w:pPr>
      <w:r w:rsidRPr="00A07D9A">
        <w:rPr>
          <w:color w:val="000000" w:themeColor="text1"/>
        </w:rPr>
        <w:lastRenderedPageBreak/>
        <w:t>Oír y recibir notificaciones y documentos e imponerse de autos (autorización simple, en términos del párrafo tercero del artículo 111 de la LFCE).</w:t>
      </w:r>
    </w:p>
    <w:p w14:paraId="33A23DA0" w14:textId="77777777" w:rsidR="00A11C90" w:rsidRPr="00A07D9A" w:rsidRDefault="008E5928" w:rsidP="00A11C90">
      <w:pPr>
        <w:rPr>
          <w:color w:val="000000" w:themeColor="text1"/>
        </w:rPr>
      </w:pPr>
      <w:r w:rsidRPr="00A07D9A">
        <w:rPr>
          <w:color w:val="000000" w:themeColor="text1"/>
        </w:rPr>
        <w:t>L</w:t>
      </w:r>
      <w:r w:rsidR="00A11C90" w:rsidRPr="00A07D9A">
        <w:rPr>
          <w:color w:val="000000" w:themeColor="text1"/>
        </w:rPr>
        <w:t xml:space="preserve">a </w:t>
      </w:r>
      <w:r w:rsidRPr="00A07D9A">
        <w:rPr>
          <w:color w:val="000000" w:themeColor="text1"/>
        </w:rPr>
        <w:t>autorización</w:t>
      </w:r>
      <w:r w:rsidR="00A11C90" w:rsidRPr="00A07D9A">
        <w:rPr>
          <w:color w:val="000000" w:themeColor="text1"/>
        </w:rPr>
        <w:t xml:space="preserve"> amplia incluye las facultades de la autorizaci</w:t>
      </w:r>
      <w:r w:rsidR="00A11C90" w:rsidRPr="00A07D9A">
        <w:rPr>
          <w:rFonts w:hint="eastAsia"/>
          <w:color w:val="000000" w:themeColor="text1"/>
        </w:rPr>
        <w:t>ó</w:t>
      </w:r>
      <w:r w:rsidR="00A11C90" w:rsidRPr="00A07D9A">
        <w:rPr>
          <w:color w:val="000000" w:themeColor="text1"/>
        </w:rPr>
        <w:t xml:space="preserve">n simple, pero no a la inversa. Cabe precisar que todos los autorizados se encuentran impedidos para sustituir o delegar tales autorizaciones y, para aquellos casos en que no se precisen los efectos de una autorización, se entenderá que se trata de una </w:t>
      </w:r>
      <w:r w:rsidRPr="00A07D9A">
        <w:rPr>
          <w:color w:val="000000" w:themeColor="text1"/>
        </w:rPr>
        <w:t xml:space="preserve">autorización </w:t>
      </w:r>
      <w:r w:rsidR="00A11C90" w:rsidRPr="00A07D9A">
        <w:rPr>
          <w:color w:val="000000" w:themeColor="text1"/>
        </w:rPr>
        <w:t>simple.</w:t>
      </w:r>
    </w:p>
    <w:p w14:paraId="7222E00A" w14:textId="77777777" w:rsidR="00A11C90" w:rsidRPr="00A07D9A" w:rsidRDefault="00A11C90" w:rsidP="00A11C90">
      <w:pPr>
        <w:autoSpaceDE w:val="0"/>
        <w:autoSpaceDN w:val="0"/>
        <w:adjustRightInd w:val="0"/>
        <w:rPr>
          <w:color w:val="000000" w:themeColor="text1"/>
        </w:rPr>
      </w:pPr>
      <w:r w:rsidRPr="00A07D9A">
        <w:rPr>
          <w:color w:val="000000" w:themeColor="text1"/>
        </w:rPr>
        <w:t xml:space="preserve">Cada </w:t>
      </w:r>
      <w:r w:rsidR="00A83FB8" w:rsidRPr="00A07D9A">
        <w:rPr>
          <w:color w:val="000000" w:themeColor="text1"/>
        </w:rPr>
        <w:t>agente económico</w:t>
      </w:r>
      <w:r w:rsidRPr="00A07D9A">
        <w:rPr>
          <w:color w:val="000000" w:themeColor="text1"/>
        </w:rPr>
        <w:t xml:space="preserve"> notificante podrá contar con sus propios </w:t>
      </w:r>
      <w:r w:rsidR="008E5928" w:rsidRPr="00A07D9A">
        <w:rPr>
          <w:color w:val="000000" w:themeColor="text1"/>
        </w:rPr>
        <w:t>autorizados</w:t>
      </w:r>
      <w:r w:rsidRPr="00A07D9A">
        <w:rPr>
          <w:color w:val="000000" w:themeColor="text1"/>
        </w:rPr>
        <w:t xml:space="preserve">, ya sea en términos amplios o simples. </w:t>
      </w:r>
    </w:p>
    <w:p w14:paraId="3EF9D353" w14:textId="77777777" w:rsidR="00A11C90" w:rsidRPr="00A07D9A" w:rsidRDefault="00A11C90" w:rsidP="00A11C90">
      <w:pPr>
        <w:rPr>
          <w:b/>
          <w:color w:val="000000" w:themeColor="text1"/>
        </w:rPr>
      </w:pPr>
      <w:r w:rsidRPr="00A07D9A">
        <w:rPr>
          <w:b/>
          <w:color w:val="000000" w:themeColor="text1"/>
        </w:rPr>
        <w:t>Representante común, domicilio para oír y recibir notificaciones y personas autorizadas, así como los datos que permitan su pronta localización</w:t>
      </w:r>
    </w:p>
    <w:p w14:paraId="112CDC04" w14:textId="77777777" w:rsidR="00A11C90" w:rsidRPr="00A07D9A" w:rsidRDefault="00A11C90" w:rsidP="00A11C90">
      <w:pPr>
        <w:rPr>
          <w:color w:val="000000" w:themeColor="text1"/>
        </w:rPr>
      </w:pPr>
      <w:r w:rsidRPr="00A07D9A">
        <w:rPr>
          <w:color w:val="000000" w:themeColor="text1"/>
        </w:rPr>
        <w:t xml:space="preserve">Conforme a lo dispuesto por el artículo 88, párrafo tercero, de la LFCE, los notificantes están en obligación de nombrar un representante común único, salvo que por causa debidamente justificada no pudieran hacerlo, la misma quedará a criterio del IFT aceptarla o no. En caso de no designarse a un representante común, </w:t>
      </w:r>
      <w:r w:rsidR="004A1552" w:rsidRPr="00A07D9A">
        <w:rPr>
          <w:color w:val="000000" w:themeColor="text1"/>
        </w:rPr>
        <w:t xml:space="preserve">de manera justificada, </w:t>
      </w:r>
      <w:r w:rsidRPr="00A07D9A">
        <w:rPr>
          <w:color w:val="000000" w:themeColor="text1"/>
        </w:rPr>
        <w:t>el IFT lo designará de oficio.</w:t>
      </w:r>
    </w:p>
    <w:p w14:paraId="01013629" w14:textId="77777777" w:rsidR="00A11C90" w:rsidRPr="00A07D9A" w:rsidRDefault="00A11C90" w:rsidP="00A11C90">
      <w:pPr>
        <w:autoSpaceDE w:val="0"/>
        <w:autoSpaceDN w:val="0"/>
        <w:adjustRightInd w:val="0"/>
        <w:rPr>
          <w:color w:val="000000" w:themeColor="text1"/>
        </w:rPr>
      </w:pPr>
      <w:r w:rsidRPr="00A07D9A">
        <w:rPr>
          <w:color w:val="000000" w:themeColor="text1"/>
        </w:rPr>
        <w:t xml:space="preserve">En términos de los artículos 89, fracción II, de la LFCE, y 17 de las </w:t>
      </w:r>
      <w:r w:rsidR="00B94D75" w:rsidRPr="00A07D9A">
        <w:rPr>
          <w:color w:val="000000" w:themeColor="text1"/>
        </w:rPr>
        <w:t>Disposiciones Regulatorias</w:t>
      </w:r>
      <w:r w:rsidRPr="00A07D9A">
        <w:rPr>
          <w:color w:val="000000" w:themeColor="text1"/>
        </w:rPr>
        <w:t xml:space="preserve">, el representante común puede designar a personas autorizadas en términos de los artículos </w:t>
      </w:r>
      <w:r w:rsidRPr="00A07D9A">
        <w:rPr>
          <w:rFonts w:cs="Helvetica"/>
          <w:color w:val="000000" w:themeColor="text1"/>
        </w:rPr>
        <w:t>89, fracción II, y 111 de la Ley (autorizados comunes). Toda notificación que se practique al representante común, o a los autorizados comunes, se entenderán válidas para sus representados</w:t>
      </w:r>
      <w:r w:rsidRPr="00A07D9A">
        <w:rPr>
          <w:color w:val="000000" w:themeColor="text1"/>
        </w:rPr>
        <w:t>.</w:t>
      </w:r>
    </w:p>
    <w:p w14:paraId="268778EB" w14:textId="77777777" w:rsidR="00A11C90" w:rsidRPr="00A07D9A" w:rsidRDefault="00A11C90" w:rsidP="00A11C90">
      <w:pPr>
        <w:rPr>
          <w:color w:val="000000" w:themeColor="text1"/>
        </w:rPr>
      </w:pPr>
      <w:r w:rsidRPr="00A07D9A">
        <w:rPr>
          <w:color w:val="000000" w:themeColor="text1"/>
        </w:rPr>
        <w:t xml:space="preserve">Finalmente, es necesario señalar un domicilio para oír y recibir notificaciones, así como los datos que permitan la pronta localización, es decir números de teléfono y correo electrónico. Estos datos son de suma importancia para la notificación personal de los acuerdos emitidos en el procedimiento, así como para la pronta localización de los </w:t>
      </w:r>
      <w:r w:rsidR="008A07CB" w:rsidRPr="00A07D9A">
        <w:rPr>
          <w:color w:val="000000" w:themeColor="text1"/>
        </w:rPr>
        <w:t>agentes económicos</w:t>
      </w:r>
      <w:r w:rsidRPr="00A07D9A">
        <w:rPr>
          <w:color w:val="000000" w:themeColor="text1"/>
        </w:rPr>
        <w:t xml:space="preserve"> involucrados.</w:t>
      </w:r>
    </w:p>
    <w:p w14:paraId="3636A7CA" w14:textId="77777777" w:rsidR="00A11C90" w:rsidRPr="00A07D9A" w:rsidRDefault="00A11C90" w:rsidP="00A11C90">
      <w:pPr>
        <w:rPr>
          <w:color w:val="000000" w:themeColor="text1"/>
        </w:rPr>
      </w:pPr>
      <w:r w:rsidRPr="00A07D9A">
        <w:rPr>
          <w:color w:val="000000" w:themeColor="text1"/>
        </w:rPr>
        <w:t xml:space="preserve">Al respecto, el IFT solicita que todos los notificantes designen un único domicilio común para oír y recibir documentos y notificaciones, en el que se puedan encontrar al representante común, y a los autorizados comunes, de manera que, a través de éste, todos los </w:t>
      </w:r>
      <w:r w:rsidR="008A07CB" w:rsidRPr="00A07D9A">
        <w:rPr>
          <w:color w:val="000000" w:themeColor="text1"/>
        </w:rPr>
        <w:t>agentes económicos</w:t>
      </w:r>
      <w:r w:rsidRPr="00A07D9A">
        <w:rPr>
          <w:color w:val="000000" w:themeColor="text1"/>
        </w:rPr>
        <w:t xml:space="preserve"> notificantes puedan quedar enterados en un mismo acto o diligencia respecto de los acuerdos emitidos.</w:t>
      </w:r>
    </w:p>
    <w:p w14:paraId="69CFBC3F" w14:textId="77777777" w:rsidR="00A11C90" w:rsidRPr="00A07D9A" w:rsidRDefault="00A11C90" w:rsidP="00FE6791">
      <w:pPr>
        <w:pStyle w:val="Prrafodelista"/>
        <w:numPr>
          <w:ilvl w:val="0"/>
          <w:numId w:val="8"/>
        </w:numPr>
        <w:spacing w:after="160" w:line="259" w:lineRule="auto"/>
        <w:ind w:left="567" w:hanging="425"/>
        <w:rPr>
          <w:b/>
          <w:color w:val="000000" w:themeColor="text1"/>
        </w:rPr>
      </w:pPr>
      <w:r w:rsidRPr="00A07D9A">
        <w:rPr>
          <w:b/>
          <w:color w:val="000000" w:themeColor="text1"/>
        </w:rPr>
        <w:t>Descripción de la concentración, tipo de operación y proyecto del acto jurídico de que se trate, así como proyecto de las cláusulas por virtud de las cuales se obligan a no competir en caso de existir y las razones por las que se estipulan.</w:t>
      </w:r>
    </w:p>
    <w:p w14:paraId="6175A689" w14:textId="77777777" w:rsidR="00A11C90" w:rsidRPr="00A07D9A" w:rsidRDefault="00A11C90" w:rsidP="00A11C90">
      <w:pPr>
        <w:rPr>
          <w:b/>
          <w:color w:val="000000" w:themeColor="text1"/>
        </w:rPr>
      </w:pPr>
      <w:r w:rsidRPr="00A07D9A">
        <w:rPr>
          <w:b/>
          <w:color w:val="000000" w:themeColor="text1"/>
        </w:rPr>
        <w:t xml:space="preserve">Descripción de la operación, tipo de operación y proyecto del acto jurídico </w:t>
      </w:r>
    </w:p>
    <w:p w14:paraId="7982B3F4" w14:textId="77777777" w:rsidR="00A11C90" w:rsidRPr="00A07D9A" w:rsidRDefault="00A11C90" w:rsidP="00A11C90">
      <w:pPr>
        <w:rPr>
          <w:color w:val="000000" w:themeColor="text1"/>
        </w:rPr>
      </w:pPr>
      <w:r w:rsidRPr="00A07D9A">
        <w:rPr>
          <w:color w:val="000000" w:themeColor="text1"/>
        </w:rPr>
        <w:lastRenderedPageBreak/>
        <w:t xml:space="preserve">La LFCE ordena a los </w:t>
      </w:r>
      <w:r w:rsidR="008A07CB" w:rsidRPr="00A07D9A">
        <w:rPr>
          <w:color w:val="000000" w:themeColor="text1"/>
        </w:rPr>
        <w:t>agentes económicos</w:t>
      </w:r>
      <w:r w:rsidRPr="00A07D9A">
        <w:rPr>
          <w:color w:val="000000" w:themeColor="text1"/>
        </w:rPr>
        <w:t xml:space="preserve"> notificantes describir la concentración. Esto es:</w:t>
      </w:r>
    </w:p>
    <w:p w14:paraId="263E7DD8" w14:textId="77777777" w:rsidR="00A11C90" w:rsidRPr="00A07D9A" w:rsidRDefault="00A11C90" w:rsidP="00FE6791">
      <w:pPr>
        <w:pStyle w:val="Prrafodelista"/>
        <w:numPr>
          <w:ilvl w:val="0"/>
          <w:numId w:val="30"/>
        </w:numPr>
        <w:spacing w:after="160" w:line="259" w:lineRule="auto"/>
        <w:ind w:left="567" w:hanging="357"/>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que participan en ella.</w:t>
      </w:r>
    </w:p>
    <w:p w14:paraId="466E9804" w14:textId="77777777" w:rsidR="00A11C90" w:rsidRPr="00A07D9A" w:rsidRDefault="00A11C90" w:rsidP="00FE6791">
      <w:pPr>
        <w:pStyle w:val="Prrafodelista"/>
        <w:numPr>
          <w:ilvl w:val="0"/>
          <w:numId w:val="30"/>
        </w:numPr>
        <w:spacing w:after="160" w:line="259" w:lineRule="auto"/>
        <w:ind w:left="567" w:hanging="357"/>
        <w:rPr>
          <w:color w:val="000000" w:themeColor="text1"/>
        </w:rPr>
      </w:pPr>
      <w:r w:rsidRPr="00A07D9A">
        <w:rPr>
          <w:color w:val="000000" w:themeColor="text1"/>
        </w:rPr>
        <w:t>El tipo de operación que involucra, lo cual se considerará atendiendo al contenido y alcance de cada operación (compraventa, intercambio de acciones, fusión, coinversiones enajenaciones de acciones, cesión de derechos, entre otras).</w:t>
      </w:r>
    </w:p>
    <w:p w14:paraId="1BCAB569" w14:textId="77777777" w:rsidR="00A11C90" w:rsidRPr="00A07D9A" w:rsidRDefault="00A11C90" w:rsidP="00FE6791">
      <w:pPr>
        <w:pStyle w:val="Prrafodelista"/>
        <w:numPr>
          <w:ilvl w:val="0"/>
          <w:numId w:val="30"/>
        </w:numPr>
        <w:spacing w:after="160" w:line="259" w:lineRule="auto"/>
        <w:ind w:left="567" w:hanging="357"/>
        <w:rPr>
          <w:color w:val="000000" w:themeColor="text1"/>
        </w:rPr>
      </w:pPr>
      <w:r w:rsidRPr="00A07D9A">
        <w:rPr>
          <w:color w:val="000000" w:themeColor="text1"/>
        </w:rPr>
        <w:t>La descripción de forma suficiente y precisa en qué consiste la concentración, cómo se integra y cómo pretende llevarse a cabo hasta su consumación, así como los términos y condiciones que definirán la realización de la concentración.</w:t>
      </w:r>
    </w:p>
    <w:p w14:paraId="4A9E3C75" w14:textId="77777777" w:rsidR="00A11C90" w:rsidRPr="00A07D9A" w:rsidRDefault="00A11C90" w:rsidP="00FE6791">
      <w:pPr>
        <w:pStyle w:val="Prrafodelista"/>
        <w:numPr>
          <w:ilvl w:val="0"/>
          <w:numId w:val="30"/>
        </w:numPr>
        <w:spacing w:after="160" w:line="259" w:lineRule="auto"/>
        <w:ind w:left="567" w:hanging="357"/>
        <w:rPr>
          <w:color w:val="000000" w:themeColor="text1"/>
        </w:rPr>
      </w:pPr>
      <w:r w:rsidRPr="00A07D9A">
        <w:rPr>
          <w:color w:val="000000" w:themeColor="text1"/>
        </w:rPr>
        <w:t>El monto monetario de la operación.</w:t>
      </w:r>
    </w:p>
    <w:p w14:paraId="33824100" w14:textId="77777777" w:rsidR="00A11C90" w:rsidRPr="00A07D9A" w:rsidRDefault="00A11C90" w:rsidP="00FE6791">
      <w:pPr>
        <w:pStyle w:val="Prrafodelista"/>
        <w:numPr>
          <w:ilvl w:val="0"/>
          <w:numId w:val="30"/>
        </w:numPr>
        <w:spacing w:after="160" w:line="259" w:lineRule="auto"/>
        <w:ind w:left="567" w:hanging="357"/>
        <w:rPr>
          <w:color w:val="000000" w:themeColor="text1"/>
        </w:rPr>
      </w:pPr>
      <w:r w:rsidRPr="00A07D9A">
        <w:rPr>
          <w:color w:val="000000" w:themeColor="text1"/>
        </w:rPr>
        <w:t>El acto o el conjunto de actos que se llevar</w:t>
      </w:r>
      <w:r w:rsidR="00132B74" w:rsidRPr="00A07D9A">
        <w:rPr>
          <w:color w:val="000000" w:themeColor="text1"/>
        </w:rPr>
        <w:t>á</w:t>
      </w:r>
      <w:r w:rsidRPr="00A07D9A">
        <w:rPr>
          <w:color w:val="000000" w:themeColor="text1"/>
        </w:rPr>
        <w:t>n a cabo para realizarla, así como las condiciones suspensivas</w:t>
      </w:r>
      <w:r w:rsidR="00132B74" w:rsidRPr="00A07D9A">
        <w:rPr>
          <w:color w:val="000000" w:themeColor="text1"/>
        </w:rPr>
        <w:t xml:space="preserve"> sujetas</w:t>
      </w:r>
      <w:r w:rsidRPr="00A07D9A">
        <w:rPr>
          <w:color w:val="000000" w:themeColor="text1"/>
        </w:rPr>
        <w:t xml:space="preserve"> a obtener la autorización por parte del IFT, en caso de existir.</w:t>
      </w:r>
    </w:p>
    <w:p w14:paraId="27047771" w14:textId="77777777" w:rsidR="00A11C90" w:rsidRPr="00A07D9A" w:rsidRDefault="00A11C90" w:rsidP="00FE6791">
      <w:pPr>
        <w:pStyle w:val="Prrafodelista"/>
        <w:numPr>
          <w:ilvl w:val="0"/>
          <w:numId w:val="30"/>
        </w:numPr>
        <w:spacing w:after="160" w:line="259" w:lineRule="auto"/>
        <w:ind w:left="567" w:hanging="357"/>
        <w:rPr>
          <w:color w:val="000000" w:themeColor="text1"/>
        </w:rPr>
      </w:pPr>
      <w:r w:rsidRPr="00A07D9A">
        <w:rPr>
          <w:color w:val="000000" w:themeColor="text1"/>
        </w:rPr>
        <w:t>La fecha de realización de la concentración y/o que ésta se llevará a cabo una vez que el IFT la haya autorizado.</w:t>
      </w:r>
    </w:p>
    <w:p w14:paraId="7166E6BD" w14:textId="77777777" w:rsidR="00A11C90" w:rsidRPr="00A07D9A" w:rsidRDefault="00A11C90" w:rsidP="00FE6791">
      <w:pPr>
        <w:pStyle w:val="Prrafodelista"/>
        <w:numPr>
          <w:ilvl w:val="0"/>
          <w:numId w:val="30"/>
        </w:numPr>
        <w:spacing w:after="160" w:line="259" w:lineRule="auto"/>
        <w:ind w:left="567" w:hanging="357"/>
        <w:rPr>
          <w:color w:val="000000" w:themeColor="text1"/>
        </w:rPr>
      </w:pPr>
      <w:r w:rsidRPr="00A07D9A">
        <w:rPr>
          <w:color w:val="000000" w:themeColor="text1"/>
        </w:rPr>
        <w:t xml:space="preserve">En caso de existir, el proyecto de las cláusulas por virtud de las cuales los </w:t>
      </w:r>
      <w:r w:rsidR="008A07CB" w:rsidRPr="00A07D9A">
        <w:rPr>
          <w:color w:val="000000" w:themeColor="text1"/>
        </w:rPr>
        <w:t>agentes económicos</w:t>
      </w:r>
      <w:r w:rsidRPr="00A07D9A">
        <w:rPr>
          <w:color w:val="000000" w:themeColor="text1"/>
        </w:rPr>
        <w:t xml:space="preserve"> participantes se obligan a no competir.</w:t>
      </w:r>
    </w:p>
    <w:p w14:paraId="13AEE5D0" w14:textId="77777777" w:rsidR="00A11C90" w:rsidRPr="00A07D9A" w:rsidRDefault="00A11C90" w:rsidP="00A11C90">
      <w:pPr>
        <w:rPr>
          <w:color w:val="000000" w:themeColor="text1"/>
        </w:rPr>
      </w:pPr>
      <w:r w:rsidRPr="00A07D9A">
        <w:rPr>
          <w:color w:val="000000" w:themeColor="text1"/>
        </w:rPr>
        <w:t xml:space="preserve">Es indispensable que los </w:t>
      </w:r>
      <w:r w:rsidR="008A07CB" w:rsidRPr="00A07D9A">
        <w:rPr>
          <w:color w:val="000000" w:themeColor="text1"/>
        </w:rPr>
        <w:t>agentes económicos</w:t>
      </w:r>
      <w:r w:rsidRPr="00A07D9A">
        <w:rPr>
          <w:color w:val="000000" w:themeColor="text1"/>
        </w:rPr>
        <w:t xml:space="preserve"> notificantes proporcionen al IFT toda la información y/o documentación sobre la concentración notificada, incluyendo los contratos que tengan firmados y/o, en su caso, el proyecto del acto o actos jurídicos a través de los cuales se pretenda consumar la concentración. Lo anterior, con la finalidad de que ésta pueda evaluarse en su justa dimensión y que, a su vez, pueda autorizarse cada uno de los actos jurídicos que la integran. </w:t>
      </w:r>
    </w:p>
    <w:p w14:paraId="37B3077F" w14:textId="77777777" w:rsidR="00A11C90" w:rsidRPr="00A07D9A" w:rsidRDefault="00A11C90" w:rsidP="00A11C90">
      <w:pPr>
        <w:rPr>
          <w:color w:val="000000" w:themeColor="text1"/>
        </w:rPr>
      </w:pPr>
      <w:r w:rsidRPr="00A07D9A">
        <w:rPr>
          <w:color w:val="000000" w:themeColor="text1"/>
        </w:rPr>
        <w:t xml:space="preserve">Lo anterior, es trascendental, pues en caso de que una concentración no se realice en los términos en que fue notificada, o en caso de que se ejecute a través de ciertos actos jurídicos que no hayan sido del conocimiento del IFT en el procedimiento correspondiente, se considerará como una operación distinta </w:t>
      </w:r>
      <w:r w:rsidR="004E7B90" w:rsidRPr="00A07D9A">
        <w:rPr>
          <w:color w:val="000000" w:themeColor="text1"/>
        </w:rPr>
        <w:t xml:space="preserve">a la analizada y </w:t>
      </w:r>
      <w:r w:rsidRPr="00A07D9A">
        <w:rPr>
          <w:color w:val="000000" w:themeColor="text1"/>
        </w:rPr>
        <w:t>que debió haber sido notificada conforme a las formalidades de la LFCE.</w:t>
      </w:r>
    </w:p>
    <w:p w14:paraId="6A33700C" w14:textId="77777777" w:rsidR="00A11C90" w:rsidRPr="00A07D9A" w:rsidRDefault="00A11C90" w:rsidP="00A11C90">
      <w:pPr>
        <w:rPr>
          <w:color w:val="000000" w:themeColor="text1"/>
        </w:rPr>
      </w:pPr>
      <w:r w:rsidRPr="00A07D9A">
        <w:rPr>
          <w:color w:val="000000" w:themeColor="text1"/>
        </w:rPr>
        <w:t xml:space="preserve">En este sentido, toda resolución del IFT contiene la salvedad de que únicamente tendrá validez cuando la operación se realice en los términos en que fue notificada. Esta situación implica reconocer que, si al momento de ejecución de la transacción los </w:t>
      </w:r>
      <w:r w:rsidR="008A07CB" w:rsidRPr="00A07D9A">
        <w:rPr>
          <w:color w:val="000000" w:themeColor="text1"/>
        </w:rPr>
        <w:t>agentes económicos</w:t>
      </w:r>
      <w:r w:rsidRPr="00A07D9A">
        <w:rPr>
          <w:color w:val="000000" w:themeColor="text1"/>
        </w:rPr>
        <w:t xml:space="preserve"> pretenden variar </w:t>
      </w:r>
      <w:r w:rsidR="00E632AB" w:rsidRPr="00A07D9A">
        <w:rPr>
          <w:color w:val="000000" w:themeColor="text1"/>
        </w:rPr>
        <w:t>alguno de</w:t>
      </w:r>
      <w:r w:rsidRPr="00A07D9A">
        <w:rPr>
          <w:color w:val="000000" w:themeColor="text1"/>
        </w:rPr>
        <w:t xml:space="preserve"> los </w:t>
      </w:r>
      <w:r w:rsidR="004E7B90" w:rsidRPr="00A07D9A">
        <w:rPr>
          <w:color w:val="000000" w:themeColor="text1"/>
        </w:rPr>
        <w:t xml:space="preserve">siguientes </w:t>
      </w:r>
      <w:r w:rsidRPr="00A07D9A">
        <w:rPr>
          <w:color w:val="000000" w:themeColor="text1"/>
        </w:rPr>
        <w:t xml:space="preserve">términos, condiciones o características esenciales de la misma: i) los </w:t>
      </w:r>
      <w:r w:rsidR="008A07CB" w:rsidRPr="00A07D9A">
        <w:rPr>
          <w:color w:val="000000" w:themeColor="text1"/>
        </w:rPr>
        <w:t>agentes económicos</w:t>
      </w:r>
      <w:r w:rsidRPr="00A07D9A">
        <w:rPr>
          <w:color w:val="000000" w:themeColor="text1"/>
        </w:rPr>
        <w:t xml:space="preserve"> involucrados; ii) el objeto de acumulación (acciones, activos, partes </w:t>
      </w:r>
      <w:r w:rsidRPr="00A07D9A">
        <w:rPr>
          <w:color w:val="000000" w:themeColor="text1"/>
        </w:rPr>
        <w:lastRenderedPageBreak/>
        <w:t>sociales, etc.), y iii) el(los) acto(s) jurídico(s) que consumará(n) la operación, entre otros que se llegare a definir en el caso</w:t>
      </w:r>
      <w:r w:rsidR="004E7B90" w:rsidRPr="00A07D9A">
        <w:rPr>
          <w:color w:val="000000" w:themeColor="text1"/>
        </w:rPr>
        <w:t xml:space="preserve"> específico</w:t>
      </w:r>
      <w:r w:rsidR="00132B74" w:rsidRPr="00A07D9A">
        <w:rPr>
          <w:color w:val="000000" w:themeColor="text1"/>
        </w:rPr>
        <w:t>,</w:t>
      </w:r>
      <w:r w:rsidRPr="00A07D9A">
        <w:rPr>
          <w:color w:val="000000" w:themeColor="text1"/>
        </w:rPr>
        <w:t xml:space="preserve"> se deberá entender que la resolución del IFT no le será aplicable.</w:t>
      </w:r>
    </w:p>
    <w:p w14:paraId="525E5F30" w14:textId="77777777" w:rsidR="00A11C90" w:rsidRPr="00A07D9A" w:rsidRDefault="00A11C90" w:rsidP="00A11C90">
      <w:pPr>
        <w:rPr>
          <w:color w:val="000000" w:themeColor="text1"/>
        </w:rPr>
      </w:pPr>
      <w:r w:rsidRPr="00A07D9A">
        <w:rPr>
          <w:color w:val="000000" w:themeColor="text1"/>
        </w:rPr>
        <w:t xml:space="preserve">Por otro lado, si bien el procedimiento de notificación se sigue a petición de partes y los </w:t>
      </w:r>
      <w:r w:rsidR="008A07CB" w:rsidRPr="00A07D9A">
        <w:rPr>
          <w:color w:val="000000" w:themeColor="text1"/>
        </w:rPr>
        <w:t>agentes económicos</w:t>
      </w:r>
      <w:r w:rsidRPr="00A07D9A">
        <w:rPr>
          <w:color w:val="000000" w:themeColor="text1"/>
        </w:rPr>
        <w:t xml:space="preserve"> involucrados pueden desistirse en cualquier momento,</w:t>
      </w:r>
      <w:r w:rsidRPr="00A07D9A">
        <w:rPr>
          <w:rStyle w:val="Refdenotaalpie"/>
          <w:color w:val="000000" w:themeColor="text1"/>
        </w:rPr>
        <w:footnoteReference w:id="74"/>
      </w:r>
      <w:r w:rsidRPr="00A07D9A">
        <w:rPr>
          <w:color w:val="000000" w:themeColor="text1"/>
        </w:rPr>
        <w:t xml:space="preserve"> una vez que estos han decidido acudir ante el IFT deberán asumir que la LFCE impone la obligación de no ocultar ni alterar información. En este sentido, los </w:t>
      </w:r>
      <w:r w:rsidR="008A07CB" w:rsidRPr="00A07D9A">
        <w:rPr>
          <w:color w:val="000000" w:themeColor="text1"/>
        </w:rPr>
        <w:t>agentes económicos</w:t>
      </w:r>
      <w:r w:rsidRPr="00A07D9A">
        <w:rPr>
          <w:color w:val="000000" w:themeColor="text1"/>
        </w:rPr>
        <w:t xml:space="preserve"> se obligan a actuar bajo protesta de decir verdad y bajo el entendido de que </w:t>
      </w:r>
      <w:r w:rsidR="00132B74" w:rsidRPr="00A07D9A">
        <w:rPr>
          <w:color w:val="000000" w:themeColor="text1"/>
        </w:rPr>
        <w:t>los hechos propios de los notificantes aseverados</w:t>
      </w:r>
      <w:r w:rsidR="00132B74" w:rsidRPr="00A07D9A" w:rsidDel="00132B74">
        <w:rPr>
          <w:color w:val="000000" w:themeColor="text1"/>
        </w:rPr>
        <w:t xml:space="preserve"> </w:t>
      </w:r>
      <w:r w:rsidRPr="00A07D9A">
        <w:rPr>
          <w:color w:val="000000" w:themeColor="text1"/>
        </w:rPr>
        <w:t>en el procedimiento tendrá</w:t>
      </w:r>
      <w:r w:rsidR="00132B74" w:rsidRPr="00A07D9A">
        <w:rPr>
          <w:color w:val="000000" w:themeColor="text1"/>
        </w:rPr>
        <w:t>n</w:t>
      </w:r>
      <w:r w:rsidRPr="00A07D9A">
        <w:rPr>
          <w:color w:val="000000" w:themeColor="text1"/>
        </w:rPr>
        <w:t xml:space="preserve"> valor probatorio pleno en su contra,</w:t>
      </w:r>
      <w:r w:rsidRPr="00A07D9A">
        <w:rPr>
          <w:rStyle w:val="Refdenotaalpie"/>
          <w:color w:val="000000" w:themeColor="text1"/>
        </w:rPr>
        <w:footnoteReference w:id="75"/>
      </w:r>
      <w:r w:rsidRPr="00A07D9A">
        <w:rPr>
          <w:color w:val="000000" w:themeColor="text1"/>
        </w:rPr>
        <w:t xml:space="preserve"> por lo cual se considerará que sus manifestaciones forman parte integrante del proyecto del acto jurídico. </w:t>
      </w:r>
    </w:p>
    <w:p w14:paraId="0976A4AF" w14:textId="77777777" w:rsidR="00C37A19" w:rsidRPr="00A07D9A" w:rsidRDefault="00A11C90" w:rsidP="00A11C90">
      <w:pPr>
        <w:rPr>
          <w:color w:val="000000" w:themeColor="text1"/>
        </w:rPr>
      </w:pPr>
      <w:r w:rsidRPr="00A07D9A">
        <w:rPr>
          <w:color w:val="000000" w:themeColor="text1"/>
        </w:rPr>
        <w:t xml:space="preserve">Lo anterior, sin soslayar que, en términos del artículo 127, fracción III de la LFCE, el IFT sancionará a los </w:t>
      </w:r>
      <w:r w:rsidR="008A07CB" w:rsidRPr="00A07D9A">
        <w:rPr>
          <w:color w:val="000000" w:themeColor="text1"/>
        </w:rPr>
        <w:t>agentes económicos</w:t>
      </w:r>
      <w:r w:rsidRPr="00A07D9A">
        <w:rPr>
          <w:color w:val="000000" w:themeColor="text1"/>
        </w:rPr>
        <w:t xml:space="preserve"> por haber declarado falsamente o entregado información falsa, con independencia de la responsabilidad penal en que pudieran incurrir. </w:t>
      </w:r>
    </w:p>
    <w:p w14:paraId="279884CC" w14:textId="77777777" w:rsidR="00A11C90" w:rsidRPr="00A07D9A" w:rsidRDefault="00A11C90" w:rsidP="00A11C90">
      <w:pPr>
        <w:rPr>
          <w:color w:val="000000" w:themeColor="text1"/>
        </w:rPr>
      </w:pPr>
      <w:r w:rsidRPr="00A07D9A">
        <w:rPr>
          <w:color w:val="000000" w:themeColor="text1"/>
        </w:rPr>
        <w:t xml:space="preserve">Además, en términos del artículo 65 de la LFCE, la presentación de información falsa por parte de los </w:t>
      </w:r>
      <w:r w:rsidR="008A07CB" w:rsidRPr="00A07D9A">
        <w:rPr>
          <w:color w:val="000000" w:themeColor="text1"/>
        </w:rPr>
        <w:t>agentes económicos</w:t>
      </w:r>
      <w:r w:rsidRPr="00A07D9A">
        <w:rPr>
          <w:color w:val="000000" w:themeColor="text1"/>
        </w:rPr>
        <w:t xml:space="preserve"> notificantes, faculta al IFT a investigar concentraciones que cuenten con resolución favorable.</w:t>
      </w:r>
      <w:r w:rsidR="00C37A19" w:rsidRPr="00A07D9A">
        <w:rPr>
          <w:color w:val="000000" w:themeColor="text1"/>
        </w:rPr>
        <w:t xml:space="preserve"> </w:t>
      </w:r>
      <w:r w:rsidRPr="00A07D9A">
        <w:rPr>
          <w:color w:val="000000" w:themeColor="text1"/>
        </w:rPr>
        <w:t>Esto no sucederá en aquellos casos en que la concentración notificada se altere o varíe como consecuencia de la imposición de condiciones.</w:t>
      </w:r>
      <w:r w:rsidRPr="00A07D9A">
        <w:rPr>
          <w:rStyle w:val="Refdenotaalpie"/>
          <w:color w:val="000000" w:themeColor="text1"/>
        </w:rPr>
        <w:footnoteReference w:id="76"/>
      </w:r>
    </w:p>
    <w:p w14:paraId="212B5AEE" w14:textId="77777777" w:rsidR="00A11C90" w:rsidRPr="00A07D9A" w:rsidRDefault="00A11C90" w:rsidP="00A11C90">
      <w:pPr>
        <w:rPr>
          <w:b/>
          <w:color w:val="000000" w:themeColor="text1"/>
        </w:rPr>
      </w:pPr>
      <w:r w:rsidRPr="00A07D9A">
        <w:rPr>
          <w:b/>
          <w:color w:val="000000" w:themeColor="text1"/>
        </w:rPr>
        <w:t>Cláusulas de no competir</w:t>
      </w:r>
    </w:p>
    <w:p w14:paraId="174C279E" w14:textId="77777777" w:rsidR="00A11C90" w:rsidRPr="00A07D9A" w:rsidRDefault="00A11C90" w:rsidP="00A11C90">
      <w:pPr>
        <w:rPr>
          <w:color w:val="000000" w:themeColor="text1"/>
        </w:rPr>
      </w:pPr>
      <w:r w:rsidRPr="00A07D9A">
        <w:rPr>
          <w:color w:val="000000" w:themeColor="text1"/>
        </w:rPr>
        <w:t xml:space="preserve">En algunas concentraciones, los </w:t>
      </w:r>
      <w:r w:rsidR="008A07CB" w:rsidRPr="00A07D9A">
        <w:rPr>
          <w:color w:val="000000" w:themeColor="text1"/>
        </w:rPr>
        <w:t>agentes económicos</w:t>
      </w:r>
      <w:r w:rsidRPr="00A07D9A">
        <w:rPr>
          <w:color w:val="000000" w:themeColor="text1"/>
        </w:rPr>
        <w:t xml:space="preserve"> involucrados establecen cláusulas por las cuales se obligan a no competir. Las cláusulas de no competir no son sancionables ni prohibidas per se, sino que se sujetan a una evaluación caso por caso para identificar si éstas o parte de éstas constituyen una restricción a la libre concurrencia y competencia económica o son justificables en tanto tienen el propósito de proteger la realización eficiente de las concentraciones. </w:t>
      </w:r>
    </w:p>
    <w:p w14:paraId="5F9892FE" w14:textId="77777777" w:rsidR="00A11C90" w:rsidRPr="00A07D9A" w:rsidRDefault="00A11C90" w:rsidP="00A11C90">
      <w:pPr>
        <w:rPr>
          <w:color w:val="000000" w:themeColor="text1"/>
        </w:rPr>
      </w:pPr>
      <w:r w:rsidRPr="00A07D9A">
        <w:rPr>
          <w:color w:val="000000" w:themeColor="text1"/>
        </w:rPr>
        <w:t xml:space="preserve">En toda concentración, los vendedores transfieren a los adquirentes o compradores la propiedad y el uso de los activos tangibles y algunos activos intangibles, como las marcas, al momento de que se perfecciona la operación. Sin embargo, algunos activos intangibles que forman parte de la concentración no pueden ser transferidos por completo de manera inmediata, sino hasta que </w:t>
      </w:r>
      <w:r w:rsidRPr="00A07D9A">
        <w:rPr>
          <w:color w:val="000000" w:themeColor="text1"/>
        </w:rPr>
        <w:lastRenderedPageBreak/>
        <w:t>transcurre cierto período de tiempo, por lo que pueden seguir siendo utilizados por los vendedores. Este tipo de activos intangibles pueden ser el conocimiento del mercado, relaciones con los clientes u otros elementos similares que solo pueden separarse del vendedor por la pérdida paulatina de ese conocimiento y de la existencia de vínculos comerciales previos.</w:t>
      </w:r>
    </w:p>
    <w:p w14:paraId="7B4BF5C2" w14:textId="77777777" w:rsidR="00A11C90" w:rsidRPr="00A07D9A" w:rsidRDefault="00A11C90" w:rsidP="00A11C90">
      <w:pPr>
        <w:rPr>
          <w:color w:val="000000" w:themeColor="text1"/>
        </w:rPr>
      </w:pPr>
      <w:r w:rsidRPr="00A07D9A">
        <w:rPr>
          <w:color w:val="000000" w:themeColor="text1"/>
        </w:rPr>
        <w:t xml:space="preserve">En este sentido, las cláusulas de no competir son justificables cuando se establecen por los </w:t>
      </w:r>
      <w:r w:rsidR="008A07CB" w:rsidRPr="00A07D9A">
        <w:rPr>
          <w:color w:val="000000" w:themeColor="text1"/>
        </w:rPr>
        <w:t>agentes económicos</w:t>
      </w:r>
      <w:r w:rsidRPr="00A07D9A">
        <w:rPr>
          <w:color w:val="000000" w:themeColor="text1"/>
        </w:rPr>
        <w:t xml:space="preserve"> involucrados para conservar el valor del negocio transferido y, por lo tanto, proteger la realización eficiente de una concentración. Su finalidad es evitar que quien vende o transfiere un negocio pueda utilizar, de forma oportunista, activos intangibles para competir en contra del negocio objeto de la concentración.</w:t>
      </w:r>
    </w:p>
    <w:p w14:paraId="2C200B5D" w14:textId="77777777" w:rsidR="00A11C90" w:rsidRPr="00A07D9A" w:rsidRDefault="00A11C90" w:rsidP="00A11C90">
      <w:pPr>
        <w:ind w:right="-1"/>
        <w:rPr>
          <w:color w:val="000000" w:themeColor="text1"/>
        </w:rPr>
      </w:pPr>
      <w:r w:rsidRPr="00A07D9A">
        <w:rPr>
          <w:color w:val="000000" w:themeColor="text1"/>
        </w:rPr>
        <w:t xml:space="preserve">Al respecto, el Instituto ha considerado que una cláusula de no competir tiene como objetivo proteger la realización eficiente de una concentración y no atenta contra la libre concurrencia y competencia económica, cuando: </w:t>
      </w:r>
    </w:p>
    <w:p w14:paraId="6460BA3C" w14:textId="77777777" w:rsidR="00A11C90" w:rsidRPr="00A07D9A" w:rsidRDefault="00A11C90" w:rsidP="00FE6791">
      <w:pPr>
        <w:pStyle w:val="Prrafodelista"/>
        <w:numPr>
          <w:ilvl w:val="0"/>
          <w:numId w:val="26"/>
        </w:numPr>
        <w:spacing w:after="160" w:line="259" w:lineRule="auto"/>
        <w:ind w:left="851"/>
        <w:rPr>
          <w:color w:val="000000" w:themeColor="text1"/>
        </w:rPr>
      </w:pPr>
      <w:r w:rsidRPr="00A07D9A">
        <w:rPr>
          <w:color w:val="000000" w:themeColor="text1"/>
        </w:rPr>
        <w:t>Los sujetos a los que se les aplica son aquéllos que pueden utilizar activos intangibles del negocio objeto de la concentración por lo que, en general están vinculados con la parte vendedora. En el caso de coinversiones o adquisiciones parciales en las que el adquirente y el vendedor permanezcan como socios, el Instituto puede aceptar cláusulas de no competir que apliquen a personas vinculadas con ambos.</w:t>
      </w:r>
    </w:p>
    <w:p w14:paraId="6DD58CA0" w14:textId="77777777" w:rsidR="00A11C90" w:rsidRPr="00A07D9A" w:rsidRDefault="00A11C90" w:rsidP="00FE6791">
      <w:pPr>
        <w:pStyle w:val="Prrafodelista"/>
        <w:numPr>
          <w:ilvl w:val="0"/>
          <w:numId w:val="26"/>
        </w:numPr>
        <w:spacing w:after="160" w:line="259" w:lineRule="auto"/>
        <w:ind w:left="851"/>
        <w:rPr>
          <w:color w:val="000000" w:themeColor="text1"/>
        </w:rPr>
      </w:pPr>
      <w:r w:rsidRPr="00A07D9A">
        <w:rPr>
          <w:color w:val="000000" w:themeColor="text1"/>
        </w:rPr>
        <w:t xml:space="preserve">Se establecen </w:t>
      </w:r>
      <w:r w:rsidR="004E7B90" w:rsidRPr="00A07D9A">
        <w:rPr>
          <w:color w:val="000000" w:themeColor="text1"/>
        </w:rPr>
        <w:t xml:space="preserve">únicamente </w:t>
      </w:r>
      <w:r w:rsidRPr="00A07D9A">
        <w:rPr>
          <w:color w:val="000000" w:themeColor="text1"/>
        </w:rPr>
        <w:t xml:space="preserve">respecto de los productos o servicios que son parte de las actividades o negocios del </w:t>
      </w:r>
      <w:r w:rsidR="00A83FB8" w:rsidRPr="00A07D9A">
        <w:rPr>
          <w:color w:val="000000" w:themeColor="text1"/>
        </w:rPr>
        <w:t>agente económico</w:t>
      </w:r>
      <w:r w:rsidRPr="00A07D9A">
        <w:rPr>
          <w:color w:val="000000" w:themeColor="text1"/>
        </w:rPr>
        <w:t xml:space="preserve"> adquirido con motivo de la concentración.</w:t>
      </w:r>
    </w:p>
    <w:p w14:paraId="3480C77E" w14:textId="77777777" w:rsidR="00A11C90" w:rsidRPr="00A07D9A" w:rsidRDefault="00A11C90" w:rsidP="00FE6791">
      <w:pPr>
        <w:pStyle w:val="Prrafodelista"/>
        <w:numPr>
          <w:ilvl w:val="0"/>
          <w:numId w:val="26"/>
        </w:numPr>
        <w:spacing w:after="160" w:line="259" w:lineRule="auto"/>
        <w:ind w:left="851"/>
        <w:rPr>
          <w:color w:val="000000" w:themeColor="text1"/>
        </w:rPr>
      </w:pPr>
      <w:r w:rsidRPr="00A07D9A">
        <w:rPr>
          <w:color w:val="000000" w:themeColor="text1"/>
        </w:rPr>
        <w:t xml:space="preserve">La cobertura geográfica debe abarcar </w:t>
      </w:r>
      <w:r w:rsidR="00BB3A74" w:rsidRPr="00A07D9A">
        <w:rPr>
          <w:color w:val="000000" w:themeColor="text1"/>
        </w:rPr>
        <w:t>total o parcialmente</w:t>
      </w:r>
      <w:r w:rsidRPr="00A07D9A">
        <w:rPr>
          <w:color w:val="000000" w:themeColor="text1"/>
        </w:rPr>
        <w:t xml:space="preserve"> el territorio cubierto por los productos o servicios que son parte del negocio transferido.</w:t>
      </w:r>
    </w:p>
    <w:p w14:paraId="4B71FFDE" w14:textId="77777777" w:rsidR="00A11C90" w:rsidRPr="00A07D9A" w:rsidRDefault="00A11C90" w:rsidP="00FE6791">
      <w:pPr>
        <w:pStyle w:val="Prrafodelista"/>
        <w:numPr>
          <w:ilvl w:val="0"/>
          <w:numId w:val="26"/>
        </w:numPr>
        <w:spacing w:after="160" w:line="259" w:lineRule="auto"/>
        <w:ind w:left="851"/>
        <w:rPr>
          <w:color w:val="000000" w:themeColor="text1"/>
        </w:rPr>
      </w:pPr>
      <w:r w:rsidRPr="00A07D9A">
        <w:rPr>
          <w:color w:val="000000" w:themeColor="text1"/>
        </w:rPr>
        <w:t xml:space="preserve">En cuanto a su dimensión temporal, ésta debe estar limitada al periodo que sea razonablemente necesario para permitir la transferencia completa del negocio objeto de la operación, en particular de los activos intangibles de ese negocio que pueden ser utilizados para competir con el mismo. Conforme a referencias internacionales y a la práctica reiterada del Instituto, se estima que, en general, la transferencia por completo de ese tipo de activos se da en un periodo máximo de tres años. </w:t>
      </w:r>
    </w:p>
    <w:p w14:paraId="6F71D258" w14:textId="77777777" w:rsidR="00A11C90" w:rsidRPr="00A07D9A" w:rsidRDefault="00A11C90" w:rsidP="00C164BD">
      <w:pPr>
        <w:rPr>
          <w:color w:val="000000" w:themeColor="text1"/>
        </w:rPr>
      </w:pPr>
      <w:r w:rsidRPr="00A07D9A">
        <w:rPr>
          <w:color w:val="000000" w:themeColor="text1"/>
        </w:rPr>
        <w:t xml:space="preserve">El Instituto puede </w:t>
      </w:r>
      <w:r w:rsidR="008C7E13" w:rsidRPr="00A07D9A">
        <w:rPr>
          <w:color w:val="000000" w:themeColor="text1"/>
        </w:rPr>
        <w:t xml:space="preserve">valorar positivamente </w:t>
      </w:r>
      <w:r w:rsidRPr="00A07D9A">
        <w:rPr>
          <w:color w:val="000000" w:themeColor="text1"/>
        </w:rPr>
        <w:t xml:space="preserve">cláusulas de no competir con mayor duración, siempre y cuando los </w:t>
      </w:r>
      <w:r w:rsidR="008A07CB" w:rsidRPr="00A07D9A">
        <w:rPr>
          <w:color w:val="000000" w:themeColor="text1"/>
        </w:rPr>
        <w:t>agentes económicos</w:t>
      </w:r>
      <w:r w:rsidRPr="00A07D9A">
        <w:rPr>
          <w:color w:val="000000" w:themeColor="text1"/>
        </w:rPr>
        <w:t xml:space="preserve"> involucrados proporcionen la información y documentación que lo justifique y acredite. </w:t>
      </w:r>
    </w:p>
    <w:p w14:paraId="7C9F6CFB" w14:textId="77777777" w:rsidR="00A11C90" w:rsidRPr="00A07D9A" w:rsidRDefault="00A11C90" w:rsidP="00C164BD">
      <w:pPr>
        <w:rPr>
          <w:color w:val="000000" w:themeColor="text1"/>
        </w:rPr>
      </w:pPr>
      <w:r w:rsidRPr="00A07D9A">
        <w:rPr>
          <w:color w:val="000000" w:themeColor="text1"/>
        </w:rPr>
        <w:t xml:space="preserve">En casos de coinversiones o adquisiciones parciales en las que el </w:t>
      </w:r>
      <w:r w:rsidR="00A83FB8" w:rsidRPr="00A07D9A">
        <w:rPr>
          <w:color w:val="000000" w:themeColor="text1"/>
        </w:rPr>
        <w:t>agente económico</w:t>
      </w:r>
      <w:r w:rsidRPr="00A07D9A">
        <w:rPr>
          <w:color w:val="000000" w:themeColor="text1"/>
        </w:rPr>
        <w:t xml:space="preserve"> adquirente y el </w:t>
      </w:r>
      <w:r w:rsidR="00A83FB8" w:rsidRPr="00A07D9A">
        <w:rPr>
          <w:color w:val="000000" w:themeColor="text1"/>
        </w:rPr>
        <w:t>agente económico</w:t>
      </w:r>
      <w:r w:rsidRPr="00A07D9A">
        <w:rPr>
          <w:color w:val="000000" w:themeColor="text1"/>
        </w:rPr>
        <w:t xml:space="preserve"> vendedor permanezcan como socios, la duración de la cláusula puede ser hasta tres años después de que finalice </w:t>
      </w:r>
      <w:r w:rsidRPr="00A07D9A">
        <w:rPr>
          <w:color w:val="000000" w:themeColor="text1"/>
        </w:rPr>
        <w:lastRenderedPageBreak/>
        <w:t>la asociación, pues ambos tendrán acceso a todos los activos, incluyendo los intangibles, en todo el tiempo que dure la asociación.</w:t>
      </w:r>
    </w:p>
    <w:p w14:paraId="0B24D27F" w14:textId="77777777" w:rsidR="00A11C90" w:rsidRPr="00A07D9A" w:rsidRDefault="00A11C90" w:rsidP="00FE6791">
      <w:pPr>
        <w:pStyle w:val="Prrafodelista"/>
        <w:numPr>
          <w:ilvl w:val="0"/>
          <w:numId w:val="8"/>
        </w:numPr>
        <w:spacing w:after="160" w:line="259" w:lineRule="auto"/>
        <w:ind w:left="567" w:hanging="425"/>
        <w:rPr>
          <w:b/>
          <w:color w:val="000000" w:themeColor="text1"/>
        </w:rPr>
      </w:pPr>
      <w:r w:rsidRPr="00A07D9A">
        <w:rPr>
          <w:b/>
          <w:color w:val="000000" w:themeColor="text1"/>
        </w:rPr>
        <w:t>Documentación e información que expliquen el objetivo y motivo de la concentración.</w:t>
      </w:r>
    </w:p>
    <w:p w14:paraId="1EAC089D" w14:textId="77777777" w:rsidR="00A11C90" w:rsidRPr="00A07D9A" w:rsidRDefault="00A11C90" w:rsidP="00A11C90">
      <w:pPr>
        <w:rPr>
          <w:color w:val="000000" w:themeColor="text1"/>
        </w:rPr>
      </w:pPr>
      <w:r w:rsidRPr="00A07D9A">
        <w:rPr>
          <w:color w:val="000000" w:themeColor="text1"/>
        </w:rPr>
        <w:t xml:space="preserve">Este requisito necesita de la presentación de documentación e información en la que se identifiquen los antecedentes, justificación y fines que han llevado a los </w:t>
      </w:r>
      <w:r w:rsidR="008A07CB" w:rsidRPr="00A07D9A">
        <w:rPr>
          <w:color w:val="000000" w:themeColor="text1"/>
        </w:rPr>
        <w:t>agentes económicos</w:t>
      </w:r>
      <w:r w:rsidRPr="00A07D9A">
        <w:rPr>
          <w:color w:val="000000" w:themeColor="text1"/>
        </w:rPr>
        <w:t xml:space="preserve"> a la celebración de la concentración. Ello, con las siguientes intenciones inmediatas: </w:t>
      </w:r>
    </w:p>
    <w:p w14:paraId="48D32489" w14:textId="77777777" w:rsidR="00A11C90" w:rsidRPr="00A07D9A" w:rsidRDefault="00A11C90" w:rsidP="00FE6791">
      <w:pPr>
        <w:pStyle w:val="Prrafodelista"/>
        <w:numPr>
          <w:ilvl w:val="0"/>
          <w:numId w:val="20"/>
        </w:numPr>
        <w:spacing w:after="160" w:line="259" w:lineRule="auto"/>
        <w:ind w:left="714" w:hanging="357"/>
        <w:rPr>
          <w:color w:val="000000" w:themeColor="text1"/>
        </w:rPr>
      </w:pPr>
      <w:r w:rsidRPr="00A07D9A">
        <w:rPr>
          <w:color w:val="000000" w:themeColor="text1"/>
        </w:rPr>
        <w:t xml:space="preserve">precisar la motivación que da lugar a la concentración; </w:t>
      </w:r>
    </w:p>
    <w:p w14:paraId="672D69C5" w14:textId="77777777" w:rsidR="00A11C90" w:rsidRPr="00A07D9A" w:rsidRDefault="00A11C90" w:rsidP="00FE6791">
      <w:pPr>
        <w:pStyle w:val="Prrafodelista"/>
        <w:numPr>
          <w:ilvl w:val="0"/>
          <w:numId w:val="20"/>
        </w:numPr>
        <w:spacing w:after="160" w:line="259" w:lineRule="auto"/>
        <w:ind w:left="714" w:hanging="357"/>
        <w:rPr>
          <w:color w:val="000000" w:themeColor="text1"/>
        </w:rPr>
      </w:pPr>
      <w:r w:rsidRPr="00A07D9A">
        <w:rPr>
          <w:color w:val="000000" w:themeColor="text1"/>
        </w:rPr>
        <w:t>identificar de mejor forma el negocio y los efectos benéficos que se pretenden obtener con la concentración, y</w:t>
      </w:r>
    </w:p>
    <w:p w14:paraId="543F87C7" w14:textId="77777777" w:rsidR="00A11C90" w:rsidRPr="00A07D9A" w:rsidRDefault="00A11C90" w:rsidP="00FE6791">
      <w:pPr>
        <w:pStyle w:val="Prrafodelista"/>
        <w:numPr>
          <w:ilvl w:val="0"/>
          <w:numId w:val="20"/>
        </w:numPr>
        <w:spacing w:after="160" w:line="259" w:lineRule="auto"/>
        <w:ind w:left="714" w:hanging="357"/>
        <w:rPr>
          <w:color w:val="000000" w:themeColor="text1"/>
        </w:rPr>
      </w:pPr>
      <w:r w:rsidRPr="00A07D9A">
        <w:rPr>
          <w:color w:val="000000" w:themeColor="text1"/>
        </w:rPr>
        <w:t xml:space="preserve">aportar características relacionadas con el tipo de adquisición y que permitan identificar las razones de la concentración de un competidor, de </w:t>
      </w:r>
      <w:r w:rsidR="006A2745" w:rsidRPr="00A07D9A">
        <w:rPr>
          <w:color w:val="000000" w:themeColor="text1"/>
        </w:rPr>
        <w:t>un agente económico</w:t>
      </w:r>
      <w:r w:rsidRPr="00A07D9A">
        <w:rPr>
          <w:color w:val="000000" w:themeColor="text1"/>
        </w:rPr>
        <w:t xml:space="preserve"> que participa en la misma cadena de valor o de uno que participe en otros mercados o mercados relacionados.</w:t>
      </w:r>
    </w:p>
    <w:p w14:paraId="2448B5A3" w14:textId="77777777" w:rsidR="00A11C90" w:rsidRPr="00A07D9A" w:rsidRDefault="00A11C90" w:rsidP="00A11C90">
      <w:pPr>
        <w:rPr>
          <w:color w:val="000000" w:themeColor="text1"/>
        </w:rPr>
      </w:pPr>
      <w:r w:rsidRPr="00A07D9A">
        <w:rPr>
          <w:color w:val="000000" w:themeColor="text1"/>
        </w:rPr>
        <w:t xml:space="preserve">En caso de que los </w:t>
      </w:r>
      <w:r w:rsidR="008A07CB" w:rsidRPr="00A07D9A">
        <w:rPr>
          <w:color w:val="000000" w:themeColor="text1"/>
        </w:rPr>
        <w:t>agentes económicos</w:t>
      </w:r>
      <w:r w:rsidRPr="00A07D9A">
        <w:rPr>
          <w:color w:val="000000" w:themeColor="text1"/>
        </w:rPr>
        <w:t xml:space="preserve"> no puedan presentar documentación e información al respecto, deberán justificarlo y describir en el escrito de notificación de concentración el objetivo y motivo de la concentración.</w:t>
      </w:r>
    </w:p>
    <w:p w14:paraId="146CE79D" w14:textId="77777777" w:rsidR="00A11C90" w:rsidRPr="00A07D9A" w:rsidRDefault="00A11C90" w:rsidP="00FE6791">
      <w:pPr>
        <w:pStyle w:val="Prrafodelista"/>
        <w:numPr>
          <w:ilvl w:val="0"/>
          <w:numId w:val="8"/>
        </w:numPr>
        <w:spacing w:after="160" w:line="259" w:lineRule="auto"/>
        <w:ind w:left="567" w:hanging="425"/>
        <w:contextualSpacing/>
        <w:rPr>
          <w:b/>
          <w:color w:val="000000" w:themeColor="text1"/>
        </w:rPr>
      </w:pPr>
      <w:r w:rsidRPr="00A07D9A">
        <w:rPr>
          <w:b/>
          <w:color w:val="000000" w:themeColor="text1"/>
        </w:rPr>
        <w:t>La escritura constitutiva y sus reformas o compulsa, en su caso, de los estatutos de los Agentes Económicos involucrados.</w:t>
      </w:r>
    </w:p>
    <w:p w14:paraId="30FE2AC2" w14:textId="77777777" w:rsidR="008E5928" w:rsidRPr="00A07D9A" w:rsidRDefault="008E5928" w:rsidP="00A11C90">
      <w:pPr>
        <w:rPr>
          <w:color w:val="000000" w:themeColor="text1"/>
        </w:rPr>
      </w:pPr>
      <w:r w:rsidRPr="00A07D9A">
        <w:rPr>
          <w:color w:val="000000" w:themeColor="text1"/>
        </w:rPr>
        <w:t xml:space="preserve">Este requisito se acredita a </w:t>
      </w:r>
      <w:r w:rsidR="00A11C90" w:rsidRPr="00A07D9A">
        <w:rPr>
          <w:color w:val="000000" w:themeColor="text1"/>
        </w:rPr>
        <w:t>través de</w:t>
      </w:r>
      <w:r w:rsidRPr="00A07D9A">
        <w:rPr>
          <w:color w:val="000000" w:themeColor="text1"/>
        </w:rPr>
        <w:t>l documento otorgado ante notario o corredor, en donde</w:t>
      </w:r>
      <w:r w:rsidR="00A11C90" w:rsidRPr="00A07D9A">
        <w:rPr>
          <w:color w:val="000000" w:themeColor="text1"/>
        </w:rPr>
        <w:t xml:space="preserve"> </w:t>
      </w:r>
      <w:r w:rsidRPr="00A07D9A">
        <w:rPr>
          <w:color w:val="000000" w:themeColor="text1"/>
        </w:rPr>
        <w:t xml:space="preserve">se haga constar </w:t>
      </w:r>
      <w:r w:rsidR="00A11C90" w:rsidRPr="00A07D9A">
        <w:rPr>
          <w:color w:val="000000" w:themeColor="text1"/>
        </w:rPr>
        <w:t>la constitu</w:t>
      </w:r>
      <w:r w:rsidRPr="00A07D9A">
        <w:rPr>
          <w:color w:val="000000" w:themeColor="text1"/>
        </w:rPr>
        <w:t xml:space="preserve">ción </w:t>
      </w:r>
      <w:r w:rsidR="00A11C90" w:rsidRPr="00A07D9A">
        <w:rPr>
          <w:color w:val="000000" w:themeColor="text1"/>
        </w:rPr>
        <w:t xml:space="preserve">de los </w:t>
      </w:r>
      <w:r w:rsidR="008A07CB" w:rsidRPr="00A07D9A">
        <w:rPr>
          <w:color w:val="000000" w:themeColor="text1"/>
        </w:rPr>
        <w:t>agentes económicos</w:t>
      </w:r>
      <w:r w:rsidR="00A11C90" w:rsidRPr="00A07D9A">
        <w:rPr>
          <w:color w:val="000000" w:themeColor="text1"/>
        </w:rPr>
        <w:t xml:space="preserve"> involucrados y reformas o compulsas de los estatutos</w:t>
      </w:r>
      <w:r w:rsidRPr="00A07D9A">
        <w:rPr>
          <w:color w:val="000000" w:themeColor="text1"/>
        </w:rPr>
        <w:t>.</w:t>
      </w:r>
    </w:p>
    <w:p w14:paraId="21BB1B36" w14:textId="77777777" w:rsidR="00A11C90" w:rsidRPr="00A07D9A" w:rsidRDefault="008E5928" w:rsidP="00A11C90">
      <w:pPr>
        <w:rPr>
          <w:color w:val="000000" w:themeColor="text1"/>
        </w:rPr>
      </w:pPr>
      <w:r w:rsidRPr="00A07D9A">
        <w:rPr>
          <w:color w:val="000000" w:themeColor="text1"/>
        </w:rPr>
        <w:t>E</w:t>
      </w:r>
      <w:r w:rsidR="00A11C90" w:rsidRPr="00A07D9A">
        <w:rPr>
          <w:color w:val="000000" w:themeColor="text1"/>
        </w:rPr>
        <w:t xml:space="preserve">l IFT podrá identificar de forma plena y con información y/o documentación reciente y actualizada: i) la existencia de la sociedad; ii) la manera en que se puede integrar su estructura accionaria, y iii) la manera en que se pueden elegir a sus directivos, consejeros u otros integrantes de puestos u órganos de toma de decisiones de cada </w:t>
      </w:r>
      <w:r w:rsidR="00A83FB8" w:rsidRPr="00A07D9A">
        <w:rPr>
          <w:color w:val="000000" w:themeColor="text1"/>
        </w:rPr>
        <w:t>agente económico</w:t>
      </w:r>
      <w:r w:rsidR="00A11C90" w:rsidRPr="00A07D9A">
        <w:rPr>
          <w:color w:val="000000" w:themeColor="text1"/>
        </w:rPr>
        <w:t>, así como lo relacionado a la toma de decisiones.</w:t>
      </w:r>
    </w:p>
    <w:p w14:paraId="220FAC14" w14:textId="77777777" w:rsidR="00A11C90" w:rsidRPr="00A07D9A" w:rsidRDefault="00A11C90" w:rsidP="00A11C90">
      <w:pPr>
        <w:rPr>
          <w:color w:val="000000" w:themeColor="text1"/>
        </w:rPr>
      </w:pPr>
      <w:r w:rsidRPr="00A07D9A">
        <w:rPr>
          <w:color w:val="000000" w:themeColor="text1"/>
        </w:rPr>
        <w:t xml:space="preserve">Es preferible que los </w:t>
      </w:r>
      <w:r w:rsidR="008A07CB" w:rsidRPr="00A07D9A">
        <w:rPr>
          <w:color w:val="000000" w:themeColor="text1"/>
        </w:rPr>
        <w:t>agentes económicos</w:t>
      </w:r>
      <w:r w:rsidRPr="00A07D9A">
        <w:rPr>
          <w:color w:val="000000" w:themeColor="text1"/>
        </w:rPr>
        <w:t xml:space="preserve"> notificantes presenten todas las reformas o </w:t>
      </w:r>
      <w:r w:rsidR="00746DEA" w:rsidRPr="00A07D9A">
        <w:rPr>
          <w:color w:val="000000" w:themeColor="text1"/>
        </w:rPr>
        <w:t xml:space="preserve">en su caso la última </w:t>
      </w:r>
      <w:r w:rsidRPr="00A07D9A">
        <w:rPr>
          <w:color w:val="000000" w:themeColor="text1"/>
        </w:rPr>
        <w:t>compulsa vigente, así como las actas de asamblea vigentes que, aún y cuando no estén protocolizadas, puedan acreditar fehacientemente las determinaciones de la asamblea general de accionistas y/o del órgano máximo de decisión de que se trate.</w:t>
      </w:r>
    </w:p>
    <w:p w14:paraId="4E493D5A" w14:textId="77777777" w:rsidR="00A11C90" w:rsidRPr="00A07D9A" w:rsidRDefault="00A11C90" w:rsidP="00A11C90">
      <w:pPr>
        <w:rPr>
          <w:color w:val="000000" w:themeColor="text1"/>
        </w:rPr>
      </w:pPr>
      <w:r w:rsidRPr="00A07D9A">
        <w:rPr>
          <w:color w:val="000000" w:themeColor="text1"/>
        </w:rPr>
        <w:t>Las escrituras constitutivas y sus reformas o</w:t>
      </w:r>
      <w:r w:rsidR="00746DEA" w:rsidRPr="00A07D9A">
        <w:rPr>
          <w:color w:val="000000" w:themeColor="text1"/>
        </w:rPr>
        <w:t>, en su caso, la</w:t>
      </w:r>
      <w:r w:rsidRPr="00A07D9A">
        <w:rPr>
          <w:color w:val="000000" w:themeColor="text1"/>
        </w:rPr>
        <w:t xml:space="preserve"> compulsa de los </w:t>
      </w:r>
      <w:r w:rsidR="008A07CB" w:rsidRPr="00A07D9A">
        <w:rPr>
          <w:color w:val="000000" w:themeColor="text1"/>
        </w:rPr>
        <w:t>agentes económicos</w:t>
      </w:r>
      <w:r w:rsidRPr="00A07D9A">
        <w:rPr>
          <w:color w:val="000000" w:themeColor="text1"/>
        </w:rPr>
        <w:t xml:space="preserve"> involucrados podrán presentarse en copia simple.</w:t>
      </w:r>
    </w:p>
    <w:p w14:paraId="6AC38779" w14:textId="77777777" w:rsidR="00A11C90" w:rsidRPr="00A07D9A" w:rsidRDefault="00A11C90" w:rsidP="00A11C90">
      <w:pPr>
        <w:rPr>
          <w:color w:val="000000" w:themeColor="text1"/>
        </w:rPr>
      </w:pPr>
      <w:r w:rsidRPr="00A07D9A">
        <w:rPr>
          <w:color w:val="000000" w:themeColor="text1"/>
        </w:rPr>
        <w:lastRenderedPageBreak/>
        <w:t xml:space="preserve">Los </w:t>
      </w:r>
      <w:r w:rsidR="008A07CB" w:rsidRPr="00A07D9A">
        <w:rPr>
          <w:color w:val="000000" w:themeColor="text1"/>
        </w:rPr>
        <w:t>agentes económicos</w:t>
      </w:r>
      <w:r w:rsidRPr="00A07D9A">
        <w:rPr>
          <w:color w:val="000000" w:themeColor="text1"/>
        </w:rPr>
        <w:t xml:space="preserve"> notificantes deberán presentar la escritura</w:t>
      </w:r>
      <w:r w:rsidR="008C7E13" w:rsidRPr="00A07D9A">
        <w:rPr>
          <w:color w:val="000000" w:themeColor="text1"/>
        </w:rPr>
        <w:t xml:space="preserve"> </w:t>
      </w:r>
      <w:r w:rsidRPr="00A07D9A">
        <w:rPr>
          <w:color w:val="000000" w:themeColor="text1"/>
        </w:rPr>
        <w:t>constitutiva y sus reformas o compulsa, en su caso, de los estatutos de:</w:t>
      </w:r>
    </w:p>
    <w:p w14:paraId="6A312EBB" w14:textId="77777777" w:rsidR="00A11C90" w:rsidRPr="00A07D9A" w:rsidRDefault="00A11C90" w:rsidP="00FE6791">
      <w:pPr>
        <w:pStyle w:val="Prrafodelista"/>
        <w:numPr>
          <w:ilvl w:val="0"/>
          <w:numId w:val="31"/>
        </w:numPr>
        <w:spacing w:after="160" w:line="259" w:lineRule="auto"/>
        <w:ind w:left="567"/>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que participan directamente en una concentración.</w:t>
      </w:r>
    </w:p>
    <w:p w14:paraId="7BDAACD9" w14:textId="77777777" w:rsidR="00A11C90" w:rsidRPr="00A07D9A" w:rsidRDefault="00A11C90" w:rsidP="00FE6791">
      <w:pPr>
        <w:pStyle w:val="Prrafodelista"/>
        <w:numPr>
          <w:ilvl w:val="0"/>
          <w:numId w:val="31"/>
        </w:numPr>
        <w:spacing w:after="160" w:line="259" w:lineRule="auto"/>
        <w:ind w:left="567"/>
        <w:rPr>
          <w:color w:val="000000" w:themeColor="text1"/>
        </w:rPr>
      </w:pPr>
      <w:r w:rsidRPr="00A07D9A">
        <w:rPr>
          <w:color w:val="000000" w:themeColor="text1"/>
        </w:rPr>
        <w:t xml:space="preserve">Las sociedades que controlen en última instancia a los GIE a los que pertenecen esos </w:t>
      </w:r>
      <w:r w:rsidR="00BC07D0" w:rsidRPr="00A07D9A">
        <w:rPr>
          <w:color w:val="000000" w:themeColor="text1"/>
        </w:rPr>
        <w:t>agent</w:t>
      </w:r>
      <w:r w:rsidRPr="00A07D9A">
        <w:rPr>
          <w:color w:val="000000" w:themeColor="text1"/>
        </w:rPr>
        <w:t>es</w:t>
      </w:r>
      <w:r w:rsidR="00BC07D0" w:rsidRPr="00A07D9A">
        <w:rPr>
          <w:color w:val="000000" w:themeColor="text1"/>
        </w:rPr>
        <w:t xml:space="preserve"> económicos</w:t>
      </w:r>
      <w:r w:rsidRPr="00A07D9A">
        <w:rPr>
          <w:color w:val="000000" w:themeColor="text1"/>
        </w:rPr>
        <w:t>.</w:t>
      </w:r>
    </w:p>
    <w:p w14:paraId="0F25F6C6" w14:textId="77777777" w:rsidR="00A11C90" w:rsidRPr="00A07D9A" w:rsidRDefault="00A11C90" w:rsidP="00FE6791">
      <w:pPr>
        <w:pStyle w:val="Prrafodelista"/>
        <w:numPr>
          <w:ilvl w:val="0"/>
          <w:numId w:val="31"/>
        </w:numPr>
        <w:spacing w:after="160" w:line="259" w:lineRule="auto"/>
        <w:ind w:left="567"/>
        <w:rPr>
          <w:color w:val="000000" w:themeColor="text1"/>
        </w:rPr>
      </w:pPr>
      <w:r w:rsidRPr="00A07D9A">
        <w:rPr>
          <w:color w:val="000000" w:themeColor="text1"/>
        </w:rPr>
        <w:t xml:space="preserve">Cada una de las sociedades que integren </w:t>
      </w:r>
      <w:r w:rsidR="006A2745" w:rsidRPr="00A07D9A">
        <w:rPr>
          <w:color w:val="000000" w:themeColor="text1"/>
        </w:rPr>
        <w:t>los agentes económicos adquiridos</w:t>
      </w:r>
      <w:r w:rsidRPr="00A07D9A">
        <w:rPr>
          <w:color w:val="000000" w:themeColor="text1"/>
        </w:rPr>
        <w:t>.</w:t>
      </w:r>
    </w:p>
    <w:p w14:paraId="3E78B9CF" w14:textId="77777777" w:rsidR="0061457F" w:rsidRPr="00A07D9A" w:rsidRDefault="0061457F" w:rsidP="00A11C90">
      <w:pPr>
        <w:rPr>
          <w:color w:val="000000" w:themeColor="text1"/>
        </w:rPr>
      </w:pPr>
      <w:r w:rsidRPr="00A07D9A">
        <w:rPr>
          <w:color w:val="000000" w:themeColor="text1"/>
        </w:rPr>
        <w:t xml:space="preserve">En caso de que el IFT considere necesario conocer las </w:t>
      </w:r>
      <w:r w:rsidR="008E5928" w:rsidRPr="00A07D9A">
        <w:rPr>
          <w:color w:val="000000" w:themeColor="text1"/>
        </w:rPr>
        <w:t>pólizas o</w:t>
      </w:r>
      <w:r w:rsidRPr="00A07D9A">
        <w:rPr>
          <w:color w:val="000000" w:themeColor="text1"/>
        </w:rPr>
        <w:t xml:space="preserve"> escrituras constitutivas y sus reformas o compulsa de los demás agentes económicos involucrados, así lo solicitará en el acuerdo de prevención correspondiente al procedimiento de notificación de concentración.</w:t>
      </w:r>
    </w:p>
    <w:p w14:paraId="31DB30C8" w14:textId="40477114" w:rsidR="0061457F" w:rsidRPr="00A07D9A" w:rsidRDefault="0061457F" w:rsidP="00A11C90">
      <w:pPr>
        <w:rPr>
          <w:rFonts w:cs="Helvetica"/>
          <w:color w:val="000000" w:themeColor="text1"/>
        </w:rPr>
      </w:pPr>
      <w:r w:rsidRPr="00A07D9A">
        <w:rPr>
          <w:color w:val="000000" w:themeColor="text1"/>
        </w:rPr>
        <w:t>En el caso de ad</w:t>
      </w:r>
      <w:r w:rsidRPr="00A07D9A">
        <w:rPr>
          <w:rFonts w:cs="Helvetica"/>
          <w:color w:val="000000" w:themeColor="text1"/>
        </w:rPr>
        <w:t>quisiciones hostiles, las partes deben aportar la mayor cantidad de información y documentación que tengan a su alcance, tanto en este inciso como en los incisos vi) a xii) que se describen a continuación.</w:t>
      </w:r>
    </w:p>
    <w:p w14:paraId="40EB24E6" w14:textId="77777777" w:rsidR="00A11C90" w:rsidRPr="00A07D9A" w:rsidRDefault="00A11C90" w:rsidP="00FE6791">
      <w:pPr>
        <w:pStyle w:val="Prrafodelista"/>
        <w:numPr>
          <w:ilvl w:val="0"/>
          <w:numId w:val="8"/>
        </w:numPr>
        <w:spacing w:after="160" w:line="259" w:lineRule="auto"/>
        <w:ind w:left="567" w:hanging="425"/>
        <w:contextualSpacing/>
        <w:rPr>
          <w:b/>
          <w:color w:val="000000" w:themeColor="text1"/>
        </w:rPr>
      </w:pPr>
      <w:r w:rsidRPr="00A07D9A">
        <w:rPr>
          <w:b/>
          <w:color w:val="000000" w:themeColor="text1"/>
        </w:rPr>
        <w:t>Los estados financieros del ejercicio inmediato anterior de los Agentes Económicos involucrados.</w:t>
      </w:r>
    </w:p>
    <w:p w14:paraId="17F366E5" w14:textId="77777777" w:rsidR="00A11C90" w:rsidRPr="00A07D9A" w:rsidRDefault="00A11C90" w:rsidP="00A11C90">
      <w:pPr>
        <w:rPr>
          <w:color w:val="000000" w:themeColor="text1"/>
        </w:rPr>
      </w:pPr>
      <w:r w:rsidRPr="00A07D9A">
        <w:rPr>
          <w:color w:val="000000" w:themeColor="text1"/>
        </w:rPr>
        <w:t xml:space="preserve">Los estados financieros son la primera fuente de información a efecto de que el IFT pueda determinar el monto de los activos, capital social y ventas de los </w:t>
      </w:r>
      <w:r w:rsidR="008A07CB" w:rsidRPr="00A07D9A">
        <w:rPr>
          <w:color w:val="000000" w:themeColor="text1"/>
        </w:rPr>
        <w:t>agentes económicos</w:t>
      </w:r>
      <w:r w:rsidRPr="00A07D9A">
        <w:rPr>
          <w:color w:val="000000" w:themeColor="text1"/>
        </w:rPr>
        <w:t xml:space="preserve"> involucrados en la operación. </w:t>
      </w:r>
    </w:p>
    <w:p w14:paraId="6FBF22C6" w14:textId="77777777" w:rsidR="00A11C90" w:rsidRPr="00A07D9A" w:rsidRDefault="00A11C90" w:rsidP="00A11C90">
      <w:pPr>
        <w:rPr>
          <w:color w:val="000000" w:themeColor="text1"/>
        </w:rPr>
      </w:pPr>
      <w:r w:rsidRPr="00A07D9A">
        <w:rPr>
          <w:color w:val="000000" w:themeColor="text1"/>
        </w:rPr>
        <w:t xml:space="preserve">En términos del artículo 18 de las </w:t>
      </w:r>
      <w:r w:rsidR="00B94D75" w:rsidRPr="00A07D9A">
        <w:rPr>
          <w:color w:val="000000" w:themeColor="text1"/>
        </w:rPr>
        <w:t>Disposiciones Regulatorias</w:t>
      </w:r>
      <w:r w:rsidRPr="00A07D9A">
        <w:rPr>
          <w:color w:val="000000" w:themeColor="text1"/>
        </w:rPr>
        <w:t xml:space="preserve">, este requisito se refiere a los estados financieros auditados o dictaminados correspondientes al año fiscal inmediato anterior a la notificación de la concentración. En caso de no contar con ellos, los </w:t>
      </w:r>
      <w:r w:rsidR="008A07CB" w:rsidRPr="00A07D9A">
        <w:rPr>
          <w:color w:val="000000" w:themeColor="text1"/>
        </w:rPr>
        <w:t>agentes económicos</w:t>
      </w:r>
      <w:r w:rsidRPr="00A07D9A">
        <w:rPr>
          <w:color w:val="000000" w:themeColor="text1"/>
        </w:rPr>
        <w:t xml:space="preserve"> notificantes deberán justificar y demostrar fehacientemente dicha situación ante el IFT y presentar los estados financieros que cumplan con los principios y prácticas contables generalmente aceptadas correspondientes al año fiscal inmediato anterior a la notificación de la concentración.</w:t>
      </w:r>
    </w:p>
    <w:p w14:paraId="12A5FFFE" w14:textId="77777777" w:rsidR="00A11C90" w:rsidRPr="00A07D9A" w:rsidRDefault="00A11C90" w:rsidP="00A11C90">
      <w:pPr>
        <w:rPr>
          <w:color w:val="000000" w:themeColor="text1"/>
        </w:rPr>
      </w:pPr>
      <w:r w:rsidRPr="00A07D9A">
        <w:rPr>
          <w:color w:val="000000" w:themeColor="text1"/>
        </w:rPr>
        <w:t xml:space="preserve">Los estados financieros de los </w:t>
      </w:r>
      <w:r w:rsidR="008A07CB" w:rsidRPr="00A07D9A">
        <w:rPr>
          <w:color w:val="000000" w:themeColor="text1"/>
        </w:rPr>
        <w:t>agentes económicos</w:t>
      </w:r>
      <w:r w:rsidRPr="00A07D9A">
        <w:rPr>
          <w:color w:val="000000" w:themeColor="text1"/>
        </w:rPr>
        <w:t xml:space="preserve"> involucrados podrán presentarse en copia simple.</w:t>
      </w:r>
    </w:p>
    <w:p w14:paraId="055A62B5" w14:textId="77777777" w:rsidR="00A11C90" w:rsidRPr="00A07D9A" w:rsidRDefault="00A11C90" w:rsidP="00A11C90">
      <w:pPr>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notificantes deberán presentar los estados financieros de:</w:t>
      </w:r>
    </w:p>
    <w:p w14:paraId="77896C67" w14:textId="77777777" w:rsidR="00A11C90" w:rsidRPr="00A07D9A" w:rsidRDefault="00A11C90" w:rsidP="00FE6791">
      <w:pPr>
        <w:pStyle w:val="Prrafodelista"/>
        <w:numPr>
          <w:ilvl w:val="0"/>
          <w:numId w:val="32"/>
        </w:numPr>
        <w:spacing w:after="160" w:line="259" w:lineRule="auto"/>
        <w:ind w:left="567"/>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que participan directamente en una concentración.</w:t>
      </w:r>
    </w:p>
    <w:p w14:paraId="6E10A387" w14:textId="77777777" w:rsidR="00A11C90" w:rsidRPr="00A07D9A" w:rsidRDefault="00A11C90" w:rsidP="00FE6791">
      <w:pPr>
        <w:pStyle w:val="Prrafodelista"/>
        <w:numPr>
          <w:ilvl w:val="0"/>
          <w:numId w:val="32"/>
        </w:numPr>
        <w:spacing w:after="160" w:line="259" w:lineRule="auto"/>
        <w:ind w:left="567"/>
        <w:rPr>
          <w:color w:val="000000" w:themeColor="text1"/>
        </w:rPr>
      </w:pPr>
      <w:r w:rsidRPr="00A07D9A">
        <w:rPr>
          <w:color w:val="000000" w:themeColor="text1"/>
        </w:rPr>
        <w:t xml:space="preserve">Las sociedades que controlen en última instancia a los GIE a los que pertenecen esos </w:t>
      </w:r>
      <w:r w:rsidR="008A07CB" w:rsidRPr="00A07D9A">
        <w:rPr>
          <w:color w:val="000000" w:themeColor="text1"/>
        </w:rPr>
        <w:t>agentes económicos</w:t>
      </w:r>
      <w:r w:rsidRPr="00A07D9A">
        <w:rPr>
          <w:color w:val="000000" w:themeColor="text1"/>
        </w:rPr>
        <w:t>, para quienes también se deben presentar estados financieros consolidados en caso de contar con ellos.</w:t>
      </w:r>
    </w:p>
    <w:p w14:paraId="0F5E527B" w14:textId="77777777" w:rsidR="00A11C90" w:rsidRPr="00A07D9A" w:rsidRDefault="00A11C90" w:rsidP="00FE6791">
      <w:pPr>
        <w:pStyle w:val="Prrafodelista"/>
        <w:numPr>
          <w:ilvl w:val="0"/>
          <w:numId w:val="32"/>
        </w:numPr>
        <w:spacing w:after="160" w:line="259" w:lineRule="auto"/>
        <w:ind w:left="567"/>
        <w:rPr>
          <w:color w:val="000000" w:themeColor="text1"/>
        </w:rPr>
      </w:pPr>
      <w:r w:rsidRPr="00A07D9A">
        <w:rPr>
          <w:color w:val="000000" w:themeColor="text1"/>
        </w:rPr>
        <w:t xml:space="preserve">Cada una de las sociedades que integren el </w:t>
      </w:r>
      <w:r w:rsidR="006A2745" w:rsidRPr="00A07D9A">
        <w:rPr>
          <w:color w:val="000000" w:themeColor="text1"/>
        </w:rPr>
        <w:t>agente económico</w:t>
      </w:r>
      <w:r w:rsidRPr="00A07D9A">
        <w:rPr>
          <w:color w:val="000000" w:themeColor="text1"/>
        </w:rPr>
        <w:t xml:space="preserve"> adquirido.</w:t>
      </w:r>
    </w:p>
    <w:p w14:paraId="308EE378" w14:textId="77777777" w:rsidR="00A11C90" w:rsidRPr="00A07D9A" w:rsidRDefault="00A11C90" w:rsidP="00A11C90">
      <w:pPr>
        <w:rPr>
          <w:color w:val="000000" w:themeColor="text1"/>
        </w:rPr>
      </w:pPr>
      <w:r w:rsidRPr="00A07D9A">
        <w:rPr>
          <w:color w:val="000000" w:themeColor="text1"/>
        </w:rPr>
        <w:lastRenderedPageBreak/>
        <w:t xml:space="preserve">En caso de que el IFT considere necesario conocer los estados financieros de los demás </w:t>
      </w:r>
      <w:r w:rsidR="008A07CB" w:rsidRPr="00A07D9A">
        <w:rPr>
          <w:color w:val="000000" w:themeColor="text1"/>
        </w:rPr>
        <w:t>agentes económicos</w:t>
      </w:r>
      <w:r w:rsidRPr="00A07D9A">
        <w:rPr>
          <w:color w:val="000000" w:themeColor="text1"/>
        </w:rPr>
        <w:t xml:space="preserve"> involucrados, así lo solicitará en el Acuerdo de Prevención correspondiente. </w:t>
      </w:r>
    </w:p>
    <w:p w14:paraId="74B94191" w14:textId="77777777" w:rsidR="00A11C90" w:rsidRPr="00A07D9A" w:rsidRDefault="00A11C90" w:rsidP="00FE6791">
      <w:pPr>
        <w:pStyle w:val="Prrafodelista"/>
        <w:numPr>
          <w:ilvl w:val="0"/>
          <w:numId w:val="8"/>
        </w:numPr>
        <w:spacing w:after="160" w:line="259" w:lineRule="auto"/>
        <w:ind w:left="567" w:hanging="425"/>
        <w:contextualSpacing/>
        <w:rPr>
          <w:b/>
          <w:color w:val="000000" w:themeColor="text1"/>
        </w:rPr>
      </w:pPr>
      <w:r w:rsidRPr="00A07D9A">
        <w:rPr>
          <w:b/>
          <w:color w:val="000000" w:themeColor="text1"/>
        </w:rPr>
        <w:t>Descripción de la estructura del capital social de los Agentes Económicos involucrados en la concentración, sean sociedades mexicanas o extranjeras, identificando la participación de cada socio o accionista directo e indirecto, antes y después de la concentración, y de las personas que tienen y tendrán el control.</w:t>
      </w:r>
    </w:p>
    <w:p w14:paraId="021542C1" w14:textId="77777777" w:rsidR="00A11C90" w:rsidRPr="00A07D9A" w:rsidRDefault="00A11C90" w:rsidP="00A11C90">
      <w:pPr>
        <w:rPr>
          <w:color w:val="000000" w:themeColor="text1"/>
        </w:rPr>
      </w:pPr>
      <w:r w:rsidRPr="00A07D9A">
        <w:rPr>
          <w:color w:val="000000" w:themeColor="text1"/>
        </w:rPr>
        <w:t xml:space="preserve">La descripción de la estructura de capital social debe presentarse sobre todos y cada uno de los integrantes de los </w:t>
      </w:r>
      <w:r w:rsidR="008A07CB" w:rsidRPr="00A07D9A">
        <w:rPr>
          <w:color w:val="000000" w:themeColor="text1"/>
        </w:rPr>
        <w:t>agentes económicos</w:t>
      </w:r>
      <w:r w:rsidRPr="00A07D9A">
        <w:rPr>
          <w:color w:val="000000" w:themeColor="text1"/>
        </w:rPr>
        <w:t xml:space="preserve"> involucrados en la concentración notificada, evaluados bajo su dimensión de GIE, sean sociedades mexicanas o extranjeras, identificando a cada socio o accionista directo e indirecto, antes y después de la concentración, </w:t>
      </w:r>
      <w:r w:rsidRPr="00A07D9A">
        <w:rPr>
          <w:rFonts w:cs="Arial"/>
          <w:color w:val="000000" w:themeColor="text1"/>
        </w:rPr>
        <w:t>hasta llegar a un nivel de personas físicas</w:t>
      </w:r>
      <w:r w:rsidRPr="00A07D9A">
        <w:rPr>
          <w:color w:val="000000" w:themeColor="text1"/>
        </w:rPr>
        <w:t>.</w:t>
      </w:r>
    </w:p>
    <w:p w14:paraId="04AE88F5" w14:textId="77777777" w:rsidR="00A11C90" w:rsidRPr="00A07D9A" w:rsidRDefault="00A11C90" w:rsidP="00A11C90">
      <w:pPr>
        <w:rPr>
          <w:color w:val="000000" w:themeColor="text1"/>
        </w:rPr>
      </w:pPr>
      <w:r w:rsidRPr="00A07D9A">
        <w:rPr>
          <w:color w:val="000000" w:themeColor="text1"/>
        </w:rPr>
        <w:t xml:space="preserve">Para desahogar correctamente </w:t>
      </w:r>
      <w:r w:rsidR="00BC07D0" w:rsidRPr="00A07D9A">
        <w:rPr>
          <w:color w:val="000000" w:themeColor="text1"/>
        </w:rPr>
        <w:t>lo requerido por</w:t>
      </w:r>
      <w:r w:rsidR="00095030" w:rsidRPr="00A07D9A">
        <w:rPr>
          <w:color w:val="000000" w:themeColor="text1"/>
        </w:rPr>
        <w:t xml:space="preserve"> </w:t>
      </w:r>
      <w:r w:rsidRPr="00A07D9A">
        <w:rPr>
          <w:color w:val="000000" w:themeColor="text1"/>
        </w:rPr>
        <w:t xml:space="preserve">esta fracción, </w:t>
      </w:r>
      <w:r w:rsidR="00CB4572" w:rsidRPr="00A07D9A">
        <w:rPr>
          <w:color w:val="000000" w:themeColor="text1"/>
        </w:rPr>
        <w:t xml:space="preserve">es conveniente que </w:t>
      </w: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notificantes present</w:t>
      </w:r>
      <w:r w:rsidR="00CB4572" w:rsidRPr="00A07D9A">
        <w:rPr>
          <w:color w:val="000000" w:themeColor="text1"/>
        </w:rPr>
        <w:t>en</w:t>
      </w:r>
      <w:r w:rsidRPr="00A07D9A">
        <w:rPr>
          <w:color w:val="000000" w:themeColor="text1"/>
        </w:rPr>
        <w:t xml:space="preserve"> en su escrito de notificación de concentración la siguiente información:</w:t>
      </w:r>
    </w:p>
    <w:p w14:paraId="478B6D4B" w14:textId="77777777" w:rsidR="00BD77B6" w:rsidRPr="00A07D9A" w:rsidRDefault="00A11C90" w:rsidP="00FE6791">
      <w:pPr>
        <w:pStyle w:val="Prrafodelista"/>
        <w:numPr>
          <w:ilvl w:val="0"/>
          <w:numId w:val="21"/>
        </w:numPr>
        <w:spacing w:after="160" w:line="259" w:lineRule="auto"/>
        <w:contextualSpacing/>
        <w:rPr>
          <w:color w:val="000000" w:themeColor="text1"/>
        </w:rPr>
      </w:pPr>
      <w:r w:rsidRPr="00A07D9A">
        <w:rPr>
          <w:color w:val="000000" w:themeColor="text1"/>
        </w:rPr>
        <w:t xml:space="preserve">Identificar a los </w:t>
      </w:r>
      <w:r w:rsidR="008A07CB" w:rsidRPr="00A07D9A">
        <w:rPr>
          <w:color w:val="000000" w:themeColor="text1"/>
        </w:rPr>
        <w:t>agentes económicos</w:t>
      </w:r>
      <w:r w:rsidRPr="00A07D9A">
        <w:rPr>
          <w:color w:val="000000" w:themeColor="text1"/>
        </w:rPr>
        <w:t xml:space="preserve"> que participan directamente en la concentración.</w:t>
      </w:r>
    </w:p>
    <w:p w14:paraId="72D348B1" w14:textId="77777777" w:rsidR="00BD77B6" w:rsidRPr="00A07D9A" w:rsidRDefault="00A11C90" w:rsidP="00FE6791">
      <w:pPr>
        <w:pStyle w:val="Prrafodelista"/>
        <w:numPr>
          <w:ilvl w:val="0"/>
          <w:numId w:val="21"/>
        </w:numPr>
        <w:spacing w:after="160" w:line="259" w:lineRule="auto"/>
        <w:contextualSpacing/>
        <w:rPr>
          <w:color w:val="000000" w:themeColor="text1"/>
        </w:rPr>
      </w:pPr>
      <w:r w:rsidRPr="00A07D9A">
        <w:rPr>
          <w:color w:val="000000" w:themeColor="text1"/>
        </w:rPr>
        <w:t xml:space="preserve">Para cada uno de ellos, </w:t>
      </w:r>
      <w:r w:rsidRPr="00A07D9A">
        <w:rPr>
          <w:rFonts w:cs="Arial"/>
          <w:color w:val="000000" w:themeColor="text1"/>
        </w:rPr>
        <w:t xml:space="preserve">identificar la denominación y participación accionaria o societaria de cada uno de sus socios, accionistas o asociados, directos e indirectos, hasta llegar a un nivel de personas físicas; </w:t>
      </w:r>
      <w:r w:rsidRPr="00A07D9A">
        <w:rPr>
          <w:color w:val="000000" w:themeColor="text1"/>
        </w:rPr>
        <w:t>antes y después de la concentración.</w:t>
      </w:r>
    </w:p>
    <w:p w14:paraId="2F3261A7" w14:textId="77777777" w:rsidR="00BD77B6" w:rsidRPr="00A07D9A" w:rsidRDefault="00A11C90" w:rsidP="00FE6791">
      <w:pPr>
        <w:pStyle w:val="Prrafodelista"/>
        <w:numPr>
          <w:ilvl w:val="0"/>
          <w:numId w:val="21"/>
        </w:numPr>
        <w:spacing w:after="160" w:line="259" w:lineRule="auto"/>
        <w:contextualSpacing/>
        <w:rPr>
          <w:color w:val="000000" w:themeColor="text1"/>
        </w:rPr>
      </w:pPr>
      <w:r w:rsidRPr="00A07D9A">
        <w:rPr>
          <w:color w:val="000000" w:themeColor="text1"/>
        </w:rPr>
        <w:t>En el caso de los socios, accionistas o asociados identificados en el numeral anterior que sean personas físicas, listar a los individuos con las que estas personas físicas tengan relaciones de parentesco, consanguinidad o afinidad, hasta el cuarto grado</w:t>
      </w:r>
      <w:r w:rsidR="00095030" w:rsidRPr="00A07D9A">
        <w:rPr>
          <w:color w:val="000000" w:themeColor="text1"/>
        </w:rPr>
        <w:t xml:space="preserve">; siempre que esos individuos </w:t>
      </w:r>
      <w:r w:rsidR="002C0F2F" w:rsidRPr="00A07D9A">
        <w:rPr>
          <w:color w:val="000000" w:themeColor="text1"/>
        </w:rPr>
        <w:t>lleven a cabo</w:t>
      </w:r>
      <w:r w:rsidR="00095030" w:rsidRPr="00A07D9A">
        <w:rPr>
          <w:color w:val="000000" w:themeColor="text1"/>
        </w:rPr>
        <w:t xml:space="preserve">, directa o indirectamente, actividades en los sectores </w:t>
      </w:r>
      <w:r w:rsidR="002C0F2F" w:rsidRPr="00A07D9A">
        <w:rPr>
          <w:color w:val="000000" w:themeColor="text1"/>
        </w:rPr>
        <w:t>de telecomunicaciones y radiodifusión</w:t>
      </w:r>
      <w:r w:rsidRPr="00A07D9A">
        <w:rPr>
          <w:color w:val="000000" w:themeColor="text1"/>
        </w:rPr>
        <w:t>.</w:t>
      </w:r>
    </w:p>
    <w:p w14:paraId="07A98E05" w14:textId="2E989900" w:rsidR="00A11C90" w:rsidRPr="00A07D9A" w:rsidRDefault="00A11C90" w:rsidP="00FE6791">
      <w:pPr>
        <w:pStyle w:val="Prrafodelista"/>
        <w:numPr>
          <w:ilvl w:val="0"/>
          <w:numId w:val="21"/>
        </w:numPr>
        <w:spacing w:after="160" w:line="259" w:lineRule="auto"/>
        <w:contextualSpacing/>
        <w:rPr>
          <w:color w:val="000000" w:themeColor="text1"/>
        </w:rPr>
      </w:pPr>
      <w:r w:rsidRPr="00A07D9A">
        <w:rPr>
          <w:rFonts w:cs="Arial"/>
          <w:color w:val="000000" w:themeColor="text1"/>
        </w:rPr>
        <w:t xml:space="preserve">Para cada uno de los </w:t>
      </w:r>
      <w:r w:rsidR="008A07CB" w:rsidRPr="00A07D9A">
        <w:rPr>
          <w:color w:val="000000" w:themeColor="text1"/>
        </w:rPr>
        <w:t>agentes económicos</w:t>
      </w:r>
      <w:r w:rsidRPr="00A07D9A">
        <w:rPr>
          <w:color w:val="000000" w:themeColor="text1"/>
        </w:rPr>
        <w:t xml:space="preserve"> que participan directamente en la concentración</w:t>
      </w:r>
      <w:r w:rsidRPr="00A07D9A">
        <w:rPr>
          <w:rFonts w:cs="Arial"/>
          <w:color w:val="000000" w:themeColor="text1"/>
        </w:rPr>
        <w:t>, así como para cada uno de los socios, accionistas, asociados, individuos y personas físicas o morales que se identifiquen en los numerales ii) y iii) anteriores, precisar y describir la participación accionaria o societaria en términos porcentuales, directa o indirecta, que cada uno tenga en otras empresas, sociedades o asociaciones. También deberá identificar las empresas, sociedades o asociaciones en las que cada uno de ellos sea miembro del consejo de administración o de cualquier órgano encargado de tomar decisiones, o directivo, gerente, administrador o sus equivalentes.</w:t>
      </w:r>
    </w:p>
    <w:p w14:paraId="0EB9FB96" w14:textId="77777777" w:rsidR="00A11C90" w:rsidRPr="00A07D9A" w:rsidRDefault="00A11C90" w:rsidP="00A11C90">
      <w:pPr>
        <w:rPr>
          <w:color w:val="000000" w:themeColor="text1"/>
        </w:rPr>
      </w:pPr>
      <w:r w:rsidRPr="00A07D9A">
        <w:rPr>
          <w:color w:val="000000" w:themeColor="text1"/>
        </w:rPr>
        <w:t xml:space="preserve">Cuando la tenencia de acciones o valores representativos del capital social de los </w:t>
      </w:r>
      <w:r w:rsidR="008A07CB" w:rsidRPr="00A07D9A">
        <w:rPr>
          <w:color w:val="000000" w:themeColor="text1"/>
        </w:rPr>
        <w:t>agentes económicos</w:t>
      </w:r>
      <w:r w:rsidRPr="00A07D9A">
        <w:rPr>
          <w:color w:val="000000" w:themeColor="text1"/>
        </w:rPr>
        <w:t xml:space="preserve"> se encuentra diluida, como en el caso de las empresas </w:t>
      </w:r>
      <w:r w:rsidRPr="00A07D9A">
        <w:rPr>
          <w:color w:val="000000" w:themeColor="text1"/>
        </w:rPr>
        <w:lastRenderedPageBreak/>
        <w:t xml:space="preserve">públicas o que cotizan en bolsa, puede ser difícil identificar a todos los accionistas de esos </w:t>
      </w:r>
      <w:r w:rsidR="008A07CB" w:rsidRPr="00A07D9A">
        <w:rPr>
          <w:color w:val="000000" w:themeColor="text1"/>
        </w:rPr>
        <w:t>agentes económicos</w:t>
      </w:r>
      <w:r w:rsidRPr="00A07D9A">
        <w:rPr>
          <w:color w:val="000000" w:themeColor="text1"/>
        </w:rPr>
        <w:t xml:space="preserve">. En este caso, es viable que esos </w:t>
      </w:r>
      <w:r w:rsidR="008A07CB" w:rsidRPr="00A07D9A">
        <w:rPr>
          <w:color w:val="000000" w:themeColor="text1"/>
        </w:rPr>
        <w:t>agentes económicos</w:t>
      </w:r>
      <w:r w:rsidRPr="00A07D9A">
        <w:rPr>
          <w:color w:val="000000" w:themeColor="text1"/>
        </w:rPr>
        <w:t xml:space="preserve"> puedan identificar el nombre y el porcentaje de su tenencia de acciones, con y sin derecho a voto, de cada uno de sus accionistas que, directa e indirectamente, sean titulares del 5% (cinco por ciento) o más de las acciones o valores representativos de su capital social. Precisamente, este porcentaje del 5% (cinco por ciento) es el que generalmente permite descartar cualquier ejercicio de influencia significativa o control en una sociedad.</w:t>
      </w:r>
    </w:p>
    <w:p w14:paraId="0FF56295" w14:textId="77777777" w:rsidR="00A11C90" w:rsidRPr="00A07D9A" w:rsidRDefault="00A11C90" w:rsidP="00A11C90">
      <w:pPr>
        <w:rPr>
          <w:color w:val="000000" w:themeColor="text1"/>
        </w:rPr>
      </w:pPr>
      <w:r w:rsidRPr="00A07D9A">
        <w:rPr>
          <w:color w:val="000000" w:themeColor="text1"/>
        </w:rPr>
        <w:t xml:space="preserve">También deberá describir e identificar a las personas que tienen y tendrán el control de todas y cada una de las </w:t>
      </w:r>
      <w:r w:rsidRPr="00A07D9A">
        <w:rPr>
          <w:rFonts w:cs="Arial"/>
          <w:color w:val="000000" w:themeColor="text1"/>
        </w:rPr>
        <w:t>personas morales que se identifiquen en los numerales i), ii), iii) y iv)</w:t>
      </w:r>
      <w:r w:rsidRPr="00A07D9A">
        <w:rPr>
          <w:color w:val="000000" w:themeColor="text1"/>
        </w:rPr>
        <w:t xml:space="preserve">. Para esos fines, deberá precisar los mecanismos a través de los cuales se ejerce </w:t>
      </w:r>
      <w:r w:rsidR="0024068C" w:rsidRPr="00A07D9A">
        <w:rPr>
          <w:color w:val="000000" w:themeColor="text1"/>
        </w:rPr>
        <w:t xml:space="preserve">o podría ejercer </w:t>
      </w:r>
      <w:r w:rsidRPr="00A07D9A">
        <w:rPr>
          <w:color w:val="000000" w:themeColor="text1"/>
        </w:rPr>
        <w:t xml:space="preserve">ese control </w:t>
      </w:r>
      <w:r w:rsidR="00C37A19" w:rsidRPr="00A07D9A">
        <w:rPr>
          <w:color w:val="000000" w:themeColor="text1"/>
        </w:rPr>
        <w:t xml:space="preserve">antes y después de la concentración </w:t>
      </w:r>
      <w:r w:rsidRPr="00A07D9A">
        <w:rPr>
          <w:color w:val="000000" w:themeColor="text1"/>
        </w:rPr>
        <w:t>considerando la siguiente información:</w:t>
      </w:r>
    </w:p>
    <w:p w14:paraId="53D3A217" w14:textId="77777777" w:rsidR="00A11C90" w:rsidRPr="00A07D9A" w:rsidRDefault="00A11C90" w:rsidP="00C164BD">
      <w:pPr>
        <w:pStyle w:val="Prrafodelista"/>
        <w:numPr>
          <w:ilvl w:val="0"/>
          <w:numId w:val="28"/>
        </w:numPr>
        <w:spacing w:after="160" w:line="259" w:lineRule="auto"/>
        <w:ind w:left="714" w:hanging="357"/>
        <w:rPr>
          <w:color w:val="000000" w:themeColor="text1"/>
        </w:rPr>
      </w:pPr>
      <w:r w:rsidRPr="00A07D9A">
        <w:rPr>
          <w:color w:val="000000" w:themeColor="text1"/>
        </w:rPr>
        <w:t>El porcentaje de tenencia de acciones con derecho a voto de cada uno de los accionistas.</w:t>
      </w:r>
    </w:p>
    <w:p w14:paraId="78FE3823" w14:textId="77777777" w:rsidR="00A11C90" w:rsidRPr="00A07D9A" w:rsidRDefault="00A11C90" w:rsidP="00C164BD">
      <w:pPr>
        <w:pStyle w:val="Prrafodelista"/>
        <w:numPr>
          <w:ilvl w:val="0"/>
          <w:numId w:val="28"/>
        </w:numPr>
        <w:spacing w:after="160" w:line="259" w:lineRule="auto"/>
        <w:ind w:left="714" w:hanging="357"/>
        <w:rPr>
          <w:color w:val="000000" w:themeColor="text1"/>
        </w:rPr>
      </w:pPr>
      <w:r w:rsidRPr="00A07D9A">
        <w:rPr>
          <w:color w:val="000000" w:themeColor="text1"/>
        </w:rPr>
        <w:t xml:space="preserve">Los integrantes del consejo de administración u </w:t>
      </w:r>
      <w:r w:rsidRPr="00A07D9A">
        <w:rPr>
          <w:rFonts w:cs="Arial"/>
          <w:color w:val="000000" w:themeColor="text1"/>
        </w:rPr>
        <w:t xml:space="preserve">órganos encargados de tomar las decisiones y quienes </w:t>
      </w:r>
      <w:r w:rsidRPr="00A07D9A">
        <w:rPr>
          <w:color w:val="000000" w:themeColor="text1"/>
        </w:rPr>
        <w:t>tienen la</w:t>
      </w:r>
      <w:r w:rsidRPr="00A07D9A">
        <w:rPr>
          <w:rFonts w:cs="Arial"/>
          <w:color w:val="000000" w:themeColor="text1"/>
        </w:rPr>
        <w:t xml:space="preserve"> capacidad o el derecho para designarlos o nombrarlos</w:t>
      </w:r>
      <w:r w:rsidRPr="00A07D9A">
        <w:rPr>
          <w:color w:val="000000" w:themeColor="text1"/>
        </w:rPr>
        <w:t xml:space="preserve">. </w:t>
      </w:r>
    </w:p>
    <w:p w14:paraId="4BBC8EE6" w14:textId="77777777" w:rsidR="00A11C90" w:rsidRPr="00A07D9A" w:rsidRDefault="00A11C90" w:rsidP="00FE6791">
      <w:pPr>
        <w:pStyle w:val="Prrafodelista"/>
        <w:numPr>
          <w:ilvl w:val="0"/>
          <w:numId w:val="28"/>
        </w:numPr>
        <w:spacing w:after="160" w:line="259" w:lineRule="auto"/>
        <w:contextualSpacing/>
        <w:rPr>
          <w:color w:val="000000" w:themeColor="text1"/>
        </w:rPr>
      </w:pPr>
      <w:r w:rsidRPr="00A07D9A">
        <w:rPr>
          <w:color w:val="000000" w:themeColor="text1"/>
        </w:rPr>
        <w:t>Los</w:t>
      </w:r>
      <w:r w:rsidRPr="00A07D9A">
        <w:rPr>
          <w:rFonts w:cs="Arial"/>
          <w:color w:val="000000" w:themeColor="text1"/>
        </w:rPr>
        <w:t xml:space="preserve"> directivos, gerentes, administradores o sus equivalentes y quienes </w:t>
      </w:r>
      <w:r w:rsidRPr="00A07D9A">
        <w:rPr>
          <w:color w:val="000000" w:themeColor="text1"/>
        </w:rPr>
        <w:t>tienen la</w:t>
      </w:r>
      <w:r w:rsidRPr="00A07D9A">
        <w:rPr>
          <w:rFonts w:cs="Arial"/>
          <w:color w:val="000000" w:themeColor="text1"/>
        </w:rPr>
        <w:t xml:space="preserve"> capacidad o el derecho para designarlos o nombrarlos.</w:t>
      </w:r>
    </w:p>
    <w:p w14:paraId="1BC2F4E2" w14:textId="77777777" w:rsidR="00A11C90" w:rsidRPr="00A07D9A" w:rsidRDefault="00A11C90" w:rsidP="00A11C90">
      <w:pPr>
        <w:rPr>
          <w:color w:val="000000" w:themeColor="text1"/>
        </w:rPr>
      </w:pPr>
      <w:r w:rsidRPr="00A07D9A">
        <w:rPr>
          <w:color w:val="000000" w:themeColor="text1"/>
        </w:rPr>
        <w:t xml:space="preserve">No será necesario presentar la información previa para las empresas de los GIE a los que pertenecen los vendedores o enajenantes, en caso de que después de la concentración no exista asociación entre integrantes de esos GIE e integrantes de los </w:t>
      </w:r>
      <w:proofErr w:type="spellStart"/>
      <w:r w:rsidRPr="00A07D9A">
        <w:rPr>
          <w:color w:val="000000" w:themeColor="text1"/>
        </w:rPr>
        <w:t>GIEs</w:t>
      </w:r>
      <w:proofErr w:type="spellEnd"/>
      <w:r w:rsidRPr="00A07D9A">
        <w:rPr>
          <w:color w:val="000000" w:themeColor="text1"/>
        </w:rPr>
        <w:t xml:space="preserve"> al que pertenecen los demás participantes en la concentración.</w:t>
      </w:r>
    </w:p>
    <w:p w14:paraId="21394816" w14:textId="77777777" w:rsidR="00A11C90" w:rsidRPr="00A07D9A" w:rsidRDefault="00A11C90" w:rsidP="00A11C90">
      <w:pPr>
        <w:rPr>
          <w:color w:val="000000" w:themeColor="text1"/>
        </w:rPr>
      </w:pPr>
      <w:r w:rsidRPr="00A07D9A">
        <w:rPr>
          <w:color w:val="000000" w:themeColor="text1"/>
        </w:rPr>
        <w:t xml:space="preserve">La intención de obtener esta información consiste en que el IFT, al realizar la evaluación de la concentración, pueda identificar a todos y cada uno de los integrantes de los </w:t>
      </w:r>
      <w:r w:rsidR="008A07CB" w:rsidRPr="00A07D9A">
        <w:rPr>
          <w:color w:val="000000" w:themeColor="text1"/>
        </w:rPr>
        <w:t>agentes económicos</w:t>
      </w:r>
      <w:r w:rsidRPr="00A07D9A">
        <w:rPr>
          <w:color w:val="000000" w:themeColor="text1"/>
        </w:rPr>
        <w:t xml:space="preserve"> involucrados en la concentración notificada, evaluados bajo su dimensión de GIE, y los vínculos existentes entre ellos, así como la existencia de vínculos con otros </w:t>
      </w:r>
      <w:r w:rsidR="008A07CB" w:rsidRPr="00A07D9A">
        <w:rPr>
          <w:color w:val="000000" w:themeColor="text1"/>
        </w:rPr>
        <w:t>agentes económicos</w:t>
      </w:r>
      <w:r w:rsidRPr="00A07D9A">
        <w:rPr>
          <w:color w:val="000000" w:themeColor="text1"/>
        </w:rPr>
        <w:t>.</w:t>
      </w:r>
    </w:p>
    <w:p w14:paraId="2D8F407F" w14:textId="77777777" w:rsidR="00CB4572" w:rsidRPr="00A07D9A" w:rsidRDefault="00CB4572" w:rsidP="00CB4572">
      <w:pPr>
        <w:rPr>
          <w:color w:val="000000" w:themeColor="text1"/>
        </w:rPr>
      </w:pPr>
      <w:r w:rsidRPr="00A07D9A">
        <w:rPr>
          <w:color w:val="000000" w:themeColor="text1"/>
        </w:rPr>
        <w:t xml:space="preserve">Al respecto, en términos del artículo 63, fracción IV de la LFCE, el Instituto también requiere conocer la participación que tengan los agentes económicos involucrados en la concentración notificada, evaluados bajo su dimensión de GIE, en otros agentes económicos. </w:t>
      </w:r>
    </w:p>
    <w:p w14:paraId="6BAA0D12" w14:textId="77777777" w:rsidR="00CB4572" w:rsidRPr="00A07D9A" w:rsidRDefault="00CB4572" w:rsidP="00A11C90">
      <w:pPr>
        <w:rPr>
          <w:color w:val="000000" w:themeColor="text1"/>
        </w:rPr>
      </w:pPr>
      <w:r w:rsidRPr="00A07D9A">
        <w:rPr>
          <w:color w:val="000000" w:themeColor="text1"/>
        </w:rPr>
        <w:t>Si bien esta información puede solicitarse por el Instituto en el requerimiento de información adicional, en términos del artículo 90, fracción III,</w:t>
      </w:r>
      <w:r w:rsidR="0061457F" w:rsidRPr="00A07D9A">
        <w:rPr>
          <w:color w:val="000000" w:themeColor="text1"/>
        </w:rPr>
        <w:t xml:space="preserve"> de la LFCE,</w:t>
      </w:r>
      <w:r w:rsidRPr="00A07D9A">
        <w:rPr>
          <w:color w:val="000000" w:themeColor="text1"/>
        </w:rPr>
        <w:t xml:space="preserve"> es conveniente que los agentes económicos notificantes acompañen esta información desde su escrito de notificación. Lo anterior, permite al Instituto tramitar de forma ágil el procedimiento correspondiente.</w:t>
      </w:r>
    </w:p>
    <w:p w14:paraId="75C44992" w14:textId="60816B66" w:rsidR="00A11C90" w:rsidRPr="00A07D9A" w:rsidRDefault="00CB3CE8" w:rsidP="00A11C90">
      <w:pPr>
        <w:rPr>
          <w:color w:val="000000" w:themeColor="text1"/>
        </w:rPr>
      </w:pPr>
      <w:r w:rsidRPr="00A07D9A">
        <w:rPr>
          <w:color w:val="000000" w:themeColor="text1"/>
        </w:rPr>
        <w:lastRenderedPageBreak/>
        <w:t xml:space="preserve">Por ejemplo, los notificantes pueden </w:t>
      </w:r>
      <w:r w:rsidR="00A11C90" w:rsidRPr="00A07D9A">
        <w:rPr>
          <w:color w:val="000000" w:themeColor="text1"/>
        </w:rPr>
        <w:t>present</w:t>
      </w:r>
      <w:r w:rsidRPr="00A07D9A">
        <w:rPr>
          <w:color w:val="000000" w:themeColor="text1"/>
        </w:rPr>
        <w:t>ar</w:t>
      </w:r>
      <w:r w:rsidR="00A11C90" w:rsidRPr="00A07D9A">
        <w:rPr>
          <w:color w:val="000000" w:themeColor="text1"/>
        </w:rPr>
        <w:t xml:space="preserve"> la información esquematizada en diagramas</w:t>
      </w:r>
      <w:r w:rsidRPr="00A07D9A">
        <w:rPr>
          <w:color w:val="000000" w:themeColor="text1"/>
        </w:rPr>
        <w:t xml:space="preserve"> </w:t>
      </w:r>
      <w:r w:rsidR="00A11C90" w:rsidRPr="00A07D9A">
        <w:rPr>
          <w:color w:val="000000" w:themeColor="text1"/>
        </w:rPr>
        <w:t>e</w:t>
      </w:r>
      <w:r w:rsidRPr="00A07D9A">
        <w:rPr>
          <w:color w:val="000000" w:themeColor="text1"/>
        </w:rPr>
        <w:t>n donde se</w:t>
      </w:r>
      <w:r w:rsidR="00A11C90" w:rsidRPr="00A07D9A">
        <w:rPr>
          <w:color w:val="000000" w:themeColor="text1"/>
        </w:rPr>
        <w:t xml:space="preserve"> revelen las estructuras y tenencias accionarias de los </w:t>
      </w:r>
      <w:r w:rsidR="008A07CB" w:rsidRPr="00A07D9A">
        <w:rPr>
          <w:color w:val="000000" w:themeColor="text1"/>
        </w:rPr>
        <w:t>agentes económicos</w:t>
      </w:r>
      <w:r w:rsidR="00A11C90" w:rsidRPr="00A07D9A">
        <w:rPr>
          <w:color w:val="000000" w:themeColor="text1"/>
        </w:rPr>
        <w:t xml:space="preserve"> involucrados antes y después de la concentración. De esta manera, se facilita la entrega y comprensión de la información. </w:t>
      </w:r>
    </w:p>
    <w:p w14:paraId="064764BF" w14:textId="77777777" w:rsidR="00A11C90" w:rsidRPr="00A07D9A" w:rsidRDefault="00A11C90" w:rsidP="00FE6791">
      <w:pPr>
        <w:pStyle w:val="Prrafodelista"/>
        <w:numPr>
          <w:ilvl w:val="0"/>
          <w:numId w:val="8"/>
        </w:numPr>
        <w:spacing w:after="160" w:line="259" w:lineRule="auto"/>
        <w:ind w:left="567" w:hanging="425"/>
        <w:contextualSpacing/>
        <w:rPr>
          <w:b/>
          <w:color w:val="000000" w:themeColor="text1"/>
        </w:rPr>
      </w:pPr>
      <w:r w:rsidRPr="00A07D9A">
        <w:rPr>
          <w:b/>
          <w:color w:val="000000" w:themeColor="text1"/>
        </w:rPr>
        <w:t>Mención sobre los Agentes Económicos involucrados en la transacción que tengan directa o indirectamente participación en el capital social, en la administración o en cualquier actividad de otros Agentes Económicos que produzcan o comercialicen bienes o servicios iguales, similares o sustancialmente relacionados con los bienes o servicios de los Agentes Económicos participantes en la concentración.</w:t>
      </w:r>
    </w:p>
    <w:p w14:paraId="7BF0ACDA" w14:textId="77777777" w:rsidR="00A11C90" w:rsidRPr="00A07D9A" w:rsidRDefault="00A11C90" w:rsidP="00A11C90">
      <w:pPr>
        <w:rPr>
          <w:color w:val="000000" w:themeColor="text1"/>
        </w:rPr>
      </w:pPr>
      <w:r w:rsidRPr="00A07D9A">
        <w:rPr>
          <w:color w:val="000000" w:themeColor="text1"/>
        </w:rPr>
        <w:t xml:space="preserve">Este requisito tiene como objetivo identificar a los integrantes de los </w:t>
      </w:r>
      <w:r w:rsidR="008A07CB" w:rsidRPr="00A07D9A">
        <w:rPr>
          <w:color w:val="000000" w:themeColor="text1"/>
        </w:rPr>
        <w:t>agentes económicos</w:t>
      </w:r>
      <w:r w:rsidRPr="00A07D9A">
        <w:rPr>
          <w:color w:val="000000" w:themeColor="text1"/>
        </w:rPr>
        <w:t xml:space="preserve"> involucrados en la transacción</w:t>
      </w:r>
      <w:r w:rsidR="00095030" w:rsidRPr="00A07D9A">
        <w:rPr>
          <w:color w:val="000000" w:themeColor="text1"/>
        </w:rPr>
        <w:t>,</w:t>
      </w:r>
      <w:r w:rsidRPr="00A07D9A">
        <w:rPr>
          <w:color w:val="000000" w:themeColor="text1"/>
        </w:rPr>
        <w:t xml:space="preserve"> evaluados bajo su dimensión de GIE, y de otros </w:t>
      </w:r>
      <w:r w:rsidR="008A07CB" w:rsidRPr="00A07D9A">
        <w:rPr>
          <w:color w:val="000000" w:themeColor="text1"/>
        </w:rPr>
        <w:t>agentes económicos</w:t>
      </w:r>
      <w:r w:rsidRPr="00A07D9A">
        <w:rPr>
          <w:color w:val="000000" w:themeColor="text1"/>
        </w:rPr>
        <w:t xml:space="preserve"> vinculados</w:t>
      </w:r>
      <w:r w:rsidR="00FD0DF5" w:rsidRPr="00A07D9A">
        <w:rPr>
          <w:color w:val="000000" w:themeColor="text1"/>
        </w:rPr>
        <w:t xml:space="preserve"> a un nivel de influencia</w:t>
      </w:r>
      <w:r w:rsidRPr="00A07D9A">
        <w:rPr>
          <w:color w:val="000000" w:themeColor="text1"/>
        </w:rPr>
        <w:t>, que produzcan o comerciali</w:t>
      </w:r>
      <w:r w:rsidR="00BC07D0" w:rsidRPr="00A07D9A">
        <w:rPr>
          <w:color w:val="000000" w:themeColor="text1"/>
        </w:rPr>
        <w:t>cen</w:t>
      </w:r>
      <w:r w:rsidRPr="00A07D9A">
        <w:rPr>
          <w:color w:val="000000" w:themeColor="text1"/>
        </w:rPr>
        <w:t xml:space="preserve"> bienes o servicios iguales, similares o sustancialmente relacionados.</w:t>
      </w:r>
    </w:p>
    <w:p w14:paraId="5B24339C" w14:textId="77777777" w:rsidR="00A11C90" w:rsidRPr="00A07D9A" w:rsidRDefault="00A11C90" w:rsidP="00A11C90">
      <w:pPr>
        <w:rPr>
          <w:rFonts w:cs="Arial"/>
          <w:color w:val="000000" w:themeColor="text1"/>
        </w:rPr>
      </w:pPr>
      <w:r w:rsidRPr="00A07D9A">
        <w:rPr>
          <w:color w:val="000000" w:themeColor="text1"/>
        </w:rPr>
        <w:t>Para este fin, r</w:t>
      </w:r>
      <w:r w:rsidRPr="00A07D9A">
        <w:rPr>
          <w:rFonts w:cs="Arial"/>
          <w:color w:val="000000" w:themeColor="text1"/>
        </w:rPr>
        <w:t xml:space="preserve">especto </w:t>
      </w:r>
      <w:r w:rsidRPr="00A07D9A">
        <w:rPr>
          <w:color w:val="000000" w:themeColor="text1"/>
        </w:rPr>
        <w:t xml:space="preserve">de todas y cada una de las </w:t>
      </w:r>
      <w:r w:rsidRPr="00A07D9A">
        <w:rPr>
          <w:rFonts w:cs="Arial"/>
          <w:color w:val="000000" w:themeColor="text1"/>
        </w:rPr>
        <w:t xml:space="preserve">personas físicas y morales que se identifiquen en los numerales i), ii), iii) y iv) del requisito previo, se deberá identificar las actividades económicas que realizan, incluyendo los productos y servicios relacionados con las telecomunicaciones y/o radiodifusión que ofrecen. Esta información permitirá al IFT identificar las actividades, productos y servicios, de coincidencia, así como si la operación se trata de una concentración horizontal, vertical o de conglomerado. </w:t>
      </w:r>
    </w:p>
    <w:p w14:paraId="16DCD0CD" w14:textId="77777777" w:rsidR="00A11C90" w:rsidRPr="00A07D9A" w:rsidRDefault="00A11C90" w:rsidP="00A11C90">
      <w:pPr>
        <w:rPr>
          <w:color w:val="000000" w:themeColor="text1"/>
        </w:rPr>
      </w:pPr>
      <w:r w:rsidRPr="00A07D9A">
        <w:rPr>
          <w:rFonts w:cs="Arial"/>
          <w:color w:val="000000" w:themeColor="text1"/>
        </w:rPr>
        <w:t xml:space="preserve">Las coincidencias entre actividades, productos y servicios pueden surgir entre el </w:t>
      </w:r>
      <w:r w:rsidR="00A83FB8" w:rsidRPr="00A07D9A">
        <w:rPr>
          <w:rFonts w:cs="Arial"/>
          <w:color w:val="000000" w:themeColor="text1"/>
        </w:rPr>
        <w:t>agente económico</w:t>
      </w:r>
      <w:r w:rsidRPr="00A07D9A">
        <w:rPr>
          <w:rFonts w:cs="Arial"/>
          <w:color w:val="000000" w:themeColor="text1"/>
        </w:rPr>
        <w:t xml:space="preserve"> adquiriente o comprador evaluado bajo su dimensión de GIE, incluyendo a otros </w:t>
      </w:r>
      <w:r w:rsidR="008A07CB" w:rsidRPr="00A07D9A">
        <w:rPr>
          <w:rFonts w:cs="Arial"/>
          <w:color w:val="000000" w:themeColor="text1"/>
        </w:rPr>
        <w:t>agentes económicos</w:t>
      </w:r>
      <w:r w:rsidRPr="00A07D9A">
        <w:rPr>
          <w:rFonts w:cs="Arial"/>
          <w:color w:val="000000" w:themeColor="text1"/>
        </w:rPr>
        <w:t xml:space="preserve"> vinculados con éste, y la sociedad objeto de la concentración. Sin embargo, también pueden surgir entre el </w:t>
      </w:r>
      <w:r w:rsidR="00A83FB8" w:rsidRPr="00A07D9A">
        <w:rPr>
          <w:rFonts w:cs="Arial"/>
          <w:color w:val="000000" w:themeColor="text1"/>
        </w:rPr>
        <w:t>agentes económicos</w:t>
      </w:r>
      <w:r w:rsidRPr="00A07D9A">
        <w:rPr>
          <w:rFonts w:cs="Arial"/>
          <w:color w:val="000000" w:themeColor="text1"/>
        </w:rPr>
        <w:t xml:space="preserve"> adquiriente o comprador y el </w:t>
      </w:r>
      <w:r w:rsidR="00A83FB8" w:rsidRPr="00A07D9A">
        <w:rPr>
          <w:rFonts w:cs="Arial"/>
          <w:color w:val="000000" w:themeColor="text1"/>
        </w:rPr>
        <w:t>agente económico</w:t>
      </w:r>
      <w:r w:rsidRPr="00A07D9A">
        <w:rPr>
          <w:rFonts w:cs="Arial"/>
          <w:color w:val="000000" w:themeColor="text1"/>
        </w:rPr>
        <w:t xml:space="preserve"> vendedor, evaluados como GIE e incluyendo a otros </w:t>
      </w:r>
      <w:r w:rsidR="008A07CB" w:rsidRPr="00A07D9A">
        <w:rPr>
          <w:rFonts w:cs="Arial"/>
          <w:color w:val="000000" w:themeColor="text1"/>
        </w:rPr>
        <w:t>agentes económicos</w:t>
      </w:r>
      <w:r w:rsidRPr="00A07D9A">
        <w:rPr>
          <w:rFonts w:cs="Arial"/>
          <w:color w:val="000000" w:themeColor="text1"/>
        </w:rPr>
        <w:t xml:space="preserve"> vinculados con ellos, en caso de que después de la concentración algún miembro del </w:t>
      </w:r>
      <w:r w:rsidR="00A83FB8" w:rsidRPr="00A07D9A">
        <w:rPr>
          <w:rFonts w:cs="Arial"/>
          <w:color w:val="000000" w:themeColor="text1"/>
        </w:rPr>
        <w:t>agentes económicos</w:t>
      </w:r>
      <w:r w:rsidRPr="00A07D9A">
        <w:rPr>
          <w:rFonts w:cs="Arial"/>
          <w:color w:val="000000" w:themeColor="text1"/>
        </w:rPr>
        <w:t xml:space="preserve"> vendedor siga participando como socio en la sociedad objeto de la concentración. </w:t>
      </w:r>
    </w:p>
    <w:p w14:paraId="3042F5E1" w14:textId="77777777" w:rsidR="00A11C90" w:rsidRPr="00A07D9A" w:rsidRDefault="00A11C90" w:rsidP="00A11C90">
      <w:pPr>
        <w:rPr>
          <w:color w:val="000000" w:themeColor="text1"/>
        </w:rPr>
      </w:pPr>
      <w:r w:rsidRPr="00A07D9A">
        <w:rPr>
          <w:color w:val="000000" w:themeColor="text1"/>
        </w:rPr>
        <w:t xml:space="preserve">En el escrito de notificación de concentración, los </w:t>
      </w:r>
      <w:r w:rsidR="008A07CB" w:rsidRPr="00A07D9A">
        <w:rPr>
          <w:color w:val="000000" w:themeColor="text1"/>
        </w:rPr>
        <w:t>agentes económicos</w:t>
      </w:r>
      <w:r w:rsidRPr="00A07D9A">
        <w:rPr>
          <w:color w:val="000000" w:themeColor="text1"/>
        </w:rPr>
        <w:t xml:space="preserve"> involucrados pueden pronunciarse respecto de cuáles de los bienes o servicios implicados en la concentración se tratan de bienes o servicios iguales, similares o sustancialmente relacionados. Sin embargo, deben ser exhaustivos en cuanto a informar al IFT de todas y cada una de las actividades, así como de todos y cada uno de los productos y servicios que producen y comercializan. </w:t>
      </w:r>
    </w:p>
    <w:p w14:paraId="13DF956D" w14:textId="77777777" w:rsidR="00A11C90" w:rsidRPr="00A07D9A" w:rsidRDefault="00A11C90" w:rsidP="00A11C90">
      <w:pPr>
        <w:rPr>
          <w:color w:val="000000" w:themeColor="text1"/>
        </w:rPr>
      </w:pPr>
      <w:r w:rsidRPr="00A07D9A">
        <w:rPr>
          <w:color w:val="000000" w:themeColor="text1"/>
        </w:rPr>
        <w:t xml:space="preserve">Las omisiones, además de generar retrasos, pueden dar lugar, en términos del artículo 127, fracción III de la LFCE, a sanciones por haber declarado falsamente o </w:t>
      </w:r>
      <w:r w:rsidRPr="00A07D9A">
        <w:rPr>
          <w:color w:val="000000" w:themeColor="text1"/>
        </w:rPr>
        <w:lastRenderedPageBreak/>
        <w:t>entregado información falsa; además de investigaciones de concentraciones que cuenten con resolución favorable, en términos del artículo 65 de la LFCE.</w:t>
      </w:r>
    </w:p>
    <w:p w14:paraId="03744487" w14:textId="77777777" w:rsidR="00A11C90" w:rsidRPr="00A07D9A" w:rsidRDefault="00A11C90" w:rsidP="00FE6791">
      <w:pPr>
        <w:pStyle w:val="Prrafodelista"/>
        <w:numPr>
          <w:ilvl w:val="0"/>
          <w:numId w:val="8"/>
        </w:numPr>
        <w:spacing w:after="160" w:line="259" w:lineRule="auto"/>
        <w:ind w:left="567" w:hanging="425"/>
        <w:contextualSpacing/>
        <w:rPr>
          <w:b/>
          <w:color w:val="000000" w:themeColor="text1"/>
        </w:rPr>
      </w:pPr>
      <w:r w:rsidRPr="00A07D9A">
        <w:rPr>
          <w:b/>
          <w:color w:val="000000" w:themeColor="text1"/>
        </w:rPr>
        <w:t>Datos de la participación en el mercado de los Agentes Económicos involucrados y de sus competidores.</w:t>
      </w:r>
    </w:p>
    <w:p w14:paraId="1E759EED" w14:textId="77777777" w:rsidR="00A11C90" w:rsidRPr="00A07D9A" w:rsidRDefault="00A11C90" w:rsidP="00A11C90">
      <w:pPr>
        <w:rPr>
          <w:color w:val="000000" w:themeColor="text1"/>
        </w:rPr>
      </w:pPr>
      <w:r w:rsidRPr="00A07D9A">
        <w:rPr>
          <w:color w:val="000000" w:themeColor="text1"/>
        </w:rPr>
        <w:t xml:space="preserve">En cuanto a las participaciones de mercado que los </w:t>
      </w:r>
      <w:r w:rsidR="008A07CB" w:rsidRPr="00A07D9A">
        <w:rPr>
          <w:color w:val="000000" w:themeColor="text1"/>
        </w:rPr>
        <w:t>agentes económicos</w:t>
      </w:r>
      <w:r w:rsidRPr="00A07D9A">
        <w:rPr>
          <w:color w:val="000000" w:themeColor="text1"/>
        </w:rPr>
        <w:t xml:space="preserve"> pueden presentar, éstas servirán como un primer acercamiento del grado de concentración y de la probabilidad de que la concentración pueda obstaculizar, disminuir, dañar o impedir la libre concurrencia y competencia económica en mercados de los sectores de telecomunicaciones y radiodifusión. </w:t>
      </w:r>
    </w:p>
    <w:p w14:paraId="215EA033" w14:textId="77777777" w:rsidR="00A11C90" w:rsidRPr="00A07D9A" w:rsidRDefault="00A11C90" w:rsidP="00A11C90">
      <w:pPr>
        <w:rPr>
          <w:color w:val="000000" w:themeColor="text1"/>
        </w:rPr>
      </w:pPr>
      <w:r w:rsidRPr="00A07D9A">
        <w:rPr>
          <w:color w:val="000000" w:themeColor="text1"/>
        </w:rPr>
        <w:t xml:space="preserve">Al respecto, los </w:t>
      </w:r>
      <w:r w:rsidR="008A07CB" w:rsidRPr="00A07D9A">
        <w:rPr>
          <w:color w:val="000000" w:themeColor="text1"/>
        </w:rPr>
        <w:t>agentes económicos</w:t>
      </w:r>
      <w:r w:rsidRPr="00A07D9A">
        <w:rPr>
          <w:color w:val="000000" w:themeColor="text1"/>
        </w:rPr>
        <w:t xml:space="preserve"> deberán aportar no sólo los datos de su participación en el bien o servicio en que sucede la concentración en los sectores de telecomunicaciones y radiodifusión, sino también los que corresponden a los demás bienes y servicios en los que participan y que tengan alguna relación con el primero. </w:t>
      </w:r>
    </w:p>
    <w:p w14:paraId="46347D8C" w14:textId="77777777" w:rsidR="00A11C90" w:rsidRPr="00A07D9A" w:rsidRDefault="00A11C90" w:rsidP="00A11C90">
      <w:pPr>
        <w:rPr>
          <w:color w:val="000000" w:themeColor="text1"/>
        </w:rPr>
      </w:pPr>
      <w:r w:rsidRPr="00A07D9A">
        <w:rPr>
          <w:color w:val="000000" w:themeColor="text1"/>
        </w:rPr>
        <w:t xml:space="preserve">Los datos de participaciones que los </w:t>
      </w:r>
      <w:r w:rsidR="008A07CB" w:rsidRPr="00A07D9A">
        <w:rPr>
          <w:color w:val="000000" w:themeColor="text1"/>
        </w:rPr>
        <w:t>agentes económicos</w:t>
      </w:r>
      <w:r w:rsidRPr="00A07D9A">
        <w:rPr>
          <w:color w:val="000000" w:themeColor="text1"/>
        </w:rPr>
        <w:t xml:space="preserve"> presenten no necesariamente corresponden al mercado relevante o mercados relacionados en los que tiene efectos la concentración, que se determinan en términos de lo que indica</w:t>
      </w:r>
      <w:r w:rsidR="0024068C" w:rsidRPr="00A07D9A">
        <w:rPr>
          <w:color w:val="000000" w:themeColor="text1"/>
        </w:rPr>
        <w:t>n</w:t>
      </w:r>
      <w:r w:rsidRPr="00A07D9A">
        <w:rPr>
          <w:color w:val="000000" w:themeColor="text1"/>
        </w:rPr>
        <w:t xml:space="preserve"> l</w:t>
      </w:r>
      <w:r w:rsidR="0024068C" w:rsidRPr="00A07D9A">
        <w:rPr>
          <w:color w:val="000000" w:themeColor="text1"/>
        </w:rPr>
        <w:t>os</w:t>
      </w:r>
      <w:r w:rsidRPr="00A07D9A">
        <w:rPr>
          <w:color w:val="000000" w:themeColor="text1"/>
        </w:rPr>
        <w:t xml:space="preserve"> artículo</w:t>
      </w:r>
      <w:r w:rsidR="0024068C" w:rsidRPr="00A07D9A">
        <w:rPr>
          <w:color w:val="000000" w:themeColor="text1"/>
        </w:rPr>
        <w:t>s</w:t>
      </w:r>
      <w:r w:rsidRPr="00A07D9A">
        <w:rPr>
          <w:color w:val="000000" w:themeColor="text1"/>
        </w:rPr>
        <w:t xml:space="preserve"> 58 de la LFCE</w:t>
      </w:r>
      <w:r w:rsidR="001443AA" w:rsidRPr="00A07D9A">
        <w:rPr>
          <w:color w:val="000000" w:themeColor="text1"/>
        </w:rPr>
        <w:t xml:space="preserve"> y 6 de las Disposiciones Regulatorias</w:t>
      </w:r>
      <w:r w:rsidR="006A2745" w:rsidRPr="00A07D9A">
        <w:rPr>
          <w:color w:val="000000" w:themeColor="text1"/>
        </w:rPr>
        <w:t>, pues</w:t>
      </w:r>
      <w:r w:rsidRPr="00A07D9A">
        <w:rPr>
          <w:color w:val="000000" w:themeColor="text1"/>
        </w:rPr>
        <w:t xml:space="preserve"> ello es atribución del Instituto. Sin embargo, pueden ser utilizados de forma razonable para tratar de construir diferentes escenarios de agregación, entre los cuales se podría ubicar el mercado relevante y los mercados relacionados correspondientes. Si bajo ninguno de esos escenarios de agregación, se identifica que ésta pudiera obstaculizar, disminuir, dañar o impedir la libre concurrencia y competencia económica, entonces el IFT considerará finalizado su análisis de efectos.</w:t>
      </w:r>
    </w:p>
    <w:p w14:paraId="66C14677" w14:textId="77777777" w:rsidR="00A11C90" w:rsidRPr="00A07D9A" w:rsidRDefault="00A11C90" w:rsidP="00A11C90">
      <w:pPr>
        <w:rPr>
          <w:bCs/>
          <w:color w:val="000000" w:themeColor="text1"/>
        </w:rPr>
      </w:pPr>
      <w:r w:rsidRPr="00A07D9A">
        <w:rPr>
          <w:color w:val="000000" w:themeColor="text1"/>
        </w:rPr>
        <w:t xml:space="preserve">Por lo anterior, los </w:t>
      </w:r>
      <w:r w:rsidR="008A07CB" w:rsidRPr="00A07D9A">
        <w:rPr>
          <w:color w:val="000000" w:themeColor="text1"/>
        </w:rPr>
        <w:t>agentes económicos</w:t>
      </w:r>
      <w:r w:rsidRPr="00A07D9A">
        <w:rPr>
          <w:color w:val="000000" w:themeColor="text1"/>
        </w:rPr>
        <w:t xml:space="preserve"> deberán aportar la mejor información disponible y confiable que tengan a su alcance con vistas a que el IFT pueda aplicar el </w:t>
      </w:r>
      <w:r w:rsidRPr="00A07D9A">
        <w:rPr>
          <w:bCs/>
          <w:color w:val="000000" w:themeColor="text1"/>
        </w:rPr>
        <w:t>Criterio de Índice de Concentración</w:t>
      </w:r>
      <w:r w:rsidR="0058335E" w:rsidRPr="00A07D9A">
        <w:rPr>
          <w:bCs/>
          <w:color w:val="000000" w:themeColor="text1"/>
        </w:rPr>
        <w:t>.</w:t>
      </w:r>
    </w:p>
    <w:p w14:paraId="1FB91E92" w14:textId="77777777" w:rsidR="00A11C90" w:rsidRPr="00A07D9A" w:rsidRDefault="00A11C90" w:rsidP="00A11C90">
      <w:pPr>
        <w:rPr>
          <w:color w:val="000000" w:themeColor="text1"/>
        </w:rPr>
      </w:pPr>
      <w:r w:rsidRPr="00A07D9A">
        <w:rPr>
          <w:bCs/>
          <w:color w:val="000000" w:themeColor="text1"/>
        </w:rPr>
        <w:t>L</w:t>
      </w:r>
      <w:r w:rsidRPr="00A07D9A">
        <w:rPr>
          <w:color w:val="000000" w:themeColor="text1"/>
        </w:rPr>
        <w:t xml:space="preserve">as fuentes externas </w:t>
      </w:r>
      <w:r w:rsidR="0058335E" w:rsidRPr="00A07D9A">
        <w:rPr>
          <w:color w:val="000000" w:themeColor="text1"/>
        </w:rPr>
        <w:t xml:space="preserve">(información ajena a la presentada por los involucrados) </w:t>
      </w:r>
      <w:r w:rsidRPr="00A07D9A">
        <w:rPr>
          <w:color w:val="000000" w:themeColor="text1"/>
        </w:rPr>
        <w:t xml:space="preserve">también son utilizadas por el IFT. Sin embargo, los </w:t>
      </w:r>
      <w:r w:rsidR="008A07CB" w:rsidRPr="00A07D9A">
        <w:rPr>
          <w:color w:val="000000" w:themeColor="text1"/>
        </w:rPr>
        <w:t>agentes económicos</w:t>
      </w:r>
      <w:r w:rsidRPr="00A07D9A">
        <w:rPr>
          <w:color w:val="000000" w:themeColor="text1"/>
        </w:rPr>
        <w:t xml:space="preserve"> podrán presentar estimaciones generadas por ellos mismos, para lo cual deberán acompañar la metodología y supuestos aplicados, quedando a salvo la facultad del IFT para requerir o allegarse de toda la información y/o documentación que estime necesaria. </w:t>
      </w:r>
    </w:p>
    <w:p w14:paraId="1BD68AA0" w14:textId="77777777" w:rsidR="00A11C90" w:rsidRPr="00A07D9A" w:rsidRDefault="00A11C90" w:rsidP="00A11C90">
      <w:pPr>
        <w:rPr>
          <w:color w:val="000000" w:themeColor="text1"/>
        </w:rPr>
      </w:pPr>
      <w:r w:rsidRPr="00A07D9A">
        <w:rPr>
          <w:color w:val="000000" w:themeColor="text1"/>
        </w:rPr>
        <w:t xml:space="preserve">En términos de la fracción l del artículo 59 de la LFCE y el </w:t>
      </w:r>
      <w:r w:rsidRPr="00A07D9A">
        <w:rPr>
          <w:bCs/>
          <w:color w:val="000000" w:themeColor="text1"/>
        </w:rPr>
        <w:t>Criterio de Índice de Concentración</w:t>
      </w:r>
      <w:r w:rsidRPr="00A07D9A">
        <w:rPr>
          <w:color w:val="000000" w:themeColor="text1"/>
        </w:rPr>
        <w:t xml:space="preserve">, para determinar la participación de mercado se deben utilizar variables pertinentes para el caso particular de estudio, que incluyen sin limitar: el número de usuarios, suscripciones, audiencia, tráfico en las redes, número de frecuencias o estaciones y capacidad productiva e instalada, así como el valor o </w:t>
      </w:r>
      <w:r w:rsidRPr="00A07D9A">
        <w:rPr>
          <w:color w:val="000000" w:themeColor="text1"/>
        </w:rPr>
        <w:lastRenderedPageBreak/>
        <w:t xml:space="preserve">volumen de las ventas. </w:t>
      </w:r>
      <w:r w:rsidR="001443AA" w:rsidRPr="00A07D9A">
        <w:rPr>
          <w:color w:val="000000" w:themeColor="text1"/>
        </w:rPr>
        <w:t xml:space="preserve">En general, se podrá emplear cualquier otra variable que el IFT considere que refleje adecuadamente la </w:t>
      </w:r>
      <w:r w:rsidR="00AA5762" w:rsidRPr="00A07D9A">
        <w:rPr>
          <w:color w:val="000000" w:themeColor="text1"/>
        </w:rPr>
        <w:t xml:space="preserve">capacidad, posición o participación </w:t>
      </w:r>
      <w:r w:rsidR="001443AA" w:rsidRPr="00A07D9A">
        <w:rPr>
          <w:color w:val="000000" w:themeColor="text1"/>
        </w:rPr>
        <w:t xml:space="preserve">de los agentes económicos </w:t>
      </w:r>
      <w:r w:rsidR="00AA5762" w:rsidRPr="00A07D9A">
        <w:rPr>
          <w:color w:val="000000" w:themeColor="text1"/>
        </w:rPr>
        <w:t xml:space="preserve">relevante para identificar su capacidad de competir </w:t>
      </w:r>
      <w:r w:rsidR="001443AA" w:rsidRPr="00A07D9A">
        <w:rPr>
          <w:color w:val="000000" w:themeColor="text1"/>
        </w:rPr>
        <w:t xml:space="preserve">en los mercados. </w:t>
      </w: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involucrados siempre deben especificar las </w:t>
      </w:r>
      <w:r w:rsidRPr="00A07D9A">
        <w:rPr>
          <w:rFonts w:cs="Times New Roman"/>
          <w:color w:val="000000" w:themeColor="text1"/>
        </w:rPr>
        <w:t>unidades de estas variables</w:t>
      </w:r>
      <w:r w:rsidRPr="00A07D9A">
        <w:rPr>
          <w:color w:val="000000" w:themeColor="text1"/>
        </w:rPr>
        <w:t>.</w:t>
      </w:r>
    </w:p>
    <w:p w14:paraId="1090EFD3" w14:textId="77777777" w:rsidR="00A11C90" w:rsidRPr="00A07D9A" w:rsidRDefault="00A11C90" w:rsidP="00A11C90">
      <w:pPr>
        <w:rPr>
          <w:color w:val="000000" w:themeColor="text1"/>
        </w:rPr>
      </w:pPr>
      <w:r w:rsidRPr="00A07D9A">
        <w:rPr>
          <w:color w:val="000000" w:themeColor="text1"/>
        </w:rPr>
        <w:t xml:space="preserve">En caso de que los datos de la participación en el mercado de los </w:t>
      </w:r>
      <w:r w:rsidR="008A07CB" w:rsidRPr="00A07D9A">
        <w:rPr>
          <w:color w:val="000000" w:themeColor="text1"/>
        </w:rPr>
        <w:t>agentes económicos</w:t>
      </w:r>
      <w:r w:rsidRPr="00A07D9A">
        <w:rPr>
          <w:color w:val="000000" w:themeColor="text1"/>
        </w:rPr>
        <w:t xml:space="preserve"> involucrados y de sus competidores no sean suficientes para descartar efectos contrarios a la libre concurrencia y competencia económica, el IFT podrá continuar con la parte del procedimiento a que se refiere la fracción III del </w:t>
      </w:r>
      <w:r w:rsidR="00C561C7" w:rsidRPr="00A07D9A">
        <w:rPr>
          <w:color w:val="000000" w:themeColor="text1"/>
        </w:rPr>
        <w:t>artículo</w:t>
      </w:r>
      <w:r w:rsidRPr="00A07D9A">
        <w:rPr>
          <w:color w:val="000000" w:themeColor="text1"/>
        </w:rPr>
        <w:t xml:space="preserve"> 90 de la LFCE. Así, se podrá solicitar información adicional para evaluar los elementos a que se refieren los artículos 58, 59, 63 y 64 de la LFCE.</w:t>
      </w:r>
    </w:p>
    <w:p w14:paraId="234D2102" w14:textId="77777777" w:rsidR="00A11C90" w:rsidRPr="00A07D9A" w:rsidRDefault="00A11C90" w:rsidP="00FE6791">
      <w:pPr>
        <w:pStyle w:val="Prrafodelista"/>
        <w:numPr>
          <w:ilvl w:val="0"/>
          <w:numId w:val="8"/>
        </w:numPr>
        <w:spacing w:after="160" w:line="259" w:lineRule="auto"/>
        <w:ind w:left="567" w:hanging="425"/>
        <w:contextualSpacing/>
        <w:rPr>
          <w:b/>
          <w:color w:val="000000" w:themeColor="text1"/>
        </w:rPr>
      </w:pPr>
      <w:r w:rsidRPr="00A07D9A">
        <w:rPr>
          <w:b/>
          <w:color w:val="000000" w:themeColor="text1"/>
        </w:rPr>
        <w:t>Localización de las plantas o establecimientos de los Agentes Económicos involucrados, la ubicación de sus principales centros de distribución y la relación que éstos guarden con dichos Agentes Económicos.</w:t>
      </w:r>
    </w:p>
    <w:p w14:paraId="60F81BC5" w14:textId="77777777" w:rsidR="00A11C90" w:rsidRPr="00A07D9A" w:rsidRDefault="00A11C90" w:rsidP="00A11C90">
      <w:pPr>
        <w:rPr>
          <w:color w:val="000000" w:themeColor="text1"/>
        </w:rPr>
      </w:pPr>
      <w:r w:rsidRPr="00A07D9A">
        <w:rPr>
          <w:color w:val="000000" w:themeColor="text1"/>
        </w:rPr>
        <w:t xml:space="preserve">Este requisito forma parte de los datos de identificación de los </w:t>
      </w:r>
      <w:r w:rsidR="008A07CB" w:rsidRPr="00A07D9A">
        <w:rPr>
          <w:color w:val="000000" w:themeColor="text1"/>
        </w:rPr>
        <w:t>agentes económicos</w:t>
      </w:r>
      <w:r w:rsidRPr="00A07D9A">
        <w:rPr>
          <w:color w:val="000000" w:themeColor="text1"/>
        </w:rPr>
        <w:t xml:space="preserve"> involucrados y, complementariamente, permitirá conocer el alcance geográfico de sus actividades. </w:t>
      </w:r>
    </w:p>
    <w:p w14:paraId="294E50CD" w14:textId="77777777" w:rsidR="00A11C90" w:rsidRPr="00A07D9A" w:rsidRDefault="00A11C90" w:rsidP="00A11C90">
      <w:pPr>
        <w:rPr>
          <w:color w:val="000000" w:themeColor="text1"/>
        </w:rPr>
      </w:pPr>
      <w:r w:rsidRPr="00A07D9A">
        <w:rPr>
          <w:color w:val="000000" w:themeColor="text1"/>
        </w:rPr>
        <w:t>Es importante que en el escrito de notificación de concentración, se distinga entre las plantas de producción</w:t>
      </w:r>
      <w:r w:rsidR="0058335E" w:rsidRPr="00A07D9A">
        <w:rPr>
          <w:color w:val="000000" w:themeColor="text1"/>
        </w:rPr>
        <w:t xml:space="preserve"> (i.e. infraestructura activa o pasiva)</w:t>
      </w:r>
      <w:r w:rsidRPr="00A07D9A">
        <w:rPr>
          <w:color w:val="000000" w:themeColor="text1"/>
        </w:rPr>
        <w:t xml:space="preserve"> y los centros o establecimientos de distribución, o en su caso los puntos de venta</w:t>
      </w:r>
      <w:r w:rsidR="001C36A0" w:rsidRPr="00A07D9A">
        <w:rPr>
          <w:color w:val="000000" w:themeColor="text1"/>
        </w:rPr>
        <w:t>, así como los principales elementos de infraestructura</w:t>
      </w:r>
      <w:r w:rsidRPr="00A07D9A">
        <w:rPr>
          <w:color w:val="000000" w:themeColor="text1"/>
        </w:rPr>
        <w:t xml:space="preserve">. En el caso de que los centros de distribución no pertenezcan a los </w:t>
      </w:r>
      <w:r w:rsidR="008A07CB" w:rsidRPr="00A07D9A">
        <w:rPr>
          <w:color w:val="000000" w:themeColor="text1"/>
        </w:rPr>
        <w:t>agentes económicos</w:t>
      </w:r>
      <w:r w:rsidRPr="00A07D9A">
        <w:rPr>
          <w:color w:val="000000" w:themeColor="text1"/>
        </w:rPr>
        <w:t xml:space="preserve"> involucrados, deberán identificar a las personas, bajo su dimensión de GIE, a quienes les pertenezcan e identificar el tipo de vínculos que éstas tienen con los </w:t>
      </w:r>
      <w:r w:rsidR="008A07CB" w:rsidRPr="00A07D9A">
        <w:rPr>
          <w:color w:val="000000" w:themeColor="text1"/>
        </w:rPr>
        <w:t>agentes económicos</w:t>
      </w:r>
      <w:r w:rsidRPr="00A07D9A">
        <w:rPr>
          <w:color w:val="000000" w:themeColor="text1"/>
        </w:rPr>
        <w:t xml:space="preserve"> involucrados. También deberá especificar si esos centros o establecimientos de distribución son utilizados de forma exclusiva por los </w:t>
      </w:r>
      <w:r w:rsidR="008A07CB" w:rsidRPr="00A07D9A">
        <w:rPr>
          <w:color w:val="000000" w:themeColor="text1"/>
        </w:rPr>
        <w:t>agentes económicos</w:t>
      </w:r>
      <w:r w:rsidRPr="00A07D9A">
        <w:rPr>
          <w:color w:val="000000" w:themeColor="text1"/>
        </w:rPr>
        <w:t xml:space="preserve"> involucrados y, en ese caso, presentar copia de los contratos de distribución. </w:t>
      </w:r>
    </w:p>
    <w:p w14:paraId="3C7E8218" w14:textId="77777777" w:rsidR="00A11C90" w:rsidRPr="00A07D9A" w:rsidRDefault="00A11C90" w:rsidP="00A11C90">
      <w:pPr>
        <w:rPr>
          <w:color w:val="000000" w:themeColor="text1"/>
        </w:rPr>
      </w:pPr>
      <w:r w:rsidRPr="00A07D9A">
        <w:rPr>
          <w:color w:val="000000" w:themeColor="text1"/>
        </w:rPr>
        <w:t xml:space="preserve">En el caso de los </w:t>
      </w:r>
      <w:r w:rsidR="008A07CB" w:rsidRPr="00A07D9A">
        <w:rPr>
          <w:color w:val="000000" w:themeColor="text1"/>
        </w:rPr>
        <w:t>agentes económicos</w:t>
      </w:r>
      <w:r w:rsidRPr="00A07D9A">
        <w:rPr>
          <w:color w:val="000000" w:themeColor="text1"/>
        </w:rPr>
        <w:t xml:space="preserve"> involucrados que presten servicios de telecomunicaciones, se deberá identificar la infraestructura de redes públicas de telecomunicaciones con las que cuentan, y, en caso de requerirse, la ubicación y características de sus centrales y sitios de transmisión y recepción de señales.</w:t>
      </w:r>
    </w:p>
    <w:p w14:paraId="5C51A058" w14:textId="77777777" w:rsidR="00A11C90" w:rsidRPr="00A07D9A" w:rsidRDefault="00A11C90" w:rsidP="00A11C90">
      <w:pPr>
        <w:rPr>
          <w:color w:val="000000" w:themeColor="text1"/>
        </w:rPr>
      </w:pPr>
      <w:r w:rsidRPr="00A07D9A">
        <w:rPr>
          <w:color w:val="000000" w:themeColor="text1"/>
        </w:rPr>
        <w:t xml:space="preserve">Para los </w:t>
      </w:r>
      <w:r w:rsidR="008A07CB" w:rsidRPr="00A07D9A">
        <w:rPr>
          <w:color w:val="000000" w:themeColor="text1"/>
        </w:rPr>
        <w:t>agentes económicos</w:t>
      </w:r>
      <w:r w:rsidRPr="00A07D9A">
        <w:rPr>
          <w:color w:val="000000" w:themeColor="text1"/>
        </w:rPr>
        <w:t xml:space="preserve"> involucrados que prestan servicios de radiodifusión, se deberán identificar las estaciones que tienen concesionadas, así como su distintivo, frecuencia, ubicación y cobertura o principal localidad a servir. Lo anterior, tanto para las personas físicas o morales que integran los GIE al que pertenecen los </w:t>
      </w:r>
      <w:r w:rsidR="008A07CB" w:rsidRPr="00A07D9A">
        <w:rPr>
          <w:color w:val="000000" w:themeColor="text1"/>
        </w:rPr>
        <w:t>agentes económicos</w:t>
      </w:r>
      <w:r w:rsidRPr="00A07D9A">
        <w:rPr>
          <w:color w:val="000000" w:themeColor="text1"/>
        </w:rPr>
        <w:t xml:space="preserve"> involucrados, así como para los </w:t>
      </w:r>
      <w:r w:rsidR="008A07CB" w:rsidRPr="00A07D9A">
        <w:rPr>
          <w:color w:val="000000" w:themeColor="text1"/>
        </w:rPr>
        <w:t>agentes económicos</w:t>
      </w:r>
      <w:r w:rsidRPr="00A07D9A">
        <w:rPr>
          <w:color w:val="000000" w:themeColor="text1"/>
        </w:rPr>
        <w:t xml:space="preserve"> vinculados a esos GIE.</w:t>
      </w:r>
    </w:p>
    <w:p w14:paraId="428130B4" w14:textId="77777777" w:rsidR="00A11C90" w:rsidRPr="00A07D9A" w:rsidRDefault="00A11C90" w:rsidP="00FE6791">
      <w:pPr>
        <w:pStyle w:val="Prrafodelista"/>
        <w:numPr>
          <w:ilvl w:val="0"/>
          <w:numId w:val="8"/>
        </w:numPr>
        <w:spacing w:after="160" w:line="259" w:lineRule="auto"/>
        <w:ind w:left="567" w:hanging="425"/>
        <w:contextualSpacing/>
        <w:rPr>
          <w:b/>
          <w:color w:val="000000" w:themeColor="text1"/>
        </w:rPr>
      </w:pPr>
      <w:r w:rsidRPr="00A07D9A">
        <w:rPr>
          <w:b/>
          <w:color w:val="000000" w:themeColor="text1"/>
        </w:rPr>
        <w:t xml:space="preserve">Descripción de los principales bienes o servicios que produce u ofrece cada Agente Económico involucrado, precisando su uso en el mercado relevante </w:t>
      </w:r>
      <w:r w:rsidRPr="00A07D9A">
        <w:rPr>
          <w:b/>
          <w:color w:val="000000" w:themeColor="text1"/>
        </w:rPr>
        <w:lastRenderedPageBreak/>
        <w:t>y una lista de los bienes o servicios similares y de los principales Agentes Económicos que los produzcan, distribuyan o comercialicen en el territorio nacional.</w:t>
      </w:r>
    </w:p>
    <w:p w14:paraId="71362FF8" w14:textId="77777777" w:rsidR="00A11C90" w:rsidRPr="00A07D9A" w:rsidRDefault="00A11C90" w:rsidP="00A11C90">
      <w:pPr>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involucrados deben describir, de forma detallada y precisa, cuáles son los bienes o servicios que producen u ofrecen, incluyendo su uso y características, así como de los bienes o servicios similares que sean producidos, distribuidos y/o comercializados por parte de los competidores. </w:t>
      </w:r>
    </w:p>
    <w:p w14:paraId="46DB4158" w14:textId="77777777" w:rsidR="00A11C90" w:rsidRPr="00A07D9A" w:rsidRDefault="00A11C90" w:rsidP="00A11C90">
      <w:pPr>
        <w:rPr>
          <w:color w:val="000000" w:themeColor="text1"/>
        </w:rPr>
      </w:pPr>
      <w:r w:rsidRPr="00A07D9A">
        <w:rPr>
          <w:color w:val="000000" w:themeColor="text1"/>
        </w:rPr>
        <w:t>Con esta información, el IFT podrá valorar elementos iniciales que le permitan identificar la posible existencia de bienes o servicios sustitutos y relacionados y, en última instancia, el mercado relevante en el que ocurre la transacción.</w:t>
      </w:r>
    </w:p>
    <w:p w14:paraId="6466975F" w14:textId="77777777" w:rsidR="00A11C90" w:rsidRPr="00A07D9A" w:rsidRDefault="00A11C90" w:rsidP="00A11C90">
      <w:pPr>
        <w:rPr>
          <w:color w:val="000000" w:themeColor="text1"/>
        </w:rPr>
      </w:pPr>
      <w:r w:rsidRPr="00A07D9A">
        <w:rPr>
          <w:color w:val="000000" w:themeColor="text1"/>
        </w:rPr>
        <w:t xml:space="preserve">La información que los </w:t>
      </w:r>
      <w:r w:rsidR="008A07CB" w:rsidRPr="00A07D9A">
        <w:rPr>
          <w:color w:val="000000" w:themeColor="text1"/>
        </w:rPr>
        <w:t>agentes económicos</w:t>
      </w:r>
      <w:r w:rsidRPr="00A07D9A">
        <w:rPr>
          <w:color w:val="000000" w:themeColor="text1"/>
        </w:rPr>
        <w:t xml:space="preserve"> proporcionen deberá permitir al IFT identificar o descartar, en forma preliminar:</w:t>
      </w:r>
    </w:p>
    <w:p w14:paraId="4EC9FF83" w14:textId="77777777" w:rsidR="00A11C90" w:rsidRPr="00A07D9A" w:rsidRDefault="00A11C90" w:rsidP="00FE6791">
      <w:pPr>
        <w:pStyle w:val="Prrafodelista"/>
        <w:numPr>
          <w:ilvl w:val="0"/>
          <w:numId w:val="22"/>
        </w:numPr>
        <w:spacing w:after="160" w:line="259" w:lineRule="auto"/>
        <w:ind w:left="567"/>
        <w:rPr>
          <w:color w:val="000000" w:themeColor="text1"/>
        </w:rPr>
      </w:pPr>
      <w:r w:rsidRPr="00A07D9A">
        <w:rPr>
          <w:color w:val="000000" w:themeColor="text1"/>
        </w:rPr>
        <w:t xml:space="preserve">Coincidencias de productos o servicios en los mercados, es decir, que los </w:t>
      </w:r>
      <w:r w:rsidR="008A07CB" w:rsidRPr="00A07D9A">
        <w:rPr>
          <w:color w:val="000000" w:themeColor="text1"/>
        </w:rPr>
        <w:t>agentes económicos</w:t>
      </w:r>
      <w:r w:rsidRPr="00A07D9A">
        <w:rPr>
          <w:color w:val="000000" w:themeColor="text1"/>
        </w:rPr>
        <w:t xml:space="preserve"> involucrados sean competidores.</w:t>
      </w:r>
    </w:p>
    <w:p w14:paraId="365C22ED" w14:textId="77777777" w:rsidR="00A11C90" w:rsidRPr="00A07D9A" w:rsidRDefault="00A11C90" w:rsidP="00FE6791">
      <w:pPr>
        <w:pStyle w:val="Prrafodelista"/>
        <w:numPr>
          <w:ilvl w:val="0"/>
          <w:numId w:val="22"/>
        </w:numPr>
        <w:spacing w:after="160" w:line="259" w:lineRule="auto"/>
        <w:ind w:left="567" w:hanging="357"/>
        <w:rPr>
          <w:color w:val="000000" w:themeColor="text1"/>
        </w:rPr>
      </w:pPr>
      <w:r w:rsidRPr="00A07D9A">
        <w:rPr>
          <w:color w:val="000000" w:themeColor="text1"/>
        </w:rPr>
        <w:t xml:space="preserve">Integraciones verticales, es decir, que los </w:t>
      </w:r>
      <w:r w:rsidR="008A07CB" w:rsidRPr="00A07D9A">
        <w:rPr>
          <w:color w:val="000000" w:themeColor="text1"/>
        </w:rPr>
        <w:t>agentes económicos</w:t>
      </w:r>
      <w:r w:rsidRPr="00A07D9A">
        <w:rPr>
          <w:color w:val="000000" w:themeColor="text1"/>
        </w:rPr>
        <w:t xml:space="preserve"> involucrados lleven a cabo actividades en la misma cadena de valor.</w:t>
      </w:r>
    </w:p>
    <w:p w14:paraId="07B4ABE1" w14:textId="77777777" w:rsidR="00A11C90" w:rsidRPr="00A07D9A" w:rsidRDefault="00A11C90" w:rsidP="00C164BD">
      <w:pPr>
        <w:pStyle w:val="Prrafodelista"/>
        <w:numPr>
          <w:ilvl w:val="0"/>
          <w:numId w:val="22"/>
        </w:numPr>
        <w:spacing w:after="160" w:line="259" w:lineRule="auto"/>
        <w:ind w:left="567" w:hanging="357"/>
        <w:rPr>
          <w:color w:val="000000" w:themeColor="text1"/>
        </w:rPr>
      </w:pPr>
      <w:r w:rsidRPr="00A07D9A">
        <w:rPr>
          <w:color w:val="000000" w:themeColor="text1"/>
        </w:rPr>
        <w:t xml:space="preserve">Posibles concentraciones de conglomerado que pudieran tener efectos sobre la competencia, en caso de que los </w:t>
      </w:r>
      <w:r w:rsidR="008A07CB" w:rsidRPr="00A07D9A">
        <w:rPr>
          <w:color w:val="000000" w:themeColor="text1"/>
        </w:rPr>
        <w:t>agentes económicos</w:t>
      </w:r>
      <w:r w:rsidRPr="00A07D9A">
        <w:rPr>
          <w:color w:val="000000" w:themeColor="text1"/>
        </w:rPr>
        <w:t xml:space="preserve"> involucrados participen en mercados distintos, pero relacionados,</w:t>
      </w:r>
      <w:r w:rsidRPr="00A07D9A">
        <w:rPr>
          <w:rStyle w:val="Refdenotaalpie"/>
          <w:color w:val="000000" w:themeColor="text1"/>
        </w:rPr>
        <w:footnoteReference w:id="77"/>
      </w:r>
      <w:r w:rsidRPr="00A07D9A">
        <w:rPr>
          <w:color w:val="000000" w:themeColor="text1"/>
        </w:rPr>
        <w:t xml:space="preserve"> así como identificar o descartar posibles efectos de portafolio, de directorio cruzados y posibles efectos de coordinación</w:t>
      </w:r>
      <w:r w:rsidR="001443AA" w:rsidRPr="00A07D9A">
        <w:rPr>
          <w:color w:val="000000" w:themeColor="text1"/>
        </w:rPr>
        <w:t xml:space="preserve"> que pudieran darse en mercados diferentes a los definidos como relevantes</w:t>
      </w:r>
      <w:r w:rsidRPr="00A07D9A">
        <w:rPr>
          <w:color w:val="000000" w:themeColor="text1"/>
        </w:rPr>
        <w:t>, pues estos también pueden ocurrir derivado de la realización de una concentración.</w:t>
      </w:r>
    </w:p>
    <w:p w14:paraId="393278AE" w14:textId="77777777" w:rsidR="00A11C90" w:rsidRPr="00A07D9A" w:rsidRDefault="00A11C90" w:rsidP="00A11C90">
      <w:pPr>
        <w:rPr>
          <w:color w:val="000000" w:themeColor="text1"/>
        </w:rPr>
      </w:pPr>
      <w:r w:rsidRPr="00A07D9A">
        <w:rPr>
          <w:color w:val="000000" w:themeColor="text1"/>
        </w:rPr>
        <w:t xml:space="preserve">En </w:t>
      </w:r>
      <w:r w:rsidR="00BC07D0" w:rsidRPr="00A07D9A">
        <w:rPr>
          <w:color w:val="000000" w:themeColor="text1"/>
        </w:rPr>
        <w:t xml:space="preserve">la medida en </w:t>
      </w:r>
      <w:r w:rsidRPr="00A07D9A">
        <w:rPr>
          <w:color w:val="000000" w:themeColor="text1"/>
        </w:rPr>
        <w:t xml:space="preserve">que los </w:t>
      </w:r>
      <w:r w:rsidR="008A07CB" w:rsidRPr="00A07D9A">
        <w:rPr>
          <w:color w:val="000000" w:themeColor="text1"/>
        </w:rPr>
        <w:t>agentes económicos</w:t>
      </w:r>
      <w:r w:rsidRPr="00A07D9A">
        <w:rPr>
          <w:color w:val="000000" w:themeColor="text1"/>
        </w:rPr>
        <w:t xml:space="preserve"> aporten los documentos y/o información suficiente que permita a este IFT descartar coincidencias, integraciones verticales o concentraciones de conglomerado que pudieran tener efectos sobre la libre concurrencia o competencia económica, se evitará que el IFT proceda a llevar a cabo valoraciones exhaustivas y la posible emisión de requerimientos de información adicional.</w:t>
      </w:r>
    </w:p>
    <w:p w14:paraId="604C8FEA" w14:textId="77777777" w:rsidR="00A11C90" w:rsidRPr="00A07D9A" w:rsidRDefault="00A11C90" w:rsidP="00A11C90">
      <w:pPr>
        <w:rPr>
          <w:color w:val="000000" w:themeColor="text1"/>
        </w:rPr>
      </w:pPr>
      <w:r w:rsidRPr="00A07D9A">
        <w:rPr>
          <w:color w:val="000000" w:themeColor="text1"/>
        </w:rPr>
        <w:t xml:space="preserve">Los notificantes pueden proponer definiciones del mercado relevante y relacionados, para lo cual deberán aportar los elementos e información suficiente que permita sustentar sus conclusiones. El IFT tomará en cuenta los elementos e </w:t>
      </w:r>
      <w:r w:rsidRPr="00A07D9A">
        <w:rPr>
          <w:color w:val="000000" w:themeColor="text1"/>
        </w:rPr>
        <w:lastRenderedPageBreak/>
        <w:t xml:space="preserve">información aportada por los </w:t>
      </w:r>
      <w:r w:rsidR="008A07CB" w:rsidRPr="00A07D9A">
        <w:rPr>
          <w:color w:val="000000" w:themeColor="text1"/>
        </w:rPr>
        <w:t>agentes económicos</w:t>
      </w:r>
      <w:r w:rsidRPr="00A07D9A">
        <w:rPr>
          <w:color w:val="000000" w:themeColor="text1"/>
        </w:rPr>
        <w:t xml:space="preserve"> involucrados, aunque se reserva su competencia para determinar las definiciones del mercado relevante y mercados relacionados</w:t>
      </w:r>
      <w:r w:rsidR="001443AA" w:rsidRPr="00A07D9A">
        <w:rPr>
          <w:color w:val="000000" w:themeColor="text1"/>
        </w:rPr>
        <w:t xml:space="preserve"> en términos de la LFCE y las Disposiciones Regulatorias</w:t>
      </w:r>
      <w:r w:rsidRPr="00A07D9A">
        <w:rPr>
          <w:color w:val="000000" w:themeColor="text1"/>
        </w:rPr>
        <w:t xml:space="preserve">. </w:t>
      </w:r>
    </w:p>
    <w:p w14:paraId="7439E2A4" w14:textId="77777777" w:rsidR="00A11C90" w:rsidRPr="00A07D9A" w:rsidRDefault="00A11C90" w:rsidP="00FE6791">
      <w:pPr>
        <w:pStyle w:val="Prrafodelista"/>
        <w:numPr>
          <w:ilvl w:val="0"/>
          <w:numId w:val="8"/>
        </w:numPr>
        <w:spacing w:after="160" w:line="259" w:lineRule="auto"/>
        <w:ind w:left="567" w:hanging="425"/>
        <w:contextualSpacing/>
        <w:rPr>
          <w:b/>
          <w:color w:val="000000" w:themeColor="text1"/>
        </w:rPr>
      </w:pPr>
      <w:r w:rsidRPr="00A07D9A">
        <w:rPr>
          <w:b/>
          <w:color w:val="000000" w:themeColor="text1"/>
        </w:rPr>
        <w:t>Los demás elementos que estimen pertinentes los Agentes Económicos que notifican la concentración para el análisis de la misma.</w:t>
      </w:r>
    </w:p>
    <w:p w14:paraId="6BB8973A" w14:textId="77777777" w:rsidR="00A11C90" w:rsidRPr="00A07D9A" w:rsidRDefault="00A11C90" w:rsidP="00A11C90">
      <w:pPr>
        <w:rPr>
          <w:color w:val="000000" w:themeColor="text1"/>
        </w:rPr>
      </w:pPr>
      <w:r w:rsidRPr="00A07D9A">
        <w:rPr>
          <w:color w:val="000000" w:themeColor="text1"/>
        </w:rPr>
        <w:t xml:space="preserve">Este requisito da oportunidad a los </w:t>
      </w:r>
      <w:r w:rsidR="008A07CB" w:rsidRPr="00A07D9A">
        <w:rPr>
          <w:color w:val="000000" w:themeColor="text1"/>
        </w:rPr>
        <w:t>agentes económicos</w:t>
      </w:r>
      <w:r w:rsidRPr="00A07D9A">
        <w:rPr>
          <w:color w:val="000000" w:themeColor="text1"/>
        </w:rPr>
        <w:t xml:space="preserve"> involucrados de:</w:t>
      </w:r>
    </w:p>
    <w:p w14:paraId="238E6A68" w14:textId="77777777" w:rsidR="00A11C90" w:rsidRPr="00A07D9A" w:rsidRDefault="00A11C90" w:rsidP="00FE6791">
      <w:pPr>
        <w:pStyle w:val="Prrafodelista"/>
        <w:numPr>
          <w:ilvl w:val="0"/>
          <w:numId w:val="23"/>
        </w:numPr>
        <w:spacing w:after="160" w:line="259" w:lineRule="auto"/>
        <w:ind w:left="714" w:hanging="357"/>
        <w:rPr>
          <w:color w:val="000000" w:themeColor="text1"/>
        </w:rPr>
      </w:pPr>
      <w:r w:rsidRPr="00A07D9A">
        <w:rPr>
          <w:color w:val="000000" w:themeColor="text1"/>
        </w:rPr>
        <w:t>Aportar mayor información o argumentación de los requisitos anteriores;</w:t>
      </w:r>
    </w:p>
    <w:p w14:paraId="2994E5A2" w14:textId="77777777" w:rsidR="00A11C90" w:rsidRPr="00A07D9A" w:rsidRDefault="00A11C90" w:rsidP="00FE6791">
      <w:pPr>
        <w:pStyle w:val="Prrafodelista"/>
        <w:numPr>
          <w:ilvl w:val="0"/>
          <w:numId w:val="23"/>
        </w:numPr>
        <w:spacing w:after="160" w:line="259" w:lineRule="auto"/>
        <w:ind w:left="714" w:hanging="357"/>
        <w:rPr>
          <w:color w:val="000000" w:themeColor="text1"/>
        </w:rPr>
      </w:pPr>
      <w:r w:rsidRPr="00A07D9A">
        <w:rPr>
          <w:color w:val="000000" w:themeColor="text1"/>
        </w:rPr>
        <w:t>Aportar información y/o documentación que no encuadre en las fracciones anteriormente descritas del artículo 89 de la LFCE; e</w:t>
      </w:r>
    </w:p>
    <w:p w14:paraId="503A4720" w14:textId="77777777" w:rsidR="00A11C90" w:rsidRPr="00A07D9A" w:rsidRDefault="00A11C90" w:rsidP="00FE6791">
      <w:pPr>
        <w:pStyle w:val="Prrafodelista"/>
        <w:numPr>
          <w:ilvl w:val="0"/>
          <w:numId w:val="23"/>
        </w:numPr>
        <w:spacing w:after="160" w:line="259" w:lineRule="auto"/>
        <w:ind w:left="714" w:hanging="357"/>
        <w:rPr>
          <w:color w:val="000000" w:themeColor="text1"/>
        </w:rPr>
      </w:pPr>
      <w:r w:rsidRPr="00A07D9A">
        <w:rPr>
          <w:color w:val="000000" w:themeColor="text1"/>
        </w:rPr>
        <w:t>Identificar ganancias en eficiencia que pudieran generarse como consecuencia de la concentración y que pudieran incidir favorablemente en el proceso de competencia y libre concurrencia.</w:t>
      </w:r>
    </w:p>
    <w:p w14:paraId="66C77735" w14:textId="77777777" w:rsidR="00A11C90" w:rsidRPr="00A07D9A" w:rsidRDefault="00A11C90" w:rsidP="00A11C90">
      <w:pPr>
        <w:rPr>
          <w:color w:val="000000" w:themeColor="text1"/>
        </w:rPr>
      </w:pPr>
      <w:r w:rsidRPr="00A07D9A">
        <w:rPr>
          <w:color w:val="000000" w:themeColor="text1"/>
        </w:rPr>
        <w:t>Al efecto, se precisa que la descripción de ganancias en eficiencia y el favorecimiento del proceso de competencia no necesariamente son distintivas de concentraciones que acarrean problemas al interés público. Por el contrario, los notificantes están en su derecho de informar al IFT tod</w:t>
      </w:r>
      <w:r w:rsidR="00BC07D0" w:rsidRPr="00A07D9A">
        <w:rPr>
          <w:color w:val="000000" w:themeColor="text1"/>
        </w:rPr>
        <w:t>a</w:t>
      </w:r>
      <w:r w:rsidRPr="00A07D9A">
        <w:rPr>
          <w:color w:val="000000" w:themeColor="text1"/>
        </w:rPr>
        <w:t>s</w:t>
      </w:r>
      <w:r w:rsidR="00BC07D0" w:rsidRPr="00A07D9A">
        <w:rPr>
          <w:color w:val="000000" w:themeColor="text1"/>
        </w:rPr>
        <w:t xml:space="preserve"> las implicaciones</w:t>
      </w:r>
      <w:r w:rsidRPr="00A07D9A">
        <w:rPr>
          <w:color w:val="000000" w:themeColor="text1"/>
        </w:rPr>
        <w:t>, tanto favorables como negativ</w:t>
      </w:r>
      <w:r w:rsidR="00BC07D0" w:rsidRPr="00A07D9A">
        <w:rPr>
          <w:color w:val="000000" w:themeColor="text1"/>
        </w:rPr>
        <w:t>a</w:t>
      </w:r>
      <w:r w:rsidRPr="00A07D9A">
        <w:rPr>
          <w:color w:val="000000" w:themeColor="text1"/>
        </w:rPr>
        <w:t>s, que acarrea la operación pretendida hacia el interés general.</w:t>
      </w:r>
    </w:p>
    <w:p w14:paraId="0D350B44" w14:textId="77777777" w:rsidR="00A11C90" w:rsidRPr="00A07D9A" w:rsidRDefault="00A11C90" w:rsidP="00A11C90">
      <w:pPr>
        <w:rPr>
          <w:color w:val="000000" w:themeColor="text1"/>
        </w:rPr>
      </w:pPr>
      <w:r w:rsidRPr="00A07D9A">
        <w:rPr>
          <w:color w:val="000000" w:themeColor="text1"/>
        </w:rPr>
        <w:t xml:space="preserve">Incluso, en aquellas concentraciones en que los </w:t>
      </w:r>
      <w:r w:rsidR="008A07CB" w:rsidRPr="00A07D9A">
        <w:rPr>
          <w:color w:val="000000" w:themeColor="text1"/>
        </w:rPr>
        <w:t>agentes económicos</w:t>
      </w:r>
      <w:r w:rsidRPr="00A07D9A">
        <w:rPr>
          <w:color w:val="000000" w:themeColor="text1"/>
        </w:rPr>
        <w:t xml:space="preserve"> involucrados adviertan posibles riesgos al proceso de competencia y libre concurrencia, estos podrán presentar desde su escrito de notificación una posible propuesta de condiciones para disminuir o evitar tales riesgos, lo cual se deberá plantear como información y/o documentación adicional en términos de la fracción XII del artículo 89 de la LFCE.</w:t>
      </w:r>
    </w:p>
    <w:p w14:paraId="46FDEF78" w14:textId="77777777" w:rsidR="00A11C90" w:rsidRPr="00A07D9A" w:rsidRDefault="00A11C90" w:rsidP="00A11C90">
      <w:pPr>
        <w:rPr>
          <w:color w:val="000000" w:themeColor="text1"/>
        </w:rPr>
      </w:pPr>
      <w:r w:rsidRPr="00A07D9A">
        <w:rPr>
          <w:color w:val="000000" w:themeColor="text1"/>
        </w:rPr>
        <w:t>Por lo anterior y en relación con el penúltimo párrafo del artículo 90 de la LFCE, el escrito de notificación sí puede ser un momento oportuno para la presentación inmediata de una propuesta de condiciones por parte de los notificantes. Con ello, no existirá la necesidad de que el IFT, con posterioridad y en términos del último párrafo del artículo 90 de la LFCE, interrumpa el plazo para resolver la concentración por una presentación posterior de posibles condiciones.</w:t>
      </w:r>
    </w:p>
    <w:p w14:paraId="16D8982D" w14:textId="77777777" w:rsidR="00A11C90" w:rsidRPr="00A07D9A" w:rsidRDefault="007B43E4" w:rsidP="00A936C9">
      <w:pPr>
        <w:pStyle w:val="Ttulo3"/>
        <w:rPr>
          <w:rFonts w:eastAsiaTheme="minorHAnsi"/>
          <w:color w:val="000000" w:themeColor="text1"/>
        </w:rPr>
      </w:pPr>
      <w:bookmarkStart w:id="62" w:name="_Toc462053123"/>
      <w:bookmarkStart w:id="63" w:name="_Toc486519826"/>
      <w:r w:rsidRPr="00A07D9A">
        <w:rPr>
          <w:rFonts w:eastAsiaTheme="minorHAnsi"/>
          <w:color w:val="000000" w:themeColor="text1"/>
        </w:rPr>
        <w:t xml:space="preserve">Requisitos </w:t>
      </w:r>
      <w:bookmarkEnd w:id="62"/>
      <w:r w:rsidRPr="00A07D9A">
        <w:rPr>
          <w:rFonts w:eastAsiaTheme="minorHAnsi"/>
          <w:color w:val="000000" w:themeColor="text1"/>
        </w:rPr>
        <w:t>generales</w:t>
      </w:r>
      <w:bookmarkEnd w:id="63"/>
    </w:p>
    <w:p w14:paraId="0E52B810" w14:textId="77777777" w:rsidR="00A11C90" w:rsidRPr="00A07D9A" w:rsidRDefault="00A11C90" w:rsidP="00A11C90">
      <w:pPr>
        <w:rPr>
          <w:color w:val="000000" w:themeColor="text1"/>
        </w:rPr>
      </w:pPr>
      <w:r w:rsidRPr="00A07D9A">
        <w:rPr>
          <w:color w:val="000000" w:themeColor="text1"/>
        </w:rPr>
        <w:t xml:space="preserve">En términos del artículo 112 de la LFCE, las promociones ante el IFT deben presentarse en idioma español y estar firmadas por quienes intervienen en ellas. </w:t>
      </w:r>
      <w:r w:rsidRPr="00A07D9A">
        <w:rPr>
          <w:rFonts w:cs="Arial"/>
          <w:color w:val="000000" w:themeColor="text1"/>
        </w:rPr>
        <w:t>La falta de cumplimiento de los requisitos señalados para las promociones en el párrafo anterior, dará lugar a que se tengan por no presentadas.</w:t>
      </w:r>
    </w:p>
    <w:p w14:paraId="166BFCC1" w14:textId="77777777" w:rsidR="00A11C90" w:rsidRPr="00A07D9A" w:rsidRDefault="00A11C90" w:rsidP="00A11C90">
      <w:pPr>
        <w:autoSpaceDE w:val="0"/>
        <w:autoSpaceDN w:val="0"/>
        <w:adjustRightInd w:val="0"/>
        <w:rPr>
          <w:rFonts w:cs="Arial"/>
          <w:color w:val="000000" w:themeColor="text1"/>
        </w:rPr>
      </w:pPr>
      <w:r w:rsidRPr="00A07D9A">
        <w:rPr>
          <w:color w:val="000000" w:themeColor="text1"/>
        </w:rPr>
        <w:t>Asimismo, conforme a lo señalado en el artículo 113 de la LFCE, los</w:t>
      </w:r>
      <w:r w:rsidRPr="00A07D9A">
        <w:rPr>
          <w:rFonts w:cs="Arial"/>
          <w:color w:val="000000" w:themeColor="text1"/>
        </w:rPr>
        <w:t xml:space="preserve"> </w:t>
      </w:r>
      <w:r w:rsidR="008A07CB" w:rsidRPr="00A07D9A">
        <w:rPr>
          <w:rFonts w:cs="Arial"/>
          <w:color w:val="000000" w:themeColor="text1"/>
        </w:rPr>
        <w:t>agentes económicos</w:t>
      </w:r>
      <w:r w:rsidRPr="00A07D9A">
        <w:rPr>
          <w:rFonts w:cs="Arial"/>
          <w:color w:val="000000" w:themeColor="text1"/>
        </w:rPr>
        <w:t xml:space="preserve"> notificantes pueden presentar documentos junto con su promoción </w:t>
      </w:r>
      <w:r w:rsidRPr="00A07D9A">
        <w:rPr>
          <w:rFonts w:cs="Arial"/>
          <w:color w:val="000000" w:themeColor="text1"/>
        </w:rPr>
        <w:lastRenderedPageBreak/>
        <w:t>en idioma distinto al español, para lo cual deberá</w:t>
      </w:r>
      <w:r w:rsidR="008E5928" w:rsidRPr="00A07D9A">
        <w:rPr>
          <w:rFonts w:cs="Arial"/>
          <w:color w:val="000000" w:themeColor="text1"/>
        </w:rPr>
        <w:t>n</w:t>
      </w:r>
      <w:r w:rsidRPr="00A07D9A">
        <w:rPr>
          <w:rFonts w:cs="Arial"/>
          <w:color w:val="000000" w:themeColor="text1"/>
        </w:rPr>
        <w:t xml:space="preserve"> acompañar la traducción realizada por un perito traductor de los aspectos que bajo su responsabilidad estime relevantes, sin perjuicio de que el IFT pueda solicitar a los </w:t>
      </w:r>
      <w:r w:rsidR="008A07CB" w:rsidRPr="00A07D9A">
        <w:rPr>
          <w:rFonts w:cs="Arial"/>
          <w:color w:val="000000" w:themeColor="text1"/>
        </w:rPr>
        <w:t>agentes económicos</w:t>
      </w:r>
      <w:r w:rsidRPr="00A07D9A">
        <w:rPr>
          <w:rFonts w:cs="Arial"/>
          <w:color w:val="000000" w:themeColor="text1"/>
        </w:rPr>
        <w:t xml:space="preserve"> notificantes que se amplíe o se realice en su totalidad la traducción por perito traductor, cuando lo considere pertinente. El IFT no tomará en consideración el texto de los documentos que estén en idioma distinto al español.</w:t>
      </w:r>
    </w:p>
    <w:p w14:paraId="47CC41C5" w14:textId="77777777" w:rsidR="00A11C90" w:rsidRPr="00A07D9A" w:rsidRDefault="00A11C90" w:rsidP="00A11C90">
      <w:pPr>
        <w:rPr>
          <w:rFonts w:cs="Arial"/>
          <w:color w:val="000000" w:themeColor="text1"/>
        </w:rPr>
      </w:pPr>
      <w:r w:rsidRPr="00A07D9A">
        <w:rPr>
          <w:rFonts w:cs="Arial"/>
          <w:color w:val="000000" w:themeColor="text1"/>
        </w:rPr>
        <w:t xml:space="preserve">Por otra parte, es aconsejable que los </w:t>
      </w:r>
      <w:r w:rsidR="008A07CB" w:rsidRPr="00A07D9A">
        <w:rPr>
          <w:rFonts w:cs="Arial"/>
          <w:color w:val="000000" w:themeColor="text1"/>
        </w:rPr>
        <w:t>agentes económicos</w:t>
      </w:r>
      <w:r w:rsidRPr="00A07D9A">
        <w:rPr>
          <w:rFonts w:cs="Arial"/>
          <w:color w:val="000000" w:themeColor="text1"/>
        </w:rPr>
        <w:t xml:space="preserve"> notificantes, además de presentar la información y documentos de cada promoción por escrito, también los presenten en formato electrónico a través de un dispositivo de almacenamiento portátil (USB o CD) en aplicaciones de formato abierto de hojas de cálculo y/o procesadores de texto. En este caso, los archivos electrónicos deberán guardar plena identidad con los ejemplares impresos. Cuando la información y documentos presentados de manera electrónica difieran de los presentados en versión impresa, prevalecerá la versión impresa.</w:t>
      </w:r>
    </w:p>
    <w:p w14:paraId="0203EB40" w14:textId="77777777" w:rsidR="00A11C90" w:rsidRPr="00A07D9A" w:rsidRDefault="00867F46" w:rsidP="003F2656">
      <w:pPr>
        <w:pStyle w:val="Ttulo2"/>
        <w:rPr>
          <w:color w:val="000000" w:themeColor="text1"/>
        </w:rPr>
      </w:pPr>
      <w:bookmarkStart w:id="64" w:name="_Toc486519827"/>
      <w:r w:rsidRPr="00A07D9A">
        <w:rPr>
          <w:color w:val="000000" w:themeColor="text1"/>
        </w:rPr>
        <w:t>5</w:t>
      </w:r>
      <w:r w:rsidR="003F2656" w:rsidRPr="00A07D9A">
        <w:rPr>
          <w:color w:val="000000" w:themeColor="text1"/>
        </w:rPr>
        <w:t>.8. Procedimiento</w:t>
      </w:r>
      <w:bookmarkEnd w:id="64"/>
    </w:p>
    <w:p w14:paraId="6B64B111" w14:textId="77777777" w:rsidR="00A11C90" w:rsidRPr="00A07D9A" w:rsidRDefault="00A11C90" w:rsidP="00A11C90">
      <w:pPr>
        <w:rPr>
          <w:color w:val="000000" w:themeColor="text1"/>
        </w:rPr>
      </w:pPr>
      <w:r w:rsidRPr="00A07D9A">
        <w:rPr>
          <w:color w:val="000000" w:themeColor="text1"/>
        </w:rPr>
        <w:t xml:space="preserve">En términos de lo que prevén los artículos 90 y 92 de la LFCE, </w:t>
      </w:r>
      <w:r w:rsidR="00BC07D0" w:rsidRPr="00A07D9A">
        <w:rPr>
          <w:color w:val="000000" w:themeColor="text1"/>
        </w:rPr>
        <w:t xml:space="preserve">la </w:t>
      </w:r>
      <w:r w:rsidRPr="00A07D9A">
        <w:rPr>
          <w:color w:val="000000" w:themeColor="text1"/>
        </w:rPr>
        <w:t>notificación de concentraciones se puede llevar a cabo a través de dos procedimientos.</w:t>
      </w:r>
    </w:p>
    <w:p w14:paraId="10E9C993" w14:textId="77777777" w:rsidR="00A11C90" w:rsidRPr="00A07D9A" w:rsidRDefault="00A11C90" w:rsidP="00A11C90">
      <w:pPr>
        <w:rPr>
          <w:color w:val="000000" w:themeColor="text1"/>
        </w:rPr>
      </w:pPr>
      <w:r w:rsidRPr="00A07D9A">
        <w:rPr>
          <w:color w:val="000000" w:themeColor="text1"/>
        </w:rPr>
        <w:t xml:space="preserve">El artículo 92 hace referencia a un procedimiento simplificado en el que los </w:t>
      </w:r>
      <w:r w:rsidR="008A07CB" w:rsidRPr="00A07D9A">
        <w:rPr>
          <w:color w:val="000000" w:themeColor="text1"/>
        </w:rPr>
        <w:t>agentes económicos</w:t>
      </w:r>
      <w:r w:rsidRPr="00A07D9A">
        <w:rPr>
          <w:color w:val="000000" w:themeColor="text1"/>
        </w:rPr>
        <w:t xml:space="preserve"> deben demostrar que es notorio que la concentración no tendrá como objeto o efecto disminuir, dañar o impedir la libre concurrencia y la competencia económica. </w:t>
      </w:r>
    </w:p>
    <w:p w14:paraId="73E6C246" w14:textId="77777777" w:rsidR="00A11C90" w:rsidRPr="00A07D9A" w:rsidRDefault="00A11C90" w:rsidP="00A11C90">
      <w:pPr>
        <w:rPr>
          <w:color w:val="000000" w:themeColor="text1"/>
        </w:rPr>
      </w:pPr>
      <w:r w:rsidRPr="00A07D9A">
        <w:rPr>
          <w:color w:val="000000" w:themeColor="text1"/>
        </w:rPr>
        <w:t>El artículo 90 hace referencia a un procedimiento en el que se faculta al IFT a recurrir a mecanismos, incluyendo requerimientos de información de documentación e información, que permitan evaluar elementos en la determinación de los efectos de las concentraciones sobre la libre concurrencia y competencia económica.</w:t>
      </w:r>
    </w:p>
    <w:p w14:paraId="76B7E845" w14:textId="77777777" w:rsidR="00A11C90" w:rsidRPr="00A07D9A" w:rsidRDefault="00A11C90" w:rsidP="00A11C90">
      <w:pPr>
        <w:rPr>
          <w:color w:val="000000" w:themeColor="text1"/>
        </w:rPr>
      </w:pPr>
      <w:r w:rsidRPr="00A07D9A">
        <w:rPr>
          <w:color w:val="000000" w:themeColor="text1"/>
        </w:rPr>
        <w:t>Con relación al procedimiento del artículo 90, se inicia con la presentación del escrito de notificación ante la Oficialía de Partes Común del IFT.</w:t>
      </w:r>
    </w:p>
    <w:p w14:paraId="08568E30" w14:textId="77777777" w:rsidR="00A11C90" w:rsidRPr="00A07D9A" w:rsidRDefault="00A11C90" w:rsidP="00A11C90">
      <w:pPr>
        <w:rPr>
          <w:color w:val="000000" w:themeColor="text1"/>
        </w:rPr>
      </w:pPr>
      <w:r w:rsidRPr="00A07D9A">
        <w:rPr>
          <w:color w:val="000000" w:themeColor="text1"/>
        </w:rPr>
        <w:t xml:space="preserve">Según lo dispuesto por el artículo 116 de la LFCE, las promociones y documentos que los </w:t>
      </w:r>
      <w:r w:rsidR="008A07CB" w:rsidRPr="00A07D9A">
        <w:rPr>
          <w:color w:val="000000" w:themeColor="text1"/>
        </w:rPr>
        <w:t>agentes económicos</w:t>
      </w:r>
      <w:r w:rsidRPr="00A07D9A">
        <w:rPr>
          <w:color w:val="000000" w:themeColor="text1"/>
        </w:rPr>
        <w:t xml:space="preserve"> notificantes exhiban ante el IFT deberán presentarse únicamente en la Oficialía de Partes Común, que se encuentra ubicada en Insurgentes Sur 1143, Colonia Noche Buena, Delegación Benito Juárez, código postal 03720, </w:t>
      </w:r>
      <w:r w:rsidR="00BC07D0" w:rsidRPr="00A07D9A">
        <w:rPr>
          <w:color w:val="000000" w:themeColor="text1"/>
        </w:rPr>
        <w:t xml:space="preserve">Ciudad de </w:t>
      </w:r>
      <w:r w:rsidRPr="00A07D9A">
        <w:rPr>
          <w:color w:val="000000" w:themeColor="text1"/>
        </w:rPr>
        <w:t>México.</w:t>
      </w:r>
      <w:r w:rsidR="00746DEA" w:rsidRPr="00A07D9A">
        <w:rPr>
          <w:color w:val="000000" w:themeColor="text1"/>
        </w:rPr>
        <w:t xml:space="preserve"> </w:t>
      </w:r>
      <w:r w:rsidR="00695B51" w:rsidRPr="00A07D9A">
        <w:rPr>
          <w:color w:val="000000" w:themeColor="text1"/>
        </w:rPr>
        <w:t>Al respecto, cabe precisar que</w:t>
      </w:r>
      <w:r w:rsidR="00746DEA" w:rsidRPr="00A07D9A">
        <w:rPr>
          <w:color w:val="000000" w:themeColor="text1"/>
        </w:rPr>
        <w:t xml:space="preserve"> los </w:t>
      </w:r>
      <w:proofErr w:type="spellStart"/>
      <w:r w:rsidR="00746DEA" w:rsidRPr="00A07D9A">
        <w:rPr>
          <w:color w:val="000000" w:themeColor="text1"/>
        </w:rPr>
        <w:t>promoventes</w:t>
      </w:r>
      <w:proofErr w:type="spellEnd"/>
      <w:r w:rsidR="00746DEA" w:rsidRPr="00A07D9A">
        <w:rPr>
          <w:color w:val="000000" w:themeColor="text1"/>
        </w:rPr>
        <w:t xml:space="preserve"> también tienen a su favor lo dispuesto en el mismo numeral de la LFCE en lo que corresponde a las presentaciones de documentos en vía electrónica.</w:t>
      </w:r>
    </w:p>
    <w:p w14:paraId="7B99894C" w14:textId="77777777" w:rsidR="00A11C90" w:rsidRPr="00A07D9A" w:rsidRDefault="00A11C90" w:rsidP="00A11C90">
      <w:pPr>
        <w:rPr>
          <w:color w:val="000000" w:themeColor="text1"/>
        </w:rPr>
      </w:pPr>
      <w:r w:rsidRPr="00A07D9A">
        <w:rPr>
          <w:color w:val="000000" w:themeColor="text1"/>
        </w:rPr>
        <w:t>A partir de la presentación del escrito de notificación de concentración, el procedimiento identifica las siguientes actuaciones:</w:t>
      </w:r>
    </w:p>
    <w:tbl>
      <w:tblPr>
        <w:tblStyle w:val="Tablaconcuadrcula"/>
        <w:tblW w:w="9039" w:type="dxa"/>
        <w:jc w:val="center"/>
        <w:tblLook w:val="04A0" w:firstRow="1" w:lastRow="0" w:firstColumn="1" w:lastColumn="0" w:noHBand="0" w:noVBand="1"/>
        <w:tblCaption w:val="Tabla 2."/>
        <w:tblDescription w:val="Procedimiento de notificación"/>
      </w:tblPr>
      <w:tblGrid>
        <w:gridCol w:w="2345"/>
        <w:gridCol w:w="1660"/>
        <w:gridCol w:w="5034"/>
      </w:tblGrid>
      <w:tr w:rsidR="00A07D9A" w:rsidRPr="00A07D9A" w14:paraId="6084285D" w14:textId="77777777" w:rsidTr="00A07D9A">
        <w:trPr>
          <w:tblHeader/>
          <w:jc w:val="center"/>
        </w:trPr>
        <w:tc>
          <w:tcPr>
            <w:tcW w:w="2345" w:type="dxa"/>
            <w:shd w:val="clear" w:color="auto" w:fill="BFBFBF" w:themeFill="background1" w:themeFillShade="BF"/>
            <w:vAlign w:val="center"/>
          </w:tcPr>
          <w:p w14:paraId="4C351BD9" w14:textId="77777777" w:rsidR="00A11C90" w:rsidRPr="00A07D9A" w:rsidRDefault="00A11C90" w:rsidP="00BA3CD8">
            <w:pPr>
              <w:jc w:val="center"/>
              <w:rPr>
                <w:b/>
                <w:color w:val="000000" w:themeColor="text1"/>
                <w:sz w:val="16"/>
                <w:szCs w:val="16"/>
              </w:rPr>
            </w:pPr>
            <w:r w:rsidRPr="00A07D9A">
              <w:rPr>
                <w:b/>
                <w:color w:val="000000" w:themeColor="text1"/>
                <w:sz w:val="16"/>
                <w:szCs w:val="16"/>
              </w:rPr>
              <w:lastRenderedPageBreak/>
              <w:t>Tipo de Actuación</w:t>
            </w:r>
          </w:p>
        </w:tc>
        <w:tc>
          <w:tcPr>
            <w:tcW w:w="1660" w:type="dxa"/>
            <w:shd w:val="clear" w:color="auto" w:fill="BFBFBF" w:themeFill="background1" w:themeFillShade="BF"/>
            <w:vAlign w:val="center"/>
          </w:tcPr>
          <w:p w14:paraId="2C7A3BC2" w14:textId="77777777" w:rsidR="00A11C90" w:rsidRPr="00A07D9A" w:rsidRDefault="00A11C90" w:rsidP="00BA3CD8">
            <w:pPr>
              <w:jc w:val="center"/>
              <w:rPr>
                <w:b/>
                <w:color w:val="000000" w:themeColor="text1"/>
                <w:sz w:val="16"/>
                <w:szCs w:val="16"/>
              </w:rPr>
            </w:pPr>
            <w:r w:rsidRPr="00A07D9A">
              <w:rPr>
                <w:b/>
                <w:color w:val="000000" w:themeColor="text1"/>
                <w:sz w:val="16"/>
                <w:szCs w:val="16"/>
              </w:rPr>
              <w:t>Quién realiza la actuación correspondiente</w:t>
            </w:r>
          </w:p>
        </w:tc>
        <w:tc>
          <w:tcPr>
            <w:tcW w:w="5034" w:type="dxa"/>
            <w:shd w:val="clear" w:color="auto" w:fill="BFBFBF" w:themeFill="background1" w:themeFillShade="BF"/>
            <w:vAlign w:val="center"/>
          </w:tcPr>
          <w:p w14:paraId="685358D7" w14:textId="77777777" w:rsidR="00A11C90" w:rsidRPr="00A07D9A" w:rsidRDefault="00A11C90" w:rsidP="00BA3CD8">
            <w:pPr>
              <w:jc w:val="center"/>
              <w:rPr>
                <w:b/>
                <w:color w:val="000000" w:themeColor="text1"/>
                <w:sz w:val="16"/>
                <w:szCs w:val="16"/>
              </w:rPr>
            </w:pPr>
            <w:r w:rsidRPr="00A07D9A">
              <w:rPr>
                <w:b/>
                <w:color w:val="000000" w:themeColor="text1"/>
                <w:sz w:val="16"/>
                <w:szCs w:val="16"/>
              </w:rPr>
              <w:t>Plazo (días hábiles)</w:t>
            </w:r>
          </w:p>
        </w:tc>
      </w:tr>
      <w:tr w:rsidR="00A07D9A" w:rsidRPr="00A07D9A" w14:paraId="3590FE0F" w14:textId="77777777" w:rsidTr="00BD77B6">
        <w:trPr>
          <w:jc w:val="center"/>
        </w:trPr>
        <w:tc>
          <w:tcPr>
            <w:tcW w:w="2345" w:type="dxa"/>
            <w:vAlign w:val="center"/>
          </w:tcPr>
          <w:p w14:paraId="490D6614" w14:textId="77777777" w:rsidR="00A11C90" w:rsidRPr="00A07D9A" w:rsidRDefault="00A11C90" w:rsidP="00BA3CD8">
            <w:pPr>
              <w:rPr>
                <w:color w:val="000000" w:themeColor="text1"/>
                <w:sz w:val="16"/>
                <w:szCs w:val="16"/>
              </w:rPr>
            </w:pPr>
            <w:r w:rsidRPr="00A07D9A">
              <w:rPr>
                <w:color w:val="000000" w:themeColor="text1"/>
                <w:sz w:val="16"/>
                <w:szCs w:val="16"/>
              </w:rPr>
              <w:t>Emisión del Acuerdo de Prevención</w:t>
            </w:r>
          </w:p>
        </w:tc>
        <w:tc>
          <w:tcPr>
            <w:tcW w:w="1660" w:type="dxa"/>
            <w:vAlign w:val="center"/>
          </w:tcPr>
          <w:p w14:paraId="2211F57E" w14:textId="77777777" w:rsidR="00A11C90" w:rsidRPr="00A07D9A" w:rsidRDefault="00A11C90" w:rsidP="00BA3CD8">
            <w:pPr>
              <w:jc w:val="center"/>
              <w:rPr>
                <w:color w:val="000000" w:themeColor="text1"/>
                <w:sz w:val="16"/>
                <w:szCs w:val="16"/>
              </w:rPr>
            </w:pPr>
            <w:r w:rsidRPr="00A07D9A">
              <w:rPr>
                <w:color w:val="000000" w:themeColor="text1"/>
                <w:sz w:val="16"/>
                <w:szCs w:val="16"/>
              </w:rPr>
              <w:t>IFT</w:t>
            </w:r>
          </w:p>
        </w:tc>
        <w:tc>
          <w:tcPr>
            <w:tcW w:w="5034" w:type="dxa"/>
            <w:vAlign w:val="center"/>
          </w:tcPr>
          <w:p w14:paraId="2603AFA7" w14:textId="77777777" w:rsidR="00A11C90" w:rsidRPr="00A07D9A" w:rsidRDefault="00A11C90" w:rsidP="00BA3CD8">
            <w:pPr>
              <w:jc w:val="center"/>
              <w:rPr>
                <w:color w:val="000000" w:themeColor="text1"/>
                <w:sz w:val="16"/>
                <w:szCs w:val="16"/>
              </w:rPr>
            </w:pPr>
            <w:r w:rsidRPr="00A07D9A">
              <w:rPr>
                <w:color w:val="000000" w:themeColor="text1"/>
                <w:sz w:val="16"/>
                <w:szCs w:val="16"/>
              </w:rPr>
              <w:t>10</w:t>
            </w:r>
          </w:p>
          <w:p w14:paraId="76765B14" w14:textId="77777777" w:rsidR="00A11C90" w:rsidRPr="00A07D9A" w:rsidRDefault="00A11C90" w:rsidP="00BA3CD8">
            <w:pPr>
              <w:rPr>
                <w:color w:val="000000" w:themeColor="text1"/>
                <w:sz w:val="16"/>
                <w:szCs w:val="16"/>
              </w:rPr>
            </w:pPr>
            <w:r w:rsidRPr="00A07D9A">
              <w:rPr>
                <w:color w:val="000000" w:themeColor="text1"/>
                <w:sz w:val="16"/>
                <w:szCs w:val="16"/>
              </w:rPr>
              <w:t>A partir del día siguiente a la presentación del Escrito de Notificación de Concentración.</w:t>
            </w:r>
          </w:p>
        </w:tc>
      </w:tr>
      <w:tr w:rsidR="00A07D9A" w:rsidRPr="00A07D9A" w14:paraId="595B3D96" w14:textId="77777777" w:rsidTr="00BD77B6">
        <w:trPr>
          <w:jc w:val="center"/>
        </w:trPr>
        <w:tc>
          <w:tcPr>
            <w:tcW w:w="2345" w:type="dxa"/>
            <w:vAlign w:val="center"/>
          </w:tcPr>
          <w:p w14:paraId="166F5F97" w14:textId="77777777" w:rsidR="00A11C90" w:rsidRPr="00A07D9A" w:rsidRDefault="00A11C90" w:rsidP="00BA3CD8">
            <w:pPr>
              <w:rPr>
                <w:color w:val="000000" w:themeColor="text1"/>
                <w:sz w:val="16"/>
                <w:szCs w:val="16"/>
              </w:rPr>
            </w:pPr>
            <w:r w:rsidRPr="00A07D9A">
              <w:rPr>
                <w:color w:val="000000" w:themeColor="text1"/>
                <w:sz w:val="16"/>
                <w:szCs w:val="16"/>
              </w:rPr>
              <w:t>Desahogo de Prevención</w:t>
            </w:r>
          </w:p>
        </w:tc>
        <w:tc>
          <w:tcPr>
            <w:tcW w:w="1660" w:type="dxa"/>
            <w:vAlign w:val="center"/>
          </w:tcPr>
          <w:p w14:paraId="49B2EB09" w14:textId="77777777" w:rsidR="00A11C90" w:rsidRPr="00A07D9A" w:rsidRDefault="008A07CB" w:rsidP="00BA3CD8">
            <w:pPr>
              <w:jc w:val="center"/>
              <w:rPr>
                <w:color w:val="000000" w:themeColor="text1"/>
                <w:sz w:val="16"/>
                <w:szCs w:val="16"/>
              </w:rPr>
            </w:pPr>
            <w:r w:rsidRPr="00A07D9A">
              <w:rPr>
                <w:color w:val="000000" w:themeColor="text1"/>
                <w:sz w:val="16"/>
                <w:szCs w:val="16"/>
              </w:rPr>
              <w:t>agentes económicos</w:t>
            </w:r>
            <w:r w:rsidR="00A11C90" w:rsidRPr="00A07D9A">
              <w:rPr>
                <w:color w:val="000000" w:themeColor="text1"/>
                <w:sz w:val="16"/>
                <w:szCs w:val="16"/>
              </w:rPr>
              <w:t xml:space="preserve"> notificantes</w:t>
            </w:r>
          </w:p>
        </w:tc>
        <w:tc>
          <w:tcPr>
            <w:tcW w:w="5034" w:type="dxa"/>
            <w:vAlign w:val="center"/>
          </w:tcPr>
          <w:p w14:paraId="6FEFA789" w14:textId="77777777" w:rsidR="00A11C90" w:rsidRPr="00A07D9A" w:rsidRDefault="00A11C90" w:rsidP="00BA3CD8">
            <w:pPr>
              <w:jc w:val="center"/>
              <w:rPr>
                <w:color w:val="000000" w:themeColor="text1"/>
                <w:sz w:val="16"/>
                <w:szCs w:val="16"/>
              </w:rPr>
            </w:pPr>
            <w:r w:rsidRPr="00A07D9A">
              <w:rPr>
                <w:color w:val="000000" w:themeColor="text1"/>
                <w:sz w:val="16"/>
                <w:szCs w:val="16"/>
              </w:rPr>
              <w:t>10</w:t>
            </w:r>
          </w:p>
          <w:p w14:paraId="57FB28DB" w14:textId="77777777" w:rsidR="00A11C90" w:rsidRPr="00A07D9A" w:rsidRDefault="00A11C90" w:rsidP="00BA3CD8">
            <w:pPr>
              <w:rPr>
                <w:color w:val="000000" w:themeColor="text1"/>
                <w:sz w:val="16"/>
                <w:szCs w:val="16"/>
              </w:rPr>
            </w:pPr>
            <w:r w:rsidRPr="00A07D9A">
              <w:rPr>
                <w:color w:val="000000" w:themeColor="text1"/>
                <w:sz w:val="16"/>
                <w:szCs w:val="16"/>
              </w:rPr>
              <w:t>A partir del día siguiente a aquél en que surta efectos la notificación del Acuerdo de Prevención.</w:t>
            </w:r>
          </w:p>
        </w:tc>
      </w:tr>
      <w:tr w:rsidR="00A07D9A" w:rsidRPr="00A07D9A" w14:paraId="7AA9B927" w14:textId="77777777" w:rsidTr="00BD77B6">
        <w:trPr>
          <w:jc w:val="center"/>
        </w:trPr>
        <w:tc>
          <w:tcPr>
            <w:tcW w:w="2345" w:type="dxa"/>
            <w:vAlign w:val="center"/>
          </w:tcPr>
          <w:p w14:paraId="1C569024" w14:textId="77777777" w:rsidR="00A11C90" w:rsidRPr="00A07D9A" w:rsidRDefault="00A11C90" w:rsidP="00BA3CD8">
            <w:pPr>
              <w:rPr>
                <w:color w:val="000000" w:themeColor="text1"/>
                <w:sz w:val="16"/>
                <w:szCs w:val="16"/>
              </w:rPr>
            </w:pPr>
            <w:r w:rsidRPr="00A07D9A">
              <w:rPr>
                <w:bCs/>
                <w:color w:val="000000" w:themeColor="text1"/>
                <w:sz w:val="16"/>
                <w:szCs w:val="16"/>
              </w:rPr>
              <w:t>Recepción de la Notificaci</w:t>
            </w:r>
            <w:r w:rsidRPr="00A07D9A">
              <w:rPr>
                <w:rFonts w:hint="eastAsia"/>
                <w:bCs/>
                <w:color w:val="000000" w:themeColor="text1"/>
                <w:sz w:val="16"/>
                <w:szCs w:val="16"/>
              </w:rPr>
              <w:t>ó</w:t>
            </w:r>
            <w:r w:rsidRPr="00A07D9A">
              <w:rPr>
                <w:bCs/>
                <w:color w:val="000000" w:themeColor="text1"/>
                <w:sz w:val="16"/>
                <w:szCs w:val="16"/>
              </w:rPr>
              <w:t>n de Concentración</w:t>
            </w:r>
          </w:p>
        </w:tc>
        <w:tc>
          <w:tcPr>
            <w:tcW w:w="1660" w:type="dxa"/>
            <w:vAlign w:val="center"/>
          </w:tcPr>
          <w:p w14:paraId="3FE47717" w14:textId="77777777" w:rsidR="00A11C90" w:rsidRPr="00A07D9A" w:rsidRDefault="00A11C90" w:rsidP="00BA3CD8">
            <w:pPr>
              <w:jc w:val="center"/>
              <w:rPr>
                <w:color w:val="000000" w:themeColor="text1"/>
                <w:sz w:val="16"/>
                <w:szCs w:val="16"/>
              </w:rPr>
            </w:pPr>
            <w:r w:rsidRPr="00A07D9A">
              <w:rPr>
                <w:color w:val="000000" w:themeColor="text1"/>
                <w:sz w:val="16"/>
                <w:szCs w:val="16"/>
              </w:rPr>
              <w:t>IFT</w:t>
            </w:r>
          </w:p>
        </w:tc>
        <w:tc>
          <w:tcPr>
            <w:tcW w:w="5034" w:type="dxa"/>
            <w:vAlign w:val="center"/>
          </w:tcPr>
          <w:p w14:paraId="3AB9882B" w14:textId="77777777" w:rsidR="00A11C90" w:rsidRPr="00A07D9A" w:rsidRDefault="00A11C90" w:rsidP="00BA3CD8">
            <w:pPr>
              <w:rPr>
                <w:color w:val="000000" w:themeColor="text1"/>
                <w:sz w:val="16"/>
                <w:szCs w:val="16"/>
              </w:rPr>
            </w:pPr>
            <w:r w:rsidRPr="00A07D9A">
              <w:rPr>
                <w:color w:val="000000" w:themeColor="text1"/>
                <w:sz w:val="16"/>
                <w:szCs w:val="16"/>
              </w:rPr>
              <w:t>El día del desahogo del Acuerdo de Prevención</w:t>
            </w:r>
            <w:r w:rsidR="006A2745" w:rsidRPr="00A07D9A">
              <w:rPr>
                <w:color w:val="000000" w:themeColor="text1"/>
                <w:sz w:val="16"/>
                <w:szCs w:val="16"/>
              </w:rPr>
              <w:t>.</w:t>
            </w:r>
          </w:p>
        </w:tc>
      </w:tr>
      <w:tr w:rsidR="00A07D9A" w:rsidRPr="00A07D9A" w14:paraId="42B12C0E" w14:textId="77777777" w:rsidTr="00BD77B6">
        <w:trPr>
          <w:jc w:val="center"/>
        </w:trPr>
        <w:tc>
          <w:tcPr>
            <w:tcW w:w="2345" w:type="dxa"/>
            <w:vAlign w:val="center"/>
          </w:tcPr>
          <w:p w14:paraId="5C30FDB5" w14:textId="77777777" w:rsidR="00A11C90" w:rsidRPr="00A07D9A" w:rsidRDefault="00A11C90" w:rsidP="00BA3CD8">
            <w:pPr>
              <w:rPr>
                <w:color w:val="000000" w:themeColor="text1"/>
                <w:sz w:val="16"/>
                <w:szCs w:val="16"/>
              </w:rPr>
            </w:pPr>
            <w:r w:rsidRPr="00A07D9A">
              <w:rPr>
                <w:color w:val="000000" w:themeColor="text1"/>
                <w:sz w:val="16"/>
                <w:szCs w:val="16"/>
              </w:rPr>
              <w:t>Emisión del Acuerdo de No Presentación de la Concentración</w:t>
            </w:r>
          </w:p>
        </w:tc>
        <w:tc>
          <w:tcPr>
            <w:tcW w:w="1660" w:type="dxa"/>
            <w:vAlign w:val="center"/>
          </w:tcPr>
          <w:p w14:paraId="5E82025C" w14:textId="77777777" w:rsidR="00A11C90" w:rsidRPr="00A07D9A" w:rsidRDefault="00A11C90" w:rsidP="00BA3CD8">
            <w:pPr>
              <w:jc w:val="center"/>
              <w:rPr>
                <w:color w:val="000000" w:themeColor="text1"/>
                <w:sz w:val="16"/>
                <w:szCs w:val="16"/>
              </w:rPr>
            </w:pPr>
            <w:r w:rsidRPr="00A07D9A">
              <w:rPr>
                <w:color w:val="000000" w:themeColor="text1"/>
                <w:sz w:val="16"/>
                <w:szCs w:val="16"/>
              </w:rPr>
              <w:t>IFT</w:t>
            </w:r>
          </w:p>
        </w:tc>
        <w:tc>
          <w:tcPr>
            <w:tcW w:w="5034" w:type="dxa"/>
            <w:vAlign w:val="center"/>
          </w:tcPr>
          <w:p w14:paraId="3CA17C0F" w14:textId="77777777" w:rsidR="00A11C90" w:rsidRPr="00A07D9A" w:rsidRDefault="00A11C90" w:rsidP="00BA3CD8">
            <w:pPr>
              <w:jc w:val="center"/>
              <w:rPr>
                <w:color w:val="000000" w:themeColor="text1"/>
                <w:sz w:val="16"/>
                <w:szCs w:val="16"/>
              </w:rPr>
            </w:pPr>
            <w:r w:rsidRPr="00A07D9A">
              <w:rPr>
                <w:color w:val="000000" w:themeColor="text1"/>
                <w:sz w:val="16"/>
                <w:szCs w:val="16"/>
              </w:rPr>
              <w:t>10</w:t>
            </w:r>
          </w:p>
          <w:p w14:paraId="1A210FDD" w14:textId="77777777" w:rsidR="00A11C90" w:rsidRPr="00A07D9A" w:rsidRDefault="00A11C90" w:rsidP="00BA3CD8">
            <w:pPr>
              <w:rPr>
                <w:color w:val="000000" w:themeColor="text1"/>
                <w:sz w:val="16"/>
                <w:szCs w:val="16"/>
              </w:rPr>
            </w:pPr>
            <w:r w:rsidRPr="00A07D9A">
              <w:rPr>
                <w:color w:val="000000" w:themeColor="text1"/>
                <w:sz w:val="16"/>
                <w:szCs w:val="16"/>
              </w:rPr>
              <w:t>A partir del día siguiente al vencimiento del plazo concedido para el desahogo del:</w:t>
            </w:r>
          </w:p>
          <w:p w14:paraId="016A3E8C" w14:textId="77777777" w:rsidR="00A11C90" w:rsidRPr="00A07D9A" w:rsidRDefault="00A11C90" w:rsidP="00FE6791">
            <w:pPr>
              <w:pStyle w:val="Prrafodelista"/>
              <w:numPr>
                <w:ilvl w:val="0"/>
                <w:numId w:val="24"/>
              </w:numPr>
              <w:ind w:left="280" w:hanging="280"/>
              <w:contextualSpacing/>
              <w:rPr>
                <w:color w:val="000000" w:themeColor="text1"/>
                <w:sz w:val="16"/>
                <w:szCs w:val="16"/>
              </w:rPr>
            </w:pPr>
            <w:r w:rsidRPr="00A07D9A">
              <w:rPr>
                <w:color w:val="000000" w:themeColor="text1"/>
                <w:sz w:val="16"/>
                <w:szCs w:val="16"/>
              </w:rPr>
              <w:t xml:space="preserve">Acuerdo de Prevención o de su prórroga; o, en su caso, </w:t>
            </w:r>
          </w:p>
          <w:p w14:paraId="63EE293E" w14:textId="77777777" w:rsidR="00A11C90" w:rsidRPr="00A07D9A" w:rsidRDefault="00A11C90" w:rsidP="00FE6791">
            <w:pPr>
              <w:pStyle w:val="Prrafodelista"/>
              <w:numPr>
                <w:ilvl w:val="0"/>
                <w:numId w:val="24"/>
              </w:numPr>
              <w:ind w:left="280" w:hanging="280"/>
              <w:contextualSpacing/>
              <w:rPr>
                <w:color w:val="000000" w:themeColor="text1"/>
                <w:sz w:val="16"/>
                <w:szCs w:val="16"/>
              </w:rPr>
            </w:pPr>
            <w:r w:rsidRPr="00A07D9A">
              <w:rPr>
                <w:color w:val="000000" w:themeColor="text1"/>
                <w:sz w:val="16"/>
                <w:szCs w:val="16"/>
              </w:rPr>
              <w:t>Requerimiento de Documentación y/o Información Adicional o de su prórroga.</w:t>
            </w:r>
          </w:p>
        </w:tc>
      </w:tr>
      <w:tr w:rsidR="00A07D9A" w:rsidRPr="00A07D9A" w14:paraId="7F6BA53D" w14:textId="77777777" w:rsidTr="00BD77B6">
        <w:trPr>
          <w:jc w:val="center"/>
        </w:trPr>
        <w:tc>
          <w:tcPr>
            <w:tcW w:w="2345" w:type="dxa"/>
            <w:vAlign w:val="center"/>
          </w:tcPr>
          <w:p w14:paraId="21F3F60C" w14:textId="77777777" w:rsidR="00A11C90" w:rsidRPr="00A07D9A" w:rsidRDefault="00A11C90" w:rsidP="00BA3CD8">
            <w:pPr>
              <w:rPr>
                <w:color w:val="000000" w:themeColor="text1"/>
                <w:sz w:val="16"/>
                <w:szCs w:val="16"/>
              </w:rPr>
            </w:pPr>
            <w:r w:rsidRPr="00A07D9A">
              <w:rPr>
                <w:color w:val="000000" w:themeColor="text1"/>
                <w:sz w:val="16"/>
                <w:szCs w:val="16"/>
              </w:rPr>
              <w:t xml:space="preserve">Emisión del Requerimiento de Documentación y/o Información Adicional dirigido a los </w:t>
            </w:r>
            <w:r w:rsidR="008A07CB" w:rsidRPr="00A07D9A">
              <w:rPr>
                <w:color w:val="000000" w:themeColor="text1"/>
                <w:sz w:val="16"/>
                <w:szCs w:val="16"/>
              </w:rPr>
              <w:t>agentes económicos</w:t>
            </w:r>
            <w:r w:rsidRPr="00A07D9A">
              <w:rPr>
                <w:color w:val="000000" w:themeColor="text1"/>
                <w:sz w:val="16"/>
                <w:szCs w:val="16"/>
              </w:rPr>
              <w:t xml:space="preserve"> notificantes</w:t>
            </w:r>
          </w:p>
        </w:tc>
        <w:tc>
          <w:tcPr>
            <w:tcW w:w="1660" w:type="dxa"/>
            <w:vAlign w:val="center"/>
          </w:tcPr>
          <w:p w14:paraId="2732DF7C" w14:textId="77777777" w:rsidR="00A11C90" w:rsidRPr="00A07D9A" w:rsidRDefault="00A11C90" w:rsidP="00BA3CD8">
            <w:pPr>
              <w:jc w:val="center"/>
              <w:rPr>
                <w:color w:val="000000" w:themeColor="text1"/>
                <w:sz w:val="16"/>
                <w:szCs w:val="16"/>
              </w:rPr>
            </w:pPr>
            <w:r w:rsidRPr="00A07D9A">
              <w:rPr>
                <w:color w:val="000000" w:themeColor="text1"/>
                <w:sz w:val="16"/>
                <w:szCs w:val="16"/>
              </w:rPr>
              <w:t>IFT</w:t>
            </w:r>
          </w:p>
        </w:tc>
        <w:tc>
          <w:tcPr>
            <w:tcW w:w="5034" w:type="dxa"/>
            <w:vAlign w:val="center"/>
          </w:tcPr>
          <w:p w14:paraId="65B46991" w14:textId="77777777" w:rsidR="00A11C90" w:rsidRPr="00A07D9A" w:rsidRDefault="00A11C90" w:rsidP="00BA3CD8">
            <w:pPr>
              <w:jc w:val="center"/>
              <w:rPr>
                <w:color w:val="000000" w:themeColor="text1"/>
                <w:sz w:val="16"/>
                <w:szCs w:val="16"/>
              </w:rPr>
            </w:pPr>
            <w:r w:rsidRPr="00A07D9A">
              <w:rPr>
                <w:color w:val="000000" w:themeColor="text1"/>
                <w:sz w:val="16"/>
                <w:szCs w:val="16"/>
              </w:rPr>
              <w:t>15</w:t>
            </w:r>
          </w:p>
          <w:p w14:paraId="5542D17E" w14:textId="77777777" w:rsidR="00A11C90" w:rsidRPr="00A07D9A" w:rsidRDefault="00A11C90" w:rsidP="00BA3CD8">
            <w:pPr>
              <w:rPr>
                <w:color w:val="000000" w:themeColor="text1"/>
                <w:sz w:val="16"/>
                <w:szCs w:val="16"/>
              </w:rPr>
            </w:pPr>
            <w:r w:rsidRPr="00A07D9A">
              <w:rPr>
                <w:color w:val="000000" w:themeColor="text1"/>
                <w:sz w:val="16"/>
                <w:szCs w:val="16"/>
              </w:rPr>
              <w:t>A partir de la fecha de recepción de la notificación de concentración. En casos excepcionalmente complejos, el IFT podrá ampliar el plazo hasta por cuarenta días adicionales.</w:t>
            </w:r>
          </w:p>
        </w:tc>
      </w:tr>
      <w:tr w:rsidR="00A07D9A" w:rsidRPr="00A07D9A" w14:paraId="24E2E7C4" w14:textId="77777777" w:rsidTr="00BD77B6">
        <w:trPr>
          <w:jc w:val="center"/>
        </w:trPr>
        <w:tc>
          <w:tcPr>
            <w:tcW w:w="2345" w:type="dxa"/>
            <w:vAlign w:val="center"/>
          </w:tcPr>
          <w:p w14:paraId="5FAF0686" w14:textId="77777777" w:rsidR="00A11C90" w:rsidRPr="00A07D9A" w:rsidRDefault="00A11C90" w:rsidP="00BA3CD8">
            <w:pPr>
              <w:rPr>
                <w:color w:val="000000" w:themeColor="text1"/>
                <w:sz w:val="16"/>
                <w:szCs w:val="16"/>
              </w:rPr>
            </w:pPr>
            <w:r w:rsidRPr="00A07D9A">
              <w:rPr>
                <w:color w:val="000000" w:themeColor="text1"/>
                <w:sz w:val="16"/>
                <w:szCs w:val="16"/>
              </w:rPr>
              <w:t xml:space="preserve">Desahogo del Requerimiento de Documentación y/o Información Adicional dirigido a los </w:t>
            </w:r>
            <w:r w:rsidR="008A07CB" w:rsidRPr="00A07D9A">
              <w:rPr>
                <w:color w:val="000000" w:themeColor="text1"/>
                <w:sz w:val="16"/>
                <w:szCs w:val="16"/>
              </w:rPr>
              <w:t>agentes económicos</w:t>
            </w:r>
            <w:r w:rsidRPr="00A07D9A">
              <w:rPr>
                <w:color w:val="000000" w:themeColor="text1"/>
                <w:sz w:val="16"/>
                <w:szCs w:val="16"/>
              </w:rPr>
              <w:t xml:space="preserve"> notificantes</w:t>
            </w:r>
          </w:p>
        </w:tc>
        <w:tc>
          <w:tcPr>
            <w:tcW w:w="1660" w:type="dxa"/>
            <w:vAlign w:val="center"/>
          </w:tcPr>
          <w:p w14:paraId="589A3C23" w14:textId="77777777" w:rsidR="00A11C90" w:rsidRPr="00A07D9A" w:rsidRDefault="008A07CB" w:rsidP="00BA3CD8">
            <w:pPr>
              <w:jc w:val="center"/>
              <w:rPr>
                <w:color w:val="000000" w:themeColor="text1"/>
                <w:sz w:val="16"/>
                <w:szCs w:val="16"/>
              </w:rPr>
            </w:pPr>
            <w:r w:rsidRPr="00A07D9A">
              <w:rPr>
                <w:color w:val="000000" w:themeColor="text1"/>
                <w:sz w:val="16"/>
                <w:szCs w:val="16"/>
              </w:rPr>
              <w:t>agentes económicos</w:t>
            </w:r>
            <w:r w:rsidR="00A11C90" w:rsidRPr="00A07D9A">
              <w:rPr>
                <w:color w:val="000000" w:themeColor="text1"/>
                <w:sz w:val="16"/>
                <w:szCs w:val="16"/>
              </w:rPr>
              <w:t xml:space="preserve"> notificantes</w:t>
            </w:r>
          </w:p>
        </w:tc>
        <w:tc>
          <w:tcPr>
            <w:tcW w:w="5034" w:type="dxa"/>
            <w:vAlign w:val="center"/>
          </w:tcPr>
          <w:p w14:paraId="3001F56A" w14:textId="77777777" w:rsidR="00A11C90" w:rsidRPr="00A07D9A" w:rsidRDefault="00A11C90" w:rsidP="00BA3CD8">
            <w:pPr>
              <w:jc w:val="center"/>
              <w:rPr>
                <w:color w:val="000000" w:themeColor="text1"/>
                <w:sz w:val="16"/>
                <w:szCs w:val="16"/>
              </w:rPr>
            </w:pPr>
            <w:r w:rsidRPr="00A07D9A">
              <w:rPr>
                <w:color w:val="000000" w:themeColor="text1"/>
                <w:sz w:val="16"/>
                <w:szCs w:val="16"/>
              </w:rPr>
              <w:t>15</w:t>
            </w:r>
          </w:p>
          <w:p w14:paraId="5630B029" w14:textId="77777777" w:rsidR="00A11C90" w:rsidRPr="00A07D9A" w:rsidDel="000A5078" w:rsidRDefault="00A11C90" w:rsidP="00BA3CD8">
            <w:pPr>
              <w:rPr>
                <w:color w:val="000000" w:themeColor="text1"/>
                <w:sz w:val="16"/>
                <w:szCs w:val="16"/>
              </w:rPr>
            </w:pPr>
            <w:r w:rsidRPr="00A07D9A">
              <w:rPr>
                <w:color w:val="000000" w:themeColor="text1"/>
                <w:sz w:val="16"/>
                <w:szCs w:val="16"/>
              </w:rPr>
              <w:t>A partir del día siguiente a aquél en que surta efectos la notificación del Requerimiento de Documentación y/o Información Adicional.</w:t>
            </w:r>
          </w:p>
        </w:tc>
      </w:tr>
      <w:tr w:rsidR="00A07D9A" w:rsidRPr="00A07D9A" w14:paraId="78B89CDD" w14:textId="77777777" w:rsidTr="00BD77B6">
        <w:trPr>
          <w:jc w:val="center"/>
        </w:trPr>
        <w:tc>
          <w:tcPr>
            <w:tcW w:w="2345" w:type="dxa"/>
            <w:vAlign w:val="center"/>
          </w:tcPr>
          <w:p w14:paraId="2FE21FFF" w14:textId="77777777" w:rsidR="00A11C90" w:rsidRPr="00A07D9A" w:rsidRDefault="00A11C90" w:rsidP="00BA3CD8">
            <w:pPr>
              <w:rPr>
                <w:color w:val="000000" w:themeColor="text1"/>
                <w:sz w:val="16"/>
                <w:szCs w:val="16"/>
              </w:rPr>
            </w:pPr>
            <w:r w:rsidRPr="00A07D9A">
              <w:rPr>
                <w:color w:val="000000" w:themeColor="text1"/>
                <w:sz w:val="16"/>
                <w:szCs w:val="16"/>
              </w:rPr>
              <w:t xml:space="preserve">Emisión de Otros Requerimientos de Información Adicional dirigido a los </w:t>
            </w:r>
            <w:r w:rsidR="008A07CB" w:rsidRPr="00A07D9A">
              <w:rPr>
                <w:color w:val="000000" w:themeColor="text1"/>
                <w:sz w:val="16"/>
                <w:szCs w:val="16"/>
              </w:rPr>
              <w:t>agentes económicos</w:t>
            </w:r>
            <w:r w:rsidRPr="00A07D9A">
              <w:rPr>
                <w:color w:val="000000" w:themeColor="text1"/>
                <w:sz w:val="16"/>
                <w:szCs w:val="16"/>
              </w:rPr>
              <w:t xml:space="preserve"> notificantes</w:t>
            </w:r>
          </w:p>
        </w:tc>
        <w:tc>
          <w:tcPr>
            <w:tcW w:w="1660" w:type="dxa"/>
            <w:vAlign w:val="center"/>
          </w:tcPr>
          <w:p w14:paraId="10F252A8" w14:textId="77777777" w:rsidR="00A11C90" w:rsidRPr="00A07D9A" w:rsidRDefault="00A11C90" w:rsidP="00BA3CD8">
            <w:pPr>
              <w:jc w:val="center"/>
              <w:rPr>
                <w:color w:val="000000" w:themeColor="text1"/>
                <w:sz w:val="16"/>
                <w:szCs w:val="16"/>
              </w:rPr>
            </w:pPr>
            <w:r w:rsidRPr="00A07D9A">
              <w:rPr>
                <w:color w:val="000000" w:themeColor="text1"/>
                <w:sz w:val="16"/>
                <w:szCs w:val="16"/>
              </w:rPr>
              <w:t>IFT</w:t>
            </w:r>
          </w:p>
        </w:tc>
        <w:tc>
          <w:tcPr>
            <w:tcW w:w="5034" w:type="dxa"/>
            <w:vAlign w:val="center"/>
          </w:tcPr>
          <w:p w14:paraId="3B59A26A" w14:textId="77777777" w:rsidR="00A11C90" w:rsidRPr="00A07D9A" w:rsidRDefault="00A11C90" w:rsidP="00BA3CD8">
            <w:pPr>
              <w:rPr>
                <w:color w:val="000000" w:themeColor="text1"/>
                <w:sz w:val="16"/>
                <w:szCs w:val="16"/>
              </w:rPr>
            </w:pPr>
            <w:r w:rsidRPr="00A07D9A">
              <w:rPr>
                <w:color w:val="000000" w:themeColor="text1"/>
                <w:sz w:val="16"/>
                <w:szCs w:val="16"/>
              </w:rPr>
              <w:t>Puede emitirse en cualquier momento del procedimiento de notificación de concentración.</w:t>
            </w:r>
          </w:p>
        </w:tc>
      </w:tr>
      <w:tr w:rsidR="00A07D9A" w:rsidRPr="00A07D9A" w14:paraId="16338E77" w14:textId="77777777" w:rsidTr="00BD77B6">
        <w:trPr>
          <w:jc w:val="center"/>
        </w:trPr>
        <w:tc>
          <w:tcPr>
            <w:tcW w:w="2345" w:type="dxa"/>
            <w:vAlign w:val="center"/>
          </w:tcPr>
          <w:p w14:paraId="5D66BAC0" w14:textId="77777777" w:rsidR="00A11C90" w:rsidRPr="00A07D9A" w:rsidRDefault="00A11C90" w:rsidP="00BA3CD8">
            <w:pPr>
              <w:rPr>
                <w:color w:val="000000" w:themeColor="text1"/>
                <w:sz w:val="16"/>
                <w:szCs w:val="16"/>
              </w:rPr>
            </w:pPr>
            <w:r w:rsidRPr="00A07D9A">
              <w:rPr>
                <w:color w:val="000000" w:themeColor="text1"/>
                <w:sz w:val="16"/>
                <w:szCs w:val="16"/>
              </w:rPr>
              <w:t xml:space="preserve">Desahogo de Otros Requerimientos de Información Adicional dirigido a los </w:t>
            </w:r>
            <w:r w:rsidR="008A07CB" w:rsidRPr="00A07D9A">
              <w:rPr>
                <w:color w:val="000000" w:themeColor="text1"/>
                <w:sz w:val="16"/>
                <w:szCs w:val="16"/>
              </w:rPr>
              <w:t>agentes económicos</w:t>
            </w:r>
            <w:r w:rsidRPr="00A07D9A">
              <w:rPr>
                <w:color w:val="000000" w:themeColor="text1"/>
                <w:sz w:val="16"/>
                <w:szCs w:val="16"/>
              </w:rPr>
              <w:t xml:space="preserve"> notificantes</w:t>
            </w:r>
          </w:p>
        </w:tc>
        <w:tc>
          <w:tcPr>
            <w:tcW w:w="1660" w:type="dxa"/>
            <w:vAlign w:val="center"/>
          </w:tcPr>
          <w:p w14:paraId="49174A51" w14:textId="77777777" w:rsidR="00A11C90" w:rsidRPr="00A07D9A" w:rsidRDefault="00A11C90" w:rsidP="00BA3CD8">
            <w:pPr>
              <w:jc w:val="center"/>
              <w:rPr>
                <w:color w:val="000000" w:themeColor="text1"/>
                <w:sz w:val="16"/>
                <w:szCs w:val="16"/>
              </w:rPr>
            </w:pPr>
            <w:r w:rsidRPr="00A07D9A">
              <w:rPr>
                <w:color w:val="000000" w:themeColor="text1"/>
                <w:sz w:val="16"/>
                <w:szCs w:val="16"/>
              </w:rPr>
              <w:t xml:space="preserve">Terceros, </w:t>
            </w:r>
            <w:r w:rsidR="008A07CB" w:rsidRPr="00A07D9A">
              <w:rPr>
                <w:color w:val="000000" w:themeColor="text1"/>
                <w:sz w:val="16"/>
                <w:szCs w:val="16"/>
              </w:rPr>
              <w:t>agentes económicos</w:t>
            </w:r>
            <w:r w:rsidRPr="00A07D9A">
              <w:rPr>
                <w:color w:val="000000" w:themeColor="text1"/>
                <w:sz w:val="16"/>
                <w:szCs w:val="16"/>
              </w:rPr>
              <w:t xml:space="preserve"> notificantes o autoridades públicas</w:t>
            </w:r>
          </w:p>
        </w:tc>
        <w:tc>
          <w:tcPr>
            <w:tcW w:w="5034" w:type="dxa"/>
            <w:vAlign w:val="center"/>
          </w:tcPr>
          <w:p w14:paraId="1D8AD4DA" w14:textId="77777777" w:rsidR="00A11C90" w:rsidRPr="00A07D9A" w:rsidRDefault="00A11C90" w:rsidP="00BA3CD8">
            <w:pPr>
              <w:jc w:val="center"/>
              <w:rPr>
                <w:color w:val="000000" w:themeColor="text1"/>
                <w:sz w:val="16"/>
                <w:szCs w:val="16"/>
              </w:rPr>
            </w:pPr>
            <w:r w:rsidRPr="00A07D9A">
              <w:rPr>
                <w:color w:val="000000" w:themeColor="text1"/>
                <w:sz w:val="16"/>
                <w:szCs w:val="16"/>
              </w:rPr>
              <w:t>10</w:t>
            </w:r>
          </w:p>
          <w:p w14:paraId="72147759" w14:textId="77777777" w:rsidR="00A11C90" w:rsidRPr="00A07D9A" w:rsidRDefault="00A11C90" w:rsidP="00BA3CD8">
            <w:pPr>
              <w:rPr>
                <w:color w:val="000000" w:themeColor="text1"/>
                <w:sz w:val="16"/>
                <w:szCs w:val="16"/>
              </w:rPr>
            </w:pPr>
            <w:r w:rsidRPr="00A07D9A">
              <w:rPr>
                <w:color w:val="000000" w:themeColor="text1"/>
                <w:sz w:val="16"/>
                <w:szCs w:val="16"/>
              </w:rPr>
              <w:t>A partir del día siguiente a aquél en que surta efectos la notificación de los Otros Requerimientos de información adicional.</w:t>
            </w:r>
          </w:p>
        </w:tc>
      </w:tr>
      <w:tr w:rsidR="00A07D9A" w:rsidRPr="00A07D9A" w14:paraId="447260E6" w14:textId="77777777" w:rsidTr="00BD77B6">
        <w:trPr>
          <w:jc w:val="center"/>
        </w:trPr>
        <w:tc>
          <w:tcPr>
            <w:tcW w:w="2345" w:type="dxa"/>
            <w:vAlign w:val="center"/>
          </w:tcPr>
          <w:p w14:paraId="52ED2BE5" w14:textId="77777777" w:rsidR="00A11C90" w:rsidRPr="00A07D9A" w:rsidRDefault="00A11C90" w:rsidP="00BA3CD8">
            <w:pPr>
              <w:rPr>
                <w:color w:val="000000" w:themeColor="text1"/>
                <w:sz w:val="16"/>
                <w:szCs w:val="16"/>
              </w:rPr>
            </w:pPr>
            <w:r w:rsidRPr="00A07D9A">
              <w:rPr>
                <w:color w:val="000000" w:themeColor="text1"/>
                <w:sz w:val="16"/>
                <w:szCs w:val="16"/>
              </w:rPr>
              <w:t>Emisión del Acuerdo de Riesgos</w:t>
            </w:r>
          </w:p>
        </w:tc>
        <w:tc>
          <w:tcPr>
            <w:tcW w:w="1660" w:type="dxa"/>
            <w:vAlign w:val="center"/>
          </w:tcPr>
          <w:p w14:paraId="6FB9C0A9" w14:textId="77777777" w:rsidR="00A11C90" w:rsidRPr="00A07D9A" w:rsidRDefault="00A11C90" w:rsidP="00BA3CD8">
            <w:pPr>
              <w:jc w:val="center"/>
              <w:rPr>
                <w:color w:val="000000" w:themeColor="text1"/>
                <w:sz w:val="16"/>
                <w:szCs w:val="16"/>
              </w:rPr>
            </w:pPr>
            <w:r w:rsidRPr="00A07D9A">
              <w:rPr>
                <w:color w:val="000000" w:themeColor="text1"/>
                <w:sz w:val="16"/>
                <w:szCs w:val="16"/>
              </w:rPr>
              <w:t>IFT</w:t>
            </w:r>
          </w:p>
        </w:tc>
        <w:tc>
          <w:tcPr>
            <w:tcW w:w="5034" w:type="dxa"/>
            <w:vAlign w:val="center"/>
          </w:tcPr>
          <w:p w14:paraId="442116BE" w14:textId="77777777" w:rsidR="00A11C90" w:rsidRPr="00A07D9A" w:rsidRDefault="00A11C90" w:rsidP="00BA3CD8">
            <w:pPr>
              <w:rPr>
                <w:color w:val="000000" w:themeColor="text1"/>
                <w:sz w:val="16"/>
                <w:szCs w:val="16"/>
              </w:rPr>
            </w:pPr>
            <w:r w:rsidRPr="00A07D9A">
              <w:rPr>
                <w:color w:val="000000" w:themeColor="text1"/>
                <w:sz w:val="16"/>
                <w:szCs w:val="16"/>
              </w:rPr>
              <w:t>Al menos con diez días de anticipación a la fecha en que se liste el asunto.</w:t>
            </w:r>
          </w:p>
        </w:tc>
      </w:tr>
      <w:tr w:rsidR="00A07D9A" w:rsidRPr="00A07D9A" w14:paraId="4CC826F5" w14:textId="77777777" w:rsidTr="00BD77B6">
        <w:trPr>
          <w:jc w:val="center"/>
        </w:trPr>
        <w:tc>
          <w:tcPr>
            <w:tcW w:w="2345" w:type="dxa"/>
            <w:vAlign w:val="center"/>
          </w:tcPr>
          <w:p w14:paraId="72FC2447" w14:textId="77777777" w:rsidR="00A11C90" w:rsidRPr="00A07D9A" w:rsidRDefault="00A11C90" w:rsidP="00BA3CD8">
            <w:pPr>
              <w:rPr>
                <w:color w:val="000000" w:themeColor="text1"/>
                <w:sz w:val="16"/>
                <w:szCs w:val="16"/>
              </w:rPr>
            </w:pPr>
            <w:r w:rsidRPr="00A07D9A">
              <w:rPr>
                <w:color w:val="000000" w:themeColor="text1"/>
                <w:sz w:val="16"/>
                <w:szCs w:val="16"/>
              </w:rPr>
              <w:t xml:space="preserve">Presentación de Propuestas de Condiciones </w:t>
            </w:r>
          </w:p>
        </w:tc>
        <w:tc>
          <w:tcPr>
            <w:tcW w:w="1660" w:type="dxa"/>
            <w:vAlign w:val="center"/>
          </w:tcPr>
          <w:p w14:paraId="4E08B7FF" w14:textId="77777777" w:rsidR="00A11C90" w:rsidRPr="00A07D9A" w:rsidRDefault="008A07CB" w:rsidP="00BA3CD8">
            <w:pPr>
              <w:jc w:val="center"/>
              <w:rPr>
                <w:color w:val="000000" w:themeColor="text1"/>
                <w:sz w:val="16"/>
                <w:szCs w:val="16"/>
              </w:rPr>
            </w:pPr>
            <w:r w:rsidRPr="00A07D9A">
              <w:rPr>
                <w:color w:val="000000" w:themeColor="text1"/>
                <w:sz w:val="16"/>
                <w:szCs w:val="16"/>
              </w:rPr>
              <w:t>agentes económicos</w:t>
            </w:r>
            <w:r w:rsidR="00A11C90" w:rsidRPr="00A07D9A">
              <w:rPr>
                <w:color w:val="000000" w:themeColor="text1"/>
                <w:sz w:val="16"/>
                <w:szCs w:val="16"/>
              </w:rPr>
              <w:t xml:space="preserve"> notificantes</w:t>
            </w:r>
          </w:p>
        </w:tc>
        <w:tc>
          <w:tcPr>
            <w:tcW w:w="5034" w:type="dxa"/>
            <w:vAlign w:val="center"/>
          </w:tcPr>
          <w:p w14:paraId="3F878362" w14:textId="77777777" w:rsidR="00A11C90" w:rsidRPr="00A07D9A" w:rsidRDefault="00A11C90" w:rsidP="00BA3CD8">
            <w:pPr>
              <w:rPr>
                <w:color w:val="000000" w:themeColor="text1"/>
                <w:sz w:val="16"/>
                <w:szCs w:val="16"/>
              </w:rPr>
            </w:pPr>
            <w:r w:rsidRPr="00A07D9A">
              <w:rPr>
                <w:color w:val="000000" w:themeColor="text1"/>
                <w:sz w:val="16"/>
                <w:szCs w:val="16"/>
              </w:rPr>
              <w:t>Desde la presentación del Escrito de Notificación de Concentración y hasta un día después de que se liste el asunto para sesión del Pleno del IFT.</w:t>
            </w:r>
          </w:p>
        </w:tc>
      </w:tr>
      <w:tr w:rsidR="00A07D9A" w:rsidRPr="00A07D9A" w14:paraId="14B31CE2" w14:textId="77777777" w:rsidTr="00BD77B6">
        <w:trPr>
          <w:jc w:val="center"/>
        </w:trPr>
        <w:tc>
          <w:tcPr>
            <w:tcW w:w="2345" w:type="dxa"/>
            <w:vAlign w:val="center"/>
          </w:tcPr>
          <w:p w14:paraId="358B7579" w14:textId="77777777" w:rsidR="00A11C90" w:rsidRPr="00A07D9A" w:rsidRDefault="00A11C90" w:rsidP="00BA3CD8">
            <w:pPr>
              <w:rPr>
                <w:color w:val="000000" w:themeColor="text1"/>
                <w:sz w:val="16"/>
                <w:szCs w:val="16"/>
              </w:rPr>
            </w:pPr>
            <w:r w:rsidRPr="00A07D9A">
              <w:rPr>
                <w:color w:val="000000" w:themeColor="text1"/>
                <w:sz w:val="16"/>
                <w:szCs w:val="16"/>
              </w:rPr>
              <w:t xml:space="preserve">Emisión de la Resolución </w:t>
            </w:r>
          </w:p>
        </w:tc>
        <w:tc>
          <w:tcPr>
            <w:tcW w:w="1660" w:type="dxa"/>
            <w:vAlign w:val="center"/>
          </w:tcPr>
          <w:p w14:paraId="42266F16" w14:textId="77777777" w:rsidR="00A11C90" w:rsidRPr="00A07D9A" w:rsidRDefault="00A11C90" w:rsidP="00BA3CD8">
            <w:pPr>
              <w:jc w:val="center"/>
              <w:rPr>
                <w:color w:val="000000" w:themeColor="text1"/>
                <w:sz w:val="16"/>
                <w:szCs w:val="16"/>
              </w:rPr>
            </w:pPr>
            <w:r w:rsidRPr="00A07D9A">
              <w:rPr>
                <w:color w:val="000000" w:themeColor="text1"/>
                <w:sz w:val="16"/>
                <w:szCs w:val="16"/>
              </w:rPr>
              <w:t>Pleno del IFT</w:t>
            </w:r>
          </w:p>
        </w:tc>
        <w:tc>
          <w:tcPr>
            <w:tcW w:w="5034" w:type="dxa"/>
            <w:vAlign w:val="center"/>
          </w:tcPr>
          <w:p w14:paraId="57806772" w14:textId="77777777" w:rsidR="00A11C90" w:rsidRPr="00A07D9A" w:rsidRDefault="00A11C90" w:rsidP="00BA3CD8">
            <w:pPr>
              <w:jc w:val="center"/>
              <w:rPr>
                <w:color w:val="000000" w:themeColor="text1"/>
                <w:sz w:val="16"/>
                <w:szCs w:val="16"/>
              </w:rPr>
            </w:pPr>
            <w:r w:rsidRPr="00A07D9A">
              <w:rPr>
                <w:color w:val="000000" w:themeColor="text1"/>
                <w:sz w:val="16"/>
                <w:szCs w:val="16"/>
              </w:rPr>
              <w:t>60 días</w:t>
            </w:r>
          </w:p>
          <w:p w14:paraId="740D730D" w14:textId="77777777" w:rsidR="00A11C90" w:rsidRPr="00A07D9A" w:rsidRDefault="00A11C90" w:rsidP="00BA3CD8">
            <w:pPr>
              <w:rPr>
                <w:color w:val="000000" w:themeColor="text1"/>
                <w:sz w:val="16"/>
                <w:szCs w:val="16"/>
              </w:rPr>
            </w:pPr>
            <w:r w:rsidRPr="00A07D9A">
              <w:rPr>
                <w:color w:val="000000" w:themeColor="text1"/>
                <w:sz w:val="16"/>
                <w:szCs w:val="16"/>
              </w:rPr>
              <w:t>A partir de la fecha en que:</w:t>
            </w:r>
          </w:p>
          <w:p w14:paraId="4303B67A" w14:textId="77777777" w:rsidR="00A11C90" w:rsidRPr="00A07D9A" w:rsidRDefault="00A11C90" w:rsidP="00FE6791">
            <w:pPr>
              <w:pStyle w:val="Prrafodelista"/>
              <w:numPr>
                <w:ilvl w:val="0"/>
                <w:numId w:val="25"/>
              </w:numPr>
              <w:ind w:left="304" w:hanging="284"/>
              <w:contextualSpacing/>
              <w:rPr>
                <w:color w:val="000000" w:themeColor="text1"/>
                <w:sz w:val="16"/>
                <w:szCs w:val="16"/>
              </w:rPr>
            </w:pPr>
            <w:r w:rsidRPr="00A07D9A">
              <w:rPr>
                <w:color w:val="000000" w:themeColor="text1"/>
                <w:sz w:val="16"/>
                <w:szCs w:val="16"/>
              </w:rPr>
              <w:t>El IFT tenga por recibida la notificación;</w:t>
            </w:r>
          </w:p>
          <w:p w14:paraId="007C50CC" w14:textId="77777777" w:rsidR="00A11C90" w:rsidRPr="00A07D9A" w:rsidRDefault="00A11C90" w:rsidP="00FE6791">
            <w:pPr>
              <w:pStyle w:val="Prrafodelista"/>
              <w:numPr>
                <w:ilvl w:val="0"/>
                <w:numId w:val="25"/>
              </w:numPr>
              <w:ind w:left="304" w:hanging="284"/>
              <w:contextualSpacing/>
              <w:rPr>
                <w:color w:val="000000" w:themeColor="text1"/>
                <w:sz w:val="16"/>
                <w:szCs w:val="16"/>
              </w:rPr>
            </w:pPr>
            <w:r w:rsidRPr="00A07D9A">
              <w:rPr>
                <w:color w:val="000000" w:themeColor="text1"/>
                <w:sz w:val="16"/>
                <w:szCs w:val="16"/>
              </w:rPr>
              <w:lastRenderedPageBreak/>
              <w:t xml:space="preserve">Los </w:t>
            </w:r>
            <w:r w:rsidR="008A07CB" w:rsidRPr="00A07D9A">
              <w:rPr>
                <w:color w:val="000000" w:themeColor="text1"/>
                <w:sz w:val="16"/>
                <w:szCs w:val="16"/>
              </w:rPr>
              <w:t>agentes económicos</w:t>
            </w:r>
            <w:r w:rsidRPr="00A07D9A">
              <w:rPr>
                <w:color w:val="000000" w:themeColor="text1"/>
                <w:sz w:val="16"/>
                <w:szCs w:val="16"/>
              </w:rPr>
              <w:t xml:space="preserve"> notificantes desahoguen en su totalidad el Requerimiento de Documentación y/o Información Adicional;</w:t>
            </w:r>
          </w:p>
          <w:p w14:paraId="3C3459DB" w14:textId="77777777" w:rsidR="00A11C90" w:rsidRPr="00A07D9A" w:rsidRDefault="00A11C90" w:rsidP="00FE6791">
            <w:pPr>
              <w:pStyle w:val="Prrafodelista"/>
              <w:numPr>
                <w:ilvl w:val="0"/>
                <w:numId w:val="25"/>
              </w:numPr>
              <w:ind w:left="304" w:hanging="284"/>
              <w:contextualSpacing/>
              <w:rPr>
                <w:color w:val="000000" w:themeColor="text1"/>
                <w:sz w:val="16"/>
                <w:szCs w:val="16"/>
              </w:rPr>
            </w:pPr>
            <w:r w:rsidRPr="00A07D9A">
              <w:rPr>
                <w:color w:val="000000" w:themeColor="text1"/>
                <w:sz w:val="16"/>
                <w:szCs w:val="16"/>
              </w:rPr>
              <w:t xml:space="preserve">Los </w:t>
            </w:r>
            <w:r w:rsidR="008A07CB" w:rsidRPr="00A07D9A">
              <w:rPr>
                <w:color w:val="000000" w:themeColor="text1"/>
                <w:sz w:val="16"/>
                <w:szCs w:val="16"/>
              </w:rPr>
              <w:t>agentes económicos</w:t>
            </w:r>
            <w:r w:rsidRPr="00A07D9A">
              <w:rPr>
                <w:color w:val="000000" w:themeColor="text1"/>
                <w:sz w:val="16"/>
                <w:szCs w:val="16"/>
              </w:rPr>
              <w:t xml:space="preserve"> notificantes, en su caso, presenten propuesta de condiciones.</w:t>
            </w:r>
          </w:p>
          <w:p w14:paraId="3F6805CB" w14:textId="77777777" w:rsidR="00A11C90" w:rsidRPr="00A07D9A" w:rsidRDefault="00A11C90" w:rsidP="00BA3CD8">
            <w:pPr>
              <w:ind w:left="20"/>
              <w:rPr>
                <w:color w:val="000000" w:themeColor="text1"/>
                <w:sz w:val="16"/>
                <w:szCs w:val="16"/>
              </w:rPr>
            </w:pPr>
            <w:r w:rsidRPr="00A07D9A">
              <w:rPr>
                <w:color w:val="000000" w:themeColor="text1"/>
                <w:sz w:val="16"/>
                <w:szCs w:val="16"/>
              </w:rPr>
              <w:t>En casos excepcionalmente complejos, el IFT podrá ampliar el plazo hasta por cuarenta días adicionales.</w:t>
            </w:r>
          </w:p>
        </w:tc>
      </w:tr>
      <w:tr w:rsidR="00A07D9A" w:rsidRPr="00A07D9A" w14:paraId="3D3FFA03" w14:textId="77777777" w:rsidTr="00BD77B6">
        <w:trPr>
          <w:jc w:val="center"/>
        </w:trPr>
        <w:tc>
          <w:tcPr>
            <w:tcW w:w="2345" w:type="dxa"/>
            <w:vAlign w:val="center"/>
          </w:tcPr>
          <w:p w14:paraId="3667BF4D" w14:textId="77777777" w:rsidR="00A11C90" w:rsidRPr="00A07D9A" w:rsidRDefault="00A11C90" w:rsidP="00BA3CD8">
            <w:pPr>
              <w:rPr>
                <w:color w:val="000000" w:themeColor="text1"/>
                <w:sz w:val="16"/>
                <w:szCs w:val="16"/>
              </w:rPr>
            </w:pPr>
            <w:r w:rsidRPr="00A07D9A">
              <w:rPr>
                <w:color w:val="000000" w:themeColor="text1"/>
                <w:sz w:val="16"/>
                <w:szCs w:val="16"/>
              </w:rPr>
              <w:lastRenderedPageBreak/>
              <w:t>Emisión de la versión pública de la Resolución</w:t>
            </w:r>
          </w:p>
        </w:tc>
        <w:tc>
          <w:tcPr>
            <w:tcW w:w="1660" w:type="dxa"/>
            <w:vAlign w:val="center"/>
          </w:tcPr>
          <w:p w14:paraId="4522C577" w14:textId="77777777" w:rsidR="00A11C90" w:rsidRPr="00A07D9A" w:rsidRDefault="00A11C90" w:rsidP="00BA3CD8">
            <w:pPr>
              <w:jc w:val="center"/>
              <w:rPr>
                <w:color w:val="000000" w:themeColor="text1"/>
                <w:sz w:val="16"/>
                <w:szCs w:val="16"/>
              </w:rPr>
            </w:pPr>
            <w:r w:rsidRPr="00A07D9A">
              <w:rPr>
                <w:color w:val="000000" w:themeColor="text1"/>
                <w:sz w:val="16"/>
                <w:szCs w:val="16"/>
              </w:rPr>
              <w:t>IFT</w:t>
            </w:r>
          </w:p>
        </w:tc>
        <w:tc>
          <w:tcPr>
            <w:tcW w:w="5034" w:type="dxa"/>
            <w:vAlign w:val="center"/>
          </w:tcPr>
          <w:p w14:paraId="61FE2D8F" w14:textId="77777777" w:rsidR="00A11C90" w:rsidRPr="00A07D9A" w:rsidRDefault="00A11C90" w:rsidP="00BC07D0">
            <w:pPr>
              <w:jc w:val="center"/>
              <w:rPr>
                <w:color w:val="000000" w:themeColor="text1"/>
                <w:sz w:val="16"/>
                <w:szCs w:val="16"/>
              </w:rPr>
            </w:pPr>
            <w:r w:rsidRPr="00A07D9A">
              <w:rPr>
                <w:color w:val="000000" w:themeColor="text1"/>
                <w:sz w:val="16"/>
                <w:szCs w:val="16"/>
              </w:rPr>
              <w:t>15 días</w:t>
            </w:r>
            <w:r w:rsidR="00BC07D0" w:rsidRPr="00A07D9A">
              <w:rPr>
                <w:color w:val="000000" w:themeColor="text1"/>
                <w:sz w:val="16"/>
                <w:szCs w:val="16"/>
              </w:rPr>
              <w:t xml:space="preserve"> *</w:t>
            </w:r>
          </w:p>
          <w:p w14:paraId="6F26C427" w14:textId="77777777" w:rsidR="00A11C90" w:rsidRPr="00A07D9A" w:rsidRDefault="00A11C90" w:rsidP="00BA3CD8">
            <w:pPr>
              <w:rPr>
                <w:color w:val="000000" w:themeColor="text1"/>
                <w:sz w:val="16"/>
                <w:szCs w:val="16"/>
              </w:rPr>
            </w:pPr>
            <w:r w:rsidRPr="00A07D9A">
              <w:rPr>
                <w:color w:val="000000" w:themeColor="text1"/>
                <w:sz w:val="16"/>
                <w:szCs w:val="16"/>
              </w:rPr>
              <w:t>A partir del día siguiente a aquél en que surta efectos la notificación de la Resolución.*</w:t>
            </w:r>
          </w:p>
        </w:tc>
      </w:tr>
    </w:tbl>
    <w:p w14:paraId="5A672A04" w14:textId="77777777" w:rsidR="00BC07D0" w:rsidRPr="00A07D9A" w:rsidRDefault="00A11C90" w:rsidP="00A11C90">
      <w:pPr>
        <w:spacing w:after="0" w:line="240" w:lineRule="auto"/>
        <w:rPr>
          <w:color w:val="000000" w:themeColor="text1"/>
          <w:sz w:val="14"/>
          <w:szCs w:val="14"/>
        </w:rPr>
      </w:pPr>
      <w:r w:rsidRPr="00A07D9A">
        <w:rPr>
          <w:color w:val="000000" w:themeColor="text1"/>
          <w:sz w:val="14"/>
          <w:szCs w:val="14"/>
        </w:rPr>
        <w:t xml:space="preserve">* </w:t>
      </w:r>
      <w:r w:rsidR="00BC07D0" w:rsidRPr="00A07D9A">
        <w:rPr>
          <w:color w:val="000000" w:themeColor="text1"/>
          <w:sz w:val="14"/>
          <w:szCs w:val="14"/>
        </w:rPr>
        <w:t xml:space="preserve">En términos del </w:t>
      </w:r>
      <w:r w:rsidR="00C561C7" w:rsidRPr="00A07D9A">
        <w:rPr>
          <w:color w:val="000000" w:themeColor="text1"/>
          <w:sz w:val="14"/>
          <w:szCs w:val="14"/>
        </w:rPr>
        <w:t>artículo</w:t>
      </w:r>
      <w:r w:rsidR="00BC07D0" w:rsidRPr="00A07D9A">
        <w:rPr>
          <w:color w:val="000000" w:themeColor="text1"/>
          <w:sz w:val="14"/>
          <w:szCs w:val="14"/>
        </w:rPr>
        <w:t xml:space="preserve"> 51, tercer párrafo de las Disposiciones Regulatorias.</w:t>
      </w:r>
    </w:p>
    <w:p w14:paraId="42C3CEFE" w14:textId="77777777" w:rsidR="00A11C90" w:rsidRPr="00A07D9A" w:rsidRDefault="00BC07D0" w:rsidP="00A11C90">
      <w:pPr>
        <w:spacing w:after="0" w:line="240" w:lineRule="auto"/>
        <w:rPr>
          <w:rFonts w:cs="Times New Roman"/>
          <w:color w:val="000000" w:themeColor="text1"/>
          <w:sz w:val="14"/>
          <w:szCs w:val="14"/>
        </w:rPr>
      </w:pPr>
      <w:r w:rsidRPr="00A07D9A">
        <w:rPr>
          <w:color w:val="000000" w:themeColor="text1"/>
          <w:sz w:val="14"/>
          <w:szCs w:val="14"/>
        </w:rPr>
        <w:t xml:space="preserve">* </w:t>
      </w:r>
      <w:r w:rsidR="00A11C90" w:rsidRPr="00A07D9A">
        <w:rPr>
          <w:color w:val="000000" w:themeColor="text1"/>
          <w:sz w:val="14"/>
          <w:szCs w:val="14"/>
        </w:rPr>
        <w:t xml:space="preserve">En términos del </w:t>
      </w:r>
      <w:r w:rsidR="00C561C7" w:rsidRPr="00A07D9A">
        <w:rPr>
          <w:color w:val="000000" w:themeColor="text1"/>
          <w:sz w:val="14"/>
          <w:szCs w:val="14"/>
        </w:rPr>
        <w:t>artículo</w:t>
      </w:r>
      <w:r w:rsidR="00A11C90" w:rsidRPr="00A07D9A">
        <w:rPr>
          <w:color w:val="000000" w:themeColor="text1"/>
          <w:sz w:val="14"/>
          <w:szCs w:val="14"/>
        </w:rPr>
        <w:t xml:space="preserve"> 52 de las </w:t>
      </w:r>
      <w:r w:rsidR="00B94D75" w:rsidRPr="00A07D9A">
        <w:rPr>
          <w:color w:val="000000" w:themeColor="text1"/>
          <w:sz w:val="14"/>
          <w:szCs w:val="14"/>
        </w:rPr>
        <w:t>Disposiciones Regulatorias</w:t>
      </w:r>
      <w:r w:rsidR="00A11C90" w:rsidRPr="00A07D9A">
        <w:rPr>
          <w:color w:val="000000" w:themeColor="text1"/>
          <w:sz w:val="14"/>
          <w:szCs w:val="14"/>
        </w:rPr>
        <w:t>,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6CE8C38F" w14:textId="77777777" w:rsidR="00A11C90" w:rsidRPr="00A07D9A" w:rsidRDefault="00A11C90" w:rsidP="00A936C9">
      <w:pPr>
        <w:pStyle w:val="Ttulo3"/>
        <w:rPr>
          <w:rFonts w:eastAsiaTheme="minorHAnsi"/>
          <w:color w:val="000000" w:themeColor="text1"/>
        </w:rPr>
      </w:pPr>
      <w:bookmarkStart w:id="65" w:name="_Toc462053125"/>
      <w:bookmarkStart w:id="66" w:name="_Toc486519828"/>
      <w:r w:rsidRPr="00A07D9A">
        <w:rPr>
          <w:rFonts w:eastAsiaTheme="minorHAnsi"/>
          <w:color w:val="000000" w:themeColor="text1"/>
        </w:rPr>
        <w:t>Acuerdo de Prevención</w:t>
      </w:r>
      <w:bookmarkEnd w:id="65"/>
      <w:bookmarkEnd w:id="66"/>
    </w:p>
    <w:p w14:paraId="38A32442" w14:textId="77777777" w:rsidR="00A11C90" w:rsidRPr="00A07D9A" w:rsidRDefault="00A11C90" w:rsidP="00A11C90">
      <w:pPr>
        <w:rPr>
          <w:color w:val="000000" w:themeColor="text1"/>
        </w:rPr>
      </w:pPr>
      <w:r w:rsidRPr="00A07D9A">
        <w:rPr>
          <w:color w:val="000000" w:themeColor="text1"/>
        </w:rPr>
        <w:t xml:space="preserve">El Acuerdo de Prevención es el documento a través del cual </w:t>
      </w:r>
      <w:r w:rsidR="00DA4123" w:rsidRPr="00A07D9A">
        <w:rPr>
          <w:color w:val="000000" w:themeColor="text1"/>
        </w:rPr>
        <w:t>la UCE</w:t>
      </w:r>
      <w:r w:rsidRPr="00A07D9A">
        <w:rPr>
          <w:color w:val="000000" w:themeColor="text1"/>
        </w:rPr>
        <w:t xml:space="preserve"> informa a los notificantes de la concentración la falta de cumplimiento de alguno de los requisitos a que se refiere el artículo 89 de la LFCE, relativos al escrito de notificación de concentración.</w:t>
      </w:r>
    </w:p>
    <w:p w14:paraId="65B2D39D" w14:textId="77777777" w:rsidR="00DA4123" w:rsidRPr="00A07D9A" w:rsidRDefault="00A11C90" w:rsidP="00A11C90">
      <w:pPr>
        <w:rPr>
          <w:color w:val="000000" w:themeColor="text1"/>
        </w:rPr>
      </w:pPr>
      <w:r w:rsidRPr="00A07D9A">
        <w:rPr>
          <w:color w:val="000000" w:themeColor="text1"/>
        </w:rPr>
        <w:t xml:space="preserve">A través de este acto, la UCE fundará y motivará la </w:t>
      </w:r>
      <w:r w:rsidR="008E5928" w:rsidRPr="00A07D9A">
        <w:rPr>
          <w:color w:val="000000" w:themeColor="text1"/>
        </w:rPr>
        <w:t xml:space="preserve">prevención realizada al agente económico por </w:t>
      </w:r>
      <w:r w:rsidRPr="00A07D9A">
        <w:rPr>
          <w:color w:val="000000" w:themeColor="text1"/>
        </w:rPr>
        <w:t xml:space="preserve">la falta de información y/o documentación de los notificantes conforme a las fracciones I a XII del artículo 89 de la LFCE e, incluso, podrá solicitar que se aclaren aquellas cuestiones que resulten contradictorias, confusas o inconsistentes en el escrito de notificación. </w:t>
      </w:r>
    </w:p>
    <w:p w14:paraId="186D0D7F" w14:textId="77777777" w:rsidR="00A11C90" w:rsidRPr="00A07D9A" w:rsidRDefault="00A11C90" w:rsidP="00A11C90">
      <w:pPr>
        <w:rPr>
          <w:color w:val="000000" w:themeColor="text1"/>
        </w:rPr>
      </w:pPr>
      <w:r w:rsidRPr="00A07D9A">
        <w:rPr>
          <w:color w:val="000000" w:themeColor="text1"/>
        </w:rPr>
        <w:t xml:space="preserve">En términos del artículo 42 de las </w:t>
      </w:r>
      <w:r w:rsidR="00B94D75" w:rsidRPr="00A07D9A">
        <w:rPr>
          <w:color w:val="000000" w:themeColor="text1"/>
        </w:rPr>
        <w:t>Disposiciones Regulatorias</w:t>
      </w:r>
      <w:r w:rsidRPr="00A07D9A">
        <w:rPr>
          <w:color w:val="000000" w:themeColor="text1"/>
        </w:rPr>
        <w:t>, e</w:t>
      </w:r>
      <w:r w:rsidRPr="00A07D9A">
        <w:rPr>
          <w:rFonts w:cs="Helvetica"/>
          <w:color w:val="000000" w:themeColor="text1"/>
        </w:rPr>
        <w:t>l IFT</w:t>
      </w:r>
      <w:r w:rsidR="00DA4123" w:rsidRPr="00A07D9A">
        <w:rPr>
          <w:rFonts w:cs="Helvetica"/>
          <w:color w:val="000000" w:themeColor="text1"/>
        </w:rPr>
        <w:t xml:space="preserve"> a través de la UCE</w:t>
      </w:r>
      <w:r w:rsidRPr="00A07D9A">
        <w:rPr>
          <w:rFonts w:cs="Helvetica"/>
          <w:color w:val="000000" w:themeColor="text1"/>
        </w:rPr>
        <w:t xml:space="preserve"> también prevendrá al </w:t>
      </w:r>
      <w:proofErr w:type="spellStart"/>
      <w:r w:rsidRPr="00A07D9A">
        <w:rPr>
          <w:rFonts w:cs="Helvetica"/>
          <w:color w:val="000000" w:themeColor="text1"/>
        </w:rPr>
        <w:t>promovente</w:t>
      </w:r>
      <w:proofErr w:type="spellEnd"/>
      <w:r w:rsidRPr="00A07D9A">
        <w:rPr>
          <w:rFonts w:cs="Helvetica"/>
          <w:color w:val="000000" w:themeColor="text1"/>
        </w:rPr>
        <w:t xml:space="preserve"> cuando </w:t>
      </w:r>
      <w:r w:rsidR="008E5928" w:rsidRPr="00A07D9A">
        <w:rPr>
          <w:rFonts w:cs="Helvetica"/>
          <w:color w:val="000000" w:themeColor="text1"/>
        </w:rPr>
        <w:t xml:space="preserve">éste </w:t>
      </w:r>
      <w:r w:rsidRPr="00A07D9A">
        <w:rPr>
          <w:rFonts w:cs="Helvetica"/>
          <w:color w:val="000000" w:themeColor="text1"/>
        </w:rPr>
        <w:t xml:space="preserve">no acredite su personalidad en términos de lo establecido por el artículo 111, primer párrafo de la LFCE, para que exhiba los documentos que acrediten </w:t>
      </w:r>
      <w:r w:rsidR="00DA4123" w:rsidRPr="00A07D9A">
        <w:rPr>
          <w:rFonts w:cs="Helvetica"/>
          <w:color w:val="000000" w:themeColor="text1"/>
        </w:rPr>
        <w:t>dicha</w:t>
      </w:r>
      <w:r w:rsidRPr="00A07D9A">
        <w:rPr>
          <w:rFonts w:cs="Helvetica"/>
          <w:color w:val="000000" w:themeColor="text1"/>
        </w:rPr>
        <w:t xml:space="preserve"> personalidad</w:t>
      </w:r>
      <w:r w:rsidR="00DA4123" w:rsidRPr="00A07D9A">
        <w:rPr>
          <w:rFonts w:cs="Helvetica"/>
          <w:color w:val="000000" w:themeColor="text1"/>
        </w:rPr>
        <w:t xml:space="preserve"> (</w:t>
      </w:r>
      <w:r w:rsidRPr="00A07D9A">
        <w:rPr>
          <w:rFonts w:cs="Helvetica"/>
          <w:color w:val="000000" w:themeColor="text1"/>
        </w:rPr>
        <w:t>conforme a lo mencionado en el apartado de representación legal de la presente Guía de Concentraciones</w:t>
      </w:r>
      <w:r w:rsidR="00DA4123" w:rsidRPr="00A07D9A">
        <w:rPr>
          <w:rFonts w:cs="Helvetica"/>
          <w:color w:val="000000" w:themeColor="text1"/>
        </w:rPr>
        <w:t>)</w:t>
      </w:r>
      <w:r w:rsidR="00F844B8" w:rsidRPr="00A07D9A">
        <w:rPr>
          <w:rFonts w:cs="Helvetica"/>
          <w:color w:val="000000" w:themeColor="text1"/>
        </w:rPr>
        <w:t>.</w:t>
      </w:r>
    </w:p>
    <w:p w14:paraId="2AAB8459" w14:textId="77777777" w:rsidR="00A11C90" w:rsidRPr="00A07D9A" w:rsidRDefault="00A11C90" w:rsidP="00A11C90">
      <w:pPr>
        <w:rPr>
          <w:color w:val="000000" w:themeColor="text1"/>
        </w:rPr>
      </w:pPr>
      <w:r w:rsidRPr="00A07D9A">
        <w:rPr>
          <w:color w:val="000000" w:themeColor="text1"/>
        </w:rPr>
        <w:t xml:space="preserve">Precisamente, el Acuerdo de Prevención tiene como intención que los </w:t>
      </w:r>
      <w:r w:rsidR="008A07CB" w:rsidRPr="00A07D9A">
        <w:rPr>
          <w:color w:val="000000" w:themeColor="text1"/>
        </w:rPr>
        <w:t>agentes económicos</w:t>
      </w:r>
      <w:r w:rsidRPr="00A07D9A">
        <w:rPr>
          <w:color w:val="000000" w:themeColor="text1"/>
        </w:rPr>
        <w:t xml:space="preserve"> involucrados cumplan con la información esencial que debe contener el escrito de notificación, para lo cual la LFCE establece un plazo de diez días hábiles para el desahogo de la prevención respectiva.</w:t>
      </w:r>
    </w:p>
    <w:p w14:paraId="1101218D" w14:textId="77777777" w:rsidR="00A11C90" w:rsidRPr="00A07D9A" w:rsidRDefault="00A11C90" w:rsidP="00A11C90">
      <w:pPr>
        <w:rPr>
          <w:color w:val="000000" w:themeColor="text1"/>
        </w:rPr>
      </w:pPr>
      <w:r w:rsidRPr="00A07D9A">
        <w:rPr>
          <w:color w:val="000000" w:themeColor="text1"/>
        </w:rPr>
        <w:t xml:space="preserve">Dicho plazo podrá ser prorrogado a solicitud del notificante en casos debidamente justificados hasta por otros diez días hábiles. Para que opere la prórroga, los notificantes deberán esgrimir las cuestiones de hecho o de derecho que, en efecto, </w:t>
      </w:r>
      <w:r w:rsidRPr="00A07D9A">
        <w:rPr>
          <w:color w:val="000000" w:themeColor="text1"/>
        </w:rPr>
        <w:lastRenderedPageBreak/>
        <w:t>les impidan dar cumplimiento al Acuerdo de Prevención en los primeros diez días del plazo.</w:t>
      </w:r>
    </w:p>
    <w:p w14:paraId="7370E22E" w14:textId="77777777" w:rsidR="00A11C90" w:rsidRPr="00A07D9A" w:rsidRDefault="00A11C90" w:rsidP="00A11C90">
      <w:pPr>
        <w:rPr>
          <w:color w:val="000000" w:themeColor="text1"/>
        </w:rPr>
      </w:pPr>
      <w:r w:rsidRPr="00A07D9A">
        <w:rPr>
          <w:color w:val="000000" w:themeColor="text1"/>
        </w:rPr>
        <w:t xml:space="preserve">En caso de no desahogarse la prevención dentro del plazo de diez días o dentro de la prórroga concedida, el IFT emitirá y notificará un acuerdo mediante el cual determine </w:t>
      </w:r>
      <w:r w:rsidR="00DA4123" w:rsidRPr="00A07D9A">
        <w:rPr>
          <w:color w:val="000000" w:themeColor="text1"/>
        </w:rPr>
        <w:t>tener por</w:t>
      </w:r>
      <w:r w:rsidRPr="00A07D9A">
        <w:rPr>
          <w:color w:val="000000" w:themeColor="text1"/>
        </w:rPr>
        <w:t xml:space="preserve"> no presentad</w:t>
      </w:r>
      <w:r w:rsidR="00DA4123" w:rsidRPr="00A07D9A">
        <w:rPr>
          <w:color w:val="000000" w:themeColor="text1"/>
        </w:rPr>
        <w:t>a</w:t>
      </w:r>
      <w:r w:rsidRPr="00A07D9A">
        <w:rPr>
          <w:color w:val="000000" w:themeColor="text1"/>
        </w:rPr>
        <w:t xml:space="preserve"> la notificación de concentración. Esto sucederá dentro de los diez días siguientes a aquél en que hubiere vencido el plazo a los notificantes para el desahogo de la prevención o de su prórroga correspondiente. </w:t>
      </w:r>
    </w:p>
    <w:p w14:paraId="4CA1F53F" w14:textId="77777777" w:rsidR="00A11C90" w:rsidRPr="00A07D9A" w:rsidRDefault="00A11C90" w:rsidP="00A936C9">
      <w:pPr>
        <w:pStyle w:val="Ttulo3"/>
        <w:rPr>
          <w:rFonts w:eastAsiaTheme="minorHAnsi"/>
          <w:color w:val="000000" w:themeColor="text1"/>
        </w:rPr>
      </w:pPr>
      <w:bookmarkStart w:id="67" w:name="_Toc462053126"/>
      <w:bookmarkStart w:id="68" w:name="_Toc486519829"/>
      <w:r w:rsidRPr="00A07D9A">
        <w:rPr>
          <w:rFonts w:eastAsiaTheme="minorHAnsi"/>
          <w:color w:val="000000" w:themeColor="text1"/>
        </w:rPr>
        <w:t>Recepción de la Notificación de Concentración</w:t>
      </w:r>
      <w:bookmarkEnd w:id="67"/>
      <w:bookmarkEnd w:id="68"/>
    </w:p>
    <w:p w14:paraId="7C4A5982" w14:textId="77777777" w:rsidR="00A11C90" w:rsidRPr="00A07D9A" w:rsidRDefault="00A11C90" w:rsidP="00A11C90">
      <w:pPr>
        <w:rPr>
          <w:color w:val="000000" w:themeColor="text1"/>
        </w:rPr>
      </w:pPr>
      <w:r w:rsidRPr="00A07D9A">
        <w:rPr>
          <w:color w:val="000000" w:themeColor="text1"/>
        </w:rPr>
        <w:t xml:space="preserve">La Recepción es el acto jurídico mediante el cual el IFT: </w:t>
      </w:r>
    </w:p>
    <w:p w14:paraId="4B58D872" w14:textId="77777777" w:rsidR="00A11C90" w:rsidRPr="00A07D9A" w:rsidRDefault="00A11C90" w:rsidP="00FE6791">
      <w:pPr>
        <w:pStyle w:val="Prrafodelista"/>
        <w:numPr>
          <w:ilvl w:val="0"/>
          <w:numId w:val="11"/>
        </w:numPr>
        <w:spacing w:after="160" w:line="259" w:lineRule="auto"/>
        <w:ind w:left="714" w:hanging="357"/>
        <w:rPr>
          <w:color w:val="000000" w:themeColor="text1"/>
        </w:rPr>
      </w:pPr>
      <w:r w:rsidRPr="00A07D9A">
        <w:rPr>
          <w:color w:val="000000" w:themeColor="text1"/>
        </w:rPr>
        <w:t xml:space="preserve">Reconoce que la notificación de concentración cumple con los requisitos señalados en el artículo 89 de la LFCE. </w:t>
      </w:r>
    </w:p>
    <w:p w14:paraId="2A746FF2" w14:textId="77777777" w:rsidR="00A11C90" w:rsidRPr="00A07D9A" w:rsidRDefault="00A11C90" w:rsidP="00FE6791">
      <w:pPr>
        <w:pStyle w:val="Prrafodelista"/>
        <w:numPr>
          <w:ilvl w:val="0"/>
          <w:numId w:val="11"/>
        </w:numPr>
        <w:spacing w:after="160" w:line="259" w:lineRule="auto"/>
        <w:ind w:left="714" w:hanging="357"/>
        <w:rPr>
          <w:color w:val="000000" w:themeColor="text1"/>
        </w:rPr>
      </w:pPr>
      <w:r w:rsidRPr="00A07D9A">
        <w:rPr>
          <w:color w:val="000000" w:themeColor="text1"/>
        </w:rPr>
        <w:t xml:space="preserve">Inicia formalmente el análisis y estudio de la operación notificada, por lo cual el IFT tendrá la facultad para emitir un Requerimiento de Información y/o Documentación Adicional en caso de estimarlo necesario, el cual podrá ser dirigido a los </w:t>
      </w:r>
      <w:r w:rsidR="008E5928" w:rsidRPr="00A07D9A">
        <w:rPr>
          <w:color w:val="000000" w:themeColor="text1"/>
        </w:rPr>
        <w:t xml:space="preserve">agentes económicos </w:t>
      </w:r>
      <w:r w:rsidRPr="00A07D9A">
        <w:rPr>
          <w:color w:val="000000" w:themeColor="text1"/>
        </w:rPr>
        <w:t xml:space="preserve">notificantes, a otros </w:t>
      </w:r>
      <w:r w:rsidR="008A07CB" w:rsidRPr="00A07D9A">
        <w:rPr>
          <w:color w:val="000000" w:themeColor="text1"/>
        </w:rPr>
        <w:t>agentes económicos</w:t>
      </w:r>
      <w:r w:rsidRPr="00A07D9A">
        <w:rPr>
          <w:color w:val="000000" w:themeColor="text1"/>
        </w:rPr>
        <w:t xml:space="preserve"> o a cualquier Autoridad Pública. </w:t>
      </w:r>
    </w:p>
    <w:p w14:paraId="4FF76B48" w14:textId="77777777" w:rsidR="00A11C90" w:rsidRPr="00A07D9A" w:rsidRDefault="00A11C90" w:rsidP="00FE6791">
      <w:pPr>
        <w:pStyle w:val="Prrafodelista"/>
        <w:numPr>
          <w:ilvl w:val="0"/>
          <w:numId w:val="11"/>
        </w:numPr>
        <w:spacing w:after="160" w:line="259" w:lineRule="auto"/>
        <w:ind w:left="714" w:hanging="357"/>
        <w:rPr>
          <w:color w:val="000000" w:themeColor="text1"/>
        </w:rPr>
      </w:pPr>
      <w:r w:rsidRPr="00A07D9A">
        <w:rPr>
          <w:color w:val="000000" w:themeColor="text1"/>
        </w:rPr>
        <w:t xml:space="preserve">Comienza a contar el plazo de sesenta días para emitir resolución, a menos de que exista un Requerimiento de Información y/o Documentación Adicional a los </w:t>
      </w:r>
      <w:r w:rsidR="008E5928" w:rsidRPr="00A07D9A">
        <w:rPr>
          <w:color w:val="000000" w:themeColor="text1"/>
        </w:rPr>
        <w:t xml:space="preserve">agentes económicos </w:t>
      </w:r>
      <w:r w:rsidRPr="00A07D9A">
        <w:rPr>
          <w:color w:val="000000" w:themeColor="text1"/>
        </w:rPr>
        <w:t>Notificantes,</w:t>
      </w:r>
      <w:r w:rsidRPr="00A07D9A">
        <w:rPr>
          <w:rStyle w:val="Refdenotaalpie"/>
          <w:color w:val="000000" w:themeColor="text1"/>
        </w:rPr>
        <w:footnoteReference w:id="78"/>
      </w:r>
      <w:r w:rsidRPr="00A07D9A">
        <w:rPr>
          <w:color w:val="000000" w:themeColor="text1"/>
        </w:rPr>
        <w:t xml:space="preserve"> caso en el cual el plazo aludido contará a partir de la presentación del escrito que responda al requerimiento respectivo.</w:t>
      </w:r>
    </w:p>
    <w:p w14:paraId="61DB9739" w14:textId="77777777" w:rsidR="00A11C90" w:rsidRPr="00A07D9A" w:rsidRDefault="00A11C90" w:rsidP="00A11C90">
      <w:pPr>
        <w:rPr>
          <w:color w:val="000000" w:themeColor="text1"/>
        </w:rPr>
      </w:pPr>
      <w:r w:rsidRPr="00A07D9A">
        <w:rPr>
          <w:color w:val="000000" w:themeColor="text1"/>
        </w:rPr>
        <w:t xml:space="preserve">En la práctica, </w:t>
      </w:r>
      <w:r w:rsidR="00DA4123" w:rsidRPr="00A07D9A">
        <w:rPr>
          <w:color w:val="000000" w:themeColor="text1"/>
        </w:rPr>
        <w:t>la UCE</w:t>
      </w:r>
      <w:r w:rsidRPr="00A07D9A">
        <w:rPr>
          <w:color w:val="000000" w:themeColor="text1"/>
        </w:rPr>
        <w:t xml:space="preserve"> emite formalmente y por escrito un acuerdo dentro del cual precisa la fecha en que ha tenido por recibida la notificación de </w:t>
      </w:r>
      <w:r w:rsidR="004B54A6" w:rsidRPr="00A07D9A">
        <w:rPr>
          <w:color w:val="000000" w:themeColor="text1"/>
        </w:rPr>
        <w:t>concentración y</w:t>
      </w:r>
      <w:r w:rsidR="00035892" w:rsidRPr="00A07D9A">
        <w:rPr>
          <w:color w:val="000000" w:themeColor="text1"/>
        </w:rPr>
        <w:t xml:space="preserve"> con ello </w:t>
      </w:r>
      <w:r w:rsidRPr="00A07D9A">
        <w:rPr>
          <w:color w:val="000000" w:themeColor="text1"/>
        </w:rPr>
        <w:t>dejar constancia en el expediente d</w:t>
      </w:r>
      <w:r w:rsidR="00035892" w:rsidRPr="00A07D9A">
        <w:rPr>
          <w:color w:val="000000" w:themeColor="text1"/>
        </w:rPr>
        <w:t xml:space="preserve">e esa </w:t>
      </w:r>
      <w:r w:rsidRPr="00A07D9A">
        <w:rPr>
          <w:color w:val="000000" w:themeColor="text1"/>
        </w:rPr>
        <w:t xml:space="preserve">actuación realizada. </w:t>
      </w:r>
    </w:p>
    <w:p w14:paraId="40455F64" w14:textId="77777777" w:rsidR="00A11C90" w:rsidRPr="00A07D9A" w:rsidRDefault="00A11C90" w:rsidP="00A11C90">
      <w:pPr>
        <w:rPr>
          <w:color w:val="000000" w:themeColor="text1"/>
        </w:rPr>
      </w:pPr>
      <w:r w:rsidRPr="00A07D9A">
        <w:rPr>
          <w:color w:val="000000" w:themeColor="text1"/>
        </w:rPr>
        <w:t xml:space="preserve">No obstante lo anterior, la LFCE </w:t>
      </w:r>
      <w:r w:rsidR="00DA4123" w:rsidRPr="00A07D9A">
        <w:rPr>
          <w:color w:val="000000" w:themeColor="text1"/>
        </w:rPr>
        <w:t xml:space="preserve">precisa </w:t>
      </w:r>
      <w:r w:rsidRPr="00A07D9A">
        <w:rPr>
          <w:color w:val="000000" w:themeColor="text1"/>
        </w:rPr>
        <w:t>que ello no es indispensable, pues la notificación se entenderá por recibida en los siguientes casos, sin necesidad de mediar un acuerdo que así lo señale:</w:t>
      </w:r>
    </w:p>
    <w:p w14:paraId="40695891" w14:textId="77777777" w:rsidR="00A11C90" w:rsidRPr="00A07D9A" w:rsidRDefault="00A11C90" w:rsidP="00FE6791">
      <w:pPr>
        <w:pStyle w:val="Prrafodelista"/>
        <w:numPr>
          <w:ilvl w:val="0"/>
          <w:numId w:val="12"/>
        </w:numPr>
        <w:spacing w:after="160" w:line="259" w:lineRule="auto"/>
        <w:ind w:left="714" w:hanging="357"/>
        <w:rPr>
          <w:color w:val="000000" w:themeColor="text1"/>
        </w:rPr>
      </w:pPr>
      <w:r w:rsidRPr="00A07D9A">
        <w:rPr>
          <w:color w:val="000000" w:themeColor="text1"/>
        </w:rPr>
        <w:t>El día de la presentación del escrito de notificación, cuando el IFT no hubiere emitido un Acuerdo de Prevención a los notificantes.</w:t>
      </w:r>
    </w:p>
    <w:p w14:paraId="24779954" w14:textId="77777777" w:rsidR="00A11C90" w:rsidRPr="00A07D9A" w:rsidRDefault="00A11C90" w:rsidP="00FE6791">
      <w:pPr>
        <w:pStyle w:val="Prrafodelista"/>
        <w:numPr>
          <w:ilvl w:val="0"/>
          <w:numId w:val="12"/>
        </w:numPr>
        <w:spacing w:after="160" w:line="259" w:lineRule="auto"/>
        <w:ind w:left="714" w:hanging="357"/>
        <w:rPr>
          <w:color w:val="000000" w:themeColor="text1"/>
        </w:rPr>
      </w:pPr>
      <w:r w:rsidRPr="00A07D9A">
        <w:rPr>
          <w:color w:val="000000" w:themeColor="text1"/>
        </w:rPr>
        <w:t xml:space="preserve">El día de la presentación de la información y/o documentación faltante objeto del Acuerdo de Prevención, siempre y cuando ésta haya sido presentada por los </w:t>
      </w:r>
      <w:r w:rsidR="008E5928" w:rsidRPr="00A07D9A">
        <w:rPr>
          <w:color w:val="000000" w:themeColor="text1"/>
        </w:rPr>
        <w:t xml:space="preserve">agentes económicos </w:t>
      </w:r>
      <w:r w:rsidRPr="00A07D9A">
        <w:rPr>
          <w:color w:val="000000" w:themeColor="text1"/>
        </w:rPr>
        <w:t xml:space="preserve">notificantes dentro del plazo concedido por el IFT o su prórroga; y en caso de que no se hubiere emitido </w:t>
      </w:r>
      <w:r w:rsidRPr="00A07D9A">
        <w:rPr>
          <w:color w:val="000000" w:themeColor="text1"/>
        </w:rPr>
        <w:lastRenderedPageBreak/>
        <w:t xml:space="preserve">con posterioridad un acuerdo de </w:t>
      </w:r>
      <w:r w:rsidR="00DA4123" w:rsidRPr="00A07D9A">
        <w:rPr>
          <w:color w:val="000000" w:themeColor="text1"/>
        </w:rPr>
        <w:t xml:space="preserve">tener por </w:t>
      </w:r>
      <w:r w:rsidRPr="00A07D9A">
        <w:rPr>
          <w:color w:val="000000" w:themeColor="text1"/>
        </w:rPr>
        <w:t>no presentad</w:t>
      </w:r>
      <w:r w:rsidR="00DA4123" w:rsidRPr="00A07D9A">
        <w:rPr>
          <w:color w:val="000000" w:themeColor="text1"/>
        </w:rPr>
        <w:t>a</w:t>
      </w:r>
      <w:r w:rsidRPr="00A07D9A">
        <w:rPr>
          <w:color w:val="000000" w:themeColor="text1"/>
        </w:rPr>
        <w:t xml:space="preserve"> la notificación de concentración.  </w:t>
      </w:r>
    </w:p>
    <w:p w14:paraId="1B41FF83" w14:textId="77777777" w:rsidR="00A11C90" w:rsidRPr="00A07D9A" w:rsidRDefault="00A11C90" w:rsidP="00A936C9">
      <w:pPr>
        <w:pStyle w:val="Ttulo3"/>
        <w:rPr>
          <w:rFonts w:eastAsiaTheme="minorHAnsi"/>
          <w:color w:val="000000" w:themeColor="text1"/>
        </w:rPr>
      </w:pPr>
      <w:bookmarkStart w:id="69" w:name="_Toc462053127"/>
      <w:bookmarkStart w:id="70" w:name="_Toc486519830"/>
      <w:r w:rsidRPr="00A07D9A">
        <w:rPr>
          <w:rFonts w:eastAsiaTheme="minorHAnsi"/>
          <w:color w:val="000000" w:themeColor="text1"/>
        </w:rPr>
        <w:t>Emisión del Requerimiento de Información</w:t>
      </w:r>
      <w:bookmarkEnd w:id="69"/>
      <w:bookmarkEnd w:id="70"/>
    </w:p>
    <w:p w14:paraId="4DF40FD1" w14:textId="77777777" w:rsidR="00A11C90" w:rsidRPr="00A07D9A" w:rsidRDefault="00A11C90" w:rsidP="00A11C90">
      <w:pPr>
        <w:rPr>
          <w:color w:val="000000" w:themeColor="text1"/>
        </w:rPr>
      </w:pPr>
      <w:r w:rsidRPr="00A07D9A">
        <w:rPr>
          <w:color w:val="000000" w:themeColor="text1"/>
        </w:rPr>
        <w:t>El Requerimiento de Información es una herramienta mediante la cual el IFT</w:t>
      </w:r>
      <w:r w:rsidR="0061457F" w:rsidRPr="00A07D9A">
        <w:rPr>
          <w:color w:val="000000" w:themeColor="text1"/>
        </w:rPr>
        <w:t>, a través de la UCE,</w:t>
      </w:r>
      <w:r w:rsidRPr="00A07D9A">
        <w:rPr>
          <w:color w:val="000000" w:themeColor="text1"/>
        </w:rPr>
        <w:t xml:space="preserve"> podrá allegarse de la evidencia e información con la que cuenten los </w:t>
      </w:r>
      <w:r w:rsidR="008E5928" w:rsidRPr="00A07D9A">
        <w:rPr>
          <w:color w:val="000000" w:themeColor="text1"/>
        </w:rPr>
        <w:t xml:space="preserve">agentes económicos </w:t>
      </w:r>
      <w:r w:rsidRPr="00A07D9A">
        <w:rPr>
          <w:color w:val="000000" w:themeColor="text1"/>
        </w:rPr>
        <w:t xml:space="preserve">notificantes, para el mejor análisis de la concentración notificada. </w:t>
      </w:r>
    </w:p>
    <w:p w14:paraId="270FACDA" w14:textId="77777777" w:rsidR="00A11C90" w:rsidRPr="00A07D9A" w:rsidRDefault="00A11C90" w:rsidP="00A11C90">
      <w:pPr>
        <w:rPr>
          <w:color w:val="000000" w:themeColor="text1"/>
        </w:rPr>
      </w:pPr>
      <w:r w:rsidRPr="00A07D9A">
        <w:rPr>
          <w:color w:val="000000" w:themeColor="text1"/>
        </w:rPr>
        <w:t>Este requerimiento se encuentra regulado por los párrafos primero y segundo, fracción III del artículo 90 de la LFCE.</w:t>
      </w:r>
    </w:p>
    <w:p w14:paraId="1F66FE90" w14:textId="77777777" w:rsidR="00A11C90" w:rsidRPr="00A07D9A" w:rsidRDefault="00A11C90" w:rsidP="00A11C90">
      <w:pPr>
        <w:rPr>
          <w:color w:val="000000" w:themeColor="text1"/>
        </w:rPr>
      </w:pPr>
      <w:r w:rsidRPr="00A07D9A">
        <w:rPr>
          <w:color w:val="000000" w:themeColor="text1"/>
        </w:rPr>
        <w:t>A través de este acto jurídico, el IFT solicita a los notificantes la aportación de mayor información y/o documentación, misma que está relacionada con la identificación y análisis de los elementos a que se refiere la LFCE en materia de concentraciones, entre los cuales destacan los siguientes:</w:t>
      </w:r>
    </w:p>
    <w:p w14:paraId="4D40AC35" w14:textId="77777777" w:rsidR="00A11C90" w:rsidRPr="00A07D9A" w:rsidRDefault="00A11C90" w:rsidP="00FE6791">
      <w:pPr>
        <w:pStyle w:val="Prrafodelista"/>
        <w:numPr>
          <w:ilvl w:val="0"/>
          <w:numId w:val="4"/>
        </w:numPr>
        <w:spacing w:after="160" w:line="259" w:lineRule="auto"/>
        <w:ind w:left="1077"/>
        <w:rPr>
          <w:color w:val="000000" w:themeColor="text1"/>
        </w:rPr>
      </w:pPr>
      <w:r w:rsidRPr="00A07D9A">
        <w:rPr>
          <w:color w:val="000000" w:themeColor="text1"/>
        </w:rPr>
        <w:t xml:space="preserve">Para la identificación de terceros </w:t>
      </w:r>
      <w:r w:rsidR="008A07CB" w:rsidRPr="00A07D9A">
        <w:rPr>
          <w:color w:val="000000" w:themeColor="text1"/>
        </w:rPr>
        <w:t>agentes económicos</w:t>
      </w:r>
      <w:r w:rsidRPr="00A07D9A">
        <w:rPr>
          <w:color w:val="000000" w:themeColor="text1"/>
        </w:rPr>
        <w:t xml:space="preserve"> vinculados con los </w:t>
      </w:r>
      <w:r w:rsidR="008A07CB" w:rsidRPr="00A07D9A">
        <w:rPr>
          <w:color w:val="000000" w:themeColor="text1"/>
        </w:rPr>
        <w:t>agentes económicos</w:t>
      </w:r>
      <w:r w:rsidR="006A2745" w:rsidRPr="00A07D9A">
        <w:rPr>
          <w:color w:val="000000" w:themeColor="text1"/>
        </w:rPr>
        <w:t xml:space="preserve"> involucrados</w:t>
      </w:r>
      <w:r w:rsidR="00BC07D0" w:rsidRPr="00A07D9A">
        <w:rPr>
          <w:color w:val="000000" w:themeColor="text1"/>
        </w:rPr>
        <w:t xml:space="preserve"> (artículo 63</w:t>
      </w:r>
      <w:r w:rsidR="00303C53" w:rsidRPr="00A07D9A">
        <w:rPr>
          <w:color w:val="000000" w:themeColor="text1"/>
        </w:rPr>
        <w:t>,</w:t>
      </w:r>
      <w:r w:rsidR="00BC07D0" w:rsidRPr="00A07D9A">
        <w:rPr>
          <w:color w:val="000000" w:themeColor="text1"/>
        </w:rPr>
        <w:t xml:space="preserve"> fracción IV de la LFCE)</w:t>
      </w:r>
      <w:r w:rsidR="006A2745" w:rsidRPr="00A07D9A">
        <w:rPr>
          <w:color w:val="000000" w:themeColor="text1"/>
        </w:rPr>
        <w:t>.</w:t>
      </w:r>
    </w:p>
    <w:p w14:paraId="451B5B8C" w14:textId="77777777" w:rsidR="00A11C90" w:rsidRPr="00A07D9A" w:rsidRDefault="00A11C90" w:rsidP="00FE6791">
      <w:pPr>
        <w:pStyle w:val="Prrafodelista"/>
        <w:numPr>
          <w:ilvl w:val="0"/>
          <w:numId w:val="4"/>
        </w:numPr>
        <w:spacing w:after="160" w:line="259" w:lineRule="auto"/>
        <w:ind w:left="1077"/>
        <w:rPr>
          <w:color w:val="000000" w:themeColor="text1"/>
        </w:rPr>
      </w:pPr>
      <w:r w:rsidRPr="00A07D9A">
        <w:rPr>
          <w:color w:val="000000" w:themeColor="text1"/>
        </w:rPr>
        <w:t>Para la determinación del mercado relevante previstos en el artículo 58 de la LFCE.</w:t>
      </w:r>
    </w:p>
    <w:p w14:paraId="4593F216" w14:textId="77777777" w:rsidR="00A11C90" w:rsidRPr="00A07D9A" w:rsidRDefault="00A11C90" w:rsidP="00FE6791">
      <w:pPr>
        <w:pStyle w:val="Prrafodelista"/>
        <w:numPr>
          <w:ilvl w:val="0"/>
          <w:numId w:val="4"/>
        </w:numPr>
        <w:spacing w:after="160" w:line="259" w:lineRule="auto"/>
        <w:ind w:left="1077"/>
        <w:rPr>
          <w:color w:val="000000" w:themeColor="text1"/>
        </w:rPr>
      </w:pPr>
      <w:r w:rsidRPr="00A07D9A">
        <w:rPr>
          <w:bCs/>
          <w:color w:val="000000" w:themeColor="text1"/>
        </w:rPr>
        <w:t xml:space="preserve">Para la determinación del poder sustancial que se incluye en el </w:t>
      </w:r>
      <w:r w:rsidRPr="00A07D9A">
        <w:rPr>
          <w:color w:val="000000" w:themeColor="text1"/>
        </w:rPr>
        <w:t>artículo 59 de la LFCE.</w:t>
      </w:r>
    </w:p>
    <w:p w14:paraId="57BB02DE" w14:textId="77777777" w:rsidR="00A11C90" w:rsidRPr="00A07D9A" w:rsidRDefault="00A11C90" w:rsidP="00FE6791">
      <w:pPr>
        <w:pStyle w:val="Prrafodelista"/>
        <w:numPr>
          <w:ilvl w:val="0"/>
          <w:numId w:val="4"/>
        </w:numPr>
        <w:spacing w:after="160" w:line="259" w:lineRule="auto"/>
        <w:ind w:left="1077"/>
        <w:rPr>
          <w:color w:val="000000" w:themeColor="text1"/>
        </w:rPr>
      </w:pPr>
      <w:r w:rsidRPr="00A07D9A">
        <w:rPr>
          <w:color w:val="000000" w:themeColor="text1"/>
        </w:rPr>
        <w:t>Para determinar si la concentración no debe ser autorizada en términos del artículo 63 de la LFCE.</w:t>
      </w:r>
    </w:p>
    <w:p w14:paraId="3C69E66D" w14:textId="77777777" w:rsidR="00A11C90" w:rsidRPr="00A07D9A" w:rsidRDefault="00A11C90" w:rsidP="00FE6791">
      <w:pPr>
        <w:pStyle w:val="Prrafodelista"/>
        <w:numPr>
          <w:ilvl w:val="0"/>
          <w:numId w:val="4"/>
        </w:numPr>
        <w:spacing w:after="160" w:line="259" w:lineRule="auto"/>
        <w:ind w:left="1077"/>
        <w:rPr>
          <w:color w:val="000000" w:themeColor="text1"/>
        </w:rPr>
      </w:pPr>
      <w:r w:rsidRPr="00A07D9A">
        <w:rPr>
          <w:color w:val="000000" w:themeColor="text1"/>
        </w:rPr>
        <w:t>Para la identificación de indicios de una concentración ilícita, en términos de lo que precisa el artículo 64 de la LFCE.</w:t>
      </w:r>
    </w:p>
    <w:p w14:paraId="45B9AD07" w14:textId="77777777" w:rsidR="00A11C90" w:rsidRPr="00A07D9A" w:rsidRDefault="00A11C90" w:rsidP="00A11C90">
      <w:pPr>
        <w:rPr>
          <w:color w:val="000000" w:themeColor="text1"/>
        </w:rPr>
      </w:pPr>
      <w:r w:rsidRPr="00A07D9A">
        <w:rPr>
          <w:color w:val="000000" w:themeColor="text1"/>
        </w:rPr>
        <w:t>Las características distintivas de este requerimiento son las siguientes:</w:t>
      </w:r>
    </w:p>
    <w:p w14:paraId="7F2FBFAE" w14:textId="77777777" w:rsidR="00A11C90" w:rsidRPr="00A07D9A" w:rsidRDefault="00A11C90" w:rsidP="00FE6791">
      <w:pPr>
        <w:pStyle w:val="Prrafodelista"/>
        <w:numPr>
          <w:ilvl w:val="0"/>
          <w:numId w:val="14"/>
        </w:numPr>
        <w:spacing w:after="160" w:line="259" w:lineRule="auto"/>
        <w:ind w:left="714" w:hanging="357"/>
        <w:rPr>
          <w:color w:val="000000" w:themeColor="text1"/>
        </w:rPr>
      </w:pPr>
      <w:r w:rsidRPr="00A07D9A">
        <w:rPr>
          <w:color w:val="000000" w:themeColor="text1"/>
        </w:rPr>
        <w:t>Podrá ser emitido dentro de los quince días siguientes a aquél en que se tenga por recibida una notificación de concentración. En casos excepcionalmente complejos, el IFT podrá ampliar este plazo, hasta por cuarenta días adicionales.</w:t>
      </w:r>
    </w:p>
    <w:p w14:paraId="65D963C1" w14:textId="77777777" w:rsidR="00A11C90" w:rsidRPr="00A07D9A" w:rsidRDefault="00A11C90" w:rsidP="00FE6791">
      <w:pPr>
        <w:pStyle w:val="Prrafodelista"/>
        <w:numPr>
          <w:ilvl w:val="0"/>
          <w:numId w:val="14"/>
        </w:numPr>
        <w:spacing w:after="160" w:line="259" w:lineRule="auto"/>
        <w:ind w:left="714" w:hanging="357"/>
        <w:rPr>
          <w:color w:val="000000" w:themeColor="text1"/>
        </w:rPr>
      </w:pPr>
      <w:r w:rsidRPr="00A07D9A">
        <w:rPr>
          <w:color w:val="000000" w:themeColor="text1"/>
        </w:rPr>
        <w:t xml:space="preserve">El plazo de sesenta días para la resolución del procedimiento de notificación comenzará a contar desde la presentación del escrito que responda a este requerimiento. </w:t>
      </w:r>
    </w:p>
    <w:p w14:paraId="5FD4D288" w14:textId="77777777" w:rsidR="00A11C90" w:rsidRPr="00A07D9A" w:rsidRDefault="00A11C90" w:rsidP="00FE6791">
      <w:pPr>
        <w:pStyle w:val="Prrafodelista"/>
        <w:numPr>
          <w:ilvl w:val="0"/>
          <w:numId w:val="14"/>
        </w:numPr>
        <w:spacing w:after="160" w:line="259" w:lineRule="auto"/>
        <w:ind w:left="714" w:hanging="357"/>
        <w:rPr>
          <w:color w:val="000000" w:themeColor="text1"/>
        </w:rPr>
      </w:pPr>
      <w:r w:rsidRPr="00A07D9A">
        <w:rPr>
          <w:color w:val="000000" w:themeColor="text1"/>
        </w:rPr>
        <w:t xml:space="preserve">El plazo que se concederá a los notificantes para responder será de quince días y podrá prorrogarse hasta por el mismo lapso en casos debidamente justificados por los </w:t>
      </w:r>
      <w:r w:rsidR="008A07CB" w:rsidRPr="00A07D9A">
        <w:rPr>
          <w:color w:val="000000" w:themeColor="text1"/>
        </w:rPr>
        <w:t>agentes económicos</w:t>
      </w:r>
      <w:r w:rsidRPr="00A07D9A">
        <w:rPr>
          <w:color w:val="000000" w:themeColor="text1"/>
        </w:rPr>
        <w:t xml:space="preserve"> notificantes. </w:t>
      </w:r>
    </w:p>
    <w:p w14:paraId="029D8912" w14:textId="77777777" w:rsidR="00A11C90" w:rsidRPr="00A07D9A" w:rsidRDefault="00A11C90" w:rsidP="00FE6791">
      <w:pPr>
        <w:pStyle w:val="Prrafodelista"/>
        <w:numPr>
          <w:ilvl w:val="0"/>
          <w:numId w:val="14"/>
        </w:numPr>
        <w:spacing w:after="160" w:line="259" w:lineRule="auto"/>
        <w:ind w:left="714" w:hanging="357"/>
        <w:rPr>
          <w:color w:val="000000" w:themeColor="text1"/>
        </w:rPr>
      </w:pPr>
      <w:r w:rsidRPr="00A07D9A">
        <w:rPr>
          <w:color w:val="000000" w:themeColor="text1"/>
        </w:rPr>
        <w:t xml:space="preserve">Para el caso de que el Requerimiento de Información no se desahogue de forma completa y en tiempo, el IFT tendrá por no notificada la </w:t>
      </w:r>
      <w:r w:rsidRPr="00A07D9A">
        <w:rPr>
          <w:color w:val="000000" w:themeColor="text1"/>
        </w:rPr>
        <w:lastRenderedPageBreak/>
        <w:t xml:space="preserve">concentración y notificará a los </w:t>
      </w:r>
      <w:r w:rsidR="008A07CB" w:rsidRPr="00A07D9A">
        <w:rPr>
          <w:color w:val="000000" w:themeColor="text1"/>
        </w:rPr>
        <w:t>agentes económicos</w:t>
      </w:r>
      <w:r w:rsidRPr="00A07D9A">
        <w:rPr>
          <w:color w:val="000000" w:themeColor="text1"/>
        </w:rPr>
        <w:t xml:space="preserve"> involucrados el acuerdo respectivo dentro de los diez días siguientes.</w:t>
      </w:r>
    </w:p>
    <w:p w14:paraId="70A02CF6" w14:textId="77777777" w:rsidR="00A11C90" w:rsidRPr="00A07D9A" w:rsidRDefault="00A11C90" w:rsidP="00A11C90">
      <w:pPr>
        <w:rPr>
          <w:color w:val="000000" w:themeColor="text1"/>
        </w:rPr>
      </w:pPr>
      <w:r w:rsidRPr="00A07D9A">
        <w:rPr>
          <w:color w:val="000000" w:themeColor="text1"/>
        </w:rPr>
        <w:t xml:space="preserve">Resulta indispensable que los </w:t>
      </w:r>
      <w:r w:rsidR="008A07CB" w:rsidRPr="00A07D9A">
        <w:rPr>
          <w:color w:val="000000" w:themeColor="text1"/>
        </w:rPr>
        <w:t>agentes económicos</w:t>
      </w:r>
      <w:r w:rsidRPr="00A07D9A">
        <w:rPr>
          <w:color w:val="000000" w:themeColor="text1"/>
        </w:rPr>
        <w:t xml:space="preserve"> involucrados respondan de forma completa y en tiempo este acuerdo del IFT por virtud de lo siguiente:</w:t>
      </w:r>
    </w:p>
    <w:p w14:paraId="4BE9C6C4" w14:textId="77777777" w:rsidR="00A11C90" w:rsidRPr="00A07D9A" w:rsidRDefault="00A11C90" w:rsidP="00FE6791">
      <w:pPr>
        <w:pStyle w:val="Prrafodelista"/>
        <w:numPr>
          <w:ilvl w:val="0"/>
          <w:numId w:val="10"/>
        </w:numPr>
        <w:spacing w:after="160" w:line="259" w:lineRule="auto"/>
        <w:ind w:left="1077"/>
        <w:rPr>
          <w:color w:val="000000" w:themeColor="text1"/>
        </w:rPr>
      </w:pPr>
      <w:r w:rsidRPr="00A07D9A">
        <w:rPr>
          <w:color w:val="000000" w:themeColor="text1"/>
        </w:rPr>
        <w:t>La protección del interés público en el procedimiento de notificación de concentraciones es una finalidad constitucional, por lo cual es un mandato constitucional el que respalda la obtención de información y/o documentación necesaria para evaluar los efectos de la concentración sobre la libre concurrencia y competencia económica por parte del IFT.</w:t>
      </w:r>
    </w:p>
    <w:p w14:paraId="627B1F3F" w14:textId="77777777" w:rsidR="00A11C90" w:rsidRPr="00A07D9A" w:rsidRDefault="00A11C90" w:rsidP="00FE6791">
      <w:pPr>
        <w:pStyle w:val="Prrafodelista"/>
        <w:numPr>
          <w:ilvl w:val="0"/>
          <w:numId w:val="10"/>
        </w:numPr>
        <w:spacing w:after="160" w:line="259" w:lineRule="auto"/>
        <w:ind w:left="1077"/>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son la primera fuente de información detallada a que tiene acceso el IFT.</w:t>
      </w:r>
    </w:p>
    <w:p w14:paraId="286AB01F" w14:textId="77777777" w:rsidR="00A11C90" w:rsidRPr="00A07D9A" w:rsidRDefault="00A11C90" w:rsidP="00FE6791">
      <w:pPr>
        <w:pStyle w:val="Prrafodelista"/>
        <w:numPr>
          <w:ilvl w:val="0"/>
          <w:numId w:val="10"/>
        </w:numPr>
        <w:spacing w:after="160" w:line="259" w:lineRule="auto"/>
        <w:ind w:left="1077"/>
        <w:rPr>
          <w:color w:val="000000" w:themeColor="text1"/>
        </w:rPr>
      </w:pPr>
      <w:r w:rsidRPr="00A07D9A">
        <w:rPr>
          <w:color w:val="000000" w:themeColor="text1"/>
        </w:rPr>
        <w:t xml:space="preserve">La resolución del procedimiento dependerá mayoritariamente de la información y/o documentación aportada por los </w:t>
      </w:r>
      <w:r w:rsidR="008A07CB" w:rsidRPr="00A07D9A">
        <w:rPr>
          <w:color w:val="000000" w:themeColor="text1"/>
        </w:rPr>
        <w:t>agentes económicos</w:t>
      </w:r>
      <w:r w:rsidRPr="00A07D9A">
        <w:rPr>
          <w:color w:val="000000" w:themeColor="text1"/>
        </w:rPr>
        <w:t xml:space="preserve"> involucrados.</w:t>
      </w:r>
      <w:r w:rsidR="006C1749" w:rsidRPr="00A07D9A">
        <w:rPr>
          <w:rStyle w:val="Refdenotaalpie"/>
          <w:color w:val="000000" w:themeColor="text1"/>
        </w:rPr>
        <w:footnoteReference w:id="79"/>
      </w:r>
    </w:p>
    <w:p w14:paraId="1FF34EE2" w14:textId="77777777" w:rsidR="00A11C90" w:rsidRPr="00A07D9A" w:rsidRDefault="00A11C90" w:rsidP="00FE6791">
      <w:pPr>
        <w:pStyle w:val="Prrafodelista"/>
        <w:numPr>
          <w:ilvl w:val="0"/>
          <w:numId w:val="10"/>
        </w:numPr>
        <w:spacing w:after="160" w:line="259" w:lineRule="auto"/>
        <w:ind w:left="1077"/>
        <w:rPr>
          <w:color w:val="000000" w:themeColor="text1"/>
        </w:rPr>
      </w:pPr>
      <w:r w:rsidRPr="00A07D9A">
        <w:rPr>
          <w:color w:val="000000" w:themeColor="text1"/>
        </w:rPr>
        <w:t xml:space="preserve">El IFT no está </w:t>
      </w:r>
      <w:r w:rsidR="008E5928" w:rsidRPr="00A07D9A">
        <w:rPr>
          <w:color w:val="000000" w:themeColor="text1"/>
        </w:rPr>
        <w:t xml:space="preserve">facultado </w:t>
      </w:r>
      <w:r w:rsidRPr="00A07D9A">
        <w:rPr>
          <w:color w:val="000000" w:themeColor="text1"/>
        </w:rPr>
        <w:t xml:space="preserve">para suplir a los </w:t>
      </w:r>
      <w:r w:rsidR="008A07CB" w:rsidRPr="00A07D9A">
        <w:rPr>
          <w:color w:val="000000" w:themeColor="text1"/>
        </w:rPr>
        <w:t>agentes económicos</w:t>
      </w:r>
      <w:r w:rsidRPr="00A07D9A">
        <w:rPr>
          <w:color w:val="000000" w:themeColor="text1"/>
        </w:rPr>
        <w:t xml:space="preserve"> notificantes en la ausencia de información y/o documentación, lo cual es de esencial importancia, por ejemplo, para la acreditación de eficiencias. </w:t>
      </w:r>
    </w:p>
    <w:p w14:paraId="542601BA" w14:textId="77777777" w:rsidR="00A11C90" w:rsidRPr="00A07D9A" w:rsidRDefault="00A11C90" w:rsidP="00FE6791">
      <w:pPr>
        <w:pStyle w:val="Prrafodelista"/>
        <w:numPr>
          <w:ilvl w:val="0"/>
          <w:numId w:val="10"/>
        </w:numPr>
        <w:spacing w:after="160" w:line="259" w:lineRule="auto"/>
        <w:ind w:left="1077"/>
        <w:rPr>
          <w:color w:val="000000" w:themeColor="text1"/>
        </w:rPr>
      </w:pPr>
      <w:r w:rsidRPr="00A07D9A">
        <w:rPr>
          <w:color w:val="000000" w:themeColor="text1"/>
        </w:rPr>
        <w:t xml:space="preserve">En caso de que los </w:t>
      </w:r>
      <w:r w:rsidR="008A07CB" w:rsidRPr="00A07D9A">
        <w:rPr>
          <w:color w:val="000000" w:themeColor="text1"/>
        </w:rPr>
        <w:t>agentes económicos</w:t>
      </w:r>
      <w:r w:rsidRPr="00A07D9A">
        <w:rPr>
          <w:color w:val="000000" w:themeColor="text1"/>
        </w:rPr>
        <w:t xml:space="preserve"> </w:t>
      </w:r>
      <w:r w:rsidR="008E5928" w:rsidRPr="00A07D9A">
        <w:rPr>
          <w:color w:val="000000" w:themeColor="text1"/>
        </w:rPr>
        <w:t>involucrados</w:t>
      </w:r>
      <w:r w:rsidRPr="00A07D9A">
        <w:rPr>
          <w:color w:val="000000" w:themeColor="text1"/>
        </w:rPr>
        <w:t xml:space="preserve"> no cuenten con la información solicitada, deberán expresar las razones y fundamentos legales por los cuales no cuentan con esa información, lo cual el IFT podrá ponderar si es necesario requerir información de terceros o de autoridades públicas, al mismo tiempo que ponderará si la información existente es suficiente para proceder al análisis del caso. Asimismo, analizará si la negativa o la inexistencia de información de los </w:t>
      </w:r>
      <w:r w:rsidR="008A07CB" w:rsidRPr="00A07D9A">
        <w:rPr>
          <w:color w:val="000000" w:themeColor="text1"/>
        </w:rPr>
        <w:t>agentes económicos</w:t>
      </w:r>
      <w:r w:rsidRPr="00A07D9A">
        <w:rPr>
          <w:color w:val="000000" w:themeColor="text1"/>
        </w:rPr>
        <w:t xml:space="preserve"> se encuentra suficientemente justificada. De lo contrario, podrá </w:t>
      </w:r>
      <w:r w:rsidR="008E5928" w:rsidRPr="00A07D9A">
        <w:rPr>
          <w:color w:val="000000" w:themeColor="text1"/>
        </w:rPr>
        <w:t>emitir</w:t>
      </w:r>
      <w:r w:rsidRPr="00A07D9A">
        <w:rPr>
          <w:color w:val="000000" w:themeColor="text1"/>
        </w:rPr>
        <w:t xml:space="preserve"> un acuerdo que tendrá por no notificada la concentración, conforme a lo señalado en el artículo 90, fracción III, párrafo segundo de la LFCE. </w:t>
      </w:r>
    </w:p>
    <w:p w14:paraId="511D1D4D" w14:textId="77777777" w:rsidR="00A11C90" w:rsidRPr="00A07D9A" w:rsidRDefault="00A11C90" w:rsidP="00A936C9">
      <w:pPr>
        <w:pStyle w:val="Ttulo3"/>
        <w:rPr>
          <w:rFonts w:eastAsiaTheme="minorHAnsi"/>
          <w:color w:val="000000" w:themeColor="text1"/>
        </w:rPr>
      </w:pPr>
      <w:bookmarkStart w:id="71" w:name="_Toc462053128"/>
      <w:bookmarkStart w:id="72" w:name="_Toc486519831"/>
      <w:r w:rsidRPr="00A07D9A">
        <w:rPr>
          <w:rFonts w:eastAsiaTheme="minorHAnsi"/>
          <w:color w:val="000000" w:themeColor="text1"/>
        </w:rPr>
        <w:t>Requerimientos de Información Adicional</w:t>
      </w:r>
      <w:bookmarkEnd w:id="71"/>
      <w:bookmarkEnd w:id="72"/>
    </w:p>
    <w:p w14:paraId="64F9FFEB" w14:textId="77777777" w:rsidR="00A11C90" w:rsidRPr="00A07D9A" w:rsidRDefault="00A11C90" w:rsidP="00A11C90">
      <w:pPr>
        <w:rPr>
          <w:color w:val="000000" w:themeColor="text1"/>
        </w:rPr>
      </w:pPr>
      <w:r w:rsidRPr="00A07D9A">
        <w:rPr>
          <w:color w:val="000000" w:themeColor="text1"/>
        </w:rPr>
        <w:t>Existen otros requerimientos de información adicional que, a diferencia del descrito en el apartado anterior, tienen características propias, definidas en los párrafos tercero y cuarto, fracción III del artículo 90 de la LFCE:</w:t>
      </w:r>
    </w:p>
    <w:p w14:paraId="65DBB841" w14:textId="77777777" w:rsidR="00A11C90" w:rsidRPr="00A07D9A" w:rsidRDefault="00A11C90" w:rsidP="00FE6791">
      <w:pPr>
        <w:pStyle w:val="Prrafodelista"/>
        <w:numPr>
          <w:ilvl w:val="0"/>
          <w:numId w:val="13"/>
        </w:numPr>
        <w:spacing w:after="160" w:line="259" w:lineRule="auto"/>
        <w:ind w:left="714" w:hanging="357"/>
        <w:rPr>
          <w:color w:val="000000" w:themeColor="text1"/>
        </w:rPr>
      </w:pPr>
      <w:r w:rsidRPr="00A07D9A">
        <w:rPr>
          <w:color w:val="000000" w:themeColor="text1"/>
        </w:rPr>
        <w:lastRenderedPageBreak/>
        <w:t>Pueden emitirse en cualquier momento.</w:t>
      </w:r>
    </w:p>
    <w:p w14:paraId="3938864E" w14:textId="77777777" w:rsidR="00A11C90" w:rsidRPr="00A07D9A" w:rsidRDefault="00A11C90" w:rsidP="00FE6791">
      <w:pPr>
        <w:pStyle w:val="Prrafodelista"/>
        <w:numPr>
          <w:ilvl w:val="0"/>
          <w:numId w:val="13"/>
        </w:numPr>
        <w:spacing w:after="160" w:line="259" w:lineRule="auto"/>
        <w:ind w:left="714" w:hanging="357"/>
        <w:rPr>
          <w:color w:val="000000" w:themeColor="text1"/>
        </w:rPr>
      </w:pPr>
      <w:r w:rsidRPr="00A07D9A">
        <w:rPr>
          <w:color w:val="000000" w:themeColor="text1"/>
        </w:rPr>
        <w:t xml:space="preserve">Pueden dirigirse a cualquiera persona, </w:t>
      </w:r>
      <w:r w:rsidR="00A83FB8" w:rsidRPr="00A07D9A">
        <w:rPr>
          <w:color w:val="000000" w:themeColor="text1"/>
        </w:rPr>
        <w:t>agentes económicos</w:t>
      </w:r>
      <w:r w:rsidRPr="00A07D9A">
        <w:rPr>
          <w:color w:val="000000" w:themeColor="text1"/>
        </w:rPr>
        <w:t xml:space="preserve"> o autoridad pública, sin que ello implique que se les otorgue el carácter de parte en el procedimiento.</w:t>
      </w:r>
    </w:p>
    <w:p w14:paraId="48853F5E" w14:textId="77777777" w:rsidR="00A11C90" w:rsidRPr="00A07D9A" w:rsidRDefault="00A11C90" w:rsidP="00FE6791">
      <w:pPr>
        <w:pStyle w:val="Prrafodelista"/>
        <w:numPr>
          <w:ilvl w:val="0"/>
          <w:numId w:val="13"/>
        </w:numPr>
        <w:spacing w:after="160" w:line="259" w:lineRule="auto"/>
        <w:ind w:left="714" w:hanging="357"/>
        <w:rPr>
          <w:color w:val="000000" w:themeColor="text1"/>
        </w:rPr>
      </w:pPr>
      <w:r w:rsidRPr="00A07D9A">
        <w:rPr>
          <w:color w:val="000000" w:themeColor="text1"/>
        </w:rPr>
        <w:t xml:space="preserve">Pueden dirigirse también a los mismos </w:t>
      </w:r>
      <w:r w:rsidR="008A07CB" w:rsidRPr="00A07D9A">
        <w:rPr>
          <w:color w:val="000000" w:themeColor="text1"/>
        </w:rPr>
        <w:t>agentes económicos</w:t>
      </w:r>
      <w:r w:rsidRPr="00A07D9A">
        <w:rPr>
          <w:color w:val="000000" w:themeColor="text1"/>
        </w:rPr>
        <w:t xml:space="preserve"> notificantes. </w:t>
      </w:r>
    </w:p>
    <w:p w14:paraId="3ADCDB9B" w14:textId="77777777" w:rsidR="00A11C90" w:rsidRPr="00A07D9A" w:rsidRDefault="00A11C90" w:rsidP="00FE6791">
      <w:pPr>
        <w:pStyle w:val="Prrafodelista"/>
        <w:numPr>
          <w:ilvl w:val="0"/>
          <w:numId w:val="13"/>
        </w:numPr>
        <w:spacing w:after="160" w:line="259" w:lineRule="auto"/>
        <w:ind w:left="714" w:hanging="357"/>
        <w:rPr>
          <w:color w:val="000000" w:themeColor="text1"/>
        </w:rPr>
      </w:pPr>
      <w:r w:rsidRPr="00A07D9A">
        <w:rPr>
          <w:color w:val="000000" w:themeColor="text1"/>
        </w:rPr>
        <w:t xml:space="preserve">Cuentan con plazos propios, pues los requeridos tendrán diez días para responder y estarán en posibilidad de solicitar una prórroga hasta por un </w:t>
      </w:r>
      <w:r w:rsidR="008E5928" w:rsidRPr="00A07D9A">
        <w:rPr>
          <w:color w:val="000000" w:themeColor="text1"/>
        </w:rPr>
        <w:t xml:space="preserve">plazo </w:t>
      </w:r>
      <w:r w:rsidRPr="00A07D9A">
        <w:rPr>
          <w:color w:val="000000" w:themeColor="text1"/>
        </w:rPr>
        <w:t>igual.</w:t>
      </w:r>
    </w:p>
    <w:p w14:paraId="45E196B6" w14:textId="77777777" w:rsidR="00A11C90" w:rsidRPr="00A07D9A" w:rsidRDefault="00A11C90" w:rsidP="00FE6791">
      <w:pPr>
        <w:pStyle w:val="Prrafodelista"/>
        <w:numPr>
          <w:ilvl w:val="0"/>
          <w:numId w:val="13"/>
        </w:numPr>
        <w:spacing w:after="160" w:line="259" w:lineRule="auto"/>
        <w:ind w:left="714" w:hanging="357"/>
        <w:rPr>
          <w:color w:val="000000" w:themeColor="text1"/>
        </w:rPr>
      </w:pPr>
      <w:r w:rsidRPr="00A07D9A">
        <w:rPr>
          <w:color w:val="000000" w:themeColor="text1"/>
        </w:rPr>
        <w:t>Estos requerimientos no suspenden el plazo de resolución de la notificación de concentración.</w:t>
      </w:r>
    </w:p>
    <w:p w14:paraId="7A5F8FF1" w14:textId="77777777" w:rsidR="00A11C90" w:rsidRPr="00A07D9A" w:rsidRDefault="00A11C90" w:rsidP="00A11C90">
      <w:pPr>
        <w:rPr>
          <w:color w:val="000000" w:themeColor="text1"/>
        </w:rPr>
      </w:pPr>
      <w:r w:rsidRPr="00A07D9A">
        <w:rPr>
          <w:color w:val="000000" w:themeColor="text1"/>
        </w:rPr>
        <w:t xml:space="preserve">Como se observa, estos requerimientos tienen una naturaleza distinta a los señalados en los párrafos primero y segundo, fracción III del artículo 90 de la LFCE, pues se aplican a terceros o a los </w:t>
      </w:r>
      <w:r w:rsidR="008A07CB" w:rsidRPr="00A07D9A">
        <w:rPr>
          <w:color w:val="000000" w:themeColor="text1"/>
        </w:rPr>
        <w:t>agentes económicos</w:t>
      </w:r>
      <w:r w:rsidRPr="00A07D9A">
        <w:rPr>
          <w:color w:val="000000" w:themeColor="text1"/>
        </w:rPr>
        <w:t xml:space="preserve"> notificantes fuera de los plazos a que se refieren estos últimos párrafos. </w:t>
      </w:r>
    </w:p>
    <w:p w14:paraId="3F2209DC" w14:textId="77777777" w:rsidR="00A11C90" w:rsidRPr="00A07D9A" w:rsidRDefault="00A11C90" w:rsidP="00A11C90">
      <w:pPr>
        <w:rPr>
          <w:color w:val="000000" w:themeColor="text1"/>
        </w:rPr>
      </w:pPr>
      <w:r w:rsidRPr="00A07D9A">
        <w:rPr>
          <w:color w:val="000000" w:themeColor="text1"/>
        </w:rPr>
        <w:t xml:space="preserve">Por esta razón, el incumplimiento en su desahogo no tendrá como consecuencia </w:t>
      </w:r>
      <w:r w:rsidR="001C36A0" w:rsidRPr="00A07D9A">
        <w:rPr>
          <w:color w:val="000000" w:themeColor="text1"/>
        </w:rPr>
        <w:t>considerar como</w:t>
      </w:r>
      <w:r w:rsidRPr="00A07D9A">
        <w:rPr>
          <w:color w:val="000000" w:themeColor="text1"/>
        </w:rPr>
        <w:t xml:space="preserve"> no presenta</w:t>
      </w:r>
      <w:r w:rsidR="001C36A0" w:rsidRPr="00A07D9A">
        <w:rPr>
          <w:color w:val="000000" w:themeColor="text1"/>
        </w:rPr>
        <w:t>da</w:t>
      </w:r>
      <w:r w:rsidRPr="00A07D9A">
        <w:rPr>
          <w:color w:val="000000" w:themeColor="text1"/>
        </w:rPr>
        <w:t xml:space="preserve"> la notificación, sino que únicamente dará lugar al ejercicio de las medidas de apremio que resulten necesarias, hasta que se obtenga una respuesta completa de lo solicitado por parte del IFT</w:t>
      </w:r>
      <w:r w:rsidR="0061457F" w:rsidRPr="00A07D9A">
        <w:rPr>
          <w:color w:val="000000" w:themeColor="text1"/>
        </w:rPr>
        <w:t>, a través de la UCE</w:t>
      </w:r>
      <w:r w:rsidRPr="00A07D9A">
        <w:rPr>
          <w:color w:val="000000" w:themeColor="text1"/>
        </w:rPr>
        <w:t>.</w:t>
      </w:r>
    </w:p>
    <w:p w14:paraId="17E119C3" w14:textId="77777777" w:rsidR="00A11C90" w:rsidRPr="00A07D9A" w:rsidRDefault="00A11C90" w:rsidP="00A936C9">
      <w:pPr>
        <w:pStyle w:val="Ttulo3"/>
        <w:rPr>
          <w:rFonts w:eastAsiaTheme="minorHAnsi"/>
          <w:color w:val="000000" w:themeColor="text1"/>
        </w:rPr>
      </w:pPr>
      <w:bookmarkStart w:id="73" w:name="_Toc462053129"/>
      <w:bookmarkStart w:id="74" w:name="_Toc486519832"/>
      <w:r w:rsidRPr="00A07D9A">
        <w:rPr>
          <w:rFonts w:eastAsiaTheme="minorHAnsi"/>
          <w:color w:val="000000" w:themeColor="text1"/>
        </w:rPr>
        <w:t xml:space="preserve">Acuerdo </w:t>
      </w:r>
      <w:r w:rsidR="007B43E4" w:rsidRPr="00A07D9A">
        <w:rPr>
          <w:rFonts w:eastAsiaTheme="minorHAnsi"/>
          <w:color w:val="000000" w:themeColor="text1"/>
        </w:rPr>
        <w:t xml:space="preserve">que tiene por no presentada </w:t>
      </w:r>
      <w:bookmarkEnd w:id="73"/>
      <w:r w:rsidR="007B43E4" w:rsidRPr="00A07D9A">
        <w:rPr>
          <w:rFonts w:eastAsiaTheme="minorHAnsi"/>
          <w:color w:val="000000" w:themeColor="text1"/>
        </w:rPr>
        <w:t>una Notificación</w:t>
      </w:r>
      <w:bookmarkEnd w:id="74"/>
    </w:p>
    <w:p w14:paraId="31A60357" w14:textId="77777777" w:rsidR="00A11C90" w:rsidRPr="00A07D9A" w:rsidRDefault="00A11C90" w:rsidP="00A11C90">
      <w:pPr>
        <w:rPr>
          <w:color w:val="000000" w:themeColor="text1"/>
        </w:rPr>
      </w:pPr>
      <w:r w:rsidRPr="00A07D9A">
        <w:rPr>
          <w:color w:val="000000" w:themeColor="text1"/>
        </w:rPr>
        <w:t xml:space="preserve">El acuerdo de </w:t>
      </w:r>
      <w:r w:rsidR="00DA4123" w:rsidRPr="00A07D9A">
        <w:rPr>
          <w:color w:val="000000" w:themeColor="text1"/>
        </w:rPr>
        <w:t>tener por no presentada</w:t>
      </w:r>
      <w:r w:rsidR="00AA5762" w:rsidRPr="00A07D9A">
        <w:rPr>
          <w:color w:val="000000" w:themeColor="text1"/>
        </w:rPr>
        <w:t xml:space="preserve"> </w:t>
      </w:r>
      <w:r w:rsidRPr="00A07D9A">
        <w:rPr>
          <w:color w:val="000000" w:themeColor="text1"/>
        </w:rPr>
        <w:t xml:space="preserve">la notificación de una concentración consiste en un documento a través del cual se desecha el análisis y estudio de la operación notificada, poniendo a disposición de los </w:t>
      </w:r>
      <w:r w:rsidR="008A07CB" w:rsidRPr="00A07D9A">
        <w:rPr>
          <w:color w:val="000000" w:themeColor="text1"/>
        </w:rPr>
        <w:t>agentes económicos</w:t>
      </w:r>
      <w:r w:rsidRPr="00A07D9A">
        <w:rPr>
          <w:color w:val="000000" w:themeColor="text1"/>
        </w:rPr>
        <w:t xml:space="preserve"> notificantes toda la información presentada a efecto de que puedan recogerla y, de ser su deseo, puedan presentarla nuevamente con posterioridad.</w:t>
      </w:r>
    </w:p>
    <w:p w14:paraId="48DAEE9B" w14:textId="77777777" w:rsidR="00A11C90" w:rsidRPr="00A07D9A" w:rsidRDefault="00A11C90" w:rsidP="00A11C90">
      <w:pPr>
        <w:rPr>
          <w:color w:val="000000" w:themeColor="text1"/>
        </w:rPr>
      </w:pPr>
      <w:r w:rsidRPr="00A07D9A">
        <w:rPr>
          <w:color w:val="000000" w:themeColor="text1"/>
        </w:rPr>
        <w:t>Las hipótesis en que esto puede suceder son las siguientes:</w:t>
      </w:r>
    </w:p>
    <w:p w14:paraId="12008D86" w14:textId="77777777" w:rsidR="00A11C90" w:rsidRPr="00A07D9A" w:rsidRDefault="00A11C90" w:rsidP="00FE6791">
      <w:pPr>
        <w:pStyle w:val="Prrafodelista"/>
        <w:numPr>
          <w:ilvl w:val="0"/>
          <w:numId w:val="15"/>
        </w:numPr>
        <w:spacing w:after="160" w:line="259" w:lineRule="auto"/>
        <w:ind w:left="714" w:hanging="357"/>
        <w:rPr>
          <w:color w:val="000000" w:themeColor="text1"/>
        </w:rPr>
      </w:pPr>
      <w:r w:rsidRPr="00A07D9A">
        <w:rPr>
          <w:color w:val="000000" w:themeColor="text1"/>
        </w:rPr>
        <w:t>La ausencia de desahogo o, en su caso, el desahogo parcial</w:t>
      </w:r>
      <w:r w:rsidR="00BC07D0" w:rsidRPr="00A07D9A">
        <w:rPr>
          <w:color w:val="000000" w:themeColor="text1"/>
        </w:rPr>
        <w:t xml:space="preserve"> o </w:t>
      </w:r>
      <w:r w:rsidR="006A2745" w:rsidRPr="00A07D9A">
        <w:rPr>
          <w:color w:val="000000" w:themeColor="text1"/>
        </w:rPr>
        <w:t>extemporáneo</w:t>
      </w:r>
      <w:r w:rsidRPr="00A07D9A">
        <w:rPr>
          <w:color w:val="000000" w:themeColor="text1"/>
        </w:rPr>
        <w:t xml:space="preserve"> del Acuerdo de Prevención dentro del término concedido por el IFT; y</w:t>
      </w:r>
    </w:p>
    <w:p w14:paraId="3A41FFA8" w14:textId="77777777" w:rsidR="00A11C90" w:rsidRPr="00A07D9A" w:rsidRDefault="00A11C90" w:rsidP="00FE6791">
      <w:pPr>
        <w:pStyle w:val="Prrafodelista"/>
        <w:numPr>
          <w:ilvl w:val="0"/>
          <w:numId w:val="15"/>
        </w:numPr>
        <w:spacing w:after="160" w:line="259" w:lineRule="auto"/>
        <w:ind w:left="714" w:hanging="357"/>
        <w:rPr>
          <w:color w:val="000000" w:themeColor="text1"/>
        </w:rPr>
      </w:pPr>
      <w:r w:rsidRPr="00A07D9A">
        <w:rPr>
          <w:color w:val="000000" w:themeColor="text1"/>
        </w:rPr>
        <w:t xml:space="preserve">La ausencia de desahogo o, en su caso, el desahogo parcial </w:t>
      </w:r>
      <w:r w:rsidR="00BC07D0" w:rsidRPr="00A07D9A">
        <w:rPr>
          <w:color w:val="000000" w:themeColor="text1"/>
        </w:rPr>
        <w:t xml:space="preserve">o extemporáneo </w:t>
      </w:r>
      <w:r w:rsidRPr="00A07D9A">
        <w:rPr>
          <w:color w:val="000000" w:themeColor="text1"/>
        </w:rPr>
        <w:t xml:space="preserve">del Requerimiento de Información y/o Documentación Adicional a los </w:t>
      </w:r>
      <w:r w:rsidR="008A07CB" w:rsidRPr="00A07D9A">
        <w:rPr>
          <w:color w:val="000000" w:themeColor="text1"/>
        </w:rPr>
        <w:t>agentes económicos</w:t>
      </w:r>
      <w:r w:rsidRPr="00A07D9A">
        <w:rPr>
          <w:color w:val="000000" w:themeColor="text1"/>
        </w:rPr>
        <w:t xml:space="preserve"> Notificantes dentro del término concedido por el IFT.</w:t>
      </w:r>
    </w:p>
    <w:p w14:paraId="10F9AFCB" w14:textId="77777777" w:rsidR="00A11C90" w:rsidRPr="00A07D9A" w:rsidRDefault="00A11C90" w:rsidP="00A11C90">
      <w:pPr>
        <w:rPr>
          <w:color w:val="000000" w:themeColor="text1"/>
        </w:rPr>
      </w:pPr>
      <w:r w:rsidRPr="00A07D9A">
        <w:rPr>
          <w:color w:val="000000" w:themeColor="text1"/>
        </w:rPr>
        <w:t xml:space="preserve">En cualquiera de las hipótesis aludidas, el acuerdo se emitirá dentro de los diez días siguientes a aquél en que haya sido presentado el escrito de desahogo respectivo o a aquél en que haya vencido el plazo concedido por el IFT. </w:t>
      </w:r>
      <w:r w:rsidR="00035892" w:rsidRPr="00A07D9A">
        <w:rPr>
          <w:color w:val="000000" w:themeColor="text1"/>
        </w:rPr>
        <w:t>En caso de no emitir el acuerdo de desahogo respectivo, el procedimiento continuará su trámite.</w:t>
      </w:r>
    </w:p>
    <w:p w14:paraId="55D9B777" w14:textId="77777777" w:rsidR="00BA3CD8" w:rsidRPr="00A07D9A" w:rsidRDefault="00BA3CD8" w:rsidP="00A936C9">
      <w:pPr>
        <w:pStyle w:val="Ttulo3"/>
        <w:rPr>
          <w:rFonts w:eastAsiaTheme="minorHAnsi"/>
          <w:color w:val="000000" w:themeColor="text1"/>
        </w:rPr>
      </w:pPr>
      <w:bookmarkStart w:id="75" w:name="_Toc462053135"/>
      <w:bookmarkStart w:id="76" w:name="_Toc486519833"/>
      <w:bookmarkStart w:id="77" w:name="_Toc462053132"/>
      <w:r w:rsidRPr="00A07D9A">
        <w:rPr>
          <w:rFonts w:eastAsiaTheme="minorHAnsi"/>
          <w:color w:val="000000" w:themeColor="text1"/>
        </w:rPr>
        <w:lastRenderedPageBreak/>
        <w:t>Notificaciones</w:t>
      </w:r>
      <w:bookmarkEnd w:id="75"/>
      <w:bookmarkEnd w:id="76"/>
    </w:p>
    <w:p w14:paraId="1C603D54" w14:textId="77777777" w:rsidR="00BA3CD8" w:rsidRPr="00A07D9A" w:rsidRDefault="00BA3CD8" w:rsidP="00BA3CD8">
      <w:pPr>
        <w:autoSpaceDE w:val="0"/>
        <w:autoSpaceDN w:val="0"/>
        <w:adjustRightInd w:val="0"/>
        <w:rPr>
          <w:rFonts w:cs="Helvetica"/>
          <w:color w:val="000000" w:themeColor="text1"/>
        </w:rPr>
      </w:pPr>
      <w:r w:rsidRPr="00A07D9A">
        <w:rPr>
          <w:rFonts w:cs="Times New Roman"/>
          <w:color w:val="000000" w:themeColor="text1"/>
        </w:rPr>
        <w:t xml:space="preserve">En términos de los artículos 165 a 167 de las </w:t>
      </w:r>
      <w:r w:rsidR="00B94D75" w:rsidRPr="00A07D9A">
        <w:rPr>
          <w:rFonts w:cs="Times New Roman"/>
          <w:color w:val="000000" w:themeColor="text1"/>
        </w:rPr>
        <w:t>Disposiciones Regulatorias</w:t>
      </w:r>
      <w:r w:rsidRPr="00A07D9A">
        <w:rPr>
          <w:rFonts w:cs="Times New Roman"/>
          <w:color w:val="000000" w:themeColor="text1"/>
        </w:rPr>
        <w:t>, l</w:t>
      </w:r>
      <w:r w:rsidRPr="00A07D9A">
        <w:rPr>
          <w:rFonts w:cs="Helvetica"/>
          <w:color w:val="000000" w:themeColor="text1"/>
        </w:rPr>
        <w:t xml:space="preserve">as notificaciones que efectúe el Instituto pueden realizarse: </w:t>
      </w:r>
      <w:r w:rsidRPr="00A07D9A">
        <w:rPr>
          <w:rFonts w:cs="Helvetica"/>
          <w:bCs/>
          <w:color w:val="000000" w:themeColor="text1"/>
        </w:rPr>
        <w:t>p</w:t>
      </w:r>
      <w:r w:rsidRPr="00A07D9A">
        <w:rPr>
          <w:rFonts w:cs="Helvetica"/>
          <w:color w:val="000000" w:themeColor="text1"/>
        </w:rPr>
        <w:t>ersonalmente, por lista, por correo certificado o mensajería, y a las autoridades, mediante oficio.</w:t>
      </w:r>
    </w:p>
    <w:p w14:paraId="331D84FA" w14:textId="77777777" w:rsidR="00BA3CD8" w:rsidRPr="00A07D9A" w:rsidRDefault="00BA3CD8" w:rsidP="00BA3CD8">
      <w:pPr>
        <w:autoSpaceDE w:val="0"/>
        <w:autoSpaceDN w:val="0"/>
        <w:adjustRightInd w:val="0"/>
        <w:rPr>
          <w:rFonts w:cs="Helvetica"/>
          <w:color w:val="000000" w:themeColor="text1"/>
        </w:rPr>
      </w:pPr>
      <w:r w:rsidRPr="00A07D9A">
        <w:rPr>
          <w:rFonts w:cs="Helvetica"/>
          <w:color w:val="000000" w:themeColor="text1"/>
        </w:rPr>
        <w:t xml:space="preserve">En el procedimiento de concentraciones, los documentos que </w:t>
      </w:r>
      <w:r w:rsidR="0083630E" w:rsidRPr="00A07D9A">
        <w:rPr>
          <w:rFonts w:cs="Helvetica"/>
          <w:color w:val="000000" w:themeColor="text1"/>
        </w:rPr>
        <w:t xml:space="preserve">el Instituto </w:t>
      </w:r>
      <w:r w:rsidRPr="00A07D9A">
        <w:rPr>
          <w:rFonts w:cs="Helvetica"/>
          <w:color w:val="000000" w:themeColor="text1"/>
        </w:rPr>
        <w:t>notifica</w:t>
      </w:r>
      <w:r w:rsidR="0083630E" w:rsidRPr="00A07D9A">
        <w:rPr>
          <w:rFonts w:cs="Helvetica"/>
          <w:color w:val="000000" w:themeColor="text1"/>
        </w:rPr>
        <w:t>rá</w:t>
      </w:r>
      <w:r w:rsidRPr="00A07D9A">
        <w:rPr>
          <w:rFonts w:cs="Helvetica"/>
          <w:color w:val="000000" w:themeColor="text1"/>
        </w:rPr>
        <w:t xml:space="preserve"> personalmente a los solicitantes son:</w:t>
      </w:r>
    </w:p>
    <w:p w14:paraId="0E832CE9" w14:textId="77777777" w:rsidR="00BA3CD8" w:rsidRPr="00A07D9A" w:rsidRDefault="00BA3CD8" w:rsidP="00FE6791">
      <w:pPr>
        <w:pStyle w:val="Prrafodelista"/>
        <w:numPr>
          <w:ilvl w:val="1"/>
          <w:numId w:val="40"/>
        </w:numPr>
        <w:autoSpaceDE w:val="0"/>
        <w:autoSpaceDN w:val="0"/>
        <w:adjustRightInd w:val="0"/>
        <w:spacing w:after="160" w:line="259" w:lineRule="auto"/>
        <w:ind w:left="567"/>
        <w:rPr>
          <w:rFonts w:cs="Helvetica"/>
          <w:color w:val="000000" w:themeColor="text1"/>
        </w:rPr>
      </w:pPr>
      <w:r w:rsidRPr="00A07D9A">
        <w:rPr>
          <w:rFonts w:cs="Helvetica"/>
          <w:color w:val="000000" w:themeColor="text1"/>
        </w:rPr>
        <w:t xml:space="preserve">Las resoluciones del Pleno del IFT </w:t>
      </w:r>
      <w:r w:rsidR="0083630E" w:rsidRPr="00A07D9A">
        <w:rPr>
          <w:rFonts w:cs="Helvetica"/>
          <w:color w:val="000000" w:themeColor="text1"/>
        </w:rPr>
        <w:t xml:space="preserve">en las que determine que la concentración </w:t>
      </w:r>
      <w:r w:rsidRPr="00A07D9A">
        <w:rPr>
          <w:rFonts w:cs="Helvetica"/>
          <w:color w:val="000000" w:themeColor="text1"/>
        </w:rPr>
        <w:t xml:space="preserve">no </w:t>
      </w:r>
      <w:r w:rsidR="0083630E" w:rsidRPr="00A07D9A">
        <w:rPr>
          <w:rFonts w:cs="Helvetica"/>
          <w:color w:val="000000" w:themeColor="text1"/>
        </w:rPr>
        <w:t xml:space="preserve">ha sido </w:t>
      </w:r>
      <w:r w:rsidRPr="00A07D9A">
        <w:rPr>
          <w:rFonts w:cs="Helvetica"/>
          <w:color w:val="000000" w:themeColor="text1"/>
        </w:rPr>
        <w:t xml:space="preserve">autorizada o </w:t>
      </w:r>
      <w:r w:rsidR="0083630E" w:rsidRPr="00A07D9A">
        <w:rPr>
          <w:rFonts w:cs="Helvetica"/>
          <w:color w:val="000000" w:themeColor="text1"/>
        </w:rPr>
        <w:t>que se encuentra</w:t>
      </w:r>
      <w:r w:rsidRPr="00A07D9A">
        <w:rPr>
          <w:rFonts w:cs="Helvetica"/>
          <w:color w:val="000000" w:themeColor="text1"/>
        </w:rPr>
        <w:t xml:space="preserve"> autorizada sujeta a condiciones.</w:t>
      </w:r>
    </w:p>
    <w:p w14:paraId="595EA210" w14:textId="77777777" w:rsidR="00BA3CD8" w:rsidRPr="00A07D9A" w:rsidRDefault="00BA3CD8" w:rsidP="00FE6791">
      <w:pPr>
        <w:pStyle w:val="Prrafodelista"/>
        <w:numPr>
          <w:ilvl w:val="1"/>
          <w:numId w:val="40"/>
        </w:numPr>
        <w:autoSpaceDE w:val="0"/>
        <w:autoSpaceDN w:val="0"/>
        <w:adjustRightInd w:val="0"/>
        <w:spacing w:after="160" w:line="259" w:lineRule="auto"/>
        <w:ind w:left="567"/>
        <w:rPr>
          <w:rFonts w:cs="Helvetica"/>
          <w:color w:val="000000" w:themeColor="text1"/>
        </w:rPr>
      </w:pPr>
      <w:r w:rsidRPr="00A07D9A">
        <w:rPr>
          <w:rFonts w:cs="Helvetica"/>
          <w:color w:val="000000" w:themeColor="text1"/>
        </w:rPr>
        <w:t>Los requerimientos de información.</w:t>
      </w:r>
    </w:p>
    <w:p w14:paraId="1E7C1B3A" w14:textId="77777777" w:rsidR="00BA3CD8" w:rsidRPr="00A07D9A" w:rsidRDefault="00BA3CD8" w:rsidP="00FE6791">
      <w:pPr>
        <w:pStyle w:val="Prrafodelista"/>
        <w:numPr>
          <w:ilvl w:val="1"/>
          <w:numId w:val="40"/>
        </w:numPr>
        <w:autoSpaceDE w:val="0"/>
        <w:autoSpaceDN w:val="0"/>
        <w:adjustRightInd w:val="0"/>
        <w:spacing w:after="160" w:line="259" w:lineRule="auto"/>
        <w:ind w:left="567"/>
        <w:rPr>
          <w:rFonts w:cs="Helvetica"/>
          <w:color w:val="000000" w:themeColor="text1"/>
        </w:rPr>
      </w:pPr>
      <w:r w:rsidRPr="00A07D9A">
        <w:rPr>
          <w:rFonts w:cs="Helvetica"/>
          <w:color w:val="000000" w:themeColor="text1"/>
        </w:rPr>
        <w:t>El Acuerdo de Prevención.</w:t>
      </w:r>
    </w:p>
    <w:p w14:paraId="1A2D4AA0" w14:textId="77777777" w:rsidR="00BA3CD8" w:rsidRPr="00A07D9A" w:rsidRDefault="00BA3CD8" w:rsidP="00FE6791">
      <w:pPr>
        <w:pStyle w:val="Prrafodelista"/>
        <w:numPr>
          <w:ilvl w:val="1"/>
          <w:numId w:val="40"/>
        </w:numPr>
        <w:autoSpaceDE w:val="0"/>
        <w:autoSpaceDN w:val="0"/>
        <w:adjustRightInd w:val="0"/>
        <w:spacing w:after="160" w:line="259" w:lineRule="auto"/>
        <w:ind w:left="567"/>
        <w:rPr>
          <w:rFonts w:cs="Helvetica"/>
          <w:color w:val="000000" w:themeColor="text1"/>
        </w:rPr>
      </w:pPr>
      <w:r w:rsidRPr="00A07D9A">
        <w:rPr>
          <w:rFonts w:cs="Helvetica"/>
          <w:color w:val="000000" w:themeColor="text1"/>
        </w:rPr>
        <w:t>Los acuerdos dirigidos a cualquier persona extraña al procedimiento.</w:t>
      </w:r>
    </w:p>
    <w:p w14:paraId="5694ABB3" w14:textId="77777777" w:rsidR="00BA3CD8" w:rsidRPr="00A07D9A" w:rsidRDefault="00BA3CD8" w:rsidP="00FE6791">
      <w:pPr>
        <w:pStyle w:val="Prrafodelista"/>
        <w:numPr>
          <w:ilvl w:val="1"/>
          <w:numId w:val="40"/>
        </w:numPr>
        <w:autoSpaceDE w:val="0"/>
        <w:autoSpaceDN w:val="0"/>
        <w:adjustRightInd w:val="0"/>
        <w:spacing w:after="160" w:line="259" w:lineRule="auto"/>
        <w:ind w:left="567"/>
        <w:rPr>
          <w:rFonts w:cs="Times New Roman"/>
          <w:color w:val="000000" w:themeColor="text1"/>
        </w:rPr>
      </w:pPr>
      <w:r w:rsidRPr="00A07D9A">
        <w:rPr>
          <w:rFonts w:cs="Helvetica"/>
          <w:color w:val="000000" w:themeColor="text1"/>
        </w:rPr>
        <w:t>Aquéllos que ordene expresamente el Instituto.</w:t>
      </w:r>
    </w:p>
    <w:p w14:paraId="208BC81F" w14:textId="77777777" w:rsidR="0083630E" w:rsidRPr="00A07D9A" w:rsidRDefault="00BA3CD8" w:rsidP="00BA3CD8">
      <w:pPr>
        <w:autoSpaceDE w:val="0"/>
        <w:autoSpaceDN w:val="0"/>
        <w:adjustRightInd w:val="0"/>
        <w:rPr>
          <w:rFonts w:cs="Times New Roman"/>
          <w:color w:val="000000" w:themeColor="text1"/>
        </w:rPr>
      </w:pPr>
      <w:r w:rsidRPr="00A07D9A">
        <w:rPr>
          <w:rFonts w:cs="Times New Roman"/>
          <w:color w:val="000000" w:themeColor="text1"/>
        </w:rPr>
        <w:t xml:space="preserve">La notificación de otros documentos a los </w:t>
      </w:r>
      <w:r w:rsidR="008A07CB" w:rsidRPr="00A07D9A">
        <w:rPr>
          <w:rFonts w:cs="Times New Roman"/>
          <w:color w:val="000000" w:themeColor="text1"/>
        </w:rPr>
        <w:t>agentes económicos</w:t>
      </w:r>
      <w:r w:rsidRPr="00A07D9A">
        <w:rPr>
          <w:rFonts w:cs="Times New Roman"/>
          <w:color w:val="000000" w:themeColor="text1"/>
        </w:rPr>
        <w:t xml:space="preserve"> involucrados, podrá hacerse </w:t>
      </w:r>
      <w:r w:rsidR="0083630E" w:rsidRPr="00A07D9A">
        <w:rPr>
          <w:rFonts w:cs="Times New Roman"/>
          <w:color w:val="000000" w:themeColor="text1"/>
        </w:rPr>
        <w:t xml:space="preserve">a través de una </w:t>
      </w:r>
      <w:r w:rsidRPr="00A07D9A">
        <w:rPr>
          <w:rFonts w:cs="Times New Roman"/>
          <w:color w:val="000000" w:themeColor="text1"/>
        </w:rPr>
        <w:t>lista</w:t>
      </w:r>
      <w:r w:rsidR="0083630E" w:rsidRPr="00A07D9A">
        <w:rPr>
          <w:rFonts w:cs="Times New Roman"/>
          <w:color w:val="000000" w:themeColor="text1"/>
        </w:rPr>
        <w:t xml:space="preserve"> diaria de notificaciones que emite la UCE</w:t>
      </w:r>
      <w:r w:rsidRPr="00A07D9A">
        <w:rPr>
          <w:rFonts w:cs="Times New Roman"/>
          <w:color w:val="000000" w:themeColor="text1"/>
        </w:rPr>
        <w:t>.</w:t>
      </w:r>
    </w:p>
    <w:p w14:paraId="2D891BCA" w14:textId="77777777" w:rsidR="00BA3CD8" w:rsidRPr="00A07D9A" w:rsidRDefault="00BA3CD8" w:rsidP="00BA3CD8">
      <w:pPr>
        <w:autoSpaceDE w:val="0"/>
        <w:autoSpaceDN w:val="0"/>
        <w:adjustRightInd w:val="0"/>
        <w:rPr>
          <w:rFonts w:cs="Helvetica"/>
          <w:color w:val="000000" w:themeColor="text1"/>
        </w:rPr>
      </w:pPr>
      <w:r w:rsidRPr="00A07D9A">
        <w:rPr>
          <w:rFonts w:cs="Times New Roman"/>
          <w:color w:val="000000" w:themeColor="text1"/>
        </w:rPr>
        <w:t xml:space="preserve">Cualquier requerimiento </w:t>
      </w:r>
      <w:r w:rsidR="0083630E" w:rsidRPr="00A07D9A">
        <w:rPr>
          <w:rFonts w:cs="Times New Roman"/>
          <w:color w:val="000000" w:themeColor="text1"/>
        </w:rPr>
        <w:t>del IFT</w:t>
      </w:r>
      <w:r w:rsidRPr="00A07D9A">
        <w:rPr>
          <w:rFonts w:cs="Times New Roman"/>
          <w:color w:val="000000" w:themeColor="text1"/>
        </w:rPr>
        <w:t xml:space="preserve"> a las autoridades se hará mediante </w:t>
      </w:r>
      <w:r w:rsidRPr="00A07D9A">
        <w:rPr>
          <w:rFonts w:cs="Helvetica"/>
          <w:color w:val="000000" w:themeColor="text1"/>
        </w:rPr>
        <w:t>oficio entregado por mensajero o correo certificado con acuse de recibo, o cualquier otro medio por el que se pueda comprobar fehacientemente su recepción.</w:t>
      </w:r>
    </w:p>
    <w:p w14:paraId="7FFBD5A4" w14:textId="548156EB" w:rsidR="00BA3CD8" w:rsidRPr="00A07D9A" w:rsidRDefault="00BA3CD8" w:rsidP="00BA3CD8">
      <w:pPr>
        <w:autoSpaceDE w:val="0"/>
        <w:autoSpaceDN w:val="0"/>
        <w:adjustRightInd w:val="0"/>
        <w:rPr>
          <w:rFonts w:cs="Helvetica"/>
          <w:color w:val="000000" w:themeColor="text1"/>
        </w:rPr>
      </w:pPr>
      <w:r w:rsidRPr="00A07D9A">
        <w:rPr>
          <w:rFonts w:cs="Helvetica"/>
          <w:bCs/>
          <w:color w:val="000000" w:themeColor="text1"/>
        </w:rPr>
        <w:t>L</w:t>
      </w:r>
      <w:r w:rsidRPr="00A07D9A">
        <w:rPr>
          <w:rFonts w:cs="Helvetica"/>
          <w:color w:val="000000" w:themeColor="text1"/>
        </w:rPr>
        <w:t xml:space="preserve">a lista que emita </w:t>
      </w:r>
      <w:r w:rsidR="00E82839" w:rsidRPr="00A07D9A">
        <w:rPr>
          <w:rFonts w:cs="Helvetica"/>
          <w:color w:val="000000" w:themeColor="text1"/>
        </w:rPr>
        <w:t>la UCE</w:t>
      </w:r>
      <w:r w:rsidRPr="00A07D9A">
        <w:rPr>
          <w:rFonts w:cs="Helvetica"/>
          <w:color w:val="000000" w:themeColor="text1"/>
        </w:rPr>
        <w:t xml:space="preserve"> se pondrá a disposición del público en las oficinas del IFT en Insurgentes Sur #1143, Col. Nochebuena, Delegación Benito Juárez, Ciudad de México</w:t>
      </w:r>
      <w:r w:rsidR="00327A78" w:rsidRPr="00A07D9A">
        <w:rPr>
          <w:rFonts w:cs="Helvetica"/>
          <w:color w:val="000000" w:themeColor="text1"/>
        </w:rPr>
        <w:t>, código postal</w:t>
      </w:r>
      <w:r w:rsidRPr="00A07D9A">
        <w:rPr>
          <w:rFonts w:cs="Helvetica"/>
          <w:color w:val="000000" w:themeColor="text1"/>
        </w:rPr>
        <w:t xml:space="preserve"> 03720, así como en su Portal de Internet, accediendo a ella, a través de la siguiente dirección: http://www.ift.org.mx/industria/competencia-economica/unidad-competencia-economica.</w:t>
      </w:r>
    </w:p>
    <w:p w14:paraId="7B3FFCCB" w14:textId="77777777" w:rsidR="00BA3CD8" w:rsidRPr="00A07D9A" w:rsidRDefault="00BA3CD8" w:rsidP="00BA3CD8">
      <w:pPr>
        <w:autoSpaceDE w:val="0"/>
        <w:autoSpaceDN w:val="0"/>
        <w:adjustRightInd w:val="0"/>
        <w:rPr>
          <w:rFonts w:cs="Times New Roman"/>
          <w:color w:val="000000" w:themeColor="text1"/>
        </w:rPr>
      </w:pPr>
      <w:r w:rsidRPr="00A07D9A">
        <w:rPr>
          <w:rFonts w:cs="Helvetica"/>
          <w:bCs/>
          <w:color w:val="000000" w:themeColor="text1"/>
        </w:rPr>
        <w:t xml:space="preserve">Asimismo, en términos del artículo 175 de las </w:t>
      </w:r>
      <w:r w:rsidR="00B94D75" w:rsidRPr="00A07D9A">
        <w:rPr>
          <w:rFonts w:cs="Helvetica"/>
          <w:bCs/>
          <w:color w:val="000000" w:themeColor="text1"/>
        </w:rPr>
        <w:t>Disposiciones Regulatorias</w:t>
      </w:r>
      <w:r w:rsidRPr="00A07D9A">
        <w:rPr>
          <w:rFonts w:cs="Helvetica"/>
          <w:bCs/>
          <w:color w:val="000000" w:themeColor="text1"/>
        </w:rPr>
        <w:t>, t</w:t>
      </w:r>
      <w:r w:rsidRPr="00A07D9A">
        <w:rPr>
          <w:rFonts w:cs="Helvetica"/>
          <w:color w:val="000000" w:themeColor="text1"/>
        </w:rPr>
        <w:t>odas las notificaciones surtirán sus efectos el mismo día en que se practiquen, y los plazos empezarán a correr a partir del día siguiente a aquél en que haya surtido efectos la notificación.</w:t>
      </w:r>
    </w:p>
    <w:p w14:paraId="60D200A3" w14:textId="77777777" w:rsidR="008539D9" w:rsidRPr="00A07D9A" w:rsidRDefault="008539D9" w:rsidP="00A936C9">
      <w:pPr>
        <w:pStyle w:val="Ttulo3"/>
        <w:rPr>
          <w:color w:val="000000" w:themeColor="text1"/>
        </w:rPr>
      </w:pPr>
      <w:bookmarkStart w:id="78" w:name="_Toc486519834"/>
      <w:r w:rsidRPr="00A07D9A">
        <w:rPr>
          <w:color w:val="000000" w:themeColor="text1"/>
        </w:rPr>
        <w:t>Incumplimientos</w:t>
      </w:r>
      <w:r w:rsidR="0083630E" w:rsidRPr="00A07D9A">
        <w:rPr>
          <w:color w:val="000000" w:themeColor="text1"/>
        </w:rPr>
        <w:t xml:space="preserve"> a la LFCE</w:t>
      </w:r>
      <w:bookmarkEnd w:id="78"/>
    </w:p>
    <w:p w14:paraId="736F6805" w14:textId="77777777" w:rsidR="008539D9" w:rsidRPr="00A07D9A" w:rsidRDefault="008539D9" w:rsidP="008539D9">
      <w:pPr>
        <w:rPr>
          <w:color w:val="000000" w:themeColor="text1"/>
        </w:rPr>
      </w:pPr>
      <w:r w:rsidRPr="00A07D9A">
        <w:rPr>
          <w:color w:val="000000" w:themeColor="text1"/>
        </w:rPr>
        <w:t xml:space="preserve">En términos del artículo 86 de la LFCE, toda concentración que habiendo superado los umbrales no se hubiere notificado o que, en su caso, no haya esperado la obtención previa de una autorización por parte del IFT, se considerará que no producirá efectos jurídicos. Lo anterior, sin perjuicio de la responsabilidad administrativa, civil o penal de los </w:t>
      </w:r>
      <w:r w:rsidR="008A07CB" w:rsidRPr="00A07D9A">
        <w:rPr>
          <w:color w:val="000000" w:themeColor="text1"/>
        </w:rPr>
        <w:t>agentes económicos</w:t>
      </w:r>
      <w:r w:rsidRPr="00A07D9A">
        <w:rPr>
          <w:color w:val="000000" w:themeColor="text1"/>
        </w:rPr>
        <w:t>, así como de las personas que ordenaron o coadyuvaron en su ejecución, incluyendo a los fedatarios públicos que hayan intervenido en la misma.</w:t>
      </w:r>
    </w:p>
    <w:p w14:paraId="13F67CDC" w14:textId="77777777" w:rsidR="008539D9" w:rsidRPr="00A07D9A" w:rsidRDefault="008539D9" w:rsidP="008539D9">
      <w:pPr>
        <w:rPr>
          <w:color w:val="000000" w:themeColor="text1"/>
        </w:rPr>
      </w:pPr>
      <w:r w:rsidRPr="00A07D9A">
        <w:rPr>
          <w:rFonts w:cs="Arial"/>
          <w:color w:val="000000" w:themeColor="text1"/>
        </w:rPr>
        <w:lastRenderedPageBreak/>
        <w:t xml:space="preserve">El mismo artículo señala que los actos relativos a una concentración no podrán registrarse en los libros corporativos, formalizarse en instrumento público, ni inscribirse en el Registro Público de Comercio hasta que se obtenga la autorización favorable del IFT o haya transcurrido el plazo a que se refiere el artículo 90, fracción V de la LFCE por el cual </w:t>
      </w:r>
      <w:r w:rsidRPr="00A07D9A">
        <w:rPr>
          <w:color w:val="000000" w:themeColor="text1"/>
        </w:rPr>
        <w:t>se entenderá que el IFT no tiene objeción en la concentración notificada,</w:t>
      </w:r>
      <w:r w:rsidRPr="00A07D9A">
        <w:rPr>
          <w:rFonts w:cs="Arial"/>
          <w:color w:val="000000" w:themeColor="text1"/>
        </w:rPr>
        <w:t xml:space="preserve"> sin que el Pleno haya emitido resolución.</w:t>
      </w:r>
    </w:p>
    <w:p w14:paraId="7220ACE8" w14:textId="77777777" w:rsidR="008539D9" w:rsidRPr="00A07D9A" w:rsidRDefault="008539D9" w:rsidP="008539D9">
      <w:pPr>
        <w:rPr>
          <w:color w:val="000000" w:themeColor="text1"/>
        </w:rPr>
      </w:pPr>
      <w:r w:rsidRPr="00A07D9A">
        <w:rPr>
          <w:color w:val="000000" w:themeColor="text1"/>
        </w:rPr>
        <w:t xml:space="preserve">Así, en los casos en que los </w:t>
      </w:r>
      <w:r w:rsidR="008A07CB" w:rsidRPr="00A07D9A">
        <w:rPr>
          <w:color w:val="000000" w:themeColor="text1"/>
        </w:rPr>
        <w:t>agentes económicos</w:t>
      </w:r>
      <w:r w:rsidRPr="00A07D9A">
        <w:rPr>
          <w:color w:val="000000" w:themeColor="text1"/>
        </w:rPr>
        <w:t xml:space="preserve"> no hubieran notificado una concentración cuando tenían la obligación de hacerlo en términos del artículo 86 de la LFCE, éstos pudieran estar expuestos a la apertura de una investigación por parte </w:t>
      </w:r>
      <w:r w:rsidR="001443AA" w:rsidRPr="00A07D9A">
        <w:rPr>
          <w:color w:val="000000" w:themeColor="text1"/>
        </w:rPr>
        <w:t xml:space="preserve">de la </w:t>
      </w:r>
      <w:r w:rsidRPr="00A07D9A">
        <w:rPr>
          <w:color w:val="000000" w:themeColor="text1"/>
        </w:rPr>
        <w:t xml:space="preserve">AI </w:t>
      </w:r>
      <w:r w:rsidR="001443AA" w:rsidRPr="00A07D9A">
        <w:rPr>
          <w:color w:val="000000" w:themeColor="text1"/>
        </w:rPr>
        <w:t xml:space="preserve">del IFT </w:t>
      </w:r>
      <w:r w:rsidRPr="00A07D9A">
        <w:rPr>
          <w:color w:val="000000" w:themeColor="text1"/>
        </w:rPr>
        <w:t xml:space="preserve">y, en su caso, a un posterior procedimiento seguido en forma de juicio que puede culminar en sanciones. </w:t>
      </w:r>
    </w:p>
    <w:p w14:paraId="6A9627D4" w14:textId="77777777" w:rsidR="008539D9" w:rsidRPr="00A07D9A" w:rsidRDefault="008539D9" w:rsidP="008539D9">
      <w:pPr>
        <w:rPr>
          <w:color w:val="000000" w:themeColor="text1"/>
        </w:rPr>
      </w:pPr>
      <w:r w:rsidRPr="00A07D9A">
        <w:rPr>
          <w:bCs/>
          <w:color w:val="000000" w:themeColor="text1"/>
        </w:rPr>
        <w:t>En términos del artículo 137 de la LFCE, l</w:t>
      </w:r>
      <w:r w:rsidRPr="00A07D9A">
        <w:rPr>
          <w:color w:val="000000" w:themeColor="text1"/>
        </w:rPr>
        <w:t>as facultades del IFT para iniciar las investigaciones que pudieran derivar en responsabilidad e imposición de sanciones, de conformidad con dicha Ley, se extinguen en el plazo de 10 (diez) años</w:t>
      </w:r>
      <w:r w:rsidR="00327A78" w:rsidRPr="00A07D9A">
        <w:rPr>
          <w:color w:val="000000" w:themeColor="text1"/>
        </w:rPr>
        <w:t>, contado a partir de la fecha en que se realizó la concentración ilícita</w:t>
      </w:r>
      <w:r w:rsidRPr="00A07D9A">
        <w:rPr>
          <w:color w:val="000000" w:themeColor="text1"/>
        </w:rPr>
        <w:t>.</w:t>
      </w:r>
    </w:p>
    <w:p w14:paraId="1D82F16B" w14:textId="77777777" w:rsidR="008539D9" w:rsidRPr="00A07D9A" w:rsidRDefault="008539D9" w:rsidP="008539D9">
      <w:pPr>
        <w:autoSpaceDE w:val="0"/>
        <w:autoSpaceDN w:val="0"/>
        <w:adjustRightInd w:val="0"/>
        <w:rPr>
          <w:color w:val="000000" w:themeColor="text1"/>
        </w:rPr>
      </w:pPr>
      <w:r w:rsidRPr="00A07D9A">
        <w:rPr>
          <w:rFonts w:cs="Arial"/>
          <w:bCs/>
          <w:color w:val="000000" w:themeColor="text1"/>
        </w:rPr>
        <w:t xml:space="preserve">El </w:t>
      </w:r>
      <w:r w:rsidRPr="00A07D9A">
        <w:rPr>
          <w:rFonts w:cs="Arial"/>
          <w:color w:val="000000" w:themeColor="text1"/>
        </w:rPr>
        <w:t>IFT podrá m</w:t>
      </w:r>
      <w:r w:rsidRPr="00A07D9A">
        <w:rPr>
          <w:color w:val="000000" w:themeColor="text1"/>
        </w:rPr>
        <w:t>ulta</w:t>
      </w:r>
      <w:r w:rsidR="0083630E" w:rsidRPr="00A07D9A">
        <w:rPr>
          <w:color w:val="000000" w:themeColor="text1"/>
        </w:rPr>
        <w:t>r</w:t>
      </w:r>
      <w:r w:rsidRPr="00A07D9A">
        <w:rPr>
          <w:color w:val="000000" w:themeColor="text1"/>
        </w:rPr>
        <w:t xml:space="preserve"> por no haber notificado la concentración cuando legalmente debió hacerse.</w:t>
      </w:r>
      <w:r w:rsidRPr="00A07D9A">
        <w:rPr>
          <w:rFonts w:cs="Arial"/>
          <w:color w:val="000000" w:themeColor="text1"/>
        </w:rPr>
        <w:t xml:space="preserve"> Lo anterior, en términos del </w:t>
      </w:r>
      <w:r w:rsidRPr="00A07D9A">
        <w:rPr>
          <w:rFonts w:cs="Arial"/>
          <w:bCs/>
          <w:color w:val="000000" w:themeColor="text1"/>
        </w:rPr>
        <w:t xml:space="preserve">artículo 127 de la LFCE e independientemente de </w:t>
      </w:r>
      <w:r w:rsidRPr="00A07D9A">
        <w:rPr>
          <w:rFonts w:cs="Arial"/>
          <w:color w:val="000000" w:themeColor="text1"/>
        </w:rPr>
        <w:t xml:space="preserve">las sanciones que podrían aplicar en caso de que la </w:t>
      </w:r>
      <w:r w:rsidRPr="00A07D9A">
        <w:rPr>
          <w:color w:val="000000" w:themeColor="text1"/>
        </w:rPr>
        <w:t>concentración no notificada también se trate de una concentración ilícita, incluyendo la de ordenar la desconcentración parcial o total.</w:t>
      </w:r>
    </w:p>
    <w:p w14:paraId="437463F2" w14:textId="77777777" w:rsidR="00A11C90" w:rsidRPr="00A07D9A" w:rsidRDefault="00A11C90" w:rsidP="00A936C9">
      <w:pPr>
        <w:pStyle w:val="Ttulo3"/>
        <w:rPr>
          <w:rFonts w:eastAsiaTheme="minorHAnsi"/>
          <w:color w:val="000000" w:themeColor="text1"/>
        </w:rPr>
      </w:pPr>
      <w:bookmarkStart w:id="79" w:name="_Toc486519835"/>
      <w:r w:rsidRPr="00A07D9A">
        <w:rPr>
          <w:rFonts w:eastAsiaTheme="minorHAnsi"/>
          <w:color w:val="000000" w:themeColor="text1"/>
        </w:rPr>
        <w:t>Desistimientos</w:t>
      </w:r>
      <w:bookmarkEnd w:id="77"/>
      <w:bookmarkEnd w:id="79"/>
    </w:p>
    <w:p w14:paraId="632B1F17" w14:textId="77777777" w:rsidR="00A11C90" w:rsidRPr="00A07D9A" w:rsidRDefault="00A11C90" w:rsidP="00A11C90">
      <w:pPr>
        <w:autoSpaceDE w:val="0"/>
        <w:autoSpaceDN w:val="0"/>
        <w:adjustRightInd w:val="0"/>
        <w:rPr>
          <w:rFonts w:cs="Helvetica"/>
          <w:color w:val="000000" w:themeColor="text1"/>
        </w:rPr>
      </w:pPr>
      <w:r w:rsidRPr="00A07D9A">
        <w:rPr>
          <w:rFonts w:cs="Helvetica"/>
          <w:bCs/>
          <w:color w:val="000000" w:themeColor="text1"/>
        </w:rPr>
        <w:t>El artículo 24 de la</w:t>
      </w:r>
      <w:r w:rsidR="00BC07D0" w:rsidRPr="00A07D9A">
        <w:rPr>
          <w:rFonts w:cs="Helvetica"/>
          <w:bCs/>
          <w:color w:val="000000" w:themeColor="text1"/>
        </w:rPr>
        <w:t>s Disposiciones Regulatorias</w:t>
      </w:r>
      <w:r w:rsidRPr="00A07D9A">
        <w:rPr>
          <w:rFonts w:cs="Helvetica"/>
          <w:bCs/>
          <w:color w:val="000000" w:themeColor="text1"/>
        </w:rPr>
        <w:t xml:space="preserve"> precisa que l</w:t>
      </w:r>
      <w:r w:rsidRPr="00A07D9A">
        <w:rPr>
          <w:rFonts w:cs="Helvetica"/>
          <w:color w:val="000000" w:themeColor="text1"/>
        </w:rPr>
        <w:t xml:space="preserve">os </w:t>
      </w:r>
      <w:r w:rsidR="008A07CB" w:rsidRPr="00A07D9A">
        <w:rPr>
          <w:rFonts w:cs="Helvetica"/>
          <w:color w:val="000000" w:themeColor="text1"/>
        </w:rPr>
        <w:t>agentes económicos</w:t>
      </w:r>
      <w:r w:rsidRPr="00A07D9A">
        <w:rPr>
          <w:rFonts w:cs="Helvetica"/>
          <w:color w:val="000000" w:themeColor="text1"/>
        </w:rPr>
        <w:t xml:space="preserve"> notificantes de una concentración pueden desistirse del procedimiento hasta un día antes de que el asunto sea resuelto en sesión de Pleno del IFT</w:t>
      </w:r>
      <w:r w:rsidR="00327A78" w:rsidRPr="00A07D9A">
        <w:rPr>
          <w:rFonts w:cs="Helvetica"/>
          <w:color w:val="000000" w:themeColor="text1"/>
        </w:rPr>
        <w:t xml:space="preserve"> </w:t>
      </w:r>
      <w:r w:rsidRPr="00A07D9A">
        <w:rPr>
          <w:rFonts w:cs="Helvetica"/>
          <w:color w:val="000000" w:themeColor="text1"/>
        </w:rPr>
        <w:t xml:space="preserve">y que, emitida la resolución que autorice la concentración notificada o sujete la autorización al cumplimiento de condiciones, los </w:t>
      </w:r>
      <w:r w:rsidR="008A07CB" w:rsidRPr="00A07D9A">
        <w:rPr>
          <w:rFonts w:cs="Helvetica"/>
          <w:color w:val="000000" w:themeColor="text1"/>
        </w:rPr>
        <w:t>agentes económicos</w:t>
      </w:r>
      <w:r w:rsidRPr="00A07D9A">
        <w:rPr>
          <w:rFonts w:cs="Helvetica"/>
          <w:color w:val="000000" w:themeColor="text1"/>
        </w:rPr>
        <w:t xml:space="preserve"> pueden renunciar al derecho derivado de la misma. </w:t>
      </w:r>
    </w:p>
    <w:p w14:paraId="0854AFF1" w14:textId="77777777" w:rsidR="00A11C90" w:rsidRPr="00A07D9A" w:rsidRDefault="00A11C90" w:rsidP="00A11C90">
      <w:pPr>
        <w:autoSpaceDE w:val="0"/>
        <w:autoSpaceDN w:val="0"/>
        <w:adjustRightInd w:val="0"/>
        <w:rPr>
          <w:rFonts w:cs="Helvetica"/>
          <w:color w:val="000000" w:themeColor="text1"/>
        </w:rPr>
      </w:pPr>
      <w:r w:rsidRPr="00A07D9A">
        <w:rPr>
          <w:rFonts w:cs="Helvetica"/>
          <w:color w:val="000000" w:themeColor="text1"/>
        </w:rPr>
        <w:t xml:space="preserve">El mismo artículo precisa que, en ambos casos, se requerirá ratificación ante el Instituto de quien tenga las facultades legales para hacerlo. </w:t>
      </w:r>
    </w:p>
    <w:p w14:paraId="33EE6A52" w14:textId="77777777" w:rsidR="008539D9" w:rsidRPr="00A07D9A" w:rsidRDefault="00867F46" w:rsidP="00BA3CD8">
      <w:pPr>
        <w:pStyle w:val="Ttulo2"/>
        <w:rPr>
          <w:color w:val="000000" w:themeColor="text1"/>
        </w:rPr>
      </w:pPr>
      <w:bookmarkStart w:id="80" w:name="_Toc462053133"/>
      <w:bookmarkStart w:id="81" w:name="_Toc486519836"/>
      <w:r w:rsidRPr="00A07D9A">
        <w:rPr>
          <w:color w:val="000000" w:themeColor="text1"/>
        </w:rPr>
        <w:t>5</w:t>
      </w:r>
      <w:r w:rsidR="00BA3CD8" w:rsidRPr="00A07D9A">
        <w:rPr>
          <w:color w:val="000000" w:themeColor="text1"/>
        </w:rPr>
        <w:t xml:space="preserve">.9. </w:t>
      </w:r>
      <w:r w:rsidR="008539D9" w:rsidRPr="00A07D9A">
        <w:rPr>
          <w:color w:val="000000" w:themeColor="text1"/>
        </w:rPr>
        <w:t xml:space="preserve">Tipos de </w:t>
      </w:r>
      <w:bookmarkEnd w:id="80"/>
      <w:r w:rsidR="00B95A93" w:rsidRPr="00A07D9A">
        <w:rPr>
          <w:color w:val="000000" w:themeColor="text1"/>
        </w:rPr>
        <w:t>R</w:t>
      </w:r>
      <w:r w:rsidR="008539D9" w:rsidRPr="00A07D9A">
        <w:rPr>
          <w:color w:val="000000" w:themeColor="text1"/>
        </w:rPr>
        <w:t>esoluciones</w:t>
      </w:r>
      <w:r w:rsidR="005F4B6C" w:rsidRPr="00A07D9A">
        <w:rPr>
          <w:color w:val="000000" w:themeColor="text1"/>
        </w:rPr>
        <w:t xml:space="preserve"> </w:t>
      </w:r>
      <w:r w:rsidR="000273EE" w:rsidRPr="00A07D9A">
        <w:rPr>
          <w:color w:val="000000" w:themeColor="text1"/>
        </w:rPr>
        <w:t>y Elementos</w:t>
      </w:r>
      <w:bookmarkEnd w:id="81"/>
    </w:p>
    <w:p w14:paraId="5C71A75A" w14:textId="77777777" w:rsidR="008539D9" w:rsidRPr="00A07D9A" w:rsidRDefault="008539D9" w:rsidP="008539D9">
      <w:pPr>
        <w:rPr>
          <w:color w:val="000000" w:themeColor="text1"/>
        </w:rPr>
      </w:pPr>
      <w:r w:rsidRPr="00A07D9A">
        <w:rPr>
          <w:color w:val="000000" w:themeColor="text1"/>
        </w:rPr>
        <w:t>La resolución que emita el Pleno del IFT respecto de la concentración notificada podrá ser de tres tipos:</w:t>
      </w:r>
    </w:p>
    <w:p w14:paraId="0F2E0030" w14:textId="77777777" w:rsidR="008539D9" w:rsidRPr="00A07D9A" w:rsidRDefault="008539D9" w:rsidP="00FE6791">
      <w:pPr>
        <w:pStyle w:val="Prrafodelista"/>
        <w:numPr>
          <w:ilvl w:val="0"/>
          <w:numId w:val="38"/>
        </w:numPr>
        <w:spacing w:after="160" w:line="259" w:lineRule="auto"/>
        <w:ind w:left="714" w:hanging="357"/>
        <w:rPr>
          <w:color w:val="000000" w:themeColor="text1"/>
        </w:rPr>
      </w:pPr>
      <w:r w:rsidRPr="00A07D9A">
        <w:rPr>
          <w:color w:val="000000" w:themeColor="text1"/>
        </w:rPr>
        <w:t>Autorización.</w:t>
      </w:r>
    </w:p>
    <w:p w14:paraId="72C9F8C4" w14:textId="77777777" w:rsidR="008539D9" w:rsidRPr="00A07D9A" w:rsidRDefault="008539D9" w:rsidP="00FE6791">
      <w:pPr>
        <w:pStyle w:val="Prrafodelista"/>
        <w:numPr>
          <w:ilvl w:val="0"/>
          <w:numId w:val="38"/>
        </w:numPr>
        <w:spacing w:after="160" w:line="259" w:lineRule="auto"/>
        <w:ind w:left="714" w:hanging="357"/>
        <w:rPr>
          <w:color w:val="000000" w:themeColor="text1"/>
        </w:rPr>
      </w:pPr>
      <w:r w:rsidRPr="00A07D9A">
        <w:rPr>
          <w:color w:val="000000" w:themeColor="text1"/>
        </w:rPr>
        <w:t>Autorización sujeta a condiciones.</w:t>
      </w:r>
    </w:p>
    <w:p w14:paraId="49597468" w14:textId="77777777" w:rsidR="008539D9" w:rsidRPr="00A07D9A" w:rsidRDefault="008539D9" w:rsidP="00FE6791">
      <w:pPr>
        <w:pStyle w:val="Prrafodelista"/>
        <w:numPr>
          <w:ilvl w:val="0"/>
          <w:numId w:val="38"/>
        </w:numPr>
        <w:spacing w:after="160" w:line="259" w:lineRule="auto"/>
        <w:ind w:left="714" w:hanging="357"/>
        <w:rPr>
          <w:color w:val="000000" w:themeColor="text1"/>
        </w:rPr>
      </w:pPr>
      <w:r w:rsidRPr="00A07D9A">
        <w:rPr>
          <w:color w:val="000000" w:themeColor="text1"/>
        </w:rPr>
        <w:t>No autorización.</w:t>
      </w:r>
    </w:p>
    <w:p w14:paraId="07D3A7B4" w14:textId="77777777" w:rsidR="008539D9" w:rsidRPr="00A07D9A" w:rsidRDefault="008539D9" w:rsidP="008539D9">
      <w:pPr>
        <w:rPr>
          <w:color w:val="000000" w:themeColor="text1"/>
        </w:rPr>
      </w:pPr>
      <w:r w:rsidRPr="00A07D9A">
        <w:rPr>
          <w:color w:val="000000" w:themeColor="text1"/>
        </w:rPr>
        <w:lastRenderedPageBreak/>
        <w:t xml:space="preserve">De conformidad con el artículo 90, fracción V, primer párrafo de la LFCE, el IFT tendrá un plazo de </w:t>
      </w:r>
      <w:r w:rsidR="001443AA" w:rsidRPr="00A07D9A">
        <w:rPr>
          <w:color w:val="000000" w:themeColor="text1"/>
        </w:rPr>
        <w:t>60 (</w:t>
      </w:r>
      <w:r w:rsidRPr="00A07D9A">
        <w:rPr>
          <w:color w:val="000000" w:themeColor="text1"/>
        </w:rPr>
        <w:t>sesenta</w:t>
      </w:r>
      <w:r w:rsidR="001443AA" w:rsidRPr="00A07D9A">
        <w:rPr>
          <w:color w:val="000000" w:themeColor="text1"/>
        </w:rPr>
        <w:t>)</w:t>
      </w:r>
      <w:r w:rsidRPr="00A07D9A">
        <w:rPr>
          <w:color w:val="000000" w:themeColor="text1"/>
        </w:rPr>
        <w:t xml:space="preserve"> días para emitir resolución en el procedimiento de notificación, mismo que se contará, dependiendo el caso, a partir de:</w:t>
      </w:r>
    </w:p>
    <w:p w14:paraId="5DD569C6" w14:textId="77777777" w:rsidR="008539D9" w:rsidRPr="00A07D9A" w:rsidRDefault="008539D9" w:rsidP="00FE6791">
      <w:pPr>
        <w:pStyle w:val="Prrafodelista"/>
        <w:numPr>
          <w:ilvl w:val="0"/>
          <w:numId w:val="39"/>
        </w:numPr>
        <w:spacing w:after="160" w:line="259" w:lineRule="auto"/>
        <w:ind w:left="714" w:hanging="357"/>
        <w:rPr>
          <w:color w:val="000000" w:themeColor="text1"/>
        </w:rPr>
      </w:pPr>
      <w:r w:rsidRPr="00A07D9A">
        <w:rPr>
          <w:color w:val="000000" w:themeColor="text1"/>
        </w:rPr>
        <w:t>La fecha en que se tenga por recibida la notificación.</w:t>
      </w:r>
    </w:p>
    <w:p w14:paraId="5F47B269" w14:textId="77777777" w:rsidR="008539D9" w:rsidRPr="00A07D9A" w:rsidRDefault="008539D9" w:rsidP="00FE6791">
      <w:pPr>
        <w:pStyle w:val="Prrafodelista"/>
        <w:numPr>
          <w:ilvl w:val="0"/>
          <w:numId w:val="39"/>
        </w:numPr>
        <w:spacing w:after="160" w:line="259" w:lineRule="auto"/>
        <w:ind w:left="714" w:hanging="357"/>
        <w:rPr>
          <w:color w:val="000000" w:themeColor="text1"/>
        </w:rPr>
      </w:pPr>
      <w:r w:rsidRPr="00A07D9A">
        <w:rPr>
          <w:color w:val="000000" w:themeColor="text1"/>
        </w:rPr>
        <w:t>La fecha en que sea desahogado el Requerimiento de Información y/o Documentación Adicional a los Notificantes.</w:t>
      </w:r>
    </w:p>
    <w:p w14:paraId="5C944C0C" w14:textId="77777777" w:rsidR="008539D9" w:rsidRPr="00A07D9A" w:rsidRDefault="008539D9" w:rsidP="00FE6791">
      <w:pPr>
        <w:pStyle w:val="Prrafodelista"/>
        <w:numPr>
          <w:ilvl w:val="0"/>
          <w:numId w:val="39"/>
        </w:numPr>
        <w:spacing w:after="160" w:line="259" w:lineRule="auto"/>
        <w:ind w:left="714" w:hanging="357"/>
        <w:rPr>
          <w:color w:val="000000" w:themeColor="text1"/>
        </w:rPr>
      </w:pPr>
      <w:r w:rsidRPr="00A07D9A">
        <w:rPr>
          <w:color w:val="000000" w:themeColor="text1"/>
        </w:rPr>
        <w:t xml:space="preserve">La fecha de la presentación de propuesta de condiciones de los </w:t>
      </w:r>
      <w:r w:rsidR="008A07CB" w:rsidRPr="00A07D9A">
        <w:rPr>
          <w:color w:val="000000" w:themeColor="text1"/>
        </w:rPr>
        <w:t>agentes económicos</w:t>
      </w:r>
      <w:r w:rsidRPr="00A07D9A">
        <w:rPr>
          <w:color w:val="000000" w:themeColor="text1"/>
        </w:rPr>
        <w:t xml:space="preserve"> involucrados cuando la misma no haya sido presentada con el escrito de notificación y haya lugar al reinicio del plazo de sesenta días.</w:t>
      </w:r>
    </w:p>
    <w:p w14:paraId="40364366" w14:textId="77777777" w:rsidR="008539D9" w:rsidRPr="00A07D9A" w:rsidRDefault="008539D9" w:rsidP="008539D9">
      <w:pPr>
        <w:rPr>
          <w:color w:val="000000" w:themeColor="text1"/>
        </w:rPr>
      </w:pPr>
      <w:r w:rsidRPr="00A07D9A">
        <w:rPr>
          <w:color w:val="000000" w:themeColor="text1"/>
        </w:rPr>
        <w:t xml:space="preserve">En casos excepcionalmente complejos, el IFT podrá ampliar el plazo para emitir su resolución, hasta por </w:t>
      </w:r>
      <w:r w:rsidR="001443AA" w:rsidRPr="00A07D9A">
        <w:rPr>
          <w:color w:val="000000" w:themeColor="text1"/>
        </w:rPr>
        <w:t>40 (</w:t>
      </w:r>
      <w:r w:rsidRPr="00A07D9A">
        <w:rPr>
          <w:color w:val="000000" w:themeColor="text1"/>
        </w:rPr>
        <w:t>cuarenta</w:t>
      </w:r>
      <w:r w:rsidR="001443AA" w:rsidRPr="00A07D9A">
        <w:rPr>
          <w:color w:val="000000" w:themeColor="text1"/>
        </w:rPr>
        <w:t>)</w:t>
      </w:r>
      <w:r w:rsidRPr="00A07D9A">
        <w:rPr>
          <w:color w:val="000000" w:themeColor="text1"/>
        </w:rPr>
        <w:t xml:space="preserve"> días adicionales</w:t>
      </w:r>
      <w:r w:rsidR="00726BD3" w:rsidRPr="00A07D9A">
        <w:rPr>
          <w:color w:val="000000" w:themeColor="text1"/>
        </w:rPr>
        <w:t xml:space="preserve">, </w:t>
      </w:r>
      <w:r w:rsidR="00AA5762" w:rsidRPr="00A07D9A">
        <w:rPr>
          <w:color w:val="000000" w:themeColor="text1"/>
        </w:rPr>
        <w:t xml:space="preserve">en </w:t>
      </w:r>
      <w:r w:rsidR="002D753F" w:rsidRPr="00A07D9A">
        <w:rPr>
          <w:color w:val="000000" w:themeColor="text1"/>
        </w:rPr>
        <w:t xml:space="preserve">los </w:t>
      </w:r>
      <w:r w:rsidR="00AA5762" w:rsidRPr="00A07D9A">
        <w:rPr>
          <w:color w:val="000000" w:themeColor="text1"/>
        </w:rPr>
        <w:t>que esta ampliación se encuentre justificada</w:t>
      </w:r>
      <w:r w:rsidRPr="00A07D9A">
        <w:rPr>
          <w:color w:val="000000" w:themeColor="text1"/>
        </w:rPr>
        <w:t>.</w:t>
      </w:r>
    </w:p>
    <w:p w14:paraId="7CC46E20" w14:textId="77777777" w:rsidR="008539D9" w:rsidRPr="00A07D9A" w:rsidRDefault="008539D9" w:rsidP="008539D9">
      <w:pPr>
        <w:rPr>
          <w:color w:val="000000" w:themeColor="text1"/>
        </w:rPr>
      </w:pPr>
      <w:r w:rsidRPr="00A07D9A">
        <w:rPr>
          <w:color w:val="000000" w:themeColor="text1"/>
        </w:rPr>
        <w:t xml:space="preserve">En cualquiera de los tipos de resolución que puede emitir el IFT, su emisión no prejuzgará sobre otras autorizaciones que, en su caso, los </w:t>
      </w:r>
      <w:r w:rsidR="008A07CB" w:rsidRPr="00A07D9A">
        <w:rPr>
          <w:color w:val="000000" w:themeColor="text1"/>
        </w:rPr>
        <w:t>agentes económicos</w:t>
      </w:r>
      <w:r w:rsidRPr="00A07D9A">
        <w:rPr>
          <w:color w:val="000000" w:themeColor="text1"/>
        </w:rPr>
        <w:t xml:space="preserve"> involucrados deban obtener de este IFT u otra autoridad competente, ni sobre otros procedimientos en curso ante otras autoridades. Tampoco prejuzga sobre violaciones a la LFCE, LFTR u otras disposiciones, en que pudiera haber incurrido, o pudiera incurrir, alguno de los </w:t>
      </w:r>
      <w:r w:rsidR="008A07CB" w:rsidRPr="00A07D9A">
        <w:rPr>
          <w:color w:val="000000" w:themeColor="text1"/>
        </w:rPr>
        <w:t>agentes económicos</w:t>
      </w:r>
      <w:r w:rsidRPr="00A07D9A">
        <w:rPr>
          <w:color w:val="000000" w:themeColor="text1"/>
        </w:rPr>
        <w:t xml:space="preserve"> involucrados a través de algún otro acto.</w:t>
      </w:r>
    </w:p>
    <w:p w14:paraId="16C1CC2C" w14:textId="77777777" w:rsidR="008539D9" w:rsidRPr="00A07D9A" w:rsidRDefault="008539D9" w:rsidP="00A936C9">
      <w:pPr>
        <w:pStyle w:val="Ttulo3"/>
        <w:rPr>
          <w:rFonts w:eastAsiaTheme="minorHAnsi"/>
          <w:color w:val="000000" w:themeColor="text1"/>
        </w:rPr>
      </w:pPr>
      <w:bookmarkStart w:id="82" w:name="_Toc462053134"/>
      <w:bookmarkStart w:id="83" w:name="_Toc486519837"/>
      <w:r w:rsidRPr="00A07D9A">
        <w:rPr>
          <w:rFonts w:eastAsiaTheme="minorHAnsi"/>
          <w:color w:val="000000" w:themeColor="text1"/>
        </w:rPr>
        <w:t xml:space="preserve">Vigencia de la </w:t>
      </w:r>
      <w:r w:rsidR="00B95A93" w:rsidRPr="00A07D9A">
        <w:rPr>
          <w:rFonts w:eastAsiaTheme="minorHAnsi"/>
          <w:color w:val="000000" w:themeColor="text1"/>
        </w:rPr>
        <w:t>A</w:t>
      </w:r>
      <w:r w:rsidRPr="00A07D9A">
        <w:rPr>
          <w:rFonts w:eastAsiaTheme="minorHAnsi"/>
          <w:color w:val="000000" w:themeColor="text1"/>
        </w:rPr>
        <w:t>utorización</w:t>
      </w:r>
      <w:bookmarkEnd w:id="82"/>
      <w:bookmarkEnd w:id="83"/>
    </w:p>
    <w:p w14:paraId="23C261EB" w14:textId="77777777" w:rsidR="008539D9" w:rsidRPr="00A07D9A" w:rsidRDefault="008539D9" w:rsidP="008539D9">
      <w:pPr>
        <w:rPr>
          <w:color w:val="000000" w:themeColor="text1"/>
        </w:rPr>
      </w:pPr>
      <w:r w:rsidRPr="00A07D9A">
        <w:rPr>
          <w:color w:val="000000" w:themeColor="text1"/>
        </w:rPr>
        <w:t>Las resoluciones de Autorización o de Autorización sujeta a condiciones que emita el IFT tendrán una vigencia de seis meses, prorrogables en una sola ocasión por causa justificada de los notificantes, quienes la deberán solicitar con anticipación suficiente a efecto de que el Instituto pueda concederla previ</w:t>
      </w:r>
      <w:r w:rsidR="001C36A0" w:rsidRPr="00A07D9A">
        <w:rPr>
          <w:color w:val="000000" w:themeColor="text1"/>
        </w:rPr>
        <w:t>amente</w:t>
      </w:r>
      <w:r w:rsidRPr="00A07D9A">
        <w:rPr>
          <w:color w:val="000000" w:themeColor="text1"/>
        </w:rPr>
        <w:t xml:space="preserve"> a que venza el plazo de vigencia de seis meses inicialmente </w:t>
      </w:r>
      <w:r w:rsidR="004B54A6" w:rsidRPr="00A07D9A">
        <w:rPr>
          <w:color w:val="000000" w:themeColor="text1"/>
        </w:rPr>
        <w:t>concedido. La</w:t>
      </w:r>
      <w:r w:rsidRPr="00A07D9A">
        <w:rPr>
          <w:color w:val="000000" w:themeColor="text1"/>
        </w:rPr>
        <w:t xml:space="preserve"> vigencia representa </w:t>
      </w:r>
      <w:r w:rsidR="00BC07D0" w:rsidRPr="00A07D9A">
        <w:rPr>
          <w:color w:val="000000" w:themeColor="text1"/>
        </w:rPr>
        <w:t>el</w:t>
      </w:r>
      <w:r w:rsidRPr="00A07D9A">
        <w:rPr>
          <w:color w:val="000000" w:themeColor="text1"/>
        </w:rPr>
        <w:t xml:space="preserve"> lapso en el cual los </w:t>
      </w:r>
      <w:r w:rsidR="008A07CB" w:rsidRPr="00A07D9A">
        <w:rPr>
          <w:color w:val="000000" w:themeColor="text1"/>
        </w:rPr>
        <w:t>agentes económicos</w:t>
      </w:r>
      <w:r w:rsidRPr="00A07D9A">
        <w:rPr>
          <w:color w:val="000000" w:themeColor="text1"/>
        </w:rPr>
        <w:t xml:space="preserve"> involucrados estarán en posibilidad de realizar la operación autorizada por el IFT. En caso de que esto no suceda dentro de dicho plazo o dentro de su prórroga, la autorización del IFT quedará sin efectos y los interesados deberán notificar de nueva cuenta la concentración.</w:t>
      </w:r>
    </w:p>
    <w:p w14:paraId="7333351B" w14:textId="77777777" w:rsidR="008539D9" w:rsidRPr="00A07D9A" w:rsidRDefault="008539D9" w:rsidP="008539D9">
      <w:pPr>
        <w:rPr>
          <w:color w:val="000000" w:themeColor="text1"/>
        </w:rPr>
      </w:pPr>
      <w:r w:rsidRPr="00A07D9A">
        <w:rPr>
          <w:color w:val="000000" w:themeColor="text1"/>
        </w:rPr>
        <w:t>La vigencia de la resolución o su prórroga prevén que, durante dicho periodo, no existirán cambios o variaciones significativas de las condiciones de mercado prevalecientes al momento de resolver sobre la concentración.</w:t>
      </w:r>
    </w:p>
    <w:p w14:paraId="0E894A9E" w14:textId="77777777" w:rsidR="008539D9" w:rsidRPr="00A07D9A" w:rsidRDefault="008539D9" w:rsidP="008539D9">
      <w:pPr>
        <w:rPr>
          <w:color w:val="000000" w:themeColor="text1"/>
        </w:rPr>
      </w:pPr>
      <w:r w:rsidRPr="00A07D9A">
        <w:rPr>
          <w:color w:val="000000" w:themeColor="text1"/>
        </w:rPr>
        <w:t xml:space="preserve">Como se precisó, resulta indispensable que, si fuese deseo de los </w:t>
      </w:r>
      <w:r w:rsidR="008A07CB" w:rsidRPr="00A07D9A">
        <w:rPr>
          <w:color w:val="000000" w:themeColor="text1"/>
        </w:rPr>
        <w:t>agentes económicos</w:t>
      </w:r>
      <w:r w:rsidRPr="00A07D9A">
        <w:rPr>
          <w:color w:val="000000" w:themeColor="text1"/>
        </w:rPr>
        <w:t xml:space="preserve"> notificantes solicitar una prórroga de vigencia de la resolución emitida; ello, se solicite dentro del término de la propia vigencia que desea extender. Al respecto, se sugiere promover </w:t>
      </w:r>
      <w:r w:rsidR="00E82839" w:rsidRPr="00A07D9A">
        <w:rPr>
          <w:color w:val="000000" w:themeColor="text1"/>
        </w:rPr>
        <w:t xml:space="preserve">con </w:t>
      </w:r>
      <w:r w:rsidRPr="00A07D9A">
        <w:rPr>
          <w:color w:val="000000" w:themeColor="text1"/>
        </w:rPr>
        <w:t xml:space="preserve">al menos diez días </w:t>
      </w:r>
      <w:r w:rsidR="00E82839" w:rsidRPr="00A07D9A">
        <w:rPr>
          <w:color w:val="000000" w:themeColor="text1"/>
        </w:rPr>
        <w:t xml:space="preserve">hábiles </w:t>
      </w:r>
      <w:r w:rsidRPr="00A07D9A">
        <w:rPr>
          <w:color w:val="000000" w:themeColor="text1"/>
        </w:rPr>
        <w:t xml:space="preserve">de anticipación a la conclusión de la vigencia de seis meses inicialmente concedida. </w:t>
      </w:r>
    </w:p>
    <w:p w14:paraId="440041FA" w14:textId="77777777" w:rsidR="008539D9" w:rsidRPr="00A07D9A" w:rsidRDefault="008539D9" w:rsidP="008539D9">
      <w:pPr>
        <w:rPr>
          <w:color w:val="000000" w:themeColor="text1"/>
        </w:rPr>
      </w:pPr>
      <w:r w:rsidRPr="00A07D9A">
        <w:rPr>
          <w:color w:val="000000" w:themeColor="text1"/>
        </w:rPr>
        <w:lastRenderedPageBreak/>
        <w:t xml:space="preserve">La existencia de una resolución no implica que los </w:t>
      </w:r>
      <w:r w:rsidR="008A07CB" w:rsidRPr="00A07D9A">
        <w:rPr>
          <w:color w:val="000000" w:themeColor="text1"/>
        </w:rPr>
        <w:t>agentes económicos</w:t>
      </w:r>
      <w:r w:rsidRPr="00A07D9A">
        <w:rPr>
          <w:color w:val="000000" w:themeColor="text1"/>
        </w:rPr>
        <w:t xml:space="preserve"> </w:t>
      </w:r>
      <w:r w:rsidR="004B54A6" w:rsidRPr="00A07D9A">
        <w:rPr>
          <w:color w:val="000000" w:themeColor="text1"/>
        </w:rPr>
        <w:t>involucrados estén</w:t>
      </w:r>
      <w:r w:rsidRPr="00A07D9A">
        <w:rPr>
          <w:color w:val="000000" w:themeColor="text1"/>
        </w:rPr>
        <w:t xml:space="preserve"> obligados a realizarla, pues, en última instancia, esta decisión corresponde directamente a la libertad contractual de los participantes. Sin embargo, de llevarse a cabo, deberán ajustarse a los términos en que el IFT haya emitido la autorización correspondiente.</w:t>
      </w:r>
    </w:p>
    <w:p w14:paraId="58EFDE99" w14:textId="77777777" w:rsidR="008539D9" w:rsidRPr="00A07D9A" w:rsidRDefault="008539D9" w:rsidP="008539D9">
      <w:pPr>
        <w:rPr>
          <w:color w:val="000000" w:themeColor="text1"/>
        </w:rPr>
      </w:pPr>
      <w:r w:rsidRPr="00A07D9A">
        <w:rPr>
          <w:color w:val="000000" w:themeColor="text1"/>
        </w:rPr>
        <w:t>En caso contrario, la AI, con autonomía y ejercicio propio de facultades, pudiera iniciar una investigación por concentración no notificada o, incluso, por concentración ilícita con base en las disposiciones jurídicas aplicables.</w:t>
      </w:r>
    </w:p>
    <w:p w14:paraId="053B7811" w14:textId="77777777" w:rsidR="00316B67" w:rsidRPr="00A07D9A" w:rsidRDefault="00316B67" w:rsidP="00316B67">
      <w:pPr>
        <w:rPr>
          <w:color w:val="000000" w:themeColor="text1"/>
        </w:rPr>
      </w:pPr>
      <w:r w:rsidRPr="00A07D9A">
        <w:rPr>
          <w:color w:val="000000" w:themeColor="text1"/>
        </w:rPr>
        <w:t>Asimismo, en términos del artículo 23 de las Disposiciones Regulatorias:</w:t>
      </w:r>
    </w:p>
    <w:p w14:paraId="5579C78A" w14:textId="77777777" w:rsidR="00316B67" w:rsidRPr="00A07D9A" w:rsidRDefault="00316B67" w:rsidP="00316B67">
      <w:pPr>
        <w:ind w:left="720"/>
        <w:rPr>
          <w:color w:val="000000" w:themeColor="text1"/>
        </w:rPr>
      </w:pPr>
      <w:r w:rsidRPr="00A07D9A">
        <w:rPr>
          <w:color w:val="000000" w:themeColor="text1"/>
        </w:rPr>
        <w:t>“Artículo 23. Para acreditar la realización de la transacción, los Agentes Económicos tendrán un plazo de treinta días contados a partir de la fecha en la que ésta se haya consumado.”</w:t>
      </w:r>
    </w:p>
    <w:p w14:paraId="3BE8EF25" w14:textId="77777777" w:rsidR="00316B67" w:rsidRPr="00A07D9A" w:rsidRDefault="00316B67" w:rsidP="00316B67">
      <w:pPr>
        <w:rPr>
          <w:color w:val="000000" w:themeColor="text1"/>
        </w:rPr>
      </w:pPr>
      <w:r w:rsidRPr="00A07D9A">
        <w:rPr>
          <w:color w:val="000000" w:themeColor="text1"/>
        </w:rPr>
        <w:t>Al respecto, este último mandato se establece expresamente por el Instituto en cada una de las resoluciones que emite en materia de concentraciones con la intención de que los involucrados no la pasen por alto en el procedimiento respectivo.</w:t>
      </w:r>
    </w:p>
    <w:p w14:paraId="722B3B80" w14:textId="77777777" w:rsidR="00BA3CD8" w:rsidRPr="00A07D9A" w:rsidRDefault="00BA3CD8" w:rsidP="00A936C9">
      <w:pPr>
        <w:pStyle w:val="Ttulo3"/>
        <w:rPr>
          <w:rFonts w:eastAsiaTheme="minorHAnsi"/>
          <w:color w:val="000000" w:themeColor="text1"/>
        </w:rPr>
      </w:pPr>
      <w:bookmarkStart w:id="84" w:name="_Toc462053130"/>
      <w:bookmarkStart w:id="85" w:name="_Toc486519838"/>
      <w:bookmarkStart w:id="86" w:name="_Toc462053136"/>
      <w:r w:rsidRPr="00A07D9A">
        <w:rPr>
          <w:rFonts w:eastAsiaTheme="minorHAnsi"/>
          <w:color w:val="000000" w:themeColor="text1"/>
        </w:rPr>
        <w:t>Acuerdo de Riesgos</w:t>
      </w:r>
      <w:bookmarkEnd w:id="84"/>
      <w:bookmarkEnd w:id="85"/>
      <w:r w:rsidRPr="00A07D9A">
        <w:rPr>
          <w:rFonts w:eastAsiaTheme="minorHAnsi"/>
          <w:color w:val="000000" w:themeColor="text1"/>
        </w:rPr>
        <w:t xml:space="preserve"> </w:t>
      </w:r>
    </w:p>
    <w:p w14:paraId="7F968E43" w14:textId="77777777" w:rsidR="00BA3CD8" w:rsidRPr="00A07D9A" w:rsidRDefault="00BA3CD8" w:rsidP="00BA3CD8">
      <w:pPr>
        <w:rPr>
          <w:color w:val="000000" w:themeColor="text1"/>
        </w:rPr>
      </w:pPr>
      <w:r w:rsidRPr="00A07D9A">
        <w:rPr>
          <w:color w:val="000000" w:themeColor="text1"/>
        </w:rPr>
        <w:t xml:space="preserve">La LFCE obliga al IFT a comunicar a los </w:t>
      </w:r>
      <w:r w:rsidR="008A07CB" w:rsidRPr="00A07D9A">
        <w:rPr>
          <w:color w:val="000000" w:themeColor="text1"/>
        </w:rPr>
        <w:t>agentes económicos</w:t>
      </w:r>
      <w:r w:rsidRPr="00A07D9A">
        <w:rPr>
          <w:color w:val="000000" w:themeColor="text1"/>
        </w:rPr>
        <w:t xml:space="preserve"> involucrados cuando advierta la posible existencia de riesgos al proceso de competencia y libre concurrencia. </w:t>
      </w:r>
    </w:p>
    <w:p w14:paraId="4DDCAEC7" w14:textId="77777777" w:rsidR="00BA3CD8" w:rsidRPr="00A07D9A" w:rsidRDefault="00BA3CD8" w:rsidP="00BA3CD8">
      <w:pPr>
        <w:rPr>
          <w:color w:val="000000" w:themeColor="text1"/>
        </w:rPr>
      </w:pPr>
      <w:r w:rsidRPr="00A07D9A">
        <w:rPr>
          <w:color w:val="000000" w:themeColor="text1"/>
        </w:rPr>
        <w:t xml:space="preserve">En términos del artículo 21 de las </w:t>
      </w:r>
      <w:r w:rsidR="00B94D75" w:rsidRPr="00A07D9A">
        <w:rPr>
          <w:color w:val="000000" w:themeColor="text1"/>
        </w:rPr>
        <w:t>Disposiciones Regulatorias</w:t>
      </w:r>
      <w:r w:rsidRPr="00A07D9A">
        <w:rPr>
          <w:color w:val="000000" w:themeColor="text1"/>
        </w:rPr>
        <w:t>, la UCE será quien emita el acuerdo</w:t>
      </w:r>
      <w:r w:rsidRPr="00A07D9A">
        <w:rPr>
          <w:rFonts w:cs="Arial"/>
          <w:color w:val="000000" w:themeColor="text1"/>
        </w:rPr>
        <w:t xml:space="preserve"> en el que comunicará a los </w:t>
      </w:r>
      <w:r w:rsidR="008A07CB" w:rsidRPr="00A07D9A">
        <w:rPr>
          <w:rFonts w:cs="Arial"/>
          <w:color w:val="000000" w:themeColor="text1"/>
        </w:rPr>
        <w:t>agentes económicos</w:t>
      </w:r>
      <w:r w:rsidRPr="00A07D9A">
        <w:rPr>
          <w:rFonts w:cs="Arial"/>
          <w:color w:val="000000" w:themeColor="text1"/>
        </w:rPr>
        <w:t xml:space="preserve"> notificantes los posibles riesgos al proceso de competencia y libre concurrencia que identifique (Acuerdo de Riesgos), a fin de que aquéllos puedan presentar su propuesta de condiciones</w:t>
      </w:r>
      <w:r w:rsidRPr="00A07D9A">
        <w:rPr>
          <w:color w:val="000000" w:themeColor="text1"/>
        </w:rPr>
        <w:t>. La notificación de ese acuerdo deberá suceder al menos con diez días de anticipación a la fecha en que se liste el asunto para sesión del Pleno.</w:t>
      </w:r>
    </w:p>
    <w:p w14:paraId="2629EDAC" w14:textId="77777777" w:rsidR="00BA3CD8" w:rsidRPr="00A07D9A" w:rsidRDefault="00BA3CD8" w:rsidP="00BA3CD8">
      <w:pPr>
        <w:rPr>
          <w:color w:val="000000" w:themeColor="text1"/>
        </w:rPr>
      </w:pPr>
      <w:r w:rsidRPr="00A07D9A">
        <w:rPr>
          <w:color w:val="000000" w:themeColor="text1"/>
        </w:rPr>
        <w:t>En el Acuerdo de Riesgos, el IFT realiza una exposición de la operación notificada y sus aspectos relevantes, así como los elementos de análisis que le han permitido advertir la existencia de posibles riesgos al proceso de competencia y libre concurrencia, sin que ello, de ninguna manera, prejuzgue sobre la resolución que con posterioridad el Pleno del IFT emita.</w:t>
      </w:r>
    </w:p>
    <w:p w14:paraId="318FB01C" w14:textId="77777777" w:rsidR="00BA3CD8" w:rsidRPr="00A07D9A" w:rsidRDefault="0083630E" w:rsidP="00BA3CD8">
      <w:pPr>
        <w:rPr>
          <w:color w:val="000000" w:themeColor="text1"/>
        </w:rPr>
      </w:pPr>
      <w:r w:rsidRPr="00A07D9A">
        <w:rPr>
          <w:color w:val="000000" w:themeColor="text1"/>
        </w:rPr>
        <w:t>El objeto</w:t>
      </w:r>
      <w:r w:rsidR="00BA3CD8" w:rsidRPr="00A07D9A">
        <w:rPr>
          <w:color w:val="000000" w:themeColor="text1"/>
        </w:rPr>
        <w:t xml:space="preserve"> de la emisión del Acuerdo de Riesgos </w:t>
      </w:r>
      <w:r w:rsidRPr="00A07D9A">
        <w:rPr>
          <w:color w:val="000000" w:themeColor="text1"/>
        </w:rPr>
        <w:t>es</w:t>
      </w:r>
      <w:r w:rsidR="00BA3CD8" w:rsidRPr="00A07D9A">
        <w:rPr>
          <w:color w:val="000000" w:themeColor="text1"/>
        </w:rPr>
        <w:t xml:space="preserve"> que los </w:t>
      </w:r>
      <w:r w:rsidR="008A07CB" w:rsidRPr="00A07D9A">
        <w:rPr>
          <w:color w:val="000000" w:themeColor="text1"/>
        </w:rPr>
        <w:t>agentes económicos</w:t>
      </w:r>
      <w:r w:rsidR="00BA3CD8" w:rsidRPr="00A07D9A">
        <w:rPr>
          <w:color w:val="000000" w:themeColor="text1"/>
        </w:rPr>
        <w:t xml:space="preserve"> involucrados estén en posibilidad de presentar condiciones que permitan corregir los riesgos al proceso de competencia y libre concurrencia señalados en dicho acuerdo. En su caso, los </w:t>
      </w:r>
      <w:r w:rsidR="008A07CB" w:rsidRPr="00A07D9A">
        <w:rPr>
          <w:color w:val="000000" w:themeColor="text1"/>
        </w:rPr>
        <w:t>agentes económicos</w:t>
      </w:r>
      <w:r w:rsidR="00BA3CD8" w:rsidRPr="00A07D9A">
        <w:rPr>
          <w:color w:val="000000" w:themeColor="text1"/>
        </w:rPr>
        <w:t xml:space="preserve"> involucrados pueden aportar elementos de análisis que consideren necesarios con relación a la evaluación de la operación y que puedan ser tomadas en consideración del Pleno del IFT como </w:t>
      </w:r>
      <w:r w:rsidR="00BA3CD8" w:rsidRPr="00A07D9A">
        <w:rPr>
          <w:color w:val="000000" w:themeColor="text1"/>
        </w:rPr>
        <w:lastRenderedPageBreak/>
        <w:t xml:space="preserve">elementos favorables a la autorización, incluyendo ganancias en eficiencia o efectos pro-competitivos de la misma. </w:t>
      </w:r>
    </w:p>
    <w:p w14:paraId="7063E6BB" w14:textId="77777777" w:rsidR="00BA3CD8" w:rsidRPr="00A07D9A" w:rsidRDefault="00BA3CD8" w:rsidP="00BA3CD8">
      <w:pPr>
        <w:rPr>
          <w:color w:val="000000" w:themeColor="text1"/>
        </w:rPr>
      </w:pPr>
      <w:r w:rsidRPr="00A07D9A">
        <w:rPr>
          <w:color w:val="000000" w:themeColor="text1"/>
        </w:rPr>
        <w:t xml:space="preserve">Si bien los </w:t>
      </w:r>
      <w:r w:rsidR="008A07CB" w:rsidRPr="00A07D9A">
        <w:rPr>
          <w:color w:val="000000" w:themeColor="text1"/>
        </w:rPr>
        <w:t>agentes económicos</w:t>
      </w:r>
      <w:r w:rsidRPr="00A07D9A">
        <w:rPr>
          <w:color w:val="000000" w:themeColor="text1"/>
        </w:rPr>
        <w:t xml:space="preserve"> involucrados no están en obligación de presentar</w:t>
      </w:r>
      <w:r w:rsidR="001C36A0" w:rsidRPr="00A07D9A">
        <w:rPr>
          <w:color w:val="000000" w:themeColor="text1"/>
        </w:rPr>
        <w:t xml:space="preserve"> propuesta de</w:t>
      </w:r>
      <w:r w:rsidRPr="00A07D9A">
        <w:rPr>
          <w:color w:val="000000" w:themeColor="text1"/>
        </w:rPr>
        <w:t xml:space="preserve"> condiciones como consecuencia del Acuerdo de Riesgos, ese acuerdo les permitirá tener conocimiento previo de los elementos de riesgo identificados por la UCE y, en su caso, podrán estar en condiciones de presentar alternativas respecto a ello.</w:t>
      </w:r>
    </w:p>
    <w:p w14:paraId="4397757E" w14:textId="77777777" w:rsidR="00BA3CD8" w:rsidRPr="00A07D9A" w:rsidRDefault="00BA3CD8" w:rsidP="00C164BD">
      <w:pPr>
        <w:rPr>
          <w:color w:val="000000" w:themeColor="text1"/>
        </w:rPr>
      </w:pPr>
      <w:r w:rsidRPr="00A07D9A">
        <w:rPr>
          <w:color w:val="000000" w:themeColor="text1"/>
        </w:rPr>
        <w:t xml:space="preserve">En caso de que los </w:t>
      </w:r>
      <w:r w:rsidR="008A07CB" w:rsidRPr="00A07D9A">
        <w:rPr>
          <w:color w:val="000000" w:themeColor="text1"/>
        </w:rPr>
        <w:t>agentes económicos</w:t>
      </w:r>
      <w:r w:rsidRPr="00A07D9A">
        <w:rPr>
          <w:color w:val="000000" w:themeColor="text1"/>
        </w:rPr>
        <w:t xml:space="preserve"> notificantes sí presenten propuesta de condiciones, en términos del artículo 21 de las </w:t>
      </w:r>
      <w:r w:rsidR="00B94D75" w:rsidRPr="00A07D9A">
        <w:rPr>
          <w:color w:val="000000" w:themeColor="text1"/>
        </w:rPr>
        <w:t>Disposiciones Regulatorias</w:t>
      </w:r>
      <w:r w:rsidRPr="00A07D9A">
        <w:rPr>
          <w:color w:val="000000" w:themeColor="text1"/>
        </w:rPr>
        <w:t>, el IFT</w:t>
      </w:r>
      <w:r w:rsidR="0061457F" w:rsidRPr="00A07D9A">
        <w:rPr>
          <w:color w:val="000000" w:themeColor="text1"/>
        </w:rPr>
        <w:t xml:space="preserve"> a través de la UCE</w:t>
      </w:r>
      <w:r w:rsidRPr="00A07D9A">
        <w:rPr>
          <w:color w:val="000000" w:themeColor="text1"/>
        </w:rPr>
        <w:t xml:space="preserve"> podrá requerir información adicional o practicar las diligencias que estime convenientes a fin de contar con todos los elementos necesarios para analizar las condiciones presentadas. Asimismo, los notificantes pueden presentar por escrito modificaciones o adiciones a su propuesta inicial de condiciones una sola vez y hasta un día después de que se liste el asunto para sesión del Pleno.</w:t>
      </w:r>
    </w:p>
    <w:p w14:paraId="2483296F" w14:textId="3ACA0785" w:rsidR="00BA3CD8" w:rsidRPr="00A07D9A" w:rsidRDefault="00BA3CD8" w:rsidP="00A936C9">
      <w:pPr>
        <w:pStyle w:val="Ttulo3"/>
        <w:rPr>
          <w:rFonts w:eastAsiaTheme="minorHAnsi"/>
          <w:color w:val="000000" w:themeColor="text1"/>
        </w:rPr>
      </w:pPr>
      <w:bookmarkStart w:id="87" w:name="_Toc462053131"/>
      <w:bookmarkStart w:id="88" w:name="_Toc486519839"/>
      <w:r w:rsidRPr="00A07D9A">
        <w:rPr>
          <w:rFonts w:eastAsiaTheme="minorHAnsi"/>
          <w:color w:val="000000" w:themeColor="text1"/>
        </w:rPr>
        <w:t>Propuestas de Condiciones</w:t>
      </w:r>
      <w:bookmarkEnd w:id="87"/>
      <w:bookmarkEnd w:id="88"/>
    </w:p>
    <w:p w14:paraId="56D945D0" w14:textId="77777777" w:rsidR="00BA3CD8" w:rsidRPr="00A07D9A" w:rsidRDefault="00BA3CD8" w:rsidP="00BA3CD8">
      <w:pPr>
        <w:rPr>
          <w:color w:val="000000" w:themeColor="text1"/>
        </w:rPr>
      </w:pPr>
      <w:r w:rsidRPr="00A07D9A">
        <w:rPr>
          <w:color w:val="000000" w:themeColor="text1"/>
        </w:rPr>
        <w:t>En términos del penúltimo párrafo del artículo 90 de la LFCE, los notificantes pueden presentar propuestas de condiciones para evitar posibles afectaciones al proceso de competencia y libre concurrencia desde su escrito de notificación y hasta un día después de que se liste el asunto para sesión del Pleno del IFT.</w:t>
      </w:r>
    </w:p>
    <w:p w14:paraId="68582922" w14:textId="77777777" w:rsidR="00BA3CD8" w:rsidRPr="00A07D9A" w:rsidRDefault="00BA3CD8" w:rsidP="00BA3CD8">
      <w:pPr>
        <w:rPr>
          <w:color w:val="000000" w:themeColor="text1"/>
        </w:rPr>
      </w:pPr>
      <w:r w:rsidRPr="00A07D9A">
        <w:rPr>
          <w:color w:val="000000" w:themeColor="text1"/>
        </w:rPr>
        <w:t xml:space="preserve">De forma similar, </w:t>
      </w:r>
      <w:r w:rsidR="00BC07D0" w:rsidRPr="00A07D9A">
        <w:rPr>
          <w:color w:val="000000" w:themeColor="text1"/>
        </w:rPr>
        <w:t>de acuerdo con el cuarto párrafo del artículo 14 de las Disposiciones Regulatorias</w:t>
      </w:r>
      <w:r w:rsidR="00BC07D0" w:rsidRPr="00A07D9A" w:rsidDel="00BC07D0">
        <w:rPr>
          <w:color w:val="000000" w:themeColor="text1"/>
        </w:rPr>
        <w:t xml:space="preserve"> </w:t>
      </w:r>
      <w:r w:rsidRPr="00A07D9A">
        <w:rPr>
          <w:color w:val="000000" w:themeColor="text1"/>
        </w:rPr>
        <w:t>los notificantes pueden presentar sus análisis de eficiencia desde el escrito de notificación y hasta dentro de los tres días siguientes contados a partir de la fecha en que se les comunique la existencia de posibles riesgos al proceso de competencia y libre concurrencia en términos del artículo 90, fracción V, segundo párrafo de la LFCE.</w:t>
      </w:r>
    </w:p>
    <w:p w14:paraId="192EDEC3" w14:textId="77777777" w:rsidR="00BA3CD8" w:rsidRPr="00A07D9A" w:rsidRDefault="00BA3CD8" w:rsidP="00BA3CD8">
      <w:pPr>
        <w:rPr>
          <w:color w:val="000000" w:themeColor="text1"/>
        </w:rPr>
      </w:pPr>
      <w:r w:rsidRPr="00A07D9A">
        <w:rPr>
          <w:color w:val="000000" w:themeColor="text1"/>
        </w:rPr>
        <w:t xml:space="preserve">No obstante, en caso de que las propuestas de condiciones o análisis de eficiencias no sean presentados con el escrito de notificación, el plazo de sesenta días que el IFT tiene para resolver la </w:t>
      </w:r>
      <w:r w:rsidR="004B54A6" w:rsidRPr="00A07D9A">
        <w:rPr>
          <w:color w:val="000000" w:themeColor="text1"/>
        </w:rPr>
        <w:t>concentración contará</w:t>
      </w:r>
      <w:r w:rsidRPr="00A07D9A">
        <w:rPr>
          <w:color w:val="000000" w:themeColor="text1"/>
        </w:rPr>
        <w:t xml:space="preserve"> a partir de la fecha de presentación de tales condiciones.</w:t>
      </w:r>
    </w:p>
    <w:p w14:paraId="36249769" w14:textId="77777777" w:rsidR="00BA3CD8" w:rsidRPr="00A07D9A" w:rsidRDefault="00BA3CD8" w:rsidP="00BA3CD8">
      <w:pPr>
        <w:rPr>
          <w:color w:val="000000" w:themeColor="text1"/>
        </w:rPr>
      </w:pPr>
      <w:r w:rsidRPr="00A07D9A">
        <w:rPr>
          <w:color w:val="000000" w:themeColor="text1"/>
        </w:rPr>
        <w:t xml:space="preserve">A pesar de que, en la generalidad de los casos, los </w:t>
      </w:r>
      <w:r w:rsidR="008A07CB" w:rsidRPr="00A07D9A">
        <w:rPr>
          <w:color w:val="000000" w:themeColor="text1"/>
        </w:rPr>
        <w:t>agentes económicos</w:t>
      </w:r>
      <w:r w:rsidRPr="00A07D9A">
        <w:rPr>
          <w:color w:val="000000" w:themeColor="text1"/>
        </w:rPr>
        <w:t xml:space="preserve"> involucrados en una concentración no suelen presentar condiciones desde su escrito de notificación, la propuesta de condiciones desde el inicio del procedimiento evitará la interrupción del plazo para resolver. </w:t>
      </w:r>
    </w:p>
    <w:p w14:paraId="34D1764E" w14:textId="77777777" w:rsidR="00BA3CD8" w:rsidRPr="00A07D9A" w:rsidRDefault="00BA3CD8" w:rsidP="00BA3CD8">
      <w:pPr>
        <w:rPr>
          <w:color w:val="000000" w:themeColor="text1"/>
        </w:rPr>
      </w:pPr>
      <w:r w:rsidRPr="00A07D9A">
        <w:rPr>
          <w:color w:val="000000" w:themeColor="text1"/>
        </w:rPr>
        <w:t xml:space="preserve">En caso de que el IFT prevea riesgos a la libre concurrencia y competencia económica, podrá valorar, en su caso, la propuesta de condiciones formulada por los </w:t>
      </w:r>
      <w:r w:rsidR="008A07CB" w:rsidRPr="00A07D9A">
        <w:rPr>
          <w:color w:val="000000" w:themeColor="text1"/>
        </w:rPr>
        <w:t>agentes económicos</w:t>
      </w:r>
      <w:r w:rsidRPr="00A07D9A">
        <w:rPr>
          <w:color w:val="000000" w:themeColor="text1"/>
        </w:rPr>
        <w:t xml:space="preserve"> notificantes en el procedimiento y podrá considerar que son suficientes para prevenir esos efectos. En caso de que los </w:t>
      </w:r>
      <w:r w:rsidR="008A07CB" w:rsidRPr="00A07D9A">
        <w:rPr>
          <w:color w:val="000000" w:themeColor="text1"/>
        </w:rPr>
        <w:t>agentes económicos</w:t>
      </w:r>
      <w:r w:rsidRPr="00A07D9A">
        <w:rPr>
          <w:color w:val="000000" w:themeColor="text1"/>
        </w:rPr>
        <w:t xml:space="preserve"> notificantes no propongan condiciones o las que propongan no sean suficientes o </w:t>
      </w:r>
      <w:r w:rsidRPr="00A07D9A">
        <w:rPr>
          <w:color w:val="000000" w:themeColor="text1"/>
        </w:rPr>
        <w:lastRenderedPageBreak/>
        <w:t xml:space="preserve">idóneas, el </w:t>
      </w:r>
      <w:r w:rsidR="00E82839" w:rsidRPr="00A07D9A">
        <w:rPr>
          <w:color w:val="000000" w:themeColor="text1"/>
        </w:rPr>
        <w:t xml:space="preserve">Pleno del </w:t>
      </w:r>
      <w:r w:rsidRPr="00A07D9A">
        <w:rPr>
          <w:color w:val="000000" w:themeColor="text1"/>
        </w:rPr>
        <w:t>IFT podrá imponer las condiciones que estime pertinentes en la resolución del procedimiento para prevenir posibles daños o efectos contrarios al proceso de competencia económica y libre concurrencia.</w:t>
      </w:r>
    </w:p>
    <w:p w14:paraId="62B45C09" w14:textId="77777777" w:rsidR="008539D9" w:rsidRPr="00A07D9A" w:rsidRDefault="008539D9" w:rsidP="00A936C9">
      <w:pPr>
        <w:pStyle w:val="Ttulo3"/>
        <w:rPr>
          <w:rFonts w:eastAsiaTheme="minorHAnsi"/>
          <w:color w:val="000000" w:themeColor="text1"/>
        </w:rPr>
      </w:pPr>
      <w:bookmarkStart w:id="89" w:name="_Toc486519840"/>
      <w:r w:rsidRPr="00A07D9A">
        <w:rPr>
          <w:rFonts w:eastAsiaTheme="minorHAnsi"/>
          <w:color w:val="000000" w:themeColor="text1"/>
        </w:rPr>
        <w:t>Tipos de Condiciones</w:t>
      </w:r>
      <w:bookmarkEnd w:id="86"/>
      <w:bookmarkEnd w:id="89"/>
    </w:p>
    <w:p w14:paraId="3C3BACF9" w14:textId="77777777" w:rsidR="008539D9" w:rsidRPr="00A07D9A" w:rsidRDefault="008539D9" w:rsidP="008539D9">
      <w:pPr>
        <w:rPr>
          <w:color w:val="000000" w:themeColor="text1"/>
        </w:rPr>
      </w:pPr>
      <w:r w:rsidRPr="00A07D9A">
        <w:rPr>
          <w:color w:val="000000" w:themeColor="text1"/>
        </w:rPr>
        <w:t xml:space="preserve">Las condiciones que el IFT podrá establecer o, en su caso, aceptar de los </w:t>
      </w:r>
      <w:r w:rsidR="008A07CB" w:rsidRPr="00A07D9A">
        <w:rPr>
          <w:color w:val="000000" w:themeColor="text1"/>
        </w:rPr>
        <w:t>agentes económicos</w:t>
      </w:r>
      <w:r w:rsidRPr="00A07D9A">
        <w:rPr>
          <w:color w:val="000000" w:themeColor="text1"/>
        </w:rPr>
        <w:t xml:space="preserve"> involucrados, podrán consistir, de acuerdo con el artículo 91 de la LFCE, en:</w:t>
      </w:r>
    </w:p>
    <w:p w14:paraId="58678EEB" w14:textId="77777777" w:rsidR="008539D9" w:rsidRPr="00A07D9A" w:rsidRDefault="008539D9" w:rsidP="00FE6791">
      <w:pPr>
        <w:pStyle w:val="Prrafodelista"/>
        <w:numPr>
          <w:ilvl w:val="0"/>
          <w:numId w:val="37"/>
        </w:numPr>
        <w:spacing w:after="160" w:line="259" w:lineRule="auto"/>
        <w:ind w:left="567" w:hanging="425"/>
        <w:rPr>
          <w:color w:val="000000" w:themeColor="text1"/>
        </w:rPr>
      </w:pPr>
      <w:r w:rsidRPr="00A07D9A">
        <w:rPr>
          <w:color w:val="000000" w:themeColor="text1"/>
        </w:rPr>
        <w:t>Llevar a cabo una determinada conducta o abstenerse de realizarla (condiciones de comportamiento).</w:t>
      </w:r>
    </w:p>
    <w:p w14:paraId="17E2ABA2" w14:textId="77777777" w:rsidR="008539D9" w:rsidRPr="00A07D9A" w:rsidRDefault="008539D9" w:rsidP="00FE6791">
      <w:pPr>
        <w:pStyle w:val="Prrafodelista"/>
        <w:numPr>
          <w:ilvl w:val="0"/>
          <w:numId w:val="37"/>
        </w:numPr>
        <w:spacing w:after="160" w:line="259" w:lineRule="auto"/>
        <w:ind w:left="567" w:hanging="425"/>
        <w:rPr>
          <w:color w:val="000000" w:themeColor="text1"/>
        </w:rPr>
      </w:pPr>
      <w:r w:rsidRPr="00A07D9A">
        <w:rPr>
          <w:color w:val="000000" w:themeColor="text1"/>
        </w:rPr>
        <w:t>Enajenar a terceros determinados activos, derechos, partes sociales o acciones (desincorporación o separación estructural).</w:t>
      </w:r>
    </w:p>
    <w:p w14:paraId="6DDF2CA8" w14:textId="77777777" w:rsidR="008539D9" w:rsidRPr="00A07D9A" w:rsidRDefault="008539D9" w:rsidP="00FE6791">
      <w:pPr>
        <w:pStyle w:val="Prrafodelista"/>
        <w:numPr>
          <w:ilvl w:val="0"/>
          <w:numId w:val="37"/>
        </w:numPr>
        <w:spacing w:after="160" w:line="259" w:lineRule="auto"/>
        <w:ind w:left="567" w:hanging="425"/>
        <w:rPr>
          <w:color w:val="000000" w:themeColor="text1"/>
        </w:rPr>
      </w:pPr>
      <w:r w:rsidRPr="00A07D9A">
        <w:rPr>
          <w:color w:val="000000" w:themeColor="text1"/>
        </w:rPr>
        <w:t>Modificar o eliminar términos o condiciones de los actos que pretendan celebrar (condiciones dirigidas a los contratos de la operación notificada).</w:t>
      </w:r>
    </w:p>
    <w:p w14:paraId="25C11BD3" w14:textId="77777777" w:rsidR="008539D9" w:rsidRPr="00A07D9A" w:rsidRDefault="008539D9" w:rsidP="00FE6791">
      <w:pPr>
        <w:pStyle w:val="Prrafodelista"/>
        <w:numPr>
          <w:ilvl w:val="0"/>
          <w:numId w:val="37"/>
        </w:numPr>
        <w:spacing w:after="160" w:line="259" w:lineRule="auto"/>
        <w:ind w:left="567" w:hanging="425"/>
        <w:rPr>
          <w:color w:val="000000" w:themeColor="text1"/>
        </w:rPr>
      </w:pPr>
      <w:r w:rsidRPr="00A07D9A">
        <w:rPr>
          <w:color w:val="000000" w:themeColor="text1"/>
        </w:rPr>
        <w:t xml:space="preserve">Obligarse a realizar actos orientados a fomentar la participación de los competidores en el mercado, así como dar acceso o vender bienes o servicios a estos (condiciones de comportamiento), o </w:t>
      </w:r>
    </w:p>
    <w:p w14:paraId="7C552B9D" w14:textId="77777777" w:rsidR="008539D9" w:rsidRPr="00A07D9A" w:rsidRDefault="008539D9" w:rsidP="00FE6791">
      <w:pPr>
        <w:pStyle w:val="Prrafodelista"/>
        <w:numPr>
          <w:ilvl w:val="0"/>
          <w:numId w:val="37"/>
        </w:numPr>
        <w:spacing w:after="160" w:line="259" w:lineRule="auto"/>
        <w:ind w:left="567" w:hanging="425"/>
        <w:rPr>
          <w:color w:val="000000" w:themeColor="text1"/>
        </w:rPr>
      </w:pPr>
      <w:r w:rsidRPr="00A07D9A">
        <w:rPr>
          <w:color w:val="000000" w:themeColor="text1"/>
        </w:rPr>
        <w:t xml:space="preserve">Las demás que tengan por objeto evitar que la concentración pueda disminuir, dañar o impedir la competencia o libre concurrencia. </w:t>
      </w:r>
    </w:p>
    <w:p w14:paraId="6A772E8D" w14:textId="77777777" w:rsidR="008539D9" w:rsidRPr="00A07D9A" w:rsidRDefault="008539D9" w:rsidP="008539D9">
      <w:pPr>
        <w:rPr>
          <w:color w:val="000000" w:themeColor="text1"/>
        </w:rPr>
      </w:pPr>
      <w:r w:rsidRPr="00A07D9A">
        <w:rPr>
          <w:color w:val="000000" w:themeColor="text1"/>
        </w:rPr>
        <w:t>De acuerdo con lo señalado, puede advertirse que, por regla general, el IFT tiene facultades amplias para establecer en la resolución del procedimiento, cualquier tipo de condición, tanto estructural</w:t>
      </w:r>
      <w:r w:rsidR="0083630E" w:rsidRPr="00A07D9A">
        <w:rPr>
          <w:color w:val="000000" w:themeColor="text1"/>
        </w:rPr>
        <w:t>e</w:t>
      </w:r>
      <w:r w:rsidRPr="00A07D9A">
        <w:rPr>
          <w:color w:val="000000" w:themeColor="text1"/>
        </w:rPr>
        <w:t>s como de comportamiento.</w:t>
      </w:r>
    </w:p>
    <w:p w14:paraId="7941D5A0" w14:textId="77777777" w:rsidR="008539D9" w:rsidRPr="00A07D9A" w:rsidRDefault="008539D9" w:rsidP="008539D9">
      <w:pPr>
        <w:rPr>
          <w:color w:val="000000" w:themeColor="text1"/>
        </w:rPr>
      </w:pPr>
      <w:r w:rsidRPr="00A07D9A">
        <w:rPr>
          <w:color w:val="000000" w:themeColor="text1"/>
        </w:rPr>
        <w:t xml:space="preserve">El IFT sólo podrá imponer o aceptar condiciones que estén directamente vinculadas a la corrección de los efectos de la concentración, las cuales además deben guardar una adecuada proporcionalidad </w:t>
      </w:r>
      <w:r w:rsidR="008634B8" w:rsidRPr="00A07D9A">
        <w:rPr>
          <w:color w:val="000000" w:themeColor="text1"/>
        </w:rPr>
        <w:t xml:space="preserve">y oportunidad </w:t>
      </w:r>
      <w:r w:rsidRPr="00A07D9A">
        <w:rPr>
          <w:color w:val="000000" w:themeColor="text1"/>
        </w:rPr>
        <w:t>con la corrección que se pretenda. Así, el tipo de condiciones que puede establecer el IFT no puede definirse ex ante, sino a través de una metodología de caso por caso.</w:t>
      </w:r>
    </w:p>
    <w:p w14:paraId="6DAD455F" w14:textId="77777777" w:rsidR="008539D9" w:rsidRPr="00A07D9A" w:rsidRDefault="008539D9" w:rsidP="008539D9">
      <w:pPr>
        <w:rPr>
          <w:color w:val="000000" w:themeColor="text1"/>
        </w:rPr>
      </w:pPr>
      <w:r w:rsidRPr="00A07D9A">
        <w:rPr>
          <w:color w:val="000000" w:themeColor="text1"/>
        </w:rPr>
        <w:t xml:space="preserve">Si los </w:t>
      </w:r>
      <w:r w:rsidR="008A07CB" w:rsidRPr="00A07D9A">
        <w:rPr>
          <w:color w:val="000000" w:themeColor="text1"/>
        </w:rPr>
        <w:t>agentes económicos</w:t>
      </w:r>
      <w:r w:rsidRPr="00A07D9A">
        <w:rPr>
          <w:color w:val="000000" w:themeColor="text1"/>
        </w:rPr>
        <w:t xml:space="preserve"> involucrados incumplen cualquiera de las condiciones impuestas por el IFT, éste tendrá la facultad de iniciar el incidente respectivo que podría culminar con la sanción de los </w:t>
      </w:r>
      <w:r w:rsidR="008A07CB" w:rsidRPr="00A07D9A">
        <w:rPr>
          <w:color w:val="000000" w:themeColor="text1"/>
        </w:rPr>
        <w:t>agentes económicos</w:t>
      </w:r>
      <w:r w:rsidRPr="00A07D9A">
        <w:rPr>
          <w:color w:val="000000" w:themeColor="text1"/>
        </w:rPr>
        <w:t xml:space="preserve"> involucrados e, incluso, imponer como medida de última racionalidad la disolución de la concentración realizada.</w:t>
      </w:r>
    </w:p>
    <w:p w14:paraId="2B4B3D3B" w14:textId="77777777" w:rsidR="008539D9" w:rsidRPr="00A07D9A" w:rsidRDefault="008539D9" w:rsidP="008539D9">
      <w:pPr>
        <w:rPr>
          <w:color w:val="000000" w:themeColor="text1"/>
        </w:rPr>
      </w:pPr>
      <w:r w:rsidRPr="00A07D9A">
        <w:rPr>
          <w:color w:val="000000" w:themeColor="text1"/>
        </w:rPr>
        <w:t xml:space="preserve">En todo momento, el IFT cuenta con las atribuciones para requerir información y/o documentación a los </w:t>
      </w:r>
      <w:r w:rsidR="008A07CB" w:rsidRPr="00A07D9A">
        <w:rPr>
          <w:color w:val="000000" w:themeColor="text1"/>
        </w:rPr>
        <w:t>agentes económicos</w:t>
      </w:r>
      <w:r w:rsidRPr="00A07D9A">
        <w:rPr>
          <w:color w:val="000000" w:themeColor="text1"/>
        </w:rPr>
        <w:t xml:space="preserve"> involucrados, a autoridades públicas o a terceros con objeto de verificar el cumplimiento de las condiciones impuestas a una concentración. Incluso, el IFT puede allegarse de toda la información y/o documentación con que cuente como órgano regulador de los sectores de telecomunicaciones y radiodifusión.</w:t>
      </w:r>
    </w:p>
    <w:p w14:paraId="0078D3AF" w14:textId="77777777" w:rsidR="00BA3CD8" w:rsidRPr="00A07D9A" w:rsidRDefault="00BA3CD8" w:rsidP="00FE6791">
      <w:pPr>
        <w:pStyle w:val="Ttulo1"/>
        <w:numPr>
          <w:ilvl w:val="0"/>
          <w:numId w:val="73"/>
        </w:numPr>
        <w:rPr>
          <w:rFonts w:eastAsiaTheme="minorHAnsi"/>
          <w:color w:val="000000" w:themeColor="text1"/>
        </w:rPr>
      </w:pPr>
      <w:bookmarkStart w:id="90" w:name="_Toc486519841"/>
      <w:bookmarkStart w:id="91" w:name="_Toc462053147"/>
      <w:r w:rsidRPr="00A07D9A">
        <w:rPr>
          <w:rFonts w:eastAsiaTheme="minorHAnsi"/>
          <w:color w:val="000000" w:themeColor="text1"/>
        </w:rPr>
        <w:lastRenderedPageBreak/>
        <w:t xml:space="preserve">Excepciones a la </w:t>
      </w:r>
      <w:r w:rsidR="00B95A93" w:rsidRPr="00A07D9A">
        <w:rPr>
          <w:rFonts w:eastAsiaTheme="minorHAnsi"/>
          <w:color w:val="000000" w:themeColor="text1"/>
        </w:rPr>
        <w:t>N</w:t>
      </w:r>
      <w:r w:rsidRPr="00A07D9A">
        <w:rPr>
          <w:rFonts w:eastAsiaTheme="minorHAnsi"/>
          <w:color w:val="000000" w:themeColor="text1"/>
        </w:rPr>
        <w:t xml:space="preserve">otificación de </w:t>
      </w:r>
      <w:r w:rsidR="00B95A93" w:rsidRPr="00A07D9A">
        <w:rPr>
          <w:rFonts w:eastAsiaTheme="minorHAnsi"/>
          <w:color w:val="000000" w:themeColor="text1"/>
        </w:rPr>
        <w:t>C</w:t>
      </w:r>
      <w:r w:rsidRPr="00A07D9A">
        <w:rPr>
          <w:rFonts w:eastAsiaTheme="minorHAnsi"/>
          <w:color w:val="000000" w:themeColor="text1"/>
        </w:rPr>
        <w:t>oncentraciones</w:t>
      </w:r>
      <w:bookmarkEnd w:id="90"/>
    </w:p>
    <w:bookmarkEnd w:id="91"/>
    <w:p w14:paraId="365D8C7C" w14:textId="77777777" w:rsidR="00BA3CD8" w:rsidRPr="00A07D9A" w:rsidRDefault="00BA3CD8" w:rsidP="00BA3CD8">
      <w:pPr>
        <w:rPr>
          <w:color w:val="000000" w:themeColor="text1"/>
        </w:rPr>
      </w:pPr>
      <w:r w:rsidRPr="00A07D9A">
        <w:rPr>
          <w:color w:val="000000" w:themeColor="text1"/>
        </w:rPr>
        <w:t xml:space="preserve">El artículo 93 de la LFCE contiene los supuestos de aquellas concentraciones que no requieren autorización previa a su realización aun cuando superen los umbrales del artículo 86 del mismo ordenamiento. </w:t>
      </w:r>
    </w:p>
    <w:p w14:paraId="3DE33575" w14:textId="77777777" w:rsidR="00BA3CD8" w:rsidRPr="00A07D9A" w:rsidRDefault="00BA3CD8" w:rsidP="00BA3CD8">
      <w:pPr>
        <w:rPr>
          <w:color w:val="000000" w:themeColor="text1"/>
        </w:rPr>
      </w:pPr>
      <w:r w:rsidRPr="00A07D9A">
        <w:rPr>
          <w:color w:val="000000" w:themeColor="text1"/>
        </w:rPr>
        <w:t xml:space="preserve">En efecto, debido a que se trata de concentraciones que no requieren autorización, tampoco requieren someterse a un procedimiento de notificación conforme a los artículos 90 o 92 de la LFCE. </w:t>
      </w:r>
    </w:p>
    <w:p w14:paraId="5086A896" w14:textId="77777777" w:rsidR="00BA3CD8" w:rsidRPr="00A07D9A" w:rsidRDefault="00BA3CD8" w:rsidP="00BA3CD8">
      <w:pPr>
        <w:rPr>
          <w:color w:val="000000" w:themeColor="text1"/>
        </w:rPr>
      </w:pPr>
      <w:r w:rsidRPr="00A07D9A">
        <w:rPr>
          <w:color w:val="000000" w:themeColor="text1"/>
        </w:rPr>
        <w:t>Existen distintas hipótesis de excepción que se encuentran señaladas en el mismo artículo 93 de la LFCE y son las siguientes:</w:t>
      </w:r>
    </w:p>
    <w:p w14:paraId="58FE6F96" w14:textId="77777777" w:rsidR="00BA3CD8" w:rsidRPr="00A07D9A" w:rsidRDefault="00BA3CD8" w:rsidP="00FE6791">
      <w:pPr>
        <w:pStyle w:val="Prrafodelista"/>
        <w:numPr>
          <w:ilvl w:val="0"/>
          <w:numId w:val="41"/>
        </w:numPr>
        <w:spacing w:after="160" w:line="259" w:lineRule="auto"/>
        <w:ind w:left="567" w:hanging="425"/>
        <w:contextualSpacing/>
        <w:rPr>
          <w:b/>
          <w:color w:val="000000" w:themeColor="text1"/>
        </w:rPr>
      </w:pPr>
      <w:r w:rsidRPr="00A07D9A">
        <w:rPr>
          <w:b/>
          <w:color w:val="000000" w:themeColor="text1"/>
        </w:rPr>
        <w:t>Cuando la transacción implique una reestructuración corporativa, en la cual los Agentes Económicos pertenezcan al mismo grupo de interés económico y ningún tercero participe en la concentración.</w:t>
      </w:r>
    </w:p>
    <w:p w14:paraId="340BB951" w14:textId="77777777" w:rsidR="00BA3CD8" w:rsidRPr="00A07D9A" w:rsidRDefault="00BA3CD8" w:rsidP="00BA3CD8">
      <w:pPr>
        <w:rPr>
          <w:color w:val="000000" w:themeColor="text1"/>
        </w:rPr>
      </w:pPr>
      <w:r w:rsidRPr="00A07D9A">
        <w:rPr>
          <w:color w:val="000000" w:themeColor="text1"/>
        </w:rPr>
        <w:t xml:space="preserve">La fracción I del artículo 93 de la LFCE precisa como excepción de la autorización de concentraciones a aquellas que impliquen reestructuraciones corporativas en las que: i) los </w:t>
      </w:r>
      <w:r w:rsidR="008A07CB" w:rsidRPr="00A07D9A">
        <w:rPr>
          <w:color w:val="000000" w:themeColor="text1"/>
        </w:rPr>
        <w:t>agentes económicos</w:t>
      </w:r>
      <w:r w:rsidRPr="00A07D9A">
        <w:rPr>
          <w:color w:val="000000" w:themeColor="text1"/>
        </w:rPr>
        <w:t xml:space="preserve"> involucrados pertenezcan al mismo GIE; y ii) ningún tercero participe en la concentración. Así, las concentraciones que cumplan con los incisos i) y ii) anteriores se tratan de reestructuraciones corporativas exceptuadas de autorización. </w:t>
      </w:r>
    </w:p>
    <w:p w14:paraId="40D11A83" w14:textId="77777777" w:rsidR="00BA3CD8" w:rsidRPr="00A07D9A" w:rsidRDefault="00BA3CD8" w:rsidP="00BA3CD8">
      <w:pPr>
        <w:rPr>
          <w:color w:val="000000" w:themeColor="text1"/>
        </w:rPr>
      </w:pPr>
      <w:r w:rsidRPr="00A07D9A">
        <w:rPr>
          <w:color w:val="000000" w:themeColor="text1"/>
        </w:rPr>
        <w:t xml:space="preserve">Para determinar que una concentración cumple con el inciso i), debe llevarse a cabo entre </w:t>
      </w:r>
      <w:r w:rsidR="008A07CB" w:rsidRPr="00A07D9A">
        <w:rPr>
          <w:color w:val="000000" w:themeColor="text1"/>
        </w:rPr>
        <w:t>agentes económicos</w:t>
      </w:r>
      <w:r w:rsidRPr="00A07D9A">
        <w:rPr>
          <w:color w:val="000000" w:themeColor="text1"/>
        </w:rPr>
        <w:t xml:space="preserve"> que, bajo su dimensión de personas, pertenezcan a un mismo GIE. Al respecto, los </w:t>
      </w:r>
      <w:r w:rsidR="008A07CB" w:rsidRPr="00A07D9A">
        <w:rPr>
          <w:color w:val="000000" w:themeColor="text1"/>
        </w:rPr>
        <w:t>agentes económicos</w:t>
      </w:r>
      <w:r w:rsidRPr="00A07D9A">
        <w:rPr>
          <w:color w:val="000000" w:themeColor="text1"/>
        </w:rPr>
        <w:t xml:space="preserve"> involucrados pertenecen a un mismo GIE </w:t>
      </w:r>
      <w:r w:rsidR="000A3EEF" w:rsidRPr="00A07D9A">
        <w:rPr>
          <w:color w:val="000000" w:themeColor="text1"/>
        </w:rPr>
        <w:t>cuando son</w:t>
      </w:r>
      <w:r w:rsidRPr="00A07D9A">
        <w:rPr>
          <w:color w:val="000000" w:themeColor="text1"/>
        </w:rPr>
        <w:t xml:space="preserve"> controlados, directa o indirectamente, por:</w:t>
      </w:r>
    </w:p>
    <w:p w14:paraId="30F2F55F" w14:textId="77777777" w:rsidR="00BA3CD8" w:rsidRPr="00A07D9A" w:rsidRDefault="00BA3CD8" w:rsidP="00FE6791">
      <w:pPr>
        <w:pStyle w:val="Prrafodelista"/>
        <w:numPr>
          <w:ilvl w:val="0"/>
          <w:numId w:val="43"/>
        </w:numPr>
        <w:spacing w:after="160" w:line="259" w:lineRule="auto"/>
        <w:rPr>
          <w:color w:val="000000" w:themeColor="text1"/>
        </w:rPr>
      </w:pPr>
      <w:r w:rsidRPr="00A07D9A">
        <w:rPr>
          <w:color w:val="000000" w:themeColor="text1"/>
        </w:rPr>
        <w:t>Una misma persona moral.</w:t>
      </w:r>
    </w:p>
    <w:p w14:paraId="73BC18EC" w14:textId="77777777" w:rsidR="00BA3CD8" w:rsidRPr="00A07D9A" w:rsidRDefault="00BA3CD8" w:rsidP="00FE6791">
      <w:pPr>
        <w:pStyle w:val="Prrafodelista"/>
        <w:numPr>
          <w:ilvl w:val="0"/>
          <w:numId w:val="43"/>
        </w:numPr>
        <w:spacing w:after="160" w:line="259" w:lineRule="auto"/>
        <w:rPr>
          <w:color w:val="000000" w:themeColor="text1"/>
        </w:rPr>
      </w:pPr>
      <w:r w:rsidRPr="00A07D9A">
        <w:rPr>
          <w:color w:val="000000" w:themeColor="text1"/>
        </w:rPr>
        <w:t>Un mismo conjunto de personas físicas con intereses comerciales y financieros afines, y que coordinan sus actividades para lograr un determinado objetivo común (conjunto de personas físicas con intereses afines). Un ejemplo de esta situación es aquélla en la que ese conjunto de personas tienen relaciones de parentesco, por consanguinidad o afinidad.</w:t>
      </w:r>
    </w:p>
    <w:p w14:paraId="121506A8" w14:textId="77777777" w:rsidR="00BA3CD8" w:rsidRPr="00A07D9A" w:rsidRDefault="00BA3CD8" w:rsidP="00BA3CD8">
      <w:pPr>
        <w:rPr>
          <w:color w:val="000000" w:themeColor="text1"/>
        </w:rPr>
      </w:pPr>
      <w:r w:rsidRPr="00A07D9A">
        <w:rPr>
          <w:color w:val="000000" w:themeColor="text1"/>
        </w:rPr>
        <w:t xml:space="preserve">Respecto al inciso ii) inmediato anterior, </w:t>
      </w:r>
      <w:r w:rsidR="00BC07D0" w:rsidRPr="00A07D9A">
        <w:rPr>
          <w:color w:val="000000" w:themeColor="text1"/>
        </w:rPr>
        <w:t xml:space="preserve">se considera que </w:t>
      </w:r>
      <w:r w:rsidRPr="00A07D9A">
        <w:rPr>
          <w:color w:val="000000" w:themeColor="text1"/>
        </w:rPr>
        <w:t xml:space="preserve">ningún tercero participa en la concentración </w:t>
      </w:r>
      <w:r w:rsidR="00BC07D0" w:rsidRPr="00A07D9A">
        <w:rPr>
          <w:color w:val="000000" w:themeColor="text1"/>
        </w:rPr>
        <w:t xml:space="preserve">aun </w:t>
      </w:r>
      <w:r w:rsidRPr="00A07D9A">
        <w:rPr>
          <w:color w:val="000000" w:themeColor="text1"/>
        </w:rPr>
        <w:t xml:space="preserve">cuando </w:t>
      </w:r>
      <w:r w:rsidR="00BC07D0" w:rsidRPr="00A07D9A">
        <w:rPr>
          <w:color w:val="000000" w:themeColor="text1"/>
        </w:rPr>
        <w:t xml:space="preserve">una </w:t>
      </w:r>
      <w:r w:rsidRPr="00A07D9A">
        <w:rPr>
          <w:color w:val="000000" w:themeColor="text1"/>
        </w:rPr>
        <w:t xml:space="preserve">sociedad perteneciente a otro GIE, </w:t>
      </w:r>
      <w:r w:rsidR="000226F8" w:rsidRPr="00A07D9A">
        <w:rPr>
          <w:color w:val="000000" w:themeColor="text1"/>
        </w:rPr>
        <w:t>sea</w:t>
      </w:r>
      <w:r w:rsidRPr="00A07D9A">
        <w:rPr>
          <w:color w:val="000000" w:themeColor="text1"/>
        </w:rPr>
        <w:t xml:space="preserve"> accionista minoritario en alguno de los </w:t>
      </w:r>
      <w:r w:rsidR="008A07CB" w:rsidRPr="00A07D9A">
        <w:rPr>
          <w:color w:val="000000" w:themeColor="text1"/>
        </w:rPr>
        <w:t>agentes económicos</w:t>
      </w:r>
      <w:r w:rsidRPr="00A07D9A">
        <w:rPr>
          <w:color w:val="000000" w:themeColor="text1"/>
        </w:rPr>
        <w:t xml:space="preserve"> involucrados:</w:t>
      </w:r>
    </w:p>
    <w:p w14:paraId="4BAD0451" w14:textId="77777777" w:rsidR="00BA3CD8" w:rsidRPr="00A07D9A" w:rsidRDefault="00BA3CD8" w:rsidP="00FE6791">
      <w:pPr>
        <w:pStyle w:val="Prrafodelista"/>
        <w:numPr>
          <w:ilvl w:val="0"/>
          <w:numId w:val="30"/>
        </w:numPr>
        <w:spacing w:after="160" w:line="259" w:lineRule="auto"/>
        <w:rPr>
          <w:color w:val="000000" w:themeColor="text1"/>
        </w:rPr>
      </w:pPr>
      <w:r w:rsidRPr="00A07D9A">
        <w:rPr>
          <w:color w:val="000000" w:themeColor="text1"/>
        </w:rPr>
        <w:t xml:space="preserve">Tiene una </w:t>
      </w:r>
      <w:r w:rsidR="006A2745" w:rsidRPr="00A07D9A">
        <w:rPr>
          <w:color w:val="000000" w:themeColor="text1"/>
        </w:rPr>
        <w:t>participación pasiva</w:t>
      </w:r>
      <w:r w:rsidRPr="00A07D9A">
        <w:rPr>
          <w:color w:val="000000" w:themeColor="text1"/>
        </w:rPr>
        <w:t xml:space="preserve"> en la concentración, es decir no adquiere, vende o enajena acciones o activos </w:t>
      </w:r>
      <w:r w:rsidR="006A2745" w:rsidRPr="00A07D9A">
        <w:rPr>
          <w:color w:val="000000" w:themeColor="text1"/>
        </w:rPr>
        <w:t>del agente económico</w:t>
      </w:r>
      <w:r w:rsidRPr="00A07D9A">
        <w:rPr>
          <w:color w:val="000000" w:themeColor="text1"/>
        </w:rPr>
        <w:t xml:space="preserve"> objeto de la concentración.</w:t>
      </w:r>
    </w:p>
    <w:p w14:paraId="478B747D" w14:textId="77777777" w:rsidR="00BA3CD8" w:rsidRPr="00A07D9A" w:rsidRDefault="00BA3CD8" w:rsidP="00FE6791">
      <w:pPr>
        <w:pStyle w:val="Prrafodelista"/>
        <w:numPr>
          <w:ilvl w:val="0"/>
          <w:numId w:val="30"/>
        </w:numPr>
        <w:spacing w:after="160" w:line="259" w:lineRule="auto"/>
        <w:rPr>
          <w:color w:val="000000" w:themeColor="text1"/>
        </w:rPr>
      </w:pPr>
      <w:r w:rsidRPr="00A07D9A">
        <w:rPr>
          <w:color w:val="000000" w:themeColor="text1"/>
        </w:rPr>
        <w:t xml:space="preserve">No adquiere derechos adicionales ni cede alguno de los que ya tiene en </w:t>
      </w:r>
      <w:r w:rsidR="006A2745" w:rsidRPr="00A07D9A">
        <w:rPr>
          <w:color w:val="000000" w:themeColor="text1"/>
        </w:rPr>
        <w:t>ese agente económico</w:t>
      </w:r>
      <w:r w:rsidRPr="00A07D9A">
        <w:rPr>
          <w:color w:val="000000" w:themeColor="text1"/>
        </w:rPr>
        <w:t>.</w:t>
      </w:r>
    </w:p>
    <w:p w14:paraId="4C00A9D0" w14:textId="77777777" w:rsidR="00BA3CD8" w:rsidRPr="00A07D9A" w:rsidRDefault="00BA3CD8" w:rsidP="00FE6791">
      <w:pPr>
        <w:pStyle w:val="Prrafodelista"/>
        <w:numPr>
          <w:ilvl w:val="0"/>
          <w:numId w:val="30"/>
        </w:numPr>
        <w:spacing w:after="160" w:line="259" w:lineRule="auto"/>
        <w:rPr>
          <w:color w:val="000000" w:themeColor="text1"/>
        </w:rPr>
      </w:pPr>
      <w:r w:rsidRPr="00A07D9A">
        <w:rPr>
          <w:color w:val="000000" w:themeColor="text1"/>
        </w:rPr>
        <w:lastRenderedPageBreak/>
        <w:t xml:space="preserve">No altera su participación relativa en el capital social o de derechos que tiene en </w:t>
      </w:r>
      <w:r w:rsidR="006A2745" w:rsidRPr="00A07D9A">
        <w:rPr>
          <w:color w:val="000000" w:themeColor="text1"/>
        </w:rPr>
        <w:t>el agente económico</w:t>
      </w:r>
      <w:r w:rsidRPr="00A07D9A">
        <w:rPr>
          <w:color w:val="000000" w:themeColor="text1"/>
        </w:rPr>
        <w:t xml:space="preserve"> en el que participa.</w:t>
      </w:r>
    </w:p>
    <w:p w14:paraId="507F7890" w14:textId="77777777" w:rsidR="00BA3CD8" w:rsidRPr="00A07D9A" w:rsidRDefault="00BA3CD8" w:rsidP="00BA3CD8">
      <w:pPr>
        <w:rPr>
          <w:color w:val="000000" w:themeColor="text1"/>
        </w:rPr>
      </w:pPr>
      <w:r w:rsidRPr="00A07D9A">
        <w:rPr>
          <w:color w:val="000000" w:themeColor="text1"/>
        </w:rPr>
        <w:t>En ese sentido, con relación a las reestructuras corporativas, el Pleno del Instituto</w:t>
      </w:r>
      <w:r w:rsidRPr="00A07D9A">
        <w:rPr>
          <w:rStyle w:val="Refdenotaalpie"/>
          <w:color w:val="000000" w:themeColor="text1"/>
        </w:rPr>
        <w:footnoteReference w:id="80"/>
      </w:r>
      <w:r w:rsidRPr="00A07D9A">
        <w:rPr>
          <w:color w:val="000000" w:themeColor="text1"/>
        </w:rPr>
        <w:t xml:space="preserve"> ha establecido que:</w:t>
      </w:r>
    </w:p>
    <w:p w14:paraId="45410AA6" w14:textId="77777777" w:rsidR="00BA3CD8" w:rsidRPr="00A07D9A" w:rsidRDefault="00BA3CD8" w:rsidP="00BA3CD8">
      <w:pPr>
        <w:ind w:left="708"/>
        <w:rPr>
          <w:color w:val="000000" w:themeColor="text1"/>
        </w:rPr>
      </w:pPr>
      <w:r w:rsidRPr="00A07D9A">
        <w:rPr>
          <w:color w:val="000000" w:themeColor="text1"/>
        </w:rPr>
        <w:t xml:space="preserve">“la(s) persona(s) resultante(s) mantienen, respecto de la situación inicial, </w:t>
      </w:r>
      <w:r w:rsidRPr="00A07D9A">
        <w:rPr>
          <w:b/>
          <w:color w:val="000000" w:themeColor="text1"/>
          <w:u w:val="single"/>
        </w:rPr>
        <w:t>la misma estructura de control</w:t>
      </w:r>
      <w:r w:rsidRPr="00A07D9A">
        <w:rPr>
          <w:color w:val="000000" w:themeColor="text1"/>
        </w:rPr>
        <w:t xml:space="preserve"> y </w:t>
      </w:r>
      <w:r w:rsidRPr="00A07D9A">
        <w:rPr>
          <w:b/>
          <w:color w:val="000000" w:themeColor="text1"/>
          <w:u w:val="single"/>
        </w:rPr>
        <w:t>la misma naturaleza de los medios que constituyen la estructura de control</w:t>
      </w:r>
      <w:r w:rsidRPr="00A07D9A">
        <w:rPr>
          <w:color w:val="000000" w:themeColor="text1"/>
        </w:rPr>
        <w:t>.”</w:t>
      </w:r>
    </w:p>
    <w:p w14:paraId="6B425014" w14:textId="77777777" w:rsidR="00BA3CD8" w:rsidRPr="00A07D9A" w:rsidRDefault="00BA3CD8" w:rsidP="00BA3CD8">
      <w:pPr>
        <w:ind w:left="708"/>
        <w:rPr>
          <w:color w:val="000000" w:themeColor="text1"/>
        </w:rPr>
      </w:pPr>
      <w:r w:rsidRPr="00A07D9A">
        <w:rPr>
          <w:color w:val="000000" w:themeColor="text1"/>
        </w:rPr>
        <w:t xml:space="preserve">“(…) previsiblemente no generan riesgos al proceso de competencia económica y libre concurrencia. Lo anterior, debido a que </w:t>
      </w:r>
      <w:r w:rsidRPr="00A07D9A">
        <w:rPr>
          <w:b/>
          <w:color w:val="000000" w:themeColor="text1"/>
          <w:u w:val="single"/>
        </w:rPr>
        <w:t>las personas que, en última instancia, sean tenedores o beneficiarios de los derechos</w:t>
      </w:r>
      <w:r w:rsidRPr="00A07D9A">
        <w:rPr>
          <w:b/>
          <w:color w:val="000000" w:themeColor="text1"/>
        </w:rPr>
        <w:t xml:space="preserve"> que constituyen la estructura de control de la(s) persona(s) resultante(s) </w:t>
      </w:r>
      <w:r w:rsidRPr="00A07D9A">
        <w:rPr>
          <w:b/>
          <w:color w:val="000000" w:themeColor="text1"/>
          <w:u w:val="single"/>
        </w:rPr>
        <w:t>son las mismas y ejercerán tales derechos a través de los mismos medios y las mismas proporciones bajo los cuales se ejercen en la situación inicial</w:t>
      </w:r>
      <w:r w:rsidRPr="00A07D9A">
        <w:rPr>
          <w:color w:val="000000" w:themeColor="text1"/>
          <w:u w:val="single"/>
        </w:rPr>
        <w:t xml:space="preserve"> </w:t>
      </w:r>
      <w:r w:rsidRPr="00A07D9A">
        <w:rPr>
          <w:color w:val="000000" w:themeColor="text1"/>
        </w:rPr>
        <w:t>(i.e. antes de la concentración).”</w:t>
      </w:r>
      <w:r w:rsidRPr="00A07D9A">
        <w:rPr>
          <w:rStyle w:val="Refdenotaalpie"/>
          <w:color w:val="000000" w:themeColor="text1"/>
        </w:rPr>
        <w:footnoteReference w:id="81"/>
      </w:r>
      <w:r w:rsidRPr="00A07D9A">
        <w:rPr>
          <w:color w:val="000000" w:themeColor="text1"/>
        </w:rPr>
        <w:t xml:space="preserve">  </w:t>
      </w:r>
    </w:p>
    <w:p w14:paraId="6A06FDEF" w14:textId="77777777" w:rsidR="00BA3CD8" w:rsidRPr="00A07D9A" w:rsidRDefault="00BA3CD8" w:rsidP="00BA3CD8">
      <w:pPr>
        <w:rPr>
          <w:color w:val="000000" w:themeColor="text1"/>
        </w:rPr>
      </w:pPr>
      <w:r w:rsidRPr="00A07D9A">
        <w:rPr>
          <w:color w:val="000000" w:themeColor="text1"/>
        </w:rPr>
        <w:t>En atención a lo anterior, se advierte que las reestructuraciones corporativas a que se refiere la fracción I del artículo 93 de la LFCE, mantienen la estructura de control como consecuencia de la operación así como la naturaleza de los medios que constituyen la estructura de control.</w:t>
      </w:r>
    </w:p>
    <w:p w14:paraId="29489E9B" w14:textId="77777777" w:rsidR="00BA3CD8" w:rsidRPr="00A07D9A" w:rsidRDefault="00BA3CD8" w:rsidP="00FE6791">
      <w:pPr>
        <w:pStyle w:val="Prrafodelista"/>
        <w:numPr>
          <w:ilvl w:val="0"/>
          <w:numId w:val="41"/>
        </w:numPr>
        <w:spacing w:after="160" w:line="259" w:lineRule="auto"/>
        <w:ind w:left="567" w:hanging="425"/>
        <w:contextualSpacing/>
        <w:rPr>
          <w:b/>
          <w:color w:val="000000" w:themeColor="text1"/>
        </w:rPr>
      </w:pPr>
      <w:r w:rsidRPr="00A07D9A">
        <w:rPr>
          <w:b/>
          <w:color w:val="000000" w:themeColor="text1"/>
        </w:rPr>
        <w:t>Cuando el titular de acciones, partes sociales o unidades de participación incremente su participación relativa en el capital social de una sociedad en la que tenga el control de la misma desde su constitución o inicio de operaciones, o bien, cuando el Pleno haya autorizado la adquisición de dicho control y posteriormente incremente su participación relativa en el capital social de la referida sociedad.</w:t>
      </w:r>
    </w:p>
    <w:p w14:paraId="61F95F8C" w14:textId="77777777" w:rsidR="00BA3CD8" w:rsidRPr="00A07D9A" w:rsidRDefault="00BA3CD8" w:rsidP="00316B67">
      <w:pPr>
        <w:rPr>
          <w:color w:val="000000" w:themeColor="text1"/>
        </w:rPr>
      </w:pPr>
      <w:r w:rsidRPr="00A07D9A">
        <w:rPr>
          <w:color w:val="000000" w:themeColor="text1"/>
        </w:rPr>
        <w:t xml:space="preserve">Esta excepción está dirigida a aquellas concentraciones en las que un </w:t>
      </w:r>
      <w:r w:rsidR="006A2745" w:rsidRPr="00A07D9A">
        <w:rPr>
          <w:color w:val="000000" w:themeColor="text1"/>
        </w:rPr>
        <w:t>agente económico</w:t>
      </w:r>
      <w:r w:rsidRPr="00A07D9A">
        <w:rPr>
          <w:color w:val="000000" w:themeColor="text1"/>
        </w:rPr>
        <w:t xml:space="preserve"> realiza un aumento en el capital social de una sociedad de la que detenta el control previo. Ese control debe existir desde la constitución de la sociedad o desde que el IFT así lo haya autorizado</w:t>
      </w:r>
      <w:r w:rsidR="00316B67" w:rsidRPr="00A07D9A">
        <w:rPr>
          <w:color w:val="000000" w:themeColor="text1"/>
        </w:rPr>
        <w:t>, situación que será analizada en una metodología de casos por caso</w:t>
      </w:r>
      <w:r w:rsidRPr="00A07D9A">
        <w:rPr>
          <w:color w:val="000000" w:themeColor="text1"/>
        </w:rPr>
        <w:t>.</w:t>
      </w:r>
      <w:r w:rsidR="00316B67" w:rsidRPr="00A07D9A">
        <w:rPr>
          <w:rStyle w:val="Refdenotaalpie"/>
          <w:color w:val="000000" w:themeColor="text1"/>
        </w:rPr>
        <w:footnoteReference w:id="82"/>
      </w:r>
    </w:p>
    <w:p w14:paraId="36D36363" w14:textId="77777777" w:rsidR="00BA3CD8" w:rsidRPr="00A07D9A" w:rsidRDefault="00BA3CD8" w:rsidP="00FE6791">
      <w:pPr>
        <w:pStyle w:val="Prrafodelista"/>
        <w:numPr>
          <w:ilvl w:val="0"/>
          <w:numId w:val="41"/>
        </w:numPr>
        <w:spacing w:after="160" w:line="259" w:lineRule="auto"/>
        <w:ind w:left="567" w:hanging="425"/>
        <w:contextualSpacing/>
        <w:rPr>
          <w:b/>
          <w:color w:val="000000" w:themeColor="text1"/>
        </w:rPr>
      </w:pPr>
      <w:r w:rsidRPr="00A07D9A">
        <w:rPr>
          <w:b/>
          <w:color w:val="000000" w:themeColor="text1"/>
        </w:rPr>
        <w:lastRenderedPageBreak/>
        <w:t>Cuando se trate de la constitución de fideicomisos de administración, garantía o de cualquier otra clase en la que un Agente Económico aporte sus activos, acciones, partes sociales o unidades de participación sin que la finalidad o consecuencia necesaria sea la transferencia de dichos activos, acciones, partes sociales o unidades de participación a una sociedad distinta tanto del fideicomitente como de la institución fiduciaria correspondiente. Sin embargo, en caso de ejecución del fideicomiso de garantía se deberá de notificar si se actualiza alguno de los umbrales referidos en el artículo 86 de esta Ley.</w:t>
      </w:r>
    </w:p>
    <w:p w14:paraId="6698AB86" w14:textId="77777777" w:rsidR="00BA3CD8" w:rsidRPr="00A07D9A" w:rsidRDefault="00BA3CD8" w:rsidP="00BA3CD8">
      <w:pPr>
        <w:rPr>
          <w:color w:val="000000" w:themeColor="text1"/>
        </w:rPr>
      </w:pPr>
      <w:r w:rsidRPr="00A07D9A">
        <w:rPr>
          <w:color w:val="000000" w:themeColor="text1"/>
        </w:rPr>
        <w:t xml:space="preserve">Este supuesto se refiere a aquellos casos en que dos o más </w:t>
      </w:r>
      <w:r w:rsidR="008A07CB" w:rsidRPr="00A07D9A">
        <w:rPr>
          <w:color w:val="000000" w:themeColor="text1"/>
        </w:rPr>
        <w:t>agentes económicos</w:t>
      </w:r>
      <w:r w:rsidRPr="00A07D9A">
        <w:rPr>
          <w:color w:val="000000" w:themeColor="text1"/>
        </w:rPr>
        <w:t>, bajo su dimensión de GIE, constituyen fideicomisos de administración, garantía o de cualquier otra clase que no tenga como finalidad o consecuencia necesaria la transferencia de activos, acciones, partes sociales o unidades de participación (patrimonio).</w:t>
      </w:r>
    </w:p>
    <w:p w14:paraId="09F9165D" w14:textId="77777777" w:rsidR="00BA3CD8" w:rsidRPr="00A07D9A" w:rsidRDefault="00BA3CD8" w:rsidP="00BA3CD8">
      <w:pPr>
        <w:rPr>
          <w:color w:val="000000" w:themeColor="text1"/>
        </w:rPr>
      </w:pPr>
      <w:r w:rsidRPr="00A07D9A">
        <w:rPr>
          <w:color w:val="000000" w:themeColor="text1"/>
        </w:rPr>
        <w:t xml:space="preserve">Se entiende por fideicomiso de administración aquél en el que </w:t>
      </w:r>
      <w:r w:rsidR="000226F8" w:rsidRPr="00A07D9A">
        <w:rPr>
          <w:color w:val="000000" w:themeColor="text1"/>
        </w:rPr>
        <w:t xml:space="preserve">los </w:t>
      </w:r>
      <w:r w:rsidR="00A83FB8" w:rsidRPr="00A07D9A">
        <w:rPr>
          <w:color w:val="000000" w:themeColor="text1"/>
        </w:rPr>
        <w:t>agente</w:t>
      </w:r>
      <w:r w:rsidR="0072302B" w:rsidRPr="00A07D9A">
        <w:rPr>
          <w:color w:val="000000" w:themeColor="text1"/>
        </w:rPr>
        <w:t>s</w:t>
      </w:r>
      <w:r w:rsidR="00A83FB8" w:rsidRPr="00A07D9A">
        <w:rPr>
          <w:color w:val="000000" w:themeColor="text1"/>
        </w:rPr>
        <w:t xml:space="preserve"> económico</w:t>
      </w:r>
      <w:r w:rsidR="0072302B" w:rsidRPr="00A07D9A">
        <w:rPr>
          <w:color w:val="000000" w:themeColor="text1"/>
        </w:rPr>
        <w:t>s</w:t>
      </w:r>
      <w:r w:rsidRPr="00A07D9A">
        <w:rPr>
          <w:color w:val="000000" w:themeColor="text1"/>
        </w:rPr>
        <w:t xml:space="preserve"> fideicomitente y fideicomisario aporta</w:t>
      </w:r>
      <w:r w:rsidR="000226F8" w:rsidRPr="00A07D9A">
        <w:rPr>
          <w:color w:val="000000" w:themeColor="text1"/>
        </w:rPr>
        <w:t>n</w:t>
      </w:r>
      <w:r w:rsidRPr="00A07D9A">
        <w:rPr>
          <w:color w:val="000000" w:themeColor="text1"/>
        </w:rPr>
        <w:t xml:space="preserve"> activos, acciones, partes sociales o unidades de participación a un fideicomiso con el objeto de que el fiduciario o institución fiduciaria se encargue de administrar ese Patrimonio en interés del beneficiario/fideicomisario. Las instituciones fiduciarias sólo podrán ser aquellas instituciones o sociedades que se identifiquen como tal en la legislación aplicable, y que, directa o indirectamente, no participan en los mismos mercados relevantes del Patrimonio aportado o en mercados relacionados.</w:t>
      </w:r>
    </w:p>
    <w:p w14:paraId="33DBA9BB" w14:textId="77777777" w:rsidR="00BA3CD8" w:rsidRPr="00A07D9A" w:rsidRDefault="00BA3CD8" w:rsidP="00BA3CD8">
      <w:pPr>
        <w:rPr>
          <w:color w:val="000000" w:themeColor="text1"/>
        </w:rPr>
      </w:pPr>
      <w:r w:rsidRPr="00A07D9A">
        <w:rPr>
          <w:color w:val="000000" w:themeColor="text1"/>
        </w:rPr>
        <w:t xml:space="preserve">Así, en los fideicomisos de administración y otros que no tengan como finalidad o consecuencia la transferencia del Patrimonio </w:t>
      </w:r>
      <w:proofErr w:type="spellStart"/>
      <w:r w:rsidRPr="00A07D9A">
        <w:rPr>
          <w:color w:val="000000" w:themeColor="text1"/>
        </w:rPr>
        <w:t>fideicomitido</w:t>
      </w:r>
      <w:proofErr w:type="spellEnd"/>
      <w:r w:rsidRPr="00A07D9A">
        <w:rPr>
          <w:color w:val="000000" w:themeColor="text1"/>
        </w:rPr>
        <w:t xml:space="preserve"> a terceros, </w:t>
      </w:r>
      <w:r w:rsidR="006A2745" w:rsidRPr="00A07D9A">
        <w:rPr>
          <w:color w:val="000000" w:themeColor="text1"/>
        </w:rPr>
        <w:t>el mismo agente económico</w:t>
      </w:r>
      <w:r w:rsidRPr="00A07D9A">
        <w:rPr>
          <w:color w:val="000000" w:themeColor="text1"/>
        </w:rPr>
        <w:t xml:space="preserve"> actúa como fideicomitente y, al mismo tiempo, como fideicomisario al momento de iniciarse una relación contractual de fideicomiso. En esencia, se trata </w:t>
      </w:r>
      <w:r w:rsidR="0057488F" w:rsidRPr="00A07D9A">
        <w:rPr>
          <w:color w:val="000000" w:themeColor="text1"/>
        </w:rPr>
        <w:t>d</w:t>
      </w:r>
      <w:r w:rsidRPr="00A07D9A">
        <w:rPr>
          <w:color w:val="000000" w:themeColor="text1"/>
        </w:rPr>
        <w:t xml:space="preserve">e situaciones en las que el único beneficiario del Patrimonio aportado será el mismo </w:t>
      </w:r>
      <w:r w:rsidR="00A83FB8" w:rsidRPr="00A07D9A">
        <w:rPr>
          <w:color w:val="000000" w:themeColor="text1"/>
        </w:rPr>
        <w:t>agente económico</w:t>
      </w:r>
      <w:r w:rsidRPr="00A07D9A">
        <w:rPr>
          <w:color w:val="000000" w:themeColor="text1"/>
        </w:rPr>
        <w:t xml:space="preserve"> que lo aportó, por lo cual propiamente no se genera un fenómeno de acumulación entre distintos </w:t>
      </w:r>
      <w:r w:rsidR="008A07CB" w:rsidRPr="00A07D9A">
        <w:rPr>
          <w:color w:val="000000" w:themeColor="text1"/>
        </w:rPr>
        <w:t>agentes económicos</w:t>
      </w:r>
      <w:r w:rsidRPr="00A07D9A">
        <w:rPr>
          <w:color w:val="000000" w:themeColor="text1"/>
        </w:rPr>
        <w:t xml:space="preserve"> que amerite ser evaluado por el IFT.  </w:t>
      </w:r>
    </w:p>
    <w:p w14:paraId="0D0B2A67" w14:textId="77777777" w:rsidR="00BA3CD8" w:rsidRPr="00A07D9A" w:rsidRDefault="00BA3CD8" w:rsidP="00BA3CD8">
      <w:pPr>
        <w:rPr>
          <w:color w:val="000000" w:themeColor="text1"/>
        </w:rPr>
      </w:pPr>
      <w:r w:rsidRPr="00A07D9A">
        <w:rPr>
          <w:color w:val="000000" w:themeColor="text1"/>
        </w:rPr>
        <w:t xml:space="preserve">Los fideicomisos de garantía son aquéllos en los que el </w:t>
      </w:r>
      <w:r w:rsidR="001443AA" w:rsidRPr="00A07D9A">
        <w:rPr>
          <w:color w:val="000000" w:themeColor="text1"/>
        </w:rPr>
        <w:t>p</w:t>
      </w:r>
      <w:r w:rsidRPr="00A07D9A">
        <w:rPr>
          <w:color w:val="000000" w:themeColor="text1"/>
        </w:rPr>
        <w:t xml:space="preserve">atrimonio aportado se utiliza como medio para asegurar el cumplimiento de obligaciones contraídas por el fideicomitente. Se constituyen a favor de un fideicomisario que no adquiere un derecho directo sobre ese Patrimonio, pero que sí incluyen cláusulas para transferírselo en caso de incumplimiento. </w:t>
      </w:r>
    </w:p>
    <w:p w14:paraId="00665F21" w14:textId="77777777" w:rsidR="00BA3CD8" w:rsidRPr="00A07D9A" w:rsidRDefault="00BA3CD8" w:rsidP="00BA3CD8">
      <w:pPr>
        <w:rPr>
          <w:color w:val="000000" w:themeColor="text1"/>
        </w:rPr>
      </w:pPr>
      <w:r w:rsidRPr="00A07D9A">
        <w:rPr>
          <w:color w:val="000000" w:themeColor="text1"/>
        </w:rPr>
        <w:lastRenderedPageBreak/>
        <w:t xml:space="preserve">Para estos tipos de fideicomisos, la </w:t>
      </w:r>
      <w:r w:rsidR="000226F8" w:rsidRPr="00A07D9A">
        <w:rPr>
          <w:color w:val="000000" w:themeColor="text1"/>
        </w:rPr>
        <w:t xml:space="preserve">constitución </w:t>
      </w:r>
      <w:r w:rsidRPr="00A07D9A">
        <w:rPr>
          <w:color w:val="000000" w:themeColor="text1"/>
        </w:rPr>
        <w:t>se exceptúa de la notificación de concentraciones ante el IFT toda vez que las garantías se establecen con la esperanza de cumplimiento y, bajo ese supuesto, no se presenta un efecto de acumulación suscitado entre distintos GIE.</w:t>
      </w:r>
    </w:p>
    <w:p w14:paraId="725C20D2" w14:textId="77777777" w:rsidR="00BA3CD8" w:rsidRPr="00A07D9A" w:rsidRDefault="00BA3CD8" w:rsidP="00BA3CD8">
      <w:pPr>
        <w:rPr>
          <w:color w:val="000000" w:themeColor="text1"/>
        </w:rPr>
      </w:pPr>
      <w:r w:rsidRPr="00A07D9A">
        <w:rPr>
          <w:color w:val="000000" w:themeColor="text1"/>
        </w:rPr>
        <w:t xml:space="preserve">Ahora bien, una situación diversa sucede con la ejecución de fideicomisos de garantía por parte de terceros. En efecto, la ejecución de un fideicomiso por parte de otros </w:t>
      </w:r>
      <w:r w:rsidR="008A07CB" w:rsidRPr="00A07D9A">
        <w:rPr>
          <w:color w:val="000000" w:themeColor="text1"/>
        </w:rPr>
        <w:t>agentes económicos</w:t>
      </w:r>
      <w:r w:rsidRPr="00A07D9A">
        <w:rPr>
          <w:color w:val="000000" w:themeColor="text1"/>
        </w:rPr>
        <w:t xml:space="preserve"> sí implica la transferencia del </w:t>
      </w:r>
      <w:r w:rsidR="001443AA" w:rsidRPr="00A07D9A">
        <w:rPr>
          <w:color w:val="000000" w:themeColor="text1"/>
        </w:rPr>
        <w:t>p</w:t>
      </w:r>
      <w:r w:rsidRPr="00A07D9A">
        <w:rPr>
          <w:color w:val="000000" w:themeColor="text1"/>
        </w:rPr>
        <w:t xml:space="preserve">atrimonio </w:t>
      </w:r>
      <w:proofErr w:type="spellStart"/>
      <w:r w:rsidRPr="00A07D9A">
        <w:rPr>
          <w:color w:val="000000" w:themeColor="text1"/>
        </w:rPr>
        <w:t>fideicomitido</w:t>
      </w:r>
      <w:proofErr w:type="spellEnd"/>
      <w:r w:rsidRPr="00A07D9A">
        <w:rPr>
          <w:color w:val="000000" w:themeColor="text1"/>
        </w:rPr>
        <w:t xml:space="preserve"> hacia un GIE distinto al </w:t>
      </w:r>
      <w:r w:rsidR="00A83FB8" w:rsidRPr="00A07D9A">
        <w:rPr>
          <w:color w:val="000000" w:themeColor="text1"/>
        </w:rPr>
        <w:t>agente económico</w:t>
      </w:r>
      <w:r w:rsidRPr="00A07D9A">
        <w:rPr>
          <w:color w:val="000000" w:themeColor="text1"/>
        </w:rPr>
        <w:t xml:space="preserve"> fideicomitente. Es decir, se trata de un fenómeno de acumulación por parte de un tercero. En ese caso, la operación, siempre y cuando actualice alguno de los umbrales del artículo 86 de la LFCE, deberá notificarse y ser autorizada previamente por el IFT.</w:t>
      </w:r>
    </w:p>
    <w:p w14:paraId="5363FC18" w14:textId="77777777" w:rsidR="00BA3CD8" w:rsidRPr="00A07D9A" w:rsidRDefault="00BA3CD8" w:rsidP="00FE6791">
      <w:pPr>
        <w:pStyle w:val="Prrafodelista"/>
        <w:numPr>
          <w:ilvl w:val="0"/>
          <w:numId w:val="41"/>
        </w:numPr>
        <w:spacing w:after="160" w:line="259" w:lineRule="auto"/>
        <w:ind w:left="567" w:hanging="425"/>
        <w:contextualSpacing/>
        <w:rPr>
          <w:b/>
          <w:color w:val="000000" w:themeColor="text1"/>
        </w:rPr>
      </w:pPr>
      <w:r w:rsidRPr="00A07D9A">
        <w:rPr>
          <w:b/>
          <w:color w:val="000000" w:themeColor="text1"/>
        </w:rPr>
        <w:t>Cuando se trate de actos jurídicos sobre acciones, partes sociales o unidades de participación, o bajo contratos de fideicomiso que se verifiquen en el extranjero relacionadas con sociedades no residentes para efectos fiscales en México, de sociedades extranjeras, siempre que las sociedades involucradas en dichos actos no adquieran el control de sociedades mexicanas, ni acumulen en el territorio nacional acciones, partes sociales, unidades de participación o participación en fideicomisos o activos en general, adicionales a los que, directa o indirectamente, posean antes de la transacción.</w:t>
      </w:r>
    </w:p>
    <w:p w14:paraId="3DCB0AD9" w14:textId="77777777" w:rsidR="00BA3CD8" w:rsidRPr="00A07D9A" w:rsidRDefault="00BA3CD8" w:rsidP="00BA3CD8">
      <w:pPr>
        <w:rPr>
          <w:color w:val="000000" w:themeColor="text1"/>
        </w:rPr>
      </w:pPr>
      <w:r w:rsidRPr="00A07D9A">
        <w:rPr>
          <w:color w:val="000000" w:themeColor="text1"/>
        </w:rPr>
        <w:t xml:space="preserve">Esta excepción se refiere a </w:t>
      </w:r>
      <w:r w:rsidR="000226F8" w:rsidRPr="00A07D9A">
        <w:rPr>
          <w:color w:val="000000" w:themeColor="text1"/>
        </w:rPr>
        <w:t>operaciones</w:t>
      </w:r>
      <w:r w:rsidRPr="00A07D9A">
        <w:rPr>
          <w:color w:val="000000" w:themeColor="text1"/>
        </w:rPr>
        <w:t xml:space="preserve"> que se llevan a cabo fuera del territorio nacional y en las que están involucradas sociedades extranjeras que tienen, directa o indirectamente: </w:t>
      </w:r>
      <w:r w:rsidR="001443AA" w:rsidRPr="00A07D9A">
        <w:rPr>
          <w:color w:val="000000" w:themeColor="text1"/>
        </w:rPr>
        <w:t xml:space="preserve">activos en general, </w:t>
      </w:r>
      <w:r w:rsidRPr="00A07D9A">
        <w:rPr>
          <w:color w:val="000000" w:themeColor="text1"/>
        </w:rPr>
        <w:t>acciones, partes sociales o unidades de participación de sociedades mexicanas; participación en fideicomisos mexicanos o activos en general ubicados en México. No es necesario que las sociedades, fideicomisos o activos en territorio nacional pertenezcan al mismo GIE de las sociedades extranjeras; es decir, estas últimas pueden tener ya sea participaciones minoritarias o de control en sociedades o fideicomisos mexicanos.</w:t>
      </w:r>
    </w:p>
    <w:p w14:paraId="316BF06A" w14:textId="77777777" w:rsidR="00BA3CD8" w:rsidRPr="00A07D9A" w:rsidRDefault="00BA3CD8" w:rsidP="00BA3CD8">
      <w:pPr>
        <w:rPr>
          <w:color w:val="000000" w:themeColor="text1"/>
        </w:rPr>
      </w:pPr>
      <w:r w:rsidRPr="00A07D9A">
        <w:rPr>
          <w:color w:val="000000" w:themeColor="text1"/>
        </w:rPr>
        <w:t xml:space="preserve">Estas </w:t>
      </w:r>
      <w:r w:rsidR="000226F8" w:rsidRPr="00A07D9A">
        <w:rPr>
          <w:color w:val="000000" w:themeColor="text1"/>
        </w:rPr>
        <w:t xml:space="preserve">operaciones </w:t>
      </w:r>
      <w:r w:rsidRPr="00A07D9A">
        <w:rPr>
          <w:color w:val="000000" w:themeColor="text1"/>
        </w:rPr>
        <w:t>no deben implicar una acumulación adicional en el territorio nacional de acciones, partes sociales, unidades de participación o participación en fideicomisos o activos en general, a los que las sociedades extranjeras posean, directa o indirectamente, antes de la transacción. Asimismo, ningún integrante de otros GIE a los que pertenecen esas sociedades extranjeras debe adquirir participaciones en sociedades mexicanas, ni en fideicomisos o activos ubicados en México.</w:t>
      </w:r>
    </w:p>
    <w:p w14:paraId="14F2D439" w14:textId="77777777" w:rsidR="00BA3CD8" w:rsidRPr="00A07D9A" w:rsidRDefault="00BA3CD8" w:rsidP="00FE6791">
      <w:pPr>
        <w:pStyle w:val="Prrafodelista"/>
        <w:numPr>
          <w:ilvl w:val="0"/>
          <w:numId w:val="41"/>
        </w:numPr>
        <w:spacing w:after="160" w:line="259" w:lineRule="auto"/>
        <w:ind w:left="567" w:hanging="425"/>
        <w:contextualSpacing/>
        <w:rPr>
          <w:b/>
          <w:color w:val="000000" w:themeColor="text1"/>
        </w:rPr>
      </w:pPr>
      <w:r w:rsidRPr="00A07D9A">
        <w:rPr>
          <w:b/>
          <w:color w:val="000000" w:themeColor="text1"/>
        </w:rPr>
        <w:t xml:space="preserve">Cuando el adquirente sea una sociedad de inversión de renta variable y la operación tenga por objeto la adquisición de acciones, obligaciones, valores, títulos o documentos con recursos provenientes de la colocación de las acciones representativas del capital social de la sociedad de inversión entre el público inversionista, salvo que como resultado o con motivo de las </w:t>
      </w:r>
      <w:r w:rsidRPr="00A07D9A">
        <w:rPr>
          <w:b/>
          <w:color w:val="000000" w:themeColor="text1"/>
        </w:rPr>
        <w:lastRenderedPageBreak/>
        <w:t xml:space="preserve">operaciones la sociedad de inversión pueda tener una influencia significativa en las decisiones del </w:t>
      </w:r>
      <w:r w:rsidR="00A83FB8" w:rsidRPr="00A07D9A">
        <w:rPr>
          <w:b/>
          <w:color w:val="000000" w:themeColor="text1"/>
        </w:rPr>
        <w:t>agente económico</w:t>
      </w:r>
      <w:r w:rsidRPr="00A07D9A">
        <w:rPr>
          <w:b/>
          <w:color w:val="000000" w:themeColor="text1"/>
        </w:rPr>
        <w:t xml:space="preserve"> concentrado.</w:t>
      </w:r>
    </w:p>
    <w:p w14:paraId="42C44DA6" w14:textId="77777777" w:rsidR="00BA3CD8" w:rsidRPr="00A07D9A" w:rsidRDefault="00BA3CD8" w:rsidP="00BA3CD8">
      <w:pPr>
        <w:rPr>
          <w:color w:val="000000" w:themeColor="text1"/>
        </w:rPr>
      </w:pPr>
      <w:r w:rsidRPr="00A07D9A">
        <w:rPr>
          <w:color w:val="000000" w:themeColor="text1"/>
        </w:rPr>
        <w:t xml:space="preserve">Las sociedades de inversión de renta variable son fondos de inversión de renta variable que se regulan en términos de la Ley de Fondos de Inversión. </w:t>
      </w:r>
    </w:p>
    <w:p w14:paraId="7FE3A2F5" w14:textId="77777777" w:rsidR="00BA3CD8" w:rsidRPr="00A07D9A" w:rsidRDefault="00BA3CD8" w:rsidP="00BA3CD8">
      <w:pPr>
        <w:rPr>
          <w:color w:val="000000" w:themeColor="text1"/>
        </w:rPr>
      </w:pPr>
      <w:r w:rsidRPr="00A07D9A">
        <w:rPr>
          <w:color w:val="000000" w:themeColor="text1"/>
        </w:rPr>
        <w:t>Éstas funcionan como vehículos de inversión en los que una gran cantidad de</w:t>
      </w:r>
      <w:r w:rsidRPr="00A07D9A">
        <w:rPr>
          <w:b/>
          <w:color w:val="000000" w:themeColor="text1"/>
        </w:rPr>
        <w:t xml:space="preserve"> </w:t>
      </w:r>
      <w:r w:rsidRPr="00A07D9A">
        <w:rPr>
          <w:color w:val="000000" w:themeColor="text1"/>
        </w:rPr>
        <w:t>personas aportan su dinero con el objetivo de obtener rendimientos de la cartera de valores que se conforme con dichos recursos y cuyo valor forma parte del capital social del fondo de inversión, el cual está representado por acciones o partes sociales. Por lo tanto, las personas que invierten en fondos, adquieren acciones representativas del patrimonio del fondo de inversión y, en consecuencia, una parte proporcional de la cartera o portafolio de valores.</w:t>
      </w:r>
      <w:r w:rsidRPr="00A07D9A">
        <w:rPr>
          <w:rStyle w:val="Refdenotaalpie"/>
          <w:color w:val="000000" w:themeColor="text1"/>
        </w:rPr>
        <w:footnoteReference w:id="83"/>
      </w:r>
    </w:p>
    <w:p w14:paraId="5AEF800C" w14:textId="77777777" w:rsidR="00BA3CD8" w:rsidRPr="00A07D9A" w:rsidRDefault="00BA3CD8" w:rsidP="00BA3CD8">
      <w:pPr>
        <w:rPr>
          <w:color w:val="000000" w:themeColor="text1"/>
        </w:rPr>
      </w:pPr>
      <w:r w:rsidRPr="00A07D9A">
        <w:rPr>
          <w:color w:val="000000" w:themeColor="text1"/>
        </w:rPr>
        <w:t>Las sociedades de inversión de renta variable no cuentan con una asamblea general de accionistas o consejo de administración. La administración de las carteras de valores de los fondos de inversión, con la finalidad de obtener rendimientos para los inversionistas, corresponde a sociedades operadoras de fondos de inversión. Éstas pueden ser casas de bolsa, bancos, grupos financieros o personas independientes.</w:t>
      </w:r>
      <w:r w:rsidRPr="00A07D9A">
        <w:rPr>
          <w:rStyle w:val="Refdenotaalpie"/>
          <w:color w:val="000000" w:themeColor="text1"/>
        </w:rPr>
        <w:footnoteReference w:id="84"/>
      </w:r>
    </w:p>
    <w:p w14:paraId="31102DB1" w14:textId="77777777" w:rsidR="00BA3CD8" w:rsidRPr="00A07D9A" w:rsidRDefault="00BA3CD8" w:rsidP="00BA3CD8">
      <w:pPr>
        <w:rPr>
          <w:color w:val="000000" w:themeColor="text1"/>
        </w:rPr>
      </w:pPr>
      <w:r w:rsidRPr="00A07D9A">
        <w:rPr>
          <w:color w:val="000000" w:themeColor="text1"/>
        </w:rPr>
        <w:t xml:space="preserve">Así, las sociedades de inversión de renta variable constituyen </w:t>
      </w:r>
      <w:r w:rsidR="008A07CB" w:rsidRPr="00A07D9A">
        <w:rPr>
          <w:color w:val="000000" w:themeColor="text1"/>
        </w:rPr>
        <w:t>agentes económicos</w:t>
      </w:r>
      <w:r w:rsidRPr="00A07D9A">
        <w:rPr>
          <w:color w:val="000000" w:themeColor="text1"/>
        </w:rPr>
        <w:t xml:space="preserve"> cuyo objeto es la adquisición de acciones, obligaciones, valores, títulos o documentos emitidos por diversas empresas que cotizan en mercados de valores; así como instrumentos de deuda públicos. </w:t>
      </w:r>
    </w:p>
    <w:p w14:paraId="54B5B744" w14:textId="77777777" w:rsidR="00BA3CD8" w:rsidRPr="00A07D9A" w:rsidRDefault="00BA3CD8" w:rsidP="00BA3CD8">
      <w:pPr>
        <w:rPr>
          <w:color w:val="000000" w:themeColor="text1"/>
        </w:rPr>
      </w:pPr>
      <w:r w:rsidRPr="00A07D9A">
        <w:rPr>
          <w:color w:val="000000" w:themeColor="text1"/>
        </w:rPr>
        <w:t xml:space="preserve">Las sociedades de inversión de renta variable forman portafolios de inversión que tienen el objetivo de minimizar riesgos a los inversionistas. Esas adquisiciones se hacen con recursos provenientes de la colocación entre el público inversionista de las acciones representativas del capital social de la sociedad de inversión de renta variable. En general, dichas adquisiciones no representan una parte significativa del capital social de los </w:t>
      </w:r>
      <w:r w:rsidR="008A07CB" w:rsidRPr="00A07D9A">
        <w:rPr>
          <w:color w:val="000000" w:themeColor="text1"/>
        </w:rPr>
        <w:t>agentes económicos</w:t>
      </w:r>
      <w:r w:rsidRPr="00A07D9A">
        <w:rPr>
          <w:color w:val="000000" w:themeColor="text1"/>
        </w:rPr>
        <w:t xml:space="preserve"> concentrados, por lo que no les otorgan a las sociedades de inversión de renta variable la capacidad, de hecho o de derecho, de influir en forma significativa o controlar a los </w:t>
      </w:r>
      <w:r w:rsidR="008A07CB" w:rsidRPr="00A07D9A">
        <w:rPr>
          <w:color w:val="000000" w:themeColor="text1"/>
        </w:rPr>
        <w:t>agentes económicos</w:t>
      </w:r>
      <w:r w:rsidRPr="00A07D9A">
        <w:rPr>
          <w:color w:val="000000" w:themeColor="text1"/>
        </w:rPr>
        <w:t xml:space="preserve"> concentrados. En estos casos, las adquisiciones no requerirán una autorización previa por parte del IFT.</w:t>
      </w:r>
    </w:p>
    <w:p w14:paraId="5A448EFB" w14:textId="77777777" w:rsidR="00BA3CD8" w:rsidRPr="00A07D9A" w:rsidRDefault="00BA3CD8" w:rsidP="00BA3CD8">
      <w:pPr>
        <w:rPr>
          <w:color w:val="000000" w:themeColor="text1"/>
        </w:rPr>
      </w:pPr>
      <w:r w:rsidRPr="00A07D9A">
        <w:rPr>
          <w:color w:val="000000" w:themeColor="text1"/>
        </w:rPr>
        <w:t xml:space="preserve">Sin embargo, en aquellos casos en que la adquisición llevada a cabo por una sociedad de inversión de renta variable sí le otorgue control o influencia significativa en </w:t>
      </w:r>
      <w:r w:rsidR="006A2745" w:rsidRPr="00A07D9A">
        <w:rPr>
          <w:color w:val="000000" w:themeColor="text1"/>
        </w:rPr>
        <w:t>el agente económico</w:t>
      </w:r>
      <w:r w:rsidRPr="00A07D9A">
        <w:rPr>
          <w:color w:val="000000" w:themeColor="text1"/>
        </w:rPr>
        <w:t xml:space="preserve"> concentrado, la excepción no estará actualizada. </w:t>
      </w:r>
    </w:p>
    <w:p w14:paraId="354281ED" w14:textId="77777777" w:rsidR="00BD77B6" w:rsidRPr="00A07D9A" w:rsidRDefault="00BA3CD8" w:rsidP="000273EE">
      <w:pPr>
        <w:pStyle w:val="Prrafodelista"/>
        <w:numPr>
          <w:ilvl w:val="0"/>
          <w:numId w:val="41"/>
        </w:numPr>
        <w:spacing w:after="0" w:line="259" w:lineRule="auto"/>
        <w:ind w:left="567" w:hanging="425"/>
        <w:contextualSpacing/>
        <w:rPr>
          <w:b/>
          <w:color w:val="000000" w:themeColor="text1"/>
        </w:rPr>
      </w:pPr>
      <w:r w:rsidRPr="00A07D9A">
        <w:rPr>
          <w:b/>
          <w:color w:val="000000" w:themeColor="text1"/>
        </w:rPr>
        <w:lastRenderedPageBreak/>
        <w:t>En la adquisición de acciones, valores, títulos o documentos representativos del capital social de sociedades o bien cuyo subyacente sean acciones representativas del capital social de personas morales, y que coticen en bolsas de valores en México o en el extranjero, cuando el acto o sucesión de actos no le permitan al comprador ser titular del diez por ciento o más de dichas acciones, obligaciones convertibles en acciones, valores, títulos o documentos y, además, el adquirente no tenga facultades para:</w:t>
      </w:r>
    </w:p>
    <w:p w14:paraId="56F8E8DD" w14:textId="3AD9168A" w:rsidR="00BA3CD8" w:rsidRPr="00A07D9A" w:rsidRDefault="00BA3CD8" w:rsidP="00FE6791">
      <w:pPr>
        <w:pStyle w:val="Prrafodelista"/>
        <w:numPr>
          <w:ilvl w:val="0"/>
          <w:numId w:val="42"/>
        </w:numPr>
        <w:spacing w:after="160" w:line="259" w:lineRule="auto"/>
        <w:ind w:left="851" w:hanging="284"/>
        <w:rPr>
          <w:b/>
          <w:color w:val="000000" w:themeColor="text1"/>
        </w:rPr>
      </w:pPr>
      <w:r w:rsidRPr="00A07D9A">
        <w:rPr>
          <w:b/>
          <w:color w:val="000000" w:themeColor="text1"/>
        </w:rPr>
        <w:t>Designar o revocar miembros del consejo de administración, directivos o gerentes de la sociedad emisora.</w:t>
      </w:r>
    </w:p>
    <w:p w14:paraId="260A42D3" w14:textId="77777777" w:rsidR="00BA3CD8" w:rsidRPr="00A07D9A" w:rsidRDefault="00BA3CD8" w:rsidP="00FE6791">
      <w:pPr>
        <w:pStyle w:val="Prrafodelista"/>
        <w:numPr>
          <w:ilvl w:val="0"/>
          <w:numId w:val="42"/>
        </w:numPr>
        <w:spacing w:after="160" w:line="259" w:lineRule="auto"/>
        <w:ind w:left="851" w:hanging="284"/>
        <w:rPr>
          <w:b/>
          <w:color w:val="000000" w:themeColor="text1"/>
        </w:rPr>
      </w:pPr>
      <w:r w:rsidRPr="00A07D9A">
        <w:rPr>
          <w:b/>
          <w:color w:val="000000" w:themeColor="text1"/>
        </w:rPr>
        <w:t>Imponer, directa o indirectamente, decisiones en las asambleas generales de accionistas, de socios u órganos equivalentes.</w:t>
      </w:r>
    </w:p>
    <w:p w14:paraId="72B258A3" w14:textId="77777777" w:rsidR="00BA3CD8" w:rsidRPr="00A07D9A" w:rsidRDefault="00BA3CD8" w:rsidP="00FE6791">
      <w:pPr>
        <w:pStyle w:val="Prrafodelista"/>
        <w:numPr>
          <w:ilvl w:val="0"/>
          <w:numId w:val="42"/>
        </w:numPr>
        <w:spacing w:after="160" w:line="259" w:lineRule="auto"/>
        <w:ind w:left="851" w:hanging="284"/>
        <w:rPr>
          <w:b/>
          <w:color w:val="000000" w:themeColor="text1"/>
        </w:rPr>
      </w:pPr>
      <w:r w:rsidRPr="00A07D9A">
        <w:rPr>
          <w:b/>
          <w:color w:val="000000" w:themeColor="text1"/>
        </w:rPr>
        <w:t>Mantener la titularidad de derechos que permitan, directa o indirectamente, ejercer el voto respecto del diez por ciento o más del capital social de una persona moral.</w:t>
      </w:r>
    </w:p>
    <w:p w14:paraId="3EFF6A10" w14:textId="77777777" w:rsidR="00BA3CD8" w:rsidRPr="00A07D9A" w:rsidRDefault="00BA3CD8" w:rsidP="00FE6791">
      <w:pPr>
        <w:pStyle w:val="Prrafodelista"/>
        <w:numPr>
          <w:ilvl w:val="0"/>
          <w:numId w:val="42"/>
        </w:numPr>
        <w:spacing w:after="160" w:line="259" w:lineRule="auto"/>
        <w:ind w:left="851" w:hanging="284"/>
        <w:rPr>
          <w:b/>
          <w:color w:val="000000" w:themeColor="text1"/>
        </w:rPr>
      </w:pPr>
      <w:r w:rsidRPr="00A07D9A">
        <w:rPr>
          <w:b/>
          <w:color w:val="000000" w:themeColor="text1"/>
        </w:rPr>
        <w:t>Dirigir o influir directa o indirectamente la administración, operación, la estrategia o las principales políticas de una persona moral, ya sea a través de la propiedad de valores, por contrato o de cualquier otra forma.</w:t>
      </w:r>
    </w:p>
    <w:p w14:paraId="6794C399" w14:textId="77777777" w:rsidR="00BA3CD8" w:rsidRPr="00A07D9A" w:rsidRDefault="00BA3CD8" w:rsidP="00BA3CD8">
      <w:pPr>
        <w:rPr>
          <w:color w:val="000000" w:themeColor="text1"/>
        </w:rPr>
      </w:pPr>
      <w:r w:rsidRPr="00A07D9A">
        <w:rPr>
          <w:color w:val="000000" w:themeColor="text1"/>
        </w:rPr>
        <w:t xml:space="preserve">Este supuesto de excepción se refiere a la adquisición o participación de </w:t>
      </w:r>
      <w:r w:rsidR="006A2745" w:rsidRPr="00A07D9A">
        <w:rPr>
          <w:color w:val="000000" w:themeColor="text1"/>
        </w:rPr>
        <w:t>un agente económico</w:t>
      </w:r>
      <w:r w:rsidRPr="00A07D9A">
        <w:rPr>
          <w:color w:val="000000" w:themeColor="text1"/>
        </w:rPr>
        <w:t xml:space="preserve"> de menos del diez por ciento (10%) de acciones, valores, títulos o documentos representativos del capital social de sociedades que cotizan en bolsas de valores. Ello, siempre y cuando, no se adquieran, a su vez, derechos para designar o revocar miembros del consejo de administración, directivos o gerentes; imponer decisiones</w:t>
      </w:r>
      <w:r w:rsidRPr="00A07D9A">
        <w:rPr>
          <w:rFonts w:cs="Arial"/>
          <w:color w:val="000000" w:themeColor="text1"/>
        </w:rPr>
        <w:t xml:space="preserve">; </w:t>
      </w:r>
      <w:r w:rsidRPr="00A07D9A">
        <w:rPr>
          <w:color w:val="000000" w:themeColor="text1"/>
        </w:rPr>
        <w:t>mantener los derechos que permitan ejercer el voto respecto del diez por ciento o más del capital social; o ejercer control o influencia.</w:t>
      </w:r>
    </w:p>
    <w:p w14:paraId="5120B1FA" w14:textId="77777777" w:rsidR="00BA3CD8" w:rsidRPr="00A07D9A" w:rsidRDefault="00BA3CD8" w:rsidP="00BA3CD8">
      <w:pPr>
        <w:rPr>
          <w:color w:val="000000" w:themeColor="text1"/>
        </w:rPr>
      </w:pPr>
      <w:r w:rsidRPr="00A07D9A">
        <w:rPr>
          <w:color w:val="000000" w:themeColor="text1"/>
        </w:rPr>
        <w:t xml:space="preserve">Sobre esta excepción, el artículo 29 de las </w:t>
      </w:r>
      <w:r w:rsidR="00B94D75" w:rsidRPr="00A07D9A">
        <w:rPr>
          <w:color w:val="000000" w:themeColor="text1"/>
        </w:rPr>
        <w:t>Disposiciones Regulatorias</w:t>
      </w:r>
      <w:r w:rsidRPr="00A07D9A">
        <w:rPr>
          <w:color w:val="000000" w:themeColor="text1"/>
        </w:rPr>
        <w:t xml:space="preserve"> señala que el cálculo del umbral de diez por ciento (10%) sobre acciones, valores, títulos o documentos representativos del capital social de empresas que cotizan en bolsas de valores, se debe realizar sobre el total de las acciones emitidas que representan el capital social y no únicamente sobre aquellas que coticen en bolsa de valores.</w:t>
      </w:r>
    </w:p>
    <w:p w14:paraId="6E58A526" w14:textId="77777777" w:rsidR="00BA3CD8" w:rsidRPr="00A07D9A" w:rsidRDefault="00BA3CD8" w:rsidP="00FE6791">
      <w:pPr>
        <w:pStyle w:val="Prrafodelista"/>
        <w:numPr>
          <w:ilvl w:val="0"/>
          <w:numId w:val="41"/>
        </w:numPr>
        <w:spacing w:after="160" w:line="259" w:lineRule="auto"/>
        <w:ind w:left="567" w:hanging="425"/>
        <w:contextualSpacing/>
        <w:rPr>
          <w:b/>
          <w:color w:val="000000" w:themeColor="text1"/>
        </w:rPr>
      </w:pPr>
      <w:r w:rsidRPr="00A07D9A">
        <w:rPr>
          <w:b/>
          <w:color w:val="000000" w:themeColor="text1"/>
        </w:rPr>
        <w:t xml:space="preserve">Cuando la adquisición sobre acciones, partes sociales, unidades de participación o fideicomisos sean realizadas por uno o más fondos de inversión con fines meramente especulativos, y que no tengan inversiones en sociedades o activos que participen o sean empleados en el mismo mercado relevante que el </w:t>
      </w:r>
      <w:r w:rsidR="00A83FB8" w:rsidRPr="00A07D9A">
        <w:rPr>
          <w:b/>
          <w:color w:val="000000" w:themeColor="text1"/>
        </w:rPr>
        <w:t>agente económico</w:t>
      </w:r>
      <w:r w:rsidRPr="00A07D9A">
        <w:rPr>
          <w:b/>
          <w:color w:val="000000" w:themeColor="text1"/>
        </w:rPr>
        <w:t xml:space="preserve"> concentrado.</w:t>
      </w:r>
    </w:p>
    <w:p w14:paraId="59C4A122" w14:textId="77777777" w:rsidR="00BA3CD8" w:rsidRPr="00A07D9A" w:rsidRDefault="00BA3CD8" w:rsidP="00BA3CD8">
      <w:pPr>
        <w:autoSpaceDE w:val="0"/>
        <w:autoSpaceDN w:val="0"/>
        <w:adjustRightInd w:val="0"/>
        <w:rPr>
          <w:rFonts w:cs="Helvetica"/>
          <w:color w:val="000000" w:themeColor="text1"/>
        </w:rPr>
      </w:pPr>
      <w:r w:rsidRPr="00A07D9A">
        <w:rPr>
          <w:rFonts w:cs="Helvetica"/>
          <w:bCs/>
          <w:color w:val="000000" w:themeColor="text1"/>
        </w:rPr>
        <w:t xml:space="preserve">En términos del artículo 30 de las </w:t>
      </w:r>
      <w:r w:rsidR="00B94D75" w:rsidRPr="00A07D9A">
        <w:rPr>
          <w:rFonts w:cs="Helvetica"/>
          <w:bCs/>
          <w:color w:val="000000" w:themeColor="text1"/>
        </w:rPr>
        <w:t>Disposiciones Regulatorias</w:t>
      </w:r>
      <w:r w:rsidRPr="00A07D9A">
        <w:rPr>
          <w:rFonts w:cs="Helvetica"/>
          <w:bCs/>
          <w:color w:val="000000" w:themeColor="text1"/>
        </w:rPr>
        <w:t xml:space="preserve">, </w:t>
      </w:r>
      <w:r w:rsidRPr="00A07D9A">
        <w:rPr>
          <w:rFonts w:cs="Helvetica"/>
          <w:color w:val="000000" w:themeColor="text1"/>
        </w:rPr>
        <w:t>se entiende por fondos de inversión con fines meramente especulativos aquéllos que:</w:t>
      </w:r>
    </w:p>
    <w:p w14:paraId="676678C8" w14:textId="77777777" w:rsidR="00BA3CD8" w:rsidRPr="00A07D9A" w:rsidRDefault="00BA3CD8" w:rsidP="00FE6791">
      <w:pPr>
        <w:pStyle w:val="Prrafodelista"/>
        <w:numPr>
          <w:ilvl w:val="0"/>
          <w:numId w:val="44"/>
        </w:numPr>
        <w:autoSpaceDE w:val="0"/>
        <w:autoSpaceDN w:val="0"/>
        <w:adjustRightInd w:val="0"/>
        <w:spacing w:after="160" w:line="259" w:lineRule="auto"/>
        <w:rPr>
          <w:rFonts w:cs="Helvetica"/>
          <w:color w:val="000000" w:themeColor="text1"/>
        </w:rPr>
      </w:pPr>
      <w:r w:rsidRPr="00A07D9A">
        <w:rPr>
          <w:rFonts w:cs="Helvetica"/>
          <w:color w:val="000000" w:themeColor="text1"/>
        </w:rPr>
        <w:t xml:space="preserve">Se adquieren en nombre de sus inversionistas o socios con derechos limitados, valores, acciones o participación en otros </w:t>
      </w:r>
      <w:r w:rsidR="008A07CB" w:rsidRPr="00A07D9A">
        <w:rPr>
          <w:rFonts w:cs="Helvetica"/>
          <w:color w:val="000000" w:themeColor="text1"/>
        </w:rPr>
        <w:t>agentes económicos</w:t>
      </w:r>
      <w:r w:rsidRPr="00A07D9A">
        <w:rPr>
          <w:rFonts w:cs="Helvetica"/>
          <w:color w:val="000000" w:themeColor="text1"/>
        </w:rPr>
        <w:t>.</w:t>
      </w:r>
    </w:p>
    <w:p w14:paraId="61346BEB" w14:textId="77777777" w:rsidR="00BA3CD8" w:rsidRPr="00A07D9A" w:rsidRDefault="00BA3CD8" w:rsidP="00FE6791">
      <w:pPr>
        <w:pStyle w:val="Prrafodelista"/>
        <w:numPr>
          <w:ilvl w:val="0"/>
          <w:numId w:val="44"/>
        </w:numPr>
        <w:autoSpaceDE w:val="0"/>
        <w:autoSpaceDN w:val="0"/>
        <w:adjustRightInd w:val="0"/>
        <w:spacing w:after="160" w:line="259" w:lineRule="auto"/>
        <w:rPr>
          <w:rFonts w:cs="Helvetica"/>
          <w:color w:val="000000" w:themeColor="text1"/>
        </w:rPr>
      </w:pPr>
      <w:r w:rsidRPr="00A07D9A">
        <w:rPr>
          <w:rFonts w:cs="Helvetica"/>
          <w:color w:val="000000" w:themeColor="text1"/>
        </w:rPr>
        <w:lastRenderedPageBreak/>
        <w:t>La adquisición referida no debe representar más del diez por ciento del capital social de este último, considerando el total de las acciones emitidas y con el único fin de obtener rendimientos para sus inversionistas.</w:t>
      </w:r>
    </w:p>
    <w:p w14:paraId="331CF95A" w14:textId="77777777" w:rsidR="00BA3CD8" w:rsidRPr="00A07D9A" w:rsidRDefault="00BA3CD8" w:rsidP="00FE6791">
      <w:pPr>
        <w:pStyle w:val="Prrafodelista"/>
        <w:numPr>
          <w:ilvl w:val="0"/>
          <w:numId w:val="44"/>
        </w:numPr>
        <w:autoSpaceDE w:val="0"/>
        <w:autoSpaceDN w:val="0"/>
        <w:adjustRightInd w:val="0"/>
        <w:spacing w:after="160" w:line="259" w:lineRule="auto"/>
        <w:rPr>
          <w:rFonts w:cs="Helvetica"/>
          <w:color w:val="000000" w:themeColor="text1"/>
        </w:rPr>
      </w:pPr>
      <w:r w:rsidRPr="00A07D9A">
        <w:rPr>
          <w:rFonts w:cs="Helvetica"/>
          <w:color w:val="000000" w:themeColor="text1"/>
        </w:rPr>
        <w:t xml:space="preserve">No tengan facultades de hecho o derecho, para nombrar consejeros, administradores o directivos, influir significativamente en los órganos de decisión del </w:t>
      </w:r>
      <w:r w:rsidR="00A83FB8" w:rsidRPr="00A07D9A">
        <w:rPr>
          <w:rFonts w:cs="Helvetica"/>
          <w:color w:val="000000" w:themeColor="text1"/>
        </w:rPr>
        <w:t>agentes económicos</w:t>
      </w:r>
      <w:r w:rsidRPr="00A07D9A">
        <w:rPr>
          <w:rFonts w:cs="Helvetica"/>
          <w:color w:val="000000" w:themeColor="text1"/>
        </w:rPr>
        <w:t xml:space="preserve"> objeto de la adquisición.</w:t>
      </w:r>
    </w:p>
    <w:p w14:paraId="7996C982" w14:textId="77777777" w:rsidR="00BA3CD8" w:rsidRPr="00A07D9A" w:rsidRDefault="00BA3CD8" w:rsidP="00FE6791">
      <w:pPr>
        <w:pStyle w:val="Prrafodelista"/>
        <w:numPr>
          <w:ilvl w:val="0"/>
          <w:numId w:val="44"/>
        </w:numPr>
        <w:autoSpaceDE w:val="0"/>
        <w:autoSpaceDN w:val="0"/>
        <w:adjustRightInd w:val="0"/>
        <w:spacing w:after="160" w:line="259" w:lineRule="auto"/>
        <w:rPr>
          <w:rFonts w:cs="Helvetica"/>
          <w:color w:val="000000" w:themeColor="text1"/>
        </w:rPr>
      </w:pPr>
      <w:r w:rsidRPr="00A07D9A">
        <w:rPr>
          <w:rFonts w:cs="Helvetica"/>
          <w:color w:val="000000" w:themeColor="text1"/>
        </w:rPr>
        <w:t xml:space="preserve">No tengan la intención de participar, dirigir o influir significativamente, directa o indirectamente, en la administración, la operación, las decisiones, la estrategia o las políticas comerciales </w:t>
      </w:r>
      <w:r w:rsidR="006A2745" w:rsidRPr="00A07D9A">
        <w:rPr>
          <w:rFonts w:cs="Helvetica"/>
          <w:color w:val="000000" w:themeColor="text1"/>
        </w:rPr>
        <w:t>del agente económico</w:t>
      </w:r>
      <w:r w:rsidRPr="00A07D9A">
        <w:rPr>
          <w:rFonts w:cs="Helvetica"/>
          <w:color w:val="000000" w:themeColor="text1"/>
        </w:rPr>
        <w:t xml:space="preserve"> objeto de la adquisición.</w:t>
      </w:r>
    </w:p>
    <w:p w14:paraId="28BD7BEF" w14:textId="77777777" w:rsidR="00BA3CD8" w:rsidRPr="00A07D9A" w:rsidRDefault="00BA3CD8" w:rsidP="00BA3CD8">
      <w:pPr>
        <w:rPr>
          <w:color w:val="000000" w:themeColor="text1"/>
        </w:rPr>
      </w:pPr>
      <w:r w:rsidRPr="00A07D9A">
        <w:rPr>
          <w:color w:val="000000" w:themeColor="text1"/>
        </w:rPr>
        <w:t xml:space="preserve">Para que se actualice esta fracción, los fondos de inversión no deben tener inversiones en sociedades o activos que participen o sean empleados en el mismo mercado relevante en el que participa el </w:t>
      </w:r>
      <w:r w:rsidR="006A2745" w:rsidRPr="00A07D9A">
        <w:rPr>
          <w:color w:val="000000" w:themeColor="text1"/>
        </w:rPr>
        <w:t>agente económico</w:t>
      </w:r>
      <w:r w:rsidRPr="00A07D9A">
        <w:rPr>
          <w:color w:val="000000" w:themeColor="text1"/>
        </w:rPr>
        <w:t xml:space="preserve"> concentrado.</w:t>
      </w:r>
    </w:p>
    <w:p w14:paraId="08485579" w14:textId="77777777" w:rsidR="00BA3CD8" w:rsidRPr="00A07D9A" w:rsidRDefault="00BA3CD8" w:rsidP="00FE6791">
      <w:pPr>
        <w:pStyle w:val="Prrafodelista"/>
        <w:numPr>
          <w:ilvl w:val="0"/>
          <w:numId w:val="41"/>
        </w:numPr>
        <w:spacing w:after="160" w:line="259" w:lineRule="auto"/>
        <w:contextualSpacing/>
        <w:rPr>
          <w:b/>
          <w:color w:val="000000" w:themeColor="text1"/>
        </w:rPr>
      </w:pPr>
      <w:r w:rsidRPr="00A07D9A">
        <w:rPr>
          <w:b/>
          <w:color w:val="000000" w:themeColor="text1"/>
        </w:rPr>
        <w:t xml:space="preserve">En los demás casos que establezcan las </w:t>
      </w:r>
      <w:r w:rsidR="00B94D75" w:rsidRPr="00A07D9A">
        <w:rPr>
          <w:b/>
          <w:color w:val="000000" w:themeColor="text1"/>
        </w:rPr>
        <w:t>Disposiciones Regulatorias</w:t>
      </w:r>
      <w:r w:rsidRPr="00A07D9A">
        <w:rPr>
          <w:b/>
          <w:color w:val="000000" w:themeColor="text1"/>
        </w:rPr>
        <w:t>.</w:t>
      </w:r>
    </w:p>
    <w:p w14:paraId="59444B79" w14:textId="5D920E81" w:rsidR="00C4702C" w:rsidRPr="00A07D9A" w:rsidRDefault="00BA3CD8" w:rsidP="00BA3CD8">
      <w:pPr>
        <w:rPr>
          <w:color w:val="000000" w:themeColor="text1"/>
        </w:rPr>
      </w:pPr>
      <w:r w:rsidRPr="00A07D9A">
        <w:rPr>
          <w:color w:val="000000" w:themeColor="text1"/>
        </w:rPr>
        <w:t xml:space="preserve">A la fecha de la emisión del presente documento, las </w:t>
      </w:r>
      <w:r w:rsidR="00B94D75" w:rsidRPr="00A07D9A">
        <w:rPr>
          <w:color w:val="000000" w:themeColor="text1"/>
        </w:rPr>
        <w:t>Disposiciones Regulatorias</w:t>
      </w:r>
      <w:r w:rsidRPr="00A07D9A">
        <w:rPr>
          <w:color w:val="000000" w:themeColor="text1"/>
        </w:rPr>
        <w:t xml:space="preserve"> no contienen otros supuestos de excepción de autorización de concentraciones adicionales a los ya analizados en este apartado. </w:t>
      </w:r>
    </w:p>
    <w:p w14:paraId="2C104091" w14:textId="77777777" w:rsidR="00C4702C" w:rsidRPr="00A07D9A" w:rsidRDefault="00124CED" w:rsidP="00C4702C">
      <w:pPr>
        <w:pStyle w:val="Ttulo1"/>
        <w:numPr>
          <w:ilvl w:val="0"/>
          <w:numId w:val="73"/>
        </w:numPr>
        <w:ind w:left="357" w:hanging="357"/>
        <w:rPr>
          <w:color w:val="000000" w:themeColor="text1"/>
        </w:rPr>
      </w:pPr>
      <w:bookmarkStart w:id="92" w:name="_Toc486519842"/>
      <w:r w:rsidRPr="00A07D9A">
        <w:rPr>
          <w:color w:val="000000" w:themeColor="text1"/>
        </w:rPr>
        <w:t>Procedimiento Simplificado de Notificación</w:t>
      </w:r>
      <w:bookmarkEnd w:id="92"/>
    </w:p>
    <w:p w14:paraId="0689CBD4" w14:textId="77777777" w:rsidR="00C4702C" w:rsidRPr="00A07D9A" w:rsidRDefault="00C4702C" w:rsidP="00C4702C">
      <w:pPr>
        <w:pStyle w:val="Ttulo2"/>
        <w:rPr>
          <w:color w:val="000000" w:themeColor="text1"/>
        </w:rPr>
      </w:pPr>
      <w:bookmarkStart w:id="93" w:name="_Toc486519843"/>
      <w:r w:rsidRPr="00A07D9A">
        <w:rPr>
          <w:color w:val="000000" w:themeColor="text1"/>
        </w:rPr>
        <w:t>7.1 Particularidades</w:t>
      </w:r>
      <w:bookmarkEnd w:id="93"/>
    </w:p>
    <w:p w14:paraId="6F5D2CA0" w14:textId="77777777" w:rsidR="00C4702C" w:rsidRPr="00A07D9A" w:rsidRDefault="00C4702C" w:rsidP="00C4702C">
      <w:pPr>
        <w:rPr>
          <w:color w:val="000000" w:themeColor="text1"/>
        </w:rPr>
      </w:pPr>
      <w:r w:rsidRPr="00A07D9A">
        <w:rPr>
          <w:color w:val="000000" w:themeColor="text1"/>
        </w:rPr>
        <w:t>Este procedimiento se tramit</w:t>
      </w:r>
      <w:r w:rsidR="004578A8" w:rsidRPr="00A07D9A">
        <w:rPr>
          <w:color w:val="000000" w:themeColor="text1"/>
        </w:rPr>
        <w:t>a en términos de lo establecido</w:t>
      </w:r>
      <w:r w:rsidRPr="00A07D9A">
        <w:rPr>
          <w:color w:val="000000" w:themeColor="text1"/>
        </w:rPr>
        <w:t xml:space="preserve"> en el artículo 92 de la LFCE. Se trata de un procedimiento simplificado y breve para el estudio y evaluación de concentraciones notificadas en las cuales los involucrados deben acreditar la “notoriedad” de que la operación no tendrá como objeto o efecto disminuir, dañar o impedir la libre concurrencia y la competencia económica.  </w:t>
      </w:r>
    </w:p>
    <w:p w14:paraId="6485E132" w14:textId="77777777" w:rsidR="00C4702C" w:rsidRPr="00A07D9A" w:rsidRDefault="00C4702C" w:rsidP="00C4702C">
      <w:pPr>
        <w:rPr>
          <w:color w:val="000000" w:themeColor="text1"/>
        </w:rPr>
      </w:pPr>
      <w:r w:rsidRPr="00A07D9A">
        <w:rPr>
          <w:color w:val="000000" w:themeColor="text1"/>
        </w:rPr>
        <w:t>Las diferencias esenciales entre el procedimiento normal de notificación (artículo 90 de la LFCE) y el procedimiento simplificado (artículo 9</w:t>
      </w:r>
      <w:r w:rsidR="004578A8" w:rsidRPr="00A07D9A">
        <w:rPr>
          <w:color w:val="000000" w:themeColor="text1"/>
        </w:rPr>
        <w:t>2 de la LFCE) consisten en que e</w:t>
      </w:r>
      <w:r w:rsidRPr="00A07D9A">
        <w:rPr>
          <w:color w:val="000000" w:themeColor="text1"/>
        </w:rPr>
        <w:t>ste último:</w:t>
      </w:r>
    </w:p>
    <w:p w14:paraId="7F1D2ABB" w14:textId="77777777" w:rsidR="00C4702C" w:rsidRPr="00A07D9A" w:rsidRDefault="00C4702C" w:rsidP="00C4702C">
      <w:pPr>
        <w:pStyle w:val="Prrafodelista"/>
        <w:numPr>
          <w:ilvl w:val="0"/>
          <w:numId w:val="91"/>
        </w:numPr>
        <w:spacing w:before="0" w:after="160" w:line="259" w:lineRule="auto"/>
        <w:ind w:left="714" w:hanging="357"/>
        <w:rPr>
          <w:color w:val="000000" w:themeColor="text1"/>
        </w:rPr>
      </w:pPr>
      <w:r w:rsidRPr="00A07D9A">
        <w:rPr>
          <w:color w:val="000000" w:themeColor="text1"/>
        </w:rPr>
        <w:t>Se resolverá en un plazo de quince días por parte del Pleno del IFT.</w:t>
      </w:r>
    </w:p>
    <w:p w14:paraId="1CFD3388" w14:textId="77777777" w:rsidR="00C4702C" w:rsidRPr="00A07D9A" w:rsidRDefault="00C4702C" w:rsidP="00C4702C">
      <w:pPr>
        <w:pStyle w:val="Prrafodelista"/>
        <w:numPr>
          <w:ilvl w:val="0"/>
          <w:numId w:val="91"/>
        </w:numPr>
        <w:spacing w:before="0" w:after="160" w:line="259" w:lineRule="auto"/>
        <w:ind w:left="714" w:hanging="357"/>
        <w:rPr>
          <w:color w:val="000000" w:themeColor="text1"/>
        </w:rPr>
      </w:pPr>
      <w:r w:rsidRPr="00A07D9A">
        <w:rPr>
          <w:color w:val="000000" w:themeColor="text1"/>
        </w:rPr>
        <w:t>No acepta la emisión de un Acuerdo de Prevención ni ningún tipo de requerimientos de información y/o documentación adicional.</w:t>
      </w:r>
    </w:p>
    <w:p w14:paraId="38AEBBF4" w14:textId="77777777" w:rsidR="00C4702C" w:rsidRPr="00A07D9A" w:rsidRDefault="00C4702C" w:rsidP="00C4702C">
      <w:pPr>
        <w:pStyle w:val="Prrafodelista"/>
        <w:numPr>
          <w:ilvl w:val="0"/>
          <w:numId w:val="91"/>
        </w:numPr>
        <w:spacing w:before="0" w:after="160" w:line="259" w:lineRule="auto"/>
        <w:ind w:left="714" w:hanging="357"/>
        <w:rPr>
          <w:color w:val="000000" w:themeColor="text1"/>
        </w:rPr>
      </w:pPr>
      <w:r w:rsidRPr="00A07D9A">
        <w:rPr>
          <w:color w:val="000000" w:themeColor="text1"/>
        </w:rPr>
        <w:t>Procede a solicitud expresa de los agentes económicos notificantes.</w:t>
      </w:r>
    </w:p>
    <w:p w14:paraId="226D476D" w14:textId="77777777" w:rsidR="00C4702C" w:rsidRPr="00A07D9A" w:rsidRDefault="00C4702C" w:rsidP="00C4702C">
      <w:pPr>
        <w:pStyle w:val="Prrafodelista"/>
        <w:numPr>
          <w:ilvl w:val="0"/>
          <w:numId w:val="91"/>
        </w:numPr>
        <w:spacing w:before="0" w:after="160" w:line="259" w:lineRule="auto"/>
        <w:ind w:left="714" w:hanging="357"/>
        <w:rPr>
          <w:color w:val="000000" w:themeColor="text1"/>
        </w:rPr>
      </w:pPr>
      <w:r w:rsidRPr="00A07D9A">
        <w:rPr>
          <w:color w:val="000000" w:themeColor="text1"/>
        </w:rPr>
        <w:t xml:space="preserve">Requiere que los agentes económicos notificantes presenten la información y elementos de convicción conducentes para demostrar la “notoriedad” de que la concentración no tendrá como objeto o efecto disminuir, dañar o impedir la libre concurrencia y la competencia económica. Para ello </w:t>
      </w:r>
      <w:r w:rsidRPr="00A07D9A">
        <w:rPr>
          <w:color w:val="000000" w:themeColor="text1"/>
        </w:rPr>
        <w:lastRenderedPageBreak/>
        <w:t xml:space="preserve">deberán de actualizarse los elementos de “notoriedad” que al efecto prevé el mismo artículo 92 de la LFCE y que se señalan en el siguiente apartado. </w:t>
      </w:r>
    </w:p>
    <w:p w14:paraId="5559D486" w14:textId="77777777" w:rsidR="00C4702C" w:rsidRPr="00A07D9A" w:rsidRDefault="00C4702C" w:rsidP="00C4702C">
      <w:pPr>
        <w:pStyle w:val="Ttulo2"/>
        <w:spacing w:before="0" w:after="160"/>
        <w:rPr>
          <w:rFonts w:eastAsiaTheme="minorHAnsi" w:cstheme="minorBidi"/>
          <w:bCs/>
          <w:color w:val="000000" w:themeColor="text1"/>
          <w:szCs w:val="22"/>
        </w:rPr>
      </w:pPr>
      <w:bookmarkStart w:id="94" w:name="_Toc458793070"/>
      <w:bookmarkStart w:id="95" w:name="_Toc486519844"/>
      <w:r w:rsidRPr="00A07D9A">
        <w:rPr>
          <w:rFonts w:eastAsiaTheme="minorHAnsi" w:cstheme="minorBidi"/>
          <w:color w:val="000000" w:themeColor="text1"/>
          <w:szCs w:val="22"/>
        </w:rPr>
        <w:t>7.2 Elementos de notoriedad</w:t>
      </w:r>
      <w:bookmarkEnd w:id="94"/>
      <w:bookmarkEnd w:id="95"/>
    </w:p>
    <w:p w14:paraId="723AEDCC" w14:textId="77777777" w:rsidR="00C4702C" w:rsidRPr="00A07D9A" w:rsidRDefault="00C4702C" w:rsidP="00C4702C">
      <w:pPr>
        <w:rPr>
          <w:color w:val="000000" w:themeColor="text1"/>
        </w:rPr>
      </w:pPr>
      <w:r w:rsidRPr="00A07D9A">
        <w:rPr>
          <w:color w:val="000000" w:themeColor="text1"/>
        </w:rPr>
        <w:t>En términos d</w:t>
      </w:r>
      <w:r w:rsidR="000C106D" w:rsidRPr="00A07D9A">
        <w:rPr>
          <w:color w:val="000000" w:themeColor="text1"/>
        </w:rPr>
        <w:t>el artículo 92, párrafo segundo</w:t>
      </w:r>
      <w:r w:rsidRPr="00A07D9A">
        <w:rPr>
          <w:color w:val="000000" w:themeColor="text1"/>
        </w:rPr>
        <w:t xml:space="preserve"> de la LFCE, son tres elementos los que determinan que es notorio que una concentración no tendrá por objeto o efecto disminuir, dañar o impedir la competencia económica y libre concurrencia:</w:t>
      </w:r>
    </w:p>
    <w:p w14:paraId="59C19222" w14:textId="77777777" w:rsidR="00C4702C" w:rsidRPr="00A07D9A" w:rsidRDefault="00C4702C" w:rsidP="00C4702C">
      <w:pPr>
        <w:pStyle w:val="Prrafodelista"/>
        <w:numPr>
          <w:ilvl w:val="0"/>
          <w:numId w:val="92"/>
        </w:numPr>
        <w:spacing w:before="0" w:after="160" w:line="259" w:lineRule="auto"/>
        <w:ind w:left="567" w:hanging="357"/>
        <w:rPr>
          <w:color w:val="000000" w:themeColor="text1"/>
        </w:rPr>
      </w:pPr>
      <w:r w:rsidRPr="00A07D9A">
        <w:rPr>
          <w:color w:val="000000" w:themeColor="text1"/>
        </w:rPr>
        <w:t>Que el adquirente no participe en mercados relacionados con el mercado relevante en el que ocurra la concentración.</w:t>
      </w:r>
    </w:p>
    <w:p w14:paraId="72101943" w14:textId="60021EAA" w:rsidR="00C4702C" w:rsidRPr="00A07D9A" w:rsidRDefault="00C4702C" w:rsidP="00C4702C">
      <w:pPr>
        <w:pStyle w:val="Prrafodelista"/>
        <w:numPr>
          <w:ilvl w:val="0"/>
          <w:numId w:val="92"/>
        </w:numPr>
        <w:spacing w:before="0" w:after="160" w:line="259" w:lineRule="auto"/>
        <w:ind w:left="567" w:hanging="357"/>
        <w:rPr>
          <w:color w:val="000000" w:themeColor="text1"/>
        </w:rPr>
      </w:pPr>
      <w:r w:rsidRPr="00A07D9A">
        <w:rPr>
          <w:color w:val="000000" w:themeColor="text1"/>
        </w:rPr>
        <w:t xml:space="preserve">Que el adquirente no sea competidor actual o potencial del </w:t>
      </w:r>
      <w:r w:rsidR="008843CF" w:rsidRPr="00A07D9A">
        <w:rPr>
          <w:color w:val="000000" w:themeColor="text1"/>
        </w:rPr>
        <w:t>agente económico</w:t>
      </w:r>
      <w:r w:rsidRPr="00A07D9A">
        <w:rPr>
          <w:color w:val="000000" w:themeColor="text1"/>
        </w:rPr>
        <w:t xml:space="preserve"> adquirido (objeto de la concentración).</w:t>
      </w:r>
    </w:p>
    <w:p w14:paraId="6EA6034B" w14:textId="77777777" w:rsidR="00C4702C" w:rsidRPr="00A07D9A" w:rsidRDefault="00C4702C" w:rsidP="00C4702C">
      <w:pPr>
        <w:pStyle w:val="Prrafodelista"/>
        <w:numPr>
          <w:ilvl w:val="0"/>
          <w:numId w:val="92"/>
        </w:numPr>
        <w:spacing w:before="0" w:after="160" w:line="259" w:lineRule="auto"/>
        <w:ind w:left="567" w:hanging="357"/>
        <w:rPr>
          <w:color w:val="000000" w:themeColor="text1"/>
        </w:rPr>
      </w:pPr>
      <w:r w:rsidRPr="00A07D9A">
        <w:rPr>
          <w:color w:val="000000" w:themeColor="text1"/>
        </w:rPr>
        <w:t>Que se actualice al menos uno de los supuestos previstos en las fracciones I a IV del mismo artículo 92 de la LFCE.</w:t>
      </w:r>
    </w:p>
    <w:p w14:paraId="71D93A12" w14:textId="77777777" w:rsidR="00C4702C" w:rsidRPr="00A07D9A" w:rsidRDefault="00C4702C" w:rsidP="00C4702C">
      <w:pPr>
        <w:rPr>
          <w:color w:val="000000" w:themeColor="text1"/>
        </w:rPr>
      </w:pPr>
      <w:r w:rsidRPr="00A07D9A">
        <w:rPr>
          <w:color w:val="000000" w:themeColor="text1"/>
        </w:rPr>
        <w:t>Es decir, para actualizar los supuestos de notoriedad, el agente económico adquirente, evaluado bajo su dimensión de GIE, no deberá participar, actual o potencialmente, en el mercado relevante en el que ocurra la concentración ni tampoco en mercados relacionados. Además, se tendrá que actualizar cualquiera de las siguientes hipótesis (fracciones I a IV del artículo 92 de la LFCE):</w:t>
      </w:r>
    </w:p>
    <w:p w14:paraId="3595BF0C" w14:textId="77777777" w:rsidR="00C4702C" w:rsidRPr="00A07D9A" w:rsidRDefault="00C4702C" w:rsidP="00C4702C">
      <w:pPr>
        <w:pStyle w:val="Prrafodelista"/>
        <w:numPr>
          <w:ilvl w:val="0"/>
          <w:numId w:val="93"/>
        </w:numPr>
        <w:spacing w:before="0" w:after="160" w:line="259" w:lineRule="auto"/>
        <w:ind w:left="567" w:hanging="283"/>
        <w:rPr>
          <w:color w:val="000000" w:themeColor="text1"/>
        </w:rPr>
      </w:pPr>
      <w:r w:rsidRPr="00A07D9A">
        <w:rPr>
          <w:color w:val="000000" w:themeColor="text1"/>
        </w:rPr>
        <w:t>La transacción implique la participación del adquirente por primera vez en el mercado relevante. Para estos efectos, la estructura del mercado relevante no deberá modificarse y sólo deberá involucrar la sustitución total o parcial del agente económico adquirido por el adquirente.</w:t>
      </w:r>
    </w:p>
    <w:p w14:paraId="4CCF0899" w14:textId="77777777" w:rsidR="00C4702C" w:rsidRPr="00A07D9A" w:rsidRDefault="00C4702C" w:rsidP="00C4702C">
      <w:pPr>
        <w:pStyle w:val="Prrafodelista"/>
        <w:numPr>
          <w:ilvl w:val="0"/>
          <w:numId w:val="93"/>
        </w:numPr>
        <w:spacing w:before="0" w:after="160" w:line="259" w:lineRule="auto"/>
        <w:ind w:left="567" w:hanging="283"/>
        <w:rPr>
          <w:color w:val="000000" w:themeColor="text1"/>
        </w:rPr>
      </w:pPr>
      <w:r w:rsidRPr="00A07D9A">
        <w:rPr>
          <w:color w:val="000000" w:themeColor="text1"/>
        </w:rPr>
        <w:t>Antes de la operación, el adquirente no tenga el control del agente económico adquirido y, con la transacción, aquél incremente su participación relativa en éste, sin que ello le otorgue mayor poder para influir en la operación, administración, estrategia y principales políticas de la sociedad, incluyendo la designación de miembros del consejo de administración, directivos o gerentes del propio adquirido.</w:t>
      </w:r>
    </w:p>
    <w:p w14:paraId="3D89BC3C" w14:textId="77777777" w:rsidR="00C4702C" w:rsidRPr="00A07D9A" w:rsidRDefault="00C4702C" w:rsidP="00C4702C">
      <w:pPr>
        <w:pStyle w:val="Prrafodelista"/>
        <w:numPr>
          <w:ilvl w:val="0"/>
          <w:numId w:val="93"/>
        </w:numPr>
        <w:spacing w:before="0" w:after="160" w:line="259" w:lineRule="auto"/>
        <w:ind w:left="567" w:hanging="283"/>
        <w:rPr>
          <w:color w:val="000000" w:themeColor="text1"/>
        </w:rPr>
      </w:pPr>
      <w:r w:rsidRPr="00A07D9A">
        <w:rPr>
          <w:color w:val="000000" w:themeColor="text1"/>
        </w:rPr>
        <w:t>El adquirente de acciones, partes sociales o unidades de participación tenga el control de una sociedad e incremente su participación relativa en el capital social de dicha sociedad.</w:t>
      </w:r>
    </w:p>
    <w:p w14:paraId="68071DCA" w14:textId="77777777" w:rsidR="00C4702C" w:rsidRPr="00A07D9A" w:rsidRDefault="00C4702C" w:rsidP="00C4702C">
      <w:pPr>
        <w:pStyle w:val="Prrafodelista"/>
        <w:numPr>
          <w:ilvl w:val="0"/>
          <w:numId w:val="93"/>
        </w:numPr>
        <w:spacing w:before="0" w:after="160" w:line="259" w:lineRule="auto"/>
        <w:ind w:left="567" w:hanging="283"/>
        <w:rPr>
          <w:color w:val="000000" w:themeColor="text1"/>
        </w:rPr>
      </w:pPr>
      <w:r w:rsidRPr="00A07D9A">
        <w:rPr>
          <w:color w:val="000000" w:themeColor="text1"/>
        </w:rPr>
        <w:t xml:space="preserve">En los casos que establezcan las Disposiciones Regulatorias.  </w:t>
      </w:r>
    </w:p>
    <w:p w14:paraId="740EBFF9" w14:textId="7F47F0B0" w:rsidR="00C4702C" w:rsidRPr="00A07D9A" w:rsidRDefault="00C4702C" w:rsidP="00C4702C">
      <w:pPr>
        <w:rPr>
          <w:color w:val="000000" w:themeColor="text1"/>
        </w:rPr>
      </w:pPr>
      <w:r w:rsidRPr="00A07D9A">
        <w:rPr>
          <w:color w:val="000000" w:themeColor="text1"/>
        </w:rPr>
        <w:t>En la práctica decisoria se ha observado que los agentes económicos notificantes presentan concentraciones bajo el artículo 92 a pesar de que el adquirente participa en el mismo servicio del adquirido, aunque</w:t>
      </w:r>
      <w:r w:rsidR="008843CF" w:rsidRPr="00A07D9A">
        <w:rPr>
          <w:color w:val="000000" w:themeColor="text1"/>
        </w:rPr>
        <w:t>, por ejemplo,</w:t>
      </w:r>
      <w:r w:rsidRPr="00A07D9A">
        <w:rPr>
          <w:color w:val="000000" w:themeColor="text1"/>
        </w:rPr>
        <w:t xml:space="preserve"> en zonas geográficas distintas, po</w:t>
      </w:r>
      <w:r w:rsidR="008843CF" w:rsidRPr="00A07D9A">
        <w:rPr>
          <w:color w:val="000000" w:themeColor="text1"/>
        </w:rPr>
        <w:t>r lo</w:t>
      </w:r>
      <w:r w:rsidRPr="00A07D9A">
        <w:rPr>
          <w:color w:val="000000" w:themeColor="text1"/>
        </w:rPr>
        <w:t xml:space="preserve"> que pudieran estar relacionados. </w:t>
      </w:r>
    </w:p>
    <w:p w14:paraId="74E79B61" w14:textId="77777777" w:rsidR="00C4702C" w:rsidRPr="00A07D9A" w:rsidRDefault="00C4702C" w:rsidP="00C4702C">
      <w:pPr>
        <w:rPr>
          <w:color w:val="000000" w:themeColor="text1"/>
        </w:rPr>
      </w:pPr>
      <w:r w:rsidRPr="00A07D9A">
        <w:rPr>
          <w:color w:val="000000" w:themeColor="text1"/>
        </w:rPr>
        <w:t xml:space="preserve">A priori no es posible identificar si los bienes, servicios o áreas geográficas en las que participa el adquirente, aunque distintas a las que forman parte del mercado </w:t>
      </w:r>
      <w:r w:rsidRPr="00A07D9A">
        <w:rPr>
          <w:color w:val="000000" w:themeColor="text1"/>
        </w:rPr>
        <w:lastRenderedPageBreak/>
        <w:t xml:space="preserve">relevante, definido en términos de producto/servicio y dimensión geográfica, se tratan de mercados relacionados en términos de lo que señala el artículo 6 de las Disposiciones Regulatorias. </w:t>
      </w:r>
    </w:p>
    <w:p w14:paraId="7440D60A" w14:textId="05E97AF0" w:rsidR="00C4702C" w:rsidRPr="00A07D9A" w:rsidRDefault="00C4702C" w:rsidP="00C4702C">
      <w:pPr>
        <w:rPr>
          <w:color w:val="000000" w:themeColor="text1"/>
        </w:rPr>
      </w:pPr>
      <w:r w:rsidRPr="00A07D9A">
        <w:rPr>
          <w:color w:val="000000" w:themeColor="text1"/>
        </w:rPr>
        <w:t xml:space="preserve">Así, frente a casos de duda, nada </w:t>
      </w:r>
      <w:r w:rsidR="008843CF" w:rsidRPr="00A07D9A">
        <w:rPr>
          <w:color w:val="000000" w:themeColor="text1"/>
        </w:rPr>
        <w:t>impid</w:t>
      </w:r>
      <w:r w:rsidRPr="00A07D9A">
        <w:rPr>
          <w:color w:val="000000" w:themeColor="text1"/>
        </w:rPr>
        <w:t xml:space="preserve">e que los involucrados pudieran acudir previamente al IFT para identificar la viabilidad de una tramitación en términos del artículo 92, ya sea a través de un acercamiento en uso de las reglas institucionales de contacto o, bien, a través de los procedimientos de orientación general u opinión formal, previstos también en la LFCE. </w:t>
      </w:r>
    </w:p>
    <w:p w14:paraId="76603CEF" w14:textId="77777777" w:rsidR="00C4702C" w:rsidRPr="00A07D9A" w:rsidRDefault="00C4702C" w:rsidP="00C4702C">
      <w:pPr>
        <w:rPr>
          <w:color w:val="000000" w:themeColor="text1"/>
        </w:rPr>
      </w:pPr>
      <w:r w:rsidRPr="00A07D9A">
        <w:rPr>
          <w:color w:val="000000" w:themeColor="text1"/>
        </w:rPr>
        <w:t>Sin embargo, algunas situaciones en los cuales el IFT puede descartar la participación en mercados relacionados son las siguientes:</w:t>
      </w:r>
    </w:p>
    <w:p w14:paraId="650E8E0A" w14:textId="691E0B59" w:rsidR="00C4702C" w:rsidRPr="00A07D9A" w:rsidRDefault="00C4702C" w:rsidP="00C4702C">
      <w:pPr>
        <w:pStyle w:val="Prrafodelista"/>
        <w:numPr>
          <w:ilvl w:val="0"/>
          <w:numId w:val="95"/>
        </w:numPr>
        <w:spacing w:after="160" w:line="259" w:lineRule="auto"/>
        <w:ind w:left="567" w:hanging="425"/>
        <w:rPr>
          <w:color w:val="000000" w:themeColor="text1"/>
        </w:rPr>
      </w:pPr>
      <w:r w:rsidRPr="00A07D9A">
        <w:rPr>
          <w:color w:val="000000" w:themeColor="text1"/>
        </w:rPr>
        <w:t>En caso de que el adquirente no preste servicios de telecomunicaciones</w:t>
      </w:r>
      <w:r w:rsidR="00CB3CE8" w:rsidRPr="00A07D9A">
        <w:rPr>
          <w:color w:val="000000" w:themeColor="text1"/>
        </w:rPr>
        <w:t xml:space="preserve"> </w:t>
      </w:r>
      <w:r w:rsidRPr="00A07D9A">
        <w:rPr>
          <w:color w:val="000000" w:themeColor="text1"/>
        </w:rPr>
        <w:t>y/o radiodifusión en ningún país.</w:t>
      </w:r>
    </w:p>
    <w:p w14:paraId="7A6C0127" w14:textId="77777777" w:rsidR="00C4702C" w:rsidRPr="00A07D9A" w:rsidRDefault="00C4702C" w:rsidP="00C4702C">
      <w:pPr>
        <w:pStyle w:val="Prrafodelista"/>
        <w:numPr>
          <w:ilvl w:val="0"/>
          <w:numId w:val="95"/>
        </w:numPr>
        <w:spacing w:after="160" w:line="259" w:lineRule="auto"/>
        <w:ind w:left="567" w:hanging="425"/>
        <w:rPr>
          <w:color w:val="000000" w:themeColor="text1"/>
        </w:rPr>
      </w:pPr>
      <w:r w:rsidRPr="00A07D9A">
        <w:rPr>
          <w:color w:val="000000" w:themeColor="text1"/>
        </w:rPr>
        <w:t>En caso de que el adquirido preste servicios de telecomunicaciones terrestres y/o radiodifusión en territorio nacional a través de concesiones asignadas en México, y el adquirente no preste esos servicios en México.</w:t>
      </w:r>
    </w:p>
    <w:p w14:paraId="1C75281C" w14:textId="40A63E15" w:rsidR="00C4702C" w:rsidRPr="00A07D9A" w:rsidRDefault="00C4702C" w:rsidP="00C4702C">
      <w:pPr>
        <w:pStyle w:val="Prrafodelista"/>
        <w:numPr>
          <w:ilvl w:val="0"/>
          <w:numId w:val="95"/>
        </w:numPr>
        <w:spacing w:after="160" w:line="259" w:lineRule="auto"/>
        <w:ind w:left="567" w:hanging="425"/>
        <w:rPr>
          <w:color w:val="000000" w:themeColor="text1"/>
        </w:rPr>
      </w:pPr>
      <w:r w:rsidRPr="00A07D9A">
        <w:rPr>
          <w:color w:val="000000" w:themeColor="text1"/>
        </w:rPr>
        <w:t xml:space="preserve">Que el adquirente participe en mercados del sector de radiodifusión, y el mercado relevante en el que ocurra la concentración se ubica en el sector de telecomunicaciones, con excepción del caso de servicios de televisión y audio restringido, o </w:t>
      </w:r>
      <w:r w:rsidR="008843CF" w:rsidRPr="00A07D9A">
        <w:rPr>
          <w:color w:val="000000" w:themeColor="text1"/>
        </w:rPr>
        <w:t>viceversa</w:t>
      </w:r>
      <w:r w:rsidRPr="00A07D9A">
        <w:rPr>
          <w:color w:val="000000" w:themeColor="text1"/>
        </w:rPr>
        <w:t>.</w:t>
      </w:r>
    </w:p>
    <w:p w14:paraId="55908639" w14:textId="77777777" w:rsidR="00C4702C" w:rsidRPr="00A07D9A" w:rsidRDefault="00C4702C" w:rsidP="00C4702C">
      <w:pPr>
        <w:pStyle w:val="Ttulo2"/>
        <w:spacing w:before="360" w:after="160"/>
        <w:rPr>
          <w:rFonts w:eastAsiaTheme="minorHAnsi"/>
          <w:color w:val="000000" w:themeColor="text1"/>
          <w:szCs w:val="22"/>
        </w:rPr>
      </w:pPr>
      <w:bookmarkStart w:id="96" w:name="_Toc458793071"/>
      <w:bookmarkStart w:id="97" w:name="_Toc486519845"/>
      <w:r w:rsidRPr="00A07D9A">
        <w:rPr>
          <w:rFonts w:eastAsiaTheme="minorHAnsi"/>
          <w:color w:val="000000" w:themeColor="text1"/>
          <w:szCs w:val="22"/>
        </w:rPr>
        <w:t>7.3 Análisis de las fracciones I a IV del artículo 92 de la LFCE</w:t>
      </w:r>
      <w:bookmarkEnd w:id="96"/>
      <w:bookmarkEnd w:id="97"/>
    </w:p>
    <w:p w14:paraId="247A208F" w14:textId="77777777" w:rsidR="00C4702C" w:rsidRPr="00A07D9A" w:rsidRDefault="00C4702C" w:rsidP="00C4702C">
      <w:pPr>
        <w:rPr>
          <w:b/>
          <w:color w:val="000000" w:themeColor="text1"/>
          <w:u w:val="single"/>
        </w:rPr>
      </w:pPr>
      <w:r w:rsidRPr="00A07D9A">
        <w:rPr>
          <w:b/>
          <w:color w:val="000000" w:themeColor="text1"/>
          <w:u w:val="single"/>
        </w:rPr>
        <w:t>Fracción I del artículo 92 de la LFCE</w:t>
      </w:r>
    </w:p>
    <w:p w14:paraId="7C3FDE58" w14:textId="77777777" w:rsidR="00C4702C" w:rsidRPr="00A07D9A" w:rsidRDefault="00C4702C" w:rsidP="00C4702C">
      <w:pPr>
        <w:rPr>
          <w:color w:val="000000" w:themeColor="text1"/>
        </w:rPr>
      </w:pPr>
      <w:r w:rsidRPr="00A07D9A">
        <w:rPr>
          <w:color w:val="000000" w:themeColor="text1"/>
        </w:rPr>
        <w:t>Esta fracción se refiere a una situación en la que el adquirente, previo a la concentración, no participa de forma directa o indirecta en los bienes/servicios y zonas geográficas relevantes en las que participe el adquirido. Además, la estructura del mercado relevante no deberá modificarse y sólo deberá involucrar la sustitución total o parcial del adquirido.</w:t>
      </w:r>
    </w:p>
    <w:p w14:paraId="3941D25A" w14:textId="77777777" w:rsidR="00C4702C" w:rsidRPr="00A07D9A" w:rsidRDefault="00C4702C" w:rsidP="00C4702C">
      <w:pPr>
        <w:rPr>
          <w:color w:val="000000" w:themeColor="text1"/>
        </w:rPr>
      </w:pPr>
      <w:r w:rsidRPr="00A07D9A">
        <w:rPr>
          <w:color w:val="000000" w:themeColor="text1"/>
        </w:rPr>
        <w:t>La sustitución total o parcial del agente económico adquirido por el agente económico adquirente se presenta cuando el adquirente compra o adquiere todo o una parte del capital social del adquirido.</w:t>
      </w:r>
    </w:p>
    <w:p w14:paraId="2D2F8E41" w14:textId="77777777" w:rsidR="00C4702C" w:rsidRPr="00A07D9A" w:rsidRDefault="00C4702C" w:rsidP="00C4702C">
      <w:pPr>
        <w:rPr>
          <w:b/>
          <w:color w:val="000000" w:themeColor="text1"/>
          <w:u w:val="single"/>
        </w:rPr>
      </w:pPr>
      <w:r w:rsidRPr="00A07D9A">
        <w:rPr>
          <w:color w:val="000000" w:themeColor="text1"/>
        </w:rPr>
        <w:t>En el caso de una adquisición parcial, la concentración implicará que el adquirente quede asociado a accionistas del adquirido. Si el adquirente y los accionistas del adquirido son competidores, aún en mercados distintos al mercado relevante en el que ocurre la concentración, no se actualiza la fracción I del artículo 92 de la LFCE. Lo anterior, debido a que los negocios de los accionistas del adquirido no se pueden disociar de los negocios del adquirente, por lo que no se puede descartar que el adquirente no sea competidor actual o potencial del adquirido.</w:t>
      </w:r>
    </w:p>
    <w:p w14:paraId="14711900" w14:textId="77777777" w:rsidR="00C4702C" w:rsidRPr="00A07D9A" w:rsidRDefault="00C4702C" w:rsidP="00C4702C">
      <w:pPr>
        <w:rPr>
          <w:b/>
          <w:color w:val="000000" w:themeColor="text1"/>
          <w:u w:val="single"/>
        </w:rPr>
      </w:pPr>
      <w:r w:rsidRPr="00A07D9A">
        <w:rPr>
          <w:b/>
          <w:color w:val="000000" w:themeColor="text1"/>
          <w:u w:val="single"/>
        </w:rPr>
        <w:lastRenderedPageBreak/>
        <w:t>Fracción II del Artículo 92 de la LFCE</w:t>
      </w:r>
    </w:p>
    <w:p w14:paraId="51D8D01E" w14:textId="77777777" w:rsidR="00C4702C" w:rsidRPr="00A07D9A" w:rsidRDefault="00C4702C" w:rsidP="00C4702C">
      <w:pPr>
        <w:rPr>
          <w:color w:val="000000" w:themeColor="text1"/>
        </w:rPr>
      </w:pPr>
      <w:r w:rsidRPr="00A07D9A">
        <w:rPr>
          <w:color w:val="000000" w:themeColor="text1"/>
        </w:rPr>
        <w:t>Esta fracción se refiere a una concentración en la que:</w:t>
      </w:r>
    </w:p>
    <w:p w14:paraId="05B4F4CE" w14:textId="77777777" w:rsidR="00C4702C" w:rsidRPr="00A07D9A" w:rsidRDefault="00C4702C" w:rsidP="00C4702C">
      <w:pPr>
        <w:pStyle w:val="Prrafodelista"/>
        <w:numPr>
          <w:ilvl w:val="0"/>
          <w:numId w:val="96"/>
        </w:numPr>
        <w:spacing w:before="0" w:after="160" w:line="259" w:lineRule="auto"/>
        <w:ind w:left="567"/>
        <w:rPr>
          <w:color w:val="000000" w:themeColor="text1"/>
        </w:rPr>
      </w:pPr>
      <w:r w:rsidRPr="00A07D9A">
        <w:rPr>
          <w:color w:val="000000" w:themeColor="text1"/>
        </w:rPr>
        <w:t xml:space="preserve">Previo a la realización de una concentración, el agente económico adquirente no tiene control en el agente económico adquirido, aunque si pudiera tener influencia. </w:t>
      </w:r>
    </w:p>
    <w:p w14:paraId="0A203784" w14:textId="77777777" w:rsidR="00C4702C" w:rsidRPr="00A07D9A" w:rsidRDefault="00C4702C" w:rsidP="00C4702C">
      <w:pPr>
        <w:pStyle w:val="Prrafodelista"/>
        <w:numPr>
          <w:ilvl w:val="0"/>
          <w:numId w:val="96"/>
        </w:numPr>
        <w:spacing w:before="0" w:after="160" w:line="259" w:lineRule="auto"/>
        <w:ind w:left="567"/>
        <w:rPr>
          <w:color w:val="000000" w:themeColor="text1"/>
        </w:rPr>
      </w:pPr>
      <w:r w:rsidRPr="00A07D9A">
        <w:rPr>
          <w:color w:val="000000" w:themeColor="text1"/>
        </w:rPr>
        <w:t xml:space="preserve">Como resultado de la concentración, el agente económico adquirente realiza una adquisición parcial del agente económico adquirido sin que ello le conceda al primero control, o influencia adicional a la que ya tenía, en el segundo. </w:t>
      </w:r>
    </w:p>
    <w:p w14:paraId="10FE6AAB" w14:textId="77777777" w:rsidR="00C4702C" w:rsidRPr="00A07D9A" w:rsidRDefault="00C4702C" w:rsidP="00C4702C">
      <w:pPr>
        <w:rPr>
          <w:color w:val="000000" w:themeColor="text1"/>
        </w:rPr>
      </w:pPr>
      <w:r w:rsidRPr="00A07D9A">
        <w:rPr>
          <w:color w:val="000000" w:themeColor="text1"/>
        </w:rPr>
        <w:t xml:space="preserve">Los aumentos de participación en el adquirido no sólo serán analizados los elementos de control del adquiriente sobre el adquirido, sino también la capacidad de ejercer influencia. </w:t>
      </w:r>
    </w:p>
    <w:p w14:paraId="0B4EDFF1" w14:textId="77777777" w:rsidR="00C4702C" w:rsidRPr="00A07D9A" w:rsidRDefault="00C4702C" w:rsidP="00C4702C">
      <w:pPr>
        <w:rPr>
          <w:color w:val="000000" w:themeColor="text1"/>
        </w:rPr>
      </w:pPr>
      <w:r w:rsidRPr="00A07D9A">
        <w:rPr>
          <w:color w:val="000000" w:themeColor="text1"/>
        </w:rPr>
        <w:t xml:space="preserve">Un ejemplo consiste en que, previo a la concentración, el  adquirente tiene una participación accionaria o societaria (v.gr. 20% [veinte por ciento]) que, sin tener control del adquirido, le otorgue la capacidad o el derecho para </w:t>
      </w:r>
      <w:r w:rsidRPr="00A07D9A">
        <w:rPr>
          <w:rFonts w:cs="Arial"/>
          <w:color w:val="000000" w:themeColor="text1"/>
        </w:rPr>
        <w:t xml:space="preserve">designar, nombrar, vetar o destituir a </w:t>
      </w:r>
      <w:r w:rsidRPr="00A07D9A">
        <w:rPr>
          <w:color w:val="000000" w:themeColor="text1"/>
        </w:rPr>
        <w:t>dos</w:t>
      </w:r>
      <w:r w:rsidRPr="00A07D9A">
        <w:rPr>
          <w:rFonts w:cs="Arial"/>
          <w:color w:val="000000" w:themeColor="text1"/>
        </w:rPr>
        <w:t xml:space="preserve"> de los miembros del consejo de administración de otra persona, y, como consecuencia de la </w:t>
      </w:r>
      <w:r w:rsidRPr="00A07D9A">
        <w:rPr>
          <w:color w:val="000000" w:themeColor="text1"/>
        </w:rPr>
        <w:t xml:space="preserve">concentración, aumente su participación accionaria o societaria (v.gr. a 29% [veinte y nueve por ciento]), pero sólo se queda con la misma capacidad o el derecho para </w:t>
      </w:r>
      <w:r w:rsidRPr="00A07D9A">
        <w:rPr>
          <w:rFonts w:cs="Arial"/>
          <w:color w:val="000000" w:themeColor="text1"/>
        </w:rPr>
        <w:t xml:space="preserve">designar, nombrar, vetar o destituir a esos </w:t>
      </w:r>
      <w:r w:rsidRPr="00A07D9A">
        <w:rPr>
          <w:color w:val="000000" w:themeColor="text1"/>
        </w:rPr>
        <w:t>dos</w:t>
      </w:r>
      <w:r w:rsidRPr="00A07D9A">
        <w:rPr>
          <w:rFonts w:cs="Arial"/>
          <w:color w:val="000000" w:themeColor="text1"/>
        </w:rPr>
        <w:t xml:space="preserve"> miembros</w:t>
      </w:r>
      <w:r w:rsidRPr="00A07D9A">
        <w:rPr>
          <w:color w:val="000000" w:themeColor="text1"/>
        </w:rPr>
        <w:t>.</w:t>
      </w:r>
    </w:p>
    <w:p w14:paraId="6BF1CE68" w14:textId="77777777" w:rsidR="00C4702C" w:rsidRPr="00A07D9A" w:rsidRDefault="00C4702C" w:rsidP="00C4702C">
      <w:pPr>
        <w:rPr>
          <w:b/>
          <w:color w:val="000000" w:themeColor="text1"/>
          <w:u w:val="single"/>
        </w:rPr>
      </w:pPr>
      <w:r w:rsidRPr="00A07D9A">
        <w:rPr>
          <w:b/>
          <w:color w:val="000000" w:themeColor="text1"/>
          <w:u w:val="single"/>
        </w:rPr>
        <w:t xml:space="preserve">Fracción III del artículo 92 de la LFCE </w:t>
      </w:r>
    </w:p>
    <w:p w14:paraId="36884BEA" w14:textId="77777777" w:rsidR="00C4702C" w:rsidRPr="00A07D9A" w:rsidRDefault="00C4702C" w:rsidP="00C4702C">
      <w:pPr>
        <w:rPr>
          <w:rFonts w:cs="Arial"/>
          <w:color w:val="000000" w:themeColor="text1"/>
        </w:rPr>
      </w:pPr>
      <w:r w:rsidRPr="00A07D9A">
        <w:rPr>
          <w:color w:val="000000" w:themeColor="text1"/>
        </w:rPr>
        <w:t>Esta fracción parte de la base de que el agente económico adquirente sí tiene el control previo del agente económico adquirido, es decir, antes de la realización de la concentración, tiene la</w:t>
      </w:r>
      <w:r w:rsidRPr="00A07D9A">
        <w:rPr>
          <w:rFonts w:cs="Arial"/>
          <w:color w:val="000000" w:themeColor="text1"/>
        </w:rPr>
        <w:t xml:space="preserve"> capacidad, de hecho o de derecho, de participar o intervenir en forma decisiva, directa o indirectamente, por cualquier medio en las decisiones que incluyen pero no se limitan a la administración, la definición de las políticas y los objetivos o la gestión, conducción y ejecución de las actividades del adquirido. El control resulta de los derechos, contratos u otros medios que por sí mismos o en conjunto otorgan la capacidad antes señalada.</w:t>
      </w:r>
    </w:p>
    <w:p w14:paraId="25D52BA6" w14:textId="77777777" w:rsidR="00C4702C" w:rsidRPr="00A07D9A" w:rsidRDefault="00C4702C" w:rsidP="00C4702C">
      <w:pPr>
        <w:autoSpaceDE w:val="0"/>
        <w:autoSpaceDN w:val="0"/>
        <w:adjustRightInd w:val="0"/>
        <w:rPr>
          <w:rFonts w:cs="Arial"/>
          <w:color w:val="000000" w:themeColor="text1"/>
        </w:rPr>
      </w:pPr>
      <w:r w:rsidRPr="00A07D9A">
        <w:rPr>
          <w:rFonts w:cs="Arial"/>
          <w:color w:val="000000" w:themeColor="text1"/>
        </w:rPr>
        <w:t xml:space="preserve">Para que el IFT considere que esta fracción se actualiza, los </w:t>
      </w:r>
      <w:r w:rsidRPr="00A07D9A">
        <w:rPr>
          <w:color w:val="000000" w:themeColor="text1"/>
        </w:rPr>
        <w:t xml:space="preserve">agentes económicos </w:t>
      </w:r>
      <w:r w:rsidRPr="00A07D9A">
        <w:rPr>
          <w:rFonts w:cs="Arial"/>
          <w:color w:val="000000" w:themeColor="text1"/>
        </w:rPr>
        <w:t>notificantes deberán presentar la información y documentación que demuestre:</w:t>
      </w:r>
    </w:p>
    <w:p w14:paraId="7DF83866" w14:textId="77777777" w:rsidR="00C4702C" w:rsidRPr="00A07D9A" w:rsidRDefault="00C4702C" w:rsidP="00C4702C">
      <w:pPr>
        <w:pStyle w:val="Prrafodelista"/>
        <w:numPr>
          <w:ilvl w:val="0"/>
          <w:numId w:val="97"/>
        </w:numPr>
        <w:autoSpaceDE w:val="0"/>
        <w:autoSpaceDN w:val="0"/>
        <w:adjustRightInd w:val="0"/>
        <w:spacing w:after="160" w:line="259" w:lineRule="auto"/>
        <w:rPr>
          <w:rFonts w:cs="Arial"/>
          <w:color w:val="000000" w:themeColor="text1"/>
        </w:rPr>
      </w:pPr>
      <w:r w:rsidRPr="00A07D9A">
        <w:rPr>
          <w:rFonts w:cs="Arial"/>
          <w:color w:val="000000" w:themeColor="text1"/>
        </w:rPr>
        <w:t xml:space="preserve">Que el </w:t>
      </w:r>
      <w:r w:rsidRPr="00A07D9A">
        <w:rPr>
          <w:color w:val="000000" w:themeColor="text1"/>
        </w:rPr>
        <w:t>agente económico</w:t>
      </w:r>
      <w:r w:rsidRPr="00A07D9A">
        <w:rPr>
          <w:rFonts w:cs="Arial"/>
          <w:color w:val="000000" w:themeColor="text1"/>
        </w:rPr>
        <w:t xml:space="preserve"> adquirente tiene el control del </w:t>
      </w:r>
      <w:r w:rsidRPr="00A07D9A">
        <w:rPr>
          <w:color w:val="000000" w:themeColor="text1"/>
        </w:rPr>
        <w:t>agente económico</w:t>
      </w:r>
      <w:r w:rsidRPr="00A07D9A">
        <w:rPr>
          <w:rFonts w:cs="Arial"/>
          <w:color w:val="000000" w:themeColor="text1"/>
        </w:rPr>
        <w:t xml:space="preserve"> adquirido.</w:t>
      </w:r>
    </w:p>
    <w:p w14:paraId="36988AA1" w14:textId="77777777" w:rsidR="00C4702C" w:rsidRPr="00A07D9A" w:rsidRDefault="00C4702C" w:rsidP="00C4702C">
      <w:pPr>
        <w:pStyle w:val="Prrafodelista"/>
        <w:numPr>
          <w:ilvl w:val="0"/>
          <w:numId w:val="97"/>
        </w:numPr>
        <w:autoSpaceDE w:val="0"/>
        <w:autoSpaceDN w:val="0"/>
        <w:adjustRightInd w:val="0"/>
        <w:spacing w:after="160" w:line="259" w:lineRule="auto"/>
        <w:rPr>
          <w:rFonts w:cs="Arial"/>
          <w:color w:val="000000" w:themeColor="text1"/>
        </w:rPr>
      </w:pPr>
      <w:r w:rsidRPr="00A07D9A">
        <w:rPr>
          <w:rFonts w:cs="Helvetica"/>
          <w:color w:val="000000" w:themeColor="text1"/>
        </w:rPr>
        <w:t xml:space="preserve">Que ese control lo tiene desde la constitución del </w:t>
      </w:r>
      <w:r w:rsidRPr="00A07D9A">
        <w:rPr>
          <w:color w:val="000000" w:themeColor="text1"/>
        </w:rPr>
        <w:t>agente económico</w:t>
      </w:r>
      <w:r w:rsidRPr="00A07D9A">
        <w:rPr>
          <w:rFonts w:cs="Helvetica"/>
          <w:color w:val="000000" w:themeColor="text1"/>
        </w:rPr>
        <w:t xml:space="preserve"> adquirido o desde que el Instituto lo haya autorizado.</w:t>
      </w:r>
    </w:p>
    <w:p w14:paraId="150B19C8" w14:textId="77777777" w:rsidR="00C4702C" w:rsidRPr="00A07D9A" w:rsidRDefault="00C4702C" w:rsidP="00C4702C">
      <w:pPr>
        <w:rPr>
          <w:color w:val="000000" w:themeColor="text1"/>
          <w:u w:val="single"/>
        </w:rPr>
      </w:pPr>
      <w:r w:rsidRPr="00A07D9A">
        <w:rPr>
          <w:b/>
          <w:color w:val="000000" w:themeColor="text1"/>
          <w:u w:val="single"/>
        </w:rPr>
        <w:t>Fracción IV del artículo 92 de la LFCE</w:t>
      </w:r>
    </w:p>
    <w:p w14:paraId="65E8D895" w14:textId="77777777" w:rsidR="00C4702C" w:rsidRPr="00A07D9A" w:rsidRDefault="00C4702C" w:rsidP="00C4702C">
      <w:pPr>
        <w:rPr>
          <w:color w:val="000000" w:themeColor="text1"/>
        </w:rPr>
      </w:pPr>
      <w:r w:rsidRPr="00A07D9A">
        <w:rPr>
          <w:color w:val="000000" w:themeColor="text1"/>
        </w:rPr>
        <w:lastRenderedPageBreak/>
        <w:t>Las Disposiciones Regulatorias no han previsto algún supuesto adicional para acreditar la “notoriedad” en el procedimiento simplificado.</w:t>
      </w:r>
    </w:p>
    <w:p w14:paraId="30C9BE8C" w14:textId="77777777" w:rsidR="00C4702C" w:rsidRPr="00A07D9A" w:rsidRDefault="00C4702C" w:rsidP="00C4702C">
      <w:pPr>
        <w:pStyle w:val="Ttulo2"/>
        <w:spacing w:before="360" w:after="160"/>
        <w:rPr>
          <w:rFonts w:eastAsiaTheme="minorHAnsi"/>
          <w:color w:val="000000" w:themeColor="text1"/>
          <w:szCs w:val="22"/>
        </w:rPr>
      </w:pPr>
      <w:bookmarkStart w:id="98" w:name="_Toc458793072"/>
      <w:bookmarkStart w:id="99" w:name="_Toc486519846"/>
      <w:r w:rsidRPr="00A07D9A">
        <w:rPr>
          <w:rFonts w:eastAsiaTheme="minorHAnsi"/>
          <w:color w:val="000000" w:themeColor="text1"/>
          <w:szCs w:val="22"/>
        </w:rPr>
        <w:t>7.4 Trámite del procedimiento simplificado</w:t>
      </w:r>
      <w:bookmarkEnd w:id="98"/>
      <w:bookmarkEnd w:id="99"/>
    </w:p>
    <w:p w14:paraId="469FC259" w14:textId="77777777" w:rsidR="00C4702C" w:rsidRPr="00A07D9A" w:rsidRDefault="00C4702C" w:rsidP="00C4702C">
      <w:pPr>
        <w:rPr>
          <w:color w:val="000000" w:themeColor="text1"/>
        </w:rPr>
      </w:pPr>
      <w:r w:rsidRPr="00A07D9A">
        <w:rPr>
          <w:color w:val="000000" w:themeColor="text1"/>
        </w:rPr>
        <w:t>El procedimiento simplificado se llevará a cabo conforme a lo siguiente:</w:t>
      </w:r>
    </w:p>
    <w:p w14:paraId="79EFA0BA" w14:textId="77777777" w:rsidR="00C4702C" w:rsidRPr="00A07D9A" w:rsidRDefault="00C4702C" w:rsidP="00C4702C">
      <w:pPr>
        <w:pStyle w:val="Prrafodelista"/>
        <w:numPr>
          <w:ilvl w:val="0"/>
          <w:numId w:val="94"/>
        </w:numPr>
        <w:spacing w:before="0" w:after="160" w:line="259" w:lineRule="auto"/>
        <w:ind w:left="567"/>
        <w:rPr>
          <w:color w:val="000000" w:themeColor="text1"/>
        </w:rPr>
      </w:pPr>
      <w:r w:rsidRPr="00A07D9A">
        <w:rPr>
          <w:color w:val="000000" w:themeColor="text1"/>
        </w:rPr>
        <w:t>Inicia con la presentación del escrito de notificación de concentración, el cual deberá cumplir con los requisitos señalados en las fracciones I a XII del artículo 89 de la LFCE y, además, deberá contener la solicitud expresa de que el procedimiento sea tramitado por el IFT conforme al artículo 92 de la LFCE.</w:t>
      </w:r>
    </w:p>
    <w:p w14:paraId="78F5FBF3" w14:textId="77777777" w:rsidR="00C4702C" w:rsidRPr="00A07D9A" w:rsidRDefault="00C4702C" w:rsidP="00C4702C">
      <w:pPr>
        <w:pStyle w:val="Prrafodelista"/>
        <w:ind w:left="567"/>
        <w:rPr>
          <w:color w:val="000000" w:themeColor="text1"/>
        </w:rPr>
      </w:pPr>
      <w:r w:rsidRPr="00A07D9A">
        <w:rPr>
          <w:color w:val="000000" w:themeColor="text1"/>
        </w:rPr>
        <w:t>El mismo escrito deberá contener, además, la información y elementos de convicción que acrediten los elementos de notoriedad a los cuales se hizo alusión en el apartado respectivo de este documento.</w:t>
      </w:r>
    </w:p>
    <w:p w14:paraId="0FCF8733" w14:textId="77777777" w:rsidR="00C4702C" w:rsidRPr="00A07D9A" w:rsidRDefault="00C4702C" w:rsidP="00C4702C">
      <w:pPr>
        <w:pStyle w:val="Prrafodelista"/>
        <w:numPr>
          <w:ilvl w:val="0"/>
          <w:numId w:val="94"/>
        </w:numPr>
        <w:spacing w:before="0" w:after="160" w:line="259" w:lineRule="auto"/>
        <w:ind w:left="567"/>
        <w:rPr>
          <w:color w:val="000000" w:themeColor="text1"/>
        </w:rPr>
      </w:pPr>
      <w:r w:rsidRPr="00A07D9A">
        <w:rPr>
          <w:color w:val="000000" w:themeColor="text1"/>
        </w:rPr>
        <w:t>Siempre y cuando el escrito de notificación de concentración cumpla con los requisitos previstos por el artículo 89 de la LFCE y la UCE considere que se acreditan los elementos de notoriedad, emitirá un acuerdo de admisión dentro de los cinco días siguientes a su recepción.</w:t>
      </w:r>
    </w:p>
    <w:p w14:paraId="278274FD" w14:textId="77777777" w:rsidR="00C4702C" w:rsidRPr="00A07D9A" w:rsidRDefault="00C4702C" w:rsidP="00C4702C">
      <w:pPr>
        <w:pStyle w:val="Prrafodelista"/>
        <w:numPr>
          <w:ilvl w:val="0"/>
          <w:numId w:val="94"/>
        </w:numPr>
        <w:spacing w:before="0" w:after="160" w:line="259" w:lineRule="auto"/>
        <w:ind w:left="567"/>
        <w:rPr>
          <w:color w:val="000000" w:themeColor="text1"/>
        </w:rPr>
      </w:pPr>
      <w:r w:rsidRPr="00A07D9A">
        <w:rPr>
          <w:color w:val="000000" w:themeColor="text1"/>
        </w:rPr>
        <w:t xml:space="preserve">Para el caso de que la UCE considere que el escrito de notificación de concentración no cumple con los requisitos del artículo 89 de la LFCE o que no se acreditan los elementos de notoriedad, dentro de un plazo de cinco días, emitirá acuerdo por el que se ordene la improcedencia del procedimiento simplificado y que el asunto se tramite conforme al artículo 90 de ese ordenamiento. </w:t>
      </w:r>
    </w:p>
    <w:p w14:paraId="52CECFFF" w14:textId="77777777" w:rsidR="00C4702C" w:rsidRPr="00A07D9A" w:rsidRDefault="00C4702C" w:rsidP="00C4702C">
      <w:pPr>
        <w:pStyle w:val="Prrafodelista"/>
        <w:ind w:left="567"/>
        <w:rPr>
          <w:color w:val="000000" w:themeColor="text1"/>
        </w:rPr>
      </w:pPr>
      <w:r w:rsidRPr="00A07D9A">
        <w:rPr>
          <w:color w:val="000000" w:themeColor="text1"/>
        </w:rPr>
        <w:t xml:space="preserve">En este caso, en términos de los artículos 25 y 26 de las Disposiciones Regulatorias, el procedimiento previsto en el artículo 90 de la LFCE tendrá como referencia la fecha de presentación del escrito de notificación; y se entenderá por emitido el acuerdo de recepción a trámite y por recibida la notificación cuando se cumplan los supuestos previstos en los incisos a) o b) del artículo 90, fracción VII, de la LFCE. </w:t>
      </w:r>
    </w:p>
    <w:p w14:paraId="630E4B6B" w14:textId="77777777" w:rsidR="00C4702C" w:rsidRPr="00A07D9A" w:rsidRDefault="00C4702C" w:rsidP="00C4702C">
      <w:pPr>
        <w:pStyle w:val="Prrafodelista"/>
        <w:ind w:left="567"/>
        <w:rPr>
          <w:color w:val="000000" w:themeColor="text1"/>
        </w:rPr>
      </w:pPr>
      <w:r w:rsidRPr="00A07D9A">
        <w:rPr>
          <w:color w:val="000000" w:themeColor="text1"/>
        </w:rPr>
        <w:t xml:space="preserve">Así, en caso de acordarse la improcedencia del procedimiento simplificado, el IFT en el mismo acto podrá: i) acordar la recepción de la notificación de concentración, ii) emitir un Acuerdo de Prevención, o iii) emitir un Requerimiento de Información y/o Documentación Adicional a los Notificantes. Todo lo anterior, en términos del artículo 90 de la LFCE. </w:t>
      </w:r>
    </w:p>
    <w:p w14:paraId="36702349" w14:textId="77777777" w:rsidR="00C4702C" w:rsidRPr="00A07D9A" w:rsidRDefault="00C4702C" w:rsidP="00C4702C">
      <w:pPr>
        <w:pStyle w:val="Prrafodelista"/>
        <w:numPr>
          <w:ilvl w:val="0"/>
          <w:numId w:val="94"/>
        </w:numPr>
        <w:spacing w:before="0" w:after="160" w:line="259" w:lineRule="auto"/>
        <w:ind w:left="567"/>
        <w:rPr>
          <w:color w:val="000000" w:themeColor="text1"/>
        </w:rPr>
      </w:pPr>
      <w:r w:rsidRPr="00A07D9A">
        <w:rPr>
          <w:color w:val="000000" w:themeColor="text1"/>
        </w:rPr>
        <w:t xml:space="preserve">Ahora bien, para el caso de que la UCE del IFT haya emitido un acuerdo de admisión en el procedimiento simplificado, dentro de los quince días siguientes el Pleno del IFT deberá emitir una resolución en la que determinará si la concentración cumple o no con los elementos de notoriedad señalados en el párrafo segundo del artículo 92 de la LFCE y, en caso de que estos se </w:t>
      </w:r>
      <w:r w:rsidRPr="00A07D9A">
        <w:rPr>
          <w:color w:val="000000" w:themeColor="text1"/>
        </w:rPr>
        <w:lastRenderedPageBreak/>
        <w:t>encuentren debidamente acreditados, autorizará la concentración sin condición alguna.</w:t>
      </w:r>
    </w:p>
    <w:p w14:paraId="07067214" w14:textId="77777777" w:rsidR="00C4702C" w:rsidRPr="00A07D9A" w:rsidRDefault="00C4702C" w:rsidP="00C4702C">
      <w:pPr>
        <w:pStyle w:val="Prrafodelista"/>
        <w:ind w:left="567"/>
        <w:rPr>
          <w:color w:val="000000" w:themeColor="text1"/>
        </w:rPr>
      </w:pPr>
      <w:r w:rsidRPr="00A07D9A">
        <w:rPr>
          <w:color w:val="000000" w:themeColor="text1"/>
        </w:rPr>
        <w:t xml:space="preserve">En caso contrario, el Pleno del IFT determinará que la concentración no cumple con los elementos de notoriedad señalados en el párrafo segundo del artículo 92 de la LFCE, por lo que, dentro del mismo plazo de quince días aludido, emitirá un acuerdo de recepción a trámite conforme al artículo 90 de la LFCE. </w:t>
      </w:r>
    </w:p>
    <w:p w14:paraId="1D53127B" w14:textId="77777777" w:rsidR="00C4702C" w:rsidRPr="00A07D9A" w:rsidRDefault="00C4702C" w:rsidP="00C4702C">
      <w:pPr>
        <w:pStyle w:val="Prrafodelista"/>
        <w:ind w:left="567"/>
        <w:rPr>
          <w:color w:val="000000" w:themeColor="text1"/>
        </w:rPr>
      </w:pPr>
      <w:r w:rsidRPr="00A07D9A">
        <w:rPr>
          <w:color w:val="000000" w:themeColor="text1"/>
        </w:rPr>
        <w:t>Así, el IFT podrá emitir un Requerimiento de Información y/o Documentación Adicional a los Notificantes, en un plazo de quince días hábiles posteriores a la notificación del acuerdo de recepción a trámite; o evaluar y resolver la concentración notificada, en un plazo de 60 días posteriores a la notificación de ese acuerdo.</w:t>
      </w:r>
    </w:p>
    <w:p w14:paraId="16F8A86A" w14:textId="77777777" w:rsidR="00C4702C" w:rsidRPr="00A07D9A" w:rsidRDefault="00C4702C" w:rsidP="00C4702C">
      <w:pPr>
        <w:pStyle w:val="Ttulo2"/>
        <w:spacing w:after="160"/>
        <w:rPr>
          <w:color w:val="000000" w:themeColor="text1"/>
          <w:szCs w:val="22"/>
        </w:rPr>
      </w:pPr>
      <w:bookmarkStart w:id="100" w:name="_Toc458793073"/>
      <w:bookmarkStart w:id="101" w:name="_Toc486519847"/>
      <w:r w:rsidRPr="00A07D9A">
        <w:rPr>
          <w:color w:val="000000" w:themeColor="text1"/>
          <w:szCs w:val="22"/>
        </w:rPr>
        <w:t>Plazos del procedimiento simplificado (artículo 92 de la LFCE)</w:t>
      </w:r>
      <w:bookmarkEnd w:id="100"/>
      <w:bookmarkEnd w:id="101"/>
    </w:p>
    <w:p w14:paraId="5C61B908" w14:textId="77777777" w:rsidR="00C4702C" w:rsidRPr="00A07D9A" w:rsidRDefault="00C4702C" w:rsidP="00C4702C">
      <w:pPr>
        <w:rPr>
          <w:color w:val="000000" w:themeColor="text1"/>
        </w:rPr>
      </w:pPr>
      <w:r w:rsidRPr="00A07D9A">
        <w:rPr>
          <w:color w:val="000000" w:themeColor="text1"/>
        </w:rPr>
        <w:t>Este procedimiento identifica las siguientes actuaciones a partir de la presentación del Escrito de Notificación de Concentración ante la Oficialía de Partes del IFT:</w:t>
      </w:r>
    </w:p>
    <w:tbl>
      <w:tblPr>
        <w:tblStyle w:val="Tablaconcuadrcula"/>
        <w:tblW w:w="8784" w:type="dxa"/>
        <w:tblLook w:val="04A0" w:firstRow="1" w:lastRow="0" w:firstColumn="1" w:lastColumn="0" w:noHBand="0" w:noVBand="1"/>
        <w:tblCaption w:val="Tabla 3"/>
        <w:tblDescription w:val="Procedimiento de notificación simplificado"/>
      </w:tblPr>
      <w:tblGrid>
        <w:gridCol w:w="3269"/>
        <w:gridCol w:w="1829"/>
        <w:gridCol w:w="3686"/>
      </w:tblGrid>
      <w:tr w:rsidR="00A07D9A" w:rsidRPr="00A07D9A" w14:paraId="08E661A5" w14:textId="77777777" w:rsidTr="00A07D9A">
        <w:trPr>
          <w:tblHeader/>
        </w:trPr>
        <w:tc>
          <w:tcPr>
            <w:tcW w:w="3269" w:type="dxa"/>
            <w:shd w:val="clear" w:color="auto" w:fill="BFBFBF" w:themeFill="background1" w:themeFillShade="BF"/>
            <w:vAlign w:val="center"/>
          </w:tcPr>
          <w:p w14:paraId="2C044F89" w14:textId="77777777" w:rsidR="00C4702C" w:rsidRPr="00A07D9A" w:rsidRDefault="00C4702C" w:rsidP="0072302B">
            <w:pPr>
              <w:jc w:val="center"/>
              <w:rPr>
                <w:b/>
                <w:color w:val="000000" w:themeColor="text1"/>
                <w:sz w:val="18"/>
                <w:szCs w:val="18"/>
              </w:rPr>
            </w:pPr>
            <w:r w:rsidRPr="00A07D9A">
              <w:rPr>
                <w:b/>
                <w:color w:val="000000" w:themeColor="text1"/>
                <w:sz w:val="18"/>
                <w:szCs w:val="18"/>
              </w:rPr>
              <w:t>Tipo de Actuación</w:t>
            </w:r>
          </w:p>
        </w:tc>
        <w:tc>
          <w:tcPr>
            <w:tcW w:w="1829" w:type="dxa"/>
            <w:shd w:val="clear" w:color="auto" w:fill="BFBFBF" w:themeFill="background1" w:themeFillShade="BF"/>
            <w:vAlign w:val="center"/>
          </w:tcPr>
          <w:p w14:paraId="3C6BF643" w14:textId="77777777" w:rsidR="00C4702C" w:rsidRPr="00A07D9A" w:rsidRDefault="00C4702C" w:rsidP="0072302B">
            <w:pPr>
              <w:jc w:val="center"/>
              <w:rPr>
                <w:b/>
                <w:color w:val="000000" w:themeColor="text1"/>
                <w:sz w:val="18"/>
                <w:szCs w:val="18"/>
              </w:rPr>
            </w:pPr>
            <w:r w:rsidRPr="00A07D9A">
              <w:rPr>
                <w:b/>
                <w:color w:val="000000" w:themeColor="text1"/>
                <w:sz w:val="18"/>
                <w:szCs w:val="18"/>
              </w:rPr>
              <w:t>Quién realiza la Actuación correspondiente</w:t>
            </w:r>
          </w:p>
        </w:tc>
        <w:tc>
          <w:tcPr>
            <w:tcW w:w="3686" w:type="dxa"/>
            <w:shd w:val="clear" w:color="auto" w:fill="BFBFBF" w:themeFill="background1" w:themeFillShade="BF"/>
            <w:vAlign w:val="center"/>
          </w:tcPr>
          <w:p w14:paraId="14D34AB9" w14:textId="77777777" w:rsidR="00C4702C" w:rsidRPr="00A07D9A" w:rsidRDefault="00C4702C" w:rsidP="0072302B">
            <w:pPr>
              <w:jc w:val="center"/>
              <w:rPr>
                <w:b/>
                <w:color w:val="000000" w:themeColor="text1"/>
                <w:sz w:val="18"/>
                <w:szCs w:val="18"/>
              </w:rPr>
            </w:pPr>
            <w:r w:rsidRPr="00A07D9A">
              <w:rPr>
                <w:b/>
                <w:color w:val="000000" w:themeColor="text1"/>
                <w:sz w:val="18"/>
                <w:szCs w:val="18"/>
              </w:rPr>
              <w:t>Plazo</w:t>
            </w:r>
          </w:p>
        </w:tc>
      </w:tr>
      <w:tr w:rsidR="00A07D9A" w:rsidRPr="00A07D9A" w14:paraId="33605038" w14:textId="77777777" w:rsidTr="002A2095">
        <w:tc>
          <w:tcPr>
            <w:tcW w:w="3269" w:type="dxa"/>
            <w:vAlign w:val="center"/>
          </w:tcPr>
          <w:p w14:paraId="093CA088" w14:textId="77777777" w:rsidR="00C4702C" w:rsidRPr="00A07D9A" w:rsidRDefault="00C4702C" w:rsidP="0072302B">
            <w:pPr>
              <w:rPr>
                <w:color w:val="000000" w:themeColor="text1"/>
                <w:sz w:val="18"/>
                <w:szCs w:val="18"/>
              </w:rPr>
            </w:pPr>
            <w:r w:rsidRPr="00A07D9A">
              <w:rPr>
                <w:color w:val="000000" w:themeColor="text1"/>
                <w:sz w:val="18"/>
                <w:szCs w:val="18"/>
              </w:rPr>
              <w:t xml:space="preserve">Emisión del acuerdo de admisión o, en su caso, del acuerdo por el que se ordene la improcedencia </w:t>
            </w:r>
            <w:r w:rsidR="00FC04D0" w:rsidRPr="00A07D9A">
              <w:rPr>
                <w:color w:val="000000" w:themeColor="text1"/>
                <w:sz w:val="18"/>
                <w:szCs w:val="18"/>
              </w:rPr>
              <w:t>del procedimiento simplificado.</w:t>
            </w:r>
          </w:p>
        </w:tc>
        <w:tc>
          <w:tcPr>
            <w:tcW w:w="1829" w:type="dxa"/>
            <w:vAlign w:val="center"/>
          </w:tcPr>
          <w:p w14:paraId="75E72D9C" w14:textId="77777777" w:rsidR="00C4702C" w:rsidRPr="00A07D9A" w:rsidRDefault="00C4702C" w:rsidP="0072302B">
            <w:pPr>
              <w:jc w:val="center"/>
              <w:rPr>
                <w:color w:val="000000" w:themeColor="text1"/>
                <w:sz w:val="18"/>
                <w:szCs w:val="18"/>
              </w:rPr>
            </w:pPr>
            <w:r w:rsidRPr="00A07D9A">
              <w:rPr>
                <w:color w:val="000000" w:themeColor="text1"/>
                <w:sz w:val="18"/>
                <w:szCs w:val="18"/>
              </w:rPr>
              <w:t>IFT</w:t>
            </w:r>
          </w:p>
        </w:tc>
        <w:tc>
          <w:tcPr>
            <w:tcW w:w="3686" w:type="dxa"/>
            <w:vAlign w:val="center"/>
          </w:tcPr>
          <w:p w14:paraId="40CDC051" w14:textId="77777777" w:rsidR="00C4702C" w:rsidRPr="00A07D9A" w:rsidRDefault="00C4702C" w:rsidP="0072302B">
            <w:pPr>
              <w:jc w:val="center"/>
              <w:rPr>
                <w:color w:val="000000" w:themeColor="text1"/>
                <w:sz w:val="18"/>
                <w:szCs w:val="18"/>
              </w:rPr>
            </w:pPr>
            <w:r w:rsidRPr="00A07D9A">
              <w:rPr>
                <w:color w:val="000000" w:themeColor="text1"/>
                <w:sz w:val="18"/>
                <w:szCs w:val="18"/>
              </w:rPr>
              <w:t>5 días</w:t>
            </w:r>
          </w:p>
          <w:p w14:paraId="3057CD00" w14:textId="77777777" w:rsidR="00C4702C" w:rsidRPr="00A07D9A" w:rsidRDefault="00C4702C" w:rsidP="0072302B">
            <w:pPr>
              <w:rPr>
                <w:color w:val="000000" w:themeColor="text1"/>
                <w:sz w:val="18"/>
                <w:szCs w:val="18"/>
              </w:rPr>
            </w:pPr>
            <w:r w:rsidRPr="00A07D9A">
              <w:rPr>
                <w:color w:val="000000" w:themeColor="text1"/>
                <w:sz w:val="18"/>
                <w:szCs w:val="18"/>
              </w:rPr>
              <w:t>Contados a partir del día siguiente al en que se presente el escrito de notificación.</w:t>
            </w:r>
          </w:p>
        </w:tc>
      </w:tr>
      <w:tr w:rsidR="00A07D9A" w:rsidRPr="00A07D9A" w14:paraId="29856453" w14:textId="77777777" w:rsidTr="002A2095">
        <w:tc>
          <w:tcPr>
            <w:tcW w:w="3269" w:type="dxa"/>
            <w:vAlign w:val="center"/>
          </w:tcPr>
          <w:p w14:paraId="10F2384F" w14:textId="77777777" w:rsidR="00C4702C" w:rsidRPr="00A07D9A" w:rsidRDefault="00C4702C" w:rsidP="0072302B">
            <w:pPr>
              <w:rPr>
                <w:color w:val="000000" w:themeColor="text1"/>
                <w:sz w:val="18"/>
                <w:szCs w:val="18"/>
              </w:rPr>
            </w:pPr>
            <w:r w:rsidRPr="00A07D9A">
              <w:rPr>
                <w:color w:val="000000" w:themeColor="text1"/>
                <w:sz w:val="18"/>
                <w:szCs w:val="18"/>
              </w:rPr>
              <w:t>Emisión de resolución o, en su caso, emisión del acuerdo de recepción a trámite de la concentración conforme al artículo 90 de la LFCE.</w:t>
            </w:r>
          </w:p>
        </w:tc>
        <w:tc>
          <w:tcPr>
            <w:tcW w:w="1829" w:type="dxa"/>
            <w:vAlign w:val="center"/>
          </w:tcPr>
          <w:p w14:paraId="3766D883" w14:textId="77777777" w:rsidR="00C4702C" w:rsidRPr="00A07D9A" w:rsidRDefault="00C4702C" w:rsidP="0072302B">
            <w:pPr>
              <w:jc w:val="center"/>
              <w:rPr>
                <w:color w:val="000000" w:themeColor="text1"/>
                <w:sz w:val="18"/>
                <w:szCs w:val="18"/>
              </w:rPr>
            </w:pPr>
            <w:r w:rsidRPr="00A07D9A">
              <w:rPr>
                <w:color w:val="000000" w:themeColor="text1"/>
                <w:sz w:val="18"/>
                <w:szCs w:val="18"/>
              </w:rPr>
              <w:t>Pleno del IFT</w:t>
            </w:r>
          </w:p>
        </w:tc>
        <w:tc>
          <w:tcPr>
            <w:tcW w:w="3686" w:type="dxa"/>
            <w:vAlign w:val="center"/>
          </w:tcPr>
          <w:p w14:paraId="7F8CDAB3" w14:textId="77777777" w:rsidR="00C4702C" w:rsidRPr="00A07D9A" w:rsidRDefault="00C4702C" w:rsidP="0072302B">
            <w:pPr>
              <w:jc w:val="center"/>
              <w:rPr>
                <w:color w:val="000000" w:themeColor="text1"/>
                <w:sz w:val="18"/>
                <w:szCs w:val="18"/>
              </w:rPr>
            </w:pPr>
            <w:r w:rsidRPr="00A07D9A">
              <w:rPr>
                <w:color w:val="000000" w:themeColor="text1"/>
                <w:sz w:val="18"/>
                <w:szCs w:val="18"/>
              </w:rPr>
              <w:t>15 días</w:t>
            </w:r>
          </w:p>
          <w:p w14:paraId="59AEFF4F" w14:textId="77777777" w:rsidR="00C4702C" w:rsidRPr="00A07D9A" w:rsidRDefault="00C4702C" w:rsidP="0072302B">
            <w:pPr>
              <w:rPr>
                <w:color w:val="000000" w:themeColor="text1"/>
                <w:sz w:val="18"/>
                <w:szCs w:val="18"/>
              </w:rPr>
            </w:pPr>
            <w:r w:rsidRPr="00A07D9A">
              <w:rPr>
                <w:color w:val="000000" w:themeColor="text1"/>
                <w:sz w:val="18"/>
                <w:szCs w:val="18"/>
              </w:rPr>
              <w:t>Contados a partir del día siguiente a la fecha en que se emita el acuerdo de admisión.</w:t>
            </w:r>
          </w:p>
        </w:tc>
      </w:tr>
      <w:tr w:rsidR="00C4702C" w:rsidRPr="00A07D9A" w14:paraId="50B098B2" w14:textId="77777777" w:rsidTr="002A2095">
        <w:tc>
          <w:tcPr>
            <w:tcW w:w="3269" w:type="dxa"/>
            <w:vAlign w:val="center"/>
          </w:tcPr>
          <w:p w14:paraId="7D6689D5" w14:textId="77777777" w:rsidR="00C4702C" w:rsidRPr="00A07D9A" w:rsidRDefault="00C4702C" w:rsidP="0072302B">
            <w:pPr>
              <w:rPr>
                <w:color w:val="000000" w:themeColor="text1"/>
                <w:sz w:val="18"/>
                <w:szCs w:val="18"/>
              </w:rPr>
            </w:pPr>
            <w:r w:rsidRPr="00A07D9A">
              <w:rPr>
                <w:color w:val="000000" w:themeColor="text1"/>
                <w:sz w:val="18"/>
                <w:szCs w:val="18"/>
              </w:rPr>
              <w:t>Emisión de la versión pública de la resolución.</w:t>
            </w:r>
          </w:p>
        </w:tc>
        <w:tc>
          <w:tcPr>
            <w:tcW w:w="1829" w:type="dxa"/>
            <w:vAlign w:val="center"/>
          </w:tcPr>
          <w:p w14:paraId="61C2ADBB" w14:textId="77777777" w:rsidR="00C4702C" w:rsidRPr="00A07D9A" w:rsidRDefault="00C4702C" w:rsidP="0072302B">
            <w:pPr>
              <w:jc w:val="center"/>
              <w:rPr>
                <w:color w:val="000000" w:themeColor="text1"/>
                <w:sz w:val="18"/>
                <w:szCs w:val="18"/>
              </w:rPr>
            </w:pPr>
            <w:r w:rsidRPr="00A07D9A">
              <w:rPr>
                <w:color w:val="000000" w:themeColor="text1"/>
                <w:sz w:val="18"/>
                <w:szCs w:val="18"/>
              </w:rPr>
              <w:t>IFT</w:t>
            </w:r>
          </w:p>
        </w:tc>
        <w:tc>
          <w:tcPr>
            <w:tcW w:w="3686" w:type="dxa"/>
            <w:vAlign w:val="center"/>
          </w:tcPr>
          <w:p w14:paraId="048FDACB" w14:textId="77777777" w:rsidR="00C4702C" w:rsidRPr="00A07D9A" w:rsidRDefault="00C4702C" w:rsidP="0072302B">
            <w:pPr>
              <w:jc w:val="center"/>
              <w:rPr>
                <w:color w:val="000000" w:themeColor="text1"/>
                <w:sz w:val="18"/>
                <w:szCs w:val="18"/>
              </w:rPr>
            </w:pPr>
            <w:r w:rsidRPr="00A07D9A">
              <w:rPr>
                <w:color w:val="000000" w:themeColor="text1"/>
                <w:sz w:val="18"/>
                <w:szCs w:val="18"/>
              </w:rPr>
              <w:t>15 días</w:t>
            </w:r>
          </w:p>
          <w:p w14:paraId="1DC95AE4" w14:textId="77777777" w:rsidR="00C4702C" w:rsidRPr="00A07D9A" w:rsidRDefault="00C4702C" w:rsidP="0072302B">
            <w:pPr>
              <w:rPr>
                <w:color w:val="000000" w:themeColor="text1"/>
                <w:sz w:val="18"/>
                <w:szCs w:val="18"/>
              </w:rPr>
            </w:pPr>
            <w:r w:rsidRPr="00A07D9A">
              <w:rPr>
                <w:color w:val="000000" w:themeColor="text1"/>
                <w:sz w:val="18"/>
                <w:szCs w:val="18"/>
              </w:rPr>
              <w:t xml:space="preserve">Contados a partir del día siguiente a aquél en que surta efectos la notificación de la resolución </w:t>
            </w:r>
          </w:p>
        </w:tc>
      </w:tr>
    </w:tbl>
    <w:p w14:paraId="640A13D5" w14:textId="77777777" w:rsidR="00A936C9" w:rsidRPr="00A07D9A" w:rsidRDefault="00FD14B9" w:rsidP="00FE6791">
      <w:pPr>
        <w:pStyle w:val="Ttulo1"/>
        <w:numPr>
          <w:ilvl w:val="0"/>
          <w:numId w:val="73"/>
        </w:numPr>
        <w:ind w:left="357" w:hanging="357"/>
        <w:rPr>
          <w:color w:val="000000" w:themeColor="text1"/>
        </w:rPr>
      </w:pPr>
      <w:bookmarkStart w:id="102" w:name="_Toc486519848"/>
      <w:r w:rsidRPr="00A07D9A">
        <w:rPr>
          <w:color w:val="000000" w:themeColor="text1"/>
        </w:rPr>
        <w:t xml:space="preserve">Concentraciones reguladas por la </w:t>
      </w:r>
      <w:r w:rsidR="00A936C9" w:rsidRPr="00A07D9A">
        <w:rPr>
          <w:color w:val="000000" w:themeColor="text1"/>
        </w:rPr>
        <w:t>LFTR</w:t>
      </w:r>
      <w:bookmarkEnd w:id="102"/>
    </w:p>
    <w:p w14:paraId="71A7B9B4" w14:textId="77777777" w:rsidR="0045263E" w:rsidRPr="00A07D9A" w:rsidRDefault="0045263E" w:rsidP="0045263E">
      <w:pPr>
        <w:rPr>
          <w:color w:val="000000" w:themeColor="text1"/>
        </w:rPr>
      </w:pPr>
      <w:r w:rsidRPr="00A07D9A">
        <w:rPr>
          <w:color w:val="000000" w:themeColor="text1"/>
        </w:rPr>
        <w:t xml:space="preserve">En esta sección se presentan </w:t>
      </w:r>
      <w:r w:rsidR="00D46724" w:rsidRPr="00A07D9A">
        <w:rPr>
          <w:color w:val="000000" w:themeColor="text1"/>
        </w:rPr>
        <w:t xml:space="preserve">algunos </w:t>
      </w:r>
      <w:r w:rsidRPr="00A07D9A">
        <w:rPr>
          <w:color w:val="000000" w:themeColor="text1"/>
        </w:rPr>
        <w:t xml:space="preserve">trámites previstos en la LFTR, que </w:t>
      </w:r>
      <w:r w:rsidR="002B5B03" w:rsidRPr="00A07D9A">
        <w:rPr>
          <w:color w:val="000000" w:themeColor="text1"/>
        </w:rPr>
        <w:t xml:space="preserve">establecen </w:t>
      </w:r>
      <w:r w:rsidRPr="00A07D9A">
        <w:rPr>
          <w:color w:val="000000" w:themeColor="text1"/>
        </w:rPr>
        <w:t xml:space="preserve">explícitamente la inclusión de un análisis en materia de competencia económica. </w:t>
      </w:r>
    </w:p>
    <w:p w14:paraId="4A8C1ABD" w14:textId="77777777" w:rsidR="00FD14B9" w:rsidRPr="00A07D9A" w:rsidRDefault="00C4702C" w:rsidP="00FD14B9">
      <w:pPr>
        <w:pStyle w:val="Ttulo2"/>
        <w:rPr>
          <w:color w:val="000000" w:themeColor="text1"/>
        </w:rPr>
      </w:pPr>
      <w:bookmarkStart w:id="103" w:name="_Toc486519849"/>
      <w:r w:rsidRPr="00A07D9A">
        <w:rPr>
          <w:color w:val="000000" w:themeColor="text1"/>
        </w:rPr>
        <w:t>8</w:t>
      </w:r>
      <w:r w:rsidR="00FD14B9" w:rsidRPr="00A07D9A">
        <w:rPr>
          <w:color w:val="000000" w:themeColor="text1"/>
        </w:rPr>
        <w:t>.</w:t>
      </w:r>
      <w:r w:rsidR="008B0943" w:rsidRPr="00A07D9A">
        <w:rPr>
          <w:color w:val="000000" w:themeColor="text1"/>
        </w:rPr>
        <w:t>1</w:t>
      </w:r>
      <w:r w:rsidR="00FD14B9" w:rsidRPr="00A07D9A">
        <w:rPr>
          <w:color w:val="000000" w:themeColor="text1"/>
        </w:rPr>
        <w:t xml:space="preserve">. </w:t>
      </w:r>
      <w:r w:rsidR="00CF26C2" w:rsidRPr="00A07D9A">
        <w:rPr>
          <w:color w:val="000000" w:themeColor="text1"/>
        </w:rPr>
        <w:t>Trámites</w:t>
      </w:r>
      <w:bookmarkEnd w:id="103"/>
    </w:p>
    <w:p w14:paraId="7BEA914F" w14:textId="77777777" w:rsidR="00FD14B9" w:rsidRPr="00A07D9A" w:rsidRDefault="00A936C9" w:rsidP="00CF26C2">
      <w:pPr>
        <w:rPr>
          <w:color w:val="000000" w:themeColor="text1"/>
        </w:rPr>
      </w:pPr>
      <w:r w:rsidRPr="00A07D9A">
        <w:rPr>
          <w:color w:val="000000" w:themeColor="text1"/>
        </w:rPr>
        <w:t xml:space="preserve">La LFTR </w:t>
      </w:r>
      <w:r w:rsidR="009665E5" w:rsidRPr="00A07D9A">
        <w:rPr>
          <w:color w:val="000000" w:themeColor="text1"/>
        </w:rPr>
        <w:t xml:space="preserve">regula </w:t>
      </w:r>
      <w:r w:rsidR="00FD14B9" w:rsidRPr="00A07D9A">
        <w:rPr>
          <w:color w:val="000000" w:themeColor="text1"/>
        </w:rPr>
        <w:t xml:space="preserve">actos </w:t>
      </w:r>
      <w:r w:rsidRPr="00A07D9A">
        <w:rPr>
          <w:color w:val="000000" w:themeColor="text1"/>
        </w:rPr>
        <w:t xml:space="preserve">que </w:t>
      </w:r>
      <w:r w:rsidR="00FD4C75" w:rsidRPr="00A07D9A">
        <w:rPr>
          <w:color w:val="000000" w:themeColor="text1"/>
        </w:rPr>
        <w:t>constituyen concentraci</w:t>
      </w:r>
      <w:r w:rsidR="00EC327A" w:rsidRPr="00A07D9A">
        <w:rPr>
          <w:color w:val="000000" w:themeColor="text1"/>
        </w:rPr>
        <w:t xml:space="preserve">ones, para los cuales establece </w:t>
      </w:r>
      <w:r w:rsidR="00EB7743" w:rsidRPr="00A07D9A">
        <w:rPr>
          <w:color w:val="000000" w:themeColor="text1"/>
        </w:rPr>
        <w:t>procedimientos</w:t>
      </w:r>
      <w:r w:rsidR="00EC327A" w:rsidRPr="00A07D9A">
        <w:rPr>
          <w:color w:val="000000" w:themeColor="text1"/>
        </w:rPr>
        <w:t xml:space="preserve"> específicos </w:t>
      </w:r>
      <w:r w:rsidR="00FD14B9" w:rsidRPr="00A07D9A">
        <w:rPr>
          <w:color w:val="000000" w:themeColor="text1"/>
        </w:rPr>
        <w:t xml:space="preserve">cuya sustanciación requiere de una </w:t>
      </w:r>
      <w:r w:rsidR="0096557F" w:rsidRPr="00A07D9A">
        <w:rPr>
          <w:color w:val="000000" w:themeColor="text1"/>
        </w:rPr>
        <w:t xml:space="preserve">evaluación </w:t>
      </w:r>
      <w:r w:rsidR="00EC327A" w:rsidRPr="00A07D9A">
        <w:rPr>
          <w:color w:val="000000" w:themeColor="text1"/>
        </w:rPr>
        <w:t xml:space="preserve">en </w:t>
      </w:r>
      <w:r w:rsidR="00EC327A" w:rsidRPr="00A07D9A">
        <w:rPr>
          <w:color w:val="000000" w:themeColor="text1"/>
        </w:rPr>
        <w:lastRenderedPageBreak/>
        <w:t>materia de competencia</w:t>
      </w:r>
      <w:r w:rsidR="009F3FDE" w:rsidRPr="00A07D9A">
        <w:rPr>
          <w:color w:val="000000" w:themeColor="text1"/>
        </w:rPr>
        <w:t xml:space="preserve">, la cual se incorpora </w:t>
      </w:r>
      <w:r w:rsidR="00EC327A" w:rsidRPr="00A07D9A">
        <w:rPr>
          <w:color w:val="000000" w:themeColor="text1"/>
        </w:rPr>
        <w:t xml:space="preserve">a través de </w:t>
      </w:r>
      <w:r w:rsidR="0096557F" w:rsidRPr="00A07D9A">
        <w:rPr>
          <w:color w:val="000000" w:themeColor="text1"/>
        </w:rPr>
        <w:t>u</w:t>
      </w:r>
      <w:r w:rsidR="00EC327A" w:rsidRPr="00A07D9A">
        <w:rPr>
          <w:color w:val="000000" w:themeColor="text1"/>
        </w:rPr>
        <w:t>na opinión</w:t>
      </w:r>
      <w:r w:rsidR="00D46724" w:rsidRPr="00A07D9A">
        <w:rPr>
          <w:color w:val="000000" w:themeColor="text1"/>
        </w:rPr>
        <w:t xml:space="preserve"> interna</w:t>
      </w:r>
      <w:r w:rsidR="00EC327A" w:rsidRPr="00A07D9A">
        <w:rPr>
          <w:color w:val="000000" w:themeColor="text1"/>
        </w:rPr>
        <w:t xml:space="preserve"> que emite la </w:t>
      </w:r>
      <w:r w:rsidR="001443AA" w:rsidRPr="00A07D9A">
        <w:rPr>
          <w:color w:val="000000" w:themeColor="text1"/>
        </w:rPr>
        <w:t xml:space="preserve">UCE </w:t>
      </w:r>
      <w:r w:rsidR="00E73E83" w:rsidRPr="00A07D9A">
        <w:rPr>
          <w:color w:val="000000" w:themeColor="text1"/>
        </w:rPr>
        <w:t xml:space="preserve">a la Unidad Administrativa responsable del </w:t>
      </w:r>
      <w:r w:rsidR="00EB7743" w:rsidRPr="00A07D9A">
        <w:rPr>
          <w:color w:val="000000" w:themeColor="text1"/>
        </w:rPr>
        <w:t>procedimiento</w:t>
      </w:r>
      <w:r w:rsidR="00EC327A" w:rsidRPr="00A07D9A">
        <w:rPr>
          <w:color w:val="000000" w:themeColor="text1"/>
        </w:rPr>
        <w:t>.</w:t>
      </w:r>
      <w:r w:rsidR="009F3FDE" w:rsidRPr="00A07D9A">
        <w:rPr>
          <w:color w:val="000000" w:themeColor="text1"/>
        </w:rPr>
        <w:t xml:space="preserve"> El siguiente cuadro presenta </w:t>
      </w:r>
      <w:r w:rsidR="00CF26C2" w:rsidRPr="00A07D9A">
        <w:rPr>
          <w:color w:val="000000" w:themeColor="text1"/>
        </w:rPr>
        <w:t xml:space="preserve">los </w:t>
      </w:r>
      <w:r w:rsidR="00EB7743" w:rsidRPr="00A07D9A">
        <w:rPr>
          <w:color w:val="000000" w:themeColor="text1"/>
        </w:rPr>
        <w:t>procedimientos</w:t>
      </w:r>
      <w:r w:rsidR="00CF26C2" w:rsidRPr="00A07D9A">
        <w:rPr>
          <w:color w:val="000000" w:themeColor="text1"/>
        </w:rPr>
        <w:t xml:space="preserve"> referidos y </w:t>
      </w:r>
      <w:r w:rsidR="00FD14B9" w:rsidRPr="00A07D9A">
        <w:rPr>
          <w:color w:val="000000" w:themeColor="text1"/>
        </w:rPr>
        <w:t>la disposición normativa aplicable</w:t>
      </w:r>
      <w:r w:rsidR="00CF26C2" w:rsidRPr="00A07D9A">
        <w:rPr>
          <w:color w:val="000000" w:themeColor="text1"/>
        </w:rPr>
        <w:t xml:space="preserve">. </w:t>
      </w:r>
    </w:p>
    <w:tbl>
      <w:tblPr>
        <w:tblStyle w:val="Tablaconcuadrcula"/>
        <w:tblW w:w="0" w:type="auto"/>
        <w:tblLook w:val="04A0" w:firstRow="1" w:lastRow="0" w:firstColumn="1" w:lastColumn="0" w:noHBand="0" w:noVBand="1"/>
        <w:tblCaption w:val="Tabla 4"/>
        <w:tblDescription w:val="Trámites"/>
      </w:tblPr>
      <w:tblGrid>
        <w:gridCol w:w="2547"/>
        <w:gridCol w:w="6281"/>
      </w:tblGrid>
      <w:tr w:rsidR="00A07D9A" w:rsidRPr="00A07D9A" w14:paraId="6CA4F03A" w14:textId="77777777" w:rsidTr="00A07D9A">
        <w:trPr>
          <w:tblHeader/>
        </w:trPr>
        <w:tc>
          <w:tcPr>
            <w:tcW w:w="2547" w:type="dxa"/>
            <w:shd w:val="clear" w:color="auto" w:fill="BFBFBF" w:themeFill="background1" w:themeFillShade="BF"/>
            <w:vAlign w:val="center"/>
          </w:tcPr>
          <w:p w14:paraId="70D57CEE" w14:textId="77777777" w:rsidR="009665E5" w:rsidRPr="00A07D9A" w:rsidRDefault="00CF26C2" w:rsidP="00A07D9A">
            <w:pPr>
              <w:keepNext/>
              <w:jc w:val="center"/>
              <w:rPr>
                <w:b/>
                <w:color w:val="000000" w:themeColor="text1"/>
                <w:sz w:val="18"/>
                <w:szCs w:val="18"/>
              </w:rPr>
            </w:pPr>
            <w:r w:rsidRPr="00A07D9A">
              <w:rPr>
                <w:b/>
                <w:color w:val="000000" w:themeColor="text1"/>
                <w:sz w:val="18"/>
                <w:szCs w:val="18"/>
              </w:rPr>
              <w:t>Trámite</w:t>
            </w:r>
          </w:p>
        </w:tc>
        <w:tc>
          <w:tcPr>
            <w:tcW w:w="6281" w:type="dxa"/>
            <w:shd w:val="clear" w:color="auto" w:fill="BFBFBF" w:themeFill="background1" w:themeFillShade="BF"/>
            <w:vAlign w:val="center"/>
          </w:tcPr>
          <w:p w14:paraId="4926B2C4" w14:textId="77777777" w:rsidR="009665E5" w:rsidRPr="00A07D9A" w:rsidRDefault="009665E5" w:rsidP="00A07D9A">
            <w:pPr>
              <w:keepNext/>
              <w:jc w:val="center"/>
              <w:rPr>
                <w:b/>
                <w:color w:val="000000" w:themeColor="text1"/>
                <w:sz w:val="18"/>
                <w:szCs w:val="18"/>
              </w:rPr>
            </w:pPr>
            <w:r w:rsidRPr="00A07D9A">
              <w:rPr>
                <w:b/>
                <w:color w:val="000000" w:themeColor="text1"/>
                <w:sz w:val="18"/>
                <w:szCs w:val="18"/>
              </w:rPr>
              <w:t>Disposición de la LFTR que exige su evaluación en materia de competencia económica y/o concentraciones</w:t>
            </w:r>
          </w:p>
        </w:tc>
      </w:tr>
      <w:tr w:rsidR="00A07D9A" w:rsidRPr="00A07D9A" w14:paraId="24A2EE3F" w14:textId="77777777" w:rsidTr="00A07D9A">
        <w:tc>
          <w:tcPr>
            <w:tcW w:w="2547" w:type="dxa"/>
          </w:tcPr>
          <w:p w14:paraId="0EA0D7E9" w14:textId="77777777" w:rsidR="009665E5" w:rsidRPr="00A07D9A" w:rsidRDefault="009665E5" w:rsidP="00CF26C2">
            <w:pPr>
              <w:jc w:val="left"/>
              <w:rPr>
                <w:b/>
                <w:color w:val="000000" w:themeColor="text1"/>
                <w:sz w:val="18"/>
                <w:szCs w:val="18"/>
              </w:rPr>
            </w:pPr>
            <w:r w:rsidRPr="00A07D9A">
              <w:rPr>
                <w:color w:val="000000" w:themeColor="text1"/>
                <w:sz w:val="18"/>
                <w:szCs w:val="18"/>
              </w:rPr>
              <w:t xml:space="preserve">1. Licitaciones </w:t>
            </w:r>
            <w:r w:rsidR="00A71D3B" w:rsidRPr="00A07D9A">
              <w:rPr>
                <w:color w:val="000000" w:themeColor="text1"/>
                <w:sz w:val="18"/>
                <w:szCs w:val="18"/>
              </w:rPr>
              <w:t xml:space="preserve">de </w:t>
            </w:r>
            <w:r w:rsidRPr="00A07D9A">
              <w:rPr>
                <w:color w:val="000000" w:themeColor="text1"/>
                <w:sz w:val="18"/>
                <w:szCs w:val="18"/>
              </w:rPr>
              <w:t>concesiones de uso comercial o privado de espectro radioeléctrico.</w:t>
            </w:r>
          </w:p>
        </w:tc>
        <w:tc>
          <w:tcPr>
            <w:tcW w:w="6281" w:type="dxa"/>
          </w:tcPr>
          <w:p w14:paraId="4B87BC6B" w14:textId="77777777" w:rsidR="009665E5" w:rsidRPr="00A07D9A" w:rsidRDefault="009665E5" w:rsidP="0096024B">
            <w:pPr>
              <w:rPr>
                <w:color w:val="000000" w:themeColor="text1"/>
                <w:sz w:val="18"/>
                <w:szCs w:val="18"/>
              </w:rPr>
            </w:pPr>
            <w:r w:rsidRPr="00A07D9A">
              <w:rPr>
                <w:color w:val="000000" w:themeColor="text1"/>
                <w:sz w:val="18"/>
                <w:szCs w:val="18"/>
              </w:rPr>
              <w:t>“</w:t>
            </w:r>
            <w:r w:rsidR="002B5B03" w:rsidRPr="00A07D9A">
              <w:rPr>
                <w:color w:val="000000" w:themeColor="text1"/>
                <w:sz w:val="18"/>
                <w:szCs w:val="18"/>
              </w:rPr>
              <w:t>Artículo</w:t>
            </w:r>
            <w:r w:rsidRPr="00A07D9A">
              <w:rPr>
                <w:color w:val="000000" w:themeColor="text1"/>
                <w:sz w:val="18"/>
                <w:szCs w:val="18"/>
              </w:rPr>
              <w:t xml:space="preserve"> 78.-…</w:t>
            </w:r>
          </w:p>
          <w:p w14:paraId="3154263F" w14:textId="77777777" w:rsidR="009665E5" w:rsidRPr="00A07D9A" w:rsidRDefault="009665E5" w:rsidP="0096024B">
            <w:pPr>
              <w:rPr>
                <w:color w:val="000000" w:themeColor="text1"/>
                <w:sz w:val="18"/>
                <w:szCs w:val="18"/>
              </w:rPr>
            </w:pPr>
            <w:r w:rsidRPr="00A07D9A">
              <w:rPr>
                <w:color w:val="000000" w:themeColor="text1"/>
                <w:sz w:val="18"/>
                <w:szCs w:val="18"/>
              </w:rPr>
              <w:t xml:space="preserve">I. </w:t>
            </w:r>
            <w:r w:rsidRPr="00A07D9A">
              <w:rPr>
                <w:b/>
                <w:color w:val="000000" w:themeColor="text1"/>
                <w:sz w:val="18"/>
                <w:szCs w:val="18"/>
              </w:rPr>
              <w:t>Para el otorgamiento de concesiones en materia de telecomunicaciones</w:t>
            </w:r>
            <w:r w:rsidRPr="00A07D9A">
              <w:rPr>
                <w:color w:val="000000" w:themeColor="text1"/>
                <w:sz w:val="18"/>
                <w:szCs w:val="18"/>
              </w:rPr>
              <w:t>, el IFT podrá tomar en cuenta, entre otros, los siguientes factores: (…)</w:t>
            </w:r>
          </w:p>
          <w:p w14:paraId="044BFC68" w14:textId="77777777" w:rsidR="009665E5" w:rsidRPr="00A07D9A" w:rsidRDefault="009665E5" w:rsidP="00FE6791">
            <w:pPr>
              <w:pStyle w:val="Prrafodelista"/>
              <w:numPr>
                <w:ilvl w:val="0"/>
                <w:numId w:val="51"/>
              </w:numPr>
              <w:spacing w:after="0"/>
              <w:contextualSpacing/>
              <w:rPr>
                <w:color w:val="000000" w:themeColor="text1"/>
                <w:sz w:val="18"/>
                <w:szCs w:val="18"/>
              </w:rPr>
            </w:pPr>
            <w:r w:rsidRPr="00A07D9A">
              <w:rPr>
                <w:b/>
                <w:color w:val="000000" w:themeColor="text1"/>
                <w:sz w:val="18"/>
                <w:szCs w:val="18"/>
              </w:rPr>
              <w:t>La prevención de fenómenos de concentración que contraríen el interés público</w:t>
            </w:r>
            <w:r w:rsidRPr="00A07D9A">
              <w:rPr>
                <w:color w:val="000000" w:themeColor="text1"/>
                <w:sz w:val="18"/>
                <w:szCs w:val="18"/>
              </w:rPr>
              <w:t>; (…)</w:t>
            </w:r>
          </w:p>
          <w:p w14:paraId="721EDA20" w14:textId="77777777" w:rsidR="009665E5" w:rsidRPr="00A07D9A" w:rsidRDefault="009665E5" w:rsidP="0096024B">
            <w:pPr>
              <w:rPr>
                <w:color w:val="000000" w:themeColor="text1"/>
                <w:sz w:val="18"/>
                <w:szCs w:val="18"/>
              </w:rPr>
            </w:pPr>
            <w:r w:rsidRPr="00A07D9A">
              <w:rPr>
                <w:color w:val="000000" w:themeColor="text1"/>
                <w:sz w:val="18"/>
                <w:szCs w:val="18"/>
              </w:rPr>
              <w:t xml:space="preserve">II. </w:t>
            </w:r>
            <w:r w:rsidRPr="00A07D9A">
              <w:rPr>
                <w:b/>
                <w:color w:val="000000" w:themeColor="text1"/>
                <w:sz w:val="18"/>
                <w:szCs w:val="18"/>
              </w:rPr>
              <w:t>Para el otorgamiento de concesiones en materia de radiodifusión</w:t>
            </w:r>
            <w:r w:rsidRPr="00A07D9A">
              <w:rPr>
                <w:color w:val="000000" w:themeColor="text1"/>
                <w:sz w:val="18"/>
                <w:szCs w:val="18"/>
              </w:rPr>
              <w:t xml:space="preserve">, el IFT tomará en cuenta los incisos a), b), </w:t>
            </w:r>
            <w:r w:rsidRPr="00A07D9A">
              <w:rPr>
                <w:b/>
                <w:color w:val="000000" w:themeColor="text1"/>
                <w:sz w:val="18"/>
                <w:szCs w:val="18"/>
              </w:rPr>
              <w:t>d),</w:t>
            </w:r>
            <w:r w:rsidRPr="00A07D9A">
              <w:rPr>
                <w:color w:val="000000" w:themeColor="text1"/>
                <w:sz w:val="18"/>
                <w:szCs w:val="18"/>
              </w:rPr>
              <w:t xml:space="preserve"> e) y f). (…)”</w:t>
            </w:r>
          </w:p>
        </w:tc>
      </w:tr>
      <w:tr w:rsidR="00A07D9A" w:rsidRPr="00A07D9A" w14:paraId="42A3283A" w14:textId="77777777" w:rsidTr="00A07D9A">
        <w:tc>
          <w:tcPr>
            <w:tcW w:w="2547" w:type="dxa"/>
          </w:tcPr>
          <w:p w14:paraId="199A9AAA" w14:textId="77777777" w:rsidR="009665E5" w:rsidRPr="00A07D9A" w:rsidRDefault="009665E5" w:rsidP="00CF26C2">
            <w:pPr>
              <w:jc w:val="left"/>
              <w:rPr>
                <w:b/>
                <w:color w:val="000000" w:themeColor="text1"/>
                <w:sz w:val="18"/>
                <w:szCs w:val="18"/>
              </w:rPr>
            </w:pPr>
            <w:r w:rsidRPr="00A07D9A">
              <w:rPr>
                <w:color w:val="000000" w:themeColor="text1"/>
                <w:sz w:val="18"/>
                <w:szCs w:val="18"/>
              </w:rPr>
              <w:t>2. Otorgamiento de concesiones de radiodifusión para usos público y social.</w:t>
            </w:r>
          </w:p>
        </w:tc>
        <w:tc>
          <w:tcPr>
            <w:tcW w:w="6281" w:type="dxa"/>
          </w:tcPr>
          <w:p w14:paraId="5B2C32F0" w14:textId="77777777" w:rsidR="009665E5" w:rsidRPr="00A07D9A" w:rsidRDefault="009665E5" w:rsidP="0096024B">
            <w:pPr>
              <w:rPr>
                <w:color w:val="000000" w:themeColor="text1"/>
                <w:sz w:val="18"/>
                <w:szCs w:val="18"/>
              </w:rPr>
            </w:pPr>
            <w:r w:rsidRPr="00A07D9A">
              <w:rPr>
                <w:color w:val="000000" w:themeColor="text1"/>
                <w:sz w:val="18"/>
                <w:szCs w:val="18"/>
              </w:rPr>
              <w:t>“</w:t>
            </w:r>
            <w:r w:rsidR="002B5B03" w:rsidRPr="00A07D9A">
              <w:rPr>
                <w:color w:val="000000" w:themeColor="text1"/>
                <w:sz w:val="18"/>
                <w:szCs w:val="18"/>
              </w:rPr>
              <w:t>A</w:t>
            </w:r>
            <w:r w:rsidR="00C561C7" w:rsidRPr="00A07D9A">
              <w:rPr>
                <w:color w:val="000000" w:themeColor="text1"/>
                <w:sz w:val="18"/>
                <w:szCs w:val="18"/>
              </w:rPr>
              <w:t>rtículo</w:t>
            </w:r>
            <w:r w:rsidRPr="00A07D9A">
              <w:rPr>
                <w:color w:val="000000" w:themeColor="text1"/>
                <w:sz w:val="18"/>
                <w:szCs w:val="18"/>
              </w:rPr>
              <w:t xml:space="preserve"> 90. Para el otorgamiento de las concesiones de radiodifusión para uso público y social, el IFT deberá tomar en consideración: (…) </w:t>
            </w:r>
          </w:p>
          <w:p w14:paraId="49AB1075" w14:textId="77777777" w:rsidR="009665E5" w:rsidRPr="00A07D9A" w:rsidRDefault="009665E5" w:rsidP="0096024B">
            <w:pPr>
              <w:rPr>
                <w:color w:val="000000" w:themeColor="text1"/>
                <w:sz w:val="18"/>
                <w:szCs w:val="18"/>
              </w:rPr>
            </w:pPr>
            <w:r w:rsidRPr="00A07D9A">
              <w:rPr>
                <w:color w:val="000000" w:themeColor="text1"/>
                <w:sz w:val="18"/>
                <w:szCs w:val="18"/>
              </w:rPr>
              <w:t xml:space="preserve">En el otorgamiento de las concesiones </w:t>
            </w:r>
            <w:r w:rsidRPr="00A07D9A">
              <w:rPr>
                <w:b/>
                <w:color w:val="000000" w:themeColor="text1"/>
                <w:sz w:val="18"/>
                <w:szCs w:val="18"/>
              </w:rPr>
              <w:t>el IFT</w:t>
            </w:r>
            <w:r w:rsidRPr="00A07D9A">
              <w:rPr>
                <w:color w:val="000000" w:themeColor="text1"/>
                <w:sz w:val="18"/>
                <w:szCs w:val="18"/>
              </w:rPr>
              <w:t xml:space="preserve"> favorecerá la diversidad y </w:t>
            </w:r>
            <w:r w:rsidRPr="00A07D9A">
              <w:rPr>
                <w:b/>
                <w:color w:val="000000" w:themeColor="text1"/>
                <w:sz w:val="18"/>
                <w:szCs w:val="18"/>
              </w:rPr>
              <w:t>evitará la concentración nacional y regional de frecuencias</w:t>
            </w:r>
            <w:r w:rsidRPr="00A07D9A">
              <w:rPr>
                <w:color w:val="000000" w:themeColor="text1"/>
                <w:sz w:val="18"/>
                <w:szCs w:val="18"/>
              </w:rPr>
              <w:t>.”</w:t>
            </w:r>
          </w:p>
        </w:tc>
      </w:tr>
      <w:tr w:rsidR="00A07D9A" w:rsidRPr="00A07D9A" w14:paraId="494CE81B" w14:textId="77777777" w:rsidTr="00A07D9A">
        <w:tc>
          <w:tcPr>
            <w:tcW w:w="2547" w:type="dxa"/>
          </w:tcPr>
          <w:p w14:paraId="084B1D1A" w14:textId="77777777" w:rsidR="009665E5" w:rsidRPr="00A07D9A" w:rsidRDefault="009665E5" w:rsidP="00CF26C2">
            <w:pPr>
              <w:jc w:val="left"/>
              <w:rPr>
                <w:b/>
                <w:color w:val="000000" w:themeColor="text1"/>
                <w:sz w:val="18"/>
                <w:szCs w:val="18"/>
              </w:rPr>
            </w:pPr>
            <w:r w:rsidRPr="00A07D9A">
              <w:rPr>
                <w:color w:val="000000" w:themeColor="text1"/>
                <w:sz w:val="18"/>
                <w:szCs w:val="18"/>
              </w:rPr>
              <w:t xml:space="preserve">3. </w:t>
            </w:r>
            <w:r w:rsidR="00A71D3B" w:rsidRPr="00A07D9A">
              <w:rPr>
                <w:color w:val="000000" w:themeColor="text1"/>
                <w:sz w:val="18"/>
                <w:szCs w:val="18"/>
              </w:rPr>
              <w:t xml:space="preserve">Licitaciones de </w:t>
            </w:r>
            <w:r w:rsidRPr="00A07D9A">
              <w:rPr>
                <w:color w:val="000000" w:themeColor="text1"/>
                <w:sz w:val="18"/>
                <w:szCs w:val="18"/>
              </w:rPr>
              <w:t>concesiones para ocupar y explotar recursos orbitales en usos comercial y privado.</w:t>
            </w:r>
          </w:p>
        </w:tc>
        <w:tc>
          <w:tcPr>
            <w:tcW w:w="6281" w:type="dxa"/>
          </w:tcPr>
          <w:p w14:paraId="44A834BA" w14:textId="77777777" w:rsidR="009665E5" w:rsidRPr="00A07D9A" w:rsidRDefault="009665E5" w:rsidP="0096024B">
            <w:pPr>
              <w:rPr>
                <w:color w:val="000000" w:themeColor="text1"/>
                <w:sz w:val="18"/>
                <w:szCs w:val="18"/>
              </w:rPr>
            </w:pPr>
            <w:r w:rsidRPr="00A07D9A">
              <w:rPr>
                <w:color w:val="000000" w:themeColor="text1"/>
                <w:sz w:val="18"/>
                <w:szCs w:val="18"/>
              </w:rPr>
              <w:t>“</w:t>
            </w:r>
            <w:r w:rsidR="002B5B03" w:rsidRPr="00A07D9A">
              <w:rPr>
                <w:color w:val="000000" w:themeColor="text1"/>
                <w:sz w:val="18"/>
                <w:szCs w:val="18"/>
              </w:rPr>
              <w:t>A</w:t>
            </w:r>
            <w:r w:rsidR="00C561C7" w:rsidRPr="00A07D9A">
              <w:rPr>
                <w:color w:val="000000" w:themeColor="text1"/>
                <w:sz w:val="18"/>
                <w:szCs w:val="18"/>
              </w:rPr>
              <w:t>rtículo</w:t>
            </w:r>
            <w:r w:rsidRPr="00A07D9A">
              <w:rPr>
                <w:color w:val="000000" w:themeColor="text1"/>
                <w:sz w:val="18"/>
                <w:szCs w:val="18"/>
              </w:rPr>
              <w:t xml:space="preserve"> 93…</w:t>
            </w:r>
          </w:p>
          <w:p w14:paraId="03FBABF3" w14:textId="77777777" w:rsidR="009665E5" w:rsidRPr="00A07D9A" w:rsidRDefault="009665E5" w:rsidP="0096024B">
            <w:pPr>
              <w:rPr>
                <w:color w:val="000000" w:themeColor="text1"/>
                <w:sz w:val="18"/>
                <w:szCs w:val="18"/>
              </w:rPr>
            </w:pPr>
            <w:r w:rsidRPr="00A07D9A">
              <w:rPr>
                <w:color w:val="000000" w:themeColor="text1"/>
                <w:sz w:val="18"/>
                <w:szCs w:val="18"/>
              </w:rPr>
              <w:t>Las bases de licitación pública incluirán como mínimo: (…)</w:t>
            </w:r>
          </w:p>
          <w:p w14:paraId="69003DBA" w14:textId="77777777" w:rsidR="009665E5" w:rsidRPr="00A07D9A" w:rsidRDefault="009665E5" w:rsidP="0096024B">
            <w:pPr>
              <w:rPr>
                <w:color w:val="000000" w:themeColor="text1"/>
                <w:sz w:val="18"/>
                <w:szCs w:val="18"/>
              </w:rPr>
            </w:pPr>
            <w:r w:rsidRPr="00A07D9A">
              <w:rPr>
                <w:color w:val="000000" w:themeColor="text1"/>
                <w:sz w:val="18"/>
                <w:szCs w:val="18"/>
              </w:rPr>
              <w:t xml:space="preserve">III. Los criterios que aseguren competencia efectiva y </w:t>
            </w:r>
            <w:r w:rsidRPr="00A07D9A">
              <w:rPr>
                <w:b/>
                <w:color w:val="000000" w:themeColor="text1"/>
                <w:sz w:val="18"/>
                <w:szCs w:val="18"/>
              </w:rPr>
              <w:t>prevengan fenómenos de concentración que contraríen el interés público</w:t>
            </w:r>
            <w:r w:rsidRPr="00A07D9A">
              <w:rPr>
                <w:color w:val="000000" w:themeColor="text1"/>
                <w:sz w:val="18"/>
                <w:szCs w:val="18"/>
              </w:rPr>
              <w:t>;”</w:t>
            </w:r>
          </w:p>
        </w:tc>
      </w:tr>
      <w:tr w:rsidR="00A07D9A" w:rsidRPr="00A07D9A" w14:paraId="38915577" w14:textId="77777777" w:rsidTr="00A07D9A">
        <w:tc>
          <w:tcPr>
            <w:tcW w:w="2547" w:type="dxa"/>
          </w:tcPr>
          <w:p w14:paraId="26711DFD" w14:textId="77777777" w:rsidR="009665E5" w:rsidRPr="00A07D9A" w:rsidRDefault="009665E5" w:rsidP="00CF26C2">
            <w:pPr>
              <w:jc w:val="left"/>
              <w:rPr>
                <w:b/>
                <w:color w:val="000000" w:themeColor="text1"/>
                <w:sz w:val="18"/>
                <w:szCs w:val="18"/>
              </w:rPr>
            </w:pPr>
            <w:r w:rsidRPr="00A07D9A">
              <w:rPr>
                <w:color w:val="000000" w:themeColor="text1"/>
                <w:sz w:val="18"/>
                <w:szCs w:val="18"/>
              </w:rPr>
              <w:t>4. Arrendamiento de bandas de frecuencia de espectro radioeléctrico para usos comercial y privado.</w:t>
            </w:r>
          </w:p>
        </w:tc>
        <w:tc>
          <w:tcPr>
            <w:tcW w:w="6281" w:type="dxa"/>
          </w:tcPr>
          <w:p w14:paraId="5C984601" w14:textId="77777777" w:rsidR="009665E5" w:rsidRPr="00A07D9A" w:rsidRDefault="009665E5" w:rsidP="0096024B">
            <w:pPr>
              <w:rPr>
                <w:color w:val="000000" w:themeColor="text1"/>
                <w:sz w:val="18"/>
                <w:szCs w:val="18"/>
              </w:rPr>
            </w:pPr>
            <w:r w:rsidRPr="00A07D9A">
              <w:rPr>
                <w:color w:val="000000" w:themeColor="text1"/>
                <w:sz w:val="18"/>
                <w:szCs w:val="18"/>
              </w:rPr>
              <w:t>“</w:t>
            </w:r>
            <w:r w:rsidR="002B5B03" w:rsidRPr="00A07D9A">
              <w:rPr>
                <w:color w:val="000000" w:themeColor="text1"/>
                <w:sz w:val="18"/>
                <w:szCs w:val="18"/>
              </w:rPr>
              <w:t>Artículo</w:t>
            </w:r>
            <w:r w:rsidRPr="00A07D9A">
              <w:rPr>
                <w:color w:val="000000" w:themeColor="text1"/>
                <w:sz w:val="18"/>
                <w:szCs w:val="18"/>
              </w:rPr>
              <w:t xml:space="preserve"> 104. Los concesionarios podrán dar en arrendamiento, únicamente bandas de frecuencias concesionadas para uso comercial o privado, estos últimos con propósitos de comunicación privada, previa autorización del IFT. Para tal efecto, deberá observarse lo siguiente: (…)</w:t>
            </w:r>
          </w:p>
          <w:p w14:paraId="58C27F0F" w14:textId="77777777" w:rsidR="009665E5" w:rsidRPr="00A07D9A" w:rsidRDefault="009665E5" w:rsidP="0096024B">
            <w:pPr>
              <w:rPr>
                <w:color w:val="000000" w:themeColor="text1"/>
                <w:sz w:val="18"/>
                <w:szCs w:val="18"/>
              </w:rPr>
            </w:pPr>
            <w:r w:rsidRPr="00A07D9A">
              <w:rPr>
                <w:color w:val="000000" w:themeColor="text1"/>
                <w:sz w:val="18"/>
                <w:szCs w:val="18"/>
              </w:rPr>
              <w:t xml:space="preserve">IV. </w:t>
            </w:r>
            <w:r w:rsidRPr="00A07D9A">
              <w:rPr>
                <w:b/>
                <w:color w:val="000000" w:themeColor="text1"/>
                <w:sz w:val="18"/>
                <w:szCs w:val="18"/>
              </w:rPr>
              <w:t>Que no se generen fenómenos de concentración</w:t>
            </w:r>
            <w:r w:rsidRPr="00A07D9A">
              <w:rPr>
                <w:color w:val="000000" w:themeColor="text1"/>
                <w:sz w:val="18"/>
                <w:szCs w:val="18"/>
              </w:rPr>
              <w:t>, acaparamiento o propiedad cruzada.”</w:t>
            </w:r>
          </w:p>
        </w:tc>
      </w:tr>
      <w:tr w:rsidR="00A07D9A" w:rsidRPr="00A07D9A" w14:paraId="0F82F919" w14:textId="77777777" w:rsidTr="00A07D9A">
        <w:tc>
          <w:tcPr>
            <w:tcW w:w="2547" w:type="dxa"/>
          </w:tcPr>
          <w:p w14:paraId="3A88891A" w14:textId="77777777" w:rsidR="009665E5" w:rsidRPr="00A07D9A" w:rsidRDefault="009665E5" w:rsidP="00CF26C2">
            <w:pPr>
              <w:jc w:val="left"/>
              <w:rPr>
                <w:b/>
                <w:color w:val="000000" w:themeColor="text1"/>
                <w:sz w:val="18"/>
                <w:szCs w:val="18"/>
              </w:rPr>
            </w:pPr>
            <w:r w:rsidRPr="00A07D9A">
              <w:rPr>
                <w:color w:val="000000" w:themeColor="text1"/>
                <w:sz w:val="18"/>
                <w:szCs w:val="18"/>
              </w:rPr>
              <w:t>5. Intercambio de bandas de frecuencia del espectro radioeléctrico o de recursos orbitales.</w:t>
            </w:r>
          </w:p>
        </w:tc>
        <w:tc>
          <w:tcPr>
            <w:tcW w:w="6281" w:type="dxa"/>
          </w:tcPr>
          <w:p w14:paraId="2300803E" w14:textId="77777777" w:rsidR="009665E5" w:rsidRPr="00A07D9A" w:rsidRDefault="009665E5" w:rsidP="0096024B">
            <w:pPr>
              <w:rPr>
                <w:color w:val="000000" w:themeColor="text1"/>
                <w:sz w:val="18"/>
                <w:szCs w:val="18"/>
              </w:rPr>
            </w:pPr>
            <w:r w:rsidRPr="00A07D9A">
              <w:rPr>
                <w:color w:val="000000" w:themeColor="text1"/>
                <w:sz w:val="18"/>
                <w:szCs w:val="18"/>
              </w:rPr>
              <w:t>“</w:t>
            </w:r>
            <w:r w:rsidR="002B5B03" w:rsidRPr="00A07D9A">
              <w:rPr>
                <w:color w:val="000000" w:themeColor="text1"/>
                <w:sz w:val="18"/>
                <w:szCs w:val="18"/>
              </w:rPr>
              <w:t>Artículo</w:t>
            </w:r>
            <w:r w:rsidRPr="00A07D9A">
              <w:rPr>
                <w:color w:val="000000" w:themeColor="text1"/>
                <w:sz w:val="18"/>
                <w:szCs w:val="18"/>
              </w:rPr>
              <w:t xml:space="preserve"> 106. El cambio de bandas de frecuencias o de recursos orbitales, podrá realizarse de oficio o a solicitud de parte interesada. (…)</w:t>
            </w:r>
          </w:p>
          <w:p w14:paraId="65447D2C" w14:textId="77777777" w:rsidR="009665E5" w:rsidRPr="00A07D9A" w:rsidRDefault="009665E5" w:rsidP="0096024B">
            <w:pPr>
              <w:rPr>
                <w:color w:val="000000" w:themeColor="text1"/>
                <w:sz w:val="18"/>
                <w:szCs w:val="18"/>
              </w:rPr>
            </w:pPr>
            <w:r w:rsidRPr="00A07D9A">
              <w:rPr>
                <w:color w:val="000000" w:themeColor="text1"/>
                <w:sz w:val="18"/>
                <w:szCs w:val="18"/>
              </w:rPr>
              <w:t xml:space="preserve">Los concesionarios podrán intercambiar entre ellos una frecuencia, un conjunto de ellas, una banda completa o varias bandas de frecuencias o recursos orbitales que tengan concesionados, previa solicitud y autorización del IFT. El IFT resolverá lo conducente dentro de los cuarenta y cinco días hábiles contados a partir de la fecha en que se presente la solicitud, </w:t>
            </w:r>
            <w:r w:rsidRPr="00A07D9A">
              <w:rPr>
                <w:b/>
                <w:color w:val="000000" w:themeColor="text1"/>
                <w:sz w:val="18"/>
                <w:szCs w:val="18"/>
              </w:rPr>
              <w:t>debiendo verificar que el intercambio solicitado</w:t>
            </w:r>
            <w:r w:rsidRPr="00A07D9A">
              <w:rPr>
                <w:color w:val="000000" w:themeColor="text1"/>
                <w:sz w:val="18"/>
                <w:szCs w:val="18"/>
              </w:rPr>
              <w:t xml:space="preserve"> no cause alteración a la planeación, </w:t>
            </w:r>
            <w:r w:rsidRPr="00A07D9A">
              <w:rPr>
                <w:b/>
                <w:color w:val="000000" w:themeColor="text1"/>
                <w:sz w:val="18"/>
                <w:szCs w:val="18"/>
              </w:rPr>
              <w:t xml:space="preserve">no afecte la competencia y libre concurrencia o a terceros, no se generen fenómenos de concentración, acaparamiento o cualquier fenómeno contrario al proceso de competencia </w:t>
            </w:r>
            <w:r w:rsidRPr="00A07D9A">
              <w:rPr>
                <w:color w:val="000000" w:themeColor="text1"/>
                <w:sz w:val="18"/>
                <w:szCs w:val="18"/>
              </w:rPr>
              <w:t>y se obtenga un uso eficiente del espectro o de los recursos orbitales.”</w:t>
            </w:r>
          </w:p>
        </w:tc>
      </w:tr>
      <w:tr w:rsidR="00A07D9A" w:rsidRPr="00A07D9A" w14:paraId="11C41568" w14:textId="77777777" w:rsidTr="00A07D9A">
        <w:tc>
          <w:tcPr>
            <w:tcW w:w="2547" w:type="dxa"/>
          </w:tcPr>
          <w:p w14:paraId="2E9AEE14" w14:textId="77777777" w:rsidR="009665E5" w:rsidRPr="00A07D9A" w:rsidRDefault="009665E5" w:rsidP="00CF26C2">
            <w:pPr>
              <w:jc w:val="left"/>
              <w:rPr>
                <w:b/>
                <w:color w:val="000000" w:themeColor="text1"/>
                <w:sz w:val="18"/>
                <w:szCs w:val="18"/>
              </w:rPr>
            </w:pPr>
            <w:r w:rsidRPr="00A07D9A">
              <w:rPr>
                <w:color w:val="000000" w:themeColor="text1"/>
                <w:sz w:val="18"/>
                <w:szCs w:val="18"/>
              </w:rPr>
              <w:lastRenderedPageBreak/>
              <w:t>6. Cesiones de concesiones para usos comercial y privado.</w:t>
            </w:r>
          </w:p>
        </w:tc>
        <w:tc>
          <w:tcPr>
            <w:tcW w:w="6281" w:type="dxa"/>
          </w:tcPr>
          <w:p w14:paraId="08AC3F60" w14:textId="77777777" w:rsidR="009665E5" w:rsidRPr="00A07D9A" w:rsidRDefault="009665E5" w:rsidP="0096024B">
            <w:pPr>
              <w:rPr>
                <w:color w:val="000000" w:themeColor="text1"/>
                <w:sz w:val="18"/>
                <w:szCs w:val="18"/>
              </w:rPr>
            </w:pPr>
            <w:r w:rsidRPr="00A07D9A">
              <w:rPr>
                <w:color w:val="000000" w:themeColor="text1"/>
                <w:sz w:val="18"/>
                <w:szCs w:val="18"/>
              </w:rPr>
              <w:t>“</w:t>
            </w:r>
            <w:r w:rsidR="002B5B03" w:rsidRPr="00A07D9A">
              <w:rPr>
                <w:color w:val="000000" w:themeColor="text1"/>
                <w:sz w:val="18"/>
                <w:szCs w:val="18"/>
              </w:rPr>
              <w:t>Artículo</w:t>
            </w:r>
            <w:r w:rsidRPr="00A07D9A">
              <w:rPr>
                <w:color w:val="000000" w:themeColor="text1"/>
                <w:sz w:val="18"/>
                <w:szCs w:val="18"/>
              </w:rPr>
              <w:t xml:space="preserve"> 110. Sólo las concesiones para uso comercial o privado, esta última con propósitos de comunicación privada, podrán cederse previa autorización del IFT en los términos previstos en esta Ley.</w:t>
            </w:r>
          </w:p>
          <w:p w14:paraId="5307EBA3" w14:textId="77777777" w:rsidR="009665E5" w:rsidRPr="00A07D9A" w:rsidRDefault="009665E5" w:rsidP="0096024B">
            <w:pPr>
              <w:rPr>
                <w:color w:val="000000" w:themeColor="text1"/>
                <w:sz w:val="18"/>
                <w:szCs w:val="18"/>
              </w:rPr>
            </w:pPr>
            <w:r w:rsidRPr="00A07D9A">
              <w:rPr>
                <w:color w:val="000000" w:themeColor="text1"/>
                <w:sz w:val="18"/>
                <w:szCs w:val="18"/>
              </w:rPr>
              <w:t>(…)</w:t>
            </w:r>
          </w:p>
          <w:p w14:paraId="71E7BB08" w14:textId="77777777" w:rsidR="009665E5" w:rsidRPr="00A07D9A" w:rsidRDefault="009665E5" w:rsidP="0096024B">
            <w:pPr>
              <w:rPr>
                <w:color w:val="000000" w:themeColor="text1"/>
                <w:sz w:val="18"/>
                <w:szCs w:val="18"/>
              </w:rPr>
            </w:pPr>
            <w:r w:rsidRPr="00A07D9A">
              <w:rPr>
                <w:b/>
                <w:color w:val="000000" w:themeColor="text1"/>
                <w:sz w:val="18"/>
                <w:szCs w:val="18"/>
              </w:rPr>
              <w:t>Si la cesión actualizara la obligación de notificar una concentración conforme a lo previsto en la LFCE</w:t>
            </w:r>
            <w:r w:rsidRPr="00A07D9A">
              <w:rPr>
                <w:color w:val="000000" w:themeColor="text1"/>
                <w:sz w:val="18"/>
                <w:szCs w:val="18"/>
              </w:rPr>
              <w:t>, el IFT resolverá dentro del plazo previsto para dicho procedimiento, adicionando las consideraciones señaladas en este capítulo.”</w:t>
            </w:r>
          </w:p>
          <w:p w14:paraId="61FF148B" w14:textId="77777777" w:rsidR="009665E5" w:rsidRPr="00A07D9A" w:rsidRDefault="009665E5" w:rsidP="0096024B">
            <w:pPr>
              <w:rPr>
                <w:color w:val="000000" w:themeColor="text1"/>
                <w:sz w:val="18"/>
                <w:szCs w:val="18"/>
              </w:rPr>
            </w:pPr>
          </w:p>
        </w:tc>
      </w:tr>
      <w:tr w:rsidR="00A07D9A" w:rsidRPr="00A07D9A" w14:paraId="1D20C6D7" w14:textId="77777777" w:rsidTr="00A07D9A">
        <w:tc>
          <w:tcPr>
            <w:tcW w:w="2547" w:type="dxa"/>
          </w:tcPr>
          <w:p w14:paraId="2A75E264" w14:textId="77777777" w:rsidR="009665E5" w:rsidRPr="00A07D9A" w:rsidRDefault="009665E5" w:rsidP="00CF26C2">
            <w:pPr>
              <w:jc w:val="left"/>
              <w:rPr>
                <w:b/>
                <w:color w:val="000000" w:themeColor="text1"/>
                <w:sz w:val="18"/>
                <w:szCs w:val="18"/>
              </w:rPr>
            </w:pPr>
            <w:r w:rsidRPr="00A07D9A">
              <w:rPr>
                <w:color w:val="000000" w:themeColor="text1"/>
                <w:sz w:val="18"/>
                <w:szCs w:val="18"/>
              </w:rPr>
              <w:t>7. Suscripción o enajenación de acciones o partes sociales.</w:t>
            </w:r>
          </w:p>
        </w:tc>
        <w:tc>
          <w:tcPr>
            <w:tcW w:w="6281" w:type="dxa"/>
          </w:tcPr>
          <w:p w14:paraId="077AE53B" w14:textId="77777777" w:rsidR="009665E5" w:rsidRPr="00A07D9A" w:rsidRDefault="009665E5" w:rsidP="0096024B">
            <w:pPr>
              <w:rPr>
                <w:color w:val="000000" w:themeColor="text1"/>
                <w:sz w:val="18"/>
                <w:szCs w:val="18"/>
              </w:rPr>
            </w:pPr>
            <w:r w:rsidRPr="00A07D9A">
              <w:rPr>
                <w:color w:val="000000" w:themeColor="text1"/>
                <w:sz w:val="18"/>
                <w:szCs w:val="18"/>
              </w:rPr>
              <w:t>“</w:t>
            </w:r>
            <w:r w:rsidR="002B5B03" w:rsidRPr="00A07D9A">
              <w:rPr>
                <w:color w:val="000000" w:themeColor="text1"/>
                <w:sz w:val="18"/>
                <w:szCs w:val="18"/>
              </w:rPr>
              <w:t>Artículo</w:t>
            </w:r>
            <w:r w:rsidRPr="00A07D9A">
              <w:rPr>
                <w:color w:val="000000" w:themeColor="text1"/>
                <w:sz w:val="18"/>
                <w:szCs w:val="18"/>
              </w:rPr>
              <w:t xml:space="preserve"> 112 (…)</w:t>
            </w:r>
          </w:p>
          <w:p w14:paraId="10B8C62D" w14:textId="77777777" w:rsidR="009665E5" w:rsidRPr="00A07D9A" w:rsidRDefault="009665E5" w:rsidP="0096024B">
            <w:pPr>
              <w:rPr>
                <w:color w:val="000000" w:themeColor="text1"/>
                <w:sz w:val="18"/>
                <w:szCs w:val="18"/>
              </w:rPr>
            </w:pPr>
            <w:r w:rsidRPr="00A07D9A">
              <w:rPr>
                <w:color w:val="000000" w:themeColor="text1"/>
                <w:sz w:val="18"/>
                <w:szCs w:val="18"/>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 (…)</w:t>
            </w:r>
          </w:p>
          <w:p w14:paraId="1B97799A" w14:textId="77777777" w:rsidR="009665E5" w:rsidRPr="00A07D9A" w:rsidRDefault="009665E5" w:rsidP="0096024B">
            <w:pPr>
              <w:rPr>
                <w:color w:val="000000" w:themeColor="text1"/>
                <w:sz w:val="18"/>
                <w:szCs w:val="18"/>
              </w:rPr>
            </w:pPr>
            <w:r w:rsidRPr="00A07D9A">
              <w:rPr>
                <w:b/>
                <w:color w:val="000000" w:themeColor="text1"/>
                <w:sz w:val="18"/>
                <w:szCs w:val="18"/>
              </w:rPr>
              <w:t xml:space="preserve">En caso de que se actualice la obligación de notificar una concentración conforme a lo previsto en la Ley Federal de Competencia Económica, el IFT dará </w:t>
            </w:r>
            <w:r w:rsidR="00EB7743" w:rsidRPr="00A07D9A">
              <w:rPr>
                <w:b/>
                <w:color w:val="000000" w:themeColor="text1"/>
                <w:sz w:val="18"/>
                <w:szCs w:val="18"/>
              </w:rPr>
              <w:t>procedimiento</w:t>
            </w:r>
            <w:r w:rsidRPr="00A07D9A">
              <w:rPr>
                <w:b/>
                <w:color w:val="000000" w:themeColor="text1"/>
                <w:sz w:val="18"/>
                <w:szCs w:val="18"/>
              </w:rPr>
              <w:t xml:space="preserve"> a la solicitud conforme a lo previsto para dicho procedimiento</w:t>
            </w:r>
            <w:r w:rsidRPr="00A07D9A">
              <w:rPr>
                <w:color w:val="000000" w:themeColor="text1"/>
                <w:sz w:val="18"/>
                <w:szCs w:val="18"/>
              </w:rPr>
              <w:t xml:space="preserve"> en la ley de la materia, considerando además los criterios establecidos en esta Ley.”</w:t>
            </w:r>
          </w:p>
        </w:tc>
      </w:tr>
      <w:tr w:rsidR="00A07D9A" w:rsidRPr="00A07D9A" w14:paraId="2278D5E5" w14:textId="77777777" w:rsidTr="00A07D9A">
        <w:tc>
          <w:tcPr>
            <w:tcW w:w="2547" w:type="dxa"/>
          </w:tcPr>
          <w:p w14:paraId="0D78DAEF" w14:textId="77777777" w:rsidR="009665E5" w:rsidRPr="00A07D9A" w:rsidRDefault="009665E5" w:rsidP="00CF26C2">
            <w:pPr>
              <w:jc w:val="left"/>
              <w:rPr>
                <w:b/>
                <w:color w:val="000000" w:themeColor="text1"/>
                <w:sz w:val="18"/>
                <w:szCs w:val="18"/>
              </w:rPr>
            </w:pPr>
            <w:r w:rsidRPr="00A07D9A">
              <w:rPr>
                <w:color w:val="000000" w:themeColor="text1"/>
                <w:sz w:val="18"/>
                <w:szCs w:val="18"/>
              </w:rPr>
              <w:t xml:space="preserve">8. </w:t>
            </w:r>
            <w:r w:rsidR="00A71D3B" w:rsidRPr="00A07D9A">
              <w:rPr>
                <w:color w:val="000000" w:themeColor="text1"/>
                <w:sz w:val="18"/>
                <w:szCs w:val="18"/>
              </w:rPr>
              <w:t xml:space="preserve">Autorizar </w:t>
            </w:r>
            <w:r w:rsidRPr="00A07D9A">
              <w:rPr>
                <w:color w:val="000000" w:themeColor="text1"/>
                <w:sz w:val="18"/>
                <w:szCs w:val="18"/>
              </w:rPr>
              <w:t>el acceso a multiprogramación</w:t>
            </w:r>
            <w:r w:rsidR="00A71D3B" w:rsidRPr="00A07D9A">
              <w:rPr>
                <w:color w:val="000000" w:themeColor="text1"/>
                <w:sz w:val="18"/>
                <w:szCs w:val="18"/>
              </w:rPr>
              <w:t xml:space="preserve"> a concesionarios de radiodifusión</w:t>
            </w:r>
            <w:r w:rsidRPr="00A07D9A">
              <w:rPr>
                <w:color w:val="000000" w:themeColor="text1"/>
                <w:sz w:val="18"/>
                <w:szCs w:val="18"/>
              </w:rPr>
              <w:t>.</w:t>
            </w:r>
          </w:p>
        </w:tc>
        <w:tc>
          <w:tcPr>
            <w:tcW w:w="6281" w:type="dxa"/>
          </w:tcPr>
          <w:p w14:paraId="7073B878" w14:textId="77777777" w:rsidR="009665E5" w:rsidRPr="00A07D9A" w:rsidRDefault="009665E5" w:rsidP="0096024B">
            <w:pPr>
              <w:rPr>
                <w:color w:val="000000" w:themeColor="text1"/>
                <w:sz w:val="18"/>
                <w:szCs w:val="18"/>
              </w:rPr>
            </w:pPr>
            <w:r w:rsidRPr="00A07D9A">
              <w:rPr>
                <w:color w:val="000000" w:themeColor="text1"/>
                <w:sz w:val="18"/>
                <w:szCs w:val="18"/>
              </w:rPr>
              <w:t>“</w:t>
            </w:r>
            <w:r w:rsidR="002B5B03" w:rsidRPr="00A07D9A">
              <w:rPr>
                <w:color w:val="000000" w:themeColor="text1"/>
                <w:sz w:val="18"/>
                <w:szCs w:val="18"/>
              </w:rPr>
              <w:t xml:space="preserve">Artículo </w:t>
            </w:r>
            <w:r w:rsidRPr="00A07D9A">
              <w:rPr>
                <w:color w:val="000000" w:themeColor="text1"/>
                <w:sz w:val="18"/>
                <w:szCs w:val="18"/>
              </w:rPr>
              <w:t xml:space="preserve">158. El IFT otorgará autorizaciones para el acceso a la multiprogramación a los concesionarios que lo soliciten, </w:t>
            </w:r>
            <w:r w:rsidRPr="00A07D9A">
              <w:rPr>
                <w:b/>
                <w:color w:val="000000" w:themeColor="text1"/>
                <w:sz w:val="18"/>
                <w:szCs w:val="18"/>
              </w:rPr>
              <w:t>conforme a los principios de competencia</w:t>
            </w:r>
            <w:r w:rsidRPr="00A07D9A">
              <w:rPr>
                <w:color w:val="000000" w:themeColor="text1"/>
                <w:sz w:val="18"/>
                <w:szCs w:val="18"/>
              </w:rPr>
              <w:t xml:space="preserve"> y calidad, garantizando el derecho a la información y </w:t>
            </w:r>
            <w:r w:rsidRPr="00A07D9A">
              <w:rPr>
                <w:b/>
                <w:color w:val="000000" w:themeColor="text1"/>
                <w:sz w:val="18"/>
                <w:szCs w:val="18"/>
              </w:rPr>
              <w:t>atendiendo de manera particular la concentración nacional y regional de frecuencias</w:t>
            </w:r>
            <w:r w:rsidRPr="00A07D9A">
              <w:rPr>
                <w:color w:val="000000" w:themeColor="text1"/>
                <w:sz w:val="18"/>
                <w:szCs w:val="18"/>
              </w:rPr>
              <w:t>, incluyendo en su caso el pago de las contraprestaciones debidas bajo los siguientes criterios: (…)</w:t>
            </w:r>
            <w:r w:rsidR="00A71D3B" w:rsidRPr="00A07D9A">
              <w:rPr>
                <w:color w:val="000000" w:themeColor="text1"/>
                <w:sz w:val="18"/>
                <w:szCs w:val="18"/>
              </w:rPr>
              <w:t>.</w:t>
            </w:r>
            <w:r w:rsidRPr="00A07D9A">
              <w:rPr>
                <w:color w:val="000000" w:themeColor="text1"/>
                <w:sz w:val="18"/>
                <w:szCs w:val="18"/>
              </w:rPr>
              <w:t>”.</w:t>
            </w:r>
          </w:p>
        </w:tc>
      </w:tr>
    </w:tbl>
    <w:p w14:paraId="2BFAE8DB" w14:textId="77777777" w:rsidR="00A936C9" w:rsidRPr="00A07D9A" w:rsidRDefault="00FD14B9" w:rsidP="00A936C9">
      <w:pPr>
        <w:rPr>
          <w:color w:val="000000" w:themeColor="text1"/>
        </w:rPr>
      </w:pPr>
      <w:r w:rsidRPr="00A07D9A">
        <w:rPr>
          <w:color w:val="000000" w:themeColor="text1"/>
        </w:rPr>
        <w:t xml:space="preserve">Estos </w:t>
      </w:r>
      <w:r w:rsidR="00EB7743" w:rsidRPr="00A07D9A">
        <w:rPr>
          <w:color w:val="000000" w:themeColor="text1"/>
        </w:rPr>
        <w:t>procedimientos</w:t>
      </w:r>
      <w:r w:rsidR="00CF26C2" w:rsidRPr="00A07D9A">
        <w:rPr>
          <w:color w:val="000000" w:themeColor="text1"/>
        </w:rPr>
        <w:t xml:space="preserve"> involucran concentraciones, como se define en la LFCE, y</w:t>
      </w:r>
      <w:r w:rsidRPr="00A07D9A">
        <w:rPr>
          <w:color w:val="000000" w:themeColor="text1"/>
        </w:rPr>
        <w:t xml:space="preserve"> </w:t>
      </w:r>
      <w:r w:rsidR="00CF26C2" w:rsidRPr="00A07D9A">
        <w:rPr>
          <w:color w:val="000000" w:themeColor="text1"/>
        </w:rPr>
        <w:t xml:space="preserve">los </w:t>
      </w:r>
      <w:r w:rsidR="00EB7743" w:rsidRPr="00A07D9A">
        <w:rPr>
          <w:color w:val="000000" w:themeColor="text1"/>
        </w:rPr>
        <w:t>procedimientos</w:t>
      </w:r>
      <w:r w:rsidR="00CF26C2" w:rsidRPr="00A07D9A">
        <w:rPr>
          <w:color w:val="000000" w:themeColor="text1"/>
        </w:rPr>
        <w:t xml:space="preserve"> previstos específicamente en la</w:t>
      </w:r>
      <w:r w:rsidR="00A936C9" w:rsidRPr="00A07D9A">
        <w:rPr>
          <w:color w:val="000000" w:themeColor="text1"/>
        </w:rPr>
        <w:t xml:space="preserve"> LFTR </w:t>
      </w:r>
      <w:r w:rsidRPr="00A07D9A">
        <w:rPr>
          <w:color w:val="000000" w:themeColor="text1"/>
        </w:rPr>
        <w:t>establece</w:t>
      </w:r>
      <w:r w:rsidR="00CF26C2" w:rsidRPr="00A07D9A">
        <w:rPr>
          <w:color w:val="000000" w:themeColor="text1"/>
        </w:rPr>
        <w:t xml:space="preserve">n </w:t>
      </w:r>
      <w:r w:rsidRPr="00A07D9A">
        <w:rPr>
          <w:color w:val="000000" w:themeColor="text1"/>
        </w:rPr>
        <w:t>la obligación de</w:t>
      </w:r>
      <w:r w:rsidR="00A936C9" w:rsidRPr="00A07D9A">
        <w:rPr>
          <w:color w:val="000000" w:themeColor="text1"/>
        </w:rPr>
        <w:t xml:space="preserve"> prevenir fenómenos de concentración </w:t>
      </w:r>
      <w:r w:rsidRPr="00A07D9A">
        <w:rPr>
          <w:color w:val="000000" w:themeColor="text1"/>
        </w:rPr>
        <w:t>contrarios a</w:t>
      </w:r>
      <w:r w:rsidR="00A936C9" w:rsidRPr="00A07D9A">
        <w:rPr>
          <w:color w:val="000000" w:themeColor="text1"/>
        </w:rPr>
        <w:t>l interés público</w:t>
      </w:r>
      <w:r w:rsidRPr="00A07D9A">
        <w:rPr>
          <w:color w:val="000000" w:themeColor="text1"/>
        </w:rPr>
        <w:t xml:space="preserve"> y, para ello, se </w:t>
      </w:r>
      <w:r w:rsidR="00A936C9" w:rsidRPr="00A07D9A">
        <w:rPr>
          <w:color w:val="000000" w:themeColor="text1"/>
        </w:rPr>
        <w:t>utiliza el estándar de evaluación de concentraciones previsto en los artículos 63 y 64 de la LFCE.</w:t>
      </w:r>
    </w:p>
    <w:p w14:paraId="53C3EE27" w14:textId="77777777" w:rsidR="00A936C9" w:rsidRPr="00A07D9A" w:rsidRDefault="00CF26C2" w:rsidP="00CF26C2">
      <w:pPr>
        <w:rPr>
          <w:color w:val="000000" w:themeColor="text1"/>
        </w:rPr>
      </w:pPr>
      <w:r w:rsidRPr="00A07D9A">
        <w:rPr>
          <w:color w:val="000000" w:themeColor="text1"/>
        </w:rPr>
        <w:t>D</w:t>
      </w:r>
      <w:r w:rsidR="00A936C9" w:rsidRPr="00A07D9A">
        <w:rPr>
          <w:color w:val="000000" w:themeColor="text1"/>
        </w:rPr>
        <w:t xml:space="preserve">os de </w:t>
      </w:r>
      <w:r w:rsidRPr="00A07D9A">
        <w:rPr>
          <w:color w:val="000000" w:themeColor="text1"/>
        </w:rPr>
        <w:t xml:space="preserve">los </w:t>
      </w:r>
      <w:r w:rsidR="00EB7743" w:rsidRPr="00A07D9A">
        <w:rPr>
          <w:color w:val="000000" w:themeColor="text1"/>
        </w:rPr>
        <w:t>procedimientos</w:t>
      </w:r>
      <w:r w:rsidRPr="00A07D9A">
        <w:rPr>
          <w:color w:val="000000" w:themeColor="text1"/>
        </w:rPr>
        <w:t xml:space="preserve"> previstos en la LFTR -- Cesiones de concesiones para usos comercial y privado (6) y Suscripción o enajenación de acciones o partes sociales (7) – establecen </w:t>
      </w:r>
      <w:r w:rsidR="00A936C9" w:rsidRPr="00A07D9A">
        <w:rPr>
          <w:color w:val="000000" w:themeColor="text1"/>
        </w:rPr>
        <w:t>que</w:t>
      </w:r>
      <w:r w:rsidRPr="00A07D9A">
        <w:rPr>
          <w:color w:val="000000" w:themeColor="text1"/>
        </w:rPr>
        <w:t xml:space="preserve"> cuando la operación actualice</w:t>
      </w:r>
      <w:r w:rsidR="00A936C9" w:rsidRPr="00A07D9A">
        <w:rPr>
          <w:color w:val="000000" w:themeColor="text1"/>
        </w:rPr>
        <w:t xml:space="preserve"> los umbrales señalados en el artículo 86 de la LFCE, deberá seguirse </w:t>
      </w:r>
      <w:r w:rsidR="00AF0507" w:rsidRPr="00A07D9A">
        <w:rPr>
          <w:color w:val="000000" w:themeColor="text1"/>
        </w:rPr>
        <w:t>el</w:t>
      </w:r>
      <w:r w:rsidR="00A936C9" w:rsidRPr="00A07D9A">
        <w:rPr>
          <w:color w:val="000000" w:themeColor="text1"/>
        </w:rPr>
        <w:t xml:space="preserve"> procedimiento de notificación de concentraciones</w:t>
      </w:r>
      <w:r w:rsidR="00AF0507" w:rsidRPr="00A07D9A">
        <w:rPr>
          <w:color w:val="000000" w:themeColor="text1"/>
        </w:rPr>
        <w:t xml:space="preserve"> previsto en el artículo 90 de la LFCE</w:t>
      </w:r>
      <w:r w:rsidR="00A936C9" w:rsidRPr="00A07D9A">
        <w:rPr>
          <w:color w:val="000000" w:themeColor="text1"/>
        </w:rPr>
        <w:t xml:space="preserve">, </w:t>
      </w:r>
      <w:r w:rsidR="00AF0507" w:rsidRPr="00A07D9A">
        <w:rPr>
          <w:color w:val="000000" w:themeColor="text1"/>
        </w:rPr>
        <w:t xml:space="preserve">en el cual deberán observarse </w:t>
      </w:r>
      <w:r w:rsidR="00A936C9" w:rsidRPr="00A07D9A">
        <w:rPr>
          <w:color w:val="000000" w:themeColor="text1"/>
        </w:rPr>
        <w:t xml:space="preserve">los requisitos y/o elementos que </w:t>
      </w:r>
      <w:r w:rsidR="00AF0507" w:rsidRPr="00A07D9A">
        <w:rPr>
          <w:color w:val="000000" w:themeColor="text1"/>
        </w:rPr>
        <w:t>la LFTR establezca</w:t>
      </w:r>
      <w:r w:rsidR="00D46724" w:rsidRPr="00A07D9A">
        <w:rPr>
          <w:color w:val="000000" w:themeColor="text1"/>
        </w:rPr>
        <w:t>, así como la correcta presentación de la información y/o documentación en términos de la LFCE</w:t>
      </w:r>
      <w:r w:rsidR="00A936C9" w:rsidRPr="00A07D9A">
        <w:rPr>
          <w:color w:val="000000" w:themeColor="text1"/>
        </w:rPr>
        <w:t>.</w:t>
      </w:r>
    </w:p>
    <w:p w14:paraId="1E942AC8" w14:textId="77777777" w:rsidR="00A936C9" w:rsidRPr="00A07D9A" w:rsidRDefault="00A936C9" w:rsidP="00A936C9">
      <w:pPr>
        <w:rPr>
          <w:color w:val="000000" w:themeColor="text1"/>
        </w:rPr>
      </w:pPr>
      <w:r w:rsidRPr="00A07D9A">
        <w:rPr>
          <w:color w:val="000000" w:themeColor="text1"/>
        </w:rPr>
        <w:lastRenderedPageBreak/>
        <w:t xml:space="preserve">Al efecto, los procedimientos </w:t>
      </w:r>
      <w:r w:rsidR="0057488F" w:rsidRPr="00A07D9A">
        <w:rPr>
          <w:color w:val="000000" w:themeColor="text1"/>
        </w:rPr>
        <w:t xml:space="preserve">regulatorios </w:t>
      </w:r>
      <w:r w:rsidRPr="00A07D9A">
        <w:rPr>
          <w:color w:val="000000" w:themeColor="text1"/>
        </w:rPr>
        <w:t>que en su caso deberán seguirse en vía de notificación de concentraciones al actualizar los umbrales previstos en la LFCE son:</w:t>
      </w:r>
    </w:p>
    <w:p w14:paraId="353A019D" w14:textId="77777777" w:rsidR="00A936C9" w:rsidRPr="00A07D9A" w:rsidRDefault="00A936C9" w:rsidP="00FE6791">
      <w:pPr>
        <w:pStyle w:val="Prrafodelista"/>
        <w:numPr>
          <w:ilvl w:val="0"/>
          <w:numId w:val="47"/>
        </w:numPr>
        <w:spacing w:after="160" w:line="259" w:lineRule="auto"/>
        <w:ind w:left="1077"/>
        <w:rPr>
          <w:color w:val="000000" w:themeColor="text1"/>
        </w:rPr>
      </w:pPr>
      <w:r w:rsidRPr="00A07D9A">
        <w:rPr>
          <w:color w:val="000000" w:themeColor="text1"/>
        </w:rPr>
        <w:t>Cesiones de concesiones para uso comercial y/o privado, de conformidad con en el artículo 110 de la LFTR, y</w:t>
      </w:r>
    </w:p>
    <w:p w14:paraId="0D5CBE67" w14:textId="77777777" w:rsidR="00A936C9" w:rsidRPr="00A07D9A" w:rsidRDefault="00A936C9" w:rsidP="00FE6791">
      <w:pPr>
        <w:pStyle w:val="Prrafodelista"/>
        <w:numPr>
          <w:ilvl w:val="0"/>
          <w:numId w:val="47"/>
        </w:numPr>
        <w:spacing w:after="160" w:line="259" w:lineRule="auto"/>
        <w:ind w:left="1077"/>
        <w:rPr>
          <w:color w:val="000000" w:themeColor="text1"/>
        </w:rPr>
      </w:pPr>
      <w:r w:rsidRPr="00A07D9A">
        <w:rPr>
          <w:color w:val="000000" w:themeColor="text1"/>
        </w:rPr>
        <w:t xml:space="preserve">Suscripción o enajenación de acciones o partes sociales (cambios de control accionario), prevista en el artículo 112 de la LFTR. </w:t>
      </w:r>
    </w:p>
    <w:p w14:paraId="3A012B24" w14:textId="77777777" w:rsidR="004D20DE" w:rsidRPr="00A07D9A" w:rsidRDefault="004D20DE" w:rsidP="00A936C9">
      <w:pPr>
        <w:rPr>
          <w:color w:val="000000" w:themeColor="text1"/>
        </w:rPr>
      </w:pPr>
      <w:r w:rsidRPr="00A07D9A">
        <w:rPr>
          <w:color w:val="000000" w:themeColor="text1"/>
        </w:rPr>
        <w:t>En dichos procedimientos</w:t>
      </w:r>
      <w:r w:rsidR="00CB3CE8" w:rsidRPr="00A07D9A">
        <w:rPr>
          <w:color w:val="000000" w:themeColor="text1"/>
        </w:rPr>
        <w:t>,</w:t>
      </w:r>
      <w:r w:rsidRPr="00A07D9A">
        <w:rPr>
          <w:color w:val="000000" w:themeColor="text1"/>
        </w:rPr>
        <w:t xml:space="preserve"> </w:t>
      </w:r>
      <w:r w:rsidR="00992F9A" w:rsidRPr="00A07D9A">
        <w:rPr>
          <w:color w:val="000000" w:themeColor="text1"/>
        </w:rPr>
        <w:t xml:space="preserve">incluso </w:t>
      </w:r>
      <w:r w:rsidRPr="00A07D9A">
        <w:rPr>
          <w:color w:val="000000" w:themeColor="text1"/>
        </w:rPr>
        <w:t>cuando no se superan l</w:t>
      </w:r>
      <w:r w:rsidR="00992F9A" w:rsidRPr="00A07D9A">
        <w:rPr>
          <w:color w:val="000000" w:themeColor="text1"/>
        </w:rPr>
        <w:t xml:space="preserve">os umbrales y bajo los supuestos previstos en </w:t>
      </w:r>
      <w:r w:rsidRPr="00A07D9A">
        <w:rPr>
          <w:color w:val="000000" w:themeColor="text1"/>
        </w:rPr>
        <w:t>los artículos 110 y 112</w:t>
      </w:r>
      <w:r w:rsidR="00992F9A" w:rsidRPr="00A07D9A">
        <w:rPr>
          <w:color w:val="000000" w:themeColor="text1"/>
        </w:rPr>
        <w:t xml:space="preserve"> de la LFTR</w:t>
      </w:r>
      <w:r w:rsidRPr="00A07D9A">
        <w:rPr>
          <w:color w:val="000000" w:themeColor="text1"/>
        </w:rPr>
        <w:t xml:space="preserve">, la UCE </w:t>
      </w:r>
      <w:r w:rsidR="00992F9A" w:rsidRPr="00A07D9A">
        <w:rPr>
          <w:color w:val="000000" w:themeColor="text1"/>
        </w:rPr>
        <w:t xml:space="preserve">puede emitir a petición de la UCS </w:t>
      </w:r>
      <w:r w:rsidRPr="00A07D9A">
        <w:rPr>
          <w:color w:val="000000" w:themeColor="text1"/>
        </w:rPr>
        <w:t xml:space="preserve">una opinión en materia de competencia económica que </w:t>
      </w:r>
      <w:r w:rsidR="00992F9A" w:rsidRPr="00A07D9A">
        <w:rPr>
          <w:color w:val="000000" w:themeColor="text1"/>
        </w:rPr>
        <w:t xml:space="preserve">podrá </w:t>
      </w:r>
      <w:r w:rsidRPr="00A07D9A">
        <w:rPr>
          <w:color w:val="000000" w:themeColor="text1"/>
        </w:rPr>
        <w:t>fungir como insumo para el Pleno del Instituto al momento de resolver</w:t>
      </w:r>
      <w:r w:rsidR="00992F9A" w:rsidRPr="00A07D9A">
        <w:rPr>
          <w:color w:val="000000" w:themeColor="text1"/>
        </w:rPr>
        <w:t xml:space="preserve"> sobre estos</w:t>
      </w:r>
      <w:r w:rsidRPr="00A07D9A">
        <w:rPr>
          <w:color w:val="000000" w:themeColor="text1"/>
        </w:rPr>
        <w:t>.</w:t>
      </w:r>
    </w:p>
    <w:p w14:paraId="59E0E6FB" w14:textId="77777777" w:rsidR="00CB3CE8" w:rsidRPr="00A07D9A" w:rsidRDefault="004D20DE" w:rsidP="00A936C9">
      <w:pPr>
        <w:rPr>
          <w:color w:val="000000" w:themeColor="text1"/>
        </w:rPr>
      </w:pPr>
      <w:r w:rsidRPr="00A07D9A">
        <w:rPr>
          <w:color w:val="000000" w:themeColor="text1"/>
        </w:rPr>
        <w:t xml:space="preserve">Esencialmente, para todos tales trámites que requieren una opinión en materia de competencia económica, </w:t>
      </w:r>
      <w:r w:rsidR="00CB3CE8" w:rsidRPr="00A07D9A">
        <w:rPr>
          <w:color w:val="000000" w:themeColor="text1"/>
        </w:rPr>
        <w:t xml:space="preserve">el IFT </w:t>
      </w:r>
      <w:r w:rsidRPr="00A07D9A">
        <w:rPr>
          <w:color w:val="000000" w:themeColor="text1"/>
        </w:rPr>
        <w:t>(y específicamente la UCE)</w:t>
      </w:r>
      <w:r w:rsidR="00992F9A" w:rsidRPr="00A07D9A">
        <w:rPr>
          <w:color w:val="000000" w:themeColor="text1"/>
        </w:rPr>
        <w:t xml:space="preserve"> </w:t>
      </w:r>
      <w:r w:rsidR="00CB3CE8" w:rsidRPr="00A07D9A">
        <w:rPr>
          <w:color w:val="000000" w:themeColor="text1"/>
        </w:rPr>
        <w:t xml:space="preserve">evalúa a los solicitantes bajo su dimensión </w:t>
      </w:r>
      <w:r w:rsidR="00992F9A" w:rsidRPr="00A07D9A">
        <w:rPr>
          <w:color w:val="000000" w:themeColor="text1"/>
        </w:rPr>
        <w:t>de GIE y considerando a las personas con las que tiene vínculos de tipo de comercial, organizativo, económico o jurídico, así como haciendo uso de los criterios y normas previstos en la LFCE.</w:t>
      </w:r>
    </w:p>
    <w:p w14:paraId="240A2266" w14:textId="77777777" w:rsidR="00A936C9" w:rsidRPr="00A07D9A" w:rsidRDefault="00A936C9" w:rsidP="00A936C9">
      <w:pPr>
        <w:rPr>
          <w:color w:val="000000" w:themeColor="text1"/>
        </w:rPr>
      </w:pPr>
      <w:r w:rsidRPr="00A07D9A">
        <w:rPr>
          <w:color w:val="000000" w:themeColor="text1"/>
        </w:rPr>
        <w:t xml:space="preserve">Por otra parte, dos de los procedimientos especificados exigen </w:t>
      </w:r>
      <w:r w:rsidR="003A6739" w:rsidRPr="00A07D9A">
        <w:rPr>
          <w:color w:val="000000" w:themeColor="text1"/>
        </w:rPr>
        <w:t xml:space="preserve">obligadamente </w:t>
      </w:r>
      <w:r w:rsidRPr="00A07D9A">
        <w:rPr>
          <w:color w:val="000000" w:themeColor="text1"/>
        </w:rPr>
        <w:t>la presencia de una evaluación en materia de concentraciones previ</w:t>
      </w:r>
      <w:r w:rsidR="0057488F" w:rsidRPr="00A07D9A">
        <w:rPr>
          <w:color w:val="000000" w:themeColor="text1"/>
        </w:rPr>
        <w:t>amente</w:t>
      </w:r>
      <w:r w:rsidRPr="00A07D9A">
        <w:rPr>
          <w:color w:val="000000" w:themeColor="text1"/>
        </w:rPr>
        <w:t xml:space="preserve"> a su resolución, y estos son:</w:t>
      </w:r>
    </w:p>
    <w:p w14:paraId="33D65628" w14:textId="77777777" w:rsidR="00A936C9" w:rsidRPr="00A07D9A" w:rsidRDefault="00A936C9" w:rsidP="00FE6791">
      <w:pPr>
        <w:pStyle w:val="Prrafodelista"/>
        <w:numPr>
          <w:ilvl w:val="0"/>
          <w:numId w:val="48"/>
        </w:numPr>
        <w:spacing w:after="160" w:line="259" w:lineRule="auto"/>
        <w:ind w:left="1077"/>
        <w:rPr>
          <w:color w:val="000000" w:themeColor="text1"/>
        </w:rPr>
      </w:pPr>
      <w:r w:rsidRPr="00A07D9A">
        <w:rPr>
          <w:color w:val="000000" w:themeColor="text1"/>
        </w:rPr>
        <w:t>Arrendamiento de bandas de frecuencia del espectro radioeléctrico para usos comercial y/o privado, previsto en el artículo 104 de la LFTR, y</w:t>
      </w:r>
    </w:p>
    <w:p w14:paraId="40B411BA" w14:textId="77777777" w:rsidR="00A936C9" w:rsidRPr="00A07D9A" w:rsidRDefault="00A936C9" w:rsidP="00FE6791">
      <w:pPr>
        <w:pStyle w:val="Prrafodelista"/>
        <w:numPr>
          <w:ilvl w:val="0"/>
          <w:numId w:val="48"/>
        </w:numPr>
        <w:spacing w:after="160" w:line="259" w:lineRule="auto"/>
        <w:ind w:left="1077"/>
        <w:rPr>
          <w:color w:val="000000" w:themeColor="text1"/>
        </w:rPr>
      </w:pPr>
      <w:r w:rsidRPr="00A07D9A">
        <w:rPr>
          <w:color w:val="000000" w:themeColor="text1"/>
        </w:rPr>
        <w:t xml:space="preserve">Intercambio de bandas de frecuencia del espectro radioeléctrico o de recursos orbitales, en términos del artículo 106 de la LFTR. </w:t>
      </w:r>
    </w:p>
    <w:p w14:paraId="5718D433" w14:textId="0FB362AA" w:rsidR="0045263E" w:rsidRPr="00A07D9A" w:rsidRDefault="0045263E" w:rsidP="0045263E">
      <w:pPr>
        <w:pStyle w:val="Prrafodelista"/>
        <w:numPr>
          <w:ilvl w:val="0"/>
          <w:numId w:val="0"/>
        </w:numPr>
        <w:spacing w:after="160" w:line="259" w:lineRule="auto"/>
        <w:rPr>
          <w:color w:val="000000" w:themeColor="text1"/>
        </w:rPr>
      </w:pPr>
      <w:r w:rsidRPr="00A07D9A">
        <w:rPr>
          <w:color w:val="000000" w:themeColor="text1"/>
        </w:rPr>
        <w:t>Adicionalmente, en la práctica, e</w:t>
      </w:r>
      <w:r w:rsidR="00A735E9" w:rsidRPr="00A07D9A">
        <w:rPr>
          <w:color w:val="000000" w:themeColor="text1"/>
        </w:rPr>
        <w:t>l</w:t>
      </w:r>
      <w:r w:rsidRPr="00A07D9A">
        <w:rPr>
          <w:color w:val="000000" w:themeColor="text1"/>
        </w:rPr>
        <w:t xml:space="preserve"> análisis de las solicitudes de prórroga de concesiones previstas en los artículos 113 y 114 de la LFTR, incluyen una opinión </w:t>
      </w:r>
      <w:r w:rsidR="006A4430" w:rsidRPr="00A07D9A">
        <w:rPr>
          <w:color w:val="000000" w:themeColor="text1"/>
        </w:rPr>
        <w:t xml:space="preserve">al interior del Instituto emitida por la </w:t>
      </w:r>
      <w:r w:rsidR="00992F9A" w:rsidRPr="00A07D9A">
        <w:rPr>
          <w:color w:val="000000" w:themeColor="text1"/>
        </w:rPr>
        <w:t xml:space="preserve">UCE </w:t>
      </w:r>
      <w:r w:rsidR="006A4430" w:rsidRPr="00A07D9A">
        <w:rPr>
          <w:color w:val="000000" w:themeColor="text1"/>
        </w:rPr>
        <w:t>y que resulta no vinculante sobre dicha</w:t>
      </w:r>
      <w:r w:rsidRPr="00A07D9A">
        <w:rPr>
          <w:color w:val="000000" w:themeColor="text1"/>
        </w:rPr>
        <w:t xml:space="preserve"> materia</w:t>
      </w:r>
      <w:r w:rsidR="006A4430" w:rsidRPr="00A07D9A">
        <w:rPr>
          <w:color w:val="000000" w:themeColor="text1"/>
        </w:rPr>
        <w:t>, misma</w:t>
      </w:r>
      <w:r w:rsidRPr="00A07D9A">
        <w:rPr>
          <w:color w:val="000000" w:themeColor="text1"/>
        </w:rPr>
        <w:t xml:space="preserve"> que el Pleno del IFT </w:t>
      </w:r>
      <w:r w:rsidR="006A4430" w:rsidRPr="00A07D9A">
        <w:rPr>
          <w:color w:val="000000" w:themeColor="text1"/>
        </w:rPr>
        <w:t xml:space="preserve">podrá </w:t>
      </w:r>
      <w:r w:rsidRPr="00A07D9A">
        <w:rPr>
          <w:color w:val="000000" w:themeColor="text1"/>
        </w:rPr>
        <w:t>considera</w:t>
      </w:r>
      <w:r w:rsidR="006A4430" w:rsidRPr="00A07D9A">
        <w:rPr>
          <w:color w:val="000000" w:themeColor="text1"/>
        </w:rPr>
        <w:t>r</w:t>
      </w:r>
      <w:r w:rsidRPr="00A07D9A">
        <w:rPr>
          <w:color w:val="000000" w:themeColor="text1"/>
        </w:rPr>
        <w:t xml:space="preserve"> para resolver lo conducente</w:t>
      </w:r>
      <w:r w:rsidR="006A4430" w:rsidRPr="00A07D9A">
        <w:rPr>
          <w:color w:val="000000" w:themeColor="text1"/>
        </w:rPr>
        <w:t xml:space="preserve"> y atendiendo a las particularidades de cada</w:t>
      </w:r>
      <w:r w:rsidRPr="00A07D9A">
        <w:rPr>
          <w:color w:val="000000" w:themeColor="text1"/>
        </w:rPr>
        <w:t xml:space="preserve"> caso.</w:t>
      </w:r>
      <w:r w:rsidR="00456FDF" w:rsidRPr="00A07D9A">
        <w:rPr>
          <w:rStyle w:val="Refdenotaalpie"/>
          <w:color w:val="000000" w:themeColor="text1"/>
        </w:rPr>
        <w:footnoteReference w:id="85"/>
      </w:r>
      <w:r w:rsidRPr="00A07D9A">
        <w:rPr>
          <w:color w:val="000000" w:themeColor="text1"/>
        </w:rPr>
        <w:t xml:space="preserve"> Las opiniones en materia de competencia económica toman en consideración </w:t>
      </w:r>
      <w:r w:rsidR="00A04E9F" w:rsidRPr="00A07D9A">
        <w:rPr>
          <w:color w:val="000000" w:themeColor="text1"/>
        </w:rPr>
        <w:t xml:space="preserve">los </w:t>
      </w:r>
      <w:r w:rsidRPr="00A07D9A">
        <w:rPr>
          <w:color w:val="000000" w:themeColor="text1"/>
        </w:rPr>
        <w:t>elementos de la LFCE aplicables al análisis de concentraciones.</w:t>
      </w:r>
    </w:p>
    <w:p w14:paraId="6E919B3D" w14:textId="77777777" w:rsidR="00992F9A" w:rsidRPr="00A07D9A" w:rsidRDefault="00992F9A" w:rsidP="0045263E">
      <w:pPr>
        <w:pStyle w:val="Prrafodelista"/>
        <w:numPr>
          <w:ilvl w:val="0"/>
          <w:numId w:val="0"/>
        </w:numPr>
        <w:spacing w:after="160" w:line="259" w:lineRule="auto"/>
        <w:rPr>
          <w:color w:val="000000" w:themeColor="text1"/>
        </w:rPr>
      </w:pPr>
      <w:r w:rsidRPr="00A07D9A">
        <w:rPr>
          <w:color w:val="000000" w:themeColor="text1"/>
        </w:rPr>
        <w:t xml:space="preserve">Por otra parte, existen otros procedimientos previstos en la LFTR para los cuales la misma legislación ya prevé que, como parte de su evaluación, se prevenga sobre posibles fenómenos de concentración que pudieran afectar el interés público. Tal </w:t>
      </w:r>
      <w:r w:rsidRPr="00A07D9A">
        <w:rPr>
          <w:color w:val="000000" w:themeColor="text1"/>
        </w:rPr>
        <w:lastRenderedPageBreak/>
        <w:t xml:space="preserve">es el caso del otorgamiento de concesiones de uso público y social </w:t>
      </w:r>
      <w:r w:rsidR="00E71E15" w:rsidRPr="00A07D9A">
        <w:rPr>
          <w:color w:val="000000" w:themeColor="text1"/>
        </w:rPr>
        <w:t xml:space="preserve">(artículo 90 de la LFTR) </w:t>
      </w:r>
      <w:r w:rsidRPr="00A07D9A">
        <w:rPr>
          <w:color w:val="000000" w:themeColor="text1"/>
        </w:rPr>
        <w:t xml:space="preserve">en donde, como parte del análisis para su emisión, el Pleno del Instituto tiene como insumo la opinión interna que al efecto emite la UCE respecto de posibles cuestiones de acumulación en la localidad o ámbito de cobertura para el cual tendrá sus efectos la concesión respectiva. </w:t>
      </w:r>
    </w:p>
    <w:p w14:paraId="62FD76E2" w14:textId="77777777" w:rsidR="00E71E15" w:rsidRPr="00A07D9A" w:rsidRDefault="00E71E15" w:rsidP="0045263E">
      <w:pPr>
        <w:pStyle w:val="Prrafodelista"/>
        <w:numPr>
          <w:ilvl w:val="0"/>
          <w:numId w:val="0"/>
        </w:numPr>
        <w:spacing w:after="160" w:line="259" w:lineRule="auto"/>
        <w:rPr>
          <w:color w:val="000000" w:themeColor="text1"/>
        </w:rPr>
      </w:pPr>
      <w:r w:rsidRPr="00A07D9A">
        <w:rPr>
          <w:color w:val="000000" w:themeColor="text1"/>
        </w:rPr>
        <w:t>Algo similar sucede con los trámites de autorizaciones de acceso a multiprogramación a concesionarios de radiodifusión (artículo 158 de la LFTR), en donde el IFT previene sobre posibles concentraciones regional y/</w:t>
      </w:r>
      <w:r w:rsidR="00C906BE" w:rsidRPr="00A07D9A">
        <w:rPr>
          <w:color w:val="000000" w:themeColor="text1"/>
        </w:rPr>
        <w:t>o nacional de frecuencias, al mismo tiempo de que</w:t>
      </w:r>
      <w:r w:rsidRPr="00A07D9A">
        <w:rPr>
          <w:color w:val="000000" w:themeColor="text1"/>
        </w:rPr>
        <w:t xml:space="preserve"> resuelve en apego a principios de competencia.</w:t>
      </w:r>
    </w:p>
    <w:p w14:paraId="30C6A288" w14:textId="77777777" w:rsidR="00E71E15" w:rsidRPr="00A07D9A" w:rsidRDefault="00E71E15" w:rsidP="0045263E">
      <w:pPr>
        <w:pStyle w:val="Prrafodelista"/>
        <w:numPr>
          <w:ilvl w:val="0"/>
          <w:numId w:val="0"/>
        </w:numPr>
        <w:spacing w:after="160" w:line="259" w:lineRule="auto"/>
        <w:rPr>
          <w:color w:val="000000" w:themeColor="text1"/>
        </w:rPr>
      </w:pPr>
      <w:r w:rsidRPr="00A07D9A">
        <w:rPr>
          <w:color w:val="000000" w:themeColor="text1"/>
        </w:rPr>
        <w:t>Precisamente, en términos de los Lineamientos Generales para Acceso a la Multiprogramación</w:t>
      </w:r>
      <w:r w:rsidR="00C906BE" w:rsidRPr="00A07D9A">
        <w:rPr>
          <w:rStyle w:val="Refdenotaalpie"/>
          <w:color w:val="000000" w:themeColor="text1"/>
        </w:rPr>
        <w:footnoteReference w:id="86"/>
      </w:r>
      <w:r w:rsidRPr="00A07D9A">
        <w:rPr>
          <w:color w:val="000000" w:themeColor="text1"/>
        </w:rPr>
        <w:t xml:space="preserve"> emitidos por el IFT, se establece que:</w:t>
      </w:r>
    </w:p>
    <w:p w14:paraId="4F55FA7F" w14:textId="77777777" w:rsidR="00E71E15" w:rsidRPr="00A07D9A" w:rsidRDefault="00E71E15" w:rsidP="0082165A">
      <w:pPr>
        <w:pStyle w:val="Prrafodelista"/>
        <w:numPr>
          <w:ilvl w:val="0"/>
          <w:numId w:val="0"/>
        </w:numPr>
        <w:spacing w:after="160" w:line="259" w:lineRule="auto"/>
        <w:ind w:left="720"/>
        <w:rPr>
          <w:color w:val="000000" w:themeColor="text1"/>
        </w:rPr>
      </w:pPr>
      <w:r w:rsidRPr="00A07D9A">
        <w:rPr>
          <w:color w:val="000000" w:themeColor="text1"/>
        </w:rPr>
        <w:t xml:space="preserve">Artículo 24.- El Instituto como parte del análisis materia de la solicitud de acceso a Canales de Programación en Multiprogramación por parte de Concesionarios de Radiodifusión </w:t>
      </w:r>
      <w:r w:rsidRPr="00A07D9A">
        <w:rPr>
          <w:b/>
          <w:color w:val="000000" w:themeColor="text1"/>
        </w:rPr>
        <w:t xml:space="preserve">verificará si el peticionario concentra frecuencias del Espectro Radioeléctrico regional o nacionalmente o si como resultado de la autorización podría resultar afectada la competencia, la libre concurrencia y/o la pluralidad, </w:t>
      </w:r>
      <w:r w:rsidRPr="00A07D9A">
        <w:rPr>
          <w:color w:val="000000" w:themeColor="text1"/>
        </w:rPr>
        <w:t>en términos de las disposiciones normativas aplicables.</w:t>
      </w:r>
    </w:p>
    <w:p w14:paraId="3077B1BB" w14:textId="77777777" w:rsidR="00C906BE" w:rsidRPr="00A07D9A" w:rsidRDefault="00C906BE" w:rsidP="0082165A">
      <w:pPr>
        <w:spacing w:after="160" w:line="259" w:lineRule="auto"/>
        <w:rPr>
          <w:color w:val="000000" w:themeColor="text1"/>
        </w:rPr>
      </w:pPr>
      <w:r w:rsidRPr="00A07D9A">
        <w:rPr>
          <w:color w:val="000000" w:themeColor="text1"/>
        </w:rPr>
        <w:t>Enseguida, tales Lineamientos prevén que, en caso de concentraciones de frecuencias:</w:t>
      </w:r>
    </w:p>
    <w:p w14:paraId="7AEA135E" w14:textId="77777777" w:rsidR="00E71E15" w:rsidRPr="00A07D9A" w:rsidRDefault="00E71E15" w:rsidP="0082165A">
      <w:pPr>
        <w:pStyle w:val="Prrafodelista"/>
        <w:numPr>
          <w:ilvl w:val="0"/>
          <w:numId w:val="0"/>
        </w:numPr>
        <w:spacing w:after="160" w:line="259" w:lineRule="auto"/>
        <w:ind w:left="720"/>
        <w:rPr>
          <w:color w:val="000000" w:themeColor="text1"/>
        </w:rPr>
      </w:pPr>
      <w:r w:rsidRPr="00A07D9A">
        <w:rPr>
          <w:color w:val="000000" w:themeColor="text1"/>
        </w:rPr>
        <w:t xml:space="preserve">Artículo 25.- En caso de que el análisis a que se refiere el artículo anterior arroje que el solicitante concentra frecuencias del Espectro Radioeléctrico, regional o nacionalmente o que la autorización afectaría la competencia, la libre concurrencia y/o la pluralidad </w:t>
      </w:r>
      <w:r w:rsidRPr="00A07D9A">
        <w:rPr>
          <w:b/>
          <w:color w:val="000000" w:themeColor="text1"/>
        </w:rPr>
        <w:t>podrá autorizarse el acceso a Canales de Programación en Multiprogramación para sí mismo siempre y cuando acepte expresamente las condiciones que en el caso concreto imponga el Instituto</w:t>
      </w:r>
      <w:r w:rsidRPr="00A07D9A">
        <w:rPr>
          <w:color w:val="000000" w:themeColor="text1"/>
        </w:rPr>
        <w:t>.</w:t>
      </w:r>
    </w:p>
    <w:p w14:paraId="793BA979" w14:textId="6FDCDFCF" w:rsidR="00C906BE" w:rsidRPr="00A07D9A" w:rsidRDefault="00E71E15" w:rsidP="0082165A">
      <w:pPr>
        <w:pStyle w:val="Prrafodelista"/>
        <w:numPr>
          <w:ilvl w:val="0"/>
          <w:numId w:val="0"/>
        </w:numPr>
        <w:spacing w:after="160" w:line="259" w:lineRule="auto"/>
        <w:ind w:left="720"/>
        <w:rPr>
          <w:color w:val="000000" w:themeColor="text1"/>
        </w:rPr>
      </w:pPr>
      <w:r w:rsidRPr="00A07D9A">
        <w:rPr>
          <w:color w:val="000000" w:themeColor="text1"/>
        </w:rPr>
        <w:t>El Instituto notificará personalmente al solicitante que se sitúe en dicho supuesto y le requerirá expresamente la aceptación de las condiciones correspondiente. Dicha notificación suspenderá el plazo establecido en el artículo 14 de los Lineamientos, mismo que comenzará a transcurrir al día siguiente de que, en su caso, se desahogue el requerimiento. En caso de no atender el requerimiento se desechará el trámit</w:t>
      </w:r>
      <w:r w:rsidR="00C906BE" w:rsidRPr="00A07D9A">
        <w:rPr>
          <w:color w:val="000000" w:themeColor="text1"/>
        </w:rPr>
        <w:t>e.</w:t>
      </w:r>
    </w:p>
    <w:p w14:paraId="00E1769B" w14:textId="77777777" w:rsidR="00A936C9" w:rsidRPr="00A07D9A" w:rsidRDefault="00A936C9" w:rsidP="00847B31">
      <w:pPr>
        <w:pStyle w:val="Ttulo3"/>
        <w:rPr>
          <w:color w:val="000000" w:themeColor="text1"/>
        </w:rPr>
      </w:pPr>
      <w:bookmarkStart w:id="104" w:name="_Toc486519850"/>
      <w:r w:rsidRPr="00A07D9A">
        <w:rPr>
          <w:color w:val="000000" w:themeColor="text1"/>
        </w:rPr>
        <w:lastRenderedPageBreak/>
        <w:t>Arrend</w:t>
      </w:r>
      <w:r w:rsidR="00847B31" w:rsidRPr="00A07D9A">
        <w:rPr>
          <w:color w:val="000000" w:themeColor="text1"/>
        </w:rPr>
        <w:t>amiento de bandas de frecuencia</w:t>
      </w:r>
      <w:bookmarkEnd w:id="104"/>
    </w:p>
    <w:p w14:paraId="648FC9AF" w14:textId="77777777" w:rsidR="00A936C9" w:rsidRPr="00A07D9A" w:rsidRDefault="00A936C9" w:rsidP="00A936C9">
      <w:pPr>
        <w:rPr>
          <w:color w:val="000000" w:themeColor="text1"/>
        </w:rPr>
      </w:pPr>
      <w:r w:rsidRPr="00A07D9A">
        <w:rPr>
          <w:color w:val="000000" w:themeColor="text1"/>
        </w:rPr>
        <w:t xml:space="preserve">A diferencia de lo que sucede con las cesiones de concesiones y los cambios de control accionario, </w:t>
      </w:r>
      <w:r w:rsidR="001443AA" w:rsidRPr="00A07D9A">
        <w:rPr>
          <w:color w:val="000000" w:themeColor="text1"/>
        </w:rPr>
        <w:t xml:space="preserve">para </w:t>
      </w:r>
      <w:r w:rsidRPr="00A07D9A">
        <w:rPr>
          <w:color w:val="000000" w:themeColor="text1"/>
        </w:rPr>
        <w:t>el arrendamiento de bandas de frecuencia del espectro radioeléctrico, la LFTR no establec</w:t>
      </w:r>
      <w:r w:rsidR="001443AA" w:rsidRPr="00A07D9A">
        <w:rPr>
          <w:color w:val="000000" w:themeColor="text1"/>
        </w:rPr>
        <w:t>e</w:t>
      </w:r>
      <w:r w:rsidRPr="00A07D9A">
        <w:rPr>
          <w:color w:val="000000" w:themeColor="text1"/>
        </w:rPr>
        <w:t xml:space="preserve"> qué sucede cuando este tipo de operaciones supera los umbrales monetarios señalados en el artículo 86 de la LFCE.</w:t>
      </w:r>
    </w:p>
    <w:p w14:paraId="7B39334F" w14:textId="77777777" w:rsidR="008843CF" w:rsidRPr="00A07D9A" w:rsidRDefault="008843CF" w:rsidP="008843CF">
      <w:pPr>
        <w:rPr>
          <w:color w:val="000000" w:themeColor="text1"/>
        </w:rPr>
      </w:pPr>
      <w:r w:rsidRPr="00A07D9A">
        <w:rPr>
          <w:color w:val="000000" w:themeColor="text1"/>
        </w:rPr>
        <w:t>Al respecto, debe asumirse que el arrendamiento de espectro radioeléctrico constituye una verdadera concentración, toda vez que este acto jurídico implica la unión de activos, como se expresa en el artículo 61 de la LFCE, entre el arrendatario y otro agente económico (el arrendador) al que originalmente se le concesionó espectro radioeléctrico.</w:t>
      </w:r>
    </w:p>
    <w:p w14:paraId="2C3B4537" w14:textId="77777777" w:rsidR="00A936C9" w:rsidRPr="00A07D9A" w:rsidRDefault="00A936C9" w:rsidP="00A936C9">
      <w:pPr>
        <w:rPr>
          <w:color w:val="000000" w:themeColor="text1"/>
        </w:rPr>
      </w:pPr>
      <w:r w:rsidRPr="00A07D9A">
        <w:rPr>
          <w:color w:val="000000" w:themeColor="text1"/>
        </w:rPr>
        <w:t>Por lo anterior, como una concentración, el arrendamiento debiera obtener una autorización en materia de competencia económica y sujeta al procedimiento de notificación cuando el valor del activo acumulado o el monto acordado entre las partes actualiza los umbrales establecidos en la LFCE.</w:t>
      </w:r>
    </w:p>
    <w:p w14:paraId="78DB0779" w14:textId="77777777" w:rsidR="00A936C9" w:rsidRPr="00A07D9A" w:rsidRDefault="00A936C9" w:rsidP="00A936C9">
      <w:pPr>
        <w:rPr>
          <w:color w:val="000000" w:themeColor="text1"/>
        </w:rPr>
      </w:pPr>
      <w:r w:rsidRPr="00A07D9A">
        <w:rPr>
          <w:color w:val="000000" w:themeColor="text1"/>
        </w:rPr>
        <w:t xml:space="preserve">Lo anterior, a priori, haría pensar que un arrendamiento que actualiza los montos de la LFCE debiera estar sujeto a dos procedimientos distintos: el de notificación de concentraciones (para la obtención de una autorización en materia de competencia económica) y el regulatorio (para la obtención de una autorización regulatoria). </w:t>
      </w:r>
    </w:p>
    <w:p w14:paraId="05BAAB84" w14:textId="77777777" w:rsidR="00A936C9" w:rsidRPr="00A07D9A" w:rsidRDefault="00A936C9" w:rsidP="00A936C9">
      <w:pPr>
        <w:rPr>
          <w:color w:val="000000" w:themeColor="text1"/>
        </w:rPr>
      </w:pPr>
      <w:r w:rsidRPr="00A07D9A">
        <w:rPr>
          <w:color w:val="000000" w:themeColor="text1"/>
        </w:rPr>
        <w:t>Dado que ambos procedimientos en sí mismos contemplan la realización de un análisis en materia de concentraciones,</w:t>
      </w:r>
      <w:r w:rsidR="001443AA" w:rsidRPr="00A07D9A">
        <w:rPr>
          <w:color w:val="000000" w:themeColor="text1"/>
        </w:rPr>
        <w:t xml:space="preserve"> y en consistencia con la adopción de una perspectiva de convergencia y simplificación administrativa,</w:t>
      </w:r>
      <w:r w:rsidRPr="00A07D9A">
        <w:rPr>
          <w:color w:val="000000" w:themeColor="text1"/>
        </w:rPr>
        <w:t xml:space="preserve"> el IFT ha optado por no duplicar la ventanilla a los particulares, sino que únicamente dará curso al procedimiento regulatorio y, en esa misma resolución, podrá emitir tanto una autorización regulatoria como una autorización en materia de competencia económica en caso de que </w:t>
      </w:r>
      <w:r w:rsidR="00A04E9F" w:rsidRPr="00A07D9A">
        <w:rPr>
          <w:color w:val="000000" w:themeColor="text1"/>
        </w:rPr>
        <w:t xml:space="preserve">éstas </w:t>
      </w:r>
      <w:r w:rsidRPr="00A07D9A">
        <w:rPr>
          <w:color w:val="000000" w:themeColor="text1"/>
        </w:rPr>
        <w:t xml:space="preserve">sean procedentes. </w:t>
      </w:r>
    </w:p>
    <w:p w14:paraId="6552927C" w14:textId="77777777" w:rsidR="00A936C9" w:rsidRPr="00A07D9A" w:rsidRDefault="00A936C9" w:rsidP="00A936C9">
      <w:pPr>
        <w:rPr>
          <w:color w:val="000000" w:themeColor="text1"/>
        </w:rPr>
      </w:pPr>
      <w:r w:rsidRPr="00A07D9A">
        <w:rPr>
          <w:color w:val="000000" w:themeColor="text1"/>
        </w:rPr>
        <w:t xml:space="preserve">Tal fue el criterio establecido por el IFT </w:t>
      </w:r>
      <w:r w:rsidR="002B5B03" w:rsidRPr="00A07D9A">
        <w:rPr>
          <w:color w:val="000000" w:themeColor="text1"/>
        </w:rPr>
        <w:t>en</w:t>
      </w:r>
      <w:r w:rsidRPr="00A07D9A">
        <w:rPr>
          <w:color w:val="000000" w:themeColor="text1"/>
        </w:rPr>
        <w:t xml:space="preserve"> los Lineamientos de Arrendamiento, en donde se prevé que:</w:t>
      </w:r>
    </w:p>
    <w:p w14:paraId="2BCA8D58" w14:textId="77777777" w:rsidR="00A936C9" w:rsidRPr="00A07D9A" w:rsidRDefault="00A936C9" w:rsidP="00A936C9">
      <w:pPr>
        <w:ind w:left="708"/>
        <w:rPr>
          <w:color w:val="000000" w:themeColor="text1"/>
        </w:rPr>
      </w:pPr>
      <w:r w:rsidRPr="00A07D9A">
        <w:rPr>
          <w:color w:val="000000" w:themeColor="text1"/>
        </w:rPr>
        <w:t xml:space="preserve">“al momento de evaluar las solicitudes de arrendamiento de espectro radioeléctrico, el IFT incluirá el análisis en materia de competencia económica que corresponde al previsto en la LFTR y, en consecuencia, </w:t>
      </w:r>
      <w:r w:rsidRPr="00A07D9A">
        <w:rPr>
          <w:b/>
          <w:color w:val="000000" w:themeColor="text1"/>
        </w:rPr>
        <w:t>no será necesario que las partes deban agotar el procedimiento de notificación previa de concentraciones previsto en la LFCE, únicamente por lo que corresponda al espectro radioeléctrico involucrado</w:t>
      </w:r>
      <w:r w:rsidRPr="00A07D9A">
        <w:rPr>
          <w:color w:val="000000" w:themeColor="text1"/>
        </w:rPr>
        <w:t xml:space="preserve">.” </w:t>
      </w:r>
    </w:p>
    <w:p w14:paraId="149D2AD5" w14:textId="77777777" w:rsidR="00A936C9" w:rsidRPr="00A07D9A" w:rsidRDefault="00A936C9" w:rsidP="00A936C9">
      <w:pPr>
        <w:ind w:left="708"/>
        <w:rPr>
          <w:color w:val="000000" w:themeColor="text1"/>
        </w:rPr>
      </w:pPr>
      <w:r w:rsidRPr="00A07D9A">
        <w:rPr>
          <w:color w:val="000000" w:themeColor="text1"/>
        </w:rPr>
        <w:t>(Considerando Segundo, parte in fine, de los Lineamientos de Arrendamiento)</w:t>
      </w:r>
    </w:p>
    <w:p w14:paraId="6C80FA41" w14:textId="77777777" w:rsidR="00A936C9" w:rsidRPr="00A07D9A" w:rsidRDefault="00A936C9" w:rsidP="00A936C9">
      <w:pPr>
        <w:rPr>
          <w:color w:val="000000" w:themeColor="text1"/>
        </w:rPr>
      </w:pPr>
      <w:r w:rsidRPr="00A07D9A">
        <w:rPr>
          <w:color w:val="000000" w:themeColor="text1"/>
        </w:rPr>
        <w:t xml:space="preserve">En efecto, para los casos de arrendamiento, el IFT ha considerado que las normas procesales deben interpretarse bajo la óptica de los derechos humanos y, por </w:t>
      </w:r>
      <w:r w:rsidRPr="00A07D9A">
        <w:rPr>
          <w:color w:val="000000" w:themeColor="text1"/>
        </w:rPr>
        <w:lastRenderedPageBreak/>
        <w:t xml:space="preserve">tanto, en aras de brindar certeza y seguridad jurídica y permitir el acceso oportuno, efectivo y expedito a la justicia, razón por la cual no es necesario sujetar el mismo acto (arrendamiento) a dos procedimientos distintos cuyo </w:t>
      </w:r>
      <w:r w:rsidR="00EB7743" w:rsidRPr="00A07D9A">
        <w:rPr>
          <w:color w:val="000000" w:themeColor="text1"/>
        </w:rPr>
        <w:t>procedimiento</w:t>
      </w:r>
      <w:r w:rsidRPr="00A07D9A">
        <w:rPr>
          <w:color w:val="000000" w:themeColor="text1"/>
        </w:rPr>
        <w:t>, evaluación y resolución competen a la misma autoridad.</w:t>
      </w:r>
    </w:p>
    <w:p w14:paraId="2B0D7764" w14:textId="77777777" w:rsidR="00A936C9" w:rsidRPr="00A07D9A" w:rsidRDefault="00A936C9" w:rsidP="00A936C9">
      <w:pPr>
        <w:rPr>
          <w:color w:val="000000" w:themeColor="text1"/>
        </w:rPr>
      </w:pPr>
      <w:r w:rsidRPr="00A07D9A">
        <w:rPr>
          <w:color w:val="000000" w:themeColor="text1"/>
        </w:rPr>
        <w:t>Así, los Lineamientos de Arrendamiento consideran que uno de los propósitos centrales del Decreto de Reforma Constitucional consistió en consolidar un régimen regulatorio plenamente convergente que brindara al IFT las herramientas necesarias para ser un regulador eficaz en los sectores de telecomunicaciones y radiodifusión.</w:t>
      </w:r>
    </w:p>
    <w:p w14:paraId="3EAA00D5" w14:textId="77777777" w:rsidR="00A936C9" w:rsidRPr="00A07D9A" w:rsidRDefault="00A936C9" w:rsidP="00A936C9">
      <w:pPr>
        <w:rPr>
          <w:color w:val="000000" w:themeColor="text1"/>
        </w:rPr>
      </w:pPr>
      <w:r w:rsidRPr="00A07D9A">
        <w:rPr>
          <w:color w:val="000000" w:themeColor="text1"/>
        </w:rPr>
        <w:t>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gestión del espectro radioeléctrico.</w:t>
      </w:r>
    </w:p>
    <w:p w14:paraId="1AEECC7D" w14:textId="77777777" w:rsidR="00A936C9" w:rsidRPr="00A07D9A" w:rsidRDefault="00A936C9" w:rsidP="00A936C9">
      <w:pPr>
        <w:rPr>
          <w:color w:val="000000" w:themeColor="text1"/>
        </w:rPr>
      </w:pPr>
      <w:r w:rsidRPr="00A07D9A">
        <w:rPr>
          <w:color w:val="000000" w:themeColor="text1"/>
        </w:rPr>
        <w:t xml:space="preserve">Por lo anterior, se considera que basta con que los particulares realicen el </w:t>
      </w:r>
      <w:r w:rsidR="00EB7743" w:rsidRPr="00A07D9A">
        <w:rPr>
          <w:color w:val="000000" w:themeColor="text1"/>
        </w:rPr>
        <w:t>procedimiento</w:t>
      </w:r>
      <w:r w:rsidRPr="00A07D9A">
        <w:rPr>
          <w:color w:val="000000" w:themeColor="text1"/>
        </w:rPr>
        <w:t xml:space="preserve"> </w:t>
      </w:r>
      <w:r w:rsidR="00BC07D0" w:rsidRPr="00A07D9A">
        <w:rPr>
          <w:color w:val="000000" w:themeColor="text1"/>
        </w:rPr>
        <w:t>establecido en la LFTR</w:t>
      </w:r>
      <w:r w:rsidRPr="00A07D9A">
        <w:rPr>
          <w:color w:val="000000" w:themeColor="text1"/>
        </w:rPr>
        <w:t xml:space="preserve">, que por sí mismo exige una evaluación de posibles fenómenos de concentración que dañen el interés público </w:t>
      </w:r>
      <w:r w:rsidR="0057488F" w:rsidRPr="00A07D9A">
        <w:rPr>
          <w:color w:val="000000" w:themeColor="text1"/>
        </w:rPr>
        <w:t xml:space="preserve">antes de </w:t>
      </w:r>
      <w:r w:rsidRPr="00A07D9A">
        <w:rPr>
          <w:color w:val="000000" w:themeColor="text1"/>
        </w:rPr>
        <w:t>la autorización de una operación de arrendamiento, sin que al efecto los particulares necesiten realizar por vía separada un procedimiento de notificación de concentración.</w:t>
      </w:r>
    </w:p>
    <w:p w14:paraId="56279A78" w14:textId="77777777" w:rsidR="00A936C9" w:rsidRPr="00A07D9A" w:rsidRDefault="00A936C9" w:rsidP="00A936C9">
      <w:pPr>
        <w:rPr>
          <w:color w:val="000000" w:themeColor="text1"/>
        </w:rPr>
      </w:pPr>
      <w:r w:rsidRPr="00A07D9A">
        <w:rPr>
          <w:color w:val="000000" w:themeColor="text1"/>
        </w:rPr>
        <w:t xml:space="preserve">En este sentido, al momento de interponer su solicitud de arrendamiento, los particulares deberán aportar la información y/o documentación solicitada por el Instructivo en materia de competencia económica, como lo prevén los artículos 3, fracción XVI, 12, 18 y diversos de los Lineamientos de Arrendamiento, a efecto de que con ello el IFT esté en posibilidad de realizar una evaluación de la transacción conforme a los artículos 63 y 64 de la LFCE. </w:t>
      </w:r>
    </w:p>
    <w:p w14:paraId="485DDD3D" w14:textId="77777777" w:rsidR="00A936C9" w:rsidRPr="00A07D9A" w:rsidRDefault="00A936C9" w:rsidP="00847B31">
      <w:pPr>
        <w:pStyle w:val="Ttulo3"/>
        <w:rPr>
          <w:color w:val="000000" w:themeColor="text1"/>
        </w:rPr>
      </w:pPr>
      <w:bookmarkStart w:id="105" w:name="_Toc486519851"/>
      <w:r w:rsidRPr="00A07D9A">
        <w:rPr>
          <w:color w:val="000000" w:themeColor="text1"/>
        </w:rPr>
        <w:t>Intercambio de bandas de frecuencia del espectro radioeléctrico</w:t>
      </w:r>
      <w:bookmarkEnd w:id="105"/>
    </w:p>
    <w:p w14:paraId="53FD395D" w14:textId="77777777" w:rsidR="00A936C9" w:rsidRPr="00A07D9A" w:rsidRDefault="00A936C9" w:rsidP="00A936C9">
      <w:pPr>
        <w:rPr>
          <w:color w:val="000000" w:themeColor="text1"/>
        </w:rPr>
      </w:pPr>
      <w:r w:rsidRPr="00A07D9A">
        <w:rPr>
          <w:color w:val="000000" w:themeColor="text1"/>
        </w:rPr>
        <w:t>Ahora bien, por lo que corresponde al intercambio de bandas de frecuencia del espectro radioeléctrico, si bien aún no se encuentra prevista una reducción de ventanillas como en el caso de arrendamiento, ya existe un precedente emitido por el IFT al resolver un arrendamiento e intercambio de bandas de frecuencia del espectro radioeléctrico a partir de una misma resolución regulatoria.</w:t>
      </w:r>
      <w:r w:rsidR="006B6401" w:rsidRPr="00A07D9A">
        <w:rPr>
          <w:rStyle w:val="Refdenotaalpie"/>
          <w:color w:val="000000" w:themeColor="text1"/>
        </w:rPr>
        <w:footnoteReference w:id="87"/>
      </w:r>
    </w:p>
    <w:p w14:paraId="348E7436" w14:textId="1F6A1DFF" w:rsidR="00A936C9" w:rsidRPr="00A07D9A" w:rsidRDefault="008843CF" w:rsidP="00A936C9">
      <w:pPr>
        <w:rPr>
          <w:color w:val="000000" w:themeColor="text1"/>
        </w:rPr>
      </w:pPr>
      <w:r w:rsidRPr="00A07D9A">
        <w:rPr>
          <w:color w:val="000000" w:themeColor="text1"/>
        </w:rPr>
        <w:t>En</w:t>
      </w:r>
      <w:r w:rsidR="00A936C9" w:rsidRPr="00A07D9A">
        <w:rPr>
          <w:color w:val="000000" w:themeColor="text1"/>
        </w:rPr>
        <w:t xml:space="preserve"> dicha resolución, el IFT e</w:t>
      </w:r>
      <w:r w:rsidRPr="00A07D9A">
        <w:rPr>
          <w:color w:val="000000" w:themeColor="text1"/>
        </w:rPr>
        <w:t>mple</w:t>
      </w:r>
      <w:r w:rsidR="00A936C9" w:rsidRPr="00A07D9A">
        <w:rPr>
          <w:color w:val="000000" w:themeColor="text1"/>
        </w:rPr>
        <w:t xml:space="preserve">ó los mismos argumentos planteados en el Considerando Segundo de los Lineamientos de Arrendamiento, con la única precisión de que el criterio esgrimido sería aplicable sólo en las operaciones de </w:t>
      </w:r>
      <w:r w:rsidR="00A936C9" w:rsidRPr="00A07D9A">
        <w:rPr>
          <w:color w:val="000000" w:themeColor="text1"/>
        </w:rPr>
        <w:lastRenderedPageBreak/>
        <w:t>arrendamiento e intercambio de bandas de frecuencia del espectro radioeléctrico directamente involucradas, sin que en ningún momento se prejuzgue respecto de operaciones ajenas a las evaluadas.</w:t>
      </w:r>
    </w:p>
    <w:p w14:paraId="580D03C6" w14:textId="77777777" w:rsidR="008843CF" w:rsidRPr="00A07D9A" w:rsidRDefault="00A936C9" w:rsidP="008843CF">
      <w:pPr>
        <w:rPr>
          <w:color w:val="000000" w:themeColor="text1"/>
        </w:rPr>
      </w:pPr>
      <w:r w:rsidRPr="00A07D9A">
        <w:rPr>
          <w:color w:val="000000" w:themeColor="text1"/>
        </w:rPr>
        <w:t>Aunque este criterio es orientador en la materia, no se descarta que caso por caso sucedan situaciones que obliguen al IFT a revisar y actualizar ese pronunciamiento establecido, ya que resultaría imposible prever el cúmulo de supuestos que pudieran presentarse en la práctica.</w:t>
      </w:r>
      <w:r w:rsidR="008843CF" w:rsidRPr="00A07D9A">
        <w:rPr>
          <w:color w:val="000000" w:themeColor="text1"/>
        </w:rPr>
        <w:t xml:space="preserve"> Es decir, se debe entender que los actos distintos sobre los cuales no resuelva expresamente el IFT no estarán exentos de sujetarse a la LFCE.</w:t>
      </w:r>
    </w:p>
    <w:p w14:paraId="065699B3" w14:textId="77777777" w:rsidR="00A936C9" w:rsidRPr="00A07D9A" w:rsidRDefault="008843CF" w:rsidP="008843CF">
      <w:pPr>
        <w:rPr>
          <w:color w:val="000000" w:themeColor="text1"/>
        </w:rPr>
      </w:pPr>
      <w:r w:rsidRPr="00A07D9A">
        <w:rPr>
          <w:color w:val="000000" w:themeColor="text1"/>
        </w:rPr>
        <w:t>También, lo anterior no obsta que si en algún momento el intercambio de frecuencias se identifica como un acto dentro de una sucesión de actos, se deje sin efecto la resolución previa y se realice un nuevo análisis que considere toda la información disponible.</w:t>
      </w:r>
    </w:p>
    <w:p w14:paraId="4353288A" w14:textId="77777777" w:rsidR="00A936C9" w:rsidRPr="00A07D9A" w:rsidRDefault="00A936C9" w:rsidP="00847B31">
      <w:pPr>
        <w:pStyle w:val="Ttulo3"/>
        <w:rPr>
          <w:color w:val="000000" w:themeColor="text1"/>
        </w:rPr>
      </w:pPr>
      <w:bookmarkStart w:id="106" w:name="_Toc486519852"/>
      <w:r w:rsidRPr="00A07D9A">
        <w:rPr>
          <w:color w:val="000000" w:themeColor="text1"/>
        </w:rPr>
        <w:t>Suscripción o enajenación de acciones o partes sociales</w:t>
      </w:r>
      <w:bookmarkEnd w:id="106"/>
    </w:p>
    <w:p w14:paraId="68471F08" w14:textId="77777777" w:rsidR="00A936C9" w:rsidRPr="00A07D9A" w:rsidRDefault="00A936C9" w:rsidP="00A936C9">
      <w:pPr>
        <w:rPr>
          <w:color w:val="000000" w:themeColor="text1"/>
        </w:rPr>
      </w:pPr>
      <w:r w:rsidRPr="00A07D9A">
        <w:rPr>
          <w:color w:val="000000" w:themeColor="text1"/>
        </w:rPr>
        <w:t>En lo que corresponde a la suscripción o enajenación de acciones o partes sociales (en términos del artículo 112 de la LFTR) y que corresponden a operaciones que representan el diez por ciento (10%) o más del monto del capital social de una concesionaria, si bien estos no necesariamente exigen un análisis en materia de competencia económica cuando la operación no supera los umbrales de la LFCE, no obstante ello sí se hace con el objeto de descartar efectos contrarios a la libre concurrencia y competencia económica.</w:t>
      </w:r>
    </w:p>
    <w:p w14:paraId="0B7E5B23" w14:textId="77777777" w:rsidR="00A936C9" w:rsidRPr="00A07D9A" w:rsidRDefault="00A936C9" w:rsidP="00A936C9">
      <w:pPr>
        <w:rPr>
          <w:color w:val="000000" w:themeColor="text1"/>
        </w:rPr>
      </w:pPr>
      <w:r w:rsidRPr="00A07D9A">
        <w:rPr>
          <w:color w:val="000000" w:themeColor="text1"/>
        </w:rPr>
        <w:t xml:space="preserve">Precisamente, el aviso de enajenación previsto en el numeral 112 de la LFTR está exento de su presentación cuando los cambios en la tenencia accionaria suceden dentro del mismo grupo de control o dentro del mismo </w:t>
      </w:r>
      <w:r w:rsidR="00536ABF" w:rsidRPr="00A07D9A">
        <w:rPr>
          <w:color w:val="000000" w:themeColor="text1"/>
        </w:rPr>
        <w:t>Agente Económico</w:t>
      </w:r>
      <w:r w:rsidRPr="00A07D9A">
        <w:rPr>
          <w:color w:val="000000" w:themeColor="text1"/>
        </w:rPr>
        <w:t xml:space="preserve"> (supuesto de reestructura corporativa) con lo cual la posible actualización de esa excepción quedará a juicio del IFT quien, de estimar que la misma no se actualiza, pudiera dar vista de ello a la Autoridad Investigadora del IFT.</w:t>
      </w:r>
    </w:p>
    <w:p w14:paraId="097B1068" w14:textId="77777777" w:rsidR="00A936C9" w:rsidRPr="00A07D9A" w:rsidRDefault="00A936C9" w:rsidP="00A936C9">
      <w:pPr>
        <w:rPr>
          <w:color w:val="000000" w:themeColor="text1"/>
        </w:rPr>
      </w:pPr>
      <w:r w:rsidRPr="00A07D9A">
        <w:rPr>
          <w:color w:val="000000" w:themeColor="text1"/>
        </w:rPr>
        <w:t xml:space="preserve">Incluso, frente a casos de duda en la actualización de umbrales o, incluso, en la actualización de excepciones, el IFT siempre tendrá reservada su facultad para analizar en su integridad las operaciones, avisos y notificaciones que al efecto sean presentados por los particulares. </w:t>
      </w:r>
    </w:p>
    <w:p w14:paraId="51310C38" w14:textId="77777777" w:rsidR="00A936C9" w:rsidRPr="00A07D9A" w:rsidRDefault="00C4702C" w:rsidP="00FD14B9">
      <w:pPr>
        <w:pStyle w:val="Ttulo2"/>
        <w:rPr>
          <w:color w:val="000000" w:themeColor="text1"/>
        </w:rPr>
      </w:pPr>
      <w:bookmarkStart w:id="107" w:name="_Toc462053151"/>
      <w:bookmarkStart w:id="108" w:name="_Toc486519853"/>
      <w:r w:rsidRPr="00A07D9A">
        <w:rPr>
          <w:color w:val="000000" w:themeColor="text1"/>
        </w:rPr>
        <w:t>8</w:t>
      </w:r>
      <w:r w:rsidR="00FD14B9" w:rsidRPr="00A07D9A">
        <w:rPr>
          <w:color w:val="000000" w:themeColor="text1"/>
        </w:rPr>
        <w:t>.</w:t>
      </w:r>
      <w:r w:rsidR="008B0943" w:rsidRPr="00A07D9A">
        <w:rPr>
          <w:color w:val="000000" w:themeColor="text1"/>
        </w:rPr>
        <w:t>2</w:t>
      </w:r>
      <w:r w:rsidR="00FD14B9" w:rsidRPr="00A07D9A">
        <w:rPr>
          <w:color w:val="000000" w:themeColor="text1"/>
        </w:rPr>
        <w:t xml:space="preserve">. </w:t>
      </w:r>
      <w:r w:rsidR="00A936C9" w:rsidRPr="00A07D9A">
        <w:rPr>
          <w:color w:val="000000" w:themeColor="text1"/>
        </w:rPr>
        <w:t xml:space="preserve">Evaluación en </w:t>
      </w:r>
      <w:r w:rsidR="00847B31" w:rsidRPr="00A07D9A">
        <w:rPr>
          <w:color w:val="000000" w:themeColor="text1"/>
        </w:rPr>
        <w:t>m</w:t>
      </w:r>
      <w:r w:rsidR="00A936C9" w:rsidRPr="00A07D9A">
        <w:rPr>
          <w:color w:val="000000" w:themeColor="text1"/>
        </w:rPr>
        <w:t xml:space="preserve">ateria de </w:t>
      </w:r>
      <w:r w:rsidR="00847B31" w:rsidRPr="00A07D9A">
        <w:rPr>
          <w:color w:val="000000" w:themeColor="text1"/>
        </w:rPr>
        <w:t>c</w:t>
      </w:r>
      <w:r w:rsidR="00A936C9" w:rsidRPr="00A07D9A">
        <w:rPr>
          <w:color w:val="000000" w:themeColor="text1"/>
        </w:rPr>
        <w:t xml:space="preserve">ompetencia </w:t>
      </w:r>
      <w:r w:rsidR="00847B31" w:rsidRPr="00A07D9A">
        <w:rPr>
          <w:color w:val="000000" w:themeColor="text1"/>
        </w:rPr>
        <w:t>e</w:t>
      </w:r>
      <w:r w:rsidR="00A936C9" w:rsidRPr="00A07D9A">
        <w:rPr>
          <w:color w:val="000000" w:themeColor="text1"/>
        </w:rPr>
        <w:t>conómica</w:t>
      </w:r>
      <w:bookmarkEnd w:id="107"/>
      <w:bookmarkEnd w:id="108"/>
    </w:p>
    <w:p w14:paraId="036922B9" w14:textId="77777777" w:rsidR="00A936C9" w:rsidRPr="00A07D9A" w:rsidRDefault="002B5B03" w:rsidP="00A936C9">
      <w:pPr>
        <w:rPr>
          <w:color w:val="000000" w:themeColor="text1"/>
        </w:rPr>
      </w:pPr>
      <w:r w:rsidRPr="00A07D9A">
        <w:rPr>
          <w:color w:val="000000" w:themeColor="text1"/>
        </w:rPr>
        <w:t>E</w:t>
      </w:r>
      <w:r w:rsidR="00A936C9" w:rsidRPr="00A07D9A">
        <w:rPr>
          <w:color w:val="000000" w:themeColor="text1"/>
        </w:rPr>
        <w:t xml:space="preserve">n lo que corresponde a: i) arrendamiento de bandas de frecuencia (artículo 104 de la LFTR), ii) intercambio de bandas de frecuencia (artículo106 de la LFTR), iii) cesiones de concesiones (artículo 110 de la LFTR), iv) suscripción o enajenación de acciones o partes sociales (artículo 112 de la LFTR) y v) otorgamiento de concesiones de radiodifusión para usos público y social (artículo 90 de la LFTR), en </w:t>
      </w:r>
      <w:r w:rsidR="00A936C9" w:rsidRPr="00A07D9A">
        <w:rPr>
          <w:color w:val="000000" w:themeColor="text1"/>
        </w:rPr>
        <w:lastRenderedPageBreak/>
        <w:t>todos ellos resulta necesaria una evaluación en materia de competencia económica previ</w:t>
      </w:r>
      <w:r w:rsidR="0057488F" w:rsidRPr="00A07D9A">
        <w:rPr>
          <w:color w:val="000000" w:themeColor="text1"/>
        </w:rPr>
        <w:t>amente</w:t>
      </w:r>
      <w:r w:rsidR="00A936C9" w:rsidRPr="00A07D9A">
        <w:rPr>
          <w:color w:val="000000" w:themeColor="text1"/>
        </w:rPr>
        <w:t xml:space="preserve"> a su resolución por parte del Pleno del IFT.</w:t>
      </w:r>
    </w:p>
    <w:p w14:paraId="7365C69B" w14:textId="77777777" w:rsidR="00A936C9" w:rsidRPr="00A07D9A" w:rsidRDefault="00A936C9" w:rsidP="00A936C9">
      <w:pPr>
        <w:rPr>
          <w:color w:val="000000" w:themeColor="text1"/>
        </w:rPr>
      </w:pPr>
      <w:r w:rsidRPr="00A07D9A">
        <w:rPr>
          <w:color w:val="000000" w:themeColor="text1"/>
        </w:rPr>
        <w:t xml:space="preserve">En los procedimientos señalados, el área instructora es la Unidad de Concesiones y Servicios (UCS), a través de la Dirección General de Concesiones de Radiodifusión </w:t>
      </w:r>
      <w:r w:rsidR="00BC07D0" w:rsidRPr="00A07D9A">
        <w:rPr>
          <w:color w:val="000000" w:themeColor="text1"/>
        </w:rPr>
        <w:t>o</w:t>
      </w:r>
      <w:r w:rsidRPr="00A07D9A">
        <w:rPr>
          <w:color w:val="000000" w:themeColor="text1"/>
        </w:rPr>
        <w:t xml:space="preserve"> la Dirección General de Concesiones de Telecomunicaciones, según corresponda.</w:t>
      </w:r>
    </w:p>
    <w:p w14:paraId="22811961" w14:textId="77777777" w:rsidR="00A936C9" w:rsidRPr="00A07D9A" w:rsidRDefault="00A936C9" w:rsidP="00A936C9">
      <w:pPr>
        <w:rPr>
          <w:color w:val="000000" w:themeColor="text1"/>
        </w:rPr>
      </w:pPr>
      <w:r w:rsidRPr="00A07D9A">
        <w:rPr>
          <w:color w:val="000000" w:themeColor="text1"/>
        </w:rPr>
        <w:t>Dado que la UCS es el área encargada del seguimiento y conclusión de esos procedimientos, y a efecto de que los mismos se pongan a disposición del Pleno del IFT para su resolución, en cada caso dicha Unidad solicita una opinión interna en materia de competencia económica a la UCE, específicamente, a la DGCC.</w:t>
      </w:r>
    </w:p>
    <w:p w14:paraId="4DB75576" w14:textId="77777777" w:rsidR="00A936C9" w:rsidRPr="00A07D9A" w:rsidRDefault="008112C2" w:rsidP="00A936C9">
      <w:pPr>
        <w:rPr>
          <w:color w:val="000000" w:themeColor="text1"/>
        </w:rPr>
      </w:pPr>
      <w:r w:rsidRPr="00A07D9A">
        <w:rPr>
          <w:color w:val="000000" w:themeColor="text1"/>
        </w:rPr>
        <w:t>La solicitud de una opinión en materia de competencia económica a la DGCC por parte de la UCS tiene comúnmente los siguientes pasos</w:t>
      </w:r>
      <w:r w:rsidR="00A936C9" w:rsidRPr="00A07D9A">
        <w:rPr>
          <w:color w:val="000000" w:themeColor="text1"/>
        </w:rPr>
        <w:t>:</w:t>
      </w:r>
    </w:p>
    <w:p w14:paraId="0D5664B0" w14:textId="77777777" w:rsidR="00A936C9" w:rsidRPr="00A07D9A" w:rsidRDefault="00A936C9" w:rsidP="00FE6791">
      <w:pPr>
        <w:pStyle w:val="Prrafodelista"/>
        <w:numPr>
          <w:ilvl w:val="0"/>
          <w:numId w:val="49"/>
        </w:numPr>
        <w:spacing w:after="160" w:line="259" w:lineRule="auto"/>
        <w:ind w:hanging="357"/>
        <w:rPr>
          <w:color w:val="000000" w:themeColor="text1"/>
        </w:rPr>
      </w:pPr>
      <w:r w:rsidRPr="00A07D9A">
        <w:rPr>
          <w:color w:val="000000" w:themeColor="text1"/>
        </w:rPr>
        <w:t xml:space="preserve">Interposición de una Solicitud ante la UCS por parte de los </w:t>
      </w:r>
      <w:r w:rsidR="008A07CB" w:rsidRPr="00A07D9A">
        <w:rPr>
          <w:color w:val="000000" w:themeColor="text1"/>
        </w:rPr>
        <w:t>agentes económicos</w:t>
      </w:r>
      <w:r w:rsidRPr="00A07D9A">
        <w:rPr>
          <w:color w:val="000000" w:themeColor="text1"/>
        </w:rPr>
        <w:t xml:space="preserve"> involucrados </w:t>
      </w:r>
      <w:r w:rsidR="0057488F" w:rsidRPr="00A07D9A">
        <w:rPr>
          <w:color w:val="000000" w:themeColor="text1"/>
        </w:rPr>
        <w:t>antes de</w:t>
      </w:r>
      <w:r w:rsidRPr="00A07D9A">
        <w:rPr>
          <w:color w:val="000000" w:themeColor="text1"/>
        </w:rPr>
        <w:t xml:space="preserve"> la realización de una operación regulatoria, que incluye información en materia de competencia económica.</w:t>
      </w:r>
    </w:p>
    <w:p w14:paraId="46617F17" w14:textId="77777777" w:rsidR="00A936C9" w:rsidRPr="00A07D9A" w:rsidRDefault="00A936C9" w:rsidP="00FE6791">
      <w:pPr>
        <w:pStyle w:val="Prrafodelista"/>
        <w:numPr>
          <w:ilvl w:val="0"/>
          <w:numId w:val="49"/>
        </w:numPr>
        <w:spacing w:after="160" w:line="259" w:lineRule="auto"/>
        <w:ind w:hanging="357"/>
        <w:rPr>
          <w:color w:val="000000" w:themeColor="text1"/>
        </w:rPr>
      </w:pPr>
      <w:r w:rsidRPr="00A07D9A">
        <w:rPr>
          <w:color w:val="000000" w:themeColor="text1"/>
        </w:rPr>
        <w:t>Recepción de la solicitud por parte de UCS, quien enviará una copia de ésta a la UCE, a efecto de solicitarle una opinión en materia de competencia.</w:t>
      </w:r>
    </w:p>
    <w:p w14:paraId="25557651" w14:textId="77777777" w:rsidR="00A936C9" w:rsidRPr="00A07D9A" w:rsidRDefault="00A936C9" w:rsidP="00FE6791">
      <w:pPr>
        <w:pStyle w:val="Prrafodelista"/>
        <w:numPr>
          <w:ilvl w:val="0"/>
          <w:numId w:val="49"/>
        </w:numPr>
        <w:spacing w:after="160" w:line="259" w:lineRule="auto"/>
        <w:ind w:hanging="357"/>
        <w:rPr>
          <w:color w:val="000000" w:themeColor="text1"/>
        </w:rPr>
      </w:pPr>
      <w:r w:rsidRPr="00A07D9A">
        <w:rPr>
          <w:color w:val="000000" w:themeColor="text1"/>
        </w:rPr>
        <w:t>Evaluación de la solicitud por parte de UCE, quien podrá actuar de dos formas:</w:t>
      </w:r>
    </w:p>
    <w:p w14:paraId="5AA8B68C" w14:textId="77777777" w:rsidR="00A936C9" w:rsidRPr="00A07D9A" w:rsidRDefault="00A936C9" w:rsidP="00FE6791">
      <w:pPr>
        <w:pStyle w:val="Prrafodelista"/>
        <w:numPr>
          <w:ilvl w:val="0"/>
          <w:numId w:val="50"/>
        </w:numPr>
        <w:spacing w:after="160" w:line="259" w:lineRule="auto"/>
        <w:ind w:hanging="357"/>
        <w:rPr>
          <w:color w:val="000000" w:themeColor="text1"/>
        </w:rPr>
      </w:pPr>
      <w:r w:rsidRPr="00A07D9A">
        <w:rPr>
          <w:color w:val="000000" w:themeColor="text1"/>
        </w:rPr>
        <w:t>En caso de no requerir información adicional, procederá a emitir una opinión en materia de competencia económica.</w:t>
      </w:r>
    </w:p>
    <w:p w14:paraId="157010BF" w14:textId="77777777" w:rsidR="00A936C9" w:rsidRPr="00A07D9A" w:rsidRDefault="00A936C9" w:rsidP="00FE6791">
      <w:pPr>
        <w:pStyle w:val="Prrafodelista"/>
        <w:numPr>
          <w:ilvl w:val="0"/>
          <w:numId w:val="50"/>
        </w:numPr>
        <w:spacing w:after="160" w:line="259" w:lineRule="auto"/>
        <w:ind w:hanging="357"/>
        <w:rPr>
          <w:color w:val="000000" w:themeColor="text1"/>
        </w:rPr>
      </w:pPr>
      <w:r w:rsidRPr="00A07D9A">
        <w:rPr>
          <w:color w:val="000000" w:themeColor="text1"/>
        </w:rPr>
        <w:t>En caso de ser necesaria información adicional, lo hará del conocimiento de la UCS.</w:t>
      </w:r>
    </w:p>
    <w:p w14:paraId="073F3AD8" w14:textId="77777777" w:rsidR="00A936C9" w:rsidRPr="00A07D9A" w:rsidRDefault="00A936C9" w:rsidP="00FE6791">
      <w:pPr>
        <w:pStyle w:val="Prrafodelista"/>
        <w:numPr>
          <w:ilvl w:val="0"/>
          <w:numId w:val="49"/>
        </w:numPr>
        <w:spacing w:after="160" w:line="259" w:lineRule="auto"/>
        <w:ind w:hanging="357"/>
        <w:rPr>
          <w:color w:val="000000" w:themeColor="text1"/>
        </w:rPr>
      </w:pPr>
      <w:r w:rsidRPr="00A07D9A">
        <w:rPr>
          <w:color w:val="000000" w:themeColor="text1"/>
        </w:rPr>
        <w:t xml:space="preserve">En caso de haber un requerimiento de información adicional, la UCS como área instructora del procedimiento será quien la solicite a los </w:t>
      </w:r>
      <w:r w:rsidR="008A07CB" w:rsidRPr="00A07D9A">
        <w:rPr>
          <w:color w:val="000000" w:themeColor="text1"/>
        </w:rPr>
        <w:t>agentes económicos</w:t>
      </w:r>
      <w:r w:rsidRPr="00A07D9A">
        <w:rPr>
          <w:color w:val="000000" w:themeColor="text1"/>
        </w:rPr>
        <w:t xml:space="preserve"> involucrados.</w:t>
      </w:r>
    </w:p>
    <w:p w14:paraId="1FC12093" w14:textId="77777777" w:rsidR="00A936C9" w:rsidRPr="00A07D9A" w:rsidRDefault="00A936C9" w:rsidP="00FE6791">
      <w:pPr>
        <w:pStyle w:val="Prrafodelista"/>
        <w:numPr>
          <w:ilvl w:val="0"/>
          <w:numId w:val="49"/>
        </w:numPr>
        <w:spacing w:after="160" w:line="259" w:lineRule="auto"/>
        <w:ind w:hanging="357"/>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involucrados deberán desahogar el requerimiento que se les formule.</w:t>
      </w:r>
    </w:p>
    <w:p w14:paraId="4F0B7268" w14:textId="77777777" w:rsidR="00A936C9" w:rsidRPr="00A07D9A" w:rsidRDefault="00A936C9" w:rsidP="00FE6791">
      <w:pPr>
        <w:pStyle w:val="Prrafodelista"/>
        <w:numPr>
          <w:ilvl w:val="0"/>
          <w:numId w:val="49"/>
        </w:numPr>
        <w:spacing w:after="160" w:line="259" w:lineRule="auto"/>
        <w:ind w:hanging="357"/>
        <w:rPr>
          <w:color w:val="000000" w:themeColor="text1"/>
        </w:rPr>
      </w:pPr>
      <w:r w:rsidRPr="00A07D9A">
        <w:rPr>
          <w:color w:val="000000" w:themeColor="text1"/>
        </w:rPr>
        <w:t xml:space="preserve">Una vez desahogado el requerimiento por los </w:t>
      </w:r>
      <w:r w:rsidR="008A07CB" w:rsidRPr="00A07D9A">
        <w:rPr>
          <w:color w:val="000000" w:themeColor="text1"/>
        </w:rPr>
        <w:t>agentes económicos</w:t>
      </w:r>
      <w:r w:rsidRPr="00A07D9A">
        <w:rPr>
          <w:color w:val="000000" w:themeColor="text1"/>
        </w:rPr>
        <w:t xml:space="preserve"> involucrados, la UCS enviará la información faltante a la UCE, quien emitirá la opinión que proceda.</w:t>
      </w:r>
    </w:p>
    <w:p w14:paraId="0530D2CE" w14:textId="77777777" w:rsidR="00A936C9" w:rsidRPr="00A07D9A" w:rsidRDefault="00A936C9" w:rsidP="00FE6791">
      <w:pPr>
        <w:pStyle w:val="Prrafodelista"/>
        <w:numPr>
          <w:ilvl w:val="0"/>
          <w:numId w:val="49"/>
        </w:numPr>
        <w:spacing w:after="160" w:line="259" w:lineRule="auto"/>
        <w:ind w:hanging="357"/>
        <w:rPr>
          <w:color w:val="000000" w:themeColor="text1"/>
        </w:rPr>
      </w:pPr>
      <w:r w:rsidRPr="00A07D9A">
        <w:rPr>
          <w:color w:val="000000" w:themeColor="text1"/>
        </w:rPr>
        <w:t xml:space="preserve">Para cada procedimiento regulatorio, una vez que la UCS reciba la opinión en materia de competencia económica de UCE, y una vez que concluya con las formalidades propias de cada procedimiento, pondrá el asunto a disposición del Pleno del IFT para que éste sea resuelto dentro de los plazos legales correspondientes. </w:t>
      </w:r>
    </w:p>
    <w:p w14:paraId="3F7329AA" w14:textId="7B59176E" w:rsidR="00A936C9" w:rsidRPr="00A07D9A" w:rsidRDefault="00A936C9" w:rsidP="00A936C9">
      <w:pPr>
        <w:rPr>
          <w:color w:val="000000" w:themeColor="text1"/>
        </w:rPr>
      </w:pPr>
      <w:r w:rsidRPr="00A07D9A">
        <w:rPr>
          <w:color w:val="000000" w:themeColor="text1"/>
        </w:rPr>
        <w:lastRenderedPageBreak/>
        <w:t xml:space="preserve">Para cada </w:t>
      </w:r>
      <w:r w:rsidR="00EB7743" w:rsidRPr="00A07D9A">
        <w:rPr>
          <w:color w:val="000000" w:themeColor="text1"/>
        </w:rPr>
        <w:t>procedimiento</w:t>
      </w:r>
      <w:r w:rsidRPr="00A07D9A">
        <w:rPr>
          <w:color w:val="000000" w:themeColor="text1"/>
        </w:rPr>
        <w:t xml:space="preserve"> regulatorio aludido, la opinión en materia de competencia económica de la UCE funge como un insumo que el Pleno del IFT podrá tomar en cuenta </w:t>
      </w:r>
      <w:r w:rsidR="0057488F" w:rsidRPr="00A07D9A">
        <w:rPr>
          <w:color w:val="000000" w:themeColor="text1"/>
        </w:rPr>
        <w:t>antes de</w:t>
      </w:r>
      <w:r w:rsidRPr="00A07D9A">
        <w:rPr>
          <w:color w:val="000000" w:themeColor="text1"/>
        </w:rPr>
        <w:t xml:space="preserve"> </w:t>
      </w:r>
      <w:r w:rsidR="008112C2" w:rsidRPr="00A07D9A">
        <w:rPr>
          <w:color w:val="000000" w:themeColor="text1"/>
        </w:rPr>
        <w:t xml:space="preserve">resolver sobre </w:t>
      </w:r>
      <w:r w:rsidR="00C164BD" w:rsidRPr="00A07D9A">
        <w:rPr>
          <w:color w:val="000000" w:themeColor="text1"/>
        </w:rPr>
        <w:t>una operación.</w:t>
      </w:r>
    </w:p>
    <w:p w14:paraId="40123141" w14:textId="77777777" w:rsidR="00A936C9" w:rsidRPr="00A07D9A" w:rsidRDefault="00C4702C" w:rsidP="00847B31">
      <w:pPr>
        <w:pStyle w:val="Ttulo2"/>
        <w:rPr>
          <w:color w:val="000000" w:themeColor="text1"/>
        </w:rPr>
      </w:pPr>
      <w:bookmarkStart w:id="109" w:name="_Toc486519854"/>
      <w:r w:rsidRPr="00A07D9A">
        <w:rPr>
          <w:color w:val="000000" w:themeColor="text1"/>
        </w:rPr>
        <w:t>8</w:t>
      </w:r>
      <w:r w:rsidR="00847B31" w:rsidRPr="00A07D9A">
        <w:rPr>
          <w:color w:val="000000" w:themeColor="text1"/>
        </w:rPr>
        <w:t>.</w:t>
      </w:r>
      <w:r w:rsidR="008B0943" w:rsidRPr="00A07D9A">
        <w:rPr>
          <w:color w:val="000000" w:themeColor="text1"/>
        </w:rPr>
        <w:t>3</w:t>
      </w:r>
      <w:r w:rsidR="00847B31" w:rsidRPr="00A07D9A">
        <w:rPr>
          <w:color w:val="000000" w:themeColor="text1"/>
        </w:rPr>
        <w:t xml:space="preserve">. </w:t>
      </w:r>
      <w:r w:rsidR="009665E5" w:rsidRPr="00A07D9A">
        <w:rPr>
          <w:color w:val="000000" w:themeColor="text1"/>
        </w:rPr>
        <w:t>Licitaciones</w:t>
      </w:r>
      <w:bookmarkEnd w:id="109"/>
    </w:p>
    <w:p w14:paraId="14F863EE" w14:textId="77777777" w:rsidR="00A936C9" w:rsidRPr="00A07D9A" w:rsidRDefault="00A936C9" w:rsidP="00A936C9">
      <w:pPr>
        <w:rPr>
          <w:color w:val="000000" w:themeColor="text1"/>
        </w:rPr>
      </w:pPr>
      <w:r w:rsidRPr="00A07D9A">
        <w:rPr>
          <w:color w:val="000000" w:themeColor="text1"/>
        </w:rPr>
        <w:t xml:space="preserve">Además de los </w:t>
      </w:r>
      <w:r w:rsidR="00EB7743" w:rsidRPr="00A07D9A">
        <w:rPr>
          <w:color w:val="000000" w:themeColor="text1"/>
        </w:rPr>
        <w:t>procedimientos</w:t>
      </w:r>
      <w:r w:rsidRPr="00A07D9A">
        <w:rPr>
          <w:color w:val="000000" w:themeColor="text1"/>
        </w:rPr>
        <w:t xml:space="preserve"> regulatorios señalados anteriormente, la obtención de un dictamen u opinión en materia de competencia económica también es necesaria respecto de los procedimientos de licitación (artículos 78, 79 y 93 de la LFTR), en los cuales el IFT funge como autoridad convocante.</w:t>
      </w:r>
    </w:p>
    <w:p w14:paraId="181E68B8" w14:textId="77777777" w:rsidR="00A936C9" w:rsidRPr="00A07D9A" w:rsidRDefault="00A936C9" w:rsidP="00A936C9">
      <w:pPr>
        <w:rPr>
          <w:color w:val="000000" w:themeColor="text1"/>
        </w:rPr>
      </w:pPr>
      <w:r w:rsidRPr="00A07D9A">
        <w:rPr>
          <w:color w:val="000000" w:themeColor="text1"/>
        </w:rPr>
        <w:t>Dichos procedimientos de licitación son iniciados y tramitados por el IFT en lo que corresponde a:</w:t>
      </w:r>
    </w:p>
    <w:p w14:paraId="61A42AB7" w14:textId="77777777" w:rsidR="00A936C9" w:rsidRPr="00A07D9A" w:rsidRDefault="00A936C9" w:rsidP="00FE6791">
      <w:pPr>
        <w:pStyle w:val="Prrafodelista"/>
        <w:numPr>
          <w:ilvl w:val="0"/>
          <w:numId w:val="56"/>
        </w:numPr>
        <w:spacing w:after="160" w:line="259" w:lineRule="auto"/>
        <w:ind w:left="714" w:hanging="357"/>
        <w:rPr>
          <w:color w:val="000000" w:themeColor="text1"/>
        </w:rPr>
      </w:pPr>
      <w:r w:rsidRPr="00A07D9A">
        <w:rPr>
          <w:color w:val="000000" w:themeColor="text1"/>
        </w:rPr>
        <w:t>El otorgamiento de concesiones de uso comercial o privado para el uso, aprovechamiento o explotación del espectro radioeléctrico, en materia de telecomunicaciones y/o radiodifusión, y</w:t>
      </w:r>
    </w:p>
    <w:p w14:paraId="7207A072" w14:textId="77777777" w:rsidR="00A936C9" w:rsidRPr="00A07D9A" w:rsidRDefault="00A936C9" w:rsidP="00FE6791">
      <w:pPr>
        <w:pStyle w:val="Prrafodelista"/>
        <w:numPr>
          <w:ilvl w:val="0"/>
          <w:numId w:val="56"/>
        </w:numPr>
        <w:spacing w:after="160" w:line="259" w:lineRule="auto"/>
        <w:ind w:left="714" w:hanging="357"/>
        <w:rPr>
          <w:color w:val="000000" w:themeColor="text1"/>
        </w:rPr>
      </w:pPr>
      <w:r w:rsidRPr="00A07D9A">
        <w:rPr>
          <w:color w:val="000000" w:themeColor="text1"/>
        </w:rPr>
        <w:t>El otorgamiento de concesiones para ocupar y explotar recursos orbitales en usos comercial y privado.</w:t>
      </w:r>
    </w:p>
    <w:p w14:paraId="29A319D2" w14:textId="77777777" w:rsidR="00A936C9" w:rsidRPr="00A07D9A" w:rsidRDefault="00A936C9" w:rsidP="00A936C9">
      <w:pPr>
        <w:rPr>
          <w:color w:val="000000" w:themeColor="text1"/>
        </w:rPr>
      </w:pPr>
      <w:r w:rsidRPr="00A07D9A">
        <w:rPr>
          <w:color w:val="000000" w:themeColor="text1"/>
        </w:rPr>
        <w:t>Respecto de los anteriores, la Unidad de Espectro Radioeléctrico (UER) del IFT funge como área encargada de diseñar, elaborar y dar seguimiento, hasta su conclusión, en dichos procedimientos licitatorios.</w:t>
      </w:r>
    </w:p>
    <w:p w14:paraId="7122500C" w14:textId="77777777" w:rsidR="00A936C9" w:rsidRPr="00A07D9A" w:rsidRDefault="00A936C9" w:rsidP="00862A82">
      <w:pPr>
        <w:pStyle w:val="Ttulo3"/>
        <w:rPr>
          <w:color w:val="000000" w:themeColor="text1"/>
        </w:rPr>
      </w:pPr>
      <w:bookmarkStart w:id="110" w:name="_Toc486519855"/>
      <w:r w:rsidRPr="00A07D9A">
        <w:rPr>
          <w:color w:val="000000" w:themeColor="text1"/>
        </w:rPr>
        <w:t xml:space="preserve">Opinión </w:t>
      </w:r>
      <w:r w:rsidR="00862A82" w:rsidRPr="00A07D9A">
        <w:rPr>
          <w:color w:val="000000" w:themeColor="text1"/>
        </w:rPr>
        <w:t>en materia de competencia económica</w:t>
      </w:r>
      <w:r w:rsidR="00804A81" w:rsidRPr="00A07D9A">
        <w:rPr>
          <w:color w:val="000000" w:themeColor="text1"/>
        </w:rPr>
        <w:t xml:space="preserve"> sobre las Convocatorias, las Bases y otros documentos emitidos por </w:t>
      </w:r>
      <w:r w:rsidR="007462D3" w:rsidRPr="00A07D9A">
        <w:rPr>
          <w:color w:val="000000" w:themeColor="text1"/>
        </w:rPr>
        <w:t>e</w:t>
      </w:r>
      <w:r w:rsidR="00A04E9F" w:rsidRPr="00A07D9A">
        <w:rPr>
          <w:color w:val="000000" w:themeColor="text1"/>
        </w:rPr>
        <w:t>l IFT</w:t>
      </w:r>
      <w:bookmarkEnd w:id="110"/>
    </w:p>
    <w:p w14:paraId="4C65D67E" w14:textId="77777777" w:rsidR="00A936C9" w:rsidRPr="00A07D9A" w:rsidRDefault="00A936C9" w:rsidP="00A936C9">
      <w:pPr>
        <w:rPr>
          <w:color w:val="000000" w:themeColor="text1"/>
        </w:rPr>
      </w:pPr>
      <w:r w:rsidRPr="00A07D9A">
        <w:rPr>
          <w:color w:val="000000" w:themeColor="text1"/>
        </w:rPr>
        <w:t>Para estos casos, previo a la emisión y publicación de la Convocatoria, las Bases y demás documentos correspondientes (bases, convocatoria, formatos, proyectos de títulos de concesión, entre otros), la UER solicita a la UCE una opinión en materia de competencia económica sobre todos los documentos que integran la licitación, con el objeto de incorporar medidas protectoras y promotoras a la competencia económica en este proceso. De igual manera, la UER también puede solicitar opinión a otras áreas del IFT en temas que correspondan a las atribuciones de cada una de ellas.</w:t>
      </w:r>
    </w:p>
    <w:p w14:paraId="79E27C9B" w14:textId="77777777" w:rsidR="00A936C9" w:rsidRPr="00A07D9A" w:rsidRDefault="00A936C9" w:rsidP="00A936C9">
      <w:pPr>
        <w:rPr>
          <w:color w:val="000000" w:themeColor="text1"/>
        </w:rPr>
      </w:pPr>
      <w:r w:rsidRPr="00A07D9A">
        <w:rPr>
          <w:color w:val="000000" w:themeColor="text1"/>
        </w:rPr>
        <w:t xml:space="preserve">En el proceso de preparación de la opinión en materia de competencia económica sobre la Convocatoria, las Bases y demás documentos de la licitación, existe un intercambio importante de información y propuestas entre la UCE y la UER, así como con las demás áreas involucradas. </w:t>
      </w:r>
      <w:r w:rsidR="00AA5762" w:rsidRPr="00A07D9A">
        <w:rPr>
          <w:color w:val="000000" w:themeColor="text1"/>
        </w:rPr>
        <w:t xml:space="preserve">Esta información y opiniones </w:t>
      </w:r>
      <w:r w:rsidR="000A3EEF" w:rsidRPr="00A07D9A">
        <w:rPr>
          <w:color w:val="000000" w:themeColor="text1"/>
        </w:rPr>
        <w:t>son</w:t>
      </w:r>
      <w:r w:rsidR="00AA5762" w:rsidRPr="00A07D9A">
        <w:rPr>
          <w:color w:val="000000" w:themeColor="text1"/>
        </w:rPr>
        <w:t xml:space="preserve"> tomada</w:t>
      </w:r>
      <w:r w:rsidR="000A3EEF" w:rsidRPr="00A07D9A">
        <w:rPr>
          <w:color w:val="000000" w:themeColor="text1"/>
        </w:rPr>
        <w:t>s</w:t>
      </w:r>
      <w:r w:rsidR="00AA5762" w:rsidRPr="00A07D9A">
        <w:rPr>
          <w:color w:val="000000" w:themeColor="text1"/>
        </w:rPr>
        <w:t xml:space="preserve"> en consideración por el Pleno del Instituto al emitir sus resoluciones. </w:t>
      </w:r>
    </w:p>
    <w:p w14:paraId="00D3488A" w14:textId="77777777" w:rsidR="00A936C9" w:rsidRPr="00A07D9A" w:rsidRDefault="00A936C9" w:rsidP="00A936C9">
      <w:pPr>
        <w:rPr>
          <w:color w:val="000000" w:themeColor="text1"/>
        </w:rPr>
      </w:pPr>
      <w:r w:rsidRPr="00A07D9A">
        <w:rPr>
          <w:color w:val="000000" w:themeColor="text1"/>
        </w:rPr>
        <w:t xml:space="preserve">Una vez finalizado el dictamen u opinión en materia de competencia económica que emite la UCE, éste se recibe por la UER quien se encargará </w:t>
      </w:r>
      <w:r w:rsidR="00AE1DD8" w:rsidRPr="00A07D9A">
        <w:rPr>
          <w:color w:val="000000" w:themeColor="text1"/>
        </w:rPr>
        <w:t xml:space="preserve">de presentar ante el </w:t>
      </w:r>
      <w:r w:rsidRPr="00A07D9A">
        <w:rPr>
          <w:color w:val="000000" w:themeColor="text1"/>
        </w:rPr>
        <w:t>Pleno del IFT esta opinión y el proyecto de los documentos de la licitación para su aprobación.</w:t>
      </w:r>
    </w:p>
    <w:p w14:paraId="44927DEB" w14:textId="77777777" w:rsidR="00A936C9" w:rsidRPr="00A07D9A" w:rsidRDefault="00A936C9" w:rsidP="00A936C9">
      <w:pPr>
        <w:rPr>
          <w:color w:val="000000" w:themeColor="text1"/>
        </w:rPr>
      </w:pPr>
      <w:r w:rsidRPr="00A07D9A">
        <w:rPr>
          <w:color w:val="000000" w:themeColor="text1"/>
        </w:rPr>
        <w:lastRenderedPageBreak/>
        <w:t xml:space="preserve">Finalmente, será el Pleno del IFT quien </w:t>
      </w:r>
      <w:r w:rsidR="00AE1DD8" w:rsidRPr="00A07D9A">
        <w:rPr>
          <w:color w:val="000000" w:themeColor="text1"/>
        </w:rPr>
        <w:t>determine el texto final de</w:t>
      </w:r>
      <w:r w:rsidRPr="00A07D9A">
        <w:rPr>
          <w:color w:val="000000" w:themeColor="text1"/>
        </w:rPr>
        <w:t xml:space="preserve"> la Convocatoria, Bases y demás documentos de la licitación, incluyendo las medidas protectoras y promotoras a la competencia económica que se incorporarán a</w:t>
      </w:r>
      <w:r w:rsidR="00AE1DD8" w:rsidRPr="00A07D9A">
        <w:rPr>
          <w:color w:val="000000" w:themeColor="text1"/>
        </w:rPr>
        <w:t xml:space="preserve"> dichos documentos</w:t>
      </w:r>
      <w:r w:rsidRPr="00A07D9A">
        <w:rPr>
          <w:color w:val="000000" w:themeColor="text1"/>
        </w:rPr>
        <w:t>. Los documentos de la licitación finalmente, serán publicados para dar inicio al proceso de licitación correspondiente.</w:t>
      </w:r>
    </w:p>
    <w:p w14:paraId="42F58B85" w14:textId="77777777" w:rsidR="00A936C9" w:rsidRPr="00A07D9A" w:rsidRDefault="00862A82" w:rsidP="00862A82">
      <w:pPr>
        <w:pStyle w:val="Ttulo3"/>
        <w:rPr>
          <w:color w:val="000000" w:themeColor="text1"/>
        </w:rPr>
      </w:pPr>
      <w:bookmarkStart w:id="111" w:name="_Toc486519856"/>
      <w:r w:rsidRPr="00A07D9A">
        <w:rPr>
          <w:color w:val="000000" w:themeColor="text1"/>
        </w:rPr>
        <w:t>Evaluación</w:t>
      </w:r>
      <w:r w:rsidR="00804A81" w:rsidRPr="00A07D9A">
        <w:rPr>
          <w:color w:val="000000" w:themeColor="text1"/>
        </w:rPr>
        <w:t xml:space="preserve"> en materia económica</w:t>
      </w:r>
      <w:r w:rsidR="00A936C9" w:rsidRPr="00A07D9A">
        <w:rPr>
          <w:color w:val="000000" w:themeColor="text1"/>
        </w:rPr>
        <w:t xml:space="preserve"> de los interesados</w:t>
      </w:r>
      <w:bookmarkEnd w:id="111"/>
    </w:p>
    <w:p w14:paraId="60F648E1" w14:textId="77777777" w:rsidR="00A936C9" w:rsidRPr="00A07D9A" w:rsidRDefault="00A936C9" w:rsidP="00A936C9">
      <w:pPr>
        <w:rPr>
          <w:color w:val="000000" w:themeColor="text1"/>
        </w:rPr>
      </w:pPr>
      <w:r w:rsidRPr="00A07D9A">
        <w:rPr>
          <w:color w:val="000000" w:themeColor="text1"/>
        </w:rPr>
        <w:t>Considerando que el IFT funge como autoridad convocante, la opinión para evaluar a los interesados en materia de competencia económica se ha integrado al proceso de la licitación, de tal manera que los interesados en una misma solicitud presentan información para cumplir con los requisitos contemplados en las Bases, sus apéndices y anexos, que incluyen un instructivo y cuestionario que requiere información que se utilizará para preparar las opiniones en materia de competencia económica correspondientes. Las mismas Bases precisan las fechas en las que el IFT podrá prevenir y elaborar esa opinión.</w:t>
      </w:r>
    </w:p>
    <w:p w14:paraId="6356B83A" w14:textId="77777777" w:rsidR="00A936C9" w:rsidRPr="00A07D9A" w:rsidRDefault="00A936C9" w:rsidP="00A936C9">
      <w:pPr>
        <w:rPr>
          <w:color w:val="000000" w:themeColor="text1"/>
        </w:rPr>
      </w:pPr>
      <w:r w:rsidRPr="00A07D9A">
        <w:rPr>
          <w:color w:val="000000" w:themeColor="text1"/>
        </w:rPr>
        <w:t>Las Bases precisa</w:t>
      </w:r>
      <w:r w:rsidR="00E82839" w:rsidRPr="00A07D9A">
        <w:rPr>
          <w:color w:val="000000" w:themeColor="text1"/>
        </w:rPr>
        <w:t>rá</w:t>
      </w:r>
      <w:r w:rsidRPr="00A07D9A">
        <w:rPr>
          <w:color w:val="000000" w:themeColor="text1"/>
        </w:rPr>
        <w:t>n las fechas en las que el IFT podrá prevenir sobre documentos o información faltante, incluyendo los requeridos en el instructivo y cuestionario en materia de competencia económica. En caso de que los participantes no desahoguen dicha información, se les tendrá por no presentada la solicitud respectiva.</w:t>
      </w:r>
    </w:p>
    <w:p w14:paraId="10E676C5" w14:textId="77777777" w:rsidR="00A936C9" w:rsidRPr="00A07D9A" w:rsidRDefault="00A936C9" w:rsidP="00A936C9">
      <w:pPr>
        <w:rPr>
          <w:color w:val="000000" w:themeColor="text1"/>
        </w:rPr>
      </w:pPr>
      <w:r w:rsidRPr="00A07D9A">
        <w:rPr>
          <w:color w:val="000000" w:themeColor="text1"/>
        </w:rPr>
        <w:t>Una vez que sea desahogada la prevención o en caso de que la información sea entregada de forma completa desde la misma solicitud, la UCE evaluará a cada participante en materia de competencia económica y elaborará un dictamen u opinión que, en conjunto con otros dictámenes, como el jurídico y técnico, se integrarán a los proyectos de constancias de participación. La UER presentará esos documentos al Pleno del IFT, quien, considerando esos insumos, en última instancia resolverá, a través de las constancias de participación, si cada participante es apto o no para participar en la licitación.</w:t>
      </w:r>
    </w:p>
    <w:p w14:paraId="7467140B" w14:textId="77777777" w:rsidR="00A936C9" w:rsidRPr="00A07D9A" w:rsidRDefault="00A936C9" w:rsidP="00A936C9">
      <w:pPr>
        <w:rPr>
          <w:color w:val="000000" w:themeColor="text1"/>
        </w:rPr>
      </w:pPr>
      <w:r w:rsidRPr="00A07D9A">
        <w:rPr>
          <w:color w:val="000000" w:themeColor="text1"/>
        </w:rPr>
        <w:t>En las constancias de participación, el Pleno del IFT resolverá de forma favorable o, en su caso, favorable sujeta a condiciones si los interesados podrán participar en el concurso correspondiente. En caso de que el Pleno del IFT considere que el interesado no cumple con los requisitos de las Bases o no es viable su participación por motivos de competencia económica, no emitirá la constancia de participación.</w:t>
      </w:r>
    </w:p>
    <w:p w14:paraId="3178D7D8" w14:textId="77777777" w:rsidR="00A936C9" w:rsidRPr="00A07D9A" w:rsidRDefault="00A936C9" w:rsidP="00A936C9">
      <w:pPr>
        <w:rPr>
          <w:color w:val="000000" w:themeColor="text1"/>
        </w:rPr>
      </w:pPr>
      <w:r w:rsidRPr="00A07D9A">
        <w:rPr>
          <w:color w:val="000000" w:themeColor="text1"/>
        </w:rPr>
        <w:t>Las Bases incluyen calendarios que precisan las fechas en las que los interesados podrán presentar la solicitud, así como en las que el IFT podrá prevenir, elaborar el dictamen u opinión en materia de competencia, incluyendo otros como el jurídico y técnico, así como emitir las constancias de participación.</w:t>
      </w:r>
    </w:p>
    <w:p w14:paraId="03FD380A" w14:textId="77777777" w:rsidR="00A936C9" w:rsidRPr="00A07D9A" w:rsidRDefault="00A936C9" w:rsidP="00A936C9">
      <w:pPr>
        <w:rPr>
          <w:color w:val="000000" w:themeColor="text1"/>
        </w:rPr>
      </w:pPr>
      <w:r w:rsidRPr="00A07D9A">
        <w:rPr>
          <w:color w:val="000000" w:themeColor="text1"/>
        </w:rPr>
        <w:lastRenderedPageBreak/>
        <w:t>Por otra parte, en el caso de los procedimientos de licitación convocados por otras autoridades distintas al IFT, las medidas de protección a la competencia a incorporarse en la convocatoria, las bases y demás documentos de la licitación, así como las opiniones para evaluar a los interesados en materia de competencia económica, se tramitan en términos de los artículos 98 y 99 de la LFCE y conforme a la convocatoria y las bases emitidas por esas autorid</w:t>
      </w:r>
      <w:r w:rsidR="00862A82" w:rsidRPr="00A07D9A">
        <w:rPr>
          <w:color w:val="000000" w:themeColor="text1"/>
        </w:rPr>
        <w:t>ades.</w:t>
      </w:r>
      <w:r w:rsidR="00037EBB" w:rsidRPr="00A07D9A">
        <w:rPr>
          <w:rStyle w:val="Refdenotaalpie"/>
          <w:color w:val="000000" w:themeColor="text1"/>
        </w:rPr>
        <w:footnoteReference w:id="88"/>
      </w:r>
    </w:p>
    <w:p w14:paraId="245B7E73" w14:textId="77777777" w:rsidR="00A936C9" w:rsidRPr="00A07D9A" w:rsidRDefault="00C561C7" w:rsidP="000273EE">
      <w:pPr>
        <w:pStyle w:val="Ttulo1"/>
        <w:numPr>
          <w:ilvl w:val="0"/>
          <w:numId w:val="98"/>
        </w:numPr>
        <w:rPr>
          <w:color w:val="000000" w:themeColor="text1"/>
        </w:rPr>
      </w:pPr>
      <w:bookmarkStart w:id="112" w:name="_Toc449376702"/>
      <w:bookmarkStart w:id="113" w:name="_Toc462053152"/>
      <w:bookmarkStart w:id="114" w:name="_Toc486519857"/>
      <w:r w:rsidRPr="00A07D9A">
        <w:rPr>
          <w:color w:val="000000" w:themeColor="text1"/>
        </w:rPr>
        <w:t>A</w:t>
      </w:r>
      <w:r w:rsidRPr="00A07D9A">
        <w:rPr>
          <w:caps w:val="0"/>
          <w:color w:val="000000" w:themeColor="text1"/>
        </w:rPr>
        <w:t xml:space="preserve">viso de Concentración en términos de los párrafos primero a cuarto del Artículo Noveno Transitorio del Decreto que expidió la </w:t>
      </w:r>
      <w:bookmarkEnd w:id="112"/>
      <w:bookmarkEnd w:id="113"/>
      <w:r w:rsidRPr="00A07D9A">
        <w:rPr>
          <w:caps w:val="0"/>
          <w:color w:val="000000" w:themeColor="text1"/>
        </w:rPr>
        <w:t>LFTR</w:t>
      </w:r>
      <w:bookmarkEnd w:id="114"/>
    </w:p>
    <w:p w14:paraId="650EB8B3" w14:textId="77777777" w:rsidR="00D52E3E" w:rsidRPr="00A07D9A" w:rsidRDefault="00D52E3E" w:rsidP="00B14792">
      <w:pPr>
        <w:pStyle w:val="Ttulo2"/>
        <w:rPr>
          <w:color w:val="000000" w:themeColor="text1"/>
        </w:rPr>
      </w:pPr>
      <w:bookmarkStart w:id="115" w:name="_Toc486519858"/>
      <w:r w:rsidRPr="00A07D9A">
        <w:rPr>
          <w:color w:val="000000" w:themeColor="text1"/>
        </w:rPr>
        <w:t>Aspectos Generales</w:t>
      </w:r>
      <w:bookmarkEnd w:id="115"/>
    </w:p>
    <w:p w14:paraId="00D08A57" w14:textId="77777777" w:rsidR="00A936C9" w:rsidRPr="00A07D9A" w:rsidRDefault="00A936C9" w:rsidP="00A936C9">
      <w:pPr>
        <w:rPr>
          <w:color w:val="000000" w:themeColor="text1"/>
        </w:rPr>
      </w:pPr>
      <w:r w:rsidRPr="00A07D9A">
        <w:rPr>
          <w:color w:val="000000" w:themeColor="text1"/>
        </w:rPr>
        <w:t xml:space="preserve">En </w:t>
      </w:r>
      <w:r w:rsidR="00C561C7" w:rsidRPr="00A07D9A">
        <w:rPr>
          <w:color w:val="000000" w:themeColor="text1"/>
        </w:rPr>
        <w:t>secciones previas d</w:t>
      </w:r>
      <w:r w:rsidRPr="00A07D9A">
        <w:rPr>
          <w:color w:val="000000" w:themeColor="text1"/>
        </w:rPr>
        <w:t>el presente documento, se ha</w:t>
      </w:r>
      <w:r w:rsidR="00C561C7" w:rsidRPr="00A07D9A">
        <w:rPr>
          <w:color w:val="000000" w:themeColor="text1"/>
        </w:rPr>
        <w:t>n presentado los elementos relevantes de los procedimientos que obligan a los agentes económicos a obtener una autorización previa del Instituto Federal de Telecomunicaciones en materia de concentraciones</w:t>
      </w:r>
      <w:r w:rsidRPr="00A07D9A">
        <w:rPr>
          <w:color w:val="000000" w:themeColor="text1"/>
        </w:rPr>
        <w:t>.</w:t>
      </w:r>
    </w:p>
    <w:p w14:paraId="5B57E0E1" w14:textId="77777777" w:rsidR="00121ECE" w:rsidRPr="00A07D9A" w:rsidRDefault="00C561C7" w:rsidP="00A936C9">
      <w:pPr>
        <w:rPr>
          <w:color w:val="000000" w:themeColor="text1"/>
        </w:rPr>
      </w:pPr>
      <w:r w:rsidRPr="00A07D9A">
        <w:rPr>
          <w:color w:val="000000" w:themeColor="text1"/>
        </w:rPr>
        <w:t xml:space="preserve">En esta sección se presentan los aspectos relevantes del procedimiento de Aviso de Concentración establecido en el </w:t>
      </w:r>
      <w:r w:rsidR="00A936C9" w:rsidRPr="00A07D9A">
        <w:rPr>
          <w:color w:val="000000" w:themeColor="text1"/>
        </w:rPr>
        <w:t>artículo Noveno Transitorio del Decreto por el que se expidió la LFTR</w:t>
      </w:r>
      <w:r w:rsidR="00121ECE" w:rsidRPr="00A07D9A">
        <w:rPr>
          <w:color w:val="000000" w:themeColor="text1"/>
        </w:rPr>
        <w:t xml:space="preserve"> (Noveno Transitorio)</w:t>
      </w:r>
      <w:r w:rsidR="00723760" w:rsidRPr="00A07D9A">
        <w:rPr>
          <w:color w:val="000000" w:themeColor="text1"/>
        </w:rPr>
        <w:t xml:space="preserve">. </w:t>
      </w:r>
      <w:r w:rsidR="00121ECE" w:rsidRPr="00A07D9A">
        <w:rPr>
          <w:color w:val="000000" w:themeColor="text1"/>
        </w:rPr>
        <w:t>El primer párrafo de esta disposición establece que:</w:t>
      </w:r>
    </w:p>
    <w:p w14:paraId="555AF732" w14:textId="77777777" w:rsidR="00121ECE" w:rsidRPr="00A07D9A" w:rsidRDefault="00121ECE" w:rsidP="00455281">
      <w:pPr>
        <w:pStyle w:val="Cita"/>
        <w:rPr>
          <w:i w:val="0"/>
          <w:color w:val="000000" w:themeColor="text1"/>
        </w:rPr>
      </w:pPr>
      <w:r w:rsidRPr="00A07D9A">
        <w:rPr>
          <w:i w:val="0"/>
          <w:color w:val="000000" w:themeColor="text1"/>
        </w:rPr>
        <w:t>“</w:t>
      </w:r>
      <w:r w:rsidRPr="00A07D9A">
        <w:rPr>
          <w:b/>
          <w:i w:val="0"/>
          <w:color w:val="000000" w:themeColor="text1"/>
        </w:rPr>
        <w:t>NOVENO</w:t>
      </w:r>
      <w:r w:rsidRPr="00A07D9A">
        <w:rPr>
          <w:i w:val="0"/>
          <w:color w:val="000000" w:themeColor="text1"/>
        </w:rPr>
        <w:t xml:space="preserve">. En tanto exista un agente económico preponderante en los sectores de telecomunicaciones y radiodifusión, con el fin de promover la competencia y desarrollar competidores viables en el largo plazo, </w:t>
      </w:r>
      <w:r w:rsidRPr="00A07D9A">
        <w:rPr>
          <w:b/>
          <w:i w:val="0"/>
          <w:color w:val="000000" w:themeColor="text1"/>
        </w:rPr>
        <w:t>no requerirán de autorización del Instituto Federal de Telecomunicaciones las concentraciones</w:t>
      </w:r>
      <w:r w:rsidRPr="00A07D9A">
        <w:rPr>
          <w:i w:val="0"/>
          <w:color w:val="000000" w:themeColor="text1"/>
        </w:rPr>
        <w:t xml:space="preserve"> </w:t>
      </w:r>
      <w:r w:rsidRPr="00A07D9A">
        <w:rPr>
          <w:b/>
          <w:i w:val="0"/>
          <w:color w:val="000000" w:themeColor="text1"/>
        </w:rPr>
        <w:t>que se realicen entre agentes económicos titulares de concesiones, ni las cesiones de concesión y los cambios de control que deriven de éstas, que reúnan los siguientes requisitos</w:t>
      </w:r>
      <w:r w:rsidRPr="00A07D9A">
        <w:rPr>
          <w:i w:val="0"/>
          <w:color w:val="000000" w:themeColor="text1"/>
        </w:rPr>
        <w:t>:</w:t>
      </w:r>
    </w:p>
    <w:p w14:paraId="1DCA2E34" w14:textId="77777777" w:rsidR="00A936C9" w:rsidRPr="00A07D9A" w:rsidRDefault="00121ECE" w:rsidP="00455281">
      <w:pPr>
        <w:pStyle w:val="Cita"/>
        <w:rPr>
          <w:i w:val="0"/>
          <w:color w:val="000000" w:themeColor="text1"/>
        </w:rPr>
      </w:pPr>
      <w:r w:rsidRPr="00A07D9A">
        <w:rPr>
          <w:i w:val="0"/>
          <w:color w:val="000000" w:themeColor="text1"/>
        </w:rPr>
        <w:t>(…).”</w:t>
      </w:r>
    </w:p>
    <w:p w14:paraId="705B5016" w14:textId="77777777" w:rsidR="00121ECE" w:rsidRPr="00A07D9A" w:rsidRDefault="00121ECE" w:rsidP="00A936C9">
      <w:pPr>
        <w:rPr>
          <w:color w:val="000000" w:themeColor="text1"/>
        </w:rPr>
      </w:pPr>
      <w:r w:rsidRPr="00A07D9A">
        <w:rPr>
          <w:color w:val="000000" w:themeColor="text1"/>
        </w:rPr>
        <w:t xml:space="preserve">El Aviso al que se refiere el primer párrafo del artículo Noveno </w:t>
      </w:r>
      <w:r w:rsidR="002B5B03" w:rsidRPr="00A07D9A">
        <w:rPr>
          <w:color w:val="000000" w:themeColor="text1"/>
        </w:rPr>
        <w:t>Transitorio</w:t>
      </w:r>
      <w:r w:rsidRPr="00A07D9A">
        <w:rPr>
          <w:color w:val="000000" w:themeColor="text1"/>
        </w:rPr>
        <w:t xml:space="preserve"> otorga el derecho a los agentes económicos de acogerse a un régimen de excepción, de no requerir la autorización del Instituto a través de los demás procedimientos previstos en la LFCE y la LFTR, </w:t>
      </w:r>
      <w:r w:rsidRPr="00A07D9A">
        <w:rPr>
          <w:b/>
          <w:color w:val="000000" w:themeColor="text1"/>
        </w:rPr>
        <w:t xml:space="preserve">siempre y cuando </w:t>
      </w:r>
      <w:r w:rsidRPr="00A07D9A">
        <w:rPr>
          <w:color w:val="000000" w:themeColor="text1"/>
        </w:rPr>
        <w:t>se trate de agentes económicos titulares de concesiones y que las transacciones cumplan con los requisitos establecidos en los párrafos primero a cuarto de esa disposición.</w:t>
      </w:r>
    </w:p>
    <w:p w14:paraId="7A1C5BF7" w14:textId="77777777" w:rsidR="00AC1D89" w:rsidRPr="00A07D9A" w:rsidRDefault="00AC1D89" w:rsidP="00A936C9">
      <w:pPr>
        <w:rPr>
          <w:color w:val="000000" w:themeColor="text1"/>
        </w:rPr>
      </w:pPr>
      <w:r w:rsidRPr="00A07D9A">
        <w:rPr>
          <w:color w:val="000000" w:themeColor="text1"/>
        </w:rPr>
        <w:lastRenderedPageBreak/>
        <w:t>Esta disposición enuncia que su propósito es el de “promover la competencia y desarrollar competidores viables en el largo plazo”</w:t>
      </w:r>
      <w:r w:rsidR="00150438" w:rsidRPr="00A07D9A">
        <w:rPr>
          <w:color w:val="000000" w:themeColor="text1"/>
        </w:rPr>
        <w:t>.</w:t>
      </w:r>
    </w:p>
    <w:p w14:paraId="2D011C3A" w14:textId="77777777" w:rsidR="00121ECE" w:rsidRPr="00A07D9A" w:rsidRDefault="00121ECE" w:rsidP="00A936C9">
      <w:pPr>
        <w:rPr>
          <w:color w:val="000000" w:themeColor="text1"/>
        </w:rPr>
      </w:pPr>
      <w:r w:rsidRPr="00A07D9A">
        <w:rPr>
          <w:color w:val="000000" w:themeColor="text1"/>
        </w:rPr>
        <w:t xml:space="preserve">Esta disposición es de aplicación transitoria, pues estará vigente </w:t>
      </w:r>
      <w:r w:rsidR="00B44169" w:rsidRPr="00A07D9A">
        <w:rPr>
          <w:color w:val="000000" w:themeColor="text1"/>
        </w:rPr>
        <w:t>en tanto existan agentes económicos preponderantes en los sectores de telecomunicaciones y radiodifusión</w:t>
      </w:r>
      <w:r w:rsidR="00AC1D89" w:rsidRPr="00A07D9A">
        <w:rPr>
          <w:color w:val="000000" w:themeColor="text1"/>
        </w:rPr>
        <w:t>.</w:t>
      </w:r>
    </w:p>
    <w:p w14:paraId="1EA49C89" w14:textId="77777777" w:rsidR="00150438" w:rsidRPr="00A07D9A" w:rsidRDefault="00150438" w:rsidP="00A936C9">
      <w:pPr>
        <w:rPr>
          <w:color w:val="000000" w:themeColor="text1"/>
        </w:rPr>
      </w:pPr>
      <w:r w:rsidRPr="00A07D9A">
        <w:rPr>
          <w:color w:val="000000" w:themeColor="text1"/>
        </w:rPr>
        <w:t xml:space="preserve">Otro elemento distintivo de este procedimiento es que el análisis se realiza en el ámbito del sector involucrado en la concentración, pues así lo dispone la norma. No se realiza en el ámbito de mercados o mercados relevantes que se emplea en los procedimientos para el control de concentraciones sujetos a los criterios de la LFCE. </w:t>
      </w:r>
    </w:p>
    <w:p w14:paraId="2C1607D7" w14:textId="77777777" w:rsidR="00B44169" w:rsidRPr="00A07D9A" w:rsidRDefault="00CD26FF" w:rsidP="00CD26FF">
      <w:pPr>
        <w:rPr>
          <w:color w:val="000000" w:themeColor="text1"/>
        </w:rPr>
      </w:pPr>
      <w:r w:rsidRPr="00A07D9A">
        <w:rPr>
          <w:color w:val="000000" w:themeColor="text1"/>
        </w:rPr>
        <w:t>E</w:t>
      </w:r>
      <w:r w:rsidR="00B44169" w:rsidRPr="00A07D9A">
        <w:rPr>
          <w:color w:val="000000" w:themeColor="text1"/>
        </w:rPr>
        <w:t>n términos generales, e</w:t>
      </w:r>
      <w:r w:rsidRPr="00A07D9A">
        <w:rPr>
          <w:color w:val="000000" w:themeColor="text1"/>
        </w:rPr>
        <w:t>l artículo Noveno Transitorio prevé la realización de dos procedimientos</w:t>
      </w:r>
      <w:r w:rsidR="00B44169" w:rsidRPr="00A07D9A">
        <w:rPr>
          <w:color w:val="000000" w:themeColor="text1"/>
        </w:rPr>
        <w:t xml:space="preserve">. El primero corresponde la presentación del Aviso de Concentración el cual se sujeta a </w:t>
      </w:r>
      <w:r w:rsidRPr="00A07D9A">
        <w:rPr>
          <w:color w:val="000000" w:themeColor="text1"/>
        </w:rPr>
        <w:t xml:space="preserve">un procedimiento administrativo </w:t>
      </w:r>
      <w:r w:rsidR="00B44169" w:rsidRPr="00A07D9A">
        <w:rPr>
          <w:color w:val="000000" w:themeColor="text1"/>
        </w:rPr>
        <w:t xml:space="preserve">cuyo objeto es determinar si la transacción en efecto </w:t>
      </w:r>
      <w:r w:rsidRPr="00A07D9A">
        <w:rPr>
          <w:color w:val="000000" w:themeColor="text1"/>
        </w:rPr>
        <w:t>cumpl</w:t>
      </w:r>
      <w:r w:rsidR="00B44169" w:rsidRPr="00A07D9A">
        <w:rPr>
          <w:color w:val="000000" w:themeColor="text1"/>
        </w:rPr>
        <w:t>e</w:t>
      </w:r>
      <w:r w:rsidRPr="00A07D9A">
        <w:rPr>
          <w:color w:val="000000" w:themeColor="text1"/>
        </w:rPr>
        <w:t xml:space="preserve"> los requisitos a. a d. del mismo artículo</w:t>
      </w:r>
      <w:r w:rsidR="00B44169" w:rsidRPr="00A07D9A">
        <w:rPr>
          <w:color w:val="000000" w:themeColor="text1"/>
        </w:rPr>
        <w:t xml:space="preserve">, sujeto a las obligaciones y a los criterios establecidos en los párrafos segundo a cuarto. </w:t>
      </w:r>
    </w:p>
    <w:p w14:paraId="6437954D" w14:textId="77777777" w:rsidR="00CD26FF" w:rsidRPr="00A07D9A" w:rsidRDefault="00B44169" w:rsidP="00CD26FF">
      <w:pPr>
        <w:rPr>
          <w:color w:val="000000" w:themeColor="text1"/>
        </w:rPr>
      </w:pPr>
      <w:r w:rsidRPr="00A07D9A">
        <w:rPr>
          <w:color w:val="000000" w:themeColor="text1"/>
        </w:rPr>
        <w:t>Únicamente</w:t>
      </w:r>
      <w:r w:rsidR="001C7A99" w:rsidRPr="00A07D9A">
        <w:rPr>
          <w:color w:val="000000" w:themeColor="text1"/>
        </w:rPr>
        <w:t>,</w:t>
      </w:r>
      <w:r w:rsidRPr="00A07D9A">
        <w:rPr>
          <w:color w:val="000000" w:themeColor="text1"/>
        </w:rPr>
        <w:t xml:space="preserve"> en caso </w:t>
      </w:r>
      <w:r w:rsidR="00486798" w:rsidRPr="00A07D9A">
        <w:rPr>
          <w:color w:val="000000" w:themeColor="text1"/>
        </w:rPr>
        <w:t>de</w:t>
      </w:r>
      <w:r w:rsidRPr="00A07D9A">
        <w:rPr>
          <w:color w:val="000000" w:themeColor="text1"/>
        </w:rPr>
        <w:t xml:space="preserve"> que el Pleno del Instituto resuelva que la concentración materia del Aviso en efecto cumple con lo dispuesto en los artículos primero a cuarto del artículo Noveno Transitorio, corresponde</w:t>
      </w:r>
      <w:r w:rsidR="001C7A99" w:rsidRPr="00A07D9A">
        <w:rPr>
          <w:color w:val="000000" w:themeColor="text1"/>
        </w:rPr>
        <w:t>rá</w:t>
      </w:r>
      <w:r w:rsidRPr="00A07D9A">
        <w:rPr>
          <w:color w:val="000000" w:themeColor="text1"/>
        </w:rPr>
        <w:t xml:space="preserve"> a la AI iniciar </w:t>
      </w:r>
      <w:r w:rsidR="00CD26FF" w:rsidRPr="00A07D9A">
        <w:rPr>
          <w:color w:val="000000" w:themeColor="text1"/>
        </w:rPr>
        <w:t>un procedimiento de investigación de la concentración realizada</w:t>
      </w:r>
      <w:r w:rsidR="001C7A99" w:rsidRPr="00A07D9A">
        <w:rPr>
          <w:color w:val="000000" w:themeColor="text1"/>
        </w:rPr>
        <w:t>,</w:t>
      </w:r>
      <w:r w:rsidRPr="00A07D9A">
        <w:rPr>
          <w:color w:val="000000" w:themeColor="text1"/>
        </w:rPr>
        <w:t xml:space="preserve"> para efectos de lo dispuesto en el párrafo quinto de esa disposición</w:t>
      </w:r>
      <w:r w:rsidR="00CD26FF" w:rsidRPr="00A07D9A">
        <w:rPr>
          <w:color w:val="000000" w:themeColor="text1"/>
        </w:rPr>
        <w:t>.</w:t>
      </w:r>
    </w:p>
    <w:p w14:paraId="43678EC7" w14:textId="77777777" w:rsidR="00CD26FF" w:rsidRPr="00A07D9A" w:rsidRDefault="00CD26FF" w:rsidP="00B14792">
      <w:pPr>
        <w:pStyle w:val="Ttulo2"/>
        <w:rPr>
          <w:color w:val="000000" w:themeColor="text1"/>
        </w:rPr>
      </w:pPr>
      <w:bookmarkStart w:id="116" w:name="_Toc486519859"/>
      <w:r w:rsidRPr="00A07D9A">
        <w:rPr>
          <w:color w:val="000000" w:themeColor="text1"/>
        </w:rPr>
        <w:t>Aviso de Concentración</w:t>
      </w:r>
      <w:bookmarkEnd w:id="116"/>
    </w:p>
    <w:p w14:paraId="52E53C48" w14:textId="77777777" w:rsidR="00BD77B6" w:rsidRPr="00A07D9A" w:rsidRDefault="00A936C9" w:rsidP="00A936C9">
      <w:pPr>
        <w:rPr>
          <w:color w:val="000000" w:themeColor="text1"/>
        </w:rPr>
      </w:pPr>
      <w:r w:rsidRPr="00A07D9A">
        <w:rPr>
          <w:color w:val="000000" w:themeColor="text1"/>
        </w:rPr>
        <w:t xml:space="preserve">El Aviso de Concentración previsto en el artículo Noveno Transitorio </w:t>
      </w:r>
      <w:r w:rsidR="001C7A99" w:rsidRPr="00A07D9A">
        <w:rPr>
          <w:color w:val="000000" w:themeColor="text1"/>
        </w:rPr>
        <w:t xml:space="preserve">se presenta ante el IFT, mediante un escrito (anexando la información y documentación que se precisa más adelante), por los agentes económicos involucrados, dentro de los diez días siguientes a la realización de la concentración. </w:t>
      </w:r>
    </w:p>
    <w:p w14:paraId="750AFEC7" w14:textId="537F3A1D" w:rsidR="00A936C9" w:rsidRPr="00A07D9A" w:rsidRDefault="00A936C9" w:rsidP="00A936C9">
      <w:pPr>
        <w:rPr>
          <w:color w:val="000000" w:themeColor="text1"/>
        </w:rPr>
      </w:pPr>
      <w:r w:rsidRPr="00A07D9A">
        <w:rPr>
          <w:color w:val="000000" w:themeColor="text1"/>
        </w:rPr>
        <w:t>Las características que distinguen al Aviso de Concentración son las siguientes:</w:t>
      </w:r>
    </w:p>
    <w:p w14:paraId="41DD1054" w14:textId="77777777" w:rsidR="00A936C9" w:rsidRPr="00A07D9A" w:rsidRDefault="00A936C9" w:rsidP="00FE6791">
      <w:pPr>
        <w:pStyle w:val="Prrafodelista"/>
        <w:numPr>
          <w:ilvl w:val="0"/>
          <w:numId w:val="52"/>
        </w:numPr>
        <w:spacing w:after="160" w:line="259" w:lineRule="auto"/>
        <w:ind w:left="714" w:hanging="357"/>
        <w:rPr>
          <w:color w:val="000000" w:themeColor="text1"/>
        </w:rPr>
      </w:pPr>
      <w:r w:rsidRPr="00A07D9A">
        <w:rPr>
          <w:color w:val="000000" w:themeColor="text1"/>
        </w:rPr>
        <w:t xml:space="preserve">Las concentraciones pueden realizarse con base en </w:t>
      </w:r>
      <w:r w:rsidR="00B44169" w:rsidRPr="00A07D9A">
        <w:rPr>
          <w:color w:val="000000" w:themeColor="text1"/>
        </w:rPr>
        <w:t xml:space="preserve">el </w:t>
      </w:r>
      <w:r w:rsidRPr="00A07D9A">
        <w:rPr>
          <w:color w:val="000000" w:themeColor="text1"/>
        </w:rPr>
        <w:t>artículo Noveno Transitorio hasta en tanto exista</w:t>
      </w:r>
      <w:r w:rsidR="00AC1D89" w:rsidRPr="00A07D9A">
        <w:rPr>
          <w:color w:val="000000" w:themeColor="text1"/>
        </w:rPr>
        <w:t>n</w:t>
      </w:r>
      <w:r w:rsidRPr="00A07D9A">
        <w:rPr>
          <w:color w:val="000000" w:themeColor="text1"/>
        </w:rPr>
        <w:t xml:space="preserve"> </w:t>
      </w:r>
      <w:r w:rsidR="00A83FB8" w:rsidRPr="00A07D9A">
        <w:rPr>
          <w:color w:val="000000" w:themeColor="text1"/>
        </w:rPr>
        <w:t>agentes económicos</w:t>
      </w:r>
      <w:r w:rsidRPr="00A07D9A">
        <w:rPr>
          <w:color w:val="000000" w:themeColor="text1"/>
        </w:rPr>
        <w:t xml:space="preserve"> declarado</w:t>
      </w:r>
      <w:r w:rsidR="00AC1D89" w:rsidRPr="00A07D9A">
        <w:rPr>
          <w:color w:val="000000" w:themeColor="text1"/>
        </w:rPr>
        <w:t>s</w:t>
      </w:r>
      <w:r w:rsidRPr="00A07D9A">
        <w:rPr>
          <w:color w:val="000000" w:themeColor="text1"/>
        </w:rPr>
        <w:t xml:space="preserve"> preponderante</w:t>
      </w:r>
      <w:r w:rsidR="00AC1D89" w:rsidRPr="00A07D9A">
        <w:rPr>
          <w:color w:val="000000" w:themeColor="text1"/>
        </w:rPr>
        <w:t>s</w:t>
      </w:r>
      <w:r w:rsidRPr="00A07D9A">
        <w:rPr>
          <w:color w:val="000000" w:themeColor="text1"/>
        </w:rPr>
        <w:t xml:space="preserve"> en los sectores de telecomunicaciones o radiodifusión.</w:t>
      </w:r>
    </w:p>
    <w:p w14:paraId="58C8400E" w14:textId="77777777" w:rsidR="00A936C9" w:rsidRPr="00A07D9A" w:rsidRDefault="00A936C9" w:rsidP="00FE6791">
      <w:pPr>
        <w:pStyle w:val="Prrafodelista"/>
        <w:numPr>
          <w:ilvl w:val="0"/>
          <w:numId w:val="52"/>
        </w:numPr>
        <w:spacing w:after="160" w:line="259" w:lineRule="auto"/>
        <w:ind w:left="714" w:hanging="357"/>
        <w:rPr>
          <w:color w:val="000000" w:themeColor="text1"/>
        </w:rPr>
      </w:pPr>
      <w:r w:rsidRPr="00A07D9A">
        <w:rPr>
          <w:color w:val="000000" w:themeColor="text1"/>
        </w:rPr>
        <w:t xml:space="preserve">Únicamente </w:t>
      </w:r>
      <w:r w:rsidR="000177DD" w:rsidRPr="00A07D9A">
        <w:rPr>
          <w:color w:val="000000" w:themeColor="text1"/>
        </w:rPr>
        <w:t xml:space="preserve">se </w:t>
      </w:r>
      <w:r w:rsidRPr="00A07D9A">
        <w:rPr>
          <w:color w:val="000000" w:themeColor="text1"/>
        </w:rPr>
        <w:t xml:space="preserve">aplica tratándose de concentraciones realizadas entre </w:t>
      </w:r>
      <w:r w:rsidR="008A07CB" w:rsidRPr="00A07D9A">
        <w:rPr>
          <w:color w:val="000000" w:themeColor="text1"/>
        </w:rPr>
        <w:t>agentes económicos</w:t>
      </w:r>
      <w:r w:rsidRPr="00A07D9A">
        <w:rPr>
          <w:color w:val="000000" w:themeColor="text1"/>
        </w:rPr>
        <w:t xml:space="preserve"> titulares de concesiones (concesionarios).</w:t>
      </w:r>
    </w:p>
    <w:p w14:paraId="154E3540" w14:textId="77777777" w:rsidR="00A936C9" w:rsidRPr="00A07D9A" w:rsidRDefault="00A936C9" w:rsidP="00FE6791">
      <w:pPr>
        <w:pStyle w:val="Prrafodelista"/>
        <w:numPr>
          <w:ilvl w:val="0"/>
          <w:numId w:val="52"/>
        </w:numPr>
        <w:spacing w:after="160" w:line="259" w:lineRule="auto"/>
        <w:ind w:left="714" w:hanging="357"/>
        <w:rPr>
          <w:color w:val="000000" w:themeColor="text1"/>
        </w:rPr>
      </w:pPr>
      <w:r w:rsidRPr="00A07D9A">
        <w:rPr>
          <w:color w:val="000000" w:themeColor="text1"/>
        </w:rPr>
        <w:t>Incluye a las transacciones correspondientes a cesiones de concesiones y cambios de control derivados de éstas.</w:t>
      </w:r>
    </w:p>
    <w:p w14:paraId="745D9BC2" w14:textId="77777777" w:rsidR="00A936C9" w:rsidRPr="00A07D9A" w:rsidRDefault="00C4702C" w:rsidP="00B14792">
      <w:pPr>
        <w:pStyle w:val="Ttulo3"/>
        <w:rPr>
          <w:color w:val="000000" w:themeColor="text1"/>
        </w:rPr>
      </w:pPr>
      <w:bookmarkStart w:id="117" w:name="_Toc449376703"/>
      <w:bookmarkStart w:id="118" w:name="_Toc462053153"/>
      <w:bookmarkStart w:id="119" w:name="_Toc486519860"/>
      <w:r w:rsidRPr="00A07D9A">
        <w:rPr>
          <w:color w:val="000000" w:themeColor="text1"/>
        </w:rPr>
        <w:lastRenderedPageBreak/>
        <w:t>9</w:t>
      </w:r>
      <w:r w:rsidR="00A936C9" w:rsidRPr="00A07D9A">
        <w:rPr>
          <w:color w:val="000000" w:themeColor="text1"/>
        </w:rPr>
        <w:t>.1. Requisitos</w:t>
      </w:r>
      <w:bookmarkEnd w:id="117"/>
      <w:bookmarkEnd w:id="118"/>
      <w:bookmarkEnd w:id="119"/>
    </w:p>
    <w:p w14:paraId="462D5491" w14:textId="77777777" w:rsidR="00A936C9" w:rsidRPr="00A07D9A" w:rsidRDefault="00A936C9" w:rsidP="00A936C9">
      <w:pPr>
        <w:rPr>
          <w:color w:val="000000" w:themeColor="text1"/>
        </w:rPr>
      </w:pPr>
      <w:r w:rsidRPr="00A07D9A">
        <w:rPr>
          <w:color w:val="000000" w:themeColor="text1"/>
        </w:rPr>
        <w:t>Con independencia de las características propias del Aviso de Concentración antes señaladas, las concentraciones que se pretenda realizar con apego al artículo Noveno Transitorio deben reunir los siguientes requisitos:</w:t>
      </w:r>
    </w:p>
    <w:p w14:paraId="54121884" w14:textId="77777777" w:rsidR="00A936C9" w:rsidRPr="00A07D9A" w:rsidRDefault="00A936C9" w:rsidP="00FE6791">
      <w:pPr>
        <w:pStyle w:val="Prrafodelista"/>
        <w:numPr>
          <w:ilvl w:val="0"/>
          <w:numId w:val="53"/>
        </w:numPr>
        <w:spacing w:after="160" w:line="259" w:lineRule="auto"/>
        <w:contextualSpacing/>
        <w:rPr>
          <w:b/>
          <w:color w:val="000000" w:themeColor="text1"/>
        </w:rPr>
      </w:pPr>
      <w:r w:rsidRPr="00A07D9A">
        <w:rPr>
          <w:b/>
          <w:color w:val="000000" w:themeColor="text1"/>
        </w:rPr>
        <w:t xml:space="preserve">Generen una reducción sectorial del Índice de Dominancia “ID”, siempre que el índice </w:t>
      </w:r>
      <w:proofErr w:type="spellStart"/>
      <w:r w:rsidRPr="00A07D9A">
        <w:rPr>
          <w:b/>
          <w:color w:val="000000" w:themeColor="text1"/>
        </w:rPr>
        <w:t>Hirschman-Herfindahl</w:t>
      </w:r>
      <w:proofErr w:type="spellEnd"/>
      <w:r w:rsidRPr="00A07D9A">
        <w:rPr>
          <w:b/>
          <w:color w:val="000000" w:themeColor="text1"/>
        </w:rPr>
        <w:t xml:space="preserve"> “IHH” no se incremente en más de doscientos puntos.</w:t>
      </w:r>
    </w:p>
    <w:p w14:paraId="554351A0" w14:textId="77777777" w:rsidR="00A936C9" w:rsidRPr="00A07D9A" w:rsidRDefault="00A936C9" w:rsidP="00A936C9">
      <w:pPr>
        <w:rPr>
          <w:color w:val="000000" w:themeColor="text1"/>
        </w:rPr>
      </w:pPr>
      <w:r w:rsidRPr="00A07D9A">
        <w:rPr>
          <w:color w:val="000000" w:themeColor="text1"/>
        </w:rPr>
        <w:t xml:space="preserve">En términos del </w:t>
      </w:r>
      <w:r w:rsidR="00C561C7" w:rsidRPr="00A07D9A">
        <w:rPr>
          <w:color w:val="000000" w:themeColor="text1"/>
        </w:rPr>
        <w:t>artículo</w:t>
      </w:r>
      <w:r w:rsidRPr="00A07D9A">
        <w:rPr>
          <w:color w:val="000000" w:themeColor="text1"/>
        </w:rPr>
        <w:t xml:space="preserve"> Noveno Transitorio, es necesario que, en primer lugar, la concentración genere una reducción del índice de dominancia (ID) y que, en segundo lugar, no se produzca un incremento del IHH en más de doscientos puntos.</w:t>
      </w:r>
    </w:p>
    <w:p w14:paraId="129F4084" w14:textId="77777777" w:rsidR="00A936C9" w:rsidRPr="00A07D9A" w:rsidRDefault="00A936C9" w:rsidP="00A936C9">
      <w:pPr>
        <w:rPr>
          <w:color w:val="000000" w:themeColor="text1"/>
        </w:rPr>
      </w:pPr>
      <w:r w:rsidRPr="00A07D9A">
        <w:rPr>
          <w:color w:val="000000" w:themeColor="text1"/>
        </w:rPr>
        <w:t xml:space="preserve">A diferencia del </w:t>
      </w:r>
      <w:r w:rsidRPr="00A07D9A">
        <w:rPr>
          <w:bCs/>
          <w:color w:val="000000" w:themeColor="text1"/>
        </w:rPr>
        <w:t>Criterio de Índice de Concentración</w:t>
      </w:r>
      <w:r w:rsidRPr="00A07D9A">
        <w:rPr>
          <w:color w:val="000000" w:themeColor="text1"/>
        </w:rPr>
        <w:t xml:space="preserve"> emitido por el IFT, el </w:t>
      </w:r>
      <w:r w:rsidR="00C561C7" w:rsidRPr="00A07D9A">
        <w:rPr>
          <w:color w:val="000000" w:themeColor="text1"/>
        </w:rPr>
        <w:t>artículo</w:t>
      </w:r>
      <w:r w:rsidRPr="00A07D9A">
        <w:rPr>
          <w:color w:val="000000" w:themeColor="text1"/>
        </w:rPr>
        <w:t xml:space="preserve"> Noveno Transitorio plantea reglas de </w:t>
      </w:r>
      <w:r w:rsidR="0049600B" w:rsidRPr="00A07D9A">
        <w:rPr>
          <w:color w:val="000000" w:themeColor="text1"/>
        </w:rPr>
        <w:t>evaluación particular y distinta</w:t>
      </w:r>
      <w:r w:rsidRPr="00A07D9A">
        <w:rPr>
          <w:color w:val="000000" w:themeColor="text1"/>
        </w:rPr>
        <w:t xml:space="preserve"> a las de ese criterio. En particular,</w:t>
      </w:r>
      <w:r w:rsidR="00F9163C" w:rsidRPr="00A07D9A">
        <w:rPr>
          <w:color w:val="000000" w:themeColor="text1"/>
        </w:rPr>
        <w:t xml:space="preserve"> a diferencia de las operaciones evaluadas en términos de la LFCE, el artículo Noveno Transitorio</w:t>
      </w:r>
      <w:r w:rsidRPr="00A07D9A">
        <w:rPr>
          <w:color w:val="000000" w:themeColor="text1"/>
        </w:rPr>
        <w:t xml:space="preserve"> incorpora la evaluación del ID, í</w:t>
      </w:r>
      <w:r w:rsidRPr="00A07D9A">
        <w:rPr>
          <w:rFonts w:cs="Times New Roman"/>
          <w:color w:val="000000" w:themeColor="text1"/>
        </w:rPr>
        <w:t xml:space="preserve">ndice que se calcula como la suma de las </w:t>
      </w:r>
      <w:r w:rsidRPr="00A07D9A">
        <w:rPr>
          <w:rFonts w:eastAsia="Times New Roman" w:cs="Times New Roman"/>
          <w:color w:val="000000" w:themeColor="text1"/>
          <w:lang w:eastAsia="es-MX"/>
        </w:rPr>
        <w:t xml:space="preserve">contribuciones de cada </w:t>
      </w:r>
      <w:r w:rsidR="00536ABF" w:rsidRPr="00A07D9A">
        <w:rPr>
          <w:rFonts w:eastAsia="Times New Roman" w:cs="Times New Roman"/>
          <w:color w:val="000000" w:themeColor="text1"/>
          <w:lang w:eastAsia="es-MX"/>
        </w:rPr>
        <w:t>Agente Económico</w:t>
      </w:r>
      <w:r w:rsidRPr="00A07D9A">
        <w:rPr>
          <w:rFonts w:eastAsia="Times New Roman" w:cs="Times New Roman"/>
          <w:color w:val="000000" w:themeColor="text1"/>
          <w:lang w:eastAsia="es-MX"/>
        </w:rPr>
        <w:t xml:space="preserve"> al IHH elevadas al cuadrado</w:t>
      </w:r>
      <w:r w:rsidRPr="00A07D9A">
        <w:rPr>
          <w:rFonts w:cs="Times New Roman"/>
          <w:color w:val="000000" w:themeColor="text1"/>
        </w:rPr>
        <w:t xml:space="preserve">. Asimismo, </w:t>
      </w:r>
      <w:r w:rsidRPr="00A07D9A">
        <w:rPr>
          <w:color w:val="000000" w:themeColor="text1"/>
        </w:rPr>
        <w:t xml:space="preserve">limita los indicadores que se pueden utilizar para el cálculo del IHH y del ID; </w:t>
      </w:r>
      <w:r w:rsidR="00957547" w:rsidRPr="00A07D9A">
        <w:rPr>
          <w:color w:val="000000" w:themeColor="text1"/>
        </w:rPr>
        <w:t>e</w:t>
      </w:r>
      <w:r w:rsidRPr="00A07D9A">
        <w:rPr>
          <w:color w:val="000000" w:themeColor="text1"/>
        </w:rPr>
        <w:t>stos cálculos deben hacerse con base en el indicador de número de suscriptores y usuarios de servicios de telecomunicaciones, para el caso del sector de las telecomunicaciones, y con base en audiencia, para el sector de la radiodifusión.</w:t>
      </w:r>
    </w:p>
    <w:p w14:paraId="027AD62F" w14:textId="77777777" w:rsidR="00A936C9" w:rsidRPr="00A07D9A" w:rsidRDefault="00A936C9" w:rsidP="00A936C9">
      <w:pPr>
        <w:rPr>
          <w:color w:val="000000" w:themeColor="text1"/>
        </w:rPr>
      </w:pPr>
      <w:r w:rsidRPr="00A07D9A">
        <w:rPr>
          <w:color w:val="000000" w:themeColor="text1"/>
        </w:rPr>
        <w:t>De acuerdo con lo anterior, es importante precisar que el Aviso de Concentración constituye una excepción al procedimiento de notificación de concentraciones y, por lo tanto, su análisis, evaluación y consideraciones se realiza</w:t>
      </w:r>
      <w:r w:rsidR="003F2D39" w:rsidRPr="00A07D9A">
        <w:rPr>
          <w:color w:val="000000" w:themeColor="text1"/>
        </w:rPr>
        <w:t xml:space="preserve"> en condiciones particulares</w:t>
      </w:r>
      <w:r w:rsidRPr="00A07D9A">
        <w:rPr>
          <w:color w:val="000000" w:themeColor="text1"/>
        </w:rPr>
        <w:t xml:space="preserve">, razón por la cual los </w:t>
      </w:r>
      <w:r w:rsidR="008A07CB" w:rsidRPr="00A07D9A">
        <w:rPr>
          <w:color w:val="000000" w:themeColor="text1"/>
        </w:rPr>
        <w:t>agentes económicos</w:t>
      </w:r>
      <w:r w:rsidRPr="00A07D9A">
        <w:rPr>
          <w:color w:val="000000" w:themeColor="text1"/>
        </w:rPr>
        <w:t xml:space="preserve"> deberán atender únicamente al texto del artículo Noveno Transitorio. </w:t>
      </w:r>
    </w:p>
    <w:p w14:paraId="3D776E77" w14:textId="77777777" w:rsidR="00A936C9" w:rsidRPr="00A07D9A" w:rsidRDefault="00A936C9" w:rsidP="00FE6791">
      <w:pPr>
        <w:pStyle w:val="Prrafodelista"/>
        <w:numPr>
          <w:ilvl w:val="0"/>
          <w:numId w:val="53"/>
        </w:numPr>
        <w:spacing w:after="160" w:line="259" w:lineRule="auto"/>
        <w:contextualSpacing/>
        <w:rPr>
          <w:b/>
          <w:color w:val="000000" w:themeColor="text1"/>
        </w:rPr>
      </w:pPr>
      <w:r w:rsidRPr="00A07D9A">
        <w:rPr>
          <w:b/>
          <w:color w:val="000000" w:themeColor="text1"/>
        </w:rPr>
        <w:t xml:space="preserve">Tengan como resultado que el </w:t>
      </w:r>
      <w:r w:rsidR="00536ABF" w:rsidRPr="00A07D9A">
        <w:rPr>
          <w:b/>
          <w:color w:val="000000" w:themeColor="text1"/>
        </w:rPr>
        <w:t>Agente Económico</w:t>
      </w:r>
      <w:r w:rsidRPr="00A07D9A">
        <w:rPr>
          <w:b/>
          <w:color w:val="000000" w:themeColor="text1"/>
        </w:rPr>
        <w:t xml:space="preserve"> cuente con un porcentaje de participación sectorial menor al veinte por ciento.</w:t>
      </w:r>
    </w:p>
    <w:p w14:paraId="29D59736" w14:textId="77777777" w:rsidR="00A936C9" w:rsidRPr="00A07D9A" w:rsidRDefault="00A936C9" w:rsidP="00A936C9">
      <w:pPr>
        <w:rPr>
          <w:color w:val="000000" w:themeColor="text1"/>
        </w:rPr>
      </w:pPr>
      <w:r w:rsidRPr="00A07D9A">
        <w:rPr>
          <w:color w:val="000000" w:themeColor="text1"/>
        </w:rPr>
        <w:t>Sobre este requisito, a diferencia del procedimiento de notificación de concentraciones, en donde la evaluación en materia de competencia económica requiere la identificación de un “mercado relevante</w:t>
      </w:r>
      <w:r w:rsidR="0049600B" w:rsidRPr="00A07D9A">
        <w:rPr>
          <w:color w:val="000000" w:themeColor="text1"/>
        </w:rPr>
        <w:t>”,</w:t>
      </w:r>
      <w:r w:rsidRPr="00A07D9A">
        <w:rPr>
          <w:color w:val="000000" w:themeColor="text1"/>
        </w:rPr>
        <w:t xml:space="preserve"> el Aviso de Concentración utiliza como marco de análisis la identificación del “sector” en el cual sucede la transacción (telecomunicaciones o radiodifusión).</w:t>
      </w:r>
    </w:p>
    <w:p w14:paraId="0216C425" w14:textId="77777777" w:rsidR="00A936C9" w:rsidRPr="00A07D9A" w:rsidRDefault="00A936C9" w:rsidP="00A936C9">
      <w:pPr>
        <w:rPr>
          <w:color w:val="000000" w:themeColor="text1"/>
        </w:rPr>
      </w:pPr>
      <w:r w:rsidRPr="00A07D9A">
        <w:rPr>
          <w:color w:val="000000" w:themeColor="text1"/>
        </w:rPr>
        <w:t xml:space="preserve">Esto es así por mandato de ley, pues el </w:t>
      </w:r>
      <w:r w:rsidR="00AC1D89" w:rsidRPr="00A07D9A">
        <w:rPr>
          <w:color w:val="000000" w:themeColor="text1"/>
        </w:rPr>
        <w:t xml:space="preserve">inciso b. del primer párrafo del artículo </w:t>
      </w:r>
      <w:r w:rsidRPr="00A07D9A">
        <w:rPr>
          <w:color w:val="000000" w:themeColor="text1"/>
        </w:rPr>
        <w:t>Noveno Transitorio</w:t>
      </w:r>
      <w:r w:rsidR="00AC1D89" w:rsidRPr="00A07D9A">
        <w:rPr>
          <w:color w:val="000000" w:themeColor="text1"/>
        </w:rPr>
        <w:t xml:space="preserve"> </w:t>
      </w:r>
      <w:r w:rsidRPr="00A07D9A">
        <w:rPr>
          <w:color w:val="000000" w:themeColor="text1"/>
        </w:rPr>
        <w:t xml:space="preserve">prevé que la realización de este tipo de concentraciones debe dar como resultado que el </w:t>
      </w:r>
      <w:r w:rsidR="006A2745" w:rsidRPr="00A07D9A">
        <w:rPr>
          <w:color w:val="000000" w:themeColor="text1"/>
        </w:rPr>
        <w:t>agente económico</w:t>
      </w:r>
      <w:r w:rsidRPr="00A07D9A">
        <w:rPr>
          <w:color w:val="000000" w:themeColor="text1"/>
        </w:rPr>
        <w:t xml:space="preserve"> producto de la transacción cuente con una participación “sectorial” menor al veinte por ciento.</w:t>
      </w:r>
      <w:r w:rsidR="00F76A3D" w:rsidRPr="00A07D9A">
        <w:rPr>
          <w:color w:val="000000" w:themeColor="text1"/>
        </w:rPr>
        <w:t xml:space="preserve"> Cabe señalar que el </w:t>
      </w:r>
      <w:r w:rsidR="00F76A3D" w:rsidRPr="00A07D9A">
        <w:rPr>
          <w:color w:val="000000" w:themeColor="text1"/>
        </w:rPr>
        <w:lastRenderedPageBreak/>
        <w:t>Pleno, en consistencia con el dictamen del senado, que un sector está formado por un conjunto de servicios.</w:t>
      </w:r>
      <w:r w:rsidR="00F76A3D" w:rsidRPr="00A07D9A">
        <w:rPr>
          <w:rStyle w:val="Refdenotaalpie"/>
          <w:color w:val="000000" w:themeColor="text1"/>
        </w:rPr>
        <w:footnoteReference w:id="89"/>
      </w:r>
    </w:p>
    <w:p w14:paraId="3E6F6488" w14:textId="77777777" w:rsidR="00A936C9" w:rsidRPr="00A07D9A" w:rsidRDefault="00A936C9" w:rsidP="00A936C9">
      <w:pPr>
        <w:rPr>
          <w:color w:val="000000" w:themeColor="text1"/>
        </w:rPr>
      </w:pPr>
      <w:r w:rsidRPr="00A07D9A">
        <w:rPr>
          <w:color w:val="000000" w:themeColor="text1"/>
        </w:rPr>
        <w:t>El análisis que realizará el IFT, en lugar de sustentarse en una metodología de</w:t>
      </w:r>
      <w:r w:rsidR="00AE1DD8" w:rsidRPr="00A07D9A">
        <w:rPr>
          <w:color w:val="000000" w:themeColor="text1"/>
        </w:rPr>
        <w:t xml:space="preserve"> análisis del “mercado relevante” e incluso, de los posibles “mercados relacionados” </w:t>
      </w:r>
      <w:r w:rsidRPr="00A07D9A">
        <w:rPr>
          <w:color w:val="000000" w:themeColor="text1"/>
        </w:rPr>
        <w:t>considera a los participantes de todo el sector, con lo cual, debido a las características propias del análisis de las telecomunicaciones y la radiodifusión</w:t>
      </w:r>
      <w:r w:rsidR="000177DD" w:rsidRPr="00A07D9A">
        <w:rPr>
          <w:color w:val="000000" w:themeColor="text1"/>
        </w:rPr>
        <w:t xml:space="preserve"> y las resoluciones que ha emitido el Pleno determinando la existencia de agentes económicos preponderantes en cada uno de los sectores en el ámbito nacional</w:t>
      </w:r>
      <w:r w:rsidRPr="00A07D9A">
        <w:rPr>
          <w:color w:val="000000" w:themeColor="text1"/>
        </w:rPr>
        <w:t>, el marco de referencia será nacional.</w:t>
      </w:r>
    </w:p>
    <w:p w14:paraId="52708BE0" w14:textId="77777777" w:rsidR="00A936C9" w:rsidRPr="00A07D9A" w:rsidRDefault="00A936C9" w:rsidP="00FE6791">
      <w:pPr>
        <w:pStyle w:val="Prrafodelista"/>
        <w:numPr>
          <w:ilvl w:val="0"/>
          <w:numId w:val="53"/>
        </w:numPr>
        <w:spacing w:after="160" w:line="259" w:lineRule="auto"/>
        <w:contextualSpacing/>
        <w:rPr>
          <w:b/>
          <w:color w:val="000000" w:themeColor="text1"/>
        </w:rPr>
      </w:pPr>
      <w:r w:rsidRPr="00A07D9A">
        <w:rPr>
          <w:b/>
          <w:color w:val="000000" w:themeColor="text1"/>
        </w:rPr>
        <w:t xml:space="preserve">Que en dicha concentración no participe el </w:t>
      </w:r>
      <w:r w:rsidR="00536ABF" w:rsidRPr="00A07D9A">
        <w:rPr>
          <w:b/>
          <w:color w:val="000000" w:themeColor="text1"/>
        </w:rPr>
        <w:t>Agente Económico</w:t>
      </w:r>
      <w:r w:rsidRPr="00A07D9A">
        <w:rPr>
          <w:b/>
          <w:color w:val="000000" w:themeColor="text1"/>
        </w:rPr>
        <w:t xml:space="preserve"> preponderante en el sector en el que se lleve a cabo la concentración.</w:t>
      </w:r>
    </w:p>
    <w:p w14:paraId="42B2F262" w14:textId="77777777" w:rsidR="00A936C9" w:rsidRPr="00A07D9A" w:rsidRDefault="00A936C9" w:rsidP="00A936C9">
      <w:pPr>
        <w:rPr>
          <w:color w:val="000000" w:themeColor="text1"/>
        </w:rPr>
      </w:pPr>
      <w:r w:rsidRPr="00A07D9A">
        <w:rPr>
          <w:color w:val="000000" w:themeColor="text1"/>
        </w:rPr>
        <w:t xml:space="preserve">Un requisito esencial del artículo Noveno Transitorio </w:t>
      </w:r>
      <w:r w:rsidR="000177DD" w:rsidRPr="00A07D9A">
        <w:rPr>
          <w:color w:val="000000" w:themeColor="text1"/>
        </w:rPr>
        <w:t xml:space="preserve">es que en la concentración a la que se refiera el Aviso, no deberá intervenir </w:t>
      </w:r>
      <w:r w:rsidRPr="00A07D9A">
        <w:rPr>
          <w:color w:val="000000" w:themeColor="text1"/>
        </w:rPr>
        <w:t xml:space="preserve">el </w:t>
      </w:r>
      <w:r w:rsidR="006A2745" w:rsidRPr="00A07D9A">
        <w:rPr>
          <w:color w:val="000000" w:themeColor="text1"/>
        </w:rPr>
        <w:t>agente económico</w:t>
      </w:r>
      <w:r w:rsidRPr="00A07D9A">
        <w:rPr>
          <w:color w:val="000000" w:themeColor="text1"/>
        </w:rPr>
        <w:t xml:space="preserve"> declarado como preponderante en el sector en el que se lleve a cabo la </w:t>
      </w:r>
      <w:r w:rsidR="004B54A6" w:rsidRPr="00A07D9A">
        <w:rPr>
          <w:color w:val="000000" w:themeColor="text1"/>
        </w:rPr>
        <w:t>misma (</w:t>
      </w:r>
      <w:r w:rsidRPr="00A07D9A">
        <w:rPr>
          <w:color w:val="000000" w:themeColor="text1"/>
        </w:rPr>
        <w:t>telecomunicaciones o radiodifusión).</w:t>
      </w:r>
      <w:r w:rsidRPr="00A07D9A">
        <w:rPr>
          <w:rStyle w:val="Refdenotaalpie"/>
          <w:color w:val="000000" w:themeColor="text1"/>
        </w:rPr>
        <w:footnoteReference w:id="90"/>
      </w:r>
    </w:p>
    <w:p w14:paraId="6609638E" w14:textId="77777777" w:rsidR="00A936C9" w:rsidRPr="00A07D9A" w:rsidRDefault="00A936C9" w:rsidP="00A936C9">
      <w:pPr>
        <w:rPr>
          <w:color w:val="000000" w:themeColor="text1"/>
        </w:rPr>
      </w:pPr>
      <w:r w:rsidRPr="00A07D9A">
        <w:rPr>
          <w:color w:val="000000" w:themeColor="text1"/>
        </w:rPr>
        <w:t xml:space="preserve">En este sentido, debiera entenderse que los </w:t>
      </w:r>
      <w:r w:rsidR="008A07CB" w:rsidRPr="00A07D9A">
        <w:rPr>
          <w:color w:val="000000" w:themeColor="text1"/>
        </w:rPr>
        <w:t>agentes económicos</w:t>
      </w:r>
      <w:r w:rsidRPr="00A07D9A">
        <w:rPr>
          <w:color w:val="000000" w:themeColor="text1"/>
        </w:rPr>
        <w:t xml:space="preserve"> declarados como preponderantes no pueden participar directa o indirectamente en la transacción que suceda en términos del artículo Noveno Transitorio; esto es, los </w:t>
      </w:r>
      <w:r w:rsidR="008A07CB" w:rsidRPr="00A07D9A">
        <w:rPr>
          <w:color w:val="000000" w:themeColor="text1"/>
        </w:rPr>
        <w:t>agentes económicos</w:t>
      </w:r>
      <w:r w:rsidRPr="00A07D9A">
        <w:rPr>
          <w:color w:val="000000" w:themeColor="text1"/>
        </w:rPr>
        <w:t xml:space="preserve"> preponderantes no pueden participar a través de ninguno de los integrantes del GIE al que pertenecen.</w:t>
      </w:r>
    </w:p>
    <w:p w14:paraId="113D2325" w14:textId="77777777" w:rsidR="00A936C9" w:rsidRPr="00A07D9A" w:rsidRDefault="00A936C9" w:rsidP="00A936C9">
      <w:pPr>
        <w:rPr>
          <w:color w:val="000000" w:themeColor="text1"/>
        </w:rPr>
      </w:pPr>
      <w:r w:rsidRPr="00A07D9A">
        <w:rPr>
          <w:color w:val="000000" w:themeColor="text1"/>
        </w:rPr>
        <w:t xml:space="preserve">La participación directa o indirecta de alguno de los </w:t>
      </w:r>
      <w:r w:rsidR="008A07CB" w:rsidRPr="00A07D9A">
        <w:rPr>
          <w:color w:val="000000" w:themeColor="text1"/>
        </w:rPr>
        <w:t>agentes económicos</w:t>
      </w:r>
      <w:r w:rsidRPr="00A07D9A">
        <w:rPr>
          <w:color w:val="000000" w:themeColor="text1"/>
        </w:rPr>
        <w:t xml:space="preserve"> preponderantes en una concentración de concesionarios </w:t>
      </w:r>
      <w:r w:rsidR="00AE1DD8" w:rsidRPr="00A07D9A">
        <w:rPr>
          <w:color w:val="000000" w:themeColor="text1"/>
        </w:rPr>
        <w:t xml:space="preserve">dentro de su sector respectivo </w:t>
      </w:r>
      <w:r w:rsidRPr="00A07D9A">
        <w:rPr>
          <w:color w:val="000000" w:themeColor="text1"/>
        </w:rPr>
        <w:t xml:space="preserve">requerirá de un procedimiento de notificación de concentración en términos de la LFCE o, en su caso, de un procedimiento de cesión de derechos, suscripción o enajenación previstos en los artículos </w:t>
      </w:r>
      <w:r w:rsidR="0049600B" w:rsidRPr="00A07D9A">
        <w:rPr>
          <w:color w:val="000000" w:themeColor="text1"/>
        </w:rPr>
        <w:t>110 y</w:t>
      </w:r>
      <w:r w:rsidRPr="00A07D9A">
        <w:rPr>
          <w:color w:val="000000" w:themeColor="text1"/>
        </w:rPr>
        <w:t xml:space="preserve"> 112 de la LFTR.</w:t>
      </w:r>
    </w:p>
    <w:p w14:paraId="7179ECC6" w14:textId="77777777" w:rsidR="00A936C9" w:rsidRPr="00A07D9A" w:rsidRDefault="00A936C9" w:rsidP="00FE6791">
      <w:pPr>
        <w:pStyle w:val="Prrafodelista"/>
        <w:numPr>
          <w:ilvl w:val="0"/>
          <w:numId w:val="53"/>
        </w:numPr>
        <w:spacing w:after="160" w:line="259" w:lineRule="auto"/>
        <w:contextualSpacing/>
        <w:rPr>
          <w:b/>
          <w:color w:val="000000" w:themeColor="text1"/>
        </w:rPr>
      </w:pPr>
      <w:r w:rsidRPr="00A07D9A">
        <w:rPr>
          <w:b/>
          <w:color w:val="000000" w:themeColor="text1"/>
        </w:rPr>
        <w:t>No tengan como efecto disminuir, dañar o impedir la competencia y libre concurrencia, en el sector que corresponda.</w:t>
      </w:r>
    </w:p>
    <w:p w14:paraId="6D7D59D1" w14:textId="77777777" w:rsidR="00A936C9" w:rsidRPr="00A07D9A" w:rsidRDefault="00A936C9" w:rsidP="00A936C9">
      <w:pPr>
        <w:rPr>
          <w:color w:val="000000" w:themeColor="text1"/>
        </w:rPr>
      </w:pPr>
      <w:r w:rsidRPr="00A07D9A">
        <w:rPr>
          <w:color w:val="000000" w:themeColor="text1"/>
        </w:rPr>
        <w:lastRenderedPageBreak/>
        <w:t>Sobre este último requisito, el IFT se ha pronunciado en el sentido de que, tal y como lo señala el Dictamen de la Cámara de Senadores de la LFTR</w:t>
      </w:r>
      <w:r w:rsidRPr="00A07D9A">
        <w:rPr>
          <w:rStyle w:val="Refdenotaalpie"/>
          <w:color w:val="000000" w:themeColor="text1"/>
        </w:rPr>
        <w:footnoteReference w:id="91"/>
      </w:r>
      <w:r w:rsidRPr="00A07D9A">
        <w:rPr>
          <w:color w:val="000000" w:themeColor="text1"/>
        </w:rPr>
        <w:t xml:space="preserve">  y las declaratorias de preponderancia,</w:t>
      </w:r>
      <w:r w:rsidRPr="00A07D9A">
        <w:rPr>
          <w:rStyle w:val="Refdenotaalpie"/>
          <w:color w:val="000000" w:themeColor="text1"/>
        </w:rPr>
        <w:footnoteReference w:id="92"/>
      </w:r>
      <w:r w:rsidRPr="00A07D9A">
        <w:rPr>
          <w:color w:val="000000" w:themeColor="text1"/>
        </w:rPr>
        <w:t xml:space="preserve"> los sectores de telecomunicaciones y radiodifusión, respectivamente, están formados por un conjunto de servicios.</w:t>
      </w:r>
    </w:p>
    <w:p w14:paraId="7CEBAAB9" w14:textId="77777777" w:rsidR="00A936C9" w:rsidRPr="00A07D9A" w:rsidRDefault="00A936C9" w:rsidP="00A936C9">
      <w:pPr>
        <w:rPr>
          <w:color w:val="000000" w:themeColor="text1"/>
        </w:rPr>
      </w:pPr>
      <w:r w:rsidRPr="00A07D9A">
        <w:rPr>
          <w:color w:val="000000" w:themeColor="text1"/>
        </w:rPr>
        <w:t>Para evaluar los efectos de una concentración celebrada en términos del artículo Noveno Transitorio, es necesario identificar los servicios involucrados y, con base en ellos, determinar los efectos de la Concentración en el sector que corresponda.</w:t>
      </w:r>
    </w:p>
    <w:p w14:paraId="78016886" w14:textId="77777777" w:rsidR="00A936C9" w:rsidRPr="00A07D9A" w:rsidRDefault="00A936C9" w:rsidP="00A936C9">
      <w:pPr>
        <w:rPr>
          <w:color w:val="000000" w:themeColor="text1"/>
        </w:rPr>
      </w:pPr>
      <w:r w:rsidRPr="00A07D9A">
        <w:rPr>
          <w:color w:val="000000" w:themeColor="text1"/>
        </w:rPr>
        <w:t>Por lo tanto, la evaluación de los efectos de la concentración en el sector, de forma orientativa, podrá hacer uso de los conceptos previstos en la LFCE</w:t>
      </w:r>
      <w:r w:rsidR="006631A4" w:rsidRPr="00A07D9A">
        <w:rPr>
          <w:color w:val="000000" w:themeColor="text1"/>
        </w:rPr>
        <w:t xml:space="preserve"> aplicables</w:t>
      </w:r>
      <w:r w:rsidRPr="00A07D9A">
        <w:rPr>
          <w:color w:val="000000" w:themeColor="text1"/>
        </w:rPr>
        <w:t>.</w:t>
      </w:r>
    </w:p>
    <w:p w14:paraId="6913DD7B" w14:textId="77777777" w:rsidR="00A936C9" w:rsidRPr="00A07D9A" w:rsidRDefault="00C4702C" w:rsidP="00B14792">
      <w:pPr>
        <w:pStyle w:val="Ttulo3"/>
        <w:rPr>
          <w:color w:val="000000" w:themeColor="text1"/>
        </w:rPr>
      </w:pPr>
      <w:bookmarkStart w:id="120" w:name="_Toc449376704"/>
      <w:bookmarkStart w:id="121" w:name="_Toc462053154"/>
      <w:bookmarkStart w:id="122" w:name="_Toc486519861"/>
      <w:r w:rsidRPr="00A07D9A">
        <w:rPr>
          <w:color w:val="000000" w:themeColor="text1"/>
        </w:rPr>
        <w:t>9</w:t>
      </w:r>
      <w:r w:rsidR="00A936C9" w:rsidRPr="00A07D9A">
        <w:rPr>
          <w:color w:val="000000" w:themeColor="text1"/>
        </w:rPr>
        <w:t>.2. Procedimiento</w:t>
      </w:r>
      <w:bookmarkEnd w:id="120"/>
      <w:bookmarkEnd w:id="121"/>
      <w:bookmarkEnd w:id="122"/>
    </w:p>
    <w:p w14:paraId="3A249AD0" w14:textId="77777777" w:rsidR="00A936C9" w:rsidRPr="00A07D9A" w:rsidRDefault="00A936C9" w:rsidP="00A936C9">
      <w:pPr>
        <w:rPr>
          <w:color w:val="000000" w:themeColor="text1"/>
        </w:rPr>
      </w:pPr>
      <w:r w:rsidRPr="00A07D9A">
        <w:rPr>
          <w:color w:val="000000" w:themeColor="text1"/>
        </w:rPr>
        <w:t xml:space="preserve">El procedimiento previsto por el artículo Noveno Transitorio inicia con la </w:t>
      </w:r>
      <w:r w:rsidR="00AC1D89" w:rsidRPr="00A07D9A">
        <w:rPr>
          <w:color w:val="000000" w:themeColor="text1"/>
        </w:rPr>
        <w:t xml:space="preserve">presentación de un escrito en </w:t>
      </w:r>
      <w:r w:rsidR="002F20D0" w:rsidRPr="00A07D9A">
        <w:rPr>
          <w:color w:val="000000" w:themeColor="text1"/>
        </w:rPr>
        <w:t xml:space="preserve">el </w:t>
      </w:r>
      <w:r w:rsidR="00AC1D89" w:rsidRPr="00A07D9A">
        <w:rPr>
          <w:color w:val="000000" w:themeColor="text1"/>
        </w:rPr>
        <w:t xml:space="preserve">que los agentes económicos concesionarios informen al Instituto de la </w:t>
      </w:r>
      <w:r w:rsidRPr="00A07D9A">
        <w:rPr>
          <w:color w:val="000000" w:themeColor="text1"/>
        </w:rPr>
        <w:t>realización</w:t>
      </w:r>
      <w:r w:rsidR="00AC1D89" w:rsidRPr="00A07D9A">
        <w:rPr>
          <w:color w:val="000000" w:themeColor="text1"/>
        </w:rPr>
        <w:t xml:space="preserve"> </w:t>
      </w:r>
      <w:r w:rsidRPr="00A07D9A">
        <w:rPr>
          <w:color w:val="000000" w:themeColor="text1"/>
        </w:rPr>
        <w:t xml:space="preserve">de una concentración </w:t>
      </w:r>
      <w:r w:rsidR="00AC1D89" w:rsidRPr="00A07D9A">
        <w:rPr>
          <w:color w:val="000000" w:themeColor="text1"/>
        </w:rPr>
        <w:t>que</w:t>
      </w:r>
      <w:r w:rsidRPr="00A07D9A">
        <w:rPr>
          <w:color w:val="000000" w:themeColor="text1"/>
        </w:rPr>
        <w:t>, a su juicio, actuali</w:t>
      </w:r>
      <w:r w:rsidR="002F20D0" w:rsidRPr="00A07D9A">
        <w:rPr>
          <w:color w:val="000000" w:themeColor="text1"/>
        </w:rPr>
        <w:t>za</w:t>
      </w:r>
      <w:r w:rsidRPr="00A07D9A">
        <w:rPr>
          <w:color w:val="000000" w:themeColor="text1"/>
        </w:rPr>
        <w:t xml:space="preserve"> los requisitos a. a d. señalados en esa misma disposición normativa.</w:t>
      </w:r>
    </w:p>
    <w:p w14:paraId="29540351" w14:textId="77777777" w:rsidR="00A936C9" w:rsidRPr="00A07D9A" w:rsidRDefault="00A936C9" w:rsidP="00A936C9">
      <w:pPr>
        <w:rPr>
          <w:color w:val="000000" w:themeColor="text1"/>
        </w:rPr>
      </w:pPr>
      <w:r w:rsidRPr="00A07D9A">
        <w:rPr>
          <w:color w:val="000000" w:themeColor="text1"/>
        </w:rPr>
        <w:t>Una vez realizada la concentración (conforme a lo plan</w:t>
      </w:r>
      <w:r w:rsidR="003F2D39" w:rsidRPr="00A07D9A">
        <w:rPr>
          <w:color w:val="000000" w:themeColor="text1"/>
        </w:rPr>
        <w:t>t</w:t>
      </w:r>
      <w:r w:rsidRPr="00A07D9A">
        <w:rPr>
          <w:color w:val="000000" w:themeColor="text1"/>
        </w:rPr>
        <w:t xml:space="preserve">eado en los capítulos respectivos de la presente Guía) y dentro de los diez días siguientes, los </w:t>
      </w:r>
      <w:r w:rsidR="008A07CB" w:rsidRPr="00A07D9A">
        <w:rPr>
          <w:color w:val="000000" w:themeColor="text1"/>
        </w:rPr>
        <w:t>agentes económicos</w:t>
      </w:r>
      <w:r w:rsidRPr="00A07D9A">
        <w:rPr>
          <w:color w:val="000000" w:themeColor="text1"/>
        </w:rPr>
        <w:t xml:space="preserve"> deben presentar un escrito de Aviso de Concentración ante el IFT, el cual, como anteriormente se hizo referencia, debe cumplir con los elementos señalados en el artículo 89 de la LFCE. </w:t>
      </w:r>
    </w:p>
    <w:p w14:paraId="17100788" w14:textId="77777777" w:rsidR="00A936C9" w:rsidRPr="00A07D9A" w:rsidRDefault="00A936C9" w:rsidP="00A936C9">
      <w:pPr>
        <w:rPr>
          <w:color w:val="000000" w:themeColor="text1"/>
        </w:rPr>
      </w:pPr>
      <w:r w:rsidRPr="00A07D9A">
        <w:rPr>
          <w:color w:val="000000" w:themeColor="text1"/>
        </w:rPr>
        <w:t xml:space="preserve">Ahora bien, en virtud de que el Aviso de Concentración no tiene previsto un </w:t>
      </w:r>
      <w:r w:rsidR="00EB7743" w:rsidRPr="00A07D9A">
        <w:rPr>
          <w:color w:val="000000" w:themeColor="text1"/>
        </w:rPr>
        <w:t>procedimiento</w:t>
      </w:r>
      <w:r w:rsidRPr="00A07D9A">
        <w:rPr>
          <w:color w:val="000000" w:themeColor="text1"/>
        </w:rPr>
        <w:t xml:space="preserve"> específico conforme a la LFCE o la LFTR, se actualiza el supuesto establecido en el artículo 6, fracción IV de la LFTR, razón por la cual debe tramitarse conforme a lo dispuesto en la LFPA.</w:t>
      </w:r>
    </w:p>
    <w:p w14:paraId="5CFD9C5C" w14:textId="77777777" w:rsidR="00A936C9" w:rsidRPr="00A07D9A" w:rsidRDefault="00A936C9" w:rsidP="00A936C9">
      <w:pPr>
        <w:rPr>
          <w:color w:val="000000" w:themeColor="text1"/>
        </w:rPr>
      </w:pPr>
      <w:r w:rsidRPr="00A07D9A">
        <w:rPr>
          <w:color w:val="000000" w:themeColor="text1"/>
        </w:rPr>
        <w:t>Cuando el escrito de Aviso de Concentración es presentado en la Oficialía de Partes Común del IFT, en ese momento inicia un primer procedimiento administrativo como a continuación se explica.</w:t>
      </w:r>
    </w:p>
    <w:p w14:paraId="086458DB" w14:textId="77777777" w:rsidR="00A936C9" w:rsidRPr="00A07D9A" w:rsidRDefault="00A936C9" w:rsidP="00A936C9">
      <w:pPr>
        <w:pStyle w:val="Ttulo4"/>
        <w:rPr>
          <w:color w:val="000000" w:themeColor="text1"/>
        </w:rPr>
      </w:pPr>
      <w:r w:rsidRPr="00A07D9A">
        <w:rPr>
          <w:color w:val="000000" w:themeColor="text1"/>
        </w:rPr>
        <w:t>Alcance</w:t>
      </w:r>
    </w:p>
    <w:p w14:paraId="0CB17E76" w14:textId="77777777" w:rsidR="00A936C9" w:rsidRPr="00A07D9A" w:rsidRDefault="00A936C9" w:rsidP="00A936C9">
      <w:pPr>
        <w:rPr>
          <w:color w:val="000000" w:themeColor="text1"/>
        </w:rPr>
      </w:pPr>
      <w:r w:rsidRPr="00A07D9A">
        <w:rPr>
          <w:color w:val="000000" w:themeColor="text1"/>
        </w:rPr>
        <w:t>Una vez presentado el escrito de Aviso de Concentración, el IFT analizará si contiene los datos y cumple con los requisitos aplicables:</w:t>
      </w:r>
    </w:p>
    <w:p w14:paraId="104D317D" w14:textId="77777777" w:rsidR="00A936C9" w:rsidRPr="00A07D9A" w:rsidRDefault="00A936C9" w:rsidP="00FE6791">
      <w:pPr>
        <w:pStyle w:val="Prrafodelista"/>
        <w:numPr>
          <w:ilvl w:val="0"/>
          <w:numId w:val="54"/>
        </w:numPr>
        <w:spacing w:after="160" w:line="259" w:lineRule="auto"/>
        <w:ind w:left="1077"/>
        <w:rPr>
          <w:color w:val="000000" w:themeColor="text1"/>
        </w:rPr>
      </w:pPr>
      <w:r w:rsidRPr="00A07D9A">
        <w:rPr>
          <w:color w:val="000000" w:themeColor="text1"/>
        </w:rPr>
        <w:t xml:space="preserve">Fue presentado dentro de los diez días siguientes a la realización de la concentración. Los </w:t>
      </w:r>
      <w:r w:rsidR="008A07CB" w:rsidRPr="00A07D9A">
        <w:rPr>
          <w:color w:val="000000" w:themeColor="text1"/>
        </w:rPr>
        <w:t>agentes económicos</w:t>
      </w:r>
      <w:r w:rsidRPr="00A07D9A">
        <w:rPr>
          <w:color w:val="000000" w:themeColor="text1"/>
        </w:rPr>
        <w:t xml:space="preserve"> deberán ser explícitos sobre el </w:t>
      </w:r>
      <w:r w:rsidRPr="00A07D9A">
        <w:rPr>
          <w:color w:val="000000" w:themeColor="text1"/>
        </w:rPr>
        <w:lastRenderedPageBreak/>
        <w:t>o los actos que constituyen la concentración sobre la que presentan el aviso.</w:t>
      </w:r>
    </w:p>
    <w:p w14:paraId="7C7039DC" w14:textId="77777777" w:rsidR="00A936C9" w:rsidRPr="00A07D9A" w:rsidRDefault="00A936C9" w:rsidP="00FE6791">
      <w:pPr>
        <w:pStyle w:val="Prrafodelista"/>
        <w:numPr>
          <w:ilvl w:val="0"/>
          <w:numId w:val="54"/>
        </w:numPr>
        <w:spacing w:after="160" w:line="259" w:lineRule="auto"/>
        <w:ind w:left="1077"/>
        <w:rPr>
          <w:color w:val="000000" w:themeColor="text1"/>
        </w:rPr>
      </w:pPr>
      <w:r w:rsidRPr="00A07D9A">
        <w:rPr>
          <w:color w:val="000000" w:themeColor="text1"/>
        </w:rPr>
        <w:t xml:space="preserve">Contiene la información a que se refiere el artículo 89 de la LFCE </w:t>
      </w:r>
      <w:r w:rsidR="003F2D39" w:rsidRPr="00A07D9A">
        <w:rPr>
          <w:color w:val="000000" w:themeColor="text1"/>
        </w:rPr>
        <w:t xml:space="preserve">respecto del </w:t>
      </w:r>
      <w:r w:rsidRPr="00A07D9A">
        <w:rPr>
          <w:color w:val="000000" w:themeColor="text1"/>
        </w:rPr>
        <w:t>sector correspondiente.</w:t>
      </w:r>
    </w:p>
    <w:p w14:paraId="7868A8A0" w14:textId="77777777" w:rsidR="00A936C9" w:rsidRPr="00A07D9A" w:rsidRDefault="00A936C9" w:rsidP="00FE6791">
      <w:pPr>
        <w:pStyle w:val="Prrafodelista"/>
        <w:numPr>
          <w:ilvl w:val="0"/>
          <w:numId w:val="54"/>
        </w:numPr>
        <w:spacing w:after="160" w:line="259" w:lineRule="auto"/>
        <w:ind w:left="1077"/>
        <w:rPr>
          <w:color w:val="000000" w:themeColor="text1"/>
        </w:rPr>
      </w:pPr>
      <w:r w:rsidRPr="00A07D9A">
        <w:rPr>
          <w:color w:val="000000" w:themeColor="text1"/>
        </w:rPr>
        <w:t>Aporta los elementos de convicción que demuestren que la concentración cumple con lo establecido en los incisos a. a d. del artículo Noveno Transitorio (Elementos de Convicción).</w:t>
      </w:r>
    </w:p>
    <w:p w14:paraId="6219FE21" w14:textId="77777777" w:rsidR="00A936C9" w:rsidRPr="00A07D9A" w:rsidRDefault="00A936C9" w:rsidP="00A936C9">
      <w:pPr>
        <w:rPr>
          <w:color w:val="000000" w:themeColor="text1"/>
        </w:rPr>
      </w:pPr>
      <w:r w:rsidRPr="00A07D9A">
        <w:rPr>
          <w:color w:val="000000" w:themeColor="text1"/>
        </w:rPr>
        <w:t xml:space="preserve">Ahora bien, si el escrito inicial no presenta datos o no aporta información clara y suficiente sobre lo señalado en los numerales i) o iii) anteriores, entonces se emite un acuerdo de prevención con la finalidad de señalar a los </w:t>
      </w:r>
      <w:r w:rsidR="008A07CB" w:rsidRPr="00A07D9A">
        <w:rPr>
          <w:color w:val="000000" w:themeColor="text1"/>
        </w:rPr>
        <w:t>agentes económicos</w:t>
      </w:r>
      <w:r w:rsidRPr="00A07D9A">
        <w:rPr>
          <w:color w:val="000000" w:themeColor="text1"/>
        </w:rPr>
        <w:t xml:space="preserve"> la información faltante. Por el contrario, si los </w:t>
      </w:r>
      <w:r w:rsidR="008A07CB" w:rsidRPr="00A07D9A">
        <w:rPr>
          <w:color w:val="000000" w:themeColor="text1"/>
        </w:rPr>
        <w:t>agentes económicos</w:t>
      </w:r>
      <w:r w:rsidRPr="00A07D9A">
        <w:rPr>
          <w:color w:val="000000" w:themeColor="text1"/>
        </w:rPr>
        <w:t xml:space="preserve"> presentan la información completa se emite el Acuerdo de presentación.</w:t>
      </w:r>
    </w:p>
    <w:p w14:paraId="1A372982" w14:textId="77777777" w:rsidR="00A936C9" w:rsidRPr="00A07D9A" w:rsidRDefault="00A936C9" w:rsidP="00A936C9">
      <w:pPr>
        <w:pStyle w:val="Ttulo4"/>
        <w:rPr>
          <w:color w:val="000000" w:themeColor="text1"/>
        </w:rPr>
      </w:pPr>
      <w:bookmarkStart w:id="123" w:name="_Toc449376707"/>
      <w:bookmarkStart w:id="124" w:name="_Toc462053157"/>
      <w:r w:rsidRPr="00A07D9A">
        <w:rPr>
          <w:color w:val="000000" w:themeColor="text1"/>
        </w:rPr>
        <w:t>Prevención</w:t>
      </w:r>
      <w:bookmarkEnd w:id="123"/>
      <w:bookmarkEnd w:id="124"/>
    </w:p>
    <w:p w14:paraId="51401AD2" w14:textId="77777777" w:rsidR="00A936C9" w:rsidRPr="00A07D9A" w:rsidRDefault="00A936C9" w:rsidP="00A936C9">
      <w:pPr>
        <w:rPr>
          <w:color w:val="000000" w:themeColor="text1"/>
        </w:rPr>
      </w:pPr>
      <w:r w:rsidRPr="00A07D9A">
        <w:rPr>
          <w:color w:val="000000" w:themeColor="text1"/>
        </w:rPr>
        <w:t xml:space="preserve">En términos del </w:t>
      </w:r>
      <w:r w:rsidR="00E82839" w:rsidRPr="00A07D9A">
        <w:rPr>
          <w:color w:val="000000" w:themeColor="text1"/>
        </w:rPr>
        <w:t>a</w:t>
      </w:r>
      <w:r w:rsidRPr="00A07D9A">
        <w:rPr>
          <w:color w:val="000000" w:themeColor="text1"/>
        </w:rPr>
        <w:t xml:space="preserve">rtículo 17-A de la LFPA, el plazo para emitir el Acuerdo de prevención será de un primer tercio del plazo de respuesta del procedimiento, es decir, dentro del primer mes </w:t>
      </w:r>
      <w:r w:rsidR="00A56B96" w:rsidRPr="00A07D9A">
        <w:rPr>
          <w:color w:val="000000" w:themeColor="text1"/>
        </w:rPr>
        <w:t xml:space="preserve">natural </w:t>
      </w:r>
      <w:r w:rsidRPr="00A07D9A">
        <w:rPr>
          <w:color w:val="000000" w:themeColor="text1"/>
        </w:rPr>
        <w:t xml:space="preserve">siguiente a la presentación del escrito inicial. A pesar de dicha disposición, en la práctica, el IFT </w:t>
      </w:r>
      <w:r w:rsidR="00AE1DD8" w:rsidRPr="00A07D9A">
        <w:rPr>
          <w:color w:val="000000" w:themeColor="text1"/>
        </w:rPr>
        <w:t>ha emitido</w:t>
      </w:r>
      <w:r w:rsidRPr="00A07D9A">
        <w:rPr>
          <w:color w:val="000000" w:themeColor="text1"/>
        </w:rPr>
        <w:t xml:space="preserve"> el Acuerdo de prevención dentro de los diez días siguientes a la presentación del escrito de Aviso de Concentración respectivo.</w:t>
      </w:r>
    </w:p>
    <w:p w14:paraId="2351C5C7" w14:textId="77777777" w:rsidR="00A936C9" w:rsidRPr="00A07D9A" w:rsidRDefault="00A936C9" w:rsidP="00A936C9">
      <w:pPr>
        <w:rPr>
          <w:color w:val="000000" w:themeColor="text1"/>
        </w:rPr>
      </w:pPr>
      <w:r w:rsidRPr="00A07D9A">
        <w:rPr>
          <w:color w:val="000000" w:themeColor="text1"/>
        </w:rPr>
        <w:t>Para el desahogo del Acuerdo de prevención, el IFT otorga, en general, un plazo de entre cinco y diez días, dependiendo del volumen y la complejidad de la información.</w:t>
      </w:r>
    </w:p>
    <w:p w14:paraId="131D34D1" w14:textId="77777777" w:rsidR="00A936C9" w:rsidRPr="00A07D9A" w:rsidRDefault="00A936C9" w:rsidP="00A936C9">
      <w:pPr>
        <w:rPr>
          <w:color w:val="000000" w:themeColor="text1"/>
        </w:rPr>
      </w:pPr>
      <w:r w:rsidRPr="00A07D9A">
        <w:rPr>
          <w:color w:val="000000" w:themeColor="text1"/>
        </w:rPr>
        <w:t xml:space="preserve">El mismo </w:t>
      </w:r>
      <w:r w:rsidR="00E82839" w:rsidRPr="00A07D9A">
        <w:rPr>
          <w:color w:val="000000" w:themeColor="text1"/>
        </w:rPr>
        <w:t>a</w:t>
      </w:r>
      <w:r w:rsidRPr="00A07D9A">
        <w:rPr>
          <w:color w:val="000000" w:themeColor="text1"/>
        </w:rPr>
        <w:t xml:space="preserve">rtículo 17-A de la LFPA precisa que el plazo de 3 meses para emitir resolución quedará suspendido a partir de la notificación del acuerdo de prevención y se reanudará, en su caso, el día hábil inmediato siguiente a la fecha de desahogo de ese acuerdo. En caso de que los </w:t>
      </w:r>
      <w:r w:rsidR="008A07CB" w:rsidRPr="00A07D9A">
        <w:rPr>
          <w:color w:val="000000" w:themeColor="text1"/>
        </w:rPr>
        <w:t>agentes económicos</w:t>
      </w:r>
      <w:r w:rsidRPr="00A07D9A">
        <w:rPr>
          <w:color w:val="000000" w:themeColor="text1"/>
        </w:rPr>
        <w:t xml:space="preserve"> notificantes no desahoguen la prevención en el plazo otorgado para tal efecto, el IFT desechará el Aviso de Concentración.</w:t>
      </w:r>
    </w:p>
    <w:p w14:paraId="62800160" w14:textId="77777777" w:rsidR="00A936C9" w:rsidRPr="00A07D9A" w:rsidRDefault="00A936C9" w:rsidP="00A936C9">
      <w:pPr>
        <w:rPr>
          <w:color w:val="000000" w:themeColor="text1"/>
        </w:rPr>
      </w:pPr>
      <w:r w:rsidRPr="00A07D9A">
        <w:rPr>
          <w:color w:val="000000" w:themeColor="text1"/>
        </w:rPr>
        <w:t xml:space="preserve">Los </w:t>
      </w:r>
      <w:r w:rsidR="008A07CB" w:rsidRPr="00A07D9A">
        <w:rPr>
          <w:color w:val="000000" w:themeColor="text1"/>
        </w:rPr>
        <w:t>agentes económicos</w:t>
      </w:r>
      <w:r w:rsidRPr="00A07D9A">
        <w:rPr>
          <w:color w:val="000000" w:themeColor="text1"/>
        </w:rPr>
        <w:t xml:space="preserve"> pueden solicitar prórroga al plazo para desahogar el acuerdo de prevención. La ampliación del plazo podrá ser hasta por la mitad del plazo originalmente otorgado. Ello en términos del artículo 31 de la LFPA.</w:t>
      </w:r>
    </w:p>
    <w:p w14:paraId="63C1BCB4" w14:textId="77777777" w:rsidR="00A936C9" w:rsidRPr="00A07D9A" w:rsidRDefault="00A936C9" w:rsidP="00A936C9">
      <w:pPr>
        <w:rPr>
          <w:color w:val="000000" w:themeColor="text1"/>
        </w:rPr>
      </w:pPr>
      <w:r w:rsidRPr="00A07D9A">
        <w:rPr>
          <w:color w:val="000000" w:themeColor="text1"/>
        </w:rPr>
        <w:t>En caso de que no se emita acuerdo de prevención o cuando éste haya sido desahogado adecuadamente, el IFT emite un acuerdo de admisión en el que se informa que en la fecha de desahogo del acuerdo de prevención se reanuda el plazo de 3 meses para resolver.</w:t>
      </w:r>
    </w:p>
    <w:p w14:paraId="1A7136C2" w14:textId="77777777" w:rsidR="00A936C9" w:rsidRPr="00A07D9A" w:rsidRDefault="00A936C9" w:rsidP="00A936C9">
      <w:pPr>
        <w:pStyle w:val="Ttulo4"/>
        <w:rPr>
          <w:color w:val="000000" w:themeColor="text1"/>
        </w:rPr>
      </w:pPr>
      <w:bookmarkStart w:id="125" w:name="_Toc449376709"/>
      <w:bookmarkStart w:id="126" w:name="_Toc462053158"/>
      <w:proofErr w:type="spellStart"/>
      <w:r w:rsidRPr="00A07D9A">
        <w:rPr>
          <w:color w:val="000000" w:themeColor="text1"/>
        </w:rPr>
        <w:lastRenderedPageBreak/>
        <w:t>Desechamiento</w:t>
      </w:r>
      <w:bookmarkEnd w:id="125"/>
      <w:bookmarkEnd w:id="126"/>
      <w:proofErr w:type="spellEnd"/>
    </w:p>
    <w:p w14:paraId="044E8380" w14:textId="77777777" w:rsidR="00A936C9" w:rsidRPr="00A07D9A" w:rsidRDefault="00A936C9" w:rsidP="00A936C9">
      <w:pPr>
        <w:rPr>
          <w:color w:val="000000" w:themeColor="text1"/>
        </w:rPr>
      </w:pPr>
      <w:r w:rsidRPr="00A07D9A">
        <w:rPr>
          <w:color w:val="000000" w:themeColor="text1"/>
        </w:rPr>
        <w:t xml:space="preserve">En caso de que los </w:t>
      </w:r>
      <w:r w:rsidR="008A07CB" w:rsidRPr="00A07D9A">
        <w:rPr>
          <w:color w:val="000000" w:themeColor="text1"/>
        </w:rPr>
        <w:t>agentes económicos</w:t>
      </w:r>
      <w:r w:rsidRPr="00A07D9A">
        <w:rPr>
          <w:color w:val="000000" w:themeColor="text1"/>
        </w:rPr>
        <w:t xml:space="preserve"> no desahoguen completa y adecuadamente el acuerdo de prevención, se emite un acuerdo que tiene por desechado el </w:t>
      </w:r>
      <w:r w:rsidR="00E82839" w:rsidRPr="00A07D9A">
        <w:rPr>
          <w:color w:val="000000" w:themeColor="text1"/>
        </w:rPr>
        <w:t>trámite</w:t>
      </w:r>
      <w:r w:rsidRPr="00A07D9A">
        <w:rPr>
          <w:color w:val="000000" w:themeColor="text1"/>
        </w:rPr>
        <w:t xml:space="preserve">. Asimismo, éste se emitirá en aquellos casos en que los </w:t>
      </w:r>
      <w:r w:rsidR="008A07CB" w:rsidRPr="00A07D9A">
        <w:rPr>
          <w:color w:val="000000" w:themeColor="text1"/>
        </w:rPr>
        <w:t>agentes económicos</w:t>
      </w:r>
      <w:r w:rsidRPr="00A07D9A">
        <w:rPr>
          <w:color w:val="000000" w:themeColor="text1"/>
        </w:rPr>
        <w:t xml:space="preserve"> hayan presentado el escrito de Aviso de Concentración con posterioridad a los diez días siguientes a aquel en que se haya realizado la concentración.</w:t>
      </w:r>
    </w:p>
    <w:p w14:paraId="531782DE" w14:textId="77777777" w:rsidR="00A936C9" w:rsidRPr="00A07D9A" w:rsidRDefault="00A936C9" w:rsidP="00A936C9">
      <w:pPr>
        <w:rPr>
          <w:color w:val="000000" w:themeColor="text1"/>
        </w:rPr>
      </w:pPr>
      <w:r w:rsidRPr="00A07D9A">
        <w:rPr>
          <w:color w:val="000000" w:themeColor="text1"/>
        </w:rPr>
        <w:t>Las consecuencias de</w:t>
      </w:r>
      <w:r w:rsidR="002F20D0" w:rsidRPr="00A07D9A">
        <w:rPr>
          <w:color w:val="000000" w:themeColor="text1"/>
        </w:rPr>
        <w:t>l</w:t>
      </w:r>
      <w:r w:rsidRPr="00A07D9A">
        <w:rPr>
          <w:color w:val="000000" w:themeColor="text1"/>
        </w:rPr>
        <w:t xml:space="preserve"> </w:t>
      </w:r>
      <w:proofErr w:type="spellStart"/>
      <w:r w:rsidRPr="00A07D9A">
        <w:rPr>
          <w:color w:val="000000" w:themeColor="text1"/>
        </w:rPr>
        <w:t>desechamiento</w:t>
      </w:r>
      <w:proofErr w:type="spellEnd"/>
      <w:r w:rsidRPr="00A07D9A">
        <w:rPr>
          <w:color w:val="000000" w:themeColor="text1"/>
        </w:rPr>
        <w:t xml:space="preserve"> son las siguientes:</w:t>
      </w:r>
    </w:p>
    <w:p w14:paraId="48044F6C" w14:textId="77777777" w:rsidR="00A936C9" w:rsidRPr="00A07D9A" w:rsidRDefault="00A936C9" w:rsidP="00FE6791">
      <w:pPr>
        <w:pStyle w:val="Prrafodelista"/>
        <w:numPr>
          <w:ilvl w:val="2"/>
          <w:numId w:val="30"/>
        </w:numPr>
        <w:spacing w:after="160" w:line="259" w:lineRule="auto"/>
        <w:ind w:left="567" w:hanging="360"/>
        <w:rPr>
          <w:color w:val="000000" w:themeColor="text1"/>
        </w:rPr>
      </w:pPr>
      <w:r w:rsidRPr="00A07D9A">
        <w:rPr>
          <w:color w:val="000000" w:themeColor="text1"/>
        </w:rPr>
        <w:t>Se tiene por no presentado el Aviso de Concentración.</w:t>
      </w:r>
    </w:p>
    <w:p w14:paraId="6867B4BA" w14:textId="77777777" w:rsidR="00A936C9" w:rsidRPr="00A07D9A" w:rsidRDefault="00A936C9" w:rsidP="00FE6791">
      <w:pPr>
        <w:pStyle w:val="Prrafodelista"/>
        <w:numPr>
          <w:ilvl w:val="2"/>
          <w:numId w:val="30"/>
        </w:numPr>
        <w:spacing w:after="160" w:line="259" w:lineRule="auto"/>
        <w:ind w:left="567" w:hanging="360"/>
        <w:rPr>
          <w:color w:val="000000" w:themeColor="text1"/>
        </w:rPr>
      </w:pPr>
      <w:r w:rsidRPr="00A07D9A">
        <w:rPr>
          <w:color w:val="000000" w:themeColor="text1"/>
        </w:rPr>
        <w:t xml:space="preserve">La concentración llevada a cabo por los </w:t>
      </w:r>
      <w:r w:rsidR="008A07CB" w:rsidRPr="00A07D9A">
        <w:rPr>
          <w:color w:val="000000" w:themeColor="text1"/>
        </w:rPr>
        <w:t>agentes económicos</w:t>
      </w:r>
      <w:r w:rsidRPr="00A07D9A">
        <w:rPr>
          <w:color w:val="000000" w:themeColor="text1"/>
        </w:rPr>
        <w:t xml:space="preserve"> involucrados habrá incumplido con los artículos 86 y 87 de la LFCE, por lo que se dará vista a la AI del Instituto y los </w:t>
      </w:r>
      <w:r w:rsidR="008A07CB" w:rsidRPr="00A07D9A">
        <w:rPr>
          <w:color w:val="000000" w:themeColor="text1"/>
        </w:rPr>
        <w:t>agentes económicos</w:t>
      </w:r>
      <w:r w:rsidRPr="00A07D9A">
        <w:rPr>
          <w:color w:val="000000" w:themeColor="text1"/>
        </w:rPr>
        <w:t xml:space="preserve"> involucrados estarán expuestos a una investigación.</w:t>
      </w:r>
    </w:p>
    <w:p w14:paraId="6D8D433F" w14:textId="77777777" w:rsidR="00A936C9" w:rsidRPr="00A07D9A" w:rsidRDefault="00A936C9" w:rsidP="00FE6791">
      <w:pPr>
        <w:pStyle w:val="Prrafodelista"/>
        <w:numPr>
          <w:ilvl w:val="2"/>
          <w:numId w:val="30"/>
        </w:numPr>
        <w:spacing w:after="160" w:line="259" w:lineRule="auto"/>
        <w:ind w:left="567" w:hanging="360"/>
        <w:rPr>
          <w:color w:val="000000" w:themeColor="text1"/>
        </w:rPr>
      </w:pPr>
      <w:r w:rsidRPr="00A07D9A">
        <w:rPr>
          <w:color w:val="000000" w:themeColor="text1"/>
        </w:rPr>
        <w:t>En caso de que la UCE identifique indicios de que la operación se podría tratar de una concentración ilícita, dará vista a la AI de ese hecho.</w:t>
      </w:r>
    </w:p>
    <w:p w14:paraId="5F59B581" w14:textId="77777777" w:rsidR="00A936C9" w:rsidRPr="00A07D9A" w:rsidRDefault="00A936C9" w:rsidP="00A936C9">
      <w:pPr>
        <w:pStyle w:val="Ttulo4"/>
        <w:rPr>
          <w:color w:val="000000" w:themeColor="text1"/>
        </w:rPr>
      </w:pPr>
      <w:bookmarkStart w:id="127" w:name="_Toc449376710"/>
      <w:bookmarkStart w:id="128" w:name="_Toc462053159"/>
      <w:r w:rsidRPr="00A07D9A">
        <w:rPr>
          <w:color w:val="000000" w:themeColor="text1"/>
        </w:rPr>
        <w:t>Requerimientos de Información a Terceros</w:t>
      </w:r>
      <w:bookmarkEnd w:id="127"/>
      <w:bookmarkEnd w:id="128"/>
    </w:p>
    <w:p w14:paraId="0F950C2E" w14:textId="77777777" w:rsidR="00A936C9" w:rsidRPr="00A07D9A" w:rsidRDefault="00A936C9" w:rsidP="00A936C9">
      <w:pPr>
        <w:rPr>
          <w:color w:val="000000" w:themeColor="text1"/>
        </w:rPr>
      </w:pPr>
      <w:r w:rsidRPr="00A07D9A">
        <w:rPr>
          <w:color w:val="000000" w:themeColor="text1"/>
        </w:rPr>
        <w:t xml:space="preserve">En términos de los artículos 49, 50 párrafo segundo, 53 y 54 de la LFPA, al interior del procedimiento administrativo es procedente requerir información a terceros (incluyendo otras Autoridades Públicas) con la finalidad de comprobar la información y/o documentación aportada por los </w:t>
      </w:r>
      <w:r w:rsidR="008A07CB" w:rsidRPr="00A07D9A">
        <w:rPr>
          <w:color w:val="000000" w:themeColor="text1"/>
        </w:rPr>
        <w:t>agentes económicos</w:t>
      </w:r>
      <w:r w:rsidRPr="00A07D9A">
        <w:rPr>
          <w:color w:val="000000" w:themeColor="text1"/>
        </w:rPr>
        <w:t xml:space="preserve"> involucrados en la concentración u otros aspectos que el IFT estime relevantes. </w:t>
      </w:r>
    </w:p>
    <w:p w14:paraId="6400ECEB" w14:textId="77777777" w:rsidR="00A936C9" w:rsidRPr="00A07D9A" w:rsidRDefault="00A936C9" w:rsidP="00A936C9">
      <w:pPr>
        <w:rPr>
          <w:color w:val="000000" w:themeColor="text1"/>
        </w:rPr>
      </w:pPr>
      <w:r w:rsidRPr="00A07D9A">
        <w:rPr>
          <w:color w:val="000000" w:themeColor="text1"/>
        </w:rPr>
        <w:t>En efecto, el IFT tiene la facultad para realizar tales requerimientos en cualquier tiempo, siempre y cuando el plazo que otorgue finalice antes de tener por concluido el procedimiento, pues, una vez sucedida la conclusión correspondiente, no podrá celebrarse ninguna diligencia adicional.</w:t>
      </w:r>
    </w:p>
    <w:p w14:paraId="128DD3A8" w14:textId="77777777" w:rsidR="00A936C9" w:rsidRPr="00A07D9A" w:rsidRDefault="00A936C9" w:rsidP="00A936C9">
      <w:pPr>
        <w:pStyle w:val="Ttulo4"/>
        <w:rPr>
          <w:color w:val="000000" w:themeColor="text1"/>
        </w:rPr>
      </w:pPr>
      <w:bookmarkStart w:id="129" w:name="_Toc449376711"/>
      <w:bookmarkStart w:id="130" w:name="_Toc462053160"/>
      <w:r w:rsidRPr="00A07D9A">
        <w:rPr>
          <w:color w:val="000000" w:themeColor="text1"/>
        </w:rPr>
        <w:t>Desahogo de Pruebas</w:t>
      </w:r>
      <w:bookmarkEnd w:id="129"/>
      <w:bookmarkEnd w:id="130"/>
    </w:p>
    <w:p w14:paraId="65FD972A" w14:textId="77777777" w:rsidR="00A936C9" w:rsidRPr="00A07D9A" w:rsidRDefault="00A936C9" w:rsidP="00A936C9">
      <w:pPr>
        <w:rPr>
          <w:color w:val="000000" w:themeColor="text1"/>
        </w:rPr>
      </w:pPr>
      <w:r w:rsidRPr="00A07D9A">
        <w:rPr>
          <w:color w:val="000000" w:themeColor="text1"/>
        </w:rPr>
        <w:t xml:space="preserve">Como se encuentra previsto en el artículo 51 de la LFPA y debido a que en el acuerdo de admisión el IFT proveerá, en su caso, sobre aquellos medios de prueba que llegaren a ofrecer los </w:t>
      </w:r>
      <w:r w:rsidR="008A07CB" w:rsidRPr="00A07D9A">
        <w:rPr>
          <w:color w:val="000000" w:themeColor="text1"/>
        </w:rPr>
        <w:t>agentes económicos</w:t>
      </w:r>
      <w:r w:rsidRPr="00A07D9A">
        <w:rPr>
          <w:color w:val="000000" w:themeColor="text1"/>
        </w:rPr>
        <w:t xml:space="preserve"> involucrados, es necesario precisar que, dentro de un plazo que va de tres a quince días posteriores a la emisión del acuerdo señalado, es posible proceder al desahogo de las pruebas admitidas. </w:t>
      </w:r>
    </w:p>
    <w:p w14:paraId="4C9D1CDE" w14:textId="77777777" w:rsidR="00A936C9" w:rsidRPr="00A07D9A" w:rsidRDefault="00A936C9" w:rsidP="00A936C9">
      <w:pPr>
        <w:rPr>
          <w:color w:val="000000" w:themeColor="text1"/>
        </w:rPr>
      </w:pPr>
      <w:r w:rsidRPr="00A07D9A">
        <w:rPr>
          <w:color w:val="000000" w:themeColor="text1"/>
        </w:rPr>
        <w:t xml:space="preserve">Asimismo, para el caso de que los </w:t>
      </w:r>
      <w:r w:rsidR="008A07CB" w:rsidRPr="00A07D9A">
        <w:rPr>
          <w:color w:val="000000" w:themeColor="text1"/>
        </w:rPr>
        <w:t>agentes económicos</w:t>
      </w:r>
      <w:r w:rsidRPr="00A07D9A">
        <w:rPr>
          <w:color w:val="000000" w:themeColor="text1"/>
        </w:rPr>
        <w:t xml:space="preserve"> ofrezcan pruebas que requieran ser desahogadas con posterioridad y a petición de éstos, en términos del artículo 51, párrafo segundo, de la LFPA, el término será de ocho a diez días a </w:t>
      </w:r>
      <w:r w:rsidRPr="00A07D9A">
        <w:rPr>
          <w:color w:val="000000" w:themeColor="text1"/>
        </w:rPr>
        <w:lastRenderedPageBreak/>
        <w:t xml:space="preserve">efecto de que los </w:t>
      </w:r>
      <w:r w:rsidR="008A07CB" w:rsidRPr="00A07D9A">
        <w:rPr>
          <w:color w:val="000000" w:themeColor="text1"/>
        </w:rPr>
        <w:t>agentes económicos</w:t>
      </w:r>
      <w:r w:rsidRPr="00A07D9A">
        <w:rPr>
          <w:color w:val="000000" w:themeColor="text1"/>
        </w:rPr>
        <w:t xml:space="preserve"> estén en posibilidad de desahogar las mismas.</w:t>
      </w:r>
    </w:p>
    <w:p w14:paraId="42695F18" w14:textId="77777777" w:rsidR="00A936C9" w:rsidRPr="00A07D9A" w:rsidRDefault="00A936C9" w:rsidP="00A936C9">
      <w:pPr>
        <w:rPr>
          <w:color w:val="000000" w:themeColor="text1"/>
        </w:rPr>
      </w:pPr>
      <w:r w:rsidRPr="00A07D9A">
        <w:rPr>
          <w:color w:val="000000" w:themeColor="text1"/>
        </w:rPr>
        <w:t xml:space="preserve">Por otro lado, en relación con los medios de pruebas supervenientes (aquellos respecto de los cuales los </w:t>
      </w:r>
      <w:r w:rsidR="008A07CB" w:rsidRPr="00A07D9A">
        <w:rPr>
          <w:color w:val="000000" w:themeColor="text1"/>
        </w:rPr>
        <w:t>agentes económicos</w:t>
      </w:r>
      <w:r w:rsidRPr="00A07D9A">
        <w:rPr>
          <w:color w:val="000000" w:themeColor="text1"/>
        </w:rPr>
        <w:t xml:space="preserve"> pueden acreditar que no tenían conocimiento de las mismas previo a su ofrecimiento), no existe impedimento para </w:t>
      </w:r>
      <w:r w:rsidR="00057E7C" w:rsidRPr="00A07D9A">
        <w:rPr>
          <w:color w:val="000000" w:themeColor="text1"/>
        </w:rPr>
        <w:t xml:space="preserve">presentarlos </w:t>
      </w:r>
      <w:r w:rsidRPr="00A07D9A">
        <w:rPr>
          <w:color w:val="000000" w:themeColor="text1"/>
        </w:rPr>
        <w:t>en todo momento y hasta antes de la emisión de la resolución del procedimiento administrativo.</w:t>
      </w:r>
    </w:p>
    <w:p w14:paraId="5F71EB84" w14:textId="77777777" w:rsidR="00A936C9" w:rsidRPr="00A07D9A" w:rsidRDefault="00A936C9" w:rsidP="00A936C9">
      <w:pPr>
        <w:pStyle w:val="Ttulo4"/>
        <w:rPr>
          <w:color w:val="000000" w:themeColor="text1"/>
        </w:rPr>
      </w:pPr>
      <w:bookmarkStart w:id="131" w:name="_Toc449376712"/>
      <w:bookmarkStart w:id="132" w:name="_Toc462053161"/>
      <w:r w:rsidRPr="00A07D9A">
        <w:rPr>
          <w:color w:val="000000" w:themeColor="text1"/>
        </w:rPr>
        <w:t>Acuerdo de Vista del Procedimiento</w:t>
      </w:r>
      <w:bookmarkEnd w:id="131"/>
      <w:bookmarkEnd w:id="132"/>
    </w:p>
    <w:p w14:paraId="306511F4" w14:textId="77777777" w:rsidR="00A936C9" w:rsidRPr="00A07D9A" w:rsidRDefault="00A936C9" w:rsidP="00A936C9">
      <w:pPr>
        <w:rPr>
          <w:color w:val="000000" w:themeColor="text1"/>
        </w:rPr>
      </w:pPr>
      <w:r w:rsidRPr="00A07D9A">
        <w:rPr>
          <w:color w:val="000000" w:themeColor="text1"/>
        </w:rPr>
        <w:t xml:space="preserve">Una vez desahogadas todas las pruebas del procedimiento, si las hubiere, y una vez de que el IFT haya agotado la recepción de aquellos informes o documentos que llegare a requerir de terceros, se considerará que no existen más actuaciones por desahogar </w:t>
      </w:r>
      <w:r w:rsidR="00057E7C" w:rsidRPr="00A07D9A">
        <w:rPr>
          <w:color w:val="000000" w:themeColor="text1"/>
        </w:rPr>
        <w:t>en</w:t>
      </w:r>
      <w:r w:rsidRPr="00A07D9A">
        <w:rPr>
          <w:color w:val="000000" w:themeColor="text1"/>
        </w:rPr>
        <w:t xml:space="preserve"> del procedimiento administrativo.</w:t>
      </w:r>
    </w:p>
    <w:p w14:paraId="306E7FCE" w14:textId="77777777" w:rsidR="00A936C9" w:rsidRPr="00A07D9A" w:rsidRDefault="00A936C9" w:rsidP="00A936C9">
      <w:pPr>
        <w:rPr>
          <w:color w:val="000000" w:themeColor="text1"/>
        </w:rPr>
      </w:pPr>
      <w:r w:rsidRPr="00A07D9A">
        <w:rPr>
          <w:color w:val="000000" w:themeColor="text1"/>
        </w:rPr>
        <w:t>En este supuesto, al no haber diligencias o actuaciones pendientes, se emite un Acuerdo de vista del procedimiento</w:t>
      </w:r>
      <w:r w:rsidR="00057E7C" w:rsidRPr="00A07D9A">
        <w:rPr>
          <w:color w:val="000000" w:themeColor="text1"/>
        </w:rPr>
        <w:t>,</w:t>
      </w:r>
      <w:r w:rsidRPr="00A07D9A">
        <w:rPr>
          <w:color w:val="000000" w:themeColor="text1"/>
        </w:rPr>
        <w:t xml:space="preserve"> por virtud del cual las actuaciones del expediente se ponen a disposición de l</w:t>
      </w:r>
      <w:r w:rsidR="00057E7C" w:rsidRPr="00A07D9A">
        <w:rPr>
          <w:color w:val="000000" w:themeColor="text1"/>
        </w:rPr>
        <w:t>o</w:t>
      </w:r>
      <w:r w:rsidRPr="00A07D9A">
        <w:rPr>
          <w:color w:val="000000" w:themeColor="text1"/>
        </w:rPr>
        <w:t xml:space="preserve">s </w:t>
      </w:r>
      <w:r w:rsidR="00057E7C" w:rsidRPr="00A07D9A">
        <w:rPr>
          <w:color w:val="000000" w:themeColor="text1"/>
        </w:rPr>
        <w:t>agentes económicos notificantes</w:t>
      </w:r>
      <w:r w:rsidRPr="00A07D9A">
        <w:rPr>
          <w:color w:val="000000" w:themeColor="text1"/>
        </w:rPr>
        <w:t xml:space="preserve"> para que, dentro del plazo de diez días hábiles, formulen los alegatos que consideren pertinentes. </w:t>
      </w:r>
    </w:p>
    <w:p w14:paraId="1A29C43A" w14:textId="77777777" w:rsidR="00A936C9" w:rsidRPr="00A07D9A" w:rsidRDefault="00A936C9" w:rsidP="00A936C9">
      <w:pPr>
        <w:pStyle w:val="Ttulo4"/>
        <w:rPr>
          <w:color w:val="000000" w:themeColor="text1"/>
        </w:rPr>
      </w:pPr>
      <w:bookmarkStart w:id="133" w:name="_Toc449376713"/>
      <w:bookmarkStart w:id="134" w:name="_Toc462053162"/>
      <w:r w:rsidRPr="00A07D9A">
        <w:rPr>
          <w:color w:val="000000" w:themeColor="text1"/>
        </w:rPr>
        <w:t>Alegatos</w:t>
      </w:r>
      <w:bookmarkEnd w:id="133"/>
      <w:bookmarkEnd w:id="134"/>
    </w:p>
    <w:p w14:paraId="4F5995FF" w14:textId="77777777" w:rsidR="00A936C9" w:rsidRPr="00A07D9A" w:rsidRDefault="00A936C9" w:rsidP="00A936C9">
      <w:pPr>
        <w:rPr>
          <w:color w:val="000000" w:themeColor="text1"/>
        </w:rPr>
      </w:pPr>
      <w:r w:rsidRPr="00A07D9A">
        <w:rPr>
          <w:color w:val="000000" w:themeColor="text1"/>
        </w:rPr>
        <w:t xml:space="preserve">Los alegatos consisten en las manifestaciones adicionales que los </w:t>
      </w:r>
      <w:r w:rsidR="008A07CB" w:rsidRPr="00A07D9A">
        <w:rPr>
          <w:color w:val="000000" w:themeColor="text1"/>
        </w:rPr>
        <w:t>agentes económicos</w:t>
      </w:r>
      <w:r w:rsidRPr="00A07D9A">
        <w:rPr>
          <w:color w:val="000000" w:themeColor="text1"/>
        </w:rPr>
        <w:t xml:space="preserve"> involucrados pueden expresar en relación con el Aviso de Concentración, dentro de las cuales se encuentran, por ejemplo, los razonamientos o ideas relacionadas con aspectos que los </w:t>
      </w:r>
      <w:r w:rsidR="008A07CB" w:rsidRPr="00A07D9A">
        <w:rPr>
          <w:color w:val="000000" w:themeColor="text1"/>
        </w:rPr>
        <w:t>agentes económicos</w:t>
      </w:r>
      <w:r w:rsidRPr="00A07D9A">
        <w:rPr>
          <w:color w:val="000000" w:themeColor="text1"/>
        </w:rPr>
        <w:t xml:space="preserve"> consideren relevantes o necesarios respecto del aviso respectivo.</w:t>
      </w:r>
    </w:p>
    <w:p w14:paraId="3ADC48EE" w14:textId="77777777" w:rsidR="00A936C9" w:rsidRPr="00A07D9A" w:rsidRDefault="00A936C9" w:rsidP="00A936C9">
      <w:pPr>
        <w:rPr>
          <w:color w:val="000000" w:themeColor="text1"/>
        </w:rPr>
      </w:pPr>
      <w:r w:rsidRPr="00A07D9A">
        <w:rPr>
          <w:color w:val="000000" w:themeColor="text1"/>
        </w:rPr>
        <w:t xml:space="preserve">En términos del artículo 56, párrafo segundo, de la LFPA, los interesados en un plazo no inferior a cinco días ni superior a diez podrán presentar por escrito sus alegatos. No obstante, si antes del vencimiento del plazo los interesados manifestaran su decisión de no presentar alegatos, se tendrá por concluido el </w:t>
      </w:r>
      <w:r w:rsidR="00EB7743" w:rsidRPr="00A07D9A">
        <w:rPr>
          <w:color w:val="000000" w:themeColor="text1"/>
        </w:rPr>
        <w:t>procedimiento</w:t>
      </w:r>
      <w:r w:rsidRPr="00A07D9A">
        <w:rPr>
          <w:color w:val="000000" w:themeColor="text1"/>
        </w:rPr>
        <w:t>.</w:t>
      </w:r>
    </w:p>
    <w:p w14:paraId="2FE69E84" w14:textId="77777777" w:rsidR="00A936C9" w:rsidRPr="00A07D9A" w:rsidRDefault="00A936C9" w:rsidP="00A936C9">
      <w:pPr>
        <w:pStyle w:val="Ttulo4"/>
        <w:rPr>
          <w:color w:val="000000" w:themeColor="text1"/>
        </w:rPr>
      </w:pPr>
      <w:bookmarkStart w:id="135" w:name="_Toc449376714"/>
      <w:bookmarkStart w:id="136" w:name="_Toc462053163"/>
      <w:r w:rsidRPr="00A07D9A">
        <w:rPr>
          <w:color w:val="000000" w:themeColor="text1"/>
        </w:rPr>
        <w:t xml:space="preserve">Conclusión </w:t>
      </w:r>
      <w:bookmarkEnd w:id="135"/>
      <w:bookmarkEnd w:id="136"/>
    </w:p>
    <w:p w14:paraId="3D5BEF71" w14:textId="77777777" w:rsidR="00A936C9" w:rsidRPr="00A07D9A" w:rsidRDefault="00A936C9" w:rsidP="00A936C9">
      <w:pPr>
        <w:rPr>
          <w:color w:val="000000" w:themeColor="text1"/>
        </w:rPr>
      </w:pPr>
      <w:r w:rsidRPr="00A07D9A">
        <w:rPr>
          <w:color w:val="000000" w:themeColor="text1"/>
        </w:rPr>
        <w:t xml:space="preserve">Una vez recibidos los alegatos de los </w:t>
      </w:r>
      <w:r w:rsidR="008A07CB" w:rsidRPr="00A07D9A">
        <w:rPr>
          <w:color w:val="000000" w:themeColor="text1"/>
        </w:rPr>
        <w:t>agentes económicos</w:t>
      </w:r>
      <w:r w:rsidRPr="00A07D9A">
        <w:rPr>
          <w:color w:val="000000" w:themeColor="text1"/>
        </w:rPr>
        <w:t xml:space="preserve"> involucrados dentro del plazo concedido o en caso de que manifiesten su decisión de no presentarlos, el IFT procede a la emisión de un Acuerdo de conclusión del procedimiento el cual representa la finalización de toda actuación y la inminente emisión de una resolución.</w:t>
      </w:r>
    </w:p>
    <w:p w14:paraId="0AFD9274" w14:textId="77777777" w:rsidR="00A936C9" w:rsidRPr="00A07D9A" w:rsidRDefault="00A936C9" w:rsidP="00A936C9">
      <w:pPr>
        <w:pStyle w:val="Ttulo4"/>
        <w:rPr>
          <w:color w:val="000000" w:themeColor="text1"/>
        </w:rPr>
      </w:pPr>
      <w:bookmarkStart w:id="137" w:name="_Toc449376715"/>
      <w:bookmarkStart w:id="138" w:name="_Toc462053164"/>
      <w:r w:rsidRPr="00A07D9A">
        <w:rPr>
          <w:color w:val="000000" w:themeColor="text1"/>
        </w:rPr>
        <w:lastRenderedPageBreak/>
        <w:t>Resolución</w:t>
      </w:r>
      <w:bookmarkEnd w:id="137"/>
      <w:bookmarkEnd w:id="138"/>
    </w:p>
    <w:p w14:paraId="3CE81BCC" w14:textId="77777777" w:rsidR="00A936C9" w:rsidRPr="00A07D9A" w:rsidRDefault="00A936C9" w:rsidP="00A936C9">
      <w:pPr>
        <w:rPr>
          <w:color w:val="000000" w:themeColor="text1"/>
        </w:rPr>
      </w:pPr>
      <w:r w:rsidRPr="00A07D9A">
        <w:rPr>
          <w:color w:val="000000" w:themeColor="text1"/>
        </w:rPr>
        <w:t xml:space="preserve">Este procedimiento referente al </w:t>
      </w:r>
      <w:r w:rsidR="00C561C7" w:rsidRPr="00A07D9A">
        <w:rPr>
          <w:color w:val="000000" w:themeColor="text1"/>
        </w:rPr>
        <w:t>artículo</w:t>
      </w:r>
      <w:r w:rsidRPr="00A07D9A">
        <w:rPr>
          <w:color w:val="000000" w:themeColor="text1"/>
        </w:rPr>
        <w:t xml:space="preserve"> Noveno Transitorio concluye con la emisión de una resolución por parte del Pleno del IFT en la cual decide si el IFT tiene </w:t>
      </w:r>
      <w:r w:rsidR="00057E7C" w:rsidRPr="00A07D9A">
        <w:rPr>
          <w:color w:val="000000" w:themeColor="text1"/>
        </w:rPr>
        <w:t xml:space="preserve">o no </w:t>
      </w:r>
      <w:r w:rsidRPr="00A07D9A">
        <w:rPr>
          <w:color w:val="000000" w:themeColor="text1"/>
        </w:rPr>
        <w:t xml:space="preserve">por cumplidos los </w:t>
      </w:r>
      <w:r w:rsidR="00057E7C" w:rsidRPr="00A07D9A">
        <w:rPr>
          <w:color w:val="000000" w:themeColor="text1"/>
        </w:rPr>
        <w:t xml:space="preserve">requisitos previstos en los </w:t>
      </w:r>
      <w:r w:rsidRPr="00A07D9A">
        <w:rPr>
          <w:color w:val="000000" w:themeColor="text1"/>
        </w:rPr>
        <w:t xml:space="preserve">incisos a. a d. de dicho artículo Transitorio y, en consecuencia, </w:t>
      </w:r>
      <w:r w:rsidR="00057E7C" w:rsidRPr="00A07D9A">
        <w:rPr>
          <w:color w:val="000000" w:themeColor="text1"/>
        </w:rPr>
        <w:t xml:space="preserve">determina </w:t>
      </w:r>
      <w:r w:rsidRPr="00A07D9A">
        <w:rPr>
          <w:color w:val="000000" w:themeColor="text1"/>
        </w:rPr>
        <w:t xml:space="preserve">si la concentración se encuentra </w:t>
      </w:r>
      <w:r w:rsidR="00057E7C" w:rsidRPr="00A07D9A">
        <w:rPr>
          <w:color w:val="000000" w:themeColor="text1"/>
        </w:rPr>
        <w:t>o no</w:t>
      </w:r>
      <w:r w:rsidRPr="00A07D9A">
        <w:rPr>
          <w:color w:val="000000" w:themeColor="text1"/>
        </w:rPr>
        <w:t xml:space="preserve"> en la excepción de requerir autorización previa por parte del IFT.</w:t>
      </w:r>
    </w:p>
    <w:p w14:paraId="2F7F28AB" w14:textId="77777777" w:rsidR="00A936C9" w:rsidRPr="00A07D9A" w:rsidRDefault="00A936C9" w:rsidP="00A936C9">
      <w:pPr>
        <w:rPr>
          <w:color w:val="000000" w:themeColor="text1"/>
        </w:rPr>
      </w:pPr>
      <w:r w:rsidRPr="00A07D9A">
        <w:rPr>
          <w:color w:val="000000" w:themeColor="text1"/>
        </w:rPr>
        <w:t xml:space="preserve">En caso positivo, en la misma resolución el Pleno del IFT ordena dar vista a la AI a efecto de que ésta pueda iniciar la investigación a que se refiere el penúltimo párrafo del artículo Noveno Transitorio. </w:t>
      </w:r>
    </w:p>
    <w:p w14:paraId="3C47ED81" w14:textId="77777777" w:rsidR="00A936C9" w:rsidRPr="00A07D9A" w:rsidRDefault="00A936C9" w:rsidP="00A936C9">
      <w:pPr>
        <w:rPr>
          <w:color w:val="000000" w:themeColor="text1"/>
        </w:rPr>
      </w:pPr>
      <w:r w:rsidRPr="00A07D9A">
        <w:rPr>
          <w:color w:val="000000" w:themeColor="text1"/>
        </w:rPr>
        <w:t xml:space="preserve">En caso de que el IFT resuelva no </w:t>
      </w:r>
      <w:r w:rsidR="00057E7C" w:rsidRPr="00A07D9A">
        <w:rPr>
          <w:color w:val="000000" w:themeColor="text1"/>
        </w:rPr>
        <w:t xml:space="preserve">tener </w:t>
      </w:r>
      <w:r w:rsidRPr="00A07D9A">
        <w:rPr>
          <w:color w:val="000000" w:themeColor="text1"/>
        </w:rPr>
        <w:t xml:space="preserve">por cumplidos los </w:t>
      </w:r>
      <w:r w:rsidR="00057E7C" w:rsidRPr="00A07D9A">
        <w:rPr>
          <w:color w:val="000000" w:themeColor="text1"/>
        </w:rPr>
        <w:t xml:space="preserve">requisitos previstos </w:t>
      </w:r>
      <w:r w:rsidRPr="00A07D9A">
        <w:rPr>
          <w:color w:val="000000" w:themeColor="text1"/>
        </w:rPr>
        <w:t>incisos a. a d. de dicho Transitorio y que la concentración no se encuentra en la excepción de requerir autorización previa por parte del IFT, las consecuencias son las siguientes:</w:t>
      </w:r>
    </w:p>
    <w:p w14:paraId="2E6F4F59" w14:textId="77777777" w:rsidR="00A936C9" w:rsidRPr="00A07D9A" w:rsidRDefault="00057E7C" w:rsidP="00FE6791">
      <w:pPr>
        <w:pStyle w:val="Prrafodelista"/>
        <w:numPr>
          <w:ilvl w:val="0"/>
          <w:numId w:val="55"/>
        </w:numPr>
        <w:spacing w:after="160" w:line="259" w:lineRule="auto"/>
        <w:ind w:left="567"/>
        <w:rPr>
          <w:color w:val="000000" w:themeColor="text1"/>
        </w:rPr>
      </w:pPr>
      <w:r w:rsidRPr="00A07D9A">
        <w:rPr>
          <w:color w:val="000000" w:themeColor="text1"/>
        </w:rPr>
        <w:t>Los agentes económicos involucrados en l</w:t>
      </w:r>
      <w:r w:rsidR="00A936C9" w:rsidRPr="00A07D9A">
        <w:rPr>
          <w:color w:val="000000" w:themeColor="text1"/>
        </w:rPr>
        <w:t>a concentración habrá</w:t>
      </w:r>
      <w:r w:rsidRPr="00A07D9A">
        <w:rPr>
          <w:color w:val="000000" w:themeColor="text1"/>
        </w:rPr>
        <w:t>n</w:t>
      </w:r>
      <w:r w:rsidR="00A936C9" w:rsidRPr="00A07D9A">
        <w:rPr>
          <w:color w:val="000000" w:themeColor="text1"/>
        </w:rPr>
        <w:t xml:space="preserve"> incumplido con los artículos 86 y 87 de la LFCE, por lo que estarán expuestos a una investigación por concentración no notificada por parte de la AI del IFT.</w:t>
      </w:r>
    </w:p>
    <w:p w14:paraId="7F43C8DE" w14:textId="77777777" w:rsidR="00A936C9" w:rsidRPr="00A07D9A" w:rsidRDefault="00A936C9" w:rsidP="00FE6791">
      <w:pPr>
        <w:pStyle w:val="Prrafodelista"/>
        <w:numPr>
          <w:ilvl w:val="0"/>
          <w:numId w:val="55"/>
        </w:numPr>
        <w:spacing w:after="160" w:line="259" w:lineRule="auto"/>
        <w:ind w:left="567"/>
        <w:rPr>
          <w:color w:val="000000" w:themeColor="text1"/>
        </w:rPr>
      </w:pPr>
      <w:r w:rsidRPr="00A07D9A">
        <w:rPr>
          <w:color w:val="000000" w:themeColor="text1"/>
        </w:rPr>
        <w:t xml:space="preserve">En caso de que </w:t>
      </w:r>
      <w:r w:rsidR="003F2D39" w:rsidRPr="00A07D9A">
        <w:rPr>
          <w:color w:val="000000" w:themeColor="text1"/>
        </w:rPr>
        <w:t xml:space="preserve">se </w:t>
      </w:r>
      <w:r w:rsidRPr="00A07D9A">
        <w:rPr>
          <w:color w:val="000000" w:themeColor="text1"/>
        </w:rPr>
        <w:t>identifique</w:t>
      </w:r>
      <w:r w:rsidR="00057E7C" w:rsidRPr="00A07D9A">
        <w:rPr>
          <w:color w:val="000000" w:themeColor="text1"/>
        </w:rPr>
        <w:t>n</w:t>
      </w:r>
      <w:r w:rsidRPr="00A07D9A">
        <w:rPr>
          <w:color w:val="000000" w:themeColor="text1"/>
        </w:rPr>
        <w:t xml:space="preserve"> indicios de que la operación </w:t>
      </w:r>
      <w:r w:rsidR="00057E7C" w:rsidRPr="00A07D9A">
        <w:rPr>
          <w:color w:val="000000" w:themeColor="text1"/>
        </w:rPr>
        <w:t>constituya</w:t>
      </w:r>
      <w:r w:rsidRPr="00A07D9A">
        <w:rPr>
          <w:color w:val="000000" w:themeColor="text1"/>
        </w:rPr>
        <w:t xml:space="preserve"> una concentración ilícita, </w:t>
      </w:r>
      <w:r w:rsidR="003F2D39" w:rsidRPr="00A07D9A">
        <w:rPr>
          <w:color w:val="000000" w:themeColor="text1"/>
        </w:rPr>
        <w:t xml:space="preserve">se </w:t>
      </w:r>
      <w:r w:rsidRPr="00A07D9A">
        <w:rPr>
          <w:color w:val="000000" w:themeColor="text1"/>
        </w:rPr>
        <w:t>dará vista a la AI de ese hecho.</w:t>
      </w:r>
    </w:p>
    <w:p w14:paraId="667DEE0C" w14:textId="77777777" w:rsidR="00867F46" w:rsidRPr="00A07D9A" w:rsidRDefault="00A936C9" w:rsidP="00867F46">
      <w:pPr>
        <w:rPr>
          <w:color w:val="000000" w:themeColor="text1"/>
        </w:rPr>
      </w:pPr>
      <w:r w:rsidRPr="00A07D9A">
        <w:rPr>
          <w:color w:val="000000" w:themeColor="text1"/>
        </w:rPr>
        <w:t xml:space="preserve">De acuerdo con el artículo 17 de la LFPA, el plazo para la emisión de </w:t>
      </w:r>
      <w:r w:rsidR="00057E7C" w:rsidRPr="00A07D9A">
        <w:rPr>
          <w:color w:val="000000" w:themeColor="text1"/>
        </w:rPr>
        <w:t xml:space="preserve">la </w:t>
      </w:r>
      <w:r w:rsidRPr="00A07D9A">
        <w:rPr>
          <w:color w:val="000000" w:themeColor="text1"/>
        </w:rPr>
        <w:t>resolución será de tres meses</w:t>
      </w:r>
      <w:r w:rsidR="00057E7C" w:rsidRPr="00A07D9A">
        <w:rPr>
          <w:color w:val="000000" w:themeColor="text1"/>
        </w:rPr>
        <w:t>,</w:t>
      </w:r>
      <w:r w:rsidRPr="00A07D9A">
        <w:rPr>
          <w:color w:val="000000" w:themeColor="text1"/>
        </w:rPr>
        <w:t xml:space="preserve"> contados a partir de la presentación del Escrito de Aviso de Concentración, salvo que dicho plazo quede suspendido por virtud del Acuerdo de prevención, situación en la cual el conteo del plazo reiniciará en </w:t>
      </w:r>
      <w:r w:rsidR="00867F46" w:rsidRPr="00A07D9A">
        <w:rPr>
          <w:color w:val="000000" w:themeColor="text1"/>
        </w:rPr>
        <w:t>la fecha de desahogo del mismo.</w:t>
      </w:r>
    </w:p>
    <w:p w14:paraId="082236E0" w14:textId="77777777" w:rsidR="00867F46" w:rsidRPr="00A07D9A" w:rsidRDefault="00867F46" w:rsidP="00867F46">
      <w:pPr>
        <w:rPr>
          <w:color w:val="000000" w:themeColor="text1"/>
        </w:rPr>
        <w:sectPr w:rsidR="00867F46" w:rsidRPr="00A07D9A" w:rsidSect="00030283">
          <w:pgSz w:w="12240" w:h="15840" w:code="1"/>
          <w:pgMar w:top="1417" w:right="1701" w:bottom="1417" w:left="1701" w:header="720" w:footer="720" w:gutter="0"/>
          <w:cols w:space="720"/>
          <w:noEndnote/>
          <w:docGrid w:linePitch="326"/>
        </w:sectPr>
      </w:pPr>
    </w:p>
    <w:p w14:paraId="239FF429" w14:textId="77777777" w:rsidR="00A936C9" w:rsidRPr="00A07D9A" w:rsidRDefault="00A936C9" w:rsidP="00A936C9">
      <w:pPr>
        <w:pStyle w:val="Ttulo4"/>
        <w:rPr>
          <w:color w:val="000000" w:themeColor="text1"/>
        </w:rPr>
      </w:pPr>
      <w:bookmarkStart w:id="139" w:name="_Toc449376717"/>
      <w:bookmarkStart w:id="140" w:name="_Toc462053166"/>
      <w:bookmarkStart w:id="141" w:name="_Toc449376716"/>
      <w:bookmarkStart w:id="142" w:name="_Toc462053165"/>
      <w:r w:rsidRPr="00A07D9A">
        <w:rPr>
          <w:color w:val="000000" w:themeColor="text1"/>
        </w:rPr>
        <w:lastRenderedPageBreak/>
        <w:t>Plazos que Corresponden al Trámite del Aviso de Concentración</w:t>
      </w:r>
      <w:bookmarkEnd w:id="139"/>
      <w:bookmarkEnd w:id="140"/>
    </w:p>
    <w:tbl>
      <w:tblPr>
        <w:tblStyle w:val="Tablaconcuadrcula"/>
        <w:tblW w:w="0" w:type="auto"/>
        <w:tblLook w:val="04A0" w:firstRow="1" w:lastRow="0" w:firstColumn="1" w:lastColumn="0" w:noHBand="0" w:noVBand="1"/>
        <w:tblCaption w:val="Tabla 5"/>
        <w:tblDescription w:val="Plazos de Aviso de Concentración"/>
      </w:tblPr>
      <w:tblGrid>
        <w:gridCol w:w="2887"/>
        <w:gridCol w:w="2404"/>
        <w:gridCol w:w="7705"/>
      </w:tblGrid>
      <w:tr w:rsidR="00A07D9A" w:rsidRPr="00A07D9A" w14:paraId="3D848EEA" w14:textId="77777777" w:rsidTr="00A07D9A">
        <w:trPr>
          <w:tblHeader/>
        </w:trPr>
        <w:tc>
          <w:tcPr>
            <w:tcW w:w="0" w:type="auto"/>
            <w:shd w:val="clear" w:color="auto" w:fill="BFBFBF" w:themeFill="background1" w:themeFillShade="BF"/>
            <w:vAlign w:val="center"/>
          </w:tcPr>
          <w:p w14:paraId="4A6698FE" w14:textId="77777777" w:rsidR="00A936C9" w:rsidRPr="00A07D9A" w:rsidRDefault="00A936C9" w:rsidP="0096024B">
            <w:pPr>
              <w:jc w:val="center"/>
              <w:rPr>
                <w:b/>
                <w:color w:val="000000" w:themeColor="text1"/>
                <w:sz w:val="16"/>
                <w:szCs w:val="16"/>
              </w:rPr>
            </w:pPr>
            <w:r w:rsidRPr="00A07D9A">
              <w:rPr>
                <w:b/>
                <w:color w:val="000000" w:themeColor="text1"/>
                <w:sz w:val="16"/>
                <w:szCs w:val="16"/>
              </w:rPr>
              <w:t>Tipo de Actuación</w:t>
            </w:r>
          </w:p>
        </w:tc>
        <w:tc>
          <w:tcPr>
            <w:tcW w:w="2404" w:type="dxa"/>
            <w:shd w:val="clear" w:color="auto" w:fill="BFBFBF" w:themeFill="background1" w:themeFillShade="BF"/>
            <w:vAlign w:val="center"/>
          </w:tcPr>
          <w:p w14:paraId="5D0828C8" w14:textId="77777777" w:rsidR="00A936C9" w:rsidRPr="00A07D9A" w:rsidRDefault="00A936C9" w:rsidP="0096024B">
            <w:pPr>
              <w:jc w:val="center"/>
              <w:rPr>
                <w:b/>
                <w:color w:val="000000" w:themeColor="text1"/>
                <w:sz w:val="16"/>
                <w:szCs w:val="16"/>
              </w:rPr>
            </w:pPr>
            <w:r w:rsidRPr="00A07D9A">
              <w:rPr>
                <w:b/>
                <w:color w:val="000000" w:themeColor="text1"/>
                <w:sz w:val="16"/>
                <w:szCs w:val="16"/>
              </w:rPr>
              <w:t>Quién realiza la actuación correspondiente</w:t>
            </w:r>
          </w:p>
        </w:tc>
        <w:tc>
          <w:tcPr>
            <w:tcW w:w="7705" w:type="dxa"/>
            <w:shd w:val="clear" w:color="auto" w:fill="BFBFBF" w:themeFill="background1" w:themeFillShade="BF"/>
            <w:vAlign w:val="center"/>
          </w:tcPr>
          <w:p w14:paraId="1D1158B3" w14:textId="77777777" w:rsidR="00A936C9" w:rsidRPr="00A07D9A" w:rsidRDefault="00A936C9" w:rsidP="00FA61D6">
            <w:pPr>
              <w:jc w:val="center"/>
              <w:rPr>
                <w:b/>
                <w:color w:val="000000" w:themeColor="text1"/>
                <w:sz w:val="16"/>
                <w:szCs w:val="16"/>
              </w:rPr>
            </w:pPr>
            <w:r w:rsidRPr="00A07D9A">
              <w:rPr>
                <w:b/>
                <w:color w:val="000000" w:themeColor="text1"/>
                <w:sz w:val="16"/>
                <w:szCs w:val="16"/>
              </w:rPr>
              <w:t>Plazo (días)</w:t>
            </w:r>
          </w:p>
        </w:tc>
      </w:tr>
      <w:tr w:rsidR="00A07D9A" w:rsidRPr="00A07D9A" w14:paraId="48B32B2B" w14:textId="77777777" w:rsidTr="002825C7">
        <w:tc>
          <w:tcPr>
            <w:tcW w:w="0" w:type="auto"/>
            <w:vAlign w:val="center"/>
          </w:tcPr>
          <w:p w14:paraId="2F341887" w14:textId="78684EA7" w:rsidR="00A936C9" w:rsidRPr="00A07D9A" w:rsidRDefault="00A936C9" w:rsidP="0096024B">
            <w:pPr>
              <w:rPr>
                <w:color w:val="000000" w:themeColor="text1"/>
                <w:sz w:val="16"/>
                <w:szCs w:val="16"/>
              </w:rPr>
            </w:pPr>
            <w:r w:rsidRPr="00A07D9A">
              <w:rPr>
                <w:color w:val="000000" w:themeColor="text1"/>
                <w:sz w:val="16"/>
                <w:szCs w:val="16"/>
              </w:rPr>
              <w:t>Presentación al IFT del Aviso de Concentración</w:t>
            </w:r>
          </w:p>
        </w:tc>
        <w:tc>
          <w:tcPr>
            <w:tcW w:w="2404" w:type="dxa"/>
            <w:vAlign w:val="center"/>
          </w:tcPr>
          <w:p w14:paraId="4A150AF1" w14:textId="77777777" w:rsidR="00A936C9" w:rsidRPr="00A07D9A" w:rsidRDefault="008A07CB" w:rsidP="0096024B">
            <w:pPr>
              <w:jc w:val="center"/>
              <w:rPr>
                <w:color w:val="000000" w:themeColor="text1"/>
                <w:sz w:val="16"/>
                <w:szCs w:val="16"/>
              </w:rPr>
            </w:pPr>
            <w:r w:rsidRPr="00A07D9A">
              <w:rPr>
                <w:color w:val="000000" w:themeColor="text1"/>
                <w:sz w:val="16"/>
                <w:szCs w:val="16"/>
              </w:rPr>
              <w:t>agentes económicos</w:t>
            </w:r>
            <w:r w:rsidR="00A936C9" w:rsidRPr="00A07D9A">
              <w:rPr>
                <w:color w:val="000000" w:themeColor="text1"/>
                <w:sz w:val="16"/>
                <w:szCs w:val="16"/>
              </w:rPr>
              <w:t xml:space="preserve"> involucrados</w:t>
            </w:r>
          </w:p>
        </w:tc>
        <w:tc>
          <w:tcPr>
            <w:tcW w:w="7705" w:type="dxa"/>
            <w:vAlign w:val="center"/>
          </w:tcPr>
          <w:p w14:paraId="245194BF" w14:textId="77777777" w:rsidR="00A936C9" w:rsidRPr="00A07D9A" w:rsidRDefault="00A936C9" w:rsidP="0096024B">
            <w:pPr>
              <w:jc w:val="center"/>
              <w:rPr>
                <w:color w:val="000000" w:themeColor="text1"/>
                <w:sz w:val="16"/>
                <w:szCs w:val="16"/>
              </w:rPr>
            </w:pPr>
            <w:r w:rsidRPr="00A07D9A">
              <w:rPr>
                <w:color w:val="000000" w:themeColor="text1"/>
                <w:sz w:val="16"/>
                <w:szCs w:val="16"/>
              </w:rPr>
              <w:t>10 días</w:t>
            </w:r>
          </w:p>
          <w:p w14:paraId="68C42B04" w14:textId="77777777" w:rsidR="00A936C9" w:rsidRPr="00A07D9A" w:rsidRDefault="00A936C9" w:rsidP="0096024B">
            <w:pPr>
              <w:rPr>
                <w:color w:val="000000" w:themeColor="text1"/>
                <w:sz w:val="16"/>
                <w:szCs w:val="16"/>
              </w:rPr>
            </w:pPr>
            <w:r w:rsidRPr="00A07D9A">
              <w:rPr>
                <w:color w:val="000000" w:themeColor="text1"/>
                <w:sz w:val="16"/>
                <w:szCs w:val="16"/>
              </w:rPr>
              <w:t>Contados a partir del día siguiente a aquel en que se realice la concentración.</w:t>
            </w:r>
          </w:p>
        </w:tc>
      </w:tr>
    </w:tbl>
    <w:p w14:paraId="75006205" w14:textId="77777777" w:rsidR="00B2449A" w:rsidRPr="00A07D9A" w:rsidRDefault="00B2449A" w:rsidP="00B2449A">
      <w:pPr>
        <w:jc w:val="center"/>
        <w:rPr>
          <w:b/>
          <w:color w:val="000000" w:themeColor="text1"/>
          <w:sz w:val="16"/>
          <w:szCs w:val="16"/>
        </w:rPr>
      </w:pPr>
      <w:r w:rsidRPr="00A07D9A">
        <w:rPr>
          <w:b/>
          <w:color w:val="000000" w:themeColor="text1"/>
          <w:sz w:val="16"/>
          <w:szCs w:val="16"/>
        </w:rPr>
        <w:t>Primer procedimiento.</w:t>
      </w:r>
    </w:p>
    <w:p w14:paraId="2ABD55AD" w14:textId="77777777" w:rsidR="00B2449A" w:rsidRPr="00A07D9A" w:rsidRDefault="00B2449A" w:rsidP="00B2449A">
      <w:pPr>
        <w:jc w:val="center"/>
        <w:rPr>
          <w:color w:val="000000" w:themeColor="text1"/>
          <w:sz w:val="16"/>
          <w:szCs w:val="16"/>
          <w:u w:val="single"/>
        </w:rPr>
      </w:pPr>
      <w:r w:rsidRPr="00A07D9A">
        <w:rPr>
          <w:color w:val="000000" w:themeColor="text1"/>
          <w:sz w:val="16"/>
          <w:szCs w:val="16"/>
          <w:u w:val="single"/>
        </w:rPr>
        <w:t>Procedimiento administrativo a efecto de tener por cumplidos los requisitos</w:t>
      </w:r>
    </w:p>
    <w:p w14:paraId="2CF62B41" w14:textId="10A2864E" w:rsidR="00A936C9" w:rsidRPr="00A07D9A" w:rsidRDefault="00B2449A" w:rsidP="00B2449A">
      <w:pPr>
        <w:jc w:val="center"/>
        <w:rPr>
          <w:color w:val="000000" w:themeColor="text1"/>
        </w:rPr>
      </w:pPr>
      <w:r w:rsidRPr="00A07D9A">
        <w:rPr>
          <w:color w:val="000000" w:themeColor="text1"/>
          <w:sz w:val="16"/>
          <w:szCs w:val="16"/>
          <w:u w:val="single"/>
        </w:rPr>
        <w:t>a. a d. del artículo Noveno Transitorio</w:t>
      </w:r>
    </w:p>
    <w:tbl>
      <w:tblPr>
        <w:tblStyle w:val="Tablaconcuadrcula"/>
        <w:tblW w:w="0" w:type="auto"/>
        <w:tblLook w:val="04A0" w:firstRow="1" w:lastRow="0" w:firstColumn="1" w:lastColumn="0" w:noHBand="0" w:noVBand="1"/>
        <w:tblCaption w:val="Tabla 5"/>
        <w:tblDescription w:val="Plazos de Aviso de Concentración"/>
      </w:tblPr>
      <w:tblGrid>
        <w:gridCol w:w="2887"/>
        <w:gridCol w:w="2404"/>
        <w:gridCol w:w="7705"/>
      </w:tblGrid>
      <w:tr w:rsidR="00A07D9A" w:rsidRPr="00A07D9A" w14:paraId="3A94D13C" w14:textId="77777777" w:rsidTr="00B2449A">
        <w:trPr>
          <w:tblHeader/>
        </w:trPr>
        <w:tc>
          <w:tcPr>
            <w:tcW w:w="0" w:type="auto"/>
            <w:vAlign w:val="center"/>
          </w:tcPr>
          <w:p w14:paraId="6AD54580" w14:textId="77777777" w:rsidR="008C0D6D" w:rsidRPr="00A07D9A" w:rsidRDefault="008C0D6D" w:rsidP="001C2A83">
            <w:pPr>
              <w:rPr>
                <w:color w:val="000000" w:themeColor="text1"/>
                <w:sz w:val="16"/>
                <w:szCs w:val="16"/>
              </w:rPr>
            </w:pPr>
            <w:r w:rsidRPr="00A07D9A">
              <w:rPr>
                <w:color w:val="000000" w:themeColor="text1"/>
                <w:sz w:val="16"/>
                <w:szCs w:val="16"/>
              </w:rPr>
              <w:t>Emisión del Acuerdo de prevención</w:t>
            </w:r>
          </w:p>
          <w:p w14:paraId="12D81FDC" w14:textId="77777777" w:rsidR="008C0D6D" w:rsidRPr="00A07D9A" w:rsidRDefault="008C0D6D" w:rsidP="001C2A83">
            <w:pPr>
              <w:rPr>
                <w:color w:val="000000" w:themeColor="text1"/>
                <w:sz w:val="16"/>
                <w:szCs w:val="16"/>
              </w:rPr>
            </w:pPr>
          </w:p>
        </w:tc>
        <w:tc>
          <w:tcPr>
            <w:tcW w:w="2404" w:type="dxa"/>
            <w:vAlign w:val="center"/>
          </w:tcPr>
          <w:p w14:paraId="084B052E" w14:textId="77777777" w:rsidR="008C0D6D" w:rsidRPr="00A07D9A" w:rsidRDefault="008C0D6D" w:rsidP="001C2A83">
            <w:pPr>
              <w:jc w:val="center"/>
              <w:rPr>
                <w:color w:val="000000" w:themeColor="text1"/>
                <w:sz w:val="16"/>
                <w:szCs w:val="16"/>
              </w:rPr>
            </w:pPr>
            <w:r w:rsidRPr="00A07D9A">
              <w:rPr>
                <w:color w:val="000000" w:themeColor="text1"/>
                <w:sz w:val="16"/>
                <w:szCs w:val="16"/>
              </w:rPr>
              <w:t>IFT</w:t>
            </w:r>
          </w:p>
        </w:tc>
        <w:tc>
          <w:tcPr>
            <w:tcW w:w="7705" w:type="dxa"/>
            <w:vAlign w:val="center"/>
          </w:tcPr>
          <w:p w14:paraId="41126969" w14:textId="77777777" w:rsidR="008C0D6D" w:rsidRPr="00A07D9A" w:rsidRDefault="008C0D6D" w:rsidP="001C2A83">
            <w:pPr>
              <w:jc w:val="center"/>
              <w:rPr>
                <w:color w:val="000000" w:themeColor="text1"/>
                <w:sz w:val="16"/>
                <w:szCs w:val="16"/>
              </w:rPr>
            </w:pPr>
            <w:r w:rsidRPr="00A07D9A">
              <w:rPr>
                <w:color w:val="000000" w:themeColor="text1"/>
                <w:sz w:val="16"/>
                <w:szCs w:val="16"/>
              </w:rPr>
              <w:t>10 días (aproximadamente)</w:t>
            </w:r>
          </w:p>
          <w:p w14:paraId="7A62C7B8" w14:textId="77777777" w:rsidR="008C0D6D" w:rsidRPr="00A07D9A" w:rsidRDefault="008C0D6D" w:rsidP="001C2A83">
            <w:pPr>
              <w:rPr>
                <w:color w:val="000000" w:themeColor="text1"/>
                <w:sz w:val="16"/>
                <w:szCs w:val="16"/>
              </w:rPr>
            </w:pPr>
            <w:r w:rsidRPr="00A07D9A">
              <w:rPr>
                <w:color w:val="000000" w:themeColor="text1"/>
                <w:sz w:val="16"/>
                <w:szCs w:val="16"/>
              </w:rPr>
              <w:t>Contados a partir del día siguiente a la presentación del Aviso de Concentración.</w:t>
            </w:r>
          </w:p>
        </w:tc>
      </w:tr>
      <w:tr w:rsidR="00A07D9A" w:rsidRPr="00A07D9A" w14:paraId="64A758C3" w14:textId="77777777" w:rsidTr="001C2A83">
        <w:tc>
          <w:tcPr>
            <w:tcW w:w="0" w:type="auto"/>
            <w:vAlign w:val="center"/>
          </w:tcPr>
          <w:p w14:paraId="7A2BBA25" w14:textId="77777777" w:rsidR="008C0D6D" w:rsidRPr="00A07D9A" w:rsidRDefault="008C0D6D" w:rsidP="001C2A83">
            <w:pPr>
              <w:rPr>
                <w:color w:val="000000" w:themeColor="text1"/>
                <w:sz w:val="16"/>
                <w:szCs w:val="16"/>
              </w:rPr>
            </w:pPr>
            <w:r w:rsidRPr="00A07D9A">
              <w:rPr>
                <w:color w:val="000000" w:themeColor="text1"/>
                <w:sz w:val="16"/>
                <w:szCs w:val="16"/>
              </w:rPr>
              <w:t>Desahogo del Acuerdo de prevención</w:t>
            </w:r>
          </w:p>
        </w:tc>
        <w:tc>
          <w:tcPr>
            <w:tcW w:w="2404" w:type="dxa"/>
            <w:vAlign w:val="center"/>
          </w:tcPr>
          <w:p w14:paraId="7A9104FD" w14:textId="77777777" w:rsidR="008C0D6D" w:rsidRPr="00A07D9A" w:rsidRDefault="008C0D6D" w:rsidP="001C2A83">
            <w:pPr>
              <w:jc w:val="center"/>
              <w:rPr>
                <w:color w:val="000000" w:themeColor="text1"/>
                <w:sz w:val="16"/>
                <w:szCs w:val="16"/>
              </w:rPr>
            </w:pPr>
            <w:r w:rsidRPr="00A07D9A">
              <w:rPr>
                <w:color w:val="000000" w:themeColor="text1"/>
                <w:sz w:val="16"/>
                <w:szCs w:val="16"/>
              </w:rPr>
              <w:t>agentes económicos involucrados</w:t>
            </w:r>
          </w:p>
        </w:tc>
        <w:tc>
          <w:tcPr>
            <w:tcW w:w="7705" w:type="dxa"/>
            <w:vAlign w:val="center"/>
          </w:tcPr>
          <w:p w14:paraId="28795F50" w14:textId="77777777" w:rsidR="008C0D6D" w:rsidRPr="00A07D9A" w:rsidRDefault="008C0D6D" w:rsidP="001C2A83">
            <w:pPr>
              <w:jc w:val="center"/>
              <w:rPr>
                <w:color w:val="000000" w:themeColor="text1"/>
                <w:sz w:val="16"/>
                <w:szCs w:val="16"/>
              </w:rPr>
            </w:pPr>
            <w:r w:rsidRPr="00A07D9A">
              <w:rPr>
                <w:color w:val="000000" w:themeColor="text1"/>
                <w:sz w:val="16"/>
                <w:szCs w:val="16"/>
              </w:rPr>
              <w:t>10 días (aproximadamente)</w:t>
            </w:r>
          </w:p>
          <w:p w14:paraId="534A4E36" w14:textId="77777777" w:rsidR="008C0D6D" w:rsidRPr="00A07D9A" w:rsidRDefault="008C0D6D" w:rsidP="001C2A83">
            <w:pPr>
              <w:rPr>
                <w:color w:val="000000" w:themeColor="text1"/>
                <w:sz w:val="16"/>
                <w:szCs w:val="16"/>
              </w:rPr>
            </w:pPr>
            <w:r w:rsidRPr="00A07D9A">
              <w:rPr>
                <w:color w:val="000000" w:themeColor="text1"/>
                <w:sz w:val="16"/>
                <w:szCs w:val="16"/>
              </w:rPr>
              <w:t>Contados a partir del día siguiente en que surta efectos la notificación.</w:t>
            </w:r>
          </w:p>
        </w:tc>
      </w:tr>
      <w:tr w:rsidR="00A07D9A" w:rsidRPr="00A07D9A" w14:paraId="02F1E003" w14:textId="77777777" w:rsidTr="001C2A83">
        <w:tc>
          <w:tcPr>
            <w:tcW w:w="0" w:type="auto"/>
            <w:vAlign w:val="center"/>
          </w:tcPr>
          <w:p w14:paraId="0305274E" w14:textId="77777777" w:rsidR="008C0D6D" w:rsidRPr="00A07D9A" w:rsidRDefault="008C0D6D" w:rsidP="001C2A83">
            <w:pPr>
              <w:rPr>
                <w:color w:val="000000" w:themeColor="text1"/>
                <w:sz w:val="16"/>
                <w:szCs w:val="16"/>
              </w:rPr>
            </w:pPr>
            <w:r w:rsidRPr="00A07D9A">
              <w:rPr>
                <w:color w:val="000000" w:themeColor="text1"/>
                <w:sz w:val="16"/>
                <w:szCs w:val="16"/>
              </w:rPr>
              <w:t>Emisión del Acuerdo de admisión</w:t>
            </w:r>
          </w:p>
        </w:tc>
        <w:tc>
          <w:tcPr>
            <w:tcW w:w="2404" w:type="dxa"/>
            <w:vAlign w:val="center"/>
          </w:tcPr>
          <w:p w14:paraId="77C1957A" w14:textId="77777777" w:rsidR="008C0D6D" w:rsidRPr="00A07D9A" w:rsidRDefault="008C0D6D" w:rsidP="001C2A83">
            <w:pPr>
              <w:jc w:val="center"/>
              <w:rPr>
                <w:color w:val="000000" w:themeColor="text1"/>
                <w:sz w:val="16"/>
                <w:szCs w:val="16"/>
              </w:rPr>
            </w:pPr>
            <w:r w:rsidRPr="00A07D9A">
              <w:rPr>
                <w:color w:val="000000" w:themeColor="text1"/>
                <w:sz w:val="16"/>
                <w:szCs w:val="16"/>
              </w:rPr>
              <w:t>IFT</w:t>
            </w:r>
          </w:p>
        </w:tc>
        <w:tc>
          <w:tcPr>
            <w:tcW w:w="7705" w:type="dxa"/>
            <w:vAlign w:val="center"/>
          </w:tcPr>
          <w:p w14:paraId="589067BA" w14:textId="77777777" w:rsidR="008C0D6D" w:rsidRPr="00A07D9A" w:rsidRDefault="008C0D6D" w:rsidP="001C2A83">
            <w:pPr>
              <w:jc w:val="center"/>
              <w:rPr>
                <w:color w:val="000000" w:themeColor="text1"/>
                <w:sz w:val="16"/>
                <w:szCs w:val="16"/>
              </w:rPr>
            </w:pPr>
            <w:r w:rsidRPr="00A07D9A">
              <w:rPr>
                <w:color w:val="000000" w:themeColor="text1"/>
                <w:sz w:val="16"/>
                <w:szCs w:val="16"/>
              </w:rPr>
              <w:t>10 días (aproximadamente)</w:t>
            </w:r>
          </w:p>
          <w:p w14:paraId="36E82576" w14:textId="77777777" w:rsidR="008C0D6D" w:rsidRPr="00A07D9A" w:rsidRDefault="008C0D6D" w:rsidP="001C2A83">
            <w:pPr>
              <w:rPr>
                <w:color w:val="000000" w:themeColor="text1"/>
                <w:sz w:val="16"/>
                <w:szCs w:val="16"/>
              </w:rPr>
            </w:pPr>
            <w:r w:rsidRPr="00A07D9A">
              <w:rPr>
                <w:color w:val="000000" w:themeColor="text1"/>
                <w:sz w:val="16"/>
                <w:szCs w:val="16"/>
              </w:rPr>
              <w:t>Contados a partir del día siguiente a la presentación del Aviso de Concentración o, en su caso, contados a partir del desahogo del Acuerdo de prevención o su prórroga.</w:t>
            </w:r>
          </w:p>
        </w:tc>
      </w:tr>
      <w:tr w:rsidR="00A07D9A" w:rsidRPr="00A07D9A" w14:paraId="36346519" w14:textId="77777777" w:rsidTr="001C2A83">
        <w:tc>
          <w:tcPr>
            <w:tcW w:w="0" w:type="auto"/>
            <w:vAlign w:val="center"/>
          </w:tcPr>
          <w:p w14:paraId="142B72CA" w14:textId="77777777" w:rsidR="008C0D6D" w:rsidRPr="00A07D9A" w:rsidRDefault="008C0D6D" w:rsidP="001C2A83">
            <w:pPr>
              <w:rPr>
                <w:color w:val="000000" w:themeColor="text1"/>
                <w:sz w:val="16"/>
                <w:szCs w:val="16"/>
              </w:rPr>
            </w:pPr>
            <w:r w:rsidRPr="00A07D9A">
              <w:rPr>
                <w:color w:val="000000" w:themeColor="text1"/>
                <w:sz w:val="16"/>
                <w:szCs w:val="16"/>
              </w:rPr>
              <w:t xml:space="preserve">Emisión del Acuerdo de </w:t>
            </w:r>
            <w:proofErr w:type="spellStart"/>
            <w:r w:rsidRPr="00A07D9A">
              <w:rPr>
                <w:color w:val="000000" w:themeColor="text1"/>
                <w:sz w:val="16"/>
                <w:szCs w:val="16"/>
              </w:rPr>
              <w:t>desechamiento</w:t>
            </w:r>
            <w:proofErr w:type="spellEnd"/>
            <w:r w:rsidRPr="00A07D9A">
              <w:rPr>
                <w:color w:val="000000" w:themeColor="text1"/>
                <w:sz w:val="16"/>
                <w:szCs w:val="16"/>
              </w:rPr>
              <w:t xml:space="preserve"> de procedimiento</w:t>
            </w:r>
          </w:p>
        </w:tc>
        <w:tc>
          <w:tcPr>
            <w:tcW w:w="2404" w:type="dxa"/>
            <w:vAlign w:val="center"/>
          </w:tcPr>
          <w:p w14:paraId="61DF5C7E" w14:textId="77777777" w:rsidR="008C0D6D" w:rsidRPr="00A07D9A" w:rsidRDefault="008C0D6D" w:rsidP="001C2A83">
            <w:pPr>
              <w:jc w:val="center"/>
              <w:rPr>
                <w:color w:val="000000" w:themeColor="text1"/>
                <w:sz w:val="16"/>
                <w:szCs w:val="16"/>
              </w:rPr>
            </w:pPr>
            <w:r w:rsidRPr="00A07D9A">
              <w:rPr>
                <w:color w:val="000000" w:themeColor="text1"/>
                <w:sz w:val="16"/>
                <w:szCs w:val="16"/>
              </w:rPr>
              <w:t>IFT</w:t>
            </w:r>
          </w:p>
        </w:tc>
        <w:tc>
          <w:tcPr>
            <w:tcW w:w="7705" w:type="dxa"/>
            <w:vAlign w:val="center"/>
          </w:tcPr>
          <w:p w14:paraId="50EC2597" w14:textId="77777777" w:rsidR="008C0D6D" w:rsidRPr="00A07D9A" w:rsidRDefault="008C0D6D" w:rsidP="001C2A83">
            <w:pPr>
              <w:jc w:val="center"/>
              <w:rPr>
                <w:color w:val="000000" w:themeColor="text1"/>
                <w:sz w:val="16"/>
                <w:szCs w:val="16"/>
              </w:rPr>
            </w:pPr>
            <w:r w:rsidRPr="00A07D9A">
              <w:rPr>
                <w:color w:val="000000" w:themeColor="text1"/>
                <w:sz w:val="16"/>
                <w:szCs w:val="16"/>
              </w:rPr>
              <w:t>10 días</w:t>
            </w:r>
          </w:p>
          <w:p w14:paraId="0E6AE734" w14:textId="77777777" w:rsidR="008C0D6D" w:rsidRPr="00A07D9A" w:rsidRDefault="008C0D6D" w:rsidP="001C2A83">
            <w:pPr>
              <w:rPr>
                <w:color w:val="000000" w:themeColor="text1"/>
                <w:sz w:val="16"/>
                <w:szCs w:val="16"/>
              </w:rPr>
            </w:pPr>
            <w:r w:rsidRPr="00A07D9A">
              <w:rPr>
                <w:color w:val="000000" w:themeColor="text1"/>
                <w:sz w:val="16"/>
                <w:szCs w:val="16"/>
              </w:rPr>
              <w:t>Contados a partir del día siguiente a la interposición del Escrito de Aviso de Concentración o, en su caso, contados a partir del día que fenezca el plazo para desahogar el Acuerdo de prevención.</w:t>
            </w:r>
          </w:p>
        </w:tc>
      </w:tr>
      <w:tr w:rsidR="00A07D9A" w:rsidRPr="00A07D9A" w14:paraId="6664833B" w14:textId="77777777" w:rsidTr="001C2A83">
        <w:tc>
          <w:tcPr>
            <w:tcW w:w="0" w:type="auto"/>
            <w:vAlign w:val="center"/>
          </w:tcPr>
          <w:p w14:paraId="13173432" w14:textId="77777777" w:rsidR="008C0D6D" w:rsidRPr="00A07D9A" w:rsidRDefault="008C0D6D" w:rsidP="001C2A83">
            <w:pPr>
              <w:rPr>
                <w:color w:val="000000" w:themeColor="text1"/>
                <w:sz w:val="16"/>
                <w:szCs w:val="16"/>
              </w:rPr>
            </w:pPr>
            <w:r w:rsidRPr="00A07D9A">
              <w:rPr>
                <w:color w:val="000000" w:themeColor="text1"/>
                <w:sz w:val="16"/>
                <w:szCs w:val="16"/>
              </w:rPr>
              <w:t>Emisión de Requerimientos de información a terceros</w:t>
            </w:r>
          </w:p>
        </w:tc>
        <w:tc>
          <w:tcPr>
            <w:tcW w:w="2404" w:type="dxa"/>
            <w:vAlign w:val="center"/>
          </w:tcPr>
          <w:p w14:paraId="7C3A19E8" w14:textId="77777777" w:rsidR="008C0D6D" w:rsidRPr="00A07D9A" w:rsidRDefault="008C0D6D" w:rsidP="001C2A83">
            <w:pPr>
              <w:jc w:val="center"/>
              <w:rPr>
                <w:color w:val="000000" w:themeColor="text1"/>
                <w:sz w:val="16"/>
                <w:szCs w:val="16"/>
              </w:rPr>
            </w:pPr>
            <w:r w:rsidRPr="00A07D9A">
              <w:rPr>
                <w:color w:val="000000" w:themeColor="text1"/>
                <w:sz w:val="16"/>
                <w:szCs w:val="16"/>
              </w:rPr>
              <w:t>IFT</w:t>
            </w:r>
          </w:p>
        </w:tc>
        <w:tc>
          <w:tcPr>
            <w:tcW w:w="7705" w:type="dxa"/>
            <w:vAlign w:val="center"/>
          </w:tcPr>
          <w:p w14:paraId="5C00DEE1" w14:textId="77777777" w:rsidR="008C0D6D" w:rsidRPr="00A07D9A" w:rsidRDefault="008C0D6D" w:rsidP="001C2A83">
            <w:pPr>
              <w:jc w:val="center"/>
              <w:rPr>
                <w:color w:val="000000" w:themeColor="text1"/>
                <w:sz w:val="16"/>
                <w:szCs w:val="16"/>
              </w:rPr>
            </w:pPr>
            <w:r w:rsidRPr="00A07D9A">
              <w:rPr>
                <w:color w:val="000000" w:themeColor="text1"/>
                <w:sz w:val="16"/>
                <w:szCs w:val="16"/>
              </w:rPr>
              <w:t>En cualquier tiempo</w:t>
            </w:r>
          </w:p>
          <w:p w14:paraId="2873327C" w14:textId="77777777" w:rsidR="008C0D6D" w:rsidRPr="00A07D9A" w:rsidRDefault="008C0D6D" w:rsidP="001C2A83">
            <w:pPr>
              <w:rPr>
                <w:color w:val="000000" w:themeColor="text1"/>
                <w:sz w:val="16"/>
                <w:szCs w:val="16"/>
              </w:rPr>
            </w:pPr>
            <w:r w:rsidRPr="00A07D9A">
              <w:rPr>
                <w:color w:val="000000" w:themeColor="text1"/>
                <w:sz w:val="16"/>
                <w:szCs w:val="16"/>
              </w:rPr>
              <w:t>Durante el transcurso del procedimiento y hasta antes de emitir el Acuerdo de vista del procedimiento.</w:t>
            </w:r>
          </w:p>
        </w:tc>
      </w:tr>
      <w:tr w:rsidR="00A07D9A" w:rsidRPr="00A07D9A" w14:paraId="5A9CC233" w14:textId="77777777" w:rsidTr="001C2A83">
        <w:tc>
          <w:tcPr>
            <w:tcW w:w="0" w:type="auto"/>
            <w:vAlign w:val="center"/>
          </w:tcPr>
          <w:p w14:paraId="390B5383" w14:textId="77777777" w:rsidR="008C0D6D" w:rsidRPr="00A07D9A" w:rsidRDefault="008C0D6D" w:rsidP="001C2A83">
            <w:pPr>
              <w:rPr>
                <w:color w:val="000000" w:themeColor="text1"/>
                <w:sz w:val="16"/>
                <w:szCs w:val="16"/>
              </w:rPr>
            </w:pPr>
            <w:r w:rsidRPr="00A07D9A">
              <w:rPr>
                <w:color w:val="000000" w:themeColor="text1"/>
                <w:sz w:val="16"/>
                <w:szCs w:val="16"/>
              </w:rPr>
              <w:t>Desahogo de pruebas</w:t>
            </w:r>
          </w:p>
        </w:tc>
        <w:tc>
          <w:tcPr>
            <w:tcW w:w="2404" w:type="dxa"/>
            <w:vAlign w:val="center"/>
          </w:tcPr>
          <w:p w14:paraId="028FA3B5" w14:textId="77777777" w:rsidR="008C0D6D" w:rsidRPr="00A07D9A" w:rsidRDefault="008C0D6D" w:rsidP="001C2A83">
            <w:pPr>
              <w:jc w:val="center"/>
              <w:rPr>
                <w:color w:val="000000" w:themeColor="text1"/>
                <w:sz w:val="16"/>
                <w:szCs w:val="16"/>
              </w:rPr>
            </w:pPr>
            <w:r w:rsidRPr="00A07D9A">
              <w:rPr>
                <w:color w:val="000000" w:themeColor="text1"/>
                <w:sz w:val="16"/>
                <w:szCs w:val="16"/>
              </w:rPr>
              <w:t>IFT y agentes económicos involucrados</w:t>
            </w:r>
          </w:p>
        </w:tc>
        <w:tc>
          <w:tcPr>
            <w:tcW w:w="7705" w:type="dxa"/>
            <w:vAlign w:val="center"/>
          </w:tcPr>
          <w:p w14:paraId="5B88056F" w14:textId="77777777" w:rsidR="008C0D6D" w:rsidRPr="00A07D9A" w:rsidRDefault="008C0D6D" w:rsidP="001C2A83">
            <w:pPr>
              <w:jc w:val="center"/>
              <w:rPr>
                <w:color w:val="000000" w:themeColor="text1"/>
                <w:sz w:val="16"/>
                <w:szCs w:val="16"/>
              </w:rPr>
            </w:pPr>
            <w:r w:rsidRPr="00A07D9A">
              <w:rPr>
                <w:color w:val="000000" w:themeColor="text1"/>
                <w:sz w:val="16"/>
                <w:szCs w:val="16"/>
              </w:rPr>
              <w:t>Aproximadamente de tres a quince días</w:t>
            </w:r>
          </w:p>
          <w:p w14:paraId="0C455363" w14:textId="77777777" w:rsidR="008C0D6D" w:rsidRPr="00A07D9A" w:rsidRDefault="008C0D6D" w:rsidP="001C2A83">
            <w:pPr>
              <w:rPr>
                <w:color w:val="000000" w:themeColor="text1"/>
                <w:sz w:val="16"/>
                <w:szCs w:val="16"/>
              </w:rPr>
            </w:pPr>
            <w:r w:rsidRPr="00A07D9A">
              <w:rPr>
                <w:color w:val="000000" w:themeColor="text1"/>
                <w:sz w:val="16"/>
                <w:szCs w:val="16"/>
              </w:rPr>
              <w:lastRenderedPageBreak/>
              <w:t>Contados a partir del día siguiente de la notificación del Acuerdo de admisión.</w:t>
            </w:r>
          </w:p>
        </w:tc>
      </w:tr>
      <w:tr w:rsidR="00A07D9A" w:rsidRPr="00A07D9A" w14:paraId="76783A71" w14:textId="77777777" w:rsidTr="001C2A83">
        <w:tc>
          <w:tcPr>
            <w:tcW w:w="0" w:type="auto"/>
            <w:vAlign w:val="center"/>
          </w:tcPr>
          <w:p w14:paraId="4AD2F212" w14:textId="77777777" w:rsidR="008C0D6D" w:rsidRPr="00A07D9A" w:rsidRDefault="008C0D6D" w:rsidP="001C2A83">
            <w:pPr>
              <w:rPr>
                <w:color w:val="000000" w:themeColor="text1"/>
                <w:sz w:val="16"/>
                <w:szCs w:val="16"/>
              </w:rPr>
            </w:pPr>
            <w:r w:rsidRPr="00A07D9A">
              <w:rPr>
                <w:color w:val="000000" w:themeColor="text1"/>
                <w:sz w:val="16"/>
                <w:szCs w:val="16"/>
              </w:rPr>
              <w:lastRenderedPageBreak/>
              <w:t>Acuerdo de vista del procedimiento</w:t>
            </w:r>
          </w:p>
        </w:tc>
        <w:tc>
          <w:tcPr>
            <w:tcW w:w="2404" w:type="dxa"/>
            <w:vAlign w:val="center"/>
          </w:tcPr>
          <w:p w14:paraId="199D8AB0" w14:textId="77777777" w:rsidR="008C0D6D" w:rsidRPr="00A07D9A" w:rsidRDefault="008C0D6D" w:rsidP="001C2A83">
            <w:pPr>
              <w:jc w:val="center"/>
              <w:rPr>
                <w:color w:val="000000" w:themeColor="text1"/>
                <w:sz w:val="16"/>
                <w:szCs w:val="16"/>
              </w:rPr>
            </w:pPr>
            <w:r w:rsidRPr="00A07D9A">
              <w:rPr>
                <w:color w:val="000000" w:themeColor="text1"/>
                <w:sz w:val="16"/>
                <w:szCs w:val="16"/>
              </w:rPr>
              <w:t>IFT</w:t>
            </w:r>
          </w:p>
        </w:tc>
        <w:tc>
          <w:tcPr>
            <w:tcW w:w="7705" w:type="dxa"/>
            <w:vAlign w:val="center"/>
          </w:tcPr>
          <w:p w14:paraId="4BDE35DD" w14:textId="77777777" w:rsidR="008C0D6D" w:rsidRPr="00A07D9A" w:rsidRDefault="008C0D6D" w:rsidP="001C2A83">
            <w:pPr>
              <w:jc w:val="center"/>
              <w:rPr>
                <w:color w:val="000000" w:themeColor="text1"/>
                <w:sz w:val="16"/>
                <w:szCs w:val="16"/>
              </w:rPr>
            </w:pPr>
            <w:r w:rsidRPr="00A07D9A">
              <w:rPr>
                <w:color w:val="000000" w:themeColor="text1"/>
                <w:sz w:val="16"/>
                <w:szCs w:val="16"/>
              </w:rPr>
              <w:t>Antes de la emisión de una resolución</w:t>
            </w:r>
          </w:p>
          <w:p w14:paraId="26C53468" w14:textId="77777777" w:rsidR="008C0D6D" w:rsidRPr="00A07D9A" w:rsidRDefault="008C0D6D" w:rsidP="001C2A83">
            <w:pPr>
              <w:rPr>
                <w:color w:val="000000" w:themeColor="text1"/>
                <w:sz w:val="16"/>
                <w:szCs w:val="16"/>
              </w:rPr>
            </w:pPr>
            <w:r w:rsidRPr="00A07D9A">
              <w:rPr>
                <w:color w:val="000000" w:themeColor="text1"/>
                <w:sz w:val="16"/>
                <w:szCs w:val="16"/>
              </w:rPr>
              <w:t>Se dictará una vez de que no existan diligencias o actuaciones pendientes y dentro de los tres meses previstos para resolver el procedimiento.</w:t>
            </w:r>
          </w:p>
        </w:tc>
      </w:tr>
      <w:tr w:rsidR="00A07D9A" w:rsidRPr="00A07D9A" w14:paraId="0BE63CCF" w14:textId="77777777" w:rsidTr="001C2A83">
        <w:tc>
          <w:tcPr>
            <w:tcW w:w="0" w:type="auto"/>
            <w:vAlign w:val="center"/>
          </w:tcPr>
          <w:p w14:paraId="7D66F7E2" w14:textId="77777777" w:rsidR="008C0D6D" w:rsidRPr="00A07D9A" w:rsidRDefault="008C0D6D" w:rsidP="001C2A83">
            <w:pPr>
              <w:rPr>
                <w:color w:val="000000" w:themeColor="text1"/>
                <w:sz w:val="16"/>
                <w:szCs w:val="16"/>
              </w:rPr>
            </w:pPr>
            <w:r w:rsidRPr="00A07D9A">
              <w:rPr>
                <w:color w:val="000000" w:themeColor="text1"/>
                <w:sz w:val="16"/>
                <w:szCs w:val="16"/>
              </w:rPr>
              <w:t>Interposición de Alegatos</w:t>
            </w:r>
          </w:p>
        </w:tc>
        <w:tc>
          <w:tcPr>
            <w:tcW w:w="2404" w:type="dxa"/>
            <w:vAlign w:val="center"/>
          </w:tcPr>
          <w:p w14:paraId="72409C99" w14:textId="77777777" w:rsidR="008C0D6D" w:rsidRPr="00A07D9A" w:rsidRDefault="008C0D6D" w:rsidP="001C2A83">
            <w:pPr>
              <w:jc w:val="center"/>
              <w:rPr>
                <w:color w:val="000000" w:themeColor="text1"/>
                <w:sz w:val="16"/>
                <w:szCs w:val="16"/>
              </w:rPr>
            </w:pPr>
            <w:r w:rsidRPr="00A07D9A">
              <w:rPr>
                <w:color w:val="000000" w:themeColor="text1"/>
                <w:sz w:val="16"/>
                <w:szCs w:val="16"/>
              </w:rPr>
              <w:t>agentes económicos involucrados</w:t>
            </w:r>
          </w:p>
        </w:tc>
        <w:tc>
          <w:tcPr>
            <w:tcW w:w="7705" w:type="dxa"/>
            <w:vAlign w:val="center"/>
          </w:tcPr>
          <w:p w14:paraId="33C49165" w14:textId="77777777" w:rsidR="008C0D6D" w:rsidRPr="00A07D9A" w:rsidRDefault="008C0D6D" w:rsidP="001C2A83">
            <w:pPr>
              <w:jc w:val="center"/>
              <w:rPr>
                <w:color w:val="000000" w:themeColor="text1"/>
                <w:sz w:val="16"/>
                <w:szCs w:val="16"/>
              </w:rPr>
            </w:pPr>
            <w:r w:rsidRPr="00A07D9A">
              <w:rPr>
                <w:color w:val="000000" w:themeColor="text1"/>
                <w:sz w:val="16"/>
                <w:szCs w:val="16"/>
              </w:rPr>
              <w:t>De 5 a 10 días</w:t>
            </w:r>
          </w:p>
          <w:p w14:paraId="170A9441" w14:textId="77777777" w:rsidR="008C0D6D" w:rsidRPr="00A07D9A" w:rsidRDefault="008C0D6D" w:rsidP="001C2A83">
            <w:pPr>
              <w:rPr>
                <w:color w:val="000000" w:themeColor="text1"/>
                <w:sz w:val="16"/>
                <w:szCs w:val="16"/>
              </w:rPr>
            </w:pPr>
            <w:r w:rsidRPr="00A07D9A">
              <w:rPr>
                <w:color w:val="000000" w:themeColor="text1"/>
                <w:sz w:val="16"/>
                <w:szCs w:val="16"/>
              </w:rPr>
              <w:t>Contados a partir del día siguiente a aquél en que surta efectos la notificación del Acuerdo de vista del procedimiento.</w:t>
            </w:r>
          </w:p>
        </w:tc>
      </w:tr>
      <w:tr w:rsidR="00A07D9A" w:rsidRPr="00A07D9A" w14:paraId="4EBD377A" w14:textId="77777777" w:rsidTr="001C2A83">
        <w:tc>
          <w:tcPr>
            <w:tcW w:w="0" w:type="auto"/>
            <w:vAlign w:val="center"/>
          </w:tcPr>
          <w:p w14:paraId="1AB797B6" w14:textId="77777777" w:rsidR="008C0D6D" w:rsidRPr="00A07D9A" w:rsidRDefault="008C0D6D" w:rsidP="001C2A83">
            <w:pPr>
              <w:rPr>
                <w:color w:val="000000" w:themeColor="text1"/>
                <w:sz w:val="16"/>
                <w:szCs w:val="16"/>
              </w:rPr>
            </w:pPr>
            <w:r w:rsidRPr="00A07D9A">
              <w:rPr>
                <w:color w:val="000000" w:themeColor="text1"/>
                <w:sz w:val="16"/>
                <w:szCs w:val="16"/>
              </w:rPr>
              <w:t>Emisión de la resolución del procedimiento administrativo</w:t>
            </w:r>
          </w:p>
        </w:tc>
        <w:tc>
          <w:tcPr>
            <w:tcW w:w="2404" w:type="dxa"/>
            <w:vAlign w:val="center"/>
          </w:tcPr>
          <w:p w14:paraId="1043D1AD" w14:textId="77777777" w:rsidR="008C0D6D" w:rsidRPr="00A07D9A" w:rsidRDefault="008C0D6D" w:rsidP="001C2A83">
            <w:pPr>
              <w:jc w:val="center"/>
              <w:rPr>
                <w:color w:val="000000" w:themeColor="text1"/>
                <w:sz w:val="16"/>
                <w:szCs w:val="16"/>
              </w:rPr>
            </w:pPr>
            <w:r w:rsidRPr="00A07D9A">
              <w:rPr>
                <w:color w:val="000000" w:themeColor="text1"/>
                <w:sz w:val="16"/>
                <w:szCs w:val="16"/>
              </w:rPr>
              <w:t>IFT</w:t>
            </w:r>
          </w:p>
        </w:tc>
        <w:tc>
          <w:tcPr>
            <w:tcW w:w="7705" w:type="dxa"/>
            <w:vAlign w:val="center"/>
          </w:tcPr>
          <w:p w14:paraId="14CF81F0" w14:textId="77777777" w:rsidR="008C0D6D" w:rsidRPr="00A07D9A" w:rsidRDefault="008C0D6D" w:rsidP="001C2A83">
            <w:pPr>
              <w:jc w:val="center"/>
              <w:rPr>
                <w:color w:val="000000" w:themeColor="text1"/>
                <w:sz w:val="16"/>
                <w:szCs w:val="16"/>
              </w:rPr>
            </w:pPr>
            <w:r w:rsidRPr="00A07D9A">
              <w:rPr>
                <w:color w:val="000000" w:themeColor="text1"/>
                <w:sz w:val="16"/>
                <w:szCs w:val="16"/>
              </w:rPr>
              <w:t>3 meses</w:t>
            </w:r>
          </w:p>
          <w:p w14:paraId="77B88E7B" w14:textId="77777777" w:rsidR="008C0D6D" w:rsidRPr="00A07D9A" w:rsidRDefault="008C0D6D" w:rsidP="001C2A83">
            <w:pPr>
              <w:rPr>
                <w:color w:val="000000" w:themeColor="text1"/>
                <w:sz w:val="16"/>
                <w:szCs w:val="16"/>
              </w:rPr>
            </w:pPr>
            <w:r w:rsidRPr="00A07D9A">
              <w:rPr>
                <w:color w:val="000000" w:themeColor="text1"/>
                <w:sz w:val="16"/>
                <w:szCs w:val="16"/>
              </w:rPr>
              <w:t>Contados a partir de la presentación del Escrito de Aviso de Concentración.</w:t>
            </w:r>
          </w:p>
          <w:p w14:paraId="7E3EEAA8" w14:textId="77777777" w:rsidR="008C0D6D" w:rsidRPr="00A07D9A" w:rsidRDefault="008C0D6D" w:rsidP="001C2A83">
            <w:pPr>
              <w:rPr>
                <w:color w:val="000000" w:themeColor="text1"/>
                <w:sz w:val="16"/>
                <w:szCs w:val="16"/>
              </w:rPr>
            </w:pPr>
            <w:r w:rsidRPr="00A07D9A">
              <w:rPr>
                <w:color w:val="000000" w:themeColor="text1"/>
                <w:sz w:val="16"/>
                <w:szCs w:val="16"/>
              </w:rPr>
              <w:t>El plazo se suspende durante el lapso que transcurre entre la notificación del Acuerdo de Prevención y su desahogo.</w:t>
            </w:r>
          </w:p>
        </w:tc>
      </w:tr>
      <w:tr w:rsidR="00A07D9A" w:rsidRPr="00A07D9A" w14:paraId="182A3901" w14:textId="77777777" w:rsidTr="001C2A83">
        <w:tc>
          <w:tcPr>
            <w:tcW w:w="0" w:type="auto"/>
            <w:vAlign w:val="center"/>
          </w:tcPr>
          <w:p w14:paraId="4C061451" w14:textId="77777777" w:rsidR="008C0D6D" w:rsidRPr="00A07D9A" w:rsidRDefault="008C0D6D" w:rsidP="001C2A83">
            <w:pPr>
              <w:rPr>
                <w:color w:val="000000" w:themeColor="text1"/>
                <w:sz w:val="16"/>
                <w:szCs w:val="16"/>
              </w:rPr>
            </w:pPr>
            <w:r w:rsidRPr="00A07D9A">
              <w:rPr>
                <w:color w:val="000000" w:themeColor="text1"/>
                <w:sz w:val="16"/>
                <w:szCs w:val="16"/>
              </w:rPr>
              <w:t>Emisión de la versión pública de la resolución</w:t>
            </w:r>
          </w:p>
          <w:p w14:paraId="20464ED4" w14:textId="77777777" w:rsidR="008C0D6D" w:rsidRPr="00A07D9A" w:rsidRDefault="008C0D6D" w:rsidP="001C2A83">
            <w:pPr>
              <w:rPr>
                <w:color w:val="000000" w:themeColor="text1"/>
                <w:sz w:val="16"/>
                <w:szCs w:val="16"/>
              </w:rPr>
            </w:pPr>
          </w:p>
        </w:tc>
        <w:tc>
          <w:tcPr>
            <w:tcW w:w="2404" w:type="dxa"/>
            <w:vAlign w:val="center"/>
          </w:tcPr>
          <w:p w14:paraId="444AE7F8" w14:textId="77777777" w:rsidR="008C0D6D" w:rsidRPr="00A07D9A" w:rsidRDefault="008C0D6D" w:rsidP="001C2A83">
            <w:pPr>
              <w:jc w:val="center"/>
              <w:rPr>
                <w:color w:val="000000" w:themeColor="text1"/>
                <w:sz w:val="16"/>
                <w:szCs w:val="16"/>
              </w:rPr>
            </w:pPr>
            <w:r w:rsidRPr="00A07D9A">
              <w:rPr>
                <w:color w:val="000000" w:themeColor="text1"/>
                <w:sz w:val="16"/>
                <w:szCs w:val="16"/>
              </w:rPr>
              <w:t>IFT</w:t>
            </w:r>
          </w:p>
        </w:tc>
        <w:tc>
          <w:tcPr>
            <w:tcW w:w="7705" w:type="dxa"/>
            <w:vAlign w:val="center"/>
          </w:tcPr>
          <w:p w14:paraId="08B1DD7A" w14:textId="77777777" w:rsidR="008C0D6D" w:rsidRPr="00A07D9A" w:rsidRDefault="008C0D6D" w:rsidP="001C2A83">
            <w:pPr>
              <w:jc w:val="center"/>
              <w:rPr>
                <w:color w:val="000000" w:themeColor="text1"/>
                <w:sz w:val="16"/>
                <w:szCs w:val="16"/>
              </w:rPr>
            </w:pPr>
            <w:r w:rsidRPr="00A07D9A">
              <w:rPr>
                <w:color w:val="000000" w:themeColor="text1"/>
                <w:sz w:val="16"/>
                <w:szCs w:val="16"/>
              </w:rPr>
              <w:t>15 días</w:t>
            </w:r>
          </w:p>
          <w:p w14:paraId="2A8A56A1" w14:textId="77777777" w:rsidR="008C0D6D" w:rsidRPr="00A07D9A" w:rsidRDefault="008C0D6D" w:rsidP="001C2A83">
            <w:pPr>
              <w:rPr>
                <w:color w:val="000000" w:themeColor="text1"/>
                <w:sz w:val="16"/>
                <w:szCs w:val="16"/>
              </w:rPr>
            </w:pPr>
            <w:r w:rsidRPr="00A07D9A">
              <w:rPr>
                <w:color w:val="000000" w:themeColor="text1"/>
                <w:sz w:val="16"/>
                <w:szCs w:val="16"/>
              </w:rPr>
              <w:t>Contados a partir del día siguiente a aquél en que surta efectos la notificación de la resolución.</w:t>
            </w:r>
          </w:p>
        </w:tc>
      </w:tr>
    </w:tbl>
    <w:p w14:paraId="7113CFB0" w14:textId="77777777" w:rsidR="00B2449A" w:rsidRPr="00A07D9A" w:rsidRDefault="00B2449A" w:rsidP="00B2449A">
      <w:pPr>
        <w:jc w:val="center"/>
        <w:rPr>
          <w:b/>
          <w:color w:val="000000" w:themeColor="text1"/>
          <w:sz w:val="16"/>
          <w:szCs w:val="16"/>
        </w:rPr>
      </w:pPr>
      <w:r w:rsidRPr="00A07D9A">
        <w:rPr>
          <w:b/>
          <w:color w:val="000000" w:themeColor="text1"/>
          <w:sz w:val="16"/>
          <w:szCs w:val="16"/>
        </w:rPr>
        <w:t>Segundo procedimiento.</w:t>
      </w:r>
    </w:p>
    <w:p w14:paraId="13533A4B" w14:textId="73271B65" w:rsidR="00B2449A" w:rsidRPr="00A07D9A" w:rsidRDefault="00B2449A" w:rsidP="00B2449A">
      <w:pPr>
        <w:jc w:val="center"/>
        <w:rPr>
          <w:color w:val="000000" w:themeColor="text1"/>
          <w:sz w:val="16"/>
          <w:szCs w:val="16"/>
          <w:u w:val="single"/>
        </w:rPr>
      </w:pPr>
      <w:r w:rsidRPr="00A07D9A">
        <w:rPr>
          <w:color w:val="000000" w:themeColor="text1"/>
          <w:sz w:val="16"/>
          <w:szCs w:val="16"/>
          <w:u w:val="single"/>
        </w:rPr>
        <w:t>Investigación por parte de la Autoridad Investigadora</w:t>
      </w:r>
    </w:p>
    <w:tbl>
      <w:tblPr>
        <w:tblStyle w:val="Tablaconcuadrcula"/>
        <w:tblW w:w="13036" w:type="dxa"/>
        <w:tblLook w:val="04A0" w:firstRow="1" w:lastRow="0" w:firstColumn="1" w:lastColumn="0" w:noHBand="0" w:noVBand="1"/>
        <w:tblCaption w:val="Tabla 5"/>
        <w:tblDescription w:val="Plazos de Aviso de Concentración"/>
      </w:tblPr>
      <w:tblGrid>
        <w:gridCol w:w="2830"/>
        <w:gridCol w:w="2410"/>
        <w:gridCol w:w="7796"/>
      </w:tblGrid>
      <w:tr w:rsidR="00B2449A" w:rsidRPr="00A07D9A" w14:paraId="50911627" w14:textId="77777777" w:rsidTr="00B2449A">
        <w:trPr>
          <w:tblHeader/>
        </w:trPr>
        <w:tc>
          <w:tcPr>
            <w:tcW w:w="2830" w:type="dxa"/>
            <w:vAlign w:val="center"/>
          </w:tcPr>
          <w:p w14:paraId="68CE0C09" w14:textId="27DE5B1A" w:rsidR="00B2449A" w:rsidRPr="00A07D9A" w:rsidRDefault="00B2449A" w:rsidP="00B2449A">
            <w:pPr>
              <w:rPr>
                <w:color w:val="000000" w:themeColor="text1"/>
                <w:sz w:val="16"/>
                <w:szCs w:val="16"/>
              </w:rPr>
            </w:pPr>
            <w:r w:rsidRPr="00A07D9A">
              <w:rPr>
                <w:color w:val="000000" w:themeColor="text1"/>
                <w:sz w:val="16"/>
                <w:szCs w:val="16"/>
              </w:rPr>
              <w:t>Investigación</w:t>
            </w:r>
          </w:p>
        </w:tc>
        <w:tc>
          <w:tcPr>
            <w:tcW w:w="2410" w:type="dxa"/>
            <w:vAlign w:val="center"/>
          </w:tcPr>
          <w:p w14:paraId="43B094A7" w14:textId="1859B988" w:rsidR="00B2449A" w:rsidRPr="00A07D9A" w:rsidRDefault="00B2449A" w:rsidP="00B2449A">
            <w:pPr>
              <w:jc w:val="center"/>
              <w:rPr>
                <w:color w:val="000000" w:themeColor="text1"/>
                <w:sz w:val="16"/>
                <w:szCs w:val="16"/>
              </w:rPr>
            </w:pPr>
            <w:r w:rsidRPr="00A07D9A">
              <w:rPr>
                <w:color w:val="000000" w:themeColor="text1"/>
                <w:sz w:val="16"/>
                <w:szCs w:val="16"/>
              </w:rPr>
              <w:t>Autoridad Investigadora del IFT</w:t>
            </w:r>
          </w:p>
        </w:tc>
        <w:tc>
          <w:tcPr>
            <w:tcW w:w="7796" w:type="dxa"/>
            <w:vAlign w:val="center"/>
          </w:tcPr>
          <w:p w14:paraId="452F5C04" w14:textId="77777777" w:rsidR="00B2449A" w:rsidRPr="00A07D9A" w:rsidRDefault="00B2449A" w:rsidP="00B2449A">
            <w:pPr>
              <w:jc w:val="center"/>
              <w:rPr>
                <w:color w:val="000000" w:themeColor="text1"/>
                <w:sz w:val="16"/>
                <w:szCs w:val="16"/>
              </w:rPr>
            </w:pPr>
            <w:r w:rsidRPr="00A07D9A">
              <w:rPr>
                <w:color w:val="000000" w:themeColor="text1"/>
                <w:sz w:val="16"/>
                <w:szCs w:val="16"/>
              </w:rPr>
              <w:t>90 días naturales</w:t>
            </w:r>
          </w:p>
          <w:p w14:paraId="44E9D57A" w14:textId="77777777" w:rsidR="00B2449A" w:rsidRPr="00A07D9A" w:rsidRDefault="00B2449A" w:rsidP="00B2449A">
            <w:pPr>
              <w:jc w:val="center"/>
              <w:rPr>
                <w:color w:val="000000" w:themeColor="text1"/>
                <w:sz w:val="16"/>
                <w:szCs w:val="16"/>
              </w:rPr>
            </w:pPr>
            <w:r w:rsidRPr="00A07D9A">
              <w:rPr>
                <w:color w:val="000000" w:themeColor="text1"/>
                <w:sz w:val="16"/>
                <w:szCs w:val="16"/>
              </w:rPr>
              <w:t>Contados a partir del día siguiente a aquel en que el Pleno del IFT resuelva el Aviso de Concentración.</w:t>
            </w:r>
          </w:p>
          <w:p w14:paraId="075B31C5" w14:textId="4ADDA489" w:rsidR="00B2449A" w:rsidRPr="00A07D9A" w:rsidRDefault="00B2449A" w:rsidP="00B2449A">
            <w:pPr>
              <w:rPr>
                <w:color w:val="000000" w:themeColor="text1"/>
                <w:sz w:val="16"/>
                <w:szCs w:val="16"/>
              </w:rPr>
            </w:pPr>
          </w:p>
        </w:tc>
      </w:tr>
    </w:tbl>
    <w:p w14:paraId="4227C932" w14:textId="77777777" w:rsidR="008C0D6D" w:rsidRPr="00A07D9A" w:rsidRDefault="008C0D6D" w:rsidP="00A936C9">
      <w:pPr>
        <w:rPr>
          <w:color w:val="000000" w:themeColor="text1"/>
        </w:rPr>
      </w:pPr>
    </w:p>
    <w:p w14:paraId="7AE63912" w14:textId="77777777" w:rsidR="00867F46" w:rsidRPr="00A07D9A" w:rsidRDefault="00867F46" w:rsidP="00A936C9">
      <w:pPr>
        <w:autoSpaceDE w:val="0"/>
        <w:autoSpaceDN w:val="0"/>
        <w:adjustRightInd w:val="0"/>
        <w:rPr>
          <w:rFonts w:cs="Times New Roman"/>
          <w:color w:val="000000" w:themeColor="text1"/>
        </w:rPr>
        <w:sectPr w:rsidR="00867F46" w:rsidRPr="00A07D9A" w:rsidSect="00867F46">
          <w:pgSz w:w="15840" w:h="12240" w:orient="landscape" w:code="1"/>
          <w:pgMar w:top="1701" w:right="1417" w:bottom="1701" w:left="1417" w:header="720" w:footer="720" w:gutter="0"/>
          <w:cols w:space="720"/>
          <w:noEndnote/>
          <w:docGrid w:linePitch="326"/>
        </w:sectPr>
      </w:pPr>
    </w:p>
    <w:p w14:paraId="6D286D49" w14:textId="77777777" w:rsidR="00A936C9" w:rsidRPr="00A07D9A" w:rsidRDefault="00D52E3E" w:rsidP="00A936C9">
      <w:pPr>
        <w:pStyle w:val="Ttulo4"/>
        <w:rPr>
          <w:color w:val="000000" w:themeColor="text1"/>
        </w:rPr>
      </w:pPr>
      <w:r w:rsidRPr="00A07D9A">
        <w:rPr>
          <w:color w:val="000000" w:themeColor="text1"/>
        </w:rPr>
        <w:lastRenderedPageBreak/>
        <w:t>Efectos de la Resolución del Aviso de Concentración</w:t>
      </w:r>
      <w:r w:rsidR="00A936C9" w:rsidRPr="00A07D9A">
        <w:rPr>
          <w:color w:val="000000" w:themeColor="text1"/>
        </w:rPr>
        <w:t xml:space="preserve">: </w:t>
      </w:r>
      <w:r w:rsidR="00476A0E" w:rsidRPr="00A07D9A">
        <w:rPr>
          <w:color w:val="000000" w:themeColor="text1"/>
        </w:rPr>
        <w:t xml:space="preserve">inicio </w:t>
      </w:r>
      <w:r w:rsidRPr="00A07D9A">
        <w:rPr>
          <w:color w:val="000000" w:themeColor="text1"/>
        </w:rPr>
        <w:t xml:space="preserve">de una </w:t>
      </w:r>
      <w:r w:rsidR="00A936C9" w:rsidRPr="00A07D9A">
        <w:rPr>
          <w:color w:val="000000" w:themeColor="text1"/>
        </w:rPr>
        <w:t>Investigación</w:t>
      </w:r>
      <w:bookmarkEnd w:id="141"/>
      <w:bookmarkEnd w:id="142"/>
    </w:p>
    <w:p w14:paraId="42F56C33" w14:textId="77777777" w:rsidR="00A936C9" w:rsidRPr="00A07D9A" w:rsidRDefault="00A936C9" w:rsidP="00A936C9">
      <w:pPr>
        <w:rPr>
          <w:color w:val="000000" w:themeColor="text1"/>
        </w:rPr>
      </w:pPr>
      <w:r w:rsidRPr="00A07D9A">
        <w:rPr>
          <w:color w:val="000000" w:themeColor="text1"/>
        </w:rPr>
        <w:t xml:space="preserve">En caso de que el Pleno del IFT tenga por cumplidos los </w:t>
      </w:r>
      <w:r w:rsidR="00476A0E" w:rsidRPr="00A07D9A">
        <w:rPr>
          <w:color w:val="000000" w:themeColor="text1"/>
        </w:rPr>
        <w:t>requisitos previstos en los</w:t>
      </w:r>
      <w:r w:rsidRPr="00A07D9A">
        <w:rPr>
          <w:color w:val="000000" w:themeColor="text1"/>
        </w:rPr>
        <w:t xml:space="preserve"> incisos a. a d. del artículo Noveno Transitorio, en la resolución que al efecto emita</w:t>
      </w:r>
      <w:r w:rsidR="00476A0E" w:rsidRPr="00A07D9A">
        <w:rPr>
          <w:color w:val="000000" w:themeColor="text1"/>
        </w:rPr>
        <w:t>,</w:t>
      </w:r>
      <w:r w:rsidRPr="00A07D9A">
        <w:rPr>
          <w:color w:val="000000" w:themeColor="text1"/>
        </w:rPr>
        <w:t xml:space="preserve"> ordenará dar vista de ello a la AI.</w:t>
      </w:r>
    </w:p>
    <w:p w14:paraId="5C44C2E8" w14:textId="77777777" w:rsidR="00A936C9" w:rsidRPr="00A07D9A" w:rsidRDefault="00A936C9" w:rsidP="00A936C9">
      <w:pPr>
        <w:rPr>
          <w:color w:val="000000" w:themeColor="text1"/>
        </w:rPr>
      </w:pPr>
      <w:r w:rsidRPr="00A07D9A">
        <w:rPr>
          <w:color w:val="000000" w:themeColor="text1"/>
        </w:rPr>
        <w:t xml:space="preserve">De acuerdo con el </w:t>
      </w:r>
      <w:r w:rsidR="00D52E3E" w:rsidRPr="00A07D9A">
        <w:rPr>
          <w:color w:val="000000" w:themeColor="text1"/>
        </w:rPr>
        <w:t xml:space="preserve">quinto </w:t>
      </w:r>
      <w:r w:rsidRPr="00A07D9A">
        <w:rPr>
          <w:color w:val="000000" w:themeColor="text1"/>
        </w:rPr>
        <w:t>párrafo del artículo Noveno Transitorio, las concentraciones materia de un Aviso de Concentración serán investigadas por la AI en un plazo no mayor a noventa días naturales posteriores a la vista respectiva y, en caso de encontrar que existe poder sustancial,</w:t>
      </w:r>
      <w:r w:rsidR="006D638B" w:rsidRPr="00A07D9A">
        <w:rPr>
          <w:color w:val="000000" w:themeColor="text1"/>
        </w:rPr>
        <w:t xml:space="preserve"> después de agotar el procedimiento respectivo,</w:t>
      </w:r>
      <w:r w:rsidRPr="00A07D9A">
        <w:rPr>
          <w:color w:val="000000" w:themeColor="text1"/>
        </w:rPr>
        <w:t xml:space="preserve"> </w:t>
      </w:r>
      <w:r w:rsidR="00AE1DD8" w:rsidRPr="00A07D9A">
        <w:rPr>
          <w:color w:val="000000" w:themeColor="text1"/>
        </w:rPr>
        <w:t xml:space="preserve">el IFT </w:t>
      </w:r>
      <w:r w:rsidRPr="00A07D9A">
        <w:rPr>
          <w:color w:val="000000" w:themeColor="text1"/>
        </w:rPr>
        <w:t>podrá imponer las medidas necesarias para proteger y fomentar en el mercado correspondiente la libre concurrencia y competencia económica</w:t>
      </w:r>
      <w:r w:rsidR="0032608B" w:rsidRPr="00A07D9A">
        <w:rPr>
          <w:color w:val="000000" w:themeColor="text1"/>
        </w:rPr>
        <w:t>, previo procedimiento para ello</w:t>
      </w:r>
      <w:r w:rsidRPr="00A07D9A">
        <w:rPr>
          <w:color w:val="000000" w:themeColor="text1"/>
        </w:rPr>
        <w:t>.</w:t>
      </w:r>
    </w:p>
    <w:p w14:paraId="54F62B14" w14:textId="77777777" w:rsidR="00A936C9" w:rsidRPr="00A07D9A" w:rsidRDefault="00A936C9" w:rsidP="00A936C9">
      <w:pPr>
        <w:rPr>
          <w:color w:val="000000" w:themeColor="text1"/>
        </w:rPr>
      </w:pPr>
      <w:r w:rsidRPr="00A07D9A">
        <w:rPr>
          <w:color w:val="000000" w:themeColor="text1"/>
        </w:rPr>
        <w:t xml:space="preserve">La investigación que al efecto se lleve a cabo se </w:t>
      </w:r>
      <w:r w:rsidR="003F2D39" w:rsidRPr="00A07D9A">
        <w:rPr>
          <w:color w:val="000000" w:themeColor="text1"/>
        </w:rPr>
        <w:t xml:space="preserve">realizará en un plazo de 90 días y se </w:t>
      </w:r>
      <w:r w:rsidRPr="00A07D9A">
        <w:rPr>
          <w:color w:val="000000" w:themeColor="text1"/>
        </w:rPr>
        <w:t>ajustará a las disposiciones previstas en el artículo 96 de la LFCE</w:t>
      </w:r>
      <w:r w:rsidR="003F2D39" w:rsidRPr="00A07D9A">
        <w:rPr>
          <w:color w:val="000000" w:themeColor="text1"/>
        </w:rPr>
        <w:t>,</w:t>
      </w:r>
      <w:r w:rsidRPr="00A07D9A">
        <w:rPr>
          <w:color w:val="000000" w:themeColor="text1"/>
        </w:rPr>
        <w:t xml:space="preserve"> teniendo en consideración todas las atribuciones previstas en este ordenamiento para la AI</w:t>
      </w:r>
      <w:r w:rsidR="009665E5" w:rsidRPr="00A07D9A">
        <w:rPr>
          <w:color w:val="000000" w:themeColor="text1"/>
        </w:rPr>
        <w:t>.</w:t>
      </w:r>
    </w:p>
    <w:p w14:paraId="02DF6E38" w14:textId="77777777" w:rsidR="009665E5" w:rsidRPr="00A07D9A" w:rsidRDefault="00A72DD4" w:rsidP="003C2FAD">
      <w:pPr>
        <w:pStyle w:val="Ttulo1"/>
        <w:rPr>
          <w:color w:val="000000" w:themeColor="text1"/>
        </w:rPr>
      </w:pPr>
      <w:bookmarkStart w:id="143" w:name="_Toc486519862"/>
      <w:r w:rsidRPr="00A07D9A">
        <w:rPr>
          <w:color w:val="000000" w:themeColor="text1"/>
        </w:rPr>
        <w:t>Consultas y</w:t>
      </w:r>
      <w:r w:rsidR="00302B20" w:rsidRPr="00A07D9A">
        <w:rPr>
          <w:color w:val="000000" w:themeColor="text1"/>
        </w:rPr>
        <w:t xml:space="preserve"> </w:t>
      </w:r>
      <w:r w:rsidR="00185F16" w:rsidRPr="00A07D9A">
        <w:rPr>
          <w:color w:val="000000" w:themeColor="text1"/>
        </w:rPr>
        <w:t>Solicitudes de opiniones formales y de orientación general</w:t>
      </w:r>
      <w:bookmarkEnd w:id="143"/>
    </w:p>
    <w:p w14:paraId="5094068D" w14:textId="77777777" w:rsidR="00450798" w:rsidRPr="00A07D9A" w:rsidRDefault="00185F16" w:rsidP="009665E5">
      <w:pPr>
        <w:rPr>
          <w:color w:val="000000" w:themeColor="text1"/>
        </w:rPr>
      </w:pPr>
      <w:r w:rsidRPr="00A07D9A">
        <w:rPr>
          <w:color w:val="000000" w:themeColor="text1"/>
        </w:rPr>
        <w:t>Los agentes económicos pueden solicitar Opiniones Formales y Orientación al Instituto e</w:t>
      </w:r>
      <w:r w:rsidR="009665E5" w:rsidRPr="00A07D9A">
        <w:rPr>
          <w:color w:val="000000" w:themeColor="text1"/>
        </w:rPr>
        <w:t xml:space="preserve">n </w:t>
      </w:r>
      <w:r w:rsidR="00450798" w:rsidRPr="00A07D9A">
        <w:rPr>
          <w:color w:val="000000" w:themeColor="text1"/>
        </w:rPr>
        <w:t xml:space="preserve">materia de competencia económica, lo que incluye pero no se limita a los </w:t>
      </w:r>
      <w:r w:rsidR="009665E5" w:rsidRPr="00A07D9A">
        <w:rPr>
          <w:color w:val="000000" w:themeColor="text1"/>
        </w:rPr>
        <w:t xml:space="preserve">temas </w:t>
      </w:r>
      <w:r w:rsidRPr="00A07D9A">
        <w:rPr>
          <w:color w:val="000000" w:themeColor="text1"/>
        </w:rPr>
        <w:t>relacionados con concentraciones</w:t>
      </w:r>
      <w:r w:rsidR="00450798" w:rsidRPr="00A07D9A">
        <w:rPr>
          <w:color w:val="000000" w:themeColor="text1"/>
        </w:rPr>
        <w:t xml:space="preserve"> que se abordan en esta Guía. </w:t>
      </w:r>
    </w:p>
    <w:p w14:paraId="59CC2F82" w14:textId="77777777" w:rsidR="00450798" w:rsidRPr="00A07D9A" w:rsidRDefault="00450798" w:rsidP="009665E5">
      <w:pPr>
        <w:rPr>
          <w:color w:val="000000" w:themeColor="text1"/>
        </w:rPr>
      </w:pPr>
      <w:r w:rsidRPr="00A07D9A">
        <w:rPr>
          <w:color w:val="000000" w:themeColor="text1"/>
        </w:rPr>
        <w:t>Las Opiniones Formales pueden solicitarse sobre cuestiones nuevas o sin resolver (i.e. sin precedentes decisorios que sirvan de referencia) en relación con la LFCE y se trate de un tema relevante</w:t>
      </w:r>
      <w:r w:rsidR="00302B20" w:rsidRPr="00A07D9A">
        <w:rPr>
          <w:color w:val="000000" w:themeColor="text1"/>
        </w:rPr>
        <w:t>, de conformidad con</w:t>
      </w:r>
      <w:r w:rsidR="00302B20" w:rsidRPr="00A07D9A" w:rsidDel="00302B20">
        <w:rPr>
          <w:color w:val="000000" w:themeColor="text1"/>
        </w:rPr>
        <w:t xml:space="preserve"> </w:t>
      </w:r>
      <w:r w:rsidRPr="00A07D9A">
        <w:rPr>
          <w:color w:val="000000" w:themeColor="text1"/>
        </w:rPr>
        <w:t>los artículos 104 a 109 de la LFCE. Las opiniones formales sólo son vinculantes para el Instituto, no así para las partes y tampoco para otra autoridad pública alguna.</w:t>
      </w:r>
    </w:p>
    <w:p w14:paraId="0947685E" w14:textId="77777777" w:rsidR="00450798" w:rsidRPr="00A07D9A" w:rsidRDefault="00450798" w:rsidP="009665E5">
      <w:pPr>
        <w:rPr>
          <w:color w:val="000000" w:themeColor="text1"/>
        </w:rPr>
      </w:pPr>
      <w:r w:rsidRPr="00A07D9A">
        <w:rPr>
          <w:color w:val="000000" w:themeColor="text1"/>
        </w:rPr>
        <w:t xml:space="preserve">Las solicitudes de orientación general </w:t>
      </w:r>
      <w:r w:rsidR="00302B20" w:rsidRPr="00A07D9A">
        <w:rPr>
          <w:b/>
          <w:color w:val="000000" w:themeColor="text1"/>
        </w:rPr>
        <w:t>relativa a la aplicación del marco normativo en materia de competencia económica</w:t>
      </w:r>
      <w:r w:rsidR="00302B20" w:rsidRPr="00A07D9A">
        <w:rPr>
          <w:color w:val="000000" w:themeColor="text1"/>
        </w:rPr>
        <w:t xml:space="preserve"> </w:t>
      </w:r>
      <w:r w:rsidRPr="00A07D9A">
        <w:rPr>
          <w:color w:val="000000" w:themeColor="text1"/>
        </w:rPr>
        <w:t xml:space="preserve">pueden ser </w:t>
      </w:r>
      <w:r w:rsidR="00AA7180" w:rsidRPr="00A07D9A">
        <w:rPr>
          <w:color w:val="000000" w:themeColor="text1"/>
        </w:rPr>
        <w:t xml:space="preserve">presentadas ante el Instituto, </w:t>
      </w:r>
      <w:r w:rsidRPr="00A07D9A">
        <w:rPr>
          <w:color w:val="000000" w:themeColor="text1"/>
        </w:rPr>
        <w:t xml:space="preserve">por cualquier persona </w:t>
      </w:r>
      <w:r w:rsidR="00476A0E" w:rsidRPr="00A07D9A">
        <w:rPr>
          <w:color w:val="000000" w:themeColor="text1"/>
        </w:rPr>
        <w:t xml:space="preserve">o Autoridad Pública, </w:t>
      </w:r>
      <w:r w:rsidRPr="00A07D9A">
        <w:rPr>
          <w:color w:val="000000" w:themeColor="text1"/>
        </w:rPr>
        <w:t xml:space="preserve">en términos del artículo 110 de la LFCE. </w:t>
      </w:r>
      <w:r w:rsidR="00AB2FD9" w:rsidRPr="00A07D9A">
        <w:rPr>
          <w:color w:val="000000" w:themeColor="text1"/>
        </w:rPr>
        <w:t>S</w:t>
      </w:r>
      <w:r w:rsidRPr="00A07D9A">
        <w:rPr>
          <w:color w:val="000000" w:themeColor="text1"/>
        </w:rPr>
        <w:t>e trata de una opinión que puede solicitarse al Instituto</w:t>
      </w:r>
      <w:r w:rsidR="00476A0E" w:rsidRPr="00A07D9A">
        <w:rPr>
          <w:strike/>
          <w:color w:val="000000" w:themeColor="text1"/>
        </w:rPr>
        <w:t>,</w:t>
      </w:r>
      <w:r w:rsidRPr="00A07D9A">
        <w:rPr>
          <w:color w:val="000000" w:themeColor="text1"/>
        </w:rPr>
        <w:t xml:space="preserve"> a instancia de </w:t>
      </w:r>
      <w:r w:rsidR="004B54A6" w:rsidRPr="00A07D9A">
        <w:rPr>
          <w:color w:val="000000" w:themeColor="text1"/>
        </w:rPr>
        <w:t>parte.</w:t>
      </w:r>
      <w:r w:rsidR="004B54A6" w:rsidRPr="00A07D9A">
        <w:rPr>
          <w:strike/>
          <w:color w:val="000000" w:themeColor="text1"/>
        </w:rPr>
        <w:t xml:space="preserve"> </w:t>
      </w:r>
      <w:r w:rsidR="004B54A6" w:rsidRPr="00A07D9A">
        <w:rPr>
          <w:color w:val="000000" w:themeColor="text1"/>
        </w:rPr>
        <w:t>No</w:t>
      </w:r>
      <w:r w:rsidRPr="00A07D9A">
        <w:rPr>
          <w:color w:val="000000" w:themeColor="text1"/>
        </w:rPr>
        <w:t xml:space="preserve"> </w:t>
      </w:r>
      <w:r w:rsidR="00AA7180" w:rsidRPr="00A07D9A">
        <w:rPr>
          <w:color w:val="000000" w:themeColor="text1"/>
        </w:rPr>
        <w:t>será</w:t>
      </w:r>
      <w:r w:rsidRPr="00A07D9A">
        <w:rPr>
          <w:color w:val="000000" w:themeColor="text1"/>
        </w:rPr>
        <w:t xml:space="preserve"> vinculante</w:t>
      </w:r>
      <w:r w:rsidR="00AA7180" w:rsidRPr="00A07D9A">
        <w:rPr>
          <w:color w:val="000000" w:themeColor="text1"/>
        </w:rPr>
        <w:t xml:space="preserve"> en ningún </w:t>
      </w:r>
      <w:r w:rsidR="004B54A6" w:rsidRPr="00A07D9A">
        <w:rPr>
          <w:color w:val="000000" w:themeColor="text1"/>
        </w:rPr>
        <w:t>caso.</w:t>
      </w:r>
    </w:p>
    <w:p w14:paraId="137BA555" w14:textId="77777777" w:rsidR="009665E5" w:rsidRPr="00A07D9A" w:rsidRDefault="00450798" w:rsidP="009665E5">
      <w:pPr>
        <w:rPr>
          <w:color w:val="000000" w:themeColor="text1"/>
        </w:rPr>
      </w:pPr>
      <w:r w:rsidRPr="00A07D9A">
        <w:rPr>
          <w:color w:val="000000" w:themeColor="text1"/>
        </w:rPr>
        <w:t xml:space="preserve">Además, </w:t>
      </w:r>
      <w:r w:rsidR="009665E5" w:rsidRPr="00A07D9A">
        <w:rPr>
          <w:color w:val="000000" w:themeColor="text1"/>
        </w:rPr>
        <w:t xml:space="preserve">los </w:t>
      </w:r>
      <w:r w:rsidR="008A07CB" w:rsidRPr="00A07D9A">
        <w:rPr>
          <w:color w:val="000000" w:themeColor="text1"/>
        </w:rPr>
        <w:t>agentes económicos</w:t>
      </w:r>
      <w:r w:rsidR="009665E5" w:rsidRPr="00A07D9A">
        <w:rPr>
          <w:color w:val="000000" w:themeColor="text1"/>
        </w:rPr>
        <w:t xml:space="preserve"> </w:t>
      </w:r>
      <w:r w:rsidR="00AA7180" w:rsidRPr="00A07D9A">
        <w:rPr>
          <w:color w:val="000000" w:themeColor="text1"/>
        </w:rPr>
        <w:t xml:space="preserve">que requieran algún tipo de orientación </w:t>
      </w:r>
      <w:r w:rsidR="000A03F7" w:rsidRPr="00A07D9A">
        <w:rPr>
          <w:color w:val="000000" w:themeColor="text1"/>
        </w:rPr>
        <w:t xml:space="preserve">en materia de concentraciones </w:t>
      </w:r>
      <w:r w:rsidR="009665E5" w:rsidRPr="00A07D9A">
        <w:rPr>
          <w:color w:val="000000" w:themeColor="text1"/>
        </w:rPr>
        <w:t xml:space="preserve">podrán </w:t>
      </w:r>
      <w:r w:rsidRPr="00A07D9A">
        <w:rPr>
          <w:color w:val="000000" w:themeColor="text1"/>
        </w:rPr>
        <w:t xml:space="preserve">solicitar </w:t>
      </w:r>
      <w:r w:rsidR="009665E5" w:rsidRPr="00A07D9A">
        <w:rPr>
          <w:color w:val="000000" w:themeColor="text1"/>
        </w:rPr>
        <w:t xml:space="preserve">citas </w:t>
      </w:r>
      <w:r w:rsidRPr="00A07D9A">
        <w:rPr>
          <w:color w:val="000000" w:themeColor="text1"/>
        </w:rPr>
        <w:t xml:space="preserve">para tratar </w:t>
      </w:r>
      <w:r w:rsidR="000A03F7" w:rsidRPr="00A07D9A">
        <w:rPr>
          <w:color w:val="000000" w:themeColor="text1"/>
        </w:rPr>
        <w:t>dichos</w:t>
      </w:r>
      <w:r w:rsidRPr="00A07D9A">
        <w:rPr>
          <w:color w:val="000000" w:themeColor="text1"/>
        </w:rPr>
        <w:t xml:space="preserve"> temas </w:t>
      </w:r>
      <w:r w:rsidR="009665E5" w:rsidRPr="00A07D9A">
        <w:rPr>
          <w:color w:val="000000" w:themeColor="text1"/>
        </w:rPr>
        <w:t>con los servidores públicos de la UCE en las oficinas del Instituto.</w:t>
      </w:r>
      <w:r w:rsidRPr="00A07D9A">
        <w:rPr>
          <w:color w:val="000000" w:themeColor="text1"/>
        </w:rPr>
        <w:t xml:space="preserve"> Ello sujeto a las reglas de contacto establecidas en el Estatuto Orgánico del Instituto</w:t>
      </w:r>
    </w:p>
    <w:p w14:paraId="098276CA" w14:textId="77777777" w:rsidR="009665E5" w:rsidRPr="00A07D9A" w:rsidRDefault="009665E5" w:rsidP="003C2FAD">
      <w:pPr>
        <w:rPr>
          <w:color w:val="000000" w:themeColor="text1"/>
        </w:rPr>
      </w:pPr>
      <w:r w:rsidRPr="00A07D9A">
        <w:rPr>
          <w:rFonts w:cs="Arial"/>
          <w:bCs/>
          <w:color w:val="000000" w:themeColor="text1"/>
        </w:rPr>
        <w:t xml:space="preserve">Las </w:t>
      </w:r>
      <w:r w:rsidR="00D52E3E" w:rsidRPr="00A07D9A">
        <w:rPr>
          <w:rFonts w:cs="Arial"/>
          <w:bCs/>
          <w:color w:val="000000" w:themeColor="text1"/>
        </w:rPr>
        <w:t>solicitudes</w:t>
      </w:r>
      <w:r w:rsidR="00450798" w:rsidRPr="00A07D9A">
        <w:rPr>
          <w:rFonts w:cs="Arial"/>
          <w:bCs/>
          <w:color w:val="000000" w:themeColor="text1"/>
        </w:rPr>
        <w:t xml:space="preserve"> </w:t>
      </w:r>
      <w:r w:rsidR="00AB2FD9" w:rsidRPr="00A07D9A">
        <w:rPr>
          <w:rFonts w:cs="Arial"/>
          <w:bCs/>
          <w:color w:val="000000" w:themeColor="text1"/>
        </w:rPr>
        <w:t xml:space="preserve">de </w:t>
      </w:r>
      <w:r w:rsidR="00450798" w:rsidRPr="00A07D9A">
        <w:rPr>
          <w:rFonts w:cs="Arial"/>
          <w:bCs/>
          <w:color w:val="000000" w:themeColor="text1"/>
        </w:rPr>
        <w:t xml:space="preserve">reunión </w:t>
      </w:r>
      <w:r w:rsidRPr="00A07D9A">
        <w:rPr>
          <w:rFonts w:cs="Arial"/>
          <w:bCs/>
          <w:color w:val="000000" w:themeColor="text1"/>
        </w:rPr>
        <w:t>serán atendidas en el domicilio del Instituto (</w:t>
      </w:r>
      <w:r w:rsidRPr="00A07D9A">
        <w:rPr>
          <w:rFonts w:cs="Arial"/>
          <w:color w:val="000000" w:themeColor="text1"/>
        </w:rPr>
        <w:t xml:space="preserve">Insurgentes Sur 1143, Col. Nochebuena, Delegación Benito Juárez, Ciudad de México, C.P. </w:t>
      </w:r>
      <w:r w:rsidRPr="00A07D9A">
        <w:rPr>
          <w:rFonts w:cs="Arial"/>
          <w:color w:val="000000" w:themeColor="text1"/>
        </w:rPr>
        <w:lastRenderedPageBreak/>
        <w:t>03720</w:t>
      </w:r>
      <w:r w:rsidRPr="00A07D9A">
        <w:rPr>
          <w:rFonts w:cs="Arial"/>
          <w:bCs/>
          <w:color w:val="000000" w:themeColor="text1"/>
        </w:rPr>
        <w:t>), previa cita que se podrá solicitar a través de los números de teléfono (55) 5015-4047 y 5015-4024, así como en los correos</w:t>
      </w:r>
      <w:r w:rsidR="00DF336F" w:rsidRPr="00A07D9A">
        <w:rPr>
          <w:rFonts w:cs="Arial"/>
          <w:bCs/>
          <w:color w:val="000000" w:themeColor="text1"/>
        </w:rPr>
        <w:t xml:space="preserve"> electr</w:t>
      </w:r>
      <w:r w:rsidRPr="00A07D9A">
        <w:rPr>
          <w:rFonts w:cs="Arial"/>
          <w:bCs/>
          <w:color w:val="000000" w:themeColor="text1"/>
        </w:rPr>
        <w:t>ónicos</w:t>
      </w:r>
      <w:r w:rsidR="00515AB4" w:rsidRPr="00A07D9A">
        <w:rPr>
          <w:rFonts w:cs="Arial"/>
          <w:bCs/>
          <w:color w:val="000000" w:themeColor="text1"/>
        </w:rPr>
        <w:t xml:space="preserve"> que sean señalados en la página de internet del Instituto</w:t>
      </w:r>
      <w:r w:rsidRPr="00A07D9A">
        <w:rPr>
          <w:rFonts w:cs="Arial"/>
          <w:bCs/>
          <w:color w:val="000000" w:themeColor="text1"/>
        </w:rPr>
        <w:t xml:space="preserve"> en días y horas hábiles</w:t>
      </w:r>
      <w:r w:rsidR="000A03F7" w:rsidRPr="00A07D9A">
        <w:rPr>
          <w:rFonts w:cs="Arial"/>
          <w:bCs/>
          <w:color w:val="000000" w:themeColor="text1"/>
        </w:rPr>
        <w:t>,</w:t>
      </w:r>
      <w:r w:rsidRPr="00A07D9A">
        <w:rPr>
          <w:rFonts w:cs="Arial"/>
          <w:bCs/>
          <w:color w:val="000000" w:themeColor="text1"/>
        </w:rPr>
        <w:t xml:space="preserve"> de lunes a jueves en horario de 9:00 a 18:30 horas y viernes de 9:00 a 15:00 horas.</w:t>
      </w:r>
      <w:r w:rsidRPr="00A07D9A">
        <w:rPr>
          <w:color w:val="000000" w:themeColor="text1"/>
        </w:rPr>
        <w:t xml:space="preserve"> </w:t>
      </w:r>
    </w:p>
    <w:p w14:paraId="6D13CCBE" w14:textId="77777777" w:rsidR="009665E5" w:rsidRPr="00A07D9A" w:rsidRDefault="009665E5" w:rsidP="00E871E9">
      <w:pPr>
        <w:pStyle w:val="Ttulo2"/>
        <w:rPr>
          <w:b w:val="0"/>
          <w:color w:val="000000" w:themeColor="text1"/>
        </w:rPr>
      </w:pPr>
      <w:r w:rsidRPr="00A07D9A">
        <w:rPr>
          <w:color w:val="000000" w:themeColor="text1"/>
        </w:rPr>
        <w:t>Reglas de contacto</w:t>
      </w:r>
    </w:p>
    <w:p w14:paraId="2BA2790E" w14:textId="77777777" w:rsidR="009665E5" w:rsidRPr="00A07D9A" w:rsidRDefault="009665E5" w:rsidP="009665E5">
      <w:pPr>
        <w:autoSpaceDE w:val="0"/>
        <w:autoSpaceDN w:val="0"/>
        <w:adjustRightInd w:val="0"/>
        <w:rPr>
          <w:rFonts w:cs="Arial"/>
          <w:color w:val="000000" w:themeColor="text1"/>
        </w:rPr>
      </w:pPr>
      <w:r w:rsidRPr="00A07D9A">
        <w:rPr>
          <w:rFonts w:cs="Arial"/>
          <w:color w:val="000000" w:themeColor="text1"/>
        </w:rPr>
        <w:t xml:space="preserve">El artículo 97 del </w:t>
      </w:r>
      <w:r w:rsidRPr="00A07D9A">
        <w:rPr>
          <w:rFonts w:cs="Times New Roman"/>
          <w:color w:val="000000" w:themeColor="text1"/>
        </w:rPr>
        <w:t>Estatuto Orgánico precisa que l</w:t>
      </w:r>
      <w:r w:rsidRPr="00A07D9A">
        <w:rPr>
          <w:rFonts w:cs="Arial"/>
          <w:color w:val="000000" w:themeColor="text1"/>
        </w:rPr>
        <w:t>os servidores públicos del IFT, desde el nivel de Jefe de Departamento hasta el de Titular de Unidad</w:t>
      </w:r>
      <w:r w:rsidR="00450798" w:rsidRPr="00A07D9A">
        <w:rPr>
          <w:rFonts w:cs="Arial"/>
          <w:color w:val="000000" w:themeColor="text1"/>
        </w:rPr>
        <w:t xml:space="preserve"> Administrativa,  </w:t>
      </w:r>
      <w:r w:rsidRPr="00A07D9A">
        <w:rPr>
          <w:rFonts w:cs="Arial"/>
          <w:color w:val="000000" w:themeColor="text1"/>
        </w:rPr>
        <w:t xml:space="preserve"> podrán tratar asuntos de su competencia con personas que representen los intereses de los agentes regulados por el IFT:</w:t>
      </w:r>
    </w:p>
    <w:p w14:paraId="130AD472" w14:textId="77777777" w:rsidR="009665E5" w:rsidRPr="00A07D9A" w:rsidRDefault="009665E5" w:rsidP="00FE6791">
      <w:pPr>
        <w:pStyle w:val="Prrafodelista"/>
        <w:numPr>
          <w:ilvl w:val="0"/>
          <w:numId w:val="58"/>
        </w:numPr>
        <w:autoSpaceDE w:val="0"/>
        <w:autoSpaceDN w:val="0"/>
        <w:adjustRightInd w:val="0"/>
        <w:spacing w:after="160" w:line="259" w:lineRule="auto"/>
        <w:rPr>
          <w:rFonts w:cs="Arial"/>
          <w:color w:val="000000" w:themeColor="text1"/>
        </w:rPr>
      </w:pPr>
      <w:r w:rsidRPr="00A07D9A">
        <w:rPr>
          <w:rFonts w:cs="Arial"/>
          <w:color w:val="000000" w:themeColor="text1"/>
        </w:rPr>
        <w:t>Mediante correo electrónico institucional</w:t>
      </w:r>
      <w:r w:rsidR="00FA61D6" w:rsidRPr="00A07D9A">
        <w:rPr>
          <w:rFonts w:cs="Arial"/>
          <w:color w:val="000000" w:themeColor="text1"/>
        </w:rPr>
        <w:t>;</w:t>
      </w:r>
    </w:p>
    <w:p w14:paraId="2184E265" w14:textId="77777777" w:rsidR="009665E5" w:rsidRPr="00A07D9A" w:rsidRDefault="009665E5" w:rsidP="00FE6791">
      <w:pPr>
        <w:pStyle w:val="Prrafodelista"/>
        <w:numPr>
          <w:ilvl w:val="0"/>
          <w:numId w:val="58"/>
        </w:numPr>
        <w:autoSpaceDE w:val="0"/>
        <w:autoSpaceDN w:val="0"/>
        <w:adjustRightInd w:val="0"/>
        <w:spacing w:after="160" w:line="259" w:lineRule="auto"/>
        <w:rPr>
          <w:rFonts w:cs="Arial"/>
          <w:color w:val="000000" w:themeColor="text1"/>
        </w:rPr>
      </w:pPr>
      <w:r w:rsidRPr="00A07D9A">
        <w:rPr>
          <w:rFonts w:cs="Arial"/>
          <w:color w:val="000000" w:themeColor="text1"/>
        </w:rPr>
        <w:t>Por teléfono en casos de urgencia o con fines de orientación</w:t>
      </w:r>
      <w:r w:rsidR="00FA61D6" w:rsidRPr="00A07D9A">
        <w:rPr>
          <w:rFonts w:cs="Arial"/>
          <w:color w:val="000000" w:themeColor="text1"/>
        </w:rPr>
        <w:t>;</w:t>
      </w:r>
    </w:p>
    <w:p w14:paraId="01EE1363" w14:textId="77777777" w:rsidR="009665E5" w:rsidRPr="00A07D9A" w:rsidRDefault="009665E5" w:rsidP="00FE6791">
      <w:pPr>
        <w:pStyle w:val="Prrafodelista"/>
        <w:numPr>
          <w:ilvl w:val="0"/>
          <w:numId w:val="58"/>
        </w:numPr>
        <w:autoSpaceDE w:val="0"/>
        <w:autoSpaceDN w:val="0"/>
        <w:adjustRightInd w:val="0"/>
        <w:spacing w:after="160" w:line="259" w:lineRule="auto"/>
        <w:rPr>
          <w:rFonts w:cs="Arial"/>
          <w:color w:val="000000" w:themeColor="text1"/>
        </w:rPr>
      </w:pPr>
      <w:r w:rsidRPr="00A07D9A">
        <w:rPr>
          <w:rFonts w:cs="Arial"/>
          <w:color w:val="000000" w:themeColor="text1"/>
        </w:rPr>
        <w:t>Mediante entrevista en las instalaciones del Instituto y con al menos la presencia de otro servidor público del Instituto</w:t>
      </w:r>
      <w:r w:rsidR="00FA61D6" w:rsidRPr="00A07D9A">
        <w:rPr>
          <w:rFonts w:cs="Arial"/>
          <w:color w:val="000000" w:themeColor="text1"/>
        </w:rPr>
        <w:t>, y</w:t>
      </w:r>
    </w:p>
    <w:p w14:paraId="256A7683" w14:textId="77777777" w:rsidR="009665E5" w:rsidRPr="00A07D9A" w:rsidRDefault="009665E5" w:rsidP="00FE6791">
      <w:pPr>
        <w:pStyle w:val="Prrafodelista"/>
        <w:numPr>
          <w:ilvl w:val="0"/>
          <w:numId w:val="58"/>
        </w:numPr>
        <w:autoSpaceDE w:val="0"/>
        <w:autoSpaceDN w:val="0"/>
        <w:adjustRightInd w:val="0"/>
        <w:spacing w:after="160" w:line="259" w:lineRule="auto"/>
        <w:rPr>
          <w:rFonts w:cs="Arial"/>
          <w:color w:val="000000" w:themeColor="text1"/>
        </w:rPr>
      </w:pPr>
      <w:r w:rsidRPr="00A07D9A">
        <w:rPr>
          <w:rFonts w:cs="Arial"/>
          <w:color w:val="000000" w:themeColor="text1"/>
        </w:rPr>
        <w:t>En reuniones de comités o grupos de trabajo previamente acordados.</w:t>
      </w:r>
    </w:p>
    <w:p w14:paraId="1BA1D684" w14:textId="77D4CD1A" w:rsidR="009665E5" w:rsidRPr="00A07D9A" w:rsidRDefault="009665E5" w:rsidP="00BF3A6C">
      <w:pPr>
        <w:autoSpaceDE w:val="0"/>
        <w:autoSpaceDN w:val="0"/>
        <w:adjustRightInd w:val="0"/>
        <w:rPr>
          <w:rFonts w:cs="Arial"/>
          <w:color w:val="000000" w:themeColor="text1"/>
        </w:rPr>
      </w:pPr>
      <w:r w:rsidRPr="00A07D9A">
        <w:rPr>
          <w:rFonts w:cs="Arial"/>
          <w:color w:val="000000" w:themeColor="text1"/>
        </w:rPr>
        <w:t>En los casos previstos en las fracciones II, III y IV, los servidores públicos deben llevar un registro en el que se asentarán la identificación del expediente o asunto, los agentes regulados o representantes legales que intervinieron y el tema tratado. El registro será resguardado por el Titular de la Unidad Administrativa o Comisionado al que se encuentre adscrito.</w:t>
      </w:r>
    </w:p>
    <w:sectPr w:rsidR="009665E5" w:rsidRPr="00A07D9A" w:rsidSect="00030283">
      <w:pgSz w:w="12240" w:h="15840" w:code="1"/>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08636" w14:textId="77777777" w:rsidR="00342F4A" w:rsidRDefault="00342F4A" w:rsidP="009844DA">
      <w:r>
        <w:separator/>
      </w:r>
    </w:p>
  </w:endnote>
  <w:endnote w:type="continuationSeparator" w:id="0">
    <w:p w14:paraId="4E6E0316" w14:textId="77777777" w:rsidR="00342F4A" w:rsidRDefault="00342F4A" w:rsidP="009844DA">
      <w:r>
        <w:continuationSeparator/>
      </w:r>
    </w:p>
  </w:endnote>
  <w:endnote w:type="continuationNotice" w:id="1">
    <w:p w14:paraId="5EC21D4A" w14:textId="77777777" w:rsidR="00342F4A" w:rsidRDefault="00342F4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110717"/>
      <w:docPartObj>
        <w:docPartGallery w:val="Page Numbers (Bottom of Page)"/>
        <w:docPartUnique/>
      </w:docPartObj>
    </w:sdtPr>
    <w:sdtEndPr>
      <w:rPr>
        <w:sz w:val="20"/>
        <w:szCs w:val="20"/>
      </w:rPr>
    </w:sdtEndPr>
    <w:sdtContent>
      <w:p w14:paraId="70BED755" w14:textId="77777777" w:rsidR="00E532A3" w:rsidRPr="00652B5F" w:rsidRDefault="00E532A3" w:rsidP="00652B5F">
        <w:pPr>
          <w:pStyle w:val="Piedepgina"/>
          <w:jc w:val="right"/>
          <w:rPr>
            <w:sz w:val="20"/>
            <w:szCs w:val="20"/>
          </w:rPr>
        </w:pPr>
        <w:r w:rsidRPr="003F0E52">
          <w:rPr>
            <w:sz w:val="20"/>
            <w:szCs w:val="20"/>
          </w:rPr>
          <w:fldChar w:fldCharType="begin"/>
        </w:r>
        <w:r w:rsidRPr="003F0E52">
          <w:rPr>
            <w:sz w:val="20"/>
            <w:szCs w:val="20"/>
          </w:rPr>
          <w:instrText>PAGE   \* MERGEFORMAT</w:instrText>
        </w:r>
        <w:r w:rsidRPr="003F0E52">
          <w:rPr>
            <w:sz w:val="20"/>
            <w:szCs w:val="20"/>
          </w:rPr>
          <w:fldChar w:fldCharType="separate"/>
        </w:r>
        <w:r>
          <w:rPr>
            <w:noProof/>
            <w:sz w:val="20"/>
            <w:szCs w:val="20"/>
          </w:rPr>
          <w:t>5</w:t>
        </w:r>
        <w:r w:rsidRPr="003F0E52">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868017"/>
      <w:docPartObj>
        <w:docPartGallery w:val="Page Numbers (Bottom of Page)"/>
        <w:docPartUnique/>
      </w:docPartObj>
    </w:sdtPr>
    <w:sdtEndPr>
      <w:rPr>
        <w:sz w:val="20"/>
        <w:szCs w:val="20"/>
      </w:rPr>
    </w:sdtEndPr>
    <w:sdtContent>
      <w:p w14:paraId="7A327FB0" w14:textId="77777777" w:rsidR="00BD77B6" w:rsidRPr="006710DD" w:rsidRDefault="00BD77B6" w:rsidP="006710DD">
        <w:pPr>
          <w:pStyle w:val="Piedepgina"/>
          <w:jc w:val="center"/>
          <w:rPr>
            <w:sz w:val="20"/>
            <w:szCs w:val="20"/>
          </w:rPr>
        </w:pPr>
        <w:r w:rsidRPr="006710DD">
          <w:rPr>
            <w:sz w:val="20"/>
            <w:szCs w:val="20"/>
          </w:rPr>
          <w:fldChar w:fldCharType="begin"/>
        </w:r>
        <w:r w:rsidRPr="006710DD">
          <w:rPr>
            <w:sz w:val="20"/>
            <w:szCs w:val="20"/>
          </w:rPr>
          <w:instrText>PAGE   \* MERGEFORMAT</w:instrText>
        </w:r>
        <w:r w:rsidRPr="006710DD">
          <w:rPr>
            <w:sz w:val="20"/>
            <w:szCs w:val="20"/>
          </w:rPr>
          <w:fldChar w:fldCharType="separate"/>
        </w:r>
        <w:r w:rsidR="00E532A3">
          <w:rPr>
            <w:noProof/>
            <w:sz w:val="20"/>
            <w:szCs w:val="20"/>
          </w:rPr>
          <w:t>15</w:t>
        </w:r>
        <w:r w:rsidRPr="006710DD">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1709E" w14:textId="77777777" w:rsidR="00342F4A" w:rsidRDefault="00342F4A" w:rsidP="009844DA">
      <w:r>
        <w:separator/>
      </w:r>
    </w:p>
  </w:footnote>
  <w:footnote w:type="continuationSeparator" w:id="0">
    <w:p w14:paraId="69EB1D7D" w14:textId="77777777" w:rsidR="00342F4A" w:rsidRDefault="00342F4A" w:rsidP="009844DA">
      <w:r>
        <w:continuationSeparator/>
      </w:r>
    </w:p>
  </w:footnote>
  <w:footnote w:type="continuationNotice" w:id="1">
    <w:p w14:paraId="08A7584B" w14:textId="77777777" w:rsidR="00342F4A" w:rsidRDefault="00342F4A">
      <w:pPr>
        <w:spacing w:before="0" w:after="0" w:line="240" w:lineRule="auto"/>
      </w:pPr>
    </w:p>
  </w:footnote>
  <w:footnote w:id="2">
    <w:p w14:paraId="169F867E" w14:textId="77777777" w:rsidR="00E532A3" w:rsidRDefault="00E532A3" w:rsidP="00E532A3">
      <w:pPr>
        <w:pStyle w:val="Textonotapie"/>
      </w:pPr>
      <w:r>
        <w:rPr>
          <w:rStyle w:val="Refdenotaalpie"/>
        </w:rPr>
        <w:footnoteRef/>
      </w:r>
      <w:r>
        <w:t xml:space="preserve"> </w:t>
      </w:r>
      <w:r w:rsidRPr="00BB2F8B">
        <w:rPr>
          <w:sz w:val="18"/>
          <w:szCs w:val="18"/>
        </w:rPr>
        <w:t xml:space="preserve">Información pública disponible en la siguiente página de Internet </w:t>
      </w:r>
      <w:r w:rsidRPr="008E414F">
        <w:rPr>
          <w:sz w:val="18"/>
          <w:szCs w:val="18"/>
        </w:rPr>
        <w:t>http://dof.gob.mx/nota_detalle.php?codigo=5466860&amp;fecha=23/12/2016</w:t>
      </w:r>
    </w:p>
  </w:footnote>
  <w:footnote w:id="3">
    <w:p w14:paraId="00F73D56" w14:textId="77777777" w:rsidR="00E532A3" w:rsidRPr="00BC43B8" w:rsidRDefault="00E532A3" w:rsidP="00E532A3">
      <w:pPr>
        <w:pStyle w:val="Textonotapie"/>
        <w:rPr>
          <w:sz w:val="18"/>
          <w:szCs w:val="18"/>
        </w:rPr>
      </w:pPr>
      <w:r w:rsidRPr="00BC43B8">
        <w:rPr>
          <w:rStyle w:val="Refdenotaalpie"/>
          <w:sz w:val="18"/>
          <w:szCs w:val="18"/>
        </w:rPr>
        <w:footnoteRef/>
      </w:r>
      <w:r>
        <w:rPr>
          <w:sz w:val="18"/>
          <w:szCs w:val="18"/>
        </w:rPr>
        <w:t xml:space="preserve"> Información pública disponible en la siguiente página de Internet:</w:t>
      </w:r>
      <w:r w:rsidRPr="00BC43B8">
        <w:rPr>
          <w:sz w:val="18"/>
          <w:szCs w:val="18"/>
        </w:rPr>
        <w:t xml:space="preserve">  </w:t>
      </w:r>
      <w:r w:rsidRPr="008E414F">
        <w:rPr>
          <w:sz w:val="18"/>
          <w:szCs w:val="18"/>
        </w:rPr>
        <w:t>http://www.ift.org.mx/industria/consultas-publicas/consulta-publica-sobre-el-anteproyecto-de-guia-para-el-control-de-concentraciones-en-los-sectores-de</w:t>
      </w:r>
      <w:r w:rsidRPr="00BC43B8">
        <w:rPr>
          <w:rStyle w:val="Hipervnculo"/>
          <w:sz w:val="18"/>
          <w:szCs w:val="18"/>
        </w:rPr>
        <w:t xml:space="preserve"> </w:t>
      </w:r>
    </w:p>
  </w:footnote>
  <w:footnote w:id="4">
    <w:p w14:paraId="27F8AA24" w14:textId="77777777" w:rsidR="00E532A3" w:rsidRDefault="00E532A3" w:rsidP="00E532A3">
      <w:pPr>
        <w:pStyle w:val="Textonotapie"/>
      </w:pPr>
      <w:r w:rsidRPr="00BC43B8">
        <w:rPr>
          <w:rStyle w:val="Refdenotaalpie"/>
          <w:sz w:val="18"/>
          <w:szCs w:val="18"/>
        </w:rPr>
        <w:footnoteRef/>
      </w:r>
      <w:r w:rsidRPr="00BC43B8">
        <w:rPr>
          <w:sz w:val="18"/>
          <w:szCs w:val="18"/>
        </w:rPr>
        <w:t xml:space="preserve"> En términos de los formatos de participación en el proceso de consulta pública, disponibles en la página de internet del Instituto.</w:t>
      </w:r>
    </w:p>
  </w:footnote>
  <w:footnote w:id="5">
    <w:p w14:paraId="09A3ECC4" w14:textId="77777777" w:rsidR="00E532A3" w:rsidRDefault="00E532A3" w:rsidP="00E532A3">
      <w:pPr>
        <w:pStyle w:val="Textonotapie"/>
      </w:pPr>
      <w:r>
        <w:rPr>
          <w:rStyle w:val="Refdenotaalpie"/>
        </w:rPr>
        <w:footnoteRef/>
      </w:r>
      <w:r>
        <w:t xml:space="preserve"> </w:t>
      </w:r>
      <w:r w:rsidRPr="00BB2F8B">
        <w:rPr>
          <w:sz w:val="18"/>
        </w:rPr>
        <w:t xml:space="preserve">Información pública disponible en la siguiente página de Internet </w:t>
      </w:r>
      <w:r w:rsidRPr="008E414F">
        <w:rPr>
          <w:sz w:val="18"/>
        </w:rPr>
        <w:t>http://www.ift.org.mx/sites/default/files/industria/temasrelevantes/9195/documentos/informeguiapdf31032017.pdf</w:t>
      </w:r>
    </w:p>
  </w:footnote>
  <w:footnote w:id="6">
    <w:p w14:paraId="6F23C29B" w14:textId="77777777" w:rsidR="00BD77B6" w:rsidRPr="00D22DB1" w:rsidRDefault="00BD77B6" w:rsidP="00D378B1">
      <w:pPr>
        <w:pStyle w:val="Textonotapie"/>
        <w:rPr>
          <w:lang w:val="es-MX"/>
        </w:rPr>
      </w:pPr>
      <w:r w:rsidRPr="00D22DB1">
        <w:rPr>
          <w:rStyle w:val="Refdenotaalpie"/>
        </w:rPr>
        <w:footnoteRef/>
      </w:r>
      <w:r w:rsidRPr="00D22DB1">
        <w:t xml:space="preserve"> </w:t>
      </w:r>
      <w:r w:rsidRPr="00D22DB1">
        <w:rPr>
          <w:lang w:val="es-MX"/>
        </w:rPr>
        <w:t xml:space="preserve">Artículo 5°, primer párrafo, de la CPEUM. </w:t>
      </w:r>
    </w:p>
  </w:footnote>
  <w:footnote w:id="7">
    <w:p w14:paraId="49EDAB4B" w14:textId="77777777" w:rsidR="00BD77B6" w:rsidRPr="00627F62" w:rsidRDefault="00BD77B6">
      <w:pPr>
        <w:pStyle w:val="Textonotapie"/>
        <w:rPr>
          <w:lang w:val="es-MX"/>
        </w:rPr>
      </w:pPr>
      <w:r w:rsidRPr="00D22DB1">
        <w:rPr>
          <w:rStyle w:val="Refdenotaalpie"/>
        </w:rPr>
        <w:footnoteRef/>
      </w:r>
      <w:r w:rsidRPr="00627F62">
        <w:t xml:space="preserve"> El artículo 28, párrafo segundo, de la CPEUM textualmente señala: </w:t>
      </w:r>
      <w:r w:rsidRPr="00627F62">
        <w:rPr>
          <w:i/>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footnote>
  <w:footnote w:id="8">
    <w:p w14:paraId="3DD1472B" w14:textId="77777777" w:rsidR="00BD77B6" w:rsidRPr="00627F62" w:rsidRDefault="00BD77B6" w:rsidP="00D378B1">
      <w:pPr>
        <w:pStyle w:val="Textonotapie"/>
        <w:rPr>
          <w:lang w:val="es-MX"/>
        </w:rPr>
      </w:pPr>
      <w:r w:rsidRPr="00627F62">
        <w:rPr>
          <w:rStyle w:val="Refdenotaalpie"/>
        </w:rPr>
        <w:footnoteRef/>
      </w:r>
      <w:r w:rsidRPr="00627F62">
        <w:t xml:space="preserve"> Artículos 28, párrafos undécimo, decimocuarto y decimosexto, de la CPEUM. </w:t>
      </w:r>
    </w:p>
  </w:footnote>
  <w:footnote w:id="9">
    <w:p w14:paraId="20A41E2E" w14:textId="77777777" w:rsidR="00BD77B6" w:rsidRPr="00627F62" w:rsidRDefault="00BD77B6" w:rsidP="00D378B1">
      <w:pPr>
        <w:pStyle w:val="Textonotapie"/>
        <w:rPr>
          <w:lang w:val="es-MX"/>
        </w:rPr>
      </w:pPr>
      <w:r w:rsidRPr="00627F62">
        <w:rPr>
          <w:rStyle w:val="Refdenotaalpie"/>
        </w:rPr>
        <w:footnoteRef/>
      </w:r>
      <w:r w:rsidRPr="00627F62">
        <w:t xml:space="preserve"> Artículos 28, párrafo decimosexto, de la CPEUM; 5, párrafo primero, de la LFCE y 7, párrafo tercero, de la LFTR.</w:t>
      </w:r>
    </w:p>
  </w:footnote>
  <w:footnote w:id="10">
    <w:p w14:paraId="53269138" w14:textId="4B913246" w:rsidR="00BD77B6" w:rsidRPr="00627F62" w:rsidRDefault="00BD77B6">
      <w:pPr>
        <w:pStyle w:val="Textonotapie"/>
        <w:rPr>
          <w:lang w:val="es-MX"/>
        </w:rPr>
      </w:pPr>
      <w:r w:rsidRPr="00627F62">
        <w:rPr>
          <w:rStyle w:val="Refdenotaalpie"/>
        </w:rPr>
        <w:footnoteRef/>
      </w:r>
      <w:r w:rsidRPr="00627F62">
        <w:t xml:space="preserve"> Adicionalmente a los términos establecidos en la LFCE y las D</w:t>
      </w:r>
      <w:r>
        <w:t xml:space="preserve">isposiciones </w:t>
      </w:r>
      <w:r w:rsidRPr="00627F62">
        <w:t>R</w:t>
      </w:r>
      <w:r>
        <w:t>egulatorias</w:t>
      </w:r>
      <w:r w:rsidRPr="00627F62">
        <w:t xml:space="preserve">, para efectos del presento documento se considerarán necesarias las abreviaturas que se muestran en este Glosario. </w:t>
      </w:r>
    </w:p>
  </w:footnote>
  <w:footnote w:id="11">
    <w:p w14:paraId="099DE844" w14:textId="676BCEEC" w:rsidR="00BD77B6" w:rsidRPr="00627F62" w:rsidRDefault="00BD77B6">
      <w:pPr>
        <w:pStyle w:val="Textonotapie"/>
        <w:rPr>
          <w:lang w:val="es-MX"/>
        </w:rPr>
      </w:pPr>
      <w:r w:rsidRPr="00627F62">
        <w:rPr>
          <w:rStyle w:val="Refdenotaalpie"/>
        </w:rPr>
        <w:footnoteRef/>
      </w:r>
      <w:r w:rsidRPr="00627F62">
        <w:t xml:space="preserve"> Este documento fue publicado en el Diario Oficial de la Federación el doce de enero de dos mil quince y se encuentra </w:t>
      </w:r>
      <w:r w:rsidRPr="00627F62">
        <w:rPr>
          <w:lang w:val="es-MX"/>
        </w:rPr>
        <w:t xml:space="preserve">disponible para su consulta en la siguiente página de Internet: </w:t>
      </w:r>
      <w:r w:rsidRPr="00564016">
        <w:rPr>
          <w:lang w:val="es-MX"/>
        </w:rPr>
        <w:t>http://www.dof.gob.mx/nota_detalle.php?codigo=5378340&amp;fecha=12/01/2015</w:t>
      </w:r>
      <w:r w:rsidRPr="00627F62">
        <w:rPr>
          <w:lang w:val="es-MX"/>
        </w:rPr>
        <w:t xml:space="preserve">. </w:t>
      </w:r>
    </w:p>
  </w:footnote>
  <w:footnote w:id="12">
    <w:p w14:paraId="09E420CB" w14:textId="7EFEF2B0" w:rsidR="00BD77B6" w:rsidRPr="00627F62" w:rsidRDefault="00BD77B6" w:rsidP="00605675">
      <w:pPr>
        <w:pStyle w:val="Textonotapie"/>
      </w:pPr>
      <w:r w:rsidRPr="00627F62">
        <w:rPr>
          <w:rStyle w:val="Refdenotaalpie"/>
        </w:rPr>
        <w:footnoteRef/>
      </w:r>
      <w:r w:rsidRPr="00627F62">
        <w:t xml:space="preserve"> Si bien la LFCE hace referencia a salario mínimo general diario vigente para el Distrito Federal, a partir del [27] de enero de 2016, dejó de emplearse esta referencia y, en su lugar, se emplea la unidad de medida y actualización que determine el Instituto Nacional de Estadística y Geografía. Véase, por ejemplo, INEGI (2016), BOLETÍN DE PRENSA NÚM. 28/16, disponible en: </w:t>
      </w:r>
      <w:r w:rsidRPr="002825C7">
        <w:t>http://www.gob.mx/cms/uploads/attachment/file/160551/BOLETIN_INEGI_28ene2016-1.pdf</w:t>
      </w:r>
      <w:r w:rsidRPr="00627F62">
        <w:t xml:space="preserve">; y “Unidad de Medida y Actualización (UMA)”, disponible en: </w:t>
      </w:r>
      <w:r w:rsidRPr="002825C7">
        <w:t>http://www.inegi.org.mx/est/contenidos/proyectos/uma/default.aspx</w:t>
      </w:r>
      <w:r w:rsidRPr="00627F62">
        <w:t xml:space="preserve">. </w:t>
      </w:r>
    </w:p>
  </w:footnote>
  <w:footnote w:id="13">
    <w:p w14:paraId="0FCAC60B" w14:textId="77777777" w:rsidR="00BD77B6" w:rsidRPr="00627F62" w:rsidRDefault="00BD77B6" w:rsidP="00D378B1">
      <w:pPr>
        <w:pStyle w:val="Textonotapie"/>
        <w:rPr>
          <w:lang w:val="es-MX"/>
        </w:rPr>
      </w:pPr>
      <w:r w:rsidRPr="00627F62">
        <w:rPr>
          <w:rStyle w:val="Refdenotaalpie"/>
        </w:rPr>
        <w:footnoteRef/>
      </w:r>
      <w:r w:rsidRPr="00627F62">
        <w:t xml:space="preserve"> </w:t>
      </w:r>
      <w:r w:rsidRPr="00627F62">
        <w:rPr>
          <w:lang w:val="es-MX"/>
        </w:rPr>
        <w:t>Ver, por ejemplo, el numeral 4.1. del Acuerdo P/IFT/210915/402 emitido por el Pleno del Instituto, página 24. Versión pública disponible en:</w:t>
      </w:r>
    </w:p>
    <w:p w14:paraId="711C539C" w14:textId="1652EAB4" w:rsidR="00BD77B6" w:rsidRPr="00D22DB1" w:rsidRDefault="00BD77B6" w:rsidP="00D378B1">
      <w:pPr>
        <w:pStyle w:val="Textonotapie"/>
        <w:rPr>
          <w:lang w:val="es-MX"/>
        </w:rPr>
      </w:pPr>
      <w:r w:rsidRPr="00BF3A6C">
        <w:rPr>
          <w:lang w:val="es-MX"/>
        </w:rPr>
        <w:t>http://www.ift.org.mx/sites/default/files/conocenos/pleno/sesiones/acuerdoliga/versionpublicaucepift210915402.pdf</w:t>
      </w:r>
      <w:r w:rsidRPr="00D22DB1">
        <w:rPr>
          <w:lang w:val="es-MX"/>
        </w:rPr>
        <w:t xml:space="preserve">. </w:t>
      </w:r>
    </w:p>
  </w:footnote>
  <w:footnote w:id="14">
    <w:p w14:paraId="66C069AD" w14:textId="77777777" w:rsidR="00BD77B6" w:rsidRPr="00D22DB1" w:rsidRDefault="00BD77B6" w:rsidP="00D22DB1">
      <w:pPr>
        <w:pStyle w:val="Textonotapie"/>
      </w:pPr>
      <w:r w:rsidRPr="00D22DB1">
        <w:rPr>
          <w:rStyle w:val="Refdenotaalpie"/>
        </w:rPr>
        <w:footnoteRef/>
      </w:r>
      <w:r w:rsidRPr="00D22DB1">
        <w:t xml:space="preserve"> </w:t>
      </w:r>
      <w:r>
        <w:t xml:space="preserve">La Suprema Corte de Justicia de la Nación (SCJN) resolvió que los derechos </w:t>
      </w:r>
      <w:r w:rsidRPr="00D22DB1">
        <w:t>que las personas morales o jurídicas son, en efecto, titulares de los derechos fundamentales consagrados en la Constitución</w:t>
      </w:r>
      <w:r>
        <w:t xml:space="preserve">. Véase, </w:t>
      </w:r>
      <w:proofErr w:type="gramStart"/>
      <w:r w:rsidRPr="00D22DB1">
        <w:t>Registro</w:t>
      </w:r>
      <w:proofErr w:type="gramEnd"/>
      <w:r w:rsidRPr="00D22DB1">
        <w:t xml:space="preserve"> No. 2 008 584, PRINCIPIO DE INTERPRETACIÓN MÁS FAVORABLE A LA PERSONA. ES APLICABLE RESPECTO DE LAS NORMAS RELATIVAS A LOS DERECHOS HUMANOS DE LOS QUE SEAN TITULARES LAS PERSONAS MORALES. Localización: [Jurisprudencia]; 10a. Época; Pleno; Gaceta S.J.F.; Libro 16, Marzo de 2015; Tomo </w:t>
      </w:r>
      <w:proofErr w:type="gramStart"/>
      <w:r w:rsidRPr="00D22DB1">
        <w:t>I ;</w:t>
      </w:r>
      <w:proofErr w:type="gramEnd"/>
      <w:r w:rsidRPr="00D22DB1">
        <w:t xml:space="preserve"> Pág. 117. </w:t>
      </w:r>
      <w:proofErr w:type="gramStart"/>
      <w:r w:rsidRPr="00D22DB1">
        <w:t>P./</w:t>
      </w:r>
      <w:proofErr w:type="gramEnd"/>
      <w:r w:rsidRPr="00D22DB1">
        <w:t>J. 1/2015 (10a.).</w:t>
      </w:r>
    </w:p>
  </w:footnote>
  <w:footnote w:id="15">
    <w:p w14:paraId="7EA30229" w14:textId="77777777" w:rsidR="00BD77B6" w:rsidRPr="00D22DB1" w:rsidRDefault="00BD77B6" w:rsidP="00D378B1">
      <w:pPr>
        <w:pStyle w:val="Textonotapie"/>
        <w:rPr>
          <w:lang w:val="es-MX"/>
        </w:rPr>
      </w:pPr>
      <w:r w:rsidRPr="00D22DB1">
        <w:rPr>
          <w:rStyle w:val="Refdenotaalpie"/>
        </w:rPr>
        <w:footnoteRef/>
      </w:r>
      <w:r w:rsidRPr="00D22DB1">
        <w:t xml:space="preserve"> Artículos 28, párrafo decimocuarto, de la CPEUM y 2, 10 y 12, fracción I, de la LFCE. </w:t>
      </w:r>
    </w:p>
  </w:footnote>
  <w:footnote w:id="16">
    <w:p w14:paraId="4E96E9D0" w14:textId="77777777" w:rsidR="00BD77B6" w:rsidRPr="00627F62" w:rsidRDefault="00BD77B6" w:rsidP="00D378B1">
      <w:pPr>
        <w:pStyle w:val="Textonotapie"/>
      </w:pPr>
      <w:r w:rsidRPr="00627F62">
        <w:rPr>
          <w:rStyle w:val="Refdenotaalpie"/>
        </w:rPr>
        <w:footnoteRef/>
      </w:r>
      <w:r w:rsidRPr="00627F62">
        <w:t xml:space="preserve"> Numeral 15 de la sección Antecedentes de la Declaratoria de publicidad de dictámenes De la Comisión de Economía, por el que se expide la Ley Federal de Competencia Económica y se reforma el artículo 254 Bis del Código Penal Federal; así como el artículo 78 inciso d), 79 fracción V, 93 fracción III, 104, fracción IV, 106 último párrafo y 110 párrafo 6 de la LFTR. </w:t>
      </w:r>
    </w:p>
  </w:footnote>
  <w:footnote w:id="17">
    <w:p w14:paraId="0E94A16A" w14:textId="77777777" w:rsidR="00BD77B6" w:rsidRPr="00627F62" w:rsidRDefault="00BD77B6" w:rsidP="00E625EF">
      <w:pPr>
        <w:pStyle w:val="Textonotapie"/>
        <w:rPr>
          <w:lang w:val="en-US"/>
        </w:rPr>
      </w:pPr>
      <w:r w:rsidRPr="00627F62">
        <w:rPr>
          <w:rStyle w:val="Refdenotaalpie"/>
        </w:rPr>
        <w:footnoteRef/>
      </w:r>
      <w:r w:rsidRPr="00627F62">
        <w:rPr>
          <w:lang w:val="en-US"/>
        </w:rPr>
        <w:t xml:space="preserve"> OCDE (2014), Investigations of Consummated and Non-Notifiable Mergers, numeral 4.1. Mergers falling below the mandatory notification thresholds, </w:t>
      </w:r>
      <w:proofErr w:type="spellStart"/>
      <w:r w:rsidRPr="00627F62">
        <w:rPr>
          <w:lang w:val="en-US"/>
        </w:rPr>
        <w:t>páginas</w:t>
      </w:r>
      <w:proofErr w:type="spellEnd"/>
      <w:r w:rsidRPr="00627F62">
        <w:rPr>
          <w:lang w:val="en-US"/>
        </w:rPr>
        <w:t xml:space="preserve"> 7 a 10. </w:t>
      </w:r>
      <w:proofErr w:type="spellStart"/>
      <w:r w:rsidRPr="00627F62">
        <w:rPr>
          <w:lang w:val="en-US"/>
        </w:rPr>
        <w:t>Disponible</w:t>
      </w:r>
      <w:proofErr w:type="spellEnd"/>
      <w:r w:rsidRPr="00627F62">
        <w:rPr>
          <w:lang w:val="en-US"/>
        </w:rPr>
        <w:t xml:space="preserve"> </w:t>
      </w:r>
      <w:proofErr w:type="spellStart"/>
      <w:r w:rsidRPr="00627F62">
        <w:rPr>
          <w:lang w:val="en-US"/>
        </w:rPr>
        <w:t>en</w:t>
      </w:r>
      <w:proofErr w:type="spellEnd"/>
      <w:r w:rsidRPr="00627F62">
        <w:rPr>
          <w:lang w:val="en-US"/>
        </w:rPr>
        <w:t>:</w:t>
      </w:r>
    </w:p>
    <w:p w14:paraId="7701129B" w14:textId="3284EF18" w:rsidR="00BD77B6" w:rsidRPr="00627F62" w:rsidRDefault="00BD77B6" w:rsidP="00E625EF">
      <w:pPr>
        <w:pStyle w:val="Textonotapie"/>
        <w:rPr>
          <w:i/>
          <w:lang w:val="en-US"/>
        </w:rPr>
      </w:pPr>
      <w:r w:rsidRPr="00BF3A6C">
        <w:rPr>
          <w:i/>
          <w:lang w:val="en-US"/>
        </w:rPr>
        <w:t>http://www.oecd.org/officialdocuments/publicdisplaydocumentpdf/?cote=DAF/COMP/</w:t>
      </w:r>
      <w:proofErr w:type="gramStart"/>
      <w:r w:rsidRPr="00BF3A6C">
        <w:rPr>
          <w:i/>
          <w:lang w:val="en-US"/>
        </w:rPr>
        <w:t>WP3(</w:t>
      </w:r>
      <w:proofErr w:type="gramEnd"/>
      <w:r w:rsidRPr="00BF3A6C">
        <w:rPr>
          <w:i/>
          <w:lang w:val="en-US"/>
        </w:rPr>
        <w:t>2014)1&amp;doclanguage=en</w:t>
      </w:r>
      <w:r w:rsidRPr="00627F62">
        <w:rPr>
          <w:i/>
          <w:lang w:val="en-US"/>
        </w:rPr>
        <w:t>.</w:t>
      </w:r>
    </w:p>
  </w:footnote>
  <w:footnote w:id="18">
    <w:p w14:paraId="7F33BFDD" w14:textId="77777777" w:rsidR="00BD77B6" w:rsidRPr="00627F62" w:rsidRDefault="00BD77B6" w:rsidP="00D378B1">
      <w:pPr>
        <w:pStyle w:val="Textonotapie"/>
      </w:pPr>
      <w:r w:rsidRPr="00627F62">
        <w:rPr>
          <w:rStyle w:val="Refdenotaalpie"/>
        </w:rPr>
        <w:footnoteRef/>
      </w:r>
      <w:r w:rsidRPr="00627F62">
        <w:t xml:space="preserve"> Resolución del Pleno del Instituto emitida mediante Acuerdo P/IFT/EXT/290415/86, correspondiente al expediente UCE/CNC-001-2015, disponible en:</w:t>
      </w:r>
    </w:p>
    <w:p w14:paraId="7F546F5A" w14:textId="096DF176" w:rsidR="00BD77B6" w:rsidRPr="00627F62" w:rsidRDefault="00BD77B6" w:rsidP="00D378B1">
      <w:pPr>
        <w:pStyle w:val="Textonotapie"/>
      </w:pPr>
      <w:r w:rsidRPr="00BF3A6C">
        <w:t>http://www.ift.org.mx/sites/default/files/conocenos/pleno/sesiones/acuerdoliga/versionpublicapiftext29041586.pdf</w:t>
      </w:r>
      <w:r w:rsidRPr="00627F62">
        <w:t xml:space="preserve"> </w:t>
      </w:r>
    </w:p>
  </w:footnote>
  <w:footnote w:id="19">
    <w:p w14:paraId="6540C974" w14:textId="77777777" w:rsidR="00BD77B6" w:rsidRPr="00627F62" w:rsidRDefault="00BD77B6" w:rsidP="00D378B1">
      <w:pPr>
        <w:pStyle w:val="Textonotapie"/>
      </w:pPr>
      <w:r w:rsidRPr="00627F62">
        <w:rPr>
          <w:rStyle w:val="Refdenotaalpie"/>
        </w:rPr>
        <w:footnoteRef/>
      </w:r>
      <w:r w:rsidRPr="00627F62">
        <w:t xml:space="preserve"> Resulta aplicable la Resolución del Pleno del Instituto emitida mediante Acuerdo P/IFT/180315 /93, correspondiente al expediente UCE/CNC-007-2014, disponible en:</w:t>
      </w:r>
    </w:p>
    <w:p w14:paraId="017D476D" w14:textId="7F30E3C2" w:rsidR="00BD77B6" w:rsidRPr="00627F62" w:rsidRDefault="00BD77B6" w:rsidP="00D378B1">
      <w:pPr>
        <w:pStyle w:val="Textonotapie"/>
      </w:pPr>
      <w:r w:rsidRPr="00BF3A6C">
        <w:t>http://apps.ift.org.mx/publicdata/Version_Publica_P_IFT_180315_93.pdf</w:t>
      </w:r>
      <w:r w:rsidRPr="00627F62">
        <w:t xml:space="preserve"> </w:t>
      </w:r>
    </w:p>
    <w:p w14:paraId="3E29E3BC" w14:textId="77777777" w:rsidR="00BD77B6" w:rsidRPr="00627F62" w:rsidRDefault="00BD77B6" w:rsidP="00D378B1">
      <w:pPr>
        <w:pStyle w:val="Textonotapie"/>
      </w:pPr>
      <w:r w:rsidRPr="00627F62">
        <w:t>Asimismo, véase inciso b), del numeral 6.4.3, de la Resolución del Pleno del Instituto emitida mediante Acuerdo P/IFT/EXT/190216/7, correspondiente al expediente UCE/CNC-003-2015, disponible en:</w:t>
      </w:r>
    </w:p>
    <w:p w14:paraId="6812738B" w14:textId="5B3C1A21" w:rsidR="00BD77B6" w:rsidRPr="00627F62" w:rsidRDefault="00BD77B6" w:rsidP="00D378B1">
      <w:pPr>
        <w:pStyle w:val="Textonotapie"/>
      </w:pPr>
      <w:r w:rsidRPr="00BF3A6C">
        <w:t>http://www.ift.org.mx/sites/default/files/conocenos/pleno/sesiones/acuerdoliga/versionpublicapiftext1902167_1.pdf</w:t>
      </w:r>
      <w:r w:rsidRPr="00627F62">
        <w:t xml:space="preserve"> </w:t>
      </w:r>
    </w:p>
  </w:footnote>
  <w:footnote w:id="20">
    <w:p w14:paraId="26E79568" w14:textId="77777777" w:rsidR="00BD77B6" w:rsidRPr="00627F62" w:rsidRDefault="00BD77B6" w:rsidP="00D378B1">
      <w:pPr>
        <w:pStyle w:val="Textonotapie"/>
      </w:pPr>
      <w:r w:rsidRPr="00627F62">
        <w:rPr>
          <w:rStyle w:val="Refdenotaalpie"/>
        </w:rPr>
        <w:footnoteRef/>
      </w:r>
      <w:r w:rsidRPr="00627F62">
        <w:t xml:space="preserve"> Resolución del Pleno del Instituto emitida mediante Acuerdo P/IFT/EXT/170616/16, correspondiente al expediente UCE/AVC-001-2016, disponible en:</w:t>
      </w:r>
    </w:p>
    <w:p w14:paraId="1D5B7E91" w14:textId="7BF6E1E2" w:rsidR="00BD77B6" w:rsidRPr="00627F62" w:rsidRDefault="00BD77B6" w:rsidP="00D378B1">
      <w:pPr>
        <w:pStyle w:val="Textonotapie"/>
      </w:pPr>
      <w:r w:rsidRPr="00BF3A6C">
        <w:t>http://www.ift.org.mx/sites/default/files/conocenos/pleno/sesiones/acuerdoliga/versionpublicaucepiftext17061616.pdf</w:t>
      </w:r>
    </w:p>
  </w:footnote>
  <w:footnote w:id="21">
    <w:p w14:paraId="5A13349A" w14:textId="66F5BD4B" w:rsidR="00BD77B6" w:rsidRPr="00627F62" w:rsidRDefault="00BD77B6" w:rsidP="00D378B1">
      <w:pPr>
        <w:pStyle w:val="Textonotapie"/>
      </w:pPr>
      <w:r w:rsidRPr="00627F62">
        <w:rPr>
          <w:rStyle w:val="Refdenotaalpie"/>
        </w:rPr>
        <w:footnoteRef/>
      </w:r>
      <w:r w:rsidRPr="00627F62">
        <w:t xml:space="preserve"> Resolución del Pleno del Instituto emitida mediante Acuerdo P/IFT/200416/160, disponible en: </w:t>
      </w:r>
      <w:r w:rsidRPr="00BF3A6C">
        <w:t>http://www.ift.org.mx/sites/default/files/conocenos/pleno/sesiones_pleno/acuerdo_liga/version_publica_ucs_p_ift_200416_160_0.pdf</w:t>
      </w:r>
    </w:p>
  </w:footnote>
  <w:footnote w:id="22">
    <w:p w14:paraId="2DD5CD11" w14:textId="13010FFA" w:rsidR="00BD77B6" w:rsidRPr="00627F62" w:rsidRDefault="00BD77B6" w:rsidP="0054002D">
      <w:pPr>
        <w:pStyle w:val="Textonotapie"/>
        <w:ind w:firstLine="720"/>
      </w:pPr>
      <w:r w:rsidRPr="00627F62">
        <w:rPr>
          <w:rStyle w:val="Refdenotaalpie"/>
        </w:rPr>
        <w:footnoteRef/>
      </w:r>
      <w:r w:rsidRPr="00627F62">
        <w:t xml:space="preserve"> Aún y cuando no existe precedente emitido por el Pleno del Instituto, se considera que la adquisición de </w:t>
      </w:r>
      <w:proofErr w:type="spellStart"/>
      <w:r w:rsidRPr="00627F62">
        <w:t>ADRs</w:t>
      </w:r>
      <w:proofErr w:type="spellEnd"/>
      <w:r w:rsidRPr="00627F62">
        <w:t xml:space="preserve"> constituye una concentración, pues implica la adquisición de derechos sobre acciones representativas de capital sociales. Véase: </w:t>
      </w:r>
      <w:r w:rsidRPr="00BF3A6C">
        <w:t>https://www.sec.gov/answers/adrs.htm</w:t>
      </w:r>
      <w:r w:rsidRPr="00627F62">
        <w:t xml:space="preserve"> y </w:t>
      </w:r>
      <w:r w:rsidRPr="00BF3A6C">
        <w:t>https://www.sec.gov/investor/alerts/adr-bulletin.pdf</w:t>
      </w:r>
      <w:r w:rsidRPr="00627F62">
        <w:t xml:space="preserve"> </w:t>
      </w:r>
    </w:p>
  </w:footnote>
  <w:footnote w:id="23">
    <w:p w14:paraId="7E28C5D6" w14:textId="77777777" w:rsidR="00BD77B6" w:rsidRPr="00627F62" w:rsidRDefault="00BD77B6" w:rsidP="00D378B1">
      <w:pPr>
        <w:pStyle w:val="Textonotapie"/>
      </w:pPr>
      <w:r w:rsidRPr="00627F62">
        <w:rPr>
          <w:rStyle w:val="Refdenotaalpie"/>
        </w:rPr>
        <w:footnoteRef/>
      </w:r>
      <w:r w:rsidRPr="00627F62">
        <w:t xml:space="preserve"> Resulta aplicable el criterio adoptado por el Pleno del Instituto en su Resolución emitida mediante Acuerdo P/IFT/200416/160, disponible en:</w:t>
      </w:r>
    </w:p>
    <w:p w14:paraId="7D3A9993" w14:textId="55F92150" w:rsidR="00BD77B6" w:rsidRPr="00627F62" w:rsidRDefault="00BD77B6" w:rsidP="00D378B1">
      <w:pPr>
        <w:pStyle w:val="Textonotapie"/>
      </w:pPr>
      <w:r w:rsidRPr="00BF3A6C">
        <w:t>http://www.ift.org.mx/sites/default/files/conocenos/pleno/sesiones_pleno/acuerdo_liga/version_publica_ucs_p_ift_200416_160_0.pdf</w:t>
      </w:r>
    </w:p>
  </w:footnote>
  <w:footnote w:id="24">
    <w:p w14:paraId="4C229FE7" w14:textId="77777777" w:rsidR="00BD77B6" w:rsidRPr="00627F62" w:rsidRDefault="00BD77B6" w:rsidP="00D378B1">
      <w:pPr>
        <w:pStyle w:val="Textonotapie"/>
      </w:pPr>
      <w:r w:rsidRPr="00627F62">
        <w:rPr>
          <w:rStyle w:val="Refdenotaalpie"/>
        </w:rPr>
        <w:footnoteRef/>
      </w:r>
      <w:r w:rsidRPr="00627F62">
        <w:t xml:space="preserve"> Consiste en una extensión y aplicación del criterio adoptado por el Pleno del Instituto mediante Acuerdo P/IFT/EXT/151215/187, disponible en:</w:t>
      </w:r>
    </w:p>
    <w:p w14:paraId="675D325D" w14:textId="2F83DB81" w:rsidR="00BD77B6" w:rsidRPr="00627F62" w:rsidRDefault="00BD77B6" w:rsidP="00D378B1">
      <w:pPr>
        <w:pStyle w:val="Textonotapie"/>
      </w:pPr>
      <w:r w:rsidRPr="00BF3A6C">
        <w:t>http://www.ift.org.mx/sites/default/files/conocenos/pleno/sesiones_pleno/acuerdo_liga/p_ift_ext_151215_187.pdf</w:t>
      </w:r>
    </w:p>
  </w:footnote>
  <w:footnote w:id="25">
    <w:p w14:paraId="7D6204A1" w14:textId="77777777" w:rsidR="00BD77B6" w:rsidRPr="00627F62" w:rsidRDefault="00BD77B6">
      <w:pPr>
        <w:pStyle w:val="Textonotapie"/>
        <w:rPr>
          <w:lang w:val="es-MX"/>
        </w:rPr>
      </w:pPr>
      <w:r w:rsidRPr="00627F62">
        <w:rPr>
          <w:rStyle w:val="Refdenotaalpie"/>
        </w:rPr>
        <w:footnoteRef/>
      </w:r>
      <w:r w:rsidRPr="00627F62">
        <w:t xml:space="preserve"> </w:t>
      </w:r>
      <w:r w:rsidRPr="00627F62">
        <w:rPr>
          <w:lang w:val="es-MX"/>
        </w:rPr>
        <w:t>Artículo 104 de la LFTR.</w:t>
      </w:r>
    </w:p>
  </w:footnote>
  <w:footnote w:id="26">
    <w:p w14:paraId="34589571" w14:textId="77777777" w:rsidR="00BD77B6" w:rsidRPr="00627F62" w:rsidRDefault="00BD77B6" w:rsidP="00AD488F">
      <w:pPr>
        <w:pStyle w:val="Textonotapie"/>
      </w:pPr>
      <w:r w:rsidRPr="00627F62">
        <w:rPr>
          <w:rStyle w:val="Refdenotaalpie"/>
        </w:rPr>
        <w:footnoteRef/>
      </w:r>
      <w:r w:rsidRPr="00627F62">
        <w:t xml:space="preserve"> Véase Tesis Histórica AGENTES ECONÓMICOS. SU CONCEPTO [TESIS HISTÓRICA]], 1008260. 280 (H). Tribunales Colegiados de Circuito. Novena Época. Apéndice 1917-Septiembre 2011. Tomo IV. Administrativa Tercera Parte - Históricas Segunda Sección - TCC, página 1631. Disponible en: </w:t>
      </w:r>
    </w:p>
    <w:p w14:paraId="4569DAC1" w14:textId="4949EF68" w:rsidR="00BD77B6" w:rsidRPr="00627F62" w:rsidRDefault="00BD77B6" w:rsidP="00AD488F">
      <w:pPr>
        <w:pStyle w:val="Textonotapie"/>
      </w:pPr>
      <w:r w:rsidRPr="00BF3A6C">
        <w:t>http://ius.scjn.gob.mx/SJFSist/Documentos/Tesis/1008/1008260.pdf</w:t>
      </w:r>
      <w:r w:rsidRPr="00627F62">
        <w:t xml:space="preserve">. </w:t>
      </w:r>
    </w:p>
  </w:footnote>
  <w:footnote w:id="27">
    <w:p w14:paraId="08F9FBA1" w14:textId="77777777" w:rsidR="00BD77B6" w:rsidRPr="00627F62" w:rsidRDefault="00BD77B6" w:rsidP="00D378B1">
      <w:pPr>
        <w:pStyle w:val="Textonotapie"/>
      </w:pPr>
      <w:r w:rsidRPr="00627F62">
        <w:rPr>
          <w:rStyle w:val="Refdenotaalpie"/>
        </w:rPr>
        <w:footnoteRef/>
      </w:r>
      <w:r w:rsidRPr="00627F62">
        <w:t xml:space="preserve"> Véase Tesis Aislada I.1o.A.E.57 A (10a.), Registro No. 2009320, INSTITUTO FEDERAL DE TELECOMUNICACIONES. PUEDE DECLARAR PREPONDERANTE TANTO A UN AGENTE ECONÓMICO, COMO A UN GRUPO DE INTERÉS ECONÓMICO. Disponible en: </w:t>
      </w:r>
    </w:p>
    <w:p w14:paraId="7936F6F9" w14:textId="1F2A9729" w:rsidR="00BD77B6" w:rsidRPr="00627F62" w:rsidRDefault="00BD77B6" w:rsidP="00D378B1">
      <w:pPr>
        <w:pStyle w:val="Textonotapie"/>
      </w:pPr>
      <w:r w:rsidRPr="00BF3A6C">
        <w:t>http://sjf.scjn.gob.mx/SJFSem/Paginas/DetalleGeneralV2.aspx?ID=2009320&amp;Clase=DetalleSemanarioBL</w:t>
      </w:r>
      <w:r w:rsidRPr="00627F62">
        <w:t xml:space="preserve">. </w:t>
      </w:r>
    </w:p>
  </w:footnote>
  <w:footnote w:id="28">
    <w:p w14:paraId="4CADA418" w14:textId="77777777" w:rsidR="00BD77B6" w:rsidRPr="00627F62" w:rsidRDefault="00BD77B6" w:rsidP="00D378B1">
      <w:pPr>
        <w:pStyle w:val="Textonotapie"/>
      </w:pPr>
      <w:r w:rsidRPr="00627F62">
        <w:rPr>
          <w:rStyle w:val="Refdenotaalpie"/>
        </w:rPr>
        <w:footnoteRef/>
      </w:r>
      <w:r w:rsidRPr="00627F62">
        <w:t xml:space="preserve"> Al respecto, son aplicables los siguientes criterios judiciales: </w:t>
      </w:r>
    </w:p>
    <w:p w14:paraId="3C7D0D74" w14:textId="77777777" w:rsidR="00BD77B6" w:rsidRPr="00627F62" w:rsidRDefault="00BD77B6" w:rsidP="008F672A">
      <w:pPr>
        <w:pStyle w:val="Textonotapie"/>
        <w:numPr>
          <w:ilvl w:val="0"/>
          <w:numId w:val="64"/>
        </w:numPr>
        <w:ind w:left="426"/>
      </w:pPr>
      <w:r w:rsidRPr="00627F62">
        <w:t>Registro No. 168 470, GRUPO DE INTERÉS ECONÓMICO. SU CONCEPTO Y ELEMENTOS QUE LO INTEGRAN EN MATERIA DE COMPETENCIA ECONÓMICA, Localización: [Jurisprudencia]; 9a. Época; T.C.C.; S.J.F. y su Gaceta; Tomo XXVIII, Noviembre de 2008; Pág. 1244. I.4o.A. J/66.</w:t>
      </w:r>
    </w:p>
    <w:p w14:paraId="2479E1BA" w14:textId="77777777" w:rsidR="00BD77B6" w:rsidRPr="00627F62" w:rsidRDefault="00BD77B6" w:rsidP="008F672A">
      <w:pPr>
        <w:pStyle w:val="Textonotapie"/>
        <w:numPr>
          <w:ilvl w:val="0"/>
          <w:numId w:val="64"/>
        </w:numPr>
        <w:ind w:left="426"/>
      </w:pPr>
      <w:r w:rsidRPr="00627F62">
        <w:t>Ejecutoria del Amparo en Revisión 169/2007, Primera Sala de la Suprema Corte de Justicia de la Nación, y</w:t>
      </w:r>
    </w:p>
    <w:p w14:paraId="72D55417" w14:textId="77777777" w:rsidR="00BD77B6" w:rsidRPr="00627F62" w:rsidRDefault="00BD77B6" w:rsidP="008F672A">
      <w:pPr>
        <w:pStyle w:val="Textonotapie"/>
        <w:numPr>
          <w:ilvl w:val="0"/>
          <w:numId w:val="64"/>
        </w:numPr>
        <w:ind w:left="426"/>
      </w:pPr>
      <w:r w:rsidRPr="00627F62">
        <w:t>Ejecutoria del amparo en Revisión 479/2006, Cuarto Tribunal Colegiado en Materia Administrativa del Primer Circuito.</w:t>
      </w:r>
    </w:p>
    <w:p w14:paraId="7D07E70B" w14:textId="77777777" w:rsidR="00BD77B6" w:rsidRPr="00627F62" w:rsidRDefault="00BD77B6" w:rsidP="00D378B1">
      <w:pPr>
        <w:pStyle w:val="Textonotapie"/>
        <w:ind w:left="66"/>
      </w:pPr>
      <w:r w:rsidRPr="00627F62">
        <w:t>Asimismo, los procedentes judiciales aludidos guardan relación con los artículos 89, fracciones VII y VII y 93, fracciones I y II, de la LFCE,</w:t>
      </w:r>
    </w:p>
  </w:footnote>
  <w:footnote w:id="29">
    <w:p w14:paraId="33379865" w14:textId="77777777" w:rsidR="00BD77B6" w:rsidRPr="00627F62" w:rsidRDefault="00BD77B6" w:rsidP="000320BB">
      <w:pPr>
        <w:pStyle w:val="Textonotapie"/>
      </w:pPr>
      <w:r w:rsidRPr="00627F62">
        <w:rPr>
          <w:rStyle w:val="Refdenotaalpie"/>
        </w:rPr>
        <w:footnoteRef/>
      </w:r>
      <w:r w:rsidRPr="00627F62">
        <w:t xml:space="preserve"> Registro No. 168 497, COMPETENCIA ECONÓMICA. CORRESPONDE A LA EMPRESA SANCIONADA DEMOSTRAR QUE NO FORMA PARTE DEL GRUPO DE INTERÉS ECONÓMICO AL QUE SE ATRIBUYE LA INSTRUMENTACIÓN Y COORDINACIÓN DE LAS CONDUCTAS CONSIDERADAS PRÁCTICAS MONOPÓLICAS, Localización: [Jurisprudencia]; 9a. Época; T.C.C.; S.J.F. y su Gaceta; Tomo XXVIII, Noviembre de 2008; Pág. 1227. I.4o.A. J/69.</w:t>
      </w:r>
    </w:p>
  </w:footnote>
  <w:footnote w:id="30">
    <w:p w14:paraId="76DE16DB" w14:textId="77777777" w:rsidR="00BD77B6" w:rsidRPr="00627F62" w:rsidRDefault="00BD77B6">
      <w:pPr>
        <w:pStyle w:val="Textonotapie"/>
      </w:pPr>
      <w:r w:rsidRPr="00627F62">
        <w:rPr>
          <w:rStyle w:val="Refdenotaalpie"/>
        </w:rPr>
        <w:footnoteRef/>
      </w:r>
      <w:r w:rsidRPr="00627F62">
        <w:t xml:space="preserve"> Como se refiere en el artículo 4 de la LFCE. </w:t>
      </w:r>
    </w:p>
  </w:footnote>
  <w:footnote w:id="31">
    <w:p w14:paraId="411FCA4B" w14:textId="77777777" w:rsidR="00BD77B6" w:rsidRPr="00627F62" w:rsidRDefault="00BD77B6">
      <w:pPr>
        <w:pStyle w:val="Textonotapie"/>
      </w:pPr>
      <w:r w:rsidRPr="00627F62">
        <w:rPr>
          <w:rStyle w:val="Refdenotaalpie"/>
        </w:rPr>
        <w:footnoteRef/>
      </w:r>
      <w:r w:rsidRPr="00627F62">
        <w:t xml:space="preserve"> Como se refiere en el artículo </w:t>
      </w:r>
      <w:r>
        <w:t>93, fracción V</w:t>
      </w:r>
      <w:r w:rsidRPr="00627F62">
        <w:t xml:space="preserve"> de la LFCE. </w:t>
      </w:r>
    </w:p>
  </w:footnote>
  <w:footnote w:id="32">
    <w:p w14:paraId="7BA06719" w14:textId="77777777" w:rsidR="00BD77B6" w:rsidRPr="00627F62" w:rsidRDefault="00BD77B6" w:rsidP="00143FF5">
      <w:pPr>
        <w:pStyle w:val="Textonotapie"/>
      </w:pPr>
      <w:r w:rsidRPr="00627F62">
        <w:rPr>
          <w:rStyle w:val="Refdenotaalpie"/>
        </w:rPr>
        <w:footnoteRef/>
      </w:r>
      <w:r w:rsidRPr="00627F62">
        <w:t xml:space="preserve"> No. Registro: 168,978. Jurisprudencia. Materia(s): Constitucional, Administrativa. Novena Época. Instancia: Primera Sala. Fuente: Semanario Judicial de la Federación y su Gaceta. XXVIII, Septiembre de 2008. Tesis: 1a. J. 70/2008. Página: 155. COMPETENCIA ECONÓMICA. EL ARTÍCULO 3o. DE LA LEY FEDERAL RELATIVA NO VIOLA LA GARANTÍA DE SEGURIDAD JURÍDICA POR EL HECHO DE NO DEFINIR EL CONCEPTO “AGENTES ECONÓMICOS”. Establece que “la Ley Fundamental no establece que sea un requisito indispensable que el legislador ordinario señale en cada ordenamiento legal un catálogo que defina los vocablos o locuciones utilizados ya que, por un lado</w:t>
      </w:r>
      <w:r w:rsidRPr="00627F62">
        <w:rPr>
          <w:b/>
        </w:rPr>
        <w:t>, las leyes no son diccionarios</w:t>
      </w:r>
      <w:r w:rsidRPr="00627F62">
        <w:t xml:space="preserve"> y, por el otro, el sentido atribuible a cada una de las palabras empleadas en las normas depende de su interpretación conforme, según el sistema al que pertenezcan.”</w:t>
      </w:r>
    </w:p>
    <w:p w14:paraId="53A031B4" w14:textId="77777777" w:rsidR="00BD77B6" w:rsidRPr="00627F62" w:rsidRDefault="00BD77B6" w:rsidP="00143FF5">
      <w:pPr>
        <w:pStyle w:val="Textonotapie"/>
      </w:pPr>
      <w:r w:rsidRPr="00627F62">
        <w:t>No. Registro: 168,609. Jurisprudencia. Materia(s): Administrativa. Novena Época. Instancia: Tribunales Colegiados de Circuito. Fuente: Semanario Judicial de la Federación y su Gaceta. XXVIII, Octubre de 2008. Tesis: I.4o.A. J/75. Página: 2225. MERCADO RELEVANTE. SU CONCEPTO EN MATERIA DE COMPETENCIA ECONÓMICA. Señala “el concepto jurídico indeterminado "mercado relevante" implica una valoración económica compleja de carácter discrecional que, prima facie, sólo la Comisión Federal de Competencia puede construir a partir de la evidencia de que en principio dispone, por lo que opera una presunción de validez respecto a la conclusión obtenida, que exige a la parte investigada cuestionar, en su caso, la información y aplicación en lo sustancial y concreto de los hechos y criterios metodológicos o regulativos utilizados.”</w:t>
      </w:r>
    </w:p>
  </w:footnote>
  <w:footnote w:id="33">
    <w:p w14:paraId="439F978A" w14:textId="77777777" w:rsidR="00BD77B6" w:rsidRPr="00627F62" w:rsidRDefault="00BD77B6" w:rsidP="00143FF5">
      <w:pPr>
        <w:pStyle w:val="Textonotapie"/>
      </w:pPr>
      <w:r w:rsidRPr="00627F62">
        <w:rPr>
          <w:rStyle w:val="Refdenotaalpie"/>
        </w:rPr>
        <w:footnoteRef/>
      </w:r>
      <w:r w:rsidRPr="00627F62">
        <w:t xml:space="preserve"> Tesis aislada. COMISIÓN FEDERAL DE COMPETENCIA. INFORMES Y DOCUMENTOS QUE PUEDE REQUERIR EN SUS INVESTIGACIONES. No. Registro: 181,195. Materia(s): Administrativa. Novena Época. Instancia: Tribunales Colegiados de Circuito. Fuente: Semanario Judicial de la Federación y su Gaceta. XX, Julio de 2004. Tesis: I.4o.A.432 A. Página: 1688. Establece que “un concepto jurídico indeterminado, susceptible de conferir un cierto grado de discrecionalidad, pues otorga la posibilidad a la autoridad requirente de apreciar o decidir en relación con la información o documentación "relevante". Esto significa que la autoridad no está facultada para requerir </w:t>
      </w:r>
      <w:r w:rsidRPr="00627F62">
        <w:rPr>
          <w:i/>
        </w:rPr>
        <w:t>ad libitum</w:t>
      </w:r>
      <w:r w:rsidRPr="00627F62">
        <w:t xml:space="preserve"> todo tipo de información a las partes o agentes económicos que intervengan en el procedimiento de investigación que se inicie, sino únicamente aquella que, a su juicio, sea la verdaderamente imprescindible y significativa, es decir, la necesaria para llevar a cabo esa investigación y cuya razonabilidad debe acreditarse en los casos concretos, tomando como referencia la relación que debe guardar con los hechos que sean materia y contenido de la investigación.</w:t>
      </w:r>
    </w:p>
  </w:footnote>
  <w:footnote w:id="34">
    <w:p w14:paraId="5C85581B" w14:textId="77777777" w:rsidR="00BD77B6" w:rsidRPr="00BF3A6C" w:rsidRDefault="00BD77B6">
      <w:pPr>
        <w:pStyle w:val="Textonotapie"/>
      </w:pPr>
      <w:r w:rsidRPr="00627F62">
        <w:rPr>
          <w:rStyle w:val="Refdenotaalpie"/>
        </w:rPr>
        <w:footnoteRef/>
      </w:r>
      <w:r w:rsidRPr="00627F62">
        <w:t xml:space="preserve"> Véase como referencias, los Acuerdos por los que el Pleno del Instituto emite y modifica los “Elementos de Referencia para identificar </w:t>
      </w:r>
      <w:r w:rsidRPr="00627F62">
        <w:rPr>
          <w:i/>
        </w:rPr>
        <w:t>ex ante</w:t>
      </w:r>
      <w:r w:rsidRPr="00627F62">
        <w:t xml:space="preserve"> a los Agentes Económicos impedidos para tener influencia en la Operación de la Red Compartida.” Disponibles en:</w:t>
      </w:r>
    </w:p>
    <w:p w14:paraId="0291EEE3" w14:textId="14B32038" w:rsidR="00BD77B6" w:rsidRPr="00BF3A6C" w:rsidRDefault="00BD77B6">
      <w:pPr>
        <w:pStyle w:val="Textonotapie"/>
      </w:pPr>
      <w:r w:rsidRPr="00BF3A6C">
        <w:t xml:space="preserve">https://www.google.com.mx/url?sa=t&amp;rct=j&amp;q=&amp;esrc=s&amp;source=web&amp;cd=2&amp;cad=rja&amp;uact=8&amp;ved=0ahUKEwip5fLr09PQAhWLhVQKHRcvAIcQFggfMAE&amp;url=http%3A%2F%2Fwww.ift.org.mx%2Fsites%2Fdefault%2Ffiles%2Fcontenidogeneral%2Ftemas-relevantes%2Felementosdereferencia.pdf&amp;usg=AFQjCNEKqKfcZB1PHiKowL7ack5I4c-yDw y http://www.ift.org.mx/sites/default/files/contenidogeneral/temas-relevantes/elementos.pdf. </w:t>
      </w:r>
    </w:p>
  </w:footnote>
  <w:footnote w:id="35">
    <w:p w14:paraId="33861D3C" w14:textId="7449F086" w:rsidR="00BD77B6" w:rsidRPr="00627F62" w:rsidRDefault="00BD77B6" w:rsidP="00F928D4">
      <w:pPr>
        <w:pStyle w:val="Textonotapie"/>
      </w:pPr>
      <w:r w:rsidRPr="00BF3A6C">
        <w:rPr>
          <w:rStyle w:val="Refdenotaalpie"/>
        </w:rPr>
        <w:footnoteRef/>
      </w:r>
      <w:r w:rsidRPr="00BF3A6C">
        <w:t xml:space="preserve"> Véase el </w:t>
      </w:r>
      <w:r w:rsidRPr="00BF3A6C">
        <w:rPr>
          <w:i/>
        </w:rPr>
        <w:t xml:space="preserve">Acuerdo mediante el cual el Pleno del Instituto Federal de Telecomunicaciones aprueba los </w:t>
      </w:r>
      <w:r w:rsidRPr="00627F62">
        <w:rPr>
          <w:i/>
        </w:rPr>
        <w:t>elementos de referencia para identificar ex ante a los agentes económicos impedidos para tener influencia en la operación de la Red Compartida</w:t>
      </w:r>
      <w:r w:rsidRPr="00627F62">
        <w:t xml:space="preserve">. Disponible en: </w:t>
      </w:r>
      <w:r w:rsidRPr="00BF3A6C">
        <w:t>http://www.ift.org.mx/sites/default/files/contenidogeneral/temas-relevantes/elementosdereferencia.pdf</w:t>
      </w:r>
      <w:r w:rsidRPr="00627F62">
        <w:t>.</w:t>
      </w:r>
    </w:p>
  </w:footnote>
  <w:footnote w:id="36">
    <w:p w14:paraId="3B1C4511" w14:textId="77777777" w:rsidR="00BD77B6" w:rsidRPr="00627F62" w:rsidRDefault="00BD77B6">
      <w:pPr>
        <w:pStyle w:val="Textonotapie"/>
      </w:pPr>
      <w:r w:rsidRPr="00627F62">
        <w:rPr>
          <w:rStyle w:val="Refdenotaalpie"/>
        </w:rPr>
        <w:footnoteRef/>
      </w:r>
      <w:r w:rsidRPr="00627F62">
        <w:t xml:space="preserve"> Véase el Acuerdo P/IFT/ 070115/30 del Pleno del Instituto en el que resuelve el expediente E-IFT/UC/DGIPM/PMR/0003/2013 y acumulados. En esta resolución determina que Telmex y </w:t>
      </w:r>
      <w:proofErr w:type="spellStart"/>
      <w:r w:rsidRPr="00627F62">
        <w:t>Dish</w:t>
      </w:r>
      <w:proofErr w:type="spellEnd"/>
      <w:r w:rsidRPr="00627F62">
        <w:t xml:space="preserve">, entre otras personas, </w:t>
      </w:r>
      <w:r w:rsidRPr="00627F62">
        <w:rPr>
          <w:color w:val="000000"/>
          <w:lang w:val="es-ES_tradnl"/>
        </w:rPr>
        <w:t xml:space="preserve">son responsables de haber llevado a cabo una concentración en términos de la LFCE, la cual se perfeccionó a través de un conjunto de contratos </w:t>
      </w:r>
      <w:r w:rsidRPr="00627F62">
        <w:t>mediante los cuales se ejerció control conjunto de una persona moral y sus subsidiarias;</w:t>
      </w:r>
      <w:r w:rsidRPr="00627F62">
        <w:rPr>
          <w:color w:val="000000"/>
          <w:lang w:val="es-ES_tradnl"/>
        </w:rPr>
        <w:t xml:space="preserve"> e incumplir con la obligación de notificarla antes de su realización. En esta decisión se determinó la existencia de control sin que se</w:t>
      </w:r>
      <w:r w:rsidRPr="00627F62">
        <w:t xml:space="preserve"> detentara una participación accionaria en la sociedad controlada. Disponible en:</w:t>
      </w:r>
    </w:p>
    <w:p w14:paraId="4692657B" w14:textId="537F62D0" w:rsidR="00BD77B6" w:rsidRPr="00627F62" w:rsidRDefault="00BD77B6">
      <w:pPr>
        <w:pStyle w:val="Textonotapie"/>
      </w:pPr>
      <w:r w:rsidRPr="00BF3A6C">
        <w:t>http://www.ift.org.mx/sites/default/files/conocenos/pleno/sesiones/acuerdoliga/versionpublicapift07011530.pdf</w:t>
      </w:r>
      <w:r w:rsidRPr="00627F62">
        <w:t xml:space="preserve">. </w:t>
      </w:r>
    </w:p>
  </w:footnote>
  <w:footnote w:id="37">
    <w:p w14:paraId="794C0462" w14:textId="77777777" w:rsidR="00BD77B6" w:rsidRPr="00627F62" w:rsidRDefault="00BD77B6" w:rsidP="00D378B1">
      <w:pPr>
        <w:pStyle w:val="Textonotapie"/>
        <w:rPr>
          <w:rFonts w:cs="Arial"/>
        </w:rPr>
      </w:pPr>
      <w:r w:rsidRPr="00627F62">
        <w:rPr>
          <w:rStyle w:val="Refdenotaalpie"/>
          <w:rFonts w:cs="Arial"/>
        </w:rPr>
        <w:footnoteRef/>
      </w:r>
      <w:r w:rsidRPr="00627F62">
        <w:rPr>
          <w:rFonts w:cs="Arial"/>
        </w:rPr>
        <w:t xml:space="preserve"> Cualquier persona que por empleo, cargo o comisión en una persona moral o en las personas morales que estén bajo su control o que la controlen, adopten decisiones que trasciendan de forma significativa en la situación administrativa, financiera, operacional o jurídica de la propia sociedad o del grupo al que ésta pertenezca.</w:t>
      </w:r>
    </w:p>
  </w:footnote>
  <w:footnote w:id="38">
    <w:p w14:paraId="74512899" w14:textId="77777777" w:rsidR="00BD77B6" w:rsidRPr="00627F62" w:rsidRDefault="00BD77B6" w:rsidP="00D378B1">
      <w:pPr>
        <w:pStyle w:val="Textonotapie"/>
      </w:pPr>
      <w:r w:rsidRPr="00627F62">
        <w:rPr>
          <w:rStyle w:val="Refdenotaalpie"/>
        </w:rPr>
        <w:footnoteRef/>
      </w:r>
      <w:r w:rsidRPr="00627F62">
        <w:t xml:space="preserve"> Se toma como referencia lo dispuesto en los artículos 292 a 300 del Código Civil Federal. Los familiares comprendidos dentro del cuarto grado de parentesco y por ende dentro de la restricción legal de que se trata, son los siguientes. Parentesco por consanguinidad: padres, abuelos, bisabuelos, tatarabuelos, hijos, nietos, bisnietos, tataranietos, hermanos, medios hermanos, tíos y sobrinos carnales, primos hermanos, y tíos y sobrinos segundos carnales. Parentesco por afinidad: suegros, padrastros, padres de los suegros, abuelos de los suegros, bisabuelos de los suegros, yernos o nueras, hijastros o entenados, cuñados y hermanastros, sobrinos carnales del cónyuge, tíos segundos, primos hermanos y sobrinos segundos del cónyuge. Parentesco civil: conforme a lo dispuesto por el artículo 295 del Código Civil, el parentesco civil surge únicamente en la adopción, entre adoptantes y adoptados.</w:t>
      </w:r>
    </w:p>
  </w:footnote>
  <w:footnote w:id="39">
    <w:p w14:paraId="688F5F4E" w14:textId="77777777" w:rsidR="00BD77B6" w:rsidRPr="00627F62" w:rsidRDefault="00BD77B6">
      <w:pPr>
        <w:pStyle w:val="Textonotapie"/>
        <w:rPr>
          <w:lang w:val="es-MX"/>
        </w:rPr>
      </w:pPr>
      <w:r w:rsidRPr="00627F62">
        <w:rPr>
          <w:rStyle w:val="Refdenotaalpie"/>
        </w:rPr>
        <w:footnoteRef/>
      </w:r>
      <w:r w:rsidRPr="00627F62">
        <w:t xml:space="preserve"> Ver la tesis aislada </w:t>
      </w:r>
      <w:r w:rsidRPr="00627F62">
        <w:rPr>
          <w:i/>
        </w:rPr>
        <w:t>Páginas web o electrónicas. su contenido es un hecho notorio y susceptible de ser valorado en una decisión judicial</w:t>
      </w:r>
      <w:r w:rsidRPr="00627F62">
        <w:t>, Décima Época, Registro 2004949, Tribunales Colegiados de Circuito, publicada en el Semanario Judicial de la Federación y su Gaceta, Libro XXVI, Noviembre de 2013, Tomo 2, materia civil, Tesis I.3o.C.35 K (10a.), página: 1373.</w:t>
      </w:r>
    </w:p>
  </w:footnote>
  <w:footnote w:id="40">
    <w:p w14:paraId="5F481890" w14:textId="77777777" w:rsidR="00BD77B6" w:rsidRPr="00627F62" w:rsidRDefault="00BD77B6" w:rsidP="006273DC">
      <w:pPr>
        <w:pStyle w:val="Default"/>
        <w:jc w:val="both"/>
        <w:rPr>
          <w:rFonts w:ascii="ITC Avant Garde" w:hAnsi="ITC Avant Garde"/>
          <w:sz w:val="16"/>
          <w:szCs w:val="16"/>
        </w:rPr>
      </w:pPr>
      <w:r w:rsidRPr="00627F62">
        <w:rPr>
          <w:rStyle w:val="Refdenotaalpie"/>
          <w:rFonts w:ascii="ITC Avant Garde" w:hAnsi="ITC Avant Garde"/>
          <w:sz w:val="16"/>
          <w:szCs w:val="16"/>
        </w:rPr>
        <w:footnoteRef/>
      </w:r>
      <w:r w:rsidRPr="00627F62">
        <w:rPr>
          <w:rFonts w:ascii="ITC Avant Garde" w:hAnsi="ITC Avant Garde"/>
          <w:sz w:val="16"/>
          <w:szCs w:val="16"/>
        </w:rPr>
        <w:t xml:space="preserve"> Sirven de referencia las siguientes disposiciones; artículo 93, fracción VI inciso d) de la LFCE que establece que no pueden exceptuarse de requerir una autorización previa las concentraciones cuando el comprador tenga 10% de las acciones y mantenga la titularidad de derechos que permitan, directa o indirectamente, ejercer el voto respecto del diez por ciento o más del capital social de una persona moral; a</w:t>
      </w:r>
      <w:r w:rsidRPr="00627F62">
        <w:rPr>
          <w:rFonts w:ascii="ITC Avant Garde" w:eastAsiaTheme="minorHAnsi" w:hAnsi="ITC Avant Garde" w:cs="Arial"/>
          <w:bCs/>
          <w:sz w:val="16"/>
          <w:szCs w:val="16"/>
          <w:lang w:eastAsia="en-US"/>
        </w:rPr>
        <w:t>rtículo 16 de la Ley del Mercado de Valores establece que l</w:t>
      </w:r>
      <w:r w:rsidRPr="00627F62">
        <w:rPr>
          <w:rFonts w:ascii="ITC Avant Garde" w:eastAsiaTheme="minorHAnsi" w:hAnsi="ITC Avant Garde" w:cs="Arial"/>
          <w:sz w:val="16"/>
          <w:szCs w:val="16"/>
          <w:lang w:eastAsia="en-US"/>
        </w:rPr>
        <w:t>os accionistas de las sociedades anónimas promotoras de inversión, tendrán derecho a d</w:t>
      </w:r>
      <w:r w:rsidRPr="00627F62">
        <w:rPr>
          <w:rFonts w:ascii="ITC Avant Garde" w:hAnsi="ITC Avant Garde" w:cs="Arial"/>
          <w:sz w:val="16"/>
          <w:szCs w:val="16"/>
        </w:rPr>
        <w:t xml:space="preserve">esignar y revocar en asamblea general de accionistas a un miembro del consejo de administración por cada 10% (diez por ciento) que tengan en lo individual o en conjunto de las acciones con derecho a voto, incluso limitado o restringido; el artículo 34 bis de la Ley de Fondos de Inversión precisa que </w:t>
      </w:r>
      <w:r w:rsidRPr="00627F62">
        <w:rPr>
          <w:rFonts w:ascii="ITC Avant Garde" w:hAnsi="ITC Avant Garde"/>
          <w:sz w:val="16"/>
          <w:szCs w:val="16"/>
        </w:rPr>
        <w:t>los accionistas que representen, cuando menos, un 10% (diez por ciento) del capital pagado ordinario de la sociedad tendrán derecho a designar un consejero.</w:t>
      </w:r>
    </w:p>
  </w:footnote>
  <w:footnote w:id="41">
    <w:p w14:paraId="6BE3355C" w14:textId="6C48518F" w:rsidR="00BD77B6" w:rsidRPr="00627F62" w:rsidRDefault="00BD77B6">
      <w:pPr>
        <w:pStyle w:val="Textonotapie"/>
      </w:pPr>
      <w:r w:rsidRPr="00627F62">
        <w:rPr>
          <w:rStyle w:val="Refdenotaalpie"/>
        </w:rPr>
        <w:footnoteRef/>
      </w:r>
      <w:r w:rsidRPr="00627F62">
        <w:t xml:space="preserve"> Véase el Inventario de Trámites del IFT, disponible en: </w:t>
      </w:r>
      <w:r w:rsidRPr="00BF3A6C">
        <w:t>http://www.ift.org.mx/tramites</w:t>
      </w:r>
      <w:r w:rsidRPr="00627F62">
        <w:t xml:space="preserve">. </w:t>
      </w:r>
    </w:p>
  </w:footnote>
  <w:footnote w:id="42">
    <w:p w14:paraId="0682FD97" w14:textId="77777777" w:rsidR="00BD77B6" w:rsidRPr="00627F62" w:rsidRDefault="00BD77B6" w:rsidP="009A2026">
      <w:pPr>
        <w:pStyle w:val="Textonotapie"/>
      </w:pPr>
      <w:r w:rsidRPr="00627F62">
        <w:rPr>
          <w:rStyle w:val="Refdenotaalpie"/>
        </w:rPr>
        <w:footnoteRef/>
      </w:r>
      <w:r w:rsidRPr="00627F62">
        <w:t xml:space="preserve"> Véase el Considerando Segundo de los </w:t>
      </w:r>
      <w:r w:rsidRPr="00627F62">
        <w:rPr>
          <w:i/>
        </w:rPr>
        <w:t>Lineamientos generales sobre la autorización de arrendamiento de espectro radioeléctrico</w:t>
      </w:r>
      <w:r w:rsidRPr="00627F62">
        <w:t>, publicados en el DOF el treinta de marzo de dos mil dieciséis y disponibles en:</w:t>
      </w:r>
    </w:p>
    <w:p w14:paraId="6A47445F" w14:textId="41F9A0DA" w:rsidR="00BD77B6" w:rsidRPr="00627F62" w:rsidRDefault="00BD77B6" w:rsidP="009A2026">
      <w:pPr>
        <w:pStyle w:val="Textonotapie"/>
      </w:pPr>
      <w:r w:rsidRPr="00BF3A6C">
        <w:t>http://www.dof.gob.mx/nota_detalle.php?codigo=5431448&amp;fecha=30/03/2016</w:t>
      </w:r>
      <w:r w:rsidRPr="00627F62">
        <w:t xml:space="preserve"> </w:t>
      </w:r>
    </w:p>
  </w:footnote>
  <w:footnote w:id="43">
    <w:p w14:paraId="4B16EB65" w14:textId="77777777" w:rsidR="00BD77B6" w:rsidRPr="00627F62" w:rsidRDefault="00BD77B6" w:rsidP="00F77BE2">
      <w:pPr>
        <w:pStyle w:val="Textonotapie"/>
      </w:pPr>
      <w:r w:rsidRPr="00627F62">
        <w:rPr>
          <w:rStyle w:val="Refdenotaalpie"/>
        </w:rPr>
        <w:footnoteRef/>
      </w:r>
      <w:r w:rsidRPr="00627F62">
        <w:t xml:space="preserve"> Véase la Consideración Séptima denominada </w:t>
      </w:r>
      <w:r w:rsidRPr="00627F62">
        <w:rPr>
          <w:i/>
        </w:rPr>
        <w:t>Análisis en materia de competencia económica de la Solicitud de Intercambio de Frecuencias y de la Solicitud de Arrendamiento</w:t>
      </w:r>
      <w:r w:rsidRPr="00627F62">
        <w:t xml:space="preserve"> del Acuerdo número P/IFT/EXT/151215/187 del Pleno del Instituto. Disponible en:</w:t>
      </w:r>
    </w:p>
    <w:p w14:paraId="49515756" w14:textId="3CFF0F87" w:rsidR="00BD77B6" w:rsidRPr="00627F62" w:rsidRDefault="00BD77B6" w:rsidP="00F77BE2">
      <w:pPr>
        <w:pStyle w:val="Textonotapie"/>
      </w:pPr>
      <w:r w:rsidRPr="00BF3A6C">
        <w:t>http://www.ift.org.mx/sites/default/files/conocenos/pleno/sesiones_pleno/acuerdo_liga/p_ift_ext_151215_187.pdf</w:t>
      </w:r>
      <w:r w:rsidRPr="00627F62">
        <w:t xml:space="preserve"> </w:t>
      </w:r>
    </w:p>
  </w:footnote>
  <w:footnote w:id="44">
    <w:p w14:paraId="50904952" w14:textId="77777777" w:rsidR="00BD77B6" w:rsidRPr="00627F62" w:rsidRDefault="00BD77B6" w:rsidP="00F77BE2">
      <w:pPr>
        <w:pStyle w:val="Textonotapie"/>
      </w:pPr>
      <w:r w:rsidRPr="00627F62">
        <w:rPr>
          <w:rStyle w:val="Refdenotaalpie"/>
        </w:rPr>
        <w:footnoteRef/>
      </w:r>
      <w:r w:rsidRPr="00627F62">
        <w:t xml:space="preserve"> Ibídem.</w:t>
      </w:r>
    </w:p>
  </w:footnote>
  <w:footnote w:id="45">
    <w:p w14:paraId="4A59A8C7" w14:textId="34AAB97C" w:rsidR="00BD77B6" w:rsidRPr="00627F62" w:rsidRDefault="00BD77B6" w:rsidP="00F77BE2">
      <w:pPr>
        <w:pStyle w:val="Textonotapie"/>
      </w:pPr>
      <w:r w:rsidRPr="00627F62">
        <w:rPr>
          <w:rStyle w:val="Refdenotaalpie"/>
        </w:rPr>
        <w:footnoteRef/>
      </w:r>
      <w:r w:rsidRPr="00627F62">
        <w:t xml:space="preserve"> Resolución del Pleno del Instituto emitida mediante Acuerdo P/IFT/180315/90, correspondiente al expediente IFT/UC/OCC/0001/2013, disponible en </w:t>
      </w:r>
      <w:r w:rsidRPr="00BF3A6C">
        <w:t>http://apps.ift.org.mx/publicdata/versionpublicapift18031590_1.pdf</w:t>
      </w:r>
      <w:r w:rsidRPr="00627F62">
        <w:t xml:space="preserve"> </w:t>
      </w:r>
    </w:p>
  </w:footnote>
  <w:footnote w:id="46">
    <w:p w14:paraId="6CACB9E6" w14:textId="77777777" w:rsidR="00BD77B6" w:rsidRPr="00627F62" w:rsidRDefault="00BD77B6" w:rsidP="00F77BE2">
      <w:pPr>
        <w:pStyle w:val="Textonotapie"/>
      </w:pPr>
      <w:r w:rsidRPr="00627F62">
        <w:rPr>
          <w:rStyle w:val="Refdenotaalpie"/>
        </w:rPr>
        <w:footnoteRef/>
      </w:r>
      <w:r w:rsidRPr="00627F62">
        <w:t xml:space="preserve"> Resolución del Pleno del Instituto emitida mediante Acuerdo P/IFT/200416/160, disponible en:</w:t>
      </w:r>
    </w:p>
    <w:p w14:paraId="3964A411" w14:textId="0B4070A2" w:rsidR="00BD77B6" w:rsidRPr="00627F62" w:rsidRDefault="00BD77B6" w:rsidP="00F77BE2">
      <w:pPr>
        <w:pStyle w:val="Textonotapie"/>
      </w:pPr>
      <w:r w:rsidRPr="00BF3A6C">
        <w:t>http://www.ift.org.mx/sites/default/files/conocenos/pleno/sesiones_pleno/acuerdo_liga/version_publica_ucs_p_ift_200416_160_0.pdf</w:t>
      </w:r>
      <w:r w:rsidRPr="00627F62">
        <w:t xml:space="preserve"> </w:t>
      </w:r>
    </w:p>
  </w:footnote>
  <w:footnote w:id="47">
    <w:p w14:paraId="64F6EF39" w14:textId="77777777" w:rsidR="00BD77B6" w:rsidRPr="00627F62" w:rsidRDefault="00BD77B6">
      <w:pPr>
        <w:pStyle w:val="Textonotapie"/>
      </w:pPr>
      <w:r w:rsidRPr="00627F62">
        <w:rPr>
          <w:rStyle w:val="Refdenotaalpie"/>
        </w:rPr>
        <w:footnoteRef/>
      </w:r>
      <w:r w:rsidRPr="00627F62">
        <w:t xml:space="preserve"> Véanse, por ejemplo, las Licitaciones número IFT-1, para cadenas nacionales de Televisión Digital Terrestre; IFT-3, para asignar espectro AWS; IFT-4 para asignar frecuencias de radiodifusión sonora; e IFT-6, para asignar frecuencias para Televisión Digital Terrestre por localidad. En todas ellas se impusieron límites a la acumulación de espectro o </w:t>
      </w:r>
      <w:proofErr w:type="spellStart"/>
      <w:r w:rsidRPr="00627F62">
        <w:rPr>
          <w:i/>
        </w:rPr>
        <w:t>spectrum</w:t>
      </w:r>
      <w:proofErr w:type="spellEnd"/>
      <w:r w:rsidRPr="00627F62">
        <w:rPr>
          <w:i/>
        </w:rPr>
        <w:t xml:space="preserve"> </w:t>
      </w:r>
      <w:proofErr w:type="spellStart"/>
      <w:r w:rsidRPr="00627F62">
        <w:rPr>
          <w:i/>
        </w:rPr>
        <w:t>caps</w:t>
      </w:r>
      <w:proofErr w:type="spellEnd"/>
      <w:r w:rsidRPr="00627F62">
        <w:rPr>
          <w:i/>
        </w:rPr>
        <w:t xml:space="preserve"> </w:t>
      </w:r>
      <w:r w:rsidRPr="00627F62">
        <w:t xml:space="preserve">para prevenir fenómenos de concentración contrarios al interés público. </w:t>
      </w:r>
    </w:p>
  </w:footnote>
  <w:footnote w:id="48">
    <w:p w14:paraId="70444FBF" w14:textId="77777777" w:rsidR="00BD77B6" w:rsidRPr="00627F62" w:rsidRDefault="00BD77B6">
      <w:pPr>
        <w:pStyle w:val="Textonotapie"/>
        <w:rPr>
          <w:lang w:val="es-MX"/>
        </w:rPr>
      </w:pPr>
      <w:r w:rsidRPr="00627F62">
        <w:rPr>
          <w:rStyle w:val="Refdenotaalpie"/>
        </w:rPr>
        <w:footnoteRef/>
      </w:r>
      <w:r w:rsidRPr="00627F62">
        <w:t xml:space="preserve"> Artículo 93 de la LFTR.</w:t>
      </w:r>
    </w:p>
  </w:footnote>
  <w:footnote w:id="49">
    <w:p w14:paraId="07B43DC3" w14:textId="77777777" w:rsidR="00BD77B6" w:rsidRPr="00627F62" w:rsidRDefault="00BD77B6">
      <w:pPr>
        <w:pStyle w:val="Textonotapie"/>
        <w:rPr>
          <w:lang w:val="es-MX"/>
        </w:rPr>
      </w:pPr>
      <w:r w:rsidRPr="00627F62">
        <w:rPr>
          <w:rStyle w:val="Refdenotaalpie"/>
        </w:rPr>
        <w:footnoteRef/>
      </w:r>
      <w:r w:rsidRPr="00627F62">
        <w:t xml:space="preserve"> </w:t>
      </w:r>
      <w:r w:rsidRPr="00627F62">
        <w:rPr>
          <w:lang w:val="es-MX"/>
        </w:rPr>
        <w:t>Artículos 110 y 112 de la LFTR.</w:t>
      </w:r>
    </w:p>
  </w:footnote>
  <w:footnote w:id="50">
    <w:p w14:paraId="28B2208E" w14:textId="656153AE" w:rsidR="00BD77B6" w:rsidRPr="00627F62" w:rsidRDefault="00BD77B6">
      <w:pPr>
        <w:pStyle w:val="Textonotapie"/>
      </w:pPr>
      <w:r w:rsidRPr="00627F62">
        <w:rPr>
          <w:rStyle w:val="Refdenotaalpie"/>
        </w:rPr>
        <w:footnoteRef/>
      </w:r>
      <w:r w:rsidRPr="00627F62">
        <w:t xml:space="preserve"> Véase, por ejemplo, la resolución en la que el Pleno del IFT resuelve que las relaciones contractuales entre Telmex y </w:t>
      </w:r>
      <w:proofErr w:type="spellStart"/>
      <w:r w:rsidRPr="00627F62">
        <w:t>Dish</w:t>
      </w:r>
      <w:proofErr w:type="spellEnd"/>
      <w:r w:rsidRPr="00627F62">
        <w:t xml:space="preserve"> México constituyen una concentración que debió ser notificada antes de su realización. Disponible en: </w:t>
      </w:r>
      <w:r w:rsidRPr="00BF3A6C">
        <w:t>http://www.ift.org.mx/sites/default/files/conocenos/pleno/sesiones/acuerdoliga/versionpublicapift07011530.pdf</w:t>
      </w:r>
      <w:r w:rsidRPr="00627F62">
        <w:t xml:space="preserve">. </w:t>
      </w:r>
    </w:p>
  </w:footnote>
  <w:footnote w:id="51">
    <w:p w14:paraId="5497C2B3" w14:textId="77777777" w:rsidR="00BD77B6" w:rsidRPr="00627F62" w:rsidRDefault="00BD77B6" w:rsidP="00D378B1">
      <w:pPr>
        <w:pStyle w:val="Textonotapie"/>
      </w:pPr>
      <w:r w:rsidRPr="00627F62">
        <w:rPr>
          <w:rStyle w:val="Refdenotaalpie"/>
        </w:rPr>
        <w:footnoteRef/>
      </w:r>
      <w:r w:rsidRPr="00627F62">
        <w:t xml:space="preserve"> Tomando en consideración los elementos previstos en los artículos 58 de la LFCE y 5 de las Disposiciones Regulatorias.</w:t>
      </w:r>
    </w:p>
  </w:footnote>
  <w:footnote w:id="52">
    <w:p w14:paraId="5D152212" w14:textId="77777777" w:rsidR="00BD77B6" w:rsidRPr="00627F62" w:rsidRDefault="00BD77B6" w:rsidP="00D378B1">
      <w:pPr>
        <w:pStyle w:val="Textonotapie"/>
      </w:pPr>
      <w:r w:rsidRPr="00627F62">
        <w:rPr>
          <w:rStyle w:val="Refdenotaalpie"/>
        </w:rPr>
        <w:footnoteRef/>
      </w:r>
      <w:r w:rsidRPr="00627F62">
        <w:t xml:space="preserve"> Como se definen en el artículo 6 de las Disposiciones Regulatorias. </w:t>
      </w:r>
    </w:p>
  </w:footnote>
  <w:footnote w:id="53">
    <w:p w14:paraId="0EC8EC9A" w14:textId="250B6F1B" w:rsidR="00BD77B6" w:rsidRPr="00627F62" w:rsidRDefault="00BD77B6" w:rsidP="00D378B1">
      <w:pPr>
        <w:pStyle w:val="Textonotapie"/>
      </w:pPr>
      <w:r w:rsidRPr="00627F62">
        <w:rPr>
          <w:rStyle w:val="Refdenotaalpie"/>
        </w:rPr>
        <w:footnoteRef/>
      </w:r>
      <w:r w:rsidRPr="00627F62">
        <w:t xml:space="preserve"> Ver, por ejemplo, el Acuerdo P/IFT/180315 /93, correspondiente al expediente UCE/CNC-007-2014, disponible en </w:t>
      </w:r>
      <w:r w:rsidRPr="00BF3A6C">
        <w:t>http://apps.ift.org.mx/publicdata/Version_Publica_P_IFT_180315_93.pdf</w:t>
      </w:r>
      <w:r w:rsidRPr="00627F62">
        <w:rPr>
          <w:rStyle w:val="Hipervnculo"/>
        </w:rPr>
        <w:t xml:space="preserve"> </w:t>
      </w:r>
    </w:p>
  </w:footnote>
  <w:footnote w:id="54">
    <w:p w14:paraId="4D297E2D" w14:textId="77777777" w:rsidR="00BD77B6" w:rsidRPr="00627F62" w:rsidRDefault="00BD77B6" w:rsidP="00D378B1">
      <w:pPr>
        <w:pStyle w:val="Textonotapie"/>
      </w:pPr>
      <w:r w:rsidRPr="00627F62">
        <w:rPr>
          <w:rStyle w:val="Refdenotaalpie"/>
        </w:rPr>
        <w:footnoteRef/>
      </w:r>
      <w:r w:rsidRPr="00627F62">
        <w:t xml:space="preserve"> Ver, por ejemplo, la Resolución del Conflicto Competencial Administrativo número 2/2015 (C.C.A. 2/2015) correspondiente al Segundo Tribunal Colegiado Especializado en Competencia Económica, Radiodifusión y Telecomunicaciones, disponible en:</w:t>
      </w:r>
    </w:p>
    <w:p w14:paraId="4BDA60F5" w14:textId="46C191AE" w:rsidR="00BD77B6" w:rsidRPr="00627F62" w:rsidRDefault="00BD77B6" w:rsidP="00D378B1">
      <w:pPr>
        <w:pStyle w:val="Textonotapie"/>
      </w:pPr>
      <w:r w:rsidRPr="00BF3A6C">
        <w:t>http://sise.cjf.gob.mx/SVP/word1.aspx?arch=1305/13050000178576910004002.doc_1&amp;sec=Jazm%C3%ADn_Robles_Cort%C3%A9s&amp;svp=1</w:t>
      </w:r>
      <w:r w:rsidRPr="00627F62">
        <w:t xml:space="preserve">  </w:t>
      </w:r>
    </w:p>
  </w:footnote>
  <w:footnote w:id="55">
    <w:p w14:paraId="13C68454" w14:textId="77777777" w:rsidR="00BD77B6" w:rsidRPr="00627F62" w:rsidRDefault="00BD77B6" w:rsidP="00D378B1">
      <w:pPr>
        <w:pStyle w:val="Textonotapie"/>
      </w:pPr>
      <w:r w:rsidRPr="00627F62">
        <w:rPr>
          <w:rStyle w:val="Refdenotaalpie"/>
        </w:rPr>
        <w:footnoteRef/>
      </w:r>
      <w:r w:rsidRPr="00627F62">
        <w:t xml:space="preserve"> Ver, por ejemplo, el Acuerdo P/IFT/210915/404, correspondiente al expediente UCE/CNC-007-2014, disponible en:</w:t>
      </w:r>
    </w:p>
    <w:p w14:paraId="41CF3E84" w14:textId="6437D897" w:rsidR="00BD77B6" w:rsidRPr="00627F62" w:rsidRDefault="00BD77B6" w:rsidP="00D378B1">
      <w:pPr>
        <w:pStyle w:val="Textonotapie"/>
      </w:pPr>
      <w:r w:rsidRPr="00BF3A6C">
        <w:t>http://www.ift.org.mx/sites/default/files/conocenos/pleno/sesiones/acuerdoliga/versionpublicaucepift210915404.pdf</w:t>
      </w:r>
      <w:r w:rsidRPr="00627F62">
        <w:t xml:space="preserve"> </w:t>
      </w:r>
    </w:p>
  </w:footnote>
  <w:footnote w:id="56">
    <w:p w14:paraId="469E2A0A" w14:textId="52261268" w:rsidR="00BD77B6" w:rsidRPr="00627F62" w:rsidRDefault="00BD77B6" w:rsidP="00D378B1">
      <w:pPr>
        <w:pStyle w:val="Textonotapie"/>
      </w:pPr>
      <w:r w:rsidRPr="00627F62">
        <w:rPr>
          <w:rStyle w:val="Refdenotaalpie"/>
        </w:rPr>
        <w:footnoteRef/>
      </w:r>
      <w:r w:rsidRPr="00627F62">
        <w:t xml:space="preserve"> Pronunciamiento emitido por el Pleno del Instituto mediante Acuerdo P/IFT/EXT/170616/16, correspondiente al expediente UCE/AVC-001-2016, disponible en </w:t>
      </w:r>
      <w:r w:rsidRPr="00BF3A6C">
        <w:t>http://www.ift.org.mx/sites/default/files/conocenos/pleno/sesiones/acuerdoliga/versionpublicaucepiftext17061616.pdf</w:t>
      </w:r>
    </w:p>
  </w:footnote>
  <w:footnote w:id="57">
    <w:p w14:paraId="3CBFA48A" w14:textId="77777777" w:rsidR="00BD77B6" w:rsidRPr="00627F62" w:rsidRDefault="00BD77B6" w:rsidP="00D378B1">
      <w:pPr>
        <w:pStyle w:val="Textonotapie"/>
      </w:pPr>
      <w:r w:rsidRPr="00627F62">
        <w:rPr>
          <w:rStyle w:val="Refdenotaalpie"/>
        </w:rPr>
        <w:footnoteRef/>
      </w:r>
      <w:r w:rsidRPr="00627F62">
        <w:t xml:space="preserve"> Los relacionados con la instalación, operación y mantenimiento de equipos o de infraestructura.</w:t>
      </w:r>
    </w:p>
  </w:footnote>
  <w:footnote w:id="58">
    <w:p w14:paraId="1F1812FC" w14:textId="77777777" w:rsidR="00BD77B6" w:rsidRPr="00627F62" w:rsidRDefault="00BD77B6" w:rsidP="00D378B1">
      <w:pPr>
        <w:pStyle w:val="Textonotapie"/>
      </w:pPr>
      <w:r w:rsidRPr="00627F62">
        <w:rPr>
          <w:rStyle w:val="Refdenotaalpie"/>
        </w:rPr>
        <w:footnoteRef/>
      </w:r>
      <w:r w:rsidRPr="00627F62">
        <w:t xml:space="preserve"> Los que se proveen de forma conjunta con la instalación, operación y mantenimiento de equipos o de infraestructura y que se refieren a su administración, gestión, y desarrollo de mercado.</w:t>
      </w:r>
    </w:p>
  </w:footnote>
  <w:footnote w:id="59">
    <w:p w14:paraId="799D00A5" w14:textId="77777777" w:rsidR="00BD77B6" w:rsidRPr="00627F62" w:rsidRDefault="00BD77B6" w:rsidP="00D378B1">
      <w:pPr>
        <w:pStyle w:val="Textonotapie"/>
        <w:rPr>
          <w:lang w:val="es-MX"/>
        </w:rPr>
      </w:pPr>
      <w:r w:rsidRPr="00627F62">
        <w:rPr>
          <w:rStyle w:val="Refdenotaalpie"/>
        </w:rPr>
        <w:footnoteRef/>
      </w:r>
      <w:r w:rsidRPr="00627F62">
        <w:t xml:space="preserve"> </w:t>
      </w:r>
      <w:r w:rsidRPr="00627F62">
        <w:rPr>
          <w:lang w:val="es-MX"/>
        </w:rPr>
        <w:t xml:space="preserve">Con fundamento en los artículos 198 de las Disposiciones Regulatorias que es equivalente al artículo 200 de las Disposiciones Regulatorias de la Ley Federal de Competencia Económica, que es el ordenamiento aplicable a la COFECE. </w:t>
      </w:r>
    </w:p>
  </w:footnote>
  <w:footnote w:id="60">
    <w:p w14:paraId="172EB580" w14:textId="77777777" w:rsidR="00BD77B6" w:rsidRPr="00627F62" w:rsidRDefault="00BD77B6" w:rsidP="00D378B1">
      <w:pPr>
        <w:pStyle w:val="Textonotapie"/>
      </w:pPr>
      <w:r w:rsidRPr="00627F62">
        <w:rPr>
          <w:rStyle w:val="Refdenotaalpie"/>
        </w:rPr>
        <w:footnoteRef/>
      </w:r>
      <w:r w:rsidRPr="00627F62">
        <w:t xml:space="preserve"> Conflicto Competencial Administrativo número 2/2015, resuelto el 8 de octubre de 2015. </w:t>
      </w:r>
    </w:p>
  </w:footnote>
  <w:footnote w:id="61">
    <w:p w14:paraId="75F5B734" w14:textId="373DADA2" w:rsidR="00BD77B6" w:rsidRPr="00627F62" w:rsidRDefault="00BD77B6" w:rsidP="00D378B1">
      <w:pPr>
        <w:pStyle w:val="Textonotapie"/>
      </w:pPr>
      <w:r w:rsidRPr="00627F62">
        <w:rPr>
          <w:rStyle w:val="Refdenotaalpie"/>
        </w:rPr>
        <w:footnoteRef/>
      </w:r>
      <w:r w:rsidRPr="00BF3A6C">
        <w:t>http://sise.cjf.gob.mx/SVP/word1.aspx?arch=1305/13050000178576910004002.doc_1&amp;sec=Jazm%C3%ADn_Robles_Cort%C3%A9s&amp;svp=1</w:t>
      </w:r>
      <w:r w:rsidRPr="00627F62">
        <w:t xml:space="preserve"> </w:t>
      </w:r>
    </w:p>
  </w:footnote>
  <w:footnote w:id="62">
    <w:p w14:paraId="6E823F92" w14:textId="77777777" w:rsidR="00BD77B6" w:rsidRPr="00AF278C" w:rsidRDefault="00BD77B6">
      <w:pPr>
        <w:pStyle w:val="Textonotapie"/>
        <w:rPr>
          <w:lang w:val="es-MX"/>
        </w:rPr>
      </w:pPr>
      <w:r>
        <w:rPr>
          <w:rStyle w:val="Refdenotaalpie"/>
        </w:rPr>
        <w:footnoteRef/>
      </w:r>
      <w:r>
        <w:t xml:space="preserve"> </w:t>
      </w:r>
      <w:r>
        <w:rPr>
          <w:lang w:val="es-MX"/>
        </w:rPr>
        <w:t>Conflicto Competencial Administrativo número 1/2017, resuelto el 2 de marzo de 2017.</w:t>
      </w:r>
    </w:p>
  </w:footnote>
  <w:footnote w:id="63">
    <w:p w14:paraId="15CDC3A5" w14:textId="77777777" w:rsidR="00BD77B6" w:rsidRDefault="00BD77B6">
      <w:pPr>
        <w:pStyle w:val="Textonotapie"/>
      </w:pPr>
      <w:r>
        <w:rPr>
          <w:rStyle w:val="Refdenotaalpie"/>
        </w:rPr>
        <w:footnoteRef/>
      </w:r>
      <w:r>
        <w:t xml:space="preserve"> Versión pública de la sentencia </w:t>
      </w:r>
      <w:r>
        <w:rPr>
          <w:lang w:val="es-MX"/>
        </w:rPr>
        <w:t>que resolvió el Conflicto Competencial Administrativo 1/2017</w:t>
      </w:r>
      <w:r>
        <w:t xml:space="preserve">, disponible en: </w:t>
      </w:r>
    </w:p>
    <w:p w14:paraId="11D7514F" w14:textId="77777777" w:rsidR="00BD77B6" w:rsidRPr="00272A64" w:rsidRDefault="00BD77B6">
      <w:pPr>
        <w:pStyle w:val="Textonotapie"/>
        <w:rPr>
          <w:lang w:val="es-MX"/>
        </w:rPr>
      </w:pPr>
      <w:r w:rsidRPr="00272A64">
        <w:t>http://sise.cjf.gob.mx/SVP/word1.aspx?arch=1305/13050000204166870004004.pdf_0&amp;sec=Jorge_Alberto_Ram%C3%ADrez__Hern%C3%A1ndez&amp;svp=1</w:t>
      </w:r>
    </w:p>
  </w:footnote>
  <w:footnote w:id="64">
    <w:p w14:paraId="0C56F84D" w14:textId="77777777" w:rsidR="00BD77B6" w:rsidRPr="007D794D" w:rsidRDefault="00BD77B6" w:rsidP="00D040FF">
      <w:pPr>
        <w:pStyle w:val="Textonotapie"/>
        <w:rPr>
          <w:lang w:val="es-MX"/>
        </w:rPr>
      </w:pPr>
      <w:r>
        <w:rPr>
          <w:rStyle w:val="Refdenotaalpie"/>
        </w:rPr>
        <w:footnoteRef/>
      </w:r>
      <w:r>
        <w:t xml:space="preserve"> </w:t>
      </w:r>
      <w:r>
        <w:rPr>
          <w:lang w:val="es-MX"/>
        </w:rPr>
        <w:t xml:space="preserve">Página 42 de la sentencia. </w:t>
      </w:r>
    </w:p>
  </w:footnote>
  <w:footnote w:id="65">
    <w:p w14:paraId="7F806913" w14:textId="77777777" w:rsidR="00BD77B6" w:rsidRPr="007D794D" w:rsidRDefault="00BD77B6">
      <w:pPr>
        <w:pStyle w:val="Textonotapie"/>
        <w:rPr>
          <w:lang w:val="es-MX"/>
        </w:rPr>
      </w:pPr>
      <w:r>
        <w:rPr>
          <w:rStyle w:val="Refdenotaalpie"/>
        </w:rPr>
        <w:footnoteRef/>
      </w:r>
      <w:r>
        <w:t xml:space="preserve"> </w:t>
      </w:r>
      <w:proofErr w:type="spellStart"/>
      <w:r>
        <w:rPr>
          <w:lang w:val="es-MX"/>
        </w:rPr>
        <w:t>Idem</w:t>
      </w:r>
      <w:proofErr w:type="spellEnd"/>
      <w:r>
        <w:rPr>
          <w:lang w:val="es-MX"/>
        </w:rPr>
        <w:t>.</w:t>
      </w:r>
    </w:p>
  </w:footnote>
  <w:footnote w:id="66">
    <w:p w14:paraId="7C4C0C90" w14:textId="77777777" w:rsidR="00BD77B6" w:rsidRPr="007D794D" w:rsidRDefault="00BD77B6">
      <w:pPr>
        <w:pStyle w:val="Textonotapie"/>
        <w:rPr>
          <w:lang w:val="es-MX"/>
        </w:rPr>
      </w:pPr>
      <w:r>
        <w:rPr>
          <w:rStyle w:val="Refdenotaalpie"/>
        </w:rPr>
        <w:footnoteRef/>
      </w:r>
      <w:r>
        <w:t xml:space="preserve"> </w:t>
      </w:r>
      <w:proofErr w:type="spellStart"/>
      <w:r>
        <w:rPr>
          <w:lang w:val="es-MX"/>
        </w:rPr>
        <w:t>Ibidem</w:t>
      </w:r>
      <w:proofErr w:type="spellEnd"/>
      <w:r>
        <w:rPr>
          <w:lang w:val="es-MX"/>
        </w:rPr>
        <w:t>, p. 43.</w:t>
      </w:r>
    </w:p>
  </w:footnote>
  <w:footnote w:id="67">
    <w:p w14:paraId="0C8AEA86" w14:textId="4C6E19DD" w:rsidR="00BD77B6" w:rsidRPr="00627F62" w:rsidRDefault="00BD77B6">
      <w:pPr>
        <w:pStyle w:val="Textonotapie"/>
      </w:pPr>
      <w:r w:rsidRPr="00627F62">
        <w:rPr>
          <w:rStyle w:val="Refdenotaalpie"/>
        </w:rPr>
        <w:footnoteRef/>
      </w:r>
      <w:r>
        <w:t xml:space="preserve"> Véase: </w:t>
      </w:r>
    </w:p>
    <w:p w14:paraId="4853D40C" w14:textId="71D257C7" w:rsidR="00BD77B6" w:rsidRPr="00627F62" w:rsidRDefault="00BD77B6">
      <w:pPr>
        <w:pStyle w:val="Textonotapie"/>
      </w:pPr>
      <w:r w:rsidRPr="00BF3A6C">
        <w:t>http://www.ift.org.mx/sites/default/files/conocenos/pleno/sesiones/acuerdoliga/dofpift170316101.pdf</w:t>
      </w:r>
      <w:r w:rsidRPr="00627F62">
        <w:t xml:space="preserve">. </w:t>
      </w:r>
    </w:p>
  </w:footnote>
  <w:footnote w:id="68">
    <w:p w14:paraId="52FAA122" w14:textId="639DB117" w:rsidR="00BD77B6" w:rsidRPr="007D794D" w:rsidRDefault="00BD77B6">
      <w:pPr>
        <w:pStyle w:val="Textonotapie"/>
        <w:rPr>
          <w:lang w:val="es-MX"/>
        </w:rPr>
      </w:pPr>
      <w:r>
        <w:rPr>
          <w:rStyle w:val="Refdenotaalpie"/>
        </w:rPr>
        <w:footnoteRef/>
      </w:r>
      <w:r>
        <w:t xml:space="preserve"> </w:t>
      </w:r>
      <w:r w:rsidRPr="00766502">
        <w:t xml:space="preserve">Véase 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(DOF) el 15 de abril de 2016 y disponible en el siguiente link: </w:t>
      </w:r>
      <w:r w:rsidRPr="00BF3A6C">
        <w:t>http://www.dof.gob.mx/nota_detalle.php?codigo=5433280&amp;fecha=15/04/2016</w:t>
      </w:r>
      <w:r>
        <w:t xml:space="preserve"> </w:t>
      </w:r>
    </w:p>
  </w:footnote>
  <w:footnote w:id="69">
    <w:p w14:paraId="740467D8" w14:textId="77777777" w:rsidR="00BD77B6" w:rsidRPr="0032224B" w:rsidRDefault="00BD77B6" w:rsidP="0032224B">
      <w:pPr>
        <w:pStyle w:val="Textonotapie"/>
        <w:rPr>
          <w:lang w:val="es-MX"/>
        </w:rPr>
      </w:pPr>
      <w:r>
        <w:rPr>
          <w:rStyle w:val="Refdenotaalpie"/>
        </w:rPr>
        <w:footnoteRef/>
      </w:r>
      <w:r>
        <w:t xml:space="preserve"> Estos supuestos, por ejemplo, se han actualizado en las siguientes resoluciones de tres concentraciones específicas en los Expedientes UCE/CNC-003-2014 (ATT- DIRECTV), UCE/CNC-006-2014 (ATT- GRUPO SALINAS TELECOM, S.A. DE C.V.) y </w:t>
      </w:r>
      <w:r w:rsidRPr="0032224B">
        <w:rPr>
          <w:lang w:val="es-MX"/>
        </w:rPr>
        <w:t>UCE/CNC-001-2015 (ATT- NII HOLDINGS, INC)</w:t>
      </w:r>
      <w:r>
        <w:rPr>
          <w:lang w:val="es-MX"/>
        </w:rPr>
        <w:t xml:space="preserve">. </w:t>
      </w:r>
    </w:p>
  </w:footnote>
  <w:footnote w:id="70">
    <w:p w14:paraId="6810C925" w14:textId="0EF56B9F" w:rsidR="00BD77B6" w:rsidRPr="007D794D" w:rsidRDefault="00BD77B6">
      <w:pPr>
        <w:pStyle w:val="Textonotapie"/>
        <w:rPr>
          <w:lang w:val="es-MX"/>
        </w:rPr>
      </w:pPr>
      <w:r>
        <w:rPr>
          <w:rStyle w:val="Refdenotaalpie"/>
        </w:rPr>
        <w:footnoteRef/>
      </w:r>
      <w:r>
        <w:t xml:space="preserve"> </w:t>
      </w:r>
      <w:r w:rsidRPr="0032224B">
        <w:t>Como ejemplo, están las condiciones impuestas por el Instituto en el Expediente UCE/CNC-003-2015 (Grupo Televisa-Televisión Internacional S.A. de C.V.), en donde las mismas tienen carácter público</w:t>
      </w:r>
      <w:r>
        <w:t>.</w:t>
      </w:r>
      <w:r w:rsidRPr="0032224B">
        <w:t xml:space="preserve"> </w:t>
      </w:r>
      <w:r>
        <w:rPr>
          <w:lang w:val="es-MX"/>
        </w:rPr>
        <w:t xml:space="preserve">Véase: </w:t>
      </w:r>
      <w:r w:rsidRPr="00BF3A6C">
        <w:rPr>
          <w:lang w:val="es-MX"/>
        </w:rPr>
        <w:t>http://apps.ift.org.mx/publicdata/Version_Publica_P_IFT_EXT_190216_7.pdf</w:t>
      </w:r>
    </w:p>
  </w:footnote>
  <w:footnote w:id="71">
    <w:p w14:paraId="67017E0F" w14:textId="77777777" w:rsidR="00BD77B6" w:rsidRPr="00627F62" w:rsidRDefault="00BD77B6">
      <w:pPr>
        <w:pStyle w:val="Textonotapie"/>
        <w:rPr>
          <w:lang w:val="es-MX"/>
        </w:rPr>
      </w:pPr>
      <w:r w:rsidRPr="00627F62">
        <w:rPr>
          <w:rStyle w:val="Refdenotaalpie"/>
        </w:rPr>
        <w:footnoteRef/>
      </w:r>
      <w:r w:rsidRPr="00627F62">
        <w:t xml:space="preserve"> Con</w:t>
      </w:r>
      <w:r w:rsidRPr="00627F62">
        <w:rPr>
          <w:lang w:val="es-MX"/>
        </w:rPr>
        <w:t xml:space="preserve"> la excepción de que la concentración se trate de una sucesión de actos por virtud del cual, con la realización del último de ellos, le operación sí rebase los umbrales del artículo 86 de la LFCE, supuesto para el cual se podría actualizar la hipótesis de prescripción de diez años prevista en el artículo 137 de la LFCE. Cabe señalar que, para los casos de prescripción de una investigación, el IFT y, en su caso, la AI del IFT analizarán las circunstancias particulares de cada caso y conforme a sus propios méritos. </w:t>
      </w:r>
    </w:p>
  </w:footnote>
  <w:footnote w:id="72">
    <w:p w14:paraId="3F4DFBB0" w14:textId="77777777" w:rsidR="00BD77B6" w:rsidRPr="00627F62" w:rsidRDefault="00BD77B6" w:rsidP="00D378B1">
      <w:pPr>
        <w:pStyle w:val="Textonotapie"/>
      </w:pPr>
      <w:r w:rsidRPr="00627F62">
        <w:rPr>
          <w:rStyle w:val="Refdenotaalpie"/>
        </w:rPr>
        <w:footnoteRef/>
      </w:r>
      <w:r w:rsidRPr="00627F62">
        <w:t xml:space="preserve"> Artículo 111, párrafo primero, de la LFCE.</w:t>
      </w:r>
    </w:p>
  </w:footnote>
  <w:footnote w:id="73">
    <w:p w14:paraId="2DBD5A8B" w14:textId="77777777" w:rsidR="00BD77B6" w:rsidRPr="00627F62" w:rsidRDefault="00BD77B6" w:rsidP="00D378B1">
      <w:pPr>
        <w:pStyle w:val="Textonotapie"/>
      </w:pPr>
      <w:r w:rsidRPr="00627F62">
        <w:rPr>
          <w:rStyle w:val="Refdenotaalpie"/>
        </w:rPr>
        <w:footnoteRef/>
      </w:r>
      <w:r w:rsidRPr="00627F62">
        <w:t xml:space="preserve"> Cabe precisar que el “Anexo a la Convención” contiene el modelo de apostilla y los requisitos con que ésta deberá constar para su emisión y validez.  </w:t>
      </w:r>
    </w:p>
  </w:footnote>
  <w:footnote w:id="74">
    <w:p w14:paraId="54474489" w14:textId="77777777" w:rsidR="00BD77B6" w:rsidRPr="00627F62" w:rsidRDefault="00BD77B6" w:rsidP="00D378B1">
      <w:pPr>
        <w:pStyle w:val="Textonotapie"/>
      </w:pPr>
      <w:r w:rsidRPr="00627F62">
        <w:rPr>
          <w:rStyle w:val="Refdenotaalpie"/>
        </w:rPr>
        <w:footnoteRef/>
      </w:r>
      <w:r w:rsidRPr="00627F62">
        <w:t xml:space="preserve"> Hasta un día antes de que el asunto sea votado en sesión del Pleno del IFT, en términos del artículo 24 de las Disposiciones Regulatorias.</w:t>
      </w:r>
    </w:p>
  </w:footnote>
  <w:footnote w:id="75">
    <w:p w14:paraId="4D1D24E5" w14:textId="77777777" w:rsidR="00BD77B6" w:rsidRPr="00627F62" w:rsidRDefault="00BD77B6" w:rsidP="00D378B1">
      <w:pPr>
        <w:pStyle w:val="Textonotapie"/>
      </w:pPr>
      <w:r w:rsidRPr="00627F62">
        <w:rPr>
          <w:rStyle w:val="Refdenotaalpie"/>
        </w:rPr>
        <w:footnoteRef/>
      </w:r>
      <w:r w:rsidRPr="00627F62">
        <w:t xml:space="preserve"> Artículo 200 del CFPC, aplicado de forma supletoria conforme a lo señalado en el artículo 121 de la LFCE. </w:t>
      </w:r>
    </w:p>
  </w:footnote>
  <w:footnote w:id="76">
    <w:p w14:paraId="721D38F5" w14:textId="2751611E" w:rsidR="00BD77B6" w:rsidRPr="00627F62" w:rsidRDefault="00BD77B6" w:rsidP="00D378B1">
      <w:pPr>
        <w:pStyle w:val="Textonotapie"/>
      </w:pPr>
      <w:r w:rsidRPr="00627F62">
        <w:rPr>
          <w:rStyle w:val="Refdenotaalpie"/>
        </w:rPr>
        <w:footnoteRef/>
      </w:r>
      <w:r w:rsidRPr="00627F62">
        <w:t xml:space="preserve"> Al respecto y como ejemplo de lo anterior, resulta aplicable la Resolución emitida por el Pleno del Instituto en relación con el expediente UCE/CNC-003-2015, consultable en: </w:t>
      </w:r>
      <w:r w:rsidRPr="00BF3A6C">
        <w:t>http://www.ift.org.mx/sites/default/files/conocenos/pleno/sesiones/acuerdoliga/versionpublicapiftext1902167_1.pdf</w:t>
      </w:r>
      <w:r w:rsidRPr="00627F62">
        <w:t xml:space="preserve">  </w:t>
      </w:r>
    </w:p>
  </w:footnote>
  <w:footnote w:id="77">
    <w:p w14:paraId="661F120D" w14:textId="77777777" w:rsidR="00BD77B6" w:rsidRPr="00627F62" w:rsidRDefault="00BD77B6" w:rsidP="00D378B1">
      <w:pPr>
        <w:pStyle w:val="Textonotapie"/>
      </w:pPr>
      <w:r w:rsidRPr="00627F62">
        <w:rPr>
          <w:rStyle w:val="Refdenotaalpie"/>
        </w:rPr>
        <w:footnoteRef/>
      </w:r>
      <w:r w:rsidRPr="00627F62">
        <w:t xml:space="preserve"> En términos del Artículo 6 de las Disposiciones Regulatorias, son mercados relacionados aquellos que involucran bienes, servicios o áreas geográficas distintas a las que forman parte del mercado relevante, pero que inciden en o son influidos por las condiciones de competencia y libre concurrencia imperantes en el mismo. 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footnote>
  <w:footnote w:id="78">
    <w:p w14:paraId="51047116" w14:textId="77777777" w:rsidR="00BD77B6" w:rsidRPr="00627F62" w:rsidRDefault="00BD77B6" w:rsidP="00D378B1">
      <w:pPr>
        <w:pStyle w:val="Textonotapie"/>
      </w:pPr>
      <w:r w:rsidRPr="00627F62">
        <w:rPr>
          <w:rStyle w:val="Refdenotaalpie"/>
        </w:rPr>
        <w:footnoteRef/>
      </w:r>
      <w:r w:rsidRPr="00627F62">
        <w:t xml:space="preserve"> Ello, en términos de los párrafos primero y segundo, fracción III, artículo 90 de la LFCE.</w:t>
      </w:r>
    </w:p>
  </w:footnote>
  <w:footnote w:id="79">
    <w:p w14:paraId="32733634" w14:textId="77777777" w:rsidR="00BD77B6" w:rsidRPr="006C1749" w:rsidRDefault="00BD77B6">
      <w:pPr>
        <w:pStyle w:val="Textonotapie"/>
        <w:rPr>
          <w:lang w:val="es-MX"/>
        </w:rPr>
      </w:pPr>
      <w:r>
        <w:rPr>
          <w:rStyle w:val="Refdenotaalpie"/>
        </w:rPr>
        <w:footnoteRef/>
      </w:r>
      <w:r>
        <w:t xml:space="preserve"> Como parte del Requerimiento de Información Adicional, el Instituto solicita a los agentes económicos notificantes del procedimiento datos que no necesariamente fueron aportados como parte de la información básica. La información adicional que se solicita incluye la que se refiere al reconocimiento de los vínculos comerciales, jurídicos, financieros y afines entre los notificantes y otros agentes económicos. En materia de radiodifusión, a manera de ejemplo, el Instituto solicita: </w:t>
      </w:r>
      <w:r w:rsidRPr="00EB31AE">
        <w:t>la identificación de agencias comercializa</w:t>
      </w:r>
      <w:r>
        <w:t>doras de espacios publicitarios</w:t>
      </w:r>
      <w:r w:rsidRPr="00EB31AE">
        <w:t xml:space="preserve"> con las que tenga convenio </w:t>
      </w:r>
      <w:r>
        <w:t xml:space="preserve">el adquirente </w:t>
      </w:r>
      <w:r w:rsidRPr="00EB31AE">
        <w:t>y, para el caso de la venta de</w:t>
      </w:r>
      <w:r>
        <w:t xml:space="preserve"> publicidad, identificar</w:t>
      </w:r>
      <w:r w:rsidRPr="00EB31AE">
        <w:t xml:space="preserve"> si </w:t>
      </w:r>
      <w:r>
        <w:t>éste cuenta</w:t>
      </w:r>
      <w:r w:rsidRPr="00EB31AE">
        <w:t xml:space="preserve"> con representantes comerciales</w:t>
      </w:r>
      <w:r>
        <w:t xml:space="preserve">. </w:t>
      </w:r>
    </w:p>
  </w:footnote>
  <w:footnote w:id="80">
    <w:p w14:paraId="08F3413C" w14:textId="77777777" w:rsidR="00BD77B6" w:rsidRPr="00627F62" w:rsidRDefault="00BD77B6" w:rsidP="00D378B1">
      <w:pPr>
        <w:pStyle w:val="Textonotapie"/>
      </w:pPr>
      <w:r w:rsidRPr="00627F62">
        <w:rPr>
          <w:rStyle w:val="Refdenotaalpie"/>
        </w:rPr>
        <w:footnoteRef/>
      </w:r>
      <w:r w:rsidRPr="00627F62">
        <w:t xml:space="preserve"> Opinión Formal emitida por el Pleno del Instituto al interior del expediente UCE/OFC-001-2015, cuya versión pública se encuentra disponible en:</w:t>
      </w:r>
    </w:p>
    <w:p w14:paraId="771A5430" w14:textId="2190F475" w:rsidR="00BD77B6" w:rsidRPr="00627F62" w:rsidRDefault="00BD77B6" w:rsidP="00D378B1">
      <w:pPr>
        <w:pStyle w:val="Textonotapie"/>
      </w:pPr>
      <w:r w:rsidRPr="00BF3A6C">
        <w:t>http://www.ift.org.mx/sites/default/files/conocenos/pleno/sesiones/acuerdoliga/versionpublicaucepift210915402.pdf</w:t>
      </w:r>
      <w:r w:rsidRPr="00627F62">
        <w:t xml:space="preserve"> </w:t>
      </w:r>
    </w:p>
  </w:footnote>
  <w:footnote w:id="81">
    <w:p w14:paraId="481CBAE2" w14:textId="77777777" w:rsidR="00BD77B6" w:rsidRPr="00627F62" w:rsidRDefault="00BD77B6" w:rsidP="00D378B1">
      <w:pPr>
        <w:pStyle w:val="Textonotapie"/>
      </w:pPr>
      <w:r w:rsidRPr="00627F62">
        <w:rPr>
          <w:rStyle w:val="Refdenotaalpie"/>
        </w:rPr>
        <w:footnoteRef/>
      </w:r>
      <w:r w:rsidRPr="00627F62">
        <w:t xml:space="preserve"> Ídem.</w:t>
      </w:r>
    </w:p>
  </w:footnote>
  <w:footnote w:id="82">
    <w:p w14:paraId="113A5D46" w14:textId="77777777" w:rsidR="00BD77B6" w:rsidRPr="00627F62" w:rsidRDefault="00BD77B6" w:rsidP="00316B67">
      <w:pPr>
        <w:pStyle w:val="Textonotapie"/>
      </w:pPr>
      <w:r w:rsidRPr="00627F62">
        <w:rPr>
          <w:rStyle w:val="Refdenotaalpie"/>
        </w:rPr>
        <w:footnoteRef/>
      </w:r>
      <w:r w:rsidRPr="00627F62">
        <w:t xml:space="preserve"> En términos del artículo 28 de las Disposiciones Regulatorias, no se requerirá autorización de concentración cuando se trate de una transacción en la que un agente económico tenga la propiedad, directa o indirectamente, desde su constitución, o desde que el Instituto lo haya autorizado al menos del noventa y cinco por ciento (95%) de las acciones o partes sociales con derecho a voto de la o las personas involucradas en la transacción.</w:t>
      </w:r>
    </w:p>
    <w:p w14:paraId="071912DC" w14:textId="77777777" w:rsidR="00BD77B6" w:rsidRPr="00627F62" w:rsidRDefault="00BD77B6" w:rsidP="00316B67">
      <w:pPr>
        <w:pStyle w:val="Textonotapie"/>
        <w:rPr>
          <w:lang w:val="es-MX"/>
        </w:rPr>
      </w:pPr>
      <w:r w:rsidRPr="00627F62">
        <w:t>En términos del mismo artículo, si dentro del cinco por ciento (5%) restante existen accionistas o propietarios de partes sociales que detentan derechos corporativos que les permitan designar consejeros o administradores, participar o influir significativamente en los órganos de decisión de la sociedad de que se trate, en ese caso no se tendrá por actualizada la excepción referida en el párrafo anterior.</w:t>
      </w:r>
    </w:p>
  </w:footnote>
  <w:footnote w:id="83">
    <w:p w14:paraId="67F53FE3" w14:textId="6213819B" w:rsidR="00BD77B6" w:rsidRPr="00627F62" w:rsidRDefault="00BD77B6" w:rsidP="00D378B1">
      <w:pPr>
        <w:pStyle w:val="Textonotapie"/>
      </w:pPr>
      <w:r w:rsidRPr="00627F62">
        <w:rPr>
          <w:rStyle w:val="Refdenotaalpie"/>
        </w:rPr>
        <w:footnoteRef/>
      </w:r>
      <w:r w:rsidRPr="00627F62">
        <w:t xml:space="preserve"> </w:t>
      </w:r>
      <w:r w:rsidRPr="00BF3A6C">
        <w:t>http://www.cnbv.gob.mx/SECTORES-SUPERVISADOS/SOCIEDADES-DE-INVERSION/Paginas/Descripci%C3%B3n-del-Sector.aspx</w:t>
      </w:r>
      <w:r w:rsidRPr="00627F62">
        <w:t>.</w:t>
      </w:r>
    </w:p>
  </w:footnote>
  <w:footnote w:id="84">
    <w:p w14:paraId="46A0C99F" w14:textId="77777777" w:rsidR="00BD77B6" w:rsidRPr="00627F62" w:rsidRDefault="00BD77B6" w:rsidP="00D378B1">
      <w:pPr>
        <w:pStyle w:val="Textonotapie"/>
      </w:pPr>
      <w:r w:rsidRPr="00627F62">
        <w:rPr>
          <w:rStyle w:val="Refdenotaalpie"/>
        </w:rPr>
        <w:footnoteRef/>
      </w:r>
      <w:r w:rsidRPr="00627F62">
        <w:t xml:space="preserve"> </w:t>
      </w:r>
      <w:hyperlink r:id="rId1" w:history="1">
        <w:r w:rsidRPr="00627F62">
          <w:rPr>
            <w:rStyle w:val="Hipervnculo"/>
            <w:color w:val="auto"/>
            <w:u w:val="none"/>
          </w:rPr>
          <w:t>Íd</w:t>
        </w:r>
      </w:hyperlink>
      <w:r w:rsidRPr="00627F62">
        <w:rPr>
          <w:rStyle w:val="Hipervnculo"/>
          <w:color w:val="auto"/>
          <w:u w:val="none"/>
        </w:rPr>
        <w:t>em.</w:t>
      </w:r>
    </w:p>
  </w:footnote>
  <w:footnote w:id="85">
    <w:p w14:paraId="2163B0A8" w14:textId="5DBF5E30" w:rsidR="00BD77B6" w:rsidRPr="00627F62" w:rsidRDefault="00BD77B6">
      <w:pPr>
        <w:pStyle w:val="Textonotapie"/>
        <w:rPr>
          <w:lang w:val="es-MX"/>
        </w:rPr>
      </w:pPr>
      <w:r w:rsidRPr="00627F62">
        <w:rPr>
          <w:rStyle w:val="Refdenotaalpie"/>
        </w:rPr>
        <w:footnoteRef/>
      </w:r>
      <w:r w:rsidRPr="00627F62">
        <w:t xml:space="preserve"> </w:t>
      </w:r>
      <w:r w:rsidRPr="00627F62">
        <w:rPr>
          <w:lang w:val="es-MX"/>
        </w:rPr>
        <w:t xml:space="preserve">Véanse como ejemplos las siguientes Resoluciones emitidas por el Pleno del Instituto: 1) en el caso de concesiones para prestar servicios de televisión restringida </w:t>
      </w:r>
      <w:r w:rsidRPr="00BF3A6C">
        <w:rPr>
          <w:lang w:val="es-MX"/>
        </w:rPr>
        <w:t>http://www.ift.org.mx/sites/default/files/conocenos/pleno/sesiones/acuerdoliga/pift09031682.pdf</w:t>
      </w:r>
      <w:r w:rsidRPr="00627F62">
        <w:rPr>
          <w:lang w:val="es-MX"/>
        </w:rPr>
        <w:t xml:space="preserve"> y 2) en el caso de concesiones para instalar, operar y explotar una red pública de telecomunicaciones </w:t>
      </w:r>
      <w:r w:rsidRPr="00BF3A6C">
        <w:rPr>
          <w:lang w:val="es-MX"/>
        </w:rPr>
        <w:t>http://www.ift.org.mx/sites/default/files/conocenos/pleno/sesiones/acuerdoliga/pift27011616acc.docx</w:t>
      </w:r>
      <w:r w:rsidRPr="00627F62">
        <w:rPr>
          <w:lang w:val="es-MX"/>
        </w:rPr>
        <w:t xml:space="preserve"> </w:t>
      </w:r>
    </w:p>
  </w:footnote>
  <w:footnote w:id="86">
    <w:p w14:paraId="087CD2FC" w14:textId="757F2AB9" w:rsidR="00BD77B6" w:rsidRPr="0082165A" w:rsidRDefault="00BD77B6">
      <w:pPr>
        <w:pStyle w:val="Textonotapie"/>
        <w:rPr>
          <w:lang w:val="es-MX"/>
        </w:rPr>
      </w:pPr>
      <w:r>
        <w:rPr>
          <w:rStyle w:val="Refdenotaalpie"/>
        </w:rPr>
        <w:footnoteRef/>
      </w:r>
      <w:r>
        <w:t xml:space="preserve"> </w:t>
      </w:r>
      <w:r>
        <w:rPr>
          <w:lang w:val="es-MX"/>
        </w:rPr>
        <w:t xml:space="preserve">Publicados en el DOF el 17 de febrero de 2015 y disponibles en: </w:t>
      </w:r>
      <w:r w:rsidRPr="00BF3A6C">
        <w:rPr>
          <w:lang w:val="es-MX"/>
        </w:rPr>
        <w:t>http://www.dof.gob.mx/nota_detalle.php?codigo=5382262&amp;fecha=17/02/2015</w:t>
      </w:r>
      <w:r>
        <w:rPr>
          <w:lang w:val="es-MX"/>
        </w:rPr>
        <w:t xml:space="preserve"> </w:t>
      </w:r>
    </w:p>
  </w:footnote>
  <w:footnote w:id="87">
    <w:p w14:paraId="37B6B8A2" w14:textId="7B6EB160" w:rsidR="00BD77B6" w:rsidRPr="00627F62" w:rsidRDefault="00BD77B6">
      <w:pPr>
        <w:pStyle w:val="Textonotapie"/>
        <w:rPr>
          <w:lang w:val="es-MX"/>
        </w:rPr>
      </w:pPr>
      <w:r w:rsidRPr="00627F62">
        <w:rPr>
          <w:rStyle w:val="Refdenotaalpie"/>
        </w:rPr>
        <w:footnoteRef/>
      </w:r>
      <w:r w:rsidRPr="00BF3A6C">
        <w:t>http://www.ift.org.mx/sites/default/files/conocenos/pleno/sesiones_pleno/acuerdo_liga/p_ift_ext_151215_187.pdf</w:t>
      </w:r>
    </w:p>
  </w:footnote>
  <w:footnote w:id="88">
    <w:p w14:paraId="77D5E355" w14:textId="36AF5C90" w:rsidR="00BD77B6" w:rsidRPr="00A50E8D" w:rsidRDefault="00BD77B6">
      <w:pPr>
        <w:pStyle w:val="Textonotapie"/>
        <w:rPr>
          <w:lang w:val="es-MX"/>
        </w:rPr>
      </w:pPr>
      <w:r>
        <w:rPr>
          <w:rStyle w:val="Refdenotaalpie"/>
        </w:rPr>
        <w:footnoteRef/>
      </w:r>
      <w:r>
        <w:t xml:space="preserve"> Como ejemplo, se encuentra la licitación que llevó por nombre: </w:t>
      </w:r>
      <w:r w:rsidRPr="00A50E8D">
        <w:t>CONCURSO INTERNACIONAL NÚMERO APP-009000896-E1/2016 QUE TIENE POR OBJETO ADJUDICAR UN PROYECTO DE ASOCIACIÓN PÚBLICO-PRIVADA PARA LA INSTALACIÓN Y OPERACIÓN DE LA RED COMPARTIDA</w:t>
      </w:r>
      <w:r>
        <w:t xml:space="preserve">, realizada en el año 2016, y cuyas Bases y documentos justificativos pueden consultarse en: </w:t>
      </w:r>
      <w:r w:rsidRPr="00BF3A6C">
        <w:t>http://www.sct.gob.mx/red-compartida/bases-internacionales.html</w:t>
      </w:r>
      <w:r>
        <w:t xml:space="preserve"> En dicha licitación fungió como autoridad convocante la Secretaría de Comunicaciones y Transportes, mientras que el Instituto colaboró como autoridad en materia de competencia económica previo a dicha Licitación en términos de los artículos 98 y 99 de la LFCE.</w:t>
      </w:r>
    </w:p>
  </w:footnote>
  <w:footnote w:id="89">
    <w:p w14:paraId="637F34D4" w14:textId="1B2B16DF" w:rsidR="00BD77B6" w:rsidRPr="00627F62" w:rsidRDefault="00BD77B6">
      <w:pPr>
        <w:pStyle w:val="Textonotapie"/>
      </w:pPr>
      <w:r w:rsidRPr="00627F62">
        <w:rPr>
          <w:rStyle w:val="Refdenotaalpie"/>
        </w:rPr>
        <w:footnoteRef/>
      </w:r>
      <w:r w:rsidRPr="00627F62">
        <w:t xml:space="preserve"> Por ejemplo: </w:t>
      </w:r>
      <w:r w:rsidRPr="00BF3A6C">
        <w:t>http://apps.ift.org.mx/publicdata/P_IFT_EXT_101214_273_Version_Publica.pdf</w:t>
      </w:r>
      <w:r w:rsidRPr="00627F62">
        <w:rPr>
          <w:rStyle w:val="Hipervnculo"/>
        </w:rPr>
        <w:t>.</w:t>
      </w:r>
    </w:p>
  </w:footnote>
  <w:footnote w:id="90">
    <w:p w14:paraId="221A9A16" w14:textId="77777777" w:rsidR="00BD77B6" w:rsidRPr="00627F62" w:rsidRDefault="00BD77B6" w:rsidP="00D378B1">
      <w:pPr>
        <w:pStyle w:val="Textonotapie"/>
      </w:pPr>
      <w:r w:rsidRPr="00627F62">
        <w:rPr>
          <w:rStyle w:val="Refdenotaalpie"/>
        </w:rPr>
        <w:footnoteRef/>
      </w:r>
      <w:r w:rsidRPr="00627F62">
        <w:t xml:space="preserve"> El Decreto de Reforma Constitucional creó una figura particular denominada “preponderancia”, misma que corresponde y es aplicable a la esfera regulatoria del IFT. De acuerdo con el artículo 262, párrafo segundo, de la LFTR, se considerará como agentes económicos preponderante, en razón de su participación nacional en la prestación de los servicios de radiodifusión o telecomunicaciones:</w:t>
      </w:r>
    </w:p>
    <w:p w14:paraId="7195F523" w14:textId="77777777" w:rsidR="00BD77B6" w:rsidRPr="00627F62" w:rsidRDefault="00BD77B6" w:rsidP="00D378B1">
      <w:pPr>
        <w:pStyle w:val="Textonotapie"/>
      </w:pPr>
      <w:r w:rsidRPr="00627F62">
        <w:t>“(…)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w:t>
      </w:r>
    </w:p>
    <w:p w14:paraId="20EA33EE" w14:textId="2C3FDDD1" w:rsidR="00BD77B6" w:rsidRPr="00627F62" w:rsidRDefault="00BD77B6" w:rsidP="00D378B1">
      <w:pPr>
        <w:pStyle w:val="Textonotapie"/>
      </w:pPr>
      <w:r w:rsidRPr="00627F62">
        <w:t xml:space="preserve">Con motivo de lo anterior, el IFT emitió las respectivas resoluciones de preponderancia en el plazo señalado y en las cuales declaró un agente económico preponderante en el sector de telecomunicaciones y otro en el sector de radiodifusión. En relación con el agente económico preponderante en el sector de telecomunicaciones, véase: </w:t>
      </w:r>
      <w:r w:rsidRPr="00BF3A6C">
        <w:t>http://www.ift.org.mx/sites/default/files/p_ift_ext_060314_76_version_publica_hoja.pdf</w:t>
      </w:r>
      <w:r w:rsidRPr="00627F62">
        <w:rPr>
          <w:rStyle w:val="Hipervnculo"/>
        </w:rPr>
        <w:t xml:space="preserve">. </w:t>
      </w:r>
      <w:r w:rsidRPr="00627F62">
        <w:t xml:space="preserve">En relación con el agente económico preponderante en el sector de radiodifusión, véase: </w:t>
      </w:r>
      <w:r w:rsidRPr="00BF3A6C">
        <w:t>http://www.ift.org.mx/sites/default/files/p_ift_ext_060314_77.pdf</w:t>
      </w:r>
      <w:r w:rsidRPr="00627F62">
        <w:rPr>
          <w:rStyle w:val="Hipervnculo"/>
        </w:rPr>
        <w:t>.</w:t>
      </w:r>
    </w:p>
  </w:footnote>
  <w:footnote w:id="91">
    <w:p w14:paraId="53D700CF" w14:textId="77777777" w:rsidR="00BD77B6" w:rsidRPr="00627F62" w:rsidRDefault="00BD77B6" w:rsidP="00D378B1">
      <w:pPr>
        <w:pStyle w:val="Textonotapie"/>
      </w:pPr>
      <w:r w:rsidRPr="00627F62">
        <w:rPr>
          <w:rStyle w:val="Refdenotaalpie"/>
        </w:rPr>
        <w:footnoteRef/>
      </w:r>
      <w:r w:rsidRPr="00627F62">
        <w:t xml:space="preserve"> Disponibles en:</w:t>
      </w:r>
    </w:p>
    <w:p w14:paraId="7A46ECBF" w14:textId="14356B86" w:rsidR="00BD77B6" w:rsidRPr="00627F62" w:rsidRDefault="00BD77B6" w:rsidP="00D378B1">
      <w:pPr>
        <w:pStyle w:val="Textonotapie"/>
      </w:pPr>
      <w:r w:rsidRPr="00BF3A6C">
        <w:t>http://www.senado.gob.mx/comisiones/comunicaciones_transportes/docs/Telecom/dictamen_030714.pdf</w:t>
      </w:r>
      <w:r w:rsidRPr="00627F62">
        <w:t xml:space="preserve"> y en </w:t>
      </w:r>
      <w:r w:rsidRPr="00BF3A6C">
        <w:t>http://apps.ift.org.mx/publicdata/P_IFT_EXT_101214_273_Version_Publica.pdf</w:t>
      </w:r>
      <w:r w:rsidRPr="00627F62">
        <w:t xml:space="preserve">. </w:t>
      </w:r>
    </w:p>
  </w:footnote>
  <w:footnote w:id="92">
    <w:p w14:paraId="0DF55CA4" w14:textId="77777777" w:rsidR="00BD77B6" w:rsidRPr="00627F62" w:rsidRDefault="00BD77B6" w:rsidP="00D378B1">
      <w:pPr>
        <w:pStyle w:val="Textonotapie"/>
      </w:pPr>
      <w:r w:rsidRPr="00627F62">
        <w:rPr>
          <w:rStyle w:val="Refdenotaalpie"/>
        </w:rPr>
        <w:footnoteRef/>
      </w:r>
      <w:r w:rsidRPr="00627F62">
        <w:t xml:space="preserve"> Véase las resoluciones públicas señaladas a pie de página número 73.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5423C" w14:textId="77777777" w:rsidR="00BD77B6" w:rsidRPr="00697F03" w:rsidRDefault="00BD77B6" w:rsidP="00697F03">
    <w:pPr>
      <w:pStyle w:val="Sinespaciado"/>
      <w:jc w:val="center"/>
      <w:rPr>
        <w:rFonts w:asciiTheme="majorHAnsi" w:hAnsiTheme="majorHAnsi"/>
        <w:b/>
        <w:color w:val="244061" w:themeColor="accent1" w:themeShade="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A06"/>
    <w:multiLevelType w:val="hybridMultilevel"/>
    <w:tmpl w:val="7584E7A4"/>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13016"/>
    <w:multiLevelType w:val="hybridMultilevel"/>
    <w:tmpl w:val="388CB430"/>
    <w:lvl w:ilvl="0" w:tplc="606EEB30">
      <w:start w:val="1"/>
      <w:numFmt w:val="bullet"/>
      <w:lvlText w:val="-"/>
      <w:lvlJc w:val="left"/>
      <w:pPr>
        <w:ind w:left="1080" w:hanging="360"/>
      </w:pPr>
      <w:rPr>
        <w:rFonts w:ascii="ITC Avant Garde" w:eastAsiaTheme="minorHAnsi" w:hAnsi="ITC Avant Gard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1A261E8"/>
    <w:multiLevelType w:val="hybridMultilevel"/>
    <w:tmpl w:val="48F2E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371EBD"/>
    <w:multiLevelType w:val="hybridMultilevel"/>
    <w:tmpl w:val="94F27B9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594034"/>
    <w:multiLevelType w:val="hybridMultilevel"/>
    <w:tmpl w:val="1C707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5C2FBD"/>
    <w:multiLevelType w:val="multilevel"/>
    <w:tmpl w:val="38543B88"/>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32E1E0C"/>
    <w:multiLevelType w:val="hybridMultilevel"/>
    <w:tmpl w:val="C8D08A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F359F8"/>
    <w:multiLevelType w:val="hybridMultilevel"/>
    <w:tmpl w:val="A874F6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6910EE9"/>
    <w:multiLevelType w:val="hybridMultilevel"/>
    <w:tmpl w:val="E960A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AA678F"/>
    <w:multiLevelType w:val="hybridMultilevel"/>
    <w:tmpl w:val="27DC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D07FA6"/>
    <w:multiLevelType w:val="hybridMultilevel"/>
    <w:tmpl w:val="1150B196"/>
    <w:lvl w:ilvl="0" w:tplc="345AF2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70168AB"/>
    <w:multiLevelType w:val="hybridMultilevel"/>
    <w:tmpl w:val="E348C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73C3DD6"/>
    <w:multiLevelType w:val="hybridMultilevel"/>
    <w:tmpl w:val="F474B2BE"/>
    <w:lvl w:ilvl="0" w:tplc="6180ED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CAB2118"/>
    <w:multiLevelType w:val="hybridMultilevel"/>
    <w:tmpl w:val="F77AC38A"/>
    <w:lvl w:ilvl="0" w:tplc="080A0001">
      <w:start w:val="1"/>
      <w:numFmt w:val="bullet"/>
      <w:lvlText w:val=""/>
      <w:lvlJc w:val="left"/>
      <w:pPr>
        <w:ind w:left="720" w:hanging="360"/>
      </w:pPr>
      <w:rPr>
        <w:rFonts w:ascii="Symbol" w:hAnsi="Symbol" w:hint="default"/>
      </w:rPr>
    </w:lvl>
    <w:lvl w:ilvl="1" w:tplc="BBF2B658">
      <w:numFmt w:val="bullet"/>
      <w:lvlText w:val="-"/>
      <w:lvlJc w:val="left"/>
      <w:pPr>
        <w:ind w:left="1440" w:hanging="360"/>
      </w:pPr>
      <w:rPr>
        <w:rFonts w:ascii="ITC Avant Garde" w:eastAsia="Calibri" w:hAnsi="ITC Avant Garde" w:cs="Times New Roman" w:hint="default"/>
      </w:rPr>
    </w:lvl>
    <w:lvl w:ilvl="2" w:tplc="278683A2">
      <w:start w:val="1"/>
      <w:numFmt w:val="lowerRoman"/>
      <w:lvlText w:val="%3."/>
      <w:lvlJc w:val="right"/>
      <w:pPr>
        <w:ind w:left="2160" w:hanging="180"/>
      </w:pPr>
      <w:rPr>
        <w:rFonts w:ascii="ITC Avant Garde" w:eastAsiaTheme="minorHAnsi" w:hAnsi="ITC Avant Garde" w:cstheme="minorBidi"/>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3B4C67"/>
    <w:multiLevelType w:val="hybridMultilevel"/>
    <w:tmpl w:val="86445AD8"/>
    <w:lvl w:ilvl="0" w:tplc="E3AE11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D4E229A"/>
    <w:multiLevelType w:val="hybridMultilevel"/>
    <w:tmpl w:val="5A68B7D2"/>
    <w:lvl w:ilvl="0" w:tplc="8982D3DE">
      <w:start w:val="1"/>
      <w:numFmt w:val="lowerLetter"/>
      <w:lvlText w:val="%1."/>
      <w:lvlJc w:val="right"/>
      <w:pPr>
        <w:ind w:left="1080" w:hanging="360"/>
      </w:pPr>
      <w:rPr>
        <w:rFonts w:ascii="ITC Avant Garde" w:eastAsiaTheme="minorHAnsi" w:hAnsi="ITC Avant Garde" w:cstheme="minorBidi"/>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0EAD450C"/>
    <w:multiLevelType w:val="hybridMultilevel"/>
    <w:tmpl w:val="1C205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923D52"/>
    <w:multiLevelType w:val="hybridMultilevel"/>
    <w:tmpl w:val="55DEB1FC"/>
    <w:lvl w:ilvl="0" w:tplc="07A0C794">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4023DCC"/>
    <w:multiLevelType w:val="hybridMultilevel"/>
    <w:tmpl w:val="02ACC264"/>
    <w:lvl w:ilvl="0" w:tplc="6902DBCE">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0201A8"/>
    <w:multiLevelType w:val="hybridMultilevel"/>
    <w:tmpl w:val="478E94B4"/>
    <w:lvl w:ilvl="0" w:tplc="4BAA29C8">
      <w:start w:val="1"/>
      <w:numFmt w:val="lowerLetter"/>
      <w:lvlText w:val="%1)"/>
      <w:lvlJc w:val="left"/>
      <w:pPr>
        <w:ind w:left="720" w:hanging="360"/>
      </w:pPr>
      <w:rPr>
        <w:rFonts w:cstheme="minorBid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DA4B4C"/>
    <w:multiLevelType w:val="hybridMultilevel"/>
    <w:tmpl w:val="E1A89036"/>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3B5923"/>
    <w:multiLevelType w:val="hybridMultilevel"/>
    <w:tmpl w:val="C7721C26"/>
    <w:lvl w:ilvl="0" w:tplc="B154890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4140FB"/>
    <w:multiLevelType w:val="hybridMultilevel"/>
    <w:tmpl w:val="5E88EF90"/>
    <w:lvl w:ilvl="0" w:tplc="080A0019">
      <w:start w:val="1"/>
      <w:numFmt w:val="lowerLetter"/>
      <w:lvlText w:val="%1."/>
      <w:lvlJc w:val="left"/>
      <w:pPr>
        <w:ind w:left="720" w:hanging="360"/>
      </w:pPr>
      <w:rPr>
        <w:rFonts w:hint="default"/>
      </w:rPr>
    </w:lvl>
    <w:lvl w:ilvl="1" w:tplc="E8B0284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822060D"/>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196311CE"/>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A835AF1"/>
    <w:multiLevelType w:val="hybridMultilevel"/>
    <w:tmpl w:val="48F2E660"/>
    <w:lvl w:ilvl="0" w:tplc="080A0017">
      <w:start w:val="1"/>
      <w:numFmt w:val="lowerLetter"/>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C1A56BC"/>
    <w:multiLevelType w:val="hybridMultilevel"/>
    <w:tmpl w:val="72861A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3A0956"/>
    <w:multiLevelType w:val="hybridMultilevel"/>
    <w:tmpl w:val="4F18B1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CD60298"/>
    <w:multiLevelType w:val="hybridMultilevel"/>
    <w:tmpl w:val="E960AEE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CF93D3B"/>
    <w:multiLevelType w:val="hybridMultilevel"/>
    <w:tmpl w:val="895C173E"/>
    <w:lvl w:ilvl="0" w:tplc="565A38B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D7974AA"/>
    <w:multiLevelType w:val="hybridMultilevel"/>
    <w:tmpl w:val="5AB8B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F95406C"/>
    <w:multiLevelType w:val="hybridMultilevel"/>
    <w:tmpl w:val="BEAEBA22"/>
    <w:lvl w:ilvl="0" w:tplc="3620C820">
      <w:start w:val="1"/>
      <w:numFmt w:val="lowerLetter"/>
      <w:lvlText w:val="%1."/>
      <w:lvlJc w:val="left"/>
      <w:pPr>
        <w:ind w:left="1080" w:hanging="72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3D437F2"/>
    <w:multiLevelType w:val="hybridMultilevel"/>
    <w:tmpl w:val="A1E8D41A"/>
    <w:lvl w:ilvl="0" w:tplc="F990C942">
      <w:start w:val="8"/>
      <w:numFmt w:val="decimal"/>
      <w:pStyle w:val="Ttulo1"/>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4116333"/>
    <w:multiLevelType w:val="hybridMultilevel"/>
    <w:tmpl w:val="F1EA21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5641D12"/>
    <w:multiLevelType w:val="hybridMultilevel"/>
    <w:tmpl w:val="B7EEBE6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269F6AE8"/>
    <w:multiLevelType w:val="hybridMultilevel"/>
    <w:tmpl w:val="5ADABA90"/>
    <w:lvl w:ilvl="0" w:tplc="ADF0638C">
      <w:start w:val="1"/>
      <w:numFmt w:val="lowerLetter"/>
      <w:lvlText w:val="%1)"/>
      <w:lvlJc w:val="left"/>
      <w:pPr>
        <w:ind w:left="720" w:hanging="360"/>
      </w:pPr>
      <w:rPr>
        <w:rFonts w:cs="Helvetic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6CF0DF7"/>
    <w:multiLevelType w:val="hybridMultilevel"/>
    <w:tmpl w:val="DD326BE2"/>
    <w:lvl w:ilvl="0" w:tplc="3676D7E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9B239E2"/>
    <w:multiLevelType w:val="hybridMultilevel"/>
    <w:tmpl w:val="6A42DF2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DB53476"/>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E110FB9"/>
    <w:multiLevelType w:val="hybridMultilevel"/>
    <w:tmpl w:val="3A2C107E"/>
    <w:lvl w:ilvl="0" w:tplc="9BA8180E">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EF6467B"/>
    <w:multiLevelType w:val="hybridMultilevel"/>
    <w:tmpl w:val="4D1E044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307B2298"/>
    <w:multiLevelType w:val="hybridMultilevel"/>
    <w:tmpl w:val="91F4C0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7783503"/>
    <w:multiLevelType w:val="hybridMultilevel"/>
    <w:tmpl w:val="15AA9626"/>
    <w:lvl w:ilvl="0" w:tplc="080A0017">
      <w:start w:val="7"/>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6" w15:restartNumberingAfterBreak="0">
    <w:nsid w:val="38320B95"/>
    <w:multiLevelType w:val="hybridMultilevel"/>
    <w:tmpl w:val="9F96E7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D9A6F25"/>
    <w:multiLevelType w:val="hybridMultilevel"/>
    <w:tmpl w:val="93C69B70"/>
    <w:lvl w:ilvl="0" w:tplc="15189D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DF644E2"/>
    <w:multiLevelType w:val="hybridMultilevel"/>
    <w:tmpl w:val="4AE0C350"/>
    <w:lvl w:ilvl="0" w:tplc="080A0019">
      <w:start w:val="1"/>
      <w:numFmt w:val="lowerLetter"/>
      <w:lvlText w:val="%1."/>
      <w:lvlJc w:val="left"/>
      <w:pPr>
        <w:ind w:left="-708" w:hanging="360"/>
      </w:pPr>
      <w:rPr>
        <w:rFonts w:hint="default"/>
      </w:rPr>
    </w:lvl>
    <w:lvl w:ilvl="1" w:tplc="080A0019" w:tentative="1">
      <w:start w:val="1"/>
      <w:numFmt w:val="lowerLetter"/>
      <w:lvlText w:val="%2."/>
      <w:lvlJc w:val="left"/>
      <w:pPr>
        <w:ind w:left="12" w:hanging="360"/>
      </w:pPr>
    </w:lvl>
    <w:lvl w:ilvl="2" w:tplc="080A001B" w:tentative="1">
      <w:start w:val="1"/>
      <w:numFmt w:val="lowerRoman"/>
      <w:lvlText w:val="%3."/>
      <w:lvlJc w:val="right"/>
      <w:pPr>
        <w:ind w:left="732" w:hanging="180"/>
      </w:pPr>
    </w:lvl>
    <w:lvl w:ilvl="3" w:tplc="080A000F" w:tentative="1">
      <w:start w:val="1"/>
      <w:numFmt w:val="decimal"/>
      <w:lvlText w:val="%4."/>
      <w:lvlJc w:val="left"/>
      <w:pPr>
        <w:ind w:left="1452" w:hanging="360"/>
      </w:pPr>
    </w:lvl>
    <w:lvl w:ilvl="4" w:tplc="080A0019" w:tentative="1">
      <w:start w:val="1"/>
      <w:numFmt w:val="lowerLetter"/>
      <w:lvlText w:val="%5."/>
      <w:lvlJc w:val="left"/>
      <w:pPr>
        <w:ind w:left="2172" w:hanging="360"/>
      </w:pPr>
    </w:lvl>
    <w:lvl w:ilvl="5" w:tplc="080A001B" w:tentative="1">
      <w:start w:val="1"/>
      <w:numFmt w:val="lowerRoman"/>
      <w:lvlText w:val="%6."/>
      <w:lvlJc w:val="right"/>
      <w:pPr>
        <w:ind w:left="2892" w:hanging="180"/>
      </w:pPr>
    </w:lvl>
    <w:lvl w:ilvl="6" w:tplc="080A000F" w:tentative="1">
      <w:start w:val="1"/>
      <w:numFmt w:val="decimal"/>
      <w:lvlText w:val="%7."/>
      <w:lvlJc w:val="left"/>
      <w:pPr>
        <w:ind w:left="3612" w:hanging="360"/>
      </w:pPr>
    </w:lvl>
    <w:lvl w:ilvl="7" w:tplc="080A0019" w:tentative="1">
      <w:start w:val="1"/>
      <w:numFmt w:val="lowerLetter"/>
      <w:lvlText w:val="%8."/>
      <w:lvlJc w:val="left"/>
      <w:pPr>
        <w:ind w:left="4332" w:hanging="360"/>
      </w:pPr>
    </w:lvl>
    <w:lvl w:ilvl="8" w:tplc="080A001B" w:tentative="1">
      <w:start w:val="1"/>
      <w:numFmt w:val="lowerRoman"/>
      <w:lvlText w:val="%9."/>
      <w:lvlJc w:val="right"/>
      <w:pPr>
        <w:ind w:left="5052" w:hanging="180"/>
      </w:pPr>
    </w:lvl>
  </w:abstractNum>
  <w:abstractNum w:abstractNumId="49" w15:restartNumberingAfterBreak="0">
    <w:nsid w:val="40F703D8"/>
    <w:multiLevelType w:val="hybridMultilevel"/>
    <w:tmpl w:val="8B560EA0"/>
    <w:lvl w:ilvl="0" w:tplc="F09E942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0" w15:restartNumberingAfterBreak="0">
    <w:nsid w:val="413967D3"/>
    <w:multiLevelType w:val="hybridMultilevel"/>
    <w:tmpl w:val="C5B8AE1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15:restartNumberingAfterBreak="0">
    <w:nsid w:val="419C4CFF"/>
    <w:multiLevelType w:val="hybridMultilevel"/>
    <w:tmpl w:val="12F472DC"/>
    <w:lvl w:ilvl="0" w:tplc="D752E8EE">
      <w:start w:val="1"/>
      <w:numFmt w:val="low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2573574"/>
    <w:multiLevelType w:val="hybridMultilevel"/>
    <w:tmpl w:val="0B2256BE"/>
    <w:lvl w:ilvl="0" w:tplc="D108CEF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3" w15:restartNumberingAfterBreak="0">
    <w:nsid w:val="42D475C1"/>
    <w:multiLevelType w:val="hybridMultilevel"/>
    <w:tmpl w:val="1B223EEC"/>
    <w:lvl w:ilvl="0" w:tplc="080A0001">
      <w:start w:val="1"/>
      <w:numFmt w:val="bullet"/>
      <w:lvlText w:val=""/>
      <w:lvlJc w:val="left"/>
      <w:pPr>
        <w:ind w:left="748" w:hanging="360"/>
      </w:pPr>
      <w:rPr>
        <w:rFonts w:ascii="Symbol" w:hAnsi="Symbol" w:hint="default"/>
      </w:rPr>
    </w:lvl>
    <w:lvl w:ilvl="1" w:tplc="974CC89E">
      <w:start w:val="1"/>
      <w:numFmt w:val="lowerRoman"/>
      <w:lvlText w:val="%2."/>
      <w:lvlJc w:val="left"/>
      <w:pPr>
        <w:ind w:left="1468" w:hanging="360"/>
      </w:pPr>
      <w:rPr>
        <w:rFonts w:hint="default"/>
      </w:rPr>
    </w:lvl>
    <w:lvl w:ilvl="2" w:tplc="080A0005" w:tentative="1">
      <w:start w:val="1"/>
      <w:numFmt w:val="bullet"/>
      <w:lvlText w:val=""/>
      <w:lvlJc w:val="left"/>
      <w:pPr>
        <w:ind w:left="2188" w:hanging="360"/>
      </w:pPr>
      <w:rPr>
        <w:rFonts w:ascii="Wingdings" w:hAnsi="Wingdings" w:hint="default"/>
      </w:rPr>
    </w:lvl>
    <w:lvl w:ilvl="3" w:tplc="080A0001" w:tentative="1">
      <w:start w:val="1"/>
      <w:numFmt w:val="bullet"/>
      <w:lvlText w:val=""/>
      <w:lvlJc w:val="left"/>
      <w:pPr>
        <w:ind w:left="2908" w:hanging="360"/>
      </w:pPr>
      <w:rPr>
        <w:rFonts w:ascii="Symbol" w:hAnsi="Symbol" w:hint="default"/>
      </w:rPr>
    </w:lvl>
    <w:lvl w:ilvl="4" w:tplc="080A0003" w:tentative="1">
      <w:start w:val="1"/>
      <w:numFmt w:val="bullet"/>
      <w:lvlText w:val="o"/>
      <w:lvlJc w:val="left"/>
      <w:pPr>
        <w:ind w:left="3628" w:hanging="360"/>
      </w:pPr>
      <w:rPr>
        <w:rFonts w:ascii="Courier New" w:hAnsi="Courier New" w:cs="Courier New" w:hint="default"/>
      </w:rPr>
    </w:lvl>
    <w:lvl w:ilvl="5" w:tplc="080A0005" w:tentative="1">
      <w:start w:val="1"/>
      <w:numFmt w:val="bullet"/>
      <w:lvlText w:val=""/>
      <w:lvlJc w:val="left"/>
      <w:pPr>
        <w:ind w:left="4348" w:hanging="360"/>
      </w:pPr>
      <w:rPr>
        <w:rFonts w:ascii="Wingdings" w:hAnsi="Wingdings" w:hint="default"/>
      </w:rPr>
    </w:lvl>
    <w:lvl w:ilvl="6" w:tplc="080A0001" w:tentative="1">
      <w:start w:val="1"/>
      <w:numFmt w:val="bullet"/>
      <w:lvlText w:val=""/>
      <w:lvlJc w:val="left"/>
      <w:pPr>
        <w:ind w:left="5068" w:hanging="360"/>
      </w:pPr>
      <w:rPr>
        <w:rFonts w:ascii="Symbol" w:hAnsi="Symbol" w:hint="default"/>
      </w:rPr>
    </w:lvl>
    <w:lvl w:ilvl="7" w:tplc="080A0003" w:tentative="1">
      <w:start w:val="1"/>
      <w:numFmt w:val="bullet"/>
      <w:lvlText w:val="o"/>
      <w:lvlJc w:val="left"/>
      <w:pPr>
        <w:ind w:left="5788" w:hanging="360"/>
      </w:pPr>
      <w:rPr>
        <w:rFonts w:ascii="Courier New" w:hAnsi="Courier New" w:cs="Courier New" w:hint="default"/>
      </w:rPr>
    </w:lvl>
    <w:lvl w:ilvl="8" w:tplc="080A0005" w:tentative="1">
      <w:start w:val="1"/>
      <w:numFmt w:val="bullet"/>
      <w:lvlText w:val=""/>
      <w:lvlJc w:val="left"/>
      <w:pPr>
        <w:ind w:left="6508" w:hanging="360"/>
      </w:pPr>
      <w:rPr>
        <w:rFonts w:ascii="Wingdings" w:hAnsi="Wingdings" w:hint="default"/>
      </w:rPr>
    </w:lvl>
  </w:abstractNum>
  <w:abstractNum w:abstractNumId="54" w15:restartNumberingAfterBreak="0">
    <w:nsid w:val="43B3781E"/>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4CC01DB"/>
    <w:multiLevelType w:val="hybridMultilevel"/>
    <w:tmpl w:val="697C1AF4"/>
    <w:lvl w:ilvl="0" w:tplc="F2E6FE88">
      <w:start w:val="1"/>
      <w:numFmt w:val="upperRoman"/>
      <w:lvlText w:val="%1."/>
      <w:lvlJc w:val="left"/>
      <w:pPr>
        <w:ind w:left="1077" w:hanging="72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56" w15:restartNumberingAfterBreak="0">
    <w:nsid w:val="455649BC"/>
    <w:multiLevelType w:val="hybridMultilevel"/>
    <w:tmpl w:val="F766B9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5ED62C1"/>
    <w:multiLevelType w:val="hybridMultilevel"/>
    <w:tmpl w:val="2E04B21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8" w15:restartNumberingAfterBreak="0">
    <w:nsid w:val="46556265"/>
    <w:multiLevelType w:val="hybridMultilevel"/>
    <w:tmpl w:val="C10C69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6823F73"/>
    <w:multiLevelType w:val="hybridMultilevel"/>
    <w:tmpl w:val="C6AEBD0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69A3C4B"/>
    <w:multiLevelType w:val="hybridMultilevel"/>
    <w:tmpl w:val="D2B61E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46BA1586"/>
    <w:multiLevelType w:val="hybridMultilevel"/>
    <w:tmpl w:val="58A05C08"/>
    <w:lvl w:ilvl="0" w:tplc="F2B478FC">
      <w:start w:val="1"/>
      <w:numFmt w:val="lowerLetter"/>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78A3123"/>
    <w:multiLevelType w:val="hybridMultilevel"/>
    <w:tmpl w:val="847E7920"/>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48063F65"/>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15:restartNumberingAfterBreak="0">
    <w:nsid w:val="48610213"/>
    <w:multiLevelType w:val="hybridMultilevel"/>
    <w:tmpl w:val="B8E24B86"/>
    <w:lvl w:ilvl="0" w:tplc="080A0017">
      <w:start w:val="1"/>
      <w:numFmt w:val="lowerLetter"/>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E2347B42">
      <w:start w:val="1"/>
      <w:numFmt w:val="lowerLetter"/>
      <w:lvlText w:val="%5."/>
      <w:lvlJc w:val="left"/>
      <w:pPr>
        <w:ind w:left="3240" w:hanging="360"/>
      </w:pPr>
      <w:rPr>
        <w:rFonts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5" w15:restartNumberingAfterBreak="0">
    <w:nsid w:val="48744EE5"/>
    <w:multiLevelType w:val="hybridMultilevel"/>
    <w:tmpl w:val="875438A6"/>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48C73E5D"/>
    <w:multiLevelType w:val="hybridMultilevel"/>
    <w:tmpl w:val="76BA1F2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99178FF"/>
    <w:multiLevelType w:val="hybridMultilevel"/>
    <w:tmpl w:val="AA76EBE2"/>
    <w:lvl w:ilvl="0" w:tplc="D6A29A92">
      <w:start w:val="2"/>
      <w:numFmt w:val="bullet"/>
      <w:pStyle w:val="Prrafodelista"/>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ADD3761"/>
    <w:multiLevelType w:val="hybridMultilevel"/>
    <w:tmpl w:val="72C8C080"/>
    <w:lvl w:ilvl="0" w:tplc="B0C06A10">
      <w:start w:val="1"/>
      <w:numFmt w:val="lowerRoman"/>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69" w15:restartNumberingAfterBreak="0">
    <w:nsid w:val="4D1B3E69"/>
    <w:multiLevelType w:val="hybridMultilevel"/>
    <w:tmpl w:val="27E4D9CE"/>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4E670298"/>
    <w:multiLevelType w:val="hybridMultilevel"/>
    <w:tmpl w:val="F25A07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F147AF5"/>
    <w:multiLevelType w:val="hybridMultilevel"/>
    <w:tmpl w:val="4906BABA"/>
    <w:lvl w:ilvl="0" w:tplc="0A442902">
      <w:start w:val="1"/>
      <w:numFmt w:val="low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98F1F2A"/>
    <w:multiLevelType w:val="hybridMultilevel"/>
    <w:tmpl w:val="881C0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AC34299"/>
    <w:multiLevelType w:val="hybridMultilevel"/>
    <w:tmpl w:val="85F465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5CF27E62"/>
    <w:multiLevelType w:val="hybridMultilevel"/>
    <w:tmpl w:val="A0C2AB0C"/>
    <w:lvl w:ilvl="0" w:tplc="79400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5D0024ED"/>
    <w:multiLevelType w:val="hybridMultilevel"/>
    <w:tmpl w:val="FA0C50F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15:restartNumberingAfterBreak="0">
    <w:nsid w:val="5E3F5B4D"/>
    <w:multiLevelType w:val="hybridMultilevel"/>
    <w:tmpl w:val="6192B1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5E6355D1"/>
    <w:multiLevelType w:val="hybridMultilevel"/>
    <w:tmpl w:val="14C63808"/>
    <w:lvl w:ilvl="0" w:tplc="1540AE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2895EE1"/>
    <w:multiLevelType w:val="multilevel"/>
    <w:tmpl w:val="3856CC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62E23C0A"/>
    <w:multiLevelType w:val="hybridMultilevel"/>
    <w:tmpl w:val="1ACEC9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3A31D38"/>
    <w:multiLevelType w:val="multilevel"/>
    <w:tmpl w:val="A392B3CC"/>
    <w:lvl w:ilvl="0">
      <w:start w:val="6"/>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4" w15:restartNumberingAfterBreak="0">
    <w:nsid w:val="63B31D59"/>
    <w:multiLevelType w:val="hybridMultilevel"/>
    <w:tmpl w:val="94FE78B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65764C8"/>
    <w:multiLevelType w:val="hybridMultilevel"/>
    <w:tmpl w:val="3B7ED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66AA5428"/>
    <w:multiLevelType w:val="hybridMultilevel"/>
    <w:tmpl w:val="97485188"/>
    <w:lvl w:ilvl="0" w:tplc="B0C06A10">
      <w:start w:val="1"/>
      <w:numFmt w:val="lowerRoman"/>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87" w15:restartNumberingAfterBreak="0">
    <w:nsid w:val="674D3D5B"/>
    <w:multiLevelType w:val="hybridMultilevel"/>
    <w:tmpl w:val="7E18E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689E3907"/>
    <w:multiLevelType w:val="hybridMultilevel"/>
    <w:tmpl w:val="9EEE8F56"/>
    <w:lvl w:ilvl="0" w:tplc="3DDEC85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9" w15:restartNumberingAfterBreak="0">
    <w:nsid w:val="6A691AE2"/>
    <w:multiLevelType w:val="hybridMultilevel"/>
    <w:tmpl w:val="9DB000EE"/>
    <w:lvl w:ilvl="0" w:tplc="C5AE15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0397ED1"/>
    <w:multiLevelType w:val="hybridMultilevel"/>
    <w:tmpl w:val="5A748CE4"/>
    <w:lvl w:ilvl="0" w:tplc="FB78AE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722B3947"/>
    <w:multiLevelType w:val="hybridMultilevel"/>
    <w:tmpl w:val="041C19B2"/>
    <w:lvl w:ilvl="0" w:tplc="5344A8A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2" w15:restartNumberingAfterBreak="0">
    <w:nsid w:val="72475EAB"/>
    <w:multiLevelType w:val="hybridMultilevel"/>
    <w:tmpl w:val="9C363B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734F005A"/>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4C502D8"/>
    <w:multiLevelType w:val="hybridMultilevel"/>
    <w:tmpl w:val="C88E66A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78871502"/>
    <w:multiLevelType w:val="multilevel"/>
    <w:tmpl w:val="5BE82BE6"/>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B2F1EC9"/>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7" w15:restartNumberingAfterBreak="0">
    <w:nsid w:val="7B6E7144"/>
    <w:multiLevelType w:val="hybridMultilevel"/>
    <w:tmpl w:val="0CE63746"/>
    <w:lvl w:ilvl="0" w:tplc="6D04973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7CCA361F"/>
    <w:multiLevelType w:val="hybridMultilevel"/>
    <w:tmpl w:val="95BE32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67"/>
  </w:num>
  <w:num w:numId="3">
    <w:abstractNumId w:val="8"/>
  </w:num>
  <w:num w:numId="4">
    <w:abstractNumId w:val="17"/>
  </w:num>
  <w:num w:numId="5">
    <w:abstractNumId w:val="59"/>
  </w:num>
  <w:num w:numId="6">
    <w:abstractNumId w:val="33"/>
  </w:num>
  <w:num w:numId="7">
    <w:abstractNumId w:val="28"/>
  </w:num>
  <w:num w:numId="8">
    <w:abstractNumId w:val="79"/>
  </w:num>
  <w:num w:numId="9">
    <w:abstractNumId w:val="98"/>
  </w:num>
  <w:num w:numId="10">
    <w:abstractNumId w:val="13"/>
  </w:num>
  <w:num w:numId="11">
    <w:abstractNumId w:val="4"/>
  </w:num>
  <w:num w:numId="12">
    <w:abstractNumId w:val="60"/>
  </w:num>
  <w:num w:numId="13">
    <w:abstractNumId w:val="51"/>
  </w:num>
  <w:num w:numId="14">
    <w:abstractNumId w:val="71"/>
  </w:num>
  <w:num w:numId="15">
    <w:abstractNumId w:val="7"/>
  </w:num>
  <w:num w:numId="16">
    <w:abstractNumId w:val="90"/>
  </w:num>
  <w:num w:numId="17">
    <w:abstractNumId w:val="84"/>
  </w:num>
  <w:num w:numId="18">
    <w:abstractNumId w:val="38"/>
  </w:num>
  <w:num w:numId="19">
    <w:abstractNumId w:val="0"/>
  </w:num>
  <w:num w:numId="20">
    <w:abstractNumId w:val="12"/>
  </w:num>
  <w:num w:numId="21">
    <w:abstractNumId w:val="23"/>
  </w:num>
  <w:num w:numId="22">
    <w:abstractNumId w:val="41"/>
  </w:num>
  <w:num w:numId="23">
    <w:abstractNumId w:val="85"/>
  </w:num>
  <w:num w:numId="24">
    <w:abstractNumId w:val="87"/>
  </w:num>
  <w:num w:numId="25">
    <w:abstractNumId w:val="10"/>
  </w:num>
  <w:num w:numId="26">
    <w:abstractNumId w:val="62"/>
  </w:num>
  <w:num w:numId="27">
    <w:abstractNumId w:val="36"/>
  </w:num>
  <w:num w:numId="28">
    <w:abstractNumId w:val="40"/>
  </w:num>
  <w:num w:numId="29">
    <w:abstractNumId w:val="22"/>
  </w:num>
  <w:num w:numId="30">
    <w:abstractNumId w:val="15"/>
  </w:num>
  <w:num w:numId="31">
    <w:abstractNumId w:val="9"/>
  </w:num>
  <w:num w:numId="32">
    <w:abstractNumId w:val="31"/>
  </w:num>
  <w:num w:numId="33">
    <w:abstractNumId w:val="16"/>
  </w:num>
  <w:num w:numId="34">
    <w:abstractNumId w:val="68"/>
  </w:num>
  <w:num w:numId="35">
    <w:abstractNumId w:val="5"/>
  </w:num>
  <w:num w:numId="36">
    <w:abstractNumId w:val="54"/>
  </w:num>
  <w:num w:numId="37">
    <w:abstractNumId w:val="34"/>
  </w:num>
  <w:num w:numId="38">
    <w:abstractNumId w:val="25"/>
  </w:num>
  <w:num w:numId="39">
    <w:abstractNumId w:val="30"/>
  </w:num>
  <w:num w:numId="40">
    <w:abstractNumId w:val="44"/>
  </w:num>
  <w:num w:numId="41">
    <w:abstractNumId w:val="75"/>
  </w:num>
  <w:num w:numId="42">
    <w:abstractNumId w:val="49"/>
  </w:num>
  <w:num w:numId="43">
    <w:abstractNumId w:val="66"/>
  </w:num>
  <w:num w:numId="44">
    <w:abstractNumId w:val="91"/>
  </w:num>
  <w:num w:numId="45">
    <w:abstractNumId w:val="48"/>
  </w:num>
  <w:num w:numId="46">
    <w:abstractNumId w:val="32"/>
  </w:num>
  <w:num w:numId="47">
    <w:abstractNumId w:val="47"/>
  </w:num>
  <w:num w:numId="48">
    <w:abstractNumId w:val="24"/>
  </w:num>
  <w:num w:numId="49">
    <w:abstractNumId w:val="61"/>
  </w:num>
  <w:num w:numId="50">
    <w:abstractNumId w:val="1"/>
  </w:num>
  <w:num w:numId="51">
    <w:abstractNumId w:val="21"/>
  </w:num>
  <w:num w:numId="52">
    <w:abstractNumId w:val="73"/>
  </w:num>
  <w:num w:numId="53">
    <w:abstractNumId w:val="58"/>
  </w:num>
  <w:num w:numId="54">
    <w:abstractNumId w:val="11"/>
  </w:num>
  <w:num w:numId="55">
    <w:abstractNumId w:val="86"/>
  </w:num>
  <w:num w:numId="56">
    <w:abstractNumId w:val="74"/>
  </w:num>
  <w:num w:numId="57">
    <w:abstractNumId w:val="46"/>
  </w:num>
  <w:num w:numId="58">
    <w:abstractNumId w:val="89"/>
  </w:num>
  <w:num w:numId="59">
    <w:abstractNumId w:val="88"/>
  </w:num>
  <w:num w:numId="60">
    <w:abstractNumId w:val="26"/>
  </w:num>
  <w:num w:numId="61">
    <w:abstractNumId w:val="27"/>
  </w:num>
  <w:num w:numId="62">
    <w:abstractNumId w:val="77"/>
  </w:num>
  <w:num w:numId="63">
    <w:abstractNumId w:val="69"/>
  </w:num>
  <w:num w:numId="64">
    <w:abstractNumId w:val="2"/>
  </w:num>
  <w:num w:numId="65">
    <w:abstractNumId w:val="64"/>
  </w:num>
  <w:num w:numId="66">
    <w:abstractNumId w:val="96"/>
  </w:num>
  <w:num w:numId="67">
    <w:abstractNumId w:val="55"/>
  </w:num>
  <w:num w:numId="68">
    <w:abstractNumId w:val="20"/>
  </w:num>
  <w:num w:numId="69">
    <w:abstractNumId w:val="50"/>
  </w:num>
  <w:num w:numId="70">
    <w:abstractNumId w:val="63"/>
  </w:num>
  <w:num w:numId="71">
    <w:abstractNumId w:val="43"/>
  </w:num>
  <w:num w:numId="72">
    <w:abstractNumId w:val="6"/>
  </w:num>
  <w:num w:numId="73">
    <w:abstractNumId w:val="83"/>
  </w:num>
  <w:num w:numId="74">
    <w:abstractNumId w:val="95"/>
  </w:num>
  <w:num w:numId="75">
    <w:abstractNumId w:val="56"/>
  </w:num>
  <w:num w:numId="76">
    <w:abstractNumId w:val="97"/>
  </w:num>
  <w:num w:numId="77">
    <w:abstractNumId w:val="18"/>
  </w:num>
  <w:num w:numId="78">
    <w:abstractNumId w:val="14"/>
  </w:num>
  <w:num w:numId="79">
    <w:abstractNumId w:val="70"/>
  </w:num>
  <w:num w:numId="80">
    <w:abstractNumId w:val="93"/>
  </w:num>
  <w:num w:numId="81">
    <w:abstractNumId w:val="3"/>
  </w:num>
  <w:num w:numId="82">
    <w:abstractNumId w:val="81"/>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42"/>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6"/>
  </w:num>
  <w:num w:numId="91">
    <w:abstractNumId w:val="92"/>
  </w:num>
  <w:num w:numId="92">
    <w:abstractNumId w:val="19"/>
  </w:num>
  <w:num w:numId="93">
    <w:abstractNumId w:val="94"/>
  </w:num>
  <w:num w:numId="94">
    <w:abstractNumId w:val="78"/>
  </w:num>
  <w:num w:numId="95">
    <w:abstractNumId w:val="72"/>
  </w:num>
  <w:num w:numId="96">
    <w:abstractNumId w:val="29"/>
  </w:num>
  <w:num w:numId="97">
    <w:abstractNumId w:val="82"/>
  </w:num>
  <w:num w:numId="98">
    <w:abstractNumId w:val="35"/>
    <w:lvlOverride w:ilvl="0">
      <w:startOverride w:val="9"/>
    </w:lvlOverride>
  </w:num>
  <w:num w:numId="99">
    <w:abstractNumId w:val="35"/>
    <w:lvlOverride w:ilvl="0">
      <w:startOverride w:val="1"/>
    </w:lvlOverride>
  </w:num>
  <w:num w:numId="100">
    <w:abstractNumId w:val="35"/>
  </w:num>
  <w:num w:numId="101">
    <w:abstractNumId w:val="80"/>
  </w:num>
  <w:num w:numId="102">
    <w:abstractNumId w:val="53"/>
  </w:num>
  <w:num w:numId="103">
    <w:abstractNumId w:val="39"/>
  </w:num>
  <w:num w:numId="104">
    <w:abstractNumId w:val="45"/>
  </w:num>
  <w:num w:numId="105">
    <w:abstractNumId w:val="57"/>
  </w:num>
  <w:num w:numId="106">
    <w:abstractNumId w:val="52"/>
  </w:num>
  <w:num w:numId="107">
    <w:abstractNumId w:val="6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style="mso-position-horizontal-relative:margin" fillcolor="none [2404]" stroke="f" strokecolor="none [2406]">
      <v:fill color="none [2404]"/>
      <v:stroke color="none [2406]"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283"/>
    <w:rsid w:val="0000501F"/>
    <w:rsid w:val="0000595F"/>
    <w:rsid w:val="0001018B"/>
    <w:rsid w:val="0001208C"/>
    <w:rsid w:val="000177BC"/>
    <w:rsid w:val="000177DD"/>
    <w:rsid w:val="0002129C"/>
    <w:rsid w:val="000226F8"/>
    <w:rsid w:val="00023565"/>
    <w:rsid w:val="000273EE"/>
    <w:rsid w:val="0002742C"/>
    <w:rsid w:val="00030283"/>
    <w:rsid w:val="000320BB"/>
    <w:rsid w:val="00034E0E"/>
    <w:rsid w:val="000354FD"/>
    <w:rsid w:val="00035892"/>
    <w:rsid w:val="00036110"/>
    <w:rsid w:val="00037EBB"/>
    <w:rsid w:val="0004185A"/>
    <w:rsid w:val="000506B5"/>
    <w:rsid w:val="0005141D"/>
    <w:rsid w:val="000529E2"/>
    <w:rsid w:val="00055BB4"/>
    <w:rsid w:val="00057E7C"/>
    <w:rsid w:val="0006321C"/>
    <w:rsid w:val="0006360F"/>
    <w:rsid w:val="0007668C"/>
    <w:rsid w:val="00077876"/>
    <w:rsid w:val="0008129B"/>
    <w:rsid w:val="00095030"/>
    <w:rsid w:val="000A03F7"/>
    <w:rsid w:val="000A17ED"/>
    <w:rsid w:val="000A2827"/>
    <w:rsid w:val="000A3EEF"/>
    <w:rsid w:val="000A4892"/>
    <w:rsid w:val="000B1459"/>
    <w:rsid w:val="000B6623"/>
    <w:rsid w:val="000C106D"/>
    <w:rsid w:val="000C174D"/>
    <w:rsid w:val="000C43CF"/>
    <w:rsid w:val="000C50B8"/>
    <w:rsid w:val="000D491E"/>
    <w:rsid w:val="000D7675"/>
    <w:rsid w:val="000E007A"/>
    <w:rsid w:val="000E7946"/>
    <w:rsid w:val="00102398"/>
    <w:rsid w:val="00105E2E"/>
    <w:rsid w:val="00107613"/>
    <w:rsid w:val="00121ECE"/>
    <w:rsid w:val="00124CED"/>
    <w:rsid w:val="0012690D"/>
    <w:rsid w:val="00132B74"/>
    <w:rsid w:val="001341CB"/>
    <w:rsid w:val="00143FF5"/>
    <w:rsid w:val="001443AA"/>
    <w:rsid w:val="00147553"/>
    <w:rsid w:val="00150438"/>
    <w:rsid w:val="00151596"/>
    <w:rsid w:val="00151808"/>
    <w:rsid w:val="00152F89"/>
    <w:rsid w:val="001552C8"/>
    <w:rsid w:val="00155A61"/>
    <w:rsid w:val="00156B97"/>
    <w:rsid w:val="00156ECA"/>
    <w:rsid w:val="00160183"/>
    <w:rsid w:val="001621F9"/>
    <w:rsid w:val="00164C94"/>
    <w:rsid w:val="00165D7C"/>
    <w:rsid w:val="00183710"/>
    <w:rsid w:val="001853A8"/>
    <w:rsid w:val="0018586E"/>
    <w:rsid w:val="00185F16"/>
    <w:rsid w:val="001866EC"/>
    <w:rsid w:val="0019008D"/>
    <w:rsid w:val="00194905"/>
    <w:rsid w:val="001A273D"/>
    <w:rsid w:val="001A2EAD"/>
    <w:rsid w:val="001A731F"/>
    <w:rsid w:val="001B031A"/>
    <w:rsid w:val="001B1866"/>
    <w:rsid w:val="001B4405"/>
    <w:rsid w:val="001C0125"/>
    <w:rsid w:val="001C0419"/>
    <w:rsid w:val="001C32E5"/>
    <w:rsid w:val="001C3546"/>
    <w:rsid w:val="001C36A0"/>
    <w:rsid w:val="001C48E5"/>
    <w:rsid w:val="001C61F3"/>
    <w:rsid w:val="001C7A99"/>
    <w:rsid w:val="001D4A7B"/>
    <w:rsid w:val="001E0B16"/>
    <w:rsid w:val="001E26D0"/>
    <w:rsid w:val="001E3D0F"/>
    <w:rsid w:val="001E530D"/>
    <w:rsid w:val="001E5460"/>
    <w:rsid w:val="001E6633"/>
    <w:rsid w:val="001E6BB0"/>
    <w:rsid w:val="001E7405"/>
    <w:rsid w:val="001F1994"/>
    <w:rsid w:val="001F4B83"/>
    <w:rsid w:val="001F6A10"/>
    <w:rsid w:val="001F75F3"/>
    <w:rsid w:val="00206834"/>
    <w:rsid w:val="00213684"/>
    <w:rsid w:val="002141E4"/>
    <w:rsid w:val="002149BE"/>
    <w:rsid w:val="002267DD"/>
    <w:rsid w:val="00232EA6"/>
    <w:rsid w:val="0023629E"/>
    <w:rsid w:val="00236D08"/>
    <w:rsid w:val="0024068C"/>
    <w:rsid w:val="0025135F"/>
    <w:rsid w:val="00252F19"/>
    <w:rsid w:val="00256698"/>
    <w:rsid w:val="00257446"/>
    <w:rsid w:val="00272A64"/>
    <w:rsid w:val="00274925"/>
    <w:rsid w:val="002825C7"/>
    <w:rsid w:val="002835BA"/>
    <w:rsid w:val="00285425"/>
    <w:rsid w:val="0029611B"/>
    <w:rsid w:val="002A2095"/>
    <w:rsid w:val="002A2573"/>
    <w:rsid w:val="002B493B"/>
    <w:rsid w:val="002B5B03"/>
    <w:rsid w:val="002B6F69"/>
    <w:rsid w:val="002B7502"/>
    <w:rsid w:val="002C0F2F"/>
    <w:rsid w:val="002D398C"/>
    <w:rsid w:val="002D4B89"/>
    <w:rsid w:val="002D60FD"/>
    <w:rsid w:val="002D753F"/>
    <w:rsid w:val="002E1D28"/>
    <w:rsid w:val="002E2F76"/>
    <w:rsid w:val="002E3BE1"/>
    <w:rsid w:val="002E594B"/>
    <w:rsid w:val="002E5D0C"/>
    <w:rsid w:val="002E6462"/>
    <w:rsid w:val="002E66B3"/>
    <w:rsid w:val="002F0A11"/>
    <w:rsid w:val="002F20D0"/>
    <w:rsid w:val="002F6B2F"/>
    <w:rsid w:val="003009D2"/>
    <w:rsid w:val="00302B20"/>
    <w:rsid w:val="00303C53"/>
    <w:rsid w:val="003071C4"/>
    <w:rsid w:val="003075F9"/>
    <w:rsid w:val="00310203"/>
    <w:rsid w:val="00310CFD"/>
    <w:rsid w:val="00312C1C"/>
    <w:rsid w:val="003150AD"/>
    <w:rsid w:val="00315E66"/>
    <w:rsid w:val="00316B04"/>
    <w:rsid w:val="00316B67"/>
    <w:rsid w:val="0032224B"/>
    <w:rsid w:val="0032608B"/>
    <w:rsid w:val="00327A78"/>
    <w:rsid w:val="00331E60"/>
    <w:rsid w:val="00334C52"/>
    <w:rsid w:val="00342F4A"/>
    <w:rsid w:val="003431EC"/>
    <w:rsid w:val="00347F8F"/>
    <w:rsid w:val="00357315"/>
    <w:rsid w:val="0036086F"/>
    <w:rsid w:val="00364D45"/>
    <w:rsid w:val="00364DF2"/>
    <w:rsid w:val="00370090"/>
    <w:rsid w:val="003703C1"/>
    <w:rsid w:val="003816E4"/>
    <w:rsid w:val="00385C59"/>
    <w:rsid w:val="003962C1"/>
    <w:rsid w:val="003A601A"/>
    <w:rsid w:val="003A6739"/>
    <w:rsid w:val="003B6E16"/>
    <w:rsid w:val="003B7F6E"/>
    <w:rsid w:val="003C2338"/>
    <w:rsid w:val="003C2FAD"/>
    <w:rsid w:val="003D1C2F"/>
    <w:rsid w:val="003D7250"/>
    <w:rsid w:val="003E45CA"/>
    <w:rsid w:val="003E5C2D"/>
    <w:rsid w:val="003E700D"/>
    <w:rsid w:val="003F12A5"/>
    <w:rsid w:val="003F2656"/>
    <w:rsid w:val="003F2D39"/>
    <w:rsid w:val="003F5C9E"/>
    <w:rsid w:val="003F67F8"/>
    <w:rsid w:val="00412E9D"/>
    <w:rsid w:val="0041515C"/>
    <w:rsid w:val="0041736D"/>
    <w:rsid w:val="00426D34"/>
    <w:rsid w:val="00431936"/>
    <w:rsid w:val="00434E11"/>
    <w:rsid w:val="00436961"/>
    <w:rsid w:val="004422C3"/>
    <w:rsid w:val="00450798"/>
    <w:rsid w:val="0045263E"/>
    <w:rsid w:val="00455281"/>
    <w:rsid w:val="00456FDF"/>
    <w:rsid w:val="004578A8"/>
    <w:rsid w:val="00466854"/>
    <w:rsid w:val="00470F64"/>
    <w:rsid w:val="00472315"/>
    <w:rsid w:val="00473DBC"/>
    <w:rsid w:val="00476A0E"/>
    <w:rsid w:val="00486798"/>
    <w:rsid w:val="00487121"/>
    <w:rsid w:val="00490C1D"/>
    <w:rsid w:val="004915C1"/>
    <w:rsid w:val="0049600B"/>
    <w:rsid w:val="004A1552"/>
    <w:rsid w:val="004A236F"/>
    <w:rsid w:val="004A63F3"/>
    <w:rsid w:val="004A7916"/>
    <w:rsid w:val="004B000B"/>
    <w:rsid w:val="004B54A6"/>
    <w:rsid w:val="004B613B"/>
    <w:rsid w:val="004C0DEC"/>
    <w:rsid w:val="004C4248"/>
    <w:rsid w:val="004C7A08"/>
    <w:rsid w:val="004C7F05"/>
    <w:rsid w:val="004D0F53"/>
    <w:rsid w:val="004D20DE"/>
    <w:rsid w:val="004D2272"/>
    <w:rsid w:val="004E0B00"/>
    <w:rsid w:val="004E7B90"/>
    <w:rsid w:val="004F1312"/>
    <w:rsid w:val="004F147D"/>
    <w:rsid w:val="004F45D4"/>
    <w:rsid w:val="00502A34"/>
    <w:rsid w:val="00502AED"/>
    <w:rsid w:val="00503C13"/>
    <w:rsid w:val="00504319"/>
    <w:rsid w:val="00505310"/>
    <w:rsid w:val="005055B7"/>
    <w:rsid w:val="00505BF5"/>
    <w:rsid w:val="00511570"/>
    <w:rsid w:val="005148DD"/>
    <w:rsid w:val="00514FE3"/>
    <w:rsid w:val="0051519A"/>
    <w:rsid w:val="00515AB4"/>
    <w:rsid w:val="005201D8"/>
    <w:rsid w:val="00522A71"/>
    <w:rsid w:val="00522BAD"/>
    <w:rsid w:val="005303E3"/>
    <w:rsid w:val="00533EA7"/>
    <w:rsid w:val="00536ABF"/>
    <w:rsid w:val="0054002D"/>
    <w:rsid w:val="00544635"/>
    <w:rsid w:val="005526FC"/>
    <w:rsid w:val="00564016"/>
    <w:rsid w:val="0057335A"/>
    <w:rsid w:val="0057488F"/>
    <w:rsid w:val="005801A5"/>
    <w:rsid w:val="00580352"/>
    <w:rsid w:val="0058335E"/>
    <w:rsid w:val="00586436"/>
    <w:rsid w:val="005871B0"/>
    <w:rsid w:val="00590033"/>
    <w:rsid w:val="00593C5A"/>
    <w:rsid w:val="005A1AE6"/>
    <w:rsid w:val="005B0EBD"/>
    <w:rsid w:val="005B0F72"/>
    <w:rsid w:val="005B7578"/>
    <w:rsid w:val="005C64EE"/>
    <w:rsid w:val="005D1B18"/>
    <w:rsid w:val="005D410B"/>
    <w:rsid w:val="005E06F3"/>
    <w:rsid w:val="005E0981"/>
    <w:rsid w:val="005E3FD7"/>
    <w:rsid w:val="005E46B0"/>
    <w:rsid w:val="005F17CC"/>
    <w:rsid w:val="005F334C"/>
    <w:rsid w:val="005F4B6C"/>
    <w:rsid w:val="00605675"/>
    <w:rsid w:val="00606A69"/>
    <w:rsid w:val="00611688"/>
    <w:rsid w:val="0061457F"/>
    <w:rsid w:val="00616B54"/>
    <w:rsid w:val="00624ACE"/>
    <w:rsid w:val="006264E9"/>
    <w:rsid w:val="006273DC"/>
    <w:rsid w:val="00627F62"/>
    <w:rsid w:val="006348D1"/>
    <w:rsid w:val="00641D8D"/>
    <w:rsid w:val="00644193"/>
    <w:rsid w:val="00644259"/>
    <w:rsid w:val="006474B4"/>
    <w:rsid w:val="00650859"/>
    <w:rsid w:val="006631A4"/>
    <w:rsid w:val="006667AF"/>
    <w:rsid w:val="006671AE"/>
    <w:rsid w:val="006710DD"/>
    <w:rsid w:val="00677F3A"/>
    <w:rsid w:val="00677F45"/>
    <w:rsid w:val="00680658"/>
    <w:rsid w:val="006911C6"/>
    <w:rsid w:val="00695785"/>
    <w:rsid w:val="00695B51"/>
    <w:rsid w:val="00695CF5"/>
    <w:rsid w:val="006969DB"/>
    <w:rsid w:val="00697F03"/>
    <w:rsid w:val="006A2745"/>
    <w:rsid w:val="006A4430"/>
    <w:rsid w:val="006B6401"/>
    <w:rsid w:val="006C1749"/>
    <w:rsid w:val="006C1A15"/>
    <w:rsid w:val="006C54FC"/>
    <w:rsid w:val="006D3258"/>
    <w:rsid w:val="006D638B"/>
    <w:rsid w:val="006E2823"/>
    <w:rsid w:val="006E415A"/>
    <w:rsid w:val="006E423F"/>
    <w:rsid w:val="006F0624"/>
    <w:rsid w:val="006F2826"/>
    <w:rsid w:val="006F7940"/>
    <w:rsid w:val="00703250"/>
    <w:rsid w:val="00704BEB"/>
    <w:rsid w:val="007053AF"/>
    <w:rsid w:val="0071156C"/>
    <w:rsid w:val="00714F25"/>
    <w:rsid w:val="0072302B"/>
    <w:rsid w:val="00723760"/>
    <w:rsid w:val="00726BD3"/>
    <w:rsid w:val="007314AD"/>
    <w:rsid w:val="00734AD3"/>
    <w:rsid w:val="00735B25"/>
    <w:rsid w:val="007435DC"/>
    <w:rsid w:val="00743C7A"/>
    <w:rsid w:val="007462D3"/>
    <w:rsid w:val="00746DEA"/>
    <w:rsid w:val="00750DAB"/>
    <w:rsid w:val="00750EEC"/>
    <w:rsid w:val="00753374"/>
    <w:rsid w:val="00754A37"/>
    <w:rsid w:val="007618E3"/>
    <w:rsid w:val="00761E8A"/>
    <w:rsid w:val="00763064"/>
    <w:rsid w:val="00764938"/>
    <w:rsid w:val="00766502"/>
    <w:rsid w:val="00770A4F"/>
    <w:rsid w:val="00777956"/>
    <w:rsid w:val="00784E18"/>
    <w:rsid w:val="00785491"/>
    <w:rsid w:val="00787873"/>
    <w:rsid w:val="00791F3E"/>
    <w:rsid w:val="007A15B8"/>
    <w:rsid w:val="007A2553"/>
    <w:rsid w:val="007A5E7C"/>
    <w:rsid w:val="007A7E5D"/>
    <w:rsid w:val="007B43E4"/>
    <w:rsid w:val="007B440B"/>
    <w:rsid w:val="007C2311"/>
    <w:rsid w:val="007C4E07"/>
    <w:rsid w:val="007D6A74"/>
    <w:rsid w:val="007D794D"/>
    <w:rsid w:val="007F2080"/>
    <w:rsid w:val="007F4919"/>
    <w:rsid w:val="007F5661"/>
    <w:rsid w:val="00804A81"/>
    <w:rsid w:val="00805536"/>
    <w:rsid w:val="0080690A"/>
    <w:rsid w:val="00807F0A"/>
    <w:rsid w:val="008106F5"/>
    <w:rsid w:val="00810BC8"/>
    <w:rsid w:val="00810E02"/>
    <w:rsid w:val="008112C2"/>
    <w:rsid w:val="00811587"/>
    <w:rsid w:val="00815830"/>
    <w:rsid w:val="00817AB8"/>
    <w:rsid w:val="00820E72"/>
    <w:rsid w:val="0082165A"/>
    <w:rsid w:val="0082255F"/>
    <w:rsid w:val="008279FC"/>
    <w:rsid w:val="0083294F"/>
    <w:rsid w:val="0083391D"/>
    <w:rsid w:val="0083630E"/>
    <w:rsid w:val="00836F42"/>
    <w:rsid w:val="00841DF0"/>
    <w:rsid w:val="00847B31"/>
    <w:rsid w:val="00847BC4"/>
    <w:rsid w:val="00852928"/>
    <w:rsid w:val="008539D9"/>
    <w:rsid w:val="00861299"/>
    <w:rsid w:val="00862A82"/>
    <w:rsid w:val="008634B8"/>
    <w:rsid w:val="008636CB"/>
    <w:rsid w:val="00867F46"/>
    <w:rsid w:val="00871075"/>
    <w:rsid w:val="0087408A"/>
    <w:rsid w:val="008759DC"/>
    <w:rsid w:val="00882B94"/>
    <w:rsid w:val="008843CF"/>
    <w:rsid w:val="0088660A"/>
    <w:rsid w:val="008930BA"/>
    <w:rsid w:val="008973CA"/>
    <w:rsid w:val="008A07CB"/>
    <w:rsid w:val="008A11C8"/>
    <w:rsid w:val="008A17EA"/>
    <w:rsid w:val="008A4395"/>
    <w:rsid w:val="008B0138"/>
    <w:rsid w:val="008B0943"/>
    <w:rsid w:val="008B40DC"/>
    <w:rsid w:val="008C0D6D"/>
    <w:rsid w:val="008C10F8"/>
    <w:rsid w:val="008C2DD4"/>
    <w:rsid w:val="008C35D4"/>
    <w:rsid w:val="008C58D6"/>
    <w:rsid w:val="008C75D4"/>
    <w:rsid w:val="008C7E13"/>
    <w:rsid w:val="008E3BD3"/>
    <w:rsid w:val="008E4645"/>
    <w:rsid w:val="008E5928"/>
    <w:rsid w:val="008E6B8F"/>
    <w:rsid w:val="008E7E22"/>
    <w:rsid w:val="008F2762"/>
    <w:rsid w:val="008F672A"/>
    <w:rsid w:val="008F7493"/>
    <w:rsid w:val="008F785B"/>
    <w:rsid w:val="00902F50"/>
    <w:rsid w:val="009061A1"/>
    <w:rsid w:val="00910B4F"/>
    <w:rsid w:val="00911E20"/>
    <w:rsid w:val="0091295A"/>
    <w:rsid w:val="00912BF2"/>
    <w:rsid w:val="00942328"/>
    <w:rsid w:val="00944109"/>
    <w:rsid w:val="009446C3"/>
    <w:rsid w:val="009513F1"/>
    <w:rsid w:val="00951C80"/>
    <w:rsid w:val="00952435"/>
    <w:rsid w:val="00955456"/>
    <w:rsid w:val="00957547"/>
    <w:rsid w:val="0096024B"/>
    <w:rsid w:val="00960545"/>
    <w:rsid w:val="0096345F"/>
    <w:rsid w:val="00963BCE"/>
    <w:rsid w:val="00963FF4"/>
    <w:rsid w:val="0096557F"/>
    <w:rsid w:val="009665E5"/>
    <w:rsid w:val="00967463"/>
    <w:rsid w:val="009708B5"/>
    <w:rsid w:val="00971B01"/>
    <w:rsid w:val="0097607F"/>
    <w:rsid w:val="009844DA"/>
    <w:rsid w:val="009852D6"/>
    <w:rsid w:val="009857F0"/>
    <w:rsid w:val="00992F9A"/>
    <w:rsid w:val="009946B4"/>
    <w:rsid w:val="009A2026"/>
    <w:rsid w:val="009A4524"/>
    <w:rsid w:val="009A4CFB"/>
    <w:rsid w:val="009A4EAE"/>
    <w:rsid w:val="009A5AA2"/>
    <w:rsid w:val="009B0A6B"/>
    <w:rsid w:val="009B0AB8"/>
    <w:rsid w:val="009B2632"/>
    <w:rsid w:val="009B3289"/>
    <w:rsid w:val="009C0496"/>
    <w:rsid w:val="009C23CE"/>
    <w:rsid w:val="009C6FC6"/>
    <w:rsid w:val="009D63FD"/>
    <w:rsid w:val="009E053E"/>
    <w:rsid w:val="009E40EB"/>
    <w:rsid w:val="009E4B41"/>
    <w:rsid w:val="009F1D7D"/>
    <w:rsid w:val="009F2DED"/>
    <w:rsid w:val="009F334F"/>
    <w:rsid w:val="009F3FDE"/>
    <w:rsid w:val="00A04E9F"/>
    <w:rsid w:val="00A06596"/>
    <w:rsid w:val="00A07D9A"/>
    <w:rsid w:val="00A11C90"/>
    <w:rsid w:val="00A14370"/>
    <w:rsid w:val="00A200A3"/>
    <w:rsid w:val="00A21B57"/>
    <w:rsid w:val="00A26ADF"/>
    <w:rsid w:val="00A27801"/>
    <w:rsid w:val="00A303D6"/>
    <w:rsid w:val="00A3315B"/>
    <w:rsid w:val="00A3365E"/>
    <w:rsid w:val="00A343F2"/>
    <w:rsid w:val="00A3597F"/>
    <w:rsid w:val="00A35DDA"/>
    <w:rsid w:val="00A4040F"/>
    <w:rsid w:val="00A4399B"/>
    <w:rsid w:val="00A460FF"/>
    <w:rsid w:val="00A50E8D"/>
    <w:rsid w:val="00A537B0"/>
    <w:rsid w:val="00A55E1A"/>
    <w:rsid w:val="00A56B96"/>
    <w:rsid w:val="00A60206"/>
    <w:rsid w:val="00A62067"/>
    <w:rsid w:val="00A6405C"/>
    <w:rsid w:val="00A70F7F"/>
    <w:rsid w:val="00A71A52"/>
    <w:rsid w:val="00A71C1C"/>
    <w:rsid w:val="00A71D3B"/>
    <w:rsid w:val="00A72DD4"/>
    <w:rsid w:val="00A735E9"/>
    <w:rsid w:val="00A83FB8"/>
    <w:rsid w:val="00A85D5D"/>
    <w:rsid w:val="00A906F0"/>
    <w:rsid w:val="00A91603"/>
    <w:rsid w:val="00A936C9"/>
    <w:rsid w:val="00A93DBA"/>
    <w:rsid w:val="00A97E95"/>
    <w:rsid w:val="00AA039A"/>
    <w:rsid w:val="00AA37D5"/>
    <w:rsid w:val="00AA5762"/>
    <w:rsid w:val="00AA7180"/>
    <w:rsid w:val="00AB2FD9"/>
    <w:rsid w:val="00AB53BB"/>
    <w:rsid w:val="00AB6578"/>
    <w:rsid w:val="00AB76DC"/>
    <w:rsid w:val="00AB7B62"/>
    <w:rsid w:val="00AC1D89"/>
    <w:rsid w:val="00AC455F"/>
    <w:rsid w:val="00AC4DA6"/>
    <w:rsid w:val="00AC55F4"/>
    <w:rsid w:val="00AC6E4F"/>
    <w:rsid w:val="00AC73E4"/>
    <w:rsid w:val="00AD488F"/>
    <w:rsid w:val="00AD5C37"/>
    <w:rsid w:val="00AD73A1"/>
    <w:rsid w:val="00AD7649"/>
    <w:rsid w:val="00AE01B9"/>
    <w:rsid w:val="00AE1DD8"/>
    <w:rsid w:val="00AE1F36"/>
    <w:rsid w:val="00AE4EE8"/>
    <w:rsid w:val="00AE6CA8"/>
    <w:rsid w:val="00AF0507"/>
    <w:rsid w:val="00AF26C7"/>
    <w:rsid w:val="00AF278C"/>
    <w:rsid w:val="00AF592C"/>
    <w:rsid w:val="00B00878"/>
    <w:rsid w:val="00B04CAC"/>
    <w:rsid w:val="00B13B94"/>
    <w:rsid w:val="00B14792"/>
    <w:rsid w:val="00B16768"/>
    <w:rsid w:val="00B20695"/>
    <w:rsid w:val="00B23B67"/>
    <w:rsid w:val="00B242C0"/>
    <w:rsid w:val="00B2449A"/>
    <w:rsid w:val="00B36F05"/>
    <w:rsid w:val="00B40362"/>
    <w:rsid w:val="00B40F8C"/>
    <w:rsid w:val="00B44169"/>
    <w:rsid w:val="00B56FD6"/>
    <w:rsid w:val="00B66483"/>
    <w:rsid w:val="00B67FCE"/>
    <w:rsid w:val="00B7418D"/>
    <w:rsid w:val="00B74BDB"/>
    <w:rsid w:val="00B76873"/>
    <w:rsid w:val="00B822FE"/>
    <w:rsid w:val="00B84438"/>
    <w:rsid w:val="00B917E7"/>
    <w:rsid w:val="00B94D75"/>
    <w:rsid w:val="00B95A93"/>
    <w:rsid w:val="00B96BF6"/>
    <w:rsid w:val="00B971E3"/>
    <w:rsid w:val="00BA06E4"/>
    <w:rsid w:val="00BA3AA7"/>
    <w:rsid w:val="00BA3CD8"/>
    <w:rsid w:val="00BA48FB"/>
    <w:rsid w:val="00BA4C68"/>
    <w:rsid w:val="00BA555E"/>
    <w:rsid w:val="00BA7791"/>
    <w:rsid w:val="00BB1E9F"/>
    <w:rsid w:val="00BB3A74"/>
    <w:rsid w:val="00BB444A"/>
    <w:rsid w:val="00BC07D0"/>
    <w:rsid w:val="00BC5684"/>
    <w:rsid w:val="00BC586E"/>
    <w:rsid w:val="00BC6019"/>
    <w:rsid w:val="00BC7CE0"/>
    <w:rsid w:val="00BD1284"/>
    <w:rsid w:val="00BD5CF1"/>
    <w:rsid w:val="00BD77B6"/>
    <w:rsid w:val="00BE2B05"/>
    <w:rsid w:val="00BF1D93"/>
    <w:rsid w:val="00BF24BF"/>
    <w:rsid w:val="00BF3A6C"/>
    <w:rsid w:val="00BF7A1A"/>
    <w:rsid w:val="00C03849"/>
    <w:rsid w:val="00C12ABD"/>
    <w:rsid w:val="00C153A1"/>
    <w:rsid w:val="00C164BD"/>
    <w:rsid w:val="00C16F2A"/>
    <w:rsid w:val="00C2512D"/>
    <w:rsid w:val="00C25534"/>
    <w:rsid w:val="00C26E3B"/>
    <w:rsid w:val="00C330B5"/>
    <w:rsid w:val="00C3623B"/>
    <w:rsid w:val="00C37A19"/>
    <w:rsid w:val="00C4702C"/>
    <w:rsid w:val="00C500ED"/>
    <w:rsid w:val="00C515F4"/>
    <w:rsid w:val="00C561C7"/>
    <w:rsid w:val="00C5724F"/>
    <w:rsid w:val="00C737D8"/>
    <w:rsid w:val="00C751D7"/>
    <w:rsid w:val="00C772DB"/>
    <w:rsid w:val="00C83A4C"/>
    <w:rsid w:val="00C906BE"/>
    <w:rsid w:val="00C90C5E"/>
    <w:rsid w:val="00C9397B"/>
    <w:rsid w:val="00C93C3E"/>
    <w:rsid w:val="00C95484"/>
    <w:rsid w:val="00CA494F"/>
    <w:rsid w:val="00CA49A7"/>
    <w:rsid w:val="00CB3CE8"/>
    <w:rsid w:val="00CB4572"/>
    <w:rsid w:val="00CB69C4"/>
    <w:rsid w:val="00CC084B"/>
    <w:rsid w:val="00CC34A7"/>
    <w:rsid w:val="00CD26FF"/>
    <w:rsid w:val="00CE0870"/>
    <w:rsid w:val="00CE4FD7"/>
    <w:rsid w:val="00CE6784"/>
    <w:rsid w:val="00CF23ED"/>
    <w:rsid w:val="00CF26C2"/>
    <w:rsid w:val="00CF65FE"/>
    <w:rsid w:val="00CF759C"/>
    <w:rsid w:val="00D039F8"/>
    <w:rsid w:val="00D040FF"/>
    <w:rsid w:val="00D14BEA"/>
    <w:rsid w:val="00D22DB1"/>
    <w:rsid w:val="00D231A3"/>
    <w:rsid w:val="00D25B9A"/>
    <w:rsid w:val="00D27AAB"/>
    <w:rsid w:val="00D312A2"/>
    <w:rsid w:val="00D33B69"/>
    <w:rsid w:val="00D378B1"/>
    <w:rsid w:val="00D4021A"/>
    <w:rsid w:val="00D40E98"/>
    <w:rsid w:val="00D40F90"/>
    <w:rsid w:val="00D4474C"/>
    <w:rsid w:val="00D46724"/>
    <w:rsid w:val="00D52E3E"/>
    <w:rsid w:val="00D609E1"/>
    <w:rsid w:val="00D60BA0"/>
    <w:rsid w:val="00D64184"/>
    <w:rsid w:val="00D70D0B"/>
    <w:rsid w:val="00D73494"/>
    <w:rsid w:val="00D75550"/>
    <w:rsid w:val="00D84B9B"/>
    <w:rsid w:val="00D85B57"/>
    <w:rsid w:val="00D85EF8"/>
    <w:rsid w:val="00D90C39"/>
    <w:rsid w:val="00D90F3B"/>
    <w:rsid w:val="00D94814"/>
    <w:rsid w:val="00DA3CF5"/>
    <w:rsid w:val="00DA4123"/>
    <w:rsid w:val="00DA77D8"/>
    <w:rsid w:val="00DB4BB5"/>
    <w:rsid w:val="00DC1BFE"/>
    <w:rsid w:val="00DC1CA4"/>
    <w:rsid w:val="00DC2B8B"/>
    <w:rsid w:val="00DC6B6B"/>
    <w:rsid w:val="00DD3381"/>
    <w:rsid w:val="00DD55E4"/>
    <w:rsid w:val="00DD6FD8"/>
    <w:rsid w:val="00DD7437"/>
    <w:rsid w:val="00DE4502"/>
    <w:rsid w:val="00DE5C71"/>
    <w:rsid w:val="00DF336F"/>
    <w:rsid w:val="00DF4C17"/>
    <w:rsid w:val="00E02BDD"/>
    <w:rsid w:val="00E049C9"/>
    <w:rsid w:val="00E06F73"/>
    <w:rsid w:val="00E07239"/>
    <w:rsid w:val="00E07DE1"/>
    <w:rsid w:val="00E1626A"/>
    <w:rsid w:val="00E2128A"/>
    <w:rsid w:val="00E22668"/>
    <w:rsid w:val="00E23EE6"/>
    <w:rsid w:val="00E26720"/>
    <w:rsid w:val="00E52D98"/>
    <w:rsid w:val="00E532A3"/>
    <w:rsid w:val="00E53BE2"/>
    <w:rsid w:val="00E541D1"/>
    <w:rsid w:val="00E54CAC"/>
    <w:rsid w:val="00E625EF"/>
    <w:rsid w:val="00E632AB"/>
    <w:rsid w:val="00E71E15"/>
    <w:rsid w:val="00E731EF"/>
    <w:rsid w:val="00E73E83"/>
    <w:rsid w:val="00E75D11"/>
    <w:rsid w:val="00E8172F"/>
    <w:rsid w:val="00E82839"/>
    <w:rsid w:val="00E835A4"/>
    <w:rsid w:val="00E871E9"/>
    <w:rsid w:val="00E97003"/>
    <w:rsid w:val="00EA26A1"/>
    <w:rsid w:val="00EA3B5C"/>
    <w:rsid w:val="00EA463F"/>
    <w:rsid w:val="00EA553E"/>
    <w:rsid w:val="00EA779E"/>
    <w:rsid w:val="00EA7B82"/>
    <w:rsid w:val="00EB0D1C"/>
    <w:rsid w:val="00EB1630"/>
    <w:rsid w:val="00EB31AE"/>
    <w:rsid w:val="00EB3D0B"/>
    <w:rsid w:val="00EB5C5E"/>
    <w:rsid w:val="00EB7743"/>
    <w:rsid w:val="00EC327A"/>
    <w:rsid w:val="00EC411F"/>
    <w:rsid w:val="00ED78DF"/>
    <w:rsid w:val="00EF1BE3"/>
    <w:rsid w:val="00F00C5F"/>
    <w:rsid w:val="00F02FC6"/>
    <w:rsid w:val="00F163D8"/>
    <w:rsid w:val="00F214CB"/>
    <w:rsid w:val="00F25052"/>
    <w:rsid w:val="00F27635"/>
    <w:rsid w:val="00F31B74"/>
    <w:rsid w:val="00F33601"/>
    <w:rsid w:val="00F33F20"/>
    <w:rsid w:val="00F35D82"/>
    <w:rsid w:val="00F367A0"/>
    <w:rsid w:val="00F36B25"/>
    <w:rsid w:val="00F440B0"/>
    <w:rsid w:val="00F51CFA"/>
    <w:rsid w:val="00F522E6"/>
    <w:rsid w:val="00F56FC7"/>
    <w:rsid w:val="00F57477"/>
    <w:rsid w:val="00F674AD"/>
    <w:rsid w:val="00F67F84"/>
    <w:rsid w:val="00F711E9"/>
    <w:rsid w:val="00F71CCA"/>
    <w:rsid w:val="00F76A3D"/>
    <w:rsid w:val="00F77BE2"/>
    <w:rsid w:val="00F77F60"/>
    <w:rsid w:val="00F844B8"/>
    <w:rsid w:val="00F84C19"/>
    <w:rsid w:val="00F9163C"/>
    <w:rsid w:val="00F91F9C"/>
    <w:rsid w:val="00F928D4"/>
    <w:rsid w:val="00FA2D91"/>
    <w:rsid w:val="00FA41F5"/>
    <w:rsid w:val="00FA55A4"/>
    <w:rsid w:val="00FA5613"/>
    <w:rsid w:val="00FA579C"/>
    <w:rsid w:val="00FA61D6"/>
    <w:rsid w:val="00FB34C8"/>
    <w:rsid w:val="00FB395C"/>
    <w:rsid w:val="00FC04D0"/>
    <w:rsid w:val="00FC14BD"/>
    <w:rsid w:val="00FC3B43"/>
    <w:rsid w:val="00FD047F"/>
    <w:rsid w:val="00FD0DF5"/>
    <w:rsid w:val="00FD14B9"/>
    <w:rsid w:val="00FD3965"/>
    <w:rsid w:val="00FD4C75"/>
    <w:rsid w:val="00FD6060"/>
    <w:rsid w:val="00FD637F"/>
    <w:rsid w:val="00FD6CF9"/>
    <w:rsid w:val="00FD7F03"/>
    <w:rsid w:val="00FE27D5"/>
    <w:rsid w:val="00FE6143"/>
    <w:rsid w:val="00FE6791"/>
    <w:rsid w:val="00FF39CE"/>
    <w:rsid w:val="00FF5DE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 fillcolor="none [2404]" stroke="f" strokecolor="none [2406]">
      <v:fill color="none [2404]"/>
      <v:stroke color="none [2406]" on="f"/>
    </o:shapedefaults>
    <o:shapelayout v:ext="edit">
      <o:idmap v:ext="edit" data="1"/>
    </o:shapelayout>
  </w:shapeDefaults>
  <w:decimalSymbol w:val="."/>
  <w:listSeparator w:val=","/>
  <w14:docId w14:val="7543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C52"/>
    <w:pPr>
      <w:spacing w:before="120" w:after="120"/>
      <w:jc w:val="both"/>
    </w:pPr>
    <w:rPr>
      <w:rFonts w:ascii="ITC Avant Garde" w:hAnsi="ITC Avant Garde"/>
      <w:lang w:val="es-ES"/>
    </w:rPr>
  </w:style>
  <w:style w:type="paragraph" w:styleId="Ttulo1">
    <w:name w:val="heading 1"/>
    <w:basedOn w:val="Normal"/>
    <w:next w:val="Normal"/>
    <w:link w:val="Ttulo1Car"/>
    <w:uiPriority w:val="9"/>
    <w:qFormat/>
    <w:rsid w:val="006F0624"/>
    <w:pPr>
      <w:keepNext/>
      <w:keepLines/>
      <w:numPr>
        <w:numId w:val="87"/>
      </w:numPr>
      <w:spacing w:before="240"/>
      <w:outlineLvl w:val="0"/>
    </w:pPr>
    <w:rPr>
      <w:rFonts w:eastAsiaTheme="majorEastAsia" w:cstheme="majorBidi"/>
      <w:b/>
      <w:caps/>
      <w:color w:val="365F91" w:themeColor="accent1" w:themeShade="BF"/>
      <w:szCs w:val="32"/>
    </w:rPr>
  </w:style>
  <w:style w:type="paragraph" w:styleId="Ttulo2">
    <w:name w:val="heading 2"/>
    <w:basedOn w:val="Ttulo1"/>
    <w:next w:val="Normal"/>
    <w:link w:val="Ttulo2Car"/>
    <w:uiPriority w:val="9"/>
    <w:unhideWhenUsed/>
    <w:qFormat/>
    <w:rsid w:val="003F2656"/>
    <w:pPr>
      <w:numPr>
        <w:numId w:val="0"/>
      </w:numPr>
      <w:outlineLvl w:val="1"/>
    </w:pPr>
  </w:style>
  <w:style w:type="paragraph" w:styleId="Ttulo3">
    <w:name w:val="heading 3"/>
    <w:basedOn w:val="Ttulo4"/>
    <w:next w:val="Normal"/>
    <w:link w:val="Ttulo3Car"/>
    <w:uiPriority w:val="9"/>
    <w:unhideWhenUsed/>
    <w:qFormat/>
    <w:rsid w:val="001E26D0"/>
    <w:pPr>
      <w:spacing w:before="240" w:after="120"/>
      <w:outlineLvl w:val="2"/>
    </w:pPr>
  </w:style>
  <w:style w:type="paragraph" w:styleId="Ttulo4">
    <w:name w:val="heading 4"/>
    <w:basedOn w:val="Normal"/>
    <w:next w:val="Normal"/>
    <w:link w:val="Ttulo4Car"/>
    <w:uiPriority w:val="9"/>
    <w:unhideWhenUsed/>
    <w:qFormat/>
    <w:rsid w:val="00150438"/>
    <w:pPr>
      <w:keepNext/>
      <w:numPr>
        <w:ilvl w:val="1"/>
      </w:numPr>
      <w:spacing w:before="360" w:after="160"/>
      <w:outlineLvl w:val="3"/>
    </w:pPr>
    <w:rPr>
      <w:rFonts w:eastAsiaTheme="minorEastAsia"/>
      <w:b/>
      <w:color w:val="365F91" w:themeColor="accent1" w:themeShade="BF"/>
      <w:spacing w:val="15"/>
    </w:rPr>
  </w:style>
  <w:style w:type="paragraph" w:styleId="Ttulo5">
    <w:name w:val="heading 5"/>
    <w:basedOn w:val="Normal"/>
    <w:next w:val="Normal"/>
    <w:link w:val="Ttulo5Car"/>
    <w:uiPriority w:val="9"/>
    <w:semiHidden/>
    <w:unhideWhenUsed/>
    <w:rsid w:val="00466854"/>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nhideWhenUsed/>
    <w:rsid w:val="008C2DD4"/>
    <w:pPr>
      <w:keepNext/>
      <w:spacing w:after="0" w:line="240" w:lineRule="auto"/>
      <w:outlineLvl w:val="5"/>
    </w:pPr>
    <w:rPr>
      <w:rFonts w:ascii="Times New Roman" w:eastAsia="Times New Roman" w:hAnsi="Times New Roman" w:cs="Times New Roman"/>
      <w:color w:val="17365D" w:themeColor="text2" w:themeShade="BF"/>
      <w:sz w:val="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C2DD4"/>
    <w:rPr>
      <w:color w:val="808080"/>
    </w:rPr>
  </w:style>
  <w:style w:type="paragraph" w:styleId="Textodeglobo">
    <w:name w:val="Balloon Text"/>
    <w:basedOn w:val="Normal"/>
    <w:link w:val="TextodegloboCar"/>
    <w:uiPriority w:val="99"/>
    <w:semiHidden/>
    <w:unhideWhenUsed/>
    <w:rsid w:val="008C2DD4"/>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8C2DD4"/>
    <w:rPr>
      <w:rFonts w:ascii="Tahoma" w:hAnsi="Tahoma" w:cs="Mangal"/>
      <w:sz w:val="16"/>
      <w:szCs w:val="14"/>
    </w:rPr>
  </w:style>
  <w:style w:type="paragraph" w:customStyle="1" w:styleId="TitleCover">
    <w:name w:val="Title Cover"/>
    <w:basedOn w:val="Normal"/>
    <w:next w:val="Normal"/>
    <w:rsid w:val="008C2DD4"/>
    <w:pPr>
      <w:keepNext/>
      <w:keepLines/>
      <w:spacing w:after="240" w:line="720" w:lineRule="atLeast"/>
      <w:jc w:val="right"/>
    </w:pPr>
    <w:rPr>
      <w:rFonts w:asciiTheme="majorHAnsi" w:eastAsia="Times New Roman" w:hAnsiTheme="majorHAnsi" w:cs="Times New Roman"/>
      <w:b/>
      <w:caps/>
      <w:color w:val="17365D" w:themeColor="text2" w:themeShade="BF"/>
      <w:spacing w:val="65"/>
      <w:kern w:val="20"/>
      <w:sz w:val="40"/>
      <w:szCs w:val="40"/>
    </w:rPr>
  </w:style>
  <w:style w:type="character" w:customStyle="1" w:styleId="Ttulo6Car">
    <w:name w:val="Título 6 Car"/>
    <w:basedOn w:val="Fuentedeprrafopredeter"/>
    <w:link w:val="Ttulo6"/>
    <w:rsid w:val="008C2DD4"/>
    <w:rPr>
      <w:rFonts w:ascii="Times New Roman" w:eastAsia="Times New Roman" w:hAnsi="Times New Roman" w:cs="Times New Roman"/>
      <w:color w:val="17365D" w:themeColor="text2" w:themeShade="BF"/>
      <w:sz w:val="60"/>
    </w:rPr>
  </w:style>
  <w:style w:type="paragraph" w:customStyle="1" w:styleId="SubtitleCover">
    <w:name w:val="Subtitle Cover"/>
    <w:basedOn w:val="TitleCover"/>
    <w:next w:val="Normal"/>
    <w:rsid w:val="008C2DD4"/>
    <w:rPr>
      <w:sz w:val="32"/>
      <w:szCs w:val="32"/>
    </w:rPr>
  </w:style>
  <w:style w:type="paragraph" w:customStyle="1" w:styleId="TabName">
    <w:name w:val="Tab Name"/>
    <w:basedOn w:val="Normal"/>
    <w:rsid w:val="008C2DD4"/>
    <w:pPr>
      <w:spacing w:after="0" w:line="240" w:lineRule="auto"/>
      <w:ind w:left="113" w:right="113"/>
      <w:jc w:val="center"/>
    </w:pPr>
    <w:rPr>
      <w:rFonts w:asciiTheme="majorHAnsi" w:eastAsia="Times New Roman" w:hAnsiTheme="majorHAnsi" w:cs="Times New Roman"/>
      <w:color w:val="DBE5F1" w:themeColor="accent1" w:themeTint="33"/>
      <w:sz w:val="32"/>
      <w:szCs w:val="32"/>
    </w:rPr>
  </w:style>
  <w:style w:type="paragraph" w:styleId="Encabezado">
    <w:name w:val="header"/>
    <w:basedOn w:val="Normal"/>
    <w:link w:val="EncabezadoCar"/>
    <w:uiPriority w:val="99"/>
    <w:unhideWhenUsed/>
    <w:rsid w:val="008C2DD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8C2DD4"/>
  </w:style>
  <w:style w:type="paragraph" w:styleId="Piedepgina">
    <w:name w:val="footer"/>
    <w:basedOn w:val="Normal"/>
    <w:link w:val="PiedepginaCar"/>
    <w:uiPriority w:val="99"/>
    <w:unhideWhenUsed/>
    <w:rsid w:val="008C2DD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8C2DD4"/>
  </w:style>
  <w:style w:type="table" w:styleId="Tablaconcuadrcula">
    <w:name w:val="Table Grid"/>
    <w:basedOn w:val="Tablanormal"/>
    <w:uiPriority w:val="39"/>
    <w:rsid w:val="008C2D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Numeración 1,Cuadrícula media 1 - Énfasis 21,4 Viñ 1nivel"/>
    <w:basedOn w:val="Normal"/>
    <w:link w:val="PrrafodelistaCar"/>
    <w:uiPriority w:val="34"/>
    <w:qFormat/>
    <w:rsid w:val="001B4405"/>
    <w:pPr>
      <w:numPr>
        <w:numId w:val="2"/>
      </w:numPr>
    </w:pPr>
  </w:style>
  <w:style w:type="paragraph" w:customStyle="1" w:styleId="1Spine">
    <w:name w:val="1&quot; Spine"/>
    <w:basedOn w:val="Normal"/>
    <w:qFormat/>
    <w:rsid w:val="008C2DD4"/>
    <w:pPr>
      <w:spacing w:after="0" w:line="240" w:lineRule="auto"/>
      <w:jc w:val="center"/>
    </w:pPr>
    <w:rPr>
      <w:b/>
      <w:color w:val="17365D" w:themeColor="text2" w:themeShade="BF"/>
      <w:sz w:val="44"/>
      <w:szCs w:val="44"/>
    </w:rPr>
  </w:style>
  <w:style w:type="paragraph" w:customStyle="1" w:styleId="15Spine">
    <w:name w:val="1.5&quot; Spine"/>
    <w:basedOn w:val="Normal"/>
    <w:qFormat/>
    <w:rsid w:val="008C2DD4"/>
    <w:pPr>
      <w:spacing w:after="0" w:line="240" w:lineRule="auto"/>
      <w:jc w:val="center"/>
    </w:pPr>
    <w:rPr>
      <w:b/>
      <w:color w:val="17365D" w:themeColor="text2" w:themeShade="BF"/>
      <w:sz w:val="48"/>
      <w:szCs w:val="48"/>
    </w:rPr>
  </w:style>
  <w:style w:type="paragraph" w:customStyle="1" w:styleId="2Spine">
    <w:name w:val="2&quot; Spine"/>
    <w:basedOn w:val="Normal"/>
    <w:qFormat/>
    <w:rsid w:val="008C2DD4"/>
    <w:pPr>
      <w:spacing w:after="0" w:line="240" w:lineRule="auto"/>
      <w:jc w:val="center"/>
    </w:pPr>
    <w:rPr>
      <w:b/>
      <w:color w:val="17365D" w:themeColor="text2" w:themeShade="BF"/>
      <w:sz w:val="56"/>
      <w:szCs w:val="56"/>
    </w:rPr>
  </w:style>
  <w:style w:type="paragraph" w:customStyle="1" w:styleId="3Spine">
    <w:name w:val="3&quot; Spine"/>
    <w:basedOn w:val="Normal"/>
    <w:qFormat/>
    <w:rsid w:val="008C2DD4"/>
    <w:pPr>
      <w:spacing w:after="0" w:line="240" w:lineRule="auto"/>
      <w:jc w:val="center"/>
    </w:pPr>
    <w:rPr>
      <w:b/>
      <w:color w:val="17365D" w:themeColor="text2" w:themeShade="BF"/>
      <w:sz w:val="64"/>
      <w:szCs w:val="64"/>
    </w:rPr>
  </w:style>
  <w:style w:type="character" w:customStyle="1" w:styleId="Ttulo2Car">
    <w:name w:val="Título 2 Car"/>
    <w:basedOn w:val="Fuentedeprrafopredeter"/>
    <w:link w:val="Ttulo2"/>
    <w:uiPriority w:val="9"/>
    <w:rsid w:val="003F2656"/>
    <w:rPr>
      <w:rFonts w:ascii="ITC Avant Garde" w:eastAsiaTheme="majorEastAsia" w:hAnsi="ITC Avant Garde" w:cstheme="majorBidi"/>
      <w:b/>
      <w:caps/>
      <w:color w:val="365F91" w:themeColor="accent1" w:themeShade="BF"/>
      <w:szCs w:val="32"/>
      <w:lang w:val="es-ES"/>
    </w:rPr>
  </w:style>
  <w:style w:type="character" w:customStyle="1" w:styleId="Ttulo3Car">
    <w:name w:val="Título 3 Car"/>
    <w:basedOn w:val="Fuentedeprrafopredeter"/>
    <w:link w:val="Ttulo3"/>
    <w:uiPriority w:val="9"/>
    <w:rsid w:val="001E26D0"/>
    <w:rPr>
      <w:rFonts w:ascii="ITC Avant Garde" w:eastAsiaTheme="minorEastAsia" w:hAnsi="ITC Avant Garde"/>
      <w:b/>
      <w:color w:val="365F91" w:themeColor="accent1" w:themeShade="BF"/>
      <w:spacing w:val="15"/>
      <w:lang w:val="es-ES"/>
    </w:rPr>
  </w:style>
  <w:style w:type="character" w:customStyle="1" w:styleId="Ttulo4Car">
    <w:name w:val="Título 4 Car"/>
    <w:basedOn w:val="Fuentedeprrafopredeter"/>
    <w:link w:val="Ttulo4"/>
    <w:uiPriority w:val="9"/>
    <w:rsid w:val="00150438"/>
    <w:rPr>
      <w:rFonts w:ascii="ITC Avant Garde" w:eastAsiaTheme="minorEastAsia" w:hAnsi="ITC Avant Garde"/>
      <w:b/>
      <w:color w:val="365F91" w:themeColor="accent1" w:themeShade="BF"/>
      <w:spacing w:val="15"/>
      <w:lang w:val="es-ES"/>
    </w:rPr>
  </w:style>
  <w:style w:type="paragraph" w:styleId="TDC3">
    <w:name w:val="toc 3"/>
    <w:basedOn w:val="Normal"/>
    <w:next w:val="Normal"/>
    <w:autoRedefine/>
    <w:uiPriority w:val="39"/>
    <w:unhideWhenUsed/>
    <w:rsid w:val="00030283"/>
    <w:pPr>
      <w:spacing w:after="100"/>
      <w:ind w:left="440"/>
    </w:pPr>
  </w:style>
  <w:style w:type="paragraph" w:styleId="TDC2">
    <w:name w:val="toc 2"/>
    <w:basedOn w:val="Normal"/>
    <w:next w:val="Normal"/>
    <w:autoRedefine/>
    <w:uiPriority w:val="39"/>
    <w:unhideWhenUsed/>
    <w:rsid w:val="00030283"/>
    <w:pPr>
      <w:spacing w:after="100"/>
      <w:ind w:left="220"/>
    </w:pPr>
  </w:style>
  <w:style w:type="character" w:styleId="Hipervnculo">
    <w:name w:val="Hyperlink"/>
    <w:basedOn w:val="Fuentedeprrafopredeter"/>
    <w:uiPriority w:val="99"/>
    <w:unhideWhenUsed/>
    <w:rsid w:val="00030283"/>
    <w:rPr>
      <w:color w:val="0000FF" w:themeColor="hyperlink"/>
      <w:u w:val="single"/>
    </w:rPr>
  </w:style>
  <w:style w:type="character" w:customStyle="1" w:styleId="Ttulo1Car">
    <w:name w:val="Título 1 Car"/>
    <w:basedOn w:val="Fuentedeprrafopredeter"/>
    <w:link w:val="Ttulo1"/>
    <w:uiPriority w:val="9"/>
    <w:rsid w:val="006F0624"/>
    <w:rPr>
      <w:rFonts w:ascii="ITC Avant Garde" w:eastAsiaTheme="majorEastAsia" w:hAnsi="ITC Avant Garde" w:cstheme="majorBidi"/>
      <w:b/>
      <w:caps/>
      <w:color w:val="365F91" w:themeColor="accent1" w:themeShade="BF"/>
      <w:szCs w:val="32"/>
      <w:lang w:val="es-ES"/>
    </w:rPr>
  </w:style>
  <w:style w:type="character" w:customStyle="1" w:styleId="PrrafodelistaCar">
    <w:name w:val="Párrafo de lista Car"/>
    <w:aliases w:val="Numeración 1 Car,Cuadrícula media 1 - Énfasis 21 Car,4 Viñ 1nivel Car"/>
    <w:link w:val="Prrafodelista"/>
    <w:uiPriority w:val="34"/>
    <w:rsid w:val="001B4405"/>
    <w:rPr>
      <w:rFonts w:ascii="ITC Avant Garde" w:hAnsi="ITC Avant Garde"/>
      <w:lang w:val="es-ES"/>
    </w:rPr>
  </w:style>
  <w:style w:type="paragraph" w:styleId="Sinespaciado">
    <w:name w:val="No Spacing"/>
    <w:basedOn w:val="Normal"/>
    <w:link w:val="SinespaciadoCar"/>
    <w:uiPriority w:val="1"/>
    <w:qFormat/>
    <w:rsid w:val="00334C52"/>
    <w:pPr>
      <w:spacing w:before="0" w:after="0" w:line="240" w:lineRule="auto"/>
    </w:pPr>
    <w:rPr>
      <w:rFonts w:eastAsia="Calibri" w:cs="Times New Roman"/>
      <w:lang w:val="es-MX"/>
    </w:rPr>
  </w:style>
  <w:style w:type="character" w:customStyle="1" w:styleId="SinespaciadoCar">
    <w:name w:val="Sin espaciado Car"/>
    <w:basedOn w:val="Fuentedeprrafopredeter"/>
    <w:link w:val="Sinespaciado"/>
    <w:uiPriority w:val="1"/>
    <w:rsid w:val="00334C52"/>
    <w:rPr>
      <w:rFonts w:ascii="ITC Avant Garde" w:eastAsia="Calibri" w:hAnsi="ITC Avant Garde" w:cs="Times New Roman"/>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F56FC7"/>
    <w:pPr>
      <w:spacing w:before="0" w:after="0" w:line="240" w:lineRule="auto"/>
    </w:pPr>
    <w:rPr>
      <w:sz w:val="16"/>
      <w:szCs w:val="16"/>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56FC7"/>
    <w:rPr>
      <w:rFonts w:ascii="ITC Avant Garde" w:hAnsi="ITC Avant Garde"/>
      <w:sz w:val="16"/>
      <w:szCs w:val="16"/>
      <w:lang w:val="es-ES"/>
    </w:rPr>
  </w:style>
  <w:style w:type="character" w:styleId="Refdenotaalpie">
    <w:name w:val="footnote reference"/>
    <w:aliases w:val="Ref. de nota al pie 2,Footnotes refss,Texto de nota al pie,Ref,de nota al pie,Appel note de bas de page,fr,(NECG) Footnote Reference,o,Appel note de bas de p,Style 12,Style 124,Style 13,Style 3,Style 17,FR,Footnote Reference/,callout"/>
    <w:basedOn w:val="Fuentedeprrafopredeter"/>
    <w:uiPriority w:val="99"/>
    <w:unhideWhenUsed/>
    <w:qFormat/>
    <w:rsid w:val="00A70F7F"/>
    <w:rPr>
      <w:vertAlign w:val="superscript"/>
    </w:rPr>
  </w:style>
  <w:style w:type="paragraph" w:styleId="TDC1">
    <w:name w:val="toc 1"/>
    <w:basedOn w:val="Normal"/>
    <w:next w:val="Normal"/>
    <w:autoRedefine/>
    <w:uiPriority w:val="39"/>
    <w:unhideWhenUsed/>
    <w:rsid w:val="00A70F7F"/>
    <w:pPr>
      <w:spacing w:after="100"/>
    </w:pPr>
  </w:style>
  <w:style w:type="paragraph" w:styleId="Cita">
    <w:name w:val="Quote"/>
    <w:basedOn w:val="Normal"/>
    <w:next w:val="Normal"/>
    <w:link w:val="CitaCar"/>
    <w:autoRedefine/>
    <w:uiPriority w:val="29"/>
    <w:qFormat/>
    <w:rsid w:val="00455281"/>
    <w:pPr>
      <w:spacing w:before="80" w:after="80"/>
      <w:ind w:left="567" w:right="851"/>
    </w:pPr>
    <w:rPr>
      <w:i/>
      <w:iCs/>
      <w:color w:val="404040" w:themeColor="text1" w:themeTint="BF"/>
      <w:sz w:val="20"/>
    </w:rPr>
  </w:style>
  <w:style w:type="character" w:customStyle="1" w:styleId="CitaCar">
    <w:name w:val="Cita Car"/>
    <w:basedOn w:val="Fuentedeprrafopredeter"/>
    <w:link w:val="Cita"/>
    <w:uiPriority w:val="29"/>
    <w:rsid w:val="00455281"/>
    <w:rPr>
      <w:rFonts w:ascii="ITC Avant Garde" w:hAnsi="ITC Avant Garde"/>
      <w:i/>
      <w:iCs/>
      <w:color w:val="404040" w:themeColor="text1" w:themeTint="BF"/>
      <w:sz w:val="20"/>
      <w:lang w:val="es-ES"/>
    </w:rPr>
  </w:style>
  <w:style w:type="character" w:customStyle="1" w:styleId="Ttulo5Car">
    <w:name w:val="Título 5 Car"/>
    <w:basedOn w:val="Fuentedeprrafopredeter"/>
    <w:link w:val="Ttulo5"/>
    <w:uiPriority w:val="9"/>
    <w:semiHidden/>
    <w:rsid w:val="00466854"/>
    <w:rPr>
      <w:rFonts w:asciiTheme="majorHAnsi" w:eastAsiaTheme="majorEastAsia" w:hAnsiTheme="majorHAnsi" w:cstheme="majorBidi"/>
      <w:color w:val="365F91" w:themeColor="accent1" w:themeShade="BF"/>
      <w:lang w:val="es-ES"/>
    </w:rPr>
  </w:style>
  <w:style w:type="paragraph" w:styleId="Subttulo">
    <w:name w:val="Subtitle"/>
    <w:basedOn w:val="Normal"/>
    <w:next w:val="Normal"/>
    <w:link w:val="SubttuloCar"/>
    <w:uiPriority w:val="11"/>
    <w:qFormat/>
    <w:rsid w:val="00AD488F"/>
    <w:pPr>
      <w:keepNext/>
      <w:numPr>
        <w:ilvl w:val="1"/>
      </w:numPr>
      <w:spacing w:after="160"/>
    </w:pPr>
    <w:rPr>
      <w:rFonts w:eastAsiaTheme="minorEastAsia"/>
      <w:b/>
      <w:color w:val="365F91" w:themeColor="accent1" w:themeShade="BF"/>
      <w:spacing w:val="15"/>
    </w:rPr>
  </w:style>
  <w:style w:type="character" w:customStyle="1" w:styleId="SubttuloCar">
    <w:name w:val="Subtítulo Car"/>
    <w:basedOn w:val="Fuentedeprrafopredeter"/>
    <w:link w:val="Subttulo"/>
    <w:uiPriority w:val="11"/>
    <w:rsid w:val="00AD488F"/>
    <w:rPr>
      <w:rFonts w:ascii="ITC Avant Garde" w:eastAsiaTheme="minorEastAsia" w:hAnsi="ITC Avant Garde"/>
      <w:b/>
      <w:color w:val="365F91" w:themeColor="accent1" w:themeShade="BF"/>
      <w:spacing w:val="15"/>
      <w:lang w:val="es-ES"/>
    </w:rPr>
  </w:style>
  <w:style w:type="character" w:styleId="Refdecomentario">
    <w:name w:val="annotation reference"/>
    <w:basedOn w:val="Fuentedeprrafopredeter"/>
    <w:uiPriority w:val="99"/>
    <w:semiHidden/>
    <w:unhideWhenUsed/>
    <w:rsid w:val="00A11C90"/>
    <w:rPr>
      <w:sz w:val="16"/>
      <w:szCs w:val="16"/>
    </w:rPr>
  </w:style>
  <w:style w:type="paragraph" w:customStyle="1" w:styleId="Default">
    <w:name w:val="Default"/>
    <w:rsid w:val="00A11C90"/>
    <w:pPr>
      <w:autoSpaceDE w:val="0"/>
      <w:autoSpaceDN w:val="0"/>
      <w:adjustRightInd w:val="0"/>
      <w:spacing w:after="0" w:line="240" w:lineRule="auto"/>
    </w:pPr>
    <w:rPr>
      <w:rFonts w:ascii="Tahoma" w:eastAsia="Calibri" w:hAnsi="Tahoma" w:cs="Tahoma"/>
      <w:color w:val="000000"/>
      <w:sz w:val="24"/>
      <w:szCs w:val="24"/>
      <w:lang w:val="es-MX" w:eastAsia="es-MX"/>
    </w:rPr>
  </w:style>
  <w:style w:type="table" w:styleId="Tabladecuadrcula4-nfasis3">
    <w:name w:val="Grid Table 4 Accent 3"/>
    <w:basedOn w:val="Tablanormal"/>
    <w:uiPriority w:val="49"/>
    <w:rsid w:val="00FD14B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3-nfasis3">
    <w:name w:val="List Table 3 Accent 3"/>
    <w:basedOn w:val="Tablanormal"/>
    <w:uiPriority w:val="48"/>
    <w:rsid w:val="00FD14B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apple-converted-space">
    <w:name w:val="apple-converted-space"/>
    <w:basedOn w:val="Fuentedeprrafopredeter"/>
    <w:rsid w:val="001341CB"/>
  </w:style>
  <w:style w:type="paragraph" w:styleId="NormalWeb">
    <w:name w:val="Normal (Web)"/>
    <w:basedOn w:val="Normal"/>
    <w:uiPriority w:val="99"/>
    <w:semiHidden/>
    <w:unhideWhenUsed/>
    <w:rsid w:val="001341CB"/>
    <w:pPr>
      <w:spacing w:before="100" w:beforeAutospacing="1" w:after="100" w:afterAutospacing="1" w:line="240" w:lineRule="auto"/>
      <w:jc w:val="left"/>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semiHidden/>
    <w:unhideWhenUsed/>
    <w:rsid w:val="001341CB"/>
    <w:rPr>
      <w:color w:val="800080" w:themeColor="followedHyperlink"/>
      <w:u w:val="single"/>
    </w:rPr>
  </w:style>
  <w:style w:type="character" w:styleId="nfasis">
    <w:name w:val="Emphasis"/>
    <w:basedOn w:val="Fuentedeprrafopredeter"/>
    <w:uiPriority w:val="20"/>
    <w:qFormat/>
    <w:rsid w:val="001341CB"/>
    <w:rPr>
      <w:i/>
      <w:iCs/>
    </w:rPr>
  </w:style>
  <w:style w:type="paragraph" w:styleId="Textocomentario">
    <w:name w:val="annotation text"/>
    <w:basedOn w:val="Normal"/>
    <w:link w:val="TextocomentarioCar"/>
    <w:uiPriority w:val="99"/>
    <w:unhideWhenUsed/>
    <w:rsid w:val="00F77BE2"/>
    <w:pPr>
      <w:spacing w:line="240" w:lineRule="auto"/>
    </w:pPr>
    <w:rPr>
      <w:sz w:val="20"/>
      <w:szCs w:val="20"/>
    </w:rPr>
  </w:style>
  <w:style w:type="character" w:customStyle="1" w:styleId="TextocomentarioCar">
    <w:name w:val="Texto comentario Car"/>
    <w:basedOn w:val="Fuentedeprrafopredeter"/>
    <w:link w:val="Textocomentario"/>
    <w:uiPriority w:val="99"/>
    <w:rsid w:val="00F77BE2"/>
    <w:rPr>
      <w:rFonts w:ascii="ITC Avant Garde" w:hAnsi="ITC Avant Garde"/>
      <w:sz w:val="20"/>
      <w:szCs w:val="20"/>
      <w:lang w:val="es-ES"/>
    </w:rPr>
  </w:style>
  <w:style w:type="paragraph" w:styleId="Asuntodelcomentario">
    <w:name w:val="annotation subject"/>
    <w:basedOn w:val="Textocomentario"/>
    <w:next w:val="Textocomentario"/>
    <w:link w:val="AsuntodelcomentarioCar"/>
    <w:uiPriority w:val="99"/>
    <w:semiHidden/>
    <w:unhideWhenUsed/>
    <w:rsid w:val="00F77BE2"/>
    <w:rPr>
      <w:b/>
      <w:bCs/>
    </w:rPr>
  </w:style>
  <w:style w:type="character" w:customStyle="1" w:styleId="AsuntodelcomentarioCar">
    <w:name w:val="Asunto del comentario Car"/>
    <w:basedOn w:val="TextocomentarioCar"/>
    <w:link w:val="Asuntodelcomentario"/>
    <w:uiPriority w:val="99"/>
    <w:semiHidden/>
    <w:rsid w:val="00F77BE2"/>
    <w:rPr>
      <w:rFonts w:ascii="ITC Avant Garde" w:hAnsi="ITC Avant Garde"/>
      <w:b/>
      <w:bCs/>
      <w:sz w:val="20"/>
      <w:szCs w:val="20"/>
      <w:lang w:val="es-ES"/>
    </w:rPr>
  </w:style>
  <w:style w:type="paragraph" w:styleId="Revisin">
    <w:name w:val="Revision"/>
    <w:hidden/>
    <w:uiPriority w:val="99"/>
    <w:semiHidden/>
    <w:rsid w:val="000A3EEF"/>
    <w:pPr>
      <w:spacing w:after="0" w:line="240" w:lineRule="auto"/>
    </w:pPr>
    <w:rPr>
      <w:rFonts w:ascii="ITC Avant Garde" w:hAnsi="ITC Avant Garde"/>
      <w:lang w:val="es-ES"/>
    </w:rPr>
  </w:style>
  <w:style w:type="character" w:customStyle="1" w:styleId="Ninguno">
    <w:name w:val="Ninguno"/>
    <w:rsid w:val="00D25B9A"/>
  </w:style>
  <w:style w:type="table" w:styleId="Tablanormal4">
    <w:name w:val="Plain Table 4"/>
    <w:basedOn w:val="Tablanormal"/>
    <w:uiPriority w:val="44"/>
    <w:rsid w:val="00BD77B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o">
    <w:name w:val="Texto"/>
    <w:basedOn w:val="Normal"/>
    <w:link w:val="TextoCar"/>
    <w:rsid w:val="00E532A3"/>
    <w:pPr>
      <w:spacing w:before="0" w:after="101" w:line="216" w:lineRule="exact"/>
      <w:ind w:firstLine="288"/>
    </w:pPr>
    <w:rPr>
      <w:rFonts w:ascii="Arial" w:eastAsia="Times New Roman" w:hAnsi="Arial" w:cs="Arial"/>
      <w:sz w:val="18"/>
      <w:szCs w:val="20"/>
      <w:lang w:eastAsia="es-ES"/>
    </w:rPr>
  </w:style>
  <w:style w:type="character" w:customStyle="1" w:styleId="TextoCar">
    <w:name w:val="Texto Car"/>
    <w:link w:val="Texto"/>
    <w:locked/>
    <w:rsid w:val="00E532A3"/>
    <w:rPr>
      <w:rFonts w:ascii="Arial" w:eastAsia="Times New Roman" w:hAnsi="Arial" w:cs="Arial"/>
      <w:sz w:val="18"/>
      <w:szCs w:val="20"/>
      <w:lang w:val="es-ES" w:eastAsia="es-ES"/>
    </w:rPr>
  </w:style>
  <w:style w:type="paragraph" w:customStyle="1" w:styleId="NormalIFT">
    <w:name w:val="Normal IFT"/>
    <w:basedOn w:val="Prrafodelista"/>
    <w:link w:val="NormalIFTCar"/>
    <w:qFormat/>
    <w:rsid w:val="00E532A3"/>
    <w:pPr>
      <w:numPr>
        <w:numId w:val="101"/>
      </w:numPr>
      <w:autoSpaceDE w:val="0"/>
      <w:autoSpaceDN w:val="0"/>
      <w:adjustRightInd w:val="0"/>
      <w:spacing w:before="0" w:after="0" w:line="240" w:lineRule="auto"/>
    </w:pPr>
    <w:rPr>
      <w:rFonts w:eastAsia="Times New Roman" w:cs="Times New Roman"/>
      <w:bCs/>
      <w:color w:val="000000"/>
      <w:sz w:val="24"/>
      <w:szCs w:val="24"/>
      <w:lang w:val="es-ES_tradnl" w:eastAsia="es-ES"/>
    </w:rPr>
  </w:style>
  <w:style w:type="character" w:customStyle="1" w:styleId="NormalIFTCar">
    <w:name w:val="Normal IFT Car"/>
    <w:link w:val="NormalIFT"/>
    <w:rsid w:val="00E532A3"/>
    <w:rPr>
      <w:rFonts w:ascii="ITC Avant Garde" w:eastAsia="Times New Roman" w:hAnsi="ITC Avant Garde" w:cs="Times New Roman"/>
      <w:bCs/>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2983">
      <w:bodyDiv w:val="1"/>
      <w:marLeft w:val="0"/>
      <w:marRight w:val="0"/>
      <w:marTop w:val="0"/>
      <w:marBottom w:val="0"/>
      <w:divBdr>
        <w:top w:val="none" w:sz="0" w:space="0" w:color="auto"/>
        <w:left w:val="none" w:sz="0" w:space="0" w:color="auto"/>
        <w:bottom w:val="none" w:sz="0" w:space="0" w:color="auto"/>
        <w:right w:val="none" w:sz="0" w:space="0" w:color="auto"/>
      </w:divBdr>
    </w:div>
    <w:div w:id="901717651">
      <w:bodyDiv w:val="1"/>
      <w:marLeft w:val="0"/>
      <w:marRight w:val="0"/>
      <w:marTop w:val="0"/>
      <w:marBottom w:val="0"/>
      <w:divBdr>
        <w:top w:val="none" w:sz="0" w:space="0" w:color="auto"/>
        <w:left w:val="none" w:sz="0" w:space="0" w:color="auto"/>
        <w:bottom w:val="none" w:sz="0" w:space="0" w:color="auto"/>
        <w:right w:val="none" w:sz="0" w:space="0" w:color="auto"/>
      </w:divBdr>
      <w:divsChild>
        <w:div w:id="13000248">
          <w:marLeft w:val="0"/>
          <w:marRight w:val="0"/>
          <w:marTop w:val="0"/>
          <w:marBottom w:val="84"/>
          <w:divBdr>
            <w:top w:val="none" w:sz="0" w:space="0" w:color="auto"/>
            <w:left w:val="none" w:sz="0" w:space="0" w:color="auto"/>
            <w:bottom w:val="none" w:sz="0" w:space="0" w:color="auto"/>
            <w:right w:val="none" w:sz="0" w:space="0" w:color="auto"/>
          </w:divBdr>
        </w:div>
        <w:div w:id="940838198">
          <w:marLeft w:val="0"/>
          <w:marRight w:val="0"/>
          <w:marTop w:val="0"/>
          <w:marBottom w:val="84"/>
          <w:divBdr>
            <w:top w:val="none" w:sz="0" w:space="0" w:color="auto"/>
            <w:left w:val="none" w:sz="0" w:space="0" w:color="auto"/>
            <w:bottom w:val="none" w:sz="0" w:space="0" w:color="auto"/>
            <w:right w:val="none" w:sz="0" w:space="0" w:color="auto"/>
          </w:divBdr>
        </w:div>
        <w:div w:id="1814061211">
          <w:marLeft w:val="0"/>
          <w:marRight w:val="0"/>
          <w:marTop w:val="0"/>
          <w:marBottom w:val="84"/>
          <w:divBdr>
            <w:top w:val="none" w:sz="0" w:space="0" w:color="auto"/>
            <w:left w:val="none" w:sz="0" w:space="0" w:color="auto"/>
            <w:bottom w:val="none" w:sz="0" w:space="0" w:color="auto"/>
            <w:right w:val="none" w:sz="0" w:space="0" w:color="auto"/>
          </w:divBdr>
        </w:div>
      </w:divsChild>
    </w:div>
    <w:div w:id="1032879602">
      <w:bodyDiv w:val="1"/>
      <w:marLeft w:val="0"/>
      <w:marRight w:val="0"/>
      <w:marTop w:val="0"/>
      <w:marBottom w:val="0"/>
      <w:divBdr>
        <w:top w:val="none" w:sz="0" w:space="0" w:color="auto"/>
        <w:left w:val="none" w:sz="0" w:space="0" w:color="auto"/>
        <w:bottom w:val="none" w:sz="0" w:space="0" w:color="auto"/>
        <w:right w:val="none" w:sz="0" w:space="0" w:color="auto"/>
      </w:divBdr>
      <w:divsChild>
        <w:div w:id="1813327319">
          <w:marLeft w:val="0"/>
          <w:marRight w:val="0"/>
          <w:marTop w:val="0"/>
          <w:marBottom w:val="0"/>
          <w:divBdr>
            <w:top w:val="none" w:sz="0" w:space="0" w:color="auto"/>
            <w:left w:val="none" w:sz="0" w:space="0" w:color="auto"/>
            <w:bottom w:val="none" w:sz="0" w:space="0" w:color="auto"/>
            <w:right w:val="none" w:sz="0" w:space="0" w:color="auto"/>
          </w:divBdr>
        </w:div>
        <w:div w:id="636297994">
          <w:marLeft w:val="0"/>
          <w:marRight w:val="0"/>
          <w:marTop w:val="0"/>
          <w:marBottom w:val="0"/>
          <w:divBdr>
            <w:top w:val="none" w:sz="0" w:space="0" w:color="auto"/>
            <w:left w:val="single" w:sz="6" w:space="11" w:color="DDDDDD"/>
            <w:bottom w:val="none" w:sz="0" w:space="0" w:color="auto"/>
            <w:right w:val="none" w:sz="0" w:space="0" w:color="auto"/>
          </w:divBdr>
        </w:div>
      </w:divsChild>
    </w:div>
    <w:div w:id="1147472339">
      <w:bodyDiv w:val="1"/>
      <w:marLeft w:val="0"/>
      <w:marRight w:val="0"/>
      <w:marTop w:val="0"/>
      <w:marBottom w:val="0"/>
      <w:divBdr>
        <w:top w:val="none" w:sz="0" w:space="0" w:color="auto"/>
        <w:left w:val="none" w:sz="0" w:space="0" w:color="auto"/>
        <w:bottom w:val="none" w:sz="0" w:space="0" w:color="auto"/>
        <w:right w:val="none" w:sz="0" w:space="0" w:color="auto"/>
      </w:divBdr>
      <w:divsChild>
        <w:div w:id="132452870">
          <w:marLeft w:val="0"/>
          <w:marRight w:val="0"/>
          <w:marTop w:val="0"/>
          <w:marBottom w:val="101"/>
          <w:divBdr>
            <w:top w:val="none" w:sz="0" w:space="0" w:color="auto"/>
            <w:left w:val="none" w:sz="0" w:space="0" w:color="auto"/>
            <w:bottom w:val="none" w:sz="0" w:space="0" w:color="auto"/>
            <w:right w:val="none" w:sz="0" w:space="0" w:color="auto"/>
          </w:divBdr>
        </w:div>
        <w:div w:id="2121214540">
          <w:marLeft w:val="0"/>
          <w:marRight w:val="0"/>
          <w:marTop w:val="0"/>
          <w:marBottom w:val="101"/>
          <w:divBdr>
            <w:top w:val="none" w:sz="0" w:space="0" w:color="auto"/>
            <w:left w:val="none" w:sz="0" w:space="0" w:color="auto"/>
            <w:bottom w:val="none" w:sz="0" w:space="0" w:color="auto"/>
            <w:right w:val="none" w:sz="0" w:space="0" w:color="auto"/>
          </w:divBdr>
        </w:div>
      </w:divsChild>
    </w:div>
    <w:div w:id="1743678358">
      <w:bodyDiv w:val="1"/>
      <w:marLeft w:val="0"/>
      <w:marRight w:val="0"/>
      <w:marTop w:val="0"/>
      <w:marBottom w:val="0"/>
      <w:divBdr>
        <w:top w:val="none" w:sz="0" w:space="0" w:color="auto"/>
        <w:left w:val="none" w:sz="0" w:space="0" w:color="auto"/>
        <w:bottom w:val="none" w:sz="0" w:space="0" w:color="auto"/>
        <w:right w:val="none" w:sz="0" w:space="0" w:color="auto"/>
      </w:divBdr>
    </w:div>
    <w:div w:id="2012296687">
      <w:bodyDiv w:val="1"/>
      <w:marLeft w:val="0"/>
      <w:marRight w:val="0"/>
      <w:marTop w:val="0"/>
      <w:marBottom w:val="0"/>
      <w:divBdr>
        <w:top w:val="none" w:sz="0" w:space="0" w:color="auto"/>
        <w:left w:val="none" w:sz="0" w:space="0" w:color="auto"/>
        <w:bottom w:val="none" w:sz="0" w:space="0" w:color="auto"/>
        <w:right w:val="none" w:sz="0" w:space="0" w:color="auto"/>
      </w:divBdr>
    </w:div>
    <w:div w:id="2039626265">
      <w:bodyDiv w:val="1"/>
      <w:marLeft w:val="0"/>
      <w:marRight w:val="0"/>
      <w:marTop w:val="0"/>
      <w:marBottom w:val="0"/>
      <w:divBdr>
        <w:top w:val="none" w:sz="0" w:space="0" w:color="auto"/>
        <w:left w:val="none" w:sz="0" w:space="0" w:color="auto"/>
        <w:bottom w:val="none" w:sz="0" w:space="0" w:color="auto"/>
        <w:right w:val="none" w:sz="0" w:space="0" w:color="auto"/>
      </w:divBdr>
      <w:divsChild>
        <w:div w:id="553274865">
          <w:marLeft w:val="0"/>
          <w:marRight w:val="0"/>
          <w:marTop w:val="0"/>
          <w:marBottom w:val="101"/>
          <w:divBdr>
            <w:top w:val="none" w:sz="0" w:space="0" w:color="auto"/>
            <w:left w:val="none" w:sz="0" w:space="0" w:color="auto"/>
            <w:bottom w:val="none" w:sz="0" w:space="0" w:color="auto"/>
            <w:right w:val="none" w:sz="0" w:space="0" w:color="auto"/>
          </w:divBdr>
        </w:div>
        <w:div w:id="855197524">
          <w:marLeft w:val="0"/>
          <w:marRight w:val="0"/>
          <w:marTop w:val="0"/>
          <w:marBottom w:val="101"/>
          <w:divBdr>
            <w:top w:val="none" w:sz="0" w:space="0" w:color="auto"/>
            <w:left w:val="none" w:sz="0" w:space="0" w:color="auto"/>
            <w:bottom w:val="none" w:sz="0" w:space="0" w:color="auto"/>
            <w:right w:val="none" w:sz="0" w:space="0" w:color="auto"/>
          </w:divBdr>
        </w:div>
      </w:divsChild>
    </w:div>
    <w:div w:id="2088578121">
      <w:bodyDiv w:val="1"/>
      <w:marLeft w:val="0"/>
      <w:marRight w:val="0"/>
      <w:marTop w:val="0"/>
      <w:marBottom w:val="0"/>
      <w:divBdr>
        <w:top w:val="none" w:sz="0" w:space="0" w:color="auto"/>
        <w:left w:val="none" w:sz="0" w:space="0" w:color="auto"/>
        <w:bottom w:val="none" w:sz="0" w:space="0" w:color="auto"/>
        <w:right w:val="none" w:sz="0" w:space="0" w:color="auto"/>
      </w:divBdr>
      <w:divsChild>
        <w:div w:id="1695686349">
          <w:marLeft w:val="0"/>
          <w:marRight w:val="0"/>
          <w:marTop w:val="0"/>
          <w:marBottom w:val="90"/>
          <w:divBdr>
            <w:top w:val="none" w:sz="0" w:space="0" w:color="auto"/>
            <w:left w:val="none" w:sz="0" w:space="0" w:color="auto"/>
            <w:bottom w:val="none" w:sz="0" w:space="0" w:color="auto"/>
            <w:right w:val="none" w:sz="0" w:space="0" w:color="auto"/>
          </w:divBdr>
        </w:div>
        <w:div w:id="720206968">
          <w:marLeft w:val="0"/>
          <w:marRight w:val="0"/>
          <w:marTop w:val="0"/>
          <w:marBottom w:val="90"/>
          <w:divBdr>
            <w:top w:val="none" w:sz="0" w:space="0" w:color="auto"/>
            <w:left w:val="none" w:sz="0" w:space="0" w:color="auto"/>
            <w:bottom w:val="none" w:sz="0" w:space="0" w:color="auto"/>
            <w:right w:val="none" w:sz="0" w:space="0" w:color="auto"/>
          </w:divBdr>
        </w:div>
        <w:div w:id="615449072">
          <w:marLeft w:val="0"/>
          <w:marRight w:val="0"/>
          <w:marTop w:val="0"/>
          <w:marBottom w:val="90"/>
          <w:divBdr>
            <w:top w:val="none" w:sz="0" w:space="0" w:color="auto"/>
            <w:left w:val="none" w:sz="0" w:space="0" w:color="auto"/>
            <w:bottom w:val="none" w:sz="0" w:space="0" w:color="auto"/>
            <w:right w:val="none" w:sz="0" w:space="0" w:color="auto"/>
          </w:divBdr>
        </w:div>
        <w:div w:id="1788691842">
          <w:marLeft w:val="0"/>
          <w:marRight w:val="0"/>
          <w:marTop w:val="0"/>
          <w:marBottom w:val="90"/>
          <w:divBdr>
            <w:top w:val="none" w:sz="0" w:space="0" w:color="auto"/>
            <w:left w:val="none" w:sz="0" w:space="0" w:color="auto"/>
            <w:bottom w:val="none" w:sz="0" w:space="0" w:color="auto"/>
            <w:right w:val="none" w:sz="0" w:space="0" w:color="auto"/>
          </w:divBdr>
        </w:div>
        <w:div w:id="538396347">
          <w:marLeft w:val="0"/>
          <w:marRight w:val="0"/>
          <w:marTop w:val="0"/>
          <w:marBottom w:val="90"/>
          <w:divBdr>
            <w:top w:val="none" w:sz="0" w:space="0" w:color="auto"/>
            <w:left w:val="none" w:sz="0" w:space="0" w:color="auto"/>
            <w:bottom w:val="none" w:sz="0" w:space="0" w:color="auto"/>
            <w:right w:val="none" w:sz="0" w:space="0" w:color="auto"/>
          </w:divBdr>
        </w:div>
        <w:div w:id="125855154">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nbv.gob.mx/SECTORES-SUPERVISADOS/SOCIEDADES-DE-INVERSION/Paginas/Descripci%C3%B3n-del-Sector.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12F03A80C9441F8BDA962F6906DFCE"/>
        <w:category>
          <w:name w:val="General"/>
          <w:gallery w:val="placeholder"/>
        </w:category>
        <w:types>
          <w:type w:val="bbPlcHdr"/>
        </w:types>
        <w:behaviors>
          <w:behavior w:val="content"/>
        </w:behaviors>
        <w:guid w:val="{F01CABEA-7618-4580-9B86-E26936062142}"/>
      </w:docPartPr>
      <w:docPartBody>
        <w:p w:rsidR="00E75383" w:rsidRDefault="00E75383" w:rsidP="00E75383">
          <w:pPr>
            <w:pStyle w:val="A512F03A80C9441F8BDA962F6906DFCE"/>
          </w:pPr>
          <w:r>
            <w:rPr>
              <w:rFonts w:asciiTheme="majorHAnsi" w:hAnsiTheme="majorHAnsi"/>
              <w:b/>
              <w:bCs/>
              <w:color w:val="1F4E79" w:themeColor="accent1" w:themeShade="80"/>
              <w:sz w:val="28"/>
              <w:szCs w:val="28"/>
            </w:rPr>
            <w:t>Bloc de informes</w:t>
          </w:r>
        </w:p>
      </w:docPartBody>
    </w:docPart>
    <w:docPart>
      <w:docPartPr>
        <w:name w:val="CC4C32B6C69245EFAA8DCA19AFA7E159"/>
        <w:category>
          <w:name w:val="General"/>
          <w:gallery w:val="placeholder"/>
        </w:category>
        <w:types>
          <w:type w:val="bbPlcHdr"/>
        </w:types>
        <w:behaviors>
          <w:behavior w:val="content"/>
        </w:behaviors>
        <w:guid w:val="{1717B94F-8315-48E4-A303-B0DE35E3C68A}"/>
      </w:docPartPr>
      <w:docPartBody>
        <w:p w:rsidR="00E75383" w:rsidRDefault="00E75383" w:rsidP="00E75383">
          <w:pPr>
            <w:pStyle w:val="CC4C32B6C69245EFAA8DCA19AFA7E159"/>
          </w:pPr>
          <w:r>
            <w:rPr>
              <w:rFonts w:asciiTheme="majorHAnsi" w:hAnsiTheme="majorHAnsi"/>
              <w:b/>
              <w:bCs/>
              <w:color w:val="1F4E79" w:themeColor="accent1" w:themeShade="80"/>
              <w:sz w:val="24"/>
              <w:szCs w:val="24"/>
            </w:rPr>
            <w:t>NÚMERO DE AULA</w:t>
          </w:r>
        </w:p>
      </w:docPartBody>
    </w:docPart>
    <w:docPart>
      <w:docPartPr>
        <w:name w:val="64761DDC51BC48CCBC49FB6CCD87CA4E"/>
        <w:category>
          <w:name w:val="General"/>
          <w:gallery w:val="placeholder"/>
        </w:category>
        <w:types>
          <w:type w:val="bbPlcHdr"/>
        </w:types>
        <w:behaviors>
          <w:behavior w:val="content"/>
        </w:behaviors>
        <w:guid w:val="{AE67192A-ACD9-4B89-8660-E5E7DC24955E}"/>
      </w:docPartPr>
      <w:docPartBody>
        <w:p w:rsidR="00563DF0" w:rsidRDefault="00563DF0" w:rsidP="00563DF0">
          <w:pPr>
            <w:pStyle w:val="64761DDC51BC48CCBC49FB6CCD87CA4E"/>
          </w:pPr>
          <w:r>
            <w:rPr>
              <w:rFonts w:asciiTheme="majorHAnsi" w:hAnsiTheme="majorHAnsi"/>
              <w:b/>
              <w:bCs/>
              <w:color w:val="1F4E79" w:themeColor="accent1" w:themeShade="80"/>
              <w:sz w:val="32"/>
              <w:szCs w:val="32"/>
            </w:rPr>
            <w:t>Nombre de la clase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83"/>
    <w:rsid w:val="0001586F"/>
    <w:rsid w:val="000437E0"/>
    <w:rsid w:val="000A0C49"/>
    <w:rsid w:val="001C0FDB"/>
    <w:rsid w:val="001F2E1F"/>
    <w:rsid w:val="002375CC"/>
    <w:rsid w:val="00237F5F"/>
    <w:rsid w:val="00243A10"/>
    <w:rsid w:val="00316C73"/>
    <w:rsid w:val="003803B8"/>
    <w:rsid w:val="003F2697"/>
    <w:rsid w:val="00401E84"/>
    <w:rsid w:val="0045446F"/>
    <w:rsid w:val="004B6F66"/>
    <w:rsid w:val="004C040E"/>
    <w:rsid w:val="004D51A7"/>
    <w:rsid w:val="005105A0"/>
    <w:rsid w:val="00510D14"/>
    <w:rsid w:val="00561103"/>
    <w:rsid w:val="00563DF0"/>
    <w:rsid w:val="005651B5"/>
    <w:rsid w:val="00591579"/>
    <w:rsid w:val="005C5399"/>
    <w:rsid w:val="005E16D0"/>
    <w:rsid w:val="005E39BF"/>
    <w:rsid w:val="00642D6B"/>
    <w:rsid w:val="00660962"/>
    <w:rsid w:val="00666716"/>
    <w:rsid w:val="006713C4"/>
    <w:rsid w:val="006F4BDF"/>
    <w:rsid w:val="00734BB9"/>
    <w:rsid w:val="007B6D8C"/>
    <w:rsid w:val="007D7585"/>
    <w:rsid w:val="007E1487"/>
    <w:rsid w:val="008D1949"/>
    <w:rsid w:val="008F6AF7"/>
    <w:rsid w:val="00975362"/>
    <w:rsid w:val="009F42FA"/>
    <w:rsid w:val="00A17EE0"/>
    <w:rsid w:val="00A20CBA"/>
    <w:rsid w:val="00A212E0"/>
    <w:rsid w:val="00A40530"/>
    <w:rsid w:val="00A7743A"/>
    <w:rsid w:val="00AC06D5"/>
    <w:rsid w:val="00AD5570"/>
    <w:rsid w:val="00B03A16"/>
    <w:rsid w:val="00B83C23"/>
    <w:rsid w:val="00BA4118"/>
    <w:rsid w:val="00C13743"/>
    <w:rsid w:val="00C97E61"/>
    <w:rsid w:val="00CE6C04"/>
    <w:rsid w:val="00E30835"/>
    <w:rsid w:val="00E630A8"/>
    <w:rsid w:val="00E75383"/>
    <w:rsid w:val="00F50B60"/>
    <w:rsid w:val="00F517AF"/>
    <w:rsid w:val="00FA3AD5"/>
    <w:rsid w:val="00FE1F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5383"/>
    <w:rPr>
      <w:color w:val="808080"/>
    </w:rPr>
  </w:style>
  <w:style w:type="paragraph" w:customStyle="1" w:styleId="80D57A0D844D467D83FBC2955F8619E8">
    <w:name w:val="80D57A0D844D467D83FBC2955F8619E8"/>
  </w:style>
  <w:style w:type="paragraph" w:customStyle="1" w:styleId="39E4DC7835484A58B62E13C1E7D3D4EE">
    <w:name w:val="39E4DC7835484A58B62E13C1E7D3D4EE"/>
  </w:style>
  <w:style w:type="paragraph" w:customStyle="1" w:styleId="DD05E52164304730926BBF2B466A86CF">
    <w:name w:val="DD05E52164304730926BBF2B466A86CF"/>
  </w:style>
  <w:style w:type="paragraph" w:customStyle="1" w:styleId="6128216983174837A7253B897E116562">
    <w:name w:val="6128216983174837A7253B897E116562"/>
  </w:style>
  <w:style w:type="paragraph" w:customStyle="1" w:styleId="22BBFA66058D45F1ABB014C2B6D86299">
    <w:name w:val="22BBFA66058D45F1ABB014C2B6D86299"/>
  </w:style>
  <w:style w:type="paragraph" w:customStyle="1" w:styleId="A228F4EB68D641FC8C2030BC79CAECC2">
    <w:name w:val="A228F4EB68D641FC8C2030BC79CAECC2"/>
  </w:style>
  <w:style w:type="paragraph" w:customStyle="1" w:styleId="3D6674E3B6514B3E9F52B8C471A2F771">
    <w:name w:val="3D6674E3B6514B3E9F52B8C471A2F771"/>
  </w:style>
  <w:style w:type="paragraph" w:customStyle="1" w:styleId="AF430EF7856F4B58B9FDE22C995915B0">
    <w:name w:val="AF430EF7856F4B58B9FDE22C995915B0"/>
  </w:style>
  <w:style w:type="paragraph" w:customStyle="1" w:styleId="470A87322F564EB1B70D1815BD8D69F5">
    <w:name w:val="470A87322F564EB1B70D1815BD8D69F5"/>
  </w:style>
  <w:style w:type="paragraph" w:customStyle="1" w:styleId="73BE06FC5B984ABF8B37FA7575607151">
    <w:name w:val="73BE06FC5B984ABF8B37FA7575607151"/>
  </w:style>
  <w:style w:type="paragraph" w:customStyle="1" w:styleId="A20D29995218463FB33F42BB6176F6E9">
    <w:name w:val="A20D29995218463FB33F42BB6176F6E9"/>
  </w:style>
  <w:style w:type="paragraph" w:customStyle="1" w:styleId="30CFDD58D0804F0789F347AAE6807CDB">
    <w:name w:val="30CFDD58D0804F0789F347AAE6807CDB"/>
  </w:style>
  <w:style w:type="paragraph" w:customStyle="1" w:styleId="6A59A6BC6CEF4F0EBB3E030910C8E7F5">
    <w:name w:val="6A59A6BC6CEF4F0EBB3E030910C8E7F5"/>
  </w:style>
  <w:style w:type="paragraph" w:customStyle="1" w:styleId="F11C9A7477A241549929604370CAC971">
    <w:name w:val="F11C9A7477A241549929604370CAC971"/>
  </w:style>
  <w:style w:type="paragraph" w:customStyle="1" w:styleId="E440236DE3AD4A0F81874601E16637D2">
    <w:name w:val="E440236DE3AD4A0F81874601E16637D2"/>
  </w:style>
  <w:style w:type="paragraph" w:customStyle="1" w:styleId="3DFA7E66BE4847499EBD36BEB5BE541F">
    <w:name w:val="3DFA7E66BE4847499EBD36BEB5BE541F"/>
  </w:style>
  <w:style w:type="paragraph" w:customStyle="1" w:styleId="2583B74CE3604729BE9F3EC4C8529239">
    <w:name w:val="2583B74CE3604729BE9F3EC4C8529239"/>
  </w:style>
  <w:style w:type="paragraph" w:customStyle="1" w:styleId="2A8C2C2332F34790A3E5C40A7BC4563C">
    <w:name w:val="2A8C2C2332F34790A3E5C40A7BC4563C"/>
  </w:style>
  <w:style w:type="paragraph" w:customStyle="1" w:styleId="EA01C77C500741F791E7D0A2720F57B1">
    <w:name w:val="EA01C77C500741F791E7D0A2720F57B1"/>
  </w:style>
  <w:style w:type="paragraph" w:customStyle="1" w:styleId="C435877DF8354151B8C022395B2FB51F">
    <w:name w:val="C435877DF8354151B8C022395B2FB51F"/>
  </w:style>
  <w:style w:type="paragraph" w:customStyle="1" w:styleId="C3A06577EB1A45348871640C757FFFE5">
    <w:name w:val="C3A06577EB1A45348871640C757FFFE5"/>
    <w:rsid w:val="00E75383"/>
  </w:style>
  <w:style w:type="paragraph" w:customStyle="1" w:styleId="A512F03A80C9441F8BDA962F6906DFCE">
    <w:name w:val="A512F03A80C9441F8BDA962F6906DFCE"/>
    <w:rsid w:val="00E75383"/>
  </w:style>
  <w:style w:type="paragraph" w:customStyle="1" w:styleId="9F6B1F41B5544E9EB0F8A5A03FAAFC3D">
    <w:name w:val="9F6B1F41B5544E9EB0F8A5A03FAAFC3D"/>
    <w:rsid w:val="00E75383"/>
  </w:style>
  <w:style w:type="paragraph" w:customStyle="1" w:styleId="CC4C32B6C69245EFAA8DCA19AFA7E159">
    <w:name w:val="CC4C32B6C69245EFAA8DCA19AFA7E159"/>
    <w:rsid w:val="00E75383"/>
  </w:style>
  <w:style w:type="paragraph" w:customStyle="1" w:styleId="4F4AD8C1BD15494DB2219E0D7F99E749">
    <w:name w:val="4F4AD8C1BD15494DB2219E0D7F99E749"/>
    <w:rsid w:val="00E75383"/>
  </w:style>
  <w:style w:type="paragraph" w:customStyle="1" w:styleId="23163B0F7A19454DACD62EF4086C38AF">
    <w:name w:val="23163B0F7A19454DACD62EF4086C38AF"/>
    <w:rsid w:val="00E75383"/>
  </w:style>
  <w:style w:type="paragraph" w:customStyle="1" w:styleId="889689FD2B4545199D6B856125A5004E">
    <w:name w:val="889689FD2B4545199D6B856125A5004E"/>
    <w:rsid w:val="00E75383"/>
  </w:style>
  <w:style w:type="paragraph" w:customStyle="1" w:styleId="64761DDC51BC48CCBC49FB6CCD87CA4E">
    <w:name w:val="64761DDC51BC48CCBC49FB6CCD87CA4E"/>
    <w:rsid w:val="00563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3965-FE3A-48A7-B615-61343A17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41795</Words>
  <Characters>229875</Characters>
  <Application>Microsoft Office Word</Application>
  <DocSecurity>0</DocSecurity>
  <Lines>1915</Lines>
  <Paragraphs>542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271128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2017-06-29T22:40:00Z</dcterms:created>
  <dcterms:modified xsi:type="dcterms:W3CDTF">2017-08-21T21:59:00Z</dcterms:modified>
  <cp:version/>
</cp:coreProperties>
</file>