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6755D" w14:textId="77777777" w:rsidR="001A6305" w:rsidRPr="001A6305" w:rsidRDefault="00E50078" w:rsidP="001A6305">
      <w:pPr>
        <w:pStyle w:val="Ttulo1"/>
        <w:keepLines/>
        <w:spacing w:before="240" w:after="240" w:line="240" w:lineRule="auto"/>
        <w:jc w:val="both"/>
        <w:rPr>
          <w:rFonts w:ascii="ITC Avant Garde" w:eastAsiaTheme="majorEastAsia" w:hAnsi="ITC Avant Garde" w:cstheme="majorBidi"/>
          <w:color w:val="000000" w:themeColor="text1"/>
          <w:szCs w:val="22"/>
          <w:lang w:eastAsia="es-MX"/>
        </w:rPr>
      </w:pPr>
      <w:bookmarkStart w:id="0" w:name="_GoBack"/>
      <w:r w:rsidRPr="001A6305">
        <w:rPr>
          <w:rFonts w:ascii="ITC Avant Garde" w:eastAsiaTheme="majorEastAsia" w:hAnsi="ITC Avant Garde" w:cstheme="majorBidi"/>
          <w:color w:val="000000" w:themeColor="text1"/>
          <w:szCs w:val="22"/>
          <w:lang w:eastAsia="es-MX"/>
        </w:rPr>
        <w:t>RESOLUCIÓN MEDIANTE LA CUAL EL PLENO DEL INSTITUTO FEDERAL DE TELECOMUNICACIONES</w:t>
      </w:r>
      <w:r w:rsidR="000877C5" w:rsidRPr="001A6305">
        <w:rPr>
          <w:rFonts w:ascii="ITC Avant Garde" w:eastAsiaTheme="majorEastAsia" w:hAnsi="ITC Avant Garde" w:cstheme="majorBidi"/>
          <w:color w:val="000000" w:themeColor="text1"/>
          <w:szCs w:val="22"/>
          <w:lang w:eastAsia="es-MX"/>
        </w:rPr>
        <w:t>,</w:t>
      </w:r>
      <w:r w:rsidRPr="001A6305">
        <w:rPr>
          <w:rFonts w:ascii="ITC Avant Garde" w:eastAsiaTheme="majorEastAsia" w:hAnsi="ITC Avant Garde" w:cstheme="majorBidi"/>
          <w:color w:val="000000" w:themeColor="text1"/>
          <w:szCs w:val="22"/>
          <w:lang w:eastAsia="es-MX"/>
        </w:rPr>
        <w:t xml:space="preserve"> EN CUMPLIMIENTO A LA EJECUTORIA DEL AMPARO EN REVISIÓN R.A.171/2016</w:t>
      </w:r>
      <w:r w:rsidR="000877C5" w:rsidRPr="001A6305">
        <w:rPr>
          <w:rFonts w:ascii="ITC Avant Garde" w:eastAsiaTheme="majorEastAsia" w:hAnsi="ITC Avant Garde" w:cstheme="majorBidi"/>
          <w:color w:val="000000" w:themeColor="text1"/>
          <w:szCs w:val="22"/>
          <w:lang w:eastAsia="es-MX"/>
        </w:rPr>
        <w:t>,</w:t>
      </w:r>
      <w:r w:rsidRPr="001A6305">
        <w:rPr>
          <w:rFonts w:ascii="ITC Avant Garde" w:eastAsiaTheme="majorEastAsia" w:hAnsi="ITC Avant Garde" w:cstheme="majorBidi"/>
          <w:color w:val="000000" w:themeColor="text1"/>
          <w:szCs w:val="22"/>
          <w:lang w:eastAsia="es-MX"/>
        </w:rPr>
        <w:t xml:space="preserve"> DEJA INSUBSISTENTE LA RESOLUCIÓN P/IFT/041115/512 Y </w:t>
      </w:r>
      <w:r w:rsidR="005843C4" w:rsidRPr="001A6305">
        <w:rPr>
          <w:rFonts w:ascii="ITC Avant Garde" w:eastAsiaTheme="majorEastAsia" w:hAnsi="ITC Avant Garde" w:cstheme="majorBidi"/>
          <w:color w:val="000000" w:themeColor="text1"/>
          <w:szCs w:val="22"/>
          <w:lang w:eastAsia="es-MX"/>
        </w:rPr>
        <w:t>ORDENA REPONER EL PROCEDIMIENTO DE</w:t>
      </w:r>
      <w:r w:rsidRPr="001A6305">
        <w:rPr>
          <w:rFonts w:ascii="ITC Avant Garde" w:eastAsiaTheme="majorEastAsia" w:hAnsi="ITC Avant Garde" w:cstheme="majorBidi"/>
          <w:color w:val="000000" w:themeColor="text1"/>
          <w:szCs w:val="22"/>
          <w:lang w:eastAsia="es-MX"/>
        </w:rPr>
        <w:t xml:space="preserve"> CONDICIONES DE INTERCONEXIÓN NO CONVENIDAS </w:t>
      </w:r>
      <w:r w:rsidR="00BF167B" w:rsidRPr="001A6305">
        <w:rPr>
          <w:rFonts w:ascii="ITC Avant Garde" w:eastAsiaTheme="majorEastAsia" w:hAnsi="ITC Avant Garde" w:cstheme="majorBidi"/>
          <w:color w:val="000000" w:themeColor="text1"/>
          <w:szCs w:val="22"/>
          <w:lang w:eastAsia="es-MX"/>
        </w:rPr>
        <w:t>ENTRE</w:t>
      </w:r>
      <w:r w:rsidR="00B23E72" w:rsidRPr="001A6305">
        <w:rPr>
          <w:rFonts w:ascii="ITC Avant Garde" w:eastAsiaTheme="majorEastAsia" w:hAnsi="ITC Avant Garde" w:cstheme="majorBidi"/>
          <w:color w:val="000000" w:themeColor="text1"/>
          <w:szCs w:val="22"/>
          <w:lang w:eastAsia="es-MX"/>
        </w:rPr>
        <w:t xml:space="preserve"> LAS EMPRESAS</w:t>
      </w:r>
      <w:r w:rsidR="00BF167B" w:rsidRPr="001A6305">
        <w:rPr>
          <w:rFonts w:ascii="ITC Avant Garde" w:eastAsiaTheme="majorEastAsia" w:hAnsi="ITC Avant Garde" w:cstheme="majorBidi"/>
          <w:color w:val="000000" w:themeColor="text1"/>
          <w:szCs w:val="22"/>
          <w:lang w:eastAsia="es-MX"/>
        </w:rPr>
        <w:t xml:space="preserve"> TELÉFONOS DE MÉXICO, S.A.B. DE C.V.</w:t>
      </w:r>
      <w:r w:rsidR="00493838" w:rsidRPr="001A6305">
        <w:rPr>
          <w:rFonts w:ascii="ITC Avant Garde" w:eastAsiaTheme="majorEastAsia" w:hAnsi="ITC Avant Garde" w:cstheme="majorBidi"/>
          <w:color w:val="000000" w:themeColor="text1"/>
          <w:szCs w:val="22"/>
          <w:lang w:eastAsia="es-MX"/>
        </w:rPr>
        <w:t xml:space="preserve"> Y</w:t>
      </w:r>
      <w:r w:rsidR="008D7AA0" w:rsidRPr="001A6305">
        <w:rPr>
          <w:rFonts w:ascii="ITC Avant Garde" w:eastAsiaTheme="majorEastAsia" w:hAnsi="ITC Avant Garde" w:cstheme="majorBidi"/>
          <w:color w:val="000000" w:themeColor="text1"/>
          <w:szCs w:val="22"/>
          <w:lang w:eastAsia="es-MX"/>
        </w:rPr>
        <w:t xml:space="preserve"> </w:t>
      </w:r>
      <w:r w:rsidR="00EB0F83" w:rsidRPr="001A6305">
        <w:rPr>
          <w:rFonts w:ascii="ITC Avant Garde" w:eastAsiaTheme="majorEastAsia" w:hAnsi="ITC Avant Garde" w:cstheme="majorBidi"/>
          <w:color w:val="000000" w:themeColor="text1"/>
          <w:szCs w:val="22"/>
          <w:lang w:eastAsia="es-MX"/>
        </w:rPr>
        <w:t>TELÉFONOS DEL NOROESTE, S.A. DE C.V.</w:t>
      </w:r>
      <w:r w:rsidR="00870EE2" w:rsidRPr="001A6305">
        <w:rPr>
          <w:rFonts w:ascii="ITC Avant Garde" w:eastAsiaTheme="majorEastAsia" w:hAnsi="ITC Avant Garde" w:cstheme="majorBidi"/>
          <w:color w:val="000000" w:themeColor="text1"/>
          <w:szCs w:val="22"/>
          <w:lang w:eastAsia="es-MX"/>
        </w:rPr>
        <w:t xml:space="preserve"> Y </w:t>
      </w:r>
      <w:r w:rsidR="00F13EC7" w:rsidRPr="001A6305">
        <w:rPr>
          <w:rFonts w:ascii="ITC Avant Garde" w:eastAsiaTheme="majorEastAsia" w:hAnsi="ITC Avant Garde" w:cstheme="majorBidi"/>
          <w:color w:val="000000" w:themeColor="text1"/>
          <w:szCs w:val="22"/>
          <w:lang w:eastAsia="es-MX"/>
        </w:rPr>
        <w:t xml:space="preserve">LAS EMPRESAS </w:t>
      </w:r>
      <w:r w:rsidR="00870EE2" w:rsidRPr="001A6305">
        <w:rPr>
          <w:rFonts w:ascii="ITC Avant Garde" w:eastAsiaTheme="majorEastAsia" w:hAnsi="ITC Avant Garde" w:cstheme="majorBidi"/>
          <w:color w:val="000000" w:themeColor="text1"/>
          <w:szCs w:val="22"/>
          <w:lang w:eastAsia="es-MX"/>
        </w:rPr>
        <w:t>AVANTEL, S. DE R.L. DE C.V.</w:t>
      </w:r>
      <w:r w:rsidR="008D7AA0" w:rsidRPr="001A6305">
        <w:rPr>
          <w:rFonts w:ascii="ITC Avant Garde" w:eastAsiaTheme="majorEastAsia" w:hAnsi="ITC Avant Garde" w:cstheme="majorBidi"/>
          <w:color w:val="000000" w:themeColor="text1"/>
          <w:szCs w:val="22"/>
          <w:lang w:eastAsia="es-MX"/>
        </w:rPr>
        <w:t xml:space="preserve"> </w:t>
      </w:r>
      <w:r w:rsidR="00231CA0" w:rsidRPr="001A6305">
        <w:rPr>
          <w:rFonts w:ascii="ITC Avant Garde" w:eastAsiaTheme="majorEastAsia" w:hAnsi="ITC Avant Garde" w:cstheme="majorBidi"/>
          <w:color w:val="000000" w:themeColor="text1"/>
          <w:szCs w:val="22"/>
          <w:lang w:eastAsia="es-MX"/>
        </w:rPr>
        <w:t xml:space="preserve">Y </w:t>
      </w:r>
      <w:r w:rsidR="00870EE2" w:rsidRPr="001A6305">
        <w:rPr>
          <w:rFonts w:ascii="ITC Avant Garde" w:eastAsiaTheme="majorEastAsia" w:hAnsi="ITC Avant Garde" w:cstheme="majorBidi"/>
          <w:color w:val="000000" w:themeColor="text1"/>
          <w:szCs w:val="22"/>
          <w:lang w:eastAsia="es-MX"/>
        </w:rPr>
        <w:t>AXTEL, S.A.B</w:t>
      </w:r>
      <w:r w:rsidR="005E7464" w:rsidRPr="001A6305">
        <w:rPr>
          <w:rFonts w:ascii="ITC Avant Garde" w:eastAsiaTheme="majorEastAsia" w:hAnsi="ITC Avant Garde" w:cstheme="majorBidi"/>
          <w:color w:val="000000" w:themeColor="text1"/>
          <w:szCs w:val="22"/>
          <w:lang w:eastAsia="es-MX"/>
        </w:rPr>
        <w:t>.</w:t>
      </w:r>
      <w:r w:rsidR="00870EE2" w:rsidRPr="001A6305">
        <w:rPr>
          <w:rFonts w:ascii="ITC Avant Garde" w:eastAsiaTheme="majorEastAsia" w:hAnsi="ITC Avant Garde" w:cstheme="majorBidi"/>
          <w:color w:val="000000" w:themeColor="text1"/>
          <w:szCs w:val="22"/>
          <w:lang w:eastAsia="es-MX"/>
        </w:rPr>
        <w:t xml:space="preserve"> DE C.V.</w:t>
      </w:r>
      <w:r w:rsidRPr="001A6305">
        <w:rPr>
          <w:rFonts w:ascii="ITC Avant Garde" w:eastAsiaTheme="majorEastAsia" w:hAnsi="ITC Avant Garde" w:cstheme="majorBidi"/>
          <w:color w:val="000000" w:themeColor="text1"/>
          <w:szCs w:val="22"/>
          <w:lang w:eastAsia="es-MX"/>
        </w:rPr>
        <w:t>,</w:t>
      </w:r>
      <w:r w:rsidR="00870EE2" w:rsidRPr="001A6305">
        <w:rPr>
          <w:rFonts w:ascii="ITC Avant Garde" w:eastAsiaTheme="majorEastAsia" w:hAnsi="ITC Avant Garde" w:cstheme="majorBidi"/>
          <w:color w:val="000000" w:themeColor="text1"/>
          <w:szCs w:val="22"/>
          <w:lang w:eastAsia="es-MX"/>
        </w:rPr>
        <w:t xml:space="preserve"> </w:t>
      </w:r>
      <w:r w:rsidR="00E60A65" w:rsidRPr="001A6305">
        <w:rPr>
          <w:rFonts w:ascii="ITC Avant Garde" w:eastAsiaTheme="majorEastAsia" w:hAnsi="ITC Avant Garde" w:cstheme="majorBidi"/>
          <w:color w:val="000000" w:themeColor="text1"/>
          <w:szCs w:val="22"/>
          <w:lang w:eastAsia="es-MX"/>
        </w:rPr>
        <w:t>APLICABLES DEL 1 DE ENERO AL 31 DE DICIEMBRE DE 201</w:t>
      </w:r>
      <w:r w:rsidR="00A941C0" w:rsidRPr="001A6305">
        <w:rPr>
          <w:rFonts w:ascii="ITC Avant Garde" w:eastAsiaTheme="majorEastAsia" w:hAnsi="ITC Avant Garde" w:cstheme="majorBidi"/>
          <w:color w:val="000000" w:themeColor="text1"/>
          <w:szCs w:val="22"/>
          <w:lang w:eastAsia="es-MX"/>
        </w:rPr>
        <w:t>6</w:t>
      </w:r>
      <w:r w:rsidRPr="001A6305">
        <w:rPr>
          <w:rFonts w:ascii="ITC Avant Garde" w:eastAsiaTheme="majorEastAsia" w:hAnsi="ITC Avant Garde" w:cstheme="majorBidi"/>
          <w:color w:val="000000" w:themeColor="text1"/>
          <w:szCs w:val="22"/>
          <w:lang w:eastAsia="es-MX"/>
        </w:rPr>
        <w:t>.</w:t>
      </w:r>
    </w:p>
    <w:p w14:paraId="75C4B5F5" w14:textId="77777777" w:rsidR="001A6305" w:rsidRPr="001A6305" w:rsidRDefault="00BF167B" w:rsidP="001A6305">
      <w:pPr>
        <w:pStyle w:val="Ttulo2"/>
        <w:keepLines/>
        <w:spacing w:before="40" w:after="240"/>
        <w:jc w:val="center"/>
        <w:rPr>
          <w:rFonts w:ascii="ITC Avant Garde" w:eastAsiaTheme="majorEastAsia" w:hAnsi="ITC Avant Garde" w:cstheme="majorBidi"/>
          <w:color w:val="000000" w:themeColor="text1"/>
          <w:szCs w:val="22"/>
        </w:rPr>
      </w:pPr>
      <w:r w:rsidRPr="001A6305">
        <w:rPr>
          <w:rFonts w:ascii="ITC Avant Garde" w:eastAsiaTheme="majorEastAsia" w:hAnsi="ITC Avant Garde" w:cstheme="majorBidi"/>
          <w:color w:val="000000" w:themeColor="text1"/>
          <w:szCs w:val="22"/>
        </w:rPr>
        <w:t>ANTECEDENTES</w:t>
      </w:r>
    </w:p>
    <w:p w14:paraId="18F9DFA9" w14:textId="77777777" w:rsidR="001A6305" w:rsidRPr="001A6305" w:rsidRDefault="00BF167B" w:rsidP="001A6305">
      <w:pPr>
        <w:numPr>
          <w:ilvl w:val="0"/>
          <w:numId w:val="24"/>
        </w:numPr>
        <w:tabs>
          <w:tab w:val="left" w:pos="567"/>
        </w:tabs>
        <w:spacing w:before="240" w:line="240" w:lineRule="auto"/>
        <w:ind w:left="567" w:right="48" w:hanging="425"/>
        <w:jc w:val="both"/>
        <w:rPr>
          <w:rFonts w:ascii="ITC Avant Garde" w:hAnsi="ITC Avant Garde" w:cs="Arial"/>
        </w:rPr>
      </w:pPr>
      <w:r w:rsidRPr="001A6305">
        <w:rPr>
          <w:rFonts w:ascii="ITC Avant Garde" w:hAnsi="ITC Avant Garde" w:cs="Arial"/>
          <w:b/>
          <w:bCs/>
        </w:rPr>
        <w:t xml:space="preserve">Concesión de Teléfonos de México, S.A.B. de C.V. </w:t>
      </w:r>
      <w:r w:rsidRPr="001A6305">
        <w:rPr>
          <w:rFonts w:ascii="ITC Avant Garde" w:hAnsi="ITC Avant Garde" w:cs="Arial"/>
          <w:bCs/>
        </w:rPr>
        <w:t>El</w:t>
      </w:r>
      <w:r w:rsidRPr="001A6305">
        <w:rPr>
          <w:rFonts w:ascii="ITC Avant Garde" w:hAnsi="ITC Avant Garde" w:cs="Arial"/>
        </w:rPr>
        <w:t xml:space="preserve"> 10 de marzo de 1976, la Secretaría de Comunicaciones y Transportes (en lo sucesivo, la “Secretaría”) otorgó a Teléfonos de México, S.A.B. de C.V. (en lo sucesivo, “Telmex”), un título de concesión para construir, operar y explotar una red de servicio telefónico público. El 10 de diciembre de 1990, se publicó en el Diario Oficial de la Federación </w:t>
      </w:r>
      <w:r w:rsidR="00162E6F" w:rsidRPr="001A6305">
        <w:rPr>
          <w:rFonts w:ascii="ITC Avant Garde" w:hAnsi="ITC Avant Garde" w:cs="Arial"/>
        </w:rPr>
        <w:t xml:space="preserve">(en lo sucesivo, el “DOF”), </w:t>
      </w:r>
      <w:r w:rsidRPr="001A6305">
        <w:rPr>
          <w:rFonts w:ascii="ITC Avant Garde" w:hAnsi="ITC Avant Garde" w:cs="Arial"/>
        </w:rPr>
        <w:t>la “Modificación al Título de Concesión de Teléfonos de México, S.A. de C.V.”, para construir, instalar, mantener, operar y explotar una red pública telefónica por un periodo de 50 (cincuenta) años contados a partir del 10 de marzo de 1976, con cobertura en todo el territorio nacional, con excepción del área concesionada a Teléfonos de</w:t>
      </w:r>
      <w:r w:rsidR="000F3A9C" w:rsidRPr="001A6305">
        <w:rPr>
          <w:rFonts w:ascii="ITC Avant Garde" w:hAnsi="ITC Avant Garde" w:cs="Arial"/>
        </w:rPr>
        <w:t>l Noroeste</w:t>
      </w:r>
      <w:r w:rsidR="00E47756" w:rsidRPr="001A6305">
        <w:rPr>
          <w:rFonts w:ascii="ITC Avant Garde" w:hAnsi="ITC Avant Garde" w:cs="Arial"/>
        </w:rPr>
        <w:t>, S.A. de C.V.</w:t>
      </w:r>
    </w:p>
    <w:p w14:paraId="13EC1F3B" w14:textId="77777777" w:rsidR="001A6305" w:rsidRPr="001A6305" w:rsidRDefault="00EB0F83" w:rsidP="001A6305">
      <w:pPr>
        <w:numPr>
          <w:ilvl w:val="0"/>
          <w:numId w:val="24"/>
        </w:numPr>
        <w:tabs>
          <w:tab w:val="left" w:pos="567"/>
        </w:tabs>
        <w:spacing w:before="240" w:line="240" w:lineRule="auto"/>
        <w:ind w:left="567" w:right="48" w:hanging="425"/>
        <w:jc w:val="both"/>
        <w:rPr>
          <w:rFonts w:ascii="ITC Avant Garde" w:hAnsi="ITC Avant Garde"/>
        </w:rPr>
      </w:pPr>
      <w:r w:rsidRPr="001A6305">
        <w:rPr>
          <w:rFonts w:ascii="ITC Avant Garde" w:hAnsi="ITC Avant Garde"/>
          <w:b/>
        </w:rPr>
        <w:t>Concesión de Teléfonos del Noroeste, S.A. de C.V.</w:t>
      </w:r>
      <w:r w:rsidRPr="001A6305">
        <w:rPr>
          <w:rFonts w:ascii="ITC Avant Garde" w:hAnsi="ITC Avant Garde"/>
        </w:rPr>
        <w:t xml:space="preserve"> El 26 de mayo de 1980, la Secretaría otorgó a Teléfonos del Noroeste, S.A. de C.V. (en lo sucesivo, “</w:t>
      </w:r>
      <w:proofErr w:type="spellStart"/>
      <w:r w:rsidRPr="001A6305">
        <w:rPr>
          <w:rFonts w:ascii="ITC Avant Garde" w:hAnsi="ITC Avant Garde"/>
        </w:rPr>
        <w:t>Telnor</w:t>
      </w:r>
      <w:proofErr w:type="spellEnd"/>
      <w:r w:rsidRPr="001A6305">
        <w:rPr>
          <w:rFonts w:ascii="ITC Avant Garde" w:hAnsi="ITC Avant Garde"/>
        </w:rPr>
        <w:t xml:space="preserve">”) un título de concesión para construir, operar y explotar una red de servicio telefónico público. El 7 de diciembre de 1990, la Secretaría emitió la modificación al título de concesión de </w:t>
      </w:r>
      <w:proofErr w:type="spellStart"/>
      <w:r w:rsidRPr="001A6305">
        <w:rPr>
          <w:rFonts w:ascii="ITC Avant Garde" w:hAnsi="ITC Avant Garde"/>
        </w:rPr>
        <w:t>Telnor</w:t>
      </w:r>
      <w:proofErr w:type="spellEnd"/>
      <w:r w:rsidRPr="001A6305">
        <w:rPr>
          <w:rFonts w:ascii="ITC Avant Garde" w:hAnsi="ITC Avant Garde"/>
        </w:rPr>
        <w:t xml:space="preserve">, para construir, instalar, mantener, operar y explotar una red pública telefónica con cobertura en todo el estado de Baja California, del municipio de San Luis Río Colorado, así como la ciudad de </w:t>
      </w:r>
      <w:proofErr w:type="spellStart"/>
      <w:r w:rsidRPr="001A6305">
        <w:rPr>
          <w:rFonts w:ascii="ITC Avant Garde" w:hAnsi="ITC Avant Garde"/>
        </w:rPr>
        <w:t>Sonoita</w:t>
      </w:r>
      <w:proofErr w:type="spellEnd"/>
      <w:r w:rsidRPr="001A6305">
        <w:rPr>
          <w:rFonts w:ascii="ITC Avant Garde" w:hAnsi="ITC Avant Garde"/>
        </w:rPr>
        <w:t xml:space="preserve"> y sus áreas al</w:t>
      </w:r>
      <w:r w:rsidR="00E47756" w:rsidRPr="001A6305">
        <w:rPr>
          <w:rFonts w:ascii="ITC Avant Garde" w:hAnsi="ITC Avant Garde"/>
        </w:rPr>
        <w:t>edañas, en el estado de Sonora</w:t>
      </w:r>
      <w:r w:rsidRPr="001A6305">
        <w:rPr>
          <w:rFonts w:ascii="ITC Avant Garde" w:hAnsi="ITC Avant Garde"/>
        </w:rPr>
        <w:t>.</w:t>
      </w:r>
    </w:p>
    <w:p w14:paraId="3C7898CF" w14:textId="77777777" w:rsidR="001A6305" w:rsidRPr="001A6305" w:rsidRDefault="008C0CCD" w:rsidP="001A6305">
      <w:pPr>
        <w:numPr>
          <w:ilvl w:val="0"/>
          <w:numId w:val="24"/>
        </w:numPr>
        <w:tabs>
          <w:tab w:val="left" w:pos="567"/>
        </w:tabs>
        <w:spacing w:before="240" w:line="240" w:lineRule="auto"/>
        <w:ind w:left="567" w:right="48" w:hanging="425"/>
        <w:jc w:val="both"/>
        <w:rPr>
          <w:rFonts w:ascii="ITC Avant Garde" w:hAnsi="ITC Avant Garde" w:cs="Arial"/>
        </w:rPr>
      </w:pPr>
      <w:r w:rsidRPr="001A6305">
        <w:rPr>
          <w:rFonts w:ascii="ITC Avant Garde" w:hAnsi="ITC Avant Garde"/>
          <w:b/>
          <w:bCs/>
        </w:rPr>
        <w:t xml:space="preserve">Concesiones de </w:t>
      </w:r>
      <w:proofErr w:type="spellStart"/>
      <w:r w:rsidRPr="001A6305">
        <w:rPr>
          <w:rFonts w:ascii="ITC Avant Garde" w:hAnsi="ITC Avant Garde" w:cs="Arial"/>
          <w:b/>
          <w:bCs/>
        </w:rPr>
        <w:t>Avantel</w:t>
      </w:r>
      <w:proofErr w:type="spellEnd"/>
      <w:r w:rsidRPr="001A6305">
        <w:rPr>
          <w:rFonts w:ascii="ITC Avant Garde" w:hAnsi="ITC Avant Garde" w:cs="Arial"/>
          <w:b/>
          <w:bCs/>
        </w:rPr>
        <w:t xml:space="preserve">, S. de R.L. de C.V. </w:t>
      </w:r>
      <w:r w:rsidRPr="001A6305">
        <w:rPr>
          <w:rFonts w:ascii="ITC Avant Garde" w:hAnsi="ITC Avant Garde" w:cs="Arial"/>
          <w:bCs/>
        </w:rPr>
        <w:t xml:space="preserve">El 15 de septiembre de 1995, la Secretaría </w:t>
      </w:r>
      <w:r w:rsidRPr="001A6305">
        <w:rPr>
          <w:rFonts w:ascii="ITC Avant Garde" w:hAnsi="ITC Avant Garde" w:cs="Arial"/>
        </w:rPr>
        <w:t xml:space="preserve">otorgó a </w:t>
      </w:r>
      <w:proofErr w:type="spellStart"/>
      <w:r w:rsidRPr="001A6305">
        <w:rPr>
          <w:rFonts w:ascii="ITC Avant Garde" w:hAnsi="ITC Avant Garde" w:cs="Arial"/>
        </w:rPr>
        <w:t>Avantel</w:t>
      </w:r>
      <w:proofErr w:type="spellEnd"/>
      <w:r w:rsidRPr="001A6305">
        <w:rPr>
          <w:rFonts w:ascii="ITC Avant Garde" w:hAnsi="ITC Avant Garde" w:cs="Arial"/>
        </w:rPr>
        <w:t>, S. de R.L. de C.V. (en lo sucesivo, “</w:t>
      </w:r>
      <w:proofErr w:type="spellStart"/>
      <w:r w:rsidRPr="001A6305">
        <w:rPr>
          <w:rFonts w:ascii="ITC Avant Garde" w:hAnsi="ITC Avant Garde" w:cs="Arial"/>
        </w:rPr>
        <w:t>Avantel</w:t>
      </w:r>
      <w:proofErr w:type="spellEnd"/>
      <w:r w:rsidRPr="001A6305">
        <w:rPr>
          <w:rFonts w:ascii="ITC Avant Garde" w:hAnsi="ITC Avant Garde" w:cs="Arial"/>
        </w:rPr>
        <w:t>”), un título de concesión para instalar, operar y explotar una red pública de telecomunicaciones para prestar entre otros, el servicio público de telefonía básica de larga distancia nacional e internacional.</w:t>
      </w:r>
    </w:p>
    <w:p w14:paraId="675BD3AD" w14:textId="77777777" w:rsidR="001A6305" w:rsidRPr="001A6305" w:rsidRDefault="00E47756" w:rsidP="001A6305">
      <w:pPr>
        <w:pStyle w:val="Prrafodelista"/>
        <w:tabs>
          <w:tab w:val="left" w:pos="567"/>
        </w:tabs>
        <w:spacing w:before="240" w:line="240" w:lineRule="auto"/>
        <w:ind w:left="567" w:right="48" w:hanging="567"/>
        <w:jc w:val="both"/>
        <w:rPr>
          <w:rFonts w:ascii="ITC Avant Garde" w:hAnsi="ITC Avant Garde" w:cs="Arial"/>
        </w:rPr>
      </w:pPr>
      <w:r w:rsidRPr="001A6305">
        <w:rPr>
          <w:rFonts w:ascii="ITC Avant Garde" w:hAnsi="ITC Avant Garde" w:cs="Arial"/>
        </w:rPr>
        <w:tab/>
      </w:r>
      <w:r w:rsidR="008C0CCD" w:rsidRPr="001A6305">
        <w:rPr>
          <w:rFonts w:ascii="ITC Avant Garde" w:hAnsi="ITC Avant Garde" w:cs="Arial"/>
        </w:rPr>
        <w:t xml:space="preserve">Asimismo, el 12 de abril de 1999, la Secretaría otorgó a </w:t>
      </w:r>
      <w:proofErr w:type="spellStart"/>
      <w:r w:rsidR="008C0CCD" w:rsidRPr="001A6305">
        <w:rPr>
          <w:rFonts w:ascii="ITC Avant Garde" w:hAnsi="ITC Avant Garde" w:cs="Arial"/>
        </w:rPr>
        <w:t>Avantel</w:t>
      </w:r>
      <w:proofErr w:type="spellEnd"/>
      <w:r w:rsidR="008C0CCD" w:rsidRPr="001A6305">
        <w:rPr>
          <w:rFonts w:ascii="ITC Avant Garde" w:hAnsi="ITC Avant Garde" w:cs="Arial"/>
        </w:rPr>
        <w:t xml:space="preserve"> un título de concesión para instalar, operar y explotar una red pública de telecomunicaciones para prestar entre otros, el servicio de telefonía local. </w:t>
      </w:r>
    </w:p>
    <w:p w14:paraId="611150BA" w14:textId="798B12C4" w:rsidR="008C0CCD" w:rsidRPr="001A6305" w:rsidRDefault="008C0CCD" w:rsidP="001A6305">
      <w:pPr>
        <w:numPr>
          <w:ilvl w:val="0"/>
          <w:numId w:val="24"/>
        </w:numPr>
        <w:tabs>
          <w:tab w:val="left" w:pos="567"/>
        </w:tabs>
        <w:spacing w:before="240" w:line="240" w:lineRule="auto"/>
        <w:ind w:left="567" w:right="48" w:hanging="283"/>
        <w:jc w:val="both"/>
        <w:rPr>
          <w:rFonts w:ascii="ITC Avant Garde" w:hAnsi="ITC Avant Garde"/>
        </w:rPr>
      </w:pPr>
      <w:r w:rsidRPr="001A6305">
        <w:rPr>
          <w:rFonts w:ascii="ITC Avant Garde" w:hAnsi="ITC Avant Garde" w:cs="Arial"/>
          <w:b/>
          <w:bCs/>
        </w:rPr>
        <w:t xml:space="preserve">Concesiones de Axtel, S.A.B de C.V. </w:t>
      </w:r>
      <w:r w:rsidRPr="001A6305">
        <w:rPr>
          <w:rFonts w:ascii="ITC Avant Garde" w:hAnsi="ITC Avant Garde" w:cs="Arial"/>
        </w:rPr>
        <w:t xml:space="preserve">El 17 de junio de 1996, la </w:t>
      </w:r>
      <w:r w:rsidRPr="001A6305">
        <w:rPr>
          <w:rFonts w:ascii="ITC Avant Garde" w:hAnsi="ITC Avant Garde" w:cs="Arial"/>
          <w:bCs/>
        </w:rPr>
        <w:t xml:space="preserve">Secretaría </w:t>
      </w:r>
      <w:r w:rsidRPr="001A6305">
        <w:rPr>
          <w:rFonts w:ascii="ITC Avant Garde" w:hAnsi="ITC Avant Garde" w:cs="Arial"/>
        </w:rPr>
        <w:t xml:space="preserve">otorgó originalmente a Telefonía Inalámbrica del Norte, S.A. de C.V., actualmente Axtel, S.A.B. de C.V. (en lo sucesivo, “Axtel”), un título de concesión para instalar, operar y explotar una red pública de telecomunicaciones para prestar, entre otros, el servicio público de telefonía básica de larga distancia nacional e internacional. </w:t>
      </w:r>
    </w:p>
    <w:p w14:paraId="1927831C" w14:textId="7C7D84DC" w:rsidR="001A6305" w:rsidRPr="001A6305" w:rsidRDefault="008C0CCD" w:rsidP="001A6305">
      <w:pPr>
        <w:pStyle w:val="Prrafodelista"/>
        <w:tabs>
          <w:tab w:val="left" w:pos="567"/>
        </w:tabs>
        <w:spacing w:before="240" w:line="240" w:lineRule="auto"/>
        <w:ind w:left="567" w:right="48"/>
        <w:jc w:val="both"/>
        <w:rPr>
          <w:rFonts w:ascii="ITC Avant Garde" w:hAnsi="ITC Avant Garde" w:cs="Arial"/>
        </w:rPr>
      </w:pPr>
      <w:r w:rsidRPr="001A6305">
        <w:rPr>
          <w:rFonts w:ascii="ITC Avant Garde" w:hAnsi="ITC Avant Garde" w:cs="Arial"/>
        </w:rPr>
        <w:lastRenderedPageBreak/>
        <w:t xml:space="preserve">Asimismo, el 7 de octubre de 1998, la Secretaría otorgó </w:t>
      </w:r>
      <w:r w:rsidR="00474CFC" w:rsidRPr="001A6305">
        <w:rPr>
          <w:rFonts w:ascii="ITC Avant Garde" w:hAnsi="ITC Avant Garde" w:cs="Arial"/>
        </w:rPr>
        <w:t xml:space="preserve">a </w:t>
      </w:r>
      <w:r w:rsidRPr="001A6305">
        <w:rPr>
          <w:rFonts w:ascii="ITC Avant Garde" w:hAnsi="ITC Avant Garde" w:cs="Arial"/>
        </w:rPr>
        <w:t>Axtel un título de concesión para instalar, operar y explotar una red pública de telecomunicaciones para prestar servicios de acceso inalámbrico fijo o móvil; en las 9 (nueve) regiones en que se dividió el territorio nacional y 9 (nueve) títulos de concesión para usar, aprovechar y explotar bandas de frecuencias del espectro radioeléctrico para prestar servicios de acceso inalámbrico fijo o móvil, para cada una de las 9 (nueve) regiones en que se dividió el territorio nacional.</w:t>
      </w:r>
    </w:p>
    <w:p w14:paraId="1F5F0BCD" w14:textId="77777777" w:rsidR="001A6305" w:rsidRPr="001A6305" w:rsidRDefault="00586B29" w:rsidP="001A6305">
      <w:pPr>
        <w:numPr>
          <w:ilvl w:val="0"/>
          <w:numId w:val="24"/>
        </w:numPr>
        <w:tabs>
          <w:tab w:val="left" w:pos="567"/>
        </w:tabs>
        <w:spacing w:before="240" w:line="240" w:lineRule="auto"/>
        <w:ind w:left="567" w:right="48" w:hanging="283"/>
        <w:jc w:val="both"/>
        <w:rPr>
          <w:rFonts w:ascii="ITC Avant Garde" w:hAnsi="ITC Avant Garde" w:cs="Arial"/>
          <w:bCs/>
        </w:rPr>
      </w:pPr>
      <w:r w:rsidRPr="001A6305">
        <w:rPr>
          <w:rFonts w:ascii="ITC Avant Garde" w:hAnsi="ITC Avant Garde" w:cs="Arial"/>
          <w:b/>
        </w:rPr>
        <w:t>Procedimiento</w:t>
      </w:r>
      <w:r w:rsidR="00BF167B" w:rsidRPr="001A6305">
        <w:rPr>
          <w:rFonts w:ascii="ITC Avant Garde" w:hAnsi="ITC Avant Garde" w:cs="Arial"/>
          <w:b/>
        </w:rPr>
        <w:t xml:space="preserve"> de Resolución de condiciones de interconexión no convenidas.</w:t>
      </w:r>
      <w:r w:rsidR="00BF167B" w:rsidRPr="001A6305">
        <w:rPr>
          <w:rFonts w:ascii="ITC Avant Garde" w:hAnsi="ITC Avant Garde" w:cs="Arial"/>
        </w:rPr>
        <w:t xml:space="preserve"> El </w:t>
      </w:r>
      <w:r w:rsidR="00180BED" w:rsidRPr="001A6305">
        <w:rPr>
          <w:rFonts w:ascii="ITC Avant Garde" w:hAnsi="ITC Avant Garde" w:cs="Arial"/>
        </w:rPr>
        <w:t>15</w:t>
      </w:r>
      <w:r w:rsidR="00BF2B0A" w:rsidRPr="001A6305">
        <w:rPr>
          <w:rFonts w:ascii="ITC Avant Garde" w:hAnsi="ITC Avant Garde" w:cs="Arial"/>
        </w:rPr>
        <w:t xml:space="preserve"> de </w:t>
      </w:r>
      <w:r w:rsidR="00180BED" w:rsidRPr="001A6305">
        <w:rPr>
          <w:rFonts w:ascii="ITC Avant Garde" w:hAnsi="ITC Avant Garde" w:cs="Arial"/>
        </w:rPr>
        <w:t>julio</w:t>
      </w:r>
      <w:r w:rsidR="00BF2B0A" w:rsidRPr="001A6305">
        <w:rPr>
          <w:rFonts w:ascii="ITC Avant Garde" w:hAnsi="ITC Avant Garde" w:cs="Arial"/>
        </w:rPr>
        <w:t xml:space="preserve"> de 2015,</w:t>
      </w:r>
      <w:r w:rsidR="00BF167B" w:rsidRPr="001A6305">
        <w:rPr>
          <w:rFonts w:ascii="ITC Avant Garde" w:hAnsi="ITC Avant Garde" w:cs="Arial"/>
        </w:rPr>
        <w:t xml:space="preserve"> el </w:t>
      </w:r>
      <w:r w:rsidR="00E60A65" w:rsidRPr="001A6305">
        <w:rPr>
          <w:rFonts w:ascii="ITC Avant Garde" w:hAnsi="ITC Avant Garde" w:cs="Arial"/>
        </w:rPr>
        <w:t xml:space="preserve">apoderado </w:t>
      </w:r>
      <w:r w:rsidR="00E47756" w:rsidRPr="001A6305">
        <w:rPr>
          <w:rFonts w:ascii="ITC Avant Garde" w:hAnsi="ITC Avant Garde" w:cs="Arial"/>
        </w:rPr>
        <w:t>lega</w:t>
      </w:r>
      <w:r w:rsidR="00E60A65" w:rsidRPr="001A6305">
        <w:rPr>
          <w:rFonts w:ascii="ITC Avant Garde" w:hAnsi="ITC Avant Garde" w:cs="Arial"/>
        </w:rPr>
        <w:t>l de</w:t>
      </w:r>
      <w:r w:rsidR="00BF167B" w:rsidRPr="001A6305">
        <w:rPr>
          <w:rFonts w:ascii="ITC Avant Garde" w:hAnsi="ITC Avant Garde" w:cs="Arial"/>
        </w:rPr>
        <w:t xml:space="preserve"> </w:t>
      </w:r>
      <w:r w:rsidR="00BF2B0A" w:rsidRPr="001A6305">
        <w:rPr>
          <w:rFonts w:ascii="ITC Avant Garde" w:hAnsi="ITC Avant Garde" w:cs="Arial"/>
        </w:rPr>
        <w:t xml:space="preserve">Telmex y </w:t>
      </w:r>
      <w:proofErr w:type="spellStart"/>
      <w:r w:rsidR="00BF2B0A" w:rsidRPr="001A6305">
        <w:rPr>
          <w:rFonts w:ascii="ITC Avant Garde" w:hAnsi="ITC Avant Garde" w:cs="Arial"/>
        </w:rPr>
        <w:t>Telnor</w:t>
      </w:r>
      <w:proofErr w:type="spellEnd"/>
      <w:r w:rsidR="00BF167B" w:rsidRPr="001A6305">
        <w:rPr>
          <w:rFonts w:ascii="ITC Avant Garde" w:hAnsi="ITC Avant Garde" w:cs="Arial"/>
        </w:rPr>
        <w:t xml:space="preserve">, presentó ante </w:t>
      </w:r>
      <w:r w:rsidR="00891DA3" w:rsidRPr="001A6305">
        <w:rPr>
          <w:rFonts w:ascii="ITC Avant Garde" w:hAnsi="ITC Avant Garde" w:cs="Arial"/>
        </w:rPr>
        <w:t xml:space="preserve">el Instituto </w:t>
      </w:r>
      <w:r w:rsidR="002F073F" w:rsidRPr="001A6305">
        <w:rPr>
          <w:rFonts w:ascii="ITC Avant Garde" w:hAnsi="ITC Avant Garde" w:cs="Arial"/>
        </w:rPr>
        <w:t xml:space="preserve">dos </w:t>
      </w:r>
      <w:r w:rsidR="00BF2B0A" w:rsidRPr="001A6305">
        <w:rPr>
          <w:rFonts w:ascii="ITC Avant Garde" w:hAnsi="ITC Avant Garde" w:cs="Arial"/>
        </w:rPr>
        <w:t>escrito</w:t>
      </w:r>
      <w:r w:rsidR="007946E9" w:rsidRPr="001A6305">
        <w:rPr>
          <w:rFonts w:ascii="ITC Avant Garde" w:hAnsi="ITC Avant Garde" w:cs="Arial"/>
        </w:rPr>
        <w:t>s</w:t>
      </w:r>
      <w:r w:rsidR="008D7AA0" w:rsidRPr="001A6305">
        <w:rPr>
          <w:rFonts w:ascii="ITC Avant Garde" w:hAnsi="ITC Avant Garde" w:cs="Arial"/>
        </w:rPr>
        <w:t xml:space="preserve"> </w:t>
      </w:r>
      <w:r w:rsidR="00BF167B" w:rsidRPr="001A6305">
        <w:rPr>
          <w:rFonts w:ascii="ITC Avant Garde" w:hAnsi="ITC Avant Garde" w:cs="Arial"/>
          <w:bCs/>
        </w:rPr>
        <w:t xml:space="preserve">mediante </w:t>
      </w:r>
      <w:r w:rsidR="007946E9" w:rsidRPr="001A6305">
        <w:rPr>
          <w:rFonts w:ascii="ITC Avant Garde" w:hAnsi="ITC Avant Garde" w:cs="Arial"/>
          <w:bCs/>
        </w:rPr>
        <w:t>los cuales</w:t>
      </w:r>
      <w:r w:rsidR="00BF167B" w:rsidRPr="001A6305">
        <w:rPr>
          <w:rFonts w:ascii="ITC Avant Garde" w:hAnsi="ITC Avant Garde" w:cs="Arial"/>
          <w:bCs/>
        </w:rPr>
        <w:t xml:space="preserve"> solicitó </w:t>
      </w:r>
      <w:r w:rsidR="002F073F" w:rsidRPr="001A6305">
        <w:rPr>
          <w:rFonts w:ascii="ITC Avant Garde" w:hAnsi="ITC Avant Garde" w:cs="Arial"/>
          <w:bCs/>
        </w:rPr>
        <w:t xml:space="preserve">su </w:t>
      </w:r>
      <w:r w:rsidR="00BF167B" w:rsidRPr="001A6305">
        <w:rPr>
          <w:rFonts w:ascii="ITC Avant Garde" w:hAnsi="ITC Avant Garde" w:cs="Arial"/>
          <w:bCs/>
        </w:rPr>
        <w:t xml:space="preserve">intervención </w:t>
      </w:r>
      <w:r w:rsidR="002F073F" w:rsidRPr="001A6305">
        <w:rPr>
          <w:rFonts w:ascii="ITC Avant Garde" w:hAnsi="ITC Avant Garde" w:cs="Arial"/>
          <w:bCs/>
        </w:rPr>
        <w:t>para</w:t>
      </w:r>
      <w:r w:rsidR="00BF167B" w:rsidRPr="001A6305">
        <w:rPr>
          <w:rFonts w:ascii="ITC Avant Garde" w:hAnsi="ITC Avant Garde" w:cs="Arial"/>
          <w:bCs/>
        </w:rPr>
        <w:t xml:space="preserve"> resolver </w:t>
      </w:r>
      <w:r w:rsidR="00BF167B" w:rsidRPr="001A6305">
        <w:rPr>
          <w:rFonts w:ascii="ITC Avant Garde" w:hAnsi="ITC Avant Garde" w:cs="Arial"/>
        </w:rPr>
        <w:t xml:space="preserve">los términos, </w:t>
      </w:r>
      <w:r w:rsidR="002F073F" w:rsidRPr="001A6305">
        <w:rPr>
          <w:rFonts w:ascii="ITC Avant Garde" w:hAnsi="ITC Avant Garde" w:cs="Arial"/>
        </w:rPr>
        <w:t xml:space="preserve">tarifas y </w:t>
      </w:r>
      <w:r w:rsidR="00BF167B" w:rsidRPr="001A6305">
        <w:rPr>
          <w:rFonts w:ascii="ITC Avant Garde" w:hAnsi="ITC Avant Garde" w:cs="Arial"/>
        </w:rPr>
        <w:t xml:space="preserve">condiciones </w:t>
      </w:r>
      <w:r w:rsidR="002F073F" w:rsidRPr="001A6305">
        <w:rPr>
          <w:rFonts w:ascii="ITC Avant Garde" w:hAnsi="ITC Avant Garde" w:cs="Arial"/>
        </w:rPr>
        <w:t>que no pudo convenir</w:t>
      </w:r>
      <w:r w:rsidR="00BF167B" w:rsidRPr="001A6305">
        <w:rPr>
          <w:rFonts w:ascii="ITC Avant Garde" w:hAnsi="ITC Avant Garde" w:cs="Arial"/>
        </w:rPr>
        <w:t xml:space="preserve"> con </w:t>
      </w:r>
      <w:proofErr w:type="spellStart"/>
      <w:r w:rsidR="00231CA0" w:rsidRPr="001A6305">
        <w:rPr>
          <w:rFonts w:ascii="ITC Avant Garde" w:hAnsi="ITC Avant Garde" w:cs="Arial"/>
        </w:rPr>
        <w:t>Avantel</w:t>
      </w:r>
      <w:proofErr w:type="spellEnd"/>
      <w:r w:rsidR="00231CA0" w:rsidRPr="001A6305">
        <w:rPr>
          <w:rFonts w:ascii="ITC Avant Garde" w:hAnsi="ITC Avant Garde" w:cs="Arial"/>
        </w:rPr>
        <w:t xml:space="preserve"> y Axtel</w:t>
      </w:r>
      <w:r w:rsidR="00E47756" w:rsidRPr="001A6305">
        <w:rPr>
          <w:rFonts w:ascii="ITC Avant Garde" w:hAnsi="ITC Avant Garde" w:cs="Arial"/>
        </w:rPr>
        <w:t>, respectivamente,</w:t>
      </w:r>
      <w:r w:rsidR="002F073F" w:rsidRPr="001A6305">
        <w:rPr>
          <w:rFonts w:ascii="ITC Avant Garde" w:hAnsi="ITC Avant Garde" w:cs="Arial"/>
        </w:rPr>
        <w:t xml:space="preserve"> </w:t>
      </w:r>
      <w:r w:rsidR="002F073F" w:rsidRPr="001A6305">
        <w:rPr>
          <w:rFonts w:ascii="ITC Avant Garde" w:eastAsia="Times New Roman" w:hAnsi="ITC Avant Garde"/>
          <w:lang w:val="es-ES" w:eastAsia="es-ES"/>
        </w:rPr>
        <w:t>para la interconexión de sus respectivas redes públicas de telecomunicaciones que aplicarán para el ejercicio del 1 de enero al 31 de diciembre del 2016</w:t>
      </w:r>
      <w:r w:rsidR="00231CA0" w:rsidRPr="001A6305">
        <w:rPr>
          <w:rFonts w:ascii="ITC Avant Garde" w:hAnsi="ITC Avant Garde" w:cs="Arial"/>
        </w:rPr>
        <w:t xml:space="preserve"> </w:t>
      </w:r>
      <w:r w:rsidR="00DB430D" w:rsidRPr="001A6305">
        <w:rPr>
          <w:rFonts w:ascii="ITC Avant Garde" w:hAnsi="ITC Avant Garde" w:cs="Arial"/>
        </w:rPr>
        <w:t xml:space="preserve">(en lo sucesivo, </w:t>
      </w:r>
      <w:r w:rsidR="00BF2B0A" w:rsidRPr="001A6305">
        <w:rPr>
          <w:rFonts w:ascii="ITC Avant Garde" w:hAnsi="ITC Avant Garde" w:cs="Arial"/>
        </w:rPr>
        <w:t>la</w:t>
      </w:r>
      <w:r w:rsidR="007946E9" w:rsidRPr="001A6305">
        <w:rPr>
          <w:rFonts w:ascii="ITC Avant Garde" w:hAnsi="ITC Avant Garde" w:cs="Arial"/>
        </w:rPr>
        <w:t>s</w:t>
      </w:r>
      <w:r w:rsidR="00DB430D" w:rsidRPr="001A6305">
        <w:rPr>
          <w:rFonts w:ascii="ITC Avant Garde" w:hAnsi="ITC Avant Garde" w:cs="Arial"/>
        </w:rPr>
        <w:t xml:space="preserve"> “</w:t>
      </w:r>
      <w:r w:rsidR="00835698" w:rsidRPr="001A6305">
        <w:rPr>
          <w:rFonts w:ascii="ITC Avant Garde" w:hAnsi="ITC Avant Garde" w:cs="Arial"/>
        </w:rPr>
        <w:t>Solicitud</w:t>
      </w:r>
      <w:r w:rsidR="007946E9" w:rsidRPr="001A6305">
        <w:rPr>
          <w:rFonts w:ascii="ITC Avant Garde" w:hAnsi="ITC Avant Garde" w:cs="Arial"/>
        </w:rPr>
        <w:t>es</w:t>
      </w:r>
      <w:r w:rsidR="00835698" w:rsidRPr="001A6305">
        <w:rPr>
          <w:rFonts w:ascii="ITC Avant Garde" w:hAnsi="ITC Avant Garde" w:cs="Arial"/>
        </w:rPr>
        <w:t xml:space="preserve"> de Resolución</w:t>
      </w:r>
      <w:r w:rsidR="000935A1" w:rsidRPr="001A6305">
        <w:rPr>
          <w:rFonts w:ascii="ITC Avant Garde" w:hAnsi="ITC Avant Garde" w:cs="Arial"/>
        </w:rPr>
        <w:t>”)</w:t>
      </w:r>
      <w:r w:rsidR="00E3183E" w:rsidRPr="001A6305">
        <w:rPr>
          <w:rFonts w:ascii="ITC Avant Garde" w:hAnsi="ITC Avant Garde" w:cs="Arial"/>
        </w:rPr>
        <w:t>.</w:t>
      </w:r>
      <w:r w:rsidR="000560E9" w:rsidRPr="001A6305">
        <w:rPr>
          <w:rFonts w:ascii="ITC Avant Garde" w:hAnsi="ITC Avant Garde" w:cs="Arial"/>
          <w:bCs/>
        </w:rPr>
        <w:t xml:space="preserve"> </w:t>
      </w:r>
    </w:p>
    <w:p w14:paraId="6F5DE983" w14:textId="77777777" w:rsidR="001A6305" w:rsidRPr="001A6305" w:rsidRDefault="009A020D" w:rsidP="001A6305">
      <w:pPr>
        <w:tabs>
          <w:tab w:val="left" w:pos="567"/>
        </w:tabs>
        <w:spacing w:before="240" w:line="240" w:lineRule="auto"/>
        <w:ind w:left="567" w:right="48"/>
        <w:jc w:val="both"/>
        <w:rPr>
          <w:rFonts w:ascii="ITC Avant Garde" w:hAnsi="ITC Avant Garde" w:cs="Arial"/>
        </w:rPr>
      </w:pPr>
      <w:r w:rsidRPr="001A6305">
        <w:rPr>
          <w:rFonts w:ascii="ITC Avant Garde" w:hAnsi="ITC Avant Garde" w:cs="Arial"/>
          <w:bCs/>
          <w:lang w:val="es-ES"/>
        </w:rPr>
        <w:t xml:space="preserve">Las Solicitudes de Resolución se admitieron a trámite asignándoles los números de expediente que se indican más adelante; </w:t>
      </w:r>
      <w:r w:rsidR="00586B29" w:rsidRPr="001A6305">
        <w:rPr>
          <w:rFonts w:ascii="ITC Avant Garde" w:hAnsi="ITC Avant Garde" w:cs="Arial"/>
          <w:bCs/>
          <w:lang w:val="es-ES"/>
        </w:rPr>
        <w:t>a</w:t>
      </w:r>
      <w:r w:rsidRPr="001A6305">
        <w:rPr>
          <w:rFonts w:ascii="ITC Avant Garde" w:hAnsi="ITC Avant Garde" w:cs="Arial"/>
          <w:bCs/>
          <w:lang w:val="es-ES"/>
        </w:rPr>
        <w:t>simismo</w:t>
      </w:r>
      <w:r w:rsidRPr="001A6305">
        <w:rPr>
          <w:rFonts w:ascii="ITC Avant Garde" w:hAnsi="ITC Avant Garde" w:cs="Arial"/>
        </w:rPr>
        <w:t xml:space="preserve"> y toda vez que los procedimientos iniciados de manera independiente por </w:t>
      </w:r>
      <w:proofErr w:type="spellStart"/>
      <w:r w:rsidRPr="001A6305">
        <w:rPr>
          <w:rFonts w:ascii="ITC Avant Garde" w:hAnsi="ITC Avant Garde" w:cs="Arial"/>
        </w:rPr>
        <w:t>Telnor</w:t>
      </w:r>
      <w:proofErr w:type="spellEnd"/>
      <w:r w:rsidRPr="001A6305">
        <w:rPr>
          <w:rFonts w:ascii="ITC Avant Garde" w:hAnsi="ITC Avant Garde" w:cs="Arial"/>
        </w:rPr>
        <w:t xml:space="preserve"> y Telmex contra </w:t>
      </w:r>
      <w:proofErr w:type="spellStart"/>
      <w:r w:rsidRPr="001A6305">
        <w:rPr>
          <w:rFonts w:ascii="ITC Avant Garde" w:hAnsi="ITC Avant Garde" w:cs="Arial"/>
        </w:rPr>
        <w:t>Avantel</w:t>
      </w:r>
      <w:proofErr w:type="spellEnd"/>
      <w:r w:rsidRPr="001A6305">
        <w:rPr>
          <w:rFonts w:ascii="ITC Avant Garde" w:hAnsi="ITC Avant Garde" w:cs="Arial"/>
        </w:rPr>
        <w:t xml:space="preserve"> y Axtel tienden al mismo efecto, en términos de los artículos 45 de la Ley Federal de Procedimiento Administrativo (en lo sucesivo, la “LFPA”) y 73 del Código Federal de Procedimientos Civiles (en lo sucesivo “CFPC”), y siendo legalmente factible, se ordenó la acumulación del más nuevo al más antiguo tal como lo </w:t>
      </w:r>
      <w:r w:rsidR="00586B29" w:rsidRPr="001A6305">
        <w:rPr>
          <w:rFonts w:ascii="ITC Avant Garde" w:hAnsi="ITC Avant Garde" w:cs="Arial"/>
        </w:rPr>
        <w:t>dispone el artículo 72 del CFPC,</w:t>
      </w:r>
      <w:r w:rsidRPr="001A6305">
        <w:rPr>
          <w:rFonts w:ascii="ITC Avant Garde" w:hAnsi="ITC Avant Garde" w:cs="Arial"/>
        </w:rPr>
        <w:t xml:space="preserve"> </w:t>
      </w:r>
      <w:r w:rsidR="00586B29" w:rsidRPr="001A6305">
        <w:rPr>
          <w:rFonts w:ascii="ITC Avant Garde" w:hAnsi="ITC Avant Garde" w:cs="Arial"/>
        </w:rPr>
        <w:t>quedando acumulados</w:t>
      </w:r>
      <w:r w:rsidRPr="001A6305">
        <w:rPr>
          <w:rFonts w:ascii="ITC Avant Garde" w:hAnsi="ITC Avant Garde" w:cs="Arial"/>
        </w:rPr>
        <w:t xml:space="preserve"> al procedimiento administrativo iniciado por Telmex y </w:t>
      </w:r>
      <w:proofErr w:type="spellStart"/>
      <w:r w:rsidRPr="001A6305">
        <w:rPr>
          <w:rFonts w:ascii="ITC Avant Garde" w:hAnsi="ITC Avant Garde" w:cs="Arial"/>
        </w:rPr>
        <w:t>Telnor</w:t>
      </w:r>
      <w:proofErr w:type="spellEnd"/>
      <w:r w:rsidRPr="001A6305">
        <w:rPr>
          <w:rFonts w:ascii="ITC Avant Garde" w:hAnsi="ITC Avant Garde" w:cs="Arial"/>
        </w:rPr>
        <w:t xml:space="preserve"> en contra de Axtel, el procedimiento iniciado por Telmex y </w:t>
      </w:r>
      <w:proofErr w:type="spellStart"/>
      <w:r w:rsidRPr="001A6305">
        <w:rPr>
          <w:rFonts w:ascii="ITC Avant Garde" w:hAnsi="ITC Avant Garde" w:cs="Arial"/>
        </w:rPr>
        <w:t>Telnor</w:t>
      </w:r>
      <w:proofErr w:type="spellEnd"/>
      <w:r w:rsidRPr="001A6305">
        <w:rPr>
          <w:rFonts w:ascii="ITC Avant Garde" w:hAnsi="ITC Avant Garde" w:cs="Arial"/>
        </w:rPr>
        <w:t xml:space="preserve"> en contra de </w:t>
      </w:r>
      <w:proofErr w:type="spellStart"/>
      <w:r w:rsidRPr="001A6305">
        <w:rPr>
          <w:rFonts w:ascii="ITC Avant Garde" w:hAnsi="ITC Avant Garde" w:cs="Arial"/>
        </w:rPr>
        <w:t>Avantel</w:t>
      </w:r>
      <w:proofErr w:type="spellEnd"/>
      <w:r w:rsidR="00586B29" w:rsidRPr="001A6305">
        <w:rPr>
          <w:rFonts w:ascii="ITC Avant Garde" w:hAnsi="ITC Avant Garde" w:cs="Arial"/>
        </w:rPr>
        <w:t xml:space="preserve"> identificado con el número de expediente </w:t>
      </w:r>
      <w:r w:rsidR="00586B29" w:rsidRPr="001A6305">
        <w:rPr>
          <w:rFonts w:ascii="ITC Avant Garde" w:hAnsi="ITC Avant Garde" w:cs="Arial"/>
          <w:b/>
        </w:rPr>
        <w:t>IFT/221/UPR/DG-RIRST/200.150715/ITX</w:t>
      </w:r>
      <w:r w:rsidRPr="001A6305">
        <w:rPr>
          <w:rFonts w:ascii="ITC Avant Garde" w:hAnsi="ITC Avant Garde" w:cs="Arial"/>
          <w:b/>
        </w:rPr>
        <w:t>.</w:t>
      </w:r>
    </w:p>
    <w:tbl>
      <w:tblPr>
        <w:tblStyle w:val="Tablaconcuadrcula"/>
        <w:tblW w:w="8732" w:type="dxa"/>
        <w:jc w:val="right"/>
        <w:tblLayout w:type="fixed"/>
        <w:tblLook w:val="04A0" w:firstRow="1" w:lastRow="0" w:firstColumn="1" w:lastColumn="0" w:noHBand="0" w:noVBand="1"/>
        <w:tblCaption w:val="Solicitudes de Resolución y números de expediente "/>
        <w:tblDescription w:val="En una tabla de 4 columnas y 3 filas, se proporcionan los Folios, expediente, modalidad e inicio de negociaciones."/>
      </w:tblPr>
      <w:tblGrid>
        <w:gridCol w:w="1549"/>
        <w:gridCol w:w="2833"/>
        <w:gridCol w:w="2559"/>
        <w:gridCol w:w="1791"/>
      </w:tblGrid>
      <w:tr w:rsidR="0004445F" w:rsidRPr="001A6305" w14:paraId="0100D577" w14:textId="77777777" w:rsidTr="001A6305">
        <w:trPr>
          <w:trHeight w:val="450"/>
          <w:tblHeader/>
          <w:jc w:val="right"/>
        </w:trPr>
        <w:tc>
          <w:tcPr>
            <w:tcW w:w="1549" w:type="dxa"/>
            <w:shd w:val="clear" w:color="auto" w:fill="A6A6A6" w:themeFill="background1" w:themeFillShade="A6"/>
            <w:noWrap/>
            <w:vAlign w:val="center"/>
            <w:hideMark/>
          </w:tcPr>
          <w:p w14:paraId="06C9F9A4" w14:textId="77777777" w:rsidR="0049069E" w:rsidRPr="001A6305" w:rsidRDefault="0049069E" w:rsidP="001A6305">
            <w:pPr>
              <w:jc w:val="center"/>
              <w:rPr>
                <w:rFonts w:ascii="ITC Avant Garde" w:hAnsi="ITC Avant Garde"/>
                <w:b/>
                <w:bCs/>
                <w:sz w:val="18"/>
                <w:szCs w:val="18"/>
                <w:lang w:val="es-ES"/>
              </w:rPr>
            </w:pPr>
            <w:r w:rsidRPr="001A6305">
              <w:rPr>
                <w:rFonts w:ascii="ITC Avant Garde" w:hAnsi="ITC Avant Garde"/>
                <w:b/>
                <w:bCs/>
                <w:sz w:val="18"/>
                <w:szCs w:val="18"/>
                <w:lang w:val="es-ES"/>
              </w:rPr>
              <w:t>Folio del SESI</w:t>
            </w:r>
          </w:p>
        </w:tc>
        <w:tc>
          <w:tcPr>
            <w:tcW w:w="2833" w:type="dxa"/>
            <w:shd w:val="clear" w:color="auto" w:fill="A6A6A6" w:themeFill="background1" w:themeFillShade="A6"/>
            <w:vAlign w:val="center"/>
          </w:tcPr>
          <w:p w14:paraId="0D7AC114" w14:textId="77777777" w:rsidR="0049069E" w:rsidRPr="001A6305" w:rsidRDefault="0049069E" w:rsidP="001A6305">
            <w:pPr>
              <w:jc w:val="center"/>
              <w:rPr>
                <w:rFonts w:ascii="ITC Avant Garde" w:hAnsi="ITC Avant Garde"/>
                <w:b/>
                <w:bCs/>
                <w:sz w:val="18"/>
                <w:szCs w:val="18"/>
                <w:lang w:val="es-ES"/>
              </w:rPr>
            </w:pPr>
            <w:r w:rsidRPr="001A6305">
              <w:rPr>
                <w:rFonts w:ascii="ITC Avant Garde" w:hAnsi="ITC Avant Garde"/>
                <w:b/>
                <w:bCs/>
                <w:sz w:val="18"/>
                <w:szCs w:val="18"/>
                <w:lang w:val="es-ES"/>
              </w:rPr>
              <w:t>Expediente administrativo</w:t>
            </w:r>
          </w:p>
        </w:tc>
        <w:tc>
          <w:tcPr>
            <w:tcW w:w="2559" w:type="dxa"/>
            <w:shd w:val="clear" w:color="auto" w:fill="A6A6A6" w:themeFill="background1" w:themeFillShade="A6"/>
            <w:vAlign w:val="center"/>
          </w:tcPr>
          <w:p w14:paraId="394DCE18" w14:textId="77777777" w:rsidR="0049069E" w:rsidRPr="001A6305" w:rsidRDefault="0049069E" w:rsidP="001A6305">
            <w:pPr>
              <w:jc w:val="center"/>
              <w:rPr>
                <w:rFonts w:ascii="ITC Avant Garde" w:hAnsi="ITC Avant Garde"/>
                <w:b/>
                <w:bCs/>
                <w:sz w:val="18"/>
                <w:szCs w:val="18"/>
              </w:rPr>
            </w:pPr>
            <w:r w:rsidRPr="001A6305">
              <w:rPr>
                <w:rFonts w:ascii="ITC Avant Garde" w:hAnsi="ITC Avant Garde"/>
                <w:b/>
                <w:bCs/>
                <w:sz w:val="18"/>
                <w:szCs w:val="18"/>
                <w:lang w:val="es-ES"/>
              </w:rPr>
              <w:t>Modalidad</w:t>
            </w:r>
          </w:p>
        </w:tc>
        <w:tc>
          <w:tcPr>
            <w:tcW w:w="1791" w:type="dxa"/>
            <w:shd w:val="clear" w:color="auto" w:fill="A6A6A6" w:themeFill="background1" w:themeFillShade="A6"/>
            <w:vAlign w:val="center"/>
          </w:tcPr>
          <w:p w14:paraId="78E8408A" w14:textId="77777777" w:rsidR="0049069E" w:rsidRPr="001A6305" w:rsidRDefault="0049069E" w:rsidP="001A6305">
            <w:pPr>
              <w:jc w:val="center"/>
              <w:rPr>
                <w:rFonts w:ascii="ITC Avant Garde" w:eastAsia="Times New Roman" w:hAnsi="ITC Avant Garde" w:cs="Arial"/>
                <w:b/>
                <w:bCs/>
                <w:sz w:val="18"/>
                <w:szCs w:val="18"/>
                <w:lang w:val="es-ES" w:eastAsia="es-ES"/>
              </w:rPr>
            </w:pPr>
            <w:r w:rsidRPr="001A6305">
              <w:rPr>
                <w:rFonts w:ascii="ITC Avant Garde" w:eastAsia="Times New Roman" w:hAnsi="ITC Avant Garde" w:cs="Arial"/>
                <w:b/>
                <w:bCs/>
                <w:sz w:val="18"/>
                <w:szCs w:val="18"/>
                <w:lang w:val="es-ES" w:eastAsia="es-ES"/>
              </w:rPr>
              <w:t>Inicio de negociaciones</w:t>
            </w:r>
          </w:p>
        </w:tc>
      </w:tr>
      <w:tr w:rsidR="0004445F" w:rsidRPr="001A6305" w14:paraId="0FEFC335" w14:textId="77777777" w:rsidTr="001A6305">
        <w:trPr>
          <w:trHeight w:val="803"/>
          <w:jc w:val="right"/>
        </w:trPr>
        <w:tc>
          <w:tcPr>
            <w:tcW w:w="1549" w:type="dxa"/>
            <w:noWrap/>
            <w:vAlign w:val="center"/>
          </w:tcPr>
          <w:p w14:paraId="1809D5EE" w14:textId="77777777" w:rsidR="0049069E" w:rsidRPr="001A6305" w:rsidRDefault="0049069E" w:rsidP="001A6305">
            <w:pPr>
              <w:ind w:firstLine="29"/>
              <w:jc w:val="center"/>
              <w:rPr>
                <w:rFonts w:ascii="ITC Avant Garde" w:eastAsia="Times New Roman" w:hAnsi="ITC Avant Garde" w:cs="Arial"/>
                <w:sz w:val="18"/>
                <w:szCs w:val="18"/>
                <w:lang w:val="es-ES" w:eastAsia="es-ES"/>
              </w:rPr>
            </w:pPr>
            <w:r w:rsidRPr="001A6305">
              <w:rPr>
                <w:rFonts w:ascii="ITC Avant Garde" w:hAnsi="ITC Avant Garde"/>
                <w:bCs/>
                <w:sz w:val="18"/>
                <w:szCs w:val="18"/>
              </w:rPr>
              <w:t>IFT/UPR/</w:t>
            </w:r>
            <w:r w:rsidR="005E502C" w:rsidRPr="001A6305">
              <w:rPr>
                <w:rFonts w:ascii="ITC Avant Garde" w:hAnsi="ITC Avant Garde"/>
                <w:bCs/>
                <w:sz w:val="18"/>
                <w:szCs w:val="18"/>
              </w:rPr>
              <w:t>1504</w:t>
            </w:r>
          </w:p>
        </w:tc>
        <w:tc>
          <w:tcPr>
            <w:tcW w:w="2833" w:type="dxa"/>
            <w:vAlign w:val="center"/>
          </w:tcPr>
          <w:p w14:paraId="4C60B892" w14:textId="77777777" w:rsidR="0049069E" w:rsidRPr="001A6305" w:rsidRDefault="0049069E" w:rsidP="001A6305">
            <w:pPr>
              <w:jc w:val="center"/>
              <w:rPr>
                <w:rFonts w:ascii="ITC Avant Garde" w:eastAsia="Times New Roman" w:hAnsi="ITC Avant Garde" w:cs="Arial"/>
                <w:sz w:val="18"/>
                <w:szCs w:val="18"/>
                <w:lang w:val="en-US" w:eastAsia="es-ES"/>
              </w:rPr>
            </w:pPr>
            <w:r w:rsidRPr="001A6305">
              <w:rPr>
                <w:rFonts w:ascii="ITC Avant Garde" w:eastAsia="Times New Roman" w:hAnsi="ITC Avant Garde" w:cs="Arial"/>
                <w:sz w:val="18"/>
                <w:szCs w:val="18"/>
                <w:lang w:val="en-US" w:eastAsia="es-ES"/>
              </w:rPr>
              <w:t>IFT/221/UPR/DG-RIRST/200.150715/ITX</w:t>
            </w:r>
          </w:p>
        </w:tc>
        <w:tc>
          <w:tcPr>
            <w:tcW w:w="2559" w:type="dxa"/>
            <w:vAlign w:val="center"/>
          </w:tcPr>
          <w:p w14:paraId="3595855B" w14:textId="77777777" w:rsidR="0049069E" w:rsidRPr="001A6305" w:rsidRDefault="0049069E" w:rsidP="001A6305">
            <w:pPr>
              <w:jc w:val="center"/>
              <w:rPr>
                <w:rFonts w:ascii="ITC Avant Garde" w:eastAsia="Times New Roman" w:hAnsi="ITC Avant Garde" w:cs="Arial"/>
                <w:sz w:val="18"/>
                <w:szCs w:val="18"/>
                <w:lang w:val="es-ES" w:eastAsia="es-ES"/>
              </w:rPr>
            </w:pPr>
            <w:r w:rsidRPr="001A6305">
              <w:rPr>
                <w:rFonts w:ascii="ITC Avant Garde" w:eastAsia="Times New Roman" w:hAnsi="ITC Avant Garde" w:cs="Arial"/>
                <w:sz w:val="18"/>
                <w:szCs w:val="18"/>
                <w:lang w:val="es-ES" w:eastAsia="es-ES"/>
              </w:rPr>
              <w:t xml:space="preserve">Red Local Fija de Telmex y </w:t>
            </w:r>
            <w:proofErr w:type="spellStart"/>
            <w:r w:rsidRPr="001A6305">
              <w:rPr>
                <w:rFonts w:ascii="ITC Avant Garde" w:eastAsia="Times New Roman" w:hAnsi="ITC Avant Garde" w:cs="Arial"/>
                <w:sz w:val="18"/>
                <w:szCs w:val="18"/>
                <w:lang w:val="es-ES" w:eastAsia="es-ES"/>
              </w:rPr>
              <w:t>Telnor</w:t>
            </w:r>
            <w:proofErr w:type="spellEnd"/>
            <w:r w:rsidRPr="001A6305">
              <w:rPr>
                <w:rFonts w:ascii="ITC Avant Garde" w:eastAsia="Times New Roman" w:hAnsi="ITC Avant Garde" w:cs="Arial"/>
                <w:sz w:val="18"/>
                <w:szCs w:val="18"/>
                <w:lang w:val="es-ES" w:eastAsia="es-ES"/>
              </w:rPr>
              <w:t xml:space="preserve">-Red Local Fija de </w:t>
            </w:r>
            <w:proofErr w:type="spellStart"/>
            <w:r w:rsidRPr="001A6305">
              <w:rPr>
                <w:rFonts w:ascii="ITC Avant Garde" w:eastAsia="Times New Roman" w:hAnsi="ITC Avant Garde" w:cs="Arial"/>
                <w:sz w:val="18"/>
                <w:szCs w:val="18"/>
                <w:lang w:val="es-ES" w:eastAsia="es-ES"/>
              </w:rPr>
              <w:t>Avantel</w:t>
            </w:r>
            <w:proofErr w:type="spellEnd"/>
            <w:r w:rsidRPr="001A6305">
              <w:rPr>
                <w:rFonts w:ascii="ITC Avant Garde" w:eastAsia="Times New Roman" w:hAnsi="ITC Avant Garde" w:cs="Arial"/>
                <w:sz w:val="18"/>
                <w:szCs w:val="18"/>
                <w:lang w:val="es-ES" w:eastAsia="es-ES"/>
              </w:rPr>
              <w:t xml:space="preserve"> para el periodo 2016</w:t>
            </w:r>
          </w:p>
        </w:tc>
        <w:tc>
          <w:tcPr>
            <w:tcW w:w="1791" w:type="dxa"/>
            <w:vAlign w:val="center"/>
          </w:tcPr>
          <w:p w14:paraId="4429BACA" w14:textId="77777777" w:rsidR="0049069E" w:rsidRPr="001A6305" w:rsidRDefault="005E502C" w:rsidP="001A6305">
            <w:pPr>
              <w:ind w:firstLine="29"/>
              <w:jc w:val="center"/>
              <w:rPr>
                <w:rFonts w:ascii="ITC Avant Garde" w:eastAsia="Times New Roman" w:hAnsi="ITC Avant Garde" w:cs="Arial"/>
                <w:sz w:val="18"/>
                <w:szCs w:val="18"/>
                <w:lang w:val="es-ES" w:eastAsia="es-ES"/>
              </w:rPr>
            </w:pPr>
            <w:r w:rsidRPr="001A6305">
              <w:rPr>
                <w:rFonts w:ascii="ITC Avant Garde" w:eastAsia="Times New Roman" w:hAnsi="ITC Avant Garde" w:cs="Arial"/>
                <w:sz w:val="18"/>
                <w:szCs w:val="18"/>
                <w:lang w:val="es-ES" w:eastAsia="es-ES"/>
              </w:rPr>
              <w:t>15 de julio</w:t>
            </w:r>
            <w:r w:rsidR="0049069E" w:rsidRPr="001A6305">
              <w:rPr>
                <w:rFonts w:ascii="ITC Avant Garde" w:eastAsia="Times New Roman" w:hAnsi="ITC Avant Garde" w:cs="Arial"/>
                <w:sz w:val="18"/>
                <w:szCs w:val="18"/>
                <w:lang w:val="es-ES" w:eastAsia="es-ES"/>
              </w:rPr>
              <w:t xml:space="preserve"> de 2015.</w:t>
            </w:r>
          </w:p>
        </w:tc>
      </w:tr>
      <w:tr w:rsidR="005E502C" w:rsidRPr="001A6305" w14:paraId="604C0635" w14:textId="77777777" w:rsidTr="001A6305">
        <w:trPr>
          <w:trHeight w:val="984"/>
          <w:jc w:val="right"/>
        </w:trPr>
        <w:tc>
          <w:tcPr>
            <w:tcW w:w="1549" w:type="dxa"/>
            <w:noWrap/>
            <w:vAlign w:val="center"/>
          </w:tcPr>
          <w:p w14:paraId="7C208A56" w14:textId="77777777" w:rsidR="0049069E" w:rsidRPr="001A6305" w:rsidRDefault="0049069E" w:rsidP="001A6305">
            <w:pPr>
              <w:jc w:val="center"/>
              <w:rPr>
                <w:rFonts w:ascii="ITC Avant Garde" w:eastAsia="Times New Roman" w:hAnsi="ITC Avant Garde" w:cs="Arial"/>
                <w:sz w:val="18"/>
                <w:szCs w:val="18"/>
                <w:lang w:val="es-ES" w:eastAsia="es-ES"/>
              </w:rPr>
            </w:pPr>
            <w:r w:rsidRPr="001A6305">
              <w:rPr>
                <w:rFonts w:ascii="ITC Avant Garde" w:hAnsi="ITC Avant Garde"/>
                <w:bCs/>
                <w:sz w:val="18"/>
                <w:szCs w:val="18"/>
              </w:rPr>
              <w:t>IFT/UPR/</w:t>
            </w:r>
            <w:r w:rsidR="005E502C" w:rsidRPr="001A6305">
              <w:rPr>
                <w:rFonts w:ascii="ITC Avant Garde" w:hAnsi="ITC Avant Garde"/>
                <w:bCs/>
                <w:sz w:val="18"/>
                <w:szCs w:val="18"/>
              </w:rPr>
              <w:t>1508</w:t>
            </w:r>
          </w:p>
        </w:tc>
        <w:tc>
          <w:tcPr>
            <w:tcW w:w="2833" w:type="dxa"/>
            <w:vAlign w:val="center"/>
          </w:tcPr>
          <w:p w14:paraId="07680D64" w14:textId="77777777" w:rsidR="0049069E" w:rsidRPr="001A6305" w:rsidRDefault="0049069E" w:rsidP="001A6305">
            <w:pPr>
              <w:jc w:val="center"/>
              <w:rPr>
                <w:rFonts w:ascii="ITC Avant Garde" w:eastAsia="Times New Roman" w:hAnsi="ITC Avant Garde" w:cs="Arial"/>
                <w:sz w:val="18"/>
                <w:szCs w:val="18"/>
                <w:lang w:val="en-US" w:eastAsia="es-ES"/>
              </w:rPr>
            </w:pPr>
            <w:r w:rsidRPr="001A6305">
              <w:rPr>
                <w:rFonts w:ascii="ITC Avant Garde" w:eastAsia="Times New Roman" w:hAnsi="ITC Avant Garde" w:cs="Arial"/>
                <w:sz w:val="18"/>
                <w:szCs w:val="18"/>
                <w:lang w:val="en-US" w:eastAsia="es-ES"/>
              </w:rPr>
              <w:t>IFT/221/UPR/DG-RIRST/201.150715/ITX</w:t>
            </w:r>
          </w:p>
        </w:tc>
        <w:tc>
          <w:tcPr>
            <w:tcW w:w="2559" w:type="dxa"/>
            <w:vAlign w:val="center"/>
          </w:tcPr>
          <w:p w14:paraId="3DD66A74" w14:textId="77777777" w:rsidR="0049069E" w:rsidRPr="001A6305" w:rsidRDefault="0049069E" w:rsidP="001A6305">
            <w:pPr>
              <w:jc w:val="center"/>
              <w:rPr>
                <w:rFonts w:ascii="ITC Avant Garde" w:eastAsia="Times New Roman" w:hAnsi="ITC Avant Garde" w:cs="Arial"/>
                <w:sz w:val="18"/>
                <w:szCs w:val="18"/>
                <w:lang w:val="es-ES" w:eastAsia="es-ES"/>
              </w:rPr>
            </w:pPr>
            <w:r w:rsidRPr="001A6305">
              <w:rPr>
                <w:rFonts w:ascii="ITC Avant Garde" w:eastAsia="Times New Roman" w:hAnsi="ITC Avant Garde" w:cs="Arial"/>
                <w:sz w:val="18"/>
                <w:szCs w:val="18"/>
                <w:lang w:val="es-ES" w:eastAsia="es-ES"/>
              </w:rPr>
              <w:t xml:space="preserve">Red Local Fija de Telmex y </w:t>
            </w:r>
            <w:proofErr w:type="spellStart"/>
            <w:r w:rsidRPr="001A6305">
              <w:rPr>
                <w:rFonts w:ascii="ITC Avant Garde" w:eastAsia="Times New Roman" w:hAnsi="ITC Avant Garde" w:cs="Arial"/>
                <w:sz w:val="18"/>
                <w:szCs w:val="18"/>
                <w:lang w:val="es-ES" w:eastAsia="es-ES"/>
              </w:rPr>
              <w:t>Telnor</w:t>
            </w:r>
            <w:proofErr w:type="spellEnd"/>
            <w:r w:rsidRPr="001A6305">
              <w:rPr>
                <w:rFonts w:ascii="ITC Avant Garde" w:eastAsia="Times New Roman" w:hAnsi="ITC Avant Garde" w:cs="Arial"/>
                <w:sz w:val="18"/>
                <w:szCs w:val="18"/>
                <w:lang w:val="es-ES" w:eastAsia="es-ES"/>
              </w:rPr>
              <w:t>–Red Local Fija de Axtel para el periodo 2016.</w:t>
            </w:r>
          </w:p>
        </w:tc>
        <w:tc>
          <w:tcPr>
            <w:tcW w:w="1791" w:type="dxa"/>
            <w:vAlign w:val="center"/>
          </w:tcPr>
          <w:p w14:paraId="65BEB5A9" w14:textId="77777777" w:rsidR="0049069E" w:rsidRPr="001A6305" w:rsidRDefault="005E502C" w:rsidP="001A6305">
            <w:pPr>
              <w:jc w:val="center"/>
              <w:rPr>
                <w:rFonts w:ascii="ITC Avant Garde" w:eastAsia="Times New Roman" w:hAnsi="ITC Avant Garde" w:cs="Arial"/>
                <w:sz w:val="18"/>
                <w:szCs w:val="18"/>
                <w:lang w:val="es-ES" w:eastAsia="es-ES"/>
              </w:rPr>
            </w:pPr>
            <w:r w:rsidRPr="001A6305">
              <w:rPr>
                <w:rFonts w:ascii="ITC Avant Garde" w:eastAsia="Times New Roman" w:hAnsi="ITC Avant Garde" w:cs="Arial"/>
                <w:sz w:val="18"/>
                <w:szCs w:val="18"/>
                <w:lang w:val="es-ES" w:eastAsia="es-ES"/>
              </w:rPr>
              <w:t>15 de julio</w:t>
            </w:r>
            <w:r w:rsidR="0049069E" w:rsidRPr="001A6305">
              <w:rPr>
                <w:rFonts w:ascii="ITC Avant Garde" w:eastAsia="Times New Roman" w:hAnsi="ITC Avant Garde" w:cs="Arial"/>
                <w:sz w:val="18"/>
                <w:szCs w:val="18"/>
                <w:lang w:val="es-ES" w:eastAsia="es-ES"/>
              </w:rPr>
              <w:t xml:space="preserve"> de 2015.</w:t>
            </w:r>
          </w:p>
        </w:tc>
      </w:tr>
    </w:tbl>
    <w:p w14:paraId="6F6F3041" w14:textId="77777777" w:rsidR="001A6305" w:rsidRPr="001A6305" w:rsidRDefault="005E502C" w:rsidP="001A6305">
      <w:pPr>
        <w:spacing w:before="240" w:line="240" w:lineRule="auto"/>
        <w:ind w:left="567"/>
        <w:jc w:val="both"/>
        <w:rPr>
          <w:rFonts w:ascii="ITC Avant Garde" w:hAnsi="ITC Avant Garde" w:cs="Arial"/>
        </w:rPr>
      </w:pPr>
      <w:r w:rsidRPr="001A6305">
        <w:rPr>
          <w:rFonts w:ascii="ITC Avant Garde" w:hAnsi="ITC Avant Garde" w:cs="Arial"/>
        </w:rPr>
        <w:t>El procedimiento fue sustanciado en todas y cada una de sus etapas en estricto apego a lo establecido en el artículo 129 de la LFTR. Lo cual se encuentra plenamente documentado en las constancias que integran el expediente administrativo en comento, mismo que ha estado en todo momento a disposición de las partes, las cuales tienen pleno conocimiento de su contenido.</w:t>
      </w:r>
    </w:p>
    <w:p w14:paraId="37089EF2" w14:textId="77777777" w:rsidR="001A6305" w:rsidRPr="001A6305" w:rsidRDefault="005E502C" w:rsidP="001A6305">
      <w:pPr>
        <w:spacing w:before="240" w:line="240" w:lineRule="auto"/>
        <w:ind w:left="567"/>
        <w:jc w:val="both"/>
        <w:rPr>
          <w:rFonts w:ascii="ITC Avant Garde" w:hAnsi="ITC Avant Garde" w:cs="Arial"/>
        </w:rPr>
      </w:pPr>
      <w:r w:rsidRPr="001A6305">
        <w:rPr>
          <w:rFonts w:ascii="ITC Avant Garde" w:hAnsi="ITC Avant Garde" w:cs="Arial"/>
        </w:rPr>
        <w:lastRenderedPageBreak/>
        <w:t>Es así que con fecha 9 de octubre de 2015 el Instituto notificó a las partes que el procedimiento guardaba estado para que el Pleno del Instituto dictase la resolución correspondiente.</w:t>
      </w:r>
    </w:p>
    <w:p w14:paraId="3BBEE904" w14:textId="77777777" w:rsidR="001A6305" w:rsidRPr="001A6305" w:rsidRDefault="00064FDE" w:rsidP="001A6305">
      <w:pPr>
        <w:pStyle w:val="Prrafodelista"/>
        <w:numPr>
          <w:ilvl w:val="0"/>
          <w:numId w:val="24"/>
        </w:numPr>
        <w:tabs>
          <w:tab w:val="left" w:pos="567"/>
        </w:tabs>
        <w:spacing w:before="240" w:line="240" w:lineRule="auto"/>
        <w:ind w:left="567" w:right="48" w:hanging="207"/>
        <w:jc w:val="both"/>
        <w:rPr>
          <w:rFonts w:ascii="ITC Avant Garde" w:hAnsi="ITC Avant Garde" w:cs="Arial"/>
          <w:b/>
          <w:bCs/>
        </w:rPr>
      </w:pPr>
      <w:r w:rsidRPr="001A6305">
        <w:rPr>
          <w:rFonts w:ascii="ITC Avant Garde" w:hAnsi="ITC Avant Garde"/>
          <w:b/>
          <w:lang w:val="es-ES"/>
        </w:rPr>
        <w:t>Emisión</w:t>
      </w:r>
      <w:r w:rsidRPr="001A6305">
        <w:rPr>
          <w:rFonts w:ascii="ITC Avant Garde" w:hAnsi="ITC Avant Garde" w:cs="Arial"/>
          <w:b/>
        </w:rPr>
        <w:t xml:space="preserve"> del </w:t>
      </w:r>
      <w:r w:rsidRPr="001A6305">
        <w:rPr>
          <w:rFonts w:ascii="ITC Avant Garde" w:hAnsi="ITC Avant Garde"/>
          <w:b/>
          <w:lang w:val="es-ES"/>
        </w:rPr>
        <w:t>Acuerdo</w:t>
      </w:r>
      <w:r w:rsidR="00E50078" w:rsidRPr="001A6305">
        <w:rPr>
          <w:rFonts w:ascii="ITC Avant Garde" w:hAnsi="ITC Avant Garde" w:cs="Arial"/>
          <w:b/>
        </w:rPr>
        <w:t xml:space="preserve"> P/IFT/041</w:t>
      </w:r>
      <w:r w:rsidRPr="001A6305">
        <w:rPr>
          <w:rFonts w:ascii="ITC Avant Garde" w:hAnsi="ITC Avant Garde" w:cs="Arial"/>
          <w:b/>
        </w:rPr>
        <w:t>115/5</w:t>
      </w:r>
      <w:r w:rsidR="00E50078" w:rsidRPr="001A6305">
        <w:rPr>
          <w:rFonts w:ascii="ITC Avant Garde" w:hAnsi="ITC Avant Garde" w:cs="Arial"/>
          <w:b/>
        </w:rPr>
        <w:t>12</w:t>
      </w:r>
      <w:r w:rsidRPr="001A6305">
        <w:rPr>
          <w:rFonts w:ascii="ITC Avant Garde" w:hAnsi="ITC Avant Garde" w:cs="Arial"/>
          <w:b/>
        </w:rPr>
        <w:t xml:space="preserve">. </w:t>
      </w:r>
      <w:r w:rsidRPr="001A6305">
        <w:rPr>
          <w:rFonts w:ascii="ITC Avant Garde" w:hAnsi="ITC Avant Garde" w:cs="Arial"/>
        </w:rPr>
        <w:t xml:space="preserve">El </w:t>
      </w:r>
      <w:r w:rsidR="00DA3BDC" w:rsidRPr="001A6305">
        <w:rPr>
          <w:rFonts w:ascii="ITC Avant Garde" w:hAnsi="ITC Avant Garde" w:cs="Arial"/>
        </w:rPr>
        <w:t>4</w:t>
      </w:r>
      <w:r w:rsidRPr="001A6305">
        <w:rPr>
          <w:rFonts w:ascii="ITC Avant Garde" w:hAnsi="ITC Avant Garde" w:cs="Arial"/>
        </w:rPr>
        <w:t xml:space="preserve"> de </w:t>
      </w:r>
      <w:r w:rsidR="00DA3BDC" w:rsidRPr="001A6305">
        <w:rPr>
          <w:rFonts w:ascii="ITC Avant Garde" w:hAnsi="ITC Avant Garde" w:cs="Arial"/>
        </w:rPr>
        <w:t>noviembre</w:t>
      </w:r>
      <w:r w:rsidRPr="001A6305">
        <w:rPr>
          <w:rFonts w:ascii="ITC Avant Garde" w:hAnsi="ITC Avant Garde" w:cs="Arial"/>
        </w:rPr>
        <w:t xml:space="preserve"> de 2015, el Pleno del Instituto, en su </w:t>
      </w:r>
      <w:r w:rsidR="00DA3BDC" w:rsidRPr="001A6305">
        <w:rPr>
          <w:rFonts w:ascii="ITC Avant Garde" w:hAnsi="ITC Avant Garde" w:cs="Arial"/>
        </w:rPr>
        <w:t>en su XXV Sesión Ordinaria</w:t>
      </w:r>
      <w:r w:rsidRPr="001A6305">
        <w:rPr>
          <w:rFonts w:ascii="ITC Avant Garde" w:hAnsi="ITC Avant Garde" w:cs="Arial"/>
        </w:rPr>
        <w:t>, mediante Acuerdo</w:t>
      </w:r>
      <w:r w:rsidRPr="001A6305">
        <w:rPr>
          <w:rFonts w:ascii="ITC Avant Garde" w:hAnsi="ITC Avant Garde" w:cs="Arial"/>
          <w:b/>
        </w:rPr>
        <w:t xml:space="preserve"> </w:t>
      </w:r>
      <w:r w:rsidRPr="001A6305">
        <w:rPr>
          <w:rFonts w:ascii="ITC Avant Garde" w:hAnsi="ITC Avant Garde" w:cs="Arial"/>
        </w:rPr>
        <w:t>P/IFT/</w:t>
      </w:r>
      <w:r w:rsidR="00DA3BDC" w:rsidRPr="001A6305">
        <w:rPr>
          <w:rFonts w:ascii="ITC Avant Garde" w:hAnsi="ITC Avant Garde" w:cs="Arial"/>
        </w:rPr>
        <w:t>041115/512</w:t>
      </w:r>
      <w:r w:rsidRPr="001A6305">
        <w:rPr>
          <w:rFonts w:ascii="ITC Avant Garde" w:hAnsi="ITC Avant Garde" w:cs="Arial"/>
        </w:rPr>
        <w:t xml:space="preserve">, </w:t>
      </w:r>
      <w:r w:rsidRPr="001A6305">
        <w:rPr>
          <w:rFonts w:ascii="ITC Avant Garde" w:hAnsi="ITC Avant Garde" w:cs="Arial"/>
          <w:bCs/>
        </w:rPr>
        <w:t>emitió la “</w:t>
      </w:r>
      <w:r w:rsidR="00DA3BDC" w:rsidRPr="001A6305">
        <w:rPr>
          <w:rFonts w:ascii="ITC Avant Garde" w:hAnsi="ITC Avant Garde" w:cs="Arial"/>
          <w:bCs/>
          <w:iCs/>
        </w:rPr>
        <w:t xml:space="preserve">RESOLUCIÓN MEDIANTE LA CUAL EL PLENO DEL INSTITUTO FEDERAL DE TELECOMUNICACIONES DETERMINA LAS CONDICIONES DE INTERCONEXIÓN NO CONVENIDAS ENTRE LAS EMPRESAS TELÉFONOS DE MÉXICO, S.A.B. DE C.V., TELÉFONOS DEL NOROESTE, S.A. DE C.V. Y LAS EMPRESAS AVANTEL, S. DE R.L. DE C.V. </w:t>
      </w:r>
      <w:r w:rsidR="00DA3BDC" w:rsidRPr="001A6305">
        <w:rPr>
          <w:rFonts w:ascii="ITC Avant Garde" w:hAnsi="ITC Avant Garde" w:cs="Arial"/>
          <w:bCs/>
          <w:lang w:val="es-ES"/>
        </w:rPr>
        <w:t xml:space="preserve">Y </w:t>
      </w:r>
      <w:r w:rsidR="00DA3BDC" w:rsidRPr="001A6305">
        <w:rPr>
          <w:rFonts w:ascii="ITC Avant Garde" w:hAnsi="ITC Avant Garde" w:cs="Arial"/>
          <w:bCs/>
        </w:rPr>
        <w:t xml:space="preserve">AXTEL, S.A.B. DE C.V. </w:t>
      </w:r>
      <w:r w:rsidR="00DA3BDC" w:rsidRPr="001A6305">
        <w:rPr>
          <w:rFonts w:ascii="ITC Avant Garde" w:hAnsi="ITC Avant Garde" w:cs="Arial"/>
          <w:bCs/>
          <w:lang w:val="es-ES"/>
        </w:rPr>
        <w:t>APLICABLES DEL 1 DE ENERO AL 31 DE DICIEMBRE DE 2016</w:t>
      </w:r>
      <w:r w:rsidRPr="001A6305">
        <w:rPr>
          <w:rFonts w:ascii="ITC Avant Garde" w:hAnsi="ITC Avant Garde" w:cs="Arial"/>
          <w:bCs/>
        </w:rPr>
        <w:t>.”</w:t>
      </w:r>
      <w:r w:rsidR="00823A36" w:rsidRPr="001A6305">
        <w:rPr>
          <w:rFonts w:ascii="ITC Avant Garde" w:hAnsi="ITC Avant Garde" w:cs="Arial"/>
          <w:bCs/>
        </w:rPr>
        <w:t>,</w:t>
      </w:r>
      <w:r w:rsidR="0044194E" w:rsidRPr="001A6305">
        <w:rPr>
          <w:rFonts w:ascii="ITC Avant Garde" w:hAnsi="ITC Avant Garde" w:cs="Arial"/>
          <w:bCs/>
        </w:rPr>
        <w:t xml:space="preserve"> (en lo sucesivo, la “Resolución P/IFT/041115/512”)</w:t>
      </w:r>
      <w:r w:rsidR="00823A36" w:rsidRPr="001A6305">
        <w:rPr>
          <w:rFonts w:ascii="ITC Avant Garde" w:hAnsi="ITC Avant Garde" w:cs="Arial"/>
          <w:bCs/>
        </w:rPr>
        <w:t>.</w:t>
      </w:r>
    </w:p>
    <w:p w14:paraId="7A357016" w14:textId="77777777" w:rsidR="001A6305" w:rsidRPr="001A6305" w:rsidRDefault="00064FDE" w:rsidP="001A6305">
      <w:pPr>
        <w:pStyle w:val="Prrafodelista"/>
        <w:numPr>
          <w:ilvl w:val="0"/>
          <w:numId w:val="24"/>
        </w:numPr>
        <w:tabs>
          <w:tab w:val="left" w:pos="567"/>
        </w:tabs>
        <w:spacing w:before="240" w:line="240" w:lineRule="auto"/>
        <w:ind w:left="567" w:right="48" w:hanging="283"/>
        <w:jc w:val="both"/>
        <w:rPr>
          <w:rFonts w:ascii="ITC Avant Garde" w:hAnsi="ITC Avant Garde"/>
          <w:lang w:val="es-ES"/>
        </w:rPr>
      </w:pPr>
      <w:r w:rsidRPr="001A6305">
        <w:rPr>
          <w:rFonts w:ascii="ITC Avant Garde" w:hAnsi="ITC Avant Garde" w:cs="Arial"/>
          <w:b/>
        </w:rPr>
        <w:t>Cumplimento</w:t>
      </w:r>
      <w:r w:rsidRPr="001A6305">
        <w:rPr>
          <w:rFonts w:ascii="ITC Avant Garde" w:hAnsi="ITC Avant Garde" w:cs="Arial"/>
          <w:b/>
          <w:bCs/>
        </w:rPr>
        <w:t xml:space="preserve"> </w:t>
      </w:r>
      <w:r w:rsidRPr="001A6305">
        <w:rPr>
          <w:rFonts w:ascii="ITC Avant Garde" w:hAnsi="ITC Avant Garde"/>
          <w:b/>
          <w:lang w:val="es-ES"/>
        </w:rPr>
        <w:t>a la ejecutoria de</w:t>
      </w:r>
      <w:r w:rsidR="000877C5" w:rsidRPr="001A6305">
        <w:rPr>
          <w:rFonts w:ascii="ITC Avant Garde" w:hAnsi="ITC Avant Garde"/>
          <w:b/>
          <w:lang w:val="es-ES"/>
        </w:rPr>
        <w:t>l</w:t>
      </w:r>
      <w:r w:rsidRPr="001A6305">
        <w:rPr>
          <w:rFonts w:ascii="ITC Avant Garde" w:hAnsi="ITC Avant Garde"/>
          <w:b/>
          <w:lang w:val="es-ES"/>
        </w:rPr>
        <w:t xml:space="preserve"> amparo en revisión R.A.</w:t>
      </w:r>
      <w:r w:rsidR="00DA3BDC" w:rsidRPr="001A6305">
        <w:rPr>
          <w:rFonts w:ascii="ITC Avant Garde" w:hAnsi="ITC Avant Garde"/>
          <w:b/>
          <w:lang w:val="es-ES"/>
        </w:rPr>
        <w:t>171</w:t>
      </w:r>
      <w:r w:rsidRPr="001A6305">
        <w:rPr>
          <w:rFonts w:ascii="ITC Avant Garde" w:hAnsi="ITC Avant Garde"/>
          <w:b/>
          <w:lang w:val="es-ES"/>
        </w:rPr>
        <w:t>/2016</w:t>
      </w:r>
      <w:r w:rsidRPr="001A6305">
        <w:rPr>
          <w:rFonts w:ascii="ITC Avant Garde" w:hAnsi="ITC Avant Garde"/>
          <w:lang w:val="es-ES"/>
        </w:rPr>
        <w:t xml:space="preserve">. Mediante ejecutoria de fecha </w:t>
      </w:r>
      <w:r w:rsidR="00DA3BDC" w:rsidRPr="001A6305">
        <w:rPr>
          <w:rFonts w:ascii="ITC Avant Garde" w:hAnsi="ITC Avant Garde"/>
          <w:lang w:val="es-ES"/>
        </w:rPr>
        <w:t>18</w:t>
      </w:r>
      <w:r w:rsidRPr="001A6305">
        <w:rPr>
          <w:rFonts w:ascii="ITC Avant Garde" w:hAnsi="ITC Avant Garde"/>
          <w:lang w:val="es-ES"/>
        </w:rPr>
        <w:t xml:space="preserve"> de </w:t>
      </w:r>
      <w:r w:rsidR="00DA3BDC" w:rsidRPr="001A6305">
        <w:rPr>
          <w:rFonts w:ascii="ITC Avant Garde" w:hAnsi="ITC Avant Garde"/>
          <w:lang w:val="es-ES"/>
        </w:rPr>
        <w:t>mayo</w:t>
      </w:r>
      <w:r w:rsidR="00E50078" w:rsidRPr="001A6305">
        <w:rPr>
          <w:rFonts w:ascii="ITC Avant Garde" w:hAnsi="ITC Avant Garde"/>
          <w:lang w:val="es-ES"/>
        </w:rPr>
        <w:t xml:space="preserve"> </w:t>
      </w:r>
      <w:r w:rsidRPr="001A6305">
        <w:rPr>
          <w:rFonts w:ascii="ITC Avant Garde" w:hAnsi="ITC Avant Garde"/>
          <w:lang w:val="es-ES"/>
        </w:rPr>
        <w:t>de 2017 correspondiente a</w:t>
      </w:r>
      <w:r w:rsidR="00E50078" w:rsidRPr="001A6305">
        <w:rPr>
          <w:rFonts w:ascii="ITC Avant Garde" w:hAnsi="ITC Avant Garde"/>
          <w:lang w:val="es-ES"/>
        </w:rPr>
        <w:t>l amparo</w:t>
      </w:r>
      <w:r w:rsidR="00DA3BDC" w:rsidRPr="001A6305">
        <w:rPr>
          <w:rFonts w:ascii="ITC Avant Garde" w:hAnsi="ITC Avant Garde"/>
          <w:lang w:val="es-ES"/>
        </w:rPr>
        <w:t xml:space="preserve"> en revisión R.A. 171</w:t>
      </w:r>
      <w:r w:rsidRPr="001A6305">
        <w:rPr>
          <w:rFonts w:ascii="ITC Avant Garde" w:hAnsi="ITC Avant Garde"/>
          <w:lang w:val="es-ES"/>
        </w:rPr>
        <w:t xml:space="preserve">/2016, el Segundo Tribunal Colegiado en Materia Administrativa Especializado en Competencia Económica, Radiodifusión y Telecomunicaciones, confirmó dejar insubsistente la Resolución </w:t>
      </w:r>
      <w:r w:rsidRPr="001A6305">
        <w:rPr>
          <w:rFonts w:ascii="ITC Avant Garde" w:hAnsi="ITC Avant Garde" w:cs="Arial"/>
        </w:rPr>
        <w:t>P/IFT/</w:t>
      </w:r>
      <w:r w:rsidR="00DA3BDC" w:rsidRPr="001A6305">
        <w:rPr>
          <w:rFonts w:ascii="ITC Avant Garde" w:hAnsi="ITC Avant Garde" w:cs="Arial"/>
        </w:rPr>
        <w:t>041115</w:t>
      </w:r>
      <w:r w:rsidRPr="001A6305">
        <w:rPr>
          <w:rFonts w:ascii="ITC Avant Garde" w:hAnsi="ITC Avant Garde" w:cs="Arial"/>
        </w:rPr>
        <w:t>/51</w:t>
      </w:r>
      <w:r w:rsidR="00DA3BDC" w:rsidRPr="001A6305">
        <w:rPr>
          <w:rFonts w:ascii="ITC Avant Garde" w:hAnsi="ITC Avant Garde" w:cs="Arial"/>
        </w:rPr>
        <w:t>2</w:t>
      </w:r>
      <w:r w:rsidRPr="001A6305">
        <w:rPr>
          <w:rFonts w:ascii="ITC Avant Garde" w:hAnsi="ITC Avant Garde" w:cs="Arial"/>
        </w:rPr>
        <w:t xml:space="preserve"> </w:t>
      </w:r>
      <w:r w:rsidRPr="001A6305">
        <w:rPr>
          <w:rFonts w:ascii="ITC Avant Garde" w:hAnsi="ITC Avant Garde"/>
          <w:lang w:val="es-ES"/>
        </w:rPr>
        <w:t xml:space="preserve">y </w:t>
      </w:r>
      <w:r w:rsidR="0044194E" w:rsidRPr="001A6305">
        <w:rPr>
          <w:rFonts w:ascii="ITC Avant Garde" w:hAnsi="ITC Avant Garde"/>
          <w:lang w:val="es-ES"/>
        </w:rPr>
        <w:t>reponer el procedimiento</w:t>
      </w:r>
      <w:r w:rsidRPr="001A6305">
        <w:rPr>
          <w:rFonts w:ascii="ITC Avant Garde" w:hAnsi="ITC Avant Garde"/>
          <w:lang w:val="es-ES"/>
        </w:rPr>
        <w:t>.</w:t>
      </w:r>
    </w:p>
    <w:p w14:paraId="51744CC7" w14:textId="77777777" w:rsidR="001A6305" w:rsidRPr="001A6305" w:rsidRDefault="00BF167B" w:rsidP="001A6305">
      <w:pPr>
        <w:tabs>
          <w:tab w:val="left" w:pos="426"/>
        </w:tabs>
        <w:spacing w:before="240" w:line="240" w:lineRule="auto"/>
        <w:ind w:left="-284" w:right="567"/>
        <w:jc w:val="both"/>
        <w:rPr>
          <w:rFonts w:ascii="ITC Avant Garde" w:hAnsi="ITC Avant Garde" w:cs="Arial"/>
        </w:rPr>
      </w:pPr>
      <w:r w:rsidRPr="001A6305">
        <w:rPr>
          <w:rFonts w:ascii="ITC Avant Garde" w:hAnsi="ITC Avant Garde" w:cs="Arial"/>
        </w:rPr>
        <w:t>En virtud de los referidos Antecedentes, y</w:t>
      </w:r>
    </w:p>
    <w:p w14:paraId="53E20DE2" w14:textId="77777777" w:rsidR="001A6305" w:rsidRPr="001A6305" w:rsidRDefault="00BF167B" w:rsidP="001A6305">
      <w:pPr>
        <w:pStyle w:val="Ttulo2"/>
        <w:keepLines/>
        <w:spacing w:before="40" w:after="240"/>
        <w:jc w:val="center"/>
        <w:rPr>
          <w:rFonts w:ascii="ITC Avant Garde" w:eastAsiaTheme="majorEastAsia" w:hAnsi="ITC Avant Garde" w:cstheme="majorBidi"/>
          <w:color w:val="000000" w:themeColor="text1"/>
          <w:szCs w:val="22"/>
        </w:rPr>
      </w:pPr>
      <w:r w:rsidRPr="001A6305">
        <w:rPr>
          <w:rFonts w:ascii="ITC Avant Garde" w:eastAsiaTheme="majorEastAsia" w:hAnsi="ITC Avant Garde" w:cstheme="majorBidi"/>
          <w:color w:val="000000" w:themeColor="text1"/>
          <w:szCs w:val="22"/>
        </w:rPr>
        <w:t>CONSIDERANDO</w:t>
      </w:r>
    </w:p>
    <w:p w14:paraId="7F73F12C" w14:textId="75B24A87" w:rsidR="001A6305" w:rsidRPr="001A6305" w:rsidRDefault="00E50078" w:rsidP="001A6305">
      <w:pPr>
        <w:widowControl w:val="0"/>
        <w:tabs>
          <w:tab w:val="left" w:pos="720"/>
          <w:tab w:val="center" w:pos="4419"/>
          <w:tab w:val="right" w:pos="8838"/>
        </w:tabs>
        <w:spacing w:before="240" w:line="240" w:lineRule="auto"/>
        <w:jc w:val="both"/>
        <w:rPr>
          <w:rFonts w:ascii="ITC Avant Garde" w:hAnsi="ITC Avant Garde" w:cs="Arial"/>
        </w:rPr>
      </w:pPr>
      <w:r w:rsidRPr="001A6305">
        <w:rPr>
          <w:rFonts w:ascii="ITC Avant Garde" w:eastAsia="Times New Roman" w:hAnsi="ITC Avant Garde" w:cs="Arial"/>
          <w:b/>
          <w:szCs w:val="20"/>
        </w:rPr>
        <w:t xml:space="preserve">PRIMERO.- Cumplimiento a la ejecutoria </w:t>
      </w:r>
      <w:r w:rsidRPr="001A6305">
        <w:rPr>
          <w:rFonts w:ascii="ITC Avant Garde" w:hAnsi="ITC Avant Garde"/>
          <w:b/>
          <w:lang w:val="es-ES"/>
        </w:rPr>
        <w:t>del amparo en revisión R.A.171/2016</w:t>
      </w:r>
      <w:r w:rsidRPr="001A6305">
        <w:rPr>
          <w:rFonts w:ascii="ITC Avant Garde" w:eastAsia="Times New Roman" w:hAnsi="ITC Avant Garde" w:cs="Arial"/>
          <w:b/>
          <w:szCs w:val="20"/>
        </w:rPr>
        <w:t xml:space="preserve">. </w:t>
      </w:r>
      <w:r w:rsidRPr="001A6305">
        <w:rPr>
          <w:rFonts w:ascii="ITC Avant Garde" w:eastAsia="Times New Roman" w:hAnsi="ITC Avant Garde" w:cs="Arial"/>
          <w:szCs w:val="20"/>
        </w:rPr>
        <w:t xml:space="preserve">Con </w:t>
      </w:r>
      <w:r w:rsidRPr="001A6305">
        <w:rPr>
          <w:rFonts w:ascii="ITC Avant Garde" w:eastAsia="Times New Roman" w:hAnsi="ITC Avant Garde"/>
          <w:szCs w:val="20"/>
        </w:rPr>
        <w:t>fecha 04 de noviembre de 2015, el Pleno del Instituto emitió la R</w:t>
      </w:r>
      <w:r w:rsidR="0044194E" w:rsidRPr="001A6305">
        <w:rPr>
          <w:rFonts w:ascii="ITC Avant Garde" w:eastAsia="Times New Roman" w:hAnsi="ITC Avant Garde"/>
          <w:szCs w:val="20"/>
        </w:rPr>
        <w:t>esolución</w:t>
      </w:r>
      <w:r w:rsidR="00545E68" w:rsidRPr="001A6305">
        <w:rPr>
          <w:rFonts w:ascii="ITC Avant Garde" w:hAnsi="ITC Avant Garde" w:cs="Arial"/>
          <w:b/>
        </w:rPr>
        <w:t xml:space="preserve"> </w:t>
      </w:r>
      <w:r w:rsidR="00545E68" w:rsidRPr="001A6305">
        <w:rPr>
          <w:rFonts w:ascii="ITC Avant Garde" w:hAnsi="ITC Avant Garde" w:cs="Arial"/>
        </w:rPr>
        <w:t>P/IFT/041115/512.</w:t>
      </w:r>
    </w:p>
    <w:p w14:paraId="54ABC91E" w14:textId="77777777" w:rsidR="001A6305" w:rsidRPr="001A6305" w:rsidRDefault="00E50078" w:rsidP="001A6305">
      <w:pPr>
        <w:pStyle w:val="TEXT"/>
        <w:widowControl w:val="0"/>
        <w:tabs>
          <w:tab w:val="clear" w:pos="360"/>
          <w:tab w:val="clear" w:pos="1080"/>
          <w:tab w:val="clear" w:pos="1440"/>
          <w:tab w:val="center" w:pos="4419"/>
          <w:tab w:val="right" w:pos="8838"/>
        </w:tabs>
        <w:spacing w:before="240" w:after="200" w:line="240" w:lineRule="auto"/>
        <w:rPr>
          <w:rFonts w:ascii="ITC Avant Garde" w:hAnsi="ITC Avant Garde"/>
          <w:b/>
          <w:u w:val="single"/>
          <w:lang w:val="es-ES" w:eastAsia="es-ES"/>
        </w:rPr>
      </w:pPr>
      <w:r w:rsidRPr="001A6305">
        <w:rPr>
          <w:rFonts w:ascii="ITC Avant Garde" w:hAnsi="ITC Avant Garde"/>
          <w:b/>
          <w:u w:val="single"/>
          <w:lang w:val="es-ES"/>
        </w:rPr>
        <w:t>A</w:t>
      </w:r>
      <w:r w:rsidR="00545E68" w:rsidRPr="001A6305">
        <w:rPr>
          <w:rFonts w:ascii="ITC Avant Garde" w:hAnsi="ITC Avant Garde"/>
          <w:b/>
          <w:u w:val="single"/>
          <w:lang w:val="es-ES"/>
        </w:rPr>
        <w:t>mparo en revisión R.A.171</w:t>
      </w:r>
      <w:r w:rsidRPr="001A6305">
        <w:rPr>
          <w:rFonts w:ascii="ITC Avant Garde" w:hAnsi="ITC Avant Garde"/>
          <w:b/>
          <w:u w:val="single"/>
          <w:lang w:val="es-ES"/>
        </w:rPr>
        <w:t>/2016</w:t>
      </w:r>
    </w:p>
    <w:p w14:paraId="47FA16C6" w14:textId="77777777" w:rsidR="001A6305" w:rsidRPr="001A6305" w:rsidRDefault="00E50078" w:rsidP="001A6305">
      <w:pPr>
        <w:widowControl w:val="0"/>
        <w:tabs>
          <w:tab w:val="left" w:pos="720"/>
          <w:tab w:val="center" w:pos="4419"/>
          <w:tab w:val="right" w:pos="8838"/>
        </w:tabs>
        <w:spacing w:before="240" w:line="240" w:lineRule="auto"/>
        <w:jc w:val="both"/>
        <w:rPr>
          <w:rFonts w:ascii="ITC Avant Garde" w:eastAsia="Times New Roman" w:hAnsi="ITC Avant Garde"/>
          <w:szCs w:val="20"/>
        </w:rPr>
      </w:pPr>
      <w:r w:rsidRPr="001A6305">
        <w:rPr>
          <w:rFonts w:ascii="ITC Avant Garde" w:eastAsia="Times New Roman" w:hAnsi="ITC Avant Garde"/>
          <w:szCs w:val="20"/>
        </w:rPr>
        <w:t xml:space="preserve">El 9 de </w:t>
      </w:r>
      <w:r w:rsidR="00545E68" w:rsidRPr="001A6305">
        <w:rPr>
          <w:rFonts w:ascii="ITC Avant Garde" w:eastAsia="Times New Roman" w:hAnsi="ITC Avant Garde"/>
          <w:szCs w:val="20"/>
        </w:rPr>
        <w:t>diciembre de 2015</w:t>
      </w:r>
      <w:r w:rsidRPr="001A6305">
        <w:rPr>
          <w:rFonts w:ascii="ITC Avant Garde" w:eastAsia="Times New Roman" w:hAnsi="ITC Avant Garde"/>
          <w:szCs w:val="20"/>
        </w:rPr>
        <w:t xml:space="preserve"> el representante legal de </w:t>
      </w:r>
      <w:proofErr w:type="spellStart"/>
      <w:r w:rsidR="00545E68" w:rsidRPr="001A6305">
        <w:rPr>
          <w:rFonts w:ascii="ITC Avant Garde" w:eastAsia="Times New Roman" w:hAnsi="ITC Avant Garde"/>
          <w:szCs w:val="20"/>
        </w:rPr>
        <w:t>Avantel</w:t>
      </w:r>
      <w:proofErr w:type="spellEnd"/>
      <w:r w:rsidR="00545E68" w:rsidRPr="001A6305">
        <w:rPr>
          <w:rFonts w:ascii="ITC Avant Garde" w:eastAsia="Times New Roman" w:hAnsi="ITC Avant Garde"/>
          <w:szCs w:val="20"/>
        </w:rPr>
        <w:t xml:space="preserve"> y Axtel</w:t>
      </w:r>
      <w:r w:rsidRPr="001A6305">
        <w:rPr>
          <w:rFonts w:ascii="ITC Avant Garde" w:eastAsia="Times New Roman" w:hAnsi="ITC Avant Garde"/>
          <w:szCs w:val="20"/>
        </w:rPr>
        <w:t xml:space="preserve"> presentó en la Oficina de Correspondencia Común de los Juzgados de Distrito y Tribunales Colegiados en Materia Administrativa Especializados en Competencia Económica, Radiodifusión y Telecomunicaciones y del Centro Auxiliar de la Primera Región, escrito mediante el cual demandó el amparo y protección de la justicia federal, señalando entre otros, como acto reclamado la resolución citada en el párrafo anterior.</w:t>
      </w:r>
    </w:p>
    <w:p w14:paraId="57F9D97D" w14:textId="77777777" w:rsidR="001A6305" w:rsidRPr="001A6305" w:rsidRDefault="00E50078" w:rsidP="001A6305">
      <w:pPr>
        <w:pStyle w:val="Textoindependiente"/>
        <w:widowControl w:val="0"/>
        <w:tabs>
          <w:tab w:val="left" w:pos="720"/>
          <w:tab w:val="center" w:pos="4419"/>
          <w:tab w:val="right" w:pos="8838"/>
        </w:tabs>
        <w:spacing w:before="240" w:line="240" w:lineRule="auto"/>
        <w:jc w:val="both"/>
        <w:rPr>
          <w:rFonts w:ascii="ITC Avant Garde" w:eastAsia="Times New Roman" w:hAnsi="ITC Avant Garde" w:cs="Arial"/>
        </w:rPr>
      </w:pPr>
      <w:r w:rsidRPr="001A6305">
        <w:rPr>
          <w:rFonts w:ascii="ITC Avant Garde" w:hAnsi="ITC Avant Garde" w:cs="Arial"/>
        </w:rPr>
        <w:t>Mediante Acuerdo de fecha 1</w:t>
      </w:r>
      <w:r w:rsidR="00545E68" w:rsidRPr="001A6305">
        <w:rPr>
          <w:rFonts w:ascii="ITC Avant Garde" w:hAnsi="ITC Avant Garde" w:cs="Arial"/>
        </w:rPr>
        <w:t>0</w:t>
      </w:r>
      <w:r w:rsidRPr="001A6305">
        <w:rPr>
          <w:rFonts w:ascii="ITC Avant Garde" w:hAnsi="ITC Avant Garde" w:cs="Arial"/>
        </w:rPr>
        <w:t xml:space="preserve"> de </w:t>
      </w:r>
      <w:r w:rsidR="00545E68" w:rsidRPr="001A6305">
        <w:rPr>
          <w:rFonts w:ascii="ITC Avant Garde" w:hAnsi="ITC Avant Garde" w:cs="Arial"/>
        </w:rPr>
        <w:t xml:space="preserve">diciembre </w:t>
      </w:r>
      <w:r w:rsidRPr="001A6305">
        <w:rPr>
          <w:rFonts w:ascii="ITC Avant Garde" w:hAnsi="ITC Avant Garde" w:cs="Arial"/>
        </w:rPr>
        <w:t>de 201</w:t>
      </w:r>
      <w:r w:rsidR="00545E68" w:rsidRPr="001A6305">
        <w:rPr>
          <w:rFonts w:ascii="ITC Avant Garde" w:hAnsi="ITC Avant Garde" w:cs="Arial"/>
        </w:rPr>
        <w:t>5</w:t>
      </w:r>
      <w:r w:rsidRPr="001A6305">
        <w:rPr>
          <w:rFonts w:ascii="ITC Avant Garde" w:hAnsi="ITC Avant Garde" w:cs="Arial"/>
        </w:rPr>
        <w:t xml:space="preserve">, la Juez </w:t>
      </w:r>
      <w:r w:rsidR="00545E68" w:rsidRPr="001A6305">
        <w:rPr>
          <w:rFonts w:ascii="ITC Avant Garde" w:hAnsi="ITC Avant Garde" w:cs="Arial"/>
        </w:rPr>
        <w:t xml:space="preserve">Primero </w:t>
      </w:r>
      <w:r w:rsidRPr="001A6305">
        <w:rPr>
          <w:rFonts w:ascii="ITC Avant Garde" w:hAnsi="ITC Avant Garde" w:cs="Arial"/>
        </w:rPr>
        <w:t xml:space="preserve">de Distrito en Materia Administrativa especializada en Competencia Económica, Radiodifusión y Telecomunicaciones con residencia en la Ciudad de México y jurisdicción en toda la República, a quien por turno correspondió conocer del asunto, registró la demanda de amparo bajo el número </w:t>
      </w:r>
      <w:r w:rsidR="00545E68" w:rsidRPr="001A6305">
        <w:rPr>
          <w:rFonts w:ascii="ITC Avant Garde" w:hAnsi="ITC Avant Garde" w:cs="Arial"/>
        </w:rPr>
        <w:t>1714</w:t>
      </w:r>
      <w:r w:rsidRPr="001A6305">
        <w:rPr>
          <w:rFonts w:ascii="ITC Avant Garde" w:hAnsi="ITC Avant Garde" w:cs="Arial"/>
        </w:rPr>
        <w:t>/201</w:t>
      </w:r>
      <w:r w:rsidR="00B66E1F" w:rsidRPr="001A6305">
        <w:rPr>
          <w:rFonts w:ascii="ITC Avant Garde" w:hAnsi="ITC Avant Garde" w:cs="Arial"/>
        </w:rPr>
        <w:t>5</w:t>
      </w:r>
      <w:r w:rsidRPr="001A6305">
        <w:rPr>
          <w:rFonts w:ascii="ITC Avant Garde" w:hAnsi="ITC Avant Garde" w:cs="Arial"/>
        </w:rPr>
        <w:t xml:space="preserve"> </w:t>
      </w:r>
      <w:r w:rsidR="00545E68" w:rsidRPr="001A6305">
        <w:rPr>
          <w:rFonts w:ascii="ITC Avant Garde" w:hAnsi="ITC Avant Garde" w:cs="Arial"/>
        </w:rPr>
        <w:t>lo</w:t>
      </w:r>
      <w:r w:rsidRPr="001A6305">
        <w:rPr>
          <w:rFonts w:ascii="ITC Avant Garde" w:hAnsi="ITC Avant Garde" w:cs="Arial"/>
        </w:rPr>
        <w:t xml:space="preserve"> admitió </w:t>
      </w:r>
      <w:r w:rsidR="00545E68" w:rsidRPr="001A6305">
        <w:rPr>
          <w:rFonts w:ascii="ITC Avant Garde" w:hAnsi="ITC Avant Garde" w:cs="Arial"/>
        </w:rPr>
        <w:t>a trámite</w:t>
      </w:r>
      <w:r w:rsidRPr="001A6305">
        <w:rPr>
          <w:rFonts w:ascii="ITC Avant Garde" w:hAnsi="ITC Avant Garde" w:cs="Arial"/>
        </w:rPr>
        <w:t>, solicitó a la</w:t>
      </w:r>
      <w:r w:rsidR="00545E68" w:rsidRPr="001A6305">
        <w:rPr>
          <w:rFonts w:ascii="ITC Avant Garde" w:hAnsi="ITC Avant Garde" w:cs="Arial"/>
        </w:rPr>
        <w:t xml:space="preserve"> autoridad</w:t>
      </w:r>
      <w:r w:rsidRPr="001A6305">
        <w:rPr>
          <w:rFonts w:ascii="ITC Avant Garde" w:hAnsi="ITC Avant Garde" w:cs="Arial"/>
        </w:rPr>
        <w:t xml:space="preserve"> responsable su informe justificado, dio al Agente del Ministerio Público de la Federación </w:t>
      </w:r>
      <w:r w:rsidR="00545E68" w:rsidRPr="001A6305">
        <w:rPr>
          <w:rFonts w:ascii="ITC Avant Garde" w:hAnsi="ITC Avant Garde" w:cs="Arial"/>
        </w:rPr>
        <w:t>la participaci</w:t>
      </w:r>
      <w:r w:rsidR="00AE5104" w:rsidRPr="001A6305">
        <w:rPr>
          <w:rFonts w:ascii="ITC Avant Garde" w:hAnsi="ITC Avant Garde" w:cs="Arial"/>
        </w:rPr>
        <w:t>ón legal correspond</w:t>
      </w:r>
      <w:r w:rsidR="00545E68" w:rsidRPr="001A6305">
        <w:rPr>
          <w:rFonts w:ascii="ITC Avant Garde" w:hAnsi="ITC Avant Garde" w:cs="Arial"/>
        </w:rPr>
        <w:t>i</w:t>
      </w:r>
      <w:r w:rsidR="00AE5104" w:rsidRPr="001A6305">
        <w:rPr>
          <w:rFonts w:ascii="ITC Avant Garde" w:hAnsi="ITC Avant Garde" w:cs="Arial"/>
        </w:rPr>
        <w:t>e</w:t>
      </w:r>
      <w:r w:rsidR="00545E68" w:rsidRPr="001A6305">
        <w:rPr>
          <w:rFonts w:ascii="ITC Avant Garde" w:hAnsi="ITC Avant Garde" w:cs="Arial"/>
        </w:rPr>
        <w:t>nte</w:t>
      </w:r>
      <w:r w:rsidR="00B66E1F" w:rsidRPr="001A6305">
        <w:rPr>
          <w:rFonts w:ascii="ITC Avant Garde" w:hAnsi="ITC Avant Garde" w:cs="Arial"/>
        </w:rPr>
        <w:t xml:space="preserve"> y seguidos los trámites de ley, el </w:t>
      </w:r>
      <w:r w:rsidR="00AE5104" w:rsidRPr="001A6305">
        <w:rPr>
          <w:rFonts w:ascii="ITC Avant Garde" w:hAnsi="ITC Avant Garde" w:cs="Arial"/>
        </w:rPr>
        <w:t>14</w:t>
      </w:r>
      <w:r w:rsidRPr="001A6305">
        <w:rPr>
          <w:rFonts w:ascii="ITC Avant Garde" w:hAnsi="ITC Avant Garde" w:cs="Arial"/>
        </w:rPr>
        <w:t xml:space="preserve"> de octubre de 2016</w:t>
      </w:r>
      <w:r w:rsidR="00AE5104" w:rsidRPr="001A6305">
        <w:rPr>
          <w:rFonts w:ascii="ITC Avant Garde" w:hAnsi="ITC Avant Garde" w:cs="Arial"/>
        </w:rPr>
        <w:t xml:space="preserve"> </w:t>
      </w:r>
      <w:r w:rsidRPr="001A6305">
        <w:rPr>
          <w:rFonts w:ascii="ITC Avant Garde" w:hAnsi="ITC Avant Garde" w:cs="Arial"/>
        </w:rPr>
        <w:t xml:space="preserve">dictó sentencia </w:t>
      </w:r>
      <w:r w:rsidR="00AE5104" w:rsidRPr="001A6305">
        <w:rPr>
          <w:rFonts w:ascii="ITC Avant Garde" w:hAnsi="ITC Avant Garde" w:cs="Arial"/>
        </w:rPr>
        <w:t>en la que</w:t>
      </w:r>
      <w:r w:rsidR="00B66E1F" w:rsidRPr="001A6305">
        <w:rPr>
          <w:rFonts w:ascii="ITC Avant Garde" w:hAnsi="ITC Avant Garde" w:cs="Arial"/>
        </w:rPr>
        <w:t>,</w:t>
      </w:r>
      <w:r w:rsidR="00AE5104" w:rsidRPr="001A6305">
        <w:rPr>
          <w:rFonts w:ascii="ITC Avant Garde" w:hAnsi="ITC Avant Garde" w:cs="Arial"/>
        </w:rPr>
        <w:t xml:space="preserve"> por una </w:t>
      </w:r>
      <w:r w:rsidR="00000DF7" w:rsidRPr="001A6305">
        <w:rPr>
          <w:rFonts w:ascii="ITC Avant Garde" w:hAnsi="ITC Avant Garde" w:cs="Arial"/>
        </w:rPr>
        <w:t>parte se</w:t>
      </w:r>
      <w:r w:rsidRPr="001A6305">
        <w:rPr>
          <w:rFonts w:ascii="ITC Avant Garde" w:hAnsi="ITC Avant Garde" w:cs="Arial"/>
        </w:rPr>
        <w:t xml:space="preserve"> sobreseyó en </w:t>
      </w:r>
      <w:r w:rsidR="00AE5104" w:rsidRPr="001A6305">
        <w:rPr>
          <w:rFonts w:ascii="ITC Avant Garde" w:hAnsi="ITC Avant Garde" w:cs="Arial"/>
        </w:rPr>
        <w:t xml:space="preserve">el juicio y por la otra </w:t>
      </w:r>
      <w:r w:rsidRPr="001A6305">
        <w:rPr>
          <w:rFonts w:ascii="ITC Avant Garde" w:hAnsi="ITC Avant Garde" w:cs="Arial"/>
        </w:rPr>
        <w:t xml:space="preserve">se concedió </w:t>
      </w:r>
      <w:r w:rsidR="00AE5104" w:rsidRPr="001A6305">
        <w:rPr>
          <w:rFonts w:ascii="ITC Avant Garde" w:hAnsi="ITC Avant Garde" w:cs="Arial"/>
        </w:rPr>
        <w:t>el amparo</w:t>
      </w:r>
      <w:r w:rsidRPr="001A6305">
        <w:rPr>
          <w:rFonts w:ascii="ITC Avant Garde" w:hAnsi="ITC Avant Garde" w:cs="Arial"/>
        </w:rPr>
        <w:t xml:space="preserve"> solicitado</w:t>
      </w:r>
      <w:r w:rsidR="00AE5104" w:rsidRPr="001A6305">
        <w:rPr>
          <w:rFonts w:ascii="ITC Avant Garde" w:hAnsi="ITC Avant Garde" w:cs="Arial"/>
        </w:rPr>
        <w:t>.</w:t>
      </w:r>
    </w:p>
    <w:p w14:paraId="16F974CF" w14:textId="77777777" w:rsidR="001A6305" w:rsidRPr="001A6305" w:rsidRDefault="00E50078" w:rsidP="001A6305">
      <w:pPr>
        <w:widowControl w:val="0"/>
        <w:tabs>
          <w:tab w:val="left" w:pos="720"/>
          <w:tab w:val="center" w:pos="4419"/>
          <w:tab w:val="right" w:pos="8838"/>
        </w:tabs>
        <w:spacing w:before="240" w:line="240" w:lineRule="auto"/>
        <w:jc w:val="both"/>
        <w:rPr>
          <w:rFonts w:ascii="ITC Avant Garde" w:eastAsia="Times New Roman" w:hAnsi="ITC Avant Garde" w:cs="Arial"/>
          <w:szCs w:val="20"/>
        </w:rPr>
      </w:pPr>
      <w:r w:rsidRPr="001A6305">
        <w:rPr>
          <w:rFonts w:ascii="ITC Avant Garde" w:eastAsia="Times New Roman" w:hAnsi="ITC Avant Garde" w:cs="Arial"/>
          <w:szCs w:val="20"/>
        </w:rPr>
        <w:lastRenderedPageBreak/>
        <w:t xml:space="preserve">Ahora bien, dado que </w:t>
      </w:r>
      <w:r w:rsidR="00AE5104" w:rsidRPr="001A6305">
        <w:rPr>
          <w:rFonts w:ascii="ITC Avant Garde" w:eastAsia="Times New Roman" w:hAnsi="ITC Avant Garde" w:cs="Arial"/>
          <w:szCs w:val="20"/>
        </w:rPr>
        <w:t>Tel</w:t>
      </w:r>
      <w:r w:rsidR="00B66E1F" w:rsidRPr="001A6305">
        <w:rPr>
          <w:rFonts w:ascii="ITC Avant Garde" w:eastAsia="Times New Roman" w:hAnsi="ITC Avant Garde" w:cs="Arial"/>
          <w:szCs w:val="20"/>
        </w:rPr>
        <w:t>mex</w:t>
      </w:r>
      <w:r w:rsidRPr="001A6305">
        <w:rPr>
          <w:rFonts w:ascii="ITC Avant Garde" w:eastAsia="Times New Roman" w:hAnsi="ITC Avant Garde" w:cs="Arial"/>
          <w:szCs w:val="20"/>
        </w:rPr>
        <w:t xml:space="preserve"> y el Instituto quedaron inconformes con la sentencia, interpusieron recurso de revisión, los cuales fueron turnados al Segundo Tribunal Colegiado de Circuito </w:t>
      </w:r>
      <w:r w:rsidRPr="001A6305">
        <w:rPr>
          <w:rFonts w:ascii="ITC Avant Garde" w:eastAsia="Times New Roman" w:hAnsi="ITC Avant Garde"/>
          <w:szCs w:val="20"/>
        </w:rPr>
        <w:t xml:space="preserve">en Materia Administrativa especializado en Competencia Económica, Radiodifusión y Telecomunicaciones </w:t>
      </w:r>
      <w:r w:rsidRPr="001A6305">
        <w:rPr>
          <w:rFonts w:ascii="ITC Avant Garde" w:eastAsia="Times New Roman" w:hAnsi="ITC Avant Garde" w:cs="Arial"/>
          <w:szCs w:val="20"/>
        </w:rPr>
        <w:t>con residencia en la Ciudad de México y jurisdicción en toda la República, mismos que se admitieron a trámite y se r</w:t>
      </w:r>
      <w:r w:rsidR="00AE5104" w:rsidRPr="001A6305">
        <w:rPr>
          <w:rFonts w:ascii="ITC Avant Garde" w:eastAsia="Times New Roman" w:hAnsi="ITC Avant Garde" w:cs="Arial"/>
          <w:szCs w:val="20"/>
        </w:rPr>
        <w:t>egistraron bajo el toca R.A. 171</w:t>
      </w:r>
      <w:r w:rsidRPr="001A6305">
        <w:rPr>
          <w:rFonts w:ascii="ITC Avant Garde" w:eastAsia="Times New Roman" w:hAnsi="ITC Avant Garde" w:cs="Arial"/>
          <w:szCs w:val="20"/>
        </w:rPr>
        <w:t xml:space="preserve">/2016, y en cuya ejecutoria de fecha </w:t>
      </w:r>
      <w:r w:rsidR="00000DF7" w:rsidRPr="001A6305">
        <w:rPr>
          <w:rFonts w:ascii="ITC Avant Garde" w:eastAsia="Times New Roman" w:hAnsi="ITC Avant Garde" w:cs="Arial"/>
          <w:szCs w:val="20"/>
        </w:rPr>
        <w:t>18</w:t>
      </w:r>
      <w:r w:rsidRPr="001A6305">
        <w:rPr>
          <w:rFonts w:ascii="ITC Avant Garde" w:eastAsia="Times New Roman" w:hAnsi="ITC Avant Garde" w:cs="Arial"/>
          <w:szCs w:val="20"/>
        </w:rPr>
        <w:t xml:space="preserve"> de </w:t>
      </w:r>
      <w:r w:rsidR="00DE1497" w:rsidRPr="001A6305">
        <w:rPr>
          <w:rFonts w:ascii="ITC Avant Garde" w:eastAsia="Times New Roman" w:hAnsi="ITC Avant Garde" w:cs="Arial"/>
          <w:szCs w:val="20"/>
        </w:rPr>
        <w:t>mayo</w:t>
      </w:r>
      <w:r w:rsidRPr="001A6305">
        <w:rPr>
          <w:rFonts w:ascii="ITC Avant Garde" w:eastAsia="Times New Roman" w:hAnsi="ITC Avant Garde" w:cs="Arial"/>
          <w:szCs w:val="20"/>
        </w:rPr>
        <w:t xml:space="preserve"> de 2017, consideró lo siguiente:</w:t>
      </w:r>
    </w:p>
    <w:p w14:paraId="076B16D1" w14:textId="27197710"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w:t>
      </w:r>
    </w:p>
    <w:p w14:paraId="3256FC82"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 xml:space="preserve">“En el </w:t>
      </w:r>
      <w:r w:rsidRPr="001A6305">
        <w:rPr>
          <w:rFonts w:ascii="ITC Avant Garde" w:eastAsiaTheme="minorHAnsi" w:hAnsi="ITC Avant Garde" w:cs="Helvetica"/>
          <w:b/>
          <w:sz w:val="19"/>
          <w:szCs w:val="19"/>
        </w:rPr>
        <w:t>primer concepto de violación,</w:t>
      </w:r>
      <w:r w:rsidR="00B66E1F" w:rsidRPr="001A6305">
        <w:rPr>
          <w:rFonts w:ascii="ITC Avant Garde" w:eastAsiaTheme="minorHAnsi" w:hAnsi="ITC Avant Garde" w:cs="Helvetica"/>
          <w:sz w:val="19"/>
          <w:szCs w:val="19"/>
        </w:rPr>
        <w:t xml:space="preserve"> las quejosas  </w:t>
      </w:r>
      <w:r w:rsidRPr="001A6305">
        <w:rPr>
          <w:rFonts w:ascii="ITC Avant Garde" w:eastAsiaTheme="minorHAnsi" w:hAnsi="ITC Avant Garde" w:cs="Helvetica"/>
          <w:sz w:val="19"/>
          <w:szCs w:val="19"/>
        </w:rPr>
        <w:t xml:space="preserve">aducen, en esencia, que la resolución de desacuerdo reclamada viola en su perjuicio las garantías de fundamentación, motivación y acceso a la justicia, en relación con lo dispuesto en la fracción 11 del artículo 129 de la Ley Federal de Telecomunicaciones </w:t>
      </w:r>
      <w:r w:rsidR="005E1596" w:rsidRPr="001A6305">
        <w:rPr>
          <w:rFonts w:ascii="ITC Avant Garde" w:eastAsiaTheme="minorHAnsi" w:hAnsi="ITC Avant Garde" w:cs="Helvetica"/>
          <w:sz w:val="19"/>
          <w:szCs w:val="19"/>
        </w:rPr>
        <w:t>y Radiodifusión.</w:t>
      </w:r>
    </w:p>
    <w:p w14:paraId="4E21E3FD"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 xml:space="preserve">Al respecto, destacan que en dicha resolución la autoridad responsable determinó que no podía entrar al estudio de la petición respecto de los servicios 900's, al no existir una descripción expresa y precisa del servicio sobre el cual solicitaron se determinara una tarifa, considerando que las condiciones fueron planteadas de forma ambigua. </w:t>
      </w:r>
    </w:p>
    <w:p w14:paraId="053435CF"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Por ello, sostienen que el Instituto Federal de Telecomunicaciones debió requerirlas a efecto de aclarar, abundar o subsanar, a satisfacción de la responsable, cuál fue efectivamente el planteamiento hecho respecto a dicho servicio de interconexión, por lo que dicha omisión constituye una violación al procedimiento que afectó sus defensas y trascendió al resultado del fallo.</w:t>
      </w:r>
    </w:p>
    <w:p w14:paraId="3F00F1F5"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 xml:space="preserve">Se estima esencialmente fundado y suficiente para otorgar la protección constitucional lo manifestado por las quejosas, por las razones que enseguida se exponen: </w:t>
      </w:r>
    </w:p>
    <w:p w14:paraId="224F20D8" w14:textId="77777777" w:rsidR="009F3BCF" w:rsidRPr="001A6305" w:rsidRDefault="009F3BCF" w:rsidP="001A6305">
      <w:pPr>
        <w:spacing w:before="240" w:line="240" w:lineRule="auto"/>
        <w:ind w:left="567" w:right="615"/>
        <w:jc w:val="both"/>
        <w:rPr>
          <w:rFonts w:ascii="ITC Avant Garde" w:eastAsiaTheme="minorHAnsi" w:hAnsi="ITC Avant Garde" w:cs="Helvetica"/>
          <w:bCs/>
          <w:iCs/>
          <w:sz w:val="19"/>
          <w:szCs w:val="19"/>
        </w:rPr>
      </w:pPr>
      <w:r w:rsidRPr="001A6305">
        <w:rPr>
          <w:rFonts w:ascii="ITC Avant Garde" w:eastAsiaTheme="minorHAnsi" w:hAnsi="ITC Avant Garde" w:cs="Helvetica"/>
          <w:sz w:val="19"/>
          <w:szCs w:val="19"/>
        </w:rPr>
        <w:t xml:space="preserve">De conformidad con los artículos 15, fracción X, 129 </w:t>
      </w:r>
      <w:r w:rsidR="00EA04BB" w:rsidRPr="001A6305">
        <w:rPr>
          <w:rFonts w:ascii="ITC Avant Garde" w:eastAsiaTheme="minorHAnsi" w:hAnsi="ITC Avant Garde" w:cs="Helvetica"/>
          <w:sz w:val="19"/>
          <w:szCs w:val="19"/>
        </w:rPr>
        <w:t>y</w:t>
      </w:r>
      <w:r w:rsidRPr="001A6305">
        <w:rPr>
          <w:rFonts w:ascii="ITC Avant Garde" w:eastAsiaTheme="minorHAnsi" w:hAnsi="ITC Avant Garde" w:cs="Helvetica"/>
          <w:sz w:val="19"/>
          <w:szCs w:val="19"/>
        </w:rPr>
        <w:t xml:space="preserve"> 131, inciso b), párrafo segundo, de la Ley Federal de Telecomunicaciones y Radiodifusión</w:t>
      </w:r>
      <w:r w:rsidRPr="001A6305">
        <w:rPr>
          <w:rFonts w:ascii="ITC Avant Garde" w:eastAsiaTheme="minorHAnsi" w:hAnsi="ITC Avant Garde"/>
          <w:sz w:val="19"/>
          <w:szCs w:val="19"/>
        </w:rPr>
        <w:t xml:space="preserve">, </w:t>
      </w:r>
      <w:r w:rsidRPr="001A6305">
        <w:rPr>
          <w:rFonts w:ascii="ITC Avant Garde" w:eastAsiaTheme="minorHAnsi" w:hAnsi="ITC Avant Garde" w:cs="Helvetica"/>
          <w:sz w:val="19"/>
          <w:szCs w:val="19"/>
        </w:rPr>
        <w:t xml:space="preserve">el Instituto Federal de </w:t>
      </w:r>
      <w:r w:rsidRPr="001A6305">
        <w:rPr>
          <w:rFonts w:ascii="ITC Avant Garde" w:eastAsiaTheme="minorHAnsi" w:hAnsi="ITC Avant Garde" w:cs="Helvetica"/>
          <w:bCs/>
          <w:sz w:val="19"/>
          <w:szCs w:val="19"/>
        </w:rPr>
        <w:t>Telecomunicaciones cuenta con la facultad de resolver los desacuerdos que se presenten entre concesionarios sobre cuestiones relacionadas con los términos y condiciones de los</w:t>
      </w:r>
      <w:r w:rsidR="00EA04BB" w:rsidRPr="001A6305">
        <w:rPr>
          <w:rFonts w:ascii="ITC Avant Garde" w:eastAsiaTheme="minorHAnsi" w:hAnsi="ITC Avant Garde" w:cs="Helvetica"/>
          <w:bCs/>
          <w:sz w:val="19"/>
          <w:szCs w:val="19"/>
        </w:rPr>
        <w:t xml:space="preserve"> </w:t>
      </w:r>
      <w:r w:rsidRPr="001A6305">
        <w:rPr>
          <w:rFonts w:ascii="ITC Avant Garde" w:eastAsiaTheme="minorHAnsi" w:hAnsi="ITC Avant Garde" w:cs="Helvetica"/>
          <w:bCs/>
          <w:sz w:val="19"/>
          <w:szCs w:val="19"/>
        </w:rPr>
        <w:t xml:space="preserve">convenios de interconexión que están obligados a celebrar entre ellos </w:t>
      </w:r>
      <w:r w:rsidRPr="001A6305">
        <w:rPr>
          <w:rFonts w:ascii="ITC Avant Garde" w:eastAsiaTheme="minorHAnsi" w:hAnsi="ITC Avant Garde" w:cs="Helvetica"/>
          <w:bCs/>
          <w:iCs/>
          <w:sz w:val="19"/>
          <w:szCs w:val="19"/>
        </w:rPr>
        <w:t>-incluyendo las tarifas-.</w:t>
      </w:r>
    </w:p>
    <w:p w14:paraId="50ABB3F8" w14:textId="77777777" w:rsidR="009F3BCF" w:rsidRPr="001A6305" w:rsidRDefault="009F3BCF" w:rsidP="001A6305">
      <w:pPr>
        <w:spacing w:before="240" w:line="240" w:lineRule="auto"/>
        <w:ind w:left="567" w:right="615"/>
        <w:jc w:val="both"/>
        <w:rPr>
          <w:rFonts w:ascii="ITC Avant Garde" w:eastAsiaTheme="minorHAnsi" w:hAnsi="ITC Avant Garde" w:cs="Helvetica"/>
          <w:bCs/>
          <w:sz w:val="19"/>
          <w:szCs w:val="19"/>
        </w:rPr>
      </w:pPr>
      <w:r w:rsidRPr="001A6305">
        <w:rPr>
          <w:rFonts w:ascii="ITC Avant Garde" w:eastAsiaTheme="minorHAnsi" w:hAnsi="ITC Avant Garde" w:cs="Helvetica"/>
          <w:bCs/>
          <w:sz w:val="19"/>
          <w:szCs w:val="19"/>
        </w:rPr>
        <w:t xml:space="preserve">Al respecto, el citado artículo </w:t>
      </w:r>
      <w:r w:rsidRPr="001A6305">
        <w:rPr>
          <w:rFonts w:ascii="ITC Avant Garde" w:eastAsiaTheme="minorHAnsi" w:hAnsi="ITC Avant Garde" w:cs="Helvetica"/>
          <w:sz w:val="19"/>
          <w:szCs w:val="19"/>
        </w:rPr>
        <w:t xml:space="preserve">129 de </w:t>
      </w:r>
      <w:r w:rsidRPr="001A6305">
        <w:rPr>
          <w:rFonts w:ascii="ITC Avant Garde" w:eastAsiaTheme="minorHAnsi" w:hAnsi="ITC Avant Garde" w:cs="Helvetica"/>
          <w:bCs/>
          <w:sz w:val="19"/>
          <w:szCs w:val="19"/>
        </w:rPr>
        <w:t>la Ley Federal de Telecomunicaciones y Radiodifusión, señala que los concesionarios que operen redes públicas de telecomunicaciones deberán interconectar sus redes, suscribiendo un convenio en un plazo no mayor de sesenta días naturales contados a partir de que alguno de ellos lo solicite.</w:t>
      </w:r>
    </w:p>
    <w:p w14:paraId="6623FF18"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bCs/>
          <w:sz w:val="19"/>
          <w:szCs w:val="19"/>
        </w:rPr>
        <w:t xml:space="preserve">Para tal efecto, el Instituto establecerá un sistema electrónico a través del cual los concesionarios interesados </w:t>
      </w:r>
      <w:r w:rsidRPr="001A6305">
        <w:rPr>
          <w:rFonts w:ascii="ITC Avant Garde" w:eastAsiaTheme="minorHAnsi" w:hAnsi="ITC Avant Garde" w:cs="Helvetica"/>
          <w:sz w:val="19"/>
          <w:szCs w:val="19"/>
        </w:rPr>
        <w:t>en interconectar sus redes, tramitarán entre sí las solicitudes de suscripción de los convenios respectivos.</w:t>
      </w:r>
    </w:p>
    <w:p w14:paraId="0DFE18EF"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 xml:space="preserve">Transcurrido dicho plazo sin que se hubiere celebrado el convenio, la parte interesada deberá solicitar al Instituto que resuelva sobre las condiciones, términos y tarifas que no haya podido convenir con la otra parte, conforme al siguiente procedimiento: </w:t>
      </w:r>
    </w:p>
    <w:p w14:paraId="680F3ACD"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w:t>
      </w:r>
    </w:p>
    <w:p w14:paraId="2B4FAA3C"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lastRenderedPageBreak/>
        <w:t xml:space="preserve">II. Dentro de los cinco días hábiles siguientes, el Instituto deberá pronunciarse sobre la procedencia y admisión de la solicitud, </w:t>
      </w:r>
      <w:r w:rsidRPr="001A6305">
        <w:rPr>
          <w:rFonts w:ascii="ITC Avant Garde" w:eastAsiaTheme="minorHAnsi" w:hAnsi="ITC Avant Garde" w:cs="Helvetica"/>
          <w:sz w:val="19"/>
          <w:szCs w:val="19"/>
          <w:u w:val="single"/>
        </w:rPr>
        <w:t>en caso de considerarlo necesario podrá requerir al   solicitante</w:t>
      </w:r>
      <w:r w:rsidRPr="001A6305">
        <w:rPr>
          <w:rFonts w:ascii="ITC Avant Garde" w:eastAsiaTheme="minorHAnsi" w:hAnsi="ITC Avant Garde" w:cs="Helvetica"/>
          <w:sz w:val="19"/>
          <w:szCs w:val="19"/>
        </w:rPr>
        <w:t xml:space="preserve">;  </w:t>
      </w:r>
    </w:p>
    <w:p w14:paraId="2A427885"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w:t>
      </w:r>
    </w:p>
    <w:p w14:paraId="53164D0C"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 xml:space="preserve">Ahora bien, en el caso concreto, tal y como se precisó en los antecedentes descritos en el considerando séptimo de esta resolución, las hoy tercero interesadas solicitaron al Pleno del Instituto Federal de Telecomunicaciones su intervención para determinar la tarifa correspondiente a los servicios de terminación del servicio local en usuarios fijos que deberían pagar a las aquí quejosas, para el periodo comprendido entre el uno de enero y treinta y uno de </w:t>
      </w:r>
      <w:r w:rsidR="001C45CD" w:rsidRPr="001A6305">
        <w:rPr>
          <w:rFonts w:ascii="ITC Avant Garde" w:eastAsiaTheme="minorHAnsi" w:hAnsi="ITC Avant Garde" w:cs="Helvetica"/>
          <w:sz w:val="19"/>
          <w:szCs w:val="19"/>
        </w:rPr>
        <w:t>d</w:t>
      </w:r>
      <w:r w:rsidRPr="001A6305">
        <w:rPr>
          <w:rFonts w:ascii="ITC Avant Garde" w:eastAsiaTheme="minorHAnsi" w:hAnsi="ITC Avant Garde" w:cs="Helvetica"/>
          <w:sz w:val="19"/>
          <w:szCs w:val="19"/>
        </w:rPr>
        <w:t>iciembre de dos mil dieciséis.</w:t>
      </w:r>
    </w:p>
    <w:p w14:paraId="1996B12F"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Con motivo de dicha solicitud, el Instituto dio vista a las</w:t>
      </w:r>
      <w:r w:rsidR="006705F9" w:rsidRPr="001A6305">
        <w:rPr>
          <w:rFonts w:ascii="ITC Avant Garde" w:eastAsiaTheme="minorHAnsi" w:hAnsi="ITC Avant Garde" w:cs="Helvetica"/>
          <w:sz w:val="19"/>
          <w:szCs w:val="19"/>
        </w:rPr>
        <w:t xml:space="preserve"> </w:t>
      </w:r>
      <w:r w:rsidRPr="001A6305">
        <w:rPr>
          <w:rFonts w:ascii="ITC Avant Garde" w:eastAsiaTheme="minorHAnsi" w:hAnsi="ITC Avant Garde" w:cs="Helvetica"/>
          <w:sz w:val="19"/>
          <w:szCs w:val="19"/>
        </w:rPr>
        <w:t>hoy quejosas a efecto de que manifestaran lo que a su derecho conviniera e informaran si existían condiciones, términos y tarifas que no hubieren podido convenir con las aquí tercero interesadas; y, de ser el caso, señalaran expresamente en qué consistían dichas condiciones, términos y tarifas, fijaran su postura al respecto y ofrecieran los elementos de prueba que estimaran pertinentes.</w:t>
      </w:r>
    </w:p>
    <w:p w14:paraId="45181A29"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 xml:space="preserve">En desahogo a dicha vista, las aquí quejosas solicitaron, entre otras cuestiones, que también se incluyeran en las negociaciones las tarifas que las hoy tercero interesadas debían aplicar para el año dos mil dieciséis por los servicios de: i) Tránsito; ii) </w:t>
      </w:r>
      <w:proofErr w:type="spellStart"/>
      <w:r w:rsidRPr="001A6305">
        <w:rPr>
          <w:rFonts w:ascii="ITC Avant Garde" w:eastAsiaTheme="minorHAnsi" w:hAnsi="ITC Avant Garde" w:cs="Helvetica"/>
          <w:sz w:val="19"/>
          <w:szCs w:val="19"/>
        </w:rPr>
        <w:t>Originación</w:t>
      </w:r>
      <w:proofErr w:type="spellEnd"/>
      <w:r w:rsidRPr="001A6305">
        <w:rPr>
          <w:rFonts w:ascii="ITC Avant Garde" w:eastAsiaTheme="minorHAnsi" w:hAnsi="ITC Avant Garde" w:cs="Helvetica"/>
          <w:sz w:val="19"/>
          <w:szCs w:val="19"/>
        </w:rPr>
        <w:t xml:space="preserve">; iii) Servicios no conmutados de enlaces de larga distancia; iv) </w:t>
      </w:r>
      <w:proofErr w:type="spellStart"/>
      <w:r w:rsidRPr="001A6305">
        <w:rPr>
          <w:rFonts w:ascii="ITC Avant Garde" w:eastAsiaTheme="minorHAnsi" w:hAnsi="ITC Avant Garde" w:cs="Helvetica"/>
          <w:sz w:val="19"/>
          <w:szCs w:val="19"/>
        </w:rPr>
        <w:t>Coubicaciones</w:t>
      </w:r>
      <w:proofErr w:type="spellEnd"/>
      <w:r w:rsidRPr="001A6305">
        <w:rPr>
          <w:rFonts w:ascii="ITC Avant Garde" w:eastAsiaTheme="minorHAnsi" w:hAnsi="ITC Avant Garde" w:cs="Helvetica"/>
          <w:sz w:val="19"/>
          <w:szCs w:val="19"/>
        </w:rPr>
        <w:t xml:space="preserve">; v) Servicio de intercambio de información en directorios; vi) </w:t>
      </w:r>
      <w:r w:rsidRPr="001A6305">
        <w:rPr>
          <w:rFonts w:ascii="ITC Avant Garde" w:eastAsiaTheme="minorHAnsi" w:hAnsi="ITC Avant Garde" w:cs="Helvetica"/>
          <w:sz w:val="19"/>
          <w:szCs w:val="19"/>
          <w:u w:val="single"/>
        </w:rPr>
        <w:t>Servicio 900</w:t>
      </w:r>
      <w:r w:rsidRPr="001A6305">
        <w:rPr>
          <w:rFonts w:ascii="ITC Avant Garde" w:eastAsiaTheme="minorHAnsi" w:hAnsi="ITC Avant Garde" w:cs="Helvetica"/>
          <w:sz w:val="19"/>
          <w:szCs w:val="19"/>
        </w:rPr>
        <w:t>; y vii) Servicios de acceso a casetas públicas para números 800's en teléfonos públicos.</w:t>
      </w:r>
    </w:p>
    <w:p w14:paraId="48B078AD"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Sin embargo, como ya se destacó, en la resolución de desacuerdo reclamada la autoridad responsable manifestó que por lo que hace a la condición no convenida respecto del</w:t>
      </w:r>
      <w:r w:rsidR="001C45CD" w:rsidRPr="001A6305">
        <w:rPr>
          <w:rFonts w:ascii="ITC Avant Garde" w:eastAsiaTheme="minorHAnsi" w:hAnsi="ITC Avant Garde" w:cs="Helvetica"/>
          <w:sz w:val="19"/>
          <w:szCs w:val="19"/>
        </w:rPr>
        <w:t xml:space="preserve"> </w:t>
      </w:r>
      <w:r w:rsidRPr="001A6305">
        <w:rPr>
          <w:rFonts w:ascii="ITC Avant Garde" w:eastAsiaTheme="minorHAnsi" w:hAnsi="ITC Avant Garde" w:cs="Helvetica"/>
          <w:sz w:val="19"/>
          <w:szCs w:val="19"/>
        </w:rPr>
        <w:t>"Servicio 900", no podía entrar al estudio de dicha petición, al no existir una descripción expresa y precisa del servicio sobre el cual se requería se determinara una tarifa, refiriendo que se encontraba imposibilitada para resolver, ya que las condiciones habían sido planteadas de manera ambigua, señalando que dicha ambigüedad también le impidió a las tercero interesadas manifestar lo que a su derecho correspondiera.</w:t>
      </w:r>
    </w:p>
    <w:p w14:paraId="35126043"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 xml:space="preserve">En ese tenor, se estima ilegal la determinación de la responsable, pues se pone en evidencia una violación al procedimiento de desacuerdo de interconexión previsto en el mencionado artículo 129 de la Ley Federal de Telecomunicaciones, que amerita su reposición, pues dicha circunstancia indiscutiblemente trascendió al resultado del fallo, ya que para fijar debidamente la </w:t>
      </w:r>
      <w:proofErr w:type="spellStart"/>
      <w:r w:rsidRPr="001A6305">
        <w:rPr>
          <w:rFonts w:ascii="ITC Avant Garde" w:eastAsiaTheme="minorHAnsi" w:hAnsi="ITC Avant Garde" w:cs="Helvetica"/>
          <w:sz w:val="19"/>
          <w:szCs w:val="19"/>
        </w:rPr>
        <w:t>litis</w:t>
      </w:r>
      <w:proofErr w:type="spellEnd"/>
      <w:r w:rsidRPr="001A6305">
        <w:rPr>
          <w:rFonts w:ascii="ITC Avant Garde" w:eastAsiaTheme="minorHAnsi" w:hAnsi="ITC Avant Garde" w:cs="Helvetica"/>
          <w:sz w:val="19"/>
          <w:szCs w:val="19"/>
        </w:rPr>
        <w:t xml:space="preserve"> y no dejar en estado de indefensión a las concesionarios que intervinieron en el desacuerdo, era necesario que requiriera a las quejosas para que realizaran una descripción expresa y precisa del </w:t>
      </w:r>
      <w:r w:rsidR="00FD17C7" w:rsidRPr="001A6305">
        <w:rPr>
          <w:rFonts w:ascii="ITC Avant Garde" w:eastAsiaTheme="minorHAnsi" w:hAnsi="ITC Avant Garde" w:cs="Helvetica"/>
          <w:sz w:val="19"/>
          <w:szCs w:val="19"/>
        </w:rPr>
        <w:t>“</w:t>
      </w:r>
      <w:r w:rsidRPr="001A6305">
        <w:rPr>
          <w:rFonts w:ascii="ITC Avant Garde" w:eastAsiaTheme="minorHAnsi" w:hAnsi="ITC Avant Garde" w:cs="Helvetica"/>
          <w:sz w:val="19"/>
          <w:szCs w:val="19"/>
        </w:rPr>
        <w:t>Servicio 900</w:t>
      </w:r>
      <w:r w:rsidR="00FD17C7" w:rsidRPr="001A6305">
        <w:rPr>
          <w:rFonts w:ascii="ITC Avant Garde" w:eastAsiaTheme="minorHAnsi" w:hAnsi="ITC Avant Garde" w:cs="Helvetica"/>
          <w:sz w:val="19"/>
          <w:szCs w:val="19"/>
        </w:rPr>
        <w:t>”</w:t>
      </w:r>
      <w:r w:rsidRPr="001A6305">
        <w:rPr>
          <w:rFonts w:ascii="ITC Avant Garde" w:eastAsiaTheme="minorHAnsi" w:hAnsi="ITC Avant Garde" w:cs="Helvetica"/>
          <w:sz w:val="19"/>
          <w:szCs w:val="19"/>
        </w:rPr>
        <w:t xml:space="preserve"> sobre el cual solicitaron se determinara una tarifa. </w:t>
      </w:r>
    </w:p>
    <w:p w14:paraId="1D03B4E5"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No constituye obstáculo a lo anterior, las manifestaciones contenidas en el informe justificado de la autoridad responsable en las que sostiene que la fracción 11 del artículo 129 de la Ley Federal de Telecomunicaciones y Radiodifusión, le otorga la facultad de requerir al solicitante del desacuerdo, sin que ello constituya una obligación que deba realizarse en todos los supuestos, además de que sólo permite requerir al solicitante, sin que en el caso concreto las quejosas hayan tenido tal carácter.</w:t>
      </w:r>
    </w:p>
    <w:p w14:paraId="323F84C4"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lastRenderedPageBreak/>
        <w:t xml:space="preserve">Lo anterior, toda vez que se limita a realizar una interpretación restrictiva de dicho precepto, cuando lo relevante en el caso, por las razones previamente descritas, es privilegiar la solución de los desacuerdos de interconexión entre los concesionarios de telecomunicaciones. </w:t>
      </w:r>
    </w:p>
    <w:p w14:paraId="49D5294C"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De modo que si bien la resolución de los desacuerdos en materia de interconexión por parte del Instituto Federal de Telecomunicaciones, se desarrolla a través de un procedimiento administrativo que se sigue en forma de juicio, el cual inicia con la solicitud de intervención formulada ante el órgano regulador por cualquiera de los concesionarios de redes públicas de telecomunicaciones involucrados, a quienes debe otorgarse la oportunidad de probar y alegar lo que a sus intereses legales convenga.</w:t>
      </w:r>
    </w:p>
    <w:p w14:paraId="119E1723"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 xml:space="preserve">Es claro que dicha solicitud constituye el mecanismo jurídico a través del cual el </w:t>
      </w:r>
      <w:proofErr w:type="spellStart"/>
      <w:r w:rsidRPr="001A6305">
        <w:rPr>
          <w:rFonts w:ascii="ITC Avant Garde" w:eastAsiaTheme="minorHAnsi" w:hAnsi="ITC Avant Garde" w:cs="Helvetica"/>
          <w:sz w:val="19"/>
          <w:szCs w:val="19"/>
        </w:rPr>
        <w:t>promovente</w:t>
      </w:r>
      <w:proofErr w:type="spellEnd"/>
      <w:r w:rsidRPr="001A6305">
        <w:rPr>
          <w:rFonts w:ascii="ITC Avant Garde" w:eastAsiaTheme="minorHAnsi" w:hAnsi="ITC Avant Garde" w:cs="Helvetica"/>
          <w:sz w:val="19"/>
          <w:szCs w:val="19"/>
        </w:rPr>
        <w:t xml:space="preserve"> ejerce su derecho de instancia ante la autoridad para obtener respuesta sobre la determinación de las condiciones de interconexión que no se </w:t>
      </w:r>
      <w:r w:rsidR="00FD17C7" w:rsidRPr="001A6305">
        <w:rPr>
          <w:rFonts w:ascii="ITC Avant Garde" w:eastAsiaTheme="minorHAnsi" w:hAnsi="ITC Avant Garde" w:cs="Helvetica"/>
          <w:sz w:val="19"/>
          <w:szCs w:val="19"/>
        </w:rPr>
        <w:t>hayan podido convenir.</w:t>
      </w:r>
    </w:p>
    <w:p w14:paraId="78EA5AF9"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Por lo que, en los procedimientos para la resolución de esos desacuerdos iniciados a instancia de parte, el órgano regulador está obligado frente a los concesionarios intervinientes, a respetar los derechos de fundamentación,</w:t>
      </w:r>
      <w:r w:rsidR="00FD17C7" w:rsidRPr="001A6305">
        <w:rPr>
          <w:rFonts w:ascii="ITC Avant Garde" w:eastAsiaTheme="minorHAnsi" w:hAnsi="ITC Avant Garde" w:cs="Helvetica"/>
          <w:sz w:val="19"/>
          <w:szCs w:val="19"/>
        </w:rPr>
        <w:t xml:space="preserve"> </w:t>
      </w:r>
      <w:r w:rsidRPr="001A6305">
        <w:rPr>
          <w:rFonts w:ascii="ITC Avant Garde" w:eastAsiaTheme="minorHAnsi" w:hAnsi="ITC Avant Garde" w:cs="Helvetica"/>
          <w:sz w:val="19"/>
          <w:szCs w:val="19"/>
        </w:rPr>
        <w:t>motivación y acceso a la justicia reconocidos en los artículos 14, 16 Y 17 constitucionales, con la finalidad de garantizar efectivamente las condiciones jurídicas que posibiliten el reconocimiento y el ejercicio de sus derechos, mediante la emisión de una resolución que resuelva todos los puntos de desacuerdo sin que existan elementos pendientes de definición que impidan la prestación</w:t>
      </w:r>
      <w:r w:rsidR="00FD17C7" w:rsidRPr="001A6305">
        <w:rPr>
          <w:rFonts w:ascii="ITC Avant Garde" w:eastAsiaTheme="minorHAnsi" w:hAnsi="ITC Avant Garde" w:cs="Helvetica"/>
          <w:sz w:val="19"/>
          <w:szCs w:val="19"/>
        </w:rPr>
        <w:t xml:space="preserve"> </w:t>
      </w:r>
      <w:r w:rsidRPr="001A6305">
        <w:rPr>
          <w:rFonts w:ascii="ITC Avant Garde" w:eastAsiaTheme="minorHAnsi" w:hAnsi="ITC Avant Garde" w:cs="Helvetica"/>
          <w:sz w:val="19"/>
          <w:szCs w:val="19"/>
        </w:rPr>
        <w:t>efectiva de los servicios de telecomunicaciones de que se traten.</w:t>
      </w:r>
    </w:p>
    <w:p w14:paraId="51B10AAD"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w:t>
      </w:r>
    </w:p>
    <w:p w14:paraId="0FF37162" w14:textId="3AF25034"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sz w:val="19"/>
          <w:szCs w:val="19"/>
        </w:rPr>
        <w:t>Por lo expuesto y fundado; se resuelve:</w:t>
      </w:r>
    </w:p>
    <w:p w14:paraId="09516A9C" w14:textId="77777777" w:rsidR="009F3BCF"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b/>
          <w:sz w:val="19"/>
          <w:szCs w:val="19"/>
        </w:rPr>
        <w:t>PRIMERO.</w:t>
      </w:r>
      <w:r w:rsidRPr="001A6305">
        <w:rPr>
          <w:rFonts w:ascii="ITC Avant Garde" w:eastAsiaTheme="minorHAnsi" w:hAnsi="ITC Avant Garde" w:cs="Helvetica"/>
          <w:sz w:val="19"/>
          <w:szCs w:val="19"/>
        </w:rPr>
        <w:t xml:space="preserve"> En la materia de la revisión, se </w:t>
      </w:r>
      <w:r w:rsidRPr="001A6305">
        <w:rPr>
          <w:rFonts w:ascii="ITC Avant Garde" w:eastAsiaTheme="minorHAnsi" w:hAnsi="ITC Avant Garde" w:cs="Helvetica"/>
          <w:b/>
          <w:sz w:val="19"/>
          <w:szCs w:val="19"/>
        </w:rPr>
        <w:t>modifica</w:t>
      </w:r>
      <w:r w:rsidRPr="001A6305">
        <w:rPr>
          <w:rFonts w:ascii="ITC Avant Garde" w:eastAsiaTheme="minorHAnsi" w:hAnsi="ITC Avant Garde" w:cs="Helvetica"/>
          <w:sz w:val="19"/>
          <w:szCs w:val="19"/>
        </w:rPr>
        <w:t xml:space="preserve"> la sentencia recurrida. </w:t>
      </w:r>
    </w:p>
    <w:p w14:paraId="6341F295" w14:textId="77777777" w:rsidR="001A6305" w:rsidRPr="001A6305" w:rsidRDefault="009F3BCF" w:rsidP="001A6305">
      <w:pPr>
        <w:spacing w:before="240" w:line="240" w:lineRule="auto"/>
        <w:ind w:left="567" w:right="615"/>
        <w:jc w:val="both"/>
        <w:rPr>
          <w:rFonts w:ascii="ITC Avant Garde" w:eastAsiaTheme="minorHAnsi" w:hAnsi="ITC Avant Garde" w:cs="Helvetica"/>
          <w:sz w:val="19"/>
          <w:szCs w:val="19"/>
        </w:rPr>
      </w:pPr>
      <w:r w:rsidRPr="001A6305">
        <w:rPr>
          <w:rFonts w:ascii="ITC Avant Garde" w:eastAsiaTheme="minorHAnsi" w:hAnsi="ITC Avant Garde" w:cs="Helvetica"/>
          <w:b/>
          <w:sz w:val="19"/>
          <w:szCs w:val="19"/>
        </w:rPr>
        <w:t>SEGUNDO</w:t>
      </w:r>
      <w:r w:rsidRPr="001A6305">
        <w:rPr>
          <w:rFonts w:ascii="ITC Avant Garde" w:eastAsiaTheme="minorHAnsi" w:hAnsi="ITC Avant Garde" w:cs="Helvetica"/>
          <w:sz w:val="19"/>
          <w:szCs w:val="19"/>
        </w:rPr>
        <w:t xml:space="preserve">. La Justicia de la Unión </w:t>
      </w:r>
      <w:r w:rsidRPr="001A6305">
        <w:rPr>
          <w:rFonts w:ascii="ITC Avant Garde" w:eastAsiaTheme="minorHAnsi" w:hAnsi="ITC Avant Garde" w:cs="Helvetica"/>
          <w:b/>
          <w:sz w:val="19"/>
          <w:szCs w:val="19"/>
        </w:rPr>
        <w:t xml:space="preserve">ampara </w:t>
      </w:r>
      <w:r w:rsidRPr="001A6305">
        <w:rPr>
          <w:rFonts w:ascii="ITC Avant Garde" w:eastAsiaTheme="minorHAnsi" w:hAnsi="ITC Avant Garde"/>
          <w:b/>
          <w:sz w:val="19"/>
          <w:szCs w:val="19"/>
        </w:rPr>
        <w:t xml:space="preserve">y </w:t>
      </w:r>
      <w:r w:rsidRPr="001A6305">
        <w:rPr>
          <w:rFonts w:ascii="ITC Avant Garde" w:eastAsiaTheme="minorHAnsi" w:hAnsi="ITC Avant Garde" w:cs="Helvetica"/>
          <w:b/>
          <w:sz w:val="19"/>
          <w:szCs w:val="19"/>
        </w:rPr>
        <w:t>protege</w:t>
      </w:r>
      <w:r w:rsidRPr="001A6305">
        <w:rPr>
          <w:rFonts w:ascii="ITC Avant Garde" w:eastAsiaTheme="minorHAnsi" w:hAnsi="ITC Avant Garde" w:cs="Helvetica"/>
          <w:sz w:val="19"/>
          <w:szCs w:val="19"/>
        </w:rPr>
        <w:t xml:space="preserve"> a </w:t>
      </w:r>
      <w:proofErr w:type="spellStart"/>
      <w:r w:rsidRPr="001A6305">
        <w:rPr>
          <w:rFonts w:ascii="ITC Avant Garde" w:eastAsiaTheme="minorHAnsi" w:hAnsi="ITC Avant Garde" w:cs="Helvetica"/>
          <w:sz w:val="19"/>
          <w:szCs w:val="19"/>
        </w:rPr>
        <w:t>Avantel</w:t>
      </w:r>
      <w:proofErr w:type="spellEnd"/>
      <w:r w:rsidRPr="001A6305">
        <w:rPr>
          <w:rFonts w:ascii="ITC Avant Garde" w:eastAsiaTheme="minorHAnsi" w:hAnsi="ITC Avant Garde" w:cs="Helvetica"/>
          <w:sz w:val="19"/>
          <w:szCs w:val="19"/>
        </w:rPr>
        <w:t xml:space="preserve">, sociedad anónima bursátil de capital variable y Axtel sociedad anónima bursátil de capital variable, en contra del acto reclamado consistente en la resolución de cuatro de noviembre de dos mil quince, contenida en el acuerdo P/IFT/041115/512, por medio del cual se dictó la </w:t>
      </w:r>
      <w:r w:rsidR="00F62A6F" w:rsidRPr="001A6305">
        <w:rPr>
          <w:rFonts w:ascii="ITC Avant Garde" w:eastAsiaTheme="minorHAnsi" w:hAnsi="ITC Avant Garde" w:cs="Helvetica"/>
          <w:iCs/>
          <w:sz w:val="19"/>
          <w:szCs w:val="19"/>
        </w:rPr>
        <w:t>“</w:t>
      </w:r>
      <w:r w:rsidRPr="001A6305">
        <w:rPr>
          <w:rFonts w:ascii="ITC Avant Garde" w:eastAsia="Times New Roman" w:hAnsi="ITC Avant Garde"/>
          <w:sz w:val="19"/>
          <w:szCs w:val="19"/>
        </w:rPr>
        <w:t>RESOLUCIÓN MEDIANTE LA CUAL EL PLENO DEL INSTITUTO FEDERAL DE TELECOMUNICACIONES DETERMINA LAS CONDICIONES DE INTERCONEXIÓN NO CONVENIDAS ENTRE LAS EMPRESAS TELÉFONOS DE MÉXICO, S.A.B. DE C.V., TELÉFONOS DEL NOROESTE, S.A. DE C.V. Y LAS EMPRESAS AVANTEL, S. DE R.L. DE C.V. Y AXTEL, S.A.B. DE C.V. APLICABLES DEL 1 DE ENERO AL 31 DE DICIEMBRE DE 2016</w:t>
      </w:r>
      <w:r w:rsidR="00F62A6F" w:rsidRPr="001A6305">
        <w:rPr>
          <w:rFonts w:ascii="ITC Avant Garde" w:eastAsia="Times New Roman" w:hAnsi="ITC Avant Garde"/>
          <w:sz w:val="19"/>
          <w:szCs w:val="19"/>
        </w:rPr>
        <w:t>”</w:t>
      </w:r>
      <w:r w:rsidRPr="001A6305">
        <w:rPr>
          <w:rFonts w:ascii="ITC Avant Garde" w:eastAsiaTheme="minorHAnsi" w:hAnsi="ITC Avant Garde" w:cs="Helvetica"/>
          <w:iCs/>
          <w:sz w:val="19"/>
          <w:szCs w:val="19"/>
        </w:rPr>
        <w:t xml:space="preserve">, </w:t>
      </w:r>
      <w:r w:rsidRPr="001A6305">
        <w:rPr>
          <w:rFonts w:ascii="ITC Avant Garde" w:eastAsiaTheme="minorHAnsi" w:hAnsi="ITC Avant Garde" w:cs="Helvetica"/>
          <w:sz w:val="19"/>
          <w:szCs w:val="19"/>
        </w:rPr>
        <w:t>para los efectos precisados en la parte final de esta ejecutoria.</w:t>
      </w:r>
    </w:p>
    <w:p w14:paraId="7C052CCC" w14:textId="068CD131" w:rsidR="001A6305" w:rsidRPr="001A6305" w:rsidRDefault="005C3310" w:rsidP="001A6305">
      <w:pPr>
        <w:widowControl w:val="0"/>
        <w:tabs>
          <w:tab w:val="left" w:pos="720"/>
          <w:tab w:val="center" w:pos="4419"/>
          <w:tab w:val="right" w:pos="8838"/>
        </w:tabs>
        <w:spacing w:before="240" w:line="240" w:lineRule="auto"/>
        <w:jc w:val="both"/>
        <w:rPr>
          <w:rFonts w:ascii="ITC Avant Garde" w:eastAsia="Times New Roman" w:hAnsi="ITC Avant Garde" w:cs="Arial"/>
          <w:szCs w:val="20"/>
        </w:rPr>
      </w:pPr>
      <w:r w:rsidRPr="001A6305">
        <w:rPr>
          <w:rFonts w:ascii="ITC Avant Garde" w:eastAsia="Times New Roman" w:hAnsi="ITC Avant Garde" w:cs="Arial"/>
          <w:szCs w:val="20"/>
        </w:rPr>
        <w:t>En consecuencia, con fecha</w:t>
      </w:r>
      <w:r w:rsidR="00E50078" w:rsidRPr="001A6305">
        <w:rPr>
          <w:rFonts w:ascii="ITC Avant Garde" w:eastAsia="Times New Roman" w:hAnsi="ITC Avant Garde" w:cs="Arial"/>
          <w:szCs w:val="20"/>
        </w:rPr>
        <w:t xml:space="preserve"> </w:t>
      </w:r>
      <w:r w:rsidRPr="001A6305">
        <w:rPr>
          <w:rFonts w:ascii="ITC Avant Garde" w:eastAsia="Times New Roman" w:hAnsi="ITC Avant Garde" w:cs="Arial"/>
          <w:szCs w:val="20"/>
        </w:rPr>
        <w:t>7</w:t>
      </w:r>
      <w:r w:rsidR="00E50078" w:rsidRPr="001A6305">
        <w:rPr>
          <w:rFonts w:ascii="ITC Avant Garde" w:eastAsia="Times New Roman" w:hAnsi="ITC Avant Garde" w:cs="Arial"/>
          <w:szCs w:val="20"/>
        </w:rPr>
        <w:t xml:space="preserve"> </w:t>
      </w:r>
      <w:r w:rsidRPr="001A6305">
        <w:rPr>
          <w:rFonts w:ascii="ITC Avant Garde" w:eastAsia="Times New Roman" w:hAnsi="ITC Avant Garde" w:cs="Arial"/>
          <w:szCs w:val="20"/>
        </w:rPr>
        <w:t>de</w:t>
      </w:r>
      <w:r w:rsidR="00E50078" w:rsidRPr="001A6305">
        <w:rPr>
          <w:rFonts w:ascii="ITC Avant Garde" w:eastAsia="Times New Roman" w:hAnsi="ITC Avant Garde" w:cs="Arial"/>
          <w:szCs w:val="20"/>
        </w:rPr>
        <w:t xml:space="preserve"> </w:t>
      </w:r>
      <w:r w:rsidRPr="001A6305">
        <w:rPr>
          <w:rFonts w:ascii="ITC Avant Garde" w:eastAsia="Times New Roman" w:hAnsi="ITC Avant Garde" w:cs="Arial"/>
          <w:szCs w:val="20"/>
        </w:rPr>
        <w:t>junio</w:t>
      </w:r>
      <w:r w:rsidR="00E50078" w:rsidRPr="001A6305">
        <w:rPr>
          <w:rFonts w:ascii="ITC Avant Garde" w:eastAsia="Times New Roman" w:hAnsi="ITC Avant Garde" w:cs="Arial"/>
          <w:szCs w:val="20"/>
        </w:rPr>
        <w:t xml:space="preserve"> de 2017, se recibi</w:t>
      </w:r>
      <w:r w:rsidRPr="001A6305">
        <w:rPr>
          <w:rFonts w:ascii="ITC Avant Garde" w:eastAsia="Times New Roman" w:hAnsi="ITC Avant Garde" w:cs="Arial"/>
          <w:szCs w:val="20"/>
        </w:rPr>
        <w:t>ó</w:t>
      </w:r>
      <w:r w:rsidR="00E50078" w:rsidRPr="001A6305">
        <w:rPr>
          <w:rFonts w:ascii="ITC Avant Garde" w:eastAsia="Times New Roman" w:hAnsi="ITC Avant Garde" w:cs="Arial"/>
          <w:szCs w:val="20"/>
        </w:rPr>
        <w:t xml:space="preserve"> en la Oficialía de Partes de este Instituto, las ejecutoria correspondiente</w:t>
      </w:r>
      <w:r w:rsidRPr="001A6305">
        <w:rPr>
          <w:rFonts w:ascii="ITC Avant Garde" w:eastAsia="Times New Roman" w:hAnsi="ITC Avant Garde" w:cs="Arial"/>
          <w:szCs w:val="20"/>
        </w:rPr>
        <w:t xml:space="preserve"> al </w:t>
      </w:r>
      <w:r w:rsidR="00E50078" w:rsidRPr="001A6305">
        <w:rPr>
          <w:rFonts w:ascii="ITC Avant Garde" w:eastAsia="Times New Roman" w:hAnsi="ITC Avant Garde" w:cs="Arial"/>
          <w:szCs w:val="20"/>
        </w:rPr>
        <w:t>amparo en revisión R.A.</w:t>
      </w:r>
      <w:r w:rsidRPr="001A6305">
        <w:rPr>
          <w:rFonts w:ascii="ITC Avant Garde" w:eastAsia="Times New Roman" w:hAnsi="ITC Avant Garde" w:cs="Arial"/>
          <w:szCs w:val="20"/>
        </w:rPr>
        <w:t xml:space="preserve"> 171</w:t>
      </w:r>
      <w:r w:rsidR="00E50078" w:rsidRPr="001A6305">
        <w:rPr>
          <w:rFonts w:ascii="ITC Avant Garde" w:eastAsia="Times New Roman" w:hAnsi="ITC Avant Garde" w:cs="Arial"/>
          <w:szCs w:val="20"/>
        </w:rPr>
        <w:t xml:space="preserve">/2016, de fecha </w:t>
      </w:r>
      <w:r w:rsidRPr="001A6305">
        <w:rPr>
          <w:rFonts w:ascii="ITC Avant Garde" w:eastAsia="Times New Roman" w:hAnsi="ITC Avant Garde" w:cs="Arial"/>
          <w:szCs w:val="20"/>
        </w:rPr>
        <w:t>18</w:t>
      </w:r>
      <w:r w:rsidR="00E50078" w:rsidRPr="001A6305">
        <w:rPr>
          <w:rFonts w:ascii="ITC Avant Garde" w:eastAsia="Times New Roman" w:hAnsi="ITC Avant Garde" w:cs="Arial"/>
          <w:szCs w:val="20"/>
        </w:rPr>
        <w:t xml:space="preserve"> de </w:t>
      </w:r>
      <w:r w:rsidRPr="001A6305">
        <w:rPr>
          <w:rFonts w:ascii="ITC Avant Garde" w:eastAsia="Times New Roman" w:hAnsi="ITC Avant Garde" w:cs="Arial"/>
          <w:szCs w:val="20"/>
        </w:rPr>
        <w:t>mayo</w:t>
      </w:r>
      <w:r w:rsidR="00E50078" w:rsidRPr="001A6305">
        <w:rPr>
          <w:rFonts w:ascii="ITC Avant Garde" w:eastAsia="Times New Roman" w:hAnsi="ITC Avant Garde" w:cs="Arial"/>
          <w:szCs w:val="20"/>
        </w:rPr>
        <w:t xml:space="preserve"> de 2017 emitida por el Segundo Tribunal Colegiado de Circuito </w:t>
      </w:r>
      <w:r w:rsidR="00E50078" w:rsidRPr="001A6305">
        <w:rPr>
          <w:rFonts w:ascii="ITC Avant Garde" w:eastAsia="Times New Roman" w:hAnsi="ITC Avant Garde"/>
          <w:szCs w:val="20"/>
        </w:rPr>
        <w:t xml:space="preserve">en Materia Administrativa especializado en Competencia Económica, Radiodifusión y Telecomunicaciones </w:t>
      </w:r>
      <w:r w:rsidR="00E50078" w:rsidRPr="001A6305">
        <w:rPr>
          <w:rFonts w:ascii="ITC Avant Garde" w:eastAsia="Times New Roman" w:hAnsi="ITC Avant Garde" w:cs="Arial"/>
          <w:szCs w:val="20"/>
        </w:rPr>
        <w:t>con residencia en la Ciudad de México y jurisdicción en toda la República.</w:t>
      </w:r>
    </w:p>
    <w:p w14:paraId="7CDEB1E4" w14:textId="77777777" w:rsidR="001A6305" w:rsidRPr="001A6305" w:rsidRDefault="00E50078" w:rsidP="001A6305">
      <w:pPr>
        <w:widowControl w:val="0"/>
        <w:tabs>
          <w:tab w:val="left" w:pos="720"/>
          <w:tab w:val="center" w:pos="4419"/>
          <w:tab w:val="right" w:pos="8838"/>
        </w:tabs>
        <w:spacing w:before="240" w:line="240" w:lineRule="auto"/>
        <w:jc w:val="both"/>
        <w:rPr>
          <w:rFonts w:ascii="ITC Avant Garde" w:eastAsia="Times New Roman" w:hAnsi="ITC Avant Garde" w:cs="Arial"/>
          <w:szCs w:val="20"/>
        </w:rPr>
      </w:pPr>
      <w:r w:rsidRPr="001A6305">
        <w:rPr>
          <w:rFonts w:ascii="ITC Avant Garde" w:eastAsia="Times New Roman" w:hAnsi="ITC Avant Garde" w:cs="Arial"/>
          <w:szCs w:val="20"/>
        </w:rPr>
        <w:t xml:space="preserve">En ese sentido, toda vez que de los preceptos citados en el presente Considerando, así </w:t>
      </w:r>
      <w:r w:rsidRPr="001A6305">
        <w:rPr>
          <w:rFonts w:ascii="ITC Avant Garde" w:eastAsia="Times New Roman" w:hAnsi="ITC Avant Garde" w:cs="Arial"/>
          <w:szCs w:val="20"/>
        </w:rPr>
        <w:lastRenderedPageBreak/>
        <w:t xml:space="preserve">como de los razonamientos realizadas por el Tribunal de alzada en la citada ejecutoria </w:t>
      </w:r>
      <w:r w:rsidR="004D6C8A" w:rsidRPr="001A6305">
        <w:rPr>
          <w:rFonts w:ascii="ITC Avant Garde" w:eastAsia="Times New Roman" w:hAnsi="ITC Avant Garde" w:cs="Arial"/>
          <w:szCs w:val="20"/>
        </w:rPr>
        <w:t xml:space="preserve">se </w:t>
      </w:r>
      <w:r w:rsidRPr="001A6305">
        <w:rPr>
          <w:rFonts w:ascii="ITC Avant Garde" w:eastAsia="Times New Roman" w:hAnsi="ITC Avant Garde" w:cs="Arial"/>
          <w:szCs w:val="20"/>
        </w:rPr>
        <w:t>estimó que “</w:t>
      </w:r>
      <w:r w:rsidR="006705F9" w:rsidRPr="001A6305">
        <w:rPr>
          <w:rFonts w:ascii="ITC Avant Garde" w:eastAsia="Times New Roman" w:hAnsi="ITC Avant Garde" w:cs="Arial"/>
          <w:szCs w:val="20"/>
        </w:rPr>
        <w:t xml:space="preserve">se estima ilegal la determinación de la responsable, pues se pone en evidencia una violación al procedimiento de desacuerdo de interconexión previsto en el mencionado artículo 129 de la Ley Federal de Telecomunicaciones, que amerita su reposición, pues dicha circunstancia indiscutiblemente trascendió al resultado del fallo, ya que para fijar debidamente la </w:t>
      </w:r>
      <w:proofErr w:type="spellStart"/>
      <w:r w:rsidR="006705F9" w:rsidRPr="001A6305">
        <w:rPr>
          <w:rFonts w:ascii="ITC Avant Garde" w:eastAsia="Times New Roman" w:hAnsi="ITC Avant Garde" w:cs="Arial"/>
          <w:szCs w:val="20"/>
        </w:rPr>
        <w:t>litis</w:t>
      </w:r>
      <w:proofErr w:type="spellEnd"/>
      <w:r w:rsidR="006705F9" w:rsidRPr="001A6305">
        <w:rPr>
          <w:rFonts w:ascii="ITC Avant Garde" w:eastAsia="Times New Roman" w:hAnsi="ITC Avant Garde" w:cs="Arial"/>
          <w:szCs w:val="20"/>
        </w:rPr>
        <w:t xml:space="preserve"> y no dejar en estado de indefensión a las concesionarios que intervinieron en el desacuerdo, era necesario que requiriera a las quejosas para que realizaran una descripción expresa y precisa del "Servicio 900" sobre el cual solicitaron se determinara una tarifa.”</w:t>
      </w:r>
    </w:p>
    <w:p w14:paraId="7B94B99E" w14:textId="77777777" w:rsidR="001A6305" w:rsidRPr="001A6305" w:rsidRDefault="00E50078" w:rsidP="001A6305">
      <w:pPr>
        <w:pStyle w:val="Textoindependiente"/>
        <w:widowControl w:val="0"/>
        <w:tabs>
          <w:tab w:val="left" w:pos="720"/>
          <w:tab w:val="center" w:pos="4419"/>
          <w:tab w:val="right" w:pos="8838"/>
        </w:tabs>
        <w:spacing w:before="240" w:line="240" w:lineRule="auto"/>
        <w:jc w:val="both"/>
        <w:rPr>
          <w:rFonts w:ascii="ITC Avant Garde" w:hAnsi="ITC Avant Garde" w:cs="Arial"/>
        </w:rPr>
      </w:pPr>
      <w:r w:rsidRPr="001A6305">
        <w:rPr>
          <w:rFonts w:ascii="ITC Avant Garde" w:hAnsi="ITC Avant Garde" w:cs="Arial"/>
        </w:rPr>
        <w:t xml:space="preserve">Para efectos de lo anterior, y en cumplimiento a la citada ejecutoria, el Pleno del Instituto deja insubsistente la resolución de fecha </w:t>
      </w:r>
      <w:r w:rsidR="00E927ED" w:rsidRPr="001A6305">
        <w:rPr>
          <w:rFonts w:ascii="ITC Avant Garde" w:hAnsi="ITC Avant Garde" w:cs="Arial"/>
        </w:rPr>
        <w:t xml:space="preserve">04 </w:t>
      </w:r>
      <w:r w:rsidRPr="001A6305">
        <w:rPr>
          <w:rFonts w:ascii="ITC Avant Garde" w:hAnsi="ITC Avant Garde" w:cs="Arial"/>
        </w:rPr>
        <w:t xml:space="preserve">de </w:t>
      </w:r>
      <w:r w:rsidR="00E927ED" w:rsidRPr="001A6305">
        <w:rPr>
          <w:rFonts w:ascii="ITC Avant Garde" w:hAnsi="ITC Avant Garde" w:cs="Arial"/>
        </w:rPr>
        <w:t>noviembre</w:t>
      </w:r>
      <w:r w:rsidRPr="001A6305">
        <w:rPr>
          <w:rFonts w:ascii="ITC Avant Garde" w:hAnsi="ITC Avant Garde" w:cs="Arial"/>
        </w:rPr>
        <w:t xml:space="preserve"> de 2015, conteni</w:t>
      </w:r>
      <w:r w:rsidR="00E927ED" w:rsidRPr="001A6305">
        <w:rPr>
          <w:rFonts w:ascii="ITC Avant Garde" w:hAnsi="ITC Avant Garde" w:cs="Arial"/>
        </w:rPr>
        <w:t>da en el Acuerdo P/IFT/04111</w:t>
      </w:r>
      <w:r w:rsidR="002C31CD" w:rsidRPr="001A6305">
        <w:rPr>
          <w:rFonts w:ascii="ITC Avant Garde" w:hAnsi="ITC Avant Garde" w:cs="Arial"/>
        </w:rPr>
        <w:t>5</w:t>
      </w:r>
      <w:r w:rsidR="00E927ED" w:rsidRPr="001A6305">
        <w:rPr>
          <w:rFonts w:ascii="ITC Avant Garde" w:hAnsi="ITC Avant Garde" w:cs="Arial"/>
        </w:rPr>
        <w:t>/5</w:t>
      </w:r>
      <w:r w:rsidRPr="001A6305">
        <w:rPr>
          <w:rFonts w:ascii="ITC Avant Garde" w:hAnsi="ITC Avant Garde" w:cs="Arial"/>
        </w:rPr>
        <w:t>1</w:t>
      </w:r>
      <w:r w:rsidR="00E927ED" w:rsidRPr="001A6305">
        <w:rPr>
          <w:rFonts w:ascii="ITC Avant Garde" w:hAnsi="ITC Avant Garde" w:cs="Arial"/>
        </w:rPr>
        <w:t>2</w:t>
      </w:r>
      <w:r w:rsidRPr="001A6305">
        <w:rPr>
          <w:rFonts w:ascii="ITC Avant Garde" w:hAnsi="ITC Avant Garde" w:cs="Arial"/>
        </w:rPr>
        <w:t xml:space="preserve">, </w:t>
      </w:r>
      <w:r w:rsidR="002C31CD" w:rsidRPr="001A6305">
        <w:rPr>
          <w:rFonts w:ascii="ITC Avant Garde" w:hAnsi="ITC Avant Garde" w:cs="Arial"/>
        </w:rPr>
        <w:t xml:space="preserve">e instruye a la Unidad de Política Regulatoria a efecto de que reponga el procedimiento de desacuerdo, </w:t>
      </w:r>
      <w:r w:rsidR="00971ED0" w:rsidRPr="001A6305">
        <w:rPr>
          <w:rFonts w:ascii="ITC Avant Garde" w:hAnsi="ITC Avant Garde" w:cs="Arial"/>
        </w:rPr>
        <w:t xml:space="preserve">a partir de la violación advertida en la ejecutoria, con la finalidad de requerir a las solicitantes para que realicen una descripción expresa y precisa del “Servicio 900” y tengan la oportunidad de aportar las pruebas, alegatos y consideraciones que consideren pertinentes, y que </w:t>
      </w:r>
      <w:r w:rsidR="002C31CD" w:rsidRPr="001A6305">
        <w:rPr>
          <w:rFonts w:ascii="ITC Avant Garde" w:hAnsi="ITC Avant Garde" w:cs="Arial"/>
        </w:rPr>
        <w:t xml:space="preserve">en el momento procesal oportuno, someta a consideración del Pleno el proyecto de resolución que corresponda tomando en consideración </w:t>
      </w:r>
      <w:r w:rsidR="00F33087" w:rsidRPr="001A6305">
        <w:rPr>
          <w:rFonts w:ascii="ITC Avant Garde" w:hAnsi="ITC Avant Garde" w:cs="Arial"/>
        </w:rPr>
        <w:t>el “</w:t>
      </w:r>
      <w:r w:rsidR="004D6C8A" w:rsidRPr="001A6305">
        <w:rPr>
          <w:rFonts w:ascii="ITC Avant Garde" w:hAnsi="ITC Avant Garde" w:cs="Arial"/>
        </w:rPr>
        <w:t>S</w:t>
      </w:r>
      <w:r w:rsidR="00F33087" w:rsidRPr="001A6305">
        <w:rPr>
          <w:rFonts w:ascii="ITC Avant Garde" w:hAnsi="ITC Avant Garde" w:cs="Arial"/>
        </w:rPr>
        <w:t>ervicio 900”</w:t>
      </w:r>
      <w:r w:rsidR="002C31CD" w:rsidRPr="001A6305">
        <w:rPr>
          <w:rFonts w:ascii="ITC Avant Garde" w:hAnsi="ITC Avant Garde" w:cs="Arial"/>
        </w:rPr>
        <w:t>.</w:t>
      </w:r>
    </w:p>
    <w:p w14:paraId="4E84DBA2" w14:textId="065B6740" w:rsidR="001A6305" w:rsidRPr="001A6305" w:rsidRDefault="00A4284B" w:rsidP="001A6305">
      <w:pPr>
        <w:pStyle w:val="Textoindependiente"/>
        <w:spacing w:before="240" w:line="240" w:lineRule="auto"/>
        <w:jc w:val="both"/>
        <w:rPr>
          <w:rFonts w:ascii="ITC Avant Garde" w:hAnsi="ITC Avant Garde" w:cs="Arial"/>
          <w:bCs/>
          <w:szCs w:val="22"/>
        </w:rPr>
      </w:pPr>
      <w:bookmarkStart w:id="1" w:name="primero"/>
      <w:bookmarkStart w:id="2" w:name="HipótesisNormativa"/>
      <w:r w:rsidRPr="001A6305">
        <w:rPr>
          <w:rFonts w:ascii="ITC Avant Garde" w:hAnsi="ITC Avant Garde" w:cs="Arial"/>
          <w:b/>
          <w:bCs/>
          <w:lang w:val="es-ES"/>
        </w:rPr>
        <w:t>SEGUND</w:t>
      </w:r>
      <w:r w:rsidR="00630126" w:rsidRPr="001A6305">
        <w:rPr>
          <w:rFonts w:ascii="ITC Avant Garde" w:hAnsi="ITC Avant Garde" w:cs="Arial"/>
          <w:b/>
          <w:bCs/>
          <w:lang w:val="es-ES"/>
        </w:rPr>
        <w:t>O.- Competencia del Instituto</w:t>
      </w:r>
      <w:r w:rsidR="00630126" w:rsidRPr="001A6305">
        <w:rPr>
          <w:rFonts w:ascii="ITC Avant Garde" w:hAnsi="ITC Avant Garde" w:cs="Arial"/>
          <w:bCs/>
          <w:lang w:val="es-ES"/>
        </w:rPr>
        <w:t xml:space="preserve">. </w:t>
      </w:r>
      <w:r w:rsidR="00630126" w:rsidRPr="001A6305">
        <w:rPr>
          <w:rFonts w:ascii="ITC Avant Garde" w:hAnsi="ITC Avant Garde" w:cs="Arial"/>
          <w:bCs/>
        </w:rPr>
        <w:t>De conformidad con los artículos 6°, apartado B</w:t>
      </w:r>
      <w:r w:rsidR="000877C5" w:rsidRPr="001A6305">
        <w:rPr>
          <w:rFonts w:ascii="ITC Avant Garde" w:hAnsi="ITC Avant Garde" w:cs="Arial"/>
          <w:bCs/>
        </w:rPr>
        <w:t>,</w:t>
      </w:r>
      <w:r w:rsidR="00630126" w:rsidRPr="001A6305">
        <w:rPr>
          <w:rFonts w:ascii="ITC Avant Garde" w:hAnsi="ITC Avant Garde" w:cs="Arial"/>
          <w:bCs/>
        </w:rPr>
        <w:t xml:space="preserve"> fracción II, 28, párrafos décimo quinto y décimo sexto de la Constitución </w:t>
      </w:r>
      <w:r w:rsidR="000877C5" w:rsidRPr="001A6305">
        <w:rPr>
          <w:rFonts w:ascii="ITC Avant Garde" w:hAnsi="ITC Avant Garde" w:cs="Arial"/>
          <w:bCs/>
        </w:rPr>
        <w:t xml:space="preserve">Política de los Estados Unidos Mexicanos (en lo sucesivo, la “Constitución”), </w:t>
      </w:r>
      <w:r w:rsidR="00630126" w:rsidRPr="001A6305">
        <w:rPr>
          <w:rFonts w:ascii="ITC Avant Garde" w:hAnsi="ITC Avant Garde" w:cs="Arial"/>
          <w:bCs/>
          <w:szCs w:val="22"/>
        </w:rPr>
        <w:t>y 7°, primer párrafo de la L</w:t>
      </w:r>
      <w:r w:rsidR="000877C5" w:rsidRPr="001A6305">
        <w:rPr>
          <w:rFonts w:ascii="ITC Avant Garde" w:hAnsi="ITC Avant Garde" w:cs="Arial"/>
          <w:bCs/>
          <w:szCs w:val="22"/>
        </w:rPr>
        <w:t xml:space="preserve">ey </w:t>
      </w:r>
      <w:r w:rsidR="00630126" w:rsidRPr="001A6305">
        <w:rPr>
          <w:rFonts w:ascii="ITC Avant Garde" w:hAnsi="ITC Avant Garde" w:cs="Arial"/>
          <w:bCs/>
          <w:szCs w:val="22"/>
        </w:rPr>
        <w:t>F</w:t>
      </w:r>
      <w:r w:rsidR="000877C5" w:rsidRPr="001A6305">
        <w:rPr>
          <w:rFonts w:ascii="ITC Avant Garde" w:hAnsi="ITC Avant Garde" w:cs="Arial"/>
          <w:bCs/>
          <w:szCs w:val="22"/>
        </w:rPr>
        <w:t xml:space="preserve">ederal de </w:t>
      </w:r>
      <w:r w:rsidR="00630126" w:rsidRPr="001A6305">
        <w:rPr>
          <w:rFonts w:ascii="ITC Avant Garde" w:hAnsi="ITC Avant Garde" w:cs="Arial"/>
          <w:bCs/>
          <w:szCs w:val="22"/>
        </w:rPr>
        <w:t>T</w:t>
      </w:r>
      <w:r w:rsidR="000877C5" w:rsidRPr="001A6305">
        <w:rPr>
          <w:rFonts w:ascii="ITC Avant Garde" w:hAnsi="ITC Avant Garde" w:cs="Arial"/>
          <w:bCs/>
          <w:szCs w:val="22"/>
        </w:rPr>
        <w:t xml:space="preserve">elecomunicaciones </w:t>
      </w:r>
      <w:r w:rsidR="00630126" w:rsidRPr="001A6305">
        <w:rPr>
          <w:rFonts w:ascii="ITC Avant Garde" w:hAnsi="ITC Avant Garde" w:cs="Arial"/>
          <w:bCs/>
          <w:szCs w:val="22"/>
        </w:rPr>
        <w:t>y</w:t>
      </w:r>
      <w:r w:rsidR="000877C5" w:rsidRPr="001A6305">
        <w:rPr>
          <w:rFonts w:ascii="ITC Avant Garde" w:hAnsi="ITC Avant Garde" w:cs="Arial"/>
          <w:bCs/>
          <w:szCs w:val="22"/>
        </w:rPr>
        <w:t xml:space="preserve"> </w:t>
      </w:r>
      <w:r w:rsidR="00823A36" w:rsidRPr="001A6305">
        <w:rPr>
          <w:rFonts w:ascii="ITC Avant Garde" w:hAnsi="ITC Avant Garde" w:cs="Arial"/>
          <w:bCs/>
          <w:szCs w:val="22"/>
        </w:rPr>
        <w:t>Radiodifusión</w:t>
      </w:r>
      <w:r w:rsidR="000877C5" w:rsidRPr="001A6305">
        <w:rPr>
          <w:rFonts w:ascii="ITC Avant Garde" w:hAnsi="ITC Avant Garde" w:cs="Arial"/>
          <w:bCs/>
          <w:szCs w:val="22"/>
        </w:rPr>
        <w:t xml:space="preserve"> (en lo sucesivo, la “</w:t>
      </w:r>
      <w:proofErr w:type="spellStart"/>
      <w:r w:rsidR="000877C5" w:rsidRPr="001A6305">
        <w:rPr>
          <w:rFonts w:ascii="ITC Avant Garde" w:hAnsi="ITC Avant Garde" w:cs="Arial"/>
          <w:bCs/>
          <w:szCs w:val="22"/>
        </w:rPr>
        <w:t>LFTyR</w:t>
      </w:r>
      <w:proofErr w:type="spellEnd"/>
      <w:r w:rsidR="000877C5" w:rsidRPr="001A6305">
        <w:rPr>
          <w:rFonts w:ascii="ITC Avant Garde" w:hAnsi="ITC Avant Garde" w:cs="Arial"/>
          <w:bCs/>
          <w:szCs w:val="22"/>
        </w:rPr>
        <w:t>”)</w:t>
      </w:r>
      <w:r w:rsidR="00630126" w:rsidRPr="001A6305">
        <w:rPr>
          <w:rFonts w:ascii="ITC Avant Garde" w:hAnsi="ITC Avant Garde" w:cs="Arial"/>
          <w:bCs/>
          <w:szCs w:val="22"/>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proofErr w:type="spellStart"/>
      <w:r w:rsidR="00630126" w:rsidRPr="001A6305">
        <w:rPr>
          <w:rFonts w:ascii="ITC Avant Garde" w:hAnsi="ITC Avant Garde" w:cs="Arial"/>
          <w:bCs/>
          <w:szCs w:val="22"/>
        </w:rPr>
        <w:t>LFTyR</w:t>
      </w:r>
      <w:proofErr w:type="spellEnd"/>
      <w:r w:rsidR="00630126" w:rsidRPr="001A6305">
        <w:rPr>
          <w:rFonts w:ascii="ITC Avant Garde" w:hAnsi="ITC Avant Garde" w:cs="Arial"/>
          <w:bCs/>
          <w:szCs w:val="22"/>
        </w:rPr>
        <w:t xml:space="preserve"> y demás disposiciones aplicables. </w:t>
      </w:r>
    </w:p>
    <w:p w14:paraId="374CB1F4" w14:textId="143EF68B" w:rsidR="00630126" w:rsidRPr="001A6305" w:rsidRDefault="00630126" w:rsidP="001A6305">
      <w:pPr>
        <w:pStyle w:val="Textoindependiente"/>
        <w:spacing w:before="240" w:line="240" w:lineRule="auto"/>
        <w:jc w:val="both"/>
        <w:rPr>
          <w:rFonts w:ascii="ITC Avant Garde" w:hAnsi="ITC Avant Garde" w:cs="Arial"/>
          <w:bCs/>
          <w:szCs w:val="22"/>
        </w:rPr>
      </w:pPr>
      <w:r w:rsidRPr="001A6305">
        <w:rPr>
          <w:rFonts w:ascii="ITC Avant Garde" w:hAnsi="ITC Avant Garde" w:cs="Arial"/>
          <w:bCs/>
          <w:szCs w:val="22"/>
          <w:lang w:val="es-ES"/>
        </w:rPr>
        <w:t xml:space="preserve">Con fundamento </w:t>
      </w:r>
      <w:r w:rsidRPr="001A6305">
        <w:rPr>
          <w:rFonts w:ascii="ITC Avant Garde" w:hAnsi="ITC Avant Garde" w:cs="Arial"/>
          <w:bCs/>
          <w:szCs w:val="22"/>
        </w:rPr>
        <w:t xml:space="preserve">en los artículos 7, 15, fracción X, 17, fracción I, y 129 de la </w:t>
      </w:r>
      <w:proofErr w:type="spellStart"/>
      <w:r w:rsidRPr="001A6305">
        <w:rPr>
          <w:rFonts w:ascii="ITC Avant Garde" w:hAnsi="ITC Avant Garde" w:cs="Arial"/>
          <w:bCs/>
          <w:szCs w:val="22"/>
        </w:rPr>
        <w:t>LFTyR</w:t>
      </w:r>
      <w:proofErr w:type="spellEnd"/>
      <w:r w:rsidRPr="001A6305">
        <w:rPr>
          <w:rFonts w:ascii="ITC Avant Garde" w:hAnsi="ITC Avant Garde" w:cs="Arial"/>
          <w:bCs/>
          <w:szCs w:val="22"/>
        </w:rPr>
        <w:t>, el Pleno del Instituto está facultado, de manera exclusiva e indelegable, para resolver y establecer los términos y condiciones de interconexión que no hayan podido convenir los concesionarios respecto de sus redes públicas de telecomunicaciones, una vez q</w:t>
      </w:r>
      <w:r w:rsidR="001C685F" w:rsidRPr="001A6305">
        <w:rPr>
          <w:rFonts w:ascii="ITC Avant Garde" w:hAnsi="ITC Avant Garde" w:cs="Arial"/>
          <w:bCs/>
          <w:szCs w:val="22"/>
        </w:rPr>
        <w:t>ue se solicite su intervención.</w:t>
      </w:r>
    </w:p>
    <w:p w14:paraId="19C7DD78" w14:textId="77777777" w:rsidR="001A6305" w:rsidRPr="001A6305" w:rsidRDefault="00630126" w:rsidP="001A6305">
      <w:pPr>
        <w:pStyle w:val="Textoindependiente"/>
        <w:spacing w:before="240" w:line="240" w:lineRule="auto"/>
        <w:jc w:val="both"/>
        <w:rPr>
          <w:rFonts w:ascii="ITC Avant Garde" w:hAnsi="ITC Avant Garde" w:cs="Arial"/>
          <w:bCs/>
          <w:szCs w:val="22"/>
        </w:rPr>
      </w:pPr>
      <w:r w:rsidRPr="001A6305">
        <w:rPr>
          <w:rFonts w:ascii="ITC Avant Garde" w:hAnsi="ITC Avant Garde" w:cs="Arial"/>
          <w:bCs/>
          <w:szCs w:val="22"/>
        </w:rPr>
        <w:t xml:space="preserve">Adicionalmente el artículo 6°, fracción I del Estatuto </w:t>
      </w:r>
      <w:r w:rsidR="000877C5" w:rsidRPr="001A6305">
        <w:rPr>
          <w:rFonts w:ascii="ITC Avant Garde" w:hAnsi="ITC Avant Garde" w:cs="Arial"/>
          <w:bCs/>
          <w:szCs w:val="22"/>
        </w:rPr>
        <w:t xml:space="preserve">Orgánico del Instituto Federal de Telecomunicaciones </w:t>
      </w:r>
      <w:r w:rsidRPr="001A6305">
        <w:rPr>
          <w:rFonts w:ascii="ITC Avant Garde" w:hAnsi="ITC Avant Garde" w:cs="Arial"/>
          <w:bCs/>
          <w:szCs w:val="22"/>
        </w:rPr>
        <w:t xml:space="preserve">establece que corresponde al Pleno, además de las atribuciones establecidas como indelegables en la </w:t>
      </w:r>
      <w:proofErr w:type="spellStart"/>
      <w:r w:rsidRPr="001A6305">
        <w:rPr>
          <w:rFonts w:ascii="ITC Avant Garde" w:hAnsi="ITC Avant Garde" w:cs="Arial"/>
          <w:bCs/>
          <w:szCs w:val="22"/>
        </w:rPr>
        <w:t>LFTyR</w:t>
      </w:r>
      <w:proofErr w:type="spellEnd"/>
      <w:r w:rsidRPr="001A6305">
        <w:rPr>
          <w:rFonts w:ascii="ITC Avant Garde" w:hAnsi="ITC Avant Garde" w:cs="Arial"/>
          <w:bCs/>
          <w:szCs w:val="22"/>
        </w:rPr>
        <w:t>, la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34472510" w14:textId="77777777" w:rsidR="001A6305" w:rsidRPr="001A6305" w:rsidRDefault="00630126" w:rsidP="001A6305">
      <w:pPr>
        <w:pStyle w:val="Textoindependiente"/>
        <w:spacing w:before="240" w:line="240" w:lineRule="auto"/>
        <w:jc w:val="both"/>
        <w:rPr>
          <w:rFonts w:ascii="ITC Avant Garde" w:hAnsi="ITC Avant Garde"/>
          <w:szCs w:val="22"/>
        </w:rPr>
      </w:pPr>
      <w:r w:rsidRPr="001A6305">
        <w:rPr>
          <w:rFonts w:ascii="ITC Avant Garde" w:hAnsi="ITC Avant Garde"/>
          <w:szCs w:val="22"/>
        </w:rPr>
        <w:t>Por lo anterior y de conformidad con lo dispuesto en los artículos indicados, el Pleno del Instituto resulta competente para emitir la presente Resolución.</w:t>
      </w:r>
      <w:bookmarkEnd w:id="1"/>
    </w:p>
    <w:p w14:paraId="45D51061" w14:textId="77777777" w:rsidR="001A6305" w:rsidRPr="001A6305" w:rsidRDefault="004D6C8A" w:rsidP="001A6305">
      <w:pPr>
        <w:spacing w:before="240" w:line="240" w:lineRule="auto"/>
        <w:jc w:val="both"/>
        <w:rPr>
          <w:rFonts w:ascii="ITC Avant Garde" w:hAnsi="ITC Avant Garde"/>
        </w:rPr>
      </w:pPr>
      <w:bookmarkStart w:id="3" w:name="fundamentos"/>
      <w:bookmarkEnd w:id="2"/>
      <w:r w:rsidRPr="001A6305">
        <w:rPr>
          <w:rFonts w:ascii="ITC Avant Garde" w:hAnsi="ITC Avant Garde"/>
        </w:rPr>
        <w:lastRenderedPageBreak/>
        <w:t xml:space="preserve">Con base en lo anterior y con fundamento en lo dispuesto por los artículos 28, párrafo décimo </w:t>
      </w:r>
      <w:r w:rsidR="00043D3D" w:rsidRPr="001A6305">
        <w:rPr>
          <w:rFonts w:ascii="ITC Avant Garde" w:hAnsi="ITC Avant Garde"/>
        </w:rPr>
        <w:t xml:space="preserve">quinto y décimo </w:t>
      </w:r>
      <w:r w:rsidRPr="001A6305">
        <w:rPr>
          <w:rFonts w:ascii="ITC Avant Garde" w:hAnsi="ITC Avant Garde"/>
        </w:rPr>
        <w:t>sexto de la Constitución Política de los Estados Unidos Mexicanos; 6, fracción IV, 15, fracción X, 17, fracción I</w:t>
      </w:r>
      <w:r w:rsidR="00043D3D" w:rsidRPr="001A6305">
        <w:rPr>
          <w:rFonts w:ascii="ITC Avant Garde" w:hAnsi="ITC Avant Garde"/>
        </w:rPr>
        <w:t xml:space="preserve"> y</w:t>
      </w:r>
      <w:r w:rsidRPr="001A6305">
        <w:rPr>
          <w:rFonts w:ascii="ITC Avant Garde" w:hAnsi="ITC Avant Garde"/>
        </w:rPr>
        <w:t xml:space="preserve"> 129 de la Ley Federal de Telecomunicaciones y Radiodifusión; 32, 35, fracción I, 36, 38</w:t>
      </w:r>
      <w:r w:rsidR="00043D3D" w:rsidRPr="001A6305">
        <w:rPr>
          <w:rFonts w:ascii="ITC Avant Garde" w:hAnsi="ITC Avant Garde"/>
        </w:rPr>
        <w:t xml:space="preserve"> y </w:t>
      </w:r>
      <w:r w:rsidRPr="001A6305">
        <w:rPr>
          <w:rFonts w:ascii="ITC Avant Garde" w:hAnsi="ITC Avant Garde"/>
        </w:rPr>
        <w:t>39 de la Ley Federal de Procedimiento Administrativo; y 4</w:t>
      </w:r>
      <w:r w:rsidR="00043D3D" w:rsidRPr="001A6305">
        <w:rPr>
          <w:rFonts w:ascii="ITC Avant Garde" w:hAnsi="ITC Avant Garde"/>
        </w:rPr>
        <w:t>,</w:t>
      </w:r>
      <w:r w:rsidRPr="001A6305">
        <w:rPr>
          <w:rFonts w:ascii="ITC Avant Garde" w:hAnsi="ITC Avant Garde"/>
        </w:rPr>
        <w:t xml:space="preserve"> fracción I y 6, fracción XXXVIII del Estatuto Orgánico del Instituto Federal de Telecomunicaciones, el Pleno del Instituto Federal de Telecomunicaciones emite los siguientes:</w:t>
      </w:r>
      <w:bookmarkEnd w:id="3"/>
    </w:p>
    <w:p w14:paraId="13531486" w14:textId="77777777" w:rsidR="001A6305" w:rsidRPr="001A6305" w:rsidRDefault="00BF167B" w:rsidP="001A6305">
      <w:pPr>
        <w:pStyle w:val="Ttulo2"/>
        <w:keepLines/>
        <w:spacing w:before="40" w:after="240"/>
        <w:jc w:val="center"/>
        <w:rPr>
          <w:rFonts w:ascii="ITC Avant Garde" w:eastAsiaTheme="majorEastAsia" w:hAnsi="ITC Avant Garde" w:cstheme="majorBidi"/>
          <w:color w:val="000000" w:themeColor="text1"/>
          <w:szCs w:val="22"/>
        </w:rPr>
      </w:pPr>
      <w:r w:rsidRPr="001A6305">
        <w:rPr>
          <w:rFonts w:ascii="ITC Avant Garde" w:eastAsiaTheme="majorEastAsia" w:hAnsi="ITC Avant Garde" w:cstheme="majorBidi"/>
          <w:color w:val="000000" w:themeColor="text1"/>
          <w:szCs w:val="22"/>
        </w:rPr>
        <w:t>RESOLUTIVOS</w:t>
      </w:r>
    </w:p>
    <w:p w14:paraId="401A9E2E" w14:textId="77777777" w:rsidR="001A6305" w:rsidRPr="001A6305" w:rsidRDefault="00264E1E" w:rsidP="001A6305">
      <w:pPr>
        <w:spacing w:before="240" w:line="240" w:lineRule="auto"/>
        <w:jc w:val="both"/>
        <w:rPr>
          <w:rFonts w:ascii="ITC Avant Garde" w:hAnsi="ITC Avant Garde" w:cs="Arial"/>
        </w:rPr>
      </w:pPr>
      <w:r w:rsidRPr="001A6305">
        <w:rPr>
          <w:rFonts w:ascii="ITC Avant Garde" w:hAnsi="ITC Avant Garde" w:cs="Arial"/>
          <w:b/>
        </w:rPr>
        <w:t>PRIMERO</w:t>
      </w:r>
      <w:r w:rsidR="00BF167B" w:rsidRPr="001A6305">
        <w:rPr>
          <w:rFonts w:ascii="ITC Avant Garde" w:hAnsi="ITC Avant Garde" w:cs="Arial"/>
        </w:rPr>
        <w:t>.-</w:t>
      </w:r>
      <w:r w:rsidR="006705F9" w:rsidRPr="001A6305">
        <w:rPr>
          <w:rFonts w:ascii="ITC Avant Garde" w:eastAsia="Times New Roman" w:hAnsi="ITC Avant Garde"/>
          <w:b/>
          <w:bCs/>
          <w:lang w:eastAsia="es-ES"/>
        </w:rPr>
        <w:t xml:space="preserve"> </w:t>
      </w:r>
      <w:r w:rsidR="006705F9" w:rsidRPr="001A6305">
        <w:rPr>
          <w:rFonts w:ascii="ITC Avant Garde" w:eastAsia="Times New Roman" w:hAnsi="ITC Avant Garde"/>
          <w:bCs/>
          <w:lang w:eastAsia="es-ES"/>
        </w:rPr>
        <w:t>Se deja insubsistente la RESOLUCIÓN MEDIANTE LA CUAL EL PLENO DEL INSTITUTO FEDERAL DE TELECOMUNICACIONES DETERMINA LAS CONDICIONES DE INTERCONEXIÓN NO CONVENIDAS ENTRE LAS EMPRESAS TELÉFONOS DE MÉXICO, S.A.B. DE C.V., TELÉFONOS DEL NOROESTE, S.A. DE C.V. Y LAS EMPRESAS AVANTEL, S. DE R.L. DE C.V. Y AXTEL, S.A.B. DE C.V. APLICABLES DEL 1 DE ENERO AL 31 DE DICIEMBRE DE 2016, emitida mediante Acuerdo P/IFT/04111</w:t>
      </w:r>
      <w:r w:rsidR="002C31CD" w:rsidRPr="001A6305">
        <w:rPr>
          <w:rFonts w:ascii="ITC Avant Garde" w:eastAsia="Times New Roman" w:hAnsi="ITC Avant Garde"/>
          <w:bCs/>
          <w:lang w:eastAsia="es-ES"/>
        </w:rPr>
        <w:t>5</w:t>
      </w:r>
      <w:r w:rsidR="006705F9" w:rsidRPr="001A6305">
        <w:rPr>
          <w:rFonts w:ascii="ITC Avant Garde" w:eastAsia="Times New Roman" w:hAnsi="ITC Avant Garde"/>
          <w:bCs/>
          <w:lang w:eastAsia="es-ES"/>
        </w:rPr>
        <w:t>/512</w:t>
      </w:r>
      <w:r w:rsidR="00967007" w:rsidRPr="001A6305">
        <w:rPr>
          <w:rFonts w:ascii="ITC Avant Garde" w:eastAsia="Times New Roman" w:hAnsi="ITC Avant Garde"/>
          <w:bCs/>
          <w:lang w:eastAsia="es-ES"/>
        </w:rPr>
        <w:t>,</w:t>
      </w:r>
      <w:r w:rsidR="006705F9" w:rsidRPr="001A6305">
        <w:rPr>
          <w:rFonts w:ascii="ITC Avant Garde" w:eastAsia="Times New Roman" w:hAnsi="ITC Avant Garde"/>
          <w:bCs/>
          <w:lang w:eastAsia="es-ES"/>
        </w:rPr>
        <w:t xml:space="preserve"> en cumplimiento a la ejecutoria de fecha 18 de mayo de 2017, emitida por el Segundo Tribunal Colegiado de Circuito en Materia Administrativa Especializado en Competencia Económica, Radiodifusión y Telecomunicaciones correspondiente al amparo en revisión R.A.171/2016.</w:t>
      </w:r>
    </w:p>
    <w:p w14:paraId="5BFE77EE" w14:textId="77777777" w:rsidR="001A6305" w:rsidRPr="001A6305" w:rsidRDefault="006705F9" w:rsidP="001A6305">
      <w:pPr>
        <w:pStyle w:val="Textoindependiente"/>
        <w:widowControl w:val="0"/>
        <w:tabs>
          <w:tab w:val="left" w:pos="720"/>
          <w:tab w:val="center" w:pos="4419"/>
          <w:tab w:val="right" w:pos="8838"/>
        </w:tabs>
        <w:spacing w:before="240" w:line="240" w:lineRule="auto"/>
        <w:jc w:val="both"/>
        <w:rPr>
          <w:rFonts w:ascii="ITC Avant Garde" w:hAnsi="ITC Avant Garde" w:cs="Arial"/>
          <w:bCs/>
        </w:rPr>
      </w:pPr>
      <w:r w:rsidRPr="001A6305">
        <w:rPr>
          <w:rFonts w:ascii="ITC Avant Garde" w:hAnsi="ITC Avant Garde" w:cs="Arial"/>
          <w:b/>
        </w:rPr>
        <w:t>SEGUNDO</w:t>
      </w:r>
      <w:r w:rsidRPr="001A6305">
        <w:rPr>
          <w:rFonts w:ascii="ITC Avant Garde" w:hAnsi="ITC Avant Garde" w:cs="Arial"/>
        </w:rPr>
        <w:t xml:space="preserve">.-Se </w:t>
      </w:r>
      <w:r w:rsidR="00A4284B" w:rsidRPr="001A6305">
        <w:rPr>
          <w:rFonts w:ascii="ITC Avant Garde" w:hAnsi="ITC Avant Garde" w:cs="Arial"/>
        </w:rPr>
        <w:t>instruye</w:t>
      </w:r>
      <w:r w:rsidRPr="001A6305">
        <w:rPr>
          <w:rFonts w:ascii="ITC Avant Garde" w:hAnsi="ITC Avant Garde" w:cs="Arial"/>
        </w:rPr>
        <w:t xml:space="preserve"> a la Unidad de Política </w:t>
      </w:r>
      <w:r w:rsidR="00D76B59" w:rsidRPr="001A6305">
        <w:rPr>
          <w:rFonts w:ascii="ITC Avant Garde" w:hAnsi="ITC Avant Garde" w:cs="Arial"/>
        </w:rPr>
        <w:t xml:space="preserve">Regulatoria </w:t>
      </w:r>
      <w:r w:rsidR="00967007" w:rsidRPr="001A6305">
        <w:rPr>
          <w:rFonts w:ascii="ITC Avant Garde" w:hAnsi="ITC Avant Garde" w:cs="Arial"/>
        </w:rPr>
        <w:t>reponer</w:t>
      </w:r>
      <w:r w:rsidR="00D76B59" w:rsidRPr="001A6305">
        <w:rPr>
          <w:rFonts w:ascii="ITC Avant Garde" w:hAnsi="ITC Avant Garde" w:cs="Arial"/>
        </w:rPr>
        <w:t xml:space="preserve"> </w:t>
      </w:r>
      <w:r w:rsidR="00967007" w:rsidRPr="001A6305">
        <w:rPr>
          <w:rFonts w:ascii="ITC Avant Garde" w:hAnsi="ITC Avant Garde" w:cs="Arial"/>
        </w:rPr>
        <w:t xml:space="preserve">y sustanciar </w:t>
      </w:r>
      <w:r w:rsidR="00D76B59" w:rsidRPr="001A6305">
        <w:rPr>
          <w:rFonts w:ascii="ITC Avant Garde" w:hAnsi="ITC Avant Garde" w:cs="Arial"/>
        </w:rPr>
        <w:t xml:space="preserve">el procedimiento de </w:t>
      </w:r>
      <w:r w:rsidR="00A4284B" w:rsidRPr="001A6305">
        <w:rPr>
          <w:rFonts w:ascii="ITC Avant Garde" w:hAnsi="ITC Avant Garde" w:cs="Arial"/>
        </w:rPr>
        <w:t>desacuerdo</w:t>
      </w:r>
      <w:r w:rsidR="00967007" w:rsidRPr="001A6305">
        <w:rPr>
          <w:rFonts w:ascii="ITC Avant Garde" w:hAnsi="ITC Avant Garde" w:cs="Arial"/>
        </w:rPr>
        <w:t xml:space="preserve"> entre </w:t>
      </w:r>
      <w:r w:rsidR="00AD6519" w:rsidRPr="001A6305">
        <w:rPr>
          <w:rFonts w:ascii="ITC Avant Garde" w:hAnsi="ITC Avant Garde" w:cs="Arial"/>
        </w:rPr>
        <w:t xml:space="preserve">las empresas </w:t>
      </w:r>
      <w:r w:rsidR="00967007" w:rsidRPr="001A6305">
        <w:rPr>
          <w:rFonts w:ascii="ITC Avant Garde" w:hAnsi="ITC Avant Garde" w:cs="Arial"/>
        </w:rPr>
        <w:t>Teléfonos de México, S.A.B. de C.V.</w:t>
      </w:r>
      <w:r w:rsidR="00493838" w:rsidRPr="001A6305">
        <w:rPr>
          <w:rFonts w:ascii="ITC Avant Garde" w:hAnsi="ITC Avant Garde" w:cs="Arial"/>
        </w:rPr>
        <w:t xml:space="preserve"> y</w:t>
      </w:r>
      <w:r w:rsidR="00967007" w:rsidRPr="001A6305">
        <w:rPr>
          <w:rFonts w:ascii="ITC Avant Garde" w:hAnsi="ITC Avant Garde" w:cs="Arial"/>
        </w:rPr>
        <w:t xml:space="preserve"> Teléfonos del Noroeste, S.A. de C.V. y </w:t>
      </w:r>
      <w:r w:rsidR="00AD6519" w:rsidRPr="001A6305">
        <w:rPr>
          <w:rFonts w:ascii="ITC Avant Garde" w:hAnsi="ITC Avant Garde" w:cs="Arial"/>
        </w:rPr>
        <w:t xml:space="preserve">las empresa </w:t>
      </w:r>
      <w:proofErr w:type="spellStart"/>
      <w:r w:rsidR="00D76B59" w:rsidRPr="001A6305">
        <w:rPr>
          <w:rFonts w:ascii="ITC Avant Garde" w:hAnsi="ITC Avant Garde" w:cs="Arial"/>
          <w:bCs/>
        </w:rPr>
        <w:t>Avantel</w:t>
      </w:r>
      <w:proofErr w:type="spellEnd"/>
      <w:r w:rsidR="00D76B59" w:rsidRPr="001A6305">
        <w:rPr>
          <w:rFonts w:ascii="ITC Avant Garde" w:hAnsi="ITC Avant Garde" w:cs="Arial"/>
          <w:bCs/>
        </w:rPr>
        <w:t>, S. de R.L. de C.V. y Axtel, S.A.B de C.V.</w:t>
      </w:r>
      <w:r w:rsidR="00AD6519" w:rsidRPr="001A6305">
        <w:rPr>
          <w:rFonts w:ascii="ITC Avant Garde" w:hAnsi="ITC Avant Garde" w:cs="Arial"/>
          <w:bCs/>
        </w:rPr>
        <w:t>; y en el momento procesal oportuno someta a consideración del Pleno el proyecto de resolución que corresponda.</w:t>
      </w:r>
    </w:p>
    <w:p w14:paraId="10B7817E" w14:textId="77777777" w:rsidR="001A6305" w:rsidRPr="001A6305" w:rsidRDefault="00A4284B" w:rsidP="001A6305">
      <w:pPr>
        <w:spacing w:before="240" w:line="240" w:lineRule="auto"/>
        <w:jc w:val="both"/>
        <w:rPr>
          <w:rFonts w:ascii="ITC Avant Garde" w:hAnsi="ITC Avant Garde" w:cs="Arial"/>
        </w:rPr>
      </w:pPr>
      <w:r w:rsidRPr="001A6305">
        <w:rPr>
          <w:rFonts w:ascii="ITC Avant Garde" w:hAnsi="ITC Avant Garde" w:cs="Arial"/>
          <w:b/>
          <w:snapToGrid w:val="0"/>
        </w:rPr>
        <w:t>TERCERO</w:t>
      </w:r>
      <w:r w:rsidR="005C6A97" w:rsidRPr="001A6305">
        <w:rPr>
          <w:rFonts w:ascii="ITC Avant Garde" w:hAnsi="ITC Avant Garde" w:cs="Arial"/>
          <w:b/>
          <w:snapToGrid w:val="0"/>
        </w:rPr>
        <w:t>-</w:t>
      </w:r>
      <w:r w:rsidR="005C6A97" w:rsidRPr="001A6305">
        <w:rPr>
          <w:rFonts w:ascii="ITC Avant Garde" w:hAnsi="ITC Avant Garde" w:cs="Arial"/>
          <w:snapToGrid w:val="0"/>
        </w:rPr>
        <w:t>.</w:t>
      </w:r>
      <w:r w:rsidR="005C6A97" w:rsidRPr="001A6305">
        <w:rPr>
          <w:rFonts w:ascii="ITC Avant Garde" w:hAnsi="ITC Avant Garde" w:cs="Arial"/>
        </w:rPr>
        <w:t xml:space="preserve"> Notifíquese personalmente a los representantes legales de </w:t>
      </w:r>
      <w:r w:rsidR="001B2DAC" w:rsidRPr="001A6305">
        <w:rPr>
          <w:rFonts w:ascii="ITC Avant Garde" w:hAnsi="ITC Avant Garde" w:cs="Arial"/>
        </w:rPr>
        <w:t>Teléfonos de México, S.A.B. de C.V. y</w:t>
      </w:r>
      <w:r w:rsidR="001B2DAC" w:rsidRPr="001A6305">
        <w:rPr>
          <w:rFonts w:ascii="ITC Avant Garde" w:hAnsi="ITC Avant Garde"/>
          <w:bCs/>
        </w:rPr>
        <w:t xml:space="preserve"> </w:t>
      </w:r>
      <w:r w:rsidR="001B2DAC" w:rsidRPr="001A6305">
        <w:rPr>
          <w:rFonts w:ascii="ITC Avant Garde" w:hAnsi="ITC Avant Garde"/>
        </w:rPr>
        <w:t>Teléfonos del Noroeste, S.A. de C.V.,</w:t>
      </w:r>
      <w:r w:rsidR="001B2DAC" w:rsidRPr="001A6305">
        <w:rPr>
          <w:rFonts w:ascii="ITC Avant Garde" w:hAnsi="ITC Avant Garde"/>
          <w:bCs/>
        </w:rPr>
        <w:t xml:space="preserve"> </w:t>
      </w:r>
      <w:r w:rsidR="009C2FF9" w:rsidRPr="001A6305">
        <w:rPr>
          <w:rFonts w:ascii="ITC Avant Garde" w:hAnsi="ITC Avant Garde"/>
        </w:rPr>
        <w:t>así como de</w:t>
      </w:r>
      <w:r w:rsidR="005C6A97" w:rsidRPr="001A6305">
        <w:rPr>
          <w:rFonts w:ascii="ITC Avant Garde" w:hAnsi="ITC Avant Garde"/>
        </w:rPr>
        <w:t xml:space="preserve"> </w:t>
      </w:r>
      <w:proofErr w:type="spellStart"/>
      <w:r w:rsidR="001B2DAC" w:rsidRPr="001A6305">
        <w:rPr>
          <w:rFonts w:ascii="ITC Avant Garde" w:eastAsia="Times New Roman" w:hAnsi="ITC Avant Garde" w:cs="Arial"/>
        </w:rPr>
        <w:t>Avantel</w:t>
      </w:r>
      <w:proofErr w:type="spellEnd"/>
      <w:r w:rsidR="001B2DAC" w:rsidRPr="001A6305">
        <w:rPr>
          <w:rFonts w:ascii="ITC Avant Garde" w:eastAsia="Times New Roman" w:hAnsi="ITC Avant Garde" w:cs="Arial"/>
        </w:rPr>
        <w:t xml:space="preserve">, S. de R.L. de C.V. y Axtel, S.A.B de C.V., </w:t>
      </w:r>
      <w:r w:rsidR="005C6A97" w:rsidRPr="001A6305">
        <w:rPr>
          <w:rFonts w:ascii="ITC Avant Garde" w:hAnsi="ITC Avant Garde" w:cs="Arial"/>
          <w:bCs/>
        </w:rPr>
        <w:t>el</w:t>
      </w:r>
      <w:r w:rsidR="005C6A97" w:rsidRPr="001A6305">
        <w:rPr>
          <w:rFonts w:ascii="ITC Avant Garde" w:hAnsi="ITC Avant Garde" w:cs="Arial"/>
        </w:rPr>
        <w:t xml:space="preserve"> contenido de la presente Resolución.</w:t>
      </w:r>
    </w:p>
    <w:p w14:paraId="2292B86E" w14:textId="4C4BBDA7" w:rsidR="001A6305" w:rsidRPr="001A6305" w:rsidRDefault="006725D6" w:rsidP="001A6305">
      <w:pPr>
        <w:spacing w:before="240" w:line="240" w:lineRule="auto"/>
        <w:jc w:val="both"/>
        <w:rPr>
          <w:rFonts w:ascii="ITC Avant Garde" w:eastAsiaTheme="minorHAnsi" w:hAnsi="ITC Avant Garde"/>
          <w:sz w:val="14"/>
          <w:szCs w:val="14"/>
          <w:lang w:val="es-ES"/>
        </w:rPr>
      </w:pPr>
      <w:r w:rsidRPr="001A6305">
        <w:rPr>
          <w:rFonts w:ascii="ITC Avant Garde" w:hAnsi="ITC Avant Garde"/>
          <w:sz w:val="14"/>
          <w:szCs w:val="14"/>
          <w:lang w:val="es-ES"/>
        </w:rPr>
        <w:t xml:space="preserve">La presente Resolución fue aprobada por el Pleno del Instituto Federal de Telecomunicaciones en su XXVII Sesión Ordinaria celebrada el 28 de junio de 2017, por </w:t>
      </w:r>
      <w:r w:rsidRPr="001A6305">
        <w:rPr>
          <w:rFonts w:ascii="ITC Avant Garde" w:hAnsi="ITC Avant Garde"/>
          <w:bCs/>
          <w:sz w:val="14"/>
          <w:szCs w:val="14"/>
          <w:lang w:val="es-ES"/>
        </w:rPr>
        <w:t>unanimidad</w:t>
      </w:r>
      <w:r w:rsidRPr="001A6305">
        <w:rPr>
          <w:rFonts w:ascii="ITC Avant Garde" w:hAnsi="ITC Avant Garde"/>
          <w:sz w:val="14"/>
          <w:szCs w:val="14"/>
          <w:lang w:val="es-ES"/>
        </w:rPr>
        <w:t xml:space="preserve"> de votos de los Comisionados Gabriel Oswaldo Contreras Saldívar, Adriana Sofía </w:t>
      </w:r>
      <w:proofErr w:type="spellStart"/>
      <w:r w:rsidRPr="001A6305">
        <w:rPr>
          <w:rFonts w:ascii="ITC Avant Garde" w:hAnsi="ITC Avant Garde"/>
          <w:sz w:val="14"/>
          <w:szCs w:val="14"/>
          <w:lang w:val="es-ES"/>
        </w:rPr>
        <w:t>Labardini</w:t>
      </w:r>
      <w:proofErr w:type="spellEnd"/>
      <w:r w:rsidRPr="001A6305">
        <w:rPr>
          <w:rFonts w:ascii="ITC Avant Garde" w:hAnsi="ITC Avant Garde"/>
          <w:sz w:val="14"/>
          <w:szCs w:val="14"/>
          <w:lang w:val="es-ES"/>
        </w:rPr>
        <w:t xml:space="preserve"> </w:t>
      </w:r>
      <w:proofErr w:type="spellStart"/>
      <w:r w:rsidRPr="001A6305">
        <w:rPr>
          <w:rFonts w:ascii="ITC Avant Garde" w:hAnsi="ITC Avant Garde"/>
          <w:sz w:val="14"/>
          <w:szCs w:val="14"/>
          <w:lang w:val="es-ES"/>
        </w:rPr>
        <w:t>Inzunza</w:t>
      </w:r>
      <w:proofErr w:type="spellEnd"/>
      <w:r w:rsidRPr="001A6305">
        <w:rPr>
          <w:rFonts w:ascii="ITC Avant Garde" w:hAnsi="ITC Avant Garde"/>
          <w:sz w:val="14"/>
          <w:szCs w:val="14"/>
          <w:lang w:val="es-ES"/>
        </w:rPr>
        <w:t xml:space="preserve">, María Elena </w:t>
      </w:r>
      <w:proofErr w:type="spellStart"/>
      <w:r w:rsidRPr="001A6305">
        <w:rPr>
          <w:rFonts w:ascii="ITC Avant Garde" w:hAnsi="ITC Avant Garde"/>
          <w:sz w:val="14"/>
          <w:szCs w:val="14"/>
          <w:lang w:val="es-ES"/>
        </w:rPr>
        <w:t>Estavillo</w:t>
      </w:r>
      <w:proofErr w:type="spellEnd"/>
      <w:r w:rsidRPr="001A6305">
        <w:rPr>
          <w:rFonts w:ascii="ITC Avant Garde" w:hAnsi="ITC Avant Garde"/>
          <w:sz w:val="14"/>
          <w:szCs w:val="14"/>
          <w:lang w:val="es-ES"/>
        </w:rPr>
        <w:t xml:space="preserve"> Flores, Mario Germán </w:t>
      </w:r>
      <w:proofErr w:type="spellStart"/>
      <w:r w:rsidRPr="001A6305">
        <w:rPr>
          <w:rFonts w:ascii="ITC Avant Garde" w:hAnsi="ITC Avant Garde"/>
          <w:sz w:val="14"/>
          <w:szCs w:val="14"/>
          <w:lang w:val="es-ES"/>
        </w:rPr>
        <w:t>Fromow</w:t>
      </w:r>
      <w:proofErr w:type="spellEnd"/>
      <w:r w:rsidRPr="001A6305">
        <w:rPr>
          <w:rFonts w:ascii="ITC Avant Garde" w:hAnsi="ITC Avant Garde"/>
          <w:sz w:val="14"/>
          <w:szCs w:val="14"/>
          <w:lang w:val="es-ES"/>
        </w:rPr>
        <w:t xml:space="preserve"> Rangel, Adolfo Cuevas Teja, Javier Juárez Mojica y Arturo Robles </w:t>
      </w:r>
      <w:proofErr w:type="spellStart"/>
      <w:r w:rsidRPr="001A6305">
        <w:rPr>
          <w:rFonts w:ascii="ITC Avant Garde" w:hAnsi="ITC Avant Garde"/>
          <w:sz w:val="14"/>
          <w:szCs w:val="14"/>
          <w:lang w:val="es-ES"/>
        </w:rPr>
        <w:t>Rovalo</w:t>
      </w:r>
      <w:proofErr w:type="spellEnd"/>
      <w:r w:rsidRPr="001A6305">
        <w:rPr>
          <w:rFonts w:ascii="ITC Avant Garde" w:hAnsi="ITC Avant Garde"/>
          <w:sz w:val="14"/>
          <w:szCs w:val="14"/>
          <w:lang w:val="es-ES"/>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P/IFT/280617/363.</w:t>
      </w:r>
    </w:p>
    <w:p w14:paraId="78C839EA" w14:textId="12AAE3DC" w:rsidR="006725D6" w:rsidRPr="001A6305" w:rsidRDefault="006725D6" w:rsidP="001A6305">
      <w:pPr>
        <w:spacing w:before="240" w:line="240" w:lineRule="auto"/>
        <w:jc w:val="both"/>
        <w:rPr>
          <w:sz w:val="14"/>
          <w:szCs w:val="14"/>
          <w:lang w:val="es-ES_tradnl"/>
        </w:rPr>
      </w:pPr>
      <w:r w:rsidRPr="001A6305">
        <w:rPr>
          <w:rFonts w:ascii="ITC Avant Garde" w:hAnsi="ITC Avant Garde"/>
          <w:sz w:val="14"/>
          <w:szCs w:val="14"/>
          <w:lang w:val="es-ES"/>
        </w:rPr>
        <w:t xml:space="preserve">El Comisionado Arturo Robles </w:t>
      </w:r>
      <w:proofErr w:type="spellStart"/>
      <w:r w:rsidRPr="001A6305">
        <w:rPr>
          <w:rFonts w:ascii="ITC Avant Garde" w:hAnsi="ITC Avant Garde"/>
          <w:sz w:val="14"/>
          <w:szCs w:val="14"/>
          <w:lang w:val="es-ES"/>
        </w:rPr>
        <w:t>Rovalo</w:t>
      </w:r>
      <w:proofErr w:type="spellEnd"/>
      <w:r w:rsidRPr="001A6305">
        <w:rPr>
          <w:rFonts w:ascii="ITC Avant Garde" w:hAnsi="ITC Avant Garde"/>
          <w:sz w:val="14"/>
          <w:szCs w:val="14"/>
          <w:lang w:val="es-ES"/>
        </w:rPr>
        <w:t>,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bookmarkEnd w:id="0"/>
    </w:p>
    <w:sectPr w:rsidR="006725D6" w:rsidRPr="001A6305" w:rsidSect="00F9573D">
      <w:footerReference w:type="even" r:id="rId11"/>
      <w:footerReference w:type="default" r:id="rId12"/>
      <w:pgSz w:w="12240" w:h="15840" w:code="1"/>
      <w:pgMar w:top="1985" w:right="1418" w:bottom="1418" w:left="1418" w:header="1440" w:footer="4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31119" w14:textId="77777777" w:rsidR="009E479D" w:rsidRDefault="009E479D" w:rsidP="00BF167B">
      <w:r>
        <w:separator/>
      </w:r>
    </w:p>
  </w:endnote>
  <w:endnote w:type="continuationSeparator" w:id="0">
    <w:p w14:paraId="44248238" w14:textId="77777777" w:rsidR="009E479D" w:rsidRDefault="009E479D" w:rsidP="00BF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auto"/>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C9E8A" w14:textId="77777777" w:rsidR="001A6305" w:rsidRDefault="007C6F3C" w:rsidP="00544E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D9CAE94" w14:textId="05264E0B" w:rsidR="007C6F3C" w:rsidRDefault="007C6F3C" w:rsidP="00544EE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286414"/>
      <w:docPartObj>
        <w:docPartGallery w:val="Page Numbers (Bottom of Page)"/>
        <w:docPartUnique/>
      </w:docPartObj>
    </w:sdtPr>
    <w:sdtEndPr/>
    <w:sdtContent>
      <w:p w14:paraId="542F2559" w14:textId="77777777" w:rsidR="007C6F3C" w:rsidRDefault="007C6F3C">
        <w:pPr>
          <w:pStyle w:val="Piedepgina"/>
          <w:jc w:val="right"/>
        </w:pPr>
        <w:r>
          <w:fldChar w:fldCharType="begin"/>
        </w:r>
        <w:r>
          <w:instrText>PAGE   \* MERGEFORMAT</w:instrText>
        </w:r>
        <w:r>
          <w:fldChar w:fldCharType="separate"/>
        </w:r>
        <w:r w:rsidR="001A6305" w:rsidRPr="001A6305">
          <w:rPr>
            <w:noProof/>
            <w:lang w:val="es-ES"/>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6FC38" w14:textId="77777777" w:rsidR="009E479D" w:rsidRDefault="009E479D" w:rsidP="00BF167B">
      <w:r>
        <w:separator/>
      </w:r>
    </w:p>
  </w:footnote>
  <w:footnote w:type="continuationSeparator" w:id="0">
    <w:p w14:paraId="110FF511" w14:textId="77777777" w:rsidR="009E479D" w:rsidRDefault="009E479D" w:rsidP="00BF1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EA0A75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09E9BD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EA4A56"/>
    <w:multiLevelType w:val="hybridMultilevel"/>
    <w:tmpl w:val="07BC18AA"/>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33835"/>
    <w:multiLevelType w:val="hybridMultilevel"/>
    <w:tmpl w:val="A20E67FE"/>
    <w:lvl w:ilvl="0" w:tplc="3C04F89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306F35"/>
    <w:multiLevelType w:val="hybridMultilevel"/>
    <w:tmpl w:val="0E7E59C6"/>
    <w:lvl w:ilvl="0" w:tplc="7FD0D9A6">
      <w:start w:val="1"/>
      <w:numFmt w:val="bullet"/>
      <w:lvlText w:val="•"/>
      <w:lvlJc w:val="left"/>
      <w:pPr>
        <w:tabs>
          <w:tab w:val="num" w:pos="720"/>
        </w:tabs>
        <w:ind w:left="720" w:hanging="360"/>
      </w:pPr>
      <w:rPr>
        <w:rFonts w:ascii="Arial" w:hAnsi="Arial" w:hint="default"/>
      </w:rPr>
    </w:lvl>
    <w:lvl w:ilvl="1" w:tplc="5AEC90CC" w:tentative="1">
      <w:start w:val="1"/>
      <w:numFmt w:val="bullet"/>
      <w:lvlText w:val="•"/>
      <w:lvlJc w:val="left"/>
      <w:pPr>
        <w:tabs>
          <w:tab w:val="num" w:pos="1440"/>
        </w:tabs>
        <w:ind w:left="1440" w:hanging="360"/>
      </w:pPr>
      <w:rPr>
        <w:rFonts w:ascii="Arial" w:hAnsi="Arial" w:hint="default"/>
      </w:rPr>
    </w:lvl>
    <w:lvl w:ilvl="2" w:tplc="60A8944C" w:tentative="1">
      <w:start w:val="1"/>
      <w:numFmt w:val="bullet"/>
      <w:lvlText w:val="•"/>
      <w:lvlJc w:val="left"/>
      <w:pPr>
        <w:tabs>
          <w:tab w:val="num" w:pos="2160"/>
        </w:tabs>
        <w:ind w:left="2160" w:hanging="360"/>
      </w:pPr>
      <w:rPr>
        <w:rFonts w:ascii="Arial" w:hAnsi="Arial" w:hint="default"/>
      </w:rPr>
    </w:lvl>
    <w:lvl w:ilvl="3" w:tplc="BE2C1392" w:tentative="1">
      <w:start w:val="1"/>
      <w:numFmt w:val="bullet"/>
      <w:lvlText w:val="•"/>
      <w:lvlJc w:val="left"/>
      <w:pPr>
        <w:tabs>
          <w:tab w:val="num" w:pos="2880"/>
        </w:tabs>
        <w:ind w:left="2880" w:hanging="360"/>
      </w:pPr>
      <w:rPr>
        <w:rFonts w:ascii="Arial" w:hAnsi="Arial" w:hint="default"/>
      </w:rPr>
    </w:lvl>
    <w:lvl w:ilvl="4" w:tplc="33801002" w:tentative="1">
      <w:start w:val="1"/>
      <w:numFmt w:val="bullet"/>
      <w:lvlText w:val="•"/>
      <w:lvlJc w:val="left"/>
      <w:pPr>
        <w:tabs>
          <w:tab w:val="num" w:pos="3600"/>
        </w:tabs>
        <w:ind w:left="3600" w:hanging="360"/>
      </w:pPr>
      <w:rPr>
        <w:rFonts w:ascii="Arial" w:hAnsi="Arial" w:hint="default"/>
      </w:rPr>
    </w:lvl>
    <w:lvl w:ilvl="5" w:tplc="6F4659BE" w:tentative="1">
      <w:start w:val="1"/>
      <w:numFmt w:val="bullet"/>
      <w:lvlText w:val="•"/>
      <w:lvlJc w:val="left"/>
      <w:pPr>
        <w:tabs>
          <w:tab w:val="num" w:pos="4320"/>
        </w:tabs>
        <w:ind w:left="4320" w:hanging="360"/>
      </w:pPr>
      <w:rPr>
        <w:rFonts w:ascii="Arial" w:hAnsi="Arial" w:hint="default"/>
      </w:rPr>
    </w:lvl>
    <w:lvl w:ilvl="6" w:tplc="6552721E" w:tentative="1">
      <w:start w:val="1"/>
      <w:numFmt w:val="bullet"/>
      <w:lvlText w:val="•"/>
      <w:lvlJc w:val="left"/>
      <w:pPr>
        <w:tabs>
          <w:tab w:val="num" w:pos="5040"/>
        </w:tabs>
        <w:ind w:left="5040" w:hanging="360"/>
      </w:pPr>
      <w:rPr>
        <w:rFonts w:ascii="Arial" w:hAnsi="Arial" w:hint="default"/>
      </w:rPr>
    </w:lvl>
    <w:lvl w:ilvl="7" w:tplc="51D84566" w:tentative="1">
      <w:start w:val="1"/>
      <w:numFmt w:val="bullet"/>
      <w:lvlText w:val="•"/>
      <w:lvlJc w:val="left"/>
      <w:pPr>
        <w:tabs>
          <w:tab w:val="num" w:pos="5760"/>
        </w:tabs>
        <w:ind w:left="5760" w:hanging="360"/>
      </w:pPr>
      <w:rPr>
        <w:rFonts w:ascii="Arial" w:hAnsi="Arial" w:hint="default"/>
      </w:rPr>
    </w:lvl>
    <w:lvl w:ilvl="8" w:tplc="C4AA24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E55EC4"/>
    <w:multiLevelType w:val="hybridMultilevel"/>
    <w:tmpl w:val="DF14C262"/>
    <w:lvl w:ilvl="0" w:tplc="080A001B">
      <w:start w:val="1"/>
      <w:numFmt w:val="lowerRoman"/>
      <w:lvlText w:val="%1."/>
      <w:lvlJc w:val="right"/>
      <w:pPr>
        <w:ind w:left="720" w:hanging="360"/>
      </w:pPr>
    </w:lvl>
    <w:lvl w:ilvl="1" w:tplc="A65EDAB4">
      <w:start w:val="1"/>
      <w:numFmt w:val="lowerLetter"/>
      <w:lvlText w:val="%2)"/>
      <w:lvlJc w:val="left"/>
      <w:pPr>
        <w:ind w:left="1515" w:hanging="43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A4532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4E3163"/>
    <w:multiLevelType w:val="hybridMultilevel"/>
    <w:tmpl w:val="CA60841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C7AB8"/>
    <w:multiLevelType w:val="hybridMultilevel"/>
    <w:tmpl w:val="F572C3C0"/>
    <w:lvl w:ilvl="0" w:tplc="7CB4A25A">
      <w:start w:val="1"/>
      <w:numFmt w:val="upperRoman"/>
      <w:pStyle w:val="ListBullet2Compact"/>
      <w:lvlText w:val="%1."/>
      <w:lvlJc w:val="left"/>
      <w:pPr>
        <w:ind w:left="1716" w:hanging="720"/>
      </w:pPr>
      <w:rPr>
        <w:rFonts w:hint="default"/>
      </w:rPr>
    </w:lvl>
    <w:lvl w:ilvl="1" w:tplc="080A0019" w:tentative="1">
      <w:start w:val="1"/>
      <w:numFmt w:val="lowerLetter"/>
      <w:lvlText w:val="%2."/>
      <w:lvlJc w:val="left"/>
      <w:pPr>
        <w:ind w:left="2076" w:hanging="360"/>
      </w:pPr>
    </w:lvl>
    <w:lvl w:ilvl="2" w:tplc="080A001B" w:tentative="1">
      <w:start w:val="1"/>
      <w:numFmt w:val="lowerRoman"/>
      <w:lvlText w:val="%3."/>
      <w:lvlJc w:val="right"/>
      <w:pPr>
        <w:ind w:left="2796" w:hanging="180"/>
      </w:pPr>
    </w:lvl>
    <w:lvl w:ilvl="3" w:tplc="080A000F" w:tentative="1">
      <w:start w:val="1"/>
      <w:numFmt w:val="decimal"/>
      <w:lvlText w:val="%4."/>
      <w:lvlJc w:val="left"/>
      <w:pPr>
        <w:ind w:left="3516" w:hanging="360"/>
      </w:pPr>
    </w:lvl>
    <w:lvl w:ilvl="4" w:tplc="080A0019" w:tentative="1">
      <w:start w:val="1"/>
      <w:numFmt w:val="lowerLetter"/>
      <w:lvlText w:val="%5."/>
      <w:lvlJc w:val="left"/>
      <w:pPr>
        <w:ind w:left="4236" w:hanging="360"/>
      </w:pPr>
    </w:lvl>
    <w:lvl w:ilvl="5" w:tplc="080A001B" w:tentative="1">
      <w:start w:val="1"/>
      <w:numFmt w:val="lowerRoman"/>
      <w:lvlText w:val="%6."/>
      <w:lvlJc w:val="right"/>
      <w:pPr>
        <w:ind w:left="4956" w:hanging="180"/>
      </w:pPr>
    </w:lvl>
    <w:lvl w:ilvl="6" w:tplc="080A000F" w:tentative="1">
      <w:start w:val="1"/>
      <w:numFmt w:val="decimal"/>
      <w:lvlText w:val="%7."/>
      <w:lvlJc w:val="left"/>
      <w:pPr>
        <w:ind w:left="5676" w:hanging="360"/>
      </w:pPr>
    </w:lvl>
    <w:lvl w:ilvl="7" w:tplc="080A0019" w:tentative="1">
      <w:start w:val="1"/>
      <w:numFmt w:val="lowerLetter"/>
      <w:lvlText w:val="%8."/>
      <w:lvlJc w:val="left"/>
      <w:pPr>
        <w:ind w:left="6396" w:hanging="360"/>
      </w:pPr>
    </w:lvl>
    <w:lvl w:ilvl="8" w:tplc="080A001B" w:tentative="1">
      <w:start w:val="1"/>
      <w:numFmt w:val="lowerRoman"/>
      <w:lvlText w:val="%9."/>
      <w:lvlJc w:val="right"/>
      <w:pPr>
        <w:ind w:left="7116" w:hanging="180"/>
      </w:pPr>
    </w:lvl>
  </w:abstractNum>
  <w:abstractNum w:abstractNumId="11" w15:restartNumberingAfterBreak="0">
    <w:nsid w:val="1C4F2B64"/>
    <w:multiLevelType w:val="hybridMultilevel"/>
    <w:tmpl w:val="A2F2B19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3" w15:restartNumberingAfterBreak="0">
    <w:nsid w:val="207675F9"/>
    <w:multiLevelType w:val="hybridMultilevel"/>
    <w:tmpl w:val="6BD414DE"/>
    <w:lvl w:ilvl="0" w:tplc="933AB00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3E4853"/>
    <w:multiLevelType w:val="hybridMultilevel"/>
    <w:tmpl w:val="3A400216"/>
    <w:lvl w:ilvl="0" w:tplc="88BE6C8A">
      <w:start w:val="1"/>
      <w:numFmt w:val="upperRoman"/>
      <w:lvlText w:val="%1."/>
      <w:lvlJc w:val="righ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9C565E"/>
    <w:multiLevelType w:val="hybridMultilevel"/>
    <w:tmpl w:val="536E02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E22900"/>
    <w:multiLevelType w:val="hybridMultilevel"/>
    <w:tmpl w:val="BB68F42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C567F6"/>
    <w:multiLevelType w:val="hybridMultilevel"/>
    <w:tmpl w:val="05DC02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185898"/>
    <w:multiLevelType w:val="hybridMultilevel"/>
    <w:tmpl w:val="22662112"/>
    <w:lvl w:ilvl="0" w:tplc="080A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0062D1"/>
    <w:multiLevelType w:val="hybridMultilevel"/>
    <w:tmpl w:val="4F6EC098"/>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1728" w:hanging="360"/>
      </w:pPr>
      <w:rPr>
        <w:rFonts w:ascii="Symbol" w:hAnsi="Symbol"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1" w15:restartNumberingAfterBreak="0">
    <w:nsid w:val="41A1116D"/>
    <w:multiLevelType w:val="hybridMultilevel"/>
    <w:tmpl w:val="D018CA22"/>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F0DBE"/>
    <w:multiLevelType w:val="hybridMultilevel"/>
    <w:tmpl w:val="30FEED50"/>
    <w:lvl w:ilvl="0" w:tplc="DB5C105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956EB1"/>
    <w:multiLevelType w:val="hybridMultilevel"/>
    <w:tmpl w:val="97D694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F7310E"/>
    <w:multiLevelType w:val="hybridMultilevel"/>
    <w:tmpl w:val="F49235A2"/>
    <w:lvl w:ilvl="0" w:tplc="080A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4E974167"/>
    <w:multiLevelType w:val="hybridMultilevel"/>
    <w:tmpl w:val="82906FFE"/>
    <w:lvl w:ilvl="0" w:tplc="F30247B6">
      <w:start w:val="1"/>
      <w:numFmt w:val="lowerLetter"/>
      <w:lvlText w:val="%1)"/>
      <w:lvlJc w:val="left"/>
      <w:pPr>
        <w:ind w:left="1146" w:hanging="360"/>
      </w:pPr>
      <w:rPr>
        <w:rFonts w:ascii="ITC Avant Garde" w:eastAsia="Times New Roman" w:hAnsi="ITC Avant Garde" w:cs="Times New Roman"/>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6" w15:restartNumberingAfterBreak="0">
    <w:nsid w:val="4FE70EA2"/>
    <w:multiLevelType w:val="hybridMultilevel"/>
    <w:tmpl w:val="EC4A523A"/>
    <w:lvl w:ilvl="0" w:tplc="CE924A3A">
      <w:start w:val="1"/>
      <w:numFmt w:val="upperRoman"/>
      <w:lvlText w:val="%1.-"/>
      <w:lvlJc w:val="left"/>
      <w:pPr>
        <w:ind w:left="360" w:hanging="360"/>
      </w:pPr>
      <w:rPr>
        <w:rFonts w:ascii="Arial" w:hAnsi="Arial" w:hint="default"/>
        <w:b/>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89760B"/>
    <w:multiLevelType w:val="hybridMultilevel"/>
    <w:tmpl w:val="BBAA1564"/>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420081A"/>
    <w:multiLevelType w:val="hybridMultilevel"/>
    <w:tmpl w:val="087025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D111BB"/>
    <w:multiLevelType w:val="hybridMultilevel"/>
    <w:tmpl w:val="D3B0C456"/>
    <w:lvl w:ilvl="0" w:tplc="080A0003">
      <w:start w:val="1"/>
      <w:numFmt w:val="bullet"/>
      <w:lvlText w:val="o"/>
      <w:lvlJc w:val="left"/>
      <w:pPr>
        <w:ind w:left="1440" w:hanging="360"/>
      </w:pPr>
      <w:rPr>
        <w:rFonts w:ascii="Courier New" w:hAnsi="Courier New" w:cs="Courier New" w:hint="default"/>
      </w:rPr>
    </w:lvl>
    <w:lvl w:ilvl="1" w:tplc="39FAA09C">
      <w:start w:val="1"/>
      <w:numFmt w:val="lowerLetter"/>
      <w:lvlText w:val="%2)"/>
      <w:lvlJc w:val="left"/>
      <w:pPr>
        <w:ind w:left="2160" w:hanging="360"/>
      </w:pPr>
      <w:rPr>
        <w:rFonts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Arial"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Arial"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7522131"/>
    <w:multiLevelType w:val="hybridMultilevel"/>
    <w:tmpl w:val="1E5E4834"/>
    <w:lvl w:ilvl="0" w:tplc="CE924A3A">
      <w:start w:val="1"/>
      <w:numFmt w:val="upperRoman"/>
      <w:lvlText w:val="%1.-"/>
      <w:lvlJc w:val="left"/>
      <w:pPr>
        <w:tabs>
          <w:tab w:val="num" w:pos="680"/>
        </w:tabs>
        <w:ind w:left="680" w:hanging="680"/>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B2C03B4"/>
    <w:multiLevelType w:val="hybridMultilevel"/>
    <w:tmpl w:val="6F8A7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7676E7"/>
    <w:multiLevelType w:val="hybridMultilevel"/>
    <w:tmpl w:val="AE429BBA"/>
    <w:lvl w:ilvl="0" w:tplc="B642A872">
      <w:start w:val="1"/>
      <w:numFmt w:val="bullet"/>
      <w:lvlText w:val="•"/>
      <w:lvlJc w:val="left"/>
      <w:pPr>
        <w:tabs>
          <w:tab w:val="num" w:pos="720"/>
        </w:tabs>
        <w:ind w:left="720" w:hanging="360"/>
      </w:pPr>
      <w:rPr>
        <w:rFonts w:ascii="Arial" w:hAnsi="Arial" w:hint="default"/>
      </w:rPr>
    </w:lvl>
    <w:lvl w:ilvl="1" w:tplc="D166BBF6" w:tentative="1">
      <w:start w:val="1"/>
      <w:numFmt w:val="bullet"/>
      <w:lvlText w:val="•"/>
      <w:lvlJc w:val="left"/>
      <w:pPr>
        <w:tabs>
          <w:tab w:val="num" w:pos="1440"/>
        </w:tabs>
        <w:ind w:left="1440" w:hanging="360"/>
      </w:pPr>
      <w:rPr>
        <w:rFonts w:ascii="Arial" w:hAnsi="Arial" w:hint="default"/>
      </w:rPr>
    </w:lvl>
    <w:lvl w:ilvl="2" w:tplc="87309F6C" w:tentative="1">
      <w:start w:val="1"/>
      <w:numFmt w:val="bullet"/>
      <w:lvlText w:val="•"/>
      <w:lvlJc w:val="left"/>
      <w:pPr>
        <w:tabs>
          <w:tab w:val="num" w:pos="2160"/>
        </w:tabs>
        <w:ind w:left="2160" w:hanging="360"/>
      </w:pPr>
      <w:rPr>
        <w:rFonts w:ascii="Arial" w:hAnsi="Arial" w:hint="default"/>
      </w:rPr>
    </w:lvl>
    <w:lvl w:ilvl="3" w:tplc="7690E2B6" w:tentative="1">
      <w:start w:val="1"/>
      <w:numFmt w:val="bullet"/>
      <w:lvlText w:val="•"/>
      <w:lvlJc w:val="left"/>
      <w:pPr>
        <w:tabs>
          <w:tab w:val="num" w:pos="2880"/>
        </w:tabs>
        <w:ind w:left="2880" w:hanging="360"/>
      </w:pPr>
      <w:rPr>
        <w:rFonts w:ascii="Arial" w:hAnsi="Arial" w:hint="default"/>
      </w:rPr>
    </w:lvl>
    <w:lvl w:ilvl="4" w:tplc="F8D0EE1A" w:tentative="1">
      <w:start w:val="1"/>
      <w:numFmt w:val="bullet"/>
      <w:lvlText w:val="•"/>
      <w:lvlJc w:val="left"/>
      <w:pPr>
        <w:tabs>
          <w:tab w:val="num" w:pos="3600"/>
        </w:tabs>
        <w:ind w:left="3600" w:hanging="360"/>
      </w:pPr>
      <w:rPr>
        <w:rFonts w:ascii="Arial" w:hAnsi="Arial" w:hint="default"/>
      </w:rPr>
    </w:lvl>
    <w:lvl w:ilvl="5" w:tplc="E2B85A12" w:tentative="1">
      <w:start w:val="1"/>
      <w:numFmt w:val="bullet"/>
      <w:lvlText w:val="•"/>
      <w:lvlJc w:val="left"/>
      <w:pPr>
        <w:tabs>
          <w:tab w:val="num" w:pos="4320"/>
        </w:tabs>
        <w:ind w:left="4320" w:hanging="360"/>
      </w:pPr>
      <w:rPr>
        <w:rFonts w:ascii="Arial" w:hAnsi="Arial" w:hint="default"/>
      </w:rPr>
    </w:lvl>
    <w:lvl w:ilvl="6" w:tplc="019872E8" w:tentative="1">
      <w:start w:val="1"/>
      <w:numFmt w:val="bullet"/>
      <w:lvlText w:val="•"/>
      <w:lvlJc w:val="left"/>
      <w:pPr>
        <w:tabs>
          <w:tab w:val="num" w:pos="5040"/>
        </w:tabs>
        <w:ind w:left="5040" w:hanging="360"/>
      </w:pPr>
      <w:rPr>
        <w:rFonts w:ascii="Arial" w:hAnsi="Arial" w:hint="default"/>
      </w:rPr>
    </w:lvl>
    <w:lvl w:ilvl="7" w:tplc="CF466344" w:tentative="1">
      <w:start w:val="1"/>
      <w:numFmt w:val="bullet"/>
      <w:lvlText w:val="•"/>
      <w:lvlJc w:val="left"/>
      <w:pPr>
        <w:tabs>
          <w:tab w:val="num" w:pos="5760"/>
        </w:tabs>
        <w:ind w:left="5760" w:hanging="360"/>
      </w:pPr>
      <w:rPr>
        <w:rFonts w:ascii="Arial" w:hAnsi="Arial" w:hint="default"/>
      </w:rPr>
    </w:lvl>
    <w:lvl w:ilvl="8" w:tplc="AD1A5B2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D2C3B"/>
    <w:multiLevelType w:val="hybridMultilevel"/>
    <w:tmpl w:val="3A400216"/>
    <w:lvl w:ilvl="0" w:tplc="88BE6C8A">
      <w:start w:val="1"/>
      <w:numFmt w:val="upperRoman"/>
      <w:lvlText w:val="%1."/>
      <w:lvlJc w:val="righ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E56F93"/>
    <w:multiLevelType w:val="hybridMultilevel"/>
    <w:tmpl w:val="5F6A0446"/>
    <w:lvl w:ilvl="0" w:tplc="306AC26E">
      <w:start w:val="1"/>
      <w:numFmt w:val="bullet"/>
      <w:lvlText w:val="•"/>
      <w:lvlJc w:val="left"/>
      <w:pPr>
        <w:tabs>
          <w:tab w:val="num" w:pos="720"/>
        </w:tabs>
        <w:ind w:left="720" w:hanging="360"/>
      </w:pPr>
      <w:rPr>
        <w:rFonts w:ascii="Arial" w:hAnsi="Arial" w:hint="default"/>
      </w:rPr>
    </w:lvl>
    <w:lvl w:ilvl="1" w:tplc="7746483E" w:tentative="1">
      <w:start w:val="1"/>
      <w:numFmt w:val="bullet"/>
      <w:lvlText w:val="•"/>
      <w:lvlJc w:val="left"/>
      <w:pPr>
        <w:tabs>
          <w:tab w:val="num" w:pos="1440"/>
        </w:tabs>
        <w:ind w:left="1440" w:hanging="360"/>
      </w:pPr>
      <w:rPr>
        <w:rFonts w:ascii="Arial" w:hAnsi="Arial" w:hint="default"/>
      </w:rPr>
    </w:lvl>
    <w:lvl w:ilvl="2" w:tplc="F0906EA8" w:tentative="1">
      <w:start w:val="1"/>
      <w:numFmt w:val="bullet"/>
      <w:lvlText w:val="•"/>
      <w:lvlJc w:val="left"/>
      <w:pPr>
        <w:tabs>
          <w:tab w:val="num" w:pos="2160"/>
        </w:tabs>
        <w:ind w:left="2160" w:hanging="360"/>
      </w:pPr>
      <w:rPr>
        <w:rFonts w:ascii="Arial" w:hAnsi="Arial" w:hint="default"/>
      </w:rPr>
    </w:lvl>
    <w:lvl w:ilvl="3" w:tplc="BB8EC7EE" w:tentative="1">
      <w:start w:val="1"/>
      <w:numFmt w:val="bullet"/>
      <w:lvlText w:val="•"/>
      <w:lvlJc w:val="left"/>
      <w:pPr>
        <w:tabs>
          <w:tab w:val="num" w:pos="2880"/>
        </w:tabs>
        <w:ind w:left="2880" w:hanging="360"/>
      </w:pPr>
      <w:rPr>
        <w:rFonts w:ascii="Arial" w:hAnsi="Arial" w:hint="default"/>
      </w:rPr>
    </w:lvl>
    <w:lvl w:ilvl="4" w:tplc="9C6E9B64" w:tentative="1">
      <w:start w:val="1"/>
      <w:numFmt w:val="bullet"/>
      <w:lvlText w:val="•"/>
      <w:lvlJc w:val="left"/>
      <w:pPr>
        <w:tabs>
          <w:tab w:val="num" w:pos="3600"/>
        </w:tabs>
        <w:ind w:left="3600" w:hanging="360"/>
      </w:pPr>
      <w:rPr>
        <w:rFonts w:ascii="Arial" w:hAnsi="Arial" w:hint="default"/>
      </w:rPr>
    </w:lvl>
    <w:lvl w:ilvl="5" w:tplc="F6B63CE6" w:tentative="1">
      <w:start w:val="1"/>
      <w:numFmt w:val="bullet"/>
      <w:lvlText w:val="•"/>
      <w:lvlJc w:val="left"/>
      <w:pPr>
        <w:tabs>
          <w:tab w:val="num" w:pos="4320"/>
        </w:tabs>
        <w:ind w:left="4320" w:hanging="360"/>
      </w:pPr>
      <w:rPr>
        <w:rFonts w:ascii="Arial" w:hAnsi="Arial" w:hint="default"/>
      </w:rPr>
    </w:lvl>
    <w:lvl w:ilvl="6" w:tplc="8CEE1D12" w:tentative="1">
      <w:start w:val="1"/>
      <w:numFmt w:val="bullet"/>
      <w:lvlText w:val="•"/>
      <w:lvlJc w:val="left"/>
      <w:pPr>
        <w:tabs>
          <w:tab w:val="num" w:pos="5040"/>
        </w:tabs>
        <w:ind w:left="5040" w:hanging="360"/>
      </w:pPr>
      <w:rPr>
        <w:rFonts w:ascii="Arial" w:hAnsi="Arial" w:hint="default"/>
      </w:rPr>
    </w:lvl>
    <w:lvl w:ilvl="7" w:tplc="9132C598" w:tentative="1">
      <w:start w:val="1"/>
      <w:numFmt w:val="bullet"/>
      <w:lvlText w:val="•"/>
      <w:lvlJc w:val="left"/>
      <w:pPr>
        <w:tabs>
          <w:tab w:val="num" w:pos="5760"/>
        </w:tabs>
        <w:ind w:left="5760" w:hanging="360"/>
      </w:pPr>
      <w:rPr>
        <w:rFonts w:ascii="Arial" w:hAnsi="Arial" w:hint="default"/>
      </w:rPr>
    </w:lvl>
    <w:lvl w:ilvl="8" w:tplc="CC84822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5471AAA"/>
    <w:multiLevelType w:val="hybridMultilevel"/>
    <w:tmpl w:val="F43C322E"/>
    <w:lvl w:ilvl="0" w:tplc="0C0A001B">
      <w:start w:val="1"/>
      <w:numFmt w:val="low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68260CA"/>
    <w:multiLevelType w:val="hybridMultilevel"/>
    <w:tmpl w:val="07BC18AA"/>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F027F5"/>
    <w:multiLevelType w:val="hybridMultilevel"/>
    <w:tmpl w:val="3E3297F6"/>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0" w15:restartNumberingAfterBreak="0">
    <w:nsid w:val="758D649F"/>
    <w:multiLevelType w:val="hybridMultilevel"/>
    <w:tmpl w:val="E9BC7D3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26"/>
  </w:num>
  <w:num w:numId="3">
    <w:abstractNumId w:val="10"/>
  </w:num>
  <w:num w:numId="4">
    <w:abstractNumId w:val="2"/>
  </w:num>
  <w:num w:numId="5">
    <w:abstractNumId w:val="30"/>
  </w:num>
  <w:num w:numId="6">
    <w:abstractNumId w:val="12"/>
  </w:num>
  <w:num w:numId="7">
    <w:abstractNumId w:val="19"/>
  </w:num>
  <w:num w:numId="8">
    <w:abstractNumId w:val="9"/>
  </w:num>
  <w:num w:numId="9">
    <w:abstractNumId w:val="34"/>
  </w:num>
  <w:num w:numId="10">
    <w:abstractNumId w:val="0"/>
  </w:num>
  <w:num w:numId="11">
    <w:abstractNumId w:val="27"/>
  </w:num>
  <w:num w:numId="12">
    <w:abstractNumId w:val="40"/>
  </w:num>
  <w:num w:numId="13">
    <w:abstractNumId w:val="3"/>
  </w:num>
  <w:num w:numId="14">
    <w:abstractNumId w:val="24"/>
  </w:num>
  <w:num w:numId="15">
    <w:abstractNumId w:val="31"/>
  </w:num>
  <w:num w:numId="16">
    <w:abstractNumId w:val="38"/>
  </w:num>
  <w:num w:numId="17">
    <w:abstractNumId w:val="29"/>
  </w:num>
  <w:num w:numId="18">
    <w:abstractNumId w:val="32"/>
  </w:num>
  <w:num w:numId="19">
    <w:abstractNumId w:val="25"/>
  </w:num>
  <w:num w:numId="20">
    <w:abstractNumId w:val="16"/>
  </w:num>
  <w:num w:numId="21">
    <w:abstractNumId w:val="5"/>
  </w:num>
  <w:num w:numId="22">
    <w:abstractNumId w:val="36"/>
  </w:num>
  <w:num w:numId="23">
    <w:abstractNumId w:val="33"/>
  </w:num>
  <w:num w:numId="24">
    <w:abstractNumId w:val="14"/>
  </w:num>
  <w:num w:numId="25">
    <w:abstractNumId w:val="28"/>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1"/>
  </w:num>
  <w:num w:numId="29">
    <w:abstractNumId w:val="8"/>
  </w:num>
  <w:num w:numId="30">
    <w:abstractNumId w:val="6"/>
  </w:num>
  <w:num w:numId="31">
    <w:abstractNumId w:val="22"/>
  </w:num>
  <w:num w:numId="32">
    <w:abstractNumId w:val="7"/>
  </w:num>
  <w:num w:numId="33">
    <w:abstractNumId w:val="17"/>
  </w:num>
  <w:num w:numId="34">
    <w:abstractNumId w:val="4"/>
  </w:num>
  <w:num w:numId="35">
    <w:abstractNumId w:val="15"/>
  </w:num>
  <w:num w:numId="36">
    <w:abstractNumId w:val="21"/>
  </w:num>
  <w:num w:numId="37">
    <w:abstractNumId w:val="39"/>
  </w:num>
  <w:num w:numId="38">
    <w:abstractNumId w:val="20"/>
  </w:num>
  <w:num w:numId="39">
    <w:abstractNumId w:val="23"/>
  </w:num>
  <w:num w:numId="40">
    <w:abstractNumId w:val="13"/>
  </w:num>
  <w:num w:numId="41">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7B"/>
    <w:rsid w:val="00000DF7"/>
    <w:rsid w:val="00001965"/>
    <w:rsid w:val="000025F1"/>
    <w:rsid w:val="000032F0"/>
    <w:rsid w:val="00003DCA"/>
    <w:rsid w:val="00004422"/>
    <w:rsid w:val="00007426"/>
    <w:rsid w:val="00010EC6"/>
    <w:rsid w:val="00011690"/>
    <w:rsid w:val="00012639"/>
    <w:rsid w:val="00014066"/>
    <w:rsid w:val="000143F2"/>
    <w:rsid w:val="000149C9"/>
    <w:rsid w:val="00015AD2"/>
    <w:rsid w:val="00017DB7"/>
    <w:rsid w:val="00020738"/>
    <w:rsid w:val="00020793"/>
    <w:rsid w:val="00020BCD"/>
    <w:rsid w:val="000216B1"/>
    <w:rsid w:val="00022373"/>
    <w:rsid w:val="00024BD1"/>
    <w:rsid w:val="00025F0F"/>
    <w:rsid w:val="000264B0"/>
    <w:rsid w:val="00026833"/>
    <w:rsid w:val="0002744E"/>
    <w:rsid w:val="00027A8A"/>
    <w:rsid w:val="00027AC5"/>
    <w:rsid w:val="000324B7"/>
    <w:rsid w:val="00033331"/>
    <w:rsid w:val="00033681"/>
    <w:rsid w:val="00034903"/>
    <w:rsid w:val="000364F6"/>
    <w:rsid w:val="00036739"/>
    <w:rsid w:val="000375E1"/>
    <w:rsid w:val="00037D99"/>
    <w:rsid w:val="00041690"/>
    <w:rsid w:val="00043D3D"/>
    <w:rsid w:val="00044241"/>
    <w:rsid w:val="0004445F"/>
    <w:rsid w:val="0004529F"/>
    <w:rsid w:val="000456A9"/>
    <w:rsid w:val="00046DFC"/>
    <w:rsid w:val="000507FA"/>
    <w:rsid w:val="00050D85"/>
    <w:rsid w:val="00050FA4"/>
    <w:rsid w:val="0005196B"/>
    <w:rsid w:val="00051D64"/>
    <w:rsid w:val="000524B4"/>
    <w:rsid w:val="00052E1D"/>
    <w:rsid w:val="00053E01"/>
    <w:rsid w:val="000544E4"/>
    <w:rsid w:val="00054B80"/>
    <w:rsid w:val="000560E9"/>
    <w:rsid w:val="000565BD"/>
    <w:rsid w:val="00060B43"/>
    <w:rsid w:val="0006133E"/>
    <w:rsid w:val="0006332F"/>
    <w:rsid w:val="000637CA"/>
    <w:rsid w:val="00064094"/>
    <w:rsid w:val="0006435F"/>
    <w:rsid w:val="00064382"/>
    <w:rsid w:val="00064FDE"/>
    <w:rsid w:val="00065561"/>
    <w:rsid w:val="00065813"/>
    <w:rsid w:val="00066992"/>
    <w:rsid w:val="00067E37"/>
    <w:rsid w:val="00070A40"/>
    <w:rsid w:val="00070B42"/>
    <w:rsid w:val="00071529"/>
    <w:rsid w:val="00072AE3"/>
    <w:rsid w:val="00072EFD"/>
    <w:rsid w:val="00074614"/>
    <w:rsid w:val="000749C3"/>
    <w:rsid w:val="0008078A"/>
    <w:rsid w:val="00080B39"/>
    <w:rsid w:val="000812D8"/>
    <w:rsid w:val="000816C8"/>
    <w:rsid w:val="00081751"/>
    <w:rsid w:val="00081F56"/>
    <w:rsid w:val="0008205B"/>
    <w:rsid w:val="0008264B"/>
    <w:rsid w:val="000828F8"/>
    <w:rsid w:val="00084013"/>
    <w:rsid w:val="00084946"/>
    <w:rsid w:val="00084BA3"/>
    <w:rsid w:val="00086D26"/>
    <w:rsid w:val="000877C5"/>
    <w:rsid w:val="00087B43"/>
    <w:rsid w:val="00090212"/>
    <w:rsid w:val="000935A1"/>
    <w:rsid w:val="00093D62"/>
    <w:rsid w:val="00093D6C"/>
    <w:rsid w:val="0009463E"/>
    <w:rsid w:val="000947BD"/>
    <w:rsid w:val="0009650B"/>
    <w:rsid w:val="00096E74"/>
    <w:rsid w:val="00097840"/>
    <w:rsid w:val="00097AD4"/>
    <w:rsid w:val="000A17F0"/>
    <w:rsid w:val="000A4C42"/>
    <w:rsid w:val="000A649B"/>
    <w:rsid w:val="000A6631"/>
    <w:rsid w:val="000A69FB"/>
    <w:rsid w:val="000A760A"/>
    <w:rsid w:val="000A761E"/>
    <w:rsid w:val="000A772B"/>
    <w:rsid w:val="000A7C09"/>
    <w:rsid w:val="000B0293"/>
    <w:rsid w:val="000B1824"/>
    <w:rsid w:val="000B219E"/>
    <w:rsid w:val="000B27ED"/>
    <w:rsid w:val="000B38A8"/>
    <w:rsid w:val="000B73BE"/>
    <w:rsid w:val="000B7C0E"/>
    <w:rsid w:val="000B7C83"/>
    <w:rsid w:val="000C08DC"/>
    <w:rsid w:val="000C0BE9"/>
    <w:rsid w:val="000C209C"/>
    <w:rsid w:val="000C35F9"/>
    <w:rsid w:val="000C5298"/>
    <w:rsid w:val="000C55C6"/>
    <w:rsid w:val="000C58E1"/>
    <w:rsid w:val="000C650E"/>
    <w:rsid w:val="000D68BE"/>
    <w:rsid w:val="000D6FD1"/>
    <w:rsid w:val="000D7434"/>
    <w:rsid w:val="000E0604"/>
    <w:rsid w:val="000E0DD1"/>
    <w:rsid w:val="000E19EB"/>
    <w:rsid w:val="000E21D3"/>
    <w:rsid w:val="000E2CF0"/>
    <w:rsid w:val="000E3544"/>
    <w:rsid w:val="000E49D8"/>
    <w:rsid w:val="000E505A"/>
    <w:rsid w:val="000E62DF"/>
    <w:rsid w:val="000E66C8"/>
    <w:rsid w:val="000F02BC"/>
    <w:rsid w:val="000F31BC"/>
    <w:rsid w:val="000F3A9C"/>
    <w:rsid w:val="000F5054"/>
    <w:rsid w:val="000F6022"/>
    <w:rsid w:val="000F7174"/>
    <w:rsid w:val="00100068"/>
    <w:rsid w:val="0010047E"/>
    <w:rsid w:val="00100576"/>
    <w:rsid w:val="00100896"/>
    <w:rsid w:val="00100A82"/>
    <w:rsid w:val="00101053"/>
    <w:rsid w:val="001034F2"/>
    <w:rsid w:val="00106059"/>
    <w:rsid w:val="00106795"/>
    <w:rsid w:val="00107C08"/>
    <w:rsid w:val="001101D3"/>
    <w:rsid w:val="00110A27"/>
    <w:rsid w:val="001115F3"/>
    <w:rsid w:val="00111A16"/>
    <w:rsid w:val="00113617"/>
    <w:rsid w:val="00113BC3"/>
    <w:rsid w:val="00114116"/>
    <w:rsid w:val="00114E97"/>
    <w:rsid w:val="00114FB5"/>
    <w:rsid w:val="00115845"/>
    <w:rsid w:val="001163BC"/>
    <w:rsid w:val="001169D8"/>
    <w:rsid w:val="00122807"/>
    <w:rsid w:val="00123682"/>
    <w:rsid w:val="00124BAD"/>
    <w:rsid w:val="00124BB2"/>
    <w:rsid w:val="00124DFF"/>
    <w:rsid w:val="001260B1"/>
    <w:rsid w:val="001267E5"/>
    <w:rsid w:val="0012738A"/>
    <w:rsid w:val="00127502"/>
    <w:rsid w:val="001302FE"/>
    <w:rsid w:val="00130584"/>
    <w:rsid w:val="001305B0"/>
    <w:rsid w:val="00131C90"/>
    <w:rsid w:val="0013201C"/>
    <w:rsid w:val="001325B7"/>
    <w:rsid w:val="00133EA2"/>
    <w:rsid w:val="00134B5F"/>
    <w:rsid w:val="00135914"/>
    <w:rsid w:val="001415BC"/>
    <w:rsid w:val="0014282A"/>
    <w:rsid w:val="00142BEE"/>
    <w:rsid w:val="00143F47"/>
    <w:rsid w:val="00144322"/>
    <w:rsid w:val="00144CE0"/>
    <w:rsid w:val="00145CAB"/>
    <w:rsid w:val="001502CC"/>
    <w:rsid w:val="001513B8"/>
    <w:rsid w:val="001541E6"/>
    <w:rsid w:val="00155EF4"/>
    <w:rsid w:val="0015688F"/>
    <w:rsid w:val="001571BF"/>
    <w:rsid w:val="001578B5"/>
    <w:rsid w:val="00157DEB"/>
    <w:rsid w:val="001607B0"/>
    <w:rsid w:val="00161914"/>
    <w:rsid w:val="00161FEF"/>
    <w:rsid w:val="00162E6F"/>
    <w:rsid w:val="001648C1"/>
    <w:rsid w:val="001656C1"/>
    <w:rsid w:val="00165CB9"/>
    <w:rsid w:val="0016734E"/>
    <w:rsid w:val="00167D05"/>
    <w:rsid w:val="0017009A"/>
    <w:rsid w:val="00170389"/>
    <w:rsid w:val="001727EF"/>
    <w:rsid w:val="00173F3F"/>
    <w:rsid w:val="0017432C"/>
    <w:rsid w:val="0017449D"/>
    <w:rsid w:val="00174B78"/>
    <w:rsid w:val="001773DE"/>
    <w:rsid w:val="00180112"/>
    <w:rsid w:val="00180288"/>
    <w:rsid w:val="00180BED"/>
    <w:rsid w:val="00180C49"/>
    <w:rsid w:val="001818F6"/>
    <w:rsid w:val="00182CC2"/>
    <w:rsid w:val="00183080"/>
    <w:rsid w:val="0018403C"/>
    <w:rsid w:val="00185733"/>
    <w:rsid w:val="001868A9"/>
    <w:rsid w:val="001868E4"/>
    <w:rsid w:val="00187049"/>
    <w:rsid w:val="0018714B"/>
    <w:rsid w:val="00190405"/>
    <w:rsid w:val="001907BF"/>
    <w:rsid w:val="001913F1"/>
    <w:rsid w:val="00191805"/>
    <w:rsid w:val="00191EF2"/>
    <w:rsid w:val="001921A9"/>
    <w:rsid w:val="00193E5C"/>
    <w:rsid w:val="00194307"/>
    <w:rsid w:val="001948F5"/>
    <w:rsid w:val="001953C7"/>
    <w:rsid w:val="00196BB7"/>
    <w:rsid w:val="00197BF3"/>
    <w:rsid w:val="001A037B"/>
    <w:rsid w:val="001A0A97"/>
    <w:rsid w:val="001A2847"/>
    <w:rsid w:val="001A3768"/>
    <w:rsid w:val="001A59F5"/>
    <w:rsid w:val="001A5ADB"/>
    <w:rsid w:val="001A6305"/>
    <w:rsid w:val="001A7D66"/>
    <w:rsid w:val="001B0136"/>
    <w:rsid w:val="001B0D3C"/>
    <w:rsid w:val="001B11B7"/>
    <w:rsid w:val="001B2DAC"/>
    <w:rsid w:val="001B398D"/>
    <w:rsid w:val="001B4600"/>
    <w:rsid w:val="001B5EBF"/>
    <w:rsid w:val="001B6826"/>
    <w:rsid w:val="001B7189"/>
    <w:rsid w:val="001C05F3"/>
    <w:rsid w:val="001C0E8A"/>
    <w:rsid w:val="001C26FE"/>
    <w:rsid w:val="001C2AF1"/>
    <w:rsid w:val="001C3065"/>
    <w:rsid w:val="001C4589"/>
    <w:rsid w:val="001C45CD"/>
    <w:rsid w:val="001C57E4"/>
    <w:rsid w:val="001C664B"/>
    <w:rsid w:val="001C685F"/>
    <w:rsid w:val="001C71BB"/>
    <w:rsid w:val="001C7F30"/>
    <w:rsid w:val="001D0019"/>
    <w:rsid w:val="001D2691"/>
    <w:rsid w:val="001D34B6"/>
    <w:rsid w:val="001D5525"/>
    <w:rsid w:val="001D65FF"/>
    <w:rsid w:val="001D6E44"/>
    <w:rsid w:val="001E082C"/>
    <w:rsid w:val="001E0D58"/>
    <w:rsid w:val="001E204F"/>
    <w:rsid w:val="001E2206"/>
    <w:rsid w:val="001E2476"/>
    <w:rsid w:val="001E2835"/>
    <w:rsid w:val="001E51D2"/>
    <w:rsid w:val="001E7972"/>
    <w:rsid w:val="001F0DA6"/>
    <w:rsid w:val="001F48B8"/>
    <w:rsid w:val="001F5321"/>
    <w:rsid w:val="001F69E8"/>
    <w:rsid w:val="002040B3"/>
    <w:rsid w:val="00204CD4"/>
    <w:rsid w:val="00206736"/>
    <w:rsid w:val="00206A58"/>
    <w:rsid w:val="00207B32"/>
    <w:rsid w:val="00207EA6"/>
    <w:rsid w:val="002119C9"/>
    <w:rsid w:val="00211FCC"/>
    <w:rsid w:val="00211FD1"/>
    <w:rsid w:val="002123E7"/>
    <w:rsid w:val="00213793"/>
    <w:rsid w:val="00213922"/>
    <w:rsid w:val="00215C8B"/>
    <w:rsid w:val="0021654F"/>
    <w:rsid w:val="00216621"/>
    <w:rsid w:val="00217F3B"/>
    <w:rsid w:val="00220C18"/>
    <w:rsid w:val="002210D4"/>
    <w:rsid w:val="002216E3"/>
    <w:rsid w:val="002227FA"/>
    <w:rsid w:val="002228FF"/>
    <w:rsid w:val="0022462B"/>
    <w:rsid w:val="002256AF"/>
    <w:rsid w:val="00226E82"/>
    <w:rsid w:val="00226EA8"/>
    <w:rsid w:val="00227BE1"/>
    <w:rsid w:val="0023008D"/>
    <w:rsid w:val="00230FBB"/>
    <w:rsid w:val="00231260"/>
    <w:rsid w:val="002318AB"/>
    <w:rsid w:val="00231CA0"/>
    <w:rsid w:val="0023367F"/>
    <w:rsid w:val="00234F5C"/>
    <w:rsid w:val="00235F92"/>
    <w:rsid w:val="0023604E"/>
    <w:rsid w:val="00236084"/>
    <w:rsid w:val="0023712A"/>
    <w:rsid w:val="00237F66"/>
    <w:rsid w:val="00240C02"/>
    <w:rsid w:val="002419FC"/>
    <w:rsid w:val="0024245D"/>
    <w:rsid w:val="002425D8"/>
    <w:rsid w:val="00242B89"/>
    <w:rsid w:val="0024443A"/>
    <w:rsid w:val="002466DB"/>
    <w:rsid w:val="002510EA"/>
    <w:rsid w:val="00251654"/>
    <w:rsid w:val="002523F9"/>
    <w:rsid w:val="002542C0"/>
    <w:rsid w:val="00254744"/>
    <w:rsid w:val="00254AA4"/>
    <w:rsid w:val="002552CB"/>
    <w:rsid w:val="00255D83"/>
    <w:rsid w:val="0025632C"/>
    <w:rsid w:val="002572C2"/>
    <w:rsid w:val="002575C9"/>
    <w:rsid w:val="00260223"/>
    <w:rsid w:val="00263C6F"/>
    <w:rsid w:val="00263D71"/>
    <w:rsid w:val="00264E1E"/>
    <w:rsid w:val="00265F7D"/>
    <w:rsid w:val="00270480"/>
    <w:rsid w:val="00270925"/>
    <w:rsid w:val="00271F24"/>
    <w:rsid w:val="002723B1"/>
    <w:rsid w:val="00272AC8"/>
    <w:rsid w:val="0027314B"/>
    <w:rsid w:val="002744C2"/>
    <w:rsid w:val="002776B8"/>
    <w:rsid w:val="00277B4D"/>
    <w:rsid w:val="002802E5"/>
    <w:rsid w:val="00280706"/>
    <w:rsid w:val="00280C69"/>
    <w:rsid w:val="00281AC4"/>
    <w:rsid w:val="00281D21"/>
    <w:rsid w:val="00282D63"/>
    <w:rsid w:val="00283ABE"/>
    <w:rsid w:val="002846AD"/>
    <w:rsid w:val="002848CC"/>
    <w:rsid w:val="00284AFE"/>
    <w:rsid w:val="002869B7"/>
    <w:rsid w:val="00290738"/>
    <w:rsid w:val="00291446"/>
    <w:rsid w:val="00291686"/>
    <w:rsid w:val="002918BE"/>
    <w:rsid w:val="0029255B"/>
    <w:rsid w:val="00293944"/>
    <w:rsid w:val="00293DA2"/>
    <w:rsid w:val="00294A19"/>
    <w:rsid w:val="0029587D"/>
    <w:rsid w:val="00295EDF"/>
    <w:rsid w:val="00296BAC"/>
    <w:rsid w:val="00297D0C"/>
    <w:rsid w:val="002A0267"/>
    <w:rsid w:val="002A1C4D"/>
    <w:rsid w:val="002A782E"/>
    <w:rsid w:val="002B0102"/>
    <w:rsid w:val="002B075A"/>
    <w:rsid w:val="002B0E2B"/>
    <w:rsid w:val="002B2835"/>
    <w:rsid w:val="002B4632"/>
    <w:rsid w:val="002B4BCC"/>
    <w:rsid w:val="002B4BE9"/>
    <w:rsid w:val="002B6EA5"/>
    <w:rsid w:val="002B7AC3"/>
    <w:rsid w:val="002C1CFC"/>
    <w:rsid w:val="002C201A"/>
    <w:rsid w:val="002C2659"/>
    <w:rsid w:val="002C2F2A"/>
    <w:rsid w:val="002C31CD"/>
    <w:rsid w:val="002C32E9"/>
    <w:rsid w:val="002C4376"/>
    <w:rsid w:val="002C53CB"/>
    <w:rsid w:val="002C553B"/>
    <w:rsid w:val="002C648E"/>
    <w:rsid w:val="002C679D"/>
    <w:rsid w:val="002C7080"/>
    <w:rsid w:val="002C7ECA"/>
    <w:rsid w:val="002D286A"/>
    <w:rsid w:val="002D4FA5"/>
    <w:rsid w:val="002D52E8"/>
    <w:rsid w:val="002D5B5F"/>
    <w:rsid w:val="002D7A56"/>
    <w:rsid w:val="002E1947"/>
    <w:rsid w:val="002E26F0"/>
    <w:rsid w:val="002E2DA4"/>
    <w:rsid w:val="002E43DA"/>
    <w:rsid w:val="002E45EB"/>
    <w:rsid w:val="002E724C"/>
    <w:rsid w:val="002E783A"/>
    <w:rsid w:val="002E7AE7"/>
    <w:rsid w:val="002F073F"/>
    <w:rsid w:val="002F0A05"/>
    <w:rsid w:val="002F3264"/>
    <w:rsid w:val="002F44B9"/>
    <w:rsid w:val="002F4C0B"/>
    <w:rsid w:val="002F4E44"/>
    <w:rsid w:val="002F7C2D"/>
    <w:rsid w:val="002F7E4B"/>
    <w:rsid w:val="003012A5"/>
    <w:rsid w:val="003013F8"/>
    <w:rsid w:val="00301AA3"/>
    <w:rsid w:val="00301EAA"/>
    <w:rsid w:val="00302E16"/>
    <w:rsid w:val="00303C45"/>
    <w:rsid w:val="00304C40"/>
    <w:rsid w:val="0030507E"/>
    <w:rsid w:val="003053B0"/>
    <w:rsid w:val="003101D0"/>
    <w:rsid w:val="00310229"/>
    <w:rsid w:val="00311929"/>
    <w:rsid w:val="00311FD9"/>
    <w:rsid w:val="0031226E"/>
    <w:rsid w:val="003128E3"/>
    <w:rsid w:val="00313C91"/>
    <w:rsid w:val="00315F50"/>
    <w:rsid w:val="00316BB1"/>
    <w:rsid w:val="00317058"/>
    <w:rsid w:val="003171BE"/>
    <w:rsid w:val="00317AF0"/>
    <w:rsid w:val="00317CA4"/>
    <w:rsid w:val="00317F3F"/>
    <w:rsid w:val="00320193"/>
    <w:rsid w:val="003202A5"/>
    <w:rsid w:val="0032106C"/>
    <w:rsid w:val="0032326A"/>
    <w:rsid w:val="00323F08"/>
    <w:rsid w:val="00324ABC"/>
    <w:rsid w:val="00324C40"/>
    <w:rsid w:val="00325883"/>
    <w:rsid w:val="0032588A"/>
    <w:rsid w:val="00325894"/>
    <w:rsid w:val="00325B77"/>
    <w:rsid w:val="00326079"/>
    <w:rsid w:val="003268A2"/>
    <w:rsid w:val="0033044A"/>
    <w:rsid w:val="00330794"/>
    <w:rsid w:val="003316B0"/>
    <w:rsid w:val="00332C00"/>
    <w:rsid w:val="00333174"/>
    <w:rsid w:val="00335F44"/>
    <w:rsid w:val="00336DDC"/>
    <w:rsid w:val="0033710B"/>
    <w:rsid w:val="00337BA2"/>
    <w:rsid w:val="00340278"/>
    <w:rsid w:val="0034043D"/>
    <w:rsid w:val="00343AF4"/>
    <w:rsid w:val="00343DF9"/>
    <w:rsid w:val="00344F1D"/>
    <w:rsid w:val="00347E46"/>
    <w:rsid w:val="00351DAC"/>
    <w:rsid w:val="003522D5"/>
    <w:rsid w:val="00353707"/>
    <w:rsid w:val="00356484"/>
    <w:rsid w:val="0035676D"/>
    <w:rsid w:val="0035733B"/>
    <w:rsid w:val="00360342"/>
    <w:rsid w:val="00360B16"/>
    <w:rsid w:val="003618C1"/>
    <w:rsid w:val="003624C8"/>
    <w:rsid w:val="0036346C"/>
    <w:rsid w:val="00363C47"/>
    <w:rsid w:val="00364CFE"/>
    <w:rsid w:val="0036545A"/>
    <w:rsid w:val="003658F4"/>
    <w:rsid w:val="003670C7"/>
    <w:rsid w:val="003675A0"/>
    <w:rsid w:val="00367ADD"/>
    <w:rsid w:val="00367B55"/>
    <w:rsid w:val="003701AC"/>
    <w:rsid w:val="00371098"/>
    <w:rsid w:val="0037258B"/>
    <w:rsid w:val="003725E6"/>
    <w:rsid w:val="00375415"/>
    <w:rsid w:val="003756D0"/>
    <w:rsid w:val="00375D24"/>
    <w:rsid w:val="00375EA1"/>
    <w:rsid w:val="003764A2"/>
    <w:rsid w:val="00376ECF"/>
    <w:rsid w:val="00381D76"/>
    <w:rsid w:val="00382E1F"/>
    <w:rsid w:val="00386264"/>
    <w:rsid w:val="0038702A"/>
    <w:rsid w:val="00387252"/>
    <w:rsid w:val="00390B2A"/>
    <w:rsid w:val="003914C0"/>
    <w:rsid w:val="00393C16"/>
    <w:rsid w:val="00394FBE"/>
    <w:rsid w:val="0039617B"/>
    <w:rsid w:val="00396FDA"/>
    <w:rsid w:val="0039739E"/>
    <w:rsid w:val="00397841"/>
    <w:rsid w:val="003A2655"/>
    <w:rsid w:val="003A327A"/>
    <w:rsid w:val="003A33D5"/>
    <w:rsid w:val="003A345A"/>
    <w:rsid w:val="003A5CFB"/>
    <w:rsid w:val="003A62AD"/>
    <w:rsid w:val="003A6697"/>
    <w:rsid w:val="003A6FFA"/>
    <w:rsid w:val="003B001B"/>
    <w:rsid w:val="003B0A52"/>
    <w:rsid w:val="003B0D4A"/>
    <w:rsid w:val="003B0F7E"/>
    <w:rsid w:val="003B1C7C"/>
    <w:rsid w:val="003B43C7"/>
    <w:rsid w:val="003B7354"/>
    <w:rsid w:val="003C0732"/>
    <w:rsid w:val="003C35D4"/>
    <w:rsid w:val="003C3DE5"/>
    <w:rsid w:val="003C3EF8"/>
    <w:rsid w:val="003C5D7E"/>
    <w:rsid w:val="003C5EC5"/>
    <w:rsid w:val="003C6283"/>
    <w:rsid w:val="003C662C"/>
    <w:rsid w:val="003C6855"/>
    <w:rsid w:val="003C78F9"/>
    <w:rsid w:val="003C7C60"/>
    <w:rsid w:val="003D0116"/>
    <w:rsid w:val="003D017A"/>
    <w:rsid w:val="003D3461"/>
    <w:rsid w:val="003D357C"/>
    <w:rsid w:val="003D609B"/>
    <w:rsid w:val="003E09D5"/>
    <w:rsid w:val="003E2CF8"/>
    <w:rsid w:val="003E65CB"/>
    <w:rsid w:val="003E7BDC"/>
    <w:rsid w:val="003F0BBE"/>
    <w:rsid w:val="003F1B4F"/>
    <w:rsid w:val="003F2650"/>
    <w:rsid w:val="003F57AC"/>
    <w:rsid w:val="003F5B8D"/>
    <w:rsid w:val="003F6CF8"/>
    <w:rsid w:val="003F6EB3"/>
    <w:rsid w:val="003F6F7A"/>
    <w:rsid w:val="003F7294"/>
    <w:rsid w:val="003F7736"/>
    <w:rsid w:val="0040065A"/>
    <w:rsid w:val="004008BF"/>
    <w:rsid w:val="004026C0"/>
    <w:rsid w:val="004041B6"/>
    <w:rsid w:val="0040470F"/>
    <w:rsid w:val="00405984"/>
    <w:rsid w:val="00405FF0"/>
    <w:rsid w:val="00406451"/>
    <w:rsid w:val="00407A45"/>
    <w:rsid w:val="00410F11"/>
    <w:rsid w:val="00412E57"/>
    <w:rsid w:val="0041363A"/>
    <w:rsid w:val="00414690"/>
    <w:rsid w:val="00416200"/>
    <w:rsid w:val="004162A9"/>
    <w:rsid w:val="004179B1"/>
    <w:rsid w:val="004203B6"/>
    <w:rsid w:val="00421C32"/>
    <w:rsid w:val="0042270D"/>
    <w:rsid w:val="00422F40"/>
    <w:rsid w:val="0042323C"/>
    <w:rsid w:val="00425272"/>
    <w:rsid w:val="00425412"/>
    <w:rsid w:val="00425430"/>
    <w:rsid w:val="00425874"/>
    <w:rsid w:val="00426FCF"/>
    <w:rsid w:val="00427414"/>
    <w:rsid w:val="00430BD0"/>
    <w:rsid w:val="00431B6C"/>
    <w:rsid w:val="0043288D"/>
    <w:rsid w:val="00435341"/>
    <w:rsid w:val="00436B93"/>
    <w:rsid w:val="00440991"/>
    <w:rsid w:val="0044105F"/>
    <w:rsid w:val="0044194E"/>
    <w:rsid w:val="004425F5"/>
    <w:rsid w:val="00442935"/>
    <w:rsid w:val="004438E0"/>
    <w:rsid w:val="004440A3"/>
    <w:rsid w:val="00444666"/>
    <w:rsid w:val="004503DD"/>
    <w:rsid w:val="004508E2"/>
    <w:rsid w:val="00451C5C"/>
    <w:rsid w:val="004522B9"/>
    <w:rsid w:val="00453B9A"/>
    <w:rsid w:val="00454041"/>
    <w:rsid w:val="00454711"/>
    <w:rsid w:val="004551B2"/>
    <w:rsid w:val="00455563"/>
    <w:rsid w:val="00455CFB"/>
    <w:rsid w:val="00456364"/>
    <w:rsid w:val="00456AC6"/>
    <w:rsid w:val="0045789B"/>
    <w:rsid w:val="00457FEC"/>
    <w:rsid w:val="004606F0"/>
    <w:rsid w:val="00463C4E"/>
    <w:rsid w:val="00464FEC"/>
    <w:rsid w:val="004660DE"/>
    <w:rsid w:val="004669C9"/>
    <w:rsid w:val="0047010D"/>
    <w:rsid w:val="00470803"/>
    <w:rsid w:val="004716D2"/>
    <w:rsid w:val="00471C7E"/>
    <w:rsid w:val="00471C8B"/>
    <w:rsid w:val="00471F42"/>
    <w:rsid w:val="00474CFC"/>
    <w:rsid w:val="00475C50"/>
    <w:rsid w:val="00475E0E"/>
    <w:rsid w:val="00477658"/>
    <w:rsid w:val="00477BB9"/>
    <w:rsid w:val="0048005E"/>
    <w:rsid w:val="00480429"/>
    <w:rsid w:val="0048046C"/>
    <w:rsid w:val="00481BDA"/>
    <w:rsid w:val="00483B47"/>
    <w:rsid w:val="00484304"/>
    <w:rsid w:val="0048548F"/>
    <w:rsid w:val="0048747D"/>
    <w:rsid w:val="0049069E"/>
    <w:rsid w:val="00490C47"/>
    <w:rsid w:val="00490C97"/>
    <w:rsid w:val="00490CD8"/>
    <w:rsid w:val="004913C2"/>
    <w:rsid w:val="00491AD5"/>
    <w:rsid w:val="00492B76"/>
    <w:rsid w:val="00492C0A"/>
    <w:rsid w:val="0049378F"/>
    <w:rsid w:val="00493838"/>
    <w:rsid w:val="00493921"/>
    <w:rsid w:val="00493A94"/>
    <w:rsid w:val="0049443D"/>
    <w:rsid w:val="004951B0"/>
    <w:rsid w:val="004955CE"/>
    <w:rsid w:val="00495DF5"/>
    <w:rsid w:val="00496613"/>
    <w:rsid w:val="004A07A8"/>
    <w:rsid w:val="004A4F63"/>
    <w:rsid w:val="004A61A4"/>
    <w:rsid w:val="004B01E8"/>
    <w:rsid w:val="004B0732"/>
    <w:rsid w:val="004B0CBB"/>
    <w:rsid w:val="004B1FFE"/>
    <w:rsid w:val="004B2946"/>
    <w:rsid w:val="004B295B"/>
    <w:rsid w:val="004B30F5"/>
    <w:rsid w:val="004B5CBB"/>
    <w:rsid w:val="004B65C3"/>
    <w:rsid w:val="004B7268"/>
    <w:rsid w:val="004C02EA"/>
    <w:rsid w:val="004C08CF"/>
    <w:rsid w:val="004C1CC4"/>
    <w:rsid w:val="004C548F"/>
    <w:rsid w:val="004C5EE2"/>
    <w:rsid w:val="004C5F8F"/>
    <w:rsid w:val="004C6C83"/>
    <w:rsid w:val="004D04CF"/>
    <w:rsid w:val="004D08FA"/>
    <w:rsid w:val="004D0DFA"/>
    <w:rsid w:val="004D0FAF"/>
    <w:rsid w:val="004D13CD"/>
    <w:rsid w:val="004D1675"/>
    <w:rsid w:val="004D1D05"/>
    <w:rsid w:val="004D2262"/>
    <w:rsid w:val="004D2432"/>
    <w:rsid w:val="004D2716"/>
    <w:rsid w:val="004D2867"/>
    <w:rsid w:val="004D2DEB"/>
    <w:rsid w:val="004D39FD"/>
    <w:rsid w:val="004D48DE"/>
    <w:rsid w:val="004D4C56"/>
    <w:rsid w:val="004D4F67"/>
    <w:rsid w:val="004D5538"/>
    <w:rsid w:val="004D63A6"/>
    <w:rsid w:val="004D6B9A"/>
    <w:rsid w:val="004D6C8A"/>
    <w:rsid w:val="004D707F"/>
    <w:rsid w:val="004E0219"/>
    <w:rsid w:val="004E08FE"/>
    <w:rsid w:val="004E1C20"/>
    <w:rsid w:val="004E1D86"/>
    <w:rsid w:val="004E1FD1"/>
    <w:rsid w:val="004E4087"/>
    <w:rsid w:val="004E45D3"/>
    <w:rsid w:val="004E57F6"/>
    <w:rsid w:val="004E6D37"/>
    <w:rsid w:val="004F1FA3"/>
    <w:rsid w:val="004F3C34"/>
    <w:rsid w:val="004F4C42"/>
    <w:rsid w:val="004F5587"/>
    <w:rsid w:val="004F5B89"/>
    <w:rsid w:val="004F7BD3"/>
    <w:rsid w:val="00500C6F"/>
    <w:rsid w:val="0050115E"/>
    <w:rsid w:val="005012B5"/>
    <w:rsid w:val="00501FB4"/>
    <w:rsid w:val="00502217"/>
    <w:rsid w:val="005023A6"/>
    <w:rsid w:val="00503067"/>
    <w:rsid w:val="00504903"/>
    <w:rsid w:val="005050E1"/>
    <w:rsid w:val="00505E63"/>
    <w:rsid w:val="0050627F"/>
    <w:rsid w:val="00506A2B"/>
    <w:rsid w:val="0050736A"/>
    <w:rsid w:val="0050762E"/>
    <w:rsid w:val="00507ACD"/>
    <w:rsid w:val="00507BDE"/>
    <w:rsid w:val="00507F90"/>
    <w:rsid w:val="005103D2"/>
    <w:rsid w:val="00510572"/>
    <w:rsid w:val="00510668"/>
    <w:rsid w:val="00510C8C"/>
    <w:rsid w:val="00511477"/>
    <w:rsid w:val="00513371"/>
    <w:rsid w:val="005143CC"/>
    <w:rsid w:val="00514D97"/>
    <w:rsid w:val="0051525E"/>
    <w:rsid w:val="00515A72"/>
    <w:rsid w:val="00515BF9"/>
    <w:rsid w:val="00516CB5"/>
    <w:rsid w:val="00517026"/>
    <w:rsid w:val="005170E6"/>
    <w:rsid w:val="00521480"/>
    <w:rsid w:val="00522974"/>
    <w:rsid w:val="00524638"/>
    <w:rsid w:val="00524997"/>
    <w:rsid w:val="005253A1"/>
    <w:rsid w:val="00525B84"/>
    <w:rsid w:val="005260B5"/>
    <w:rsid w:val="00527765"/>
    <w:rsid w:val="00527CB6"/>
    <w:rsid w:val="0053191C"/>
    <w:rsid w:val="005337F9"/>
    <w:rsid w:val="005343CB"/>
    <w:rsid w:val="00534871"/>
    <w:rsid w:val="00534ADE"/>
    <w:rsid w:val="00535543"/>
    <w:rsid w:val="00536228"/>
    <w:rsid w:val="00540362"/>
    <w:rsid w:val="00541BC5"/>
    <w:rsid w:val="00541F97"/>
    <w:rsid w:val="00542052"/>
    <w:rsid w:val="00542C53"/>
    <w:rsid w:val="00542D01"/>
    <w:rsid w:val="00543C50"/>
    <w:rsid w:val="00544B92"/>
    <w:rsid w:val="00544EE4"/>
    <w:rsid w:val="00545BD5"/>
    <w:rsid w:val="00545E68"/>
    <w:rsid w:val="00546652"/>
    <w:rsid w:val="005467F7"/>
    <w:rsid w:val="00546EF3"/>
    <w:rsid w:val="00546FA5"/>
    <w:rsid w:val="00547210"/>
    <w:rsid w:val="005512A3"/>
    <w:rsid w:val="00551FC1"/>
    <w:rsid w:val="005528D2"/>
    <w:rsid w:val="00552A4A"/>
    <w:rsid w:val="005533AC"/>
    <w:rsid w:val="00554284"/>
    <w:rsid w:val="00554AA4"/>
    <w:rsid w:val="00555506"/>
    <w:rsid w:val="00555993"/>
    <w:rsid w:val="00555B7F"/>
    <w:rsid w:val="00556422"/>
    <w:rsid w:val="005567DD"/>
    <w:rsid w:val="00556A8A"/>
    <w:rsid w:val="00557BCE"/>
    <w:rsid w:val="00560990"/>
    <w:rsid w:val="0056380E"/>
    <w:rsid w:val="00564429"/>
    <w:rsid w:val="00565F6A"/>
    <w:rsid w:val="00565FBC"/>
    <w:rsid w:val="00571476"/>
    <w:rsid w:val="00571906"/>
    <w:rsid w:val="00571E41"/>
    <w:rsid w:val="00572FA7"/>
    <w:rsid w:val="0057544E"/>
    <w:rsid w:val="005755E9"/>
    <w:rsid w:val="0057603B"/>
    <w:rsid w:val="005778CD"/>
    <w:rsid w:val="0057798B"/>
    <w:rsid w:val="00577992"/>
    <w:rsid w:val="00577B5D"/>
    <w:rsid w:val="00577F78"/>
    <w:rsid w:val="005806F3"/>
    <w:rsid w:val="00581CAD"/>
    <w:rsid w:val="00583967"/>
    <w:rsid w:val="00584018"/>
    <w:rsid w:val="005843C4"/>
    <w:rsid w:val="005843DF"/>
    <w:rsid w:val="00584FD3"/>
    <w:rsid w:val="0058664A"/>
    <w:rsid w:val="00586B29"/>
    <w:rsid w:val="00587045"/>
    <w:rsid w:val="00587B52"/>
    <w:rsid w:val="00587F31"/>
    <w:rsid w:val="0059277A"/>
    <w:rsid w:val="005929A0"/>
    <w:rsid w:val="005929D5"/>
    <w:rsid w:val="00593814"/>
    <w:rsid w:val="00593FCC"/>
    <w:rsid w:val="00594F68"/>
    <w:rsid w:val="00595AD6"/>
    <w:rsid w:val="00596B81"/>
    <w:rsid w:val="00597205"/>
    <w:rsid w:val="0059724B"/>
    <w:rsid w:val="00597470"/>
    <w:rsid w:val="005A014C"/>
    <w:rsid w:val="005A0989"/>
    <w:rsid w:val="005A09C5"/>
    <w:rsid w:val="005A0AB0"/>
    <w:rsid w:val="005A0F61"/>
    <w:rsid w:val="005A1552"/>
    <w:rsid w:val="005A5758"/>
    <w:rsid w:val="005A5D68"/>
    <w:rsid w:val="005A6C6D"/>
    <w:rsid w:val="005A7F87"/>
    <w:rsid w:val="005B031F"/>
    <w:rsid w:val="005B28FF"/>
    <w:rsid w:val="005B2A8F"/>
    <w:rsid w:val="005B3502"/>
    <w:rsid w:val="005B40E3"/>
    <w:rsid w:val="005B4548"/>
    <w:rsid w:val="005B509A"/>
    <w:rsid w:val="005B68E5"/>
    <w:rsid w:val="005B6954"/>
    <w:rsid w:val="005B70E2"/>
    <w:rsid w:val="005B71D7"/>
    <w:rsid w:val="005B7532"/>
    <w:rsid w:val="005C166C"/>
    <w:rsid w:val="005C1B30"/>
    <w:rsid w:val="005C244B"/>
    <w:rsid w:val="005C30C8"/>
    <w:rsid w:val="005C327E"/>
    <w:rsid w:val="005C3310"/>
    <w:rsid w:val="005C6A97"/>
    <w:rsid w:val="005C7305"/>
    <w:rsid w:val="005C7891"/>
    <w:rsid w:val="005D0007"/>
    <w:rsid w:val="005D03A5"/>
    <w:rsid w:val="005D0DF7"/>
    <w:rsid w:val="005D18B7"/>
    <w:rsid w:val="005D3880"/>
    <w:rsid w:val="005D3D37"/>
    <w:rsid w:val="005D469A"/>
    <w:rsid w:val="005D59E3"/>
    <w:rsid w:val="005D659D"/>
    <w:rsid w:val="005D7923"/>
    <w:rsid w:val="005E12A0"/>
    <w:rsid w:val="005E1596"/>
    <w:rsid w:val="005E15A6"/>
    <w:rsid w:val="005E2205"/>
    <w:rsid w:val="005E4E1B"/>
    <w:rsid w:val="005E502C"/>
    <w:rsid w:val="005E5738"/>
    <w:rsid w:val="005E604E"/>
    <w:rsid w:val="005E65F0"/>
    <w:rsid w:val="005E6707"/>
    <w:rsid w:val="005E687A"/>
    <w:rsid w:val="005E7464"/>
    <w:rsid w:val="005F0824"/>
    <w:rsid w:val="005F1CA4"/>
    <w:rsid w:val="005F2181"/>
    <w:rsid w:val="005F24BE"/>
    <w:rsid w:val="005F4324"/>
    <w:rsid w:val="005F4BF2"/>
    <w:rsid w:val="006006C5"/>
    <w:rsid w:val="00602CE6"/>
    <w:rsid w:val="0060388F"/>
    <w:rsid w:val="00605875"/>
    <w:rsid w:val="00606672"/>
    <w:rsid w:val="00606812"/>
    <w:rsid w:val="00607FA8"/>
    <w:rsid w:val="0061007E"/>
    <w:rsid w:val="006119DE"/>
    <w:rsid w:val="00613B4F"/>
    <w:rsid w:val="00613B8F"/>
    <w:rsid w:val="00613E8B"/>
    <w:rsid w:val="006155BE"/>
    <w:rsid w:val="00615B4A"/>
    <w:rsid w:val="00615F73"/>
    <w:rsid w:val="00617DBF"/>
    <w:rsid w:val="0062041B"/>
    <w:rsid w:val="00620BBF"/>
    <w:rsid w:val="006228ED"/>
    <w:rsid w:val="0062347E"/>
    <w:rsid w:val="00623481"/>
    <w:rsid w:val="006249BC"/>
    <w:rsid w:val="00625545"/>
    <w:rsid w:val="00625F50"/>
    <w:rsid w:val="00626C22"/>
    <w:rsid w:val="00627911"/>
    <w:rsid w:val="00630126"/>
    <w:rsid w:val="00630F44"/>
    <w:rsid w:val="00632653"/>
    <w:rsid w:val="00632F76"/>
    <w:rsid w:val="006342F0"/>
    <w:rsid w:val="006344C3"/>
    <w:rsid w:val="006351B2"/>
    <w:rsid w:val="00635E31"/>
    <w:rsid w:val="00636DE6"/>
    <w:rsid w:val="00636EAC"/>
    <w:rsid w:val="00643133"/>
    <w:rsid w:val="00643F19"/>
    <w:rsid w:val="00644012"/>
    <w:rsid w:val="00644710"/>
    <w:rsid w:val="00644945"/>
    <w:rsid w:val="00650334"/>
    <w:rsid w:val="00653617"/>
    <w:rsid w:val="00653AAC"/>
    <w:rsid w:val="00653E59"/>
    <w:rsid w:val="00653ED6"/>
    <w:rsid w:val="0065421A"/>
    <w:rsid w:val="00654374"/>
    <w:rsid w:val="006555E2"/>
    <w:rsid w:val="00657C0A"/>
    <w:rsid w:val="00657FD9"/>
    <w:rsid w:val="00661130"/>
    <w:rsid w:val="00661897"/>
    <w:rsid w:val="0066210B"/>
    <w:rsid w:val="00662547"/>
    <w:rsid w:val="006626A7"/>
    <w:rsid w:val="00664E28"/>
    <w:rsid w:val="006662D2"/>
    <w:rsid w:val="006668A5"/>
    <w:rsid w:val="006670A7"/>
    <w:rsid w:val="0066756A"/>
    <w:rsid w:val="0066760D"/>
    <w:rsid w:val="00667AF7"/>
    <w:rsid w:val="006705F9"/>
    <w:rsid w:val="0067139B"/>
    <w:rsid w:val="006725D6"/>
    <w:rsid w:val="006726EE"/>
    <w:rsid w:val="00672A74"/>
    <w:rsid w:val="0067334D"/>
    <w:rsid w:val="00674323"/>
    <w:rsid w:val="00674E63"/>
    <w:rsid w:val="0067615E"/>
    <w:rsid w:val="0067660E"/>
    <w:rsid w:val="0068058A"/>
    <w:rsid w:val="00680BC4"/>
    <w:rsid w:val="0068265A"/>
    <w:rsid w:val="00683CAE"/>
    <w:rsid w:val="00686A3A"/>
    <w:rsid w:val="006911D8"/>
    <w:rsid w:val="0069192F"/>
    <w:rsid w:val="00691DE3"/>
    <w:rsid w:val="00694CF4"/>
    <w:rsid w:val="00697B0D"/>
    <w:rsid w:val="006A06DA"/>
    <w:rsid w:val="006A0E9B"/>
    <w:rsid w:val="006B1527"/>
    <w:rsid w:val="006B2037"/>
    <w:rsid w:val="006B2175"/>
    <w:rsid w:val="006B6D95"/>
    <w:rsid w:val="006C0999"/>
    <w:rsid w:val="006C1613"/>
    <w:rsid w:val="006C1DCB"/>
    <w:rsid w:val="006C24B3"/>
    <w:rsid w:val="006C2901"/>
    <w:rsid w:val="006C335E"/>
    <w:rsid w:val="006C420A"/>
    <w:rsid w:val="006C54F0"/>
    <w:rsid w:val="006C6834"/>
    <w:rsid w:val="006C77E2"/>
    <w:rsid w:val="006C7FD8"/>
    <w:rsid w:val="006D0191"/>
    <w:rsid w:val="006D0612"/>
    <w:rsid w:val="006D22EC"/>
    <w:rsid w:val="006D2DF6"/>
    <w:rsid w:val="006D2F94"/>
    <w:rsid w:val="006D3112"/>
    <w:rsid w:val="006D35B8"/>
    <w:rsid w:val="006D4565"/>
    <w:rsid w:val="006D5435"/>
    <w:rsid w:val="006D5681"/>
    <w:rsid w:val="006D5D21"/>
    <w:rsid w:val="006E05B5"/>
    <w:rsid w:val="006E1C0C"/>
    <w:rsid w:val="006E2F34"/>
    <w:rsid w:val="006E3851"/>
    <w:rsid w:val="006E3CDB"/>
    <w:rsid w:val="006E3EEF"/>
    <w:rsid w:val="006E4421"/>
    <w:rsid w:val="006E4835"/>
    <w:rsid w:val="006E4900"/>
    <w:rsid w:val="006E5146"/>
    <w:rsid w:val="006E777C"/>
    <w:rsid w:val="006E7998"/>
    <w:rsid w:val="006F1B23"/>
    <w:rsid w:val="006F27B3"/>
    <w:rsid w:val="006F4A19"/>
    <w:rsid w:val="006F52F5"/>
    <w:rsid w:val="006F5ADE"/>
    <w:rsid w:val="006F5AF5"/>
    <w:rsid w:val="006F69E0"/>
    <w:rsid w:val="006F6A32"/>
    <w:rsid w:val="006F7118"/>
    <w:rsid w:val="00700D62"/>
    <w:rsid w:val="0070345D"/>
    <w:rsid w:val="00706576"/>
    <w:rsid w:val="007068F8"/>
    <w:rsid w:val="007073DF"/>
    <w:rsid w:val="00707F15"/>
    <w:rsid w:val="0071017F"/>
    <w:rsid w:val="00710406"/>
    <w:rsid w:val="007107C3"/>
    <w:rsid w:val="007120F0"/>
    <w:rsid w:val="00713121"/>
    <w:rsid w:val="00715D09"/>
    <w:rsid w:val="00715D60"/>
    <w:rsid w:val="0071713F"/>
    <w:rsid w:val="00717184"/>
    <w:rsid w:val="0071756C"/>
    <w:rsid w:val="007222EA"/>
    <w:rsid w:val="007226FE"/>
    <w:rsid w:val="00722D95"/>
    <w:rsid w:val="007230E6"/>
    <w:rsid w:val="007234ED"/>
    <w:rsid w:val="00723987"/>
    <w:rsid w:val="00723EBD"/>
    <w:rsid w:val="00725869"/>
    <w:rsid w:val="00731A8B"/>
    <w:rsid w:val="00731BD5"/>
    <w:rsid w:val="007339F0"/>
    <w:rsid w:val="00734EDE"/>
    <w:rsid w:val="007406FE"/>
    <w:rsid w:val="0074174E"/>
    <w:rsid w:val="00741CCE"/>
    <w:rsid w:val="00742BB5"/>
    <w:rsid w:val="00742FDF"/>
    <w:rsid w:val="007433B7"/>
    <w:rsid w:val="00744A62"/>
    <w:rsid w:val="00744E8C"/>
    <w:rsid w:val="007457CB"/>
    <w:rsid w:val="0074703D"/>
    <w:rsid w:val="00747C8E"/>
    <w:rsid w:val="00750141"/>
    <w:rsid w:val="00750D5D"/>
    <w:rsid w:val="007512C4"/>
    <w:rsid w:val="007514E0"/>
    <w:rsid w:val="00751D5D"/>
    <w:rsid w:val="00752754"/>
    <w:rsid w:val="00752A9B"/>
    <w:rsid w:val="0075364E"/>
    <w:rsid w:val="007538A8"/>
    <w:rsid w:val="00754D18"/>
    <w:rsid w:val="00754D49"/>
    <w:rsid w:val="0075550F"/>
    <w:rsid w:val="007563AD"/>
    <w:rsid w:val="007571C9"/>
    <w:rsid w:val="00757559"/>
    <w:rsid w:val="007577B4"/>
    <w:rsid w:val="00757D33"/>
    <w:rsid w:val="00762E42"/>
    <w:rsid w:val="00763B05"/>
    <w:rsid w:val="00763F25"/>
    <w:rsid w:val="007643A0"/>
    <w:rsid w:val="0076562A"/>
    <w:rsid w:val="0077014C"/>
    <w:rsid w:val="00771F21"/>
    <w:rsid w:val="00772266"/>
    <w:rsid w:val="00776378"/>
    <w:rsid w:val="00776C79"/>
    <w:rsid w:val="00776E38"/>
    <w:rsid w:val="00777E97"/>
    <w:rsid w:val="00777FC8"/>
    <w:rsid w:val="00781229"/>
    <w:rsid w:val="00782F1F"/>
    <w:rsid w:val="00783A7D"/>
    <w:rsid w:val="00784638"/>
    <w:rsid w:val="00785140"/>
    <w:rsid w:val="007853A7"/>
    <w:rsid w:val="0078744D"/>
    <w:rsid w:val="0079024A"/>
    <w:rsid w:val="00791794"/>
    <w:rsid w:val="007946E9"/>
    <w:rsid w:val="00794859"/>
    <w:rsid w:val="0079499D"/>
    <w:rsid w:val="007957DF"/>
    <w:rsid w:val="007960D0"/>
    <w:rsid w:val="00796882"/>
    <w:rsid w:val="00797852"/>
    <w:rsid w:val="00797CBB"/>
    <w:rsid w:val="007A08D9"/>
    <w:rsid w:val="007A20CF"/>
    <w:rsid w:val="007A2722"/>
    <w:rsid w:val="007A2E84"/>
    <w:rsid w:val="007A4733"/>
    <w:rsid w:val="007A47C9"/>
    <w:rsid w:val="007A5647"/>
    <w:rsid w:val="007A56CE"/>
    <w:rsid w:val="007A664B"/>
    <w:rsid w:val="007B0539"/>
    <w:rsid w:val="007B0672"/>
    <w:rsid w:val="007B424E"/>
    <w:rsid w:val="007B4D99"/>
    <w:rsid w:val="007B5A00"/>
    <w:rsid w:val="007B682E"/>
    <w:rsid w:val="007B6E2E"/>
    <w:rsid w:val="007B72C3"/>
    <w:rsid w:val="007C0174"/>
    <w:rsid w:val="007C0718"/>
    <w:rsid w:val="007C09F6"/>
    <w:rsid w:val="007C0CF6"/>
    <w:rsid w:val="007C0CFE"/>
    <w:rsid w:val="007C2F1A"/>
    <w:rsid w:val="007C3200"/>
    <w:rsid w:val="007C42EF"/>
    <w:rsid w:val="007C53E6"/>
    <w:rsid w:val="007C61F6"/>
    <w:rsid w:val="007C6EDF"/>
    <w:rsid w:val="007C6F3C"/>
    <w:rsid w:val="007D059D"/>
    <w:rsid w:val="007D076C"/>
    <w:rsid w:val="007D13CE"/>
    <w:rsid w:val="007D1639"/>
    <w:rsid w:val="007D2EF1"/>
    <w:rsid w:val="007D3A1A"/>
    <w:rsid w:val="007D3D58"/>
    <w:rsid w:val="007D4D5B"/>
    <w:rsid w:val="007D7625"/>
    <w:rsid w:val="007D76E6"/>
    <w:rsid w:val="007E2517"/>
    <w:rsid w:val="007E3EC2"/>
    <w:rsid w:val="007F03B2"/>
    <w:rsid w:val="007F06DC"/>
    <w:rsid w:val="007F0DD6"/>
    <w:rsid w:val="007F329B"/>
    <w:rsid w:val="007F3324"/>
    <w:rsid w:val="007F43DB"/>
    <w:rsid w:val="007F581E"/>
    <w:rsid w:val="007F5828"/>
    <w:rsid w:val="007F745B"/>
    <w:rsid w:val="008000D1"/>
    <w:rsid w:val="0080066C"/>
    <w:rsid w:val="00800E38"/>
    <w:rsid w:val="00802E7D"/>
    <w:rsid w:val="008032CD"/>
    <w:rsid w:val="008050A4"/>
    <w:rsid w:val="008108B4"/>
    <w:rsid w:val="00812A4C"/>
    <w:rsid w:val="00812D4E"/>
    <w:rsid w:val="00813944"/>
    <w:rsid w:val="00815C15"/>
    <w:rsid w:val="00815C2D"/>
    <w:rsid w:val="00816234"/>
    <w:rsid w:val="00817535"/>
    <w:rsid w:val="00817C73"/>
    <w:rsid w:val="0082083E"/>
    <w:rsid w:val="0082116A"/>
    <w:rsid w:val="008215DC"/>
    <w:rsid w:val="00821CF7"/>
    <w:rsid w:val="0082293B"/>
    <w:rsid w:val="00823A36"/>
    <w:rsid w:val="00825A95"/>
    <w:rsid w:val="0082634D"/>
    <w:rsid w:val="0083294A"/>
    <w:rsid w:val="008333CA"/>
    <w:rsid w:val="00833D33"/>
    <w:rsid w:val="008345B4"/>
    <w:rsid w:val="00834F1A"/>
    <w:rsid w:val="00835698"/>
    <w:rsid w:val="00836064"/>
    <w:rsid w:val="008365CF"/>
    <w:rsid w:val="0084095B"/>
    <w:rsid w:val="00841A2C"/>
    <w:rsid w:val="00842440"/>
    <w:rsid w:val="008446E7"/>
    <w:rsid w:val="00845BE3"/>
    <w:rsid w:val="00845D71"/>
    <w:rsid w:val="0084796A"/>
    <w:rsid w:val="00850E82"/>
    <w:rsid w:val="00851886"/>
    <w:rsid w:val="00852BF2"/>
    <w:rsid w:val="00852EC3"/>
    <w:rsid w:val="00852F83"/>
    <w:rsid w:val="00853E05"/>
    <w:rsid w:val="00854A82"/>
    <w:rsid w:val="008557C8"/>
    <w:rsid w:val="008567EE"/>
    <w:rsid w:val="00860122"/>
    <w:rsid w:val="00860324"/>
    <w:rsid w:val="0086046C"/>
    <w:rsid w:val="0086243B"/>
    <w:rsid w:val="00862712"/>
    <w:rsid w:val="0086446A"/>
    <w:rsid w:val="00864C35"/>
    <w:rsid w:val="00866C15"/>
    <w:rsid w:val="00870ED2"/>
    <w:rsid w:val="00870EE2"/>
    <w:rsid w:val="0087186B"/>
    <w:rsid w:val="00871BC0"/>
    <w:rsid w:val="008729BD"/>
    <w:rsid w:val="00872BB5"/>
    <w:rsid w:val="00872D65"/>
    <w:rsid w:val="00872D9B"/>
    <w:rsid w:val="0087473C"/>
    <w:rsid w:val="008762C1"/>
    <w:rsid w:val="00876AF0"/>
    <w:rsid w:val="00877ACA"/>
    <w:rsid w:val="00877D39"/>
    <w:rsid w:val="008805FB"/>
    <w:rsid w:val="00880D52"/>
    <w:rsid w:val="00881711"/>
    <w:rsid w:val="008819C7"/>
    <w:rsid w:val="00881CAB"/>
    <w:rsid w:val="00882C45"/>
    <w:rsid w:val="00886330"/>
    <w:rsid w:val="008871A9"/>
    <w:rsid w:val="00891019"/>
    <w:rsid w:val="00891BA7"/>
    <w:rsid w:val="00891C83"/>
    <w:rsid w:val="00891DA3"/>
    <w:rsid w:val="008929C6"/>
    <w:rsid w:val="00894639"/>
    <w:rsid w:val="00894D98"/>
    <w:rsid w:val="00895542"/>
    <w:rsid w:val="00895E55"/>
    <w:rsid w:val="00895FDA"/>
    <w:rsid w:val="00897675"/>
    <w:rsid w:val="008A0058"/>
    <w:rsid w:val="008A051A"/>
    <w:rsid w:val="008A065B"/>
    <w:rsid w:val="008A06E5"/>
    <w:rsid w:val="008A0913"/>
    <w:rsid w:val="008A0BDB"/>
    <w:rsid w:val="008A2F99"/>
    <w:rsid w:val="008A3700"/>
    <w:rsid w:val="008A3DFC"/>
    <w:rsid w:val="008A5813"/>
    <w:rsid w:val="008A5CE5"/>
    <w:rsid w:val="008A5F7E"/>
    <w:rsid w:val="008B06A0"/>
    <w:rsid w:val="008B0CBB"/>
    <w:rsid w:val="008B35AF"/>
    <w:rsid w:val="008B4A0E"/>
    <w:rsid w:val="008B51D9"/>
    <w:rsid w:val="008B5FEA"/>
    <w:rsid w:val="008B6351"/>
    <w:rsid w:val="008B7A59"/>
    <w:rsid w:val="008C05E3"/>
    <w:rsid w:val="008C0CCD"/>
    <w:rsid w:val="008C38B1"/>
    <w:rsid w:val="008C4716"/>
    <w:rsid w:val="008C5643"/>
    <w:rsid w:val="008C5B18"/>
    <w:rsid w:val="008C5F4E"/>
    <w:rsid w:val="008D0EAC"/>
    <w:rsid w:val="008D1598"/>
    <w:rsid w:val="008D43CA"/>
    <w:rsid w:val="008D4606"/>
    <w:rsid w:val="008D530F"/>
    <w:rsid w:val="008D54D8"/>
    <w:rsid w:val="008D595B"/>
    <w:rsid w:val="008D64B7"/>
    <w:rsid w:val="008D6E3E"/>
    <w:rsid w:val="008D7749"/>
    <w:rsid w:val="008D7AA0"/>
    <w:rsid w:val="008D7D25"/>
    <w:rsid w:val="008E03A9"/>
    <w:rsid w:val="008E118D"/>
    <w:rsid w:val="008E11D0"/>
    <w:rsid w:val="008E16CB"/>
    <w:rsid w:val="008E3443"/>
    <w:rsid w:val="008E369C"/>
    <w:rsid w:val="008E505C"/>
    <w:rsid w:val="008F074D"/>
    <w:rsid w:val="008F1343"/>
    <w:rsid w:val="008F15BA"/>
    <w:rsid w:val="008F1849"/>
    <w:rsid w:val="008F2773"/>
    <w:rsid w:val="008F2B5F"/>
    <w:rsid w:val="008F2DBC"/>
    <w:rsid w:val="008F5138"/>
    <w:rsid w:val="009035D1"/>
    <w:rsid w:val="009038C3"/>
    <w:rsid w:val="00904398"/>
    <w:rsid w:val="00905353"/>
    <w:rsid w:val="009060E2"/>
    <w:rsid w:val="009065C7"/>
    <w:rsid w:val="0090688A"/>
    <w:rsid w:val="009073CB"/>
    <w:rsid w:val="00910888"/>
    <w:rsid w:val="00912AEF"/>
    <w:rsid w:val="00913714"/>
    <w:rsid w:val="00913A40"/>
    <w:rsid w:val="00913A87"/>
    <w:rsid w:val="00913D4A"/>
    <w:rsid w:val="0091469D"/>
    <w:rsid w:val="009157A4"/>
    <w:rsid w:val="00920F82"/>
    <w:rsid w:val="00921FFF"/>
    <w:rsid w:val="00923E84"/>
    <w:rsid w:val="009260BB"/>
    <w:rsid w:val="0093082D"/>
    <w:rsid w:val="0093083E"/>
    <w:rsid w:val="00931170"/>
    <w:rsid w:val="009335C6"/>
    <w:rsid w:val="00934C90"/>
    <w:rsid w:val="00936889"/>
    <w:rsid w:val="00936927"/>
    <w:rsid w:val="00937CAF"/>
    <w:rsid w:val="00940512"/>
    <w:rsid w:val="00941239"/>
    <w:rsid w:val="009412C1"/>
    <w:rsid w:val="0094456A"/>
    <w:rsid w:val="009452A5"/>
    <w:rsid w:val="009455A9"/>
    <w:rsid w:val="00945F51"/>
    <w:rsid w:val="00947949"/>
    <w:rsid w:val="00950D87"/>
    <w:rsid w:val="00951EEE"/>
    <w:rsid w:val="00956018"/>
    <w:rsid w:val="00956281"/>
    <w:rsid w:val="00956628"/>
    <w:rsid w:val="00957132"/>
    <w:rsid w:val="00957725"/>
    <w:rsid w:val="009614E4"/>
    <w:rsid w:val="009614F3"/>
    <w:rsid w:val="009629C4"/>
    <w:rsid w:val="00965296"/>
    <w:rsid w:val="00966070"/>
    <w:rsid w:val="009661EF"/>
    <w:rsid w:val="00967007"/>
    <w:rsid w:val="00971A93"/>
    <w:rsid w:val="00971ED0"/>
    <w:rsid w:val="00973D6A"/>
    <w:rsid w:val="00973FC9"/>
    <w:rsid w:val="00974265"/>
    <w:rsid w:val="009748E1"/>
    <w:rsid w:val="00975C11"/>
    <w:rsid w:val="00975F8B"/>
    <w:rsid w:val="009765CC"/>
    <w:rsid w:val="00977607"/>
    <w:rsid w:val="0097761A"/>
    <w:rsid w:val="0098076E"/>
    <w:rsid w:val="0098382A"/>
    <w:rsid w:val="00983870"/>
    <w:rsid w:val="00983BCB"/>
    <w:rsid w:val="009841EC"/>
    <w:rsid w:val="0098551F"/>
    <w:rsid w:val="00985AC7"/>
    <w:rsid w:val="00985FB9"/>
    <w:rsid w:val="00986684"/>
    <w:rsid w:val="009871A9"/>
    <w:rsid w:val="00987BAB"/>
    <w:rsid w:val="00990E1A"/>
    <w:rsid w:val="00991C62"/>
    <w:rsid w:val="009922A9"/>
    <w:rsid w:val="009929AA"/>
    <w:rsid w:val="00995AE9"/>
    <w:rsid w:val="009973BB"/>
    <w:rsid w:val="00997B90"/>
    <w:rsid w:val="009A0080"/>
    <w:rsid w:val="009A020D"/>
    <w:rsid w:val="009A0332"/>
    <w:rsid w:val="009A0745"/>
    <w:rsid w:val="009A38D8"/>
    <w:rsid w:val="009A42E4"/>
    <w:rsid w:val="009A5546"/>
    <w:rsid w:val="009B0984"/>
    <w:rsid w:val="009B0B19"/>
    <w:rsid w:val="009B0EEA"/>
    <w:rsid w:val="009B1588"/>
    <w:rsid w:val="009B34DA"/>
    <w:rsid w:val="009B58A2"/>
    <w:rsid w:val="009B6E19"/>
    <w:rsid w:val="009B7871"/>
    <w:rsid w:val="009B7C63"/>
    <w:rsid w:val="009C120E"/>
    <w:rsid w:val="009C19BD"/>
    <w:rsid w:val="009C2C70"/>
    <w:rsid w:val="009C2FF9"/>
    <w:rsid w:val="009C40EB"/>
    <w:rsid w:val="009C45A1"/>
    <w:rsid w:val="009C4CB3"/>
    <w:rsid w:val="009C525E"/>
    <w:rsid w:val="009C550B"/>
    <w:rsid w:val="009C5EA1"/>
    <w:rsid w:val="009C77C3"/>
    <w:rsid w:val="009C7B88"/>
    <w:rsid w:val="009D0B7A"/>
    <w:rsid w:val="009D1885"/>
    <w:rsid w:val="009D2725"/>
    <w:rsid w:val="009D2783"/>
    <w:rsid w:val="009D2BC3"/>
    <w:rsid w:val="009D4931"/>
    <w:rsid w:val="009D4CE8"/>
    <w:rsid w:val="009D4D1F"/>
    <w:rsid w:val="009D4E9B"/>
    <w:rsid w:val="009D6693"/>
    <w:rsid w:val="009D6B21"/>
    <w:rsid w:val="009E0A56"/>
    <w:rsid w:val="009E0C4E"/>
    <w:rsid w:val="009E1A93"/>
    <w:rsid w:val="009E2ABF"/>
    <w:rsid w:val="009E3901"/>
    <w:rsid w:val="009E479D"/>
    <w:rsid w:val="009E5079"/>
    <w:rsid w:val="009E5678"/>
    <w:rsid w:val="009E5742"/>
    <w:rsid w:val="009E5EE1"/>
    <w:rsid w:val="009E629B"/>
    <w:rsid w:val="009E7673"/>
    <w:rsid w:val="009E793D"/>
    <w:rsid w:val="009E7AEB"/>
    <w:rsid w:val="009E7B30"/>
    <w:rsid w:val="009F06B1"/>
    <w:rsid w:val="009F092D"/>
    <w:rsid w:val="009F10C2"/>
    <w:rsid w:val="009F14CD"/>
    <w:rsid w:val="009F3105"/>
    <w:rsid w:val="009F38B9"/>
    <w:rsid w:val="009F3BCF"/>
    <w:rsid w:val="00A00ABD"/>
    <w:rsid w:val="00A01549"/>
    <w:rsid w:val="00A025AD"/>
    <w:rsid w:val="00A02778"/>
    <w:rsid w:val="00A04036"/>
    <w:rsid w:val="00A059A8"/>
    <w:rsid w:val="00A065C3"/>
    <w:rsid w:val="00A109D3"/>
    <w:rsid w:val="00A10F37"/>
    <w:rsid w:val="00A11B47"/>
    <w:rsid w:val="00A13230"/>
    <w:rsid w:val="00A13324"/>
    <w:rsid w:val="00A1425B"/>
    <w:rsid w:val="00A14CAA"/>
    <w:rsid w:val="00A14D7B"/>
    <w:rsid w:val="00A1647E"/>
    <w:rsid w:val="00A1657B"/>
    <w:rsid w:val="00A17F9A"/>
    <w:rsid w:val="00A210B5"/>
    <w:rsid w:val="00A21DA6"/>
    <w:rsid w:val="00A21E14"/>
    <w:rsid w:val="00A2668F"/>
    <w:rsid w:val="00A2754D"/>
    <w:rsid w:val="00A2792D"/>
    <w:rsid w:val="00A313EE"/>
    <w:rsid w:val="00A31BE9"/>
    <w:rsid w:val="00A31DE1"/>
    <w:rsid w:val="00A32B12"/>
    <w:rsid w:val="00A32C80"/>
    <w:rsid w:val="00A32D41"/>
    <w:rsid w:val="00A33BFF"/>
    <w:rsid w:val="00A349D7"/>
    <w:rsid w:val="00A34C46"/>
    <w:rsid w:val="00A36B9C"/>
    <w:rsid w:val="00A4035F"/>
    <w:rsid w:val="00A40C1D"/>
    <w:rsid w:val="00A4284B"/>
    <w:rsid w:val="00A443AB"/>
    <w:rsid w:val="00A46391"/>
    <w:rsid w:val="00A47BC3"/>
    <w:rsid w:val="00A47CB1"/>
    <w:rsid w:val="00A47DAD"/>
    <w:rsid w:val="00A500D5"/>
    <w:rsid w:val="00A50F34"/>
    <w:rsid w:val="00A51175"/>
    <w:rsid w:val="00A51437"/>
    <w:rsid w:val="00A53D53"/>
    <w:rsid w:val="00A556AD"/>
    <w:rsid w:val="00A55AD5"/>
    <w:rsid w:val="00A5699C"/>
    <w:rsid w:val="00A570FE"/>
    <w:rsid w:val="00A6081B"/>
    <w:rsid w:val="00A61FFE"/>
    <w:rsid w:val="00A636AE"/>
    <w:rsid w:val="00A64EA8"/>
    <w:rsid w:val="00A657D1"/>
    <w:rsid w:val="00A67002"/>
    <w:rsid w:val="00A67BF7"/>
    <w:rsid w:val="00A67D80"/>
    <w:rsid w:val="00A70913"/>
    <w:rsid w:val="00A71868"/>
    <w:rsid w:val="00A74BAF"/>
    <w:rsid w:val="00A74DC7"/>
    <w:rsid w:val="00A74ED1"/>
    <w:rsid w:val="00A7510E"/>
    <w:rsid w:val="00A7546D"/>
    <w:rsid w:val="00A75553"/>
    <w:rsid w:val="00A756BE"/>
    <w:rsid w:val="00A75BEF"/>
    <w:rsid w:val="00A8030A"/>
    <w:rsid w:val="00A80CDF"/>
    <w:rsid w:val="00A82A25"/>
    <w:rsid w:val="00A82F0E"/>
    <w:rsid w:val="00A83F02"/>
    <w:rsid w:val="00A875BC"/>
    <w:rsid w:val="00A91C63"/>
    <w:rsid w:val="00A91F37"/>
    <w:rsid w:val="00A929C9"/>
    <w:rsid w:val="00A9389B"/>
    <w:rsid w:val="00A93EA4"/>
    <w:rsid w:val="00A93EC3"/>
    <w:rsid w:val="00A941C0"/>
    <w:rsid w:val="00A95C17"/>
    <w:rsid w:val="00A9614A"/>
    <w:rsid w:val="00A96CD0"/>
    <w:rsid w:val="00AA2F00"/>
    <w:rsid w:val="00AA30AF"/>
    <w:rsid w:val="00AA42B4"/>
    <w:rsid w:val="00AA4B99"/>
    <w:rsid w:val="00AA4F10"/>
    <w:rsid w:val="00AA6BB2"/>
    <w:rsid w:val="00AA70D5"/>
    <w:rsid w:val="00AB0606"/>
    <w:rsid w:val="00AB09D2"/>
    <w:rsid w:val="00AB2161"/>
    <w:rsid w:val="00AB25D0"/>
    <w:rsid w:val="00AB271D"/>
    <w:rsid w:val="00AB3858"/>
    <w:rsid w:val="00AB4C88"/>
    <w:rsid w:val="00AB5A8F"/>
    <w:rsid w:val="00AB5EE6"/>
    <w:rsid w:val="00AB6FA4"/>
    <w:rsid w:val="00AB77A0"/>
    <w:rsid w:val="00AC2EA1"/>
    <w:rsid w:val="00AC36E5"/>
    <w:rsid w:val="00AC4E70"/>
    <w:rsid w:val="00AC5922"/>
    <w:rsid w:val="00AC6F50"/>
    <w:rsid w:val="00AC7280"/>
    <w:rsid w:val="00AD0B75"/>
    <w:rsid w:val="00AD1089"/>
    <w:rsid w:val="00AD1878"/>
    <w:rsid w:val="00AD229D"/>
    <w:rsid w:val="00AD3958"/>
    <w:rsid w:val="00AD44BC"/>
    <w:rsid w:val="00AD46C8"/>
    <w:rsid w:val="00AD559F"/>
    <w:rsid w:val="00AD6519"/>
    <w:rsid w:val="00AD6F64"/>
    <w:rsid w:val="00AD6FA5"/>
    <w:rsid w:val="00AD7894"/>
    <w:rsid w:val="00AE18E5"/>
    <w:rsid w:val="00AE2139"/>
    <w:rsid w:val="00AE3609"/>
    <w:rsid w:val="00AE41CD"/>
    <w:rsid w:val="00AE4F2C"/>
    <w:rsid w:val="00AE5104"/>
    <w:rsid w:val="00AE5754"/>
    <w:rsid w:val="00AE5FC3"/>
    <w:rsid w:val="00AE7305"/>
    <w:rsid w:val="00AE780F"/>
    <w:rsid w:val="00AF00CD"/>
    <w:rsid w:val="00AF0327"/>
    <w:rsid w:val="00AF0DAC"/>
    <w:rsid w:val="00AF23FB"/>
    <w:rsid w:val="00AF3AF5"/>
    <w:rsid w:val="00AF41F1"/>
    <w:rsid w:val="00AF46B4"/>
    <w:rsid w:val="00AF7E4C"/>
    <w:rsid w:val="00B02AF4"/>
    <w:rsid w:val="00B03B11"/>
    <w:rsid w:val="00B044C5"/>
    <w:rsid w:val="00B048D1"/>
    <w:rsid w:val="00B04A82"/>
    <w:rsid w:val="00B04B07"/>
    <w:rsid w:val="00B05ADA"/>
    <w:rsid w:val="00B05EFF"/>
    <w:rsid w:val="00B06286"/>
    <w:rsid w:val="00B10E23"/>
    <w:rsid w:val="00B11C34"/>
    <w:rsid w:val="00B11EE2"/>
    <w:rsid w:val="00B12F92"/>
    <w:rsid w:val="00B13D60"/>
    <w:rsid w:val="00B157E1"/>
    <w:rsid w:val="00B15A8A"/>
    <w:rsid w:val="00B16208"/>
    <w:rsid w:val="00B17F56"/>
    <w:rsid w:val="00B22053"/>
    <w:rsid w:val="00B2211B"/>
    <w:rsid w:val="00B22954"/>
    <w:rsid w:val="00B23925"/>
    <w:rsid w:val="00B23E72"/>
    <w:rsid w:val="00B2410F"/>
    <w:rsid w:val="00B24521"/>
    <w:rsid w:val="00B25765"/>
    <w:rsid w:val="00B26C97"/>
    <w:rsid w:val="00B27908"/>
    <w:rsid w:val="00B27AF2"/>
    <w:rsid w:val="00B30134"/>
    <w:rsid w:val="00B301A5"/>
    <w:rsid w:val="00B304C9"/>
    <w:rsid w:val="00B3144E"/>
    <w:rsid w:val="00B32E5C"/>
    <w:rsid w:val="00B34226"/>
    <w:rsid w:val="00B35122"/>
    <w:rsid w:val="00B35F7F"/>
    <w:rsid w:val="00B36024"/>
    <w:rsid w:val="00B36073"/>
    <w:rsid w:val="00B3643B"/>
    <w:rsid w:val="00B3654A"/>
    <w:rsid w:val="00B40626"/>
    <w:rsid w:val="00B407A7"/>
    <w:rsid w:val="00B40AEE"/>
    <w:rsid w:val="00B4123E"/>
    <w:rsid w:val="00B42341"/>
    <w:rsid w:val="00B427A4"/>
    <w:rsid w:val="00B4356C"/>
    <w:rsid w:val="00B43954"/>
    <w:rsid w:val="00B43E19"/>
    <w:rsid w:val="00B44172"/>
    <w:rsid w:val="00B453A2"/>
    <w:rsid w:val="00B45A78"/>
    <w:rsid w:val="00B46E0D"/>
    <w:rsid w:val="00B46FB8"/>
    <w:rsid w:val="00B500B9"/>
    <w:rsid w:val="00B50DC5"/>
    <w:rsid w:val="00B51BD1"/>
    <w:rsid w:val="00B529E2"/>
    <w:rsid w:val="00B54CB2"/>
    <w:rsid w:val="00B557B2"/>
    <w:rsid w:val="00B56692"/>
    <w:rsid w:val="00B61919"/>
    <w:rsid w:val="00B62249"/>
    <w:rsid w:val="00B62467"/>
    <w:rsid w:val="00B62535"/>
    <w:rsid w:val="00B62E20"/>
    <w:rsid w:val="00B62F11"/>
    <w:rsid w:val="00B63190"/>
    <w:rsid w:val="00B6381E"/>
    <w:rsid w:val="00B6389E"/>
    <w:rsid w:val="00B6606B"/>
    <w:rsid w:val="00B6664B"/>
    <w:rsid w:val="00B66E1F"/>
    <w:rsid w:val="00B66F96"/>
    <w:rsid w:val="00B675C7"/>
    <w:rsid w:val="00B70B96"/>
    <w:rsid w:val="00B711A4"/>
    <w:rsid w:val="00B71381"/>
    <w:rsid w:val="00B71B5C"/>
    <w:rsid w:val="00B7249D"/>
    <w:rsid w:val="00B72F51"/>
    <w:rsid w:val="00B73AF0"/>
    <w:rsid w:val="00B73D7E"/>
    <w:rsid w:val="00B744B9"/>
    <w:rsid w:val="00B752EA"/>
    <w:rsid w:val="00B753C1"/>
    <w:rsid w:val="00B75ACA"/>
    <w:rsid w:val="00B7663A"/>
    <w:rsid w:val="00B76A51"/>
    <w:rsid w:val="00B77E27"/>
    <w:rsid w:val="00B80F6D"/>
    <w:rsid w:val="00B817EA"/>
    <w:rsid w:val="00B81C1B"/>
    <w:rsid w:val="00B84251"/>
    <w:rsid w:val="00B84BEF"/>
    <w:rsid w:val="00B85183"/>
    <w:rsid w:val="00B8532C"/>
    <w:rsid w:val="00B85404"/>
    <w:rsid w:val="00B8570C"/>
    <w:rsid w:val="00B86519"/>
    <w:rsid w:val="00B87025"/>
    <w:rsid w:val="00B87B6E"/>
    <w:rsid w:val="00B904E7"/>
    <w:rsid w:val="00B90A86"/>
    <w:rsid w:val="00B9163D"/>
    <w:rsid w:val="00B917B4"/>
    <w:rsid w:val="00B91A56"/>
    <w:rsid w:val="00B91F25"/>
    <w:rsid w:val="00B927FB"/>
    <w:rsid w:val="00B9379C"/>
    <w:rsid w:val="00B939BA"/>
    <w:rsid w:val="00B954B8"/>
    <w:rsid w:val="00B96C97"/>
    <w:rsid w:val="00BA3ACA"/>
    <w:rsid w:val="00BA4AC6"/>
    <w:rsid w:val="00BA6BB9"/>
    <w:rsid w:val="00BA7ED6"/>
    <w:rsid w:val="00BA7F7F"/>
    <w:rsid w:val="00BB07BB"/>
    <w:rsid w:val="00BB22D0"/>
    <w:rsid w:val="00BB26CB"/>
    <w:rsid w:val="00BB3DE5"/>
    <w:rsid w:val="00BB5BB9"/>
    <w:rsid w:val="00BB6D52"/>
    <w:rsid w:val="00BC0F32"/>
    <w:rsid w:val="00BC106D"/>
    <w:rsid w:val="00BC2556"/>
    <w:rsid w:val="00BC2983"/>
    <w:rsid w:val="00BC299E"/>
    <w:rsid w:val="00BC375B"/>
    <w:rsid w:val="00BC47BD"/>
    <w:rsid w:val="00BC5CE6"/>
    <w:rsid w:val="00BC7347"/>
    <w:rsid w:val="00BC7F76"/>
    <w:rsid w:val="00BD04B9"/>
    <w:rsid w:val="00BD1E07"/>
    <w:rsid w:val="00BD22CF"/>
    <w:rsid w:val="00BD2CE2"/>
    <w:rsid w:val="00BD38E6"/>
    <w:rsid w:val="00BD3F9E"/>
    <w:rsid w:val="00BD4436"/>
    <w:rsid w:val="00BD44C1"/>
    <w:rsid w:val="00BD4B2E"/>
    <w:rsid w:val="00BD4DE4"/>
    <w:rsid w:val="00BD4F50"/>
    <w:rsid w:val="00BD526B"/>
    <w:rsid w:val="00BD5881"/>
    <w:rsid w:val="00BD654E"/>
    <w:rsid w:val="00BE3641"/>
    <w:rsid w:val="00BE3826"/>
    <w:rsid w:val="00BE39D6"/>
    <w:rsid w:val="00BE3DB1"/>
    <w:rsid w:val="00BE5003"/>
    <w:rsid w:val="00BE5C26"/>
    <w:rsid w:val="00BE6EF7"/>
    <w:rsid w:val="00BF0884"/>
    <w:rsid w:val="00BF167B"/>
    <w:rsid w:val="00BF1935"/>
    <w:rsid w:val="00BF2B0A"/>
    <w:rsid w:val="00BF447E"/>
    <w:rsid w:val="00BF50F1"/>
    <w:rsid w:val="00BF55E6"/>
    <w:rsid w:val="00C0040F"/>
    <w:rsid w:val="00C01031"/>
    <w:rsid w:val="00C03868"/>
    <w:rsid w:val="00C048AF"/>
    <w:rsid w:val="00C06961"/>
    <w:rsid w:val="00C11046"/>
    <w:rsid w:val="00C12BF7"/>
    <w:rsid w:val="00C13A11"/>
    <w:rsid w:val="00C13D9B"/>
    <w:rsid w:val="00C14AAD"/>
    <w:rsid w:val="00C14DC8"/>
    <w:rsid w:val="00C14FF3"/>
    <w:rsid w:val="00C15BA5"/>
    <w:rsid w:val="00C16547"/>
    <w:rsid w:val="00C16B3B"/>
    <w:rsid w:val="00C16B7D"/>
    <w:rsid w:val="00C16C33"/>
    <w:rsid w:val="00C21340"/>
    <w:rsid w:val="00C21FB0"/>
    <w:rsid w:val="00C23422"/>
    <w:rsid w:val="00C24249"/>
    <w:rsid w:val="00C24379"/>
    <w:rsid w:val="00C25E96"/>
    <w:rsid w:val="00C25FA7"/>
    <w:rsid w:val="00C2620C"/>
    <w:rsid w:val="00C27CBD"/>
    <w:rsid w:val="00C3074A"/>
    <w:rsid w:val="00C31064"/>
    <w:rsid w:val="00C31141"/>
    <w:rsid w:val="00C3138B"/>
    <w:rsid w:val="00C318E9"/>
    <w:rsid w:val="00C320CD"/>
    <w:rsid w:val="00C3367A"/>
    <w:rsid w:val="00C34BBB"/>
    <w:rsid w:val="00C35D9F"/>
    <w:rsid w:val="00C36422"/>
    <w:rsid w:val="00C40C89"/>
    <w:rsid w:val="00C41D8F"/>
    <w:rsid w:val="00C45FA2"/>
    <w:rsid w:val="00C52A77"/>
    <w:rsid w:val="00C533AE"/>
    <w:rsid w:val="00C55ADC"/>
    <w:rsid w:val="00C55B2F"/>
    <w:rsid w:val="00C5608F"/>
    <w:rsid w:val="00C5729F"/>
    <w:rsid w:val="00C578E6"/>
    <w:rsid w:val="00C57E70"/>
    <w:rsid w:val="00C600AB"/>
    <w:rsid w:val="00C6023A"/>
    <w:rsid w:val="00C624E1"/>
    <w:rsid w:val="00C65402"/>
    <w:rsid w:val="00C6554E"/>
    <w:rsid w:val="00C707A5"/>
    <w:rsid w:val="00C70EBC"/>
    <w:rsid w:val="00C7151F"/>
    <w:rsid w:val="00C716E1"/>
    <w:rsid w:val="00C775BB"/>
    <w:rsid w:val="00C778A3"/>
    <w:rsid w:val="00C80816"/>
    <w:rsid w:val="00C81856"/>
    <w:rsid w:val="00C83580"/>
    <w:rsid w:val="00C8387F"/>
    <w:rsid w:val="00C83B0C"/>
    <w:rsid w:val="00C85F24"/>
    <w:rsid w:val="00C86886"/>
    <w:rsid w:val="00C90115"/>
    <w:rsid w:val="00C90748"/>
    <w:rsid w:val="00C921F9"/>
    <w:rsid w:val="00C93B37"/>
    <w:rsid w:val="00C93BC8"/>
    <w:rsid w:val="00C94BD5"/>
    <w:rsid w:val="00C956AC"/>
    <w:rsid w:val="00C95C46"/>
    <w:rsid w:val="00C95FCA"/>
    <w:rsid w:val="00C97109"/>
    <w:rsid w:val="00C97506"/>
    <w:rsid w:val="00CA026C"/>
    <w:rsid w:val="00CA124F"/>
    <w:rsid w:val="00CA2330"/>
    <w:rsid w:val="00CA2E78"/>
    <w:rsid w:val="00CA3DA9"/>
    <w:rsid w:val="00CA426D"/>
    <w:rsid w:val="00CA57C6"/>
    <w:rsid w:val="00CA68D8"/>
    <w:rsid w:val="00CA6D73"/>
    <w:rsid w:val="00CA7613"/>
    <w:rsid w:val="00CA7A56"/>
    <w:rsid w:val="00CA7F86"/>
    <w:rsid w:val="00CB1177"/>
    <w:rsid w:val="00CB2F22"/>
    <w:rsid w:val="00CC0249"/>
    <w:rsid w:val="00CC0B6A"/>
    <w:rsid w:val="00CC0C5B"/>
    <w:rsid w:val="00CC1187"/>
    <w:rsid w:val="00CC148F"/>
    <w:rsid w:val="00CC2622"/>
    <w:rsid w:val="00CC3CAA"/>
    <w:rsid w:val="00CC611A"/>
    <w:rsid w:val="00CC6371"/>
    <w:rsid w:val="00CC6E36"/>
    <w:rsid w:val="00CD022A"/>
    <w:rsid w:val="00CD1826"/>
    <w:rsid w:val="00CD4C1F"/>
    <w:rsid w:val="00CD6126"/>
    <w:rsid w:val="00CD61F1"/>
    <w:rsid w:val="00CD6A17"/>
    <w:rsid w:val="00CE039A"/>
    <w:rsid w:val="00CE0583"/>
    <w:rsid w:val="00CE0FDB"/>
    <w:rsid w:val="00CE22CD"/>
    <w:rsid w:val="00CE24E9"/>
    <w:rsid w:val="00CE2D25"/>
    <w:rsid w:val="00CE3AA4"/>
    <w:rsid w:val="00CE4ED3"/>
    <w:rsid w:val="00CE5471"/>
    <w:rsid w:val="00CE58B2"/>
    <w:rsid w:val="00CE5EE5"/>
    <w:rsid w:val="00CE639A"/>
    <w:rsid w:val="00CF0723"/>
    <w:rsid w:val="00CF197B"/>
    <w:rsid w:val="00CF2150"/>
    <w:rsid w:val="00CF2BC1"/>
    <w:rsid w:val="00CF472C"/>
    <w:rsid w:val="00CF4E6D"/>
    <w:rsid w:val="00D0052D"/>
    <w:rsid w:val="00D00E9F"/>
    <w:rsid w:val="00D029D4"/>
    <w:rsid w:val="00D04928"/>
    <w:rsid w:val="00D051FF"/>
    <w:rsid w:val="00D0565F"/>
    <w:rsid w:val="00D05C6F"/>
    <w:rsid w:val="00D06CB9"/>
    <w:rsid w:val="00D1075D"/>
    <w:rsid w:val="00D1087B"/>
    <w:rsid w:val="00D115C5"/>
    <w:rsid w:val="00D14369"/>
    <w:rsid w:val="00D14BE8"/>
    <w:rsid w:val="00D15A91"/>
    <w:rsid w:val="00D16167"/>
    <w:rsid w:val="00D16546"/>
    <w:rsid w:val="00D207E5"/>
    <w:rsid w:val="00D247F1"/>
    <w:rsid w:val="00D252CC"/>
    <w:rsid w:val="00D26CD9"/>
    <w:rsid w:val="00D2714C"/>
    <w:rsid w:val="00D27CF2"/>
    <w:rsid w:val="00D3081C"/>
    <w:rsid w:val="00D36B28"/>
    <w:rsid w:val="00D37B95"/>
    <w:rsid w:val="00D4178D"/>
    <w:rsid w:val="00D41E60"/>
    <w:rsid w:val="00D41F78"/>
    <w:rsid w:val="00D4206B"/>
    <w:rsid w:val="00D42D8E"/>
    <w:rsid w:val="00D432EA"/>
    <w:rsid w:val="00D4358E"/>
    <w:rsid w:val="00D439B7"/>
    <w:rsid w:val="00D439F7"/>
    <w:rsid w:val="00D44C26"/>
    <w:rsid w:val="00D455AC"/>
    <w:rsid w:val="00D479A5"/>
    <w:rsid w:val="00D479D1"/>
    <w:rsid w:val="00D47D3F"/>
    <w:rsid w:val="00D50488"/>
    <w:rsid w:val="00D50614"/>
    <w:rsid w:val="00D50A1D"/>
    <w:rsid w:val="00D51602"/>
    <w:rsid w:val="00D52BEE"/>
    <w:rsid w:val="00D52CBA"/>
    <w:rsid w:val="00D538D9"/>
    <w:rsid w:val="00D54BD3"/>
    <w:rsid w:val="00D572D7"/>
    <w:rsid w:val="00D62DD9"/>
    <w:rsid w:val="00D63819"/>
    <w:rsid w:val="00D6402B"/>
    <w:rsid w:val="00D650BF"/>
    <w:rsid w:val="00D6604F"/>
    <w:rsid w:val="00D665E3"/>
    <w:rsid w:val="00D666AC"/>
    <w:rsid w:val="00D71A53"/>
    <w:rsid w:val="00D720DD"/>
    <w:rsid w:val="00D722EA"/>
    <w:rsid w:val="00D73339"/>
    <w:rsid w:val="00D73A13"/>
    <w:rsid w:val="00D743E2"/>
    <w:rsid w:val="00D74EB8"/>
    <w:rsid w:val="00D75FF9"/>
    <w:rsid w:val="00D76645"/>
    <w:rsid w:val="00D76B59"/>
    <w:rsid w:val="00D80050"/>
    <w:rsid w:val="00D82233"/>
    <w:rsid w:val="00D82611"/>
    <w:rsid w:val="00D82C0B"/>
    <w:rsid w:val="00D83632"/>
    <w:rsid w:val="00D839AC"/>
    <w:rsid w:val="00D83A66"/>
    <w:rsid w:val="00D85CDA"/>
    <w:rsid w:val="00D86220"/>
    <w:rsid w:val="00D8734B"/>
    <w:rsid w:val="00D878C3"/>
    <w:rsid w:val="00D87EE7"/>
    <w:rsid w:val="00D87FE0"/>
    <w:rsid w:val="00D90A56"/>
    <w:rsid w:val="00D924D4"/>
    <w:rsid w:val="00D92637"/>
    <w:rsid w:val="00D929A2"/>
    <w:rsid w:val="00D92E2D"/>
    <w:rsid w:val="00D92E4C"/>
    <w:rsid w:val="00D93914"/>
    <w:rsid w:val="00D93B8C"/>
    <w:rsid w:val="00D93C46"/>
    <w:rsid w:val="00D9428A"/>
    <w:rsid w:val="00D9576B"/>
    <w:rsid w:val="00D96AB1"/>
    <w:rsid w:val="00DA0668"/>
    <w:rsid w:val="00DA0C3F"/>
    <w:rsid w:val="00DA1309"/>
    <w:rsid w:val="00DA20FB"/>
    <w:rsid w:val="00DA223B"/>
    <w:rsid w:val="00DA263A"/>
    <w:rsid w:val="00DA3193"/>
    <w:rsid w:val="00DA3BDC"/>
    <w:rsid w:val="00DA6929"/>
    <w:rsid w:val="00DA7287"/>
    <w:rsid w:val="00DA7D6A"/>
    <w:rsid w:val="00DA7E3E"/>
    <w:rsid w:val="00DA7FC5"/>
    <w:rsid w:val="00DB27B2"/>
    <w:rsid w:val="00DB2977"/>
    <w:rsid w:val="00DB39DB"/>
    <w:rsid w:val="00DB3CA7"/>
    <w:rsid w:val="00DB430D"/>
    <w:rsid w:val="00DB4423"/>
    <w:rsid w:val="00DB4A12"/>
    <w:rsid w:val="00DB7558"/>
    <w:rsid w:val="00DC06AF"/>
    <w:rsid w:val="00DC07A0"/>
    <w:rsid w:val="00DC09AF"/>
    <w:rsid w:val="00DC0AA7"/>
    <w:rsid w:val="00DC129E"/>
    <w:rsid w:val="00DC1930"/>
    <w:rsid w:val="00DC320C"/>
    <w:rsid w:val="00DC375B"/>
    <w:rsid w:val="00DC6BDD"/>
    <w:rsid w:val="00DC6E0B"/>
    <w:rsid w:val="00DC7048"/>
    <w:rsid w:val="00DD243F"/>
    <w:rsid w:val="00DD2E20"/>
    <w:rsid w:val="00DD3F0A"/>
    <w:rsid w:val="00DD5C73"/>
    <w:rsid w:val="00DD6C76"/>
    <w:rsid w:val="00DD71BD"/>
    <w:rsid w:val="00DD7298"/>
    <w:rsid w:val="00DE1497"/>
    <w:rsid w:val="00DE29CA"/>
    <w:rsid w:val="00DE2B33"/>
    <w:rsid w:val="00DE305A"/>
    <w:rsid w:val="00DE36B5"/>
    <w:rsid w:val="00DE3906"/>
    <w:rsid w:val="00DE4C09"/>
    <w:rsid w:val="00DE4DB2"/>
    <w:rsid w:val="00DE53FA"/>
    <w:rsid w:val="00DE7095"/>
    <w:rsid w:val="00DE7E96"/>
    <w:rsid w:val="00DF1161"/>
    <w:rsid w:val="00DF1561"/>
    <w:rsid w:val="00DF2069"/>
    <w:rsid w:val="00DF2E1B"/>
    <w:rsid w:val="00DF3588"/>
    <w:rsid w:val="00DF3F93"/>
    <w:rsid w:val="00DF44A3"/>
    <w:rsid w:val="00DF4C97"/>
    <w:rsid w:val="00DF555E"/>
    <w:rsid w:val="00DF67D5"/>
    <w:rsid w:val="00DF6AC9"/>
    <w:rsid w:val="00DF6C55"/>
    <w:rsid w:val="00DF778F"/>
    <w:rsid w:val="00DF7DE6"/>
    <w:rsid w:val="00E021B2"/>
    <w:rsid w:val="00E0240C"/>
    <w:rsid w:val="00E026E4"/>
    <w:rsid w:val="00E0284F"/>
    <w:rsid w:val="00E03114"/>
    <w:rsid w:val="00E0363F"/>
    <w:rsid w:val="00E045C7"/>
    <w:rsid w:val="00E05195"/>
    <w:rsid w:val="00E06E79"/>
    <w:rsid w:val="00E070B4"/>
    <w:rsid w:val="00E07982"/>
    <w:rsid w:val="00E07F3B"/>
    <w:rsid w:val="00E125ED"/>
    <w:rsid w:val="00E14650"/>
    <w:rsid w:val="00E15435"/>
    <w:rsid w:val="00E15AF7"/>
    <w:rsid w:val="00E16105"/>
    <w:rsid w:val="00E1642A"/>
    <w:rsid w:val="00E16EA3"/>
    <w:rsid w:val="00E17561"/>
    <w:rsid w:val="00E20F8A"/>
    <w:rsid w:val="00E21E4B"/>
    <w:rsid w:val="00E22CCC"/>
    <w:rsid w:val="00E233D2"/>
    <w:rsid w:val="00E24995"/>
    <w:rsid w:val="00E25F67"/>
    <w:rsid w:val="00E26037"/>
    <w:rsid w:val="00E26492"/>
    <w:rsid w:val="00E27423"/>
    <w:rsid w:val="00E275B0"/>
    <w:rsid w:val="00E27B43"/>
    <w:rsid w:val="00E3183E"/>
    <w:rsid w:val="00E31DB4"/>
    <w:rsid w:val="00E32C2E"/>
    <w:rsid w:val="00E33811"/>
    <w:rsid w:val="00E34688"/>
    <w:rsid w:val="00E35559"/>
    <w:rsid w:val="00E35CF3"/>
    <w:rsid w:val="00E36FC4"/>
    <w:rsid w:val="00E37A0E"/>
    <w:rsid w:val="00E37E9D"/>
    <w:rsid w:val="00E37FDB"/>
    <w:rsid w:val="00E40FC2"/>
    <w:rsid w:val="00E43509"/>
    <w:rsid w:val="00E4388B"/>
    <w:rsid w:val="00E45223"/>
    <w:rsid w:val="00E46DE5"/>
    <w:rsid w:val="00E474C2"/>
    <w:rsid w:val="00E47756"/>
    <w:rsid w:val="00E47E4A"/>
    <w:rsid w:val="00E50078"/>
    <w:rsid w:val="00E514CF"/>
    <w:rsid w:val="00E52A31"/>
    <w:rsid w:val="00E5469E"/>
    <w:rsid w:val="00E54A68"/>
    <w:rsid w:val="00E563EE"/>
    <w:rsid w:val="00E565BB"/>
    <w:rsid w:val="00E56BFB"/>
    <w:rsid w:val="00E56FBF"/>
    <w:rsid w:val="00E57FC6"/>
    <w:rsid w:val="00E606A9"/>
    <w:rsid w:val="00E60753"/>
    <w:rsid w:val="00E60A65"/>
    <w:rsid w:val="00E61BDD"/>
    <w:rsid w:val="00E61F60"/>
    <w:rsid w:val="00E63FDD"/>
    <w:rsid w:val="00E646BB"/>
    <w:rsid w:val="00E65078"/>
    <w:rsid w:val="00E67E20"/>
    <w:rsid w:val="00E70190"/>
    <w:rsid w:val="00E708EC"/>
    <w:rsid w:val="00E709B9"/>
    <w:rsid w:val="00E71312"/>
    <w:rsid w:val="00E714EC"/>
    <w:rsid w:val="00E72336"/>
    <w:rsid w:val="00E73002"/>
    <w:rsid w:val="00E751A6"/>
    <w:rsid w:val="00E75C09"/>
    <w:rsid w:val="00E76058"/>
    <w:rsid w:val="00E76245"/>
    <w:rsid w:val="00E7677A"/>
    <w:rsid w:val="00E76F47"/>
    <w:rsid w:val="00E80EF1"/>
    <w:rsid w:val="00E81C0B"/>
    <w:rsid w:val="00E822BA"/>
    <w:rsid w:val="00E86207"/>
    <w:rsid w:val="00E86A29"/>
    <w:rsid w:val="00E879FF"/>
    <w:rsid w:val="00E912BA"/>
    <w:rsid w:val="00E914DF"/>
    <w:rsid w:val="00E927ED"/>
    <w:rsid w:val="00E92DBC"/>
    <w:rsid w:val="00E94301"/>
    <w:rsid w:val="00E95889"/>
    <w:rsid w:val="00E96A13"/>
    <w:rsid w:val="00EA04BB"/>
    <w:rsid w:val="00EA1A63"/>
    <w:rsid w:val="00EA1F68"/>
    <w:rsid w:val="00EA31EB"/>
    <w:rsid w:val="00EA3EAC"/>
    <w:rsid w:val="00EA43F2"/>
    <w:rsid w:val="00EA70AA"/>
    <w:rsid w:val="00EB0F83"/>
    <w:rsid w:val="00EB29B3"/>
    <w:rsid w:val="00EB369F"/>
    <w:rsid w:val="00EC064C"/>
    <w:rsid w:val="00EC3600"/>
    <w:rsid w:val="00EC4AC7"/>
    <w:rsid w:val="00EC4E7C"/>
    <w:rsid w:val="00EC5064"/>
    <w:rsid w:val="00EC5937"/>
    <w:rsid w:val="00EC5E72"/>
    <w:rsid w:val="00EC71BD"/>
    <w:rsid w:val="00EC7AAC"/>
    <w:rsid w:val="00ED15D2"/>
    <w:rsid w:val="00ED1DFE"/>
    <w:rsid w:val="00ED2DF5"/>
    <w:rsid w:val="00ED3A81"/>
    <w:rsid w:val="00ED5216"/>
    <w:rsid w:val="00ED567E"/>
    <w:rsid w:val="00ED57D4"/>
    <w:rsid w:val="00ED625D"/>
    <w:rsid w:val="00ED6CE5"/>
    <w:rsid w:val="00ED6E05"/>
    <w:rsid w:val="00ED73A9"/>
    <w:rsid w:val="00EE0505"/>
    <w:rsid w:val="00EE1EF6"/>
    <w:rsid w:val="00EE26D0"/>
    <w:rsid w:val="00EE30D7"/>
    <w:rsid w:val="00EE339D"/>
    <w:rsid w:val="00EE74C9"/>
    <w:rsid w:val="00EE769C"/>
    <w:rsid w:val="00EE7BAC"/>
    <w:rsid w:val="00EF087D"/>
    <w:rsid w:val="00EF0A46"/>
    <w:rsid w:val="00EF20C1"/>
    <w:rsid w:val="00EF23C4"/>
    <w:rsid w:val="00EF28B5"/>
    <w:rsid w:val="00EF2E3B"/>
    <w:rsid w:val="00EF43D3"/>
    <w:rsid w:val="00EF603F"/>
    <w:rsid w:val="00EF6B3A"/>
    <w:rsid w:val="00EF77BD"/>
    <w:rsid w:val="00F00330"/>
    <w:rsid w:val="00F00675"/>
    <w:rsid w:val="00F01C56"/>
    <w:rsid w:val="00F03085"/>
    <w:rsid w:val="00F053A9"/>
    <w:rsid w:val="00F063D3"/>
    <w:rsid w:val="00F066FA"/>
    <w:rsid w:val="00F0736A"/>
    <w:rsid w:val="00F07877"/>
    <w:rsid w:val="00F07BA6"/>
    <w:rsid w:val="00F10838"/>
    <w:rsid w:val="00F10870"/>
    <w:rsid w:val="00F110CE"/>
    <w:rsid w:val="00F11134"/>
    <w:rsid w:val="00F11CDC"/>
    <w:rsid w:val="00F13EC7"/>
    <w:rsid w:val="00F14B9A"/>
    <w:rsid w:val="00F1594F"/>
    <w:rsid w:val="00F16380"/>
    <w:rsid w:val="00F17124"/>
    <w:rsid w:val="00F17B4E"/>
    <w:rsid w:val="00F21096"/>
    <w:rsid w:val="00F213A4"/>
    <w:rsid w:val="00F220ED"/>
    <w:rsid w:val="00F232B3"/>
    <w:rsid w:val="00F23E2F"/>
    <w:rsid w:val="00F24228"/>
    <w:rsid w:val="00F266B1"/>
    <w:rsid w:val="00F2690B"/>
    <w:rsid w:val="00F276DB"/>
    <w:rsid w:val="00F27B22"/>
    <w:rsid w:val="00F27CBF"/>
    <w:rsid w:val="00F30D79"/>
    <w:rsid w:val="00F30FA2"/>
    <w:rsid w:val="00F3184C"/>
    <w:rsid w:val="00F33087"/>
    <w:rsid w:val="00F331FE"/>
    <w:rsid w:val="00F33239"/>
    <w:rsid w:val="00F33FF0"/>
    <w:rsid w:val="00F342B3"/>
    <w:rsid w:val="00F34A1F"/>
    <w:rsid w:val="00F35328"/>
    <w:rsid w:val="00F357E2"/>
    <w:rsid w:val="00F3618C"/>
    <w:rsid w:val="00F364E7"/>
    <w:rsid w:val="00F36780"/>
    <w:rsid w:val="00F40C34"/>
    <w:rsid w:val="00F41127"/>
    <w:rsid w:val="00F41208"/>
    <w:rsid w:val="00F41CFB"/>
    <w:rsid w:val="00F41DDF"/>
    <w:rsid w:val="00F42EFA"/>
    <w:rsid w:val="00F440D4"/>
    <w:rsid w:val="00F446D5"/>
    <w:rsid w:val="00F44ACF"/>
    <w:rsid w:val="00F4584D"/>
    <w:rsid w:val="00F45EA6"/>
    <w:rsid w:val="00F46042"/>
    <w:rsid w:val="00F463A9"/>
    <w:rsid w:val="00F464B4"/>
    <w:rsid w:val="00F46856"/>
    <w:rsid w:val="00F501CE"/>
    <w:rsid w:val="00F50218"/>
    <w:rsid w:val="00F51A33"/>
    <w:rsid w:val="00F54B5E"/>
    <w:rsid w:val="00F559C8"/>
    <w:rsid w:val="00F5626A"/>
    <w:rsid w:val="00F56ADD"/>
    <w:rsid w:val="00F60B00"/>
    <w:rsid w:val="00F61C51"/>
    <w:rsid w:val="00F62314"/>
    <w:rsid w:val="00F62A6F"/>
    <w:rsid w:val="00F635BB"/>
    <w:rsid w:val="00F63C3B"/>
    <w:rsid w:val="00F63F97"/>
    <w:rsid w:val="00F64543"/>
    <w:rsid w:val="00F6522A"/>
    <w:rsid w:val="00F65513"/>
    <w:rsid w:val="00F657E2"/>
    <w:rsid w:val="00F65832"/>
    <w:rsid w:val="00F65ED9"/>
    <w:rsid w:val="00F67043"/>
    <w:rsid w:val="00F6725C"/>
    <w:rsid w:val="00F6725E"/>
    <w:rsid w:val="00F67881"/>
    <w:rsid w:val="00F67A53"/>
    <w:rsid w:val="00F7336E"/>
    <w:rsid w:val="00F734B2"/>
    <w:rsid w:val="00F73F35"/>
    <w:rsid w:val="00F741A8"/>
    <w:rsid w:val="00F74327"/>
    <w:rsid w:val="00F75254"/>
    <w:rsid w:val="00F763FF"/>
    <w:rsid w:val="00F77634"/>
    <w:rsid w:val="00F81113"/>
    <w:rsid w:val="00F812A0"/>
    <w:rsid w:val="00F82172"/>
    <w:rsid w:val="00F82200"/>
    <w:rsid w:val="00F82857"/>
    <w:rsid w:val="00F83A83"/>
    <w:rsid w:val="00F90159"/>
    <w:rsid w:val="00F90565"/>
    <w:rsid w:val="00F91731"/>
    <w:rsid w:val="00F9255C"/>
    <w:rsid w:val="00F92C8D"/>
    <w:rsid w:val="00F92DE0"/>
    <w:rsid w:val="00F94122"/>
    <w:rsid w:val="00F955AD"/>
    <w:rsid w:val="00F9573D"/>
    <w:rsid w:val="00F95E62"/>
    <w:rsid w:val="00F95E6D"/>
    <w:rsid w:val="00F97D3F"/>
    <w:rsid w:val="00FA0095"/>
    <w:rsid w:val="00FA010E"/>
    <w:rsid w:val="00FA11A5"/>
    <w:rsid w:val="00FA2800"/>
    <w:rsid w:val="00FA2B71"/>
    <w:rsid w:val="00FA4C5C"/>
    <w:rsid w:val="00FA4C71"/>
    <w:rsid w:val="00FA5274"/>
    <w:rsid w:val="00FB1A1F"/>
    <w:rsid w:val="00FB4586"/>
    <w:rsid w:val="00FB52B5"/>
    <w:rsid w:val="00FB5C7A"/>
    <w:rsid w:val="00FB62D0"/>
    <w:rsid w:val="00FB6FC4"/>
    <w:rsid w:val="00FC1431"/>
    <w:rsid w:val="00FC2394"/>
    <w:rsid w:val="00FC252B"/>
    <w:rsid w:val="00FC2861"/>
    <w:rsid w:val="00FC369E"/>
    <w:rsid w:val="00FC3F17"/>
    <w:rsid w:val="00FC4671"/>
    <w:rsid w:val="00FC4D13"/>
    <w:rsid w:val="00FC4E66"/>
    <w:rsid w:val="00FC5805"/>
    <w:rsid w:val="00FC5C8A"/>
    <w:rsid w:val="00FC5ECC"/>
    <w:rsid w:val="00FC60A1"/>
    <w:rsid w:val="00FC6B66"/>
    <w:rsid w:val="00FC6F4E"/>
    <w:rsid w:val="00FC7028"/>
    <w:rsid w:val="00FD17C7"/>
    <w:rsid w:val="00FD196D"/>
    <w:rsid w:val="00FD2397"/>
    <w:rsid w:val="00FD3C7B"/>
    <w:rsid w:val="00FD3FE8"/>
    <w:rsid w:val="00FD5F11"/>
    <w:rsid w:val="00FD63B8"/>
    <w:rsid w:val="00FD7CEE"/>
    <w:rsid w:val="00FE034C"/>
    <w:rsid w:val="00FE065A"/>
    <w:rsid w:val="00FE1828"/>
    <w:rsid w:val="00FE1CB2"/>
    <w:rsid w:val="00FE2314"/>
    <w:rsid w:val="00FE2CAC"/>
    <w:rsid w:val="00FE4CE6"/>
    <w:rsid w:val="00FE4E72"/>
    <w:rsid w:val="00FE58D5"/>
    <w:rsid w:val="00FE6BDB"/>
    <w:rsid w:val="00FF1995"/>
    <w:rsid w:val="00FF1EE2"/>
    <w:rsid w:val="00FF231F"/>
    <w:rsid w:val="00FF23DF"/>
    <w:rsid w:val="00FF2886"/>
    <w:rsid w:val="00FF2A0A"/>
    <w:rsid w:val="00FF2E65"/>
    <w:rsid w:val="00FF3517"/>
    <w:rsid w:val="00FF36F0"/>
    <w:rsid w:val="00FF39A0"/>
    <w:rsid w:val="00FF3FB8"/>
    <w:rsid w:val="00FF4B67"/>
    <w:rsid w:val="00FF6761"/>
    <w:rsid w:val="00FF732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01127D"/>
  <w15:docId w15:val="{B50EA9F0-FF29-4097-9165-7C6DFA5D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538"/>
    <w:rPr>
      <w:rFonts w:ascii="Calibri" w:eastAsia="Calibri" w:hAnsi="Calibri" w:cs="Times New Roman"/>
    </w:rPr>
  </w:style>
  <w:style w:type="paragraph" w:styleId="Ttulo1">
    <w:name w:val="heading 1"/>
    <w:aliases w:val="h1"/>
    <w:basedOn w:val="Normal"/>
    <w:next w:val="Normal"/>
    <w:link w:val="Ttulo1Car"/>
    <w:uiPriority w:val="9"/>
    <w:qFormat/>
    <w:rsid w:val="00BF167B"/>
    <w:pPr>
      <w:keepNext/>
      <w:jc w:val="center"/>
      <w:outlineLvl w:val="0"/>
    </w:pPr>
    <w:rPr>
      <w:b/>
      <w:szCs w:val="20"/>
    </w:rPr>
  </w:style>
  <w:style w:type="paragraph" w:styleId="Ttulo2">
    <w:name w:val="heading 2"/>
    <w:aliases w:val="h2"/>
    <w:basedOn w:val="Normal"/>
    <w:next w:val="Normal"/>
    <w:link w:val="Ttulo2Car"/>
    <w:uiPriority w:val="9"/>
    <w:qFormat/>
    <w:rsid w:val="00BF167B"/>
    <w:pPr>
      <w:keepNext/>
      <w:outlineLvl w:val="1"/>
    </w:pPr>
    <w:rPr>
      <w:b/>
      <w:szCs w:val="20"/>
    </w:rPr>
  </w:style>
  <w:style w:type="paragraph" w:styleId="Ttulo3">
    <w:name w:val="heading 3"/>
    <w:aliases w:val="h3"/>
    <w:basedOn w:val="Normal"/>
    <w:next w:val="Normal"/>
    <w:link w:val="Ttulo3Car"/>
    <w:uiPriority w:val="9"/>
    <w:qFormat/>
    <w:rsid w:val="00BF167B"/>
    <w:pPr>
      <w:keepNext/>
      <w:ind w:left="2630"/>
      <w:outlineLvl w:val="2"/>
    </w:pPr>
    <w:rPr>
      <w:rFonts w:cs="Arial"/>
      <w:b/>
      <w:bCs/>
      <w:szCs w:val="20"/>
    </w:rPr>
  </w:style>
  <w:style w:type="paragraph" w:styleId="Ttulo4">
    <w:name w:val="heading 4"/>
    <w:basedOn w:val="Normal"/>
    <w:next w:val="Normal"/>
    <w:link w:val="Ttulo4Car"/>
    <w:uiPriority w:val="9"/>
    <w:qFormat/>
    <w:rsid w:val="00BF167B"/>
    <w:pPr>
      <w:keepNext/>
      <w:spacing w:before="240" w:after="60"/>
      <w:outlineLvl w:val="3"/>
    </w:pPr>
    <w:rPr>
      <w:rFonts w:ascii="Times New Roman" w:hAnsi="Times New Roman"/>
      <w:b/>
      <w:bCs/>
      <w:sz w:val="28"/>
      <w:szCs w:val="28"/>
    </w:rPr>
  </w:style>
  <w:style w:type="paragraph" w:styleId="Ttulo5">
    <w:name w:val="heading 5"/>
    <w:aliases w:val="Considerando"/>
    <w:basedOn w:val="Normal"/>
    <w:next w:val="Normal"/>
    <w:link w:val="Ttulo5Car"/>
    <w:qFormat/>
    <w:rsid w:val="00BF167B"/>
    <w:pPr>
      <w:keepNext/>
      <w:outlineLvl w:val="4"/>
    </w:pPr>
    <w:rPr>
      <w:b/>
      <w:sz w:val="20"/>
      <w:szCs w:val="20"/>
    </w:rPr>
  </w:style>
  <w:style w:type="paragraph" w:styleId="Ttulo6">
    <w:name w:val="heading 6"/>
    <w:basedOn w:val="Normal"/>
    <w:next w:val="Normal"/>
    <w:link w:val="Ttulo6Car"/>
    <w:qFormat/>
    <w:rsid w:val="00BF167B"/>
    <w:pPr>
      <w:spacing w:before="240" w:after="60"/>
      <w:outlineLvl w:val="5"/>
    </w:pPr>
    <w:rPr>
      <w:rFonts w:ascii="Times New Roman" w:hAnsi="Times New Roman"/>
      <w:b/>
      <w:bCs/>
    </w:rPr>
  </w:style>
  <w:style w:type="paragraph" w:styleId="Ttulo7">
    <w:name w:val="heading 7"/>
    <w:basedOn w:val="Normal"/>
    <w:next w:val="Normal"/>
    <w:link w:val="Ttulo7Car"/>
    <w:qFormat/>
    <w:rsid w:val="00BF167B"/>
    <w:pPr>
      <w:spacing w:before="240" w:after="60"/>
      <w:outlineLvl w:val="6"/>
    </w:pPr>
    <w:rPr>
      <w:rFonts w:ascii="Times New Roman" w:hAnsi="Times New Roman"/>
      <w:sz w:val="24"/>
    </w:rPr>
  </w:style>
  <w:style w:type="paragraph" w:styleId="Ttulo8">
    <w:name w:val="heading 8"/>
    <w:basedOn w:val="Normal"/>
    <w:next w:val="Normal"/>
    <w:link w:val="Ttulo8Car"/>
    <w:qFormat/>
    <w:rsid w:val="00BF167B"/>
    <w:pPr>
      <w:keepNext/>
      <w:jc w:val="center"/>
      <w:outlineLvl w:val="7"/>
    </w:pPr>
    <w:rPr>
      <w:b/>
      <w:szCs w:val="20"/>
    </w:rPr>
  </w:style>
  <w:style w:type="paragraph" w:styleId="Ttulo9">
    <w:name w:val="heading 9"/>
    <w:aliases w:val="Citaciones"/>
    <w:basedOn w:val="Normal"/>
    <w:next w:val="Normal"/>
    <w:link w:val="Ttulo9Car"/>
    <w:qFormat/>
    <w:rsid w:val="00BF167B"/>
    <w:pPr>
      <w:spacing w:before="240" w:after="60"/>
      <w:outlineLvl w:val="8"/>
    </w:pPr>
    <w:rPr>
      <w:rFonts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
    <w:basedOn w:val="Fuentedeprrafopredeter"/>
    <w:link w:val="Ttulo1"/>
    <w:uiPriority w:val="9"/>
    <w:rsid w:val="00BF167B"/>
    <w:rPr>
      <w:rFonts w:ascii="Arial" w:eastAsia="Times New Roman" w:hAnsi="Arial" w:cs="Times New Roman"/>
      <w:b/>
      <w:szCs w:val="20"/>
    </w:rPr>
  </w:style>
  <w:style w:type="character" w:customStyle="1" w:styleId="Ttulo2Car">
    <w:name w:val="Título 2 Car"/>
    <w:aliases w:val="h2 Car"/>
    <w:basedOn w:val="Fuentedeprrafopredeter"/>
    <w:link w:val="Ttulo2"/>
    <w:uiPriority w:val="9"/>
    <w:rsid w:val="00BF167B"/>
    <w:rPr>
      <w:rFonts w:ascii="Arial" w:eastAsia="Times New Roman" w:hAnsi="Arial" w:cs="Times New Roman"/>
      <w:b/>
      <w:szCs w:val="20"/>
    </w:rPr>
  </w:style>
  <w:style w:type="character" w:customStyle="1" w:styleId="Ttulo3Car">
    <w:name w:val="Título 3 Car"/>
    <w:aliases w:val="h3 Car"/>
    <w:basedOn w:val="Fuentedeprrafopredeter"/>
    <w:link w:val="Ttulo3"/>
    <w:uiPriority w:val="9"/>
    <w:rsid w:val="00BF167B"/>
    <w:rPr>
      <w:rFonts w:ascii="Arial" w:eastAsia="Times New Roman" w:hAnsi="Arial" w:cs="Arial"/>
      <w:b/>
      <w:bCs/>
      <w:szCs w:val="20"/>
    </w:rPr>
  </w:style>
  <w:style w:type="character" w:customStyle="1" w:styleId="Ttulo4Car">
    <w:name w:val="Título 4 Car"/>
    <w:basedOn w:val="Fuentedeprrafopredeter"/>
    <w:link w:val="Ttulo4"/>
    <w:uiPriority w:val="9"/>
    <w:rsid w:val="00BF167B"/>
    <w:rPr>
      <w:rFonts w:ascii="Times New Roman" w:eastAsia="Times New Roman" w:hAnsi="Times New Roman" w:cs="Times New Roman"/>
      <w:b/>
      <w:bCs/>
      <w:sz w:val="28"/>
      <w:szCs w:val="28"/>
      <w:lang w:eastAsia="es-ES"/>
    </w:rPr>
  </w:style>
  <w:style w:type="character" w:customStyle="1" w:styleId="Ttulo5Car">
    <w:name w:val="Título 5 Car"/>
    <w:aliases w:val="Considerando Car"/>
    <w:basedOn w:val="Fuentedeprrafopredeter"/>
    <w:link w:val="Ttulo5"/>
    <w:rsid w:val="00BF167B"/>
    <w:rPr>
      <w:rFonts w:ascii="Arial" w:eastAsia="Times New Roman" w:hAnsi="Arial" w:cs="Times New Roman"/>
      <w:b/>
      <w:sz w:val="20"/>
      <w:szCs w:val="20"/>
    </w:rPr>
  </w:style>
  <w:style w:type="character" w:customStyle="1" w:styleId="Ttulo6Car">
    <w:name w:val="Título 6 Car"/>
    <w:basedOn w:val="Fuentedeprrafopredeter"/>
    <w:link w:val="Ttulo6"/>
    <w:rsid w:val="00BF16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BF167B"/>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BF167B"/>
    <w:rPr>
      <w:rFonts w:ascii="Arial" w:eastAsia="Times New Roman" w:hAnsi="Arial" w:cs="Times New Roman"/>
      <w:b/>
      <w:szCs w:val="20"/>
      <w:lang w:eastAsia="es-ES"/>
    </w:rPr>
  </w:style>
  <w:style w:type="character" w:customStyle="1" w:styleId="Ttulo9Car">
    <w:name w:val="Título 9 Car"/>
    <w:aliases w:val="Citaciones Car"/>
    <w:basedOn w:val="Fuentedeprrafopredeter"/>
    <w:link w:val="Ttulo9"/>
    <w:rsid w:val="00BF167B"/>
    <w:rPr>
      <w:rFonts w:ascii="Arial" w:eastAsia="Times New Roman" w:hAnsi="Arial" w:cs="Arial"/>
      <w:lang w:eastAsia="es-ES"/>
    </w:rPr>
  </w:style>
  <w:style w:type="paragraph" w:styleId="Textoindependiente">
    <w:name w:val="Body Text"/>
    <w:basedOn w:val="Normal"/>
    <w:link w:val="TextoindependienteCar"/>
    <w:rsid w:val="00BF167B"/>
    <w:rPr>
      <w:szCs w:val="20"/>
    </w:rPr>
  </w:style>
  <w:style w:type="character" w:customStyle="1" w:styleId="TextoindependienteCar">
    <w:name w:val="Texto independiente Car"/>
    <w:basedOn w:val="Fuentedeprrafopredeter"/>
    <w:link w:val="Textoindependiente"/>
    <w:rsid w:val="00BF167B"/>
    <w:rPr>
      <w:rFonts w:ascii="Arial" w:eastAsia="Times New Roman" w:hAnsi="Arial" w:cs="Times New Roman"/>
      <w:szCs w:val="20"/>
    </w:rPr>
  </w:style>
  <w:style w:type="paragraph" w:styleId="Piedepgina">
    <w:name w:val="footer"/>
    <w:basedOn w:val="Normal"/>
    <w:link w:val="PiedepginaCar"/>
    <w:uiPriority w:val="99"/>
    <w:rsid w:val="00BF167B"/>
    <w:pPr>
      <w:tabs>
        <w:tab w:val="center" w:pos="4419"/>
        <w:tab w:val="right" w:pos="8838"/>
      </w:tabs>
    </w:pPr>
    <w:rPr>
      <w:szCs w:val="20"/>
    </w:rPr>
  </w:style>
  <w:style w:type="character" w:customStyle="1" w:styleId="PiedepginaCar">
    <w:name w:val="Pie de página Car"/>
    <w:basedOn w:val="Fuentedeprrafopredeter"/>
    <w:link w:val="Piedepgina"/>
    <w:uiPriority w:val="99"/>
    <w:rsid w:val="00BF167B"/>
    <w:rPr>
      <w:rFonts w:ascii="Arial" w:eastAsia="Times New Roman" w:hAnsi="Arial" w:cs="Times New Roman"/>
      <w:szCs w:val="20"/>
    </w:rPr>
  </w:style>
  <w:style w:type="paragraph" w:styleId="Encabezado">
    <w:name w:val="header"/>
    <w:basedOn w:val="Normal"/>
    <w:link w:val="EncabezadoCar"/>
    <w:rsid w:val="00BF167B"/>
    <w:pPr>
      <w:tabs>
        <w:tab w:val="center" w:pos="4419"/>
        <w:tab w:val="right" w:pos="8838"/>
      </w:tabs>
    </w:pPr>
    <w:rPr>
      <w:szCs w:val="20"/>
    </w:rPr>
  </w:style>
  <w:style w:type="character" w:customStyle="1" w:styleId="EncabezadoCar">
    <w:name w:val="Encabezado Car"/>
    <w:basedOn w:val="Fuentedeprrafopredeter"/>
    <w:link w:val="Encabezado"/>
    <w:rsid w:val="00BF167B"/>
    <w:rPr>
      <w:rFonts w:ascii="Arial" w:eastAsia="Times New Roman" w:hAnsi="Arial" w:cs="Times New Roman"/>
      <w:szCs w:val="20"/>
    </w:rPr>
  </w:style>
  <w:style w:type="character" w:styleId="Nmerodepgina">
    <w:name w:val="page number"/>
    <w:basedOn w:val="Fuentedeprrafopredeter"/>
    <w:rsid w:val="00BF167B"/>
  </w:style>
  <w:style w:type="paragraph" w:styleId="Puesto">
    <w:name w:val="Title"/>
    <w:basedOn w:val="Normal"/>
    <w:link w:val="PuestoCar"/>
    <w:qFormat/>
    <w:rsid w:val="00BF167B"/>
    <w:pPr>
      <w:jc w:val="center"/>
    </w:pPr>
    <w:rPr>
      <w:b/>
      <w:szCs w:val="20"/>
    </w:rPr>
  </w:style>
  <w:style w:type="character" w:customStyle="1" w:styleId="PuestoCar">
    <w:name w:val="Puesto Car"/>
    <w:basedOn w:val="Fuentedeprrafopredeter"/>
    <w:link w:val="Puesto"/>
    <w:rsid w:val="00BF167B"/>
    <w:rPr>
      <w:rFonts w:ascii="Arial" w:eastAsia="Times New Roman" w:hAnsi="Arial" w:cs="Times New Roman"/>
      <w:b/>
      <w:szCs w:val="20"/>
    </w:rPr>
  </w:style>
  <w:style w:type="paragraph" w:styleId="Sangra2detindependiente">
    <w:name w:val="Body Text Indent 2"/>
    <w:basedOn w:val="Normal"/>
    <w:link w:val="Sangra2detindependienteCar"/>
    <w:rsid w:val="00BF167B"/>
    <w:pPr>
      <w:ind w:left="708"/>
    </w:pPr>
    <w:rPr>
      <w:szCs w:val="20"/>
    </w:rPr>
  </w:style>
  <w:style w:type="character" w:customStyle="1" w:styleId="Sangra2detindependienteCar">
    <w:name w:val="Sangría 2 de t. independiente Car"/>
    <w:basedOn w:val="Fuentedeprrafopredeter"/>
    <w:link w:val="Sangra2detindependiente"/>
    <w:rsid w:val="00BF167B"/>
    <w:rPr>
      <w:rFonts w:ascii="Arial" w:eastAsia="Times New Roman" w:hAnsi="Arial" w:cs="Times New Roman"/>
      <w:szCs w:val="20"/>
    </w:rPr>
  </w:style>
  <w:style w:type="paragraph" w:styleId="Subttulo">
    <w:name w:val="Subtitle"/>
    <w:basedOn w:val="Normal"/>
    <w:link w:val="SubttuloCar"/>
    <w:qFormat/>
    <w:rsid w:val="00BF167B"/>
    <w:pPr>
      <w:spacing w:line="230" w:lineRule="auto"/>
      <w:ind w:left="4253"/>
    </w:pPr>
    <w:rPr>
      <w:rFonts w:cs="Arial"/>
      <w:b/>
    </w:rPr>
  </w:style>
  <w:style w:type="character" w:customStyle="1" w:styleId="SubttuloCar">
    <w:name w:val="Subtítulo Car"/>
    <w:basedOn w:val="Fuentedeprrafopredeter"/>
    <w:link w:val="Subttulo"/>
    <w:rsid w:val="00BF167B"/>
    <w:rPr>
      <w:rFonts w:ascii="Arial" w:eastAsia="Times New Roman" w:hAnsi="Arial" w:cs="Arial"/>
      <w:b/>
      <w:szCs w:val="24"/>
      <w:lang w:eastAsia="es-ES"/>
    </w:rPr>
  </w:style>
  <w:style w:type="paragraph" w:styleId="Textoindependiente3">
    <w:name w:val="Body Text 3"/>
    <w:basedOn w:val="Normal"/>
    <w:link w:val="Textoindependiente3Car"/>
    <w:rsid w:val="00BF167B"/>
    <w:pPr>
      <w:ind w:right="138"/>
    </w:pPr>
    <w:rPr>
      <w:rFonts w:cs="Arial"/>
    </w:rPr>
  </w:style>
  <w:style w:type="character" w:customStyle="1" w:styleId="Textoindependiente3Car">
    <w:name w:val="Texto independiente 3 Car"/>
    <w:basedOn w:val="Fuentedeprrafopredeter"/>
    <w:link w:val="Textoindependiente3"/>
    <w:rsid w:val="00BF167B"/>
    <w:rPr>
      <w:rFonts w:ascii="Arial" w:eastAsia="Times New Roman" w:hAnsi="Arial" w:cs="Arial"/>
      <w:szCs w:val="24"/>
      <w:lang w:eastAsia="es-ES"/>
    </w:rPr>
  </w:style>
  <w:style w:type="paragraph" w:styleId="Sangradetextonormal">
    <w:name w:val="Body Text Indent"/>
    <w:basedOn w:val="Normal"/>
    <w:link w:val="SangradetextonormalCar"/>
    <w:rsid w:val="00BF167B"/>
    <w:pPr>
      <w:spacing w:line="230" w:lineRule="auto"/>
      <w:ind w:left="-180"/>
    </w:pPr>
    <w:rPr>
      <w:rFonts w:cs="Arial"/>
      <w:b/>
    </w:rPr>
  </w:style>
  <w:style w:type="character" w:customStyle="1" w:styleId="SangradetextonormalCar">
    <w:name w:val="Sangría de texto normal Car"/>
    <w:basedOn w:val="Fuentedeprrafopredeter"/>
    <w:link w:val="Sangradetextonormal"/>
    <w:rsid w:val="00BF167B"/>
    <w:rPr>
      <w:rFonts w:ascii="Arial" w:eastAsia="Times New Roman" w:hAnsi="Arial" w:cs="Arial"/>
      <w:b/>
      <w:szCs w:val="24"/>
      <w:lang w:eastAsia="es-ES"/>
    </w:rPr>
  </w:style>
  <w:style w:type="paragraph" w:styleId="Textoindependiente2">
    <w:name w:val="Body Text 2"/>
    <w:basedOn w:val="Normal"/>
    <w:link w:val="Textoindependiente2Car"/>
    <w:rsid w:val="00BF167B"/>
    <w:rPr>
      <w:szCs w:val="20"/>
    </w:rPr>
  </w:style>
  <w:style w:type="character" w:customStyle="1" w:styleId="Textoindependiente2Car">
    <w:name w:val="Texto independiente 2 Car"/>
    <w:basedOn w:val="Fuentedeprrafopredeter"/>
    <w:link w:val="Textoindependiente2"/>
    <w:rsid w:val="00BF167B"/>
    <w:rPr>
      <w:rFonts w:ascii="Arial" w:eastAsia="Times New Roman" w:hAnsi="Arial" w:cs="Times New Roman"/>
      <w:szCs w:val="20"/>
      <w:lang w:eastAsia="es-ES"/>
    </w:rPr>
  </w:style>
  <w:style w:type="paragraph" w:styleId="Sangra3detindependiente">
    <w:name w:val="Body Text Indent 3"/>
    <w:basedOn w:val="Normal"/>
    <w:link w:val="Sangra3detindependienteCar"/>
    <w:rsid w:val="00BF167B"/>
    <w:pPr>
      <w:spacing w:before="120" w:after="120"/>
      <w:ind w:left="708"/>
    </w:pPr>
    <w:rPr>
      <w:i/>
      <w:sz w:val="20"/>
      <w:szCs w:val="20"/>
    </w:rPr>
  </w:style>
  <w:style w:type="character" w:customStyle="1" w:styleId="Sangra3detindependienteCar">
    <w:name w:val="Sangría 3 de t. independiente Car"/>
    <w:basedOn w:val="Fuentedeprrafopredeter"/>
    <w:link w:val="Sangra3detindependiente"/>
    <w:rsid w:val="00BF167B"/>
    <w:rPr>
      <w:rFonts w:ascii="Arial" w:eastAsia="Times New Roman" w:hAnsi="Arial" w:cs="Times New Roman"/>
      <w:i/>
      <w:sz w:val="20"/>
      <w:szCs w:val="20"/>
      <w:lang w:eastAsia="es-ES"/>
    </w:rPr>
  </w:style>
  <w:style w:type="character" w:styleId="Refdenotaalpie">
    <w:name w:val="footnote reference"/>
    <w:aliases w:val="(NECG) Footnote Reference,o,fr,Style 3,Appel note de bas de p,Style 12,Style 124,Ref,de nota al pie,Ref. de nota al pie 2"/>
    <w:uiPriority w:val="99"/>
    <w:qFormat/>
    <w:rsid w:val="00BF167B"/>
    <w:rPr>
      <w:vertAlign w:val="superscript"/>
    </w:rPr>
  </w:style>
  <w:style w:type="character" w:styleId="Hipervnculo">
    <w:name w:val="Hyperlink"/>
    <w:uiPriority w:val="99"/>
    <w:rsid w:val="00BF167B"/>
    <w:rPr>
      <w:color w:val="0000FF"/>
      <w:u w:val="single"/>
    </w:rPr>
  </w:style>
  <w:style w:type="paragraph" w:customStyle="1" w:styleId="TEXT">
    <w:name w:val="TEXT"/>
    <w:basedOn w:val="Normal"/>
    <w:rsid w:val="00BF167B"/>
    <w:pPr>
      <w:tabs>
        <w:tab w:val="left" w:pos="360"/>
        <w:tab w:val="left" w:pos="720"/>
        <w:tab w:val="left" w:pos="1080"/>
        <w:tab w:val="left" w:pos="1440"/>
      </w:tabs>
      <w:spacing w:after="240"/>
    </w:pPr>
    <w:rPr>
      <w:szCs w:val="20"/>
      <w:lang w:val="es-ES_tradnl"/>
    </w:rPr>
  </w:style>
  <w:style w:type="paragraph" w:styleId="NormalWeb">
    <w:name w:val="Normal (Web)"/>
    <w:basedOn w:val="Normal"/>
    <w:uiPriority w:val="99"/>
    <w:rsid w:val="00BF167B"/>
    <w:pPr>
      <w:spacing w:before="100" w:beforeAutospacing="1" w:after="100" w:afterAutospacing="1"/>
    </w:pPr>
    <w:rPr>
      <w:rFonts w:ascii="Times New Roman" w:hAnsi="Times New Roman"/>
      <w:sz w:val="24"/>
      <w:lang w:val="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BF167B"/>
    <w:rPr>
      <w:rFonts w:ascii="Times New Roman" w:hAnsi="Times New Roman"/>
      <w:sz w:val="20"/>
      <w:szCs w:val="20"/>
      <w:lang w:val="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BF167B"/>
    <w:rPr>
      <w:rFonts w:ascii="Times New Roman" w:eastAsia="Times New Roman" w:hAnsi="Times New Roman" w:cs="Times New Roman"/>
      <w:sz w:val="20"/>
      <w:szCs w:val="20"/>
      <w:lang w:val="es-ES" w:eastAsia="es-ES"/>
    </w:rPr>
  </w:style>
  <w:style w:type="paragraph" w:customStyle="1" w:styleId="CM13">
    <w:name w:val="CM13"/>
    <w:basedOn w:val="Normal"/>
    <w:next w:val="Normal"/>
    <w:rsid w:val="00BF167B"/>
    <w:pPr>
      <w:widowControl w:val="0"/>
      <w:autoSpaceDE w:val="0"/>
      <w:autoSpaceDN w:val="0"/>
      <w:adjustRightInd w:val="0"/>
      <w:spacing w:after="225"/>
    </w:pPr>
    <w:rPr>
      <w:rFonts w:ascii="Garamond" w:hAnsi="Garamond" w:cs="Garamond"/>
      <w:sz w:val="24"/>
      <w:lang w:val="es-ES"/>
    </w:rPr>
  </w:style>
  <w:style w:type="paragraph" w:customStyle="1" w:styleId="ROMANOS">
    <w:name w:val="ROMANOS"/>
    <w:basedOn w:val="Normal"/>
    <w:link w:val="ROMANOSCar"/>
    <w:rsid w:val="00BF167B"/>
    <w:pPr>
      <w:tabs>
        <w:tab w:val="left" w:pos="720"/>
      </w:tabs>
      <w:overflowPunct w:val="0"/>
      <w:autoSpaceDE w:val="0"/>
      <w:autoSpaceDN w:val="0"/>
      <w:adjustRightInd w:val="0"/>
      <w:spacing w:after="101" w:line="216" w:lineRule="atLeast"/>
      <w:ind w:left="720" w:hanging="432"/>
      <w:textAlignment w:val="baseline"/>
    </w:pPr>
    <w:rPr>
      <w:sz w:val="18"/>
      <w:szCs w:val="20"/>
      <w:lang w:val="es-ES_tradnl"/>
    </w:rPr>
  </w:style>
  <w:style w:type="paragraph" w:customStyle="1" w:styleId="texto">
    <w:name w:val="texto"/>
    <w:basedOn w:val="Normal"/>
    <w:rsid w:val="00BF167B"/>
    <w:pPr>
      <w:overflowPunct w:val="0"/>
      <w:autoSpaceDE w:val="0"/>
      <w:autoSpaceDN w:val="0"/>
      <w:adjustRightInd w:val="0"/>
      <w:spacing w:after="101" w:line="216" w:lineRule="atLeast"/>
      <w:ind w:firstLine="288"/>
      <w:textAlignment w:val="baseline"/>
    </w:pPr>
    <w:rPr>
      <w:sz w:val="18"/>
      <w:szCs w:val="20"/>
      <w:lang w:val="es-ES_tradnl"/>
    </w:rPr>
  </w:style>
  <w:style w:type="paragraph" w:customStyle="1" w:styleId="Default">
    <w:name w:val="Default"/>
    <w:rsid w:val="00BF167B"/>
    <w:pPr>
      <w:widowControl w:val="0"/>
      <w:autoSpaceDE w:val="0"/>
      <w:autoSpaceDN w:val="0"/>
      <w:adjustRightInd w:val="0"/>
      <w:spacing w:after="0" w:line="240" w:lineRule="auto"/>
    </w:pPr>
    <w:rPr>
      <w:rFonts w:ascii="Garamond" w:eastAsia="Times New Roman" w:hAnsi="Garamond" w:cs="Garamond"/>
      <w:color w:val="000000"/>
      <w:sz w:val="24"/>
      <w:szCs w:val="24"/>
      <w:lang w:val="es-ES" w:eastAsia="es-ES"/>
    </w:rPr>
  </w:style>
  <w:style w:type="character" w:customStyle="1" w:styleId="searchhit">
    <w:name w:val="search_hit"/>
    <w:basedOn w:val="Fuentedeprrafopredeter"/>
    <w:rsid w:val="00BF167B"/>
  </w:style>
  <w:style w:type="paragraph" w:styleId="Prrafodelista">
    <w:name w:val="List Paragraph"/>
    <w:basedOn w:val="Normal"/>
    <w:link w:val="PrrafodelistaCar"/>
    <w:uiPriority w:val="34"/>
    <w:qFormat/>
    <w:rsid w:val="00BF167B"/>
    <w:pPr>
      <w:ind w:left="708"/>
    </w:pPr>
  </w:style>
  <w:style w:type="paragraph" w:styleId="Textodeglobo">
    <w:name w:val="Balloon Text"/>
    <w:basedOn w:val="Normal"/>
    <w:link w:val="TextodegloboCar"/>
    <w:uiPriority w:val="99"/>
    <w:rsid w:val="00BF167B"/>
    <w:rPr>
      <w:rFonts w:ascii="Tahoma" w:hAnsi="Tahoma" w:cs="Tahoma"/>
      <w:sz w:val="16"/>
      <w:szCs w:val="16"/>
    </w:rPr>
  </w:style>
  <w:style w:type="character" w:customStyle="1" w:styleId="TextodegloboCar">
    <w:name w:val="Texto de globo Car"/>
    <w:basedOn w:val="Fuentedeprrafopredeter"/>
    <w:link w:val="Textodeglobo"/>
    <w:uiPriority w:val="99"/>
    <w:rsid w:val="00BF167B"/>
    <w:rPr>
      <w:rFonts w:ascii="Tahoma" w:eastAsia="Times New Roman" w:hAnsi="Tahoma" w:cs="Tahoma"/>
      <w:sz w:val="16"/>
      <w:szCs w:val="16"/>
      <w:lang w:eastAsia="es-ES"/>
    </w:rPr>
  </w:style>
  <w:style w:type="paragraph" w:customStyle="1" w:styleId="call">
    <w:name w:val="call"/>
    <w:basedOn w:val="Normal"/>
    <w:next w:val="Normal"/>
    <w:rsid w:val="00BF167B"/>
    <w:pPr>
      <w:keepNext/>
      <w:keepLines/>
      <w:tabs>
        <w:tab w:val="left" w:pos="794"/>
        <w:tab w:val="left" w:pos="1191"/>
        <w:tab w:val="left" w:pos="1588"/>
        <w:tab w:val="left" w:pos="1985"/>
      </w:tabs>
      <w:spacing w:before="160"/>
      <w:ind w:left="794"/>
    </w:pPr>
    <w:rPr>
      <w:rFonts w:ascii="Times New Roman" w:hAnsi="Times New Roman"/>
      <w:i/>
      <w:sz w:val="24"/>
      <w:szCs w:val="20"/>
      <w:lang w:val="es-ES_tradnl"/>
    </w:rPr>
  </w:style>
  <w:style w:type="paragraph" w:customStyle="1" w:styleId="enumlev1">
    <w:name w:val="enumlev1"/>
    <w:basedOn w:val="Normal"/>
    <w:rsid w:val="00BF167B"/>
    <w:pPr>
      <w:tabs>
        <w:tab w:val="left" w:pos="794"/>
        <w:tab w:val="left" w:pos="1191"/>
        <w:tab w:val="left" w:pos="1588"/>
        <w:tab w:val="left" w:pos="1985"/>
      </w:tabs>
      <w:spacing w:before="80"/>
      <w:ind w:left="794" w:hanging="794"/>
    </w:pPr>
    <w:rPr>
      <w:rFonts w:ascii="Times New Roman" w:hAnsi="Times New Roman"/>
      <w:sz w:val="24"/>
      <w:szCs w:val="20"/>
      <w:lang w:val="es-ES_tradnl"/>
    </w:rPr>
  </w:style>
  <w:style w:type="paragraph" w:customStyle="1" w:styleId="Texto0">
    <w:name w:val="Texto"/>
    <w:basedOn w:val="Normal"/>
    <w:rsid w:val="00BF167B"/>
    <w:pPr>
      <w:spacing w:after="101" w:line="216" w:lineRule="exact"/>
      <w:ind w:firstLine="288"/>
    </w:pPr>
    <w:rPr>
      <w:rFonts w:cs="Arial"/>
      <w:sz w:val="18"/>
      <w:szCs w:val="18"/>
      <w:lang w:val="es-ES"/>
    </w:rPr>
  </w:style>
  <w:style w:type="paragraph" w:styleId="Textosinformato">
    <w:name w:val="Plain Text"/>
    <w:basedOn w:val="Normal"/>
    <w:link w:val="TextosinformatoCar"/>
    <w:rsid w:val="00BF167B"/>
    <w:rPr>
      <w:rFonts w:ascii="Courier New" w:hAnsi="Courier New" w:cs="Courier New"/>
      <w:sz w:val="20"/>
      <w:szCs w:val="20"/>
    </w:rPr>
  </w:style>
  <w:style w:type="character" w:customStyle="1" w:styleId="TextosinformatoCar">
    <w:name w:val="Texto sin formato Car"/>
    <w:basedOn w:val="Fuentedeprrafopredeter"/>
    <w:link w:val="Textosinformato"/>
    <w:rsid w:val="00BF167B"/>
    <w:rPr>
      <w:rFonts w:ascii="Courier New" w:eastAsia="Times New Roman" w:hAnsi="Courier New" w:cs="Courier New"/>
      <w:sz w:val="20"/>
      <w:szCs w:val="20"/>
      <w:lang w:eastAsia="es-ES"/>
    </w:rPr>
  </w:style>
  <w:style w:type="character" w:styleId="Refdecomentario">
    <w:name w:val="annotation reference"/>
    <w:uiPriority w:val="99"/>
    <w:rsid w:val="00BF167B"/>
    <w:rPr>
      <w:sz w:val="16"/>
      <w:szCs w:val="16"/>
    </w:rPr>
  </w:style>
  <w:style w:type="paragraph" w:customStyle="1" w:styleId="TextoCar">
    <w:name w:val="Texto Car"/>
    <w:basedOn w:val="Normal"/>
    <w:rsid w:val="00BF167B"/>
    <w:pPr>
      <w:spacing w:after="101" w:line="216" w:lineRule="exact"/>
      <w:ind w:firstLine="288"/>
    </w:pPr>
    <w:rPr>
      <w:rFonts w:cs="Arial"/>
      <w:sz w:val="18"/>
      <w:szCs w:val="20"/>
      <w:lang w:val="es-ES" w:eastAsia="es-MX"/>
    </w:rPr>
  </w:style>
  <w:style w:type="paragraph" w:styleId="Textocomentario">
    <w:name w:val="annotation text"/>
    <w:basedOn w:val="Normal"/>
    <w:link w:val="TextocomentarioCar"/>
    <w:uiPriority w:val="99"/>
    <w:rsid w:val="0017432C"/>
    <w:rPr>
      <w:rFonts w:ascii="ITC Avant Garde" w:hAnsi="ITC Avant Garde"/>
      <w:sz w:val="20"/>
      <w:szCs w:val="20"/>
      <w:lang w:val="es-ES"/>
    </w:rPr>
  </w:style>
  <w:style w:type="character" w:customStyle="1" w:styleId="TextocomentarioCar">
    <w:name w:val="Texto comentario Car"/>
    <w:basedOn w:val="Fuentedeprrafopredeter"/>
    <w:link w:val="Textocomentario"/>
    <w:uiPriority w:val="99"/>
    <w:rsid w:val="0017432C"/>
    <w:rPr>
      <w:rFonts w:ascii="ITC Avant Garde" w:eastAsia="Calibri" w:hAnsi="ITC Avant Garde" w:cs="Times New Roman"/>
      <w:sz w:val="20"/>
      <w:szCs w:val="20"/>
      <w:lang w:val="es-ES"/>
    </w:rPr>
  </w:style>
  <w:style w:type="character" w:customStyle="1" w:styleId="estilo71">
    <w:name w:val="estilo71"/>
    <w:rsid w:val="00BF167B"/>
    <w:rPr>
      <w:rFonts w:ascii="Arial" w:hAnsi="Arial" w:cs="Arial" w:hint="default"/>
      <w:sz w:val="15"/>
      <w:szCs w:val="15"/>
    </w:rPr>
  </w:style>
  <w:style w:type="paragraph" w:customStyle="1" w:styleId="contenidos">
    <w:name w:val="contenidos"/>
    <w:basedOn w:val="Normal"/>
    <w:rsid w:val="00BF167B"/>
    <w:pPr>
      <w:spacing w:before="100" w:beforeAutospacing="1" w:after="100" w:afterAutospacing="1"/>
    </w:pPr>
    <w:rPr>
      <w:rFonts w:ascii="Verdana" w:hAnsi="Verdana"/>
      <w:color w:val="000000"/>
      <w:sz w:val="18"/>
      <w:szCs w:val="18"/>
      <w:lang w:val="es-ES"/>
    </w:rPr>
  </w:style>
  <w:style w:type="character" w:customStyle="1" w:styleId="titsecciones1">
    <w:name w:val="titsecciones1"/>
    <w:rsid w:val="00BF167B"/>
    <w:rPr>
      <w:rFonts w:ascii="Arial" w:hAnsi="Arial" w:cs="Arial" w:hint="default"/>
      <w:b/>
      <w:bCs/>
      <w:strike w:val="0"/>
      <w:dstrike w:val="0"/>
      <w:color w:val="8F840D"/>
      <w:sz w:val="24"/>
      <w:szCs w:val="24"/>
      <w:u w:val="none"/>
      <w:effect w:val="none"/>
    </w:rPr>
  </w:style>
  <w:style w:type="character" w:customStyle="1" w:styleId="contenidos1">
    <w:name w:val="contenidos1"/>
    <w:rsid w:val="00BF167B"/>
    <w:rPr>
      <w:rFonts w:ascii="Verdana" w:hAnsi="Verdana" w:hint="default"/>
      <w:color w:val="000000"/>
      <w:sz w:val="18"/>
      <w:szCs w:val="18"/>
    </w:rPr>
  </w:style>
  <w:style w:type="character" w:customStyle="1" w:styleId="linkconta1">
    <w:name w:val="linkconta1"/>
    <w:rsid w:val="00BF167B"/>
    <w:rPr>
      <w:rFonts w:ascii="Verdana" w:hAnsi="Verdana" w:hint="default"/>
      <w:sz w:val="18"/>
      <w:szCs w:val="18"/>
    </w:rPr>
  </w:style>
  <w:style w:type="character" w:styleId="Textoennegrita">
    <w:name w:val="Strong"/>
    <w:qFormat/>
    <w:rsid w:val="00BF167B"/>
    <w:rPr>
      <w:b/>
      <w:bCs/>
    </w:rPr>
  </w:style>
  <w:style w:type="paragraph" w:styleId="Textodebloque">
    <w:name w:val="Block Text"/>
    <w:basedOn w:val="Normal"/>
    <w:rsid w:val="00BF167B"/>
    <w:pPr>
      <w:ind w:left="1134" w:right="1134"/>
    </w:pPr>
    <w:rPr>
      <w:rFonts w:cs="Arial"/>
      <w:sz w:val="20"/>
      <w:lang w:val="es-ES"/>
    </w:rPr>
  </w:style>
  <w:style w:type="character" w:styleId="Hipervnculovisitado">
    <w:name w:val="FollowedHyperlink"/>
    <w:uiPriority w:val="99"/>
    <w:rsid w:val="00BF167B"/>
    <w:rPr>
      <w:color w:val="800080"/>
      <w:u w:val="single"/>
    </w:rPr>
  </w:style>
  <w:style w:type="paragraph" w:styleId="Asuntodelcomentario">
    <w:name w:val="annotation subject"/>
    <w:basedOn w:val="Textocomentario"/>
    <w:next w:val="Textocomentario"/>
    <w:link w:val="AsuntodelcomentarioCar"/>
    <w:uiPriority w:val="99"/>
    <w:unhideWhenUsed/>
    <w:rsid w:val="00BF167B"/>
    <w:rPr>
      <w:b/>
      <w:bCs/>
    </w:rPr>
  </w:style>
  <w:style w:type="character" w:customStyle="1" w:styleId="AsuntodelcomentarioCar">
    <w:name w:val="Asunto del comentario Car"/>
    <w:basedOn w:val="TextocomentarioCar"/>
    <w:link w:val="Asuntodelcomentario"/>
    <w:uiPriority w:val="99"/>
    <w:rsid w:val="00BF167B"/>
    <w:rPr>
      <w:rFonts w:ascii="Times New Roman" w:eastAsia="Times New Roman" w:hAnsi="Times New Roman" w:cs="Times New Roman"/>
      <w:b/>
      <w:bCs/>
      <w:sz w:val="20"/>
      <w:szCs w:val="20"/>
      <w:lang w:val="es-ES" w:eastAsia="es-ES"/>
    </w:rPr>
  </w:style>
  <w:style w:type="paragraph" w:styleId="Lista">
    <w:name w:val="List"/>
    <w:basedOn w:val="Normal"/>
    <w:rsid w:val="00BF167B"/>
    <w:pPr>
      <w:ind w:left="283" w:hanging="283"/>
    </w:pPr>
    <w:rPr>
      <w:rFonts w:ascii="Times New Roman" w:hAnsi="Times New Roman"/>
      <w:sz w:val="24"/>
      <w:lang w:val="es-ES"/>
    </w:rPr>
  </w:style>
  <w:style w:type="paragraph" w:styleId="Lista2">
    <w:name w:val="List 2"/>
    <w:basedOn w:val="Normal"/>
    <w:rsid w:val="00BF167B"/>
    <w:pPr>
      <w:ind w:left="566" w:hanging="283"/>
    </w:pPr>
    <w:rPr>
      <w:rFonts w:ascii="Times New Roman" w:hAnsi="Times New Roman"/>
      <w:sz w:val="24"/>
      <w:lang w:val="es-ES"/>
    </w:rPr>
  </w:style>
  <w:style w:type="paragraph" w:styleId="Lista3">
    <w:name w:val="List 3"/>
    <w:basedOn w:val="Normal"/>
    <w:rsid w:val="00BF167B"/>
    <w:pPr>
      <w:ind w:left="849" w:hanging="283"/>
    </w:pPr>
    <w:rPr>
      <w:rFonts w:ascii="Times New Roman" w:hAnsi="Times New Roman"/>
      <w:sz w:val="24"/>
      <w:lang w:val="es-ES"/>
    </w:rPr>
  </w:style>
  <w:style w:type="paragraph" w:styleId="Encabezadodemensaje">
    <w:name w:val="Message Header"/>
    <w:basedOn w:val="Normal"/>
    <w:link w:val="EncabezadodemensajeCar"/>
    <w:rsid w:val="00BF167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lang w:val="es-ES"/>
    </w:rPr>
  </w:style>
  <w:style w:type="character" w:customStyle="1" w:styleId="EncabezadodemensajeCar">
    <w:name w:val="Encabezado de mensaje Car"/>
    <w:basedOn w:val="Fuentedeprrafopredeter"/>
    <w:link w:val="Encabezadodemensaje"/>
    <w:rsid w:val="00BF167B"/>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BF167B"/>
    <w:rPr>
      <w:rFonts w:ascii="Times New Roman" w:hAnsi="Times New Roman"/>
      <w:sz w:val="24"/>
      <w:lang w:val="es-ES"/>
    </w:rPr>
  </w:style>
  <w:style w:type="character" w:customStyle="1" w:styleId="SaludoCar">
    <w:name w:val="Saludo Car"/>
    <w:basedOn w:val="Fuentedeprrafopredeter"/>
    <w:link w:val="Saludo"/>
    <w:rsid w:val="00BF167B"/>
    <w:rPr>
      <w:rFonts w:ascii="Times New Roman" w:eastAsia="Times New Roman" w:hAnsi="Times New Roman" w:cs="Times New Roman"/>
      <w:sz w:val="24"/>
      <w:szCs w:val="24"/>
      <w:lang w:val="es-ES" w:eastAsia="es-ES"/>
    </w:rPr>
  </w:style>
  <w:style w:type="paragraph" w:styleId="Listaconvietas2">
    <w:name w:val="List Bullet 2"/>
    <w:basedOn w:val="Normal"/>
    <w:link w:val="Listaconvietas2Car"/>
    <w:uiPriority w:val="99"/>
    <w:qFormat/>
    <w:rsid w:val="00BF167B"/>
    <w:pPr>
      <w:numPr>
        <w:numId w:val="1"/>
      </w:numPr>
    </w:pPr>
    <w:rPr>
      <w:rFonts w:ascii="Times New Roman" w:hAnsi="Times New Roman"/>
      <w:sz w:val="24"/>
      <w:lang w:val="es-ES"/>
    </w:rPr>
  </w:style>
  <w:style w:type="paragraph" w:styleId="Continuarlista">
    <w:name w:val="List Continue"/>
    <w:basedOn w:val="Normal"/>
    <w:rsid w:val="00BF167B"/>
    <w:pPr>
      <w:spacing w:after="120"/>
      <w:ind w:left="283"/>
    </w:pPr>
    <w:rPr>
      <w:rFonts w:ascii="Times New Roman" w:hAnsi="Times New Roman"/>
      <w:sz w:val="24"/>
      <w:lang w:val="es-ES"/>
    </w:rPr>
  </w:style>
  <w:style w:type="paragraph" w:customStyle="1" w:styleId="Direccininterior">
    <w:name w:val="Dirección interior"/>
    <w:basedOn w:val="Normal"/>
    <w:rsid w:val="00BF167B"/>
    <w:rPr>
      <w:rFonts w:ascii="Times New Roman" w:hAnsi="Times New Roman"/>
      <w:sz w:val="24"/>
      <w:lang w:val="es-ES"/>
    </w:rPr>
  </w:style>
  <w:style w:type="paragraph" w:customStyle="1" w:styleId="Lneadeasunto">
    <w:name w:val="Línea de asunto"/>
    <w:basedOn w:val="Normal"/>
    <w:rsid w:val="00BF167B"/>
    <w:rPr>
      <w:rFonts w:ascii="Times New Roman" w:hAnsi="Times New Roman"/>
      <w:sz w:val="24"/>
      <w:lang w:val="es-ES"/>
    </w:rPr>
  </w:style>
  <w:style w:type="paragraph" w:customStyle="1" w:styleId="Lneadereferencia">
    <w:name w:val="Línea de referencia"/>
    <w:basedOn w:val="Textoindependiente"/>
    <w:rsid w:val="00BF167B"/>
    <w:rPr>
      <w:sz w:val="24"/>
      <w:szCs w:val="24"/>
      <w:lang w:val="es-ES" w:eastAsia="es-MX"/>
    </w:rPr>
  </w:style>
  <w:style w:type="paragraph" w:styleId="Textoindependienteprimerasangra">
    <w:name w:val="Body Text First Indent"/>
    <w:basedOn w:val="Textoindependiente"/>
    <w:link w:val="TextoindependienteprimerasangraCar"/>
    <w:rsid w:val="00BF167B"/>
    <w:pPr>
      <w:spacing w:after="120"/>
      <w:ind w:firstLine="210"/>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BF167B"/>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BF167B"/>
    <w:pPr>
      <w:spacing w:after="120" w:line="240" w:lineRule="auto"/>
      <w:ind w:left="283" w:firstLine="210"/>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BF167B"/>
    <w:rPr>
      <w:rFonts w:ascii="Times New Roman" w:eastAsia="Times New Roman" w:hAnsi="Times New Roman" w:cs="Times New Roman"/>
      <w:b w:val="0"/>
      <w:sz w:val="24"/>
      <w:szCs w:val="24"/>
      <w:lang w:val="es-ES" w:eastAsia="es-ES"/>
    </w:rPr>
  </w:style>
  <w:style w:type="paragraph" w:styleId="Mapadeldocumento">
    <w:name w:val="Document Map"/>
    <w:basedOn w:val="Normal"/>
    <w:link w:val="MapadeldocumentoCar"/>
    <w:rsid w:val="00BF167B"/>
    <w:pPr>
      <w:shd w:val="clear" w:color="auto" w:fill="000080"/>
    </w:pPr>
    <w:rPr>
      <w:rFonts w:ascii="Tahoma" w:hAnsi="Tahoma" w:cs="Tahoma"/>
      <w:sz w:val="20"/>
      <w:szCs w:val="20"/>
      <w:lang w:val="es-ES"/>
    </w:rPr>
  </w:style>
  <w:style w:type="character" w:customStyle="1" w:styleId="MapadeldocumentoCar">
    <w:name w:val="Mapa del documento Car"/>
    <w:basedOn w:val="Fuentedeprrafopredeter"/>
    <w:link w:val="Mapadeldocumento"/>
    <w:rsid w:val="00BF167B"/>
    <w:rPr>
      <w:rFonts w:ascii="Tahoma" w:eastAsia="Times New Roman" w:hAnsi="Tahoma" w:cs="Tahoma"/>
      <w:sz w:val="20"/>
      <w:szCs w:val="20"/>
      <w:shd w:val="clear" w:color="auto" w:fill="000080"/>
      <w:lang w:val="es-ES" w:eastAsia="es-ES"/>
    </w:rPr>
  </w:style>
  <w:style w:type="paragraph" w:styleId="Sinespaciado">
    <w:name w:val="No Spacing"/>
    <w:uiPriority w:val="1"/>
    <w:qFormat/>
    <w:rsid w:val="00BF167B"/>
    <w:pPr>
      <w:spacing w:after="0" w:line="240" w:lineRule="auto"/>
    </w:pPr>
    <w:rPr>
      <w:rFonts w:ascii="Calibri" w:eastAsia="Calibri" w:hAnsi="Calibri" w:cs="Times New Roman"/>
    </w:rPr>
  </w:style>
  <w:style w:type="paragraph" w:customStyle="1" w:styleId="ANOTACION">
    <w:name w:val="ANOTACION"/>
    <w:basedOn w:val="Normal"/>
    <w:rsid w:val="00BF167B"/>
    <w:pPr>
      <w:spacing w:before="101" w:after="101" w:line="216" w:lineRule="atLeast"/>
      <w:jc w:val="center"/>
    </w:pPr>
    <w:rPr>
      <w:rFonts w:ascii="CG Palacio (WN)" w:hAnsi="CG Palacio (WN)" w:cs="CG Palacio (WN)"/>
      <w:b/>
      <w:sz w:val="18"/>
      <w:szCs w:val="20"/>
      <w:lang w:val="es-ES_tradnl" w:eastAsia="es-MX"/>
    </w:rPr>
  </w:style>
  <w:style w:type="paragraph" w:customStyle="1" w:styleId="CM4">
    <w:name w:val="CM4"/>
    <w:basedOn w:val="Default"/>
    <w:next w:val="Default"/>
    <w:uiPriority w:val="99"/>
    <w:rsid w:val="00BF167B"/>
    <w:pPr>
      <w:widowControl/>
    </w:pPr>
    <w:rPr>
      <w:rFonts w:ascii="EUAlbertina" w:hAnsi="EUAlbertina" w:cs="Times New Roman"/>
      <w:color w:val="auto"/>
    </w:rPr>
  </w:style>
  <w:style w:type="character" w:customStyle="1" w:styleId="eacep1">
    <w:name w:val="eacep1"/>
    <w:rsid w:val="00BF167B"/>
    <w:rPr>
      <w:color w:val="000000"/>
    </w:rPr>
  </w:style>
  <w:style w:type="table" w:styleId="Tablaconcuadrcula">
    <w:name w:val="Table Grid"/>
    <w:basedOn w:val="Tablanormal"/>
    <w:uiPriority w:val="59"/>
    <w:rsid w:val="00BF167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BF167B"/>
    <w:rPr>
      <w:rFonts w:ascii="Arial" w:eastAsia="Times New Roman" w:hAnsi="Arial" w:cs="Times New Roman"/>
      <w:szCs w:val="24"/>
      <w:lang w:eastAsia="es-ES"/>
    </w:rPr>
  </w:style>
  <w:style w:type="paragraph" w:styleId="Listaconvietas">
    <w:name w:val="List Bullet"/>
    <w:basedOn w:val="Normal"/>
    <w:uiPriority w:val="99"/>
    <w:qFormat/>
    <w:rsid w:val="00BF167B"/>
    <w:pPr>
      <w:numPr>
        <w:numId w:val="4"/>
      </w:numPr>
      <w:contextualSpacing/>
    </w:pPr>
  </w:style>
  <w:style w:type="paragraph" w:customStyle="1" w:styleId="Captionsmall">
    <w:name w:val="Caption: small"/>
    <w:basedOn w:val="Descripcin"/>
    <w:next w:val="Normal"/>
    <w:qFormat/>
    <w:rsid w:val="00BF167B"/>
    <w:pPr>
      <w:keepNext/>
      <w:tabs>
        <w:tab w:val="left" w:pos="2041"/>
      </w:tabs>
      <w:spacing w:line="280" w:lineRule="atLeast"/>
      <w:ind w:left="113" w:right="113"/>
    </w:pPr>
    <w:rPr>
      <w:rFonts w:cs="Arial"/>
      <w:b w:val="0"/>
      <w:i/>
      <w:sz w:val="18"/>
      <w:szCs w:val="18"/>
      <w:lang w:val="en-GB"/>
    </w:rPr>
  </w:style>
  <w:style w:type="paragraph" w:customStyle="1" w:styleId="Bordersmall">
    <w:name w:val="Border: small"/>
    <w:basedOn w:val="Normal"/>
    <w:qFormat/>
    <w:rsid w:val="00BF167B"/>
    <w:pPr>
      <w:spacing w:line="320" w:lineRule="atLeast"/>
      <w:jc w:val="center"/>
    </w:pPr>
    <w:rPr>
      <w:rFonts w:ascii="Times New Roman" w:hAnsi="Times New Roman"/>
      <w:lang w:val="en-GB"/>
    </w:rPr>
  </w:style>
  <w:style w:type="paragraph" w:customStyle="1" w:styleId="ListBulletCompact">
    <w:name w:val="List Bullet Compact"/>
    <w:basedOn w:val="Listaconvietas"/>
    <w:qFormat/>
    <w:rsid w:val="00BF167B"/>
    <w:pPr>
      <w:numPr>
        <w:numId w:val="0"/>
      </w:numPr>
      <w:spacing w:line="320" w:lineRule="atLeast"/>
      <w:ind w:left="1440" w:hanging="360"/>
      <w:contextualSpacing w:val="0"/>
    </w:pPr>
    <w:rPr>
      <w:rFonts w:ascii="Times New Roman" w:hAnsi="Times New Roman"/>
      <w:lang w:val="es-ES"/>
    </w:rPr>
  </w:style>
  <w:style w:type="paragraph" w:styleId="Descripcin">
    <w:name w:val="caption"/>
    <w:basedOn w:val="Normal"/>
    <w:next w:val="Normal"/>
    <w:uiPriority w:val="35"/>
    <w:unhideWhenUsed/>
    <w:qFormat/>
    <w:rsid w:val="00BF167B"/>
    <w:rPr>
      <w:b/>
      <w:bCs/>
      <w:sz w:val="20"/>
      <w:szCs w:val="20"/>
    </w:rPr>
  </w:style>
  <w:style w:type="paragraph" w:customStyle="1" w:styleId="I1">
    <w:name w:val="I1"/>
    <w:basedOn w:val="Listaconvietas"/>
    <w:link w:val="I1Char1"/>
    <w:qFormat/>
    <w:rsid w:val="00BF167B"/>
    <w:pPr>
      <w:numPr>
        <w:numId w:val="0"/>
      </w:numPr>
      <w:tabs>
        <w:tab w:val="num" w:pos="360"/>
        <w:tab w:val="num" w:pos="1021"/>
      </w:tabs>
      <w:spacing w:after="240" w:line="320" w:lineRule="atLeast"/>
      <w:ind w:left="357" w:hanging="357"/>
      <w:contextualSpacing w:val="0"/>
    </w:pPr>
    <w:rPr>
      <w:rFonts w:ascii="Times New Roman" w:hAnsi="Times New Roman"/>
      <w:sz w:val="20"/>
      <w:szCs w:val="20"/>
      <w:lang w:val="es-ES"/>
    </w:rPr>
  </w:style>
  <w:style w:type="character" w:customStyle="1" w:styleId="I1Char1">
    <w:name w:val="I1 Char1"/>
    <w:link w:val="I1"/>
    <w:locked/>
    <w:rsid w:val="00BF167B"/>
    <w:rPr>
      <w:rFonts w:ascii="Times New Roman" w:eastAsia="Calibri" w:hAnsi="Times New Roman" w:cs="Times New Roman"/>
      <w:sz w:val="20"/>
      <w:szCs w:val="20"/>
      <w:lang w:val="es-ES" w:eastAsia="es-ES"/>
    </w:rPr>
  </w:style>
  <w:style w:type="paragraph" w:styleId="Listaconnmeros">
    <w:name w:val="List Number"/>
    <w:basedOn w:val="Normal"/>
    <w:uiPriority w:val="99"/>
    <w:rsid w:val="00BF167B"/>
    <w:pPr>
      <w:tabs>
        <w:tab w:val="num" w:pos="360"/>
      </w:tabs>
      <w:spacing w:after="240" w:line="320" w:lineRule="atLeast"/>
      <w:ind w:left="360" w:hanging="360"/>
      <w:contextualSpacing/>
    </w:pPr>
    <w:rPr>
      <w:rFonts w:ascii="Times New Roman" w:hAnsi="Times New Roman"/>
      <w:lang w:val="es-ES"/>
    </w:rPr>
  </w:style>
  <w:style w:type="paragraph" w:customStyle="1" w:styleId="B1">
    <w:name w:val="B1"/>
    <w:basedOn w:val="Normal"/>
    <w:qFormat/>
    <w:rsid w:val="00BF167B"/>
    <w:pPr>
      <w:keepLines/>
      <w:pBdr>
        <w:top w:val="single" w:sz="2" w:space="2" w:color="auto"/>
        <w:bottom w:val="single" w:sz="2" w:space="5" w:color="auto"/>
      </w:pBdr>
      <w:spacing w:after="240" w:line="320" w:lineRule="atLeast"/>
      <w:ind w:left="284" w:right="284"/>
    </w:pPr>
    <w:rPr>
      <w:rFonts w:ascii="Times New Roman" w:hAnsi="Times New Roman"/>
      <w:lang w:val="es-ES"/>
    </w:rPr>
  </w:style>
  <w:style w:type="paragraph" w:customStyle="1" w:styleId="Tablecells">
    <w:name w:val="Table: cells"/>
    <w:qFormat/>
    <w:rsid w:val="00BF167B"/>
    <w:pPr>
      <w:spacing w:before="40" w:after="40" w:line="240" w:lineRule="exact"/>
      <w:ind w:right="113"/>
    </w:pPr>
    <w:rPr>
      <w:rFonts w:ascii="Arial" w:eastAsia="Calibri" w:hAnsi="Arial" w:cs="Times New Roman"/>
      <w:sz w:val="18"/>
      <w:lang w:val="en-GB"/>
    </w:rPr>
  </w:style>
  <w:style w:type="paragraph" w:customStyle="1" w:styleId="Border">
    <w:name w:val="Border"/>
    <w:next w:val="Descripcin"/>
    <w:qFormat/>
    <w:rsid w:val="00BF167B"/>
    <w:pPr>
      <w:spacing w:after="600" w:line="320" w:lineRule="atLeast"/>
      <w:jc w:val="center"/>
    </w:pPr>
    <w:rPr>
      <w:rFonts w:ascii="Times New Roman" w:eastAsia="Calibri" w:hAnsi="Times New Roman" w:cs="Times New Roman"/>
      <w:lang w:val="en-GB"/>
    </w:rPr>
  </w:style>
  <w:style w:type="paragraph" w:customStyle="1" w:styleId="ListBullet2Compact">
    <w:name w:val="List Bullet 2 Compact"/>
    <w:basedOn w:val="Listaconvietas2"/>
    <w:qFormat/>
    <w:rsid w:val="00BF167B"/>
    <w:pPr>
      <w:keepLines/>
      <w:numPr>
        <w:numId w:val="3"/>
      </w:numPr>
      <w:spacing w:line="320" w:lineRule="atLeast"/>
      <w:ind w:left="1077"/>
      <w:jc w:val="both"/>
    </w:pPr>
    <w:rPr>
      <w:sz w:val="22"/>
    </w:rPr>
  </w:style>
  <w:style w:type="paragraph" w:customStyle="1" w:styleId="II">
    <w:name w:val="II"/>
    <w:basedOn w:val="Listaconvietas2"/>
    <w:link w:val="IIChar"/>
    <w:qFormat/>
    <w:rsid w:val="00BF167B"/>
    <w:pPr>
      <w:keepLines/>
      <w:numPr>
        <w:numId w:val="0"/>
      </w:numPr>
      <w:spacing w:after="240" w:line="320" w:lineRule="atLeast"/>
      <w:ind w:left="1077" w:hanging="720"/>
      <w:jc w:val="both"/>
    </w:pPr>
    <w:rPr>
      <w:sz w:val="22"/>
    </w:rPr>
  </w:style>
  <w:style w:type="character" w:customStyle="1" w:styleId="IIChar">
    <w:name w:val="II Char"/>
    <w:link w:val="II"/>
    <w:locked/>
    <w:rsid w:val="00BF167B"/>
    <w:rPr>
      <w:rFonts w:ascii="Times New Roman" w:eastAsia="Calibri" w:hAnsi="Times New Roman" w:cs="Times New Roman"/>
      <w:lang w:val="es-ES"/>
    </w:rPr>
  </w:style>
  <w:style w:type="paragraph" w:customStyle="1" w:styleId="SBSheader">
    <w:name w:val="SBS: header"/>
    <w:basedOn w:val="Normal"/>
    <w:qFormat/>
    <w:rsid w:val="00BF167B"/>
    <w:pPr>
      <w:spacing w:after="240" w:line="320" w:lineRule="atLeast"/>
    </w:pPr>
    <w:rPr>
      <w:rFonts w:ascii="Times New Roman" w:hAnsi="Times New Roman"/>
      <w:i/>
      <w:lang w:val="es-ES"/>
    </w:rPr>
  </w:style>
  <w:style w:type="paragraph" w:customStyle="1" w:styleId="L1">
    <w:name w:val="L1"/>
    <w:basedOn w:val="ListBulletCompact"/>
    <w:link w:val="L1Char"/>
    <w:qFormat/>
    <w:rsid w:val="00BF167B"/>
    <w:pPr>
      <w:tabs>
        <w:tab w:val="num" w:pos="360"/>
        <w:tab w:val="num" w:pos="1021"/>
      </w:tabs>
      <w:ind w:left="357" w:hanging="357"/>
    </w:pPr>
    <w:rPr>
      <w:sz w:val="20"/>
      <w:szCs w:val="20"/>
      <w:lang w:eastAsia="es-ES"/>
    </w:rPr>
  </w:style>
  <w:style w:type="character" w:customStyle="1" w:styleId="L1Char">
    <w:name w:val="L1 Char"/>
    <w:link w:val="L1"/>
    <w:locked/>
    <w:rsid w:val="00BF167B"/>
    <w:rPr>
      <w:rFonts w:ascii="Times New Roman" w:eastAsia="Calibri" w:hAnsi="Times New Roman" w:cs="Times New Roman"/>
      <w:sz w:val="20"/>
      <w:szCs w:val="20"/>
      <w:lang w:val="es-ES" w:eastAsia="es-ES"/>
    </w:rPr>
  </w:style>
  <w:style w:type="character" w:customStyle="1" w:styleId="apple-converted-space">
    <w:name w:val="apple-converted-space"/>
    <w:rsid w:val="00BF167B"/>
  </w:style>
  <w:style w:type="paragraph" w:customStyle="1" w:styleId="Tableheading">
    <w:name w:val="Table: heading"/>
    <w:basedOn w:val="Tablecells"/>
    <w:next w:val="Tablecells"/>
    <w:qFormat/>
    <w:rsid w:val="00BF167B"/>
    <w:pPr>
      <w:keepNext/>
    </w:pPr>
    <w:rPr>
      <w:b/>
      <w:color w:val="FFFFFF"/>
    </w:rPr>
  </w:style>
  <w:style w:type="table" w:customStyle="1" w:styleId="Sombreadomedio2-nfasis11">
    <w:name w:val="Sombreado medio 2 - Énfasis 11"/>
    <w:basedOn w:val="Tablanormal"/>
    <w:uiPriority w:val="64"/>
    <w:rsid w:val="00BF167B"/>
    <w:pPr>
      <w:spacing w:after="0" w:line="240" w:lineRule="auto"/>
    </w:pPr>
    <w:rPr>
      <w:rFonts w:ascii="Calibri" w:eastAsia="Calibri" w:hAnsi="Calibri"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BF167B"/>
    <w:pPr>
      <w:keepLines/>
      <w:pBdr>
        <w:top w:val="single" w:sz="2" w:space="2" w:color="auto"/>
        <w:bottom w:val="single" w:sz="2" w:space="5" w:color="auto"/>
      </w:pBdr>
      <w:spacing w:after="240" w:line="320" w:lineRule="atLeast"/>
      <w:ind w:left="284" w:right="284"/>
    </w:pPr>
    <w:rPr>
      <w:rFonts w:ascii="Times New Roman" w:hAnsi="Times New Roman"/>
      <w:lang w:val="es-ES"/>
    </w:rPr>
  </w:style>
  <w:style w:type="character" w:customStyle="1" w:styleId="HeaderChar">
    <w:name w:val="Header Char"/>
    <w:uiPriority w:val="99"/>
    <w:semiHidden/>
    <w:rsid w:val="00BF167B"/>
    <w:rPr>
      <w:rFonts w:ascii="Arial" w:hAnsi="Arial"/>
      <w:sz w:val="16"/>
    </w:rPr>
  </w:style>
  <w:style w:type="character" w:customStyle="1" w:styleId="Listaconvietas2Car">
    <w:name w:val="Lista con viñetas 2 Car"/>
    <w:link w:val="Listaconvietas2"/>
    <w:uiPriority w:val="99"/>
    <w:rsid w:val="00BF167B"/>
    <w:rPr>
      <w:rFonts w:ascii="Times New Roman" w:eastAsia="Calibri" w:hAnsi="Times New Roman" w:cs="Times New Roman"/>
      <w:sz w:val="24"/>
      <w:lang w:val="es-ES"/>
    </w:rPr>
  </w:style>
  <w:style w:type="character" w:customStyle="1" w:styleId="FooterChar">
    <w:name w:val="Footer Char"/>
    <w:uiPriority w:val="99"/>
    <w:rsid w:val="00BF167B"/>
    <w:rPr>
      <w:rFonts w:ascii="Arial" w:hAnsi="Arial"/>
      <w:sz w:val="16"/>
    </w:rPr>
  </w:style>
  <w:style w:type="paragraph" w:customStyle="1" w:styleId="Annex1">
    <w:name w:val="Annex 1"/>
    <w:next w:val="Normal"/>
    <w:qFormat/>
    <w:rsid w:val="00BF167B"/>
    <w:pPr>
      <w:keepNext/>
      <w:pageBreakBefore/>
      <w:numPr>
        <w:numId w:val="6"/>
      </w:numPr>
      <w:spacing w:after="600" w:line="560" w:lineRule="exact"/>
      <w:outlineLvl w:val="0"/>
    </w:pPr>
    <w:rPr>
      <w:rFonts w:ascii="Times New Roman" w:eastAsia="Calibri" w:hAnsi="Times New Roman" w:cs="Times New Roman"/>
      <w:sz w:val="36"/>
      <w:lang w:val="en-GB"/>
    </w:rPr>
  </w:style>
  <w:style w:type="numbering" w:styleId="1ai">
    <w:name w:val="Outline List 1"/>
    <w:basedOn w:val="Sinlista"/>
    <w:uiPriority w:val="99"/>
    <w:unhideWhenUsed/>
    <w:rsid w:val="00BF167B"/>
    <w:pPr>
      <w:numPr>
        <w:numId w:val="7"/>
      </w:numPr>
    </w:pPr>
  </w:style>
  <w:style w:type="paragraph" w:customStyle="1" w:styleId="LL">
    <w:name w:val="LL"/>
    <w:basedOn w:val="ListBullet2Compact"/>
    <w:rsid w:val="00BF167B"/>
    <w:pPr>
      <w:numPr>
        <w:numId w:val="5"/>
      </w:numPr>
      <w:tabs>
        <w:tab w:val="num" w:pos="720"/>
      </w:tabs>
      <w:ind w:left="714" w:hanging="357"/>
    </w:pPr>
  </w:style>
  <w:style w:type="paragraph" w:customStyle="1" w:styleId="Tablenote">
    <w:name w:val="Table: note"/>
    <w:basedOn w:val="Tablecells"/>
    <w:qFormat/>
    <w:rsid w:val="00BF167B"/>
    <w:pPr>
      <w:pBdr>
        <w:bottom w:val="single" w:sz="4" w:space="9" w:color="auto"/>
      </w:pBdr>
      <w:spacing w:before="100" w:after="0"/>
      <w:ind w:left="357" w:right="0" w:hanging="357"/>
    </w:pPr>
  </w:style>
  <w:style w:type="paragraph" w:customStyle="1" w:styleId="Tablebullet">
    <w:name w:val="Table: bullet"/>
    <w:basedOn w:val="Tablecells"/>
    <w:qFormat/>
    <w:rsid w:val="00BF167B"/>
    <w:pPr>
      <w:numPr>
        <w:numId w:val="8"/>
      </w:numPr>
      <w:ind w:left="227" w:hanging="227"/>
    </w:pPr>
  </w:style>
  <w:style w:type="paragraph" w:styleId="TDC2">
    <w:name w:val="toc 2"/>
    <w:basedOn w:val="TDC1"/>
    <w:next w:val="Normal"/>
    <w:autoRedefine/>
    <w:uiPriority w:val="39"/>
    <w:unhideWhenUsed/>
    <w:rsid w:val="00BF167B"/>
    <w:pPr>
      <w:keepNext w:val="0"/>
      <w:spacing w:before="0"/>
    </w:pPr>
    <w:rPr>
      <w:b w:val="0"/>
      <w:noProof/>
    </w:rPr>
  </w:style>
  <w:style w:type="character" w:customStyle="1" w:styleId="ConfidentialFooter">
    <w:name w:val="ConfidentialFooter"/>
    <w:rsid w:val="00BF167B"/>
    <w:rPr>
      <w:color w:val="FFFFFF"/>
      <w:sz w:val="2"/>
    </w:rPr>
  </w:style>
  <w:style w:type="paragraph" w:customStyle="1" w:styleId="ConfidentialFront">
    <w:name w:val="ConfidentialFront"/>
    <w:basedOn w:val="Normal"/>
    <w:qFormat/>
    <w:rsid w:val="00BF167B"/>
    <w:pPr>
      <w:spacing w:before="960" w:after="240" w:line="320" w:lineRule="atLeast"/>
      <w:ind w:left="5103" w:right="-397"/>
    </w:pPr>
    <w:rPr>
      <w:color w:val="FFFFFF"/>
      <w:sz w:val="2"/>
      <w:lang w:val="en-GB"/>
    </w:rPr>
  </w:style>
  <w:style w:type="paragraph" w:customStyle="1" w:styleId="H5">
    <w:name w:val="H5"/>
    <w:basedOn w:val="Normal"/>
    <w:next w:val="Normal"/>
    <w:link w:val="H5Char"/>
    <w:qFormat/>
    <w:rsid w:val="00BF167B"/>
    <w:pPr>
      <w:keepNext/>
      <w:numPr>
        <w:numId w:val="9"/>
      </w:numPr>
      <w:spacing w:line="320" w:lineRule="atLeast"/>
      <w:ind w:left="357" w:hanging="357"/>
    </w:pPr>
    <w:rPr>
      <w:rFonts w:ascii="Times New Roman" w:hAnsi="Times New Roman"/>
      <w:i/>
      <w:lang w:val="es-ES"/>
    </w:rPr>
  </w:style>
  <w:style w:type="character" w:customStyle="1" w:styleId="H5Char">
    <w:name w:val="H5 Char"/>
    <w:link w:val="H5"/>
    <w:rsid w:val="00BF167B"/>
    <w:rPr>
      <w:rFonts w:ascii="Times New Roman" w:eastAsia="Calibri" w:hAnsi="Times New Roman" w:cs="Times New Roman"/>
      <w:i/>
      <w:lang w:val="es-ES"/>
    </w:rPr>
  </w:style>
  <w:style w:type="paragraph" w:styleId="TDC1">
    <w:name w:val="toc 1"/>
    <w:basedOn w:val="Normal"/>
    <w:next w:val="Normal"/>
    <w:autoRedefine/>
    <w:uiPriority w:val="39"/>
    <w:unhideWhenUsed/>
    <w:rsid w:val="00BF167B"/>
    <w:pPr>
      <w:keepNext/>
      <w:tabs>
        <w:tab w:val="left" w:pos="635"/>
        <w:tab w:val="right" w:pos="8789"/>
      </w:tabs>
      <w:spacing w:before="240" w:line="320" w:lineRule="atLeast"/>
    </w:pPr>
    <w:rPr>
      <w:rFonts w:ascii="Times New Roman" w:hAnsi="Times New Roman"/>
      <w:b/>
      <w:lang w:val="es-ES"/>
    </w:rPr>
  </w:style>
  <w:style w:type="paragraph" w:styleId="TDC3">
    <w:name w:val="toc 3"/>
    <w:basedOn w:val="TDC2"/>
    <w:next w:val="Normal"/>
    <w:autoRedefine/>
    <w:uiPriority w:val="39"/>
    <w:unhideWhenUsed/>
    <w:rsid w:val="00BF167B"/>
    <w:rPr>
      <w:sz w:val="20"/>
    </w:rPr>
  </w:style>
  <w:style w:type="paragraph" w:styleId="TDC4">
    <w:name w:val="toc 4"/>
    <w:basedOn w:val="TDC3"/>
    <w:next w:val="Normal"/>
    <w:autoRedefine/>
    <w:uiPriority w:val="39"/>
    <w:unhideWhenUsed/>
    <w:rsid w:val="00BF167B"/>
  </w:style>
  <w:style w:type="paragraph" w:customStyle="1" w:styleId="Annex2">
    <w:name w:val="Annex 2"/>
    <w:next w:val="Normal"/>
    <w:qFormat/>
    <w:rsid w:val="00BF167B"/>
    <w:pPr>
      <w:keepNext/>
      <w:numPr>
        <w:ilvl w:val="1"/>
        <w:numId w:val="6"/>
      </w:numPr>
      <w:spacing w:before="360" w:line="320" w:lineRule="atLeast"/>
    </w:pPr>
    <w:rPr>
      <w:rFonts w:ascii="Times New Roman" w:eastAsia="Calibri" w:hAnsi="Times New Roman" w:cs="Times New Roman"/>
      <w:b/>
      <w:sz w:val="24"/>
      <w:lang w:val="en-GB"/>
    </w:rPr>
  </w:style>
  <w:style w:type="paragraph" w:customStyle="1" w:styleId="Annex3">
    <w:name w:val="Annex 3"/>
    <w:next w:val="Normal"/>
    <w:qFormat/>
    <w:rsid w:val="00BF167B"/>
    <w:pPr>
      <w:keepNext/>
      <w:numPr>
        <w:ilvl w:val="2"/>
        <w:numId w:val="6"/>
      </w:numPr>
      <w:spacing w:before="360" w:after="240" w:line="320" w:lineRule="atLeast"/>
    </w:pPr>
    <w:rPr>
      <w:rFonts w:ascii="Times New Roman" w:eastAsia="Calibri" w:hAnsi="Times New Roman" w:cs="Times New Roman"/>
      <w:b/>
      <w:lang w:val="en-GB"/>
    </w:rPr>
  </w:style>
  <w:style w:type="paragraph" w:customStyle="1" w:styleId="Annex4">
    <w:name w:val="Annex 4"/>
    <w:next w:val="Normal"/>
    <w:qFormat/>
    <w:rsid w:val="00BF167B"/>
    <w:pPr>
      <w:keepNext/>
      <w:numPr>
        <w:ilvl w:val="3"/>
        <w:numId w:val="6"/>
      </w:numPr>
      <w:spacing w:before="360" w:after="240" w:line="320" w:lineRule="atLeast"/>
    </w:pPr>
    <w:rPr>
      <w:rFonts w:ascii="Times New Roman" w:eastAsia="Calibri" w:hAnsi="Times New Roman" w:cs="Times New Roman"/>
      <w:i/>
      <w:lang w:val="en-GB"/>
    </w:rPr>
  </w:style>
  <w:style w:type="paragraph" w:customStyle="1" w:styleId="cvcont">
    <w:name w:val="cvcont"/>
    <w:basedOn w:val="Normal"/>
    <w:next w:val="Normal"/>
    <w:qFormat/>
    <w:rsid w:val="00BF167B"/>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BF167B"/>
    <w:pPr>
      <w:spacing w:before="2240" w:after="240" w:line="510" w:lineRule="exact"/>
      <w:ind w:left="5103" w:right="-397"/>
    </w:pPr>
    <w:rPr>
      <w:rFonts w:ascii="Arial" w:eastAsia="Times New Roman" w:hAnsi="Arial" w:cs="Times New Roman"/>
      <w:b/>
      <w:bCs/>
      <w:color w:val="003352"/>
      <w:spacing w:val="8"/>
      <w:sz w:val="24"/>
      <w:szCs w:val="24"/>
      <w:lang w:val="es-ES"/>
    </w:rPr>
  </w:style>
  <w:style w:type="paragraph" w:customStyle="1" w:styleId="Titlemain">
    <w:name w:val="Title: main"/>
    <w:next w:val="Titleauthor"/>
    <w:qFormat/>
    <w:rsid w:val="00BF167B"/>
    <w:pPr>
      <w:spacing w:after="40" w:line="510" w:lineRule="exact"/>
      <w:ind w:left="5103" w:right="-397"/>
    </w:pPr>
    <w:rPr>
      <w:rFonts w:ascii="Arial" w:eastAsia="Times New Roman" w:hAnsi="Arial" w:cs="Times New Roman"/>
      <w:bCs/>
      <w:spacing w:val="8"/>
      <w:sz w:val="34"/>
      <w:szCs w:val="34"/>
      <w:lang w:val="en-GB"/>
    </w:rPr>
  </w:style>
  <w:style w:type="paragraph" w:customStyle="1" w:styleId="Titleauthor">
    <w:name w:val="Title: author"/>
    <w:basedOn w:val="Titletype"/>
    <w:next w:val="Titledate"/>
    <w:qFormat/>
    <w:rsid w:val="00BF167B"/>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BF167B"/>
    <w:pPr>
      <w:spacing w:after="160"/>
    </w:pPr>
    <w:rPr>
      <w:i/>
      <w:color w:val="003352"/>
      <w:sz w:val="24"/>
      <w:szCs w:val="24"/>
    </w:rPr>
  </w:style>
  <w:style w:type="paragraph" w:customStyle="1" w:styleId="TitleRefNo">
    <w:name w:val="Title: RefNo"/>
    <w:basedOn w:val="Titledate"/>
    <w:next w:val="Normal"/>
    <w:qFormat/>
    <w:rsid w:val="00BF167B"/>
    <w:rPr>
      <w:i w:val="0"/>
      <w:sz w:val="22"/>
    </w:rPr>
  </w:style>
  <w:style w:type="paragraph" w:customStyle="1" w:styleId="Contentsheading">
    <w:name w:val="Contents: heading"/>
    <w:basedOn w:val="Normal"/>
    <w:next w:val="TDC1"/>
    <w:qFormat/>
    <w:rsid w:val="00BF167B"/>
    <w:pPr>
      <w:spacing w:after="560" w:line="720" w:lineRule="exact"/>
    </w:pPr>
    <w:rPr>
      <w:rFonts w:ascii="Times New Roman" w:hAnsi="Times New Roman"/>
      <w:sz w:val="40"/>
      <w:lang w:val="es-ES"/>
    </w:rPr>
  </w:style>
  <w:style w:type="paragraph" w:customStyle="1" w:styleId="Contentssubsection">
    <w:name w:val="Contents: subsection"/>
    <w:basedOn w:val="Normal"/>
    <w:next w:val="TDC1"/>
    <w:qFormat/>
    <w:rsid w:val="00BF167B"/>
    <w:pPr>
      <w:spacing w:before="360" w:line="320" w:lineRule="atLeast"/>
    </w:pPr>
    <w:rPr>
      <w:rFonts w:ascii="Times New Roman" w:hAnsi="Times New Roman"/>
      <w:b/>
      <w:sz w:val="26"/>
      <w:lang w:val="es-ES"/>
    </w:rPr>
  </w:style>
  <w:style w:type="paragraph" w:customStyle="1" w:styleId="cvhead">
    <w:name w:val="cvhead"/>
    <w:basedOn w:val="Normal"/>
    <w:next w:val="Normal"/>
    <w:qFormat/>
    <w:rsid w:val="00BF167B"/>
    <w:pPr>
      <w:keepNext/>
      <w:spacing w:after="400" w:line="400" w:lineRule="exact"/>
      <w:ind w:left="-499"/>
    </w:pPr>
    <w:rPr>
      <w:rFonts w:ascii="Times New Roman" w:hAnsi="Times New Roman"/>
      <w:b/>
      <w:sz w:val="30"/>
      <w:lang w:val="es-ES"/>
    </w:rPr>
  </w:style>
  <w:style w:type="paragraph" w:customStyle="1" w:styleId="cvsec">
    <w:name w:val="cvsec"/>
    <w:basedOn w:val="Normal"/>
    <w:next w:val="Normal"/>
    <w:qFormat/>
    <w:rsid w:val="00BF167B"/>
    <w:pPr>
      <w:keepNext/>
      <w:spacing w:before="240" w:after="240" w:line="320" w:lineRule="atLeast"/>
      <w:ind w:left="-499"/>
    </w:pPr>
    <w:rPr>
      <w:rFonts w:ascii="Times New Roman" w:hAnsi="Times New Roman"/>
      <w:b/>
      <w:lang w:val="es-ES"/>
    </w:rPr>
  </w:style>
  <w:style w:type="paragraph" w:customStyle="1" w:styleId="01">
    <w:name w:val="01"/>
    <w:basedOn w:val="Normal"/>
    <w:qFormat/>
    <w:rsid w:val="00BF167B"/>
    <w:pPr>
      <w:spacing w:line="320" w:lineRule="atLeast"/>
    </w:pPr>
    <w:rPr>
      <w:rFonts w:ascii="Times New Roman" w:hAnsi="Times New Roman"/>
      <w:lang w:val="es-ES"/>
    </w:rPr>
  </w:style>
  <w:style w:type="paragraph" w:customStyle="1" w:styleId="Titleaddress">
    <w:name w:val="Title: address"/>
    <w:basedOn w:val="01"/>
    <w:qFormat/>
    <w:rsid w:val="00BF167B"/>
    <w:pPr>
      <w:ind w:left="567"/>
    </w:pPr>
  </w:style>
  <w:style w:type="paragraph" w:customStyle="1" w:styleId="Titleversion">
    <w:name w:val="Title: version"/>
    <w:basedOn w:val="Normal"/>
    <w:rsid w:val="00BF167B"/>
    <w:pPr>
      <w:spacing w:after="240" w:line="320" w:lineRule="atLeast"/>
      <w:jc w:val="center"/>
    </w:pPr>
    <w:rPr>
      <w:rFonts w:ascii="Times New Roman" w:hAnsi="Times New Roman"/>
      <w:szCs w:val="20"/>
      <w:lang w:val="es-ES"/>
    </w:rPr>
  </w:style>
  <w:style w:type="paragraph" w:customStyle="1" w:styleId="01-reference">
    <w:name w:val="01-reference"/>
    <w:basedOn w:val="TitleRefNo"/>
    <w:rsid w:val="00BF167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BF167B"/>
  </w:style>
  <w:style w:type="table" w:styleId="Tablaclsica2">
    <w:name w:val="Table Classic 2"/>
    <w:basedOn w:val="Tablanormal"/>
    <w:rsid w:val="00BF167B"/>
    <w:pPr>
      <w:spacing w:after="0" w:line="240" w:lineRule="auto"/>
      <w:jc w:val="both"/>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BF167B"/>
    <w:pPr>
      <w:spacing w:after="0" w:line="240" w:lineRule="auto"/>
      <w:jc w:val="both"/>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1118">
    <w:name w:val="xl1118"/>
    <w:basedOn w:val="Normal"/>
    <w:rsid w:val="00BF167B"/>
    <w:pPr>
      <w:shd w:val="clear" w:color="000000" w:fill="D0FFD0"/>
      <w:spacing w:before="100" w:beforeAutospacing="1" w:after="100" w:afterAutospacing="1"/>
    </w:pPr>
    <w:rPr>
      <w:rFonts w:ascii="Times New Roman" w:hAnsi="Times New Roman"/>
      <w:sz w:val="24"/>
      <w:lang w:eastAsia="es-MX"/>
    </w:rPr>
  </w:style>
  <w:style w:type="paragraph" w:customStyle="1" w:styleId="xl1119">
    <w:name w:val="xl1119"/>
    <w:basedOn w:val="Normal"/>
    <w:rsid w:val="00BF167B"/>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pPr>
    <w:rPr>
      <w:rFonts w:ascii="Times New Roman" w:hAnsi="Times New Roman"/>
      <w:sz w:val="24"/>
      <w:lang w:eastAsia="es-MX"/>
    </w:rPr>
  </w:style>
  <w:style w:type="paragraph" w:customStyle="1" w:styleId="xl1120">
    <w:name w:val="xl1120"/>
    <w:basedOn w:val="Normal"/>
    <w:rsid w:val="00BF167B"/>
    <w:pPr>
      <w:pBdr>
        <w:top w:val="single" w:sz="4" w:space="0" w:color="00C000"/>
        <w:left w:val="single" w:sz="4" w:space="0" w:color="00C000"/>
        <w:bottom w:val="single" w:sz="4" w:space="0" w:color="00C000"/>
        <w:right w:val="single" w:sz="4" w:space="0" w:color="00C000"/>
      </w:pBdr>
      <w:spacing w:before="100" w:beforeAutospacing="1" w:after="100" w:afterAutospacing="1"/>
    </w:pPr>
    <w:rPr>
      <w:rFonts w:ascii="Times New Roman" w:hAnsi="Times New Roman"/>
      <w:sz w:val="24"/>
      <w:lang w:eastAsia="es-MX"/>
    </w:rPr>
  </w:style>
  <w:style w:type="paragraph" w:customStyle="1" w:styleId="xl1121">
    <w:name w:val="xl1121"/>
    <w:basedOn w:val="Normal"/>
    <w:rsid w:val="00BF167B"/>
    <w:pPr>
      <w:pBdr>
        <w:top w:val="single" w:sz="4" w:space="0" w:color="0000FF"/>
        <w:left w:val="single" w:sz="4" w:space="0" w:color="0000FF"/>
        <w:bottom w:val="single" w:sz="4" w:space="0" w:color="0000FF"/>
        <w:right w:val="single" w:sz="4" w:space="0" w:color="0000FF"/>
      </w:pBdr>
      <w:spacing w:before="100" w:beforeAutospacing="1" w:after="100" w:afterAutospacing="1"/>
    </w:pPr>
    <w:rPr>
      <w:rFonts w:ascii="Times New Roman" w:hAnsi="Times New Roman"/>
      <w:sz w:val="24"/>
      <w:lang w:eastAsia="es-MX"/>
    </w:rPr>
  </w:style>
  <w:style w:type="paragraph" w:customStyle="1" w:styleId="xl1122">
    <w:name w:val="xl1122"/>
    <w:basedOn w:val="Normal"/>
    <w:rsid w:val="00BF167B"/>
    <w:pPr>
      <w:pBdr>
        <w:top w:val="single" w:sz="4" w:space="0" w:color="00C000"/>
        <w:left w:val="single" w:sz="4" w:space="0" w:color="00C000"/>
        <w:bottom w:val="single" w:sz="4" w:space="0" w:color="00C000"/>
        <w:right w:val="single" w:sz="4" w:space="0" w:color="00C000"/>
      </w:pBdr>
      <w:spacing w:before="100" w:beforeAutospacing="1" w:after="100" w:afterAutospacing="1"/>
    </w:pPr>
    <w:rPr>
      <w:rFonts w:ascii="Times New Roman" w:hAnsi="Times New Roman"/>
      <w:sz w:val="24"/>
      <w:lang w:eastAsia="es-MX"/>
    </w:rPr>
  </w:style>
  <w:style w:type="paragraph" w:customStyle="1" w:styleId="xl1123">
    <w:name w:val="xl1123"/>
    <w:basedOn w:val="Normal"/>
    <w:rsid w:val="00BF167B"/>
    <w:pPr>
      <w:shd w:val="clear" w:color="000000" w:fill="D0FFD0"/>
      <w:spacing w:before="100" w:beforeAutospacing="1" w:after="100" w:afterAutospacing="1"/>
    </w:pPr>
    <w:rPr>
      <w:rFonts w:ascii="Times New Roman" w:hAnsi="Times New Roman"/>
      <w:sz w:val="24"/>
      <w:lang w:eastAsia="es-MX"/>
    </w:rPr>
  </w:style>
  <w:style w:type="paragraph" w:customStyle="1" w:styleId="xl1125">
    <w:name w:val="xl1125"/>
    <w:basedOn w:val="Normal"/>
    <w:rsid w:val="00BF167B"/>
    <w:pPr>
      <w:pBdr>
        <w:top w:val="dotted" w:sz="4" w:space="0" w:color="00C000"/>
        <w:left w:val="dotted" w:sz="4" w:space="0" w:color="00C000"/>
        <w:bottom w:val="dotted" w:sz="4" w:space="0" w:color="00C000"/>
        <w:right w:val="dotted" w:sz="4" w:space="0" w:color="00C000"/>
      </w:pBdr>
      <w:spacing w:before="100" w:beforeAutospacing="1" w:after="100" w:afterAutospacing="1"/>
    </w:pPr>
    <w:rPr>
      <w:rFonts w:ascii="Times New Roman" w:hAnsi="Times New Roman"/>
      <w:sz w:val="24"/>
      <w:lang w:eastAsia="es-MX"/>
    </w:rPr>
  </w:style>
  <w:style w:type="paragraph" w:customStyle="1" w:styleId="xl1126">
    <w:name w:val="xl1126"/>
    <w:basedOn w:val="Normal"/>
    <w:rsid w:val="00BF167B"/>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pPr>
    <w:rPr>
      <w:rFonts w:ascii="Times New Roman" w:hAnsi="Times New Roman"/>
      <w:sz w:val="24"/>
      <w:lang w:eastAsia="es-MX"/>
    </w:rPr>
  </w:style>
  <w:style w:type="paragraph" w:customStyle="1" w:styleId="xl1127">
    <w:name w:val="xl1127"/>
    <w:basedOn w:val="Normal"/>
    <w:rsid w:val="00BF167B"/>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pPr>
    <w:rPr>
      <w:rFonts w:ascii="Times New Roman" w:hAnsi="Times New Roman"/>
      <w:sz w:val="24"/>
      <w:lang w:eastAsia="es-MX"/>
    </w:rPr>
  </w:style>
  <w:style w:type="paragraph" w:customStyle="1" w:styleId="xl1128">
    <w:name w:val="xl1128"/>
    <w:basedOn w:val="Normal"/>
    <w:rsid w:val="00BF167B"/>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pPr>
    <w:rPr>
      <w:rFonts w:ascii="Times New Roman" w:hAnsi="Times New Roman"/>
      <w:sz w:val="24"/>
      <w:lang w:eastAsia="es-MX"/>
    </w:rPr>
  </w:style>
  <w:style w:type="paragraph" w:styleId="Lista4">
    <w:name w:val="List 4"/>
    <w:basedOn w:val="Normal"/>
    <w:uiPriority w:val="99"/>
    <w:unhideWhenUsed/>
    <w:rsid w:val="00491AD5"/>
    <w:pPr>
      <w:ind w:left="1132" w:hanging="283"/>
      <w:contextualSpacing/>
    </w:pPr>
  </w:style>
  <w:style w:type="paragraph" w:styleId="Listaconvietas3">
    <w:name w:val="List Bullet 3"/>
    <w:basedOn w:val="Normal"/>
    <w:uiPriority w:val="99"/>
    <w:unhideWhenUsed/>
    <w:rsid w:val="00491AD5"/>
    <w:pPr>
      <w:numPr>
        <w:numId w:val="10"/>
      </w:numPr>
      <w:contextualSpacing/>
    </w:pPr>
  </w:style>
  <w:style w:type="paragraph" w:styleId="Encabezadodenota">
    <w:name w:val="Note Heading"/>
    <w:basedOn w:val="Normal"/>
    <w:next w:val="Normal"/>
    <w:link w:val="EncabezadodenotaCar"/>
    <w:uiPriority w:val="99"/>
    <w:unhideWhenUsed/>
    <w:rsid w:val="00491AD5"/>
  </w:style>
  <w:style w:type="character" w:customStyle="1" w:styleId="EncabezadodenotaCar">
    <w:name w:val="Encabezado de nota Car"/>
    <w:basedOn w:val="Fuentedeprrafopredeter"/>
    <w:link w:val="Encabezadodenota"/>
    <w:uiPriority w:val="99"/>
    <w:rsid w:val="00491AD5"/>
    <w:rPr>
      <w:rFonts w:ascii="Arial" w:eastAsia="Times New Roman" w:hAnsi="Arial" w:cs="Times New Roman"/>
      <w:szCs w:val="24"/>
      <w:lang w:eastAsia="es-ES"/>
    </w:rPr>
  </w:style>
  <w:style w:type="character" w:customStyle="1" w:styleId="ROMANOSCar">
    <w:name w:val="ROMANOS Car"/>
    <w:link w:val="ROMANOS"/>
    <w:locked/>
    <w:rsid w:val="00E56BFB"/>
    <w:rPr>
      <w:rFonts w:ascii="Arial" w:eastAsia="Times New Roman" w:hAnsi="Arial" w:cs="Times New Roman"/>
      <w:sz w:val="18"/>
      <w:szCs w:val="20"/>
      <w:lang w:val="es-ES_tradnl" w:eastAsia="es-ES"/>
    </w:rPr>
  </w:style>
  <w:style w:type="paragraph" w:customStyle="1" w:styleId="IFTnormal">
    <w:name w:val="IFT normal"/>
    <w:basedOn w:val="Normal"/>
    <w:qFormat/>
    <w:rsid w:val="00FF39A0"/>
    <w:pPr>
      <w:ind w:left="426"/>
      <w:jc w:val="both"/>
    </w:pPr>
    <w:rPr>
      <w:rFonts w:ascii="ITC Avant Garde" w:eastAsia="Times New Roman" w:hAnsi="ITC Avant Garde"/>
      <w:iCs/>
      <w:lang w:val="es-ES" w:eastAsia="es-MX"/>
    </w:rPr>
  </w:style>
  <w:style w:type="paragraph" w:customStyle="1" w:styleId="Citaiftcalibri">
    <w:name w:val="Cita ift calibri"/>
    <w:basedOn w:val="Textoindependiente"/>
    <w:link w:val="CitaiftcalibriCar"/>
    <w:qFormat/>
    <w:rsid w:val="00BC375B"/>
    <w:pPr>
      <w:spacing w:after="0" w:line="240" w:lineRule="auto"/>
      <w:ind w:left="851" w:right="757"/>
      <w:jc w:val="both"/>
    </w:pPr>
    <w:rPr>
      <w:rFonts w:eastAsia="Times New Roman"/>
      <w:bCs/>
      <w:i/>
      <w:iCs/>
      <w:color w:val="000000"/>
      <w:sz w:val="18"/>
      <w:szCs w:val="18"/>
      <w:lang w:val="x-none" w:eastAsia="es-ES"/>
    </w:rPr>
  </w:style>
  <w:style w:type="character" w:customStyle="1" w:styleId="CitaiftcalibriCar">
    <w:name w:val="Cita ift calibri Car"/>
    <w:link w:val="Citaiftcalibri"/>
    <w:rsid w:val="00BC375B"/>
    <w:rPr>
      <w:rFonts w:ascii="Calibri" w:eastAsia="Times New Roman" w:hAnsi="Calibri" w:cs="Times New Roman"/>
      <w:bCs/>
      <w:i/>
      <w:iCs/>
      <w:color w:val="000000"/>
      <w:sz w:val="18"/>
      <w:szCs w:val="18"/>
      <w:lang w:val="x-none" w:eastAsia="es-ES"/>
    </w:rPr>
  </w:style>
  <w:style w:type="table" w:customStyle="1" w:styleId="Tablaconcuadrcula2">
    <w:name w:val="Tabla con cuadrícula2"/>
    <w:basedOn w:val="Tablanormal"/>
    <w:uiPriority w:val="59"/>
    <w:rsid w:val="00234F5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71098"/>
    <w:pPr>
      <w:spacing w:after="0" w:line="240" w:lineRule="auto"/>
    </w:pPr>
    <w:rPr>
      <w:rFonts w:ascii="Calibri" w:eastAsia="Calibri" w:hAnsi="Calibri" w:cs="Times New Roman"/>
    </w:rPr>
  </w:style>
  <w:style w:type="paragraph" w:styleId="Textonotaalfinal">
    <w:name w:val="endnote text"/>
    <w:basedOn w:val="Normal"/>
    <w:link w:val="TextonotaalfinalCar"/>
    <w:uiPriority w:val="99"/>
    <w:semiHidden/>
    <w:unhideWhenUsed/>
    <w:rsid w:val="002E2DA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E2DA4"/>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2E2D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8602">
      <w:bodyDiv w:val="1"/>
      <w:marLeft w:val="0"/>
      <w:marRight w:val="0"/>
      <w:marTop w:val="0"/>
      <w:marBottom w:val="0"/>
      <w:divBdr>
        <w:top w:val="none" w:sz="0" w:space="0" w:color="auto"/>
        <w:left w:val="none" w:sz="0" w:space="0" w:color="auto"/>
        <w:bottom w:val="none" w:sz="0" w:space="0" w:color="auto"/>
        <w:right w:val="none" w:sz="0" w:space="0" w:color="auto"/>
      </w:divBdr>
    </w:div>
    <w:div w:id="27947746">
      <w:bodyDiv w:val="1"/>
      <w:marLeft w:val="0"/>
      <w:marRight w:val="0"/>
      <w:marTop w:val="0"/>
      <w:marBottom w:val="0"/>
      <w:divBdr>
        <w:top w:val="none" w:sz="0" w:space="0" w:color="auto"/>
        <w:left w:val="none" w:sz="0" w:space="0" w:color="auto"/>
        <w:bottom w:val="none" w:sz="0" w:space="0" w:color="auto"/>
        <w:right w:val="none" w:sz="0" w:space="0" w:color="auto"/>
      </w:divBdr>
    </w:div>
    <w:div w:id="60177757">
      <w:bodyDiv w:val="1"/>
      <w:marLeft w:val="0"/>
      <w:marRight w:val="0"/>
      <w:marTop w:val="0"/>
      <w:marBottom w:val="0"/>
      <w:divBdr>
        <w:top w:val="none" w:sz="0" w:space="0" w:color="auto"/>
        <w:left w:val="none" w:sz="0" w:space="0" w:color="auto"/>
        <w:bottom w:val="none" w:sz="0" w:space="0" w:color="auto"/>
        <w:right w:val="none" w:sz="0" w:space="0" w:color="auto"/>
      </w:divBdr>
    </w:div>
    <w:div w:id="67310763">
      <w:bodyDiv w:val="1"/>
      <w:marLeft w:val="0"/>
      <w:marRight w:val="0"/>
      <w:marTop w:val="0"/>
      <w:marBottom w:val="0"/>
      <w:divBdr>
        <w:top w:val="none" w:sz="0" w:space="0" w:color="auto"/>
        <w:left w:val="none" w:sz="0" w:space="0" w:color="auto"/>
        <w:bottom w:val="none" w:sz="0" w:space="0" w:color="auto"/>
        <w:right w:val="none" w:sz="0" w:space="0" w:color="auto"/>
      </w:divBdr>
    </w:div>
    <w:div w:id="76021876">
      <w:bodyDiv w:val="1"/>
      <w:marLeft w:val="0"/>
      <w:marRight w:val="0"/>
      <w:marTop w:val="0"/>
      <w:marBottom w:val="0"/>
      <w:divBdr>
        <w:top w:val="none" w:sz="0" w:space="0" w:color="auto"/>
        <w:left w:val="none" w:sz="0" w:space="0" w:color="auto"/>
        <w:bottom w:val="none" w:sz="0" w:space="0" w:color="auto"/>
        <w:right w:val="none" w:sz="0" w:space="0" w:color="auto"/>
      </w:divBdr>
    </w:div>
    <w:div w:id="109865078">
      <w:bodyDiv w:val="1"/>
      <w:marLeft w:val="0"/>
      <w:marRight w:val="0"/>
      <w:marTop w:val="0"/>
      <w:marBottom w:val="0"/>
      <w:divBdr>
        <w:top w:val="none" w:sz="0" w:space="0" w:color="auto"/>
        <w:left w:val="none" w:sz="0" w:space="0" w:color="auto"/>
        <w:bottom w:val="none" w:sz="0" w:space="0" w:color="auto"/>
        <w:right w:val="none" w:sz="0" w:space="0" w:color="auto"/>
      </w:divBdr>
    </w:div>
    <w:div w:id="164050403">
      <w:bodyDiv w:val="1"/>
      <w:marLeft w:val="0"/>
      <w:marRight w:val="0"/>
      <w:marTop w:val="0"/>
      <w:marBottom w:val="0"/>
      <w:divBdr>
        <w:top w:val="none" w:sz="0" w:space="0" w:color="auto"/>
        <w:left w:val="none" w:sz="0" w:space="0" w:color="auto"/>
        <w:bottom w:val="none" w:sz="0" w:space="0" w:color="auto"/>
        <w:right w:val="none" w:sz="0" w:space="0" w:color="auto"/>
      </w:divBdr>
    </w:div>
    <w:div w:id="192811248">
      <w:bodyDiv w:val="1"/>
      <w:marLeft w:val="0"/>
      <w:marRight w:val="0"/>
      <w:marTop w:val="0"/>
      <w:marBottom w:val="0"/>
      <w:divBdr>
        <w:top w:val="none" w:sz="0" w:space="0" w:color="auto"/>
        <w:left w:val="none" w:sz="0" w:space="0" w:color="auto"/>
        <w:bottom w:val="none" w:sz="0" w:space="0" w:color="auto"/>
        <w:right w:val="none" w:sz="0" w:space="0" w:color="auto"/>
      </w:divBdr>
    </w:div>
    <w:div w:id="214585504">
      <w:bodyDiv w:val="1"/>
      <w:marLeft w:val="0"/>
      <w:marRight w:val="0"/>
      <w:marTop w:val="0"/>
      <w:marBottom w:val="0"/>
      <w:divBdr>
        <w:top w:val="none" w:sz="0" w:space="0" w:color="auto"/>
        <w:left w:val="none" w:sz="0" w:space="0" w:color="auto"/>
        <w:bottom w:val="none" w:sz="0" w:space="0" w:color="auto"/>
        <w:right w:val="none" w:sz="0" w:space="0" w:color="auto"/>
      </w:divBdr>
    </w:div>
    <w:div w:id="270547958">
      <w:bodyDiv w:val="1"/>
      <w:marLeft w:val="0"/>
      <w:marRight w:val="0"/>
      <w:marTop w:val="0"/>
      <w:marBottom w:val="0"/>
      <w:divBdr>
        <w:top w:val="none" w:sz="0" w:space="0" w:color="auto"/>
        <w:left w:val="none" w:sz="0" w:space="0" w:color="auto"/>
        <w:bottom w:val="none" w:sz="0" w:space="0" w:color="auto"/>
        <w:right w:val="none" w:sz="0" w:space="0" w:color="auto"/>
      </w:divBdr>
    </w:div>
    <w:div w:id="330255560">
      <w:bodyDiv w:val="1"/>
      <w:marLeft w:val="0"/>
      <w:marRight w:val="0"/>
      <w:marTop w:val="0"/>
      <w:marBottom w:val="0"/>
      <w:divBdr>
        <w:top w:val="none" w:sz="0" w:space="0" w:color="auto"/>
        <w:left w:val="none" w:sz="0" w:space="0" w:color="auto"/>
        <w:bottom w:val="none" w:sz="0" w:space="0" w:color="auto"/>
        <w:right w:val="none" w:sz="0" w:space="0" w:color="auto"/>
      </w:divBdr>
    </w:div>
    <w:div w:id="351491747">
      <w:bodyDiv w:val="1"/>
      <w:marLeft w:val="0"/>
      <w:marRight w:val="0"/>
      <w:marTop w:val="0"/>
      <w:marBottom w:val="0"/>
      <w:divBdr>
        <w:top w:val="none" w:sz="0" w:space="0" w:color="auto"/>
        <w:left w:val="none" w:sz="0" w:space="0" w:color="auto"/>
        <w:bottom w:val="none" w:sz="0" w:space="0" w:color="auto"/>
        <w:right w:val="none" w:sz="0" w:space="0" w:color="auto"/>
      </w:divBdr>
    </w:div>
    <w:div w:id="352070104">
      <w:bodyDiv w:val="1"/>
      <w:marLeft w:val="0"/>
      <w:marRight w:val="0"/>
      <w:marTop w:val="0"/>
      <w:marBottom w:val="0"/>
      <w:divBdr>
        <w:top w:val="none" w:sz="0" w:space="0" w:color="auto"/>
        <w:left w:val="none" w:sz="0" w:space="0" w:color="auto"/>
        <w:bottom w:val="none" w:sz="0" w:space="0" w:color="auto"/>
        <w:right w:val="none" w:sz="0" w:space="0" w:color="auto"/>
      </w:divBdr>
    </w:div>
    <w:div w:id="441925831">
      <w:bodyDiv w:val="1"/>
      <w:marLeft w:val="0"/>
      <w:marRight w:val="0"/>
      <w:marTop w:val="0"/>
      <w:marBottom w:val="0"/>
      <w:divBdr>
        <w:top w:val="none" w:sz="0" w:space="0" w:color="auto"/>
        <w:left w:val="none" w:sz="0" w:space="0" w:color="auto"/>
        <w:bottom w:val="none" w:sz="0" w:space="0" w:color="auto"/>
        <w:right w:val="none" w:sz="0" w:space="0" w:color="auto"/>
      </w:divBdr>
    </w:div>
    <w:div w:id="452479424">
      <w:bodyDiv w:val="1"/>
      <w:marLeft w:val="0"/>
      <w:marRight w:val="0"/>
      <w:marTop w:val="0"/>
      <w:marBottom w:val="0"/>
      <w:divBdr>
        <w:top w:val="none" w:sz="0" w:space="0" w:color="auto"/>
        <w:left w:val="none" w:sz="0" w:space="0" w:color="auto"/>
        <w:bottom w:val="none" w:sz="0" w:space="0" w:color="auto"/>
        <w:right w:val="none" w:sz="0" w:space="0" w:color="auto"/>
      </w:divBdr>
    </w:div>
    <w:div w:id="544221042">
      <w:bodyDiv w:val="1"/>
      <w:marLeft w:val="0"/>
      <w:marRight w:val="0"/>
      <w:marTop w:val="0"/>
      <w:marBottom w:val="0"/>
      <w:divBdr>
        <w:top w:val="none" w:sz="0" w:space="0" w:color="auto"/>
        <w:left w:val="none" w:sz="0" w:space="0" w:color="auto"/>
        <w:bottom w:val="none" w:sz="0" w:space="0" w:color="auto"/>
        <w:right w:val="none" w:sz="0" w:space="0" w:color="auto"/>
      </w:divBdr>
      <w:divsChild>
        <w:div w:id="1626278727">
          <w:marLeft w:val="446"/>
          <w:marRight w:val="0"/>
          <w:marTop w:val="0"/>
          <w:marBottom w:val="0"/>
          <w:divBdr>
            <w:top w:val="none" w:sz="0" w:space="0" w:color="auto"/>
            <w:left w:val="none" w:sz="0" w:space="0" w:color="auto"/>
            <w:bottom w:val="none" w:sz="0" w:space="0" w:color="auto"/>
            <w:right w:val="none" w:sz="0" w:space="0" w:color="auto"/>
          </w:divBdr>
        </w:div>
      </w:divsChild>
    </w:div>
    <w:div w:id="562954756">
      <w:bodyDiv w:val="1"/>
      <w:marLeft w:val="0"/>
      <w:marRight w:val="0"/>
      <w:marTop w:val="0"/>
      <w:marBottom w:val="0"/>
      <w:divBdr>
        <w:top w:val="none" w:sz="0" w:space="0" w:color="auto"/>
        <w:left w:val="none" w:sz="0" w:space="0" w:color="auto"/>
        <w:bottom w:val="none" w:sz="0" w:space="0" w:color="auto"/>
        <w:right w:val="none" w:sz="0" w:space="0" w:color="auto"/>
      </w:divBdr>
    </w:div>
    <w:div w:id="565149444">
      <w:bodyDiv w:val="1"/>
      <w:marLeft w:val="0"/>
      <w:marRight w:val="0"/>
      <w:marTop w:val="0"/>
      <w:marBottom w:val="0"/>
      <w:divBdr>
        <w:top w:val="none" w:sz="0" w:space="0" w:color="auto"/>
        <w:left w:val="none" w:sz="0" w:space="0" w:color="auto"/>
        <w:bottom w:val="none" w:sz="0" w:space="0" w:color="auto"/>
        <w:right w:val="none" w:sz="0" w:space="0" w:color="auto"/>
      </w:divBdr>
    </w:div>
    <w:div w:id="630718690">
      <w:bodyDiv w:val="1"/>
      <w:marLeft w:val="0"/>
      <w:marRight w:val="0"/>
      <w:marTop w:val="0"/>
      <w:marBottom w:val="0"/>
      <w:divBdr>
        <w:top w:val="none" w:sz="0" w:space="0" w:color="auto"/>
        <w:left w:val="none" w:sz="0" w:space="0" w:color="auto"/>
        <w:bottom w:val="none" w:sz="0" w:space="0" w:color="auto"/>
        <w:right w:val="none" w:sz="0" w:space="0" w:color="auto"/>
      </w:divBdr>
    </w:div>
    <w:div w:id="658190766">
      <w:bodyDiv w:val="1"/>
      <w:marLeft w:val="0"/>
      <w:marRight w:val="0"/>
      <w:marTop w:val="0"/>
      <w:marBottom w:val="0"/>
      <w:divBdr>
        <w:top w:val="none" w:sz="0" w:space="0" w:color="auto"/>
        <w:left w:val="none" w:sz="0" w:space="0" w:color="auto"/>
        <w:bottom w:val="none" w:sz="0" w:space="0" w:color="auto"/>
        <w:right w:val="none" w:sz="0" w:space="0" w:color="auto"/>
      </w:divBdr>
    </w:div>
    <w:div w:id="675034808">
      <w:bodyDiv w:val="1"/>
      <w:marLeft w:val="0"/>
      <w:marRight w:val="0"/>
      <w:marTop w:val="0"/>
      <w:marBottom w:val="0"/>
      <w:divBdr>
        <w:top w:val="none" w:sz="0" w:space="0" w:color="auto"/>
        <w:left w:val="none" w:sz="0" w:space="0" w:color="auto"/>
        <w:bottom w:val="none" w:sz="0" w:space="0" w:color="auto"/>
        <w:right w:val="none" w:sz="0" w:space="0" w:color="auto"/>
      </w:divBdr>
    </w:div>
    <w:div w:id="688486454">
      <w:bodyDiv w:val="1"/>
      <w:marLeft w:val="0"/>
      <w:marRight w:val="0"/>
      <w:marTop w:val="0"/>
      <w:marBottom w:val="0"/>
      <w:divBdr>
        <w:top w:val="none" w:sz="0" w:space="0" w:color="auto"/>
        <w:left w:val="none" w:sz="0" w:space="0" w:color="auto"/>
        <w:bottom w:val="none" w:sz="0" w:space="0" w:color="auto"/>
        <w:right w:val="none" w:sz="0" w:space="0" w:color="auto"/>
      </w:divBdr>
    </w:div>
    <w:div w:id="689649740">
      <w:bodyDiv w:val="1"/>
      <w:marLeft w:val="0"/>
      <w:marRight w:val="0"/>
      <w:marTop w:val="0"/>
      <w:marBottom w:val="0"/>
      <w:divBdr>
        <w:top w:val="none" w:sz="0" w:space="0" w:color="auto"/>
        <w:left w:val="none" w:sz="0" w:space="0" w:color="auto"/>
        <w:bottom w:val="none" w:sz="0" w:space="0" w:color="auto"/>
        <w:right w:val="none" w:sz="0" w:space="0" w:color="auto"/>
      </w:divBdr>
    </w:div>
    <w:div w:id="785270845">
      <w:bodyDiv w:val="1"/>
      <w:marLeft w:val="0"/>
      <w:marRight w:val="0"/>
      <w:marTop w:val="0"/>
      <w:marBottom w:val="0"/>
      <w:divBdr>
        <w:top w:val="none" w:sz="0" w:space="0" w:color="auto"/>
        <w:left w:val="none" w:sz="0" w:space="0" w:color="auto"/>
        <w:bottom w:val="none" w:sz="0" w:space="0" w:color="auto"/>
        <w:right w:val="none" w:sz="0" w:space="0" w:color="auto"/>
      </w:divBdr>
    </w:div>
    <w:div w:id="824779742">
      <w:bodyDiv w:val="1"/>
      <w:marLeft w:val="0"/>
      <w:marRight w:val="0"/>
      <w:marTop w:val="0"/>
      <w:marBottom w:val="0"/>
      <w:divBdr>
        <w:top w:val="none" w:sz="0" w:space="0" w:color="auto"/>
        <w:left w:val="none" w:sz="0" w:space="0" w:color="auto"/>
        <w:bottom w:val="none" w:sz="0" w:space="0" w:color="auto"/>
        <w:right w:val="none" w:sz="0" w:space="0" w:color="auto"/>
      </w:divBdr>
    </w:div>
    <w:div w:id="832909717">
      <w:bodyDiv w:val="1"/>
      <w:marLeft w:val="0"/>
      <w:marRight w:val="0"/>
      <w:marTop w:val="0"/>
      <w:marBottom w:val="0"/>
      <w:divBdr>
        <w:top w:val="none" w:sz="0" w:space="0" w:color="auto"/>
        <w:left w:val="none" w:sz="0" w:space="0" w:color="auto"/>
        <w:bottom w:val="none" w:sz="0" w:space="0" w:color="auto"/>
        <w:right w:val="none" w:sz="0" w:space="0" w:color="auto"/>
      </w:divBdr>
    </w:div>
    <w:div w:id="880092885">
      <w:bodyDiv w:val="1"/>
      <w:marLeft w:val="0"/>
      <w:marRight w:val="0"/>
      <w:marTop w:val="0"/>
      <w:marBottom w:val="0"/>
      <w:divBdr>
        <w:top w:val="none" w:sz="0" w:space="0" w:color="auto"/>
        <w:left w:val="none" w:sz="0" w:space="0" w:color="auto"/>
        <w:bottom w:val="none" w:sz="0" w:space="0" w:color="auto"/>
        <w:right w:val="none" w:sz="0" w:space="0" w:color="auto"/>
      </w:divBdr>
    </w:div>
    <w:div w:id="899897938">
      <w:bodyDiv w:val="1"/>
      <w:marLeft w:val="0"/>
      <w:marRight w:val="0"/>
      <w:marTop w:val="0"/>
      <w:marBottom w:val="0"/>
      <w:divBdr>
        <w:top w:val="none" w:sz="0" w:space="0" w:color="auto"/>
        <w:left w:val="none" w:sz="0" w:space="0" w:color="auto"/>
        <w:bottom w:val="none" w:sz="0" w:space="0" w:color="auto"/>
        <w:right w:val="none" w:sz="0" w:space="0" w:color="auto"/>
      </w:divBdr>
    </w:div>
    <w:div w:id="922644409">
      <w:bodyDiv w:val="1"/>
      <w:marLeft w:val="0"/>
      <w:marRight w:val="0"/>
      <w:marTop w:val="0"/>
      <w:marBottom w:val="0"/>
      <w:divBdr>
        <w:top w:val="none" w:sz="0" w:space="0" w:color="auto"/>
        <w:left w:val="none" w:sz="0" w:space="0" w:color="auto"/>
        <w:bottom w:val="none" w:sz="0" w:space="0" w:color="auto"/>
        <w:right w:val="none" w:sz="0" w:space="0" w:color="auto"/>
      </w:divBdr>
    </w:div>
    <w:div w:id="933707560">
      <w:bodyDiv w:val="1"/>
      <w:marLeft w:val="0"/>
      <w:marRight w:val="0"/>
      <w:marTop w:val="0"/>
      <w:marBottom w:val="0"/>
      <w:divBdr>
        <w:top w:val="none" w:sz="0" w:space="0" w:color="auto"/>
        <w:left w:val="none" w:sz="0" w:space="0" w:color="auto"/>
        <w:bottom w:val="none" w:sz="0" w:space="0" w:color="auto"/>
        <w:right w:val="none" w:sz="0" w:space="0" w:color="auto"/>
      </w:divBdr>
    </w:div>
    <w:div w:id="1011954533">
      <w:bodyDiv w:val="1"/>
      <w:marLeft w:val="0"/>
      <w:marRight w:val="0"/>
      <w:marTop w:val="0"/>
      <w:marBottom w:val="0"/>
      <w:divBdr>
        <w:top w:val="none" w:sz="0" w:space="0" w:color="auto"/>
        <w:left w:val="none" w:sz="0" w:space="0" w:color="auto"/>
        <w:bottom w:val="none" w:sz="0" w:space="0" w:color="auto"/>
        <w:right w:val="none" w:sz="0" w:space="0" w:color="auto"/>
      </w:divBdr>
    </w:div>
    <w:div w:id="1020472907">
      <w:bodyDiv w:val="1"/>
      <w:marLeft w:val="0"/>
      <w:marRight w:val="0"/>
      <w:marTop w:val="0"/>
      <w:marBottom w:val="0"/>
      <w:divBdr>
        <w:top w:val="none" w:sz="0" w:space="0" w:color="auto"/>
        <w:left w:val="none" w:sz="0" w:space="0" w:color="auto"/>
        <w:bottom w:val="none" w:sz="0" w:space="0" w:color="auto"/>
        <w:right w:val="none" w:sz="0" w:space="0" w:color="auto"/>
      </w:divBdr>
    </w:div>
    <w:div w:id="1034236996">
      <w:bodyDiv w:val="1"/>
      <w:marLeft w:val="0"/>
      <w:marRight w:val="0"/>
      <w:marTop w:val="0"/>
      <w:marBottom w:val="0"/>
      <w:divBdr>
        <w:top w:val="none" w:sz="0" w:space="0" w:color="auto"/>
        <w:left w:val="none" w:sz="0" w:space="0" w:color="auto"/>
        <w:bottom w:val="none" w:sz="0" w:space="0" w:color="auto"/>
        <w:right w:val="none" w:sz="0" w:space="0" w:color="auto"/>
      </w:divBdr>
    </w:div>
    <w:div w:id="1044721427">
      <w:bodyDiv w:val="1"/>
      <w:marLeft w:val="0"/>
      <w:marRight w:val="0"/>
      <w:marTop w:val="0"/>
      <w:marBottom w:val="0"/>
      <w:divBdr>
        <w:top w:val="none" w:sz="0" w:space="0" w:color="auto"/>
        <w:left w:val="none" w:sz="0" w:space="0" w:color="auto"/>
        <w:bottom w:val="none" w:sz="0" w:space="0" w:color="auto"/>
        <w:right w:val="none" w:sz="0" w:space="0" w:color="auto"/>
      </w:divBdr>
    </w:div>
    <w:div w:id="1066756527">
      <w:bodyDiv w:val="1"/>
      <w:marLeft w:val="0"/>
      <w:marRight w:val="0"/>
      <w:marTop w:val="0"/>
      <w:marBottom w:val="0"/>
      <w:divBdr>
        <w:top w:val="none" w:sz="0" w:space="0" w:color="auto"/>
        <w:left w:val="none" w:sz="0" w:space="0" w:color="auto"/>
        <w:bottom w:val="none" w:sz="0" w:space="0" w:color="auto"/>
        <w:right w:val="none" w:sz="0" w:space="0" w:color="auto"/>
      </w:divBdr>
    </w:div>
    <w:div w:id="1084181175">
      <w:bodyDiv w:val="1"/>
      <w:marLeft w:val="0"/>
      <w:marRight w:val="0"/>
      <w:marTop w:val="0"/>
      <w:marBottom w:val="0"/>
      <w:divBdr>
        <w:top w:val="none" w:sz="0" w:space="0" w:color="auto"/>
        <w:left w:val="none" w:sz="0" w:space="0" w:color="auto"/>
        <w:bottom w:val="none" w:sz="0" w:space="0" w:color="auto"/>
        <w:right w:val="none" w:sz="0" w:space="0" w:color="auto"/>
      </w:divBdr>
    </w:div>
    <w:div w:id="1119030405">
      <w:bodyDiv w:val="1"/>
      <w:marLeft w:val="0"/>
      <w:marRight w:val="0"/>
      <w:marTop w:val="0"/>
      <w:marBottom w:val="0"/>
      <w:divBdr>
        <w:top w:val="none" w:sz="0" w:space="0" w:color="auto"/>
        <w:left w:val="none" w:sz="0" w:space="0" w:color="auto"/>
        <w:bottom w:val="none" w:sz="0" w:space="0" w:color="auto"/>
        <w:right w:val="none" w:sz="0" w:space="0" w:color="auto"/>
      </w:divBdr>
    </w:div>
    <w:div w:id="1131827907">
      <w:bodyDiv w:val="1"/>
      <w:marLeft w:val="0"/>
      <w:marRight w:val="0"/>
      <w:marTop w:val="0"/>
      <w:marBottom w:val="0"/>
      <w:divBdr>
        <w:top w:val="none" w:sz="0" w:space="0" w:color="auto"/>
        <w:left w:val="none" w:sz="0" w:space="0" w:color="auto"/>
        <w:bottom w:val="none" w:sz="0" w:space="0" w:color="auto"/>
        <w:right w:val="none" w:sz="0" w:space="0" w:color="auto"/>
      </w:divBdr>
    </w:div>
    <w:div w:id="1146583678">
      <w:bodyDiv w:val="1"/>
      <w:marLeft w:val="0"/>
      <w:marRight w:val="0"/>
      <w:marTop w:val="0"/>
      <w:marBottom w:val="0"/>
      <w:divBdr>
        <w:top w:val="none" w:sz="0" w:space="0" w:color="auto"/>
        <w:left w:val="none" w:sz="0" w:space="0" w:color="auto"/>
        <w:bottom w:val="none" w:sz="0" w:space="0" w:color="auto"/>
        <w:right w:val="none" w:sz="0" w:space="0" w:color="auto"/>
      </w:divBdr>
    </w:div>
    <w:div w:id="1220360179">
      <w:bodyDiv w:val="1"/>
      <w:marLeft w:val="0"/>
      <w:marRight w:val="0"/>
      <w:marTop w:val="0"/>
      <w:marBottom w:val="0"/>
      <w:divBdr>
        <w:top w:val="none" w:sz="0" w:space="0" w:color="auto"/>
        <w:left w:val="none" w:sz="0" w:space="0" w:color="auto"/>
        <w:bottom w:val="none" w:sz="0" w:space="0" w:color="auto"/>
        <w:right w:val="none" w:sz="0" w:space="0" w:color="auto"/>
      </w:divBdr>
    </w:div>
    <w:div w:id="1223322290">
      <w:bodyDiv w:val="1"/>
      <w:marLeft w:val="0"/>
      <w:marRight w:val="0"/>
      <w:marTop w:val="0"/>
      <w:marBottom w:val="0"/>
      <w:divBdr>
        <w:top w:val="none" w:sz="0" w:space="0" w:color="auto"/>
        <w:left w:val="none" w:sz="0" w:space="0" w:color="auto"/>
        <w:bottom w:val="none" w:sz="0" w:space="0" w:color="auto"/>
        <w:right w:val="none" w:sz="0" w:space="0" w:color="auto"/>
      </w:divBdr>
    </w:div>
    <w:div w:id="1247496379">
      <w:bodyDiv w:val="1"/>
      <w:marLeft w:val="0"/>
      <w:marRight w:val="0"/>
      <w:marTop w:val="0"/>
      <w:marBottom w:val="0"/>
      <w:divBdr>
        <w:top w:val="none" w:sz="0" w:space="0" w:color="auto"/>
        <w:left w:val="none" w:sz="0" w:space="0" w:color="auto"/>
        <w:bottom w:val="none" w:sz="0" w:space="0" w:color="auto"/>
        <w:right w:val="none" w:sz="0" w:space="0" w:color="auto"/>
      </w:divBdr>
    </w:div>
    <w:div w:id="1352563943">
      <w:bodyDiv w:val="1"/>
      <w:marLeft w:val="0"/>
      <w:marRight w:val="0"/>
      <w:marTop w:val="0"/>
      <w:marBottom w:val="0"/>
      <w:divBdr>
        <w:top w:val="none" w:sz="0" w:space="0" w:color="auto"/>
        <w:left w:val="none" w:sz="0" w:space="0" w:color="auto"/>
        <w:bottom w:val="none" w:sz="0" w:space="0" w:color="auto"/>
        <w:right w:val="none" w:sz="0" w:space="0" w:color="auto"/>
      </w:divBdr>
    </w:div>
    <w:div w:id="1447582955">
      <w:bodyDiv w:val="1"/>
      <w:marLeft w:val="0"/>
      <w:marRight w:val="0"/>
      <w:marTop w:val="0"/>
      <w:marBottom w:val="0"/>
      <w:divBdr>
        <w:top w:val="none" w:sz="0" w:space="0" w:color="auto"/>
        <w:left w:val="none" w:sz="0" w:space="0" w:color="auto"/>
        <w:bottom w:val="none" w:sz="0" w:space="0" w:color="auto"/>
        <w:right w:val="none" w:sz="0" w:space="0" w:color="auto"/>
      </w:divBdr>
    </w:div>
    <w:div w:id="1453281064">
      <w:bodyDiv w:val="1"/>
      <w:marLeft w:val="0"/>
      <w:marRight w:val="0"/>
      <w:marTop w:val="0"/>
      <w:marBottom w:val="0"/>
      <w:divBdr>
        <w:top w:val="none" w:sz="0" w:space="0" w:color="auto"/>
        <w:left w:val="none" w:sz="0" w:space="0" w:color="auto"/>
        <w:bottom w:val="none" w:sz="0" w:space="0" w:color="auto"/>
        <w:right w:val="none" w:sz="0" w:space="0" w:color="auto"/>
      </w:divBdr>
    </w:div>
    <w:div w:id="1480459843">
      <w:bodyDiv w:val="1"/>
      <w:marLeft w:val="0"/>
      <w:marRight w:val="0"/>
      <w:marTop w:val="0"/>
      <w:marBottom w:val="0"/>
      <w:divBdr>
        <w:top w:val="none" w:sz="0" w:space="0" w:color="auto"/>
        <w:left w:val="none" w:sz="0" w:space="0" w:color="auto"/>
        <w:bottom w:val="none" w:sz="0" w:space="0" w:color="auto"/>
        <w:right w:val="none" w:sz="0" w:space="0" w:color="auto"/>
      </w:divBdr>
      <w:divsChild>
        <w:div w:id="354884858">
          <w:marLeft w:val="274"/>
          <w:marRight w:val="0"/>
          <w:marTop w:val="0"/>
          <w:marBottom w:val="0"/>
          <w:divBdr>
            <w:top w:val="none" w:sz="0" w:space="0" w:color="auto"/>
            <w:left w:val="none" w:sz="0" w:space="0" w:color="auto"/>
            <w:bottom w:val="none" w:sz="0" w:space="0" w:color="auto"/>
            <w:right w:val="none" w:sz="0" w:space="0" w:color="auto"/>
          </w:divBdr>
        </w:div>
        <w:div w:id="142164302">
          <w:marLeft w:val="274"/>
          <w:marRight w:val="0"/>
          <w:marTop w:val="0"/>
          <w:marBottom w:val="0"/>
          <w:divBdr>
            <w:top w:val="none" w:sz="0" w:space="0" w:color="auto"/>
            <w:left w:val="none" w:sz="0" w:space="0" w:color="auto"/>
            <w:bottom w:val="none" w:sz="0" w:space="0" w:color="auto"/>
            <w:right w:val="none" w:sz="0" w:space="0" w:color="auto"/>
          </w:divBdr>
        </w:div>
        <w:div w:id="1412236280">
          <w:marLeft w:val="274"/>
          <w:marRight w:val="0"/>
          <w:marTop w:val="0"/>
          <w:marBottom w:val="0"/>
          <w:divBdr>
            <w:top w:val="none" w:sz="0" w:space="0" w:color="auto"/>
            <w:left w:val="none" w:sz="0" w:space="0" w:color="auto"/>
            <w:bottom w:val="none" w:sz="0" w:space="0" w:color="auto"/>
            <w:right w:val="none" w:sz="0" w:space="0" w:color="auto"/>
          </w:divBdr>
        </w:div>
      </w:divsChild>
    </w:div>
    <w:div w:id="1485313084">
      <w:bodyDiv w:val="1"/>
      <w:marLeft w:val="0"/>
      <w:marRight w:val="0"/>
      <w:marTop w:val="0"/>
      <w:marBottom w:val="0"/>
      <w:divBdr>
        <w:top w:val="none" w:sz="0" w:space="0" w:color="auto"/>
        <w:left w:val="none" w:sz="0" w:space="0" w:color="auto"/>
        <w:bottom w:val="none" w:sz="0" w:space="0" w:color="auto"/>
        <w:right w:val="none" w:sz="0" w:space="0" w:color="auto"/>
      </w:divBdr>
    </w:div>
    <w:div w:id="1489907613">
      <w:bodyDiv w:val="1"/>
      <w:marLeft w:val="0"/>
      <w:marRight w:val="0"/>
      <w:marTop w:val="0"/>
      <w:marBottom w:val="0"/>
      <w:divBdr>
        <w:top w:val="none" w:sz="0" w:space="0" w:color="auto"/>
        <w:left w:val="none" w:sz="0" w:space="0" w:color="auto"/>
        <w:bottom w:val="none" w:sz="0" w:space="0" w:color="auto"/>
        <w:right w:val="none" w:sz="0" w:space="0" w:color="auto"/>
      </w:divBdr>
    </w:div>
    <w:div w:id="1541747084">
      <w:bodyDiv w:val="1"/>
      <w:marLeft w:val="0"/>
      <w:marRight w:val="0"/>
      <w:marTop w:val="0"/>
      <w:marBottom w:val="0"/>
      <w:divBdr>
        <w:top w:val="none" w:sz="0" w:space="0" w:color="auto"/>
        <w:left w:val="none" w:sz="0" w:space="0" w:color="auto"/>
        <w:bottom w:val="none" w:sz="0" w:space="0" w:color="auto"/>
        <w:right w:val="none" w:sz="0" w:space="0" w:color="auto"/>
      </w:divBdr>
    </w:div>
    <w:div w:id="1564370838">
      <w:bodyDiv w:val="1"/>
      <w:marLeft w:val="0"/>
      <w:marRight w:val="0"/>
      <w:marTop w:val="0"/>
      <w:marBottom w:val="0"/>
      <w:divBdr>
        <w:top w:val="none" w:sz="0" w:space="0" w:color="auto"/>
        <w:left w:val="none" w:sz="0" w:space="0" w:color="auto"/>
        <w:bottom w:val="none" w:sz="0" w:space="0" w:color="auto"/>
        <w:right w:val="none" w:sz="0" w:space="0" w:color="auto"/>
      </w:divBdr>
    </w:div>
    <w:div w:id="1609779671">
      <w:bodyDiv w:val="1"/>
      <w:marLeft w:val="0"/>
      <w:marRight w:val="0"/>
      <w:marTop w:val="0"/>
      <w:marBottom w:val="0"/>
      <w:divBdr>
        <w:top w:val="none" w:sz="0" w:space="0" w:color="auto"/>
        <w:left w:val="none" w:sz="0" w:space="0" w:color="auto"/>
        <w:bottom w:val="none" w:sz="0" w:space="0" w:color="auto"/>
        <w:right w:val="none" w:sz="0" w:space="0" w:color="auto"/>
      </w:divBdr>
    </w:div>
    <w:div w:id="1645743004">
      <w:bodyDiv w:val="1"/>
      <w:marLeft w:val="0"/>
      <w:marRight w:val="0"/>
      <w:marTop w:val="0"/>
      <w:marBottom w:val="0"/>
      <w:divBdr>
        <w:top w:val="none" w:sz="0" w:space="0" w:color="auto"/>
        <w:left w:val="none" w:sz="0" w:space="0" w:color="auto"/>
        <w:bottom w:val="none" w:sz="0" w:space="0" w:color="auto"/>
        <w:right w:val="none" w:sz="0" w:space="0" w:color="auto"/>
      </w:divBdr>
    </w:div>
    <w:div w:id="1704556871">
      <w:bodyDiv w:val="1"/>
      <w:marLeft w:val="0"/>
      <w:marRight w:val="0"/>
      <w:marTop w:val="0"/>
      <w:marBottom w:val="0"/>
      <w:divBdr>
        <w:top w:val="none" w:sz="0" w:space="0" w:color="auto"/>
        <w:left w:val="none" w:sz="0" w:space="0" w:color="auto"/>
        <w:bottom w:val="none" w:sz="0" w:space="0" w:color="auto"/>
        <w:right w:val="none" w:sz="0" w:space="0" w:color="auto"/>
      </w:divBdr>
    </w:div>
    <w:div w:id="1719552557">
      <w:bodyDiv w:val="1"/>
      <w:marLeft w:val="0"/>
      <w:marRight w:val="0"/>
      <w:marTop w:val="0"/>
      <w:marBottom w:val="0"/>
      <w:divBdr>
        <w:top w:val="none" w:sz="0" w:space="0" w:color="auto"/>
        <w:left w:val="none" w:sz="0" w:space="0" w:color="auto"/>
        <w:bottom w:val="none" w:sz="0" w:space="0" w:color="auto"/>
        <w:right w:val="none" w:sz="0" w:space="0" w:color="auto"/>
      </w:divBdr>
    </w:div>
    <w:div w:id="1726563814">
      <w:bodyDiv w:val="1"/>
      <w:marLeft w:val="0"/>
      <w:marRight w:val="0"/>
      <w:marTop w:val="0"/>
      <w:marBottom w:val="0"/>
      <w:divBdr>
        <w:top w:val="none" w:sz="0" w:space="0" w:color="auto"/>
        <w:left w:val="none" w:sz="0" w:space="0" w:color="auto"/>
        <w:bottom w:val="none" w:sz="0" w:space="0" w:color="auto"/>
        <w:right w:val="none" w:sz="0" w:space="0" w:color="auto"/>
      </w:divBdr>
      <w:divsChild>
        <w:div w:id="113522950">
          <w:marLeft w:val="0"/>
          <w:marRight w:val="0"/>
          <w:marTop w:val="0"/>
          <w:marBottom w:val="0"/>
          <w:divBdr>
            <w:top w:val="none" w:sz="0" w:space="0" w:color="auto"/>
            <w:left w:val="none" w:sz="0" w:space="0" w:color="auto"/>
            <w:bottom w:val="none" w:sz="0" w:space="0" w:color="auto"/>
            <w:right w:val="none" w:sz="0" w:space="0" w:color="auto"/>
          </w:divBdr>
          <w:divsChild>
            <w:div w:id="1218203090">
              <w:marLeft w:val="240"/>
              <w:marRight w:val="0"/>
              <w:marTop w:val="0"/>
              <w:marBottom w:val="0"/>
              <w:divBdr>
                <w:top w:val="none" w:sz="0" w:space="0" w:color="auto"/>
                <w:left w:val="none" w:sz="0" w:space="0" w:color="auto"/>
                <w:bottom w:val="none" w:sz="0" w:space="0" w:color="auto"/>
                <w:right w:val="none" w:sz="0" w:space="0" w:color="auto"/>
              </w:divBdr>
              <w:divsChild>
                <w:div w:id="182041355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654800884">
          <w:marLeft w:val="0"/>
          <w:marRight w:val="0"/>
          <w:marTop w:val="0"/>
          <w:marBottom w:val="0"/>
          <w:divBdr>
            <w:top w:val="none" w:sz="0" w:space="0" w:color="auto"/>
            <w:left w:val="none" w:sz="0" w:space="0" w:color="auto"/>
            <w:bottom w:val="none" w:sz="0" w:space="0" w:color="auto"/>
            <w:right w:val="none" w:sz="0" w:space="0" w:color="auto"/>
          </w:divBdr>
        </w:div>
      </w:divsChild>
    </w:div>
    <w:div w:id="1744646596">
      <w:bodyDiv w:val="1"/>
      <w:marLeft w:val="0"/>
      <w:marRight w:val="0"/>
      <w:marTop w:val="0"/>
      <w:marBottom w:val="0"/>
      <w:divBdr>
        <w:top w:val="none" w:sz="0" w:space="0" w:color="auto"/>
        <w:left w:val="none" w:sz="0" w:space="0" w:color="auto"/>
        <w:bottom w:val="none" w:sz="0" w:space="0" w:color="auto"/>
        <w:right w:val="none" w:sz="0" w:space="0" w:color="auto"/>
      </w:divBdr>
    </w:div>
    <w:div w:id="1763531543">
      <w:bodyDiv w:val="1"/>
      <w:marLeft w:val="0"/>
      <w:marRight w:val="0"/>
      <w:marTop w:val="0"/>
      <w:marBottom w:val="0"/>
      <w:divBdr>
        <w:top w:val="none" w:sz="0" w:space="0" w:color="auto"/>
        <w:left w:val="none" w:sz="0" w:space="0" w:color="auto"/>
        <w:bottom w:val="none" w:sz="0" w:space="0" w:color="auto"/>
        <w:right w:val="none" w:sz="0" w:space="0" w:color="auto"/>
      </w:divBdr>
    </w:div>
    <w:div w:id="1799181823">
      <w:bodyDiv w:val="1"/>
      <w:marLeft w:val="0"/>
      <w:marRight w:val="0"/>
      <w:marTop w:val="0"/>
      <w:marBottom w:val="0"/>
      <w:divBdr>
        <w:top w:val="none" w:sz="0" w:space="0" w:color="auto"/>
        <w:left w:val="none" w:sz="0" w:space="0" w:color="auto"/>
        <w:bottom w:val="none" w:sz="0" w:space="0" w:color="auto"/>
        <w:right w:val="none" w:sz="0" w:space="0" w:color="auto"/>
      </w:divBdr>
    </w:div>
    <w:div w:id="1826386755">
      <w:bodyDiv w:val="1"/>
      <w:marLeft w:val="0"/>
      <w:marRight w:val="0"/>
      <w:marTop w:val="0"/>
      <w:marBottom w:val="0"/>
      <w:divBdr>
        <w:top w:val="none" w:sz="0" w:space="0" w:color="auto"/>
        <w:left w:val="none" w:sz="0" w:space="0" w:color="auto"/>
        <w:bottom w:val="none" w:sz="0" w:space="0" w:color="auto"/>
        <w:right w:val="none" w:sz="0" w:space="0" w:color="auto"/>
      </w:divBdr>
    </w:div>
    <w:div w:id="1975023194">
      <w:bodyDiv w:val="1"/>
      <w:marLeft w:val="0"/>
      <w:marRight w:val="0"/>
      <w:marTop w:val="0"/>
      <w:marBottom w:val="0"/>
      <w:divBdr>
        <w:top w:val="none" w:sz="0" w:space="0" w:color="auto"/>
        <w:left w:val="none" w:sz="0" w:space="0" w:color="auto"/>
        <w:bottom w:val="none" w:sz="0" w:space="0" w:color="auto"/>
        <w:right w:val="none" w:sz="0" w:space="0" w:color="auto"/>
      </w:divBdr>
    </w:div>
    <w:div w:id="2006393266">
      <w:bodyDiv w:val="1"/>
      <w:marLeft w:val="0"/>
      <w:marRight w:val="0"/>
      <w:marTop w:val="0"/>
      <w:marBottom w:val="0"/>
      <w:divBdr>
        <w:top w:val="none" w:sz="0" w:space="0" w:color="auto"/>
        <w:left w:val="none" w:sz="0" w:space="0" w:color="auto"/>
        <w:bottom w:val="none" w:sz="0" w:space="0" w:color="auto"/>
        <w:right w:val="none" w:sz="0" w:space="0" w:color="auto"/>
      </w:divBdr>
    </w:div>
    <w:div w:id="2020227514">
      <w:bodyDiv w:val="1"/>
      <w:marLeft w:val="0"/>
      <w:marRight w:val="0"/>
      <w:marTop w:val="0"/>
      <w:marBottom w:val="0"/>
      <w:divBdr>
        <w:top w:val="none" w:sz="0" w:space="0" w:color="auto"/>
        <w:left w:val="none" w:sz="0" w:space="0" w:color="auto"/>
        <w:bottom w:val="none" w:sz="0" w:space="0" w:color="auto"/>
        <w:right w:val="none" w:sz="0" w:space="0" w:color="auto"/>
      </w:divBdr>
    </w:div>
    <w:div w:id="2043242034">
      <w:bodyDiv w:val="1"/>
      <w:marLeft w:val="0"/>
      <w:marRight w:val="0"/>
      <w:marTop w:val="0"/>
      <w:marBottom w:val="0"/>
      <w:divBdr>
        <w:top w:val="none" w:sz="0" w:space="0" w:color="auto"/>
        <w:left w:val="none" w:sz="0" w:space="0" w:color="auto"/>
        <w:bottom w:val="none" w:sz="0" w:space="0" w:color="auto"/>
        <w:right w:val="none" w:sz="0" w:space="0" w:color="auto"/>
      </w:divBdr>
    </w:div>
    <w:div w:id="2079664486">
      <w:bodyDiv w:val="1"/>
      <w:marLeft w:val="0"/>
      <w:marRight w:val="0"/>
      <w:marTop w:val="0"/>
      <w:marBottom w:val="0"/>
      <w:divBdr>
        <w:top w:val="none" w:sz="0" w:space="0" w:color="auto"/>
        <w:left w:val="none" w:sz="0" w:space="0" w:color="auto"/>
        <w:bottom w:val="none" w:sz="0" w:space="0" w:color="auto"/>
        <w:right w:val="none" w:sz="0" w:space="0" w:color="auto"/>
      </w:divBdr>
    </w:div>
    <w:div w:id="2090732597">
      <w:bodyDiv w:val="1"/>
      <w:marLeft w:val="0"/>
      <w:marRight w:val="0"/>
      <w:marTop w:val="0"/>
      <w:marBottom w:val="0"/>
      <w:divBdr>
        <w:top w:val="none" w:sz="0" w:space="0" w:color="auto"/>
        <w:left w:val="none" w:sz="0" w:space="0" w:color="auto"/>
        <w:bottom w:val="none" w:sz="0" w:space="0" w:color="auto"/>
        <w:right w:val="none" w:sz="0" w:space="0" w:color="auto"/>
      </w:divBdr>
    </w:div>
    <w:div w:id="2101444261">
      <w:bodyDiv w:val="1"/>
      <w:marLeft w:val="0"/>
      <w:marRight w:val="0"/>
      <w:marTop w:val="0"/>
      <w:marBottom w:val="0"/>
      <w:divBdr>
        <w:top w:val="none" w:sz="0" w:space="0" w:color="auto"/>
        <w:left w:val="none" w:sz="0" w:space="0" w:color="auto"/>
        <w:bottom w:val="none" w:sz="0" w:space="0" w:color="auto"/>
        <w:right w:val="none" w:sz="0" w:space="0" w:color="auto"/>
      </w:divBdr>
    </w:div>
    <w:div w:id="2106031332">
      <w:bodyDiv w:val="1"/>
      <w:marLeft w:val="0"/>
      <w:marRight w:val="0"/>
      <w:marTop w:val="0"/>
      <w:marBottom w:val="0"/>
      <w:divBdr>
        <w:top w:val="none" w:sz="0" w:space="0" w:color="auto"/>
        <w:left w:val="none" w:sz="0" w:space="0" w:color="auto"/>
        <w:bottom w:val="none" w:sz="0" w:space="0" w:color="auto"/>
        <w:right w:val="none" w:sz="0" w:space="0" w:color="auto"/>
      </w:divBdr>
    </w:div>
    <w:div w:id="2126194958">
      <w:bodyDiv w:val="1"/>
      <w:marLeft w:val="0"/>
      <w:marRight w:val="0"/>
      <w:marTop w:val="0"/>
      <w:marBottom w:val="0"/>
      <w:divBdr>
        <w:top w:val="none" w:sz="0" w:space="0" w:color="auto"/>
        <w:left w:val="none" w:sz="0" w:space="0" w:color="auto"/>
        <w:bottom w:val="none" w:sz="0" w:space="0" w:color="auto"/>
        <w:right w:val="none" w:sz="0" w:space="0" w:color="auto"/>
      </w:divBdr>
    </w:div>
    <w:div w:id="21431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868e326f67f1874abd819807f958e9d8">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F494F-2C81-4318-B967-FABF80A4EF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82D298-7651-432D-B1E1-46F87BBC78DA}">
  <ds:schemaRefs>
    <ds:schemaRef ds:uri="http://schemas.microsoft.com/sharepoint/v3/contenttype/forms"/>
  </ds:schemaRefs>
</ds:datastoreItem>
</file>

<file path=customXml/itemProps3.xml><?xml version="1.0" encoding="utf-8"?>
<ds:datastoreItem xmlns:ds="http://schemas.openxmlformats.org/officeDocument/2006/customXml" ds:itemID="{10ED4E15-99A9-4F70-B0BB-6541F7996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F04111-5BF9-4F77-9E1B-67238233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3678</Words>
  <Characters>20235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lrendon</dc:creator>
  <cp:keywords/>
  <dc:description/>
  <cp:lastModifiedBy>Maria del Consuelo Gonzalez Moreno</cp:lastModifiedBy>
  <cp:revision>4</cp:revision>
  <cp:lastPrinted>2015-08-19T21:04:00Z</cp:lastPrinted>
  <dcterms:created xsi:type="dcterms:W3CDTF">2017-06-29T19:13:00Z</dcterms:created>
  <dcterms:modified xsi:type="dcterms:W3CDTF">2017-07-06T18:39:00Z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y fmtid="{D5CDD505-2E9C-101B-9397-08002B2CF9AE}" pid="3" name="Order">
    <vt:r8>56800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