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B3" w:rsidRPr="00DF04D5" w:rsidRDefault="00EB2296" w:rsidP="00DF04D5">
      <w:pPr>
        <w:pStyle w:val="Ttulo1"/>
        <w:spacing w:after="240" w:line="240" w:lineRule="auto"/>
        <w:jc w:val="both"/>
        <w:rPr>
          <w:rFonts w:ascii="ITC Avant Garde" w:eastAsia="Times New Roman" w:hAnsi="ITC Avant Garde"/>
          <w:b/>
          <w:color w:val="000000" w:themeColor="text1"/>
          <w:sz w:val="22"/>
          <w:szCs w:val="22"/>
          <w:lang w:val="es-ES_tradnl" w:eastAsia="es-ES"/>
        </w:rPr>
      </w:pPr>
      <w:r w:rsidRPr="00DF04D5">
        <w:rPr>
          <w:rFonts w:ascii="ITC Avant Garde" w:hAnsi="ITC Avant Garde"/>
          <w:b/>
          <w:color w:val="000000" w:themeColor="text1"/>
          <w:sz w:val="22"/>
          <w:szCs w:val="22"/>
          <w:lang w:eastAsia="es-MX"/>
        </w:rPr>
        <w:t xml:space="preserve">RESOLUCIÓN MEDIANTE LA CUAL EL PLENO DEL INSTITUTO FEDERAL DE TELECOMUNICACIONES </w:t>
      </w:r>
      <w:r w:rsidR="00DF6AB8" w:rsidRPr="00DF04D5">
        <w:rPr>
          <w:rFonts w:ascii="ITC Avant Garde" w:hAnsi="ITC Avant Garde"/>
          <w:b/>
          <w:color w:val="000000" w:themeColor="text1"/>
          <w:sz w:val="22"/>
          <w:szCs w:val="22"/>
          <w:lang w:eastAsia="es-MX"/>
        </w:rPr>
        <w:t>AUTORIZA LA</w:t>
      </w:r>
      <w:r w:rsidRPr="00DF04D5">
        <w:rPr>
          <w:rFonts w:ascii="ITC Avant Garde" w:hAnsi="ITC Avant Garde"/>
          <w:b/>
          <w:color w:val="000000" w:themeColor="text1"/>
          <w:sz w:val="22"/>
          <w:szCs w:val="22"/>
          <w:lang w:eastAsia="es-MX"/>
        </w:rPr>
        <w:t xml:space="preserve"> TRANSICIÓN </w:t>
      </w:r>
      <w:r w:rsidR="00DF6AB8" w:rsidRPr="00DF04D5">
        <w:rPr>
          <w:rFonts w:ascii="ITC Avant Garde" w:hAnsi="ITC Avant Garde"/>
          <w:b/>
          <w:color w:val="000000" w:themeColor="text1"/>
          <w:sz w:val="22"/>
          <w:szCs w:val="22"/>
          <w:lang w:eastAsia="es-MX"/>
        </w:rPr>
        <w:t xml:space="preserve">DE </w:t>
      </w:r>
      <w:r w:rsidR="006A30DE" w:rsidRPr="00DF04D5">
        <w:rPr>
          <w:rFonts w:ascii="ITC Avant Garde" w:hAnsi="ITC Avant Garde"/>
          <w:b/>
          <w:color w:val="000000" w:themeColor="text1"/>
          <w:sz w:val="22"/>
          <w:szCs w:val="22"/>
          <w:lang w:eastAsia="es-MX"/>
        </w:rPr>
        <w:t>UN</w:t>
      </w:r>
      <w:r w:rsidR="00FA6EBD" w:rsidRPr="00DF04D5">
        <w:rPr>
          <w:rFonts w:ascii="ITC Avant Garde" w:hAnsi="ITC Avant Garde"/>
          <w:b/>
          <w:color w:val="000000" w:themeColor="text1"/>
          <w:sz w:val="22"/>
          <w:szCs w:val="22"/>
          <w:lang w:eastAsia="es-MX"/>
        </w:rPr>
        <w:t xml:space="preserve"> </w:t>
      </w:r>
      <w:r w:rsidR="00DF6AB8" w:rsidRPr="00DF04D5">
        <w:rPr>
          <w:rFonts w:ascii="ITC Avant Garde" w:hAnsi="ITC Avant Garde"/>
          <w:b/>
          <w:color w:val="000000" w:themeColor="text1"/>
          <w:sz w:val="22"/>
          <w:szCs w:val="22"/>
          <w:lang w:eastAsia="es-MX"/>
        </w:rPr>
        <w:t xml:space="preserve">PERMISO DE RADIODIFUSIÓN AL RÉGIMEN DE CONCESIÓN DE LA LEY FEDERAL DE TELECOMUNICACIONES Y RADIODIFUSIÓN, PARA LO CUAL </w:t>
      </w:r>
      <w:r w:rsidRPr="00DF04D5">
        <w:rPr>
          <w:rFonts w:ascii="ITC Avant Garde" w:hAnsi="ITC Avant Garde"/>
          <w:b/>
          <w:color w:val="000000" w:themeColor="text1"/>
          <w:sz w:val="22"/>
          <w:szCs w:val="22"/>
          <w:lang w:eastAsia="es-MX"/>
        </w:rPr>
        <w:t xml:space="preserve">OTORGA </w:t>
      </w:r>
      <w:r w:rsidR="006A30DE" w:rsidRPr="00DF04D5">
        <w:rPr>
          <w:rFonts w:ascii="ITC Avant Garde" w:hAnsi="ITC Avant Garde"/>
          <w:b/>
          <w:color w:val="000000" w:themeColor="text1"/>
          <w:sz w:val="22"/>
          <w:szCs w:val="22"/>
          <w:lang w:eastAsia="es-MX"/>
        </w:rPr>
        <w:t xml:space="preserve"> A FAVOR DE PATRONATO PRO-ESTACIÓN RADIODIFUSORA DEL INSTITUTO TECNOLÓGICO REGIONAL DE CELAYA, A.C. </w:t>
      </w:r>
      <w:r w:rsidRPr="00DF04D5">
        <w:rPr>
          <w:rFonts w:ascii="ITC Avant Garde" w:hAnsi="ITC Avant Garde"/>
          <w:b/>
          <w:color w:val="000000" w:themeColor="text1"/>
          <w:sz w:val="22"/>
          <w:szCs w:val="22"/>
          <w:lang w:eastAsia="es-MX"/>
        </w:rPr>
        <w:t xml:space="preserve">UNA CONCESIÓN </w:t>
      </w:r>
      <w:r w:rsidRPr="00DF04D5">
        <w:rPr>
          <w:rFonts w:ascii="ITC Avant Garde" w:eastAsia="Times New Roman" w:hAnsi="ITC Avant Garde"/>
          <w:b/>
          <w:color w:val="000000" w:themeColor="text1"/>
          <w:sz w:val="22"/>
          <w:szCs w:val="22"/>
          <w:lang w:val="es-ES_tradnl" w:eastAsia="es-ES"/>
        </w:rPr>
        <w:t>PARA USAR Y APROVECHAR BANDAS DE FRECUENCIA</w:t>
      </w:r>
      <w:r w:rsidR="009C218E" w:rsidRPr="00DF04D5">
        <w:rPr>
          <w:rFonts w:ascii="ITC Avant Garde" w:eastAsia="Times New Roman" w:hAnsi="ITC Avant Garde"/>
          <w:b/>
          <w:color w:val="000000" w:themeColor="text1"/>
          <w:sz w:val="22"/>
          <w:szCs w:val="22"/>
          <w:lang w:val="es-ES_tradnl" w:eastAsia="es-ES"/>
        </w:rPr>
        <w:t>S</w:t>
      </w:r>
      <w:r w:rsidRPr="00DF04D5">
        <w:rPr>
          <w:rFonts w:ascii="ITC Avant Garde" w:eastAsia="Times New Roman" w:hAnsi="ITC Avant Garde"/>
          <w:b/>
          <w:color w:val="000000" w:themeColor="text1"/>
          <w:sz w:val="22"/>
          <w:szCs w:val="22"/>
          <w:lang w:val="es-ES_tradnl" w:eastAsia="es-ES"/>
        </w:rPr>
        <w:t xml:space="preserve"> DEL ESPECTRO RADIOELÉCTRICO</w:t>
      </w:r>
      <w:r w:rsidRPr="00DF04D5">
        <w:rPr>
          <w:rFonts w:ascii="ITC Avant Garde" w:hAnsi="ITC Avant Garde"/>
          <w:b/>
          <w:color w:val="000000" w:themeColor="text1"/>
          <w:sz w:val="22"/>
          <w:szCs w:val="22"/>
          <w:lang w:eastAsia="es-MX"/>
        </w:rPr>
        <w:t xml:space="preserve"> </w:t>
      </w:r>
      <w:r w:rsidR="009C218E" w:rsidRPr="00DF04D5">
        <w:rPr>
          <w:rFonts w:ascii="ITC Avant Garde" w:hAnsi="ITC Avant Garde"/>
          <w:b/>
          <w:color w:val="000000" w:themeColor="text1"/>
          <w:sz w:val="22"/>
          <w:szCs w:val="22"/>
        </w:rPr>
        <w:t xml:space="preserve">PARA LA PRESTACIÓN DEL SERVICIO PÚBLICO DE RADIODIFUSIÓN SONORA </w:t>
      </w:r>
      <w:r w:rsidR="00026299" w:rsidRPr="00DF04D5">
        <w:rPr>
          <w:rFonts w:ascii="ITC Avant Garde" w:hAnsi="ITC Avant Garde"/>
          <w:b/>
          <w:color w:val="000000" w:themeColor="text1"/>
          <w:sz w:val="22"/>
          <w:szCs w:val="22"/>
        </w:rPr>
        <w:t xml:space="preserve">EN </w:t>
      </w:r>
      <w:r w:rsidR="009C218E" w:rsidRPr="00DF04D5">
        <w:rPr>
          <w:rFonts w:ascii="ITC Avant Garde" w:hAnsi="ITC Avant Garde"/>
          <w:b/>
          <w:color w:val="000000" w:themeColor="text1"/>
          <w:sz w:val="22"/>
          <w:szCs w:val="22"/>
        </w:rPr>
        <w:t>FRECUENCIA MODULADA Y, EN SU CASO, U</w:t>
      </w:r>
      <w:r w:rsidRPr="00DF04D5">
        <w:rPr>
          <w:rFonts w:ascii="ITC Avant Garde" w:hAnsi="ITC Avant Garde"/>
          <w:b/>
          <w:color w:val="000000" w:themeColor="text1"/>
          <w:sz w:val="22"/>
          <w:szCs w:val="22"/>
          <w:lang w:eastAsia="es-MX"/>
        </w:rPr>
        <w:t>NA CONCESIÓN ÚNICA</w:t>
      </w:r>
      <w:r w:rsidRPr="00DF04D5">
        <w:rPr>
          <w:rFonts w:ascii="ITC Avant Garde" w:eastAsia="Times New Roman" w:hAnsi="ITC Avant Garde"/>
          <w:b/>
          <w:color w:val="000000" w:themeColor="text1"/>
          <w:sz w:val="22"/>
          <w:szCs w:val="22"/>
          <w:lang w:val="es-ES_tradnl" w:eastAsia="es-ES"/>
        </w:rPr>
        <w:t>, AMBAS</w:t>
      </w:r>
      <w:r w:rsidR="00283A1F" w:rsidRPr="00DF04D5">
        <w:rPr>
          <w:rFonts w:ascii="ITC Avant Garde" w:eastAsia="Times New Roman" w:hAnsi="ITC Avant Garde"/>
          <w:b/>
          <w:color w:val="000000" w:themeColor="text1"/>
          <w:kern w:val="1"/>
          <w:sz w:val="22"/>
          <w:szCs w:val="22"/>
          <w:lang w:val="es-ES" w:eastAsia="ar-SA"/>
        </w:rPr>
        <w:t xml:space="preserve"> PARA</w:t>
      </w:r>
      <w:r w:rsidRPr="00DF04D5">
        <w:rPr>
          <w:rFonts w:ascii="ITC Avant Garde" w:eastAsia="Times New Roman" w:hAnsi="ITC Avant Garde"/>
          <w:b/>
          <w:color w:val="000000" w:themeColor="text1"/>
          <w:sz w:val="22"/>
          <w:szCs w:val="22"/>
          <w:lang w:val="es-ES_tradnl" w:eastAsia="es-ES"/>
        </w:rPr>
        <w:t xml:space="preserve"> USO </w:t>
      </w:r>
      <w:r w:rsidR="00156509" w:rsidRPr="00DF04D5">
        <w:rPr>
          <w:rFonts w:ascii="ITC Avant Garde" w:eastAsia="Times New Roman" w:hAnsi="ITC Avant Garde"/>
          <w:b/>
          <w:color w:val="000000" w:themeColor="text1"/>
          <w:sz w:val="22"/>
          <w:szCs w:val="22"/>
          <w:lang w:val="es-ES_tradnl" w:eastAsia="es-ES"/>
        </w:rPr>
        <w:t>SOCIAL</w:t>
      </w:r>
    </w:p>
    <w:p w:rsidR="00EB2296" w:rsidRPr="00DF04D5" w:rsidRDefault="00EB2296" w:rsidP="00DF04D5">
      <w:pPr>
        <w:pStyle w:val="Ttulo2"/>
        <w:spacing w:after="240"/>
        <w:jc w:val="center"/>
        <w:rPr>
          <w:rFonts w:ascii="ITC Avant Garde" w:hAnsi="ITC Avant Garde"/>
          <w:b/>
          <w:color w:val="000000" w:themeColor="text1"/>
          <w:sz w:val="22"/>
          <w:szCs w:val="22"/>
        </w:rPr>
      </w:pPr>
      <w:r w:rsidRPr="00DF04D5">
        <w:rPr>
          <w:rFonts w:ascii="ITC Avant Garde" w:hAnsi="ITC Avant Garde"/>
          <w:b/>
          <w:color w:val="000000" w:themeColor="text1"/>
          <w:sz w:val="22"/>
          <w:szCs w:val="22"/>
        </w:rPr>
        <w:t>ANTECEDENTES</w:t>
      </w:r>
    </w:p>
    <w:p w:rsidR="006A30DE" w:rsidRPr="00DF04D5" w:rsidRDefault="00F71C13" w:rsidP="00F13456">
      <w:pPr>
        <w:pStyle w:val="Prrafodelista"/>
        <w:numPr>
          <w:ilvl w:val="0"/>
          <w:numId w:val="3"/>
        </w:numPr>
        <w:spacing w:after="200" w:line="276" w:lineRule="auto"/>
        <w:ind w:left="426"/>
        <w:jc w:val="both"/>
        <w:rPr>
          <w:rFonts w:ascii="ITC Avant Garde" w:hAnsi="ITC Avant Garde"/>
          <w:sz w:val="22"/>
          <w:szCs w:val="22"/>
          <w:lang w:eastAsia="es-MX"/>
        </w:rPr>
      </w:pPr>
      <w:r w:rsidRPr="00DF04D5">
        <w:rPr>
          <w:rFonts w:ascii="ITC Avant Garde" w:hAnsi="ITC Avant Garde"/>
          <w:b/>
          <w:sz w:val="22"/>
          <w:szCs w:val="22"/>
          <w:lang w:eastAsia="es-MX"/>
        </w:rPr>
        <w:t>Otorgamiento de</w:t>
      </w:r>
      <w:r w:rsidR="006A30DE" w:rsidRPr="00DF04D5">
        <w:rPr>
          <w:rFonts w:ascii="ITC Avant Garde" w:hAnsi="ITC Avant Garde"/>
          <w:b/>
          <w:sz w:val="22"/>
          <w:szCs w:val="22"/>
          <w:lang w:eastAsia="es-MX"/>
        </w:rPr>
        <w:t>l</w:t>
      </w:r>
      <w:r w:rsidRPr="00DF04D5">
        <w:rPr>
          <w:rFonts w:ascii="ITC Avant Garde" w:hAnsi="ITC Avant Garde"/>
          <w:b/>
          <w:sz w:val="22"/>
          <w:szCs w:val="22"/>
          <w:lang w:eastAsia="es-MX"/>
        </w:rPr>
        <w:t xml:space="preserve"> Permiso. </w:t>
      </w:r>
      <w:r w:rsidRPr="00DF04D5">
        <w:rPr>
          <w:rFonts w:ascii="ITC Avant Garde" w:hAnsi="ITC Avant Garde"/>
          <w:sz w:val="22"/>
          <w:szCs w:val="22"/>
          <w:lang w:eastAsia="es-MX"/>
        </w:rPr>
        <w:t>La Secretaría de Comunicaciones y Transportes (la “SCT”) otorg</w:t>
      </w:r>
      <w:r w:rsidR="006A30DE" w:rsidRPr="00DF04D5">
        <w:rPr>
          <w:rFonts w:ascii="ITC Avant Garde" w:hAnsi="ITC Avant Garde"/>
          <w:sz w:val="22"/>
          <w:szCs w:val="22"/>
          <w:lang w:eastAsia="es-MX"/>
        </w:rPr>
        <w:t>ó</w:t>
      </w:r>
      <w:r w:rsidR="000C6710" w:rsidRPr="00DF04D5">
        <w:rPr>
          <w:rFonts w:ascii="ITC Avant Garde" w:hAnsi="ITC Avant Garde"/>
          <w:sz w:val="22"/>
          <w:szCs w:val="22"/>
          <w:lang w:eastAsia="es-MX"/>
        </w:rPr>
        <w:t xml:space="preserve"> </w:t>
      </w:r>
      <w:r w:rsidR="006A30DE" w:rsidRPr="00DF04D5">
        <w:rPr>
          <w:rFonts w:ascii="ITC Avant Garde" w:hAnsi="ITC Avant Garde"/>
          <w:sz w:val="22"/>
          <w:szCs w:val="22"/>
          <w:lang w:eastAsia="es-MX"/>
        </w:rPr>
        <w:t xml:space="preserve">un </w:t>
      </w:r>
      <w:r w:rsidRPr="00DF04D5">
        <w:rPr>
          <w:rFonts w:ascii="ITC Avant Garde" w:hAnsi="ITC Avant Garde"/>
          <w:sz w:val="22"/>
          <w:szCs w:val="22"/>
          <w:lang w:eastAsia="es-MX"/>
        </w:rPr>
        <w:t>permiso para usar y aprovechar bandas de frecuencias del espectro radioeléctrico (</w:t>
      </w:r>
      <w:r w:rsidR="006A30DE" w:rsidRPr="00DF04D5">
        <w:rPr>
          <w:rFonts w:ascii="ITC Avant Garde" w:hAnsi="ITC Avant Garde"/>
          <w:sz w:val="22"/>
          <w:szCs w:val="22"/>
          <w:lang w:eastAsia="es-MX"/>
        </w:rPr>
        <w:t>e</w:t>
      </w:r>
      <w:r w:rsidRPr="00DF04D5">
        <w:rPr>
          <w:rFonts w:ascii="ITC Avant Garde" w:hAnsi="ITC Avant Garde"/>
          <w:sz w:val="22"/>
          <w:szCs w:val="22"/>
          <w:lang w:eastAsia="es-MX"/>
        </w:rPr>
        <w:t xml:space="preserve">l “Permiso”) para operar </w:t>
      </w:r>
      <w:r w:rsidRPr="00DF04D5">
        <w:rPr>
          <w:rFonts w:ascii="ITC Avant Garde" w:eastAsia="Arial Unicode MS" w:hAnsi="ITC Avant Garde" w:cs="Arial Unicode MS"/>
          <w:bCs/>
          <w:color w:val="000000"/>
          <w:sz w:val="22"/>
          <w:szCs w:val="22"/>
          <w:lang w:val="es-ES_tradnl" w:eastAsia="es-MX"/>
        </w:rPr>
        <w:t xml:space="preserve">una estación de radiodifusión sonora en </w:t>
      </w:r>
      <w:r w:rsidR="00D81949" w:rsidRPr="00DF04D5">
        <w:rPr>
          <w:rFonts w:ascii="ITC Avant Garde" w:eastAsia="Arial Unicode MS" w:hAnsi="ITC Avant Garde" w:cs="Arial Unicode MS"/>
          <w:bCs/>
          <w:color w:val="000000"/>
          <w:sz w:val="22"/>
          <w:szCs w:val="22"/>
          <w:lang w:val="es-ES_tradnl" w:eastAsia="es-MX"/>
        </w:rPr>
        <w:t>frecuencia modulada</w:t>
      </w:r>
      <w:r w:rsidRPr="00DF04D5">
        <w:rPr>
          <w:rFonts w:ascii="ITC Avant Garde" w:hAnsi="ITC Avant Garde"/>
          <w:sz w:val="22"/>
          <w:szCs w:val="22"/>
          <w:lang w:eastAsia="es-MX"/>
        </w:rPr>
        <w:t>, con distintivo de llamada</w:t>
      </w:r>
      <w:r w:rsidR="006A30DE" w:rsidRPr="00DF04D5">
        <w:rPr>
          <w:rFonts w:ascii="ITC Avant Garde" w:hAnsi="ITC Avant Garde"/>
          <w:sz w:val="22"/>
          <w:szCs w:val="22"/>
          <w:lang w:eastAsia="es-MX"/>
        </w:rPr>
        <w:t xml:space="preserve"> XHITC, frecuencia 89.9 MHz</w:t>
      </w:r>
      <w:r w:rsidRPr="00DF04D5">
        <w:rPr>
          <w:rFonts w:ascii="ITC Avant Garde" w:hAnsi="ITC Avant Garde"/>
          <w:sz w:val="22"/>
          <w:szCs w:val="22"/>
          <w:lang w:eastAsia="es-MX"/>
        </w:rPr>
        <w:t xml:space="preserve">, cobertura </w:t>
      </w:r>
      <w:r w:rsidR="006A30DE" w:rsidRPr="00DF04D5">
        <w:rPr>
          <w:rFonts w:ascii="ITC Avant Garde" w:hAnsi="ITC Avant Garde"/>
          <w:sz w:val="22"/>
          <w:szCs w:val="22"/>
          <w:lang w:eastAsia="es-MX"/>
        </w:rPr>
        <w:t xml:space="preserve">en Celaya Guanajuato </w:t>
      </w:r>
      <w:r w:rsidRPr="00DF04D5">
        <w:rPr>
          <w:rFonts w:ascii="ITC Avant Garde" w:hAnsi="ITC Avant Garde"/>
          <w:sz w:val="22"/>
          <w:szCs w:val="22"/>
          <w:lang w:eastAsia="es-MX"/>
        </w:rPr>
        <w:t>y vigencia</w:t>
      </w:r>
      <w:r w:rsidR="006A30DE" w:rsidRPr="00DF04D5">
        <w:rPr>
          <w:rFonts w:ascii="ITC Avant Garde" w:hAnsi="ITC Avant Garde"/>
          <w:sz w:val="22"/>
          <w:szCs w:val="22"/>
          <w:lang w:eastAsia="es-MX"/>
        </w:rPr>
        <w:t xml:space="preserve"> no determinada</w:t>
      </w:r>
      <w:r w:rsidRPr="00DF04D5">
        <w:rPr>
          <w:rFonts w:ascii="ITC Avant Garde" w:hAnsi="ITC Avant Garde"/>
          <w:sz w:val="22"/>
          <w:szCs w:val="22"/>
          <w:lang w:eastAsia="es-MX"/>
        </w:rPr>
        <w:t>,</w:t>
      </w:r>
      <w:r w:rsidR="000C6710" w:rsidRPr="00DF04D5">
        <w:rPr>
          <w:rFonts w:ascii="ITC Avant Garde" w:hAnsi="ITC Avant Garde"/>
          <w:sz w:val="22"/>
          <w:szCs w:val="22"/>
          <w:lang w:eastAsia="es-MX"/>
        </w:rPr>
        <w:t xml:space="preserve"> a favor de </w:t>
      </w:r>
      <w:r w:rsidR="006A30DE" w:rsidRPr="00DF04D5">
        <w:rPr>
          <w:rFonts w:ascii="ITC Avant Garde" w:hAnsi="ITC Avant Garde"/>
          <w:b/>
          <w:sz w:val="22"/>
          <w:szCs w:val="22"/>
          <w:lang w:eastAsia="es-MX"/>
        </w:rPr>
        <w:t>PATRONATO PRO-ESTACION RADIODIFUSORA DEL INSTITUTO TECNOLÓGICO REGIONAL DE CELAYA, A.C.</w:t>
      </w:r>
      <w:r w:rsidR="006A30DE" w:rsidRPr="00DF04D5">
        <w:rPr>
          <w:rFonts w:ascii="ITC Avant Garde" w:hAnsi="ITC Avant Garde"/>
          <w:sz w:val="22"/>
          <w:szCs w:val="22"/>
          <w:lang w:eastAsia="es-MX"/>
        </w:rPr>
        <w:t xml:space="preserve"> </w:t>
      </w:r>
      <w:r w:rsidR="000C6710" w:rsidRPr="00DF04D5">
        <w:rPr>
          <w:rFonts w:ascii="ITC Avant Garde" w:hAnsi="ITC Avant Garde"/>
          <w:sz w:val="22"/>
          <w:szCs w:val="22"/>
          <w:lang w:eastAsia="es-MX"/>
        </w:rPr>
        <w:t>(</w:t>
      </w:r>
      <w:r w:rsidR="006A30DE" w:rsidRPr="00DF04D5">
        <w:rPr>
          <w:rFonts w:ascii="ITC Avant Garde" w:hAnsi="ITC Avant Garde"/>
          <w:sz w:val="22"/>
          <w:szCs w:val="22"/>
          <w:lang w:eastAsia="es-MX"/>
        </w:rPr>
        <w:t>e</w:t>
      </w:r>
      <w:r w:rsidR="000C6710" w:rsidRPr="00DF04D5">
        <w:rPr>
          <w:rFonts w:ascii="ITC Avant Garde" w:hAnsi="ITC Avant Garde"/>
          <w:sz w:val="22"/>
          <w:szCs w:val="22"/>
          <w:lang w:eastAsia="es-MX"/>
        </w:rPr>
        <w:t>l “Permisionario”)</w:t>
      </w:r>
      <w:r w:rsidR="006A30DE" w:rsidRPr="00DF04D5">
        <w:rPr>
          <w:rFonts w:ascii="ITC Avant Garde" w:hAnsi="ITC Avant Garde"/>
          <w:sz w:val="22"/>
          <w:szCs w:val="22"/>
          <w:lang w:eastAsia="es-MX"/>
        </w:rPr>
        <w:t>.</w:t>
      </w:r>
    </w:p>
    <w:p w:rsidR="00C7001E" w:rsidRPr="00DF04D5" w:rsidRDefault="007728D0" w:rsidP="00F13456">
      <w:pPr>
        <w:pStyle w:val="Prrafodelista"/>
        <w:numPr>
          <w:ilvl w:val="0"/>
          <w:numId w:val="3"/>
        </w:numPr>
        <w:spacing w:after="200" w:line="276" w:lineRule="auto"/>
        <w:ind w:left="426" w:hanging="437"/>
        <w:jc w:val="both"/>
        <w:rPr>
          <w:rFonts w:ascii="ITC Avant Garde" w:eastAsia="Calibri" w:hAnsi="ITC Avant Garde"/>
          <w:sz w:val="22"/>
          <w:szCs w:val="22"/>
        </w:rPr>
      </w:pPr>
      <w:r w:rsidRPr="00DF04D5">
        <w:rPr>
          <w:rFonts w:ascii="ITC Avant Garde" w:eastAsia="Calibri" w:hAnsi="ITC Avant Garde"/>
          <w:b/>
          <w:sz w:val="22"/>
          <w:szCs w:val="22"/>
        </w:rPr>
        <w:t>Vigencia del</w:t>
      </w:r>
      <w:r w:rsidR="006A30DE" w:rsidRPr="00DF04D5">
        <w:rPr>
          <w:rFonts w:ascii="ITC Avant Garde" w:eastAsia="Calibri" w:hAnsi="ITC Avant Garde"/>
          <w:b/>
          <w:sz w:val="22"/>
          <w:szCs w:val="22"/>
        </w:rPr>
        <w:t xml:space="preserve"> </w:t>
      </w:r>
      <w:r w:rsidR="00EB2296" w:rsidRPr="00DF04D5">
        <w:rPr>
          <w:rFonts w:ascii="ITC Avant Garde" w:eastAsia="Calibri" w:hAnsi="ITC Avant Garde"/>
          <w:b/>
          <w:sz w:val="22"/>
          <w:szCs w:val="22"/>
        </w:rPr>
        <w:t xml:space="preserve">Permiso. </w:t>
      </w:r>
      <w:r w:rsidR="006A30DE" w:rsidRPr="00DF04D5">
        <w:rPr>
          <w:rFonts w:ascii="ITC Avant Garde" w:eastAsia="Calibri" w:hAnsi="ITC Avant Garde"/>
          <w:b/>
          <w:sz w:val="22"/>
          <w:szCs w:val="22"/>
        </w:rPr>
        <w:t xml:space="preserve">El </w:t>
      </w:r>
      <w:r w:rsidR="00C10072" w:rsidRPr="00DF04D5">
        <w:rPr>
          <w:rFonts w:ascii="ITC Avant Garde" w:eastAsia="Calibri" w:hAnsi="ITC Avant Garde"/>
          <w:sz w:val="22"/>
          <w:szCs w:val="22"/>
        </w:rPr>
        <w:t>Permiso a que se refiere la presente Resolución se encuentra vigente.</w:t>
      </w:r>
    </w:p>
    <w:p w:rsidR="000B5EAA" w:rsidRPr="00DF04D5" w:rsidRDefault="00EB2296" w:rsidP="00F13456">
      <w:pPr>
        <w:pStyle w:val="Prrafodelista"/>
        <w:numPr>
          <w:ilvl w:val="0"/>
          <w:numId w:val="3"/>
        </w:numPr>
        <w:spacing w:after="200" w:line="276" w:lineRule="auto"/>
        <w:ind w:left="426" w:hanging="426"/>
        <w:jc w:val="both"/>
        <w:rPr>
          <w:rFonts w:ascii="ITC Avant Garde" w:hAnsi="ITC Avant Garde"/>
          <w:sz w:val="22"/>
          <w:szCs w:val="22"/>
          <w:lang w:eastAsia="es-MX"/>
        </w:rPr>
      </w:pPr>
      <w:r w:rsidRPr="00DF04D5">
        <w:rPr>
          <w:rFonts w:ascii="ITC Avant Garde" w:hAnsi="ITC Avant Garde"/>
          <w:b/>
          <w:sz w:val="22"/>
          <w:szCs w:val="22"/>
          <w:lang w:eastAsia="es-MX"/>
        </w:rPr>
        <w:t>Decreto de Reforma Constitucional.</w:t>
      </w:r>
      <w:r w:rsidRPr="00DF04D5">
        <w:rPr>
          <w:rFonts w:ascii="ITC Avant Garde" w:hAnsi="ITC Avant Garde"/>
          <w:sz w:val="22"/>
          <w:szCs w:val="22"/>
          <w:lang w:eastAsia="es-MX"/>
        </w:rPr>
        <w:t xml:space="preserve"> Con fecha 11 de junio de 2013 se publicó en </w:t>
      </w:r>
      <w:r w:rsidR="0000291E" w:rsidRPr="00DF04D5">
        <w:rPr>
          <w:rFonts w:ascii="ITC Avant Garde" w:hAnsi="ITC Avant Garde"/>
          <w:bCs/>
          <w:sz w:val="22"/>
          <w:szCs w:val="22"/>
          <w:lang w:eastAsia="es-MX"/>
        </w:rPr>
        <w:t>el Diario Oficial de la Federación (</w:t>
      </w:r>
      <w:r w:rsidR="003F7C01" w:rsidRPr="00DF04D5">
        <w:rPr>
          <w:rFonts w:ascii="ITC Avant Garde" w:hAnsi="ITC Avant Garde"/>
          <w:bCs/>
          <w:sz w:val="22"/>
          <w:szCs w:val="22"/>
          <w:lang w:eastAsia="es-MX"/>
        </w:rPr>
        <w:t xml:space="preserve">el </w:t>
      </w:r>
      <w:r w:rsidR="0000291E" w:rsidRPr="00DF04D5">
        <w:rPr>
          <w:rFonts w:ascii="ITC Avant Garde" w:hAnsi="ITC Avant Garde"/>
          <w:bCs/>
          <w:sz w:val="22"/>
          <w:szCs w:val="22"/>
          <w:lang w:eastAsia="es-MX"/>
        </w:rPr>
        <w:t xml:space="preserve">“DOF”) </w:t>
      </w:r>
      <w:r w:rsidRPr="00DF04D5">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2D4397" w:rsidRPr="00DF04D5" w:rsidRDefault="00EB2296" w:rsidP="00F13456">
      <w:pPr>
        <w:pStyle w:val="Prrafodelista"/>
        <w:numPr>
          <w:ilvl w:val="0"/>
          <w:numId w:val="3"/>
        </w:numPr>
        <w:spacing w:after="200" w:line="276" w:lineRule="auto"/>
        <w:ind w:left="426" w:hanging="426"/>
        <w:jc w:val="both"/>
        <w:rPr>
          <w:rFonts w:ascii="ITC Avant Garde" w:hAnsi="ITC Avant Garde"/>
          <w:bCs/>
          <w:color w:val="000000" w:themeColor="text1"/>
          <w:sz w:val="22"/>
          <w:szCs w:val="22"/>
          <w:lang w:eastAsia="es-MX"/>
        </w:rPr>
      </w:pPr>
      <w:r w:rsidRPr="00DF04D5">
        <w:rPr>
          <w:rFonts w:ascii="ITC Avant Garde" w:hAnsi="ITC Avant Garde"/>
          <w:b/>
          <w:bCs/>
          <w:color w:val="000000" w:themeColor="text1"/>
          <w:sz w:val="22"/>
          <w:szCs w:val="22"/>
          <w:lang w:eastAsia="es-MX"/>
        </w:rPr>
        <w:t xml:space="preserve">Decreto de Ley. </w:t>
      </w:r>
      <w:r w:rsidRPr="00DF04D5">
        <w:rPr>
          <w:rFonts w:ascii="ITC Avant Garde" w:hAnsi="ITC Avant Garde"/>
          <w:bCs/>
          <w:color w:val="000000" w:themeColor="text1"/>
          <w:sz w:val="22"/>
          <w:szCs w:val="22"/>
          <w:lang w:eastAsia="es-MX"/>
        </w:rPr>
        <w:t xml:space="preserve">El 14 de julio de 2014 se publicó en </w:t>
      </w:r>
      <w:r w:rsidR="0000291E" w:rsidRPr="00DF04D5">
        <w:rPr>
          <w:rFonts w:ascii="ITC Avant Garde" w:hAnsi="ITC Avant Garde"/>
          <w:bCs/>
          <w:color w:val="000000" w:themeColor="text1"/>
          <w:sz w:val="22"/>
          <w:szCs w:val="22"/>
          <w:lang w:eastAsia="es-MX"/>
        </w:rPr>
        <w:t>DOF</w:t>
      </w:r>
      <w:r w:rsidRPr="00DF04D5">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B2296" w:rsidRPr="00DF04D5" w:rsidRDefault="00EB2296" w:rsidP="00F13456">
      <w:pPr>
        <w:pStyle w:val="Prrafodelista"/>
        <w:numPr>
          <w:ilvl w:val="0"/>
          <w:numId w:val="3"/>
        </w:numPr>
        <w:suppressAutoHyphens/>
        <w:spacing w:after="200" w:line="276" w:lineRule="auto"/>
        <w:ind w:left="426" w:right="-62" w:hanging="426"/>
        <w:jc w:val="both"/>
        <w:rPr>
          <w:rFonts w:ascii="ITC Avant Garde" w:hAnsi="ITC Avant Garde"/>
          <w:sz w:val="22"/>
          <w:szCs w:val="22"/>
          <w:lang w:val="es-ES" w:eastAsia="ar-SA"/>
        </w:rPr>
      </w:pPr>
      <w:r w:rsidRPr="00DF04D5">
        <w:rPr>
          <w:rFonts w:ascii="ITC Avant Garde" w:hAnsi="ITC Avant Garde" w:cs="Arial"/>
          <w:b/>
          <w:kern w:val="1"/>
          <w:sz w:val="22"/>
          <w:szCs w:val="22"/>
          <w:lang w:eastAsia="ar-SA"/>
        </w:rPr>
        <w:t>Estatuto Orgánico.</w:t>
      </w:r>
      <w:r w:rsidRPr="00DF04D5">
        <w:rPr>
          <w:rFonts w:ascii="ITC Avant Garde" w:hAnsi="ITC Avant Garde"/>
          <w:kern w:val="1"/>
          <w:sz w:val="22"/>
          <w:szCs w:val="22"/>
          <w:lang w:eastAsia="ar-SA"/>
        </w:rPr>
        <w:t xml:space="preserve"> El 4 de septiembre de 2014 se publicó en el DOF el “Estatuto Orgánico del Instituto Federal de Telecomunicaciones” (el “Estatuto Orgánico”), el cual entró en vigor el 26 de septiembre de 2014 y </w:t>
      </w:r>
      <w:r w:rsidR="00BB6A4B" w:rsidRPr="00DF04D5">
        <w:rPr>
          <w:rFonts w:ascii="ITC Avant Garde" w:hAnsi="ITC Avant Garde"/>
          <w:kern w:val="1"/>
          <w:sz w:val="22"/>
          <w:szCs w:val="22"/>
          <w:lang w:eastAsia="ar-SA"/>
        </w:rPr>
        <w:t>fue modificado</w:t>
      </w:r>
      <w:r w:rsidRPr="00DF04D5">
        <w:rPr>
          <w:rFonts w:ascii="ITC Avant Garde" w:hAnsi="ITC Avant Garde"/>
          <w:kern w:val="1"/>
          <w:sz w:val="22"/>
          <w:szCs w:val="22"/>
          <w:lang w:eastAsia="ar-SA"/>
        </w:rPr>
        <w:t xml:space="preserve"> el 17 de octubre d</w:t>
      </w:r>
      <w:r w:rsidR="00BB6A4B" w:rsidRPr="00DF04D5">
        <w:rPr>
          <w:rFonts w:ascii="ITC Avant Garde" w:hAnsi="ITC Avant Garde"/>
          <w:kern w:val="1"/>
          <w:sz w:val="22"/>
          <w:szCs w:val="22"/>
          <w:lang w:eastAsia="ar-SA"/>
        </w:rPr>
        <w:t>el mismo año</w:t>
      </w:r>
      <w:r w:rsidRPr="00DF04D5">
        <w:rPr>
          <w:rFonts w:ascii="ITC Avant Garde" w:hAnsi="ITC Avant Garde"/>
          <w:sz w:val="22"/>
          <w:szCs w:val="22"/>
          <w:lang w:val="es-ES" w:eastAsia="ar-SA"/>
        </w:rPr>
        <w:t>.</w:t>
      </w:r>
    </w:p>
    <w:p w:rsidR="007062E9" w:rsidRPr="00DF04D5" w:rsidRDefault="007062E9" w:rsidP="00F13456">
      <w:pPr>
        <w:pStyle w:val="Prrafodelista"/>
        <w:numPr>
          <w:ilvl w:val="0"/>
          <w:numId w:val="3"/>
        </w:numPr>
        <w:spacing w:after="200" w:line="276" w:lineRule="auto"/>
        <w:ind w:left="426" w:hanging="426"/>
        <w:jc w:val="both"/>
        <w:rPr>
          <w:rFonts w:ascii="ITC Avant Garde" w:hAnsi="ITC Avant Garde"/>
          <w:bCs/>
          <w:color w:val="000000"/>
          <w:sz w:val="22"/>
          <w:szCs w:val="22"/>
          <w:lang w:eastAsia="es-MX"/>
        </w:rPr>
      </w:pPr>
      <w:r w:rsidRPr="00DF04D5">
        <w:rPr>
          <w:rFonts w:ascii="ITC Avant Garde" w:hAnsi="ITC Avant Garde"/>
          <w:b/>
          <w:sz w:val="22"/>
          <w:szCs w:val="22"/>
          <w:lang w:eastAsia="ar-SA"/>
        </w:rPr>
        <w:lastRenderedPageBreak/>
        <w:t xml:space="preserve">Lineamientos generales para el otorgamiento de las concesiones. </w:t>
      </w:r>
      <w:r w:rsidRPr="00DF04D5">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F40B4A" w:rsidRPr="00DF04D5" w:rsidRDefault="00C210D5" w:rsidP="00F13456">
      <w:pPr>
        <w:pStyle w:val="Prrafodelista"/>
        <w:numPr>
          <w:ilvl w:val="0"/>
          <w:numId w:val="3"/>
        </w:numPr>
        <w:spacing w:after="200" w:line="276" w:lineRule="auto"/>
        <w:ind w:left="426" w:hanging="426"/>
        <w:jc w:val="both"/>
        <w:rPr>
          <w:rFonts w:ascii="ITC Avant Garde" w:hAnsi="ITC Avant Garde"/>
          <w:bCs/>
          <w:color w:val="000000"/>
          <w:sz w:val="22"/>
          <w:szCs w:val="22"/>
          <w:lang w:eastAsia="es-MX"/>
        </w:rPr>
      </w:pPr>
      <w:r w:rsidRPr="00DF04D5">
        <w:rPr>
          <w:rFonts w:ascii="ITC Avant Garde" w:hAnsi="ITC Avant Garde"/>
          <w:b/>
          <w:bCs/>
          <w:color w:val="000000"/>
          <w:sz w:val="22"/>
          <w:szCs w:val="22"/>
          <w:lang w:eastAsia="es-MX"/>
        </w:rPr>
        <w:t xml:space="preserve">Solicitud de Transición. </w:t>
      </w:r>
      <w:r w:rsidR="00F91284" w:rsidRPr="00DF04D5">
        <w:rPr>
          <w:rFonts w:ascii="ITC Avant Garde" w:hAnsi="ITC Avant Garde"/>
          <w:bCs/>
          <w:color w:val="000000"/>
          <w:sz w:val="22"/>
          <w:szCs w:val="22"/>
          <w:lang w:eastAsia="es-MX"/>
        </w:rPr>
        <w:t xml:space="preserve">En términos de lo dispuesto en el artículo Décimo Séptimo Transitorio del Decreto de Ley, </w:t>
      </w:r>
      <w:r w:rsidR="006A30DE" w:rsidRPr="00DF04D5">
        <w:rPr>
          <w:rFonts w:ascii="ITC Avant Garde" w:hAnsi="ITC Avant Garde"/>
          <w:bCs/>
          <w:color w:val="000000"/>
          <w:sz w:val="22"/>
          <w:szCs w:val="22"/>
          <w:lang w:eastAsia="es-MX"/>
        </w:rPr>
        <w:t>e</w:t>
      </w:r>
      <w:r w:rsidR="00F91284" w:rsidRPr="00DF04D5">
        <w:rPr>
          <w:rFonts w:ascii="ITC Avant Garde" w:hAnsi="ITC Avant Garde"/>
          <w:bCs/>
          <w:color w:val="000000"/>
          <w:sz w:val="22"/>
          <w:szCs w:val="22"/>
          <w:lang w:eastAsia="es-MX"/>
        </w:rPr>
        <w:t>l Permisionario exhibi</w:t>
      </w:r>
      <w:r w:rsidR="006A30DE" w:rsidRPr="00DF04D5">
        <w:rPr>
          <w:rFonts w:ascii="ITC Avant Garde" w:hAnsi="ITC Avant Garde"/>
          <w:bCs/>
          <w:color w:val="000000"/>
          <w:sz w:val="22"/>
          <w:szCs w:val="22"/>
          <w:lang w:eastAsia="es-MX"/>
        </w:rPr>
        <w:t>ó</w:t>
      </w:r>
      <w:r w:rsidR="00F91284" w:rsidRPr="00DF04D5">
        <w:rPr>
          <w:rFonts w:ascii="ITC Avant Garde" w:hAnsi="ITC Avant Garde"/>
          <w:bCs/>
          <w:color w:val="000000"/>
          <w:sz w:val="22"/>
          <w:szCs w:val="22"/>
          <w:lang w:eastAsia="es-MX"/>
        </w:rPr>
        <w:t xml:space="preserve"> ante el</w:t>
      </w:r>
      <w:r w:rsidR="0096136E" w:rsidRPr="00DF04D5">
        <w:rPr>
          <w:rFonts w:ascii="ITC Avant Garde" w:hAnsi="ITC Avant Garde"/>
          <w:bCs/>
          <w:color w:val="000000"/>
          <w:sz w:val="22"/>
          <w:szCs w:val="22"/>
          <w:lang w:eastAsia="es-MX"/>
        </w:rPr>
        <w:t xml:space="preserve"> Instituto</w:t>
      </w:r>
      <w:r w:rsidR="000A4C08" w:rsidRPr="00DF04D5">
        <w:rPr>
          <w:rFonts w:ascii="ITC Avant Garde" w:hAnsi="ITC Avant Garde"/>
          <w:bCs/>
          <w:color w:val="000000"/>
          <w:sz w:val="22"/>
          <w:szCs w:val="22"/>
          <w:lang w:eastAsia="es-MX"/>
        </w:rPr>
        <w:t xml:space="preserve"> con fecha 6 de julio de 2015</w:t>
      </w:r>
      <w:r w:rsidR="0096136E" w:rsidRPr="00DF04D5">
        <w:rPr>
          <w:rFonts w:ascii="ITC Avant Garde" w:hAnsi="ITC Avant Garde"/>
          <w:bCs/>
          <w:color w:val="000000"/>
          <w:sz w:val="22"/>
          <w:szCs w:val="22"/>
          <w:lang w:eastAsia="es-MX"/>
        </w:rPr>
        <w:t>,</w:t>
      </w:r>
      <w:r w:rsidR="00F40B4A" w:rsidRPr="00DF04D5">
        <w:rPr>
          <w:rFonts w:ascii="ITC Avant Garde" w:hAnsi="ITC Avant Garde"/>
          <w:bCs/>
          <w:color w:val="000000"/>
          <w:sz w:val="22"/>
          <w:szCs w:val="22"/>
          <w:lang w:eastAsia="es-MX"/>
        </w:rPr>
        <w:t xml:space="preserve"> </w:t>
      </w:r>
      <w:r w:rsidR="006A30DE" w:rsidRPr="00DF04D5">
        <w:rPr>
          <w:rFonts w:ascii="ITC Avant Garde" w:hAnsi="ITC Avant Garde"/>
          <w:bCs/>
          <w:color w:val="000000"/>
          <w:sz w:val="22"/>
          <w:szCs w:val="22"/>
          <w:lang w:eastAsia="es-MX"/>
        </w:rPr>
        <w:t>e</w:t>
      </w:r>
      <w:r w:rsidR="000C6710" w:rsidRPr="00DF04D5">
        <w:rPr>
          <w:rFonts w:ascii="ITC Avant Garde" w:hAnsi="ITC Avant Garde"/>
          <w:bCs/>
          <w:color w:val="000000"/>
          <w:sz w:val="22"/>
          <w:szCs w:val="22"/>
          <w:lang w:eastAsia="es-MX"/>
        </w:rPr>
        <w:t>l</w:t>
      </w:r>
      <w:r w:rsidR="00F91284" w:rsidRPr="00DF04D5">
        <w:rPr>
          <w:rFonts w:ascii="ITC Avant Garde" w:hAnsi="ITC Avant Garde"/>
          <w:bCs/>
          <w:color w:val="000000"/>
          <w:sz w:val="22"/>
          <w:szCs w:val="22"/>
          <w:lang w:eastAsia="es-MX"/>
        </w:rPr>
        <w:t xml:space="preserve"> escrito mediante </w:t>
      </w:r>
      <w:r w:rsidR="006A30DE" w:rsidRPr="00DF04D5">
        <w:rPr>
          <w:rFonts w:ascii="ITC Avant Garde" w:hAnsi="ITC Avant Garde"/>
          <w:bCs/>
          <w:color w:val="000000"/>
          <w:sz w:val="22"/>
          <w:szCs w:val="22"/>
          <w:lang w:eastAsia="es-MX"/>
        </w:rPr>
        <w:t>e</w:t>
      </w:r>
      <w:r w:rsidR="00F91284" w:rsidRPr="00DF04D5">
        <w:rPr>
          <w:rFonts w:ascii="ITC Avant Garde" w:hAnsi="ITC Avant Garde"/>
          <w:bCs/>
          <w:color w:val="000000"/>
          <w:sz w:val="22"/>
          <w:szCs w:val="22"/>
          <w:lang w:eastAsia="es-MX"/>
        </w:rPr>
        <w:t xml:space="preserve">l cual </w:t>
      </w:r>
      <w:r w:rsidR="0096136E" w:rsidRPr="00DF04D5">
        <w:rPr>
          <w:rFonts w:ascii="ITC Avant Garde" w:hAnsi="ITC Avant Garde"/>
          <w:bCs/>
          <w:color w:val="000000"/>
          <w:sz w:val="22"/>
          <w:szCs w:val="22"/>
          <w:lang w:eastAsia="es-MX"/>
        </w:rPr>
        <w:t>solicit</w:t>
      </w:r>
      <w:r w:rsidR="006A30DE" w:rsidRPr="00DF04D5">
        <w:rPr>
          <w:rFonts w:ascii="ITC Avant Garde" w:hAnsi="ITC Avant Garde"/>
          <w:bCs/>
          <w:color w:val="000000"/>
          <w:sz w:val="22"/>
          <w:szCs w:val="22"/>
          <w:lang w:eastAsia="es-MX"/>
        </w:rPr>
        <w:t>ó</w:t>
      </w:r>
      <w:r w:rsidR="0096136E" w:rsidRPr="00DF04D5">
        <w:rPr>
          <w:rFonts w:ascii="ITC Avant Garde" w:hAnsi="ITC Avant Garde"/>
          <w:bCs/>
          <w:color w:val="000000"/>
          <w:sz w:val="22"/>
          <w:szCs w:val="22"/>
          <w:lang w:eastAsia="es-MX"/>
        </w:rPr>
        <w:t xml:space="preserve"> transitar el permiso </w:t>
      </w:r>
      <w:r w:rsidR="00F91284" w:rsidRPr="00DF04D5">
        <w:rPr>
          <w:rFonts w:ascii="ITC Avant Garde" w:hAnsi="ITC Avant Garde"/>
          <w:bCs/>
          <w:color w:val="000000"/>
          <w:sz w:val="22"/>
          <w:szCs w:val="22"/>
          <w:lang w:eastAsia="es-MX"/>
        </w:rPr>
        <w:t>correspondiente al régimen de concesión (la “Solicitud de Transición”) a que se refiere la Ley Federal de Telecomunicaciones y Radiodifusión (la “Ley”)</w:t>
      </w:r>
      <w:r w:rsidR="0096136E" w:rsidRPr="00DF04D5">
        <w:rPr>
          <w:rFonts w:ascii="ITC Avant Garde" w:hAnsi="ITC Avant Garde"/>
          <w:bCs/>
          <w:color w:val="000000"/>
          <w:sz w:val="22"/>
          <w:szCs w:val="22"/>
          <w:lang w:eastAsia="es-MX"/>
        </w:rPr>
        <w:t>.</w:t>
      </w:r>
    </w:p>
    <w:p w:rsidR="00EB2296" w:rsidRPr="00DF04D5" w:rsidRDefault="00EB2296" w:rsidP="00F13456">
      <w:pPr>
        <w:jc w:val="both"/>
        <w:rPr>
          <w:rFonts w:ascii="ITC Avant Garde" w:hAnsi="ITC Avant Garde"/>
          <w:bCs/>
          <w:color w:val="000000" w:themeColor="text1"/>
          <w:lang w:eastAsia="es-MX"/>
        </w:rPr>
      </w:pPr>
      <w:r w:rsidRPr="00DF04D5">
        <w:rPr>
          <w:rFonts w:ascii="ITC Avant Garde" w:hAnsi="ITC Avant Garde"/>
          <w:bCs/>
          <w:color w:val="000000" w:themeColor="text1"/>
          <w:lang w:eastAsia="es-MX"/>
        </w:rPr>
        <w:t>En virtud de los Antecedentes referidos y,</w:t>
      </w:r>
    </w:p>
    <w:p w:rsidR="004C2BB2" w:rsidRPr="00DF04D5" w:rsidRDefault="00EB2296" w:rsidP="00DF04D5">
      <w:pPr>
        <w:pStyle w:val="Ttulo2"/>
        <w:spacing w:after="240"/>
        <w:jc w:val="center"/>
        <w:rPr>
          <w:rFonts w:ascii="ITC Avant Garde" w:hAnsi="ITC Avant Garde"/>
          <w:b/>
          <w:color w:val="000000" w:themeColor="text1"/>
          <w:sz w:val="22"/>
          <w:szCs w:val="22"/>
        </w:rPr>
      </w:pPr>
      <w:r w:rsidRPr="00DF04D5">
        <w:rPr>
          <w:rFonts w:ascii="ITC Avant Garde" w:hAnsi="ITC Avant Garde"/>
          <w:b/>
          <w:color w:val="000000" w:themeColor="text1"/>
          <w:sz w:val="22"/>
          <w:szCs w:val="22"/>
        </w:rPr>
        <w:t>CONSIDERANDO</w:t>
      </w:r>
    </w:p>
    <w:p w:rsidR="00EB2296" w:rsidRPr="00DF04D5" w:rsidRDefault="00EB2296" w:rsidP="00F13456">
      <w:pPr>
        <w:autoSpaceDE w:val="0"/>
        <w:autoSpaceDN w:val="0"/>
        <w:adjustRightInd w:val="0"/>
        <w:jc w:val="both"/>
        <w:rPr>
          <w:rFonts w:ascii="ITC Avant Garde" w:hAnsi="ITC Avant Garde"/>
          <w:bCs/>
          <w:lang w:val="es-ES"/>
        </w:rPr>
      </w:pPr>
      <w:r w:rsidRPr="00DF04D5">
        <w:rPr>
          <w:rFonts w:ascii="ITC Avant Garde" w:eastAsia="Times New Roman" w:hAnsi="ITC Avant Garde"/>
          <w:b/>
          <w:kern w:val="1"/>
          <w:lang w:val="es-ES" w:eastAsia="ar-SA"/>
        </w:rPr>
        <w:t>PRIMERO.-</w:t>
      </w:r>
      <w:r w:rsidRPr="00DF04D5">
        <w:rPr>
          <w:rFonts w:ascii="ITC Avant Garde" w:hAnsi="ITC Avant Garde"/>
          <w:b/>
          <w:bCs/>
        </w:rPr>
        <w:t xml:space="preserve"> Ámbito</w:t>
      </w:r>
      <w:r w:rsidRPr="00DF04D5">
        <w:rPr>
          <w:rFonts w:ascii="ITC Avant Garde" w:hAnsi="ITC Avant Garde"/>
          <w:bCs/>
        </w:rPr>
        <w:t xml:space="preserve"> </w:t>
      </w:r>
      <w:r w:rsidRPr="00DF04D5">
        <w:rPr>
          <w:rFonts w:ascii="ITC Avant Garde" w:hAnsi="ITC Avant Garde"/>
          <w:b/>
          <w:bCs/>
        </w:rPr>
        <w:t>Competencial.</w:t>
      </w:r>
      <w:r w:rsidRPr="00DF04D5">
        <w:rPr>
          <w:rFonts w:ascii="ITC Avant Garde" w:hAnsi="ITC Avant Garde"/>
          <w:bCs/>
        </w:rPr>
        <w:t xml:space="preserve"> Conforme lo dispone el artículo 28 párrafo décimo quinto de la Constitución</w:t>
      </w:r>
      <w:r w:rsidR="00505EC2" w:rsidRPr="00DF04D5">
        <w:rPr>
          <w:rFonts w:ascii="ITC Avant Garde" w:hAnsi="ITC Avant Garde"/>
          <w:bCs/>
        </w:rPr>
        <w:t xml:space="preserve"> Política de los Estados Unidos Mexicanos (la “Constitución”)</w:t>
      </w:r>
      <w:r w:rsidRPr="00DF04D5">
        <w:rPr>
          <w:rFonts w:ascii="ITC Avant Garde" w:hAnsi="ITC Avant Garde"/>
          <w:bCs/>
        </w:rPr>
        <w:t>, e</w:t>
      </w:r>
      <w:r w:rsidRPr="00DF04D5">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6A7D4E" w:rsidRPr="00DF04D5" w:rsidRDefault="00EB2296" w:rsidP="00F13456">
      <w:pPr>
        <w:tabs>
          <w:tab w:val="left" w:pos="1418"/>
        </w:tabs>
        <w:autoSpaceDE w:val="0"/>
        <w:autoSpaceDN w:val="0"/>
        <w:adjustRightInd w:val="0"/>
        <w:jc w:val="both"/>
        <w:rPr>
          <w:rFonts w:ascii="ITC Avant Garde" w:hAnsi="ITC Avant Garde"/>
          <w:bCs/>
        </w:rPr>
      </w:pPr>
      <w:r w:rsidRPr="00DF04D5">
        <w:rPr>
          <w:rFonts w:ascii="ITC Avant Garde" w:hAnsi="ITC Avant Garde"/>
          <w:bCs/>
        </w:rPr>
        <w:t xml:space="preserve">Asimismo, </w:t>
      </w:r>
      <w:r w:rsidRPr="00DF04D5">
        <w:rPr>
          <w:rFonts w:ascii="ITC Avant Garde" w:eastAsia="Times New Roman" w:hAnsi="ITC Avant Garde"/>
          <w:bCs/>
          <w:kern w:val="1"/>
          <w:lang w:eastAsia="ar-SA"/>
        </w:rPr>
        <w:t xml:space="preserve">el párrafo décimo sexto del artículo 28 de la Constitución establece que el </w:t>
      </w:r>
      <w:r w:rsidRPr="00DF04D5">
        <w:rPr>
          <w:rFonts w:ascii="ITC Avant Garde" w:hAnsi="ITC Avant Garde"/>
          <w:bCs/>
        </w:rPr>
        <w:t>Instituto es la autoridad en materia de competencia económica de los sectores de radiodifusión y telecomunicaciones por lo que, entre</w:t>
      </w:r>
      <w:r w:rsidR="00B71E1C" w:rsidRPr="00DF04D5">
        <w:rPr>
          <w:rFonts w:ascii="ITC Avant Garde" w:hAnsi="ITC Avant Garde"/>
          <w:bCs/>
        </w:rPr>
        <w:t xml:space="preserve"> otros aspectos, le corresponde </w:t>
      </w:r>
      <w:r w:rsidRPr="00DF04D5">
        <w:rPr>
          <w:rFonts w:ascii="ITC Avant Garde" w:hAnsi="ITC Avant Garde"/>
          <w:bCs/>
        </w:rPr>
        <w:t xml:space="preserve">regular de forma asimétrica a los participantes en estos mercados con el objeto de eliminar eficazmente las barreras a la competencia y la libre concurrencia e imponer límites al </w:t>
      </w:r>
      <w:proofErr w:type="spellStart"/>
      <w:r w:rsidRPr="00DF04D5">
        <w:rPr>
          <w:rFonts w:ascii="ITC Avant Garde" w:hAnsi="ITC Avant Garde"/>
          <w:bCs/>
        </w:rPr>
        <w:t>concesionamiento</w:t>
      </w:r>
      <w:proofErr w:type="spellEnd"/>
      <w:r w:rsidRPr="00DF04D5">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B2296" w:rsidRPr="00DF04D5" w:rsidRDefault="00EB2296" w:rsidP="00F13456">
      <w:pPr>
        <w:autoSpaceDE w:val="0"/>
        <w:autoSpaceDN w:val="0"/>
        <w:adjustRightInd w:val="0"/>
        <w:jc w:val="both"/>
        <w:rPr>
          <w:rFonts w:ascii="ITC Avant Garde" w:hAnsi="ITC Avant Garde"/>
          <w:bCs/>
        </w:rPr>
      </w:pPr>
      <w:r w:rsidRPr="00DF04D5">
        <w:rPr>
          <w:rFonts w:ascii="ITC Avant Garde" w:hAnsi="ITC Avant Garde"/>
          <w:bCs/>
          <w:lang w:val="es-ES"/>
        </w:rPr>
        <w:t xml:space="preserve">Por su parte, el párrafo décimo séptimo del artículo 28 de la Constitución dispone que </w:t>
      </w:r>
      <w:r w:rsidRPr="00DF04D5">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EB2296" w:rsidRPr="00DF04D5" w:rsidRDefault="00EB2296" w:rsidP="00F13456">
      <w:pPr>
        <w:autoSpaceDE w:val="0"/>
        <w:autoSpaceDN w:val="0"/>
        <w:adjustRightInd w:val="0"/>
        <w:jc w:val="both"/>
        <w:rPr>
          <w:rFonts w:ascii="ITC Avant Garde" w:hAnsi="ITC Avant Garde" w:cs="Tahoma"/>
          <w:bCs/>
          <w:lang w:eastAsia="es-MX"/>
        </w:rPr>
      </w:pPr>
      <w:r w:rsidRPr="00DF04D5">
        <w:rPr>
          <w:rFonts w:ascii="ITC Avant Garde" w:hAnsi="ITC Avant Garde" w:cs="Tahoma"/>
          <w:bCs/>
          <w:lang w:eastAsia="es-MX"/>
        </w:rPr>
        <w:lastRenderedPageBreak/>
        <w:t xml:space="preserve">De igual forma, conforme a lo establecido en los artículos 15 fracción IV y 17 fracción I de la Ley </w:t>
      </w:r>
      <w:r w:rsidRPr="00DF04D5">
        <w:rPr>
          <w:rFonts w:ascii="ITC Avant Garde" w:hAnsi="ITC Avant Garde"/>
          <w:bCs/>
          <w:lang w:eastAsia="es-MX"/>
        </w:rPr>
        <w:t xml:space="preserve">y </w:t>
      </w:r>
      <w:r w:rsidRPr="00DF04D5">
        <w:rPr>
          <w:rFonts w:ascii="ITC Avant Garde" w:hAnsi="ITC Avant Garde" w:cs="Tahoma"/>
          <w:bCs/>
          <w:lang w:eastAsia="es-MX"/>
        </w:rPr>
        <w:t>6 fracciones I y XXXVII del Estatuto Orgánico</w:t>
      </w:r>
      <w:r w:rsidRPr="00DF04D5">
        <w:rPr>
          <w:rFonts w:ascii="ITC Avant Garde" w:hAnsi="ITC Avant Garde"/>
          <w:bCs/>
          <w:lang w:eastAsia="es-MX"/>
        </w:rPr>
        <w:t xml:space="preserve">, </w:t>
      </w:r>
      <w:r w:rsidRPr="00DF04D5">
        <w:rPr>
          <w:rFonts w:ascii="ITC Avant Garde" w:hAnsi="ITC Avant Garde" w:cs="Tahoma"/>
          <w:bCs/>
          <w:lang w:eastAsia="es-MX"/>
        </w:rPr>
        <w:t>corresponde al Pleno del Instituto la facultad de otorgar las concesiones previstas en dicho ordenamiento legal.</w:t>
      </w:r>
    </w:p>
    <w:p w:rsidR="00EB2296" w:rsidRPr="00DF04D5" w:rsidRDefault="00EB2296" w:rsidP="00F13456">
      <w:pPr>
        <w:autoSpaceDE w:val="0"/>
        <w:autoSpaceDN w:val="0"/>
        <w:adjustRightInd w:val="0"/>
        <w:jc w:val="both"/>
        <w:rPr>
          <w:rFonts w:ascii="ITC Avant Garde" w:hAnsi="ITC Avant Garde"/>
          <w:bCs/>
        </w:rPr>
      </w:pPr>
      <w:r w:rsidRPr="00DF04D5">
        <w:rPr>
          <w:rFonts w:ascii="ITC Avant Garde" w:hAnsi="ITC Avant Garde" w:cs="Tahoma"/>
          <w:bCs/>
          <w:lang w:eastAsia="es-MX"/>
        </w:rPr>
        <w:t xml:space="preserve">Asimismo, conforme al artículo 32 del Estatuto Orgánico </w:t>
      </w:r>
      <w:r w:rsidRPr="00DF04D5">
        <w:rPr>
          <w:rFonts w:ascii="ITC Avant Garde" w:hAnsi="ITC Avant Garde"/>
          <w:bCs/>
        </w:rPr>
        <w:t xml:space="preserve">corresponden originariamente a </w:t>
      </w:r>
      <w:r w:rsidRPr="00DF04D5">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DF04D5">
        <w:rPr>
          <w:rFonts w:ascii="ITC Avant Garde" w:hAnsi="ITC Avant Garde"/>
          <w:bCs/>
        </w:rPr>
        <w:t xml:space="preserve"> </w:t>
      </w:r>
      <w:r w:rsidRPr="00DF04D5">
        <w:rPr>
          <w:rFonts w:ascii="ITC Avant Garde" w:hAnsi="ITC Avant Garde" w:cs="Tahoma"/>
          <w:bCs/>
          <w:lang w:val="es-ES_tradnl" w:eastAsia="es-MX"/>
        </w:rPr>
        <w:t>tramitar y evaluar las solicitudes para el otorgamiento de concesiones en materia de radiodifusión para someterlas a consideración del Pleno</w:t>
      </w:r>
      <w:r w:rsidRPr="00DF04D5">
        <w:rPr>
          <w:rFonts w:ascii="ITC Avant Garde" w:hAnsi="ITC Avant Garde" w:cs="Tahoma"/>
          <w:bCs/>
          <w:lang w:eastAsia="es-MX"/>
        </w:rPr>
        <w:t>.</w:t>
      </w:r>
    </w:p>
    <w:p w:rsidR="0014754A" w:rsidRPr="00DF04D5" w:rsidRDefault="00EB2296" w:rsidP="00F13456">
      <w:pPr>
        <w:autoSpaceDE w:val="0"/>
        <w:autoSpaceDN w:val="0"/>
        <w:adjustRightInd w:val="0"/>
        <w:jc w:val="both"/>
        <w:rPr>
          <w:rFonts w:ascii="ITC Avant Garde" w:hAnsi="ITC Avant Garde"/>
          <w:bCs/>
        </w:rPr>
      </w:pPr>
      <w:r w:rsidRPr="00DF04D5">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DF04D5">
        <w:rPr>
          <w:rFonts w:ascii="ITC Avant Garde" w:hAnsi="ITC Avant Garde" w:cs="Tahoma"/>
          <w:bCs/>
          <w:lang w:eastAsia="es-MX"/>
        </w:rPr>
        <w:t>para otorgar las concesiones previstas en la Ley</w:t>
      </w:r>
      <w:r w:rsidRPr="00DF04D5">
        <w:rPr>
          <w:rFonts w:ascii="ITC Avant Garde" w:hAnsi="ITC Avant Garde"/>
          <w:bCs/>
        </w:rPr>
        <w:t xml:space="preserve">, el Pleno, órgano máximo de gobierno y decisión del Instituto, se encuentra plenamente facultado para resolver sobre el otorgamiento de concesiones de uso </w:t>
      </w:r>
      <w:r w:rsidR="00E308A3" w:rsidRPr="00DF04D5">
        <w:rPr>
          <w:rFonts w:ascii="ITC Avant Garde" w:hAnsi="ITC Avant Garde"/>
          <w:bCs/>
        </w:rPr>
        <w:t>social</w:t>
      </w:r>
      <w:r w:rsidRPr="00DF04D5">
        <w:rPr>
          <w:rFonts w:ascii="ITC Avant Garde" w:hAnsi="ITC Avant Garde"/>
          <w:bCs/>
        </w:rPr>
        <w:t xml:space="preserve"> con motivo de la</w:t>
      </w:r>
      <w:r w:rsidR="00C21A07" w:rsidRPr="00DF04D5">
        <w:rPr>
          <w:rFonts w:ascii="ITC Avant Garde" w:hAnsi="ITC Avant Garde"/>
          <w:bCs/>
        </w:rPr>
        <w:t>s</w:t>
      </w:r>
      <w:r w:rsidRPr="00DF04D5">
        <w:rPr>
          <w:rFonts w:ascii="ITC Avant Garde" w:hAnsi="ITC Avant Garde"/>
          <w:bCs/>
        </w:rPr>
        <w:t xml:space="preserve"> Solicitud</w:t>
      </w:r>
      <w:r w:rsidR="00C21A07" w:rsidRPr="00DF04D5">
        <w:rPr>
          <w:rFonts w:ascii="ITC Avant Garde" w:hAnsi="ITC Avant Garde"/>
          <w:bCs/>
        </w:rPr>
        <w:t>es</w:t>
      </w:r>
      <w:r w:rsidRPr="00DF04D5">
        <w:rPr>
          <w:rFonts w:ascii="ITC Avant Garde" w:hAnsi="ITC Avant Garde"/>
          <w:bCs/>
        </w:rPr>
        <w:t xml:space="preserve"> de Transición.</w:t>
      </w:r>
    </w:p>
    <w:p w:rsidR="00746A53" w:rsidRPr="00DF04D5" w:rsidRDefault="00EB2296" w:rsidP="00F13456">
      <w:pPr>
        <w:autoSpaceDE w:val="0"/>
        <w:autoSpaceDN w:val="0"/>
        <w:adjustRightInd w:val="0"/>
        <w:jc w:val="both"/>
        <w:rPr>
          <w:rFonts w:ascii="ITC Avant Garde" w:hAnsi="ITC Avant Garde" w:cs="Tahoma"/>
          <w:bCs/>
          <w:color w:val="000000"/>
          <w:lang w:eastAsia="es-MX"/>
        </w:rPr>
      </w:pPr>
      <w:r w:rsidRPr="00DF04D5">
        <w:rPr>
          <w:rFonts w:ascii="ITC Avant Garde" w:eastAsia="Times New Roman" w:hAnsi="ITC Avant Garde"/>
          <w:b/>
          <w:kern w:val="1"/>
          <w:lang w:val="es-ES" w:eastAsia="ar-SA"/>
        </w:rPr>
        <w:t>SEGUNDO</w:t>
      </w:r>
      <w:r w:rsidRPr="00DF04D5">
        <w:rPr>
          <w:rFonts w:ascii="ITC Avant Garde" w:eastAsia="Times New Roman" w:hAnsi="ITC Avant Garde"/>
          <w:b/>
          <w:kern w:val="1"/>
          <w:lang w:eastAsia="ar-SA"/>
        </w:rPr>
        <w:t>.- Marco jurídico aplicable.</w:t>
      </w:r>
      <w:r w:rsidRPr="00DF04D5">
        <w:rPr>
          <w:rFonts w:ascii="ITC Avant Garde" w:hAnsi="ITC Avant Garde" w:cs="Tahoma"/>
          <w:bCs/>
          <w:color w:val="000000"/>
          <w:lang w:eastAsia="es-MX"/>
        </w:rPr>
        <w:t xml:space="preserve"> El artículo 28 de la Constitución, párrafos d</w:t>
      </w:r>
      <w:r w:rsidR="00E24B02" w:rsidRPr="00DF04D5">
        <w:rPr>
          <w:rFonts w:ascii="ITC Avant Garde" w:hAnsi="ITC Avant Garde" w:cs="Tahoma"/>
          <w:bCs/>
          <w:color w:val="000000"/>
          <w:lang w:eastAsia="es-MX"/>
        </w:rPr>
        <w:t>é</w:t>
      </w:r>
      <w:r w:rsidRPr="00DF04D5">
        <w:rPr>
          <w:rFonts w:ascii="ITC Avant Garde" w:hAnsi="ITC Avant Garde" w:cs="Tahoma"/>
          <w:bCs/>
          <w:color w:val="000000"/>
          <w:lang w:eastAsia="es-MX"/>
        </w:rPr>
        <w:t>cimo</w:t>
      </w:r>
      <w:r w:rsidR="00E24B02" w:rsidRPr="00DF04D5">
        <w:rPr>
          <w:rFonts w:ascii="ITC Avant Garde" w:hAnsi="ITC Avant Garde" w:cs="Tahoma"/>
          <w:bCs/>
          <w:color w:val="000000"/>
          <w:lang w:eastAsia="es-MX"/>
        </w:rPr>
        <w:t xml:space="preserve"> </w:t>
      </w:r>
      <w:r w:rsidRPr="00DF04D5">
        <w:rPr>
          <w:rFonts w:ascii="ITC Avant Garde" w:hAnsi="ITC Avant Garde" w:cs="Tahoma"/>
          <w:bCs/>
          <w:color w:val="000000"/>
          <w:lang w:eastAsia="es-MX"/>
        </w:rPr>
        <w:t>séptimo y d</w:t>
      </w:r>
      <w:r w:rsidR="00E24B02" w:rsidRPr="00DF04D5">
        <w:rPr>
          <w:rFonts w:ascii="ITC Avant Garde" w:hAnsi="ITC Avant Garde" w:cs="Tahoma"/>
          <w:bCs/>
          <w:color w:val="000000"/>
          <w:lang w:eastAsia="es-MX"/>
        </w:rPr>
        <w:t>é</w:t>
      </w:r>
      <w:r w:rsidRPr="00DF04D5">
        <w:rPr>
          <w:rFonts w:ascii="ITC Avant Garde" w:hAnsi="ITC Avant Garde" w:cs="Tahoma"/>
          <w:bCs/>
          <w:color w:val="000000"/>
          <w:lang w:eastAsia="es-MX"/>
        </w:rPr>
        <w:t>cimo</w:t>
      </w:r>
      <w:r w:rsidR="00E24B02" w:rsidRPr="00DF04D5">
        <w:rPr>
          <w:rFonts w:ascii="ITC Avant Garde" w:hAnsi="ITC Avant Garde" w:cs="Tahoma"/>
          <w:bCs/>
          <w:color w:val="000000"/>
          <w:lang w:eastAsia="es-MX"/>
        </w:rPr>
        <w:t xml:space="preserve"> o</w:t>
      </w:r>
      <w:r w:rsidRPr="00DF04D5">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rsidR="00EB2296" w:rsidRPr="00DF04D5" w:rsidRDefault="00EB2296" w:rsidP="00F13456">
      <w:pPr>
        <w:ind w:right="-142"/>
        <w:jc w:val="both"/>
        <w:rPr>
          <w:rFonts w:ascii="ITC Avant Garde" w:hAnsi="ITC Avant Garde" w:cs="Tahoma"/>
          <w:bCs/>
          <w:color w:val="000000"/>
          <w:lang w:eastAsia="es-MX"/>
        </w:rPr>
      </w:pPr>
      <w:r w:rsidRPr="00DF04D5">
        <w:rPr>
          <w:rFonts w:ascii="ITC Avant Garde" w:hAnsi="ITC Avant Garde" w:cs="Tahoma"/>
          <w:bCs/>
          <w:color w:val="000000"/>
          <w:lang w:eastAsia="es-MX"/>
        </w:rPr>
        <w:t>Así, el párrafo d</w:t>
      </w:r>
      <w:r w:rsidR="00E24B02" w:rsidRPr="00DF04D5">
        <w:rPr>
          <w:rFonts w:ascii="ITC Avant Garde" w:hAnsi="ITC Avant Garde" w:cs="Tahoma"/>
          <w:bCs/>
          <w:color w:val="000000"/>
          <w:lang w:eastAsia="es-MX"/>
        </w:rPr>
        <w:t>é</w:t>
      </w:r>
      <w:r w:rsidRPr="00DF04D5">
        <w:rPr>
          <w:rFonts w:ascii="ITC Avant Garde" w:hAnsi="ITC Avant Garde" w:cs="Tahoma"/>
          <w:bCs/>
          <w:color w:val="000000"/>
          <w:lang w:eastAsia="es-MX"/>
        </w:rPr>
        <w:t>cimo</w:t>
      </w:r>
      <w:r w:rsidR="00E24B02" w:rsidRPr="00DF04D5">
        <w:rPr>
          <w:rFonts w:ascii="ITC Avant Garde" w:hAnsi="ITC Avant Garde" w:cs="Tahoma"/>
          <w:bCs/>
          <w:color w:val="000000"/>
          <w:lang w:eastAsia="es-MX"/>
        </w:rPr>
        <w:t xml:space="preserve"> </w:t>
      </w:r>
      <w:r w:rsidRPr="00DF04D5">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EB2296" w:rsidRPr="00DF04D5" w:rsidRDefault="00EB2296" w:rsidP="00F13456">
      <w:pPr>
        <w:pStyle w:val="Texto"/>
        <w:spacing w:after="200" w:line="276" w:lineRule="auto"/>
        <w:ind w:left="567" w:right="615" w:firstLine="6"/>
        <w:rPr>
          <w:rFonts w:ascii="ITC Avant Garde" w:hAnsi="ITC Avant Garde"/>
          <w:szCs w:val="18"/>
        </w:rPr>
      </w:pPr>
      <w:r w:rsidRPr="00DF04D5">
        <w:rPr>
          <w:rFonts w:ascii="ITC Avant Garde" w:hAnsi="ITC Avant Garde"/>
          <w:szCs w:val="18"/>
        </w:rPr>
        <w:t>“</w:t>
      </w:r>
      <w:r w:rsidRPr="00DF04D5">
        <w:rPr>
          <w:rFonts w:ascii="ITC Avant Garde" w:hAnsi="ITC Avant Garde"/>
          <w:b/>
          <w:szCs w:val="18"/>
        </w:rPr>
        <w:t>Artículo 28</w:t>
      </w:r>
      <w:r w:rsidR="00505EC2" w:rsidRPr="00DF04D5">
        <w:rPr>
          <w:rFonts w:ascii="ITC Avant Garde" w:hAnsi="ITC Avant Garde"/>
          <w:b/>
          <w:szCs w:val="18"/>
        </w:rPr>
        <w:t>.</w:t>
      </w:r>
      <w:r w:rsidR="00505EC2" w:rsidRPr="00DF04D5">
        <w:rPr>
          <w:rFonts w:ascii="ITC Avant Garde" w:hAnsi="ITC Avant Garde"/>
          <w:szCs w:val="18"/>
        </w:rPr>
        <w:t xml:space="preserve"> </w:t>
      </w:r>
      <w:r w:rsidRPr="00DF04D5">
        <w:rPr>
          <w:rFonts w:ascii="ITC Avant Garde" w:hAnsi="ITC Avant Garde"/>
          <w:szCs w:val="18"/>
        </w:rPr>
        <w:t>…</w:t>
      </w:r>
    </w:p>
    <w:p w:rsidR="00E24B02" w:rsidRPr="00DF04D5" w:rsidRDefault="00EB2296" w:rsidP="00F13456">
      <w:pPr>
        <w:pStyle w:val="Texto"/>
        <w:spacing w:after="200" w:line="276" w:lineRule="auto"/>
        <w:ind w:left="567" w:right="615" w:firstLine="6"/>
        <w:rPr>
          <w:rFonts w:ascii="ITC Avant Garde" w:hAnsi="ITC Avant Garde"/>
          <w:szCs w:val="18"/>
        </w:rPr>
      </w:pPr>
      <w:r w:rsidRPr="00DF04D5">
        <w:rPr>
          <w:rFonts w:ascii="ITC Avant Garde" w:hAnsi="ITC Avant Garde"/>
          <w:szCs w:val="18"/>
        </w:rPr>
        <w:t>….</w:t>
      </w:r>
    </w:p>
    <w:p w:rsidR="00EB2296" w:rsidRPr="00DF04D5" w:rsidRDefault="00EB2296" w:rsidP="00F13456">
      <w:pPr>
        <w:pStyle w:val="Texto"/>
        <w:spacing w:after="200" w:line="276" w:lineRule="auto"/>
        <w:ind w:left="567" w:right="615" w:firstLine="6"/>
        <w:rPr>
          <w:rFonts w:ascii="ITC Avant Garde" w:hAnsi="ITC Avant Garde"/>
          <w:szCs w:val="18"/>
        </w:rPr>
      </w:pPr>
      <w:r w:rsidRPr="00DF04D5">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DF04D5">
        <w:rPr>
          <w:rFonts w:ascii="ITC Avant Garde" w:hAnsi="ITC Avant Garde"/>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DF04D5">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C7337" w:rsidRPr="00DF04D5" w:rsidRDefault="00746A53" w:rsidP="00F13456">
      <w:pPr>
        <w:autoSpaceDE w:val="0"/>
        <w:autoSpaceDN w:val="0"/>
        <w:adjustRightInd w:val="0"/>
        <w:ind w:left="567"/>
        <w:jc w:val="both"/>
        <w:rPr>
          <w:rFonts w:ascii="ITC Avant Garde" w:eastAsiaTheme="minorHAnsi" w:hAnsi="ITC Avant Garde" w:cs="Arial"/>
          <w:bCs/>
          <w:color w:val="000000"/>
          <w:sz w:val="18"/>
          <w:szCs w:val="18"/>
        </w:rPr>
      </w:pPr>
      <w:r w:rsidRPr="00DF04D5">
        <w:rPr>
          <w:rFonts w:ascii="ITC Avant Garde" w:eastAsiaTheme="minorHAnsi" w:hAnsi="ITC Avant Garde" w:cs="Arial"/>
          <w:bCs/>
          <w:color w:val="000000"/>
          <w:sz w:val="18"/>
          <w:szCs w:val="18"/>
        </w:rPr>
        <w:lastRenderedPageBreak/>
        <w:t>[Énfasis a</w:t>
      </w:r>
      <w:r w:rsidR="00BC7337" w:rsidRPr="00DF04D5">
        <w:rPr>
          <w:rFonts w:ascii="ITC Avant Garde" w:eastAsiaTheme="minorHAnsi" w:hAnsi="ITC Avant Garde" w:cs="Arial"/>
          <w:bCs/>
          <w:color w:val="000000"/>
          <w:sz w:val="18"/>
          <w:szCs w:val="18"/>
        </w:rPr>
        <w:t>ñadido]</w:t>
      </w:r>
    </w:p>
    <w:p w:rsidR="00EB2296" w:rsidRPr="00DF04D5" w:rsidRDefault="00EB2296" w:rsidP="00F13456">
      <w:pPr>
        <w:ind w:right="-144"/>
        <w:jc w:val="both"/>
        <w:rPr>
          <w:rFonts w:ascii="ITC Avant Garde" w:hAnsi="ITC Avant Garde"/>
          <w:bCs/>
          <w:color w:val="000000"/>
        </w:rPr>
      </w:pPr>
      <w:r w:rsidRPr="00DF04D5">
        <w:rPr>
          <w:rFonts w:ascii="ITC Avant Garde" w:hAnsi="ITC Avant Garde"/>
          <w:bCs/>
          <w:color w:val="000000"/>
        </w:rPr>
        <w:t>A su vez, el párrafo d</w:t>
      </w:r>
      <w:r w:rsidR="00E24B02" w:rsidRPr="00DF04D5">
        <w:rPr>
          <w:rFonts w:ascii="ITC Avant Garde" w:hAnsi="ITC Avant Garde"/>
          <w:bCs/>
          <w:color w:val="000000"/>
        </w:rPr>
        <w:t>é</w:t>
      </w:r>
      <w:r w:rsidRPr="00DF04D5">
        <w:rPr>
          <w:rFonts w:ascii="ITC Avant Garde" w:hAnsi="ITC Avant Garde"/>
          <w:bCs/>
          <w:color w:val="000000"/>
        </w:rPr>
        <w:t>cimo</w:t>
      </w:r>
      <w:r w:rsidR="00E24B02" w:rsidRPr="00DF04D5">
        <w:rPr>
          <w:rFonts w:ascii="ITC Avant Garde" w:hAnsi="ITC Avant Garde"/>
          <w:bCs/>
          <w:color w:val="000000"/>
        </w:rPr>
        <w:t xml:space="preserve"> o</w:t>
      </w:r>
      <w:r w:rsidRPr="00DF04D5">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rsidR="00EB2296" w:rsidRPr="00DF04D5" w:rsidRDefault="00EB2296" w:rsidP="00F13456">
      <w:pPr>
        <w:ind w:right="-144"/>
        <w:jc w:val="both"/>
        <w:rPr>
          <w:rFonts w:ascii="ITC Avant Garde" w:hAnsi="ITC Avant Garde"/>
          <w:bCs/>
          <w:color w:val="000000"/>
        </w:rPr>
      </w:pPr>
      <w:r w:rsidRPr="00DF04D5">
        <w:rPr>
          <w:rFonts w:ascii="ITC Avant Garde" w:hAnsi="ITC Avant Garde"/>
          <w:bCs/>
          <w:color w:val="000000"/>
        </w:rPr>
        <w:t xml:space="preserve">A continuación se realiza la transcripción del párrafo en comento: </w:t>
      </w:r>
    </w:p>
    <w:p w:rsidR="00EB2296" w:rsidRPr="00DF04D5" w:rsidRDefault="00EB2296" w:rsidP="00F13456">
      <w:pPr>
        <w:pStyle w:val="Texto"/>
        <w:spacing w:after="200" w:line="276" w:lineRule="auto"/>
        <w:ind w:left="567" w:right="615" w:firstLine="6"/>
        <w:rPr>
          <w:rFonts w:ascii="ITC Avant Garde" w:hAnsi="ITC Avant Garde"/>
          <w:szCs w:val="18"/>
        </w:rPr>
      </w:pPr>
      <w:r w:rsidRPr="00DF04D5">
        <w:rPr>
          <w:rFonts w:ascii="ITC Avant Garde" w:hAnsi="ITC Avant Garde"/>
          <w:szCs w:val="18"/>
        </w:rPr>
        <w:t>“</w:t>
      </w:r>
      <w:r w:rsidRPr="00DF04D5">
        <w:rPr>
          <w:rFonts w:ascii="ITC Avant Garde" w:hAnsi="ITC Avant Garde"/>
          <w:b/>
          <w:szCs w:val="18"/>
        </w:rPr>
        <w:t>Artículo 28</w:t>
      </w:r>
      <w:r w:rsidR="00E24B02" w:rsidRPr="00DF04D5">
        <w:rPr>
          <w:rFonts w:ascii="ITC Avant Garde" w:hAnsi="ITC Avant Garde"/>
          <w:b/>
          <w:szCs w:val="18"/>
        </w:rPr>
        <w:t>.</w:t>
      </w:r>
      <w:r w:rsidR="00E24B02" w:rsidRPr="00DF04D5">
        <w:rPr>
          <w:rFonts w:ascii="ITC Avant Garde" w:hAnsi="ITC Avant Garde"/>
          <w:szCs w:val="18"/>
        </w:rPr>
        <w:t xml:space="preserve"> </w:t>
      </w:r>
      <w:r w:rsidRPr="00DF04D5">
        <w:rPr>
          <w:rFonts w:ascii="ITC Avant Garde" w:hAnsi="ITC Avant Garde"/>
          <w:szCs w:val="18"/>
        </w:rPr>
        <w:t>…</w:t>
      </w:r>
    </w:p>
    <w:p w:rsidR="00EB2296" w:rsidRPr="00DF04D5" w:rsidRDefault="00EB2296" w:rsidP="00F13456">
      <w:pPr>
        <w:pStyle w:val="Texto"/>
        <w:spacing w:after="200" w:line="276" w:lineRule="auto"/>
        <w:ind w:left="567" w:right="615" w:firstLine="6"/>
        <w:rPr>
          <w:rFonts w:ascii="ITC Avant Garde" w:hAnsi="ITC Avant Garde"/>
          <w:szCs w:val="18"/>
        </w:rPr>
      </w:pPr>
      <w:r w:rsidRPr="00DF04D5">
        <w:rPr>
          <w:rFonts w:ascii="ITC Avant Garde" w:hAnsi="ITC Avant Garde"/>
          <w:szCs w:val="18"/>
        </w:rPr>
        <w:t>….</w:t>
      </w:r>
    </w:p>
    <w:p w:rsidR="00746A53" w:rsidRPr="00DF04D5" w:rsidRDefault="00EB2296" w:rsidP="00F13456">
      <w:pPr>
        <w:pStyle w:val="Texto"/>
        <w:spacing w:after="200" w:line="276" w:lineRule="auto"/>
        <w:ind w:left="567" w:right="615" w:firstLine="0"/>
        <w:rPr>
          <w:rFonts w:ascii="ITC Avant Garde" w:hAnsi="ITC Avant Garde"/>
          <w:szCs w:val="18"/>
        </w:rPr>
      </w:pPr>
      <w:r w:rsidRPr="00DF04D5">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DF04D5">
        <w:rPr>
          <w:rFonts w:ascii="ITC Avant Garde" w:hAnsi="ITC Avant Garde"/>
          <w:szCs w:val="18"/>
          <w:u w:val="single"/>
        </w:rPr>
        <w:t xml:space="preserve"> Las concesiones para </w:t>
      </w:r>
      <w:r w:rsidRPr="00DF04D5">
        <w:rPr>
          <w:rFonts w:ascii="ITC Avant Garde" w:hAnsi="ITC Avant Garde"/>
          <w:b/>
          <w:szCs w:val="18"/>
          <w:u w:val="single"/>
        </w:rPr>
        <w:t>uso público y social</w:t>
      </w:r>
      <w:r w:rsidRPr="00DF04D5">
        <w:rPr>
          <w:rFonts w:ascii="ITC Avant Garde" w:hAnsi="ITC Avant Garde"/>
          <w:szCs w:val="18"/>
          <w:u w:val="single"/>
        </w:rPr>
        <w:t xml:space="preserve"> serán </w:t>
      </w:r>
      <w:r w:rsidRPr="00DF04D5">
        <w:rPr>
          <w:rFonts w:ascii="ITC Avant Garde" w:hAnsi="ITC Avant Garde"/>
          <w:b/>
          <w:szCs w:val="18"/>
          <w:u w:val="single"/>
        </w:rPr>
        <w:t>sin fines de lucro</w:t>
      </w:r>
      <w:r w:rsidRPr="00DF04D5">
        <w:rPr>
          <w:rFonts w:ascii="ITC Avant Garde" w:hAnsi="ITC Avant Garde"/>
          <w:szCs w:val="18"/>
          <w:u w:val="single"/>
        </w:rPr>
        <w:t xml:space="preserve"> y se otorgarán bajo el </w:t>
      </w:r>
      <w:r w:rsidRPr="00DF04D5">
        <w:rPr>
          <w:rFonts w:ascii="ITC Avant Garde" w:hAnsi="ITC Avant Garde"/>
          <w:b/>
          <w:szCs w:val="18"/>
          <w:u w:val="single"/>
        </w:rPr>
        <w:t>mecanismo de asignación directa</w:t>
      </w:r>
      <w:r w:rsidRPr="00DF04D5">
        <w:rPr>
          <w:rFonts w:ascii="ITC Avant Garde" w:hAnsi="ITC Avant Garde"/>
          <w:szCs w:val="18"/>
          <w:u w:val="single"/>
        </w:rPr>
        <w:t xml:space="preserve"> conforme a lo previsto por la ley y en condiciones que garanticen la transparencia del procedimiento</w:t>
      </w:r>
      <w:r w:rsidRPr="00DF04D5">
        <w:rPr>
          <w:rFonts w:ascii="ITC Avant Garde" w:hAnsi="ITC Avant Garde"/>
          <w:szCs w:val="18"/>
        </w:rPr>
        <w:t>…”</w:t>
      </w:r>
      <w:r w:rsidR="00BC7337" w:rsidRPr="00DF04D5">
        <w:rPr>
          <w:rFonts w:ascii="ITC Avant Garde" w:hAnsi="ITC Avant Garde"/>
          <w:szCs w:val="18"/>
        </w:rPr>
        <w:t xml:space="preserve"> </w:t>
      </w:r>
    </w:p>
    <w:p w:rsidR="00746A53" w:rsidRPr="00DF04D5" w:rsidRDefault="00746A53" w:rsidP="00F13456">
      <w:pPr>
        <w:autoSpaceDE w:val="0"/>
        <w:autoSpaceDN w:val="0"/>
        <w:adjustRightInd w:val="0"/>
        <w:ind w:left="567"/>
        <w:jc w:val="both"/>
        <w:rPr>
          <w:rFonts w:ascii="ITC Avant Garde" w:eastAsiaTheme="minorHAnsi" w:hAnsi="ITC Avant Garde" w:cs="Arial"/>
          <w:bCs/>
          <w:color w:val="000000"/>
          <w:sz w:val="18"/>
          <w:szCs w:val="18"/>
        </w:rPr>
      </w:pPr>
      <w:r w:rsidRPr="00DF04D5">
        <w:rPr>
          <w:rFonts w:ascii="ITC Avant Garde" w:eastAsiaTheme="minorHAnsi" w:hAnsi="ITC Avant Garde" w:cs="Arial"/>
          <w:bCs/>
          <w:color w:val="000000"/>
          <w:sz w:val="18"/>
          <w:szCs w:val="18"/>
        </w:rPr>
        <w:t>[Énfasis a</w:t>
      </w:r>
      <w:r w:rsidR="00BC7337" w:rsidRPr="00DF04D5">
        <w:rPr>
          <w:rFonts w:ascii="ITC Avant Garde" w:eastAsiaTheme="minorHAnsi" w:hAnsi="ITC Avant Garde" w:cs="Arial"/>
          <w:bCs/>
          <w:color w:val="000000"/>
          <w:sz w:val="18"/>
          <w:szCs w:val="18"/>
        </w:rPr>
        <w:t>ñadido]</w:t>
      </w:r>
    </w:p>
    <w:p w:rsidR="00EB2296" w:rsidRPr="00DF04D5" w:rsidRDefault="00EB2296" w:rsidP="00F13456">
      <w:pPr>
        <w:ind w:right="-144"/>
        <w:jc w:val="both"/>
        <w:rPr>
          <w:rFonts w:ascii="ITC Avant Garde" w:hAnsi="ITC Avant Garde"/>
        </w:rPr>
      </w:pPr>
      <w:r w:rsidRPr="00DF04D5">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rsidR="0002719E" w:rsidRPr="00DF04D5" w:rsidRDefault="00EB2296" w:rsidP="00DF04D5">
      <w:pPr>
        <w:ind w:right="-144"/>
        <w:jc w:val="both"/>
        <w:rPr>
          <w:rFonts w:ascii="ITC Avant Garde" w:hAnsi="ITC Avant Garde"/>
        </w:rPr>
      </w:pPr>
      <w:r w:rsidRPr="00DF04D5">
        <w:rPr>
          <w:rFonts w:ascii="ITC Avant Garde" w:hAnsi="ITC Avant Garde"/>
        </w:rPr>
        <w:t xml:space="preserve">Así, </w:t>
      </w:r>
      <w:r w:rsidR="0002719E" w:rsidRPr="00DF04D5">
        <w:rPr>
          <w:rFonts w:ascii="ITC Avant Garde" w:hAnsi="ITC Avant Garde"/>
        </w:rPr>
        <w:t>el artículo 76 del mismo ordenamiento legal establece los tipos de concesiones sobre el espectro radioeléctrico q</w:t>
      </w:r>
      <w:r w:rsidR="00061683" w:rsidRPr="00DF04D5">
        <w:rPr>
          <w:rFonts w:ascii="ITC Avant Garde" w:hAnsi="ITC Avant Garde"/>
        </w:rPr>
        <w:t>ue confieren el derecho de usar y</w:t>
      </w:r>
      <w:r w:rsidR="0002719E" w:rsidRPr="00DF04D5">
        <w:rPr>
          <w:rFonts w:ascii="ITC Avant Garde" w:hAnsi="ITC Avant Garde"/>
        </w:rPr>
        <w:t xml:space="preserve"> aprovechar bandas de frecuencias del espectro radioeléctrico de uso determinado, para lo cual prevé que sean de uso comercial, público, privado o social.</w:t>
      </w:r>
    </w:p>
    <w:p w:rsidR="0002719E" w:rsidRPr="00DF04D5" w:rsidRDefault="0002719E" w:rsidP="00F13456">
      <w:pPr>
        <w:ind w:right="-144"/>
        <w:jc w:val="both"/>
        <w:rPr>
          <w:rFonts w:ascii="ITC Avant Garde" w:hAnsi="ITC Avant Garde"/>
        </w:rPr>
      </w:pPr>
      <w:r w:rsidRPr="00DF04D5">
        <w:rPr>
          <w:rFonts w:ascii="ITC Avant Garde" w:hAnsi="ITC Avant Garde"/>
        </w:rPr>
        <w:t xml:space="preserve">Por lo que hace al uso </w:t>
      </w:r>
      <w:r w:rsidR="00195C0D" w:rsidRPr="00DF04D5">
        <w:rPr>
          <w:rFonts w:ascii="ITC Avant Garde" w:hAnsi="ITC Avant Garde"/>
        </w:rPr>
        <w:t xml:space="preserve">social, la fracción IV </w:t>
      </w:r>
      <w:r w:rsidRPr="00DF04D5">
        <w:rPr>
          <w:rFonts w:ascii="ITC Avant Garde" w:hAnsi="ITC Avant Garde"/>
        </w:rPr>
        <w:t xml:space="preserve">del propio artículo 76 de la Ley dispone que </w:t>
      </w:r>
      <w:r w:rsidR="00195C0D" w:rsidRPr="00DF04D5">
        <w:rPr>
          <w:rFonts w:ascii="ITC Avant Garde" w:hAnsi="ITC Avant Garde"/>
        </w:rPr>
        <w:t xml:space="preserve">las concesiones para uso social </w:t>
      </w:r>
      <w:r w:rsidR="00F015C0" w:rsidRPr="00DF04D5">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rsidR="0002719E" w:rsidRPr="00DF04D5" w:rsidRDefault="0002719E" w:rsidP="00F13456">
      <w:pPr>
        <w:autoSpaceDE w:val="0"/>
        <w:autoSpaceDN w:val="0"/>
        <w:adjustRightInd w:val="0"/>
        <w:ind w:left="567" w:right="615"/>
        <w:jc w:val="both"/>
        <w:rPr>
          <w:rFonts w:ascii="ITC Avant Garde" w:eastAsiaTheme="minorHAnsi" w:hAnsi="ITC Avant Garde" w:cs="Arial"/>
          <w:color w:val="000000"/>
          <w:sz w:val="18"/>
          <w:szCs w:val="18"/>
        </w:rPr>
      </w:pPr>
      <w:r w:rsidRPr="00DF04D5">
        <w:rPr>
          <w:rFonts w:ascii="ITC Avant Garde" w:eastAsiaTheme="minorHAnsi" w:hAnsi="ITC Avant Garde" w:cs="Arial"/>
          <w:b/>
          <w:bCs/>
          <w:color w:val="000000"/>
          <w:sz w:val="18"/>
          <w:szCs w:val="18"/>
        </w:rPr>
        <w:t xml:space="preserve">“Artículo 76. </w:t>
      </w:r>
      <w:r w:rsidRPr="00DF04D5">
        <w:rPr>
          <w:rFonts w:ascii="ITC Avant Garde" w:eastAsiaTheme="minorHAnsi" w:hAnsi="ITC Avant Garde" w:cs="Arial"/>
          <w:color w:val="000000"/>
          <w:sz w:val="18"/>
          <w:szCs w:val="18"/>
        </w:rPr>
        <w:t xml:space="preserve">De acuerdo con sus fines, las concesiones a que se refiere este capítulo serán: </w:t>
      </w:r>
    </w:p>
    <w:p w:rsidR="0002719E" w:rsidRPr="00DF04D5" w:rsidRDefault="0002719E" w:rsidP="00F13456">
      <w:pPr>
        <w:autoSpaceDE w:val="0"/>
        <w:autoSpaceDN w:val="0"/>
        <w:adjustRightInd w:val="0"/>
        <w:ind w:left="567" w:right="615"/>
        <w:jc w:val="both"/>
        <w:rPr>
          <w:rFonts w:ascii="ITC Avant Garde" w:eastAsiaTheme="minorHAnsi" w:hAnsi="ITC Avant Garde" w:cs="Arial"/>
          <w:color w:val="000000"/>
          <w:sz w:val="18"/>
          <w:szCs w:val="18"/>
        </w:rPr>
      </w:pPr>
      <w:r w:rsidRPr="00DF04D5">
        <w:rPr>
          <w:rFonts w:ascii="ITC Avant Garde" w:eastAsiaTheme="minorHAnsi" w:hAnsi="ITC Avant Garde" w:cs="Arial"/>
          <w:b/>
          <w:bCs/>
          <w:color w:val="000000"/>
          <w:sz w:val="18"/>
          <w:szCs w:val="18"/>
        </w:rPr>
        <w:lastRenderedPageBreak/>
        <w:t>…</w:t>
      </w:r>
    </w:p>
    <w:p w:rsidR="0002719E" w:rsidRPr="00DF04D5" w:rsidRDefault="00F015C0" w:rsidP="00F13456">
      <w:pPr>
        <w:ind w:left="567" w:right="615"/>
        <w:jc w:val="both"/>
        <w:rPr>
          <w:rFonts w:ascii="ITC Avant Garde" w:eastAsiaTheme="minorHAnsi" w:hAnsi="ITC Avant Garde" w:cs="Arial"/>
          <w:b/>
          <w:bCs/>
          <w:color w:val="000000"/>
          <w:sz w:val="18"/>
          <w:szCs w:val="18"/>
        </w:rPr>
      </w:pPr>
      <w:r w:rsidRPr="00DF04D5">
        <w:rPr>
          <w:rFonts w:ascii="ITC Avant Garde" w:eastAsiaTheme="minorHAnsi" w:hAnsi="ITC Avant Garde" w:cs="Arial"/>
          <w:b/>
          <w:bCs/>
          <w:color w:val="000000"/>
          <w:sz w:val="18"/>
          <w:szCs w:val="18"/>
        </w:rPr>
        <w:t xml:space="preserve">IV. Para uso social: </w:t>
      </w:r>
      <w:r w:rsidRPr="00DF04D5">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DF04D5">
        <w:rPr>
          <w:rFonts w:ascii="ITC Avant Garde" w:eastAsiaTheme="minorHAnsi" w:hAnsi="ITC Avant Garde" w:cs="Arial"/>
          <w:bCs/>
          <w:color w:val="000000"/>
          <w:sz w:val="18"/>
          <w:szCs w:val="18"/>
        </w:rPr>
        <w:t xml:space="preserve"> Quedan comprendidos en esta categoría los medios comunitarios e indígenas referidos en el artículo 67, fracción IV, así como </w:t>
      </w:r>
      <w:r w:rsidRPr="00DF04D5">
        <w:rPr>
          <w:rFonts w:ascii="ITC Avant Garde" w:eastAsiaTheme="minorHAnsi" w:hAnsi="ITC Avant Garde" w:cs="Arial"/>
          <w:bCs/>
          <w:color w:val="000000"/>
          <w:sz w:val="18"/>
          <w:szCs w:val="18"/>
          <w:u w:val="single"/>
        </w:rPr>
        <w:t>las instituciones de educación superior de carácter privado</w:t>
      </w:r>
      <w:r w:rsidRPr="00DF04D5">
        <w:rPr>
          <w:rFonts w:ascii="ITC Avant Garde" w:eastAsiaTheme="minorHAnsi" w:hAnsi="ITC Avant Garde" w:cs="Arial"/>
          <w:bCs/>
          <w:color w:val="000000"/>
          <w:sz w:val="18"/>
          <w:szCs w:val="18"/>
        </w:rPr>
        <w:t>.”</w:t>
      </w:r>
    </w:p>
    <w:p w:rsidR="0002719E" w:rsidRPr="00DF04D5" w:rsidRDefault="00746A53" w:rsidP="00F13456">
      <w:pPr>
        <w:autoSpaceDE w:val="0"/>
        <w:autoSpaceDN w:val="0"/>
        <w:adjustRightInd w:val="0"/>
        <w:ind w:left="567"/>
        <w:jc w:val="both"/>
        <w:rPr>
          <w:rFonts w:ascii="ITC Avant Garde" w:eastAsiaTheme="minorHAnsi" w:hAnsi="ITC Avant Garde" w:cs="Arial"/>
          <w:bCs/>
          <w:color w:val="000000"/>
          <w:sz w:val="18"/>
          <w:szCs w:val="18"/>
        </w:rPr>
      </w:pPr>
      <w:r w:rsidRPr="00DF04D5">
        <w:rPr>
          <w:rFonts w:ascii="ITC Avant Garde" w:eastAsiaTheme="minorHAnsi" w:hAnsi="ITC Avant Garde" w:cs="Arial"/>
          <w:bCs/>
          <w:color w:val="000000"/>
          <w:sz w:val="18"/>
          <w:szCs w:val="18"/>
        </w:rPr>
        <w:t>[Énfasis a</w:t>
      </w:r>
      <w:r w:rsidR="0002719E" w:rsidRPr="00DF04D5">
        <w:rPr>
          <w:rFonts w:ascii="ITC Avant Garde" w:eastAsiaTheme="minorHAnsi" w:hAnsi="ITC Avant Garde" w:cs="Arial"/>
          <w:bCs/>
          <w:color w:val="000000"/>
          <w:sz w:val="18"/>
          <w:szCs w:val="18"/>
        </w:rPr>
        <w:t>ñadido]</w:t>
      </w:r>
    </w:p>
    <w:p w:rsidR="0002719E" w:rsidRPr="00DF04D5" w:rsidRDefault="0002719E" w:rsidP="00F13456">
      <w:pPr>
        <w:ind w:right="-144"/>
        <w:jc w:val="both"/>
        <w:rPr>
          <w:rFonts w:ascii="ITC Avant Garde" w:hAnsi="ITC Avant Garde"/>
        </w:rPr>
      </w:pPr>
      <w:r w:rsidRPr="00DF04D5">
        <w:rPr>
          <w:rFonts w:ascii="ITC Avant Garde" w:hAnsi="ITC Avant Garde"/>
        </w:rPr>
        <w:t xml:space="preserve">Efectivamente, tratándose de concesiones </w:t>
      </w:r>
      <w:r w:rsidRPr="00DF04D5">
        <w:rPr>
          <w:rFonts w:ascii="ITC Avant Garde" w:hAnsi="ITC Avant Garde" w:cs="Tahoma"/>
          <w:bCs/>
          <w:color w:val="000000"/>
          <w:lang w:eastAsia="es-MX"/>
        </w:rPr>
        <w:t xml:space="preserve">sobre el espectro radioeléctrico </w:t>
      </w:r>
      <w:r w:rsidRPr="00DF04D5">
        <w:rPr>
          <w:rFonts w:ascii="ITC Avant Garde" w:hAnsi="ITC Avant Garde"/>
        </w:rPr>
        <w:t xml:space="preserve">para uso </w:t>
      </w:r>
      <w:r w:rsidR="00F015C0" w:rsidRPr="00DF04D5">
        <w:rPr>
          <w:rFonts w:ascii="ITC Avant Garde" w:hAnsi="ITC Avant Garde"/>
        </w:rPr>
        <w:t>social</w:t>
      </w:r>
      <w:r w:rsidRPr="00DF04D5">
        <w:rPr>
          <w:rFonts w:ascii="ITC Avant Garde" w:hAnsi="ITC Avant Garde"/>
        </w:rPr>
        <w:t xml:space="preserve">, de conformidad con lo dispuesto en la norma constitucional </w:t>
      </w:r>
      <w:proofErr w:type="spellStart"/>
      <w:r w:rsidRPr="00DF04D5">
        <w:rPr>
          <w:rFonts w:ascii="ITC Avant Garde" w:hAnsi="ITC Avant Garde"/>
        </w:rPr>
        <w:t>supracitada</w:t>
      </w:r>
      <w:proofErr w:type="spellEnd"/>
      <w:r w:rsidRPr="00DF04D5">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DF04D5">
        <w:rPr>
          <w:rFonts w:ascii="ITC Avant Garde" w:hAnsi="ITC Avant Garde"/>
        </w:rPr>
        <w:t xml:space="preserve">En este mecanismo únicamente pueden intervenir como solicitantes las personas físicas, las sociedades civiles que no persigan ni operen con fines de lucro </w:t>
      </w:r>
      <w:r w:rsidR="00645023" w:rsidRPr="00DF04D5">
        <w:rPr>
          <w:rFonts w:ascii="ITC Avant Garde" w:hAnsi="ITC Avant Garde"/>
        </w:rPr>
        <w:t xml:space="preserve">y </w:t>
      </w:r>
      <w:r w:rsidR="00F015C0" w:rsidRPr="00DF04D5">
        <w:rPr>
          <w:rFonts w:ascii="ITC Avant Garde" w:hAnsi="ITC Avant Garde"/>
        </w:rPr>
        <w:t>las instituciones de educación superior de carácter privado, todas de nacionalidad mexicana.</w:t>
      </w:r>
      <w:r w:rsidRPr="00DF04D5">
        <w:rPr>
          <w:rFonts w:ascii="ITC Avant Garde" w:hAnsi="ITC Avant Garde"/>
        </w:rPr>
        <w:t xml:space="preserve"> </w:t>
      </w:r>
    </w:p>
    <w:p w:rsidR="00007DC5" w:rsidRPr="00DF04D5" w:rsidRDefault="00007DC5" w:rsidP="00F13456">
      <w:pPr>
        <w:ind w:right="-144"/>
        <w:jc w:val="both"/>
        <w:rPr>
          <w:rFonts w:ascii="ITC Avant Garde" w:hAnsi="ITC Avant Garde"/>
        </w:rPr>
      </w:pPr>
      <w:r w:rsidRPr="00DF04D5">
        <w:rPr>
          <w:rFonts w:ascii="ITC Avant Garde" w:hAnsi="ITC Avant Garde"/>
        </w:rPr>
        <w:t>Por su parte</w:t>
      </w:r>
      <w:r w:rsidR="009C480D" w:rsidRPr="00DF04D5">
        <w:rPr>
          <w:rFonts w:ascii="ITC Avant Garde" w:hAnsi="ITC Avant Garde"/>
        </w:rPr>
        <w:t xml:space="preserve">, </w:t>
      </w:r>
      <w:r w:rsidRPr="00DF04D5">
        <w:rPr>
          <w:rFonts w:ascii="ITC Avant Garde" w:hAnsi="ITC Avant Garde"/>
        </w:rPr>
        <w:t>el segundo párrafo el artículo 75 de</w:t>
      </w:r>
      <w:r w:rsidR="00795FE1" w:rsidRPr="00DF04D5">
        <w:rPr>
          <w:rFonts w:ascii="ITC Avant Garde" w:hAnsi="ITC Avant Garde"/>
        </w:rPr>
        <w:t>l mismo ordenamiento</w:t>
      </w:r>
      <w:r w:rsidRPr="00DF04D5">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rsidR="006A7D4E" w:rsidRPr="00DF04D5" w:rsidRDefault="00C15907" w:rsidP="00F13456">
      <w:pPr>
        <w:ind w:right="-144"/>
        <w:jc w:val="both"/>
        <w:rPr>
          <w:rFonts w:ascii="ITC Avant Garde" w:hAnsi="ITC Avant Garde"/>
        </w:rPr>
      </w:pPr>
      <w:r w:rsidRPr="00DF04D5">
        <w:rPr>
          <w:rFonts w:ascii="ITC Avant Garde" w:hAnsi="ITC Avant Garde"/>
        </w:rPr>
        <w:t xml:space="preserve">En ese sentido, </w:t>
      </w:r>
      <w:r w:rsidR="00EB2296" w:rsidRPr="00DF04D5">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DF04D5">
        <w:rPr>
          <w:rFonts w:ascii="ITC Avant Garde" w:hAnsi="ITC Avant Garde"/>
        </w:rPr>
        <w:t>social</w:t>
      </w:r>
      <w:r w:rsidR="00EB2296" w:rsidRPr="00DF04D5">
        <w:rPr>
          <w:rFonts w:ascii="ITC Avant Garde" w:hAnsi="ITC Avant Garde"/>
        </w:rPr>
        <w:t xml:space="preserve"> confieren </w:t>
      </w:r>
      <w:r w:rsidR="00645023" w:rsidRPr="00DF04D5">
        <w:rPr>
          <w:rFonts w:ascii="ITC Avant Garde" w:hAnsi="ITC Avant Garde"/>
        </w:rPr>
        <w:t>el derecho de prestar servicios de telecomunicaciones y radiodifusión con propósitos culturales, científicos, educativos o a la comunidad, sin fines de lucro</w:t>
      </w:r>
      <w:r w:rsidR="00F87A5A" w:rsidRPr="00DF04D5">
        <w:rPr>
          <w:rFonts w:ascii="ITC Avant Garde" w:hAnsi="ITC Avant Garde"/>
        </w:rPr>
        <w:t>, q</w:t>
      </w:r>
      <w:r w:rsidR="00645023" w:rsidRPr="00DF04D5">
        <w:rPr>
          <w:rFonts w:ascii="ITC Avant Garde" w:hAnsi="ITC Avant Garde"/>
        </w:rPr>
        <w:t>uedando comprendidas en esta categoría las concesion</w:t>
      </w:r>
      <w:r w:rsidR="00F87A5A" w:rsidRPr="00DF04D5">
        <w:rPr>
          <w:rFonts w:ascii="ITC Avant Garde" w:hAnsi="ITC Avant Garde"/>
        </w:rPr>
        <w:t>es comunitarias y las indígenas,</w:t>
      </w:r>
      <w:r w:rsidR="00645023" w:rsidRPr="00DF04D5">
        <w:rPr>
          <w:rFonts w:ascii="ITC Avant Garde" w:hAnsi="ITC Avant Garde"/>
        </w:rPr>
        <w:t xml:space="preserve"> así como las que se otorguen a instituciones de educación superior de carácter privado</w:t>
      </w:r>
      <w:r w:rsidR="00EB2296" w:rsidRPr="00DF04D5">
        <w:rPr>
          <w:rFonts w:ascii="ITC Avant Garde" w:hAnsi="ITC Avant Garde"/>
        </w:rPr>
        <w:t xml:space="preserve">, como se advierte de la lectura siguiente: </w:t>
      </w:r>
    </w:p>
    <w:p w:rsidR="00EB2296" w:rsidRPr="00DF04D5" w:rsidRDefault="00EB2296" w:rsidP="00F13456">
      <w:pPr>
        <w:autoSpaceDE w:val="0"/>
        <w:autoSpaceDN w:val="0"/>
        <w:adjustRightInd w:val="0"/>
        <w:ind w:left="567" w:right="615"/>
        <w:jc w:val="both"/>
        <w:rPr>
          <w:rFonts w:ascii="ITC Avant Garde" w:eastAsiaTheme="minorHAnsi" w:hAnsi="ITC Avant Garde" w:cs="Arial"/>
          <w:color w:val="000000"/>
          <w:sz w:val="18"/>
          <w:szCs w:val="18"/>
        </w:rPr>
      </w:pPr>
      <w:r w:rsidRPr="00DF04D5">
        <w:rPr>
          <w:rFonts w:ascii="ITC Avant Garde" w:eastAsiaTheme="minorHAnsi" w:hAnsi="ITC Avant Garde" w:cs="Arial"/>
          <w:b/>
          <w:bCs/>
          <w:color w:val="000000"/>
          <w:sz w:val="18"/>
          <w:szCs w:val="18"/>
        </w:rPr>
        <w:t xml:space="preserve">“Artículo 67. </w:t>
      </w:r>
      <w:r w:rsidRPr="00DF04D5">
        <w:rPr>
          <w:rFonts w:ascii="ITC Avant Garde" w:eastAsiaTheme="minorHAnsi" w:hAnsi="ITC Avant Garde" w:cs="Arial"/>
          <w:color w:val="000000"/>
          <w:sz w:val="18"/>
          <w:szCs w:val="18"/>
        </w:rPr>
        <w:t xml:space="preserve">De acuerdo con sus fines, la concesión única será: </w:t>
      </w:r>
    </w:p>
    <w:p w:rsidR="00EB2296" w:rsidRPr="00DF04D5" w:rsidRDefault="00EB2296" w:rsidP="00F13456">
      <w:pPr>
        <w:autoSpaceDE w:val="0"/>
        <w:autoSpaceDN w:val="0"/>
        <w:adjustRightInd w:val="0"/>
        <w:ind w:left="567" w:right="615"/>
        <w:jc w:val="both"/>
        <w:rPr>
          <w:rFonts w:ascii="ITC Avant Garde" w:eastAsiaTheme="minorHAnsi" w:hAnsi="ITC Avant Garde" w:cs="Arial"/>
          <w:color w:val="000000"/>
          <w:sz w:val="18"/>
          <w:szCs w:val="18"/>
        </w:rPr>
      </w:pPr>
      <w:r w:rsidRPr="00DF04D5">
        <w:rPr>
          <w:rFonts w:ascii="ITC Avant Garde" w:eastAsiaTheme="minorHAnsi" w:hAnsi="ITC Avant Garde" w:cs="Arial"/>
          <w:b/>
          <w:bCs/>
          <w:color w:val="000000"/>
          <w:sz w:val="18"/>
          <w:szCs w:val="18"/>
        </w:rPr>
        <w:t>…</w:t>
      </w:r>
    </w:p>
    <w:p w:rsidR="00746A53" w:rsidRPr="00DF04D5" w:rsidRDefault="00645023" w:rsidP="00F13456">
      <w:pPr>
        <w:pStyle w:val="Default"/>
        <w:spacing w:after="200"/>
        <w:ind w:left="567" w:right="899"/>
        <w:jc w:val="both"/>
        <w:rPr>
          <w:rFonts w:ascii="ITC Avant Garde" w:hAnsi="ITC Avant Garde"/>
          <w:bCs/>
          <w:sz w:val="18"/>
          <w:szCs w:val="18"/>
        </w:rPr>
      </w:pPr>
      <w:r w:rsidRPr="00DF04D5">
        <w:rPr>
          <w:rFonts w:ascii="ITC Avant Garde" w:hAnsi="ITC Avant Garde"/>
          <w:b/>
          <w:bCs/>
          <w:sz w:val="18"/>
          <w:szCs w:val="18"/>
        </w:rPr>
        <w:t xml:space="preserve">IV. Para uso social: </w:t>
      </w:r>
      <w:r w:rsidRPr="00DF04D5">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rsidR="00746A53" w:rsidRPr="00DF04D5" w:rsidRDefault="00746A53" w:rsidP="00F13456">
      <w:pPr>
        <w:pStyle w:val="Default"/>
        <w:spacing w:after="200"/>
        <w:ind w:left="567" w:right="899"/>
        <w:jc w:val="both"/>
        <w:rPr>
          <w:rFonts w:ascii="ITC Avant Garde" w:hAnsi="ITC Avant Garde"/>
          <w:sz w:val="18"/>
          <w:szCs w:val="18"/>
        </w:rPr>
      </w:pPr>
      <w:r w:rsidRPr="00DF04D5">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w:t>
      </w:r>
      <w:r w:rsidRPr="00DF04D5">
        <w:rPr>
          <w:rFonts w:ascii="ITC Avant Garde" w:hAnsi="ITC Avant Garde"/>
          <w:sz w:val="18"/>
          <w:szCs w:val="18"/>
        </w:rPr>
        <w:lastRenderedPageBreak/>
        <w:t xml:space="preserve">los principios de participación ciudadana directa, convivencia social, equidad, igualdad de género y pluralidad. </w:t>
      </w:r>
    </w:p>
    <w:p w:rsidR="0097294C" w:rsidRPr="00DF04D5" w:rsidRDefault="00746A53" w:rsidP="00F13456">
      <w:pPr>
        <w:autoSpaceDE w:val="0"/>
        <w:autoSpaceDN w:val="0"/>
        <w:adjustRightInd w:val="0"/>
        <w:ind w:left="567" w:right="899"/>
        <w:jc w:val="both"/>
        <w:rPr>
          <w:rFonts w:ascii="ITC Avant Garde" w:eastAsiaTheme="minorHAnsi" w:hAnsi="ITC Avant Garde" w:cs="Arial"/>
          <w:bCs/>
          <w:color w:val="000000"/>
          <w:sz w:val="18"/>
          <w:szCs w:val="18"/>
        </w:rPr>
      </w:pPr>
      <w:r w:rsidRPr="00DF04D5">
        <w:rPr>
          <w:rFonts w:ascii="ITC Avant Garde" w:eastAsiaTheme="minorHAnsi" w:hAnsi="ITC Avant Garde" w:cs="Arial"/>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rsidR="00EB2296" w:rsidRPr="00DF04D5" w:rsidRDefault="00746A53" w:rsidP="00F13456">
      <w:pPr>
        <w:ind w:left="567" w:right="615"/>
        <w:jc w:val="both"/>
        <w:rPr>
          <w:rFonts w:ascii="ITC Avant Garde" w:hAnsi="ITC Avant Garde"/>
          <w:sz w:val="18"/>
          <w:szCs w:val="18"/>
        </w:rPr>
      </w:pPr>
      <w:r w:rsidRPr="00DF04D5">
        <w:rPr>
          <w:rFonts w:ascii="ITC Avant Garde" w:eastAsiaTheme="minorHAnsi" w:hAnsi="ITC Avant Garde" w:cs="Arial"/>
          <w:color w:val="000000"/>
          <w:sz w:val="18"/>
          <w:szCs w:val="18"/>
        </w:rPr>
        <w:t>[Énfasis a</w:t>
      </w:r>
      <w:r w:rsidR="0097294C" w:rsidRPr="00DF04D5">
        <w:rPr>
          <w:rFonts w:ascii="ITC Avant Garde" w:eastAsiaTheme="minorHAnsi" w:hAnsi="ITC Avant Garde" w:cs="Arial"/>
          <w:color w:val="000000"/>
          <w:sz w:val="18"/>
          <w:szCs w:val="18"/>
        </w:rPr>
        <w:t>ñadido]</w:t>
      </w:r>
    </w:p>
    <w:p w:rsidR="00EB2296" w:rsidRPr="00DF04D5" w:rsidRDefault="00EB2296" w:rsidP="00F13456">
      <w:pPr>
        <w:jc w:val="both"/>
        <w:rPr>
          <w:rFonts w:ascii="ITC Avant Garde" w:hAnsi="ITC Avant Garde" w:cs="Tahoma"/>
          <w:bCs/>
          <w:color w:val="000000"/>
          <w:lang w:eastAsia="es-MX"/>
        </w:rPr>
      </w:pPr>
      <w:r w:rsidRPr="00DF04D5">
        <w:rPr>
          <w:rFonts w:ascii="ITC Avant Garde" w:hAnsi="ITC Avant Garde" w:cs="Tahoma"/>
          <w:bCs/>
          <w:color w:val="000000"/>
          <w:lang w:eastAsia="es-MX"/>
        </w:rPr>
        <w:t>Ahora bien, el artículo Décimo Séptimo Transitorio del Decreto de Ley, dispone lo siguiente:</w:t>
      </w:r>
    </w:p>
    <w:p w:rsidR="00EB2296" w:rsidRPr="00DF04D5" w:rsidRDefault="00EB2296" w:rsidP="00F13456">
      <w:pPr>
        <w:ind w:left="567" w:right="899"/>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w:t>
      </w:r>
      <w:r w:rsidRPr="00DF04D5">
        <w:rPr>
          <w:rFonts w:ascii="ITC Avant Garde" w:hAnsi="ITC Avant Garde" w:cs="Tahoma"/>
          <w:b/>
          <w:bCs/>
          <w:color w:val="000000"/>
          <w:sz w:val="18"/>
          <w:szCs w:val="18"/>
          <w:lang w:eastAsia="es-MX"/>
        </w:rPr>
        <w:t>DÉCIMO SÉPTIMO</w:t>
      </w:r>
      <w:r w:rsidRPr="00DF04D5">
        <w:rPr>
          <w:rFonts w:ascii="ITC Avant Garde" w:hAnsi="ITC Avant Garde" w:cs="Tahoma"/>
          <w:bCs/>
          <w:color w:val="000000"/>
          <w:sz w:val="18"/>
          <w:szCs w:val="18"/>
          <w:lang w:eastAsia="es-MX"/>
        </w:rPr>
        <w:t xml:space="preserve">. </w:t>
      </w:r>
      <w:r w:rsidRPr="00DF04D5">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DF04D5">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rsidR="00EB2296" w:rsidRPr="00DF04D5" w:rsidRDefault="00EB2296" w:rsidP="00F13456">
      <w:pPr>
        <w:ind w:left="567" w:right="899"/>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DF04D5">
        <w:rPr>
          <w:rFonts w:ascii="ITC Avant Garde" w:hAnsi="ITC Avant Garde" w:cs="Tahoma"/>
          <w:bCs/>
          <w:color w:val="000000"/>
          <w:sz w:val="18"/>
          <w:szCs w:val="18"/>
          <w:lang w:eastAsia="es-MX"/>
        </w:rPr>
        <w:t xml:space="preserve">, quien resolverá lo conducente, en un plazo de noventa días hábiles. </w:t>
      </w:r>
    </w:p>
    <w:p w:rsidR="00EB2296" w:rsidRPr="00DF04D5" w:rsidRDefault="00EB2296" w:rsidP="00F13456">
      <w:pPr>
        <w:ind w:left="567" w:right="899"/>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rsidR="00FE6582" w:rsidRPr="00DF04D5" w:rsidRDefault="00EB2296" w:rsidP="00F13456">
      <w:pPr>
        <w:ind w:left="567" w:right="899"/>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En caso de no cumplir con el presente artículo, los permisos concluirán su vigencia.”</w:t>
      </w:r>
    </w:p>
    <w:p w:rsidR="00FE6582" w:rsidRPr="00DF04D5" w:rsidRDefault="00FE6582" w:rsidP="00F13456">
      <w:pPr>
        <w:ind w:left="567" w:right="899"/>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[Énfasis añadido]</w:t>
      </w:r>
    </w:p>
    <w:p w:rsidR="00EB2296" w:rsidRPr="00DF04D5" w:rsidRDefault="00EB2296" w:rsidP="00F13456">
      <w:pPr>
        <w:jc w:val="both"/>
        <w:rPr>
          <w:rFonts w:ascii="ITC Avant Garde" w:hAnsi="ITC Avant Garde" w:cs="Tahoma"/>
          <w:bCs/>
          <w:color w:val="000000"/>
          <w:lang w:eastAsia="es-MX"/>
        </w:rPr>
      </w:pPr>
      <w:r w:rsidRPr="00DF04D5">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DF04D5">
        <w:rPr>
          <w:rStyle w:val="Refdenotaalpie"/>
          <w:rFonts w:ascii="ITC Avant Garde" w:hAnsi="ITC Avant Garde" w:cs="Tahoma"/>
          <w:bCs/>
          <w:color w:val="000000"/>
          <w:lang w:eastAsia="es-MX"/>
        </w:rPr>
        <w:footnoteReference w:id="1"/>
      </w:r>
      <w:r w:rsidRPr="00DF04D5">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DF04D5">
        <w:rPr>
          <w:rFonts w:ascii="ITC Avant Garde" w:hAnsi="ITC Avant Garde" w:cs="Tahoma"/>
          <w:bCs/>
          <w:color w:val="000000"/>
          <w:lang w:eastAsia="es-MX"/>
        </w:rPr>
        <w:t>,</w:t>
      </w:r>
      <w:r w:rsidRPr="00DF04D5">
        <w:rPr>
          <w:rFonts w:ascii="ITC Avant Garde" w:hAnsi="ITC Avant Garde" w:cs="Tahoma"/>
          <w:bCs/>
          <w:color w:val="000000"/>
          <w:lang w:eastAsia="es-MX"/>
        </w:rPr>
        <w:t xml:space="preserve"> es a través de una solicitud de transición al régimen de </w:t>
      </w:r>
      <w:r w:rsidRPr="00DF04D5">
        <w:rPr>
          <w:rFonts w:ascii="ITC Avant Garde" w:hAnsi="ITC Avant Garde" w:cs="Tahoma"/>
          <w:bCs/>
          <w:color w:val="000000"/>
          <w:lang w:eastAsia="es-MX"/>
        </w:rPr>
        <w:lastRenderedPageBreak/>
        <w:t xml:space="preserve">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rsidR="00EB2296" w:rsidRPr="00DF04D5" w:rsidRDefault="00FE6582" w:rsidP="00F13456">
      <w:pPr>
        <w:jc w:val="both"/>
        <w:rPr>
          <w:rFonts w:ascii="ITC Avant Garde" w:hAnsi="ITC Avant Garde" w:cs="Tahoma"/>
          <w:bCs/>
          <w:color w:val="000000"/>
          <w:lang w:eastAsia="es-MX"/>
        </w:rPr>
      </w:pPr>
      <w:r w:rsidRPr="00DF04D5">
        <w:rPr>
          <w:rFonts w:ascii="ITC Avant Garde" w:hAnsi="ITC Avant Garde" w:cs="Tahoma"/>
          <w:bCs/>
          <w:color w:val="000000"/>
          <w:lang w:eastAsia="es-MX"/>
        </w:rPr>
        <w:t>En este sentido</w:t>
      </w:r>
      <w:r w:rsidR="00EB2296" w:rsidRPr="00DF04D5">
        <w:rPr>
          <w:rFonts w:ascii="ITC Avant Garde" w:hAnsi="ITC Avant Garde" w:cs="Tahoma"/>
          <w:bCs/>
          <w:color w:val="000000"/>
          <w:lang w:eastAsia="es-MX"/>
        </w:rPr>
        <w:t xml:space="preserve">, </w:t>
      </w:r>
      <w:r w:rsidRPr="00DF04D5">
        <w:rPr>
          <w:rFonts w:ascii="ITC Avant Garde" w:hAnsi="ITC Avant Garde" w:cs="Tahoma"/>
          <w:bCs/>
          <w:color w:val="000000"/>
          <w:lang w:eastAsia="es-MX"/>
        </w:rPr>
        <w:t xml:space="preserve">como se señaló en el Antecedente </w:t>
      </w:r>
      <w:r w:rsidR="00B80D74" w:rsidRPr="00DF04D5">
        <w:rPr>
          <w:rFonts w:ascii="ITC Avant Garde" w:hAnsi="ITC Avant Garde" w:cs="Tahoma"/>
          <w:bCs/>
          <w:color w:val="000000"/>
          <w:lang w:eastAsia="es-MX"/>
        </w:rPr>
        <w:t>VI</w:t>
      </w:r>
      <w:r w:rsidRPr="00DF04D5">
        <w:rPr>
          <w:rFonts w:ascii="ITC Avant Garde" w:hAnsi="ITC Avant Garde" w:cs="Tahoma"/>
          <w:bCs/>
          <w:color w:val="000000"/>
          <w:lang w:eastAsia="es-MX"/>
        </w:rPr>
        <w:t xml:space="preserve">, el Instituto en el artículo Segundo Transitorio de los Lineamientos </w:t>
      </w:r>
      <w:r w:rsidR="00EB2296" w:rsidRPr="00DF04D5">
        <w:rPr>
          <w:rFonts w:ascii="ITC Avant Garde" w:hAnsi="ITC Avant Garde" w:cs="Tahoma"/>
          <w:bCs/>
          <w:color w:val="000000"/>
          <w:lang w:eastAsia="es-MX"/>
        </w:rPr>
        <w:t>establec</w:t>
      </w:r>
      <w:r w:rsidRPr="00DF04D5">
        <w:rPr>
          <w:rFonts w:ascii="ITC Avant Garde" w:hAnsi="ITC Avant Garde" w:cs="Tahoma"/>
          <w:bCs/>
          <w:color w:val="000000"/>
          <w:lang w:eastAsia="es-MX"/>
        </w:rPr>
        <w:t>ió</w:t>
      </w:r>
      <w:r w:rsidR="00EB2296" w:rsidRPr="00DF04D5">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rsidR="00EB2296" w:rsidRPr="00DF04D5" w:rsidRDefault="00EB2296" w:rsidP="00F13456">
      <w:pPr>
        <w:jc w:val="both"/>
        <w:rPr>
          <w:rFonts w:ascii="ITC Avant Garde" w:hAnsi="ITC Avant Garde" w:cs="Tahoma"/>
          <w:bCs/>
          <w:color w:val="000000"/>
          <w:lang w:eastAsia="es-MX"/>
        </w:rPr>
      </w:pPr>
      <w:r w:rsidRPr="00DF04D5">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w:t>
      </w:r>
      <w:r w:rsidR="00CD1CFB" w:rsidRPr="00DF04D5">
        <w:rPr>
          <w:rFonts w:ascii="ITC Avant Garde" w:hAnsi="ITC Avant Garde" w:cs="Tahoma"/>
          <w:bCs/>
          <w:color w:val="000000"/>
          <w:lang w:eastAsia="es-MX"/>
        </w:rPr>
        <w:br/>
      </w:r>
      <w:r w:rsidRPr="00DF04D5">
        <w:rPr>
          <w:rFonts w:ascii="ITC Avant Garde" w:hAnsi="ITC Avant Garde" w:cs="Tahoma"/>
          <w:bCs/>
          <w:color w:val="000000"/>
          <w:lang w:eastAsia="es-MX"/>
        </w:rPr>
        <w:t xml:space="preserve">90 </w:t>
      </w:r>
      <w:r w:rsidR="00FE6582" w:rsidRPr="00DF04D5">
        <w:rPr>
          <w:rFonts w:ascii="ITC Avant Garde" w:hAnsi="ITC Avant Garde" w:cs="Tahoma"/>
          <w:bCs/>
          <w:color w:val="000000"/>
          <w:lang w:eastAsia="es-MX"/>
        </w:rPr>
        <w:t xml:space="preserve">(noventa) </w:t>
      </w:r>
      <w:r w:rsidRPr="00DF04D5">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rsidR="00EB2296" w:rsidRPr="00DF04D5" w:rsidRDefault="00EB2296" w:rsidP="00F13456">
      <w:pPr>
        <w:jc w:val="both"/>
        <w:rPr>
          <w:rFonts w:ascii="ITC Avant Garde" w:hAnsi="ITC Avant Garde" w:cs="Tahoma"/>
          <w:bCs/>
          <w:color w:val="000000"/>
          <w:lang w:eastAsia="es-MX"/>
        </w:rPr>
      </w:pPr>
      <w:r w:rsidRPr="00DF04D5">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rsidR="00EB2296" w:rsidRPr="00DF04D5" w:rsidRDefault="007633EE" w:rsidP="00F13456">
      <w:pPr>
        <w:ind w:left="567" w:right="615"/>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w:t>
      </w:r>
      <w:r w:rsidR="00EB2296" w:rsidRPr="00DF04D5">
        <w:rPr>
          <w:rFonts w:ascii="ITC Avant Garde" w:hAnsi="ITC Avant Garde" w:cs="Tahoma"/>
          <w:b/>
          <w:bCs/>
          <w:color w:val="000000"/>
          <w:sz w:val="18"/>
          <w:szCs w:val="18"/>
          <w:lang w:eastAsia="es-MX"/>
        </w:rPr>
        <w:t>SEGUNDO</w:t>
      </w:r>
      <w:r w:rsidR="00EB2296" w:rsidRPr="00DF04D5">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7B3045" w:rsidRPr="00DF04D5" w:rsidRDefault="00EB2296" w:rsidP="00F13456">
      <w:pPr>
        <w:ind w:left="567" w:right="615"/>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w:t>
      </w:r>
    </w:p>
    <w:p w:rsidR="00EB2296" w:rsidRPr="00DF04D5" w:rsidRDefault="00EB2296" w:rsidP="00F13456">
      <w:pPr>
        <w:ind w:left="567" w:right="615"/>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IV</w:t>
      </w:r>
      <w:r w:rsidRPr="00DF04D5">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rsidR="00EB2296" w:rsidRPr="00DF04D5" w:rsidRDefault="00B9022C"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a)</w:t>
      </w:r>
      <w:r w:rsidRPr="00DF04D5">
        <w:rPr>
          <w:rFonts w:ascii="ITC Avant Garde" w:hAnsi="ITC Avant Garde" w:cs="Tahoma"/>
          <w:b/>
          <w:bCs/>
          <w:color w:val="000000"/>
          <w:sz w:val="18"/>
          <w:szCs w:val="18"/>
          <w:lang w:eastAsia="es-MX"/>
        </w:rPr>
        <w:tab/>
      </w:r>
      <w:r w:rsidR="00EB2296" w:rsidRPr="00DF04D5">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b)</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En su caso, correo electrónico y teléfono;</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c)</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d)</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Distintivo de llamada;</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e)</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Frecuencia(s) o canal(es) asignado(s);</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f)</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 xml:space="preserve">Población principal a servir (Localidad, Municipio, Estado y Clave del área </w:t>
      </w:r>
      <w:proofErr w:type="spellStart"/>
      <w:r w:rsidRPr="00DF04D5">
        <w:rPr>
          <w:rFonts w:ascii="ITC Avant Garde" w:hAnsi="ITC Avant Garde" w:cs="Tahoma"/>
          <w:bCs/>
          <w:color w:val="000000"/>
          <w:sz w:val="18"/>
          <w:szCs w:val="18"/>
          <w:lang w:eastAsia="es-MX"/>
        </w:rPr>
        <w:t>geoestadística</w:t>
      </w:r>
      <w:proofErr w:type="spellEnd"/>
      <w:r w:rsidRPr="00DF04D5">
        <w:rPr>
          <w:rFonts w:ascii="ITC Avant Garde" w:hAnsi="ITC Avant Garde" w:cs="Tahoma"/>
          <w:bCs/>
          <w:color w:val="000000"/>
          <w:sz w:val="18"/>
          <w:szCs w:val="18"/>
          <w:lang w:eastAsia="es-MX"/>
        </w:rPr>
        <w:t xml:space="preserve"> del Instituto Nacional de Estadística y Geografía);</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lastRenderedPageBreak/>
        <w:t>g)</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Fecha de expedición y vigencia del título de permiso objeto de la transición;</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h)</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Uso de la Concesión, es decir, para Uso Público o Uso Social y, en su caso, si es Social Comunitaria o Social Indígena;</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i)</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rsidR="00EB2296" w:rsidRPr="00DF04D5" w:rsidRDefault="00EB2296" w:rsidP="00F13456">
      <w:pPr>
        <w:ind w:left="851" w:right="615" w:hanging="284"/>
        <w:jc w:val="both"/>
        <w:rPr>
          <w:rFonts w:ascii="ITC Avant Garde" w:hAnsi="ITC Avant Garde" w:cs="Tahoma"/>
          <w:bCs/>
          <w:color w:val="000000"/>
          <w:sz w:val="18"/>
          <w:szCs w:val="18"/>
          <w:lang w:eastAsia="es-MX"/>
        </w:rPr>
      </w:pPr>
      <w:r w:rsidRPr="00DF04D5">
        <w:rPr>
          <w:rFonts w:ascii="ITC Avant Garde" w:hAnsi="ITC Avant Garde" w:cs="Tahoma"/>
          <w:b/>
          <w:bCs/>
          <w:color w:val="000000"/>
          <w:sz w:val="18"/>
          <w:szCs w:val="18"/>
          <w:lang w:eastAsia="es-MX"/>
        </w:rPr>
        <w:t>j)</w:t>
      </w:r>
      <w:r w:rsidR="00B9022C" w:rsidRPr="00DF04D5">
        <w:rPr>
          <w:rFonts w:ascii="ITC Avant Garde" w:hAnsi="ITC Avant Garde" w:cs="Tahoma"/>
          <w:bCs/>
          <w:color w:val="000000"/>
          <w:sz w:val="18"/>
          <w:szCs w:val="18"/>
          <w:lang w:eastAsia="es-MX"/>
        </w:rPr>
        <w:tab/>
      </w:r>
      <w:r w:rsidRPr="00DF04D5">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rsidR="00EB2296" w:rsidRPr="00DF04D5" w:rsidRDefault="00EB2296" w:rsidP="00F13456">
      <w:pPr>
        <w:ind w:left="851" w:right="615"/>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Para efectos de la solicitud a que se refiere esta fracción, los Interesados podrán utilizar el Formato IFT-Transición Radiodifusión.</w:t>
      </w:r>
    </w:p>
    <w:p w:rsidR="00EB2296" w:rsidRPr="00DF04D5" w:rsidRDefault="00EB2296" w:rsidP="00F13456">
      <w:pPr>
        <w:ind w:left="567" w:right="615"/>
        <w:jc w:val="both"/>
        <w:rPr>
          <w:rFonts w:ascii="ITC Avant Garde" w:hAnsi="ITC Avant Garde" w:cs="Tahoma"/>
          <w:bCs/>
          <w:color w:val="000000"/>
          <w:sz w:val="18"/>
          <w:szCs w:val="18"/>
          <w:lang w:eastAsia="es-MX"/>
        </w:rPr>
      </w:pPr>
      <w:r w:rsidRPr="00DF04D5">
        <w:rPr>
          <w:rFonts w:ascii="ITC Avant Garde" w:hAnsi="ITC Avant Garde" w:cs="Tahoma"/>
          <w:bCs/>
          <w:color w:val="000000"/>
          <w:sz w:val="18"/>
          <w:szCs w:val="18"/>
          <w:lang w:eastAsia="es-MX"/>
        </w:rPr>
        <w:t>…”</w:t>
      </w:r>
      <w:r w:rsidR="00746A53" w:rsidRPr="00DF04D5">
        <w:rPr>
          <w:rFonts w:ascii="ITC Avant Garde" w:hAnsi="ITC Avant Garde" w:cs="Tahoma"/>
          <w:bCs/>
          <w:color w:val="000000"/>
          <w:sz w:val="18"/>
          <w:szCs w:val="18"/>
          <w:lang w:eastAsia="es-MX"/>
        </w:rPr>
        <w:t>.</w:t>
      </w:r>
    </w:p>
    <w:p w:rsidR="008F706D" w:rsidRPr="00DF04D5" w:rsidRDefault="00EB2296" w:rsidP="00F13456">
      <w:pPr>
        <w:jc w:val="both"/>
        <w:rPr>
          <w:rFonts w:ascii="ITC Avant Garde" w:hAnsi="ITC Avant Garde" w:cs="Tahoma"/>
          <w:bCs/>
          <w:color w:val="000000"/>
          <w:lang w:eastAsia="es-MX"/>
        </w:rPr>
      </w:pPr>
      <w:r w:rsidRPr="00DF04D5">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rsidR="009B0D9A" w:rsidRPr="00DF04D5" w:rsidRDefault="00EB2296" w:rsidP="00F13456">
      <w:pPr>
        <w:autoSpaceDE w:val="0"/>
        <w:autoSpaceDN w:val="0"/>
        <w:adjustRightInd w:val="0"/>
        <w:jc w:val="both"/>
        <w:rPr>
          <w:rFonts w:ascii="ITC Avant Garde" w:eastAsia="Times New Roman" w:hAnsi="ITC Avant Garde"/>
          <w:bCs/>
          <w:kern w:val="1"/>
          <w:lang w:val="es-ES" w:eastAsia="ar-SA"/>
        </w:rPr>
      </w:pPr>
      <w:r w:rsidRPr="00DF04D5">
        <w:rPr>
          <w:rFonts w:ascii="ITC Avant Garde" w:eastAsia="Times New Roman" w:hAnsi="ITC Avant Garde"/>
          <w:b/>
          <w:kern w:val="1"/>
          <w:lang w:val="es-ES" w:eastAsia="ar-SA"/>
        </w:rPr>
        <w:t xml:space="preserve">TERCERO.- Análisis de la Solicitud de Transición al Régimen de Concesión. </w:t>
      </w:r>
      <w:r w:rsidRPr="00DF04D5">
        <w:rPr>
          <w:rFonts w:ascii="ITC Avant Garde" w:eastAsia="Times New Roman" w:hAnsi="ITC Avant Garde"/>
          <w:kern w:val="1"/>
          <w:lang w:val="es-ES" w:eastAsia="ar-SA"/>
        </w:rPr>
        <w:t>Del estu</w:t>
      </w:r>
      <w:r w:rsidR="00F87A1C" w:rsidRPr="00DF04D5">
        <w:rPr>
          <w:rFonts w:ascii="ITC Avant Garde" w:eastAsia="Times New Roman" w:hAnsi="ITC Avant Garde"/>
          <w:kern w:val="1"/>
          <w:lang w:val="es-ES" w:eastAsia="ar-SA"/>
        </w:rPr>
        <w:t>d</w:t>
      </w:r>
      <w:r w:rsidR="00890681" w:rsidRPr="00DF04D5">
        <w:rPr>
          <w:rFonts w:ascii="ITC Avant Garde" w:eastAsia="Times New Roman" w:hAnsi="ITC Avant Garde"/>
          <w:kern w:val="1"/>
          <w:lang w:val="es-ES" w:eastAsia="ar-SA"/>
        </w:rPr>
        <w:t>io y revisión realizados a la S</w:t>
      </w:r>
      <w:r w:rsidRPr="00DF04D5">
        <w:rPr>
          <w:rFonts w:ascii="ITC Avant Garde" w:eastAsia="Times New Roman" w:hAnsi="ITC Avant Garde"/>
          <w:kern w:val="1"/>
          <w:lang w:val="es-ES" w:eastAsia="ar-SA"/>
        </w:rPr>
        <w:t>olicitud</w:t>
      </w:r>
      <w:r w:rsidR="00890681" w:rsidRPr="00DF04D5">
        <w:rPr>
          <w:rFonts w:ascii="ITC Avant Garde" w:eastAsia="Times New Roman" w:hAnsi="ITC Avant Garde"/>
          <w:kern w:val="1"/>
          <w:lang w:val="es-ES" w:eastAsia="ar-SA"/>
        </w:rPr>
        <w:t xml:space="preserve"> de T</w:t>
      </w:r>
      <w:r w:rsidRPr="00DF04D5">
        <w:rPr>
          <w:rFonts w:ascii="ITC Avant Garde" w:eastAsia="Times New Roman" w:hAnsi="ITC Avant Garde"/>
          <w:kern w:val="1"/>
          <w:lang w:val="es-ES" w:eastAsia="ar-SA"/>
        </w:rPr>
        <w:t xml:space="preserve">ransición, por lo que hace a la oportunidad o momento de su presentación, se </w:t>
      </w:r>
      <w:r w:rsidR="00032174" w:rsidRPr="00DF04D5">
        <w:rPr>
          <w:rFonts w:ascii="ITC Avant Garde" w:eastAsia="Times New Roman" w:hAnsi="ITC Avant Garde"/>
          <w:kern w:val="1"/>
          <w:lang w:val="es-ES" w:eastAsia="ar-SA"/>
        </w:rPr>
        <w:t xml:space="preserve">advierte </w:t>
      </w:r>
      <w:r w:rsidR="00F87A1C" w:rsidRPr="00DF04D5">
        <w:rPr>
          <w:rFonts w:ascii="ITC Avant Garde" w:eastAsia="Times New Roman" w:hAnsi="ITC Avant Garde"/>
          <w:kern w:val="1"/>
          <w:lang w:val="es-ES" w:eastAsia="ar-SA"/>
        </w:rPr>
        <w:t xml:space="preserve">que </w:t>
      </w:r>
      <w:r w:rsidR="00CD1CFB" w:rsidRPr="00DF04D5">
        <w:rPr>
          <w:rFonts w:ascii="ITC Avant Garde" w:eastAsia="Times New Roman" w:hAnsi="ITC Avant Garde"/>
          <w:kern w:val="1"/>
          <w:lang w:val="es-ES" w:eastAsia="ar-SA"/>
        </w:rPr>
        <w:t xml:space="preserve">ambas </w:t>
      </w:r>
      <w:r w:rsidR="009B0D9A" w:rsidRPr="00DF04D5">
        <w:rPr>
          <w:rFonts w:ascii="ITC Avant Garde" w:eastAsia="Times New Roman" w:hAnsi="ITC Avant Garde"/>
          <w:bCs/>
          <w:kern w:val="1"/>
          <w:lang w:val="es-ES" w:eastAsia="ar-SA"/>
        </w:rPr>
        <w:t xml:space="preserve">fueron presentadas </w:t>
      </w:r>
      <w:r w:rsidR="00AD06BF" w:rsidRPr="00DF04D5">
        <w:rPr>
          <w:rFonts w:ascii="ITC Avant Garde" w:eastAsia="Times New Roman" w:hAnsi="ITC Avant Garde"/>
          <w:bCs/>
          <w:kern w:val="1"/>
          <w:lang w:val="es-ES" w:eastAsia="ar-SA"/>
        </w:rPr>
        <w:t xml:space="preserve">con anterioridad a la emisión de los Lineamientos, </w:t>
      </w:r>
      <w:r w:rsidR="00AD06BF" w:rsidRPr="00DF04D5">
        <w:rPr>
          <w:rFonts w:ascii="ITC Avant Garde" w:eastAsia="Times New Roman" w:hAnsi="ITC Avant Garde"/>
          <w:bCs/>
          <w:kern w:val="1"/>
          <w:lang w:eastAsia="ar-SA"/>
        </w:rPr>
        <w:t>motivo por el cual resulta notorio que los solicitantes satisfacen el requisito de oportunidad</w:t>
      </w:r>
      <w:r w:rsidR="00AD06BF" w:rsidRPr="00DF04D5">
        <w:rPr>
          <w:rFonts w:ascii="ITC Avant Garde" w:eastAsia="Times New Roman" w:hAnsi="ITC Avant Garde"/>
          <w:bCs/>
          <w:kern w:val="1"/>
          <w:lang w:val="es-ES" w:eastAsia="ar-SA"/>
        </w:rPr>
        <w:t xml:space="preserve">. </w:t>
      </w:r>
    </w:p>
    <w:p w:rsidR="00AD06BF" w:rsidRPr="00DF04D5" w:rsidRDefault="00AD06BF" w:rsidP="00F13456">
      <w:pPr>
        <w:autoSpaceDE w:val="0"/>
        <w:autoSpaceDN w:val="0"/>
        <w:adjustRightInd w:val="0"/>
        <w:jc w:val="both"/>
        <w:rPr>
          <w:rFonts w:ascii="ITC Avant Garde" w:eastAsia="Times New Roman" w:hAnsi="ITC Avant Garde"/>
          <w:bCs/>
          <w:kern w:val="1"/>
          <w:lang w:val="es-ES" w:eastAsia="ar-SA"/>
        </w:rPr>
      </w:pPr>
      <w:r w:rsidRPr="00DF04D5">
        <w:rPr>
          <w:rFonts w:ascii="ITC Avant Garde" w:eastAsia="Times New Roman" w:hAnsi="ITC Avant Garde"/>
          <w:bCs/>
          <w:kern w:val="1"/>
          <w:lang w:val="es-ES" w:eastAsia="ar-SA"/>
        </w:rPr>
        <w:t>Ahora bien, cabe destacar que si bien la Solicitud de Transición fue presentada con antelación a los Lineamientos, a través de un enfoque e interpretación funcional que privilegie el principio de certeza jurídica deben tenerse por presentadas en tiempo la solicitud de mérito en la inteligencia de que la razón última que prevé la Ley en el artículo Décimo Séptimo 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DF04D5">
        <w:rPr>
          <w:rFonts w:ascii="ITC Avant Garde" w:eastAsia="Times New Roman" w:hAnsi="ITC Avant Garde"/>
          <w:bCs/>
          <w:kern w:val="1"/>
          <w:vertAlign w:val="superscript"/>
          <w:lang w:val="es-ES" w:eastAsia="ar-SA"/>
        </w:rPr>
        <w:footnoteReference w:id="2"/>
      </w:r>
      <w:r w:rsidRPr="00DF04D5">
        <w:rPr>
          <w:rFonts w:ascii="ITC Avant Garde" w:eastAsia="Times New Roman" w:hAnsi="ITC Avant Garde"/>
          <w:bCs/>
          <w:kern w:val="1"/>
          <w:lang w:val="es-ES" w:eastAsia="ar-SA"/>
        </w:rPr>
        <w:t xml:space="preserve">. En este sentido, a fin de garantizar efectivamente los derechos inherentes o consustanciales que permiten la prestación de un servicio público a través de un bien de dominio público de la Federación, la evaluación del plazo </w:t>
      </w:r>
      <w:r w:rsidRPr="00DF04D5">
        <w:rPr>
          <w:rFonts w:ascii="ITC Avant Garde" w:eastAsia="Times New Roman" w:hAnsi="ITC Avant Garde"/>
          <w:bCs/>
          <w:kern w:val="1"/>
          <w:lang w:val="es-ES" w:eastAsia="ar-SA"/>
        </w:rPr>
        <w:lastRenderedPageBreak/>
        <w:t>para la presentación de la solicitud de transición debe reconocer aquellas que se presentaron previamente a la entrada en vigor de los Lineamientos.</w:t>
      </w:r>
    </w:p>
    <w:p w:rsidR="00EB2296" w:rsidRPr="00DF04D5" w:rsidRDefault="00EB2296" w:rsidP="00F13456">
      <w:pPr>
        <w:autoSpaceDE w:val="0"/>
        <w:autoSpaceDN w:val="0"/>
        <w:adjustRightInd w:val="0"/>
        <w:jc w:val="both"/>
        <w:rPr>
          <w:rFonts w:ascii="ITC Avant Garde" w:hAnsi="ITC Avant Garde"/>
          <w:bCs/>
        </w:rPr>
      </w:pPr>
      <w:r w:rsidRPr="00DF04D5">
        <w:rPr>
          <w:rFonts w:ascii="ITC Avant Garde" w:hAnsi="ITC Avant Garde"/>
          <w:bCs/>
        </w:rPr>
        <w:t xml:space="preserve">Asimismo, del análisis efectuado a la información entregada por </w:t>
      </w:r>
      <w:r w:rsidR="00A839BF" w:rsidRPr="00DF04D5">
        <w:rPr>
          <w:rFonts w:ascii="ITC Avant Garde" w:hAnsi="ITC Avant Garde"/>
          <w:bCs/>
          <w:noProof/>
        </w:rPr>
        <w:t xml:space="preserve">el </w:t>
      </w:r>
      <w:r w:rsidR="00F87A1C" w:rsidRPr="00DF04D5">
        <w:rPr>
          <w:rFonts w:ascii="ITC Avant Garde" w:hAnsi="ITC Avant Garde"/>
          <w:bCs/>
          <w:noProof/>
        </w:rPr>
        <w:t>Permisionario</w:t>
      </w:r>
      <w:r w:rsidRPr="00DF04D5">
        <w:rPr>
          <w:rFonts w:ascii="ITC Avant Garde" w:hAnsi="ITC Avant Garde"/>
          <w:bCs/>
          <w:noProof/>
        </w:rPr>
        <w:t xml:space="preserve">, </w:t>
      </w:r>
      <w:r w:rsidRPr="00DF04D5">
        <w:rPr>
          <w:rFonts w:ascii="ITC Avant Garde" w:hAnsi="ITC Avant Garde"/>
          <w:bCs/>
        </w:rPr>
        <w:t>se desprende que la</w:t>
      </w:r>
      <w:r w:rsidR="00890681" w:rsidRPr="00DF04D5">
        <w:rPr>
          <w:rFonts w:ascii="ITC Avant Garde" w:hAnsi="ITC Avant Garde"/>
          <w:bCs/>
        </w:rPr>
        <w:t xml:space="preserve"> S</w:t>
      </w:r>
      <w:r w:rsidRPr="00DF04D5">
        <w:rPr>
          <w:rFonts w:ascii="ITC Avant Garde" w:hAnsi="ITC Avant Garde"/>
          <w:bCs/>
        </w:rPr>
        <w:t>olicitud</w:t>
      </w:r>
      <w:r w:rsidR="00890681" w:rsidRPr="00DF04D5">
        <w:rPr>
          <w:rFonts w:ascii="ITC Avant Garde" w:hAnsi="ITC Avant Garde"/>
          <w:bCs/>
        </w:rPr>
        <w:t xml:space="preserve"> de T</w:t>
      </w:r>
      <w:r w:rsidRPr="00DF04D5">
        <w:rPr>
          <w:rFonts w:ascii="ITC Avant Garde" w:hAnsi="ITC Avant Garde"/>
          <w:bCs/>
        </w:rPr>
        <w:t>ransición contiene</w:t>
      </w:r>
      <w:r w:rsidR="00F87A1C" w:rsidRPr="00DF04D5">
        <w:rPr>
          <w:rFonts w:ascii="ITC Avant Garde" w:hAnsi="ITC Avant Garde"/>
          <w:bCs/>
        </w:rPr>
        <w:t>n</w:t>
      </w:r>
      <w:r w:rsidRPr="00DF04D5">
        <w:rPr>
          <w:rFonts w:ascii="ITC Avant Garde" w:hAnsi="ITC Avant Garde"/>
          <w:bCs/>
        </w:rPr>
        <w:t xml:space="preserve"> </w:t>
      </w:r>
      <w:r w:rsidR="0013131D" w:rsidRPr="00DF04D5">
        <w:rPr>
          <w:rFonts w:ascii="ITC Avant Garde" w:hAnsi="ITC Avant Garde"/>
          <w:bCs/>
        </w:rPr>
        <w:t>la información</w:t>
      </w:r>
      <w:r w:rsidR="000C6315" w:rsidRPr="00DF04D5">
        <w:rPr>
          <w:rFonts w:ascii="ITC Avant Garde" w:hAnsi="ITC Avant Garde"/>
          <w:bCs/>
        </w:rPr>
        <w:t xml:space="preserve"> previst</w:t>
      </w:r>
      <w:r w:rsidR="0013131D" w:rsidRPr="00DF04D5">
        <w:rPr>
          <w:rFonts w:ascii="ITC Avant Garde" w:hAnsi="ITC Avant Garde"/>
          <w:bCs/>
        </w:rPr>
        <w:t>a</w:t>
      </w:r>
      <w:r w:rsidR="000C6315" w:rsidRPr="00DF04D5">
        <w:rPr>
          <w:rFonts w:ascii="ITC Avant Garde" w:hAnsi="ITC Avant Garde"/>
          <w:bCs/>
        </w:rPr>
        <w:t xml:space="preserve"> en la fracción IV del artículo Segundo Transitorio de los Lineamientos consistentes en</w:t>
      </w:r>
      <w:r w:rsidR="00F87A1C" w:rsidRPr="00DF04D5">
        <w:rPr>
          <w:rFonts w:ascii="ITC Avant Garde" w:hAnsi="ITC Avant Garde"/>
          <w:bCs/>
        </w:rPr>
        <w:t>:</w:t>
      </w:r>
      <w:r w:rsidR="000C6315" w:rsidRPr="00DF04D5">
        <w:rPr>
          <w:rFonts w:ascii="ITC Avant Garde" w:hAnsi="ITC Avant Garde"/>
          <w:bCs/>
        </w:rPr>
        <w:t xml:space="preserve"> </w:t>
      </w:r>
      <w:r w:rsidR="00CD1CFB" w:rsidRPr="00DF04D5">
        <w:rPr>
          <w:rFonts w:ascii="ITC Avant Garde" w:hAnsi="ITC Avant Garde"/>
          <w:bCs/>
        </w:rPr>
        <w:br/>
      </w:r>
      <w:r w:rsidR="000C6315" w:rsidRPr="00DF04D5">
        <w:rPr>
          <w:rFonts w:ascii="ITC Avant Garde" w:hAnsi="ITC Avant Garde"/>
          <w:bCs/>
        </w:rPr>
        <w:t>a) n</w:t>
      </w:r>
      <w:r w:rsidRPr="00DF04D5">
        <w:rPr>
          <w:rFonts w:ascii="ITC Avant Garde" w:hAnsi="ITC Avant Garde"/>
          <w:bCs/>
        </w:rPr>
        <w:t>ombre y domicilio del solicitante</w:t>
      </w:r>
      <w:r w:rsidR="000C6315" w:rsidRPr="00DF04D5">
        <w:rPr>
          <w:rFonts w:ascii="ITC Avant Garde" w:hAnsi="ITC Avant Garde"/>
          <w:bCs/>
        </w:rPr>
        <w:t>; b) nombre del r</w:t>
      </w:r>
      <w:r w:rsidRPr="00DF04D5">
        <w:rPr>
          <w:rFonts w:ascii="ITC Avant Garde" w:hAnsi="ITC Avant Garde"/>
          <w:bCs/>
        </w:rPr>
        <w:t>epresentante legal y acreditación de la personalidad jurídica</w:t>
      </w:r>
      <w:r w:rsidR="0013131D" w:rsidRPr="00DF04D5">
        <w:rPr>
          <w:rFonts w:ascii="ITC Avant Garde" w:hAnsi="ITC Avant Garde"/>
          <w:bCs/>
        </w:rPr>
        <w:t>, así como copia simple de su identificación oficial</w:t>
      </w:r>
      <w:r w:rsidR="000C6315" w:rsidRPr="00DF04D5">
        <w:rPr>
          <w:rFonts w:ascii="ITC Avant Garde" w:hAnsi="ITC Avant Garde"/>
          <w:bCs/>
        </w:rPr>
        <w:t>; c) d</w:t>
      </w:r>
      <w:r w:rsidRPr="00DF04D5">
        <w:rPr>
          <w:rFonts w:ascii="ITC Avant Garde" w:hAnsi="ITC Avant Garde"/>
          <w:bCs/>
        </w:rPr>
        <w:t>istintivo de llamada, frecuencia</w:t>
      </w:r>
      <w:r w:rsidR="0013131D" w:rsidRPr="00DF04D5">
        <w:rPr>
          <w:rFonts w:ascii="ITC Avant Garde" w:hAnsi="ITC Avant Garde"/>
          <w:bCs/>
        </w:rPr>
        <w:t xml:space="preserve"> o canal asignado</w:t>
      </w:r>
      <w:r w:rsidRPr="00DF04D5">
        <w:rPr>
          <w:rFonts w:ascii="ITC Avant Garde" w:hAnsi="ITC Avant Garde"/>
          <w:bCs/>
        </w:rPr>
        <w:t xml:space="preserve"> y población principal a servir</w:t>
      </w:r>
      <w:r w:rsidR="000C6315" w:rsidRPr="00DF04D5">
        <w:rPr>
          <w:rFonts w:ascii="ITC Avant Garde" w:hAnsi="ITC Avant Garde"/>
          <w:bCs/>
        </w:rPr>
        <w:t>; d) f</w:t>
      </w:r>
      <w:r w:rsidRPr="00DF04D5">
        <w:rPr>
          <w:rFonts w:ascii="ITC Avant Garde" w:hAnsi="ITC Avant Garde"/>
          <w:bCs/>
        </w:rPr>
        <w:t xml:space="preserve">echa de expedición y vigencia del título de </w:t>
      </w:r>
      <w:r w:rsidR="000C6315" w:rsidRPr="00DF04D5">
        <w:rPr>
          <w:rFonts w:ascii="ITC Avant Garde" w:hAnsi="ITC Avant Garde"/>
          <w:bCs/>
        </w:rPr>
        <w:t>permiso objeto de la transición; e) u</w:t>
      </w:r>
      <w:r w:rsidRPr="00DF04D5">
        <w:rPr>
          <w:rFonts w:ascii="ITC Avant Garde" w:hAnsi="ITC Avant Garde"/>
          <w:bCs/>
        </w:rPr>
        <w:t>so de la concesión</w:t>
      </w:r>
      <w:r w:rsidR="000C6315" w:rsidRPr="00DF04D5">
        <w:rPr>
          <w:rFonts w:ascii="ITC Avant Garde" w:hAnsi="ITC Avant Garde"/>
          <w:bCs/>
        </w:rPr>
        <w:t>; f) m</w:t>
      </w:r>
      <w:r w:rsidR="00F87A1C" w:rsidRPr="00DF04D5">
        <w:rPr>
          <w:rFonts w:ascii="ITC Avant Garde" w:hAnsi="ITC Avant Garde"/>
          <w:bCs/>
        </w:rPr>
        <w:t>anifestación del s</w:t>
      </w:r>
      <w:r w:rsidRPr="00DF04D5">
        <w:rPr>
          <w:rFonts w:ascii="ITC Avant Garde" w:hAnsi="ITC Avant Garde"/>
          <w:bCs/>
        </w:rPr>
        <w:t>olicitante respecto a la operación de la estación</w:t>
      </w:r>
      <w:r w:rsidR="000C6315" w:rsidRPr="00DF04D5">
        <w:rPr>
          <w:rFonts w:ascii="ITC Avant Garde" w:hAnsi="ITC Avant Garde"/>
          <w:bCs/>
        </w:rPr>
        <w:t>, y g) m</w:t>
      </w:r>
      <w:r w:rsidR="00F87A1C" w:rsidRPr="00DF04D5">
        <w:rPr>
          <w:rFonts w:ascii="ITC Avant Garde" w:hAnsi="ITC Avant Garde"/>
          <w:bCs/>
        </w:rPr>
        <w:t>anifestación del s</w:t>
      </w:r>
      <w:r w:rsidRPr="00DF04D5">
        <w:rPr>
          <w:rFonts w:ascii="ITC Avant Garde" w:hAnsi="ITC Avant Garde"/>
          <w:bCs/>
        </w:rPr>
        <w:t>olicitante re</w:t>
      </w:r>
      <w:r w:rsidR="000C6315" w:rsidRPr="00DF04D5">
        <w:rPr>
          <w:rFonts w:ascii="ITC Avant Garde" w:hAnsi="ITC Avant Garde"/>
          <w:bCs/>
        </w:rPr>
        <w:t xml:space="preserve">lativa a la aceptación de </w:t>
      </w:r>
      <w:r w:rsidRPr="00DF04D5">
        <w:rPr>
          <w:rFonts w:ascii="ITC Avant Garde" w:hAnsi="ITC Avant Garde"/>
          <w:bCs/>
        </w:rPr>
        <w:t xml:space="preserve">las condiciones que se establecerán en el título de concesión que al efecto se expida. </w:t>
      </w:r>
    </w:p>
    <w:p w:rsidR="000C6315" w:rsidRPr="00DF04D5" w:rsidRDefault="00E470A0" w:rsidP="00F13456">
      <w:pPr>
        <w:autoSpaceDE w:val="0"/>
        <w:autoSpaceDN w:val="0"/>
        <w:adjustRightInd w:val="0"/>
        <w:jc w:val="both"/>
        <w:rPr>
          <w:rFonts w:ascii="ITC Avant Garde" w:hAnsi="ITC Avant Garde"/>
          <w:bCs/>
        </w:rPr>
      </w:pPr>
      <w:r w:rsidRPr="00DF04D5">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DF04D5">
        <w:rPr>
          <w:rFonts w:ascii="ITC Avant Garde" w:hAnsi="ITC Avant Garde"/>
          <w:bCs/>
        </w:rPr>
        <w:t xml:space="preserve"> fracción IV del artículo Segundo Transitorio de</w:t>
      </w:r>
      <w:r w:rsidRPr="00DF04D5">
        <w:rPr>
          <w:rFonts w:ascii="ITC Avant Garde" w:hAnsi="ITC Avant Garde"/>
          <w:bCs/>
        </w:rPr>
        <w:t xml:space="preserve"> los Lineamientos. Dichos requisitos se encuentran contenidos en el expediente a</w:t>
      </w:r>
      <w:r w:rsidR="00452C8E" w:rsidRPr="00DF04D5">
        <w:rPr>
          <w:rFonts w:ascii="ITC Avant Garde" w:hAnsi="ITC Avant Garde"/>
          <w:bCs/>
        </w:rPr>
        <w:t xml:space="preserve">dministrativo correspondiente </w:t>
      </w:r>
      <w:r w:rsidRPr="00DF04D5">
        <w:rPr>
          <w:rFonts w:ascii="ITC Avant Garde" w:hAnsi="ITC Avant Garde"/>
          <w:bCs/>
        </w:rPr>
        <w:t xml:space="preserve">la Solicitud de Transición. </w:t>
      </w:r>
    </w:p>
    <w:p w:rsidR="00C4577A" w:rsidRPr="00DF04D5" w:rsidRDefault="00EB2296" w:rsidP="00F13456">
      <w:pPr>
        <w:suppressAutoHyphens/>
        <w:ind w:right="-62"/>
        <w:jc w:val="both"/>
        <w:rPr>
          <w:rFonts w:ascii="ITC Avant Garde" w:hAnsi="ITC Avant Garde" w:cs="Tahoma"/>
          <w:bCs/>
          <w:color w:val="000000"/>
          <w:lang w:eastAsia="es-MX"/>
        </w:rPr>
      </w:pPr>
      <w:r w:rsidRPr="00DF04D5">
        <w:rPr>
          <w:rFonts w:ascii="ITC Avant Garde" w:hAnsi="ITC Avant Garde" w:cs="Tahoma"/>
          <w:bCs/>
          <w:color w:val="000000"/>
          <w:lang w:eastAsia="es-MX"/>
        </w:rPr>
        <w:t>En este orden de ideas, esta autoridad considera que la</w:t>
      </w:r>
      <w:r w:rsidR="00744C07" w:rsidRPr="00DF04D5">
        <w:rPr>
          <w:rFonts w:ascii="ITC Avant Garde" w:hAnsi="ITC Avant Garde" w:cs="Tahoma"/>
          <w:bCs/>
          <w:color w:val="000000"/>
          <w:lang w:eastAsia="es-MX"/>
        </w:rPr>
        <w:t xml:space="preserve"> S</w:t>
      </w:r>
      <w:r w:rsidRPr="00DF04D5">
        <w:rPr>
          <w:rFonts w:ascii="ITC Avant Garde" w:hAnsi="ITC Avant Garde" w:cs="Tahoma"/>
          <w:bCs/>
          <w:color w:val="000000"/>
          <w:lang w:eastAsia="es-MX"/>
        </w:rPr>
        <w:t xml:space="preserve">olicitud </w:t>
      </w:r>
      <w:r w:rsidR="00744C07" w:rsidRPr="00DF04D5">
        <w:rPr>
          <w:rFonts w:ascii="ITC Avant Garde" w:hAnsi="ITC Avant Garde" w:cs="Tahoma"/>
          <w:bCs/>
          <w:color w:val="000000"/>
          <w:lang w:val="es-ES" w:eastAsia="es-MX"/>
        </w:rPr>
        <w:t>de T</w:t>
      </w:r>
      <w:r w:rsidRPr="00DF04D5">
        <w:rPr>
          <w:rFonts w:ascii="ITC Avant Garde" w:hAnsi="ITC Avant Garde" w:cs="Tahoma"/>
          <w:bCs/>
          <w:color w:val="000000"/>
          <w:lang w:val="es-ES" w:eastAsia="es-MX"/>
        </w:rPr>
        <w:t>ransición</w:t>
      </w:r>
      <w:r w:rsidRPr="00DF04D5">
        <w:rPr>
          <w:rFonts w:ascii="ITC Avant Garde" w:hAnsi="ITC Avant Garde" w:cs="Tahoma"/>
          <w:bCs/>
          <w:color w:val="000000"/>
          <w:lang w:eastAsia="es-MX"/>
        </w:rPr>
        <w:t xml:space="preserve"> se encuentra debidamente integrada </w:t>
      </w:r>
      <w:r w:rsidR="00452C8E" w:rsidRPr="00DF04D5">
        <w:rPr>
          <w:rFonts w:ascii="ITC Avant Garde" w:hAnsi="ITC Avant Garde" w:cs="Tahoma"/>
          <w:bCs/>
          <w:color w:val="000000"/>
          <w:lang w:eastAsia="es-MX"/>
        </w:rPr>
        <w:t xml:space="preserve">para su aprobación toda vez que </w:t>
      </w:r>
      <w:r w:rsidR="001B5E5B" w:rsidRPr="00DF04D5">
        <w:rPr>
          <w:rFonts w:ascii="ITC Avant Garde" w:hAnsi="ITC Avant Garde" w:cs="Tahoma"/>
          <w:bCs/>
          <w:color w:val="000000"/>
          <w:lang w:eastAsia="es-MX"/>
        </w:rPr>
        <w:t xml:space="preserve">a juicio de la Unidad de Concesiones y Servicios del Instituto </w:t>
      </w:r>
      <w:r w:rsidRPr="00DF04D5">
        <w:rPr>
          <w:rFonts w:ascii="ITC Avant Garde" w:hAnsi="ITC Avant Garde" w:cs="Tahoma"/>
          <w:bCs/>
          <w:color w:val="000000"/>
          <w:lang w:eastAsia="es-MX"/>
        </w:rPr>
        <w:t>la información presentada con motivo de la</w:t>
      </w:r>
      <w:r w:rsidR="00744C07" w:rsidRPr="00DF04D5">
        <w:rPr>
          <w:rFonts w:ascii="ITC Avant Garde" w:hAnsi="ITC Avant Garde" w:cs="Tahoma"/>
          <w:bCs/>
          <w:color w:val="000000"/>
          <w:lang w:eastAsia="es-MX"/>
        </w:rPr>
        <w:t>s</w:t>
      </w:r>
      <w:r w:rsidRPr="00DF04D5">
        <w:rPr>
          <w:rFonts w:ascii="ITC Avant Garde" w:hAnsi="ITC Avant Garde" w:cs="Tahoma"/>
          <w:bCs/>
          <w:color w:val="000000"/>
          <w:lang w:eastAsia="es-MX"/>
        </w:rPr>
        <w:t xml:space="preserve"> misma</w:t>
      </w:r>
      <w:r w:rsidR="00744C07" w:rsidRPr="00DF04D5">
        <w:rPr>
          <w:rFonts w:ascii="ITC Avant Garde" w:hAnsi="ITC Avant Garde" w:cs="Tahoma"/>
          <w:bCs/>
          <w:color w:val="000000"/>
          <w:lang w:eastAsia="es-MX"/>
        </w:rPr>
        <w:t>s</w:t>
      </w:r>
      <w:r w:rsidRPr="00DF04D5">
        <w:rPr>
          <w:rFonts w:ascii="ITC Avant Garde" w:hAnsi="ITC Avant Garde" w:cs="Tahoma"/>
          <w:bCs/>
          <w:color w:val="000000"/>
          <w:lang w:eastAsia="es-MX"/>
        </w:rPr>
        <w:t xml:space="preserve"> cumple con los requisitos previstos en la fracción IV del artículo Segundo Transitorio de los Lineamientos.</w:t>
      </w:r>
    </w:p>
    <w:p w:rsidR="00EB2296" w:rsidRPr="00DF04D5" w:rsidRDefault="00EB2296" w:rsidP="00F13456">
      <w:pPr>
        <w:jc w:val="both"/>
        <w:rPr>
          <w:rFonts w:ascii="ITC Avant Garde" w:eastAsia="Times New Roman" w:hAnsi="ITC Avant Garde"/>
          <w:b/>
          <w:bCs/>
          <w:kern w:val="2"/>
          <w:lang w:eastAsia="ar-SA"/>
        </w:rPr>
      </w:pPr>
      <w:r w:rsidRPr="00DF04D5">
        <w:rPr>
          <w:rFonts w:ascii="ITC Avant Garde" w:eastAsia="Times New Roman" w:hAnsi="ITC Avant Garde"/>
          <w:b/>
          <w:bCs/>
          <w:kern w:val="2"/>
          <w:lang w:eastAsia="ar-SA"/>
        </w:rPr>
        <w:t xml:space="preserve">CUARTO.- Concesiones para uso </w:t>
      </w:r>
      <w:r w:rsidR="00DD11D9" w:rsidRPr="00DF04D5">
        <w:rPr>
          <w:rFonts w:ascii="ITC Avant Garde" w:eastAsia="Times New Roman" w:hAnsi="ITC Avant Garde"/>
          <w:b/>
          <w:bCs/>
          <w:kern w:val="2"/>
          <w:lang w:eastAsia="ar-SA"/>
        </w:rPr>
        <w:t>social</w:t>
      </w:r>
      <w:r w:rsidRPr="00DF04D5">
        <w:rPr>
          <w:rFonts w:ascii="ITC Avant Garde" w:eastAsia="Times New Roman" w:hAnsi="ITC Avant Garde"/>
          <w:b/>
          <w:bCs/>
          <w:kern w:val="2"/>
          <w:lang w:eastAsia="ar-SA"/>
        </w:rPr>
        <w:t xml:space="preserve">. </w:t>
      </w:r>
      <w:r w:rsidRPr="00DF04D5">
        <w:rPr>
          <w:rFonts w:ascii="ITC Avant Garde" w:eastAsia="Times New Roman" w:hAnsi="ITC Avant Garde"/>
          <w:bCs/>
          <w:kern w:val="2"/>
          <w:lang w:eastAsia="ar-SA"/>
        </w:rPr>
        <w:t xml:space="preserve">Como se expuso previamente, el </w:t>
      </w:r>
      <w:r w:rsidR="00E44068" w:rsidRPr="00DF04D5">
        <w:rPr>
          <w:rFonts w:ascii="ITC Avant Garde" w:eastAsia="Times New Roman" w:hAnsi="ITC Avant Garde"/>
          <w:bCs/>
          <w:kern w:val="2"/>
          <w:lang w:eastAsia="ar-SA"/>
        </w:rPr>
        <w:t>carácter</w:t>
      </w:r>
      <w:r w:rsidRPr="00DF04D5">
        <w:rPr>
          <w:rFonts w:ascii="ITC Avant Garde" w:eastAsia="Times New Roman" w:hAnsi="ITC Avant Garde"/>
          <w:bCs/>
          <w:kern w:val="2"/>
          <w:lang w:eastAsia="ar-SA"/>
        </w:rPr>
        <w:t xml:space="preserve"> </w:t>
      </w:r>
      <w:r w:rsidR="00DD11D9" w:rsidRPr="00DF04D5">
        <w:rPr>
          <w:rFonts w:ascii="ITC Avant Garde" w:eastAsia="Times New Roman" w:hAnsi="ITC Avant Garde"/>
          <w:bCs/>
          <w:kern w:val="2"/>
          <w:lang w:eastAsia="ar-SA"/>
        </w:rPr>
        <w:t>social</w:t>
      </w:r>
      <w:r w:rsidRPr="00DF04D5">
        <w:rPr>
          <w:rFonts w:ascii="ITC Avant Garde" w:eastAsia="Times New Roman" w:hAnsi="ITC Avant Garde"/>
          <w:bCs/>
          <w:kern w:val="2"/>
          <w:lang w:eastAsia="ar-SA"/>
        </w:rPr>
        <w:t xml:space="preserve"> de las concesiones </w:t>
      </w:r>
      <w:r w:rsidR="00DD11D9" w:rsidRPr="00DF04D5">
        <w:rPr>
          <w:rFonts w:ascii="ITC Avant Garde" w:eastAsia="Times New Roman" w:hAnsi="ITC Avant Garde"/>
          <w:bCs/>
          <w:kern w:val="2"/>
          <w:lang w:val="es-ES_tradnl" w:eastAsia="ar-SA"/>
        </w:rPr>
        <w:t>para usar y</w:t>
      </w:r>
      <w:r w:rsidRPr="00DF04D5">
        <w:rPr>
          <w:rFonts w:ascii="ITC Avant Garde" w:eastAsia="Times New Roman" w:hAnsi="ITC Avant Garde"/>
          <w:bCs/>
          <w:kern w:val="2"/>
          <w:lang w:val="es-ES_tradnl" w:eastAsia="ar-SA"/>
        </w:rPr>
        <w:t xml:space="preserve"> aprovechar bandas de frecuencias del espectro radioeléctrico </w:t>
      </w:r>
      <w:r w:rsidRPr="00DF04D5">
        <w:rPr>
          <w:rFonts w:ascii="ITC Avant Garde" w:eastAsia="Times New Roman" w:hAnsi="ITC Avant Garde"/>
          <w:bCs/>
          <w:kern w:val="2"/>
          <w:lang w:eastAsia="ar-SA"/>
        </w:rPr>
        <w:t xml:space="preserve">confiere </w:t>
      </w:r>
      <w:r w:rsidRPr="00DF04D5">
        <w:rPr>
          <w:rFonts w:ascii="ITC Avant Garde" w:eastAsia="Times New Roman" w:hAnsi="ITC Avant Garde"/>
          <w:bCs/>
          <w:kern w:val="2"/>
          <w:lang w:val="es-ES_tradnl" w:eastAsia="ar-SA"/>
        </w:rPr>
        <w:t>el derecho</w:t>
      </w:r>
      <w:r w:rsidR="00061683" w:rsidRPr="00DF04D5">
        <w:rPr>
          <w:rFonts w:ascii="ITC Avant Garde" w:eastAsia="Times New Roman" w:hAnsi="ITC Avant Garde"/>
          <w:bCs/>
          <w:kern w:val="2"/>
          <w:lang w:val="es-ES_tradnl" w:eastAsia="ar-SA"/>
        </w:rPr>
        <w:t xml:space="preserve"> a </w:t>
      </w:r>
      <w:r w:rsidR="00061683" w:rsidRPr="00DF04D5">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DF04D5">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DF04D5">
        <w:rPr>
          <w:rFonts w:ascii="ITC Avant Garde" w:eastAsia="Times New Roman" w:hAnsi="ITC Avant Garde"/>
          <w:bCs/>
          <w:kern w:val="2"/>
          <w:lang w:val="es-ES_tradnl" w:eastAsia="ar-SA"/>
        </w:rPr>
        <w:t xml:space="preserve"> En este sentido, </w:t>
      </w:r>
      <w:r w:rsidR="006011B9" w:rsidRPr="00DF04D5">
        <w:rPr>
          <w:rFonts w:ascii="ITC Avant Garde" w:eastAsia="Times New Roman" w:hAnsi="ITC Avant Garde"/>
          <w:bCs/>
          <w:kern w:val="2"/>
          <w:lang w:val="es-ES_tradnl" w:eastAsia="ar-SA"/>
        </w:rPr>
        <w:t>a</w:t>
      </w:r>
      <w:r w:rsidR="00705C67" w:rsidRPr="00DF04D5">
        <w:rPr>
          <w:rFonts w:ascii="ITC Avant Garde" w:eastAsia="Times New Roman" w:hAnsi="ITC Avant Garde"/>
          <w:bCs/>
          <w:kern w:val="2"/>
          <w:lang w:val="es-ES_tradnl" w:eastAsia="ar-SA"/>
        </w:rPr>
        <w:t xml:space="preserve">l </w:t>
      </w:r>
      <w:r w:rsidR="00D0608C" w:rsidRPr="00DF04D5">
        <w:rPr>
          <w:rFonts w:ascii="ITC Avant Garde" w:eastAsia="Times New Roman" w:hAnsi="ITC Avant Garde"/>
          <w:bCs/>
          <w:kern w:val="2"/>
          <w:lang w:val="es-ES_tradnl" w:eastAsia="ar-SA"/>
        </w:rPr>
        <w:t xml:space="preserve">Permisionario </w:t>
      </w:r>
      <w:r w:rsidRPr="00DF04D5">
        <w:rPr>
          <w:rFonts w:ascii="ITC Avant Garde" w:eastAsia="Times New Roman" w:hAnsi="ITC Avant Garde"/>
          <w:bCs/>
          <w:kern w:val="2"/>
          <w:lang w:eastAsia="ar-SA"/>
        </w:rPr>
        <w:t xml:space="preserve">le correspondería atendiendo a </w:t>
      </w:r>
      <w:r w:rsidR="006011B9" w:rsidRPr="00DF04D5">
        <w:rPr>
          <w:rFonts w:ascii="ITC Avant Garde" w:eastAsia="Times New Roman" w:hAnsi="ITC Avant Garde"/>
          <w:bCs/>
          <w:kern w:val="2"/>
          <w:lang w:eastAsia="ar-SA"/>
        </w:rPr>
        <w:t>su</w:t>
      </w:r>
      <w:r w:rsidRPr="00DF04D5">
        <w:rPr>
          <w:rFonts w:ascii="ITC Avant Garde" w:eastAsia="Times New Roman" w:hAnsi="ITC Avant Garde"/>
          <w:bCs/>
          <w:kern w:val="2"/>
          <w:lang w:eastAsia="ar-SA"/>
        </w:rPr>
        <w:t xml:space="preserve"> naturaleza jurídica, una concesión para uso </w:t>
      </w:r>
      <w:r w:rsidR="00DD11D9" w:rsidRPr="00DF04D5">
        <w:rPr>
          <w:rFonts w:ascii="ITC Avant Garde" w:eastAsia="Times New Roman" w:hAnsi="ITC Avant Garde"/>
          <w:bCs/>
          <w:kern w:val="2"/>
          <w:lang w:eastAsia="ar-SA"/>
        </w:rPr>
        <w:t>social</w:t>
      </w:r>
      <w:r w:rsidRPr="00DF04D5">
        <w:rPr>
          <w:rFonts w:ascii="ITC Avant Garde" w:eastAsia="Times New Roman" w:hAnsi="ITC Avant Garde"/>
          <w:bCs/>
          <w:kern w:val="2"/>
          <w:lang w:eastAsia="ar-SA"/>
        </w:rPr>
        <w:t>.</w:t>
      </w:r>
    </w:p>
    <w:p w:rsidR="00EB2296" w:rsidRPr="00DF04D5" w:rsidRDefault="00EB2296" w:rsidP="00F13456">
      <w:pPr>
        <w:jc w:val="both"/>
        <w:rPr>
          <w:rFonts w:ascii="ITC Avant Garde" w:hAnsi="ITC Avant Garde"/>
          <w:bCs/>
          <w:color w:val="000000"/>
        </w:rPr>
      </w:pPr>
      <w:r w:rsidRPr="00DF04D5">
        <w:rPr>
          <w:rFonts w:ascii="ITC Avant Garde" w:eastAsia="Times New Roman" w:hAnsi="ITC Avant Garde"/>
          <w:bCs/>
          <w:color w:val="000000"/>
          <w:lang w:eastAsia="es-MX"/>
        </w:rPr>
        <w:t>En este tenor y al</w:t>
      </w:r>
      <w:r w:rsidRPr="00DF04D5">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w:t>
      </w:r>
      <w:r w:rsidR="00A839BF" w:rsidRPr="00DF04D5">
        <w:rPr>
          <w:rFonts w:ascii="ITC Avant Garde" w:hAnsi="ITC Avant Garde"/>
          <w:bCs/>
          <w:color w:val="000000"/>
        </w:rPr>
        <w:t>e</w:t>
      </w:r>
      <w:r w:rsidRPr="00DF04D5">
        <w:rPr>
          <w:rFonts w:ascii="ITC Avant Garde" w:hAnsi="ITC Avant Garde"/>
          <w:bCs/>
          <w:color w:val="000000"/>
        </w:rPr>
        <w:t xml:space="preserve">l permiso de mérito al régimen de concesión para uso </w:t>
      </w:r>
      <w:r w:rsidR="001B1CD8" w:rsidRPr="00DF04D5">
        <w:rPr>
          <w:rFonts w:ascii="ITC Avant Garde" w:hAnsi="ITC Avant Garde"/>
          <w:bCs/>
          <w:color w:val="000000"/>
        </w:rPr>
        <w:t xml:space="preserve">social </w:t>
      </w:r>
      <w:r w:rsidRPr="00DF04D5">
        <w:rPr>
          <w:rFonts w:ascii="ITC Avant Garde" w:hAnsi="ITC Avant Garde"/>
          <w:bCs/>
          <w:color w:val="000000"/>
        </w:rPr>
        <w:t>en los términos a que se refiere el artículo Décimo Séptimo Transitorio del Decreto de Ley.</w:t>
      </w:r>
    </w:p>
    <w:p w:rsidR="009C2620" w:rsidRPr="00DF04D5" w:rsidRDefault="00EB2296" w:rsidP="00F13456">
      <w:pPr>
        <w:suppressAutoHyphens/>
        <w:ind w:right="-62"/>
        <w:jc w:val="both"/>
        <w:rPr>
          <w:rFonts w:ascii="ITC Avant Garde" w:hAnsi="ITC Avant Garde"/>
          <w:bCs/>
          <w:color w:val="000000"/>
        </w:rPr>
      </w:pPr>
      <w:r w:rsidRPr="00DF04D5">
        <w:rPr>
          <w:rFonts w:ascii="ITC Avant Garde" w:eastAsia="Times New Roman" w:hAnsi="ITC Avant Garde"/>
          <w:bCs/>
          <w:color w:val="000000"/>
          <w:lang w:eastAsia="es-MX"/>
        </w:rPr>
        <w:lastRenderedPageBreak/>
        <w:t xml:space="preserve">Con motivo de lo anterior, este Instituto </w:t>
      </w:r>
      <w:r w:rsidRPr="00DF04D5">
        <w:rPr>
          <w:rFonts w:ascii="ITC Avant Garde" w:hAnsi="ITC Avant Garde"/>
        </w:rPr>
        <w:t xml:space="preserve">considera procedente </w:t>
      </w:r>
      <w:r w:rsidRPr="00DF04D5">
        <w:rPr>
          <w:rFonts w:ascii="ITC Avant Garde" w:eastAsia="Times New Roman" w:hAnsi="ITC Avant Garde"/>
          <w:lang w:val="es-ES_tradnl" w:eastAsia="es-ES"/>
        </w:rPr>
        <w:t>otorgar</w:t>
      </w:r>
      <w:r w:rsidR="00F87A1C" w:rsidRPr="00DF04D5">
        <w:rPr>
          <w:rFonts w:ascii="ITC Avant Garde" w:eastAsia="Times New Roman" w:hAnsi="ITC Avant Garde"/>
          <w:lang w:val="es-ES_tradnl" w:eastAsia="es-ES"/>
        </w:rPr>
        <w:t xml:space="preserve"> a favor </w:t>
      </w:r>
      <w:r w:rsidR="00053CF6" w:rsidRPr="00DF04D5">
        <w:rPr>
          <w:rFonts w:ascii="ITC Avant Garde" w:eastAsia="Times New Roman" w:hAnsi="ITC Avant Garde"/>
          <w:b/>
          <w:kern w:val="1"/>
          <w:lang w:val="es-ES" w:eastAsia="ar-SA"/>
        </w:rPr>
        <w:t>PATRONATO PRO-ESTACIÓN RADIODIFUSORA DEL INSTITUTO TECNOLÓGICO REGIONAL DE CELAYA, A.C.</w:t>
      </w:r>
      <w:r w:rsidR="00053CF6" w:rsidRPr="00DF04D5">
        <w:rPr>
          <w:rFonts w:ascii="ITC Avant Garde" w:eastAsia="Times New Roman" w:hAnsi="ITC Avant Garde"/>
          <w:kern w:val="1"/>
          <w:lang w:val="es-ES" w:eastAsia="ar-SA"/>
        </w:rPr>
        <w:t xml:space="preserve"> </w:t>
      </w:r>
      <w:r w:rsidRPr="00DF04D5">
        <w:rPr>
          <w:rFonts w:ascii="ITC Avant Garde" w:eastAsia="Times New Roman" w:hAnsi="ITC Avant Garde"/>
          <w:lang w:val="es-ES_tradnl" w:eastAsia="es-ES"/>
        </w:rPr>
        <w:t>una concesión para usar y aprovechar bandas de frecuencia</w:t>
      </w:r>
      <w:r w:rsidR="009C218E" w:rsidRPr="00DF04D5">
        <w:rPr>
          <w:rFonts w:ascii="ITC Avant Garde" w:eastAsia="Times New Roman" w:hAnsi="ITC Avant Garde"/>
          <w:lang w:val="es-ES_tradnl" w:eastAsia="es-ES"/>
        </w:rPr>
        <w:t>s</w:t>
      </w:r>
      <w:r w:rsidRPr="00DF04D5">
        <w:rPr>
          <w:rFonts w:ascii="ITC Avant Garde" w:eastAsia="Times New Roman" w:hAnsi="ITC Avant Garde"/>
          <w:lang w:val="es-ES_tradnl" w:eastAsia="es-ES"/>
        </w:rPr>
        <w:t xml:space="preserve"> del espectro radioeléctrico para uso </w:t>
      </w:r>
      <w:r w:rsidR="008A2022" w:rsidRPr="00DF04D5">
        <w:rPr>
          <w:rFonts w:ascii="ITC Avant Garde" w:eastAsia="Times New Roman" w:hAnsi="ITC Avant Garde"/>
          <w:lang w:val="es-ES_tradnl" w:eastAsia="es-ES"/>
        </w:rPr>
        <w:t>social</w:t>
      </w:r>
      <w:r w:rsidRPr="00DF04D5">
        <w:rPr>
          <w:rFonts w:ascii="ITC Avant Garde" w:eastAsia="Times New Roman" w:hAnsi="ITC Avant Garde"/>
          <w:lang w:val="es-ES_tradnl" w:eastAsia="es-ES"/>
        </w:rPr>
        <w:t xml:space="preserve">, así como otorgar en este acto administrativo, una concesión única para el mismo fin, </w:t>
      </w:r>
      <w:r w:rsidRPr="00DF04D5">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601363" w:rsidRPr="00DF04D5">
        <w:rPr>
          <w:rFonts w:ascii="ITC Avant Garde" w:hAnsi="ITC Avant Garde"/>
          <w:bCs/>
          <w:color w:val="000000"/>
        </w:rPr>
        <w:t xml:space="preserve">.  </w:t>
      </w:r>
    </w:p>
    <w:p w:rsidR="002161AA" w:rsidRPr="00DF04D5" w:rsidRDefault="00FA14D0" w:rsidP="00F13456">
      <w:pPr>
        <w:suppressAutoHyphens/>
        <w:ind w:right="-62"/>
        <w:jc w:val="both"/>
        <w:rPr>
          <w:rFonts w:ascii="ITC Avant Garde" w:hAnsi="ITC Avant Garde"/>
          <w:bCs/>
          <w:color w:val="000000"/>
        </w:rPr>
      </w:pPr>
      <w:r w:rsidRPr="00DF04D5">
        <w:rPr>
          <w:rFonts w:ascii="ITC Avant Garde" w:hAnsi="ITC Avant Garde"/>
          <w:bCs/>
          <w:color w:val="000000"/>
        </w:rPr>
        <w:t>C</w:t>
      </w:r>
      <w:r w:rsidR="00EB2296" w:rsidRPr="00DF04D5">
        <w:rPr>
          <w:rFonts w:ascii="ITC Avant Garde" w:hAnsi="ITC Avant Garde"/>
          <w:bCs/>
          <w:color w:val="000000"/>
        </w:rPr>
        <w:t>on lo</w:t>
      </w:r>
      <w:r w:rsidRPr="00DF04D5">
        <w:rPr>
          <w:rFonts w:ascii="ITC Avant Garde" w:hAnsi="ITC Avant Garde"/>
          <w:bCs/>
          <w:color w:val="000000"/>
        </w:rPr>
        <w:t xml:space="preserve"> anterior </w:t>
      </w:r>
      <w:r w:rsidR="00EB2296" w:rsidRPr="00DF04D5">
        <w:rPr>
          <w:rFonts w:ascii="ITC Avant Garde" w:hAnsi="ITC Avant Garde"/>
          <w:bCs/>
          <w:color w:val="000000"/>
        </w:rPr>
        <w:t>este órgano regulador determina la plena transición del permiso al régimen de concesión contenido en la Ley a través de los instrumentos jurídicos que permiten la prestación del servicio de interés general a la población.</w:t>
      </w:r>
    </w:p>
    <w:p w:rsidR="00EB2296" w:rsidRPr="00DF04D5" w:rsidRDefault="00EB2296" w:rsidP="00F13456">
      <w:pPr>
        <w:jc w:val="both"/>
        <w:rPr>
          <w:rFonts w:ascii="ITC Avant Garde" w:eastAsia="Times New Roman" w:hAnsi="ITC Avant Garde"/>
          <w:bCs/>
          <w:color w:val="000000"/>
          <w:lang w:eastAsia="es-MX"/>
        </w:rPr>
      </w:pPr>
      <w:r w:rsidRPr="00DF04D5">
        <w:rPr>
          <w:rFonts w:ascii="ITC Avant Garde" w:eastAsia="Times New Roman" w:hAnsi="ITC Avant Garde"/>
          <w:bCs/>
          <w:color w:val="000000"/>
          <w:lang w:val="es-ES" w:eastAsia="es-MX"/>
        </w:rPr>
        <w:t>Acorde con lo previsto en el artículo Segundo Transitorio fracción VII de los L</w:t>
      </w:r>
      <w:r w:rsidR="00572019" w:rsidRPr="00DF04D5">
        <w:rPr>
          <w:rFonts w:ascii="ITC Avant Garde" w:eastAsia="Times New Roman" w:hAnsi="ITC Avant Garde"/>
          <w:bCs/>
          <w:color w:val="000000"/>
          <w:lang w:val="es-ES" w:eastAsia="es-MX"/>
        </w:rPr>
        <w:t>ineamientos, el otorgamiento de</w:t>
      </w:r>
      <w:r w:rsidRPr="00DF04D5">
        <w:rPr>
          <w:rFonts w:ascii="ITC Avant Garde" w:eastAsia="Times New Roman" w:hAnsi="ITC Avant Garde"/>
          <w:bCs/>
          <w:color w:val="000000"/>
          <w:lang w:val="es-ES" w:eastAsia="es-MX"/>
        </w:rPr>
        <w:t>l</w:t>
      </w:r>
      <w:r w:rsidR="0005005F" w:rsidRPr="00DF04D5">
        <w:rPr>
          <w:rFonts w:ascii="ITC Avant Garde" w:eastAsia="Times New Roman" w:hAnsi="ITC Avant Garde"/>
          <w:bCs/>
          <w:color w:val="000000"/>
          <w:lang w:val="es-ES" w:eastAsia="es-MX"/>
        </w:rPr>
        <w:t xml:space="preserve"> </w:t>
      </w:r>
      <w:r w:rsidRPr="00DF04D5">
        <w:rPr>
          <w:rFonts w:ascii="ITC Avant Garde" w:eastAsia="Times New Roman" w:hAnsi="ITC Avant Garde"/>
          <w:bCs/>
          <w:color w:val="000000"/>
          <w:lang w:val="es-ES" w:eastAsia="es-MX"/>
        </w:rPr>
        <w:t xml:space="preserve">título que con motivo de la presente resolución </w:t>
      </w:r>
      <w:r w:rsidR="00572019" w:rsidRPr="00DF04D5">
        <w:rPr>
          <w:rFonts w:ascii="ITC Avant Garde" w:eastAsia="Times New Roman" w:hAnsi="ITC Avant Garde"/>
          <w:bCs/>
          <w:color w:val="000000"/>
          <w:lang w:val="es-ES" w:eastAsia="es-MX"/>
        </w:rPr>
        <w:t>se expida</w:t>
      </w:r>
      <w:r w:rsidR="0013131D" w:rsidRPr="00DF04D5">
        <w:rPr>
          <w:rFonts w:ascii="ITC Avant Garde" w:eastAsia="Times New Roman" w:hAnsi="ITC Avant Garde"/>
          <w:bCs/>
          <w:color w:val="000000"/>
          <w:lang w:val="es-ES" w:eastAsia="es-MX"/>
        </w:rPr>
        <w:t>,</w:t>
      </w:r>
      <w:r w:rsidR="00572019" w:rsidRPr="00DF04D5">
        <w:rPr>
          <w:rFonts w:ascii="ITC Avant Garde" w:eastAsia="Times New Roman" w:hAnsi="ITC Avant Garde"/>
          <w:bCs/>
          <w:color w:val="000000"/>
          <w:lang w:val="es-ES" w:eastAsia="es-MX"/>
        </w:rPr>
        <w:t xml:space="preserve"> </w:t>
      </w:r>
      <w:r w:rsidRPr="00DF04D5">
        <w:rPr>
          <w:rFonts w:ascii="ITC Avant Garde" w:eastAsia="Times New Roman" w:hAnsi="ITC Avant Garde"/>
          <w:bCs/>
          <w:color w:val="000000"/>
          <w:lang w:val="es-ES" w:eastAsia="es-MX"/>
        </w:rPr>
        <w:t>reconoce</w:t>
      </w:r>
      <w:r w:rsidR="0022779A" w:rsidRPr="00DF04D5">
        <w:rPr>
          <w:rFonts w:ascii="ITC Avant Garde" w:eastAsia="Times New Roman" w:hAnsi="ITC Avant Garde"/>
          <w:bCs/>
          <w:color w:val="000000"/>
          <w:lang w:val="es-ES" w:eastAsia="es-MX"/>
        </w:rPr>
        <w:t>rán</w:t>
      </w:r>
      <w:r w:rsidRPr="00DF04D5">
        <w:rPr>
          <w:rFonts w:ascii="ITC Avant Garde" w:eastAsia="Times New Roman" w:hAnsi="ITC Avant Garde"/>
          <w:bCs/>
          <w:color w:val="000000"/>
          <w:lang w:val="es-ES" w:eastAsia="es-MX"/>
        </w:rPr>
        <w:t xml:space="preserve"> la vigencia, características, condiciones y parámetros técnicos establecidos en </w:t>
      </w:r>
      <w:r w:rsidR="00AD7AE9" w:rsidRPr="00DF04D5">
        <w:rPr>
          <w:rFonts w:ascii="ITC Avant Garde" w:eastAsia="Times New Roman" w:hAnsi="ITC Avant Garde"/>
          <w:bCs/>
          <w:color w:val="000000"/>
          <w:lang w:val="es-ES" w:eastAsia="es-MX"/>
        </w:rPr>
        <w:t xml:space="preserve">el permiso </w:t>
      </w:r>
      <w:r w:rsidR="00572019" w:rsidRPr="00DF04D5">
        <w:rPr>
          <w:rFonts w:ascii="ITC Avant Garde" w:eastAsia="Times New Roman" w:hAnsi="ITC Avant Garde"/>
          <w:bCs/>
          <w:color w:val="000000"/>
          <w:lang w:val="es-ES" w:eastAsia="es-MX"/>
        </w:rPr>
        <w:t xml:space="preserve">de </w:t>
      </w:r>
      <w:r w:rsidRPr="00DF04D5">
        <w:rPr>
          <w:rFonts w:ascii="ITC Avant Garde" w:eastAsia="Times New Roman" w:hAnsi="ITC Avant Garde"/>
          <w:bCs/>
          <w:color w:val="000000"/>
          <w:lang w:val="es-ES" w:eastAsia="es-MX"/>
        </w:rPr>
        <w:t>mérito y, en su caso, las modificaciones técnicas autorizadas.</w:t>
      </w:r>
      <w:r w:rsidR="00B00D1B" w:rsidRPr="00DF04D5">
        <w:rPr>
          <w:rFonts w:ascii="ITC Avant Garde" w:eastAsia="Times New Roman" w:hAnsi="ITC Avant Garde"/>
          <w:bCs/>
          <w:color w:val="000000"/>
          <w:lang w:val="es-ES" w:eastAsia="es-MX"/>
        </w:rPr>
        <w:t xml:space="preserve"> </w:t>
      </w:r>
      <w:r w:rsidR="0005005F" w:rsidRPr="00DF04D5">
        <w:rPr>
          <w:rFonts w:ascii="ITC Avant Garde" w:eastAsia="Times New Roman" w:hAnsi="ITC Avant Garde"/>
          <w:bCs/>
          <w:color w:val="000000"/>
          <w:lang w:val="es-ES" w:eastAsia="es-MX"/>
        </w:rPr>
        <w:t xml:space="preserve">No obstante lo anterior, toda vez que el Permiso objeto de transición </w:t>
      </w:r>
      <w:r w:rsidR="009C3667" w:rsidRPr="00DF04D5">
        <w:rPr>
          <w:rFonts w:ascii="ITC Avant Garde" w:eastAsia="Times New Roman" w:hAnsi="ITC Avant Garde"/>
          <w:bCs/>
          <w:color w:val="000000"/>
          <w:lang w:val="es-ES" w:eastAsia="es-MX"/>
        </w:rPr>
        <w:t>encuadra</w:t>
      </w:r>
      <w:r w:rsidR="0005005F" w:rsidRPr="00DF04D5">
        <w:rPr>
          <w:rFonts w:ascii="ITC Avant Garde" w:eastAsia="Times New Roman" w:hAnsi="ITC Avant Garde"/>
          <w:bCs/>
          <w:color w:val="000000"/>
          <w:lang w:val="es-ES" w:eastAsia="es-MX"/>
        </w:rPr>
        <w:t xml:space="preserve"> </w:t>
      </w:r>
      <w:r w:rsidR="003C4CAB" w:rsidRPr="00DF04D5">
        <w:rPr>
          <w:rFonts w:ascii="ITC Avant Garde" w:eastAsia="Times New Roman" w:hAnsi="ITC Avant Garde"/>
          <w:bCs/>
          <w:color w:val="000000"/>
          <w:lang w:val="es-ES" w:eastAsia="es-MX"/>
        </w:rPr>
        <w:t xml:space="preserve">en </w:t>
      </w:r>
      <w:r w:rsidR="0005005F" w:rsidRPr="00DF04D5">
        <w:rPr>
          <w:rFonts w:ascii="ITC Avant Garde" w:eastAsia="Times New Roman" w:hAnsi="ITC Avant Garde"/>
          <w:bCs/>
          <w:color w:val="000000"/>
          <w:lang w:val="es-ES" w:eastAsia="es-MX"/>
        </w:rPr>
        <w:t>e</w:t>
      </w:r>
      <w:r w:rsidR="003C4CAB" w:rsidRPr="00DF04D5">
        <w:rPr>
          <w:rFonts w:ascii="ITC Avant Garde" w:eastAsia="Times New Roman" w:hAnsi="ITC Avant Garde"/>
          <w:bCs/>
          <w:color w:val="000000"/>
          <w:lang w:val="es-ES" w:eastAsia="es-MX"/>
        </w:rPr>
        <w:t xml:space="preserve">l supuesto previsto por la propia fracción VII aquí citada, </w:t>
      </w:r>
      <w:r w:rsidR="0005005F" w:rsidRPr="00DF04D5">
        <w:rPr>
          <w:rFonts w:ascii="ITC Avant Garde" w:eastAsia="Times New Roman" w:hAnsi="ITC Avant Garde"/>
          <w:bCs/>
          <w:color w:val="000000"/>
          <w:lang w:val="es-ES" w:eastAsia="es-MX"/>
        </w:rPr>
        <w:t xml:space="preserve">por tratarse de una </w:t>
      </w:r>
      <w:r w:rsidR="003C4CAB" w:rsidRPr="00DF04D5">
        <w:rPr>
          <w:rFonts w:ascii="ITC Avant Garde" w:eastAsia="Times New Roman" w:hAnsi="ITC Avant Garde"/>
          <w:bCs/>
          <w:color w:val="000000"/>
          <w:lang w:val="es-ES" w:eastAsia="es-MX"/>
        </w:rPr>
        <w:t>autorizaci</w:t>
      </w:r>
      <w:r w:rsidR="0005005F" w:rsidRPr="00DF04D5">
        <w:rPr>
          <w:rFonts w:ascii="ITC Avant Garde" w:eastAsia="Times New Roman" w:hAnsi="ITC Avant Garde"/>
          <w:bCs/>
          <w:color w:val="000000"/>
          <w:lang w:val="es-ES" w:eastAsia="es-MX"/>
        </w:rPr>
        <w:t>ó</w:t>
      </w:r>
      <w:r w:rsidR="003C4CAB" w:rsidRPr="00DF04D5">
        <w:rPr>
          <w:rFonts w:ascii="ITC Avant Garde" w:eastAsia="Times New Roman" w:hAnsi="ITC Avant Garde"/>
          <w:bCs/>
          <w:color w:val="000000"/>
          <w:lang w:val="es-ES" w:eastAsia="es-MX"/>
        </w:rPr>
        <w:t xml:space="preserve">n con una vigencia indefinida, se estará a lo que se indica en el Considerando </w:t>
      </w:r>
      <w:r w:rsidR="00304A8B" w:rsidRPr="00DF04D5">
        <w:rPr>
          <w:rFonts w:ascii="ITC Avant Garde" w:eastAsia="Times New Roman" w:hAnsi="ITC Avant Garde"/>
          <w:bCs/>
          <w:color w:val="000000"/>
          <w:lang w:val="es-ES" w:eastAsia="es-MX"/>
        </w:rPr>
        <w:t>Quint</w:t>
      </w:r>
      <w:r w:rsidR="003C4CAB" w:rsidRPr="00DF04D5">
        <w:rPr>
          <w:rFonts w:ascii="ITC Avant Garde" w:eastAsia="Times New Roman" w:hAnsi="ITC Avant Garde"/>
          <w:bCs/>
          <w:color w:val="000000"/>
          <w:lang w:val="es-ES" w:eastAsia="es-MX"/>
        </w:rPr>
        <w:t>o de la presente Resolución respecto de la vigencia de la concesión otorgada.</w:t>
      </w:r>
    </w:p>
    <w:p w:rsidR="009C3667" w:rsidRPr="00DF04D5" w:rsidRDefault="00861FBD" w:rsidP="00F13456">
      <w:pPr>
        <w:tabs>
          <w:tab w:val="left" w:pos="0"/>
        </w:tabs>
        <w:autoSpaceDE w:val="0"/>
        <w:autoSpaceDN w:val="0"/>
        <w:adjustRightInd w:val="0"/>
        <w:jc w:val="both"/>
        <w:rPr>
          <w:rFonts w:ascii="ITC Avant Garde" w:eastAsia="Times New Roman" w:hAnsi="ITC Avant Garde"/>
          <w:kern w:val="1"/>
          <w:lang w:val="es-ES" w:eastAsia="ar-SA"/>
        </w:rPr>
      </w:pPr>
      <w:r w:rsidRPr="00DF04D5">
        <w:rPr>
          <w:rFonts w:ascii="ITC Avant Garde" w:eastAsia="Times New Roman" w:hAnsi="ITC Avant Garde" w:cs="Arial"/>
          <w:b/>
          <w:bCs/>
          <w:kern w:val="1"/>
          <w:lang w:val="es-ES" w:eastAsia="ar-SA"/>
        </w:rPr>
        <w:t>QUINTO</w:t>
      </w:r>
      <w:r w:rsidR="00EB2296" w:rsidRPr="00DF04D5">
        <w:rPr>
          <w:rFonts w:ascii="ITC Avant Garde" w:eastAsia="Times New Roman" w:hAnsi="ITC Avant Garde" w:cs="Arial"/>
          <w:b/>
          <w:bCs/>
          <w:kern w:val="1"/>
          <w:lang w:val="es-ES" w:eastAsia="ar-SA"/>
        </w:rPr>
        <w:t>.-</w:t>
      </w:r>
      <w:r w:rsidR="00EB2296" w:rsidRPr="00DF04D5">
        <w:rPr>
          <w:rFonts w:ascii="ITC Avant Garde" w:eastAsia="Times New Roman" w:hAnsi="ITC Avant Garde" w:cs="Arial"/>
          <w:bCs/>
          <w:kern w:val="1"/>
          <w:lang w:val="es-ES" w:eastAsia="ar-SA"/>
        </w:rPr>
        <w:t xml:space="preserve"> </w:t>
      </w:r>
      <w:r w:rsidR="00EB2296" w:rsidRPr="00DF04D5">
        <w:rPr>
          <w:rFonts w:ascii="ITC Avant Garde" w:eastAsia="Times New Roman" w:hAnsi="ITC Avant Garde" w:cs="Arial"/>
          <w:b/>
          <w:bCs/>
          <w:kern w:val="1"/>
          <w:lang w:val="es-ES" w:eastAsia="ar-SA"/>
        </w:rPr>
        <w:t xml:space="preserve">Vigencia de las concesiones para uso </w:t>
      </w:r>
      <w:r w:rsidR="00AA1DA6" w:rsidRPr="00DF04D5">
        <w:rPr>
          <w:rFonts w:ascii="ITC Avant Garde" w:eastAsia="Times New Roman" w:hAnsi="ITC Avant Garde" w:cs="Arial"/>
          <w:b/>
          <w:bCs/>
          <w:kern w:val="1"/>
          <w:lang w:val="es-ES" w:eastAsia="ar-SA"/>
        </w:rPr>
        <w:t>social</w:t>
      </w:r>
      <w:r w:rsidR="00EB2296" w:rsidRPr="00DF04D5">
        <w:rPr>
          <w:rFonts w:ascii="ITC Avant Garde" w:eastAsia="Times New Roman" w:hAnsi="ITC Avant Garde" w:cs="Arial"/>
          <w:bCs/>
          <w:kern w:val="1"/>
          <w:lang w:val="es-ES" w:eastAsia="ar-SA"/>
        </w:rPr>
        <w:t>.</w:t>
      </w:r>
      <w:r w:rsidR="00EB2296" w:rsidRPr="00DF04D5">
        <w:rPr>
          <w:rFonts w:ascii="ITC Avant Garde" w:eastAsia="Times New Roman" w:hAnsi="ITC Avant Garde" w:cs="Arial"/>
          <w:bCs/>
          <w:lang w:eastAsia="es-MX"/>
        </w:rPr>
        <w:t xml:space="preserve"> </w:t>
      </w:r>
      <w:r w:rsidR="000823B7" w:rsidRPr="00DF04D5">
        <w:rPr>
          <w:rFonts w:ascii="ITC Avant Garde" w:eastAsia="Times New Roman" w:hAnsi="ITC Avant Garde" w:cs="Arial"/>
          <w:bCs/>
          <w:lang w:eastAsia="es-MX"/>
        </w:rPr>
        <w:t xml:space="preserve">En términos de lo dispuesto por la fracción VII del artículo Segundo Transitorio de los Lineamientos, el título </w:t>
      </w:r>
      <w:r w:rsidR="0014799D" w:rsidRPr="00DF04D5">
        <w:rPr>
          <w:rFonts w:ascii="ITC Avant Garde" w:eastAsia="Times New Roman" w:hAnsi="ITC Avant Garde" w:cs="Arial"/>
          <w:bCs/>
          <w:lang w:eastAsia="es-MX"/>
        </w:rPr>
        <w:t>de concesión para usar y aprovechar bandas de frecuencias del espectro radioeléctrico</w:t>
      </w:r>
      <w:r w:rsidR="0014799D" w:rsidRPr="00DF04D5">
        <w:rPr>
          <w:rFonts w:ascii="ITC Avant Garde" w:eastAsia="Times New Roman" w:hAnsi="ITC Avant Garde" w:cs="Arial"/>
          <w:b/>
          <w:bCs/>
          <w:lang w:eastAsia="es-MX"/>
        </w:rPr>
        <w:t xml:space="preserve"> </w:t>
      </w:r>
      <w:r w:rsidR="000823B7" w:rsidRPr="00DF04D5">
        <w:rPr>
          <w:rFonts w:ascii="ITC Avant Garde" w:eastAsia="Times New Roman" w:hAnsi="ITC Avant Garde" w:cs="Arial"/>
          <w:bCs/>
          <w:lang w:eastAsia="es-MX"/>
        </w:rPr>
        <w:t xml:space="preserve">que con motivo de la transición al régimen de concesión se expida, </w:t>
      </w:r>
      <w:r w:rsidR="009C3667" w:rsidRPr="00DF04D5">
        <w:rPr>
          <w:rFonts w:ascii="ITC Avant Garde" w:eastAsia="Times New Roman" w:hAnsi="ITC Avant Garde" w:cs="Arial"/>
          <w:bCs/>
          <w:lang w:eastAsia="es-MX"/>
        </w:rPr>
        <w:t xml:space="preserve">contendrá una vigencia de quince años. </w:t>
      </w:r>
    </w:p>
    <w:p w:rsidR="003F2261" w:rsidRPr="00DF04D5" w:rsidRDefault="009C3667" w:rsidP="00F13456">
      <w:pPr>
        <w:tabs>
          <w:tab w:val="left" w:pos="0"/>
        </w:tabs>
        <w:autoSpaceDE w:val="0"/>
        <w:autoSpaceDN w:val="0"/>
        <w:adjustRightInd w:val="0"/>
        <w:jc w:val="both"/>
        <w:rPr>
          <w:rFonts w:ascii="ITC Avant Garde" w:eastAsia="Times New Roman" w:hAnsi="ITC Avant Garde"/>
          <w:kern w:val="1"/>
          <w:lang w:val="es-ES" w:eastAsia="ar-SA"/>
        </w:rPr>
      </w:pPr>
      <w:r w:rsidRPr="00DF04D5">
        <w:rPr>
          <w:rFonts w:ascii="ITC Avant Garde" w:eastAsia="Times New Roman" w:hAnsi="ITC Avant Garde"/>
          <w:kern w:val="1"/>
          <w:lang w:val="es-ES" w:eastAsia="ar-SA"/>
        </w:rPr>
        <w:t>Lo anterior toda vez que</w:t>
      </w:r>
      <w:r w:rsidR="003F2261" w:rsidRPr="00DF04D5">
        <w:rPr>
          <w:rFonts w:ascii="ITC Avant Garde" w:eastAsia="Times New Roman" w:hAnsi="ITC Avant Garde"/>
          <w:kern w:val="1"/>
          <w:lang w:val="es-ES" w:eastAsia="ar-SA"/>
        </w:rPr>
        <w:t xml:space="preserve">, </w:t>
      </w:r>
      <w:r w:rsidR="00304A8B" w:rsidRPr="00DF04D5">
        <w:rPr>
          <w:rFonts w:ascii="ITC Avant Garde" w:eastAsia="Times New Roman" w:hAnsi="ITC Avant Garde"/>
          <w:kern w:val="1"/>
          <w:lang w:val="es-ES" w:eastAsia="ar-SA"/>
        </w:rPr>
        <w:t xml:space="preserve">de manera excepcional, </w:t>
      </w:r>
      <w:r w:rsidR="003F2261" w:rsidRPr="00DF04D5">
        <w:rPr>
          <w:rFonts w:ascii="ITC Avant Garde" w:eastAsia="Times New Roman" w:hAnsi="ITC Avant Garde"/>
          <w:kern w:val="1"/>
          <w:lang w:val="es-ES" w:eastAsia="ar-SA"/>
        </w:rPr>
        <w:t xml:space="preserve">cuando se trate de una autorización de las señaladas en la fracción II del artículo transitorio citado, la vigencia de las concesiones que al efecto se otorguen podrá ser de hasta quince años. Es decir, </w:t>
      </w:r>
      <w:r w:rsidR="00304A8B" w:rsidRPr="00DF04D5">
        <w:rPr>
          <w:rFonts w:ascii="ITC Avant Garde" w:eastAsia="Times New Roman" w:hAnsi="ITC Avant Garde"/>
          <w:kern w:val="1"/>
          <w:lang w:val="es-ES" w:eastAsia="ar-SA"/>
        </w:rPr>
        <w:t xml:space="preserve">el Permisionario </w:t>
      </w:r>
      <w:r w:rsidR="00304A8B" w:rsidRPr="00DF04D5">
        <w:rPr>
          <w:rFonts w:ascii="ITC Avant Garde" w:eastAsia="Times New Roman" w:hAnsi="ITC Avant Garde"/>
          <w:b/>
          <w:kern w:val="1"/>
          <w:lang w:val="es-ES" w:eastAsia="ar-SA"/>
        </w:rPr>
        <w:t>PATRONATO PRO-ESTACIÓN RADIODIFUSORA DEL INSTITUTO TECNOLÓGICO REGIONAL DE CELAYA, A.C.</w:t>
      </w:r>
      <w:r w:rsidR="00304A8B" w:rsidRPr="00DF04D5">
        <w:rPr>
          <w:rFonts w:ascii="ITC Avant Garde" w:eastAsia="Times New Roman" w:hAnsi="ITC Avant Garde"/>
          <w:kern w:val="1"/>
          <w:lang w:val="es-ES" w:eastAsia="ar-SA"/>
        </w:rPr>
        <w:t xml:space="preserve"> </w:t>
      </w:r>
      <w:r w:rsidR="003F2261" w:rsidRPr="00DF04D5">
        <w:rPr>
          <w:rFonts w:ascii="ITC Avant Garde" w:eastAsia="Times New Roman" w:hAnsi="ITC Avant Garde"/>
          <w:kern w:val="1"/>
          <w:lang w:val="es-ES" w:eastAsia="ar-SA"/>
        </w:rPr>
        <w:t>cuenta con una autorización</w:t>
      </w:r>
      <w:r w:rsidR="003C4CAB" w:rsidRPr="00DF04D5">
        <w:rPr>
          <w:rFonts w:ascii="ITC Avant Garde" w:eastAsia="Times New Roman" w:hAnsi="ITC Avant Garde"/>
          <w:kern w:val="1"/>
          <w:lang w:val="es-ES" w:eastAsia="ar-SA"/>
        </w:rPr>
        <w:t xml:space="preserve"> con vigencia indefinida</w:t>
      </w:r>
      <w:r w:rsidR="003F2261" w:rsidRPr="00DF04D5">
        <w:rPr>
          <w:rFonts w:ascii="ITC Avant Garde" w:eastAsia="Times New Roman" w:hAnsi="ITC Avant Garde"/>
          <w:kern w:val="1"/>
          <w:lang w:val="es-ES" w:eastAsia="ar-SA"/>
        </w:rPr>
        <w:t xml:space="preserve"> al amparo de la cual ha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w:t>
      </w:r>
      <w:r w:rsidR="00304A8B" w:rsidRPr="00DF04D5">
        <w:rPr>
          <w:rFonts w:ascii="ITC Avant Garde" w:eastAsia="Times New Roman" w:hAnsi="ITC Avant Garde"/>
          <w:kern w:val="1"/>
          <w:lang w:val="es-ES" w:eastAsia="ar-SA"/>
        </w:rPr>
        <w:t xml:space="preserve">a favor de dicho permisionario </w:t>
      </w:r>
      <w:r w:rsidR="003F2261" w:rsidRPr="00DF04D5">
        <w:rPr>
          <w:rFonts w:ascii="ITC Avant Garde" w:eastAsia="Times New Roman" w:hAnsi="ITC Avant Garde"/>
          <w:kern w:val="1"/>
          <w:lang w:val="es-ES" w:eastAsia="ar-SA"/>
        </w:rPr>
        <w:t xml:space="preserve">con motivo de la transición </w:t>
      </w:r>
      <w:r w:rsidR="003C4CAB" w:rsidRPr="00DF04D5">
        <w:rPr>
          <w:rFonts w:ascii="ITC Avant Garde" w:eastAsia="Times New Roman" w:hAnsi="ITC Avant Garde"/>
          <w:kern w:val="1"/>
          <w:lang w:val="es-ES" w:eastAsia="ar-SA"/>
        </w:rPr>
        <w:t xml:space="preserve">tendrá </w:t>
      </w:r>
      <w:r w:rsidR="003F2261" w:rsidRPr="00DF04D5">
        <w:rPr>
          <w:rFonts w:ascii="ITC Avant Garde" w:eastAsia="Times New Roman" w:hAnsi="ITC Avant Garde"/>
          <w:kern w:val="1"/>
          <w:lang w:val="es-ES" w:eastAsia="ar-SA"/>
        </w:rPr>
        <w:t>una vigencia de quince años</w:t>
      </w:r>
      <w:r w:rsidR="003C4CAB" w:rsidRPr="00DF04D5">
        <w:rPr>
          <w:rFonts w:ascii="ITC Avant Garde" w:eastAsia="Times New Roman" w:hAnsi="ITC Avant Garde"/>
          <w:kern w:val="1"/>
          <w:lang w:val="es-ES" w:eastAsia="ar-SA"/>
        </w:rPr>
        <w:t>,</w:t>
      </w:r>
      <w:r w:rsidR="003F2261" w:rsidRPr="00DF04D5">
        <w:rPr>
          <w:rFonts w:ascii="ITC Avant Garde" w:eastAsia="Times New Roman" w:hAnsi="ITC Avant Garde"/>
          <w:kern w:val="1"/>
          <w:lang w:val="es-ES" w:eastAsia="ar-SA"/>
        </w:rPr>
        <w:t xml:space="preserve"> ya que dicho plazo máximo previsto en los Lineamientos es congruente con la vigencia otorgada para las concesiones de uso social en materia de radiodifusión que el Instituto </w:t>
      </w:r>
      <w:r w:rsidR="003F2261" w:rsidRPr="00DF04D5">
        <w:rPr>
          <w:rFonts w:ascii="ITC Avant Garde" w:eastAsia="Times New Roman" w:hAnsi="ITC Avant Garde"/>
          <w:kern w:val="1"/>
          <w:lang w:val="es-ES" w:eastAsia="ar-SA"/>
        </w:rPr>
        <w:lastRenderedPageBreak/>
        <w:t>ha resuelto previamente a favor de otras personas físicas o asociaciones civiles, lo cual refleja el trato equitativo en relación con las concesiones cuyo otorgamiento se resuelve en virtud de la presente Resolución.</w:t>
      </w:r>
    </w:p>
    <w:p w:rsidR="006A7D4E" w:rsidRPr="00DF04D5" w:rsidRDefault="00CA7705" w:rsidP="00F13456">
      <w:pPr>
        <w:tabs>
          <w:tab w:val="left" w:pos="0"/>
        </w:tabs>
        <w:autoSpaceDE w:val="0"/>
        <w:autoSpaceDN w:val="0"/>
        <w:adjustRightInd w:val="0"/>
        <w:jc w:val="both"/>
        <w:rPr>
          <w:rFonts w:ascii="ITC Avant Garde" w:eastAsia="Times New Roman" w:hAnsi="ITC Avant Garde"/>
          <w:kern w:val="1"/>
          <w:lang w:val="es-ES" w:eastAsia="ar-SA"/>
        </w:rPr>
      </w:pPr>
      <w:r w:rsidRPr="00DF04D5">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A22EE" w:rsidRPr="00DF04D5">
        <w:rPr>
          <w:rFonts w:ascii="ITC Avant Garde" w:eastAsia="Times New Roman" w:hAnsi="ITC Avant Garde"/>
          <w:kern w:val="1"/>
          <w:lang w:val="es-ES" w:eastAsia="ar-SA"/>
        </w:rPr>
        <w:t xml:space="preserve">será </w:t>
      </w:r>
      <w:r w:rsidRPr="00DF04D5">
        <w:rPr>
          <w:rFonts w:ascii="ITC Avant Garde" w:eastAsia="Times New Roman" w:hAnsi="ITC Avant Garde"/>
          <w:kern w:val="1"/>
          <w:lang w:val="es-ES" w:eastAsia="ar-SA"/>
        </w:rPr>
        <w:t>de 30 (treinta) años, contados a partir de la fecha de su expedición.</w:t>
      </w:r>
    </w:p>
    <w:p w:rsidR="006A7D4E" w:rsidRPr="00DF04D5" w:rsidRDefault="00EB2296" w:rsidP="00F13456">
      <w:pPr>
        <w:tabs>
          <w:tab w:val="left" w:pos="0"/>
        </w:tabs>
        <w:autoSpaceDE w:val="0"/>
        <w:autoSpaceDN w:val="0"/>
        <w:adjustRightInd w:val="0"/>
        <w:jc w:val="both"/>
        <w:rPr>
          <w:rFonts w:ascii="ITC Avant Garde" w:hAnsi="ITC Avant Garde" w:cs="Tahoma"/>
          <w:bCs/>
          <w:color w:val="000000"/>
          <w:lang w:eastAsia="es-MX"/>
        </w:rPr>
      </w:pPr>
      <w:r w:rsidRPr="00DF04D5">
        <w:rPr>
          <w:rFonts w:ascii="ITC Avant Garde" w:eastAsia="Times New Roman" w:hAnsi="ITC Avant Garde"/>
          <w:kern w:val="1"/>
          <w:lang w:val="es-ES" w:eastAsia="ar-SA"/>
        </w:rPr>
        <w:t xml:space="preserve">Por lo anterior, con fundamento en los artículos </w:t>
      </w:r>
      <w:r w:rsidR="00FA14D0" w:rsidRPr="00DF04D5">
        <w:rPr>
          <w:rFonts w:ascii="ITC Avant Garde" w:eastAsia="Times New Roman" w:hAnsi="ITC Avant Garde"/>
          <w:kern w:val="1"/>
          <w:lang w:val="es-ES" w:eastAsia="ar-SA"/>
        </w:rPr>
        <w:t xml:space="preserve">27 párrafos cuarto y sexto; </w:t>
      </w:r>
      <w:r w:rsidRPr="00DF04D5">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DF04D5">
        <w:rPr>
          <w:rFonts w:ascii="ITC Avant Garde" w:hAnsi="ITC Avant Garde"/>
          <w:lang w:eastAsia="es-MX"/>
        </w:rPr>
        <w:t xml:space="preserve">Decreto </w:t>
      </w:r>
      <w:r w:rsidRPr="00DF04D5">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DF04D5">
        <w:rPr>
          <w:rFonts w:ascii="ITC Avant Garde" w:hAnsi="ITC Avant Garde"/>
          <w:bCs/>
          <w:color w:val="000000" w:themeColor="text1"/>
          <w:lang w:eastAsia="es-MX"/>
        </w:rPr>
        <w:t xml:space="preserve">Decreto </w:t>
      </w:r>
      <w:r w:rsidRPr="00DF04D5">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DF04D5">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DF04D5">
        <w:rPr>
          <w:rFonts w:ascii="ITC Avant Garde" w:eastAsia="Times New Roman" w:hAnsi="ITC Avant Garde"/>
          <w:kern w:val="1"/>
          <w:lang w:val="es-ES" w:eastAsia="ar-SA"/>
        </w:rPr>
        <w:t>V</w:t>
      </w:r>
      <w:r w:rsidRPr="00DF04D5">
        <w:rPr>
          <w:rFonts w:ascii="ITC Avant Garde" w:eastAsia="Times New Roman" w:hAnsi="ITC Avant Garde"/>
          <w:kern w:val="1"/>
          <w:lang w:val="es-ES" w:eastAsia="ar-SA"/>
        </w:rPr>
        <w:t>, 68, 71, 72, 75 párrafo segundo, 76 fracción I</w:t>
      </w:r>
      <w:r w:rsidR="00940430" w:rsidRPr="00DF04D5">
        <w:rPr>
          <w:rFonts w:ascii="ITC Avant Garde" w:eastAsia="Times New Roman" w:hAnsi="ITC Avant Garde"/>
          <w:kern w:val="1"/>
          <w:lang w:val="es-ES" w:eastAsia="ar-SA"/>
        </w:rPr>
        <w:t xml:space="preserve">V, 77 y 83 </w:t>
      </w:r>
      <w:r w:rsidRPr="00DF04D5">
        <w:rPr>
          <w:rFonts w:ascii="ITC Avant Garde" w:eastAsia="Times New Roman" w:hAnsi="ITC Avant Garde"/>
          <w:kern w:val="1"/>
          <w:lang w:val="es-ES" w:eastAsia="ar-SA"/>
        </w:rPr>
        <w:t xml:space="preserve">de la Ley Federal de Telecomunicaciones y Radiodifusión; </w:t>
      </w:r>
      <w:r w:rsidRPr="00DF04D5">
        <w:rPr>
          <w:rFonts w:ascii="ITC Avant Garde" w:eastAsia="Times New Roman" w:hAnsi="ITC Avant Garde"/>
          <w:bCs/>
          <w:kern w:val="1"/>
          <w:lang w:eastAsia="ar-SA"/>
        </w:rPr>
        <w:t>Segundo T</w:t>
      </w:r>
      <w:r w:rsidR="0082761F" w:rsidRPr="00DF04D5">
        <w:rPr>
          <w:rFonts w:ascii="ITC Avant Garde" w:eastAsia="Times New Roman" w:hAnsi="ITC Avant Garde"/>
          <w:bCs/>
          <w:kern w:val="1"/>
          <w:lang w:eastAsia="ar-SA"/>
        </w:rPr>
        <w:t xml:space="preserve">ransitorio fracciones IV, V, </w:t>
      </w:r>
      <w:r w:rsidR="008A22EE" w:rsidRPr="00DF04D5">
        <w:rPr>
          <w:rFonts w:ascii="ITC Avant Garde" w:eastAsia="Times New Roman" w:hAnsi="ITC Avant Garde"/>
          <w:bCs/>
          <w:kern w:val="1"/>
          <w:lang w:eastAsia="ar-SA"/>
        </w:rPr>
        <w:t xml:space="preserve">VI, </w:t>
      </w:r>
      <w:r w:rsidRPr="00DF04D5">
        <w:rPr>
          <w:rFonts w:ascii="ITC Avant Garde" w:eastAsia="Times New Roman" w:hAnsi="ITC Avant Garde"/>
          <w:bCs/>
          <w:kern w:val="1"/>
          <w:lang w:eastAsia="ar-SA"/>
        </w:rPr>
        <w:t>VII</w:t>
      </w:r>
      <w:r w:rsidR="0082761F" w:rsidRPr="00DF04D5">
        <w:rPr>
          <w:rFonts w:ascii="ITC Avant Garde" w:eastAsia="Times New Roman" w:hAnsi="ITC Avant Garde"/>
          <w:bCs/>
          <w:kern w:val="1"/>
          <w:lang w:eastAsia="ar-SA"/>
        </w:rPr>
        <w:t xml:space="preserve"> y IX</w:t>
      </w:r>
      <w:r w:rsidRPr="00DF04D5">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DF04D5">
        <w:rPr>
          <w:rFonts w:ascii="ITC Avant Garde" w:hAnsi="ITC Avant Garde" w:cs="Tahoma"/>
          <w:bCs/>
          <w:color w:val="000000"/>
          <w:lang w:eastAsia="es-MX"/>
        </w:rPr>
        <w:t xml:space="preserve"> 3, 13, </w:t>
      </w:r>
      <w:r w:rsidRPr="00DF04D5">
        <w:rPr>
          <w:rFonts w:ascii="ITC Avant Garde" w:eastAsia="Times New Roman" w:hAnsi="ITC Avant Garde"/>
          <w:bCs/>
          <w:kern w:val="1"/>
          <w:lang w:eastAsia="ar-SA"/>
        </w:rPr>
        <w:t xml:space="preserve">35 fracción I, 36, 38 y 57 fracción I de la Ley Federal de Procedimiento Administrativo, y </w:t>
      </w:r>
      <w:r w:rsidRPr="00DF04D5">
        <w:rPr>
          <w:rFonts w:ascii="ITC Avant Garde" w:eastAsia="Times New Roman" w:hAnsi="ITC Avant Garde"/>
          <w:lang w:eastAsia="es-ES"/>
        </w:rPr>
        <w:t xml:space="preserve">1, 4 fracción I, 6 fracciones I y XXXVII, 32 y 34 fracción I del </w:t>
      </w:r>
      <w:r w:rsidRPr="00DF04D5">
        <w:rPr>
          <w:rFonts w:ascii="ITC Avant Garde" w:hAnsi="ITC Avant Garde" w:cs="Arial"/>
          <w:kern w:val="1"/>
          <w:lang w:eastAsia="ar-SA"/>
        </w:rPr>
        <w:t>Estatuto Orgánico</w:t>
      </w:r>
      <w:r w:rsidRPr="00DF04D5">
        <w:rPr>
          <w:rFonts w:ascii="ITC Avant Garde" w:eastAsia="Times New Roman" w:hAnsi="ITC Avant Garde"/>
          <w:lang w:eastAsia="es-ES"/>
        </w:rPr>
        <w:t xml:space="preserve"> del Instituto Federal de Telecomunicaciones</w:t>
      </w:r>
      <w:r w:rsidRPr="00DF04D5">
        <w:rPr>
          <w:rFonts w:ascii="ITC Avant Garde" w:hAnsi="ITC Avant Garde" w:cs="Tahoma"/>
          <w:bCs/>
          <w:color w:val="000000"/>
          <w:lang w:eastAsia="es-MX"/>
        </w:rPr>
        <w:t>, este órgano autónomo emite los siguientes:</w:t>
      </w:r>
    </w:p>
    <w:p w:rsidR="00EB2296" w:rsidRPr="00DF04D5" w:rsidRDefault="00EB2296" w:rsidP="00DF04D5">
      <w:pPr>
        <w:pStyle w:val="Ttulo2"/>
        <w:spacing w:after="240"/>
        <w:jc w:val="center"/>
        <w:rPr>
          <w:rFonts w:ascii="ITC Avant Garde" w:hAnsi="ITC Avant Garde"/>
          <w:b/>
          <w:color w:val="000000" w:themeColor="text1"/>
          <w:sz w:val="22"/>
          <w:szCs w:val="22"/>
        </w:rPr>
      </w:pPr>
      <w:r w:rsidRPr="00DF04D5">
        <w:rPr>
          <w:rFonts w:ascii="ITC Avant Garde" w:hAnsi="ITC Avant Garde"/>
          <w:b/>
          <w:color w:val="000000" w:themeColor="text1"/>
          <w:sz w:val="22"/>
          <w:szCs w:val="22"/>
        </w:rPr>
        <w:t>RESOLUTIVOS</w:t>
      </w:r>
    </w:p>
    <w:p w:rsidR="00C3330E" w:rsidRPr="00DF04D5" w:rsidRDefault="000C6315" w:rsidP="00F13456">
      <w:pPr>
        <w:suppressAutoHyphens/>
        <w:ind w:right="-62"/>
        <w:jc w:val="both"/>
        <w:rPr>
          <w:rFonts w:ascii="ITC Avant Garde" w:eastAsia="Times New Roman" w:hAnsi="ITC Avant Garde"/>
          <w:bCs/>
          <w:kern w:val="1"/>
          <w:lang w:eastAsia="ar-SA"/>
        </w:rPr>
      </w:pPr>
      <w:r w:rsidRPr="00DF04D5">
        <w:rPr>
          <w:rFonts w:ascii="ITC Avant Garde" w:eastAsia="Times New Roman" w:hAnsi="ITC Avant Garde"/>
          <w:b/>
          <w:bCs/>
          <w:kern w:val="1"/>
          <w:lang w:eastAsia="ar-SA"/>
        </w:rPr>
        <w:t xml:space="preserve">PRIMERO.- </w:t>
      </w:r>
      <w:r w:rsidRPr="00DF04D5">
        <w:rPr>
          <w:rFonts w:ascii="ITC Avant Garde" w:eastAsia="Times New Roman" w:hAnsi="ITC Avant Garde"/>
          <w:bCs/>
          <w:kern w:val="1"/>
          <w:lang w:eastAsia="ar-SA"/>
        </w:rPr>
        <w:t xml:space="preserve">Se </w:t>
      </w:r>
      <w:r w:rsidR="00FE326F" w:rsidRPr="00DF04D5">
        <w:rPr>
          <w:rFonts w:ascii="ITC Avant Garde" w:eastAsia="Times New Roman" w:hAnsi="ITC Avant Garde"/>
          <w:bCs/>
          <w:kern w:val="1"/>
          <w:lang w:eastAsia="ar-SA"/>
        </w:rPr>
        <w:t>autoriza a</w:t>
      </w:r>
      <w:r w:rsidR="006A30DE" w:rsidRPr="00DF04D5">
        <w:rPr>
          <w:rFonts w:ascii="ITC Avant Garde" w:eastAsia="Times New Roman" w:hAnsi="ITC Avant Garde"/>
          <w:bCs/>
          <w:kern w:val="1"/>
          <w:lang w:eastAsia="ar-SA"/>
        </w:rPr>
        <w:t xml:space="preserve"> </w:t>
      </w:r>
      <w:r w:rsidR="006A30DE" w:rsidRPr="00DF04D5">
        <w:rPr>
          <w:rFonts w:ascii="ITC Avant Garde" w:hAnsi="ITC Avant Garde"/>
          <w:b/>
          <w:lang w:eastAsia="es-MX"/>
        </w:rPr>
        <w:t>PATRONATO PRO-ESTACION RADIODIFUSORA DEL INSTITUTO TECNOLÓGICO REGIONAL DE CELAYA, A.C.</w:t>
      </w:r>
      <w:r w:rsidR="00FE326F" w:rsidRPr="00DF04D5">
        <w:rPr>
          <w:rFonts w:ascii="ITC Avant Garde" w:eastAsia="Times New Roman" w:hAnsi="ITC Avant Garde"/>
          <w:bCs/>
          <w:kern w:val="1"/>
          <w:lang w:eastAsia="ar-SA"/>
        </w:rPr>
        <w:t>, la t</w:t>
      </w:r>
      <w:r w:rsidRPr="00DF04D5">
        <w:rPr>
          <w:rFonts w:ascii="ITC Avant Garde" w:eastAsia="Times New Roman" w:hAnsi="ITC Avant Garde"/>
          <w:bCs/>
          <w:kern w:val="1"/>
          <w:lang w:eastAsia="ar-SA"/>
        </w:rPr>
        <w:t xml:space="preserve">ransición al régimen de concesión para uso </w:t>
      </w:r>
      <w:r w:rsidR="007F4925" w:rsidRPr="00DF04D5">
        <w:rPr>
          <w:rFonts w:ascii="ITC Avant Garde" w:eastAsia="Times New Roman" w:hAnsi="ITC Avant Garde"/>
          <w:bCs/>
          <w:kern w:val="1"/>
          <w:lang w:eastAsia="ar-SA"/>
        </w:rPr>
        <w:t xml:space="preserve">social </w:t>
      </w:r>
      <w:r w:rsidR="00FE326F" w:rsidRPr="00DF04D5">
        <w:rPr>
          <w:rFonts w:ascii="ITC Avant Garde" w:eastAsia="Times New Roman" w:hAnsi="ITC Avant Garde"/>
          <w:bCs/>
          <w:kern w:val="1"/>
          <w:lang w:eastAsia="ar-SA"/>
        </w:rPr>
        <w:t>previsto en la Ley Federal de Telecomunicaciones y Radiodifusión</w:t>
      </w:r>
      <w:r w:rsidR="00F0598B" w:rsidRPr="00DF04D5">
        <w:rPr>
          <w:rFonts w:ascii="ITC Avant Garde" w:eastAsia="Times New Roman" w:hAnsi="ITC Avant Garde"/>
          <w:bCs/>
          <w:kern w:val="1"/>
          <w:lang w:eastAsia="ar-SA"/>
        </w:rPr>
        <w:t>.</w:t>
      </w:r>
    </w:p>
    <w:p w:rsidR="00FE326F" w:rsidRPr="00DF04D5" w:rsidRDefault="000C6315" w:rsidP="00F13456">
      <w:pPr>
        <w:suppressAutoHyphens/>
        <w:ind w:right="-62"/>
        <w:jc w:val="both"/>
        <w:rPr>
          <w:rFonts w:ascii="ITC Avant Garde" w:hAnsi="ITC Avant Garde"/>
          <w:color w:val="000000"/>
        </w:rPr>
      </w:pPr>
      <w:r w:rsidRPr="00DF04D5">
        <w:rPr>
          <w:rFonts w:ascii="ITC Avant Garde" w:eastAsia="Times New Roman" w:hAnsi="ITC Avant Garde"/>
          <w:b/>
          <w:bCs/>
          <w:kern w:val="1"/>
          <w:lang w:eastAsia="ar-SA"/>
        </w:rPr>
        <w:t xml:space="preserve">SEGUNDO.- </w:t>
      </w:r>
      <w:r w:rsidR="00FE326F" w:rsidRPr="00DF04D5">
        <w:rPr>
          <w:rFonts w:ascii="ITC Avant Garde" w:eastAsia="Times New Roman" w:hAnsi="ITC Avant Garde"/>
          <w:bCs/>
          <w:kern w:val="1"/>
          <w:lang w:eastAsia="ar-SA"/>
        </w:rPr>
        <w:t>Para efectos de lo dispuesto en el Resolutivo Primero, s</w:t>
      </w:r>
      <w:r w:rsidRPr="00DF04D5">
        <w:rPr>
          <w:rFonts w:ascii="ITC Avant Garde" w:eastAsia="Times New Roman" w:hAnsi="ITC Avant Garde"/>
          <w:bCs/>
          <w:kern w:val="1"/>
          <w:lang w:eastAsia="ar-SA"/>
        </w:rPr>
        <w:t xml:space="preserve">e otorga </w:t>
      </w:r>
      <w:r w:rsidRPr="00DF04D5">
        <w:rPr>
          <w:rFonts w:ascii="ITC Avant Garde" w:hAnsi="ITC Avant Garde"/>
          <w:color w:val="000000"/>
        </w:rPr>
        <w:t>a favor de</w:t>
      </w:r>
      <w:r w:rsidR="006A30DE" w:rsidRPr="00DF04D5">
        <w:rPr>
          <w:rFonts w:ascii="ITC Avant Garde" w:hAnsi="ITC Avant Garde"/>
          <w:color w:val="000000"/>
        </w:rPr>
        <w:t xml:space="preserve"> </w:t>
      </w:r>
      <w:r w:rsidR="006A30DE" w:rsidRPr="00DF04D5">
        <w:rPr>
          <w:rFonts w:ascii="ITC Avant Garde" w:hAnsi="ITC Avant Garde"/>
          <w:b/>
          <w:lang w:eastAsia="es-MX"/>
        </w:rPr>
        <w:t>PATRONATO PRO-ESTACION RADIODIFUSORA DEL INSTITUTO TECNOLÓGICO REGIONAL DE CELAYA, A.C.</w:t>
      </w:r>
      <w:r w:rsidR="006A30DE" w:rsidRPr="00DF04D5">
        <w:rPr>
          <w:rFonts w:ascii="ITC Avant Garde" w:hAnsi="ITC Avant Garde"/>
          <w:lang w:eastAsia="es-MX"/>
        </w:rPr>
        <w:t xml:space="preserve"> </w:t>
      </w:r>
      <w:r w:rsidR="00F0598B" w:rsidRPr="00DF04D5">
        <w:rPr>
          <w:rFonts w:ascii="ITC Avant Garde" w:hAnsi="ITC Avant Garde"/>
          <w:color w:val="000000"/>
        </w:rPr>
        <w:t xml:space="preserve"> </w:t>
      </w:r>
      <w:r w:rsidRPr="00DF04D5">
        <w:rPr>
          <w:rFonts w:ascii="ITC Avant Garde" w:eastAsia="Times New Roman" w:hAnsi="ITC Avant Garde"/>
          <w:bCs/>
          <w:noProof/>
          <w:kern w:val="1"/>
          <w:lang w:val="es-ES" w:eastAsia="ar-SA"/>
        </w:rPr>
        <w:t xml:space="preserve">una concesión </w:t>
      </w:r>
      <w:r w:rsidR="00FE326F" w:rsidRPr="00DF04D5">
        <w:rPr>
          <w:rFonts w:ascii="ITC Avant Garde" w:eastAsia="Times New Roman" w:hAnsi="ITC Avant Garde"/>
          <w:bCs/>
          <w:noProof/>
          <w:kern w:val="1"/>
          <w:lang w:val="es-ES" w:eastAsia="ar-SA"/>
        </w:rPr>
        <w:t xml:space="preserve">de uso </w:t>
      </w:r>
      <w:r w:rsidR="007F4925" w:rsidRPr="00DF04D5">
        <w:rPr>
          <w:rFonts w:ascii="ITC Avant Garde" w:eastAsia="Times New Roman" w:hAnsi="ITC Avant Garde"/>
          <w:bCs/>
          <w:noProof/>
          <w:kern w:val="1"/>
          <w:lang w:val="es-ES" w:eastAsia="ar-SA"/>
        </w:rPr>
        <w:t xml:space="preserve">social </w:t>
      </w:r>
      <w:r w:rsidRPr="00DF04D5">
        <w:rPr>
          <w:rFonts w:ascii="ITC Avant Garde" w:eastAsia="Times New Roman" w:hAnsi="ITC Avant Garde"/>
          <w:lang w:val="es-ES_tradnl" w:eastAsia="es-ES"/>
        </w:rPr>
        <w:t>para usar y aprovechar bandas de frecuencia</w:t>
      </w:r>
      <w:r w:rsidR="009C218E" w:rsidRPr="00DF04D5">
        <w:rPr>
          <w:rFonts w:ascii="ITC Avant Garde" w:eastAsia="Times New Roman" w:hAnsi="ITC Avant Garde"/>
          <w:lang w:val="es-ES_tradnl" w:eastAsia="es-ES"/>
        </w:rPr>
        <w:t>s</w:t>
      </w:r>
      <w:r w:rsidRPr="00DF04D5">
        <w:rPr>
          <w:rFonts w:ascii="ITC Avant Garde" w:eastAsia="Times New Roman" w:hAnsi="ITC Avant Garde"/>
          <w:lang w:val="es-ES_tradnl" w:eastAsia="es-ES"/>
        </w:rPr>
        <w:t xml:space="preserve"> del espectro radioeléctrico</w:t>
      </w:r>
      <w:r w:rsidRPr="00DF04D5">
        <w:rPr>
          <w:rFonts w:ascii="ITC Avant Garde" w:eastAsia="Times New Roman" w:hAnsi="ITC Avant Garde"/>
          <w:b/>
          <w:lang w:val="es-ES_tradnl" w:eastAsia="es-ES"/>
        </w:rPr>
        <w:t xml:space="preserve"> </w:t>
      </w:r>
      <w:r w:rsidRPr="00DF04D5">
        <w:rPr>
          <w:rFonts w:ascii="ITC Avant Garde" w:hAnsi="ITC Avant Garde"/>
          <w:color w:val="000000"/>
        </w:rPr>
        <w:t>para la prestación del servicio público</w:t>
      </w:r>
      <w:r w:rsidR="00CE6D13" w:rsidRPr="00DF04D5">
        <w:rPr>
          <w:rFonts w:ascii="ITC Avant Garde" w:hAnsi="ITC Avant Garde"/>
          <w:color w:val="000000"/>
        </w:rPr>
        <w:t xml:space="preserve"> de</w:t>
      </w:r>
      <w:r w:rsidRPr="00DF04D5">
        <w:rPr>
          <w:rFonts w:ascii="ITC Avant Garde" w:hAnsi="ITC Avant Garde"/>
          <w:color w:val="000000"/>
        </w:rPr>
        <w:t xml:space="preserve"> </w:t>
      </w:r>
      <w:r w:rsidR="00CF4B3A" w:rsidRPr="00DF04D5">
        <w:rPr>
          <w:rFonts w:ascii="ITC Avant Garde" w:hAnsi="ITC Avant Garde"/>
          <w:color w:val="000000"/>
        </w:rPr>
        <w:t>radiodifusión sonora en</w:t>
      </w:r>
      <w:r w:rsidR="00CE2228" w:rsidRPr="00DF04D5">
        <w:rPr>
          <w:rFonts w:ascii="ITC Avant Garde" w:hAnsi="ITC Avant Garde"/>
          <w:color w:val="000000"/>
        </w:rPr>
        <w:t xml:space="preserve"> </w:t>
      </w:r>
      <w:r w:rsidR="00CF4B3A" w:rsidRPr="00DF04D5">
        <w:rPr>
          <w:rFonts w:ascii="ITC Avant Garde" w:hAnsi="ITC Avant Garde"/>
          <w:color w:val="000000"/>
        </w:rPr>
        <w:t>frecuencia modulada</w:t>
      </w:r>
      <w:r w:rsidR="00861FBD" w:rsidRPr="00DF04D5">
        <w:rPr>
          <w:rFonts w:ascii="ITC Avant Garde" w:hAnsi="ITC Avant Garde"/>
          <w:color w:val="000000"/>
        </w:rPr>
        <w:t xml:space="preserve"> a través de</w:t>
      </w:r>
      <w:r w:rsidR="008A22EE" w:rsidRPr="00DF04D5">
        <w:rPr>
          <w:rFonts w:ascii="ITC Avant Garde" w:eastAsia="Times New Roman" w:hAnsi="ITC Avant Garde"/>
          <w:bCs/>
          <w:kern w:val="1"/>
          <w:lang w:val="es-ES" w:eastAsia="ar-SA"/>
        </w:rPr>
        <w:t xml:space="preserve"> </w:t>
      </w:r>
      <w:r w:rsidRPr="00DF04D5">
        <w:rPr>
          <w:rFonts w:ascii="ITC Avant Garde" w:eastAsia="Times New Roman" w:hAnsi="ITC Avant Garde"/>
          <w:bCs/>
          <w:kern w:val="1"/>
          <w:lang w:val="es-ES" w:eastAsia="ar-SA"/>
        </w:rPr>
        <w:t>l</w:t>
      </w:r>
      <w:r w:rsidR="00CE6D13" w:rsidRPr="00DF04D5">
        <w:rPr>
          <w:rFonts w:ascii="ITC Avant Garde" w:eastAsia="Times New Roman" w:hAnsi="ITC Avant Garde"/>
          <w:bCs/>
          <w:kern w:val="1"/>
          <w:lang w:val="es-ES" w:eastAsia="ar-SA"/>
        </w:rPr>
        <w:t>a</w:t>
      </w:r>
      <w:r w:rsidRPr="00DF04D5">
        <w:rPr>
          <w:rFonts w:ascii="ITC Avant Garde" w:eastAsia="Times New Roman" w:hAnsi="ITC Avant Garde"/>
          <w:bCs/>
          <w:kern w:val="1"/>
          <w:lang w:val="es-ES" w:eastAsia="ar-SA"/>
        </w:rPr>
        <w:t xml:space="preserve"> </w:t>
      </w:r>
      <w:r w:rsidR="00CE6D13" w:rsidRPr="00DF04D5">
        <w:rPr>
          <w:rFonts w:ascii="ITC Avant Garde" w:eastAsia="Times New Roman" w:hAnsi="ITC Avant Garde"/>
          <w:bCs/>
          <w:noProof/>
          <w:kern w:val="1"/>
          <w:lang w:val="es-ES" w:eastAsia="ar-SA"/>
        </w:rPr>
        <w:t>frecuencia</w:t>
      </w:r>
      <w:r w:rsidR="006A30DE" w:rsidRPr="00DF04D5">
        <w:rPr>
          <w:rFonts w:ascii="ITC Avant Garde" w:eastAsia="Times New Roman" w:hAnsi="ITC Avant Garde"/>
          <w:bCs/>
          <w:noProof/>
          <w:kern w:val="1"/>
          <w:lang w:val="es-ES" w:eastAsia="ar-SA"/>
        </w:rPr>
        <w:t xml:space="preserve"> 89.9 MHz</w:t>
      </w:r>
      <w:r w:rsidR="00C21A07" w:rsidRPr="00DF04D5">
        <w:rPr>
          <w:rFonts w:ascii="ITC Avant Garde" w:eastAsia="Times New Roman" w:hAnsi="ITC Avant Garde"/>
          <w:bCs/>
          <w:kern w:val="1"/>
          <w:lang w:val="es-ES" w:eastAsia="ar-SA"/>
        </w:rPr>
        <w:t>,</w:t>
      </w:r>
      <w:r w:rsidR="00C13FC7" w:rsidRPr="00DF04D5">
        <w:rPr>
          <w:rFonts w:ascii="ITC Avant Garde" w:eastAsia="Times New Roman" w:hAnsi="ITC Avant Garde"/>
          <w:bCs/>
          <w:kern w:val="1"/>
          <w:lang w:val="es-ES" w:eastAsia="ar-SA"/>
        </w:rPr>
        <w:t xml:space="preserve"> con</w:t>
      </w:r>
      <w:r w:rsidR="00C21A07" w:rsidRPr="00DF04D5">
        <w:rPr>
          <w:rFonts w:ascii="ITC Avant Garde" w:eastAsia="Times New Roman" w:hAnsi="ITC Avant Garde"/>
          <w:bCs/>
          <w:kern w:val="1"/>
          <w:lang w:val="es-ES" w:eastAsia="ar-SA"/>
        </w:rPr>
        <w:t xml:space="preserve"> </w:t>
      </w:r>
      <w:r w:rsidRPr="00DF04D5">
        <w:rPr>
          <w:rFonts w:ascii="ITC Avant Garde" w:eastAsia="Times New Roman" w:hAnsi="ITC Avant Garde"/>
          <w:bCs/>
          <w:kern w:val="1"/>
          <w:lang w:val="es-ES" w:eastAsia="ar-SA"/>
        </w:rPr>
        <w:t>distintivo de llamada</w:t>
      </w:r>
      <w:r w:rsidR="006A30DE" w:rsidRPr="00DF04D5">
        <w:rPr>
          <w:rFonts w:ascii="ITC Avant Garde" w:eastAsia="Times New Roman" w:hAnsi="ITC Avant Garde"/>
          <w:bCs/>
          <w:kern w:val="1"/>
          <w:lang w:val="es-ES" w:eastAsia="ar-SA"/>
        </w:rPr>
        <w:t xml:space="preserve"> XHITC</w:t>
      </w:r>
      <w:r w:rsidRPr="00DF04D5">
        <w:rPr>
          <w:rFonts w:ascii="ITC Avant Garde" w:eastAsia="Times New Roman" w:hAnsi="ITC Avant Garde"/>
          <w:bCs/>
          <w:kern w:val="1"/>
          <w:lang w:val="es-ES" w:eastAsia="ar-SA"/>
        </w:rPr>
        <w:t>,</w:t>
      </w:r>
      <w:r w:rsidR="006A30DE" w:rsidRPr="00DF04D5">
        <w:rPr>
          <w:rFonts w:ascii="ITC Avant Garde" w:eastAsia="Times New Roman" w:hAnsi="ITC Avant Garde"/>
          <w:bCs/>
          <w:kern w:val="1"/>
          <w:lang w:val="es-ES" w:eastAsia="ar-SA"/>
        </w:rPr>
        <w:t xml:space="preserve"> en</w:t>
      </w:r>
      <w:r w:rsidR="00C13FC7" w:rsidRPr="00DF04D5">
        <w:rPr>
          <w:rFonts w:ascii="ITC Avant Garde" w:eastAsia="Times New Roman" w:hAnsi="ITC Avant Garde"/>
          <w:bCs/>
          <w:kern w:val="1"/>
          <w:lang w:val="es-ES" w:eastAsia="ar-SA"/>
        </w:rPr>
        <w:t xml:space="preserve"> la localidad de</w:t>
      </w:r>
      <w:r w:rsidR="006A30DE" w:rsidRPr="00DF04D5">
        <w:rPr>
          <w:rFonts w:ascii="ITC Avant Garde" w:eastAsia="Times New Roman" w:hAnsi="ITC Avant Garde"/>
          <w:bCs/>
          <w:kern w:val="1"/>
          <w:lang w:val="es-ES" w:eastAsia="ar-SA"/>
        </w:rPr>
        <w:t xml:space="preserve"> Celaya</w:t>
      </w:r>
      <w:r w:rsidR="00C13FC7" w:rsidRPr="00DF04D5">
        <w:rPr>
          <w:rFonts w:ascii="ITC Avant Garde" w:eastAsia="Times New Roman" w:hAnsi="ITC Avant Garde"/>
          <w:bCs/>
          <w:kern w:val="1"/>
          <w:lang w:val="es-ES" w:eastAsia="ar-SA"/>
        </w:rPr>
        <w:t>, Guanajuato</w:t>
      </w:r>
      <w:r w:rsidR="006A30DE" w:rsidRPr="00DF04D5">
        <w:rPr>
          <w:rFonts w:ascii="ITC Avant Garde" w:eastAsia="Times New Roman" w:hAnsi="ITC Avant Garde"/>
          <w:bCs/>
          <w:kern w:val="1"/>
          <w:lang w:val="es-ES" w:eastAsia="ar-SA"/>
        </w:rPr>
        <w:t xml:space="preserve"> </w:t>
      </w:r>
      <w:r w:rsidRPr="00DF04D5">
        <w:rPr>
          <w:rFonts w:ascii="ITC Avant Garde" w:eastAsia="Times New Roman" w:hAnsi="ITC Avant Garde"/>
          <w:bCs/>
          <w:kern w:val="1"/>
          <w:lang w:val="es-ES" w:eastAsia="ar-SA"/>
        </w:rPr>
        <w:t xml:space="preserve">y </w:t>
      </w:r>
      <w:r w:rsidR="00C13FC7" w:rsidRPr="00DF04D5">
        <w:rPr>
          <w:rFonts w:ascii="ITC Avant Garde" w:eastAsia="Times New Roman" w:hAnsi="ITC Avant Garde"/>
          <w:bCs/>
          <w:kern w:val="1"/>
          <w:lang w:val="es-ES" w:eastAsia="ar-SA"/>
        </w:rPr>
        <w:t xml:space="preserve">con una </w:t>
      </w:r>
      <w:r w:rsidRPr="00DF04D5">
        <w:rPr>
          <w:rFonts w:ascii="ITC Avant Garde" w:hAnsi="ITC Avant Garde"/>
          <w:color w:val="000000"/>
        </w:rPr>
        <w:t>vigencia</w:t>
      </w:r>
      <w:r w:rsidR="00C13FC7" w:rsidRPr="00DF04D5">
        <w:rPr>
          <w:rFonts w:ascii="ITC Avant Garde" w:hAnsi="ITC Avant Garde"/>
          <w:color w:val="000000"/>
        </w:rPr>
        <w:t xml:space="preserve"> de 15 (quince) años, contados a partir de la expedición del título correspondiente</w:t>
      </w:r>
      <w:r w:rsidR="00FE326F" w:rsidRPr="00DF04D5">
        <w:rPr>
          <w:rFonts w:ascii="ITC Avant Garde" w:hAnsi="ITC Avant Garde"/>
          <w:color w:val="000000"/>
        </w:rPr>
        <w:t>.</w:t>
      </w:r>
    </w:p>
    <w:p w:rsidR="00FA14D0" w:rsidRPr="00DF04D5" w:rsidRDefault="00FE326F" w:rsidP="00F13456">
      <w:pPr>
        <w:suppressAutoHyphens/>
        <w:ind w:right="-62"/>
        <w:jc w:val="both"/>
        <w:rPr>
          <w:rFonts w:ascii="ITC Avant Garde" w:hAnsi="ITC Avant Garde"/>
          <w:color w:val="000000"/>
        </w:rPr>
      </w:pPr>
      <w:r w:rsidRPr="00DF04D5">
        <w:rPr>
          <w:rFonts w:ascii="ITC Avant Garde" w:hAnsi="ITC Avant Garde"/>
          <w:color w:val="000000"/>
        </w:rPr>
        <w:lastRenderedPageBreak/>
        <w:t xml:space="preserve">Asimismo, se otorga a </w:t>
      </w:r>
      <w:r w:rsidR="003C5525" w:rsidRPr="00DF04D5">
        <w:rPr>
          <w:rFonts w:ascii="ITC Avant Garde" w:hAnsi="ITC Avant Garde"/>
          <w:color w:val="000000"/>
        </w:rPr>
        <w:t xml:space="preserve">favor de </w:t>
      </w:r>
      <w:r w:rsidR="003C5525" w:rsidRPr="00DF04D5">
        <w:rPr>
          <w:rFonts w:ascii="ITC Avant Garde" w:hAnsi="ITC Avant Garde"/>
          <w:b/>
          <w:lang w:eastAsia="es-MX"/>
        </w:rPr>
        <w:t>PATRONATO PRO-ESTACION RADIODIFUSORA DEL INSTITUTO TECNOLÓGICO REGIONAL DE CELAYA, A.C.</w:t>
      </w:r>
      <w:r w:rsidR="003C5525" w:rsidRPr="00DF04D5">
        <w:rPr>
          <w:rFonts w:ascii="ITC Avant Garde" w:hAnsi="ITC Avant Garde"/>
          <w:lang w:eastAsia="es-MX"/>
        </w:rPr>
        <w:t xml:space="preserve"> </w:t>
      </w:r>
      <w:r w:rsidRPr="00DF04D5">
        <w:rPr>
          <w:rFonts w:ascii="ITC Avant Garde" w:eastAsia="Times New Roman" w:hAnsi="ITC Avant Garde"/>
          <w:bCs/>
          <w:kern w:val="1"/>
          <w:lang w:val="es-ES" w:eastAsia="ar-SA"/>
        </w:rPr>
        <w:t>u</w:t>
      </w:r>
      <w:r w:rsidR="000C6315" w:rsidRPr="00DF04D5">
        <w:rPr>
          <w:rFonts w:ascii="ITC Avant Garde" w:eastAsia="Times New Roman" w:hAnsi="ITC Avant Garde"/>
          <w:bCs/>
          <w:kern w:val="1"/>
          <w:lang w:val="es-ES" w:eastAsia="ar-SA"/>
        </w:rPr>
        <w:t>na concesión única</w:t>
      </w:r>
      <w:r w:rsidR="00825E68" w:rsidRPr="00DF04D5">
        <w:rPr>
          <w:rFonts w:ascii="ITC Avant Garde" w:eastAsia="Times New Roman" w:hAnsi="ITC Avant Garde"/>
          <w:b/>
          <w:bCs/>
          <w:kern w:val="1"/>
          <w:lang w:val="es-ES" w:eastAsia="ar-SA"/>
        </w:rPr>
        <w:t xml:space="preserve"> </w:t>
      </w:r>
      <w:r w:rsidR="00825E68" w:rsidRPr="00DF04D5">
        <w:rPr>
          <w:rFonts w:ascii="ITC Avant Garde" w:eastAsia="Times New Roman" w:hAnsi="ITC Avant Garde"/>
          <w:bCs/>
          <w:kern w:val="1"/>
          <w:lang w:val="es-ES" w:eastAsia="ar-SA"/>
        </w:rPr>
        <w:t>para</w:t>
      </w:r>
      <w:r w:rsidRPr="00DF04D5">
        <w:rPr>
          <w:rFonts w:ascii="ITC Avant Garde" w:eastAsia="Times New Roman" w:hAnsi="ITC Avant Garde"/>
          <w:bCs/>
          <w:kern w:val="1"/>
          <w:lang w:val="es-ES" w:eastAsia="ar-SA"/>
        </w:rPr>
        <w:t xml:space="preserve"> uso </w:t>
      </w:r>
      <w:r w:rsidR="00396287" w:rsidRPr="00DF04D5">
        <w:rPr>
          <w:rFonts w:ascii="ITC Avant Garde" w:eastAsia="Times New Roman" w:hAnsi="ITC Avant Garde"/>
          <w:bCs/>
          <w:kern w:val="1"/>
          <w:lang w:val="es-ES" w:eastAsia="ar-SA"/>
        </w:rPr>
        <w:t xml:space="preserve">social </w:t>
      </w:r>
      <w:r w:rsidR="000C6315" w:rsidRPr="00DF04D5">
        <w:rPr>
          <w:rFonts w:ascii="ITC Avant Garde" w:eastAsia="Times New Roman" w:hAnsi="ITC Avant Garde"/>
          <w:bCs/>
          <w:kern w:val="1"/>
          <w:lang w:val="es-ES" w:eastAsia="ar-SA"/>
        </w:rPr>
        <w:t>con una vigencia de</w:t>
      </w:r>
      <w:r w:rsidR="000C6315" w:rsidRPr="00DF04D5">
        <w:rPr>
          <w:rFonts w:ascii="ITC Avant Garde" w:eastAsia="Times New Roman" w:hAnsi="ITC Avant Garde"/>
          <w:b/>
          <w:bCs/>
          <w:kern w:val="1"/>
          <w:lang w:val="es-ES" w:eastAsia="ar-SA"/>
        </w:rPr>
        <w:t xml:space="preserve"> 30 (treinta) </w:t>
      </w:r>
      <w:r w:rsidR="000C6315" w:rsidRPr="00DF04D5">
        <w:rPr>
          <w:rFonts w:ascii="ITC Avant Garde" w:eastAsia="Times New Roman" w:hAnsi="ITC Avant Garde"/>
          <w:bCs/>
          <w:kern w:val="1"/>
          <w:lang w:val="es-ES" w:eastAsia="ar-SA"/>
        </w:rPr>
        <w:t xml:space="preserve">años, </w:t>
      </w:r>
      <w:r w:rsidRPr="00DF04D5">
        <w:rPr>
          <w:rFonts w:ascii="ITC Avant Garde" w:hAnsi="ITC Avant Garde"/>
          <w:color w:val="000000"/>
        </w:rPr>
        <w:t xml:space="preserve">contados a partir de la </w:t>
      </w:r>
      <w:r w:rsidR="00635B85" w:rsidRPr="00DF04D5">
        <w:rPr>
          <w:rFonts w:ascii="ITC Avant Garde" w:hAnsi="ITC Avant Garde"/>
          <w:color w:val="000000"/>
        </w:rPr>
        <w:t>expedición del título de concesión correspondientes, conforme a los términos establecidos en el Resolutivo siguiente</w:t>
      </w:r>
      <w:r w:rsidR="00ED4774" w:rsidRPr="00DF04D5">
        <w:rPr>
          <w:rFonts w:ascii="ITC Avant Garde" w:hAnsi="ITC Avant Garde"/>
          <w:color w:val="000000"/>
        </w:rPr>
        <w:t>.</w:t>
      </w:r>
    </w:p>
    <w:p w:rsidR="005A1D87" w:rsidRPr="00DF04D5" w:rsidRDefault="00861FBD" w:rsidP="00F13456">
      <w:pPr>
        <w:suppressAutoHyphens/>
        <w:ind w:right="-62"/>
        <w:jc w:val="both"/>
        <w:rPr>
          <w:rFonts w:ascii="ITC Avant Garde" w:eastAsia="Times New Roman" w:hAnsi="ITC Avant Garde"/>
          <w:bCs/>
          <w:kern w:val="1"/>
          <w:lang w:val="es-ES" w:eastAsia="ar-SA"/>
        </w:rPr>
      </w:pPr>
      <w:r w:rsidRPr="00DF04D5">
        <w:rPr>
          <w:rFonts w:ascii="ITC Avant Garde" w:eastAsia="Times New Roman" w:hAnsi="ITC Avant Garde"/>
          <w:b/>
          <w:bCs/>
          <w:kern w:val="1"/>
          <w:lang w:val="es-ES" w:eastAsia="ar-SA"/>
        </w:rPr>
        <w:t>TERCERO</w:t>
      </w:r>
      <w:r w:rsidR="00136C02" w:rsidRPr="00DF04D5">
        <w:rPr>
          <w:rFonts w:ascii="ITC Avant Garde" w:eastAsia="Times New Roman" w:hAnsi="ITC Avant Garde"/>
          <w:b/>
          <w:bCs/>
          <w:kern w:val="1"/>
          <w:lang w:val="es-ES" w:eastAsia="ar-SA"/>
        </w:rPr>
        <w:t xml:space="preserve">.- </w:t>
      </w:r>
      <w:r w:rsidR="00136C02" w:rsidRPr="00DF04D5">
        <w:rPr>
          <w:rFonts w:ascii="ITC Avant Garde" w:eastAsia="Times New Roman" w:hAnsi="ITC Avant Garde"/>
          <w:bCs/>
          <w:kern w:val="1"/>
          <w:lang w:val="es-ES" w:eastAsia="ar-SA"/>
        </w:rPr>
        <w:t xml:space="preserve">La </w:t>
      </w:r>
      <w:r w:rsidR="00136C02" w:rsidRPr="00DF04D5">
        <w:rPr>
          <w:rFonts w:ascii="ITC Avant Garde" w:eastAsia="Times New Roman" w:hAnsi="ITC Avant Garde"/>
          <w:bCs/>
          <w:noProof/>
          <w:kern w:val="1"/>
          <w:lang w:val="es-ES" w:eastAsia="ar-SA"/>
        </w:rPr>
        <w:t>concesi</w:t>
      </w:r>
      <w:r w:rsidR="00C13FC7" w:rsidRPr="00DF04D5">
        <w:rPr>
          <w:rFonts w:ascii="ITC Avant Garde" w:eastAsia="Times New Roman" w:hAnsi="ITC Avant Garde"/>
          <w:bCs/>
          <w:noProof/>
          <w:kern w:val="1"/>
          <w:lang w:val="es-ES" w:eastAsia="ar-SA"/>
        </w:rPr>
        <w:t>ó</w:t>
      </w:r>
      <w:r w:rsidR="00136C02" w:rsidRPr="00DF04D5">
        <w:rPr>
          <w:rFonts w:ascii="ITC Avant Garde" w:eastAsia="Times New Roman" w:hAnsi="ITC Avant Garde"/>
          <w:bCs/>
          <w:noProof/>
          <w:kern w:val="1"/>
          <w:lang w:val="es-ES" w:eastAsia="ar-SA"/>
        </w:rPr>
        <w:t xml:space="preserve">n </w:t>
      </w:r>
      <w:r w:rsidR="00136C02" w:rsidRPr="00DF04D5">
        <w:rPr>
          <w:rFonts w:ascii="ITC Avant Garde" w:eastAsia="Times New Roman" w:hAnsi="ITC Avant Garde"/>
          <w:lang w:val="es-ES_tradnl" w:eastAsia="es-ES"/>
        </w:rPr>
        <w:t>para usar y aprovechar bandas de frecuencia</w:t>
      </w:r>
      <w:r w:rsidR="009C218E" w:rsidRPr="00DF04D5">
        <w:rPr>
          <w:rFonts w:ascii="ITC Avant Garde" w:eastAsia="Times New Roman" w:hAnsi="ITC Avant Garde"/>
          <w:lang w:val="es-ES_tradnl" w:eastAsia="es-ES"/>
        </w:rPr>
        <w:t>s</w:t>
      </w:r>
      <w:r w:rsidR="00136C02" w:rsidRPr="00DF04D5">
        <w:rPr>
          <w:rFonts w:ascii="ITC Avant Garde" w:eastAsia="Times New Roman" w:hAnsi="ITC Avant Garde"/>
          <w:lang w:val="es-ES_tradnl" w:eastAsia="es-ES"/>
        </w:rPr>
        <w:t xml:space="preserve"> del espectro radioeléctrico</w:t>
      </w:r>
      <w:r w:rsidR="00136C02" w:rsidRPr="00DF04D5">
        <w:rPr>
          <w:rFonts w:ascii="ITC Avant Garde" w:eastAsia="Times New Roman" w:hAnsi="ITC Avant Garde"/>
          <w:b/>
          <w:lang w:val="es-ES_tradnl" w:eastAsia="es-ES"/>
        </w:rPr>
        <w:t xml:space="preserve"> </w:t>
      </w:r>
      <w:r w:rsidR="00B97328" w:rsidRPr="00DF04D5">
        <w:rPr>
          <w:rFonts w:ascii="ITC Avant Garde" w:eastAsia="Times New Roman" w:hAnsi="ITC Avant Garde"/>
          <w:lang w:val="es-ES_tradnl" w:eastAsia="es-ES"/>
        </w:rPr>
        <w:t xml:space="preserve">de uso </w:t>
      </w:r>
      <w:r w:rsidR="0011530A" w:rsidRPr="00DF04D5">
        <w:rPr>
          <w:rFonts w:ascii="ITC Avant Garde" w:eastAsia="Times New Roman" w:hAnsi="ITC Avant Garde"/>
          <w:lang w:val="es-ES_tradnl" w:eastAsia="es-ES"/>
        </w:rPr>
        <w:t xml:space="preserve">social </w:t>
      </w:r>
      <w:r w:rsidR="00136C02" w:rsidRPr="00DF04D5">
        <w:rPr>
          <w:rFonts w:ascii="ITC Avant Garde" w:hAnsi="ITC Avant Garde"/>
          <w:color w:val="000000"/>
        </w:rPr>
        <w:t xml:space="preserve">para la prestación del servicio </w:t>
      </w:r>
      <w:r w:rsidR="004550D2" w:rsidRPr="00DF04D5">
        <w:rPr>
          <w:rFonts w:ascii="ITC Avant Garde" w:hAnsi="ITC Avant Garde"/>
          <w:color w:val="000000"/>
        </w:rPr>
        <w:t>público de radiodifusión sonora en frecuencia modulada</w:t>
      </w:r>
      <w:r w:rsidR="00136C02" w:rsidRPr="00DF04D5">
        <w:rPr>
          <w:rFonts w:ascii="ITC Avant Garde" w:hAnsi="ITC Avant Garde"/>
          <w:color w:val="000000"/>
        </w:rPr>
        <w:t xml:space="preserve">, </w:t>
      </w:r>
      <w:r w:rsidR="00B97328" w:rsidRPr="00DF04D5">
        <w:rPr>
          <w:rFonts w:ascii="ITC Avant Garde" w:hAnsi="ITC Avant Garde"/>
          <w:color w:val="000000"/>
        </w:rPr>
        <w:t xml:space="preserve">objeto de la presente Resolución, </w:t>
      </w:r>
      <w:r w:rsidR="00136C02" w:rsidRPr="00DF04D5">
        <w:rPr>
          <w:rFonts w:ascii="ITC Avant Garde" w:hAnsi="ITC Avant Garde"/>
          <w:color w:val="000000"/>
        </w:rPr>
        <w:t xml:space="preserve">reconoce </w:t>
      </w:r>
      <w:r w:rsidR="00136C02" w:rsidRPr="00DF04D5">
        <w:rPr>
          <w:rFonts w:ascii="ITC Avant Garde" w:eastAsia="Times New Roman" w:hAnsi="ITC Avant Garde"/>
          <w:bCs/>
          <w:color w:val="000000"/>
          <w:lang w:val="es-ES" w:eastAsia="es-MX"/>
        </w:rPr>
        <w:t>la</w:t>
      </w:r>
      <w:r w:rsidR="00B97328" w:rsidRPr="00DF04D5">
        <w:rPr>
          <w:rFonts w:ascii="ITC Avant Garde" w:eastAsia="Times New Roman" w:hAnsi="ITC Avant Garde"/>
          <w:bCs/>
          <w:color w:val="000000"/>
          <w:lang w:val="es-ES" w:eastAsia="es-MX"/>
        </w:rPr>
        <w:t>s</w:t>
      </w:r>
      <w:r w:rsidR="00136C02" w:rsidRPr="00DF04D5">
        <w:rPr>
          <w:rFonts w:ascii="ITC Avant Garde" w:eastAsia="Times New Roman" w:hAnsi="ITC Avant Garde"/>
          <w:bCs/>
          <w:color w:val="000000"/>
          <w:lang w:val="es-ES" w:eastAsia="es-MX"/>
        </w:rPr>
        <w:t xml:space="preserve"> características, condiciones y parámetros técnicos establecidos en </w:t>
      </w:r>
      <w:r w:rsidR="00C13FC7" w:rsidRPr="00DF04D5">
        <w:rPr>
          <w:rFonts w:ascii="ITC Avant Garde" w:eastAsia="Times New Roman" w:hAnsi="ITC Avant Garde"/>
          <w:bCs/>
          <w:color w:val="000000"/>
          <w:lang w:val="es-ES" w:eastAsia="es-MX"/>
        </w:rPr>
        <w:t>e</w:t>
      </w:r>
      <w:r w:rsidR="00136C02" w:rsidRPr="00DF04D5">
        <w:rPr>
          <w:rFonts w:ascii="ITC Avant Garde" w:eastAsia="Times New Roman" w:hAnsi="ITC Avant Garde"/>
          <w:bCs/>
          <w:color w:val="000000"/>
          <w:lang w:val="es-ES" w:eastAsia="es-MX"/>
        </w:rPr>
        <w:t>l permiso de mérito y, en su caso, las modificaciones técnicas autorizadas.</w:t>
      </w:r>
    </w:p>
    <w:p w:rsidR="000C6315" w:rsidRPr="00DF04D5" w:rsidRDefault="00861FBD" w:rsidP="00F13456">
      <w:pPr>
        <w:suppressAutoHyphens/>
        <w:ind w:right="-62"/>
        <w:jc w:val="both"/>
        <w:rPr>
          <w:rFonts w:ascii="ITC Avant Garde" w:eastAsia="Times New Roman" w:hAnsi="ITC Avant Garde"/>
          <w:bCs/>
          <w:kern w:val="1"/>
          <w:lang w:val="es-ES" w:eastAsia="ar-SA"/>
        </w:rPr>
      </w:pPr>
      <w:r w:rsidRPr="00DF04D5">
        <w:rPr>
          <w:rFonts w:ascii="ITC Avant Garde" w:eastAsia="Times New Roman" w:hAnsi="ITC Avant Garde"/>
          <w:b/>
          <w:bCs/>
          <w:kern w:val="1"/>
          <w:lang w:eastAsia="ar-SA"/>
        </w:rPr>
        <w:t>CUARTO</w:t>
      </w:r>
      <w:r w:rsidR="000C6315" w:rsidRPr="00DF04D5">
        <w:rPr>
          <w:rFonts w:ascii="ITC Avant Garde" w:eastAsia="Times New Roman" w:hAnsi="ITC Avant Garde"/>
          <w:bCs/>
          <w:kern w:val="1"/>
          <w:lang w:val="es-ES" w:eastAsia="ar-SA"/>
        </w:rPr>
        <w:t xml:space="preserve">.- </w:t>
      </w:r>
      <w:r w:rsidR="000C6315" w:rsidRPr="00DF04D5">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DF04D5">
        <w:rPr>
          <w:rFonts w:ascii="ITC Avant Garde" w:eastAsia="Times New Roman" w:hAnsi="ITC Avant Garde"/>
          <w:lang w:eastAsia="es-ES"/>
        </w:rPr>
        <w:t>Estatuto Orgánico del Instituto Federal de Telecomunicaciones</w:t>
      </w:r>
      <w:r w:rsidR="000C6315" w:rsidRPr="00DF04D5">
        <w:rPr>
          <w:rFonts w:ascii="ITC Avant Garde" w:eastAsia="Times New Roman" w:hAnsi="ITC Avant Garde"/>
          <w:bCs/>
          <w:kern w:val="1"/>
          <w:lang w:eastAsia="ar-SA"/>
        </w:rPr>
        <w:t xml:space="preserve">, suscribirá los títulos de concesión </w:t>
      </w:r>
      <w:r w:rsidR="000C6315" w:rsidRPr="00DF04D5">
        <w:rPr>
          <w:rFonts w:ascii="ITC Avant Garde" w:eastAsia="Times New Roman" w:hAnsi="ITC Avant Garde"/>
          <w:lang w:val="es-ES_tradnl" w:eastAsia="es-ES"/>
        </w:rPr>
        <w:t>para usar y aprovechar bandas de frecuencia</w:t>
      </w:r>
      <w:r w:rsidR="009C218E" w:rsidRPr="00DF04D5">
        <w:rPr>
          <w:rFonts w:ascii="ITC Avant Garde" w:eastAsia="Times New Roman" w:hAnsi="ITC Avant Garde"/>
          <w:lang w:val="es-ES_tradnl" w:eastAsia="es-ES"/>
        </w:rPr>
        <w:t>s</w:t>
      </w:r>
      <w:r w:rsidR="000C6315" w:rsidRPr="00DF04D5">
        <w:rPr>
          <w:rFonts w:ascii="ITC Avant Garde" w:eastAsia="Times New Roman" w:hAnsi="ITC Avant Garde"/>
          <w:lang w:val="es-ES_tradnl" w:eastAsia="es-ES"/>
        </w:rPr>
        <w:t xml:space="preserve"> del espectro radioeléctrico para uso </w:t>
      </w:r>
      <w:r w:rsidR="0011530A" w:rsidRPr="00DF04D5">
        <w:rPr>
          <w:rFonts w:ascii="ITC Avant Garde" w:eastAsia="Times New Roman" w:hAnsi="ITC Avant Garde"/>
          <w:lang w:val="es-ES_tradnl" w:eastAsia="es-ES"/>
        </w:rPr>
        <w:t xml:space="preserve">social </w:t>
      </w:r>
      <w:r w:rsidR="000C6315" w:rsidRPr="00DF04D5">
        <w:rPr>
          <w:rFonts w:ascii="ITC Avant Garde" w:hAnsi="ITC Avant Garde"/>
          <w:bCs/>
          <w:color w:val="000000" w:themeColor="text1"/>
          <w:lang w:eastAsia="es-MX"/>
        </w:rPr>
        <w:t>y de Concesión Única</w:t>
      </w:r>
      <w:r w:rsidR="000C6315" w:rsidRPr="00DF04D5">
        <w:rPr>
          <w:rFonts w:ascii="ITC Avant Garde" w:eastAsia="Times New Roman" w:hAnsi="ITC Avant Garde"/>
          <w:b/>
          <w:bCs/>
          <w:kern w:val="1"/>
          <w:lang w:eastAsia="ar-SA"/>
        </w:rPr>
        <w:t xml:space="preserve"> </w:t>
      </w:r>
      <w:r w:rsidR="008A22EE" w:rsidRPr="00DF04D5">
        <w:rPr>
          <w:rFonts w:ascii="ITC Avant Garde" w:eastAsia="Times New Roman" w:hAnsi="ITC Avant Garde"/>
          <w:bCs/>
          <w:kern w:val="1"/>
          <w:lang w:eastAsia="ar-SA"/>
        </w:rPr>
        <w:t>correspondiente</w:t>
      </w:r>
      <w:r w:rsidR="000C6315" w:rsidRPr="00DF04D5">
        <w:rPr>
          <w:rFonts w:ascii="ITC Avant Garde" w:eastAsia="Times New Roman" w:hAnsi="ITC Avant Garde"/>
          <w:bCs/>
          <w:kern w:val="1"/>
          <w:lang w:eastAsia="ar-SA"/>
        </w:rPr>
        <w:t xml:space="preserve"> que se otorguen con motivo de la presente Resolución.</w:t>
      </w:r>
    </w:p>
    <w:p w:rsidR="000C6315" w:rsidRPr="00DF04D5" w:rsidRDefault="00861FBD" w:rsidP="00F13456">
      <w:pPr>
        <w:suppressAutoHyphens/>
        <w:ind w:right="-62"/>
        <w:jc w:val="both"/>
        <w:rPr>
          <w:rFonts w:ascii="ITC Avant Garde" w:eastAsia="Times New Roman" w:hAnsi="ITC Avant Garde"/>
          <w:bCs/>
          <w:kern w:val="1"/>
          <w:lang w:eastAsia="ar-SA"/>
        </w:rPr>
      </w:pPr>
      <w:r w:rsidRPr="00DF04D5">
        <w:rPr>
          <w:rFonts w:ascii="ITC Avant Garde" w:eastAsia="Times New Roman" w:hAnsi="ITC Avant Garde"/>
          <w:b/>
          <w:bCs/>
          <w:kern w:val="1"/>
          <w:lang w:eastAsia="ar-SA"/>
        </w:rPr>
        <w:t>QUINTO</w:t>
      </w:r>
      <w:r w:rsidR="004E2F85" w:rsidRPr="00DF04D5">
        <w:rPr>
          <w:rFonts w:ascii="ITC Avant Garde" w:eastAsia="Times New Roman" w:hAnsi="ITC Avant Garde"/>
          <w:b/>
          <w:bCs/>
          <w:kern w:val="1"/>
          <w:lang w:eastAsia="ar-SA"/>
        </w:rPr>
        <w:t>.</w:t>
      </w:r>
      <w:r w:rsidR="000C6315" w:rsidRPr="00DF04D5">
        <w:rPr>
          <w:rFonts w:ascii="ITC Avant Garde" w:eastAsia="Times New Roman" w:hAnsi="ITC Avant Garde"/>
          <w:b/>
          <w:bCs/>
          <w:kern w:val="1"/>
          <w:lang w:eastAsia="ar-SA"/>
        </w:rPr>
        <w:t xml:space="preserve">- </w:t>
      </w:r>
      <w:r w:rsidR="000C6315" w:rsidRPr="00DF04D5">
        <w:rPr>
          <w:rFonts w:ascii="ITC Avant Garde" w:eastAsia="Times New Roman" w:hAnsi="ITC Avant Garde"/>
          <w:bCs/>
          <w:kern w:val="1"/>
          <w:lang w:eastAsia="ar-SA"/>
        </w:rPr>
        <w:t>Se instruye a la Unidad de Concesiones y Servicios a notificar personalmente a</w:t>
      </w:r>
      <w:r w:rsidR="00F0598B" w:rsidRPr="00DF04D5">
        <w:rPr>
          <w:rFonts w:ascii="ITC Avant Garde" w:eastAsia="Times New Roman" w:hAnsi="ITC Avant Garde"/>
          <w:bCs/>
          <w:kern w:val="1"/>
          <w:lang w:eastAsia="ar-SA"/>
        </w:rPr>
        <w:t xml:space="preserve"> </w:t>
      </w:r>
      <w:r w:rsidR="00C13FC7" w:rsidRPr="00DF04D5">
        <w:rPr>
          <w:rFonts w:ascii="ITC Avant Garde" w:hAnsi="ITC Avant Garde"/>
          <w:b/>
          <w:lang w:eastAsia="es-MX"/>
        </w:rPr>
        <w:t>PATRONATO PRO-ESTACION RADIODIFUSORA DEL INSTITUTO TECNOLÓGICO REGIONAL DE CELAYA, A.C.</w:t>
      </w:r>
      <w:r w:rsidR="00C13FC7" w:rsidRPr="00DF04D5">
        <w:rPr>
          <w:rFonts w:ascii="ITC Avant Garde" w:hAnsi="ITC Avant Garde"/>
          <w:lang w:eastAsia="es-MX"/>
        </w:rPr>
        <w:t xml:space="preserve"> </w:t>
      </w:r>
      <w:r w:rsidR="000C6315" w:rsidRPr="00DF04D5">
        <w:rPr>
          <w:rFonts w:ascii="ITC Avant Garde" w:eastAsia="Times New Roman" w:hAnsi="ITC Avant Garde"/>
          <w:bCs/>
          <w:kern w:val="1"/>
          <w:lang w:eastAsia="ar-SA"/>
        </w:rPr>
        <w:t xml:space="preserve">la presente Resolución así como a realizar la entrega de los títulos de concesión </w:t>
      </w:r>
      <w:r w:rsidR="000C6315" w:rsidRPr="00DF04D5">
        <w:rPr>
          <w:rFonts w:ascii="ITC Avant Garde" w:eastAsia="Times New Roman" w:hAnsi="ITC Avant Garde"/>
          <w:bCs/>
          <w:kern w:val="1"/>
          <w:lang w:val="es-ES_tradnl" w:eastAsia="ar-SA"/>
        </w:rPr>
        <w:t>para usar y aprovechar bandas de frecuencia</w:t>
      </w:r>
      <w:r w:rsidR="009C218E" w:rsidRPr="00DF04D5">
        <w:rPr>
          <w:rFonts w:ascii="ITC Avant Garde" w:eastAsia="Times New Roman" w:hAnsi="ITC Avant Garde"/>
          <w:bCs/>
          <w:kern w:val="1"/>
          <w:lang w:val="es-ES_tradnl" w:eastAsia="ar-SA"/>
        </w:rPr>
        <w:t>s</w:t>
      </w:r>
      <w:r w:rsidR="000C6315" w:rsidRPr="00DF04D5">
        <w:rPr>
          <w:rFonts w:ascii="ITC Avant Garde" w:eastAsia="Times New Roman" w:hAnsi="ITC Avant Garde"/>
          <w:bCs/>
          <w:kern w:val="1"/>
          <w:lang w:val="es-ES_tradnl" w:eastAsia="ar-SA"/>
        </w:rPr>
        <w:t xml:space="preserve"> del espectro radioeléctrico para uso </w:t>
      </w:r>
      <w:r w:rsidR="0011530A" w:rsidRPr="00DF04D5">
        <w:rPr>
          <w:rFonts w:ascii="ITC Avant Garde" w:eastAsia="Times New Roman" w:hAnsi="ITC Avant Garde"/>
          <w:bCs/>
          <w:kern w:val="1"/>
          <w:lang w:val="es-ES_tradnl" w:eastAsia="ar-SA"/>
        </w:rPr>
        <w:t xml:space="preserve">social </w:t>
      </w:r>
      <w:r w:rsidR="000C6315" w:rsidRPr="00DF04D5">
        <w:rPr>
          <w:rFonts w:ascii="ITC Avant Garde" w:eastAsia="Times New Roman" w:hAnsi="ITC Avant Garde"/>
          <w:bCs/>
          <w:kern w:val="1"/>
          <w:lang w:eastAsia="ar-SA"/>
        </w:rPr>
        <w:t>y de Concesión Única correspondiente, que se otorguen con motivo de la presente Resolución.</w:t>
      </w:r>
    </w:p>
    <w:p w:rsidR="000C6315" w:rsidRPr="00DF04D5" w:rsidRDefault="0011530A" w:rsidP="00F13456">
      <w:pPr>
        <w:suppressAutoHyphens/>
        <w:ind w:right="-62"/>
        <w:jc w:val="both"/>
        <w:rPr>
          <w:rFonts w:ascii="ITC Avant Garde" w:eastAsia="Times New Roman" w:hAnsi="ITC Avant Garde"/>
          <w:bCs/>
          <w:kern w:val="1"/>
          <w:lang w:eastAsia="ar-SA"/>
        </w:rPr>
      </w:pPr>
      <w:r w:rsidRPr="00DF04D5">
        <w:rPr>
          <w:rFonts w:ascii="ITC Avant Garde" w:eastAsia="Times New Roman" w:hAnsi="ITC Avant Garde"/>
          <w:b/>
          <w:bCs/>
          <w:kern w:val="1"/>
          <w:lang w:eastAsia="ar-SA"/>
        </w:rPr>
        <w:t>S</w:t>
      </w:r>
      <w:r w:rsidR="00861FBD" w:rsidRPr="00DF04D5">
        <w:rPr>
          <w:rFonts w:ascii="ITC Avant Garde" w:eastAsia="Times New Roman" w:hAnsi="ITC Avant Garde"/>
          <w:b/>
          <w:bCs/>
          <w:kern w:val="1"/>
          <w:lang w:eastAsia="ar-SA"/>
        </w:rPr>
        <w:t>EXTO</w:t>
      </w:r>
      <w:r w:rsidR="000C6315" w:rsidRPr="00DF04D5">
        <w:rPr>
          <w:rFonts w:ascii="ITC Avant Garde" w:eastAsia="Times New Roman" w:hAnsi="ITC Avant Garde"/>
          <w:b/>
          <w:bCs/>
          <w:kern w:val="1"/>
          <w:lang w:eastAsia="ar-SA"/>
        </w:rPr>
        <w:t>.-</w:t>
      </w:r>
      <w:r w:rsidR="000C6315" w:rsidRPr="00DF04D5">
        <w:rPr>
          <w:rFonts w:ascii="ITC Avant Garde" w:eastAsia="Times New Roman" w:hAnsi="ITC Avant Garde"/>
          <w:bCs/>
          <w:kern w:val="1"/>
          <w:lang w:eastAsia="ar-SA"/>
        </w:rPr>
        <w:t xml:space="preserve"> </w:t>
      </w:r>
      <w:r w:rsidR="00C93C9A" w:rsidRPr="00DF04D5">
        <w:rPr>
          <w:rFonts w:ascii="ITC Avant Garde" w:eastAsia="Times New Roman" w:hAnsi="ITC Avant Garde"/>
          <w:bCs/>
          <w:kern w:val="1"/>
          <w:lang w:eastAsia="ar-SA"/>
        </w:rPr>
        <w:t>Inscríbanse en el R</w:t>
      </w:r>
      <w:r w:rsidR="003D606A" w:rsidRPr="00DF04D5">
        <w:rPr>
          <w:rFonts w:ascii="ITC Avant Garde" w:eastAsia="Times New Roman" w:hAnsi="ITC Avant Garde"/>
          <w:bCs/>
          <w:kern w:val="1"/>
          <w:lang w:eastAsia="ar-SA"/>
        </w:rPr>
        <w:t xml:space="preserve">egistro Público de Concesiones </w:t>
      </w:r>
      <w:r w:rsidR="00C13FC7" w:rsidRPr="00DF04D5">
        <w:rPr>
          <w:rFonts w:ascii="ITC Avant Garde" w:eastAsia="Times New Roman" w:hAnsi="ITC Avant Garde"/>
          <w:bCs/>
          <w:kern w:val="1"/>
          <w:lang w:eastAsia="ar-SA"/>
        </w:rPr>
        <w:t>e</w:t>
      </w:r>
      <w:r w:rsidR="00C93C9A" w:rsidRPr="00DF04D5">
        <w:rPr>
          <w:rFonts w:ascii="ITC Avant Garde" w:eastAsia="Times New Roman" w:hAnsi="ITC Avant Garde"/>
          <w:bCs/>
          <w:kern w:val="1"/>
          <w:lang w:eastAsia="ar-SA"/>
        </w:rPr>
        <w:t xml:space="preserve">l título de Concesión </w:t>
      </w:r>
      <w:r w:rsidR="0005447D" w:rsidRPr="00DF04D5">
        <w:rPr>
          <w:rFonts w:ascii="ITC Avant Garde" w:eastAsia="Times New Roman" w:hAnsi="ITC Avant Garde"/>
          <w:bCs/>
          <w:kern w:val="1"/>
          <w:lang w:eastAsia="ar-SA"/>
        </w:rPr>
        <w:t>Ú</w:t>
      </w:r>
      <w:r w:rsidR="00C93C9A" w:rsidRPr="00DF04D5">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DF04D5">
        <w:rPr>
          <w:rFonts w:ascii="ITC Avant Garde" w:eastAsia="Times New Roman" w:hAnsi="ITC Avant Garde"/>
          <w:bCs/>
          <w:kern w:val="1"/>
          <w:lang w:eastAsia="ar-SA"/>
        </w:rPr>
        <w:t>social</w:t>
      </w:r>
      <w:r w:rsidR="00C93C9A" w:rsidRPr="00DF04D5">
        <w:rPr>
          <w:rFonts w:ascii="ITC Avant Garde" w:eastAsia="Times New Roman" w:hAnsi="ITC Avant Garde"/>
          <w:bCs/>
          <w:kern w:val="1"/>
          <w:lang w:eastAsia="ar-SA"/>
        </w:rPr>
        <w:t xml:space="preserve">, así como </w:t>
      </w:r>
      <w:r w:rsidR="00C13FC7" w:rsidRPr="00DF04D5">
        <w:rPr>
          <w:rFonts w:ascii="ITC Avant Garde" w:eastAsia="Times New Roman" w:hAnsi="ITC Avant Garde"/>
          <w:bCs/>
          <w:kern w:val="1"/>
          <w:lang w:eastAsia="ar-SA"/>
        </w:rPr>
        <w:t>e</w:t>
      </w:r>
      <w:r w:rsidR="00C93C9A" w:rsidRPr="00DF04D5">
        <w:rPr>
          <w:rFonts w:ascii="ITC Avant Garde" w:eastAsia="Times New Roman" w:hAnsi="ITC Avant Garde"/>
          <w:bCs/>
          <w:kern w:val="1"/>
          <w:lang w:eastAsia="ar-SA"/>
        </w:rPr>
        <w:t xml:space="preserve">l título de concesión para usar y aprovechar bandas de frecuencias del espectro radioeléctrico para uso </w:t>
      </w:r>
      <w:r w:rsidR="0005447D" w:rsidRPr="00DF04D5">
        <w:rPr>
          <w:rFonts w:ascii="ITC Avant Garde" w:eastAsia="Times New Roman" w:hAnsi="ITC Avant Garde"/>
          <w:bCs/>
          <w:kern w:val="1"/>
          <w:lang w:eastAsia="ar-SA"/>
        </w:rPr>
        <w:t xml:space="preserve">social </w:t>
      </w:r>
      <w:r w:rsidR="00C93C9A" w:rsidRPr="00DF04D5">
        <w:rPr>
          <w:rFonts w:ascii="ITC Avant Garde" w:eastAsia="Times New Roman" w:hAnsi="ITC Avant Garde"/>
          <w:bCs/>
          <w:kern w:val="1"/>
          <w:lang w:eastAsia="ar-SA"/>
        </w:rPr>
        <w:t>a que se refiere la presente Resolución, una vez que sean debidamente notificados y entregados al</w:t>
      </w:r>
      <w:r w:rsidR="00C13FC7" w:rsidRPr="00DF04D5">
        <w:rPr>
          <w:rFonts w:ascii="ITC Avant Garde" w:eastAsia="Times New Roman" w:hAnsi="ITC Avant Garde"/>
          <w:bCs/>
          <w:kern w:val="1"/>
          <w:lang w:eastAsia="ar-SA"/>
        </w:rPr>
        <w:t xml:space="preserve"> Concesionario</w:t>
      </w:r>
      <w:r w:rsidR="000C6315" w:rsidRPr="00DF04D5">
        <w:rPr>
          <w:rFonts w:ascii="ITC Avant Garde" w:eastAsia="Times New Roman" w:hAnsi="ITC Avant Garde"/>
          <w:bCs/>
          <w:kern w:val="1"/>
          <w:lang w:eastAsia="ar-SA"/>
        </w:rPr>
        <w:t>.</w:t>
      </w:r>
    </w:p>
    <w:p w:rsidR="00191F82" w:rsidRPr="00DF04D5" w:rsidRDefault="000A5B2A" w:rsidP="00F13456">
      <w:pPr>
        <w:jc w:val="both"/>
        <w:rPr>
          <w:rFonts w:ascii="ITC Avant Garde" w:hAnsi="ITC Avant Garde"/>
          <w:sz w:val="14"/>
        </w:rPr>
      </w:pPr>
      <w:r w:rsidRPr="00DF04D5">
        <w:rPr>
          <w:rFonts w:ascii="ITC Avant Garde" w:hAnsi="ITC Avant Garde"/>
          <w:lang w:val="es-ES_tradnl" w:eastAsia="ar-SA"/>
        </w:rPr>
        <w:t xml:space="preserve">Con motivo del otorgamiento del título de Concesión sobre bandas </w:t>
      </w:r>
      <w:r w:rsidR="001E7CC0" w:rsidRPr="00DF04D5">
        <w:rPr>
          <w:rFonts w:ascii="ITC Avant Garde" w:hAnsi="ITC Avant Garde"/>
          <w:lang w:val="es-ES_tradnl" w:eastAsia="ar-SA"/>
        </w:rPr>
        <w:t xml:space="preserve">de frecuencias </w:t>
      </w:r>
      <w:r w:rsidRPr="00DF04D5">
        <w:rPr>
          <w:rFonts w:ascii="ITC Avant Garde" w:hAnsi="ITC Avant Garde"/>
          <w:lang w:val="es-ES_tradnl" w:eastAsia="ar-SA"/>
        </w:rPr>
        <w:t>del espectro radioeléctrico deberá hacerse la anotación respectiva del servicio asociado en la Concesión Única que corresponda en el Registro Público de Concesiones.</w:t>
      </w:r>
      <w:r w:rsidR="00F13456" w:rsidRPr="00DF04D5">
        <w:rPr>
          <w:rFonts w:ascii="ITC Avant Garde" w:hAnsi="ITC Avant Garde"/>
          <w:sz w:val="14"/>
        </w:rPr>
        <w:t xml:space="preserve"> </w:t>
      </w:r>
    </w:p>
    <w:p w:rsidR="006A7D4E" w:rsidRPr="00DF04D5" w:rsidRDefault="00191F82" w:rsidP="00F13456">
      <w:pPr>
        <w:pStyle w:val="Prrafodelista"/>
        <w:spacing w:after="200"/>
        <w:ind w:left="0"/>
        <w:jc w:val="both"/>
        <w:rPr>
          <w:rFonts w:ascii="ITC Avant Garde" w:hAnsi="ITC Avant Garde"/>
          <w:sz w:val="14"/>
          <w:lang w:val="es-ES_tradnl"/>
        </w:rPr>
      </w:pPr>
      <w:r w:rsidRPr="00DF04D5">
        <w:rPr>
          <w:rFonts w:ascii="ITC Avant Garde" w:hAnsi="ITC Avant Garde"/>
          <w:sz w:val="14"/>
        </w:rPr>
        <w:t xml:space="preserve">La presente Resolución fue aprobada por el Pleno del Instituto Federal de Telecomunicaciones en su XXXVI Sesión Ordinaria celebrada el 27 </w:t>
      </w:r>
      <w:r w:rsidRPr="00DF04D5">
        <w:rPr>
          <w:rFonts w:ascii="ITC Avant Garde" w:hAnsi="ITC Avant Garde"/>
          <w:sz w:val="14"/>
          <w:lang w:val="es-ES_tradnl"/>
        </w:rPr>
        <w:t xml:space="preserve">de octubre de 2016, por unanimidad de votos de los Comisionados presentes Gabriel Oswaldo Contreras Saldívar, Ernesto Estrada González, Adriana Sofía </w:t>
      </w:r>
      <w:proofErr w:type="spellStart"/>
      <w:r w:rsidRPr="00DF04D5">
        <w:rPr>
          <w:rFonts w:ascii="ITC Avant Garde" w:hAnsi="ITC Avant Garde"/>
          <w:sz w:val="14"/>
          <w:lang w:val="es-ES_tradnl"/>
        </w:rPr>
        <w:t>Labardini</w:t>
      </w:r>
      <w:proofErr w:type="spellEnd"/>
      <w:r w:rsidRPr="00DF04D5">
        <w:rPr>
          <w:rFonts w:ascii="ITC Avant Garde" w:hAnsi="ITC Avant Garde"/>
          <w:sz w:val="14"/>
          <w:lang w:val="es-ES_tradnl"/>
        </w:rPr>
        <w:t xml:space="preserve"> </w:t>
      </w:r>
      <w:proofErr w:type="spellStart"/>
      <w:r w:rsidRPr="00DF04D5">
        <w:rPr>
          <w:rFonts w:ascii="ITC Avant Garde" w:hAnsi="ITC Avant Garde"/>
          <w:sz w:val="14"/>
          <w:lang w:val="es-ES_tradnl"/>
        </w:rPr>
        <w:t>Inzunza</w:t>
      </w:r>
      <w:proofErr w:type="spellEnd"/>
      <w:r w:rsidRPr="00DF04D5">
        <w:rPr>
          <w:rFonts w:ascii="ITC Avant Garde" w:hAnsi="ITC Avant Garde"/>
          <w:sz w:val="14"/>
          <w:lang w:val="es-ES_tradnl"/>
        </w:rPr>
        <w:t xml:space="preserve">, María Elena </w:t>
      </w:r>
      <w:proofErr w:type="spellStart"/>
      <w:r w:rsidRPr="00DF04D5">
        <w:rPr>
          <w:rFonts w:ascii="ITC Avant Garde" w:hAnsi="ITC Avant Garde"/>
          <w:sz w:val="14"/>
          <w:lang w:val="es-ES_tradnl"/>
        </w:rPr>
        <w:t>Estavillo</w:t>
      </w:r>
      <w:proofErr w:type="spellEnd"/>
      <w:r w:rsidRPr="00DF04D5">
        <w:rPr>
          <w:rFonts w:ascii="ITC Avant Garde" w:hAnsi="ITC Avant Garde"/>
          <w:sz w:val="14"/>
          <w:lang w:val="es-ES_tradnl"/>
        </w:rPr>
        <w:t xml:space="preserve"> Flores, Mario Germán </w:t>
      </w:r>
      <w:proofErr w:type="spellStart"/>
      <w:r w:rsidRPr="00DF04D5">
        <w:rPr>
          <w:rFonts w:ascii="ITC Avant Garde" w:hAnsi="ITC Avant Garde"/>
          <w:sz w:val="14"/>
          <w:lang w:val="es-ES_tradnl"/>
        </w:rPr>
        <w:t>Fromow</w:t>
      </w:r>
      <w:proofErr w:type="spellEnd"/>
      <w:r w:rsidRPr="00DF04D5">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DF04D5">
        <w:rPr>
          <w:rFonts w:ascii="ITC Avant Garde" w:hAnsi="ITC Avant Garde"/>
          <w:sz w:val="14"/>
          <w:lang w:val="es-ES_tradnl"/>
        </w:rPr>
        <w:t>iante Acuerdo P/IFT/271016/608.</w:t>
      </w:r>
      <w:bookmarkStart w:id="0" w:name="_GoBack"/>
      <w:bookmarkEnd w:id="0"/>
    </w:p>
    <w:sectPr w:rsidR="006A7D4E" w:rsidRPr="00DF04D5" w:rsidSect="00DF04D5">
      <w:headerReference w:type="even" r:id="rId8"/>
      <w:footerReference w:type="default" r:id="rId9"/>
      <w:headerReference w:type="first" r:id="rId10"/>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58" w:rsidRDefault="00204B58" w:rsidP="00EB2296">
      <w:pPr>
        <w:spacing w:after="0" w:line="240" w:lineRule="auto"/>
      </w:pPr>
      <w:r>
        <w:separator/>
      </w:r>
    </w:p>
  </w:endnote>
  <w:endnote w:type="continuationSeparator" w:id="0">
    <w:p w:rsidR="00204B58" w:rsidRDefault="00204B58"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Pr="00283A1F" w:rsidRDefault="00032174" w:rsidP="00283A1F">
    <w:pPr>
      <w:pStyle w:val="Piedepgina"/>
      <w:jc w:val="right"/>
      <w:rPr>
        <w:rFonts w:ascii="ITC Avant Garde" w:hAnsi="ITC Avant Garde"/>
        <w:sz w:val="16"/>
        <w:szCs w:val="14"/>
      </w:rPr>
    </w:pPr>
    <w:r w:rsidRPr="00283A1F">
      <w:rPr>
        <w:rFonts w:ascii="ITC Avant Garde" w:hAnsi="ITC Avant Garde"/>
        <w:sz w:val="16"/>
        <w:szCs w:val="14"/>
      </w:rPr>
      <w:fldChar w:fldCharType="begin"/>
    </w:r>
    <w:r w:rsidRPr="00283A1F">
      <w:rPr>
        <w:rFonts w:ascii="ITC Avant Garde" w:hAnsi="ITC Avant Garde"/>
        <w:sz w:val="16"/>
        <w:szCs w:val="14"/>
      </w:rPr>
      <w:instrText xml:space="preserve"> PAGE </w:instrText>
    </w:r>
    <w:r w:rsidRPr="00283A1F">
      <w:rPr>
        <w:rFonts w:ascii="ITC Avant Garde" w:hAnsi="ITC Avant Garde"/>
        <w:sz w:val="16"/>
        <w:szCs w:val="14"/>
      </w:rPr>
      <w:fldChar w:fldCharType="separate"/>
    </w:r>
    <w:r w:rsidR="00DF04D5">
      <w:rPr>
        <w:rFonts w:ascii="ITC Avant Garde" w:hAnsi="ITC Avant Garde"/>
        <w:noProof/>
        <w:sz w:val="16"/>
        <w:szCs w:val="14"/>
      </w:rPr>
      <w:t>12</w:t>
    </w:r>
    <w:r w:rsidRPr="00283A1F">
      <w:rPr>
        <w:rFonts w:ascii="ITC Avant Garde" w:hAnsi="ITC Avant Garde"/>
        <w:sz w:val="16"/>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58" w:rsidRDefault="00204B58" w:rsidP="00EB2296">
      <w:pPr>
        <w:spacing w:after="0" w:line="240" w:lineRule="auto"/>
      </w:pPr>
      <w:r>
        <w:separator/>
      </w:r>
    </w:p>
  </w:footnote>
  <w:footnote w:type="continuationSeparator" w:id="0">
    <w:p w:rsidR="00204B58" w:rsidRDefault="00204B58" w:rsidP="00EB2296">
      <w:pPr>
        <w:spacing w:after="0" w:line="240" w:lineRule="auto"/>
      </w:pPr>
      <w:r>
        <w:continuationSeparator/>
      </w:r>
    </w:p>
  </w:footnote>
  <w:footnote w:id="1">
    <w:p w:rsidR="00032174" w:rsidRPr="00DF04D5" w:rsidRDefault="00032174" w:rsidP="00DF04D5">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footnote>
  <w:footnote w:id="2">
    <w:p w:rsidR="00AD06BF" w:rsidRPr="00D47A3C" w:rsidRDefault="00AD06BF" w:rsidP="00AD06BF">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204B5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4" w:rsidRDefault="00204B5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6299"/>
    <w:rsid w:val="0002719E"/>
    <w:rsid w:val="00032174"/>
    <w:rsid w:val="00032783"/>
    <w:rsid w:val="00046DB0"/>
    <w:rsid w:val="0005005F"/>
    <w:rsid w:val="00053CF6"/>
    <w:rsid w:val="00053E84"/>
    <w:rsid w:val="0005447D"/>
    <w:rsid w:val="00061683"/>
    <w:rsid w:val="00070E3B"/>
    <w:rsid w:val="00074F06"/>
    <w:rsid w:val="00076F4E"/>
    <w:rsid w:val="000823B7"/>
    <w:rsid w:val="00092997"/>
    <w:rsid w:val="000947AF"/>
    <w:rsid w:val="00095561"/>
    <w:rsid w:val="000A4AC5"/>
    <w:rsid w:val="000A4C08"/>
    <w:rsid w:val="000A5B2A"/>
    <w:rsid w:val="000B0FBE"/>
    <w:rsid w:val="000B21FB"/>
    <w:rsid w:val="000B5EAA"/>
    <w:rsid w:val="000C4E1C"/>
    <w:rsid w:val="000C5965"/>
    <w:rsid w:val="000C6315"/>
    <w:rsid w:val="000C6710"/>
    <w:rsid w:val="000C76A8"/>
    <w:rsid w:val="000D3D4C"/>
    <w:rsid w:val="000E0F1E"/>
    <w:rsid w:val="000E6187"/>
    <w:rsid w:val="000F2439"/>
    <w:rsid w:val="001013E9"/>
    <w:rsid w:val="001044D1"/>
    <w:rsid w:val="0011530A"/>
    <w:rsid w:val="0013131D"/>
    <w:rsid w:val="00132133"/>
    <w:rsid w:val="0013466A"/>
    <w:rsid w:val="00136C02"/>
    <w:rsid w:val="00144352"/>
    <w:rsid w:val="0014754A"/>
    <w:rsid w:val="0014799D"/>
    <w:rsid w:val="00156509"/>
    <w:rsid w:val="0016554C"/>
    <w:rsid w:val="00167A76"/>
    <w:rsid w:val="00174494"/>
    <w:rsid w:val="001801AA"/>
    <w:rsid w:val="001906BE"/>
    <w:rsid w:val="00191F82"/>
    <w:rsid w:val="00195C0D"/>
    <w:rsid w:val="00197A12"/>
    <w:rsid w:val="001B1CD8"/>
    <w:rsid w:val="001B5E5B"/>
    <w:rsid w:val="001B7CDC"/>
    <w:rsid w:val="001D04F7"/>
    <w:rsid w:val="001D0DEA"/>
    <w:rsid w:val="001D242A"/>
    <w:rsid w:val="001E7CC0"/>
    <w:rsid w:val="001F0649"/>
    <w:rsid w:val="00201E69"/>
    <w:rsid w:val="00204B58"/>
    <w:rsid w:val="002108EC"/>
    <w:rsid w:val="002161AA"/>
    <w:rsid w:val="00222B6F"/>
    <w:rsid w:val="002246C2"/>
    <w:rsid w:val="0022779A"/>
    <w:rsid w:val="0023278C"/>
    <w:rsid w:val="00252872"/>
    <w:rsid w:val="00254211"/>
    <w:rsid w:val="00254232"/>
    <w:rsid w:val="00270A70"/>
    <w:rsid w:val="002714FD"/>
    <w:rsid w:val="0027601C"/>
    <w:rsid w:val="00281387"/>
    <w:rsid w:val="00281AFF"/>
    <w:rsid w:val="00283A1F"/>
    <w:rsid w:val="00290E97"/>
    <w:rsid w:val="00293D1B"/>
    <w:rsid w:val="002A7C68"/>
    <w:rsid w:val="002B0765"/>
    <w:rsid w:val="002B3DDC"/>
    <w:rsid w:val="002B3F84"/>
    <w:rsid w:val="002B55A0"/>
    <w:rsid w:val="002C2CA6"/>
    <w:rsid w:val="002D0E39"/>
    <w:rsid w:val="002D4397"/>
    <w:rsid w:val="002D5DA6"/>
    <w:rsid w:val="002D74D4"/>
    <w:rsid w:val="00304A8B"/>
    <w:rsid w:val="00306BEA"/>
    <w:rsid w:val="0031286F"/>
    <w:rsid w:val="00313E94"/>
    <w:rsid w:val="0032555E"/>
    <w:rsid w:val="003302D8"/>
    <w:rsid w:val="003309E4"/>
    <w:rsid w:val="0033770E"/>
    <w:rsid w:val="00345EDD"/>
    <w:rsid w:val="00346AC2"/>
    <w:rsid w:val="003641C7"/>
    <w:rsid w:val="00367D51"/>
    <w:rsid w:val="00373879"/>
    <w:rsid w:val="00374A99"/>
    <w:rsid w:val="00384CCA"/>
    <w:rsid w:val="00396287"/>
    <w:rsid w:val="003A0F1A"/>
    <w:rsid w:val="003A1272"/>
    <w:rsid w:val="003A4959"/>
    <w:rsid w:val="003A7B74"/>
    <w:rsid w:val="003C0B87"/>
    <w:rsid w:val="003C4CAB"/>
    <w:rsid w:val="003C5525"/>
    <w:rsid w:val="003D606A"/>
    <w:rsid w:val="003D79D9"/>
    <w:rsid w:val="003E1A65"/>
    <w:rsid w:val="003E29A9"/>
    <w:rsid w:val="003E30EC"/>
    <w:rsid w:val="003F2261"/>
    <w:rsid w:val="003F7AA7"/>
    <w:rsid w:val="003F7C01"/>
    <w:rsid w:val="00424150"/>
    <w:rsid w:val="0044701B"/>
    <w:rsid w:val="0044742F"/>
    <w:rsid w:val="00452C8E"/>
    <w:rsid w:val="00453BAE"/>
    <w:rsid w:val="004550D2"/>
    <w:rsid w:val="00462A9A"/>
    <w:rsid w:val="00473CD5"/>
    <w:rsid w:val="00485A0B"/>
    <w:rsid w:val="0049308E"/>
    <w:rsid w:val="004A78F2"/>
    <w:rsid w:val="004B02F5"/>
    <w:rsid w:val="004C2BB2"/>
    <w:rsid w:val="004D7176"/>
    <w:rsid w:val="004E2F85"/>
    <w:rsid w:val="004E7EBE"/>
    <w:rsid w:val="00505EC2"/>
    <w:rsid w:val="0051146F"/>
    <w:rsid w:val="00513BE5"/>
    <w:rsid w:val="0052061E"/>
    <w:rsid w:val="00561F4D"/>
    <w:rsid w:val="0056724A"/>
    <w:rsid w:val="00572019"/>
    <w:rsid w:val="005751CE"/>
    <w:rsid w:val="00576C28"/>
    <w:rsid w:val="00584DB2"/>
    <w:rsid w:val="005953F8"/>
    <w:rsid w:val="005970EB"/>
    <w:rsid w:val="005A1D87"/>
    <w:rsid w:val="005B3755"/>
    <w:rsid w:val="005B63A5"/>
    <w:rsid w:val="005D0990"/>
    <w:rsid w:val="005D1B97"/>
    <w:rsid w:val="005E57A1"/>
    <w:rsid w:val="005F2FF2"/>
    <w:rsid w:val="006011B9"/>
    <w:rsid w:val="00601363"/>
    <w:rsid w:val="006077D8"/>
    <w:rsid w:val="0062656F"/>
    <w:rsid w:val="00632DB6"/>
    <w:rsid w:val="00635B85"/>
    <w:rsid w:val="00641571"/>
    <w:rsid w:val="00644B5F"/>
    <w:rsid w:val="00645023"/>
    <w:rsid w:val="00652B1B"/>
    <w:rsid w:val="00666011"/>
    <w:rsid w:val="00673BA7"/>
    <w:rsid w:val="00695387"/>
    <w:rsid w:val="006A30DE"/>
    <w:rsid w:val="006A7D4E"/>
    <w:rsid w:val="006C2FA3"/>
    <w:rsid w:val="006C4AF2"/>
    <w:rsid w:val="006C7B7F"/>
    <w:rsid w:val="006E07DA"/>
    <w:rsid w:val="006E2E7B"/>
    <w:rsid w:val="006F040F"/>
    <w:rsid w:val="006F1DDF"/>
    <w:rsid w:val="00705C67"/>
    <w:rsid w:val="007062E9"/>
    <w:rsid w:val="00707F0E"/>
    <w:rsid w:val="007141F3"/>
    <w:rsid w:val="00715F2F"/>
    <w:rsid w:val="00716FF8"/>
    <w:rsid w:val="007211F7"/>
    <w:rsid w:val="00740A17"/>
    <w:rsid w:val="00744C07"/>
    <w:rsid w:val="00746A53"/>
    <w:rsid w:val="00746EFC"/>
    <w:rsid w:val="00747F64"/>
    <w:rsid w:val="007633EE"/>
    <w:rsid w:val="007728D0"/>
    <w:rsid w:val="00781FB6"/>
    <w:rsid w:val="00795FE1"/>
    <w:rsid w:val="007A5A00"/>
    <w:rsid w:val="007A663B"/>
    <w:rsid w:val="007B3045"/>
    <w:rsid w:val="007B683A"/>
    <w:rsid w:val="007C4046"/>
    <w:rsid w:val="007C48B0"/>
    <w:rsid w:val="007E1BD2"/>
    <w:rsid w:val="007E1ED1"/>
    <w:rsid w:val="007F0F79"/>
    <w:rsid w:val="007F4925"/>
    <w:rsid w:val="00806511"/>
    <w:rsid w:val="00810D44"/>
    <w:rsid w:val="00825355"/>
    <w:rsid w:val="00825E68"/>
    <w:rsid w:val="008275BA"/>
    <w:rsid w:val="0082761F"/>
    <w:rsid w:val="00831324"/>
    <w:rsid w:val="00841A87"/>
    <w:rsid w:val="0084221B"/>
    <w:rsid w:val="0085323B"/>
    <w:rsid w:val="00857211"/>
    <w:rsid w:val="00861FBD"/>
    <w:rsid w:val="00864858"/>
    <w:rsid w:val="00866B4F"/>
    <w:rsid w:val="008758A6"/>
    <w:rsid w:val="0087591D"/>
    <w:rsid w:val="008763E5"/>
    <w:rsid w:val="00880C67"/>
    <w:rsid w:val="00890681"/>
    <w:rsid w:val="008920B5"/>
    <w:rsid w:val="00892782"/>
    <w:rsid w:val="00892FC6"/>
    <w:rsid w:val="00894730"/>
    <w:rsid w:val="00894FFA"/>
    <w:rsid w:val="00895B46"/>
    <w:rsid w:val="008A2022"/>
    <w:rsid w:val="008A22EE"/>
    <w:rsid w:val="008B5D18"/>
    <w:rsid w:val="008B6EDD"/>
    <w:rsid w:val="008B7B83"/>
    <w:rsid w:val="008E33F7"/>
    <w:rsid w:val="008F706D"/>
    <w:rsid w:val="00903418"/>
    <w:rsid w:val="00904631"/>
    <w:rsid w:val="00911B38"/>
    <w:rsid w:val="00916FCF"/>
    <w:rsid w:val="009243CA"/>
    <w:rsid w:val="00931BA6"/>
    <w:rsid w:val="00935254"/>
    <w:rsid w:val="00935366"/>
    <w:rsid w:val="00940430"/>
    <w:rsid w:val="00942B8B"/>
    <w:rsid w:val="009441A6"/>
    <w:rsid w:val="0095248A"/>
    <w:rsid w:val="0096010D"/>
    <w:rsid w:val="00960F3D"/>
    <w:rsid w:val="0096136E"/>
    <w:rsid w:val="00962E44"/>
    <w:rsid w:val="00965B17"/>
    <w:rsid w:val="00966CAF"/>
    <w:rsid w:val="0097294C"/>
    <w:rsid w:val="00983744"/>
    <w:rsid w:val="00990AC3"/>
    <w:rsid w:val="0099730D"/>
    <w:rsid w:val="009B0D9A"/>
    <w:rsid w:val="009B2DAA"/>
    <w:rsid w:val="009B4A95"/>
    <w:rsid w:val="009C218E"/>
    <w:rsid w:val="009C2620"/>
    <w:rsid w:val="009C3667"/>
    <w:rsid w:val="009C4566"/>
    <w:rsid w:val="009C480D"/>
    <w:rsid w:val="009D5F52"/>
    <w:rsid w:val="009F3F30"/>
    <w:rsid w:val="009F6776"/>
    <w:rsid w:val="00A05A47"/>
    <w:rsid w:val="00A11535"/>
    <w:rsid w:val="00A171B6"/>
    <w:rsid w:val="00A1734A"/>
    <w:rsid w:val="00A1781E"/>
    <w:rsid w:val="00A21FDE"/>
    <w:rsid w:val="00A35AA1"/>
    <w:rsid w:val="00A47B01"/>
    <w:rsid w:val="00A53046"/>
    <w:rsid w:val="00A53D1C"/>
    <w:rsid w:val="00A54701"/>
    <w:rsid w:val="00A60CDB"/>
    <w:rsid w:val="00A6791F"/>
    <w:rsid w:val="00A71479"/>
    <w:rsid w:val="00A7617B"/>
    <w:rsid w:val="00A765F2"/>
    <w:rsid w:val="00A839BF"/>
    <w:rsid w:val="00A84C9A"/>
    <w:rsid w:val="00AA0087"/>
    <w:rsid w:val="00AA1CFA"/>
    <w:rsid w:val="00AA1DA6"/>
    <w:rsid w:val="00AA6884"/>
    <w:rsid w:val="00AA7E60"/>
    <w:rsid w:val="00AC0F2C"/>
    <w:rsid w:val="00AC20E7"/>
    <w:rsid w:val="00AC7E2E"/>
    <w:rsid w:val="00AD06BF"/>
    <w:rsid w:val="00AD7AE9"/>
    <w:rsid w:val="00AE0BA3"/>
    <w:rsid w:val="00AF0BEC"/>
    <w:rsid w:val="00AF3E78"/>
    <w:rsid w:val="00B00D1B"/>
    <w:rsid w:val="00B0429A"/>
    <w:rsid w:val="00B102FD"/>
    <w:rsid w:val="00B10EEE"/>
    <w:rsid w:val="00B1297F"/>
    <w:rsid w:val="00B1586E"/>
    <w:rsid w:val="00B25700"/>
    <w:rsid w:val="00B464C8"/>
    <w:rsid w:val="00B467E6"/>
    <w:rsid w:val="00B575D6"/>
    <w:rsid w:val="00B65728"/>
    <w:rsid w:val="00B67283"/>
    <w:rsid w:val="00B71E1C"/>
    <w:rsid w:val="00B77C7A"/>
    <w:rsid w:val="00B80D74"/>
    <w:rsid w:val="00B85B00"/>
    <w:rsid w:val="00B87207"/>
    <w:rsid w:val="00B87F3C"/>
    <w:rsid w:val="00B9022C"/>
    <w:rsid w:val="00B97328"/>
    <w:rsid w:val="00B97B3A"/>
    <w:rsid w:val="00B97D2E"/>
    <w:rsid w:val="00BA3779"/>
    <w:rsid w:val="00BA383B"/>
    <w:rsid w:val="00BA4A71"/>
    <w:rsid w:val="00BB6A4B"/>
    <w:rsid w:val="00BC7337"/>
    <w:rsid w:val="00BD21F5"/>
    <w:rsid w:val="00BD3841"/>
    <w:rsid w:val="00BD6D98"/>
    <w:rsid w:val="00BE0729"/>
    <w:rsid w:val="00BE427D"/>
    <w:rsid w:val="00BE49C8"/>
    <w:rsid w:val="00BE5CC9"/>
    <w:rsid w:val="00BE5CFB"/>
    <w:rsid w:val="00BF308A"/>
    <w:rsid w:val="00C007CC"/>
    <w:rsid w:val="00C05717"/>
    <w:rsid w:val="00C06986"/>
    <w:rsid w:val="00C10072"/>
    <w:rsid w:val="00C10622"/>
    <w:rsid w:val="00C13FC7"/>
    <w:rsid w:val="00C14473"/>
    <w:rsid w:val="00C15907"/>
    <w:rsid w:val="00C210D5"/>
    <w:rsid w:val="00C21A07"/>
    <w:rsid w:val="00C3330E"/>
    <w:rsid w:val="00C37D97"/>
    <w:rsid w:val="00C4577A"/>
    <w:rsid w:val="00C51C93"/>
    <w:rsid w:val="00C54E9D"/>
    <w:rsid w:val="00C63BDC"/>
    <w:rsid w:val="00C7001E"/>
    <w:rsid w:val="00C728F1"/>
    <w:rsid w:val="00C729C4"/>
    <w:rsid w:val="00C93C9A"/>
    <w:rsid w:val="00CA03A5"/>
    <w:rsid w:val="00CA25DD"/>
    <w:rsid w:val="00CA372C"/>
    <w:rsid w:val="00CA4921"/>
    <w:rsid w:val="00CA7705"/>
    <w:rsid w:val="00CB07A5"/>
    <w:rsid w:val="00CD1CFB"/>
    <w:rsid w:val="00CD28A4"/>
    <w:rsid w:val="00CD4E10"/>
    <w:rsid w:val="00CE2228"/>
    <w:rsid w:val="00CE3549"/>
    <w:rsid w:val="00CE6D13"/>
    <w:rsid w:val="00CF4B3A"/>
    <w:rsid w:val="00D04DD0"/>
    <w:rsid w:val="00D05BAC"/>
    <w:rsid w:val="00D0608C"/>
    <w:rsid w:val="00D0623D"/>
    <w:rsid w:val="00D123CC"/>
    <w:rsid w:val="00D318FD"/>
    <w:rsid w:val="00D32B12"/>
    <w:rsid w:val="00D565B8"/>
    <w:rsid w:val="00D60074"/>
    <w:rsid w:val="00D66226"/>
    <w:rsid w:val="00D728EF"/>
    <w:rsid w:val="00D77D23"/>
    <w:rsid w:val="00D81606"/>
    <w:rsid w:val="00D81949"/>
    <w:rsid w:val="00D83E21"/>
    <w:rsid w:val="00D85E82"/>
    <w:rsid w:val="00D93DB2"/>
    <w:rsid w:val="00D96DF1"/>
    <w:rsid w:val="00DA5060"/>
    <w:rsid w:val="00DC4E9E"/>
    <w:rsid w:val="00DC692C"/>
    <w:rsid w:val="00DD11D9"/>
    <w:rsid w:val="00DF04D5"/>
    <w:rsid w:val="00DF6AB8"/>
    <w:rsid w:val="00E06208"/>
    <w:rsid w:val="00E1507B"/>
    <w:rsid w:val="00E156DF"/>
    <w:rsid w:val="00E172BB"/>
    <w:rsid w:val="00E24B02"/>
    <w:rsid w:val="00E308A3"/>
    <w:rsid w:val="00E44068"/>
    <w:rsid w:val="00E46784"/>
    <w:rsid w:val="00E470A0"/>
    <w:rsid w:val="00E657A8"/>
    <w:rsid w:val="00E6692F"/>
    <w:rsid w:val="00E73504"/>
    <w:rsid w:val="00E82317"/>
    <w:rsid w:val="00E90666"/>
    <w:rsid w:val="00E97217"/>
    <w:rsid w:val="00EA6528"/>
    <w:rsid w:val="00EB2296"/>
    <w:rsid w:val="00EB2A5F"/>
    <w:rsid w:val="00EB5C36"/>
    <w:rsid w:val="00ED4774"/>
    <w:rsid w:val="00EE25B9"/>
    <w:rsid w:val="00EE596A"/>
    <w:rsid w:val="00EF2C3A"/>
    <w:rsid w:val="00F015C0"/>
    <w:rsid w:val="00F0598B"/>
    <w:rsid w:val="00F0637A"/>
    <w:rsid w:val="00F07999"/>
    <w:rsid w:val="00F11D86"/>
    <w:rsid w:val="00F13456"/>
    <w:rsid w:val="00F206EA"/>
    <w:rsid w:val="00F22CB3"/>
    <w:rsid w:val="00F35322"/>
    <w:rsid w:val="00F40B4A"/>
    <w:rsid w:val="00F433D2"/>
    <w:rsid w:val="00F63045"/>
    <w:rsid w:val="00F6431B"/>
    <w:rsid w:val="00F71C13"/>
    <w:rsid w:val="00F71F7D"/>
    <w:rsid w:val="00F77993"/>
    <w:rsid w:val="00F80D29"/>
    <w:rsid w:val="00F820A8"/>
    <w:rsid w:val="00F82D11"/>
    <w:rsid w:val="00F87A1C"/>
    <w:rsid w:val="00F87A5A"/>
    <w:rsid w:val="00F91284"/>
    <w:rsid w:val="00F96CDB"/>
    <w:rsid w:val="00FA14D0"/>
    <w:rsid w:val="00FA6EBD"/>
    <w:rsid w:val="00FE326F"/>
    <w:rsid w:val="00FE526C"/>
    <w:rsid w:val="00FE658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763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63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763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rsid w:val="00EB2296"/>
    <w:rPr>
      <w:rFonts w:ascii="Calibri" w:eastAsia="Calibri" w:hAnsi="Calibri" w:cs="Times New Roman"/>
    </w:rPr>
  </w:style>
  <w:style w:type="paragraph" w:styleId="Piedepgina">
    <w:name w:val="footer"/>
    <w:basedOn w:val="Normal"/>
    <w:link w:val="PiedepginaCar"/>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8763E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63E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763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322B-7CCB-4F1A-AAB6-5FB57FED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4975</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4</cp:revision>
  <dcterms:created xsi:type="dcterms:W3CDTF">2017-04-25T23:38:00Z</dcterms:created>
  <dcterms:modified xsi:type="dcterms:W3CDTF">2017-07-27T14:49:00Z</dcterms:modified>
</cp:coreProperties>
</file>