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67EFA" w14:textId="77777777" w:rsidR="00221B21" w:rsidRPr="006E23DE" w:rsidRDefault="00B7256C" w:rsidP="006E23DE">
      <w:pPr>
        <w:pStyle w:val="Ttulo1"/>
        <w:spacing w:after="240"/>
        <w:jc w:val="both"/>
        <w:rPr>
          <w:rFonts w:ascii="ITC Avant Garde" w:hAnsi="ITC Avant Garde"/>
          <w:b/>
          <w:color w:val="000000" w:themeColor="text1"/>
          <w:sz w:val="22"/>
          <w:szCs w:val="22"/>
          <w:lang w:eastAsia="es-MX"/>
        </w:rPr>
      </w:pPr>
      <w:r w:rsidRPr="006E23DE">
        <w:rPr>
          <w:rFonts w:ascii="ITC Avant Garde" w:hAnsi="ITC Avant Garde"/>
          <w:b/>
          <w:color w:val="000000" w:themeColor="text1"/>
          <w:sz w:val="22"/>
          <w:szCs w:val="22"/>
          <w:lang w:eastAsia="es-MX"/>
        </w:rPr>
        <w:t xml:space="preserve">RESOLUCIÓN MEDIANTE LA CUAL EL PLENO DEL INSTITUTO FEDERAL DE TELECOMUNICACIONES </w:t>
      </w:r>
      <w:r w:rsidR="001272B9" w:rsidRPr="006E23DE">
        <w:rPr>
          <w:rFonts w:ascii="ITC Avant Garde" w:hAnsi="ITC Avant Garde"/>
          <w:b/>
          <w:color w:val="000000" w:themeColor="text1"/>
          <w:sz w:val="22"/>
          <w:szCs w:val="22"/>
          <w:lang w:eastAsia="es-MX"/>
        </w:rPr>
        <w:t>NIEGA</w:t>
      </w:r>
      <w:r w:rsidRPr="006E23DE">
        <w:rPr>
          <w:rFonts w:ascii="ITC Avant Garde" w:hAnsi="ITC Avant Garde"/>
          <w:b/>
          <w:color w:val="000000" w:themeColor="text1"/>
          <w:sz w:val="22"/>
          <w:szCs w:val="22"/>
          <w:lang w:eastAsia="es-MX"/>
        </w:rPr>
        <w:t xml:space="preserve"> LA </w:t>
      </w:r>
      <w:r w:rsidR="002779AA" w:rsidRPr="006E23DE">
        <w:rPr>
          <w:rFonts w:ascii="ITC Avant Garde" w:hAnsi="ITC Avant Garde"/>
          <w:b/>
          <w:color w:val="000000" w:themeColor="text1"/>
          <w:sz w:val="22"/>
          <w:szCs w:val="22"/>
          <w:lang w:eastAsia="es-MX"/>
        </w:rPr>
        <w:t xml:space="preserve">PRÓRROGA DE </w:t>
      </w:r>
      <w:r w:rsidRPr="006E23DE">
        <w:rPr>
          <w:rFonts w:ascii="ITC Avant Garde" w:hAnsi="ITC Avant Garde"/>
          <w:b/>
          <w:color w:val="000000" w:themeColor="text1"/>
          <w:sz w:val="22"/>
          <w:szCs w:val="22"/>
          <w:lang w:eastAsia="es-MX"/>
        </w:rPr>
        <w:t xml:space="preserve">VIGENCIA DE LA CONCESIÓN </w:t>
      </w:r>
      <w:r w:rsidR="002779AA" w:rsidRPr="006E23DE">
        <w:rPr>
          <w:rFonts w:ascii="ITC Avant Garde" w:hAnsi="ITC Avant Garde"/>
          <w:b/>
          <w:color w:val="000000" w:themeColor="text1"/>
          <w:sz w:val="22"/>
          <w:szCs w:val="22"/>
          <w:lang w:eastAsia="es-MX"/>
        </w:rPr>
        <w:t xml:space="preserve">PARA INSTALAR, OPERAR Y EXPLOTAR UNA RED PÚBLICA DE TELECOMUNICACIONES </w:t>
      </w:r>
      <w:r w:rsidR="00AE7050" w:rsidRPr="006E23DE">
        <w:rPr>
          <w:rFonts w:ascii="ITC Avant Garde" w:hAnsi="ITC Avant Garde"/>
          <w:b/>
          <w:color w:val="000000" w:themeColor="text1"/>
          <w:sz w:val="22"/>
          <w:szCs w:val="22"/>
          <w:lang w:eastAsia="es-MX"/>
        </w:rPr>
        <w:t xml:space="preserve">PARA LA PRESTACIÓN DE SERVICIOS DE ACCESO INALÁMBRICO, </w:t>
      </w:r>
      <w:r w:rsidR="002779AA" w:rsidRPr="006E23DE">
        <w:rPr>
          <w:rFonts w:ascii="ITC Avant Garde" w:hAnsi="ITC Avant Garde"/>
          <w:b/>
          <w:color w:val="000000" w:themeColor="text1"/>
          <w:sz w:val="22"/>
          <w:szCs w:val="22"/>
          <w:lang w:eastAsia="es-MX"/>
        </w:rPr>
        <w:t xml:space="preserve">OTORGADA A </w:t>
      </w:r>
      <w:r w:rsidR="008007E3" w:rsidRPr="006E23DE">
        <w:rPr>
          <w:rFonts w:ascii="ITC Avant Garde" w:hAnsi="ITC Avant Garde"/>
          <w:b/>
          <w:color w:val="000000" w:themeColor="text1"/>
          <w:sz w:val="22"/>
          <w:szCs w:val="22"/>
          <w:lang w:eastAsia="es-MX"/>
        </w:rPr>
        <w:t xml:space="preserve">FAVOR DE </w:t>
      </w:r>
      <w:r w:rsidR="00AE7050" w:rsidRPr="006E23DE">
        <w:rPr>
          <w:rFonts w:ascii="ITC Avant Garde" w:hAnsi="ITC Avant Garde"/>
          <w:b/>
          <w:color w:val="000000" w:themeColor="text1"/>
          <w:sz w:val="22"/>
          <w:szCs w:val="22"/>
          <w:lang w:eastAsia="es-MX"/>
        </w:rPr>
        <w:t>TELÉFONOS DE MÉXICO</w:t>
      </w:r>
      <w:r w:rsidR="001272B9" w:rsidRPr="006E23DE">
        <w:rPr>
          <w:rFonts w:ascii="ITC Avant Garde" w:hAnsi="ITC Avant Garde"/>
          <w:b/>
          <w:color w:val="000000" w:themeColor="text1"/>
          <w:sz w:val="22"/>
          <w:szCs w:val="22"/>
          <w:lang w:eastAsia="es-MX"/>
        </w:rPr>
        <w:t>, S.A.</w:t>
      </w:r>
      <w:r w:rsidR="00AE7050" w:rsidRPr="006E23DE">
        <w:rPr>
          <w:rFonts w:ascii="ITC Avant Garde" w:hAnsi="ITC Avant Garde"/>
          <w:b/>
          <w:color w:val="000000" w:themeColor="text1"/>
          <w:sz w:val="22"/>
          <w:szCs w:val="22"/>
          <w:lang w:eastAsia="es-MX"/>
        </w:rPr>
        <w:t>B.</w:t>
      </w:r>
      <w:r w:rsidR="004117C8" w:rsidRPr="006E23DE">
        <w:rPr>
          <w:rFonts w:ascii="ITC Avant Garde" w:hAnsi="ITC Avant Garde"/>
          <w:b/>
          <w:color w:val="000000" w:themeColor="text1"/>
          <w:sz w:val="22"/>
          <w:szCs w:val="22"/>
          <w:lang w:eastAsia="es-MX"/>
        </w:rPr>
        <w:t xml:space="preserve"> DE C.V.</w:t>
      </w:r>
    </w:p>
    <w:p w14:paraId="56FAD970" w14:textId="77777777" w:rsidR="00221B21" w:rsidRPr="006E23DE" w:rsidRDefault="00B7256C" w:rsidP="006E23DE">
      <w:pPr>
        <w:pStyle w:val="Ttulo2"/>
        <w:spacing w:after="240"/>
        <w:jc w:val="center"/>
        <w:rPr>
          <w:rFonts w:ascii="ITC Avant Garde" w:hAnsi="ITC Avant Garde"/>
          <w:b/>
          <w:color w:val="000000" w:themeColor="text1"/>
          <w:sz w:val="22"/>
          <w:szCs w:val="22"/>
        </w:rPr>
      </w:pPr>
      <w:r w:rsidRPr="006E23DE">
        <w:rPr>
          <w:rFonts w:ascii="ITC Avant Garde" w:hAnsi="ITC Avant Garde"/>
          <w:b/>
          <w:color w:val="000000" w:themeColor="text1"/>
          <w:sz w:val="22"/>
          <w:szCs w:val="22"/>
        </w:rPr>
        <w:t>ANTECEDENTES</w:t>
      </w:r>
    </w:p>
    <w:p w14:paraId="06107E8C" w14:textId="48C209B2" w:rsidR="00254DE9" w:rsidRPr="006E23DE" w:rsidRDefault="00254DE9" w:rsidP="006E23DE">
      <w:pPr>
        <w:numPr>
          <w:ilvl w:val="0"/>
          <w:numId w:val="1"/>
        </w:numPr>
        <w:spacing w:after="240" w:line="240" w:lineRule="auto"/>
        <w:jc w:val="both"/>
        <w:rPr>
          <w:rFonts w:ascii="ITC Avant Garde" w:hAnsi="ITC Avant Garde"/>
          <w:bCs/>
          <w:color w:val="000000"/>
          <w:lang w:eastAsia="es-MX"/>
        </w:rPr>
      </w:pPr>
      <w:r w:rsidRPr="006E23DE">
        <w:rPr>
          <w:rFonts w:ascii="ITC Avant Garde" w:hAnsi="ITC Avant Garde"/>
          <w:b/>
          <w:bCs/>
          <w:color w:val="000000"/>
          <w:lang w:eastAsia="es-MX"/>
        </w:rPr>
        <w:t xml:space="preserve">Otorgamiento de las Concesiones de Bandas. </w:t>
      </w:r>
      <w:r w:rsidRPr="006E23DE">
        <w:rPr>
          <w:rFonts w:ascii="ITC Avant Garde" w:hAnsi="ITC Avant Garde"/>
          <w:bCs/>
          <w:color w:val="000000"/>
          <w:lang w:eastAsia="es-MX"/>
        </w:rPr>
        <w:t>Como consecuencia del procedimiento de licitación pública que en su oportunidad sustanció la extinta Comisión Federal de Telecomunicaciones, el 28 de octubre de 1998, la Secretaría de Comunicaciones y Transportes (la “Secretaría”) otorgó en favor de Teléfonos de México, S.A. de C.V., 9 (nueve) títulos de concesión para usar, aprovechar y explotar bandas de frecuencias del espectro radioeléctrico para uso determinado, para la prestación de los servicios de acceso inalámbrico fijo o móvil, en las regiones 1, 2, 3, 4, 5, 6, 7, 8 y 9 en que se dividió el país, con una vigencia de 20 años contados a partir de la fecha de inicio de operaciones comerciales o de explotación de la Red, de conformidad con el numeral A.3. de la Concesión de Red (las “Concesiones de Bandas” y de manera conjunta con la Concesión de Red, las “Concesiones”) utilizando las siguientes frecuencias y con la cobertura que se detalla a continuación:</w:t>
      </w:r>
    </w:p>
    <w:tbl>
      <w:tblPr>
        <w:tblStyle w:val="Tablaconcuadrcula"/>
        <w:tblW w:w="0" w:type="auto"/>
        <w:jc w:val="center"/>
        <w:tblLook w:val="04A0" w:firstRow="1" w:lastRow="0" w:firstColumn="1" w:lastColumn="0" w:noHBand="0" w:noVBand="1"/>
        <w:tblCaption w:val="Frecuencias y cobertura de bandas"/>
        <w:tblDescription w:val="En una tabla de 4 columnas y proporciona los segmentos de bandas de frecuencias, el ancho de banda y "/>
      </w:tblPr>
      <w:tblGrid>
        <w:gridCol w:w="1827"/>
        <w:gridCol w:w="1417"/>
        <w:gridCol w:w="1134"/>
        <w:gridCol w:w="3697"/>
      </w:tblGrid>
      <w:tr w:rsidR="00221B21" w:rsidRPr="006E23DE" w14:paraId="6369F719" w14:textId="77777777" w:rsidTr="00221B21">
        <w:trPr>
          <w:tblHeader/>
          <w:jc w:val="center"/>
        </w:trPr>
        <w:tc>
          <w:tcPr>
            <w:tcW w:w="1827" w:type="dxa"/>
            <w:shd w:val="clear" w:color="auto" w:fill="A6A6A6" w:themeFill="background1" w:themeFillShade="A6"/>
            <w:vAlign w:val="center"/>
          </w:tcPr>
          <w:p w14:paraId="28F2E9D9" w14:textId="77777777" w:rsidR="00221B21" w:rsidRPr="006E23DE" w:rsidRDefault="00221B21" w:rsidP="006E23DE">
            <w:pPr>
              <w:spacing w:after="0" w:line="240" w:lineRule="auto"/>
              <w:jc w:val="center"/>
              <w:rPr>
                <w:rFonts w:ascii="ITC Avant Garde" w:hAnsi="ITC Avant Garde"/>
                <w:b/>
                <w:bCs/>
                <w:color w:val="000000"/>
                <w:sz w:val="16"/>
                <w:szCs w:val="16"/>
                <w:lang w:eastAsia="es-MX"/>
              </w:rPr>
            </w:pPr>
            <w:r w:rsidRPr="006E23DE">
              <w:rPr>
                <w:rFonts w:ascii="ITC Avant Garde" w:hAnsi="ITC Avant Garde"/>
                <w:b/>
                <w:bCs/>
                <w:color w:val="000000"/>
                <w:sz w:val="16"/>
                <w:szCs w:val="16"/>
                <w:lang w:eastAsia="es-MX"/>
              </w:rPr>
              <w:t>Banda de frecuencias</w:t>
            </w:r>
          </w:p>
        </w:tc>
        <w:tc>
          <w:tcPr>
            <w:tcW w:w="1417" w:type="dxa"/>
            <w:shd w:val="clear" w:color="auto" w:fill="A6A6A6" w:themeFill="background1" w:themeFillShade="A6"/>
            <w:vAlign w:val="center"/>
          </w:tcPr>
          <w:p w14:paraId="67C6DD0D" w14:textId="6455B52A" w:rsidR="00221B21" w:rsidRPr="006E23DE" w:rsidRDefault="00221B21" w:rsidP="006E23DE">
            <w:pPr>
              <w:spacing w:after="0" w:line="240" w:lineRule="auto"/>
              <w:jc w:val="center"/>
              <w:rPr>
                <w:rFonts w:ascii="ITC Avant Garde" w:hAnsi="ITC Avant Garde"/>
                <w:b/>
                <w:bCs/>
                <w:color w:val="000000"/>
                <w:sz w:val="16"/>
                <w:szCs w:val="16"/>
                <w:lang w:eastAsia="es-MX"/>
              </w:rPr>
            </w:pPr>
            <w:r w:rsidRPr="006E23DE">
              <w:rPr>
                <w:rFonts w:ascii="ITC Avant Garde" w:hAnsi="ITC Avant Garde"/>
                <w:b/>
                <w:bCs/>
                <w:color w:val="000000"/>
                <w:sz w:val="16"/>
                <w:szCs w:val="16"/>
                <w:lang w:eastAsia="es-MX"/>
              </w:rPr>
              <w:t>Banda de frecuencias</w:t>
            </w:r>
          </w:p>
        </w:tc>
        <w:tc>
          <w:tcPr>
            <w:tcW w:w="1134" w:type="dxa"/>
            <w:shd w:val="clear" w:color="auto" w:fill="A6A6A6" w:themeFill="background1" w:themeFillShade="A6"/>
            <w:vAlign w:val="center"/>
          </w:tcPr>
          <w:p w14:paraId="531B25E5" w14:textId="77777777" w:rsidR="00221B21" w:rsidRPr="006E23DE" w:rsidRDefault="00221B21" w:rsidP="006E23DE">
            <w:pPr>
              <w:spacing w:after="0" w:line="240" w:lineRule="auto"/>
              <w:jc w:val="center"/>
              <w:rPr>
                <w:rFonts w:ascii="ITC Avant Garde" w:hAnsi="ITC Avant Garde"/>
                <w:b/>
                <w:bCs/>
                <w:color w:val="000000"/>
                <w:sz w:val="16"/>
                <w:szCs w:val="16"/>
                <w:lang w:eastAsia="es-MX"/>
              </w:rPr>
            </w:pPr>
            <w:r w:rsidRPr="006E23DE">
              <w:rPr>
                <w:rFonts w:ascii="ITC Avant Garde" w:hAnsi="ITC Avant Garde"/>
                <w:b/>
                <w:bCs/>
                <w:color w:val="000000"/>
                <w:sz w:val="16"/>
                <w:szCs w:val="16"/>
                <w:lang w:eastAsia="es-MX"/>
              </w:rPr>
              <w:t>Ancho de banda</w:t>
            </w:r>
          </w:p>
        </w:tc>
        <w:tc>
          <w:tcPr>
            <w:tcW w:w="3697" w:type="dxa"/>
            <w:shd w:val="clear" w:color="auto" w:fill="A6A6A6" w:themeFill="background1" w:themeFillShade="A6"/>
            <w:vAlign w:val="center"/>
          </w:tcPr>
          <w:p w14:paraId="5389AACA" w14:textId="77777777" w:rsidR="00221B21" w:rsidRPr="006E23DE" w:rsidRDefault="00221B21" w:rsidP="006E23DE">
            <w:pPr>
              <w:spacing w:after="0" w:line="240" w:lineRule="auto"/>
              <w:jc w:val="center"/>
              <w:rPr>
                <w:rFonts w:ascii="ITC Avant Garde" w:hAnsi="ITC Avant Garde"/>
                <w:b/>
                <w:bCs/>
                <w:color w:val="000000"/>
                <w:sz w:val="16"/>
                <w:szCs w:val="16"/>
                <w:lang w:eastAsia="es-MX"/>
              </w:rPr>
            </w:pPr>
            <w:r w:rsidRPr="006E23DE">
              <w:rPr>
                <w:rFonts w:ascii="ITC Avant Garde" w:hAnsi="ITC Avant Garde"/>
                <w:b/>
                <w:bCs/>
                <w:color w:val="000000"/>
                <w:sz w:val="16"/>
                <w:szCs w:val="16"/>
                <w:lang w:eastAsia="es-MX"/>
              </w:rPr>
              <w:t>Cobertura</w:t>
            </w:r>
          </w:p>
        </w:tc>
      </w:tr>
      <w:tr w:rsidR="00254DE9" w:rsidRPr="006E23DE" w14:paraId="1677B884" w14:textId="77777777" w:rsidTr="00221B21">
        <w:trPr>
          <w:jc w:val="center"/>
        </w:trPr>
        <w:tc>
          <w:tcPr>
            <w:tcW w:w="1827" w:type="dxa"/>
          </w:tcPr>
          <w:p w14:paraId="7339739D"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Segmento inferior:</w:t>
            </w:r>
          </w:p>
          <w:p w14:paraId="1039A500" w14:textId="4455017F"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Segmento superior:</w:t>
            </w:r>
          </w:p>
        </w:tc>
        <w:tc>
          <w:tcPr>
            <w:tcW w:w="1417" w:type="dxa"/>
          </w:tcPr>
          <w:p w14:paraId="0E7BA4EE"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3450-3475 MHz</w:t>
            </w:r>
          </w:p>
          <w:p w14:paraId="3872ED38"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3550-3575 MHz</w:t>
            </w:r>
          </w:p>
        </w:tc>
        <w:tc>
          <w:tcPr>
            <w:tcW w:w="1134" w:type="dxa"/>
          </w:tcPr>
          <w:p w14:paraId="2C033E02" w14:textId="77777777" w:rsidR="00254DE9" w:rsidRPr="006E23DE" w:rsidRDefault="00254DE9" w:rsidP="006E23DE">
            <w:pPr>
              <w:spacing w:after="0" w:line="240" w:lineRule="auto"/>
              <w:jc w:val="center"/>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50 MHz</w:t>
            </w:r>
          </w:p>
        </w:tc>
        <w:tc>
          <w:tcPr>
            <w:tcW w:w="3697" w:type="dxa"/>
          </w:tcPr>
          <w:p w14:paraId="136EA334"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Región 1 que comprende los Estados de Baja California y Baja California Sur y el Municipio de San Luis Río Colorado, Sonora.</w:t>
            </w:r>
          </w:p>
        </w:tc>
      </w:tr>
      <w:tr w:rsidR="00254DE9" w:rsidRPr="006E23DE" w14:paraId="304C6EE3" w14:textId="77777777" w:rsidTr="00221B21">
        <w:trPr>
          <w:jc w:val="center"/>
        </w:trPr>
        <w:tc>
          <w:tcPr>
            <w:tcW w:w="1827" w:type="dxa"/>
          </w:tcPr>
          <w:p w14:paraId="09EE6364"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Segmento inferior:</w:t>
            </w:r>
          </w:p>
          <w:p w14:paraId="1967B917"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Segmento superior:</w:t>
            </w:r>
          </w:p>
        </w:tc>
        <w:tc>
          <w:tcPr>
            <w:tcW w:w="1417" w:type="dxa"/>
          </w:tcPr>
          <w:p w14:paraId="3B345EF4"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3450-3475 MHz</w:t>
            </w:r>
          </w:p>
          <w:p w14:paraId="632B87F0"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3550-3575 MHz</w:t>
            </w:r>
          </w:p>
        </w:tc>
        <w:tc>
          <w:tcPr>
            <w:tcW w:w="1134" w:type="dxa"/>
          </w:tcPr>
          <w:p w14:paraId="180ADF1A" w14:textId="77777777" w:rsidR="00254DE9" w:rsidRPr="006E23DE" w:rsidRDefault="00254DE9" w:rsidP="006E23DE">
            <w:pPr>
              <w:spacing w:after="0" w:line="240" w:lineRule="auto"/>
              <w:jc w:val="center"/>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50 MHz</w:t>
            </w:r>
          </w:p>
        </w:tc>
        <w:tc>
          <w:tcPr>
            <w:tcW w:w="3697" w:type="dxa"/>
          </w:tcPr>
          <w:p w14:paraId="741DA4E9"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Región 2 que comprende los Estados de Sinaloa y Sonora, excluyendo el Municipio de San Luis Río Colorado, Sonora.</w:t>
            </w:r>
          </w:p>
        </w:tc>
      </w:tr>
      <w:tr w:rsidR="00254DE9" w:rsidRPr="006E23DE" w14:paraId="283EBA81" w14:textId="77777777" w:rsidTr="00221B21">
        <w:trPr>
          <w:jc w:val="center"/>
        </w:trPr>
        <w:tc>
          <w:tcPr>
            <w:tcW w:w="1827" w:type="dxa"/>
          </w:tcPr>
          <w:p w14:paraId="7F46D832"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Segmento inferior:</w:t>
            </w:r>
          </w:p>
          <w:p w14:paraId="5BE0FF48"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Segmento superior:</w:t>
            </w:r>
          </w:p>
        </w:tc>
        <w:tc>
          <w:tcPr>
            <w:tcW w:w="1417" w:type="dxa"/>
          </w:tcPr>
          <w:p w14:paraId="61AE5694"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3450-3475 MHz</w:t>
            </w:r>
          </w:p>
          <w:p w14:paraId="783C5B68"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3550-3575 MHz</w:t>
            </w:r>
          </w:p>
        </w:tc>
        <w:tc>
          <w:tcPr>
            <w:tcW w:w="1134" w:type="dxa"/>
          </w:tcPr>
          <w:p w14:paraId="3E8B9759" w14:textId="77777777" w:rsidR="00254DE9" w:rsidRPr="006E23DE" w:rsidRDefault="00254DE9" w:rsidP="006E23DE">
            <w:pPr>
              <w:spacing w:after="0" w:line="240" w:lineRule="auto"/>
              <w:jc w:val="center"/>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50 MHz</w:t>
            </w:r>
          </w:p>
        </w:tc>
        <w:tc>
          <w:tcPr>
            <w:tcW w:w="3697" w:type="dxa"/>
          </w:tcPr>
          <w:p w14:paraId="0C3A00D6"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Región 3 que comprende los Estados de Chihuahua y Durango y los siguientes Municipios de Coahuila: Torreón, Francisco I. Madero, Matamoros, San Pedro y Viesca.</w:t>
            </w:r>
          </w:p>
        </w:tc>
      </w:tr>
      <w:tr w:rsidR="00254DE9" w:rsidRPr="006E23DE" w14:paraId="2C310AFF" w14:textId="77777777" w:rsidTr="00221B21">
        <w:trPr>
          <w:jc w:val="center"/>
        </w:trPr>
        <w:tc>
          <w:tcPr>
            <w:tcW w:w="1827" w:type="dxa"/>
          </w:tcPr>
          <w:p w14:paraId="0985B983"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Segmento inferior:</w:t>
            </w:r>
          </w:p>
          <w:p w14:paraId="6A2A977A"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Segmento superior:</w:t>
            </w:r>
          </w:p>
        </w:tc>
        <w:tc>
          <w:tcPr>
            <w:tcW w:w="1417" w:type="dxa"/>
          </w:tcPr>
          <w:p w14:paraId="7F0208B2"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3450-3475 MHz</w:t>
            </w:r>
          </w:p>
          <w:p w14:paraId="0C148BA7"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3550-3575 MHz</w:t>
            </w:r>
          </w:p>
        </w:tc>
        <w:tc>
          <w:tcPr>
            <w:tcW w:w="1134" w:type="dxa"/>
          </w:tcPr>
          <w:p w14:paraId="0B3E4A3B" w14:textId="77777777" w:rsidR="00254DE9" w:rsidRPr="006E23DE" w:rsidRDefault="00254DE9" w:rsidP="006E23DE">
            <w:pPr>
              <w:spacing w:after="0" w:line="240" w:lineRule="auto"/>
              <w:jc w:val="center"/>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50 MHz</w:t>
            </w:r>
          </w:p>
        </w:tc>
        <w:tc>
          <w:tcPr>
            <w:tcW w:w="3697" w:type="dxa"/>
          </w:tcPr>
          <w:p w14:paraId="6FB274A0"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Región 4 que comprende los Estados de Nuevo León, Tamaulipas y Coahuila, excluyendo los Municipios de Torreón, Francisco I. Madero, Matamoros, San Pedro y Viesca.</w:t>
            </w:r>
          </w:p>
        </w:tc>
      </w:tr>
      <w:tr w:rsidR="00254DE9" w:rsidRPr="006E23DE" w14:paraId="18E8607F" w14:textId="77777777" w:rsidTr="00221B21">
        <w:trPr>
          <w:jc w:val="center"/>
        </w:trPr>
        <w:tc>
          <w:tcPr>
            <w:tcW w:w="1827" w:type="dxa"/>
          </w:tcPr>
          <w:p w14:paraId="707FAFA0"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Segmento inferior:</w:t>
            </w:r>
          </w:p>
          <w:p w14:paraId="6D8188E7"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Segmento superior:</w:t>
            </w:r>
          </w:p>
        </w:tc>
        <w:tc>
          <w:tcPr>
            <w:tcW w:w="1417" w:type="dxa"/>
          </w:tcPr>
          <w:p w14:paraId="1D6E08D2"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3450-3475 MHz</w:t>
            </w:r>
          </w:p>
          <w:p w14:paraId="2155205B"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3550-3575 MHz</w:t>
            </w:r>
          </w:p>
        </w:tc>
        <w:tc>
          <w:tcPr>
            <w:tcW w:w="1134" w:type="dxa"/>
          </w:tcPr>
          <w:p w14:paraId="59C70226" w14:textId="77777777" w:rsidR="00254DE9" w:rsidRPr="006E23DE" w:rsidRDefault="00254DE9" w:rsidP="006E23DE">
            <w:pPr>
              <w:spacing w:after="0" w:line="240" w:lineRule="auto"/>
              <w:jc w:val="center"/>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50 MHz</w:t>
            </w:r>
          </w:p>
        </w:tc>
        <w:tc>
          <w:tcPr>
            <w:tcW w:w="3697" w:type="dxa"/>
          </w:tcPr>
          <w:p w14:paraId="42AA4365"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Región 5 que comprende los Estados de Campeche, Chiapas, Quintana Roo, Tabasco y Yucatán.</w:t>
            </w:r>
          </w:p>
        </w:tc>
      </w:tr>
      <w:tr w:rsidR="00254DE9" w:rsidRPr="006E23DE" w14:paraId="5C5DDB42" w14:textId="77777777" w:rsidTr="00221B21">
        <w:trPr>
          <w:jc w:val="center"/>
        </w:trPr>
        <w:tc>
          <w:tcPr>
            <w:tcW w:w="1827" w:type="dxa"/>
          </w:tcPr>
          <w:p w14:paraId="25CAA3B5"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Segmento inferior:</w:t>
            </w:r>
          </w:p>
          <w:p w14:paraId="69F719BD"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Segmento superior:</w:t>
            </w:r>
          </w:p>
        </w:tc>
        <w:tc>
          <w:tcPr>
            <w:tcW w:w="1417" w:type="dxa"/>
          </w:tcPr>
          <w:p w14:paraId="47A35056"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3450-3475 MHz</w:t>
            </w:r>
          </w:p>
          <w:p w14:paraId="5F4DC390"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3550-3575 MHz</w:t>
            </w:r>
          </w:p>
        </w:tc>
        <w:tc>
          <w:tcPr>
            <w:tcW w:w="1134" w:type="dxa"/>
          </w:tcPr>
          <w:p w14:paraId="455460BA" w14:textId="77777777" w:rsidR="00254DE9" w:rsidRPr="006E23DE" w:rsidRDefault="00254DE9" w:rsidP="006E23DE">
            <w:pPr>
              <w:spacing w:after="0" w:line="240" w:lineRule="auto"/>
              <w:jc w:val="center"/>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50 MHz</w:t>
            </w:r>
          </w:p>
        </w:tc>
        <w:tc>
          <w:tcPr>
            <w:tcW w:w="3697" w:type="dxa"/>
          </w:tcPr>
          <w:p w14:paraId="510F8B3F"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Región 6 que comprende los Estados de Colima, Michoacán, Nayarit y Jalisco, excluyendo los siguientes Municipios de Jalisco: Huejúcar, Santa María de los Ángeles, Colotlán, Teocaltiche, Huejuquilla el Alto, Mezquitic, Villa Guerrero, Bolaños, Lagos de Moreno, Villa Hidalgo, Ojuelos de Jalisco y Encarnación de Díaz.</w:t>
            </w:r>
          </w:p>
        </w:tc>
      </w:tr>
      <w:tr w:rsidR="00254DE9" w:rsidRPr="006E23DE" w14:paraId="22362FAC" w14:textId="77777777" w:rsidTr="00221B21">
        <w:trPr>
          <w:jc w:val="center"/>
        </w:trPr>
        <w:tc>
          <w:tcPr>
            <w:tcW w:w="1827" w:type="dxa"/>
          </w:tcPr>
          <w:p w14:paraId="17B157FC"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lastRenderedPageBreak/>
              <w:t>Segmento inferior:</w:t>
            </w:r>
          </w:p>
          <w:p w14:paraId="09890C55"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Segmento superior:</w:t>
            </w:r>
          </w:p>
        </w:tc>
        <w:tc>
          <w:tcPr>
            <w:tcW w:w="1417" w:type="dxa"/>
          </w:tcPr>
          <w:p w14:paraId="69AACBAE"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3450-3475 MHz</w:t>
            </w:r>
          </w:p>
          <w:p w14:paraId="5854B1E5"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3550-3575 MHz</w:t>
            </w:r>
          </w:p>
        </w:tc>
        <w:tc>
          <w:tcPr>
            <w:tcW w:w="1134" w:type="dxa"/>
          </w:tcPr>
          <w:p w14:paraId="4439764F" w14:textId="77777777" w:rsidR="00254DE9" w:rsidRPr="006E23DE" w:rsidRDefault="00254DE9" w:rsidP="006E23DE">
            <w:pPr>
              <w:spacing w:after="0" w:line="240" w:lineRule="auto"/>
              <w:jc w:val="center"/>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50 MHz</w:t>
            </w:r>
          </w:p>
        </w:tc>
        <w:tc>
          <w:tcPr>
            <w:tcW w:w="3697" w:type="dxa"/>
          </w:tcPr>
          <w:p w14:paraId="6B7C7F8D"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Región 7 que comprende los Estados de Aguascalientes, Guanajuato, Querétaro, San Luis Potosí y Zacatecas y los siguientes Municipios de Jalisco: Huejúcar, Santa María de los Ángeles, Colotlán, Teocaltiche, Huejuquilla el Alto, Mezquitic, Villa Guerrero, Bolaños, Lagos de Moreno, Villa Hidalgo, Ojuelos de Jalisco y Encarnación de Díaz.</w:t>
            </w:r>
          </w:p>
        </w:tc>
      </w:tr>
      <w:tr w:rsidR="00254DE9" w:rsidRPr="006E23DE" w14:paraId="5134D1F5" w14:textId="77777777" w:rsidTr="00221B21">
        <w:trPr>
          <w:jc w:val="center"/>
        </w:trPr>
        <w:tc>
          <w:tcPr>
            <w:tcW w:w="1827" w:type="dxa"/>
          </w:tcPr>
          <w:p w14:paraId="13CF9F3F"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Segmento inferior:</w:t>
            </w:r>
          </w:p>
          <w:p w14:paraId="1F1CEB7C"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Segmento superior:</w:t>
            </w:r>
          </w:p>
        </w:tc>
        <w:tc>
          <w:tcPr>
            <w:tcW w:w="1417" w:type="dxa"/>
          </w:tcPr>
          <w:p w14:paraId="3382C558"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3450-3475 MHz</w:t>
            </w:r>
          </w:p>
          <w:p w14:paraId="3AD99DE1"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3550-3575 MHz</w:t>
            </w:r>
          </w:p>
        </w:tc>
        <w:tc>
          <w:tcPr>
            <w:tcW w:w="1134" w:type="dxa"/>
          </w:tcPr>
          <w:p w14:paraId="498AA392" w14:textId="77777777" w:rsidR="00254DE9" w:rsidRPr="006E23DE" w:rsidRDefault="00254DE9" w:rsidP="006E23DE">
            <w:pPr>
              <w:spacing w:after="0" w:line="240" w:lineRule="auto"/>
              <w:jc w:val="center"/>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50 MHz</w:t>
            </w:r>
          </w:p>
        </w:tc>
        <w:tc>
          <w:tcPr>
            <w:tcW w:w="3697" w:type="dxa"/>
          </w:tcPr>
          <w:p w14:paraId="66B1E1EB"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Región 8 que comprende los Estados de Guerrero, Oaxaca, Puebla, Tlaxcala y Veracruz.</w:t>
            </w:r>
          </w:p>
        </w:tc>
      </w:tr>
      <w:tr w:rsidR="00254DE9" w:rsidRPr="006E23DE" w14:paraId="3F985F5C" w14:textId="77777777" w:rsidTr="00221B21">
        <w:trPr>
          <w:jc w:val="center"/>
        </w:trPr>
        <w:tc>
          <w:tcPr>
            <w:tcW w:w="1827" w:type="dxa"/>
          </w:tcPr>
          <w:p w14:paraId="726778D2"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Segmento inferior:</w:t>
            </w:r>
          </w:p>
          <w:p w14:paraId="069301CF"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Segmento superior:</w:t>
            </w:r>
          </w:p>
        </w:tc>
        <w:tc>
          <w:tcPr>
            <w:tcW w:w="1417" w:type="dxa"/>
          </w:tcPr>
          <w:p w14:paraId="50B91CDE"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3450-3475 MHz</w:t>
            </w:r>
          </w:p>
          <w:p w14:paraId="6895531A"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3550-3575 MHz</w:t>
            </w:r>
          </w:p>
        </w:tc>
        <w:tc>
          <w:tcPr>
            <w:tcW w:w="1134" w:type="dxa"/>
          </w:tcPr>
          <w:p w14:paraId="43A20036" w14:textId="77777777" w:rsidR="00254DE9" w:rsidRPr="006E23DE" w:rsidRDefault="00254DE9" w:rsidP="006E23DE">
            <w:pPr>
              <w:spacing w:after="0" w:line="240" w:lineRule="auto"/>
              <w:jc w:val="center"/>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50 MHz</w:t>
            </w:r>
          </w:p>
        </w:tc>
        <w:tc>
          <w:tcPr>
            <w:tcW w:w="3697" w:type="dxa"/>
          </w:tcPr>
          <w:p w14:paraId="38EEE372" w14:textId="77777777" w:rsidR="00254DE9" w:rsidRPr="006E23DE" w:rsidRDefault="00254DE9" w:rsidP="006E23DE">
            <w:pPr>
              <w:spacing w:after="0" w:line="240" w:lineRule="auto"/>
              <w:jc w:val="both"/>
              <w:rPr>
                <w:rFonts w:ascii="ITC Avant Garde" w:hAnsi="ITC Avant Garde"/>
                <w:bCs/>
                <w:color w:val="000000"/>
                <w:sz w:val="16"/>
                <w:szCs w:val="16"/>
                <w:lang w:eastAsia="es-MX"/>
              </w:rPr>
            </w:pPr>
            <w:r w:rsidRPr="006E23DE">
              <w:rPr>
                <w:rFonts w:ascii="ITC Avant Garde" w:hAnsi="ITC Avant Garde"/>
                <w:bCs/>
                <w:color w:val="000000"/>
                <w:sz w:val="16"/>
                <w:szCs w:val="16"/>
                <w:lang w:eastAsia="es-MX"/>
              </w:rPr>
              <w:t>Región 9 que comprende el Distrito Federal (ahora Ciudad de México) y los Estados de México, Hidalgo y Morelos.</w:t>
            </w:r>
          </w:p>
        </w:tc>
      </w:tr>
    </w:tbl>
    <w:p w14:paraId="0D239F8F" w14:textId="77777777" w:rsidR="00221B21" w:rsidRPr="006E23DE" w:rsidRDefault="00883D7F" w:rsidP="006E23DE">
      <w:pPr>
        <w:numPr>
          <w:ilvl w:val="0"/>
          <w:numId w:val="1"/>
        </w:numPr>
        <w:spacing w:before="240" w:after="240" w:line="240" w:lineRule="auto"/>
        <w:jc w:val="both"/>
        <w:rPr>
          <w:rFonts w:ascii="ITC Avant Garde" w:hAnsi="ITC Avant Garde"/>
          <w:b/>
          <w:bCs/>
          <w:color w:val="000000"/>
          <w:lang w:eastAsia="es-MX"/>
        </w:rPr>
      </w:pPr>
      <w:r w:rsidRPr="006E23DE">
        <w:rPr>
          <w:rFonts w:ascii="ITC Avant Garde" w:hAnsi="ITC Avant Garde"/>
          <w:b/>
          <w:bCs/>
          <w:color w:val="000000"/>
          <w:lang w:eastAsia="es-MX"/>
        </w:rPr>
        <w:t xml:space="preserve">Otorgamiento de la </w:t>
      </w:r>
      <w:r w:rsidR="00E70585" w:rsidRPr="006E23DE">
        <w:rPr>
          <w:rFonts w:ascii="ITC Avant Garde" w:hAnsi="ITC Avant Garde"/>
          <w:b/>
          <w:bCs/>
          <w:color w:val="000000"/>
          <w:lang w:eastAsia="es-MX"/>
        </w:rPr>
        <w:t xml:space="preserve">Concesión de Red. </w:t>
      </w:r>
      <w:r w:rsidR="00254DE9" w:rsidRPr="006E23DE">
        <w:rPr>
          <w:rFonts w:ascii="ITC Avant Garde" w:hAnsi="ITC Avant Garde"/>
          <w:bCs/>
          <w:color w:val="000000"/>
          <w:lang w:eastAsia="es-MX"/>
        </w:rPr>
        <w:t>Como consecuencia</w:t>
      </w:r>
      <w:r w:rsidR="00254DE9" w:rsidRPr="006E23DE">
        <w:rPr>
          <w:rFonts w:ascii="ITC Avant Garde" w:hAnsi="ITC Avant Garde"/>
          <w:b/>
          <w:bCs/>
          <w:color w:val="000000"/>
          <w:lang w:eastAsia="es-MX"/>
        </w:rPr>
        <w:t xml:space="preserve"> </w:t>
      </w:r>
      <w:r w:rsidR="00254DE9" w:rsidRPr="006E23DE">
        <w:rPr>
          <w:rFonts w:ascii="ITC Avant Garde" w:hAnsi="ITC Avant Garde"/>
          <w:bCs/>
          <w:color w:val="000000"/>
          <w:lang w:eastAsia="es-MX"/>
        </w:rPr>
        <w:t>del otorgamiento de las Concesiones de Bandas y en atención a lo establecido por el artículo 18 de la abrogada Ley Federal de Telecomunicaciones (“LFT”), e</w:t>
      </w:r>
      <w:r w:rsidR="00AA2645" w:rsidRPr="006E23DE">
        <w:rPr>
          <w:rFonts w:ascii="ITC Avant Garde" w:hAnsi="ITC Avant Garde"/>
          <w:bCs/>
          <w:color w:val="000000"/>
          <w:lang w:eastAsia="es-MX"/>
        </w:rPr>
        <w:t>l</w:t>
      </w:r>
      <w:r w:rsidR="00E70585" w:rsidRPr="006E23DE">
        <w:rPr>
          <w:rFonts w:ascii="ITC Avant Garde" w:hAnsi="ITC Avant Garde"/>
          <w:bCs/>
          <w:color w:val="000000"/>
          <w:lang w:eastAsia="es-MX"/>
        </w:rPr>
        <w:t xml:space="preserve"> </w:t>
      </w:r>
      <w:r w:rsidR="00795B41" w:rsidRPr="006E23DE">
        <w:rPr>
          <w:rFonts w:ascii="ITC Avant Garde" w:hAnsi="ITC Avant Garde"/>
          <w:bCs/>
          <w:color w:val="000000"/>
          <w:lang w:eastAsia="es-MX"/>
        </w:rPr>
        <w:t>28</w:t>
      </w:r>
      <w:r w:rsidR="00E70585" w:rsidRPr="006E23DE">
        <w:rPr>
          <w:rFonts w:ascii="ITC Avant Garde" w:hAnsi="ITC Avant Garde"/>
          <w:bCs/>
          <w:color w:val="000000"/>
          <w:lang w:eastAsia="es-MX"/>
        </w:rPr>
        <w:t xml:space="preserve"> de </w:t>
      </w:r>
      <w:r w:rsidR="00795B41" w:rsidRPr="006E23DE">
        <w:rPr>
          <w:rFonts w:ascii="ITC Avant Garde" w:hAnsi="ITC Avant Garde"/>
          <w:bCs/>
          <w:color w:val="000000"/>
          <w:lang w:eastAsia="es-MX"/>
        </w:rPr>
        <w:t>octubre</w:t>
      </w:r>
      <w:r w:rsidR="00E70585" w:rsidRPr="006E23DE">
        <w:rPr>
          <w:rFonts w:ascii="ITC Avant Garde" w:hAnsi="ITC Avant Garde"/>
          <w:bCs/>
          <w:color w:val="000000"/>
          <w:lang w:eastAsia="es-MX"/>
        </w:rPr>
        <w:t xml:space="preserve"> de </w:t>
      </w:r>
      <w:r w:rsidR="00795B41" w:rsidRPr="006E23DE">
        <w:rPr>
          <w:rFonts w:ascii="ITC Avant Garde" w:hAnsi="ITC Avant Garde"/>
          <w:bCs/>
          <w:color w:val="000000"/>
          <w:lang w:eastAsia="es-MX"/>
        </w:rPr>
        <w:t>1998</w:t>
      </w:r>
      <w:r w:rsidR="00E70585" w:rsidRPr="006E23DE">
        <w:rPr>
          <w:rFonts w:ascii="ITC Avant Garde" w:hAnsi="ITC Avant Garde"/>
          <w:bCs/>
          <w:color w:val="000000"/>
          <w:lang w:eastAsia="es-MX"/>
        </w:rPr>
        <w:t>, la Secretaría</w:t>
      </w:r>
      <w:r w:rsidR="00A82774" w:rsidRPr="006E23DE">
        <w:rPr>
          <w:rFonts w:ascii="ITC Avant Garde" w:hAnsi="ITC Avant Garde"/>
          <w:bCs/>
          <w:color w:val="000000"/>
          <w:lang w:eastAsia="es-MX"/>
        </w:rPr>
        <w:t xml:space="preserve"> </w:t>
      </w:r>
      <w:r w:rsidR="00E70585" w:rsidRPr="006E23DE">
        <w:rPr>
          <w:rFonts w:ascii="ITC Avant Garde" w:hAnsi="ITC Avant Garde"/>
          <w:bCs/>
          <w:color w:val="000000"/>
          <w:lang w:eastAsia="es-MX"/>
        </w:rPr>
        <w:t xml:space="preserve"> otorgó en favor de </w:t>
      </w:r>
      <w:r w:rsidR="00795B41" w:rsidRPr="006E23DE">
        <w:rPr>
          <w:rFonts w:ascii="ITC Avant Garde" w:hAnsi="ITC Avant Garde"/>
          <w:bCs/>
          <w:color w:val="000000"/>
          <w:lang w:eastAsia="es-MX"/>
        </w:rPr>
        <w:t>Teléfonos de México, S.A. de C.V.</w:t>
      </w:r>
      <w:r w:rsidR="00E70585" w:rsidRPr="006E23DE">
        <w:rPr>
          <w:rFonts w:ascii="ITC Avant Garde" w:hAnsi="ITC Avant Garde"/>
          <w:bCs/>
          <w:color w:val="000000"/>
          <w:lang w:eastAsia="es-MX"/>
        </w:rPr>
        <w:t xml:space="preserve">, un título de concesión para instalar, operar y explotar una red pública de telecomunicaciones </w:t>
      </w:r>
      <w:r w:rsidR="009076DA" w:rsidRPr="006E23DE">
        <w:rPr>
          <w:rFonts w:ascii="ITC Avant Garde" w:hAnsi="ITC Avant Garde"/>
          <w:bCs/>
          <w:color w:val="000000"/>
          <w:lang w:eastAsia="es-MX"/>
        </w:rPr>
        <w:t>para</w:t>
      </w:r>
      <w:r w:rsidR="004C2C75" w:rsidRPr="006E23DE">
        <w:rPr>
          <w:rFonts w:ascii="ITC Avant Garde" w:hAnsi="ITC Avant Garde"/>
          <w:bCs/>
          <w:color w:val="000000"/>
          <w:lang w:eastAsia="es-MX"/>
        </w:rPr>
        <w:t xml:space="preserve"> prestar l</w:t>
      </w:r>
      <w:r w:rsidR="00795B41" w:rsidRPr="006E23DE">
        <w:rPr>
          <w:rFonts w:ascii="ITC Avant Garde" w:hAnsi="ITC Avant Garde"/>
          <w:bCs/>
          <w:color w:val="000000"/>
          <w:lang w:eastAsia="es-MX"/>
        </w:rPr>
        <w:t>os</w:t>
      </w:r>
      <w:r w:rsidR="004C2C75" w:rsidRPr="006E23DE">
        <w:rPr>
          <w:rFonts w:ascii="ITC Avant Garde" w:hAnsi="ITC Avant Garde"/>
          <w:bCs/>
          <w:color w:val="000000"/>
          <w:lang w:eastAsia="es-MX"/>
        </w:rPr>
        <w:t xml:space="preserve"> servicio</w:t>
      </w:r>
      <w:r w:rsidR="00795B41" w:rsidRPr="006E23DE">
        <w:rPr>
          <w:rFonts w:ascii="ITC Avant Garde" w:hAnsi="ITC Avant Garde"/>
          <w:bCs/>
          <w:color w:val="000000"/>
          <w:lang w:eastAsia="es-MX"/>
        </w:rPr>
        <w:t>s</w:t>
      </w:r>
      <w:r w:rsidR="004C2C75" w:rsidRPr="006E23DE">
        <w:rPr>
          <w:rFonts w:ascii="ITC Avant Garde" w:hAnsi="ITC Avant Garde"/>
          <w:bCs/>
          <w:color w:val="000000"/>
          <w:lang w:eastAsia="es-MX"/>
        </w:rPr>
        <w:t xml:space="preserve"> a que se refiere el Anexo de dicha concesión, en los términos y condiciones ahí indicados,</w:t>
      </w:r>
      <w:r w:rsidR="00E70585" w:rsidRPr="006E23DE">
        <w:rPr>
          <w:rFonts w:ascii="ITC Avant Garde" w:hAnsi="ITC Avant Garde"/>
          <w:bCs/>
          <w:color w:val="000000"/>
          <w:lang w:eastAsia="es-MX"/>
        </w:rPr>
        <w:t xml:space="preserve"> con una vigencia de 20 (veinte) años contados a partir de la fecha</w:t>
      </w:r>
      <w:r w:rsidR="00795B41" w:rsidRPr="006E23DE">
        <w:rPr>
          <w:rFonts w:ascii="ITC Avant Garde" w:hAnsi="ITC Avant Garde"/>
          <w:bCs/>
          <w:color w:val="000000"/>
          <w:lang w:eastAsia="es-MX"/>
        </w:rPr>
        <w:t xml:space="preserve"> en que el </w:t>
      </w:r>
      <w:r w:rsidR="00C359C9" w:rsidRPr="006E23DE">
        <w:rPr>
          <w:rFonts w:ascii="ITC Avant Garde" w:hAnsi="ITC Avant Garde"/>
          <w:bCs/>
          <w:color w:val="000000"/>
          <w:lang w:eastAsia="es-MX"/>
        </w:rPr>
        <w:t>c</w:t>
      </w:r>
      <w:r w:rsidR="00795B41" w:rsidRPr="006E23DE">
        <w:rPr>
          <w:rFonts w:ascii="ITC Avant Garde" w:hAnsi="ITC Avant Garde"/>
          <w:bCs/>
          <w:color w:val="000000"/>
          <w:lang w:eastAsia="es-MX"/>
        </w:rPr>
        <w:t xml:space="preserve">oncesionario iniciara operaciones comerciales o de explotación de la </w:t>
      </w:r>
      <w:r w:rsidR="004218A1" w:rsidRPr="006E23DE">
        <w:rPr>
          <w:rFonts w:ascii="ITC Avant Garde" w:hAnsi="ITC Avant Garde"/>
          <w:bCs/>
          <w:color w:val="000000"/>
          <w:lang w:eastAsia="es-MX"/>
        </w:rPr>
        <w:t>R</w:t>
      </w:r>
      <w:r w:rsidR="00795B41" w:rsidRPr="006E23DE">
        <w:rPr>
          <w:rFonts w:ascii="ITC Avant Garde" w:hAnsi="ITC Avant Garde"/>
          <w:bCs/>
          <w:color w:val="000000"/>
          <w:lang w:eastAsia="es-MX"/>
        </w:rPr>
        <w:t>ed, de conformidad con lo establecido en el numeral A.3. del Anexo A</w:t>
      </w:r>
      <w:r w:rsidR="00646DB6" w:rsidRPr="006E23DE">
        <w:rPr>
          <w:rFonts w:ascii="ITC Avant Garde" w:hAnsi="ITC Avant Garde"/>
          <w:bCs/>
          <w:color w:val="000000"/>
          <w:lang w:eastAsia="es-MX"/>
        </w:rPr>
        <w:t xml:space="preserve"> </w:t>
      </w:r>
      <w:r w:rsidR="00BA36E9" w:rsidRPr="006E23DE">
        <w:rPr>
          <w:rFonts w:ascii="ITC Avant Garde" w:hAnsi="ITC Avant Garde"/>
          <w:bCs/>
          <w:color w:val="000000"/>
          <w:lang w:eastAsia="es-MX"/>
        </w:rPr>
        <w:t xml:space="preserve">del propio título de concesión señalado </w:t>
      </w:r>
      <w:r w:rsidR="00646DB6" w:rsidRPr="006E23DE">
        <w:rPr>
          <w:rFonts w:ascii="ITC Avant Garde" w:hAnsi="ITC Avant Garde"/>
          <w:bCs/>
          <w:color w:val="000000"/>
          <w:lang w:eastAsia="es-MX"/>
        </w:rPr>
        <w:t>(la “Concesión de Red”)</w:t>
      </w:r>
      <w:r w:rsidR="00E70585" w:rsidRPr="006E23DE">
        <w:rPr>
          <w:rFonts w:ascii="ITC Avant Garde" w:hAnsi="ITC Avant Garde"/>
          <w:bCs/>
          <w:color w:val="000000"/>
          <w:lang w:eastAsia="es-MX"/>
        </w:rPr>
        <w:t>.</w:t>
      </w:r>
    </w:p>
    <w:p w14:paraId="450363EF" w14:textId="77777777" w:rsidR="00221B21" w:rsidRPr="006E23DE" w:rsidRDefault="00646DB6" w:rsidP="006E23DE">
      <w:pPr>
        <w:spacing w:after="240" w:line="240" w:lineRule="auto"/>
        <w:ind w:left="720"/>
        <w:jc w:val="both"/>
        <w:rPr>
          <w:rFonts w:ascii="ITC Avant Garde" w:hAnsi="ITC Avant Garde"/>
          <w:bCs/>
          <w:color w:val="000000"/>
          <w:lang w:eastAsia="es-MX"/>
        </w:rPr>
      </w:pPr>
      <w:r w:rsidRPr="006E23DE">
        <w:rPr>
          <w:rFonts w:ascii="ITC Avant Garde" w:hAnsi="ITC Avant Garde"/>
          <w:bCs/>
          <w:color w:val="000000"/>
          <w:lang w:eastAsia="es-MX"/>
        </w:rPr>
        <w:t xml:space="preserve">Así, </w:t>
      </w:r>
      <w:r w:rsidR="00795B41" w:rsidRPr="006E23DE">
        <w:rPr>
          <w:rFonts w:ascii="ITC Avant Garde" w:hAnsi="ITC Avant Garde"/>
          <w:bCs/>
          <w:color w:val="000000"/>
          <w:lang w:eastAsia="es-MX"/>
        </w:rPr>
        <w:t xml:space="preserve">los servicios autorizados </w:t>
      </w:r>
      <w:r w:rsidR="00383C5D" w:rsidRPr="006E23DE">
        <w:rPr>
          <w:rFonts w:ascii="ITC Avant Garde" w:hAnsi="ITC Avant Garde"/>
          <w:bCs/>
          <w:color w:val="000000"/>
          <w:lang w:eastAsia="es-MX"/>
        </w:rPr>
        <w:t xml:space="preserve">a Teléfonos de México, S.A. de C.V. </w:t>
      </w:r>
      <w:r w:rsidR="00795B41" w:rsidRPr="006E23DE">
        <w:rPr>
          <w:rFonts w:ascii="ITC Avant Garde" w:hAnsi="ITC Avant Garde"/>
          <w:bCs/>
          <w:color w:val="000000"/>
          <w:lang w:eastAsia="es-MX"/>
        </w:rPr>
        <w:t xml:space="preserve">en </w:t>
      </w:r>
      <w:r w:rsidRPr="006E23DE">
        <w:rPr>
          <w:rFonts w:ascii="ITC Avant Garde" w:hAnsi="ITC Avant Garde"/>
          <w:bCs/>
          <w:color w:val="000000"/>
          <w:lang w:eastAsia="es-MX"/>
        </w:rPr>
        <w:t>l</w:t>
      </w:r>
      <w:r w:rsidR="004C2C75" w:rsidRPr="006E23DE">
        <w:rPr>
          <w:rFonts w:ascii="ITC Avant Garde" w:hAnsi="ITC Avant Garde"/>
          <w:bCs/>
          <w:color w:val="000000"/>
          <w:lang w:eastAsia="es-MX"/>
        </w:rPr>
        <w:t>a C</w:t>
      </w:r>
      <w:r w:rsidR="008D6851" w:rsidRPr="006E23DE">
        <w:rPr>
          <w:rFonts w:ascii="ITC Avant Garde" w:hAnsi="ITC Avant Garde"/>
          <w:bCs/>
          <w:color w:val="000000"/>
          <w:lang w:eastAsia="es-MX"/>
        </w:rPr>
        <w:t xml:space="preserve">ondición </w:t>
      </w:r>
      <w:r w:rsidRPr="006E23DE">
        <w:rPr>
          <w:rFonts w:ascii="ITC Avant Garde" w:hAnsi="ITC Avant Garde"/>
          <w:bCs/>
          <w:color w:val="000000"/>
          <w:lang w:eastAsia="es-MX"/>
        </w:rPr>
        <w:t>A.</w:t>
      </w:r>
      <w:r w:rsidR="008D6851" w:rsidRPr="006E23DE">
        <w:rPr>
          <w:rFonts w:ascii="ITC Avant Garde" w:hAnsi="ITC Avant Garde"/>
          <w:bCs/>
          <w:color w:val="000000"/>
          <w:lang w:eastAsia="es-MX"/>
        </w:rPr>
        <w:t>2</w:t>
      </w:r>
      <w:r w:rsidRPr="006E23DE">
        <w:rPr>
          <w:rFonts w:ascii="ITC Avant Garde" w:hAnsi="ITC Avant Garde"/>
          <w:bCs/>
          <w:color w:val="000000"/>
          <w:lang w:eastAsia="es-MX"/>
        </w:rPr>
        <w:t>. del Anexo A</w:t>
      </w:r>
      <w:r w:rsidR="008D6851" w:rsidRPr="006E23DE">
        <w:rPr>
          <w:rFonts w:ascii="ITC Avant Garde" w:hAnsi="ITC Avant Garde"/>
          <w:bCs/>
          <w:color w:val="000000"/>
          <w:lang w:eastAsia="es-MX"/>
        </w:rPr>
        <w:t xml:space="preserve"> de la Concesión de </w:t>
      </w:r>
      <w:r w:rsidRPr="006E23DE">
        <w:rPr>
          <w:rFonts w:ascii="ITC Avant Garde" w:hAnsi="ITC Avant Garde"/>
          <w:bCs/>
          <w:color w:val="000000"/>
          <w:lang w:eastAsia="es-MX"/>
        </w:rPr>
        <w:t xml:space="preserve">Red, </w:t>
      </w:r>
      <w:r w:rsidR="00383C5D" w:rsidRPr="006E23DE">
        <w:rPr>
          <w:rFonts w:ascii="ITC Avant Garde" w:hAnsi="ITC Avant Garde"/>
          <w:bCs/>
          <w:color w:val="000000"/>
          <w:lang w:eastAsia="es-MX"/>
        </w:rPr>
        <w:t>son los siguientes: 1)</w:t>
      </w:r>
      <w:r w:rsidR="00CC5DCC" w:rsidRPr="006E23DE">
        <w:rPr>
          <w:rFonts w:ascii="ITC Avant Garde" w:hAnsi="ITC Avant Garde"/>
          <w:bCs/>
          <w:color w:val="000000"/>
          <w:lang w:eastAsia="es-MX"/>
        </w:rPr>
        <w:t xml:space="preserve"> </w:t>
      </w:r>
      <w:r w:rsidRPr="006E23DE">
        <w:rPr>
          <w:rFonts w:ascii="ITC Avant Garde" w:hAnsi="ITC Avant Garde"/>
          <w:bCs/>
          <w:color w:val="000000"/>
          <w:lang w:eastAsia="es-MX"/>
        </w:rPr>
        <w:t xml:space="preserve">la prestación del servicio </w:t>
      </w:r>
      <w:r w:rsidR="00795B41" w:rsidRPr="006E23DE">
        <w:rPr>
          <w:rFonts w:ascii="ITC Avant Garde" w:hAnsi="ITC Avant Garde"/>
          <w:bCs/>
          <w:color w:val="000000"/>
          <w:lang w:eastAsia="es-MX"/>
        </w:rPr>
        <w:t xml:space="preserve">local de telefonía inalámbrica fija o móvil; </w:t>
      </w:r>
      <w:r w:rsidR="00383C5D" w:rsidRPr="006E23DE">
        <w:rPr>
          <w:rFonts w:ascii="ITC Avant Garde" w:hAnsi="ITC Avant Garde"/>
          <w:bCs/>
          <w:color w:val="000000"/>
          <w:lang w:eastAsia="es-MX"/>
        </w:rPr>
        <w:t>2) la comercialización de la capacidad de la Red para la emisión, transmisión o recepción de signos, señales, escritos, imágenes, voz, sonidos o información de cualquier naturaleza, y 3) el acceso a redes de datos, video, audio y videoconferencia.</w:t>
      </w:r>
    </w:p>
    <w:p w14:paraId="426481D3" w14:textId="77777777" w:rsidR="00221B21" w:rsidRPr="006E23DE" w:rsidRDefault="004218A1" w:rsidP="006E23DE">
      <w:pPr>
        <w:spacing w:after="240" w:line="240" w:lineRule="auto"/>
        <w:ind w:left="720"/>
        <w:jc w:val="both"/>
        <w:rPr>
          <w:rFonts w:ascii="ITC Avant Garde" w:hAnsi="ITC Avant Garde"/>
          <w:bCs/>
          <w:color w:val="000000"/>
          <w:lang w:eastAsia="es-MX"/>
        </w:rPr>
      </w:pPr>
      <w:r w:rsidRPr="006E23DE">
        <w:rPr>
          <w:rFonts w:ascii="ITC Avant Garde" w:hAnsi="ITC Avant Garde"/>
          <w:bCs/>
          <w:color w:val="000000"/>
          <w:lang w:eastAsia="es-MX"/>
        </w:rPr>
        <w:t>Por su parte, la Condición A.3. del citado Anexo, estableció que Teléfonos de México, S.A. de C.V. debía iniciar operaciones comerciales o de explotación de la Red</w:t>
      </w:r>
      <w:r w:rsidR="00516AE9" w:rsidRPr="006E23DE">
        <w:rPr>
          <w:rFonts w:ascii="ITC Avant Garde" w:hAnsi="ITC Avant Garde"/>
          <w:bCs/>
          <w:color w:val="000000"/>
          <w:lang w:eastAsia="es-MX"/>
        </w:rPr>
        <w:t>, hasta que transcurriera un plazo de por lo menos 24 (veinticuatro) meses contados a partir del otorgamiento de la concesión, en las regiones 1, 2, 3, 4, 5, 6, 7, 8 y 9.</w:t>
      </w:r>
    </w:p>
    <w:p w14:paraId="2474B485" w14:textId="77777777" w:rsidR="00221B21" w:rsidRPr="006E23DE" w:rsidRDefault="0012309A" w:rsidP="006E23DE">
      <w:pPr>
        <w:numPr>
          <w:ilvl w:val="0"/>
          <w:numId w:val="1"/>
        </w:numPr>
        <w:spacing w:after="240" w:line="240" w:lineRule="auto"/>
        <w:jc w:val="both"/>
        <w:rPr>
          <w:rFonts w:ascii="ITC Avant Garde" w:hAnsi="ITC Avant Garde"/>
          <w:bCs/>
          <w:color w:val="000000"/>
          <w:lang w:eastAsia="es-MX"/>
        </w:rPr>
      </w:pPr>
      <w:r w:rsidRPr="006E23DE">
        <w:rPr>
          <w:rFonts w:ascii="ITC Avant Garde" w:hAnsi="ITC Avant Garde"/>
          <w:b/>
          <w:bCs/>
          <w:color w:val="000000"/>
          <w:lang w:eastAsia="es-MX"/>
        </w:rPr>
        <w:t>Cambio de régimen jurídico.</w:t>
      </w:r>
      <w:r w:rsidRPr="006E23DE">
        <w:rPr>
          <w:rFonts w:ascii="ITC Avant Garde" w:hAnsi="ITC Avant Garde"/>
          <w:bCs/>
          <w:color w:val="000000"/>
          <w:lang w:eastAsia="es-MX"/>
        </w:rPr>
        <w:t xml:space="preserve"> </w:t>
      </w:r>
      <w:r w:rsidR="00667582" w:rsidRPr="006E23DE">
        <w:rPr>
          <w:rFonts w:ascii="ITC Avant Garde" w:hAnsi="ITC Avant Garde"/>
          <w:bCs/>
          <w:color w:val="000000"/>
          <w:lang w:eastAsia="es-MX"/>
        </w:rPr>
        <w:t>Con oficio 2.1.102.-3749 de fecha 6 de noviembre de 2007, la Secretaría autorizó a Teléfonos de México, S.A. de C.V. diversas reformas a sus estatutos sociales y al cambio de su régimen jurídico, para quedar como Teléfonos de México, S.A.B. de C.V. (</w:t>
      </w:r>
      <w:r w:rsidR="00852F18" w:rsidRPr="006E23DE">
        <w:rPr>
          <w:rFonts w:ascii="ITC Avant Garde" w:hAnsi="ITC Avant Garde"/>
          <w:bCs/>
          <w:color w:val="000000"/>
          <w:lang w:eastAsia="es-MX"/>
        </w:rPr>
        <w:t>“</w:t>
      </w:r>
      <w:r w:rsidR="00667582" w:rsidRPr="006E23DE">
        <w:rPr>
          <w:rFonts w:ascii="ITC Avant Garde" w:hAnsi="ITC Avant Garde"/>
          <w:bCs/>
          <w:color w:val="000000"/>
          <w:lang w:eastAsia="es-MX"/>
        </w:rPr>
        <w:t>Telmex</w:t>
      </w:r>
      <w:r w:rsidR="00852F18" w:rsidRPr="006E23DE">
        <w:rPr>
          <w:rFonts w:ascii="ITC Avant Garde" w:hAnsi="ITC Avant Garde"/>
          <w:bCs/>
          <w:color w:val="000000"/>
          <w:lang w:eastAsia="es-MX"/>
        </w:rPr>
        <w:t>”</w:t>
      </w:r>
      <w:r w:rsidR="00667582" w:rsidRPr="006E23DE">
        <w:rPr>
          <w:rFonts w:ascii="ITC Avant Garde" w:hAnsi="ITC Avant Garde"/>
          <w:bCs/>
          <w:color w:val="000000"/>
          <w:lang w:eastAsia="es-MX"/>
        </w:rPr>
        <w:t>).</w:t>
      </w:r>
    </w:p>
    <w:p w14:paraId="660EA4C6" w14:textId="77777777" w:rsidR="00221B21" w:rsidRPr="006E23DE" w:rsidRDefault="00B7256C" w:rsidP="006E23DE">
      <w:pPr>
        <w:numPr>
          <w:ilvl w:val="0"/>
          <w:numId w:val="1"/>
        </w:numPr>
        <w:spacing w:after="240" w:line="240" w:lineRule="auto"/>
        <w:jc w:val="both"/>
        <w:rPr>
          <w:rFonts w:ascii="ITC Avant Garde" w:hAnsi="ITC Avant Garde"/>
          <w:bCs/>
          <w:color w:val="000000"/>
          <w:lang w:eastAsia="es-MX"/>
        </w:rPr>
      </w:pPr>
      <w:r w:rsidRPr="006E23DE">
        <w:rPr>
          <w:rFonts w:ascii="ITC Avant Garde" w:hAnsi="ITC Avant Garde"/>
          <w:b/>
          <w:bCs/>
          <w:color w:val="000000"/>
          <w:lang w:eastAsia="es-MX"/>
        </w:rPr>
        <w:t xml:space="preserve">Decreto de Reforma Constitucional. </w:t>
      </w:r>
      <w:r w:rsidRPr="006E23DE">
        <w:rPr>
          <w:rFonts w:ascii="ITC Avant Garde" w:hAnsi="ITC Avant Garde"/>
          <w:bCs/>
          <w:color w:val="000000"/>
          <w:lang w:eastAsia="es-MX"/>
        </w:rPr>
        <w:t xml:space="preserve">Con fecha 11 de junio de 2013, se publicó en el Diario Oficial de la Federación el “Decreto por el que se reforman y adicionan </w:t>
      </w:r>
      <w:r w:rsidRPr="006E23DE">
        <w:rPr>
          <w:rFonts w:ascii="ITC Avant Garde" w:hAnsi="ITC Avant Garde"/>
          <w:bCs/>
          <w:color w:val="000000"/>
          <w:lang w:eastAsia="es-MX"/>
        </w:rPr>
        <w:lastRenderedPageBreak/>
        <w:t xml:space="preserve">diversas disposiciones de los artículos 6o., 7o., 27, 28, 73, 78, 94 y 105 de la Constitución Política de los Estados Unidos Mexicanos, en materia de telecomunicaciones” (el “Decreto de Reforma Constitucional”), mediante el cual se creó el Instituto Federal de Telecomunicaciones </w:t>
      </w:r>
      <w:r w:rsidR="00144FA0" w:rsidRPr="006E23DE">
        <w:rPr>
          <w:rFonts w:ascii="ITC Avant Garde" w:hAnsi="ITC Avant Garde"/>
          <w:bCs/>
          <w:color w:val="000000"/>
          <w:lang w:eastAsia="es-MX"/>
        </w:rPr>
        <w:t>como un órgano autónomo encargado del desarrollo eficiente de la radiodifusión y las telecomunicaciones (el “Instituto”).</w:t>
      </w:r>
    </w:p>
    <w:p w14:paraId="1837D1DC" w14:textId="77777777" w:rsidR="00221B21" w:rsidRPr="006E23DE" w:rsidRDefault="00B7256C" w:rsidP="006E23DE">
      <w:pPr>
        <w:numPr>
          <w:ilvl w:val="0"/>
          <w:numId w:val="1"/>
        </w:numPr>
        <w:spacing w:after="240" w:line="240" w:lineRule="auto"/>
        <w:jc w:val="both"/>
        <w:rPr>
          <w:rFonts w:ascii="ITC Avant Garde" w:hAnsi="ITC Avant Garde"/>
          <w:bCs/>
          <w:color w:val="000000"/>
          <w:lang w:eastAsia="es-MX"/>
        </w:rPr>
      </w:pPr>
      <w:r w:rsidRPr="006E23DE">
        <w:rPr>
          <w:rFonts w:ascii="ITC Avant Garde" w:hAnsi="ITC Avant Garde"/>
          <w:b/>
          <w:bCs/>
          <w:color w:val="000000" w:themeColor="text1"/>
          <w:lang w:eastAsia="es-MX"/>
        </w:rPr>
        <w:t xml:space="preserve">Decreto de Ley. </w:t>
      </w:r>
      <w:r w:rsidRPr="006E23DE">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w:t>
      </w:r>
      <w:r w:rsidR="000C290F" w:rsidRPr="006E23DE">
        <w:rPr>
          <w:rFonts w:ascii="ITC Avant Garde" w:hAnsi="ITC Avant Garde"/>
          <w:bCs/>
          <w:color w:val="000000" w:themeColor="text1"/>
          <w:lang w:eastAsia="es-MX"/>
        </w:rPr>
        <w:t xml:space="preserve"> (el “Decreto de Ley”)</w:t>
      </w:r>
      <w:r w:rsidRPr="006E23DE">
        <w:rPr>
          <w:rFonts w:ascii="ITC Avant Garde" w:hAnsi="ITC Avant Garde"/>
          <w:bCs/>
          <w:color w:val="000000" w:themeColor="text1"/>
          <w:lang w:eastAsia="es-MX"/>
        </w:rPr>
        <w:t xml:space="preserve"> mismo que entró en vigor el 13 de agosto de 2014.</w:t>
      </w:r>
    </w:p>
    <w:p w14:paraId="6AA28DCF" w14:textId="77777777" w:rsidR="00221B21" w:rsidRPr="006E23DE" w:rsidRDefault="00B7256C" w:rsidP="006E23DE">
      <w:pPr>
        <w:numPr>
          <w:ilvl w:val="0"/>
          <w:numId w:val="1"/>
        </w:numPr>
        <w:spacing w:after="240" w:line="240" w:lineRule="auto"/>
        <w:jc w:val="both"/>
        <w:rPr>
          <w:rFonts w:ascii="ITC Avant Garde" w:hAnsi="ITC Avant Garde"/>
          <w:bCs/>
          <w:color w:val="000000"/>
          <w:lang w:eastAsia="es-MX"/>
        </w:rPr>
      </w:pPr>
      <w:r w:rsidRPr="006E23DE">
        <w:rPr>
          <w:rFonts w:ascii="ITC Avant Garde" w:hAnsi="ITC Avant Garde" w:cs="Arial"/>
          <w:b/>
          <w:bCs/>
          <w:color w:val="000000"/>
          <w:shd w:val="clear" w:color="auto" w:fill="FFFFFF"/>
        </w:rPr>
        <w:t>Estatuto Orgánico.</w:t>
      </w:r>
      <w:r w:rsidRPr="006E23DE">
        <w:rPr>
          <w:rStyle w:val="apple-converted-space"/>
          <w:rFonts w:ascii="ITC Avant Garde" w:hAnsi="ITC Avant Garde" w:cs="Arial"/>
          <w:b/>
          <w:bCs/>
          <w:color w:val="000000"/>
          <w:shd w:val="clear" w:color="auto" w:fill="FFFFFF"/>
        </w:rPr>
        <w:t xml:space="preserve"> </w:t>
      </w:r>
      <w:r w:rsidRPr="006E23DE">
        <w:rPr>
          <w:rFonts w:ascii="ITC Avant Garde" w:hAnsi="ITC Avant Garde"/>
          <w:color w:val="000000"/>
          <w:shd w:val="clear" w:color="auto" w:fill="FFFFFF"/>
        </w:rPr>
        <w:t>El 4 de septiembre de 2014, se publicó en el Diario Oficial de la Federación el “Estatuto Orgánico del Instituto Federal de Telecomunicaciones” (el “Estatuto Orgánico”), mismo que entró en vigor el 26 de septiembre de 2014, y fue modificado el 17 de octubre del mismo año.</w:t>
      </w:r>
    </w:p>
    <w:p w14:paraId="7107CD4B" w14:textId="77777777" w:rsidR="00221B21" w:rsidRPr="006E23DE" w:rsidRDefault="003859A5" w:rsidP="006E23DE">
      <w:pPr>
        <w:numPr>
          <w:ilvl w:val="0"/>
          <w:numId w:val="1"/>
        </w:numPr>
        <w:spacing w:after="240" w:line="240" w:lineRule="auto"/>
        <w:jc w:val="both"/>
        <w:rPr>
          <w:rFonts w:ascii="ITC Avant Garde" w:hAnsi="ITC Avant Garde"/>
          <w:color w:val="000000"/>
          <w:shd w:val="clear" w:color="auto" w:fill="FFFFFF"/>
        </w:rPr>
      </w:pPr>
      <w:r w:rsidRPr="006E23DE">
        <w:rPr>
          <w:rFonts w:ascii="ITC Avant Garde" w:hAnsi="ITC Avant Garde"/>
          <w:b/>
          <w:bCs/>
          <w:color w:val="000000"/>
          <w:lang w:eastAsia="es-MX"/>
        </w:rPr>
        <w:t>Solicitud</w:t>
      </w:r>
      <w:r w:rsidR="00EB0102" w:rsidRPr="006E23DE">
        <w:rPr>
          <w:rFonts w:ascii="ITC Avant Garde" w:hAnsi="ITC Avant Garde"/>
          <w:b/>
          <w:bCs/>
          <w:color w:val="000000"/>
          <w:lang w:eastAsia="es-MX"/>
        </w:rPr>
        <w:t>es</w:t>
      </w:r>
      <w:r w:rsidRPr="006E23DE">
        <w:rPr>
          <w:rFonts w:ascii="ITC Avant Garde" w:hAnsi="ITC Avant Garde"/>
          <w:b/>
          <w:bCs/>
          <w:color w:val="000000"/>
          <w:lang w:eastAsia="es-MX"/>
        </w:rPr>
        <w:t xml:space="preserve"> de Prórroga.</w:t>
      </w:r>
      <w:r w:rsidRPr="006E23DE">
        <w:rPr>
          <w:rFonts w:ascii="ITC Avant Garde" w:hAnsi="ITC Avant Garde"/>
          <w:bCs/>
          <w:color w:val="000000" w:themeColor="text1"/>
          <w:lang w:eastAsia="es-MX"/>
        </w:rPr>
        <w:t xml:space="preserve"> </w:t>
      </w:r>
      <w:r w:rsidRPr="006E23DE">
        <w:rPr>
          <w:rFonts w:ascii="ITC Avant Garde" w:hAnsi="ITC Avant Garde"/>
          <w:bCs/>
          <w:color w:val="000000"/>
          <w:lang w:eastAsia="es-MX"/>
        </w:rPr>
        <w:t xml:space="preserve">El 26 de enero de 2016, el </w:t>
      </w:r>
      <w:r w:rsidR="004F4C97" w:rsidRPr="006E23DE">
        <w:rPr>
          <w:rFonts w:ascii="ITC Avant Garde" w:hAnsi="ITC Avant Garde"/>
          <w:bCs/>
          <w:color w:val="000000"/>
          <w:lang w:eastAsia="es-MX"/>
        </w:rPr>
        <w:t xml:space="preserve">apoderado </w:t>
      </w:r>
      <w:r w:rsidRPr="006E23DE">
        <w:rPr>
          <w:rFonts w:ascii="ITC Avant Garde" w:hAnsi="ITC Avant Garde"/>
          <w:bCs/>
          <w:color w:val="000000"/>
          <w:lang w:eastAsia="es-MX"/>
        </w:rPr>
        <w:t>legal de Telmex presentó ante el Instituto escrito de solicitud de prórroga de vigencia de la</w:t>
      </w:r>
      <w:r w:rsidR="00EB0102" w:rsidRPr="006E23DE">
        <w:rPr>
          <w:rFonts w:ascii="ITC Avant Garde" w:hAnsi="ITC Avant Garde"/>
          <w:bCs/>
          <w:color w:val="000000"/>
          <w:lang w:eastAsia="es-MX"/>
        </w:rPr>
        <w:t>s</w:t>
      </w:r>
      <w:r w:rsidR="00BC75C8" w:rsidRPr="006E23DE">
        <w:rPr>
          <w:rFonts w:ascii="ITC Avant Garde" w:hAnsi="ITC Avant Garde"/>
          <w:bCs/>
          <w:color w:val="000000"/>
          <w:lang w:eastAsia="es-MX"/>
        </w:rPr>
        <w:t xml:space="preserve"> </w:t>
      </w:r>
      <w:r w:rsidRPr="006E23DE">
        <w:rPr>
          <w:rFonts w:ascii="ITC Avant Garde" w:hAnsi="ITC Avant Garde"/>
          <w:bCs/>
          <w:color w:val="000000"/>
          <w:lang w:eastAsia="es-MX"/>
        </w:rPr>
        <w:t>Concesiones (la</w:t>
      </w:r>
      <w:r w:rsidR="00BC75C8" w:rsidRPr="006E23DE">
        <w:rPr>
          <w:rFonts w:ascii="ITC Avant Garde" w:hAnsi="ITC Avant Garde"/>
          <w:bCs/>
          <w:color w:val="000000"/>
          <w:lang w:eastAsia="es-MX"/>
        </w:rPr>
        <w:t>s</w:t>
      </w:r>
      <w:r w:rsidRPr="006E23DE">
        <w:rPr>
          <w:rFonts w:ascii="ITC Avant Garde" w:hAnsi="ITC Avant Garde"/>
          <w:bCs/>
          <w:color w:val="000000"/>
          <w:lang w:eastAsia="es-MX"/>
        </w:rPr>
        <w:t xml:space="preserve"> “Solicitud</w:t>
      </w:r>
      <w:r w:rsidR="00BC75C8" w:rsidRPr="006E23DE">
        <w:rPr>
          <w:rFonts w:ascii="ITC Avant Garde" w:hAnsi="ITC Avant Garde"/>
          <w:bCs/>
          <w:color w:val="000000"/>
          <w:lang w:eastAsia="es-MX"/>
        </w:rPr>
        <w:t>es</w:t>
      </w:r>
      <w:r w:rsidRPr="006E23DE">
        <w:rPr>
          <w:rFonts w:ascii="ITC Avant Garde" w:hAnsi="ITC Avant Garde"/>
          <w:bCs/>
          <w:color w:val="000000"/>
          <w:lang w:eastAsia="es-MX"/>
        </w:rPr>
        <w:t xml:space="preserve"> de Prórroga”).</w:t>
      </w:r>
    </w:p>
    <w:p w14:paraId="014DA1B3" w14:textId="77777777" w:rsidR="00221B21" w:rsidRPr="006E23DE" w:rsidRDefault="00E6444F" w:rsidP="006E23DE">
      <w:pPr>
        <w:numPr>
          <w:ilvl w:val="0"/>
          <w:numId w:val="1"/>
        </w:numPr>
        <w:spacing w:after="240" w:line="240" w:lineRule="auto"/>
        <w:jc w:val="both"/>
        <w:rPr>
          <w:rFonts w:ascii="ITC Avant Garde" w:hAnsi="ITC Avant Garde"/>
          <w:color w:val="000000"/>
          <w:shd w:val="clear" w:color="auto" w:fill="FFFFFF"/>
        </w:rPr>
      </w:pPr>
      <w:r w:rsidRPr="006E23DE">
        <w:rPr>
          <w:rFonts w:ascii="ITC Avant Garde" w:hAnsi="ITC Avant Garde"/>
          <w:b/>
          <w:bCs/>
          <w:color w:val="000000"/>
          <w:lang w:eastAsia="es-MX"/>
        </w:rPr>
        <w:t>Opinión Técnica de la Secretaría.</w:t>
      </w:r>
      <w:r w:rsidRPr="006E23DE">
        <w:rPr>
          <w:rFonts w:ascii="ITC Avant Garde" w:hAnsi="ITC Avant Garde"/>
          <w:bCs/>
          <w:color w:val="000000"/>
          <w:lang w:eastAsia="es-MX"/>
        </w:rPr>
        <w:t xml:space="preserve"> </w:t>
      </w:r>
      <w:r w:rsidR="00AF2A95" w:rsidRPr="006E23DE">
        <w:rPr>
          <w:rFonts w:ascii="ITC Avant Garde" w:hAnsi="ITC Avant Garde"/>
          <w:bCs/>
          <w:color w:val="000000"/>
          <w:lang w:eastAsia="es-MX"/>
        </w:rPr>
        <w:t xml:space="preserve">Con </w:t>
      </w:r>
      <w:r w:rsidRPr="006E23DE">
        <w:rPr>
          <w:rFonts w:ascii="ITC Avant Garde" w:hAnsi="ITC Avant Garde"/>
          <w:bCs/>
          <w:color w:val="000000"/>
          <w:lang w:eastAsia="es-MX"/>
        </w:rPr>
        <w:t>oficio 2.1.-3</w:t>
      </w:r>
      <w:r w:rsidR="00BC75C8" w:rsidRPr="006E23DE">
        <w:rPr>
          <w:rFonts w:ascii="ITC Avant Garde" w:hAnsi="ITC Avant Garde"/>
          <w:bCs/>
          <w:color w:val="000000"/>
          <w:lang w:eastAsia="es-MX"/>
        </w:rPr>
        <w:t>15</w:t>
      </w:r>
      <w:r w:rsidRPr="006E23DE">
        <w:rPr>
          <w:rFonts w:ascii="ITC Avant Garde" w:hAnsi="ITC Avant Garde"/>
          <w:bCs/>
          <w:color w:val="000000"/>
          <w:lang w:eastAsia="es-MX"/>
        </w:rPr>
        <w:t xml:space="preserve"> de fecha 6 de </w:t>
      </w:r>
      <w:r w:rsidR="00BC75C8" w:rsidRPr="006E23DE">
        <w:rPr>
          <w:rFonts w:ascii="ITC Avant Garde" w:hAnsi="ITC Avant Garde"/>
          <w:bCs/>
          <w:color w:val="000000"/>
          <w:lang w:eastAsia="es-MX"/>
        </w:rPr>
        <w:t>abril</w:t>
      </w:r>
      <w:r w:rsidRPr="006E23DE">
        <w:rPr>
          <w:rFonts w:ascii="ITC Avant Garde" w:hAnsi="ITC Avant Garde"/>
          <w:bCs/>
          <w:color w:val="000000"/>
          <w:lang w:eastAsia="es-MX"/>
        </w:rPr>
        <w:t xml:space="preserve"> de 201</w:t>
      </w:r>
      <w:r w:rsidR="00BC75C8" w:rsidRPr="006E23DE">
        <w:rPr>
          <w:rFonts w:ascii="ITC Avant Garde" w:hAnsi="ITC Avant Garde"/>
          <w:bCs/>
          <w:color w:val="000000"/>
          <w:lang w:eastAsia="es-MX"/>
        </w:rPr>
        <w:t>6</w:t>
      </w:r>
      <w:r w:rsidRPr="006E23DE">
        <w:rPr>
          <w:rFonts w:ascii="ITC Avant Garde" w:hAnsi="ITC Avant Garde"/>
          <w:bCs/>
          <w:color w:val="000000"/>
          <w:lang w:eastAsia="es-MX"/>
        </w:rPr>
        <w:t>, la Dirección General de Política de Telecomunicaciones y de Radiodifusión de la Secretaría, remitió el oficio 1.-</w:t>
      </w:r>
      <w:r w:rsidR="00BC75C8" w:rsidRPr="006E23DE">
        <w:rPr>
          <w:rFonts w:ascii="ITC Avant Garde" w:hAnsi="ITC Avant Garde"/>
          <w:bCs/>
          <w:color w:val="000000"/>
          <w:lang w:eastAsia="es-MX"/>
        </w:rPr>
        <w:t>0062</w:t>
      </w:r>
      <w:r w:rsidRPr="006E23DE">
        <w:rPr>
          <w:rFonts w:ascii="ITC Avant Garde" w:hAnsi="ITC Avant Garde"/>
          <w:bCs/>
          <w:color w:val="000000"/>
          <w:lang w:eastAsia="es-MX"/>
        </w:rPr>
        <w:t xml:space="preserve"> de la misma fecha, con la opinión técnica respecto a la</w:t>
      </w:r>
      <w:r w:rsidR="00BC75C8" w:rsidRPr="006E23DE">
        <w:rPr>
          <w:rFonts w:ascii="ITC Avant Garde" w:hAnsi="ITC Avant Garde"/>
          <w:bCs/>
          <w:color w:val="000000"/>
          <w:lang w:eastAsia="es-MX"/>
        </w:rPr>
        <w:t>s</w:t>
      </w:r>
      <w:r w:rsidRPr="006E23DE">
        <w:rPr>
          <w:rFonts w:ascii="ITC Avant Garde" w:hAnsi="ITC Avant Garde"/>
          <w:bCs/>
          <w:color w:val="000000"/>
          <w:lang w:eastAsia="es-MX"/>
        </w:rPr>
        <w:t xml:space="preserve"> </w:t>
      </w:r>
      <w:r w:rsidR="00BC75C8" w:rsidRPr="006E23DE">
        <w:rPr>
          <w:rFonts w:ascii="ITC Avant Garde" w:hAnsi="ITC Avant Garde"/>
          <w:bCs/>
          <w:color w:val="000000"/>
          <w:lang w:eastAsia="es-MX"/>
        </w:rPr>
        <w:t>S</w:t>
      </w:r>
      <w:r w:rsidR="00D354D0" w:rsidRPr="006E23DE">
        <w:rPr>
          <w:rFonts w:ascii="ITC Avant Garde" w:hAnsi="ITC Avant Garde"/>
          <w:bCs/>
          <w:color w:val="000000"/>
          <w:lang w:eastAsia="es-MX"/>
        </w:rPr>
        <w:t>olicitud</w:t>
      </w:r>
      <w:r w:rsidR="00BC75C8" w:rsidRPr="006E23DE">
        <w:rPr>
          <w:rFonts w:ascii="ITC Avant Garde" w:hAnsi="ITC Avant Garde"/>
          <w:bCs/>
          <w:color w:val="000000"/>
          <w:lang w:eastAsia="es-MX"/>
        </w:rPr>
        <w:t>es</w:t>
      </w:r>
      <w:r w:rsidR="00D354D0" w:rsidRPr="006E23DE">
        <w:rPr>
          <w:rFonts w:ascii="ITC Avant Garde" w:hAnsi="ITC Avant Garde"/>
          <w:bCs/>
          <w:color w:val="000000"/>
          <w:lang w:eastAsia="es-MX"/>
        </w:rPr>
        <w:t xml:space="preserve"> </w:t>
      </w:r>
      <w:r w:rsidRPr="006E23DE">
        <w:rPr>
          <w:rFonts w:ascii="ITC Avant Garde" w:hAnsi="ITC Avant Garde"/>
          <w:bCs/>
          <w:color w:val="000000"/>
          <w:lang w:eastAsia="es-MX"/>
        </w:rPr>
        <w:t xml:space="preserve">de </w:t>
      </w:r>
      <w:r w:rsidR="00BC75C8" w:rsidRPr="006E23DE">
        <w:rPr>
          <w:rFonts w:ascii="ITC Avant Garde" w:hAnsi="ITC Avant Garde"/>
          <w:bCs/>
          <w:color w:val="000000"/>
          <w:lang w:eastAsia="es-MX"/>
        </w:rPr>
        <w:t>P</w:t>
      </w:r>
      <w:r w:rsidR="00D354D0" w:rsidRPr="006E23DE">
        <w:rPr>
          <w:rFonts w:ascii="ITC Avant Garde" w:hAnsi="ITC Avant Garde"/>
          <w:bCs/>
          <w:color w:val="000000"/>
          <w:lang w:eastAsia="es-MX"/>
        </w:rPr>
        <w:t>rórroga</w:t>
      </w:r>
      <w:r w:rsidR="00471220" w:rsidRPr="006E23DE">
        <w:rPr>
          <w:rFonts w:ascii="ITC Avant Garde" w:hAnsi="ITC Avant Garde"/>
          <w:bCs/>
          <w:color w:val="000000"/>
          <w:lang w:eastAsia="es-MX"/>
        </w:rPr>
        <w:t>, en sentido favorable</w:t>
      </w:r>
      <w:r w:rsidR="00D354D0" w:rsidRPr="006E23DE">
        <w:rPr>
          <w:rFonts w:ascii="ITC Avant Garde" w:hAnsi="ITC Avant Garde"/>
          <w:bCs/>
          <w:color w:val="000000"/>
          <w:lang w:eastAsia="es-MX"/>
        </w:rPr>
        <w:t>.</w:t>
      </w:r>
    </w:p>
    <w:p w14:paraId="4B38DD26" w14:textId="77777777" w:rsidR="00221B21" w:rsidRPr="006E23DE" w:rsidRDefault="00142670" w:rsidP="006E23DE">
      <w:pPr>
        <w:numPr>
          <w:ilvl w:val="0"/>
          <w:numId w:val="1"/>
        </w:numPr>
        <w:spacing w:after="240" w:line="240" w:lineRule="auto"/>
        <w:jc w:val="both"/>
        <w:rPr>
          <w:rFonts w:ascii="ITC Avant Garde" w:hAnsi="ITC Avant Garde"/>
          <w:b/>
          <w:bCs/>
          <w:color w:val="000000"/>
          <w:lang w:eastAsia="es-MX"/>
        </w:rPr>
      </w:pPr>
      <w:r w:rsidRPr="006E23DE">
        <w:rPr>
          <w:rFonts w:ascii="ITC Avant Garde" w:hAnsi="ITC Avant Garde"/>
          <w:b/>
          <w:bCs/>
          <w:color w:val="000000"/>
          <w:lang w:eastAsia="es-MX"/>
        </w:rPr>
        <w:t xml:space="preserve">Opinión en Materia de Competencia Económica. </w:t>
      </w:r>
      <w:r w:rsidRPr="006E23DE">
        <w:rPr>
          <w:rFonts w:ascii="ITC Avant Garde" w:hAnsi="ITC Avant Garde"/>
          <w:bCs/>
          <w:color w:val="000000"/>
          <w:lang w:eastAsia="es-MX"/>
        </w:rPr>
        <w:t>Mediante oficio IFT/226/UCE/DG-CCON/</w:t>
      </w:r>
      <w:r w:rsidR="008178E8" w:rsidRPr="006E23DE">
        <w:rPr>
          <w:rFonts w:ascii="ITC Avant Garde" w:hAnsi="ITC Avant Garde"/>
          <w:bCs/>
          <w:color w:val="000000"/>
          <w:lang w:eastAsia="es-MX"/>
        </w:rPr>
        <w:t>25</w:t>
      </w:r>
      <w:r w:rsidR="00EB0102" w:rsidRPr="006E23DE">
        <w:rPr>
          <w:rFonts w:ascii="ITC Avant Garde" w:hAnsi="ITC Avant Garde"/>
          <w:bCs/>
          <w:color w:val="000000"/>
          <w:lang w:eastAsia="es-MX"/>
        </w:rPr>
        <w:t>7</w:t>
      </w:r>
      <w:r w:rsidRPr="006E23DE">
        <w:rPr>
          <w:rFonts w:ascii="ITC Avant Garde" w:hAnsi="ITC Avant Garde"/>
          <w:bCs/>
          <w:color w:val="000000"/>
          <w:lang w:eastAsia="es-MX"/>
        </w:rPr>
        <w:t xml:space="preserve">/2016 de fecha </w:t>
      </w:r>
      <w:r w:rsidR="008178E8" w:rsidRPr="006E23DE">
        <w:rPr>
          <w:rFonts w:ascii="ITC Avant Garde" w:hAnsi="ITC Avant Garde"/>
          <w:bCs/>
          <w:color w:val="000000"/>
          <w:lang w:eastAsia="es-MX"/>
        </w:rPr>
        <w:t>22</w:t>
      </w:r>
      <w:r w:rsidR="005D526D" w:rsidRPr="006E23DE">
        <w:rPr>
          <w:rFonts w:ascii="ITC Avant Garde" w:hAnsi="ITC Avant Garde"/>
          <w:bCs/>
          <w:color w:val="000000"/>
          <w:lang w:eastAsia="es-MX"/>
        </w:rPr>
        <w:t xml:space="preserve"> </w:t>
      </w:r>
      <w:r w:rsidRPr="006E23DE">
        <w:rPr>
          <w:rFonts w:ascii="ITC Avant Garde" w:hAnsi="ITC Avant Garde"/>
          <w:bCs/>
          <w:color w:val="000000"/>
          <w:lang w:eastAsia="es-MX"/>
        </w:rPr>
        <w:t xml:space="preserve">de </w:t>
      </w:r>
      <w:r w:rsidR="005D526D" w:rsidRPr="006E23DE">
        <w:rPr>
          <w:rFonts w:ascii="ITC Avant Garde" w:hAnsi="ITC Avant Garde"/>
          <w:bCs/>
          <w:color w:val="000000"/>
          <w:lang w:eastAsia="es-MX"/>
        </w:rPr>
        <w:t xml:space="preserve">agosto </w:t>
      </w:r>
      <w:r w:rsidRPr="006E23DE">
        <w:rPr>
          <w:rFonts w:ascii="ITC Avant Garde" w:hAnsi="ITC Avant Garde"/>
          <w:bCs/>
          <w:color w:val="000000"/>
          <w:lang w:eastAsia="es-MX"/>
        </w:rPr>
        <w:t>de 2016, la Unidad de Competencia Económica</w:t>
      </w:r>
      <w:r w:rsidR="00852F18" w:rsidRPr="006E23DE">
        <w:rPr>
          <w:rFonts w:ascii="ITC Avant Garde" w:hAnsi="ITC Avant Garde"/>
          <w:bCs/>
          <w:color w:val="000000"/>
          <w:lang w:eastAsia="es-MX"/>
        </w:rPr>
        <w:t xml:space="preserve"> del Instituto</w:t>
      </w:r>
      <w:r w:rsidRPr="006E23DE">
        <w:rPr>
          <w:rFonts w:ascii="ITC Avant Garde" w:hAnsi="ITC Avant Garde"/>
          <w:bCs/>
          <w:color w:val="000000"/>
          <w:lang w:eastAsia="es-MX"/>
        </w:rPr>
        <w:t>, emitió la opinión en materia de competencia económica con respecto a la</w:t>
      </w:r>
      <w:r w:rsidR="008178E8" w:rsidRPr="006E23DE">
        <w:rPr>
          <w:rFonts w:ascii="ITC Avant Garde" w:hAnsi="ITC Avant Garde"/>
          <w:bCs/>
          <w:color w:val="000000"/>
          <w:lang w:eastAsia="es-MX"/>
        </w:rPr>
        <w:t>s</w:t>
      </w:r>
      <w:r w:rsidRPr="006E23DE">
        <w:rPr>
          <w:rFonts w:ascii="ITC Avant Garde" w:hAnsi="ITC Avant Garde"/>
          <w:bCs/>
          <w:color w:val="000000"/>
          <w:lang w:eastAsia="es-MX"/>
        </w:rPr>
        <w:t xml:space="preserve"> Solicitud</w:t>
      </w:r>
      <w:r w:rsidR="008178E8" w:rsidRPr="006E23DE">
        <w:rPr>
          <w:rFonts w:ascii="ITC Avant Garde" w:hAnsi="ITC Avant Garde"/>
          <w:bCs/>
          <w:color w:val="000000"/>
          <w:lang w:eastAsia="es-MX"/>
        </w:rPr>
        <w:t>es</w:t>
      </w:r>
      <w:r w:rsidRPr="006E23DE">
        <w:rPr>
          <w:rFonts w:ascii="ITC Avant Garde" w:hAnsi="ITC Avant Garde"/>
          <w:bCs/>
          <w:color w:val="000000"/>
          <w:lang w:eastAsia="es-MX"/>
        </w:rPr>
        <w:t xml:space="preserve"> de Prórroga</w:t>
      </w:r>
      <w:r w:rsidR="00471220" w:rsidRPr="006E23DE">
        <w:rPr>
          <w:rFonts w:ascii="ITC Avant Garde" w:hAnsi="ITC Avant Garde"/>
          <w:bCs/>
          <w:color w:val="000000"/>
          <w:lang w:eastAsia="es-MX"/>
        </w:rPr>
        <w:t>, en sentido favorable</w:t>
      </w:r>
      <w:r w:rsidRPr="006E23DE">
        <w:rPr>
          <w:rFonts w:ascii="ITC Avant Garde" w:hAnsi="ITC Avant Garde"/>
          <w:bCs/>
          <w:color w:val="000000"/>
          <w:lang w:eastAsia="es-MX"/>
        </w:rPr>
        <w:t>.</w:t>
      </w:r>
    </w:p>
    <w:p w14:paraId="7E878F2B" w14:textId="1A4103BB" w:rsidR="00221B21" w:rsidRPr="006E23DE" w:rsidRDefault="00B7256C" w:rsidP="006E23DE">
      <w:pPr>
        <w:spacing w:after="240" w:line="240" w:lineRule="auto"/>
        <w:jc w:val="both"/>
        <w:rPr>
          <w:rFonts w:ascii="ITC Avant Garde" w:hAnsi="ITC Avant Garde"/>
          <w:bCs/>
          <w:color w:val="000000"/>
          <w:lang w:eastAsia="es-MX"/>
        </w:rPr>
      </w:pPr>
      <w:r w:rsidRPr="006E23DE">
        <w:rPr>
          <w:rFonts w:ascii="ITC Avant Garde" w:hAnsi="ITC Avant Garde"/>
          <w:bCs/>
          <w:color w:val="000000"/>
          <w:lang w:eastAsia="es-MX"/>
        </w:rPr>
        <w:t>En virtud de los Antecedentes referidos y,</w:t>
      </w:r>
    </w:p>
    <w:p w14:paraId="73C2506D" w14:textId="77777777" w:rsidR="00221B21" w:rsidRPr="006E23DE" w:rsidRDefault="00B7256C" w:rsidP="006E23DE">
      <w:pPr>
        <w:pStyle w:val="Ttulo2"/>
        <w:spacing w:after="240"/>
        <w:jc w:val="center"/>
        <w:rPr>
          <w:rFonts w:ascii="ITC Avant Garde" w:hAnsi="ITC Avant Garde"/>
          <w:b/>
          <w:color w:val="000000" w:themeColor="text1"/>
          <w:sz w:val="22"/>
          <w:szCs w:val="22"/>
        </w:rPr>
      </w:pPr>
      <w:r w:rsidRPr="006E23DE">
        <w:rPr>
          <w:rFonts w:ascii="ITC Avant Garde" w:hAnsi="ITC Avant Garde"/>
          <w:b/>
          <w:color w:val="000000" w:themeColor="text1"/>
          <w:sz w:val="22"/>
          <w:szCs w:val="22"/>
        </w:rPr>
        <w:t>CONSIDERANDO</w:t>
      </w:r>
    </w:p>
    <w:p w14:paraId="565A6F15" w14:textId="77777777" w:rsidR="00221B21" w:rsidRPr="006E23DE" w:rsidRDefault="002E6D9B" w:rsidP="006E23DE">
      <w:pPr>
        <w:autoSpaceDE w:val="0"/>
        <w:autoSpaceDN w:val="0"/>
        <w:adjustRightInd w:val="0"/>
        <w:spacing w:after="240" w:line="240" w:lineRule="auto"/>
        <w:jc w:val="both"/>
        <w:rPr>
          <w:rFonts w:ascii="ITC Avant Garde" w:hAnsi="ITC Avant Garde"/>
          <w:bCs/>
        </w:rPr>
      </w:pPr>
      <w:r w:rsidRPr="006E23DE">
        <w:rPr>
          <w:rFonts w:ascii="ITC Avant Garde" w:hAnsi="ITC Avant Garde"/>
          <w:b/>
          <w:bCs/>
        </w:rPr>
        <w:t>Primero.</w:t>
      </w:r>
      <w:r w:rsidR="00EB35C9" w:rsidRPr="006E23DE">
        <w:rPr>
          <w:rFonts w:ascii="ITC Avant Garde" w:hAnsi="ITC Avant Garde"/>
          <w:b/>
          <w:bCs/>
        </w:rPr>
        <w:t>-</w:t>
      </w:r>
      <w:r w:rsidRPr="006E23DE">
        <w:rPr>
          <w:rFonts w:ascii="ITC Avant Garde" w:hAnsi="ITC Avant Garde"/>
          <w:b/>
          <w:bCs/>
        </w:rPr>
        <w:t xml:space="preserve"> </w:t>
      </w:r>
      <w:r w:rsidR="00B7256C" w:rsidRPr="006E23DE">
        <w:rPr>
          <w:rFonts w:ascii="ITC Avant Garde" w:hAnsi="ITC Avant Garde"/>
          <w:b/>
          <w:bCs/>
        </w:rPr>
        <w:t>Competencia.</w:t>
      </w:r>
      <w:r w:rsidR="00B7256C" w:rsidRPr="006E23DE">
        <w:rPr>
          <w:rFonts w:ascii="ITC Avant Garde" w:hAnsi="ITC Avant Garde"/>
          <w:bCs/>
        </w:rPr>
        <w:t xml:space="preserve"> Conforme lo dispone el artículo 28 párrafo décimo quinto de la Constitución Política de los Estados Unidos Mexicanos (la “Constitución”), el Instituto es </w:t>
      </w:r>
      <w:r w:rsidR="0098235B" w:rsidRPr="006E23DE">
        <w:rPr>
          <w:rFonts w:ascii="ITC Avant Garde" w:hAnsi="ITC Avant Garde"/>
          <w:bCs/>
        </w:rPr>
        <w:t>un</w:t>
      </w:r>
      <w:r w:rsidR="00B7256C" w:rsidRPr="006E23DE">
        <w:rPr>
          <w:rFonts w:ascii="ITC Avant Garde" w:hAnsi="ITC Avant Garde"/>
          <w:bCs/>
        </w:rPr>
        <w:t xml:space="preserve"> órgano autónomo, con personalidad jurídica y patrimonio propio, que tiene por objeto el desarrollo eficiente de la radiodifusión y las telecomunicaciones, conforme a lo dispuesto por la propia Constitución y en los términos que fijen las leyes</w:t>
      </w:r>
      <w:r w:rsidR="005F27C0" w:rsidRPr="006E23DE">
        <w:rPr>
          <w:rFonts w:ascii="ITC Avant Garde" w:hAnsi="ITC Avant Garde"/>
          <w:bCs/>
        </w:rPr>
        <w:t xml:space="preserve">, teniendo a su cargo la regulación, promoción y supervisión del uso, aprovechamiento y explotación del espectro radioeléctrico, las redes y la prestación de los servicios de radiodifusión y </w:t>
      </w:r>
      <w:r w:rsidR="005F27C0" w:rsidRPr="006E23DE">
        <w:rPr>
          <w:rFonts w:ascii="ITC Avant Garde" w:hAnsi="ITC Avant Garde"/>
          <w:bCs/>
        </w:rPr>
        <w:lastRenderedPageBreak/>
        <w:t>telecomunicaciones, así como del acceso a infraestructura activa, pasiva y otros insumos esenciales, garantizando lo establecido en los artículos 6o. y 7o. constitucionales.</w:t>
      </w:r>
    </w:p>
    <w:p w14:paraId="308350D4" w14:textId="77777777" w:rsidR="00221B21" w:rsidRPr="006E23DE" w:rsidRDefault="004A5699" w:rsidP="006E23DE">
      <w:pPr>
        <w:autoSpaceDE w:val="0"/>
        <w:autoSpaceDN w:val="0"/>
        <w:adjustRightInd w:val="0"/>
        <w:spacing w:after="240" w:line="240" w:lineRule="auto"/>
        <w:jc w:val="both"/>
        <w:rPr>
          <w:rFonts w:ascii="ITC Avant Garde" w:hAnsi="ITC Avant Garde"/>
          <w:bCs/>
          <w:color w:val="000000"/>
          <w:lang w:eastAsia="es-MX"/>
        </w:rPr>
      </w:pPr>
      <w:r w:rsidRPr="006E23DE">
        <w:rPr>
          <w:rFonts w:ascii="ITC Avant Garde" w:hAnsi="ITC Avant Garde"/>
          <w:bCs/>
          <w:color w:val="000000"/>
          <w:lang w:eastAsia="es-MX"/>
        </w:rPr>
        <w:t>Asimismo, en términos del párrafo décimo sexto del artículo constitucional antes mencionado,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500FBB1D" w14:textId="77777777" w:rsidR="00221B21" w:rsidRPr="006E23DE" w:rsidRDefault="00B7256C" w:rsidP="006E23DE">
      <w:pPr>
        <w:autoSpaceDE w:val="0"/>
        <w:autoSpaceDN w:val="0"/>
        <w:adjustRightInd w:val="0"/>
        <w:spacing w:after="240" w:line="240" w:lineRule="auto"/>
        <w:jc w:val="both"/>
        <w:rPr>
          <w:rFonts w:ascii="ITC Avant Garde" w:hAnsi="ITC Avant Garde"/>
          <w:bCs/>
        </w:rPr>
      </w:pPr>
      <w:r w:rsidRPr="006E23DE">
        <w:rPr>
          <w:rFonts w:ascii="ITC Avant Garde" w:hAnsi="ITC Avant Garde"/>
          <w:bCs/>
        </w:rPr>
        <w:t xml:space="preserve">De igual forma, corresponde al Instituto, el otorgamiento de concesiones en materia de radiodifusión y telecomunicaciones. En este sentido, el Pleno del Instituto está facultado, conforme a lo establecido por los artículos 15 fracción IV y 17 fracción I de la Ley Federal de Telecomunicaciones y Radiodifusión (la “Ley”), para resolver sobre el otorgamiento de las concesiones señaladas, </w:t>
      </w:r>
      <w:r w:rsidR="0098235B" w:rsidRPr="006E23DE">
        <w:rPr>
          <w:rFonts w:ascii="ITC Avant Garde" w:hAnsi="ITC Avant Garde"/>
          <w:bCs/>
        </w:rPr>
        <w:t xml:space="preserve">así como </w:t>
      </w:r>
      <w:r w:rsidRPr="006E23DE">
        <w:rPr>
          <w:rFonts w:ascii="ITC Avant Garde" w:hAnsi="ITC Avant Garde"/>
          <w:bCs/>
        </w:rPr>
        <w:t>resolver respecto de las prórrogas</w:t>
      </w:r>
      <w:r w:rsidR="008B58BB" w:rsidRPr="006E23DE">
        <w:rPr>
          <w:rFonts w:ascii="ITC Avant Garde" w:hAnsi="ITC Avant Garde"/>
          <w:bCs/>
        </w:rPr>
        <w:t xml:space="preserve"> y</w:t>
      </w:r>
      <w:r w:rsidRPr="006E23DE">
        <w:rPr>
          <w:rFonts w:ascii="ITC Avant Garde" w:hAnsi="ITC Avant Garde"/>
          <w:bCs/>
        </w:rPr>
        <w:t xml:space="preserve"> modificación o terminación de las mismas.</w:t>
      </w:r>
    </w:p>
    <w:p w14:paraId="7CF2A8C0" w14:textId="77777777" w:rsidR="00221B21" w:rsidRPr="006E23DE" w:rsidRDefault="00B7256C" w:rsidP="006E23DE">
      <w:pPr>
        <w:autoSpaceDE w:val="0"/>
        <w:autoSpaceDN w:val="0"/>
        <w:adjustRightInd w:val="0"/>
        <w:spacing w:after="240" w:line="240" w:lineRule="auto"/>
        <w:jc w:val="both"/>
        <w:rPr>
          <w:rFonts w:ascii="ITC Avant Garde" w:hAnsi="ITC Avant Garde"/>
          <w:bCs/>
        </w:rPr>
      </w:pPr>
      <w:r w:rsidRPr="006E23DE">
        <w:rPr>
          <w:rFonts w:ascii="ITC Avant Garde" w:hAnsi="ITC Avant Garde"/>
          <w:bCs/>
        </w:rPr>
        <w:t>Por su parte, el artículo 6 fracciones I y XVIII del Estatuto Orgánico, establece que corresponde al Pleno del Instituto, entre otras,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en su caso la Ley, y las disposiciones administrativas en materia de telecomunicaciones y radiodifusión, en el ámbito de sus atribuciones.</w:t>
      </w:r>
    </w:p>
    <w:p w14:paraId="43583057" w14:textId="77777777" w:rsidR="00221B21" w:rsidRPr="006E23DE" w:rsidRDefault="00B7256C" w:rsidP="006E23DE">
      <w:pPr>
        <w:autoSpaceDE w:val="0"/>
        <w:autoSpaceDN w:val="0"/>
        <w:adjustRightInd w:val="0"/>
        <w:spacing w:after="240" w:line="240" w:lineRule="auto"/>
        <w:jc w:val="both"/>
        <w:rPr>
          <w:rFonts w:ascii="ITC Avant Garde" w:hAnsi="ITC Avant Garde"/>
          <w:bCs/>
        </w:rPr>
      </w:pPr>
      <w:r w:rsidRPr="006E23DE">
        <w:rPr>
          <w:rFonts w:ascii="ITC Avant Garde" w:hAnsi="ITC Avant Garde"/>
          <w:bCs/>
        </w:rPr>
        <w:t>Asimismo, conforme a los artículos 32 y 33 fracción II del Estatuto Orgánico, corresponde a la Unidad de Concesiones y Servicios, a través de la Dirección General de Concesiones de Telecomunicaciones, tramitar y evaluar</w:t>
      </w:r>
      <w:r w:rsidR="00C12119" w:rsidRPr="006E23DE">
        <w:rPr>
          <w:rFonts w:ascii="ITC Avant Garde" w:hAnsi="ITC Avant Garde"/>
          <w:bCs/>
        </w:rPr>
        <w:t>, entre otras,</w:t>
      </w:r>
      <w:r w:rsidRPr="006E23DE">
        <w:rPr>
          <w:rFonts w:ascii="ITC Avant Garde" w:hAnsi="ITC Avant Garde"/>
          <w:bCs/>
        </w:rPr>
        <w:t xml:space="preserve"> las solicitudes de prórroga de las concesiones en materia de telecomunicaciones para someterlas a consideración del Pleno; tratándose de prórrogas de concesión de uso comercial, solicitará opinión previa a la Unidad de Competencia Económica.</w:t>
      </w:r>
    </w:p>
    <w:p w14:paraId="1F2041D7" w14:textId="77777777" w:rsidR="00221B21" w:rsidRPr="006E23DE" w:rsidRDefault="00B7256C" w:rsidP="006E23DE">
      <w:pPr>
        <w:autoSpaceDE w:val="0"/>
        <w:autoSpaceDN w:val="0"/>
        <w:adjustRightInd w:val="0"/>
        <w:spacing w:after="240" w:line="240" w:lineRule="auto"/>
        <w:jc w:val="both"/>
        <w:rPr>
          <w:rFonts w:ascii="ITC Avant Garde" w:hAnsi="ITC Avant Garde"/>
          <w:bCs/>
        </w:rPr>
      </w:pPr>
      <w:r w:rsidRPr="006E23DE">
        <w:rPr>
          <w:rFonts w:ascii="ITC Avant Garde" w:hAnsi="ITC Avant Garde"/>
          <w:bCs/>
        </w:rPr>
        <w:t xml:space="preserve">En consecuencia, el Instituto está facultado para otorgar concesiones en materia de telecomunicaciones, así como resolver respecto de las prórrogas, modificaciones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Ley, y las disposiciones administrativas en materia de telecomunicaciones y radiodifusión, en el ámbito de sus atribuciones, por lo que el Pleno, como órgano máximo de gobierno y </w:t>
      </w:r>
      <w:r w:rsidRPr="006E23DE">
        <w:rPr>
          <w:rFonts w:ascii="ITC Avant Garde" w:hAnsi="ITC Avant Garde"/>
          <w:bCs/>
        </w:rPr>
        <w:lastRenderedPageBreak/>
        <w:t>decisión del Instituto, se encuentra plenamente facultado para resolver la</w:t>
      </w:r>
      <w:r w:rsidR="00BA27EE" w:rsidRPr="006E23DE">
        <w:rPr>
          <w:rFonts w:ascii="ITC Avant Garde" w:hAnsi="ITC Avant Garde"/>
          <w:bCs/>
        </w:rPr>
        <w:t>s</w:t>
      </w:r>
      <w:r w:rsidRPr="006E23DE">
        <w:rPr>
          <w:rFonts w:ascii="ITC Avant Garde" w:hAnsi="ITC Avant Garde"/>
          <w:bCs/>
        </w:rPr>
        <w:t xml:space="preserve"> Solicitud</w:t>
      </w:r>
      <w:r w:rsidR="00BA27EE" w:rsidRPr="006E23DE">
        <w:rPr>
          <w:rFonts w:ascii="ITC Avant Garde" w:hAnsi="ITC Avant Garde"/>
          <w:bCs/>
        </w:rPr>
        <w:t>es</w:t>
      </w:r>
      <w:r w:rsidRPr="006E23DE">
        <w:rPr>
          <w:rFonts w:ascii="ITC Avant Garde" w:hAnsi="ITC Avant Garde"/>
          <w:bCs/>
        </w:rPr>
        <w:t xml:space="preserve"> de Prórroga</w:t>
      </w:r>
      <w:r w:rsidR="00402953" w:rsidRPr="006E23DE">
        <w:rPr>
          <w:rFonts w:ascii="ITC Avant Garde" w:hAnsi="ITC Avant Garde"/>
          <w:bCs/>
        </w:rPr>
        <w:t xml:space="preserve"> de la</w:t>
      </w:r>
      <w:r w:rsidR="00BA27EE" w:rsidRPr="006E23DE">
        <w:rPr>
          <w:rFonts w:ascii="ITC Avant Garde" w:hAnsi="ITC Avant Garde"/>
          <w:bCs/>
        </w:rPr>
        <w:t>s</w:t>
      </w:r>
      <w:r w:rsidR="00402953" w:rsidRPr="006E23DE">
        <w:rPr>
          <w:rFonts w:ascii="ITC Avant Garde" w:hAnsi="ITC Avant Garde"/>
          <w:bCs/>
        </w:rPr>
        <w:t xml:space="preserve"> </w:t>
      </w:r>
      <w:r w:rsidR="00BA27EE" w:rsidRPr="006E23DE">
        <w:rPr>
          <w:rFonts w:ascii="ITC Avant Garde" w:hAnsi="ITC Avant Garde"/>
          <w:bCs/>
        </w:rPr>
        <w:t>Concesiones.</w:t>
      </w:r>
    </w:p>
    <w:p w14:paraId="0A5C506D" w14:textId="5F88D355" w:rsidR="00221B21" w:rsidRPr="006E23DE" w:rsidRDefault="002E6D9B" w:rsidP="006E23DE">
      <w:pPr>
        <w:autoSpaceDE w:val="0"/>
        <w:autoSpaceDN w:val="0"/>
        <w:adjustRightInd w:val="0"/>
        <w:spacing w:after="240" w:line="240" w:lineRule="auto"/>
        <w:jc w:val="both"/>
        <w:rPr>
          <w:rFonts w:ascii="ITC Avant Garde" w:hAnsi="ITC Avant Garde"/>
          <w:bCs/>
        </w:rPr>
      </w:pPr>
      <w:r w:rsidRPr="006E23DE">
        <w:rPr>
          <w:rFonts w:ascii="ITC Avant Garde" w:hAnsi="ITC Avant Garde"/>
          <w:b/>
          <w:bCs/>
        </w:rPr>
        <w:t>Segundo.</w:t>
      </w:r>
      <w:r w:rsidR="00EB35C9" w:rsidRPr="006E23DE">
        <w:rPr>
          <w:rFonts w:ascii="ITC Avant Garde" w:hAnsi="ITC Avant Garde"/>
          <w:b/>
          <w:bCs/>
        </w:rPr>
        <w:t>-</w:t>
      </w:r>
      <w:r w:rsidRPr="006E23DE">
        <w:rPr>
          <w:rFonts w:ascii="ITC Avant Garde" w:hAnsi="ITC Avant Garde"/>
          <w:b/>
          <w:bCs/>
        </w:rPr>
        <w:t xml:space="preserve"> </w:t>
      </w:r>
      <w:r w:rsidR="00B7256C" w:rsidRPr="006E23DE">
        <w:rPr>
          <w:rFonts w:ascii="ITC Avant Garde" w:hAnsi="ITC Avant Garde"/>
          <w:b/>
          <w:bCs/>
        </w:rPr>
        <w:t xml:space="preserve">Marco </w:t>
      </w:r>
      <w:r w:rsidR="004A5699" w:rsidRPr="006E23DE">
        <w:rPr>
          <w:rFonts w:ascii="ITC Avant Garde" w:hAnsi="ITC Avant Garde"/>
          <w:b/>
          <w:bCs/>
        </w:rPr>
        <w:t>legal</w:t>
      </w:r>
      <w:r w:rsidR="00B7256C" w:rsidRPr="006E23DE">
        <w:rPr>
          <w:rFonts w:ascii="ITC Avant Garde" w:hAnsi="ITC Avant Garde"/>
          <w:b/>
          <w:bCs/>
        </w:rPr>
        <w:t xml:space="preserve"> aplicable a </w:t>
      </w:r>
      <w:r w:rsidR="004A5699" w:rsidRPr="006E23DE">
        <w:rPr>
          <w:rFonts w:ascii="ITC Avant Garde" w:hAnsi="ITC Avant Garde"/>
          <w:b/>
          <w:bCs/>
        </w:rPr>
        <w:t>las Solicitudes de Prórroga</w:t>
      </w:r>
      <w:r w:rsidR="00B7256C" w:rsidRPr="006E23DE">
        <w:rPr>
          <w:rFonts w:ascii="ITC Avant Garde" w:hAnsi="ITC Avant Garde"/>
          <w:b/>
          <w:bCs/>
        </w:rPr>
        <w:t>.</w:t>
      </w:r>
      <w:r w:rsidR="00B7256C" w:rsidRPr="006E23DE">
        <w:rPr>
          <w:rFonts w:ascii="ITC Avant Garde" w:hAnsi="ITC Avant Garde"/>
          <w:bCs/>
        </w:rPr>
        <w:t xml:space="preserve"> El artículo Séptimo Transitorio del Decreto de Ley señala que sin perjuicio de lo establecido en la Ley y en la normatividad que al efecto emita el Instituto, las concesiones y permisos otorgados con anterioridad a la entrada en vigor del citado decreto, se mantendrán en los términos y condiciones consignados en los respectivos títulos hasta su terminación. </w:t>
      </w:r>
    </w:p>
    <w:p w14:paraId="3BF8B109" w14:textId="77777777" w:rsidR="00221B21" w:rsidRPr="006E23DE" w:rsidRDefault="00B7256C" w:rsidP="006E23DE">
      <w:pPr>
        <w:autoSpaceDE w:val="0"/>
        <w:autoSpaceDN w:val="0"/>
        <w:adjustRightInd w:val="0"/>
        <w:spacing w:after="240" w:line="240" w:lineRule="auto"/>
        <w:jc w:val="both"/>
        <w:rPr>
          <w:rFonts w:ascii="ITC Avant Garde" w:hAnsi="ITC Avant Garde"/>
          <w:bCs/>
        </w:rPr>
      </w:pPr>
      <w:r w:rsidRPr="006E23DE">
        <w:rPr>
          <w:rFonts w:ascii="ITC Avant Garde" w:hAnsi="ITC Avant Garde"/>
          <w:bCs/>
        </w:rPr>
        <w:t xml:space="preserve">En ese sentido resulta conveniente señalar que la Concesión </w:t>
      </w:r>
      <w:r w:rsidR="00C965F8" w:rsidRPr="006E23DE">
        <w:rPr>
          <w:rFonts w:ascii="ITC Avant Garde" w:hAnsi="ITC Avant Garde"/>
          <w:bCs/>
        </w:rPr>
        <w:t xml:space="preserve">de Red </w:t>
      </w:r>
      <w:r w:rsidRPr="006E23DE">
        <w:rPr>
          <w:rFonts w:ascii="ITC Avant Garde" w:hAnsi="ITC Avant Garde"/>
          <w:bCs/>
        </w:rPr>
        <w:t>establece en su condición 1</w:t>
      </w:r>
      <w:r w:rsidR="00D618D3" w:rsidRPr="006E23DE">
        <w:rPr>
          <w:rFonts w:ascii="ITC Avant Garde" w:hAnsi="ITC Avant Garde"/>
          <w:bCs/>
        </w:rPr>
        <w:t>.</w:t>
      </w:r>
      <w:r w:rsidR="00C12119" w:rsidRPr="006E23DE">
        <w:rPr>
          <w:rFonts w:ascii="ITC Avant Garde" w:hAnsi="ITC Avant Garde"/>
          <w:bCs/>
        </w:rPr>
        <w:t>5</w:t>
      </w:r>
      <w:r w:rsidR="00676801" w:rsidRPr="006E23DE">
        <w:rPr>
          <w:rFonts w:ascii="ITC Avant Garde" w:hAnsi="ITC Avant Garde"/>
          <w:bCs/>
        </w:rPr>
        <w:t>.</w:t>
      </w:r>
      <w:r w:rsidRPr="006E23DE">
        <w:rPr>
          <w:rFonts w:ascii="ITC Avant Garde" w:hAnsi="ITC Avant Garde"/>
          <w:bCs/>
        </w:rPr>
        <w:t xml:space="preserve"> que la vigencia de la misma será de </w:t>
      </w:r>
      <w:r w:rsidR="000D3947" w:rsidRPr="006E23DE">
        <w:rPr>
          <w:rFonts w:ascii="ITC Avant Garde" w:hAnsi="ITC Avant Garde"/>
          <w:bCs/>
        </w:rPr>
        <w:t>20</w:t>
      </w:r>
      <w:r w:rsidRPr="006E23DE">
        <w:rPr>
          <w:rFonts w:ascii="ITC Avant Garde" w:hAnsi="ITC Avant Garde"/>
          <w:bCs/>
        </w:rPr>
        <w:t xml:space="preserve"> (</w:t>
      </w:r>
      <w:r w:rsidR="000D3947" w:rsidRPr="006E23DE">
        <w:rPr>
          <w:rFonts w:ascii="ITC Avant Garde" w:hAnsi="ITC Avant Garde"/>
          <w:bCs/>
        </w:rPr>
        <w:t>veinte</w:t>
      </w:r>
      <w:r w:rsidRPr="006E23DE">
        <w:rPr>
          <w:rFonts w:ascii="ITC Avant Garde" w:hAnsi="ITC Avant Garde"/>
          <w:bCs/>
        </w:rPr>
        <w:t xml:space="preserve">) años contados a partir de </w:t>
      </w:r>
      <w:r w:rsidR="00C12119" w:rsidRPr="006E23DE">
        <w:rPr>
          <w:rFonts w:ascii="ITC Avant Garde" w:hAnsi="ITC Avant Garde"/>
          <w:bCs/>
        </w:rPr>
        <w:t xml:space="preserve">la fecha en que Telmex inicie operaciones comerciales o de explotación de la Red, de conformidad con lo establecido en el numeral A.3. del Anexo A, y </w:t>
      </w:r>
      <w:r w:rsidR="004F4C97" w:rsidRPr="006E23DE">
        <w:rPr>
          <w:rFonts w:ascii="ITC Avant Garde" w:hAnsi="ITC Avant Garde"/>
          <w:bCs/>
        </w:rPr>
        <w:t xml:space="preserve">que ésta </w:t>
      </w:r>
      <w:r w:rsidR="00C12119" w:rsidRPr="006E23DE">
        <w:rPr>
          <w:rFonts w:ascii="ITC Avant Garde" w:hAnsi="ITC Avant Garde"/>
          <w:bCs/>
        </w:rPr>
        <w:t xml:space="preserve">podrá ser prorrogada de acuerdo con lo señalado por el artículo </w:t>
      </w:r>
      <w:r w:rsidRPr="006E23DE">
        <w:rPr>
          <w:rFonts w:ascii="ITC Avant Garde" w:hAnsi="ITC Avant Garde"/>
          <w:bCs/>
        </w:rPr>
        <w:t xml:space="preserve">27 de la </w:t>
      </w:r>
      <w:r w:rsidR="00254DE9" w:rsidRPr="006E23DE">
        <w:rPr>
          <w:rFonts w:ascii="ITC Avant Garde" w:hAnsi="ITC Avant Garde"/>
          <w:bCs/>
        </w:rPr>
        <w:t>LFT</w:t>
      </w:r>
      <w:r w:rsidR="00337672" w:rsidRPr="006E23DE">
        <w:rPr>
          <w:rFonts w:ascii="ITC Avant Garde" w:hAnsi="ITC Avant Garde"/>
          <w:bCs/>
        </w:rPr>
        <w:t xml:space="preserve">. </w:t>
      </w:r>
      <w:r w:rsidRPr="006E23DE">
        <w:rPr>
          <w:rFonts w:ascii="ITC Avant Garde" w:hAnsi="ITC Avant Garde"/>
          <w:bCs/>
        </w:rPr>
        <w:t>Por su parte, el último párrafo de la condición 1</w:t>
      </w:r>
      <w:r w:rsidR="00676801" w:rsidRPr="006E23DE">
        <w:rPr>
          <w:rFonts w:ascii="ITC Avant Garde" w:hAnsi="ITC Avant Garde"/>
          <w:bCs/>
        </w:rPr>
        <w:t>.</w:t>
      </w:r>
      <w:r w:rsidR="00D618D3" w:rsidRPr="006E23DE">
        <w:rPr>
          <w:rFonts w:ascii="ITC Avant Garde" w:hAnsi="ITC Avant Garde"/>
          <w:bCs/>
        </w:rPr>
        <w:t>6</w:t>
      </w:r>
      <w:r w:rsidR="00676801" w:rsidRPr="006E23DE">
        <w:rPr>
          <w:rFonts w:ascii="ITC Avant Garde" w:hAnsi="ITC Avant Garde"/>
          <w:bCs/>
        </w:rPr>
        <w:t>.</w:t>
      </w:r>
      <w:r w:rsidRPr="006E23DE">
        <w:rPr>
          <w:rFonts w:ascii="ITC Avant Garde" w:hAnsi="ITC Avant Garde"/>
          <w:bCs/>
        </w:rPr>
        <w:t xml:space="preserve"> del citado título establece que el concesionario acepta que si las disposiciones legales, reglamentarias y administrativas aplicables, fueran derogadas, modificadas o adicionadas, el concesionario quedará sujeto a la nueva legislación y disposiciones administrativas</w:t>
      </w:r>
      <w:r w:rsidR="00A920E0" w:rsidRPr="006E23DE">
        <w:rPr>
          <w:rFonts w:ascii="ITC Avant Garde" w:hAnsi="ITC Avant Garde"/>
          <w:bCs/>
        </w:rPr>
        <w:t>,</w:t>
      </w:r>
      <w:r w:rsidRPr="006E23DE">
        <w:rPr>
          <w:rFonts w:ascii="ITC Avant Garde" w:hAnsi="ITC Avant Garde"/>
          <w:bCs/>
        </w:rPr>
        <w:t xml:space="preserve"> a partir de su entrada en vigor.</w:t>
      </w:r>
    </w:p>
    <w:p w14:paraId="47CD4599" w14:textId="77777777" w:rsidR="00221B21" w:rsidRPr="006E23DE" w:rsidRDefault="00171674" w:rsidP="006E23DE">
      <w:pPr>
        <w:autoSpaceDE w:val="0"/>
        <w:autoSpaceDN w:val="0"/>
        <w:adjustRightInd w:val="0"/>
        <w:spacing w:after="240" w:line="240" w:lineRule="auto"/>
        <w:jc w:val="both"/>
        <w:rPr>
          <w:rFonts w:ascii="ITC Avant Garde" w:hAnsi="ITC Avant Garde"/>
          <w:bCs/>
        </w:rPr>
      </w:pPr>
      <w:r w:rsidRPr="006E23DE">
        <w:rPr>
          <w:rFonts w:ascii="ITC Avant Garde" w:hAnsi="ITC Avant Garde"/>
          <w:bCs/>
        </w:rPr>
        <w:t>Por otro lado la</w:t>
      </w:r>
      <w:r w:rsidR="00C12119" w:rsidRPr="006E23DE">
        <w:rPr>
          <w:rFonts w:ascii="ITC Avant Garde" w:hAnsi="ITC Avant Garde"/>
          <w:bCs/>
        </w:rPr>
        <w:t>s</w:t>
      </w:r>
      <w:r w:rsidRPr="006E23DE">
        <w:rPr>
          <w:rFonts w:ascii="ITC Avant Garde" w:hAnsi="ITC Avant Garde"/>
          <w:bCs/>
        </w:rPr>
        <w:t xml:space="preserve"> Concesi</w:t>
      </w:r>
      <w:r w:rsidR="00C12119" w:rsidRPr="006E23DE">
        <w:rPr>
          <w:rFonts w:ascii="ITC Avant Garde" w:hAnsi="ITC Avant Garde"/>
          <w:bCs/>
        </w:rPr>
        <w:t>ones</w:t>
      </w:r>
      <w:r w:rsidRPr="006E23DE">
        <w:rPr>
          <w:rFonts w:ascii="ITC Avant Garde" w:hAnsi="ITC Avant Garde"/>
          <w:bCs/>
        </w:rPr>
        <w:t xml:space="preserve"> de Bandas establece</w:t>
      </w:r>
      <w:r w:rsidR="00E47BFD" w:rsidRPr="006E23DE">
        <w:rPr>
          <w:rFonts w:ascii="ITC Avant Garde" w:hAnsi="ITC Avant Garde"/>
          <w:bCs/>
        </w:rPr>
        <w:t>n</w:t>
      </w:r>
      <w:r w:rsidRPr="006E23DE">
        <w:rPr>
          <w:rFonts w:ascii="ITC Avant Garde" w:hAnsi="ITC Avant Garde"/>
          <w:bCs/>
        </w:rPr>
        <w:t xml:space="preserve"> en su </w:t>
      </w:r>
      <w:r w:rsidR="00E47BFD" w:rsidRPr="006E23DE">
        <w:rPr>
          <w:rFonts w:ascii="ITC Avant Garde" w:hAnsi="ITC Avant Garde"/>
          <w:bCs/>
        </w:rPr>
        <w:t xml:space="preserve">respectiva </w:t>
      </w:r>
      <w:r w:rsidRPr="006E23DE">
        <w:rPr>
          <w:rFonts w:ascii="ITC Avant Garde" w:hAnsi="ITC Avant Garde"/>
          <w:bCs/>
        </w:rPr>
        <w:t xml:space="preserve">condición </w:t>
      </w:r>
      <w:r w:rsidR="00E47BFD" w:rsidRPr="006E23DE">
        <w:rPr>
          <w:rFonts w:ascii="ITC Avant Garde" w:hAnsi="ITC Avant Garde"/>
          <w:bCs/>
        </w:rPr>
        <w:t>9</w:t>
      </w:r>
      <w:r w:rsidRPr="006E23DE">
        <w:rPr>
          <w:rFonts w:ascii="ITC Avant Garde" w:hAnsi="ITC Avant Garde"/>
          <w:bCs/>
        </w:rPr>
        <w:t xml:space="preserve"> que la vigencia de la</w:t>
      </w:r>
      <w:r w:rsidR="00E47BFD" w:rsidRPr="006E23DE">
        <w:rPr>
          <w:rFonts w:ascii="ITC Avant Garde" w:hAnsi="ITC Avant Garde"/>
          <w:bCs/>
        </w:rPr>
        <w:t>s</w:t>
      </w:r>
      <w:r w:rsidRPr="006E23DE">
        <w:rPr>
          <w:rFonts w:ascii="ITC Avant Garde" w:hAnsi="ITC Avant Garde"/>
          <w:bCs/>
        </w:rPr>
        <w:t xml:space="preserve"> misma</w:t>
      </w:r>
      <w:r w:rsidR="00E47BFD" w:rsidRPr="006E23DE">
        <w:rPr>
          <w:rFonts w:ascii="ITC Avant Garde" w:hAnsi="ITC Avant Garde"/>
          <w:bCs/>
        </w:rPr>
        <w:t>s</w:t>
      </w:r>
      <w:r w:rsidRPr="006E23DE">
        <w:rPr>
          <w:rFonts w:ascii="ITC Avant Garde" w:hAnsi="ITC Avant Garde"/>
          <w:bCs/>
        </w:rPr>
        <w:t xml:space="preserve"> será de </w:t>
      </w:r>
      <w:r w:rsidR="00995AC6" w:rsidRPr="006E23DE">
        <w:rPr>
          <w:rFonts w:ascii="ITC Avant Garde" w:hAnsi="ITC Avant Garde"/>
          <w:bCs/>
        </w:rPr>
        <w:t xml:space="preserve">20 (veinte) años contados a partir de </w:t>
      </w:r>
      <w:r w:rsidR="00E47BFD" w:rsidRPr="006E23DE">
        <w:rPr>
          <w:rFonts w:ascii="ITC Avant Garde" w:hAnsi="ITC Avant Garde"/>
          <w:bCs/>
        </w:rPr>
        <w:t xml:space="preserve">la fecha de inicio </w:t>
      </w:r>
      <w:r w:rsidR="00ED3D77" w:rsidRPr="006E23DE">
        <w:rPr>
          <w:rFonts w:ascii="ITC Avant Garde" w:hAnsi="ITC Avant Garde"/>
          <w:bCs/>
        </w:rPr>
        <w:t xml:space="preserve">de </w:t>
      </w:r>
      <w:r w:rsidR="00E47BFD" w:rsidRPr="006E23DE">
        <w:rPr>
          <w:rFonts w:ascii="ITC Avant Garde" w:hAnsi="ITC Avant Garde"/>
          <w:bCs/>
        </w:rPr>
        <w:t>operaciones comerciales o de explotación de la Red, de conformidad con lo establecido en el numeral A.3. de la Concesión de Red que se otorga en el mismo acto administrativo</w:t>
      </w:r>
      <w:r w:rsidR="00995AC6" w:rsidRPr="006E23DE">
        <w:rPr>
          <w:rFonts w:ascii="ITC Avant Garde" w:hAnsi="ITC Avant Garde"/>
          <w:bCs/>
        </w:rPr>
        <w:t xml:space="preserve">. De igual forma, el </w:t>
      </w:r>
      <w:r w:rsidR="00E47BFD" w:rsidRPr="006E23DE">
        <w:rPr>
          <w:rFonts w:ascii="ITC Avant Garde" w:hAnsi="ITC Avant Garde"/>
          <w:bCs/>
        </w:rPr>
        <w:t>último</w:t>
      </w:r>
      <w:r w:rsidR="00995AC6" w:rsidRPr="006E23DE">
        <w:rPr>
          <w:rFonts w:ascii="ITC Avant Garde" w:hAnsi="ITC Avant Garde"/>
          <w:bCs/>
        </w:rPr>
        <w:t xml:space="preserve"> párrafo de la condición 1</w:t>
      </w:r>
      <w:r w:rsidR="00E47BFD" w:rsidRPr="006E23DE">
        <w:rPr>
          <w:rFonts w:ascii="ITC Avant Garde" w:hAnsi="ITC Avant Garde"/>
          <w:bCs/>
        </w:rPr>
        <w:t>0</w:t>
      </w:r>
      <w:r w:rsidR="00995AC6" w:rsidRPr="006E23DE">
        <w:rPr>
          <w:rFonts w:ascii="ITC Avant Garde" w:hAnsi="ITC Avant Garde"/>
          <w:bCs/>
        </w:rPr>
        <w:t xml:space="preserve"> de</w:t>
      </w:r>
      <w:r w:rsidR="00E47BFD" w:rsidRPr="006E23DE">
        <w:rPr>
          <w:rFonts w:ascii="ITC Avant Garde" w:hAnsi="ITC Avant Garde"/>
          <w:bCs/>
        </w:rPr>
        <w:t xml:space="preserve"> </w:t>
      </w:r>
      <w:r w:rsidR="00995AC6" w:rsidRPr="006E23DE">
        <w:rPr>
          <w:rFonts w:ascii="ITC Avant Garde" w:hAnsi="ITC Avant Garde"/>
          <w:bCs/>
        </w:rPr>
        <w:t>l</w:t>
      </w:r>
      <w:r w:rsidR="00E47BFD" w:rsidRPr="006E23DE">
        <w:rPr>
          <w:rFonts w:ascii="ITC Avant Garde" w:hAnsi="ITC Avant Garde"/>
          <w:bCs/>
        </w:rPr>
        <w:t>os</w:t>
      </w:r>
      <w:r w:rsidR="00995AC6" w:rsidRPr="006E23DE">
        <w:rPr>
          <w:rFonts w:ascii="ITC Avant Garde" w:hAnsi="ITC Avant Garde"/>
          <w:bCs/>
        </w:rPr>
        <w:t xml:space="preserve"> citado</w:t>
      </w:r>
      <w:r w:rsidR="00E47BFD" w:rsidRPr="006E23DE">
        <w:rPr>
          <w:rFonts w:ascii="ITC Avant Garde" w:hAnsi="ITC Avant Garde"/>
          <w:bCs/>
        </w:rPr>
        <w:t>s</w:t>
      </w:r>
      <w:r w:rsidR="00995AC6" w:rsidRPr="006E23DE">
        <w:rPr>
          <w:rFonts w:ascii="ITC Avant Garde" w:hAnsi="ITC Avant Garde"/>
          <w:bCs/>
        </w:rPr>
        <w:t xml:space="preserve"> título</w:t>
      </w:r>
      <w:r w:rsidR="00E47BFD" w:rsidRPr="006E23DE">
        <w:rPr>
          <w:rFonts w:ascii="ITC Avant Garde" w:hAnsi="ITC Avant Garde"/>
          <w:bCs/>
        </w:rPr>
        <w:t>s</w:t>
      </w:r>
      <w:r w:rsidR="00995AC6" w:rsidRPr="006E23DE">
        <w:rPr>
          <w:rFonts w:ascii="ITC Avant Garde" w:hAnsi="ITC Avant Garde"/>
          <w:bCs/>
        </w:rPr>
        <w:t xml:space="preserve"> establece que el concesionario acepta que si los preceptos legales y las disposiciones administrativas aplicables, fueren derogados, modificados o adicionados, el concesionario quedará sujeto a la nueva legislación y disposiciones administrativas</w:t>
      </w:r>
      <w:r w:rsidR="00E47BFD" w:rsidRPr="006E23DE">
        <w:rPr>
          <w:rFonts w:ascii="ITC Avant Garde" w:hAnsi="ITC Avant Garde"/>
          <w:bCs/>
        </w:rPr>
        <w:t>,</w:t>
      </w:r>
      <w:r w:rsidR="00995AC6" w:rsidRPr="006E23DE">
        <w:rPr>
          <w:rFonts w:ascii="ITC Avant Garde" w:hAnsi="ITC Avant Garde"/>
          <w:bCs/>
        </w:rPr>
        <w:t xml:space="preserve"> a partir de su entrada en vigor.</w:t>
      </w:r>
    </w:p>
    <w:p w14:paraId="2DE7D73A" w14:textId="77777777" w:rsidR="00221B21" w:rsidRPr="006E23DE" w:rsidRDefault="00B7256C" w:rsidP="006E23DE">
      <w:pPr>
        <w:autoSpaceDE w:val="0"/>
        <w:autoSpaceDN w:val="0"/>
        <w:adjustRightInd w:val="0"/>
        <w:spacing w:after="240" w:line="240" w:lineRule="auto"/>
        <w:jc w:val="both"/>
        <w:rPr>
          <w:rFonts w:ascii="ITC Avant Garde" w:hAnsi="ITC Avant Garde"/>
          <w:bCs/>
        </w:rPr>
      </w:pPr>
      <w:r w:rsidRPr="006E23DE">
        <w:rPr>
          <w:rFonts w:ascii="ITC Avant Garde" w:hAnsi="ITC Avant Garde"/>
          <w:bCs/>
        </w:rPr>
        <w:t>Considerando que para el caso en particular la LFT resulta inaplicable</w:t>
      </w:r>
      <w:r w:rsidR="00A66BCD" w:rsidRPr="006E23DE">
        <w:rPr>
          <w:rFonts w:ascii="ITC Avant Garde" w:hAnsi="ITC Avant Garde"/>
          <w:bCs/>
        </w:rPr>
        <w:t>,</w:t>
      </w:r>
      <w:r w:rsidRPr="006E23DE">
        <w:rPr>
          <w:rFonts w:ascii="ITC Avant Garde" w:hAnsi="ITC Avant Garde"/>
          <w:bCs/>
        </w:rPr>
        <w:t xml:space="preserve"> </w:t>
      </w:r>
      <w:r w:rsidR="00F94F6F" w:rsidRPr="006E23DE">
        <w:rPr>
          <w:rFonts w:ascii="ITC Avant Garde" w:hAnsi="ITC Avant Garde"/>
          <w:bCs/>
        </w:rPr>
        <w:t>pues la</w:t>
      </w:r>
      <w:r w:rsidR="00652304" w:rsidRPr="006E23DE">
        <w:rPr>
          <w:rFonts w:ascii="ITC Avant Garde" w:hAnsi="ITC Avant Garde"/>
          <w:bCs/>
        </w:rPr>
        <w:t>s</w:t>
      </w:r>
      <w:r w:rsidR="00F94F6F" w:rsidRPr="006E23DE">
        <w:rPr>
          <w:rFonts w:ascii="ITC Avant Garde" w:hAnsi="ITC Avant Garde"/>
          <w:bCs/>
        </w:rPr>
        <w:t xml:space="preserve"> </w:t>
      </w:r>
      <w:r w:rsidR="00402953" w:rsidRPr="006E23DE">
        <w:rPr>
          <w:rFonts w:ascii="ITC Avant Garde" w:hAnsi="ITC Avant Garde"/>
          <w:bCs/>
        </w:rPr>
        <w:t>Solicitud</w:t>
      </w:r>
      <w:r w:rsidR="00652304" w:rsidRPr="006E23DE">
        <w:rPr>
          <w:rFonts w:ascii="ITC Avant Garde" w:hAnsi="ITC Avant Garde"/>
          <w:bCs/>
        </w:rPr>
        <w:t>es</w:t>
      </w:r>
      <w:r w:rsidR="00402953" w:rsidRPr="006E23DE">
        <w:rPr>
          <w:rFonts w:ascii="ITC Avant Garde" w:hAnsi="ITC Avant Garde"/>
          <w:bCs/>
        </w:rPr>
        <w:t xml:space="preserve"> de Pr</w:t>
      </w:r>
      <w:r w:rsidR="00F94F6F" w:rsidRPr="006E23DE">
        <w:rPr>
          <w:rFonts w:ascii="ITC Avant Garde" w:hAnsi="ITC Avant Garde"/>
          <w:bCs/>
        </w:rPr>
        <w:t>órroga fue</w:t>
      </w:r>
      <w:r w:rsidR="00995AC6" w:rsidRPr="006E23DE">
        <w:rPr>
          <w:rFonts w:ascii="ITC Avant Garde" w:hAnsi="ITC Avant Garde"/>
          <w:bCs/>
        </w:rPr>
        <w:t xml:space="preserve">ron </w:t>
      </w:r>
      <w:r w:rsidR="000C290F" w:rsidRPr="006E23DE">
        <w:rPr>
          <w:rFonts w:ascii="ITC Avant Garde" w:hAnsi="ITC Avant Garde"/>
          <w:bCs/>
        </w:rPr>
        <w:t>presentadas en</w:t>
      </w:r>
      <w:r w:rsidR="00652304" w:rsidRPr="006E23DE">
        <w:rPr>
          <w:rFonts w:ascii="ITC Avant Garde" w:hAnsi="ITC Avant Garde"/>
          <w:bCs/>
        </w:rPr>
        <w:t xml:space="preserve"> el Instituto</w:t>
      </w:r>
      <w:r w:rsidR="00F94F6F" w:rsidRPr="006E23DE">
        <w:rPr>
          <w:rFonts w:ascii="ITC Avant Garde" w:hAnsi="ITC Avant Garde"/>
          <w:bCs/>
        </w:rPr>
        <w:t xml:space="preserve"> el </w:t>
      </w:r>
      <w:r w:rsidR="00E47BFD" w:rsidRPr="006E23DE">
        <w:rPr>
          <w:rFonts w:ascii="ITC Avant Garde" w:hAnsi="ITC Avant Garde"/>
          <w:bCs/>
        </w:rPr>
        <w:t>26</w:t>
      </w:r>
      <w:r w:rsidR="00D618D3" w:rsidRPr="006E23DE">
        <w:rPr>
          <w:rFonts w:ascii="ITC Avant Garde" w:hAnsi="ITC Avant Garde"/>
          <w:bCs/>
        </w:rPr>
        <w:t xml:space="preserve"> de </w:t>
      </w:r>
      <w:r w:rsidR="00E47BFD" w:rsidRPr="006E23DE">
        <w:rPr>
          <w:rFonts w:ascii="ITC Avant Garde" w:hAnsi="ITC Avant Garde"/>
          <w:bCs/>
        </w:rPr>
        <w:t>enero</w:t>
      </w:r>
      <w:r w:rsidR="00D618D3" w:rsidRPr="006E23DE">
        <w:rPr>
          <w:rFonts w:ascii="ITC Avant Garde" w:hAnsi="ITC Avant Garde"/>
          <w:bCs/>
        </w:rPr>
        <w:t xml:space="preserve"> de 201</w:t>
      </w:r>
      <w:r w:rsidR="00E47BFD" w:rsidRPr="006E23DE">
        <w:rPr>
          <w:rFonts w:ascii="ITC Avant Garde" w:hAnsi="ITC Avant Garde"/>
          <w:bCs/>
        </w:rPr>
        <w:t>6</w:t>
      </w:r>
      <w:r w:rsidR="00F94F6F" w:rsidRPr="006E23DE">
        <w:rPr>
          <w:rFonts w:ascii="ITC Avant Garde" w:hAnsi="ITC Avant Garde"/>
          <w:bCs/>
        </w:rPr>
        <w:t xml:space="preserve">, fecha en la cual se encontraba ya en vigor la </w:t>
      </w:r>
      <w:r w:rsidR="004B6A2A" w:rsidRPr="006E23DE">
        <w:rPr>
          <w:rFonts w:ascii="ITC Avant Garde" w:hAnsi="ITC Avant Garde"/>
          <w:bCs/>
        </w:rPr>
        <w:t>Ley</w:t>
      </w:r>
      <w:r w:rsidR="00F94F6F" w:rsidRPr="006E23DE">
        <w:rPr>
          <w:rFonts w:ascii="ITC Avant Garde" w:hAnsi="ITC Avant Garde"/>
          <w:bCs/>
        </w:rPr>
        <w:t xml:space="preserve">, </w:t>
      </w:r>
      <w:r w:rsidR="0061482B" w:rsidRPr="006E23DE">
        <w:rPr>
          <w:rFonts w:ascii="ITC Avant Garde" w:hAnsi="ITC Avant Garde"/>
          <w:bCs/>
        </w:rPr>
        <w:t>y</w:t>
      </w:r>
      <w:r w:rsidR="00F94F6F" w:rsidRPr="006E23DE">
        <w:rPr>
          <w:rFonts w:ascii="ITC Avant Garde" w:hAnsi="ITC Avant Garde"/>
          <w:bCs/>
        </w:rPr>
        <w:t xml:space="preserve"> </w:t>
      </w:r>
      <w:r w:rsidRPr="006E23DE">
        <w:rPr>
          <w:rFonts w:ascii="ITC Avant Garde" w:hAnsi="ITC Avant Garde"/>
          <w:bCs/>
        </w:rPr>
        <w:t xml:space="preserve">a efecto de brindar plena certeza jurídica a los particulares con respecto </w:t>
      </w:r>
      <w:r w:rsidR="00F94F6F" w:rsidRPr="006E23DE">
        <w:rPr>
          <w:rFonts w:ascii="ITC Avant Garde" w:hAnsi="ITC Avant Garde"/>
          <w:bCs/>
        </w:rPr>
        <w:t>al</w:t>
      </w:r>
      <w:r w:rsidRPr="006E23DE">
        <w:rPr>
          <w:rFonts w:ascii="ITC Avant Garde" w:hAnsi="ITC Avant Garde"/>
          <w:bCs/>
        </w:rPr>
        <w:t xml:space="preserve"> trámite de prórroga que nos ocupa, la solicitud de mérito debe analizarse con base en lo establecido por </w:t>
      </w:r>
      <w:r w:rsidR="00995AC6" w:rsidRPr="006E23DE">
        <w:rPr>
          <w:rFonts w:ascii="ITC Avant Garde" w:hAnsi="ITC Avant Garde"/>
          <w:bCs/>
        </w:rPr>
        <w:t>los</w:t>
      </w:r>
      <w:r w:rsidRPr="006E23DE">
        <w:rPr>
          <w:rFonts w:ascii="ITC Avant Garde" w:hAnsi="ITC Avant Garde"/>
          <w:bCs/>
        </w:rPr>
        <w:t xml:space="preserve"> artículo</w:t>
      </w:r>
      <w:r w:rsidR="00995AC6" w:rsidRPr="006E23DE">
        <w:rPr>
          <w:rFonts w:ascii="ITC Avant Garde" w:hAnsi="ITC Avant Garde"/>
          <w:bCs/>
        </w:rPr>
        <w:t>s</w:t>
      </w:r>
      <w:r w:rsidRPr="006E23DE">
        <w:rPr>
          <w:rFonts w:ascii="ITC Avant Garde" w:hAnsi="ITC Avant Garde"/>
          <w:bCs/>
        </w:rPr>
        <w:t xml:space="preserve"> 113</w:t>
      </w:r>
      <w:r w:rsidR="00995AC6" w:rsidRPr="006E23DE">
        <w:rPr>
          <w:rFonts w:ascii="ITC Avant Garde" w:hAnsi="ITC Avant Garde"/>
          <w:bCs/>
        </w:rPr>
        <w:t xml:space="preserve"> y 114</w:t>
      </w:r>
      <w:r w:rsidRPr="006E23DE">
        <w:rPr>
          <w:rFonts w:ascii="ITC Avant Garde" w:hAnsi="ITC Avant Garde"/>
          <w:bCs/>
        </w:rPr>
        <w:t xml:space="preserve"> de la Ley, mismo</w:t>
      </w:r>
      <w:r w:rsidR="00995AC6" w:rsidRPr="006E23DE">
        <w:rPr>
          <w:rFonts w:ascii="ITC Avant Garde" w:hAnsi="ITC Avant Garde"/>
          <w:bCs/>
        </w:rPr>
        <w:t>s</w:t>
      </w:r>
      <w:r w:rsidRPr="006E23DE">
        <w:rPr>
          <w:rFonts w:ascii="ITC Avant Garde" w:hAnsi="ITC Avant Garde"/>
          <w:bCs/>
        </w:rPr>
        <w:t xml:space="preserve"> que </w:t>
      </w:r>
      <w:r w:rsidR="00995AC6" w:rsidRPr="006E23DE">
        <w:rPr>
          <w:rFonts w:ascii="ITC Avant Garde" w:hAnsi="ITC Avant Garde"/>
          <w:bCs/>
        </w:rPr>
        <w:t>establecen</w:t>
      </w:r>
      <w:r w:rsidRPr="006E23DE">
        <w:rPr>
          <w:rFonts w:ascii="ITC Avant Garde" w:hAnsi="ITC Avant Garde"/>
          <w:bCs/>
        </w:rPr>
        <w:t xml:space="preserve"> lo siguiente:</w:t>
      </w:r>
    </w:p>
    <w:p w14:paraId="3FE8E859" w14:textId="77777777" w:rsidR="00221B21" w:rsidRPr="006E23DE" w:rsidRDefault="00B7256C" w:rsidP="006E23DE">
      <w:pPr>
        <w:tabs>
          <w:tab w:val="left" w:pos="8789"/>
        </w:tabs>
        <w:autoSpaceDE w:val="0"/>
        <w:autoSpaceDN w:val="0"/>
        <w:adjustRightInd w:val="0"/>
        <w:spacing w:after="240" w:line="240" w:lineRule="auto"/>
        <w:ind w:left="567" w:right="615"/>
        <w:jc w:val="both"/>
        <w:rPr>
          <w:rFonts w:ascii="ITC Avant Garde" w:hAnsi="ITC Avant Garde"/>
          <w:bCs/>
          <w:sz w:val="18"/>
          <w:szCs w:val="18"/>
        </w:rPr>
      </w:pPr>
      <w:r w:rsidRPr="006E23DE">
        <w:rPr>
          <w:rFonts w:ascii="ITC Avant Garde" w:hAnsi="ITC Avant Garde"/>
          <w:bCs/>
          <w:sz w:val="18"/>
          <w:szCs w:val="18"/>
        </w:rPr>
        <w:t>“</w:t>
      </w:r>
      <w:r w:rsidRPr="006E23DE">
        <w:rPr>
          <w:rFonts w:ascii="ITC Avant Garde" w:hAnsi="ITC Avant Garde"/>
          <w:b/>
          <w:bCs/>
          <w:sz w:val="18"/>
          <w:szCs w:val="18"/>
        </w:rPr>
        <w:t>Artículo 113</w:t>
      </w:r>
      <w:r w:rsidRPr="006E23DE">
        <w:rPr>
          <w:rFonts w:ascii="ITC Avant Garde" w:hAnsi="ITC Avant Garde"/>
          <w:bCs/>
          <w:sz w:val="18"/>
          <w:szCs w:val="18"/>
        </w:rPr>
        <w:t>. La concesión única podrá prorrogarse por el Instituto, siempre y cuando el concesionario lo hubiere solicitado dentro del año previo al inicio de la última quinta parte del plazo de vigencia de la concesión, se encuentre al corriente en el cumplimiento de las obligaciones establecidas en la Ley y demás disposiciones aplicables, así como en su título de concesión y acepte, previamente, las nuevas condiciones que, en su caso, se establezcan. El Instituto resolverá lo conducente dentro de los ciento ochenta días hábiles siguientes a la presentación de la solicitud.</w:t>
      </w:r>
    </w:p>
    <w:p w14:paraId="0CA406C7" w14:textId="77777777" w:rsidR="00221B21" w:rsidRPr="006E23DE" w:rsidRDefault="00B7256C" w:rsidP="006E23DE">
      <w:pPr>
        <w:tabs>
          <w:tab w:val="left" w:pos="8789"/>
        </w:tabs>
        <w:autoSpaceDE w:val="0"/>
        <w:autoSpaceDN w:val="0"/>
        <w:adjustRightInd w:val="0"/>
        <w:spacing w:after="240" w:line="240" w:lineRule="auto"/>
        <w:ind w:left="567" w:right="615"/>
        <w:jc w:val="both"/>
        <w:rPr>
          <w:rFonts w:ascii="ITC Avant Garde" w:hAnsi="ITC Avant Garde"/>
          <w:bCs/>
          <w:sz w:val="18"/>
          <w:szCs w:val="18"/>
        </w:rPr>
      </w:pPr>
      <w:r w:rsidRPr="006E23DE">
        <w:rPr>
          <w:rFonts w:ascii="ITC Avant Garde" w:hAnsi="ITC Avant Garde"/>
          <w:bCs/>
          <w:sz w:val="18"/>
          <w:szCs w:val="18"/>
        </w:rPr>
        <w:t>En caso de que el Instituto no resuelva en el plazo señalado en el párrafo anterior, se entenderá prorrogada la concesión única.”</w:t>
      </w:r>
    </w:p>
    <w:p w14:paraId="47860A44" w14:textId="77777777" w:rsidR="00221B21" w:rsidRPr="006E23DE" w:rsidRDefault="00995AC6" w:rsidP="006E23DE">
      <w:pPr>
        <w:tabs>
          <w:tab w:val="left" w:pos="8789"/>
        </w:tabs>
        <w:spacing w:after="240" w:line="240" w:lineRule="auto"/>
        <w:ind w:left="567" w:right="615"/>
        <w:jc w:val="both"/>
        <w:rPr>
          <w:rFonts w:ascii="ITC Avant Garde" w:hAnsi="ITC Avant Garde"/>
          <w:bCs/>
          <w:sz w:val="18"/>
          <w:szCs w:val="18"/>
        </w:rPr>
      </w:pPr>
      <w:r w:rsidRPr="006E23DE">
        <w:rPr>
          <w:rFonts w:ascii="ITC Avant Garde" w:hAnsi="ITC Avant Garde"/>
          <w:bCs/>
          <w:color w:val="000000"/>
          <w:sz w:val="18"/>
          <w:szCs w:val="18"/>
          <w:lang w:eastAsia="es-MX"/>
        </w:rPr>
        <w:lastRenderedPageBreak/>
        <w:t>“</w:t>
      </w:r>
      <w:r w:rsidRPr="006E23DE">
        <w:rPr>
          <w:rFonts w:ascii="ITC Avant Garde" w:hAnsi="ITC Avant Garde"/>
          <w:b/>
          <w:bCs/>
          <w:color w:val="000000"/>
          <w:sz w:val="18"/>
          <w:szCs w:val="18"/>
          <w:lang w:eastAsia="es-MX"/>
        </w:rPr>
        <w:t>Artículo 114.</w:t>
      </w:r>
      <w:r w:rsidRPr="006E23DE">
        <w:rPr>
          <w:rFonts w:ascii="ITC Avant Garde" w:eastAsia="Times New Roman" w:hAnsi="ITC Avant Garde"/>
          <w:b/>
          <w:bCs/>
          <w:color w:val="000000"/>
          <w:sz w:val="18"/>
          <w:szCs w:val="18"/>
          <w:lang w:val="es-ES" w:eastAsia="es-MX"/>
        </w:rPr>
        <w:t xml:space="preserve"> </w:t>
      </w:r>
      <w:r w:rsidRPr="006E23DE">
        <w:rPr>
          <w:rFonts w:ascii="ITC Avant Garde" w:hAnsi="ITC Avant Garde"/>
          <w:bCs/>
          <w:sz w:val="18"/>
          <w:szCs w:val="18"/>
        </w:rPr>
        <w:t>Para el otorgamiento de las prórrogas de concesiones de bandas de frecuencias o de recursos orbitales, será necesario que el concesionario la solicite al Instituto dentro del año previo al inicio de la última quinta parte del plazo de vigencia de la concesión, se encuentre al corriente en el cumplimiento de las obligaciones establecidas en la Ley y demás disposiciones aplicables, así como en su título de concesión.</w:t>
      </w:r>
    </w:p>
    <w:p w14:paraId="717C8396" w14:textId="77777777" w:rsidR="00221B21" w:rsidRPr="006E23DE" w:rsidRDefault="00995AC6" w:rsidP="006E23DE">
      <w:pPr>
        <w:tabs>
          <w:tab w:val="left" w:pos="8789"/>
        </w:tabs>
        <w:spacing w:after="240" w:line="240" w:lineRule="auto"/>
        <w:ind w:left="567" w:right="615"/>
        <w:jc w:val="both"/>
        <w:rPr>
          <w:rFonts w:ascii="ITC Avant Garde" w:hAnsi="ITC Avant Garde"/>
          <w:bCs/>
          <w:sz w:val="18"/>
          <w:szCs w:val="18"/>
        </w:rPr>
      </w:pPr>
      <w:r w:rsidRPr="006E23DE">
        <w:rPr>
          <w:rFonts w:ascii="ITC Avant Garde" w:hAnsi="ITC Avant Garde"/>
          <w:bCs/>
          <w:sz w:val="18"/>
          <w:szCs w:val="18"/>
        </w:rPr>
        <w:t>El Instituto resolverá dentro del año siguiente a la presentación de la solicitud, si existe interés público en recuperar el espectro radioeléctrico o los recursos orbitales, en cuyo caso notificará al concesionario su determinación y procederá la terminación de la concesión al término de su vigencia.</w:t>
      </w:r>
    </w:p>
    <w:p w14:paraId="009DA009" w14:textId="77777777" w:rsidR="00221B21" w:rsidRPr="006E23DE" w:rsidRDefault="00995AC6" w:rsidP="006E23DE">
      <w:pPr>
        <w:tabs>
          <w:tab w:val="left" w:pos="8789"/>
        </w:tabs>
        <w:spacing w:after="240" w:line="240" w:lineRule="auto"/>
        <w:ind w:left="567" w:right="615"/>
        <w:jc w:val="both"/>
        <w:rPr>
          <w:rFonts w:ascii="ITC Avant Garde" w:hAnsi="ITC Avant Garde"/>
          <w:bCs/>
          <w:sz w:val="18"/>
          <w:szCs w:val="18"/>
        </w:rPr>
      </w:pPr>
      <w:r w:rsidRPr="006E23DE">
        <w:rPr>
          <w:rFonts w:ascii="ITC Avant Garde" w:hAnsi="ITC Avant Garde"/>
          <w:bCs/>
          <w:sz w:val="18"/>
          <w:szCs w:val="18"/>
        </w:rPr>
        <w:t>En caso que el Instituto determine que no existe interés público en recuperar el espectro radioeléctrico o los recursos orbitales, otorgará la prórroga solicitada dentro del mismo plazo señalado en el artículo anterior, siempre y cuando el concesionario acepte, previamente, las nuevas condiciones que fije el Instituto, entre las que se incluirá el pago de una contraprestación.</w:t>
      </w:r>
    </w:p>
    <w:p w14:paraId="3E4D9FD0" w14:textId="77777777" w:rsidR="00221B21" w:rsidRPr="006E23DE" w:rsidRDefault="00995AC6" w:rsidP="006E23DE">
      <w:pPr>
        <w:tabs>
          <w:tab w:val="left" w:pos="8789"/>
        </w:tabs>
        <w:autoSpaceDE w:val="0"/>
        <w:autoSpaceDN w:val="0"/>
        <w:adjustRightInd w:val="0"/>
        <w:spacing w:after="240" w:line="240" w:lineRule="auto"/>
        <w:ind w:left="567" w:right="615"/>
        <w:jc w:val="both"/>
        <w:rPr>
          <w:rFonts w:ascii="ITC Avant Garde" w:hAnsi="ITC Avant Garde"/>
          <w:bCs/>
          <w:sz w:val="18"/>
          <w:szCs w:val="18"/>
        </w:rPr>
      </w:pPr>
      <w:r w:rsidRPr="006E23DE">
        <w:rPr>
          <w:rFonts w:ascii="ITC Avant Garde" w:hAnsi="ITC Avant Garde"/>
          <w:bCs/>
          <w:sz w:val="18"/>
          <w:szCs w:val="18"/>
        </w:rPr>
        <w:t>Para el otorgamiento de las prórrogas de las concesiones a las que se refiere esta Ley, el Instituto notificará a la Secretaría, previo a su determinación, quien podrá emitir opinión técnica no vinculante, en un plazo no mayor a treinta días. Transcurrido este plazo sin que se emita la opinión, el Instituto continuará el trámite correspondiente.”</w:t>
      </w:r>
    </w:p>
    <w:p w14:paraId="691E9A54" w14:textId="77777777" w:rsidR="00221B21" w:rsidRPr="006E23DE" w:rsidRDefault="00652304" w:rsidP="006E23DE">
      <w:pPr>
        <w:autoSpaceDE w:val="0"/>
        <w:autoSpaceDN w:val="0"/>
        <w:adjustRightInd w:val="0"/>
        <w:spacing w:after="240" w:line="240" w:lineRule="auto"/>
        <w:jc w:val="both"/>
        <w:rPr>
          <w:rFonts w:ascii="ITC Avant Garde" w:hAnsi="ITC Avant Garde"/>
          <w:bCs/>
          <w:color w:val="000000"/>
          <w:lang w:eastAsia="es-MX"/>
        </w:rPr>
      </w:pPr>
      <w:r w:rsidRPr="006E23DE">
        <w:rPr>
          <w:rFonts w:ascii="ITC Avant Garde" w:hAnsi="ITC Avant Garde"/>
          <w:bCs/>
          <w:color w:val="000000"/>
          <w:lang w:eastAsia="es-MX"/>
        </w:rPr>
        <w:t>En este sentido, dichos artículos establec</w:t>
      </w:r>
      <w:r w:rsidR="004F6C09" w:rsidRPr="006E23DE">
        <w:rPr>
          <w:rFonts w:ascii="ITC Avant Garde" w:hAnsi="ITC Avant Garde"/>
          <w:bCs/>
          <w:color w:val="000000"/>
          <w:lang w:eastAsia="es-MX"/>
        </w:rPr>
        <w:t>e</w:t>
      </w:r>
      <w:r w:rsidRPr="006E23DE">
        <w:rPr>
          <w:rFonts w:ascii="ITC Avant Garde" w:hAnsi="ITC Avant Garde"/>
          <w:bCs/>
          <w:color w:val="000000"/>
          <w:lang w:eastAsia="es-MX"/>
        </w:rPr>
        <w:t xml:space="preserve">n que para el otorgamiento de prórrogas de concesiones </w:t>
      </w:r>
      <w:r w:rsidR="004F6C09" w:rsidRPr="006E23DE">
        <w:rPr>
          <w:rFonts w:ascii="ITC Avant Garde" w:hAnsi="ITC Avant Garde"/>
          <w:bCs/>
          <w:color w:val="000000"/>
          <w:lang w:eastAsia="es-MX"/>
        </w:rPr>
        <w:t xml:space="preserve">única y </w:t>
      </w:r>
      <w:r w:rsidRPr="006E23DE">
        <w:rPr>
          <w:rFonts w:ascii="ITC Avant Garde" w:hAnsi="ITC Avant Garde"/>
          <w:bCs/>
          <w:color w:val="000000"/>
          <w:lang w:eastAsia="es-MX"/>
        </w:rPr>
        <w:t>de bandas de frecuencias</w:t>
      </w:r>
      <w:r w:rsidR="004F4C97" w:rsidRPr="006E23DE">
        <w:rPr>
          <w:rFonts w:ascii="ITC Avant Garde" w:hAnsi="ITC Avant Garde"/>
          <w:bCs/>
          <w:color w:val="000000"/>
          <w:lang w:eastAsia="es-MX"/>
        </w:rPr>
        <w:t xml:space="preserve"> del espectro radioeléctrico</w:t>
      </w:r>
      <w:r w:rsidRPr="006E23DE">
        <w:rPr>
          <w:rFonts w:ascii="ITC Avant Garde" w:hAnsi="ITC Avant Garde"/>
          <w:bCs/>
          <w:color w:val="000000"/>
          <w:lang w:eastAsia="es-MX"/>
        </w:rPr>
        <w:t>, respectivamente, e</w:t>
      </w:r>
      <w:r w:rsidR="004F6C09" w:rsidRPr="006E23DE">
        <w:rPr>
          <w:rFonts w:ascii="ITC Avant Garde" w:hAnsi="ITC Avant Garde"/>
          <w:bCs/>
          <w:color w:val="000000"/>
          <w:lang w:eastAsia="es-MX"/>
        </w:rPr>
        <w:t>s</w:t>
      </w:r>
      <w:r w:rsidRPr="006E23DE">
        <w:rPr>
          <w:rFonts w:ascii="ITC Avant Garde" w:hAnsi="ITC Avant Garde"/>
          <w:bCs/>
          <w:color w:val="000000"/>
          <w:lang w:eastAsia="es-MX"/>
        </w:rPr>
        <w:t xml:space="preserve"> necesario que el concesionario: i) </w:t>
      </w:r>
      <w:r w:rsidR="004F6C09" w:rsidRPr="006E23DE">
        <w:rPr>
          <w:rFonts w:ascii="ITC Avant Garde" w:hAnsi="ITC Avant Garde"/>
          <w:bCs/>
          <w:color w:val="000000"/>
          <w:lang w:eastAsia="es-MX"/>
        </w:rPr>
        <w:t xml:space="preserve">lo </w:t>
      </w:r>
      <w:r w:rsidRPr="006E23DE">
        <w:rPr>
          <w:rFonts w:ascii="ITC Avant Garde" w:hAnsi="ITC Avant Garde"/>
          <w:bCs/>
          <w:color w:val="000000"/>
          <w:lang w:eastAsia="es-MX"/>
        </w:rPr>
        <w:t xml:space="preserve">hubiere </w:t>
      </w:r>
      <w:r w:rsidR="004F6C09" w:rsidRPr="006E23DE">
        <w:rPr>
          <w:rFonts w:ascii="ITC Avant Garde" w:hAnsi="ITC Avant Garde"/>
          <w:bCs/>
          <w:color w:val="000000"/>
          <w:lang w:eastAsia="es-MX"/>
        </w:rPr>
        <w:t xml:space="preserve">solicitado dentro del año previo al inicio de la última quinta parte del plazo de vigencia de la concesión; </w:t>
      </w:r>
      <w:r w:rsidRPr="006E23DE">
        <w:rPr>
          <w:rFonts w:ascii="ITC Avant Garde" w:hAnsi="ITC Avant Garde"/>
          <w:bCs/>
          <w:color w:val="000000"/>
          <w:lang w:eastAsia="es-MX"/>
        </w:rPr>
        <w:t xml:space="preserve">ii) </w:t>
      </w:r>
      <w:r w:rsidR="004F6C09" w:rsidRPr="006E23DE">
        <w:rPr>
          <w:rFonts w:ascii="ITC Avant Garde" w:hAnsi="ITC Avant Garde"/>
          <w:bCs/>
          <w:color w:val="000000"/>
          <w:lang w:eastAsia="es-MX"/>
        </w:rPr>
        <w:t>se encuentre al corriente en el cumplimiento de las obligaciones establecidas en la Ley y demás disposiciones aplicables, así como en su título de concesión</w:t>
      </w:r>
      <w:r w:rsidR="005B6BC9" w:rsidRPr="006E23DE">
        <w:rPr>
          <w:rFonts w:ascii="ITC Avant Garde" w:hAnsi="ITC Avant Garde"/>
          <w:bCs/>
          <w:color w:val="000000"/>
          <w:lang w:eastAsia="es-MX"/>
        </w:rPr>
        <w:t>,</w:t>
      </w:r>
      <w:r w:rsidR="004F6C09" w:rsidRPr="006E23DE">
        <w:rPr>
          <w:rFonts w:ascii="ITC Avant Garde" w:hAnsi="ITC Avant Garde"/>
          <w:bCs/>
          <w:color w:val="000000"/>
          <w:lang w:eastAsia="es-MX"/>
        </w:rPr>
        <w:t xml:space="preserve"> y </w:t>
      </w:r>
      <w:r w:rsidRPr="006E23DE">
        <w:rPr>
          <w:rFonts w:ascii="ITC Avant Garde" w:hAnsi="ITC Avant Garde"/>
          <w:bCs/>
          <w:color w:val="000000"/>
          <w:lang w:eastAsia="es-MX"/>
        </w:rPr>
        <w:t>iii) acept</w:t>
      </w:r>
      <w:r w:rsidR="004F6C09" w:rsidRPr="006E23DE">
        <w:rPr>
          <w:rFonts w:ascii="ITC Avant Garde" w:hAnsi="ITC Avant Garde"/>
          <w:bCs/>
          <w:color w:val="000000"/>
          <w:lang w:eastAsia="es-MX"/>
        </w:rPr>
        <w:t>e</w:t>
      </w:r>
      <w:r w:rsidRPr="006E23DE">
        <w:rPr>
          <w:rFonts w:ascii="ITC Avant Garde" w:hAnsi="ITC Avant Garde"/>
          <w:bCs/>
          <w:color w:val="000000"/>
          <w:lang w:eastAsia="es-MX"/>
        </w:rPr>
        <w:t xml:space="preserve"> </w:t>
      </w:r>
      <w:r w:rsidR="004F6C09" w:rsidRPr="006E23DE">
        <w:rPr>
          <w:rFonts w:ascii="ITC Avant Garde" w:hAnsi="ITC Avant Garde"/>
          <w:bCs/>
          <w:color w:val="000000"/>
          <w:lang w:eastAsia="es-MX"/>
        </w:rPr>
        <w:t>previamente las nuevas</w:t>
      </w:r>
      <w:r w:rsidRPr="006E23DE">
        <w:rPr>
          <w:rFonts w:ascii="ITC Avant Garde" w:hAnsi="ITC Avant Garde"/>
          <w:bCs/>
          <w:color w:val="000000"/>
          <w:lang w:eastAsia="es-MX"/>
        </w:rPr>
        <w:t xml:space="preserve"> condiciones que</w:t>
      </w:r>
      <w:r w:rsidR="004F6C09" w:rsidRPr="006E23DE">
        <w:rPr>
          <w:rFonts w:ascii="ITC Avant Garde" w:hAnsi="ITC Avant Garde"/>
          <w:bCs/>
          <w:color w:val="000000"/>
          <w:lang w:eastAsia="es-MX"/>
        </w:rPr>
        <w:t>, en su caso,</w:t>
      </w:r>
      <w:r w:rsidRPr="006E23DE">
        <w:rPr>
          <w:rFonts w:ascii="ITC Avant Garde" w:hAnsi="ITC Avant Garde"/>
          <w:bCs/>
          <w:color w:val="000000"/>
          <w:lang w:eastAsia="es-MX"/>
        </w:rPr>
        <w:t xml:space="preserve"> se estable</w:t>
      </w:r>
      <w:r w:rsidR="004F6C09" w:rsidRPr="006E23DE">
        <w:rPr>
          <w:rFonts w:ascii="ITC Avant Garde" w:hAnsi="ITC Avant Garde"/>
          <w:bCs/>
          <w:color w:val="000000"/>
          <w:lang w:eastAsia="es-MX"/>
        </w:rPr>
        <w:t>z</w:t>
      </w:r>
      <w:r w:rsidRPr="006E23DE">
        <w:rPr>
          <w:rFonts w:ascii="ITC Avant Garde" w:hAnsi="ITC Avant Garde"/>
          <w:bCs/>
          <w:color w:val="000000"/>
          <w:lang w:eastAsia="es-MX"/>
        </w:rPr>
        <w:t>can.</w:t>
      </w:r>
      <w:r w:rsidR="0061482B" w:rsidRPr="006E23DE">
        <w:rPr>
          <w:rFonts w:ascii="ITC Avant Garde" w:hAnsi="ITC Avant Garde"/>
          <w:bCs/>
          <w:color w:val="000000"/>
          <w:lang w:eastAsia="es-MX"/>
        </w:rPr>
        <w:t xml:space="preserve"> Adicionalmente, por lo que toca a la</w:t>
      </w:r>
      <w:r w:rsidR="00E47BFD" w:rsidRPr="006E23DE">
        <w:rPr>
          <w:rFonts w:ascii="ITC Avant Garde" w:hAnsi="ITC Avant Garde"/>
          <w:bCs/>
          <w:color w:val="000000"/>
          <w:lang w:eastAsia="es-MX"/>
        </w:rPr>
        <w:t>s</w:t>
      </w:r>
      <w:r w:rsidR="00521D31" w:rsidRPr="006E23DE">
        <w:rPr>
          <w:rFonts w:ascii="ITC Avant Garde" w:hAnsi="ITC Avant Garde"/>
          <w:bCs/>
          <w:color w:val="000000"/>
          <w:lang w:eastAsia="es-MX"/>
        </w:rPr>
        <w:t xml:space="preserve"> c</w:t>
      </w:r>
      <w:r w:rsidR="0061482B" w:rsidRPr="006E23DE">
        <w:rPr>
          <w:rFonts w:ascii="ITC Avant Garde" w:hAnsi="ITC Avant Garde"/>
          <w:bCs/>
          <w:color w:val="000000"/>
          <w:lang w:eastAsia="es-MX"/>
        </w:rPr>
        <w:t>oncesi</w:t>
      </w:r>
      <w:r w:rsidR="00E47BFD" w:rsidRPr="006E23DE">
        <w:rPr>
          <w:rFonts w:ascii="ITC Avant Garde" w:hAnsi="ITC Avant Garde"/>
          <w:bCs/>
          <w:color w:val="000000"/>
          <w:lang w:eastAsia="es-MX"/>
        </w:rPr>
        <w:t>ones</w:t>
      </w:r>
      <w:r w:rsidR="00521D31" w:rsidRPr="006E23DE">
        <w:rPr>
          <w:rFonts w:ascii="ITC Avant Garde" w:hAnsi="ITC Avant Garde"/>
          <w:bCs/>
          <w:color w:val="000000"/>
          <w:lang w:eastAsia="es-MX"/>
        </w:rPr>
        <w:t xml:space="preserve"> de b</w:t>
      </w:r>
      <w:r w:rsidR="0061482B" w:rsidRPr="006E23DE">
        <w:rPr>
          <w:rFonts w:ascii="ITC Avant Garde" w:hAnsi="ITC Avant Garde"/>
          <w:bCs/>
          <w:color w:val="000000"/>
          <w:lang w:eastAsia="es-MX"/>
        </w:rPr>
        <w:t>andas, debe observarse el requisito de procedencia relativo a que el Instituto determine si existe interés público en recuperar el espectro radioeléctrico concesionado.</w:t>
      </w:r>
    </w:p>
    <w:p w14:paraId="1BA0AF6C" w14:textId="338AA667" w:rsidR="00221B21" w:rsidRPr="006E23DE" w:rsidRDefault="002E6D9B" w:rsidP="006E23DE">
      <w:pPr>
        <w:autoSpaceDE w:val="0"/>
        <w:autoSpaceDN w:val="0"/>
        <w:adjustRightInd w:val="0"/>
        <w:spacing w:after="240" w:line="240" w:lineRule="auto"/>
        <w:jc w:val="both"/>
        <w:rPr>
          <w:rFonts w:ascii="ITC Avant Garde" w:hAnsi="ITC Avant Garde"/>
          <w:bCs/>
        </w:rPr>
      </w:pPr>
      <w:r w:rsidRPr="006E23DE">
        <w:rPr>
          <w:rFonts w:ascii="ITC Avant Garde" w:hAnsi="ITC Avant Garde"/>
          <w:b/>
          <w:bCs/>
        </w:rPr>
        <w:t>Tercero.</w:t>
      </w:r>
      <w:r w:rsidR="00EB35C9" w:rsidRPr="006E23DE">
        <w:rPr>
          <w:rFonts w:ascii="ITC Avant Garde" w:hAnsi="ITC Avant Garde"/>
          <w:b/>
          <w:bCs/>
        </w:rPr>
        <w:t>-</w:t>
      </w:r>
      <w:r w:rsidRPr="006E23DE">
        <w:rPr>
          <w:rFonts w:ascii="ITC Avant Garde" w:hAnsi="ITC Avant Garde"/>
          <w:b/>
          <w:bCs/>
        </w:rPr>
        <w:t xml:space="preserve"> </w:t>
      </w:r>
      <w:r w:rsidR="00832946" w:rsidRPr="006E23DE">
        <w:rPr>
          <w:rFonts w:ascii="ITC Avant Garde" w:hAnsi="ITC Avant Garde"/>
          <w:b/>
          <w:bCs/>
        </w:rPr>
        <w:t xml:space="preserve">Análisis de </w:t>
      </w:r>
      <w:r w:rsidR="00C76DCD" w:rsidRPr="006E23DE">
        <w:rPr>
          <w:rFonts w:ascii="ITC Avant Garde" w:hAnsi="ITC Avant Garde"/>
          <w:b/>
          <w:bCs/>
        </w:rPr>
        <w:t>la</w:t>
      </w:r>
      <w:r w:rsidR="00403CD6" w:rsidRPr="006E23DE">
        <w:rPr>
          <w:rFonts w:ascii="ITC Avant Garde" w:hAnsi="ITC Avant Garde"/>
          <w:b/>
          <w:bCs/>
        </w:rPr>
        <w:t>s</w:t>
      </w:r>
      <w:r w:rsidR="00C76DCD" w:rsidRPr="006E23DE">
        <w:rPr>
          <w:rFonts w:ascii="ITC Avant Garde" w:hAnsi="ITC Avant Garde"/>
          <w:b/>
          <w:bCs/>
        </w:rPr>
        <w:t xml:space="preserve"> Solicitud</w:t>
      </w:r>
      <w:r w:rsidR="00403CD6" w:rsidRPr="006E23DE">
        <w:rPr>
          <w:rFonts w:ascii="ITC Avant Garde" w:hAnsi="ITC Avant Garde"/>
          <w:b/>
          <w:bCs/>
        </w:rPr>
        <w:t>es</w:t>
      </w:r>
      <w:r w:rsidR="00832946" w:rsidRPr="006E23DE">
        <w:rPr>
          <w:rFonts w:ascii="ITC Avant Garde" w:hAnsi="ITC Avant Garde"/>
          <w:b/>
          <w:bCs/>
        </w:rPr>
        <w:t xml:space="preserve"> de </w:t>
      </w:r>
      <w:r w:rsidR="00C76DCD" w:rsidRPr="006E23DE">
        <w:rPr>
          <w:rFonts w:ascii="ITC Avant Garde" w:hAnsi="ITC Avant Garde"/>
          <w:b/>
          <w:bCs/>
        </w:rPr>
        <w:t>Prórroga</w:t>
      </w:r>
      <w:r w:rsidR="00832946" w:rsidRPr="006E23DE">
        <w:rPr>
          <w:rFonts w:ascii="ITC Avant Garde" w:hAnsi="ITC Avant Garde"/>
          <w:b/>
          <w:bCs/>
        </w:rPr>
        <w:t xml:space="preserve">. </w:t>
      </w:r>
      <w:r w:rsidR="009170DB" w:rsidRPr="006E23DE">
        <w:rPr>
          <w:rFonts w:ascii="ITC Avant Garde" w:hAnsi="ITC Avant Garde"/>
          <w:bCs/>
        </w:rPr>
        <w:t>L</w:t>
      </w:r>
      <w:r w:rsidR="009170DB" w:rsidRPr="006E23DE">
        <w:rPr>
          <w:rFonts w:ascii="ITC Avant Garde" w:hAnsi="ITC Avant Garde"/>
          <w:bCs/>
          <w:color w:val="000000"/>
          <w:lang w:val="es-ES" w:eastAsia="es-MX"/>
        </w:rPr>
        <w:t>a Condición 2 de las Concesiones de Bandas, denominada “Objeto de la Concesión”</w:t>
      </w:r>
      <w:r w:rsidR="00A02D49" w:rsidRPr="006E23DE">
        <w:rPr>
          <w:rFonts w:ascii="ITC Avant Garde" w:hAnsi="ITC Avant Garde"/>
          <w:bCs/>
          <w:color w:val="000000"/>
          <w:lang w:val="es-ES" w:eastAsia="es-MX"/>
        </w:rPr>
        <w:t>,</w:t>
      </w:r>
      <w:r w:rsidR="009170DB" w:rsidRPr="006E23DE">
        <w:rPr>
          <w:rFonts w:ascii="ITC Avant Garde" w:hAnsi="ITC Avant Garde"/>
          <w:bCs/>
          <w:color w:val="000000"/>
          <w:lang w:val="es-ES" w:eastAsia="es-MX"/>
        </w:rPr>
        <w:t xml:space="preserve"> establece que la</w:t>
      </w:r>
      <w:r w:rsidR="00D67400" w:rsidRPr="006E23DE">
        <w:rPr>
          <w:rFonts w:ascii="ITC Avant Garde" w:hAnsi="ITC Avant Garde"/>
          <w:bCs/>
          <w:color w:val="000000"/>
          <w:lang w:val="es-ES" w:eastAsia="es-MX"/>
        </w:rPr>
        <w:t>s</w:t>
      </w:r>
      <w:r w:rsidR="009170DB" w:rsidRPr="006E23DE">
        <w:rPr>
          <w:rFonts w:ascii="ITC Avant Garde" w:hAnsi="ITC Avant Garde"/>
          <w:bCs/>
          <w:color w:val="000000"/>
          <w:lang w:val="es-ES" w:eastAsia="es-MX"/>
        </w:rPr>
        <w:t xml:space="preserve"> misma</w:t>
      </w:r>
      <w:r w:rsidR="00D67400" w:rsidRPr="006E23DE">
        <w:rPr>
          <w:rFonts w:ascii="ITC Avant Garde" w:hAnsi="ITC Avant Garde"/>
          <w:bCs/>
          <w:color w:val="000000"/>
          <w:lang w:val="es-ES" w:eastAsia="es-MX"/>
        </w:rPr>
        <w:t>s</w:t>
      </w:r>
      <w:r w:rsidR="009170DB" w:rsidRPr="006E23DE">
        <w:rPr>
          <w:rFonts w:ascii="ITC Avant Garde" w:hAnsi="ITC Avant Garde"/>
          <w:bCs/>
          <w:color w:val="000000"/>
          <w:lang w:val="es-ES" w:eastAsia="es-MX"/>
        </w:rPr>
        <w:t xml:space="preserve"> se otorga</w:t>
      </w:r>
      <w:r w:rsidR="00D67400" w:rsidRPr="006E23DE">
        <w:rPr>
          <w:rFonts w:ascii="ITC Avant Garde" w:hAnsi="ITC Avant Garde"/>
          <w:bCs/>
          <w:color w:val="000000"/>
          <w:lang w:val="es-ES" w:eastAsia="es-MX"/>
        </w:rPr>
        <w:t>n</w:t>
      </w:r>
      <w:r w:rsidR="009170DB" w:rsidRPr="006E23DE">
        <w:rPr>
          <w:rFonts w:ascii="ITC Avant Garde" w:hAnsi="ITC Avant Garde"/>
          <w:bCs/>
          <w:color w:val="000000"/>
          <w:lang w:val="es-ES" w:eastAsia="es-MX"/>
        </w:rPr>
        <w:t xml:space="preserve"> para el uso, aprovechamiento y explotación de las bandas de frecuencias del espectro radioeléctrico indicadas en la</w:t>
      </w:r>
      <w:r w:rsidR="00D67400" w:rsidRPr="006E23DE">
        <w:rPr>
          <w:rFonts w:ascii="ITC Avant Garde" w:hAnsi="ITC Avant Garde"/>
          <w:bCs/>
          <w:color w:val="000000"/>
          <w:lang w:val="es-ES" w:eastAsia="es-MX"/>
        </w:rPr>
        <w:t>s</w:t>
      </w:r>
      <w:r w:rsidR="009170DB" w:rsidRPr="006E23DE">
        <w:rPr>
          <w:rFonts w:ascii="ITC Avant Garde" w:hAnsi="ITC Avant Garde"/>
          <w:bCs/>
          <w:color w:val="000000"/>
          <w:lang w:val="es-ES" w:eastAsia="es-MX"/>
        </w:rPr>
        <w:t xml:space="preserve"> </w:t>
      </w:r>
      <w:r w:rsidR="00D67400" w:rsidRPr="006E23DE">
        <w:rPr>
          <w:rFonts w:ascii="ITC Avant Garde" w:hAnsi="ITC Avant Garde"/>
          <w:bCs/>
          <w:color w:val="000000"/>
          <w:lang w:val="es-ES" w:eastAsia="es-MX"/>
        </w:rPr>
        <w:t>mismas</w:t>
      </w:r>
      <w:r w:rsidR="009170DB" w:rsidRPr="006E23DE">
        <w:rPr>
          <w:rFonts w:ascii="ITC Avant Garde" w:hAnsi="ITC Avant Garde"/>
          <w:bCs/>
          <w:color w:val="000000"/>
          <w:lang w:val="es-ES" w:eastAsia="es-MX"/>
        </w:rPr>
        <w:t xml:space="preserve">, </w:t>
      </w:r>
      <w:r w:rsidR="009170DB" w:rsidRPr="006E23DE">
        <w:rPr>
          <w:rFonts w:ascii="ITC Avant Garde" w:hAnsi="ITC Avant Garde"/>
          <w:b/>
          <w:bCs/>
          <w:color w:val="000000"/>
          <w:u w:val="single"/>
          <w:lang w:val="es-ES" w:eastAsia="es-MX"/>
        </w:rPr>
        <w:t xml:space="preserve">para la prestación de los servicios </w:t>
      </w:r>
      <w:r w:rsidR="002E0CF7" w:rsidRPr="006E23DE">
        <w:rPr>
          <w:rFonts w:ascii="ITC Avant Garde" w:hAnsi="ITC Avant Garde"/>
          <w:b/>
          <w:bCs/>
          <w:color w:val="000000"/>
          <w:u w:val="single"/>
          <w:lang w:val="es-ES" w:eastAsia="es-MX"/>
        </w:rPr>
        <w:t>de acceso inalámbrico fijo o móvil que, de conformidad con la Concesión de Red y sus respectivos anexos, Telmex debe prestar al usuario final a través de su red pública de telecomunicaciones, en la región respectiva,</w:t>
      </w:r>
      <w:r w:rsidR="009170DB" w:rsidRPr="006E23DE">
        <w:rPr>
          <w:rFonts w:ascii="ITC Avant Garde" w:hAnsi="ITC Avant Garde"/>
          <w:b/>
          <w:bCs/>
          <w:color w:val="000000"/>
          <w:u w:val="single"/>
          <w:lang w:val="es-ES" w:eastAsia="es-MX"/>
        </w:rPr>
        <w:t xml:space="preserve"> otorgada en el mismo acto administrativo</w:t>
      </w:r>
      <w:r w:rsidR="009170DB" w:rsidRPr="006E23DE">
        <w:rPr>
          <w:rFonts w:ascii="ITC Avant Garde" w:hAnsi="ITC Avant Garde"/>
          <w:bCs/>
          <w:color w:val="000000"/>
          <w:lang w:val="es-ES" w:eastAsia="es-MX"/>
        </w:rPr>
        <w:t>.</w:t>
      </w:r>
    </w:p>
    <w:p w14:paraId="21EA94A7" w14:textId="77777777" w:rsidR="00221B21" w:rsidRPr="006E23DE" w:rsidRDefault="00D67400" w:rsidP="006E23DE">
      <w:pPr>
        <w:autoSpaceDE w:val="0"/>
        <w:autoSpaceDN w:val="0"/>
        <w:adjustRightInd w:val="0"/>
        <w:spacing w:after="240" w:line="240" w:lineRule="auto"/>
        <w:jc w:val="both"/>
        <w:rPr>
          <w:rFonts w:ascii="ITC Avant Garde" w:hAnsi="ITC Avant Garde"/>
          <w:bCs/>
        </w:rPr>
      </w:pPr>
      <w:r w:rsidRPr="006E23DE">
        <w:rPr>
          <w:rFonts w:ascii="ITC Avant Garde" w:hAnsi="ITC Avant Garde"/>
          <w:bCs/>
        </w:rPr>
        <w:t>Lo anterior, era consistente con lo establecido en el artículo 18 de la LFT, disposición aplicable al momento del otorgamiento de las Concesiones y que en la parte conducente establecía lo siguiente:</w:t>
      </w:r>
    </w:p>
    <w:p w14:paraId="5FFD1DAB" w14:textId="7E76781B" w:rsidR="00D67400" w:rsidRPr="006E23DE" w:rsidRDefault="00D67400" w:rsidP="006E23DE">
      <w:pPr>
        <w:tabs>
          <w:tab w:val="left" w:pos="8789"/>
        </w:tabs>
        <w:spacing w:after="240" w:line="240" w:lineRule="auto"/>
        <w:ind w:left="567" w:right="615"/>
        <w:jc w:val="both"/>
        <w:rPr>
          <w:rFonts w:ascii="ITC Avant Garde" w:hAnsi="ITC Avant Garde"/>
          <w:bCs/>
          <w:sz w:val="18"/>
          <w:szCs w:val="18"/>
        </w:rPr>
      </w:pPr>
      <w:r w:rsidRPr="006E23DE">
        <w:rPr>
          <w:rFonts w:ascii="ITC Avant Garde" w:hAnsi="ITC Avant Garde"/>
          <w:bCs/>
          <w:sz w:val="18"/>
          <w:szCs w:val="18"/>
        </w:rPr>
        <w:t>“</w:t>
      </w:r>
      <w:r w:rsidRPr="006E23DE">
        <w:rPr>
          <w:rFonts w:ascii="ITC Avant Garde" w:hAnsi="ITC Avant Garde"/>
          <w:b/>
          <w:bCs/>
          <w:sz w:val="18"/>
          <w:szCs w:val="18"/>
        </w:rPr>
        <w:t>Artículo 18.</w:t>
      </w:r>
      <w:r w:rsidRPr="006E23DE">
        <w:rPr>
          <w:rFonts w:ascii="ITC Avant Garde" w:hAnsi="ITC Avant Garde"/>
          <w:bCs/>
          <w:sz w:val="18"/>
          <w:szCs w:val="18"/>
        </w:rPr>
        <w:t xml:space="preserve"> […]</w:t>
      </w:r>
    </w:p>
    <w:p w14:paraId="78FB4F62" w14:textId="77777777" w:rsidR="00D67400" w:rsidRPr="006E23DE" w:rsidRDefault="00D67400" w:rsidP="006E23DE">
      <w:pPr>
        <w:tabs>
          <w:tab w:val="left" w:pos="8789"/>
        </w:tabs>
        <w:spacing w:after="240" w:line="240" w:lineRule="auto"/>
        <w:ind w:left="567" w:right="615"/>
        <w:jc w:val="both"/>
        <w:rPr>
          <w:rFonts w:ascii="ITC Avant Garde" w:hAnsi="ITC Avant Garde"/>
          <w:bCs/>
          <w:sz w:val="18"/>
          <w:szCs w:val="18"/>
        </w:rPr>
      </w:pPr>
      <w:r w:rsidRPr="006E23DE">
        <w:rPr>
          <w:rFonts w:ascii="ITC Avant Garde" w:hAnsi="ITC Avant Garde"/>
          <w:bCs/>
          <w:sz w:val="18"/>
          <w:szCs w:val="18"/>
        </w:rPr>
        <w:tab/>
      </w:r>
    </w:p>
    <w:p w14:paraId="51057E62" w14:textId="77777777" w:rsidR="00221B21" w:rsidRPr="006E23DE" w:rsidRDefault="00D67400" w:rsidP="006E23DE">
      <w:pPr>
        <w:tabs>
          <w:tab w:val="left" w:pos="8789"/>
        </w:tabs>
        <w:spacing w:after="240" w:line="240" w:lineRule="auto"/>
        <w:ind w:left="567" w:right="615"/>
        <w:jc w:val="both"/>
        <w:rPr>
          <w:rFonts w:ascii="ITC Avant Garde" w:hAnsi="ITC Avant Garde"/>
          <w:bCs/>
          <w:sz w:val="18"/>
          <w:szCs w:val="18"/>
        </w:rPr>
      </w:pPr>
      <w:r w:rsidRPr="006E23DE">
        <w:rPr>
          <w:rFonts w:ascii="ITC Avant Garde" w:hAnsi="ITC Avant Garde"/>
          <w:bCs/>
          <w:sz w:val="18"/>
          <w:szCs w:val="18"/>
        </w:rPr>
        <w:lastRenderedPageBreak/>
        <w:t>[…]</w:t>
      </w:r>
    </w:p>
    <w:p w14:paraId="3A8D93E9" w14:textId="77777777" w:rsidR="00221B21" w:rsidRPr="006E23DE" w:rsidRDefault="00D67400" w:rsidP="006E23DE">
      <w:pPr>
        <w:tabs>
          <w:tab w:val="left" w:pos="8789"/>
        </w:tabs>
        <w:spacing w:after="240" w:line="240" w:lineRule="auto"/>
        <w:ind w:left="567" w:right="615"/>
        <w:jc w:val="both"/>
        <w:rPr>
          <w:rFonts w:ascii="ITC Avant Garde" w:hAnsi="ITC Avant Garde"/>
          <w:bCs/>
          <w:sz w:val="18"/>
          <w:szCs w:val="18"/>
        </w:rPr>
      </w:pPr>
      <w:r w:rsidRPr="006E23DE">
        <w:rPr>
          <w:rFonts w:ascii="ITC Avant Garde" w:hAnsi="ITC Avant Garde"/>
          <w:bCs/>
          <w:sz w:val="18"/>
          <w:szCs w:val="18"/>
        </w:rPr>
        <w:t>Cuando la explotación de los servicios objeto de la concesión sobre el espectro radioeléctrico requiera de una concesión de red pública de telecomunicaciones, esta última se otorgará en el mismo acto administrativo.”</w:t>
      </w:r>
    </w:p>
    <w:p w14:paraId="3BBD22B0" w14:textId="77777777" w:rsidR="00221B21" w:rsidRPr="006E23DE" w:rsidRDefault="00E741A4" w:rsidP="006E23DE">
      <w:pPr>
        <w:autoSpaceDE w:val="0"/>
        <w:autoSpaceDN w:val="0"/>
        <w:adjustRightInd w:val="0"/>
        <w:spacing w:after="240" w:line="240" w:lineRule="auto"/>
        <w:jc w:val="both"/>
        <w:rPr>
          <w:rFonts w:ascii="ITC Avant Garde" w:hAnsi="ITC Avant Garde"/>
          <w:bCs/>
        </w:rPr>
      </w:pPr>
      <w:r w:rsidRPr="006E23DE">
        <w:rPr>
          <w:rFonts w:ascii="ITC Avant Garde" w:hAnsi="ITC Avant Garde"/>
          <w:bCs/>
        </w:rPr>
        <w:t>De lo anterior se desprende que la Concesión de Red está asociada a las Concesiones de Bandas, toda vez que los servicios que presta Telmex señalados en la primera, los presta a través de las bandas del espectro radioeléctrico comprendidas en las Concesiones de Bandas.</w:t>
      </w:r>
    </w:p>
    <w:p w14:paraId="32C4C79A" w14:textId="77777777" w:rsidR="00221B21" w:rsidRPr="006E23DE" w:rsidRDefault="00E741A4" w:rsidP="006E23DE">
      <w:pPr>
        <w:autoSpaceDE w:val="0"/>
        <w:autoSpaceDN w:val="0"/>
        <w:adjustRightInd w:val="0"/>
        <w:spacing w:after="240" w:line="240" w:lineRule="auto"/>
        <w:jc w:val="both"/>
        <w:rPr>
          <w:rFonts w:ascii="ITC Avant Garde" w:hAnsi="ITC Avant Garde"/>
          <w:bCs/>
        </w:rPr>
      </w:pPr>
      <w:r w:rsidRPr="006E23DE">
        <w:rPr>
          <w:rFonts w:ascii="ITC Avant Garde" w:hAnsi="ITC Avant Garde"/>
          <w:bCs/>
        </w:rPr>
        <w:t xml:space="preserve">Ahora bien, </w:t>
      </w:r>
      <w:r w:rsidR="00D3658D" w:rsidRPr="006E23DE">
        <w:rPr>
          <w:rFonts w:ascii="ITC Avant Garde" w:hAnsi="ITC Avant Garde"/>
          <w:bCs/>
        </w:rPr>
        <w:t>en lo que respecta a la solicitud de prórroga de la Concesión de Red, si bien es cierto que el artículo 72 de la Ley únicamente señala a las concesiones únicas como susceptibles de prórroga de su vigencia, esto no debe entenderse en el sentido de que las concesiones de redes públicas de telecomunicaciones escapan del alcance del supuesto normativo contenido en dicho precepto legal. Considerar que el marco jurídico actual no contempla a los concesionarios de redes públicas de telecomunicaciones, conllevaría a la interpretación de que los mismos no se encuentran regulados por el actual marco normativo, por lo que en la resolución que emita el Instituto respecto a la solicitud de prórroga de la Concesión de Red, debe observarse el actual régimen de concesionamiento previsto en la Ley.</w:t>
      </w:r>
    </w:p>
    <w:p w14:paraId="69F0BBC2" w14:textId="77777777" w:rsidR="00221B21" w:rsidRPr="006E23DE" w:rsidRDefault="00D3658D" w:rsidP="006E23DE">
      <w:pPr>
        <w:autoSpaceDE w:val="0"/>
        <w:autoSpaceDN w:val="0"/>
        <w:adjustRightInd w:val="0"/>
        <w:spacing w:after="240" w:line="240" w:lineRule="auto"/>
        <w:jc w:val="both"/>
        <w:rPr>
          <w:rFonts w:ascii="ITC Avant Garde" w:hAnsi="ITC Avant Garde"/>
          <w:bCs/>
        </w:rPr>
      </w:pPr>
      <w:r w:rsidRPr="006E23DE">
        <w:rPr>
          <w:rFonts w:ascii="ITC Avant Garde" w:hAnsi="ITC Avant Garde"/>
          <w:bCs/>
        </w:rPr>
        <w:t xml:space="preserve">Por lo anterior, </w:t>
      </w:r>
      <w:r w:rsidR="00E741A4" w:rsidRPr="006E23DE">
        <w:rPr>
          <w:rFonts w:ascii="ITC Avant Garde" w:hAnsi="ITC Avant Garde"/>
          <w:bCs/>
        </w:rPr>
        <w:t>es importante señalar que e</w:t>
      </w:r>
      <w:r w:rsidR="00C359C9" w:rsidRPr="006E23DE">
        <w:rPr>
          <w:rFonts w:ascii="ITC Avant Garde" w:hAnsi="ITC Avant Garde"/>
          <w:bCs/>
        </w:rPr>
        <w:t>l art</w:t>
      </w:r>
      <w:r w:rsidR="000B5D71" w:rsidRPr="006E23DE">
        <w:rPr>
          <w:rFonts w:ascii="ITC Avant Garde" w:hAnsi="ITC Avant Garde"/>
          <w:bCs/>
        </w:rPr>
        <w:t xml:space="preserve">ículo 113 de la Ley </w:t>
      </w:r>
      <w:r w:rsidR="00E741A4" w:rsidRPr="006E23DE">
        <w:rPr>
          <w:rFonts w:ascii="ITC Avant Garde" w:hAnsi="ITC Avant Garde"/>
          <w:bCs/>
        </w:rPr>
        <w:t>establece</w:t>
      </w:r>
      <w:r w:rsidR="000B5D71" w:rsidRPr="006E23DE">
        <w:rPr>
          <w:rFonts w:ascii="ITC Avant Garde" w:hAnsi="ITC Avant Garde"/>
          <w:bCs/>
        </w:rPr>
        <w:t xml:space="preserve"> un plazo de 180 (ciento ochenta) días hábiles </w:t>
      </w:r>
      <w:r w:rsidR="006A09D6" w:rsidRPr="006E23DE">
        <w:rPr>
          <w:rFonts w:ascii="ITC Avant Garde" w:hAnsi="ITC Avant Garde"/>
          <w:bCs/>
        </w:rPr>
        <w:t>siguientes a la presentación de la solicitud de prórroga</w:t>
      </w:r>
      <w:r w:rsidR="00A02D49" w:rsidRPr="006E23DE">
        <w:rPr>
          <w:rFonts w:ascii="ITC Avant Garde" w:hAnsi="ITC Avant Garde"/>
          <w:bCs/>
        </w:rPr>
        <w:t xml:space="preserve"> </w:t>
      </w:r>
      <w:r w:rsidR="00E741A4" w:rsidRPr="006E23DE">
        <w:rPr>
          <w:rFonts w:ascii="ITC Avant Garde" w:hAnsi="ITC Avant Garde"/>
          <w:bCs/>
        </w:rPr>
        <w:t>para resolver</w:t>
      </w:r>
      <w:r w:rsidR="006A09D6" w:rsidRPr="006E23DE">
        <w:rPr>
          <w:rFonts w:ascii="ITC Avant Garde" w:hAnsi="ITC Avant Garde"/>
          <w:bCs/>
        </w:rPr>
        <w:t xml:space="preserve"> la misma</w:t>
      </w:r>
      <w:r w:rsidR="00E741A4" w:rsidRPr="006E23DE">
        <w:rPr>
          <w:rFonts w:ascii="ITC Avant Garde" w:hAnsi="ITC Avant Garde"/>
          <w:bCs/>
        </w:rPr>
        <w:t>,</w:t>
      </w:r>
      <w:r w:rsidRPr="006E23DE">
        <w:rPr>
          <w:rFonts w:ascii="ITC Avant Garde" w:hAnsi="ITC Avant Garde"/>
          <w:bCs/>
        </w:rPr>
        <w:t xml:space="preserve"> </w:t>
      </w:r>
      <w:r w:rsidR="006A09D6" w:rsidRPr="006E23DE">
        <w:rPr>
          <w:rFonts w:ascii="ITC Avant Garde" w:hAnsi="ITC Avant Garde"/>
          <w:bCs/>
        </w:rPr>
        <w:t>plazo aplicable a la solicitud de prórroga de la Concesión de Red.</w:t>
      </w:r>
      <w:r w:rsidR="00A02D49" w:rsidRPr="006E23DE">
        <w:rPr>
          <w:rFonts w:ascii="ITC Avant Garde" w:hAnsi="ITC Avant Garde"/>
          <w:bCs/>
        </w:rPr>
        <w:t xml:space="preserve"> </w:t>
      </w:r>
    </w:p>
    <w:p w14:paraId="20D7B3CE" w14:textId="77777777" w:rsidR="00221B21" w:rsidRPr="006E23DE" w:rsidRDefault="00A02D49" w:rsidP="006E23DE">
      <w:pPr>
        <w:autoSpaceDE w:val="0"/>
        <w:autoSpaceDN w:val="0"/>
        <w:adjustRightInd w:val="0"/>
        <w:spacing w:after="240" w:line="240" w:lineRule="auto"/>
        <w:jc w:val="both"/>
        <w:rPr>
          <w:rFonts w:ascii="ITC Avant Garde" w:hAnsi="ITC Avant Garde"/>
          <w:bCs/>
        </w:rPr>
      </w:pPr>
      <w:r w:rsidRPr="006E23DE">
        <w:rPr>
          <w:rFonts w:ascii="ITC Avant Garde" w:hAnsi="ITC Avant Garde"/>
          <w:bCs/>
        </w:rPr>
        <w:t xml:space="preserve">Por su parte, el artículo 114 de la Ley </w:t>
      </w:r>
      <w:r w:rsidR="006A09D6" w:rsidRPr="006E23DE">
        <w:rPr>
          <w:rFonts w:ascii="ITC Avant Garde" w:hAnsi="ITC Avant Garde"/>
          <w:bCs/>
        </w:rPr>
        <w:t xml:space="preserve"> señala que el </w:t>
      </w:r>
      <w:r w:rsidR="006B7FFD" w:rsidRPr="006E23DE">
        <w:rPr>
          <w:rFonts w:ascii="ITC Avant Garde" w:hAnsi="ITC Avant Garde"/>
          <w:bCs/>
        </w:rPr>
        <w:t xml:space="preserve">Instituto </w:t>
      </w:r>
      <w:r w:rsidR="006A09D6" w:rsidRPr="006E23DE">
        <w:rPr>
          <w:rFonts w:ascii="ITC Avant Garde" w:hAnsi="ITC Avant Garde"/>
          <w:bCs/>
        </w:rPr>
        <w:t>resolverá dentro del año siguiente a la presentación de la solicitud de prórroga, si existe interés público en recuperar el espectro radioeléctrico, en cuyo caso notificará al concesionario su determinación y pro</w:t>
      </w:r>
      <w:r w:rsidR="006B7FFD" w:rsidRPr="006E23DE">
        <w:rPr>
          <w:rFonts w:ascii="ITC Avant Garde" w:hAnsi="ITC Avant Garde"/>
          <w:bCs/>
        </w:rPr>
        <w:t xml:space="preserve">cederá la terminación de la concesión </w:t>
      </w:r>
      <w:r w:rsidRPr="006E23DE">
        <w:rPr>
          <w:rFonts w:ascii="ITC Avant Garde" w:hAnsi="ITC Avant Garde"/>
          <w:bCs/>
        </w:rPr>
        <w:t xml:space="preserve">respectiva </w:t>
      </w:r>
      <w:r w:rsidR="006B7FFD" w:rsidRPr="006E23DE">
        <w:rPr>
          <w:rFonts w:ascii="ITC Avant Garde" w:hAnsi="ITC Avant Garde"/>
          <w:bCs/>
        </w:rPr>
        <w:t xml:space="preserve">al término de su vigencia. </w:t>
      </w:r>
      <w:r w:rsidRPr="006E23DE">
        <w:rPr>
          <w:rFonts w:ascii="ITC Avant Garde" w:hAnsi="ITC Avant Garde"/>
          <w:bCs/>
        </w:rPr>
        <w:t>Asimismo, dicho artículo señala que e</w:t>
      </w:r>
      <w:r w:rsidR="006B7FFD" w:rsidRPr="006E23DE">
        <w:rPr>
          <w:rFonts w:ascii="ITC Avant Garde" w:hAnsi="ITC Avant Garde"/>
          <w:bCs/>
        </w:rPr>
        <w:t>n caso de que el Instituto determine que no existe interés público en recuperar el espectro radioeléctrico, otorgará la prórroga solicitada dentro del mismo plazo señalado en el artículo 113 de la Ley, es decir, 180 (ciento ochenta) días hábiles contados a partir de que se cumpla el año mencionado, previos los trámites de ley.</w:t>
      </w:r>
    </w:p>
    <w:p w14:paraId="09B645BC" w14:textId="77777777" w:rsidR="00221B21" w:rsidRPr="006E23DE" w:rsidRDefault="00FA605E" w:rsidP="006E23DE">
      <w:pPr>
        <w:autoSpaceDE w:val="0"/>
        <w:autoSpaceDN w:val="0"/>
        <w:adjustRightInd w:val="0"/>
        <w:spacing w:after="240" w:line="240" w:lineRule="auto"/>
        <w:jc w:val="both"/>
        <w:rPr>
          <w:rFonts w:ascii="ITC Avant Garde" w:hAnsi="ITC Avant Garde"/>
          <w:bCs/>
        </w:rPr>
      </w:pPr>
      <w:r w:rsidRPr="006E23DE">
        <w:rPr>
          <w:rFonts w:ascii="ITC Avant Garde" w:hAnsi="ITC Avant Garde"/>
          <w:bCs/>
        </w:rPr>
        <w:t>Al respecto, considerando que las Solicitudes de Prórroga fueron presentadas el 26 de enero de 2016, el plazo para resolver la solicitud de prórroga de la Concesión de Red vence el 28 de octubre de 2016</w:t>
      </w:r>
      <w:r w:rsidR="00C93D65" w:rsidRPr="006E23DE">
        <w:rPr>
          <w:rFonts w:ascii="ITC Avant Garde" w:hAnsi="ITC Avant Garde"/>
          <w:bCs/>
        </w:rPr>
        <w:t xml:space="preserve">. El plazo de un año que tiene el Instituto para determinar si existe interés público en recuperar el espectro radioeléctrico </w:t>
      </w:r>
      <w:r w:rsidR="00432C77" w:rsidRPr="006E23DE">
        <w:rPr>
          <w:rFonts w:ascii="ITC Avant Garde" w:hAnsi="ITC Avant Garde"/>
          <w:bCs/>
        </w:rPr>
        <w:t>objeto de</w:t>
      </w:r>
      <w:r w:rsidR="00C93D65" w:rsidRPr="006E23DE">
        <w:rPr>
          <w:rFonts w:ascii="ITC Avant Garde" w:hAnsi="ITC Avant Garde"/>
          <w:bCs/>
        </w:rPr>
        <w:t xml:space="preserve"> las solicitudes de prórroga de las Concesiones de Banda</w:t>
      </w:r>
      <w:r w:rsidR="00432C77" w:rsidRPr="006E23DE">
        <w:rPr>
          <w:rFonts w:ascii="ITC Avant Garde" w:hAnsi="ITC Avant Garde"/>
          <w:bCs/>
        </w:rPr>
        <w:t>s, vence el 26 de enero de 2017. En caso de que el Instituto determinara que no existe interés público en recuperar el espectro concesionado, el 2</w:t>
      </w:r>
      <w:r w:rsidR="00364E11" w:rsidRPr="006E23DE">
        <w:rPr>
          <w:rFonts w:ascii="ITC Avant Garde" w:hAnsi="ITC Avant Garde"/>
          <w:bCs/>
        </w:rPr>
        <w:t>6</w:t>
      </w:r>
      <w:r w:rsidR="00432C77" w:rsidRPr="006E23DE">
        <w:rPr>
          <w:rFonts w:ascii="ITC Avant Garde" w:hAnsi="ITC Avant Garde"/>
          <w:bCs/>
        </w:rPr>
        <w:t xml:space="preserve"> de enero de 2017 iniciaría</w:t>
      </w:r>
      <w:r w:rsidR="00C93D65" w:rsidRPr="006E23DE">
        <w:rPr>
          <w:rFonts w:ascii="ITC Avant Garde" w:hAnsi="ITC Avant Garde"/>
          <w:bCs/>
        </w:rPr>
        <w:t xml:space="preserve"> el plazo de 180 días hábiles para resolver las solicitudes de prórroga de las Concesiones de Bandas</w:t>
      </w:r>
      <w:r w:rsidR="00432C77" w:rsidRPr="006E23DE">
        <w:rPr>
          <w:rFonts w:ascii="ITC Avant Garde" w:hAnsi="ITC Avant Garde"/>
          <w:bCs/>
        </w:rPr>
        <w:t>.</w:t>
      </w:r>
    </w:p>
    <w:p w14:paraId="368C6935" w14:textId="77777777" w:rsidR="00221B21" w:rsidRPr="006E23DE" w:rsidRDefault="000C1FDF" w:rsidP="006E23DE">
      <w:pPr>
        <w:autoSpaceDE w:val="0"/>
        <w:autoSpaceDN w:val="0"/>
        <w:adjustRightInd w:val="0"/>
        <w:spacing w:after="240" w:line="240" w:lineRule="auto"/>
        <w:jc w:val="both"/>
        <w:rPr>
          <w:rFonts w:ascii="ITC Avant Garde" w:hAnsi="ITC Avant Garde"/>
          <w:bCs/>
        </w:rPr>
      </w:pPr>
      <w:r w:rsidRPr="006E23DE">
        <w:rPr>
          <w:rFonts w:ascii="ITC Avant Garde" w:hAnsi="ITC Avant Garde"/>
          <w:bCs/>
        </w:rPr>
        <w:lastRenderedPageBreak/>
        <w:t>No obstante, no debe perderse de vista que como se ha señalado</w:t>
      </w:r>
      <w:r w:rsidR="00F63230" w:rsidRPr="006E23DE">
        <w:rPr>
          <w:rFonts w:ascii="ITC Avant Garde" w:hAnsi="ITC Avant Garde"/>
          <w:bCs/>
        </w:rPr>
        <w:t>, la Concesión de Red fue otorgada en el mismo acto administrativo al del otorgamiento de las Concesiones de Bandas</w:t>
      </w:r>
      <w:r w:rsidRPr="006E23DE">
        <w:rPr>
          <w:rFonts w:ascii="ITC Avant Garde" w:hAnsi="ITC Avant Garde"/>
          <w:bCs/>
        </w:rPr>
        <w:t>, al amparo del artículo 18 de la abrogada LFT</w:t>
      </w:r>
      <w:r w:rsidR="00F63230" w:rsidRPr="006E23DE">
        <w:rPr>
          <w:rFonts w:ascii="ITC Avant Garde" w:hAnsi="ITC Avant Garde"/>
          <w:bCs/>
        </w:rPr>
        <w:t xml:space="preserve">, toda vez que la explotación de los servicios objeto de estas últimas concesiones, requería de la Concesión de Red; es decir, </w:t>
      </w:r>
      <w:r w:rsidR="00B42942" w:rsidRPr="006E23DE">
        <w:rPr>
          <w:rFonts w:ascii="ITC Avant Garde" w:hAnsi="ITC Avant Garde"/>
          <w:bCs/>
        </w:rPr>
        <w:t xml:space="preserve">el otorgamiento de </w:t>
      </w:r>
      <w:r w:rsidR="00F63230" w:rsidRPr="006E23DE">
        <w:rPr>
          <w:rFonts w:ascii="ITC Avant Garde" w:hAnsi="ITC Avant Garde"/>
          <w:bCs/>
        </w:rPr>
        <w:t xml:space="preserve">la Concesión de Red </w:t>
      </w:r>
      <w:r w:rsidR="00B42942" w:rsidRPr="006E23DE">
        <w:rPr>
          <w:rFonts w:ascii="ITC Avant Garde" w:hAnsi="ITC Avant Garde"/>
          <w:bCs/>
        </w:rPr>
        <w:t xml:space="preserve">devino y fue consecuencia necesaria del otorgamiento de </w:t>
      </w:r>
      <w:r w:rsidR="00F63230" w:rsidRPr="006E23DE">
        <w:rPr>
          <w:rFonts w:ascii="ITC Avant Garde" w:hAnsi="ITC Avant Garde"/>
          <w:bCs/>
        </w:rPr>
        <w:t>las Concesiones de Bandas</w:t>
      </w:r>
      <w:r w:rsidRPr="006E23DE">
        <w:rPr>
          <w:rFonts w:ascii="ITC Avant Garde" w:hAnsi="ITC Avant Garde"/>
          <w:bCs/>
        </w:rPr>
        <w:t>.</w:t>
      </w:r>
      <w:r w:rsidR="00F63230" w:rsidRPr="006E23DE">
        <w:rPr>
          <w:rFonts w:ascii="ITC Avant Garde" w:hAnsi="ITC Avant Garde"/>
          <w:bCs/>
        </w:rPr>
        <w:t>.</w:t>
      </w:r>
    </w:p>
    <w:p w14:paraId="58B2465C" w14:textId="77777777" w:rsidR="00221B21" w:rsidRPr="006E23DE" w:rsidRDefault="00F63230" w:rsidP="006E23DE">
      <w:pPr>
        <w:autoSpaceDE w:val="0"/>
        <w:autoSpaceDN w:val="0"/>
        <w:adjustRightInd w:val="0"/>
        <w:spacing w:after="240" w:line="240" w:lineRule="auto"/>
        <w:jc w:val="both"/>
        <w:rPr>
          <w:rFonts w:ascii="ITC Avant Garde" w:hAnsi="ITC Avant Garde"/>
          <w:bCs/>
        </w:rPr>
      </w:pPr>
      <w:r w:rsidRPr="006E23DE">
        <w:rPr>
          <w:rFonts w:ascii="ITC Avant Garde" w:hAnsi="ITC Avant Garde"/>
          <w:bCs/>
        </w:rPr>
        <w:t>Adicionalmente, la Ley establece plazos de resolución diferenciados para las concesiones de redes públicas de telecomunicaciones y para las concesiones sobre bandas de frecuencias del espectro radioeléctrico. En este sentido, para las Concesiones de Bandas, la Ley otorga al Instituto un año para determinar si existe interés público en recuperar el espectro radioeléctrico, mismo que</w:t>
      </w:r>
      <w:r w:rsidR="00583519" w:rsidRPr="006E23DE">
        <w:rPr>
          <w:rFonts w:ascii="ITC Avant Garde" w:hAnsi="ITC Avant Garde"/>
          <w:bCs/>
        </w:rPr>
        <w:t>, para el presente caso,</w:t>
      </w:r>
      <w:r w:rsidRPr="006E23DE">
        <w:rPr>
          <w:rFonts w:ascii="ITC Avant Garde" w:hAnsi="ITC Avant Garde"/>
          <w:bCs/>
        </w:rPr>
        <w:t xml:space="preserve"> se encuentra comprendido entre el 2</w:t>
      </w:r>
      <w:r w:rsidR="00FE141C" w:rsidRPr="006E23DE">
        <w:rPr>
          <w:rFonts w:ascii="ITC Avant Garde" w:hAnsi="ITC Avant Garde"/>
          <w:bCs/>
        </w:rPr>
        <w:t>6</w:t>
      </w:r>
      <w:r w:rsidRPr="006E23DE">
        <w:rPr>
          <w:rFonts w:ascii="ITC Avant Garde" w:hAnsi="ITC Avant Garde"/>
          <w:bCs/>
        </w:rPr>
        <w:t xml:space="preserve"> de enero de 2016 al 2</w:t>
      </w:r>
      <w:r w:rsidR="00FE141C" w:rsidRPr="006E23DE">
        <w:rPr>
          <w:rFonts w:ascii="ITC Avant Garde" w:hAnsi="ITC Avant Garde"/>
          <w:bCs/>
        </w:rPr>
        <w:t>6</w:t>
      </w:r>
      <w:r w:rsidRPr="006E23DE">
        <w:rPr>
          <w:rFonts w:ascii="ITC Avant Garde" w:hAnsi="ITC Avant Garde"/>
          <w:bCs/>
        </w:rPr>
        <w:t xml:space="preserve"> de enero de 2017, es decir, dicho plazo está transcurriendo.</w:t>
      </w:r>
    </w:p>
    <w:p w14:paraId="668E2720" w14:textId="77777777" w:rsidR="00221B21" w:rsidRPr="006E23DE" w:rsidRDefault="00583519" w:rsidP="006E23DE">
      <w:pPr>
        <w:autoSpaceDE w:val="0"/>
        <w:autoSpaceDN w:val="0"/>
        <w:adjustRightInd w:val="0"/>
        <w:spacing w:after="240" w:line="240" w:lineRule="auto"/>
        <w:jc w:val="both"/>
        <w:rPr>
          <w:rFonts w:ascii="ITC Avant Garde" w:hAnsi="ITC Avant Garde"/>
          <w:bCs/>
        </w:rPr>
      </w:pPr>
      <w:r w:rsidRPr="006E23DE">
        <w:rPr>
          <w:rFonts w:ascii="ITC Avant Garde" w:hAnsi="ITC Avant Garde"/>
          <w:bCs/>
        </w:rPr>
        <w:t>Como quedó señalado anteriormente, d</w:t>
      </w:r>
      <w:r w:rsidR="00F63230" w:rsidRPr="006E23DE">
        <w:rPr>
          <w:rFonts w:ascii="ITC Avant Garde" w:hAnsi="ITC Avant Garde"/>
          <w:bCs/>
        </w:rPr>
        <w:t xml:space="preserve">erivado de que la Concesión de Red </w:t>
      </w:r>
      <w:r w:rsidRPr="006E23DE">
        <w:rPr>
          <w:rFonts w:ascii="ITC Avant Garde" w:hAnsi="ITC Avant Garde"/>
          <w:bCs/>
        </w:rPr>
        <w:t>fue otorgada como consecuencia del otorgamiento de las Concesiones de Bandas</w:t>
      </w:r>
      <w:r w:rsidR="004F4C97" w:rsidRPr="006E23DE">
        <w:rPr>
          <w:rFonts w:ascii="ITC Avant Garde" w:hAnsi="ITC Avant Garde"/>
          <w:bCs/>
        </w:rPr>
        <w:t>, al amparo de un marco jurídico abrogado</w:t>
      </w:r>
      <w:r w:rsidRPr="006E23DE">
        <w:rPr>
          <w:rFonts w:ascii="ITC Avant Garde" w:hAnsi="ITC Avant Garde"/>
          <w:bCs/>
        </w:rPr>
        <w:t xml:space="preserve">, para el caso concreto no encontraría sentido la ampliación del plazo de vigencia original de </w:t>
      </w:r>
      <w:r w:rsidR="004F4C97" w:rsidRPr="006E23DE">
        <w:rPr>
          <w:rFonts w:ascii="ITC Avant Garde" w:hAnsi="ITC Avant Garde"/>
          <w:bCs/>
        </w:rPr>
        <w:t>la primera</w:t>
      </w:r>
      <w:r w:rsidRPr="006E23DE">
        <w:rPr>
          <w:rFonts w:ascii="ITC Avant Garde" w:hAnsi="ITC Avant Garde"/>
          <w:bCs/>
        </w:rPr>
        <w:t xml:space="preserve">, en la medida en que no fuera prorrogada la vigencia original de </w:t>
      </w:r>
      <w:r w:rsidR="004F4C97" w:rsidRPr="006E23DE">
        <w:rPr>
          <w:rFonts w:ascii="ITC Avant Garde" w:hAnsi="ITC Avant Garde"/>
          <w:bCs/>
        </w:rPr>
        <w:t>las segundas</w:t>
      </w:r>
      <w:r w:rsidRPr="006E23DE">
        <w:rPr>
          <w:rFonts w:ascii="ITC Avant Garde" w:hAnsi="ITC Avant Garde"/>
          <w:bCs/>
        </w:rPr>
        <w:t xml:space="preserve">, para lo cual, primeramente, debe agotarse el procedimiento y los plazos establecidos actualmente para el </w:t>
      </w:r>
      <w:r w:rsidR="000F27EF" w:rsidRPr="006E23DE">
        <w:rPr>
          <w:rFonts w:ascii="ITC Avant Garde" w:hAnsi="ITC Avant Garde"/>
          <w:bCs/>
        </w:rPr>
        <w:t xml:space="preserve">tratamiento de </w:t>
      </w:r>
      <w:r w:rsidRPr="006E23DE">
        <w:rPr>
          <w:rFonts w:ascii="ITC Avant Garde" w:hAnsi="ITC Avant Garde"/>
          <w:bCs/>
        </w:rPr>
        <w:t xml:space="preserve">prórrogas de concesiones sobre bandas de frecuencias del espectro radioeléctrico, por lo que no resultaría regulatoriamente factible prorrogar la Concesión de Red cuando aún no se ha </w:t>
      </w:r>
      <w:r w:rsidR="000F27EF" w:rsidRPr="006E23DE">
        <w:rPr>
          <w:rFonts w:ascii="ITC Avant Garde" w:hAnsi="ITC Avant Garde"/>
          <w:bCs/>
        </w:rPr>
        <w:t xml:space="preserve">emitido </w:t>
      </w:r>
      <w:r w:rsidRPr="006E23DE">
        <w:rPr>
          <w:rFonts w:ascii="ITC Avant Garde" w:hAnsi="ITC Avant Garde"/>
          <w:bCs/>
        </w:rPr>
        <w:t xml:space="preserve">el pronunciamiento que en definitiva corresponda </w:t>
      </w:r>
      <w:r w:rsidR="000F27EF" w:rsidRPr="006E23DE">
        <w:rPr>
          <w:rFonts w:ascii="ITC Avant Garde" w:hAnsi="ITC Avant Garde"/>
          <w:bCs/>
        </w:rPr>
        <w:t xml:space="preserve">respecto de la procedencia de la prórroga de </w:t>
      </w:r>
      <w:r w:rsidR="00F63230" w:rsidRPr="006E23DE">
        <w:rPr>
          <w:rFonts w:ascii="ITC Avant Garde" w:hAnsi="ITC Avant Garde"/>
          <w:bCs/>
        </w:rPr>
        <w:t>las Concesiones de Bandas</w:t>
      </w:r>
      <w:r w:rsidR="003D4F21" w:rsidRPr="006E23DE">
        <w:rPr>
          <w:rFonts w:ascii="ITC Avant Garde" w:hAnsi="ITC Avant Garde"/>
          <w:bCs/>
        </w:rPr>
        <w:t>, situación que no causa perjuicio alguno</w:t>
      </w:r>
      <w:r w:rsidR="004F4C97" w:rsidRPr="006E23DE">
        <w:rPr>
          <w:rFonts w:ascii="ITC Avant Garde" w:hAnsi="ITC Avant Garde"/>
          <w:bCs/>
        </w:rPr>
        <w:t xml:space="preserve"> a Telmex,</w:t>
      </w:r>
      <w:r w:rsidR="003D4F21" w:rsidRPr="006E23DE">
        <w:rPr>
          <w:rFonts w:ascii="ITC Avant Garde" w:hAnsi="ITC Avant Garde"/>
          <w:bCs/>
        </w:rPr>
        <w:t xml:space="preserve"> ni compromete la operación y prestación de servicios </w:t>
      </w:r>
      <w:r w:rsidR="004F4C97" w:rsidRPr="006E23DE">
        <w:rPr>
          <w:rFonts w:ascii="ITC Avant Garde" w:hAnsi="ITC Avant Garde"/>
          <w:bCs/>
        </w:rPr>
        <w:t>en favor de sus usuarios</w:t>
      </w:r>
      <w:r w:rsidR="000F27EF" w:rsidRPr="006E23DE">
        <w:rPr>
          <w:rFonts w:ascii="ITC Avant Garde" w:hAnsi="ITC Avant Garde"/>
          <w:bCs/>
        </w:rPr>
        <w:t>.</w:t>
      </w:r>
    </w:p>
    <w:p w14:paraId="2546FF09" w14:textId="77777777" w:rsidR="00221B21" w:rsidRPr="006E23DE" w:rsidRDefault="004F4C97" w:rsidP="006E23DE">
      <w:pPr>
        <w:autoSpaceDE w:val="0"/>
        <w:autoSpaceDN w:val="0"/>
        <w:adjustRightInd w:val="0"/>
        <w:spacing w:after="240" w:line="240" w:lineRule="auto"/>
        <w:jc w:val="both"/>
        <w:rPr>
          <w:rFonts w:ascii="ITC Avant Garde" w:hAnsi="ITC Avant Garde"/>
          <w:bCs/>
        </w:rPr>
      </w:pPr>
      <w:r w:rsidRPr="006E23DE">
        <w:rPr>
          <w:rFonts w:ascii="ITC Avant Garde" w:hAnsi="ITC Avant Garde"/>
          <w:bCs/>
        </w:rPr>
        <w:t>En efecto,</w:t>
      </w:r>
      <w:r w:rsidR="00363D22" w:rsidRPr="006E23DE">
        <w:rPr>
          <w:rFonts w:ascii="ITC Avant Garde" w:hAnsi="ITC Avant Garde"/>
          <w:bCs/>
        </w:rPr>
        <w:t xml:space="preserve"> la decisión anterior no genera</w:t>
      </w:r>
      <w:r w:rsidRPr="006E23DE">
        <w:rPr>
          <w:rFonts w:ascii="ITC Avant Garde" w:hAnsi="ITC Avant Garde"/>
          <w:bCs/>
        </w:rPr>
        <w:t xml:space="preserve"> perjuicio ni</w:t>
      </w:r>
      <w:r w:rsidR="00363D22" w:rsidRPr="006E23DE">
        <w:rPr>
          <w:rFonts w:ascii="ITC Avant Garde" w:hAnsi="ITC Avant Garde"/>
          <w:bCs/>
        </w:rPr>
        <w:t xml:space="preserve"> incertidumbre jurídica para Telmex, toda vez que:</w:t>
      </w:r>
    </w:p>
    <w:p w14:paraId="786B5D42" w14:textId="77777777" w:rsidR="00221B21" w:rsidRPr="006E23DE" w:rsidRDefault="00363D22" w:rsidP="006E23DE">
      <w:pPr>
        <w:pStyle w:val="Prrafodelista"/>
        <w:numPr>
          <w:ilvl w:val="0"/>
          <w:numId w:val="21"/>
        </w:numPr>
        <w:autoSpaceDE w:val="0"/>
        <w:autoSpaceDN w:val="0"/>
        <w:adjustRightInd w:val="0"/>
        <w:spacing w:after="240"/>
        <w:ind w:left="851" w:hanging="491"/>
        <w:jc w:val="both"/>
        <w:rPr>
          <w:rFonts w:ascii="ITC Avant Garde" w:eastAsia="Calibri" w:hAnsi="ITC Avant Garde"/>
          <w:bCs/>
          <w:sz w:val="22"/>
          <w:szCs w:val="22"/>
          <w:lang w:val="es-MX" w:eastAsia="en-US"/>
        </w:rPr>
      </w:pPr>
      <w:r w:rsidRPr="006E23DE">
        <w:rPr>
          <w:rFonts w:ascii="ITC Avant Garde" w:eastAsia="Calibri" w:hAnsi="ITC Avant Garde"/>
          <w:bCs/>
          <w:sz w:val="22"/>
          <w:szCs w:val="22"/>
          <w:lang w:val="es-MX" w:eastAsia="en-US"/>
        </w:rPr>
        <w:t xml:space="preserve">La vigencia de las Concesiones es de 20 años contados a partir del 28 de octubre de 2000, por lo que su vencimiento es </w:t>
      </w:r>
      <w:r w:rsidR="000F27EF" w:rsidRPr="006E23DE">
        <w:rPr>
          <w:rFonts w:ascii="ITC Avant Garde" w:eastAsia="Calibri" w:hAnsi="ITC Avant Garde"/>
          <w:bCs/>
          <w:sz w:val="22"/>
          <w:szCs w:val="22"/>
          <w:lang w:val="es-MX" w:eastAsia="en-US"/>
        </w:rPr>
        <w:t>a</w:t>
      </w:r>
      <w:r w:rsidRPr="006E23DE">
        <w:rPr>
          <w:rFonts w:ascii="ITC Avant Garde" w:eastAsia="Calibri" w:hAnsi="ITC Avant Garde"/>
          <w:bCs/>
          <w:sz w:val="22"/>
          <w:szCs w:val="22"/>
          <w:lang w:val="es-MX" w:eastAsia="en-US"/>
        </w:rPr>
        <w:t xml:space="preserve">l 28 de octubre de 2020, </w:t>
      </w:r>
      <w:r w:rsidR="00FE141C" w:rsidRPr="006E23DE">
        <w:rPr>
          <w:rFonts w:ascii="ITC Avant Garde" w:eastAsia="Calibri" w:hAnsi="ITC Avant Garde"/>
          <w:bCs/>
          <w:sz w:val="22"/>
          <w:szCs w:val="22"/>
          <w:lang w:val="es-MX" w:eastAsia="en-US"/>
        </w:rPr>
        <w:t>es decir, la negativa de la prórroga de la Concesión de Red, tendría efectos a partir del 2</w:t>
      </w:r>
      <w:r w:rsidR="000E32FB" w:rsidRPr="006E23DE">
        <w:rPr>
          <w:rFonts w:ascii="ITC Avant Garde" w:eastAsia="Calibri" w:hAnsi="ITC Avant Garde"/>
          <w:bCs/>
          <w:sz w:val="22"/>
          <w:szCs w:val="22"/>
          <w:lang w:val="es-MX" w:eastAsia="en-US"/>
        </w:rPr>
        <w:t>9</w:t>
      </w:r>
      <w:r w:rsidR="00FE141C" w:rsidRPr="006E23DE">
        <w:rPr>
          <w:rFonts w:ascii="ITC Avant Garde" w:eastAsia="Calibri" w:hAnsi="ITC Avant Garde"/>
          <w:bCs/>
          <w:sz w:val="22"/>
          <w:szCs w:val="22"/>
          <w:lang w:val="es-MX" w:eastAsia="en-US"/>
        </w:rPr>
        <w:t xml:space="preserve"> de octubre de 2020</w:t>
      </w:r>
      <w:r w:rsidR="000F27EF" w:rsidRPr="006E23DE">
        <w:rPr>
          <w:rFonts w:ascii="ITC Avant Garde" w:eastAsia="Calibri" w:hAnsi="ITC Avant Garde"/>
          <w:bCs/>
          <w:sz w:val="22"/>
          <w:szCs w:val="22"/>
          <w:lang w:val="es-MX" w:eastAsia="en-US"/>
        </w:rPr>
        <w:t>, situación que no afecta la operación actual de dicha concesionaria mediante el uso y explotación de las frecuencias amparadas en las Concesiones de Bandas</w:t>
      </w:r>
      <w:r w:rsidR="00FE141C" w:rsidRPr="006E23DE">
        <w:rPr>
          <w:rFonts w:ascii="ITC Avant Garde" w:eastAsia="Calibri" w:hAnsi="ITC Avant Garde"/>
          <w:bCs/>
          <w:sz w:val="22"/>
          <w:szCs w:val="22"/>
          <w:lang w:val="es-MX" w:eastAsia="en-US"/>
        </w:rPr>
        <w:t>.</w:t>
      </w:r>
    </w:p>
    <w:p w14:paraId="09D2DF3D" w14:textId="77777777" w:rsidR="00221B21" w:rsidRPr="006E23DE" w:rsidRDefault="00363D22" w:rsidP="006E23DE">
      <w:pPr>
        <w:pStyle w:val="Prrafodelista"/>
        <w:numPr>
          <w:ilvl w:val="0"/>
          <w:numId w:val="21"/>
        </w:numPr>
        <w:autoSpaceDE w:val="0"/>
        <w:autoSpaceDN w:val="0"/>
        <w:adjustRightInd w:val="0"/>
        <w:spacing w:after="240"/>
        <w:ind w:left="851" w:hanging="491"/>
        <w:jc w:val="both"/>
        <w:rPr>
          <w:rFonts w:ascii="ITC Avant Garde" w:eastAsia="Calibri" w:hAnsi="ITC Avant Garde"/>
          <w:bCs/>
          <w:sz w:val="22"/>
          <w:szCs w:val="22"/>
          <w:lang w:val="es-MX" w:eastAsia="en-US"/>
        </w:rPr>
      </w:pPr>
      <w:r w:rsidRPr="006E23DE">
        <w:rPr>
          <w:rFonts w:ascii="ITC Avant Garde" w:eastAsia="Calibri" w:hAnsi="ITC Avant Garde"/>
          <w:bCs/>
          <w:sz w:val="22"/>
          <w:szCs w:val="22"/>
          <w:lang w:val="es-MX" w:eastAsia="en-US"/>
        </w:rPr>
        <w:t xml:space="preserve">El plazo de un año con que cuenta el Instituto para resolver </w:t>
      </w:r>
      <w:r w:rsidR="000F27EF" w:rsidRPr="006E23DE">
        <w:rPr>
          <w:rFonts w:ascii="ITC Avant Garde" w:eastAsia="Calibri" w:hAnsi="ITC Avant Garde"/>
          <w:bCs/>
          <w:sz w:val="22"/>
          <w:szCs w:val="22"/>
          <w:lang w:val="es-MX" w:eastAsia="en-US"/>
        </w:rPr>
        <w:t xml:space="preserve">respecto del </w:t>
      </w:r>
      <w:r w:rsidRPr="006E23DE">
        <w:rPr>
          <w:rFonts w:ascii="ITC Avant Garde" w:eastAsia="Calibri" w:hAnsi="ITC Avant Garde"/>
          <w:bCs/>
          <w:sz w:val="22"/>
          <w:szCs w:val="22"/>
          <w:lang w:val="es-MX" w:eastAsia="en-US"/>
        </w:rPr>
        <w:t>interés público en recuperar el espectro radioeléctrico objeto de las Concesiones de Bandas</w:t>
      </w:r>
      <w:r w:rsidR="000F27EF" w:rsidRPr="006E23DE">
        <w:rPr>
          <w:rFonts w:ascii="ITC Avant Garde" w:eastAsia="Calibri" w:hAnsi="ITC Avant Garde"/>
          <w:bCs/>
          <w:sz w:val="22"/>
          <w:szCs w:val="22"/>
          <w:lang w:val="es-MX" w:eastAsia="en-US"/>
        </w:rPr>
        <w:t>,</w:t>
      </w:r>
      <w:r w:rsidR="00FE141C" w:rsidRPr="006E23DE">
        <w:rPr>
          <w:rFonts w:ascii="ITC Avant Garde" w:eastAsia="Calibri" w:hAnsi="ITC Avant Garde"/>
          <w:bCs/>
          <w:sz w:val="22"/>
          <w:szCs w:val="22"/>
          <w:lang w:val="es-MX" w:eastAsia="en-US"/>
        </w:rPr>
        <w:t xml:space="preserve"> corre del 26 de enero de 2016 al 26 de enero de 2017, por lo que la decisión que en su momento </w:t>
      </w:r>
      <w:r w:rsidR="000F27EF" w:rsidRPr="006E23DE">
        <w:rPr>
          <w:rFonts w:ascii="ITC Avant Garde" w:eastAsia="Calibri" w:hAnsi="ITC Avant Garde"/>
          <w:bCs/>
          <w:sz w:val="22"/>
          <w:szCs w:val="22"/>
          <w:lang w:val="es-MX" w:eastAsia="en-US"/>
        </w:rPr>
        <w:t xml:space="preserve">adopte </w:t>
      </w:r>
      <w:r w:rsidR="00FE141C" w:rsidRPr="006E23DE">
        <w:rPr>
          <w:rFonts w:ascii="ITC Avant Garde" w:eastAsia="Calibri" w:hAnsi="ITC Avant Garde"/>
          <w:bCs/>
          <w:sz w:val="22"/>
          <w:szCs w:val="22"/>
          <w:lang w:val="es-MX" w:eastAsia="en-US"/>
        </w:rPr>
        <w:t xml:space="preserve">el Instituto, será </w:t>
      </w:r>
      <w:r w:rsidR="000F27EF" w:rsidRPr="006E23DE">
        <w:rPr>
          <w:rFonts w:ascii="ITC Avant Garde" w:eastAsia="Calibri" w:hAnsi="ITC Avant Garde"/>
          <w:bCs/>
          <w:sz w:val="22"/>
          <w:szCs w:val="22"/>
          <w:lang w:val="es-MX" w:eastAsia="en-US"/>
        </w:rPr>
        <w:t xml:space="preserve">con mucho tiempo de antelación a </w:t>
      </w:r>
      <w:r w:rsidR="00FE141C" w:rsidRPr="006E23DE">
        <w:rPr>
          <w:rFonts w:ascii="ITC Avant Garde" w:eastAsia="Calibri" w:hAnsi="ITC Avant Garde"/>
          <w:bCs/>
          <w:sz w:val="22"/>
          <w:szCs w:val="22"/>
          <w:lang w:val="es-MX" w:eastAsia="en-US"/>
        </w:rPr>
        <w:t xml:space="preserve">que concluya la vigencia de las Concesiones. </w:t>
      </w:r>
    </w:p>
    <w:p w14:paraId="77C7BEA6" w14:textId="77777777" w:rsidR="00221B21" w:rsidRPr="006E23DE" w:rsidRDefault="00FE141C" w:rsidP="006E23DE">
      <w:pPr>
        <w:autoSpaceDE w:val="0"/>
        <w:autoSpaceDN w:val="0"/>
        <w:adjustRightInd w:val="0"/>
        <w:spacing w:after="240" w:line="240" w:lineRule="auto"/>
        <w:jc w:val="both"/>
        <w:rPr>
          <w:rFonts w:ascii="ITC Avant Garde" w:hAnsi="ITC Avant Garde"/>
          <w:bCs/>
        </w:rPr>
      </w:pPr>
      <w:r w:rsidRPr="006E23DE">
        <w:rPr>
          <w:rFonts w:ascii="ITC Avant Garde" w:hAnsi="ITC Avant Garde"/>
          <w:bCs/>
        </w:rPr>
        <w:lastRenderedPageBreak/>
        <w:t xml:space="preserve">Finalmente, </w:t>
      </w:r>
      <w:r w:rsidR="000F27EF" w:rsidRPr="006E23DE">
        <w:rPr>
          <w:rFonts w:ascii="ITC Avant Garde" w:hAnsi="ITC Avant Garde"/>
          <w:bCs/>
        </w:rPr>
        <w:t xml:space="preserve">resulta conveniente señalar lo dispuesto por </w:t>
      </w:r>
      <w:r w:rsidR="00B65327" w:rsidRPr="006E23DE">
        <w:rPr>
          <w:rFonts w:ascii="ITC Avant Garde" w:hAnsi="ITC Avant Garde"/>
          <w:bCs/>
        </w:rPr>
        <w:t xml:space="preserve">el </w:t>
      </w:r>
      <w:r w:rsidR="00F8046D" w:rsidRPr="006E23DE">
        <w:rPr>
          <w:rFonts w:ascii="ITC Avant Garde" w:hAnsi="ITC Avant Garde"/>
          <w:bCs/>
        </w:rPr>
        <w:t>artículo 75 de la Ley</w:t>
      </w:r>
      <w:r w:rsidR="000F27EF" w:rsidRPr="006E23DE">
        <w:rPr>
          <w:rFonts w:ascii="ITC Avant Garde" w:hAnsi="ITC Avant Garde"/>
          <w:bCs/>
        </w:rPr>
        <w:t>, el cual</w:t>
      </w:r>
      <w:r w:rsidR="00F8046D" w:rsidRPr="006E23DE">
        <w:rPr>
          <w:rFonts w:ascii="ITC Avant Garde" w:hAnsi="ITC Avant Garde"/>
          <w:bCs/>
        </w:rPr>
        <w:t xml:space="preserve"> establece lo siguiente:</w:t>
      </w:r>
    </w:p>
    <w:p w14:paraId="5B56E551" w14:textId="77777777" w:rsidR="00221B21" w:rsidRPr="006E23DE" w:rsidRDefault="00F8046D" w:rsidP="006E23DE">
      <w:pPr>
        <w:autoSpaceDE w:val="0"/>
        <w:autoSpaceDN w:val="0"/>
        <w:adjustRightInd w:val="0"/>
        <w:spacing w:after="240" w:line="240" w:lineRule="auto"/>
        <w:ind w:left="567" w:right="615"/>
        <w:jc w:val="both"/>
        <w:rPr>
          <w:rFonts w:ascii="ITC Avant Garde" w:hAnsi="ITC Avant Garde"/>
          <w:bCs/>
          <w:sz w:val="18"/>
          <w:szCs w:val="18"/>
        </w:rPr>
      </w:pPr>
      <w:r w:rsidRPr="006E23DE">
        <w:rPr>
          <w:rFonts w:ascii="ITC Avant Garde" w:hAnsi="ITC Avant Garde"/>
          <w:bCs/>
          <w:sz w:val="18"/>
          <w:szCs w:val="18"/>
        </w:rPr>
        <w:t>“</w:t>
      </w:r>
      <w:r w:rsidRPr="006E23DE">
        <w:rPr>
          <w:rFonts w:ascii="ITC Avant Garde" w:hAnsi="ITC Avant Garde"/>
          <w:b/>
          <w:bCs/>
          <w:sz w:val="18"/>
          <w:szCs w:val="18"/>
        </w:rPr>
        <w:t>Artículo 75</w:t>
      </w:r>
      <w:r w:rsidRPr="006E23DE">
        <w:rPr>
          <w:rFonts w:ascii="ITC Avant Garde" w:hAnsi="ITC Avant Garde"/>
          <w:bCs/>
          <w:sz w:val="18"/>
          <w:szCs w:val="18"/>
        </w:rPr>
        <w:t>. Las concesiones para usar, aprovechar y explotar bandas de frecuencias del espectro radioeléctrico de uso determinado y para la ocupación y explotación</w:t>
      </w:r>
      <w:r w:rsidR="008064E6" w:rsidRPr="006E23DE">
        <w:rPr>
          <w:rFonts w:ascii="ITC Avant Garde" w:hAnsi="ITC Avant Garde"/>
          <w:bCs/>
          <w:sz w:val="18"/>
          <w:szCs w:val="18"/>
        </w:rPr>
        <w:t xml:space="preserve"> de recursos orbitales, se otorgarán por el Instituto por un plazo de hasta veinte años y podrán ser prorrogadas hasta por plazos iguales conforme a lo dispuesto en el Capítulo VI de este Título.</w:t>
      </w:r>
    </w:p>
    <w:p w14:paraId="6667A5CE" w14:textId="77777777" w:rsidR="00221B21" w:rsidRPr="006E23DE" w:rsidRDefault="008064E6" w:rsidP="006E23DE">
      <w:pPr>
        <w:autoSpaceDE w:val="0"/>
        <w:autoSpaceDN w:val="0"/>
        <w:adjustRightInd w:val="0"/>
        <w:spacing w:after="240" w:line="240" w:lineRule="auto"/>
        <w:ind w:left="567" w:right="615"/>
        <w:jc w:val="both"/>
        <w:rPr>
          <w:rFonts w:ascii="ITC Avant Garde" w:hAnsi="ITC Avant Garde"/>
          <w:bCs/>
          <w:sz w:val="18"/>
          <w:szCs w:val="18"/>
        </w:rPr>
      </w:pPr>
      <w:r w:rsidRPr="006E23DE">
        <w:rPr>
          <w:rFonts w:ascii="ITC Avant Garde" w:hAnsi="ITC Avant Garde"/>
          <w:bCs/>
          <w:sz w:val="18"/>
          <w:szCs w:val="18"/>
          <w:u w:val="single"/>
        </w:rPr>
        <w:t>Cuando la explotación de los servicios objeto de la concesión sobre el espectro radioeléctrico requiera de una concesión única, ésta última se otorgará en el mismo acto administrativo, salvo que el concesionario ya cuente con una concesión</w:t>
      </w:r>
      <w:r w:rsidRPr="006E23DE">
        <w:rPr>
          <w:rFonts w:ascii="ITC Avant Garde" w:hAnsi="ITC Avant Garde"/>
          <w:bCs/>
          <w:sz w:val="18"/>
          <w:szCs w:val="18"/>
        </w:rPr>
        <w:t>.”</w:t>
      </w:r>
      <w:r w:rsidR="00B65327" w:rsidRPr="006E23DE">
        <w:rPr>
          <w:rFonts w:ascii="ITC Avant Garde" w:hAnsi="ITC Avant Garde"/>
          <w:bCs/>
          <w:sz w:val="18"/>
          <w:szCs w:val="18"/>
        </w:rPr>
        <w:t xml:space="preserve"> </w:t>
      </w:r>
    </w:p>
    <w:p w14:paraId="0435C237" w14:textId="77777777" w:rsidR="00221B21" w:rsidRPr="006E23DE" w:rsidRDefault="00B65327" w:rsidP="006E23DE">
      <w:pPr>
        <w:autoSpaceDE w:val="0"/>
        <w:autoSpaceDN w:val="0"/>
        <w:adjustRightInd w:val="0"/>
        <w:spacing w:after="240" w:line="240" w:lineRule="auto"/>
        <w:ind w:left="567" w:right="615"/>
        <w:jc w:val="both"/>
        <w:rPr>
          <w:rFonts w:ascii="ITC Avant Garde" w:hAnsi="ITC Avant Garde"/>
          <w:bCs/>
        </w:rPr>
      </w:pPr>
      <w:r w:rsidRPr="006E23DE">
        <w:rPr>
          <w:rFonts w:ascii="ITC Avant Garde" w:hAnsi="ITC Avant Garde"/>
          <w:bCs/>
          <w:sz w:val="18"/>
          <w:szCs w:val="18"/>
        </w:rPr>
        <w:t>[Énfasis añadido]</w:t>
      </w:r>
    </w:p>
    <w:p w14:paraId="4870EA60" w14:textId="77777777" w:rsidR="00221B21" w:rsidRPr="006E23DE" w:rsidRDefault="00B65327" w:rsidP="006E23DE">
      <w:pPr>
        <w:autoSpaceDE w:val="0"/>
        <w:autoSpaceDN w:val="0"/>
        <w:adjustRightInd w:val="0"/>
        <w:spacing w:after="240" w:line="240" w:lineRule="auto"/>
        <w:jc w:val="both"/>
        <w:rPr>
          <w:rFonts w:ascii="ITC Avant Garde" w:hAnsi="ITC Avant Garde"/>
          <w:bCs/>
        </w:rPr>
      </w:pPr>
      <w:r w:rsidRPr="006E23DE">
        <w:rPr>
          <w:rFonts w:ascii="ITC Avant Garde" w:hAnsi="ITC Avant Garde"/>
          <w:bCs/>
        </w:rPr>
        <w:t xml:space="preserve">En tal virtud, </w:t>
      </w:r>
      <w:r w:rsidR="00616AC9" w:rsidRPr="006E23DE">
        <w:rPr>
          <w:rFonts w:ascii="ITC Avant Garde" w:hAnsi="ITC Avant Garde"/>
          <w:bCs/>
        </w:rPr>
        <w:t xml:space="preserve">no pasa desapercibido para este Pleno que </w:t>
      </w:r>
      <w:r w:rsidRPr="006E23DE">
        <w:rPr>
          <w:rFonts w:ascii="ITC Avant Garde" w:hAnsi="ITC Avant Garde"/>
          <w:bCs/>
        </w:rPr>
        <w:t xml:space="preserve">en caso de que </w:t>
      </w:r>
      <w:r w:rsidR="00616AC9" w:rsidRPr="006E23DE">
        <w:rPr>
          <w:rFonts w:ascii="ITC Avant Garde" w:hAnsi="ITC Avant Garde"/>
          <w:bCs/>
        </w:rPr>
        <w:t>el Instituto</w:t>
      </w:r>
      <w:r w:rsidRPr="006E23DE">
        <w:rPr>
          <w:rFonts w:ascii="ITC Avant Garde" w:hAnsi="ITC Avant Garde"/>
          <w:bCs/>
        </w:rPr>
        <w:t xml:space="preserve"> res</w:t>
      </w:r>
      <w:r w:rsidR="00616AC9" w:rsidRPr="006E23DE">
        <w:rPr>
          <w:rFonts w:ascii="ITC Avant Garde" w:hAnsi="ITC Avant Garde"/>
          <w:bCs/>
        </w:rPr>
        <w:t>olviera</w:t>
      </w:r>
      <w:r w:rsidRPr="006E23DE">
        <w:rPr>
          <w:rFonts w:ascii="ITC Avant Garde" w:hAnsi="ITC Avant Garde"/>
          <w:bCs/>
        </w:rPr>
        <w:t xml:space="preserve"> de manera favorable las prórrogas de las Concesiones de Bandas y</w:t>
      </w:r>
      <w:r w:rsidR="000F27EF" w:rsidRPr="006E23DE">
        <w:rPr>
          <w:rFonts w:ascii="ITC Avant Garde" w:hAnsi="ITC Avant Garde"/>
          <w:bCs/>
        </w:rPr>
        <w:t>, en dicho caso,</w:t>
      </w:r>
      <w:r w:rsidRPr="006E23DE">
        <w:rPr>
          <w:rFonts w:ascii="ITC Avant Garde" w:hAnsi="ITC Avant Garde"/>
          <w:bCs/>
        </w:rPr>
        <w:t xml:space="preserve"> Telmex requi</w:t>
      </w:r>
      <w:r w:rsidR="00616AC9" w:rsidRPr="006E23DE">
        <w:rPr>
          <w:rFonts w:ascii="ITC Avant Garde" w:hAnsi="ITC Avant Garde"/>
          <w:bCs/>
        </w:rPr>
        <w:t>rie</w:t>
      </w:r>
      <w:r w:rsidRPr="006E23DE">
        <w:rPr>
          <w:rFonts w:ascii="ITC Avant Garde" w:hAnsi="ITC Avant Garde"/>
          <w:bCs/>
        </w:rPr>
        <w:t xml:space="preserve">ra de una concesión habilitante para </w:t>
      </w:r>
      <w:r w:rsidR="000F27EF" w:rsidRPr="006E23DE">
        <w:rPr>
          <w:rFonts w:ascii="ITC Avant Garde" w:hAnsi="ITC Avant Garde"/>
          <w:bCs/>
        </w:rPr>
        <w:t xml:space="preserve">explotar comercialmente </w:t>
      </w:r>
      <w:r w:rsidRPr="006E23DE">
        <w:rPr>
          <w:rFonts w:ascii="ITC Avant Garde" w:hAnsi="ITC Avant Garde"/>
          <w:bCs/>
        </w:rPr>
        <w:t xml:space="preserve">servicios a través de las </w:t>
      </w:r>
      <w:r w:rsidR="00616AC9" w:rsidRPr="006E23DE">
        <w:rPr>
          <w:rFonts w:ascii="ITC Avant Garde" w:hAnsi="ITC Avant Garde"/>
          <w:bCs/>
        </w:rPr>
        <w:t xml:space="preserve">frecuencias </w:t>
      </w:r>
      <w:r w:rsidR="000F27EF" w:rsidRPr="006E23DE">
        <w:rPr>
          <w:rFonts w:ascii="ITC Avant Garde" w:hAnsi="ITC Avant Garde"/>
          <w:bCs/>
        </w:rPr>
        <w:t xml:space="preserve">amparadas en dichas concesiones, </w:t>
      </w:r>
      <w:r w:rsidR="00DA3D52" w:rsidRPr="006E23DE">
        <w:rPr>
          <w:rFonts w:ascii="ITC Avant Garde" w:hAnsi="ITC Avant Garde"/>
          <w:bCs/>
        </w:rPr>
        <w:t xml:space="preserve">dicha </w:t>
      </w:r>
      <w:r w:rsidRPr="006E23DE">
        <w:rPr>
          <w:rFonts w:ascii="ITC Avant Garde" w:hAnsi="ITC Avant Garde"/>
          <w:bCs/>
        </w:rPr>
        <w:t xml:space="preserve">concesión habilitante </w:t>
      </w:r>
      <w:r w:rsidR="00DA3D52" w:rsidRPr="006E23DE">
        <w:rPr>
          <w:rFonts w:ascii="ITC Avant Garde" w:hAnsi="ITC Avant Garde"/>
          <w:bCs/>
        </w:rPr>
        <w:t>le ser</w:t>
      </w:r>
      <w:r w:rsidR="000F27EF" w:rsidRPr="006E23DE">
        <w:rPr>
          <w:rFonts w:ascii="ITC Avant Garde" w:hAnsi="ITC Avant Garde"/>
          <w:bCs/>
        </w:rPr>
        <w:t>ía</w:t>
      </w:r>
      <w:r w:rsidR="00DA3D52" w:rsidRPr="006E23DE">
        <w:rPr>
          <w:rFonts w:ascii="ITC Avant Garde" w:hAnsi="ITC Avant Garde"/>
          <w:bCs/>
        </w:rPr>
        <w:t xml:space="preserve"> otorgada </w:t>
      </w:r>
      <w:r w:rsidRPr="006E23DE">
        <w:rPr>
          <w:rFonts w:ascii="ITC Avant Garde" w:hAnsi="ITC Avant Garde"/>
          <w:bCs/>
        </w:rPr>
        <w:t xml:space="preserve">en </w:t>
      </w:r>
      <w:r w:rsidR="000F27EF" w:rsidRPr="006E23DE">
        <w:rPr>
          <w:rFonts w:ascii="ITC Avant Garde" w:hAnsi="ITC Avant Garde"/>
          <w:bCs/>
        </w:rPr>
        <w:t xml:space="preserve">ese mismo acto, en </w:t>
      </w:r>
      <w:r w:rsidRPr="006E23DE">
        <w:rPr>
          <w:rFonts w:ascii="ITC Avant Garde" w:hAnsi="ITC Avant Garde"/>
          <w:bCs/>
        </w:rPr>
        <w:t>términos de</w:t>
      </w:r>
      <w:r w:rsidR="000F27EF" w:rsidRPr="006E23DE">
        <w:rPr>
          <w:rFonts w:ascii="ITC Avant Garde" w:hAnsi="ITC Avant Garde"/>
          <w:bCs/>
        </w:rPr>
        <w:t xml:space="preserve"> </w:t>
      </w:r>
      <w:r w:rsidRPr="006E23DE">
        <w:rPr>
          <w:rFonts w:ascii="ITC Avant Garde" w:hAnsi="ITC Avant Garde"/>
          <w:bCs/>
        </w:rPr>
        <w:t>l</w:t>
      </w:r>
      <w:r w:rsidR="000F27EF" w:rsidRPr="006E23DE">
        <w:rPr>
          <w:rFonts w:ascii="ITC Avant Garde" w:hAnsi="ITC Avant Garde"/>
          <w:bCs/>
        </w:rPr>
        <w:t>o mandatado por</w:t>
      </w:r>
      <w:r w:rsidRPr="006E23DE">
        <w:rPr>
          <w:rFonts w:ascii="ITC Avant Garde" w:hAnsi="ITC Avant Garde"/>
          <w:bCs/>
        </w:rPr>
        <w:t xml:space="preserve"> </w:t>
      </w:r>
      <w:r w:rsidR="000F27EF" w:rsidRPr="006E23DE">
        <w:rPr>
          <w:rFonts w:ascii="ITC Avant Garde" w:hAnsi="ITC Avant Garde"/>
          <w:bCs/>
        </w:rPr>
        <w:t xml:space="preserve">el dispositivo legal </w:t>
      </w:r>
      <w:r w:rsidRPr="006E23DE">
        <w:rPr>
          <w:rFonts w:ascii="ITC Avant Garde" w:hAnsi="ITC Avant Garde"/>
          <w:bCs/>
        </w:rPr>
        <w:t>antes transcrito</w:t>
      </w:r>
      <w:r w:rsidR="000F27EF" w:rsidRPr="006E23DE">
        <w:rPr>
          <w:rFonts w:ascii="ITC Avant Garde" w:hAnsi="ITC Avant Garde"/>
          <w:bCs/>
        </w:rPr>
        <w:t xml:space="preserve">, situación que aseguraría la posibilidad de que </w:t>
      </w:r>
      <w:r w:rsidR="003D4F21" w:rsidRPr="006E23DE">
        <w:rPr>
          <w:rFonts w:ascii="ITC Avant Garde" w:hAnsi="ITC Avant Garde"/>
          <w:bCs/>
        </w:rPr>
        <w:t>Telmex continuara facultado a seguir explotando comercialmente servicios mediante el uso de las frecuencias respectivas, otorgándole así plena certeza jurídica a su operación y prestación de servicios</w:t>
      </w:r>
      <w:r w:rsidRPr="006E23DE">
        <w:rPr>
          <w:rFonts w:ascii="ITC Avant Garde" w:hAnsi="ITC Avant Garde"/>
          <w:bCs/>
        </w:rPr>
        <w:t>.</w:t>
      </w:r>
    </w:p>
    <w:p w14:paraId="4209FF36" w14:textId="77777777" w:rsidR="00221B21" w:rsidRPr="006E23DE" w:rsidRDefault="00B7256C" w:rsidP="006E23DE">
      <w:pPr>
        <w:autoSpaceDE w:val="0"/>
        <w:autoSpaceDN w:val="0"/>
        <w:adjustRightInd w:val="0"/>
        <w:spacing w:after="240" w:line="240" w:lineRule="auto"/>
        <w:jc w:val="both"/>
        <w:rPr>
          <w:rFonts w:ascii="ITC Avant Garde" w:hAnsi="ITC Avant Garde"/>
          <w:bCs/>
        </w:rPr>
      </w:pPr>
      <w:r w:rsidRPr="006E23DE">
        <w:rPr>
          <w:rFonts w:ascii="ITC Avant Garde" w:hAnsi="ITC Avant Garde"/>
          <w:bCs/>
        </w:rPr>
        <w:t>Por lo anteriormente señalado, y con fundamento en los artículos 28 párrafos décimo quinto, décimo sexto y décimo séptimo de la Constitución Política de los Estados Unidos Mexicanos; 6 fracción IV, 15 fracci</w:t>
      </w:r>
      <w:r w:rsidR="007075AB" w:rsidRPr="006E23DE">
        <w:rPr>
          <w:rFonts w:ascii="ITC Avant Garde" w:hAnsi="ITC Avant Garde"/>
          <w:bCs/>
        </w:rPr>
        <w:t>ón</w:t>
      </w:r>
      <w:r w:rsidR="00440928" w:rsidRPr="006E23DE">
        <w:rPr>
          <w:rFonts w:ascii="ITC Avant Garde" w:hAnsi="ITC Avant Garde"/>
          <w:bCs/>
        </w:rPr>
        <w:t xml:space="preserve"> IV, 16, 17 fracción I, </w:t>
      </w:r>
      <w:r w:rsidR="008064E6" w:rsidRPr="006E23DE">
        <w:rPr>
          <w:rFonts w:ascii="ITC Avant Garde" w:hAnsi="ITC Avant Garde"/>
          <w:bCs/>
        </w:rPr>
        <w:t xml:space="preserve">75, </w:t>
      </w:r>
      <w:r w:rsidR="00440928" w:rsidRPr="006E23DE">
        <w:rPr>
          <w:rFonts w:ascii="ITC Avant Garde" w:hAnsi="ITC Avant Garde"/>
          <w:bCs/>
        </w:rPr>
        <w:t>113</w:t>
      </w:r>
      <w:r w:rsidR="008064E6" w:rsidRPr="006E23DE">
        <w:rPr>
          <w:rFonts w:ascii="ITC Avant Garde" w:hAnsi="ITC Avant Garde"/>
          <w:bCs/>
        </w:rPr>
        <w:t xml:space="preserve"> y</w:t>
      </w:r>
      <w:r w:rsidR="00440928" w:rsidRPr="006E23DE">
        <w:rPr>
          <w:rFonts w:ascii="ITC Avant Garde" w:hAnsi="ITC Avant Garde"/>
          <w:bCs/>
        </w:rPr>
        <w:t xml:space="preserve"> </w:t>
      </w:r>
      <w:r w:rsidRPr="006E23DE">
        <w:rPr>
          <w:rFonts w:ascii="ITC Avant Garde" w:hAnsi="ITC Avant Garde"/>
          <w:bCs/>
        </w:rPr>
        <w:t xml:space="preserve">114 de la Ley Federal de Telecomunicaciones y Radiodifusión; 35 fracción I, 36, 38, 39 y 57 fracción I de la Ley Federal de Procedimiento Administrativo; </w:t>
      </w:r>
      <w:r w:rsidR="00616AC9" w:rsidRPr="006E23DE">
        <w:rPr>
          <w:rFonts w:ascii="ITC Avant Garde" w:hAnsi="ITC Avant Garde"/>
          <w:bCs/>
        </w:rPr>
        <w:t xml:space="preserve">18 de la Ley Federal de Telecomunicaciones, </w:t>
      </w:r>
      <w:r w:rsidRPr="006E23DE">
        <w:rPr>
          <w:rFonts w:ascii="ITC Avant Garde" w:hAnsi="ITC Avant Garde"/>
          <w:bCs/>
        </w:rPr>
        <w:t>y 1, 6 fracciones I</w:t>
      </w:r>
      <w:r w:rsidR="006F25E9" w:rsidRPr="006E23DE">
        <w:rPr>
          <w:rFonts w:ascii="ITC Avant Garde" w:hAnsi="ITC Avant Garde"/>
          <w:bCs/>
        </w:rPr>
        <w:t>,</w:t>
      </w:r>
      <w:r w:rsidRPr="006E23DE">
        <w:rPr>
          <w:rFonts w:ascii="ITC Avant Garde" w:hAnsi="ITC Avant Garde"/>
          <w:bCs/>
        </w:rPr>
        <w:t xml:space="preserve"> XVIII</w:t>
      </w:r>
      <w:r w:rsidR="006F25E9" w:rsidRPr="006E23DE">
        <w:rPr>
          <w:rFonts w:ascii="ITC Avant Garde" w:hAnsi="ITC Avant Garde"/>
          <w:bCs/>
        </w:rPr>
        <w:t xml:space="preserve"> y XXXVII</w:t>
      </w:r>
      <w:r w:rsidRPr="006E23DE">
        <w:rPr>
          <w:rFonts w:ascii="ITC Avant Garde" w:hAnsi="ITC Avant Garde"/>
          <w:bCs/>
        </w:rPr>
        <w:t>, 32 y 33 fracción II del Estatuto Orgánico del Instituto Federal de Telecomunicaciones; este órgano autónomo emite los siguientes:</w:t>
      </w:r>
    </w:p>
    <w:p w14:paraId="0A2BD7B7" w14:textId="77777777" w:rsidR="00221B21" w:rsidRPr="006E23DE" w:rsidRDefault="00B7256C" w:rsidP="006E23DE">
      <w:pPr>
        <w:pStyle w:val="Ttulo2"/>
        <w:spacing w:after="240"/>
        <w:jc w:val="center"/>
        <w:rPr>
          <w:rFonts w:ascii="ITC Avant Garde" w:hAnsi="ITC Avant Garde"/>
          <w:b/>
          <w:bCs/>
          <w:color w:val="000000"/>
          <w:lang w:eastAsia="es-MX"/>
        </w:rPr>
      </w:pPr>
      <w:r w:rsidRPr="006E23DE">
        <w:rPr>
          <w:rFonts w:ascii="ITC Avant Garde" w:hAnsi="ITC Avant Garde"/>
          <w:b/>
          <w:color w:val="000000" w:themeColor="text1"/>
          <w:sz w:val="22"/>
          <w:szCs w:val="22"/>
        </w:rPr>
        <w:t>RESOLUTIVOS</w:t>
      </w:r>
    </w:p>
    <w:p w14:paraId="65CAADE5" w14:textId="14909835" w:rsidR="00221B21" w:rsidRPr="006E23DE" w:rsidRDefault="00B7256C" w:rsidP="006E23DE">
      <w:pPr>
        <w:spacing w:after="240" w:line="240" w:lineRule="auto"/>
        <w:jc w:val="both"/>
        <w:rPr>
          <w:rFonts w:ascii="ITC Avant Garde" w:hAnsi="ITC Avant Garde"/>
          <w:bCs/>
          <w:color w:val="000000"/>
          <w:lang w:eastAsia="es-MX"/>
        </w:rPr>
      </w:pPr>
      <w:r w:rsidRPr="006E23DE">
        <w:rPr>
          <w:rFonts w:ascii="ITC Avant Garde" w:hAnsi="ITC Avant Garde"/>
          <w:b/>
          <w:bCs/>
        </w:rPr>
        <w:t>PRIMERO.-</w:t>
      </w:r>
      <w:r w:rsidRPr="006E23DE">
        <w:rPr>
          <w:rFonts w:ascii="ITC Avant Garde" w:hAnsi="ITC Avant Garde"/>
          <w:bCs/>
        </w:rPr>
        <w:t xml:space="preserve"> </w:t>
      </w:r>
      <w:r w:rsidR="004B7798" w:rsidRPr="006E23DE">
        <w:rPr>
          <w:rFonts w:ascii="ITC Avant Garde" w:hAnsi="ITC Avant Garde"/>
          <w:bCs/>
          <w:color w:val="000000"/>
          <w:lang w:eastAsia="es-MX"/>
        </w:rPr>
        <w:t>S</w:t>
      </w:r>
      <w:r w:rsidR="00533BE8" w:rsidRPr="006E23DE">
        <w:rPr>
          <w:rFonts w:ascii="ITC Avant Garde" w:hAnsi="ITC Avant Garde"/>
          <w:bCs/>
          <w:color w:val="000000"/>
          <w:lang w:eastAsia="es-MX"/>
        </w:rPr>
        <w:t>e niega la prórroga de vigencia</w:t>
      </w:r>
      <w:r w:rsidR="004B7798" w:rsidRPr="006E23DE">
        <w:rPr>
          <w:rFonts w:ascii="ITC Avant Garde" w:hAnsi="ITC Avant Garde"/>
          <w:bCs/>
          <w:color w:val="000000"/>
          <w:lang w:eastAsia="es-MX"/>
        </w:rPr>
        <w:t xml:space="preserve"> solicitada por</w:t>
      </w:r>
      <w:r w:rsidR="00533BE8" w:rsidRPr="006E23DE">
        <w:rPr>
          <w:rFonts w:ascii="ITC Avant Garde" w:hAnsi="ITC Avant Garde"/>
          <w:bCs/>
          <w:color w:val="000000"/>
          <w:lang w:eastAsia="es-MX"/>
        </w:rPr>
        <w:t xml:space="preserve"> </w:t>
      </w:r>
      <w:r w:rsidR="00C359C9" w:rsidRPr="006E23DE">
        <w:rPr>
          <w:rFonts w:ascii="ITC Avant Garde" w:hAnsi="ITC Avant Garde"/>
          <w:bCs/>
          <w:color w:val="000000"/>
          <w:lang w:eastAsia="es-MX"/>
        </w:rPr>
        <w:t>Teléfonos de México</w:t>
      </w:r>
      <w:r w:rsidR="00533BE8" w:rsidRPr="006E23DE">
        <w:rPr>
          <w:rFonts w:ascii="ITC Avant Garde" w:hAnsi="ITC Avant Garde"/>
          <w:bCs/>
          <w:color w:val="000000"/>
          <w:lang w:eastAsia="es-MX"/>
        </w:rPr>
        <w:t>, S.A.</w:t>
      </w:r>
      <w:r w:rsidR="00C359C9" w:rsidRPr="006E23DE">
        <w:rPr>
          <w:rFonts w:ascii="ITC Avant Garde" w:hAnsi="ITC Avant Garde"/>
          <w:bCs/>
          <w:color w:val="000000"/>
          <w:lang w:eastAsia="es-MX"/>
        </w:rPr>
        <w:t>B.</w:t>
      </w:r>
      <w:r w:rsidR="00533BE8" w:rsidRPr="006E23DE">
        <w:rPr>
          <w:rFonts w:ascii="ITC Avant Garde" w:hAnsi="ITC Avant Garde"/>
          <w:bCs/>
          <w:color w:val="000000"/>
          <w:lang w:eastAsia="es-MX"/>
        </w:rPr>
        <w:t xml:space="preserve"> de C.V.,</w:t>
      </w:r>
      <w:r w:rsidR="004B7798" w:rsidRPr="006E23DE">
        <w:rPr>
          <w:rFonts w:ascii="ITC Avant Garde" w:hAnsi="ITC Avant Garde"/>
          <w:bCs/>
          <w:color w:val="000000"/>
          <w:lang w:eastAsia="es-MX"/>
        </w:rPr>
        <w:t xml:space="preserve"> respecto a la concesi</w:t>
      </w:r>
      <w:r w:rsidR="00C359C9" w:rsidRPr="006E23DE">
        <w:rPr>
          <w:rFonts w:ascii="ITC Avant Garde" w:hAnsi="ITC Avant Garde"/>
          <w:bCs/>
          <w:color w:val="000000"/>
          <w:lang w:eastAsia="es-MX"/>
        </w:rPr>
        <w:t>ón</w:t>
      </w:r>
      <w:r w:rsidR="004B7798" w:rsidRPr="006E23DE">
        <w:rPr>
          <w:rFonts w:ascii="ITC Avant Garde" w:hAnsi="ITC Avant Garde"/>
          <w:bCs/>
          <w:color w:val="000000"/>
          <w:lang w:eastAsia="es-MX"/>
        </w:rPr>
        <w:t xml:space="preserve"> otorgada el </w:t>
      </w:r>
      <w:r w:rsidR="00C359C9" w:rsidRPr="006E23DE">
        <w:rPr>
          <w:rFonts w:ascii="ITC Avant Garde" w:hAnsi="ITC Avant Garde"/>
          <w:bCs/>
          <w:color w:val="000000"/>
          <w:lang w:eastAsia="es-MX"/>
        </w:rPr>
        <w:t>28 de octubre de 1998</w:t>
      </w:r>
      <w:r w:rsidR="004B7798" w:rsidRPr="006E23DE">
        <w:rPr>
          <w:rFonts w:ascii="ITC Avant Garde" w:hAnsi="ITC Avant Garde"/>
          <w:bCs/>
          <w:color w:val="000000"/>
          <w:lang w:eastAsia="es-MX"/>
        </w:rPr>
        <w:t xml:space="preserve"> por la Secretaría de Comunicaciones y Transportes para instalar, operar y explotar una red pública de telecomunicaciones</w:t>
      </w:r>
      <w:r w:rsidR="00C359C9" w:rsidRPr="006E23DE">
        <w:rPr>
          <w:rFonts w:ascii="ITC Avant Garde" w:hAnsi="ITC Avant Garde"/>
          <w:bCs/>
          <w:color w:val="000000"/>
          <w:lang w:eastAsia="es-MX"/>
        </w:rPr>
        <w:t>,</w:t>
      </w:r>
      <w:r w:rsidR="004B7798" w:rsidRPr="006E23DE">
        <w:rPr>
          <w:rFonts w:ascii="ITC Avant Garde" w:hAnsi="ITC Avant Garde"/>
          <w:bCs/>
          <w:color w:val="000000"/>
          <w:lang w:eastAsia="es-MX"/>
        </w:rPr>
        <w:t xml:space="preserve"> para</w:t>
      </w:r>
      <w:r w:rsidR="00C359C9" w:rsidRPr="006E23DE">
        <w:rPr>
          <w:rFonts w:ascii="ITC Avant Garde" w:hAnsi="ITC Avant Garde"/>
          <w:bCs/>
          <w:color w:val="000000"/>
          <w:lang w:eastAsia="es-MX"/>
        </w:rPr>
        <w:t>: 1) la prestación del servicio local de telefonía inalámbrica fija o móvil; 2) la comercialización de la capacidad de la Red para la emisión, transmisión o recepción de signos, señales, escritos, imágenes, voz, sonidos o información de cualquier naturaleza, y 3) el acceso a redes de datos, video, audio y videoconferencia</w:t>
      </w:r>
      <w:r w:rsidR="004B7798" w:rsidRPr="006E23DE">
        <w:rPr>
          <w:rFonts w:ascii="ITC Avant Garde" w:hAnsi="ITC Avant Garde"/>
          <w:bCs/>
          <w:color w:val="000000"/>
          <w:lang w:eastAsia="es-MX"/>
        </w:rPr>
        <w:t xml:space="preserve">, con cobertura </w:t>
      </w:r>
      <w:r w:rsidR="00C359C9" w:rsidRPr="006E23DE">
        <w:rPr>
          <w:rFonts w:ascii="ITC Avant Garde" w:hAnsi="ITC Avant Garde"/>
          <w:bCs/>
          <w:color w:val="000000"/>
          <w:lang w:eastAsia="es-MX"/>
        </w:rPr>
        <w:t>en las 9 (nueve) regiones en que se dividió el país</w:t>
      </w:r>
      <w:r w:rsidR="004B7798" w:rsidRPr="006E23DE">
        <w:rPr>
          <w:rFonts w:ascii="ITC Avant Garde" w:hAnsi="ITC Avant Garde"/>
          <w:bCs/>
          <w:color w:val="000000"/>
          <w:lang w:eastAsia="es-MX"/>
        </w:rPr>
        <w:t>.</w:t>
      </w:r>
      <w:r w:rsidR="00CF1F4A" w:rsidRPr="006E23DE">
        <w:rPr>
          <w:rFonts w:ascii="ITC Avant Garde" w:hAnsi="ITC Avant Garde"/>
          <w:bCs/>
          <w:color w:val="000000"/>
          <w:lang w:eastAsia="es-MX"/>
        </w:rPr>
        <w:t xml:space="preserve"> </w:t>
      </w:r>
    </w:p>
    <w:p w14:paraId="2E523406" w14:textId="77777777" w:rsidR="00221B21" w:rsidRPr="006E23DE" w:rsidRDefault="004B7798" w:rsidP="006E23DE">
      <w:pPr>
        <w:autoSpaceDE w:val="0"/>
        <w:autoSpaceDN w:val="0"/>
        <w:adjustRightInd w:val="0"/>
        <w:spacing w:after="240" w:line="240" w:lineRule="auto"/>
        <w:jc w:val="both"/>
        <w:rPr>
          <w:rFonts w:ascii="ITC Avant Garde" w:hAnsi="ITC Avant Garde"/>
          <w:bCs/>
        </w:rPr>
      </w:pPr>
      <w:r w:rsidRPr="006E23DE">
        <w:rPr>
          <w:rFonts w:ascii="ITC Avant Garde" w:hAnsi="ITC Avant Garde"/>
          <w:bCs/>
          <w:color w:val="000000"/>
          <w:lang w:eastAsia="es-MX"/>
        </w:rPr>
        <w:t xml:space="preserve">Lo anterior, en virtud de </w:t>
      </w:r>
      <w:r w:rsidR="00616AC9" w:rsidRPr="006E23DE">
        <w:rPr>
          <w:rFonts w:ascii="ITC Avant Garde" w:hAnsi="ITC Avant Garde"/>
          <w:bCs/>
          <w:color w:val="000000"/>
          <w:lang w:eastAsia="es-MX"/>
        </w:rPr>
        <w:t>lo señalado en el Considerando Tercero de la presente Resolución.</w:t>
      </w:r>
    </w:p>
    <w:p w14:paraId="54BA62A4" w14:textId="77777777" w:rsidR="00221B21" w:rsidRPr="006E23DE" w:rsidRDefault="003D4F21" w:rsidP="006E23DE">
      <w:pPr>
        <w:autoSpaceDE w:val="0"/>
        <w:autoSpaceDN w:val="0"/>
        <w:adjustRightInd w:val="0"/>
        <w:spacing w:after="240" w:line="240" w:lineRule="auto"/>
        <w:jc w:val="both"/>
        <w:rPr>
          <w:rFonts w:ascii="ITC Avant Garde" w:hAnsi="ITC Avant Garde"/>
          <w:b/>
          <w:bCs/>
          <w:lang w:val="es-ES_tradnl"/>
        </w:rPr>
      </w:pPr>
      <w:r w:rsidRPr="006E23DE">
        <w:rPr>
          <w:rFonts w:ascii="ITC Avant Garde" w:hAnsi="ITC Avant Garde"/>
          <w:b/>
          <w:bCs/>
          <w:lang w:val="es-ES_tradnl"/>
        </w:rPr>
        <w:lastRenderedPageBreak/>
        <w:t xml:space="preserve">SEGUNDO.- </w:t>
      </w:r>
      <w:r w:rsidRPr="006E23DE">
        <w:rPr>
          <w:rFonts w:ascii="ITC Avant Garde" w:hAnsi="ITC Avant Garde"/>
          <w:bCs/>
          <w:lang w:val="es-ES_tradnl"/>
        </w:rPr>
        <w:t xml:space="preserve">Sin perjuicio de lo anterior, Teléfonos de México, S.A.B. de C.V., deberá </w:t>
      </w:r>
      <w:r w:rsidR="000B6266" w:rsidRPr="006E23DE">
        <w:rPr>
          <w:rFonts w:ascii="ITC Avant Garde" w:hAnsi="ITC Avant Garde"/>
          <w:bCs/>
          <w:lang w:val="es-ES_tradnl"/>
        </w:rPr>
        <w:t>sujetarse</w:t>
      </w:r>
      <w:r w:rsidRPr="006E23DE">
        <w:rPr>
          <w:rFonts w:ascii="ITC Avant Garde" w:hAnsi="ITC Avant Garde"/>
          <w:bCs/>
          <w:lang w:val="es-ES_tradnl"/>
        </w:rPr>
        <w:t xml:space="preserve"> a la resolución que en su oportunidad adopte este Instituto Federal de Telecomunicaciones, respecto del procedimiento de prórroga de vigencia de las concesiones </w:t>
      </w:r>
      <w:r w:rsidR="00C50DB2" w:rsidRPr="006E23DE">
        <w:rPr>
          <w:rFonts w:ascii="ITC Avant Garde" w:hAnsi="ITC Avant Garde"/>
          <w:bCs/>
          <w:lang w:val="es-ES_tradnl"/>
        </w:rPr>
        <w:t xml:space="preserve"> de bandas de frecuencias </w:t>
      </w:r>
      <w:r w:rsidRPr="006E23DE">
        <w:rPr>
          <w:rFonts w:ascii="ITC Avant Garde" w:hAnsi="ITC Avant Garde"/>
          <w:bCs/>
          <w:lang w:val="es-ES_tradnl"/>
        </w:rPr>
        <w:t xml:space="preserve">a que se refiere el Antecedente </w:t>
      </w:r>
      <w:r w:rsidR="000B6266" w:rsidRPr="006E23DE">
        <w:rPr>
          <w:rFonts w:ascii="ITC Avant Garde" w:hAnsi="ITC Avant Garde"/>
          <w:bCs/>
          <w:lang w:val="es-ES_tradnl"/>
        </w:rPr>
        <w:t>I</w:t>
      </w:r>
      <w:r w:rsidRPr="006E23DE">
        <w:rPr>
          <w:rFonts w:ascii="ITC Avant Garde" w:hAnsi="ITC Avant Garde"/>
          <w:bCs/>
          <w:lang w:val="es-ES_tradnl"/>
        </w:rPr>
        <w:t xml:space="preserve"> de la presente Resolución.</w:t>
      </w:r>
      <w:r w:rsidRPr="006E23DE">
        <w:rPr>
          <w:rFonts w:ascii="ITC Avant Garde" w:hAnsi="ITC Avant Garde"/>
          <w:b/>
          <w:bCs/>
          <w:lang w:val="es-ES_tradnl"/>
        </w:rPr>
        <w:t xml:space="preserve"> </w:t>
      </w:r>
    </w:p>
    <w:p w14:paraId="482C3C29" w14:textId="77777777" w:rsidR="00221B21" w:rsidRPr="006E23DE" w:rsidRDefault="003D4F21" w:rsidP="006E23DE">
      <w:pPr>
        <w:autoSpaceDE w:val="0"/>
        <w:autoSpaceDN w:val="0"/>
        <w:adjustRightInd w:val="0"/>
        <w:spacing w:after="240" w:line="240" w:lineRule="auto"/>
        <w:jc w:val="both"/>
        <w:rPr>
          <w:rFonts w:ascii="ITC Avant Garde" w:hAnsi="ITC Avant Garde"/>
          <w:bCs/>
          <w:color w:val="000000"/>
        </w:rPr>
      </w:pPr>
      <w:r w:rsidRPr="006E23DE">
        <w:rPr>
          <w:rFonts w:ascii="ITC Avant Garde" w:hAnsi="ITC Avant Garde"/>
          <w:b/>
          <w:bCs/>
          <w:lang w:val="es-ES_tradnl"/>
        </w:rPr>
        <w:t>TERCERO</w:t>
      </w:r>
      <w:r w:rsidR="00F72EF0" w:rsidRPr="006E23DE">
        <w:rPr>
          <w:rFonts w:ascii="ITC Avant Garde" w:hAnsi="ITC Avant Garde"/>
          <w:b/>
          <w:bCs/>
        </w:rPr>
        <w:t xml:space="preserve">.- </w:t>
      </w:r>
      <w:r w:rsidR="00575326" w:rsidRPr="006E23DE">
        <w:rPr>
          <w:rFonts w:ascii="ITC Avant Garde" w:hAnsi="ITC Avant Garde"/>
          <w:bCs/>
          <w:color w:val="000000"/>
        </w:rPr>
        <w:t>Se instruye a la Unidad de Concesiones y Servicios a hacer del conocimiento de Teléfonos de México, S.A.B. de C.V. la presente Resolución.</w:t>
      </w:r>
    </w:p>
    <w:p w14:paraId="57913993" w14:textId="77777777" w:rsidR="00221B21" w:rsidRPr="006E23DE" w:rsidRDefault="003D4F21" w:rsidP="006E23DE">
      <w:pPr>
        <w:autoSpaceDE w:val="0"/>
        <w:autoSpaceDN w:val="0"/>
        <w:adjustRightInd w:val="0"/>
        <w:spacing w:after="240" w:line="240" w:lineRule="auto"/>
        <w:jc w:val="both"/>
        <w:rPr>
          <w:rFonts w:ascii="ITC Avant Garde" w:hAnsi="ITC Avant Garde"/>
          <w:lang w:eastAsia="es-MX"/>
        </w:rPr>
      </w:pPr>
      <w:r w:rsidRPr="006E23DE">
        <w:rPr>
          <w:rFonts w:ascii="ITC Avant Garde" w:hAnsi="ITC Avant Garde"/>
          <w:b/>
          <w:bCs/>
          <w:lang w:eastAsia="es-MX"/>
        </w:rPr>
        <w:t>CUARTO</w:t>
      </w:r>
      <w:r w:rsidR="0001660F" w:rsidRPr="006E23DE">
        <w:rPr>
          <w:rFonts w:ascii="ITC Avant Garde" w:hAnsi="ITC Avant Garde"/>
          <w:b/>
          <w:bCs/>
          <w:lang w:val="es-ES_tradnl"/>
        </w:rPr>
        <w:t>.-</w:t>
      </w:r>
      <w:r w:rsidR="0001660F" w:rsidRPr="006E23DE">
        <w:rPr>
          <w:rFonts w:ascii="ITC Avant Garde" w:hAnsi="ITC Avant Garde"/>
          <w:bCs/>
          <w:lang w:val="es-ES_tradnl"/>
        </w:rPr>
        <w:t xml:space="preserve"> </w:t>
      </w:r>
      <w:r w:rsidR="00575326" w:rsidRPr="006E23DE">
        <w:rPr>
          <w:rFonts w:ascii="ITC Avant Garde" w:hAnsi="ITC Avant Garde"/>
          <w:lang w:eastAsia="es-MX"/>
        </w:rPr>
        <w:t xml:space="preserve">En cumplimiento a lo dispuesto en los artículos 3 fracción XV y 39 de la </w:t>
      </w:r>
      <w:r w:rsidR="00575326" w:rsidRPr="006E23DE">
        <w:rPr>
          <w:rFonts w:ascii="ITC Avant Garde" w:hAnsi="ITC Avant Garde"/>
          <w:bCs/>
          <w:lang w:eastAsia="es-MX"/>
        </w:rPr>
        <w:t>Ley Federal de Procedimiento Administrativo</w:t>
      </w:r>
      <w:r w:rsidR="00575326" w:rsidRPr="006E23DE">
        <w:rPr>
          <w:rFonts w:ascii="ITC Avant Garde" w:hAnsi="ITC Avant Garde"/>
          <w:lang w:eastAsia="es-MX"/>
        </w:rPr>
        <w:t>, se hace del conocimiento de Teléfonos de México, S.A.B. de C.V.,</w:t>
      </w:r>
      <w:r w:rsidR="00575326" w:rsidRPr="006E23DE">
        <w:rPr>
          <w:rFonts w:ascii="ITC Avant Garde" w:hAnsi="ITC Avant Garde"/>
          <w:bCs/>
        </w:rPr>
        <w:t xml:space="preserve"> </w:t>
      </w:r>
      <w:r w:rsidR="00575326" w:rsidRPr="006E23DE">
        <w:rPr>
          <w:rFonts w:ascii="ITC Avant Garde" w:hAnsi="ITC Avant Garde"/>
          <w:lang w:eastAsia="es-MX"/>
        </w:rPr>
        <w:t xml:space="preserve">que la presente Resolución constituye un acto administrativo definitivo y por lo tanto, de conformidad con lo dispuesto en los artículos 28 de la </w:t>
      </w:r>
      <w:r w:rsidR="00575326" w:rsidRPr="006E23DE">
        <w:rPr>
          <w:rFonts w:ascii="ITC Avant Garde" w:hAnsi="ITC Avant Garde"/>
          <w:bCs/>
          <w:lang w:eastAsia="es-MX"/>
        </w:rPr>
        <w:t>Constitución Política de los Estados Unidos Mexicanos</w:t>
      </w:r>
      <w:r w:rsidR="00575326" w:rsidRPr="006E23DE">
        <w:rPr>
          <w:rFonts w:ascii="ITC Avant Garde" w:hAnsi="ITC Avant Garde"/>
          <w:lang w:eastAsia="es-MX"/>
        </w:rPr>
        <w:t xml:space="preserve"> y 312 de la </w:t>
      </w:r>
      <w:r w:rsidR="00575326" w:rsidRPr="006E23DE">
        <w:rPr>
          <w:rFonts w:ascii="ITC Avant Garde" w:hAnsi="ITC Avant Garde"/>
          <w:bCs/>
          <w:lang w:eastAsia="es-MX"/>
        </w:rPr>
        <w:t>Ley Federal de Telecomunicaciones y Radiodifusión</w:t>
      </w:r>
      <w:r w:rsidR="00575326" w:rsidRPr="006E23DE">
        <w:rPr>
          <w:rFonts w:ascii="ITC Avant Garde" w:hAnsi="ITC Avant Garde"/>
          <w:lang w:eastAsia="es-MX"/>
        </w:rPr>
        <w:t xml:space="preserve">, podrá ser impugnada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 la presente Resolución, en términos del artículo 17 de la </w:t>
      </w:r>
      <w:r w:rsidR="00575326" w:rsidRPr="006E23DE">
        <w:rPr>
          <w:rFonts w:ascii="ITC Avant Garde" w:hAnsi="ITC Avant Garde"/>
          <w:bCs/>
          <w:lang w:eastAsia="es-MX"/>
        </w:rPr>
        <w:t>Ley de Amparo</w:t>
      </w:r>
      <w:r w:rsidR="00575326" w:rsidRPr="006E23DE">
        <w:rPr>
          <w:rFonts w:ascii="ITC Avant Garde" w:hAnsi="ITC Avant Garde"/>
          <w:lang w:eastAsia="es-MX"/>
        </w:rPr>
        <w:t xml:space="preserve">, Reglamentaria de los artículos 103 y 107 de la </w:t>
      </w:r>
      <w:r w:rsidR="00575326" w:rsidRPr="006E23DE">
        <w:rPr>
          <w:rFonts w:ascii="ITC Avant Garde" w:hAnsi="ITC Avant Garde"/>
          <w:bCs/>
          <w:lang w:eastAsia="es-MX"/>
        </w:rPr>
        <w:t>Constitución Política de los Estados Unidos Mexicanos</w:t>
      </w:r>
      <w:r w:rsidR="00575326" w:rsidRPr="006E23DE">
        <w:rPr>
          <w:rFonts w:ascii="ITC Avant Garde" w:hAnsi="ITC Avant Garde"/>
          <w:lang w:eastAsia="es-MX"/>
        </w:rPr>
        <w:t>.</w:t>
      </w:r>
    </w:p>
    <w:p w14:paraId="5DF50C3B" w14:textId="640CBBE5" w:rsidR="00DE649A" w:rsidRPr="006E23DE" w:rsidRDefault="003D4F21" w:rsidP="006E23DE">
      <w:pPr>
        <w:spacing w:after="240" w:line="240" w:lineRule="auto"/>
        <w:jc w:val="both"/>
        <w:rPr>
          <w:rFonts w:ascii="ITC Avant Garde" w:hAnsi="ITC Avant Garde"/>
          <w:bCs/>
          <w:lang w:val="es-ES_tradnl"/>
        </w:rPr>
      </w:pPr>
      <w:r w:rsidRPr="006E23DE">
        <w:rPr>
          <w:rFonts w:ascii="ITC Avant Garde" w:hAnsi="ITC Avant Garde"/>
          <w:b/>
          <w:bCs/>
          <w:lang w:val="es-ES_tradnl"/>
        </w:rPr>
        <w:t>QUINTO</w:t>
      </w:r>
      <w:r w:rsidR="00DE649A" w:rsidRPr="006E23DE">
        <w:rPr>
          <w:rFonts w:ascii="ITC Avant Garde" w:hAnsi="ITC Avant Garde"/>
          <w:b/>
          <w:bCs/>
          <w:lang w:eastAsia="es-MX"/>
        </w:rPr>
        <w:t>.</w:t>
      </w:r>
      <w:r w:rsidR="00DE649A" w:rsidRPr="006E23DE">
        <w:rPr>
          <w:rFonts w:ascii="ITC Avant Garde" w:hAnsi="ITC Avant Garde"/>
          <w:b/>
          <w:bCs/>
        </w:rPr>
        <w:t xml:space="preserve"> </w:t>
      </w:r>
      <w:r w:rsidR="00575326" w:rsidRPr="006E23DE">
        <w:rPr>
          <w:rFonts w:ascii="ITC Avant Garde" w:hAnsi="ITC Avant Garde"/>
          <w:bCs/>
          <w:lang w:val="es-ES_tradnl"/>
        </w:rPr>
        <w:t xml:space="preserve">Se instruye a la Unidad de Concesiones y Servicios a tomar nota en el Registro Público de Concesiones </w:t>
      </w:r>
      <w:r w:rsidRPr="006E23DE">
        <w:rPr>
          <w:rFonts w:ascii="ITC Avant Garde" w:hAnsi="ITC Avant Garde"/>
          <w:bCs/>
          <w:lang w:val="es-ES_tradnl"/>
        </w:rPr>
        <w:t xml:space="preserve">respecto </w:t>
      </w:r>
      <w:r w:rsidR="00575326" w:rsidRPr="006E23DE">
        <w:rPr>
          <w:rFonts w:ascii="ITC Avant Garde" w:hAnsi="ITC Avant Garde"/>
          <w:bCs/>
          <w:lang w:val="es-ES_tradnl"/>
        </w:rPr>
        <w:t>de la negativa de la prórroga de vigencia de la concesión señalada en el Resolutivo Primero de la presente Resoluci</w:t>
      </w:r>
      <w:bookmarkStart w:id="0" w:name="_GoBack"/>
      <w:bookmarkEnd w:id="0"/>
      <w:r w:rsidR="00575326" w:rsidRPr="006E23DE">
        <w:rPr>
          <w:rFonts w:ascii="ITC Avant Garde" w:hAnsi="ITC Avant Garde"/>
          <w:bCs/>
          <w:lang w:val="es-ES_tradnl"/>
        </w:rPr>
        <w:t>ón.</w:t>
      </w:r>
    </w:p>
    <w:p w14:paraId="08E74BE5" w14:textId="7770FADE" w:rsidR="00221B21" w:rsidRPr="006E23DE" w:rsidRDefault="00AF5749" w:rsidP="006E23DE">
      <w:pPr>
        <w:spacing w:after="240"/>
        <w:jc w:val="both"/>
        <w:rPr>
          <w:rFonts w:ascii="ITC Avant Garde" w:eastAsiaTheme="minorHAnsi" w:hAnsi="ITC Avant Garde"/>
          <w:iCs/>
          <w:sz w:val="14"/>
          <w:szCs w:val="14"/>
          <w:lang w:val="es-ES_tradnl"/>
        </w:rPr>
      </w:pPr>
      <w:r w:rsidRPr="006E23DE">
        <w:rPr>
          <w:rFonts w:ascii="ITC Avant Garde" w:hAnsi="ITC Avant Garde"/>
          <w:iCs/>
          <w:sz w:val="14"/>
          <w:szCs w:val="14"/>
          <w:lang w:val="es-ES_tradnl" w:eastAsia="es-ES_tradnl"/>
        </w:rPr>
        <w:t xml:space="preserve">La presente Resolución fue aprobada por el Pleno del Instituto Federal de Telecomunicaciones en su XXXVI Sesión Ordinaria celebrada el 27 de octubre de 2016, por </w:t>
      </w:r>
      <w:r w:rsidRPr="006E23DE">
        <w:rPr>
          <w:rFonts w:ascii="ITC Avant Garde" w:hAnsi="ITC Avant Garde"/>
          <w:bCs/>
          <w:iCs/>
          <w:sz w:val="14"/>
          <w:szCs w:val="14"/>
          <w:lang w:val="es-ES_tradnl" w:eastAsia="es-ES_tradnl"/>
        </w:rPr>
        <w:t>mayoría</w:t>
      </w:r>
      <w:r w:rsidRPr="006E23DE">
        <w:rPr>
          <w:rFonts w:ascii="ITC Avant Garde" w:hAnsi="ITC Avant Garde"/>
          <w:iCs/>
          <w:sz w:val="14"/>
          <w:szCs w:val="14"/>
          <w:lang w:val="es-ES_tradnl" w:eastAsia="es-ES_tradnl"/>
        </w:rPr>
        <w:t xml:space="preserve"> de votos de los Comisionados Gabriel Oswaldo Contreras Saldívar, Ernesto Estrada González, Mario Germán Fromow Rangel y Javier Juárez Mojica; y con los votos en contra de los Comisionados Adriana Sofía Labardini Inzunza, María Elena Estavillo Flores y Adolfo Cuevas Teja, quien manifiesta la presentación de un voto por escrito;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P/IFT/271016/595</w:t>
      </w:r>
      <w:r w:rsidR="00A725C5" w:rsidRPr="006E23DE">
        <w:rPr>
          <w:rFonts w:ascii="ITC Avant Garde" w:hAnsi="ITC Avant Garde"/>
          <w:iCs/>
          <w:sz w:val="14"/>
          <w:szCs w:val="14"/>
          <w:lang w:val="es-ES_tradnl" w:eastAsia="es-ES_tradnl"/>
        </w:rPr>
        <w:t>.</w:t>
      </w:r>
    </w:p>
    <w:sectPr w:rsidR="00221B21" w:rsidRPr="006E23DE" w:rsidSect="00E741A4">
      <w:headerReference w:type="even" r:id="rId8"/>
      <w:footerReference w:type="default" r:id="rId9"/>
      <w:headerReference w:type="first" r:id="rId10"/>
      <w:pgSz w:w="12240" w:h="15840"/>
      <w:pgMar w:top="226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14C3F" w14:textId="77777777" w:rsidR="004C20EE" w:rsidRDefault="004C20EE">
      <w:pPr>
        <w:spacing w:after="0" w:line="240" w:lineRule="auto"/>
      </w:pPr>
      <w:r>
        <w:separator/>
      </w:r>
    </w:p>
  </w:endnote>
  <w:endnote w:type="continuationSeparator" w:id="0">
    <w:p w14:paraId="79DB6FEC" w14:textId="77777777" w:rsidR="004C20EE" w:rsidRDefault="004C2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180710"/>
      <w:docPartObj>
        <w:docPartGallery w:val="Page Numbers (Bottom of Page)"/>
        <w:docPartUnique/>
      </w:docPartObj>
    </w:sdtPr>
    <w:sdtEndPr>
      <w:rPr>
        <w:rFonts w:ascii="ITC Avant Garde" w:hAnsi="ITC Avant Garde"/>
        <w:sz w:val="20"/>
        <w:szCs w:val="20"/>
      </w:rPr>
    </w:sdtEndPr>
    <w:sdtContent>
      <w:p w14:paraId="775B4627" w14:textId="77777777" w:rsidR="00221B21" w:rsidRDefault="00D806B7">
        <w:pPr>
          <w:pStyle w:val="Piedepgina"/>
          <w:jc w:val="right"/>
          <w:rPr>
            <w:rFonts w:ascii="ITC Avant Garde" w:hAnsi="ITC Avant Garde"/>
            <w:sz w:val="20"/>
            <w:szCs w:val="20"/>
          </w:rPr>
        </w:pPr>
        <w:r w:rsidRPr="00D806B7">
          <w:rPr>
            <w:rFonts w:ascii="ITC Avant Garde" w:hAnsi="ITC Avant Garde"/>
            <w:sz w:val="20"/>
            <w:szCs w:val="20"/>
          </w:rPr>
          <w:fldChar w:fldCharType="begin"/>
        </w:r>
        <w:r w:rsidRPr="00D806B7">
          <w:rPr>
            <w:rFonts w:ascii="ITC Avant Garde" w:hAnsi="ITC Avant Garde"/>
            <w:sz w:val="20"/>
            <w:szCs w:val="20"/>
          </w:rPr>
          <w:instrText>PAGE   \* MERGEFORMAT</w:instrText>
        </w:r>
        <w:r w:rsidRPr="00D806B7">
          <w:rPr>
            <w:rFonts w:ascii="ITC Avant Garde" w:hAnsi="ITC Avant Garde"/>
            <w:sz w:val="20"/>
            <w:szCs w:val="20"/>
          </w:rPr>
          <w:fldChar w:fldCharType="separate"/>
        </w:r>
        <w:r w:rsidR="006E23DE" w:rsidRPr="006E23DE">
          <w:rPr>
            <w:rFonts w:ascii="ITC Avant Garde" w:hAnsi="ITC Avant Garde"/>
            <w:noProof/>
            <w:sz w:val="20"/>
            <w:szCs w:val="20"/>
            <w:lang w:val="es-ES"/>
          </w:rPr>
          <w:t>6</w:t>
        </w:r>
        <w:r w:rsidRPr="00D806B7">
          <w:rPr>
            <w:rFonts w:ascii="ITC Avant Garde" w:hAnsi="ITC Avant Garde"/>
            <w:sz w:val="20"/>
            <w:szCs w:val="20"/>
          </w:rPr>
          <w:fldChar w:fldCharType="end"/>
        </w:r>
      </w:p>
    </w:sdtContent>
  </w:sdt>
  <w:p w14:paraId="4E3C4525" w14:textId="4A1088C2" w:rsidR="00E741A4" w:rsidRPr="004C7979" w:rsidRDefault="00E741A4" w:rsidP="00C407AA">
    <w:pPr>
      <w:tabs>
        <w:tab w:val="left" w:pos="5970"/>
        <w:tab w:val="right" w:pos="9355"/>
      </w:tabs>
      <w:ind w:left="5670" w:right="49"/>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C3FBD" w14:textId="77777777" w:rsidR="004C20EE" w:rsidRDefault="004C20EE">
      <w:pPr>
        <w:spacing w:after="0" w:line="240" w:lineRule="auto"/>
      </w:pPr>
      <w:r>
        <w:separator/>
      </w:r>
    </w:p>
  </w:footnote>
  <w:footnote w:type="continuationSeparator" w:id="0">
    <w:p w14:paraId="6F4465E8" w14:textId="77777777" w:rsidR="004C20EE" w:rsidRDefault="004C20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3364D" w14:textId="77777777" w:rsidR="00E741A4" w:rsidRDefault="004C20EE">
    <w:pPr>
      <w:pStyle w:val="Encabezado"/>
    </w:pPr>
    <w:r>
      <w:rPr>
        <w:noProof/>
        <w:lang w:eastAsia="es-MX"/>
      </w:rPr>
      <w:pict w14:anchorId="504C39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9CCC5" w14:textId="77777777" w:rsidR="00E741A4" w:rsidRPr="000F5E4B" w:rsidRDefault="004C20EE">
    <w:pPr>
      <w:pStyle w:val="Encabezado"/>
      <w:rPr>
        <w:b/>
      </w:rPr>
    </w:pPr>
    <w:r>
      <w:rPr>
        <w:b/>
        <w:noProof/>
        <w:lang w:eastAsia="es-MX"/>
      </w:rPr>
      <w:pict w14:anchorId="5B5EBC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D7D4B"/>
    <w:multiLevelType w:val="hybridMultilevel"/>
    <w:tmpl w:val="C94624A2"/>
    <w:lvl w:ilvl="0" w:tplc="E0F2674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E46EAE"/>
    <w:multiLevelType w:val="hybridMultilevel"/>
    <w:tmpl w:val="C466FF5A"/>
    <w:lvl w:ilvl="0" w:tplc="080A0001">
      <w:start w:val="1"/>
      <w:numFmt w:val="bullet"/>
      <w:lvlText w:val=""/>
      <w:lvlJc w:val="left"/>
      <w:pPr>
        <w:ind w:left="1350" w:hanging="360"/>
      </w:pPr>
      <w:rPr>
        <w:rFonts w:ascii="Symbol" w:hAnsi="Symbol" w:hint="default"/>
      </w:rPr>
    </w:lvl>
    <w:lvl w:ilvl="1" w:tplc="080A0003" w:tentative="1">
      <w:start w:val="1"/>
      <w:numFmt w:val="bullet"/>
      <w:lvlText w:val="o"/>
      <w:lvlJc w:val="left"/>
      <w:pPr>
        <w:ind w:left="2070" w:hanging="360"/>
      </w:pPr>
      <w:rPr>
        <w:rFonts w:ascii="Courier New" w:hAnsi="Courier New" w:cs="Courier New" w:hint="default"/>
      </w:rPr>
    </w:lvl>
    <w:lvl w:ilvl="2" w:tplc="080A0005" w:tentative="1">
      <w:start w:val="1"/>
      <w:numFmt w:val="bullet"/>
      <w:lvlText w:val=""/>
      <w:lvlJc w:val="left"/>
      <w:pPr>
        <w:ind w:left="2790" w:hanging="360"/>
      </w:pPr>
      <w:rPr>
        <w:rFonts w:ascii="Wingdings" w:hAnsi="Wingdings" w:hint="default"/>
      </w:rPr>
    </w:lvl>
    <w:lvl w:ilvl="3" w:tplc="080A0001" w:tentative="1">
      <w:start w:val="1"/>
      <w:numFmt w:val="bullet"/>
      <w:lvlText w:val=""/>
      <w:lvlJc w:val="left"/>
      <w:pPr>
        <w:ind w:left="3510" w:hanging="360"/>
      </w:pPr>
      <w:rPr>
        <w:rFonts w:ascii="Symbol" w:hAnsi="Symbol" w:hint="default"/>
      </w:rPr>
    </w:lvl>
    <w:lvl w:ilvl="4" w:tplc="080A0003" w:tentative="1">
      <w:start w:val="1"/>
      <w:numFmt w:val="bullet"/>
      <w:lvlText w:val="o"/>
      <w:lvlJc w:val="left"/>
      <w:pPr>
        <w:ind w:left="4230" w:hanging="360"/>
      </w:pPr>
      <w:rPr>
        <w:rFonts w:ascii="Courier New" w:hAnsi="Courier New" w:cs="Courier New" w:hint="default"/>
      </w:rPr>
    </w:lvl>
    <w:lvl w:ilvl="5" w:tplc="080A0005" w:tentative="1">
      <w:start w:val="1"/>
      <w:numFmt w:val="bullet"/>
      <w:lvlText w:val=""/>
      <w:lvlJc w:val="left"/>
      <w:pPr>
        <w:ind w:left="4950" w:hanging="360"/>
      </w:pPr>
      <w:rPr>
        <w:rFonts w:ascii="Wingdings" w:hAnsi="Wingdings" w:hint="default"/>
      </w:rPr>
    </w:lvl>
    <w:lvl w:ilvl="6" w:tplc="080A0001" w:tentative="1">
      <w:start w:val="1"/>
      <w:numFmt w:val="bullet"/>
      <w:lvlText w:val=""/>
      <w:lvlJc w:val="left"/>
      <w:pPr>
        <w:ind w:left="5670" w:hanging="360"/>
      </w:pPr>
      <w:rPr>
        <w:rFonts w:ascii="Symbol" w:hAnsi="Symbol" w:hint="default"/>
      </w:rPr>
    </w:lvl>
    <w:lvl w:ilvl="7" w:tplc="080A0003" w:tentative="1">
      <w:start w:val="1"/>
      <w:numFmt w:val="bullet"/>
      <w:lvlText w:val="o"/>
      <w:lvlJc w:val="left"/>
      <w:pPr>
        <w:ind w:left="6390" w:hanging="360"/>
      </w:pPr>
      <w:rPr>
        <w:rFonts w:ascii="Courier New" w:hAnsi="Courier New" w:cs="Courier New" w:hint="default"/>
      </w:rPr>
    </w:lvl>
    <w:lvl w:ilvl="8" w:tplc="080A0005" w:tentative="1">
      <w:start w:val="1"/>
      <w:numFmt w:val="bullet"/>
      <w:lvlText w:val=""/>
      <w:lvlJc w:val="left"/>
      <w:pPr>
        <w:ind w:left="7110" w:hanging="360"/>
      </w:pPr>
      <w:rPr>
        <w:rFonts w:ascii="Wingdings" w:hAnsi="Wingdings" w:hint="default"/>
      </w:rPr>
    </w:lvl>
  </w:abstractNum>
  <w:abstractNum w:abstractNumId="2" w15:restartNumberingAfterBreak="0">
    <w:nsid w:val="18517E1B"/>
    <w:multiLevelType w:val="hybridMultilevel"/>
    <w:tmpl w:val="63CE467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9A337DB"/>
    <w:multiLevelType w:val="hybridMultilevel"/>
    <w:tmpl w:val="9E1E5C2C"/>
    <w:lvl w:ilvl="0" w:tplc="5DCCE242">
      <w:start w:val="1"/>
      <w:numFmt w:val="lowerLetter"/>
      <w:lvlText w:val="%1)"/>
      <w:lvlJc w:val="left"/>
      <w:pPr>
        <w:ind w:left="786" w:hanging="360"/>
      </w:pPr>
      <w:rPr>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 w15:restartNumberingAfterBreak="0">
    <w:nsid w:val="2EAD5001"/>
    <w:multiLevelType w:val="hybridMultilevel"/>
    <w:tmpl w:val="158AAA38"/>
    <w:lvl w:ilvl="0" w:tplc="A3581286">
      <w:start w:val="1"/>
      <w:numFmt w:val="lowerLetter"/>
      <w:lvlText w:val="%1)"/>
      <w:lvlJc w:val="left"/>
      <w:pPr>
        <w:ind w:left="2770" w:hanging="360"/>
      </w:pPr>
      <w:rPr>
        <w:rFonts w:hint="default"/>
        <w:b/>
      </w:rPr>
    </w:lvl>
    <w:lvl w:ilvl="1" w:tplc="080A0019" w:tentative="1">
      <w:start w:val="1"/>
      <w:numFmt w:val="lowerLetter"/>
      <w:lvlText w:val="%2."/>
      <w:lvlJc w:val="left"/>
      <w:pPr>
        <w:ind w:left="3490" w:hanging="360"/>
      </w:pPr>
    </w:lvl>
    <w:lvl w:ilvl="2" w:tplc="080A001B" w:tentative="1">
      <w:start w:val="1"/>
      <w:numFmt w:val="lowerRoman"/>
      <w:lvlText w:val="%3."/>
      <w:lvlJc w:val="right"/>
      <w:pPr>
        <w:ind w:left="4210" w:hanging="180"/>
      </w:pPr>
    </w:lvl>
    <w:lvl w:ilvl="3" w:tplc="080A000F" w:tentative="1">
      <w:start w:val="1"/>
      <w:numFmt w:val="decimal"/>
      <w:lvlText w:val="%4."/>
      <w:lvlJc w:val="left"/>
      <w:pPr>
        <w:ind w:left="4930" w:hanging="360"/>
      </w:pPr>
    </w:lvl>
    <w:lvl w:ilvl="4" w:tplc="080A0019" w:tentative="1">
      <w:start w:val="1"/>
      <w:numFmt w:val="lowerLetter"/>
      <w:lvlText w:val="%5."/>
      <w:lvlJc w:val="left"/>
      <w:pPr>
        <w:ind w:left="5650" w:hanging="360"/>
      </w:pPr>
    </w:lvl>
    <w:lvl w:ilvl="5" w:tplc="080A001B" w:tentative="1">
      <w:start w:val="1"/>
      <w:numFmt w:val="lowerRoman"/>
      <w:lvlText w:val="%6."/>
      <w:lvlJc w:val="right"/>
      <w:pPr>
        <w:ind w:left="6370" w:hanging="180"/>
      </w:pPr>
    </w:lvl>
    <w:lvl w:ilvl="6" w:tplc="080A000F" w:tentative="1">
      <w:start w:val="1"/>
      <w:numFmt w:val="decimal"/>
      <w:lvlText w:val="%7."/>
      <w:lvlJc w:val="left"/>
      <w:pPr>
        <w:ind w:left="7090" w:hanging="360"/>
      </w:pPr>
    </w:lvl>
    <w:lvl w:ilvl="7" w:tplc="080A0019" w:tentative="1">
      <w:start w:val="1"/>
      <w:numFmt w:val="lowerLetter"/>
      <w:lvlText w:val="%8."/>
      <w:lvlJc w:val="left"/>
      <w:pPr>
        <w:ind w:left="7810" w:hanging="360"/>
      </w:pPr>
    </w:lvl>
    <w:lvl w:ilvl="8" w:tplc="080A001B" w:tentative="1">
      <w:start w:val="1"/>
      <w:numFmt w:val="lowerRoman"/>
      <w:lvlText w:val="%9."/>
      <w:lvlJc w:val="right"/>
      <w:pPr>
        <w:ind w:left="8530" w:hanging="180"/>
      </w:pPr>
    </w:lvl>
  </w:abstractNum>
  <w:abstractNum w:abstractNumId="5" w15:restartNumberingAfterBreak="0">
    <w:nsid w:val="334F12E9"/>
    <w:multiLevelType w:val="hybridMultilevel"/>
    <w:tmpl w:val="41BE84CA"/>
    <w:lvl w:ilvl="0" w:tplc="522AA9A8">
      <w:start w:val="1"/>
      <w:numFmt w:val="lowerRoman"/>
      <w:lvlText w:val="%1)"/>
      <w:lvlJc w:val="left"/>
      <w:pPr>
        <w:ind w:left="1647" w:hanging="72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37CF2F99"/>
    <w:multiLevelType w:val="hybridMultilevel"/>
    <w:tmpl w:val="DEF88DE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7" w15:restartNumberingAfterBreak="0">
    <w:nsid w:val="3AE06A40"/>
    <w:multiLevelType w:val="multilevel"/>
    <w:tmpl w:val="23DAC46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lowerLetter"/>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3C7211BA"/>
    <w:multiLevelType w:val="hybridMultilevel"/>
    <w:tmpl w:val="6F688C2C"/>
    <w:lvl w:ilvl="0" w:tplc="E0F2674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3560D5"/>
    <w:multiLevelType w:val="hybridMultilevel"/>
    <w:tmpl w:val="905EF76A"/>
    <w:lvl w:ilvl="0" w:tplc="E0F2674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3BF4A11"/>
    <w:multiLevelType w:val="hybridMultilevel"/>
    <w:tmpl w:val="33AEFDCE"/>
    <w:lvl w:ilvl="0" w:tplc="BE4CF3F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040EA7"/>
    <w:multiLevelType w:val="hybridMultilevel"/>
    <w:tmpl w:val="41BE84CA"/>
    <w:lvl w:ilvl="0" w:tplc="522AA9A8">
      <w:start w:val="1"/>
      <w:numFmt w:val="lowerRoman"/>
      <w:lvlText w:val="%1)"/>
      <w:lvlJc w:val="left"/>
      <w:pPr>
        <w:ind w:left="1647" w:hanging="72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6794097"/>
    <w:multiLevelType w:val="hybridMultilevel"/>
    <w:tmpl w:val="5D20145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48D308A3"/>
    <w:multiLevelType w:val="hybridMultilevel"/>
    <w:tmpl w:val="EBC6968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4E9565E3"/>
    <w:multiLevelType w:val="hybridMultilevel"/>
    <w:tmpl w:val="F9365780"/>
    <w:lvl w:ilvl="0" w:tplc="621C36CE">
      <w:start w:val="1"/>
      <w:numFmt w:val="decimal"/>
      <w:lvlText w:val="%1."/>
      <w:lvlJc w:val="left"/>
      <w:pPr>
        <w:ind w:left="2770" w:hanging="360"/>
      </w:pPr>
      <w:rPr>
        <w:rFonts w:hint="default"/>
      </w:rPr>
    </w:lvl>
    <w:lvl w:ilvl="1" w:tplc="080A0019" w:tentative="1">
      <w:start w:val="1"/>
      <w:numFmt w:val="lowerLetter"/>
      <w:lvlText w:val="%2."/>
      <w:lvlJc w:val="left"/>
      <w:pPr>
        <w:ind w:left="3490" w:hanging="360"/>
      </w:pPr>
    </w:lvl>
    <w:lvl w:ilvl="2" w:tplc="080A001B" w:tentative="1">
      <w:start w:val="1"/>
      <w:numFmt w:val="lowerRoman"/>
      <w:lvlText w:val="%3."/>
      <w:lvlJc w:val="right"/>
      <w:pPr>
        <w:ind w:left="4210" w:hanging="180"/>
      </w:pPr>
    </w:lvl>
    <w:lvl w:ilvl="3" w:tplc="080A000F" w:tentative="1">
      <w:start w:val="1"/>
      <w:numFmt w:val="decimal"/>
      <w:lvlText w:val="%4."/>
      <w:lvlJc w:val="left"/>
      <w:pPr>
        <w:ind w:left="4930" w:hanging="360"/>
      </w:pPr>
    </w:lvl>
    <w:lvl w:ilvl="4" w:tplc="080A0019" w:tentative="1">
      <w:start w:val="1"/>
      <w:numFmt w:val="lowerLetter"/>
      <w:lvlText w:val="%5."/>
      <w:lvlJc w:val="left"/>
      <w:pPr>
        <w:ind w:left="5650" w:hanging="360"/>
      </w:pPr>
    </w:lvl>
    <w:lvl w:ilvl="5" w:tplc="080A001B" w:tentative="1">
      <w:start w:val="1"/>
      <w:numFmt w:val="lowerRoman"/>
      <w:lvlText w:val="%6."/>
      <w:lvlJc w:val="right"/>
      <w:pPr>
        <w:ind w:left="6370" w:hanging="180"/>
      </w:pPr>
    </w:lvl>
    <w:lvl w:ilvl="6" w:tplc="080A000F" w:tentative="1">
      <w:start w:val="1"/>
      <w:numFmt w:val="decimal"/>
      <w:lvlText w:val="%7."/>
      <w:lvlJc w:val="left"/>
      <w:pPr>
        <w:ind w:left="7090" w:hanging="360"/>
      </w:pPr>
    </w:lvl>
    <w:lvl w:ilvl="7" w:tplc="080A0019" w:tentative="1">
      <w:start w:val="1"/>
      <w:numFmt w:val="lowerLetter"/>
      <w:lvlText w:val="%8."/>
      <w:lvlJc w:val="left"/>
      <w:pPr>
        <w:ind w:left="7810" w:hanging="360"/>
      </w:pPr>
    </w:lvl>
    <w:lvl w:ilvl="8" w:tplc="080A001B" w:tentative="1">
      <w:start w:val="1"/>
      <w:numFmt w:val="lowerRoman"/>
      <w:lvlText w:val="%9."/>
      <w:lvlJc w:val="right"/>
      <w:pPr>
        <w:ind w:left="8530" w:hanging="180"/>
      </w:pPr>
    </w:lvl>
  </w:abstractNum>
  <w:abstractNum w:abstractNumId="16" w15:restartNumberingAfterBreak="0">
    <w:nsid w:val="63F57842"/>
    <w:multiLevelType w:val="hybridMultilevel"/>
    <w:tmpl w:val="024A42BE"/>
    <w:lvl w:ilvl="0" w:tplc="31FC039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68C22816"/>
    <w:multiLevelType w:val="hybridMultilevel"/>
    <w:tmpl w:val="15107BB8"/>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8" w15:restartNumberingAfterBreak="0">
    <w:nsid w:val="72590FCF"/>
    <w:multiLevelType w:val="hybridMultilevel"/>
    <w:tmpl w:val="33CC7C7A"/>
    <w:lvl w:ilvl="0" w:tplc="9BC693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7B1C2229"/>
    <w:multiLevelType w:val="hybridMultilevel"/>
    <w:tmpl w:val="3F029B00"/>
    <w:lvl w:ilvl="0" w:tplc="47E2260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7DD10691"/>
    <w:multiLevelType w:val="hybridMultilevel"/>
    <w:tmpl w:val="D6063712"/>
    <w:lvl w:ilvl="0" w:tplc="105CD620">
      <w:start w:val="1"/>
      <w:numFmt w:val="lowerLetter"/>
      <w:lvlText w:val="%1)"/>
      <w:lvlJc w:val="left"/>
      <w:pPr>
        <w:ind w:left="720" w:hanging="360"/>
      </w:pPr>
      <w:rPr>
        <w:rFonts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
  </w:num>
  <w:num w:numId="3">
    <w:abstractNumId w:val="2"/>
  </w:num>
  <w:num w:numId="4">
    <w:abstractNumId w:val="17"/>
  </w:num>
  <w:num w:numId="5">
    <w:abstractNumId w:val="14"/>
  </w:num>
  <w:num w:numId="6">
    <w:abstractNumId w:val="6"/>
  </w:num>
  <w:num w:numId="7">
    <w:abstractNumId w:val="12"/>
  </w:num>
  <w:num w:numId="8">
    <w:abstractNumId w:val="0"/>
  </w:num>
  <w:num w:numId="9">
    <w:abstractNumId w:val="8"/>
  </w:num>
  <w:num w:numId="10">
    <w:abstractNumId w:val="15"/>
  </w:num>
  <w:num w:numId="11">
    <w:abstractNumId w:val="19"/>
  </w:num>
  <w:num w:numId="12">
    <w:abstractNumId w:val="20"/>
  </w:num>
  <w:num w:numId="13">
    <w:abstractNumId w:val="7"/>
  </w:num>
  <w:num w:numId="14">
    <w:abstractNumId w:val="18"/>
  </w:num>
  <w:num w:numId="15">
    <w:abstractNumId w:val="4"/>
  </w:num>
  <w:num w:numId="16">
    <w:abstractNumId w:val="3"/>
  </w:num>
  <w:num w:numId="17">
    <w:abstractNumId w:val="16"/>
  </w:num>
  <w:num w:numId="18">
    <w:abstractNumId w:val="5"/>
  </w:num>
  <w:num w:numId="19">
    <w:abstractNumId w:val="11"/>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56C"/>
    <w:rsid w:val="0000086A"/>
    <w:rsid w:val="00002A82"/>
    <w:rsid w:val="00005046"/>
    <w:rsid w:val="000067FB"/>
    <w:rsid w:val="00014410"/>
    <w:rsid w:val="0001660F"/>
    <w:rsid w:val="00025B6B"/>
    <w:rsid w:val="000266A5"/>
    <w:rsid w:val="00042C57"/>
    <w:rsid w:val="00050141"/>
    <w:rsid w:val="00050477"/>
    <w:rsid w:val="00050C4F"/>
    <w:rsid w:val="000518A0"/>
    <w:rsid w:val="0005359F"/>
    <w:rsid w:val="000804B2"/>
    <w:rsid w:val="0008522F"/>
    <w:rsid w:val="0009397F"/>
    <w:rsid w:val="000A1A4B"/>
    <w:rsid w:val="000A5383"/>
    <w:rsid w:val="000B3369"/>
    <w:rsid w:val="000B5D71"/>
    <w:rsid w:val="000B6266"/>
    <w:rsid w:val="000C1FDF"/>
    <w:rsid w:val="000C290F"/>
    <w:rsid w:val="000C683F"/>
    <w:rsid w:val="000D2E27"/>
    <w:rsid w:val="000D3947"/>
    <w:rsid w:val="000D4823"/>
    <w:rsid w:val="000E32FB"/>
    <w:rsid w:val="000E3F5C"/>
    <w:rsid w:val="000E753E"/>
    <w:rsid w:val="000F27EF"/>
    <w:rsid w:val="000F36C3"/>
    <w:rsid w:val="000F6915"/>
    <w:rsid w:val="000F6F91"/>
    <w:rsid w:val="00106EFB"/>
    <w:rsid w:val="001144B9"/>
    <w:rsid w:val="001161AC"/>
    <w:rsid w:val="001176C0"/>
    <w:rsid w:val="00117856"/>
    <w:rsid w:val="00121C6D"/>
    <w:rsid w:val="0012309A"/>
    <w:rsid w:val="00124B25"/>
    <w:rsid w:val="001272B9"/>
    <w:rsid w:val="0013206C"/>
    <w:rsid w:val="00137981"/>
    <w:rsid w:val="00142670"/>
    <w:rsid w:val="00144FA0"/>
    <w:rsid w:val="00145711"/>
    <w:rsid w:val="0015121D"/>
    <w:rsid w:val="001534DC"/>
    <w:rsid w:val="00153C02"/>
    <w:rsid w:val="00157F33"/>
    <w:rsid w:val="00160E7D"/>
    <w:rsid w:val="00162D32"/>
    <w:rsid w:val="00171674"/>
    <w:rsid w:val="00181D96"/>
    <w:rsid w:val="001824E7"/>
    <w:rsid w:val="001830C4"/>
    <w:rsid w:val="00186987"/>
    <w:rsid w:val="00193600"/>
    <w:rsid w:val="00193C4F"/>
    <w:rsid w:val="00196558"/>
    <w:rsid w:val="001B29EC"/>
    <w:rsid w:val="001C2730"/>
    <w:rsid w:val="001C3B68"/>
    <w:rsid w:val="001C4357"/>
    <w:rsid w:val="001C6FC7"/>
    <w:rsid w:val="001C6FCF"/>
    <w:rsid w:val="001D16FF"/>
    <w:rsid w:val="001D1A45"/>
    <w:rsid w:val="001E080A"/>
    <w:rsid w:val="001E1983"/>
    <w:rsid w:val="001E3942"/>
    <w:rsid w:val="001E4C5D"/>
    <w:rsid w:val="001E6FBE"/>
    <w:rsid w:val="001F1DC6"/>
    <w:rsid w:val="001F673D"/>
    <w:rsid w:val="001F6F57"/>
    <w:rsid w:val="001F7C7F"/>
    <w:rsid w:val="002107F3"/>
    <w:rsid w:val="0021268B"/>
    <w:rsid w:val="002129AD"/>
    <w:rsid w:val="00221B21"/>
    <w:rsid w:val="00232B04"/>
    <w:rsid w:val="002354F3"/>
    <w:rsid w:val="002375B1"/>
    <w:rsid w:val="00240780"/>
    <w:rsid w:val="00244DF0"/>
    <w:rsid w:val="00245055"/>
    <w:rsid w:val="002479A5"/>
    <w:rsid w:val="00250A65"/>
    <w:rsid w:val="002528B1"/>
    <w:rsid w:val="00254DE9"/>
    <w:rsid w:val="0026269B"/>
    <w:rsid w:val="00263593"/>
    <w:rsid w:val="002741C6"/>
    <w:rsid w:val="002779AA"/>
    <w:rsid w:val="00280355"/>
    <w:rsid w:val="00286C0A"/>
    <w:rsid w:val="0029632C"/>
    <w:rsid w:val="002A5431"/>
    <w:rsid w:val="002B286E"/>
    <w:rsid w:val="002B30BA"/>
    <w:rsid w:val="002C1869"/>
    <w:rsid w:val="002C7DA4"/>
    <w:rsid w:val="002D67CC"/>
    <w:rsid w:val="002E0CF7"/>
    <w:rsid w:val="002E6D9B"/>
    <w:rsid w:val="002E72AA"/>
    <w:rsid w:val="003035CF"/>
    <w:rsid w:val="003077B4"/>
    <w:rsid w:val="0031051F"/>
    <w:rsid w:val="00312DED"/>
    <w:rsid w:val="00316A92"/>
    <w:rsid w:val="00322347"/>
    <w:rsid w:val="00322FD5"/>
    <w:rsid w:val="00324648"/>
    <w:rsid w:val="003343DE"/>
    <w:rsid w:val="00336A9E"/>
    <w:rsid w:val="00337672"/>
    <w:rsid w:val="003521A7"/>
    <w:rsid w:val="00362811"/>
    <w:rsid w:val="00362A46"/>
    <w:rsid w:val="00363D22"/>
    <w:rsid w:val="00364E11"/>
    <w:rsid w:val="00364F61"/>
    <w:rsid w:val="00366428"/>
    <w:rsid w:val="00380653"/>
    <w:rsid w:val="00383C5D"/>
    <w:rsid w:val="003859A5"/>
    <w:rsid w:val="00392075"/>
    <w:rsid w:val="003B55DF"/>
    <w:rsid w:val="003D3F1A"/>
    <w:rsid w:val="003D4F21"/>
    <w:rsid w:val="003D64D0"/>
    <w:rsid w:val="003E0F65"/>
    <w:rsid w:val="003E2B97"/>
    <w:rsid w:val="003E37F7"/>
    <w:rsid w:val="003E75F2"/>
    <w:rsid w:val="004018F8"/>
    <w:rsid w:val="00402953"/>
    <w:rsid w:val="00403CD6"/>
    <w:rsid w:val="00404DF8"/>
    <w:rsid w:val="00406E34"/>
    <w:rsid w:val="004117C8"/>
    <w:rsid w:val="004218A1"/>
    <w:rsid w:val="00421F92"/>
    <w:rsid w:val="004320B2"/>
    <w:rsid w:val="00432C77"/>
    <w:rsid w:val="00440928"/>
    <w:rsid w:val="00442D05"/>
    <w:rsid w:val="0045023B"/>
    <w:rsid w:val="00451305"/>
    <w:rsid w:val="00470615"/>
    <w:rsid w:val="00471220"/>
    <w:rsid w:val="00482C3F"/>
    <w:rsid w:val="004857E2"/>
    <w:rsid w:val="00485FDC"/>
    <w:rsid w:val="00494502"/>
    <w:rsid w:val="00497C06"/>
    <w:rsid w:val="004A0DCA"/>
    <w:rsid w:val="004A4812"/>
    <w:rsid w:val="004A5699"/>
    <w:rsid w:val="004A78B7"/>
    <w:rsid w:val="004B045A"/>
    <w:rsid w:val="004B6A2A"/>
    <w:rsid w:val="004B7798"/>
    <w:rsid w:val="004B7D19"/>
    <w:rsid w:val="004C163A"/>
    <w:rsid w:val="004C20EE"/>
    <w:rsid w:val="004C2C75"/>
    <w:rsid w:val="004D2273"/>
    <w:rsid w:val="004D3881"/>
    <w:rsid w:val="004E4E02"/>
    <w:rsid w:val="004F49B7"/>
    <w:rsid w:val="004F4C97"/>
    <w:rsid w:val="004F6C09"/>
    <w:rsid w:val="00503B50"/>
    <w:rsid w:val="00504BED"/>
    <w:rsid w:val="00516AE9"/>
    <w:rsid w:val="00520D35"/>
    <w:rsid w:val="00521D31"/>
    <w:rsid w:val="0052675A"/>
    <w:rsid w:val="00527F98"/>
    <w:rsid w:val="00533BE8"/>
    <w:rsid w:val="0053777A"/>
    <w:rsid w:val="005474D0"/>
    <w:rsid w:val="00556D7B"/>
    <w:rsid w:val="00560DF4"/>
    <w:rsid w:val="005720C0"/>
    <w:rsid w:val="00575326"/>
    <w:rsid w:val="00583519"/>
    <w:rsid w:val="00584994"/>
    <w:rsid w:val="00585087"/>
    <w:rsid w:val="005976FB"/>
    <w:rsid w:val="00597757"/>
    <w:rsid w:val="005B1057"/>
    <w:rsid w:val="005B2593"/>
    <w:rsid w:val="005B4D8B"/>
    <w:rsid w:val="005B68F5"/>
    <w:rsid w:val="005B6BC9"/>
    <w:rsid w:val="005C0C9A"/>
    <w:rsid w:val="005C0EFA"/>
    <w:rsid w:val="005C752C"/>
    <w:rsid w:val="005D0735"/>
    <w:rsid w:val="005D0B8D"/>
    <w:rsid w:val="005D0BEC"/>
    <w:rsid w:val="005D526D"/>
    <w:rsid w:val="005D542A"/>
    <w:rsid w:val="005E155E"/>
    <w:rsid w:val="005E366A"/>
    <w:rsid w:val="005E4AEE"/>
    <w:rsid w:val="005E74C3"/>
    <w:rsid w:val="005F0776"/>
    <w:rsid w:val="005F27C0"/>
    <w:rsid w:val="005F4FBD"/>
    <w:rsid w:val="0061482B"/>
    <w:rsid w:val="00616AC9"/>
    <w:rsid w:val="00621939"/>
    <w:rsid w:val="00625B5F"/>
    <w:rsid w:val="00641F3C"/>
    <w:rsid w:val="00645B04"/>
    <w:rsid w:val="00646DB6"/>
    <w:rsid w:val="00647F4E"/>
    <w:rsid w:val="00652304"/>
    <w:rsid w:val="00657FDD"/>
    <w:rsid w:val="00660EA7"/>
    <w:rsid w:val="00661C78"/>
    <w:rsid w:val="006632B4"/>
    <w:rsid w:val="00665374"/>
    <w:rsid w:val="00667582"/>
    <w:rsid w:val="00670BD2"/>
    <w:rsid w:val="00674776"/>
    <w:rsid w:val="00676469"/>
    <w:rsid w:val="00676801"/>
    <w:rsid w:val="006804B3"/>
    <w:rsid w:val="0068732C"/>
    <w:rsid w:val="0069359C"/>
    <w:rsid w:val="006A09D6"/>
    <w:rsid w:val="006A19F3"/>
    <w:rsid w:val="006A232E"/>
    <w:rsid w:val="006A45CA"/>
    <w:rsid w:val="006A5EA7"/>
    <w:rsid w:val="006B13B6"/>
    <w:rsid w:val="006B6409"/>
    <w:rsid w:val="006B6EA3"/>
    <w:rsid w:val="006B7FFD"/>
    <w:rsid w:val="006E23DE"/>
    <w:rsid w:val="006E55B6"/>
    <w:rsid w:val="006F25E9"/>
    <w:rsid w:val="006F56AA"/>
    <w:rsid w:val="006F7E49"/>
    <w:rsid w:val="00701FE8"/>
    <w:rsid w:val="007075AB"/>
    <w:rsid w:val="00710733"/>
    <w:rsid w:val="0071636D"/>
    <w:rsid w:val="00723265"/>
    <w:rsid w:val="00723912"/>
    <w:rsid w:val="00734382"/>
    <w:rsid w:val="007360CE"/>
    <w:rsid w:val="00750EE7"/>
    <w:rsid w:val="00757025"/>
    <w:rsid w:val="0077231A"/>
    <w:rsid w:val="00773D9D"/>
    <w:rsid w:val="007778F8"/>
    <w:rsid w:val="007779A4"/>
    <w:rsid w:val="007917CE"/>
    <w:rsid w:val="00792494"/>
    <w:rsid w:val="00795B41"/>
    <w:rsid w:val="007A1BF8"/>
    <w:rsid w:val="007D2914"/>
    <w:rsid w:val="007E0109"/>
    <w:rsid w:val="007E0F27"/>
    <w:rsid w:val="007E2127"/>
    <w:rsid w:val="007E2BCE"/>
    <w:rsid w:val="007E7D6E"/>
    <w:rsid w:val="007F3100"/>
    <w:rsid w:val="008007E3"/>
    <w:rsid w:val="0080170E"/>
    <w:rsid w:val="008064E6"/>
    <w:rsid w:val="008178E8"/>
    <w:rsid w:val="00830E9E"/>
    <w:rsid w:val="00832946"/>
    <w:rsid w:val="00840EC9"/>
    <w:rsid w:val="00842BD7"/>
    <w:rsid w:val="00851E4E"/>
    <w:rsid w:val="008526DC"/>
    <w:rsid w:val="00852F18"/>
    <w:rsid w:val="00853634"/>
    <w:rsid w:val="0085523B"/>
    <w:rsid w:val="00855F8D"/>
    <w:rsid w:val="00863CDA"/>
    <w:rsid w:val="00865F5D"/>
    <w:rsid w:val="0087080D"/>
    <w:rsid w:val="008718EF"/>
    <w:rsid w:val="00883D7F"/>
    <w:rsid w:val="0089119E"/>
    <w:rsid w:val="00893E9F"/>
    <w:rsid w:val="00895F9B"/>
    <w:rsid w:val="00897D70"/>
    <w:rsid w:val="008A3386"/>
    <w:rsid w:val="008A739C"/>
    <w:rsid w:val="008B2C53"/>
    <w:rsid w:val="008B3339"/>
    <w:rsid w:val="008B58BB"/>
    <w:rsid w:val="008D287A"/>
    <w:rsid w:val="008D6851"/>
    <w:rsid w:val="008F3D4A"/>
    <w:rsid w:val="008F4333"/>
    <w:rsid w:val="00903CC4"/>
    <w:rsid w:val="009076DA"/>
    <w:rsid w:val="00911DF3"/>
    <w:rsid w:val="00913E88"/>
    <w:rsid w:val="009170DB"/>
    <w:rsid w:val="00917851"/>
    <w:rsid w:val="009178E9"/>
    <w:rsid w:val="00937A3C"/>
    <w:rsid w:val="00946E05"/>
    <w:rsid w:val="009541C8"/>
    <w:rsid w:val="00960FC5"/>
    <w:rsid w:val="009612A2"/>
    <w:rsid w:val="00970678"/>
    <w:rsid w:val="0097453E"/>
    <w:rsid w:val="00976748"/>
    <w:rsid w:val="00982016"/>
    <w:rsid w:val="0098235B"/>
    <w:rsid w:val="00982AD3"/>
    <w:rsid w:val="00995AC6"/>
    <w:rsid w:val="009B2B86"/>
    <w:rsid w:val="009C18BA"/>
    <w:rsid w:val="009C5C59"/>
    <w:rsid w:val="009D1D23"/>
    <w:rsid w:val="009D4FA8"/>
    <w:rsid w:val="009D66F5"/>
    <w:rsid w:val="009E3ECC"/>
    <w:rsid w:val="009F51AF"/>
    <w:rsid w:val="00A00F77"/>
    <w:rsid w:val="00A02D49"/>
    <w:rsid w:val="00A14539"/>
    <w:rsid w:val="00A1539B"/>
    <w:rsid w:val="00A20AC6"/>
    <w:rsid w:val="00A26928"/>
    <w:rsid w:val="00A346FA"/>
    <w:rsid w:val="00A34D96"/>
    <w:rsid w:val="00A35536"/>
    <w:rsid w:val="00A440A0"/>
    <w:rsid w:val="00A525E9"/>
    <w:rsid w:val="00A52A0E"/>
    <w:rsid w:val="00A542C1"/>
    <w:rsid w:val="00A55F65"/>
    <w:rsid w:val="00A642FC"/>
    <w:rsid w:val="00A66BCD"/>
    <w:rsid w:val="00A70A95"/>
    <w:rsid w:val="00A725C5"/>
    <w:rsid w:val="00A73F2D"/>
    <w:rsid w:val="00A74E3B"/>
    <w:rsid w:val="00A82774"/>
    <w:rsid w:val="00A82819"/>
    <w:rsid w:val="00A82E16"/>
    <w:rsid w:val="00A90DBC"/>
    <w:rsid w:val="00A920E0"/>
    <w:rsid w:val="00A93200"/>
    <w:rsid w:val="00A93770"/>
    <w:rsid w:val="00AA2645"/>
    <w:rsid w:val="00AB60DF"/>
    <w:rsid w:val="00AC2AEC"/>
    <w:rsid w:val="00AC4DED"/>
    <w:rsid w:val="00AC7568"/>
    <w:rsid w:val="00AE1409"/>
    <w:rsid w:val="00AE181E"/>
    <w:rsid w:val="00AE7050"/>
    <w:rsid w:val="00AF2A95"/>
    <w:rsid w:val="00AF3161"/>
    <w:rsid w:val="00AF5749"/>
    <w:rsid w:val="00B01B3D"/>
    <w:rsid w:val="00B05B9B"/>
    <w:rsid w:val="00B12E56"/>
    <w:rsid w:val="00B15B7D"/>
    <w:rsid w:val="00B16C4C"/>
    <w:rsid w:val="00B16E68"/>
    <w:rsid w:val="00B17561"/>
    <w:rsid w:val="00B227AF"/>
    <w:rsid w:val="00B31AD5"/>
    <w:rsid w:val="00B33593"/>
    <w:rsid w:val="00B37BFC"/>
    <w:rsid w:val="00B42942"/>
    <w:rsid w:val="00B52FE3"/>
    <w:rsid w:val="00B61A74"/>
    <w:rsid w:val="00B65327"/>
    <w:rsid w:val="00B71A1F"/>
    <w:rsid w:val="00B7256C"/>
    <w:rsid w:val="00B8221F"/>
    <w:rsid w:val="00B83546"/>
    <w:rsid w:val="00B84B49"/>
    <w:rsid w:val="00B85B2B"/>
    <w:rsid w:val="00B959A2"/>
    <w:rsid w:val="00B97CD2"/>
    <w:rsid w:val="00B97FB9"/>
    <w:rsid w:val="00BA27EE"/>
    <w:rsid w:val="00BA36E9"/>
    <w:rsid w:val="00BA382C"/>
    <w:rsid w:val="00BA452E"/>
    <w:rsid w:val="00BA5255"/>
    <w:rsid w:val="00BA5E77"/>
    <w:rsid w:val="00BA6A24"/>
    <w:rsid w:val="00BC75C8"/>
    <w:rsid w:val="00BF0192"/>
    <w:rsid w:val="00BF122E"/>
    <w:rsid w:val="00BF1994"/>
    <w:rsid w:val="00BF237A"/>
    <w:rsid w:val="00C12119"/>
    <w:rsid w:val="00C21DDE"/>
    <w:rsid w:val="00C23FE1"/>
    <w:rsid w:val="00C26A3A"/>
    <w:rsid w:val="00C3022F"/>
    <w:rsid w:val="00C359C9"/>
    <w:rsid w:val="00C407AA"/>
    <w:rsid w:val="00C43D74"/>
    <w:rsid w:val="00C50DB2"/>
    <w:rsid w:val="00C51EBD"/>
    <w:rsid w:val="00C53FB6"/>
    <w:rsid w:val="00C6240A"/>
    <w:rsid w:val="00C64929"/>
    <w:rsid w:val="00C66AFF"/>
    <w:rsid w:val="00C66C76"/>
    <w:rsid w:val="00C66D93"/>
    <w:rsid w:val="00C73AEC"/>
    <w:rsid w:val="00C76905"/>
    <w:rsid w:val="00C76DCD"/>
    <w:rsid w:val="00C9226A"/>
    <w:rsid w:val="00C92793"/>
    <w:rsid w:val="00C93D65"/>
    <w:rsid w:val="00C965F8"/>
    <w:rsid w:val="00C974DB"/>
    <w:rsid w:val="00CA4A04"/>
    <w:rsid w:val="00CA6511"/>
    <w:rsid w:val="00CB2C9C"/>
    <w:rsid w:val="00CC0496"/>
    <w:rsid w:val="00CC0F74"/>
    <w:rsid w:val="00CC5DCC"/>
    <w:rsid w:val="00CC6718"/>
    <w:rsid w:val="00CE34E4"/>
    <w:rsid w:val="00CF1F4A"/>
    <w:rsid w:val="00CF2E24"/>
    <w:rsid w:val="00CF527A"/>
    <w:rsid w:val="00D014D4"/>
    <w:rsid w:val="00D01EF8"/>
    <w:rsid w:val="00D04BA3"/>
    <w:rsid w:val="00D06257"/>
    <w:rsid w:val="00D109FB"/>
    <w:rsid w:val="00D138E2"/>
    <w:rsid w:val="00D25D53"/>
    <w:rsid w:val="00D2778B"/>
    <w:rsid w:val="00D332E6"/>
    <w:rsid w:val="00D354D0"/>
    <w:rsid w:val="00D3658D"/>
    <w:rsid w:val="00D44345"/>
    <w:rsid w:val="00D44864"/>
    <w:rsid w:val="00D551A8"/>
    <w:rsid w:val="00D555AE"/>
    <w:rsid w:val="00D618D3"/>
    <w:rsid w:val="00D67400"/>
    <w:rsid w:val="00D712C4"/>
    <w:rsid w:val="00D769C0"/>
    <w:rsid w:val="00D806B7"/>
    <w:rsid w:val="00D80E91"/>
    <w:rsid w:val="00D82E9C"/>
    <w:rsid w:val="00D860AF"/>
    <w:rsid w:val="00D91C23"/>
    <w:rsid w:val="00D943F9"/>
    <w:rsid w:val="00D970A9"/>
    <w:rsid w:val="00DA3D52"/>
    <w:rsid w:val="00DA659D"/>
    <w:rsid w:val="00DB461C"/>
    <w:rsid w:val="00DD7E37"/>
    <w:rsid w:val="00DE649A"/>
    <w:rsid w:val="00DF11CE"/>
    <w:rsid w:val="00E01D1C"/>
    <w:rsid w:val="00E039AE"/>
    <w:rsid w:val="00E071C6"/>
    <w:rsid w:val="00E15752"/>
    <w:rsid w:val="00E35012"/>
    <w:rsid w:val="00E42201"/>
    <w:rsid w:val="00E47BFD"/>
    <w:rsid w:val="00E532CE"/>
    <w:rsid w:val="00E560BD"/>
    <w:rsid w:val="00E576A2"/>
    <w:rsid w:val="00E6444F"/>
    <w:rsid w:val="00E70585"/>
    <w:rsid w:val="00E7267C"/>
    <w:rsid w:val="00E72F24"/>
    <w:rsid w:val="00E73209"/>
    <w:rsid w:val="00E741A4"/>
    <w:rsid w:val="00E876E6"/>
    <w:rsid w:val="00E9483E"/>
    <w:rsid w:val="00E95BAE"/>
    <w:rsid w:val="00EB0102"/>
    <w:rsid w:val="00EB35C9"/>
    <w:rsid w:val="00EB6AD7"/>
    <w:rsid w:val="00EC73B6"/>
    <w:rsid w:val="00ED3488"/>
    <w:rsid w:val="00ED3D77"/>
    <w:rsid w:val="00EE2269"/>
    <w:rsid w:val="00EE3B1B"/>
    <w:rsid w:val="00EF0C78"/>
    <w:rsid w:val="00EF2C5E"/>
    <w:rsid w:val="00F10BA0"/>
    <w:rsid w:val="00F115B0"/>
    <w:rsid w:val="00F1347C"/>
    <w:rsid w:val="00F179F2"/>
    <w:rsid w:val="00F20E84"/>
    <w:rsid w:val="00F26945"/>
    <w:rsid w:val="00F329EB"/>
    <w:rsid w:val="00F33BB7"/>
    <w:rsid w:val="00F33F41"/>
    <w:rsid w:val="00F40DD4"/>
    <w:rsid w:val="00F41098"/>
    <w:rsid w:val="00F43153"/>
    <w:rsid w:val="00F47CEF"/>
    <w:rsid w:val="00F54EA0"/>
    <w:rsid w:val="00F56384"/>
    <w:rsid w:val="00F6213F"/>
    <w:rsid w:val="00F63230"/>
    <w:rsid w:val="00F72EF0"/>
    <w:rsid w:val="00F744F1"/>
    <w:rsid w:val="00F76336"/>
    <w:rsid w:val="00F8046D"/>
    <w:rsid w:val="00F8158D"/>
    <w:rsid w:val="00F9089A"/>
    <w:rsid w:val="00F94F6F"/>
    <w:rsid w:val="00FA2734"/>
    <w:rsid w:val="00FA511C"/>
    <w:rsid w:val="00FA605E"/>
    <w:rsid w:val="00FB0074"/>
    <w:rsid w:val="00FB7DE7"/>
    <w:rsid w:val="00FC08EA"/>
    <w:rsid w:val="00FC0ECD"/>
    <w:rsid w:val="00FC152A"/>
    <w:rsid w:val="00FC3B58"/>
    <w:rsid w:val="00FD72B7"/>
    <w:rsid w:val="00FE141C"/>
    <w:rsid w:val="00FE17A0"/>
    <w:rsid w:val="00FE482F"/>
    <w:rsid w:val="00FE6F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13DC9C4"/>
  <w15:chartTrackingRefBased/>
  <w15:docId w15:val="{5D838834-D6D4-44FE-9F13-DEA474A1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56C"/>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221B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21B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25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256C"/>
    <w:rPr>
      <w:rFonts w:ascii="Calibri" w:eastAsia="Calibri" w:hAnsi="Calibri" w:cs="Times New Roman"/>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B7256C"/>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B7256C"/>
  </w:style>
  <w:style w:type="character" w:styleId="Refdecomentario">
    <w:name w:val="annotation reference"/>
    <w:basedOn w:val="Fuentedeprrafopredeter"/>
    <w:semiHidden/>
    <w:unhideWhenUsed/>
    <w:rsid w:val="00B7256C"/>
    <w:rPr>
      <w:sz w:val="16"/>
      <w:szCs w:val="16"/>
    </w:rPr>
  </w:style>
  <w:style w:type="paragraph" w:styleId="Textocomentario">
    <w:name w:val="annotation text"/>
    <w:basedOn w:val="Normal"/>
    <w:link w:val="TextocomentarioCar"/>
    <w:semiHidden/>
    <w:unhideWhenUsed/>
    <w:rsid w:val="00B7256C"/>
    <w:pPr>
      <w:spacing w:line="240" w:lineRule="auto"/>
    </w:pPr>
    <w:rPr>
      <w:sz w:val="20"/>
      <w:szCs w:val="20"/>
    </w:rPr>
  </w:style>
  <w:style w:type="character" w:customStyle="1" w:styleId="TextocomentarioCar">
    <w:name w:val="Texto comentario Car"/>
    <w:basedOn w:val="Fuentedeprrafopredeter"/>
    <w:link w:val="Textocomentario"/>
    <w:semiHidden/>
    <w:rsid w:val="00B7256C"/>
    <w:rPr>
      <w:rFonts w:ascii="Calibri" w:eastAsia="Calibri" w:hAnsi="Calibri" w:cs="Times New Roman"/>
      <w:sz w:val="20"/>
      <w:szCs w:val="20"/>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99"/>
    <w:rsid w:val="00B7256C"/>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B725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256C"/>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1C6FC7"/>
    <w:rPr>
      <w:b/>
      <w:bCs/>
    </w:rPr>
  </w:style>
  <w:style w:type="character" w:customStyle="1" w:styleId="AsuntodelcomentarioCar">
    <w:name w:val="Asunto del comentario Car"/>
    <w:basedOn w:val="TextocomentarioCar"/>
    <w:link w:val="Asuntodelcomentario"/>
    <w:uiPriority w:val="99"/>
    <w:semiHidden/>
    <w:rsid w:val="001C6FC7"/>
    <w:rPr>
      <w:rFonts w:ascii="Calibri" w:eastAsia="Calibri" w:hAnsi="Calibri" w:cs="Times New Roman"/>
      <w:b/>
      <w:bCs/>
      <w:sz w:val="20"/>
      <w:szCs w:val="20"/>
    </w:rPr>
  </w:style>
  <w:style w:type="table" w:styleId="Tablaconcuadrcula">
    <w:name w:val="Table Grid"/>
    <w:basedOn w:val="Tablanormal"/>
    <w:uiPriority w:val="39"/>
    <w:rsid w:val="005E7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21DDE"/>
    <w:pPr>
      <w:spacing w:after="0" w:line="240" w:lineRule="auto"/>
    </w:pPr>
    <w:rPr>
      <w:rFonts w:ascii="Calibri" w:eastAsia="Calibri" w:hAnsi="Calibri" w:cs="Times New Roman"/>
    </w:rPr>
  </w:style>
  <w:style w:type="paragraph" w:customStyle="1" w:styleId="estilo30">
    <w:name w:val="estilo30"/>
    <w:basedOn w:val="Normal"/>
    <w:rsid w:val="0001660F"/>
    <w:pPr>
      <w:spacing w:before="100" w:beforeAutospacing="1" w:after="100" w:afterAutospacing="1" w:line="240" w:lineRule="auto"/>
    </w:pPr>
    <w:rPr>
      <w:rFonts w:ascii="Times New Roman" w:eastAsia="Times New Roman" w:hAnsi="Times New Roman"/>
      <w:sz w:val="24"/>
      <w:szCs w:val="24"/>
      <w:lang w:eastAsia="es-MX"/>
    </w:rPr>
  </w:style>
  <w:style w:type="paragraph" w:styleId="Piedepgina">
    <w:name w:val="footer"/>
    <w:basedOn w:val="Normal"/>
    <w:link w:val="PiedepginaCar"/>
    <w:uiPriority w:val="99"/>
    <w:unhideWhenUsed/>
    <w:rsid w:val="00C407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07AA"/>
    <w:rPr>
      <w:rFonts w:ascii="Calibri" w:eastAsia="Calibri" w:hAnsi="Calibri" w:cs="Times New Roman"/>
    </w:rPr>
  </w:style>
  <w:style w:type="character" w:customStyle="1" w:styleId="Ttulo1Car">
    <w:name w:val="Título 1 Car"/>
    <w:basedOn w:val="Fuentedeprrafopredeter"/>
    <w:link w:val="Ttulo1"/>
    <w:uiPriority w:val="9"/>
    <w:rsid w:val="00221B2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221B2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12385">
      <w:bodyDiv w:val="1"/>
      <w:marLeft w:val="0"/>
      <w:marRight w:val="0"/>
      <w:marTop w:val="0"/>
      <w:marBottom w:val="0"/>
      <w:divBdr>
        <w:top w:val="none" w:sz="0" w:space="0" w:color="auto"/>
        <w:left w:val="none" w:sz="0" w:space="0" w:color="auto"/>
        <w:bottom w:val="none" w:sz="0" w:space="0" w:color="auto"/>
        <w:right w:val="none" w:sz="0" w:space="0" w:color="auto"/>
      </w:divBdr>
    </w:div>
    <w:div w:id="490560608">
      <w:bodyDiv w:val="1"/>
      <w:marLeft w:val="0"/>
      <w:marRight w:val="0"/>
      <w:marTop w:val="0"/>
      <w:marBottom w:val="0"/>
      <w:divBdr>
        <w:top w:val="none" w:sz="0" w:space="0" w:color="auto"/>
        <w:left w:val="none" w:sz="0" w:space="0" w:color="auto"/>
        <w:bottom w:val="none" w:sz="0" w:space="0" w:color="auto"/>
        <w:right w:val="none" w:sz="0" w:space="0" w:color="auto"/>
      </w:divBdr>
    </w:div>
    <w:div w:id="585072371">
      <w:bodyDiv w:val="1"/>
      <w:marLeft w:val="0"/>
      <w:marRight w:val="0"/>
      <w:marTop w:val="0"/>
      <w:marBottom w:val="0"/>
      <w:divBdr>
        <w:top w:val="none" w:sz="0" w:space="0" w:color="auto"/>
        <w:left w:val="none" w:sz="0" w:space="0" w:color="auto"/>
        <w:bottom w:val="none" w:sz="0" w:space="0" w:color="auto"/>
        <w:right w:val="none" w:sz="0" w:space="0" w:color="auto"/>
      </w:divBdr>
    </w:div>
    <w:div w:id="793862337">
      <w:bodyDiv w:val="1"/>
      <w:marLeft w:val="0"/>
      <w:marRight w:val="0"/>
      <w:marTop w:val="0"/>
      <w:marBottom w:val="0"/>
      <w:divBdr>
        <w:top w:val="none" w:sz="0" w:space="0" w:color="auto"/>
        <w:left w:val="none" w:sz="0" w:space="0" w:color="auto"/>
        <w:bottom w:val="none" w:sz="0" w:space="0" w:color="auto"/>
        <w:right w:val="none" w:sz="0" w:space="0" w:color="auto"/>
      </w:divBdr>
    </w:div>
    <w:div w:id="977344008">
      <w:bodyDiv w:val="1"/>
      <w:marLeft w:val="0"/>
      <w:marRight w:val="0"/>
      <w:marTop w:val="0"/>
      <w:marBottom w:val="0"/>
      <w:divBdr>
        <w:top w:val="none" w:sz="0" w:space="0" w:color="auto"/>
        <w:left w:val="none" w:sz="0" w:space="0" w:color="auto"/>
        <w:bottom w:val="none" w:sz="0" w:space="0" w:color="auto"/>
        <w:right w:val="none" w:sz="0" w:space="0" w:color="auto"/>
      </w:divBdr>
    </w:div>
    <w:div w:id="131413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BC72D-31F9-4CD4-9FF4-59A6463C0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4436</Words>
  <Characters>24402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Lizbeth Daniela Ubaldo Ortega</dc:creator>
  <cp:keywords/>
  <dc:description/>
  <cp:lastModifiedBy>Maria del Consuelo Gonzalez Moreno</cp:lastModifiedBy>
  <cp:revision>14</cp:revision>
  <dcterms:created xsi:type="dcterms:W3CDTF">2016-10-31T16:33:00Z</dcterms:created>
  <dcterms:modified xsi:type="dcterms:W3CDTF">2016-12-07T17:06:00Z</dcterms:modified>
</cp:coreProperties>
</file>