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A8DA3" w14:textId="77777777" w:rsidR="001C6AEE" w:rsidRPr="005379A1" w:rsidRDefault="00E422DF" w:rsidP="001F6930">
      <w:pPr>
        <w:pStyle w:val="Ttulo1"/>
        <w:spacing w:after="240" w:line="240" w:lineRule="auto"/>
        <w:jc w:val="both"/>
        <w:rPr>
          <w:rFonts w:ascii="ITC Avant Garde" w:hAnsi="ITC Avant Garde"/>
          <w:b/>
          <w:color w:val="000000" w:themeColor="text1"/>
          <w:sz w:val="22"/>
          <w:szCs w:val="22"/>
        </w:rPr>
      </w:pPr>
      <w:r w:rsidRPr="005379A1">
        <w:rPr>
          <w:rFonts w:ascii="ITC Avant Garde" w:hAnsi="ITC Avant Garde"/>
          <w:b/>
          <w:color w:val="000000" w:themeColor="text1"/>
          <w:sz w:val="22"/>
          <w:szCs w:val="22"/>
        </w:rPr>
        <w:t xml:space="preserve">RESOLUCIÓN </w:t>
      </w:r>
      <w:r w:rsidR="00852B04" w:rsidRPr="005379A1">
        <w:rPr>
          <w:rFonts w:ascii="ITC Avant Garde" w:hAnsi="ITC Avant Garde"/>
          <w:b/>
          <w:color w:val="000000" w:themeColor="text1"/>
          <w:sz w:val="22"/>
          <w:szCs w:val="22"/>
        </w:rPr>
        <w:t xml:space="preserve">MEDIANTE </w:t>
      </w:r>
      <w:r w:rsidRPr="005379A1">
        <w:rPr>
          <w:rFonts w:ascii="ITC Avant Garde" w:hAnsi="ITC Avant Garde"/>
          <w:b/>
          <w:color w:val="000000" w:themeColor="text1"/>
          <w:sz w:val="22"/>
          <w:szCs w:val="22"/>
        </w:rPr>
        <w:t>LA CUAL EL PLENO DEL INSTITUTO FEDERAL DE TELECOMUNICACIONES PR</w:t>
      </w:r>
      <w:r w:rsidR="00386F85" w:rsidRPr="005379A1">
        <w:rPr>
          <w:rFonts w:ascii="ITC Avant Garde" w:hAnsi="ITC Avant Garde"/>
          <w:b/>
          <w:color w:val="000000" w:themeColor="text1"/>
          <w:sz w:val="22"/>
          <w:szCs w:val="22"/>
        </w:rPr>
        <w:t>O</w:t>
      </w:r>
      <w:r w:rsidRPr="005379A1">
        <w:rPr>
          <w:rFonts w:ascii="ITC Avant Garde" w:hAnsi="ITC Avant Garde"/>
          <w:b/>
          <w:color w:val="000000" w:themeColor="text1"/>
          <w:sz w:val="22"/>
          <w:szCs w:val="22"/>
        </w:rPr>
        <w:t xml:space="preserve">RROGA </w:t>
      </w:r>
      <w:r w:rsidR="00264038" w:rsidRPr="005379A1">
        <w:rPr>
          <w:rFonts w:ascii="ITC Avant Garde" w:hAnsi="ITC Avant Garde"/>
          <w:b/>
          <w:color w:val="000000" w:themeColor="text1"/>
          <w:sz w:val="22"/>
          <w:szCs w:val="22"/>
        </w:rPr>
        <w:t xml:space="preserve">LA </w:t>
      </w:r>
      <w:r w:rsidRPr="005379A1">
        <w:rPr>
          <w:rFonts w:ascii="ITC Avant Garde" w:hAnsi="ITC Avant Garde"/>
          <w:b/>
          <w:color w:val="000000" w:themeColor="text1"/>
          <w:sz w:val="22"/>
          <w:szCs w:val="22"/>
        </w:rPr>
        <w:t>CONCESIÓN PARA INSTALAR, OPERAR Y EXPLOTAR UNA RED PÚBLICA DEL SERVICIO MÓVIL DE RADIOCOMUNICACIÓN ESPECIALIZADA DE FLOTILLAS</w:t>
      </w:r>
      <w:r w:rsidR="00482BF1" w:rsidRPr="005379A1">
        <w:rPr>
          <w:rFonts w:ascii="ITC Avant Garde" w:hAnsi="ITC Avant Garde"/>
          <w:b/>
          <w:color w:val="000000" w:themeColor="text1"/>
          <w:sz w:val="22"/>
          <w:szCs w:val="22"/>
        </w:rPr>
        <w:t>, OTORGAD</w:t>
      </w:r>
      <w:r w:rsidR="00E3565D" w:rsidRPr="005379A1">
        <w:rPr>
          <w:rFonts w:ascii="ITC Avant Garde" w:hAnsi="ITC Avant Garde"/>
          <w:b/>
          <w:color w:val="000000" w:themeColor="text1"/>
          <w:sz w:val="22"/>
          <w:szCs w:val="22"/>
        </w:rPr>
        <w:t>A</w:t>
      </w:r>
      <w:r w:rsidR="00482BF1" w:rsidRPr="005379A1">
        <w:rPr>
          <w:rFonts w:ascii="ITC Avant Garde" w:hAnsi="ITC Avant Garde"/>
          <w:b/>
          <w:color w:val="000000" w:themeColor="text1"/>
          <w:sz w:val="22"/>
          <w:szCs w:val="22"/>
        </w:rPr>
        <w:t xml:space="preserve"> A FAVOR DE </w:t>
      </w:r>
      <w:r w:rsidR="005A177B" w:rsidRPr="005379A1">
        <w:rPr>
          <w:rFonts w:ascii="ITC Avant Garde" w:hAnsi="ITC Avant Garde"/>
          <w:b/>
          <w:color w:val="000000" w:themeColor="text1"/>
          <w:sz w:val="22"/>
          <w:szCs w:val="22"/>
        </w:rPr>
        <w:t>INTERCOMUNICACIÓN DEL PACÍFICO</w:t>
      </w:r>
      <w:r w:rsidR="00482BF1" w:rsidRPr="005379A1">
        <w:rPr>
          <w:rFonts w:ascii="ITC Avant Garde" w:hAnsi="ITC Avant Garde"/>
          <w:b/>
          <w:color w:val="000000" w:themeColor="text1"/>
          <w:sz w:val="22"/>
          <w:szCs w:val="22"/>
        </w:rPr>
        <w:t>, S.A. DE C.V.</w:t>
      </w:r>
      <w:r w:rsidR="00B05B7D" w:rsidRPr="005379A1">
        <w:rPr>
          <w:rFonts w:ascii="ITC Avant Garde" w:hAnsi="ITC Avant Garde"/>
          <w:b/>
          <w:color w:val="000000" w:themeColor="text1"/>
          <w:sz w:val="22"/>
          <w:szCs w:val="22"/>
        </w:rPr>
        <w:t xml:space="preserve">, EL 17 DE </w:t>
      </w:r>
      <w:r w:rsidR="00B05B7D" w:rsidRPr="005379A1">
        <w:rPr>
          <w:rFonts w:ascii="ITC Avant Garde" w:hAnsi="ITC Avant Garde"/>
          <w:b/>
          <w:color w:val="000000" w:themeColor="text1"/>
          <w:sz w:val="24"/>
          <w:szCs w:val="24"/>
          <w:lang w:eastAsia="es-MX"/>
        </w:rPr>
        <w:t>NOVIEMBRE</w:t>
      </w:r>
      <w:r w:rsidR="00B05B7D" w:rsidRPr="005379A1">
        <w:rPr>
          <w:rFonts w:ascii="ITC Avant Garde" w:hAnsi="ITC Avant Garde"/>
          <w:b/>
          <w:color w:val="000000" w:themeColor="text1"/>
          <w:sz w:val="22"/>
          <w:szCs w:val="22"/>
        </w:rPr>
        <w:t xml:space="preserve"> DE 1994.</w:t>
      </w:r>
    </w:p>
    <w:p w14:paraId="54AA424B" w14:textId="77777777" w:rsidR="001C6AEE" w:rsidRPr="005379A1" w:rsidRDefault="0097328C" w:rsidP="001F6930">
      <w:pPr>
        <w:pStyle w:val="Ttulo2"/>
        <w:spacing w:after="240"/>
        <w:jc w:val="center"/>
        <w:rPr>
          <w:rFonts w:ascii="ITC Avant Garde" w:hAnsi="ITC Avant Garde"/>
          <w:b/>
          <w:color w:val="000000" w:themeColor="text1"/>
          <w:sz w:val="22"/>
          <w:szCs w:val="22"/>
        </w:rPr>
      </w:pPr>
      <w:r w:rsidRPr="005379A1">
        <w:rPr>
          <w:rFonts w:ascii="ITC Avant Garde" w:hAnsi="ITC Avant Garde"/>
          <w:b/>
          <w:color w:val="000000" w:themeColor="text1"/>
          <w:sz w:val="22"/>
          <w:szCs w:val="22"/>
        </w:rPr>
        <w:t>ANTECEDENTES</w:t>
      </w:r>
    </w:p>
    <w:p w14:paraId="61201E2F" w14:textId="52D8726B" w:rsidR="001C6AEE" w:rsidRPr="005379A1" w:rsidRDefault="005C7795" w:rsidP="001C6AEE">
      <w:pPr>
        <w:numPr>
          <w:ilvl w:val="0"/>
          <w:numId w:val="1"/>
        </w:numPr>
        <w:spacing w:after="240"/>
        <w:jc w:val="both"/>
        <w:rPr>
          <w:rFonts w:ascii="ITC Avant Garde" w:hAnsi="ITC Avant Garde"/>
          <w:bCs/>
          <w:color w:val="000000"/>
          <w:sz w:val="22"/>
          <w:szCs w:val="22"/>
          <w:lang w:val="es-ES" w:eastAsia="es-MX"/>
        </w:rPr>
      </w:pPr>
      <w:r w:rsidRPr="005379A1">
        <w:rPr>
          <w:rFonts w:ascii="ITC Avant Garde" w:hAnsi="ITC Avant Garde"/>
          <w:b/>
          <w:bCs/>
          <w:color w:val="000000" w:themeColor="text1"/>
          <w:sz w:val="22"/>
          <w:szCs w:val="22"/>
          <w:lang w:eastAsia="es-MX"/>
        </w:rPr>
        <w:t>Otorgamiento de la Concesión</w:t>
      </w:r>
      <w:r w:rsidRPr="005379A1">
        <w:rPr>
          <w:rFonts w:ascii="ITC Avant Garde" w:hAnsi="ITC Avant Garde"/>
          <w:bCs/>
          <w:color w:val="000000" w:themeColor="text1"/>
          <w:sz w:val="22"/>
          <w:szCs w:val="22"/>
          <w:lang w:eastAsia="es-MX"/>
        </w:rPr>
        <w:t xml:space="preserve">. El </w:t>
      </w:r>
      <w:r w:rsidR="005A177B" w:rsidRPr="005379A1">
        <w:rPr>
          <w:rFonts w:ascii="ITC Avant Garde" w:hAnsi="ITC Avant Garde"/>
          <w:bCs/>
          <w:color w:val="000000"/>
          <w:sz w:val="22"/>
          <w:szCs w:val="22"/>
          <w:lang w:val="es-ES" w:eastAsia="es-MX"/>
        </w:rPr>
        <w:t>17</w:t>
      </w:r>
      <w:r w:rsidRPr="005379A1">
        <w:rPr>
          <w:rFonts w:ascii="ITC Avant Garde" w:hAnsi="ITC Avant Garde"/>
          <w:bCs/>
          <w:color w:val="000000"/>
          <w:sz w:val="22"/>
          <w:szCs w:val="22"/>
          <w:lang w:val="es-ES" w:eastAsia="es-MX"/>
        </w:rPr>
        <w:t xml:space="preserve"> de </w:t>
      </w:r>
      <w:r w:rsidR="005A177B" w:rsidRPr="005379A1">
        <w:rPr>
          <w:rFonts w:ascii="ITC Avant Garde" w:hAnsi="ITC Avant Garde"/>
          <w:bCs/>
          <w:color w:val="000000"/>
          <w:sz w:val="22"/>
          <w:szCs w:val="22"/>
          <w:lang w:val="es-ES" w:eastAsia="es-MX"/>
        </w:rPr>
        <w:t>noviembre</w:t>
      </w:r>
      <w:r w:rsidRPr="005379A1">
        <w:rPr>
          <w:rFonts w:ascii="ITC Avant Garde" w:hAnsi="ITC Avant Garde"/>
          <w:bCs/>
          <w:color w:val="000000"/>
          <w:sz w:val="22"/>
          <w:szCs w:val="22"/>
          <w:lang w:val="es-ES" w:eastAsia="es-MX"/>
        </w:rPr>
        <w:t xml:space="preserve"> de 1994</w:t>
      </w:r>
      <w:r w:rsidRPr="005379A1">
        <w:rPr>
          <w:rFonts w:ascii="ITC Avant Garde" w:hAnsi="ITC Avant Garde"/>
          <w:bCs/>
          <w:color w:val="000000" w:themeColor="text1"/>
          <w:sz w:val="22"/>
          <w:szCs w:val="22"/>
          <w:lang w:eastAsia="es-MX"/>
        </w:rPr>
        <w:t xml:space="preserve">, la Secretaría de Comunicaciones y Transportes (la “Secretaría”), otorgó a favor de </w:t>
      </w:r>
      <w:r w:rsidR="005A177B" w:rsidRPr="005379A1">
        <w:rPr>
          <w:rFonts w:ascii="ITC Avant Garde" w:hAnsi="ITC Avant Garde"/>
          <w:bCs/>
          <w:color w:val="000000" w:themeColor="text1"/>
          <w:sz w:val="22"/>
          <w:szCs w:val="22"/>
          <w:lang w:eastAsia="es-MX"/>
        </w:rPr>
        <w:t>Intercomunicación del Pacífico, S.A. de C.V.</w:t>
      </w:r>
      <w:r w:rsidR="000521B0" w:rsidRPr="005379A1">
        <w:rPr>
          <w:rFonts w:ascii="ITC Avant Garde" w:hAnsi="ITC Avant Garde"/>
          <w:bCs/>
          <w:color w:val="000000" w:themeColor="text1"/>
          <w:sz w:val="22"/>
          <w:szCs w:val="22"/>
          <w:lang w:eastAsia="es-MX"/>
        </w:rPr>
        <w:t xml:space="preserve"> (“Intercomunicación del Pacífico”)</w:t>
      </w:r>
      <w:r w:rsidR="005A177B" w:rsidRPr="005379A1">
        <w:rPr>
          <w:rFonts w:ascii="ITC Avant Garde" w:hAnsi="ITC Avant Garde"/>
          <w:bCs/>
          <w:color w:val="000000" w:themeColor="text1"/>
          <w:sz w:val="22"/>
          <w:szCs w:val="22"/>
          <w:lang w:eastAsia="es-MX"/>
        </w:rPr>
        <w:t>,</w:t>
      </w:r>
      <w:r w:rsidRPr="005379A1">
        <w:rPr>
          <w:rFonts w:ascii="ITC Avant Garde" w:hAnsi="ITC Avant Garde"/>
          <w:bCs/>
          <w:color w:val="000000" w:themeColor="text1"/>
          <w:sz w:val="22"/>
          <w:szCs w:val="22"/>
          <w:lang w:eastAsia="es-MX"/>
        </w:rPr>
        <w:t xml:space="preserve"> un título de concesión </w:t>
      </w:r>
      <w:r w:rsidR="00BA11DA" w:rsidRPr="005379A1">
        <w:rPr>
          <w:rFonts w:ascii="ITC Avant Garde" w:hAnsi="ITC Avant Garde"/>
          <w:bCs/>
          <w:color w:val="000000"/>
          <w:sz w:val="22"/>
          <w:szCs w:val="22"/>
          <w:lang w:val="es-ES" w:eastAsia="es-MX"/>
        </w:rPr>
        <w:t xml:space="preserve">para instalar, operar y explotar por un periodo de 15 (quince) años, una red pública del servicio móvil de radiocomunicación especializada de flotillas en la Ruta: </w:t>
      </w:r>
      <w:r w:rsidR="005A177B" w:rsidRPr="005379A1">
        <w:rPr>
          <w:rFonts w:ascii="ITC Avant Garde" w:hAnsi="ITC Avant Garde"/>
          <w:bCs/>
          <w:color w:val="000000"/>
          <w:sz w:val="22"/>
          <w:szCs w:val="22"/>
          <w:lang w:val="es-ES" w:eastAsia="es-MX"/>
        </w:rPr>
        <w:t>México-Ciudad Juárez, que comunica las siguientes ciudades: México-San Juan del Río-Querétaro (57), Celaya-Salamanca-Irapuato-Silao-León-Aguascalientes-Rincón de R</w:t>
      </w:r>
      <w:r w:rsidR="009630DD" w:rsidRPr="005379A1">
        <w:rPr>
          <w:rFonts w:ascii="ITC Avant Garde" w:hAnsi="ITC Avant Garde"/>
          <w:bCs/>
          <w:color w:val="000000"/>
          <w:sz w:val="22"/>
          <w:szCs w:val="22"/>
          <w:lang w:val="es-ES" w:eastAsia="es-MX"/>
        </w:rPr>
        <w:t>o</w:t>
      </w:r>
      <w:r w:rsidR="005A177B" w:rsidRPr="005379A1">
        <w:rPr>
          <w:rFonts w:ascii="ITC Avant Garde" w:hAnsi="ITC Avant Garde"/>
          <w:bCs/>
          <w:color w:val="000000"/>
          <w:sz w:val="22"/>
          <w:szCs w:val="22"/>
          <w:lang w:val="es-ES" w:eastAsia="es-MX"/>
        </w:rPr>
        <w:t>mos -Ojo Caliente-Zacatecas-Víctor Rosales-Fresnillo-Sombrerete-Vicente Guerrero-Durango-Parral-Jiménez-Camargo-Saucillo-Delicias-Chihuahua-Cd. Juárez (45); y la Ruta Guadalajara-Manzanillo, que comunica las siguientes ciudades: Guadalajara-Cd. Guzmán-Quesería-Colima-Armería-Manzanillo (110); pudiendo comunicar áreas rurales, pequeños</w:t>
      </w:r>
      <w:r w:rsidR="00BA11DA" w:rsidRPr="005379A1">
        <w:rPr>
          <w:rFonts w:ascii="ITC Avant Garde" w:hAnsi="ITC Avant Garde"/>
          <w:bCs/>
          <w:color w:val="000000"/>
          <w:sz w:val="22"/>
          <w:szCs w:val="22"/>
          <w:lang w:val="es-ES" w:eastAsia="es-MX"/>
        </w:rPr>
        <w:t xml:space="preserve"> núcleos de población, así como regiones urbanas y suburbanas a lo largo de las troncales carreteras referidas</w:t>
      </w:r>
      <w:r w:rsidR="00BA11DA" w:rsidRPr="005379A1">
        <w:rPr>
          <w:rFonts w:ascii="ITC Avant Garde" w:hAnsi="ITC Avant Garde"/>
          <w:bCs/>
          <w:color w:val="000000" w:themeColor="text1"/>
          <w:sz w:val="22"/>
          <w:szCs w:val="22"/>
          <w:lang w:eastAsia="es-MX"/>
        </w:rPr>
        <w:t xml:space="preserve"> </w:t>
      </w:r>
      <w:r w:rsidRPr="005379A1">
        <w:rPr>
          <w:rFonts w:ascii="ITC Avant Garde" w:hAnsi="ITC Avant Garde"/>
          <w:bCs/>
          <w:color w:val="000000" w:themeColor="text1"/>
          <w:sz w:val="22"/>
          <w:szCs w:val="22"/>
          <w:lang w:eastAsia="es-MX"/>
        </w:rPr>
        <w:t>(la “Concesión”)</w:t>
      </w:r>
      <w:r w:rsidR="004C4C37" w:rsidRPr="005379A1">
        <w:rPr>
          <w:rFonts w:ascii="ITC Avant Garde" w:hAnsi="ITC Avant Garde"/>
          <w:bCs/>
          <w:color w:val="000000"/>
          <w:sz w:val="22"/>
          <w:szCs w:val="22"/>
          <w:lang w:val="es-ES" w:eastAsia="es-MX"/>
        </w:rPr>
        <w:t xml:space="preserve">, </w:t>
      </w:r>
      <w:r w:rsidR="00832117" w:rsidRPr="005379A1">
        <w:rPr>
          <w:rFonts w:ascii="ITC Avant Garde" w:hAnsi="ITC Avant Garde"/>
          <w:bCs/>
          <w:color w:val="000000"/>
          <w:sz w:val="22"/>
          <w:szCs w:val="22"/>
          <w:lang w:val="es-ES" w:eastAsia="es-MX"/>
        </w:rPr>
        <w:t>utiliz</w:t>
      </w:r>
      <w:r w:rsidR="006A457E" w:rsidRPr="005379A1">
        <w:rPr>
          <w:rFonts w:ascii="ITC Avant Garde" w:hAnsi="ITC Avant Garde"/>
          <w:bCs/>
          <w:color w:val="000000"/>
          <w:sz w:val="22"/>
          <w:szCs w:val="22"/>
          <w:lang w:val="es-ES" w:eastAsia="es-MX"/>
        </w:rPr>
        <w:t>ando las siguientes frecuencias:</w:t>
      </w:r>
    </w:p>
    <w:p w14:paraId="448D2BE8" w14:textId="77777777" w:rsidR="001C6AEE" w:rsidRPr="005379A1" w:rsidRDefault="00571BE2" w:rsidP="001C6AEE">
      <w:pPr>
        <w:spacing w:after="240"/>
        <w:ind w:left="567"/>
        <w:jc w:val="both"/>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En el tramo San Juan del Río-C</w:t>
      </w:r>
      <w:r w:rsidR="00280782" w:rsidRPr="005379A1">
        <w:rPr>
          <w:rFonts w:ascii="ITC Avant Garde" w:hAnsi="ITC Avant Garde"/>
          <w:bCs/>
          <w:color w:val="000000"/>
          <w:sz w:val="22"/>
          <w:szCs w:val="22"/>
          <w:lang w:val="es-ES" w:eastAsia="es-MX"/>
        </w:rPr>
        <w:t>iuda</w:t>
      </w:r>
      <w:r w:rsidRPr="005379A1">
        <w:rPr>
          <w:rFonts w:ascii="ITC Avant Garde" w:hAnsi="ITC Avant Garde"/>
          <w:bCs/>
          <w:color w:val="000000"/>
          <w:sz w:val="22"/>
          <w:szCs w:val="22"/>
          <w:lang w:val="es-ES" w:eastAsia="es-MX"/>
        </w:rPr>
        <w:t xml:space="preserve">d Juárez, los repetidores </w:t>
      </w:r>
      <w:r w:rsidR="00016E74" w:rsidRPr="005379A1">
        <w:rPr>
          <w:rFonts w:ascii="ITC Avant Garde" w:hAnsi="ITC Avant Garde"/>
          <w:bCs/>
          <w:color w:val="000000"/>
          <w:sz w:val="22"/>
          <w:szCs w:val="22"/>
          <w:lang w:val="es-ES" w:eastAsia="es-MX"/>
        </w:rPr>
        <w:t xml:space="preserve">estaban </w:t>
      </w:r>
      <w:r w:rsidRPr="005379A1">
        <w:rPr>
          <w:rFonts w:ascii="ITC Avant Garde" w:hAnsi="ITC Avant Garde"/>
          <w:bCs/>
          <w:color w:val="000000"/>
          <w:sz w:val="22"/>
          <w:szCs w:val="22"/>
          <w:lang w:val="es-ES" w:eastAsia="es-MX"/>
        </w:rPr>
        <w:t>ubicados en:</w:t>
      </w:r>
    </w:p>
    <w:p w14:paraId="6840DC9B" w14:textId="77777777" w:rsidR="005379A1" w:rsidRDefault="00571BE2" w:rsidP="00571BE2">
      <w:pPr>
        <w:ind w:left="567"/>
        <w:jc w:val="both"/>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Ubicación</w:t>
      </w:r>
      <w:r w:rsidR="00016E74" w:rsidRPr="005379A1">
        <w:rPr>
          <w:rFonts w:ascii="ITC Avant Garde" w:hAnsi="ITC Avant Garde"/>
          <w:bCs/>
          <w:color w:val="000000"/>
          <w:sz w:val="22"/>
          <w:szCs w:val="22"/>
          <w:lang w:val="es-ES" w:eastAsia="es-MX"/>
        </w:rPr>
        <w:t>:</w:t>
      </w:r>
    </w:p>
    <w:p w14:paraId="05B79A2C" w14:textId="77777777" w:rsidR="005379A1" w:rsidRDefault="005379A1" w:rsidP="00571BE2">
      <w:pPr>
        <w:ind w:left="567"/>
        <w:jc w:val="both"/>
        <w:rPr>
          <w:rFonts w:ascii="ITC Avant Garde" w:hAnsi="ITC Avant Garde"/>
          <w:bCs/>
          <w:color w:val="000000"/>
          <w:sz w:val="22"/>
          <w:szCs w:val="22"/>
          <w:lang w:val="es-ES" w:eastAsia="es-MX"/>
        </w:rPr>
        <w:sectPr w:rsidR="005379A1" w:rsidSect="00507DA0">
          <w:footerReference w:type="even" r:id="rId8"/>
          <w:footerReference w:type="default" r:id="rId9"/>
          <w:pgSz w:w="12240" w:h="15840" w:code="1"/>
          <w:pgMar w:top="2127" w:right="1467" w:bottom="719" w:left="1418" w:header="720" w:footer="1036" w:gutter="0"/>
          <w:cols w:space="720"/>
        </w:sectPr>
      </w:pPr>
    </w:p>
    <w:p w14:paraId="6FC9CCD1" w14:textId="29F70CED" w:rsidR="00762AFA" w:rsidRPr="005379A1" w:rsidRDefault="005379A1" w:rsidP="005379A1">
      <w:pPr>
        <w:ind w:left="567"/>
        <w:jc w:val="center"/>
        <w:rPr>
          <w:rFonts w:ascii="ITC Avant Garde" w:hAnsi="ITC Avant Garde"/>
          <w:bCs/>
          <w:color w:val="000000"/>
          <w:sz w:val="22"/>
          <w:szCs w:val="22"/>
          <w:lang w:val="es-ES" w:eastAsia="es-MX"/>
        </w:rPr>
      </w:pPr>
      <w:r>
        <w:rPr>
          <w:rFonts w:ascii="ITC Avant Garde" w:hAnsi="ITC Avant Garde"/>
          <w:bCs/>
          <w:color w:val="000000"/>
          <w:sz w:val="22"/>
          <w:szCs w:val="22"/>
          <w:lang w:val="es-ES" w:eastAsia="es-MX"/>
        </w:rPr>
        <w:lastRenderedPageBreak/>
        <w:t>Querétaro, Querétaro</w:t>
      </w:r>
    </w:p>
    <w:p w14:paraId="52792108" w14:textId="260AB363" w:rsidR="00571BE2" w:rsidRPr="005379A1" w:rsidRDefault="005379A1" w:rsidP="005379A1">
      <w:pPr>
        <w:ind w:left="567"/>
        <w:jc w:val="center"/>
        <w:rPr>
          <w:rFonts w:ascii="ITC Avant Garde" w:hAnsi="ITC Avant Garde"/>
          <w:bCs/>
          <w:color w:val="000000"/>
          <w:sz w:val="22"/>
          <w:szCs w:val="22"/>
          <w:lang w:val="es-ES" w:eastAsia="es-MX"/>
        </w:rPr>
      </w:pPr>
      <w:r>
        <w:rPr>
          <w:rFonts w:ascii="ITC Avant Garde" w:hAnsi="ITC Avant Garde"/>
          <w:bCs/>
          <w:color w:val="000000"/>
          <w:sz w:val="22"/>
          <w:szCs w:val="22"/>
          <w:lang w:val="es-ES" w:eastAsia="es-MX"/>
        </w:rPr>
        <w:t>León, Guanajuato</w:t>
      </w:r>
    </w:p>
    <w:p w14:paraId="35FAEC4C" w14:textId="039098FD" w:rsidR="00571BE2" w:rsidRPr="005379A1" w:rsidRDefault="00571BE2" w:rsidP="005379A1">
      <w:pPr>
        <w:ind w:left="567"/>
        <w:jc w:val="center"/>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Zacatecas, Zacatecas</w:t>
      </w:r>
    </w:p>
    <w:p w14:paraId="6009B90B" w14:textId="71A38A21" w:rsidR="00571BE2" w:rsidRPr="005379A1" w:rsidRDefault="005379A1" w:rsidP="005379A1">
      <w:pPr>
        <w:ind w:left="567"/>
        <w:jc w:val="center"/>
        <w:rPr>
          <w:rFonts w:ascii="ITC Avant Garde" w:hAnsi="ITC Avant Garde"/>
          <w:bCs/>
          <w:color w:val="000000"/>
          <w:sz w:val="22"/>
          <w:szCs w:val="22"/>
          <w:lang w:val="es-ES" w:eastAsia="es-MX"/>
        </w:rPr>
      </w:pPr>
      <w:r>
        <w:rPr>
          <w:rFonts w:ascii="ITC Avant Garde" w:hAnsi="ITC Avant Garde"/>
          <w:bCs/>
          <w:color w:val="000000"/>
          <w:sz w:val="22"/>
          <w:szCs w:val="22"/>
          <w:lang w:val="es-ES" w:eastAsia="es-MX"/>
        </w:rPr>
        <w:t>Durango, Durango</w:t>
      </w:r>
    </w:p>
    <w:p w14:paraId="0E376D36" w14:textId="77777777" w:rsidR="005379A1" w:rsidRDefault="00571BE2" w:rsidP="005379A1">
      <w:pPr>
        <w:ind w:left="567"/>
        <w:jc w:val="center"/>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C</w:t>
      </w:r>
      <w:r w:rsidR="00280782" w:rsidRPr="005379A1">
        <w:rPr>
          <w:rFonts w:ascii="ITC Avant Garde" w:hAnsi="ITC Avant Garde"/>
          <w:bCs/>
          <w:color w:val="000000"/>
          <w:sz w:val="22"/>
          <w:szCs w:val="22"/>
          <w:lang w:val="es-ES" w:eastAsia="es-MX"/>
        </w:rPr>
        <w:t>iudad</w:t>
      </w:r>
      <w:r w:rsidR="005379A1">
        <w:rPr>
          <w:rFonts w:ascii="ITC Avant Garde" w:hAnsi="ITC Avant Garde"/>
          <w:bCs/>
          <w:color w:val="000000"/>
          <w:sz w:val="22"/>
          <w:szCs w:val="22"/>
          <w:lang w:val="es-ES" w:eastAsia="es-MX"/>
        </w:rPr>
        <w:t xml:space="preserve"> Juárez, Chihuahua</w:t>
      </w:r>
    </w:p>
    <w:p w14:paraId="2DB0A3A8" w14:textId="2110CE04" w:rsidR="005379A1" w:rsidRDefault="005379A1" w:rsidP="005379A1">
      <w:pPr>
        <w:ind w:left="567"/>
        <w:jc w:val="center"/>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lastRenderedPageBreak/>
        <w:t>LN 20°20’15</w:t>
      </w:r>
      <w:r>
        <w:rPr>
          <w:rFonts w:ascii="ITC Avant Garde" w:hAnsi="ITC Avant Garde"/>
          <w:bCs/>
          <w:color w:val="000000"/>
          <w:sz w:val="22"/>
          <w:szCs w:val="22"/>
          <w:lang w:val="es-ES" w:eastAsia="es-MX"/>
        </w:rPr>
        <w:t>”</w:t>
      </w:r>
      <w:r w:rsidRPr="005379A1">
        <w:rPr>
          <w:rFonts w:ascii="ITC Avant Garde" w:hAnsi="ITC Avant Garde"/>
          <w:bCs/>
          <w:color w:val="000000"/>
          <w:sz w:val="22"/>
          <w:szCs w:val="22"/>
          <w:lang w:val="es-ES" w:eastAsia="es-MX"/>
        </w:rPr>
        <w:t xml:space="preserve"> LW 100°20’30”</w:t>
      </w:r>
    </w:p>
    <w:p w14:paraId="7252E0A5" w14:textId="79276F89" w:rsidR="005379A1" w:rsidRDefault="005379A1" w:rsidP="005379A1">
      <w:pPr>
        <w:ind w:left="567"/>
        <w:jc w:val="center"/>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LN 21°14’</w:t>
      </w:r>
      <w:r>
        <w:rPr>
          <w:rFonts w:ascii="ITC Avant Garde" w:hAnsi="ITC Avant Garde"/>
          <w:bCs/>
          <w:color w:val="000000"/>
          <w:sz w:val="22"/>
          <w:szCs w:val="22"/>
          <w:lang w:val="es-ES" w:eastAsia="es-MX"/>
        </w:rPr>
        <w:t>05”</w:t>
      </w:r>
      <w:r w:rsidRPr="005379A1">
        <w:rPr>
          <w:rFonts w:ascii="ITC Avant Garde" w:hAnsi="ITC Avant Garde"/>
          <w:bCs/>
          <w:color w:val="000000"/>
          <w:sz w:val="22"/>
          <w:szCs w:val="22"/>
          <w:lang w:val="es-ES" w:eastAsia="es-MX"/>
        </w:rPr>
        <w:t xml:space="preserve"> LW 101°45’50”</w:t>
      </w:r>
    </w:p>
    <w:p w14:paraId="7080FE91" w14:textId="7B81D496" w:rsidR="005379A1" w:rsidRDefault="005379A1" w:rsidP="005379A1">
      <w:pPr>
        <w:ind w:left="567"/>
        <w:jc w:val="center"/>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LN 22°43’</w:t>
      </w:r>
      <w:r>
        <w:rPr>
          <w:rFonts w:ascii="ITC Avant Garde" w:hAnsi="ITC Avant Garde"/>
          <w:bCs/>
          <w:color w:val="000000"/>
          <w:sz w:val="22"/>
          <w:szCs w:val="22"/>
          <w:lang w:val="es-ES" w:eastAsia="es-MX"/>
        </w:rPr>
        <w:t>40”</w:t>
      </w:r>
      <w:r w:rsidRPr="005379A1">
        <w:rPr>
          <w:rFonts w:ascii="ITC Avant Garde" w:hAnsi="ITC Avant Garde"/>
          <w:bCs/>
          <w:color w:val="000000"/>
          <w:sz w:val="22"/>
          <w:szCs w:val="22"/>
          <w:lang w:val="es-ES" w:eastAsia="es-MX"/>
        </w:rPr>
        <w:t xml:space="preserve"> LW 102°38’20”</w:t>
      </w:r>
    </w:p>
    <w:p w14:paraId="1FB2FEC8" w14:textId="39554784" w:rsidR="005379A1" w:rsidRDefault="005379A1" w:rsidP="005379A1">
      <w:pPr>
        <w:ind w:left="567"/>
        <w:jc w:val="center"/>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LN 24°08’15</w:t>
      </w:r>
      <w:r>
        <w:rPr>
          <w:rFonts w:ascii="ITC Avant Garde" w:hAnsi="ITC Avant Garde"/>
          <w:bCs/>
          <w:color w:val="000000"/>
          <w:sz w:val="22"/>
          <w:szCs w:val="22"/>
          <w:lang w:val="es-ES" w:eastAsia="es-MX"/>
        </w:rPr>
        <w:t>”</w:t>
      </w:r>
      <w:r w:rsidRPr="005379A1">
        <w:rPr>
          <w:rFonts w:ascii="ITC Avant Garde" w:hAnsi="ITC Avant Garde"/>
          <w:bCs/>
          <w:color w:val="000000"/>
          <w:sz w:val="22"/>
          <w:szCs w:val="22"/>
          <w:lang w:val="es-ES" w:eastAsia="es-MX"/>
        </w:rPr>
        <w:t xml:space="preserve"> LW 104°41’20”</w:t>
      </w:r>
    </w:p>
    <w:p w14:paraId="7647EDC2" w14:textId="3ED8AA1A" w:rsidR="00571BE2" w:rsidRPr="005379A1" w:rsidRDefault="00571BE2" w:rsidP="005379A1">
      <w:pPr>
        <w:ind w:left="567"/>
        <w:jc w:val="center"/>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LN 31°22’</w:t>
      </w:r>
      <w:r w:rsidR="005379A1">
        <w:rPr>
          <w:rFonts w:ascii="ITC Avant Garde" w:hAnsi="ITC Avant Garde"/>
          <w:bCs/>
          <w:color w:val="000000"/>
          <w:sz w:val="22"/>
          <w:szCs w:val="22"/>
          <w:lang w:val="es-ES" w:eastAsia="es-MX"/>
        </w:rPr>
        <w:t>30”</w:t>
      </w:r>
      <w:r w:rsidRPr="005379A1">
        <w:rPr>
          <w:rFonts w:ascii="ITC Avant Garde" w:hAnsi="ITC Avant Garde"/>
          <w:bCs/>
          <w:color w:val="000000"/>
          <w:sz w:val="22"/>
          <w:szCs w:val="22"/>
          <w:lang w:val="es-ES" w:eastAsia="es-MX"/>
        </w:rPr>
        <w:t xml:space="preserve"> LW 106°25’20”</w:t>
      </w:r>
    </w:p>
    <w:p w14:paraId="3CCC58AC" w14:textId="77777777" w:rsidR="005379A1" w:rsidRDefault="005379A1" w:rsidP="001F6930">
      <w:pPr>
        <w:ind w:left="567"/>
        <w:jc w:val="center"/>
        <w:rPr>
          <w:rFonts w:ascii="ITC Avant Garde" w:hAnsi="ITC Avant Garde" w:cs="Arial"/>
          <w:b/>
          <w:sz w:val="16"/>
          <w:szCs w:val="16"/>
        </w:rPr>
        <w:sectPr w:rsidR="005379A1" w:rsidSect="005379A1">
          <w:type w:val="continuous"/>
          <w:pgSz w:w="12240" w:h="15840" w:code="1"/>
          <w:pgMar w:top="2127" w:right="1467" w:bottom="719" w:left="1418" w:header="720" w:footer="1036" w:gutter="0"/>
          <w:cols w:num="2" w:space="720"/>
        </w:sectPr>
      </w:pPr>
    </w:p>
    <w:p w14:paraId="407916A0" w14:textId="6FA234B1" w:rsidR="00571BE2" w:rsidRPr="005379A1" w:rsidRDefault="001F6930" w:rsidP="001F6930">
      <w:pPr>
        <w:ind w:left="567"/>
        <w:jc w:val="center"/>
        <w:rPr>
          <w:rFonts w:ascii="ITC Avant Garde" w:hAnsi="ITC Avant Garde"/>
          <w:bCs/>
          <w:color w:val="000000"/>
          <w:sz w:val="22"/>
          <w:szCs w:val="22"/>
          <w:lang w:val="es-ES" w:eastAsia="es-MX"/>
        </w:rPr>
      </w:pPr>
      <w:r w:rsidRPr="005379A1">
        <w:rPr>
          <w:rFonts w:ascii="ITC Avant Garde" w:hAnsi="ITC Avant Garde" w:cs="Arial"/>
          <w:b/>
          <w:sz w:val="16"/>
          <w:szCs w:val="16"/>
        </w:rPr>
        <w:lastRenderedPageBreak/>
        <w:t>GRUPO 3 C</w:t>
      </w:r>
    </w:p>
    <w:tbl>
      <w:tblPr>
        <w:tblStyle w:val="Cuadrculadetablaclara"/>
        <w:tblW w:w="2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upo 3C"/>
        <w:tblDescription w:val="La tabla proporciona información del RX y TX en MHz."/>
      </w:tblPr>
      <w:tblGrid>
        <w:gridCol w:w="1155"/>
        <w:gridCol w:w="1230"/>
      </w:tblGrid>
      <w:tr w:rsidR="00083E3D" w:rsidRPr="005379A1" w14:paraId="0F72D8C0" w14:textId="77777777" w:rsidTr="001F6930">
        <w:trPr>
          <w:trHeight w:val="184"/>
          <w:tblHeader/>
          <w:jc w:val="center"/>
        </w:trPr>
        <w:tc>
          <w:tcPr>
            <w:tcW w:w="1155" w:type="dxa"/>
          </w:tcPr>
          <w:p w14:paraId="0EAFD290" w14:textId="77777777" w:rsidR="00083E3D" w:rsidRPr="005379A1" w:rsidRDefault="00083E3D" w:rsidP="004802D8">
            <w:pPr>
              <w:jc w:val="center"/>
              <w:rPr>
                <w:rFonts w:ascii="ITC Avant Garde" w:hAnsi="ITC Avant Garde" w:cs="Arial"/>
                <w:b/>
                <w:sz w:val="16"/>
                <w:szCs w:val="16"/>
              </w:rPr>
            </w:pPr>
            <w:proofErr w:type="spellStart"/>
            <w:r w:rsidRPr="005379A1">
              <w:rPr>
                <w:rFonts w:ascii="ITC Avant Garde" w:hAnsi="ITC Avant Garde" w:cs="Arial"/>
                <w:b/>
                <w:sz w:val="16"/>
                <w:szCs w:val="16"/>
              </w:rPr>
              <w:t>Rx</w:t>
            </w:r>
            <w:proofErr w:type="spellEnd"/>
            <w:r w:rsidRPr="005379A1">
              <w:rPr>
                <w:rFonts w:ascii="ITC Avant Garde" w:hAnsi="ITC Avant Garde" w:cs="Arial"/>
                <w:b/>
                <w:sz w:val="16"/>
                <w:szCs w:val="16"/>
              </w:rPr>
              <w:t xml:space="preserve"> (MHz)</w:t>
            </w:r>
          </w:p>
        </w:tc>
        <w:tc>
          <w:tcPr>
            <w:tcW w:w="1230" w:type="dxa"/>
          </w:tcPr>
          <w:p w14:paraId="0A2D85CE" w14:textId="6A79CAF6" w:rsidR="00083E3D" w:rsidRPr="005379A1" w:rsidRDefault="00852B04" w:rsidP="004802D8">
            <w:pPr>
              <w:jc w:val="center"/>
              <w:rPr>
                <w:rFonts w:ascii="ITC Avant Garde" w:hAnsi="ITC Avant Garde" w:cs="Arial"/>
                <w:b/>
                <w:sz w:val="16"/>
                <w:szCs w:val="16"/>
              </w:rPr>
            </w:pPr>
            <w:proofErr w:type="spellStart"/>
            <w:r w:rsidRPr="005379A1">
              <w:rPr>
                <w:rFonts w:ascii="ITC Avant Garde" w:hAnsi="ITC Avant Garde" w:cs="Arial"/>
                <w:b/>
                <w:sz w:val="16"/>
                <w:szCs w:val="16"/>
              </w:rPr>
              <w:t>T</w:t>
            </w:r>
            <w:r w:rsidR="00083E3D" w:rsidRPr="005379A1">
              <w:rPr>
                <w:rFonts w:ascii="ITC Avant Garde" w:hAnsi="ITC Avant Garde" w:cs="Arial"/>
                <w:b/>
                <w:sz w:val="16"/>
                <w:szCs w:val="16"/>
              </w:rPr>
              <w:t>x</w:t>
            </w:r>
            <w:proofErr w:type="spellEnd"/>
            <w:r w:rsidR="00083E3D" w:rsidRPr="005379A1">
              <w:rPr>
                <w:rFonts w:ascii="ITC Avant Garde" w:hAnsi="ITC Avant Garde" w:cs="Arial"/>
                <w:b/>
                <w:sz w:val="16"/>
                <w:szCs w:val="16"/>
              </w:rPr>
              <w:t xml:space="preserve"> (MHz)</w:t>
            </w:r>
          </w:p>
        </w:tc>
      </w:tr>
      <w:tr w:rsidR="00083E3D" w:rsidRPr="005379A1" w14:paraId="2EE9FF93" w14:textId="77777777" w:rsidTr="001F6930">
        <w:trPr>
          <w:trHeight w:val="177"/>
          <w:jc w:val="center"/>
        </w:trPr>
        <w:tc>
          <w:tcPr>
            <w:tcW w:w="1155" w:type="dxa"/>
          </w:tcPr>
          <w:p w14:paraId="43F1F7F8" w14:textId="6CBDD513" w:rsidR="00083E3D" w:rsidRPr="005379A1" w:rsidRDefault="00083E3D" w:rsidP="00C95589">
            <w:pPr>
              <w:jc w:val="center"/>
              <w:rPr>
                <w:rFonts w:ascii="ITC Avant Garde" w:hAnsi="ITC Avant Garde" w:cs="Arial"/>
                <w:sz w:val="16"/>
                <w:szCs w:val="16"/>
              </w:rPr>
            </w:pPr>
            <w:r w:rsidRPr="005379A1">
              <w:rPr>
                <w:rFonts w:ascii="ITC Avant Garde" w:hAnsi="ITC Avant Garde" w:cs="Arial"/>
                <w:sz w:val="16"/>
                <w:szCs w:val="16"/>
              </w:rPr>
              <w:t>8</w:t>
            </w:r>
            <w:r w:rsidR="00C95589" w:rsidRPr="005379A1">
              <w:rPr>
                <w:rFonts w:ascii="ITC Avant Garde" w:hAnsi="ITC Avant Garde" w:cs="Arial"/>
                <w:sz w:val="16"/>
                <w:szCs w:val="16"/>
              </w:rPr>
              <w:t>0</w:t>
            </w:r>
            <w:r w:rsidRPr="005379A1">
              <w:rPr>
                <w:rFonts w:ascii="ITC Avant Garde" w:hAnsi="ITC Avant Garde" w:cs="Arial"/>
                <w:sz w:val="16"/>
                <w:szCs w:val="16"/>
              </w:rPr>
              <w:t>6.</w:t>
            </w:r>
            <w:r w:rsidR="00C95589" w:rsidRPr="005379A1">
              <w:rPr>
                <w:rFonts w:ascii="ITC Avant Garde" w:hAnsi="ITC Avant Garde" w:cs="Arial"/>
                <w:sz w:val="16"/>
                <w:szCs w:val="16"/>
              </w:rPr>
              <w:t>075</w:t>
            </w:r>
          </w:p>
        </w:tc>
        <w:tc>
          <w:tcPr>
            <w:tcW w:w="1230" w:type="dxa"/>
          </w:tcPr>
          <w:p w14:paraId="34C2C41B" w14:textId="6B11741A" w:rsidR="00083E3D" w:rsidRPr="005379A1" w:rsidRDefault="00083E3D" w:rsidP="00C95589">
            <w:pPr>
              <w:jc w:val="center"/>
              <w:rPr>
                <w:rFonts w:ascii="ITC Avant Garde" w:hAnsi="ITC Avant Garde" w:cs="Arial"/>
                <w:sz w:val="16"/>
                <w:szCs w:val="16"/>
              </w:rPr>
            </w:pPr>
            <w:r w:rsidRPr="005379A1">
              <w:rPr>
                <w:rFonts w:ascii="ITC Avant Garde" w:hAnsi="ITC Avant Garde" w:cs="Arial"/>
                <w:sz w:val="16"/>
                <w:szCs w:val="16"/>
              </w:rPr>
              <w:t>8</w:t>
            </w:r>
            <w:r w:rsidR="00C95589" w:rsidRPr="005379A1">
              <w:rPr>
                <w:rFonts w:ascii="ITC Avant Garde" w:hAnsi="ITC Avant Garde" w:cs="Arial"/>
                <w:sz w:val="16"/>
                <w:szCs w:val="16"/>
              </w:rPr>
              <w:t>5</w:t>
            </w:r>
            <w:r w:rsidRPr="005379A1">
              <w:rPr>
                <w:rFonts w:ascii="ITC Avant Garde" w:hAnsi="ITC Avant Garde" w:cs="Arial"/>
                <w:sz w:val="16"/>
                <w:szCs w:val="16"/>
              </w:rPr>
              <w:t>1.</w:t>
            </w:r>
            <w:r w:rsidR="00C95589" w:rsidRPr="005379A1">
              <w:rPr>
                <w:rFonts w:ascii="ITC Avant Garde" w:hAnsi="ITC Avant Garde" w:cs="Arial"/>
                <w:sz w:val="16"/>
                <w:szCs w:val="16"/>
              </w:rPr>
              <w:t>07</w:t>
            </w:r>
            <w:r w:rsidRPr="005379A1">
              <w:rPr>
                <w:rFonts w:ascii="ITC Avant Garde" w:hAnsi="ITC Avant Garde" w:cs="Arial"/>
                <w:sz w:val="16"/>
                <w:szCs w:val="16"/>
              </w:rPr>
              <w:t>5</w:t>
            </w:r>
          </w:p>
        </w:tc>
      </w:tr>
      <w:tr w:rsidR="00083E3D" w:rsidRPr="005379A1" w14:paraId="14DE6548" w14:textId="77777777" w:rsidTr="001F6930">
        <w:trPr>
          <w:trHeight w:val="140"/>
          <w:jc w:val="center"/>
        </w:trPr>
        <w:tc>
          <w:tcPr>
            <w:tcW w:w="1155" w:type="dxa"/>
          </w:tcPr>
          <w:p w14:paraId="61FE73FB" w14:textId="58F9D192" w:rsidR="00083E3D" w:rsidRPr="005379A1" w:rsidRDefault="00C95589">
            <w:pPr>
              <w:jc w:val="center"/>
              <w:rPr>
                <w:rFonts w:ascii="ITC Avant Garde" w:hAnsi="ITC Avant Garde" w:cs="Arial"/>
                <w:sz w:val="16"/>
                <w:szCs w:val="16"/>
              </w:rPr>
            </w:pPr>
            <w:r w:rsidRPr="005379A1">
              <w:rPr>
                <w:rFonts w:ascii="ITC Avant Garde" w:hAnsi="ITC Avant Garde" w:cs="Arial"/>
                <w:sz w:val="16"/>
                <w:szCs w:val="16"/>
              </w:rPr>
              <w:t>807.075</w:t>
            </w:r>
          </w:p>
        </w:tc>
        <w:tc>
          <w:tcPr>
            <w:tcW w:w="1230" w:type="dxa"/>
          </w:tcPr>
          <w:p w14:paraId="79B44C41" w14:textId="24761ED1" w:rsidR="00083E3D" w:rsidRPr="005379A1" w:rsidRDefault="00C95589" w:rsidP="00C95589">
            <w:pPr>
              <w:jc w:val="center"/>
              <w:rPr>
                <w:rFonts w:ascii="ITC Avant Garde" w:hAnsi="ITC Avant Garde" w:cs="Arial"/>
                <w:sz w:val="16"/>
                <w:szCs w:val="16"/>
              </w:rPr>
            </w:pPr>
            <w:r w:rsidRPr="005379A1">
              <w:rPr>
                <w:rFonts w:ascii="ITC Avant Garde" w:hAnsi="ITC Avant Garde" w:cs="Arial"/>
                <w:sz w:val="16"/>
                <w:szCs w:val="16"/>
              </w:rPr>
              <w:t>852.075</w:t>
            </w:r>
          </w:p>
        </w:tc>
      </w:tr>
      <w:tr w:rsidR="00083E3D" w:rsidRPr="005379A1" w14:paraId="408F33B5" w14:textId="77777777" w:rsidTr="001F6930">
        <w:trPr>
          <w:trHeight w:val="119"/>
          <w:jc w:val="center"/>
        </w:trPr>
        <w:tc>
          <w:tcPr>
            <w:tcW w:w="1155" w:type="dxa"/>
          </w:tcPr>
          <w:p w14:paraId="32E044D0" w14:textId="5941AFC1" w:rsidR="00083E3D" w:rsidRPr="005379A1" w:rsidRDefault="00C95589">
            <w:pPr>
              <w:jc w:val="center"/>
              <w:rPr>
                <w:rFonts w:ascii="ITC Avant Garde" w:hAnsi="ITC Avant Garde" w:cs="Arial"/>
                <w:sz w:val="16"/>
                <w:szCs w:val="16"/>
              </w:rPr>
            </w:pPr>
            <w:r w:rsidRPr="005379A1">
              <w:rPr>
                <w:rFonts w:ascii="ITC Avant Garde" w:hAnsi="ITC Avant Garde" w:cs="Arial"/>
                <w:sz w:val="16"/>
                <w:szCs w:val="16"/>
              </w:rPr>
              <w:t>808.075</w:t>
            </w:r>
          </w:p>
        </w:tc>
        <w:tc>
          <w:tcPr>
            <w:tcW w:w="1230" w:type="dxa"/>
          </w:tcPr>
          <w:p w14:paraId="60BCA83E" w14:textId="39FDBD1E" w:rsidR="00083E3D" w:rsidRPr="005379A1" w:rsidRDefault="00C95589">
            <w:pPr>
              <w:jc w:val="center"/>
              <w:rPr>
                <w:rFonts w:ascii="ITC Avant Garde" w:hAnsi="ITC Avant Garde" w:cs="Arial"/>
                <w:sz w:val="16"/>
                <w:szCs w:val="16"/>
              </w:rPr>
            </w:pPr>
            <w:r w:rsidRPr="005379A1">
              <w:rPr>
                <w:rFonts w:ascii="ITC Avant Garde" w:hAnsi="ITC Avant Garde" w:cs="Arial"/>
                <w:sz w:val="16"/>
                <w:szCs w:val="16"/>
              </w:rPr>
              <w:t>853.075</w:t>
            </w:r>
          </w:p>
        </w:tc>
      </w:tr>
      <w:tr w:rsidR="00083E3D" w:rsidRPr="005379A1" w14:paraId="237F754A" w14:textId="77777777" w:rsidTr="001F6930">
        <w:trPr>
          <w:trHeight w:val="48"/>
          <w:jc w:val="center"/>
        </w:trPr>
        <w:tc>
          <w:tcPr>
            <w:tcW w:w="1155" w:type="dxa"/>
          </w:tcPr>
          <w:p w14:paraId="50BF70C8" w14:textId="5113A94C" w:rsidR="00083E3D" w:rsidRPr="005379A1" w:rsidRDefault="00C95589">
            <w:pPr>
              <w:jc w:val="center"/>
              <w:rPr>
                <w:rFonts w:ascii="ITC Avant Garde" w:hAnsi="ITC Avant Garde" w:cs="Arial"/>
                <w:sz w:val="16"/>
                <w:szCs w:val="16"/>
              </w:rPr>
            </w:pPr>
            <w:r w:rsidRPr="005379A1">
              <w:rPr>
                <w:rFonts w:ascii="ITC Avant Garde" w:hAnsi="ITC Avant Garde" w:cs="Arial"/>
                <w:sz w:val="16"/>
                <w:szCs w:val="16"/>
              </w:rPr>
              <w:t>809.075</w:t>
            </w:r>
          </w:p>
        </w:tc>
        <w:tc>
          <w:tcPr>
            <w:tcW w:w="1230" w:type="dxa"/>
          </w:tcPr>
          <w:p w14:paraId="5B56942D" w14:textId="60828146" w:rsidR="00083E3D" w:rsidRPr="005379A1" w:rsidRDefault="00C95589">
            <w:pPr>
              <w:jc w:val="center"/>
              <w:rPr>
                <w:rFonts w:ascii="ITC Avant Garde" w:hAnsi="ITC Avant Garde" w:cs="Arial"/>
                <w:sz w:val="16"/>
                <w:szCs w:val="16"/>
              </w:rPr>
            </w:pPr>
            <w:r w:rsidRPr="005379A1">
              <w:rPr>
                <w:rFonts w:ascii="ITC Avant Garde" w:hAnsi="ITC Avant Garde" w:cs="Arial"/>
                <w:sz w:val="16"/>
                <w:szCs w:val="16"/>
              </w:rPr>
              <w:t>854.075</w:t>
            </w:r>
          </w:p>
        </w:tc>
      </w:tr>
      <w:tr w:rsidR="00083E3D" w:rsidRPr="005379A1" w14:paraId="141C7C78" w14:textId="77777777" w:rsidTr="001F6930">
        <w:trPr>
          <w:trHeight w:val="22"/>
          <w:jc w:val="center"/>
        </w:trPr>
        <w:tc>
          <w:tcPr>
            <w:tcW w:w="1155" w:type="dxa"/>
          </w:tcPr>
          <w:p w14:paraId="6BC363C8" w14:textId="4FB6015F" w:rsidR="00083E3D" w:rsidRPr="005379A1" w:rsidRDefault="00C95589">
            <w:pPr>
              <w:jc w:val="center"/>
              <w:rPr>
                <w:rFonts w:ascii="ITC Avant Garde" w:hAnsi="ITC Avant Garde" w:cs="Arial"/>
                <w:sz w:val="16"/>
                <w:szCs w:val="16"/>
              </w:rPr>
            </w:pPr>
            <w:r w:rsidRPr="005379A1">
              <w:rPr>
                <w:rFonts w:ascii="ITC Avant Garde" w:hAnsi="ITC Avant Garde" w:cs="Arial"/>
                <w:sz w:val="16"/>
                <w:szCs w:val="16"/>
              </w:rPr>
              <w:t>810.075</w:t>
            </w:r>
          </w:p>
        </w:tc>
        <w:tc>
          <w:tcPr>
            <w:tcW w:w="1230" w:type="dxa"/>
          </w:tcPr>
          <w:p w14:paraId="41D7EFEF" w14:textId="4B2F8A35" w:rsidR="00083E3D" w:rsidRPr="005379A1" w:rsidRDefault="00C95589">
            <w:pPr>
              <w:jc w:val="center"/>
              <w:rPr>
                <w:rFonts w:ascii="ITC Avant Garde" w:hAnsi="ITC Avant Garde" w:cs="Arial"/>
                <w:sz w:val="16"/>
                <w:szCs w:val="16"/>
              </w:rPr>
            </w:pPr>
            <w:r w:rsidRPr="005379A1">
              <w:rPr>
                <w:rFonts w:ascii="ITC Avant Garde" w:hAnsi="ITC Avant Garde" w:cs="Arial"/>
                <w:sz w:val="16"/>
                <w:szCs w:val="16"/>
              </w:rPr>
              <w:t>855.075</w:t>
            </w:r>
          </w:p>
        </w:tc>
      </w:tr>
    </w:tbl>
    <w:p w14:paraId="58691B19" w14:textId="569CC4F0" w:rsidR="00AE24B3" w:rsidRPr="005379A1" w:rsidRDefault="001F6930" w:rsidP="001F6930">
      <w:pPr>
        <w:ind w:left="567"/>
        <w:jc w:val="center"/>
        <w:rPr>
          <w:rFonts w:ascii="ITC Avant Garde" w:hAnsi="ITC Avant Garde"/>
          <w:bCs/>
          <w:color w:val="000000"/>
          <w:szCs w:val="24"/>
          <w:lang w:val="es-ES" w:eastAsia="es-MX"/>
        </w:rPr>
      </w:pPr>
      <w:r w:rsidRPr="005379A1">
        <w:rPr>
          <w:rFonts w:ascii="ITC Avant Garde" w:hAnsi="ITC Avant Garde" w:cs="Arial"/>
          <w:b/>
          <w:sz w:val="16"/>
          <w:szCs w:val="16"/>
        </w:rPr>
        <w:t>GRUPO 6 C</w:t>
      </w:r>
    </w:p>
    <w:tbl>
      <w:tblPr>
        <w:tblStyle w:val="Cuadrculadetablaclara"/>
        <w:tblW w:w="2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upo 6C"/>
        <w:tblDescription w:val="La tabla proporciona información del RX y TX en MHz."/>
      </w:tblPr>
      <w:tblGrid>
        <w:gridCol w:w="1155"/>
        <w:gridCol w:w="1230"/>
      </w:tblGrid>
      <w:tr w:rsidR="00083E3D" w:rsidRPr="005379A1" w14:paraId="3420B582" w14:textId="77777777" w:rsidTr="001C6AEE">
        <w:trPr>
          <w:trHeight w:val="184"/>
          <w:tblHeader/>
          <w:jc w:val="center"/>
        </w:trPr>
        <w:tc>
          <w:tcPr>
            <w:tcW w:w="1155" w:type="dxa"/>
          </w:tcPr>
          <w:p w14:paraId="5AA1F3AB" w14:textId="77777777" w:rsidR="00083E3D" w:rsidRPr="005379A1" w:rsidRDefault="00083E3D" w:rsidP="004802D8">
            <w:pPr>
              <w:jc w:val="center"/>
              <w:rPr>
                <w:rFonts w:ascii="ITC Avant Garde" w:hAnsi="ITC Avant Garde" w:cs="Arial"/>
                <w:b/>
                <w:sz w:val="16"/>
                <w:szCs w:val="16"/>
              </w:rPr>
            </w:pPr>
            <w:proofErr w:type="spellStart"/>
            <w:r w:rsidRPr="005379A1">
              <w:rPr>
                <w:rFonts w:ascii="ITC Avant Garde" w:hAnsi="ITC Avant Garde" w:cs="Arial"/>
                <w:b/>
                <w:sz w:val="16"/>
                <w:szCs w:val="16"/>
              </w:rPr>
              <w:t>Rx</w:t>
            </w:r>
            <w:proofErr w:type="spellEnd"/>
            <w:r w:rsidRPr="005379A1">
              <w:rPr>
                <w:rFonts w:ascii="ITC Avant Garde" w:hAnsi="ITC Avant Garde" w:cs="Arial"/>
                <w:b/>
                <w:sz w:val="16"/>
                <w:szCs w:val="16"/>
              </w:rPr>
              <w:t xml:space="preserve"> (MHz)</w:t>
            </w:r>
          </w:p>
        </w:tc>
        <w:tc>
          <w:tcPr>
            <w:tcW w:w="1230" w:type="dxa"/>
          </w:tcPr>
          <w:p w14:paraId="120DBD38" w14:textId="17C7CFA7" w:rsidR="00083E3D" w:rsidRPr="005379A1" w:rsidRDefault="00C22F2D" w:rsidP="004802D8">
            <w:pPr>
              <w:jc w:val="center"/>
              <w:rPr>
                <w:rFonts w:ascii="ITC Avant Garde" w:hAnsi="ITC Avant Garde" w:cs="Arial"/>
                <w:b/>
                <w:sz w:val="16"/>
                <w:szCs w:val="16"/>
              </w:rPr>
            </w:pPr>
            <w:proofErr w:type="spellStart"/>
            <w:r w:rsidRPr="005379A1">
              <w:rPr>
                <w:rFonts w:ascii="ITC Avant Garde" w:hAnsi="ITC Avant Garde" w:cs="Arial"/>
                <w:b/>
                <w:sz w:val="16"/>
                <w:szCs w:val="16"/>
              </w:rPr>
              <w:t>T</w:t>
            </w:r>
            <w:r w:rsidR="00083E3D" w:rsidRPr="005379A1">
              <w:rPr>
                <w:rFonts w:ascii="ITC Avant Garde" w:hAnsi="ITC Avant Garde" w:cs="Arial"/>
                <w:b/>
                <w:sz w:val="16"/>
                <w:szCs w:val="16"/>
              </w:rPr>
              <w:t>x</w:t>
            </w:r>
            <w:proofErr w:type="spellEnd"/>
            <w:r w:rsidR="00083E3D" w:rsidRPr="005379A1">
              <w:rPr>
                <w:rFonts w:ascii="ITC Avant Garde" w:hAnsi="ITC Avant Garde" w:cs="Arial"/>
                <w:b/>
                <w:sz w:val="16"/>
                <w:szCs w:val="16"/>
              </w:rPr>
              <w:t xml:space="preserve"> (MHz)</w:t>
            </w:r>
          </w:p>
        </w:tc>
      </w:tr>
      <w:tr w:rsidR="00083E3D" w:rsidRPr="005379A1" w14:paraId="4487C116" w14:textId="77777777" w:rsidTr="001F6930">
        <w:trPr>
          <w:trHeight w:val="177"/>
          <w:jc w:val="center"/>
        </w:trPr>
        <w:tc>
          <w:tcPr>
            <w:tcW w:w="1155" w:type="dxa"/>
          </w:tcPr>
          <w:p w14:paraId="65DFFD7D" w14:textId="6FFF9DF4" w:rsidR="00083E3D" w:rsidRPr="005379A1" w:rsidRDefault="00083E3D" w:rsidP="00C95589">
            <w:pPr>
              <w:jc w:val="center"/>
              <w:rPr>
                <w:rFonts w:ascii="ITC Avant Garde" w:hAnsi="ITC Avant Garde" w:cs="Arial"/>
                <w:sz w:val="16"/>
                <w:szCs w:val="16"/>
              </w:rPr>
            </w:pPr>
            <w:r w:rsidRPr="005379A1">
              <w:rPr>
                <w:rFonts w:ascii="ITC Avant Garde" w:hAnsi="ITC Avant Garde" w:cs="Arial"/>
                <w:sz w:val="16"/>
                <w:szCs w:val="16"/>
              </w:rPr>
              <w:t>8</w:t>
            </w:r>
            <w:r w:rsidR="00C95589" w:rsidRPr="005379A1">
              <w:rPr>
                <w:rFonts w:ascii="ITC Avant Garde" w:hAnsi="ITC Avant Garde" w:cs="Arial"/>
                <w:sz w:val="16"/>
                <w:szCs w:val="16"/>
              </w:rPr>
              <w:t>0</w:t>
            </w:r>
            <w:r w:rsidRPr="005379A1">
              <w:rPr>
                <w:rFonts w:ascii="ITC Avant Garde" w:hAnsi="ITC Avant Garde" w:cs="Arial"/>
                <w:sz w:val="16"/>
                <w:szCs w:val="16"/>
              </w:rPr>
              <w:t>6.</w:t>
            </w:r>
            <w:r w:rsidR="00C95589" w:rsidRPr="005379A1">
              <w:rPr>
                <w:rFonts w:ascii="ITC Avant Garde" w:hAnsi="ITC Avant Garde" w:cs="Arial"/>
                <w:sz w:val="16"/>
                <w:szCs w:val="16"/>
              </w:rPr>
              <w:t>1</w:t>
            </w:r>
            <w:r w:rsidRPr="005379A1">
              <w:rPr>
                <w:rFonts w:ascii="ITC Avant Garde" w:hAnsi="ITC Avant Garde" w:cs="Arial"/>
                <w:sz w:val="16"/>
                <w:szCs w:val="16"/>
              </w:rPr>
              <w:t>5</w:t>
            </w:r>
            <w:r w:rsidR="00C95589" w:rsidRPr="005379A1">
              <w:rPr>
                <w:rFonts w:ascii="ITC Avant Garde" w:hAnsi="ITC Avant Garde" w:cs="Arial"/>
                <w:sz w:val="16"/>
                <w:szCs w:val="16"/>
              </w:rPr>
              <w:t>0</w:t>
            </w:r>
          </w:p>
        </w:tc>
        <w:tc>
          <w:tcPr>
            <w:tcW w:w="1230" w:type="dxa"/>
          </w:tcPr>
          <w:p w14:paraId="5D0C8644" w14:textId="395601D9" w:rsidR="00083E3D" w:rsidRPr="005379A1" w:rsidRDefault="00083E3D" w:rsidP="00C95589">
            <w:pPr>
              <w:jc w:val="center"/>
              <w:rPr>
                <w:rFonts w:ascii="ITC Avant Garde" w:hAnsi="ITC Avant Garde" w:cs="Arial"/>
                <w:sz w:val="16"/>
                <w:szCs w:val="16"/>
              </w:rPr>
            </w:pPr>
            <w:r w:rsidRPr="005379A1">
              <w:rPr>
                <w:rFonts w:ascii="ITC Avant Garde" w:hAnsi="ITC Avant Garde" w:cs="Arial"/>
                <w:sz w:val="16"/>
                <w:szCs w:val="16"/>
              </w:rPr>
              <w:t>8</w:t>
            </w:r>
            <w:r w:rsidR="00C95589" w:rsidRPr="005379A1">
              <w:rPr>
                <w:rFonts w:ascii="ITC Avant Garde" w:hAnsi="ITC Avant Garde" w:cs="Arial"/>
                <w:sz w:val="16"/>
                <w:szCs w:val="16"/>
              </w:rPr>
              <w:t>5</w:t>
            </w:r>
            <w:r w:rsidRPr="005379A1">
              <w:rPr>
                <w:rFonts w:ascii="ITC Avant Garde" w:hAnsi="ITC Avant Garde" w:cs="Arial"/>
                <w:sz w:val="16"/>
                <w:szCs w:val="16"/>
              </w:rPr>
              <w:t>1.</w:t>
            </w:r>
            <w:r w:rsidR="00C95589" w:rsidRPr="005379A1">
              <w:rPr>
                <w:rFonts w:ascii="ITC Avant Garde" w:hAnsi="ITC Avant Garde" w:cs="Arial"/>
                <w:sz w:val="16"/>
                <w:szCs w:val="16"/>
              </w:rPr>
              <w:t>1</w:t>
            </w:r>
            <w:r w:rsidRPr="005379A1">
              <w:rPr>
                <w:rFonts w:ascii="ITC Avant Garde" w:hAnsi="ITC Avant Garde" w:cs="Arial"/>
                <w:sz w:val="16"/>
                <w:szCs w:val="16"/>
              </w:rPr>
              <w:t>5</w:t>
            </w:r>
            <w:r w:rsidR="00C95589" w:rsidRPr="005379A1">
              <w:rPr>
                <w:rFonts w:ascii="ITC Avant Garde" w:hAnsi="ITC Avant Garde" w:cs="Arial"/>
                <w:sz w:val="16"/>
                <w:szCs w:val="16"/>
              </w:rPr>
              <w:t>0</w:t>
            </w:r>
          </w:p>
        </w:tc>
      </w:tr>
      <w:tr w:rsidR="00083E3D" w:rsidRPr="005379A1" w14:paraId="4B8D256E" w14:textId="77777777" w:rsidTr="001F6930">
        <w:trPr>
          <w:trHeight w:val="140"/>
          <w:jc w:val="center"/>
        </w:trPr>
        <w:tc>
          <w:tcPr>
            <w:tcW w:w="1155" w:type="dxa"/>
          </w:tcPr>
          <w:p w14:paraId="27072F6D" w14:textId="0CA733B3" w:rsidR="00083E3D" w:rsidRPr="005379A1" w:rsidRDefault="00C95589" w:rsidP="006616C0">
            <w:pPr>
              <w:jc w:val="center"/>
              <w:rPr>
                <w:rFonts w:ascii="ITC Avant Garde" w:hAnsi="ITC Avant Garde" w:cs="Arial"/>
                <w:sz w:val="16"/>
                <w:szCs w:val="16"/>
              </w:rPr>
            </w:pPr>
            <w:r w:rsidRPr="005379A1">
              <w:rPr>
                <w:rFonts w:ascii="ITC Avant Garde" w:hAnsi="ITC Avant Garde" w:cs="Arial"/>
                <w:sz w:val="16"/>
                <w:szCs w:val="16"/>
              </w:rPr>
              <w:t>80</w:t>
            </w:r>
            <w:r w:rsidR="006616C0" w:rsidRPr="005379A1">
              <w:rPr>
                <w:rFonts w:ascii="ITC Avant Garde" w:hAnsi="ITC Avant Garde" w:cs="Arial"/>
                <w:sz w:val="16"/>
                <w:szCs w:val="16"/>
              </w:rPr>
              <w:t>7</w:t>
            </w:r>
            <w:r w:rsidRPr="005379A1">
              <w:rPr>
                <w:rFonts w:ascii="ITC Avant Garde" w:hAnsi="ITC Avant Garde" w:cs="Arial"/>
                <w:sz w:val="16"/>
                <w:szCs w:val="16"/>
              </w:rPr>
              <w:t>.150</w:t>
            </w:r>
          </w:p>
        </w:tc>
        <w:tc>
          <w:tcPr>
            <w:tcW w:w="1230" w:type="dxa"/>
          </w:tcPr>
          <w:p w14:paraId="59B3388B" w14:textId="036F3EF9" w:rsidR="00083E3D" w:rsidRPr="005379A1" w:rsidRDefault="00C95589" w:rsidP="00C95589">
            <w:pPr>
              <w:jc w:val="center"/>
              <w:rPr>
                <w:rFonts w:ascii="ITC Avant Garde" w:hAnsi="ITC Avant Garde" w:cs="Arial"/>
                <w:sz w:val="16"/>
                <w:szCs w:val="16"/>
              </w:rPr>
            </w:pPr>
            <w:r w:rsidRPr="005379A1">
              <w:rPr>
                <w:rFonts w:ascii="ITC Avant Garde" w:hAnsi="ITC Avant Garde" w:cs="Arial"/>
                <w:sz w:val="16"/>
                <w:szCs w:val="16"/>
              </w:rPr>
              <w:t>852.150</w:t>
            </w:r>
          </w:p>
        </w:tc>
      </w:tr>
      <w:tr w:rsidR="00083E3D" w:rsidRPr="005379A1" w14:paraId="16798F6F" w14:textId="77777777" w:rsidTr="001F6930">
        <w:trPr>
          <w:trHeight w:val="119"/>
          <w:jc w:val="center"/>
        </w:trPr>
        <w:tc>
          <w:tcPr>
            <w:tcW w:w="1155" w:type="dxa"/>
          </w:tcPr>
          <w:p w14:paraId="00E1CD3F" w14:textId="4298C7AF" w:rsidR="00083E3D" w:rsidRPr="005379A1" w:rsidRDefault="00C95589">
            <w:pPr>
              <w:jc w:val="center"/>
              <w:rPr>
                <w:rFonts w:ascii="ITC Avant Garde" w:hAnsi="ITC Avant Garde" w:cs="Arial"/>
                <w:sz w:val="16"/>
                <w:szCs w:val="16"/>
              </w:rPr>
            </w:pPr>
            <w:r w:rsidRPr="005379A1">
              <w:rPr>
                <w:rFonts w:ascii="ITC Avant Garde" w:hAnsi="ITC Avant Garde" w:cs="Arial"/>
                <w:sz w:val="16"/>
                <w:szCs w:val="16"/>
              </w:rPr>
              <w:t>80</w:t>
            </w:r>
            <w:r w:rsidR="006616C0" w:rsidRPr="005379A1">
              <w:rPr>
                <w:rFonts w:ascii="ITC Avant Garde" w:hAnsi="ITC Avant Garde" w:cs="Arial"/>
                <w:sz w:val="16"/>
                <w:szCs w:val="16"/>
              </w:rPr>
              <w:t>8</w:t>
            </w:r>
            <w:r w:rsidRPr="005379A1">
              <w:rPr>
                <w:rFonts w:ascii="ITC Avant Garde" w:hAnsi="ITC Avant Garde" w:cs="Arial"/>
                <w:sz w:val="16"/>
                <w:szCs w:val="16"/>
              </w:rPr>
              <w:t>.150</w:t>
            </w:r>
          </w:p>
        </w:tc>
        <w:tc>
          <w:tcPr>
            <w:tcW w:w="1230" w:type="dxa"/>
          </w:tcPr>
          <w:p w14:paraId="718BAD05" w14:textId="7D758CCC" w:rsidR="00083E3D" w:rsidRPr="005379A1" w:rsidRDefault="00C95589">
            <w:pPr>
              <w:jc w:val="center"/>
              <w:rPr>
                <w:rFonts w:ascii="ITC Avant Garde" w:hAnsi="ITC Avant Garde" w:cs="Arial"/>
                <w:sz w:val="16"/>
                <w:szCs w:val="16"/>
              </w:rPr>
            </w:pPr>
            <w:r w:rsidRPr="005379A1">
              <w:rPr>
                <w:rFonts w:ascii="ITC Avant Garde" w:hAnsi="ITC Avant Garde" w:cs="Arial"/>
                <w:sz w:val="16"/>
                <w:szCs w:val="16"/>
              </w:rPr>
              <w:t>853.150</w:t>
            </w:r>
          </w:p>
        </w:tc>
      </w:tr>
      <w:tr w:rsidR="00C95589" w:rsidRPr="005379A1" w14:paraId="3FB223CC" w14:textId="77777777" w:rsidTr="001F6930">
        <w:trPr>
          <w:trHeight w:val="48"/>
          <w:jc w:val="center"/>
        </w:trPr>
        <w:tc>
          <w:tcPr>
            <w:tcW w:w="1155" w:type="dxa"/>
          </w:tcPr>
          <w:p w14:paraId="508042A8" w14:textId="51988A58" w:rsidR="00C95589" w:rsidRPr="005379A1" w:rsidRDefault="00C95589" w:rsidP="00C95589">
            <w:pPr>
              <w:jc w:val="center"/>
              <w:rPr>
                <w:rFonts w:ascii="ITC Avant Garde" w:hAnsi="ITC Avant Garde" w:cs="Arial"/>
                <w:sz w:val="16"/>
                <w:szCs w:val="16"/>
              </w:rPr>
            </w:pPr>
            <w:r w:rsidRPr="005379A1">
              <w:rPr>
                <w:rFonts w:ascii="ITC Avant Garde" w:hAnsi="ITC Avant Garde" w:cs="Arial"/>
                <w:sz w:val="16"/>
                <w:szCs w:val="16"/>
              </w:rPr>
              <w:t>80</w:t>
            </w:r>
            <w:r w:rsidR="006616C0" w:rsidRPr="005379A1">
              <w:rPr>
                <w:rFonts w:ascii="ITC Avant Garde" w:hAnsi="ITC Avant Garde" w:cs="Arial"/>
                <w:sz w:val="16"/>
                <w:szCs w:val="16"/>
              </w:rPr>
              <w:t>9</w:t>
            </w:r>
            <w:r w:rsidRPr="005379A1">
              <w:rPr>
                <w:rFonts w:ascii="ITC Avant Garde" w:hAnsi="ITC Avant Garde" w:cs="Arial"/>
                <w:sz w:val="16"/>
                <w:szCs w:val="16"/>
              </w:rPr>
              <w:t>.150</w:t>
            </w:r>
          </w:p>
        </w:tc>
        <w:tc>
          <w:tcPr>
            <w:tcW w:w="1230" w:type="dxa"/>
          </w:tcPr>
          <w:p w14:paraId="6389FCBF" w14:textId="2BC1CCF5" w:rsidR="00C95589" w:rsidRPr="005379A1" w:rsidRDefault="00C95589" w:rsidP="00C95589">
            <w:pPr>
              <w:jc w:val="center"/>
              <w:rPr>
                <w:rFonts w:ascii="ITC Avant Garde" w:hAnsi="ITC Avant Garde" w:cs="Arial"/>
                <w:sz w:val="16"/>
                <w:szCs w:val="16"/>
              </w:rPr>
            </w:pPr>
            <w:r w:rsidRPr="005379A1">
              <w:rPr>
                <w:rFonts w:ascii="ITC Avant Garde" w:hAnsi="ITC Avant Garde" w:cs="Arial"/>
                <w:sz w:val="16"/>
                <w:szCs w:val="16"/>
              </w:rPr>
              <w:t>854.150</w:t>
            </w:r>
          </w:p>
        </w:tc>
      </w:tr>
      <w:tr w:rsidR="00083E3D" w:rsidRPr="005379A1" w14:paraId="712A7875" w14:textId="77777777" w:rsidTr="001F6930">
        <w:trPr>
          <w:trHeight w:val="22"/>
          <w:jc w:val="center"/>
        </w:trPr>
        <w:tc>
          <w:tcPr>
            <w:tcW w:w="1155" w:type="dxa"/>
          </w:tcPr>
          <w:p w14:paraId="30141EFA" w14:textId="78049A31" w:rsidR="00083E3D" w:rsidRPr="005379A1" w:rsidRDefault="00C95589">
            <w:pPr>
              <w:jc w:val="center"/>
              <w:rPr>
                <w:rFonts w:ascii="ITC Avant Garde" w:hAnsi="ITC Avant Garde" w:cs="Arial"/>
                <w:sz w:val="16"/>
                <w:szCs w:val="16"/>
              </w:rPr>
            </w:pPr>
            <w:r w:rsidRPr="005379A1">
              <w:rPr>
                <w:rFonts w:ascii="ITC Avant Garde" w:hAnsi="ITC Avant Garde" w:cs="Arial"/>
                <w:sz w:val="16"/>
                <w:szCs w:val="16"/>
              </w:rPr>
              <w:t>8</w:t>
            </w:r>
            <w:r w:rsidR="006616C0" w:rsidRPr="005379A1">
              <w:rPr>
                <w:rFonts w:ascii="ITC Avant Garde" w:hAnsi="ITC Avant Garde" w:cs="Arial"/>
                <w:sz w:val="16"/>
                <w:szCs w:val="16"/>
              </w:rPr>
              <w:t>1</w:t>
            </w:r>
            <w:r w:rsidRPr="005379A1">
              <w:rPr>
                <w:rFonts w:ascii="ITC Avant Garde" w:hAnsi="ITC Avant Garde" w:cs="Arial"/>
                <w:sz w:val="16"/>
                <w:szCs w:val="16"/>
              </w:rPr>
              <w:t>0.150</w:t>
            </w:r>
          </w:p>
        </w:tc>
        <w:tc>
          <w:tcPr>
            <w:tcW w:w="1230" w:type="dxa"/>
          </w:tcPr>
          <w:p w14:paraId="0EF53CCF" w14:textId="76DB7419" w:rsidR="00083E3D" w:rsidRPr="005379A1" w:rsidRDefault="00C95589">
            <w:pPr>
              <w:jc w:val="center"/>
              <w:rPr>
                <w:rFonts w:ascii="ITC Avant Garde" w:hAnsi="ITC Avant Garde" w:cs="Arial"/>
                <w:sz w:val="16"/>
                <w:szCs w:val="16"/>
              </w:rPr>
            </w:pPr>
            <w:r w:rsidRPr="005379A1">
              <w:rPr>
                <w:rFonts w:ascii="ITC Avant Garde" w:hAnsi="ITC Avant Garde" w:cs="Arial"/>
                <w:sz w:val="16"/>
                <w:szCs w:val="16"/>
              </w:rPr>
              <w:t>855.150</w:t>
            </w:r>
          </w:p>
        </w:tc>
      </w:tr>
    </w:tbl>
    <w:p w14:paraId="3B68059A" w14:textId="77777777" w:rsidR="00AE24B3" w:rsidRPr="005379A1" w:rsidRDefault="00AE24B3" w:rsidP="001C6AEE">
      <w:pPr>
        <w:tabs>
          <w:tab w:val="left" w:pos="2848"/>
        </w:tabs>
        <w:spacing w:after="240"/>
        <w:ind w:left="567"/>
        <w:jc w:val="both"/>
        <w:rPr>
          <w:rFonts w:ascii="ITC Avant Garde" w:hAnsi="ITC Avant Garde"/>
          <w:bCs/>
          <w:color w:val="000000"/>
          <w:szCs w:val="24"/>
          <w:lang w:val="es-ES" w:eastAsia="es-MX"/>
        </w:rPr>
      </w:pPr>
    </w:p>
    <w:p w14:paraId="2C6D8B30" w14:textId="77777777" w:rsidR="001C6AEE" w:rsidRPr="005379A1" w:rsidRDefault="00C95589" w:rsidP="001C6AEE">
      <w:pPr>
        <w:tabs>
          <w:tab w:val="left" w:pos="2848"/>
        </w:tabs>
        <w:spacing w:after="240"/>
        <w:ind w:left="567"/>
        <w:jc w:val="both"/>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lastRenderedPageBreak/>
        <w:t xml:space="preserve">En la Ruta Guadalajara-Manzanillo, los repetidores </w:t>
      </w:r>
      <w:r w:rsidR="00145B4D" w:rsidRPr="005379A1">
        <w:rPr>
          <w:rFonts w:ascii="ITC Avant Garde" w:hAnsi="ITC Avant Garde"/>
          <w:bCs/>
          <w:color w:val="000000"/>
          <w:sz w:val="22"/>
          <w:szCs w:val="22"/>
          <w:lang w:val="es-ES" w:eastAsia="es-MX"/>
        </w:rPr>
        <w:t xml:space="preserve">estaban </w:t>
      </w:r>
      <w:r w:rsidRPr="005379A1">
        <w:rPr>
          <w:rFonts w:ascii="ITC Avant Garde" w:hAnsi="ITC Avant Garde"/>
          <w:bCs/>
          <w:color w:val="000000"/>
          <w:sz w:val="22"/>
          <w:szCs w:val="22"/>
          <w:lang w:val="es-ES" w:eastAsia="es-MX"/>
        </w:rPr>
        <w:t>ubicados en:</w:t>
      </w:r>
    </w:p>
    <w:p w14:paraId="0F438969" w14:textId="77777777" w:rsidR="005379A1" w:rsidRDefault="005379A1" w:rsidP="004F2C0C">
      <w:pPr>
        <w:tabs>
          <w:tab w:val="left" w:pos="2848"/>
        </w:tabs>
        <w:ind w:left="567"/>
        <w:jc w:val="both"/>
        <w:rPr>
          <w:rFonts w:ascii="ITC Avant Garde" w:hAnsi="ITC Avant Garde"/>
          <w:bCs/>
          <w:color w:val="000000"/>
          <w:sz w:val="22"/>
          <w:szCs w:val="22"/>
          <w:lang w:val="es-ES" w:eastAsia="es-MX"/>
        </w:rPr>
      </w:pPr>
      <w:r>
        <w:rPr>
          <w:rFonts w:ascii="ITC Avant Garde" w:hAnsi="ITC Avant Garde"/>
          <w:bCs/>
          <w:color w:val="000000"/>
          <w:sz w:val="22"/>
          <w:szCs w:val="22"/>
          <w:lang w:val="es-ES" w:eastAsia="es-MX"/>
        </w:rPr>
        <w:t>Ubicación:</w:t>
      </w:r>
    </w:p>
    <w:p w14:paraId="454DB2E8" w14:textId="77777777" w:rsidR="005379A1" w:rsidRDefault="005379A1" w:rsidP="005379A1">
      <w:pPr>
        <w:tabs>
          <w:tab w:val="left" w:pos="2848"/>
        </w:tabs>
        <w:ind w:left="567"/>
        <w:jc w:val="both"/>
        <w:rPr>
          <w:rFonts w:ascii="ITC Avant Garde" w:hAnsi="ITC Avant Garde"/>
          <w:bCs/>
          <w:color w:val="000000"/>
          <w:sz w:val="22"/>
          <w:szCs w:val="22"/>
          <w:lang w:val="es-ES" w:eastAsia="es-MX"/>
        </w:rPr>
        <w:sectPr w:rsidR="005379A1" w:rsidSect="005379A1">
          <w:type w:val="continuous"/>
          <w:pgSz w:w="12240" w:h="15840" w:code="1"/>
          <w:pgMar w:top="2127" w:right="1467" w:bottom="719" w:left="1418" w:header="720" w:footer="1036" w:gutter="0"/>
          <w:cols w:space="720"/>
        </w:sectPr>
      </w:pPr>
    </w:p>
    <w:p w14:paraId="20ABC9CD" w14:textId="1CFD87C1" w:rsidR="002D3FEC" w:rsidRPr="005379A1" w:rsidRDefault="00C95589" w:rsidP="005379A1">
      <w:pPr>
        <w:tabs>
          <w:tab w:val="left" w:pos="2848"/>
        </w:tabs>
        <w:ind w:left="567"/>
        <w:jc w:val="center"/>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lastRenderedPageBreak/>
        <w:t>Guadalajara, Jalisco</w:t>
      </w:r>
    </w:p>
    <w:p w14:paraId="34448F7B" w14:textId="77777777" w:rsidR="005379A1" w:rsidRDefault="005379A1" w:rsidP="005379A1">
      <w:pPr>
        <w:tabs>
          <w:tab w:val="left" w:pos="2848"/>
        </w:tabs>
        <w:ind w:left="567"/>
        <w:jc w:val="center"/>
        <w:rPr>
          <w:rFonts w:ascii="ITC Avant Garde" w:hAnsi="ITC Avant Garde"/>
          <w:bCs/>
          <w:color w:val="000000"/>
          <w:sz w:val="22"/>
          <w:szCs w:val="22"/>
          <w:lang w:val="es-ES" w:eastAsia="es-MX"/>
        </w:rPr>
      </w:pPr>
      <w:r>
        <w:rPr>
          <w:rFonts w:ascii="ITC Avant Garde" w:hAnsi="ITC Avant Garde"/>
          <w:bCs/>
          <w:color w:val="000000"/>
          <w:sz w:val="22"/>
          <w:szCs w:val="22"/>
          <w:lang w:val="es-ES" w:eastAsia="es-MX"/>
        </w:rPr>
        <w:t>Colima, Colima</w:t>
      </w:r>
    </w:p>
    <w:p w14:paraId="6AFFD43B" w14:textId="5D7B71E0" w:rsidR="005379A1" w:rsidRDefault="005379A1" w:rsidP="005379A1">
      <w:pPr>
        <w:tabs>
          <w:tab w:val="left" w:pos="2848"/>
        </w:tabs>
        <w:ind w:left="567"/>
        <w:jc w:val="center"/>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lastRenderedPageBreak/>
        <w:t>LN 20°40’</w:t>
      </w:r>
      <w:r>
        <w:rPr>
          <w:rFonts w:ascii="ITC Avant Garde" w:hAnsi="ITC Avant Garde"/>
          <w:bCs/>
          <w:color w:val="000000"/>
          <w:sz w:val="22"/>
          <w:szCs w:val="22"/>
          <w:lang w:val="es-ES" w:eastAsia="es-MX"/>
        </w:rPr>
        <w:t>35”</w:t>
      </w:r>
      <w:r w:rsidRPr="005379A1">
        <w:rPr>
          <w:rFonts w:ascii="ITC Avant Garde" w:hAnsi="ITC Avant Garde"/>
          <w:bCs/>
          <w:color w:val="000000"/>
          <w:sz w:val="22"/>
          <w:szCs w:val="22"/>
          <w:lang w:val="es-ES" w:eastAsia="es-MX"/>
        </w:rPr>
        <w:t xml:space="preserve"> LW 103°19’13”</w:t>
      </w:r>
    </w:p>
    <w:p w14:paraId="4DBA6436" w14:textId="1A7CB6F0" w:rsidR="00C95589" w:rsidRPr="005379A1" w:rsidRDefault="00C95589" w:rsidP="005379A1">
      <w:pPr>
        <w:tabs>
          <w:tab w:val="left" w:pos="2848"/>
        </w:tabs>
        <w:ind w:left="567"/>
        <w:jc w:val="center"/>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LN 19°29’</w:t>
      </w:r>
      <w:r w:rsidR="005379A1">
        <w:rPr>
          <w:rFonts w:ascii="ITC Avant Garde" w:hAnsi="ITC Avant Garde"/>
          <w:bCs/>
          <w:color w:val="000000"/>
          <w:sz w:val="22"/>
          <w:szCs w:val="22"/>
          <w:lang w:val="es-ES" w:eastAsia="es-MX"/>
        </w:rPr>
        <w:t>50”</w:t>
      </w:r>
      <w:r w:rsidRPr="005379A1">
        <w:rPr>
          <w:rFonts w:ascii="ITC Avant Garde" w:hAnsi="ITC Avant Garde"/>
          <w:bCs/>
          <w:color w:val="000000"/>
          <w:sz w:val="22"/>
          <w:szCs w:val="22"/>
          <w:lang w:val="es-ES" w:eastAsia="es-MX"/>
        </w:rPr>
        <w:t xml:space="preserve"> LW 103°42’25”</w:t>
      </w:r>
    </w:p>
    <w:p w14:paraId="20F1E24C" w14:textId="77777777" w:rsidR="005379A1" w:rsidRDefault="005379A1" w:rsidP="005379A1">
      <w:pPr>
        <w:tabs>
          <w:tab w:val="left" w:pos="2848"/>
        </w:tabs>
        <w:spacing w:before="240"/>
        <w:ind w:left="567"/>
        <w:jc w:val="center"/>
        <w:rPr>
          <w:rFonts w:ascii="ITC Avant Garde" w:hAnsi="ITC Avant Garde" w:cs="Arial"/>
          <w:b/>
          <w:sz w:val="16"/>
          <w:szCs w:val="16"/>
        </w:rPr>
        <w:sectPr w:rsidR="005379A1" w:rsidSect="005379A1">
          <w:type w:val="continuous"/>
          <w:pgSz w:w="12240" w:h="15840" w:code="1"/>
          <w:pgMar w:top="2127" w:right="1467" w:bottom="719" w:left="1418" w:header="720" w:footer="1036" w:gutter="0"/>
          <w:cols w:num="2" w:space="720"/>
        </w:sectPr>
      </w:pPr>
    </w:p>
    <w:p w14:paraId="5FED8B9E" w14:textId="50D5462C" w:rsidR="00AE24B3" w:rsidRPr="005379A1" w:rsidRDefault="001F6930" w:rsidP="005379A1">
      <w:pPr>
        <w:tabs>
          <w:tab w:val="left" w:pos="2848"/>
        </w:tabs>
        <w:spacing w:before="240"/>
        <w:ind w:left="567"/>
        <w:jc w:val="center"/>
        <w:rPr>
          <w:rFonts w:ascii="ITC Avant Garde" w:hAnsi="ITC Avant Garde"/>
          <w:bCs/>
          <w:color w:val="000000"/>
          <w:szCs w:val="24"/>
          <w:lang w:val="es-ES" w:eastAsia="es-MX"/>
        </w:rPr>
      </w:pPr>
      <w:r w:rsidRPr="005379A1">
        <w:rPr>
          <w:rFonts w:ascii="ITC Avant Garde" w:hAnsi="ITC Avant Garde" w:cs="Arial"/>
          <w:b/>
          <w:sz w:val="16"/>
          <w:szCs w:val="16"/>
        </w:rPr>
        <w:lastRenderedPageBreak/>
        <w:t>GRUPO 10 C</w:t>
      </w:r>
    </w:p>
    <w:tbl>
      <w:tblPr>
        <w:tblStyle w:val="Cuadrculadetablaclara"/>
        <w:tblW w:w="2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upo 10C"/>
        <w:tblDescription w:val="La tabla proporciona información del RX y TX en MHz."/>
      </w:tblPr>
      <w:tblGrid>
        <w:gridCol w:w="1155"/>
        <w:gridCol w:w="1230"/>
      </w:tblGrid>
      <w:tr w:rsidR="00E26450" w:rsidRPr="005379A1" w14:paraId="3CDB3EB5" w14:textId="77777777" w:rsidTr="001F6930">
        <w:trPr>
          <w:trHeight w:val="184"/>
          <w:tblHeader/>
          <w:jc w:val="center"/>
        </w:trPr>
        <w:tc>
          <w:tcPr>
            <w:tcW w:w="1155" w:type="dxa"/>
          </w:tcPr>
          <w:p w14:paraId="37672697" w14:textId="77777777" w:rsidR="00E26450" w:rsidRPr="005379A1" w:rsidRDefault="00E26450" w:rsidP="004802D8">
            <w:pPr>
              <w:jc w:val="center"/>
              <w:rPr>
                <w:rFonts w:ascii="ITC Avant Garde" w:hAnsi="ITC Avant Garde" w:cs="Arial"/>
                <w:b/>
                <w:sz w:val="16"/>
                <w:szCs w:val="16"/>
              </w:rPr>
            </w:pPr>
            <w:proofErr w:type="spellStart"/>
            <w:r w:rsidRPr="005379A1">
              <w:rPr>
                <w:rFonts w:ascii="ITC Avant Garde" w:hAnsi="ITC Avant Garde" w:cs="Arial"/>
                <w:b/>
                <w:sz w:val="16"/>
                <w:szCs w:val="16"/>
              </w:rPr>
              <w:t>Rx</w:t>
            </w:r>
            <w:proofErr w:type="spellEnd"/>
            <w:r w:rsidRPr="005379A1">
              <w:rPr>
                <w:rFonts w:ascii="ITC Avant Garde" w:hAnsi="ITC Avant Garde" w:cs="Arial"/>
                <w:b/>
                <w:sz w:val="16"/>
                <w:szCs w:val="16"/>
              </w:rPr>
              <w:t xml:space="preserve"> (MHz)</w:t>
            </w:r>
          </w:p>
        </w:tc>
        <w:tc>
          <w:tcPr>
            <w:tcW w:w="1230" w:type="dxa"/>
          </w:tcPr>
          <w:p w14:paraId="0B404D1E" w14:textId="32BE2E9D" w:rsidR="00E26450" w:rsidRPr="005379A1" w:rsidRDefault="00C22F2D" w:rsidP="004802D8">
            <w:pPr>
              <w:jc w:val="center"/>
              <w:rPr>
                <w:rFonts w:ascii="ITC Avant Garde" w:hAnsi="ITC Avant Garde" w:cs="Arial"/>
                <w:b/>
                <w:sz w:val="16"/>
                <w:szCs w:val="16"/>
              </w:rPr>
            </w:pPr>
            <w:proofErr w:type="spellStart"/>
            <w:r w:rsidRPr="005379A1">
              <w:rPr>
                <w:rFonts w:ascii="ITC Avant Garde" w:hAnsi="ITC Avant Garde" w:cs="Arial"/>
                <w:b/>
                <w:sz w:val="16"/>
                <w:szCs w:val="16"/>
              </w:rPr>
              <w:t>T</w:t>
            </w:r>
            <w:r w:rsidR="00E26450" w:rsidRPr="005379A1">
              <w:rPr>
                <w:rFonts w:ascii="ITC Avant Garde" w:hAnsi="ITC Avant Garde" w:cs="Arial"/>
                <w:b/>
                <w:sz w:val="16"/>
                <w:szCs w:val="16"/>
              </w:rPr>
              <w:t>x</w:t>
            </w:r>
            <w:proofErr w:type="spellEnd"/>
            <w:r w:rsidR="00E26450" w:rsidRPr="005379A1">
              <w:rPr>
                <w:rFonts w:ascii="ITC Avant Garde" w:hAnsi="ITC Avant Garde" w:cs="Arial"/>
                <w:b/>
                <w:sz w:val="16"/>
                <w:szCs w:val="16"/>
              </w:rPr>
              <w:t xml:space="preserve"> (MHz)</w:t>
            </w:r>
          </w:p>
        </w:tc>
      </w:tr>
      <w:tr w:rsidR="00E26450" w:rsidRPr="005379A1" w14:paraId="5360E8CA" w14:textId="77777777" w:rsidTr="001F6930">
        <w:trPr>
          <w:trHeight w:val="177"/>
          <w:jc w:val="center"/>
        </w:trPr>
        <w:tc>
          <w:tcPr>
            <w:tcW w:w="1155" w:type="dxa"/>
          </w:tcPr>
          <w:p w14:paraId="4201722E" w14:textId="20DFB60B" w:rsidR="00E26450" w:rsidRPr="005379A1" w:rsidRDefault="00E26450" w:rsidP="00C95589">
            <w:pPr>
              <w:jc w:val="center"/>
              <w:rPr>
                <w:rFonts w:ascii="ITC Avant Garde" w:hAnsi="ITC Avant Garde" w:cs="Arial"/>
                <w:sz w:val="16"/>
                <w:szCs w:val="16"/>
              </w:rPr>
            </w:pPr>
            <w:r w:rsidRPr="005379A1">
              <w:rPr>
                <w:rFonts w:ascii="ITC Avant Garde" w:hAnsi="ITC Avant Garde" w:cs="Arial"/>
                <w:sz w:val="16"/>
                <w:szCs w:val="16"/>
              </w:rPr>
              <w:t>8</w:t>
            </w:r>
            <w:r w:rsidR="00C95589" w:rsidRPr="005379A1">
              <w:rPr>
                <w:rFonts w:ascii="ITC Avant Garde" w:hAnsi="ITC Avant Garde" w:cs="Arial"/>
                <w:sz w:val="16"/>
                <w:szCs w:val="16"/>
              </w:rPr>
              <w:t>0</w:t>
            </w:r>
            <w:r w:rsidRPr="005379A1">
              <w:rPr>
                <w:rFonts w:ascii="ITC Avant Garde" w:hAnsi="ITC Avant Garde" w:cs="Arial"/>
                <w:sz w:val="16"/>
                <w:szCs w:val="16"/>
              </w:rPr>
              <w:t>6.25</w:t>
            </w:r>
            <w:r w:rsidR="00C95589" w:rsidRPr="005379A1">
              <w:rPr>
                <w:rFonts w:ascii="ITC Avant Garde" w:hAnsi="ITC Avant Garde" w:cs="Arial"/>
                <w:sz w:val="16"/>
                <w:szCs w:val="16"/>
              </w:rPr>
              <w:t>0</w:t>
            </w:r>
          </w:p>
        </w:tc>
        <w:tc>
          <w:tcPr>
            <w:tcW w:w="1230" w:type="dxa"/>
          </w:tcPr>
          <w:p w14:paraId="4C86330A" w14:textId="0A3F4DF6" w:rsidR="00E26450" w:rsidRPr="005379A1" w:rsidRDefault="00E26450" w:rsidP="00C95589">
            <w:pPr>
              <w:jc w:val="center"/>
              <w:rPr>
                <w:rFonts w:ascii="ITC Avant Garde" w:hAnsi="ITC Avant Garde" w:cs="Arial"/>
                <w:sz w:val="16"/>
                <w:szCs w:val="16"/>
              </w:rPr>
            </w:pPr>
            <w:r w:rsidRPr="005379A1">
              <w:rPr>
                <w:rFonts w:ascii="ITC Avant Garde" w:hAnsi="ITC Avant Garde" w:cs="Arial"/>
                <w:sz w:val="16"/>
                <w:szCs w:val="16"/>
              </w:rPr>
              <w:t>8</w:t>
            </w:r>
            <w:r w:rsidR="00C95589" w:rsidRPr="005379A1">
              <w:rPr>
                <w:rFonts w:ascii="ITC Avant Garde" w:hAnsi="ITC Avant Garde" w:cs="Arial"/>
                <w:sz w:val="16"/>
                <w:szCs w:val="16"/>
              </w:rPr>
              <w:t>5</w:t>
            </w:r>
            <w:r w:rsidRPr="005379A1">
              <w:rPr>
                <w:rFonts w:ascii="ITC Avant Garde" w:hAnsi="ITC Avant Garde" w:cs="Arial"/>
                <w:sz w:val="16"/>
                <w:szCs w:val="16"/>
              </w:rPr>
              <w:t>1.25</w:t>
            </w:r>
            <w:r w:rsidR="00C95589" w:rsidRPr="005379A1">
              <w:rPr>
                <w:rFonts w:ascii="ITC Avant Garde" w:hAnsi="ITC Avant Garde" w:cs="Arial"/>
                <w:sz w:val="16"/>
                <w:szCs w:val="16"/>
              </w:rPr>
              <w:t>0</w:t>
            </w:r>
          </w:p>
        </w:tc>
      </w:tr>
      <w:tr w:rsidR="00E26450" w:rsidRPr="005379A1" w14:paraId="4441EC78" w14:textId="77777777" w:rsidTr="001F6930">
        <w:trPr>
          <w:trHeight w:val="140"/>
          <w:jc w:val="center"/>
        </w:trPr>
        <w:tc>
          <w:tcPr>
            <w:tcW w:w="1155" w:type="dxa"/>
          </w:tcPr>
          <w:p w14:paraId="47CF6546" w14:textId="346154BC" w:rsidR="00E26450" w:rsidRPr="005379A1" w:rsidRDefault="00C95589" w:rsidP="00C95589">
            <w:pPr>
              <w:jc w:val="center"/>
              <w:rPr>
                <w:rFonts w:ascii="ITC Avant Garde" w:hAnsi="ITC Avant Garde" w:cs="Arial"/>
                <w:sz w:val="16"/>
                <w:szCs w:val="16"/>
              </w:rPr>
            </w:pPr>
            <w:r w:rsidRPr="005379A1">
              <w:rPr>
                <w:rFonts w:ascii="ITC Avant Garde" w:hAnsi="ITC Avant Garde" w:cs="Arial"/>
                <w:sz w:val="16"/>
                <w:szCs w:val="16"/>
              </w:rPr>
              <w:t>807.250</w:t>
            </w:r>
          </w:p>
        </w:tc>
        <w:tc>
          <w:tcPr>
            <w:tcW w:w="1230" w:type="dxa"/>
          </w:tcPr>
          <w:p w14:paraId="7A6D0ABD" w14:textId="258FAD53" w:rsidR="00E26450" w:rsidRPr="005379A1" w:rsidRDefault="00C95589" w:rsidP="00C95589">
            <w:pPr>
              <w:jc w:val="center"/>
              <w:rPr>
                <w:rFonts w:ascii="ITC Avant Garde" w:hAnsi="ITC Avant Garde" w:cs="Arial"/>
                <w:sz w:val="16"/>
                <w:szCs w:val="16"/>
              </w:rPr>
            </w:pPr>
            <w:r w:rsidRPr="005379A1">
              <w:rPr>
                <w:rFonts w:ascii="ITC Avant Garde" w:hAnsi="ITC Avant Garde" w:cs="Arial"/>
                <w:sz w:val="16"/>
                <w:szCs w:val="16"/>
              </w:rPr>
              <w:t>852.250</w:t>
            </w:r>
          </w:p>
        </w:tc>
      </w:tr>
      <w:tr w:rsidR="00E26450" w:rsidRPr="005379A1" w14:paraId="5DCDFF19" w14:textId="77777777" w:rsidTr="001F6930">
        <w:trPr>
          <w:trHeight w:val="119"/>
          <w:jc w:val="center"/>
        </w:trPr>
        <w:tc>
          <w:tcPr>
            <w:tcW w:w="1155" w:type="dxa"/>
          </w:tcPr>
          <w:p w14:paraId="3019A285" w14:textId="370FD51A" w:rsidR="00E26450" w:rsidRPr="005379A1" w:rsidRDefault="00C95589">
            <w:pPr>
              <w:jc w:val="center"/>
              <w:rPr>
                <w:rFonts w:ascii="ITC Avant Garde" w:hAnsi="ITC Avant Garde" w:cs="Arial"/>
                <w:sz w:val="16"/>
                <w:szCs w:val="16"/>
              </w:rPr>
            </w:pPr>
            <w:r w:rsidRPr="005379A1">
              <w:rPr>
                <w:rFonts w:ascii="ITC Avant Garde" w:hAnsi="ITC Avant Garde" w:cs="Arial"/>
                <w:sz w:val="16"/>
                <w:szCs w:val="16"/>
              </w:rPr>
              <w:t>808.250</w:t>
            </w:r>
          </w:p>
        </w:tc>
        <w:tc>
          <w:tcPr>
            <w:tcW w:w="1230" w:type="dxa"/>
          </w:tcPr>
          <w:p w14:paraId="627C8382" w14:textId="541A05FA" w:rsidR="00E26450" w:rsidRPr="005379A1" w:rsidRDefault="00C95589">
            <w:pPr>
              <w:jc w:val="center"/>
              <w:rPr>
                <w:rFonts w:ascii="ITC Avant Garde" w:hAnsi="ITC Avant Garde" w:cs="Arial"/>
                <w:sz w:val="16"/>
                <w:szCs w:val="16"/>
              </w:rPr>
            </w:pPr>
            <w:r w:rsidRPr="005379A1">
              <w:rPr>
                <w:rFonts w:ascii="ITC Avant Garde" w:hAnsi="ITC Avant Garde" w:cs="Arial"/>
                <w:sz w:val="16"/>
                <w:szCs w:val="16"/>
              </w:rPr>
              <w:t>853.250</w:t>
            </w:r>
          </w:p>
        </w:tc>
      </w:tr>
      <w:tr w:rsidR="00E26450" w:rsidRPr="005379A1" w14:paraId="2F5AB370" w14:textId="77777777" w:rsidTr="001F6930">
        <w:trPr>
          <w:trHeight w:val="48"/>
          <w:jc w:val="center"/>
        </w:trPr>
        <w:tc>
          <w:tcPr>
            <w:tcW w:w="1155" w:type="dxa"/>
          </w:tcPr>
          <w:p w14:paraId="42C03900" w14:textId="449DB207" w:rsidR="00E26450" w:rsidRPr="005379A1" w:rsidRDefault="00C95589">
            <w:pPr>
              <w:jc w:val="center"/>
              <w:rPr>
                <w:rFonts w:ascii="ITC Avant Garde" w:hAnsi="ITC Avant Garde" w:cs="Arial"/>
                <w:sz w:val="16"/>
                <w:szCs w:val="16"/>
              </w:rPr>
            </w:pPr>
            <w:r w:rsidRPr="005379A1">
              <w:rPr>
                <w:rFonts w:ascii="ITC Avant Garde" w:hAnsi="ITC Avant Garde" w:cs="Arial"/>
                <w:sz w:val="16"/>
                <w:szCs w:val="16"/>
              </w:rPr>
              <w:t>809.250</w:t>
            </w:r>
          </w:p>
        </w:tc>
        <w:tc>
          <w:tcPr>
            <w:tcW w:w="1230" w:type="dxa"/>
          </w:tcPr>
          <w:p w14:paraId="63578373" w14:textId="6CD988A9" w:rsidR="00E26450" w:rsidRPr="005379A1" w:rsidRDefault="00C95589">
            <w:pPr>
              <w:jc w:val="center"/>
              <w:rPr>
                <w:rFonts w:ascii="ITC Avant Garde" w:hAnsi="ITC Avant Garde" w:cs="Arial"/>
                <w:sz w:val="16"/>
                <w:szCs w:val="16"/>
              </w:rPr>
            </w:pPr>
            <w:r w:rsidRPr="005379A1">
              <w:rPr>
                <w:rFonts w:ascii="ITC Avant Garde" w:hAnsi="ITC Avant Garde" w:cs="Arial"/>
                <w:sz w:val="16"/>
                <w:szCs w:val="16"/>
              </w:rPr>
              <w:t>854.250</w:t>
            </w:r>
          </w:p>
        </w:tc>
      </w:tr>
      <w:tr w:rsidR="00E26450" w:rsidRPr="005379A1" w14:paraId="74288D23" w14:textId="77777777" w:rsidTr="001F6930">
        <w:trPr>
          <w:trHeight w:val="22"/>
          <w:jc w:val="center"/>
        </w:trPr>
        <w:tc>
          <w:tcPr>
            <w:tcW w:w="1155" w:type="dxa"/>
          </w:tcPr>
          <w:p w14:paraId="45A28F4D" w14:textId="667A9C75" w:rsidR="00E26450" w:rsidRPr="005379A1" w:rsidRDefault="00C95589">
            <w:pPr>
              <w:jc w:val="center"/>
              <w:rPr>
                <w:rFonts w:ascii="ITC Avant Garde" w:hAnsi="ITC Avant Garde" w:cs="Arial"/>
                <w:sz w:val="16"/>
                <w:szCs w:val="16"/>
              </w:rPr>
            </w:pPr>
            <w:r w:rsidRPr="005379A1">
              <w:rPr>
                <w:rFonts w:ascii="ITC Avant Garde" w:hAnsi="ITC Avant Garde" w:cs="Arial"/>
                <w:sz w:val="16"/>
                <w:szCs w:val="16"/>
              </w:rPr>
              <w:t>810.250</w:t>
            </w:r>
          </w:p>
        </w:tc>
        <w:tc>
          <w:tcPr>
            <w:tcW w:w="1230" w:type="dxa"/>
          </w:tcPr>
          <w:p w14:paraId="08605EFC" w14:textId="2D84F1B6" w:rsidR="00E26450" w:rsidRPr="005379A1" w:rsidRDefault="00C95589">
            <w:pPr>
              <w:jc w:val="center"/>
              <w:rPr>
                <w:rFonts w:ascii="ITC Avant Garde" w:hAnsi="ITC Avant Garde" w:cs="Arial"/>
                <w:sz w:val="16"/>
                <w:szCs w:val="16"/>
              </w:rPr>
            </w:pPr>
            <w:r w:rsidRPr="005379A1">
              <w:rPr>
                <w:rFonts w:ascii="ITC Avant Garde" w:hAnsi="ITC Avant Garde" w:cs="Arial"/>
                <w:sz w:val="16"/>
                <w:szCs w:val="16"/>
              </w:rPr>
              <w:t>855.250</w:t>
            </w:r>
          </w:p>
        </w:tc>
      </w:tr>
    </w:tbl>
    <w:p w14:paraId="5DD1436F" w14:textId="77777777" w:rsidR="001C6AEE" w:rsidRPr="005379A1" w:rsidRDefault="00280782" w:rsidP="005379A1">
      <w:pPr>
        <w:numPr>
          <w:ilvl w:val="0"/>
          <w:numId w:val="1"/>
        </w:numPr>
        <w:spacing w:before="240" w:after="240"/>
        <w:jc w:val="both"/>
        <w:rPr>
          <w:rFonts w:ascii="ITC Avant Garde" w:eastAsia="Calibri" w:hAnsi="ITC Avant Garde"/>
          <w:b/>
          <w:bCs/>
          <w:color w:val="000000"/>
          <w:sz w:val="22"/>
          <w:szCs w:val="22"/>
          <w:lang w:eastAsia="es-MX"/>
        </w:rPr>
      </w:pPr>
      <w:r w:rsidRPr="005379A1">
        <w:rPr>
          <w:rFonts w:ascii="ITC Avant Garde" w:eastAsia="Calibri" w:hAnsi="ITC Avant Garde"/>
          <w:b/>
          <w:bCs/>
          <w:color w:val="000000"/>
          <w:sz w:val="22"/>
          <w:szCs w:val="22"/>
          <w:lang w:eastAsia="es-MX"/>
        </w:rPr>
        <w:t>Asignaciones de frecuencias adicionales.</w:t>
      </w:r>
    </w:p>
    <w:p w14:paraId="7CE6ED82" w14:textId="77777777" w:rsidR="001C6AEE" w:rsidRPr="005379A1" w:rsidRDefault="00280782" w:rsidP="005379A1">
      <w:pPr>
        <w:pStyle w:val="Prrafodelista"/>
        <w:numPr>
          <w:ilvl w:val="0"/>
          <w:numId w:val="43"/>
        </w:numPr>
        <w:spacing w:after="240"/>
        <w:ind w:left="1134" w:hanging="567"/>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Con oficio 114.6</w:t>
      </w:r>
      <w:r w:rsidR="006616C0" w:rsidRPr="005379A1">
        <w:rPr>
          <w:rFonts w:ascii="ITC Avant Garde" w:eastAsia="Calibri" w:hAnsi="ITC Avant Garde"/>
          <w:bCs/>
          <w:color w:val="000000"/>
          <w:sz w:val="22"/>
          <w:szCs w:val="22"/>
          <w:lang w:eastAsia="es-MX"/>
        </w:rPr>
        <w:t>345</w:t>
      </w:r>
      <w:r w:rsidRPr="005379A1">
        <w:rPr>
          <w:rFonts w:ascii="ITC Avant Garde" w:eastAsia="Calibri" w:hAnsi="ITC Avant Garde"/>
          <w:bCs/>
          <w:color w:val="000000"/>
          <w:sz w:val="22"/>
          <w:szCs w:val="22"/>
          <w:lang w:eastAsia="es-MX"/>
        </w:rPr>
        <w:t xml:space="preserve"> de fecha </w:t>
      </w:r>
      <w:r w:rsidR="006616C0" w:rsidRPr="005379A1">
        <w:rPr>
          <w:rFonts w:ascii="ITC Avant Garde" w:eastAsia="Calibri" w:hAnsi="ITC Avant Garde"/>
          <w:bCs/>
          <w:color w:val="000000"/>
          <w:sz w:val="22"/>
          <w:szCs w:val="22"/>
          <w:lang w:eastAsia="es-MX"/>
        </w:rPr>
        <w:t>28</w:t>
      </w:r>
      <w:r w:rsidRPr="005379A1">
        <w:rPr>
          <w:rFonts w:ascii="ITC Avant Garde" w:eastAsia="Calibri" w:hAnsi="ITC Avant Garde"/>
          <w:bCs/>
          <w:color w:val="000000"/>
          <w:sz w:val="22"/>
          <w:szCs w:val="22"/>
          <w:lang w:eastAsia="es-MX"/>
        </w:rPr>
        <w:t xml:space="preserve"> de </w:t>
      </w:r>
      <w:r w:rsidR="006616C0" w:rsidRPr="005379A1">
        <w:rPr>
          <w:rFonts w:ascii="ITC Avant Garde" w:eastAsia="Calibri" w:hAnsi="ITC Avant Garde"/>
          <w:bCs/>
          <w:color w:val="000000"/>
          <w:sz w:val="22"/>
          <w:szCs w:val="22"/>
          <w:lang w:eastAsia="es-MX"/>
        </w:rPr>
        <w:t>noviembre</w:t>
      </w:r>
      <w:r w:rsidRPr="005379A1">
        <w:rPr>
          <w:rFonts w:ascii="ITC Avant Garde" w:eastAsia="Calibri" w:hAnsi="ITC Avant Garde"/>
          <w:bCs/>
          <w:color w:val="000000"/>
          <w:sz w:val="22"/>
          <w:szCs w:val="22"/>
          <w:lang w:eastAsia="es-MX"/>
        </w:rPr>
        <w:t xml:space="preserve"> de 1994, la Secretaría</w:t>
      </w:r>
      <w:r w:rsidR="00B05B7D" w:rsidRPr="005379A1">
        <w:rPr>
          <w:rFonts w:ascii="ITC Avant Garde" w:eastAsia="Calibri" w:hAnsi="ITC Avant Garde"/>
          <w:bCs/>
          <w:color w:val="000000"/>
          <w:sz w:val="22"/>
          <w:szCs w:val="22"/>
          <w:lang w:eastAsia="es-MX"/>
        </w:rPr>
        <w:t xml:space="preserve">, a través de la Dirección General de Políticas y Normas de Comunicaciones, </w:t>
      </w:r>
      <w:r w:rsidRPr="005379A1">
        <w:rPr>
          <w:rFonts w:ascii="ITC Avant Garde" w:eastAsia="Calibri" w:hAnsi="ITC Avant Garde"/>
          <w:bCs/>
          <w:color w:val="000000"/>
          <w:sz w:val="22"/>
          <w:szCs w:val="22"/>
          <w:lang w:eastAsia="es-MX"/>
        </w:rPr>
        <w:t xml:space="preserve">autorizó a Intercomunicación del Pacífico a instalar y operar 5 (cinco) </w:t>
      </w:r>
      <w:r w:rsidR="009630DD" w:rsidRPr="005379A1">
        <w:rPr>
          <w:rFonts w:ascii="ITC Avant Garde" w:eastAsia="Calibri" w:hAnsi="ITC Avant Garde"/>
          <w:bCs/>
          <w:color w:val="000000"/>
          <w:sz w:val="22"/>
          <w:szCs w:val="22"/>
          <w:lang w:eastAsia="es-MX"/>
        </w:rPr>
        <w:t xml:space="preserve">circuitos </w:t>
      </w:r>
      <w:r w:rsidRPr="005379A1">
        <w:rPr>
          <w:rFonts w:ascii="ITC Avant Garde" w:eastAsia="Calibri" w:hAnsi="ITC Avant Garde"/>
          <w:bCs/>
          <w:color w:val="000000"/>
          <w:sz w:val="22"/>
          <w:szCs w:val="22"/>
          <w:lang w:eastAsia="es-MX"/>
        </w:rPr>
        <w:t xml:space="preserve">adicionales </w:t>
      </w:r>
      <w:r w:rsidR="0068782D" w:rsidRPr="005379A1">
        <w:rPr>
          <w:rFonts w:ascii="ITC Avant Garde" w:eastAsia="Calibri" w:hAnsi="ITC Avant Garde"/>
          <w:bCs/>
          <w:color w:val="000000"/>
          <w:sz w:val="22"/>
          <w:szCs w:val="22"/>
          <w:lang w:eastAsia="es-MX"/>
        </w:rPr>
        <w:t xml:space="preserve">en el tramo carretero México – </w:t>
      </w:r>
      <w:r w:rsidR="009630DD" w:rsidRPr="005379A1">
        <w:rPr>
          <w:rFonts w:ascii="ITC Avant Garde" w:hAnsi="ITC Avant Garde"/>
          <w:bCs/>
          <w:color w:val="000000"/>
          <w:sz w:val="22"/>
          <w:szCs w:val="22"/>
          <w:lang w:val="es-ES" w:eastAsia="es-MX"/>
        </w:rPr>
        <w:t>San Juan del Río</w:t>
      </w:r>
      <w:r w:rsidR="009630DD" w:rsidRPr="005379A1">
        <w:rPr>
          <w:rFonts w:ascii="ITC Avant Garde" w:eastAsia="Calibri" w:hAnsi="ITC Avant Garde"/>
          <w:bCs/>
          <w:color w:val="000000"/>
          <w:sz w:val="22"/>
          <w:szCs w:val="22"/>
          <w:lang w:eastAsia="es-MX"/>
        </w:rPr>
        <w:t xml:space="preserve"> – </w:t>
      </w:r>
      <w:r w:rsidR="0068782D" w:rsidRPr="005379A1">
        <w:rPr>
          <w:rFonts w:ascii="ITC Avant Garde" w:eastAsia="Calibri" w:hAnsi="ITC Avant Garde"/>
          <w:bCs/>
          <w:color w:val="000000"/>
          <w:sz w:val="22"/>
          <w:szCs w:val="22"/>
          <w:lang w:eastAsia="es-MX"/>
        </w:rPr>
        <w:t>Querétaro</w:t>
      </w:r>
      <w:r w:rsidR="009630DD" w:rsidRPr="005379A1">
        <w:rPr>
          <w:rFonts w:ascii="ITC Avant Garde" w:eastAsia="Calibri" w:hAnsi="ITC Avant Garde"/>
          <w:bCs/>
          <w:color w:val="000000"/>
          <w:sz w:val="22"/>
          <w:szCs w:val="22"/>
          <w:lang w:eastAsia="es-MX"/>
        </w:rPr>
        <w:t xml:space="preserve"> (57)</w:t>
      </w:r>
      <w:r w:rsidR="0068782D" w:rsidRPr="005379A1">
        <w:rPr>
          <w:rFonts w:ascii="ITC Avant Garde" w:eastAsia="Calibri" w:hAnsi="ITC Avant Garde"/>
          <w:bCs/>
          <w:color w:val="000000"/>
          <w:sz w:val="22"/>
          <w:szCs w:val="22"/>
          <w:lang w:eastAsia="es-MX"/>
        </w:rPr>
        <w:t xml:space="preserve">, mismos </w:t>
      </w:r>
      <w:r w:rsidRPr="005379A1">
        <w:rPr>
          <w:rFonts w:ascii="ITC Avant Garde" w:eastAsia="Calibri" w:hAnsi="ITC Avant Garde"/>
          <w:bCs/>
          <w:color w:val="000000"/>
          <w:sz w:val="22"/>
          <w:szCs w:val="22"/>
          <w:lang w:eastAsia="es-MX"/>
        </w:rPr>
        <w:t>que se mencionan a continuación</w:t>
      </w:r>
      <w:r w:rsidR="006616C0" w:rsidRPr="005379A1">
        <w:rPr>
          <w:rFonts w:ascii="ITC Avant Garde" w:eastAsia="Calibri" w:hAnsi="ITC Avant Garde"/>
          <w:bCs/>
          <w:color w:val="000000"/>
          <w:sz w:val="22"/>
          <w:szCs w:val="22"/>
          <w:lang w:eastAsia="es-MX"/>
        </w:rPr>
        <w:t>:</w:t>
      </w:r>
    </w:p>
    <w:p w14:paraId="29E03879" w14:textId="4014E6CC" w:rsidR="00280782" w:rsidRPr="005379A1" w:rsidRDefault="006616C0" w:rsidP="005379A1">
      <w:pPr>
        <w:pStyle w:val="Prrafodelista"/>
        <w:spacing w:after="240"/>
        <w:ind w:left="1134"/>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México, D.F.:</w:t>
      </w:r>
    </w:p>
    <w:p w14:paraId="19E3505B" w14:textId="2EA21C22" w:rsidR="00280782" w:rsidRPr="005379A1" w:rsidRDefault="001F6930" w:rsidP="001F6930">
      <w:pPr>
        <w:pStyle w:val="Prrafodelista"/>
        <w:ind w:left="0"/>
        <w:jc w:val="center"/>
        <w:rPr>
          <w:rFonts w:ascii="ITC Avant Garde" w:eastAsia="Calibri" w:hAnsi="ITC Avant Garde"/>
          <w:bCs/>
          <w:color w:val="000000"/>
          <w:sz w:val="22"/>
          <w:szCs w:val="22"/>
          <w:lang w:eastAsia="es-MX"/>
        </w:rPr>
      </w:pPr>
      <w:r w:rsidRPr="005379A1">
        <w:rPr>
          <w:rFonts w:ascii="ITC Avant Garde" w:hAnsi="ITC Avant Garde" w:cs="Arial"/>
          <w:b/>
          <w:sz w:val="16"/>
          <w:szCs w:val="16"/>
        </w:rPr>
        <w:t>GRUPO 6 C: SERIE 26 C</w:t>
      </w:r>
    </w:p>
    <w:tbl>
      <w:tblPr>
        <w:tblStyle w:val="Cuadrculadetablaclara"/>
        <w:tblW w:w="2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upo 6C"/>
        <w:tblDescription w:val="La tabla proporciona información de la serie 26C para RX y TX en MHz."/>
      </w:tblPr>
      <w:tblGrid>
        <w:gridCol w:w="1155"/>
        <w:gridCol w:w="1230"/>
      </w:tblGrid>
      <w:tr w:rsidR="006616C0" w:rsidRPr="005379A1" w14:paraId="37FA8337" w14:textId="77777777" w:rsidTr="005379A1">
        <w:trPr>
          <w:trHeight w:val="184"/>
          <w:tblHeader/>
          <w:jc w:val="center"/>
        </w:trPr>
        <w:tc>
          <w:tcPr>
            <w:tcW w:w="1155" w:type="dxa"/>
          </w:tcPr>
          <w:p w14:paraId="1A3553B3" w14:textId="77777777" w:rsidR="006616C0" w:rsidRPr="005379A1" w:rsidRDefault="006616C0" w:rsidP="000521B0">
            <w:pPr>
              <w:jc w:val="center"/>
              <w:rPr>
                <w:rFonts w:ascii="ITC Avant Garde" w:hAnsi="ITC Avant Garde" w:cs="Arial"/>
                <w:b/>
                <w:sz w:val="16"/>
                <w:szCs w:val="16"/>
              </w:rPr>
            </w:pPr>
            <w:proofErr w:type="spellStart"/>
            <w:r w:rsidRPr="005379A1">
              <w:rPr>
                <w:rFonts w:ascii="ITC Avant Garde" w:hAnsi="ITC Avant Garde" w:cs="Arial"/>
                <w:b/>
                <w:sz w:val="16"/>
                <w:szCs w:val="16"/>
              </w:rPr>
              <w:t>Rx</w:t>
            </w:r>
            <w:proofErr w:type="spellEnd"/>
            <w:r w:rsidRPr="005379A1">
              <w:rPr>
                <w:rFonts w:ascii="ITC Avant Garde" w:hAnsi="ITC Avant Garde" w:cs="Arial"/>
                <w:b/>
                <w:sz w:val="16"/>
                <w:szCs w:val="16"/>
              </w:rPr>
              <w:t xml:space="preserve"> (MHz)</w:t>
            </w:r>
          </w:p>
        </w:tc>
        <w:tc>
          <w:tcPr>
            <w:tcW w:w="1230" w:type="dxa"/>
          </w:tcPr>
          <w:p w14:paraId="0AD8BDEA" w14:textId="77777777" w:rsidR="006616C0" w:rsidRPr="005379A1" w:rsidRDefault="006616C0" w:rsidP="000521B0">
            <w:pPr>
              <w:jc w:val="center"/>
              <w:rPr>
                <w:rFonts w:ascii="ITC Avant Garde" w:hAnsi="ITC Avant Garde" w:cs="Arial"/>
                <w:b/>
                <w:sz w:val="16"/>
                <w:szCs w:val="16"/>
              </w:rPr>
            </w:pPr>
            <w:proofErr w:type="spellStart"/>
            <w:r w:rsidRPr="005379A1">
              <w:rPr>
                <w:rFonts w:ascii="ITC Avant Garde" w:hAnsi="ITC Avant Garde" w:cs="Arial"/>
                <w:b/>
                <w:sz w:val="16"/>
                <w:szCs w:val="16"/>
              </w:rPr>
              <w:t>Tx</w:t>
            </w:r>
            <w:proofErr w:type="spellEnd"/>
            <w:r w:rsidRPr="005379A1">
              <w:rPr>
                <w:rFonts w:ascii="ITC Avant Garde" w:hAnsi="ITC Avant Garde" w:cs="Arial"/>
                <w:b/>
                <w:sz w:val="16"/>
                <w:szCs w:val="16"/>
              </w:rPr>
              <w:t xml:space="preserve"> (MHz)</w:t>
            </w:r>
          </w:p>
        </w:tc>
      </w:tr>
      <w:tr w:rsidR="006616C0" w:rsidRPr="005379A1" w14:paraId="5D4119D3" w14:textId="77777777" w:rsidTr="001F6930">
        <w:trPr>
          <w:trHeight w:val="177"/>
          <w:jc w:val="center"/>
        </w:trPr>
        <w:tc>
          <w:tcPr>
            <w:tcW w:w="1155" w:type="dxa"/>
          </w:tcPr>
          <w:p w14:paraId="20889A37" w14:textId="1C3A7C08" w:rsidR="006616C0" w:rsidRPr="005379A1" w:rsidRDefault="006616C0" w:rsidP="008A4E26">
            <w:pPr>
              <w:jc w:val="center"/>
              <w:rPr>
                <w:rFonts w:ascii="ITC Avant Garde" w:hAnsi="ITC Avant Garde" w:cs="Arial"/>
                <w:sz w:val="16"/>
                <w:szCs w:val="16"/>
              </w:rPr>
            </w:pPr>
            <w:r w:rsidRPr="005379A1">
              <w:rPr>
                <w:rFonts w:ascii="ITC Avant Garde" w:hAnsi="ITC Avant Garde" w:cs="Arial"/>
                <w:sz w:val="16"/>
                <w:szCs w:val="16"/>
              </w:rPr>
              <w:t>806.</w:t>
            </w:r>
            <w:r w:rsidR="008A4E26" w:rsidRPr="005379A1">
              <w:rPr>
                <w:rFonts w:ascii="ITC Avant Garde" w:hAnsi="ITC Avant Garde" w:cs="Arial"/>
                <w:sz w:val="16"/>
                <w:szCs w:val="16"/>
              </w:rPr>
              <w:t>6</w:t>
            </w:r>
            <w:r w:rsidRPr="005379A1">
              <w:rPr>
                <w:rFonts w:ascii="ITC Avant Garde" w:hAnsi="ITC Avant Garde" w:cs="Arial"/>
                <w:sz w:val="16"/>
                <w:szCs w:val="16"/>
              </w:rPr>
              <w:t>50</w:t>
            </w:r>
          </w:p>
        </w:tc>
        <w:tc>
          <w:tcPr>
            <w:tcW w:w="1230" w:type="dxa"/>
          </w:tcPr>
          <w:p w14:paraId="33910387" w14:textId="4CF89428" w:rsidR="006616C0" w:rsidRPr="005379A1" w:rsidRDefault="006616C0" w:rsidP="000521B0">
            <w:pPr>
              <w:jc w:val="center"/>
              <w:rPr>
                <w:rFonts w:ascii="ITC Avant Garde" w:hAnsi="ITC Avant Garde" w:cs="Arial"/>
                <w:sz w:val="16"/>
                <w:szCs w:val="16"/>
              </w:rPr>
            </w:pPr>
            <w:r w:rsidRPr="005379A1">
              <w:rPr>
                <w:rFonts w:ascii="ITC Avant Garde" w:hAnsi="ITC Avant Garde" w:cs="Arial"/>
                <w:sz w:val="16"/>
                <w:szCs w:val="16"/>
              </w:rPr>
              <w:t>851.</w:t>
            </w:r>
            <w:r w:rsidR="008A4E26" w:rsidRPr="005379A1">
              <w:rPr>
                <w:rFonts w:ascii="ITC Avant Garde" w:hAnsi="ITC Avant Garde" w:cs="Arial"/>
                <w:sz w:val="16"/>
                <w:szCs w:val="16"/>
              </w:rPr>
              <w:t>6</w:t>
            </w:r>
            <w:r w:rsidRPr="005379A1">
              <w:rPr>
                <w:rFonts w:ascii="ITC Avant Garde" w:hAnsi="ITC Avant Garde" w:cs="Arial"/>
                <w:sz w:val="16"/>
                <w:szCs w:val="16"/>
              </w:rPr>
              <w:t>50</w:t>
            </w:r>
          </w:p>
        </w:tc>
      </w:tr>
      <w:tr w:rsidR="006616C0" w:rsidRPr="005379A1" w14:paraId="3B2A2626" w14:textId="77777777" w:rsidTr="001F6930">
        <w:trPr>
          <w:trHeight w:val="140"/>
          <w:jc w:val="center"/>
        </w:trPr>
        <w:tc>
          <w:tcPr>
            <w:tcW w:w="1155" w:type="dxa"/>
          </w:tcPr>
          <w:p w14:paraId="25888DF1" w14:textId="5ACC0AE2" w:rsidR="006616C0" w:rsidRPr="005379A1" w:rsidRDefault="006616C0" w:rsidP="000521B0">
            <w:pPr>
              <w:jc w:val="center"/>
              <w:rPr>
                <w:rFonts w:ascii="ITC Avant Garde" w:hAnsi="ITC Avant Garde" w:cs="Arial"/>
                <w:sz w:val="16"/>
                <w:szCs w:val="16"/>
              </w:rPr>
            </w:pPr>
            <w:r w:rsidRPr="005379A1">
              <w:rPr>
                <w:rFonts w:ascii="ITC Avant Garde" w:hAnsi="ITC Avant Garde" w:cs="Arial"/>
                <w:sz w:val="16"/>
                <w:szCs w:val="16"/>
              </w:rPr>
              <w:t>807.</w:t>
            </w:r>
            <w:r w:rsidR="008A4E26" w:rsidRPr="005379A1">
              <w:rPr>
                <w:rFonts w:ascii="ITC Avant Garde" w:hAnsi="ITC Avant Garde" w:cs="Arial"/>
                <w:sz w:val="16"/>
                <w:szCs w:val="16"/>
              </w:rPr>
              <w:t>6</w:t>
            </w:r>
            <w:r w:rsidRPr="005379A1">
              <w:rPr>
                <w:rFonts w:ascii="ITC Avant Garde" w:hAnsi="ITC Avant Garde" w:cs="Arial"/>
                <w:sz w:val="16"/>
                <w:szCs w:val="16"/>
              </w:rPr>
              <w:t>50</w:t>
            </w:r>
          </w:p>
        </w:tc>
        <w:tc>
          <w:tcPr>
            <w:tcW w:w="1230" w:type="dxa"/>
          </w:tcPr>
          <w:p w14:paraId="02BA2BAC" w14:textId="1D9BF860" w:rsidR="006616C0" w:rsidRPr="005379A1" w:rsidRDefault="006616C0" w:rsidP="000521B0">
            <w:pPr>
              <w:jc w:val="center"/>
              <w:rPr>
                <w:rFonts w:ascii="ITC Avant Garde" w:hAnsi="ITC Avant Garde" w:cs="Arial"/>
                <w:sz w:val="16"/>
                <w:szCs w:val="16"/>
              </w:rPr>
            </w:pPr>
            <w:r w:rsidRPr="005379A1">
              <w:rPr>
                <w:rFonts w:ascii="ITC Avant Garde" w:hAnsi="ITC Avant Garde" w:cs="Arial"/>
                <w:sz w:val="16"/>
                <w:szCs w:val="16"/>
              </w:rPr>
              <w:t>852.</w:t>
            </w:r>
            <w:r w:rsidR="008A4E26" w:rsidRPr="005379A1">
              <w:rPr>
                <w:rFonts w:ascii="ITC Avant Garde" w:hAnsi="ITC Avant Garde" w:cs="Arial"/>
                <w:sz w:val="16"/>
                <w:szCs w:val="16"/>
              </w:rPr>
              <w:t>6</w:t>
            </w:r>
            <w:r w:rsidRPr="005379A1">
              <w:rPr>
                <w:rFonts w:ascii="ITC Avant Garde" w:hAnsi="ITC Avant Garde" w:cs="Arial"/>
                <w:sz w:val="16"/>
                <w:szCs w:val="16"/>
              </w:rPr>
              <w:t>50</w:t>
            </w:r>
          </w:p>
        </w:tc>
      </w:tr>
      <w:tr w:rsidR="006616C0" w:rsidRPr="005379A1" w14:paraId="442B8464" w14:textId="77777777" w:rsidTr="001F6930">
        <w:trPr>
          <w:trHeight w:val="119"/>
          <w:jc w:val="center"/>
        </w:trPr>
        <w:tc>
          <w:tcPr>
            <w:tcW w:w="1155" w:type="dxa"/>
          </w:tcPr>
          <w:p w14:paraId="5B065047" w14:textId="51BD781F" w:rsidR="006616C0" w:rsidRPr="005379A1" w:rsidRDefault="006616C0" w:rsidP="000521B0">
            <w:pPr>
              <w:jc w:val="center"/>
              <w:rPr>
                <w:rFonts w:ascii="ITC Avant Garde" w:hAnsi="ITC Avant Garde" w:cs="Arial"/>
                <w:sz w:val="16"/>
                <w:szCs w:val="16"/>
              </w:rPr>
            </w:pPr>
            <w:r w:rsidRPr="005379A1">
              <w:rPr>
                <w:rFonts w:ascii="ITC Avant Garde" w:hAnsi="ITC Avant Garde" w:cs="Arial"/>
                <w:sz w:val="16"/>
                <w:szCs w:val="16"/>
              </w:rPr>
              <w:t>808.</w:t>
            </w:r>
            <w:r w:rsidR="008A4E26" w:rsidRPr="005379A1">
              <w:rPr>
                <w:rFonts w:ascii="ITC Avant Garde" w:hAnsi="ITC Avant Garde" w:cs="Arial"/>
                <w:sz w:val="16"/>
                <w:szCs w:val="16"/>
              </w:rPr>
              <w:t>6</w:t>
            </w:r>
            <w:r w:rsidRPr="005379A1">
              <w:rPr>
                <w:rFonts w:ascii="ITC Avant Garde" w:hAnsi="ITC Avant Garde" w:cs="Arial"/>
                <w:sz w:val="16"/>
                <w:szCs w:val="16"/>
              </w:rPr>
              <w:t>50</w:t>
            </w:r>
          </w:p>
        </w:tc>
        <w:tc>
          <w:tcPr>
            <w:tcW w:w="1230" w:type="dxa"/>
          </w:tcPr>
          <w:p w14:paraId="1C42A7C9" w14:textId="698BE44B" w:rsidR="006616C0" w:rsidRPr="005379A1" w:rsidRDefault="006616C0" w:rsidP="000521B0">
            <w:pPr>
              <w:jc w:val="center"/>
              <w:rPr>
                <w:rFonts w:ascii="ITC Avant Garde" w:hAnsi="ITC Avant Garde" w:cs="Arial"/>
                <w:sz w:val="16"/>
                <w:szCs w:val="16"/>
              </w:rPr>
            </w:pPr>
            <w:r w:rsidRPr="005379A1">
              <w:rPr>
                <w:rFonts w:ascii="ITC Avant Garde" w:hAnsi="ITC Avant Garde" w:cs="Arial"/>
                <w:sz w:val="16"/>
                <w:szCs w:val="16"/>
              </w:rPr>
              <w:t>853.</w:t>
            </w:r>
            <w:r w:rsidR="008A4E26" w:rsidRPr="005379A1">
              <w:rPr>
                <w:rFonts w:ascii="ITC Avant Garde" w:hAnsi="ITC Avant Garde" w:cs="Arial"/>
                <w:sz w:val="16"/>
                <w:szCs w:val="16"/>
              </w:rPr>
              <w:t>6</w:t>
            </w:r>
            <w:r w:rsidRPr="005379A1">
              <w:rPr>
                <w:rFonts w:ascii="ITC Avant Garde" w:hAnsi="ITC Avant Garde" w:cs="Arial"/>
                <w:sz w:val="16"/>
                <w:szCs w:val="16"/>
              </w:rPr>
              <w:t>50</w:t>
            </w:r>
          </w:p>
        </w:tc>
      </w:tr>
      <w:tr w:rsidR="006616C0" w:rsidRPr="005379A1" w14:paraId="382BB9BC" w14:textId="77777777" w:rsidTr="001F6930">
        <w:trPr>
          <w:trHeight w:val="48"/>
          <w:jc w:val="center"/>
        </w:trPr>
        <w:tc>
          <w:tcPr>
            <w:tcW w:w="1155" w:type="dxa"/>
          </w:tcPr>
          <w:p w14:paraId="5482B6E9" w14:textId="22AF1A74" w:rsidR="006616C0" w:rsidRPr="005379A1" w:rsidRDefault="006616C0" w:rsidP="000521B0">
            <w:pPr>
              <w:jc w:val="center"/>
              <w:rPr>
                <w:rFonts w:ascii="ITC Avant Garde" w:hAnsi="ITC Avant Garde" w:cs="Arial"/>
                <w:sz w:val="16"/>
                <w:szCs w:val="16"/>
              </w:rPr>
            </w:pPr>
            <w:r w:rsidRPr="005379A1">
              <w:rPr>
                <w:rFonts w:ascii="ITC Avant Garde" w:hAnsi="ITC Avant Garde" w:cs="Arial"/>
                <w:sz w:val="16"/>
                <w:szCs w:val="16"/>
              </w:rPr>
              <w:t>809.</w:t>
            </w:r>
            <w:r w:rsidR="008A4E26" w:rsidRPr="005379A1">
              <w:rPr>
                <w:rFonts w:ascii="ITC Avant Garde" w:hAnsi="ITC Avant Garde" w:cs="Arial"/>
                <w:sz w:val="16"/>
                <w:szCs w:val="16"/>
              </w:rPr>
              <w:t>6</w:t>
            </w:r>
            <w:r w:rsidRPr="005379A1">
              <w:rPr>
                <w:rFonts w:ascii="ITC Avant Garde" w:hAnsi="ITC Avant Garde" w:cs="Arial"/>
                <w:sz w:val="16"/>
                <w:szCs w:val="16"/>
              </w:rPr>
              <w:t>50</w:t>
            </w:r>
          </w:p>
        </w:tc>
        <w:tc>
          <w:tcPr>
            <w:tcW w:w="1230" w:type="dxa"/>
          </w:tcPr>
          <w:p w14:paraId="35AFE688" w14:textId="4A6425A5" w:rsidR="006616C0" w:rsidRPr="005379A1" w:rsidRDefault="006616C0" w:rsidP="000521B0">
            <w:pPr>
              <w:jc w:val="center"/>
              <w:rPr>
                <w:rFonts w:ascii="ITC Avant Garde" w:hAnsi="ITC Avant Garde" w:cs="Arial"/>
                <w:sz w:val="16"/>
                <w:szCs w:val="16"/>
              </w:rPr>
            </w:pPr>
            <w:r w:rsidRPr="005379A1">
              <w:rPr>
                <w:rFonts w:ascii="ITC Avant Garde" w:hAnsi="ITC Avant Garde" w:cs="Arial"/>
                <w:sz w:val="16"/>
                <w:szCs w:val="16"/>
              </w:rPr>
              <w:t>854.</w:t>
            </w:r>
            <w:r w:rsidR="008A4E26" w:rsidRPr="005379A1">
              <w:rPr>
                <w:rFonts w:ascii="ITC Avant Garde" w:hAnsi="ITC Avant Garde" w:cs="Arial"/>
                <w:sz w:val="16"/>
                <w:szCs w:val="16"/>
              </w:rPr>
              <w:t>6</w:t>
            </w:r>
            <w:r w:rsidRPr="005379A1">
              <w:rPr>
                <w:rFonts w:ascii="ITC Avant Garde" w:hAnsi="ITC Avant Garde" w:cs="Arial"/>
                <w:sz w:val="16"/>
                <w:szCs w:val="16"/>
              </w:rPr>
              <w:t>50</w:t>
            </w:r>
          </w:p>
        </w:tc>
      </w:tr>
      <w:tr w:rsidR="006616C0" w:rsidRPr="005379A1" w14:paraId="4C7987DC" w14:textId="77777777" w:rsidTr="001F6930">
        <w:trPr>
          <w:trHeight w:val="22"/>
          <w:jc w:val="center"/>
        </w:trPr>
        <w:tc>
          <w:tcPr>
            <w:tcW w:w="1155" w:type="dxa"/>
          </w:tcPr>
          <w:p w14:paraId="00814255" w14:textId="55C63415" w:rsidR="006616C0" w:rsidRPr="005379A1" w:rsidRDefault="006616C0" w:rsidP="000521B0">
            <w:pPr>
              <w:jc w:val="center"/>
              <w:rPr>
                <w:rFonts w:ascii="ITC Avant Garde" w:hAnsi="ITC Avant Garde" w:cs="Arial"/>
                <w:sz w:val="16"/>
                <w:szCs w:val="16"/>
              </w:rPr>
            </w:pPr>
            <w:r w:rsidRPr="005379A1">
              <w:rPr>
                <w:rFonts w:ascii="ITC Avant Garde" w:hAnsi="ITC Avant Garde" w:cs="Arial"/>
                <w:sz w:val="16"/>
                <w:szCs w:val="16"/>
              </w:rPr>
              <w:t>810.</w:t>
            </w:r>
            <w:r w:rsidR="008A4E26" w:rsidRPr="005379A1">
              <w:rPr>
                <w:rFonts w:ascii="ITC Avant Garde" w:hAnsi="ITC Avant Garde" w:cs="Arial"/>
                <w:sz w:val="16"/>
                <w:szCs w:val="16"/>
              </w:rPr>
              <w:t>6</w:t>
            </w:r>
            <w:r w:rsidRPr="005379A1">
              <w:rPr>
                <w:rFonts w:ascii="ITC Avant Garde" w:hAnsi="ITC Avant Garde" w:cs="Arial"/>
                <w:sz w:val="16"/>
                <w:szCs w:val="16"/>
              </w:rPr>
              <w:t>50</w:t>
            </w:r>
          </w:p>
        </w:tc>
        <w:tc>
          <w:tcPr>
            <w:tcW w:w="1230" w:type="dxa"/>
          </w:tcPr>
          <w:p w14:paraId="79DA72F8" w14:textId="7DD1C71E" w:rsidR="006616C0" w:rsidRPr="005379A1" w:rsidRDefault="006616C0" w:rsidP="000521B0">
            <w:pPr>
              <w:jc w:val="center"/>
              <w:rPr>
                <w:rFonts w:ascii="ITC Avant Garde" w:hAnsi="ITC Avant Garde" w:cs="Arial"/>
                <w:sz w:val="16"/>
                <w:szCs w:val="16"/>
              </w:rPr>
            </w:pPr>
            <w:r w:rsidRPr="005379A1">
              <w:rPr>
                <w:rFonts w:ascii="ITC Avant Garde" w:hAnsi="ITC Avant Garde" w:cs="Arial"/>
                <w:sz w:val="16"/>
                <w:szCs w:val="16"/>
              </w:rPr>
              <w:t>855.</w:t>
            </w:r>
            <w:r w:rsidR="008A4E26" w:rsidRPr="005379A1">
              <w:rPr>
                <w:rFonts w:ascii="ITC Avant Garde" w:hAnsi="ITC Avant Garde" w:cs="Arial"/>
                <w:sz w:val="16"/>
                <w:szCs w:val="16"/>
              </w:rPr>
              <w:t>6</w:t>
            </w:r>
            <w:r w:rsidRPr="005379A1">
              <w:rPr>
                <w:rFonts w:ascii="ITC Avant Garde" w:hAnsi="ITC Avant Garde" w:cs="Arial"/>
                <w:sz w:val="16"/>
                <w:szCs w:val="16"/>
              </w:rPr>
              <w:t>50</w:t>
            </w:r>
          </w:p>
        </w:tc>
      </w:tr>
    </w:tbl>
    <w:p w14:paraId="495952CD" w14:textId="77777777" w:rsidR="006616C0" w:rsidRPr="005379A1" w:rsidRDefault="006616C0" w:rsidP="005379A1">
      <w:pPr>
        <w:pStyle w:val="Prrafodelista"/>
        <w:spacing w:after="240"/>
        <w:ind w:left="1134"/>
        <w:jc w:val="both"/>
        <w:rPr>
          <w:rFonts w:ascii="ITC Avant Garde" w:eastAsia="Calibri" w:hAnsi="ITC Avant Garde"/>
          <w:bCs/>
          <w:color w:val="000000"/>
          <w:sz w:val="22"/>
          <w:szCs w:val="22"/>
          <w:lang w:eastAsia="es-MX"/>
        </w:rPr>
      </w:pPr>
    </w:p>
    <w:p w14:paraId="746D1788" w14:textId="77777777" w:rsidR="001C6AEE" w:rsidRPr="005379A1" w:rsidRDefault="006616C0" w:rsidP="005379A1">
      <w:pPr>
        <w:pStyle w:val="Prrafodelista"/>
        <w:numPr>
          <w:ilvl w:val="0"/>
          <w:numId w:val="43"/>
        </w:numPr>
        <w:spacing w:after="240"/>
        <w:ind w:left="1134" w:hanging="567"/>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Con oficio 114.</w:t>
      </w:r>
      <w:r w:rsidR="00E002B8" w:rsidRPr="005379A1">
        <w:rPr>
          <w:rFonts w:ascii="ITC Avant Garde" w:eastAsia="Calibri" w:hAnsi="ITC Avant Garde"/>
          <w:bCs/>
          <w:color w:val="000000"/>
          <w:sz w:val="22"/>
          <w:szCs w:val="22"/>
          <w:lang w:eastAsia="es-MX"/>
        </w:rPr>
        <w:t>-</w:t>
      </w:r>
      <w:r w:rsidRPr="005379A1">
        <w:rPr>
          <w:rFonts w:ascii="ITC Avant Garde" w:eastAsia="Calibri" w:hAnsi="ITC Avant Garde"/>
          <w:bCs/>
          <w:color w:val="000000"/>
          <w:sz w:val="22"/>
          <w:szCs w:val="22"/>
          <w:lang w:eastAsia="es-MX"/>
        </w:rPr>
        <w:t>6664 de fecha 15 de diciembre de 1994, la Secretaría</w:t>
      </w:r>
      <w:r w:rsidR="00B05B7D" w:rsidRPr="005379A1">
        <w:rPr>
          <w:rFonts w:ascii="ITC Avant Garde" w:eastAsia="Calibri" w:hAnsi="ITC Avant Garde"/>
          <w:bCs/>
          <w:color w:val="000000"/>
          <w:sz w:val="22"/>
          <w:szCs w:val="22"/>
          <w:lang w:eastAsia="es-MX"/>
        </w:rPr>
        <w:t xml:space="preserve">, a través de la Dirección General de Políticas y Normas de Comunicaciones, </w:t>
      </w:r>
      <w:r w:rsidRPr="005379A1">
        <w:rPr>
          <w:rFonts w:ascii="ITC Avant Garde" w:eastAsia="Calibri" w:hAnsi="ITC Avant Garde"/>
          <w:bCs/>
          <w:color w:val="000000"/>
          <w:sz w:val="22"/>
          <w:szCs w:val="22"/>
          <w:lang w:eastAsia="es-MX"/>
        </w:rPr>
        <w:t xml:space="preserve">autorizó a Intercomunicación del Pacífico a instalar y operar 45 (cuarenta y cinco) </w:t>
      </w:r>
      <w:r w:rsidR="00CF2104" w:rsidRPr="005379A1">
        <w:rPr>
          <w:rFonts w:ascii="ITC Avant Garde" w:eastAsia="Calibri" w:hAnsi="ITC Avant Garde"/>
          <w:bCs/>
          <w:color w:val="000000"/>
          <w:sz w:val="22"/>
          <w:szCs w:val="22"/>
          <w:lang w:eastAsia="es-MX"/>
        </w:rPr>
        <w:t xml:space="preserve">circuitos adicionales en los </w:t>
      </w:r>
      <w:r w:rsidRPr="005379A1">
        <w:rPr>
          <w:rFonts w:ascii="ITC Avant Garde" w:eastAsia="Calibri" w:hAnsi="ITC Avant Garde"/>
          <w:bCs/>
          <w:color w:val="000000"/>
          <w:sz w:val="22"/>
          <w:szCs w:val="22"/>
          <w:lang w:eastAsia="es-MX"/>
        </w:rPr>
        <w:t>pares de frecuencias que se mencionan a continuación:</w:t>
      </w:r>
    </w:p>
    <w:p w14:paraId="3A28F38C" w14:textId="1D44D35B" w:rsidR="00E002B8" w:rsidRPr="005379A1" w:rsidRDefault="00E002B8" w:rsidP="005379A1">
      <w:pPr>
        <w:pStyle w:val="Prrafodelista"/>
        <w:spacing w:after="240"/>
        <w:ind w:left="1134"/>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Ruta México – Ciudad Juárez</w:t>
      </w:r>
    </w:p>
    <w:tbl>
      <w:tblPr>
        <w:tblStyle w:val="Cuadrculadetablaclara"/>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upo 3C"/>
        <w:tblDescription w:val="La tabla proporciona información de tres series (13C, 23C y 33C) para RX y TX en MHz."/>
      </w:tblPr>
      <w:tblGrid>
        <w:gridCol w:w="1038"/>
        <w:gridCol w:w="1008"/>
        <w:gridCol w:w="1008"/>
        <w:gridCol w:w="1008"/>
        <w:gridCol w:w="969"/>
        <w:gridCol w:w="969"/>
      </w:tblGrid>
      <w:tr w:rsidR="008A4E26" w:rsidRPr="005379A1" w14:paraId="6A3938E2" w14:textId="77777777" w:rsidTr="005379A1">
        <w:trPr>
          <w:trHeight w:val="30"/>
          <w:tblHeader/>
          <w:jc w:val="center"/>
        </w:trPr>
        <w:tc>
          <w:tcPr>
            <w:tcW w:w="6000" w:type="dxa"/>
            <w:gridSpan w:val="6"/>
          </w:tcPr>
          <w:p w14:paraId="71C9EA95" w14:textId="77777777" w:rsidR="008A4E26" w:rsidRPr="005379A1" w:rsidRDefault="008A4E26" w:rsidP="000521B0">
            <w:pPr>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GRUPO 3 C</w:t>
            </w:r>
          </w:p>
        </w:tc>
      </w:tr>
      <w:tr w:rsidR="008A4E26" w:rsidRPr="005379A1" w14:paraId="31ADFD7C" w14:textId="77777777" w:rsidTr="001F6930">
        <w:trPr>
          <w:trHeight w:val="22"/>
          <w:jc w:val="center"/>
        </w:trPr>
        <w:tc>
          <w:tcPr>
            <w:tcW w:w="2046" w:type="dxa"/>
            <w:gridSpan w:val="2"/>
          </w:tcPr>
          <w:p w14:paraId="30481F87" w14:textId="77777777" w:rsidR="008A4E26" w:rsidRPr="005379A1" w:rsidRDefault="008A4E26" w:rsidP="000521B0">
            <w:pPr>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SERIE 13 C</w:t>
            </w:r>
          </w:p>
        </w:tc>
        <w:tc>
          <w:tcPr>
            <w:tcW w:w="2016" w:type="dxa"/>
            <w:gridSpan w:val="2"/>
          </w:tcPr>
          <w:p w14:paraId="59EE4752" w14:textId="77777777" w:rsidR="008A4E26" w:rsidRPr="005379A1" w:rsidRDefault="008A4E26" w:rsidP="000521B0">
            <w:pPr>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SERIE 23 C</w:t>
            </w:r>
          </w:p>
        </w:tc>
        <w:tc>
          <w:tcPr>
            <w:tcW w:w="1938" w:type="dxa"/>
            <w:gridSpan w:val="2"/>
          </w:tcPr>
          <w:p w14:paraId="2533075B" w14:textId="46DA69AC" w:rsidR="008A4E26" w:rsidRPr="005379A1" w:rsidRDefault="008A4E26" w:rsidP="00FA5036">
            <w:pPr>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 xml:space="preserve">SERIE 33 </w:t>
            </w:r>
            <w:r w:rsidR="00E002B8" w:rsidRPr="005379A1">
              <w:rPr>
                <w:rFonts w:ascii="ITC Avant Garde" w:eastAsia="Calibri" w:hAnsi="ITC Avant Garde"/>
                <w:b/>
                <w:bCs/>
                <w:color w:val="000000"/>
                <w:sz w:val="16"/>
                <w:szCs w:val="16"/>
                <w:lang w:eastAsia="es-MX"/>
              </w:rPr>
              <w:t>C</w:t>
            </w:r>
          </w:p>
        </w:tc>
      </w:tr>
      <w:tr w:rsidR="008A4E26" w:rsidRPr="005379A1" w14:paraId="366597B3" w14:textId="77777777" w:rsidTr="001F6930">
        <w:trPr>
          <w:trHeight w:val="184"/>
          <w:jc w:val="center"/>
        </w:trPr>
        <w:tc>
          <w:tcPr>
            <w:tcW w:w="1038" w:type="dxa"/>
          </w:tcPr>
          <w:p w14:paraId="7AE24633" w14:textId="77777777" w:rsidR="008A4E26" w:rsidRPr="005379A1" w:rsidRDefault="008A4E26" w:rsidP="000521B0">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Rx</w:t>
            </w:r>
            <w:proofErr w:type="spellEnd"/>
            <w:r w:rsidRPr="005379A1">
              <w:rPr>
                <w:rFonts w:ascii="ITC Avant Garde" w:eastAsia="Calibri" w:hAnsi="ITC Avant Garde"/>
                <w:b/>
                <w:bCs/>
                <w:color w:val="000000"/>
                <w:sz w:val="16"/>
                <w:szCs w:val="16"/>
                <w:lang w:eastAsia="es-MX"/>
              </w:rPr>
              <w:t xml:space="preserve"> (MHz)</w:t>
            </w:r>
          </w:p>
        </w:tc>
        <w:tc>
          <w:tcPr>
            <w:tcW w:w="1008" w:type="dxa"/>
          </w:tcPr>
          <w:p w14:paraId="55AC0FA8" w14:textId="77777777" w:rsidR="008A4E26" w:rsidRPr="005379A1" w:rsidRDefault="008A4E26" w:rsidP="000521B0">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Tx</w:t>
            </w:r>
            <w:proofErr w:type="spellEnd"/>
            <w:r w:rsidRPr="005379A1">
              <w:rPr>
                <w:rFonts w:ascii="ITC Avant Garde" w:eastAsia="Calibri" w:hAnsi="ITC Avant Garde"/>
                <w:b/>
                <w:bCs/>
                <w:color w:val="000000"/>
                <w:sz w:val="16"/>
                <w:szCs w:val="16"/>
                <w:lang w:eastAsia="es-MX"/>
              </w:rPr>
              <w:t xml:space="preserve"> (MHz)</w:t>
            </w:r>
          </w:p>
        </w:tc>
        <w:tc>
          <w:tcPr>
            <w:tcW w:w="1008" w:type="dxa"/>
          </w:tcPr>
          <w:p w14:paraId="44E1870F" w14:textId="77777777" w:rsidR="008A4E26" w:rsidRPr="005379A1" w:rsidRDefault="008A4E26" w:rsidP="000521B0">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Rx</w:t>
            </w:r>
            <w:proofErr w:type="spellEnd"/>
            <w:r w:rsidRPr="005379A1">
              <w:rPr>
                <w:rFonts w:ascii="ITC Avant Garde" w:eastAsia="Calibri" w:hAnsi="ITC Avant Garde"/>
                <w:b/>
                <w:bCs/>
                <w:color w:val="000000"/>
                <w:sz w:val="16"/>
                <w:szCs w:val="16"/>
                <w:lang w:eastAsia="es-MX"/>
              </w:rPr>
              <w:t xml:space="preserve"> (MHz)</w:t>
            </w:r>
          </w:p>
        </w:tc>
        <w:tc>
          <w:tcPr>
            <w:tcW w:w="1008" w:type="dxa"/>
          </w:tcPr>
          <w:p w14:paraId="1B071AED" w14:textId="77777777" w:rsidR="008A4E26" w:rsidRPr="005379A1" w:rsidRDefault="008A4E26" w:rsidP="000521B0">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Tx</w:t>
            </w:r>
            <w:proofErr w:type="spellEnd"/>
            <w:r w:rsidRPr="005379A1">
              <w:rPr>
                <w:rFonts w:ascii="ITC Avant Garde" w:eastAsia="Calibri" w:hAnsi="ITC Avant Garde"/>
                <w:b/>
                <w:bCs/>
                <w:color w:val="000000"/>
                <w:sz w:val="16"/>
                <w:szCs w:val="16"/>
                <w:lang w:eastAsia="es-MX"/>
              </w:rPr>
              <w:t xml:space="preserve"> (MHz)</w:t>
            </w:r>
          </w:p>
        </w:tc>
        <w:tc>
          <w:tcPr>
            <w:tcW w:w="969" w:type="dxa"/>
          </w:tcPr>
          <w:p w14:paraId="7AA0ACB8" w14:textId="77777777" w:rsidR="008A4E26" w:rsidRPr="005379A1" w:rsidRDefault="008A4E26" w:rsidP="000521B0">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Rx</w:t>
            </w:r>
            <w:proofErr w:type="spellEnd"/>
            <w:r w:rsidRPr="005379A1">
              <w:rPr>
                <w:rFonts w:ascii="ITC Avant Garde" w:eastAsia="Calibri" w:hAnsi="ITC Avant Garde"/>
                <w:b/>
                <w:bCs/>
                <w:color w:val="000000"/>
                <w:sz w:val="16"/>
                <w:szCs w:val="16"/>
                <w:lang w:eastAsia="es-MX"/>
              </w:rPr>
              <w:t xml:space="preserve"> (MHz)</w:t>
            </w:r>
          </w:p>
        </w:tc>
        <w:tc>
          <w:tcPr>
            <w:tcW w:w="969" w:type="dxa"/>
          </w:tcPr>
          <w:p w14:paraId="010EF8A6" w14:textId="77777777" w:rsidR="008A4E26" w:rsidRPr="005379A1" w:rsidRDefault="008A4E26" w:rsidP="000521B0">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Tx</w:t>
            </w:r>
            <w:proofErr w:type="spellEnd"/>
            <w:r w:rsidRPr="005379A1">
              <w:rPr>
                <w:rFonts w:ascii="ITC Avant Garde" w:eastAsia="Calibri" w:hAnsi="ITC Avant Garde"/>
                <w:b/>
                <w:bCs/>
                <w:color w:val="000000"/>
                <w:sz w:val="16"/>
                <w:szCs w:val="16"/>
                <w:lang w:eastAsia="es-MX"/>
              </w:rPr>
              <w:t xml:space="preserve"> (MHz)</w:t>
            </w:r>
          </w:p>
        </w:tc>
      </w:tr>
      <w:tr w:rsidR="008A4E26" w:rsidRPr="005379A1" w14:paraId="5A40A0D8" w14:textId="77777777" w:rsidTr="001F6930">
        <w:trPr>
          <w:trHeight w:val="177"/>
          <w:jc w:val="center"/>
        </w:trPr>
        <w:tc>
          <w:tcPr>
            <w:tcW w:w="1038" w:type="dxa"/>
          </w:tcPr>
          <w:p w14:paraId="72798BFC"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806.325</w:t>
            </w:r>
          </w:p>
        </w:tc>
        <w:tc>
          <w:tcPr>
            <w:tcW w:w="1008" w:type="dxa"/>
          </w:tcPr>
          <w:p w14:paraId="3BFC45AC"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851.325</w:t>
            </w:r>
          </w:p>
        </w:tc>
        <w:tc>
          <w:tcPr>
            <w:tcW w:w="1008" w:type="dxa"/>
          </w:tcPr>
          <w:p w14:paraId="5809AC87"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806.575</w:t>
            </w:r>
          </w:p>
        </w:tc>
        <w:tc>
          <w:tcPr>
            <w:tcW w:w="1008" w:type="dxa"/>
          </w:tcPr>
          <w:p w14:paraId="062C971B"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851.575</w:t>
            </w:r>
          </w:p>
        </w:tc>
        <w:tc>
          <w:tcPr>
            <w:tcW w:w="969" w:type="dxa"/>
          </w:tcPr>
          <w:p w14:paraId="77AD9509"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806.825</w:t>
            </w:r>
          </w:p>
        </w:tc>
        <w:tc>
          <w:tcPr>
            <w:tcW w:w="969" w:type="dxa"/>
          </w:tcPr>
          <w:p w14:paraId="593B7D3E"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851.825</w:t>
            </w:r>
          </w:p>
        </w:tc>
      </w:tr>
      <w:tr w:rsidR="008A4E26" w:rsidRPr="005379A1" w14:paraId="02E7F091" w14:textId="77777777" w:rsidTr="001F6930">
        <w:trPr>
          <w:trHeight w:val="140"/>
          <w:jc w:val="center"/>
        </w:trPr>
        <w:tc>
          <w:tcPr>
            <w:tcW w:w="1038" w:type="dxa"/>
          </w:tcPr>
          <w:p w14:paraId="7C6758D4"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807.325</w:t>
            </w:r>
          </w:p>
        </w:tc>
        <w:tc>
          <w:tcPr>
            <w:tcW w:w="1008" w:type="dxa"/>
          </w:tcPr>
          <w:p w14:paraId="23C7BF78"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852.325</w:t>
            </w:r>
          </w:p>
        </w:tc>
        <w:tc>
          <w:tcPr>
            <w:tcW w:w="1008" w:type="dxa"/>
          </w:tcPr>
          <w:p w14:paraId="41091B36"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807.575</w:t>
            </w:r>
          </w:p>
        </w:tc>
        <w:tc>
          <w:tcPr>
            <w:tcW w:w="1008" w:type="dxa"/>
          </w:tcPr>
          <w:p w14:paraId="1565BE70"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852.575</w:t>
            </w:r>
          </w:p>
        </w:tc>
        <w:tc>
          <w:tcPr>
            <w:tcW w:w="969" w:type="dxa"/>
          </w:tcPr>
          <w:p w14:paraId="7B477DAA" w14:textId="4414BF41"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w:t>
            </w:r>
            <w:r w:rsidR="00CC5D30" w:rsidRPr="005379A1">
              <w:rPr>
                <w:rFonts w:ascii="ITC Avant Garde" w:eastAsia="Calibri" w:hAnsi="ITC Avant Garde"/>
                <w:bCs/>
                <w:color w:val="000000"/>
                <w:sz w:val="16"/>
                <w:szCs w:val="16"/>
                <w:lang w:eastAsia="es-MX"/>
              </w:rPr>
              <w:t>7</w:t>
            </w:r>
            <w:r w:rsidRPr="005379A1">
              <w:rPr>
                <w:rFonts w:ascii="ITC Avant Garde" w:eastAsia="Calibri" w:hAnsi="ITC Avant Garde"/>
                <w:bCs/>
                <w:color w:val="000000"/>
                <w:sz w:val="16"/>
                <w:szCs w:val="16"/>
                <w:lang w:eastAsia="es-MX"/>
              </w:rPr>
              <w:t>.825</w:t>
            </w:r>
          </w:p>
        </w:tc>
        <w:tc>
          <w:tcPr>
            <w:tcW w:w="969" w:type="dxa"/>
          </w:tcPr>
          <w:p w14:paraId="00ACDEB2"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852.825</w:t>
            </w:r>
          </w:p>
        </w:tc>
      </w:tr>
      <w:tr w:rsidR="008A4E26" w:rsidRPr="005379A1" w14:paraId="0BAB884D" w14:textId="77777777" w:rsidTr="001F6930">
        <w:trPr>
          <w:trHeight w:val="119"/>
          <w:jc w:val="center"/>
        </w:trPr>
        <w:tc>
          <w:tcPr>
            <w:tcW w:w="1038" w:type="dxa"/>
          </w:tcPr>
          <w:p w14:paraId="17048A00"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808.325</w:t>
            </w:r>
          </w:p>
        </w:tc>
        <w:tc>
          <w:tcPr>
            <w:tcW w:w="1008" w:type="dxa"/>
          </w:tcPr>
          <w:p w14:paraId="242EDE21" w14:textId="6AF9FD4C" w:rsidR="008A4E26" w:rsidRPr="005379A1" w:rsidRDefault="008A4E26" w:rsidP="00FA5036">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853.325</w:t>
            </w:r>
          </w:p>
        </w:tc>
        <w:tc>
          <w:tcPr>
            <w:tcW w:w="1008" w:type="dxa"/>
          </w:tcPr>
          <w:p w14:paraId="350C650E"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808.575</w:t>
            </w:r>
          </w:p>
        </w:tc>
        <w:tc>
          <w:tcPr>
            <w:tcW w:w="1008" w:type="dxa"/>
          </w:tcPr>
          <w:p w14:paraId="378D89BD"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853.575</w:t>
            </w:r>
          </w:p>
        </w:tc>
        <w:tc>
          <w:tcPr>
            <w:tcW w:w="969" w:type="dxa"/>
          </w:tcPr>
          <w:p w14:paraId="4BE9E9F8" w14:textId="137740E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w:t>
            </w:r>
            <w:r w:rsidR="00CC5D30" w:rsidRPr="005379A1">
              <w:rPr>
                <w:rFonts w:ascii="ITC Avant Garde" w:eastAsia="Calibri" w:hAnsi="ITC Avant Garde"/>
                <w:bCs/>
                <w:color w:val="000000"/>
                <w:sz w:val="16"/>
                <w:szCs w:val="16"/>
                <w:lang w:eastAsia="es-MX"/>
              </w:rPr>
              <w:t>8</w:t>
            </w:r>
            <w:r w:rsidRPr="005379A1">
              <w:rPr>
                <w:rFonts w:ascii="ITC Avant Garde" w:eastAsia="Calibri" w:hAnsi="ITC Avant Garde"/>
                <w:bCs/>
                <w:color w:val="000000"/>
                <w:sz w:val="16"/>
                <w:szCs w:val="16"/>
                <w:lang w:eastAsia="es-MX"/>
              </w:rPr>
              <w:t>.525</w:t>
            </w:r>
          </w:p>
        </w:tc>
        <w:tc>
          <w:tcPr>
            <w:tcW w:w="969" w:type="dxa"/>
          </w:tcPr>
          <w:p w14:paraId="67C1AA34"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853.825</w:t>
            </w:r>
          </w:p>
        </w:tc>
      </w:tr>
      <w:tr w:rsidR="008A4E26" w:rsidRPr="005379A1" w14:paraId="5FA7AD09" w14:textId="77777777" w:rsidTr="001F6930">
        <w:trPr>
          <w:trHeight w:val="48"/>
          <w:jc w:val="center"/>
        </w:trPr>
        <w:tc>
          <w:tcPr>
            <w:tcW w:w="1038" w:type="dxa"/>
          </w:tcPr>
          <w:p w14:paraId="4E98ABAB"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809.325</w:t>
            </w:r>
          </w:p>
        </w:tc>
        <w:tc>
          <w:tcPr>
            <w:tcW w:w="1008" w:type="dxa"/>
          </w:tcPr>
          <w:p w14:paraId="51FE93B7"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854.325</w:t>
            </w:r>
          </w:p>
        </w:tc>
        <w:tc>
          <w:tcPr>
            <w:tcW w:w="1008" w:type="dxa"/>
          </w:tcPr>
          <w:p w14:paraId="2E75B018"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809.575</w:t>
            </w:r>
          </w:p>
        </w:tc>
        <w:tc>
          <w:tcPr>
            <w:tcW w:w="1008" w:type="dxa"/>
          </w:tcPr>
          <w:p w14:paraId="73F14FAC"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854.575</w:t>
            </w:r>
          </w:p>
        </w:tc>
        <w:tc>
          <w:tcPr>
            <w:tcW w:w="969" w:type="dxa"/>
          </w:tcPr>
          <w:p w14:paraId="0B8A7A37" w14:textId="61018DCC" w:rsidR="008A4E26" w:rsidRPr="005379A1" w:rsidRDefault="008A4E26" w:rsidP="00FA5036">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w:t>
            </w:r>
            <w:r w:rsidR="00CC5D30" w:rsidRPr="005379A1">
              <w:rPr>
                <w:rFonts w:ascii="ITC Avant Garde" w:eastAsia="Calibri" w:hAnsi="ITC Avant Garde"/>
                <w:bCs/>
                <w:color w:val="000000"/>
                <w:sz w:val="16"/>
                <w:szCs w:val="16"/>
                <w:lang w:eastAsia="es-MX"/>
              </w:rPr>
              <w:t>9</w:t>
            </w:r>
            <w:r w:rsidRPr="005379A1">
              <w:rPr>
                <w:rFonts w:ascii="ITC Avant Garde" w:eastAsia="Calibri" w:hAnsi="ITC Avant Garde"/>
                <w:bCs/>
                <w:color w:val="000000"/>
                <w:sz w:val="16"/>
                <w:szCs w:val="16"/>
                <w:lang w:eastAsia="es-MX"/>
              </w:rPr>
              <w:t>.525</w:t>
            </w:r>
          </w:p>
        </w:tc>
        <w:tc>
          <w:tcPr>
            <w:tcW w:w="969" w:type="dxa"/>
          </w:tcPr>
          <w:p w14:paraId="5A7F45DA"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854.825</w:t>
            </w:r>
          </w:p>
        </w:tc>
      </w:tr>
      <w:tr w:rsidR="008A4E26" w:rsidRPr="005379A1" w14:paraId="6348A289" w14:textId="77777777" w:rsidTr="001F6930">
        <w:trPr>
          <w:trHeight w:val="22"/>
          <w:jc w:val="center"/>
        </w:trPr>
        <w:tc>
          <w:tcPr>
            <w:tcW w:w="1038" w:type="dxa"/>
          </w:tcPr>
          <w:p w14:paraId="3EA6213D"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810.325</w:t>
            </w:r>
          </w:p>
        </w:tc>
        <w:tc>
          <w:tcPr>
            <w:tcW w:w="1008" w:type="dxa"/>
          </w:tcPr>
          <w:p w14:paraId="0655FB61"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855.325</w:t>
            </w:r>
          </w:p>
        </w:tc>
        <w:tc>
          <w:tcPr>
            <w:tcW w:w="1008" w:type="dxa"/>
          </w:tcPr>
          <w:p w14:paraId="2B996007"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810.575</w:t>
            </w:r>
          </w:p>
        </w:tc>
        <w:tc>
          <w:tcPr>
            <w:tcW w:w="1008" w:type="dxa"/>
          </w:tcPr>
          <w:p w14:paraId="3605B154"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855.575</w:t>
            </w:r>
          </w:p>
        </w:tc>
        <w:tc>
          <w:tcPr>
            <w:tcW w:w="969" w:type="dxa"/>
          </w:tcPr>
          <w:p w14:paraId="1370B39E" w14:textId="13A9A793" w:rsidR="008A4E26" w:rsidRPr="005379A1" w:rsidRDefault="008A4E26" w:rsidP="00FA5036">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w:t>
            </w:r>
            <w:r w:rsidR="00CC5D30" w:rsidRPr="005379A1">
              <w:rPr>
                <w:rFonts w:ascii="ITC Avant Garde" w:eastAsia="Calibri" w:hAnsi="ITC Avant Garde"/>
                <w:bCs/>
                <w:color w:val="000000"/>
                <w:sz w:val="16"/>
                <w:szCs w:val="16"/>
                <w:lang w:eastAsia="es-MX"/>
              </w:rPr>
              <w:t>10</w:t>
            </w:r>
            <w:r w:rsidRPr="005379A1">
              <w:rPr>
                <w:rFonts w:ascii="ITC Avant Garde" w:eastAsia="Calibri" w:hAnsi="ITC Avant Garde"/>
                <w:bCs/>
                <w:color w:val="000000"/>
                <w:sz w:val="16"/>
                <w:szCs w:val="16"/>
                <w:lang w:eastAsia="es-MX"/>
              </w:rPr>
              <w:t>.525</w:t>
            </w:r>
          </w:p>
        </w:tc>
        <w:tc>
          <w:tcPr>
            <w:tcW w:w="969" w:type="dxa"/>
          </w:tcPr>
          <w:p w14:paraId="65A76E8A"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855.825</w:t>
            </w:r>
          </w:p>
        </w:tc>
      </w:tr>
    </w:tbl>
    <w:p w14:paraId="74904C04" w14:textId="77777777" w:rsidR="008A4E26" w:rsidRPr="005379A1" w:rsidRDefault="008A4E26" w:rsidP="008A4E26">
      <w:pPr>
        <w:pStyle w:val="Prrafodelista"/>
        <w:ind w:left="1134"/>
        <w:jc w:val="both"/>
        <w:rPr>
          <w:rFonts w:ascii="ITC Avant Garde" w:eastAsia="Calibri" w:hAnsi="ITC Avant Garde"/>
          <w:bCs/>
          <w:color w:val="000000"/>
          <w:sz w:val="22"/>
          <w:szCs w:val="22"/>
          <w:lang w:eastAsia="es-MX"/>
        </w:rPr>
      </w:pPr>
    </w:p>
    <w:tbl>
      <w:tblPr>
        <w:tblStyle w:val="Cuadrculadetablaclara"/>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upo 6C"/>
        <w:tblDescription w:val="La tabla proporciona información de tres series (16C, 26C y 36C) para RX y TX en MHz."/>
      </w:tblPr>
      <w:tblGrid>
        <w:gridCol w:w="1038"/>
        <w:gridCol w:w="1008"/>
        <w:gridCol w:w="1008"/>
        <w:gridCol w:w="1008"/>
        <w:gridCol w:w="969"/>
        <w:gridCol w:w="969"/>
      </w:tblGrid>
      <w:tr w:rsidR="008A4E26" w:rsidRPr="005379A1" w14:paraId="32B61C7D" w14:textId="77777777" w:rsidTr="005379A1">
        <w:trPr>
          <w:trHeight w:val="30"/>
          <w:tblHeader/>
          <w:jc w:val="center"/>
        </w:trPr>
        <w:tc>
          <w:tcPr>
            <w:tcW w:w="6000" w:type="dxa"/>
            <w:gridSpan w:val="6"/>
          </w:tcPr>
          <w:p w14:paraId="5EC12505" w14:textId="77777777" w:rsidR="008A4E26" w:rsidRPr="005379A1" w:rsidRDefault="008A4E26" w:rsidP="000521B0">
            <w:pPr>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GRUPO 6 C</w:t>
            </w:r>
          </w:p>
        </w:tc>
      </w:tr>
      <w:tr w:rsidR="008A4E26" w:rsidRPr="005379A1" w14:paraId="57C4D3AD" w14:textId="77777777" w:rsidTr="005379A1">
        <w:trPr>
          <w:trHeight w:val="22"/>
          <w:jc w:val="center"/>
        </w:trPr>
        <w:tc>
          <w:tcPr>
            <w:tcW w:w="2046" w:type="dxa"/>
            <w:gridSpan w:val="2"/>
          </w:tcPr>
          <w:p w14:paraId="0F6FC1ED" w14:textId="77777777" w:rsidR="008A4E26" w:rsidRPr="005379A1" w:rsidRDefault="008A4E26" w:rsidP="000521B0">
            <w:pPr>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SERIE 16 C</w:t>
            </w:r>
          </w:p>
        </w:tc>
        <w:tc>
          <w:tcPr>
            <w:tcW w:w="2016" w:type="dxa"/>
            <w:gridSpan w:val="2"/>
          </w:tcPr>
          <w:p w14:paraId="4D6F64C2" w14:textId="77777777" w:rsidR="008A4E26" w:rsidRPr="005379A1" w:rsidRDefault="008A4E26" w:rsidP="000521B0">
            <w:pPr>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SERIE 26 C</w:t>
            </w:r>
          </w:p>
        </w:tc>
        <w:tc>
          <w:tcPr>
            <w:tcW w:w="1938" w:type="dxa"/>
            <w:gridSpan w:val="2"/>
          </w:tcPr>
          <w:p w14:paraId="45794124" w14:textId="77777777" w:rsidR="008A4E26" w:rsidRPr="005379A1" w:rsidRDefault="008A4E26" w:rsidP="000521B0">
            <w:pPr>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SERIE 36 C</w:t>
            </w:r>
          </w:p>
        </w:tc>
      </w:tr>
      <w:tr w:rsidR="008A4E26" w:rsidRPr="005379A1" w14:paraId="24B76F25" w14:textId="77777777" w:rsidTr="005379A1">
        <w:trPr>
          <w:trHeight w:val="184"/>
          <w:jc w:val="center"/>
        </w:trPr>
        <w:tc>
          <w:tcPr>
            <w:tcW w:w="1038" w:type="dxa"/>
          </w:tcPr>
          <w:p w14:paraId="34F96645" w14:textId="77777777" w:rsidR="008A4E26" w:rsidRPr="005379A1" w:rsidRDefault="008A4E26" w:rsidP="000521B0">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lastRenderedPageBreak/>
              <w:t>Rx</w:t>
            </w:r>
            <w:proofErr w:type="spellEnd"/>
            <w:r w:rsidRPr="005379A1">
              <w:rPr>
                <w:rFonts w:ascii="ITC Avant Garde" w:eastAsia="Calibri" w:hAnsi="ITC Avant Garde"/>
                <w:b/>
                <w:bCs/>
                <w:color w:val="000000"/>
                <w:sz w:val="16"/>
                <w:szCs w:val="16"/>
                <w:lang w:eastAsia="es-MX"/>
              </w:rPr>
              <w:t xml:space="preserve"> (MHz)</w:t>
            </w:r>
          </w:p>
        </w:tc>
        <w:tc>
          <w:tcPr>
            <w:tcW w:w="1008" w:type="dxa"/>
          </w:tcPr>
          <w:p w14:paraId="5ED53769" w14:textId="77777777" w:rsidR="008A4E26" w:rsidRPr="005379A1" w:rsidRDefault="008A4E26" w:rsidP="000521B0">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Tx</w:t>
            </w:r>
            <w:proofErr w:type="spellEnd"/>
            <w:r w:rsidRPr="005379A1">
              <w:rPr>
                <w:rFonts w:ascii="ITC Avant Garde" w:eastAsia="Calibri" w:hAnsi="ITC Avant Garde"/>
                <w:b/>
                <w:bCs/>
                <w:color w:val="000000"/>
                <w:sz w:val="16"/>
                <w:szCs w:val="16"/>
                <w:lang w:eastAsia="es-MX"/>
              </w:rPr>
              <w:t xml:space="preserve"> (MHz)</w:t>
            </w:r>
          </w:p>
        </w:tc>
        <w:tc>
          <w:tcPr>
            <w:tcW w:w="1008" w:type="dxa"/>
          </w:tcPr>
          <w:p w14:paraId="34BBA8E3" w14:textId="77777777" w:rsidR="008A4E26" w:rsidRPr="005379A1" w:rsidRDefault="008A4E26" w:rsidP="000521B0">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Rx</w:t>
            </w:r>
            <w:proofErr w:type="spellEnd"/>
            <w:r w:rsidRPr="005379A1">
              <w:rPr>
                <w:rFonts w:ascii="ITC Avant Garde" w:eastAsia="Calibri" w:hAnsi="ITC Avant Garde"/>
                <w:b/>
                <w:bCs/>
                <w:color w:val="000000"/>
                <w:sz w:val="16"/>
                <w:szCs w:val="16"/>
                <w:lang w:eastAsia="es-MX"/>
              </w:rPr>
              <w:t xml:space="preserve"> (MHz)</w:t>
            </w:r>
          </w:p>
        </w:tc>
        <w:tc>
          <w:tcPr>
            <w:tcW w:w="1008" w:type="dxa"/>
          </w:tcPr>
          <w:p w14:paraId="1E4ADBF7" w14:textId="77777777" w:rsidR="008A4E26" w:rsidRPr="005379A1" w:rsidRDefault="008A4E26" w:rsidP="000521B0">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Tx</w:t>
            </w:r>
            <w:proofErr w:type="spellEnd"/>
            <w:r w:rsidRPr="005379A1">
              <w:rPr>
                <w:rFonts w:ascii="ITC Avant Garde" w:eastAsia="Calibri" w:hAnsi="ITC Avant Garde"/>
                <w:b/>
                <w:bCs/>
                <w:color w:val="000000"/>
                <w:sz w:val="16"/>
                <w:szCs w:val="16"/>
                <w:lang w:eastAsia="es-MX"/>
              </w:rPr>
              <w:t xml:space="preserve"> (MHz)</w:t>
            </w:r>
          </w:p>
        </w:tc>
        <w:tc>
          <w:tcPr>
            <w:tcW w:w="969" w:type="dxa"/>
          </w:tcPr>
          <w:p w14:paraId="38E561DB" w14:textId="77777777" w:rsidR="008A4E26" w:rsidRPr="005379A1" w:rsidRDefault="008A4E26" w:rsidP="000521B0">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Rx</w:t>
            </w:r>
            <w:proofErr w:type="spellEnd"/>
            <w:r w:rsidRPr="005379A1">
              <w:rPr>
                <w:rFonts w:ascii="ITC Avant Garde" w:eastAsia="Calibri" w:hAnsi="ITC Avant Garde"/>
                <w:b/>
                <w:bCs/>
                <w:color w:val="000000"/>
                <w:sz w:val="16"/>
                <w:szCs w:val="16"/>
                <w:lang w:eastAsia="es-MX"/>
              </w:rPr>
              <w:t xml:space="preserve"> (MHz)</w:t>
            </w:r>
          </w:p>
        </w:tc>
        <w:tc>
          <w:tcPr>
            <w:tcW w:w="969" w:type="dxa"/>
          </w:tcPr>
          <w:p w14:paraId="52E7E134" w14:textId="77777777" w:rsidR="008A4E26" w:rsidRPr="005379A1" w:rsidRDefault="008A4E26" w:rsidP="000521B0">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Tx</w:t>
            </w:r>
            <w:proofErr w:type="spellEnd"/>
            <w:r w:rsidRPr="005379A1">
              <w:rPr>
                <w:rFonts w:ascii="ITC Avant Garde" w:eastAsia="Calibri" w:hAnsi="ITC Avant Garde"/>
                <w:b/>
                <w:bCs/>
                <w:color w:val="000000"/>
                <w:sz w:val="16"/>
                <w:szCs w:val="16"/>
                <w:lang w:eastAsia="es-MX"/>
              </w:rPr>
              <w:t xml:space="preserve"> (MHz)</w:t>
            </w:r>
          </w:p>
        </w:tc>
      </w:tr>
      <w:tr w:rsidR="008A4E26" w:rsidRPr="005379A1" w14:paraId="1D26A3C4" w14:textId="77777777" w:rsidTr="005379A1">
        <w:trPr>
          <w:trHeight w:val="177"/>
          <w:jc w:val="center"/>
        </w:trPr>
        <w:tc>
          <w:tcPr>
            <w:tcW w:w="1038" w:type="dxa"/>
          </w:tcPr>
          <w:p w14:paraId="2C2F9D75"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806.400</w:t>
            </w:r>
          </w:p>
        </w:tc>
        <w:tc>
          <w:tcPr>
            <w:tcW w:w="1008" w:type="dxa"/>
          </w:tcPr>
          <w:p w14:paraId="39B86221"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851.400</w:t>
            </w:r>
          </w:p>
        </w:tc>
        <w:tc>
          <w:tcPr>
            <w:tcW w:w="1008" w:type="dxa"/>
          </w:tcPr>
          <w:p w14:paraId="7199508C"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806.650</w:t>
            </w:r>
          </w:p>
        </w:tc>
        <w:tc>
          <w:tcPr>
            <w:tcW w:w="1008" w:type="dxa"/>
          </w:tcPr>
          <w:p w14:paraId="21B3EC6B"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851.650</w:t>
            </w:r>
          </w:p>
        </w:tc>
        <w:tc>
          <w:tcPr>
            <w:tcW w:w="969" w:type="dxa"/>
          </w:tcPr>
          <w:p w14:paraId="0E818B88"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806.900</w:t>
            </w:r>
          </w:p>
        </w:tc>
        <w:tc>
          <w:tcPr>
            <w:tcW w:w="969" w:type="dxa"/>
          </w:tcPr>
          <w:p w14:paraId="1AD29EE6"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851.900</w:t>
            </w:r>
          </w:p>
        </w:tc>
      </w:tr>
      <w:tr w:rsidR="008A4E26" w:rsidRPr="005379A1" w14:paraId="44CB4135" w14:textId="77777777" w:rsidTr="005379A1">
        <w:trPr>
          <w:trHeight w:val="140"/>
          <w:jc w:val="center"/>
        </w:trPr>
        <w:tc>
          <w:tcPr>
            <w:tcW w:w="1038" w:type="dxa"/>
          </w:tcPr>
          <w:p w14:paraId="6E65513E"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807.400</w:t>
            </w:r>
          </w:p>
        </w:tc>
        <w:tc>
          <w:tcPr>
            <w:tcW w:w="1008" w:type="dxa"/>
          </w:tcPr>
          <w:p w14:paraId="3FEABCD2"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852.400</w:t>
            </w:r>
          </w:p>
        </w:tc>
        <w:tc>
          <w:tcPr>
            <w:tcW w:w="1008" w:type="dxa"/>
          </w:tcPr>
          <w:p w14:paraId="2B5AA386"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807.650</w:t>
            </w:r>
          </w:p>
        </w:tc>
        <w:tc>
          <w:tcPr>
            <w:tcW w:w="1008" w:type="dxa"/>
          </w:tcPr>
          <w:p w14:paraId="4F402059"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852.650</w:t>
            </w:r>
          </w:p>
        </w:tc>
        <w:tc>
          <w:tcPr>
            <w:tcW w:w="969" w:type="dxa"/>
          </w:tcPr>
          <w:p w14:paraId="6A25D9E9" w14:textId="2B6757F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807.900</w:t>
            </w:r>
          </w:p>
        </w:tc>
        <w:tc>
          <w:tcPr>
            <w:tcW w:w="969" w:type="dxa"/>
          </w:tcPr>
          <w:p w14:paraId="4925A8D8"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852.900</w:t>
            </w:r>
          </w:p>
        </w:tc>
      </w:tr>
      <w:tr w:rsidR="008A4E26" w:rsidRPr="005379A1" w14:paraId="0AB6AFC9" w14:textId="77777777" w:rsidTr="005379A1">
        <w:trPr>
          <w:trHeight w:val="119"/>
          <w:jc w:val="center"/>
        </w:trPr>
        <w:tc>
          <w:tcPr>
            <w:tcW w:w="1038" w:type="dxa"/>
          </w:tcPr>
          <w:p w14:paraId="449166D2"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808.400</w:t>
            </w:r>
          </w:p>
        </w:tc>
        <w:tc>
          <w:tcPr>
            <w:tcW w:w="1008" w:type="dxa"/>
          </w:tcPr>
          <w:p w14:paraId="19225498" w14:textId="6E8E6B6C"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853.400</w:t>
            </w:r>
          </w:p>
        </w:tc>
        <w:tc>
          <w:tcPr>
            <w:tcW w:w="1008" w:type="dxa"/>
          </w:tcPr>
          <w:p w14:paraId="5513F793"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808.650</w:t>
            </w:r>
          </w:p>
        </w:tc>
        <w:tc>
          <w:tcPr>
            <w:tcW w:w="1008" w:type="dxa"/>
          </w:tcPr>
          <w:p w14:paraId="7A0DB09E"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853.650</w:t>
            </w:r>
          </w:p>
        </w:tc>
        <w:tc>
          <w:tcPr>
            <w:tcW w:w="969" w:type="dxa"/>
          </w:tcPr>
          <w:p w14:paraId="7A3DA504" w14:textId="28BA7541"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808.900</w:t>
            </w:r>
          </w:p>
        </w:tc>
        <w:tc>
          <w:tcPr>
            <w:tcW w:w="969" w:type="dxa"/>
          </w:tcPr>
          <w:p w14:paraId="29F081F7"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853.900</w:t>
            </w:r>
          </w:p>
        </w:tc>
      </w:tr>
      <w:tr w:rsidR="008A4E26" w:rsidRPr="005379A1" w14:paraId="10B50433" w14:textId="77777777" w:rsidTr="005379A1">
        <w:trPr>
          <w:trHeight w:val="48"/>
          <w:jc w:val="center"/>
        </w:trPr>
        <w:tc>
          <w:tcPr>
            <w:tcW w:w="1038" w:type="dxa"/>
          </w:tcPr>
          <w:p w14:paraId="1D825756"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809.400</w:t>
            </w:r>
          </w:p>
        </w:tc>
        <w:tc>
          <w:tcPr>
            <w:tcW w:w="1008" w:type="dxa"/>
          </w:tcPr>
          <w:p w14:paraId="2C5D4341"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854.400</w:t>
            </w:r>
          </w:p>
        </w:tc>
        <w:tc>
          <w:tcPr>
            <w:tcW w:w="1008" w:type="dxa"/>
          </w:tcPr>
          <w:p w14:paraId="10E9D342"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809.650</w:t>
            </w:r>
          </w:p>
        </w:tc>
        <w:tc>
          <w:tcPr>
            <w:tcW w:w="1008" w:type="dxa"/>
          </w:tcPr>
          <w:p w14:paraId="755A38C1"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854.650</w:t>
            </w:r>
          </w:p>
        </w:tc>
        <w:tc>
          <w:tcPr>
            <w:tcW w:w="969" w:type="dxa"/>
          </w:tcPr>
          <w:p w14:paraId="214043A5" w14:textId="35A18412"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809.900</w:t>
            </w:r>
          </w:p>
        </w:tc>
        <w:tc>
          <w:tcPr>
            <w:tcW w:w="969" w:type="dxa"/>
          </w:tcPr>
          <w:p w14:paraId="396FCA6A"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854.900</w:t>
            </w:r>
          </w:p>
        </w:tc>
      </w:tr>
      <w:tr w:rsidR="008A4E26" w:rsidRPr="005379A1" w14:paraId="364A638B" w14:textId="77777777" w:rsidTr="005379A1">
        <w:trPr>
          <w:trHeight w:val="22"/>
          <w:jc w:val="center"/>
        </w:trPr>
        <w:tc>
          <w:tcPr>
            <w:tcW w:w="1038" w:type="dxa"/>
          </w:tcPr>
          <w:p w14:paraId="0B6EDB24"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810.400</w:t>
            </w:r>
          </w:p>
        </w:tc>
        <w:tc>
          <w:tcPr>
            <w:tcW w:w="1008" w:type="dxa"/>
          </w:tcPr>
          <w:p w14:paraId="36D9B9EA"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855.400</w:t>
            </w:r>
          </w:p>
        </w:tc>
        <w:tc>
          <w:tcPr>
            <w:tcW w:w="1008" w:type="dxa"/>
          </w:tcPr>
          <w:p w14:paraId="59BE0492"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810.650</w:t>
            </w:r>
          </w:p>
        </w:tc>
        <w:tc>
          <w:tcPr>
            <w:tcW w:w="1008" w:type="dxa"/>
          </w:tcPr>
          <w:p w14:paraId="69C24894"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855.650</w:t>
            </w:r>
          </w:p>
        </w:tc>
        <w:tc>
          <w:tcPr>
            <w:tcW w:w="969" w:type="dxa"/>
          </w:tcPr>
          <w:p w14:paraId="5D67330D" w14:textId="4271FBE3"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810.900</w:t>
            </w:r>
          </w:p>
        </w:tc>
        <w:tc>
          <w:tcPr>
            <w:tcW w:w="969" w:type="dxa"/>
          </w:tcPr>
          <w:p w14:paraId="5B1E5908" w14:textId="77777777" w:rsidR="008A4E26" w:rsidRPr="005379A1" w:rsidRDefault="008A4E26" w:rsidP="000521B0">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855.900</w:t>
            </w:r>
          </w:p>
        </w:tc>
      </w:tr>
    </w:tbl>
    <w:p w14:paraId="2C80311E" w14:textId="77777777" w:rsidR="00C95589" w:rsidRPr="005379A1" w:rsidRDefault="00C95589" w:rsidP="00DB6CDF">
      <w:pPr>
        <w:jc w:val="both"/>
        <w:rPr>
          <w:rFonts w:ascii="ITC Avant Garde" w:hAnsi="ITC Avant Garde"/>
          <w:bCs/>
          <w:color w:val="000000"/>
          <w:sz w:val="22"/>
          <w:szCs w:val="22"/>
          <w:lang w:val="es-ES" w:eastAsia="es-MX"/>
        </w:rPr>
      </w:pPr>
    </w:p>
    <w:p w14:paraId="2EEDDE58" w14:textId="705C4708" w:rsidR="00CC5D30" w:rsidRPr="005379A1" w:rsidRDefault="00CC5D30" w:rsidP="00CC5D30">
      <w:pPr>
        <w:pStyle w:val="Prrafodelista"/>
        <w:ind w:left="1134"/>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Ruta Guadalajara – Manzanillo</w:t>
      </w:r>
    </w:p>
    <w:p w14:paraId="7677B13A" w14:textId="77777777" w:rsidR="00CC5D30" w:rsidRPr="005379A1" w:rsidRDefault="00CC5D30" w:rsidP="00CC5D30">
      <w:pPr>
        <w:pStyle w:val="Prrafodelista"/>
        <w:ind w:left="1134"/>
        <w:jc w:val="both"/>
        <w:rPr>
          <w:rFonts w:ascii="ITC Avant Garde" w:eastAsia="Calibri" w:hAnsi="ITC Avant Garde"/>
          <w:bCs/>
          <w:color w:val="000000"/>
          <w:sz w:val="22"/>
          <w:szCs w:val="22"/>
          <w:lang w:eastAsia="es-MX"/>
        </w:rPr>
      </w:pPr>
    </w:p>
    <w:tbl>
      <w:tblPr>
        <w:tblStyle w:val="Cuadrculadetablaclara"/>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upo 10C"/>
        <w:tblDescription w:val="La tabla proporciona información de tres series (20C, 30C y 40C) para RX y TX en MHz."/>
      </w:tblPr>
      <w:tblGrid>
        <w:gridCol w:w="1038"/>
        <w:gridCol w:w="1008"/>
        <w:gridCol w:w="1008"/>
        <w:gridCol w:w="1008"/>
        <w:gridCol w:w="969"/>
        <w:gridCol w:w="969"/>
      </w:tblGrid>
      <w:tr w:rsidR="00CC5D30" w:rsidRPr="005379A1" w14:paraId="1C444567" w14:textId="77777777" w:rsidTr="005379A1">
        <w:trPr>
          <w:trHeight w:val="30"/>
          <w:tblHeader/>
          <w:jc w:val="center"/>
        </w:trPr>
        <w:tc>
          <w:tcPr>
            <w:tcW w:w="6000" w:type="dxa"/>
            <w:gridSpan w:val="6"/>
          </w:tcPr>
          <w:p w14:paraId="68D70769" w14:textId="7958BB30" w:rsidR="00CC5D30" w:rsidRPr="005379A1" w:rsidRDefault="00CC5D30" w:rsidP="00FA5036">
            <w:pPr>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GRUPO 10 C</w:t>
            </w:r>
          </w:p>
        </w:tc>
      </w:tr>
      <w:tr w:rsidR="00CC5D30" w:rsidRPr="005379A1" w14:paraId="701194C4" w14:textId="77777777" w:rsidTr="001F6930">
        <w:trPr>
          <w:trHeight w:val="22"/>
          <w:jc w:val="center"/>
        </w:trPr>
        <w:tc>
          <w:tcPr>
            <w:tcW w:w="2046" w:type="dxa"/>
            <w:gridSpan w:val="2"/>
          </w:tcPr>
          <w:p w14:paraId="0227365F" w14:textId="3BAF459A" w:rsidR="00CC5D30" w:rsidRPr="005379A1" w:rsidRDefault="00CC5D30" w:rsidP="00FA5036">
            <w:pPr>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SERIE 20 C</w:t>
            </w:r>
          </w:p>
        </w:tc>
        <w:tc>
          <w:tcPr>
            <w:tcW w:w="2016" w:type="dxa"/>
            <w:gridSpan w:val="2"/>
          </w:tcPr>
          <w:p w14:paraId="355D8599" w14:textId="70EA161D" w:rsidR="00CC5D30" w:rsidRPr="005379A1" w:rsidRDefault="00CC5D30" w:rsidP="00005855">
            <w:pPr>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SERIE 30 C</w:t>
            </w:r>
          </w:p>
        </w:tc>
        <w:tc>
          <w:tcPr>
            <w:tcW w:w="1938" w:type="dxa"/>
            <w:gridSpan w:val="2"/>
          </w:tcPr>
          <w:p w14:paraId="5FDB0311" w14:textId="62EF17B0" w:rsidR="00CC5D30" w:rsidRPr="005379A1" w:rsidRDefault="00CC5D30" w:rsidP="00005855">
            <w:pPr>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SERIE 40 C</w:t>
            </w:r>
          </w:p>
        </w:tc>
      </w:tr>
      <w:tr w:rsidR="00CC5D30" w:rsidRPr="005379A1" w14:paraId="34F0B96A" w14:textId="77777777" w:rsidTr="001F6930">
        <w:trPr>
          <w:trHeight w:val="184"/>
          <w:jc w:val="center"/>
        </w:trPr>
        <w:tc>
          <w:tcPr>
            <w:tcW w:w="1038" w:type="dxa"/>
          </w:tcPr>
          <w:p w14:paraId="6D850B20" w14:textId="77777777" w:rsidR="00CC5D30" w:rsidRPr="005379A1" w:rsidRDefault="00CC5D30" w:rsidP="00A75E4E">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Rx</w:t>
            </w:r>
            <w:proofErr w:type="spellEnd"/>
            <w:r w:rsidRPr="005379A1">
              <w:rPr>
                <w:rFonts w:ascii="ITC Avant Garde" w:eastAsia="Calibri" w:hAnsi="ITC Avant Garde"/>
                <w:b/>
                <w:bCs/>
                <w:color w:val="000000"/>
                <w:sz w:val="16"/>
                <w:szCs w:val="16"/>
                <w:lang w:eastAsia="es-MX"/>
              </w:rPr>
              <w:t xml:space="preserve"> (MHz)</w:t>
            </w:r>
          </w:p>
        </w:tc>
        <w:tc>
          <w:tcPr>
            <w:tcW w:w="1008" w:type="dxa"/>
          </w:tcPr>
          <w:p w14:paraId="2408C86E" w14:textId="77777777" w:rsidR="00CC5D30" w:rsidRPr="005379A1" w:rsidRDefault="00CC5D30" w:rsidP="00A75E4E">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Tx</w:t>
            </w:r>
            <w:proofErr w:type="spellEnd"/>
            <w:r w:rsidRPr="005379A1">
              <w:rPr>
                <w:rFonts w:ascii="ITC Avant Garde" w:eastAsia="Calibri" w:hAnsi="ITC Avant Garde"/>
                <w:b/>
                <w:bCs/>
                <w:color w:val="000000"/>
                <w:sz w:val="16"/>
                <w:szCs w:val="16"/>
                <w:lang w:eastAsia="es-MX"/>
              </w:rPr>
              <w:t xml:space="preserve"> (MHz)</w:t>
            </w:r>
          </w:p>
        </w:tc>
        <w:tc>
          <w:tcPr>
            <w:tcW w:w="1008" w:type="dxa"/>
          </w:tcPr>
          <w:p w14:paraId="7FFDFCE6" w14:textId="77777777" w:rsidR="00CC5D30" w:rsidRPr="005379A1" w:rsidRDefault="00CC5D30" w:rsidP="00A75E4E">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Rx</w:t>
            </w:r>
            <w:proofErr w:type="spellEnd"/>
            <w:r w:rsidRPr="005379A1">
              <w:rPr>
                <w:rFonts w:ascii="ITC Avant Garde" w:eastAsia="Calibri" w:hAnsi="ITC Avant Garde"/>
                <w:b/>
                <w:bCs/>
                <w:color w:val="000000"/>
                <w:sz w:val="16"/>
                <w:szCs w:val="16"/>
                <w:lang w:eastAsia="es-MX"/>
              </w:rPr>
              <w:t xml:space="preserve"> (MHz)</w:t>
            </w:r>
          </w:p>
        </w:tc>
        <w:tc>
          <w:tcPr>
            <w:tcW w:w="1008" w:type="dxa"/>
          </w:tcPr>
          <w:p w14:paraId="4DDBF4B2" w14:textId="77777777" w:rsidR="00CC5D30" w:rsidRPr="005379A1" w:rsidRDefault="00CC5D30" w:rsidP="00A75E4E">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Tx</w:t>
            </w:r>
            <w:proofErr w:type="spellEnd"/>
            <w:r w:rsidRPr="005379A1">
              <w:rPr>
                <w:rFonts w:ascii="ITC Avant Garde" w:eastAsia="Calibri" w:hAnsi="ITC Avant Garde"/>
                <w:b/>
                <w:bCs/>
                <w:color w:val="000000"/>
                <w:sz w:val="16"/>
                <w:szCs w:val="16"/>
                <w:lang w:eastAsia="es-MX"/>
              </w:rPr>
              <w:t xml:space="preserve"> (MHz)</w:t>
            </w:r>
          </w:p>
        </w:tc>
        <w:tc>
          <w:tcPr>
            <w:tcW w:w="969" w:type="dxa"/>
          </w:tcPr>
          <w:p w14:paraId="0A47354C" w14:textId="77777777" w:rsidR="00CC5D30" w:rsidRPr="005379A1" w:rsidRDefault="00CC5D30" w:rsidP="00A75E4E">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Rx</w:t>
            </w:r>
            <w:proofErr w:type="spellEnd"/>
            <w:r w:rsidRPr="005379A1">
              <w:rPr>
                <w:rFonts w:ascii="ITC Avant Garde" w:eastAsia="Calibri" w:hAnsi="ITC Avant Garde"/>
                <w:b/>
                <w:bCs/>
                <w:color w:val="000000"/>
                <w:sz w:val="16"/>
                <w:szCs w:val="16"/>
                <w:lang w:eastAsia="es-MX"/>
              </w:rPr>
              <w:t xml:space="preserve"> (MHz)</w:t>
            </w:r>
          </w:p>
        </w:tc>
        <w:tc>
          <w:tcPr>
            <w:tcW w:w="969" w:type="dxa"/>
          </w:tcPr>
          <w:p w14:paraId="68D455E9" w14:textId="77777777" w:rsidR="00CC5D30" w:rsidRPr="005379A1" w:rsidRDefault="00CC5D30" w:rsidP="00A75E4E">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Tx</w:t>
            </w:r>
            <w:proofErr w:type="spellEnd"/>
            <w:r w:rsidRPr="005379A1">
              <w:rPr>
                <w:rFonts w:ascii="ITC Avant Garde" w:eastAsia="Calibri" w:hAnsi="ITC Avant Garde"/>
                <w:b/>
                <w:bCs/>
                <w:color w:val="000000"/>
                <w:sz w:val="16"/>
                <w:szCs w:val="16"/>
                <w:lang w:eastAsia="es-MX"/>
              </w:rPr>
              <w:t xml:space="preserve"> (MHz)</w:t>
            </w:r>
          </w:p>
        </w:tc>
      </w:tr>
      <w:tr w:rsidR="00CC5D30" w:rsidRPr="005379A1" w14:paraId="107B2A6C" w14:textId="77777777" w:rsidTr="001F6930">
        <w:trPr>
          <w:trHeight w:val="177"/>
          <w:jc w:val="center"/>
        </w:trPr>
        <w:tc>
          <w:tcPr>
            <w:tcW w:w="1038" w:type="dxa"/>
          </w:tcPr>
          <w:p w14:paraId="1205F552" w14:textId="1F7A75B5"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806.500</w:t>
            </w:r>
          </w:p>
        </w:tc>
        <w:tc>
          <w:tcPr>
            <w:tcW w:w="1008" w:type="dxa"/>
          </w:tcPr>
          <w:p w14:paraId="09A10E27" w14:textId="5E3E9FFF"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851.500</w:t>
            </w:r>
          </w:p>
        </w:tc>
        <w:tc>
          <w:tcPr>
            <w:tcW w:w="1008" w:type="dxa"/>
          </w:tcPr>
          <w:p w14:paraId="02A8ACF6" w14:textId="46CF99E1"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806.750</w:t>
            </w:r>
          </w:p>
        </w:tc>
        <w:tc>
          <w:tcPr>
            <w:tcW w:w="1008" w:type="dxa"/>
          </w:tcPr>
          <w:p w14:paraId="1C001516" w14:textId="4251B682"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851.750</w:t>
            </w:r>
          </w:p>
        </w:tc>
        <w:tc>
          <w:tcPr>
            <w:tcW w:w="969" w:type="dxa"/>
          </w:tcPr>
          <w:p w14:paraId="4A35BDEB" w14:textId="594E58AE"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807.000</w:t>
            </w:r>
          </w:p>
        </w:tc>
        <w:tc>
          <w:tcPr>
            <w:tcW w:w="969" w:type="dxa"/>
          </w:tcPr>
          <w:p w14:paraId="0AC3B172" w14:textId="0E4F00B3"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852.000</w:t>
            </w:r>
          </w:p>
        </w:tc>
      </w:tr>
      <w:tr w:rsidR="00CC5D30" w:rsidRPr="005379A1" w14:paraId="032A0A73" w14:textId="77777777" w:rsidTr="001F6930">
        <w:trPr>
          <w:trHeight w:val="140"/>
          <w:jc w:val="center"/>
        </w:trPr>
        <w:tc>
          <w:tcPr>
            <w:tcW w:w="1038" w:type="dxa"/>
          </w:tcPr>
          <w:p w14:paraId="60173A10" w14:textId="38026550"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807.500</w:t>
            </w:r>
          </w:p>
        </w:tc>
        <w:tc>
          <w:tcPr>
            <w:tcW w:w="1008" w:type="dxa"/>
          </w:tcPr>
          <w:p w14:paraId="761B66EE" w14:textId="238CDA4C"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852.500</w:t>
            </w:r>
          </w:p>
        </w:tc>
        <w:tc>
          <w:tcPr>
            <w:tcW w:w="1008" w:type="dxa"/>
          </w:tcPr>
          <w:p w14:paraId="1448A09D" w14:textId="254F1D70"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807.750</w:t>
            </w:r>
          </w:p>
        </w:tc>
        <w:tc>
          <w:tcPr>
            <w:tcW w:w="1008" w:type="dxa"/>
          </w:tcPr>
          <w:p w14:paraId="41466D18" w14:textId="53D3796F"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852.750</w:t>
            </w:r>
          </w:p>
        </w:tc>
        <w:tc>
          <w:tcPr>
            <w:tcW w:w="969" w:type="dxa"/>
          </w:tcPr>
          <w:p w14:paraId="45D40530" w14:textId="2DAD0293"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808.000</w:t>
            </w:r>
          </w:p>
        </w:tc>
        <w:tc>
          <w:tcPr>
            <w:tcW w:w="969" w:type="dxa"/>
          </w:tcPr>
          <w:p w14:paraId="71D7E99C" w14:textId="07DA872E"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853.000</w:t>
            </w:r>
          </w:p>
        </w:tc>
      </w:tr>
      <w:tr w:rsidR="00CC5D30" w:rsidRPr="005379A1" w14:paraId="40721AE4" w14:textId="77777777" w:rsidTr="001F6930">
        <w:trPr>
          <w:trHeight w:val="119"/>
          <w:jc w:val="center"/>
        </w:trPr>
        <w:tc>
          <w:tcPr>
            <w:tcW w:w="1038" w:type="dxa"/>
          </w:tcPr>
          <w:p w14:paraId="7EDF8C28" w14:textId="4EF58F9E"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808.500</w:t>
            </w:r>
          </w:p>
        </w:tc>
        <w:tc>
          <w:tcPr>
            <w:tcW w:w="1008" w:type="dxa"/>
          </w:tcPr>
          <w:p w14:paraId="6110C514" w14:textId="6D9F5539"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853.500</w:t>
            </w:r>
          </w:p>
        </w:tc>
        <w:tc>
          <w:tcPr>
            <w:tcW w:w="1008" w:type="dxa"/>
          </w:tcPr>
          <w:p w14:paraId="5B658C6C" w14:textId="67291D37"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808.750</w:t>
            </w:r>
          </w:p>
        </w:tc>
        <w:tc>
          <w:tcPr>
            <w:tcW w:w="1008" w:type="dxa"/>
          </w:tcPr>
          <w:p w14:paraId="61C8E43F" w14:textId="72E679DA"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853.750</w:t>
            </w:r>
          </w:p>
        </w:tc>
        <w:tc>
          <w:tcPr>
            <w:tcW w:w="969" w:type="dxa"/>
          </w:tcPr>
          <w:p w14:paraId="72E93CFE" w14:textId="61488270"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809.000</w:t>
            </w:r>
          </w:p>
        </w:tc>
        <w:tc>
          <w:tcPr>
            <w:tcW w:w="969" w:type="dxa"/>
          </w:tcPr>
          <w:p w14:paraId="78D5E2FE" w14:textId="6580B35F"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854.000</w:t>
            </w:r>
          </w:p>
        </w:tc>
      </w:tr>
      <w:tr w:rsidR="00CC5D30" w:rsidRPr="005379A1" w14:paraId="31033E4D" w14:textId="77777777" w:rsidTr="001F6930">
        <w:trPr>
          <w:trHeight w:val="48"/>
          <w:jc w:val="center"/>
        </w:trPr>
        <w:tc>
          <w:tcPr>
            <w:tcW w:w="1038" w:type="dxa"/>
          </w:tcPr>
          <w:p w14:paraId="747E76F7" w14:textId="3D938D45"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809.500</w:t>
            </w:r>
          </w:p>
        </w:tc>
        <w:tc>
          <w:tcPr>
            <w:tcW w:w="1008" w:type="dxa"/>
          </w:tcPr>
          <w:p w14:paraId="32A6CF47" w14:textId="14954DB7"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854.500</w:t>
            </w:r>
          </w:p>
        </w:tc>
        <w:tc>
          <w:tcPr>
            <w:tcW w:w="1008" w:type="dxa"/>
          </w:tcPr>
          <w:p w14:paraId="446A9FD9" w14:textId="2F52A46B"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809.750</w:t>
            </w:r>
          </w:p>
        </w:tc>
        <w:tc>
          <w:tcPr>
            <w:tcW w:w="1008" w:type="dxa"/>
          </w:tcPr>
          <w:p w14:paraId="4983257E" w14:textId="0EDD9AEE"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854.750</w:t>
            </w:r>
          </w:p>
        </w:tc>
        <w:tc>
          <w:tcPr>
            <w:tcW w:w="969" w:type="dxa"/>
          </w:tcPr>
          <w:p w14:paraId="47422E8F" w14:textId="35C0F601"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810.000</w:t>
            </w:r>
          </w:p>
        </w:tc>
        <w:tc>
          <w:tcPr>
            <w:tcW w:w="969" w:type="dxa"/>
          </w:tcPr>
          <w:p w14:paraId="51011158" w14:textId="156E1E2E"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855.000</w:t>
            </w:r>
          </w:p>
        </w:tc>
      </w:tr>
      <w:tr w:rsidR="00CC5D30" w:rsidRPr="005379A1" w14:paraId="2C038397" w14:textId="77777777" w:rsidTr="001F6930">
        <w:trPr>
          <w:trHeight w:val="22"/>
          <w:jc w:val="center"/>
        </w:trPr>
        <w:tc>
          <w:tcPr>
            <w:tcW w:w="1038" w:type="dxa"/>
          </w:tcPr>
          <w:p w14:paraId="6479E7F0" w14:textId="609F66FB"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810.500</w:t>
            </w:r>
          </w:p>
        </w:tc>
        <w:tc>
          <w:tcPr>
            <w:tcW w:w="1008" w:type="dxa"/>
          </w:tcPr>
          <w:p w14:paraId="33C3C578" w14:textId="3ED32F6F"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855.500</w:t>
            </w:r>
          </w:p>
        </w:tc>
        <w:tc>
          <w:tcPr>
            <w:tcW w:w="1008" w:type="dxa"/>
          </w:tcPr>
          <w:p w14:paraId="787B59EB" w14:textId="107A63C2"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810.750</w:t>
            </w:r>
          </w:p>
        </w:tc>
        <w:tc>
          <w:tcPr>
            <w:tcW w:w="1008" w:type="dxa"/>
          </w:tcPr>
          <w:p w14:paraId="2F357798" w14:textId="668D6451"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855.750</w:t>
            </w:r>
          </w:p>
        </w:tc>
        <w:tc>
          <w:tcPr>
            <w:tcW w:w="969" w:type="dxa"/>
          </w:tcPr>
          <w:p w14:paraId="3139D95D" w14:textId="46AA4CBE"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811.000</w:t>
            </w:r>
          </w:p>
        </w:tc>
        <w:tc>
          <w:tcPr>
            <w:tcW w:w="969" w:type="dxa"/>
          </w:tcPr>
          <w:p w14:paraId="135481C8" w14:textId="3C8875F2" w:rsidR="00CC5D30" w:rsidRPr="005379A1" w:rsidRDefault="00CC5D30"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856.000</w:t>
            </w:r>
          </w:p>
        </w:tc>
      </w:tr>
    </w:tbl>
    <w:p w14:paraId="7DC2F3AF" w14:textId="77777777" w:rsidR="001C6AEE" w:rsidRPr="005379A1" w:rsidRDefault="001C6AEE" w:rsidP="005379A1">
      <w:pPr>
        <w:spacing w:after="240"/>
        <w:jc w:val="both"/>
        <w:rPr>
          <w:rFonts w:ascii="ITC Avant Garde" w:hAnsi="ITC Avant Garde"/>
          <w:bCs/>
          <w:color w:val="000000"/>
          <w:sz w:val="22"/>
          <w:szCs w:val="22"/>
          <w:lang w:val="es-ES" w:eastAsia="es-MX"/>
        </w:rPr>
      </w:pPr>
    </w:p>
    <w:p w14:paraId="429A6C93" w14:textId="77777777" w:rsidR="001C6AEE" w:rsidRPr="005379A1" w:rsidRDefault="005131CB" w:rsidP="005379A1">
      <w:pPr>
        <w:numPr>
          <w:ilvl w:val="0"/>
          <w:numId w:val="1"/>
        </w:numPr>
        <w:spacing w:after="240"/>
        <w:jc w:val="both"/>
        <w:rPr>
          <w:rFonts w:ascii="ITC Avant Garde" w:hAnsi="ITC Avant Garde"/>
          <w:b/>
          <w:bCs/>
          <w:color w:val="000000"/>
          <w:sz w:val="22"/>
          <w:szCs w:val="22"/>
          <w:lang w:val="es-ES" w:eastAsia="es-MX"/>
        </w:rPr>
      </w:pPr>
      <w:r w:rsidRPr="005379A1">
        <w:rPr>
          <w:rFonts w:ascii="ITC Avant Garde" w:hAnsi="ITC Avant Garde"/>
          <w:b/>
          <w:bCs/>
          <w:color w:val="000000"/>
          <w:sz w:val="22"/>
          <w:szCs w:val="22"/>
          <w:lang w:val="es-ES" w:eastAsia="es-MX"/>
        </w:rPr>
        <w:t>Solicitud de Prórroga</w:t>
      </w:r>
      <w:r w:rsidR="00650806" w:rsidRPr="005379A1">
        <w:rPr>
          <w:rFonts w:ascii="ITC Avant Garde" w:hAnsi="ITC Avant Garde"/>
          <w:b/>
          <w:bCs/>
          <w:color w:val="000000"/>
          <w:sz w:val="22"/>
          <w:szCs w:val="22"/>
          <w:lang w:val="es-ES" w:eastAsia="es-MX"/>
        </w:rPr>
        <w:t xml:space="preserve"> de Vigencia</w:t>
      </w:r>
      <w:r w:rsidRPr="005379A1">
        <w:rPr>
          <w:rFonts w:ascii="ITC Avant Garde" w:hAnsi="ITC Avant Garde"/>
          <w:b/>
          <w:bCs/>
          <w:color w:val="000000"/>
          <w:sz w:val="22"/>
          <w:szCs w:val="22"/>
          <w:lang w:val="es-ES" w:eastAsia="es-MX"/>
        </w:rPr>
        <w:t>.</w:t>
      </w:r>
      <w:r w:rsidR="00096AAA" w:rsidRPr="005379A1">
        <w:rPr>
          <w:rFonts w:ascii="ITC Avant Garde" w:hAnsi="ITC Avant Garde"/>
          <w:b/>
          <w:bCs/>
          <w:color w:val="000000"/>
          <w:sz w:val="22"/>
          <w:szCs w:val="22"/>
          <w:lang w:val="es-ES" w:eastAsia="es-MX"/>
        </w:rPr>
        <w:t xml:space="preserve"> </w:t>
      </w:r>
      <w:r w:rsidR="00DC72BA" w:rsidRPr="005379A1">
        <w:rPr>
          <w:rFonts w:ascii="ITC Avant Garde" w:hAnsi="ITC Avant Garde"/>
          <w:bCs/>
          <w:color w:val="000000"/>
          <w:sz w:val="22"/>
          <w:szCs w:val="22"/>
          <w:lang w:val="es-ES" w:eastAsia="es-MX"/>
        </w:rPr>
        <w:t xml:space="preserve">Mediante el oficio </w:t>
      </w:r>
      <w:r w:rsidR="000521B0" w:rsidRPr="005379A1">
        <w:rPr>
          <w:rFonts w:ascii="ITC Avant Garde" w:hAnsi="ITC Avant Garde"/>
          <w:bCs/>
          <w:color w:val="000000"/>
          <w:sz w:val="22"/>
          <w:szCs w:val="22"/>
          <w:lang w:val="es-ES" w:eastAsia="es-MX"/>
        </w:rPr>
        <w:t>2.</w:t>
      </w:r>
      <w:r w:rsidR="00DC72BA" w:rsidRPr="005379A1">
        <w:rPr>
          <w:rFonts w:ascii="ITC Avant Garde" w:hAnsi="ITC Avant Garde"/>
          <w:bCs/>
          <w:color w:val="000000"/>
          <w:sz w:val="22"/>
          <w:szCs w:val="22"/>
          <w:lang w:val="es-ES" w:eastAsia="es-MX"/>
        </w:rPr>
        <w:t>1</w:t>
      </w:r>
      <w:r w:rsidR="000521B0" w:rsidRPr="005379A1">
        <w:rPr>
          <w:rFonts w:ascii="ITC Avant Garde" w:hAnsi="ITC Avant Garde"/>
          <w:bCs/>
          <w:color w:val="000000"/>
          <w:sz w:val="22"/>
          <w:szCs w:val="22"/>
          <w:lang w:val="es-ES" w:eastAsia="es-MX"/>
        </w:rPr>
        <w:t>.</w:t>
      </w:r>
      <w:r w:rsidR="00DC72BA" w:rsidRPr="005379A1">
        <w:rPr>
          <w:rFonts w:ascii="ITC Avant Garde" w:hAnsi="ITC Avant Garde"/>
          <w:bCs/>
          <w:color w:val="000000"/>
          <w:sz w:val="22"/>
          <w:szCs w:val="22"/>
          <w:lang w:val="es-ES" w:eastAsia="es-MX"/>
        </w:rPr>
        <w:t>203.</w:t>
      </w:r>
      <w:r w:rsidR="000521B0" w:rsidRPr="005379A1">
        <w:rPr>
          <w:rFonts w:ascii="ITC Avant Garde" w:hAnsi="ITC Avant Garde"/>
          <w:bCs/>
          <w:color w:val="000000"/>
          <w:sz w:val="22"/>
          <w:szCs w:val="22"/>
          <w:lang w:val="es-ES" w:eastAsia="es-MX"/>
        </w:rPr>
        <w:t>-5691</w:t>
      </w:r>
      <w:r w:rsidR="00DC72BA" w:rsidRPr="005379A1">
        <w:rPr>
          <w:rFonts w:ascii="ITC Avant Garde" w:hAnsi="ITC Avant Garde"/>
          <w:bCs/>
          <w:color w:val="000000"/>
          <w:sz w:val="22"/>
          <w:szCs w:val="22"/>
          <w:lang w:val="es-ES" w:eastAsia="es-MX"/>
        </w:rPr>
        <w:t xml:space="preserve"> de fecha </w:t>
      </w:r>
      <w:r w:rsidR="000521B0" w:rsidRPr="005379A1">
        <w:rPr>
          <w:rFonts w:ascii="ITC Avant Garde" w:hAnsi="ITC Avant Garde"/>
          <w:bCs/>
          <w:color w:val="000000"/>
          <w:sz w:val="22"/>
          <w:szCs w:val="22"/>
          <w:lang w:val="es-ES" w:eastAsia="es-MX"/>
        </w:rPr>
        <w:t>23</w:t>
      </w:r>
      <w:r w:rsidR="00DC72BA" w:rsidRPr="005379A1">
        <w:rPr>
          <w:rFonts w:ascii="ITC Avant Garde" w:hAnsi="ITC Avant Garde"/>
          <w:bCs/>
          <w:color w:val="000000"/>
          <w:sz w:val="22"/>
          <w:szCs w:val="22"/>
          <w:lang w:val="es-ES" w:eastAsia="es-MX"/>
        </w:rPr>
        <w:t xml:space="preserve"> de </w:t>
      </w:r>
      <w:r w:rsidR="000521B0" w:rsidRPr="005379A1">
        <w:rPr>
          <w:rFonts w:ascii="ITC Avant Garde" w:hAnsi="ITC Avant Garde"/>
          <w:bCs/>
          <w:color w:val="000000"/>
          <w:sz w:val="22"/>
          <w:szCs w:val="22"/>
          <w:lang w:val="es-ES" w:eastAsia="es-MX"/>
        </w:rPr>
        <w:t>noviembre</w:t>
      </w:r>
      <w:r w:rsidR="00DC72BA" w:rsidRPr="005379A1">
        <w:rPr>
          <w:rFonts w:ascii="ITC Avant Garde" w:hAnsi="ITC Avant Garde"/>
          <w:bCs/>
          <w:color w:val="000000"/>
          <w:sz w:val="22"/>
          <w:szCs w:val="22"/>
          <w:lang w:val="es-ES" w:eastAsia="es-MX"/>
        </w:rPr>
        <w:t xml:space="preserve"> de 200</w:t>
      </w:r>
      <w:r w:rsidR="000521B0" w:rsidRPr="005379A1">
        <w:rPr>
          <w:rFonts w:ascii="ITC Avant Garde" w:hAnsi="ITC Avant Garde"/>
          <w:bCs/>
          <w:color w:val="000000"/>
          <w:sz w:val="22"/>
          <w:szCs w:val="22"/>
          <w:lang w:val="es-ES" w:eastAsia="es-MX"/>
        </w:rPr>
        <w:t>6</w:t>
      </w:r>
      <w:r w:rsidR="00DC72BA" w:rsidRPr="005379A1">
        <w:rPr>
          <w:rFonts w:ascii="ITC Avant Garde" w:hAnsi="ITC Avant Garde"/>
          <w:bCs/>
          <w:color w:val="000000"/>
          <w:sz w:val="22"/>
          <w:szCs w:val="22"/>
          <w:lang w:val="es-ES" w:eastAsia="es-MX"/>
        </w:rPr>
        <w:t xml:space="preserve">, </w:t>
      </w:r>
      <w:r w:rsidR="00DF49BE" w:rsidRPr="005379A1">
        <w:rPr>
          <w:rFonts w:ascii="ITC Avant Garde" w:hAnsi="ITC Avant Garde"/>
          <w:bCs/>
          <w:color w:val="000000"/>
          <w:sz w:val="22"/>
          <w:szCs w:val="22"/>
          <w:lang w:val="es-ES" w:eastAsia="es-MX"/>
        </w:rPr>
        <w:t xml:space="preserve">la </w:t>
      </w:r>
      <w:r w:rsidR="00B05B7D" w:rsidRPr="005379A1">
        <w:rPr>
          <w:rFonts w:ascii="ITC Avant Garde" w:eastAsia="Calibri" w:hAnsi="ITC Avant Garde"/>
          <w:bCs/>
          <w:color w:val="000000"/>
          <w:sz w:val="22"/>
          <w:szCs w:val="22"/>
          <w:lang w:eastAsia="es-MX"/>
        </w:rPr>
        <w:t>Dirección General de Política de Telecomunicaciones de la</w:t>
      </w:r>
      <w:r w:rsidR="00B05B7D" w:rsidRPr="005379A1">
        <w:rPr>
          <w:rFonts w:ascii="ITC Avant Garde" w:hAnsi="ITC Avant Garde"/>
          <w:bCs/>
          <w:color w:val="000000"/>
          <w:sz w:val="22"/>
          <w:szCs w:val="22"/>
          <w:lang w:val="es-ES" w:eastAsia="es-MX"/>
        </w:rPr>
        <w:t xml:space="preserve"> </w:t>
      </w:r>
      <w:r w:rsidR="00DC72BA" w:rsidRPr="005379A1">
        <w:rPr>
          <w:rFonts w:ascii="ITC Avant Garde" w:hAnsi="ITC Avant Garde"/>
          <w:bCs/>
          <w:color w:val="000000"/>
          <w:sz w:val="22"/>
          <w:szCs w:val="22"/>
          <w:lang w:val="es-ES" w:eastAsia="es-MX"/>
        </w:rPr>
        <w:t xml:space="preserve">Secretaría solicitó opinión a </w:t>
      </w:r>
      <w:r w:rsidR="00E75D9E" w:rsidRPr="005379A1">
        <w:rPr>
          <w:rFonts w:ascii="ITC Avant Garde" w:hAnsi="ITC Avant Garde"/>
          <w:bCs/>
          <w:color w:val="000000"/>
          <w:sz w:val="22"/>
          <w:szCs w:val="22"/>
          <w:lang w:val="es-ES" w:eastAsia="es-MX"/>
        </w:rPr>
        <w:t>la extinta Comisión Federal de Telecomunicaciones (la “Comisión”)</w:t>
      </w:r>
      <w:r w:rsidR="00DC72BA" w:rsidRPr="005379A1">
        <w:rPr>
          <w:rFonts w:ascii="ITC Avant Garde" w:hAnsi="ITC Avant Garde"/>
          <w:bCs/>
          <w:color w:val="000000"/>
          <w:sz w:val="22"/>
          <w:szCs w:val="22"/>
          <w:lang w:val="es-ES" w:eastAsia="es-MX"/>
        </w:rPr>
        <w:t xml:space="preserve">, respecto de la solicitud de prórroga </w:t>
      </w:r>
      <w:r w:rsidR="006070B6" w:rsidRPr="005379A1">
        <w:rPr>
          <w:rFonts w:ascii="ITC Avant Garde" w:hAnsi="ITC Avant Garde"/>
          <w:bCs/>
          <w:color w:val="000000"/>
          <w:sz w:val="22"/>
          <w:szCs w:val="22"/>
          <w:lang w:val="es-ES" w:eastAsia="es-MX"/>
        </w:rPr>
        <w:t xml:space="preserve">de vigencia de la Concesión (la “Solicitud de Prórroga”), </w:t>
      </w:r>
      <w:r w:rsidR="00DC72BA" w:rsidRPr="005379A1">
        <w:rPr>
          <w:rFonts w:ascii="ITC Avant Garde" w:hAnsi="ITC Avant Garde"/>
          <w:bCs/>
          <w:color w:val="000000"/>
          <w:sz w:val="22"/>
          <w:szCs w:val="22"/>
          <w:lang w:val="es-ES" w:eastAsia="es-MX"/>
        </w:rPr>
        <w:t xml:space="preserve">presentada </w:t>
      </w:r>
      <w:r w:rsidR="006070B6" w:rsidRPr="005379A1">
        <w:rPr>
          <w:rFonts w:ascii="ITC Avant Garde" w:hAnsi="ITC Avant Garde"/>
          <w:bCs/>
          <w:color w:val="000000"/>
          <w:sz w:val="22"/>
          <w:szCs w:val="22"/>
          <w:lang w:val="es-ES" w:eastAsia="es-MX"/>
        </w:rPr>
        <w:t xml:space="preserve">por </w:t>
      </w:r>
      <w:r w:rsidR="000521B0" w:rsidRPr="005379A1">
        <w:rPr>
          <w:rFonts w:ascii="ITC Avant Garde" w:hAnsi="ITC Avant Garde"/>
          <w:bCs/>
          <w:color w:val="000000"/>
          <w:sz w:val="22"/>
          <w:szCs w:val="22"/>
          <w:lang w:val="es-ES" w:eastAsia="es-MX"/>
        </w:rPr>
        <w:t>Intercomunicación del Pacífico</w:t>
      </w:r>
      <w:r w:rsidR="006070B6" w:rsidRPr="005379A1">
        <w:rPr>
          <w:rFonts w:ascii="ITC Avant Garde" w:hAnsi="ITC Avant Garde"/>
          <w:bCs/>
          <w:color w:val="000000"/>
          <w:sz w:val="22"/>
          <w:szCs w:val="22"/>
          <w:lang w:val="es-ES" w:eastAsia="es-MX"/>
        </w:rPr>
        <w:t xml:space="preserve"> ante esa Dependencia </w:t>
      </w:r>
      <w:r w:rsidR="000521B0" w:rsidRPr="005379A1">
        <w:rPr>
          <w:rFonts w:ascii="ITC Avant Garde" w:hAnsi="ITC Avant Garde"/>
          <w:bCs/>
          <w:color w:val="000000"/>
          <w:sz w:val="22"/>
          <w:szCs w:val="22"/>
          <w:lang w:val="es-ES" w:eastAsia="es-MX"/>
        </w:rPr>
        <w:t xml:space="preserve">con escrito de fecha </w:t>
      </w:r>
      <w:r w:rsidR="00BD326F" w:rsidRPr="005379A1">
        <w:rPr>
          <w:rFonts w:ascii="ITC Avant Garde" w:hAnsi="ITC Avant Garde"/>
          <w:bCs/>
          <w:color w:val="000000"/>
          <w:sz w:val="22"/>
          <w:szCs w:val="22"/>
          <w:lang w:val="es-ES" w:eastAsia="es-MX"/>
        </w:rPr>
        <w:t>2</w:t>
      </w:r>
      <w:r w:rsidR="000521B0" w:rsidRPr="005379A1">
        <w:rPr>
          <w:rFonts w:ascii="ITC Avant Garde" w:hAnsi="ITC Avant Garde"/>
          <w:bCs/>
          <w:color w:val="000000"/>
          <w:sz w:val="22"/>
          <w:szCs w:val="22"/>
          <w:lang w:val="es-ES" w:eastAsia="es-MX"/>
        </w:rPr>
        <w:t>1</w:t>
      </w:r>
      <w:r w:rsidR="00CB5914" w:rsidRPr="005379A1">
        <w:rPr>
          <w:rFonts w:ascii="ITC Avant Garde" w:hAnsi="ITC Avant Garde"/>
          <w:bCs/>
          <w:color w:val="000000"/>
          <w:sz w:val="22"/>
          <w:szCs w:val="22"/>
          <w:lang w:val="es-ES" w:eastAsia="es-MX"/>
        </w:rPr>
        <w:t xml:space="preserve"> de </w:t>
      </w:r>
      <w:r w:rsidR="000521B0" w:rsidRPr="005379A1">
        <w:rPr>
          <w:rFonts w:ascii="ITC Avant Garde" w:hAnsi="ITC Avant Garde"/>
          <w:bCs/>
          <w:color w:val="000000"/>
          <w:sz w:val="22"/>
          <w:szCs w:val="22"/>
          <w:lang w:val="es-ES" w:eastAsia="es-MX"/>
        </w:rPr>
        <w:t>junio</w:t>
      </w:r>
      <w:r w:rsidR="00CB5914" w:rsidRPr="005379A1">
        <w:rPr>
          <w:rFonts w:ascii="ITC Avant Garde" w:hAnsi="ITC Avant Garde"/>
          <w:bCs/>
          <w:color w:val="000000"/>
          <w:sz w:val="22"/>
          <w:szCs w:val="22"/>
          <w:lang w:val="es-ES" w:eastAsia="es-MX"/>
        </w:rPr>
        <w:t xml:space="preserve"> de 200</w:t>
      </w:r>
      <w:r w:rsidR="000521B0" w:rsidRPr="005379A1">
        <w:rPr>
          <w:rFonts w:ascii="ITC Avant Garde" w:hAnsi="ITC Avant Garde"/>
          <w:bCs/>
          <w:color w:val="000000"/>
          <w:sz w:val="22"/>
          <w:szCs w:val="22"/>
          <w:lang w:val="es-ES" w:eastAsia="es-MX"/>
        </w:rPr>
        <w:t>6</w:t>
      </w:r>
      <w:r w:rsidR="00E3565D" w:rsidRPr="005379A1">
        <w:rPr>
          <w:rFonts w:ascii="ITC Avant Garde" w:hAnsi="ITC Avant Garde"/>
          <w:bCs/>
          <w:color w:val="000000"/>
          <w:sz w:val="22"/>
          <w:szCs w:val="22"/>
          <w:lang w:val="es-ES" w:eastAsia="es-MX"/>
        </w:rPr>
        <w:t>.</w:t>
      </w:r>
      <w:r w:rsidR="006070B6" w:rsidRPr="005379A1" w:rsidDel="006070B6">
        <w:rPr>
          <w:rFonts w:ascii="ITC Avant Garde" w:hAnsi="ITC Avant Garde"/>
          <w:bCs/>
          <w:color w:val="000000"/>
          <w:sz w:val="22"/>
          <w:szCs w:val="22"/>
          <w:lang w:val="es-ES" w:eastAsia="es-MX"/>
        </w:rPr>
        <w:t xml:space="preserve"> </w:t>
      </w:r>
    </w:p>
    <w:p w14:paraId="063E4A94" w14:textId="77777777" w:rsidR="001C6AEE" w:rsidRPr="005379A1" w:rsidRDefault="003822A6" w:rsidP="005379A1">
      <w:pPr>
        <w:spacing w:after="240"/>
        <w:ind w:left="567"/>
        <w:jc w:val="both"/>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 xml:space="preserve">Con oficios </w:t>
      </w:r>
      <w:r w:rsidR="001C0D89" w:rsidRPr="005379A1">
        <w:rPr>
          <w:rFonts w:ascii="ITC Avant Garde" w:hAnsi="ITC Avant Garde"/>
          <w:bCs/>
          <w:color w:val="000000"/>
          <w:sz w:val="22"/>
          <w:szCs w:val="22"/>
          <w:lang w:val="es-ES" w:eastAsia="es-MX"/>
        </w:rPr>
        <w:t>2.1.203.-4116</w:t>
      </w:r>
      <w:r w:rsidR="000521B0" w:rsidRPr="005379A1">
        <w:rPr>
          <w:rFonts w:ascii="ITC Avant Garde" w:hAnsi="ITC Avant Garde"/>
          <w:bCs/>
          <w:color w:val="000000"/>
          <w:sz w:val="22"/>
          <w:szCs w:val="22"/>
          <w:lang w:val="es-ES" w:eastAsia="es-MX"/>
        </w:rPr>
        <w:t>,</w:t>
      </w:r>
      <w:r w:rsidR="005A6B55" w:rsidRPr="005379A1">
        <w:rPr>
          <w:rFonts w:ascii="ITC Avant Garde" w:hAnsi="ITC Avant Garde"/>
          <w:bCs/>
          <w:color w:val="000000"/>
          <w:sz w:val="22"/>
          <w:szCs w:val="22"/>
          <w:lang w:val="es-ES" w:eastAsia="es-MX"/>
        </w:rPr>
        <w:t xml:space="preserve"> </w:t>
      </w:r>
      <w:r w:rsidRPr="005379A1">
        <w:rPr>
          <w:rFonts w:ascii="ITC Avant Garde" w:hAnsi="ITC Avant Garde"/>
          <w:bCs/>
          <w:color w:val="000000"/>
          <w:sz w:val="22"/>
          <w:szCs w:val="22"/>
          <w:lang w:val="es-ES" w:eastAsia="es-MX"/>
        </w:rPr>
        <w:t>2.1.203.-2</w:t>
      </w:r>
      <w:r w:rsidR="000521B0" w:rsidRPr="005379A1">
        <w:rPr>
          <w:rFonts w:ascii="ITC Avant Garde" w:hAnsi="ITC Avant Garde"/>
          <w:bCs/>
          <w:color w:val="000000"/>
          <w:sz w:val="22"/>
          <w:szCs w:val="22"/>
          <w:lang w:val="es-ES" w:eastAsia="es-MX"/>
        </w:rPr>
        <w:t>152</w:t>
      </w:r>
      <w:r w:rsidR="00A81516" w:rsidRPr="005379A1">
        <w:rPr>
          <w:rFonts w:ascii="ITC Avant Garde" w:hAnsi="ITC Avant Garde"/>
          <w:bCs/>
          <w:color w:val="000000"/>
          <w:sz w:val="22"/>
          <w:szCs w:val="22"/>
          <w:lang w:val="es-ES" w:eastAsia="es-MX"/>
        </w:rPr>
        <w:t xml:space="preserve"> y 2.1.203.-5203</w:t>
      </w:r>
      <w:r w:rsidRPr="005379A1">
        <w:rPr>
          <w:rFonts w:ascii="ITC Avant Garde" w:hAnsi="ITC Avant Garde"/>
          <w:bCs/>
          <w:color w:val="000000"/>
          <w:sz w:val="22"/>
          <w:szCs w:val="22"/>
          <w:lang w:val="es-ES" w:eastAsia="es-MX"/>
        </w:rPr>
        <w:t xml:space="preserve"> de fechas </w:t>
      </w:r>
      <w:r w:rsidR="001C0D89" w:rsidRPr="005379A1">
        <w:rPr>
          <w:rFonts w:ascii="ITC Avant Garde" w:hAnsi="ITC Avant Garde"/>
          <w:bCs/>
          <w:color w:val="000000"/>
          <w:sz w:val="22"/>
          <w:szCs w:val="22"/>
          <w:lang w:val="es-ES" w:eastAsia="es-MX"/>
        </w:rPr>
        <w:t>7 de noviembre de 2008</w:t>
      </w:r>
      <w:r w:rsidR="00A81516" w:rsidRPr="005379A1">
        <w:rPr>
          <w:rFonts w:ascii="ITC Avant Garde" w:hAnsi="ITC Avant Garde"/>
          <w:bCs/>
          <w:color w:val="000000"/>
          <w:sz w:val="22"/>
          <w:szCs w:val="22"/>
          <w:lang w:val="es-ES" w:eastAsia="es-MX"/>
        </w:rPr>
        <w:t>,</w:t>
      </w:r>
      <w:r w:rsidR="001C0D89" w:rsidRPr="005379A1">
        <w:rPr>
          <w:rFonts w:ascii="ITC Avant Garde" w:hAnsi="ITC Avant Garde"/>
          <w:bCs/>
          <w:color w:val="000000"/>
          <w:sz w:val="22"/>
          <w:szCs w:val="22"/>
          <w:lang w:val="es-ES" w:eastAsia="es-MX"/>
        </w:rPr>
        <w:t xml:space="preserve"> </w:t>
      </w:r>
      <w:r w:rsidRPr="005379A1">
        <w:rPr>
          <w:rFonts w:ascii="ITC Avant Garde" w:hAnsi="ITC Avant Garde"/>
          <w:bCs/>
          <w:color w:val="000000"/>
          <w:sz w:val="22"/>
          <w:szCs w:val="22"/>
          <w:lang w:val="es-ES" w:eastAsia="es-MX"/>
        </w:rPr>
        <w:t>2</w:t>
      </w:r>
      <w:r w:rsidR="00FB0DB1" w:rsidRPr="005379A1">
        <w:rPr>
          <w:rFonts w:ascii="ITC Avant Garde" w:hAnsi="ITC Avant Garde"/>
          <w:bCs/>
          <w:color w:val="000000"/>
          <w:sz w:val="22"/>
          <w:szCs w:val="22"/>
          <w:lang w:val="es-ES" w:eastAsia="es-MX"/>
        </w:rPr>
        <w:t>5</w:t>
      </w:r>
      <w:r w:rsidRPr="005379A1">
        <w:rPr>
          <w:rFonts w:ascii="ITC Avant Garde" w:hAnsi="ITC Avant Garde"/>
          <w:bCs/>
          <w:color w:val="000000"/>
          <w:sz w:val="22"/>
          <w:szCs w:val="22"/>
          <w:lang w:val="es-ES" w:eastAsia="es-MX"/>
        </w:rPr>
        <w:t xml:space="preserve"> de marzo de 2009</w:t>
      </w:r>
      <w:r w:rsidR="00A81516" w:rsidRPr="005379A1">
        <w:rPr>
          <w:rFonts w:ascii="ITC Avant Garde" w:hAnsi="ITC Avant Garde"/>
          <w:bCs/>
          <w:color w:val="000000"/>
          <w:sz w:val="22"/>
          <w:szCs w:val="22"/>
          <w:lang w:val="es-ES" w:eastAsia="es-MX"/>
        </w:rPr>
        <w:t xml:space="preserve"> y 14 de septiembre de 2009,</w:t>
      </w:r>
      <w:r w:rsidRPr="005379A1">
        <w:rPr>
          <w:rFonts w:ascii="ITC Avant Garde" w:hAnsi="ITC Avant Garde"/>
          <w:bCs/>
          <w:color w:val="000000"/>
          <w:sz w:val="22"/>
          <w:szCs w:val="22"/>
          <w:lang w:val="es-ES" w:eastAsia="es-MX"/>
        </w:rPr>
        <w:t xml:space="preserve"> respectivamente, la </w:t>
      </w:r>
      <w:r w:rsidR="00532488" w:rsidRPr="005379A1">
        <w:rPr>
          <w:rFonts w:ascii="ITC Avant Garde" w:eastAsia="Calibri" w:hAnsi="ITC Avant Garde"/>
          <w:bCs/>
          <w:color w:val="000000"/>
          <w:sz w:val="22"/>
          <w:szCs w:val="22"/>
          <w:lang w:eastAsia="es-MX"/>
        </w:rPr>
        <w:t xml:space="preserve">Dirección General de Política de Telecomunicaciones de </w:t>
      </w:r>
      <w:r w:rsidR="001A1120" w:rsidRPr="005379A1">
        <w:rPr>
          <w:rFonts w:ascii="ITC Avant Garde" w:eastAsia="Calibri" w:hAnsi="ITC Avant Garde"/>
          <w:bCs/>
          <w:color w:val="000000"/>
          <w:sz w:val="22"/>
          <w:szCs w:val="22"/>
          <w:lang w:eastAsia="es-MX"/>
        </w:rPr>
        <w:t xml:space="preserve">la </w:t>
      </w:r>
      <w:r w:rsidRPr="005379A1">
        <w:rPr>
          <w:rFonts w:ascii="ITC Avant Garde" w:hAnsi="ITC Avant Garde"/>
          <w:bCs/>
          <w:color w:val="000000"/>
          <w:sz w:val="22"/>
          <w:szCs w:val="22"/>
          <w:lang w:val="es-ES" w:eastAsia="es-MX"/>
        </w:rPr>
        <w:t xml:space="preserve">Secretaría reiteró </w:t>
      </w:r>
      <w:r w:rsidR="00AD535B" w:rsidRPr="005379A1">
        <w:rPr>
          <w:rFonts w:ascii="ITC Avant Garde" w:hAnsi="ITC Avant Garde"/>
          <w:bCs/>
          <w:color w:val="000000"/>
          <w:sz w:val="22"/>
          <w:szCs w:val="22"/>
          <w:lang w:val="es-ES" w:eastAsia="es-MX"/>
        </w:rPr>
        <w:t xml:space="preserve">dicha </w:t>
      </w:r>
      <w:r w:rsidRPr="005379A1">
        <w:rPr>
          <w:rFonts w:ascii="ITC Avant Garde" w:hAnsi="ITC Avant Garde"/>
          <w:bCs/>
          <w:color w:val="000000"/>
          <w:sz w:val="22"/>
          <w:szCs w:val="22"/>
          <w:lang w:val="es-ES" w:eastAsia="es-MX"/>
        </w:rPr>
        <w:t>solicitud de opinión a la Comisión</w:t>
      </w:r>
      <w:r w:rsidR="00AD535B" w:rsidRPr="005379A1">
        <w:rPr>
          <w:rFonts w:ascii="ITC Avant Garde" w:hAnsi="ITC Avant Garde"/>
          <w:bCs/>
          <w:color w:val="000000"/>
          <w:sz w:val="22"/>
          <w:szCs w:val="22"/>
          <w:lang w:val="es-ES" w:eastAsia="es-MX"/>
        </w:rPr>
        <w:t>.</w:t>
      </w:r>
    </w:p>
    <w:p w14:paraId="3F3BC17A" w14:textId="77777777" w:rsidR="001C6AEE" w:rsidRPr="005379A1" w:rsidRDefault="00415ED0" w:rsidP="005379A1">
      <w:pPr>
        <w:numPr>
          <w:ilvl w:val="0"/>
          <w:numId w:val="1"/>
        </w:numPr>
        <w:spacing w:after="240"/>
        <w:jc w:val="both"/>
        <w:rPr>
          <w:rFonts w:ascii="ITC Avant Garde" w:hAnsi="ITC Avant Garde"/>
          <w:b/>
          <w:bCs/>
          <w:color w:val="000000"/>
          <w:sz w:val="22"/>
          <w:szCs w:val="22"/>
          <w:lang w:val="es-ES" w:eastAsia="es-MX"/>
        </w:rPr>
      </w:pPr>
      <w:r w:rsidRPr="005379A1">
        <w:rPr>
          <w:rFonts w:ascii="ITC Avant Garde" w:hAnsi="ITC Avant Garde"/>
          <w:b/>
          <w:bCs/>
          <w:color w:val="000000"/>
          <w:sz w:val="22"/>
          <w:szCs w:val="22"/>
          <w:lang w:val="es-ES" w:eastAsia="es-MX"/>
        </w:rPr>
        <w:t xml:space="preserve">Cumplimiento de Obligaciones. </w:t>
      </w:r>
      <w:r w:rsidRPr="005379A1">
        <w:rPr>
          <w:rFonts w:ascii="ITC Avant Garde" w:hAnsi="ITC Avant Garde"/>
          <w:bCs/>
          <w:color w:val="000000"/>
          <w:sz w:val="22"/>
          <w:szCs w:val="22"/>
          <w:lang w:val="es-ES" w:eastAsia="es-MX"/>
        </w:rPr>
        <w:t>Con oficio CFT/D04/USV/DGS/0</w:t>
      </w:r>
      <w:r w:rsidR="000B4130" w:rsidRPr="005379A1">
        <w:rPr>
          <w:rFonts w:ascii="ITC Avant Garde" w:hAnsi="ITC Avant Garde"/>
          <w:bCs/>
          <w:color w:val="000000"/>
          <w:sz w:val="22"/>
          <w:szCs w:val="22"/>
          <w:lang w:val="es-ES" w:eastAsia="es-MX"/>
        </w:rPr>
        <w:t>338</w:t>
      </w:r>
      <w:r w:rsidRPr="005379A1">
        <w:rPr>
          <w:rFonts w:ascii="ITC Avant Garde" w:hAnsi="ITC Avant Garde"/>
          <w:bCs/>
          <w:color w:val="000000"/>
          <w:sz w:val="22"/>
          <w:szCs w:val="22"/>
          <w:lang w:val="es-ES" w:eastAsia="es-MX"/>
        </w:rPr>
        <w:t>/2008 de fecha 2</w:t>
      </w:r>
      <w:r w:rsidR="000B4130" w:rsidRPr="005379A1">
        <w:rPr>
          <w:rFonts w:ascii="ITC Avant Garde" w:hAnsi="ITC Avant Garde"/>
          <w:bCs/>
          <w:color w:val="000000"/>
          <w:sz w:val="22"/>
          <w:szCs w:val="22"/>
          <w:lang w:val="es-ES" w:eastAsia="es-MX"/>
        </w:rPr>
        <w:t>8</w:t>
      </w:r>
      <w:r w:rsidRPr="005379A1">
        <w:rPr>
          <w:rFonts w:ascii="ITC Avant Garde" w:hAnsi="ITC Avant Garde"/>
          <w:bCs/>
          <w:color w:val="000000"/>
          <w:sz w:val="22"/>
          <w:szCs w:val="22"/>
          <w:lang w:val="es-ES" w:eastAsia="es-MX"/>
        </w:rPr>
        <w:t xml:space="preserve"> de ma</w:t>
      </w:r>
      <w:r w:rsidR="000B4130" w:rsidRPr="005379A1">
        <w:rPr>
          <w:rFonts w:ascii="ITC Avant Garde" w:hAnsi="ITC Avant Garde"/>
          <w:bCs/>
          <w:color w:val="000000"/>
          <w:sz w:val="22"/>
          <w:szCs w:val="22"/>
          <w:lang w:val="es-ES" w:eastAsia="es-MX"/>
        </w:rPr>
        <w:t>rzo</w:t>
      </w:r>
      <w:r w:rsidRPr="005379A1">
        <w:rPr>
          <w:rFonts w:ascii="ITC Avant Garde" w:hAnsi="ITC Avant Garde"/>
          <w:bCs/>
          <w:color w:val="000000"/>
          <w:sz w:val="22"/>
          <w:szCs w:val="22"/>
          <w:lang w:val="es-ES" w:eastAsia="es-MX"/>
        </w:rPr>
        <w:t xml:space="preserve"> de 2008</w:t>
      </w:r>
      <w:r w:rsidR="004D5872" w:rsidRPr="005379A1">
        <w:rPr>
          <w:rFonts w:ascii="ITC Avant Garde" w:hAnsi="ITC Avant Garde"/>
          <w:bCs/>
          <w:color w:val="000000"/>
          <w:sz w:val="22"/>
          <w:szCs w:val="22"/>
          <w:lang w:val="es-ES" w:eastAsia="es-MX"/>
        </w:rPr>
        <w:t>, la entonces Dirección General de Supervisión adscrita</w:t>
      </w:r>
      <w:r w:rsidR="00DC6304" w:rsidRPr="005379A1">
        <w:rPr>
          <w:rFonts w:ascii="ITC Avant Garde" w:hAnsi="ITC Avant Garde"/>
          <w:bCs/>
          <w:color w:val="000000"/>
          <w:sz w:val="22"/>
          <w:szCs w:val="22"/>
          <w:lang w:val="es-ES" w:eastAsia="es-MX"/>
        </w:rPr>
        <w:t>,</w:t>
      </w:r>
      <w:r w:rsidR="004D5872" w:rsidRPr="005379A1">
        <w:rPr>
          <w:rFonts w:ascii="ITC Avant Garde" w:hAnsi="ITC Avant Garde"/>
          <w:bCs/>
          <w:color w:val="000000"/>
          <w:sz w:val="22"/>
          <w:szCs w:val="22"/>
          <w:lang w:val="es-ES" w:eastAsia="es-MX"/>
        </w:rPr>
        <w:t xml:space="preserve"> a la Unidad de Supervisión y Verificación de la Comisión, señaló que a esa fecha </w:t>
      </w:r>
      <w:r w:rsidR="000B4130" w:rsidRPr="005379A1">
        <w:rPr>
          <w:rFonts w:ascii="ITC Avant Garde" w:hAnsi="ITC Avant Garde"/>
          <w:bCs/>
          <w:color w:val="000000"/>
          <w:sz w:val="22"/>
          <w:szCs w:val="22"/>
          <w:lang w:val="es-ES" w:eastAsia="es-MX"/>
        </w:rPr>
        <w:t>Intercomunicación del Pacífico</w:t>
      </w:r>
      <w:r w:rsidR="004D5872" w:rsidRPr="005379A1">
        <w:rPr>
          <w:rFonts w:ascii="ITC Avant Garde" w:hAnsi="ITC Avant Garde"/>
          <w:bCs/>
          <w:color w:val="000000"/>
          <w:sz w:val="22"/>
          <w:szCs w:val="22"/>
          <w:lang w:val="es-ES" w:eastAsia="es-MX"/>
        </w:rPr>
        <w:t xml:space="preserve"> se encontraba al corriente en el cumplimiento de las obligaciones a su cargo derivadas de la Concesión</w:t>
      </w:r>
      <w:r w:rsidR="007C1189" w:rsidRPr="005379A1">
        <w:rPr>
          <w:rFonts w:ascii="ITC Avant Garde" w:hAnsi="ITC Avant Garde"/>
          <w:bCs/>
          <w:color w:val="000000"/>
          <w:sz w:val="22"/>
          <w:szCs w:val="22"/>
          <w:lang w:val="es-ES" w:eastAsia="es-MX"/>
        </w:rPr>
        <w:t>.</w:t>
      </w:r>
    </w:p>
    <w:p w14:paraId="25B850C4" w14:textId="1EBFCD82" w:rsidR="00E56D67" w:rsidRPr="005379A1" w:rsidRDefault="004055ED" w:rsidP="005379A1">
      <w:pPr>
        <w:numPr>
          <w:ilvl w:val="0"/>
          <w:numId w:val="1"/>
        </w:numPr>
        <w:spacing w:after="240"/>
        <w:jc w:val="both"/>
        <w:rPr>
          <w:rFonts w:ascii="ITC Avant Garde" w:hAnsi="ITC Avant Garde"/>
          <w:bCs/>
          <w:color w:val="000000"/>
          <w:sz w:val="22"/>
          <w:szCs w:val="22"/>
          <w:lang w:val="es-ES" w:eastAsia="es-MX"/>
        </w:rPr>
      </w:pPr>
      <w:r w:rsidRPr="005379A1">
        <w:rPr>
          <w:rFonts w:ascii="ITC Avant Garde" w:hAnsi="ITC Avant Garde"/>
          <w:b/>
          <w:bCs/>
          <w:color w:val="000000"/>
          <w:sz w:val="22"/>
          <w:szCs w:val="22"/>
          <w:lang w:val="es-ES" w:eastAsia="es-MX"/>
        </w:rPr>
        <w:t>Solicitud de r</w:t>
      </w:r>
      <w:r w:rsidR="00A56A4B" w:rsidRPr="005379A1">
        <w:rPr>
          <w:rFonts w:ascii="ITC Avant Garde" w:hAnsi="ITC Avant Garde"/>
          <w:b/>
          <w:bCs/>
          <w:color w:val="000000"/>
          <w:sz w:val="22"/>
          <w:szCs w:val="22"/>
          <w:lang w:val="es-ES" w:eastAsia="es-MX"/>
        </w:rPr>
        <w:t>enuncia a la asignación de frecuencias</w:t>
      </w:r>
      <w:r w:rsidR="00E75D9E" w:rsidRPr="005379A1">
        <w:rPr>
          <w:rFonts w:ascii="ITC Avant Garde" w:hAnsi="ITC Avant Garde"/>
          <w:b/>
          <w:bCs/>
          <w:color w:val="000000"/>
          <w:sz w:val="22"/>
          <w:szCs w:val="22"/>
          <w:lang w:val="es-ES" w:eastAsia="es-MX"/>
        </w:rPr>
        <w:t>.</w:t>
      </w:r>
      <w:r w:rsidR="00E75D9E" w:rsidRPr="005379A1">
        <w:rPr>
          <w:rFonts w:ascii="ITC Avant Garde" w:hAnsi="ITC Avant Garde" w:cstheme="minorHAnsi"/>
          <w:bCs/>
          <w:sz w:val="22"/>
          <w:szCs w:val="22"/>
        </w:rPr>
        <w:t xml:space="preserve"> </w:t>
      </w:r>
      <w:r w:rsidR="00E75D9E" w:rsidRPr="005379A1">
        <w:rPr>
          <w:rFonts w:ascii="ITC Avant Garde" w:hAnsi="ITC Avant Garde"/>
          <w:bCs/>
          <w:color w:val="000000"/>
          <w:sz w:val="22"/>
          <w:szCs w:val="22"/>
          <w:lang w:val="es-ES" w:eastAsia="es-MX"/>
        </w:rPr>
        <w:t>Con oficio 2.1.</w:t>
      </w:r>
      <w:r w:rsidR="00A56A4B" w:rsidRPr="005379A1">
        <w:rPr>
          <w:rFonts w:ascii="ITC Avant Garde" w:hAnsi="ITC Avant Garde"/>
          <w:bCs/>
          <w:color w:val="000000"/>
          <w:sz w:val="22"/>
          <w:szCs w:val="22"/>
          <w:lang w:val="es-ES" w:eastAsia="es-MX"/>
        </w:rPr>
        <w:t>-</w:t>
      </w:r>
      <w:r w:rsidR="00E75D9E" w:rsidRPr="005379A1">
        <w:rPr>
          <w:rFonts w:ascii="ITC Avant Garde" w:hAnsi="ITC Avant Garde"/>
          <w:bCs/>
          <w:color w:val="000000"/>
          <w:sz w:val="22"/>
          <w:szCs w:val="22"/>
          <w:lang w:val="es-ES" w:eastAsia="es-MX"/>
        </w:rPr>
        <w:t>2</w:t>
      </w:r>
      <w:r w:rsidR="00A56A4B" w:rsidRPr="005379A1">
        <w:rPr>
          <w:rFonts w:ascii="ITC Avant Garde" w:hAnsi="ITC Avant Garde"/>
          <w:bCs/>
          <w:color w:val="000000"/>
          <w:sz w:val="22"/>
          <w:szCs w:val="22"/>
          <w:lang w:val="es-ES" w:eastAsia="es-MX"/>
        </w:rPr>
        <w:t>267</w:t>
      </w:r>
      <w:r w:rsidR="00E75D9E" w:rsidRPr="005379A1">
        <w:rPr>
          <w:rFonts w:ascii="ITC Avant Garde" w:hAnsi="ITC Avant Garde"/>
          <w:bCs/>
          <w:color w:val="000000"/>
          <w:sz w:val="22"/>
          <w:szCs w:val="22"/>
          <w:lang w:val="es-ES" w:eastAsia="es-MX"/>
        </w:rPr>
        <w:t xml:space="preserve"> </w:t>
      </w:r>
      <w:r w:rsidR="00DC6304" w:rsidRPr="005379A1">
        <w:rPr>
          <w:rFonts w:ascii="ITC Avant Garde" w:hAnsi="ITC Avant Garde"/>
          <w:bCs/>
          <w:color w:val="000000"/>
          <w:sz w:val="22"/>
          <w:szCs w:val="22"/>
          <w:lang w:val="es-ES" w:eastAsia="es-MX"/>
        </w:rPr>
        <w:t>de fecha</w:t>
      </w:r>
      <w:r w:rsidR="00E75D9E" w:rsidRPr="005379A1">
        <w:rPr>
          <w:rFonts w:ascii="ITC Avant Garde" w:hAnsi="ITC Avant Garde"/>
          <w:bCs/>
          <w:color w:val="000000"/>
          <w:sz w:val="22"/>
          <w:szCs w:val="22"/>
          <w:lang w:val="es-ES" w:eastAsia="es-MX"/>
        </w:rPr>
        <w:t xml:space="preserve"> 3 de </w:t>
      </w:r>
      <w:r w:rsidR="00A56A4B" w:rsidRPr="005379A1">
        <w:rPr>
          <w:rFonts w:ascii="ITC Avant Garde" w:hAnsi="ITC Avant Garde"/>
          <w:bCs/>
          <w:color w:val="000000"/>
          <w:sz w:val="22"/>
          <w:szCs w:val="22"/>
          <w:lang w:val="es-ES" w:eastAsia="es-MX"/>
        </w:rPr>
        <w:t>mayo</w:t>
      </w:r>
      <w:r w:rsidR="00E75D9E" w:rsidRPr="005379A1">
        <w:rPr>
          <w:rFonts w:ascii="ITC Avant Garde" w:hAnsi="ITC Avant Garde"/>
          <w:bCs/>
          <w:color w:val="000000"/>
          <w:sz w:val="22"/>
          <w:szCs w:val="22"/>
          <w:lang w:val="es-ES" w:eastAsia="es-MX"/>
        </w:rPr>
        <w:t xml:space="preserve"> de 2010, la </w:t>
      </w:r>
      <w:r w:rsidR="001A1120" w:rsidRPr="005379A1">
        <w:rPr>
          <w:rFonts w:ascii="ITC Avant Garde" w:hAnsi="ITC Avant Garde"/>
          <w:bCs/>
          <w:color w:val="000000"/>
          <w:sz w:val="22"/>
          <w:szCs w:val="22"/>
          <w:lang w:val="es-ES" w:eastAsia="es-MX"/>
        </w:rPr>
        <w:t>Dirección General de Política de Telecomunicaciones</w:t>
      </w:r>
      <w:r w:rsidR="00DC6304" w:rsidRPr="005379A1">
        <w:rPr>
          <w:rFonts w:ascii="ITC Avant Garde" w:hAnsi="ITC Avant Garde"/>
          <w:bCs/>
          <w:color w:val="000000"/>
          <w:sz w:val="22"/>
          <w:szCs w:val="22"/>
          <w:lang w:val="es-ES" w:eastAsia="es-MX"/>
        </w:rPr>
        <w:t xml:space="preserve"> y de Radiodifusión</w:t>
      </w:r>
      <w:r w:rsidR="001A1120" w:rsidRPr="005379A1">
        <w:rPr>
          <w:rFonts w:ascii="ITC Avant Garde" w:hAnsi="ITC Avant Garde"/>
          <w:bCs/>
          <w:color w:val="000000"/>
          <w:sz w:val="22"/>
          <w:szCs w:val="22"/>
          <w:lang w:val="es-ES" w:eastAsia="es-MX"/>
        </w:rPr>
        <w:t xml:space="preserve"> de la </w:t>
      </w:r>
      <w:r w:rsidR="00E75D9E" w:rsidRPr="005379A1">
        <w:rPr>
          <w:rFonts w:ascii="ITC Avant Garde" w:hAnsi="ITC Avant Garde"/>
          <w:bCs/>
          <w:color w:val="000000"/>
          <w:sz w:val="22"/>
          <w:szCs w:val="22"/>
          <w:lang w:val="es-ES" w:eastAsia="es-MX"/>
        </w:rPr>
        <w:t>Secretaría remitió a la Comisión</w:t>
      </w:r>
      <w:r w:rsidR="00A56A4B" w:rsidRPr="005379A1">
        <w:rPr>
          <w:rFonts w:ascii="ITC Avant Garde" w:hAnsi="ITC Avant Garde"/>
          <w:bCs/>
          <w:color w:val="000000"/>
          <w:sz w:val="22"/>
          <w:szCs w:val="22"/>
          <w:lang w:val="es-ES" w:eastAsia="es-MX"/>
        </w:rPr>
        <w:t>, entre otros, el</w:t>
      </w:r>
      <w:r w:rsidR="00E75D9E" w:rsidRPr="005379A1">
        <w:rPr>
          <w:rFonts w:ascii="ITC Avant Garde" w:hAnsi="ITC Avant Garde"/>
          <w:bCs/>
          <w:color w:val="000000"/>
          <w:sz w:val="22"/>
          <w:szCs w:val="22"/>
          <w:lang w:val="es-ES" w:eastAsia="es-MX"/>
        </w:rPr>
        <w:t xml:space="preserve"> escrito de fecha 1</w:t>
      </w:r>
      <w:r w:rsidR="00A56A4B" w:rsidRPr="005379A1">
        <w:rPr>
          <w:rFonts w:ascii="ITC Avant Garde" w:hAnsi="ITC Avant Garde"/>
          <w:bCs/>
          <w:color w:val="000000"/>
          <w:sz w:val="22"/>
          <w:szCs w:val="22"/>
          <w:lang w:val="es-ES" w:eastAsia="es-MX"/>
        </w:rPr>
        <w:t>3</w:t>
      </w:r>
      <w:r w:rsidR="00E75D9E" w:rsidRPr="005379A1">
        <w:rPr>
          <w:rFonts w:ascii="ITC Avant Garde" w:hAnsi="ITC Avant Garde"/>
          <w:bCs/>
          <w:color w:val="000000"/>
          <w:sz w:val="22"/>
          <w:szCs w:val="22"/>
          <w:lang w:val="es-ES" w:eastAsia="es-MX"/>
        </w:rPr>
        <w:t xml:space="preserve"> de </w:t>
      </w:r>
      <w:r w:rsidR="00A56A4B" w:rsidRPr="005379A1">
        <w:rPr>
          <w:rFonts w:ascii="ITC Avant Garde" w:hAnsi="ITC Avant Garde"/>
          <w:bCs/>
          <w:color w:val="000000"/>
          <w:sz w:val="22"/>
          <w:szCs w:val="22"/>
          <w:lang w:val="es-ES" w:eastAsia="es-MX"/>
        </w:rPr>
        <w:t>abril</w:t>
      </w:r>
      <w:r w:rsidR="00E75D9E" w:rsidRPr="005379A1">
        <w:rPr>
          <w:rFonts w:ascii="ITC Avant Garde" w:hAnsi="ITC Avant Garde"/>
          <w:bCs/>
          <w:color w:val="000000"/>
          <w:sz w:val="22"/>
          <w:szCs w:val="22"/>
          <w:lang w:val="es-ES" w:eastAsia="es-MX"/>
        </w:rPr>
        <w:t xml:space="preserve"> de 2010, por el cual el </w:t>
      </w:r>
      <w:r w:rsidR="00A56A4B" w:rsidRPr="005379A1">
        <w:rPr>
          <w:rFonts w:ascii="ITC Avant Garde" w:hAnsi="ITC Avant Garde"/>
          <w:bCs/>
          <w:color w:val="000000"/>
          <w:sz w:val="22"/>
          <w:szCs w:val="22"/>
          <w:lang w:val="es-ES" w:eastAsia="es-MX"/>
        </w:rPr>
        <w:t>Intercomunicación del Pacífico</w:t>
      </w:r>
      <w:r w:rsidR="00DB528E" w:rsidRPr="005379A1">
        <w:rPr>
          <w:rFonts w:ascii="ITC Avant Garde" w:hAnsi="ITC Avant Garde"/>
          <w:bCs/>
          <w:color w:val="000000"/>
          <w:sz w:val="22"/>
          <w:szCs w:val="22"/>
          <w:lang w:val="es-ES" w:eastAsia="es-MX"/>
        </w:rPr>
        <w:t xml:space="preserve"> </w:t>
      </w:r>
      <w:r w:rsidR="00A56A4B" w:rsidRPr="005379A1">
        <w:rPr>
          <w:rFonts w:ascii="ITC Avant Garde" w:hAnsi="ITC Avant Garde"/>
          <w:bCs/>
          <w:color w:val="000000"/>
          <w:sz w:val="22"/>
          <w:szCs w:val="22"/>
          <w:lang w:val="es-ES" w:eastAsia="es-MX"/>
        </w:rPr>
        <w:t>renunci</w:t>
      </w:r>
      <w:r w:rsidR="007D44FC" w:rsidRPr="005379A1">
        <w:rPr>
          <w:rFonts w:ascii="ITC Avant Garde" w:hAnsi="ITC Avant Garde"/>
          <w:bCs/>
          <w:color w:val="000000"/>
          <w:sz w:val="22"/>
          <w:szCs w:val="22"/>
          <w:lang w:val="es-ES" w:eastAsia="es-MX"/>
        </w:rPr>
        <w:t>ó</w:t>
      </w:r>
      <w:r w:rsidR="00E56D67" w:rsidRPr="005379A1">
        <w:rPr>
          <w:rFonts w:ascii="ITC Avant Garde" w:hAnsi="ITC Avant Garde"/>
          <w:bCs/>
          <w:color w:val="000000"/>
          <w:sz w:val="22"/>
          <w:szCs w:val="22"/>
          <w:lang w:val="es-ES" w:eastAsia="es-MX"/>
        </w:rPr>
        <w:t xml:space="preserve"> parcialmente a los </w:t>
      </w:r>
      <w:r w:rsidR="007D44FC" w:rsidRPr="005379A1">
        <w:rPr>
          <w:rFonts w:ascii="ITC Avant Garde" w:hAnsi="ITC Avant Garde"/>
          <w:bCs/>
          <w:color w:val="000000"/>
          <w:sz w:val="22"/>
          <w:szCs w:val="22"/>
          <w:lang w:val="es-ES" w:eastAsia="es-MX"/>
        </w:rPr>
        <w:t xml:space="preserve">siguientes </w:t>
      </w:r>
      <w:r w:rsidR="00E56D67" w:rsidRPr="005379A1">
        <w:rPr>
          <w:rFonts w:ascii="ITC Avant Garde" w:hAnsi="ITC Avant Garde"/>
          <w:bCs/>
          <w:color w:val="000000"/>
          <w:sz w:val="22"/>
          <w:szCs w:val="22"/>
          <w:lang w:val="es-ES" w:eastAsia="es-MX"/>
        </w:rPr>
        <w:t xml:space="preserve">pares de frecuencias otorgados </w:t>
      </w:r>
      <w:r w:rsidR="007D44FC" w:rsidRPr="005379A1">
        <w:rPr>
          <w:rFonts w:ascii="ITC Avant Garde" w:hAnsi="ITC Avant Garde"/>
          <w:bCs/>
          <w:color w:val="000000"/>
          <w:sz w:val="22"/>
          <w:szCs w:val="22"/>
          <w:lang w:val="es-ES" w:eastAsia="es-MX"/>
        </w:rPr>
        <w:t xml:space="preserve">al amparo de </w:t>
      </w:r>
      <w:r w:rsidR="00E56D67" w:rsidRPr="005379A1">
        <w:rPr>
          <w:rFonts w:ascii="ITC Avant Garde" w:hAnsi="ITC Avant Garde"/>
          <w:bCs/>
          <w:color w:val="000000"/>
          <w:sz w:val="22"/>
          <w:szCs w:val="22"/>
          <w:lang w:val="es-ES" w:eastAsia="es-MX"/>
        </w:rPr>
        <w:t>la Concesión:</w:t>
      </w:r>
    </w:p>
    <w:p w14:paraId="1A271046" w14:textId="0EF9AF1B" w:rsidR="00E56D67" w:rsidRPr="005379A1" w:rsidRDefault="001F6930" w:rsidP="001F6930">
      <w:pPr>
        <w:jc w:val="center"/>
        <w:rPr>
          <w:rFonts w:ascii="ITC Avant Garde" w:hAnsi="ITC Avant Garde"/>
          <w:bCs/>
          <w:color w:val="000000"/>
          <w:sz w:val="22"/>
          <w:szCs w:val="22"/>
          <w:lang w:val="es-ES" w:eastAsia="es-MX"/>
        </w:rPr>
      </w:pPr>
      <w:r w:rsidRPr="005379A1">
        <w:rPr>
          <w:rFonts w:ascii="ITC Avant Garde" w:hAnsi="ITC Avant Garde" w:cs="Arial"/>
          <w:b/>
          <w:sz w:val="16"/>
          <w:szCs w:val="16"/>
        </w:rPr>
        <w:t>GRUPO 3 C</w:t>
      </w:r>
    </w:p>
    <w:tbl>
      <w:tblPr>
        <w:tblStyle w:val="Cuadrculadetablaclara"/>
        <w:tblW w:w="2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upo 3C"/>
        <w:tblDescription w:val="La tabla proporciona información los datos de la serie para RX y TX en MHz."/>
      </w:tblPr>
      <w:tblGrid>
        <w:gridCol w:w="1155"/>
        <w:gridCol w:w="1230"/>
      </w:tblGrid>
      <w:tr w:rsidR="00E56D67" w:rsidRPr="005379A1" w14:paraId="1F21667E" w14:textId="77777777" w:rsidTr="005379A1">
        <w:trPr>
          <w:trHeight w:val="184"/>
          <w:tblHeader/>
          <w:jc w:val="center"/>
        </w:trPr>
        <w:tc>
          <w:tcPr>
            <w:tcW w:w="1155" w:type="dxa"/>
          </w:tcPr>
          <w:p w14:paraId="07EE7DBD" w14:textId="77777777" w:rsidR="00E56D67" w:rsidRPr="005379A1" w:rsidRDefault="00E56D67" w:rsidP="00A23E99">
            <w:pPr>
              <w:jc w:val="center"/>
              <w:rPr>
                <w:rFonts w:ascii="ITC Avant Garde" w:hAnsi="ITC Avant Garde" w:cs="Arial"/>
                <w:b/>
                <w:sz w:val="16"/>
                <w:szCs w:val="16"/>
              </w:rPr>
            </w:pPr>
            <w:proofErr w:type="spellStart"/>
            <w:r w:rsidRPr="005379A1">
              <w:rPr>
                <w:rFonts w:ascii="ITC Avant Garde" w:hAnsi="ITC Avant Garde" w:cs="Arial"/>
                <w:b/>
                <w:sz w:val="16"/>
                <w:szCs w:val="16"/>
              </w:rPr>
              <w:t>Rx</w:t>
            </w:r>
            <w:proofErr w:type="spellEnd"/>
            <w:r w:rsidRPr="005379A1">
              <w:rPr>
                <w:rFonts w:ascii="ITC Avant Garde" w:hAnsi="ITC Avant Garde" w:cs="Arial"/>
                <w:b/>
                <w:sz w:val="16"/>
                <w:szCs w:val="16"/>
              </w:rPr>
              <w:t xml:space="preserve"> (MHz)</w:t>
            </w:r>
          </w:p>
        </w:tc>
        <w:tc>
          <w:tcPr>
            <w:tcW w:w="1230" w:type="dxa"/>
          </w:tcPr>
          <w:p w14:paraId="635A6D56" w14:textId="77777777" w:rsidR="00E56D67" w:rsidRPr="005379A1" w:rsidRDefault="00E56D67" w:rsidP="00A23E99">
            <w:pPr>
              <w:jc w:val="center"/>
              <w:rPr>
                <w:rFonts w:ascii="ITC Avant Garde" w:hAnsi="ITC Avant Garde" w:cs="Arial"/>
                <w:b/>
                <w:sz w:val="16"/>
                <w:szCs w:val="16"/>
              </w:rPr>
            </w:pPr>
            <w:proofErr w:type="spellStart"/>
            <w:r w:rsidRPr="005379A1">
              <w:rPr>
                <w:rFonts w:ascii="ITC Avant Garde" w:hAnsi="ITC Avant Garde" w:cs="Arial"/>
                <w:b/>
                <w:sz w:val="16"/>
                <w:szCs w:val="16"/>
              </w:rPr>
              <w:t>Tx</w:t>
            </w:r>
            <w:proofErr w:type="spellEnd"/>
            <w:r w:rsidRPr="005379A1">
              <w:rPr>
                <w:rFonts w:ascii="ITC Avant Garde" w:hAnsi="ITC Avant Garde" w:cs="Arial"/>
                <w:b/>
                <w:sz w:val="16"/>
                <w:szCs w:val="16"/>
              </w:rPr>
              <w:t xml:space="preserve"> (MHz)</w:t>
            </w:r>
          </w:p>
        </w:tc>
      </w:tr>
      <w:tr w:rsidR="00E56D67" w:rsidRPr="005379A1" w14:paraId="3EABEE6B" w14:textId="77777777" w:rsidTr="001F6930">
        <w:trPr>
          <w:trHeight w:val="177"/>
          <w:jc w:val="center"/>
        </w:trPr>
        <w:tc>
          <w:tcPr>
            <w:tcW w:w="1155" w:type="dxa"/>
          </w:tcPr>
          <w:p w14:paraId="5F65B8FA" w14:textId="77777777" w:rsidR="00E56D67" w:rsidRPr="005379A1" w:rsidRDefault="00E56D67" w:rsidP="00A23E99">
            <w:pPr>
              <w:jc w:val="center"/>
              <w:rPr>
                <w:rFonts w:ascii="ITC Avant Garde" w:hAnsi="ITC Avant Garde" w:cs="Arial"/>
                <w:sz w:val="16"/>
                <w:szCs w:val="16"/>
              </w:rPr>
            </w:pPr>
            <w:r w:rsidRPr="005379A1">
              <w:rPr>
                <w:rFonts w:ascii="ITC Avant Garde" w:hAnsi="ITC Avant Garde" w:cs="Arial"/>
                <w:sz w:val="16"/>
                <w:szCs w:val="16"/>
              </w:rPr>
              <w:t>806.075</w:t>
            </w:r>
          </w:p>
        </w:tc>
        <w:tc>
          <w:tcPr>
            <w:tcW w:w="1230" w:type="dxa"/>
          </w:tcPr>
          <w:p w14:paraId="5C763A6A" w14:textId="77777777" w:rsidR="00E56D67" w:rsidRPr="005379A1" w:rsidRDefault="00E56D67" w:rsidP="00A23E99">
            <w:pPr>
              <w:jc w:val="center"/>
              <w:rPr>
                <w:rFonts w:ascii="ITC Avant Garde" w:hAnsi="ITC Avant Garde" w:cs="Arial"/>
                <w:sz w:val="16"/>
                <w:szCs w:val="16"/>
              </w:rPr>
            </w:pPr>
            <w:r w:rsidRPr="005379A1">
              <w:rPr>
                <w:rFonts w:ascii="ITC Avant Garde" w:hAnsi="ITC Avant Garde" w:cs="Arial"/>
                <w:sz w:val="16"/>
                <w:szCs w:val="16"/>
              </w:rPr>
              <w:t>851.075</w:t>
            </w:r>
          </w:p>
        </w:tc>
      </w:tr>
      <w:tr w:rsidR="00E56D67" w:rsidRPr="005379A1" w14:paraId="0BAEE220" w14:textId="77777777" w:rsidTr="001F6930">
        <w:trPr>
          <w:trHeight w:val="140"/>
          <w:jc w:val="center"/>
        </w:trPr>
        <w:tc>
          <w:tcPr>
            <w:tcW w:w="1155" w:type="dxa"/>
          </w:tcPr>
          <w:p w14:paraId="64E646A7" w14:textId="77777777" w:rsidR="00E56D67" w:rsidRPr="005379A1" w:rsidRDefault="00E56D67" w:rsidP="00A23E99">
            <w:pPr>
              <w:jc w:val="center"/>
              <w:rPr>
                <w:rFonts w:ascii="ITC Avant Garde" w:hAnsi="ITC Avant Garde" w:cs="Arial"/>
                <w:sz w:val="16"/>
                <w:szCs w:val="16"/>
              </w:rPr>
            </w:pPr>
            <w:r w:rsidRPr="005379A1">
              <w:rPr>
                <w:rFonts w:ascii="ITC Avant Garde" w:hAnsi="ITC Avant Garde" w:cs="Arial"/>
                <w:sz w:val="16"/>
                <w:szCs w:val="16"/>
              </w:rPr>
              <w:t>807.075</w:t>
            </w:r>
          </w:p>
        </w:tc>
        <w:tc>
          <w:tcPr>
            <w:tcW w:w="1230" w:type="dxa"/>
          </w:tcPr>
          <w:p w14:paraId="71314EF4" w14:textId="77777777" w:rsidR="00E56D67" w:rsidRPr="005379A1" w:rsidRDefault="00E56D67" w:rsidP="00A23E99">
            <w:pPr>
              <w:jc w:val="center"/>
              <w:rPr>
                <w:rFonts w:ascii="ITC Avant Garde" w:hAnsi="ITC Avant Garde" w:cs="Arial"/>
                <w:sz w:val="16"/>
                <w:szCs w:val="16"/>
              </w:rPr>
            </w:pPr>
            <w:r w:rsidRPr="005379A1">
              <w:rPr>
                <w:rFonts w:ascii="ITC Avant Garde" w:hAnsi="ITC Avant Garde" w:cs="Arial"/>
                <w:sz w:val="16"/>
                <w:szCs w:val="16"/>
              </w:rPr>
              <w:t>852.075</w:t>
            </w:r>
          </w:p>
        </w:tc>
      </w:tr>
      <w:tr w:rsidR="00E56D67" w:rsidRPr="005379A1" w14:paraId="4930C10B" w14:textId="77777777" w:rsidTr="001F6930">
        <w:trPr>
          <w:trHeight w:val="119"/>
          <w:jc w:val="center"/>
        </w:trPr>
        <w:tc>
          <w:tcPr>
            <w:tcW w:w="1155" w:type="dxa"/>
          </w:tcPr>
          <w:p w14:paraId="4F25A64A" w14:textId="77777777" w:rsidR="00E56D67" w:rsidRPr="005379A1" w:rsidRDefault="00E56D67" w:rsidP="00A23E99">
            <w:pPr>
              <w:jc w:val="center"/>
              <w:rPr>
                <w:rFonts w:ascii="ITC Avant Garde" w:hAnsi="ITC Avant Garde" w:cs="Arial"/>
                <w:sz w:val="16"/>
                <w:szCs w:val="16"/>
              </w:rPr>
            </w:pPr>
            <w:r w:rsidRPr="005379A1">
              <w:rPr>
                <w:rFonts w:ascii="ITC Avant Garde" w:hAnsi="ITC Avant Garde" w:cs="Arial"/>
                <w:sz w:val="16"/>
                <w:szCs w:val="16"/>
              </w:rPr>
              <w:t>808.075</w:t>
            </w:r>
          </w:p>
        </w:tc>
        <w:tc>
          <w:tcPr>
            <w:tcW w:w="1230" w:type="dxa"/>
          </w:tcPr>
          <w:p w14:paraId="7269355A" w14:textId="77777777" w:rsidR="00E56D67" w:rsidRPr="005379A1" w:rsidRDefault="00E56D67" w:rsidP="00A23E99">
            <w:pPr>
              <w:jc w:val="center"/>
              <w:rPr>
                <w:rFonts w:ascii="ITC Avant Garde" w:hAnsi="ITC Avant Garde" w:cs="Arial"/>
                <w:sz w:val="16"/>
                <w:szCs w:val="16"/>
              </w:rPr>
            </w:pPr>
            <w:r w:rsidRPr="005379A1">
              <w:rPr>
                <w:rFonts w:ascii="ITC Avant Garde" w:hAnsi="ITC Avant Garde" w:cs="Arial"/>
                <w:sz w:val="16"/>
                <w:szCs w:val="16"/>
              </w:rPr>
              <w:t>853.075</w:t>
            </w:r>
          </w:p>
        </w:tc>
      </w:tr>
      <w:tr w:rsidR="00E56D67" w:rsidRPr="005379A1" w14:paraId="1DDA3380" w14:textId="77777777" w:rsidTr="001F6930">
        <w:trPr>
          <w:trHeight w:val="48"/>
          <w:jc w:val="center"/>
        </w:trPr>
        <w:tc>
          <w:tcPr>
            <w:tcW w:w="1155" w:type="dxa"/>
          </w:tcPr>
          <w:p w14:paraId="6E6AACDE" w14:textId="77777777" w:rsidR="00E56D67" w:rsidRPr="005379A1" w:rsidRDefault="00E56D67" w:rsidP="00A23E99">
            <w:pPr>
              <w:jc w:val="center"/>
              <w:rPr>
                <w:rFonts w:ascii="ITC Avant Garde" w:hAnsi="ITC Avant Garde" w:cs="Arial"/>
                <w:sz w:val="16"/>
                <w:szCs w:val="16"/>
              </w:rPr>
            </w:pPr>
            <w:r w:rsidRPr="005379A1">
              <w:rPr>
                <w:rFonts w:ascii="ITC Avant Garde" w:hAnsi="ITC Avant Garde" w:cs="Arial"/>
                <w:sz w:val="16"/>
                <w:szCs w:val="16"/>
              </w:rPr>
              <w:t>809.075</w:t>
            </w:r>
          </w:p>
        </w:tc>
        <w:tc>
          <w:tcPr>
            <w:tcW w:w="1230" w:type="dxa"/>
          </w:tcPr>
          <w:p w14:paraId="0D76B3BE" w14:textId="77777777" w:rsidR="00E56D67" w:rsidRPr="005379A1" w:rsidRDefault="00E56D67" w:rsidP="00A23E99">
            <w:pPr>
              <w:jc w:val="center"/>
              <w:rPr>
                <w:rFonts w:ascii="ITC Avant Garde" w:hAnsi="ITC Avant Garde" w:cs="Arial"/>
                <w:sz w:val="16"/>
                <w:szCs w:val="16"/>
              </w:rPr>
            </w:pPr>
            <w:r w:rsidRPr="005379A1">
              <w:rPr>
                <w:rFonts w:ascii="ITC Avant Garde" w:hAnsi="ITC Avant Garde" w:cs="Arial"/>
                <w:sz w:val="16"/>
                <w:szCs w:val="16"/>
              </w:rPr>
              <w:t>854.075</w:t>
            </w:r>
          </w:p>
        </w:tc>
      </w:tr>
      <w:tr w:rsidR="00E56D67" w:rsidRPr="005379A1" w14:paraId="562C3D19" w14:textId="77777777" w:rsidTr="001F6930">
        <w:trPr>
          <w:trHeight w:val="22"/>
          <w:jc w:val="center"/>
        </w:trPr>
        <w:tc>
          <w:tcPr>
            <w:tcW w:w="1155" w:type="dxa"/>
          </w:tcPr>
          <w:p w14:paraId="56F6872C" w14:textId="77777777" w:rsidR="00E56D67" w:rsidRPr="005379A1" w:rsidRDefault="00E56D67" w:rsidP="00A23E99">
            <w:pPr>
              <w:jc w:val="center"/>
              <w:rPr>
                <w:rFonts w:ascii="ITC Avant Garde" w:hAnsi="ITC Avant Garde" w:cs="Arial"/>
                <w:sz w:val="16"/>
                <w:szCs w:val="16"/>
              </w:rPr>
            </w:pPr>
            <w:r w:rsidRPr="005379A1">
              <w:rPr>
                <w:rFonts w:ascii="ITC Avant Garde" w:hAnsi="ITC Avant Garde" w:cs="Arial"/>
                <w:sz w:val="16"/>
                <w:szCs w:val="16"/>
              </w:rPr>
              <w:lastRenderedPageBreak/>
              <w:t>810.075</w:t>
            </w:r>
          </w:p>
        </w:tc>
        <w:tc>
          <w:tcPr>
            <w:tcW w:w="1230" w:type="dxa"/>
          </w:tcPr>
          <w:p w14:paraId="4AAC7C60" w14:textId="77777777" w:rsidR="00E56D67" w:rsidRPr="005379A1" w:rsidRDefault="00E56D67" w:rsidP="00A23E99">
            <w:pPr>
              <w:jc w:val="center"/>
              <w:rPr>
                <w:rFonts w:ascii="ITC Avant Garde" w:hAnsi="ITC Avant Garde" w:cs="Arial"/>
                <w:sz w:val="16"/>
                <w:szCs w:val="16"/>
              </w:rPr>
            </w:pPr>
            <w:r w:rsidRPr="005379A1">
              <w:rPr>
                <w:rFonts w:ascii="ITC Avant Garde" w:hAnsi="ITC Avant Garde" w:cs="Arial"/>
                <w:sz w:val="16"/>
                <w:szCs w:val="16"/>
              </w:rPr>
              <w:t>855.075</w:t>
            </w:r>
          </w:p>
        </w:tc>
      </w:tr>
    </w:tbl>
    <w:p w14:paraId="3557A420" w14:textId="77777777" w:rsidR="00E56D67" w:rsidRPr="005379A1" w:rsidRDefault="00E56D67" w:rsidP="00E56D67">
      <w:pPr>
        <w:ind w:left="567"/>
        <w:jc w:val="both"/>
        <w:rPr>
          <w:rFonts w:ascii="ITC Avant Garde" w:hAnsi="ITC Avant Garde"/>
          <w:bCs/>
          <w:color w:val="000000"/>
          <w:sz w:val="22"/>
          <w:szCs w:val="22"/>
          <w:lang w:val="es-ES" w:eastAsia="es-MX"/>
        </w:rPr>
      </w:pPr>
    </w:p>
    <w:tbl>
      <w:tblPr>
        <w:tblStyle w:val="Cuadrculadetablaclara"/>
        <w:tblW w:w="4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upo 3C"/>
        <w:tblDescription w:val="La tabla proporciona información de dos series (13C y 23C) para RX y TX en MHz."/>
      </w:tblPr>
      <w:tblGrid>
        <w:gridCol w:w="1038"/>
        <w:gridCol w:w="1008"/>
        <w:gridCol w:w="1008"/>
        <w:gridCol w:w="1008"/>
      </w:tblGrid>
      <w:tr w:rsidR="004055ED" w:rsidRPr="005379A1" w14:paraId="22609832" w14:textId="77777777" w:rsidTr="005379A1">
        <w:trPr>
          <w:trHeight w:val="30"/>
          <w:tblHeader/>
          <w:jc w:val="center"/>
        </w:trPr>
        <w:tc>
          <w:tcPr>
            <w:tcW w:w="4062" w:type="dxa"/>
            <w:gridSpan w:val="4"/>
          </w:tcPr>
          <w:p w14:paraId="1C605E8D" w14:textId="59143FEE" w:rsidR="004055ED" w:rsidRPr="005379A1" w:rsidRDefault="004055ED" w:rsidP="00A75E4E">
            <w:pPr>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GRUPO 3 C</w:t>
            </w:r>
          </w:p>
        </w:tc>
      </w:tr>
      <w:tr w:rsidR="004055ED" w:rsidRPr="005379A1" w14:paraId="7905D85F" w14:textId="77777777" w:rsidTr="001F6930">
        <w:trPr>
          <w:trHeight w:val="22"/>
          <w:jc w:val="center"/>
        </w:trPr>
        <w:tc>
          <w:tcPr>
            <w:tcW w:w="2046" w:type="dxa"/>
            <w:gridSpan w:val="2"/>
          </w:tcPr>
          <w:p w14:paraId="6EBB6E48" w14:textId="77777777" w:rsidR="004055ED" w:rsidRPr="005379A1" w:rsidRDefault="004055ED" w:rsidP="00A75E4E">
            <w:pPr>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SERIE 13 C</w:t>
            </w:r>
          </w:p>
        </w:tc>
        <w:tc>
          <w:tcPr>
            <w:tcW w:w="2016" w:type="dxa"/>
            <w:gridSpan w:val="2"/>
          </w:tcPr>
          <w:p w14:paraId="2782C23C" w14:textId="77777777" w:rsidR="004055ED" w:rsidRPr="005379A1" w:rsidRDefault="004055ED" w:rsidP="00A75E4E">
            <w:pPr>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SERIE 23 C</w:t>
            </w:r>
          </w:p>
        </w:tc>
      </w:tr>
      <w:tr w:rsidR="004055ED" w:rsidRPr="005379A1" w14:paraId="72EB43F5" w14:textId="77777777" w:rsidTr="001F6930">
        <w:trPr>
          <w:trHeight w:val="184"/>
          <w:jc w:val="center"/>
        </w:trPr>
        <w:tc>
          <w:tcPr>
            <w:tcW w:w="1038" w:type="dxa"/>
          </w:tcPr>
          <w:p w14:paraId="704AB277" w14:textId="77777777" w:rsidR="004055ED" w:rsidRPr="005379A1" w:rsidRDefault="004055ED" w:rsidP="00A75E4E">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Rx</w:t>
            </w:r>
            <w:proofErr w:type="spellEnd"/>
            <w:r w:rsidRPr="005379A1">
              <w:rPr>
                <w:rFonts w:ascii="ITC Avant Garde" w:eastAsia="Calibri" w:hAnsi="ITC Avant Garde"/>
                <w:b/>
                <w:bCs/>
                <w:color w:val="000000"/>
                <w:sz w:val="16"/>
                <w:szCs w:val="16"/>
                <w:lang w:eastAsia="es-MX"/>
              </w:rPr>
              <w:t xml:space="preserve"> (MHz)</w:t>
            </w:r>
          </w:p>
        </w:tc>
        <w:tc>
          <w:tcPr>
            <w:tcW w:w="1008" w:type="dxa"/>
          </w:tcPr>
          <w:p w14:paraId="7CAD661B" w14:textId="77777777" w:rsidR="004055ED" w:rsidRPr="005379A1" w:rsidRDefault="004055ED" w:rsidP="00A75E4E">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Tx</w:t>
            </w:r>
            <w:proofErr w:type="spellEnd"/>
            <w:r w:rsidRPr="005379A1">
              <w:rPr>
                <w:rFonts w:ascii="ITC Avant Garde" w:eastAsia="Calibri" w:hAnsi="ITC Avant Garde"/>
                <w:b/>
                <w:bCs/>
                <w:color w:val="000000"/>
                <w:sz w:val="16"/>
                <w:szCs w:val="16"/>
                <w:lang w:eastAsia="es-MX"/>
              </w:rPr>
              <w:t xml:space="preserve"> (MHz)</w:t>
            </w:r>
          </w:p>
        </w:tc>
        <w:tc>
          <w:tcPr>
            <w:tcW w:w="1008" w:type="dxa"/>
          </w:tcPr>
          <w:p w14:paraId="233302C9" w14:textId="77777777" w:rsidR="004055ED" w:rsidRPr="005379A1" w:rsidRDefault="004055ED" w:rsidP="00A75E4E">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Rx</w:t>
            </w:r>
            <w:proofErr w:type="spellEnd"/>
            <w:r w:rsidRPr="005379A1">
              <w:rPr>
                <w:rFonts w:ascii="ITC Avant Garde" w:eastAsia="Calibri" w:hAnsi="ITC Avant Garde"/>
                <w:b/>
                <w:bCs/>
                <w:color w:val="000000"/>
                <w:sz w:val="16"/>
                <w:szCs w:val="16"/>
                <w:lang w:eastAsia="es-MX"/>
              </w:rPr>
              <w:t xml:space="preserve"> (MHz)</w:t>
            </w:r>
          </w:p>
        </w:tc>
        <w:tc>
          <w:tcPr>
            <w:tcW w:w="1008" w:type="dxa"/>
          </w:tcPr>
          <w:p w14:paraId="76FE9EED" w14:textId="77777777" w:rsidR="004055ED" w:rsidRPr="005379A1" w:rsidRDefault="004055ED" w:rsidP="00A75E4E">
            <w:pPr>
              <w:jc w:val="center"/>
              <w:rPr>
                <w:rFonts w:ascii="ITC Avant Garde" w:eastAsia="Calibri" w:hAnsi="ITC Avant Garde"/>
                <w:b/>
                <w:bCs/>
                <w:color w:val="000000"/>
                <w:sz w:val="16"/>
                <w:szCs w:val="16"/>
                <w:lang w:eastAsia="es-MX"/>
              </w:rPr>
            </w:pPr>
            <w:proofErr w:type="spellStart"/>
            <w:r w:rsidRPr="005379A1">
              <w:rPr>
                <w:rFonts w:ascii="ITC Avant Garde" w:eastAsia="Calibri" w:hAnsi="ITC Avant Garde"/>
                <w:b/>
                <w:bCs/>
                <w:color w:val="000000"/>
                <w:sz w:val="16"/>
                <w:szCs w:val="16"/>
                <w:lang w:eastAsia="es-MX"/>
              </w:rPr>
              <w:t>Tx</w:t>
            </w:r>
            <w:proofErr w:type="spellEnd"/>
            <w:r w:rsidRPr="005379A1">
              <w:rPr>
                <w:rFonts w:ascii="ITC Avant Garde" w:eastAsia="Calibri" w:hAnsi="ITC Avant Garde"/>
                <w:b/>
                <w:bCs/>
                <w:color w:val="000000"/>
                <w:sz w:val="16"/>
                <w:szCs w:val="16"/>
                <w:lang w:eastAsia="es-MX"/>
              </w:rPr>
              <w:t xml:space="preserve"> (MHz)</w:t>
            </w:r>
          </w:p>
        </w:tc>
      </w:tr>
      <w:tr w:rsidR="004055ED" w:rsidRPr="005379A1" w14:paraId="56FD2C8B" w14:textId="77777777" w:rsidTr="001F6930">
        <w:trPr>
          <w:trHeight w:val="177"/>
          <w:jc w:val="center"/>
        </w:trPr>
        <w:tc>
          <w:tcPr>
            <w:tcW w:w="1038" w:type="dxa"/>
          </w:tcPr>
          <w:p w14:paraId="469B104E"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806.325</w:t>
            </w:r>
          </w:p>
        </w:tc>
        <w:tc>
          <w:tcPr>
            <w:tcW w:w="1008" w:type="dxa"/>
          </w:tcPr>
          <w:p w14:paraId="45CD5561"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851.325</w:t>
            </w:r>
          </w:p>
        </w:tc>
        <w:tc>
          <w:tcPr>
            <w:tcW w:w="1008" w:type="dxa"/>
          </w:tcPr>
          <w:p w14:paraId="71514A4B"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806.575</w:t>
            </w:r>
          </w:p>
        </w:tc>
        <w:tc>
          <w:tcPr>
            <w:tcW w:w="1008" w:type="dxa"/>
          </w:tcPr>
          <w:p w14:paraId="569C1A34"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851.575</w:t>
            </w:r>
          </w:p>
        </w:tc>
      </w:tr>
      <w:tr w:rsidR="004055ED" w:rsidRPr="005379A1" w14:paraId="00D6DE56" w14:textId="77777777" w:rsidTr="001F6930">
        <w:trPr>
          <w:trHeight w:val="140"/>
          <w:jc w:val="center"/>
        </w:trPr>
        <w:tc>
          <w:tcPr>
            <w:tcW w:w="1038" w:type="dxa"/>
          </w:tcPr>
          <w:p w14:paraId="49A2ACF5"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807.325</w:t>
            </w:r>
          </w:p>
        </w:tc>
        <w:tc>
          <w:tcPr>
            <w:tcW w:w="1008" w:type="dxa"/>
          </w:tcPr>
          <w:p w14:paraId="00D21264"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852.325</w:t>
            </w:r>
          </w:p>
        </w:tc>
        <w:tc>
          <w:tcPr>
            <w:tcW w:w="1008" w:type="dxa"/>
          </w:tcPr>
          <w:p w14:paraId="16184293"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807.575</w:t>
            </w:r>
          </w:p>
        </w:tc>
        <w:tc>
          <w:tcPr>
            <w:tcW w:w="1008" w:type="dxa"/>
          </w:tcPr>
          <w:p w14:paraId="3BBEB661"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852.575</w:t>
            </w:r>
          </w:p>
        </w:tc>
      </w:tr>
      <w:tr w:rsidR="004055ED" w:rsidRPr="005379A1" w14:paraId="5B01A294" w14:textId="77777777" w:rsidTr="001F6930">
        <w:trPr>
          <w:trHeight w:val="119"/>
          <w:jc w:val="center"/>
        </w:trPr>
        <w:tc>
          <w:tcPr>
            <w:tcW w:w="1038" w:type="dxa"/>
          </w:tcPr>
          <w:p w14:paraId="4E1C36F3"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808.325</w:t>
            </w:r>
          </w:p>
        </w:tc>
        <w:tc>
          <w:tcPr>
            <w:tcW w:w="1008" w:type="dxa"/>
          </w:tcPr>
          <w:p w14:paraId="2B74F179"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853.325</w:t>
            </w:r>
          </w:p>
        </w:tc>
        <w:tc>
          <w:tcPr>
            <w:tcW w:w="1008" w:type="dxa"/>
          </w:tcPr>
          <w:p w14:paraId="40607697"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808.575</w:t>
            </w:r>
          </w:p>
        </w:tc>
        <w:tc>
          <w:tcPr>
            <w:tcW w:w="1008" w:type="dxa"/>
          </w:tcPr>
          <w:p w14:paraId="4FB24B35"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853.575</w:t>
            </w:r>
          </w:p>
        </w:tc>
      </w:tr>
      <w:tr w:rsidR="004055ED" w:rsidRPr="005379A1" w14:paraId="2E901834" w14:textId="77777777" w:rsidTr="001F6930">
        <w:trPr>
          <w:trHeight w:val="48"/>
          <w:jc w:val="center"/>
        </w:trPr>
        <w:tc>
          <w:tcPr>
            <w:tcW w:w="1038" w:type="dxa"/>
          </w:tcPr>
          <w:p w14:paraId="68C6E799"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809.325</w:t>
            </w:r>
          </w:p>
        </w:tc>
        <w:tc>
          <w:tcPr>
            <w:tcW w:w="1008" w:type="dxa"/>
          </w:tcPr>
          <w:p w14:paraId="31AFBEA3"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854.325</w:t>
            </w:r>
          </w:p>
        </w:tc>
        <w:tc>
          <w:tcPr>
            <w:tcW w:w="1008" w:type="dxa"/>
          </w:tcPr>
          <w:p w14:paraId="3E3135D4"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809.575</w:t>
            </w:r>
          </w:p>
        </w:tc>
        <w:tc>
          <w:tcPr>
            <w:tcW w:w="1008" w:type="dxa"/>
          </w:tcPr>
          <w:p w14:paraId="00EACBDA"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854.575</w:t>
            </w:r>
          </w:p>
        </w:tc>
      </w:tr>
      <w:tr w:rsidR="004055ED" w:rsidRPr="005379A1" w14:paraId="204E8142" w14:textId="77777777" w:rsidTr="001F6930">
        <w:trPr>
          <w:trHeight w:val="22"/>
          <w:jc w:val="center"/>
        </w:trPr>
        <w:tc>
          <w:tcPr>
            <w:tcW w:w="1038" w:type="dxa"/>
          </w:tcPr>
          <w:p w14:paraId="68FD5A2E"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810.325</w:t>
            </w:r>
          </w:p>
        </w:tc>
        <w:tc>
          <w:tcPr>
            <w:tcW w:w="1008" w:type="dxa"/>
          </w:tcPr>
          <w:p w14:paraId="5A798800"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855.325</w:t>
            </w:r>
          </w:p>
        </w:tc>
        <w:tc>
          <w:tcPr>
            <w:tcW w:w="1008" w:type="dxa"/>
          </w:tcPr>
          <w:p w14:paraId="03635A6B"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810.575</w:t>
            </w:r>
          </w:p>
        </w:tc>
        <w:tc>
          <w:tcPr>
            <w:tcW w:w="1008" w:type="dxa"/>
          </w:tcPr>
          <w:p w14:paraId="15907C5D" w14:textId="77777777" w:rsidR="004055ED" w:rsidRPr="005379A1" w:rsidRDefault="004055ED" w:rsidP="00A75E4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855.575</w:t>
            </w:r>
          </w:p>
        </w:tc>
      </w:tr>
    </w:tbl>
    <w:p w14:paraId="222951F6" w14:textId="77777777" w:rsidR="001C6AEE" w:rsidRPr="005379A1" w:rsidRDefault="001C6AEE" w:rsidP="005379A1">
      <w:pPr>
        <w:spacing w:after="240"/>
        <w:ind w:left="567"/>
        <w:jc w:val="both"/>
        <w:rPr>
          <w:rFonts w:ascii="ITC Avant Garde" w:hAnsi="ITC Avant Garde"/>
          <w:bCs/>
          <w:color w:val="000000"/>
          <w:sz w:val="22"/>
          <w:szCs w:val="22"/>
          <w:lang w:val="es-ES" w:eastAsia="es-MX"/>
        </w:rPr>
      </w:pPr>
    </w:p>
    <w:p w14:paraId="1DB18C44" w14:textId="77777777" w:rsidR="001C6AEE" w:rsidRPr="005379A1" w:rsidRDefault="004055ED" w:rsidP="005379A1">
      <w:pPr>
        <w:pStyle w:val="Prrafodelista"/>
        <w:numPr>
          <w:ilvl w:val="0"/>
          <w:numId w:val="1"/>
        </w:numPr>
        <w:spacing w:after="240"/>
        <w:jc w:val="both"/>
        <w:rPr>
          <w:rFonts w:ascii="ITC Avant Garde" w:hAnsi="ITC Avant Garde"/>
          <w:bCs/>
          <w:color w:val="000000"/>
          <w:sz w:val="22"/>
          <w:szCs w:val="22"/>
          <w:lang w:val="es-ES" w:eastAsia="es-MX"/>
        </w:rPr>
      </w:pPr>
      <w:r w:rsidRPr="005379A1">
        <w:rPr>
          <w:rFonts w:ascii="ITC Avant Garde" w:hAnsi="ITC Avant Garde"/>
          <w:b/>
          <w:bCs/>
          <w:color w:val="000000"/>
          <w:sz w:val="22"/>
          <w:szCs w:val="22"/>
          <w:lang w:val="es-ES" w:eastAsia="es-MX"/>
        </w:rPr>
        <w:t>Solicitud de desistimiento de renuncia a la asignación de frecuencias.</w:t>
      </w:r>
      <w:r w:rsidRPr="005379A1">
        <w:rPr>
          <w:rFonts w:ascii="ITC Avant Garde" w:hAnsi="ITC Avant Garde" w:cstheme="minorHAnsi"/>
          <w:bCs/>
          <w:sz w:val="22"/>
          <w:szCs w:val="22"/>
        </w:rPr>
        <w:t xml:space="preserve"> </w:t>
      </w:r>
      <w:r w:rsidR="00AE7987" w:rsidRPr="005379A1">
        <w:rPr>
          <w:rFonts w:ascii="ITC Avant Garde" w:hAnsi="ITC Avant Garde"/>
          <w:bCs/>
          <w:color w:val="000000"/>
          <w:sz w:val="22"/>
          <w:szCs w:val="22"/>
          <w:lang w:val="es-ES" w:eastAsia="es-MX"/>
        </w:rPr>
        <w:t>C</w:t>
      </w:r>
      <w:r w:rsidR="004733AB" w:rsidRPr="005379A1">
        <w:rPr>
          <w:rFonts w:ascii="ITC Avant Garde" w:hAnsi="ITC Avant Garde"/>
          <w:bCs/>
          <w:color w:val="000000"/>
          <w:sz w:val="22"/>
          <w:szCs w:val="22"/>
          <w:lang w:val="es-ES" w:eastAsia="es-MX"/>
        </w:rPr>
        <w:t xml:space="preserve">on oficio 2.1.203.-3692 de fecha 17 de junio de 2010, la </w:t>
      </w:r>
      <w:r w:rsidR="001A1120" w:rsidRPr="005379A1">
        <w:rPr>
          <w:rFonts w:ascii="ITC Avant Garde" w:hAnsi="ITC Avant Garde"/>
          <w:bCs/>
          <w:color w:val="000000"/>
          <w:sz w:val="22"/>
          <w:szCs w:val="22"/>
          <w:lang w:val="es-ES" w:eastAsia="es-MX"/>
        </w:rPr>
        <w:t xml:space="preserve">Dirección General de Política de Telecomunicaciones y </w:t>
      </w:r>
      <w:r w:rsidR="00DC6304" w:rsidRPr="005379A1">
        <w:rPr>
          <w:rFonts w:ascii="ITC Avant Garde" w:hAnsi="ITC Avant Garde"/>
          <w:bCs/>
          <w:color w:val="000000"/>
          <w:sz w:val="22"/>
          <w:szCs w:val="22"/>
          <w:lang w:val="es-ES" w:eastAsia="es-MX"/>
        </w:rPr>
        <w:t xml:space="preserve">de </w:t>
      </w:r>
      <w:r w:rsidR="001A1120" w:rsidRPr="005379A1">
        <w:rPr>
          <w:rFonts w:ascii="ITC Avant Garde" w:hAnsi="ITC Avant Garde"/>
          <w:bCs/>
          <w:color w:val="000000"/>
          <w:sz w:val="22"/>
          <w:szCs w:val="22"/>
          <w:lang w:val="es-ES" w:eastAsia="es-MX"/>
        </w:rPr>
        <w:t xml:space="preserve">Radiodifusión de la </w:t>
      </w:r>
      <w:r w:rsidR="004733AB" w:rsidRPr="005379A1">
        <w:rPr>
          <w:rFonts w:ascii="ITC Avant Garde" w:hAnsi="ITC Avant Garde"/>
          <w:bCs/>
          <w:color w:val="000000"/>
          <w:sz w:val="22"/>
          <w:szCs w:val="22"/>
          <w:lang w:val="es-ES" w:eastAsia="es-MX"/>
        </w:rPr>
        <w:t xml:space="preserve">Secretaría remitió para opinión de la Comisión, el escrito presentado </w:t>
      </w:r>
      <w:r w:rsidR="00DC6304" w:rsidRPr="005379A1">
        <w:rPr>
          <w:rFonts w:ascii="ITC Avant Garde" w:hAnsi="ITC Avant Garde"/>
          <w:bCs/>
          <w:color w:val="000000"/>
          <w:sz w:val="22"/>
          <w:szCs w:val="22"/>
          <w:lang w:val="es-ES" w:eastAsia="es-MX"/>
        </w:rPr>
        <w:t xml:space="preserve">el 15 de junio de 2010 </w:t>
      </w:r>
      <w:r w:rsidR="004733AB" w:rsidRPr="005379A1">
        <w:rPr>
          <w:rFonts w:ascii="ITC Avant Garde" w:hAnsi="ITC Avant Garde"/>
          <w:bCs/>
          <w:color w:val="000000"/>
          <w:sz w:val="22"/>
          <w:szCs w:val="22"/>
          <w:lang w:val="es-ES" w:eastAsia="es-MX"/>
        </w:rPr>
        <w:t>por Intercomunicación del Pacífico, por medio del cual solicita el desistimiento, para todos los efectos legales, de la renuncia de las bandas de frecuencias citadas en el escrito de fecha 13 de abril de 2010, así como de las peticiones formuladas en el mismo.</w:t>
      </w:r>
    </w:p>
    <w:p w14:paraId="58656797" w14:textId="77777777" w:rsidR="001C6AEE" w:rsidRPr="005379A1" w:rsidRDefault="00B41ED2" w:rsidP="005379A1">
      <w:pPr>
        <w:spacing w:after="240"/>
        <w:ind w:left="567"/>
        <w:jc w:val="both"/>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 xml:space="preserve">Al respecto, con oficio CFT/D01/STP/6641/10 de fecha 25 de octubre de 2010, la Secretaría Técnica del Pleno de la Comisión remitió a la Dirección General de Política de Telecomunicaciones y </w:t>
      </w:r>
      <w:r w:rsidR="00DC6304" w:rsidRPr="005379A1">
        <w:rPr>
          <w:rFonts w:ascii="ITC Avant Garde" w:hAnsi="ITC Avant Garde"/>
          <w:bCs/>
          <w:color w:val="000000"/>
          <w:sz w:val="22"/>
          <w:szCs w:val="22"/>
          <w:lang w:val="es-ES" w:eastAsia="es-MX"/>
        </w:rPr>
        <w:t xml:space="preserve">de </w:t>
      </w:r>
      <w:r w:rsidRPr="005379A1">
        <w:rPr>
          <w:rFonts w:ascii="ITC Avant Garde" w:hAnsi="ITC Avant Garde"/>
          <w:bCs/>
          <w:color w:val="000000"/>
          <w:sz w:val="22"/>
          <w:szCs w:val="22"/>
          <w:lang w:val="es-ES" w:eastAsia="es-MX"/>
        </w:rPr>
        <w:t xml:space="preserve">Radiodifusión de la Secretaría el Acuerdo No. P/220910/444 adoptado en la XII Sesión Ordinaria del Pleno de la Comisión, celebrada el 22 de </w:t>
      </w:r>
      <w:r w:rsidR="00223A00" w:rsidRPr="005379A1">
        <w:rPr>
          <w:rFonts w:ascii="ITC Avant Garde" w:hAnsi="ITC Avant Garde"/>
          <w:bCs/>
          <w:color w:val="000000"/>
          <w:sz w:val="22"/>
          <w:szCs w:val="22"/>
          <w:lang w:val="es-ES" w:eastAsia="es-MX"/>
        </w:rPr>
        <w:t>septiembre</w:t>
      </w:r>
      <w:r w:rsidRPr="005379A1">
        <w:rPr>
          <w:rFonts w:ascii="ITC Avant Garde" w:hAnsi="ITC Avant Garde"/>
          <w:bCs/>
          <w:color w:val="000000"/>
          <w:sz w:val="22"/>
          <w:szCs w:val="22"/>
          <w:lang w:val="es-ES" w:eastAsia="es-MX"/>
        </w:rPr>
        <w:t xml:space="preserve"> de 2010, </w:t>
      </w:r>
      <w:r w:rsidR="004733AB" w:rsidRPr="005379A1">
        <w:rPr>
          <w:rFonts w:ascii="ITC Avant Garde" w:hAnsi="ITC Avant Garde"/>
          <w:bCs/>
          <w:color w:val="000000"/>
          <w:sz w:val="22"/>
          <w:szCs w:val="22"/>
          <w:lang w:val="es-ES" w:eastAsia="es-MX"/>
        </w:rPr>
        <w:t>con</w:t>
      </w:r>
      <w:r w:rsidRPr="005379A1">
        <w:rPr>
          <w:rFonts w:ascii="ITC Avant Garde" w:hAnsi="ITC Avant Garde"/>
          <w:bCs/>
          <w:color w:val="000000"/>
          <w:sz w:val="22"/>
          <w:szCs w:val="22"/>
          <w:lang w:val="es-ES" w:eastAsia="es-MX"/>
        </w:rPr>
        <w:t xml:space="preserve"> </w:t>
      </w:r>
      <w:r w:rsidR="00223A00" w:rsidRPr="005379A1">
        <w:rPr>
          <w:rFonts w:ascii="ITC Avant Garde" w:hAnsi="ITC Avant Garde"/>
          <w:bCs/>
          <w:color w:val="000000"/>
          <w:sz w:val="22"/>
          <w:szCs w:val="22"/>
          <w:lang w:val="es-ES" w:eastAsia="es-MX"/>
        </w:rPr>
        <w:t>e</w:t>
      </w:r>
      <w:r w:rsidRPr="005379A1">
        <w:rPr>
          <w:rFonts w:ascii="ITC Avant Garde" w:hAnsi="ITC Avant Garde"/>
          <w:bCs/>
          <w:color w:val="000000"/>
          <w:sz w:val="22"/>
          <w:szCs w:val="22"/>
          <w:lang w:val="es-ES" w:eastAsia="es-MX"/>
        </w:rPr>
        <w:t>l cual</w:t>
      </w:r>
      <w:r w:rsidR="00223A00" w:rsidRPr="005379A1">
        <w:rPr>
          <w:rFonts w:ascii="ITC Avant Garde" w:hAnsi="ITC Avant Garde"/>
          <w:bCs/>
          <w:color w:val="000000"/>
          <w:sz w:val="22"/>
          <w:szCs w:val="22"/>
          <w:lang w:val="es-ES" w:eastAsia="es-MX"/>
        </w:rPr>
        <w:t xml:space="preserve"> emitió opinión</w:t>
      </w:r>
      <w:r w:rsidRPr="005379A1">
        <w:rPr>
          <w:rFonts w:ascii="ITC Avant Garde" w:hAnsi="ITC Avant Garde"/>
          <w:bCs/>
          <w:color w:val="000000"/>
          <w:sz w:val="22"/>
          <w:szCs w:val="22"/>
          <w:lang w:val="es-ES" w:eastAsia="es-MX"/>
        </w:rPr>
        <w:t xml:space="preserve"> </w:t>
      </w:r>
      <w:r w:rsidR="004733AB" w:rsidRPr="005379A1">
        <w:rPr>
          <w:rFonts w:ascii="ITC Avant Garde" w:hAnsi="ITC Avant Garde"/>
          <w:bCs/>
          <w:color w:val="000000"/>
          <w:sz w:val="22"/>
          <w:szCs w:val="22"/>
          <w:lang w:val="es-ES" w:eastAsia="es-MX"/>
        </w:rPr>
        <w:t xml:space="preserve">a la Secretaría </w:t>
      </w:r>
      <w:r w:rsidR="00223A00" w:rsidRPr="005379A1">
        <w:rPr>
          <w:rFonts w:ascii="ITC Avant Garde" w:hAnsi="ITC Avant Garde"/>
          <w:bCs/>
          <w:color w:val="000000"/>
          <w:sz w:val="22"/>
          <w:szCs w:val="22"/>
          <w:lang w:val="es-ES" w:eastAsia="es-MX"/>
        </w:rPr>
        <w:t>en el sentido de que</w:t>
      </w:r>
      <w:r w:rsidR="00AE7987" w:rsidRPr="005379A1">
        <w:rPr>
          <w:rFonts w:ascii="ITC Avant Garde" w:hAnsi="ITC Avant Garde"/>
          <w:bCs/>
          <w:color w:val="000000"/>
          <w:sz w:val="22"/>
          <w:szCs w:val="22"/>
          <w:lang w:val="es-ES" w:eastAsia="es-MX"/>
        </w:rPr>
        <w:t xml:space="preserve"> </w:t>
      </w:r>
      <w:r w:rsidR="009A1116" w:rsidRPr="005379A1">
        <w:rPr>
          <w:rFonts w:ascii="ITC Avant Garde" w:hAnsi="ITC Avant Garde"/>
          <w:bCs/>
          <w:color w:val="000000"/>
          <w:sz w:val="22"/>
          <w:szCs w:val="22"/>
          <w:lang w:val="es-ES" w:eastAsia="es-MX"/>
        </w:rPr>
        <w:t xml:space="preserve">no </w:t>
      </w:r>
      <w:r w:rsidR="00AE7987" w:rsidRPr="005379A1">
        <w:rPr>
          <w:rFonts w:ascii="ITC Avant Garde" w:hAnsi="ITC Avant Garde"/>
          <w:bCs/>
          <w:color w:val="000000"/>
          <w:sz w:val="22"/>
          <w:szCs w:val="22"/>
          <w:lang w:val="es-ES" w:eastAsia="es-MX"/>
        </w:rPr>
        <w:t>era procedente acordar de conformidad la solicitud de desistimiento de Intercomunicación del Pacífico, por no encontrar fundamento legal alguno para su procedencia.</w:t>
      </w:r>
    </w:p>
    <w:p w14:paraId="5925EB74" w14:textId="77777777" w:rsidR="001C6AEE" w:rsidRPr="005379A1" w:rsidRDefault="005F4709" w:rsidP="005379A1">
      <w:pPr>
        <w:numPr>
          <w:ilvl w:val="0"/>
          <w:numId w:val="1"/>
        </w:numPr>
        <w:spacing w:after="240"/>
        <w:jc w:val="both"/>
        <w:rPr>
          <w:rFonts w:ascii="ITC Avant Garde" w:hAnsi="ITC Avant Garde"/>
          <w:b/>
          <w:bCs/>
          <w:color w:val="000000"/>
          <w:sz w:val="22"/>
          <w:szCs w:val="22"/>
          <w:lang w:val="es-ES" w:eastAsia="es-MX"/>
        </w:rPr>
      </w:pPr>
      <w:r w:rsidRPr="005379A1">
        <w:rPr>
          <w:rFonts w:ascii="ITC Avant Garde" w:hAnsi="ITC Avant Garde"/>
          <w:b/>
          <w:bCs/>
          <w:color w:val="000000"/>
          <w:sz w:val="22"/>
          <w:szCs w:val="22"/>
          <w:lang w:val="es-ES" w:eastAsia="es-MX"/>
        </w:rPr>
        <w:t xml:space="preserve">Decreto de Reforma Constitucional. </w:t>
      </w:r>
      <w:r w:rsidR="00602741" w:rsidRPr="005379A1">
        <w:rPr>
          <w:rFonts w:ascii="ITC Avant Garde" w:eastAsia="Calibri" w:hAnsi="ITC Avant Garde"/>
          <w:bCs/>
          <w:color w:val="000000"/>
          <w:sz w:val="22"/>
          <w:szCs w:val="22"/>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como un órgano autónomo encargado del desarrollo eficiente de la radiodifusión y las telecomunicaciones (el “Instituto”).</w:t>
      </w:r>
    </w:p>
    <w:p w14:paraId="489B2E29" w14:textId="77777777" w:rsidR="001C6AEE" w:rsidRPr="005379A1" w:rsidRDefault="00546626" w:rsidP="005379A1">
      <w:pPr>
        <w:numPr>
          <w:ilvl w:val="0"/>
          <w:numId w:val="1"/>
        </w:numPr>
        <w:spacing w:after="240"/>
        <w:jc w:val="both"/>
        <w:rPr>
          <w:rFonts w:ascii="ITC Avant Garde" w:hAnsi="ITC Avant Garde"/>
          <w:b/>
          <w:bCs/>
          <w:color w:val="000000"/>
          <w:sz w:val="22"/>
          <w:szCs w:val="22"/>
          <w:lang w:val="es-ES" w:eastAsia="es-MX"/>
        </w:rPr>
      </w:pPr>
      <w:r w:rsidRPr="005379A1">
        <w:rPr>
          <w:rFonts w:ascii="ITC Avant Garde" w:hAnsi="ITC Avant Garde"/>
          <w:b/>
          <w:bCs/>
          <w:color w:val="000000"/>
          <w:sz w:val="22"/>
          <w:szCs w:val="22"/>
          <w:lang w:val="es-ES" w:eastAsia="es-MX"/>
        </w:rPr>
        <w:t xml:space="preserve">Opinión Técnica - Regulatoria. </w:t>
      </w:r>
      <w:r w:rsidR="00602741" w:rsidRPr="005379A1">
        <w:rPr>
          <w:rFonts w:ascii="ITC Avant Garde" w:eastAsia="Calibri" w:hAnsi="ITC Avant Garde"/>
          <w:bCs/>
          <w:color w:val="000000"/>
          <w:sz w:val="22"/>
          <w:szCs w:val="22"/>
          <w:lang w:eastAsia="es-MX"/>
        </w:rPr>
        <w:t xml:space="preserve">Con oficio CFT/D05/UPR/DGRA/109/2013 de fecha 13 de junio de 2013, la entonces Dirección General de Regulación “A”, adscrita a la Unidad de Prospectiva y Regulación de la Comisión, opinó </w:t>
      </w:r>
      <w:r w:rsidR="001A1120" w:rsidRPr="005379A1">
        <w:rPr>
          <w:rFonts w:ascii="ITC Avant Garde" w:eastAsia="Calibri" w:hAnsi="ITC Avant Garde"/>
          <w:bCs/>
          <w:color w:val="000000"/>
          <w:sz w:val="22"/>
          <w:szCs w:val="22"/>
          <w:lang w:eastAsia="es-MX"/>
        </w:rPr>
        <w:t xml:space="preserve">diversas solicitudes de prórroga de vigencia de títulos de concesión para la prestación del servicio móvil de radiocomunicación especializada de flotillas, entre la que se encontraba la Solicitud de Prórroga. Al respecto, dicha Dirección General señaló que </w:t>
      </w:r>
      <w:r w:rsidR="00602741" w:rsidRPr="005379A1">
        <w:rPr>
          <w:rFonts w:ascii="ITC Avant Garde" w:eastAsia="Calibri" w:hAnsi="ITC Avant Garde"/>
          <w:bCs/>
          <w:color w:val="000000"/>
          <w:sz w:val="22"/>
          <w:szCs w:val="22"/>
          <w:lang w:eastAsia="es-MX"/>
        </w:rPr>
        <w:t xml:space="preserve">la Solicitud de Prórroga resultaba procedente desde el punto de vista regulatorio y de planificación del espectro, sujeto al cumplimiento de diversas condiciones y </w:t>
      </w:r>
      <w:r w:rsidR="00602741" w:rsidRPr="005379A1">
        <w:rPr>
          <w:rFonts w:ascii="ITC Avant Garde" w:eastAsia="Calibri" w:hAnsi="ITC Avant Garde"/>
          <w:bCs/>
          <w:color w:val="000000"/>
          <w:sz w:val="22"/>
          <w:szCs w:val="22"/>
          <w:lang w:eastAsia="es-MX"/>
        </w:rPr>
        <w:lastRenderedPageBreak/>
        <w:t>reservas entre las que se señaló que la prórroga que se concediera debería otorgarse dentro de la banda de frecuencias de 410-430 MHz.</w:t>
      </w:r>
    </w:p>
    <w:p w14:paraId="26DE29FD" w14:textId="77777777" w:rsidR="001C6AEE" w:rsidRPr="005379A1" w:rsidRDefault="001A1120" w:rsidP="005379A1">
      <w:pPr>
        <w:numPr>
          <w:ilvl w:val="0"/>
          <w:numId w:val="1"/>
        </w:numPr>
        <w:spacing w:after="240"/>
        <w:jc w:val="both"/>
        <w:rPr>
          <w:rFonts w:ascii="ITC Avant Garde" w:eastAsia="Calibri" w:hAnsi="ITC Avant Garde"/>
          <w:bCs/>
          <w:color w:val="000000"/>
          <w:sz w:val="22"/>
          <w:szCs w:val="22"/>
          <w:lang w:eastAsia="es-MX"/>
        </w:rPr>
      </w:pPr>
      <w:r w:rsidRPr="005379A1">
        <w:rPr>
          <w:rFonts w:ascii="ITC Avant Garde" w:eastAsia="Calibri" w:hAnsi="ITC Avant Garde"/>
          <w:b/>
          <w:bCs/>
          <w:color w:val="000000"/>
          <w:sz w:val="22"/>
          <w:szCs w:val="22"/>
          <w:lang w:eastAsia="es-MX"/>
        </w:rPr>
        <w:t>Integración del Instituto.</w:t>
      </w:r>
      <w:r w:rsidRPr="005379A1">
        <w:rPr>
          <w:rFonts w:ascii="ITC Avant Garde" w:eastAsia="Calibri" w:hAnsi="ITC Avant Garde"/>
          <w:bCs/>
          <w:color w:val="000000"/>
          <w:sz w:val="22"/>
          <w:szCs w:val="22"/>
          <w:lang w:eastAsia="es-MX"/>
        </w:rPr>
        <w:t xml:space="preserve"> El 10 de septiembre de 2013 quedó debidamente integrado el Instituto, en términos de lo dispuesto por el artículo Sexto Transitorio del Decreto de Reforma Constitucional, mediante la ratificación, por parte del Senado de la República, de los nombramientos de los Comisionados que integran su órgano de gobierno y la designación de su Presidente.</w:t>
      </w:r>
    </w:p>
    <w:p w14:paraId="233A36B4" w14:textId="77777777" w:rsidR="001C6AEE" w:rsidRPr="005379A1" w:rsidRDefault="00C67180" w:rsidP="005379A1">
      <w:pPr>
        <w:numPr>
          <w:ilvl w:val="0"/>
          <w:numId w:val="1"/>
        </w:numPr>
        <w:spacing w:after="240"/>
        <w:jc w:val="both"/>
        <w:rPr>
          <w:rFonts w:ascii="ITC Avant Garde" w:hAnsi="ITC Avant Garde"/>
          <w:bCs/>
          <w:color w:val="000000"/>
          <w:sz w:val="22"/>
          <w:szCs w:val="22"/>
          <w:lang w:val="es-ES" w:eastAsia="es-MX"/>
        </w:rPr>
      </w:pPr>
      <w:r w:rsidRPr="005379A1">
        <w:rPr>
          <w:rFonts w:ascii="ITC Avant Garde" w:hAnsi="ITC Avant Garde"/>
          <w:b/>
          <w:bCs/>
          <w:color w:val="000000"/>
          <w:sz w:val="22"/>
          <w:szCs w:val="22"/>
          <w:lang w:eastAsia="es-MX"/>
        </w:rPr>
        <w:t xml:space="preserve">Decreto de </w:t>
      </w:r>
      <w:r w:rsidR="002F65B4" w:rsidRPr="005379A1">
        <w:rPr>
          <w:rFonts w:ascii="ITC Avant Garde" w:hAnsi="ITC Avant Garde"/>
          <w:b/>
          <w:bCs/>
          <w:color w:val="000000"/>
          <w:sz w:val="22"/>
          <w:szCs w:val="22"/>
          <w:lang w:eastAsia="es-MX"/>
        </w:rPr>
        <w:t>Ley</w:t>
      </w:r>
      <w:r w:rsidR="001C3587" w:rsidRPr="005379A1">
        <w:rPr>
          <w:rFonts w:ascii="ITC Avant Garde" w:hAnsi="ITC Avant Garde"/>
          <w:b/>
          <w:bCs/>
          <w:color w:val="000000"/>
          <w:sz w:val="22"/>
          <w:szCs w:val="22"/>
          <w:lang w:eastAsia="es-MX"/>
        </w:rPr>
        <w:t>.</w:t>
      </w:r>
      <w:r w:rsidR="001C3587" w:rsidRPr="005379A1">
        <w:rPr>
          <w:rFonts w:ascii="ITC Avant Garde" w:hAnsi="ITC Avant Garde"/>
          <w:bCs/>
          <w:color w:val="000000" w:themeColor="text1"/>
          <w:sz w:val="22"/>
          <w:szCs w:val="22"/>
          <w:lang w:eastAsia="es-MX"/>
        </w:rPr>
        <w:t xml:space="preserve"> </w:t>
      </w:r>
      <w:r w:rsidR="00602741" w:rsidRPr="005379A1">
        <w:rPr>
          <w:rFonts w:ascii="ITC Avant Garde" w:eastAsia="Calibri" w:hAnsi="ITC Avant Garde"/>
          <w:bCs/>
          <w:color w:val="000000"/>
          <w:sz w:val="22"/>
          <w:szCs w:val="22"/>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w:t>
      </w:r>
      <w:r w:rsidR="00602741" w:rsidRPr="005379A1">
        <w:rPr>
          <w:rFonts w:ascii="ITC Avant Garde" w:hAnsi="ITC Avant Garde"/>
          <w:bCs/>
          <w:color w:val="000000" w:themeColor="text1"/>
          <w:sz w:val="22"/>
          <w:szCs w:val="22"/>
          <w:lang w:eastAsia="es-MX"/>
        </w:rPr>
        <w:t>, mismo que entró en vigor el 13 de agosto de 2014</w:t>
      </w:r>
      <w:r w:rsidR="00602741" w:rsidRPr="005379A1">
        <w:rPr>
          <w:rFonts w:ascii="ITC Avant Garde" w:eastAsia="Calibri" w:hAnsi="ITC Avant Garde"/>
          <w:bCs/>
          <w:color w:val="000000"/>
          <w:sz w:val="22"/>
          <w:szCs w:val="22"/>
          <w:lang w:eastAsia="es-MX"/>
        </w:rPr>
        <w:t>.</w:t>
      </w:r>
    </w:p>
    <w:p w14:paraId="6F16CABF" w14:textId="33FD9B43" w:rsidR="007013A0" w:rsidRPr="005379A1" w:rsidRDefault="005F4709" w:rsidP="005379A1">
      <w:pPr>
        <w:numPr>
          <w:ilvl w:val="0"/>
          <w:numId w:val="1"/>
        </w:numPr>
        <w:spacing w:after="240"/>
        <w:jc w:val="both"/>
        <w:rPr>
          <w:rFonts w:ascii="ITC Avant Garde" w:eastAsia="Calibri" w:hAnsi="ITC Avant Garde"/>
          <w:b/>
          <w:bCs/>
          <w:color w:val="000000"/>
          <w:sz w:val="22"/>
          <w:szCs w:val="22"/>
          <w:lang w:eastAsia="es-MX"/>
        </w:rPr>
      </w:pPr>
      <w:r w:rsidRPr="005379A1">
        <w:rPr>
          <w:rFonts w:ascii="ITC Avant Garde" w:hAnsi="ITC Avant Garde"/>
          <w:b/>
          <w:bCs/>
          <w:color w:val="000000" w:themeColor="text1"/>
          <w:sz w:val="22"/>
          <w:szCs w:val="22"/>
          <w:lang w:eastAsia="es-MX"/>
        </w:rPr>
        <w:t>Estatuto Orgánico.</w:t>
      </w:r>
      <w:r w:rsidRPr="005379A1">
        <w:rPr>
          <w:rFonts w:ascii="ITC Avant Garde" w:hAnsi="ITC Avant Garde"/>
          <w:bCs/>
          <w:color w:val="000000" w:themeColor="text1"/>
          <w:sz w:val="22"/>
          <w:szCs w:val="22"/>
          <w:lang w:eastAsia="es-MX"/>
        </w:rPr>
        <w:t xml:space="preserve"> </w:t>
      </w:r>
      <w:r w:rsidR="00602741" w:rsidRPr="005379A1">
        <w:rPr>
          <w:rFonts w:ascii="ITC Avant Garde" w:eastAsia="Calibri" w:hAnsi="ITC Avant Garde"/>
          <w:bCs/>
          <w:color w:val="000000"/>
          <w:sz w:val="22"/>
          <w:szCs w:val="22"/>
          <w:lang w:eastAsia="es-MX"/>
        </w:rPr>
        <w:t>El 4 de septiembre de 2014, se publicó en el Diario Oficial de la Federación el “Estatuto Orgánico del Instituto Federal de Telecomunicaciones” (el “Estatuto Orgánico”), mismo que entró en vigor el 26 de septiembre de 2014 y fue modificado el 17 de octubre del mismo año.</w:t>
      </w:r>
    </w:p>
    <w:p w14:paraId="4A8F22DA" w14:textId="77777777" w:rsidR="001C6AEE" w:rsidRPr="005379A1" w:rsidRDefault="007013A0" w:rsidP="005379A1">
      <w:pPr>
        <w:numPr>
          <w:ilvl w:val="0"/>
          <w:numId w:val="1"/>
        </w:numPr>
        <w:spacing w:after="240"/>
        <w:jc w:val="both"/>
        <w:rPr>
          <w:rFonts w:ascii="ITC Avant Garde" w:eastAsia="Calibri" w:hAnsi="ITC Avant Garde"/>
          <w:bCs/>
          <w:color w:val="000000"/>
          <w:sz w:val="22"/>
          <w:szCs w:val="22"/>
          <w:lang w:eastAsia="es-MX"/>
        </w:rPr>
      </w:pPr>
      <w:r w:rsidRPr="005379A1">
        <w:rPr>
          <w:rFonts w:ascii="ITC Avant Garde" w:eastAsia="Calibri" w:hAnsi="ITC Avant Garde"/>
          <w:b/>
          <w:bCs/>
          <w:color w:val="000000"/>
          <w:sz w:val="22"/>
          <w:szCs w:val="22"/>
          <w:lang w:eastAsia="es-MX"/>
        </w:rPr>
        <w:t>Opinión de la Dirección General de Ingeniería del Espectro y Estudios Técnicos respecto de la</w:t>
      </w:r>
      <w:r w:rsidR="008551AE" w:rsidRPr="005379A1">
        <w:rPr>
          <w:rFonts w:ascii="ITC Avant Garde" w:eastAsia="Calibri" w:hAnsi="ITC Avant Garde"/>
          <w:b/>
          <w:bCs/>
          <w:color w:val="000000"/>
          <w:sz w:val="22"/>
          <w:szCs w:val="22"/>
          <w:lang w:eastAsia="es-MX"/>
        </w:rPr>
        <w:t xml:space="preserve"> Solicitud</w:t>
      </w:r>
      <w:r w:rsidRPr="005379A1">
        <w:rPr>
          <w:rFonts w:ascii="ITC Avant Garde" w:eastAsia="Calibri" w:hAnsi="ITC Avant Garde"/>
          <w:b/>
          <w:bCs/>
          <w:color w:val="000000"/>
          <w:sz w:val="22"/>
          <w:szCs w:val="22"/>
          <w:lang w:eastAsia="es-MX"/>
        </w:rPr>
        <w:t xml:space="preserve"> de Prórroga. </w:t>
      </w:r>
      <w:r w:rsidR="00602741" w:rsidRPr="005379A1">
        <w:rPr>
          <w:rFonts w:ascii="ITC Avant Garde" w:hAnsi="ITC Avant Garde"/>
          <w:bCs/>
          <w:color w:val="000000"/>
          <w:sz w:val="22"/>
          <w:szCs w:val="22"/>
          <w:lang w:val="es-ES" w:eastAsia="es-MX"/>
        </w:rPr>
        <w:t>Con oficio IFT/222/UER/DG-IEET/625/2015 de fecha 19 de junio de 2015, la Dirección General de Ingeniería del Espectro y Estudios Técnicos</w:t>
      </w:r>
      <w:r w:rsidR="001A1120" w:rsidRPr="005379A1">
        <w:rPr>
          <w:rFonts w:ascii="ITC Avant Garde" w:hAnsi="ITC Avant Garde"/>
          <w:bCs/>
          <w:color w:val="000000"/>
          <w:sz w:val="22"/>
          <w:szCs w:val="22"/>
          <w:lang w:val="es-ES" w:eastAsia="es-MX"/>
        </w:rPr>
        <w:t>, adscrita a la Unidad de Espectro Radioeléctrico</w:t>
      </w:r>
      <w:r w:rsidR="00602741" w:rsidRPr="005379A1">
        <w:rPr>
          <w:rFonts w:ascii="ITC Avant Garde" w:hAnsi="ITC Avant Garde"/>
          <w:bCs/>
          <w:color w:val="000000"/>
          <w:sz w:val="22"/>
          <w:szCs w:val="22"/>
          <w:lang w:val="es-ES" w:eastAsia="es-MX"/>
        </w:rPr>
        <w:t xml:space="preserve"> del Instituto</w:t>
      </w:r>
      <w:r w:rsidR="00E2060F" w:rsidRPr="005379A1">
        <w:rPr>
          <w:rFonts w:ascii="ITC Avant Garde" w:hAnsi="ITC Avant Garde"/>
          <w:bCs/>
          <w:color w:val="000000"/>
          <w:sz w:val="22"/>
          <w:szCs w:val="22"/>
          <w:lang w:val="es-ES" w:eastAsia="es-MX"/>
        </w:rPr>
        <w:t>,</w:t>
      </w:r>
      <w:r w:rsidR="00602741" w:rsidRPr="005379A1">
        <w:rPr>
          <w:rFonts w:ascii="ITC Avant Garde" w:hAnsi="ITC Avant Garde"/>
          <w:bCs/>
          <w:color w:val="000000"/>
          <w:sz w:val="22"/>
          <w:szCs w:val="22"/>
          <w:lang w:val="es-ES" w:eastAsia="es-MX"/>
        </w:rPr>
        <w:t xml:space="preserve"> propuso la canalización del segmento 410-430 MHz, así como las frecuencias de operación, área de cobertura y las características técnico-operativas que busquen evitar o minimizar riesgos de interferencias perjudiciales para diversas empresas que solicitan prórroga de vigencia de títulos de concesión para la prestación del servicio móvil de radiocomunicación especializada de flotillas</w:t>
      </w:r>
      <w:r w:rsidR="001A1120" w:rsidRPr="005379A1">
        <w:rPr>
          <w:rFonts w:ascii="ITC Avant Garde" w:hAnsi="ITC Avant Garde"/>
          <w:bCs/>
          <w:color w:val="000000"/>
          <w:sz w:val="22"/>
          <w:szCs w:val="22"/>
          <w:lang w:val="es-ES" w:eastAsia="es-MX"/>
        </w:rPr>
        <w:t>, entre las que se encontraba la Solicitud de Prórroga</w:t>
      </w:r>
      <w:r w:rsidR="00602741" w:rsidRPr="005379A1">
        <w:rPr>
          <w:rFonts w:ascii="ITC Avant Garde" w:hAnsi="ITC Avant Garde"/>
          <w:bCs/>
          <w:color w:val="000000"/>
          <w:sz w:val="22"/>
          <w:szCs w:val="22"/>
          <w:lang w:val="es-ES" w:eastAsia="es-MX"/>
        </w:rPr>
        <w:t>.</w:t>
      </w:r>
    </w:p>
    <w:p w14:paraId="51B72398" w14:textId="77777777" w:rsidR="001C6AEE" w:rsidRPr="005379A1" w:rsidRDefault="007013A0" w:rsidP="005379A1">
      <w:pPr>
        <w:numPr>
          <w:ilvl w:val="0"/>
          <w:numId w:val="1"/>
        </w:numPr>
        <w:spacing w:after="240"/>
        <w:jc w:val="both"/>
        <w:rPr>
          <w:rFonts w:ascii="ITC Avant Garde" w:eastAsia="Calibri" w:hAnsi="ITC Avant Garde"/>
          <w:bCs/>
          <w:color w:val="000000"/>
          <w:sz w:val="22"/>
          <w:szCs w:val="22"/>
          <w:lang w:eastAsia="es-MX"/>
        </w:rPr>
      </w:pPr>
      <w:r w:rsidRPr="005379A1">
        <w:rPr>
          <w:rFonts w:ascii="ITC Avant Garde" w:eastAsia="Calibri" w:hAnsi="ITC Avant Garde"/>
          <w:b/>
          <w:bCs/>
          <w:color w:val="000000"/>
          <w:sz w:val="22"/>
          <w:szCs w:val="22"/>
          <w:lang w:eastAsia="es-MX"/>
        </w:rPr>
        <w:t xml:space="preserve">Opinión en materia de competencia económica respecto de la Solicitud de Prórroga. </w:t>
      </w:r>
      <w:r w:rsidRPr="005379A1">
        <w:rPr>
          <w:rFonts w:ascii="ITC Avant Garde" w:eastAsia="Calibri" w:hAnsi="ITC Avant Garde"/>
          <w:bCs/>
          <w:color w:val="000000"/>
          <w:sz w:val="22"/>
          <w:szCs w:val="22"/>
          <w:lang w:eastAsia="es-MX"/>
        </w:rPr>
        <w:t>Con oficio IFT/226/UCE/DG-CCON/</w:t>
      </w:r>
      <w:r w:rsidR="00BE58CB" w:rsidRPr="005379A1">
        <w:rPr>
          <w:rFonts w:ascii="ITC Avant Garde" w:eastAsia="Calibri" w:hAnsi="ITC Avant Garde"/>
          <w:bCs/>
          <w:color w:val="000000"/>
          <w:sz w:val="22"/>
          <w:szCs w:val="22"/>
          <w:lang w:eastAsia="es-MX"/>
        </w:rPr>
        <w:t>139</w:t>
      </w:r>
      <w:r w:rsidRPr="005379A1">
        <w:rPr>
          <w:rFonts w:ascii="ITC Avant Garde" w:eastAsia="Calibri" w:hAnsi="ITC Avant Garde"/>
          <w:bCs/>
          <w:color w:val="000000"/>
          <w:sz w:val="22"/>
          <w:szCs w:val="22"/>
          <w:lang w:eastAsia="es-MX"/>
        </w:rPr>
        <w:t xml:space="preserve">/2015 de fecha </w:t>
      </w:r>
      <w:r w:rsidR="00BE58CB" w:rsidRPr="005379A1">
        <w:rPr>
          <w:rFonts w:ascii="ITC Avant Garde" w:eastAsia="Calibri" w:hAnsi="ITC Avant Garde"/>
          <w:bCs/>
          <w:color w:val="000000"/>
          <w:sz w:val="22"/>
          <w:szCs w:val="22"/>
          <w:lang w:eastAsia="es-MX"/>
        </w:rPr>
        <w:t>30 de junio</w:t>
      </w:r>
      <w:r w:rsidRPr="005379A1">
        <w:rPr>
          <w:rFonts w:ascii="ITC Avant Garde" w:eastAsia="Calibri" w:hAnsi="ITC Avant Garde"/>
          <w:bCs/>
          <w:color w:val="000000"/>
          <w:sz w:val="22"/>
          <w:szCs w:val="22"/>
          <w:lang w:eastAsia="es-MX"/>
        </w:rPr>
        <w:t xml:space="preserve"> de 201</w:t>
      </w:r>
      <w:r w:rsidR="00BE58CB" w:rsidRPr="005379A1">
        <w:rPr>
          <w:rFonts w:ascii="ITC Avant Garde" w:eastAsia="Calibri" w:hAnsi="ITC Avant Garde"/>
          <w:bCs/>
          <w:color w:val="000000"/>
          <w:sz w:val="22"/>
          <w:szCs w:val="22"/>
          <w:lang w:eastAsia="es-MX"/>
        </w:rPr>
        <w:t>5</w:t>
      </w:r>
      <w:r w:rsidRPr="005379A1">
        <w:rPr>
          <w:rFonts w:ascii="ITC Avant Garde" w:eastAsia="Calibri" w:hAnsi="ITC Avant Garde"/>
          <w:bCs/>
          <w:color w:val="000000"/>
          <w:sz w:val="22"/>
          <w:szCs w:val="22"/>
          <w:lang w:eastAsia="es-MX"/>
        </w:rPr>
        <w:t>, la Dirección General de Concentraciones y Concesiones</w:t>
      </w:r>
      <w:r w:rsidR="00EE799B" w:rsidRPr="005379A1">
        <w:rPr>
          <w:rFonts w:ascii="ITC Avant Garde" w:eastAsia="Calibri" w:hAnsi="ITC Avant Garde"/>
          <w:bCs/>
          <w:color w:val="000000"/>
          <w:sz w:val="22"/>
          <w:szCs w:val="22"/>
          <w:lang w:eastAsia="es-MX"/>
        </w:rPr>
        <w:t>,</w:t>
      </w:r>
      <w:r w:rsidRPr="005379A1">
        <w:rPr>
          <w:rFonts w:ascii="ITC Avant Garde" w:eastAsia="Calibri" w:hAnsi="ITC Avant Garde"/>
          <w:bCs/>
          <w:color w:val="000000"/>
          <w:sz w:val="22"/>
          <w:szCs w:val="22"/>
          <w:lang w:eastAsia="es-MX"/>
        </w:rPr>
        <w:t xml:space="preserve"> adscrita a la Unidad de Competencia Económica del Instituto, emitió opinión respecto a la Solicitud de Prórroga señalando</w:t>
      </w:r>
      <w:r w:rsidR="00C66796" w:rsidRPr="005379A1">
        <w:rPr>
          <w:rFonts w:ascii="ITC Avant Garde" w:eastAsia="Calibri" w:hAnsi="ITC Avant Garde"/>
          <w:bCs/>
          <w:color w:val="000000"/>
          <w:sz w:val="22"/>
          <w:szCs w:val="22"/>
          <w:lang w:eastAsia="es-MX"/>
        </w:rPr>
        <w:t xml:space="preserve">, entre otros aspectos, </w:t>
      </w:r>
      <w:r w:rsidRPr="005379A1">
        <w:rPr>
          <w:rFonts w:ascii="ITC Avant Garde" w:eastAsia="Calibri" w:hAnsi="ITC Avant Garde"/>
          <w:bCs/>
          <w:color w:val="000000"/>
          <w:sz w:val="22"/>
          <w:szCs w:val="22"/>
          <w:lang w:eastAsia="es-MX"/>
        </w:rPr>
        <w:t xml:space="preserve">que </w:t>
      </w:r>
      <w:r w:rsidR="00C66796" w:rsidRPr="005379A1">
        <w:rPr>
          <w:rFonts w:ascii="ITC Avant Garde" w:eastAsia="Calibri" w:hAnsi="ITC Avant Garde"/>
          <w:bCs/>
          <w:color w:val="000000"/>
          <w:sz w:val="22"/>
          <w:szCs w:val="22"/>
          <w:lang w:eastAsia="es-MX"/>
        </w:rPr>
        <w:t xml:space="preserve">con base en la información disponible, </w:t>
      </w:r>
      <w:r w:rsidRPr="005379A1">
        <w:rPr>
          <w:rFonts w:ascii="ITC Avant Garde" w:eastAsia="Calibri" w:hAnsi="ITC Avant Garde"/>
          <w:bCs/>
          <w:color w:val="000000"/>
          <w:sz w:val="22"/>
          <w:szCs w:val="22"/>
          <w:lang w:eastAsia="es-MX"/>
        </w:rPr>
        <w:t xml:space="preserve">no se identificaban elementos ni indicios de que la autorización de la prórroga solicitada por </w:t>
      </w:r>
      <w:r w:rsidR="00CB0706" w:rsidRPr="005379A1">
        <w:rPr>
          <w:rFonts w:ascii="ITC Avant Garde" w:eastAsia="Calibri" w:hAnsi="ITC Avant Garde"/>
          <w:bCs/>
          <w:color w:val="000000"/>
          <w:sz w:val="22"/>
          <w:szCs w:val="22"/>
          <w:lang w:eastAsia="es-MX"/>
        </w:rPr>
        <w:t>Intercomunicación del Pacífico</w:t>
      </w:r>
      <w:r w:rsidRPr="005379A1">
        <w:rPr>
          <w:rFonts w:ascii="ITC Avant Garde" w:eastAsia="Calibri" w:hAnsi="ITC Avant Garde"/>
          <w:bCs/>
          <w:color w:val="000000"/>
          <w:sz w:val="22"/>
          <w:szCs w:val="22"/>
          <w:lang w:eastAsia="es-MX"/>
        </w:rPr>
        <w:t xml:space="preserve">, pudiera </w:t>
      </w:r>
      <w:r w:rsidR="00E2060F" w:rsidRPr="005379A1">
        <w:rPr>
          <w:rFonts w:ascii="ITC Avant Garde" w:eastAsia="Calibri" w:hAnsi="ITC Avant Garde"/>
          <w:bCs/>
          <w:color w:val="000000"/>
          <w:sz w:val="22"/>
          <w:szCs w:val="22"/>
          <w:lang w:eastAsia="es-MX"/>
        </w:rPr>
        <w:t xml:space="preserve">generar </w:t>
      </w:r>
      <w:r w:rsidRPr="005379A1">
        <w:rPr>
          <w:rFonts w:ascii="ITC Avant Garde" w:eastAsia="Calibri" w:hAnsi="ITC Avant Garde"/>
          <w:bCs/>
          <w:color w:val="000000"/>
          <w:sz w:val="22"/>
          <w:szCs w:val="22"/>
          <w:lang w:eastAsia="es-MX"/>
        </w:rPr>
        <w:t>efectos contrarios en el proceso de competencia y libre concurrencia en los mercados.</w:t>
      </w:r>
    </w:p>
    <w:p w14:paraId="08DAFD4E" w14:textId="7038E507" w:rsidR="001C6AEE" w:rsidRPr="005379A1" w:rsidRDefault="002A3AFB" w:rsidP="005379A1">
      <w:pPr>
        <w:numPr>
          <w:ilvl w:val="0"/>
          <w:numId w:val="1"/>
        </w:numPr>
        <w:spacing w:after="240"/>
        <w:jc w:val="both"/>
        <w:rPr>
          <w:rFonts w:ascii="ITC Avant Garde" w:eastAsia="Calibri" w:hAnsi="ITC Avant Garde"/>
          <w:bCs/>
          <w:color w:val="000000"/>
          <w:sz w:val="22"/>
          <w:szCs w:val="22"/>
          <w:lang w:eastAsia="es-MX"/>
        </w:rPr>
      </w:pPr>
      <w:r w:rsidRPr="005379A1">
        <w:rPr>
          <w:rFonts w:ascii="ITC Avant Garde" w:eastAsia="Calibri" w:hAnsi="ITC Avant Garde"/>
          <w:b/>
          <w:bCs/>
          <w:color w:val="000000"/>
          <w:sz w:val="22"/>
          <w:szCs w:val="22"/>
          <w:lang w:eastAsia="es-MX"/>
        </w:rPr>
        <w:t xml:space="preserve">Aprovechamiento autorizado por la Secretaría de Hacienda y Crédito Público. </w:t>
      </w:r>
      <w:r w:rsidRPr="005379A1">
        <w:rPr>
          <w:rFonts w:ascii="ITC Avant Garde" w:eastAsia="Calibri" w:hAnsi="ITC Avant Garde"/>
          <w:bCs/>
          <w:color w:val="000000"/>
          <w:sz w:val="22"/>
          <w:szCs w:val="22"/>
          <w:lang w:eastAsia="es-MX"/>
        </w:rPr>
        <w:t>Con oficios IFT/222/UER/010/2014 e IFT/222/UER/154/2015 de fechas 6 de octubre de 2014 y 24 de junio de 2015, respectivamente, la Unidad de Espectro Radioeléctrico</w:t>
      </w:r>
      <w:r w:rsidR="00E2060F" w:rsidRPr="005379A1">
        <w:rPr>
          <w:rFonts w:ascii="ITC Avant Garde" w:eastAsia="Calibri" w:hAnsi="ITC Avant Garde"/>
          <w:bCs/>
          <w:color w:val="000000"/>
          <w:sz w:val="22"/>
          <w:szCs w:val="22"/>
          <w:lang w:eastAsia="es-MX"/>
        </w:rPr>
        <w:t xml:space="preserve"> del Instituto</w:t>
      </w:r>
      <w:r w:rsidRPr="005379A1">
        <w:rPr>
          <w:rFonts w:ascii="ITC Avant Garde" w:eastAsia="Calibri" w:hAnsi="ITC Avant Garde"/>
          <w:bCs/>
          <w:color w:val="000000"/>
          <w:sz w:val="22"/>
          <w:szCs w:val="22"/>
          <w:lang w:eastAsia="es-MX"/>
        </w:rPr>
        <w:t xml:space="preserve"> solicitó a la Unidad de Política de Ingresos No Tributarios </w:t>
      </w:r>
      <w:r w:rsidRPr="005379A1">
        <w:rPr>
          <w:rFonts w:ascii="ITC Avant Garde" w:eastAsia="Calibri" w:hAnsi="ITC Avant Garde"/>
          <w:bCs/>
          <w:color w:val="000000"/>
          <w:sz w:val="22"/>
          <w:szCs w:val="22"/>
          <w:lang w:eastAsia="es-MX"/>
        </w:rPr>
        <w:lastRenderedPageBreak/>
        <w:t>de la Secretaría de Hacienda y Crédito Público, autorizar el aprovechamiento que debería</w:t>
      </w:r>
      <w:r w:rsidR="00C66796" w:rsidRPr="005379A1">
        <w:rPr>
          <w:rFonts w:ascii="ITC Avant Garde" w:eastAsia="Calibri" w:hAnsi="ITC Avant Garde"/>
          <w:bCs/>
          <w:color w:val="000000"/>
          <w:sz w:val="22"/>
          <w:szCs w:val="22"/>
          <w:lang w:eastAsia="es-MX"/>
        </w:rPr>
        <w:t>n</w:t>
      </w:r>
      <w:r w:rsidRPr="005379A1">
        <w:rPr>
          <w:rFonts w:ascii="ITC Avant Garde" w:eastAsia="Calibri" w:hAnsi="ITC Avant Garde"/>
          <w:bCs/>
          <w:color w:val="000000"/>
          <w:sz w:val="22"/>
          <w:szCs w:val="22"/>
          <w:lang w:eastAsia="es-MX"/>
        </w:rPr>
        <w:t xml:space="preserve"> pagar </w:t>
      </w:r>
      <w:r w:rsidR="00C66796" w:rsidRPr="005379A1">
        <w:rPr>
          <w:rFonts w:ascii="ITC Avant Garde" w:hAnsi="ITC Avant Garde"/>
          <w:bCs/>
          <w:color w:val="000000"/>
          <w:sz w:val="22"/>
          <w:szCs w:val="22"/>
          <w:lang w:val="es-ES" w:eastAsia="es-MX"/>
        </w:rPr>
        <w:t xml:space="preserve">diversos concesionarios que habían presentado solicitudes de prórroga de títulos de concesión para prestar el servicio móvil de radiocomunicación especializada de flotillas, entre los que se encontraba </w:t>
      </w:r>
      <w:r w:rsidR="00CB0706" w:rsidRPr="005379A1">
        <w:rPr>
          <w:rFonts w:ascii="ITC Avant Garde" w:eastAsia="Calibri" w:hAnsi="ITC Avant Garde"/>
          <w:bCs/>
          <w:color w:val="000000"/>
          <w:sz w:val="22"/>
          <w:szCs w:val="22"/>
          <w:lang w:eastAsia="es-MX"/>
        </w:rPr>
        <w:t>Intercomunicación del Pacífico</w:t>
      </w:r>
      <w:r w:rsidRPr="005379A1">
        <w:rPr>
          <w:rFonts w:ascii="ITC Avant Garde" w:eastAsia="Calibri" w:hAnsi="ITC Avant Garde"/>
          <w:bCs/>
          <w:color w:val="000000"/>
          <w:sz w:val="22"/>
          <w:szCs w:val="22"/>
          <w:lang w:eastAsia="es-MX"/>
        </w:rPr>
        <w:t>, considerando, entre otras, las nuevas condiciones técnico-operativas que al efecto se establecerían.</w:t>
      </w:r>
    </w:p>
    <w:p w14:paraId="3DD26EBD" w14:textId="77777777" w:rsidR="001C6AEE" w:rsidRPr="005379A1" w:rsidRDefault="002A3AFB" w:rsidP="005379A1">
      <w:pPr>
        <w:spacing w:after="240"/>
        <w:ind w:left="567"/>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Con oficios 349-B-367 y 349-B-264 de fechas 28 de octubre de 2014 y 1 de julio de 2015, respectivamente, la Unidad de Política de Ingresos No Tributarios de la Secretaría de Hacienda y Crédito Público autorizó el cobro de</w:t>
      </w:r>
      <w:r w:rsidR="00B56AF1" w:rsidRPr="005379A1">
        <w:rPr>
          <w:rFonts w:ascii="ITC Avant Garde" w:eastAsia="Calibri" w:hAnsi="ITC Avant Garde"/>
          <w:bCs/>
          <w:color w:val="000000"/>
          <w:sz w:val="22"/>
          <w:szCs w:val="22"/>
          <w:lang w:eastAsia="es-MX"/>
        </w:rPr>
        <w:t>l</w:t>
      </w:r>
      <w:r w:rsidRPr="005379A1">
        <w:rPr>
          <w:rFonts w:ascii="ITC Avant Garde" w:eastAsia="Calibri" w:hAnsi="ITC Avant Garde"/>
          <w:bCs/>
          <w:color w:val="000000"/>
          <w:sz w:val="22"/>
          <w:szCs w:val="22"/>
          <w:lang w:eastAsia="es-MX"/>
        </w:rPr>
        <w:t xml:space="preserve"> aprovechamiento que </w:t>
      </w:r>
      <w:r w:rsidR="00C66796" w:rsidRPr="005379A1">
        <w:rPr>
          <w:rFonts w:ascii="ITC Avant Garde" w:eastAsia="Calibri" w:hAnsi="ITC Avant Garde"/>
          <w:bCs/>
          <w:color w:val="000000"/>
          <w:sz w:val="22"/>
          <w:szCs w:val="22"/>
          <w:lang w:eastAsia="es-MX"/>
        </w:rPr>
        <w:t>deberían pagar diversos concesionarios por las solicitudes de prórroga relacionadas con la prestación del servicio móvil de radiocomunicación especializada de flotillas, entre los que se encontraba</w:t>
      </w:r>
      <w:r w:rsidRPr="005379A1">
        <w:rPr>
          <w:rFonts w:ascii="ITC Avant Garde" w:eastAsia="Calibri" w:hAnsi="ITC Avant Garde"/>
          <w:bCs/>
          <w:color w:val="000000"/>
          <w:sz w:val="22"/>
          <w:szCs w:val="22"/>
          <w:lang w:eastAsia="es-MX"/>
        </w:rPr>
        <w:t xml:space="preserve"> </w:t>
      </w:r>
      <w:r w:rsidR="00CB0706" w:rsidRPr="005379A1">
        <w:rPr>
          <w:rFonts w:ascii="ITC Avant Garde" w:hAnsi="ITC Avant Garde"/>
          <w:bCs/>
          <w:color w:val="000000"/>
          <w:sz w:val="22"/>
          <w:szCs w:val="22"/>
          <w:lang w:val="es-ES" w:eastAsia="es-MX"/>
        </w:rPr>
        <w:t>Intercomunicación del Pacífico</w:t>
      </w:r>
      <w:r w:rsidRPr="005379A1">
        <w:rPr>
          <w:rFonts w:ascii="ITC Avant Garde" w:eastAsia="Calibri" w:hAnsi="ITC Avant Garde"/>
          <w:bCs/>
          <w:color w:val="000000"/>
          <w:sz w:val="22"/>
          <w:szCs w:val="22"/>
          <w:lang w:eastAsia="es-MX"/>
        </w:rPr>
        <w:t>, por el otorgamiento de la prórroga de la Concesión.</w:t>
      </w:r>
    </w:p>
    <w:p w14:paraId="0D7E5501" w14:textId="77777777" w:rsidR="001C6AEE" w:rsidRPr="005379A1" w:rsidRDefault="00A75E4E" w:rsidP="005379A1">
      <w:pPr>
        <w:numPr>
          <w:ilvl w:val="0"/>
          <w:numId w:val="1"/>
        </w:numPr>
        <w:spacing w:after="240"/>
        <w:jc w:val="both"/>
        <w:rPr>
          <w:rFonts w:ascii="ITC Avant Garde" w:eastAsia="Calibri" w:hAnsi="ITC Avant Garde"/>
          <w:bCs/>
          <w:color w:val="000000"/>
          <w:sz w:val="22"/>
          <w:szCs w:val="22"/>
          <w:lang w:eastAsia="es-MX"/>
        </w:rPr>
      </w:pPr>
      <w:r w:rsidRPr="005379A1">
        <w:rPr>
          <w:rFonts w:ascii="ITC Avant Garde" w:eastAsia="Calibri" w:hAnsi="ITC Avant Garde"/>
          <w:b/>
          <w:bCs/>
          <w:color w:val="000000"/>
          <w:sz w:val="22"/>
          <w:szCs w:val="22"/>
          <w:lang w:eastAsia="es-MX"/>
        </w:rPr>
        <w:t xml:space="preserve">Opinión jurídica respecto de la Solicitud de Prórroga. </w:t>
      </w:r>
      <w:r w:rsidRPr="005379A1">
        <w:rPr>
          <w:rFonts w:ascii="ITC Avant Garde" w:eastAsia="Calibri" w:hAnsi="ITC Avant Garde"/>
          <w:bCs/>
          <w:color w:val="000000"/>
          <w:sz w:val="22"/>
          <w:szCs w:val="22"/>
          <w:lang w:eastAsia="es-MX"/>
        </w:rPr>
        <w:t>Con oficio IFT/227/UAJ/161/2015 de fecha 14 de septiembre 2015, la Unidad de Asuntos Jurídicos del Instituto remitió la opinión jurídica respecto del impacto en la Solicitud de Prórroga de las medidas</w:t>
      </w:r>
      <w:r w:rsidR="00C374A7" w:rsidRPr="005379A1">
        <w:rPr>
          <w:rFonts w:ascii="ITC Avant Garde" w:eastAsia="Calibri" w:hAnsi="ITC Avant Garde"/>
          <w:bCs/>
          <w:color w:val="000000"/>
          <w:sz w:val="22"/>
          <w:szCs w:val="22"/>
          <w:lang w:eastAsia="es-MX"/>
        </w:rPr>
        <w:t xml:space="preserve"> de preponderancia</w:t>
      </w:r>
      <w:r w:rsidRPr="005379A1">
        <w:rPr>
          <w:rFonts w:ascii="ITC Avant Garde" w:eastAsia="Calibri" w:hAnsi="ITC Avant Garde"/>
          <w:bCs/>
          <w:color w:val="000000"/>
          <w:sz w:val="22"/>
          <w:szCs w:val="22"/>
          <w:lang w:eastAsia="es-MX"/>
        </w:rPr>
        <w:t xml:space="preserve"> impuestas al agente económico del que forma parte </w:t>
      </w:r>
      <w:r w:rsidR="00C374A7" w:rsidRPr="005379A1">
        <w:rPr>
          <w:rFonts w:ascii="ITC Avant Garde" w:eastAsia="Calibri" w:hAnsi="ITC Avant Garde"/>
          <w:bCs/>
          <w:color w:val="000000"/>
          <w:sz w:val="22"/>
          <w:szCs w:val="22"/>
          <w:lang w:eastAsia="es-MX"/>
        </w:rPr>
        <w:t>Intercomunicación del Pacífico.</w:t>
      </w:r>
    </w:p>
    <w:p w14:paraId="1D397037" w14:textId="77777777" w:rsidR="001C6AEE" w:rsidRPr="005379A1" w:rsidRDefault="00C66796" w:rsidP="005379A1">
      <w:pPr>
        <w:pStyle w:val="Prrafodelista"/>
        <w:numPr>
          <w:ilvl w:val="0"/>
          <w:numId w:val="1"/>
        </w:numPr>
        <w:spacing w:after="240"/>
        <w:jc w:val="both"/>
        <w:rPr>
          <w:rFonts w:ascii="ITC Avant Garde" w:eastAsia="Calibri" w:hAnsi="ITC Avant Garde"/>
          <w:bCs/>
          <w:color w:val="000000"/>
          <w:sz w:val="22"/>
          <w:szCs w:val="22"/>
          <w:lang w:eastAsia="es-MX"/>
        </w:rPr>
      </w:pPr>
      <w:r w:rsidRPr="005379A1">
        <w:rPr>
          <w:rFonts w:ascii="ITC Avant Garde" w:eastAsia="Calibri" w:hAnsi="ITC Avant Garde"/>
          <w:b/>
          <w:bCs/>
          <w:color w:val="000000"/>
          <w:sz w:val="22"/>
          <w:szCs w:val="22"/>
          <w:lang w:eastAsia="es-MX"/>
        </w:rPr>
        <w:t>Actualización del monto del aprovechamiento autorizado por la Secretaría de Hacienda y Crédito Público.</w:t>
      </w:r>
      <w:r w:rsidRPr="005379A1">
        <w:rPr>
          <w:rFonts w:ascii="ITC Avant Garde" w:eastAsia="Calibri" w:hAnsi="ITC Avant Garde"/>
          <w:bCs/>
          <w:color w:val="000000"/>
          <w:sz w:val="22"/>
          <w:szCs w:val="22"/>
          <w:lang w:eastAsia="es-MX"/>
        </w:rPr>
        <w:t xml:space="preserve"> Mediante oficio IFT/222/</w:t>
      </w:r>
      <w:r w:rsidR="005373E4" w:rsidRPr="005379A1">
        <w:rPr>
          <w:rFonts w:ascii="ITC Avant Garde" w:eastAsia="Calibri" w:hAnsi="ITC Avant Garde"/>
          <w:bCs/>
          <w:color w:val="000000"/>
          <w:sz w:val="22"/>
          <w:szCs w:val="22"/>
          <w:lang w:eastAsia="es-MX"/>
        </w:rPr>
        <w:t>UER/</w:t>
      </w:r>
      <w:r w:rsidRPr="005379A1">
        <w:rPr>
          <w:rFonts w:ascii="ITC Avant Garde" w:eastAsia="Calibri" w:hAnsi="ITC Avant Garde"/>
          <w:bCs/>
          <w:color w:val="000000"/>
          <w:sz w:val="22"/>
          <w:szCs w:val="22"/>
          <w:lang w:eastAsia="es-MX"/>
        </w:rPr>
        <w:t xml:space="preserve">DG-EERO/008/2016 de fecha 11 de enero de 2016, la Dirección General de Economía del Espectro y Recursos Orbitales, adscrita a la Unidad de Espectro Radioeléctrico, actualizó al mes de enero de 2016, el monto de los aprovechamientos autorizados en su momento por la Secretaría de Hacienda y Crédito Público y que se señalan en el Antecedente XIV de la presente Resolución. </w:t>
      </w:r>
    </w:p>
    <w:p w14:paraId="770F59C2" w14:textId="77777777" w:rsidR="001C6AEE" w:rsidRPr="005379A1" w:rsidRDefault="00A248D7" w:rsidP="005379A1">
      <w:pPr>
        <w:spacing w:before="240" w:after="240"/>
        <w:ind w:right="99"/>
        <w:jc w:val="both"/>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 xml:space="preserve">En virtud de los antecedentes referidos, y </w:t>
      </w:r>
    </w:p>
    <w:p w14:paraId="6FA686E7" w14:textId="77777777" w:rsidR="001C6AEE" w:rsidRPr="005379A1" w:rsidRDefault="00A248D7" w:rsidP="005379A1">
      <w:pPr>
        <w:pStyle w:val="Ttulo2"/>
        <w:spacing w:before="240" w:after="240"/>
        <w:jc w:val="center"/>
        <w:rPr>
          <w:rFonts w:ascii="ITC Avant Garde" w:hAnsi="ITC Avant Garde"/>
          <w:b/>
          <w:color w:val="000000" w:themeColor="text1"/>
          <w:sz w:val="22"/>
          <w:szCs w:val="22"/>
        </w:rPr>
      </w:pPr>
      <w:r w:rsidRPr="005379A1">
        <w:rPr>
          <w:rFonts w:ascii="ITC Avant Garde" w:hAnsi="ITC Avant Garde"/>
          <w:b/>
          <w:color w:val="000000" w:themeColor="text1"/>
          <w:sz w:val="22"/>
          <w:szCs w:val="22"/>
        </w:rPr>
        <w:t>CONSIDERANDO</w:t>
      </w:r>
    </w:p>
    <w:p w14:paraId="0E5A6F93" w14:textId="22F36CED" w:rsidR="001C6AEE" w:rsidRPr="005379A1" w:rsidRDefault="008E519E" w:rsidP="005379A1">
      <w:pPr>
        <w:autoSpaceDE w:val="0"/>
        <w:autoSpaceDN w:val="0"/>
        <w:adjustRightInd w:val="0"/>
        <w:spacing w:before="240"/>
        <w:jc w:val="both"/>
        <w:rPr>
          <w:rFonts w:ascii="ITC Avant Garde" w:eastAsia="Calibri" w:hAnsi="ITC Avant Garde"/>
          <w:bCs/>
          <w:color w:val="000000"/>
          <w:sz w:val="22"/>
          <w:szCs w:val="22"/>
          <w:lang w:eastAsia="es-MX"/>
        </w:rPr>
      </w:pPr>
      <w:r w:rsidRPr="005379A1">
        <w:rPr>
          <w:rFonts w:ascii="ITC Avant Garde" w:eastAsia="Calibri" w:hAnsi="ITC Avant Garde"/>
          <w:b/>
          <w:bCs/>
          <w:color w:val="000000"/>
          <w:sz w:val="22"/>
          <w:szCs w:val="22"/>
          <w:lang w:eastAsia="es-MX"/>
        </w:rPr>
        <w:t>Primero.- Competencia.</w:t>
      </w:r>
      <w:r w:rsidRPr="005379A1">
        <w:rPr>
          <w:rFonts w:ascii="ITC Avant Garde" w:hAnsi="ITC Avant Garde" w:cstheme="minorHAnsi"/>
          <w:bCs/>
          <w:sz w:val="22"/>
          <w:szCs w:val="22"/>
        </w:rPr>
        <w:t xml:space="preserve"> </w:t>
      </w:r>
      <w:r w:rsidR="00132DD5" w:rsidRPr="005379A1">
        <w:rPr>
          <w:rFonts w:ascii="ITC Avant Garde" w:eastAsia="Calibri" w:hAnsi="ITC Avant Garde"/>
          <w:bCs/>
          <w:color w:val="000000"/>
          <w:sz w:val="22"/>
          <w:szCs w:val="22"/>
          <w:lang w:eastAsia="es-MX"/>
        </w:rPr>
        <w:t>Conforme lo dispone el artículo 28 párrafo décimo quinto de la Constitución Política de los Estados Unidos Mexicanos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B925D6B" w14:textId="77777777" w:rsidR="001C6AEE" w:rsidRPr="005379A1" w:rsidRDefault="00132DD5" w:rsidP="005379A1">
      <w:pPr>
        <w:autoSpaceDE w:val="0"/>
        <w:autoSpaceDN w:val="0"/>
        <w:adjustRightInd w:val="0"/>
        <w:spacing w:before="240"/>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 xml:space="preserve">Asimismo, en términos del párrafo décimo sexto del artículo constitucional antes mencionado, el Instituto es la autoridad en la materia de competencia económica de </w:t>
      </w:r>
      <w:r w:rsidRPr="005379A1">
        <w:rPr>
          <w:rFonts w:ascii="ITC Avant Garde" w:eastAsia="Calibri" w:hAnsi="ITC Avant Garde"/>
          <w:bCs/>
          <w:color w:val="000000"/>
          <w:sz w:val="22"/>
          <w:szCs w:val="22"/>
          <w:lang w:eastAsia="es-MX"/>
        </w:rPr>
        <w:lastRenderedPageBreak/>
        <w:t xml:space="preserve">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5379A1">
        <w:rPr>
          <w:rFonts w:ascii="ITC Avant Garde" w:eastAsia="Calibri" w:hAnsi="ITC Avant Garde"/>
          <w:bCs/>
          <w:color w:val="000000"/>
          <w:sz w:val="22"/>
          <w:szCs w:val="22"/>
          <w:lang w:eastAsia="es-MX"/>
        </w:rPr>
        <w:t>concesionamiento</w:t>
      </w:r>
      <w:proofErr w:type="spellEnd"/>
      <w:r w:rsidRPr="005379A1">
        <w:rPr>
          <w:rFonts w:ascii="ITC Avant Garde" w:eastAsia="Calibri" w:hAnsi="ITC Avant Garde"/>
          <w:bCs/>
          <w:color w:val="000000"/>
          <w:sz w:val="22"/>
          <w:szCs w:val="22"/>
          <w:lang w:eastAsia="es-MX"/>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D0CE310" w14:textId="77777777" w:rsidR="001C6AEE" w:rsidRPr="005379A1" w:rsidRDefault="00132DD5" w:rsidP="005379A1">
      <w:pPr>
        <w:autoSpaceDE w:val="0"/>
        <w:autoSpaceDN w:val="0"/>
        <w:adjustRightInd w:val="0"/>
        <w:spacing w:before="240"/>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 xml:space="preserve">Por su parte, el artículo Sexto Transitorio del Decreto de Ley establece que la atención, trámite y resolución de los asuntos y procedimientos iniciados con anterioridad a la entrada en vigor del mismo, como es el caso en particular, se realizará en los términos establecidos </w:t>
      </w:r>
      <w:r w:rsidR="007176C2" w:rsidRPr="005379A1">
        <w:rPr>
          <w:rFonts w:ascii="ITC Avant Garde" w:eastAsia="Calibri" w:hAnsi="ITC Avant Garde"/>
          <w:bCs/>
          <w:color w:val="000000"/>
          <w:sz w:val="22"/>
          <w:szCs w:val="22"/>
          <w:lang w:eastAsia="es-MX"/>
        </w:rPr>
        <w:t>por</w:t>
      </w:r>
      <w:r w:rsidRPr="005379A1">
        <w:rPr>
          <w:rFonts w:ascii="ITC Avant Garde" w:eastAsia="Calibri" w:hAnsi="ITC Avant Garde"/>
          <w:bCs/>
          <w:color w:val="000000"/>
          <w:sz w:val="22"/>
          <w:szCs w:val="22"/>
          <w:lang w:eastAsia="es-MX"/>
        </w:rPr>
        <w:t xml:space="preserve"> el artículo Séptimo Transitorio del Decreto de Reforma Constitucional.</w:t>
      </w:r>
    </w:p>
    <w:p w14:paraId="00383371" w14:textId="77777777" w:rsidR="001C6AEE" w:rsidRPr="005379A1" w:rsidRDefault="00132DD5" w:rsidP="005379A1">
      <w:pPr>
        <w:autoSpaceDE w:val="0"/>
        <w:autoSpaceDN w:val="0"/>
        <w:adjustRightInd w:val="0"/>
        <w:spacing w:before="240"/>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Al respecto, el Decreto de Reforma Constitucional establece en el segundo párrafo</w:t>
      </w:r>
      <w:r w:rsidRPr="005379A1" w:rsidDel="002E62CB">
        <w:rPr>
          <w:rFonts w:ascii="ITC Avant Garde" w:eastAsia="Calibri" w:hAnsi="ITC Avant Garde"/>
          <w:bCs/>
          <w:color w:val="000000"/>
          <w:sz w:val="22"/>
          <w:szCs w:val="22"/>
          <w:lang w:eastAsia="es-MX"/>
        </w:rPr>
        <w:t xml:space="preserve"> </w:t>
      </w:r>
      <w:r w:rsidRPr="005379A1">
        <w:rPr>
          <w:rFonts w:ascii="ITC Avant Garde" w:eastAsia="Calibri" w:hAnsi="ITC Avant Garde"/>
          <w:bCs/>
          <w:color w:val="000000"/>
          <w:sz w:val="22"/>
          <w:szCs w:val="22"/>
          <w:lang w:eastAsia="es-MX"/>
        </w:rPr>
        <w:t>del artículo Séptimo Transitorio que los procedimientos iniciados con anterioridad a la integración del Instituto, siendo el caso del asunto que nos ocupa, continuarán su trámite ante dicho órgano, en los términos de la legislación aplicable al momento de su inicio.</w:t>
      </w:r>
    </w:p>
    <w:p w14:paraId="12A0C73E" w14:textId="77777777" w:rsidR="001C6AEE" w:rsidRPr="005379A1" w:rsidRDefault="00132DD5" w:rsidP="005379A1">
      <w:pPr>
        <w:autoSpaceDE w:val="0"/>
        <w:autoSpaceDN w:val="0"/>
        <w:adjustRightInd w:val="0"/>
        <w:spacing w:before="240"/>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Ahora bien, corresponde al Pleno del Instituto, conforme a lo establecido en los artículos 15 fracci</w:t>
      </w:r>
      <w:r w:rsidR="005373E4" w:rsidRPr="005379A1">
        <w:rPr>
          <w:rFonts w:ascii="ITC Avant Garde" w:eastAsia="Calibri" w:hAnsi="ITC Avant Garde"/>
          <w:bCs/>
          <w:color w:val="000000"/>
          <w:sz w:val="22"/>
          <w:szCs w:val="22"/>
          <w:lang w:eastAsia="es-MX"/>
        </w:rPr>
        <w:t>o</w:t>
      </w:r>
      <w:r w:rsidRPr="005379A1">
        <w:rPr>
          <w:rFonts w:ascii="ITC Avant Garde" w:eastAsia="Calibri" w:hAnsi="ITC Avant Garde"/>
          <w:bCs/>
          <w:color w:val="000000"/>
          <w:sz w:val="22"/>
          <w:szCs w:val="22"/>
          <w:lang w:eastAsia="es-MX"/>
        </w:rPr>
        <w:t>n</w:t>
      </w:r>
      <w:r w:rsidR="005373E4" w:rsidRPr="005379A1">
        <w:rPr>
          <w:rFonts w:ascii="ITC Avant Garde" w:eastAsia="Calibri" w:hAnsi="ITC Avant Garde"/>
          <w:bCs/>
          <w:color w:val="000000"/>
          <w:sz w:val="22"/>
          <w:szCs w:val="22"/>
          <w:lang w:eastAsia="es-MX"/>
        </w:rPr>
        <w:t>es</w:t>
      </w:r>
      <w:r w:rsidRPr="005379A1">
        <w:rPr>
          <w:rFonts w:ascii="ITC Avant Garde" w:eastAsia="Calibri" w:hAnsi="ITC Avant Garde"/>
          <w:bCs/>
          <w:color w:val="000000"/>
          <w:sz w:val="22"/>
          <w:szCs w:val="22"/>
          <w:lang w:eastAsia="es-MX"/>
        </w:rPr>
        <w:t xml:space="preserve"> IV </w:t>
      </w:r>
      <w:r w:rsidR="005373E4" w:rsidRPr="005379A1">
        <w:rPr>
          <w:rFonts w:ascii="ITC Avant Garde" w:eastAsia="Calibri" w:hAnsi="ITC Avant Garde"/>
          <w:bCs/>
          <w:color w:val="000000"/>
          <w:sz w:val="22"/>
          <w:szCs w:val="22"/>
          <w:lang w:eastAsia="es-MX"/>
        </w:rPr>
        <w:t xml:space="preserve">y LVII </w:t>
      </w:r>
      <w:r w:rsidRPr="005379A1">
        <w:rPr>
          <w:rFonts w:ascii="ITC Avant Garde" w:eastAsia="Calibri" w:hAnsi="ITC Avant Garde"/>
          <w:bCs/>
          <w:color w:val="000000"/>
          <w:sz w:val="22"/>
          <w:szCs w:val="22"/>
          <w:lang w:eastAsia="es-MX"/>
        </w:rPr>
        <w:t>y 17 fracción I de la Ley Federal de Telecomunicaciones y Radiodifusión (la “Ley”), el otorgamiento de concesiones, así como resolver respecto de las prórrogas, modificación o terminación de las mismas</w:t>
      </w:r>
      <w:r w:rsidR="005373E4" w:rsidRPr="005379A1">
        <w:rPr>
          <w:rFonts w:ascii="ITC Avant Garde" w:eastAsia="Calibri" w:hAnsi="ITC Avant Garde"/>
          <w:bCs/>
          <w:color w:val="000000"/>
          <w:sz w:val="22"/>
          <w:szCs w:val="22"/>
          <w:lang w:eastAsia="es-MX"/>
        </w:rPr>
        <w:t>, e interpretar la Ley y demás disposiciones administrativas en materia de telecomunicaciones y radiodifusión, en el ámbito de sus atribuciones.</w:t>
      </w:r>
    </w:p>
    <w:p w14:paraId="05B36EDC" w14:textId="77777777" w:rsidR="001C6AEE" w:rsidRPr="005379A1" w:rsidRDefault="00132DD5" w:rsidP="005379A1">
      <w:pPr>
        <w:autoSpaceDE w:val="0"/>
        <w:autoSpaceDN w:val="0"/>
        <w:adjustRightInd w:val="0"/>
        <w:spacing w:before="240"/>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Por otra parte, en términos del artículo 6 fracción I del Estatuto Orgánico, corresponde al Pleno del Instituto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46CAB09D" w14:textId="77777777" w:rsidR="001C6AEE" w:rsidRPr="005379A1" w:rsidRDefault="00132DD5" w:rsidP="005379A1">
      <w:pPr>
        <w:autoSpaceDE w:val="0"/>
        <w:autoSpaceDN w:val="0"/>
        <w:adjustRightInd w:val="0"/>
        <w:spacing w:before="240"/>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Finalmente, conforme a</w:t>
      </w:r>
      <w:r w:rsidR="005373E4" w:rsidRPr="005379A1">
        <w:rPr>
          <w:rFonts w:ascii="ITC Avant Garde" w:eastAsia="Calibri" w:hAnsi="ITC Avant Garde"/>
          <w:bCs/>
          <w:color w:val="000000"/>
          <w:sz w:val="22"/>
          <w:szCs w:val="22"/>
          <w:lang w:eastAsia="es-MX"/>
        </w:rPr>
        <w:t xml:space="preserve"> </w:t>
      </w:r>
      <w:r w:rsidRPr="005379A1">
        <w:rPr>
          <w:rFonts w:ascii="ITC Avant Garde" w:eastAsia="Calibri" w:hAnsi="ITC Avant Garde"/>
          <w:bCs/>
          <w:color w:val="000000"/>
          <w:sz w:val="22"/>
          <w:szCs w:val="22"/>
          <w:lang w:eastAsia="es-MX"/>
        </w:rPr>
        <w:t>l</w:t>
      </w:r>
      <w:r w:rsidR="005373E4" w:rsidRPr="005379A1">
        <w:rPr>
          <w:rFonts w:ascii="ITC Avant Garde" w:eastAsia="Calibri" w:hAnsi="ITC Avant Garde"/>
          <w:bCs/>
          <w:color w:val="000000"/>
          <w:sz w:val="22"/>
          <w:szCs w:val="22"/>
          <w:lang w:eastAsia="es-MX"/>
        </w:rPr>
        <w:t>os</w:t>
      </w:r>
      <w:r w:rsidRPr="005379A1">
        <w:rPr>
          <w:rFonts w:ascii="ITC Avant Garde" w:eastAsia="Calibri" w:hAnsi="ITC Avant Garde"/>
          <w:bCs/>
          <w:color w:val="000000"/>
          <w:sz w:val="22"/>
          <w:szCs w:val="22"/>
          <w:lang w:eastAsia="es-MX"/>
        </w:rPr>
        <w:t xml:space="preserve"> artículo</w:t>
      </w:r>
      <w:r w:rsidR="005373E4" w:rsidRPr="005379A1">
        <w:rPr>
          <w:rFonts w:ascii="ITC Avant Garde" w:eastAsia="Calibri" w:hAnsi="ITC Avant Garde"/>
          <w:bCs/>
          <w:color w:val="000000"/>
          <w:sz w:val="22"/>
          <w:szCs w:val="22"/>
          <w:lang w:eastAsia="es-MX"/>
        </w:rPr>
        <w:t>s 32 y</w:t>
      </w:r>
      <w:r w:rsidRPr="005379A1">
        <w:rPr>
          <w:rFonts w:ascii="ITC Avant Garde" w:eastAsia="Calibri" w:hAnsi="ITC Avant Garde"/>
          <w:bCs/>
          <w:color w:val="000000"/>
          <w:sz w:val="22"/>
          <w:szCs w:val="22"/>
          <w:lang w:eastAsia="es-MX"/>
        </w:rPr>
        <w:t xml:space="preserve"> 33 </w:t>
      </w:r>
      <w:proofErr w:type="gramStart"/>
      <w:r w:rsidRPr="005379A1">
        <w:rPr>
          <w:rFonts w:ascii="ITC Avant Garde" w:eastAsia="Calibri" w:hAnsi="ITC Avant Garde"/>
          <w:bCs/>
          <w:color w:val="000000"/>
          <w:sz w:val="22"/>
          <w:szCs w:val="22"/>
          <w:lang w:eastAsia="es-MX"/>
        </w:rPr>
        <w:t>fracción</w:t>
      </w:r>
      <w:proofErr w:type="gramEnd"/>
      <w:r w:rsidRPr="005379A1">
        <w:rPr>
          <w:rFonts w:ascii="ITC Avant Garde" w:eastAsia="Calibri" w:hAnsi="ITC Avant Garde"/>
          <w:bCs/>
          <w:color w:val="000000"/>
          <w:sz w:val="22"/>
          <w:szCs w:val="22"/>
          <w:lang w:eastAsia="es-MX"/>
        </w:rPr>
        <w:t xml:space="preserve"> II del Estatuto Orgánico corresponde a la Dirección General de Concesiones de Telecomunicaciones, adscrita a la Unidad de Concesiones y Servicios, tramitar y evaluar, entre otras, las solicitudes de prórroga de las concesiones en materia de telecomunicaciones para someterlas a consideración del Pleno, previa opinión de la Unidad de Competencia Económica.</w:t>
      </w:r>
    </w:p>
    <w:p w14:paraId="1F7C8A16" w14:textId="77777777" w:rsidR="001C6AEE" w:rsidRPr="005379A1" w:rsidRDefault="00132DD5" w:rsidP="005379A1">
      <w:pPr>
        <w:pStyle w:val="Textoindependiente"/>
        <w:spacing w:before="240"/>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En este orden de ideas, resulta conveniente considerar que el Instituto está facultado para otorgar concesiones en materia de telecomunicaciones, así como resolver respecto de su prórroga, modificación o terminación, además de tener a su cargo la regulación, promoción y supervisión de las telecomunicaciones. En relación con lo anterior, el Pleno, como órgano máximo de gobierno y decisión del Instituto, se encuentra plenamente facultado para resolver la Solicitud de Prórroga de mérito.</w:t>
      </w:r>
    </w:p>
    <w:p w14:paraId="01B4A84B" w14:textId="62923EB5" w:rsidR="001C6AEE" w:rsidRPr="005379A1" w:rsidRDefault="00251E37" w:rsidP="005379A1">
      <w:pPr>
        <w:pStyle w:val="Textoindependiente"/>
        <w:spacing w:before="240"/>
        <w:rPr>
          <w:rFonts w:ascii="ITC Avant Garde" w:eastAsia="Calibri" w:hAnsi="ITC Avant Garde"/>
          <w:bCs/>
          <w:color w:val="000000"/>
          <w:sz w:val="22"/>
          <w:szCs w:val="22"/>
          <w:lang w:eastAsia="es-MX"/>
        </w:rPr>
      </w:pPr>
      <w:r w:rsidRPr="005379A1">
        <w:rPr>
          <w:rFonts w:ascii="ITC Avant Garde" w:eastAsia="Calibri" w:hAnsi="ITC Avant Garde"/>
          <w:b/>
          <w:bCs/>
          <w:color w:val="000000"/>
          <w:sz w:val="22"/>
          <w:szCs w:val="22"/>
          <w:lang w:eastAsia="es-MX"/>
        </w:rPr>
        <w:lastRenderedPageBreak/>
        <w:t>Segundo.- Marco legal aplicable a la Solicitud de Prórroga.</w:t>
      </w:r>
      <w:r w:rsidRPr="005379A1">
        <w:rPr>
          <w:rFonts w:ascii="ITC Avant Garde" w:hAnsi="ITC Avant Garde"/>
          <w:bCs/>
          <w:sz w:val="22"/>
          <w:szCs w:val="22"/>
        </w:rPr>
        <w:t xml:space="preserve"> </w:t>
      </w:r>
      <w:r w:rsidR="00593B74" w:rsidRPr="005379A1">
        <w:rPr>
          <w:rFonts w:ascii="ITC Avant Garde" w:eastAsia="Calibri" w:hAnsi="ITC Avant Garde"/>
          <w:bCs/>
          <w:color w:val="000000"/>
          <w:sz w:val="22"/>
          <w:szCs w:val="22"/>
          <w:lang w:eastAsia="es-MX"/>
        </w:rPr>
        <w:t>Como quedó señalado en el Considerando Primero, la atención, trámite y resolución de los asuntos y procedimientos iniciados con anterioridad a la entrada en vigor de la Ley, serán resueltos en los términos establecidos en el artículo Séptimo Transitorio del Decreto de Reforma Constitucional, por lo que la normatividad aplicable que establece los requisitos de procedencia para el análisis de la Solicitud de Prórroga se encuentra contenida en la Ley Federal de Telecomunicaciones (la “LFT)”.</w:t>
      </w:r>
    </w:p>
    <w:p w14:paraId="0E9A0B8D" w14:textId="77777777" w:rsidR="001C6AEE" w:rsidRPr="005379A1" w:rsidRDefault="00593B74" w:rsidP="005379A1">
      <w:pPr>
        <w:pStyle w:val="Textoindependiente"/>
        <w:spacing w:before="240"/>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En virtud de que la Solicitud de Prórroga se presentó durante la vigencia de la LFT, es aplicable lo señalado en los artículos 19 y 27 del citado ordenamiento, los cuales disponen lo siguiente:</w:t>
      </w:r>
    </w:p>
    <w:p w14:paraId="60BEBDF3" w14:textId="77777777" w:rsidR="001C6AEE" w:rsidRPr="005379A1" w:rsidRDefault="00593B74" w:rsidP="005379A1">
      <w:pPr>
        <w:pStyle w:val="texto"/>
        <w:spacing w:before="240" w:after="0" w:line="240" w:lineRule="auto"/>
        <w:ind w:left="567" w:right="670" w:firstLine="4"/>
        <w:rPr>
          <w:rFonts w:ascii="ITC Avant Garde" w:eastAsia="Calibri" w:hAnsi="ITC Avant Garde" w:cs="Times New Roman"/>
          <w:bCs/>
          <w:color w:val="000000"/>
          <w:sz w:val="16"/>
          <w:szCs w:val="16"/>
          <w:lang w:val="es-MX"/>
        </w:rPr>
      </w:pPr>
      <w:r w:rsidRPr="005379A1">
        <w:rPr>
          <w:rFonts w:ascii="ITC Avant Garde" w:eastAsia="Calibri" w:hAnsi="ITC Avant Garde" w:cs="Times New Roman"/>
          <w:bCs/>
          <w:color w:val="000000"/>
          <w:sz w:val="16"/>
          <w:szCs w:val="16"/>
          <w:lang w:val="es-MX"/>
        </w:rPr>
        <w:t>“</w:t>
      </w:r>
      <w:r w:rsidRPr="005379A1">
        <w:rPr>
          <w:rFonts w:ascii="ITC Avant Garde" w:eastAsia="Calibri" w:hAnsi="ITC Avant Garde" w:cs="Times New Roman"/>
          <w:b/>
          <w:bCs/>
          <w:color w:val="000000"/>
          <w:sz w:val="16"/>
          <w:szCs w:val="16"/>
          <w:lang w:val="es-MX"/>
        </w:rPr>
        <w:t>Artículo 19.</w:t>
      </w:r>
      <w:r w:rsidRPr="005379A1">
        <w:rPr>
          <w:rFonts w:ascii="ITC Avant Garde" w:hAnsi="ITC Avant Garde" w:cs="Times New Roman"/>
          <w:b/>
          <w:bCs/>
          <w:color w:val="000000"/>
          <w:sz w:val="16"/>
          <w:szCs w:val="16"/>
          <w:lang w:val="es-ES"/>
        </w:rPr>
        <w:t xml:space="preserve"> </w:t>
      </w:r>
      <w:r w:rsidRPr="005379A1">
        <w:rPr>
          <w:rFonts w:ascii="ITC Avant Garde" w:eastAsia="Calibri" w:hAnsi="ITC Avant Garde" w:cs="Times New Roman"/>
          <w:bCs/>
          <w:color w:val="000000"/>
          <w:sz w:val="16"/>
          <w:szCs w:val="16"/>
          <w:lang w:val="es-MX"/>
        </w:rPr>
        <w:t>Las concesiones sobre bandas de frecuencias se otorgarán por un plazo hasta de 20 años y podrán ser prorrogadas hasta por plazos iguales a los originalmente establecidos, a juicio de la Secretaría.</w:t>
      </w:r>
    </w:p>
    <w:p w14:paraId="71B1DBE8" w14:textId="77777777" w:rsidR="001C6AEE" w:rsidRPr="005379A1" w:rsidRDefault="00593B74" w:rsidP="005379A1">
      <w:pPr>
        <w:pStyle w:val="texto"/>
        <w:spacing w:before="240" w:after="0" w:line="240" w:lineRule="auto"/>
        <w:ind w:left="567" w:right="670" w:firstLine="4"/>
        <w:rPr>
          <w:rFonts w:ascii="ITC Avant Garde" w:eastAsia="Calibri" w:hAnsi="ITC Avant Garde" w:cs="Times New Roman"/>
          <w:bCs/>
          <w:color w:val="000000"/>
          <w:sz w:val="16"/>
          <w:szCs w:val="16"/>
          <w:lang w:val="es-MX"/>
        </w:rPr>
      </w:pPr>
      <w:r w:rsidRPr="005379A1">
        <w:rPr>
          <w:rFonts w:ascii="ITC Avant Garde" w:eastAsia="Calibri" w:hAnsi="ITC Avant Garde" w:cs="Times New Roman"/>
          <w:bCs/>
          <w:color w:val="000000"/>
          <w:sz w:val="16"/>
          <w:szCs w:val="16"/>
          <w:lang w:val="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030320AD" w14:textId="07CA29CA" w:rsidR="001C6AEE" w:rsidRPr="005379A1" w:rsidRDefault="00593B74" w:rsidP="005379A1">
      <w:pPr>
        <w:pStyle w:val="texto"/>
        <w:spacing w:before="240" w:after="0" w:line="240" w:lineRule="auto"/>
        <w:ind w:left="567" w:right="670" w:firstLine="4"/>
        <w:rPr>
          <w:rFonts w:ascii="ITC Avant Garde" w:eastAsia="Calibri" w:hAnsi="ITC Avant Garde" w:cs="Times New Roman"/>
          <w:bCs/>
          <w:color w:val="000000"/>
          <w:sz w:val="16"/>
          <w:szCs w:val="16"/>
          <w:lang w:val="es-MX"/>
        </w:rPr>
      </w:pPr>
      <w:r w:rsidRPr="005379A1">
        <w:rPr>
          <w:rFonts w:ascii="ITC Avant Garde" w:eastAsia="Calibri" w:hAnsi="ITC Avant Garde" w:cs="Times New Roman"/>
          <w:bCs/>
          <w:color w:val="000000"/>
          <w:sz w:val="16"/>
          <w:szCs w:val="16"/>
          <w:lang w:val="es-MX"/>
        </w:rPr>
        <w:t>“</w:t>
      </w:r>
      <w:r w:rsidRPr="005379A1">
        <w:rPr>
          <w:rFonts w:ascii="ITC Avant Garde" w:eastAsia="Calibri" w:hAnsi="ITC Avant Garde" w:cs="Times New Roman"/>
          <w:b/>
          <w:bCs/>
          <w:color w:val="000000"/>
          <w:sz w:val="16"/>
          <w:szCs w:val="16"/>
          <w:lang w:val="es-MX"/>
        </w:rPr>
        <w:t>Artículo 27.</w:t>
      </w:r>
      <w:r w:rsidRPr="005379A1">
        <w:rPr>
          <w:rFonts w:ascii="ITC Avant Garde" w:hAnsi="ITC Avant Garde" w:cs="Times New Roman"/>
          <w:b/>
          <w:bCs/>
          <w:color w:val="000000"/>
          <w:sz w:val="16"/>
          <w:szCs w:val="16"/>
          <w:lang w:val="es-ES"/>
        </w:rPr>
        <w:t xml:space="preserve"> </w:t>
      </w:r>
      <w:r w:rsidRPr="005379A1">
        <w:rPr>
          <w:rFonts w:ascii="ITC Avant Garde" w:eastAsia="Calibri" w:hAnsi="ITC Avant Garde" w:cs="Times New Roman"/>
          <w:bCs/>
          <w:color w:val="000000"/>
          <w:sz w:val="16"/>
          <w:szCs w:val="16"/>
          <w:lang w:val="es-MX"/>
        </w:rPr>
        <w:t>Las concesiones sobre redes públicas de telecomunicaciones se otorgarán por un plazo hasta de 30 años y podrán ser prorrogadas hasta por plazos iguales a los originalmente establecidos.</w:t>
      </w:r>
    </w:p>
    <w:p w14:paraId="3D7A3E68" w14:textId="77777777" w:rsidR="001C6AEE" w:rsidRPr="005379A1" w:rsidRDefault="00593B74" w:rsidP="005379A1">
      <w:pPr>
        <w:pStyle w:val="texto"/>
        <w:spacing w:before="240" w:after="0" w:line="240" w:lineRule="auto"/>
        <w:ind w:left="567" w:right="670" w:firstLine="4"/>
        <w:rPr>
          <w:rFonts w:ascii="ITC Avant Garde" w:eastAsia="Calibri" w:hAnsi="ITC Avant Garde" w:cs="Times New Roman"/>
          <w:bCs/>
          <w:color w:val="000000"/>
          <w:sz w:val="22"/>
          <w:szCs w:val="22"/>
          <w:lang w:val="es-MX"/>
        </w:rPr>
      </w:pPr>
      <w:r w:rsidRPr="005379A1">
        <w:rPr>
          <w:rFonts w:ascii="ITC Avant Garde" w:eastAsia="Calibri" w:hAnsi="ITC Avant Garde" w:cs="Times New Roman"/>
          <w:bCs/>
          <w:color w:val="000000"/>
          <w:sz w:val="16"/>
          <w:szCs w:val="16"/>
          <w:lang w:val="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759690B4" w14:textId="77777777" w:rsidR="001C6AEE" w:rsidRPr="005379A1" w:rsidRDefault="00A5496D" w:rsidP="005379A1">
      <w:pPr>
        <w:tabs>
          <w:tab w:val="num" w:pos="540"/>
        </w:tabs>
        <w:spacing w:before="240"/>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 xml:space="preserve">En este sentido, dichos artículos establecían que para el otorgamiento de prórrogas de concesiones de bandas de frecuencias y de redes públicas de telecomunicaciones, respectivamente, era necesario que el concesionario: i) hubiere cumplido con las condiciones previstas en la concesión que se pretendiera prorrogar; ii) lo solicitara antes de que iniciara la última quinta parte del plazo de la concesión, y iii) aceptara las nuevas condiciones que al efecto se establecieran. </w:t>
      </w:r>
    </w:p>
    <w:p w14:paraId="52CFE1D8" w14:textId="77777777" w:rsidR="001C6AEE" w:rsidRPr="005379A1" w:rsidRDefault="00A5496D" w:rsidP="005379A1">
      <w:pPr>
        <w:tabs>
          <w:tab w:val="num" w:pos="540"/>
        </w:tabs>
        <w:spacing w:before="240"/>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Por otro lado, 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w:t>
      </w:r>
    </w:p>
    <w:p w14:paraId="106C6F61" w14:textId="77777777" w:rsidR="001C6AEE" w:rsidRPr="005379A1" w:rsidRDefault="00A5496D" w:rsidP="005379A1">
      <w:pPr>
        <w:autoSpaceDE w:val="0"/>
        <w:autoSpaceDN w:val="0"/>
        <w:adjustRightInd w:val="0"/>
        <w:spacing w:before="240"/>
        <w:jc w:val="both"/>
        <w:rPr>
          <w:rFonts w:ascii="ITC Avant Garde" w:hAnsi="ITC Avant Garde"/>
          <w:bCs/>
          <w:sz w:val="22"/>
          <w:szCs w:val="22"/>
        </w:rPr>
      </w:pPr>
      <w:r w:rsidRPr="005379A1">
        <w:rPr>
          <w:rFonts w:ascii="ITC Avant Garde" w:eastAsia="Calibri" w:hAnsi="ITC Avant Garde"/>
          <w:bCs/>
          <w:color w:val="000000"/>
          <w:sz w:val="22"/>
          <w:szCs w:val="22"/>
          <w:lang w:eastAsia="es-MX"/>
        </w:rPr>
        <w:t xml:space="preserve">En ese tenor, resulta conveniente señalar que en la condición </w:t>
      </w:r>
      <w:r w:rsidR="00AD4E37" w:rsidRPr="005379A1">
        <w:rPr>
          <w:rFonts w:ascii="ITC Avant Garde" w:eastAsia="Calibri" w:hAnsi="ITC Avant Garde"/>
          <w:bCs/>
          <w:color w:val="000000"/>
          <w:sz w:val="22"/>
          <w:szCs w:val="22"/>
          <w:lang w:eastAsia="es-MX"/>
        </w:rPr>
        <w:t>2-1</w:t>
      </w:r>
      <w:r w:rsidRPr="005379A1">
        <w:rPr>
          <w:rFonts w:ascii="ITC Avant Garde" w:eastAsia="Calibri" w:hAnsi="ITC Avant Garde"/>
          <w:bCs/>
          <w:color w:val="000000"/>
          <w:sz w:val="22"/>
          <w:szCs w:val="22"/>
          <w:lang w:eastAsia="es-MX"/>
        </w:rPr>
        <w:t xml:space="preserve"> de la Concesión</w:t>
      </w:r>
      <w:r w:rsidR="00AD4E37" w:rsidRPr="005379A1">
        <w:rPr>
          <w:rFonts w:ascii="ITC Avant Garde" w:eastAsia="Calibri" w:hAnsi="ITC Avant Garde"/>
          <w:bCs/>
          <w:color w:val="000000"/>
          <w:sz w:val="22"/>
          <w:szCs w:val="22"/>
          <w:lang w:eastAsia="es-MX"/>
        </w:rPr>
        <w:t xml:space="preserve"> se establece que dicha concesión se rige, entre otras, por la legislación vigente</w:t>
      </w:r>
      <w:r w:rsidRPr="005379A1">
        <w:rPr>
          <w:rFonts w:ascii="ITC Avant Garde" w:eastAsia="Calibri" w:hAnsi="ITC Avant Garde"/>
          <w:bCs/>
          <w:color w:val="000000"/>
          <w:sz w:val="22"/>
          <w:szCs w:val="22"/>
          <w:lang w:eastAsia="es-MX"/>
        </w:rPr>
        <w:t>. En virtud de lo anterior, no obstante que el análisis</w:t>
      </w:r>
      <w:r w:rsidR="00E2060F" w:rsidRPr="005379A1">
        <w:rPr>
          <w:rFonts w:ascii="ITC Avant Garde" w:eastAsia="Calibri" w:hAnsi="ITC Avant Garde"/>
          <w:bCs/>
          <w:color w:val="000000"/>
          <w:sz w:val="22"/>
          <w:szCs w:val="22"/>
          <w:lang w:eastAsia="es-MX"/>
        </w:rPr>
        <w:t xml:space="preserve"> y trámite</w:t>
      </w:r>
      <w:r w:rsidRPr="005379A1">
        <w:rPr>
          <w:rFonts w:ascii="ITC Avant Garde" w:eastAsia="Calibri" w:hAnsi="ITC Avant Garde"/>
          <w:bCs/>
          <w:color w:val="000000"/>
          <w:sz w:val="22"/>
          <w:szCs w:val="22"/>
          <w:lang w:eastAsia="es-MX"/>
        </w:rPr>
        <w:t xml:space="preserve"> que realice el Instituto respecto de la</w:t>
      </w:r>
      <w:r w:rsidR="00370033" w:rsidRPr="005379A1">
        <w:rPr>
          <w:rFonts w:ascii="ITC Avant Garde" w:eastAsia="Calibri" w:hAnsi="ITC Avant Garde"/>
          <w:bCs/>
          <w:color w:val="000000"/>
          <w:sz w:val="22"/>
          <w:szCs w:val="22"/>
          <w:lang w:eastAsia="es-MX"/>
        </w:rPr>
        <w:t xml:space="preserve"> Solicitud</w:t>
      </w:r>
      <w:r w:rsidRPr="005379A1">
        <w:rPr>
          <w:rFonts w:ascii="ITC Avant Garde" w:eastAsia="Calibri" w:hAnsi="ITC Avant Garde"/>
          <w:bCs/>
          <w:color w:val="000000"/>
          <w:sz w:val="22"/>
          <w:szCs w:val="22"/>
          <w:lang w:eastAsia="es-MX"/>
        </w:rPr>
        <w:t xml:space="preserve"> de Prórroga debe llevarse a cabo en estricto apego a los términos y requisitos previstos en la LFT, disposición legal vigente al mome</w:t>
      </w:r>
      <w:r w:rsidR="00370033" w:rsidRPr="005379A1">
        <w:rPr>
          <w:rFonts w:ascii="ITC Avant Garde" w:eastAsia="Calibri" w:hAnsi="ITC Avant Garde"/>
          <w:bCs/>
          <w:color w:val="000000"/>
          <w:sz w:val="22"/>
          <w:szCs w:val="22"/>
          <w:lang w:eastAsia="es-MX"/>
        </w:rPr>
        <w:t>nto de iniciar el trámite de la Solicitud</w:t>
      </w:r>
      <w:r w:rsidRPr="005379A1">
        <w:rPr>
          <w:rFonts w:ascii="ITC Avant Garde" w:eastAsia="Calibri" w:hAnsi="ITC Avant Garde"/>
          <w:bCs/>
          <w:color w:val="000000"/>
          <w:sz w:val="22"/>
          <w:szCs w:val="22"/>
          <w:lang w:eastAsia="es-MX"/>
        </w:rPr>
        <w:t xml:space="preserve"> de Prórroga, también lo es que el Instituto </w:t>
      </w:r>
      <w:r w:rsidR="00370033" w:rsidRPr="005379A1">
        <w:rPr>
          <w:rFonts w:ascii="ITC Avant Garde" w:eastAsia="Calibri" w:hAnsi="ITC Avant Garde"/>
          <w:bCs/>
          <w:color w:val="000000"/>
          <w:sz w:val="22"/>
          <w:szCs w:val="22"/>
          <w:lang w:eastAsia="es-MX"/>
        </w:rPr>
        <w:t>al resolver en definitiva dicha solicitud</w:t>
      </w:r>
      <w:r w:rsidRPr="005379A1">
        <w:rPr>
          <w:rFonts w:ascii="ITC Avant Garde" w:eastAsia="Calibri" w:hAnsi="ITC Avant Garde"/>
          <w:bCs/>
          <w:color w:val="000000"/>
          <w:sz w:val="22"/>
          <w:szCs w:val="22"/>
          <w:lang w:eastAsia="es-MX"/>
        </w:rPr>
        <w:t xml:space="preserve"> debe apegarse al </w:t>
      </w:r>
      <w:r w:rsidR="00E2060F" w:rsidRPr="005379A1">
        <w:rPr>
          <w:rFonts w:ascii="ITC Avant Garde" w:eastAsia="Calibri" w:hAnsi="ITC Avant Garde"/>
          <w:bCs/>
          <w:color w:val="000000"/>
          <w:sz w:val="22"/>
          <w:szCs w:val="22"/>
          <w:lang w:eastAsia="es-MX"/>
        </w:rPr>
        <w:t>régimen</w:t>
      </w:r>
      <w:r w:rsidRPr="005379A1">
        <w:rPr>
          <w:rFonts w:ascii="ITC Avant Garde" w:eastAsia="Calibri" w:hAnsi="ITC Avant Garde"/>
          <w:bCs/>
          <w:color w:val="000000"/>
          <w:sz w:val="22"/>
          <w:szCs w:val="22"/>
          <w:lang w:eastAsia="es-MX"/>
        </w:rPr>
        <w:t xml:space="preserve"> de </w:t>
      </w:r>
      <w:proofErr w:type="spellStart"/>
      <w:r w:rsidRPr="005379A1">
        <w:rPr>
          <w:rFonts w:ascii="ITC Avant Garde" w:eastAsia="Calibri" w:hAnsi="ITC Avant Garde"/>
          <w:bCs/>
          <w:color w:val="000000"/>
          <w:sz w:val="22"/>
          <w:szCs w:val="22"/>
          <w:lang w:eastAsia="es-MX"/>
        </w:rPr>
        <w:t>concesionamiento</w:t>
      </w:r>
      <w:proofErr w:type="spellEnd"/>
      <w:r w:rsidRPr="005379A1">
        <w:rPr>
          <w:rFonts w:ascii="ITC Avant Garde" w:eastAsia="Calibri" w:hAnsi="ITC Avant Garde"/>
          <w:bCs/>
          <w:color w:val="000000"/>
          <w:sz w:val="22"/>
          <w:szCs w:val="22"/>
          <w:lang w:eastAsia="es-MX"/>
        </w:rPr>
        <w:t xml:space="preserve"> que se encuentra previsto en la Ley. </w:t>
      </w:r>
      <w:r w:rsidRPr="005379A1">
        <w:rPr>
          <w:rFonts w:ascii="ITC Avant Garde" w:eastAsia="Calibri" w:hAnsi="ITC Avant Garde"/>
          <w:bCs/>
          <w:color w:val="000000"/>
          <w:sz w:val="22"/>
          <w:szCs w:val="22"/>
          <w:lang w:eastAsia="es-MX"/>
        </w:rPr>
        <w:lastRenderedPageBreak/>
        <w:t xml:space="preserve">Es por ello que en la resolución del trámite de la solicitud de prórroga, debe observarse el actual régimen de </w:t>
      </w:r>
      <w:proofErr w:type="spellStart"/>
      <w:r w:rsidRPr="005379A1">
        <w:rPr>
          <w:rFonts w:ascii="ITC Avant Garde" w:eastAsia="Calibri" w:hAnsi="ITC Avant Garde"/>
          <w:bCs/>
          <w:color w:val="000000"/>
          <w:sz w:val="22"/>
          <w:szCs w:val="22"/>
          <w:lang w:eastAsia="es-MX"/>
        </w:rPr>
        <w:t>concesionamiento</w:t>
      </w:r>
      <w:proofErr w:type="spellEnd"/>
      <w:r w:rsidRPr="005379A1">
        <w:rPr>
          <w:rFonts w:ascii="ITC Avant Garde" w:eastAsia="Calibri" w:hAnsi="ITC Avant Garde"/>
          <w:bCs/>
          <w:color w:val="000000"/>
          <w:sz w:val="22"/>
          <w:szCs w:val="22"/>
          <w:lang w:eastAsia="es-MX"/>
        </w:rPr>
        <w:t xml:space="preserve"> previsto en los artículos 66 y 67 fracción I de la Ley, toda vez que no puede</w:t>
      </w:r>
      <w:r w:rsidR="00E2060F" w:rsidRPr="005379A1">
        <w:rPr>
          <w:rFonts w:ascii="ITC Avant Garde" w:eastAsia="Calibri" w:hAnsi="ITC Avant Garde"/>
          <w:bCs/>
          <w:color w:val="000000"/>
          <w:sz w:val="22"/>
          <w:szCs w:val="22"/>
          <w:lang w:eastAsia="es-MX"/>
        </w:rPr>
        <w:t>n</w:t>
      </w:r>
      <w:r w:rsidRPr="005379A1">
        <w:rPr>
          <w:rFonts w:ascii="ITC Avant Garde" w:eastAsia="Calibri" w:hAnsi="ITC Avant Garde"/>
          <w:bCs/>
          <w:color w:val="000000"/>
          <w:sz w:val="22"/>
          <w:szCs w:val="22"/>
          <w:lang w:eastAsia="es-MX"/>
        </w:rPr>
        <w:t xml:space="preserve"> otorgarse concesiones para instalar, operar y explotar redes públicas de telecomunicaciones pues las mismas no se encuentran previstas en dicho ordenamiento legal. Asimismo, debe observarse lo previsto en los artículos 75 y 76 de la Ley respecto de la</w:t>
      </w:r>
      <w:r w:rsidR="00370033" w:rsidRPr="005379A1">
        <w:rPr>
          <w:rFonts w:ascii="ITC Avant Garde" w:eastAsia="Calibri" w:hAnsi="ITC Avant Garde"/>
          <w:bCs/>
          <w:color w:val="000000"/>
          <w:sz w:val="22"/>
          <w:szCs w:val="22"/>
          <w:lang w:eastAsia="es-MX"/>
        </w:rPr>
        <w:t>s bandas de frecuencias amparadas en la Concesión</w:t>
      </w:r>
      <w:r w:rsidRPr="005379A1">
        <w:rPr>
          <w:rFonts w:ascii="ITC Avant Garde" w:eastAsia="Calibri" w:hAnsi="ITC Avant Garde"/>
          <w:bCs/>
          <w:color w:val="000000"/>
          <w:sz w:val="22"/>
          <w:szCs w:val="22"/>
          <w:lang w:eastAsia="es-MX"/>
        </w:rPr>
        <w:t>.</w:t>
      </w:r>
    </w:p>
    <w:p w14:paraId="0B446974" w14:textId="77777777" w:rsidR="001C6AEE" w:rsidRPr="005379A1" w:rsidRDefault="007176C2" w:rsidP="005379A1">
      <w:pPr>
        <w:tabs>
          <w:tab w:val="num" w:pos="540"/>
        </w:tabs>
        <w:spacing w:before="240"/>
        <w:jc w:val="both"/>
        <w:rPr>
          <w:rFonts w:ascii="ITC Avant Garde" w:hAnsi="ITC Avant Garde"/>
          <w:bCs/>
          <w:sz w:val="22"/>
          <w:szCs w:val="22"/>
        </w:rPr>
      </w:pPr>
      <w:r w:rsidRPr="005379A1">
        <w:rPr>
          <w:rFonts w:ascii="ITC Avant Garde" w:hAnsi="ITC Avant Garde"/>
          <w:bCs/>
          <w:sz w:val="22"/>
          <w:szCs w:val="22"/>
        </w:rPr>
        <w:t>Finalmente, en seguimiento a otras disposiciones legales aplicables, y atendiendo al tipo de título sobre el cual se solicitó la prórroga que nos ocupa originalmente, debe acatarse el requisito de procedencia señalado por el artículo 94 fracción III de la Ley Federal de Derechos, vigente al momento de presentar la Solicitud de Prórroga.</w:t>
      </w:r>
    </w:p>
    <w:p w14:paraId="4AAC9B56" w14:textId="4F4E55F5" w:rsidR="001C6AEE" w:rsidRPr="005379A1" w:rsidRDefault="00251355" w:rsidP="005379A1">
      <w:pPr>
        <w:autoSpaceDE w:val="0"/>
        <w:autoSpaceDN w:val="0"/>
        <w:adjustRightInd w:val="0"/>
        <w:spacing w:before="240"/>
        <w:contextualSpacing/>
        <w:jc w:val="both"/>
        <w:rPr>
          <w:rFonts w:ascii="ITC Avant Garde" w:hAnsi="ITC Avant Garde"/>
          <w:bCs/>
          <w:sz w:val="22"/>
          <w:szCs w:val="22"/>
        </w:rPr>
      </w:pPr>
      <w:r w:rsidRPr="005379A1">
        <w:rPr>
          <w:rFonts w:ascii="ITC Avant Garde" w:hAnsi="ITC Avant Garde"/>
          <w:b/>
          <w:bCs/>
          <w:sz w:val="22"/>
          <w:szCs w:val="22"/>
        </w:rPr>
        <w:t xml:space="preserve">Tercero.- </w:t>
      </w:r>
      <w:r w:rsidR="00CA61C7" w:rsidRPr="005379A1">
        <w:rPr>
          <w:rFonts w:ascii="ITC Avant Garde" w:hAnsi="ITC Avant Garde"/>
          <w:b/>
          <w:sz w:val="22"/>
        </w:rPr>
        <w:t>Prórroga de la Concesión</w:t>
      </w:r>
      <w:r w:rsidRPr="005379A1">
        <w:rPr>
          <w:rFonts w:ascii="ITC Avant Garde" w:hAnsi="ITC Avant Garde"/>
          <w:b/>
          <w:sz w:val="22"/>
        </w:rPr>
        <w:t>.</w:t>
      </w:r>
      <w:r w:rsidRPr="005379A1">
        <w:rPr>
          <w:rFonts w:ascii="ITC Avant Garde" w:hAnsi="ITC Avant Garde"/>
          <w:bCs/>
          <w:sz w:val="22"/>
          <w:szCs w:val="22"/>
        </w:rPr>
        <w:t xml:space="preserve"> </w:t>
      </w:r>
      <w:r w:rsidR="00D75808" w:rsidRPr="005379A1">
        <w:rPr>
          <w:rFonts w:ascii="ITC Avant Garde" w:hAnsi="ITC Avant Garde"/>
          <w:bCs/>
          <w:sz w:val="22"/>
          <w:szCs w:val="22"/>
        </w:rPr>
        <w:t>S</w:t>
      </w:r>
      <w:r w:rsidRPr="005379A1">
        <w:rPr>
          <w:rFonts w:ascii="ITC Avant Garde" w:hAnsi="ITC Avant Garde"/>
          <w:bCs/>
          <w:sz w:val="22"/>
          <w:szCs w:val="22"/>
        </w:rPr>
        <w:t>i bien es cierto que el artículo 72 de la Ley únicamente señala a las concesiones únicas como susceptibles de prórroga de su vigencia,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a la interpretación de que los mismos no se encuentran regulados por el actual marco normativo.</w:t>
      </w:r>
    </w:p>
    <w:p w14:paraId="7A69736D" w14:textId="77777777" w:rsidR="001C6AEE" w:rsidRPr="005379A1" w:rsidRDefault="00251355" w:rsidP="005379A1">
      <w:pPr>
        <w:autoSpaceDE w:val="0"/>
        <w:autoSpaceDN w:val="0"/>
        <w:adjustRightInd w:val="0"/>
        <w:spacing w:before="240"/>
        <w:jc w:val="both"/>
        <w:rPr>
          <w:rFonts w:ascii="ITC Avant Garde" w:hAnsi="ITC Avant Garde"/>
          <w:bCs/>
          <w:sz w:val="22"/>
          <w:szCs w:val="22"/>
        </w:rPr>
      </w:pPr>
      <w:r w:rsidRPr="005379A1">
        <w:rPr>
          <w:rFonts w:ascii="ITC Avant Garde" w:hAnsi="ITC Avant Garde"/>
          <w:bCs/>
          <w:sz w:val="22"/>
          <w:szCs w:val="22"/>
        </w:rPr>
        <w:t xml:space="preserve">Así, no debe pasarse por alto que los servicios de telecomunicaciones que se prestan al amparo de la Concesión, </w:t>
      </w:r>
      <w:r w:rsidR="00CA61C7" w:rsidRPr="005379A1">
        <w:rPr>
          <w:rFonts w:ascii="ITC Avant Garde" w:hAnsi="ITC Avant Garde"/>
          <w:bCs/>
          <w:sz w:val="22"/>
          <w:szCs w:val="22"/>
        </w:rPr>
        <w:t>son</w:t>
      </w:r>
      <w:r w:rsidRPr="005379A1">
        <w:rPr>
          <w:rFonts w:ascii="ITC Avant Garde" w:hAnsi="ITC Avant Garde"/>
          <w:bCs/>
          <w:sz w:val="22"/>
          <w:szCs w:val="22"/>
        </w:rPr>
        <w:t xml:space="preserve"> servicios públicos de interés general en virtud de lo señalado por el artículo 6o. Apartado B fracción II de la Constitución, por lo que el Estado debe garantizar que los mismos sean prestados en condiciones de competencia y continuidad, entre otras. </w:t>
      </w:r>
    </w:p>
    <w:p w14:paraId="13B08FD0" w14:textId="77777777" w:rsidR="001C6AEE" w:rsidRPr="005379A1" w:rsidRDefault="009B6EA2" w:rsidP="005379A1">
      <w:pPr>
        <w:autoSpaceDE w:val="0"/>
        <w:autoSpaceDN w:val="0"/>
        <w:adjustRightInd w:val="0"/>
        <w:spacing w:before="240"/>
        <w:jc w:val="both"/>
        <w:rPr>
          <w:rFonts w:ascii="ITC Avant Garde" w:hAnsi="ITC Avant Garde"/>
          <w:bCs/>
          <w:sz w:val="22"/>
          <w:szCs w:val="22"/>
        </w:rPr>
      </w:pPr>
      <w:r w:rsidRPr="005379A1">
        <w:rPr>
          <w:rFonts w:ascii="ITC Avant Garde" w:hAnsi="ITC Avant Garde"/>
          <w:bCs/>
          <w:sz w:val="22"/>
          <w:szCs w:val="22"/>
        </w:rPr>
        <w:t xml:space="preserve">Es por ello que, en la resolución que emita el Instituto respecto de la Solicitud de Prórroga de la Concesión, debe observarse el actual régimen de </w:t>
      </w:r>
      <w:proofErr w:type="spellStart"/>
      <w:r w:rsidRPr="005379A1">
        <w:rPr>
          <w:rFonts w:ascii="ITC Avant Garde" w:hAnsi="ITC Avant Garde"/>
          <w:bCs/>
          <w:sz w:val="22"/>
          <w:szCs w:val="22"/>
        </w:rPr>
        <w:t>concesionamiento</w:t>
      </w:r>
      <w:proofErr w:type="spellEnd"/>
      <w:r w:rsidRPr="005379A1">
        <w:rPr>
          <w:rFonts w:ascii="ITC Avant Garde" w:hAnsi="ITC Avant Garde"/>
          <w:bCs/>
          <w:sz w:val="22"/>
          <w:szCs w:val="22"/>
        </w:rPr>
        <w:t xml:space="preserve"> previsto en la Ley.</w:t>
      </w:r>
    </w:p>
    <w:p w14:paraId="7BB64D89" w14:textId="77777777" w:rsidR="001C6AEE" w:rsidRPr="005379A1" w:rsidRDefault="009B6EA2" w:rsidP="005379A1">
      <w:pPr>
        <w:tabs>
          <w:tab w:val="num" w:pos="540"/>
        </w:tabs>
        <w:spacing w:before="240"/>
        <w:ind w:right="-39"/>
        <w:jc w:val="both"/>
        <w:rPr>
          <w:rFonts w:ascii="ITC Avant Garde" w:hAnsi="ITC Avant Garde"/>
          <w:bCs/>
          <w:sz w:val="22"/>
          <w:szCs w:val="22"/>
        </w:rPr>
      </w:pPr>
      <w:r w:rsidRPr="005379A1">
        <w:rPr>
          <w:rFonts w:ascii="ITC Avant Garde" w:hAnsi="ITC Avant Garde"/>
          <w:bCs/>
          <w:sz w:val="22"/>
          <w:szCs w:val="22"/>
        </w:rPr>
        <w:t xml:space="preserve">Sin embargo, de la información que obra en el Instituto, se identificó que Teléfonos de México, S.A.B. de C.V., tiene participación accionaria indirecta en la estructura corporativa de Intercomunicación del Pacífico. Derivado de tal situación, debe </w:t>
      </w:r>
      <w:r w:rsidR="00E2060F" w:rsidRPr="005379A1">
        <w:rPr>
          <w:rFonts w:ascii="ITC Avant Garde" w:hAnsi="ITC Avant Garde"/>
          <w:bCs/>
          <w:sz w:val="22"/>
          <w:szCs w:val="22"/>
        </w:rPr>
        <w:t>tenerse en cuenta</w:t>
      </w:r>
      <w:r w:rsidRPr="005379A1">
        <w:rPr>
          <w:rFonts w:ascii="ITC Avant Garde" w:hAnsi="ITC Avant Garde"/>
          <w:bCs/>
          <w:sz w:val="22"/>
          <w:szCs w:val="22"/>
        </w:rPr>
        <w:t xml:space="preserve"> lo señalado en la Condición 1-9 denominada “Distribución de Señales de Televisión”, establecida en la Modificación al Título de Concesión de Teléfonos de México, S.A.B de C.V., misma que señala lo siguiente:</w:t>
      </w:r>
    </w:p>
    <w:p w14:paraId="1D2ED927" w14:textId="77777777" w:rsidR="001C6AEE" w:rsidRPr="005379A1" w:rsidRDefault="009B6EA2" w:rsidP="005379A1">
      <w:pPr>
        <w:tabs>
          <w:tab w:val="num" w:pos="540"/>
        </w:tabs>
        <w:spacing w:before="240"/>
        <w:ind w:left="1134" w:right="954"/>
        <w:jc w:val="both"/>
        <w:rPr>
          <w:rFonts w:ascii="ITC Avant Garde" w:hAnsi="ITC Avant Garde"/>
          <w:bCs/>
          <w:sz w:val="18"/>
          <w:szCs w:val="18"/>
        </w:rPr>
      </w:pPr>
      <w:r w:rsidRPr="005379A1">
        <w:rPr>
          <w:rFonts w:ascii="ITC Avant Garde" w:hAnsi="ITC Avant Garde"/>
          <w:bCs/>
          <w:sz w:val="18"/>
          <w:szCs w:val="18"/>
        </w:rPr>
        <w:t>“[…]</w:t>
      </w:r>
    </w:p>
    <w:p w14:paraId="1C3EA08D" w14:textId="77777777" w:rsidR="001C6AEE" w:rsidRPr="005379A1" w:rsidRDefault="009B6EA2" w:rsidP="005379A1">
      <w:pPr>
        <w:tabs>
          <w:tab w:val="num" w:pos="540"/>
        </w:tabs>
        <w:spacing w:before="240"/>
        <w:ind w:left="1134" w:right="954"/>
        <w:jc w:val="both"/>
        <w:rPr>
          <w:rFonts w:ascii="ITC Avant Garde" w:hAnsi="ITC Avant Garde"/>
          <w:bCs/>
          <w:sz w:val="18"/>
          <w:szCs w:val="18"/>
        </w:rPr>
      </w:pPr>
      <w:r w:rsidRPr="005379A1">
        <w:rPr>
          <w:rFonts w:ascii="ITC Avant Garde" w:hAnsi="ITC Avant Garde"/>
          <w:bCs/>
          <w:sz w:val="18"/>
          <w:szCs w:val="18"/>
        </w:rPr>
        <w:t xml:space="preserve">Telmex no podrá explotar, </w:t>
      </w:r>
      <w:r w:rsidRPr="005379A1">
        <w:rPr>
          <w:rFonts w:ascii="ITC Avant Garde" w:hAnsi="ITC Avant Garde"/>
          <w:bCs/>
          <w:sz w:val="18"/>
          <w:szCs w:val="18"/>
          <w:u w:val="single"/>
        </w:rPr>
        <w:t>directa o indirectamente, ninguna concesión de servicios de televisión al público en el país.</w:t>
      </w:r>
    </w:p>
    <w:p w14:paraId="46745A58" w14:textId="77777777" w:rsidR="001C6AEE" w:rsidRPr="005379A1" w:rsidRDefault="009B6EA2" w:rsidP="005379A1">
      <w:pPr>
        <w:tabs>
          <w:tab w:val="num" w:pos="540"/>
        </w:tabs>
        <w:spacing w:before="240"/>
        <w:ind w:left="1134" w:right="954"/>
        <w:jc w:val="both"/>
        <w:rPr>
          <w:rFonts w:ascii="ITC Avant Garde" w:hAnsi="ITC Avant Garde"/>
          <w:bCs/>
          <w:sz w:val="18"/>
          <w:szCs w:val="18"/>
        </w:rPr>
      </w:pPr>
      <w:r w:rsidRPr="005379A1">
        <w:rPr>
          <w:rFonts w:ascii="ITC Avant Garde" w:hAnsi="ITC Avant Garde"/>
          <w:bCs/>
          <w:sz w:val="18"/>
          <w:szCs w:val="18"/>
        </w:rPr>
        <w:t>[…]” (Énfasis añadido)</w:t>
      </w:r>
    </w:p>
    <w:p w14:paraId="1FF813B7" w14:textId="77777777" w:rsidR="001C6AEE" w:rsidRPr="005379A1" w:rsidRDefault="009B6EA2" w:rsidP="005379A1">
      <w:pPr>
        <w:autoSpaceDE w:val="0"/>
        <w:autoSpaceDN w:val="0"/>
        <w:adjustRightInd w:val="0"/>
        <w:spacing w:before="240"/>
        <w:jc w:val="both"/>
        <w:rPr>
          <w:rFonts w:ascii="ITC Avant Garde" w:hAnsi="ITC Avant Garde"/>
          <w:bCs/>
          <w:sz w:val="22"/>
          <w:szCs w:val="22"/>
        </w:rPr>
      </w:pPr>
      <w:r w:rsidRPr="005379A1">
        <w:rPr>
          <w:rFonts w:ascii="ITC Avant Garde" w:hAnsi="ITC Avant Garde"/>
          <w:bCs/>
          <w:sz w:val="22"/>
          <w:szCs w:val="22"/>
        </w:rPr>
        <w:t xml:space="preserve">Derivado de lo anterior, el Pleno de este Instituto concluye que lo procedente es otorgar a Intercomunicación del Pacífico una concesión para uso comercial que lo habilite a prestar todo tipo de servicios de telecomunicaciones y radiodifusión en el territorio </w:t>
      </w:r>
      <w:r w:rsidRPr="005379A1">
        <w:rPr>
          <w:rFonts w:ascii="ITC Avant Garde" w:hAnsi="ITC Avant Garde"/>
          <w:bCs/>
          <w:sz w:val="22"/>
          <w:szCs w:val="22"/>
        </w:rPr>
        <w:lastRenderedPageBreak/>
        <w:t>nacional, con excepción de</w:t>
      </w:r>
      <w:r w:rsidR="00E2060F" w:rsidRPr="005379A1">
        <w:rPr>
          <w:rFonts w:ascii="ITC Avant Garde" w:hAnsi="ITC Avant Garde"/>
          <w:bCs/>
          <w:sz w:val="22"/>
          <w:szCs w:val="22"/>
        </w:rPr>
        <w:t xml:space="preserve"> </w:t>
      </w:r>
      <w:r w:rsidRPr="005379A1">
        <w:rPr>
          <w:rFonts w:ascii="ITC Avant Garde" w:hAnsi="ITC Avant Garde"/>
          <w:bCs/>
          <w:sz w:val="22"/>
          <w:szCs w:val="22"/>
        </w:rPr>
        <w:t>l</w:t>
      </w:r>
      <w:r w:rsidR="00E2060F" w:rsidRPr="005379A1">
        <w:rPr>
          <w:rFonts w:ascii="ITC Avant Garde" w:hAnsi="ITC Avant Garde"/>
          <w:bCs/>
          <w:sz w:val="22"/>
          <w:szCs w:val="22"/>
        </w:rPr>
        <w:t>os</w:t>
      </w:r>
      <w:r w:rsidRPr="005379A1">
        <w:rPr>
          <w:rFonts w:ascii="ITC Avant Garde" w:hAnsi="ITC Avant Garde"/>
          <w:bCs/>
          <w:sz w:val="22"/>
          <w:szCs w:val="22"/>
        </w:rPr>
        <w:t xml:space="preserve"> servicio</w:t>
      </w:r>
      <w:r w:rsidR="00E2060F" w:rsidRPr="005379A1">
        <w:rPr>
          <w:rFonts w:ascii="ITC Avant Garde" w:hAnsi="ITC Avant Garde"/>
          <w:bCs/>
          <w:sz w:val="22"/>
          <w:szCs w:val="22"/>
        </w:rPr>
        <w:t>s</w:t>
      </w:r>
      <w:r w:rsidRPr="005379A1">
        <w:rPr>
          <w:rFonts w:ascii="ITC Avant Garde" w:hAnsi="ITC Avant Garde"/>
          <w:bCs/>
          <w:sz w:val="22"/>
          <w:szCs w:val="22"/>
        </w:rPr>
        <w:t xml:space="preserve"> de televisión </w:t>
      </w:r>
      <w:r w:rsidR="00E2060F" w:rsidRPr="005379A1">
        <w:rPr>
          <w:rFonts w:ascii="ITC Avant Garde" w:hAnsi="ITC Avant Garde"/>
          <w:bCs/>
          <w:sz w:val="22"/>
          <w:szCs w:val="22"/>
        </w:rPr>
        <w:t>radiodifundida y de televisión restringida.</w:t>
      </w:r>
      <w:r w:rsidRPr="005379A1">
        <w:rPr>
          <w:rFonts w:ascii="ITC Avant Garde" w:hAnsi="ITC Avant Garde"/>
          <w:bCs/>
          <w:sz w:val="22"/>
          <w:szCs w:val="22"/>
        </w:rPr>
        <w:t xml:space="preserve"> </w:t>
      </w:r>
    </w:p>
    <w:p w14:paraId="5DA4EEB6" w14:textId="77777777" w:rsidR="001C6AEE" w:rsidRPr="005379A1" w:rsidRDefault="009B6EA2" w:rsidP="005379A1">
      <w:pPr>
        <w:pStyle w:val="Textoindependiente"/>
        <w:spacing w:before="240" w:line="228" w:lineRule="auto"/>
        <w:rPr>
          <w:rFonts w:ascii="ITC Avant Garde" w:hAnsi="ITC Avant Garde"/>
          <w:b/>
          <w:bCs/>
          <w:color w:val="000000"/>
          <w:sz w:val="22"/>
          <w:szCs w:val="22"/>
          <w:lang w:val="es-ES" w:eastAsia="es-MX"/>
        </w:rPr>
      </w:pPr>
      <w:r w:rsidRPr="005379A1">
        <w:rPr>
          <w:rFonts w:ascii="ITC Avant Garde" w:hAnsi="ITC Avant Garde"/>
          <w:bCs/>
          <w:sz w:val="22"/>
          <w:szCs w:val="22"/>
        </w:rPr>
        <w:t>Lo anterior no limita la posibilidad de que Intercomunicación del Pacífico pueda transitar a la concesión única, una vez que Teléfonos de México, S.A.B. de C.V. acredite el cumplimiento de las medidas impuestas por el Instituto y que este órgano autónomo le otorgue a dicha concesionaria el título de concesión correspondiente que le permita prestar de manera convergente todos los servicios de telecomunicaciones o radiodifusión, siempre que Teléfonos de México, S.A.B. de C.V. cumpla con lo establecido en el último párrafo del artículo Cuarto Transitorio del Decreto de Reforma Constitucional, así como lo señalado por los artículos 276 de la Ley y 28 de los “Lineamientos generales para el otorgamiento de las concesiones a que se refiere el título cuarto de la Ley Federal de Telecomunicaciones y Radiodifusión”, publicados en el Diario Oficial de la Federación el 24 de julio de 2015.</w:t>
      </w:r>
    </w:p>
    <w:p w14:paraId="5254C7C2" w14:textId="0B191E1D" w:rsidR="001C6AEE" w:rsidRPr="005379A1" w:rsidRDefault="00D75808" w:rsidP="005379A1">
      <w:pPr>
        <w:spacing w:before="240"/>
        <w:ind w:right="-94"/>
        <w:jc w:val="both"/>
        <w:rPr>
          <w:rFonts w:ascii="ITC Avant Garde" w:hAnsi="ITC Avant Garde"/>
          <w:bCs/>
          <w:sz w:val="22"/>
          <w:szCs w:val="22"/>
        </w:rPr>
      </w:pPr>
      <w:r w:rsidRPr="005379A1">
        <w:rPr>
          <w:rFonts w:ascii="ITC Avant Garde" w:hAnsi="ITC Avant Garde"/>
          <w:b/>
          <w:bCs/>
          <w:sz w:val="22"/>
          <w:szCs w:val="22"/>
        </w:rPr>
        <w:t>Cuarto</w:t>
      </w:r>
      <w:r w:rsidR="00251355" w:rsidRPr="005379A1">
        <w:rPr>
          <w:rFonts w:ascii="ITC Avant Garde" w:hAnsi="ITC Avant Garde"/>
          <w:b/>
          <w:bCs/>
          <w:sz w:val="22"/>
          <w:szCs w:val="22"/>
        </w:rPr>
        <w:t xml:space="preserve">.- </w:t>
      </w:r>
      <w:r w:rsidR="00876E18" w:rsidRPr="005379A1">
        <w:rPr>
          <w:rFonts w:ascii="ITC Avant Garde" w:hAnsi="ITC Avant Garde"/>
          <w:b/>
          <w:bCs/>
          <w:sz w:val="22"/>
          <w:szCs w:val="22"/>
        </w:rPr>
        <w:t xml:space="preserve">Otorgamiento de Concesión </w:t>
      </w:r>
      <w:r w:rsidR="00251355" w:rsidRPr="005379A1">
        <w:rPr>
          <w:rFonts w:ascii="ITC Avant Garde" w:hAnsi="ITC Avant Garde"/>
          <w:b/>
          <w:bCs/>
          <w:sz w:val="22"/>
          <w:szCs w:val="22"/>
        </w:rPr>
        <w:t>de Bandas</w:t>
      </w:r>
      <w:r w:rsidR="00876E18" w:rsidRPr="005379A1">
        <w:rPr>
          <w:rFonts w:ascii="ITC Avant Garde" w:hAnsi="ITC Avant Garde"/>
          <w:b/>
          <w:bCs/>
          <w:sz w:val="22"/>
          <w:szCs w:val="22"/>
        </w:rPr>
        <w:t xml:space="preserve"> de Frecuencias para uso Comercial</w:t>
      </w:r>
      <w:r w:rsidR="00251355" w:rsidRPr="005379A1">
        <w:rPr>
          <w:rFonts w:ascii="ITC Avant Garde" w:hAnsi="ITC Avant Garde"/>
          <w:b/>
          <w:bCs/>
          <w:sz w:val="22"/>
          <w:szCs w:val="22"/>
        </w:rPr>
        <w:t>.</w:t>
      </w:r>
      <w:r w:rsidR="00251355" w:rsidRPr="005379A1">
        <w:rPr>
          <w:rFonts w:ascii="ITC Avant Garde" w:hAnsi="ITC Avant Garde"/>
          <w:bCs/>
          <w:sz w:val="22"/>
          <w:szCs w:val="22"/>
        </w:rPr>
        <w:t xml:space="preserve"> </w:t>
      </w:r>
      <w:r w:rsidR="00ED0AB6" w:rsidRPr="005379A1">
        <w:rPr>
          <w:rFonts w:ascii="ITC Avant Garde" w:hAnsi="ITC Avant Garde"/>
          <w:bCs/>
          <w:sz w:val="22"/>
          <w:szCs w:val="22"/>
        </w:rPr>
        <w:t xml:space="preserve">En adición al análisis realizado en el Considerando Tercero respecto de la prórroga de la Concesión, cabe señalar </w:t>
      </w:r>
      <w:r w:rsidR="002D6C88" w:rsidRPr="005379A1">
        <w:rPr>
          <w:rFonts w:ascii="ITC Avant Garde" w:hAnsi="ITC Avant Garde"/>
          <w:bCs/>
          <w:sz w:val="22"/>
          <w:szCs w:val="22"/>
        </w:rPr>
        <w:t xml:space="preserve">que, aunque dicha </w:t>
      </w:r>
      <w:r w:rsidR="00ED0AB6" w:rsidRPr="005379A1">
        <w:rPr>
          <w:rFonts w:ascii="ITC Avant Garde" w:hAnsi="ITC Avant Garde"/>
          <w:bCs/>
          <w:sz w:val="22"/>
          <w:szCs w:val="22"/>
        </w:rPr>
        <w:t xml:space="preserve">Concesión </w:t>
      </w:r>
      <w:r w:rsidR="002D6C88" w:rsidRPr="005379A1">
        <w:rPr>
          <w:rFonts w:ascii="ITC Avant Garde" w:hAnsi="ITC Avant Garde"/>
          <w:bCs/>
          <w:sz w:val="22"/>
          <w:szCs w:val="22"/>
        </w:rPr>
        <w:t xml:space="preserve">era una concesión de red pública de telecomunicaciones, la misma </w:t>
      </w:r>
      <w:r w:rsidR="00ED0AB6" w:rsidRPr="005379A1">
        <w:rPr>
          <w:rFonts w:ascii="ITC Avant Garde" w:hAnsi="ITC Avant Garde"/>
          <w:bCs/>
          <w:sz w:val="22"/>
          <w:szCs w:val="22"/>
        </w:rPr>
        <w:t xml:space="preserve">contemplaba el </w:t>
      </w:r>
      <w:r w:rsidR="002D6C88" w:rsidRPr="005379A1">
        <w:rPr>
          <w:rFonts w:ascii="ITC Avant Garde" w:hAnsi="ITC Avant Garde"/>
          <w:bCs/>
          <w:sz w:val="22"/>
          <w:szCs w:val="22"/>
        </w:rPr>
        <w:t>uso, aprovechamiento y explotación de bandas de frecuencias del espectro radioeléctrico.</w:t>
      </w:r>
    </w:p>
    <w:p w14:paraId="66D9CFF7" w14:textId="77777777" w:rsidR="001C6AEE" w:rsidRPr="005379A1" w:rsidRDefault="002D6C88" w:rsidP="005379A1">
      <w:pPr>
        <w:spacing w:before="240"/>
        <w:ind w:right="-94"/>
        <w:jc w:val="both"/>
        <w:rPr>
          <w:rFonts w:ascii="ITC Avant Garde" w:hAnsi="ITC Avant Garde"/>
          <w:bCs/>
          <w:sz w:val="22"/>
          <w:szCs w:val="22"/>
        </w:rPr>
      </w:pPr>
      <w:r w:rsidRPr="005379A1">
        <w:rPr>
          <w:rFonts w:ascii="ITC Avant Garde" w:hAnsi="ITC Avant Garde"/>
          <w:bCs/>
          <w:sz w:val="22"/>
          <w:szCs w:val="22"/>
        </w:rPr>
        <w:t>Al respecto, e</w:t>
      </w:r>
      <w:r w:rsidR="00251355" w:rsidRPr="005379A1">
        <w:rPr>
          <w:rFonts w:ascii="ITC Avant Garde" w:hAnsi="ITC Avant Garde"/>
          <w:bCs/>
          <w:sz w:val="22"/>
          <w:szCs w:val="22"/>
        </w:rPr>
        <w:t xml:space="preserve">l artículo 10 </w:t>
      </w:r>
      <w:proofErr w:type="gramStart"/>
      <w:r w:rsidR="00251355" w:rsidRPr="005379A1">
        <w:rPr>
          <w:rFonts w:ascii="ITC Avant Garde" w:hAnsi="ITC Avant Garde"/>
          <w:bCs/>
          <w:sz w:val="22"/>
          <w:szCs w:val="22"/>
        </w:rPr>
        <w:t>fracción</w:t>
      </w:r>
      <w:proofErr w:type="gramEnd"/>
      <w:r w:rsidR="00251355" w:rsidRPr="005379A1">
        <w:rPr>
          <w:rFonts w:ascii="ITC Avant Garde" w:hAnsi="ITC Avant Garde"/>
          <w:bCs/>
          <w:sz w:val="22"/>
          <w:szCs w:val="22"/>
        </w:rPr>
        <w:t xml:space="preserve"> II de la LFT</w:t>
      </w:r>
      <w:r w:rsidRPr="005379A1">
        <w:rPr>
          <w:rFonts w:ascii="ITC Avant Garde" w:hAnsi="ITC Avant Garde"/>
          <w:bCs/>
          <w:sz w:val="22"/>
          <w:szCs w:val="22"/>
        </w:rPr>
        <w:t>, legislación vigente al momento de la presentación de la Solicitud de Prórroga,</w:t>
      </w:r>
      <w:r w:rsidR="00251355" w:rsidRPr="005379A1">
        <w:rPr>
          <w:rFonts w:ascii="ITC Avant Garde" w:hAnsi="ITC Avant Garde"/>
          <w:bCs/>
          <w:sz w:val="22"/>
          <w:szCs w:val="22"/>
        </w:rPr>
        <w:t xml:space="preserve"> señalaba que el espectro para usos determinados eran aquellas bandas de frecuencias otorgadas mediante concesión y que podían ser utilizadas para los servicios que autorizara la Secretaría en el título correspondiente. Por su parte, el artículo 11 </w:t>
      </w:r>
      <w:proofErr w:type="gramStart"/>
      <w:r w:rsidR="00251355" w:rsidRPr="005379A1">
        <w:rPr>
          <w:rFonts w:ascii="ITC Avant Garde" w:hAnsi="ITC Avant Garde"/>
          <w:bCs/>
          <w:sz w:val="22"/>
          <w:szCs w:val="22"/>
        </w:rPr>
        <w:t>fracción</w:t>
      </w:r>
      <w:proofErr w:type="gramEnd"/>
      <w:r w:rsidR="00251355" w:rsidRPr="005379A1">
        <w:rPr>
          <w:rFonts w:ascii="ITC Avant Garde" w:hAnsi="ITC Avant Garde"/>
          <w:bCs/>
          <w:sz w:val="22"/>
          <w:szCs w:val="22"/>
        </w:rPr>
        <w:t xml:space="preserve"> I del citado ordenamiento establecía que se requería concesión para usar, aprovechar o explotar una banda de frecuencias en el territorio nacional. </w:t>
      </w:r>
    </w:p>
    <w:p w14:paraId="67F4E862" w14:textId="77777777" w:rsidR="001C6AEE" w:rsidRPr="005379A1" w:rsidRDefault="00251355" w:rsidP="005379A1">
      <w:pPr>
        <w:spacing w:before="240"/>
        <w:ind w:right="-94"/>
        <w:jc w:val="both"/>
        <w:rPr>
          <w:rFonts w:ascii="ITC Avant Garde" w:hAnsi="ITC Avant Garde"/>
          <w:bCs/>
          <w:sz w:val="22"/>
          <w:szCs w:val="22"/>
        </w:rPr>
      </w:pPr>
      <w:r w:rsidRPr="005379A1">
        <w:rPr>
          <w:rFonts w:ascii="ITC Avant Garde" w:hAnsi="ITC Avant Garde"/>
          <w:bCs/>
          <w:sz w:val="22"/>
          <w:szCs w:val="22"/>
        </w:rPr>
        <w:t xml:space="preserve">Por su parte, el artículo 3 fracción XIII de la Ley define a la concesión de espectro radioeléctrico como el acto administrativo mediante el cual el Instituto confiere el derecho para usar, aprovechar o explotar bandas de frecuencia del espectro radioeléctrico, en los términos y modalidades establecidos en dicha Ley. Al respecto, el artículo 76 de la Ley establece una nueva clasificación para este tipo de concesiones de acuerdo a sus fines, entre las que destaca la concesión para uso comercial, que de acuerdo al artículo 76 fracción I, confiere el derecho a personas físicas y morales para usar, aprovechar y explotar bandas de frecuencias del espectro radioeléctrico de uso determinado, con fines de lucro. </w:t>
      </w:r>
    </w:p>
    <w:p w14:paraId="4E25950A" w14:textId="77777777" w:rsidR="001C6AEE" w:rsidRPr="005379A1" w:rsidRDefault="007D4143" w:rsidP="005379A1">
      <w:pPr>
        <w:spacing w:before="240"/>
        <w:ind w:right="-94"/>
        <w:jc w:val="both"/>
        <w:rPr>
          <w:rFonts w:ascii="ITC Avant Garde" w:hAnsi="ITC Avant Garde"/>
          <w:bCs/>
          <w:sz w:val="22"/>
          <w:szCs w:val="22"/>
        </w:rPr>
      </w:pPr>
      <w:r w:rsidRPr="005379A1">
        <w:rPr>
          <w:rFonts w:ascii="ITC Avant Garde" w:hAnsi="ITC Avant Garde"/>
          <w:bCs/>
          <w:sz w:val="22"/>
          <w:szCs w:val="22"/>
        </w:rPr>
        <w:t>Derivado de</w:t>
      </w:r>
      <w:r w:rsidR="00251355" w:rsidRPr="005379A1">
        <w:rPr>
          <w:rFonts w:ascii="ITC Avant Garde" w:hAnsi="ITC Avant Garde"/>
          <w:bCs/>
          <w:sz w:val="22"/>
          <w:szCs w:val="22"/>
        </w:rPr>
        <w:t xml:space="preserve"> lo anterior, la </w:t>
      </w:r>
      <w:r w:rsidR="00E2060F" w:rsidRPr="005379A1">
        <w:rPr>
          <w:rFonts w:ascii="ITC Avant Garde" w:hAnsi="ITC Avant Garde"/>
          <w:bCs/>
          <w:sz w:val="22"/>
          <w:szCs w:val="22"/>
        </w:rPr>
        <w:t>Solicitud de P</w:t>
      </w:r>
      <w:r w:rsidR="00251355" w:rsidRPr="005379A1">
        <w:rPr>
          <w:rFonts w:ascii="ITC Avant Garde" w:hAnsi="ITC Avant Garde"/>
          <w:bCs/>
          <w:sz w:val="22"/>
          <w:szCs w:val="22"/>
        </w:rPr>
        <w:t xml:space="preserve">rórroga de la Concesión debe otorgarse atendiendo a lo dispuesto por el nuevo régimen de </w:t>
      </w:r>
      <w:proofErr w:type="spellStart"/>
      <w:r w:rsidR="00251355" w:rsidRPr="005379A1">
        <w:rPr>
          <w:rFonts w:ascii="ITC Avant Garde" w:hAnsi="ITC Avant Garde"/>
          <w:bCs/>
          <w:sz w:val="22"/>
          <w:szCs w:val="22"/>
        </w:rPr>
        <w:t>concesionamiento</w:t>
      </w:r>
      <w:proofErr w:type="spellEnd"/>
      <w:r w:rsidR="00251355" w:rsidRPr="005379A1">
        <w:rPr>
          <w:rFonts w:ascii="ITC Avant Garde" w:hAnsi="ITC Avant Garde"/>
          <w:bCs/>
          <w:sz w:val="22"/>
          <w:szCs w:val="22"/>
        </w:rPr>
        <w:t xml:space="preserve"> previsto en la Ley, es decir, de concederse la misma, se otorgaría a </w:t>
      </w:r>
      <w:r w:rsidR="00CB0706" w:rsidRPr="005379A1">
        <w:rPr>
          <w:rFonts w:ascii="ITC Avant Garde" w:hAnsi="ITC Avant Garde"/>
          <w:bCs/>
          <w:sz w:val="22"/>
          <w:szCs w:val="22"/>
        </w:rPr>
        <w:t>Intercomunicación del Pacífico</w:t>
      </w:r>
      <w:r w:rsidR="00251355" w:rsidRPr="005379A1">
        <w:rPr>
          <w:rFonts w:ascii="ITC Avant Garde" w:hAnsi="ITC Avant Garde"/>
          <w:bCs/>
          <w:sz w:val="22"/>
          <w:szCs w:val="22"/>
        </w:rPr>
        <w:t xml:space="preserve"> una concesión para usar, aprovechar y explotar bandas de frecuencias del espectro radioeléctrico para uso comercial. </w:t>
      </w:r>
    </w:p>
    <w:p w14:paraId="579813E9" w14:textId="77777777" w:rsidR="001C6AEE" w:rsidRPr="005379A1" w:rsidRDefault="00480133" w:rsidP="005379A1">
      <w:pPr>
        <w:spacing w:before="240"/>
        <w:ind w:right="99"/>
        <w:jc w:val="both"/>
        <w:rPr>
          <w:rFonts w:ascii="ITC Avant Garde" w:eastAsia="Calibri" w:hAnsi="ITC Avant Garde"/>
          <w:bCs/>
          <w:color w:val="000000"/>
          <w:sz w:val="22"/>
          <w:szCs w:val="22"/>
          <w:lang w:eastAsia="es-MX"/>
        </w:rPr>
      </w:pPr>
      <w:r w:rsidRPr="005379A1">
        <w:rPr>
          <w:rFonts w:ascii="ITC Avant Garde" w:eastAsia="Calibri" w:hAnsi="ITC Avant Garde"/>
          <w:b/>
          <w:bCs/>
          <w:color w:val="000000"/>
          <w:sz w:val="22"/>
          <w:szCs w:val="22"/>
          <w:lang w:eastAsia="es-MX"/>
        </w:rPr>
        <w:t>Quinto</w:t>
      </w:r>
      <w:r w:rsidR="00CC7BFB" w:rsidRPr="005379A1">
        <w:rPr>
          <w:rFonts w:ascii="ITC Avant Garde" w:eastAsia="Calibri" w:hAnsi="ITC Avant Garde"/>
          <w:b/>
          <w:bCs/>
          <w:color w:val="000000"/>
          <w:sz w:val="22"/>
          <w:szCs w:val="22"/>
          <w:lang w:eastAsia="es-MX"/>
        </w:rPr>
        <w:t xml:space="preserve">.- Análisis de la Solicitud de Prórroga. </w:t>
      </w:r>
      <w:r w:rsidR="00CC7BFB" w:rsidRPr="005379A1">
        <w:rPr>
          <w:rFonts w:ascii="ITC Avant Garde" w:eastAsia="Calibri" w:hAnsi="ITC Avant Garde"/>
          <w:bCs/>
          <w:color w:val="000000"/>
          <w:sz w:val="22"/>
          <w:szCs w:val="22"/>
          <w:lang w:eastAsia="es-MX"/>
        </w:rPr>
        <w:t>De conformidad con lo señalado por los artículos 19 y 27 de la LFT y la Ley Federal de Derechos</w:t>
      </w:r>
      <w:r w:rsidR="00C52860" w:rsidRPr="005379A1">
        <w:rPr>
          <w:rFonts w:ascii="ITC Avant Garde" w:eastAsia="Calibri" w:hAnsi="ITC Avant Garde"/>
          <w:bCs/>
          <w:color w:val="000000"/>
          <w:sz w:val="22"/>
          <w:szCs w:val="22"/>
          <w:lang w:eastAsia="es-MX"/>
        </w:rPr>
        <w:t xml:space="preserve"> vigente al momento de presentar </w:t>
      </w:r>
      <w:r w:rsidR="00C52860" w:rsidRPr="005379A1">
        <w:rPr>
          <w:rFonts w:ascii="ITC Avant Garde" w:eastAsia="Calibri" w:hAnsi="ITC Avant Garde"/>
          <w:bCs/>
          <w:color w:val="000000"/>
          <w:sz w:val="22"/>
          <w:szCs w:val="22"/>
          <w:lang w:eastAsia="es-MX"/>
        </w:rPr>
        <w:lastRenderedPageBreak/>
        <w:t>la Solicitud de Prórroga</w:t>
      </w:r>
      <w:r w:rsidR="00CC7BFB" w:rsidRPr="005379A1">
        <w:rPr>
          <w:rFonts w:ascii="ITC Avant Garde" w:eastAsia="Calibri" w:hAnsi="ITC Avant Garde"/>
          <w:bCs/>
          <w:color w:val="000000"/>
          <w:sz w:val="22"/>
          <w:szCs w:val="22"/>
          <w:lang w:eastAsia="es-MX"/>
        </w:rPr>
        <w:t>,</w:t>
      </w:r>
      <w:r w:rsidR="00E2060F" w:rsidRPr="005379A1">
        <w:rPr>
          <w:rFonts w:ascii="ITC Avant Garde" w:eastAsia="Calibri" w:hAnsi="ITC Avant Garde"/>
          <w:bCs/>
          <w:color w:val="000000"/>
          <w:sz w:val="22"/>
          <w:szCs w:val="22"/>
          <w:lang w:eastAsia="es-MX"/>
        </w:rPr>
        <w:t xml:space="preserve"> y como ya quedó señalado</w:t>
      </w:r>
      <w:r w:rsidR="007D4143" w:rsidRPr="005379A1">
        <w:rPr>
          <w:rFonts w:ascii="ITC Avant Garde" w:eastAsia="Calibri" w:hAnsi="ITC Avant Garde"/>
          <w:bCs/>
          <w:color w:val="000000"/>
          <w:sz w:val="22"/>
          <w:szCs w:val="22"/>
          <w:lang w:eastAsia="es-MX"/>
        </w:rPr>
        <w:t xml:space="preserve"> en el Considerado Segundo,</w:t>
      </w:r>
      <w:r w:rsidR="00CC7BFB" w:rsidRPr="005379A1">
        <w:rPr>
          <w:rFonts w:ascii="ITC Avant Garde" w:eastAsia="Calibri" w:hAnsi="ITC Avant Garde"/>
          <w:bCs/>
          <w:color w:val="000000"/>
          <w:sz w:val="22"/>
          <w:szCs w:val="22"/>
          <w:lang w:eastAsia="es-MX"/>
        </w:rPr>
        <w:t xml:space="preserve"> los requisitos de procedencia que debe observar </w:t>
      </w:r>
      <w:r w:rsidR="00CB0706" w:rsidRPr="005379A1">
        <w:rPr>
          <w:rFonts w:ascii="ITC Avant Garde" w:eastAsia="Calibri" w:hAnsi="ITC Avant Garde"/>
          <w:bCs/>
          <w:color w:val="000000"/>
          <w:sz w:val="22"/>
          <w:szCs w:val="22"/>
          <w:lang w:eastAsia="es-MX"/>
        </w:rPr>
        <w:t>Intercomunicación del Pacífico</w:t>
      </w:r>
      <w:r w:rsidR="00CC7BFB" w:rsidRPr="005379A1">
        <w:rPr>
          <w:rFonts w:ascii="ITC Avant Garde" w:eastAsia="Calibri" w:hAnsi="ITC Avant Garde"/>
          <w:bCs/>
          <w:color w:val="000000"/>
          <w:sz w:val="22"/>
          <w:szCs w:val="22"/>
          <w:lang w:eastAsia="es-MX"/>
        </w:rPr>
        <w:t xml:space="preserve">, y que se verifican durante el análisis de </w:t>
      </w:r>
      <w:r w:rsidR="00E2060F" w:rsidRPr="005379A1">
        <w:rPr>
          <w:rFonts w:ascii="ITC Avant Garde" w:eastAsia="Calibri" w:hAnsi="ITC Avant Garde"/>
          <w:bCs/>
          <w:color w:val="000000"/>
          <w:sz w:val="22"/>
          <w:szCs w:val="22"/>
          <w:lang w:eastAsia="es-MX"/>
        </w:rPr>
        <w:t>la S</w:t>
      </w:r>
      <w:r w:rsidR="00CC7BFB" w:rsidRPr="005379A1">
        <w:rPr>
          <w:rFonts w:ascii="ITC Avant Garde" w:eastAsia="Calibri" w:hAnsi="ITC Avant Garde"/>
          <w:bCs/>
          <w:color w:val="000000"/>
          <w:sz w:val="22"/>
          <w:szCs w:val="22"/>
          <w:lang w:eastAsia="es-MX"/>
        </w:rPr>
        <w:t xml:space="preserve">olicitud de </w:t>
      </w:r>
      <w:r w:rsidR="00E2060F" w:rsidRPr="005379A1">
        <w:rPr>
          <w:rFonts w:ascii="ITC Avant Garde" w:eastAsia="Calibri" w:hAnsi="ITC Avant Garde"/>
          <w:bCs/>
          <w:color w:val="000000"/>
          <w:sz w:val="22"/>
          <w:szCs w:val="22"/>
          <w:lang w:eastAsia="es-MX"/>
        </w:rPr>
        <w:t>P</w:t>
      </w:r>
      <w:r w:rsidR="00CC7BFB" w:rsidRPr="005379A1">
        <w:rPr>
          <w:rFonts w:ascii="ITC Avant Garde" w:eastAsia="Calibri" w:hAnsi="ITC Avant Garde"/>
          <w:bCs/>
          <w:color w:val="000000"/>
          <w:sz w:val="22"/>
          <w:szCs w:val="22"/>
          <w:lang w:eastAsia="es-MX"/>
        </w:rPr>
        <w:t>rórroga, son los siguientes:</w:t>
      </w:r>
    </w:p>
    <w:p w14:paraId="1078B16E" w14:textId="12D384BD" w:rsidR="00CC7BFB" w:rsidRPr="005379A1" w:rsidRDefault="00CC7BFB" w:rsidP="005379A1">
      <w:pPr>
        <w:pStyle w:val="Prrafodelista"/>
        <w:numPr>
          <w:ilvl w:val="0"/>
          <w:numId w:val="34"/>
        </w:numPr>
        <w:spacing w:before="240"/>
        <w:ind w:left="709" w:hanging="349"/>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Que la prórroga se haya solicitado antes del inicio de la última quinta parte del plazo de la concesión;</w:t>
      </w:r>
    </w:p>
    <w:p w14:paraId="013B8EB9" w14:textId="77777777" w:rsidR="00CC7BFB" w:rsidRPr="005379A1" w:rsidRDefault="00CC7BFB" w:rsidP="005379A1">
      <w:pPr>
        <w:pStyle w:val="Prrafodelista"/>
        <w:numPr>
          <w:ilvl w:val="0"/>
          <w:numId w:val="34"/>
        </w:numPr>
        <w:spacing w:before="240"/>
        <w:ind w:left="709" w:hanging="349"/>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Que el concesionario haya cumplido con las condiciones previstas en la concesión;</w:t>
      </w:r>
    </w:p>
    <w:p w14:paraId="64DF06CD" w14:textId="77777777" w:rsidR="00CC7BFB" w:rsidRPr="005379A1" w:rsidRDefault="00CC7BFB" w:rsidP="005379A1">
      <w:pPr>
        <w:pStyle w:val="Prrafodelista"/>
        <w:numPr>
          <w:ilvl w:val="0"/>
          <w:numId w:val="34"/>
        </w:numPr>
        <w:spacing w:before="240"/>
        <w:ind w:left="709" w:hanging="349"/>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 xml:space="preserve">Que se exhiban los comprobantes del pago de los derechos establecidos en la Ley Federal de Derechos por el estudio de la solicitud; y </w:t>
      </w:r>
    </w:p>
    <w:p w14:paraId="4D8F13BE" w14:textId="77777777" w:rsidR="001C6AEE" w:rsidRPr="005379A1" w:rsidRDefault="00CC7BFB" w:rsidP="005379A1">
      <w:pPr>
        <w:pStyle w:val="Prrafodelista"/>
        <w:numPr>
          <w:ilvl w:val="0"/>
          <w:numId w:val="34"/>
        </w:numPr>
        <w:spacing w:before="240"/>
        <w:ind w:left="709" w:hanging="349"/>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Que se acepten las nuevas condiciones que establezca el Instituto, entre las que se encuentra el pago de la contraprestación correspondiente.</w:t>
      </w:r>
    </w:p>
    <w:p w14:paraId="2E767A91" w14:textId="0040B5E7" w:rsidR="001C6AEE" w:rsidRPr="005379A1" w:rsidRDefault="00CC7BFB" w:rsidP="005379A1">
      <w:pPr>
        <w:autoSpaceDE w:val="0"/>
        <w:autoSpaceDN w:val="0"/>
        <w:adjustRightInd w:val="0"/>
        <w:spacing w:before="240"/>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Para verificar el primer requisito, se debe tomar en cuenta</w:t>
      </w:r>
      <w:r w:rsidR="00366B95" w:rsidRPr="005379A1">
        <w:rPr>
          <w:rFonts w:ascii="ITC Avant Garde" w:eastAsia="Calibri" w:hAnsi="ITC Avant Garde"/>
          <w:bCs/>
          <w:color w:val="000000"/>
          <w:sz w:val="22"/>
          <w:szCs w:val="22"/>
          <w:lang w:eastAsia="es-MX"/>
        </w:rPr>
        <w:t xml:space="preserve"> que</w:t>
      </w:r>
      <w:r w:rsidRPr="005379A1">
        <w:rPr>
          <w:rFonts w:ascii="ITC Avant Garde" w:eastAsia="Calibri" w:hAnsi="ITC Avant Garde"/>
          <w:bCs/>
          <w:color w:val="000000"/>
          <w:sz w:val="22"/>
          <w:szCs w:val="22"/>
          <w:lang w:eastAsia="es-MX"/>
        </w:rPr>
        <w:t xml:space="preserve"> la vigencia de la Concesi</w:t>
      </w:r>
      <w:r w:rsidR="00366B95" w:rsidRPr="005379A1">
        <w:rPr>
          <w:rFonts w:ascii="ITC Avant Garde" w:eastAsia="Calibri" w:hAnsi="ITC Avant Garde"/>
          <w:bCs/>
          <w:color w:val="000000"/>
          <w:sz w:val="22"/>
          <w:szCs w:val="22"/>
          <w:lang w:eastAsia="es-MX"/>
        </w:rPr>
        <w:t xml:space="preserve">ón era de </w:t>
      </w:r>
      <w:r w:rsidRPr="005379A1">
        <w:rPr>
          <w:rFonts w:ascii="ITC Avant Garde" w:eastAsia="Calibri" w:hAnsi="ITC Avant Garde"/>
          <w:bCs/>
          <w:color w:val="000000"/>
          <w:sz w:val="22"/>
          <w:szCs w:val="22"/>
          <w:lang w:eastAsia="es-MX"/>
        </w:rPr>
        <w:t>15 (quince) años, contados a partir de su otorgamiento</w:t>
      </w:r>
      <w:r w:rsidR="00CF2104" w:rsidRPr="005379A1">
        <w:rPr>
          <w:rFonts w:ascii="ITC Avant Garde" w:eastAsia="Calibri" w:hAnsi="ITC Avant Garde"/>
          <w:bCs/>
          <w:color w:val="000000"/>
          <w:sz w:val="22"/>
          <w:szCs w:val="22"/>
          <w:lang w:eastAsia="es-MX"/>
        </w:rPr>
        <w:t xml:space="preserve">, </w:t>
      </w:r>
      <w:r w:rsidR="00AF4C58" w:rsidRPr="005379A1">
        <w:rPr>
          <w:rFonts w:ascii="ITC Avant Garde" w:eastAsia="Calibri" w:hAnsi="ITC Avant Garde"/>
          <w:bCs/>
          <w:color w:val="000000"/>
          <w:sz w:val="22"/>
          <w:szCs w:val="22"/>
          <w:lang w:eastAsia="es-MX"/>
        </w:rPr>
        <w:t>esto es</w:t>
      </w:r>
      <w:r w:rsidR="00CF2104" w:rsidRPr="005379A1">
        <w:rPr>
          <w:rFonts w:ascii="ITC Avant Garde" w:eastAsia="Calibri" w:hAnsi="ITC Avant Garde"/>
          <w:bCs/>
          <w:color w:val="000000"/>
          <w:sz w:val="22"/>
          <w:szCs w:val="22"/>
          <w:lang w:eastAsia="es-MX"/>
        </w:rPr>
        <w:t xml:space="preserve"> el 17 de noviembre de 1994</w:t>
      </w:r>
      <w:r w:rsidRPr="005379A1">
        <w:rPr>
          <w:rFonts w:ascii="ITC Avant Garde" w:eastAsia="Calibri" w:hAnsi="ITC Avant Garde"/>
          <w:bCs/>
          <w:color w:val="000000"/>
          <w:sz w:val="22"/>
          <w:szCs w:val="22"/>
          <w:lang w:eastAsia="es-MX"/>
        </w:rPr>
        <w:t xml:space="preserve">. Es decir, su vencimiento tuvo verificativo el </w:t>
      </w:r>
      <w:r w:rsidR="00E55729" w:rsidRPr="005379A1">
        <w:rPr>
          <w:rFonts w:ascii="ITC Avant Garde" w:hAnsi="ITC Avant Garde"/>
          <w:bCs/>
          <w:color w:val="000000"/>
          <w:sz w:val="22"/>
          <w:szCs w:val="22"/>
          <w:lang w:val="es-ES" w:eastAsia="es-MX"/>
        </w:rPr>
        <w:t>17 de noviembre de 2009</w:t>
      </w:r>
      <w:r w:rsidRPr="005379A1">
        <w:rPr>
          <w:rFonts w:ascii="ITC Avant Garde" w:eastAsia="Calibri" w:hAnsi="ITC Avant Garde"/>
          <w:bCs/>
          <w:color w:val="000000"/>
          <w:sz w:val="22"/>
          <w:szCs w:val="22"/>
          <w:lang w:eastAsia="es-MX"/>
        </w:rPr>
        <w:t xml:space="preserve">, por lo que </w:t>
      </w:r>
      <w:r w:rsidR="00CB0706" w:rsidRPr="005379A1">
        <w:rPr>
          <w:rFonts w:ascii="ITC Avant Garde" w:eastAsia="Calibri" w:hAnsi="ITC Avant Garde"/>
          <w:bCs/>
          <w:color w:val="000000"/>
          <w:sz w:val="22"/>
          <w:szCs w:val="22"/>
          <w:lang w:eastAsia="es-MX"/>
        </w:rPr>
        <w:t>Intercomunicación del Pacífico</w:t>
      </w:r>
      <w:r w:rsidRPr="005379A1">
        <w:rPr>
          <w:rFonts w:ascii="ITC Avant Garde" w:eastAsia="Calibri" w:hAnsi="ITC Avant Garde"/>
          <w:bCs/>
          <w:color w:val="000000"/>
          <w:sz w:val="22"/>
          <w:szCs w:val="22"/>
          <w:lang w:eastAsia="es-MX"/>
        </w:rPr>
        <w:t xml:space="preserve">, debía presentar la Solicitud de Prórroga de la Concesión antes del </w:t>
      </w:r>
      <w:r w:rsidR="00E55729" w:rsidRPr="005379A1">
        <w:rPr>
          <w:rFonts w:ascii="ITC Avant Garde" w:eastAsia="Calibri" w:hAnsi="ITC Avant Garde"/>
          <w:bCs/>
          <w:color w:val="000000"/>
          <w:sz w:val="22"/>
          <w:szCs w:val="22"/>
          <w:lang w:eastAsia="es-MX"/>
        </w:rPr>
        <w:t>17</w:t>
      </w:r>
      <w:r w:rsidR="008F511C" w:rsidRPr="005379A1">
        <w:rPr>
          <w:rFonts w:ascii="ITC Avant Garde" w:eastAsia="Calibri" w:hAnsi="ITC Avant Garde"/>
          <w:bCs/>
          <w:color w:val="000000"/>
          <w:sz w:val="22"/>
          <w:szCs w:val="22"/>
          <w:lang w:eastAsia="es-MX"/>
        </w:rPr>
        <w:t xml:space="preserve"> de </w:t>
      </w:r>
      <w:r w:rsidR="00E55729" w:rsidRPr="005379A1">
        <w:rPr>
          <w:rFonts w:ascii="ITC Avant Garde" w:eastAsia="Calibri" w:hAnsi="ITC Avant Garde"/>
          <w:bCs/>
          <w:color w:val="000000"/>
          <w:sz w:val="22"/>
          <w:szCs w:val="22"/>
          <w:lang w:eastAsia="es-MX"/>
        </w:rPr>
        <w:t xml:space="preserve">noviembre </w:t>
      </w:r>
      <w:r w:rsidR="008F511C" w:rsidRPr="005379A1">
        <w:rPr>
          <w:rFonts w:ascii="ITC Avant Garde" w:eastAsia="Calibri" w:hAnsi="ITC Avant Garde"/>
          <w:bCs/>
          <w:color w:val="000000"/>
          <w:sz w:val="22"/>
          <w:szCs w:val="22"/>
          <w:lang w:eastAsia="es-MX"/>
        </w:rPr>
        <w:t>de 200</w:t>
      </w:r>
      <w:r w:rsidR="002C0EB2" w:rsidRPr="005379A1">
        <w:rPr>
          <w:rFonts w:ascii="ITC Avant Garde" w:eastAsia="Calibri" w:hAnsi="ITC Avant Garde"/>
          <w:bCs/>
          <w:color w:val="000000"/>
          <w:sz w:val="22"/>
          <w:szCs w:val="22"/>
          <w:lang w:eastAsia="es-MX"/>
        </w:rPr>
        <w:t>6</w:t>
      </w:r>
      <w:r w:rsidRPr="005379A1">
        <w:rPr>
          <w:rFonts w:ascii="ITC Avant Garde" w:eastAsia="Calibri" w:hAnsi="ITC Avant Garde"/>
          <w:bCs/>
          <w:color w:val="000000"/>
          <w:sz w:val="22"/>
          <w:szCs w:val="22"/>
          <w:lang w:eastAsia="es-MX"/>
        </w:rPr>
        <w:t xml:space="preserve">. Toda vez que </w:t>
      </w:r>
      <w:r w:rsidR="00CB0706" w:rsidRPr="005379A1">
        <w:rPr>
          <w:rFonts w:ascii="ITC Avant Garde" w:eastAsia="Calibri" w:hAnsi="ITC Avant Garde"/>
          <w:bCs/>
          <w:color w:val="000000"/>
          <w:sz w:val="22"/>
          <w:szCs w:val="22"/>
          <w:lang w:eastAsia="es-MX"/>
        </w:rPr>
        <w:t>Intercomunicación del Pacífico</w:t>
      </w:r>
      <w:r w:rsidRPr="005379A1">
        <w:rPr>
          <w:rFonts w:ascii="ITC Avant Garde" w:eastAsia="Calibri" w:hAnsi="ITC Avant Garde"/>
          <w:bCs/>
          <w:color w:val="000000"/>
          <w:sz w:val="22"/>
          <w:szCs w:val="22"/>
          <w:lang w:eastAsia="es-MX"/>
        </w:rPr>
        <w:t xml:space="preserve"> presentó </w:t>
      </w:r>
      <w:r w:rsidR="002C0EB2" w:rsidRPr="005379A1">
        <w:rPr>
          <w:rFonts w:ascii="ITC Avant Garde" w:eastAsia="Calibri" w:hAnsi="ITC Avant Garde"/>
          <w:bCs/>
          <w:color w:val="000000"/>
          <w:sz w:val="22"/>
          <w:szCs w:val="22"/>
          <w:lang w:eastAsia="es-MX"/>
        </w:rPr>
        <w:t>la</w:t>
      </w:r>
      <w:r w:rsidRPr="005379A1">
        <w:rPr>
          <w:rFonts w:ascii="ITC Avant Garde" w:eastAsia="Calibri" w:hAnsi="ITC Avant Garde"/>
          <w:bCs/>
          <w:color w:val="000000"/>
          <w:sz w:val="22"/>
          <w:szCs w:val="22"/>
          <w:lang w:eastAsia="es-MX"/>
        </w:rPr>
        <w:t xml:space="preserve"> Solicitud de Prórroga </w:t>
      </w:r>
      <w:r w:rsidR="00E2060F" w:rsidRPr="005379A1">
        <w:rPr>
          <w:rFonts w:ascii="ITC Avant Garde" w:eastAsia="Calibri" w:hAnsi="ITC Avant Garde"/>
          <w:bCs/>
          <w:color w:val="000000"/>
          <w:sz w:val="22"/>
          <w:szCs w:val="22"/>
          <w:lang w:eastAsia="es-MX"/>
        </w:rPr>
        <w:t xml:space="preserve">señalada </w:t>
      </w:r>
      <w:r w:rsidRPr="005379A1">
        <w:rPr>
          <w:rFonts w:ascii="ITC Avant Garde" w:eastAsia="Calibri" w:hAnsi="ITC Avant Garde"/>
          <w:bCs/>
          <w:color w:val="000000"/>
          <w:sz w:val="22"/>
          <w:szCs w:val="22"/>
          <w:lang w:eastAsia="es-MX"/>
        </w:rPr>
        <w:t xml:space="preserve">el </w:t>
      </w:r>
      <w:r w:rsidR="007C2F71" w:rsidRPr="005379A1">
        <w:rPr>
          <w:rFonts w:ascii="ITC Avant Garde" w:hAnsi="ITC Avant Garde"/>
          <w:bCs/>
          <w:color w:val="000000"/>
          <w:sz w:val="22"/>
          <w:szCs w:val="22"/>
          <w:lang w:val="es-ES" w:eastAsia="es-MX"/>
        </w:rPr>
        <w:t>21 de junio de 2006</w:t>
      </w:r>
      <w:r w:rsidRPr="005379A1">
        <w:rPr>
          <w:rFonts w:ascii="ITC Avant Garde" w:eastAsia="Calibri" w:hAnsi="ITC Avant Garde"/>
          <w:bCs/>
          <w:color w:val="000000"/>
          <w:sz w:val="22"/>
          <w:szCs w:val="22"/>
          <w:lang w:eastAsia="es-MX"/>
        </w:rPr>
        <w:t>, este requisito se tiene por cumplido.</w:t>
      </w:r>
    </w:p>
    <w:p w14:paraId="0E702DC8" w14:textId="77777777" w:rsidR="001C6AEE" w:rsidRPr="005379A1" w:rsidRDefault="00CC7BFB" w:rsidP="005379A1">
      <w:pPr>
        <w:pStyle w:val="Textoindependiente"/>
        <w:spacing w:before="240"/>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 xml:space="preserve">Por lo que respecta al segundo requisito, el mismo fue verificado por la entonces Unidad de Supervisión y Verificación de la </w:t>
      </w:r>
      <w:r w:rsidR="00E2060F" w:rsidRPr="005379A1">
        <w:rPr>
          <w:rFonts w:ascii="ITC Avant Garde" w:eastAsia="Calibri" w:hAnsi="ITC Avant Garde"/>
          <w:bCs/>
          <w:color w:val="000000"/>
          <w:sz w:val="22"/>
          <w:szCs w:val="22"/>
          <w:lang w:eastAsia="es-MX"/>
        </w:rPr>
        <w:t xml:space="preserve">extinta </w:t>
      </w:r>
      <w:r w:rsidRPr="005379A1">
        <w:rPr>
          <w:rFonts w:ascii="ITC Avant Garde" w:eastAsia="Calibri" w:hAnsi="ITC Avant Garde"/>
          <w:bCs/>
          <w:color w:val="000000"/>
          <w:sz w:val="22"/>
          <w:szCs w:val="22"/>
          <w:lang w:eastAsia="es-MX"/>
        </w:rPr>
        <w:t xml:space="preserve">Comisión la que, en el ámbito de sus atribuciones, emitió </w:t>
      </w:r>
      <w:r w:rsidR="007C2F71" w:rsidRPr="005379A1">
        <w:rPr>
          <w:rFonts w:ascii="ITC Avant Garde" w:eastAsia="Calibri" w:hAnsi="ITC Avant Garde"/>
          <w:bCs/>
          <w:color w:val="000000"/>
          <w:sz w:val="22"/>
          <w:szCs w:val="22"/>
          <w:lang w:eastAsia="es-MX"/>
        </w:rPr>
        <w:t>e</w:t>
      </w:r>
      <w:r w:rsidRPr="005379A1">
        <w:rPr>
          <w:rFonts w:ascii="ITC Avant Garde" w:eastAsia="Calibri" w:hAnsi="ITC Avant Garde"/>
          <w:bCs/>
          <w:color w:val="000000"/>
          <w:sz w:val="22"/>
          <w:szCs w:val="22"/>
          <w:lang w:eastAsia="es-MX"/>
        </w:rPr>
        <w:t xml:space="preserve">l oficio señalado en el Antecedente </w:t>
      </w:r>
      <w:r w:rsidR="00410134" w:rsidRPr="005379A1">
        <w:rPr>
          <w:rFonts w:ascii="ITC Avant Garde" w:eastAsia="Calibri" w:hAnsi="ITC Avant Garde"/>
          <w:bCs/>
          <w:color w:val="000000"/>
          <w:sz w:val="22"/>
          <w:szCs w:val="22"/>
          <w:lang w:eastAsia="es-MX"/>
        </w:rPr>
        <w:t>IV</w:t>
      </w:r>
      <w:r w:rsidRPr="005379A1">
        <w:rPr>
          <w:rFonts w:ascii="ITC Avant Garde" w:eastAsia="Calibri" w:hAnsi="ITC Avant Garde"/>
          <w:bCs/>
          <w:color w:val="000000"/>
          <w:sz w:val="22"/>
          <w:szCs w:val="22"/>
          <w:lang w:eastAsia="es-MX"/>
        </w:rPr>
        <w:t>, en donde manifestó que</w:t>
      </w:r>
      <w:r w:rsidR="00410134" w:rsidRPr="005379A1">
        <w:rPr>
          <w:rFonts w:ascii="ITC Avant Garde" w:eastAsia="Calibri" w:hAnsi="ITC Avant Garde"/>
          <w:bCs/>
          <w:color w:val="000000"/>
          <w:sz w:val="22"/>
          <w:szCs w:val="22"/>
          <w:lang w:eastAsia="es-MX"/>
        </w:rPr>
        <w:t xml:space="preserve"> </w:t>
      </w:r>
      <w:r w:rsidR="00CB0706" w:rsidRPr="005379A1">
        <w:rPr>
          <w:rFonts w:ascii="ITC Avant Garde" w:eastAsia="Calibri" w:hAnsi="ITC Avant Garde"/>
          <w:bCs/>
          <w:color w:val="000000"/>
          <w:sz w:val="22"/>
          <w:szCs w:val="22"/>
          <w:lang w:eastAsia="es-MX"/>
        </w:rPr>
        <w:t>Intercomunicación del Pacífico</w:t>
      </w:r>
      <w:r w:rsidRPr="005379A1">
        <w:rPr>
          <w:rFonts w:ascii="ITC Avant Garde" w:eastAsia="Calibri" w:hAnsi="ITC Avant Garde"/>
          <w:bCs/>
          <w:color w:val="000000"/>
          <w:sz w:val="22"/>
          <w:szCs w:val="22"/>
          <w:lang w:eastAsia="es-MX"/>
        </w:rPr>
        <w:t>, se encontraba al corriente en el cumplimiento de las obligaciones a su cargo derivadas de la Concesi</w:t>
      </w:r>
      <w:r w:rsidR="00410134" w:rsidRPr="005379A1">
        <w:rPr>
          <w:rFonts w:ascii="ITC Avant Garde" w:eastAsia="Calibri" w:hAnsi="ITC Avant Garde"/>
          <w:bCs/>
          <w:color w:val="000000"/>
          <w:sz w:val="22"/>
          <w:szCs w:val="22"/>
          <w:lang w:eastAsia="es-MX"/>
        </w:rPr>
        <w:t>ón</w:t>
      </w:r>
      <w:r w:rsidRPr="005379A1">
        <w:rPr>
          <w:rFonts w:ascii="ITC Avant Garde" w:eastAsia="Calibri" w:hAnsi="ITC Avant Garde"/>
          <w:bCs/>
          <w:color w:val="000000"/>
          <w:sz w:val="22"/>
          <w:szCs w:val="22"/>
          <w:lang w:eastAsia="es-MX"/>
        </w:rPr>
        <w:t xml:space="preserve">. </w:t>
      </w:r>
    </w:p>
    <w:p w14:paraId="078C705E" w14:textId="77777777" w:rsidR="001C6AEE" w:rsidRPr="005379A1" w:rsidRDefault="00CC7BFB" w:rsidP="005379A1">
      <w:pPr>
        <w:spacing w:before="240"/>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 xml:space="preserve">Con relación al tercer requisito, se debe mencionar que al momento de presentar </w:t>
      </w:r>
      <w:r w:rsidR="00410134" w:rsidRPr="005379A1">
        <w:rPr>
          <w:rFonts w:ascii="ITC Avant Garde" w:eastAsia="Calibri" w:hAnsi="ITC Avant Garde"/>
          <w:bCs/>
          <w:color w:val="000000"/>
          <w:sz w:val="22"/>
          <w:szCs w:val="22"/>
          <w:lang w:eastAsia="es-MX"/>
        </w:rPr>
        <w:t>la</w:t>
      </w:r>
      <w:r w:rsidRPr="005379A1">
        <w:rPr>
          <w:rFonts w:ascii="ITC Avant Garde" w:eastAsia="Calibri" w:hAnsi="ITC Avant Garde"/>
          <w:bCs/>
          <w:color w:val="000000"/>
          <w:sz w:val="22"/>
          <w:szCs w:val="22"/>
          <w:lang w:eastAsia="es-MX"/>
        </w:rPr>
        <w:t xml:space="preserve"> Solicitud de Prórroga,</w:t>
      </w:r>
      <w:r w:rsidR="00410134" w:rsidRPr="005379A1">
        <w:rPr>
          <w:rFonts w:ascii="ITC Avant Garde" w:eastAsia="Calibri" w:hAnsi="ITC Avant Garde"/>
          <w:bCs/>
          <w:color w:val="000000"/>
          <w:sz w:val="22"/>
          <w:szCs w:val="22"/>
          <w:lang w:eastAsia="es-MX"/>
        </w:rPr>
        <w:t xml:space="preserve"> </w:t>
      </w:r>
      <w:r w:rsidR="00CB0706" w:rsidRPr="005379A1">
        <w:rPr>
          <w:rFonts w:ascii="ITC Avant Garde" w:eastAsia="Calibri" w:hAnsi="ITC Avant Garde"/>
          <w:bCs/>
          <w:color w:val="000000"/>
          <w:sz w:val="22"/>
          <w:szCs w:val="22"/>
          <w:lang w:eastAsia="es-MX"/>
        </w:rPr>
        <w:t>Intercomunicación del Pacífico</w:t>
      </w:r>
      <w:r w:rsidRPr="005379A1">
        <w:rPr>
          <w:rFonts w:ascii="ITC Avant Garde" w:eastAsia="Calibri" w:hAnsi="ITC Avant Garde"/>
          <w:bCs/>
          <w:color w:val="000000"/>
          <w:sz w:val="22"/>
          <w:szCs w:val="22"/>
          <w:lang w:eastAsia="es-MX"/>
        </w:rPr>
        <w:t xml:space="preserve">, </w:t>
      </w:r>
      <w:r w:rsidR="00593B74" w:rsidRPr="005379A1">
        <w:rPr>
          <w:rFonts w:ascii="ITC Avant Garde" w:eastAsia="Calibri" w:hAnsi="ITC Avant Garde"/>
          <w:bCs/>
          <w:color w:val="000000"/>
          <w:sz w:val="22"/>
          <w:szCs w:val="22"/>
          <w:lang w:eastAsia="es-MX"/>
        </w:rPr>
        <w:t>adjuntó el recibo de pago previsto en el artículo 94 fracción III de la Ley Federal de Derechos vigente al momento de la presentación de dicha solicitud, que ampara</w:t>
      </w:r>
      <w:r w:rsidR="004F3864" w:rsidRPr="005379A1">
        <w:rPr>
          <w:rFonts w:ascii="ITC Avant Garde" w:eastAsia="Calibri" w:hAnsi="ITC Avant Garde"/>
          <w:bCs/>
          <w:color w:val="000000"/>
          <w:sz w:val="22"/>
          <w:szCs w:val="22"/>
          <w:lang w:eastAsia="es-MX"/>
        </w:rPr>
        <w:t>ba</w:t>
      </w:r>
      <w:r w:rsidR="00593B74" w:rsidRPr="005379A1">
        <w:rPr>
          <w:rFonts w:ascii="ITC Avant Garde" w:eastAsia="Calibri" w:hAnsi="ITC Avant Garde"/>
          <w:bCs/>
          <w:color w:val="000000"/>
          <w:sz w:val="22"/>
          <w:szCs w:val="22"/>
          <w:lang w:eastAsia="es-MX"/>
        </w:rPr>
        <w:t xml:space="preserve"> el estudio de solicitudes de prórroga de concesiones de redes públicas de telecomunicaciones. </w:t>
      </w:r>
    </w:p>
    <w:p w14:paraId="4F0D0F98" w14:textId="77777777" w:rsidR="001C6AEE" w:rsidRPr="005379A1" w:rsidRDefault="00CC7BFB" w:rsidP="005379A1">
      <w:pPr>
        <w:spacing w:before="240"/>
        <w:jc w:val="both"/>
        <w:rPr>
          <w:rFonts w:ascii="ITC Avant Garde" w:eastAsia="Calibri" w:hAnsi="ITC Avant Garde"/>
          <w:bCs/>
          <w:color w:val="000000"/>
          <w:sz w:val="22"/>
          <w:szCs w:val="22"/>
          <w:lang w:eastAsia="es-MX"/>
        </w:rPr>
      </w:pPr>
      <w:r w:rsidRPr="005379A1">
        <w:rPr>
          <w:rFonts w:ascii="ITC Avant Garde" w:hAnsi="ITC Avant Garde"/>
          <w:bCs/>
          <w:color w:val="000000"/>
          <w:sz w:val="22"/>
          <w:szCs w:val="22"/>
          <w:lang w:val="es-ES" w:eastAsia="es-MX"/>
        </w:rPr>
        <w:t>Con respecto al cuarto requisito</w:t>
      </w:r>
      <w:r w:rsidRPr="005379A1">
        <w:rPr>
          <w:rFonts w:ascii="ITC Avant Garde" w:eastAsia="Calibri" w:hAnsi="ITC Avant Garde"/>
          <w:bCs/>
          <w:color w:val="000000"/>
          <w:sz w:val="22"/>
          <w:szCs w:val="22"/>
          <w:lang w:eastAsia="es-MX"/>
        </w:rPr>
        <w:t xml:space="preserve">, éste se cumplirá una vez que </w:t>
      </w:r>
      <w:r w:rsidR="00CB0706" w:rsidRPr="005379A1">
        <w:rPr>
          <w:rFonts w:ascii="ITC Avant Garde" w:eastAsia="Calibri" w:hAnsi="ITC Avant Garde"/>
          <w:bCs/>
          <w:color w:val="000000"/>
          <w:sz w:val="22"/>
          <w:szCs w:val="22"/>
          <w:lang w:eastAsia="es-MX"/>
        </w:rPr>
        <w:t>Intercomunicación del Pacífico</w:t>
      </w:r>
      <w:r w:rsidRPr="005379A1">
        <w:rPr>
          <w:rFonts w:ascii="ITC Avant Garde" w:eastAsia="Calibri" w:hAnsi="ITC Avant Garde"/>
          <w:bCs/>
          <w:color w:val="000000"/>
          <w:sz w:val="22"/>
          <w:szCs w:val="22"/>
          <w:lang w:eastAsia="es-MX"/>
        </w:rPr>
        <w:t>, acepte de manera expresa e indubitable las nuevas condiciones que al efecto establezca el Instituto</w:t>
      </w:r>
      <w:r w:rsidR="001C4861" w:rsidRPr="005379A1">
        <w:rPr>
          <w:rFonts w:ascii="ITC Avant Garde" w:eastAsia="Calibri" w:hAnsi="ITC Avant Garde"/>
          <w:bCs/>
          <w:color w:val="000000"/>
          <w:sz w:val="22"/>
          <w:szCs w:val="22"/>
          <w:lang w:eastAsia="es-MX"/>
        </w:rPr>
        <w:t>,</w:t>
      </w:r>
      <w:r w:rsidRPr="005379A1">
        <w:rPr>
          <w:rFonts w:ascii="ITC Avant Garde" w:eastAsia="Calibri" w:hAnsi="ITC Avant Garde"/>
          <w:bCs/>
          <w:color w:val="000000"/>
          <w:sz w:val="22"/>
          <w:szCs w:val="22"/>
          <w:lang w:eastAsia="es-MX"/>
        </w:rPr>
        <w:t xml:space="preserve"> </w:t>
      </w:r>
      <w:r w:rsidR="001C4861" w:rsidRPr="005379A1">
        <w:rPr>
          <w:rFonts w:ascii="ITC Avant Garde" w:eastAsia="Calibri" w:hAnsi="ITC Avant Garde"/>
          <w:bCs/>
          <w:color w:val="000000"/>
          <w:sz w:val="22"/>
          <w:szCs w:val="22"/>
          <w:lang w:eastAsia="es-MX"/>
        </w:rPr>
        <w:t>e</w:t>
      </w:r>
      <w:r w:rsidRPr="005379A1">
        <w:rPr>
          <w:rFonts w:ascii="ITC Avant Garde" w:eastAsia="Calibri" w:hAnsi="ITC Avant Garde"/>
          <w:bCs/>
          <w:color w:val="000000"/>
          <w:sz w:val="22"/>
          <w:szCs w:val="22"/>
          <w:lang w:eastAsia="es-MX"/>
        </w:rPr>
        <w:t xml:space="preserve">ntre las </w:t>
      </w:r>
      <w:r w:rsidR="001C4861" w:rsidRPr="005379A1">
        <w:rPr>
          <w:rFonts w:ascii="ITC Avant Garde" w:eastAsia="Calibri" w:hAnsi="ITC Avant Garde"/>
          <w:bCs/>
          <w:color w:val="000000"/>
          <w:sz w:val="22"/>
          <w:szCs w:val="22"/>
          <w:lang w:eastAsia="es-MX"/>
        </w:rPr>
        <w:t xml:space="preserve">que </w:t>
      </w:r>
      <w:r w:rsidR="00293EB1" w:rsidRPr="005379A1">
        <w:rPr>
          <w:rFonts w:ascii="ITC Avant Garde" w:eastAsia="Calibri" w:hAnsi="ITC Avant Garde"/>
          <w:bCs/>
          <w:color w:val="000000"/>
          <w:sz w:val="22"/>
          <w:szCs w:val="22"/>
          <w:lang w:eastAsia="es-MX"/>
        </w:rPr>
        <w:t xml:space="preserve">se encuentran los términos y las condiciones técnico-operativas </w:t>
      </w:r>
      <w:r w:rsidR="001C4861" w:rsidRPr="005379A1">
        <w:rPr>
          <w:rFonts w:ascii="ITC Avant Garde" w:eastAsia="Calibri" w:hAnsi="ITC Avant Garde"/>
          <w:bCs/>
          <w:color w:val="000000"/>
          <w:sz w:val="22"/>
          <w:szCs w:val="22"/>
          <w:lang w:eastAsia="es-MX"/>
        </w:rPr>
        <w:t>establecidas en el título de concesión de bandas de frecuencias del espectro radioeléctrico para uso comercial</w:t>
      </w:r>
      <w:r w:rsidR="00293EB1" w:rsidRPr="005379A1">
        <w:rPr>
          <w:rFonts w:ascii="ITC Avant Garde" w:eastAsia="Calibri" w:hAnsi="ITC Avant Garde"/>
          <w:bCs/>
          <w:color w:val="000000"/>
          <w:sz w:val="22"/>
          <w:szCs w:val="22"/>
          <w:lang w:eastAsia="es-MX"/>
        </w:rPr>
        <w:t xml:space="preserve">, </w:t>
      </w:r>
      <w:r w:rsidR="001C4861" w:rsidRPr="005379A1">
        <w:rPr>
          <w:rFonts w:ascii="ITC Avant Garde" w:eastAsia="Calibri" w:hAnsi="ITC Avant Garde"/>
          <w:bCs/>
          <w:color w:val="000000"/>
          <w:sz w:val="22"/>
          <w:szCs w:val="22"/>
          <w:lang w:eastAsia="es-MX"/>
        </w:rPr>
        <w:t xml:space="preserve">así como </w:t>
      </w:r>
      <w:r w:rsidR="00293EB1" w:rsidRPr="005379A1">
        <w:rPr>
          <w:rFonts w:ascii="ITC Avant Garde" w:eastAsia="Calibri" w:hAnsi="ITC Avant Garde"/>
          <w:bCs/>
          <w:color w:val="000000"/>
          <w:sz w:val="22"/>
          <w:szCs w:val="22"/>
          <w:lang w:eastAsia="es-MX"/>
        </w:rPr>
        <w:t>el pago de la contraprestación correspondiente.</w:t>
      </w:r>
    </w:p>
    <w:p w14:paraId="377C663E" w14:textId="04F53C0A" w:rsidR="001C6AEE" w:rsidRPr="005379A1" w:rsidRDefault="00A00616" w:rsidP="005379A1">
      <w:pPr>
        <w:spacing w:before="240"/>
        <w:jc w:val="both"/>
        <w:rPr>
          <w:rFonts w:ascii="ITC Avant Garde" w:hAnsi="ITC Avant Garde"/>
          <w:color w:val="000000"/>
          <w:sz w:val="22"/>
          <w:szCs w:val="22"/>
          <w:lang w:eastAsia="es-MX"/>
        </w:rPr>
      </w:pPr>
      <w:r w:rsidRPr="005379A1">
        <w:rPr>
          <w:rFonts w:ascii="ITC Avant Garde" w:hAnsi="ITC Avant Garde"/>
          <w:b/>
          <w:bCs/>
          <w:color w:val="000000"/>
          <w:sz w:val="22"/>
          <w:szCs w:val="22"/>
          <w:lang w:eastAsia="es-MX"/>
        </w:rPr>
        <w:t xml:space="preserve">Sexto.- Cobro sobre el pago de derechos por diversos trámites ante la entrada en vigor de la Ley Federal de Derechos vigente para 2016. </w:t>
      </w:r>
      <w:r w:rsidRPr="005379A1">
        <w:rPr>
          <w:rFonts w:ascii="ITC Avant Garde" w:hAnsi="ITC Avant Garde"/>
          <w:color w:val="000000"/>
          <w:sz w:val="22"/>
          <w:szCs w:val="22"/>
          <w:lang w:eastAsia="es-MX"/>
        </w:rPr>
        <w:t>El pasado 18 de noviembre de 2015 se publicó en el Diario Oficial de la Federación el “</w:t>
      </w:r>
      <w:r w:rsidRPr="005379A1">
        <w:rPr>
          <w:rFonts w:ascii="ITC Avant Garde" w:hAnsi="ITC Avant Garde"/>
          <w:iCs/>
          <w:color w:val="000000"/>
          <w:sz w:val="22"/>
          <w:szCs w:val="22"/>
          <w:lang w:eastAsia="es-MX"/>
        </w:rPr>
        <w:t xml:space="preserve">Decreto por el que se reforman, </w:t>
      </w:r>
      <w:r w:rsidRPr="005379A1">
        <w:rPr>
          <w:rFonts w:ascii="ITC Avant Garde" w:hAnsi="ITC Avant Garde"/>
          <w:iCs/>
          <w:color w:val="000000"/>
          <w:sz w:val="22"/>
          <w:szCs w:val="22"/>
          <w:lang w:eastAsia="es-MX"/>
        </w:rPr>
        <w:lastRenderedPageBreak/>
        <w:t>adicionan y derogan diversas disposiciones de la Ley Federal de Derechos</w:t>
      </w:r>
      <w:r w:rsidRPr="005379A1">
        <w:rPr>
          <w:rFonts w:ascii="ITC Avant Garde" w:hAnsi="ITC Avant Garde"/>
          <w:color w:val="000000"/>
          <w:sz w:val="22"/>
          <w:szCs w:val="22"/>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3E01E540" w14:textId="77777777" w:rsidR="001C6AEE" w:rsidRPr="005379A1" w:rsidRDefault="00A00616" w:rsidP="005379A1">
      <w:pPr>
        <w:spacing w:before="240"/>
        <w:jc w:val="both"/>
        <w:rPr>
          <w:rFonts w:ascii="ITC Avant Garde" w:hAnsi="ITC Avant Garde"/>
          <w:color w:val="000000"/>
          <w:sz w:val="22"/>
          <w:szCs w:val="22"/>
          <w:lang w:eastAsia="es-MX"/>
        </w:rPr>
      </w:pPr>
      <w:r w:rsidRPr="005379A1">
        <w:rPr>
          <w:rFonts w:ascii="ITC Avant Garde" w:hAnsi="ITC Avant Garde"/>
          <w:color w:val="000000"/>
          <w:sz w:val="22"/>
          <w:szCs w:val="22"/>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los artículos 93 y 94 de la Ley Federal de Derechos, al haber sido derogados, no pueden ser aplicados a los trámites de prórrogas de títulos de concesiones para el uso, aprovechamiento o explotación de bandas de frecuencias del espectro radioeléctrico, así como para la instalación, operación o explotación de redes públicas de telecomunicaciones.</w:t>
      </w:r>
    </w:p>
    <w:p w14:paraId="3693E926" w14:textId="77777777" w:rsidR="001C6AEE" w:rsidRPr="005379A1" w:rsidRDefault="00A00616" w:rsidP="005379A1">
      <w:pPr>
        <w:spacing w:before="240"/>
        <w:jc w:val="both"/>
        <w:rPr>
          <w:rFonts w:ascii="ITC Avant Garde" w:hAnsi="ITC Avant Garde"/>
          <w:color w:val="000000"/>
          <w:sz w:val="22"/>
          <w:szCs w:val="22"/>
          <w:lang w:eastAsia="es-MX"/>
        </w:rPr>
      </w:pPr>
      <w:r w:rsidRPr="005379A1">
        <w:rPr>
          <w:rFonts w:ascii="ITC Avant Garde" w:hAnsi="ITC Avant Garde"/>
          <w:color w:val="000000"/>
          <w:sz w:val="22"/>
          <w:szCs w:val="22"/>
          <w:lang w:eastAsia="es-MX"/>
        </w:rPr>
        <w:t>En este sentido, la Ley Federal de Derechos vigente a partir del 1º de enero de 2016 estableció en su artículo 173 un nuevo sistema de cobro de derechos para los trámites relativos a las prórrogas de concesiones en materia de telecomunicaciones o radiodifusión que hagan uso del espectro radioeléctrico,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14:paraId="73BBA6F8" w14:textId="77777777" w:rsidR="001C6AEE" w:rsidRPr="005379A1" w:rsidRDefault="00A00616" w:rsidP="005379A1">
      <w:pPr>
        <w:spacing w:before="240"/>
        <w:jc w:val="both"/>
        <w:rPr>
          <w:rFonts w:ascii="ITC Avant Garde" w:hAnsi="ITC Avant Garde"/>
          <w:color w:val="000000"/>
          <w:sz w:val="22"/>
          <w:szCs w:val="22"/>
          <w:lang w:eastAsia="es-MX"/>
        </w:rPr>
      </w:pPr>
      <w:r w:rsidRPr="005379A1">
        <w:rPr>
          <w:rFonts w:ascii="ITC Avant Garde" w:hAnsi="ITC Avant Garde"/>
          <w:color w:val="000000"/>
          <w:sz w:val="22"/>
          <w:szCs w:val="22"/>
          <w:lang w:eastAsia="es-MX"/>
        </w:rPr>
        <w:t>Al momento de iniciar el trámite que nos ocupa, únicamente se presentó el pago por el estudio del mismo. Sin embargo, si bien ahora procedería realizar el cobro por la autorización correspondiente</w:t>
      </w:r>
      <w:r w:rsidR="00E2060F" w:rsidRPr="005379A1">
        <w:rPr>
          <w:rFonts w:ascii="ITC Avant Garde" w:hAnsi="ITC Avant Garde"/>
          <w:color w:val="000000"/>
          <w:sz w:val="22"/>
          <w:szCs w:val="22"/>
          <w:lang w:eastAsia="es-MX"/>
        </w:rPr>
        <w:t xml:space="preserve"> conforme al marco legal aplicable</w:t>
      </w:r>
      <w:r w:rsidRPr="005379A1">
        <w:rPr>
          <w:rFonts w:ascii="ITC Avant Garde" w:hAnsi="ITC Avant Garde"/>
          <w:color w:val="000000"/>
          <w:sz w:val="22"/>
          <w:szCs w:val="22"/>
          <w:lang w:eastAsia="es-MX"/>
        </w:rPr>
        <w:t xml:space="preserve">, este Instituto se encuentra imposibilitado para diferenciar el cobro que debiera corresponder a la autorización de la prórroga de mérito, toda vez que como ya quedó señalado en el párrafo que antecede, </w:t>
      </w:r>
      <w:r w:rsidR="00E2060F" w:rsidRPr="005379A1">
        <w:rPr>
          <w:rFonts w:ascii="ITC Avant Garde" w:hAnsi="ITC Avant Garde"/>
          <w:color w:val="000000"/>
          <w:sz w:val="22"/>
          <w:szCs w:val="22"/>
          <w:lang w:eastAsia="es-MX"/>
        </w:rPr>
        <w:t>la Ley Federal de Derechos vigente</w:t>
      </w:r>
      <w:r w:rsidRPr="005379A1">
        <w:rPr>
          <w:rFonts w:ascii="ITC Avant Garde" w:hAnsi="ITC Avant Garde"/>
          <w:color w:val="000000"/>
          <w:sz w:val="22"/>
          <w:szCs w:val="22"/>
          <w:lang w:eastAsia="es-MX"/>
        </w:rPr>
        <w:t xml:space="preserve"> prevé un único pago por el estudio y</w:t>
      </w:r>
      <w:r w:rsidR="00E2060F" w:rsidRPr="005379A1">
        <w:rPr>
          <w:rFonts w:ascii="ITC Avant Garde" w:hAnsi="ITC Avant Garde"/>
          <w:color w:val="000000"/>
          <w:sz w:val="22"/>
          <w:szCs w:val="22"/>
          <w:lang w:eastAsia="es-MX"/>
        </w:rPr>
        <w:t>,</w:t>
      </w:r>
      <w:r w:rsidRPr="005379A1">
        <w:rPr>
          <w:rFonts w:ascii="ITC Avant Garde" w:hAnsi="ITC Avant Garde"/>
          <w:color w:val="000000"/>
          <w:sz w:val="22"/>
          <w:szCs w:val="22"/>
          <w:lang w:eastAsia="es-MX"/>
        </w:rPr>
        <w:t xml:space="preserve"> en su caso</w:t>
      </w:r>
      <w:r w:rsidR="00E2060F" w:rsidRPr="005379A1">
        <w:rPr>
          <w:rFonts w:ascii="ITC Avant Garde" w:hAnsi="ITC Avant Garde"/>
          <w:color w:val="000000"/>
          <w:sz w:val="22"/>
          <w:szCs w:val="22"/>
          <w:lang w:eastAsia="es-MX"/>
        </w:rPr>
        <w:t>,</w:t>
      </w:r>
      <w:r w:rsidRPr="005379A1">
        <w:rPr>
          <w:rFonts w:ascii="ITC Avant Garde" w:hAnsi="ITC Avant Garde"/>
          <w:color w:val="000000"/>
          <w:sz w:val="22"/>
          <w:szCs w:val="22"/>
          <w:lang w:eastAsia="es-MX"/>
        </w:rPr>
        <w:t xml:space="preserve"> la autorización respectiva. Finalmente, tratándose de disposiciones de carácter f</w:t>
      </w:r>
      <w:r w:rsidR="00E2060F" w:rsidRPr="005379A1">
        <w:rPr>
          <w:rFonts w:ascii="ITC Avant Garde" w:hAnsi="ITC Avant Garde"/>
          <w:color w:val="000000"/>
          <w:sz w:val="22"/>
          <w:szCs w:val="22"/>
          <w:lang w:eastAsia="es-MX"/>
        </w:rPr>
        <w:t>iscal,</w:t>
      </w:r>
      <w:r w:rsidRPr="005379A1">
        <w:rPr>
          <w:rFonts w:ascii="ITC Avant Garde" w:hAnsi="ITC Avant Garde"/>
          <w:color w:val="000000"/>
          <w:sz w:val="22"/>
          <w:szCs w:val="22"/>
          <w:lang w:eastAsia="es-MX"/>
        </w:rPr>
        <w:t xml:space="preserve"> debe atender</w:t>
      </w:r>
      <w:r w:rsidR="00E2060F" w:rsidRPr="005379A1">
        <w:rPr>
          <w:rFonts w:ascii="ITC Avant Garde" w:hAnsi="ITC Avant Garde"/>
          <w:color w:val="000000"/>
          <w:sz w:val="22"/>
          <w:szCs w:val="22"/>
          <w:lang w:eastAsia="es-MX"/>
        </w:rPr>
        <w:t>se</w:t>
      </w:r>
      <w:r w:rsidRPr="005379A1">
        <w:rPr>
          <w:rFonts w:ascii="ITC Avant Garde" w:hAnsi="ITC Avant Garde"/>
          <w:color w:val="000000"/>
          <w:sz w:val="22"/>
          <w:szCs w:val="22"/>
          <w:lang w:eastAsia="es-MX"/>
        </w:rPr>
        <w:t xml:space="preserve"> al principio de exacta aplicación de las mismas, por lo que no procede aplicar el cobro por la autorización de la prórroga que nos ocupa, toda vez que no puede ser diferenciado.</w:t>
      </w:r>
    </w:p>
    <w:p w14:paraId="4F41EA6D" w14:textId="22BE25C4" w:rsidR="001C6AEE" w:rsidRPr="005379A1" w:rsidRDefault="009756F0" w:rsidP="005379A1">
      <w:pPr>
        <w:spacing w:before="240"/>
        <w:jc w:val="both"/>
        <w:rPr>
          <w:rFonts w:ascii="ITC Avant Garde" w:hAnsi="ITC Avant Garde"/>
          <w:bCs/>
          <w:color w:val="000000"/>
          <w:sz w:val="22"/>
          <w:szCs w:val="22"/>
          <w:lang w:val="es-ES" w:eastAsia="es-MX"/>
        </w:rPr>
      </w:pPr>
      <w:r w:rsidRPr="005379A1">
        <w:rPr>
          <w:rFonts w:ascii="ITC Avant Garde" w:eastAsia="Calibri" w:hAnsi="ITC Avant Garde"/>
          <w:b/>
          <w:bCs/>
          <w:color w:val="000000"/>
          <w:sz w:val="22"/>
          <w:szCs w:val="22"/>
          <w:lang w:eastAsia="es-MX"/>
        </w:rPr>
        <w:t xml:space="preserve">Séptimo.- </w:t>
      </w:r>
      <w:r w:rsidR="009A1116" w:rsidRPr="005379A1">
        <w:rPr>
          <w:rFonts w:ascii="ITC Avant Garde" w:eastAsia="Calibri" w:hAnsi="ITC Avant Garde"/>
          <w:b/>
          <w:bCs/>
          <w:color w:val="000000"/>
          <w:sz w:val="22"/>
          <w:szCs w:val="22"/>
          <w:lang w:eastAsia="es-MX"/>
        </w:rPr>
        <w:t>Política de Planeación del Espectro Radioeléctrico para las bandas de frecuencias de 806-824/851-869 MHz y 410-430 MHz</w:t>
      </w:r>
      <w:r w:rsidR="009A1116" w:rsidRPr="005379A1">
        <w:rPr>
          <w:rFonts w:ascii="ITC Avant Garde" w:hAnsi="ITC Avant Garde"/>
          <w:b/>
          <w:bCs/>
          <w:color w:val="000000"/>
          <w:sz w:val="22"/>
          <w:szCs w:val="22"/>
          <w:lang w:val="es-ES" w:eastAsia="es-MX"/>
        </w:rPr>
        <w:t>.</w:t>
      </w:r>
      <w:r w:rsidR="009A1116" w:rsidRPr="005379A1">
        <w:rPr>
          <w:rFonts w:ascii="ITC Avant Garde" w:hAnsi="ITC Avant Garde"/>
          <w:bCs/>
          <w:color w:val="000000"/>
          <w:sz w:val="22"/>
          <w:szCs w:val="22"/>
          <w:lang w:val="es-ES" w:eastAsia="es-MX"/>
        </w:rPr>
        <w:t xml:space="preserve"> El espectro radioeléctrico constituye un recurso escaso y de gran valor estratégico en el contexto económico y tecnológico actual a nivel internacional, de tal forma que es primordial garantizar el uso eficiente de dicho recurso. Para tal efecto, el 20 de octubre de 2015 se publicó en el Diario Oficial de la Federación el Cuadro Nacional de Atribución de Frecuencias, disposición administrativa que indica el servicio o servicios de radiocomunicaciones a los que se encuentra atribuida una determinada banda de frecuencias del espectro radioeléctrico, así como información adicional sobre el uso y planificación de </w:t>
      </w:r>
      <w:r w:rsidR="009A1116" w:rsidRPr="005379A1">
        <w:rPr>
          <w:rFonts w:ascii="ITC Avant Garde" w:hAnsi="ITC Avant Garde"/>
          <w:bCs/>
          <w:color w:val="000000"/>
          <w:sz w:val="22"/>
          <w:szCs w:val="22"/>
          <w:lang w:val="es-ES" w:eastAsia="es-MX"/>
        </w:rPr>
        <w:lastRenderedPageBreak/>
        <w:t>determinadas bandas de frecuencias. Con respecto a la banda de frecuencias 806-824/851-869 MHz destaca la siguiente nota nacional:</w:t>
      </w:r>
    </w:p>
    <w:p w14:paraId="441A8886" w14:textId="77777777" w:rsidR="001C6AEE" w:rsidRPr="005379A1" w:rsidRDefault="009A1116" w:rsidP="005379A1">
      <w:pPr>
        <w:spacing w:before="240"/>
        <w:ind w:left="567" w:right="474"/>
        <w:jc w:val="both"/>
        <w:rPr>
          <w:rFonts w:ascii="ITC Avant Garde" w:hAnsi="ITC Avant Garde"/>
          <w:bCs/>
          <w:color w:val="000000"/>
          <w:sz w:val="18"/>
          <w:szCs w:val="22"/>
          <w:lang w:val="es-ES" w:eastAsia="es-MX"/>
        </w:rPr>
      </w:pPr>
      <w:r w:rsidRPr="005379A1">
        <w:rPr>
          <w:rFonts w:ascii="ITC Avant Garde" w:hAnsi="ITC Avant Garde"/>
          <w:bCs/>
          <w:color w:val="000000"/>
          <w:sz w:val="18"/>
          <w:szCs w:val="22"/>
          <w:lang w:val="es-ES" w:eastAsia="es-MX"/>
        </w:rPr>
        <w:t>“</w:t>
      </w:r>
      <w:r w:rsidRPr="005379A1">
        <w:rPr>
          <w:rFonts w:ascii="ITC Avant Garde" w:hAnsi="ITC Avant Garde"/>
          <w:b/>
          <w:bCs/>
          <w:color w:val="000000"/>
          <w:sz w:val="18"/>
          <w:szCs w:val="22"/>
          <w:lang w:val="es-ES" w:eastAsia="es-MX"/>
        </w:rPr>
        <w:t>MX150</w:t>
      </w:r>
      <w:r w:rsidRPr="005379A1">
        <w:rPr>
          <w:rFonts w:ascii="ITC Avant Garde" w:hAnsi="ITC Avant Garde"/>
          <w:bCs/>
          <w:color w:val="000000"/>
          <w:sz w:val="18"/>
          <w:szCs w:val="22"/>
          <w:lang w:val="es-ES" w:eastAsia="es-MX"/>
        </w:rPr>
        <w:t xml:space="preserve"> La banda de frecuencias 806 – 824/851 – 869 MHz se encuentra bajo un proceso de revisión para su posible reordenamiento. Dicho reordenamiento contempla la determinación del segmento 806 – 814/851 – 859 MHz para la operación de sistemas de radio </w:t>
      </w:r>
      <w:proofErr w:type="spellStart"/>
      <w:r w:rsidRPr="005379A1">
        <w:rPr>
          <w:rFonts w:ascii="ITC Avant Garde" w:hAnsi="ITC Avant Garde"/>
          <w:bCs/>
          <w:color w:val="000000"/>
          <w:sz w:val="18"/>
          <w:szCs w:val="22"/>
          <w:lang w:val="es-ES" w:eastAsia="es-MX"/>
        </w:rPr>
        <w:t>troncalizado</w:t>
      </w:r>
      <w:proofErr w:type="spellEnd"/>
      <w:r w:rsidRPr="005379A1">
        <w:rPr>
          <w:rFonts w:ascii="ITC Avant Garde" w:hAnsi="ITC Avant Garde"/>
          <w:bCs/>
          <w:color w:val="000000"/>
          <w:sz w:val="18"/>
          <w:szCs w:val="22"/>
          <w:lang w:val="es-ES" w:eastAsia="es-MX"/>
        </w:rPr>
        <w:t xml:space="preserve"> de uso público para aplicaciones de misión crítica, así como la determinación del segmento 814 – 824/859 – 869 MHz para la provisión de servicios móviles de banda ancha […]”</w:t>
      </w:r>
    </w:p>
    <w:p w14:paraId="6065E0F6" w14:textId="77777777" w:rsidR="001C6AEE" w:rsidRPr="005379A1" w:rsidRDefault="009A1116" w:rsidP="005379A1">
      <w:pPr>
        <w:spacing w:before="240"/>
        <w:jc w:val="both"/>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De igual forma, en lo tocante a la banda de frecuencias 410-430 MHz, destaca la siguiente nota nacional:</w:t>
      </w:r>
    </w:p>
    <w:p w14:paraId="664E9F88" w14:textId="77777777" w:rsidR="001C6AEE" w:rsidRPr="005379A1" w:rsidRDefault="009A1116" w:rsidP="005379A1">
      <w:pPr>
        <w:spacing w:before="240"/>
        <w:ind w:left="567" w:right="474"/>
        <w:jc w:val="both"/>
        <w:rPr>
          <w:rFonts w:ascii="ITC Avant Garde" w:hAnsi="ITC Avant Garde"/>
          <w:bCs/>
          <w:color w:val="000000"/>
          <w:sz w:val="18"/>
          <w:szCs w:val="22"/>
          <w:lang w:val="es-ES" w:eastAsia="es-MX"/>
        </w:rPr>
      </w:pPr>
      <w:r w:rsidRPr="005379A1">
        <w:rPr>
          <w:rFonts w:ascii="ITC Avant Garde" w:hAnsi="ITC Avant Garde"/>
          <w:bCs/>
          <w:color w:val="000000"/>
          <w:sz w:val="18"/>
          <w:szCs w:val="22"/>
          <w:lang w:val="es-ES" w:eastAsia="es-MX"/>
        </w:rPr>
        <w:t>“</w:t>
      </w:r>
      <w:r w:rsidRPr="005379A1">
        <w:rPr>
          <w:rFonts w:ascii="ITC Avant Garde" w:hAnsi="ITC Avant Garde"/>
          <w:b/>
          <w:bCs/>
          <w:color w:val="000000"/>
          <w:sz w:val="18"/>
          <w:szCs w:val="22"/>
          <w:lang w:val="es-ES" w:eastAsia="es-MX"/>
        </w:rPr>
        <w:t>MX134</w:t>
      </w:r>
      <w:r w:rsidRPr="005379A1">
        <w:rPr>
          <w:rFonts w:ascii="ITC Avant Garde" w:hAnsi="ITC Avant Garde"/>
          <w:bCs/>
          <w:color w:val="000000"/>
          <w:sz w:val="18"/>
          <w:szCs w:val="22"/>
          <w:lang w:val="es-ES" w:eastAsia="es-MX"/>
        </w:rPr>
        <w:t xml:space="preserve"> La banda 410 – 430 MHz se tiene prevista para la provisión exclusiva del servicio móvil de radiocomunicación especializado de flotillas. La sub-banda 410 – 415/420 – 425 MHz se destina a operaciones de uso comercial, mientras que la sub-banda 415 – 420/425 – 430 MHz se destina para las operaciones de uso público.”</w:t>
      </w:r>
    </w:p>
    <w:p w14:paraId="694FB749" w14:textId="77777777" w:rsidR="001C6AEE" w:rsidRPr="005379A1" w:rsidRDefault="009A1116" w:rsidP="005379A1">
      <w:pPr>
        <w:autoSpaceDE w:val="0"/>
        <w:autoSpaceDN w:val="0"/>
        <w:adjustRightInd w:val="0"/>
        <w:spacing w:before="240"/>
        <w:jc w:val="both"/>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Por su parte, el Reglamento de Radiocomunicaciones de la Unión Internacional de Telecomunicaciones, instrumento administrativo que complementa y regula el uso de las telecomunicaciones y que es vinculante para nuestro país, como Estado Miembro de la Unión Internacional de Telecomunicaciones, señala en la Nota Internacional Relevante 5.317A lo siguiente:</w:t>
      </w:r>
    </w:p>
    <w:p w14:paraId="0DC8A7F5" w14:textId="77777777" w:rsidR="001C6AEE" w:rsidRPr="005379A1" w:rsidRDefault="009A1116" w:rsidP="005379A1">
      <w:pPr>
        <w:spacing w:before="240"/>
        <w:ind w:left="567" w:right="474"/>
        <w:jc w:val="both"/>
        <w:rPr>
          <w:rFonts w:ascii="ITC Avant Garde" w:hAnsi="ITC Avant Garde"/>
          <w:bCs/>
          <w:color w:val="000000"/>
          <w:sz w:val="18"/>
          <w:szCs w:val="22"/>
          <w:lang w:val="es-ES" w:eastAsia="es-MX"/>
        </w:rPr>
      </w:pPr>
      <w:r w:rsidRPr="005379A1">
        <w:rPr>
          <w:rFonts w:ascii="ITC Avant Garde" w:hAnsi="ITC Avant Garde"/>
          <w:bCs/>
          <w:color w:val="000000"/>
          <w:sz w:val="18"/>
          <w:szCs w:val="22"/>
          <w:lang w:val="es-ES" w:eastAsia="es-MX"/>
        </w:rPr>
        <w:t>“</w:t>
      </w:r>
      <w:r w:rsidRPr="005379A1">
        <w:rPr>
          <w:rFonts w:ascii="ITC Avant Garde" w:hAnsi="ITC Avant Garde"/>
          <w:b/>
          <w:bCs/>
          <w:color w:val="000000"/>
          <w:sz w:val="18"/>
          <w:szCs w:val="22"/>
          <w:lang w:val="es-ES" w:eastAsia="es-MX"/>
        </w:rPr>
        <w:t>5.317A</w:t>
      </w:r>
      <w:r w:rsidRPr="005379A1">
        <w:rPr>
          <w:rFonts w:ascii="ITC Avant Garde" w:hAnsi="ITC Avant Garde"/>
          <w:bCs/>
          <w:color w:val="000000"/>
          <w:sz w:val="18"/>
          <w:szCs w:val="22"/>
          <w:lang w:val="es-ES" w:eastAsia="es-MX"/>
        </w:rPr>
        <w:t xml:space="preserve"> Las partes de la banda 698-960 MHz en la Región 2 y de la banda 790-960 MHz en las Regiones 1 y 3 atribuidas al servicio móvil a titulo primario se han identificado para su utilización por las administraciones que deseen introducir las Telecomunicaciones Móviles Internacionales (IMT) </w:t>
      </w:r>
      <w:r w:rsidRPr="005379A1">
        <w:rPr>
          <w:rFonts w:ascii="ITC Avant Garde" w:hAnsi="ITC Avant Garde" w:hint="eastAsia"/>
          <w:bCs/>
          <w:color w:val="000000"/>
          <w:sz w:val="18"/>
          <w:szCs w:val="22"/>
          <w:lang w:val="es-ES" w:eastAsia="es-MX"/>
        </w:rPr>
        <w:t>–</w:t>
      </w:r>
      <w:r w:rsidRPr="005379A1">
        <w:rPr>
          <w:rFonts w:ascii="ITC Avant Garde" w:hAnsi="ITC Avant Garde"/>
          <w:bCs/>
          <w:color w:val="000000"/>
          <w:sz w:val="18"/>
          <w:szCs w:val="22"/>
          <w:lang w:val="es-ES" w:eastAsia="es-MX"/>
        </w:rPr>
        <w:t xml:space="preserve"> Véanse las Resoluciones </w:t>
      </w:r>
      <w:r w:rsidRPr="005379A1">
        <w:rPr>
          <w:rFonts w:ascii="ITC Avant Garde" w:hAnsi="ITC Avant Garde"/>
          <w:b/>
          <w:bCs/>
          <w:color w:val="000000"/>
          <w:sz w:val="18"/>
          <w:szCs w:val="22"/>
          <w:lang w:val="es-ES" w:eastAsia="es-MX"/>
        </w:rPr>
        <w:t>224 (Rev.CMR-12)</w:t>
      </w:r>
      <w:r w:rsidRPr="005379A1">
        <w:rPr>
          <w:rFonts w:ascii="ITC Avant Garde" w:hAnsi="ITC Avant Garde"/>
          <w:bCs/>
          <w:color w:val="000000"/>
          <w:sz w:val="18"/>
          <w:szCs w:val="22"/>
          <w:lang w:val="es-ES" w:eastAsia="es-MX"/>
        </w:rPr>
        <w:t xml:space="preserve"> y </w:t>
      </w:r>
      <w:r w:rsidRPr="005379A1">
        <w:rPr>
          <w:rFonts w:ascii="ITC Avant Garde" w:hAnsi="ITC Avant Garde"/>
          <w:b/>
          <w:bCs/>
          <w:color w:val="000000"/>
          <w:sz w:val="18"/>
          <w:szCs w:val="22"/>
          <w:lang w:val="es-ES" w:eastAsia="es-MX"/>
        </w:rPr>
        <w:t>749 (Rev.CMR-12)</w:t>
      </w:r>
      <w:r w:rsidR="00FF7CAA" w:rsidRPr="005379A1">
        <w:rPr>
          <w:rFonts w:ascii="ITC Avant Garde" w:hAnsi="ITC Avant Garde"/>
          <w:bCs/>
          <w:color w:val="000000"/>
          <w:sz w:val="18"/>
          <w:szCs w:val="22"/>
          <w:lang w:val="es-ES" w:eastAsia="es-MX"/>
        </w:rPr>
        <w:t>, segú</w:t>
      </w:r>
      <w:r w:rsidRPr="005379A1">
        <w:rPr>
          <w:rFonts w:ascii="ITC Avant Garde" w:hAnsi="ITC Avant Garde"/>
          <w:bCs/>
          <w:color w:val="000000"/>
          <w:sz w:val="18"/>
          <w:szCs w:val="22"/>
          <w:lang w:val="es-ES" w:eastAsia="es-MX"/>
        </w:rPr>
        <w:t>n proceda. La identificación de estas bandas no excluye que se utilicen para otras aplicaciones de los servicios a los que están atribuidas y no implica prioridad alguna en el Reglamento de Radiocomunicaciones. (CMR-12)”</w:t>
      </w:r>
    </w:p>
    <w:p w14:paraId="50A6316B" w14:textId="77777777" w:rsidR="001C6AEE" w:rsidRPr="005379A1" w:rsidRDefault="009A1116" w:rsidP="005379A1">
      <w:pPr>
        <w:spacing w:before="240"/>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 xml:space="preserve">Del análisis de las notas nacionales e internacionales relevantes antes transcritas y como parte de las medidas de prospectiva con respecto a la administración del espectro radioeléctrico en nuestro país, se desprende </w:t>
      </w:r>
      <w:r w:rsidRPr="005379A1">
        <w:rPr>
          <w:rFonts w:ascii="ITC Avant Garde" w:hAnsi="ITC Avant Garde"/>
          <w:bCs/>
          <w:color w:val="000000"/>
          <w:sz w:val="22"/>
          <w:szCs w:val="22"/>
          <w:lang w:val="es-ES" w:eastAsia="es-MX"/>
        </w:rPr>
        <w:t xml:space="preserve">que la banda de frecuencias </w:t>
      </w:r>
      <w:r w:rsidRPr="005379A1">
        <w:rPr>
          <w:rFonts w:ascii="ITC Avant Garde" w:eastAsia="Calibri" w:hAnsi="ITC Avant Garde"/>
          <w:bCs/>
          <w:color w:val="000000"/>
          <w:sz w:val="22"/>
          <w:szCs w:val="22"/>
          <w:lang w:eastAsia="es-MX"/>
        </w:rPr>
        <w:t>806-824/851-869 MHz, se ha identificado a nivel mundial por la Unión Internacional de Telecomunicaciones como una banda de frecuencias propicia para su uso por sistemas de banda ancha móvil. En tal virtud, la utilización de dicha banda por tales sistemas, significa un uso más eficiente del espectro radioeléctrico en comparación con su utilización por sistemas de banda angosta como es el caso de los sistemas del servicio móvil de radiocomunicación especializada de flotillas.</w:t>
      </w:r>
    </w:p>
    <w:p w14:paraId="7EC7182E" w14:textId="284DEDBD" w:rsidR="001C6AEE" w:rsidRPr="005379A1" w:rsidRDefault="009A1116" w:rsidP="005379A1">
      <w:pPr>
        <w:spacing w:before="240"/>
        <w:contextualSpacing/>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 xml:space="preserve">En consistencia con lo anterior, la banda de frecuencias 806-824/851-869 MHz es objeto del “Protocolo entre la Secretaría y el Departamento de Estado de los Estados Unidos de América relativo a la adjudicación, asignación y uso de las bandas de 806-824/851-869 MHz y 896-901/935-940 MHz para el servicios terrenales de radiocomunicación excepto radiodifusión, a lo largo de la frontera común en una franja de 110 km a cada lado de la misma” (el “Protocolo”), mismo fue suscrito el 8 de junio de 2012 por ambas administraciones. </w:t>
      </w:r>
    </w:p>
    <w:p w14:paraId="52D5DF91" w14:textId="77777777" w:rsidR="001C6AEE" w:rsidRPr="005379A1" w:rsidRDefault="009A1116" w:rsidP="005379A1">
      <w:pPr>
        <w:spacing w:before="240"/>
        <w:contextualSpacing/>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Dicho Protocolo establece un nuevo plan de adjudicación para el uso equitativo de las citadas bandas de frecuencias en la zona fronteriza</w:t>
      </w:r>
      <w:r w:rsidR="00C91B39" w:rsidRPr="005379A1">
        <w:rPr>
          <w:rFonts w:ascii="ITC Avant Garde" w:eastAsia="Calibri" w:hAnsi="ITC Avant Garde"/>
          <w:bCs/>
          <w:color w:val="000000"/>
          <w:sz w:val="22"/>
          <w:szCs w:val="22"/>
          <w:lang w:eastAsia="es-MX"/>
        </w:rPr>
        <w:t>;</w:t>
      </w:r>
      <w:r w:rsidRPr="005379A1">
        <w:rPr>
          <w:rFonts w:ascii="ITC Avant Garde" w:eastAsia="Calibri" w:hAnsi="ITC Avant Garde"/>
          <w:bCs/>
          <w:color w:val="000000"/>
          <w:sz w:val="22"/>
          <w:szCs w:val="22"/>
          <w:lang w:eastAsia="es-MX"/>
        </w:rPr>
        <w:t xml:space="preserve"> para ello, entre otros aspectos, y </w:t>
      </w:r>
      <w:r w:rsidRPr="005379A1">
        <w:rPr>
          <w:rFonts w:ascii="ITC Avant Garde" w:eastAsia="Calibri" w:hAnsi="ITC Avant Garde"/>
          <w:bCs/>
          <w:color w:val="000000"/>
          <w:sz w:val="22"/>
          <w:szCs w:val="22"/>
          <w:lang w:eastAsia="es-MX"/>
        </w:rPr>
        <w:lastRenderedPageBreak/>
        <w:t>con el objetivo de instrumentar el citado plan, el artículo V del Protocolo señala que las administraciones deberán implementar ciertas acciones para la migración de los concesionarios que operan actualmente en esta banda de frecuencias</w:t>
      </w:r>
      <w:r w:rsidR="00C91B39" w:rsidRPr="005379A1">
        <w:rPr>
          <w:rFonts w:ascii="ITC Avant Garde" w:eastAsia="Calibri" w:hAnsi="ITC Avant Garde"/>
          <w:bCs/>
          <w:color w:val="000000"/>
          <w:sz w:val="22"/>
          <w:szCs w:val="22"/>
          <w:lang w:eastAsia="es-MX"/>
        </w:rPr>
        <w:t>;</w:t>
      </w:r>
      <w:r w:rsidRPr="005379A1">
        <w:rPr>
          <w:rFonts w:ascii="ITC Avant Garde" w:eastAsia="Calibri" w:hAnsi="ITC Avant Garde"/>
          <w:bCs/>
          <w:color w:val="000000"/>
          <w:sz w:val="22"/>
          <w:szCs w:val="22"/>
          <w:lang w:eastAsia="es-MX"/>
        </w:rPr>
        <w:t xml:space="preserve"> para el caso de México, los concesionarios del servicio móvil de radiocomunicación especializada de flotillas, deberán migrar a canales de reemplazo dentro o fuera de la banda de frecuencias en comento.</w:t>
      </w:r>
    </w:p>
    <w:p w14:paraId="69FDCBB3" w14:textId="77777777" w:rsidR="001C6AEE" w:rsidRPr="005379A1" w:rsidRDefault="009A1116" w:rsidP="005379A1">
      <w:pPr>
        <w:spacing w:before="240"/>
        <w:contextualSpacing/>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Por otro lado, como ya se señaló, el Cuadro Nacional de Atribución de Frecuencias estable</w:t>
      </w:r>
      <w:r w:rsidR="00C91B39" w:rsidRPr="005379A1">
        <w:rPr>
          <w:rFonts w:ascii="ITC Avant Garde" w:eastAsia="Calibri" w:hAnsi="ITC Avant Garde"/>
          <w:bCs/>
          <w:color w:val="000000"/>
          <w:sz w:val="22"/>
          <w:szCs w:val="22"/>
          <w:lang w:eastAsia="es-MX"/>
        </w:rPr>
        <w:t>ce</w:t>
      </w:r>
      <w:r w:rsidRPr="005379A1">
        <w:rPr>
          <w:rFonts w:ascii="ITC Avant Garde" w:eastAsia="Calibri" w:hAnsi="ITC Avant Garde"/>
          <w:bCs/>
          <w:color w:val="000000"/>
          <w:sz w:val="22"/>
          <w:szCs w:val="22"/>
          <w:lang w:eastAsia="es-MX"/>
        </w:rPr>
        <w:t xml:space="preserve"> que la banda de frecuencias 410-430 MHz se ha previsto para la provisión exclusiva del servicio móvil de radiocomunicación especializada de flotillas, debido a que dicha banda cuenta con diversas soluciones tecnológicas para la prestación de tales servicios, además de que no se encuentra identificada por la Unión Internacional de Telecomunicaciones como una banda propicia para la prestación de servicios de banda ancha. </w:t>
      </w:r>
    </w:p>
    <w:p w14:paraId="5279C3AD" w14:textId="77777777" w:rsidR="001C6AEE" w:rsidRPr="005379A1" w:rsidRDefault="009A1116" w:rsidP="005379A1">
      <w:pPr>
        <w:spacing w:before="240"/>
        <w:contextualSpacing/>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En virtud de todo lo anterior y con el objeto de propiciar un uso más eficiente del espectro radioeléctrico y al mismo tiempo dar cumplimiento a lo establecido por el Cuadro Nacional de Atribución de Frecuencias, el Reglamento de Radiocomunicaciones de la Unión Internacional de Telecomunicaciones, y el Protocolo, la banda de frecuencias 410-430 MHz se ha identificado como una alternativa para la reubicación de las operaciones de los concesionarios de sistemas de radiocomunicación especializada de flotillas provenientes de las bandas 806-821/851-866 MHz.</w:t>
      </w:r>
    </w:p>
    <w:p w14:paraId="15178308" w14:textId="12C2B3D6" w:rsidR="001C6AEE" w:rsidRPr="005379A1" w:rsidRDefault="00B60789" w:rsidP="005379A1">
      <w:pPr>
        <w:spacing w:before="240"/>
        <w:jc w:val="both"/>
        <w:rPr>
          <w:rFonts w:ascii="ITC Avant Garde" w:hAnsi="ITC Avant Garde"/>
          <w:bCs/>
          <w:color w:val="000000"/>
          <w:sz w:val="22"/>
          <w:szCs w:val="22"/>
          <w:lang w:val="es-ES" w:eastAsia="es-MX"/>
        </w:rPr>
      </w:pPr>
      <w:r w:rsidRPr="005379A1">
        <w:rPr>
          <w:rFonts w:ascii="ITC Avant Garde" w:eastAsia="Calibri" w:hAnsi="ITC Avant Garde"/>
          <w:b/>
          <w:bCs/>
          <w:color w:val="000000"/>
          <w:sz w:val="22"/>
          <w:szCs w:val="22"/>
          <w:lang w:eastAsia="es-MX"/>
        </w:rPr>
        <w:t>Octavo</w:t>
      </w:r>
      <w:r w:rsidR="00812083" w:rsidRPr="005379A1">
        <w:rPr>
          <w:rFonts w:ascii="ITC Avant Garde" w:eastAsia="Calibri" w:hAnsi="ITC Avant Garde"/>
          <w:b/>
          <w:bCs/>
          <w:color w:val="000000"/>
          <w:sz w:val="22"/>
          <w:szCs w:val="22"/>
          <w:lang w:eastAsia="es-MX"/>
        </w:rPr>
        <w:t xml:space="preserve">.- </w:t>
      </w:r>
      <w:r w:rsidR="004F3864" w:rsidRPr="005379A1">
        <w:rPr>
          <w:rFonts w:ascii="ITC Avant Garde" w:eastAsia="Calibri" w:hAnsi="ITC Avant Garde"/>
          <w:b/>
          <w:bCs/>
          <w:color w:val="000000"/>
          <w:sz w:val="22"/>
          <w:szCs w:val="22"/>
          <w:lang w:eastAsia="es-MX"/>
        </w:rPr>
        <w:t>Opini</w:t>
      </w:r>
      <w:r w:rsidR="001C4861" w:rsidRPr="005379A1">
        <w:rPr>
          <w:rFonts w:ascii="ITC Avant Garde" w:eastAsia="Calibri" w:hAnsi="ITC Avant Garde"/>
          <w:b/>
          <w:bCs/>
          <w:color w:val="000000"/>
          <w:sz w:val="22"/>
          <w:szCs w:val="22"/>
          <w:lang w:eastAsia="es-MX"/>
        </w:rPr>
        <w:t>ón</w:t>
      </w:r>
      <w:r w:rsidR="004F3864" w:rsidRPr="005379A1">
        <w:rPr>
          <w:rFonts w:ascii="ITC Avant Garde" w:eastAsia="Calibri" w:hAnsi="ITC Avant Garde"/>
          <w:b/>
          <w:bCs/>
          <w:color w:val="000000"/>
          <w:sz w:val="22"/>
          <w:szCs w:val="22"/>
          <w:lang w:eastAsia="es-MX"/>
        </w:rPr>
        <w:t xml:space="preserve"> técnica respecto a la Solicitud </w:t>
      </w:r>
      <w:r w:rsidR="00812083" w:rsidRPr="005379A1">
        <w:rPr>
          <w:rFonts w:ascii="ITC Avant Garde" w:hAnsi="ITC Avant Garde"/>
          <w:b/>
          <w:bCs/>
          <w:color w:val="000000"/>
          <w:sz w:val="22"/>
          <w:szCs w:val="22"/>
          <w:lang w:val="es-ES" w:eastAsia="es-MX"/>
        </w:rPr>
        <w:t>Prórroga.</w:t>
      </w:r>
      <w:r w:rsidR="00812083" w:rsidRPr="005379A1">
        <w:rPr>
          <w:rFonts w:ascii="ITC Avant Garde" w:hAnsi="ITC Avant Garde"/>
          <w:bCs/>
          <w:color w:val="000000"/>
          <w:sz w:val="22"/>
          <w:szCs w:val="22"/>
          <w:lang w:val="es-ES" w:eastAsia="es-MX"/>
        </w:rPr>
        <w:t xml:space="preserve"> Con la finalidad de contar con los elementos necesarios para la atención de la Solicitud de Prórroga</w:t>
      </w:r>
      <w:r w:rsidR="004F3864" w:rsidRPr="005379A1">
        <w:rPr>
          <w:rFonts w:ascii="ITC Avant Garde" w:hAnsi="ITC Avant Garde"/>
          <w:bCs/>
          <w:color w:val="000000"/>
          <w:sz w:val="22"/>
          <w:szCs w:val="22"/>
          <w:lang w:val="es-ES" w:eastAsia="es-MX"/>
        </w:rPr>
        <w:t xml:space="preserve"> de la Concesión</w:t>
      </w:r>
      <w:r w:rsidR="00812083" w:rsidRPr="005379A1">
        <w:rPr>
          <w:rFonts w:ascii="ITC Avant Garde" w:hAnsi="ITC Avant Garde"/>
          <w:bCs/>
          <w:color w:val="000000"/>
          <w:sz w:val="22"/>
          <w:szCs w:val="22"/>
          <w:lang w:val="es-ES" w:eastAsia="es-MX"/>
        </w:rPr>
        <w:t>, se requirió la opinión a la entonces Unidad de Prospectiva y Regulación de la Comisión que, conforme a lo señalado en el Antecedente VII</w:t>
      </w:r>
      <w:r w:rsidR="000D7E81" w:rsidRPr="005379A1">
        <w:rPr>
          <w:rFonts w:ascii="ITC Avant Garde" w:hAnsi="ITC Avant Garde"/>
          <w:bCs/>
          <w:color w:val="000000"/>
          <w:sz w:val="22"/>
          <w:szCs w:val="22"/>
          <w:lang w:val="es-ES" w:eastAsia="es-MX"/>
        </w:rPr>
        <w:t>I</w:t>
      </w:r>
      <w:r w:rsidR="00C91B39" w:rsidRPr="005379A1">
        <w:rPr>
          <w:rFonts w:ascii="ITC Avant Garde" w:hAnsi="ITC Avant Garde"/>
          <w:bCs/>
          <w:color w:val="000000"/>
          <w:sz w:val="22"/>
          <w:szCs w:val="22"/>
          <w:lang w:val="es-ES" w:eastAsia="es-MX"/>
        </w:rPr>
        <w:t xml:space="preserve"> de la presente Resolución</w:t>
      </w:r>
      <w:r w:rsidR="00812083" w:rsidRPr="005379A1">
        <w:rPr>
          <w:rFonts w:ascii="ITC Avant Garde" w:hAnsi="ITC Avant Garde"/>
          <w:bCs/>
          <w:color w:val="000000"/>
          <w:sz w:val="22"/>
          <w:szCs w:val="22"/>
          <w:lang w:val="es-ES" w:eastAsia="es-MX"/>
        </w:rPr>
        <w:t>, informó entre otras cosas, lo siguiente:</w:t>
      </w:r>
    </w:p>
    <w:p w14:paraId="2B2D7F99" w14:textId="77777777" w:rsidR="001C6AEE" w:rsidRPr="005379A1" w:rsidRDefault="000D7E81" w:rsidP="005379A1">
      <w:pPr>
        <w:spacing w:before="240"/>
        <w:ind w:right="670" w:firstLine="708"/>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w:t>
      </w:r>
    </w:p>
    <w:p w14:paraId="027BA16E" w14:textId="77777777" w:rsidR="001C6AEE" w:rsidRPr="005379A1" w:rsidRDefault="000D7E81" w:rsidP="005379A1">
      <w:pPr>
        <w:spacing w:before="240"/>
        <w:ind w:right="670" w:firstLine="708"/>
        <w:jc w:val="both"/>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II. Planificación espectral para la banda 806-824/851-869 MHz</w:t>
      </w:r>
    </w:p>
    <w:p w14:paraId="23943FDC" w14:textId="77777777" w:rsidR="001C6AEE" w:rsidRPr="005379A1" w:rsidRDefault="000D7E81" w:rsidP="005379A1">
      <w:pPr>
        <w:spacing w:before="240"/>
        <w:ind w:right="670" w:firstLine="708"/>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w:t>
      </w:r>
    </w:p>
    <w:p w14:paraId="2A25155E" w14:textId="77777777" w:rsidR="001C6AEE" w:rsidRPr="005379A1" w:rsidRDefault="000D7E81" w:rsidP="005379A1">
      <w:pPr>
        <w:spacing w:before="240"/>
        <w:ind w:right="670" w:firstLine="708"/>
        <w:jc w:val="both"/>
        <w:rPr>
          <w:rFonts w:ascii="ITC Avant Garde" w:hAnsi="ITC Avant Garde"/>
          <w:bCs/>
          <w:color w:val="000000"/>
          <w:sz w:val="16"/>
          <w:szCs w:val="16"/>
          <w:u w:val="single"/>
          <w:lang w:val="es-ES" w:eastAsia="es-MX"/>
        </w:rPr>
      </w:pPr>
      <w:r w:rsidRPr="005379A1">
        <w:rPr>
          <w:rFonts w:ascii="ITC Avant Garde" w:hAnsi="ITC Avant Garde"/>
          <w:bCs/>
          <w:color w:val="000000"/>
          <w:sz w:val="16"/>
          <w:szCs w:val="16"/>
          <w:lang w:val="es-ES" w:eastAsia="es-MX"/>
        </w:rPr>
        <w:t xml:space="preserve">4. </w:t>
      </w:r>
      <w:r w:rsidRPr="005379A1">
        <w:rPr>
          <w:rFonts w:ascii="ITC Avant Garde" w:hAnsi="ITC Avant Garde"/>
          <w:bCs/>
          <w:color w:val="000000"/>
          <w:sz w:val="16"/>
          <w:szCs w:val="16"/>
          <w:u w:val="single"/>
          <w:lang w:val="es-ES" w:eastAsia="es-MX"/>
        </w:rPr>
        <w:t>Acciones de planificación.</w:t>
      </w:r>
    </w:p>
    <w:p w14:paraId="143F80AA"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u w:val="single"/>
          <w:lang w:val="es-ES" w:eastAsia="es-MX"/>
        </w:rPr>
        <w:t>La banda 698-960 MHz en la Región 2 ha sido identificada por la Unión Internacional Telecomunicaciones para su utilización por las Telecomunicaciones Móviles Internacionales (IMT)</w:t>
      </w:r>
      <w:r w:rsidRPr="005379A1">
        <w:rPr>
          <w:rFonts w:ascii="ITC Avant Garde" w:hAnsi="ITC Avant Garde"/>
          <w:bCs/>
          <w:color w:val="000000"/>
          <w:sz w:val="16"/>
          <w:szCs w:val="16"/>
          <w:lang w:val="es-ES" w:eastAsia="es-MX"/>
        </w:rPr>
        <w:t xml:space="preserve">, toda vez que los estudios de la UIT, la cantidad de espectro utilizable y las condiciones de propagación muestran que </w:t>
      </w:r>
      <w:r w:rsidRPr="005379A1">
        <w:rPr>
          <w:rFonts w:ascii="ITC Avant Garde" w:hAnsi="ITC Avant Garde"/>
          <w:bCs/>
          <w:color w:val="000000"/>
          <w:sz w:val="16"/>
          <w:szCs w:val="16"/>
          <w:u w:val="single"/>
          <w:lang w:val="es-ES" w:eastAsia="es-MX"/>
        </w:rPr>
        <w:t>estas banda es propicia para poder ofrecer servicios de comunicaciones móviles de banda ancha con cobertura y calidad que posibilite el eficiente uso de los dispositivos móviles en diferentes entornos y en distintas condiciones</w:t>
      </w:r>
      <w:r w:rsidRPr="005379A1">
        <w:rPr>
          <w:rFonts w:ascii="ITC Avant Garde" w:hAnsi="ITC Avant Garde"/>
          <w:bCs/>
          <w:color w:val="000000"/>
          <w:sz w:val="16"/>
          <w:szCs w:val="16"/>
          <w:lang w:val="es-ES" w:eastAsia="es-MX"/>
        </w:rPr>
        <w:t xml:space="preserve">. </w:t>
      </w:r>
    </w:p>
    <w:p w14:paraId="6CDD875C"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 xml:space="preserve">Por otra parte, el grupo de estandarización 3GPP (3rd </w:t>
      </w:r>
      <w:proofErr w:type="spellStart"/>
      <w:r w:rsidRPr="005379A1">
        <w:rPr>
          <w:rFonts w:ascii="ITC Avant Garde" w:hAnsi="ITC Avant Garde"/>
          <w:bCs/>
          <w:color w:val="000000"/>
          <w:sz w:val="16"/>
          <w:szCs w:val="16"/>
          <w:lang w:val="es-ES" w:eastAsia="es-MX"/>
        </w:rPr>
        <w:t>Generation</w:t>
      </w:r>
      <w:proofErr w:type="spellEnd"/>
      <w:r w:rsidRPr="005379A1">
        <w:rPr>
          <w:rFonts w:ascii="ITC Avant Garde" w:hAnsi="ITC Avant Garde"/>
          <w:bCs/>
          <w:color w:val="000000"/>
          <w:sz w:val="16"/>
          <w:szCs w:val="16"/>
          <w:lang w:val="es-ES" w:eastAsia="es-MX"/>
        </w:rPr>
        <w:t xml:space="preserve"> </w:t>
      </w:r>
      <w:proofErr w:type="spellStart"/>
      <w:r w:rsidRPr="005379A1">
        <w:rPr>
          <w:rFonts w:ascii="ITC Avant Garde" w:hAnsi="ITC Avant Garde"/>
          <w:bCs/>
          <w:color w:val="000000"/>
          <w:sz w:val="16"/>
          <w:szCs w:val="16"/>
          <w:lang w:val="es-ES" w:eastAsia="es-MX"/>
        </w:rPr>
        <w:t>Partnership</w:t>
      </w:r>
      <w:proofErr w:type="spellEnd"/>
      <w:r w:rsidRPr="005379A1">
        <w:rPr>
          <w:rFonts w:ascii="ITC Avant Garde" w:hAnsi="ITC Avant Garde"/>
          <w:bCs/>
          <w:color w:val="000000"/>
          <w:sz w:val="16"/>
          <w:szCs w:val="16"/>
          <w:lang w:val="es-ES" w:eastAsia="es-MX"/>
        </w:rPr>
        <w:t xml:space="preserve"> Project), ha desarrollado las especificaciones técnicas de la interfaz aérea de LTE para aprovechar partes de la banda 698-960MHz en el despliegue de redes de conectividad de banda ancha móvil</w:t>
      </w:r>
      <w:r w:rsidR="004F3864" w:rsidRPr="005379A1">
        <w:rPr>
          <w:rFonts w:ascii="ITC Avant Garde" w:hAnsi="ITC Avant Garde"/>
          <w:bCs/>
          <w:color w:val="000000"/>
          <w:sz w:val="16"/>
          <w:szCs w:val="16"/>
          <w:lang w:val="es-ES" w:eastAsia="es-MX"/>
        </w:rPr>
        <w:t>. P</w:t>
      </w:r>
      <w:r w:rsidRPr="005379A1">
        <w:rPr>
          <w:rFonts w:ascii="ITC Avant Garde" w:hAnsi="ITC Avant Garde"/>
          <w:bCs/>
          <w:color w:val="000000"/>
          <w:sz w:val="16"/>
          <w:szCs w:val="16"/>
          <w:lang w:val="es-ES" w:eastAsia="es-MX"/>
        </w:rPr>
        <w:t>ara el caso particular de la banda 806-824/851-869 MHz el 3GPP ha desarrollado los perfiles estandarizados para las bandas clase 26 (814-849/859-894 MHz) y clase 27 (806-824/851-869 MHz).</w:t>
      </w:r>
    </w:p>
    <w:p w14:paraId="2A5EB1C2" w14:textId="77777777" w:rsidR="001C6AEE" w:rsidRPr="005379A1" w:rsidRDefault="000D7E81" w:rsidP="005379A1">
      <w:pPr>
        <w:spacing w:before="240"/>
        <w:ind w:left="708" w:right="670"/>
        <w:jc w:val="both"/>
        <w:rPr>
          <w:rFonts w:ascii="ITC Avant Garde" w:hAnsi="ITC Avant Garde"/>
          <w:bCs/>
          <w:color w:val="000000"/>
          <w:sz w:val="16"/>
          <w:szCs w:val="16"/>
          <w:u w:val="single"/>
          <w:lang w:val="es-ES" w:eastAsia="es-MX"/>
        </w:rPr>
      </w:pPr>
      <w:r w:rsidRPr="005379A1">
        <w:rPr>
          <w:rFonts w:ascii="ITC Avant Garde" w:hAnsi="ITC Avant Garde"/>
          <w:bCs/>
          <w:color w:val="000000"/>
          <w:sz w:val="16"/>
          <w:szCs w:val="16"/>
          <w:lang w:val="es-ES" w:eastAsia="es-MX"/>
        </w:rPr>
        <w:lastRenderedPageBreak/>
        <w:t xml:space="preserve">Por lo tanto, </w:t>
      </w:r>
      <w:r w:rsidRPr="005379A1">
        <w:rPr>
          <w:rFonts w:ascii="ITC Avant Garde" w:hAnsi="ITC Avant Garde"/>
          <w:bCs/>
          <w:color w:val="000000"/>
          <w:sz w:val="16"/>
          <w:szCs w:val="16"/>
          <w:u w:val="single"/>
          <w:lang w:val="es-ES" w:eastAsia="es-MX"/>
        </w:rPr>
        <w:t xml:space="preserve">se tiene previsto que la banda 806-824 / 851-869 MHz se sujete a un proceso de </w:t>
      </w:r>
      <w:proofErr w:type="spellStart"/>
      <w:r w:rsidRPr="005379A1">
        <w:rPr>
          <w:rFonts w:ascii="ITC Avant Garde" w:hAnsi="ITC Avant Garde"/>
          <w:bCs/>
          <w:color w:val="000000"/>
          <w:sz w:val="16"/>
          <w:szCs w:val="16"/>
          <w:u w:val="single"/>
          <w:lang w:val="es-ES" w:eastAsia="es-MX"/>
        </w:rPr>
        <w:t>replanificación</w:t>
      </w:r>
      <w:proofErr w:type="spellEnd"/>
      <w:r w:rsidRPr="005379A1">
        <w:rPr>
          <w:rFonts w:ascii="ITC Avant Garde" w:hAnsi="ITC Avant Garde"/>
          <w:bCs/>
          <w:color w:val="000000"/>
          <w:sz w:val="16"/>
          <w:szCs w:val="16"/>
          <w:u w:val="single"/>
          <w:lang w:val="es-ES" w:eastAsia="es-MX"/>
        </w:rPr>
        <w:t xml:space="preserve"> a fin de liberar bloques de espectro que posibiliten la introducción de servicios de banda ancha móvil a través a los estándares antes citados.</w:t>
      </w:r>
    </w:p>
    <w:p w14:paraId="6A70B77D" w14:textId="77777777" w:rsidR="001C6AEE" w:rsidRPr="005379A1" w:rsidRDefault="000D7E81" w:rsidP="005379A1">
      <w:pPr>
        <w:spacing w:before="240"/>
        <w:ind w:left="708" w:right="670"/>
        <w:jc w:val="both"/>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III. Planificación espectral para la banda 410-430 MHz</w:t>
      </w:r>
    </w:p>
    <w:p w14:paraId="7C44AB02"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w:t>
      </w:r>
    </w:p>
    <w:p w14:paraId="409ED05F"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 xml:space="preserve">5. </w:t>
      </w:r>
      <w:r w:rsidRPr="005379A1">
        <w:rPr>
          <w:rFonts w:ascii="ITC Avant Garde" w:hAnsi="ITC Avant Garde"/>
          <w:bCs/>
          <w:color w:val="000000"/>
          <w:sz w:val="16"/>
          <w:szCs w:val="16"/>
          <w:u w:val="single"/>
          <w:lang w:val="es-ES" w:eastAsia="es-MX"/>
        </w:rPr>
        <w:t xml:space="preserve">Acciones de planificación </w:t>
      </w:r>
    </w:p>
    <w:p w14:paraId="25935B13"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 xml:space="preserve">La banda de frecuencias 410-430 MHz está considerada en las acciones propuestas que están contenidas en el documento ‘El Espectro Radioeléctrico en México, Estudio y Acciones´. </w:t>
      </w:r>
      <w:r w:rsidRPr="005379A1">
        <w:rPr>
          <w:rFonts w:ascii="ITC Avant Garde" w:hAnsi="ITC Avant Garde"/>
          <w:bCs/>
          <w:color w:val="000000"/>
          <w:sz w:val="16"/>
          <w:szCs w:val="16"/>
          <w:u w:val="single"/>
          <w:lang w:val="es-ES" w:eastAsia="es-MX"/>
        </w:rPr>
        <w:t>La planificación para esta banda se orienta hacia su reconfiguración para albergar a los concesionarios y asignatarios del servicio de radiolocalización especializada de flotillas (</w:t>
      </w:r>
      <w:proofErr w:type="spellStart"/>
      <w:r w:rsidRPr="005379A1">
        <w:rPr>
          <w:rFonts w:ascii="ITC Avant Garde" w:hAnsi="ITC Avant Garde"/>
          <w:bCs/>
          <w:color w:val="000000"/>
          <w:sz w:val="16"/>
          <w:szCs w:val="16"/>
          <w:u w:val="single"/>
          <w:lang w:val="es-ES" w:eastAsia="es-MX"/>
        </w:rPr>
        <w:t>trunking</w:t>
      </w:r>
      <w:proofErr w:type="spellEnd"/>
      <w:r w:rsidRPr="005379A1">
        <w:rPr>
          <w:rFonts w:ascii="ITC Avant Garde" w:hAnsi="ITC Avant Garde"/>
          <w:bCs/>
          <w:color w:val="000000"/>
          <w:sz w:val="16"/>
          <w:szCs w:val="16"/>
          <w:u w:val="single"/>
          <w:lang w:val="es-ES" w:eastAsia="es-MX"/>
        </w:rPr>
        <w:t>) que operan mayoritariamente en la banda 806-824/851-869 MHz, para permitir la liberación de espectro en esta banda para su uso en sistemas de banda ancha móvil, conforme a lo contemplado en el numeral 4 de la sección II del presente oficio</w:t>
      </w:r>
      <w:r w:rsidRPr="005379A1">
        <w:rPr>
          <w:rFonts w:ascii="ITC Avant Garde" w:hAnsi="ITC Avant Garde"/>
          <w:bCs/>
          <w:color w:val="000000"/>
          <w:sz w:val="16"/>
          <w:szCs w:val="16"/>
          <w:lang w:val="es-ES" w:eastAsia="es-MX"/>
        </w:rPr>
        <w:t xml:space="preserve">. </w:t>
      </w:r>
    </w:p>
    <w:p w14:paraId="73ABED62"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 xml:space="preserve">[…].” </w:t>
      </w:r>
      <w:proofErr w:type="gramStart"/>
      <w:r w:rsidRPr="005379A1">
        <w:rPr>
          <w:rFonts w:ascii="ITC Avant Garde" w:hAnsi="ITC Avant Garde"/>
          <w:bCs/>
          <w:color w:val="000000"/>
          <w:sz w:val="16"/>
          <w:szCs w:val="16"/>
          <w:lang w:val="es-ES" w:eastAsia="es-MX"/>
        </w:rPr>
        <w:t>sic</w:t>
      </w:r>
      <w:proofErr w:type="gramEnd"/>
      <w:r w:rsidRPr="005379A1">
        <w:rPr>
          <w:rFonts w:ascii="ITC Avant Garde" w:hAnsi="ITC Avant Garde"/>
          <w:bCs/>
          <w:color w:val="000000"/>
          <w:sz w:val="16"/>
          <w:szCs w:val="16"/>
          <w:lang w:val="es-ES" w:eastAsia="es-MX"/>
        </w:rPr>
        <w:t xml:space="preserve"> (énfasis añadido)</w:t>
      </w:r>
    </w:p>
    <w:p w14:paraId="2186AB77" w14:textId="77777777" w:rsidR="001C6AEE" w:rsidRPr="005379A1" w:rsidRDefault="000D7E81" w:rsidP="005379A1">
      <w:pPr>
        <w:spacing w:before="240"/>
        <w:jc w:val="both"/>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Lo anterior es consistente con lo dispuesto por el Cuadro Nacional de Atribución de Frecuencias, publicado en el Diario Oficial de la Federación el 28 de febrero de 2012, vigente al momento de que dicha Dirección General emitió su opinión, mismo que en su artículo 5, al identificar a las Notas Internacionales, señalaba lo siguiente:</w:t>
      </w:r>
    </w:p>
    <w:p w14:paraId="5652C3E9"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w:t>
      </w:r>
      <w:r w:rsidRPr="005379A1">
        <w:rPr>
          <w:rFonts w:ascii="ITC Avant Garde" w:hAnsi="ITC Avant Garde"/>
          <w:b/>
          <w:bCs/>
          <w:color w:val="000000"/>
          <w:sz w:val="16"/>
          <w:szCs w:val="16"/>
          <w:lang w:val="es-ES" w:eastAsia="es-MX"/>
        </w:rPr>
        <w:t xml:space="preserve">5.317A </w:t>
      </w:r>
      <w:r w:rsidRPr="005379A1">
        <w:rPr>
          <w:rFonts w:ascii="ITC Avant Garde" w:hAnsi="ITC Avant Garde"/>
          <w:bCs/>
          <w:color w:val="000000"/>
          <w:sz w:val="16"/>
          <w:szCs w:val="16"/>
          <w:lang w:val="es-ES" w:eastAsia="es-MX"/>
        </w:rPr>
        <w:t>Las partes de la banda 698-960 MHz en la Región 2 y de la banda 790-960 MHz en las Regiones 1 y 3 atribuidas al servicio móvil a título primario se han identificado para su utilización por las administraciones que deseen introducir las Telecomunicaciones Móviles Internacionales (IMT). Véanse las Resoluciones 224 (Rev. CMR-07) y 749 (CMR-07). La identificación de estas bandas no excluye que se utilicen para otras aplicaciones de los servicios a los que estén atribuidas y no implica prioridad alguna en el Reglamento de Radiocomunicaciones. (CMR07).</w:t>
      </w:r>
    </w:p>
    <w:p w14:paraId="70C5D2BE" w14:textId="77777777" w:rsidR="001C6AEE" w:rsidRPr="005379A1" w:rsidRDefault="000D7E81" w:rsidP="005379A1">
      <w:pPr>
        <w:spacing w:before="240"/>
        <w:jc w:val="both"/>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Asimismo, al identificar las Notas Nacionales, señalaba lo siguiente:</w:t>
      </w:r>
    </w:p>
    <w:p w14:paraId="5DA8154E" w14:textId="77777777" w:rsidR="001C6AEE" w:rsidRPr="005379A1" w:rsidRDefault="000D7E81" w:rsidP="005379A1">
      <w:pPr>
        <w:spacing w:before="240"/>
        <w:ind w:left="705"/>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w:t>
      </w:r>
      <w:r w:rsidRPr="005379A1">
        <w:rPr>
          <w:rFonts w:ascii="ITC Avant Garde" w:hAnsi="ITC Avant Garde"/>
          <w:b/>
          <w:bCs/>
          <w:color w:val="000000"/>
          <w:sz w:val="16"/>
          <w:szCs w:val="16"/>
          <w:lang w:val="es-ES" w:eastAsia="es-MX"/>
        </w:rPr>
        <w:t>MEX78A</w:t>
      </w:r>
      <w:r w:rsidRPr="005379A1">
        <w:rPr>
          <w:rFonts w:ascii="ITC Avant Garde" w:hAnsi="ITC Avant Garde"/>
          <w:bCs/>
          <w:color w:val="000000"/>
          <w:sz w:val="16"/>
          <w:szCs w:val="16"/>
          <w:lang w:val="es-ES" w:eastAsia="es-MX"/>
        </w:rPr>
        <w:t xml:space="preserve"> La banda 410 – 430 MHz es apropiada para la operación de sistemas móviles </w:t>
      </w:r>
      <w:proofErr w:type="spellStart"/>
      <w:r w:rsidRPr="005379A1">
        <w:rPr>
          <w:rFonts w:ascii="ITC Avant Garde" w:hAnsi="ITC Avant Garde"/>
          <w:bCs/>
          <w:color w:val="000000"/>
          <w:sz w:val="16"/>
          <w:szCs w:val="16"/>
          <w:lang w:val="es-ES" w:eastAsia="es-MX"/>
        </w:rPr>
        <w:t>troncalizados</w:t>
      </w:r>
      <w:proofErr w:type="spellEnd"/>
      <w:r w:rsidRPr="005379A1">
        <w:rPr>
          <w:rFonts w:ascii="ITC Avant Garde" w:hAnsi="ITC Avant Garde"/>
          <w:bCs/>
          <w:color w:val="000000"/>
          <w:sz w:val="16"/>
          <w:szCs w:val="16"/>
          <w:lang w:val="es-ES" w:eastAsia="es-MX"/>
        </w:rPr>
        <w:t xml:space="preserve"> digitales.”</w:t>
      </w:r>
    </w:p>
    <w:p w14:paraId="2A7DE587" w14:textId="2454A0C3" w:rsidR="000D7E81" w:rsidRPr="005379A1" w:rsidRDefault="000D7E81" w:rsidP="005379A1">
      <w:pPr>
        <w:pStyle w:val="Prrafodelista"/>
        <w:spacing w:before="240"/>
        <w:ind w:left="0"/>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De la opinión anterior se desprende que la Solicitud de Prórroga resulta procedente desde el punto de vista de planificación espectral, siempre y cuando las prórrogas que se concedan para el servicio de radiocomunicación especializada de flotillas se otorguen dentro de la banda 410 – 430 MHz.</w:t>
      </w:r>
    </w:p>
    <w:p w14:paraId="3D262B51" w14:textId="71E3FAE4" w:rsidR="00812083" w:rsidRPr="005379A1" w:rsidRDefault="000D7E81" w:rsidP="005379A1">
      <w:pPr>
        <w:pStyle w:val="Prrafodelista"/>
        <w:spacing w:before="240"/>
        <w:ind w:left="0"/>
        <w:jc w:val="both"/>
        <w:rPr>
          <w:rFonts w:ascii="ITC Avant Garde" w:hAnsi="ITC Avant Garde"/>
          <w:bCs/>
          <w:color w:val="000000"/>
          <w:sz w:val="22"/>
          <w:szCs w:val="22"/>
          <w:lang w:val="es-ES" w:eastAsia="es-MX"/>
        </w:rPr>
      </w:pPr>
      <w:r w:rsidRPr="005379A1" w:rsidDel="000D7E81">
        <w:rPr>
          <w:rFonts w:ascii="ITC Avant Garde" w:hAnsi="ITC Avant Garde"/>
          <w:bCs/>
          <w:color w:val="000000"/>
          <w:sz w:val="16"/>
          <w:szCs w:val="16"/>
          <w:lang w:val="es-ES" w:eastAsia="es-MX"/>
        </w:rPr>
        <w:t xml:space="preserve"> </w:t>
      </w:r>
    </w:p>
    <w:p w14:paraId="664EA859" w14:textId="77777777" w:rsidR="001C6AEE" w:rsidRPr="005379A1" w:rsidRDefault="00812083" w:rsidP="005379A1">
      <w:pPr>
        <w:tabs>
          <w:tab w:val="left" w:pos="0"/>
        </w:tabs>
        <w:spacing w:before="240"/>
        <w:ind w:right="99"/>
        <w:jc w:val="both"/>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En concordancia con lo anterior, como se mencionó en el Antecedente X</w:t>
      </w:r>
      <w:r w:rsidR="00414FEE" w:rsidRPr="005379A1">
        <w:rPr>
          <w:rFonts w:ascii="ITC Avant Garde" w:hAnsi="ITC Avant Garde"/>
          <w:bCs/>
          <w:color w:val="000000"/>
          <w:sz w:val="22"/>
          <w:szCs w:val="22"/>
          <w:lang w:val="es-ES" w:eastAsia="es-MX"/>
        </w:rPr>
        <w:t>I</w:t>
      </w:r>
      <w:r w:rsidR="000D7E81" w:rsidRPr="005379A1">
        <w:rPr>
          <w:rFonts w:ascii="ITC Avant Garde" w:hAnsi="ITC Avant Garde"/>
          <w:bCs/>
          <w:color w:val="000000"/>
          <w:sz w:val="22"/>
          <w:szCs w:val="22"/>
          <w:lang w:val="es-ES" w:eastAsia="es-MX"/>
        </w:rPr>
        <w:t>I</w:t>
      </w:r>
      <w:r w:rsidRPr="005379A1">
        <w:rPr>
          <w:rFonts w:ascii="ITC Avant Garde" w:hAnsi="ITC Avant Garde"/>
          <w:bCs/>
          <w:color w:val="000000"/>
          <w:sz w:val="22"/>
          <w:szCs w:val="22"/>
          <w:lang w:val="es-ES" w:eastAsia="es-MX"/>
        </w:rPr>
        <w:t>, la Dirección General de Ingeniería del Espectro y Estudios Técnicos, adscrita a la Unidad de Espectro Radioeléctrico del Instituto, señaló lo siguiente respecto de la planificación espectral para la banda 410-430 MHz:</w:t>
      </w:r>
    </w:p>
    <w:p w14:paraId="17C70C04" w14:textId="14464195" w:rsidR="001C6AEE" w:rsidRPr="005379A1" w:rsidRDefault="000D7E81" w:rsidP="005379A1">
      <w:pPr>
        <w:spacing w:before="240"/>
        <w:ind w:left="705"/>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w:t>
      </w:r>
      <w:r w:rsidR="004F3864" w:rsidRPr="005379A1">
        <w:rPr>
          <w:rFonts w:ascii="ITC Avant Garde" w:hAnsi="ITC Avant Garde"/>
          <w:bCs/>
          <w:color w:val="000000"/>
          <w:sz w:val="16"/>
          <w:szCs w:val="16"/>
          <w:lang w:val="es-ES" w:eastAsia="es-MX"/>
        </w:rPr>
        <w:t>[…]</w:t>
      </w:r>
    </w:p>
    <w:p w14:paraId="7B9F820F" w14:textId="77777777" w:rsidR="001C6AEE" w:rsidRPr="005379A1" w:rsidRDefault="000D7E81" w:rsidP="005379A1">
      <w:pPr>
        <w:spacing w:before="240"/>
        <w:ind w:left="705"/>
        <w:jc w:val="both"/>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II. Planificación espectral para la banda 410-430 MHz</w:t>
      </w:r>
    </w:p>
    <w:p w14:paraId="05CD7B92" w14:textId="77777777" w:rsidR="001C6AEE" w:rsidRPr="005379A1" w:rsidRDefault="000D7E81" w:rsidP="005379A1">
      <w:pPr>
        <w:spacing w:before="240"/>
        <w:ind w:left="705"/>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Reconfiguración de la banda 806-824 / 851-869 MHz</w:t>
      </w:r>
    </w:p>
    <w:p w14:paraId="1D8C629B"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lastRenderedPageBreak/>
        <w:t>Las acciones de planificación respecto a la banda 806-824/851-869 MHz corresponden al proceso de reorganización de la citada band</w:t>
      </w:r>
      <w:r w:rsidR="004F3864" w:rsidRPr="005379A1">
        <w:rPr>
          <w:rFonts w:ascii="ITC Avant Garde" w:hAnsi="ITC Avant Garde"/>
          <w:bCs/>
          <w:color w:val="000000"/>
          <w:sz w:val="16"/>
          <w:szCs w:val="16"/>
          <w:lang w:val="es-ES" w:eastAsia="es-MX"/>
        </w:rPr>
        <w:t>a conforme a lo indicado en el ‘</w:t>
      </w:r>
      <w:r w:rsidRPr="005379A1">
        <w:rPr>
          <w:rFonts w:ascii="ITC Avant Garde" w:hAnsi="ITC Avant Garde"/>
          <w:bCs/>
          <w:color w:val="000000"/>
          <w:sz w:val="16"/>
          <w:szCs w:val="16"/>
          <w:lang w:val="es-ES" w:eastAsia="es-MX"/>
        </w:rPr>
        <w:t>Acuerdo mediante el cual el Pleno del Instituto Federal de Telecomunicaciones modifica el Programa Anual de Uso y Aprovechamient</w:t>
      </w:r>
      <w:r w:rsidR="004F3864" w:rsidRPr="005379A1">
        <w:rPr>
          <w:rFonts w:ascii="ITC Avant Garde" w:hAnsi="ITC Avant Garde"/>
          <w:bCs/>
          <w:color w:val="000000"/>
          <w:sz w:val="16"/>
          <w:szCs w:val="16"/>
          <w:lang w:val="es-ES" w:eastAsia="es-MX"/>
        </w:rPr>
        <w:t>o de bandas de frecuencias 2015’</w:t>
      </w:r>
      <w:r w:rsidRPr="005379A1">
        <w:rPr>
          <w:rFonts w:ascii="ITC Avant Garde" w:hAnsi="ITC Avant Garde"/>
          <w:bCs/>
          <w:color w:val="000000"/>
          <w:sz w:val="16"/>
          <w:szCs w:val="16"/>
          <w:lang w:val="es-ES" w:eastAsia="es-MX"/>
        </w:rPr>
        <w:t>, publicado  en el Diario Oficial de la Federación el 6 de abril de 2015</w:t>
      </w:r>
      <w:r w:rsidRPr="005379A1">
        <w:rPr>
          <w:rFonts w:ascii="ITC Avant Garde" w:hAnsi="ITC Avant Garde"/>
          <w:bCs/>
          <w:color w:val="000000"/>
          <w:sz w:val="12"/>
          <w:szCs w:val="12"/>
          <w:lang w:val="es-ES" w:eastAsia="es-MX"/>
        </w:rPr>
        <w:footnoteReference w:id="2"/>
      </w:r>
      <w:r w:rsidRPr="005379A1">
        <w:rPr>
          <w:rFonts w:ascii="ITC Avant Garde" w:hAnsi="ITC Avant Garde"/>
          <w:bCs/>
          <w:color w:val="000000"/>
          <w:sz w:val="16"/>
          <w:szCs w:val="16"/>
          <w:lang w:val="es-ES" w:eastAsia="es-MX"/>
        </w:rPr>
        <w:t xml:space="preserve">; con el fin de posibilitar la introducción de servicios de banda ancha móvil en el rango de frecuencias 814-824/859-869 MHz, de conformidad con la identificación de esta banda para las Telecomunicaciones Móviles Internacionales (IMT), para la introducción de tecnologías de banda ancha compatibles con el estándar tecnológico definido para la banda 26 especificado por el 3GPP (3rd </w:t>
      </w:r>
      <w:proofErr w:type="spellStart"/>
      <w:r w:rsidRPr="005379A1">
        <w:rPr>
          <w:rFonts w:ascii="ITC Avant Garde" w:hAnsi="ITC Avant Garde"/>
          <w:bCs/>
          <w:color w:val="000000"/>
          <w:sz w:val="16"/>
          <w:szCs w:val="16"/>
          <w:lang w:val="es-ES" w:eastAsia="es-MX"/>
        </w:rPr>
        <w:t>Generation</w:t>
      </w:r>
      <w:proofErr w:type="spellEnd"/>
      <w:r w:rsidRPr="005379A1">
        <w:rPr>
          <w:rFonts w:ascii="ITC Avant Garde" w:hAnsi="ITC Avant Garde"/>
          <w:bCs/>
          <w:color w:val="000000"/>
          <w:sz w:val="16"/>
          <w:szCs w:val="16"/>
          <w:lang w:val="es-ES" w:eastAsia="es-MX"/>
        </w:rPr>
        <w:t xml:space="preserve"> </w:t>
      </w:r>
      <w:proofErr w:type="spellStart"/>
      <w:r w:rsidRPr="005379A1">
        <w:rPr>
          <w:rFonts w:ascii="ITC Avant Garde" w:hAnsi="ITC Avant Garde"/>
          <w:bCs/>
          <w:color w:val="000000"/>
          <w:sz w:val="16"/>
          <w:szCs w:val="16"/>
          <w:lang w:val="es-ES" w:eastAsia="es-MX"/>
        </w:rPr>
        <w:t>Partnership</w:t>
      </w:r>
      <w:proofErr w:type="spellEnd"/>
      <w:r w:rsidRPr="005379A1">
        <w:rPr>
          <w:rFonts w:ascii="ITC Avant Garde" w:hAnsi="ITC Avant Garde"/>
          <w:bCs/>
          <w:color w:val="000000"/>
          <w:sz w:val="16"/>
          <w:szCs w:val="16"/>
          <w:lang w:val="es-ES" w:eastAsia="es-MX"/>
        </w:rPr>
        <w:t xml:space="preserve"> Project).</w:t>
      </w:r>
    </w:p>
    <w:p w14:paraId="4160A28C"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En este sentido, se ha identificado la banda 410-430 MHz como una de las alternativas para la reubicación de las operaciones de los concesionarios de sistemas de radiocomunicación especializada de flotillas (</w:t>
      </w:r>
      <w:proofErr w:type="spellStart"/>
      <w:r w:rsidRPr="005379A1">
        <w:rPr>
          <w:rFonts w:ascii="ITC Avant Garde" w:hAnsi="ITC Avant Garde"/>
          <w:bCs/>
          <w:color w:val="000000"/>
          <w:sz w:val="16"/>
          <w:szCs w:val="16"/>
          <w:lang w:val="es-ES" w:eastAsia="es-MX"/>
        </w:rPr>
        <w:t>trunking</w:t>
      </w:r>
      <w:proofErr w:type="spellEnd"/>
      <w:r w:rsidRPr="005379A1">
        <w:rPr>
          <w:rFonts w:ascii="ITC Avant Garde" w:hAnsi="ITC Avant Garde"/>
          <w:bCs/>
          <w:color w:val="000000"/>
          <w:sz w:val="16"/>
          <w:szCs w:val="16"/>
          <w:lang w:val="es-ES" w:eastAsia="es-MX"/>
        </w:rPr>
        <w:t>) provenientes de las bandas 806-821/851-866 MHz y 430-440 MHz. Lo anterior, debido a que el rango de frecuencias 410-430 MHz se considera propicio para la operación de sistemas de banda angosta, esto en virtud de que cuenta con soluciones tecnológicas disponibles, además de que no se encuentra identificada por la Unión Internacional de Telecomunicaciones (UIT) para el despliegue de las IMT por lo que actualmente no se tiene contemplada la introducción de tecnologías de banda ancha móvil.</w:t>
      </w:r>
    </w:p>
    <w:p w14:paraId="048E4FC9"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Planificación de la banda 410-430 MHz</w:t>
      </w:r>
    </w:p>
    <w:p w14:paraId="67066C0B"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Una vez determinado que la banda de 410-430 MHz podrá alojar los servicios de radiocomunicación especializada de flotillas (</w:t>
      </w:r>
      <w:proofErr w:type="spellStart"/>
      <w:r w:rsidRPr="005379A1">
        <w:rPr>
          <w:rFonts w:ascii="ITC Avant Garde" w:hAnsi="ITC Avant Garde"/>
          <w:bCs/>
          <w:color w:val="000000"/>
          <w:sz w:val="16"/>
          <w:szCs w:val="16"/>
          <w:lang w:val="es-ES" w:eastAsia="es-MX"/>
        </w:rPr>
        <w:t>trunking</w:t>
      </w:r>
      <w:proofErr w:type="spellEnd"/>
      <w:r w:rsidRPr="005379A1">
        <w:rPr>
          <w:rFonts w:ascii="ITC Avant Garde" w:hAnsi="ITC Avant Garde"/>
          <w:bCs/>
          <w:color w:val="000000"/>
          <w:sz w:val="16"/>
          <w:szCs w:val="16"/>
          <w:lang w:val="es-ES" w:eastAsia="es-MX"/>
        </w:rPr>
        <w:t>), se tiene planeada la operación de los sistemas para uso comercial en la parte inferior de la banda, esto es, en el rango 410-415/420-425 MHz. Por otra parte, se prevé que las operaciones de los sistemas de concesiones de uso público sean alojadas en el en el rango 415-420/425-430 MHz. Todo ello acorde con la Planeación espectral para la banda 410-430 MHz determinada por la Dirección General de Planeación del Espectro de la Unidad de Espectro Radioeléctrico.</w:t>
      </w:r>
    </w:p>
    <w:p w14:paraId="4F7E8AF8"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w:t>
      </w:r>
    </w:p>
    <w:p w14:paraId="3657847F" w14:textId="77777777" w:rsidR="001C6AEE" w:rsidRPr="005379A1" w:rsidRDefault="000D7E81" w:rsidP="005379A1">
      <w:pPr>
        <w:spacing w:before="240"/>
        <w:ind w:left="705"/>
        <w:jc w:val="both"/>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 xml:space="preserve">III. Definición de criterios respecto a las prórrogas solicitadas. </w:t>
      </w:r>
    </w:p>
    <w:p w14:paraId="71A008C9"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Criterios definidos para la asignación de cobertura</w:t>
      </w:r>
    </w:p>
    <w:p w14:paraId="34D0E87D"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Los títulos de concesión de referencia, contienen condiciones acordes al Marco Jurídico vigente en la fecha de su otorgamiento, tal es el caso de las</w:t>
      </w:r>
      <w:r w:rsidR="00CF682F" w:rsidRPr="005379A1">
        <w:rPr>
          <w:rFonts w:ascii="ITC Avant Garde" w:hAnsi="ITC Avant Garde"/>
          <w:bCs/>
          <w:color w:val="000000"/>
          <w:sz w:val="16"/>
          <w:szCs w:val="16"/>
          <w:lang w:val="es-ES" w:eastAsia="es-MX"/>
        </w:rPr>
        <w:t xml:space="preserve"> condiciones relacionas con el ‘área se servicio’</w:t>
      </w:r>
      <w:r w:rsidRPr="005379A1">
        <w:rPr>
          <w:rFonts w:ascii="ITC Avant Garde" w:hAnsi="ITC Avant Garde"/>
          <w:bCs/>
          <w:color w:val="000000"/>
          <w:sz w:val="16"/>
          <w:szCs w:val="16"/>
          <w:lang w:val="es-ES" w:eastAsia="es-MX"/>
        </w:rPr>
        <w:t xml:space="preserve"> (cobertura), donde se manejan criterios de cobertura diferentes en cada título, tales como rutas carreteras, estados, ciudades específicas, zonas metropolitanas o la ubicación geográfica de las estaciones transmisoras pertenecientes al concesionario.</w:t>
      </w:r>
    </w:p>
    <w:p w14:paraId="197FE81C"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 xml:space="preserve">Debido a lo anterior, resultó necesario definir de forma precisa la cobertura de cada título de concesión prorrogado, lo cual tiene como finalidad eliminar ambigüedades respecto la cobertura de cada uno de los títulos, especialmente aquellas definidas por ruta carretera y repetidores. Además, esto también incide en la definición del monto de contraprestación a pagar por los concesionarios, de así resultar procedente el otorgamiento de sus prórrogas. </w:t>
      </w:r>
    </w:p>
    <w:p w14:paraId="6B8340E4" w14:textId="729D5983"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De este modo, se propone que la unidad mínima para establecer la cobertura de cada uno de los concesionarios sea el municipio y/o delegación, para lo cual debieron establecerse ciertos criterios para asignar las áreas de cobertura, los cuales se mencionan a continuación:</w:t>
      </w:r>
    </w:p>
    <w:p w14:paraId="079B94CD"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a) Rutas Carreteras.</w:t>
      </w:r>
    </w:p>
    <w:p w14:paraId="2D35EF99"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 xml:space="preserve">Dado que el origen del servicio de </w:t>
      </w:r>
      <w:proofErr w:type="spellStart"/>
      <w:r w:rsidRPr="005379A1">
        <w:rPr>
          <w:rFonts w:ascii="ITC Avant Garde" w:hAnsi="ITC Avant Garde"/>
          <w:bCs/>
          <w:color w:val="000000"/>
          <w:sz w:val="16"/>
          <w:szCs w:val="16"/>
          <w:lang w:val="es-ES" w:eastAsia="es-MX"/>
        </w:rPr>
        <w:t>trunking</w:t>
      </w:r>
      <w:proofErr w:type="spellEnd"/>
      <w:r w:rsidRPr="005379A1">
        <w:rPr>
          <w:rFonts w:ascii="ITC Avant Garde" w:hAnsi="ITC Avant Garde"/>
          <w:bCs/>
          <w:color w:val="000000"/>
          <w:sz w:val="16"/>
          <w:szCs w:val="16"/>
          <w:lang w:val="es-ES" w:eastAsia="es-MX"/>
        </w:rPr>
        <w:t xml:space="preserve"> se encuentra en el servicio de radiocomunicación para flotillas, existen casos donde la cobertura autorizada en las concesiones se estableció por rutas carreteras, las cuales comunican ciudades y/o poblaciones.</w:t>
      </w:r>
    </w:p>
    <w:p w14:paraId="65BA5233"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lastRenderedPageBreak/>
        <w:t xml:space="preserve">Conforme a los indicado en los títulos de concesión, en su momento se otorgó la posibilidad a los concesionarios de ofrecer el servicio en </w:t>
      </w:r>
      <w:r w:rsidRPr="005379A1">
        <w:rPr>
          <w:rFonts w:ascii="ITC Avant Garde" w:hAnsi="ITC Avant Garde"/>
          <w:b/>
          <w:bCs/>
          <w:color w:val="000000"/>
          <w:sz w:val="16"/>
          <w:szCs w:val="16"/>
          <w:lang w:val="es-ES" w:eastAsia="es-MX"/>
        </w:rPr>
        <w:t>“…áreas rurales, pequeños núcleos de población, así como regiones urbanas y suburbanas a lo largo de las troncales carreteras…”,</w:t>
      </w:r>
      <w:r w:rsidRPr="005379A1">
        <w:rPr>
          <w:rFonts w:ascii="ITC Avant Garde" w:hAnsi="ITC Avant Garde"/>
          <w:bCs/>
          <w:color w:val="000000"/>
          <w:sz w:val="16"/>
          <w:szCs w:val="16"/>
          <w:lang w:val="es-ES" w:eastAsia="es-MX"/>
        </w:rPr>
        <w:t xml:space="preserve"> en adición a las ciudades y/o poblaciones que comprenden tales rutas.</w:t>
      </w:r>
    </w:p>
    <w:p w14:paraId="1DBDCEA4"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Con base en lo anteriormente descrito, este análisis considera que las coberturas asignadas por ruta carretera estarán conformadas por todos aquellos municipios por los que cruce la carretera mencionada en su título de concesión.</w:t>
      </w:r>
    </w:p>
    <w:p w14:paraId="321FFBA2"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Adicionalmente, se han considerado como parte de la cobertura aquellos municipios conectados por troncales que no forman parte de una carretera principal, siempre que la distancia de la carretera principal a la mancha urbana fuera menor o igual a 10 km. Esto, en atención a la asignación de coberturas en los títulos de concesión originalmente otorgados, los cuales brindaban la posibilidad de conectar poblaciones fuera del trayecto principal de la carretera, a través de sus troncales, mientras que la distancia de 10 km se tomó con base en la definición de zonas metropolitanas que el Instituto Nacional de Estadística Geográfica e Informática</w:t>
      </w:r>
      <w:r w:rsidR="00CF682F" w:rsidRPr="005379A1">
        <w:rPr>
          <w:bCs/>
          <w:color w:val="000000"/>
          <w:sz w:val="12"/>
          <w:szCs w:val="12"/>
          <w:lang w:val="es-ES" w:eastAsia="es-MX"/>
        </w:rPr>
        <w:footnoteReference w:id="3"/>
      </w:r>
      <w:r w:rsidRPr="005379A1">
        <w:rPr>
          <w:rFonts w:ascii="ITC Avant Garde" w:hAnsi="ITC Avant Garde"/>
          <w:bCs/>
          <w:color w:val="000000"/>
          <w:sz w:val="16"/>
          <w:szCs w:val="16"/>
          <w:lang w:val="es-ES" w:eastAsia="es-MX"/>
        </w:rPr>
        <w:t xml:space="preserve"> (INEGI) hace en el documento Delimitación de las Zonas Metropolitanas México 2010</w:t>
      </w:r>
      <w:r w:rsidRPr="005379A1">
        <w:rPr>
          <w:rFonts w:ascii="ITC Avant Garde" w:hAnsi="ITC Avant Garde"/>
          <w:bCs/>
          <w:color w:val="000000"/>
          <w:sz w:val="12"/>
          <w:szCs w:val="12"/>
          <w:lang w:val="es-ES" w:eastAsia="es-MX"/>
        </w:rPr>
        <w:footnoteReference w:id="4"/>
      </w:r>
      <w:r w:rsidRPr="005379A1">
        <w:rPr>
          <w:rFonts w:ascii="ITC Avant Garde" w:hAnsi="ITC Avant Garde"/>
          <w:bCs/>
          <w:color w:val="000000"/>
          <w:sz w:val="16"/>
          <w:szCs w:val="16"/>
          <w:lang w:val="es-ES" w:eastAsia="es-MX"/>
        </w:rPr>
        <w:t xml:space="preserve"> (el documento ZMM).</w:t>
      </w:r>
    </w:p>
    <w:p w14:paraId="332BB4E0"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b) Zonas Metropolitanas</w:t>
      </w:r>
    </w:p>
    <w:p w14:paraId="1AD7905D" w14:textId="77777777" w:rsidR="001C6AEE" w:rsidRPr="005379A1" w:rsidRDefault="000D7E81"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Algunos títulos de concesión incluidos en las solicitudes de prórroga tienen definidas sus áreas de cobertura por ciudades y/o zonas conurbadas por lo que en los casos donde estas coberturas tratasen de municipios centrales, se decidió unificar estos criterios de acuerdo a lo definido por el INEGI en el documento ZMM:</w:t>
      </w:r>
    </w:p>
    <w:p w14:paraId="12AE0A2F" w14:textId="77777777" w:rsidR="001C6AEE" w:rsidRPr="005379A1" w:rsidRDefault="00CF682F" w:rsidP="005379A1">
      <w:pPr>
        <w:spacing w:before="240"/>
        <w:ind w:left="708" w:right="670"/>
        <w:jc w:val="both"/>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w:t>
      </w:r>
      <w:r w:rsidR="000D7E81" w:rsidRPr="005379A1">
        <w:rPr>
          <w:rFonts w:ascii="ITC Avant Garde" w:hAnsi="ITC Avant Garde"/>
          <w:bCs/>
          <w:color w:val="000000"/>
          <w:sz w:val="16"/>
          <w:szCs w:val="16"/>
          <w:lang w:val="es-ES" w:eastAsia="es-MX"/>
        </w:rPr>
        <w:t xml:space="preserve">Se define como </w:t>
      </w:r>
      <w:r w:rsidR="000D7E81" w:rsidRPr="005379A1">
        <w:rPr>
          <w:rFonts w:ascii="ITC Avant Garde" w:hAnsi="ITC Avant Garde"/>
          <w:b/>
          <w:bCs/>
          <w:color w:val="000000"/>
          <w:sz w:val="16"/>
          <w:szCs w:val="16"/>
          <w:lang w:val="es-ES" w:eastAsia="es-MX"/>
        </w:rPr>
        <w:t>zona metropolitana</w:t>
      </w:r>
      <w:r w:rsidR="000D7E81" w:rsidRPr="005379A1">
        <w:rPr>
          <w:rFonts w:ascii="ITC Avant Garde" w:hAnsi="ITC Avant Garde"/>
          <w:bCs/>
          <w:color w:val="000000"/>
          <w:sz w:val="16"/>
          <w:szCs w:val="16"/>
          <w:lang w:val="es-ES" w:eastAsia="es-MX"/>
        </w:rPr>
        <w:t xml:space="preserve"> al conjunto de dos o más municipios donde se localiza una ciudad de 50 mil o más habitantes, cuya área urbana, funciones y actividades rebasan el límite del municipio que originalmente la contenía, incorporando como parte de sí misma o de su área de influencia directa a municipios vecinos, predominantemente urbanos, con los que mantiene un alto grado de integración socioeconómica. También se incluyen aquellos municipios que por sus características particulares son relevantes para la planeación y política urbanas de las zonas metropolitanas en cuestión.</w:t>
      </w:r>
    </w:p>
    <w:p w14:paraId="7FA07AD6" w14:textId="77777777" w:rsidR="001C6AEE" w:rsidRPr="005379A1" w:rsidRDefault="000D7E81" w:rsidP="005379A1">
      <w:pPr>
        <w:spacing w:before="240"/>
        <w:ind w:left="709" w:right="670"/>
        <w:jc w:val="both"/>
        <w:rPr>
          <w:rFonts w:ascii="ITC Avant Garde" w:hAnsi="ITC Avant Garde"/>
          <w:sz w:val="16"/>
          <w:szCs w:val="16"/>
        </w:rPr>
      </w:pPr>
      <w:r w:rsidRPr="005379A1">
        <w:rPr>
          <w:rFonts w:ascii="ITC Avant Garde" w:hAnsi="ITC Avant Garde"/>
          <w:sz w:val="16"/>
          <w:szCs w:val="16"/>
        </w:rPr>
        <w:t>Adicionalmente, se define como zonas metropolitanas a todos aquellos municipios que contienen una ciudad de un millón o más habitantes, así como ciudades de 250 mil o más habitantes que comparten procesos de conurbación con ciudades de Estados Unidos de América.</w:t>
      </w:r>
    </w:p>
    <w:p w14:paraId="60338C24" w14:textId="77777777" w:rsidR="001C6AEE" w:rsidRPr="005379A1" w:rsidRDefault="000D7E81" w:rsidP="005379A1">
      <w:pPr>
        <w:spacing w:before="240"/>
        <w:ind w:left="709" w:right="670"/>
        <w:jc w:val="both"/>
        <w:rPr>
          <w:rFonts w:ascii="ITC Avant Garde" w:hAnsi="ITC Avant Garde"/>
          <w:sz w:val="16"/>
          <w:szCs w:val="16"/>
        </w:rPr>
      </w:pPr>
      <w:r w:rsidRPr="005379A1">
        <w:rPr>
          <w:rFonts w:ascii="ITC Avant Garde" w:hAnsi="ITC Avant Garde"/>
          <w:sz w:val="16"/>
          <w:szCs w:val="16"/>
        </w:rPr>
        <w:t>Para delimitar las zonas metropolitanas, el INEGI a su vez define tres grupos de municipios metropolitanos, de los cuales en donde se localiza la ciudad principal es denominado Municipio Central.</w:t>
      </w:r>
    </w:p>
    <w:p w14:paraId="351AEA08" w14:textId="77777777" w:rsidR="001C6AEE" w:rsidRPr="005379A1" w:rsidRDefault="000D7E81" w:rsidP="005379A1">
      <w:pPr>
        <w:spacing w:before="240"/>
        <w:ind w:left="709" w:right="670"/>
        <w:jc w:val="both"/>
        <w:rPr>
          <w:rFonts w:ascii="ITC Avant Garde" w:hAnsi="ITC Avant Garde"/>
          <w:sz w:val="16"/>
          <w:szCs w:val="16"/>
        </w:rPr>
      </w:pPr>
      <w:r w:rsidRPr="005379A1">
        <w:rPr>
          <w:rFonts w:ascii="ITC Avant Garde" w:hAnsi="ITC Avant Garde"/>
          <w:b/>
          <w:sz w:val="16"/>
          <w:szCs w:val="16"/>
        </w:rPr>
        <w:t>Municipios Centrales</w:t>
      </w:r>
      <w:r w:rsidRPr="005379A1">
        <w:rPr>
          <w:rFonts w:ascii="ITC Avant Garde" w:hAnsi="ITC Avant Garde"/>
          <w:sz w:val="16"/>
          <w:szCs w:val="16"/>
        </w:rPr>
        <w:t xml:space="preserve">. Corresponden a los municipios donde se localiza la ciudad central que da origen a la zona metropolitana; es la localidad </w:t>
      </w:r>
      <w:proofErr w:type="spellStart"/>
      <w:r w:rsidRPr="005379A1">
        <w:rPr>
          <w:rFonts w:ascii="ITC Avant Garde" w:hAnsi="ITC Avant Garde"/>
          <w:sz w:val="16"/>
          <w:szCs w:val="16"/>
        </w:rPr>
        <w:t>geoestadística</w:t>
      </w:r>
      <w:proofErr w:type="spellEnd"/>
      <w:r w:rsidRPr="005379A1">
        <w:rPr>
          <w:rFonts w:ascii="ITC Avant Garde" w:hAnsi="ITC Avant Garde"/>
          <w:sz w:val="16"/>
          <w:szCs w:val="16"/>
        </w:rPr>
        <w:t xml:space="preserve"> urbana o conurbación que da </w:t>
      </w:r>
      <w:r w:rsidR="00CF682F" w:rsidRPr="005379A1">
        <w:rPr>
          <w:rFonts w:ascii="ITC Avant Garde" w:hAnsi="ITC Avant Garde"/>
          <w:sz w:val="16"/>
          <w:szCs w:val="16"/>
        </w:rPr>
        <w:t>origen a la zona metropolitana.’</w:t>
      </w:r>
    </w:p>
    <w:p w14:paraId="27C5170A" w14:textId="77777777" w:rsidR="001C6AEE" w:rsidRPr="005379A1" w:rsidRDefault="000D7E81" w:rsidP="005379A1">
      <w:pPr>
        <w:spacing w:before="240"/>
        <w:ind w:left="709" w:right="670"/>
        <w:jc w:val="both"/>
        <w:rPr>
          <w:rFonts w:ascii="ITC Avant Garde" w:hAnsi="ITC Avant Garde"/>
          <w:sz w:val="16"/>
          <w:szCs w:val="16"/>
        </w:rPr>
      </w:pPr>
      <w:r w:rsidRPr="005379A1">
        <w:rPr>
          <w:rFonts w:ascii="ITC Avant Garde" w:hAnsi="ITC Avant Garde"/>
          <w:sz w:val="16"/>
          <w:szCs w:val="16"/>
        </w:rPr>
        <w:t>Así, para aquel concesionario cuya área de cobertura estuviera definida por ciudad (y ésta fuera parte de un municipio central) y/o zona conurbada, se asignaron los municipios pertenecientes a la zona metropolitana asociada, de acuerdo al documento ZMM.</w:t>
      </w:r>
    </w:p>
    <w:p w14:paraId="745C821A" w14:textId="77777777" w:rsidR="001C6AEE" w:rsidRPr="005379A1" w:rsidRDefault="000D7E81" w:rsidP="005379A1">
      <w:pPr>
        <w:spacing w:before="240"/>
        <w:ind w:left="709" w:right="670"/>
        <w:jc w:val="both"/>
        <w:rPr>
          <w:rFonts w:ascii="ITC Avant Garde" w:hAnsi="ITC Avant Garde"/>
          <w:sz w:val="16"/>
          <w:szCs w:val="16"/>
        </w:rPr>
      </w:pPr>
      <w:r w:rsidRPr="005379A1">
        <w:rPr>
          <w:rFonts w:ascii="ITC Avant Garde" w:hAnsi="ITC Avant Garde"/>
          <w:sz w:val="16"/>
          <w:szCs w:val="16"/>
        </w:rPr>
        <w:t>c) Repetidores</w:t>
      </w:r>
    </w:p>
    <w:p w14:paraId="1719E98B" w14:textId="77777777" w:rsidR="001C6AEE" w:rsidRPr="005379A1" w:rsidRDefault="000D7E81" w:rsidP="005379A1">
      <w:pPr>
        <w:spacing w:before="240"/>
        <w:ind w:left="709" w:right="670"/>
        <w:jc w:val="both"/>
        <w:rPr>
          <w:rFonts w:ascii="ITC Avant Garde" w:hAnsi="ITC Avant Garde"/>
          <w:sz w:val="16"/>
          <w:szCs w:val="16"/>
        </w:rPr>
      </w:pPr>
      <w:r w:rsidRPr="005379A1">
        <w:rPr>
          <w:rFonts w:ascii="ITC Avant Garde" w:hAnsi="ITC Avant Garde"/>
          <w:sz w:val="16"/>
          <w:szCs w:val="16"/>
        </w:rPr>
        <w:t>Para e</w:t>
      </w:r>
      <w:r w:rsidR="00CF682F" w:rsidRPr="005379A1">
        <w:rPr>
          <w:rFonts w:ascii="ITC Avant Garde" w:hAnsi="ITC Avant Garde"/>
          <w:sz w:val="16"/>
          <w:szCs w:val="16"/>
        </w:rPr>
        <w:t>l caso único del concesionario ‘</w:t>
      </w:r>
      <w:r w:rsidRPr="005379A1">
        <w:rPr>
          <w:rFonts w:ascii="ITC Avant Garde" w:hAnsi="ITC Avant Garde"/>
          <w:sz w:val="16"/>
          <w:szCs w:val="16"/>
        </w:rPr>
        <w:t>Radiocomunicaciones y Des</w:t>
      </w:r>
      <w:r w:rsidR="00CF682F" w:rsidRPr="005379A1">
        <w:rPr>
          <w:rFonts w:ascii="ITC Avant Garde" w:hAnsi="ITC Avant Garde"/>
          <w:sz w:val="16"/>
          <w:szCs w:val="16"/>
        </w:rPr>
        <w:t>arrollos de México, S.A. de C.V’</w:t>
      </w:r>
      <w:r w:rsidRPr="005379A1">
        <w:rPr>
          <w:rFonts w:ascii="ITC Avant Garde" w:hAnsi="ITC Avant Garde"/>
          <w:sz w:val="16"/>
          <w:szCs w:val="16"/>
        </w:rPr>
        <w:t>, en cual la definición de su área de cobertura solo se puede deducir a través de la ubicación de sus repetidores y la ciudad/municipio en donde se encuentran éstos localizados, se consideró proponer como área de cobertura la zona metropolitana asociada al municipio en donde se ubica el repetidor siempre y cuando el municipio fuera del tipo central, de ser el caso contrario, sólo se asignó como cobertura el municipio asociado al repetidor.</w:t>
      </w:r>
    </w:p>
    <w:p w14:paraId="0C2BB99B" w14:textId="77777777" w:rsidR="001C6AEE" w:rsidRPr="005379A1" w:rsidRDefault="000D7E81" w:rsidP="005379A1">
      <w:pPr>
        <w:pStyle w:val="Prrafodelista"/>
        <w:numPr>
          <w:ilvl w:val="0"/>
          <w:numId w:val="36"/>
        </w:numPr>
        <w:spacing w:before="240" w:line="276" w:lineRule="auto"/>
        <w:ind w:left="709" w:right="670" w:firstLine="0"/>
        <w:contextualSpacing/>
        <w:jc w:val="both"/>
        <w:rPr>
          <w:rFonts w:ascii="ITC Avant Garde" w:hAnsi="ITC Avant Garde"/>
          <w:sz w:val="16"/>
          <w:szCs w:val="16"/>
        </w:rPr>
      </w:pPr>
      <w:r w:rsidRPr="005379A1">
        <w:rPr>
          <w:rFonts w:ascii="ITC Avant Garde" w:hAnsi="ITC Avant Garde"/>
          <w:sz w:val="16"/>
          <w:szCs w:val="16"/>
        </w:rPr>
        <w:lastRenderedPageBreak/>
        <w:t>Canalización de la banda 410-430 MHz</w:t>
      </w:r>
    </w:p>
    <w:p w14:paraId="2A9F9B90" w14:textId="77777777" w:rsidR="001C6AEE" w:rsidRPr="005379A1" w:rsidRDefault="000D7E81" w:rsidP="005379A1">
      <w:pPr>
        <w:pStyle w:val="Prrafodelista"/>
        <w:spacing w:before="240"/>
        <w:ind w:left="709" w:right="670"/>
        <w:jc w:val="both"/>
        <w:rPr>
          <w:rFonts w:ascii="ITC Avant Garde" w:hAnsi="ITC Avant Garde"/>
          <w:sz w:val="16"/>
          <w:szCs w:val="16"/>
        </w:rPr>
      </w:pPr>
      <w:r w:rsidRPr="005379A1">
        <w:rPr>
          <w:rFonts w:ascii="ITC Avant Garde" w:hAnsi="ITC Avant Garde"/>
          <w:sz w:val="16"/>
          <w:szCs w:val="16"/>
        </w:rPr>
        <w:t xml:space="preserve">Las solicitudes de prórroga de los títulos de concesión fueron asignadas en un principio dentro de la banda de 800 MHz y con una canalización de un ancho de banda de 25 kHz por canal. Debido a que los servicios objeto de estas prórrogas son los referidos a radiocomunicación móvil de flotillas, o </w:t>
      </w:r>
      <w:proofErr w:type="spellStart"/>
      <w:r w:rsidRPr="005379A1">
        <w:rPr>
          <w:rFonts w:ascii="ITC Avant Garde" w:hAnsi="ITC Avant Garde"/>
          <w:sz w:val="16"/>
          <w:szCs w:val="16"/>
        </w:rPr>
        <w:t>trunking</w:t>
      </w:r>
      <w:proofErr w:type="spellEnd"/>
      <w:r w:rsidRPr="005379A1">
        <w:rPr>
          <w:rFonts w:ascii="ITC Avant Garde" w:hAnsi="ITC Avant Garde"/>
          <w:sz w:val="16"/>
          <w:szCs w:val="16"/>
        </w:rPr>
        <w:t xml:space="preserve">, la tecnología disponible en el mercado cuando originalmente se otorgaron estos títulos era apropiada para tal canalización. No obstante, hoy existen tecnologías ampliamente disponibles que pueden operar con canalizaciones que permiten una eficiencia espectral mayor, al permitir canales de comunicación en anchos de banda menores permitiendo así como un uso más eficiente del espectro. </w:t>
      </w:r>
    </w:p>
    <w:p w14:paraId="01529941" w14:textId="77777777" w:rsidR="001C6AEE" w:rsidRPr="005379A1" w:rsidRDefault="000D7E81" w:rsidP="005379A1">
      <w:pPr>
        <w:pStyle w:val="Prrafodelista"/>
        <w:spacing w:before="240"/>
        <w:ind w:left="709" w:right="670"/>
        <w:jc w:val="both"/>
        <w:rPr>
          <w:rFonts w:ascii="ITC Avant Garde" w:hAnsi="ITC Avant Garde"/>
          <w:sz w:val="16"/>
          <w:szCs w:val="16"/>
        </w:rPr>
      </w:pPr>
      <w:r w:rsidRPr="005379A1">
        <w:rPr>
          <w:rFonts w:ascii="ITC Avant Garde" w:hAnsi="ITC Avant Garde"/>
          <w:sz w:val="16"/>
          <w:szCs w:val="16"/>
        </w:rPr>
        <w:t xml:space="preserve">Considerando lo anterior y en fomento al uso más eficiente del espectro, esta Dirección General recomienda que se adopte un esquema estándar de canalización de 12.5 kHz de ancho de banda por canal para la banda de 410-430 MHz. No obstante que el espaciamiento estándar de cada canal dentro de esta banda es de 12.5 kHz, el esquema propuesto permite la flexibilidad de operar dos canales contiguos, lo cual es equivalente a un canal de 25 kHz. </w:t>
      </w:r>
    </w:p>
    <w:p w14:paraId="722E5923" w14:textId="77777777" w:rsidR="001C6AEE" w:rsidRPr="005379A1" w:rsidRDefault="000D7E81" w:rsidP="005379A1">
      <w:pPr>
        <w:pStyle w:val="Prrafodelista"/>
        <w:spacing w:before="240"/>
        <w:ind w:left="709" w:right="670"/>
        <w:jc w:val="both"/>
        <w:rPr>
          <w:rFonts w:ascii="ITC Avant Garde" w:hAnsi="ITC Avant Garde"/>
          <w:sz w:val="16"/>
          <w:szCs w:val="16"/>
        </w:rPr>
      </w:pPr>
      <w:r w:rsidRPr="005379A1">
        <w:rPr>
          <w:rFonts w:ascii="ITC Avant Garde" w:hAnsi="ITC Avant Garde"/>
          <w:sz w:val="16"/>
          <w:szCs w:val="16"/>
        </w:rPr>
        <w:t>Lo anterior respeta la canalización de 25 kHz con la que actualmente operan los concesionarios comerciales y de uso público, reconociendo así la cantidad de espectro concesionado, al mismo tiempo que se promueve el uso más eficiente del espectro radioeléctrico y se respeta el principio de neutralidad tecnológica.</w:t>
      </w:r>
    </w:p>
    <w:p w14:paraId="6C3CE32F" w14:textId="77777777" w:rsidR="001C6AEE" w:rsidRPr="005379A1" w:rsidRDefault="000D7E81" w:rsidP="005379A1">
      <w:pPr>
        <w:spacing w:before="240"/>
        <w:ind w:left="709" w:right="670"/>
        <w:jc w:val="both"/>
        <w:rPr>
          <w:rFonts w:ascii="ITC Avant Garde" w:hAnsi="ITC Avant Garde"/>
          <w:sz w:val="16"/>
          <w:szCs w:val="16"/>
        </w:rPr>
      </w:pPr>
      <w:r w:rsidRPr="005379A1">
        <w:rPr>
          <w:rFonts w:ascii="ITC Avant Garde" w:hAnsi="ITC Avant Garde"/>
          <w:sz w:val="16"/>
          <w:szCs w:val="16"/>
        </w:rPr>
        <w:t>[…]</w:t>
      </w:r>
    </w:p>
    <w:p w14:paraId="341F554E" w14:textId="77777777" w:rsidR="001C6AEE" w:rsidRPr="005379A1" w:rsidRDefault="000D7E81" w:rsidP="005379A1">
      <w:pPr>
        <w:pStyle w:val="Prrafodelista"/>
        <w:numPr>
          <w:ilvl w:val="0"/>
          <w:numId w:val="38"/>
        </w:numPr>
        <w:spacing w:before="240"/>
        <w:ind w:left="709" w:right="670" w:firstLine="0"/>
        <w:contextualSpacing/>
        <w:jc w:val="both"/>
        <w:rPr>
          <w:rFonts w:ascii="ITC Avant Garde" w:hAnsi="ITC Avant Garde"/>
          <w:b/>
          <w:sz w:val="16"/>
          <w:szCs w:val="16"/>
        </w:rPr>
      </w:pPr>
      <w:r w:rsidRPr="005379A1">
        <w:rPr>
          <w:rFonts w:ascii="ITC Avant Garde" w:hAnsi="ITC Avant Garde"/>
          <w:b/>
          <w:sz w:val="16"/>
          <w:szCs w:val="16"/>
        </w:rPr>
        <w:t>Opinión respecto a la solicitud</w:t>
      </w:r>
    </w:p>
    <w:p w14:paraId="7F0FFE8F" w14:textId="77777777" w:rsidR="001C6AEE" w:rsidRPr="005379A1" w:rsidRDefault="000D7E81" w:rsidP="005379A1">
      <w:pPr>
        <w:spacing w:before="240"/>
        <w:ind w:left="709" w:right="670"/>
        <w:jc w:val="both"/>
        <w:rPr>
          <w:rFonts w:ascii="ITC Avant Garde" w:hAnsi="ITC Avant Garde"/>
          <w:sz w:val="16"/>
          <w:szCs w:val="16"/>
        </w:rPr>
      </w:pPr>
      <w:r w:rsidRPr="005379A1">
        <w:rPr>
          <w:rFonts w:ascii="ITC Avant Garde" w:hAnsi="ITC Avant Garde"/>
          <w:sz w:val="16"/>
          <w:szCs w:val="16"/>
        </w:rPr>
        <w:t>Con base en lo expuesto en las secciones anteriores, en opinión de esta Dirección General las solicitudes de prórroga resultan procedentes desde el punto de vista regulatorio y de planificación del espectro […].”</w:t>
      </w:r>
    </w:p>
    <w:p w14:paraId="2CA53912" w14:textId="77777777" w:rsidR="001C6AEE" w:rsidRPr="005379A1" w:rsidRDefault="000D7E81" w:rsidP="005379A1">
      <w:pPr>
        <w:spacing w:before="240"/>
        <w:jc w:val="both"/>
        <w:rPr>
          <w:rFonts w:ascii="ITC Avant Garde" w:hAnsi="ITC Avant Garde"/>
          <w:sz w:val="22"/>
          <w:szCs w:val="22"/>
        </w:rPr>
      </w:pPr>
      <w:r w:rsidRPr="005379A1">
        <w:rPr>
          <w:rFonts w:ascii="ITC Avant Garde" w:hAnsi="ITC Avant Garde"/>
          <w:sz w:val="22"/>
          <w:szCs w:val="22"/>
        </w:rPr>
        <w:t>De igual forma, la citada Dirección General acompañó a su opinión la</w:t>
      </w:r>
      <w:r w:rsidR="00CF682F" w:rsidRPr="005379A1">
        <w:rPr>
          <w:rFonts w:ascii="ITC Avant Garde" w:hAnsi="ITC Avant Garde"/>
          <w:sz w:val="22"/>
          <w:szCs w:val="22"/>
        </w:rPr>
        <w:t xml:space="preserve"> propuesta de asignación de</w:t>
      </w:r>
      <w:r w:rsidRPr="005379A1">
        <w:rPr>
          <w:rFonts w:ascii="ITC Avant Garde" w:hAnsi="ITC Avant Garde"/>
          <w:sz w:val="22"/>
          <w:szCs w:val="22"/>
        </w:rPr>
        <w:t xml:space="preserve"> cobertura</w:t>
      </w:r>
      <w:r w:rsidR="00CF682F" w:rsidRPr="005379A1">
        <w:rPr>
          <w:rFonts w:ascii="ITC Avant Garde" w:hAnsi="ITC Avant Garde"/>
          <w:sz w:val="22"/>
          <w:szCs w:val="22"/>
        </w:rPr>
        <w:t xml:space="preserve"> por municipio y sus respectivos grupos de frecuencia en la banda de 400 MHz para Intercomunicación del Pacífico, S.A. de C.V.</w:t>
      </w:r>
      <w:r w:rsidRPr="005379A1">
        <w:rPr>
          <w:rFonts w:ascii="ITC Avant Garde" w:hAnsi="ITC Avant Garde"/>
          <w:sz w:val="22"/>
          <w:szCs w:val="22"/>
        </w:rPr>
        <w:t xml:space="preserve">, misma que se transcribe a continuación: </w:t>
      </w:r>
    </w:p>
    <w:p w14:paraId="22298FDF" w14:textId="01015EF9" w:rsidR="00812083" w:rsidRPr="005379A1" w:rsidRDefault="00812083" w:rsidP="005379A1">
      <w:pPr>
        <w:tabs>
          <w:tab w:val="num" w:pos="540"/>
        </w:tabs>
        <w:spacing w:before="240"/>
        <w:jc w:val="center"/>
        <w:rPr>
          <w:rFonts w:ascii="ITC Avant Garde" w:eastAsia="Calibri" w:hAnsi="ITC Avant Garde"/>
          <w:b/>
          <w:bCs/>
          <w:color w:val="000000"/>
          <w:sz w:val="22"/>
          <w:szCs w:val="22"/>
          <w:lang w:eastAsia="es-MX"/>
        </w:rPr>
      </w:pPr>
      <w:r w:rsidRPr="005379A1">
        <w:rPr>
          <w:rFonts w:ascii="ITC Avant Garde" w:eastAsia="Calibri" w:hAnsi="ITC Avant Garde"/>
          <w:b/>
          <w:bCs/>
          <w:color w:val="000000"/>
          <w:sz w:val="22"/>
          <w:szCs w:val="22"/>
          <w:lang w:eastAsia="es-MX"/>
        </w:rPr>
        <w:t>Tabla 1</w:t>
      </w:r>
    </w:p>
    <w:p w14:paraId="2F8125CB" w14:textId="77777777" w:rsidR="00812083" w:rsidRPr="005379A1" w:rsidRDefault="00812083" w:rsidP="005379A1">
      <w:pPr>
        <w:spacing w:before="240"/>
        <w:jc w:val="both"/>
        <w:rPr>
          <w:rFonts w:ascii="ITC Avant Garde" w:hAnsi="ITC Avant Garde"/>
          <w:sz w:val="22"/>
          <w:szCs w:val="22"/>
        </w:rPr>
      </w:pPr>
      <w:r w:rsidRPr="005379A1">
        <w:rPr>
          <w:rFonts w:ascii="ITC Avant Garde" w:hAnsi="ITC Avant Garde"/>
          <w:sz w:val="22"/>
          <w:szCs w:val="22"/>
        </w:rPr>
        <w:t>Asignación de cobertura por municipio y sus respectivos grupos de frecuencia en la banda de 400 MHz.</w:t>
      </w:r>
    </w:p>
    <w:p w14:paraId="6453E5CF" w14:textId="77777777" w:rsidR="00507DA0" w:rsidRPr="005379A1" w:rsidRDefault="00507DA0" w:rsidP="005379A1">
      <w:pPr>
        <w:spacing w:before="240"/>
        <w:jc w:val="both"/>
        <w:rPr>
          <w:rFonts w:ascii="ITC Avant Garde" w:hAnsi="ITC Avant Garde"/>
          <w:b/>
          <w:sz w:val="22"/>
          <w:szCs w:val="22"/>
        </w:rPr>
      </w:pPr>
    </w:p>
    <w:tbl>
      <w:tblPr>
        <w:tblStyle w:val="Cuadrculadetablaclara"/>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1"/>
        <w:tblDescription w:val="La tabla proporciona la asignación de cobertura por estado y municipio."/>
      </w:tblPr>
      <w:tblGrid>
        <w:gridCol w:w="2189"/>
        <w:gridCol w:w="1917"/>
        <w:gridCol w:w="3544"/>
        <w:gridCol w:w="1417"/>
      </w:tblGrid>
      <w:tr w:rsidR="001F6930" w:rsidRPr="005379A1" w14:paraId="71876642" w14:textId="77777777" w:rsidTr="005379A1">
        <w:trPr>
          <w:trHeight w:val="20"/>
          <w:tblHeader/>
          <w:jc w:val="center"/>
        </w:trPr>
        <w:tc>
          <w:tcPr>
            <w:tcW w:w="2189" w:type="dxa"/>
            <w:shd w:val="clear" w:color="auto" w:fill="A6A6A6" w:themeFill="background1" w:themeFillShade="A6"/>
            <w:vAlign w:val="center"/>
            <w:hideMark/>
          </w:tcPr>
          <w:p w14:paraId="1CE4FB58" w14:textId="77777777" w:rsidR="001F6930" w:rsidRPr="005379A1" w:rsidRDefault="001F6930" w:rsidP="001F6930">
            <w:pPr>
              <w:jc w:val="center"/>
              <w:rPr>
                <w:rFonts w:ascii="ITC Avant Garde" w:hAnsi="ITC Avant Garde"/>
                <w:b/>
                <w:color w:val="000000"/>
                <w:sz w:val="16"/>
                <w:szCs w:val="16"/>
                <w:lang w:eastAsia="es-MX"/>
              </w:rPr>
            </w:pPr>
            <w:r w:rsidRPr="005379A1">
              <w:rPr>
                <w:rFonts w:ascii="ITC Avant Garde" w:hAnsi="ITC Avant Garde"/>
                <w:b/>
                <w:color w:val="000000"/>
                <w:sz w:val="16"/>
                <w:szCs w:val="16"/>
                <w:lang w:eastAsia="es-MX"/>
              </w:rPr>
              <w:t>Concesionario</w:t>
            </w:r>
          </w:p>
        </w:tc>
        <w:tc>
          <w:tcPr>
            <w:tcW w:w="1917" w:type="dxa"/>
            <w:shd w:val="clear" w:color="auto" w:fill="A6A6A6" w:themeFill="background1" w:themeFillShade="A6"/>
            <w:vAlign w:val="center"/>
            <w:hideMark/>
          </w:tcPr>
          <w:p w14:paraId="178B239B" w14:textId="77777777" w:rsidR="001F6930" w:rsidRPr="005379A1" w:rsidRDefault="001F6930" w:rsidP="001F6930">
            <w:pPr>
              <w:jc w:val="center"/>
              <w:rPr>
                <w:rFonts w:ascii="ITC Avant Garde" w:hAnsi="ITC Avant Garde"/>
                <w:b/>
                <w:color w:val="000000"/>
                <w:sz w:val="16"/>
                <w:szCs w:val="16"/>
                <w:lang w:eastAsia="es-MX"/>
              </w:rPr>
            </w:pPr>
            <w:r w:rsidRPr="005379A1">
              <w:rPr>
                <w:rFonts w:ascii="ITC Avant Garde" w:hAnsi="ITC Avant Garde"/>
                <w:b/>
                <w:color w:val="000000"/>
                <w:sz w:val="16"/>
                <w:szCs w:val="16"/>
                <w:lang w:eastAsia="es-MX"/>
              </w:rPr>
              <w:t>Cobertura/Estado</w:t>
            </w:r>
          </w:p>
        </w:tc>
        <w:tc>
          <w:tcPr>
            <w:tcW w:w="3544" w:type="dxa"/>
            <w:shd w:val="clear" w:color="auto" w:fill="A6A6A6" w:themeFill="background1" w:themeFillShade="A6"/>
            <w:vAlign w:val="center"/>
            <w:hideMark/>
          </w:tcPr>
          <w:p w14:paraId="4FE1B378" w14:textId="77777777" w:rsidR="001F6930" w:rsidRPr="005379A1" w:rsidRDefault="001F6930" w:rsidP="001F6930">
            <w:pPr>
              <w:jc w:val="center"/>
              <w:rPr>
                <w:rFonts w:ascii="ITC Avant Garde" w:hAnsi="ITC Avant Garde"/>
                <w:b/>
                <w:color w:val="000000"/>
                <w:sz w:val="16"/>
                <w:szCs w:val="16"/>
                <w:lang w:eastAsia="es-MX"/>
              </w:rPr>
            </w:pPr>
            <w:r w:rsidRPr="005379A1">
              <w:rPr>
                <w:rFonts w:ascii="ITC Avant Garde" w:hAnsi="ITC Avant Garde"/>
                <w:b/>
                <w:color w:val="000000"/>
                <w:sz w:val="16"/>
                <w:szCs w:val="16"/>
                <w:lang w:eastAsia="es-MX"/>
              </w:rPr>
              <w:t>Cobertura/Municipios y Delegaciones</w:t>
            </w:r>
          </w:p>
        </w:tc>
        <w:tc>
          <w:tcPr>
            <w:tcW w:w="1417" w:type="dxa"/>
            <w:shd w:val="clear" w:color="auto" w:fill="A6A6A6" w:themeFill="background1" w:themeFillShade="A6"/>
            <w:vAlign w:val="center"/>
            <w:hideMark/>
          </w:tcPr>
          <w:p w14:paraId="20AEEB59" w14:textId="77777777" w:rsidR="001F6930" w:rsidRPr="005379A1" w:rsidRDefault="001F6930" w:rsidP="001F6930">
            <w:pPr>
              <w:jc w:val="center"/>
              <w:rPr>
                <w:rFonts w:ascii="ITC Avant Garde" w:hAnsi="ITC Avant Garde"/>
                <w:b/>
                <w:color w:val="000000"/>
                <w:sz w:val="16"/>
                <w:szCs w:val="16"/>
                <w:lang w:eastAsia="es-MX"/>
              </w:rPr>
            </w:pPr>
            <w:r w:rsidRPr="005379A1">
              <w:rPr>
                <w:rFonts w:ascii="ITC Avant Garde" w:hAnsi="ITC Avant Garde"/>
                <w:b/>
                <w:color w:val="000000"/>
                <w:sz w:val="16"/>
                <w:szCs w:val="16"/>
                <w:lang w:eastAsia="es-MX"/>
              </w:rPr>
              <w:t>Grupos de frecuencia asignados en la banda de 400 MHz</w:t>
            </w:r>
          </w:p>
        </w:tc>
      </w:tr>
      <w:tr w:rsidR="001F6930" w:rsidRPr="005379A1" w14:paraId="051387DE" w14:textId="77777777" w:rsidTr="005379A1">
        <w:trPr>
          <w:trHeight w:val="20"/>
          <w:jc w:val="center"/>
        </w:trPr>
        <w:tc>
          <w:tcPr>
            <w:tcW w:w="2189" w:type="dxa"/>
            <w:vAlign w:val="center"/>
            <w:hideMark/>
          </w:tcPr>
          <w:p w14:paraId="726AE344"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INTERCOMUNICACIÓN DEL PACÍFICO, S.A. DE C.V.</w:t>
            </w:r>
          </w:p>
        </w:tc>
        <w:tc>
          <w:tcPr>
            <w:tcW w:w="1917" w:type="dxa"/>
            <w:vAlign w:val="center"/>
            <w:hideMark/>
          </w:tcPr>
          <w:p w14:paraId="099D9A1F"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Ciudad de México</w:t>
            </w:r>
          </w:p>
        </w:tc>
        <w:tc>
          <w:tcPr>
            <w:tcW w:w="3544" w:type="dxa"/>
            <w:vAlign w:val="center"/>
            <w:hideMark/>
          </w:tcPr>
          <w:p w14:paraId="7E2E58D2"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Álvaro Obregón, Azcapotzalco, Benito Juárez, Cuajimalpa de Morelos, Coyoacán, Cuauhtémoc, Gustavo A. Madero, Iztacalco, Iztapalapa, La Magdalena Contreras, Miguel Hidalgo, Milpa Alta, Tláhuac, Tlalpan, Venustiano Carranza y Xochimilco.</w:t>
            </w:r>
          </w:p>
        </w:tc>
        <w:tc>
          <w:tcPr>
            <w:tcW w:w="1417" w:type="dxa"/>
            <w:vAlign w:val="center"/>
            <w:hideMark/>
          </w:tcPr>
          <w:p w14:paraId="53126E05"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39</w:t>
            </w:r>
          </w:p>
        </w:tc>
      </w:tr>
      <w:tr w:rsidR="001F6930" w:rsidRPr="005379A1" w14:paraId="509C2544" w14:textId="77777777" w:rsidTr="005379A1">
        <w:trPr>
          <w:trHeight w:val="20"/>
          <w:jc w:val="center"/>
        </w:trPr>
        <w:tc>
          <w:tcPr>
            <w:tcW w:w="2189" w:type="dxa"/>
            <w:vAlign w:val="center"/>
            <w:hideMark/>
          </w:tcPr>
          <w:p w14:paraId="594FFF27"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INTERCOMUNICACIÓN DEL PACÍFICO, S.A. DE C.V.</w:t>
            </w:r>
          </w:p>
        </w:tc>
        <w:tc>
          <w:tcPr>
            <w:tcW w:w="1917" w:type="dxa"/>
            <w:vAlign w:val="center"/>
            <w:hideMark/>
          </w:tcPr>
          <w:p w14:paraId="6CFC5B26" w14:textId="129659C0"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Estado de México</w:t>
            </w:r>
          </w:p>
        </w:tc>
        <w:tc>
          <w:tcPr>
            <w:tcW w:w="3544" w:type="dxa"/>
            <w:vAlign w:val="center"/>
            <w:hideMark/>
          </w:tcPr>
          <w:p w14:paraId="2841B4CC"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Tlalnepantla de Baz, Tultitlán, Cuautitlán Izcalli, </w:t>
            </w:r>
            <w:proofErr w:type="spellStart"/>
            <w:r w:rsidRPr="005379A1">
              <w:rPr>
                <w:rFonts w:ascii="ITC Avant Garde" w:hAnsi="ITC Avant Garde"/>
                <w:color w:val="000000"/>
                <w:sz w:val="16"/>
                <w:szCs w:val="16"/>
                <w:lang w:eastAsia="es-MX"/>
              </w:rPr>
              <w:t>Tepozotlán</w:t>
            </w:r>
            <w:proofErr w:type="spellEnd"/>
            <w:r w:rsidRPr="005379A1">
              <w:rPr>
                <w:rFonts w:ascii="ITC Avant Garde" w:hAnsi="ITC Avant Garde"/>
                <w:color w:val="000000"/>
                <w:sz w:val="16"/>
                <w:szCs w:val="16"/>
                <w:lang w:eastAsia="es-MX"/>
              </w:rPr>
              <w:t xml:space="preserve">, Teoloyucan, </w:t>
            </w:r>
            <w:proofErr w:type="spellStart"/>
            <w:r w:rsidRPr="005379A1">
              <w:rPr>
                <w:rFonts w:ascii="ITC Avant Garde" w:hAnsi="ITC Avant Garde"/>
                <w:color w:val="000000"/>
                <w:sz w:val="16"/>
                <w:szCs w:val="16"/>
                <w:lang w:eastAsia="es-MX"/>
              </w:rPr>
              <w:t>Coyotepec</w:t>
            </w:r>
            <w:proofErr w:type="spellEnd"/>
            <w:r w:rsidRPr="005379A1">
              <w:rPr>
                <w:rFonts w:ascii="ITC Avant Garde" w:hAnsi="ITC Avant Garde"/>
                <w:color w:val="000000"/>
                <w:sz w:val="16"/>
                <w:szCs w:val="16"/>
                <w:lang w:eastAsia="es-MX"/>
              </w:rPr>
              <w:t xml:space="preserve">, Huehuetoca, Jilotepec, </w:t>
            </w:r>
            <w:proofErr w:type="spellStart"/>
            <w:r w:rsidRPr="005379A1">
              <w:rPr>
                <w:rFonts w:ascii="ITC Avant Garde" w:hAnsi="ITC Avant Garde"/>
                <w:color w:val="000000"/>
                <w:sz w:val="16"/>
                <w:szCs w:val="16"/>
                <w:lang w:eastAsia="es-MX"/>
              </w:rPr>
              <w:t>Soyaniquilpan</w:t>
            </w:r>
            <w:proofErr w:type="spellEnd"/>
            <w:r w:rsidRPr="005379A1">
              <w:rPr>
                <w:rFonts w:ascii="ITC Avant Garde" w:hAnsi="ITC Avant Garde"/>
                <w:color w:val="000000"/>
                <w:sz w:val="16"/>
                <w:szCs w:val="16"/>
                <w:lang w:eastAsia="es-MX"/>
              </w:rPr>
              <w:t xml:space="preserve"> de Juárez, Aculco y </w:t>
            </w:r>
            <w:proofErr w:type="spellStart"/>
            <w:r w:rsidRPr="005379A1">
              <w:rPr>
                <w:rFonts w:ascii="ITC Avant Garde" w:hAnsi="ITC Avant Garde"/>
                <w:color w:val="000000"/>
                <w:sz w:val="16"/>
                <w:szCs w:val="16"/>
                <w:lang w:eastAsia="es-MX"/>
              </w:rPr>
              <w:t>Polotitlán</w:t>
            </w:r>
            <w:proofErr w:type="spellEnd"/>
            <w:r w:rsidRPr="005379A1">
              <w:rPr>
                <w:rFonts w:ascii="ITC Avant Garde" w:hAnsi="ITC Avant Garde"/>
                <w:color w:val="000000"/>
                <w:sz w:val="16"/>
                <w:szCs w:val="16"/>
                <w:lang w:eastAsia="es-MX"/>
              </w:rPr>
              <w:t>.</w:t>
            </w:r>
          </w:p>
        </w:tc>
        <w:tc>
          <w:tcPr>
            <w:tcW w:w="1417" w:type="dxa"/>
            <w:vAlign w:val="center"/>
            <w:hideMark/>
          </w:tcPr>
          <w:p w14:paraId="7BC1B07A"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39</w:t>
            </w:r>
          </w:p>
        </w:tc>
      </w:tr>
      <w:tr w:rsidR="001F6930" w:rsidRPr="005379A1" w14:paraId="072B34D9" w14:textId="77777777" w:rsidTr="005379A1">
        <w:trPr>
          <w:trHeight w:val="20"/>
          <w:jc w:val="center"/>
        </w:trPr>
        <w:tc>
          <w:tcPr>
            <w:tcW w:w="2189" w:type="dxa"/>
            <w:vAlign w:val="center"/>
            <w:hideMark/>
          </w:tcPr>
          <w:p w14:paraId="114E7FBE"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lastRenderedPageBreak/>
              <w:t>INTERCOMUNICACIÓN DEL PACÍFICO, S.A. DE C.V.</w:t>
            </w:r>
          </w:p>
        </w:tc>
        <w:tc>
          <w:tcPr>
            <w:tcW w:w="1917" w:type="dxa"/>
            <w:vAlign w:val="center"/>
            <w:hideMark/>
          </w:tcPr>
          <w:p w14:paraId="0B874DEE"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Hidalgo</w:t>
            </w:r>
          </w:p>
        </w:tc>
        <w:tc>
          <w:tcPr>
            <w:tcW w:w="3544" w:type="dxa"/>
            <w:vAlign w:val="center"/>
            <w:hideMark/>
          </w:tcPr>
          <w:p w14:paraId="60C555E3"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Tepeji del Río de Ocampo.</w:t>
            </w:r>
          </w:p>
        </w:tc>
        <w:tc>
          <w:tcPr>
            <w:tcW w:w="1417" w:type="dxa"/>
            <w:vAlign w:val="center"/>
            <w:hideMark/>
          </w:tcPr>
          <w:p w14:paraId="0D7CC8AC"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39</w:t>
            </w:r>
          </w:p>
        </w:tc>
      </w:tr>
      <w:tr w:rsidR="001F6930" w:rsidRPr="005379A1" w14:paraId="7D18F5C8" w14:textId="77777777" w:rsidTr="005379A1">
        <w:trPr>
          <w:trHeight w:val="20"/>
          <w:jc w:val="center"/>
        </w:trPr>
        <w:tc>
          <w:tcPr>
            <w:tcW w:w="2189" w:type="dxa"/>
            <w:vAlign w:val="center"/>
            <w:hideMark/>
          </w:tcPr>
          <w:p w14:paraId="1F970B74"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INTERCOMUNICACIÓN DEL PACÍFICO, S.A. DE C.V.</w:t>
            </w:r>
          </w:p>
        </w:tc>
        <w:tc>
          <w:tcPr>
            <w:tcW w:w="1917" w:type="dxa"/>
            <w:vAlign w:val="center"/>
            <w:hideMark/>
          </w:tcPr>
          <w:p w14:paraId="009F1179"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Querétaro</w:t>
            </w:r>
          </w:p>
        </w:tc>
        <w:tc>
          <w:tcPr>
            <w:tcW w:w="3544" w:type="dxa"/>
            <w:vAlign w:val="center"/>
            <w:hideMark/>
          </w:tcPr>
          <w:p w14:paraId="716E0880"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San Juan del Río, Pedro Escobedo, El Marqués, Querétaro y Corregidora.</w:t>
            </w:r>
          </w:p>
        </w:tc>
        <w:tc>
          <w:tcPr>
            <w:tcW w:w="1417" w:type="dxa"/>
            <w:vAlign w:val="center"/>
            <w:hideMark/>
          </w:tcPr>
          <w:p w14:paraId="25490386"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35, 36, 37, 38 y 39</w:t>
            </w:r>
          </w:p>
        </w:tc>
      </w:tr>
      <w:tr w:rsidR="001F6930" w:rsidRPr="005379A1" w14:paraId="2F16DAC8" w14:textId="77777777" w:rsidTr="005379A1">
        <w:trPr>
          <w:trHeight w:val="20"/>
          <w:jc w:val="center"/>
        </w:trPr>
        <w:tc>
          <w:tcPr>
            <w:tcW w:w="2189" w:type="dxa"/>
            <w:vAlign w:val="center"/>
            <w:hideMark/>
          </w:tcPr>
          <w:p w14:paraId="4199EC26"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INTERCOMUNICACIÓN DEL PACÍFICO, S.A. DE C.V.</w:t>
            </w:r>
          </w:p>
        </w:tc>
        <w:tc>
          <w:tcPr>
            <w:tcW w:w="1917" w:type="dxa"/>
            <w:vAlign w:val="center"/>
            <w:hideMark/>
          </w:tcPr>
          <w:p w14:paraId="49053643"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Guanajuato</w:t>
            </w:r>
          </w:p>
        </w:tc>
        <w:tc>
          <w:tcPr>
            <w:tcW w:w="3544" w:type="dxa"/>
            <w:vAlign w:val="center"/>
            <w:hideMark/>
          </w:tcPr>
          <w:p w14:paraId="67FF749D"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Apaseo el Grande, Celaya, </w:t>
            </w:r>
            <w:proofErr w:type="spellStart"/>
            <w:r w:rsidRPr="005379A1">
              <w:rPr>
                <w:rFonts w:ascii="ITC Avant Garde" w:hAnsi="ITC Avant Garde"/>
                <w:color w:val="000000"/>
                <w:sz w:val="16"/>
                <w:szCs w:val="16"/>
                <w:lang w:eastAsia="es-MX"/>
              </w:rPr>
              <w:t>Cortazar</w:t>
            </w:r>
            <w:proofErr w:type="spellEnd"/>
            <w:r w:rsidRPr="005379A1">
              <w:rPr>
                <w:rFonts w:ascii="ITC Avant Garde" w:hAnsi="ITC Avant Garde"/>
                <w:color w:val="000000"/>
                <w:sz w:val="16"/>
                <w:szCs w:val="16"/>
                <w:lang w:eastAsia="es-MX"/>
              </w:rPr>
              <w:t>, Villagrán, Salamanca, Irapuato, Guanajuato, Silao y León.</w:t>
            </w:r>
          </w:p>
        </w:tc>
        <w:tc>
          <w:tcPr>
            <w:tcW w:w="1417" w:type="dxa"/>
            <w:vAlign w:val="center"/>
            <w:hideMark/>
          </w:tcPr>
          <w:p w14:paraId="4E29A7CA"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35, 36, 37, 38 y 39</w:t>
            </w:r>
          </w:p>
        </w:tc>
      </w:tr>
      <w:tr w:rsidR="001F6930" w:rsidRPr="005379A1" w14:paraId="1DFCCA1A" w14:textId="77777777" w:rsidTr="005379A1">
        <w:trPr>
          <w:trHeight w:val="20"/>
          <w:jc w:val="center"/>
        </w:trPr>
        <w:tc>
          <w:tcPr>
            <w:tcW w:w="2189" w:type="dxa"/>
            <w:vAlign w:val="center"/>
            <w:hideMark/>
          </w:tcPr>
          <w:p w14:paraId="1AD401CD"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INTERCOMUNICACIÓN DEL PACÍFICO, S.A. DE C.V.</w:t>
            </w:r>
          </w:p>
        </w:tc>
        <w:tc>
          <w:tcPr>
            <w:tcW w:w="1917" w:type="dxa"/>
            <w:vAlign w:val="center"/>
            <w:hideMark/>
          </w:tcPr>
          <w:p w14:paraId="5255D277"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Jalisco</w:t>
            </w:r>
          </w:p>
        </w:tc>
        <w:tc>
          <w:tcPr>
            <w:tcW w:w="3544" w:type="dxa"/>
            <w:vAlign w:val="center"/>
            <w:hideMark/>
          </w:tcPr>
          <w:p w14:paraId="4177F386"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Lagos de Moreno y Encarnación de Díaz.</w:t>
            </w:r>
          </w:p>
        </w:tc>
        <w:tc>
          <w:tcPr>
            <w:tcW w:w="1417" w:type="dxa"/>
            <w:vAlign w:val="center"/>
            <w:hideMark/>
          </w:tcPr>
          <w:p w14:paraId="31C642C8"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35, 36, 37, 38 y 39</w:t>
            </w:r>
          </w:p>
        </w:tc>
      </w:tr>
      <w:tr w:rsidR="001F6930" w:rsidRPr="005379A1" w14:paraId="771C2D92" w14:textId="77777777" w:rsidTr="005379A1">
        <w:trPr>
          <w:trHeight w:val="20"/>
          <w:jc w:val="center"/>
        </w:trPr>
        <w:tc>
          <w:tcPr>
            <w:tcW w:w="2189" w:type="dxa"/>
            <w:vAlign w:val="center"/>
            <w:hideMark/>
          </w:tcPr>
          <w:p w14:paraId="05E1F9F3"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INTERCOMUNICACIÓN DEL PACÍFICO, S.A. DE C.V.</w:t>
            </w:r>
          </w:p>
        </w:tc>
        <w:tc>
          <w:tcPr>
            <w:tcW w:w="1917" w:type="dxa"/>
            <w:vAlign w:val="center"/>
            <w:hideMark/>
          </w:tcPr>
          <w:p w14:paraId="493EA316"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Jalisco</w:t>
            </w:r>
          </w:p>
        </w:tc>
        <w:tc>
          <w:tcPr>
            <w:tcW w:w="3544" w:type="dxa"/>
            <w:vAlign w:val="center"/>
            <w:hideMark/>
          </w:tcPr>
          <w:p w14:paraId="03036B99" w14:textId="77777777" w:rsidR="001F6930" w:rsidRPr="005379A1" w:rsidRDefault="001F6930" w:rsidP="001F6930">
            <w:pPr>
              <w:jc w:val="center"/>
              <w:rPr>
                <w:rFonts w:ascii="ITC Avant Garde" w:hAnsi="ITC Avant Garde"/>
                <w:color w:val="000000"/>
                <w:sz w:val="16"/>
                <w:szCs w:val="16"/>
                <w:lang w:eastAsia="es-MX"/>
              </w:rPr>
            </w:pPr>
            <w:proofErr w:type="spellStart"/>
            <w:r w:rsidRPr="005379A1">
              <w:rPr>
                <w:rFonts w:ascii="ITC Avant Garde" w:hAnsi="ITC Avant Garde"/>
                <w:color w:val="000000"/>
                <w:sz w:val="16"/>
                <w:szCs w:val="16"/>
                <w:lang w:eastAsia="es-MX"/>
              </w:rPr>
              <w:t>Tonila</w:t>
            </w:r>
            <w:proofErr w:type="spellEnd"/>
            <w:r w:rsidRPr="005379A1">
              <w:rPr>
                <w:rFonts w:ascii="ITC Avant Garde" w:hAnsi="ITC Avant Garde"/>
                <w:color w:val="000000"/>
                <w:sz w:val="16"/>
                <w:szCs w:val="16"/>
                <w:lang w:eastAsia="es-MX"/>
              </w:rPr>
              <w:t xml:space="preserve">, Tuxpan, </w:t>
            </w:r>
            <w:proofErr w:type="spellStart"/>
            <w:r w:rsidRPr="005379A1">
              <w:rPr>
                <w:rFonts w:ascii="ITC Avant Garde" w:hAnsi="ITC Avant Garde"/>
                <w:color w:val="000000"/>
                <w:sz w:val="16"/>
                <w:szCs w:val="16"/>
                <w:lang w:eastAsia="es-MX"/>
              </w:rPr>
              <w:t>Zapotiltic</w:t>
            </w:r>
            <w:proofErr w:type="spellEnd"/>
            <w:r w:rsidRPr="005379A1">
              <w:rPr>
                <w:rFonts w:ascii="ITC Avant Garde" w:hAnsi="ITC Avant Garde"/>
                <w:color w:val="000000"/>
                <w:sz w:val="16"/>
                <w:szCs w:val="16"/>
                <w:lang w:eastAsia="es-MX"/>
              </w:rPr>
              <w:t xml:space="preserve">, Zapotlán el Grande, Gómez Farías, Sayula, Atoyac, </w:t>
            </w:r>
            <w:proofErr w:type="spellStart"/>
            <w:r w:rsidRPr="005379A1">
              <w:rPr>
                <w:rFonts w:ascii="ITC Avant Garde" w:hAnsi="ITC Avant Garde"/>
                <w:color w:val="000000"/>
                <w:sz w:val="16"/>
                <w:szCs w:val="16"/>
                <w:lang w:eastAsia="es-MX"/>
              </w:rPr>
              <w:t>Zacoalco</w:t>
            </w:r>
            <w:proofErr w:type="spellEnd"/>
            <w:r w:rsidRPr="005379A1">
              <w:rPr>
                <w:rFonts w:ascii="ITC Avant Garde" w:hAnsi="ITC Avant Garde"/>
                <w:color w:val="000000"/>
                <w:sz w:val="16"/>
                <w:szCs w:val="16"/>
                <w:lang w:eastAsia="es-MX"/>
              </w:rPr>
              <w:t xml:space="preserve"> de Torres, Acatlán de Juárez, Tlajomulco de Zúñiga, Zapopan, Tlaquepaque y Guadalajara.</w:t>
            </w:r>
          </w:p>
        </w:tc>
        <w:tc>
          <w:tcPr>
            <w:tcW w:w="1417" w:type="dxa"/>
            <w:vAlign w:val="center"/>
            <w:hideMark/>
          </w:tcPr>
          <w:p w14:paraId="35436F93"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21, 22, 23 y 24</w:t>
            </w:r>
          </w:p>
        </w:tc>
      </w:tr>
      <w:tr w:rsidR="001F6930" w:rsidRPr="005379A1" w14:paraId="604EDE03" w14:textId="77777777" w:rsidTr="005379A1">
        <w:trPr>
          <w:trHeight w:val="20"/>
          <w:jc w:val="center"/>
        </w:trPr>
        <w:tc>
          <w:tcPr>
            <w:tcW w:w="2189" w:type="dxa"/>
            <w:vAlign w:val="center"/>
            <w:hideMark/>
          </w:tcPr>
          <w:p w14:paraId="0F0D42B6"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INTERCOMUNICACIÓN DEL PACÍFICO, S.A. DE C.V.</w:t>
            </w:r>
          </w:p>
        </w:tc>
        <w:tc>
          <w:tcPr>
            <w:tcW w:w="1917" w:type="dxa"/>
            <w:vAlign w:val="center"/>
            <w:hideMark/>
          </w:tcPr>
          <w:p w14:paraId="0AC4FF96"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Aguascalientes</w:t>
            </w:r>
          </w:p>
        </w:tc>
        <w:tc>
          <w:tcPr>
            <w:tcW w:w="3544" w:type="dxa"/>
            <w:vAlign w:val="center"/>
            <w:hideMark/>
          </w:tcPr>
          <w:p w14:paraId="428DCB33"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Aguascalientes, Jesús María, San Francisco de los Romo, Pabellón de Arteaga, Rincón de Romos y Cosío.</w:t>
            </w:r>
          </w:p>
        </w:tc>
        <w:tc>
          <w:tcPr>
            <w:tcW w:w="1417" w:type="dxa"/>
            <w:vAlign w:val="center"/>
            <w:hideMark/>
          </w:tcPr>
          <w:p w14:paraId="54B935B9"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35, 36, 37, 38 y 39</w:t>
            </w:r>
          </w:p>
        </w:tc>
      </w:tr>
      <w:tr w:rsidR="001F6930" w:rsidRPr="005379A1" w14:paraId="3357D6AC" w14:textId="77777777" w:rsidTr="005379A1">
        <w:trPr>
          <w:trHeight w:val="20"/>
          <w:jc w:val="center"/>
        </w:trPr>
        <w:tc>
          <w:tcPr>
            <w:tcW w:w="2189" w:type="dxa"/>
            <w:vAlign w:val="center"/>
            <w:hideMark/>
          </w:tcPr>
          <w:p w14:paraId="4CA7F0D5"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INTERCOMUNICACIÓN DEL PACÍFICO, S.A. DE C.V.</w:t>
            </w:r>
          </w:p>
        </w:tc>
        <w:tc>
          <w:tcPr>
            <w:tcW w:w="1917" w:type="dxa"/>
            <w:vAlign w:val="center"/>
            <w:hideMark/>
          </w:tcPr>
          <w:p w14:paraId="61CEE9C1"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Zacatecas</w:t>
            </w:r>
          </w:p>
        </w:tc>
        <w:tc>
          <w:tcPr>
            <w:tcW w:w="3544" w:type="dxa"/>
            <w:vAlign w:val="center"/>
            <w:hideMark/>
          </w:tcPr>
          <w:p w14:paraId="59EA6ACD"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Luis Moya, </w:t>
            </w:r>
            <w:proofErr w:type="spellStart"/>
            <w:r w:rsidRPr="005379A1">
              <w:rPr>
                <w:rFonts w:ascii="ITC Avant Garde" w:hAnsi="ITC Avant Garde"/>
                <w:color w:val="000000"/>
                <w:sz w:val="16"/>
                <w:szCs w:val="16"/>
                <w:lang w:eastAsia="es-MX"/>
              </w:rPr>
              <w:t>Ojocaliente</w:t>
            </w:r>
            <w:proofErr w:type="spellEnd"/>
            <w:r w:rsidRPr="005379A1">
              <w:rPr>
                <w:rFonts w:ascii="ITC Avant Garde" w:hAnsi="ITC Avant Garde"/>
                <w:color w:val="000000"/>
                <w:sz w:val="16"/>
                <w:szCs w:val="16"/>
                <w:lang w:eastAsia="es-MX"/>
              </w:rPr>
              <w:t xml:space="preserve">, </w:t>
            </w:r>
            <w:proofErr w:type="spellStart"/>
            <w:r w:rsidRPr="005379A1">
              <w:rPr>
                <w:rFonts w:ascii="ITC Avant Garde" w:hAnsi="ITC Avant Garde"/>
                <w:color w:val="000000"/>
                <w:sz w:val="16"/>
                <w:szCs w:val="16"/>
                <w:lang w:eastAsia="es-MX"/>
              </w:rPr>
              <w:t>Trancoso</w:t>
            </w:r>
            <w:proofErr w:type="spellEnd"/>
            <w:r w:rsidRPr="005379A1">
              <w:rPr>
                <w:rFonts w:ascii="ITC Avant Garde" w:hAnsi="ITC Avant Garde"/>
                <w:color w:val="000000"/>
                <w:sz w:val="16"/>
                <w:szCs w:val="16"/>
                <w:lang w:eastAsia="es-MX"/>
              </w:rPr>
              <w:t xml:space="preserve">, Guadalupe, Zacatecas, Morelos, Calera, General Enrique Estrada, Fresnillo, </w:t>
            </w:r>
            <w:proofErr w:type="spellStart"/>
            <w:r w:rsidRPr="005379A1">
              <w:rPr>
                <w:rFonts w:ascii="ITC Avant Garde" w:hAnsi="ITC Avant Garde"/>
                <w:color w:val="000000"/>
                <w:sz w:val="16"/>
                <w:szCs w:val="16"/>
                <w:lang w:eastAsia="es-MX"/>
              </w:rPr>
              <w:t>Sain</w:t>
            </w:r>
            <w:proofErr w:type="spellEnd"/>
            <w:r w:rsidRPr="005379A1">
              <w:rPr>
                <w:rFonts w:ascii="ITC Avant Garde" w:hAnsi="ITC Avant Garde"/>
                <w:color w:val="000000"/>
                <w:sz w:val="16"/>
                <w:szCs w:val="16"/>
                <w:lang w:eastAsia="es-MX"/>
              </w:rPr>
              <w:t xml:space="preserve"> Alto y Sombrerete.</w:t>
            </w:r>
          </w:p>
        </w:tc>
        <w:tc>
          <w:tcPr>
            <w:tcW w:w="1417" w:type="dxa"/>
            <w:vAlign w:val="center"/>
            <w:hideMark/>
          </w:tcPr>
          <w:p w14:paraId="11102493"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35, 36, 37, 38 y 39</w:t>
            </w:r>
          </w:p>
        </w:tc>
      </w:tr>
      <w:tr w:rsidR="001F6930" w:rsidRPr="005379A1" w14:paraId="090CE594" w14:textId="77777777" w:rsidTr="005379A1">
        <w:trPr>
          <w:trHeight w:val="20"/>
          <w:jc w:val="center"/>
        </w:trPr>
        <w:tc>
          <w:tcPr>
            <w:tcW w:w="2189" w:type="dxa"/>
            <w:vAlign w:val="center"/>
            <w:hideMark/>
          </w:tcPr>
          <w:p w14:paraId="4BD351F6"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INTERCOMUNICACIÓN DEL PACÍFICO, S.A. DE C.V.</w:t>
            </w:r>
          </w:p>
        </w:tc>
        <w:tc>
          <w:tcPr>
            <w:tcW w:w="1917" w:type="dxa"/>
            <w:vAlign w:val="center"/>
            <w:hideMark/>
          </w:tcPr>
          <w:p w14:paraId="04FC1D2B"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Durango</w:t>
            </w:r>
          </w:p>
        </w:tc>
        <w:tc>
          <w:tcPr>
            <w:tcW w:w="3544" w:type="dxa"/>
            <w:vAlign w:val="center"/>
            <w:hideMark/>
          </w:tcPr>
          <w:p w14:paraId="56F7A315"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Vicente Guerrero, Nombre de Dios, Durango, </w:t>
            </w:r>
            <w:proofErr w:type="spellStart"/>
            <w:r w:rsidRPr="005379A1">
              <w:rPr>
                <w:rFonts w:ascii="ITC Avant Garde" w:hAnsi="ITC Avant Garde"/>
                <w:color w:val="000000"/>
                <w:sz w:val="16"/>
                <w:szCs w:val="16"/>
                <w:lang w:eastAsia="es-MX"/>
              </w:rPr>
              <w:t>Canatlán</w:t>
            </w:r>
            <w:proofErr w:type="spellEnd"/>
            <w:r w:rsidRPr="005379A1">
              <w:rPr>
                <w:rFonts w:ascii="ITC Avant Garde" w:hAnsi="ITC Avant Garde"/>
                <w:color w:val="000000"/>
                <w:sz w:val="16"/>
                <w:szCs w:val="16"/>
                <w:lang w:eastAsia="es-MX"/>
              </w:rPr>
              <w:t>, San Juan del Río, Rodeo, San Pedro del Gallo, Hidalgo y Ocampo.</w:t>
            </w:r>
          </w:p>
        </w:tc>
        <w:tc>
          <w:tcPr>
            <w:tcW w:w="1417" w:type="dxa"/>
            <w:vAlign w:val="center"/>
            <w:hideMark/>
          </w:tcPr>
          <w:p w14:paraId="753839C3"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35, 36, 37, 38 y 39</w:t>
            </w:r>
          </w:p>
        </w:tc>
      </w:tr>
      <w:tr w:rsidR="001F6930" w:rsidRPr="005379A1" w14:paraId="6BBC8F7F" w14:textId="77777777" w:rsidTr="005379A1">
        <w:trPr>
          <w:trHeight w:val="20"/>
          <w:jc w:val="center"/>
        </w:trPr>
        <w:tc>
          <w:tcPr>
            <w:tcW w:w="2189" w:type="dxa"/>
            <w:vAlign w:val="center"/>
            <w:hideMark/>
          </w:tcPr>
          <w:p w14:paraId="4ED01C6E"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INTERCOMUNICACIÓN DEL PACÍFICO, S.A. DE C.V.</w:t>
            </w:r>
          </w:p>
        </w:tc>
        <w:tc>
          <w:tcPr>
            <w:tcW w:w="1917" w:type="dxa"/>
            <w:vAlign w:val="center"/>
            <w:hideMark/>
          </w:tcPr>
          <w:p w14:paraId="20DF949C"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Chihuahua</w:t>
            </w:r>
          </w:p>
        </w:tc>
        <w:tc>
          <w:tcPr>
            <w:tcW w:w="3544" w:type="dxa"/>
            <w:vAlign w:val="center"/>
            <w:hideMark/>
          </w:tcPr>
          <w:p w14:paraId="3C54E6AF"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Matamoros, Hidalgo del Parral, Allende</w:t>
            </w:r>
          </w:p>
        </w:tc>
        <w:tc>
          <w:tcPr>
            <w:tcW w:w="1417" w:type="dxa"/>
            <w:vAlign w:val="center"/>
            <w:hideMark/>
          </w:tcPr>
          <w:p w14:paraId="2022A264"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9, 10, 11, 12 y 13</w:t>
            </w:r>
          </w:p>
        </w:tc>
      </w:tr>
      <w:tr w:rsidR="001F6930" w:rsidRPr="005379A1" w14:paraId="0D134E17" w14:textId="77777777" w:rsidTr="005379A1">
        <w:trPr>
          <w:trHeight w:val="20"/>
          <w:jc w:val="center"/>
        </w:trPr>
        <w:tc>
          <w:tcPr>
            <w:tcW w:w="2189" w:type="dxa"/>
            <w:vAlign w:val="center"/>
            <w:hideMark/>
          </w:tcPr>
          <w:p w14:paraId="3BD9EBAE"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INTERCOMUNICACIÓN DEL PACÍFICO, S.A. DE C.V.</w:t>
            </w:r>
          </w:p>
        </w:tc>
        <w:tc>
          <w:tcPr>
            <w:tcW w:w="1917" w:type="dxa"/>
            <w:vAlign w:val="center"/>
            <w:hideMark/>
          </w:tcPr>
          <w:p w14:paraId="32334575"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Chihuahua</w:t>
            </w:r>
          </w:p>
        </w:tc>
        <w:tc>
          <w:tcPr>
            <w:tcW w:w="3544" w:type="dxa"/>
            <w:vAlign w:val="center"/>
            <w:hideMark/>
          </w:tcPr>
          <w:p w14:paraId="73FC6BC6"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López, Jiménez, Camargo, La Cruz, Saucillo, Delicias, </w:t>
            </w:r>
            <w:proofErr w:type="spellStart"/>
            <w:r w:rsidRPr="005379A1">
              <w:rPr>
                <w:rFonts w:ascii="ITC Avant Garde" w:hAnsi="ITC Avant Garde"/>
                <w:color w:val="000000"/>
                <w:sz w:val="16"/>
                <w:szCs w:val="16"/>
                <w:lang w:eastAsia="es-MX"/>
              </w:rPr>
              <w:t>Meoqui</w:t>
            </w:r>
            <w:proofErr w:type="spellEnd"/>
            <w:r w:rsidRPr="005379A1">
              <w:rPr>
                <w:rFonts w:ascii="ITC Avant Garde" w:hAnsi="ITC Avant Garde"/>
                <w:color w:val="000000"/>
                <w:sz w:val="16"/>
                <w:szCs w:val="16"/>
                <w:lang w:eastAsia="es-MX"/>
              </w:rPr>
              <w:t>, Rosales, Aquiles Serdán, Chihuahua, Ahumada y Juárez.</w:t>
            </w:r>
          </w:p>
        </w:tc>
        <w:tc>
          <w:tcPr>
            <w:tcW w:w="1417" w:type="dxa"/>
            <w:vAlign w:val="center"/>
            <w:hideMark/>
          </w:tcPr>
          <w:p w14:paraId="35BF75B4"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9, 10, 11, 12 y 13</w:t>
            </w:r>
          </w:p>
        </w:tc>
      </w:tr>
      <w:tr w:rsidR="001F6930" w:rsidRPr="005379A1" w14:paraId="3474D54C" w14:textId="77777777" w:rsidTr="005379A1">
        <w:trPr>
          <w:trHeight w:val="20"/>
          <w:jc w:val="center"/>
        </w:trPr>
        <w:tc>
          <w:tcPr>
            <w:tcW w:w="2189" w:type="dxa"/>
            <w:vAlign w:val="center"/>
            <w:hideMark/>
          </w:tcPr>
          <w:p w14:paraId="38A777B6"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INTERCOMUNICACIÓN DEL PACÍFICO, S.A. DE C.V.</w:t>
            </w:r>
          </w:p>
        </w:tc>
        <w:tc>
          <w:tcPr>
            <w:tcW w:w="1917" w:type="dxa"/>
            <w:vAlign w:val="center"/>
            <w:hideMark/>
          </w:tcPr>
          <w:p w14:paraId="0BA8532B"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Colima</w:t>
            </w:r>
          </w:p>
        </w:tc>
        <w:tc>
          <w:tcPr>
            <w:tcW w:w="3544" w:type="dxa"/>
            <w:vAlign w:val="center"/>
            <w:hideMark/>
          </w:tcPr>
          <w:p w14:paraId="538B4820"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Manzanillo, Armería, Tecomán, Colima y Cuauhtémoc.</w:t>
            </w:r>
          </w:p>
        </w:tc>
        <w:tc>
          <w:tcPr>
            <w:tcW w:w="1417" w:type="dxa"/>
            <w:vAlign w:val="center"/>
            <w:hideMark/>
          </w:tcPr>
          <w:p w14:paraId="215AD39C" w14:textId="77777777" w:rsidR="001F6930" w:rsidRPr="005379A1" w:rsidRDefault="001F6930" w:rsidP="001F6930">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21, 22, 23 y 24</w:t>
            </w:r>
          </w:p>
        </w:tc>
      </w:tr>
    </w:tbl>
    <w:p w14:paraId="03107140" w14:textId="77777777" w:rsidR="001C6AEE" w:rsidRPr="005379A1" w:rsidRDefault="001C6AEE" w:rsidP="00351D84">
      <w:pPr>
        <w:jc w:val="both"/>
        <w:rPr>
          <w:rFonts w:ascii="ITC Avant Garde" w:hAnsi="ITC Avant Garde"/>
          <w:sz w:val="22"/>
          <w:szCs w:val="22"/>
        </w:rPr>
      </w:pPr>
    </w:p>
    <w:p w14:paraId="19BBE175" w14:textId="77777777" w:rsidR="001C6AEE" w:rsidRPr="005379A1" w:rsidRDefault="00351D84" w:rsidP="005379A1">
      <w:pPr>
        <w:spacing w:after="240"/>
        <w:jc w:val="both"/>
        <w:rPr>
          <w:rFonts w:ascii="ITC Avant Garde" w:hAnsi="ITC Avant Garde"/>
          <w:sz w:val="22"/>
          <w:szCs w:val="22"/>
        </w:rPr>
      </w:pPr>
      <w:r w:rsidRPr="005379A1">
        <w:rPr>
          <w:rFonts w:ascii="ITC Avant Garde" w:hAnsi="ITC Avant Garde"/>
          <w:sz w:val="22"/>
          <w:szCs w:val="22"/>
        </w:rPr>
        <w:t xml:space="preserve">Por lo que respecta a la asignación de los pares de frecuencias, la Dirección General de Ingeniería del Espectro y Estudios Técnicos, remitió dos canalizaciones de la banda con anchos de banda por canal de 25 kHz y 12.5 kHz, recomendando que se adoptara esta última </w:t>
      </w:r>
      <w:r w:rsidR="00CF682F" w:rsidRPr="005379A1">
        <w:rPr>
          <w:rFonts w:ascii="ITC Avant Garde" w:hAnsi="ITC Avant Garde"/>
          <w:sz w:val="22"/>
          <w:szCs w:val="22"/>
        </w:rPr>
        <w:t>pues propicia un uso más</w:t>
      </w:r>
      <w:r w:rsidRPr="005379A1">
        <w:rPr>
          <w:rFonts w:ascii="ITC Avant Garde" w:hAnsi="ITC Avant Garde"/>
          <w:sz w:val="22"/>
          <w:szCs w:val="22"/>
        </w:rPr>
        <w:t xml:space="preserve"> eficiente del espectro. Asimismo, las canalizaciones propuestas permiten la flexibilidad de operar en dos canales contiguos de 12.5 kHz, lo cual es equivalente a un canal de 25 kHz, situación que respeta la canalización de 25 kHz con que actualmente operan otros concesionarios comerciales y públicos en la misma banda de frecuencias. </w:t>
      </w:r>
    </w:p>
    <w:p w14:paraId="3BBE5947" w14:textId="77777777" w:rsidR="001C6AEE" w:rsidRPr="005379A1" w:rsidRDefault="00351D84" w:rsidP="005379A1">
      <w:pPr>
        <w:spacing w:after="240"/>
        <w:jc w:val="both"/>
        <w:rPr>
          <w:rFonts w:ascii="ITC Avant Garde" w:hAnsi="ITC Avant Garde"/>
          <w:sz w:val="22"/>
          <w:szCs w:val="22"/>
        </w:rPr>
      </w:pPr>
      <w:r w:rsidRPr="005379A1">
        <w:rPr>
          <w:rFonts w:ascii="ITC Avant Garde" w:hAnsi="ITC Avant Garde"/>
          <w:sz w:val="22"/>
          <w:szCs w:val="22"/>
        </w:rPr>
        <w:t>Derivado de lo anterior, y con base en el principio de neutralidad tecnológica, este Pleno considera que las frecuencias que se asignen como consecuencia de la Solicitud de Prórroga deberán contemplar canales con un ancho de banda de 12.5 kHz o bien de 25 kHz, conforme a las canalizaciones definidas en las siguientes tablas:</w:t>
      </w:r>
    </w:p>
    <w:p w14:paraId="7D6F1F0D" w14:textId="57C500D9" w:rsidR="00812083" w:rsidRPr="005379A1" w:rsidRDefault="00812083" w:rsidP="00812083">
      <w:pPr>
        <w:jc w:val="center"/>
        <w:rPr>
          <w:rFonts w:ascii="ITC Avant Garde" w:hAnsi="ITC Avant Garde"/>
          <w:sz w:val="22"/>
          <w:szCs w:val="22"/>
        </w:rPr>
      </w:pPr>
      <w:r w:rsidRPr="005379A1">
        <w:rPr>
          <w:rFonts w:ascii="ITC Avant Garde" w:hAnsi="ITC Avant Garde"/>
          <w:b/>
          <w:sz w:val="22"/>
          <w:szCs w:val="22"/>
        </w:rPr>
        <w:lastRenderedPageBreak/>
        <w:t>Tabla 2</w:t>
      </w:r>
      <w:r w:rsidR="00351D84" w:rsidRPr="005379A1">
        <w:rPr>
          <w:rFonts w:ascii="ITC Avant Garde" w:hAnsi="ITC Avant Garde"/>
          <w:b/>
          <w:sz w:val="22"/>
          <w:szCs w:val="22"/>
        </w:rPr>
        <w:t>.1</w:t>
      </w:r>
    </w:p>
    <w:p w14:paraId="2B07400B" w14:textId="24BEDC7E" w:rsidR="00812083" w:rsidRPr="005379A1" w:rsidRDefault="00812083" w:rsidP="00812083">
      <w:pPr>
        <w:rPr>
          <w:rFonts w:ascii="ITC Avant Garde" w:hAnsi="ITC Avant Garde"/>
          <w:sz w:val="22"/>
          <w:szCs w:val="22"/>
        </w:rPr>
      </w:pPr>
      <w:r w:rsidRPr="005379A1">
        <w:rPr>
          <w:rFonts w:ascii="ITC Avant Garde" w:hAnsi="ITC Avant Garde"/>
          <w:sz w:val="22"/>
          <w:szCs w:val="22"/>
        </w:rPr>
        <w:t xml:space="preserve">Grupos de Frecuencia en la banda de 400 MHz para una </w:t>
      </w:r>
      <w:r w:rsidRPr="005379A1">
        <w:rPr>
          <w:rFonts w:ascii="ITC Avant Garde" w:hAnsi="ITC Avant Garde"/>
          <w:b/>
          <w:sz w:val="22"/>
          <w:szCs w:val="22"/>
          <w:u w:val="single"/>
        </w:rPr>
        <w:t>canalización de 12.5 KHz</w:t>
      </w:r>
      <w:r w:rsidRPr="005379A1">
        <w:rPr>
          <w:rFonts w:ascii="ITC Avant Garde" w:hAnsi="ITC Avant Garde"/>
          <w:sz w:val="22"/>
          <w:szCs w:val="22"/>
        </w:rPr>
        <w:t xml:space="preserve"> (donde la frecuencia de </w:t>
      </w:r>
      <w:proofErr w:type="spellStart"/>
      <w:r w:rsidRPr="005379A1">
        <w:rPr>
          <w:rFonts w:ascii="ITC Avant Garde" w:hAnsi="ITC Avant Garde"/>
          <w:sz w:val="22"/>
          <w:szCs w:val="22"/>
        </w:rPr>
        <w:t>Tx</w:t>
      </w:r>
      <w:proofErr w:type="spellEnd"/>
      <w:r w:rsidRPr="005379A1">
        <w:rPr>
          <w:rFonts w:ascii="ITC Avant Garde" w:hAnsi="ITC Avant Garde"/>
          <w:sz w:val="22"/>
          <w:szCs w:val="22"/>
        </w:rPr>
        <w:t xml:space="preserve"> corresponde a la estación transmisora).</w:t>
      </w:r>
    </w:p>
    <w:tbl>
      <w:tblPr>
        <w:tblStyle w:val="Cuadrculadetablaclara"/>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2.1"/>
        <w:tblDescription w:val="Comprende un grupo de tablas que representan los grupos de frecuencia en la banda 400 MHz para un acanalización de 12.5 kHz. cada una se agrupa en Cricuitos del A al I para dos series de Rx y Tx en MHz."/>
      </w:tblPr>
      <w:tblGrid>
        <w:gridCol w:w="704"/>
        <w:gridCol w:w="851"/>
        <w:gridCol w:w="708"/>
        <w:gridCol w:w="709"/>
        <w:gridCol w:w="709"/>
        <w:gridCol w:w="709"/>
        <w:gridCol w:w="708"/>
        <w:gridCol w:w="709"/>
        <w:gridCol w:w="709"/>
        <w:gridCol w:w="709"/>
        <w:gridCol w:w="802"/>
        <w:gridCol w:w="767"/>
        <w:gridCol w:w="94"/>
      </w:tblGrid>
      <w:tr w:rsidR="001C6AEE" w:rsidRPr="005379A1" w14:paraId="4AE2093F" w14:textId="77777777" w:rsidTr="001C6AEE">
        <w:trPr>
          <w:gridAfter w:val="1"/>
          <w:wAfter w:w="94" w:type="dxa"/>
          <w:trHeight w:val="20"/>
          <w:tblHeader/>
          <w:jc w:val="center"/>
        </w:trPr>
        <w:tc>
          <w:tcPr>
            <w:tcW w:w="4390" w:type="dxa"/>
            <w:gridSpan w:val="6"/>
            <w:shd w:val="clear" w:color="auto" w:fill="A6A6A6" w:themeFill="background1" w:themeFillShade="A6"/>
            <w:noWrap/>
            <w:hideMark/>
          </w:tcPr>
          <w:p w14:paraId="512C88C3" w14:textId="77777777" w:rsidR="001C6AEE" w:rsidRPr="005379A1" w:rsidRDefault="001C6AEE" w:rsidP="001C6AEE">
            <w:pPr>
              <w:jc w:val="center"/>
              <w:rPr>
                <w:rFonts w:ascii="ITC Avant Garde" w:hAnsi="ITC Avant Garde"/>
                <w:b/>
                <w:bCs/>
                <w:color w:val="000000"/>
                <w:sz w:val="10"/>
                <w:szCs w:val="10"/>
                <w:lang w:eastAsia="es-MX"/>
              </w:rPr>
            </w:pPr>
            <w:r w:rsidRPr="005379A1">
              <w:rPr>
                <w:rFonts w:ascii="ITC Avant Garde" w:hAnsi="ITC Avant Garde"/>
                <w:b/>
                <w:bCs/>
                <w:color w:val="000000"/>
                <w:sz w:val="10"/>
                <w:szCs w:val="10"/>
                <w:lang w:eastAsia="es-MX"/>
              </w:rPr>
              <w:t>Grupo 9</w:t>
            </w:r>
          </w:p>
        </w:tc>
        <w:tc>
          <w:tcPr>
            <w:tcW w:w="4404" w:type="dxa"/>
            <w:gridSpan w:val="6"/>
            <w:shd w:val="clear" w:color="auto" w:fill="A6A6A6" w:themeFill="background1" w:themeFillShade="A6"/>
            <w:noWrap/>
            <w:hideMark/>
          </w:tcPr>
          <w:p w14:paraId="3487700A" w14:textId="77777777" w:rsidR="001C6AEE" w:rsidRPr="005379A1" w:rsidRDefault="001C6AEE" w:rsidP="001C6AEE">
            <w:pPr>
              <w:jc w:val="center"/>
              <w:rPr>
                <w:rFonts w:ascii="ITC Avant Garde" w:hAnsi="ITC Avant Garde"/>
                <w:b/>
                <w:bCs/>
                <w:color w:val="000000"/>
                <w:sz w:val="10"/>
                <w:szCs w:val="10"/>
                <w:lang w:eastAsia="es-MX"/>
              </w:rPr>
            </w:pPr>
            <w:r w:rsidRPr="005379A1">
              <w:rPr>
                <w:rFonts w:ascii="ITC Avant Garde" w:hAnsi="ITC Avant Garde"/>
                <w:b/>
                <w:bCs/>
                <w:color w:val="000000"/>
                <w:sz w:val="10"/>
                <w:szCs w:val="10"/>
                <w:lang w:eastAsia="es-MX"/>
              </w:rPr>
              <w:t>Grupo 10</w:t>
            </w:r>
          </w:p>
        </w:tc>
      </w:tr>
      <w:tr w:rsidR="001C6AEE" w:rsidRPr="005379A1" w14:paraId="0B8357B0" w14:textId="77777777" w:rsidTr="001C6AEE">
        <w:trPr>
          <w:trHeight w:val="20"/>
          <w:jc w:val="center"/>
        </w:trPr>
        <w:tc>
          <w:tcPr>
            <w:tcW w:w="704" w:type="dxa"/>
            <w:noWrap/>
            <w:hideMark/>
          </w:tcPr>
          <w:p w14:paraId="5C899904"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851" w:type="dxa"/>
            <w:noWrap/>
            <w:hideMark/>
          </w:tcPr>
          <w:p w14:paraId="25C01435"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8" w:type="dxa"/>
            <w:noWrap/>
            <w:hideMark/>
          </w:tcPr>
          <w:p w14:paraId="54D4025B"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9" w:type="dxa"/>
            <w:noWrap/>
            <w:hideMark/>
          </w:tcPr>
          <w:p w14:paraId="646B3360"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709" w:type="dxa"/>
            <w:noWrap/>
            <w:hideMark/>
          </w:tcPr>
          <w:p w14:paraId="7F9ECD4D"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9" w:type="dxa"/>
            <w:noWrap/>
            <w:hideMark/>
          </w:tcPr>
          <w:p w14:paraId="0A37049A"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8" w:type="dxa"/>
            <w:noWrap/>
            <w:hideMark/>
          </w:tcPr>
          <w:p w14:paraId="7BB844B5"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709" w:type="dxa"/>
            <w:noWrap/>
            <w:hideMark/>
          </w:tcPr>
          <w:p w14:paraId="6730DFDE"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9" w:type="dxa"/>
            <w:noWrap/>
            <w:hideMark/>
          </w:tcPr>
          <w:p w14:paraId="59093B43"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9" w:type="dxa"/>
            <w:noWrap/>
            <w:hideMark/>
          </w:tcPr>
          <w:p w14:paraId="52335D98"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802" w:type="dxa"/>
            <w:noWrap/>
            <w:hideMark/>
          </w:tcPr>
          <w:p w14:paraId="179A6B69"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861" w:type="dxa"/>
            <w:gridSpan w:val="2"/>
            <w:noWrap/>
            <w:hideMark/>
          </w:tcPr>
          <w:p w14:paraId="1A1750CC"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r>
      <w:tr w:rsidR="001C6AEE" w:rsidRPr="005379A1" w14:paraId="04E25D81" w14:textId="77777777" w:rsidTr="001C6AEE">
        <w:trPr>
          <w:trHeight w:val="20"/>
          <w:jc w:val="center"/>
        </w:trPr>
        <w:tc>
          <w:tcPr>
            <w:tcW w:w="704" w:type="dxa"/>
            <w:noWrap/>
            <w:hideMark/>
          </w:tcPr>
          <w:p w14:paraId="48C7A98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A</w:t>
            </w:r>
          </w:p>
        </w:tc>
        <w:tc>
          <w:tcPr>
            <w:tcW w:w="851" w:type="dxa"/>
            <w:noWrap/>
            <w:hideMark/>
          </w:tcPr>
          <w:p w14:paraId="2EC0129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411.01875</w:t>
            </w:r>
          </w:p>
        </w:tc>
        <w:tc>
          <w:tcPr>
            <w:tcW w:w="708" w:type="dxa"/>
            <w:noWrap/>
            <w:hideMark/>
          </w:tcPr>
          <w:p w14:paraId="1995DD3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421.01875</w:t>
            </w:r>
          </w:p>
        </w:tc>
        <w:tc>
          <w:tcPr>
            <w:tcW w:w="709" w:type="dxa"/>
            <w:noWrap/>
            <w:hideMark/>
          </w:tcPr>
          <w:p w14:paraId="2554167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B</w:t>
            </w:r>
          </w:p>
        </w:tc>
        <w:tc>
          <w:tcPr>
            <w:tcW w:w="709" w:type="dxa"/>
            <w:noWrap/>
            <w:hideMark/>
          </w:tcPr>
          <w:p w14:paraId="25EFAA4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411.03125</w:t>
            </w:r>
          </w:p>
        </w:tc>
        <w:tc>
          <w:tcPr>
            <w:tcW w:w="709" w:type="dxa"/>
            <w:noWrap/>
            <w:hideMark/>
          </w:tcPr>
          <w:p w14:paraId="7663483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421.03125</w:t>
            </w:r>
          </w:p>
        </w:tc>
        <w:tc>
          <w:tcPr>
            <w:tcW w:w="708" w:type="dxa"/>
            <w:noWrap/>
            <w:hideMark/>
          </w:tcPr>
          <w:p w14:paraId="59D6668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A</w:t>
            </w:r>
          </w:p>
        </w:tc>
        <w:tc>
          <w:tcPr>
            <w:tcW w:w="709" w:type="dxa"/>
            <w:noWrap/>
            <w:hideMark/>
          </w:tcPr>
          <w:p w14:paraId="11294A1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411.04375</w:t>
            </w:r>
          </w:p>
        </w:tc>
        <w:tc>
          <w:tcPr>
            <w:tcW w:w="709" w:type="dxa"/>
            <w:noWrap/>
            <w:hideMark/>
          </w:tcPr>
          <w:p w14:paraId="780C8C3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421.04375</w:t>
            </w:r>
          </w:p>
        </w:tc>
        <w:tc>
          <w:tcPr>
            <w:tcW w:w="709" w:type="dxa"/>
            <w:noWrap/>
            <w:hideMark/>
          </w:tcPr>
          <w:p w14:paraId="146C838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B</w:t>
            </w:r>
          </w:p>
        </w:tc>
        <w:tc>
          <w:tcPr>
            <w:tcW w:w="802" w:type="dxa"/>
            <w:noWrap/>
            <w:hideMark/>
          </w:tcPr>
          <w:p w14:paraId="21FED8F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411.05625</w:t>
            </w:r>
          </w:p>
        </w:tc>
        <w:tc>
          <w:tcPr>
            <w:tcW w:w="861" w:type="dxa"/>
            <w:gridSpan w:val="2"/>
            <w:noWrap/>
            <w:hideMark/>
          </w:tcPr>
          <w:p w14:paraId="48D740E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421.05625</w:t>
            </w:r>
          </w:p>
        </w:tc>
      </w:tr>
      <w:tr w:rsidR="001C6AEE" w:rsidRPr="005379A1" w14:paraId="4E4BE98A" w14:textId="77777777" w:rsidTr="001C6AEE">
        <w:trPr>
          <w:trHeight w:val="20"/>
          <w:jc w:val="center"/>
        </w:trPr>
        <w:tc>
          <w:tcPr>
            <w:tcW w:w="704" w:type="dxa"/>
            <w:noWrap/>
            <w:hideMark/>
          </w:tcPr>
          <w:p w14:paraId="7B29C11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C</w:t>
            </w:r>
          </w:p>
        </w:tc>
        <w:tc>
          <w:tcPr>
            <w:tcW w:w="851" w:type="dxa"/>
            <w:noWrap/>
            <w:hideMark/>
          </w:tcPr>
          <w:p w14:paraId="0BE1045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411.21875</w:t>
            </w:r>
          </w:p>
        </w:tc>
        <w:tc>
          <w:tcPr>
            <w:tcW w:w="708" w:type="dxa"/>
            <w:noWrap/>
            <w:hideMark/>
          </w:tcPr>
          <w:p w14:paraId="527062F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421.21875</w:t>
            </w:r>
          </w:p>
        </w:tc>
        <w:tc>
          <w:tcPr>
            <w:tcW w:w="709" w:type="dxa"/>
            <w:noWrap/>
            <w:hideMark/>
          </w:tcPr>
          <w:p w14:paraId="3C922E2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D</w:t>
            </w:r>
          </w:p>
        </w:tc>
        <w:tc>
          <w:tcPr>
            <w:tcW w:w="709" w:type="dxa"/>
            <w:noWrap/>
            <w:hideMark/>
          </w:tcPr>
          <w:p w14:paraId="4F02128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411.23125</w:t>
            </w:r>
          </w:p>
        </w:tc>
        <w:tc>
          <w:tcPr>
            <w:tcW w:w="709" w:type="dxa"/>
            <w:noWrap/>
            <w:hideMark/>
          </w:tcPr>
          <w:p w14:paraId="1D8E400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421.23125</w:t>
            </w:r>
          </w:p>
        </w:tc>
        <w:tc>
          <w:tcPr>
            <w:tcW w:w="708" w:type="dxa"/>
            <w:noWrap/>
            <w:hideMark/>
          </w:tcPr>
          <w:p w14:paraId="753C1F9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C</w:t>
            </w:r>
          </w:p>
        </w:tc>
        <w:tc>
          <w:tcPr>
            <w:tcW w:w="709" w:type="dxa"/>
            <w:noWrap/>
            <w:hideMark/>
          </w:tcPr>
          <w:p w14:paraId="1E94E12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411.24375</w:t>
            </w:r>
          </w:p>
        </w:tc>
        <w:tc>
          <w:tcPr>
            <w:tcW w:w="709" w:type="dxa"/>
            <w:noWrap/>
            <w:hideMark/>
          </w:tcPr>
          <w:p w14:paraId="508DCA2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421.24375</w:t>
            </w:r>
          </w:p>
        </w:tc>
        <w:tc>
          <w:tcPr>
            <w:tcW w:w="709" w:type="dxa"/>
            <w:noWrap/>
            <w:hideMark/>
          </w:tcPr>
          <w:p w14:paraId="6A918DE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D</w:t>
            </w:r>
          </w:p>
        </w:tc>
        <w:tc>
          <w:tcPr>
            <w:tcW w:w="802" w:type="dxa"/>
            <w:noWrap/>
            <w:hideMark/>
          </w:tcPr>
          <w:p w14:paraId="6CFE2FF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411.25625</w:t>
            </w:r>
          </w:p>
        </w:tc>
        <w:tc>
          <w:tcPr>
            <w:tcW w:w="861" w:type="dxa"/>
            <w:gridSpan w:val="2"/>
            <w:noWrap/>
            <w:hideMark/>
          </w:tcPr>
          <w:p w14:paraId="6E83B88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421.25625</w:t>
            </w:r>
          </w:p>
        </w:tc>
      </w:tr>
      <w:tr w:rsidR="001C6AEE" w:rsidRPr="005379A1" w14:paraId="75D4E19B" w14:textId="77777777" w:rsidTr="001C6AEE">
        <w:trPr>
          <w:trHeight w:val="20"/>
          <w:jc w:val="center"/>
        </w:trPr>
        <w:tc>
          <w:tcPr>
            <w:tcW w:w="704" w:type="dxa"/>
            <w:noWrap/>
            <w:hideMark/>
          </w:tcPr>
          <w:p w14:paraId="514B37C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E</w:t>
            </w:r>
          </w:p>
        </w:tc>
        <w:tc>
          <w:tcPr>
            <w:tcW w:w="851" w:type="dxa"/>
            <w:noWrap/>
            <w:hideMark/>
          </w:tcPr>
          <w:p w14:paraId="4DA70B8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411.41875</w:t>
            </w:r>
          </w:p>
        </w:tc>
        <w:tc>
          <w:tcPr>
            <w:tcW w:w="708" w:type="dxa"/>
            <w:noWrap/>
            <w:hideMark/>
          </w:tcPr>
          <w:p w14:paraId="1C7141A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421.41875</w:t>
            </w:r>
          </w:p>
        </w:tc>
        <w:tc>
          <w:tcPr>
            <w:tcW w:w="709" w:type="dxa"/>
            <w:noWrap/>
            <w:hideMark/>
          </w:tcPr>
          <w:p w14:paraId="3FEFC1A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F</w:t>
            </w:r>
          </w:p>
        </w:tc>
        <w:tc>
          <w:tcPr>
            <w:tcW w:w="709" w:type="dxa"/>
            <w:noWrap/>
            <w:hideMark/>
          </w:tcPr>
          <w:p w14:paraId="6BE55A1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411.43125</w:t>
            </w:r>
          </w:p>
        </w:tc>
        <w:tc>
          <w:tcPr>
            <w:tcW w:w="709" w:type="dxa"/>
            <w:noWrap/>
            <w:hideMark/>
          </w:tcPr>
          <w:p w14:paraId="58BF160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421.43125</w:t>
            </w:r>
          </w:p>
        </w:tc>
        <w:tc>
          <w:tcPr>
            <w:tcW w:w="708" w:type="dxa"/>
            <w:noWrap/>
            <w:hideMark/>
          </w:tcPr>
          <w:p w14:paraId="35BDD2F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E</w:t>
            </w:r>
          </w:p>
        </w:tc>
        <w:tc>
          <w:tcPr>
            <w:tcW w:w="709" w:type="dxa"/>
            <w:noWrap/>
            <w:hideMark/>
          </w:tcPr>
          <w:p w14:paraId="4E52B98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411.44375</w:t>
            </w:r>
          </w:p>
        </w:tc>
        <w:tc>
          <w:tcPr>
            <w:tcW w:w="709" w:type="dxa"/>
            <w:noWrap/>
            <w:hideMark/>
          </w:tcPr>
          <w:p w14:paraId="56A33BB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421.44375</w:t>
            </w:r>
          </w:p>
        </w:tc>
        <w:tc>
          <w:tcPr>
            <w:tcW w:w="709" w:type="dxa"/>
            <w:noWrap/>
            <w:hideMark/>
          </w:tcPr>
          <w:p w14:paraId="4F35C71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F</w:t>
            </w:r>
          </w:p>
        </w:tc>
        <w:tc>
          <w:tcPr>
            <w:tcW w:w="802" w:type="dxa"/>
            <w:noWrap/>
            <w:hideMark/>
          </w:tcPr>
          <w:p w14:paraId="5D24D79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411.45625</w:t>
            </w:r>
          </w:p>
        </w:tc>
        <w:tc>
          <w:tcPr>
            <w:tcW w:w="861" w:type="dxa"/>
            <w:gridSpan w:val="2"/>
            <w:noWrap/>
            <w:hideMark/>
          </w:tcPr>
          <w:p w14:paraId="696F81D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421.45625</w:t>
            </w:r>
          </w:p>
        </w:tc>
      </w:tr>
      <w:tr w:rsidR="001C6AEE" w:rsidRPr="005379A1" w14:paraId="453EF090" w14:textId="77777777" w:rsidTr="001C6AEE">
        <w:trPr>
          <w:trHeight w:val="20"/>
          <w:jc w:val="center"/>
        </w:trPr>
        <w:tc>
          <w:tcPr>
            <w:tcW w:w="704" w:type="dxa"/>
            <w:noWrap/>
            <w:hideMark/>
          </w:tcPr>
          <w:p w14:paraId="02DFE29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G</w:t>
            </w:r>
          </w:p>
        </w:tc>
        <w:tc>
          <w:tcPr>
            <w:tcW w:w="851" w:type="dxa"/>
            <w:noWrap/>
            <w:hideMark/>
          </w:tcPr>
          <w:p w14:paraId="6205325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411.61875</w:t>
            </w:r>
          </w:p>
        </w:tc>
        <w:tc>
          <w:tcPr>
            <w:tcW w:w="708" w:type="dxa"/>
            <w:noWrap/>
            <w:hideMark/>
          </w:tcPr>
          <w:p w14:paraId="7C69323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421.61875</w:t>
            </w:r>
          </w:p>
        </w:tc>
        <w:tc>
          <w:tcPr>
            <w:tcW w:w="709" w:type="dxa"/>
            <w:noWrap/>
            <w:hideMark/>
          </w:tcPr>
          <w:p w14:paraId="6AB9179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H</w:t>
            </w:r>
          </w:p>
        </w:tc>
        <w:tc>
          <w:tcPr>
            <w:tcW w:w="709" w:type="dxa"/>
            <w:noWrap/>
            <w:hideMark/>
          </w:tcPr>
          <w:p w14:paraId="59CAD5F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411.63125</w:t>
            </w:r>
          </w:p>
        </w:tc>
        <w:tc>
          <w:tcPr>
            <w:tcW w:w="709" w:type="dxa"/>
            <w:noWrap/>
            <w:hideMark/>
          </w:tcPr>
          <w:p w14:paraId="55805ED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421.63125</w:t>
            </w:r>
          </w:p>
        </w:tc>
        <w:tc>
          <w:tcPr>
            <w:tcW w:w="708" w:type="dxa"/>
            <w:noWrap/>
            <w:hideMark/>
          </w:tcPr>
          <w:p w14:paraId="38C2673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G</w:t>
            </w:r>
          </w:p>
        </w:tc>
        <w:tc>
          <w:tcPr>
            <w:tcW w:w="709" w:type="dxa"/>
            <w:noWrap/>
            <w:hideMark/>
          </w:tcPr>
          <w:p w14:paraId="14FDB8E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411.64375</w:t>
            </w:r>
          </w:p>
        </w:tc>
        <w:tc>
          <w:tcPr>
            <w:tcW w:w="709" w:type="dxa"/>
            <w:noWrap/>
            <w:hideMark/>
          </w:tcPr>
          <w:p w14:paraId="64AAC07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421.64375</w:t>
            </w:r>
          </w:p>
        </w:tc>
        <w:tc>
          <w:tcPr>
            <w:tcW w:w="709" w:type="dxa"/>
            <w:noWrap/>
            <w:hideMark/>
          </w:tcPr>
          <w:p w14:paraId="05A78E6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H</w:t>
            </w:r>
          </w:p>
        </w:tc>
        <w:tc>
          <w:tcPr>
            <w:tcW w:w="802" w:type="dxa"/>
            <w:noWrap/>
            <w:hideMark/>
          </w:tcPr>
          <w:p w14:paraId="080F874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411.65625</w:t>
            </w:r>
          </w:p>
        </w:tc>
        <w:tc>
          <w:tcPr>
            <w:tcW w:w="861" w:type="dxa"/>
            <w:gridSpan w:val="2"/>
            <w:noWrap/>
            <w:hideMark/>
          </w:tcPr>
          <w:p w14:paraId="56C456B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421.65625</w:t>
            </w:r>
          </w:p>
        </w:tc>
      </w:tr>
      <w:tr w:rsidR="001C6AEE" w:rsidRPr="005379A1" w14:paraId="39D25F7D" w14:textId="77777777" w:rsidTr="001C6AEE">
        <w:trPr>
          <w:trHeight w:val="20"/>
          <w:jc w:val="center"/>
        </w:trPr>
        <w:tc>
          <w:tcPr>
            <w:tcW w:w="704" w:type="dxa"/>
            <w:noWrap/>
            <w:hideMark/>
          </w:tcPr>
          <w:p w14:paraId="1A9F8E7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I</w:t>
            </w:r>
          </w:p>
        </w:tc>
        <w:tc>
          <w:tcPr>
            <w:tcW w:w="851" w:type="dxa"/>
            <w:noWrap/>
            <w:hideMark/>
          </w:tcPr>
          <w:p w14:paraId="762A4AD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411.81875</w:t>
            </w:r>
          </w:p>
        </w:tc>
        <w:tc>
          <w:tcPr>
            <w:tcW w:w="708" w:type="dxa"/>
            <w:noWrap/>
            <w:hideMark/>
          </w:tcPr>
          <w:p w14:paraId="4F87115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421.81875</w:t>
            </w:r>
          </w:p>
        </w:tc>
        <w:tc>
          <w:tcPr>
            <w:tcW w:w="709" w:type="dxa"/>
            <w:noWrap/>
            <w:hideMark/>
          </w:tcPr>
          <w:p w14:paraId="0BB14FF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J</w:t>
            </w:r>
          </w:p>
        </w:tc>
        <w:tc>
          <w:tcPr>
            <w:tcW w:w="709" w:type="dxa"/>
            <w:noWrap/>
            <w:hideMark/>
          </w:tcPr>
          <w:p w14:paraId="2C56496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411.83125</w:t>
            </w:r>
          </w:p>
        </w:tc>
        <w:tc>
          <w:tcPr>
            <w:tcW w:w="709" w:type="dxa"/>
            <w:noWrap/>
            <w:hideMark/>
          </w:tcPr>
          <w:p w14:paraId="054B63A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421.83125</w:t>
            </w:r>
          </w:p>
        </w:tc>
        <w:tc>
          <w:tcPr>
            <w:tcW w:w="708" w:type="dxa"/>
            <w:noWrap/>
            <w:hideMark/>
          </w:tcPr>
          <w:p w14:paraId="383B49C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I</w:t>
            </w:r>
          </w:p>
        </w:tc>
        <w:tc>
          <w:tcPr>
            <w:tcW w:w="709" w:type="dxa"/>
            <w:noWrap/>
            <w:hideMark/>
          </w:tcPr>
          <w:p w14:paraId="558A02A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411.84375</w:t>
            </w:r>
          </w:p>
        </w:tc>
        <w:tc>
          <w:tcPr>
            <w:tcW w:w="709" w:type="dxa"/>
            <w:noWrap/>
            <w:hideMark/>
          </w:tcPr>
          <w:p w14:paraId="2A95873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421.84375</w:t>
            </w:r>
          </w:p>
        </w:tc>
        <w:tc>
          <w:tcPr>
            <w:tcW w:w="709" w:type="dxa"/>
            <w:noWrap/>
            <w:hideMark/>
          </w:tcPr>
          <w:p w14:paraId="4570C65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J</w:t>
            </w:r>
          </w:p>
        </w:tc>
        <w:tc>
          <w:tcPr>
            <w:tcW w:w="802" w:type="dxa"/>
            <w:noWrap/>
            <w:hideMark/>
          </w:tcPr>
          <w:p w14:paraId="1276838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411.85625</w:t>
            </w:r>
          </w:p>
        </w:tc>
        <w:tc>
          <w:tcPr>
            <w:tcW w:w="861" w:type="dxa"/>
            <w:gridSpan w:val="2"/>
            <w:noWrap/>
            <w:hideMark/>
          </w:tcPr>
          <w:p w14:paraId="67A180A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421.85625</w:t>
            </w:r>
          </w:p>
        </w:tc>
      </w:tr>
      <w:tr w:rsidR="001C6AEE" w:rsidRPr="005379A1" w14:paraId="053DD028" w14:textId="77777777" w:rsidTr="001C6AEE">
        <w:trPr>
          <w:gridAfter w:val="1"/>
          <w:wAfter w:w="94" w:type="dxa"/>
          <w:trHeight w:val="20"/>
          <w:jc w:val="center"/>
        </w:trPr>
        <w:tc>
          <w:tcPr>
            <w:tcW w:w="4390" w:type="dxa"/>
            <w:gridSpan w:val="6"/>
            <w:shd w:val="clear" w:color="auto" w:fill="A6A6A6" w:themeFill="background1" w:themeFillShade="A6"/>
            <w:noWrap/>
            <w:hideMark/>
          </w:tcPr>
          <w:p w14:paraId="56A614CD" w14:textId="77777777" w:rsidR="001C6AEE" w:rsidRPr="005379A1" w:rsidRDefault="001C6AEE" w:rsidP="001C6AEE">
            <w:pPr>
              <w:jc w:val="center"/>
              <w:rPr>
                <w:rFonts w:ascii="ITC Avant Garde" w:hAnsi="ITC Avant Garde"/>
                <w:b/>
                <w:bCs/>
                <w:color w:val="000000"/>
                <w:sz w:val="10"/>
                <w:szCs w:val="10"/>
                <w:lang w:eastAsia="es-MX"/>
              </w:rPr>
            </w:pPr>
            <w:r w:rsidRPr="005379A1">
              <w:rPr>
                <w:rFonts w:ascii="ITC Avant Garde" w:hAnsi="ITC Avant Garde"/>
                <w:b/>
                <w:bCs/>
                <w:color w:val="000000"/>
                <w:sz w:val="10"/>
                <w:szCs w:val="10"/>
                <w:lang w:eastAsia="es-MX"/>
              </w:rPr>
              <w:t>Grupo 11</w:t>
            </w:r>
          </w:p>
        </w:tc>
        <w:tc>
          <w:tcPr>
            <w:tcW w:w="4404" w:type="dxa"/>
            <w:gridSpan w:val="6"/>
            <w:shd w:val="clear" w:color="auto" w:fill="A6A6A6" w:themeFill="background1" w:themeFillShade="A6"/>
            <w:noWrap/>
            <w:hideMark/>
          </w:tcPr>
          <w:p w14:paraId="3C78E6DF" w14:textId="77777777" w:rsidR="001C6AEE" w:rsidRPr="005379A1" w:rsidRDefault="001C6AEE" w:rsidP="001C6AEE">
            <w:pPr>
              <w:jc w:val="center"/>
              <w:rPr>
                <w:rFonts w:ascii="ITC Avant Garde" w:hAnsi="ITC Avant Garde"/>
                <w:b/>
                <w:bCs/>
                <w:color w:val="000000"/>
                <w:sz w:val="10"/>
                <w:szCs w:val="10"/>
                <w:lang w:eastAsia="es-MX"/>
              </w:rPr>
            </w:pPr>
            <w:r w:rsidRPr="005379A1">
              <w:rPr>
                <w:rFonts w:ascii="ITC Avant Garde" w:hAnsi="ITC Avant Garde"/>
                <w:b/>
                <w:bCs/>
                <w:color w:val="000000"/>
                <w:sz w:val="10"/>
                <w:szCs w:val="10"/>
                <w:lang w:eastAsia="es-MX"/>
              </w:rPr>
              <w:t>Grupo 12</w:t>
            </w:r>
          </w:p>
        </w:tc>
      </w:tr>
      <w:tr w:rsidR="001C6AEE" w:rsidRPr="005379A1" w14:paraId="0C84F519" w14:textId="77777777" w:rsidTr="001C6AEE">
        <w:trPr>
          <w:trHeight w:val="20"/>
          <w:jc w:val="center"/>
        </w:trPr>
        <w:tc>
          <w:tcPr>
            <w:tcW w:w="704" w:type="dxa"/>
            <w:noWrap/>
            <w:hideMark/>
          </w:tcPr>
          <w:p w14:paraId="2F674B86"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851" w:type="dxa"/>
            <w:noWrap/>
            <w:hideMark/>
          </w:tcPr>
          <w:p w14:paraId="28C927FA"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8" w:type="dxa"/>
            <w:noWrap/>
            <w:hideMark/>
          </w:tcPr>
          <w:p w14:paraId="480F628F"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9" w:type="dxa"/>
            <w:noWrap/>
            <w:hideMark/>
          </w:tcPr>
          <w:p w14:paraId="1144DF65"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709" w:type="dxa"/>
            <w:noWrap/>
            <w:hideMark/>
          </w:tcPr>
          <w:p w14:paraId="1A3AD832"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9" w:type="dxa"/>
            <w:noWrap/>
            <w:hideMark/>
          </w:tcPr>
          <w:p w14:paraId="5E84B9F9"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8" w:type="dxa"/>
            <w:noWrap/>
            <w:hideMark/>
          </w:tcPr>
          <w:p w14:paraId="24DF6E0F"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709" w:type="dxa"/>
            <w:noWrap/>
            <w:hideMark/>
          </w:tcPr>
          <w:p w14:paraId="2A8DFECE"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9" w:type="dxa"/>
            <w:noWrap/>
            <w:hideMark/>
          </w:tcPr>
          <w:p w14:paraId="2474F802"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9" w:type="dxa"/>
            <w:noWrap/>
            <w:hideMark/>
          </w:tcPr>
          <w:p w14:paraId="365B3008"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802" w:type="dxa"/>
            <w:noWrap/>
            <w:hideMark/>
          </w:tcPr>
          <w:p w14:paraId="634E6B6F"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861" w:type="dxa"/>
            <w:gridSpan w:val="2"/>
            <w:noWrap/>
            <w:hideMark/>
          </w:tcPr>
          <w:p w14:paraId="527C7AEF"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r>
      <w:tr w:rsidR="001C6AEE" w:rsidRPr="005379A1" w14:paraId="66E4EEB5" w14:textId="77777777" w:rsidTr="001C6AEE">
        <w:trPr>
          <w:trHeight w:val="20"/>
          <w:jc w:val="center"/>
        </w:trPr>
        <w:tc>
          <w:tcPr>
            <w:tcW w:w="704" w:type="dxa"/>
            <w:noWrap/>
            <w:hideMark/>
          </w:tcPr>
          <w:p w14:paraId="63BB847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A</w:t>
            </w:r>
          </w:p>
        </w:tc>
        <w:tc>
          <w:tcPr>
            <w:tcW w:w="851" w:type="dxa"/>
            <w:noWrap/>
            <w:hideMark/>
          </w:tcPr>
          <w:p w14:paraId="2BD6A96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411.06875</w:t>
            </w:r>
          </w:p>
        </w:tc>
        <w:tc>
          <w:tcPr>
            <w:tcW w:w="708" w:type="dxa"/>
            <w:noWrap/>
            <w:hideMark/>
          </w:tcPr>
          <w:p w14:paraId="652D567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421.06875</w:t>
            </w:r>
          </w:p>
        </w:tc>
        <w:tc>
          <w:tcPr>
            <w:tcW w:w="709" w:type="dxa"/>
            <w:noWrap/>
            <w:hideMark/>
          </w:tcPr>
          <w:p w14:paraId="175A033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B</w:t>
            </w:r>
          </w:p>
        </w:tc>
        <w:tc>
          <w:tcPr>
            <w:tcW w:w="709" w:type="dxa"/>
            <w:noWrap/>
            <w:hideMark/>
          </w:tcPr>
          <w:p w14:paraId="733A50D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411.08125</w:t>
            </w:r>
          </w:p>
        </w:tc>
        <w:tc>
          <w:tcPr>
            <w:tcW w:w="709" w:type="dxa"/>
            <w:noWrap/>
            <w:hideMark/>
          </w:tcPr>
          <w:p w14:paraId="1F3C054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421.08125</w:t>
            </w:r>
          </w:p>
        </w:tc>
        <w:tc>
          <w:tcPr>
            <w:tcW w:w="708" w:type="dxa"/>
            <w:noWrap/>
            <w:hideMark/>
          </w:tcPr>
          <w:p w14:paraId="5CA2241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A</w:t>
            </w:r>
          </w:p>
        </w:tc>
        <w:tc>
          <w:tcPr>
            <w:tcW w:w="709" w:type="dxa"/>
            <w:noWrap/>
            <w:hideMark/>
          </w:tcPr>
          <w:p w14:paraId="535071C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411.09375</w:t>
            </w:r>
          </w:p>
        </w:tc>
        <w:tc>
          <w:tcPr>
            <w:tcW w:w="709" w:type="dxa"/>
            <w:noWrap/>
            <w:hideMark/>
          </w:tcPr>
          <w:p w14:paraId="5028F7A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421.09375</w:t>
            </w:r>
          </w:p>
        </w:tc>
        <w:tc>
          <w:tcPr>
            <w:tcW w:w="709" w:type="dxa"/>
            <w:noWrap/>
            <w:hideMark/>
          </w:tcPr>
          <w:p w14:paraId="4EB22CF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B</w:t>
            </w:r>
          </w:p>
        </w:tc>
        <w:tc>
          <w:tcPr>
            <w:tcW w:w="802" w:type="dxa"/>
            <w:noWrap/>
            <w:hideMark/>
          </w:tcPr>
          <w:p w14:paraId="247300E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411.10625</w:t>
            </w:r>
          </w:p>
        </w:tc>
        <w:tc>
          <w:tcPr>
            <w:tcW w:w="861" w:type="dxa"/>
            <w:gridSpan w:val="2"/>
            <w:noWrap/>
            <w:hideMark/>
          </w:tcPr>
          <w:p w14:paraId="6AF57DB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421.10625</w:t>
            </w:r>
          </w:p>
        </w:tc>
      </w:tr>
      <w:tr w:rsidR="001C6AEE" w:rsidRPr="005379A1" w14:paraId="3A32EABB" w14:textId="77777777" w:rsidTr="001C6AEE">
        <w:trPr>
          <w:trHeight w:val="20"/>
          <w:jc w:val="center"/>
        </w:trPr>
        <w:tc>
          <w:tcPr>
            <w:tcW w:w="704" w:type="dxa"/>
            <w:noWrap/>
            <w:hideMark/>
          </w:tcPr>
          <w:p w14:paraId="77A6812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C</w:t>
            </w:r>
          </w:p>
        </w:tc>
        <w:tc>
          <w:tcPr>
            <w:tcW w:w="851" w:type="dxa"/>
            <w:noWrap/>
            <w:hideMark/>
          </w:tcPr>
          <w:p w14:paraId="49B48DA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411.26875</w:t>
            </w:r>
          </w:p>
        </w:tc>
        <w:tc>
          <w:tcPr>
            <w:tcW w:w="708" w:type="dxa"/>
            <w:noWrap/>
            <w:hideMark/>
          </w:tcPr>
          <w:p w14:paraId="2EAA2DA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421.26875</w:t>
            </w:r>
          </w:p>
        </w:tc>
        <w:tc>
          <w:tcPr>
            <w:tcW w:w="709" w:type="dxa"/>
            <w:noWrap/>
            <w:hideMark/>
          </w:tcPr>
          <w:p w14:paraId="51A5790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D</w:t>
            </w:r>
          </w:p>
        </w:tc>
        <w:tc>
          <w:tcPr>
            <w:tcW w:w="709" w:type="dxa"/>
            <w:noWrap/>
            <w:hideMark/>
          </w:tcPr>
          <w:p w14:paraId="54206E2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411.28125</w:t>
            </w:r>
          </w:p>
        </w:tc>
        <w:tc>
          <w:tcPr>
            <w:tcW w:w="709" w:type="dxa"/>
            <w:noWrap/>
            <w:hideMark/>
          </w:tcPr>
          <w:p w14:paraId="7B2E0CD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421.28125</w:t>
            </w:r>
          </w:p>
        </w:tc>
        <w:tc>
          <w:tcPr>
            <w:tcW w:w="708" w:type="dxa"/>
            <w:noWrap/>
            <w:hideMark/>
          </w:tcPr>
          <w:p w14:paraId="30AF123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C</w:t>
            </w:r>
          </w:p>
        </w:tc>
        <w:tc>
          <w:tcPr>
            <w:tcW w:w="709" w:type="dxa"/>
            <w:noWrap/>
            <w:hideMark/>
          </w:tcPr>
          <w:p w14:paraId="475B4CF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411.29375</w:t>
            </w:r>
          </w:p>
        </w:tc>
        <w:tc>
          <w:tcPr>
            <w:tcW w:w="709" w:type="dxa"/>
            <w:noWrap/>
            <w:hideMark/>
          </w:tcPr>
          <w:p w14:paraId="14A41F9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421.29375</w:t>
            </w:r>
          </w:p>
        </w:tc>
        <w:tc>
          <w:tcPr>
            <w:tcW w:w="709" w:type="dxa"/>
            <w:noWrap/>
            <w:hideMark/>
          </w:tcPr>
          <w:p w14:paraId="775C630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D</w:t>
            </w:r>
          </w:p>
        </w:tc>
        <w:tc>
          <w:tcPr>
            <w:tcW w:w="802" w:type="dxa"/>
            <w:noWrap/>
            <w:hideMark/>
          </w:tcPr>
          <w:p w14:paraId="2E5003D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411.30625</w:t>
            </w:r>
          </w:p>
        </w:tc>
        <w:tc>
          <w:tcPr>
            <w:tcW w:w="861" w:type="dxa"/>
            <w:gridSpan w:val="2"/>
            <w:noWrap/>
            <w:hideMark/>
          </w:tcPr>
          <w:p w14:paraId="4EAF67E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421.30625</w:t>
            </w:r>
          </w:p>
        </w:tc>
      </w:tr>
      <w:tr w:rsidR="001C6AEE" w:rsidRPr="005379A1" w14:paraId="57458214" w14:textId="77777777" w:rsidTr="001C6AEE">
        <w:trPr>
          <w:trHeight w:val="20"/>
          <w:jc w:val="center"/>
        </w:trPr>
        <w:tc>
          <w:tcPr>
            <w:tcW w:w="704" w:type="dxa"/>
            <w:noWrap/>
            <w:hideMark/>
          </w:tcPr>
          <w:p w14:paraId="4E63D68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E</w:t>
            </w:r>
          </w:p>
        </w:tc>
        <w:tc>
          <w:tcPr>
            <w:tcW w:w="851" w:type="dxa"/>
            <w:noWrap/>
            <w:hideMark/>
          </w:tcPr>
          <w:p w14:paraId="672A0E0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411.46875</w:t>
            </w:r>
          </w:p>
        </w:tc>
        <w:tc>
          <w:tcPr>
            <w:tcW w:w="708" w:type="dxa"/>
            <w:noWrap/>
            <w:hideMark/>
          </w:tcPr>
          <w:p w14:paraId="5367F3B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421.46875</w:t>
            </w:r>
          </w:p>
        </w:tc>
        <w:tc>
          <w:tcPr>
            <w:tcW w:w="709" w:type="dxa"/>
            <w:noWrap/>
            <w:hideMark/>
          </w:tcPr>
          <w:p w14:paraId="55FE560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F</w:t>
            </w:r>
          </w:p>
        </w:tc>
        <w:tc>
          <w:tcPr>
            <w:tcW w:w="709" w:type="dxa"/>
            <w:noWrap/>
            <w:hideMark/>
          </w:tcPr>
          <w:p w14:paraId="19381A0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411.48125</w:t>
            </w:r>
          </w:p>
        </w:tc>
        <w:tc>
          <w:tcPr>
            <w:tcW w:w="709" w:type="dxa"/>
            <w:noWrap/>
            <w:hideMark/>
          </w:tcPr>
          <w:p w14:paraId="184A2D5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421.48125</w:t>
            </w:r>
          </w:p>
        </w:tc>
        <w:tc>
          <w:tcPr>
            <w:tcW w:w="708" w:type="dxa"/>
            <w:noWrap/>
            <w:hideMark/>
          </w:tcPr>
          <w:p w14:paraId="70BA5D6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E</w:t>
            </w:r>
          </w:p>
        </w:tc>
        <w:tc>
          <w:tcPr>
            <w:tcW w:w="709" w:type="dxa"/>
            <w:noWrap/>
            <w:hideMark/>
          </w:tcPr>
          <w:p w14:paraId="389E7A2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411.49375</w:t>
            </w:r>
          </w:p>
        </w:tc>
        <w:tc>
          <w:tcPr>
            <w:tcW w:w="709" w:type="dxa"/>
            <w:noWrap/>
            <w:hideMark/>
          </w:tcPr>
          <w:p w14:paraId="32C22C6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421.49375</w:t>
            </w:r>
          </w:p>
        </w:tc>
        <w:tc>
          <w:tcPr>
            <w:tcW w:w="709" w:type="dxa"/>
            <w:noWrap/>
            <w:hideMark/>
          </w:tcPr>
          <w:p w14:paraId="5E2F12C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F</w:t>
            </w:r>
          </w:p>
        </w:tc>
        <w:tc>
          <w:tcPr>
            <w:tcW w:w="802" w:type="dxa"/>
            <w:noWrap/>
            <w:hideMark/>
          </w:tcPr>
          <w:p w14:paraId="4EF083E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411.50625</w:t>
            </w:r>
          </w:p>
        </w:tc>
        <w:tc>
          <w:tcPr>
            <w:tcW w:w="861" w:type="dxa"/>
            <w:gridSpan w:val="2"/>
            <w:noWrap/>
            <w:hideMark/>
          </w:tcPr>
          <w:p w14:paraId="7C0141C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421.50625</w:t>
            </w:r>
          </w:p>
        </w:tc>
      </w:tr>
      <w:tr w:rsidR="001C6AEE" w:rsidRPr="005379A1" w14:paraId="0FB59EFB" w14:textId="77777777" w:rsidTr="001C6AEE">
        <w:trPr>
          <w:trHeight w:val="20"/>
          <w:jc w:val="center"/>
        </w:trPr>
        <w:tc>
          <w:tcPr>
            <w:tcW w:w="704" w:type="dxa"/>
            <w:noWrap/>
            <w:hideMark/>
          </w:tcPr>
          <w:p w14:paraId="209C0CD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G</w:t>
            </w:r>
          </w:p>
        </w:tc>
        <w:tc>
          <w:tcPr>
            <w:tcW w:w="851" w:type="dxa"/>
            <w:noWrap/>
            <w:hideMark/>
          </w:tcPr>
          <w:p w14:paraId="1DA44F5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411.66875</w:t>
            </w:r>
          </w:p>
        </w:tc>
        <w:tc>
          <w:tcPr>
            <w:tcW w:w="708" w:type="dxa"/>
            <w:noWrap/>
            <w:hideMark/>
          </w:tcPr>
          <w:p w14:paraId="4384BD4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421.66875</w:t>
            </w:r>
          </w:p>
        </w:tc>
        <w:tc>
          <w:tcPr>
            <w:tcW w:w="709" w:type="dxa"/>
            <w:noWrap/>
            <w:hideMark/>
          </w:tcPr>
          <w:p w14:paraId="565D621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H</w:t>
            </w:r>
          </w:p>
        </w:tc>
        <w:tc>
          <w:tcPr>
            <w:tcW w:w="709" w:type="dxa"/>
            <w:noWrap/>
            <w:hideMark/>
          </w:tcPr>
          <w:p w14:paraId="578919B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411.68125</w:t>
            </w:r>
          </w:p>
        </w:tc>
        <w:tc>
          <w:tcPr>
            <w:tcW w:w="709" w:type="dxa"/>
            <w:noWrap/>
            <w:hideMark/>
          </w:tcPr>
          <w:p w14:paraId="41AD84D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421.68125</w:t>
            </w:r>
          </w:p>
        </w:tc>
        <w:tc>
          <w:tcPr>
            <w:tcW w:w="708" w:type="dxa"/>
            <w:noWrap/>
            <w:hideMark/>
          </w:tcPr>
          <w:p w14:paraId="38CEC8E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G</w:t>
            </w:r>
          </w:p>
        </w:tc>
        <w:tc>
          <w:tcPr>
            <w:tcW w:w="709" w:type="dxa"/>
            <w:noWrap/>
            <w:hideMark/>
          </w:tcPr>
          <w:p w14:paraId="6FFE561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411.69375</w:t>
            </w:r>
          </w:p>
        </w:tc>
        <w:tc>
          <w:tcPr>
            <w:tcW w:w="709" w:type="dxa"/>
            <w:noWrap/>
            <w:hideMark/>
          </w:tcPr>
          <w:p w14:paraId="0B39296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421.69375</w:t>
            </w:r>
          </w:p>
        </w:tc>
        <w:tc>
          <w:tcPr>
            <w:tcW w:w="709" w:type="dxa"/>
            <w:noWrap/>
            <w:hideMark/>
          </w:tcPr>
          <w:p w14:paraId="2AF5990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H</w:t>
            </w:r>
          </w:p>
        </w:tc>
        <w:tc>
          <w:tcPr>
            <w:tcW w:w="802" w:type="dxa"/>
            <w:noWrap/>
            <w:hideMark/>
          </w:tcPr>
          <w:p w14:paraId="2AFB6D4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411.70625</w:t>
            </w:r>
          </w:p>
        </w:tc>
        <w:tc>
          <w:tcPr>
            <w:tcW w:w="861" w:type="dxa"/>
            <w:gridSpan w:val="2"/>
            <w:noWrap/>
            <w:hideMark/>
          </w:tcPr>
          <w:p w14:paraId="0A9BA27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421.70625</w:t>
            </w:r>
          </w:p>
        </w:tc>
      </w:tr>
      <w:tr w:rsidR="001C6AEE" w:rsidRPr="005379A1" w14:paraId="25ADB552" w14:textId="77777777" w:rsidTr="001C6AEE">
        <w:trPr>
          <w:trHeight w:val="20"/>
          <w:jc w:val="center"/>
        </w:trPr>
        <w:tc>
          <w:tcPr>
            <w:tcW w:w="704" w:type="dxa"/>
            <w:noWrap/>
            <w:hideMark/>
          </w:tcPr>
          <w:p w14:paraId="45A0C98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I</w:t>
            </w:r>
          </w:p>
        </w:tc>
        <w:tc>
          <w:tcPr>
            <w:tcW w:w="851" w:type="dxa"/>
            <w:noWrap/>
            <w:hideMark/>
          </w:tcPr>
          <w:p w14:paraId="4460A27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411.86875</w:t>
            </w:r>
          </w:p>
        </w:tc>
        <w:tc>
          <w:tcPr>
            <w:tcW w:w="708" w:type="dxa"/>
            <w:noWrap/>
            <w:hideMark/>
          </w:tcPr>
          <w:p w14:paraId="4A45F90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421.86875</w:t>
            </w:r>
          </w:p>
        </w:tc>
        <w:tc>
          <w:tcPr>
            <w:tcW w:w="709" w:type="dxa"/>
            <w:noWrap/>
            <w:hideMark/>
          </w:tcPr>
          <w:p w14:paraId="796EC7F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J</w:t>
            </w:r>
          </w:p>
        </w:tc>
        <w:tc>
          <w:tcPr>
            <w:tcW w:w="709" w:type="dxa"/>
            <w:noWrap/>
            <w:hideMark/>
          </w:tcPr>
          <w:p w14:paraId="29FB6EA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411.88125</w:t>
            </w:r>
          </w:p>
        </w:tc>
        <w:tc>
          <w:tcPr>
            <w:tcW w:w="709" w:type="dxa"/>
            <w:noWrap/>
            <w:hideMark/>
          </w:tcPr>
          <w:p w14:paraId="2DD107F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421.88125</w:t>
            </w:r>
          </w:p>
        </w:tc>
        <w:tc>
          <w:tcPr>
            <w:tcW w:w="708" w:type="dxa"/>
            <w:noWrap/>
            <w:hideMark/>
          </w:tcPr>
          <w:p w14:paraId="472B358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I</w:t>
            </w:r>
          </w:p>
        </w:tc>
        <w:tc>
          <w:tcPr>
            <w:tcW w:w="709" w:type="dxa"/>
            <w:noWrap/>
            <w:hideMark/>
          </w:tcPr>
          <w:p w14:paraId="5FB1F2C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411.89375</w:t>
            </w:r>
          </w:p>
        </w:tc>
        <w:tc>
          <w:tcPr>
            <w:tcW w:w="709" w:type="dxa"/>
            <w:noWrap/>
            <w:hideMark/>
          </w:tcPr>
          <w:p w14:paraId="48BBC1F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421.89375</w:t>
            </w:r>
          </w:p>
        </w:tc>
        <w:tc>
          <w:tcPr>
            <w:tcW w:w="709" w:type="dxa"/>
            <w:noWrap/>
            <w:hideMark/>
          </w:tcPr>
          <w:p w14:paraId="660CFC5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J</w:t>
            </w:r>
          </w:p>
        </w:tc>
        <w:tc>
          <w:tcPr>
            <w:tcW w:w="802" w:type="dxa"/>
            <w:noWrap/>
            <w:hideMark/>
          </w:tcPr>
          <w:p w14:paraId="1B3A819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411.90625</w:t>
            </w:r>
          </w:p>
        </w:tc>
        <w:tc>
          <w:tcPr>
            <w:tcW w:w="861" w:type="dxa"/>
            <w:gridSpan w:val="2"/>
            <w:noWrap/>
            <w:hideMark/>
          </w:tcPr>
          <w:p w14:paraId="2E8B00E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421.90625</w:t>
            </w:r>
          </w:p>
        </w:tc>
      </w:tr>
      <w:tr w:rsidR="001C6AEE" w:rsidRPr="005379A1" w14:paraId="3E7A2436" w14:textId="77777777" w:rsidTr="001C6AEE">
        <w:trPr>
          <w:gridAfter w:val="1"/>
          <w:wAfter w:w="94" w:type="dxa"/>
          <w:trHeight w:val="20"/>
          <w:jc w:val="center"/>
        </w:trPr>
        <w:tc>
          <w:tcPr>
            <w:tcW w:w="4390" w:type="dxa"/>
            <w:gridSpan w:val="6"/>
            <w:shd w:val="clear" w:color="auto" w:fill="A6A6A6" w:themeFill="background1" w:themeFillShade="A6"/>
            <w:noWrap/>
            <w:hideMark/>
          </w:tcPr>
          <w:p w14:paraId="1411CEC1" w14:textId="77777777" w:rsidR="001C6AEE" w:rsidRPr="005379A1" w:rsidRDefault="001C6AEE" w:rsidP="001C6AEE">
            <w:pPr>
              <w:jc w:val="center"/>
              <w:rPr>
                <w:rFonts w:ascii="ITC Avant Garde" w:hAnsi="ITC Avant Garde"/>
                <w:b/>
                <w:bCs/>
                <w:color w:val="000000"/>
                <w:sz w:val="10"/>
                <w:szCs w:val="10"/>
                <w:lang w:eastAsia="es-MX"/>
              </w:rPr>
            </w:pPr>
            <w:r w:rsidRPr="005379A1">
              <w:rPr>
                <w:rFonts w:ascii="ITC Avant Garde" w:hAnsi="ITC Avant Garde"/>
                <w:b/>
                <w:bCs/>
                <w:color w:val="000000"/>
                <w:sz w:val="10"/>
                <w:szCs w:val="10"/>
                <w:lang w:eastAsia="es-MX"/>
              </w:rPr>
              <w:t>Grupo 13</w:t>
            </w:r>
          </w:p>
        </w:tc>
        <w:tc>
          <w:tcPr>
            <w:tcW w:w="4404" w:type="dxa"/>
            <w:gridSpan w:val="6"/>
            <w:shd w:val="clear" w:color="auto" w:fill="A6A6A6" w:themeFill="background1" w:themeFillShade="A6"/>
            <w:noWrap/>
            <w:hideMark/>
          </w:tcPr>
          <w:p w14:paraId="0A356BED" w14:textId="77777777" w:rsidR="001C6AEE" w:rsidRPr="005379A1" w:rsidRDefault="001C6AEE" w:rsidP="001C6AEE">
            <w:pPr>
              <w:jc w:val="center"/>
              <w:rPr>
                <w:rFonts w:ascii="ITC Avant Garde" w:hAnsi="ITC Avant Garde"/>
                <w:b/>
                <w:bCs/>
                <w:color w:val="000000"/>
                <w:sz w:val="10"/>
                <w:szCs w:val="10"/>
                <w:lang w:eastAsia="es-MX"/>
              </w:rPr>
            </w:pPr>
            <w:r w:rsidRPr="005379A1">
              <w:rPr>
                <w:rFonts w:ascii="ITC Avant Garde" w:hAnsi="ITC Avant Garde"/>
                <w:b/>
                <w:bCs/>
                <w:color w:val="000000"/>
                <w:sz w:val="10"/>
                <w:szCs w:val="10"/>
                <w:lang w:eastAsia="es-MX"/>
              </w:rPr>
              <w:t>Grupo 21</w:t>
            </w:r>
          </w:p>
        </w:tc>
      </w:tr>
      <w:tr w:rsidR="001C6AEE" w:rsidRPr="005379A1" w14:paraId="1FB3222D" w14:textId="77777777" w:rsidTr="001C6AEE">
        <w:trPr>
          <w:trHeight w:val="20"/>
          <w:jc w:val="center"/>
        </w:trPr>
        <w:tc>
          <w:tcPr>
            <w:tcW w:w="704" w:type="dxa"/>
            <w:noWrap/>
            <w:hideMark/>
          </w:tcPr>
          <w:p w14:paraId="6ECBFF89"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851" w:type="dxa"/>
            <w:noWrap/>
            <w:hideMark/>
          </w:tcPr>
          <w:p w14:paraId="23171565"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8" w:type="dxa"/>
            <w:noWrap/>
            <w:hideMark/>
          </w:tcPr>
          <w:p w14:paraId="479C8973"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9" w:type="dxa"/>
            <w:noWrap/>
            <w:hideMark/>
          </w:tcPr>
          <w:p w14:paraId="5B51DEBC"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709" w:type="dxa"/>
            <w:noWrap/>
            <w:hideMark/>
          </w:tcPr>
          <w:p w14:paraId="6EDAC9F4"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9" w:type="dxa"/>
            <w:noWrap/>
            <w:hideMark/>
          </w:tcPr>
          <w:p w14:paraId="5A8298EA"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8" w:type="dxa"/>
            <w:noWrap/>
            <w:hideMark/>
          </w:tcPr>
          <w:p w14:paraId="5F312BD6"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709" w:type="dxa"/>
            <w:noWrap/>
            <w:hideMark/>
          </w:tcPr>
          <w:p w14:paraId="7C6BA0FB"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9" w:type="dxa"/>
            <w:noWrap/>
            <w:hideMark/>
          </w:tcPr>
          <w:p w14:paraId="480BC122"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9" w:type="dxa"/>
            <w:noWrap/>
            <w:hideMark/>
          </w:tcPr>
          <w:p w14:paraId="05FD0A40"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802" w:type="dxa"/>
            <w:noWrap/>
            <w:hideMark/>
          </w:tcPr>
          <w:p w14:paraId="577EE502"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861" w:type="dxa"/>
            <w:gridSpan w:val="2"/>
            <w:noWrap/>
            <w:hideMark/>
          </w:tcPr>
          <w:p w14:paraId="3A245A90"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r>
      <w:tr w:rsidR="001C6AEE" w:rsidRPr="005379A1" w14:paraId="3F39A7B1" w14:textId="77777777" w:rsidTr="001C6AEE">
        <w:trPr>
          <w:trHeight w:val="20"/>
          <w:jc w:val="center"/>
        </w:trPr>
        <w:tc>
          <w:tcPr>
            <w:tcW w:w="704" w:type="dxa"/>
            <w:noWrap/>
            <w:hideMark/>
          </w:tcPr>
          <w:p w14:paraId="3632E65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A</w:t>
            </w:r>
          </w:p>
        </w:tc>
        <w:tc>
          <w:tcPr>
            <w:tcW w:w="851" w:type="dxa"/>
            <w:noWrap/>
            <w:hideMark/>
          </w:tcPr>
          <w:p w14:paraId="59BBC18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411.11875</w:t>
            </w:r>
          </w:p>
        </w:tc>
        <w:tc>
          <w:tcPr>
            <w:tcW w:w="708" w:type="dxa"/>
            <w:noWrap/>
            <w:hideMark/>
          </w:tcPr>
          <w:p w14:paraId="12FCC9D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421.11875</w:t>
            </w:r>
          </w:p>
        </w:tc>
        <w:tc>
          <w:tcPr>
            <w:tcW w:w="709" w:type="dxa"/>
            <w:noWrap/>
            <w:hideMark/>
          </w:tcPr>
          <w:p w14:paraId="06D7F68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B</w:t>
            </w:r>
          </w:p>
        </w:tc>
        <w:tc>
          <w:tcPr>
            <w:tcW w:w="709" w:type="dxa"/>
            <w:noWrap/>
            <w:hideMark/>
          </w:tcPr>
          <w:p w14:paraId="26186B9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411.13125</w:t>
            </w:r>
          </w:p>
        </w:tc>
        <w:tc>
          <w:tcPr>
            <w:tcW w:w="709" w:type="dxa"/>
            <w:noWrap/>
            <w:hideMark/>
          </w:tcPr>
          <w:p w14:paraId="11E4203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421.13125</w:t>
            </w:r>
          </w:p>
        </w:tc>
        <w:tc>
          <w:tcPr>
            <w:tcW w:w="708" w:type="dxa"/>
            <w:noWrap/>
            <w:hideMark/>
          </w:tcPr>
          <w:p w14:paraId="77B5168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A</w:t>
            </w:r>
          </w:p>
        </w:tc>
        <w:tc>
          <w:tcPr>
            <w:tcW w:w="709" w:type="dxa"/>
            <w:noWrap/>
            <w:hideMark/>
          </w:tcPr>
          <w:p w14:paraId="792E217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412.11875</w:t>
            </w:r>
          </w:p>
        </w:tc>
        <w:tc>
          <w:tcPr>
            <w:tcW w:w="709" w:type="dxa"/>
            <w:noWrap/>
            <w:hideMark/>
          </w:tcPr>
          <w:p w14:paraId="79C7C0B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422.11875</w:t>
            </w:r>
          </w:p>
        </w:tc>
        <w:tc>
          <w:tcPr>
            <w:tcW w:w="709" w:type="dxa"/>
            <w:noWrap/>
            <w:hideMark/>
          </w:tcPr>
          <w:p w14:paraId="7F38A2D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B</w:t>
            </w:r>
          </w:p>
        </w:tc>
        <w:tc>
          <w:tcPr>
            <w:tcW w:w="802" w:type="dxa"/>
            <w:noWrap/>
            <w:hideMark/>
          </w:tcPr>
          <w:p w14:paraId="3ACAF54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412.13125</w:t>
            </w:r>
          </w:p>
        </w:tc>
        <w:tc>
          <w:tcPr>
            <w:tcW w:w="861" w:type="dxa"/>
            <w:gridSpan w:val="2"/>
            <w:noWrap/>
            <w:hideMark/>
          </w:tcPr>
          <w:p w14:paraId="17309E6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422.13125</w:t>
            </w:r>
          </w:p>
        </w:tc>
      </w:tr>
      <w:tr w:rsidR="001C6AEE" w:rsidRPr="005379A1" w14:paraId="4AA5072A" w14:textId="77777777" w:rsidTr="001C6AEE">
        <w:trPr>
          <w:trHeight w:val="20"/>
          <w:jc w:val="center"/>
        </w:trPr>
        <w:tc>
          <w:tcPr>
            <w:tcW w:w="704" w:type="dxa"/>
            <w:noWrap/>
            <w:hideMark/>
          </w:tcPr>
          <w:p w14:paraId="21E2F5B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C</w:t>
            </w:r>
          </w:p>
        </w:tc>
        <w:tc>
          <w:tcPr>
            <w:tcW w:w="851" w:type="dxa"/>
            <w:noWrap/>
            <w:hideMark/>
          </w:tcPr>
          <w:p w14:paraId="1AF91AB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411.31875</w:t>
            </w:r>
          </w:p>
        </w:tc>
        <w:tc>
          <w:tcPr>
            <w:tcW w:w="708" w:type="dxa"/>
            <w:noWrap/>
            <w:hideMark/>
          </w:tcPr>
          <w:p w14:paraId="6183936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421.31875</w:t>
            </w:r>
          </w:p>
        </w:tc>
        <w:tc>
          <w:tcPr>
            <w:tcW w:w="709" w:type="dxa"/>
            <w:noWrap/>
            <w:hideMark/>
          </w:tcPr>
          <w:p w14:paraId="0FBAF95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D</w:t>
            </w:r>
          </w:p>
        </w:tc>
        <w:tc>
          <w:tcPr>
            <w:tcW w:w="709" w:type="dxa"/>
            <w:noWrap/>
            <w:hideMark/>
          </w:tcPr>
          <w:p w14:paraId="12FB478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411.33125</w:t>
            </w:r>
          </w:p>
        </w:tc>
        <w:tc>
          <w:tcPr>
            <w:tcW w:w="709" w:type="dxa"/>
            <w:noWrap/>
            <w:hideMark/>
          </w:tcPr>
          <w:p w14:paraId="4CF4F61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421.33125</w:t>
            </w:r>
          </w:p>
        </w:tc>
        <w:tc>
          <w:tcPr>
            <w:tcW w:w="708" w:type="dxa"/>
            <w:noWrap/>
            <w:hideMark/>
          </w:tcPr>
          <w:p w14:paraId="6C91B29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C</w:t>
            </w:r>
          </w:p>
        </w:tc>
        <w:tc>
          <w:tcPr>
            <w:tcW w:w="709" w:type="dxa"/>
            <w:noWrap/>
            <w:hideMark/>
          </w:tcPr>
          <w:p w14:paraId="2C7D035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412.31875</w:t>
            </w:r>
          </w:p>
        </w:tc>
        <w:tc>
          <w:tcPr>
            <w:tcW w:w="709" w:type="dxa"/>
            <w:noWrap/>
            <w:hideMark/>
          </w:tcPr>
          <w:p w14:paraId="52F66C0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422.31875</w:t>
            </w:r>
          </w:p>
        </w:tc>
        <w:tc>
          <w:tcPr>
            <w:tcW w:w="709" w:type="dxa"/>
            <w:noWrap/>
            <w:hideMark/>
          </w:tcPr>
          <w:p w14:paraId="529B750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D</w:t>
            </w:r>
          </w:p>
        </w:tc>
        <w:tc>
          <w:tcPr>
            <w:tcW w:w="802" w:type="dxa"/>
            <w:noWrap/>
            <w:hideMark/>
          </w:tcPr>
          <w:p w14:paraId="30E56CA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412.33125</w:t>
            </w:r>
          </w:p>
        </w:tc>
        <w:tc>
          <w:tcPr>
            <w:tcW w:w="861" w:type="dxa"/>
            <w:gridSpan w:val="2"/>
            <w:noWrap/>
            <w:hideMark/>
          </w:tcPr>
          <w:p w14:paraId="6C85233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422.33125</w:t>
            </w:r>
          </w:p>
        </w:tc>
      </w:tr>
      <w:tr w:rsidR="001C6AEE" w:rsidRPr="005379A1" w14:paraId="1A31EFEA" w14:textId="77777777" w:rsidTr="001C6AEE">
        <w:trPr>
          <w:trHeight w:val="20"/>
          <w:jc w:val="center"/>
        </w:trPr>
        <w:tc>
          <w:tcPr>
            <w:tcW w:w="704" w:type="dxa"/>
            <w:noWrap/>
            <w:hideMark/>
          </w:tcPr>
          <w:p w14:paraId="3810BEC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E</w:t>
            </w:r>
          </w:p>
        </w:tc>
        <w:tc>
          <w:tcPr>
            <w:tcW w:w="851" w:type="dxa"/>
            <w:noWrap/>
            <w:hideMark/>
          </w:tcPr>
          <w:p w14:paraId="7573E76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411.51875</w:t>
            </w:r>
          </w:p>
        </w:tc>
        <w:tc>
          <w:tcPr>
            <w:tcW w:w="708" w:type="dxa"/>
            <w:noWrap/>
            <w:hideMark/>
          </w:tcPr>
          <w:p w14:paraId="7A81581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421.51875</w:t>
            </w:r>
          </w:p>
        </w:tc>
        <w:tc>
          <w:tcPr>
            <w:tcW w:w="709" w:type="dxa"/>
            <w:noWrap/>
            <w:hideMark/>
          </w:tcPr>
          <w:p w14:paraId="4F1C9BE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F</w:t>
            </w:r>
          </w:p>
        </w:tc>
        <w:tc>
          <w:tcPr>
            <w:tcW w:w="709" w:type="dxa"/>
            <w:noWrap/>
            <w:hideMark/>
          </w:tcPr>
          <w:p w14:paraId="1795E66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411.53125</w:t>
            </w:r>
          </w:p>
        </w:tc>
        <w:tc>
          <w:tcPr>
            <w:tcW w:w="709" w:type="dxa"/>
            <w:noWrap/>
            <w:hideMark/>
          </w:tcPr>
          <w:p w14:paraId="6CB3DB9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421.53125</w:t>
            </w:r>
          </w:p>
        </w:tc>
        <w:tc>
          <w:tcPr>
            <w:tcW w:w="708" w:type="dxa"/>
            <w:noWrap/>
            <w:hideMark/>
          </w:tcPr>
          <w:p w14:paraId="4AFB630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E</w:t>
            </w:r>
          </w:p>
        </w:tc>
        <w:tc>
          <w:tcPr>
            <w:tcW w:w="709" w:type="dxa"/>
            <w:noWrap/>
            <w:hideMark/>
          </w:tcPr>
          <w:p w14:paraId="2913E30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412.51875</w:t>
            </w:r>
          </w:p>
        </w:tc>
        <w:tc>
          <w:tcPr>
            <w:tcW w:w="709" w:type="dxa"/>
            <w:noWrap/>
            <w:hideMark/>
          </w:tcPr>
          <w:p w14:paraId="7AF986A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422.51875</w:t>
            </w:r>
          </w:p>
        </w:tc>
        <w:tc>
          <w:tcPr>
            <w:tcW w:w="709" w:type="dxa"/>
            <w:noWrap/>
            <w:hideMark/>
          </w:tcPr>
          <w:p w14:paraId="51B0230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F</w:t>
            </w:r>
          </w:p>
        </w:tc>
        <w:tc>
          <w:tcPr>
            <w:tcW w:w="802" w:type="dxa"/>
            <w:noWrap/>
            <w:hideMark/>
          </w:tcPr>
          <w:p w14:paraId="6D3C22A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412.53125</w:t>
            </w:r>
          </w:p>
        </w:tc>
        <w:tc>
          <w:tcPr>
            <w:tcW w:w="861" w:type="dxa"/>
            <w:gridSpan w:val="2"/>
            <w:noWrap/>
            <w:hideMark/>
          </w:tcPr>
          <w:p w14:paraId="370A1E1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422.53125</w:t>
            </w:r>
          </w:p>
        </w:tc>
      </w:tr>
      <w:tr w:rsidR="001C6AEE" w:rsidRPr="005379A1" w14:paraId="724452B4" w14:textId="77777777" w:rsidTr="001C6AEE">
        <w:trPr>
          <w:trHeight w:val="20"/>
          <w:jc w:val="center"/>
        </w:trPr>
        <w:tc>
          <w:tcPr>
            <w:tcW w:w="704" w:type="dxa"/>
            <w:noWrap/>
            <w:hideMark/>
          </w:tcPr>
          <w:p w14:paraId="08CDB26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G</w:t>
            </w:r>
          </w:p>
        </w:tc>
        <w:tc>
          <w:tcPr>
            <w:tcW w:w="851" w:type="dxa"/>
            <w:noWrap/>
            <w:hideMark/>
          </w:tcPr>
          <w:p w14:paraId="5641334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411.71875</w:t>
            </w:r>
          </w:p>
        </w:tc>
        <w:tc>
          <w:tcPr>
            <w:tcW w:w="708" w:type="dxa"/>
            <w:noWrap/>
            <w:hideMark/>
          </w:tcPr>
          <w:p w14:paraId="1E5987F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421.71875</w:t>
            </w:r>
          </w:p>
        </w:tc>
        <w:tc>
          <w:tcPr>
            <w:tcW w:w="709" w:type="dxa"/>
            <w:noWrap/>
            <w:hideMark/>
          </w:tcPr>
          <w:p w14:paraId="6BC289D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H</w:t>
            </w:r>
          </w:p>
        </w:tc>
        <w:tc>
          <w:tcPr>
            <w:tcW w:w="709" w:type="dxa"/>
            <w:noWrap/>
            <w:hideMark/>
          </w:tcPr>
          <w:p w14:paraId="212DE46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411.73125</w:t>
            </w:r>
          </w:p>
        </w:tc>
        <w:tc>
          <w:tcPr>
            <w:tcW w:w="709" w:type="dxa"/>
            <w:noWrap/>
            <w:hideMark/>
          </w:tcPr>
          <w:p w14:paraId="78A0165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421.73125</w:t>
            </w:r>
          </w:p>
        </w:tc>
        <w:tc>
          <w:tcPr>
            <w:tcW w:w="708" w:type="dxa"/>
            <w:noWrap/>
            <w:hideMark/>
          </w:tcPr>
          <w:p w14:paraId="3086CA8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G</w:t>
            </w:r>
          </w:p>
        </w:tc>
        <w:tc>
          <w:tcPr>
            <w:tcW w:w="709" w:type="dxa"/>
            <w:noWrap/>
            <w:hideMark/>
          </w:tcPr>
          <w:p w14:paraId="3E1531E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412.71875</w:t>
            </w:r>
          </w:p>
        </w:tc>
        <w:tc>
          <w:tcPr>
            <w:tcW w:w="709" w:type="dxa"/>
            <w:noWrap/>
            <w:hideMark/>
          </w:tcPr>
          <w:p w14:paraId="4E284AF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422.71875</w:t>
            </w:r>
          </w:p>
        </w:tc>
        <w:tc>
          <w:tcPr>
            <w:tcW w:w="709" w:type="dxa"/>
            <w:noWrap/>
            <w:hideMark/>
          </w:tcPr>
          <w:p w14:paraId="7AD12D6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H</w:t>
            </w:r>
          </w:p>
        </w:tc>
        <w:tc>
          <w:tcPr>
            <w:tcW w:w="802" w:type="dxa"/>
            <w:noWrap/>
            <w:hideMark/>
          </w:tcPr>
          <w:p w14:paraId="45C8181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412.73125</w:t>
            </w:r>
          </w:p>
        </w:tc>
        <w:tc>
          <w:tcPr>
            <w:tcW w:w="861" w:type="dxa"/>
            <w:gridSpan w:val="2"/>
            <w:noWrap/>
            <w:hideMark/>
          </w:tcPr>
          <w:p w14:paraId="2852243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422.73125</w:t>
            </w:r>
          </w:p>
        </w:tc>
      </w:tr>
      <w:tr w:rsidR="001C6AEE" w:rsidRPr="005379A1" w14:paraId="5452107C" w14:textId="77777777" w:rsidTr="001C6AEE">
        <w:trPr>
          <w:trHeight w:val="20"/>
          <w:jc w:val="center"/>
        </w:trPr>
        <w:tc>
          <w:tcPr>
            <w:tcW w:w="704" w:type="dxa"/>
            <w:noWrap/>
            <w:hideMark/>
          </w:tcPr>
          <w:p w14:paraId="4225C5D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I</w:t>
            </w:r>
          </w:p>
        </w:tc>
        <w:tc>
          <w:tcPr>
            <w:tcW w:w="851" w:type="dxa"/>
            <w:noWrap/>
            <w:hideMark/>
          </w:tcPr>
          <w:p w14:paraId="3E23AC1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411.91875</w:t>
            </w:r>
          </w:p>
        </w:tc>
        <w:tc>
          <w:tcPr>
            <w:tcW w:w="708" w:type="dxa"/>
            <w:noWrap/>
            <w:hideMark/>
          </w:tcPr>
          <w:p w14:paraId="798D9FC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421.91875</w:t>
            </w:r>
          </w:p>
        </w:tc>
        <w:tc>
          <w:tcPr>
            <w:tcW w:w="709" w:type="dxa"/>
            <w:noWrap/>
            <w:hideMark/>
          </w:tcPr>
          <w:p w14:paraId="49389D8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J</w:t>
            </w:r>
          </w:p>
        </w:tc>
        <w:tc>
          <w:tcPr>
            <w:tcW w:w="709" w:type="dxa"/>
            <w:noWrap/>
            <w:hideMark/>
          </w:tcPr>
          <w:p w14:paraId="1C00B32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411.93125</w:t>
            </w:r>
          </w:p>
        </w:tc>
        <w:tc>
          <w:tcPr>
            <w:tcW w:w="709" w:type="dxa"/>
            <w:noWrap/>
            <w:hideMark/>
          </w:tcPr>
          <w:p w14:paraId="61E5372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421.93125</w:t>
            </w:r>
          </w:p>
        </w:tc>
        <w:tc>
          <w:tcPr>
            <w:tcW w:w="708" w:type="dxa"/>
            <w:noWrap/>
            <w:hideMark/>
          </w:tcPr>
          <w:p w14:paraId="3181D38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I</w:t>
            </w:r>
          </w:p>
        </w:tc>
        <w:tc>
          <w:tcPr>
            <w:tcW w:w="709" w:type="dxa"/>
            <w:noWrap/>
            <w:hideMark/>
          </w:tcPr>
          <w:p w14:paraId="5C9C74E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412.91875</w:t>
            </w:r>
          </w:p>
        </w:tc>
        <w:tc>
          <w:tcPr>
            <w:tcW w:w="709" w:type="dxa"/>
            <w:noWrap/>
            <w:hideMark/>
          </w:tcPr>
          <w:p w14:paraId="793E793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422.91875</w:t>
            </w:r>
          </w:p>
        </w:tc>
        <w:tc>
          <w:tcPr>
            <w:tcW w:w="709" w:type="dxa"/>
            <w:noWrap/>
            <w:hideMark/>
          </w:tcPr>
          <w:p w14:paraId="6CBE34D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J</w:t>
            </w:r>
          </w:p>
        </w:tc>
        <w:tc>
          <w:tcPr>
            <w:tcW w:w="802" w:type="dxa"/>
            <w:noWrap/>
            <w:hideMark/>
          </w:tcPr>
          <w:p w14:paraId="57FEC72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412.93125</w:t>
            </w:r>
          </w:p>
        </w:tc>
        <w:tc>
          <w:tcPr>
            <w:tcW w:w="861" w:type="dxa"/>
            <w:gridSpan w:val="2"/>
            <w:noWrap/>
            <w:hideMark/>
          </w:tcPr>
          <w:p w14:paraId="642AAD9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422.93125</w:t>
            </w:r>
          </w:p>
        </w:tc>
      </w:tr>
      <w:tr w:rsidR="001C6AEE" w:rsidRPr="005379A1" w14:paraId="127CE833" w14:textId="77777777" w:rsidTr="001C6AEE">
        <w:trPr>
          <w:gridAfter w:val="1"/>
          <w:wAfter w:w="94" w:type="dxa"/>
          <w:trHeight w:val="20"/>
          <w:jc w:val="center"/>
        </w:trPr>
        <w:tc>
          <w:tcPr>
            <w:tcW w:w="4390" w:type="dxa"/>
            <w:gridSpan w:val="6"/>
            <w:shd w:val="clear" w:color="auto" w:fill="A6A6A6" w:themeFill="background1" w:themeFillShade="A6"/>
            <w:noWrap/>
            <w:hideMark/>
          </w:tcPr>
          <w:p w14:paraId="6B4F3957" w14:textId="77777777" w:rsidR="001C6AEE" w:rsidRPr="005379A1" w:rsidRDefault="001C6AEE" w:rsidP="001C6AEE">
            <w:pPr>
              <w:jc w:val="center"/>
              <w:rPr>
                <w:rFonts w:ascii="ITC Avant Garde" w:hAnsi="ITC Avant Garde"/>
                <w:b/>
                <w:bCs/>
                <w:color w:val="000000"/>
                <w:sz w:val="10"/>
                <w:szCs w:val="10"/>
                <w:lang w:eastAsia="es-MX"/>
              </w:rPr>
            </w:pPr>
            <w:r w:rsidRPr="005379A1">
              <w:rPr>
                <w:rFonts w:ascii="ITC Avant Garde" w:hAnsi="ITC Avant Garde"/>
                <w:b/>
                <w:bCs/>
                <w:color w:val="000000"/>
                <w:sz w:val="10"/>
                <w:szCs w:val="10"/>
                <w:lang w:eastAsia="es-MX"/>
              </w:rPr>
              <w:t>Grupo 22</w:t>
            </w:r>
          </w:p>
        </w:tc>
        <w:tc>
          <w:tcPr>
            <w:tcW w:w="4404" w:type="dxa"/>
            <w:gridSpan w:val="6"/>
            <w:shd w:val="clear" w:color="auto" w:fill="A6A6A6" w:themeFill="background1" w:themeFillShade="A6"/>
            <w:noWrap/>
            <w:hideMark/>
          </w:tcPr>
          <w:p w14:paraId="5957A5B5" w14:textId="77777777" w:rsidR="001C6AEE" w:rsidRPr="005379A1" w:rsidRDefault="001C6AEE" w:rsidP="001C6AEE">
            <w:pPr>
              <w:jc w:val="center"/>
              <w:rPr>
                <w:rFonts w:ascii="ITC Avant Garde" w:hAnsi="ITC Avant Garde"/>
                <w:b/>
                <w:bCs/>
                <w:color w:val="000000"/>
                <w:sz w:val="10"/>
                <w:szCs w:val="10"/>
                <w:lang w:eastAsia="es-MX"/>
              </w:rPr>
            </w:pPr>
            <w:r w:rsidRPr="005379A1">
              <w:rPr>
                <w:rFonts w:ascii="ITC Avant Garde" w:hAnsi="ITC Avant Garde"/>
                <w:b/>
                <w:bCs/>
                <w:color w:val="000000"/>
                <w:sz w:val="10"/>
                <w:szCs w:val="10"/>
                <w:lang w:eastAsia="es-MX"/>
              </w:rPr>
              <w:t>Grupo 23</w:t>
            </w:r>
          </w:p>
        </w:tc>
      </w:tr>
      <w:tr w:rsidR="001C6AEE" w:rsidRPr="005379A1" w14:paraId="2E8A33AE" w14:textId="77777777" w:rsidTr="001C6AEE">
        <w:trPr>
          <w:trHeight w:val="20"/>
          <w:jc w:val="center"/>
        </w:trPr>
        <w:tc>
          <w:tcPr>
            <w:tcW w:w="704" w:type="dxa"/>
            <w:noWrap/>
            <w:hideMark/>
          </w:tcPr>
          <w:p w14:paraId="5CE49F07"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851" w:type="dxa"/>
            <w:noWrap/>
            <w:hideMark/>
          </w:tcPr>
          <w:p w14:paraId="49B5B9B7"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8" w:type="dxa"/>
            <w:noWrap/>
            <w:hideMark/>
          </w:tcPr>
          <w:p w14:paraId="5BA28A14"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9" w:type="dxa"/>
            <w:noWrap/>
            <w:hideMark/>
          </w:tcPr>
          <w:p w14:paraId="059810FD"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709" w:type="dxa"/>
            <w:noWrap/>
            <w:hideMark/>
          </w:tcPr>
          <w:p w14:paraId="35D066B8"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9" w:type="dxa"/>
            <w:noWrap/>
            <w:hideMark/>
          </w:tcPr>
          <w:p w14:paraId="17016C26"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8" w:type="dxa"/>
            <w:noWrap/>
            <w:hideMark/>
          </w:tcPr>
          <w:p w14:paraId="2C9EB656"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709" w:type="dxa"/>
            <w:noWrap/>
            <w:hideMark/>
          </w:tcPr>
          <w:p w14:paraId="5FC5D47C"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9" w:type="dxa"/>
            <w:noWrap/>
            <w:hideMark/>
          </w:tcPr>
          <w:p w14:paraId="437591AE"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9" w:type="dxa"/>
            <w:noWrap/>
            <w:hideMark/>
          </w:tcPr>
          <w:p w14:paraId="1062AAFD"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802" w:type="dxa"/>
            <w:noWrap/>
            <w:hideMark/>
          </w:tcPr>
          <w:p w14:paraId="3446592B"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861" w:type="dxa"/>
            <w:gridSpan w:val="2"/>
            <w:noWrap/>
            <w:hideMark/>
          </w:tcPr>
          <w:p w14:paraId="09D79560"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r>
      <w:tr w:rsidR="001C6AEE" w:rsidRPr="005379A1" w14:paraId="2A044324" w14:textId="77777777" w:rsidTr="001C6AEE">
        <w:trPr>
          <w:trHeight w:val="20"/>
          <w:jc w:val="center"/>
        </w:trPr>
        <w:tc>
          <w:tcPr>
            <w:tcW w:w="704" w:type="dxa"/>
            <w:noWrap/>
            <w:hideMark/>
          </w:tcPr>
          <w:p w14:paraId="06ED6FB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A</w:t>
            </w:r>
          </w:p>
        </w:tc>
        <w:tc>
          <w:tcPr>
            <w:tcW w:w="851" w:type="dxa"/>
            <w:noWrap/>
            <w:hideMark/>
          </w:tcPr>
          <w:p w14:paraId="5DE32FE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412.14375</w:t>
            </w:r>
          </w:p>
        </w:tc>
        <w:tc>
          <w:tcPr>
            <w:tcW w:w="708" w:type="dxa"/>
            <w:noWrap/>
            <w:hideMark/>
          </w:tcPr>
          <w:p w14:paraId="6FB1466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422.14375</w:t>
            </w:r>
          </w:p>
        </w:tc>
        <w:tc>
          <w:tcPr>
            <w:tcW w:w="709" w:type="dxa"/>
            <w:noWrap/>
            <w:hideMark/>
          </w:tcPr>
          <w:p w14:paraId="7EE77C1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B</w:t>
            </w:r>
          </w:p>
        </w:tc>
        <w:tc>
          <w:tcPr>
            <w:tcW w:w="709" w:type="dxa"/>
            <w:noWrap/>
            <w:hideMark/>
          </w:tcPr>
          <w:p w14:paraId="11907D1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412.15625</w:t>
            </w:r>
          </w:p>
        </w:tc>
        <w:tc>
          <w:tcPr>
            <w:tcW w:w="709" w:type="dxa"/>
            <w:noWrap/>
            <w:hideMark/>
          </w:tcPr>
          <w:p w14:paraId="6F1A884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422.15625</w:t>
            </w:r>
          </w:p>
        </w:tc>
        <w:tc>
          <w:tcPr>
            <w:tcW w:w="708" w:type="dxa"/>
            <w:noWrap/>
            <w:hideMark/>
          </w:tcPr>
          <w:p w14:paraId="67EB183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A</w:t>
            </w:r>
          </w:p>
        </w:tc>
        <w:tc>
          <w:tcPr>
            <w:tcW w:w="709" w:type="dxa"/>
            <w:noWrap/>
            <w:hideMark/>
          </w:tcPr>
          <w:p w14:paraId="410C926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412.16875</w:t>
            </w:r>
          </w:p>
        </w:tc>
        <w:tc>
          <w:tcPr>
            <w:tcW w:w="709" w:type="dxa"/>
            <w:noWrap/>
            <w:hideMark/>
          </w:tcPr>
          <w:p w14:paraId="1A58670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422.16875</w:t>
            </w:r>
          </w:p>
        </w:tc>
        <w:tc>
          <w:tcPr>
            <w:tcW w:w="709" w:type="dxa"/>
            <w:noWrap/>
            <w:hideMark/>
          </w:tcPr>
          <w:p w14:paraId="4C74946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B</w:t>
            </w:r>
          </w:p>
        </w:tc>
        <w:tc>
          <w:tcPr>
            <w:tcW w:w="802" w:type="dxa"/>
            <w:noWrap/>
            <w:hideMark/>
          </w:tcPr>
          <w:p w14:paraId="2F6E746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412.18125</w:t>
            </w:r>
          </w:p>
        </w:tc>
        <w:tc>
          <w:tcPr>
            <w:tcW w:w="861" w:type="dxa"/>
            <w:gridSpan w:val="2"/>
            <w:noWrap/>
            <w:hideMark/>
          </w:tcPr>
          <w:p w14:paraId="3B759C9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422.18125</w:t>
            </w:r>
          </w:p>
        </w:tc>
      </w:tr>
      <w:tr w:rsidR="001C6AEE" w:rsidRPr="005379A1" w14:paraId="78785F35" w14:textId="77777777" w:rsidTr="001C6AEE">
        <w:trPr>
          <w:trHeight w:val="20"/>
          <w:jc w:val="center"/>
        </w:trPr>
        <w:tc>
          <w:tcPr>
            <w:tcW w:w="704" w:type="dxa"/>
            <w:noWrap/>
            <w:hideMark/>
          </w:tcPr>
          <w:p w14:paraId="0090751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C</w:t>
            </w:r>
          </w:p>
        </w:tc>
        <w:tc>
          <w:tcPr>
            <w:tcW w:w="851" w:type="dxa"/>
            <w:noWrap/>
            <w:hideMark/>
          </w:tcPr>
          <w:p w14:paraId="40E922B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412.34375</w:t>
            </w:r>
          </w:p>
        </w:tc>
        <w:tc>
          <w:tcPr>
            <w:tcW w:w="708" w:type="dxa"/>
            <w:noWrap/>
            <w:hideMark/>
          </w:tcPr>
          <w:p w14:paraId="4AE4954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422.34375</w:t>
            </w:r>
          </w:p>
        </w:tc>
        <w:tc>
          <w:tcPr>
            <w:tcW w:w="709" w:type="dxa"/>
            <w:noWrap/>
            <w:hideMark/>
          </w:tcPr>
          <w:p w14:paraId="3E3F93D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D</w:t>
            </w:r>
          </w:p>
        </w:tc>
        <w:tc>
          <w:tcPr>
            <w:tcW w:w="709" w:type="dxa"/>
            <w:noWrap/>
            <w:hideMark/>
          </w:tcPr>
          <w:p w14:paraId="2817912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412.35625</w:t>
            </w:r>
          </w:p>
        </w:tc>
        <w:tc>
          <w:tcPr>
            <w:tcW w:w="709" w:type="dxa"/>
            <w:noWrap/>
            <w:hideMark/>
          </w:tcPr>
          <w:p w14:paraId="2B2823D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422.35625</w:t>
            </w:r>
          </w:p>
        </w:tc>
        <w:tc>
          <w:tcPr>
            <w:tcW w:w="708" w:type="dxa"/>
            <w:noWrap/>
            <w:hideMark/>
          </w:tcPr>
          <w:p w14:paraId="3DF2C79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C</w:t>
            </w:r>
          </w:p>
        </w:tc>
        <w:tc>
          <w:tcPr>
            <w:tcW w:w="709" w:type="dxa"/>
            <w:noWrap/>
            <w:hideMark/>
          </w:tcPr>
          <w:p w14:paraId="25DED9D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412.36875</w:t>
            </w:r>
          </w:p>
        </w:tc>
        <w:tc>
          <w:tcPr>
            <w:tcW w:w="709" w:type="dxa"/>
            <w:noWrap/>
            <w:hideMark/>
          </w:tcPr>
          <w:p w14:paraId="7157267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422.36875</w:t>
            </w:r>
          </w:p>
        </w:tc>
        <w:tc>
          <w:tcPr>
            <w:tcW w:w="709" w:type="dxa"/>
            <w:noWrap/>
            <w:hideMark/>
          </w:tcPr>
          <w:p w14:paraId="376B0FD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D</w:t>
            </w:r>
          </w:p>
        </w:tc>
        <w:tc>
          <w:tcPr>
            <w:tcW w:w="802" w:type="dxa"/>
            <w:noWrap/>
            <w:hideMark/>
          </w:tcPr>
          <w:p w14:paraId="214AE9D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412.38125</w:t>
            </w:r>
          </w:p>
        </w:tc>
        <w:tc>
          <w:tcPr>
            <w:tcW w:w="861" w:type="dxa"/>
            <w:gridSpan w:val="2"/>
            <w:noWrap/>
            <w:hideMark/>
          </w:tcPr>
          <w:p w14:paraId="51F9D54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422.38125</w:t>
            </w:r>
          </w:p>
        </w:tc>
      </w:tr>
      <w:tr w:rsidR="001C6AEE" w:rsidRPr="005379A1" w14:paraId="3CA7102D" w14:textId="77777777" w:rsidTr="001C6AEE">
        <w:trPr>
          <w:trHeight w:val="20"/>
          <w:jc w:val="center"/>
        </w:trPr>
        <w:tc>
          <w:tcPr>
            <w:tcW w:w="704" w:type="dxa"/>
            <w:noWrap/>
            <w:hideMark/>
          </w:tcPr>
          <w:p w14:paraId="3CE9609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E</w:t>
            </w:r>
          </w:p>
        </w:tc>
        <w:tc>
          <w:tcPr>
            <w:tcW w:w="851" w:type="dxa"/>
            <w:noWrap/>
            <w:hideMark/>
          </w:tcPr>
          <w:p w14:paraId="602BC09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412.54375</w:t>
            </w:r>
          </w:p>
        </w:tc>
        <w:tc>
          <w:tcPr>
            <w:tcW w:w="708" w:type="dxa"/>
            <w:noWrap/>
            <w:hideMark/>
          </w:tcPr>
          <w:p w14:paraId="0988807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422.54375</w:t>
            </w:r>
          </w:p>
        </w:tc>
        <w:tc>
          <w:tcPr>
            <w:tcW w:w="709" w:type="dxa"/>
            <w:noWrap/>
            <w:hideMark/>
          </w:tcPr>
          <w:p w14:paraId="54B4B7E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F</w:t>
            </w:r>
          </w:p>
        </w:tc>
        <w:tc>
          <w:tcPr>
            <w:tcW w:w="709" w:type="dxa"/>
            <w:noWrap/>
            <w:hideMark/>
          </w:tcPr>
          <w:p w14:paraId="340124D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412.55625</w:t>
            </w:r>
          </w:p>
        </w:tc>
        <w:tc>
          <w:tcPr>
            <w:tcW w:w="709" w:type="dxa"/>
            <w:noWrap/>
            <w:hideMark/>
          </w:tcPr>
          <w:p w14:paraId="2AEF1DD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422.55625</w:t>
            </w:r>
          </w:p>
        </w:tc>
        <w:tc>
          <w:tcPr>
            <w:tcW w:w="708" w:type="dxa"/>
            <w:noWrap/>
            <w:hideMark/>
          </w:tcPr>
          <w:p w14:paraId="3259148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E</w:t>
            </w:r>
          </w:p>
        </w:tc>
        <w:tc>
          <w:tcPr>
            <w:tcW w:w="709" w:type="dxa"/>
            <w:noWrap/>
            <w:hideMark/>
          </w:tcPr>
          <w:p w14:paraId="1E7655B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412.56875</w:t>
            </w:r>
          </w:p>
        </w:tc>
        <w:tc>
          <w:tcPr>
            <w:tcW w:w="709" w:type="dxa"/>
            <w:noWrap/>
            <w:hideMark/>
          </w:tcPr>
          <w:p w14:paraId="3CC2336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422.56875</w:t>
            </w:r>
          </w:p>
        </w:tc>
        <w:tc>
          <w:tcPr>
            <w:tcW w:w="709" w:type="dxa"/>
            <w:noWrap/>
            <w:hideMark/>
          </w:tcPr>
          <w:p w14:paraId="013BCB6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F</w:t>
            </w:r>
          </w:p>
        </w:tc>
        <w:tc>
          <w:tcPr>
            <w:tcW w:w="802" w:type="dxa"/>
            <w:noWrap/>
            <w:hideMark/>
          </w:tcPr>
          <w:p w14:paraId="6DF7942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412.58125</w:t>
            </w:r>
          </w:p>
        </w:tc>
        <w:tc>
          <w:tcPr>
            <w:tcW w:w="861" w:type="dxa"/>
            <w:gridSpan w:val="2"/>
            <w:noWrap/>
            <w:hideMark/>
          </w:tcPr>
          <w:p w14:paraId="4DFB4C3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422.58125</w:t>
            </w:r>
          </w:p>
        </w:tc>
      </w:tr>
      <w:tr w:rsidR="001C6AEE" w:rsidRPr="005379A1" w14:paraId="19BDE9F0" w14:textId="77777777" w:rsidTr="001C6AEE">
        <w:trPr>
          <w:trHeight w:val="20"/>
          <w:jc w:val="center"/>
        </w:trPr>
        <w:tc>
          <w:tcPr>
            <w:tcW w:w="704" w:type="dxa"/>
            <w:noWrap/>
            <w:hideMark/>
          </w:tcPr>
          <w:p w14:paraId="70246B6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G</w:t>
            </w:r>
          </w:p>
        </w:tc>
        <w:tc>
          <w:tcPr>
            <w:tcW w:w="851" w:type="dxa"/>
            <w:noWrap/>
            <w:hideMark/>
          </w:tcPr>
          <w:p w14:paraId="4039658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412.74375</w:t>
            </w:r>
          </w:p>
        </w:tc>
        <w:tc>
          <w:tcPr>
            <w:tcW w:w="708" w:type="dxa"/>
            <w:noWrap/>
            <w:hideMark/>
          </w:tcPr>
          <w:p w14:paraId="74F993E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422.74375</w:t>
            </w:r>
          </w:p>
        </w:tc>
        <w:tc>
          <w:tcPr>
            <w:tcW w:w="709" w:type="dxa"/>
            <w:noWrap/>
            <w:hideMark/>
          </w:tcPr>
          <w:p w14:paraId="25AD1D2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H</w:t>
            </w:r>
          </w:p>
        </w:tc>
        <w:tc>
          <w:tcPr>
            <w:tcW w:w="709" w:type="dxa"/>
            <w:noWrap/>
            <w:hideMark/>
          </w:tcPr>
          <w:p w14:paraId="7D4344A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412.75625</w:t>
            </w:r>
          </w:p>
        </w:tc>
        <w:tc>
          <w:tcPr>
            <w:tcW w:w="709" w:type="dxa"/>
            <w:noWrap/>
            <w:hideMark/>
          </w:tcPr>
          <w:p w14:paraId="18AD36A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422.75625</w:t>
            </w:r>
          </w:p>
        </w:tc>
        <w:tc>
          <w:tcPr>
            <w:tcW w:w="708" w:type="dxa"/>
            <w:noWrap/>
            <w:hideMark/>
          </w:tcPr>
          <w:p w14:paraId="4815531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G</w:t>
            </w:r>
          </w:p>
        </w:tc>
        <w:tc>
          <w:tcPr>
            <w:tcW w:w="709" w:type="dxa"/>
            <w:noWrap/>
            <w:hideMark/>
          </w:tcPr>
          <w:p w14:paraId="752197A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412.76875</w:t>
            </w:r>
          </w:p>
        </w:tc>
        <w:tc>
          <w:tcPr>
            <w:tcW w:w="709" w:type="dxa"/>
            <w:noWrap/>
            <w:hideMark/>
          </w:tcPr>
          <w:p w14:paraId="24C4F7D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422.76875</w:t>
            </w:r>
          </w:p>
        </w:tc>
        <w:tc>
          <w:tcPr>
            <w:tcW w:w="709" w:type="dxa"/>
            <w:noWrap/>
            <w:hideMark/>
          </w:tcPr>
          <w:p w14:paraId="336559F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H</w:t>
            </w:r>
          </w:p>
        </w:tc>
        <w:tc>
          <w:tcPr>
            <w:tcW w:w="802" w:type="dxa"/>
            <w:noWrap/>
            <w:hideMark/>
          </w:tcPr>
          <w:p w14:paraId="5238FE3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412.78125</w:t>
            </w:r>
          </w:p>
        </w:tc>
        <w:tc>
          <w:tcPr>
            <w:tcW w:w="861" w:type="dxa"/>
            <w:gridSpan w:val="2"/>
            <w:noWrap/>
            <w:hideMark/>
          </w:tcPr>
          <w:p w14:paraId="6F7C971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422.78125</w:t>
            </w:r>
          </w:p>
        </w:tc>
      </w:tr>
      <w:tr w:rsidR="001C6AEE" w:rsidRPr="005379A1" w14:paraId="75361DBE" w14:textId="77777777" w:rsidTr="001C6AEE">
        <w:trPr>
          <w:trHeight w:val="20"/>
          <w:jc w:val="center"/>
        </w:trPr>
        <w:tc>
          <w:tcPr>
            <w:tcW w:w="704" w:type="dxa"/>
            <w:shd w:val="clear" w:color="auto" w:fill="FFFFFF" w:themeFill="background1"/>
            <w:noWrap/>
            <w:hideMark/>
          </w:tcPr>
          <w:p w14:paraId="25C44AD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I</w:t>
            </w:r>
          </w:p>
        </w:tc>
        <w:tc>
          <w:tcPr>
            <w:tcW w:w="851" w:type="dxa"/>
            <w:shd w:val="clear" w:color="auto" w:fill="FFFFFF" w:themeFill="background1"/>
            <w:noWrap/>
            <w:hideMark/>
          </w:tcPr>
          <w:p w14:paraId="767906B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412.94375</w:t>
            </w:r>
          </w:p>
        </w:tc>
        <w:tc>
          <w:tcPr>
            <w:tcW w:w="708" w:type="dxa"/>
            <w:shd w:val="clear" w:color="auto" w:fill="FFFFFF" w:themeFill="background1"/>
            <w:noWrap/>
            <w:hideMark/>
          </w:tcPr>
          <w:p w14:paraId="1C03225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422.94375</w:t>
            </w:r>
          </w:p>
        </w:tc>
        <w:tc>
          <w:tcPr>
            <w:tcW w:w="709" w:type="dxa"/>
            <w:shd w:val="clear" w:color="auto" w:fill="FFFFFF" w:themeFill="background1"/>
            <w:noWrap/>
            <w:hideMark/>
          </w:tcPr>
          <w:p w14:paraId="3F498D0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J</w:t>
            </w:r>
          </w:p>
        </w:tc>
        <w:tc>
          <w:tcPr>
            <w:tcW w:w="709" w:type="dxa"/>
            <w:shd w:val="clear" w:color="auto" w:fill="FFFFFF" w:themeFill="background1"/>
            <w:noWrap/>
            <w:hideMark/>
          </w:tcPr>
          <w:p w14:paraId="03B3C6B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412.95625</w:t>
            </w:r>
          </w:p>
        </w:tc>
        <w:tc>
          <w:tcPr>
            <w:tcW w:w="709" w:type="dxa"/>
            <w:shd w:val="clear" w:color="auto" w:fill="FFFFFF" w:themeFill="background1"/>
            <w:noWrap/>
            <w:hideMark/>
          </w:tcPr>
          <w:p w14:paraId="22DC3D4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422.95625</w:t>
            </w:r>
          </w:p>
        </w:tc>
        <w:tc>
          <w:tcPr>
            <w:tcW w:w="708" w:type="dxa"/>
            <w:shd w:val="clear" w:color="auto" w:fill="FFFFFF" w:themeFill="background1"/>
            <w:noWrap/>
            <w:hideMark/>
          </w:tcPr>
          <w:p w14:paraId="7627362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I</w:t>
            </w:r>
          </w:p>
        </w:tc>
        <w:tc>
          <w:tcPr>
            <w:tcW w:w="709" w:type="dxa"/>
            <w:shd w:val="clear" w:color="auto" w:fill="FFFFFF" w:themeFill="background1"/>
            <w:noWrap/>
            <w:hideMark/>
          </w:tcPr>
          <w:p w14:paraId="5955C8A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412.96875</w:t>
            </w:r>
          </w:p>
        </w:tc>
        <w:tc>
          <w:tcPr>
            <w:tcW w:w="709" w:type="dxa"/>
            <w:shd w:val="clear" w:color="auto" w:fill="FFFFFF" w:themeFill="background1"/>
            <w:noWrap/>
            <w:hideMark/>
          </w:tcPr>
          <w:p w14:paraId="4AFF1E4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422.96875</w:t>
            </w:r>
          </w:p>
        </w:tc>
        <w:tc>
          <w:tcPr>
            <w:tcW w:w="709" w:type="dxa"/>
            <w:shd w:val="clear" w:color="auto" w:fill="FFFFFF" w:themeFill="background1"/>
            <w:noWrap/>
            <w:hideMark/>
          </w:tcPr>
          <w:p w14:paraId="3838AC4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J</w:t>
            </w:r>
          </w:p>
        </w:tc>
        <w:tc>
          <w:tcPr>
            <w:tcW w:w="802" w:type="dxa"/>
            <w:shd w:val="clear" w:color="auto" w:fill="FFFFFF" w:themeFill="background1"/>
            <w:noWrap/>
            <w:hideMark/>
          </w:tcPr>
          <w:p w14:paraId="71362BF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412.98125</w:t>
            </w:r>
          </w:p>
        </w:tc>
        <w:tc>
          <w:tcPr>
            <w:tcW w:w="861" w:type="dxa"/>
            <w:gridSpan w:val="2"/>
            <w:shd w:val="clear" w:color="auto" w:fill="FFFFFF" w:themeFill="background1"/>
            <w:noWrap/>
            <w:hideMark/>
          </w:tcPr>
          <w:p w14:paraId="4642369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422.98125</w:t>
            </w:r>
          </w:p>
        </w:tc>
      </w:tr>
      <w:tr w:rsidR="001C6AEE" w:rsidRPr="005379A1" w14:paraId="30D10942" w14:textId="77777777" w:rsidTr="001C6AEE">
        <w:trPr>
          <w:gridAfter w:val="1"/>
          <w:wAfter w:w="94" w:type="dxa"/>
          <w:trHeight w:val="20"/>
          <w:jc w:val="center"/>
        </w:trPr>
        <w:tc>
          <w:tcPr>
            <w:tcW w:w="4390" w:type="dxa"/>
            <w:gridSpan w:val="6"/>
            <w:shd w:val="clear" w:color="auto" w:fill="BFBFBF" w:themeFill="background1" w:themeFillShade="BF"/>
            <w:noWrap/>
            <w:hideMark/>
          </w:tcPr>
          <w:p w14:paraId="381FF3C4" w14:textId="77777777" w:rsidR="001C6AEE" w:rsidRPr="005379A1" w:rsidRDefault="001C6AEE" w:rsidP="001C6AEE">
            <w:pPr>
              <w:jc w:val="center"/>
              <w:rPr>
                <w:rFonts w:ascii="ITC Avant Garde" w:hAnsi="ITC Avant Garde"/>
                <w:b/>
                <w:bCs/>
                <w:color w:val="000000"/>
                <w:sz w:val="10"/>
                <w:szCs w:val="10"/>
                <w:lang w:eastAsia="es-MX"/>
              </w:rPr>
            </w:pPr>
            <w:r w:rsidRPr="005379A1">
              <w:rPr>
                <w:rFonts w:ascii="ITC Avant Garde" w:hAnsi="ITC Avant Garde"/>
                <w:b/>
                <w:bCs/>
                <w:color w:val="000000"/>
                <w:sz w:val="10"/>
                <w:szCs w:val="10"/>
                <w:lang w:eastAsia="es-MX"/>
              </w:rPr>
              <w:t>Grupo 24</w:t>
            </w:r>
          </w:p>
        </w:tc>
        <w:tc>
          <w:tcPr>
            <w:tcW w:w="4404" w:type="dxa"/>
            <w:gridSpan w:val="6"/>
            <w:shd w:val="clear" w:color="auto" w:fill="BFBFBF" w:themeFill="background1" w:themeFillShade="BF"/>
            <w:noWrap/>
            <w:hideMark/>
          </w:tcPr>
          <w:p w14:paraId="3CD775DA" w14:textId="77777777" w:rsidR="001C6AEE" w:rsidRPr="005379A1" w:rsidRDefault="001C6AEE" w:rsidP="001C6AEE">
            <w:pPr>
              <w:jc w:val="center"/>
              <w:rPr>
                <w:rFonts w:ascii="ITC Avant Garde" w:hAnsi="ITC Avant Garde"/>
                <w:b/>
                <w:bCs/>
                <w:color w:val="000000"/>
                <w:sz w:val="10"/>
                <w:szCs w:val="10"/>
                <w:lang w:eastAsia="es-MX"/>
              </w:rPr>
            </w:pPr>
            <w:r w:rsidRPr="005379A1">
              <w:rPr>
                <w:rFonts w:ascii="ITC Avant Garde" w:hAnsi="ITC Avant Garde"/>
                <w:b/>
                <w:bCs/>
                <w:color w:val="000000"/>
                <w:sz w:val="10"/>
                <w:szCs w:val="10"/>
                <w:lang w:eastAsia="es-MX"/>
              </w:rPr>
              <w:t>Grupo 35</w:t>
            </w:r>
          </w:p>
        </w:tc>
      </w:tr>
      <w:tr w:rsidR="001C6AEE" w:rsidRPr="005379A1" w14:paraId="50B16FB9" w14:textId="77777777" w:rsidTr="001C6AEE">
        <w:trPr>
          <w:trHeight w:val="20"/>
          <w:jc w:val="center"/>
        </w:trPr>
        <w:tc>
          <w:tcPr>
            <w:tcW w:w="704" w:type="dxa"/>
            <w:noWrap/>
            <w:hideMark/>
          </w:tcPr>
          <w:p w14:paraId="5E5CF361"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851" w:type="dxa"/>
            <w:noWrap/>
            <w:hideMark/>
          </w:tcPr>
          <w:p w14:paraId="2EF1B83D"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8" w:type="dxa"/>
            <w:noWrap/>
            <w:hideMark/>
          </w:tcPr>
          <w:p w14:paraId="0A35DA80"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9" w:type="dxa"/>
            <w:noWrap/>
            <w:hideMark/>
          </w:tcPr>
          <w:p w14:paraId="4F0C07E9"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709" w:type="dxa"/>
            <w:noWrap/>
            <w:hideMark/>
          </w:tcPr>
          <w:p w14:paraId="1B986451"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9" w:type="dxa"/>
            <w:noWrap/>
            <w:hideMark/>
          </w:tcPr>
          <w:p w14:paraId="404D35C4"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8" w:type="dxa"/>
            <w:noWrap/>
            <w:hideMark/>
          </w:tcPr>
          <w:p w14:paraId="6D147ED6"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709" w:type="dxa"/>
            <w:noWrap/>
            <w:hideMark/>
          </w:tcPr>
          <w:p w14:paraId="4652C164"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9" w:type="dxa"/>
            <w:noWrap/>
            <w:hideMark/>
          </w:tcPr>
          <w:p w14:paraId="6FD1F7A9"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9" w:type="dxa"/>
            <w:noWrap/>
            <w:hideMark/>
          </w:tcPr>
          <w:p w14:paraId="65170288"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802" w:type="dxa"/>
            <w:noWrap/>
            <w:hideMark/>
          </w:tcPr>
          <w:p w14:paraId="3EC90A3A"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861" w:type="dxa"/>
            <w:gridSpan w:val="2"/>
            <w:noWrap/>
            <w:hideMark/>
          </w:tcPr>
          <w:p w14:paraId="419A1F59"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r>
      <w:tr w:rsidR="001C6AEE" w:rsidRPr="005379A1" w14:paraId="7CB6413D" w14:textId="77777777" w:rsidTr="001C6AEE">
        <w:trPr>
          <w:trHeight w:val="20"/>
          <w:jc w:val="center"/>
        </w:trPr>
        <w:tc>
          <w:tcPr>
            <w:tcW w:w="704" w:type="dxa"/>
            <w:noWrap/>
            <w:hideMark/>
          </w:tcPr>
          <w:p w14:paraId="4217F69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A</w:t>
            </w:r>
          </w:p>
        </w:tc>
        <w:tc>
          <w:tcPr>
            <w:tcW w:w="851" w:type="dxa"/>
            <w:noWrap/>
            <w:hideMark/>
          </w:tcPr>
          <w:p w14:paraId="2C5C6F7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412.19375</w:t>
            </w:r>
          </w:p>
        </w:tc>
        <w:tc>
          <w:tcPr>
            <w:tcW w:w="708" w:type="dxa"/>
            <w:noWrap/>
            <w:hideMark/>
          </w:tcPr>
          <w:p w14:paraId="712C722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422.19375</w:t>
            </w:r>
          </w:p>
        </w:tc>
        <w:tc>
          <w:tcPr>
            <w:tcW w:w="709" w:type="dxa"/>
            <w:noWrap/>
            <w:hideMark/>
          </w:tcPr>
          <w:p w14:paraId="512356A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B</w:t>
            </w:r>
          </w:p>
        </w:tc>
        <w:tc>
          <w:tcPr>
            <w:tcW w:w="709" w:type="dxa"/>
            <w:noWrap/>
            <w:hideMark/>
          </w:tcPr>
          <w:p w14:paraId="53BFDF1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412.20625</w:t>
            </w:r>
          </w:p>
        </w:tc>
        <w:tc>
          <w:tcPr>
            <w:tcW w:w="709" w:type="dxa"/>
            <w:noWrap/>
            <w:hideMark/>
          </w:tcPr>
          <w:p w14:paraId="02DF605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422.20625</w:t>
            </w:r>
          </w:p>
        </w:tc>
        <w:tc>
          <w:tcPr>
            <w:tcW w:w="708" w:type="dxa"/>
            <w:noWrap/>
            <w:hideMark/>
          </w:tcPr>
          <w:p w14:paraId="4E7E8B7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A</w:t>
            </w:r>
          </w:p>
        </w:tc>
        <w:tc>
          <w:tcPr>
            <w:tcW w:w="709" w:type="dxa"/>
            <w:noWrap/>
            <w:hideMark/>
          </w:tcPr>
          <w:p w14:paraId="67B8589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414.06875</w:t>
            </w:r>
          </w:p>
        </w:tc>
        <w:tc>
          <w:tcPr>
            <w:tcW w:w="709" w:type="dxa"/>
            <w:noWrap/>
            <w:hideMark/>
          </w:tcPr>
          <w:p w14:paraId="262BE1A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424.06875</w:t>
            </w:r>
          </w:p>
        </w:tc>
        <w:tc>
          <w:tcPr>
            <w:tcW w:w="709" w:type="dxa"/>
            <w:noWrap/>
            <w:hideMark/>
          </w:tcPr>
          <w:p w14:paraId="7C7D08C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B</w:t>
            </w:r>
          </w:p>
        </w:tc>
        <w:tc>
          <w:tcPr>
            <w:tcW w:w="802" w:type="dxa"/>
            <w:noWrap/>
            <w:hideMark/>
          </w:tcPr>
          <w:p w14:paraId="63C79CB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414.08125</w:t>
            </w:r>
          </w:p>
        </w:tc>
        <w:tc>
          <w:tcPr>
            <w:tcW w:w="861" w:type="dxa"/>
            <w:gridSpan w:val="2"/>
            <w:noWrap/>
            <w:hideMark/>
          </w:tcPr>
          <w:p w14:paraId="7BD3858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424.08125</w:t>
            </w:r>
          </w:p>
        </w:tc>
      </w:tr>
      <w:tr w:rsidR="001C6AEE" w:rsidRPr="005379A1" w14:paraId="7CE1B2D3" w14:textId="77777777" w:rsidTr="001C6AEE">
        <w:trPr>
          <w:trHeight w:val="20"/>
          <w:jc w:val="center"/>
        </w:trPr>
        <w:tc>
          <w:tcPr>
            <w:tcW w:w="704" w:type="dxa"/>
            <w:noWrap/>
            <w:hideMark/>
          </w:tcPr>
          <w:p w14:paraId="76F1C02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C</w:t>
            </w:r>
          </w:p>
        </w:tc>
        <w:tc>
          <w:tcPr>
            <w:tcW w:w="851" w:type="dxa"/>
            <w:noWrap/>
            <w:hideMark/>
          </w:tcPr>
          <w:p w14:paraId="3365E09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412.39375</w:t>
            </w:r>
          </w:p>
        </w:tc>
        <w:tc>
          <w:tcPr>
            <w:tcW w:w="708" w:type="dxa"/>
            <w:noWrap/>
            <w:hideMark/>
          </w:tcPr>
          <w:p w14:paraId="6666499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422.39375</w:t>
            </w:r>
          </w:p>
        </w:tc>
        <w:tc>
          <w:tcPr>
            <w:tcW w:w="709" w:type="dxa"/>
            <w:noWrap/>
            <w:hideMark/>
          </w:tcPr>
          <w:p w14:paraId="7D21F0E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D</w:t>
            </w:r>
          </w:p>
        </w:tc>
        <w:tc>
          <w:tcPr>
            <w:tcW w:w="709" w:type="dxa"/>
            <w:noWrap/>
            <w:hideMark/>
          </w:tcPr>
          <w:p w14:paraId="1A24DAD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412.40625</w:t>
            </w:r>
          </w:p>
        </w:tc>
        <w:tc>
          <w:tcPr>
            <w:tcW w:w="709" w:type="dxa"/>
            <w:noWrap/>
            <w:hideMark/>
          </w:tcPr>
          <w:p w14:paraId="12EB3D4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422.40625</w:t>
            </w:r>
          </w:p>
        </w:tc>
        <w:tc>
          <w:tcPr>
            <w:tcW w:w="708" w:type="dxa"/>
            <w:noWrap/>
            <w:hideMark/>
          </w:tcPr>
          <w:p w14:paraId="6599720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C</w:t>
            </w:r>
          </w:p>
        </w:tc>
        <w:tc>
          <w:tcPr>
            <w:tcW w:w="709" w:type="dxa"/>
            <w:noWrap/>
            <w:hideMark/>
          </w:tcPr>
          <w:p w14:paraId="4AB75B3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414.26875</w:t>
            </w:r>
          </w:p>
        </w:tc>
        <w:tc>
          <w:tcPr>
            <w:tcW w:w="709" w:type="dxa"/>
            <w:noWrap/>
            <w:hideMark/>
          </w:tcPr>
          <w:p w14:paraId="7733386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424.26875</w:t>
            </w:r>
          </w:p>
        </w:tc>
        <w:tc>
          <w:tcPr>
            <w:tcW w:w="709" w:type="dxa"/>
            <w:noWrap/>
            <w:hideMark/>
          </w:tcPr>
          <w:p w14:paraId="0308999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D</w:t>
            </w:r>
          </w:p>
        </w:tc>
        <w:tc>
          <w:tcPr>
            <w:tcW w:w="802" w:type="dxa"/>
            <w:noWrap/>
            <w:hideMark/>
          </w:tcPr>
          <w:p w14:paraId="7BF8462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414.28125</w:t>
            </w:r>
          </w:p>
        </w:tc>
        <w:tc>
          <w:tcPr>
            <w:tcW w:w="861" w:type="dxa"/>
            <w:gridSpan w:val="2"/>
            <w:noWrap/>
            <w:hideMark/>
          </w:tcPr>
          <w:p w14:paraId="7EA78D3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424.28125</w:t>
            </w:r>
          </w:p>
        </w:tc>
      </w:tr>
      <w:tr w:rsidR="001C6AEE" w:rsidRPr="005379A1" w14:paraId="50DA9A74" w14:textId="77777777" w:rsidTr="001C6AEE">
        <w:trPr>
          <w:trHeight w:val="20"/>
          <w:jc w:val="center"/>
        </w:trPr>
        <w:tc>
          <w:tcPr>
            <w:tcW w:w="704" w:type="dxa"/>
            <w:noWrap/>
            <w:hideMark/>
          </w:tcPr>
          <w:p w14:paraId="799630E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E</w:t>
            </w:r>
          </w:p>
        </w:tc>
        <w:tc>
          <w:tcPr>
            <w:tcW w:w="851" w:type="dxa"/>
            <w:noWrap/>
            <w:hideMark/>
          </w:tcPr>
          <w:p w14:paraId="11DDF4B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412.59375</w:t>
            </w:r>
          </w:p>
        </w:tc>
        <w:tc>
          <w:tcPr>
            <w:tcW w:w="708" w:type="dxa"/>
            <w:noWrap/>
            <w:hideMark/>
          </w:tcPr>
          <w:p w14:paraId="0B00F2C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422.59375</w:t>
            </w:r>
          </w:p>
        </w:tc>
        <w:tc>
          <w:tcPr>
            <w:tcW w:w="709" w:type="dxa"/>
            <w:noWrap/>
            <w:hideMark/>
          </w:tcPr>
          <w:p w14:paraId="3E6DC8C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F</w:t>
            </w:r>
          </w:p>
        </w:tc>
        <w:tc>
          <w:tcPr>
            <w:tcW w:w="709" w:type="dxa"/>
            <w:noWrap/>
            <w:hideMark/>
          </w:tcPr>
          <w:p w14:paraId="14BB6A8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412.60625</w:t>
            </w:r>
          </w:p>
        </w:tc>
        <w:tc>
          <w:tcPr>
            <w:tcW w:w="709" w:type="dxa"/>
            <w:noWrap/>
            <w:hideMark/>
          </w:tcPr>
          <w:p w14:paraId="74F1C14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422.60625</w:t>
            </w:r>
          </w:p>
        </w:tc>
        <w:tc>
          <w:tcPr>
            <w:tcW w:w="708" w:type="dxa"/>
            <w:noWrap/>
            <w:hideMark/>
          </w:tcPr>
          <w:p w14:paraId="798FFE7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E</w:t>
            </w:r>
          </w:p>
        </w:tc>
        <w:tc>
          <w:tcPr>
            <w:tcW w:w="709" w:type="dxa"/>
            <w:noWrap/>
            <w:hideMark/>
          </w:tcPr>
          <w:p w14:paraId="2422981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414.46875</w:t>
            </w:r>
          </w:p>
        </w:tc>
        <w:tc>
          <w:tcPr>
            <w:tcW w:w="709" w:type="dxa"/>
            <w:noWrap/>
            <w:hideMark/>
          </w:tcPr>
          <w:p w14:paraId="5E326BD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424.46875</w:t>
            </w:r>
          </w:p>
        </w:tc>
        <w:tc>
          <w:tcPr>
            <w:tcW w:w="709" w:type="dxa"/>
            <w:noWrap/>
            <w:hideMark/>
          </w:tcPr>
          <w:p w14:paraId="4F6133F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F</w:t>
            </w:r>
          </w:p>
        </w:tc>
        <w:tc>
          <w:tcPr>
            <w:tcW w:w="802" w:type="dxa"/>
            <w:noWrap/>
            <w:hideMark/>
          </w:tcPr>
          <w:p w14:paraId="5F13380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414.48125</w:t>
            </w:r>
          </w:p>
        </w:tc>
        <w:tc>
          <w:tcPr>
            <w:tcW w:w="861" w:type="dxa"/>
            <w:gridSpan w:val="2"/>
            <w:noWrap/>
            <w:hideMark/>
          </w:tcPr>
          <w:p w14:paraId="7F5A938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424.48125</w:t>
            </w:r>
          </w:p>
        </w:tc>
      </w:tr>
      <w:tr w:rsidR="001C6AEE" w:rsidRPr="005379A1" w14:paraId="377CCC2F" w14:textId="77777777" w:rsidTr="001C6AEE">
        <w:trPr>
          <w:trHeight w:val="20"/>
          <w:jc w:val="center"/>
        </w:trPr>
        <w:tc>
          <w:tcPr>
            <w:tcW w:w="704" w:type="dxa"/>
            <w:noWrap/>
            <w:hideMark/>
          </w:tcPr>
          <w:p w14:paraId="6D642A1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G</w:t>
            </w:r>
          </w:p>
        </w:tc>
        <w:tc>
          <w:tcPr>
            <w:tcW w:w="851" w:type="dxa"/>
            <w:noWrap/>
            <w:hideMark/>
          </w:tcPr>
          <w:p w14:paraId="36AF4E9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412.79375</w:t>
            </w:r>
          </w:p>
        </w:tc>
        <w:tc>
          <w:tcPr>
            <w:tcW w:w="708" w:type="dxa"/>
            <w:noWrap/>
            <w:hideMark/>
          </w:tcPr>
          <w:p w14:paraId="7E6673C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422.79375</w:t>
            </w:r>
          </w:p>
        </w:tc>
        <w:tc>
          <w:tcPr>
            <w:tcW w:w="709" w:type="dxa"/>
            <w:noWrap/>
            <w:hideMark/>
          </w:tcPr>
          <w:p w14:paraId="3B74AEB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H</w:t>
            </w:r>
          </w:p>
        </w:tc>
        <w:tc>
          <w:tcPr>
            <w:tcW w:w="709" w:type="dxa"/>
            <w:noWrap/>
            <w:hideMark/>
          </w:tcPr>
          <w:p w14:paraId="065EEA5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412.80625</w:t>
            </w:r>
          </w:p>
        </w:tc>
        <w:tc>
          <w:tcPr>
            <w:tcW w:w="709" w:type="dxa"/>
            <w:noWrap/>
            <w:hideMark/>
          </w:tcPr>
          <w:p w14:paraId="0251A36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422.80625</w:t>
            </w:r>
          </w:p>
        </w:tc>
        <w:tc>
          <w:tcPr>
            <w:tcW w:w="708" w:type="dxa"/>
            <w:noWrap/>
            <w:hideMark/>
          </w:tcPr>
          <w:p w14:paraId="10F5F03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G</w:t>
            </w:r>
          </w:p>
        </w:tc>
        <w:tc>
          <w:tcPr>
            <w:tcW w:w="709" w:type="dxa"/>
            <w:noWrap/>
            <w:hideMark/>
          </w:tcPr>
          <w:p w14:paraId="460E6E3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414.66875</w:t>
            </w:r>
          </w:p>
        </w:tc>
        <w:tc>
          <w:tcPr>
            <w:tcW w:w="709" w:type="dxa"/>
            <w:noWrap/>
            <w:hideMark/>
          </w:tcPr>
          <w:p w14:paraId="32A70FD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424.66875</w:t>
            </w:r>
          </w:p>
        </w:tc>
        <w:tc>
          <w:tcPr>
            <w:tcW w:w="709" w:type="dxa"/>
            <w:noWrap/>
            <w:hideMark/>
          </w:tcPr>
          <w:p w14:paraId="4E179F7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H</w:t>
            </w:r>
          </w:p>
        </w:tc>
        <w:tc>
          <w:tcPr>
            <w:tcW w:w="802" w:type="dxa"/>
            <w:noWrap/>
            <w:hideMark/>
          </w:tcPr>
          <w:p w14:paraId="7B4D9BC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414.68125</w:t>
            </w:r>
          </w:p>
        </w:tc>
        <w:tc>
          <w:tcPr>
            <w:tcW w:w="861" w:type="dxa"/>
            <w:gridSpan w:val="2"/>
            <w:noWrap/>
            <w:hideMark/>
          </w:tcPr>
          <w:p w14:paraId="6B5F062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424.68125</w:t>
            </w:r>
          </w:p>
        </w:tc>
      </w:tr>
      <w:tr w:rsidR="001C6AEE" w:rsidRPr="005379A1" w14:paraId="13D8A89A" w14:textId="77777777" w:rsidTr="001C6AEE">
        <w:trPr>
          <w:trHeight w:val="20"/>
          <w:jc w:val="center"/>
        </w:trPr>
        <w:tc>
          <w:tcPr>
            <w:tcW w:w="704" w:type="dxa"/>
            <w:noWrap/>
            <w:hideMark/>
          </w:tcPr>
          <w:p w14:paraId="49B1E6D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I</w:t>
            </w:r>
          </w:p>
        </w:tc>
        <w:tc>
          <w:tcPr>
            <w:tcW w:w="851" w:type="dxa"/>
            <w:noWrap/>
            <w:hideMark/>
          </w:tcPr>
          <w:p w14:paraId="48F18FA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412.99375</w:t>
            </w:r>
          </w:p>
        </w:tc>
        <w:tc>
          <w:tcPr>
            <w:tcW w:w="708" w:type="dxa"/>
            <w:noWrap/>
            <w:hideMark/>
          </w:tcPr>
          <w:p w14:paraId="762214A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422.99375</w:t>
            </w:r>
          </w:p>
        </w:tc>
        <w:tc>
          <w:tcPr>
            <w:tcW w:w="709" w:type="dxa"/>
            <w:noWrap/>
            <w:hideMark/>
          </w:tcPr>
          <w:p w14:paraId="147F099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J</w:t>
            </w:r>
          </w:p>
        </w:tc>
        <w:tc>
          <w:tcPr>
            <w:tcW w:w="709" w:type="dxa"/>
            <w:noWrap/>
            <w:hideMark/>
          </w:tcPr>
          <w:p w14:paraId="68A06F5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413.00625</w:t>
            </w:r>
          </w:p>
        </w:tc>
        <w:tc>
          <w:tcPr>
            <w:tcW w:w="709" w:type="dxa"/>
            <w:noWrap/>
            <w:hideMark/>
          </w:tcPr>
          <w:p w14:paraId="6DDBB23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423.00625</w:t>
            </w:r>
          </w:p>
        </w:tc>
        <w:tc>
          <w:tcPr>
            <w:tcW w:w="708" w:type="dxa"/>
            <w:noWrap/>
            <w:hideMark/>
          </w:tcPr>
          <w:p w14:paraId="2050095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I</w:t>
            </w:r>
          </w:p>
        </w:tc>
        <w:tc>
          <w:tcPr>
            <w:tcW w:w="709" w:type="dxa"/>
            <w:noWrap/>
            <w:hideMark/>
          </w:tcPr>
          <w:p w14:paraId="3983657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414.86875</w:t>
            </w:r>
          </w:p>
        </w:tc>
        <w:tc>
          <w:tcPr>
            <w:tcW w:w="709" w:type="dxa"/>
            <w:noWrap/>
            <w:hideMark/>
          </w:tcPr>
          <w:p w14:paraId="00D745D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424.86875</w:t>
            </w:r>
          </w:p>
        </w:tc>
        <w:tc>
          <w:tcPr>
            <w:tcW w:w="709" w:type="dxa"/>
            <w:noWrap/>
            <w:hideMark/>
          </w:tcPr>
          <w:p w14:paraId="5D9E2B6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J</w:t>
            </w:r>
          </w:p>
        </w:tc>
        <w:tc>
          <w:tcPr>
            <w:tcW w:w="802" w:type="dxa"/>
            <w:noWrap/>
            <w:hideMark/>
          </w:tcPr>
          <w:p w14:paraId="17F31AE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414.88125</w:t>
            </w:r>
          </w:p>
        </w:tc>
        <w:tc>
          <w:tcPr>
            <w:tcW w:w="861" w:type="dxa"/>
            <w:gridSpan w:val="2"/>
            <w:noWrap/>
            <w:hideMark/>
          </w:tcPr>
          <w:p w14:paraId="645B0B9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424.88125</w:t>
            </w:r>
          </w:p>
        </w:tc>
      </w:tr>
      <w:tr w:rsidR="001C6AEE" w:rsidRPr="005379A1" w14:paraId="0ECCCB16" w14:textId="77777777" w:rsidTr="001C6AEE">
        <w:trPr>
          <w:gridAfter w:val="1"/>
          <w:wAfter w:w="94" w:type="dxa"/>
          <w:trHeight w:val="20"/>
          <w:jc w:val="center"/>
        </w:trPr>
        <w:tc>
          <w:tcPr>
            <w:tcW w:w="4390" w:type="dxa"/>
            <w:gridSpan w:val="6"/>
            <w:shd w:val="clear" w:color="auto" w:fill="BFBFBF" w:themeFill="background1" w:themeFillShade="BF"/>
            <w:noWrap/>
            <w:hideMark/>
          </w:tcPr>
          <w:p w14:paraId="79C8E260" w14:textId="77777777" w:rsidR="001C6AEE" w:rsidRPr="005379A1" w:rsidRDefault="001C6AEE" w:rsidP="001C6AEE">
            <w:pPr>
              <w:jc w:val="center"/>
              <w:rPr>
                <w:rFonts w:ascii="ITC Avant Garde" w:hAnsi="ITC Avant Garde"/>
                <w:b/>
                <w:bCs/>
                <w:color w:val="000000"/>
                <w:sz w:val="10"/>
                <w:szCs w:val="10"/>
                <w:lang w:eastAsia="es-MX"/>
              </w:rPr>
            </w:pPr>
            <w:r w:rsidRPr="005379A1">
              <w:rPr>
                <w:rFonts w:ascii="ITC Avant Garde" w:hAnsi="ITC Avant Garde"/>
                <w:b/>
                <w:bCs/>
                <w:color w:val="000000"/>
                <w:sz w:val="10"/>
                <w:szCs w:val="10"/>
                <w:lang w:eastAsia="es-MX"/>
              </w:rPr>
              <w:t>Grupo 36</w:t>
            </w:r>
          </w:p>
        </w:tc>
        <w:tc>
          <w:tcPr>
            <w:tcW w:w="4404" w:type="dxa"/>
            <w:gridSpan w:val="6"/>
            <w:shd w:val="clear" w:color="auto" w:fill="BFBFBF" w:themeFill="background1" w:themeFillShade="BF"/>
            <w:noWrap/>
            <w:hideMark/>
          </w:tcPr>
          <w:p w14:paraId="2AA17330" w14:textId="77777777" w:rsidR="001C6AEE" w:rsidRPr="005379A1" w:rsidRDefault="001C6AEE" w:rsidP="001C6AEE">
            <w:pPr>
              <w:jc w:val="center"/>
              <w:rPr>
                <w:rFonts w:ascii="ITC Avant Garde" w:hAnsi="ITC Avant Garde"/>
                <w:b/>
                <w:bCs/>
                <w:color w:val="000000"/>
                <w:sz w:val="10"/>
                <w:szCs w:val="10"/>
                <w:lang w:eastAsia="es-MX"/>
              </w:rPr>
            </w:pPr>
            <w:r w:rsidRPr="005379A1">
              <w:rPr>
                <w:rFonts w:ascii="ITC Avant Garde" w:hAnsi="ITC Avant Garde"/>
                <w:b/>
                <w:bCs/>
                <w:color w:val="000000"/>
                <w:sz w:val="10"/>
                <w:szCs w:val="10"/>
                <w:lang w:eastAsia="es-MX"/>
              </w:rPr>
              <w:t>Grupo 37</w:t>
            </w:r>
          </w:p>
        </w:tc>
      </w:tr>
      <w:tr w:rsidR="001C6AEE" w:rsidRPr="005379A1" w14:paraId="1F929F9A" w14:textId="77777777" w:rsidTr="001C6AEE">
        <w:trPr>
          <w:trHeight w:val="20"/>
          <w:jc w:val="center"/>
        </w:trPr>
        <w:tc>
          <w:tcPr>
            <w:tcW w:w="704" w:type="dxa"/>
            <w:noWrap/>
            <w:hideMark/>
          </w:tcPr>
          <w:p w14:paraId="6197CBE1"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851" w:type="dxa"/>
            <w:noWrap/>
            <w:hideMark/>
          </w:tcPr>
          <w:p w14:paraId="17755C1E"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8" w:type="dxa"/>
            <w:noWrap/>
            <w:hideMark/>
          </w:tcPr>
          <w:p w14:paraId="0C5BBB86"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9" w:type="dxa"/>
            <w:noWrap/>
            <w:hideMark/>
          </w:tcPr>
          <w:p w14:paraId="3635C83D"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709" w:type="dxa"/>
            <w:noWrap/>
            <w:hideMark/>
          </w:tcPr>
          <w:p w14:paraId="484FADB7"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9" w:type="dxa"/>
            <w:noWrap/>
            <w:hideMark/>
          </w:tcPr>
          <w:p w14:paraId="33C8325A"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8" w:type="dxa"/>
            <w:noWrap/>
            <w:hideMark/>
          </w:tcPr>
          <w:p w14:paraId="22407D9D"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709" w:type="dxa"/>
            <w:noWrap/>
            <w:hideMark/>
          </w:tcPr>
          <w:p w14:paraId="1F1FBE7D"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9" w:type="dxa"/>
            <w:noWrap/>
            <w:hideMark/>
          </w:tcPr>
          <w:p w14:paraId="1FDB7BB5"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9" w:type="dxa"/>
            <w:noWrap/>
            <w:hideMark/>
          </w:tcPr>
          <w:p w14:paraId="42258E5E"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802" w:type="dxa"/>
            <w:noWrap/>
            <w:hideMark/>
          </w:tcPr>
          <w:p w14:paraId="35D38E28"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861" w:type="dxa"/>
            <w:gridSpan w:val="2"/>
            <w:noWrap/>
            <w:hideMark/>
          </w:tcPr>
          <w:p w14:paraId="10015E7D"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r>
      <w:tr w:rsidR="001C6AEE" w:rsidRPr="005379A1" w14:paraId="49A99F22" w14:textId="77777777" w:rsidTr="001C6AEE">
        <w:trPr>
          <w:trHeight w:val="20"/>
          <w:jc w:val="center"/>
        </w:trPr>
        <w:tc>
          <w:tcPr>
            <w:tcW w:w="704" w:type="dxa"/>
            <w:noWrap/>
            <w:hideMark/>
          </w:tcPr>
          <w:p w14:paraId="5701A7A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A</w:t>
            </w:r>
          </w:p>
        </w:tc>
        <w:tc>
          <w:tcPr>
            <w:tcW w:w="851" w:type="dxa"/>
            <w:noWrap/>
            <w:hideMark/>
          </w:tcPr>
          <w:p w14:paraId="7589307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414.09375</w:t>
            </w:r>
          </w:p>
        </w:tc>
        <w:tc>
          <w:tcPr>
            <w:tcW w:w="708" w:type="dxa"/>
            <w:noWrap/>
            <w:hideMark/>
          </w:tcPr>
          <w:p w14:paraId="2B15490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424.09375</w:t>
            </w:r>
          </w:p>
        </w:tc>
        <w:tc>
          <w:tcPr>
            <w:tcW w:w="709" w:type="dxa"/>
            <w:noWrap/>
            <w:hideMark/>
          </w:tcPr>
          <w:p w14:paraId="6A9F7ED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B</w:t>
            </w:r>
          </w:p>
        </w:tc>
        <w:tc>
          <w:tcPr>
            <w:tcW w:w="709" w:type="dxa"/>
            <w:noWrap/>
            <w:hideMark/>
          </w:tcPr>
          <w:p w14:paraId="03D2BEA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414.10625</w:t>
            </w:r>
          </w:p>
        </w:tc>
        <w:tc>
          <w:tcPr>
            <w:tcW w:w="709" w:type="dxa"/>
            <w:noWrap/>
            <w:hideMark/>
          </w:tcPr>
          <w:p w14:paraId="46E8C26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424.10625</w:t>
            </w:r>
          </w:p>
        </w:tc>
        <w:tc>
          <w:tcPr>
            <w:tcW w:w="708" w:type="dxa"/>
            <w:noWrap/>
            <w:hideMark/>
          </w:tcPr>
          <w:p w14:paraId="6A76593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A</w:t>
            </w:r>
          </w:p>
        </w:tc>
        <w:tc>
          <w:tcPr>
            <w:tcW w:w="709" w:type="dxa"/>
            <w:noWrap/>
            <w:hideMark/>
          </w:tcPr>
          <w:p w14:paraId="594A23A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414.11875</w:t>
            </w:r>
          </w:p>
        </w:tc>
        <w:tc>
          <w:tcPr>
            <w:tcW w:w="709" w:type="dxa"/>
            <w:noWrap/>
            <w:hideMark/>
          </w:tcPr>
          <w:p w14:paraId="0C464A6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424.11875</w:t>
            </w:r>
          </w:p>
        </w:tc>
        <w:tc>
          <w:tcPr>
            <w:tcW w:w="709" w:type="dxa"/>
            <w:noWrap/>
            <w:hideMark/>
          </w:tcPr>
          <w:p w14:paraId="7FA14CF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B</w:t>
            </w:r>
          </w:p>
        </w:tc>
        <w:tc>
          <w:tcPr>
            <w:tcW w:w="802" w:type="dxa"/>
            <w:noWrap/>
            <w:hideMark/>
          </w:tcPr>
          <w:p w14:paraId="6A12DA7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414.13125</w:t>
            </w:r>
          </w:p>
        </w:tc>
        <w:tc>
          <w:tcPr>
            <w:tcW w:w="861" w:type="dxa"/>
            <w:gridSpan w:val="2"/>
            <w:noWrap/>
            <w:hideMark/>
          </w:tcPr>
          <w:p w14:paraId="7053607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424.13125</w:t>
            </w:r>
          </w:p>
        </w:tc>
      </w:tr>
      <w:tr w:rsidR="001C6AEE" w:rsidRPr="005379A1" w14:paraId="2B231B39" w14:textId="77777777" w:rsidTr="001C6AEE">
        <w:trPr>
          <w:trHeight w:val="20"/>
          <w:jc w:val="center"/>
        </w:trPr>
        <w:tc>
          <w:tcPr>
            <w:tcW w:w="704" w:type="dxa"/>
            <w:noWrap/>
            <w:hideMark/>
          </w:tcPr>
          <w:p w14:paraId="0B4AC1C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C</w:t>
            </w:r>
          </w:p>
        </w:tc>
        <w:tc>
          <w:tcPr>
            <w:tcW w:w="851" w:type="dxa"/>
            <w:noWrap/>
            <w:hideMark/>
          </w:tcPr>
          <w:p w14:paraId="4DF8D4B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414.29375</w:t>
            </w:r>
          </w:p>
        </w:tc>
        <w:tc>
          <w:tcPr>
            <w:tcW w:w="708" w:type="dxa"/>
            <w:noWrap/>
            <w:hideMark/>
          </w:tcPr>
          <w:p w14:paraId="5E067AF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424.29375</w:t>
            </w:r>
          </w:p>
        </w:tc>
        <w:tc>
          <w:tcPr>
            <w:tcW w:w="709" w:type="dxa"/>
            <w:noWrap/>
            <w:hideMark/>
          </w:tcPr>
          <w:p w14:paraId="39A8AF9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D</w:t>
            </w:r>
          </w:p>
        </w:tc>
        <w:tc>
          <w:tcPr>
            <w:tcW w:w="709" w:type="dxa"/>
            <w:noWrap/>
            <w:hideMark/>
          </w:tcPr>
          <w:p w14:paraId="176648B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414.30625</w:t>
            </w:r>
          </w:p>
        </w:tc>
        <w:tc>
          <w:tcPr>
            <w:tcW w:w="709" w:type="dxa"/>
            <w:noWrap/>
            <w:hideMark/>
          </w:tcPr>
          <w:p w14:paraId="49FF97A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424.30625</w:t>
            </w:r>
          </w:p>
        </w:tc>
        <w:tc>
          <w:tcPr>
            <w:tcW w:w="708" w:type="dxa"/>
            <w:noWrap/>
            <w:hideMark/>
          </w:tcPr>
          <w:p w14:paraId="6D69A3F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C</w:t>
            </w:r>
          </w:p>
        </w:tc>
        <w:tc>
          <w:tcPr>
            <w:tcW w:w="709" w:type="dxa"/>
            <w:noWrap/>
            <w:hideMark/>
          </w:tcPr>
          <w:p w14:paraId="08C4A48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414.31875</w:t>
            </w:r>
          </w:p>
        </w:tc>
        <w:tc>
          <w:tcPr>
            <w:tcW w:w="709" w:type="dxa"/>
            <w:noWrap/>
            <w:hideMark/>
          </w:tcPr>
          <w:p w14:paraId="7AE7DE4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424.31875</w:t>
            </w:r>
          </w:p>
        </w:tc>
        <w:tc>
          <w:tcPr>
            <w:tcW w:w="709" w:type="dxa"/>
            <w:noWrap/>
            <w:hideMark/>
          </w:tcPr>
          <w:p w14:paraId="2C47157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D</w:t>
            </w:r>
          </w:p>
        </w:tc>
        <w:tc>
          <w:tcPr>
            <w:tcW w:w="802" w:type="dxa"/>
            <w:noWrap/>
            <w:hideMark/>
          </w:tcPr>
          <w:p w14:paraId="3E0F881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414.33125</w:t>
            </w:r>
          </w:p>
        </w:tc>
        <w:tc>
          <w:tcPr>
            <w:tcW w:w="861" w:type="dxa"/>
            <w:gridSpan w:val="2"/>
            <w:noWrap/>
            <w:hideMark/>
          </w:tcPr>
          <w:p w14:paraId="74E5B37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424.33125</w:t>
            </w:r>
          </w:p>
        </w:tc>
      </w:tr>
      <w:tr w:rsidR="001C6AEE" w:rsidRPr="005379A1" w14:paraId="6ECFFF6C" w14:textId="77777777" w:rsidTr="001C6AEE">
        <w:trPr>
          <w:trHeight w:val="20"/>
          <w:jc w:val="center"/>
        </w:trPr>
        <w:tc>
          <w:tcPr>
            <w:tcW w:w="704" w:type="dxa"/>
            <w:noWrap/>
            <w:hideMark/>
          </w:tcPr>
          <w:p w14:paraId="7CD833B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E</w:t>
            </w:r>
          </w:p>
        </w:tc>
        <w:tc>
          <w:tcPr>
            <w:tcW w:w="851" w:type="dxa"/>
            <w:noWrap/>
            <w:hideMark/>
          </w:tcPr>
          <w:p w14:paraId="0D44134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414.49375</w:t>
            </w:r>
          </w:p>
        </w:tc>
        <w:tc>
          <w:tcPr>
            <w:tcW w:w="708" w:type="dxa"/>
            <w:noWrap/>
            <w:hideMark/>
          </w:tcPr>
          <w:p w14:paraId="07A4359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424.49375</w:t>
            </w:r>
          </w:p>
        </w:tc>
        <w:tc>
          <w:tcPr>
            <w:tcW w:w="709" w:type="dxa"/>
            <w:noWrap/>
            <w:hideMark/>
          </w:tcPr>
          <w:p w14:paraId="41A83DB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F</w:t>
            </w:r>
          </w:p>
        </w:tc>
        <w:tc>
          <w:tcPr>
            <w:tcW w:w="709" w:type="dxa"/>
            <w:noWrap/>
            <w:hideMark/>
          </w:tcPr>
          <w:p w14:paraId="6E5566B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414.50625</w:t>
            </w:r>
          </w:p>
        </w:tc>
        <w:tc>
          <w:tcPr>
            <w:tcW w:w="709" w:type="dxa"/>
            <w:noWrap/>
            <w:hideMark/>
          </w:tcPr>
          <w:p w14:paraId="5D53036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424.50625</w:t>
            </w:r>
          </w:p>
        </w:tc>
        <w:tc>
          <w:tcPr>
            <w:tcW w:w="708" w:type="dxa"/>
            <w:noWrap/>
            <w:hideMark/>
          </w:tcPr>
          <w:p w14:paraId="54B7513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E</w:t>
            </w:r>
          </w:p>
        </w:tc>
        <w:tc>
          <w:tcPr>
            <w:tcW w:w="709" w:type="dxa"/>
            <w:noWrap/>
            <w:hideMark/>
          </w:tcPr>
          <w:p w14:paraId="17B3F5B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414.51875</w:t>
            </w:r>
          </w:p>
        </w:tc>
        <w:tc>
          <w:tcPr>
            <w:tcW w:w="709" w:type="dxa"/>
            <w:noWrap/>
            <w:hideMark/>
          </w:tcPr>
          <w:p w14:paraId="6DE71B1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424.51875</w:t>
            </w:r>
          </w:p>
        </w:tc>
        <w:tc>
          <w:tcPr>
            <w:tcW w:w="709" w:type="dxa"/>
            <w:noWrap/>
            <w:hideMark/>
          </w:tcPr>
          <w:p w14:paraId="560638F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F</w:t>
            </w:r>
          </w:p>
        </w:tc>
        <w:tc>
          <w:tcPr>
            <w:tcW w:w="802" w:type="dxa"/>
            <w:noWrap/>
            <w:hideMark/>
          </w:tcPr>
          <w:p w14:paraId="47C5054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414.53125</w:t>
            </w:r>
          </w:p>
        </w:tc>
        <w:tc>
          <w:tcPr>
            <w:tcW w:w="861" w:type="dxa"/>
            <w:gridSpan w:val="2"/>
            <w:noWrap/>
            <w:hideMark/>
          </w:tcPr>
          <w:p w14:paraId="6C680D3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424.53125</w:t>
            </w:r>
          </w:p>
        </w:tc>
      </w:tr>
      <w:tr w:rsidR="001C6AEE" w:rsidRPr="005379A1" w14:paraId="1D47AA1C" w14:textId="77777777" w:rsidTr="001C6AEE">
        <w:trPr>
          <w:trHeight w:val="20"/>
          <w:jc w:val="center"/>
        </w:trPr>
        <w:tc>
          <w:tcPr>
            <w:tcW w:w="704" w:type="dxa"/>
            <w:noWrap/>
            <w:hideMark/>
          </w:tcPr>
          <w:p w14:paraId="3C86C99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G</w:t>
            </w:r>
          </w:p>
        </w:tc>
        <w:tc>
          <w:tcPr>
            <w:tcW w:w="851" w:type="dxa"/>
            <w:noWrap/>
            <w:hideMark/>
          </w:tcPr>
          <w:p w14:paraId="19F0B3B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414.69375</w:t>
            </w:r>
          </w:p>
        </w:tc>
        <w:tc>
          <w:tcPr>
            <w:tcW w:w="708" w:type="dxa"/>
            <w:noWrap/>
            <w:hideMark/>
          </w:tcPr>
          <w:p w14:paraId="422A879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424.69375</w:t>
            </w:r>
          </w:p>
        </w:tc>
        <w:tc>
          <w:tcPr>
            <w:tcW w:w="709" w:type="dxa"/>
            <w:noWrap/>
            <w:hideMark/>
          </w:tcPr>
          <w:p w14:paraId="74A049C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H</w:t>
            </w:r>
          </w:p>
        </w:tc>
        <w:tc>
          <w:tcPr>
            <w:tcW w:w="709" w:type="dxa"/>
            <w:noWrap/>
            <w:hideMark/>
          </w:tcPr>
          <w:p w14:paraId="443A36C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414.70625</w:t>
            </w:r>
          </w:p>
        </w:tc>
        <w:tc>
          <w:tcPr>
            <w:tcW w:w="709" w:type="dxa"/>
            <w:noWrap/>
            <w:hideMark/>
          </w:tcPr>
          <w:p w14:paraId="0855074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424.70625</w:t>
            </w:r>
          </w:p>
        </w:tc>
        <w:tc>
          <w:tcPr>
            <w:tcW w:w="708" w:type="dxa"/>
            <w:noWrap/>
            <w:hideMark/>
          </w:tcPr>
          <w:p w14:paraId="4104059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G</w:t>
            </w:r>
          </w:p>
        </w:tc>
        <w:tc>
          <w:tcPr>
            <w:tcW w:w="709" w:type="dxa"/>
            <w:noWrap/>
            <w:hideMark/>
          </w:tcPr>
          <w:p w14:paraId="5257DF9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414.71875</w:t>
            </w:r>
          </w:p>
        </w:tc>
        <w:tc>
          <w:tcPr>
            <w:tcW w:w="709" w:type="dxa"/>
            <w:noWrap/>
            <w:hideMark/>
          </w:tcPr>
          <w:p w14:paraId="1029FE0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424.71875</w:t>
            </w:r>
          </w:p>
        </w:tc>
        <w:tc>
          <w:tcPr>
            <w:tcW w:w="709" w:type="dxa"/>
            <w:noWrap/>
            <w:hideMark/>
          </w:tcPr>
          <w:p w14:paraId="3603E9C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H</w:t>
            </w:r>
          </w:p>
        </w:tc>
        <w:tc>
          <w:tcPr>
            <w:tcW w:w="802" w:type="dxa"/>
            <w:noWrap/>
            <w:hideMark/>
          </w:tcPr>
          <w:p w14:paraId="4F2D365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414.73125</w:t>
            </w:r>
          </w:p>
        </w:tc>
        <w:tc>
          <w:tcPr>
            <w:tcW w:w="861" w:type="dxa"/>
            <w:gridSpan w:val="2"/>
            <w:noWrap/>
            <w:hideMark/>
          </w:tcPr>
          <w:p w14:paraId="148A6B6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424.73125</w:t>
            </w:r>
          </w:p>
        </w:tc>
      </w:tr>
      <w:tr w:rsidR="001C6AEE" w:rsidRPr="005379A1" w14:paraId="5F39E616" w14:textId="77777777" w:rsidTr="001C6AEE">
        <w:trPr>
          <w:trHeight w:val="20"/>
          <w:jc w:val="center"/>
        </w:trPr>
        <w:tc>
          <w:tcPr>
            <w:tcW w:w="704" w:type="dxa"/>
            <w:noWrap/>
            <w:hideMark/>
          </w:tcPr>
          <w:p w14:paraId="6155BD8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I</w:t>
            </w:r>
          </w:p>
        </w:tc>
        <w:tc>
          <w:tcPr>
            <w:tcW w:w="851" w:type="dxa"/>
            <w:noWrap/>
            <w:hideMark/>
          </w:tcPr>
          <w:p w14:paraId="3154B73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414.89375</w:t>
            </w:r>
          </w:p>
        </w:tc>
        <w:tc>
          <w:tcPr>
            <w:tcW w:w="708" w:type="dxa"/>
            <w:noWrap/>
            <w:hideMark/>
          </w:tcPr>
          <w:p w14:paraId="1A05844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424.89375</w:t>
            </w:r>
          </w:p>
        </w:tc>
        <w:tc>
          <w:tcPr>
            <w:tcW w:w="709" w:type="dxa"/>
            <w:noWrap/>
            <w:hideMark/>
          </w:tcPr>
          <w:p w14:paraId="60B0AD0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J</w:t>
            </w:r>
          </w:p>
        </w:tc>
        <w:tc>
          <w:tcPr>
            <w:tcW w:w="709" w:type="dxa"/>
            <w:noWrap/>
            <w:hideMark/>
          </w:tcPr>
          <w:p w14:paraId="74EB9EF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414.90625</w:t>
            </w:r>
          </w:p>
        </w:tc>
        <w:tc>
          <w:tcPr>
            <w:tcW w:w="709" w:type="dxa"/>
            <w:noWrap/>
            <w:hideMark/>
          </w:tcPr>
          <w:p w14:paraId="0E3E625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424.90625</w:t>
            </w:r>
          </w:p>
        </w:tc>
        <w:tc>
          <w:tcPr>
            <w:tcW w:w="708" w:type="dxa"/>
            <w:noWrap/>
            <w:hideMark/>
          </w:tcPr>
          <w:p w14:paraId="0A5074B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I</w:t>
            </w:r>
          </w:p>
        </w:tc>
        <w:tc>
          <w:tcPr>
            <w:tcW w:w="709" w:type="dxa"/>
            <w:noWrap/>
            <w:hideMark/>
          </w:tcPr>
          <w:p w14:paraId="4B9A254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414.91875</w:t>
            </w:r>
          </w:p>
        </w:tc>
        <w:tc>
          <w:tcPr>
            <w:tcW w:w="709" w:type="dxa"/>
            <w:noWrap/>
            <w:hideMark/>
          </w:tcPr>
          <w:p w14:paraId="7396349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424.91875</w:t>
            </w:r>
          </w:p>
        </w:tc>
        <w:tc>
          <w:tcPr>
            <w:tcW w:w="709" w:type="dxa"/>
            <w:noWrap/>
            <w:hideMark/>
          </w:tcPr>
          <w:p w14:paraId="646B9BF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J</w:t>
            </w:r>
          </w:p>
        </w:tc>
        <w:tc>
          <w:tcPr>
            <w:tcW w:w="802" w:type="dxa"/>
            <w:noWrap/>
            <w:hideMark/>
          </w:tcPr>
          <w:p w14:paraId="0F4AD47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414.93125</w:t>
            </w:r>
          </w:p>
        </w:tc>
        <w:tc>
          <w:tcPr>
            <w:tcW w:w="861" w:type="dxa"/>
            <w:gridSpan w:val="2"/>
            <w:noWrap/>
            <w:hideMark/>
          </w:tcPr>
          <w:p w14:paraId="44C546C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424.93125</w:t>
            </w:r>
          </w:p>
        </w:tc>
      </w:tr>
      <w:tr w:rsidR="001C6AEE" w:rsidRPr="005379A1" w14:paraId="02281633" w14:textId="77777777" w:rsidTr="001C6AEE">
        <w:trPr>
          <w:gridAfter w:val="1"/>
          <w:wAfter w:w="94" w:type="dxa"/>
          <w:trHeight w:val="20"/>
          <w:jc w:val="center"/>
        </w:trPr>
        <w:tc>
          <w:tcPr>
            <w:tcW w:w="4390" w:type="dxa"/>
            <w:gridSpan w:val="6"/>
            <w:shd w:val="clear" w:color="auto" w:fill="BFBFBF" w:themeFill="background1" w:themeFillShade="BF"/>
            <w:noWrap/>
            <w:hideMark/>
          </w:tcPr>
          <w:p w14:paraId="4B3CBBFF" w14:textId="77777777" w:rsidR="001C6AEE" w:rsidRPr="005379A1" w:rsidRDefault="001C6AEE" w:rsidP="001C6AEE">
            <w:pPr>
              <w:jc w:val="center"/>
              <w:rPr>
                <w:rFonts w:ascii="ITC Avant Garde" w:hAnsi="ITC Avant Garde"/>
                <w:b/>
                <w:bCs/>
                <w:color w:val="000000"/>
                <w:sz w:val="10"/>
                <w:szCs w:val="10"/>
                <w:lang w:eastAsia="es-MX"/>
              </w:rPr>
            </w:pPr>
            <w:r w:rsidRPr="005379A1">
              <w:rPr>
                <w:rFonts w:ascii="ITC Avant Garde" w:hAnsi="ITC Avant Garde"/>
                <w:b/>
                <w:bCs/>
                <w:color w:val="000000"/>
                <w:sz w:val="10"/>
                <w:szCs w:val="10"/>
                <w:lang w:eastAsia="es-MX"/>
              </w:rPr>
              <w:t>Grupo 38</w:t>
            </w:r>
          </w:p>
        </w:tc>
        <w:tc>
          <w:tcPr>
            <w:tcW w:w="4404" w:type="dxa"/>
            <w:gridSpan w:val="6"/>
            <w:shd w:val="clear" w:color="auto" w:fill="BFBFBF" w:themeFill="background1" w:themeFillShade="BF"/>
            <w:noWrap/>
            <w:hideMark/>
          </w:tcPr>
          <w:p w14:paraId="740515F4" w14:textId="77777777" w:rsidR="001C6AEE" w:rsidRPr="005379A1" w:rsidRDefault="001C6AEE" w:rsidP="001C6AEE">
            <w:pPr>
              <w:jc w:val="center"/>
              <w:rPr>
                <w:rFonts w:ascii="ITC Avant Garde" w:hAnsi="ITC Avant Garde"/>
                <w:b/>
                <w:bCs/>
                <w:color w:val="000000"/>
                <w:sz w:val="10"/>
                <w:szCs w:val="10"/>
                <w:lang w:eastAsia="es-MX"/>
              </w:rPr>
            </w:pPr>
            <w:r w:rsidRPr="005379A1">
              <w:rPr>
                <w:rFonts w:ascii="ITC Avant Garde" w:hAnsi="ITC Avant Garde"/>
                <w:b/>
                <w:bCs/>
                <w:color w:val="000000"/>
                <w:sz w:val="10"/>
                <w:szCs w:val="10"/>
                <w:lang w:eastAsia="es-MX"/>
              </w:rPr>
              <w:t>Grupo 39</w:t>
            </w:r>
          </w:p>
        </w:tc>
      </w:tr>
      <w:tr w:rsidR="001C6AEE" w:rsidRPr="005379A1" w14:paraId="416CF8E5" w14:textId="77777777" w:rsidTr="001C6AEE">
        <w:trPr>
          <w:trHeight w:val="20"/>
          <w:jc w:val="center"/>
        </w:trPr>
        <w:tc>
          <w:tcPr>
            <w:tcW w:w="704" w:type="dxa"/>
            <w:noWrap/>
            <w:hideMark/>
          </w:tcPr>
          <w:p w14:paraId="56E84D03"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851" w:type="dxa"/>
            <w:noWrap/>
            <w:hideMark/>
          </w:tcPr>
          <w:p w14:paraId="28DF458F"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8" w:type="dxa"/>
            <w:noWrap/>
            <w:hideMark/>
          </w:tcPr>
          <w:p w14:paraId="187C44C9"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9" w:type="dxa"/>
            <w:noWrap/>
            <w:hideMark/>
          </w:tcPr>
          <w:p w14:paraId="72679195"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709" w:type="dxa"/>
            <w:noWrap/>
            <w:hideMark/>
          </w:tcPr>
          <w:p w14:paraId="0A48F4AC"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9" w:type="dxa"/>
            <w:noWrap/>
            <w:hideMark/>
          </w:tcPr>
          <w:p w14:paraId="2BDF218F"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8" w:type="dxa"/>
            <w:noWrap/>
            <w:hideMark/>
          </w:tcPr>
          <w:p w14:paraId="2A1731D5"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709" w:type="dxa"/>
            <w:noWrap/>
            <w:hideMark/>
          </w:tcPr>
          <w:p w14:paraId="56DF8BC6"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709" w:type="dxa"/>
            <w:noWrap/>
            <w:hideMark/>
          </w:tcPr>
          <w:p w14:paraId="59020B23"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c>
          <w:tcPr>
            <w:tcW w:w="709" w:type="dxa"/>
            <w:noWrap/>
            <w:hideMark/>
          </w:tcPr>
          <w:p w14:paraId="3E72203F" w14:textId="77777777" w:rsidR="001C6AEE" w:rsidRPr="005379A1" w:rsidRDefault="001C6AEE" w:rsidP="001C6AEE">
            <w:pPr>
              <w:jc w:val="center"/>
              <w:rPr>
                <w:rFonts w:ascii="ITC Avant Garde" w:hAnsi="ITC Avant Garde"/>
                <w:iCs/>
                <w:color w:val="000000"/>
                <w:sz w:val="10"/>
                <w:szCs w:val="10"/>
                <w:lang w:eastAsia="es-MX"/>
              </w:rPr>
            </w:pPr>
            <w:r w:rsidRPr="005379A1">
              <w:rPr>
                <w:rFonts w:ascii="ITC Avant Garde" w:hAnsi="ITC Avant Garde"/>
                <w:iCs/>
                <w:color w:val="000000"/>
                <w:sz w:val="10"/>
                <w:szCs w:val="10"/>
                <w:lang w:eastAsia="es-MX"/>
              </w:rPr>
              <w:t>Circuito</w:t>
            </w:r>
          </w:p>
        </w:tc>
        <w:tc>
          <w:tcPr>
            <w:tcW w:w="802" w:type="dxa"/>
            <w:noWrap/>
            <w:hideMark/>
          </w:tcPr>
          <w:p w14:paraId="3B4BE542"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Rx</w:t>
            </w:r>
            <w:proofErr w:type="spellEnd"/>
          </w:p>
        </w:tc>
        <w:tc>
          <w:tcPr>
            <w:tcW w:w="861" w:type="dxa"/>
            <w:gridSpan w:val="2"/>
            <w:noWrap/>
            <w:hideMark/>
          </w:tcPr>
          <w:p w14:paraId="69A6DCAE" w14:textId="77777777" w:rsidR="001C6AEE" w:rsidRPr="005379A1" w:rsidRDefault="001C6AEE" w:rsidP="001C6AEE">
            <w:pPr>
              <w:jc w:val="center"/>
              <w:rPr>
                <w:rFonts w:ascii="ITC Avant Garde" w:hAnsi="ITC Avant Garde"/>
                <w:iCs/>
                <w:color w:val="000000"/>
                <w:sz w:val="10"/>
                <w:szCs w:val="10"/>
                <w:lang w:eastAsia="es-MX"/>
              </w:rPr>
            </w:pPr>
            <w:proofErr w:type="spellStart"/>
            <w:r w:rsidRPr="005379A1">
              <w:rPr>
                <w:rFonts w:ascii="ITC Avant Garde" w:hAnsi="ITC Avant Garde"/>
                <w:iCs/>
                <w:color w:val="000000"/>
                <w:sz w:val="10"/>
                <w:szCs w:val="10"/>
                <w:lang w:eastAsia="es-MX"/>
              </w:rPr>
              <w:t>Tx</w:t>
            </w:r>
            <w:proofErr w:type="spellEnd"/>
          </w:p>
        </w:tc>
      </w:tr>
      <w:tr w:rsidR="001C6AEE" w:rsidRPr="005379A1" w14:paraId="2F501725" w14:textId="77777777" w:rsidTr="001C6AEE">
        <w:trPr>
          <w:trHeight w:val="20"/>
          <w:jc w:val="center"/>
        </w:trPr>
        <w:tc>
          <w:tcPr>
            <w:tcW w:w="704" w:type="dxa"/>
            <w:noWrap/>
            <w:hideMark/>
          </w:tcPr>
          <w:p w14:paraId="0C95426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A</w:t>
            </w:r>
          </w:p>
        </w:tc>
        <w:tc>
          <w:tcPr>
            <w:tcW w:w="851" w:type="dxa"/>
            <w:noWrap/>
            <w:hideMark/>
          </w:tcPr>
          <w:p w14:paraId="55225C9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414.14375</w:t>
            </w:r>
          </w:p>
        </w:tc>
        <w:tc>
          <w:tcPr>
            <w:tcW w:w="708" w:type="dxa"/>
            <w:noWrap/>
            <w:hideMark/>
          </w:tcPr>
          <w:p w14:paraId="2247C70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424.14375</w:t>
            </w:r>
          </w:p>
        </w:tc>
        <w:tc>
          <w:tcPr>
            <w:tcW w:w="709" w:type="dxa"/>
            <w:noWrap/>
            <w:hideMark/>
          </w:tcPr>
          <w:p w14:paraId="36AB492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B</w:t>
            </w:r>
          </w:p>
        </w:tc>
        <w:tc>
          <w:tcPr>
            <w:tcW w:w="709" w:type="dxa"/>
            <w:noWrap/>
            <w:hideMark/>
          </w:tcPr>
          <w:p w14:paraId="6421854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414.15625</w:t>
            </w:r>
          </w:p>
        </w:tc>
        <w:tc>
          <w:tcPr>
            <w:tcW w:w="709" w:type="dxa"/>
            <w:noWrap/>
            <w:hideMark/>
          </w:tcPr>
          <w:p w14:paraId="7502CC2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424.15625</w:t>
            </w:r>
          </w:p>
        </w:tc>
        <w:tc>
          <w:tcPr>
            <w:tcW w:w="708" w:type="dxa"/>
            <w:noWrap/>
            <w:hideMark/>
          </w:tcPr>
          <w:p w14:paraId="075F12C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A</w:t>
            </w:r>
          </w:p>
        </w:tc>
        <w:tc>
          <w:tcPr>
            <w:tcW w:w="709" w:type="dxa"/>
            <w:noWrap/>
            <w:hideMark/>
          </w:tcPr>
          <w:p w14:paraId="6560BDC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414.16875</w:t>
            </w:r>
          </w:p>
        </w:tc>
        <w:tc>
          <w:tcPr>
            <w:tcW w:w="709" w:type="dxa"/>
            <w:noWrap/>
            <w:hideMark/>
          </w:tcPr>
          <w:p w14:paraId="4B5C5DF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424.16875</w:t>
            </w:r>
          </w:p>
        </w:tc>
        <w:tc>
          <w:tcPr>
            <w:tcW w:w="709" w:type="dxa"/>
            <w:noWrap/>
            <w:hideMark/>
          </w:tcPr>
          <w:p w14:paraId="318CD5A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B</w:t>
            </w:r>
          </w:p>
        </w:tc>
        <w:tc>
          <w:tcPr>
            <w:tcW w:w="802" w:type="dxa"/>
            <w:noWrap/>
            <w:hideMark/>
          </w:tcPr>
          <w:p w14:paraId="02EDE94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414.18125</w:t>
            </w:r>
          </w:p>
        </w:tc>
        <w:tc>
          <w:tcPr>
            <w:tcW w:w="861" w:type="dxa"/>
            <w:gridSpan w:val="2"/>
            <w:noWrap/>
            <w:hideMark/>
          </w:tcPr>
          <w:p w14:paraId="7C1AE85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424.18125</w:t>
            </w:r>
          </w:p>
        </w:tc>
      </w:tr>
      <w:tr w:rsidR="001C6AEE" w:rsidRPr="005379A1" w14:paraId="5E72C68E" w14:textId="77777777" w:rsidTr="001C6AEE">
        <w:trPr>
          <w:trHeight w:val="20"/>
          <w:jc w:val="center"/>
        </w:trPr>
        <w:tc>
          <w:tcPr>
            <w:tcW w:w="704" w:type="dxa"/>
            <w:noWrap/>
            <w:hideMark/>
          </w:tcPr>
          <w:p w14:paraId="2E94A03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C</w:t>
            </w:r>
          </w:p>
        </w:tc>
        <w:tc>
          <w:tcPr>
            <w:tcW w:w="851" w:type="dxa"/>
            <w:noWrap/>
            <w:hideMark/>
          </w:tcPr>
          <w:p w14:paraId="16D3132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414.34375</w:t>
            </w:r>
          </w:p>
        </w:tc>
        <w:tc>
          <w:tcPr>
            <w:tcW w:w="708" w:type="dxa"/>
            <w:noWrap/>
            <w:hideMark/>
          </w:tcPr>
          <w:p w14:paraId="3A93A43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424.34375</w:t>
            </w:r>
          </w:p>
        </w:tc>
        <w:tc>
          <w:tcPr>
            <w:tcW w:w="709" w:type="dxa"/>
            <w:noWrap/>
            <w:hideMark/>
          </w:tcPr>
          <w:p w14:paraId="4D0F263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D</w:t>
            </w:r>
          </w:p>
        </w:tc>
        <w:tc>
          <w:tcPr>
            <w:tcW w:w="709" w:type="dxa"/>
            <w:noWrap/>
            <w:hideMark/>
          </w:tcPr>
          <w:p w14:paraId="593A2F8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414.35625</w:t>
            </w:r>
          </w:p>
        </w:tc>
        <w:tc>
          <w:tcPr>
            <w:tcW w:w="709" w:type="dxa"/>
            <w:noWrap/>
            <w:hideMark/>
          </w:tcPr>
          <w:p w14:paraId="283EFBB5"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424.35625</w:t>
            </w:r>
          </w:p>
        </w:tc>
        <w:tc>
          <w:tcPr>
            <w:tcW w:w="708" w:type="dxa"/>
            <w:noWrap/>
            <w:hideMark/>
          </w:tcPr>
          <w:p w14:paraId="134B0D2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C</w:t>
            </w:r>
          </w:p>
        </w:tc>
        <w:tc>
          <w:tcPr>
            <w:tcW w:w="709" w:type="dxa"/>
            <w:noWrap/>
            <w:hideMark/>
          </w:tcPr>
          <w:p w14:paraId="41451039"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414.36875</w:t>
            </w:r>
          </w:p>
        </w:tc>
        <w:tc>
          <w:tcPr>
            <w:tcW w:w="709" w:type="dxa"/>
            <w:noWrap/>
            <w:hideMark/>
          </w:tcPr>
          <w:p w14:paraId="118C403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424.36875</w:t>
            </w:r>
          </w:p>
        </w:tc>
        <w:tc>
          <w:tcPr>
            <w:tcW w:w="709" w:type="dxa"/>
            <w:noWrap/>
            <w:hideMark/>
          </w:tcPr>
          <w:p w14:paraId="4C891C5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D</w:t>
            </w:r>
          </w:p>
        </w:tc>
        <w:tc>
          <w:tcPr>
            <w:tcW w:w="802" w:type="dxa"/>
            <w:noWrap/>
            <w:hideMark/>
          </w:tcPr>
          <w:p w14:paraId="4311B1B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414.38125</w:t>
            </w:r>
          </w:p>
        </w:tc>
        <w:tc>
          <w:tcPr>
            <w:tcW w:w="861" w:type="dxa"/>
            <w:gridSpan w:val="2"/>
            <w:noWrap/>
            <w:hideMark/>
          </w:tcPr>
          <w:p w14:paraId="18DC81F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424.38125</w:t>
            </w:r>
          </w:p>
        </w:tc>
      </w:tr>
      <w:tr w:rsidR="001C6AEE" w:rsidRPr="005379A1" w14:paraId="3A2A8326" w14:textId="77777777" w:rsidTr="001C6AEE">
        <w:trPr>
          <w:trHeight w:val="20"/>
          <w:jc w:val="center"/>
        </w:trPr>
        <w:tc>
          <w:tcPr>
            <w:tcW w:w="704" w:type="dxa"/>
            <w:noWrap/>
            <w:hideMark/>
          </w:tcPr>
          <w:p w14:paraId="7438300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E</w:t>
            </w:r>
          </w:p>
        </w:tc>
        <w:tc>
          <w:tcPr>
            <w:tcW w:w="851" w:type="dxa"/>
            <w:noWrap/>
            <w:hideMark/>
          </w:tcPr>
          <w:p w14:paraId="2A97020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414.54375</w:t>
            </w:r>
          </w:p>
        </w:tc>
        <w:tc>
          <w:tcPr>
            <w:tcW w:w="708" w:type="dxa"/>
            <w:noWrap/>
            <w:hideMark/>
          </w:tcPr>
          <w:p w14:paraId="7E3510F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424.54375</w:t>
            </w:r>
          </w:p>
        </w:tc>
        <w:tc>
          <w:tcPr>
            <w:tcW w:w="709" w:type="dxa"/>
            <w:noWrap/>
            <w:hideMark/>
          </w:tcPr>
          <w:p w14:paraId="54D8D8C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F</w:t>
            </w:r>
          </w:p>
        </w:tc>
        <w:tc>
          <w:tcPr>
            <w:tcW w:w="709" w:type="dxa"/>
            <w:noWrap/>
            <w:hideMark/>
          </w:tcPr>
          <w:p w14:paraId="1E02211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414.55625</w:t>
            </w:r>
          </w:p>
        </w:tc>
        <w:tc>
          <w:tcPr>
            <w:tcW w:w="709" w:type="dxa"/>
            <w:noWrap/>
            <w:hideMark/>
          </w:tcPr>
          <w:p w14:paraId="52BC496B"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424.55625</w:t>
            </w:r>
          </w:p>
        </w:tc>
        <w:tc>
          <w:tcPr>
            <w:tcW w:w="708" w:type="dxa"/>
            <w:noWrap/>
            <w:hideMark/>
          </w:tcPr>
          <w:p w14:paraId="1C59747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E</w:t>
            </w:r>
          </w:p>
        </w:tc>
        <w:tc>
          <w:tcPr>
            <w:tcW w:w="709" w:type="dxa"/>
            <w:noWrap/>
            <w:hideMark/>
          </w:tcPr>
          <w:p w14:paraId="2ED52CC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414.56875</w:t>
            </w:r>
          </w:p>
        </w:tc>
        <w:tc>
          <w:tcPr>
            <w:tcW w:w="709" w:type="dxa"/>
            <w:noWrap/>
            <w:hideMark/>
          </w:tcPr>
          <w:p w14:paraId="4324AA2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424.56875</w:t>
            </w:r>
          </w:p>
        </w:tc>
        <w:tc>
          <w:tcPr>
            <w:tcW w:w="709" w:type="dxa"/>
            <w:noWrap/>
            <w:hideMark/>
          </w:tcPr>
          <w:p w14:paraId="70A1B49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F</w:t>
            </w:r>
          </w:p>
        </w:tc>
        <w:tc>
          <w:tcPr>
            <w:tcW w:w="802" w:type="dxa"/>
            <w:noWrap/>
            <w:hideMark/>
          </w:tcPr>
          <w:p w14:paraId="069B390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414.58125</w:t>
            </w:r>
          </w:p>
        </w:tc>
        <w:tc>
          <w:tcPr>
            <w:tcW w:w="861" w:type="dxa"/>
            <w:gridSpan w:val="2"/>
            <w:noWrap/>
            <w:hideMark/>
          </w:tcPr>
          <w:p w14:paraId="0BE70EA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424.58125</w:t>
            </w:r>
          </w:p>
        </w:tc>
      </w:tr>
      <w:tr w:rsidR="001C6AEE" w:rsidRPr="005379A1" w14:paraId="534DDC71" w14:textId="77777777" w:rsidTr="001C6AEE">
        <w:trPr>
          <w:trHeight w:val="20"/>
          <w:jc w:val="center"/>
        </w:trPr>
        <w:tc>
          <w:tcPr>
            <w:tcW w:w="704" w:type="dxa"/>
            <w:noWrap/>
            <w:hideMark/>
          </w:tcPr>
          <w:p w14:paraId="0BF61828"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G</w:t>
            </w:r>
          </w:p>
        </w:tc>
        <w:tc>
          <w:tcPr>
            <w:tcW w:w="851" w:type="dxa"/>
            <w:noWrap/>
            <w:hideMark/>
          </w:tcPr>
          <w:p w14:paraId="7B0977B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414.74375</w:t>
            </w:r>
          </w:p>
        </w:tc>
        <w:tc>
          <w:tcPr>
            <w:tcW w:w="708" w:type="dxa"/>
            <w:noWrap/>
            <w:hideMark/>
          </w:tcPr>
          <w:p w14:paraId="3542A8B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424.74375</w:t>
            </w:r>
          </w:p>
        </w:tc>
        <w:tc>
          <w:tcPr>
            <w:tcW w:w="709" w:type="dxa"/>
            <w:noWrap/>
            <w:hideMark/>
          </w:tcPr>
          <w:p w14:paraId="594FF48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H</w:t>
            </w:r>
          </w:p>
        </w:tc>
        <w:tc>
          <w:tcPr>
            <w:tcW w:w="709" w:type="dxa"/>
            <w:noWrap/>
            <w:hideMark/>
          </w:tcPr>
          <w:p w14:paraId="6B64129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414.75625</w:t>
            </w:r>
          </w:p>
        </w:tc>
        <w:tc>
          <w:tcPr>
            <w:tcW w:w="709" w:type="dxa"/>
            <w:noWrap/>
            <w:hideMark/>
          </w:tcPr>
          <w:p w14:paraId="792B06B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424.75625</w:t>
            </w:r>
          </w:p>
        </w:tc>
        <w:tc>
          <w:tcPr>
            <w:tcW w:w="708" w:type="dxa"/>
            <w:noWrap/>
            <w:hideMark/>
          </w:tcPr>
          <w:p w14:paraId="02AEB504"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G</w:t>
            </w:r>
          </w:p>
        </w:tc>
        <w:tc>
          <w:tcPr>
            <w:tcW w:w="709" w:type="dxa"/>
            <w:noWrap/>
            <w:hideMark/>
          </w:tcPr>
          <w:p w14:paraId="0363160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414.76875</w:t>
            </w:r>
          </w:p>
        </w:tc>
        <w:tc>
          <w:tcPr>
            <w:tcW w:w="709" w:type="dxa"/>
            <w:noWrap/>
            <w:hideMark/>
          </w:tcPr>
          <w:p w14:paraId="0B50A72C"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424.76875</w:t>
            </w:r>
          </w:p>
        </w:tc>
        <w:tc>
          <w:tcPr>
            <w:tcW w:w="709" w:type="dxa"/>
            <w:noWrap/>
            <w:hideMark/>
          </w:tcPr>
          <w:p w14:paraId="3029F5E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H</w:t>
            </w:r>
          </w:p>
        </w:tc>
        <w:tc>
          <w:tcPr>
            <w:tcW w:w="802" w:type="dxa"/>
            <w:noWrap/>
            <w:hideMark/>
          </w:tcPr>
          <w:p w14:paraId="54CC6376"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414.78125</w:t>
            </w:r>
          </w:p>
        </w:tc>
        <w:tc>
          <w:tcPr>
            <w:tcW w:w="861" w:type="dxa"/>
            <w:gridSpan w:val="2"/>
            <w:noWrap/>
            <w:hideMark/>
          </w:tcPr>
          <w:p w14:paraId="40107B1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424.78125</w:t>
            </w:r>
          </w:p>
        </w:tc>
      </w:tr>
      <w:tr w:rsidR="001C6AEE" w:rsidRPr="005379A1" w14:paraId="2C307C5E" w14:textId="77777777" w:rsidTr="001C6AEE">
        <w:trPr>
          <w:trHeight w:val="20"/>
          <w:jc w:val="center"/>
        </w:trPr>
        <w:tc>
          <w:tcPr>
            <w:tcW w:w="704" w:type="dxa"/>
            <w:noWrap/>
            <w:hideMark/>
          </w:tcPr>
          <w:p w14:paraId="6D0ECDC3"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I</w:t>
            </w:r>
          </w:p>
        </w:tc>
        <w:tc>
          <w:tcPr>
            <w:tcW w:w="851" w:type="dxa"/>
            <w:noWrap/>
            <w:hideMark/>
          </w:tcPr>
          <w:p w14:paraId="6BF8B590"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414.94375</w:t>
            </w:r>
          </w:p>
        </w:tc>
        <w:tc>
          <w:tcPr>
            <w:tcW w:w="708" w:type="dxa"/>
            <w:noWrap/>
            <w:hideMark/>
          </w:tcPr>
          <w:p w14:paraId="3F5A3BB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424.94375</w:t>
            </w:r>
          </w:p>
        </w:tc>
        <w:tc>
          <w:tcPr>
            <w:tcW w:w="709" w:type="dxa"/>
            <w:noWrap/>
            <w:hideMark/>
          </w:tcPr>
          <w:p w14:paraId="03B2A73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J</w:t>
            </w:r>
          </w:p>
        </w:tc>
        <w:tc>
          <w:tcPr>
            <w:tcW w:w="709" w:type="dxa"/>
            <w:noWrap/>
            <w:hideMark/>
          </w:tcPr>
          <w:p w14:paraId="77C4BAF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414.95625</w:t>
            </w:r>
          </w:p>
        </w:tc>
        <w:tc>
          <w:tcPr>
            <w:tcW w:w="709" w:type="dxa"/>
            <w:noWrap/>
            <w:hideMark/>
          </w:tcPr>
          <w:p w14:paraId="5146AB51"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424.95625</w:t>
            </w:r>
          </w:p>
        </w:tc>
        <w:tc>
          <w:tcPr>
            <w:tcW w:w="708" w:type="dxa"/>
            <w:noWrap/>
            <w:hideMark/>
          </w:tcPr>
          <w:p w14:paraId="1F2724CF"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I</w:t>
            </w:r>
          </w:p>
        </w:tc>
        <w:tc>
          <w:tcPr>
            <w:tcW w:w="709" w:type="dxa"/>
            <w:noWrap/>
            <w:hideMark/>
          </w:tcPr>
          <w:p w14:paraId="3BBBDFA2"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414.96875</w:t>
            </w:r>
          </w:p>
        </w:tc>
        <w:tc>
          <w:tcPr>
            <w:tcW w:w="709" w:type="dxa"/>
            <w:noWrap/>
            <w:hideMark/>
          </w:tcPr>
          <w:p w14:paraId="317F19CD"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424.96875</w:t>
            </w:r>
          </w:p>
        </w:tc>
        <w:tc>
          <w:tcPr>
            <w:tcW w:w="709" w:type="dxa"/>
            <w:noWrap/>
            <w:hideMark/>
          </w:tcPr>
          <w:p w14:paraId="740DA00A"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J</w:t>
            </w:r>
          </w:p>
        </w:tc>
        <w:tc>
          <w:tcPr>
            <w:tcW w:w="802" w:type="dxa"/>
            <w:noWrap/>
            <w:hideMark/>
          </w:tcPr>
          <w:p w14:paraId="49C1A647"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414.98125</w:t>
            </w:r>
          </w:p>
        </w:tc>
        <w:tc>
          <w:tcPr>
            <w:tcW w:w="861" w:type="dxa"/>
            <w:gridSpan w:val="2"/>
            <w:noWrap/>
            <w:hideMark/>
          </w:tcPr>
          <w:p w14:paraId="2514DB5E" w14:textId="77777777" w:rsidR="001C6AEE" w:rsidRPr="005379A1" w:rsidRDefault="001C6AEE" w:rsidP="001C6AEE">
            <w:pPr>
              <w:jc w:val="center"/>
              <w:rPr>
                <w:rFonts w:ascii="ITC Avant Garde" w:hAnsi="ITC Avant Garde"/>
                <w:color w:val="000000"/>
                <w:sz w:val="10"/>
                <w:szCs w:val="10"/>
                <w:lang w:eastAsia="es-MX"/>
              </w:rPr>
            </w:pPr>
            <w:r w:rsidRPr="005379A1">
              <w:rPr>
                <w:rFonts w:ascii="ITC Avant Garde" w:hAnsi="ITC Avant Garde"/>
                <w:color w:val="000000"/>
                <w:sz w:val="10"/>
                <w:szCs w:val="10"/>
                <w:lang w:eastAsia="es-MX"/>
              </w:rPr>
              <w:t>424.98125</w:t>
            </w:r>
          </w:p>
        </w:tc>
      </w:tr>
    </w:tbl>
    <w:p w14:paraId="5030A576" w14:textId="77777777" w:rsidR="00812083" w:rsidRPr="005379A1" w:rsidRDefault="00812083" w:rsidP="00812083">
      <w:pPr>
        <w:rPr>
          <w:rFonts w:ascii="ITC Avant Garde" w:hAnsi="ITC Avant Garde"/>
          <w:sz w:val="18"/>
          <w:szCs w:val="18"/>
        </w:rPr>
      </w:pPr>
    </w:p>
    <w:p w14:paraId="7EED91C7" w14:textId="53933D1D" w:rsidR="00351D84" w:rsidRPr="005379A1" w:rsidRDefault="00351D84" w:rsidP="00351D84">
      <w:pPr>
        <w:jc w:val="center"/>
        <w:rPr>
          <w:rFonts w:ascii="ITC Avant Garde" w:hAnsi="ITC Avant Garde"/>
          <w:sz w:val="22"/>
          <w:szCs w:val="22"/>
        </w:rPr>
      </w:pPr>
      <w:r w:rsidRPr="005379A1">
        <w:rPr>
          <w:rFonts w:ascii="ITC Avant Garde" w:hAnsi="ITC Avant Garde"/>
          <w:b/>
          <w:sz w:val="22"/>
          <w:szCs w:val="22"/>
        </w:rPr>
        <w:t>Tabla 2.2</w:t>
      </w:r>
    </w:p>
    <w:p w14:paraId="64071640" w14:textId="40856CF4" w:rsidR="00351D84" w:rsidRPr="005379A1" w:rsidRDefault="00351D84" w:rsidP="001C6AEE">
      <w:pPr>
        <w:rPr>
          <w:rFonts w:ascii="ITC Avant Garde" w:eastAsia="Calibri" w:hAnsi="ITC Avant Garde"/>
          <w:bCs/>
          <w:color w:val="000000"/>
          <w:sz w:val="22"/>
          <w:szCs w:val="22"/>
          <w:lang w:eastAsia="es-MX"/>
        </w:rPr>
      </w:pPr>
      <w:r w:rsidRPr="005379A1">
        <w:rPr>
          <w:rFonts w:ascii="ITC Avant Garde" w:hAnsi="ITC Avant Garde"/>
          <w:sz w:val="22"/>
          <w:szCs w:val="22"/>
        </w:rPr>
        <w:t xml:space="preserve">Grupos de Frecuencia en la banda de 400 MHz para una </w:t>
      </w:r>
      <w:r w:rsidRPr="005379A1">
        <w:rPr>
          <w:rFonts w:ascii="ITC Avant Garde" w:hAnsi="ITC Avant Garde"/>
          <w:b/>
          <w:sz w:val="22"/>
          <w:szCs w:val="22"/>
          <w:u w:val="single"/>
        </w:rPr>
        <w:t>canalización de 25 KHz</w:t>
      </w:r>
      <w:r w:rsidRPr="005379A1">
        <w:rPr>
          <w:rFonts w:ascii="ITC Avant Garde" w:hAnsi="ITC Avant Garde"/>
          <w:sz w:val="22"/>
          <w:szCs w:val="22"/>
        </w:rPr>
        <w:t xml:space="preserve"> (donde la frecuencia de </w:t>
      </w:r>
      <w:proofErr w:type="spellStart"/>
      <w:r w:rsidRPr="005379A1">
        <w:rPr>
          <w:rFonts w:ascii="ITC Avant Garde" w:hAnsi="ITC Avant Garde"/>
          <w:sz w:val="22"/>
          <w:szCs w:val="22"/>
        </w:rPr>
        <w:t>Tx</w:t>
      </w:r>
      <w:proofErr w:type="spellEnd"/>
      <w:r w:rsidRPr="005379A1">
        <w:rPr>
          <w:rFonts w:ascii="ITC Avant Garde" w:hAnsi="ITC Avant Garde"/>
          <w:sz w:val="22"/>
          <w:szCs w:val="22"/>
        </w:rPr>
        <w:t xml:space="preserve"> corresponde a la estación transmisora).</w:t>
      </w:r>
    </w:p>
    <w:tbl>
      <w:tblPr>
        <w:tblStyle w:val="Cuadrculadetablaclara"/>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2.2"/>
        <w:tblDescription w:val="Comprende un grupo de tablas que representan los grupos de frecuencia en la banda 400 MHz para un acanalización de 25 kHz. cada una se agrupa en Cricuitos del 1 al 5 para una serie de Rx y Tx en MHz."/>
      </w:tblPr>
      <w:tblGrid>
        <w:gridCol w:w="1413"/>
        <w:gridCol w:w="1421"/>
        <w:gridCol w:w="1844"/>
        <w:gridCol w:w="1417"/>
        <w:gridCol w:w="1559"/>
        <w:gridCol w:w="1412"/>
      </w:tblGrid>
      <w:tr w:rsidR="001C6AEE" w:rsidRPr="005379A1" w14:paraId="481BB06C" w14:textId="77777777" w:rsidTr="005379A1">
        <w:trPr>
          <w:trHeight w:val="124"/>
          <w:jc w:val="center"/>
        </w:trPr>
        <w:tc>
          <w:tcPr>
            <w:tcW w:w="4678" w:type="dxa"/>
            <w:gridSpan w:val="3"/>
            <w:shd w:val="clear" w:color="auto" w:fill="BFBFBF" w:themeFill="background1" w:themeFillShade="BF"/>
            <w:noWrap/>
            <w:hideMark/>
          </w:tcPr>
          <w:p w14:paraId="048DE0E0" w14:textId="77777777" w:rsidR="001C6AEE" w:rsidRPr="005379A1" w:rsidRDefault="001C6AEE" w:rsidP="001C6AEE">
            <w:pPr>
              <w:jc w:val="center"/>
              <w:rPr>
                <w:rFonts w:ascii="ITC Avant Garde" w:hAnsi="ITC Avant Garde"/>
                <w:b/>
                <w:bCs/>
                <w:color w:val="000000"/>
                <w:sz w:val="16"/>
                <w:szCs w:val="16"/>
                <w:lang w:eastAsia="es-MX"/>
              </w:rPr>
            </w:pPr>
            <w:r w:rsidRPr="005379A1">
              <w:rPr>
                <w:rFonts w:ascii="ITC Avant Garde" w:hAnsi="ITC Avant Garde"/>
                <w:b/>
                <w:bCs/>
                <w:color w:val="000000"/>
                <w:sz w:val="16"/>
                <w:szCs w:val="16"/>
                <w:lang w:eastAsia="es-MX"/>
              </w:rPr>
              <w:t>Grupo 9</w:t>
            </w:r>
          </w:p>
        </w:tc>
        <w:tc>
          <w:tcPr>
            <w:tcW w:w="4388" w:type="dxa"/>
            <w:gridSpan w:val="3"/>
            <w:shd w:val="clear" w:color="auto" w:fill="BFBFBF" w:themeFill="background1" w:themeFillShade="BF"/>
            <w:hideMark/>
          </w:tcPr>
          <w:p w14:paraId="51F89291" w14:textId="77777777" w:rsidR="001C6AEE" w:rsidRPr="005379A1" w:rsidRDefault="001C6AEE" w:rsidP="001C6AEE">
            <w:pPr>
              <w:jc w:val="center"/>
              <w:rPr>
                <w:rFonts w:ascii="ITC Avant Garde" w:hAnsi="ITC Avant Garde"/>
                <w:b/>
                <w:bCs/>
                <w:color w:val="000000"/>
                <w:sz w:val="16"/>
                <w:szCs w:val="16"/>
                <w:lang w:eastAsia="es-MX"/>
              </w:rPr>
            </w:pPr>
            <w:r w:rsidRPr="005379A1">
              <w:rPr>
                <w:rFonts w:ascii="ITC Avant Garde" w:hAnsi="ITC Avant Garde"/>
                <w:b/>
                <w:bCs/>
                <w:color w:val="000000"/>
                <w:sz w:val="16"/>
                <w:szCs w:val="16"/>
                <w:lang w:eastAsia="es-MX"/>
              </w:rPr>
              <w:t>Grupo 10</w:t>
            </w:r>
          </w:p>
        </w:tc>
      </w:tr>
      <w:tr w:rsidR="001C6AEE" w:rsidRPr="005379A1" w14:paraId="43C15ADB" w14:textId="77777777" w:rsidTr="005379A1">
        <w:trPr>
          <w:trHeight w:val="124"/>
          <w:jc w:val="center"/>
        </w:trPr>
        <w:tc>
          <w:tcPr>
            <w:tcW w:w="1413" w:type="dxa"/>
            <w:noWrap/>
            <w:hideMark/>
          </w:tcPr>
          <w:p w14:paraId="694C00B7" w14:textId="77777777" w:rsidR="001C6AEE" w:rsidRPr="005379A1" w:rsidRDefault="001C6AEE" w:rsidP="001C6AEE">
            <w:pPr>
              <w:jc w:val="center"/>
              <w:rPr>
                <w:rFonts w:ascii="ITC Avant Garde" w:hAnsi="ITC Avant Garde"/>
                <w:iCs/>
                <w:color w:val="000000"/>
                <w:sz w:val="16"/>
                <w:szCs w:val="16"/>
                <w:lang w:eastAsia="es-MX"/>
              </w:rPr>
            </w:pPr>
            <w:r w:rsidRPr="005379A1">
              <w:rPr>
                <w:rFonts w:ascii="ITC Avant Garde" w:hAnsi="ITC Avant Garde"/>
                <w:iCs/>
                <w:color w:val="000000"/>
                <w:sz w:val="16"/>
                <w:szCs w:val="16"/>
                <w:lang w:eastAsia="es-MX"/>
              </w:rPr>
              <w:t>Circuito</w:t>
            </w:r>
          </w:p>
        </w:tc>
        <w:tc>
          <w:tcPr>
            <w:tcW w:w="1421" w:type="dxa"/>
            <w:noWrap/>
            <w:hideMark/>
          </w:tcPr>
          <w:p w14:paraId="23C45263"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Rx</w:t>
            </w:r>
            <w:proofErr w:type="spellEnd"/>
          </w:p>
        </w:tc>
        <w:tc>
          <w:tcPr>
            <w:tcW w:w="1844" w:type="dxa"/>
            <w:noWrap/>
            <w:hideMark/>
          </w:tcPr>
          <w:p w14:paraId="3D9954A4"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Tx</w:t>
            </w:r>
            <w:proofErr w:type="spellEnd"/>
          </w:p>
        </w:tc>
        <w:tc>
          <w:tcPr>
            <w:tcW w:w="1417" w:type="dxa"/>
            <w:hideMark/>
          </w:tcPr>
          <w:p w14:paraId="3E50E5A7" w14:textId="77777777" w:rsidR="001C6AEE" w:rsidRPr="005379A1" w:rsidRDefault="001C6AEE" w:rsidP="001C6AEE">
            <w:pPr>
              <w:jc w:val="center"/>
              <w:rPr>
                <w:rFonts w:ascii="ITC Avant Garde" w:hAnsi="ITC Avant Garde"/>
                <w:iCs/>
                <w:color w:val="000000"/>
                <w:sz w:val="16"/>
                <w:szCs w:val="16"/>
                <w:lang w:eastAsia="es-MX"/>
              </w:rPr>
            </w:pPr>
            <w:r w:rsidRPr="005379A1">
              <w:rPr>
                <w:rFonts w:ascii="ITC Avant Garde" w:hAnsi="ITC Avant Garde"/>
                <w:iCs/>
                <w:color w:val="000000"/>
                <w:sz w:val="16"/>
                <w:szCs w:val="16"/>
                <w:lang w:eastAsia="es-MX"/>
              </w:rPr>
              <w:t>Circuito</w:t>
            </w:r>
          </w:p>
        </w:tc>
        <w:tc>
          <w:tcPr>
            <w:tcW w:w="1559" w:type="dxa"/>
            <w:noWrap/>
            <w:hideMark/>
          </w:tcPr>
          <w:p w14:paraId="40871BD9"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Rx</w:t>
            </w:r>
            <w:proofErr w:type="spellEnd"/>
          </w:p>
        </w:tc>
        <w:tc>
          <w:tcPr>
            <w:tcW w:w="1412" w:type="dxa"/>
            <w:noWrap/>
            <w:hideMark/>
          </w:tcPr>
          <w:p w14:paraId="1A44280E"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Tx</w:t>
            </w:r>
            <w:proofErr w:type="spellEnd"/>
          </w:p>
        </w:tc>
      </w:tr>
      <w:tr w:rsidR="001C6AEE" w:rsidRPr="005379A1" w14:paraId="11AA2222" w14:textId="77777777" w:rsidTr="005379A1">
        <w:trPr>
          <w:trHeight w:val="124"/>
          <w:jc w:val="center"/>
        </w:trPr>
        <w:tc>
          <w:tcPr>
            <w:tcW w:w="1413" w:type="dxa"/>
            <w:noWrap/>
            <w:hideMark/>
          </w:tcPr>
          <w:p w14:paraId="6BC75F1E"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1</w:t>
            </w:r>
          </w:p>
        </w:tc>
        <w:tc>
          <w:tcPr>
            <w:tcW w:w="1421" w:type="dxa"/>
            <w:noWrap/>
            <w:hideMark/>
          </w:tcPr>
          <w:p w14:paraId="5A9900C0"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411.025</w:t>
            </w:r>
          </w:p>
        </w:tc>
        <w:tc>
          <w:tcPr>
            <w:tcW w:w="1844" w:type="dxa"/>
            <w:noWrap/>
            <w:hideMark/>
          </w:tcPr>
          <w:p w14:paraId="3ABEB38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421.025</w:t>
            </w:r>
          </w:p>
        </w:tc>
        <w:tc>
          <w:tcPr>
            <w:tcW w:w="1417" w:type="dxa"/>
            <w:hideMark/>
          </w:tcPr>
          <w:p w14:paraId="40F9D320"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1</w:t>
            </w:r>
          </w:p>
        </w:tc>
        <w:tc>
          <w:tcPr>
            <w:tcW w:w="1559" w:type="dxa"/>
            <w:noWrap/>
            <w:hideMark/>
          </w:tcPr>
          <w:p w14:paraId="4B255C59"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411.05</w:t>
            </w:r>
          </w:p>
        </w:tc>
        <w:tc>
          <w:tcPr>
            <w:tcW w:w="1412" w:type="dxa"/>
            <w:noWrap/>
            <w:hideMark/>
          </w:tcPr>
          <w:p w14:paraId="7354A77B"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421.05</w:t>
            </w:r>
          </w:p>
        </w:tc>
      </w:tr>
      <w:tr w:rsidR="001C6AEE" w:rsidRPr="005379A1" w14:paraId="567EB7ED" w14:textId="77777777" w:rsidTr="005379A1">
        <w:trPr>
          <w:trHeight w:val="124"/>
          <w:jc w:val="center"/>
        </w:trPr>
        <w:tc>
          <w:tcPr>
            <w:tcW w:w="1413" w:type="dxa"/>
            <w:noWrap/>
            <w:hideMark/>
          </w:tcPr>
          <w:p w14:paraId="46EC1CF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w:t>
            </w:r>
          </w:p>
        </w:tc>
        <w:tc>
          <w:tcPr>
            <w:tcW w:w="1421" w:type="dxa"/>
            <w:noWrap/>
            <w:hideMark/>
          </w:tcPr>
          <w:p w14:paraId="6B20D6F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411.225</w:t>
            </w:r>
          </w:p>
        </w:tc>
        <w:tc>
          <w:tcPr>
            <w:tcW w:w="1844" w:type="dxa"/>
            <w:noWrap/>
            <w:hideMark/>
          </w:tcPr>
          <w:p w14:paraId="65E2F53A"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421.225</w:t>
            </w:r>
          </w:p>
        </w:tc>
        <w:tc>
          <w:tcPr>
            <w:tcW w:w="1417" w:type="dxa"/>
            <w:hideMark/>
          </w:tcPr>
          <w:p w14:paraId="4EE6A0E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w:t>
            </w:r>
          </w:p>
        </w:tc>
        <w:tc>
          <w:tcPr>
            <w:tcW w:w="1559" w:type="dxa"/>
            <w:noWrap/>
            <w:hideMark/>
          </w:tcPr>
          <w:p w14:paraId="00B7171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411.25</w:t>
            </w:r>
          </w:p>
        </w:tc>
        <w:tc>
          <w:tcPr>
            <w:tcW w:w="1412" w:type="dxa"/>
            <w:noWrap/>
            <w:hideMark/>
          </w:tcPr>
          <w:p w14:paraId="0AFE3D3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421.25</w:t>
            </w:r>
          </w:p>
        </w:tc>
      </w:tr>
      <w:tr w:rsidR="001C6AEE" w:rsidRPr="005379A1" w14:paraId="02A68B4A" w14:textId="77777777" w:rsidTr="005379A1">
        <w:trPr>
          <w:trHeight w:val="124"/>
          <w:jc w:val="center"/>
        </w:trPr>
        <w:tc>
          <w:tcPr>
            <w:tcW w:w="1413" w:type="dxa"/>
            <w:noWrap/>
            <w:hideMark/>
          </w:tcPr>
          <w:p w14:paraId="5662E1BD"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w:t>
            </w:r>
          </w:p>
        </w:tc>
        <w:tc>
          <w:tcPr>
            <w:tcW w:w="1421" w:type="dxa"/>
            <w:noWrap/>
            <w:hideMark/>
          </w:tcPr>
          <w:p w14:paraId="2A7B01B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411.425</w:t>
            </w:r>
          </w:p>
        </w:tc>
        <w:tc>
          <w:tcPr>
            <w:tcW w:w="1844" w:type="dxa"/>
            <w:noWrap/>
            <w:hideMark/>
          </w:tcPr>
          <w:p w14:paraId="4BFD1B66"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421.425</w:t>
            </w:r>
          </w:p>
        </w:tc>
        <w:tc>
          <w:tcPr>
            <w:tcW w:w="1417" w:type="dxa"/>
            <w:hideMark/>
          </w:tcPr>
          <w:p w14:paraId="4810FD0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w:t>
            </w:r>
          </w:p>
        </w:tc>
        <w:tc>
          <w:tcPr>
            <w:tcW w:w="1559" w:type="dxa"/>
            <w:noWrap/>
            <w:hideMark/>
          </w:tcPr>
          <w:p w14:paraId="4EC8FC9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411.45</w:t>
            </w:r>
          </w:p>
        </w:tc>
        <w:tc>
          <w:tcPr>
            <w:tcW w:w="1412" w:type="dxa"/>
            <w:noWrap/>
            <w:hideMark/>
          </w:tcPr>
          <w:p w14:paraId="0F8F2C6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421.45</w:t>
            </w:r>
          </w:p>
        </w:tc>
      </w:tr>
      <w:tr w:rsidR="001C6AEE" w:rsidRPr="005379A1" w14:paraId="17EFF4F6" w14:textId="77777777" w:rsidTr="005379A1">
        <w:trPr>
          <w:trHeight w:val="124"/>
          <w:jc w:val="center"/>
        </w:trPr>
        <w:tc>
          <w:tcPr>
            <w:tcW w:w="1413" w:type="dxa"/>
            <w:noWrap/>
            <w:hideMark/>
          </w:tcPr>
          <w:p w14:paraId="4A3A47A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w:t>
            </w:r>
          </w:p>
        </w:tc>
        <w:tc>
          <w:tcPr>
            <w:tcW w:w="1421" w:type="dxa"/>
            <w:noWrap/>
            <w:hideMark/>
          </w:tcPr>
          <w:p w14:paraId="38DB031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411.625</w:t>
            </w:r>
          </w:p>
        </w:tc>
        <w:tc>
          <w:tcPr>
            <w:tcW w:w="1844" w:type="dxa"/>
            <w:noWrap/>
            <w:hideMark/>
          </w:tcPr>
          <w:p w14:paraId="4511A5A0"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421.625</w:t>
            </w:r>
          </w:p>
        </w:tc>
        <w:tc>
          <w:tcPr>
            <w:tcW w:w="1417" w:type="dxa"/>
            <w:hideMark/>
          </w:tcPr>
          <w:p w14:paraId="510BCE0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w:t>
            </w:r>
          </w:p>
        </w:tc>
        <w:tc>
          <w:tcPr>
            <w:tcW w:w="1559" w:type="dxa"/>
            <w:noWrap/>
            <w:hideMark/>
          </w:tcPr>
          <w:p w14:paraId="4CEBD9C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411.65</w:t>
            </w:r>
          </w:p>
        </w:tc>
        <w:tc>
          <w:tcPr>
            <w:tcW w:w="1412" w:type="dxa"/>
            <w:noWrap/>
            <w:hideMark/>
          </w:tcPr>
          <w:p w14:paraId="0F0D9A9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421.65</w:t>
            </w:r>
          </w:p>
        </w:tc>
      </w:tr>
      <w:tr w:rsidR="001C6AEE" w:rsidRPr="005379A1" w14:paraId="3488460A" w14:textId="77777777" w:rsidTr="005379A1">
        <w:trPr>
          <w:trHeight w:val="124"/>
          <w:jc w:val="center"/>
        </w:trPr>
        <w:tc>
          <w:tcPr>
            <w:tcW w:w="1413" w:type="dxa"/>
            <w:noWrap/>
            <w:hideMark/>
          </w:tcPr>
          <w:p w14:paraId="6B9548F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5</w:t>
            </w:r>
          </w:p>
        </w:tc>
        <w:tc>
          <w:tcPr>
            <w:tcW w:w="1421" w:type="dxa"/>
            <w:noWrap/>
            <w:hideMark/>
          </w:tcPr>
          <w:p w14:paraId="591E515A"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411.825</w:t>
            </w:r>
          </w:p>
        </w:tc>
        <w:tc>
          <w:tcPr>
            <w:tcW w:w="1844" w:type="dxa"/>
            <w:noWrap/>
            <w:hideMark/>
          </w:tcPr>
          <w:p w14:paraId="7B23C72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421.825</w:t>
            </w:r>
          </w:p>
        </w:tc>
        <w:tc>
          <w:tcPr>
            <w:tcW w:w="1417" w:type="dxa"/>
            <w:hideMark/>
          </w:tcPr>
          <w:p w14:paraId="269B2A3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5</w:t>
            </w:r>
          </w:p>
        </w:tc>
        <w:tc>
          <w:tcPr>
            <w:tcW w:w="1559" w:type="dxa"/>
            <w:noWrap/>
            <w:hideMark/>
          </w:tcPr>
          <w:p w14:paraId="29B0135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411.85</w:t>
            </w:r>
          </w:p>
        </w:tc>
        <w:tc>
          <w:tcPr>
            <w:tcW w:w="1412" w:type="dxa"/>
            <w:noWrap/>
            <w:hideMark/>
          </w:tcPr>
          <w:p w14:paraId="62E2DEC0"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421.85</w:t>
            </w:r>
          </w:p>
        </w:tc>
      </w:tr>
      <w:tr w:rsidR="001C6AEE" w:rsidRPr="005379A1" w14:paraId="567370D7" w14:textId="77777777" w:rsidTr="005379A1">
        <w:trPr>
          <w:trHeight w:val="124"/>
          <w:jc w:val="center"/>
        </w:trPr>
        <w:tc>
          <w:tcPr>
            <w:tcW w:w="4678" w:type="dxa"/>
            <w:gridSpan w:val="3"/>
            <w:shd w:val="clear" w:color="auto" w:fill="BFBFBF" w:themeFill="background1" w:themeFillShade="BF"/>
            <w:hideMark/>
          </w:tcPr>
          <w:p w14:paraId="6AF3C2C0" w14:textId="77777777" w:rsidR="001C6AEE" w:rsidRPr="005379A1" w:rsidRDefault="001C6AEE" w:rsidP="001C6AEE">
            <w:pPr>
              <w:jc w:val="center"/>
              <w:rPr>
                <w:rFonts w:ascii="ITC Avant Garde" w:hAnsi="ITC Avant Garde"/>
                <w:b/>
                <w:bCs/>
                <w:color w:val="000000"/>
                <w:sz w:val="16"/>
                <w:szCs w:val="16"/>
                <w:lang w:eastAsia="es-MX"/>
              </w:rPr>
            </w:pPr>
            <w:r w:rsidRPr="005379A1">
              <w:rPr>
                <w:rFonts w:ascii="ITC Avant Garde" w:hAnsi="ITC Avant Garde"/>
                <w:b/>
                <w:bCs/>
                <w:color w:val="000000"/>
                <w:sz w:val="16"/>
                <w:szCs w:val="16"/>
                <w:lang w:eastAsia="es-MX"/>
              </w:rPr>
              <w:t>Grupo 11</w:t>
            </w:r>
          </w:p>
        </w:tc>
        <w:tc>
          <w:tcPr>
            <w:tcW w:w="4388" w:type="dxa"/>
            <w:gridSpan w:val="3"/>
            <w:shd w:val="clear" w:color="auto" w:fill="BFBFBF" w:themeFill="background1" w:themeFillShade="BF"/>
            <w:hideMark/>
          </w:tcPr>
          <w:p w14:paraId="248326C7" w14:textId="77777777" w:rsidR="001C6AEE" w:rsidRPr="005379A1" w:rsidRDefault="001C6AEE" w:rsidP="001C6AEE">
            <w:pPr>
              <w:jc w:val="center"/>
              <w:rPr>
                <w:rFonts w:ascii="ITC Avant Garde" w:hAnsi="ITC Avant Garde"/>
                <w:b/>
                <w:bCs/>
                <w:color w:val="000000"/>
                <w:sz w:val="16"/>
                <w:szCs w:val="16"/>
                <w:lang w:eastAsia="es-MX"/>
              </w:rPr>
            </w:pPr>
            <w:r w:rsidRPr="005379A1">
              <w:rPr>
                <w:rFonts w:ascii="ITC Avant Garde" w:hAnsi="ITC Avant Garde"/>
                <w:b/>
                <w:bCs/>
                <w:color w:val="000000"/>
                <w:sz w:val="16"/>
                <w:szCs w:val="16"/>
                <w:lang w:eastAsia="es-MX"/>
              </w:rPr>
              <w:t>Grupo 12</w:t>
            </w:r>
          </w:p>
        </w:tc>
      </w:tr>
      <w:tr w:rsidR="001C6AEE" w:rsidRPr="005379A1" w14:paraId="3B87AD79" w14:textId="77777777" w:rsidTr="005379A1">
        <w:trPr>
          <w:trHeight w:val="124"/>
          <w:jc w:val="center"/>
        </w:trPr>
        <w:tc>
          <w:tcPr>
            <w:tcW w:w="1413" w:type="dxa"/>
            <w:hideMark/>
          </w:tcPr>
          <w:p w14:paraId="25BCCC10" w14:textId="77777777" w:rsidR="001C6AEE" w:rsidRPr="005379A1" w:rsidRDefault="001C6AEE" w:rsidP="001C6AEE">
            <w:pPr>
              <w:jc w:val="center"/>
              <w:rPr>
                <w:rFonts w:ascii="ITC Avant Garde" w:hAnsi="ITC Avant Garde"/>
                <w:iCs/>
                <w:color w:val="000000"/>
                <w:sz w:val="16"/>
                <w:szCs w:val="16"/>
                <w:lang w:eastAsia="es-MX"/>
              </w:rPr>
            </w:pPr>
            <w:r w:rsidRPr="005379A1">
              <w:rPr>
                <w:rFonts w:ascii="ITC Avant Garde" w:hAnsi="ITC Avant Garde"/>
                <w:iCs/>
                <w:color w:val="000000"/>
                <w:sz w:val="16"/>
                <w:szCs w:val="16"/>
                <w:lang w:eastAsia="es-MX"/>
              </w:rPr>
              <w:t>Circuito</w:t>
            </w:r>
          </w:p>
        </w:tc>
        <w:tc>
          <w:tcPr>
            <w:tcW w:w="1421" w:type="dxa"/>
            <w:noWrap/>
            <w:hideMark/>
          </w:tcPr>
          <w:p w14:paraId="56ED4120"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Rx</w:t>
            </w:r>
            <w:proofErr w:type="spellEnd"/>
          </w:p>
        </w:tc>
        <w:tc>
          <w:tcPr>
            <w:tcW w:w="1844" w:type="dxa"/>
            <w:noWrap/>
            <w:hideMark/>
          </w:tcPr>
          <w:p w14:paraId="66E8551E"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Tx</w:t>
            </w:r>
            <w:proofErr w:type="spellEnd"/>
          </w:p>
        </w:tc>
        <w:tc>
          <w:tcPr>
            <w:tcW w:w="1417" w:type="dxa"/>
            <w:hideMark/>
          </w:tcPr>
          <w:p w14:paraId="7A1660B2" w14:textId="77777777" w:rsidR="001C6AEE" w:rsidRPr="005379A1" w:rsidRDefault="001C6AEE" w:rsidP="001C6AEE">
            <w:pPr>
              <w:jc w:val="center"/>
              <w:rPr>
                <w:rFonts w:ascii="ITC Avant Garde" w:hAnsi="ITC Avant Garde"/>
                <w:iCs/>
                <w:color w:val="000000"/>
                <w:sz w:val="16"/>
                <w:szCs w:val="16"/>
                <w:lang w:eastAsia="es-MX"/>
              </w:rPr>
            </w:pPr>
            <w:r w:rsidRPr="005379A1">
              <w:rPr>
                <w:rFonts w:ascii="ITC Avant Garde" w:hAnsi="ITC Avant Garde"/>
                <w:iCs/>
                <w:color w:val="000000"/>
                <w:sz w:val="16"/>
                <w:szCs w:val="16"/>
                <w:lang w:eastAsia="es-MX"/>
              </w:rPr>
              <w:t>Circuito</w:t>
            </w:r>
          </w:p>
        </w:tc>
        <w:tc>
          <w:tcPr>
            <w:tcW w:w="1559" w:type="dxa"/>
            <w:noWrap/>
            <w:hideMark/>
          </w:tcPr>
          <w:p w14:paraId="47889615"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Rx</w:t>
            </w:r>
            <w:proofErr w:type="spellEnd"/>
          </w:p>
        </w:tc>
        <w:tc>
          <w:tcPr>
            <w:tcW w:w="1412" w:type="dxa"/>
            <w:noWrap/>
            <w:hideMark/>
          </w:tcPr>
          <w:p w14:paraId="5DF28290"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Tx</w:t>
            </w:r>
            <w:proofErr w:type="spellEnd"/>
          </w:p>
        </w:tc>
      </w:tr>
      <w:tr w:rsidR="001C6AEE" w:rsidRPr="005379A1" w14:paraId="3CCDF725" w14:textId="77777777" w:rsidTr="005379A1">
        <w:trPr>
          <w:trHeight w:val="124"/>
          <w:jc w:val="center"/>
        </w:trPr>
        <w:tc>
          <w:tcPr>
            <w:tcW w:w="1413" w:type="dxa"/>
            <w:hideMark/>
          </w:tcPr>
          <w:p w14:paraId="5F16C8A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1</w:t>
            </w:r>
          </w:p>
        </w:tc>
        <w:tc>
          <w:tcPr>
            <w:tcW w:w="1421" w:type="dxa"/>
            <w:noWrap/>
            <w:hideMark/>
          </w:tcPr>
          <w:p w14:paraId="081CBCB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411.075</w:t>
            </w:r>
          </w:p>
        </w:tc>
        <w:tc>
          <w:tcPr>
            <w:tcW w:w="1844" w:type="dxa"/>
            <w:noWrap/>
            <w:hideMark/>
          </w:tcPr>
          <w:p w14:paraId="51813AC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421.075</w:t>
            </w:r>
          </w:p>
        </w:tc>
        <w:tc>
          <w:tcPr>
            <w:tcW w:w="1417" w:type="dxa"/>
            <w:hideMark/>
          </w:tcPr>
          <w:p w14:paraId="65B802B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1</w:t>
            </w:r>
          </w:p>
        </w:tc>
        <w:tc>
          <w:tcPr>
            <w:tcW w:w="1559" w:type="dxa"/>
            <w:noWrap/>
            <w:hideMark/>
          </w:tcPr>
          <w:p w14:paraId="5F4DD377"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411.1</w:t>
            </w:r>
          </w:p>
        </w:tc>
        <w:tc>
          <w:tcPr>
            <w:tcW w:w="1412" w:type="dxa"/>
            <w:noWrap/>
            <w:hideMark/>
          </w:tcPr>
          <w:p w14:paraId="47B66F0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421.1</w:t>
            </w:r>
          </w:p>
        </w:tc>
      </w:tr>
      <w:tr w:rsidR="001C6AEE" w:rsidRPr="005379A1" w14:paraId="2B6F0080" w14:textId="77777777" w:rsidTr="005379A1">
        <w:trPr>
          <w:trHeight w:val="124"/>
          <w:jc w:val="center"/>
        </w:trPr>
        <w:tc>
          <w:tcPr>
            <w:tcW w:w="1413" w:type="dxa"/>
            <w:hideMark/>
          </w:tcPr>
          <w:p w14:paraId="448F2899"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w:t>
            </w:r>
          </w:p>
        </w:tc>
        <w:tc>
          <w:tcPr>
            <w:tcW w:w="1421" w:type="dxa"/>
            <w:noWrap/>
            <w:hideMark/>
          </w:tcPr>
          <w:p w14:paraId="43154D79"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411.275</w:t>
            </w:r>
          </w:p>
        </w:tc>
        <w:tc>
          <w:tcPr>
            <w:tcW w:w="1844" w:type="dxa"/>
            <w:noWrap/>
            <w:hideMark/>
          </w:tcPr>
          <w:p w14:paraId="2349F74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421.275</w:t>
            </w:r>
          </w:p>
        </w:tc>
        <w:tc>
          <w:tcPr>
            <w:tcW w:w="1417" w:type="dxa"/>
            <w:hideMark/>
          </w:tcPr>
          <w:p w14:paraId="679FE38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w:t>
            </w:r>
          </w:p>
        </w:tc>
        <w:tc>
          <w:tcPr>
            <w:tcW w:w="1559" w:type="dxa"/>
            <w:noWrap/>
            <w:hideMark/>
          </w:tcPr>
          <w:p w14:paraId="7BE8036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411.3</w:t>
            </w:r>
          </w:p>
        </w:tc>
        <w:tc>
          <w:tcPr>
            <w:tcW w:w="1412" w:type="dxa"/>
            <w:noWrap/>
            <w:hideMark/>
          </w:tcPr>
          <w:p w14:paraId="0ED8BA47"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421.3</w:t>
            </w:r>
          </w:p>
        </w:tc>
      </w:tr>
      <w:tr w:rsidR="001C6AEE" w:rsidRPr="005379A1" w14:paraId="3881013B" w14:textId="77777777" w:rsidTr="005379A1">
        <w:trPr>
          <w:trHeight w:val="124"/>
          <w:jc w:val="center"/>
        </w:trPr>
        <w:tc>
          <w:tcPr>
            <w:tcW w:w="1413" w:type="dxa"/>
            <w:hideMark/>
          </w:tcPr>
          <w:p w14:paraId="5C72E5A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w:t>
            </w:r>
          </w:p>
        </w:tc>
        <w:tc>
          <w:tcPr>
            <w:tcW w:w="1421" w:type="dxa"/>
            <w:noWrap/>
            <w:hideMark/>
          </w:tcPr>
          <w:p w14:paraId="3EE0DF2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411.475</w:t>
            </w:r>
          </w:p>
        </w:tc>
        <w:tc>
          <w:tcPr>
            <w:tcW w:w="1844" w:type="dxa"/>
            <w:noWrap/>
            <w:hideMark/>
          </w:tcPr>
          <w:p w14:paraId="53DDD0CE"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421.475</w:t>
            </w:r>
          </w:p>
        </w:tc>
        <w:tc>
          <w:tcPr>
            <w:tcW w:w="1417" w:type="dxa"/>
            <w:hideMark/>
          </w:tcPr>
          <w:p w14:paraId="7FA04F6A"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w:t>
            </w:r>
          </w:p>
        </w:tc>
        <w:tc>
          <w:tcPr>
            <w:tcW w:w="1559" w:type="dxa"/>
            <w:noWrap/>
            <w:hideMark/>
          </w:tcPr>
          <w:p w14:paraId="44139AE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411.5</w:t>
            </w:r>
          </w:p>
        </w:tc>
        <w:tc>
          <w:tcPr>
            <w:tcW w:w="1412" w:type="dxa"/>
            <w:noWrap/>
            <w:hideMark/>
          </w:tcPr>
          <w:p w14:paraId="3F298FDE"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421.5</w:t>
            </w:r>
          </w:p>
        </w:tc>
      </w:tr>
      <w:tr w:rsidR="001C6AEE" w:rsidRPr="005379A1" w14:paraId="5C37E49E" w14:textId="77777777" w:rsidTr="005379A1">
        <w:trPr>
          <w:trHeight w:val="124"/>
          <w:jc w:val="center"/>
        </w:trPr>
        <w:tc>
          <w:tcPr>
            <w:tcW w:w="1413" w:type="dxa"/>
            <w:hideMark/>
          </w:tcPr>
          <w:p w14:paraId="4818F62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w:t>
            </w:r>
          </w:p>
        </w:tc>
        <w:tc>
          <w:tcPr>
            <w:tcW w:w="1421" w:type="dxa"/>
            <w:noWrap/>
            <w:hideMark/>
          </w:tcPr>
          <w:p w14:paraId="00A7CEC0"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411.675</w:t>
            </w:r>
          </w:p>
        </w:tc>
        <w:tc>
          <w:tcPr>
            <w:tcW w:w="1844" w:type="dxa"/>
            <w:noWrap/>
            <w:hideMark/>
          </w:tcPr>
          <w:p w14:paraId="40B33F0B"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421.675</w:t>
            </w:r>
          </w:p>
        </w:tc>
        <w:tc>
          <w:tcPr>
            <w:tcW w:w="1417" w:type="dxa"/>
            <w:hideMark/>
          </w:tcPr>
          <w:p w14:paraId="378651AE"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w:t>
            </w:r>
          </w:p>
        </w:tc>
        <w:tc>
          <w:tcPr>
            <w:tcW w:w="1559" w:type="dxa"/>
            <w:noWrap/>
            <w:hideMark/>
          </w:tcPr>
          <w:p w14:paraId="36F8467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411.7</w:t>
            </w:r>
          </w:p>
        </w:tc>
        <w:tc>
          <w:tcPr>
            <w:tcW w:w="1412" w:type="dxa"/>
            <w:noWrap/>
            <w:hideMark/>
          </w:tcPr>
          <w:p w14:paraId="6DB5382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421.7</w:t>
            </w:r>
          </w:p>
        </w:tc>
      </w:tr>
      <w:tr w:rsidR="001C6AEE" w:rsidRPr="005379A1" w14:paraId="39146CD0" w14:textId="77777777" w:rsidTr="005379A1">
        <w:trPr>
          <w:trHeight w:val="124"/>
          <w:jc w:val="center"/>
        </w:trPr>
        <w:tc>
          <w:tcPr>
            <w:tcW w:w="1413" w:type="dxa"/>
            <w:hideMark/>
          </w:tcPr>
          <w:p w14:paraId="674A60EE"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5</w:t>
            </w:r>
          </w:p>
        </w:tc>
        <w:tc>
          <w:tcPr>
            <w:tcW w:w="1421" w:type="dxa"/>
            <w:noWrap/>
            <w:hideMark/>
          </w:tcPr>
          <w:p w14:paraId="2B757B0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411.875</w:t>
            </w:r>
          </w:p>
        </w:tc>
        <w:tc>
          <w:tcPr>
            <w:tcW w:w="1844" w:type="dxa"/>
            <w:noWrap/>
            <w:hideMark/>
          </w:tcPr>
          <w:p w14:paraId="54FCA87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421.875</w:t>
            </w:r>
          </w:p>
        </w:tc>
        <w:tc>
          <w:tcPr>
            <w:tcW w:w="1417" w:type="dxa"/>
            <w:hideMark/>
          </w:tcPr>
          <w:p w14:paraId="7BD77B3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5</w:t>
            </w:r>
          </w:p>
        </w:tc>
        <w:tc>
          <w:tcPr>
            <w:tcW w:w="1559" w:type="dxa"/>
            <w:noWrap/>
            <w:hideMark/>
          </w:tcPr>
          <w:p w14:paraId="149E468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411.9</w:t>
            </w:r>
          </w:p>
        </w:tc>
        <w:tc>
          <w:tcPr>
            <w:tcW w:w="1412" w:type="dxa"/>
            <w:noWrap/>
            <w:hideMark/>
          </w:tcPr>
          <w:p w14:paraId="1705157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421.9</w:t>
            </w:r>
          </w:p>
        </w:tc>
      </w:tr>
      <w:tr w:rsidR="001C6AEE" w:rsidRPr="005379A1" w14:paraId="5DD9A4F6" w14:textId="77777777" w:rsidTr="005379A1">
        <w:trPr>
          <w:trHeight w:val="124"/>
          <w:jc w:val="center"/>
        </w:trPr>
        <w:tc>
          <w:tcPr>
            <w:tcW w:w="4678" w:type="dxa"/>
            <w:gridSpan w:val="3"/>
            <w:shd w:val="clear" w:color="auto" w:fill="BFBFBF" w:themeFill="background1" w:themeFillShade="BF"/>
            <w:hideMark/>
          </w:tcPr>
          <w:p w14:paraId="5F9F3C74" w14:textId="77777777" w:rsidR="001C6AEE" w:rsidRPr="005379A1" w:rsidRDefault="001C6AEE" w:rsidP="001C6AEE">
            <w:pPr>
              <w:jc w:val="center"/>
              <w:rPr>
                <w:rFonts w:ascii="ITC Avant Garde" w:hAnsi="ITC Avant Garde"/>
                <w:b/>
                <w:bCs/>
                <w:color w:val="000000"/>
                <w:sz w:val="16"/>
                <w:szCs w:val="16"/>
                <w:lang w:eastAsia="es-MX"/>
              </w:rPr>
            </w:pPr>
            <w:r w:rsidRPr="005379A1">
              <w:rPr>
                <w:rFonts w:ascii="ITC Avant Garde" w:hAnsi="ITC Avant Garde"/>
                <w:b/>
                <w:bCs/>
                <w:color w:val="000000"/>
                <w:sz w:val="16"/>
                <w:szCs w:val="16"/>
                <w:lang w:eastAsia="es-MX"/>
              </w:rPr>
              <w:t>Grupo 13</w:t>
            </w:r>
          </w:p>
        </w:tc>
        <w:tc>
          <w:tcPr>
            <w:tcW w:w="4388" w:type="dxa"/>
            <w:gridSpan w:val="3"/>
            <w:shd w:val="clear" w:color="auto" w:fill="BFBFBF" w:themeFill="background1" w:themeFillShade="BF"/>
            <w:hideMark/>
          </w:tcPr>
          <w:p w14:paraId="7ADF269F" w14:textId="77777777" w:rsidR="001C6AEE" w:rsidRPr="005379A1" w:rsidRDefault="001C6AEE" w:rsidP="001C6AEE">
            <w:pPr>
              <w:jc w:val="center"/>
              <w:rPr>
                <w:rFonts w:ascii="ITC Avant Garde" w:hAnsi="ITC Avant Garde"/>
                <w:b/>
                <w:bCs/>
                <w:color w:val="000000"/>
                <w:sz w:val="16"/>
                <w:szCs w:val="16"/>
                <w:lang w:eastAsia="es-MX"/>
              </w:rPr>
            </w:pPr>
            <w:r w:rsidRPr="005379A1">
              <w:rPr>
                <w:rFonts w:ascii="ITC Avant Garde" w:hAnsi="ITC Avant Garde"/>
                <w:b/>
                <w:bCs/>
                <w:color w:val="000000"/>
                <w:sz w:val="16"/>
                <w:szCs w:val="16"/>
                <w:lang w:eastAsia="es-MX"/>
              </w:rPr>
              <w:t>Grupo 21</w:t>
            </w:r>
          </w:p>
        </w:tc>
      </w:tr>
      <w:tr w:rsidR="001C6AEE" w:rsidRPr="005379A1" w14:paraId="78EC56EC" w14:textId="77777777" w:rsidTr="005379A1">
        <w:trPr>
          <w:trHeight w:val="124"/>
          <w:jc w:val="center"/>
        </w:trPr>
        <w:tc>
          <w:tcPr>
            <w:tcW w:w="1413" w:type="dxa"/>
            <w:hideMark/>
          </w:tcPr>
          <w:p w14:paraId="019A4D4F" w14:textId="77777777" w:rsidR="001C6AEE" w:rsidRPr="005379A1" w:rsidRDefault="001C6AEE" w:rsidP="001C6AEE">
            <w:pPr>
              <w:jc w:val="center"/>
              <w:rPr>
                <w:rFonts w:ascii="ITC Avant Garde" w:hAnsi="ITC Avant Garde"/>
                <w:iCs/>
                <w:color w:val="000000"/>
                <w:sz w:val="16"/>
                <w:szCs w:val="16"/>
                <w:lang w:eastAsia="es-MX"/>
              </w:rPr>
            </w:pPr>
            <w:r w:rsidRPr="005379A1">
              <w:rPr>
                <w:rFonts w:ascii="ITC Avant Garde" w:hAnsi="ITC Avant Garde"/>
                <w:iCs/>
                <w:color w:val="000000"/>
                <w:sz w:val="16"/>
                <w:szCs w:val="16"/>
                <w:lang w:eastAsia="es-MX"/>
              </w:rPr>
              <w:t>Circuito</w:t>
            </w:r>
          </w:p>
        </w:tc>
        <w:tc>
          <w:tcPr>
            <w:tcW w:w="1421" w:type="dxa"/>
            <w:noWrap/>
            <w:hideMark/>
          </w:tcPr>
          <w:p w14:paraId="17947E4F"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Rx</w:t>
            </w:r>
            <w:proofErr w:type="spellEnd"/>
          </w:p>
        </w:tc>
        <w:tc>
          <w:tcPr>
            <w:tcW w:w="1844" w:type="dxa"/>
            <w:noWrap/>
            <w:hideMark/>
          </w:tcPr>
          <w:p w14:paraId="36BE4F6E"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Tx</w:t>
            </w:r>
            <w:proofErr w:type="spellEnd"/>
          </w:p>
        </w:tc>
        <w:tc>
          <w:tcPr>
            <w:tcW w:w="1417" w:type="dxa"/>
            <w:hideMark/>
          </w:tcPr>
          <w:p w14:paraId="3DF9ECD1" w14:textId="77777777" w:rsidR="001C6AEE" w:rsidRPr="005379A1" w:rsidRDefault="001C6AEE" w:rsidP="001C6AEE">
            <w:pPr>
              <w:jc w:val="center"/>
              <w:rPr>
                <w:rFonts w:ascii="ITC Avant Garde" w:hAnsi="ITC Avant Garde"/>
                <w:iCs/>
                <w:color w:val="000000"/>
                <w:sz w:val="16"/>
                <w:szCs w:val="16"/>
                <w:lang w:eastAsia="es-MX"/>
              </w:rPr>
            </w:pPr>
            <w:r w:rsidRPr="005379A1">
              <w:rPr>
                <w:rFonts w:ascii="ITC Avant Garde" w:hAnsi="ITC Avant Garde"/>
                <w:iCs/>
                <w:color w:val="000000"/>
                <w:sz w:val="16"/>
                <w:szCs w:val="16"/>
                <w:lang w:eastAsia="es-MX"/>
              </w:rPr>
              <w:t>Circuito</w:t>
            </w:r>
          </w:p>
        </w:tc>
        <w:tc>
          <w:tcPr>
            <w:tcW w:w="1559" w:type="dxa"/>
            <w:noWrap/>
            <w:hideMark/>
          </w:tcPr>
          <w:p w14:paraId="37FED269"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Rx</w:t>
            </w:r>
            <w:proofErr w:type="spellEnd"/>
          </w:p>
        </w:tc>
        <w:tc>
          <w:tcPr>
            <w:tcW w:w="1412" w:type="dxa"/>
            <w:noWrap/>
            <w:hideMark/>
          </w:tcPr>
          <w:p w14:paraId="45DAE0BC"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Tx</w:t>
            </w:r>
            <w:proofErr w:type="spellEnd"/>
          </w:p>
        </w:tc>
      </w:tr>
      <w:tr w:rsidR="001C6AEE" w:rsidRPr="005379A1" w14:paraId="28517ECC" w14:textId="77777777" w:rsidTr="005379A1">
        <w:trPr>
          <w:trHeight w:val="124"/>
          <w:jc w:val="center"/>
        </w:trPr>
        <w:tc>
          <w:tcPr>
            <w:tcW w:w="1413" w:type="dxa"/>
            <w:hideMark/>
          </w:tcPr>
          <w:p w14:paraId="1DCF98A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1</w:t>
            </w:r>
          </w:p>
        </w:tc>
        <w:tc>
          <w:tcPr>
            <w:tcW w:w="1421" w:type="dxa"/>
            <w:noWrap/>
            <w:hideMark/>
          </w:tcPr>
          <w:p w14:paraId="401F9DA0"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411.125</w:t>
            </w:r>
          </w:p>
        </w:tc>
        <w:tc>
          <w:tcPr>
            <w:tcW w:w="1844" w:type="dxa"/>
            <w:noWrap/>
            <w:hideMark/>
          </w:tcPr>
          <w:p w14:paraId="17EED8F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421.125</w:t>
            </w:r>
          </w:p>
        </w:tc>
        <w:tc>
          <w:tcPr>
            <w:tcW w:w="1417" w:type="dxa"/>
            <w:hideMark/>
          </w:tcPr>
          <w:p w14:paraId="4107684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1</w:t>
            </w:r>
          </w:p>
        </w:tc>
        <w:tc>
          <w:tcPr>
            <w:tcW w:w="1559" w:type="dxa"/>
            <w:noWrap/>
            <w:hideMark/>
          </w:tcPr>
          <w:p w14:paraId="5437799A"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412.125</w:t>
            </w:r>
          </w:p>
        </w:tc>
        <w:tc>
          <w:tcPr>
            <w:tcW w:w="1412" w:type="dxa"/>
            <w:noWrap/>
            <w:hideMark/>
          </w:tcPr>
          <w:p w14:paraId="6F40E9AD"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422.125</w:t>
            </w:r>
          </w:p>
        </w:tc>
      </w:tr>
      <w:tr w:rsidR="001C6AEE" w:rsidRPr="005379A1" w14:paraId="0BA0128C" w14:textId="77777777" w:rsidTr="005379A1">
        <w:trPr>
          <w:trHeight w:val="124"/>
          <w:jc w:val="center"/>
        </w:trPr>
        <w:tc>
          <w:tcPr>
            <w:tcW w:w="1413" w:type="dxa"/>
            <w:hideMark/>
          </w:tcPr>
          <w:p w14:paraId="597A0FC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w:t>
            </w:r>
          </w:p>
        </w:tc>
        <w:tc>
          <w:tcPr>
            <w:tcW w:w="1421" w:type="dxa"/>
            <w:noWrap/>
            <w:hideMark/>
          </w:tcPr>
          <w:p w14:paraId="3ABC43E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411.325</w:t>
            </w:r>
          </w:p>
        </w:tc>
        <w:tc>
          <w:tcPr>
            <w:tcW w:w="1844" w:type="dxa"/>
            <w:noWrap/>
            <w:hideMark/>
          </w:tcPr>
          <w:p w14:paraId="63868D86"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421.325</w:t>
            </w:r>
          </w:p>
        </w:tc>
        <w:tc>
          <w:tcPr>
            <w:tcW w:w="1417" w:type="dxa"/>
            <w:hideMark/>
          </w:tcPr>
          <w:p w14:paraId="3BF030E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w:t>
            </w:r>
          </w:p>
        </w:tc>
        <w:tc>
          <w:tcPr>
            <w:tcW w:w="1559" w:type="dxa"/>
            <w:noWrap/>
            <w:hideMark/>
          </w:tcPr>
          <w:p w14:paraId="08903AD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412.325</w:t>
            </w:r>
          </w:p>
        </w:tc>
        <w:tc>
          <w:tcPr>
            <w:tcW w:w="1412" w:type="dxa"/>
            <w:noWrap/>
            <w:hideMark/>
          </w:tcPr>
          <w:p w14:paraId="202D79A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422.325</w:t>
            </w:r>
          </w:p>
        </w:tc>
      </w:tr>
      <w:tr w:rsidR="001C6AEE" w:rsidRPr="005379A1" w14:paraId="15B1353C" w14:textId="77777777" w:rsidTr="005379A1">
        <w:trPr>
          <w:trHeight w:val="124"/>
          <w:jc w:val="center"/>
        </w:trPr>
        <w:tc>
          <w:tcPr>
            <w:tcW w:w="1413" w:type="dxa"/>
            <w:hideMark/>
          </w:tcPr>
          <w:p w14:paraId="16F43E6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w:t>
            </w:r>
          </w:p>
        </w:tc>
        <w:tc>
          <w:tcPr>
            <w:tcW w:w="1421" w:type="dxa"/>
            <w:noWrap/>
            <w:hideMark/>
          </w:tcPr>
          <w:p w14:paraId="330AE27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411.525</w:t>
            </w:r>
          </w:p>
        </w:tc>
        <w:tc>
          <w:tcPr>
            <w:tcW w:w="1844" w:type="dxa"/>
            <w:noWrap/>
            <w:hideMark/>
          </w:tcPr>
          <w:p w14:paraId="439DC78B"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421.525</w:t>
            </w:r>
          </w:p>
        </w:tc>
        <w:tc>
          <w:tcPr>
            <w:tcW w:w="1417" w:type="dxa"/>
            <w:hideMark/>
          </w:tcPr>
          <w:p w14:paraId="16FCE5B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w:t>
            </w:r>
          </w:p>
        </w:tc>
        <w:tc>
          <w:tcPr>
            <w:tcW w:w="1559" w:type="dxa"/>
            <w:noWrap/>
            <w:hideMark/>
          </w:tcPr>
          <w:p w14:paraId="7F050BCB"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412.525</w:t>
            </w:r>
          </w:p>
        </w:tc>
        <w:tc>
          <w:tcPr>
            <w:tcW w:w="1412" w:type="dxa"/>
            <w:noWrap/>
            <w:hideMark/>
          </w:tcPr>
          <w:p w14:paraId="7FA2700A"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422.525</w:t>
            </w:r>
          </w:p>
        </w:tc>
      </w:tr>
      <w:tr w:rsidR="001C6AEE" w:rsidRPr="005379A1" w14:paraId="19771289" w14:textId="77777777" w:rsidTr="005379A1">
        <w:trPr>
          <w:trHeight w:val="124"/>
          <w:jc w:val="center"/>
        </w:trPr>
        <w:tc>
          <w:tcPr>
            <w:tcW w:w="1413" w:type="dxa"/>
            <w:hideMark/>
          </w:tcPr>
          <w:p w14:paraId="4A53ED2D"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lastRenderedPageBreak/>
              <w:t>4</w:t>
            </w:r>
          </w:p>
        </w:tc>
        <w:tc>
          <w:tcPr>
            <w:tcW w:w="1421" w:type="dxa"/>
            <w:noWrap/>
            <w:hideMark/>
          </w:tcPr>
          <w:p w14:paraId="10BEC1E6"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411.725</w:t>
            </w:r>
          </w:p>
        </w:tc>
        <w:tc>
          <w:tcPr>
            <w:tcW w:w="1844" w:type="dxa"/>
            <w:noWrap/>
            <w:hideMark/>
          </w:tcPr>
          <w:p w14:paraId="01215346"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421.725</w:t>
            </w:r>
          </w:p>
        </w:tc>
        <w:tc>
          <w:tcPr>
            <w:tcW w:w="1417" w:type="dxa"/>
            <w:hideMark/>
          </w:tcPr>
          <w:p w14:paraId="7684592D"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w:t>
            </w:r>
          </w:p>
        </w:tc>
        <w:tc>
          <w:tcPr>
            <w:tcW w:w="1559" w:type="dxa"/>
            <w:noWrap/>
            <w:hideMark/>
          </w:tcPr>
          <w:p w14:paraId="4E5E0EC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412.725</w:t>
            </w:r>
          </w:p>
        </w:tc>
        <w:tc>
          <w:tcPr>
            <w:tcW w:w="1412" w:type="dxa"/>
            <w:noWrap/>
            <w:hideMark/>
          </w:tcPr>
          <w:p w14:paraId="0968EDCA"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422.725</w:t>
            </w:r>
          </w:p>
        </w:tc>
      </w:tr>
      <w:tr w:rsidR="001C6AEE" w:rsidRPr="005379A1" w14:paraId="7E7C690C" w14:textId="77777777" w:rsidTr="005379A1">
        <w:trPr>
          <w:trHeight w:val="124"/>
          <w:jc w:val="center"/>
        </w:trPr>
        <w:tc>
          <w:tcPr>
            <w:tcW w:w="1413" w:type="dxa"/>
            <w:hideMark/>
          </w:tcPr>
          <w:p w14:paraId="080ED56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5</w:t>
            </w:r>
          </w:p>
        </w:tc>
        <w:tc>
          <w:tcPr>
            <w:tcW w:w="1421" w:type="dxa"/>
            <w:noWrap/>
            <w:hideMark/>
          </w:tcPr>
          <w:p w14:paraId="3C1EB7A0"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411.925</w:t>
            </w:r>
          </w:p>
        </w:tc>
        <w:tc>
          <w:tcPr>
            <w:tcW w:w="1844" w:type="dxa"/>
            <w:noWrap/>
            <w:hideMark/>
          </w:tcPr>
          <w:p w14:paraId="017746BA"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421.925</w:t>
            </w:r>
          </w:p>
        </w:tc>
        <w:tc>
          <w:tcPr>
            <w:tcW w:w="1417" w:type="dxa"/>
            <w:hideMark/>
          </w:tcPr>
          <w:p w14:paraId="57E0F9A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5</w:t>
            </w:r>
          </w:p>
        </w:tc>
        <w:tc>
          <w:tcPr>
            <w:tcW w:w="1559" w:type="dxa"/>
            <w:noWrap/>
            <w:hideMark/>
          </w:tcPr>
          <w:p w14:paraId="6CD567D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412.925</w:t>
            </w:r>
          </w:p>
        </w:tc>
        <w:tc>
          <w:tcPr>
            <w:tcW w:w="1412" w:type="dxa"/>
            <w:noWrap/>
            <w:hideMark/>
          </w:tcPr>
          <w:p w14:paraId="51FD539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422.925</w:t>
            </w:r>
          </w:p>
        </w:tc>
      </w:tr>
      <w:tr w:rsidR="001C6AEE" w:rsidRPr="005379A1" w14:paraId="0D4E5A88" w14:textId="77777777" w:rsidTr="005379A1">
        <w:trPr>
          <w:trHeight w:val="124"/>
          <w:jc w:val="center"/>
        </w:trPr>
        <w:tc>
          <w:tcPr>
            <w:tcW w:w="4678" w:type="dxa"/>
            <w:gridSpan w:val="3"/>
            <w:shd w:val="clear" w:color="auto" w:fill="BFBFBF" w:themeFill="background1" w:themeFillShade="BF"/>
            <w:hideMark/>
          </w:tcPr>
          <w:p w14:paraId="05D6DD1C" w14:textId="77777777" w:rsidR="001C6AEE" w:rsidRPr="005379A1" w:rsidRDefault="001C6AEE" w:rsidP="001C6AEE">
            <w:pPr>
              <w:jc w:val="center"/>
              <w:rPr>
                <w:rFonts w:ascii="ITC Avant Garde" w:hAnsi="ITC Avant Garde"/>
                <w:b/>
                <w:bCs/>
                <w:color w:val="000000"/>
                <w:sz w:val="16"/>
                <w:szCs w:val="16"/>
                <w:lang w:eastAsia="es-MX"/>
              </w:rPr>
            </w:pPr>
            <w:r w:rsidRPr="005379A1">
              <w:rPr>
                <w:rFonts w:ascii="ITC Avant Garde" w:hAnsi="ITC Avant Garde"/>
                <w:b/>
                <w:bCs/>
                <w:color w:val="000000"/>
                <w:sz w:val="16"/>
                <w:szCs w:val="16"/>
                <w:lang w:eastAsia="es-MX"/>
              </w:rPr>
              <w:t>Grupo 22</w:t>
            </w:r>
          </w:p>
        </w:tc>
        <w:tc>
          <w:tcPr>
            <w:tcW w:w="4388" w:type="dxa"/>
            <w:gridSpan w:val="3"/>
            <w:shd w:val="clear" w:color="auto" w:fill="BFBFBF" w:themeFill="background1" w:themeFillShade="BF"/>
            <w:hideMark/>
          </w:tcPr>
          <w:p w14:paraId="1EED3671" w14:textId="77777777" w:rsidR="001C6AEE" w:rsidRPr="005379A1" w:rsidRDefault="001C6AEE" w:rsidP="001C6AEE">
            <w:pPr>
              <w:jc w:val="center"/>
              <w:rPr>
                <w:rFonts w:ascii="ITC Avant Garde" w:hAnsi="ITC Avant Garde"/>
                <w:b/>
                <w:bCs/>
                <w:color w:val="000000"/>
                <w:sz w:val="16"/>
                <w:szCs w:val="16"/>
                <w:lang w:eastAsia="es-MX"/>
              </w:rPr>
            </w:pPr>
            <w:r w:rsidRPr="005379A1">
              <w:rPr>
                <w:rFonts w:ascii="ITC Avant Garde" w:hAnsi="ITC Avant Garde"/>
                <w:b/>
                <w:bCs/>
                <w:color w:val="000000"/>
                <w:sz w:val="16"/>
                <w:szCs w:val="16"/>
                <w:lang w:eastAsia="es-MX"/>
              </w:rPr>
              <w:t>Grupo 23</w:t>
            </w:r>
          </w:p>
        </w:tc>
      </w:tr>
      <w:tr w:rsidR="001C6AEE" w:rsidRPr="005379A1" w14:paraId="380765BE" w14:textId="77777777" w:rsidTr="005379A1">
        <w:trPr>
          <w:trHeight w:val="124"/>
          <w:jc w:val="center"/>
        </w:trPr>
        <w:tc>
          <w:tcPr>
            <w:tcW w:w="1413" w:type="dxa"/>
            <w:hideMark/>
          </w:tcPr>
          <w:p w14:paraId="11F3BFD8" w14:textId="77777777" w:rsidR="001C6AEE" w:rsidRPr="005379A1" w:rsidRDefault="001C6AEE" w:rsidP="001C6AEE">
            <w:pPr>
              <w:jc w:val="center"/>
              <w:rPr>
                <w:rFonts w:ascii="ITC Avant Garde" w:hAnsi="ITC Avant Garde"/>
                <w:iCs/>
                <w:color w:val="000000"/>
                <w:sz w:val="16"/>
                <w:szCs w:val="16"/>
                <w:lang w:eastAsia="es-MX"/>
              </w:rPr>
            </w:pPr>
            <w:r w:rsidRPr="005379A1">
              <w:rPr>
                <w:rFonts w:ascii="ITC Avant Garde" w:hAnsi="ITC Avant Garde"/>
                <w:iCs/>
                <w:color w:val="000000"/>
                <w:sz w:val="16"/>
                <w:szCs w:val="16"/>
                <w:lang w:eastAsia="es-MX"/>
              </w:rPr>
              <w:t>Circuito</w:t>
            </w:r>
          </w:p>
        </w:tc>
        <w:tc>
          <w:tcPr>
            <w:tcW w:w="1421" w:type="dxa"/>
            <w:noWrap/>
            <w:hideMark/>
          </w:tcPr>
          <w:p w14:paraId="4F1369EE"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Rx</w:t>
            </w:r>
            <w:proofErr w:type="spellEnd"/>
          </w:p>
        </w:tc>
        <w:tc>
          <w:tcPr>
            <w:tcW w:w="1844" w:type="dxa"/>
            <w:noWrap/>
            <w:hideMark/>
          </w:tcPr>
          <w:p w14:paraId="36D3AC99"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Tx</w:t>
            </w:r>
            <w:proofErr w:type="spellEnd"/>
          </w:p>
        </w:tc>
        <w:tc>
          <w:tcPr>
            <w:tcW w:w="1417" w:type="dxa"/>
            <w:hideMark/>
          </w:tcPr>
          <w:p w14:paraId="71913AF4" w14:textId="77777777" w:rsidR="001C6AEE" w:rsidRPr="005379A1" w:rsidRDefault="001C6AEE" w:rsidP="001C6AEE">
            <w:pPr>
              <w:jc w:val="center"/>
              <w:rPr>
                <w:rFonts w:ascii="ITC Avant Garde" w:hAnsi="ITC Avant Garde"/>
                <w:iCs/>
                <w:color w:val="000000"/>
                <w:sz w:val="16"/>
                <w:szCs w:val="16"/>
                <w:lang w:eastAsia="es-MX"/>
              </w:rPr>
            </w:pPr>
            <w:r w:rsidRPr="005379A1">
              <w:rPr>
                <w:rFonts w:ascii="ITC Avant Garde" w:hAnsi="ITC Avant Garde"/>
                <w:iCs/>
                <w:color w:val="000000"/>
                <w:sz w:val="16"/>
                <w:szCs w:val="16"/>
                <w:lang w:eastAsia="es-MX"/>
              </w:rPr>
              <w:t>Circuito</w:t>
            </w:r>
          </w:p>
        </w:tc>
        <w:tc>
          <w:tcPr>
            <w:tcW w:w="1559" w:type="dxa"/>
            <w:noWrap/>
            <w:hideMark/>
          </w:tcPr>
          <w:p w14:paraId="6B8F8685"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Rx</w:t>
            </w:r>
            <w:proofErr w:type="spellEnd"/>
          </w:p>
        </w:tc>
        <w:tc>
          <w:tcPr>
            <w:tcW w:w="1412" w:type="dxa"/>
            <w:noWrap/>
            <w:hideMark/>
          </w:tcPr>
          <w:p w14:paraId="7C287B19"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Tx</w:t>
            </w:r>
            <w:proofErr w:type="spellEnd"/>
          </w:p>
        </w:tc>
      </w:tr>
      <w:tr w:rsidR="001C6AEE" w:rsidRPr="005379A1" w14:paraId="212E7F51" w14:textId="77777777" w:rsidTr="005379A1">
        <w:trPr>
          <w:trHeight w:val="124"/>
          <w:jc w:val="center"/>
        </w:trPr>
        <w:tc>
          <w:tcPr>
            <w:tcW w:w="1413" w:type="dxa"/>
            <w:hideMark/>
          </w:tcPr>
          <w:p w14:paraId="0ED7070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1</w:t>
            </w:r>
          </w:p>
        </w:tc>
        <w:tc>
          <w:tcPr>
            <w:tcW w:w="1421" w:type="dxa"/>
            <w:noWrap/>
            <w:hideMark/>
          </w:tcPr>
          <w:p w14:paraId="6A34C186"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412.15</w:t>
            </w:r>
          </w:p>
        </w:tc>
        <w:tc>
          <w:tcPr>
            <w:tcW w:w="1844" w:type="dxa"/>
            <w:noWrap/>
            <w:hideMark/>
          </w:tcPr>
          <w:p w14:paraId="04F11DCE"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422.15</w:t>
            </w:r>
          </w:p>
        </w:tc>
        <w:tc>
          <w:tcPr>
            <w:tcW w:w="1417" w:type="dxa"/>
            <w:hideMark/>
          </w:tcPr>
          <w:p w14:paraId="31111F6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1</w:t>
            </w:r>
          </w:p>
        </w:tc>
        <w:tc>
          <w:tcPr>
            <w:tcW w:w="1559" w:type="dxa"/>
            <w:noWrap/>
            <w:hideMark/>
          </w:tcPr>
          <w:p w14:paraId="78EFB69E"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412.175</w:t>
            </w:r>
          </w:p>
        </w:tc>
        <w:tc>
          <w:tcPr>
            <w:tcW w:w="1412" w:type="dxa"/>
            <w:noWrap/>
            <w:hideMark/>
          </w:tcPr>
          <w:p w14:paraId="1F3DCEAD"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422.175</w:t>
            </w:r>
          </w:p>
        </w:tc>
      </w:tr>
      <w:tr w:rsidR="001C6AEE" w:rsidRPr="005379A1" w14:paraId="0D1C8DFE" w14:textId="77777777" w:rsidTr="005379A1">
        <w:trPr>
          <w:trHeight w:val="124"/>
          <w:jc w:val="center"/>
        </w:trPr>
        <w:tc>
          <w:tcPr>
            <w:tcW w:w="1413" w:type="dxa"/>
            <w:hideMark/>
          </w:tcPr>
          <w:p w14:paraId="0FD7104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w:t>
            </w:r>
          </w:p>
        </w:tc>
        <w:tc>
          <w:tcPr>
            <w:tcW w:w="1421" w:type="dxa"/>
            <w:noWrap/>
            <w:hideMark/>
          </w:tcPr>
          <w:p w14:paraId="48995DE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412.35</w:t>
            </w:r>
          </w:p>
        </w:tc>
        <w:tc>
          <w:tcPr>
            <w:tcW w:w="1844" w:type="dxa"/>
            <w:noWrap/>
            <w:hideMark/>
          </w:tcPr>
          <w:p w14:paraId="3EB4FB8E"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422.35</w:t>
            </w:r>
          </w:p>
        </w:tc>
        <w:tc>
          <w:tcPr>
            <w:tcW w:w="1417" w:type="dxa"/>
            <w:hideMark/>
          </w:tcPr>
          <w:p w14:paraId="402341BD"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w:t>
            </w:r>
          </w:p>
        </w:tc>
        <w:tc>
          <w:tcPr>
            <w:tcW w:w="1559" w:type="dxa"/>
            <w:noWrap/>
            <w:hideMark/>
          </w:tcPr>
          <w:p w14:paraId="239DD09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412.375</w:t>
            </w:r>
          </w:p>
        </w:tc>
        <w:tc>
          <w:tcPr>
            <w:tcW w:w="1412" w:type="dxa"/>
            <w:noWrap/>
            <w:hideMark/>
          </w:tcPr>
          <w:p w14:paraId="785918E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422.375</w:t>
            </w:r>
          </w:p>
        </w:tc>
      </w:tr>
      <w:tr w:rsidR="001C6AEE" w:rsidRPr="005379A1" w14:paraId="58DE9957" w14:textId="77777777" w:rsidTr="005379A1">
        <w:trPr>
          <w:trHeight w:val="124"/>
          <w:jc w:val="center"/>
        </w:trPr>
        <w:tc>
          <w:tcPr>
            <w:tcW w:w="1413" w:type="dxa"/>
            <w:hideMark/>
          </w:tcPr>
          <w:p w14:paraId="1B7FEE5E"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w:t>
            </w:r>
          </w:p>
        </w:tc>
        <w:tc>
          <w:tcPr>
            <w:tcW w:w="1421" w:type="dxa"/>
            <w:noWrap/>
            <w:hideMark/>
          </w:tcPr>
          <w:p w14:paraId="15E83C4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412.55</w:t>
            </w:r>
          </w:p>
        </w:tc>
        <w:tc>
          <w:tcPr>
            <w:tcW w:w="1844" w:type="dxa"/>
            <w:noWrap/>
            <w:hideMark/>
          </w:tcPr>
          <w:p w14:paraId="095C549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422.55</w:t>
            </w:r>
          </w:p>
        </w:tc>
        <w:tc>
          <w:tcPr>
            <w:tcW w:w="1417" w:type="dxa"/>
            <w:hideMark/>
          </w:tcPr>
          <w:p w14:paraId="3627046B"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w:t>
            </w:r>
          </w:p>
        </w:tc>
        <w:tc>
          <w:tcPr>
            <w:tcW w:w="1559" w:type="dxa"/>
            <w:noWrap/>
            <w:hideMark/>
          </w:tcPr>
          <w:p w14:paraId="11E1609B"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412.575</w:t>
            </w:r>
          </w:p>
        </w:tc>
        <w:tc>
          <w:tcPr>
            <w:tcW w:w="1412" w:type="dxa"/>
            <w:noWrap/>
            <w:hideMark/>
          </w:tcPr>
          <w:p w14:paraId="0E43C4B9"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422.575</w:t>
            </w:r>
          </w:p>
        </w:tc>
      </w:tr>
      <w:tr w:rsidR="001C6AEE" w:rsidRPr="005379A1" w14:paraId="00EA01AC" w14:textId="77777777" w:rsidTr="005379A1">
        <w:trPr>
          <w:trHeight w:val="124"/>
          <w:jc w:val="center"/>
        </w:trPr>
        <w:tc>
          <w:tcPr>
            <w:tcW w:w="1413" w:type="dxa"/>
            <w:hideMark/>
          </w:tcPr>
          <w:p w14:paraId="6EAD77EB"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w:t>
            </w:r>
          </w:p>
        </w:tc>
        <w:tc>
          <w:tcPr>
            <w:tcW w:w="1421" w:type="dxa"/>
            <w:noWrap/>
            <w:hideMark/>
          </w:tcPr>
          <w:p w14:paraId="0FDE5FF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412.75</w:t>
            </w:r>
          </w:p>
        </w:tc>
        <w:tc>
          <w:tcPr>
            <w:tcW w:w="1844" w:type="dxa"/>
            <w:noWrap/>
            <w:hideMark/>
          </w:tcPr>
          <w:p w14:paraId="6115633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422.75</w:t>
            </w:r>
          </w:p>
        </w:tc>
        <w:tc>
          <w:tcPr>
            <w:tcW w:w="1417" w:type="dxa"/>
            <w:hideMark/>
          </w:tcPr>
          <w:p w14:paraId="0C8C544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w:t>
            </w:r>
          </w:p>
        </w:tc>
        <w:tc>
          <w:tcPr>
            <w:tcW w:w="1559" w:type="dxa"/>
            <w:noWrap/>
            <w:hideMark/>
          </w:tcPr>
          <w:p w14:paraId="7E8A081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412.775</w:t>
            </w:r>
          </w:p>
        </w:tc>
        <w:tc>
          <w:tcPr>
            <w:tcW w:w="1412" w:type="dxa"/>
            <w:noWrap/>
            <w:hideMark/>
          </w:tcPr>
          <w:p w14:paraId="1064AA6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422.775</w:t>
            </w:r>
          </w:p>
        </w:tc>
      </w:tr>
      <w:tr w:rsidR="001C6AEE" w:rsidRPr="005379A1" w14:paraId="6620B06D" w14:textId="77777777" w:rsidTr="005379A1">
        <w:trPr>
          <w:trHeight w:val="124"/>
          <w:jc w:val="center"/>
        </w:trPr>
        <w:tc>
          <w:tcPr>
            <w:tcW w:w="1413" w:type="dxa"/>
            <w:hideMark/>
          </w:tcPr>
          <w:p w14:paraId="2C4EC53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5</w:t>
            </w:r>
          </w:p>
        </w:tc>
        <w:tc>
          <w:tcPr>
            <w:tcW w:w="1421" w:type="dxa"/>
            <w:noWrap/>
            <w:hideMark/>
          </w:tcPr>
          <w:p w14:paraId="64F02BB0"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412.95</w:t>
            </w:r>
          </w:p>
        </w:tc>
        <w:tc>
          <w:tcPr>
            <w:tcW w:w="1844" w:type="dxa"/>
            <w:noWrap/>
            <w:hideMark/>
          </w:tcPr>
          <w:p w14:paraId="6CC8F56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422.95</w:t>
            </w:r>
          </w:p>
        </w:tc>
        <w:tc>
          <w:tcPr>
            <w:tcW w:w="1417" w:type="dxa"/>
            <w:hideMark/>
          </w:tcPr>
          <w:p w14:paraId="747C9A7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5</w:t>
            </w:r>
          </w:p>
        </w:tc>
        <w:tc>
          <w:tcPr>
            <w:tcW w:w="1559" w:type="dxa"/>
            <w:noWrap/>
            <w:hideMark/>
          </w:tcPr>
          <w:p w14:paraId="6B3E738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412.975</w:t>
            </w:r>
          </w:p>
        </w:tc>
        <w:tc>
          <w:tcPr>
            <w:tcW w:w="1412" w:type="dxa"/>
            <w:noWrap/>
            <w:hideMark/>
          </w:tcPr>
          <w:p w14:paraId="55E24FEA"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422.975</w:t>
            </w:r>
          </w:p>
        </w:tc>
      </w:tr>
      <w:tr w:rsidR="001C6AEE" w:rsidRPr="005379A1" w14:paraId="47EA8B20" w14:textId="77777777" w:rsidTr="005379A1">
        <w:trPr>
          <w:trHeight w:val="124"/>
          <w:jc w:val="center"/>
        </w:trPr>
        <w:tc>
          <w:tcPr>
            <w:tcW w:w="4678" w:type="dxa"/>
            <w:gridSpan w:val="3"/>
            <w:shd w:val="clear" w:color="auto" w:fill="BFBFBF" w:themeFill="background1" w:themeFillShade="BF"/>
            <w:hideMark/>
          </w:tcPr>
          <w:p w14:paraId="0F1D3F6F" w14:textId="77777777" w:rsidR="001C6AEE" w:rsidRPr="005379A1" w:rsidRDefault="001C6AEE" w:rsidP="001C6AEE">
            <w:pPr>
              <w:jc w:val="center"/>
              <w:rPr>
                <w:rFonts w:ascii="ITC Avant Garde" w:hAnsi="ITC Avant Garde"/>
                <w:b/>
                <w:bCs/>
                <w:color w:val="000000"/>
                <w:sz w:val="16"/>
                <w:szCs w:val="16"/>
                <w:lang w:eastAsia="es-MX"/>
              </w:rPr>
            </w:pPr>
            <w:r w:rsidRPr="005379A1">
              <w:rPr>
                <w:rFonts w:ascii="ITC Avant Garde" w:hAnsi="ITC Avant Garde"/>
                <w:b/>
                <w:bCs/>
                <w:color w:val="000000"/>
                <w:sz w:val="16"/>
                <w:szCs w:val="16"/>
                <w:lang w:eastAsia="es-MX"/>
              </w:rPr>
              <w:t>Grupo 24</w:t>
            </w:r>
          </w:p>
        </w:tc>
        <w:tc>
          <w:tcPr>
            <w:tcW w:w="4388" w:type="dxa"/>
            <w:gridSpan w:val="3"/>
            <w:shd w:val="clear" w:color="auto" w:fill="BFBFBF" w:themeFill="background1" w:themeFillShade="BF"/>
            <w:hideMark/>
          </w:tcPr>
          <w:p w14:paraId="70174622" w14:textId="77777777" w:rsidR="001C6AEE" w:rsidRPr="005379A1" w:rsidRDefault="001C6AEE" w:rsidP="001C6AEE">
            <w:pPr>
              <w:jc w:val="center"/>
              <w:rPr>
                <w:rFonts w:ascii="ITC Avant Garde" w:hAnsi="ITC Avant Garde"/>
                <w:b/>
                <w:bCs/>
                <w:color w:val="000000"/>
                <w:sz w:val="16"/>
                <w:szCs w:val="16"/>
                <w:lang w:eastAsia="es-MX"/>
              </w:rPr>
            </w:pPr>
            <w:r w:rsidRPr="005379A1">
              <w:rPr>
                <w:rFonts w:ascii="ITC Avant Garde" w:hAnsi="ITC Avant Garde"/>
                <w:b/>
                <w:bCs/>
                <w:color w:val="000000"/>
                <w:sz w:val="16"/>
                <w:szCs w:val="16"/>
                <w:lang w:eastAsia="es-MX"/>
              </w:rPr>
              <w:t>Grupo 35</w:t>
            </w:r>
          </w:p>
        </w:tc>
      </w:tr>
      <w:tr w:rsidR="001C6AEE" w:rsidRPr="005379A1" w14:paraId="076F3D84" w14:textId="77777777" w:rsidTr="005379A1">
        <w:trPr>
          <w:trHeight w:val="124"/>
          <w:jc w:val="center"/>
        </w:trPr>
        <w:tc>
          <w:tcPr>
            <w:tcW w:w="1413" w:type="dxa"/>
            <w:hideMark/>
          </w:tcPr>
          <w:p w14:paraId="0BE81F5F" w14:textId="77777777" w:rsidR="001C6AEE" w:rsidRPr="005379A1" w:rsidRDefault="001C6AEE" w:rsidP="001C6AEE">
            <w:pPr>
              <w:jc w:val="center"/>
              <w:rPr>
                <w:rFonts w:ascii="ITC Avant Garde" w:hAnsi="ITC Avant Garde"/>
                <w:iCs/>
                <w:color w:val="000000"/>
                <w:sz w:val="16"/>
                <w:szCs w:val="16"/>
                <w:lang w:eastAsia="es-MX"/>
              </w:rPr>
            </w:pPr>
            <w:r w:rsidRPr="005379A1">
              <w:rPr>
                <w:rFonts w:ascii="ITC Avant Garde" w:hAnsi="ITC Avant Garde"/>
                <w:iCs/>
                <w:color w:val="000000"/>
                <w:sz w:val="16"/>
                <w:szCs w:val="16"/>
                <w:lang w:eastAsia="es-MX"/>
              </w:rPr>
              <w:t>Circuito</w:t>
            </w:r>
          </w:p>
        </w:tc>
        <w:tc>
          <w:tcPr>
            <w:tcW w:w="1421" w:type="dxa"/>
            <w:noWrap/>
            <w:hideMark/>
          </w:tcPr>
          <w:p w14:paraId="630843B2"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Rx</w:t>
            </w:r>
            <w:proofErr w:type="spellEnd"/>
          </w:p>
        </w:tc>
        <w:tc>
          <w:tcPr>
            <w:tcW w:w="1844" w:type="dxa"/>
            <w:noWrap/>
            <w:hideMark/>
          </w:tcPr>
          <w:p w14:paraId="4F19E8BE"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Tx</w:t>
            </w:r>
            <w:proofErr w:type="spellEnd"/>
          </w:p>
        </w:tc>
        <w:tc>
          <w:tcPr>
            <w:tcW w:w="1417" w:type="dxa"/>
            <w:hideMark/>
          </w:tcPr>
          <w:p w14:paraId="30029C23" w14:textId="77777777" w:rsidR="001C6AEE" w:rsidRPr="005379A1" w:rsidRDefault="001C6AEE" w:rsidP="001C6AEE">
            <w:pPr>
              <w:jc w:val="center"/>
              <w:rPr>
                <w:rFonts w:ascii="ITC Avant Garde" w:hAnsi="ITC Avant Garde"/>
                <w:iCs/>
                <w:color w:val="000000"/>
                <w:sz w:val="16"/>
                <w:szCs w:val="16"/>
                <w:lang w:eastAsia="es-MX"/>
              </w:rPr>
            </w:pPr>
            <w:r w:rsidRPr="005379A1">
              <w:rPr>
                <w:rFonts w:ascii="ITC Avant Garde" w:hAnsi="ITC Avant Garde"/>
                <w:iCs/>
                <w:color w:val="000000"/>
                <w:sz w:val="16"/>
                <w:szCs w:val="16"/>
                <w:lang w:eastAsia="es-MX"/>
              </w:rPr>
              <w:t>Circuito</w:t>
            </w:r>
          </w:p>
        </w:tc>
        <w:tc>
          <w:tcPr>
            <w:tcW w:w="1559" w:type="dxa"/>
            <w:noWrap/>
            <w:hideMark/>
          </w:tcPr>
          <w:p w14:paraId="6F2CBFC2"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Rx</w:t>
            </w:r>
            <w:proofErr w:type="spellEnd"/>
          </w:p>
        </w:tc>
        <w:tc>
          <w:tcPr>
            <w:tcW w:w="1412" w:type="dxa"/>
            <w:noWrap/>
            <w:hideMark/>
          </w:tcPr>
          <w:p w14:paraId="22C55589"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Tx</w:t>
            </w:r>
            <w:proofErr w:type="spellEnd"/>
          </w:p>
        </w:tc>
      </w:tr>
      <w:tr w:rsidR="001C6AEE" w:rsidRPr="005379A1" w14:paraId="257A992D" w14:textId="77777777" w:rsidTr="005379A1">
        <w:trPr>
          <w:trHeight w:val="124"/>
          <w:jc w:val="center"/>
        </w:trPr>
        <w:tc>
          <w:tcPr>
            <w:tcW w:w="1413" w:type="dxa"/>
            <w:hideMark/>
          </w:tcPr>
          <w:p w14:paraId="5197B52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1</w:t>
            </w:r>
          </w:p>
        </w:tc>
        <w:tc>
          <w:tcPr>
            <w:tcW w:w="1421" w:type="dxa"/>
            <w:noWrap/>
            <w:hideMark/>
          </w:tcPr>
          <w:p w14:paraId="440CE4CB"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412.2</w:t>
            </w:r>
          </w:p>
        </w:tc>
        <w:tc>
          <w:tcPr>
            <w:tcW w:w="1844" w:type="dxa"/>
            <w:noWrap/>
            <w:hideMark/>
          </w:tcPr>
          <w:p w14:paraId="3DB21AD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422.2</w:t>
            </w:r>
          </w:p>
        </w:tc>
        <w:tc>
          <w:tcPr>
            <w:tcW w:w="1417" w:type="dxa"/>
            <w:hideMark/>
          </w:tcPr>
          <w:p w14:paraId="74BD3EF6"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1</w:t>
            </w:r>
          </w:p>
        </w:tc>
        <w:tc>
          <w:tcPr>
            <w:tcW w:w="1559" w:type="dxa"/>
            <w:noWrap/>
            <w:hideMark/>
          </w:tcPr>
          <w:p w14:paraId="1B2569CB"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414.075</w:t>
            </w:r>
          </w:p>
        </w:tc>
        <w:tc>
          <w:tcPr>
            <w:tcW w:w="1412" w:type="dxa"/>
            <w:noWrap/>
            <w:hideMark/>
          </w:tcPr>
          <w:p w14:paraId="05583F2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424.075</w:t>
            </w:r>
          </w:p>
        </w:tc>
      </w:tr>
      <w:tr w:rsidR="001C6AEE" w:rsidRPr="005379A1" w14:paraId="6D8E0A38" w14:textId="77777777" w:rsidTr="005379A1">
        <w:trPr>
          <w:trHeight w:val="124"/>
          <w:jc w:val="center"/>
        </w:trPr>
        <w:tc>
          <w:tcPr>
            <w:tcW w:w="1413" w:type="dxa"/>
            <w:hideMark/>
          </w:tcPr>
          <w:p w14:paraId="6B53120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w:t>
            </w:r>
          </w:p>
        </w:tc>
        <w:tc>
          <w:tcPr>
            <w:tcW w:w="1421" w:type="dxa"/>
            <w:noWrap/>
            <w:hideMark/>
          </w:tcPr>
          <w:p w14:paraId="6CE8CAE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412.4</w:t>
            </w:r>
          </w:p>
        </w:tc>
        <w:tc>
          <w:tcPr>
            <w:tcW w:w="1844" w:type="dxa"/>
            <w:noWrap/>
            <w:hideMark/>
          </w:tcPr>
          <w:p w14:paraId="39BDBB2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422.4</w:t>
            </w:r>
          </w:p>
        </w:tc>
        <w:tc>
          <w:tcPr>
            <w:tcW w:w="1417" w:type="dxa"/>
            <w:hideMark/>
          </w:tcPr>
          <w:p w14:paraId="3EC13436"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w:t>
            </w:r>
          </w:p>
        </w:tc>
        <w:tc>
          <w:tcPr>
            <w:tcW w:w="1559" w:type="dxa"/>
            <w:noWrap/>
            <w:hideMark/>
          </w:tcPr>
          <w:p w14:paraId="14FCD72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414.275</w:t>
            </w:r>
          </w:p>
        </w:tc>
        <w:tc>
          <w:tcPr>
            <w:tcW w:w="1412" w:type="dxa"/>
            <w:noWrap/>
            <w:hideMark/>
          </w:tcPr>
          <w:p w14:paraId="42D7D83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424.275</w:t>
            </w:r>
          </w:p>
        </w:tc>
      </w:tr>
      <w:tr w:rsidR="001C6AEE" w:rsidRPr="005379A1" w14:paraId="6829D037" w14:textId="77777777" w:rsidTr="005379A1">
        <w:trPr>
          <w:trHeight w:val="124"/>
          <w:jc w:val="center"/>
        </w:trPr>
        <w:tc>
          <w:tcPr>
            <w:tcW w:w="1413" w:type="dxa"/>
            <w:hideMark/>
          </w:tcPr>
          <w:p w14:paraId="7D2B038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w:t>
            </w:r>
          </w:p>
        </w:tc>
        <w:tc>
          <w:tcPr>
            <w:tcW w:w="1421" w:type="dxa"/>
            <w:noWrap/>
            <w:hideMark/>
          </w:tcPr>
          <w:p w14:paraId="7633FFC7"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412.6</w:t>
            </w:r>
          </w:p>
        </w:tc>
        <w:tc>
          <w:tcPr>
            <w:tcW w:w="1844" w:type="dxa"/>
            <w:noWrap/>
            <w:hideMark/>
          </w:tcPr>
          <w:p w14:paraId="43E8611D"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422.6</w:t>
            </w:r>
          </w:p>
        </w:tc>
        <w:tc>
          <w:tcPr>
            <w:tcW w:w="1417" w:type="dxa"/>
            <w:hideMark/>
          </w:tcPr>
          <w:p w14:paraId="44E27E0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w:t>
            </w:r>
          </w:p>
        </w:tc>
        <w:tc>
          <w:tcPr>
            <w:tcW w:w="1559" w:type="dxa"/>
            <w:noWrap/>
            <w:hideMark/>
          </w:tcPr>
          <w:p w14:paraId="400AEE3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414.475</w:t>
            </w:r>
          </w:p>
        </w:tc>
        <w:tc>
          <w:tcPr>
            <w:tcW w:w="1412" w:type="dxa"/>
            <w:noWrap/>
            <w:hideMark/>
          </w:tcPr>
          <w:p w14:paraId="7E60F1D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424.475</w:t>
            </w:r>
          </w:p>
        </w:tc>
      </w:tr>
      <w:tr w:rsidR="001C6AEE" w:rsidRPr="005379A1" w14:paraId="431DF882" w14:textId="77777777" w:rsidTr="005379A1">
        <w:trPr>
          <w:trHeight w:val="124"/>
          <w:jc w:val="center"/>
        </w:trPr>
        <w:tc>
          <w:tcPr>
            <w:tcW w:w="1413" w:type="dxa"/>
            <w:hideMark/>
          </w:tcPr>
          <w:p w14:paraId="2725C066"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w:t>
            </w:r>
          </w:p>
        </w:tc>
        <w:tc>
          <w:tcPr>
            <w:tcW w:w="1421" w:type="dxa"/>
            <w:noWrap/>
            <w:hideMark/>
          </w:tcPr>
          <w:p w14:paraId="6E52CA8A"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412.8</w:t>
            </w:r>
          </w:p>
        </w:tc>
        <w:tc>
          <w:tcPr>
            <w:tcW w:w="1844" w:type="dxa"/>
            <w:noWrap/>
            <w:hideMark/>
          </w:tcPr>
          <w:p w14:paraId="793106E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422.8</w:t>
            </w:r>
          </w:p>
        </w:tc>
        <w:tc>
          <w:tcPr>
            <w:tcW w:w="1417" w:type="dxa"/>
            <w:hideMark/>
          </w:tcPr>
          <w:p w14:paraId="68E2554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w:t>
            </w:r>
          </w:p>
        </w:tc>
        <w:tc>
          <w:tcPr>
            <w:tcW w:w="1559" w:type="dxa"/>
            <w:noWrap/>
            <w:hideMark/>
          </w:tcPr>
          <w:p w14:paraId="4DEEA01E"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414.675</w:t>
            </w:r>
          </w:p>
        </w:tc>
        <w:tc>
          <w:tcPr>
            <w:tcW w:w="1412" w:type="dxa"/>
            <w:noWrap/>
            <w:hideMark/>
          </w:tcPr>
          <w:p w14:paraId="56818D7E"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424.675</w:t>
            </w:r>
          </w:p>
        </w:tc>
      </w:tr>
      <w:tr w:rsidR="001C6AEE" w:rsidRPr="005379A1" w14:paraId="53348886" w14:textId="77777777" w:rsidTr="005379A1">
        <w:trPr>
          <w:trHeight w:val="124"/>
          <w:jc w:val="center"/>
        </w:trPr>
        <w:tc>
          <w:tcPr>
            <w:tcW w:w="1413" w:type="dxa"/>
            <w:hideMark/>
          </w:tcPr>
          <w:p w14:paraId="6FD375FB"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5</w:t>
            </w:r>
          </w:p>
        </w:tc>
        <w:tc>
          <w:tcPr>
            <w:tcW w:w="1421" w:type="dxa"/>
            <w:noWrap/>
            <w:hideMark/>
          </w:tcPr>
          <w:p w14:paraId="1E620776"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413</w:t>
            </w:r>
          </w:p>
        </w:tc>
        <w:tc>
          <w:tcPr>
            <w:tcW w:w="1844" w:type="dxa"/>
            <w:noWrap/>
            <w:hideMark/>
          </w:tcPr>
          <w:p w14:paraId="31C4F549"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423</w:t>
            </w:r>
          </w:p>
        </w:tc>
        <w:tc>
          <w:tcPr>
            <w:tcW w:w="1417" w:type="dxa"/>
            <w:hideMark/>
          </w:tcPr>
          <w:p w14:paraId="6C02CCEE"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5</w:t>
            </w:r>
          </w:p>
        </w:tc>
        <w:tc>
          <w:tcPr>
            <w:tcW w:w="1559" w:type="dxa"/>
            <w:noWrap/>
            <w:hideMark/>
          </w:tcPr>
          <w:p w14:paraId="427CB76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414.875</w:t>
            </w:r>
          </w:p>
        </w:tc>
        <w:tc>
          <w:tcPr>
            <w:tcW w:w="1412" w:type="dxa"/>
            <w:noWrap/>
            <w:hideMark/>
          </w:tcPr>
          <w:p w14:paraId="4593D3E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424.875</w:t>
            </w:r>
          </w:p>
        </w:tc>
      </w:tr>
      <w:tr w:rsidR="001C6AEE" w:rsidRPr="005379A1" w14:paraId="13743ED8" w14:textId="77777777" w:rsidTr="005379A1">
        <w:trPr>
          <w:trHeight w:val="124"/>
          <w:jc w:val="center"/>
        </w:trPr>
        <w:tc>
          <w:tcPr>
            <w:tcW w:w="4678" w:type="dxa"/>
            <w:gridSpan w:val="3"/>
            <w:shd w:val="clear" w:color="auto" w:fill="BFBFBF" w:themeFill="background1" w:themeFillShade="BF"/>
            <w:hideMark/>
          </w:tcPr>
          <w:p w14:paraId="21666D73" w14:textId="77777777" w:rsidR="001C6AEE" w:rsidRPr="005379A1" w:rsidRDefault="001C6AEE" w:rsidP="001C6AEE">
            <w:pPr>
              <w:jc w:val="center"/>
              <w:rPr>
                <w:rFonts w:ascii="ITC Avant Garde" w:hAnsi="ITC Avant Garde"/>
                <w:b/>
                <w:bCs/>
                <w:color w:val="000000"/>
                <w:sz w:val="16"/>
                <w:szCs w:val="16"/>
                <w:lang w:eastAsia="es-MX"/>
              </w:rPr>
            </w:pPr>
            <w:r w:rsidRPr="005379A1">
              <w:rPr>
                <w:rFonts w:ascii="ITC Avant Garde" w:hAnsi="ITC Avant Garde"/>
                <w:b/>
                <w:bCs/>
                <w:color w:val="000000"/>
                <w:sz w:val="16"/>
                <w:szCs w:val="16"/>
                <w:lang w:eastAsia="es-MX"/>
              </w:rPr>
              <w:t>Grupo 36</w:t>
            </w:r>
          </w:p>
        </w:tc>
        <w:tc>
          <w:tcPr>
            <w:tcW w:w="4388" w:type="dxa"/>
            <w:gridSpan w:val="3"/>
            <w:shd w:val="clear" w:color="auto" w:fill="BFBFBF" w:themeFill="background1" w:themeFillShade="BF"/>
            <w:hideMark/>
          </w:tcPr>
          <w:p w14:paraId="71819669" w14:textId="77777777" w:rsidR="001C6AEE" w:rsidRPr="005379A1" w:rsidRDefault="001C6AEE" w:rsidP="001C6AEE">
            <w:pPr>
              <w:jc w:val="center"/>
              <w:rPr>
                <w:rFonts w:ascii="ITC Avant Garde" w:hAnsi="ITC Avant Garde"/>
                <w:b/>
                <w:bCs/>
                <w:color w:val="000000"/>
                <w:sz w:val="16"/>
                <w:szCs w:val="16"/>
                <w:lang w:eastAsia="es-MX"/>
              </w:rPr>
            </w:pPr>
            <w:r w:rsidRPr="005379A1">
              <w:rPr>
                <w:rFonts w:ascii="ITC Avant Garde" w:hAnsi="ITC Avant Garde"/>
                <w:b/>
                <w:bCs/>
                <w:color w:val="000000"/>
                <w:sz w:val="16"/>
                <w:szCs w:val="16"/>
                <w:lang w:eastAsia="es-MX"/>
              </w:rPr>
              <w:t>Grupo 37</w:t>
            </w:r>
          </w:p>
        </w:tc>
      </w:tr>
      <w:tr w:rsidR="001C6AEE" w:rsidRPr="005379A1" w14:paraId="3A8A37C4" w14:textId="77777777" w:rsidTr="005379A1">
        <w:trPr>
          <w:trHeight w:val="124"/>
          <w:jc w:val="center"/>
        </w:trPr>
        <w:tc>
          <w:tcPr>
            <w:tcW w:w="1413" w:type="dxa"/>
            <w:hideMark/>
          </w:tcPr>
          <w:p w14:paraId="6D9BB251" w14:textId="77777777" w:rsidR="001C6AEE" w:rsidRPr="005379A1" w:rsidRDefault="001C6AEE" w:rsidP="001C6AEE">
            <w:pPr>
              <w:jc w:val="center"/>
              <w:rPr>
                <w:rFonts w:ascii="ITC Avant Garde" w:hAnsi="ITC Avant Garde"/>
                <w:iCs/>
                <w:color w:val="000000"/>
                <w:sz w:val="16"/>
                <w:szCs w:val="16"/>
                <w:lang w:eastAsia="es-MX"/>
              </w:rPr>
            </w:pPr>
            <w:r w:rsidRPr="005379A1">
              <w:rPr>
                <w:rFonts w:ascii="ITC Avant Garde" w:hAnsi="ITC Avant Garde"/>
                <w:iCs/>
                <w:color w:val="000000"/>
                <w:sz w:val="16"/>
                <w:szCs w:val="16"/>
                <w:lang w:eastAsia="es-MX"/>
              </w:rPr>
              <w:t>Circuito</w:t>
            </w:r>
          </w:p>
        </w:tc>
        <w:tc>
          <w:tcPr>
            <w:tcW w:w="1421" w:type="dxa"/>
            <w:noWrap/>
            <w:hideMark/>
          </w:tcPr>
          <w:p w14:paraId="0914C311"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Rx</w:t>
            </w:r>
            <w:proofErr w:type="spellEnd"/>
          </w:p>
        </w:tc>
        <w:tc>
          <w:tcPr>
            <w:tcW w:w="1844" w:type="dxa"/>
            <w:noWrap/>
            <w:hideMark/>
          </w:tcPr>
          <w:p w14:paraId="7C8C1D8B"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Tx</w:t>
            </w:r>
            <w:proofErr w:type="spellEnd"/>
          </w:p>
        </w:tc>
        <w:tc>
          <w:tcPr>
            <w:tcW w:w="1417" w:type="dxa"/>
            <w:hideMark/>
          </w:tcPr>
          <w:p w14:paraId="26564A72" w14:textId="77777777" w:rsidR="001C6AEE" w:rsidRPr="005379A1" w:rsidRDefault="001C6AEE" w:rsidP="001C6AEE">
            <w:pPr>
              <w:jc w:val="center"/>
              <w:rPr>
                <w:rFonts w:ascii="ITC Avant Garde" w:hAnsi="ITC Avant Garde"/>
                <w:iCs/>
                <w:color w:val="000000"/>
                <w:sz w:val="16"/>
                <w:szCs w:val="16"/>
                <w:lang w:eastAsia="es-MX"/>
              </w:rPr>
            </w:pPr>
            <w:r w:rsidRPr="005379A1">
              <w:rPr>
                <w:rFonts w:ascii="ITC Avant Garde" w:hAnsi="ITC Avant Garde"/>
                <w:iCs/>
                <w:color w:val="000000"/>
                <w:sz w:val="16"/>
                <w:szCs w:val="16"/>
                <w:lang w:eastAsia="es-MX"/>
              </w:rPr>
              <w:t>Circuito</w:t>
            </w:r>
          </w:p>
        </w:tc>
        <w:tc>
          <w:tcPr>
            <w:tcW w:w="1559" w:type="dxa"/>
            <w:noWrap/>
            <w:hideMark/>
          </w:tcPr>
          <w:p w14:paraId="5772AF16"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Rx</w:t>
            </w:r>
            <w:proofErr w:type="spellEnd"/>
          </w:p>
        </w:tc>
        <w:tc>
          <w:tcPr>
            <w:tcW w:w="1412" w:type="dxa"/>
            <w:noWrap/>
            <w:hideMark/>
          </w:tcPr>
          <w:p w14:paraId="65B3B741"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Tx</w:t>
            </w:r>
            <w:proofErr w:type="spellEnd"/>
          </w:p>
        </w:tc>
      </w:tr>
      <w:tr w:rsidR="001C6AEE" w:rsidRPr="005379A1" w14:paraId="1573E0A1" w14:textId="77777777" w:rsidTr="005379A1">
        <w:trPr>
          <w:trHeight w:val="124"/>
          <w:jc w:val="center"/>
        </w:trPr>
        <w:tc>
          <w:tcPr>
            <w:tcW w:w="1413" w:type="dxa"/>
            <w:hideMark/>
          </w:tcPr>
          <w:p w14:paraId="638A3D6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1</w:t>
            </w:r>
          </w:p>
        </w:tc>
        <w:tc>
          <w:tcPr>
            <w:tcW w:w="1421" w:type="dxa"/>
            <w:noWrap/>
            <w:hideMark/>
          </w:tcPr>
          <w:p w14:paraId="4962AB80"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414.1</w:t>
            </w:r>
          </w:p>
        </w:tc>
        <w:tc>
          <w:tcPr>
            <w:tcW w:w="1844" w:type="dxa"/>
            <w:noWrap/>
            <w:hideMark/>
          </w:tcPr>
          <w:p w14:paraId="695A3CD7"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424.1</w:t>
            </w:r>
          </w:p>
        </w:tc>
        <w:tc>
          <w:tcPr>
            <w:tcW w:w="1417" w:type="dxa"/>
            <w:hideMark/>
          </w:tcPr>
          <w:p w14:paraId="45DD0129"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1</w:t>
            </w:r>
          </w:p>
        </w:tc>
        <w:tc>
          <w:tcPr>
            <w:tcW w:w="1559" w:type="dxa"/>
            <w:noWrap/>
            <w:hideMark/>
          </w:tcPr>
          <w:p w14:paraId="4A8261CD"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414.125</w:t>
            </w:r>
          </w:p>
        </w:tc>
        <w:tc>
          <w:tcPr>
            <w:tcW w:w="1412" w:type="dxa"/>
            <w:noWrap/>
            <w:hideMark/>
          </w:tcPr>
          <w:p w14:paraId="06EEE27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424.125</w:t>
            </w:r>
          </w:p>
        </w:tc>
      </w:tr>
      <w:tr w:rsidR="001C6AEE" w:rsidRPr="005379A1" w14:paraId="6C28C242" w14:textId="77777777" w:rsidTr="005379A1">
        <w:trPr>
          <w:trHeight w:val="124"/>
          <w:jc w:val="center"/>
        </w:trPr>
        <w:tc>
          <w:tcPr>
            <w:tcW w:w="1413" w:type="dxa"/>
            <w:hideMark/>
          </w:tcPr>
          <w:p w14:paraId="197D46B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w:t>
            </w:r>
          </w:p>
        </w:tc>
        <w:tc>
          <w:tcPr>
            <w:tcW w:w="1421" w:type="dxa"/>
            <w:noWrap/>
            <w:hideMark/>
          </w:tcPr>
          <w:p w14:paraId="760DFC1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414.3</w:t>
            </w:r>
          </w:p>
        </w:tc>
        <w:tc>
          <w:tcPr>
            <w:tcW w:w="1844" w:type="dxa"/>
            <w:noWrap/>
            <w:hideMark/>
          </w:tcPr>
          <w:p w14:paraId="118C1D7A"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424.3</w:t>
            </w:r>
          </w:p>
        </w:tc>
        <w:tc>
          <w:tcPr>
            <w:tcW w:w="1417" w:type="dxa"/>
            <w:hideMark/>
          </w:tcPr>
          <w:p w14:paraId="47538A3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w:t>
            </w:r>
          </w:p>
        </w:tc>
        <w:tc>
          <w:tcPr>
            <w:tcW w:w="1559" w:type="dxa"/>
            <w:noWrap/>
            <w:hideMark/>
          </w:tcPr>
          <w:p w14:paraId="6AE94E7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414.325</w:t>
            </w:r>
          </w:p>
        </w:tc>
        <w:tc>
          <w:tcPr>
            <w:tcW w:w="1412" w:type="dxa"/>
            <w:noWrap/>
            <w:hideMark/>
          </w:tcPr>
          <w:p w14:paraId="1374352D"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424.325</w:t>
            </w:r>
          </w:p>
        </w:tc>
      </w:tr>
      <w:tr w:rsidR="001C6AEE" w:rsidRPr="005379A1" w14:paraId="6A33F33E" w14:textId="77777777" w:rsidTr="005379A1">
        <w:trPr>
          <w:trHeight w:val="124"/>
          <w:jc w:val="center"/>
        </w:trPr>
        <w:tc>
          <w:tcPr>
            <w:tcW w:w="1413" w:type="dxa"/>
            <w:hideMark/>
          </w:tcPr>
          <w:p w14:paraId="72B13FAE"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w:t>
            </w:r>
          </w:p>
        </w:tc>
        <w:tc>
          <w:tcPr>
            <w:tcW w:w="1421" w:type="dxa"/>
            <w:noWrap/>
            <w:hideMark/>
          </w:tcPr>
          <w:p w14:paraId="14E4F10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414.5</w:t>
            </w:r>
          </w:p>
        </w:tc>
        <w:tc>
          <w:tcPr>
            <w:tcW w:w="1844" w:type="dxa"/>
            <w:noWrap/>
            <w:hideMark/>
          </w:tcPr>
          <w:p w14:paraId="2DFF1B9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424.5</w:t>
            </w:r>
          </w:p>
        </w:tc>
        <w:tc>
          <w:tcPr>
            <w:tcW w:w="1417" w:type="dxa"/>
            <w:hideMark/>
          </w:tcPr>
          <w:p w14:paraId="2ED15FD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w:t>
            </w:r>
          </w:p>
        </w:tc>
        <w:tc>
          <w:tcPr>
            <w:tcW w:w="1559" w:type="dxa"/>
            <w:noWrap/>
            <w:hideMark/>
          </w:tcPr>
          <w:p w14:paraId="3156B6F7"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414.525</w:t>
            </w:r>
          </w:p>
        </w:tc>
        <w:tc>
          <w:tcPr>
            <w:tcW w:w="1412" w:type="dxa"/>
            <w:noWrap/>
            <w:hideMark/>
          </w:tcPr>
          <w:p w14:paraId="66B5DED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424.525</w:t>
            </w:r>
          </w:p>
        </w:tc>
      </w:tr>
      <w:tr w:rsidR="001C6AEE" w:rsidRPr="005379A1" w14:paraId="43875EC0" w14:textId="77777777" w:rsidTr="005379A1">
        <w:trPr>
          <w:trHeight w:val="124"/>
          <w:jc w:val="center"/>
        </w:trPr>
        <w:tc>
          <w:tcPr>
            <w:tcW w:w="1413" w:type="dxa"/>
            <w:hideMark/>
          </w:tcPr>
          <w:p w14:paraId="6607706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w:t>
            </w:r>
          </w:p>
        </w:tc>
        <w:tc>
          <w:tcPr>
            <w:tcW w:w="1421" w:type="dxa"/>
            <w:noWrap/>
            <w:hideMark/>
          </w:tcPr>
          <w:p w14:paraId="466F37CB"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414.7</w:t>
            </w:r>
          </w:p>
        </w:tc>
        <w:tc>
          <w:tcPr>
            <w:tcW w:w="1844" w:type="dxa"/>
            <w:noWrap/>
            <w:hideMark/>
          </w:tcPr>
          <w:p w14:paraId="33BC389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424.7</w:t>
            </w:r>
          </w:p>
        </w:tc>
        <w:tc>
          <w:tcPr>
            <w:tcW w:w="1417" w:type="dxa"/>
            <w:hideMark/>
          </w:tcPr>
          <w:p w14:paraId="56D2FA00"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w:t>
            </w:r>
          </w:p>
        </w:tc>
        <w:tc>
          <w:tcPr>
            <w:tcW w:w="1559" w:type="dxa"/>
            <w:noWrap/>
            <w:hideMark/>
          </w:tcPr>
          <w:p w14:paraId="76CDBE5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414.725</w:t>
            </w:r>
          </w:p>
        </w:tc>
        <w:tc>
          <w:tcPr>
            <w:tcW w:w="1412" w:type="dxa"/>
            <w:noWrap/>
            <w:hideMark/>
          </w:tcPr>
          <w:p w14:paraId="4E0C28D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424.725</w:t>
            </w:r>
          </w:p>
        </w:tc>
      </w:tr>
      <w:tr w:rsidR="001C6AEE" w:rsidRPr="005379A1" w14:paraId="5531DB01" w14:textId="77777777" w:rsidTr="005379A1">
        <w:trPr>
          <w:trHeight w:val="124"/>
          <w:jc w:val="center"/>
        </w:trPr>
        <w:tc>
          <w:tcPr>
            <w:tcW w:w="1413" w:type="dxa"/>
            <w:hideMark/>
          </w:tcPr>
          <w:p w14:paraId="3B4AD0C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5</w:t>
            </w:r>
          </w:p>
        </w:tc>
        <w:tc>
          <w:tcPr>
            <w:tcW w:w="1421" w:type="dxa"/>
            <w:noWrap/>
            <w:hideMark/>
          </w:tcPr>
          <w:p w14:paraId="4037504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414.9</w:t>
            </w:r>
          </w:p>
        </w:tc>
        <w:tc>
          <w:tcPr>
            <w:tcW w:w="1844" w:type="dxa"/>
            <w:noWrap/>
            <w:hideMark/>
          </w:tcPr>
          <w:p w14:paraId="250ECD2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424.9</w:t>
            </w:r>
          </w:p>
        </w:tc>
        <w:tc>
          <w:tcPr>
            <w:tcW w:w="1417" w:type="dxa"/>
            <w:hideMark/>
          </w:tcPr>
          <w:p w14:paraId="43E0BDC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5</w:t>
            </w:r>
          </w:p>
        </w:tc>
        <w:tc>
          <w:tcPr>
            <w:tcW w:w="1559" w:type="dxa"/>
            <w:noWrap/>
            <w:hideMark/>
          </w:tcPr>
          <w:p w14:paraId="1FDCB9F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414.925</w:t>
            </w:r>
          </w:p>
        </w:tc>
        <w:tc>
          <w:tcPr>
            <w:tcW w:w="1412" w:type="dxa"/>
            <w:noWrap/>
            <w:hideMark/>
          </w:tcPr>
          <w:p w14:paraId="71D6B6DB"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424.925</w:t>
            </w:r>
          </w:p>
        </w:tc>
      </w:tr>
      <w:tr w:rsidR="001C6AEE" w:rsidRPr="005379A1" w14:paraId="102A4E2D" w14:textId="77777777" w:rsidTr="005379A1">
        <w:trPr>
          <w:trHeight w:val="124"/>
          <w:jc w:val="center"/>
        </w:trPr>
        <w:tc>
          <w:tcPr>
            <w:tcW w:w="4678" w:type="dxa"/>
            <w:gridSpan w:val="3"/>
            <w:shd w:val="clear" w:color="auto" w:fill="BFBFBF" w:themeFill="background1" w:themeFillShade="BF"/>
            <w:hideMark/>
          </w:tcPr>
          <w:p w14:paraId="74ABA17B" w14:textId="77777777" w:rsidR="001C6AEE" w:rsidRPr="005379A1" w:rsidRDefault="001C6AEE" w:rsidP="001C6AEE">
            <w:pPr>
              <w:jc w:val="center"/>
              <w:rPr>
                <w:rFonts w:ascii="ITC Avant Garde" w:hAnsi="ITC Avant Garde"/>
                <w:b/>
                <w:bCs/>
                <w:color w:val="000000"/>
                <w:sz w:val="16"/>
                <w:szCs w:val="16"/>
                <w:lang w:eastAsia="es-MX"/>
              </w:rPr>
            </w:pPr>
            <w:r w:rsidRPr="005379A1">
              <w:rPr>
                <w:rFonts w:ascii="ITC Avant Garde" w:hAnsi="ITC Avant Garde"/>
                <w:b/>
                <w:bCs/>
                <w:color w:val="000000"/>
                <w:sz w:val="16"/>
                <w:szCs w:val="16"/>
                <w:lang w:eastAsia="es-MX"/>
              </w:rPr>
              <w:t>Grupo 38</w:t>
            </w:r>
          </w:p>
        </w:tc>
        <w:tc>
          <w:tcPr>
            <w:tcW w:w="4388" w:type="dxa"/>
            <w:gridSpan w:val="3"/>
            <w:shd w:val="clear" w:color="auto" w:fill="BFBFBF" w:themeFill="background1" w:themeFillShade="BF"/>
            <w:hideMark/>
          </w:tcPr>
          <w:p w14:paraId="775EF001" w14:textId="77777777" w:rsidR="001C6AEE" w:rsidRPr="005379A1" w:rsidRDefault="001C6AEE" w:rsidP="001C6AEE">
            <w:pPr>
              <w:jc w:val="center"/>
              <w:rPr>
                <w:rFonts w:ascii="ITC Avant Garde" w:hAnsi="ITC Avant Garde"/>
                <w:b/>
                <w:bCs/>
                <w:color w:val="000000"/>
                <w:sz w:val="16"/>
                <w:szCs w:val="16"/>
                <w:lang w:eastAsia="es-MX"/>
              </w:rPr>
            </w:pPr>
            <w:r w:rsidRPr="005379A1">
              <w:rPr>
                <w:rFonts w:ascii="ITC Avant Garde" w:hAnsi="ITC Avant Garde"/>
                <w:b/>
                <w:bCs/>
                <w:color w:val="000000"/>
                <w:sz w:val="16"/>
                <w:szCs w:val="16"/>
                <w:lang w:eastAsia="es-MX"/>
              </w:rPr>
              <w:t>Grupo 39</w:t>
            </w:r>
          </w:p>
        </w:tc>
      </w:tr>
      <w:tr w:rsidR="001C6AEE" w:rsidRPr="005379A1" w14:paraId="67256F58" w14:textId="77777777" w:rsidTr="005379A1">
        <w:trPr>
          <w:trHeight w:val="124"/>
          <w:jc w:val="center"/>
        </w:trPr>
        <w:tc>
          <w:tcPr>
            <w:tcW w:w="1413" w:type="dxa"/>
            <w:hideMark/>
          </w:tcPr>
          <w:p w14:paraId="4205D8E8" w14:textId="77777777" w:rsidR="001C6AEE" w:rsidRPr="005379A1" w:rsidRDefault="001C6AEE" w:rsidP="001C6AEE">
            <w:pPr>
              <w:jc w:val="center"/>
              <w:rPr>
                <w:rFonts w:ascii="ITC Avant Garde" w:hAnsi="ITC Avant Garde"/>
                <w:iCs/>
                <w:color w:val="000000"/>
                <w:sz w:val="16"/>
                <w:szCs w:val="16"/>
                <w:lang w:eastAsia="es-MX"/>
              </w:rPr>
            </w:pPr>
            <w:r w:rsidRPr="005379A1">
              <w:rPr>
                <w:rFonts w:ascii="ITC Avant Garde" w:hAnsi="ITC Avant Garde"/>
                <w:iCs/>
                <w:color w:val="000000"/>
                <w:sz w:val="16"/>
                <w:szCs w:val="16"/>
                <w:lang w:eastAsia="es-MX"/>
              </w:rPr>
              <w:t>Circuito</w:t>
            </w:r>
          </w:p>
        </w:tc>
        <w:tc>
          <w:tcPr>
            <w:tcW w:w="1421" w:type="dxa"/>
            <w:noWrap/>
            <w:hideMark/>
          </w:tcPr>
          <w:p w14:paraId="755F1DD6"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Rx</w:t>
            </w:r>
            <w:proofErr w:type="spellEnd"/>
          </w:p>
        </w:tc>
        <w:tc>
          <w:tcPr>
            <w:tcW w:w="1844" w:type="dxa"/>
            <w:noWrap/>
            <w:hideMark/>
          </w:tcPr>
          <w:p w14:paraId="5D08879D"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Tx</w:t>
            </w:r>
            <w:proofErr w:type="spellEnd"/>
          </w:p>
        </w:tc>
        <w:tc>
          <w:tcPr>
            <w:tcW w:w="1417" w:type="dxa"/>
            <w:hideMark/>
          </w:tcPr>
          <w:p w14:paraId="2B476907" w14:textId="77777777" w:rsidR="001C6AEE" w:rsidRPr="005379A1" w:rsidRDefault="001C6AEE" w:rsidP="001C6AEE">
            <w:pPr>
              <w:jc w:val="center"/>
              <w:rPr>
                <w:rFonts w:ascii="ITC Avant Garde" w:hAnsi="ITC Avant Garde"/>
                <w:iCs/>
                <w:color w:val="000000"/>
                <w:sz w:val="16"/>
                <w:szCs w:val="16"/>
                <w:lang w:eastAsia="es-MX"/>
              </w:rPr>
            </w:pPr>
            <w:r w:rsidRPr="005379A1">
              <w:rPr>
                <w:rFonts w:ascii="ITC Avant Garde" w:hAnsi="ITC Avant Garde"/>
                <w:iCs/>
                <w:color w:val="000000"/>
                <w:sz w:val="16"/>
                <w:szCs w:val="16"/>
                <w:lang w:eastAsia="es-MX"/>
              </w:rPr>
              <w:t>Circuito</w:t>
            </w:r>
          </w:p>
        </w:tc>
        <w:tc>
          <w:tcPr>
            <w:tcW w:w="1559" w:type="dxa"/>
            <w:noWrap/>
            <w:hideMark/>
          </w:tcPr>
          <w:p w14:paraId="6D9506F5"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Rx</w:t>
            </w:r>
            <w:proofErr w:type="spellEnd"/>
          </w:p>
        </w:tc>
        <w:tc>
          <w:tcPr>
            <w:tcW w:w="1412" w:type="dxa"/>
            <w:noWrap/>
            <w:hideMark/>
          </w:tcPr>
          <w:p w14:paraId="0938E7E8" w14:textId="77777777" w:rsidR="001C6AEE" w:rsidRPr="005379A1" w:rsidRDefault="001C6AEE" w:rsidP="001C6AEE">
            <w:pPr>
              <w:jc w:val="center"/>
              <w:rPr>
                <w:rFonts w:ascii="ITC Avant Garde" w:hAnsi="ITC Avant Garde"/>
                <w:iCs/>
                <w:color w:val="000000"/>
                <w:sz w:val="16"/>
                <w:szCs w:val="16"/>
                <w:lang w:eastAsia="es-MX"/>
              </w:rPr>
            </w:pPr>
            <w:proofErr w:type="spellStart"/>
            <w:r w:rsidRPr="005379A1">
              <w:rPr>
                <w:rFonts w:ascii="ITC Avant Garde" w:hAnsi="ITC Avant Garde"/>
                <w:iCs/>
                <w:color w:val="000000"/>
                <w:sz w:val="16"/>
                <w:szCs w:val="16"/>
                <w:lang w:eastAsia="es-MX"/>
              </w:rPr>
              <w:t>Tx</w:t>
            </w:r>
            <w:proofErr w:type="spellEnd"/>
          </w:p>
        </w:tc>
      </w:tr>
      <w:tr w:rsidR="001C6AEE" w:rsidRPr="005379A1" w14:paraId="0EC4A068" w14:textId="77777777" w:rsidTr="005379A1">
        <w:trPr>
          <w:trHeight w:val="124"/>
          <w:jc w:val="center"/>
        </w:trPr>
        <w:tc>
          <w:tcPr>
            <w:tcW w:w="1413" w:type="dxa"/>
            <w:hideMark/>
          </w:tcPr>
          <w:p w14:paraId="222D686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1</w:t>
            </w:r>
          </w:p>
        </w:tc>
        <w:tc>
          <w:tcPr>
            <w:tcW w:w="1421" w:type="dxa"/>
            <w:noWrap/>
            <w:hideMark/>
          </w:tcPr>
          <w:p w14:paraId="430BCED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414.15</w:t>
            </w:r>
          </w:p>
        </w:tc>
        <w:tc>
          <w:tcPr>
            <w:tcW w:w="1844" w:type="dxa"/>
            <w:noWrap/>
            <w:hideMark/>
          </w:tcPr>
          <w:p w14:paraId="370A5B7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424.15</w:t>
            </w:r>
          </w:p>
        </w:tc>
        <w:tc>
          <w:tcPr>
            <w:tcW w:w="1417" w:type="dxa"/>
            <w:hideMark/>
          </w:tcPr>
          <w:p w14:paraId="2363531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1</w:t>
            </w:r>
          </w:p>
        </w:tc>
        <w:tc>
          <w:tcPr>
            <w:tcW w:w="1559" w:type="dxa"/>
            <w:noWrap/>
            <w:hideMark/>
          </w:tcPr>
          <w:p w14:paraId="3476C2E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414.175</w:t>
            </w:r>
          </w:p>
        </w:tc>
        <w:tc>
          <w:tcPr>
            <w:tcW w:w="1412" w:type="dxa"/>
            <w:noWrap/>
            <w:hideMark/>
          </w:tcPr>
          <w:p w14:paraId="4B1F672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424.175</w:t>
            </w:r>
          </w:p>
        </w:tc>
      </w:tr>
      <w:tr w:rsidR="001C6AEE" w:rsidRPr="005379A1" w14:paraId="1C3AD974" w14:textId="77777777" w:rsidTr="005379A1">
        <w:trPr>
          <w:trHeight w:val="124"/>
          <w:jc w:val="center"/>
        </w:trPr>
        <w:tc>
          <w:tcPr>
            <w:tcW w:w="1413" w:type="dxa"/>
            <w:hideMark/>
          </w:tcPr>
          <w:p w14:paraId="284A5E7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w:t>
            </w:r>
          </w:p>
        </w:tc>
        <w:tc>
          <w:tcPr>
            <w:tcW w:w="1421" w:type="dxa"/>
            <w:noWrap/>
            <w:hideMark/>
          </w:tcPr>
          <w:p w14:paraId="4816ED4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414.35</w:t>
            </w:r>
          </w:p>
        </w:tc>
        <w:tc>
          <w:tcPr>
            <w:tcW w:w="1844" w:type="dxa"/>
            <w:noWrap/>
            <w:hideMark/>
          </w:tcPr>
          <w:p w14:paraId="32995B7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424.35</w:t>
            </w:r>
          </w:p>
        </w:tc>
        <w:tc>
          <w:tcPr>
            <w:tcW w:w="1417" w:type="dxa"/>
            <w:hideMark/>
          </w:tcPr>
          <w:p w14:paraId="4055BCB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w:t>
            </w:r>
          </w:p>
        </w:tc>
        <w:tc>
          <w:tcPr>
            <w:tcW w:w="1559" w:type="dxa"/>
            <w:noWrap/>
            <w:hideMark/>
          </w:tcPr>
          <w:p w14:paraId="3434A67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414.375</w:t>
            </w:r>
          </w:p>
        </w:tc>
        <w:tc>
          <w:tcPr>
            <w:tcW w:w="1412" w:type="dxa"/>
            <w:noWrap/>
            <w:hideMark/>
          </w:tcPr>
          <w:p w14:paraId="62E23C9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424.375</w:t>
            </w:r>
          </w:p>
        </w:tc>
      </w:tr>
      <w:tr w:rsidR="001C6AEE" w:rsidRPr="005379A1" w14:paraId="57EFAE9A" w14:textId="77777777" w:rsidTr="005379A1">
        <w:trPr>
          <w:trHeight w:val="124"/>
          <w:jc w:val="center"/>
        </w:trPr>
        <w:tc>
          <w:tcPr>
            <w:tcW w:w="1413" w:type="dxa"/>
            <w:hideMark/>
          </w:tcPr>
          <w:p w14:paraId="18B4E8E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w:t>
            </w:r>
          </w:p>
        </w:tc>
        <w:tc>
          <w:tcPr>
            <w:tcW w:w="1421" w:type="dxa"/>
            <w:noWrap/>
            <w:hideMark/>
          </w:tcPr>
          <w:p w14:paraId="6F57640B"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414.55</w:t>
            </w:r>
          </w:p>
        </w:tc>
        <w:tc>
          <w:tcPr>
            <w:tcW w:w="1844" w:type="dxa"/>
            <w:noWrap/>
            <w:hideMark/>
          </w:tcPr>
          <w:p w14:paraId="06A5E57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424.55</w:t>
            </w:r>
          </w:p>
        </w:tc>
        <w:tc>
          <w:tcPr>
            <w:tcW w:w="1417" w:type="dxa"/>
            <w:hideMark/>
          </w:tcPr>
          <w:p w14:paraId="25600C2D"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w:t>
            </w:r>
          </w:p>
        </w:tc>
        <w:tc>
          <w:tcPr>
            <w:tcW w:w="1559" w:type="dxa"/>
            <w:noWrap/>
            <w:hideMark/>
          </w:tcPr>
          <w:p w14:paraId="70BFD1F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414.575</w:t>
            </w:r>
          </w:p>
        </w:tc>
        <w:tc>
          <w:tcPr>
            <w:tcW w:w="1412" w:type="dxa"/>
            <w:noWrap/>
            <w:hideMark/>
          </w:tcPr>
          <w:p w14:paraId="09E60237"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424.575</w:t>
            </w:r>
          </w:p>
        </w:tc>
      </w:tr>
      <w:tr w:rsidR="001C6AEE" w:rsidRPr="005379A1" w14:paraId="4E94B7C6" w14:textId="77777777" w:rsidTr="005379A1">
        <w:trPr>
          <w:trHeight w:val="124"/>
          <w:jc w:val="center"/>
        </w:trPr>
        <w:tc>
          <w:tcPr>
            <w:tcW w:w="1413" w:type="dxa"/>
            <w:hideMark/>
          </w:tcPr>
          <w:p w14:paraId="210A33B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w:t>
            </w:r>
          </w:p>
        </w:tc>
        <w:tc>
          <w:tcPr>
            <w:tcW w:w="1421" w:type="dxa"/>
            <w:noWrap/>
            <w:hideMark/>
          </w:tcPr>
          <w:p w14:paraId="1F6FEC26"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414.75</w:t>
            </w:r>
          </w:p>
        </w:tc>
        <w:tc>
          <w:tcPr>
            <w:tcW w:w="1844" w:type="dxa"/>
            <w:noWrap/>
            <w:hideMark/>
          </w:tcPr>
          <w:p w14:paraId="23C32567"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424.75</w:t>
            </w:r>
          </w:p>
        </w:tc>
        <w:tc>
          <w:tcPr>
            <w:tcW w:w="1417" w:type="dxa"/>
            <w:hideMark/>
          </w:tcPr>
          <w:p w14:paraId="107EB1B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w:t>
            </w:r>
          </w:p>
        </w:tc>
        <w:tc>
          <w:tcPr>
            <w:tcW w:w="1559" w:type="dxa"/>
            <w:noWrap/>
            <w:hideMark/>
          </w:tcPr>
          <w:p w14:paraId="6774966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414.775</w:t>
            </w:r>
          </w:p>
        </w:tc>
        <w:tc>
          <w:tcPr>
            <w:tcW w:w="1412" w:type="dxa"/>
            <w:noWrap/>
            <w:hideMark/>
          </w:tcPr>
          <w:p w14:paraId="7EBA5D2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424.775</w:t>
            </w:r>
          </w:p>
        </w:tc>
      </w:tr>
      <w:tr w:rsidR="001C6AEE" w:rsidRPr="005379A1" w14:paraId="31E63384" w14:textId="77777777" w:rsidTr="005379A1">
        <w:trPr>
          <w:trHeight w:val="124"/>
          <w:jc w:val="center"/>
        </w:trPr>
        <w:tc>
          <w:tcPr>
            <w:tcW w:w="1413" w:type="dxa"/>
            <w:hideMark/>
          </w:tcPr>
          <w:p w14:paraId="3A5B04AA"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5</w:t>
            </w:r>
          </w:p>
        </w:tc>
        <w:tc>
          <w:tcPr>
            <w:tcW w:w="1421" w:type="dxa"/>
            <w:noWrap/>
            <w:hideMark/>
          </w:tcPr>
          <w:p w14:paraId="50CED08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414.95</w:t>
            </w:r>
          </w:p>
        </w:tc>
        <w:tc>
          <w:tcPr>
            <w:tcW w:w="1844" w:type="dxa"/>
            <w:noWrap/>
            <w:hideMark/>
          </w:tcPr>
          <w:p w14:paraId="29221ADE"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424.95</w:t>
            </w:r>
          </w:p>
        </w:tc>
        <w:tc>
          <w:tcPr>
            <w:tcW w:w="1417" w:type="dxa"/>
            <w:hideMark/>
          </w:tcPr>
          <w:p w14:paraId="1C6D71F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5</w:t>
            </w:r>
          </w:p>
        </w:tc>
        <w:tc>
          <w:tcPr>
            <w:tcW w:w="1559" w:type="dxa"/>
            <w:noWrap/>
            <w:hideMark/>
          </w:tcPr>
          <w:p w14:paraId="2DBAF1B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414.975</w:t>
            </w:r>
          </w:p>
        </w:tc>
        <w:tc>
          <w:tcPr>
            <w:tcW w:w="1412" w:type="dxa"/>
            <w:noWrap/>
            <w:hideMark/>
          </w:tcPr>
          <w:p w14:paraId="77D7EE8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424.975</w:t>
            </w:r>
          </w:p>
        </w:tc>
      </w:tr>
    </w:tbl>
    <w:p w14:paraId="1073C779" w14:textId="77777777" w:rsidR="001C6AEE" w:rsidRPr="005379A1" w:rsidRDefault="001C6AEE" w:rsidP="00812083">
      <w:pPr>
        <w:jc w:val="both"/>
        <w:rPr>
          <w:rFonts w:ascii="ITC Avant Garde" w:eastAsia="Calibri" w:hAnsi="ITC Avant Garde"/>
          <w:bCs/>
          <w:color w:val="000000"/>
          <w:sz w:val="22"/>
          <w:szCs w:val="22"/>
          <w:lang w:eastAsia="es-MX"/>
        </w:rPr>
      </w:pPr>
    </w:p>
    <w:p w14:paraId="6528E65C" w14:textId="77777777" w:rsidR="001C6AEE" w:rsidRPr="005379A1" w:rsidRDefault="00812083" w:rsidP="005379A1">
      <w:pPr>
        <w:spacing w:after="240"/>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Por otro lado,</w:t>
      </w:r>
      <w:r w:rsidR="002A15CA" w:rsidRPr="005379A1">
        <w:rPr>
          <w:rFonts w:ascii="ITC Avant Garde" w:eastAsia="Calibri" w:hAnsi="ITC Avant Garde"/>
          <w:bCs/>
          <w:color w:val="000000"/>
          <w:sz w:val="22"/>
          <w:szCs w:val="22"/>
          <w:lang w:eastAsia="es-MX"/>
        </w:rPr>
        <w:t xml:space="preserve"> tal como se indicó en el </w:t>
      </w:r>
      <w:r w:rsidR="006B5EDC" w:rsidRPr="005379A1">
        <w:rPr>
          <w:rFonts w:ascii="ITC Avant Garde" w:eastAsia="Calibri" w:hAnsi="ITC Avant Garde"/>
          <w:bCs/>
          <w:color w:val="000000"/>
          <w:sz w:val="22"/>
          <w:szCs w:val="22"/>
          <w:lang w:eastAsia="es-MX"/>
        </w:rPr>
        <w:t>A</w:t>
      </w:r>
      <w:r w:rsidR="002A15CA" w:rsidRPr="005379A1">
        <w:rPr>
          <w:rFonts w:ascii="ITC Avant Garde" w:eastAsia="Calibri" w:hAnsi="ITC Avant Garde"/>
          <w:bCs/>
          <w:color w:val="000000"/>
          <w:sz w:val="22"/>
          <w:szCs w:val="22"/>
          <w:lang w:eastAsia="es-MX"/>
        </w:rPr>
        <w:t>ntecedente XI</w:t>
      </w:r>
      <w:r w:rsidR="00414FEE" w:rsidRPr="005379A1">
        <w:rPr>
          <w:rFonts w:ascii="ITC Avant Garde" w:eastAsia="Calibri" w:hAnsi="ITC Avant Garde"/>
          <w:bCs/>
          <w:color w:val="000000"/>
          <w:sz w:val="22"/>
          <w:szCs w:val="22"/>
          <w:lang w:eastAsia="es-MX"/>
        </w:rPr>
        <w:t>I</w:t>
      </w:r>
      <w:r w:rsidR="00B07D80" w:rsidRPr="005379A1">
        <w:rPr>
          <w:rFonts w:ascii="ITC Avant Garde" w:eastAsia="Calibri" w:hAnsi="ITC Avant Garde"/>
          <w:bCs/>
          <w:color w:val="000000"/>
          <w:sz w:val="22"/>
          <w:szCs w:val="22"/>
          <w:lang w:eastAsia="es-MX"/>
        </w:rPr>
        <w:t>I</w:t>
      </w:r>
      <w:r w:rsidR="00CF682F" w:rsidRPr="005379A1">
        <w:rPr>
          <w:rFonts w:ascii="ITC Avant Garde" w:eastAsia="Calibri" w:hAnsi="ITC Avant Garde"/>
          <w:bCs/>
          <w:color w:val="000000"/>
          <w:sz w:val="22"/>
          <w:szCs w:val="22"/>
          <w:lang w:eastAsia="es-MX"/>
        </w:rPr>
        <w:t xml:space="preserve"> de la presente R</w:t>
      </w:r>
      <w:r w:rsidR="002A15CA" w:rsidRPr="005379A1">
        <w:rPr>
          <w:rFonts w:ascii="ITC Avant Garde" w:eastAsia="Calibri" w:hAnsi="ITC Avant Garde"/>
          <w:bCs/>
          <w:color w:val="000000"/>
          <w:sz w:val="22"/>
          <w:szCs w:val="22"/>
          <w:lang w:eastAsia="es-MX"/>
        </w:rPr>
        <w:t>esolución,</w:t>
      </w:r>
      <w:r w:rsidRPr="005379A1">
        <w:rPr>
          <w:rFonts w:ascii="ITC Avant Garde" w:eastAsia="Calibri" w:hAnsi="ITC Avant Garde"/>
          <w:bCs/>
          <w:color w:val="000000"/>
          <w:sz w:val="22"/>
          <w:szCs w:val="22"/>
          <w:lang w:eastAsia="es-MX"/>
        </w:rPr>
        <w:t xml:space="preserve"> la Unidad de Competencia Económica del Institu</w:t>
      </w:r>
      <w:r w:rsidR="002A15CA" w:rsidRPr="005379A1">
        <w:rPr>
          <w:rFonts w:ascii="ITC Avant Garde" w:eastAsia="Calibri" w:hAnsi="ITC Avant Garde"/>
          <w:bCs/>
          <w:color w:val="000000"/>
          <w:sz w:val="22"/>
          <w:szCs w:val="22"/>
          <w:lang w:eastAsia="es-MX"/>
        </w:rPr>
        <w:t>to</w:t>
      </w:r>
      <w:r w:rsidR="00CF682F" w:rsidRPr="005379A1">
        <w:rPr>
          <w:rFonts w:ascii="ITC Avant Garde" w:eastAsia="Calibri" w:hAnsi="ITC Avant Garde"/>
          <w:bCs/>
          <w:color w:val="000000"/>
          <w:sz w:val="22"/>
          <w:szCs w:val="22"/>
          <w:lang w:eastAsia="es-MX"/>
        </w:rPr>
        <w:t>, a través de la Dirección General de Concentraciones y Concesiones,</w:t>
      </w:r>
      <w:r w:rsidR="002A15CA" w:rsidRPr="005379A1">
        <w:rPr>
          <w:rFonts w:ascii="ITC Avant Garde" w:eastAsia="Calibri" w:hAnsi="ITC Avant Garde"/>
          <w:bCs/>
          <w:color w:val="000000"/>
          <w:sz w:val="22"/>
          <w:szCs w:val="22"/>
          <w:lang w:eastAsia="es-MX"/>
        </w:rPr>
        <w:t xml:space="preserve"> informó </w:t>
      </w:r>
      <w:r w:rsidR="00CF682F" w:rsidRPr="005379A1">
        <w:rPr>
          <w:rFonts w:ascii="ITC Avant Garde" w:eastAsia="Calibri" w:hAnsi="ITC Avant Garde"/>
          <w:bCs/>
          <w:color w:val="000000"/>
          <w:sz w:val="22"/>
          <w:szCs w:val="22"/>
          <w:lang w:eastAsia="es-MX"/>
        </w:rPr>
        <w:t xml:space="preserve">entre otras cosas, </w:t>
      </w:r>
      <w:r w:rsidR="002A15CA" w:rsidRPr="005379A1">
        <w:rPr>
          <w:rFonts w:ascii="ITC Avant Garde" w:eastAsia="Calibri" w:hAnsi="ITC Avant Garde"/>
          <w:bCs/>
          <w:color w:val="000000"/>
          <w:sz w:val="22"/>
          <w:szCs w:val="22"/>
          <w:lang w:eastAsia="es-MX"/>
        </w:rPr>
        <w:t>que no se identificaban</w:t>
      </w:r>
      <w:r w:rsidRPr="005379A1">
        <w:rPr>
          <w:rFonts w:ascii="ITC Avant Garde" w:eastAsia="Calibri" w:hAnsi="ITC Avant Garde"/>
          <w:bCs/>
          <w:color w:val="000000"/>
          <w:sz w:val="22"/>
          <w:szCs w:val="22"/>
          <w:lang w:eastAsia="es-MX"/>
        </w:rPr>
        <w:t xml:space="preserve"> elementos ni indicios de que la autorización de la</w:t>
      </w:r>
      <w:r w:rsidR="002A15CA" w:rsidRPr="005379A1">
        <w:rPr>
          <w:rFonts w:ascii="ITC Avant Garde" w:eastAsia="Calibri" w:hAnsi="ITC Avant Garde"/>
          <w:bCs/>
          <w:color w:val="000000"/>
          <w:sz w:val="22"/>
          <w:szCs w:val="22"/>
          <w:lang w:eastAsia="es-MX"/>
        </w:rPr>
        <w:t xml:space="preserve"> prórroga</w:t>
      </w:r>
      <w:r w:rsidRPr="005379A1">
        <w:rPr>
          <w:rFonts w:ascii="ITC Avant Garde" w:eastAsia="Calibri" w:hAnsi="ITC Avant Garde"/>
          <w:bCs/>
          <w:color w:val="000000"/>
          <w:sz w:val="22"/>
          <w:szCs w:val="22"/>
          <w:lang w:eastAsia="es-MX"/>
        </w:rPr>
        <w:t xml:space="preserve"> solicitada por </w:t>
      </w:r>
      <w:r w:rsidR="00CB0706" w:rsidRPr="005379A1">
        <w:rPr>
          <w:rFonts w:ascii="ITC Avant Garde" w:eastAsia="Calibri" w:hAnsi="ITC Avant Garde"/>
          <w:bCs/>
          <w:color w:val="000000"/>
          <w:sz w:val="22"/>
          <w:szCs w:val="22"/>
          <w:lang w:eastAsia="es-MX"/>
        </w:rPr>
        <w:t>Intercomunicación del Pacífico</w:t>
      </w:r>
      <w:r w:rsidR="00CF682F" w:rsidRPr="005379A1">
        <w:rPr>
          <w:rFonts w:ascii="ITC Avant Garde" w:eastAsia="Calibri" w:hAnsi="ITC Avant Garde"/>
          <w:bCs/>
          <w:color w:val="000000"/>
          <w:sz w:val="22"/>
          <w:szCs w:val="22"/>
          <w:lang w:eastAsia="es-MX"/>
        </w:rPr>
        <w:t>, pudiera</w:t>
      </w:r>
      <w:r w:rsidRPr="005379A1">
        <w:rPr>
          <w:rFonts w:ascii="ITC Avant Garde" w:eastAsia="Calibri" w:hAnsi="ITC Avant Garde"/>
          <w:bCs/>
          <w:color w:val="000000"/>
          <w:sz w:val="22"/>
          <w:szCs w:val="22"/>
          <w:lang w:eastAsia="es-MX"/>
        </w:rPr>
        <w:t xml:space="preserve"> tener efectos contrarios en el proceso de competencia y libre concurrencia en los mercados.</w:t>
      </w:r>
    </w:p>
    <w:p w14:paraId="224518FA" w14:textId="77777777" w:rsidR="001C6AEE" w:rsidRPr="005379A1" w:rsidRDefault="00B60789" w:rsidP="005379A1">
      <w:pPr>
        <w:tabs>
          <w:tab w:val="num" w:pos="540"/>
        </w:tabs>
        <w:spacing w:after="240"/>
        <w:jc w:val="both"/>
        <w:rPr>
          <w:rFonts w:ascii="ITC Avant Garde" w:eastAsia="Calibri" w:hAnsi="ITC Avant Garde"/>
          <w:bCs/>
          <w:color w:val="000000"/>
          <w:sz w:val="22"/>
          <w:szCs w:val="22"/>
          <w:lang w:eastAsia="es-MX"/>
        </w:rPr>
      </w:pPr>
      <w:r w:rsidRPr="005379A1">
        <w:rPr>
          <w:rFonts w:ascii="ITC Avant Garde" w:eastAsia="Calibri" w:hAnsi="ITC Avant Garde"/>
          <w:b/>
          <w:bCs/>
          <w:color w:val="000000"/>
          <w:sz w:val="22"/>
          <w:szCs w:val="22"/>
          <w:lang w:eastAsia="es-MX"/>
        </w:rPr>
        <w:t>Noveno</w:t>
      </w:r>
      <w:r w:rsidR="00480133" w:rsidRPr="005379A1">
        <w:rPr>
          <w:rFonts w:ascii="ITC Avant Garde" w:eastAsia="Calibri" w:hAnsi="ITC Avant Garde"/>
          <w:b/>
          <w:bCs/>
          <w:color w:val="000000"/>
          <w:sz w:val="22"/>
          <w:szCs w:val="22"/>
          <w:lang w:eastAsia="es-MX"/>
        </w:rPr>
        <w:t>.- Contraprestación.</w:t>
      </w:r>
      <w:r w:rsidR="00480133" w:rsidRPr="005379A1">
        <w:rPr>
          <w:rFonts w:ascii="ITC Avant Garde" w:hAnsi="ITC Avant Garde"/>
          <w:bCs/>
          <w:color w:val="000000"/>
          <w:szCs w:val="24"/>
          <w:lang w:val="es-ES" w:eastAsia="es-MX"/>
        </w:rPr>
        <w:t xml:space="preserve"> </w:t>
      </w:r>
      <w:r w:rsidR="00480133" w:rsidRPr="005379A1">
        <w:rPr>
          <w:rFonts w:ascii="ITC Avant Garde" w:eastAsia="Calibri" w:hAnsi="ITC Avant Garde"/>
          <w:bCs/>
          <w:color w:val="000000"/>
          <w:sz w:val="22"/>
          <w:szCs w:val="22"/>
          <w:lang w:eastAsia="es-MX"/>
        </w:rPr>
        <w:t xml:space="preserve">Como ya quedó señalado en el Considerando Segundo, la normatividad aplicable </w:t>
      </w:r>
      <w:r w:rsidR="00C91B39" w:rsidRPr="005379A1">
        <w:rPr>
          <w:rFonts w:ascii="ITC Avant Garde" w:eastAsia="Calibri" w:hAnsi="ITC Avant Garde"/>
          <w:bCs/>
          <w:color w:val="000000"/>
          <w:sz w:val="22"/>
          <w:szCs w:val="22"/>
          <w:lang w:eastAsia="es-MX"/>
        </w:rPr>
        <w:t xml:space="preserve">particularmente </w:t>
      </w:r>
      <w:r w:rsidR="00480133" w:rsidRPr="005379A1">
        <w:rPr>
          <w:rFonts w:ascii="ITC Avant Garde" w:eastAsia="Calibri" w:hAnsi="ITC Avant Garde"/>
          <w:bCs/>
          <w:color w:val="000000"/>
          <w:sz w:val="22"/>
          <w:szCs w:val="22"/>
          <w:lang w:eastAsia="es-MX"/>
        </w:rPr>
        <w:t>a la Solicitud de Prórroga está contenida en la LFT, la cual, en su artículo 19 establece, entre otros, el requisito de fijar nuevas condiciones al concesionario, entre las que se encuentra fijar una contraprestación por el uso, aprovechamiento y explotación de bandas de frecuencias del espectro radioeléctrico.</w:t>
      </w:r>
    </w:p>
    <w:p w14:paraId="456222CB" w14:textId="77777777" w:rsidR="001C6AEE" w:rsidRPr="005379A1" w:rsidRDefault="00480133" w:rsidP="005379A1">
      <w:pPr>
        <w:tabs>
          <w:tab w:val="num" w:pos="540"/>
        </w:tabs>
        <w:spacing w:after="240"/>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Por su parte, el artículo 14 del citado ordenamiento, señala lo siguiente:</w:t>
      </w:r>
    </w:p>
    <w:p w14:paraId="3173CCD6" w14:textId="77777777" w:rsidR="001C6AEE" w:rsidRPr="005379A1" w:rsidRDefault="00480133" w:rsidP="005379A1">
      <w:pPr>
        <w:tabs>
          <w:tab w:val="num" w:pos="540"/>
        </w:tabs>
        <w:spacing w:after="240"/>
        <w:ind w:left="540" w:right="528"/>
        <w:jc w:val="both"/>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w:t>
      </w:r>
      <w:r w:rsidRPr="005379A1">
        <w:rPr>
          <w:rFonts w:ascii="ITC Avant Garde" w:eastAsia="Calibri" w:hAnsi="ITC Avant Garde"/>
          <w:b/>
          <w:bCs/>
          <w:color w:val="000000"/>
          <w:sz w:val="16"/>
          <w:szCs w:val="16"/>
          <w:lang w:eastAsia="es-MX"/>
        </w:rPr>
        <w:t>Artículo 14.</w:t>
      </w:r>
      <w:r w:rsidRPr="005379A1">
        <w:rPr>
          <w:rFonts w:ascii="ITC Avant Garde" w:eastAsia="Calibri" w:hAnsi="ITC Avant Garde"/>
          <w:bCs/>
          <w:color w:val="000000"/>
          <w:sz w:val="16"/>
          <w:szCs w:val="16"/>
          <w:lang w:eastAsia="es-MX"/>
        </w:rPr>
        <w:t xml:space="preserve"> Las concesiones sobre bandas de frecuencias del espectro para usos determinados se otorgarán mediante licitación pública. </w:t>
      </w:r>
      <w:r w:rsidRPr="005379A1">
        <w:rPr>
          <w:rFonts w:ascii="ITC Avant Garde" w:eastAsia="Calibri" w:hAnsi="ITC Avant Garde"/>
          <w:bCs/>
          <w:color w:val="000000"/>
          <w:sz w:val="16"/>
          <w:szCs w:val="16"/>
          <w:u w:val="single"/>
          <w:lang w:eastAsia="es-MX"/>
        </w:rPr>
        <w:t>El Gobierno Federal tendrá derecho a recibir una contraprestación económica por el otorgamiento de la concesión correspondiente</w:t>
      </w:r>
      <w:r w:rsidRPr="005379A1">
        <w:rPr>
          <w:rFonts w:ascii="ITC Avant Garde" w:eastAsia="Calibri" w:hAnsi="ITC Avant Garde"/>
          <w:bCs/>
          <w:color w:val="000000"/>
          <w:sz w:val="16"/>
          <w:szCs w:val="16"/>
          <w:lang w:eastAsia="es-MX"/>
        </w:rPr>
        <w:t>.” (Énfasis añadido)</w:t>
      </w:r>
    </w:p>
    <w:p w14:paraId="2B2E2D2E" w14:textId="77777777" w:rsidR="001C6AEE" w:rsidRPr="005379A1" w:rsidRDefault="00480133" w:rsidP="005379A1">
      <w:pPr>
        <w:spacing w:after="240"/>
        <w:jc w:val="both"/>
        <w:rPr>
          <w:rFonts w:ascii="ITC Avant Garde" w:hAnsi="ITC Avant Garde"/>
          <w:sz w:val="22"/>
          <w:szCs w:val="22"/>
        </w:rPr>
      </w:pPr>
      <w:r w:rsidRPr="005379A1">
        <w:rPr>
          <w:rFonts w:ascii="ITC Avant Garde" w:eastAsia="Calibri" w:hAnsi="ITC Avant Garde"/>
          <w:bCs/>
          <w:color w:val="000000"/>
          <w:sz w:val="22"/>
          <w:szCs w:val="22"/>
          <w:lang w:eastAsia="es-MX"/>
        </w:rPr>
        <w:t>Es decir, el otorgamiento de una prórroga de vigencia constituye un nuevo acto de otorgamiento de una concesión por un plazo determinado que</w:t>
      </w:r>
      <w:r w:rsidR="006C48AB" w:rsidRPr="005379A1">
        <w:rPr>
          <w:rFonts w:ascii="ITC Avant Garde" w:eastAsia="Calibri" w:hAnsi="ITC Avant Garde"/>
          <w:bCs/>
          <w:color w:val="000000"/>
          <w:sz w:val="22"/>
          <w:szCs w:val="22"/>
          <w:lang w:eastAsia="es-MX"/>
        </w:rPr>
        <w:t>,</w:t>
      </w:r>
      <w:r w:rsidRPr="005379A1">
        <w:rPr>
          <w:rFonts w:ascii="ITC Avant Garde" w:eastAsia="Calibri" w:hAnsi="ITC Avant Garde"/>
          <w:bCs/>
          <w:color w:val="000000"/>
          <w:sz w:val="22"/>
          <w:szCs w:val="22"/>
          <w:lang w:eastAsia="es-MX"/>
        </w:rPr>
        <w:t xml:space="preserve"> en los casos que nos ocupan, tienen por objeto el uso, aprovechamiento y explotación del </w:t>
      </w:r>
      <w:r w:rsidRPr="005379A1">
        <w:rPr>
          <w:rFonts w:ascii="ITC Avant Garde" w:hAnsi="ITC Avant Garde"/>
          <w:sz w:val="22"/>
          <w:szCs w:val="22"/>
        </w:rPr>
        <w:t xml:space="preserve">espectro </w:t>
      </w:r>
      <w:r w:rsidRPr="005379A1">
        <w:rPr>
          <w:rFonts w:ascii="ITC Avant Garde" w:hAnsi="ITC Avant Garde"/>
          <w:sz w:val="22"/>
          <w:szCs w:val="22"/>
        </w:rPr>
        <w:lastRenderedPageBreak/>
        <w:t xml:space="preserve">radioeléctrico, </w:t>
      </w:r>
      <w:r w:rsidR="006C48AB" w:rsidRPr="005379A1">
        <w:rPr>
          <w:rFonts w:ascii="ITC Avant Garde" w:hAnsi="ITC Avant Garde"/>
          <w:sz w:val="22"/>
          <w:szCs w:val="22"/>
        </w:rPr>
        <w:t xml:space="preserve">el cual es un </w:t>
      </w:r>
      <w:r w:rsidRPr="005379A1">
        <w:rPr>
          <w:rFonts w:ascii="ITC Avant Garde" w:hAnsi="ITC Avant Garde"/>
          <w:sz w:val="22"/>
          <w:szCs w:val="22"/>
        </w:rPr>
        <w:t xml:space="preserve">bien de uso común sujeto al régimen de dominio público de la Federación. </w:t>
      </w:r>
    </w:p>
    <w:p w14:paraId="70DF8F2F" w14:textId="77777777" w:rsidR="001C6AEE" w:rsidRPr="005379A1" w:rsidRDefault="00480133" w:rsidP="005379A1">
      <w:pPr>
        <w:spacing w:after="240"/>
        <w:jc w:val="both"/>
        <w:rPr>
          <w:rFonts w:ascii="ITC Avant Garde" w:hAnsi="ITC Avant Garde"/>
          <w:sz w:val="22"/>
          <w:szCs w:val="22"/>
        </w:rPr>
      </w:pPr>
      <w:r w:rsidRPr="005379A1">
        <w:rPr>
          <w:rFonts w:ascii="ITC Avant Garde" w:hAnsi="ITC Avant Garde"/>
          <w:sz w:val="22"/>
          <w:szCs w:val="22"/>
        </w:rPr>
        <w:t xml:space="preserve">En este caso, constituye un recurso económico del Estado al que le son aplicables los principios contenidos en el artículo 134 de la Constitución, conjuntamente con los establecidos en los artículos 25, 26, 27 y 28 que conforman el capítulo económico de </w:t>
      </w:r>
      <w:r w:rsidR="006C48AB" w:rsidRPr="005379A1">
        <w:rPr>
          <w:rFonts w:ascii="ITC Avant Garde" w:hAnsi="ITC Avant Garde"/>
          <w:sz w:val="22"/>
          <w:szCs w:val="22"/>
        </w:rPr>
        <w:t xml:space="preserve">la </w:t>
      </w:r>
      <w:r w:rsidRPr="005379A1">
        <w:rPr>
          <w:rFonts w:ascii="ITC Avant Garde" w:hAnsi="ITC Avant Garde"/>
          <w:sz w:val="22"/>
          <w:szCs w:val="22"/>
        </w:rPr>
        <w:t>Ley Fundamental, por lo que se otorga en concesión s</w:t>
      </w:r>
      <w:r w:rsidR="006C48AB" w:rsidRPr="005379A1">
        <w:rPr>
          <w:rFonts w:ascii="ITC Avant Garde" w:hAnsi="ITC Avant Garde"/>
          <w:sz w:val="22"/>
          <w:szCs w:val="22"/>
        </w:rPr>
        <w:t>ó</w:t>
      </w:r>
      <w:r w:rsidRPr="005379A1">
        <w:rPr>
          <w:rFonts w:ascii="ITC Avant Garde" w:hAnsi="ITC Avant Garde"/>
          <w:sz w:val="22"/>
          <w:szCs w:val="22"/>
        </w:rPr>
        <w:t xml:space="preserve">lo a cambio de una contraprestación económica. En este sentido, al prorrogarse </w:t>
      </w:r>
      <w:r w:rsidR="00CF682F" w:rsidRPr="005379A1">
        <w:rPr>
          <w:rFonts w:ascii="ITC Avant Garde" w:hAnsi="ITC Avant Garde"/>
          <w:sz w:val="22"/>
          <w:szCs w:val="22"/>
        </w:rPr>
        <w:t xml:space="preserve">su </w:t>
      </w:r>
      <w:proofErr w:type="spellStart"/>
      <w:r w:rsidR="00CF682F" w:rsidRPr="005379A1">
        <w:rPr>
          <w:rFonts w:ascii="ITC Avant Garde" w:hAnsi="ITC Avant Garde"/>
          <w:sz w:val="22"/>
          <w:szCs w:val="22"/>
        </w:rPr>
        <w:t>concesionamiento</w:t>
      </w:r>
      <w:proofErr w:type="spellEnd"/>
      <w:r w:rsidRPr="005379A1">
        <w:rPr>
          <w:rFonts w:ascii="ITC Avant Garde" w:hAnsi="ITC Avant Garde"/>
          <w:sz w:val="22"/>
          <w:szCs w:val="22"/>
        </w:rPr>
        <w:t>, el Estado tiene derecho a percibir una contraprestación por el uso, goce, aprovechamiento o explotación del bien de dominio público de la Federación a los que se hace mención.</w:t>
      </w:r>
    </w:p>
    <w:p w14:paraId="4877B767" w14:textId="77777777" w:rsidR="001C6AEE" w:rsidRPr="005379A1" w:rsidRDefault="00480133" w:rsidP="005379A1">
      <w:pPr>
        <w:tabs>
          <w:tab w:val="num" w:pos="540"/>
        </w:tabs>
        <w:spacing w:after="240"/>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Ahora bien, la Solicitud de Prórroga fue presentada antes de la entrada en vigor del Decreto de Reforma Constitucional</w:t>
      </w:r>
      <w:r w:rsidR="006C48AB" w:rsidRPr="005379A1">
        <w:rPr>
          <w:rFonts w:ascii="ITC Avant Garde" w:eastAsia="Calibri" w:hAnsi="ITC Avant Garde"/>
          <w:bCs/>
          <w:color w:val="000000"/>
          <w:sz w:val="22"/>
          <w:szCs w:val="22"/>
          <w:lang w:eastAsia="es-MX"/>
        </w:rPr>
        <w:t>.</w:t>
      </w:r>
      <w:r w:rsidRPr="005379A1">
        <w:rPr>
          <w:rFonts w:ascii="ITC Avant Garde" w:eastAsia="Calibri" w:hAnsi="ITC Avant Garde"/>
          <w:bCs/>
          <w:color w:val="000000"/>
          <w:sz w:val="22"/>
          <w:szCs w:val="22"/>
          <w:lang w:eastAsia="es-MX"/>
        </w:rPr>
        <w:t xml:space="preserve"> </w:t>
      </w:r>
      <w:r w:rsidR="006C48AB" w:rsidRPr="005379A1">
        <w:rPr>
          <w:rFonts w:ascii="ITC Avant Garde" w:eastAsia="Calibri" w:hAnsi="ITC Avant Garde"/>
          <w:bCs/>
          <w:color w:val="000000"/>
          <w:sz w:val="22"/>
          <w:szCs w:val="22"/>
          <w:lang w:eastAsia="es-MX"/>
        </w:rPr>
        <w:t>E</w:t>
      </w:r>
      <w:r w:rsidRPr="005379A1">
        <w:rPr>
          <w:rFonts w:ascii="ITC Avant Garde" w:eastAsia="Calibri" w:hAnsi="ITC Avant Garde"/>
          <w:bCs/>
          <w:color w:val="000000"/>
          <w:sz w:val="22"/>
          <w:szCs w:val="22"/>
          <w:lang w:eastAsia="es-MX"/>
        </w:rPr>
        <w:t xml:space="preserve">n </w:t>
      </w:r>
      <w:r w:rsidR="006C48AB" w:rsidRPr="005379A1">
        <w:rPr>
          <w:rFonts w:ascii="ITC Avant Garde" w:eastAsia="Calibri" w:hAnsi="ITC Avant Garde"/>
          <w:bCs/>
          <w:color w:val="000000"/>
          <w:sz w:val="22"/>
          <w:szCs w:val="22"/>
          <w:lang w:eastAsia="es-MX"/>
        </w:rPr>
        <w:t>tal virtud</w:t>
      </w:r>
      <w:r w:rsidRPr="005379A1">
        <w:rPr>
          <w:rFonts w:ascii="ITC Avant Garde" w:eastAsia="Calibri" w:hAnsi="ITC Avant Garde"/>
          <w:bCs/>
          <w:color w:val="000000"/>
          <w:sz w:val="22"/>
          <w:szCs w:val="22"/>
          <w:lang w:eastAsia="es-MX"/>
        </w:rPr>
        <w:t xml:space="preserve">, dicha disposición estableció en el segundo párrafo del artículo Séptimo Transitorio que los procedimientos iniciados con anterioridad a la integración del Instituto, continuarán su trámite en términos de la legislación aplicable al momento de su inicio, por lo que corresponde a la Secretaría de Hacienda y Crédito Público, en atención a lo señalado en el artículo 10 de la Ley de Ingresos de la Federación, fijar los aprovechamientos que se cobrarán en el ejercicio fiscal correspondiente por el uso, goce, aprovechamiento o explotación de bienes sujetos al régimen de dominio público de la Federación. </w:t>
      </w:r>
    </w:p>
    <w:p w14:paraId="76C31B5D" w14:textId="77777777" w:rsidR="001C6AEE" w:rsidRPr="005379A1" w:rsidRDefault="00480133" w:rsidP="005379A1">
      <w:pPr>
        <w:tabs>
          <w:tab w:val="num" w:pos="540"/>
        </w:tabs>
        <w:spacing w:after="240"/>
        <w:jc w:val="both"/>
        <w:rPr>
          <w:rFonts w:ascii="ITC Avant Garde" w:hAnsi="ITC Avant Garde"/>
          <w:bCs/>
          <w:color w:val="000000"/>
          <w:sz w:val="22"/>
          <w:szCs w:val="22"/>
          <w:lang w:val="es-ES" w:eastAsia="es-MX"/>
        </w:rPr>
      </w:pPr>
      <w:r w:rsidRPr="005379A1">
        <w:rPr>
          <w:rFonts w:ascii="ITC Avant Garde" w:hAnsi="ITC Avant Garde"/>
          <w:bCs/>
          <w:color w:val="000000"/>
          <w:sz w:val="22"/>
          <w:szCs w:val="22"/>
          <w:lang w:val="es-ES" w:eastAsia="es-MX"/>
        </w:rPr>
        <w:t>En ese sentido, a fin de que la Secretaría de Hacienda y Crédito Público fijara el monto de los aprovechamientos correspondientes, la Unidad de Espectro Radioeléctrico del Instituto</w:t>
      </w:r>
      <w:r w:rsidR="006C48AB" w:rsidRPr="005379A1">
        <w:rPr>
          <w:rFonts w:ascii="ITC Avant Garde" w:hAnsi="ITC Avant Garde"/>
          <w:bCs/>
          <w:color w:val="000000"/>
          <w:sz w:val="22"/>
          <w:szCs w:val="22"/>
          <w:lang w:val="es-ES" w:eastAsia="es-MX"/>
        </w:rPr>
        <w:t xml:space="preserve"> remitió a dicha Dependencia</w:t>
      </w:r>
      <w:r w:rsidRPr="005379A1">
        <w:rPr>
          <w:rFonts w:ascii="ITC Avant Garde" w:hAnsi="ITC Avant Garde"/>
          <w:bCs/>
          <w:color w:val="000000"/>
          <w:sz w:val="22"/>
          <w:szCs w:val="22"/>
          <w:lang w:val="es-ES" w:eastAsia="es-MX"/>
        </w:rPr>
        <w:t xml:space="preserve">, mediante oficios IFT/222/UER/010/2014 de fecha 6 de octubre de 2014 e IFT/222/UER/154/2015 de fecha 24 de junio de 2015, las propuestas de aprovechamientos que debería pagar </w:t>
      </w:r>
      <w:r w:rsidR="00CB0706" w:rsidRPr="005379A1">
        <w:rPr>
          <w:rFonts w:ascii="ITC Avant Garde" w:eastAsia="Calibri" w:hAnsi="ITC Avant Garde"/>
          <w:bCs/>
          <w:color w:val="000000"/>
          <w:sz w:val="22"/>
          <w:szCs w:val="22"/>
          <w:lang w:eastAsia="es-MX"/>
        </w:rPr>
        <w:t>Intercomunicación del Pacífico</w:t>
      </w:r>
      <w:r w:rsidRPr="005379A1">
        <w:rPr>
          <w:rFonts w:ascii="ITC Avant Garde" w:hAnsi="ITC Avant Garde"/>
          <w:bCs/>
          <w:color w:val="000000"/>
          <w:sz w:val="22"/>
          <w:szCs w:val="22"/>
          <w:lang w:val="es-ES" w:eastAsia="es-MX"/>
        </w:rPr>
        <w:t>, por el uso, aprovechamiento y explotación de bandas de frecuencias en el segmento 410 – 430 MHz, para lo cual consideró, entre otros, los siguientes aspectos: las bandas de espectro radioeléctrico objeto de</w:t>
      </w:r>
      <w:r w:rsidR="002552A5" w:rsidRPr="005379A1">
        <w:rPr>
          <w:rFonts w:ascii="ITC Avant Garde" w:hAnsi="ITC Avant Garde"/>
          <w:bCs/>
          <w:color w:val="000000"/>
          <w:sz w:val="22"/>
          <w:szCs w:val="22"/>
          <w:lang w:val="es-ES" w:eastAsia="es-MX"/>
        </w:rPr>
        <w:t xml:space="preserve"> la</w:t>
      </w:r>
      <w:r w:rsidRPr="005379A1">
        <w:rPr>
          <w:rFonts w:ascii="ITC Avant Garde" w:hAnsi="ITC Avant Garde"/>
          <w:bCs/>
          <w:color w:val="000000"/>
          <w:sz w:val="22"/>
          <w:szCs w:val="22"/>
          <w:lang w:val="es-ES" w:eastAsia="es-MX"/>
        </w:rPr>
        <w:t xml:space="preserve"> Solicitud de Prórroga, las coberturas geográficas autorizadas, así como los pagos promedio realizados en las licitaciones No. 15, 16 y 17 para el otorgamiento de concesiones de bandas de frecuencias para la prestación del servicio móvil de radiocomunicación especializada en flotillas. Además</w:t>
      </w:r>
      <w:r w:rsidR="00CF682F" w:rsidRPr="005379A1">
        <w:rPr>
          <w:rFonts w:ascii="ITC Avant Garde" w:hAnsi="ITC Avant Garde"/>
          <w:bCs/>
          <w:color w:val="000000"/>
          <w:sz w:val="22"/>
          <w:szCs w:val="22"/>
          <w:lang w:val="es-ES" w:eastAsia="es-MX"/>
        </w:rPr>
        <w:t>,</w:t>
      </w:r>
      <w:r w:rsidRPr="005379A1">
        <w:rPr>
          <w:rFonts w:ascii="ITC Avant Garde" w:hAnsi="ITC Avant Garde"/>
          <w:bCs/>
          <w:color w:val="000000"/>
          <w:sz w:val="22"/>
          <w:szCs w:val="22"/>
          <w:lang w:val="es-ES" w:eastAsia="es-MX"/>
        </w:rPr>
        <w:t xml:space="preserve"> se consider</w:t>
      </w:r>
      <w:r w:rsidR="002552A5" w:rsidRPr="005379A1">
        <w:rPr>
          <w:rFonts w:ascii="ITC Avant Garde" w:hAnsi="ITC Avant Garde"/>
          <w:bCs/>
          <w:color w:val="000000"/>
          <w:sz w:val="22"/>
          <w:szCs w:val="22"/>
          <w:lang w:val="es-ES" w:eastAsia="es-MX"/>
        </w:rPr>
        <w:t>ó</w:t>
      </w:r>
      <w:r w:rsidRPr="005379A1">
        <w:rPr>
          <w:rFonts w:ascii="ITC Avant Garde" w:hAnsi="ITC Avant Garde"/>
          <w:bCs/>
          <w:color w:val="000000"/>
          <w:sz w:val="22"/>
          <w:szCs w:val="22"/>
          <w:lang w:val="es-ES" w:eastAsia="es-MX"/>
        </w:rPr>
        <w:t xml:space="preserve"> dentro de este aprovechamiento un monto equivalente a las cuotas de derechos del artículo 244-F por el periodo comprendido desde la fecha de vencimiento de </w:t>
      </w:r>
      <w:r w:rsidR="002552A5" w:rsidRPr="005379A1">
        <w:rPr>
          <w:rFonts w:ascii="ITC Avant Garde" w:hAnsi="ITC Avant Garde"/>
          <w:bCs/>
          <w:color w:val="000000"/>
          <w:sz w:val="22"/>
          <w:szCs w:val="22"/>
          <w:lang w:val="es-ES" w:eastAsia="es-MX"/>
        </w:rPr>
        <w:t>la concesión</w:t>
      </w:r>
      <w:r w:rsidRPr="005379A1">
        <w:rPr>
          <w:rFonts w:ascii="ITC Avant Garde" w:hAnsi="ITC Avant Garde"/>
          <w:bCs/>
          <w:color w:val="000000"/>
          <w:sz w:val="22"/>
          <w:szCs w:val="22"/>
          <w:lang w:val="es-ES" w:eastAsia="es-MX"/>
        </w:rPr>
        <w:t xml:space="preserve">, hasta la fecha en que </w:t>
      </w:r>
      <w:r w:rsidR="002552A5" w:rsidRPr="005379A1">
        <w:rPr>
          <w:rFonts w:ascii="ITC Avant Garde" w:hAnsi="ITC Avant Garde"/>
          <w:bCs/>
          <w:color w:val="000000"/>
          <w:sz w:val="22"/>
          <w:szCs w:val="22"/>
          <w:lang w:val="es-ES" w:eastAsia="es-MX"/>
        </w:rPr>
        <w:t>el</w:t>
      </w:r>
      <w:r w:rsidRPr="005379A1">
        <w:rPr>
          <w:rFonts w:ascii="ITC Avant Garde" w:hAnsi="ITC Avant Garde"/>
          <w:bCs/>
          <w:color w:val="000000"/>
          <w:sz w:val="22"/>
          <w:szCs w:val="22"/>
          <w:lang w:val="es-ES" w:eastAsia="es-MX"/>
        </w:rPr>
        <w:t xml:space="preserve"> concesionario pague el aprovechamiento con motivo de la prórroga de la vigencia de </w:t>
      </w:r>
      <w:r w:rsidR="002552A5" w:rsidRPr="005379A1">
        <w:rPr>
          <w:rFonts w:ascii="ITC Avant Garde" w:hAnsi="ITC Avant Garde"/>
          <w:bCs/>
          <w:color w:val="000000"/>
          <w:sz w:val="22"/>
          <w:szCs w:val="22"/>
          <w:lang w:val="es-ES" w:eastAsia="es-MX"/>
        </w:rPr>
        <w:t>l</w:t>
      </w:r>
      <w:r w:rsidRPr="005379A1">
        <w:rPr>
          <w:rFonts w:ascii="ITC Avant Garde" w:hAnsi="ITC Avant Garde"/>
          <w:bCs/>
          <w:color w:val="000000"/>
          <w:sz w:val="22"/>
          <w:szCs w:val="22"/>
          <w:lang w:val="es-ES" w:eastAsia="es-MX"/>
        </w:rPr>
        <w:t>a concesión.</w:t>
      </w:r>
    </w:p>
    <w:p w14:paraId="5D78BC7C" w14:textId="77777777" w:rsidR="001C6AEE" w:rsidRPr="005379A1" w:rsidRDefault="00480133" w:rsidP="005379A1">
      <w:pPr>
        <w:spacing w:after="240"/>
        <w:ind w:right="96"/>
        <w:jc w:val="both"/>
        <w:rPr>
          <w:rFonts w:ascii="ITC Avant Garde" w:eastAsia="Calibri" w:hAnsi="ITC Avant Garde"/>
          <w:bCs/>
          <w:color w:val="000000"/>
          <w:sz w:val="22"/>
          <w:szCs w:val="22"/>
          <w:lang w:eastAsia="es-MX"/>
        </w:rPr>
      </w:pPr>
      <w:r w:rsidRPr="005379A1">
        <w:rPr>
          <w:rFonts w:ascii="ITC Avant Garde" w:eastAsia="Calibri" w:hAnsi="ITC Avant Garde"/>
          <w:bCs/>
          <w:color w:val="000000"/>
          <w:sz w:val="22"/>
          <w:szCs w:val="22"/>
          <w:lang w:eastAsia="es-MX"/>
        </w:rPr>
        <w:t>En atención a la propuesta presentada por la Unidad de Espectro Radioeléctrico, con oficio</w:t>
      </w:r>
      <w:r w:rsidR="003A1E2D" w:rsidRPr="005379A1">
        <w:rPr>
          <w:rFonts w:ascii="ITC Avant Garde" w:eastAsia="Calibri" w:hAnsi="ITC Avant Garde"/>
          <w:bCs/>
          <w:color w:val="000000"/>
          <w:sz w:val="22"/>
          <w:szCs w:val="22"/>
          <w:lang w:eastAsia="es-MX"/>
        </w:rPr>
        <w:t>s 349-B-367 y</w:t>
      </w:r>
      <w:r w:rsidRPr="005379A1">
        <w:rPr>
          <w:rFonts w:ascii="ITC Avant Garde" w:eastAsia="Calibri" w:hAnsi="ITC Avant Garde"/>
          <w:bCs/>
          <w:color w:val="000000"/>
          <w:sz w:val="22"/>
          <w:szCs w:val="22"/>
          <w:lang w:eastAsia="es-MX"/>
        </w:rPr>
        <w:t xml:space="preserve"> 349-B-264 señalado</w:t>
      </w:r>
      <w:r w:rsidR="003A1E2D" w:rsidRPr="005379A1">
        <w:rPr>
          <w:rFonts w:ascii="ITC Avant Garde" w:eastAsia="Calibri" w:hAnsi="ITC Avant Garde"/>
          <w:bCs/>
          <w:color w:val="000000"/>
          <w:sz w:val="22"/>
          <w:szCs w:val="22"/>
          <w:lang w:eastAsia="es-MX"/>
        </w:rPr>
        <w:t>s</w:t>
      </w:r>
      <w:r w:rsidRPr="005379A1">
        <w:rPr>
          <w:rFonts w:ascii="ITC Avant Garde" w:eastAsia="Calibri" w:hAnsi="ITC Avant Garde"/>
          <w:bCs/>
          <w:color w:val="000000"/>
          <w:sz w:val="22"/>
          <w:szCs w:val="22"/>
          <w:lang w:eastAsia="es-MX"/>
        </w:rPr>
        <w:t xml:space="preserve"> en el Antecedente X</w:t>
      </w:r>
      <w:r w:rsidR="00414FEE" w:rsidRPr="005379A1">
        <w:rPr>
          <w:rFonts w:ascii="ITC Avant Garde" w:eastAsia="Calibri" w:hAnsi="ITC Avant Garde"/>
          <w:bCs/>
          <w:color w:val="000000"/>
          <w:sz w:val="22"/>
          <w:szCs w:val="22"/>
          <w:lang w:eastAsia="es-MX"/>
        </w:rPr>
        <w:t>V</w:t>
      </w:r>
      <w:r w:rsidR="003A1E2D" w:rsidRPr="005379A1">
        <w:rPr>
          <w:rFonts w:ascii="ITC Avant Garde" w:eastAsia="Calibri" w:hAnsi="ITC Avant Garde"/>
          <w:bCs/>
          <w:color w:val="000000"/>
          <w:sz w:val="22"/>
          <w:szCs w:val="22"/>
          <w:lang w:eastAsia="es-MX"/>
        </w:rPr>
        <w:t>I</w:t>
      </w:r>
      <w:r w:rsidRPr="005379A1">
        <w:rPr>
          <w:rFonts w:ascii="ITC Avant Garde" w:eastAsia="Calibri" w:hAnsi="ITC Avant Garde"/>
          <w:bCs/>
          <w:color w:val="000000"/>
          <w:sz w:val="22"/>
          <w:szCs w:val="22"/>
          <w:lang w:eastAsia="es-MX"/>
        </w:rPr>
        <w:t xml:space="preserve">, la Secretaría de Hacienda y Crédito Público autorizó los aprovechamientos por la prórroga </w:t>
      </w:r>
      <w:r w:rsidR="003A1E2D" w:rsidRPr="005379A1">
        <w:rPr>
          <w:rFonts w:ascii="ITC Avant Garde" w:eastAsia="Calibri" w:hAnsi="ITC Avant Garde"/>
          <w:bCs/>
          <w:color w:val="000000"/>
          <w:sz w:val="22"/>
          <w:szCs w:val="22"/>
          <w:lang w:eastAsia="es-MX"/>
        </w:rPr>
        <w:t>de</w:t>
      </w:r>
      <w:r w:rsidRPr="005379A1">
        <w:rPr>
          <w:rFonts w:ascii="ITC Avant Garde" w:eastAsia="Calibri" w:hAnsi="ITC Avant Garde"/>
          <w:bCs/>
          <w:color w:val="000000"/>
          <w:sz w:val="22"/>
          <w:szCs w:val="22"/>
          <w:lang w:eastAsia="es-MX"/>
        </w:rPr>
        <w:t xml:space="preserve"> diversas concesiones para prestar el servicio móvil de radiocomunicación especializada de flotillas, entre las que se encuentra</w:t>
      </w:r>
      <w:r w:rsidR="003A1E2D" w:rsidRPr="005379A1">
        <w:rPr>
          <w:rFonts w:ascii="ITC Avant Garde" w:eastAsia="Calibri" w:hAnsi="ITC Avant Garde"/>
          <w:bCs/>
          <w:color w:val="000000"/>
          <w:sz w:val="22"/>
          <w:szCs w:val="22"/>
          <w:lang w:eastAsia="es-MX"/>
        </w:rPr>
        <w:t xml:space="preserve"> la Concesión</w:t>
      </w:r>
      <w:r w:rsidRPr="005379A1">
        <w:rPr>
          <w:rFonts w:ascii="ITC Avant Garde" w:eastAsia="Calibri" w:hAnsi="ITC Avant Garde"/>
          <w:bCs/>
          <w:color w:val="000000"/>
          <w:sz w:val="22"/>
          <w:szCs w:val="22"/>
          <w:lang w:eastAsia="es-MX"/>
        </w:rPr>
        <w:t xml:space="preserve"> de </w:t>
      </w:r>
      <w:r w:rsidR="00CB0706" w:rsidRPr="005379A1">
        <w:rPr>
          <w:rFonts w:ascii="ITC Avant Garde" w:eastAsia="Calibri" w:hAnsi="ITC Avant Garde"/>
          <w:bCs/>
          <w:color w:val="000000"/>
          <w:sz w:val="22"/>
          <w:szCs w:val="22"/>
          <w:lang w:eastAsia="es-MX"/>
        </w:rPr>
        <w:t>Intercomunicación del Pacífico</w:t>
      </w:r>
      <w:r w:rsidRPr="005379A1">
        <w:rPr>
          <w:rFonts w:ascii="ITC Avant Garde" w:eastAsia="Calibri" w:hAnsi="ITC Avant Garde"/>
          <w:bCs/>
          <w:color w:val="000000"/>
          <w:sz w:val="22"/>
          <w:szCs w:val="22"/>
          <w:lang w:eastAsia="es-MX"/>
        </w:rPr>
        <w:t>, en los siguientes términos:</w:t>
      </w:r>
    </w:p>
    <w:p w14:paraId="75DB4FEC" w14:textId="1817A099" w:rsidR="001C6AEE" w:rsidRPr="005379A1" w:rsidRDefault="00480133" w:rsidP="005379A1">
      <w:pPr>
        <w:spacing w:after="240"/>
        <w:ind w:right="96"/>
        <w:jc w:val="both"/>
        <w:rPr>
          <w:rFonts w:ascii="ITC Avant Garde" w:eastAsia="Calibri" w:hAnsi="ITC Avant Garde"/>
          <w:bCs/>
          <w:color w:val="000000"/>
          <w:sz w:val="16"/>
          <w:szCs w:val="16"/>
          <w:lang w:eastAsia="es-MX"/>
        </w:rPr>
      </w:pPr>
      <w:r w:rsidRPr="005379A1">
        <w:rPr>
          <w:rFonts w:ascii="ITC Avant Garde" w:eastAsia="Calibri" w:hAnsi="ITC Avant Garde"/>
          <w:bCs/>
          <w:color w:val="000000"/>
          <w:sz w:val="22"/>
          <w:szCs w:val="22"/>
          <w:lang w:eastAsia="es-MX"/>
        </w:rPr>
        <w:tab/>
      </w:r>
      <w:r w:rsidRPr="005379A1">
        <w:rPr>
          <w:rFonts w:ascii="ITC Avant Garde" w:eastAsia="Calibri" w:hAnsi="ITC Avant Garde"/>
          <w:bCs/>
          <w:color w:val="000000"/>
          <w:sz w:val="16"/>
          <w:szCs w:val="16"/>
          <w:lang w:eastAsia="es-MX"/>
        </w:rPr>
        <w:t>“[…]</w:t>
      </w:r>
    </w:p>
    <w:p w14:paraId="4F5E8AE9" w14:textId="744AD506" w:rsidR="00480133" w:rsidRPr="005379A1" w:rsidRDefault="00480133" w:rsidP="005379A1">
      <w:pPr>
        <w:pStyle w:val="Prrafodelista"/>
        <w:numPr>
          <w:ilvl w:val="0"/>
          <w:numId w:val="30"/>
        </w:numPr>
        <w:spacing w:after="240"/>
        <w:ind w:left="993" w:right="528" w:hanging="426"/>
        <w:jc w:val="both"/>
        <w:rPr>
          <w:rFonts w:ascii="ITC Avant Garde" w:eastAsia="Calibri" w:hAnsi="ITC Avant Garde"/>
          <w:bCs/>
          <w:color w:val="000000"/>
          <w:sz w:val="16"/>
          <w:szCs w:val="16"/>
          <w:lang w:eastAsia="es-MX"/>
        </w:rPr>
      </w:pPr>
      <w:r w:rsidRPr="005379A1">
        <w:rPr>
          <w:rFonts w:ascii="ITC Avant Garde" w:eastAsia="Calibri" w:hAnsi="ITC Avant Garde"/>
          <w:b/>
          <w:bCs/>
          <w:color w:val="000000"/>
          <w:sz w:val="16"/>
          <w:szCs w:val="16"/>
          <w:lang w:eastAsia="es-MX"/>
        </w:rPr>
        <w:lastRenderedPageBreak/>
        <w:t>Un aprovechamiento a pagarse en una sola exhibición</w:t>
      </w:r>
      <w:r w:rsidRPr="005379A1">
        <w:rPr>
          <w:rFonts w:ascii="ITC Avant Garde" w:hAnsi="ITC Avant Garde"/>
          <w:bCs/>
          <w:color w:val="000000"/>
          <w:sz w:val="16"/>
          <w:szCs w:val="16"/>
          <w:lang w:val="es-ES" w:eastAsia="es-MX"/>
        </w:rPr>
        <w:t xml:space="preserve"> </w:t>
      </w:r>
      <w:r w:rsidRPr="005379A1">
        <w:rPr>
          <w:rFonts w:ascii="ITC Avant Garde" w:eastAsia="Calibri" w:hAnsi="ITC Avant Garde"/>
          <w:bCs/>
          <w:color w:val="000000"/>
          <w:sz w:val="16"/>
          <w:szCs w:val="16"/>
          <w:lang w:eastAsia="es-MX"/>
        </w:rPr>
        <w:t>equivalente a los pagos promedio realizados en las licitaciones No. 15, 16 y 17 para el servicio móvil de radiocomunicación especializada de flotillas (</w:t>
      </w:r>
      <w:proofErr w:type="spellStart"/>
      <w:r w:rsidRPr="005379A1">
        <w:rPr>
          <w:rFonts w:ascii="ITC Avant Garde" w:eastAsia="Calibri" w:hAnsi="ITC Avant Garde"/>
          <w:bCs/>
          <w:color w:val="000000"/>
          <w:sz w:val="16"/>
          <w:szCs w:val="16"/>
          <w:lang w:eastAsia="es-MX"/>
        </w:rPr>
        <w:t>trunking</w:t>
      </w:r>
      <w:proofErr w:type="spellEnd"/>
      <w:r w:rsidRPr="005379A1">
        <w:rPr>
          <w:rFonts w:ascii="ITC Avant Garde" w:eastAsia="Calibri" w:hAnsi="ITC Avant Garde"/>
          <w:bCs/>
          <w:color w:val="000000"/>
          <w:sz w:val="16"/>
          <w:szCs w:val="16"/>
          <w:lang w:eastAsia="es-MX"/>
        </w:rPr>
        <w:t>) conforme al ancho de banda concesionado; el área de cobertura geográfica autorizada y el plazo que cubra la prórroga de las concesiones. Además, se considera dentro de este aprovechamiento un monto calculado tomando en cuenta un monto equivalente a las cuotas de derechos del artículo 244-F por el periodo comprendido desde la fecha de vencimiento de cada una de las concesiones hasta el presente ejercicio fiscal.</w:t>
      </w:r>
    </w:p>
    <w:p w14:paraId="7903D9D1" w14:textId="77777777" w:rsidR="00480133" w:rsidRPr="005379A1" w:rsidRDefault="00480133" w:rsidP="005379A1">
      <w:pPr>
        <w:spacing w:after="240"/>
        <w:ind w:right="528"/>
        <w:jc w:val="both"/>
        <w:rPr>
          <w:rFonts w:ascii="ITC Avant Garde" w:eastAsia="Calibri" w:hAnsi="ITC Avant Garde"/>
          <w:bCs/>
          <w:color w:val="000000"/>
          <w:sz w:val="16"/>
          <w:szCs w:val="16"/>
          <w:lang w:eastAsia="es-MX"/>
        </w:rPr>
      </w:pPr>
    </w:p>
    <w:tbl>
      <w:tblPr>
        <w:tblStyle w:val="Cuadrculadetablaclara"/>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rovehcamiento a pagar en una sola exhibición"/>
        <w:tblDescription w:val="La tabla se refiere al monto del aprovechamiento a pagar"/>
      </w:tblPr>
      <w:tblGrid>
        <w:gridCol w:w="562"/>
        <w:gridCol w:w="3408"/>
        <w:gridCol w:w="1701"/>
        <w:gridCol w:w="2262"/>
      </w:tblGrid>
      <w:tr w:rsidR="00480133" w:rsidRPr="005379A1" w14:paraId="1F4D8AD1" w14:textId="77777777" w:rsidTr="005379A1">
        <w:trPr>
          <w:tblHeader/>
          <w:jc w:val="center"/>
        </w:trPr>
        <w:tc>
          <w:tcPr>
            <w:tcW w:w="562" w:type="dxa"/>
          </w:tcPr>
          <w:p w14:paraId="23C82A94" w14:textId="77777777" w:rsidR="00480133" w:rsidRPr="005379A1" w:rsidRDefault="00480133" w:rsidP="00DB528E">
            <w:pPr>
              <w:ind w:right="-108"/>
              <w:jc w:val="center"/>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No.</w:t>
            </w:r>
          </w:p>
        </w:tc>
        <w:tc>
          <w:tcPr>
            <w:tcW w:w="3408" w:type="dxa"/>
          </w:tcPr>
          <w:p w14:paraId="511628C9" w14:textId="77777777" w:rsidR="00480133" w:rsidRPr="005379A1" w:rsidRDefault="00480133" w:rsidP="00DB528E">
            <w:pPr>
              <w:ind w:right="96"/>
              <w:jc w:val="center"/>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Nombre del Concesionario</w:t>
            </w:r>
          </w:p>
        </w:tc>
        <w:tc>
          <w:tcPr>
            <w:tcW w:w="1701" w:type="dxa"/>
          </w:tcPr>
          <w:p w14:paraId="5A2789A0" w14:textId="77777777" w:rsidR="00480133" w:rsidRPr="005379A1" w:rsidRDefault="00480133" w:rsidP="00DB528E">
            <w:pPr>
              <w:ind w:right="96"/>
              <w:jc w:val="center"/>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Banda de Frecuencias (reubicación)</w:t>
            </w:r>
          </w:p>
        </w:tc>
        <w:tc>
          <w:tcPr>
            <w:tcW w:w="2262" w:type="dxa"/>
          </w:tcPr>
          <w:p w14:paraId="39D79A77" w14:textId="77777777" w:rsidR="00480133" w:rsidRPr="005379A1" w:rsidRDefault="00480133" w:rsidP="00DB528E">
            <w:pPr>
              <w:ind w:right="96"/>
              <w:jc w:val="center"/>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Importe del Aprovechamiento inicial (pesos)</w:t>
            </w:r>
          </w:p>
        </w:tc>
      </w:tr>
      <w:tr w:rsidR="000D340E" w:rsidRPr="005379A1" w14:paraId="681BAB74" w14:textId="77777777" w:rsidTr="001C6AEE">
        <w:trPr>
          <w:jc w:val="center"/>
        </w:trPr>
        <w:tc>
          <w:tcPr>
            <w:tcW w:w="562" w:type="dxa"/>
          </w:tcPr>
          <w:p w14:paraId="7CD3479E" w14:textId="77777777" w:rsidR="000D340E" w:rsidRPr="005379A1" w:rsidRDefault="000D340E" w:rsidP="000D340E">
            <w:pPr>
              <w:ind w:right="-108"/>
              <w:jc w:val="center"/>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1</w:t>
            </w:r>
          </w:p>
        </w:tc>
        <w:tc>
          <w:tcPr>
            <w:tcW w:w="3408" w:type="dxa"/>
          </w:tcPr>
          <w:p w14:paraId="506F747B" w14:textId="6828E8BC" w:rsidR="000D340E" w:rsidRPr="005379A1" w:rsidRDefault="00A0535C" w:rsidP="000D340E">
            <w:pPr>
              <w:ind w:right="96"/>
              <w:jc w:val="center"/>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w:t>
            </w:r>
          </w:p>
        </w:tc>
        <w:tc>
          <w:tcPr>
            <w:tcW w:w="1701" w:type="dxa"/>
          </w:tcPr>
          <w:p w14:paraId="5ED464BB" w14:textId="343472D0" w:rsidR="000D340E" w:rsidRPr="005379A1" w:rsidRDefault="00A0535C"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c>
          <w:tcPr>
            <w:tcW w:w="2262" w:type="dxa"/>
          </w:tcPr>
          <w:p w14:paraId="15292FCE" w14:textId="3162BE8C" w:rsidR="000D340E" w:rsidRPr="005379A1" w:rsidRDefault="00A0535C"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r>
      <w:tr w:rsidR="000D340E" w:rsidRPr="005379A1" w14:paraId="697C2E65" w14:textId="77777777" w:rsidTr="001C6AEE">
        <w:trPr>
          <w:jc w:val="center"/>
        </w:trPr>
        <w:tc>
          <w:tcPr>
            <w:tcW w:w="562" w:type="dxa"/>
          </w:tcPr>
          <w:p w14:paraId="088D7522" w14:textId="77777777" w:rsidR="000D340E" w:rsidRPr="005379A1" w:rsidRDefault="000D340E" w:rsidP="000D340E">
            <w:pPr>
              <w:ind w:right="-108"/>
              <w:jc w:val="center"/>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2</w:t>
            </w:r>
          </w:p>
        </w:tc>
        <w:tc>
          <w:tcPr>
            <w:tcW w:w="3408" w:type="dxa"/>
          </w:tcPr>
          <w:p w14:paraId="35D353B9" w14:textId="68BCED75" w:rsidR="000D340E" w:rsidRPr="005379A1" w:rsidRDefault="00A0535C" w:rsidP="000D340E">
            <w:pPr>
              <w:ind w:right="96"/>
              <w:jc w:val="center"/>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w:t>
            </w:r>
          </w:p>
        </w:tc>
        <w:tc>
          <w:tcPr>
            <w:tcW w:w="1701" w:type="dxa"/>
          </w:tcPr>
          <w:p w14:paraId="073FA6CB" w14:textId="3434CD83" w:rsidR="000D340E" w:rsidRPr="005379A1" w:rsidRDefault="00A0535C"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c>
          <w:tcPr>
            <w:tcW w:w="2262" w:type="dxa"/>
          </w:tcPr>
          <w:p w14:paraId="2FEE7145" w14:textId="20B6AE67" w:rsidR="000D340E" w:rsidRPr="005379A1" w:rsidRDefault="00A0535C"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r>
      <w:tr w:rsidR="000D340E" w:rsidRPr="005379A1" w14:paraId="33DA6B06" w14:textId="77777777" w:rsidTr="001C6AEE">
        <w:trPr>
          <w:jc w:val="center"/>
        </w:trPr>
        <w:tc>
          <w:tcPr>
            <w:tcW w:w="562" w:type="dxa"/>
          </w:tcPr>
          <w:p w14:paraId="5C0CB9B9" w14:textId="77777777" w:rsidR="000D340E" w:rsidRPr="005379A1" w:rsidRDefault="000D340E" w:rsidP="000D340E">
            <w:pPr>
              <w:ind w:right="-108"/>
              <w:jc w:val="center"/>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3</w:t>
            </w:r>
          </w:p>
        </w:tc>
        <w:tc>
          <w:tcPr>
            <w:tcW w:w="3408" w:type="dxa"/>
          </w:tcPr>
          <w:p w14:paraId="6F3DD0A9" w14:textId="77777777"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c>
          <w:tcPr>
            <w:tcW w:w="1701" w:type="dxa"/>
          </w:tcPr>
          <w:p w14:paraId="317AD729" w14:textId="77777777"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c>
          <w:tcPr>
            <w:tcW w:w="2262" w:type="dxa"/>
          </w:tcPr>
          <w:p w14:paraId="509D0BCC" w14:textId="77777777"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r>
      <w:tr w:rsidR="000D340E" w:rsidRPr="005379A1" w14:paraId="71ABAEE0" w14:textId="77777777" w:rsidTr="001C6AEE">
        <w:trPr>
          <w:jc w:val="center"/>
        </w:trPr>
        <w:tc>
          <w:tcPr>
            <w:tcW w:w="562" w:type="dxa"/>
          </w:tcPr>
          <w:p w14:paraId="5D489DD2" w14:textId="77777777" w:rsidR="000D340E" w:rsidRPr="005379A1" w:rsidRDefault="000D340E" w:rsidP="000D340E">
            <w:pPr>
              <w:ind w:right="-108"/>
              <w:jc w:val="center"/>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4</w:t>
            </w:r>
          </w:p>
        </w:tc>
        <w:tc>
          <w:tcPr>
            <w:tcW w:w="3408" w:type="dxa"/>
          </w:tcPr>
          <w:p w14:paraId="45DB568F" w14:textId="77777777"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c>
          <w:tcPr>
            <w:tcW w:w="1701" w:type="dxa"/>
          </w:tcPr>
          <w:p w14:paraId="0A947A8D" w14:textId="77777777"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c>
          <w:tcPr>
            <w:tcW w:w="2262" w:type="dxa"/>
          </w:tcPr>
          <w:p w14:paraId="7D2E3B73" w14:textId="77777777"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r>
      <w:tr w:rsidR="000D340E" w:rsidRPr="005379A1" w14:paraId="5B265228" w14:textId="77777777" w:rsidTr="001C6AEE">
        <w:trPr>
          <w:jc w:val="center"/>
        </w:trPr>
        <w:tc>
          <w:tcPr>
            <w:tcW w:w="562" w:type="dxa"/>
          </w:tcPr>
          <w:p w14:paraId="6260AA34" w14:textId="77777777" w:rsidR="000D340E" w:rsidRPr="005379A1" w:rsidRDefault="000D340E" w:rsidP="000D340E">
            <w:pPr>
              <w:ind w:right="-108"/>
              <w:jc w:val="center"/>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5</w:t>
            </w:r>
          </w:p>
        </w:tc>
        <w:tc>
          <w:tcPr>
            <w:tcW w:w="3408" w:type="dxa"/>
          </w:tcPr>
          <w:p w14:paraId="316E7D36" w14:textId="77777777"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c>
          <w:tcPr>
            <w:tcW w:w="1701" w:type="dxa"/>
          </w:tcPr>
          <w:p w14:paraId="76C63ECE" w14:textId="77777777"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c>
          <w:tcPr>
            <w:tcW w:w="2262" w:type="dxa"/>
          </w:tcPr>
          <w:p w14:paraId="2E645BE6" w14:textId="77777777"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r>
      <w:tr w:rsidR="000D340E" w:rsidRPr="005379A1" w14:paraId="5C6DB649" w14:textId="77777777" w:rsidTr="001C6AEE">
        <w:trPr>
          <w:jc w:val="center"/>
        </w:trPr>
        <w:tc>
          <w:tcPr>
            <w:tcW w:w="562" w:type="dxa"/>
          </w:tcPr>
          <w:p w14:paraId="682AACEF" w14:textId="77777777" w:rsidR="000D340E" w:rsidRPr="005379A1" w:rsidRDefault="000D340E" w:rsidP="000D340E">
            <w:pPr>
              <w:ind w:right="-108"/>
              <w:jc w:val="center"/>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6</w:t>
            </w:r>
          </w:p>
        </w:tc>
        <w:tc>
          <w:tcPr>
            <w:tcW w:w="3408" w:type="dxa"/>
          </w:tcPr>
          <w:p w14:paraId="483935F3" w14:textId="149374DC"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c>
          <w:tcPr>
            <w:tcW w:w="1701" w:type="dxa"/>
          </w:tcPr>
          <w:p w14:paraId="55D77F0C" w14:textId="5484B672"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c>
          <w:tcPr>
            <w:tcW w:w="2262" w:type="dxa"/>
          </w:tcPr>
          <w:p w14:paraId="4731CC0C" w14:textId="0AC71CD6"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r>
      <w:tr w:rsidR="000D340E" w:rsidRPr="005379A1" w14:paraId="604977E0" w14:textId="77777777" w:rsidTr="001C6AEE">
        <w:trPr>
          <w:jc w:val="center"/>
        </w:trPr>
        <w:tc>
          <w:tcPr>
            <w:tcW w:w="562" w:type="dxa"/>
          </w:tcPr>
          <w:p w14:paraId="77F6E4C2" w14:textId="77777777" w:rsidR="000D340E" w:rsidRPr="005379A1" w:rsidRDefault="000D340E" w:rsidP="000D340E">
            <w:pPr>
              <w:ind w:right="-108"/>
              <w:jc w:val="center"/>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7</w:t>
            </w:r>
          </w:p>
        </w:tc>
        <w:tc>
          <w:tcPr>
            <w:tcW w:w="3408" w:type="dxa"/>
          </w:tcPr>
          <w:p w14:paraId="55B2E94D" w14:textId="78FCA0FD"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c>
          <w:tcPr>
            <w:tcW w:w="1701" w:type="dxa"/>
          </w:tcPr>
          <w:p w14:paraId="4BAD0E81" w14:textId="6CAA5209"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c>
          <w:tcPr>
            <w:tcW w:w="2262" w:type="dxa"/>
          </w:tcPr>
          <w:p w14:paraId="49125B68" w14:textId="4D349D1F"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r>
      <w:tr w:rsidR="000D340E" w:rsidRPr="005379A1" w14:paraId="63C7E1FA" w14:textId="77777777" w:rsidTr="001C6AEE">
        <w:trPr>
          <w:jc w:val="center"/>
        </w:trPr>
        <w:tc>
          <w:tcPr>
            <w:tcW w:w="562" w:type="dxa"/>
          </w:tcPr>
          <w:p w14:paraId="7D88B712" w14:textId="77777777" w:rsidR="000D340E" w:rsidRPr="005379A1" w:rsidRDefault="000D340E" w:rsidP="000D340E">
            <w:pPr>
              <w:ind w:right="-108"/>
              <w:jc w:val="center"/>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8</w:t>
            </w:r>
          </w:p>
        </w:tc>
        <w:tc>
          <w:tcPr>
            <w:tcW w:w="3408" w:type="dxa"/>
          </w:tcPr>
          <w:p w14:paraId="00E4208F" w14:textId="04755184" w:rsidR="000D340E" w:rsidRPr="005379A1" w:rsidRDefault="00A0535C"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Intercomunicación del Pacífico, S.A. de C.V.</w:t>
            </w:r>
          </w:p>
        </w:tc>
        <w:tc>
          <w:tcPr>
            <w:tcW w:w="1701" w:type="dxa"/>
          </w:tcPr>
          <w:p w14:paraId="4AC1BA88" w14:textId="4EFD088E" w:rsidR="000D340E" w:rsidRPr="005379A1" w:rsidRDefault="00A0535C"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410-430 MHz</w:t>
            </w:r>
          </w:p>
        </w:tc>
        <w:tc>
          <w:tcPr>
            <w:tcW w:w="2262" w:type="dxa"/>
          </w:tcPr>
          <w:p w14:paraId="051DD02C" w14:textId="6CC4CEE4" w:rsidR="000D340E" w:rsidRPr="005379A1" w:rsidRDefault="00A0535C"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10,422,341</w:t>
            </w:r>
          </w:p>
        </w:tc>
      </w:tr>
      <w:tr w:rsidR="000D340E" w:rsidRPr="005379A1" w14:paraId="3D818642" w14:textId="77777777" w:rsidTr="001C6AEE">
        <w:trPr>
          <w:jc w:val="center"/>
        </w:trPr>
        <w:tc>
          <w:tcPr>
            <w:tcW w:w="562" w:type="dxa"/>
          </w:tcPr>
          <w:p w14:paraId="0635244B" w14:textId="77777777" w:rsidR="000D340E" w:rsidRPr="005379A1" w:rsidRDefault="000D340E" w:rsidP="000D340E">
            <w:pPr>
              <w:ind w:right="-108"/>
              <w:jc w:val="center"/>
              <w:rPr>
                <w:rFonts w:ascii="ITC Avant Garde" w:hAnsi="ITC Avant Garde"/>
                <w:b/>
                <w:bCs/>
                <w:color w:val="000000"/>
                <w:sz w:val="16"/>
                <w:szCs w:val="16"/>
                <w:lang w:val="es-ES" w:eastAsia="es-MX"/>
              </w:rPr>
            </w:pPr>
            <w:r w:rsidRPr="005379A1">
              <w:rPr>
                <w:rFonts w:ascii="ITC Avant Garde" w:hAnsi="ITC Avant Garde"/>
                <w:b/>
                <w:bCs/>
                <w:color w:val="000000"/>
                <w:sz w:val="16"/>
                <w:szCs w:val="16"/>
                <w:lang w:val="es-ES" w:eastAsia="es-MX"/>
              </w:rPr>
              <w:t>9</w:t>
            </w:r>
          </w:p>
        </w:tc>
        <w:tc>
          <w:tcPr>
            <w:tcW w:w="3408" w:type="dxa"/>
          </w:tcPr>
          <w:p w14:paraId="3FBDF703" w14:textId="77777777"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c>
          <w:tcPr>
            <w:tcW w:w="1701" w:type="dxa"/>
          </w:tcPr>
          <w:p w14:paraId="75B9F68B" w14:textId="77777777"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c>
          <w:tcPr>
            <w:tcW w:w="2262" w:type="dxa"/>
          </w:tcPr>
          <w:p w14:paraId="7A342522" w14:textId="77777777" w:rsidR="000D340E" w:rsidRPr="005379A1" w:rsidRDefault="000D340E" w:rsidP="000D340E">
            <w:pPr>
              <w:ind w:right="96"/>
              <w:jc w:val="center"/>
              <w:rPr>
                <w:rFonts w:ascii="ITC Avant Garde" w:hAnsi="ITC Avant Garde"/>
                <w:b/>
                <w:bCs/>
                <w:color w:val="000000"/>
                <w:sz w:val="16"/>
                <w:szCs w:val="16"/>
                <w:lang w:val="es-ES" w:eastAsia="es-MX"/>
              </w:rPr>
            </w:pPr>
            <w:r w:rsidRPr="005379A1">
              <w:rPr>
                <w:rFonts w:ascii="ITC Avant Garde" w:hAnsi="ITC Avant Garde"/>
                <w:bCs/>
                <w:color w:val="000000"/>
                <w:sz w:val="16"/>
                <w:szCs w:val="16"/>
                <w:lang w:val="es-ES" w:eastAsia="es-MX"/>
              </w:rPr>
              <w:t>[…]</w:t>
            </w:r>
          </w:p>
        </w:tc>
      </w:tr>
    </w:tbl>
    <w:p w14:paraId="2D086406" w14:textId="77777777" w:rsidR="00480133" w:rsidRPr="005379A1" w:rsidRDefault="00480133" w:rsidP="00480133">
      <w:pPr>
        <w:ind w:right="96"/>
        <w:jc w:val="both"/>
        <w:rPr>
          <w:rFonts w:ascii="ITC Avant Garde" w:eastAsia="Calibri" w:hAnsi="ITC Avant Garde"/>
          <w:bCs/>
          <w:color w:val="000000"/>
          <w:sz w:val="20"/>
          <w:lang w:eastAsia="es-MX"/>
        </w:rPr>
      </w:pPr>
    </w:p>
    <w:p w14:paraId="0A2EFA4E" w14:textId="77777777" w:rsidR="001C6AEE" w:rsidRPr="005379A1" w:rsidRDefault="00480133" w:rsidP="00480133">
      <w:pPr>
        <w:ind w:left="708" w:right="528"/>
        <w:jc w:val="both"/>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Del monto de aprovechamiento anterior, las empresas concesionarias podrán disminuir una cantidad equivalente a los derechos y/o aprovechamientos federales relativos al uso, goce, aprovechamiento o explotación del espectro radioeléctrico asociados a las concesiones que en su caso se prorroguen y que hayan sido pagados desde la fecha de vencimiento de la concesión, hasta la fecha en que el concesionario pague el aprovechamiento con motivo de la prórroga de la vigencia de las concesiones respectivas. Esta operación, se podrá realizar siempre y cuando los pagos efectivamente realizados por concepto de derechos y/o aprovechamientos cuyo importe se pretenda restar hayan sido pagados de manera definitiva y no sean devueltos por las autoridades fiscales.</w:t>
      </w:r>
    </w:p>
    <w:p w14:paraId="1DD50999" w14:textId="7995FD9A" w:rsidR="00480133" w:rsidRPr="005379A1" w:rsidRDefault="00480133" w:rsidP="005379A1">
      <w:pPr>
        <w:spacing w:after="240"/>
        <w:ind w:left="708" w:right="528"/>
        <w:jc w:val="both"/>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 xml:space="preserve">Los montos que se podrán restar de este aprovechamiento se deberán actualizar a partir de la fecha en que se hubieran cubierto, tanto en términos del artículo 17-A del CFF, como por el factor que refleja la tasa real de fondeo promedio del Gobierno Federal en </w:t>
      </w:r>
      <w:proofErr w:type="spellStart"/>
      <w:r w:rsidRPr="005379A1">
        <w:rPr>
          <w:rFonts w:ascii="ITC Avant Garde" w:eastAsia="Calibri" w:hAnsi="ITC Avant Garde"/>
          <w:bCs/>
          <w:color w:val="000000"/>
          <w:sz w:val="16"/>
          <w:szCs w:val="16"/>
          <w:lang w:eastAsia="es-MX"/>
        </w:rPr>
        <w:t>Udibonos</w:t>
      </w:r>
      <w:proofErr w:type="spellEnd"/>
      <w:r w:rsidRPr="005379A1">
        <w:rPr>
          <w:rFonts w:ascii="ITC Avant Garde" w:eastAsia="Calibri" w:hAnsi="ITC Avant Garde"/>
          <w:bCs/>
          <w:color w:val="000000"/>
          <w:sz w:val="16"/>
          <w:szCs w:val="16"/>
          <w:lang w:eastAsia="es-MX"/>
        </w:rPr>
        <w:t xml:space="preserve"> que se colocaron al menor plazo en colocaciones primarias, según el año en que se efectuaron los pagos de acuerdo con la tabla siguiente:</w:t>
      </w:r>
    </w:p>
    <w:p w14:paraId="10DDECF4" w14:textId="5229FE9E" w:rsidR="00480133" w:rsidRPr="005379A1" w:rsidRDefault="001C6AEE" w:rsidP="001C6AEE">
      <w:pPr>
        <w:ind w:left="567" w:right="527"/>
        <w:jc w:val="center"/>
        <w:rPr>
          <w:rFonts w:ascii="ITC Avant Garde" w:eastAsia="Calibri" w:hAnsi="ITC Avant Garde"/>
          <w:bCs/>
          <w:color w:val="000000"/>
          <w:sz w:val="20"/>
          <w:lang w:eastAsia="es-MX"/>
        </w:rPr>
      </w:pPr>
      <w:r w:rsidRPr="005379A1">
        <w:rPr>
          <w:rFonts w:ascii="ITC Avant Garde" w:eastAsia="Calibri" w:hAnsi="ITC Avant Garde"/>
          <w:b/>
          <w:bCs/>
          <w:color w:val="000000"/>
          <w:sz w:val="16"/>
          <w:szCs w:val="16"/>
          <w:lang w:eastAsia="es-MX"/>
        </w:rPr>
        <w:t>Factor de actualización anual</w:t>
      </w:r>
    </w:p>
    <w:p w14:paraId="2CD81339" w14:textId="77777777" w:rsidR="00480133" w:rsidRPr="005379A1" w:rsidRDefault="00480133" w:rsidP="00480133">
      <w:pPr>
        <w:ind w:left="567" w:right="527"/>
        <w:jc w:val="both"/>
        <w:rPr>
          <w:rFonts w:ascii="ITC Avant Garde" w:eastAsia="Calibri" w:hAnsi="ITC Avant Garde"/>
          <w:bCs/>
          <w:color w:val="000000"/>
          <w:sz w:val="20"/>
          <w:lang w:eastAsia="es-MX"/>
        </w:rPr>
      </w:pP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Factor de actualización anual"/>
        <w:tblDescription w:val="La tabla proporciona el factor de actualización anual del año 2005 al 2015."/>
      </w:tblPr>
      <w:tblGrid>
        <w:gridCol w:w="562"/>
        <w:gridCol w:w="709"/>
        <w:gridCol w:w="709"/>
        <w:gridCol w:w="709"/>
        <w:gridCol w:w="708"/>
        <w:gridCol w:w="709"/>
        <w:gridCol w:w="709"/>
        <w:gridCol w:w="709"/>
        <w:gridCol w:w="708"/>
        <w:gridCol w:w="709"/>
        <w:gridCol w:w="709"/>
        <w:gridCol w:w="709"/>
      </w:tblGrid>
      <w:tr w:rsidR="00480133" w:rsidRPr="005379A1" w14:paraId="791CC76B" w14:textId="77777777" w:rsidTr="005379A1">
        <w:trPr>
          <w:tblHeader/>
          <w:jc w:val="center"/>
        </w:trPr>
        <w:tc>
          <w:tcPr>
            <w:tcW w:w="562" w:type="dxa"/>
            <w:shd w:val="clear" w:color="auto" w:fill="BFBFBF" w:themeFill="background1" w:themeFillShade="BF"/>
          </w:tcPr>
          <w:p w14:paraId="403A8FE4" w14:textId="77777777" w:rsidR="00480133" w:rsidRPr="005379A1" w:rsidRDefault="00480133" w:rsidP="00DB528E">
            <w:pPr>
              <w:ind w:right="-108"/>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Año</w:t>
            </w:r>
          </w:p>
        </w:tc>
        <w:tc>
          <w:tcPr>
            <w:tcW w:w="709" w:type="dxa"/>
            <w:shd w:val="clear" w:color="auto" w:fill="BFBFBF" w:themeFill="background1" w:themeFillShade="BF"/>
          </w:tcPr>
          <w:p w14:paraId="21AF0049" w14:textId="77777777" w:rsidR="00480133" w:rsidRPr="005379A1" w:rsidRDefault="00480133" w:rsidP="00DB528E">
            <w:pPr>
              <w:ind w:right="96"/>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2005</w:t>
            </w:r>
          </w:p>
        </w:tc>
        <w:tc>
          <w:tcPr>
            <w:tcW w:w="709" w:type="dxa"/>
            <w:shd w:val="clear" w:color="auto" w:fill="BFBFBF" w:themeFill="background1" w:themeFillShade="BF"/>
          </w:tcPr>
          <w:p w14:paraId="51AABDEB" w14:textId="77777777" w:rsidR="00480133" w:rsidRPr="005379A1" w:rsidRDefault="00480133" w:rsidP="00DB528E">
            <w:pPr>
              <w:ind w:right="96"/>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2006</w:t>
            </w:r>
          </w:p>
        </w:tc>
        <w:tc>
          <w:tcPr>
            <w:tcW w:w="709" w:type="dxa"/>
            <w:shd w:val="clear" w:color="auto" w:fill="BFBFBF" w:themeFill="background1" w:themeFillShade="BF"/>
          </w:tcPr>
          <w:p w14:paraId="1E44D290" w14:textId="77777777" w:rsidR="00480133" w:rsidRPr="005379A1" w:rsidRDefault="00480133" w:rsidP="00DB528E">
            <w:pPr>
              <w:ind w:right="96"/>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2007</w:t>
            </w:r>
          </w:p>
        </w:tc>
        <w:tc>
          <w:tcPr>
            <w:tcW w:w="708" w:type="dxa"/>
            <w:shd w:val="clear" w:color="auto" w:fill="BFBFBF" w:themeFill="background1" w:themeFillShade="BF"/>
          </w:tcPr>
          <w:p w14:paraId="514EB142" w14:textId="77777777" w:rsidR="00480133" w:rsidRPr="005379A1" w:rsidRDefault="00480133" w:rsidP="00DB528E">
            <w:pPr>
              <w:ind w:right="96"/>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2008</w:t>
            </w:r>
          </w:p>
        </w:tc>
        <w:tc>
          <w:tcPr>
            <w:tcW w:w="709" w:type="dxa"/>
            <w:shd w:val="clear" w:color="auto" w:fill="BFBFBF" w:themeFill="background1" w:themeFillShade="BF"/>
          </w:tcPr>
          <w:p w14:paraId="52F30DBD" w14:textId="77777777" w:rsidR="00480133" w:rsidRPr="005379A1" w:rsidRDefault="00480133" w:rsidP="00DB528E">
            <w:pPr>
              <w:ind w:right="96"/>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2009</w:t>
            </w:r>
          </w:p>
        </w:tc>
        <w:tc>
          <w:tcPr>
            <w:tcW w:w="709" w:type="dxa"/>
            <w:shd w:val="clear" w:color="auto" w:fill="BFBFBF" w:themeFill="background1" w:themeFillShade="BF"/>
          </w:tcPr>
          <w:p w14:paraId="5162E08E" w14:textId="77777777" w:rsidR="00480133" w:rsidRPr="005379A1" w:rsidRDefault="00480133" w:rsidP="00DB528E">
            <w:pPr>
              <w:ind w:right="96"/>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2010</w:t>
            </w:r>
          </w:p>
        </w:tc>
        <w:tc>
          <w:tcPr>
            <w:tcW w:w="709" w:type="dxa"/>
            <w:shd w:val="clear" w:color="auto" w:fill="BFBFBF" w:themeFill="background1" w:themeFillShade="BF"/>
          </w:tcPr>
          <w:p w14:paraId="594D79B5" w14:textId="77777777" w:rsidR="00480133" w:rsidRPr="005379A1" w:rsidRDefault="00480133" w:rsidP="00DB528E">
            <w:pPr>
              <w:ind w:right="96"/>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2011</w:t>
            </w:r>
          </w:p>
        </w:tc>
        <w:tc>
          <w:tcPr>
            <w:tcW w:w="708" w:type="dxa"/>
            <w:shd w:val="clear" w:color="auto" w:fill="BFBFBF" w:themeFill="background1" w:themeFillShade="BF"/>
          </w:tcPr>
          <w:p w14:paraId="0C42F198" w14:textId="77777777" w:rsidR="00480133" w:rsidRPr="005379A1" w:rsidRDefault="00480133" w:rsidP="00DB528E">
            <w:pPr>
              <w:ind w:right="96"/>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2012</w:t>
            </w:r>
          </w:p>
        </w:tc>
        <w:tc>
          <w:tcPr>
            <w:tcW w:w="709" w:type="dxa"/>
            <w:shd w:val="clear" w:color="auto" w:fill="BFBFBF" w:themeFill="background1" w:themeFillShade="BF"/>
          </w:tcPr>
          <w:p w14:paraId="7F3B09B7" w14:textId="77777777" w:rsidR="00480133" w:rsidRPr="005379A1" w:rsidRDefault="00480133" w:rsidP="00DB528E">
            <w:pPr>
              <w:ind w:right="96"/>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2013</w:t>
            </w:r>
          </w:p>
        </w:tc>
        <w:tc>
          <w:tcPr>
            <w:tcW w:w="709" w:type="dxa"/>
            <w:shd w:val="clear" w:color="auto" w:fill="BFBFBF" w:themeFill="background1" w:themeFillShade="BF"/>
          </w:tcPr>
          <w:p w14:paraId="16F0A5D9" w14:textId="77777777" w:rsidR="00480133" w:rsidRPr="005379A1" w:rsidRDefault="00480133" w:rsidP="00DB528E">
            <w:pPr>
              <w:ind w:right="96"/>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2014</w:t>
            </w:r>
          </w:p>
        </w:tc>
        <w:tc>
          <w:tcPr>
            <w:tcW w:w="709" w:type="dxa"/>
            <w:shd w:val="clear" w:color="auto" w:fill="BFBFBF" w:themeFill="background1" w:themeFillShade="BF"/>
          </w:tcPr>
          <w:p w14:paraId="29172CC2" w14:textId="77777777" w:rsidR="00480133" w:rsidRPr="005379A1" w:rsidRDefault="00480133" w:rsidP="00DB528E">
            <w:pPr>
              <w:ind w:right="96"/>
              <w:jc w:val="center"/>
              <w:rPr>
                <w:rFonts w:ascii="ITC Avant Garde" w:eastAsia="Calibri" w:hAnsi="ITC Avant Garde"/>
                <w:b/>
                <w:bCs/>
                <w:color w:val="000000"/>
                <w:sz w:val="16"/>
                <w:szCs w:val="16"/>
                <w:lang w:eastAsia="es-MX"/>
              </w:rPr>
            </w:pPr>
            <w:r w:rsidRPr="005379A1">
              <w:rPr>
                <w:rFonts w:ascii="ITC Avant Garde" w:eastAsia="Calibri" w:hAnsi="ITC Avant Garde"/>
                <w:b/>
                <w:bCs/>
                <w:color w:val="000000"/>
                <w:sz w:val="16"/>
                <w:szCs w:val="16"/>
                <w:lang w:eastAsia="es-MX"/>
              </w:rPr>
              <w:t>2015</w:t>
            </w:r>
          </w:p>
        </w:tc>
      </w:tr>
      <w:tr w:rsidR="00480133" w:rsidRPr="005379A1" w14:paraId="472EFDF9" w14:textId="77777777" w:rsidTr="001C6AEE">
        <w:trPr>
          <w:jc w:val="center"/>
        </w:trPr>
        <w:tc>
          <w:tcPr>
            <w:tcW w:w="562" w:type="dxa"/>
          </w:tcPr>
          <w:p w14:paraId="601B55DF" w14:textId="77777777" w:rsidR="00480133" w:rsidRPr="005379A1" w:rsidRDefault="00480133" w:rsidP="00DB528E">
            <w:pPr>
              <w:ind w:left="-113" w:right="-108"/>
              <w:jc w:val="center"/>
              <w:rPr>
                <w:rFonts w:ascii="ITC Avant Garde" w:hAnsi="ITC Avant Garde"/>
                <w:bCs/>
                <w:color w:val="000000"/>
                <w:sz w:val="16"/>
                <w:szCs w:val="16"/>
                <w:lang w:val="es-ES" w:eastAsia="es-MX"/>
              </w:rPr>
            </w:pPr>
            <w:r w:rsidRPr="005379A1">
              <w:rPr>
                <w:rFonts w:ascii="ITC Avant Garde" w:hAnsi="ITC Avant Garde"/>
                <w:bCs/>
                <w:color w:val="000000"/>
                <w:sz w:val="16"/>
                <w:szCs w:val="16"/>
                <w:lang w:val="es-ES" w:eastAsia="es-MX"/>
              </w:rPr>
              <w:t>Factor</w:t>
            </w:r>
          </w:p>
        </w:tc>
        <w:tc>
          <w:tcPr>
            <w:tcW w:w="709" w:type="dxa"/>
          </w:tcPr>
          <w:p w14:paraId="13BA2B8C" w14:textId="77777777" w:rsidR="00480133" w:rsidRPr="005379A1" w:rsidRDefault="00480133" w:rsidP="00DB528E">
            <w:pPr>
              <w:ind w:right="-103"/>
              <w:jc w:val="center"/>
              <w:rPr>
                <w:rFonts w:ascii="ITC Avant Garde" w:hAnsi="ITC Avant Garde"/>
                <w:b/>
                <w:bCs/>
                <w:color w:val="000000"/>
                <w:sz w:val="16"/>
                <w:szCs w:val="16"/>
                <w:lang w:val="es-ES" w:eastAsia="es-MX"/>
              </w:rPr>
            </w:pPr>
            <w:r w:rsidRPr="005379A1">
              <w:rPr>
                <w:rFonts w:ascii="ITC Avant Garde" w:eastAsia="Calibri" w:hAnsi="ITC Avant Garde"/>
                <w:bCs/>
                <w:color w:val="000000"/>
                <w:sz w:val="16"/>
                <w:szCs w:val="16"/>
                <w:lang w:eastAsia="es-MX"/>
              </w:rPr>
              <w:t>1.3564</w:t>
            </w:r>
          </w:p>
        </w:tc>
        <w:tc>
          <w:tcPr>
            <w:tcW w:w="709" w:type="dxa"/>
          </w:tcPr>
          <w:p w14:paraId="68256409" w14:textId="77777777" w:rsidR="00480133" w:rsidRPr="005379A1" w:rsidRDefault="00480133" w:rsidP="00DB528E">
            <w:pPr>
              <w:ind w:right="-103"/>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1.3157</w:t>
            </w:r>
          </w:p>
        </w:tc>
        <w:tc>
          <w:tcPr>
            <w:tcW w:w="709" w:type="dxa"/>
          </w:tcPr>
          <w:p w14:paraId="7D7BA6BA" w14:textId="77777777" w:rsidR="00480133" w:rsidRPr="005379A1" w:rsidRDefault="00480133" w:rsidP="00DB528E">
            <w:pPr>
              <w:ind w:right="-103"/>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1.2763</w:t>
            </w:r>
          </w:p>
        </w:tc>
        <w:tc>
          <w:tcPr>
            <w:tcW w:w="708" w:type="dxa"/>
          </w:tcPr>
          <w:p w14:paraId="0BB81846" w14:textId="77777777" w:rsidR="00480133" w:rsidRPr="005379A1" w:rsidRDefault="00480133" w:rsidP="00DB528E">
            <w:pPr>
              <w:ind w:right="-103"/>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1.2378</w:t>
            </w:r>
          </w:p>
        </w:tc>
        <w:tc>
          <w:tcPr>
            <w:tcW w:w="709" w:type="dxa"/>
          </w:tcPr>
          <w:p w14:paraId="3087DBB8" w14:textId="77777777" w:rsidR="00480133" w:rsidRPr="005379A1" w:rsidRDefault="00480133" w:rsidP="00DB528E">
            <w:pPr>
              <w:ind w:right="-103"/>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1.2007</w:t>
            </w:r>
          </w:p>
        </w:tc>
        <w:tc>
          <w:tcPr>
            <w:tcW w:w="709" w:type="dxa"/>
          </w:tcPr>
          <w:p w14:paraId="6704F4B6" w14:textId="77777777" w:rsidR="00480133" w:rsidRPr="005379A1" w:rsidRDefault="00480133" w:rsidP="00DB528E">
            <w:pPr>
              <w:tabs>
                <w:tab w:val="left" w:pos="534"/>
              </w:tabs>
              <w:ind w:left="-113" w:right="96"/>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1.1647</w:t>
            </w:r>
          </w:p>
        </w:tc>
        <w:tc>
          <w:tcPr>
            <w:tcW w:w="709" w:type="dxa"/>
          </w:tcPr>
          <w:p w14:paraId="442CE646" w14:textId="77777777" w:rsidR="00480133" w:rsidRPr="005379A1" w:rsidRDefault="00480133" w:rsidP="00DB528E">
            <w:pPr>
              <w:ind w:right="-103"/>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1.1297</w:t>
            </w:r>
          </w:p>
        </w:tc>
        <w:tc>
          <w:tcPr>
            <w:tcW w:w="708" w:type="dxa"/>
          </w:tcPr>
          <w:p w14:paraId="098AE473" w14:textId="77777777" w:rsidR="00480133" w:rsidRPr="005379A1" w:rsidRDefault="00480133" w:rsidP="00DB528E">
            <w:pPr>
              <w:ind w:left="-113" w:right="-103"/>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1.0957</w:t>
            </w:r>
          </w:p>
        </w:tc>
        <w:tc>
          <w:tcPr>
            <w:tcW w:w="709" w:type="dxa"/>
          </w:tcPr>
          <w:p w14:paraId="306ABB29" w14:textId="77777777" w:rsidR="00480133" w:rsidRPr="005379A1" w:rsidRDefault="00480133" w:rsidP="00DB528E">
            <w:pPr>
              <w:ind w:right="-108"/>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1.0628</w:t>
            </w:r>
          </w:p>
        </w:tc>
        <w:tc>
          <w:tcPr>
            <w:tcW w:w="709" w:type="dxa"/>
          </w:tcPr>
          <w:p w14:paraId="099AF442" w14:textId="77777777" w:rsidR="00480133" w:rsidRPr="005379A1" w:rsidRDefault="00480133" w:rsidP="00DB528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1.0309</w:t>
            </w:r>
          </w:p>
        </w:tc>
        <w:tc>
          <w:tcPr>
            <w:tcW w:w="709" w:type="dxa"/>
          </w:tcPr>
          <w:p w14:paraId="18992BB8" w14:textId="77777777" w:rsidR="00480133" w:rsidRPr="005379A1" w:rsidRDefault="00480133" w:rsidP="00DB528E">
            <w:pPr>
              <w:jc w:val="center"/>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1.0000</w:t>
            </w:r>
          </w:p>
        </w:tc>
      </w:tr>
    </w:tbl>
    <w:p w14:paraId="47453177" w14:textId="77777777" w:rsidR="001C6AEE" w:rsidRPr="005379A1" w:rsidRDefault="001C6AEE" w:rsidP="00480133">
      <w:pPr>
        <w:ind w:left="567" w:right="527"/>
        <w:jc w:val="both"/>
        <w:rPr>
          <w:rFonts w:ascii="ITC Avant Garde" w:eastAsia="Calibri" w:hAnsi="ITC Avant Garde"/>
          <w:bCs/>
          <w:color w:val="000000"/>
          <w:sz w:val="20"/>
          <w:lang w:eastAsia="es-MX"/>
        </w:rPr>
      </w:pPr>
    </w:p>
    <w:p w14:paraId="1E225F88" w14:textId="77777777" w:rsidR="001C6AEE" w:rsidRPr="005379A1" w:rsidRDefault="00480133" w:rsidP="00480133">
      <w:pPr>
        <w:ind w:left="709" w:right="527"/>
        <w:jc w:val="both"/>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En el caso de que el importe de los montos a restar sea mayor que el aprovechamiento autorizado, no procederá devolución ni compensación alguna.</w:t>
      </w:r>
    </w:p>
    <w:p w14:paraId="4A0B221C" w14:textId="77777777" w:rsidR="001C6AEE" w:rsidRPr="005379A1" w:rsidRDefault="00480133" w:rsidP="00480133">
      <w:pPr>
        <w:ind w:left="709" w:right="528"/>
        <w:jc w:val="both"/>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El pago del aprovechamiento por prórroga deberá realizarse previo a la entrega de los títulos de concesión mediante la clave de entero que corresponda.</w:t>
      </w:r>
    </w:p>
    <w:p w14:paraId="2FAAC09A" w14:textId="77777777" w:rsidR="001C6AEE" w:rsidRPr="005379A1" w:rsidRDefault="00480133" w:rsidP="00480133">
      <w:pPr>
        <w:ind w:left="709" w:right="528"/>
        <w:jc w:val="both"/>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w:t>
      </w:r>
    </w:p>
    <w:p w14:paraId="063D0BF7" w14:textId="77777777" w:rsidR="001C6AEE" w:rsidRPr="005379A1" w:rsidRDefault="00480133" w:rsidP="00480133">
      <w:pPr>
        <w:ind w:left="709" w:right="528"/>
        <w:jc w:val="both"/>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La obligación de pagar el monto del aprovechamiento autorizado en el presente oficio deberá establecerse en los nuevos títulos de concesión que se emitan en virtud del otorgamiento de la prórroga de concesión, incorporando los montos del aprovechamiento a pagar.</w:t>
      </w:r>
    </w:p>
    <w:p w14:paraId="0BF8A2CC" w14:textId="77777777" w:rsidR="001C6AEE" w:rsidRPr="005379A1" w:rsidRDefault="00480133" w:rsidP="00480133">
      <w:pPr>
        <w:ind w:left="709" w:right="528"/>
        <w:jc w:val="both"/>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El pago de aprovechamiento autorizado en el presente oficio debe realizarse sin menoscabo de la obligación de pagar los derechos establecidos en el artículo 244-F de la LFD por el uso, goce, aprovechamiento o explotación del espectro radioeléctrico, a partir de la entrega de las prórrogas de los títulos de concesión.</w:t>
      </w:r>
    </w:p>
    <w:p w14:paraId="39B111C0" w14:textId="77777777" w:rsidR="001C6AEE" w:rsidRPr="005379A1" w:rsidRDefault="00480133" w:rsidP="005379A1">
      <w:pPr>
        <w:spacing w:after="240"/>
        <w:ind w:left="709" w:right="528"/>
        <w:jc w:val="both"/>
        <w:rPr>
          <w:rFonts w:ascii="ITC Avant Garde" w:eastAsia="Calibri" w:hAnsi="ITC Avant Garde"/>
          <w:bCs/>
          <w:color w:val="000000"/>
          <w:sz w:val="16"/>
          <w:szCs w:val="16"/>
          <w:lang w:eastAsia="es-MX"/>
        </w:rPr>
      </w:pPr>
      <w:r w:rsidRPr="005379A1">
        <w:rPr>
          <w:rFonts w:ascii="ITC Avant Garde" w:eastAsia="Calibri" w:hAnsi="ITC Avant Garde"/>
          <w:bCs/>
          <w:color w:val="000000"/>
          <w:sz w:val="16"/>
          <w:szCs w:val="16"/>
          <w:lang w:eastAsia="es-MX"/>
        </w:rPr>
        <w:t>[…]”</w:t>
      </w:r>
    </w:p>
    <w:p w14:paraId="3DA81FFA" w14:textId="5C8A1E16" w:rsidR="00CF682F" w:rsidRPr="005379A1" w:rsidRDefault="00CF682F" w:rsidP="005379A1">
      <w:pPr>
        <w:autoSpaceDE w:val="0"/>
        <w:autoSpaceDN w:val="0"/>
        <w:adjustRightInd w:val="0"/>
        <w:spacing w:after="240"/>
        <w:jc w:val="both"/>
        <w:rPr>
          <w:rFonts w:ascii="ITC Avant Garde" w:hAnsi="ITC Avant Garde"/>
          <w:bCs/>
          <w:color w:val="000000"/>
          <w:sz w:val="22"/>
          <w:szCs w:val="22"/>
          <w:lang w:val="es-ES" w:eastAsia="es-MX"/>
        </w:rPr>
      </w:pPr>
      <w:r w:rsidRPr="005379A1">
        <w:rPr>
          <w:rFonts w:ascii="ITC Avant Garde" w:hAnsi="ITC Avant Garde"/>
          <w:bCs/>
          <w:sz w:val="22"/>
          <w:szCs w:val="22"/>
        </w:rPr>
        <w:t xml:space="preserve">Ahora bien, mediante oficio IFT/222/UER/DG-EERO/008/2016 de fecha 11 de enero de 2016, la Unidad de Espectro Radioeléctrico, a través de la Dirección General de Economía del Espectro y Recursos Orbitales, remitió la actualización </w:t>
      </w:r>
      <w:r w:rsidRPr="005379A1">
        <w:rPr>
          <w:rFonts w:ascii="ITC Avant Garde" w:hAnsi="ITC Avant Garde"/>
          <w:bCs/>
          <w:color w:val="000000"/>
          <w:sz w:val="22"/>
          <w:szCs w:val="22"/>
          <w:lang w:val="es-ES" w:eastAsia="es-MX"/>
        </w:rPr>
        <w:t xml:space="preserve">de los </w:t>
      </w:r>
      <w:r w:rsidRPr="005379A1">
        <w:rPr>
          <w:rFonts w:ascii="ITC Avant Garde" w:hAnsi="ITC Avant Garde"/>
          <w:bCs/>
          <w:color w:val="000000"/>
          <w:sz w:val="22"/>
          <w:szCs w:val="22"/>
          <w:lang w:val="es-ES" w:eastAsia="es-MX"/>
        </w:rPr>
        <w:lastRenderedPageBreak/>
        <w:t>aprovechamientos autorizados por la Secretaría de Hacienda y Crédito Público, al mes de enero de 2016, que corresponden a Intercomunicación del Pacífico, S.A. de C.V., mismo que se transcribe a continuación:</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mporte de aprovechamiento"/>
        <w:tblDescription w:val="La tabla proporciona el monto del aprovechamiento conforme a la banda de frecuencia. "/>
      </w:tblPr>
      <w:tblGrid>
        <w:gridCol w:w="581"/>
        <w:gridCol w:w="3507"/>
        <w:gridCol w:w="2375"/>
        <w:gridCol w:w="2882"/>
      </w:tblGrid>
      <w:tr w:rsidR="00E07DEE" w:rsidRPr="005379A1" w14:paraId="29A3FD89" w14:textId="77777777" w:rsidTr="005379A1">
        <w:trPr>
          <w:tblHeader/>
          <w:jc w:val="center"/>
        </w:trPr>
        <w:tc>
          <w:tcPr>
            <w:tcW w:w="581" w:type="dxa"/>
            <w:shd w:val="clear" w:color="auto" w:fill="BFBFBF" w:themeFill="background1" w:themeFillShade="BF"/>
            <w:vAlign w:val="center"/>
          </w:tcPr>
          <w:p w14:paraId="0D2054C5" w14:textId="77777777" w:rsidR="00E07DEE" w:rsidRPr="005379A1" w:rsidRDefault="00E07DEE" w:rsidP="001C6AEE">
            <w:pPr>
              <w:autoSpaceDE w:val="0"/>
              <w:autoSpaceDN w:val="0"/>
              <w:adjustRightInd w:val="0"/>
              <w:jc w:val="center"/>
              <w:rPr>
                <w:rFonts w:ascii="ITC Avant Garde" w:eastAsia="Calibri" w:hAnsi="ITC Avant Garde"/>
                <w:b/>
                <w:bCs/>
                <w:color w:val="000000"/>
                <w:sz w:val="18"/>
                <w:szCs w:val="18"/>
                <w:lang w:eastAsia="es-MX"/>
              </w:rPr>
            </w:pPr>
            <w:r w:rsidRPr="005379A1">
              <w:rPr>
                <w:rFonts w:ascii="ITC Avant Garde" w:eastAsia="Calibri" w:hAnsi="ITC Avant Garde"/>
                <w:b/>
                <w:bCs/>
                <w:color w:val="000000"/>
                <w:sz w:val="18"/>
                <w:szCs w:val="18"/>
                <w:lang w:eastAsia="es-MX"/>
              </w:rPr>
              <w:t>No.</w:t>
            </w:r>
          </w:p>
        </w:tc>
        <w:tc>
          <w:tcPr>
            <w:tcW w:w="3507" w:type="dxa"/>
            <w:shd w:val="clear" w:color="auto" w:fill="BFBFBF" w:themeFill="background1" w:themeFillShade="BF"/>
            <w:vAlign w:val="center"/>
          </w:tcPr>
          <w:p w14:paraId="2C60C044" w14:textId="77777777" w:rsidR="00E07DEE" w:rsidRPr="005379A1" w:rsidRDefault="00E07DEE" w:rsidP="001C6AEE">
            <w:pPr>
              <w:autoSpaceDE w:val="0"/>
              <w:autoSpaceDN w:val="0"/>
              <w:adjustRightInd w:val="0"/>
              <w:jc w:val="center"/>
              <w:rPr>
                <w:rFonts w:ascii="ITC Avant Garde" w:eastAsia="Calibri" w:hAnsi="ITC Avant Garde"/>
                <w:b/>
                <w:bCs/>
                <w:color w:val="000000"/>
                <w:sz w:val="18"/>
                <w:szCs w:val="18"/>
                <w:lang w:eastAsia="es-MX"/>
              </w:rPr>
            </w:pPr>
            <w:r w:rsidRPr="005379A1">
              <w:rPr>
                <w:rFonts w:ascii="ITC Avant Garde" w:eastAsia="Calibri" w:hAnsi="ITC Avant Garde"/>
                <w:b/>
                <w:bCs/>
                <w:color w:val="000000"/>
                <w:sz w:val="18"/>
                <w:szCs w:val="18"/>
                <w:lang w:eastAsia="es-MX"/>
              </w:rPr>
              <w:t>Nombre del Concesionario</w:t>
            </w:r>
          </w:p>
        </w:tc>
        <w:tc>
          <w:tcPr>
            <w:tcW w:w="2375" w:type="dxa"/>
            <w:shd w:val="clear" w:color="auto" w:fill="BFBFBF" w:themeFill="background1" w:themeFillShade="BF"/>
            <w:vAlign w:val="center"/>
          </w:tcPr>
          <w:p w14:paraId="16BCBB1C" w14:textId="77777777" w:rsidR="00E07DEE" w:rsidRPr="005379A1" w:rsidRDefault="00E07DEE" w:rsidP="001C6AEE">
            <w:pPr>
              <w:autoSpaceDE w:val="0"/>
              <w:autoSpaceDN w:val="0"/>
              <w:adjustRightInd w:val="0"/>
              <w:jc w:val="center"/>
              <w:rPr>
                <w:rFonts w:ascii="ITC Avant Garde" w:eastAsia="Calibri" w:hAnsi="ITC Avant Garde"/>
                <w:b/>
                <w:bCs/>
                <w:color w:val="000000"/>
                <w:sz w:val="18"/>
                <w:szCs w:val="18"/>
                <w:lang w:eastAsia="es-MX"/>
              </w:rPr>
            </w:pPr>
            <w:r w:rsidRPr="005379A1">
              <w:rPr>
                <w:rFonts w:ascii="ITC Avant Garde" w:eastAsia="Calibri" w:hAnsi="ITC Avant Garde"/>
                <w:b/>
                <w:bCs/>
                <w:color w:val="000000"/>
                <w:sz w:val="18"/>
                <w:szCs w:val="18"/>
                <w:lang w:eastAsia="es-MX"/>
              </w:rPr>
              <w:t>Banda de Frecuencias (reubicación)</w:t>
            </w:r>
          </w:p>
        </w:tc>
        <w:tc>
          <w:tcPr>
            <w:tcW w:w="2882" w:type="dxa"/>
            <w:shd w:val="clear" w:color="auto" w:fill="BFBFBF" w:themeFill="background1" w:themeFillShade="BF"/>
            <w:vAlign w:val="center"/>
          </w:tcPr>
          <w:p w14:paraId="6162E2CF" w14:textId="77777777" w:rsidR="00E07DEE" w:rsidRPr="005379A1" w:rsidRDefault="00E07DEE" w:rsidP="001C6AEE">
            <w:pPr>
              <w:autoSpaceDE w:val="0"/>
              <w:autoSpaceDN w:val="0"/>
              <w:adjustRightInd w:val="0"/>
              <w:jc w:val="center"/>
              <w:rPr>
                <w:rFonts w:ascii="ITC Avant Garde" w:eastAsia="Calibri" w:hAnsi="ITC Avant Garde"/>
                <w:b/>
                <w:bCs/>
                <w:color w:val="000000"/>
                <w:sz w:val="18"/>
                <w:szCs w:val="18"/>
                <w:lang w:eastAsia="es-MX"/>
              </w:rPr>
            </w:pPr>
            <w:r w:rsidRPr="005379A1">
              <w:rPr>
                <w:rFonts w:ascii="ITC Avant Garde" w:eastAsia="Calibri" w:hAnsi="ITC Avant Garde"/>
                <w:b/>
                <w:bCs/>
                <w:color w:val="000000"/>
                <w:sz w:val="18"/>
                <w:szCs w:val="18"/>
                <w:lang w:eastAsia="es-MX"/>
              </w:rPr>
              <w:t>Importe del Aprovechamiento inicial (pesos)</w:t>
            </w:r>
          </w:p>
        </w:tc>
      </w:tr>
      <w:tr w:rsidR="00E07DEE" w:rsidRPr="005379A1" w14:paraId="3C344722" w14:textId="77777777" w:rsidTr="005379A1">
        <w:trPr>
          <w:jc w:val="center"/>
        </w:trPr>
        <w:tc>
          <w:tcPr>
            <w:tcW w:w="581" w:type="dxa"/>
          </w:tcPr>
          <w:p w14:paraId="18341280" w14:textId="41972E20" w:rsidR="00E07DEE" w:rsidRPr="005379A1" w:rsidRDefault="00E07DEE" w:rsidP="00E07DEE">
            <w:pPr>
              <w:autoSpaceDE w:val="0"/>
              <w:autoSpaceDN w:val="0"/>
              <w:adjustRightInd w:val="0"/>
              <w:jc w:val="center"/>
              <w:rPr>
                <w:rFonts w:ascii="ITC Avant Garde" w:eastAsia="Calibri" w:hAnsi="ITC Avant Garde"/>
                <w:b/>
                <w:bCs/>
                <w:color w:val="000000"/>
                <w:sz w:val="18"/>
                <w:szCs w:val="18"/>
                <w:lang w:eastAsia="es-MX"/>
              </w:rPr>
            </w:pPr>
            <w:r w:rsidRPr="005379A1">
              <w:rPr>
                <w:rFonts w:ascii="ITC Avant Garde" w:eastAsia="Calibri" w:hAnsi="ITC Avant Garde"/>
                <w:bCs/>
                <w:color w:val="000000"/>
                <w:sz w:val="18"/>
                <w:szCs w:val="18"/>
                <w:lang w:eastAsia="es-MX"/>
              </w:rPr>
              <w:t>[…]</w:t>
            </w:r>
          </w:p>
        </w:tc>
        <w:tc>
          <w:tcPr>
            <w:tcW w:w="3507" w:type="dxa"/>
          </w:tcPr>
          <w:p w14:paraId="20B67D96" w14:textId="5FD15744" w:rsidR="00E07DEE" w:rsidRPr="005379A1" w:rsidRDefault="00E07DEE" w:rsidP="00E07DEE">
            <w:pPr>
              <w:autoSpaceDE w:val="0"/>
              <w:autoSpaceDN w:val="0"/>
              <w:adjustRightInd w:val="0"/>
              <w:rPr>
                <w:rFonts w:ascii="ITC Avant Garde" w:eastAsia="Calibri" w:hAnsi="ITC Avant Garde"/>
                <w:b/>
                <w:bCs/>
                <w:color w:val="000000"/>
                <w:sz w:val="18"/>
                <w:szCs w:val="18"/>
                <w:lang w:eastAsia="es-MX"/>
              </w:rPr>
            </w:pPr>
            <w:r w:rsidRPr="005379A1">
              <w:rPr>
                <w:rFonts w:ascii="ITC Avant Garde" w:eastAsia="Calibri" w:hAnsi="ITC Avant Garde"/>
                <w:bCs/>
                <w:color w:val="000000"/>
                <w:sz w:val="18"/>
                <w:szCs w:val="18"/>
                <w:lang w:eastAsia="es-MX"/>
              </w:rPr>
              <w:t>[…]</w:t>
            </w:r>
          </w:p>
        </w:tc>
        <w:tc>
          <w:tcPr>
            <w:tcW w:w="2375" w:type="dxa"/>
          </w:tcPr>
          <w:p w14:paraId="13FCA91B" w14:textId="7D0DBD24" w:rsidR="00E07DEE" w:rsidRPr="005379A1" w:rsidRDefault="00E07DEE" w:rsidP="00E07DEE">
            <w:pPr>
              <w:autoSpaceDE w:val="0"/>
              <w:autoSpaceDN w:val="0"/>
              <w:adjustRightInd w:val="0"/>
              <w:rPr>
                <w:rFonts w:ascii="ITC Avant Garde" w:eastAsia="Calibri" w:hAnsi="ITC Avant Garde"/>
                <w:b/>
                <w:bCs/>
                <w:color w:val="000000"/>
                <w:sz w:val="18"/>
                <w:szCs w:val="18"/>
                <w:lang w:eastAsia="es-MX"/>
              </w:rPr>
            </w:pPr>
            <w:r w:rsidRPr="005379A1">
              <w:rPr>
                <w:rFonts w:ascii="ITC Avant Garde" w:eastAsia="Calibri" w:hAnsi="ITC Avant Garde"/>
                <w:bCs/>
                <w:color w:val="000000"/>
                <w:sz w:val="18"/>
                <w:szCs w:val="18"/>
                <w:lang w:eastAsia="es-MX"/>
              </w:rPr>
              <w:t>[…]</w:t>
            </w:r>
          </w:p>
        </w:tc>
        <w:tc>
          <w:tcPr>
            <w:tcW w:w="2882" w:type="dxa"/>
          </w:tcPr>
          <w:p w14:paraId="5EF01A78" w14:textId="131E0E6F" w:rsidR="00E07DEE" w:rsidRPr="005379A1" w:rsidRDefault="00E07DEE" w:rsidP="00E07DEE">
            <w:pPr>
              <w:autoSpaceDE w:val="0"/>
              <w:autoSpaceDN w:val="0"/>
              <w:adjustRightInd w:val="0"/>
              <w:rPr>
                <w:rFonts w:ascii="ITC Avant Garde" w:eastAsia="Calibri" w:hAnsi="ITC Avant Garde"/>
                <w:b/>
                <w:bCs/>
                <w:color w:val="000000"/>
                <w:sz w:val="18"/>
                <w:szCs w:val="18"/>
                <w:lang w:eastAsia="es-MX"/>
              </w:rPr>
            </w:pPr>
            <w:r w:rsidRPr="005379A1">
              <w:rPr>
                <w:rFonts w:ascii="ITC Avant Garde" w:eastAsia="Calibri" w:hAnsi="ITC Avant Garde"/>
                <w:bCs/>
                <w:color w:val="000000"/>
                <w:sz w:val="18"/>
                <w:szCs w:val="18"/>
                <w:lang w:eastAsia="es-MX"/>
              </w:rPr>
              <w:t>[…]</w:t>
            </w:r>
          </w:p>
        </w:tc>
      </w:tr>
      <w:tr w:rsidR="00E07DEE" w:rsidRPr="005379A1" w14:paraId="1BD089A7" w14:textId="77777777" w:rsidTr="005379A1">
        <w:trPr>
          <w:jc w:val="center"/>
        </w:trPr>
        <w:tc>
          <w:tcPr>
            <w:tcW w:w="581" w:type="dxa"/>
          </w:tcPr>
          <w:p w14:paraId="13423E8C" w14:textId="77777777" w:rsidR="00E07DEE" w:rsidRPr="005379A1" w:rsidRDefault="00E07DEE" w:rsidP="00E07DEE">
            <w:pPr>
              <w:autoSpaceDE w:val="0"/>
              <w:autoSpaceDN w:val="0"/>
              <w:adjustRightInd w:val="0"/>
              <w:jc w:val="both"/>
              <w:rPr>
                <w:rFonts w:ascii="ITC Avant Garde" w:eastAsia="Calibri" w:hAnsi="ITC Avant Garde"/>
                <w:bCs/>
                <w:color w:val="000000"/>
                <w:sz w:val="18"/>
                <w:szCs w:val="18"/>
                <w:lang w:eastAsia="es-MX"/>
              </w:rPr>
            </w:pPr>
            <w:r w:rsidRPr="005379A1">
              <w:rPr>
                <w:rFonts w:ascii="ITC Avant Garde" w:eastAsia="Calibri" w:hAnsi="ITC Avant Garde"/>
                <w:bCs/>
                <w:color w:val="000000"/>
                <w:sz w:val="18"/>
                <w:szCs w:val="18"/>
                <w:lang w:eastAsia="es-MX"/>
              </w:rPr>
              <w:t>1</w:t>
            </w:r>
          </w:p>
        </w:tc>
        <w:tc>
          <w:tcPr>
            <w:tcW w:w="3507" w:type="dxa"/>
          </w:tcPr>
          <w:p w14:paraId="6F66492A" w14:textId="112B056D" w:rsidR="00E07DEE" w:rsidRPr="005379A1" w:rsidRDefault="00E07DEE" w:rsidP="00E07DEE">
            <w:pPr>
              <w:autoSpaceDE w:val="0"/>
              <w:autoSpaceDN w:val="0"/>
              <w:adjustRightInd w:val="0"/>
              <w:jc w:val="both"/>
              <w:rPr>
                <w:rFonts w:ascii="ITC Avant Garde" w:eastAsia="Calibri" w:hAnsi="ITC Avant Garde"/>
                <w:bCs/>
                <w:color w:val="000000"/>
                <w:sz w:val="18"/>
                <w:szCs w:val="18"/>
                <w:lang w:eastAsia="es-MX"/>
              </w:rPr>
            </w:pPr>
            <w:r w:rsidRPr="005379A1">
              <w:rPr>
                <w:rFonts w:ascii="ITC Avant Garde" w:eastAsia="Calibri" w:hAnsi="ITC Avant Garde"/>
                <w:bCs/>
                <w:color w:val="000000"/>
                <w:sz w:val="18"/>
                <w:szCs w:val="18"/>
                <w:lang w:eastAsia="es-MX"/>
              </w:rPr>
              <w:t>Intercomunicación del Pacífico, S.A. de C.V.</w:t>
            </w:r>
          </w:p>
        </w:tc>
        <w:tc>
          <w:tcPr>
            <w:tcW w:w="2375" w:type="dxa"/>
          </w:tcPr>
          <w:p w14:paraId="4211B4F6" w14:textId="77777777" w:rsidR="00E07DEE" w:rsidRPr="005379A1" w:rsidRDefault="00E07DEE" w:rsidP="00E07DEE">
            <w:pPr>
              <w:autoSpaceDE w:val="0"/>
              <w:autoSpaceDN w:val="0"/>
              <w:adjustRightInd w:val="0"/>
              <w:jc w:val="both"/>
              <w:rPr>
                <w:rFonts w:ascii="ITC Avant Garde" w:eastAsia="Calibri" w:hAnsi="ITC Avant Garde"/>
                <w:bCs/>
                <w:color w:val="000000"/>
                <w:sz w:val="18"/>
                <w:szCs w:val="18"/>
                <w:lang w:eastAsia="es-MX"/>
              </w:rPr>
            </w:pPr>
            <w:r w:rsidRPr="005379A1">
              <w:rPr>
                <w:rFonts w:ascii="ITC Avant Garde" w:eastAsia="Calibri" w:hAnsi="ITC Avant Garde"/>
                <w:bCs/>
                <w:color w:val="000000"/>
                <w:sz w:val="18"/>
                <w:szCs w:val="18"/>
                <w:lang w:eastAsia="es-MX"/>
              </w:rPr>
              <w:t>410-430 MHz</w:t>
            </w:r>
          </w:p>
        </w:tc>
        <w:tc>
          <w:tcPr>
            <w:tcW w:w="2882" w:type="dxa"/>
          </w:tcPr>
          <w:p w14:paraId="3C582001" w14:textId="3DC5ACED" w:rsidR="00E07DEE" w:rsidRPr="005379A1" w:rsidRDefault="00E07DEE" w:rsidP="00E07DEE">
            <w:pPr>
              <w:autoSpaceDE w:val="0"/>
              <w:autoSpaceDN w:val="0"/>
              <w:adjustRightInd w:val="0"/>
              <w:jc w:val="both"/>
              <w:rPr>
                <w:rFonts w:ascii="ITC Avant Garde" w:eastAsia="Calibri" w:hAnsi="ITC Avant Garde"/>
                <w:bCs/>
                <w:color w:val="000000"/>
                <w:sz w:val="18"/>
                <w:szCs w:val="18"/>
                <w:lang w:eastAsia="es-MX"/>
              </w:rPr>
            </w:pPr>
            <w:r w:rsidRPr="005379A1">
              <w:rPr>
                <w:rFonts w:ascii="ITC Avant Garde" w:eastAsia="Calibri" w:hAnsi="ITC Avant Garde"/>
                <w:bCs/>
                <w:color w:val="000000"/>
                <w:sz w:val="18"/>
                <w:szCs w:val="18"/>
                <w:lang w:eastAsia="es-MX"/>
              </w:rPr>
              <w:t>11,476,202</w:t>
            </w:r>
          </w:p>
        </w:tc>
      </w:tr>
      <w:tr w:rsidR="00E07DEE" w:rsidRPr="005379A1" w14:paraId="4A41CA75" w14:textId="77777777" w:rsidTr="005379A1">
        <w:trPr>
          <w:jc w:val="center"/>
        </w:trPr>
        <w:tc>
          <w:tcPr>
            <w:tcW w:w="581" w:type="dxa"/>
          </w:tcPr>
          <w:p w14:paraId="2A3D837E" w14:textId="77777777" w:rsidR="00E07DEE" w:rsidRPr="005379A1" w:rsidRDefault="00E07DEE" w:rsidP="00E07DEE">
            <w:pPr>
              <w:autoSpaceDE w:val="0"/>
              <w:autoSpaceDN w:val="0"/>
              <w:adjustRightInd w:val="0"/>
              <w:jc w:val="both"/>
              <w:rPr>
                <w:rFonts w:ascii="ITC Avant Garde" w:eastAsia="Calibri" w:hAnsi="ITC Avant Garde"/>
                <w:bCs/>
                <w:color w:val="000000"/>
                <w:sz w:val="18"/>
                <w:szCs w:val="18"/>
                <w:lang w:eastAsia="es-MX"/>
              </w:rPr>
            </w:pPr>
            <w:r w:rsidRPr="005379A1">
              <w:rPr>
                <w:rFonts w:ascii="ITC Avant Garde" w:eastAsia="Calibri" w:hAnsi="ITC Avant Garde"/>
                <w:bCs/>
                <w:color w:val="000000"/>
                <w:sz w:val="18"/>
                <w:szCs w:val="18"/>
                <w:lang w:eastAsia="es-MX"/>
              </w:rPr>
              <w:t>[…]</w:t>
            </w:r>
          </w:p>
        </w:tc>
        <w:tc>
          <w:tcPr>
            <w:tcW w:w="3507" w:type="dxa"/>
          </w:tcPr>
          <w:p w14:paraId="14EA389E" w14:textId="77777777" w:rsidR="00E07DEE" w:rsidRPr="005379A1" w:rsidRDefault="00E07DEE" w:rsidP="00E07DEE">
            <w:pPr>
              <w:autoSpaceDE w:val="0"/>
              <w:autoSpaceDN w:val="0"/>
              <w:adjustRightInd w:val="0"/>
              <w:jc w:val="both"/>
              <w:rPr>
                <w:rFonts w:ascii="ITC Avant Garde" w:eastAsia="Calibri" w:hAnsi="ITC Avant Garde"/>
                <w:bCs/>
                <w:color w:val="000000"/>
                <w:sz w:val="18"/>
                <w:szCs w:val="18"/>
                <w:lang w:eastAsia="es-MX"/>
              </w:rPr>
            </w:pPr>
            <w:r w:rsidRPr="005379A1">
              <w:rPr>
                <w:rFonts w:ascii="ITC Avant Garde" w:eastAsia="Calibri" w:hAnsi="ITC Avant Garde"/>
                <w:bCs/>
                <w:color w:val="000000"/>
                <w:sz w:val="18"/>
                <w:szCs w:val="18"/>
                <w:lang w:eastAsia="es-MX"/>
              </w:rPr>
              <w:t>[…]</w:t>
            </w:r>
          </w:p>
        </w:tc>
        <w:tc>
          <w:tcPr>
            <w:tcW w:w="2375" w:type="dxa"/>
          </w:tcPr>
          <w:p w14:paraId="788AAF94" w14:textId="77777777" w:rsidR="00E07DEE" w:rsidRPr="005379A1" w:rsidRDefault="00E07DEE" w:rsidP="00E07DEE">
            <w:pPr>
              <w:autoSpaceDE w:val="0"/>
              <w:autoSpaceDN w:val="0"/>
              <w:adjustRightInd w:val="0"/>
              <w:jc w:val="both"/>
              <w:rPr>
                <w:rFonts w:ascii="ITC Avant Garde" w:eastAsia="Calibri" w:hAnsi="ITC Avant Garde"/>
                <w:bCs/>
                <w:color w:val="000000"/>
                <w:sz w:val="18"/>
                <w:szCs w:val="18"/>
                <w:lang w:eastAsia="es-MX"/>
              </w:rPr>
            </w:pPr>
            <w:r w:rsidRPr="005379A1">
              <w:rPr>
                <w:rFonts w:ascii="ITC Avant Garde" w:eastAsia="Calibri" w:hAnsi="ITC Avant Garde"/>
                <w:bCs/>
                <w:color w:val="000000"/>
                <w:sz w:val="18"/>
                <w:szCs w:val="18"/>
                <w:lang w:eastAsia="es-MX"/>
              </w:rPr>
              <w:t>[…]</w:t>
            </w:r>
          </w:p>
        </w:tc>
        <w:tc>
          <w:tcPr>
            <w:tcW w:w="2882" w:type="dxa"/>
          </w:tcPr>
          <w:p w14:paraId="7B7ECB14" w14:textId="77777777" w:rsidR="00E07DEE" w:rsidRPr="005379A1" w:rsidRDefault="00E07DEE" w:rsidP="00E07DEE">
            <w:pPr>
              <w:autoSpaceDE w:val="0"/>
              <w:autoSpaceDN w:val="0"/>
              <w:adjustRightInd w:val="0"/>
              <w:jc w:val="both"/>
              <w:rPr>
                <w:rFonts w:ascii="ITC Avant Garde" w:eastAsia="Calibri" w:hAnsi="ITC Avant Garde"/>
                <w:bCs/>
                <w:color w:val="000000"/>
                <w:sz w:val="18"/>
                <w:szCs w:val="18"/>
                <w:lang w:eastAsia="es-MX"/>
              </w:rPr>
            </w:pPr>
            <w:r w:rsidRPr="005379A1">
              <w:rPr>
                <w:rFonts w:ascii="ITC Avant Garde" w:eastAsia="Calibri" w:hAnsi="ITC Avant Garde"/>
                <w:bCs/>
                <w:color w:val="000000"/>
                <w:sz w:val="18"/>
                <w:szCs w:val="18"/>
                <w:lang w:eastAsia="es-MX"/>
              </w:rPr>
              <w:t>[…]</w:t>
            </w:r>
          </w:p>
        </w:tc>
      </w:tr>
    </w:tbl>
    <w:p w14:paraId="0DA06B06" w14:textId="77777777" w:rsidR="00FC353D" w:rsidRPr="005379A1" w:rsidRDefault="00FC353D" w:rsidP="005379A1">
      <w:pPr>
        <w:spacing w:after="240"/>
        <w:jc w:val="both"/>
        <w:rPr>
          <w:rFonts w:ascii="ITC Avant Garde" w:eastAsia="Calibri" w:hAnsi="ITC Avant Garde"/>
          <w:bCs/>
          <w:color w:val="000000"/>
          <w:sz w:val="22"/>
          <w:szCs w:val="22"/>
          <w:lang w:eastAsia="es-MX"/>
        </w:rPr>
      </w:pPr>
    </w:p>
    <w:p w14:paraId="5C38C579" w14:textId="77777777" w:rsidR="001C6AEE" w:rsidRPr="005379A1" w:rsidRDefault="00CF682F" w:rsidP="005379A1">
      <w:pPr>
        <w:spacing w:after="240"/>
        <w:jc w:val="both"/>
        <w:rPr>
          <w:rFonts w:ascii="ITC Avant Garde" w:hAnsi="ITC Avant Garde"/>
          <w:bCs/>
          <w:sz w:val="22"/>
          <w:szCs w:val="22"/>
        </w:rPr>
      </w:pPr>
      <w:r w:rsidRPr="005379A1">
        <w:rPr>
          <w:rFonts w:ascii="ITC Avant Garde" w:hAnsi="ITC Avant Garde"/>
          <w:bCs/>
          <w:sz w:val="22"/>
          <w:szCs w:val="22"/>
        </w:rPr>
        <w:t xml:space="preserve">Por lo anteriormente señalado y con fundamento en los artículos 6o. Apartado B fracción II y 28 párrafos décimo quinto, décimo sexto, décimo séptimo y 134 de la Constitución Política de los Estados Unidos Mexicanos; </w:t>
      </w:r>
      <w:r w:rsidR="00182F02" w:rsidRPr="005379A1">
        <w:rPr>
          <w:rFonts w:ascii="ITC Avant Garde" w:hAnsi="ITC Avant Garde"/>
          <w:bCs/>
          <w:sz w:val="22"/>
          <w:szCs w:val="22"/>
        </w:rPr>
        <w:t xml:space="preserve">Cuarto y </w:t>
      </w:r>
      <w:r w:rsidRPr="005379A1">
        <w:rPr>
          <w:rFonts w:ascii="ITC Avant Garde" w:hAnsi="ITC Avant Garde"/>
          <w:bCs/>
          <w:sz w:val="22"/>
          <w:szCs w:val="22"/>
        </w:rPr>
        <w:t>Séptimo Transitorio</w:t>
      </w:r>
      <w:r w:rsidR="00182F02" w:rsidRPr="005379A1">
        <w:rPr>
          <w:rFonts w:ascii="ITC Avant Garde" w:hAnsi="ITC Avant Garde"/>
          <w:bCs/>
          <w:sz w:val="22"/>
          <w:szCs w:val="22"/>
        </w:rPr>
        <w:t>s</w:t>
      </w:r>
      <w:r w:rsidRPr="005379A1">
        <w:rPr>
          <w:rFonts w:ascii="ITC Avant Garde" w:hAnsi="ITC Avant Garde"/>
          <w:bCs/>
          <w:sz w:val="22"/>
          <w:szCs w:val="22"/>
        </w:rPr>
        <w:t xml:space="preserve">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Sexto</w:t>
      </w:r>
      <w:r w:rsidR="00C91B39" w:rsidRPr="005379A1">
        <w:rPr>
          <w:rFonts w:ascii="ITC Avant Garde" w:hAnsi="ITC Avant Garde"/>
          <w:bCs/>
          <w:sz w:val="22"/>
          <w:szCs w:val="22"/>
        </w:rPr>
        <w:t>, Décimo y Décimo Primero</w:t>
      </w:r>
      <w:r w:rsidRPr="005379A1">
        <w:rPr>
          <w:rFonts w:ascii="ITC Avant Garde" w:hAnsi="ITC Avant Garde"/>
          <w:bCs/>
          <w:sz w:val="22"/>
          <w:szCs w:val="22"/>
        </w:rPr>
        <w:t xml:space="preserve"> Transitorio</w:t>
      </w:r>
      <w:r w:rsidR="00C91B39" w:rsidRPr="005379A1">
        <w:rPr>
          <w:rFonts w:ascii="ITC Avant Garde" w:hAnsi="ITC Avant Garde"/>
          <w:bCs/>
          <w:sz w:val="22"/>
          <w:szCs w:val="22"/>
        </w:rPr>
        <w:t>s</w:t>
      </w:r>
      <w:r w:rsidRPr="005379A1">
        <w:rPr>
          <w:rFonts w:ascii="ITC Avant Garde" w:hAnsi="ITC Avant Garde"/>
          <w:bCs/>
          <w:sz w:val="22"/>
          <w:szCs w:val="22"/>
        </w:rPr>
        <w:t xml:space="preserve"> del </w:t>
      </w:r>
      <w:r w:rsidRPr="005379A1">
        <w:rPr>
          <w:rFonts w:ascii="ITC Avant Garde" w:hAnsi="ITC Avant Garde"/>
          <w:bCs/>
          <w:color w:val="000000"/>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15 fracciones IV y LVII, 16, 17 fracción I, 66, 67 fracción I, 68, 72, 75, 76 fracción I</w:t>
      </w:r>
      <w:r w:rsidR="00182F02" w:rsidRPr="005379A1">
        <w:rPr>
          <w:rFonts w:ascii="ITC Avant Garde" w:hAnsi="ITC Avant Garde"/>
          <w:bCs/>
          <w:color w:val="000000"/>
          <w:sz w:val="22"/>
          <w:szCs w:val="22"/>
          <w:lang w:eastAsia="es-MX"/>
        </w:rPr>
        <w:t>,</w:t>
      </w:r>
      <w:r w:rsidRPr="005379A1">
        <w:rPr>
          <w:rFonts w:ascii="ITC Avant Garde" w:hAnsi="ITC Avant Garde"/>
          <w:bCs/>
          <w:color w:val="000000"/>
          <w:sz w:val="22"/>
          <w:szCs w:val="22"/>
          <w:lang w:eastAsia="es-MX"/>
        </w:rPr>
        <w:t xml:space="preserve">  177 fracción I</w:t>
      </w:r>
      <w:r w:rsidR="00182F02" w:rsidRPr="005379A1">
        <w:rPr>
          <w:rFonts w:ascii="ITC Avant Garde" w:hAnsi="ITC Avant Garde"/>
          <w:bCs/>
          <w:color w:val="000000"/>
          <w:sz w:val="22"/>
          <w:szCs w:val="22"/>
          <w:lang w:eastAsia="es-MX"/>
        </w:rPr>
        <w:t xml:space="preserve"> y 276</w:t>
      </w:r>
      <w:r w:rsidRPr="005379A1">
        <w:rPr>
          <w:rFonts w:ascii="ITC Avant Garde" w:hAnsi="ITC Avant Garde"/>
          <w:bCs/>
          <w:color w:val="000000"/>
          <w:sz w:val="22"/>
          <w:szCs w:val="22"/>
          <w:lang w:eastAsia="es-MX"/>
        </w:rPr>
        <w:t xml:space="preserve"> </w:t>
      </w:r>
      <w:r w:rsidRPr="005379A1">
        <w:rPr>
          <w:rFonts w:ascii="ITC Avant Garde" w:hAnsi="ITC Avant Garde"/>
          <w:bCs/>
          <w:sz w:val="22"/>
          <w:szCs w:val="22"/>
        </w:rPr>
        <w:t xml:space="preserve">de la Ley Federal de Telecomunicaciones y Radiodifusión; 14, </w:t>
      </w:r>
      <w:r w:rsidRPr="005379A1">
        <w:rPr>
          <w:rFonts w:ascii="ITC Avant Garde" w:hAnsi="ITC Avant Garde"/>
          <w:bCs/>
          <w:color w:val="000000"/>
          <w:sz w:val="22"/>
          <w:szCs w:val="22"/>
          <w:lang w:eastAsia="es-MX"/>
        </w:rPr>
        <w:t xml:space="preserve">19 y 27 de la Ley Federal de Telecomunicaciones; </w:t>
      </w:r>
      <w:r w:rsidRPr="005379A1">
        <w:rPr>
          <w:rFonts w:ascii="ITC Avant Garde" w:hAnsi="ITC Avant Garde"/>
          <w:bCs/>
          <w:sz w:val="22"/>
          <w:szCs w:val="22"/>
        </w:rPr>
        <w:t>35 fracción I, 36, 38, 39 y 57 fracción I de la Ley Federal de Procedimiento Administrativo;</w:t>
      </w:r>
      <w:r w:rsidRPr="005379A1">
        <w:rPr>
          <w:rFonts w:ascii="ITC Avant Garde" w:hAnsi="ITC Avant Garde"/>
          <w:bCs/>
          <w:color w:val="000000"/>
          <w:sz w:val="22"/>
          <w:szCs w:val="22"/>
          <w:lang w:eastAsia="es-MX"/>
        </w:rPr>
        <w:t xml:space="preserve"> </w:t>
      </w:r>
      <w:r w:rsidR="00C84599" w:rsidRPr="005379A1">
        <w:rPr>
          <w:rFonts w:ascii="ITC Avant Garde" w:hAnsi="ITC Avant Garde"/>
          <w:bCs/>
          <w:color w:val="000000"/>
          <w:sz w:val="22"/>
          <w:szCs w:val="22"/>
          <w:lang w:eastAsia="es-MX"/>
        </w:rPr>
        <w:t>94 fracción III de la Ley Federal de Derechos vigente</w:t>
      </w:r>
      <w:r w:rsidR="00915A47" w:rsidRPr="005379A1">
        <w:rPr>
          <w:rFonts w:ascii="ITC Avant Garde" w:hAnsi="ITC Avant Garde"/>
          <w:bCs/>
          <w:color w:val="000000"/>
          <w:sz w:val="22"/>
          <w:szCs w:val="22"/>
          <w:lang w:eastAsia="es-MX"/>
        </w:rPr>
        <w:t xml:space="preserve"> </w:t>
      </w:r>
      <w:r w:rsidR="00500BF6" w:rsidRPr="005379A1">
        <w:rPr>
          <w:rFonts w:ascii="ITC Avant Garde" w:hAnsi="ITC Avant Garde"/>
          <w:bCs/>
          <w:color w:val="000000"/>
          <w:sz w:val="22"/>
          <w:szCs w:val="22"/>
          <w:lang w:eastAsia="es-MX"/>
        </w:rPr>
        <w:t>durante</w:t>
      </w:r>
      <w:r w:rsidR="00915A47" w:rsidRPr="005379A1">
        <w:rPr>
          <w:rFonts w:ascii="ITC Avant Garde" w:hAnsi="ITC Avant Garde"/>
          <w:bCs/>
          <w:color w:val="000000"/>
          <w:sz w:val="22"/>
          <w:szCs w:val="22"/>
          <w:lang w:eastAsia="es-MX"/>
        </w:rPr>
        <w:t xml:space="preserve"> el año 2015</w:t>
      </w:r>
      <w:r w:rsidR="00C84599" w:rsidRPr="005379A1">
        <w:rPr>
          <w:rFonts w:ascii="ITC Avant Garde" w:hAnsi="ITC Avant Garde"/>
          <w:bCs/>
          <w:color w:val="000000"/>
          <w:sz w:val="22"/>
          <w:szCs w:val="22"/>
          <w:lang w:eastAsia="es-MX"/>
        </w:rPr>
        <w:t xml:space="preserve">; </w:t>
      </w:r>
      <w:r w:rsidR="00601168" w:rsidRPr="005379A1">
        <w:rPr>
          <w:rFonts w:ascii="ITC Avant Garde" w:hAnsi="ITC Avant Garde"/>
          <w:bCs/>
          <w:color w:val="000000"/>
          <w:sz w:val="22"/>
          <w:szCs w:val="22"/>
          <w:lang w:eastAsia="es-MX"/>
        </w:rPr>
        <w:t xml:space="preserve">el Cuadro Nacional de Atribución de Frecuencias, publicado en el Diario Oficial de la Federación el 20 de octubre de 2015, y </w:t>
      </w:r>
      <w:r w:rsidRPr="005379A1">
        <w:rPr>
          <w:rFonts w:ascii="ITC Avant Garde" w:hAnsi="ITC Avant Garde"/>
          <w:bCs/>
          <w:sz w:val="22"/>
          <w:szCs w:val="22"/>
        </w:rPr>
        <w:t>1, 6 fracciones I, XVIII y XXXVII, 27, 29, 30, 31 fracciones VII y XII, 32, 33 fracción II, 47 y 50 fracción XII del Estatuto Orgánico del Instituto Federal de Telecomunicaciones, este órgano autónomo emite los siguientes:</w:t>
      </w:r>
    </w:p>
    <w:p w14:paraId="5E6420BE" w14:textId="77777777" w:rsidR="001C6AEE" w:rsidRPr="005379A1" w:rsidRDefault="005131CB" w:rsidP="005379A1">
      <w:pPr>
        <w:pStyle w:val="Ttulo2"/>
        <w:spacing w:after="240"/>
        <w:jc w:val="center"/>
        <w:rPr>
          <w:rFonts w:ascii="ITC Avant Garde" w:hAnsi="ITC Avant Garde"/>
          <w:b/>
          <w:color w:val="000000" w:themeColor="text1"/>
          <w:sz w:val="22"/>
          <w:szCs w:val="22"/>
        </w:rPr>
      </w:pPr>
      <w:r w:rsidRPr="005379A1">
        <w:rPr>
          <w:rFonts w:ascii="ITC Avant Garde" w:hAnsi="ITC Avant Garde"/>
          <w:b/>
          <w:color w:val="000000" w:themeColor="text1"/>
          <w:sz w:val="22"/>
          <w:szCs w:val="22"/>
        </w:rPr>
        <w:t>RESOLUTIVOS</w:t>
      </w:r>
    </w:p>
    <w:p w14:paraId="04CA8C41" w14:textId="77777777" w:rsidR="001C6AEE" w:rsidRPr="005379A1" w:rsidRDefault="00B31D98" w:rsidP="005379A1">
      <w:pPr>
        <w:tabs>
          <w:tab w:val="num" w:pos="540"/>
        </w:tabs>
        <w:spacing w:after="240"/>
        <w:jc w:val="both"/>
        <w:rPr>
          <w:rFonts w:ascii="ITC Avant Garde" w:hAnsi="ITC Avant Garde"/>
          <w:bCs/>
          <w:color w:val="000000"/>
          <w:sz w:val="22"/>
          <w:szCs w:val="22"/>
          <w:lang w:val="es-ES" w:eastAsia="es-MX"/>
        </w:rPr>
      </w:pPr>
      <w:r w:rsidRPr="005379A1">
        <w:rPr>
          <w:rFonts w:ascii="ITC Avant Garde" w:hAnsi="ITC Avant Garde"/>
          <w:b/>
          <w:bCs/>
          <w:color w:val="000000"/>
          <w:sz w:val="22"/>
          <w:szCs w:val="22"/>
          <w:lang w:val="es-ES" w:eastAsia="es-MX"/>
        </w:rPr>
        <w:t xml:space="preserve">PRIMERO.- </w:t>
      </w:r>
      <w:r w:rsidR="00E3333D" w:rsidRPr="005379A1">
        <w:rPr>
          <w:rFonts w:ascii="ITC Avant Garde" w:hAnsi="ITC Avant Garde"/>
          <w:bCs/>
          <w:color w:val="000000"/>
          <w:sz w:val="22"/>
          <w:szCs w:val="22"/>
          <w:lang w:val="es-ES" w:eastAsia="es-MX"/>
        </w:rPr>
        <w:t xml:space="preserve">Se autoriza </w:t>
      </w:r>
      <w:r w:rsidR="00C910E0" w:rsidRPr="005379A1">
        <w:rPr>
          <w:rFonts w:ascii="ITC Avant Garde" w:hAnsi="ITC Avant Garde"/>
          <w:bCs/>
          <w:color w:val="000000"/>
          <w:sz w:val="22"/>
          <w:szCs w:val="22"/>
          <w:lang w:val="es-ES" w:eastAsia="es-MX"/>
        </w:rPr>
        <w:t>a</w:t>
      </w:r>
      <w:r w:rsidR="00E3333D" w:rsidRPr="005379A1">
        <w:rPr>
          <w:rFonts w:ascii="ITC Avant Garde" w:hAnsi="ITC Avant Garde" w:cstheme="minorHAnsi"/>
          <w:sz w:val="22"/>
          <w:szCs w:val="22"/>
        </w:rPr>
        <w:t xml:space="preserve"> </w:t>
      </w:r>
      <w:r w:rsidR="00CB0706" w:rsidRPr="005379A1">
        <w:rPr>
          <w:rFonts w:ascii="ITC Avant Garde" w:eastAsia="Calibri" w:hAnsi="ITC Avant Garde"/>
          <w:bCs/>
          <w:color w:val="000000"/>
          <w:sz w:val="22"/>
          <w:szCs w:val="22"/>
          <w:lang w:eastAsia="es-MX"/>
        </w:rPr>
        <w:t>Intercomunicación del Pacífico</w:t>
      </w:r>
      <w:r w:rsidR="004904DD" w:rsidRPr="005379A1">
        <w:rPr>
          <w:rFonts w:ascii="ITC Avant Garde" w:hAnsi="ITC Avant Garde"/>
          <w:bCs/>
          <w:color w:val="000000"/>
          <w:sz w:val="22"/>
          <w:szCs w:val="22"/>
          <w:lang w:val="es-ES" w:eastAsia="es-MX"/>
        </w:rPr>
        <w:t>, S.A. de C.V.</w:t>
      </w:r>
      <w:r w:rsidRPr="005379A1">
        <w:rPr>
          <w:rFonts w:ascii="ITC Avant Garde" w:hAnsi="ITC Avant Garde"/>
          <w:bCs/>
          <w:color w:val="000000"/>
          <w:sz w:val="22"/>
          <w:szCs w:val="22"/>
          <w:lang w:val="es-ES" w:eastAsia="es-MX"/>
        </w:rPr>
        <w:t xml:space="preserve">, </w:t>
      </w:r>
      <w:r w:rsidR="00C910E0" w:rsidRPr="005379A1">
        <w:rPr>
          <w:rFonts w:ascii="ITC Avant Garde" w:hAnsi="ITC Avant Garde"/>
          <w:bCs/>
          <w:color w:val="000000"/>
          <w:sz w:val="22"/>
          <w:szCs w:val="22"/>
          <w:lang w:val="es-ES" w:eastAsia="es-MX"/>
        </w:rPr>
        <w:t>la prórroga de vigencia de la concesión para instalar, operar y explotar una red pública del servicio móvil de radiocomunicación especializada de flotillas,</w:t>
      </w:r>
      <w:r w:rsidR="00BC0EB7" w:rsidRPr="005379A1">
        <w:rPr>
          <w:rFonts w:ascii="ITC Avant Garde" w:hAnsi="ITC Avant Garde"/>
          <w:bCs/>
          <w:color w:val="000000"/>
          <w:sz w:val="22"/>
          <w:szCs w:val="22"/>
          <w:lang w:val="es-ES" w:eastAsia="es-MX"/>
        </w:rPr>
        <w:t xml:space="preserve"> otorgada el </w:t>
      </w:r>
      <w:r w:rsidR="00E07DEE" w:rsidRPr="005379A1">
        <w:rPr>
          <w:rFonts w:ascii="ITC Avant Garde" w:hAnsi="ITC Avant Garde"/>
          <w:bCs/>
          <w:color w:val="000000"/>
          <w:sz w:val="22"/>
          <w:szCs w:val="22"/>
          <w:lang w:val="es-ES" w:eastAsia="es-MX"/>
        </w:rPr>
        <w:t>17 de noviembre</w:t>
      </w:r>
      <w:r w:rsidR="00BC0EB7" w:rsidRPr="005379A1">
        <w:rPr>
          <w:rFonts w:ascii="ITC Avant Garde" w:hAnsi="ITC Avant Garde"/>
          <w:bCs/>
          <w:color w:val="000000"/>
          <w:sz w:val="22"/>
          <w:szCs w:val="22"/>
          <w:lang w:val="es-ES" w:eastAsia="es-MX"/>
        </w:rPr>
        <w:t xml:space="preserve"> de 1994.</w:t>
      </w:r>
    </w:p>
    <w:p w14:paraId="1B250D34" w14:textId="4248FACE" w:rsidR="001C4111" w:rsidRPr="005379A1" w:rsidRDefault="00BC0EB7" w:rsidP="005379A1">
      <w:pPr>
        <w:autoSpaceDE w:val="0"/>
        <w:autoSpaceDN w:val="0"/>
        <w:adjustRightInd w:val="0"/>
        <w:spacing w:after="240"/>
        <w:jc w:val="both"/>
        <w:rPr>
          <w:rFonts w:ascii="ITC Avant Garde" w:hAnsi="ITC Avant Garde"/>
          <w:bCs/>
          <w:sz w:val="22"/>
          <w:szCs w:val="22"/>
        </w:rPr>
      </w:pPr>
      <w:r w:rsidRPr="005379A1">
        <w:rPr>
          <w:rFonts w:ascii="ITC Avant Garde" w:hAnsi="ITC Avant Garde"/>
          <w:bCs/>
          <w:sz w:val="22"/>
          <w:szCs w:val="22"/>
        </w:rPr>
        <w:t xml:space="preserve">Para tal efecto, </w:t>
      </w:r>
      <w:r w:rsidR="001C4111" w:rsidRPr="005379A1">
        <w:rPr>
          <w:rFonts w:ascii="ITC Avant Garde" w:hAnsi="ITC Avant Garde"/>
          <w:bCs/>
          <w:sz w:val="22"/>
          <w:szCs w:val="22"/>
        </w:rPr>
        <w:t xml:space="preserve">y de conformidad con el Considerando Quinto de la presente Resolución, el Instituto Federal de Telecomunicaciones otorgará en favor de </w:t>
      </w:r>
      <w:r w:rsidR="001C4111" w:rsidRPr="005379A1">
        <w:rPr>
          <w:rFonts w:ascii="ITC Avant Garde" w:eastAsia="Calibri" w:hAnsi="ITC Avant Garde"/>
          <w:bCs/>
          <w:color w:val="000000"/>
          <w:sz w:val="22"/>
          <w:szCs w:val="22"/>
          <w:lang w:eastAsia="es-MX"/>
        </w:rPr>
        <w:t>Intercomunicación del Pacífico</w:t>
      </w:r>
      <w:r w:rsidR="001C4111" w:rsidRPr="005379A1">
        <w:rPr>
          <w:rFonts w:ascii="ITC Avant Garde" w:hAnsi="ITC Avant Garde"/>
          <w:bCs/>
          <w:color w:val="000000"/>
          <w:sz w:val="22"/>
          <w:szCs w:val="22"/>
          <w:lang w:val="es-ES" w:eastAsia="es-MX"/>
        </w:rPr>
        <w:t xml:space="preserve">, S.A. de C.V., </w:t>
      </w:r>
      <w:r w:rsidR="001C4111" w:rsidRPr="005379A1">
        <w:rPr>
          <w:rFonts w:ascii="ITC Avant Garde" w:hAnsi="ITC Avant Garde"/>
          <w:bCs/>
          <w:sz w:val="22"/>
          <w:szCs w:val="22"/>
        </w:rPr>
        <w:t>un título de concesión para usar, aprovechar y explotar bandas de frecuencias del espectro radioeléctrico para uso comercial, con una vigencia de 20 (veinte) años contados a partir del 18 de noviembre de 2009, con la siguiente cobertura:</w:t>
      </w:r>
    </w:p>
    <w:p w14:paraId="77783B56" w14:textId="107577AC" w:rsidR="001C4111" w:rsidRPr="005379A1" w:rsidRDefault="001C6AEE" w:rsidP="001C6AEE">
      <w:pPr>
        <w:autoSpaceDE w:val="0"/>
        <w:autoSpaceDN w:val="0"/>
        <w:adjustRightInd w:val="0"/>
        <w:jc w:val="center"/>
        <w:rPr>
          <w:rFonts w:ascii="ITC Avant Garde" w:hAnsi="ITC Avant Garde"/>
          <w:bCs/>
          <w:sz w:val="22"/>
          <w:szCs w:val="22"/>
        </w:rPr>
      </w:pPr>
      <w:r w:rsidRPr="005379A1">
        <w:rPr>
          <w:rFonts w:ascii="ITC Avant Garde" w:hAnsi="ITC Avant Garde"/>
          <w:b/>
          <w:sz w:val="18"/>
          <w:szCs w:val="18"/>
        </w:rPr>
        <w:lastRenderedPageBreak/>
        <w:t>Cobertura</w:t>
      </w:r>
    </w:p>
    <w:tbl>
      <w:tblPr>
        <w:tblStyle w:val="Cuadrculadetablaclara"/>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bertura"/>
        <w:tblDescription w:val="La tabla proporciona la cobertura por estado y municipio."/>
      </w:tblPr>
      <w:tblGrid>
        <w:gridCol w:w="1838"/>
        <w:gridCol w:w="6946"/>
      </w:tblGrid>
      <w:tr w:rsidR="001C6AEE" w:rsidRPr="005379A1" w14:paraId="3BA1601C" w14:textId="77777777" w:rsidTr="001C6AEE">
        <w:trPr>
          <w:trHeight w:val="600"/>
          <w:tblHeader/>
          <w:jc w:val="center"/>
        </w:trPr>
        <w:tc>
          <w:tcPr>
            <w:tcW w:w="1838" w:type="dxa"/>
            <w:shd w:val="clear" w:color="auto" w:fill="BFBFBF" w:themeFill="background1" w:themeFillShade="BF"/>
            <w:vAlign w:val="center"/>
            <w:hideMark/>
          </w:tcPr>
          <w:p w14:paraId="38BFD77D" w14:textId="77777777" w:rsidR="001C6AEE" w:rsidRPr="005379A1" w:rsidRDefault="001C6AEE" w:rsidP="001C6AEE">
            <w:pPr>
              <w:jc w:val="center"/>
              <w:rPr>
                <w:rFonts w:ascii="ITC Avant Garde" w:hAnsi="ITC Avant Garde"/>
                <w:b/>
                <w:color w:val="000000"/>
                <w:sz w:val="16"/>
                <w:szCs w:val="16"/>
                <w:lang w:eastAsia="es-MX"/>
              </w:rPr>
            </w:pPr>
            <w:r w:rsidRPr="005379A1">
              <w:rPr>
                <w:rFonts w:ascii="ITC Avant Garde" w:hAnsi="ITC Avant Garde"/>
                <w:b/>
                <w:color w:val="000000"/>
                <w:sz w:val="16"/>
                <w:szCs w:val="16"/>
                <w:lang w:eastAsia="es-MX"/>
              </w:rPr>
              <w:t>Estado</w:t>
            </w:r>
          </w:p>
        </w:tc>
        <w:tc>
          <w:tcPr>
            <w:tcW w:w="6946" w:type="dxa"/>
            <w:shd w:val="clear" w:color="auto" w:fill="BFBFBF" w:themeFill="background1" w:themeFillShade="BF"/>
            <w:vAlign w:val="center"/>
            <w:hideMark/>
          </w:tcPr>
          <w:p w14:paraId="32BA998C" w14:textId="77777777" w:rsidR="001C6AEE" w:rsidRPr="005379A1" w:rsidRDefault="001C6AEE" w:rsidP="001C6AEE">
            <w:pPr>
              <w:jc w:val="center"/>
              <w:rPr>
                <w:rFonts w:ascii="ITC Avant Garde" w:hAnsi="ITC Avant Garde"/>
                <w:b/>
                <w:color w:val="000000"/>
                <w:sz w:val="16"/>
                <w:szCs w:val="16"/>
                <w:lang w:eastAsia="es-MX"/>
              </w:rPr>
            </w:pPr>
            <w:r w:rsidRPr="005379A1">
              <w:rPr>
                <w:rFonts w:ascii="ITC Avant Garde" w:hAnsi="ITC Avant Garde"/>
                <w:b/>
                <w:color w:val="000000"/>
                <w:sz w:val="16"/>
                <w:szCs w:val="16"/>
                <w:lang w:eastAsia="es-MX"/>
              </w:rPr>
              <w:t>Municipios/Delegaciones</w:t>
            </w:r>
          </w:p>
        </w:tc>
      </w:tr>
      <w:tr w:rsidR="001C6AEE" w:rsidRPr="005379A1" w14:paraId="77490A24" w14:textId="77777777" w:rsidTr="001C6AEE">
        <w:trPr>
          <w:trHeight w:val="600"/>
          <w:jc w:val="center"/>
        </w:trPr>
        <w:tc>
          <w:tcPr>
            <w:tcW w:w="1838" w:type="dxa"/>
            <w:hideMark/>
          </w:tcPr>
          <w:p w14:paraId="38F0DA4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Ciudad de México </w:t>
            </w:r>
          </w:p>
        </w:tc>
        <w:tc>
          <w:tcPr>
            <w:tcW w:w="6946" w:type="dxa"/>
            <w:hideMark/>
          </w:tcPr>
          <w:p w14:paraId="0AF1BF6A"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Álvaro Obregón, Azcapotzalco, Benito Juárez, Cuajimalpa de Morelos, Coyoacán, Cuauhtémoc, Gustavo A. Madero, Iztacalco, Iztapalapa, La Magdalena Contreras, Miguel Hidalgo, Milpa Alta, Tláhuac, Tlalpan, Venustiano Carranza y Xochimilco.</w:t>
            </w:r>
          </w:p>
        </w:tc>
      </w:tr>
      <w:tr w:rsidR="001C6AEE" w:rsidRPr="005379A1" w14:paraId="281996D4" w14:textId="77777777" w:rsidTr="001C6AEE">
        <w:trPr>
          <w:trHeight w:val="600"/>
          <w:jc w:val="center"/>
        </w:trPr>
        <w:tc>
          <w:tcPr>
            <w:tcW w:w="1838" w:type="dxa"/>
            <w:hideMark/>
          </w:tcPr>
          <w:p w14:paraId="4816EF9A"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Estado de México </w:t>
            </w:r>
          </w:p>
        </w:tc>
        <w:tc>
          <w:tcPr>
            <w:tcW w:w="6946" w:type="dxa"/>
            <w:hideMark/>
          </w:tcPr>
          <w:p w14:paraId="32F2CFC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Tlalnepantla de Baz, Tultitlán, Cuautitlán Izcalli, </w:t>
            </w:r>
            <w:proofErr w:type="spellStart"/>
            <w:r w:rsidRPr="005379A1">
              <w:rPr>
                <w:rFonts w:ascii="ITC Avant Garde" w:hAnsi="ITC Avant Garde"/>
                <w:color w:val="000000"/>
                <w:sz w:val="16"/>
                <w:szCs w:val="16"/>
                <w:lang w:eastAsia="es-MX"/>
              </w:rPr>
              <w:t>Tepozotlán</w:t>
            </w:r>
            <w:proofErr w:type="spellEnd"/>
            <w:r w:rsidRPr="005379A1">
              <w:rPr>
                <w:rFonts w:ascii="ITC Avant Garde" w:hAnsi="ITC Avant Garde"/>
                <w:color w:val="000000"/>
                <w:sz w:val="16"/>
                <w:szCs w:val="16"/>
                <w:lang w:eastAsia="es-MX"/>
              </w:rPr>
              <w:t xml:space="preserve">, Teoloyucan, </w:t>
            </w:r>
            <w:proofErr w:type="spellStart"/>
            <w:r w:rsidRPr="005379A1">
              <w:rPr>
                <w:rFonts w:ascii="ITC Avant Garde" w:hAnsi="ITC Avant Garde"/>
                <w:color w:val="000000"/>
                <w:sz w:val="16"/>
                <w:szCs w:val="16"/>
                <w:lang w:eastAsia="es-MX"/>
              </w:rPr>
              <w:t>Coyotepec</w:t>
            </w:r>
            <w:proofErr w:type="spellEnd"/>
            <w:r w:rsidRPr="005379A1">
              <w:rPr>
                <w:rFonts w:ascii="ITC Avant Garde" w:hAnsi="ITC Avant Garde"/>
                <w:color w:val="000000"/>
                <w:sz w:val="16"/>
                <w:szCs w:val="16"/>
                <w:lang w:eastAsia="es-MX"/>
              </w:rPr>
              <w:t xml:space="preserve">, Huehuetoca, Jilotepec, </w:t>
            </w:r>
            <w:proofErr w:type="spellStart"/>
            <w:r w:rsidRPr="005379A1">
              <w:rPr>
                <w:rFonts w:ascii="ITC Avant Garde" w:hAnsi="ITC Avant Garde"/>
                <w:color w:val="000000"/>
                <w:sz w:val="16"/>
                <w:szCs w:val="16"/>
                <w:lang w:eastAsia="es-MX"/>
              </w:rPr>
              <w:t>Soyaniquilpan</w:t>
            </w:r>
            <w:proofErr w:type="spellEnd"/>
            <w:r w:rsidRPr="005379A1">
              <w:rPr>
                <w:rFonts w:ascii="ITC Avant Garde" w:hAnsi="ITC Avant Garde"/>
                <w:color w:val="000000"/>
                <w:sz w:val="16"/>
                <w:szCs w:val="16"/>
                <w:lang w:eastAsia="es-MX"/>
              </w:rPr>
              <w:t xml:space="preserve"> de Juárez, Aculco y </w:t>
            </w:r>
            <w:proofErr w:type="spellStart"/>
            <w:r w:rsidRPr="005379A1">
              <w:rPr>
                <w:rFonts w:ascii="ITC Avant Garde" w:hAnsi="ITC Avant Garde"/>
                <w:color w:val="000000"/>
                <w:sz w:val="16"/>
                <w:szCs w:val="16"/>
                <w:lang w:eastAsia="es-MX"/>
              </w:rPr>
              <w:t>Polotitlán</w:t>
            </w:r>
            <w:proofErr w:type="spellEnd"/>
            <w:r w:rsidRPr="005379A1">
              <w:rPr>
                <w:rFonts w:ascii="ITC Avant Garde" w:hAnsi="ITC Avant Garde"/>
                <w:color w:val="000000"/>
                <w:sz w:val="16"/>
                <w:szCs w:val="16"/>
                <w:lang w:eastAsia="es-MX"/>
              </w:rPr>
              <w:t>.</w:t>
            </w:r>
          </w:p>
        </w:tc>
      </w:tr>
      <w:tr w:rsidR="001C6AEE" w:rsidRPr="005379A1" w14:paraId="675CD398" w14:textId="77777777" w:rsidTr="001C6AEE">
        <w:trPr>
          <w:trHeight w:val="600"/>
          <w:jc w:val="center"/>
        </w:trPr>
        <w:tc>
          <w:tcPr>
            <w:tcW w:w="1838" w:type="dxa"/>
            <w:hideMark/>
          </w:tcPr>
          <w:p w14:paraId="78BC09D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Hidalgo</w:t>
            </w:r>
          </w:p>
        </w:tc>
        <w:tc>
          <w:tcPr>
            <w:tcW w:w="6946" w:type="dxa"/>
            <w:hideMark/>
          </w:tcPr>
          <w:p w14:paraId="60D1B01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Tepeji del Río de Ocampo.</w:t>
            </w:r>
          </w:p>
        </w:tc>
      </w:tr>
      <w:tr w:rsidR="001C6AEE" w:rsidRPr="005379A1" w14:paraId="2B171D97" w14:textId="77777777" w:rsidTr="001C6AEE">
        <w:trPr>
          <w:trHeight w:val="600"/>
          <w:jc w:val="center"/>
        </w:trPr>
        <w:tc>
          <w:tcPr>
            <w:tcW w:w="1838" w:type="dxa"/>
            <w:hideMark/>
          </w:tcPr>
          <w:p w14:paraId="6F2E505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Querétaro</w:t>
            </w:r>
          </w:p>
        </w:tc>
        <w:tc>
          <w:tcPr>
            <w:tcW w:w="6946" w:type="dxa"/>
            <w:hideMark/>
          </w:tcPr>
          <w:p w14:paraId="5ECE4AC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San Juan del Río, Pedro Escobedo, El Marqués, Querétaro y Corregidora.</w:t>
            </w:r>
          </w:p>
        </w:tc>
      </w:tr>
      <w:tr w:rsidR="001C6AEE" w:rsidRPr="005379A1" w14:paraId="78F501B5" w14:textId="77777777" w:rsidTr="001C6AEE">
        <w:trPr>
          <w:trHeight w:val="600"/>
          <w:jc w:val="center"/>
        </w:trPr>
        <w:tc>
          <w:tcPr>
            <w:tcW w:w="1838" w:type="dxa"/>
            <w:hideMark/>
          </w:tcPr>
          <w:p w14:paraId="30D70246"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Guanajuato</w:t>
            </w:r>
          </w:p>
        </w:tc>
        <w:tc>
          <w:tcPr>
            <w:tcW w:w="6946" w:type="dxa"/>
            <w:hideMark/>
          </w:tcPr>
          <w:p w14:paraId="437EF7CB"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Apaseo el Grande, Celaya, </w:t>
            </w:r>
            <w:proofErr w:type="spellStart"/>
            <w:r w:rsidRPr="005379A1">
              <w:rPr>
                <w:rFonts w:ascii="ITC Avant Garde" w:hAnsi="ITC Avant Garde"/>
                <w:color w:val="000000"/>
                <w:sz w:val="16"/>
                <w:szCs w:val="16"/>
                <w:lang w:eastAsia="es-MX"/>
              </w:rPr>
              <w:t>Cortazar</w:t>
            </w:r>
            <w:proofErr w:type="spellEnd"/>
            <w:r w:rsidRPr="005379A1">
              <w:rPr>
                <w:rFonts w:ascii="ITC Avant Garde" w:hAnsi="ITC Avant Garde"/>
                <w:color w:val="000000"/>
                <w:sz w:val="16"/>
                <w:szCs w:val="16"/>
                <w:lang w:eastAsia="es-MX"/>
              </w:rPr>
              <w:t>, Villagrán, Salamanca, Irapuato, Guanajuato, Silao y León.</w:t>
            </w:r>
          </w:p>
        </w:tc>
      </w:tr>
      <w:tr w:rsidR="001C6AEE" w:rsidRPr="005379A1" w14:paraId="50890171" w14:textId="77777777" w:rsidTr="001C6AEE">
        <w:trPr>
          <w:trHeight w:val="600"/>
          <w:jc w:val="center"/>
        </w:trPr>
        <w:tc>
          <w:tcPr>
            <w:tcW w:w="1838" w:type="dxa"/>
            <w:hideMark/>
          </w:tcPr>
          <w:p w14:paraId="6A4F6A39"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Jalisco</w:t>
            </w:r>
          </w:p>
        </w:tc>
        <w:tc>
          <w:tcPr>
            <w:tcW w:w="6946" w:type="dxa"/>
            <w:hideMark/>
          </w:tcPr>
          <w:p w14:paraId="03AAF516"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Lagos de Moreno y Encarnación de Díaz.</w:t>
            </w:r>
          </w:p>
        </w:tc>
      </w:tr>
      <w:tr w:rsidR="001C6AEE" w:rsidRPr="005379A1" w14:paraId="1F001095" w14:textId="77777777" w:rsidTr="001C6AEE">
        <w:trPr>
          <w:trHeight w:val="600"/>
          <w:jc w:val="center"/>
        </w:trPr>
        <w:tc>
          <w:tcPr>
            <w:tcW w:w="1838" w:type="dxa"/>
            <w:hideMark/>
          </w:tcPr>
          <w:p w14:paraId="33092B96"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Jalisco</w:t>
            </w:r>
          </w:p>
        </w:tc>
        <w:tc>
          <w:tcPr>
            <w:tcW w:w="6946" w:type="dxa"/>
            <w:hideMark/>
          </w:tcPr>
          <w:p w14:paraId="01D9E3AD" w14:textId="77777777" w:rsidR="001C6AEE" w:rsidRPr="005379A1" w:rsidRDefault="001C6AEE" w:rsidP="001C6AEE">
            <w:pPr>
              <w:jc w:val="center"/>
              <w:rPr>
                <w:rFonts w:ascii="ITC Avant Garde" w:hAnsi="ITC Avant Garde"/>
                <w:color w:val="000000"/>
                <w:sz w:val="16"/>
                <w:szCs w:val="16"/>
                <w:lang w:eastAsia="es-MX"/>
              </w:rPr>
            </w:pPr>
            <w:proofErr w:type="spellStart"/>
            <w:r w:rsidRPr="005379A1">
              <w:rPr>
                <w:rFonts w:ascii="ITC Avant Garde" w:hAnsi="ITC Avant Garde"/>
                <w:color w:val="000000"/>
                <w:sz w:val="16"/>
                <w:szCs w:val="16"/>
                <w:lang w:eastAsia="es-MX"/>
              </w:rPr>
              <w:t>Tonila</w:t>
            </w:r>
            <w:proofErr w:type="spellEnd"/>
            <w:r w:rsidRPr="005379A1">
              <w:rPr>
                <w:rFonts w:ascii="ITC Avant Garde" w:hAnsi="ITC Avant Garde"/>
                <w:color w:val="000000"/>
                <w:sz w:val="16"/>
                <w:szCs w:val="16"/>
                <w:lang w:eastAsia="es-MX"/>
              </w:rPr>
              <w:t xml:space="preserve">, Tuxpan, </w:t>
            </w:r>
            <w:proofErr w:type="spellStart"/>
            <w:r w:rsidRPr="005379A1">
              <w:rPr>
                <w:rFonts w:ascii="ITC Avant Garde" w:hAnsi="ITC Avant Garde"/>
                <w:color w:val="000000"/>
                <w:sz w:val="16"/>
                <w:szCs w:val="16"/>
                <w:lang w:eastAsia="es-MX"/>
              </w:rPr>
              <w:t>Zapotiltic</w:t>
            </w:r>
            <w:proofErr w:type="spellEnd"/>
            <w:r w:rsidRPr="005379A1">
              <w:rPr>
                <w:rFonts w:ascii="ITC Avant Garde" w:hAnsi="ITC Avant Garde"/>
                <w:color w:val="000000"/>
                <w:sz w:val="16"/>
                <w:szCs w:val="16"/>
                <w:lang w:eastAsia="es-MX"/>
              </w:rPr>
              <w:t xml:space="preserve">, Zapotlán el Grande, Gómez Farías, Sayula, Atoyac, </w:t>
            </w:r>
            <w:proofErr w:type="spellStart"/>
            <w:r w:rsidRPr="005379A1">
              <w:rPr>
                <w:rFonts w:ascii="ITC Avant Garde" w:hAnsi="ITC Avant Garde"/>
                <w:color w:val="000000"/>
                <w:sz w:val="16"/>
                <w:szCs w:val="16"/>
                <w:lang w:eastAsia="es-MX"/>
              </w:rPr>
              <w:t>Zacoalco</w:t>
            </w:r>
            <w:proofErr w:type="spellEnd"/>
            <w:r w:rsidRPr="005379A1">
              <w:rPr>
                <w:rFonts w:ascii="ITC Avant Garde" w:hAnsi="ITC Avant Garde"/>
                <w:color w:val="000000"/>
                <w:sz w:val="16"/>
                <w:szCs w:val="16"/>
                <w:lang w:eastAsia="es-MX"/>
              </w:rPr>
              <w:t xml:space="preserve"> de Torres, Acatlán de Juárez, Tlajomulco de Zúñiga, Zapopan, Tlaquepaque y Guadalajara.</w:t>
            </w:r>
          </w:p>
        </w:tc>
      </w:tr>
      <w:tr w:rsidR="001C6AEE" w:rsidRPr="005379A1" w14:paraId="7B6DCE44" w14:textId="77777777" w:rsidTr="001C6AEE">
        <w:trPr>
          <w:trHeight w:val="600"/>
          <w:jc w:val="center"/>
        </w:trPr>
        <w:tc>
          <w:tcPr>
            <w:tcW w:w="1838" w:type="dxa"/>
            <w:hideMark/>
          </w:tcPr>
          <w:p w14:paraId="6088E877"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Aguascalientes</w:t>
            </w:r>
          </w:p>
        </w:tc>
        <w:tc>
          <w:tcPr>
            <w:tcW w:w="6946" w:type="dxa"/>
            <w:hideMark/>
          </w:tcPr>
          <w:p w14:paraId="7F4B00E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Aguascalientes, Jesús María, San Francisco de los Romo, Pabellón de Arteaga, Rincón de Romos y Cosío.</w:t>
            </w:r>
          </w:p>
        </w:tc>
      </w:tr>
      <w:tr w:rsidR="001C6AEE" w:rsidRPr="005379A1" w14:paraId="23C7C17F" w14:textId="77777777" w:rsidTr="001C6AEE">
        <w:trPr>
          <w:trHeight w:val="600"/>
          <w:jc w:val="center"/>
        </w:trPr>
        <w:tc>
          <w:tcPr>
            <w:tcW w:w="1838" w:type="dxa"/>
            <w:hideMark/>
          </w:tcPr>
          <w:p w14:paraId="3E8F03C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Zacatecas</w:t>
            </w:r>
          </w:p>
        </w:tc>
        <w:tc>
          <w:tcPr>
            <w:tcW w:w="6946" w:type="dxa"/>
            <w:hideMark/>
          </w:tcPr>
          <w:p w14:paraId="0F900977"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Luis Moya, </w:t>
            </w:r>
            <w:proofErr w:type="spellStart"/>
            <w:r w:rsidRPr="005379A1">
              <w:rPr>
                <w:rFonts w:ascii="ITC Avant Garde" w:hAnsi="ITC Avant Garde"/>
                <w:color w:val="000000"/>
                <w:sz w:val="16"/>
                <w:szCs w:val="16"/>
                <w:lang w:eastAsia="es-MX"/>
              </w:rPr>
              <w:t>Ojocaliente</w:t>
            </w:r>
            <w:proofErr w:type="spellEnd"/>
            <w:r w:rsidRPr="005379A1">
              <w:rPr>
                <w:rFonts w:ascii="ITC Avant Garde" w:hAnsi="ITC Avant Garde"/>
                <w:color w:val="000000"/>
                <w:sz w:val="16"/>
                <w:szCs w:val="16"/>
                <w:lang w:eastAsia="es-MX"/>
              </w:rPr>
              <w:t xml:space="preserve">, </w:t>
            </w:r>
            <w:proofErr w:type="spellStart"/>
            <w:r w:rsidRPr="005379A1">
              <w:rPr>
                <w:rFonts w:ascii="ITC Avant Garde" w:hAnsi="ITC Avant Garde"/>
                <w:color w:val="000000"/>
                <w:sz w:val="16"/>
                <w:szCs w:val="16"/>
                <w:lang w:eastAsia="es-MX"/>
              </w:rPr>
              <w:t>Trancoso</w:t>
            </w:r>
            <w:proofErr w:type="spellEnd"/>
            <w:r w:rsidRPr="005379A1">
              <w:rPr>
                <w:rFonts w:ascii="ITC Avant Garde" w:hAnsi="ITC Avant Garde"/>
                <w:color w:val="000000"/>
                <w:sz w:val="16"/>
                <w:szCs w:val="16"/>
                <w:lang w:eastAsia="es-MX"/>
              </w:rPr>
              <w:t xml:space="preserve">, Guadalupe, Zacatecas, Morelos, Calera, General Enrique Estrada, Fresnillo, </w:t>
            </w:r>
            <w:proofErr w:type="spellStart"/>
            <w:r w:rsidRPr="005379A1">
              <w:rPr>
                <w:rFonts w:ascii="ITC Avant Garde" w:hAnsi="ITC Avant Garde"/>
                <w:color w:val="000000"/>
                <w:sz w:val="16"/>
                <w:szCs w:val="16"/>
                <w:lang w:eastAsia="es-MX"/>
              </w:rPr>
              <w:t>Sain</w:t>
            </w:r>
            <w:proofErr w:type="spellEnd"/>
            <w:r w:rsidRPr="005379A1">
              <w:rPr>
                <w:rFonts w:ascii="ITC Avant Garde" w:hAnsi="ITC Avant Garde"/>
                <w:color w:val="000000"/>
                <w:sz w:val="16"/>
                <w:szCs w:val="16"/>
                <w:lang w:eastAsia="es-MX"/>
              </w:rPr>
              <w:t xml:space="preserve"> Alto y Sombrerete.</w:t>
            </w:r>
          </w:p>
        </w:tc>
      </w:tr>
      <w:tr w:rsidR="001C6AEE" w:rsidRPr="005379A1" w14:paraId="10619716" w14:textId="77777777" w:rsidTr="001C6AEE">
        <w:trPr>
          <w:trHeight w:val="600"/>
          <w:jc w:val="center"/>
        </w:trPr>
        <w:tc>
          <w:tcPr>
            <w:tcW w:w="1838" w:type="dxa"/>
            <w:hideMark/>
          </w:tcPr>
          <w:p w14:paraId="4156DF8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Durango</w:t>
            </w:r>
          </w:p>
        </w:tc>
        <w:tc>
          <w:tcPr>
            <w:tcW w:w="6946" w:type="dxa"/>
            <w:hideMark/>
          </w:tcPr>
          <w:p w14:paraId="3CC944C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Vicente Guerrero, Nombre de Dios, Durango, </w:t>
            </w:r>
            <w:proofErr w:type="spellStart"/>
            <w:r w:rsidRPr="005379A1">
              <w:rPr>
                <w:rFonts w:ascii="ITC Avant Garde" w:hAnsi="ITC Avant Garde"/>
                <w:color w:val="000000"/>
                <w:sz w:val="16"/>
                <w:szCs w:val="16"/>
                <w:lang w:eastAsia="es-MX"/>
              </w:rPr>
              <w:t>Canatlán</w:t>
            </w:r>
            <w:proofErr w:type="spellEnd"/>
            <w:r w:rsidRPr="005379A1">
              <w:rPr>
                <w:rFonts w:ascii="ITC Avant Garde" w:hAnsi="ITC Avant Garde"/>
                <w:color w:val="000000"/>
                <w:sz w:val="16"/>
                <w:szCs w:val="16"/>
                <w:lang w:eastAsia="es-MX"/>
              </w:rPr>
              <w:t>, San Juan del Río, Rodeo, San Pedro del Gallo, Hidalgo y Ocampo.</w:t>
            </w:r>
          </w:p>
        </w:tc>
      </w:tr>
      <w:tr w:rsidR="001C6AEE" w:rsidRPr="005379A1" w14:paraId="3E4BD5BF" w14:textId="77777777" w:rsidTr="001C6AEE">
        <w:trPr>
          <w:trHeight w:val="600"/>
          <w:jc w:val="center"/>
        </w:trPr>
        <w:tc>
          <w:tcPr>
            <w:tcW w:w="1838" w:type="dxa"/>
            <w:hideMark/>
          </w:tcPr>
          <w:p w14:paraId="0AEDF153"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Chihuahua</w:t>
            </w:r>
          </w:p>
        </w:tc>
        <w:tc>
          <w:tcPr>
            <w:tcW w:w="6946" w:type="dxa"/>
            <w:hideMark/>
          </w:tcPr>
          <w:p w14:paraId="654FB7D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Matamoros, Hidalgo del Parral, Allende</w:t>
            </w:r>
          </w:p>
        </w:tc>
      </w:tr>
      <w:tr w:rsidR="001C6AEE" w:rsidRPr="005379A1" w14:paraId="5F650C90" w14:textId="77777777" w:rsidTr="001C6AEE">
        <w:trPr>
          <w:trHeight w:val="600"/>
          <w:jc w:val="center"/>
        </w:trPr>
        <w:tc>
          <w:tcPr>
            <w:tcW w:w="1838" w:type="dxa"/>
            <w:hideMark/>
          </w:tcPr>
          <w:p w14:paraId="7E53CDC9"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Chihuahua</w:t>
            </w:r>
          </w:p>
        </w:tc>
        <w:tc>
          <w:tcPr>
            <w:tcW w:w="6946" w:type="dxa"/>
            <w:hideMark/>
          </w:tcPr>
          <w:p w14:paraId="700A8A3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López, Jiménez, Camargo, La Cruz, Saucillo, Delicias, </w:t>
            </w:r>
            <w:proofErr w:type="spellStart"/>
            <w:r w:rsidRPr="005379A1">
              <w:rPr>
                <w:rFonts w:ascii="ITC Avant Garde" w:hAnsi="ITC Avant Garde"/>
                <w:color w:val="000000"/>
                <w:sz w:val="16"/>
                <w:szCs w:val="16"/>
                <w:lang w:eastAsia="es-MX"/>
              </w:rPr>
              <w:t>Meoqui</w:t>
            </w:r>
            <w:proofErr w:type="spellEnd"/>
            <w:r w:rsidRPr="005379A1">
              <w:rPr>
                <w:rFonts w:ascii="ITC Avant Garde" w:hAnsi="ITC Avant Garde"/>
                <w:color w:val="000000"/>
                <w:sz w:val="16"/>
                <w:szCs w:val="16"/>
                <w:lang w:eastAsia="es-MX"/>
              </w:rPr>
              <w:t>, Rosales, Aquiles Serdán, Chihuahua, Ahumada y Juárez.</w:t>
            </w:r>
          </w:p>
        </w:tc>
      </w:tr>
      <w:tr w:rsidR="001C6AEE" w:rsidRPr="005379A1" w14:paraId="6EA29C1E" w14:textId="77777777" w:rsidTr="001C6AEE">
        <w:trPr>
          <w:trHeight w:val="600"/>
          <w:jc w:val="center"/>
        </w:trPr>
        <w:tc>
          <w:tcPr>
            <w:tcW w:w="1838" w:type="dxa"/>
            <w:hideMark/>
          </w:tcPr>
          <w:p w14:paraId="429FCD26"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Colima</w:t>
            </w:r>
          </w:p>
        </w:tc>
        <w:tc>
          <w:tcPr>
            <w:tcW w:w="6946" w:type="dxa"/>
            <w:hideMark/>
          </w:tcPr>
          <w:p w14:paraId="078E06A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Manzanillo, Armería, Tecomán, Colima y Cuauhtémoc.</w:t>
            </w:r>
          </w:p>
        </w:tc>
      </w:tr>
    </w:tbl>
    <w:p w14:paraId="4125FF70" w14:textId="77777777" w:rsidR="001C4111" w:rsidRPr="005379A1" w:rsidRDefault="001C4111" w:rsidP="005379A1">
      <w:pPr>
        <w:autoSpaceDE w:val="0"/>
        <w:autoSpaceDN w:val="0"/>
        <w:adjustRightInd w:val="0"/>
        <w:spacing w:after="240"/>
        <w:jc w:val="both"/>
        <w:rPr>
          <w:rFonts w:ascii="ITC Avant Garde" w:hAnsi="ITC Avant Garde"/>
          <w:bCs/>
          <w:sz w:val="22"/>
          <w:szCs w:val="22"/>
        </w:rPr>
      </w:pPr>
    </w:p>
    <w:p w14:paraId="0516D76A" w14:textId="77777777" w:rsidR="001C6AEE" w:rsidRPr="005379A1" w:rsidRDefault="001C4111" w:rsidP="005379A1">
      <w:pPr>
        <w:autoSpaceDE w:val="0"/>
        <w:autoSpaceDN w:val="0"/>
        <w:adjustRightInd w:val="0"/>
        <w:spacing w:after="240"/>
        <w:jc w:val="both"/>
        <w:rPr>
          <w:rFonts w:ascii="ITC Avant Garde" w:hAnsi="ITC Avant Garde"/>
          <w:bCs/>
          <w:sz w:val="22"/>
          <w:szCs w:val="22"/>
        </w:rPr>
      </w:pPr>
      <w:r w:rsidRPr="005379A1">
        <w:rPr>
          <w:rFonts w:ascii="ITC Avant Garde" w:hAnsi="ITC Avant Garde"/>
          <w:bCs/>
          <w:sz w:val="22"/>
          <w:szCs w:val="22"/>
        </w:rPr>
        <w:t xml:space="preserve">A fin de que el Instituto Federal de Telecomunicaciones expida el título de concesión señalado en el párrafo anterior, </w:t>
      </w:r>
      <w:r w:rsidRPr="005379A1">
        <w:rPr>
          <w:rFonts w:ascii="ITC Avant Garde" w:eastAsia="Calibri" w:hAnsi="ITC Avant Garde"/>
          <w:bCs/>
          <w:color w:val="000000"/>
          <w:sz w:val="22"/>
          <w:szCs w:val="22"/>
          <w:lang w:eastAsia="es-MX"/>
        </w:rPr>
        <w:t>Intercomunicación del Pacífico</w:t>
      </w:r>
      <w:r w:rsidRPr="005379A1">
        <w:rPr>
          <w:rFonts w:ascii="ITC Avant Garde" w:hAnsi="ITC Avant Garde"/>
          <w:bCs/>
          <w:color w:val="000000"/>
          <w:sz w:val="22"/>
          <w:szCs w:val="22"/>
          <w:lang w:val="es-ES" w:eastAsia="es-MX"/>
        </w:rPr>
        <w:t>, S.A. de C.V.</w:t>
      </w:r>
      <w:r w:rsidRPr="005379A1">
        <w:rPr>
          <w:rFonts w:ascii="ITC Avant Garde" w:hAnsi="ITC Avant Garde"/>
          <w:bCs/>
          <w:sz w:val="22"/>
          <w:szCs w:val="22"/>
        </w:rPr>
        <w:t xml:space="preserve"> deberá aceptar expresamente y de manera previa, las nuevas condiciones que al efecto se le establezcan, de conformidad con lo dispuesto por los Resolutivos Cuarto y Quinto de la presente Resolución.</w:t>
      </w:r>
    </w:p>
    <w:p w14:paraId="76CCCBAF" w14:textId="77777777" w:rsidR="001C6AEE" w:rsidRPr="005379A1" w:rsidRDefault="00436B60" w:rsidP="005379A1">
      <w:pPr>
        <w:autoSpaceDE w:val="0"/>
        <w:autoSpaceDN w:val="0"/>
        <w:adjustRightInd w:val="0"/>
        <w:spacing w:after="240"/>
        <w:jc w:val="both"/>
        <w:rPr>
          <w:rFonts w:ascii="ITC Avant Garde" w:hAnsi="ITC Avant Garde"/>
          <w:bCs/>
          <w:sz w:val="22"/>
          <w:szCs w:val="22"/>
          <w:lang w:val="es-ES_tradnl"/>
        </w:rPr>
      </w:pPr>
      <w:r w:rsidRPr="005379A1">
        <w:rPr>
          <w:rFonts w:ascii="ITC Avant Garde" w:hAnsi="ITC Avant Garde"/>
          <w:b/>
          <w:bCs/>
          <w:color w:val="000000"/>
          <w:sz w:val="22"/>
          <w:szCs w:val="22"/>
          <w:lang w:val="es-ES" w:eastAsia="es-MX"/>
        </w:rPr>
        <w:t>SEGUNDO.-</w:t>
      </w:r>
      <w:r w:rsidRPr="005379A1">
        <w:rPr>
          <w:rFonts w:ascii="ITC Avant Garde" w:hAnsi="ITC Avant Garde"/>
          <w:bCs/>
        </w:rPr>
        <w:t xml:space="preserve"> </w:t>
      </w:r>
      <w:r w:rsidRPr="005379A1">
        <w:rPr>
          <w:rFonts w:ascii="ITC Avant Garde" w:hAnsi="ITC Avant Garde"/>
          <w:bCs/>
          <w:sz w:val="22"/>
          <w:szCs w:val="22"/>
        </w:rPr>
        <w:t xml:space="preserve">De conformidad con la autorización señalada en el Resolutivo que antecede, </w:t>
      </w:r>
      <w:r w:rsidR="00BC0EB7" w:rsidRPr="005379A1">
        <w:rPr>
          <w:rFonts w:ascii="ITC Avant Garde" w:hAnsi="ITC Avant Garde"/>
          <w:bCs/>
          <w:sz w:val="22"/>
          <w:szCs w:val="22"/>
        </w:rPr>
        <w:t xml:space="preserve">el Instituto Federal de Telecomunicaciones otorgará un título de concesión para uso comercial en favor de </w:t>
      </w:r>
      <w:r w:rsidR="00CB0706" w:rsidRPr="005379A1">
        <w:rPr>
          <w:rFonts w:ascii="ITC Avant Garde" w:eastAsia="Calibri" w:hAnsi="ITC Avant Garde"/>
          <w:bCs/>
          <w:color w:val="000000"/>
          <w:sz w:val="22"/>
          <w:szCs w:val="22"/>
          <w:lang w:eastAsia="es-MX"/>
        </w:rPr>
        <w:t>Intercomunicación del Pacífico</w:t>
      </w:r>
      <w:r w:rsidR="00BC0EB7" w:rsidRPr="005379A1">
        <w:rPr>
          <w:rFonts w:ascii="ITC Avant Garde" w:hAnsi="ITC Avant Garde"/>
          <w:bCs/>
          <w:color w:val="000000"/>
          <w:sz w:val="22"/>
          <w:szCs w:val="22"/>
          <w:lang w:val="es-ES" w:eastAsia="es-MX"/>
        </w:rPr>
        <w:t>, S.A. de C.V.</w:t>
      </w:r>
      <w:r w:rsidR="00BC0EB7" w:rsidRPr="005379A1">
        <w:rPr>
          <w:rFonts w:ascii="ITC Avant Garde" w:hAnsi="ITC Avant Garde"/>
          <w:bCs/>
          <w:sz w:val="22"/>
          <w:szCs w:val="22"/>
        </w:rPr>
        <w:t xml:space="preserve"> con una vigencia de 30 (treinta) años contados a partir del </w:t>
      </w:r>
      <w:r w:rsidR="00E07DEE" w:rsidRPr="005379A1">
        <w:rPr>
          <w:rFonts w:ascii="ITC Avant Garde" w:hAnsi="ITC Avant Garde"/>
          <w:bCs/>
          <w:sz w:val="22"/>
          <w:szCs w:val="22"/>
        </w:rPr>
        <w:t>18 de noviembre</w:t>
      </w:r>
      <w:r w:rsidR="00BC0EB7" w:rsidRPr="005379A1">
        <w:rPr>
          <w:rFonts w:ascii="ITC Avant Garde" w:hAnsi="ITC Avant Garde"/>
          <w:bCs/>
          <w:sz w:val="22"/>
          <w:szCs w:val="22"/>
        </w:rPr>
        <w:t xml:space="preserve"> de 2009, </w:t>
      </w:r>
      <w:r w:rsidR="00BC0EB7" w:rsidRPr="005379A1">
        <w:rPr>
          <w:rFonts w:ascii="ITC Avant Garde" w:hAnsi="ITC Avant Garde"/>
          <w:bCs/>
          <w:sz w:val="22"/>
          <w:szCs w:val="22"/>
          <w:lang w:val="es-ES_tradnl"/>
        </w:rPr>
        <w:t>con cobertura nacional y con el que podrá prestar cualquier</w:t>
      </w:r>
      <w:r w:rsidR="000A0200" w:rsidRPr="005379A1">
        <w:rPr>
          <w:rFonts w:ascii="ITC Avant Garde" w:hAnsi="ITC Avant Garde"/>
          <w:bCs/>
          <w:sz w:val="22"/>
          <w:szCs w:val="22"/>
          <w:lang w:val="es-ES_tradnl"/>
        </w:rPr>
        <w:t xml:space="preserve"> servicio de </w:t>
      </w:r>
      <w:r w:rsidR="00BC0EB7" w:rsidRPr="005379A1">
        <w:rPr>
          <w:rFonts w:ascii="ITC Avant Garde" w:hAnsi="ITC Avant Garde"/>
          <w:bCs/>
          <w:sz w:val="22"/>
          <w:szCs w:val="22"/>
          <w:lang w:val="es-ES_tradnl"/>
        </w:rPr>
        <w:t xml:space="preserve">telecomunicaciones </w:t>
      </w:r>
      <w:r w:rsidR="00BC0EB7" w:rsidRPr="005379A1">
        <w:rPr>
          <w:rFonts w:ascii="ITC Avant Garde" w:hAnsi="ITC Avant Garde"/>
          <w:bCs/>
          <w:sz w:val="22"/>
          <w:szCs w:val="22"/>
          <w:lang w:val="es-ES_tradnl"/>
        </w:rPr>
        <w:lastRenderedPageBreak/>
        <w:t>y</w:t>
      </w:r>
      <w:r w:rsidR="000A0200" w:rsidRPr="005379A1">
        <w:rPr>
          <w:rFonts w:ascii="ITC Avant Garde" w:hAnsi="ITC Avant Garde"/>
          <w:bCs/>
          <w:sz w:val="22"/>
          <w:szCs w:val="22"/>
          <w:lang w:val="es-ES_tradnl"/>
        </w:rPr>
        <w:t xml:space="preserve"> de </w:t>
      </w:r>
      <w:r w:rsidR="00BC0EB7" w:rsidRPr="005379A1">
        <w:rPr>
          <w:rFonts w:ascii="ITC Avant Garde" w:hAnsi="ITC Avant Garde"/>
          <w:bCs/>
          <w:sz w:val="22"/>
          <w:szCs w:val="22"/>
          <w:lang w:val="es-ES_tradnl"/>
        </w:rPr>
        <w:t>radiodifusión que sea técnicamente factible</w:t>
      </w:r>
      <w:r w:rsidR="0091119D" w:rsidRPr="005379A1">
        <w:rPr>
          <w:rFonts w:ascii="ITC Avant Garde" w:hAnsi="ITC Avant Garde"/>
          <w:bCs/>
          <w:sz w:val="22"/>
          <w:szCs w:val="22"/>
          <w:lang w:val="es-ES_tradnl"/>
        </w:rPr>
        <w:t xml:space="preserve">, excepto </w:t>
      </w:r>
      <w:r w:rsidR="00C91B39" w:rsidRPr="005379A1">
        <w:rPr>
          <w:rFonts w:ascii="ITC Avant Garde" w:hAnsi="ITC Avant Garde"/>
          <w:bCs/>
          <w:sz w:val="22"/>
          <w:szCs w:val="22"/>
          <w:lang w:val="es-ES_tradnl"/>
        </w:rPr>
        <w:t xml:space="preserve">los </w:t>
      </w:r>
      <w:r w:rsidR="0091119D" w:rsidRPr="005379A1">
        <w:rPr>
          <w:rFonts w:ascii="ITC Avant Garde" w:hAnsi="ITC Avant Garde"/>
          <w:bCs/>
          <w:sz w:val="22"/>
          <w:szCs w:val="22"/>
          <w:lang w:val="es-ES_tradnl"/>
        </w:rPr>
        <w:t>servicios de televisión</w:t>
      </w:r>
      <w:r w:rsidR="00491BC1" w:rsidRPr="005379A1">
        <w:rPr>
          <w:rFonts w:ascii="ITC Avant Garde" w:hAnsi="ITC Avant Garde"/>
          <w:bCs/>
          <w:sz w:val="22"/>
          <w:szCs w:val="22"/>
          <w:lang w:val="es-ES_tradnl"/>
        </w:rPr>
        <w:t xml:space="preserve"> </w:t>
      </w:r>
      <w:r w:rsidR="00C91B39" w:rsidRPr="005379A1">
        <w:rPr>
          <w:rFonts w:ascii="ITC Avant Garde" w:hAnsi="ITC Avant Garde"/>
          <w:bCs/>
          <w:sz w:val="22"/>
          <w:szCs w:val="22"/>
          <w:lang w:val="es-ES_tradnl"/>
        </w:rPr>
        <w:t>radiodifundida y televisión restringida</w:t>
      </w:r>
      <w:r w:rsidR="00BC0EB7" w:rsidRPr="005379A1">
        <w:rPr>
          <w:rFonts w:ascii="ITC Avant Garde" w:hAnsi="ITC Avant Garde"/>
          <w:bCs/>
          <w:sz w:val="22"/>
          <w:szCs w:val="22"/>
          <w:lang w:val="es-ES_tradnl"/>
        </w:rPr>
        <w:t>.</w:t>
      </w:r>
    </w:p>
    <w:p w14:paraId="34DBE676" w14:textId="77777777" w:rsidR="001C6AEE" w:rsidRPr="005379A1" w:rsidRDefault="00BC0EB7" w:rsidP="005379A1">
      <w:pPr>
        <w:autoSpaceDE w:val="0"/>
        <w:autoSpaceDN w:val="0"/>
        <w:adjustRightInd w:val="0"/>
        <w:spacing w:after="240"/>
        <w:jc w:val="both"/>
        <w:rPr>
          <w:rFonts w:ascii="ITC Avant Garde" w:hAnsi="ITC Avant Garde"/>
          <w:bCs/>
          <w:sz w:val="22"/>
          <w:szCs w:val="22"/>
        </w:rPr>
      </w:pPr>
      <w:r w:rsidRPr="005379A1">
        <w:rPr>
          <w:rFonts w:ascii="ITC Avant Garde" w:hAnsi="ITC Avant Garde"/>
          <w:bCs/>
          <w:sz w:val="22"/>
          <w:szCs w:val="22"/>
        </w:rPr>
        <w:t xml:space="preserve">A fin de que el Instituto Federal de Telecomunicaciones expida el título de concesión señalado en el párrafo anterior, </w:t>
      </w:r>
      <w:r w:rsidR="00CB0706" w:rsidRPr="005379A1">
        <w:rPr>
          <w:rFonts w:ascii="ITC Avant Garde" w:eastAsia="Calibri" w:hAnsi="ITC Avant Garde"/>
          <w:bCs/>
          <w:color w:val="000000"/>
          <w:sz w:val="22"/>
          <w:szCs w:val="22"/>
          <w:lang w:eastAsia="es-MX"/>
        </w:rPr>
        <w:t>Intercomunicación del Pacífico</w:t>
      </w:r>
      <w:r w:rsidR="006A6904" w:rsidRPr="005379A1">
        <w:rPr>
          <w:rFonts w:ascii="ITC Avant Garde" w:hAnsi="ITC Avant Garde"/>
          <w:bCs/>
          <w:color w:val="000000"/>
          <w:sz w:val="22"/>
          <w:szCs w:val="22"/>
          <w:lang w:val="es-ES" w:eastAsia="es-MX"/>
        </w:rPr>
        <w:t>, S.A. de C.V.</w:t>
      </w:r>
      <w:r w:rsidRPr="005379A1">
        <w:rPr>
          <w:rFonts w:ascii="ITC Avant Garde" w:hAnsi="ITC Avant Garde"/>
          <w:bCs/>
          <w:sz w:val="22"/>
          <w:szCs w:val="22"/>
        </w:rPr>
        <w:t xml:space="preserve"> deberá aceptar expresamente y de manera previa, las nuevas condiciones que al efecto se le establezcan, </w:t>
      </w:r>
      <w:r w:rsidR="005B08F1" w:rsidRPr="005379A1">
        <w:rPr>
          <w:rFonts w:ascii="ITC Avant Garde" w:hAnsi="ITC Avant Garde"/>
          <w:bCs/>
          <w:sz w:val="22"/>
          <w:szCs w:val="22"/>
        </w:rPr>
        <w:t xml:space="preserve">en los términos señalados en </w:t>
      </w:r>
      <w:r w:rsidR="000D5A9E" w:rsidRPr="005379A1">
        <w:rPr>
          <w:rFonts w:ascii="ITC Avant Garde" w:hAnsi="ITC Avant Garde"/>
          <w:bCs/>
          <w:sz w:val="22"/>
          <w:szCs w:val="22"/>
        </w:rPr>
        <w:t>los</w:t>
      </w:r>
      <w:r w:rsidRPr="005379A1">
        <w:rPr>
          <w:rFonts w:ascii="ITC Avant Garde" w:hAnsi="ITC Avant Garde"/>
          <w:bCs/>
          <w:sz w:val="22"/>
          <w:szCs w:val="22"/>
        </w:rPr>
        <w:t xml:space="preserve"> Resolutivo</w:t>
      </w:r>
      <w:r w:rsidR="000D5A9E" w:rsidRPr="005379A1">
        <w:rPr>
          <w:rFonts w:ascii="ITC Avant Garde" w:hAnsi="ITC Avant Garde"/>
          <w:bCs/>
          <w:sz w:val="22"/>
          <w:szCs w:val="22"/>
        </w:rPr>
        <w:t>s</w:t>
      </w:r>
      <w:r w:rsidRPr="005379A1">
        <w:rPr>
          <w:rFonts w:ascii="ITC Avant Garde" w:hAnsi="ITC Avant Garde"/>
          <w:bCs/>
          <w:sz w:val="22"/>
          <w:szCs w:val="22"/>
        </w:rPr>
        <w:t xml:space="preserve"> </w:t>
      </w:r>
      <w:r w:rsidR="00CE343D" w:rsidRPr="005379A1">
        <w:rPr>
          <w:rFonts w:ascii="ITC Avant Garde" w:hAnsi="ITC Avant Garde"/>
          <w:bCs/>
          <w:sz w:val="22"/>
          <w:szCs w:val="22"/>
        </w:rPr>
        <w:t>Cuarto</w:t>
      </w:r>
      <w:r w:rsidR="000D5A9E" w:rsidRPr="005379A1">
        <w:rPr>
          <w:rFonts w:ascii="ITC Avant Garde" w:hAnsi="ITC Avant Garde"/>
          <w:bCs/>
          <w:sz w:val="22"/>
          <w:szCs w:val="22"/>
        </w:rPr>
        <w:t xml:space="preserve"> y Quinto</w:t>
      </w:r>
      <w:r w:rsidRPr="005379A1">
        <w:rPr>
          <w:rFonts w:ascii="ITC Avant Garde" w:hAnsi="ITC Avant Garde"/>
          <w:bCs/>
          <w:sz w:val="22"/>
          <w:szCs w:val="22"/>
        </w:rPr>
        <w:t xml:space="preserve"> de la presente Resolución.</w:t>
      </w:r>
    </w:p>
    <w:p w14:paraId="6D7836DE" w14:textId="77777777" w:rsidR="001C6AEE" w:rsidRPr="005379A1" w:rsidRDefault="00AA7BE7" w:rsidP="005379A1">
      <w:pPr>
        <w:autoSpaceDE w:val="0"/>
        <w:autoSpaceDN w:val="0"/>
        <w:adjustRightInd w:val="0"/>
        <w:spacing w:after="240"/>
        <w:jc w:val="both"/>
        <w:rPr>
          <w:rFonts w:ascii="ITC Avant Garde" w:hAnsi="ITC Avant Garde"/>
          <w:bCs/>
          <w:sz w:val="22"/>
          <w:szCs w:val="22"/>
        </w:rPr>
      </w:pPr>
      <w:r w:rsidRPr="005379A1">
        <w:rPr>
          <w:rFonts w:ascii="ITC Avant Garde" w:hAnsi="ITC Avant Garde"/>
          <w:b/>
          <w:bCs/>
          <w:sz w:val="22"/>
          <w:szCs w:val="22"/>
          <w:lang w:val="es-ES_tradnl"/>
        </w:rPr>
        <w:t>TERCERO.-</w:t>
      </w:r>
      <w:r w:rsidRPr="005379A1">
        <w:rPr>
          <w:rFonts w:ascii="ITC Avant Garde" w:hAnsi="ITC Avant Garde"/>
          <w:bCs/>
          <w:lang w:val="es-ES_tradnl"/>
        </w:rPr>
        <w:t xml:space="preserve"> </w:t>
      </w:r>
      <w:r w:rsidRPr="005379A1">
        <w:rPr>
          <w:rFonts w:ascii="ITC Avant Garde" w:hAnsi="ITC Avant Garde"/>
          <w:sz w:val="22"/>
          <w:szCs w:val="22"/>
        </w:rPr>
        <w:t xml:space="preserve">El título de concesión para uso comercial a que se refiere el Resolutivo </w:t>
      </w:r>
      <w:r w:rsidR="00436B60" w:rsidRPr="005379A1">
        <w:rPr>
          <w:rFonts w:ascii="ITC Avant Garde" w:hAnsi="ITC Avant Garde"/>
          <w:sz w:val="22"/>
          <w:szCs w:val="22"/>
        </w:rPr>
        <w:t>Primer</w:t>
      </w:r>
      <w:r w:rsidRPr="005379A1">
        <w:rPr>
          <w:rFonts w:ascii="ITC Avant Garde" w:hAnsi="ITC Avant Garde"/>
          <w:sz w:val="22"/>
          <w:szCs w:val="22"/>
        </w:rPr>
        <w:t xml:space="preserve">o, confiere a </w:t>
      </w:r>
      <w:r w:rsidR="00CB0706" w:rsidRPr="005379A1">
        <w:rPr>
          <w:rFonts w:ascii="ITC Avant Garde" w:eastAsia="Calibri" w:hAnsi="ITC Avant Garde"/>
          <w:bCs/>
          <w:color w:val="000000"/>
          <w:sz w:val="22"/>
          <w:szCs w:val="22"/>
        </w:rPr>
        <w:t>Intercomunicación del Pacífico</w:t>
      </w:r>
      <w:r w:rsidRPr="005379A1">
        <w:rPr>
          <w:rFonts w:ascii="ITC Avant Garde" w:hAnsi="ITC Avant Garde"/>
          <w:bCs/>
          <w:color w:val="000000"/>
          <w:sz w:val="22"/>
          <w:szCs w:val="22"/>
          <w:lang w:val="es-ES"/>
        </w:rPr>
        <w:t>, S.A. de C.V.</w:t>
      </w:r>
      <w:r w:rsidRPr="005379A1">
        <w:rPr>
          <w:rFonts w:ascii="ITC Avant Garde" w:hAnsi="ITC Avant Garde"/>
          <w:sz w:val="22"/>
          <w:szCs w:val="22"/>
        </w:rPr>
        <w:t xml:space="preserve">, a partir de su inicio de vigencia, el derecho a prestar únicamente el servicio móvil de radiocomunicación especializada de flotillas </w:t>
      </w:r>
      <w:r w:rsidRPr="005379A1">
        <w:rPr>
          <w:rFonts w:ascii="ITC Avant Garde" w:hAnsi="ITC Avant Garde"/>
          <w:bCs/>
          <w:color w:val="000000"/>
          <w:sz w:val="22"/>
          <w:szCs w:val="22"/>
        </w:rPr>
        <w:t xml:space="preserve">en los </w:t>
      </w:r>
      <w:r w:rsidR="005667BE" w:rsidRPr="005379A1">
        <w:rPr>
          <w:rFonts w:ascii="ITC Avant Garde" w:hAnsi="ITC Avant Garde"/>
          <w:bCs/>
          <w:color w:val="000000"/>
          <w:sz w:val="22"/>
          <w:szCs w:val="22"/>
        </w:rPr>
        <w:t>grupos</w:t>
      </w:r>
      <w:r w:rsidRPr="005379A1">
        <w:rPr>
          <w:rFonts w:ascii="ITC Avant Garde" w:hAnsi="ITC Avant Garde"/>
          <w:bCs/>
          <w:color w:val="000000"/>
          <w:sz w:val="22"/>
          <w:szCs w:val="22"/>
        </w:rPr>
        <w:t xml:space="preserve"> para tal efecto definidos, dentro del rango de frecuencias 410-430 MHz, </w:t>
      </w:r>
      <w:r w:rsidR="008F39FF" w:rsidRPr="005379A1">
        <w:rPr>
          <w:rFonts w:ascii="ITC Avant Garde" w:hAnsi="ITC Avant Garde"/>
          <w:bCs/>
          <w:sz w:val="22"/>
          <w:szCs w:val="22"/>
        </w:rPr>
        <w:t xml:space="preserve">de conformidad con el siguiente esquema de asignación de </w:t>
      </w:r>
      <w:r w:rsidR="005667BE" w:rsidRPr="005379A1">
        <w:rPr>
          <w:rFonts w:ascii="ITC Avant Garde" w:hAnsi="ITC Avant Garde"/>
          <w:bCs/>
          <w:sz w:val="22"/>
          <w:szCs w:val="22"/>
        </w:rPr>
        <w:t>cobertura</w:t>
      </w:r>
      <w:r w:rsidR="008F39FF" w:rsidRPr="005379A1">
        <w:rPr>
          <w:rFonts w:ascii="ITC Avant Garde" w:hAnsi="ITC Avant Garde"/>
          <w:bCs/>
          <w:sz w:val="22"/>
          <w:szCs w:val="22"/>
        </w:rPr>
        <w:t>:</w:t>
      </w:r>
    </w:p>
    <w:p w14:paraId="058F42BB" w14:textId="7324FFDA" w:rsidR="008F39FF" w:rsidRPr="005379A1" w:rsidRDefault="001C6AEE" w:rsidP="001C6AEE">
      <w:pPr>
        <w:autoSpaceDE w:val="0"/>
        <w:autoSpaceDN w:val="0"/>
        <w:adjustRightInd w:val="0"/>
        <w:jc w:val="center"/>
        <w:rPr>
          <w:rFonts w:ascii="ITC Avant Garde" w:hAnsi="ITC Avant Garde"/>
          <w:bCs/>
          <w:sz w:val="22"/>
          <w:szCs w:val="22"/>
        </w:rPr>
      </w:pPr>
      <w:r w:rsidRPr="005379A1">
        <w:rPr>
          <w:rFonts w:ascii="ITC Avant Garde" w:hAnsi="ITC Avant Garde"/>
          <w:b/>
          <w:sz w:val="18"/>
          <w:szCs w:val="18"/>
        </w:rPr>
        <w:t>Cobertura</w:t>
      </w:r>
    </w:p>
    <w:tbl>
      <w:tblPr>
        <w:tblStyle w:val="Cuadrculadetablaclara"/>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bertura 2"/>
        <w:tblDescription w:val="La tabla proporciona los grupos de frecuencia asignados por estado, municipio y delegación."/>
      </w:tblPr>
      <w:tblGrid>
        <w:gridCol w:w="1559"/>
        <w:gridCol w:w="4106"/>
        <w:gridCol w:w="2410"/>
      </w:tblGrid>
      <w:tr w:rsidR="001C6AEE" w:rsidRPr="005379A1" w14:paraId="78FA7CD2" w14:textId="77777777" w:rsidTr="001C6AEE">
        <w:trPr>
          <w:trHeight w:val="600"/>
          <w:tblHeader/>
          <w:jc w:val="center"/>
        </w:trPr>
        <w:tc>
          <w:tcPr>
            <w:tcW w:w="1559" w:type="dxa"/>
            <w:shd w:val="clear" w:color="auto" w:fill="BFBFBF" w:themeFill="background1" w:themeFillShade="BF"/>
            <w:vAlign w:val="center"/>
            <w:hideMark/>
          </w:tcPr>
          <w:p w14:paraId="2A5A29FB" w14:textId="77777777" w:rsidR="001C6AEE" w:rsidRPr="005379A1" w:rsidRDefault="001C6AEE" w:rsidP="001C6AEE">
            <w:pPr>
              <w:jc w:val="center"/>
              <w:rPr>
                <w:rFonts w:ascii="ITC Avant Garde" w:hAnsi="ITC Avant Garde"/>
                <w:b/>
                <w:color w:val="000000"/>
                <w:sz w:val="16"/>
                <w:szCs w:val="16"/>
                <w:lang w:eastAsia="es-MX"/>
              </w:rPr>
            </w:pPr>
            <w:r w:rsidRPr="005379A1">
              <w:rPr>
                <w:rFonts w:ascii="ITC Avant Garde" w:hAnsi="ITC Avant Garde"/>
                <w:b/>
                <w:color w:val="000000"/>
                <w:sz w:val="16"/>
                <w:szCs w:val="16"/>
                <w:lang w:eastAsia="es-MX"/>
              </w:rPr>
              <w:t>Estado</w:t>
            </w:r>
          </w:p>
        </w:tc>
        <w:tc>
          <w:tcPr>
            <w:tcW w:w="4106" w:type="dxa"/>
            <w:shd w:val="clear" w:color="auto" w:fill="BFBFBF" w:themeFill="background1" w:themeFillShade="BF"/>
            <w:vAlign w:val="center"/>
            <w:hideMark/>
          </w:tcPr>
          <w:p w14:paraId="6009453E" w14:textId="77777777" w:rsidR="001C6AEE" w:rsidRPr="005379A1" w:rsidRDefault="001C6AEE" w:rsidP="001C6AEE">
            <w:pPr>
              <w:jc w:val="center"/>
              <w:rPr>
                <w:rFonts w:ascii="ITC Avant Garde" w:hAnsi="ITC Avant Garde"/>
                <w:b/>
                <w:color w:val="000000"/>
                <w:sz w:val="16"/>
                <w:szCs w:val="16"/>
                <w:lang w:eastAsia="es-MX"/>
              </w:rPr>
            </w:pPr>
            <w:r w:rsidRPr="005379A1">
              <w:rPr>
                <w:rFonts w:ascii="ITC Avant Garde" w:hAnsi="ITC Avant Garde"/>
                <w:b/>
                <w:color w:val="000000"/>
                <w:sz w:val="16"/>
                <w:szCs w:val="16"/>
                <w:lang w:eastAsia="es-MX"/>
              </w:rPr>
              <w:t>Municipios/Delegaciones</w:t>
            </w:r>
          </w:p>
        </w:tc>
        <w:tc>
          <w:tcPr>
            <w:tcW w:w="2410" w:type="dxa"/>
            <w:shd w:val="clear" w:color="auto" w:fill="BFBFBF" w:themeFill="background1" w:themeFillShade="BF"/>
            <w:vAlign w:val="center"/>
            <w:hideMark/>
          </w:tcPr>
          <w:p w14:paraId="5EB24B2A" w14:textId="77777777" w:rsidR="001C6AEE" w:rsidRPr="005379A1" w:rsidRDefault="001C6AEE" w:rsidP="001C6AEE">
            <w:pPr>
              <w:jc w:val="center"/>
              <w:rPr>
                <w:rFonts w:ascii="ITC Avant Garde" w:hAnsi="ITC Avant Garde"/>
                <w:b/>
                <w:color w:val="000000"/>
                <w:sz w:val="16"/>
                <w:szCs w:val="16"/>
                <w:lang w:eastAsia="es-MX"/>
              </w:rPr>
            </w:pPr>
            <w:r w:rsidRPr="005379A1">
              <w:rPr>
                <w:rFonts w:ascii="ITC Avant Garde" w:hAnsi="ITC Avant Garde"/>
                <w:b/>
                <w:color w:val="000000"/>
                <w:sz w:val="16"/>
                <w:szCs w:val="16"/>
                <w:lang w:eastAsia="es-MX"/>
              </w:rPr>
              <w:t>Grupos de frecuencia asignados en la banda de 400 MHz</w:t>
            </w:r>
          </w:p>
        </w:tc>
      </w:tr>
      <w:tr w:rsidR="001C6AEE" w:rsidRPr="005379A1" w14:paraId="15FBB5E1" w14:textId="77777777" w:rsidTr="001C6AEE">
        <w:trPr>
          <w:trHeight w:val="600"/>
          <w:jc w:val="center"/>
        </w:trPr>
        <w:tc>
          <w:tcPr>
            <w:tcW w:w="1559" w:type="dxa"/>
            <w:hideMark/>
          </w:tcPr>
          <w:p w14:paraId="3C937A1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Ciudad de México </w:t>
            </w:r>
          </w:p>
        </w:tc>
        <w:tc>
          <w:tcPr>
            <w:tcW w:w="4106" w:type="dxa"/>
            <w:hideMark/>
          </w:tcPr>
          <w:p w14:paraId="00BF196D"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Álvaro Obregón, Azcapotzalco, Benito Juárez, Cuajimalpa de Morelos, Coyoacán, Cuauhtémoc, Gustavo A. Madero, Iztacalco, Iztapalapa, La Magdalena Contreras, Miguel Hidalgo, Milpa Alta, Tláhuac, Tlalpan, Venustiano Carranza y Xochimilco.</w:t>
            </w:r>
          </w:p>
        </w:tc>
        <w:tc>
          <w:tcPr>
            <w:tcW w:w="2410" w:type="dxa"/>
            <w:hideMark/>
          </w:tcPr>
          <w:p w14:paraId="3E3F1B00"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39</w:t>
            </w:r>
          </w:p>
        </w:tc>
      </w:tr>
      <w:tr w:rsidR="001C6AEE" w:rsidRPr="005379A1" w14:paraId="7C05F873" w14:textId="77777777" w:rsidTr="001C6AEE">
        <w:trPr>
          <w:trHeight w:val="600"/>
          <w:jc w:val="center"/>
        </w:trPr>
        <w:tc>
          <w:tcPr>
            <w:tcW w:w="1559" w:type="dxa"/>
            <w:hideMark/>
          </w:tcPr>
          <w:p w14:paraId="747D46B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Estado de México </w:t>
            </w:r>
          </w:p>
        </w:tc>
        <w:tc>
          <w:tcPr>
            <w:tcW w:w="4106" w:type="dxa"/>
            <w:hideMark/>
          </w:tcPr>
          <w:p w14:paraId="050F9DE0"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Tlalnepantla de Baz, Tultitlán, Cuautitlán Izcalli, </w:t>
            </w:r>
            <w:proofErr w:type="spellStart"/>
            <w:r w:rsidRPr="005379A1">
              <w:rPr>
                <w:rFonts w:ascii="ITC Avant Garde" w:hAnsi="ITC Avant Garde"/>
                <w:color w:val="000000"/>
                <w:sz w:val="16"/>
                <w:szCs w:val="16"/>
                <w:lang w:eastAsia="es-MX"/>
              </w:rPr>
              <w:t>Tepozotlán</w:t>
            </w:r>
            <w:proofErr w:type="spellEnd"/>
            <w:r w:rsidRPr="005379A1">
              <w:rPr>
                <w:rFonts w:ascii="ITC Avant Garde" w:hAnsi="ITC Avant Garde"/>
                <w:color w:val="000000"/>
                <w:sz w:val="16"/>
                <w:szCs w:val="16"/>
                <w:lang w:eastAsia="es-MX"/>
              </w:rPr>
              <w:t xml:space="preserve">, Teoloyucan, </w:t>
            </w:r>
            <w:proofErr w:type="spellStart"/>
            <w:r w:rsidRPr="005379A1">
              <w:rPr>
                <w:rFonts w:ascii="ITC Avant Garde" w:hAnsi="ITC Avant Garde"/>
                <w:color w:val="000000"/>
                <w:sz w:val="16"/>
                <w:szCs w:val="16"/>
                <w:lang w:eastAsia="es-MX"/>
              </w:rPr>
              <w:t>Coyotepec</w:t>
            </w:r>
            <w:proofErr w:type="spellEnd"/>
            <w:r w:rsidRPr="005379A1">
              <w:rPr>
                <w:rFonts w:ascii="ITC Avant Garde" w:hAnsi="ITC Avant Garde"/>
                <w:color w:val="000000"/>
                <w:sz w:val="16"/>
                <w:szCs w:val="16"/>
                <w:lang w:eastAsia="es-MX"/>
              </w:rPr>
              <w:t xml:space="preserve">, Huehuetoca, Jilotepec, </w:t>
            </w:r>
            <w:proofErr w:type="spellStart"/>
            <w:r w:rsidRPr="005379A1">
              <w:rPr>
                <w:rFonts w:ascii="ITC Avant Garde" w:hAnsi="ITC Avant Garde"/>
                <w:color w:val="000000"/>
                <w:sz w:val="16"/>
                <w:szCs w:val="16"/>
                <w:lang w:eastAsia="es-MX"/>
              </w:rPr>
              <w:t>Soyaniquilpan</w:t>
            </w:r>
            <w:proofErr w:type="spellEnd"/>
            <w:r w:rsidRPr="005379A1">
              <w:rPr>
                <w:rFonts w:ascii="ITC Avant Garde" w:hAnsi="ITC Avant Garde"/>
                <w:color w:val="000000"/>
                <w:sz w:val="16"/>
                <w:szCs w:val="16"/>
                <w:lang w:eastAsia="es-MX"/>
              </w:rPr>
              <w:t xml:space="preserve"> de Juárez, Aculco y </w:t>
            </w:r>
            <w:proofErr w:type="spellStart"/>
            <w:r w:rsidRPr="005379A1">
              <w:rPr>
                <w:rFonts w:ascii="ITC Avant Garde" w:hAnsi="ITC Avant Garde"/>
                <w:color w:val="000000"/>
                <w:sz w:val="16"/>
                <w:szCs w:val="16"/>
                <w:lang w:eastAsia="es-MX"/>
              </w:rPr>
              <w:t>Polotitlán</w:t>
            </w:r>
            <w:proofErr w:type="spellEnd"/>
            <w:r w:rsidRPr="005379A1">
              <w:rPr>
                <w:rFonts w:ascii="ITC Avant Garde" w:hAnsi="ITC Avant Garde"/>
                <w:color w:val="000000"/>
                <w:sz w:val="16"/>
                <w:szCs w:val="16"/>
                <w:lang w:eastAsia="es-MX"/>
              </w:rPr>
              <w:t>.</w:t>
            </w:r>
          </w:p>
        </w:tc>
        <w:tc>
          <w:tcPr>
            <w:tcW w:w="2410" w:type="dxa"/>
            <w:hideMark/>
          </w:tcPr>
          <w:p w14:paraId="43284C5A"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39</w:t>
            </w:r>
          </w:p>
        </w:tc>
      </w:tr>
      <w:tr w:rsidR="001C6AEE" w:rsidRPr="005379A1" w14:paraId="2D4D4F97" w14:textId="77777777" w:rsidTr="001C6AEE">
        <w:trPr>
          <w:trHeight w:val="600"/>
          <w:jc w:val="center"/>
        </w:trPr>
        <w:tc>
          <w:tcPr>
            <w:tcW w:w="1559" w:type="dxa"/>
            <w:hideMark/>
          </w:tcPr>
          <w:p w14:paraId="0C19593A"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Hidalgo</w:t>
            </w:r>
          </w:p>
        </w:tc>
        <w:tc>
          <w:tcPr>
            <w:tcW w:w="4106" w:type="dxa"/>
            <w:hideMark/>
          </w:tcPr>
          <w:p w14:paraId="4380CCE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Tepeji del Río de Ocampo.</w:t>
            </w:r>
          </w:p>
        </w:tc>
        <w:tc>
          <w:tcPr>
            <w:tcW w:w="2410" w:type="dxa"/>
            <w:hideMark/>
          </w:tcPr>
          <w:p w14:paraId="3F40A02A"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39</w:t>
            </w:r>
          </w:p>
        </w:tc>
      </w:tr>
      <w:tr w:rsidR="001C6AEE" w:rsidRPr="005379A1" w14:paraId="5ACC8EC4" w14:textId="77777777" w:rsidTr="001C6AEE">
        <w:trPr>
          <w:trHeight w:val="600"/>
          <w:jc w:val="center"/>
        </w:trPr>
        <w:tc>
          <w:tcPr>
            <w:tcW w:w="1559" w:type="dxa"/>
            <w:hideMark/>
          </w:tcPr>
          <w:p w14:paraId="09F30FA7"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Querétaro</w:t>
            </w:r>
          </w:p>
        </w:tc>
        <w:tc>
          <w:tcPr>
            <w:tcW w:w="4106" w:type="dxa"/>
            <w:hideMark/>
          </w:tcPr>
          <w:p w14:paraId="4CAC2B3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San Juan del Río, Pedro Escobedo, El Marqués, Querétaro y Corregidora.</w:t>
            </w:r>
          </w:p>
        </w:tc>
        <w:tc>
          <w:tcPr>
            <w:tcW w:w="2410" w:type="dxa"/>
            <w:hideMark/>
          </w:tcPr>
          <w:p w14:paraId="0401F97B"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35, 36, 37, 38 y 39</w:t>
            </w:r>
          </w:p>
        </w:tc>
      </w:tr>
      <w:tr w:rsidR="001C6AEE" w:rsidRPr="005379A1" w14:paraId="7D71DCB6" w14:textId="77777777" w:rsidTr="001C6AEE">
        <w:trPr>
          <w:trHeight w:val="600"/>
          <w:jc w:val="center"/>
        </w:trPr>
        <w:tc>
          <w:tcPr>
            <w:tcW w:w="1559" w:type="dxa"/>
            <w:hideMark/>
          </w:tcPr>
          <w:p w14:paraId="748DE00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Guanajuato</w:t>
            </w:r>
          </w:p>
        </w:tc>
        <w:tc>
          <w:tcPr>
            <w:tcW w:w="4106" w:type="dxa"/>
            <w:hideMark/>
          </w:tcPr>
          <w:p w14:paraId="01D92D51"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Apaseo el Grande, Celaya, </w:t>
            </w:r>
            <w:proofErr w:type="spellStart"/>
            <w:r w:rsidRPr="005379A1">
              <w:rPr>
                <w:rFonts w:ascii="ITC Avant Garde" w:hAnsi="ITC Avant Garde"/>
                <w:color w:val="000000"/>
                <w:sz w:val="16"/>
                <w:szCs w:val="16"/>
                <w:lang w:eastAsia="es-MX"/>
              </w:rPr>
              <w:t>Cortazar</w:t>
            </w:r>
            <w:proofErr w:type="spellEnd"/>
            <w:r w:rsidRPr="005379A1">
              <w:rPr>
                <w:rFonts w:ascii="ITC Avant Garde" w:hAnsi="ITC Avant Garde"/>
                <w:color w:val="000000"/>
                <w:sz w:val="16"/>
                <w:szCs w:val="16"/>
                <w:lang w:eastAsia="es-MX"/>
              </w:rPr>
              <w:t>, Villagrán, Salamanca, Irapuato, Guanajuato, Silao y León.</w:t>
            </w:r>
          </w:p>
        </w:tc>
        <w:tc>
          <w:tcPr>
            <w:tcW w:w="2410" w:type="dxa"/>
            <w:hideMark/>
          </w:tcPr>
          <w:p w14:paraId="03AC20C5"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35, 36, 37, 38 y 39</w:t>
            </w:r>
          </w:p>
        </w:tc>
      </w:tr>
      <w:tr w:rsidR="001C6AEE" w:rsidRPr="005379A1" w14:paraId="2390370F" w14:textId="77777777" w:rsidTr="001C6AEE">
        <w:trPr>
          <w:trHeight w:val="600"/>
          <w:jc w:val="center"/>
        </w:trPr>
        <w:tc>
          <w:tcPr>
            <w:tcW w:w="1559" w:type="dxa"/>
            <w:hideMark/>
          </w:tcPr>
          <w:p w14:paraId="142D3D5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Jalisco</w:t>
            </w:r>
          </w:p>
        </w:tc>
        <w:tc>
          <w:tcPr>
            <w:tcW w:w="4106" w:type="dxa"/>
            <w:hideMark/>
          </w:tcPr>
          <w:p w14:paraId="26967697"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Lagos de Moreno y Encarnación de Díaz.</w:t>
            </w:r>
          </w:p>
        </w:tc>
        <w:tc>
          <w:tcPr>
            <w:tcW w:w="2410" w:type="dxa"/>
            <w:hideMark/>
          </w:tcPr>
          <w:p w14:paraId="755045B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35, 36, 37, 38 y 39</w:t>
            </w:r>
          </w:p>
        </w:tc>
      </w:tr>
      <w:tr w:rsidR="001C6AEE" w:rsidRPr="005379A1" w14:paraId="6B18FAAA" w14:textId="77777777" w:rsidTr="001C6AEE">
        <w:trPr>
          <w:trHeight w:val="600"/>
          <w:jc w:val="center"/>
        </w:trPr>
        <w:tc>
          <w:tcPr>
            <w:tcW w:w="1559" w:type="dxa"/>
            <w:hideMark/>
          </w:tcPr>
          <w:p w14:paraId="6E9CF45E"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Jalisco</w:t>
            </w:r>
          </w:p>
        </w:tc>
        <w:tc>
          <w:tcPr>
            <w:tcW w:w="4106" w:type="dxa"/>
            <w:hideMark/>
          </w:tcPr>
          <w:p w14:paraId="1657A3A6" w14:textId="77777777" w:rsidR="001C6AEE" w:rsidRPr="005379A1" w:rsidRDefault="001C6AEE" w:rsidP="001C6AEE">
            <w:pPr>
              <w:jc w:val="center"/>
              <w:rPr>
                <w:rFonts w:ascii="ITC Avant Garde" w:hAnsi="ITC Avant Garde"/>
                <w:color w:val="000000"/>
                <w:sz w:val="16"/>
                <w:szCs w:val="16"/>
                <w:lang w:eastAsia="es-MX"/>
              </w:rPr>
            </w:pPr>
            <w:proofErr w:type="spellStart"/>
            <w:r w:rsidRPr="005379A1">
              <w:rPr>
                <w:rFonts w:ascii="ITC Avant Garde" w:hAnsi="ITC Avant Garde"/>
                <w:color w:val="000000"/>
                <w:sz w:val="16"/>
                <w:szCs w:val="16"/>
                <w:lang w:eastAsia="es-MX"/>
              </w:rPr>
              <w:t>Tonila</w:t>
            </w:r>
            <w:proofErr w:type="spellEnd"/>
            <w:r w:rsidRPr="005379A1">
              <w:rPr>
                <w:rFonts w:ascii="ITC Avant Garde" w:hAnsi="ITC Avant Garde"/>
                <w:color w:val="000000"/>
                <w:sz w:val="16"/>
                <w:szCs w:val="16"/>
                <w:lang w:eastAsia="es-MX"/>
              </w:rPr>
              <w:t xml:space="preserve">, Tuxpan, </w:t>
            </w:r>
            <w:proofErr w:type="spellStart"/>
            <w:r w:rsidRPr="005379A1">
              <w:rPr>
                <w:rFonts w:ascii="ITC Avant Garde" w:hAnsi="ITC Avant Garde"/>
                <w:color w:val="000000"/>
                <w:sz w:val="16"/>
                <w:szCs w:val="16"/>
                <w:lang w:eastAsia="es-MX"/>
              </w:rPr>
              <w:t>Zapotiltic</w:t>
            </w:r>
            <w:proofErr w:type="spellEnd"/>
            <w:r w:rsidRPr="005379A1">
              <w:rPr>
                <w:rFonts w:ascii="ITC Avant Garde" w:hAnsi="ITC Avant Garde"/>
                <w:color w:val="000000"/>
                <w:sz w:val="16"/>
                <w:szCs w:val="16"/>
                <w:lang w:eastAsia="es-MX"/>
              </w:rPr>
              <w:t xml:space="preserve">, Zapotlán el Grande, Gómez Farías, Sayula, Atoyac, </w:t>
            </w:r>
            <w:proofErr w:type="spellStart"/>
            <w:r w:rsidRPr="005379A1">
              <w:rPr>
                <w:rFonts w:ascii="ITC Avant Garde" w:hAnsi="ITC Avant Garde"/>
                <w:color w:val="000000"/>
                <w:sz w:val="16"/>
                <w:szCs w:val="16"/>
                <w:lang w:eastAsia="es-MX"/>
              </w:rPr>
              <w:t>Zacoalco</w:t>
            </w:r>
            <w:proofErr w:type="spellEnd"/>
            <w:r w:rsidRPr="005379A1">
              <w:rPr>
                <w:rFonts w:ascii="ITC Avant Garde" w:hAnsi="ITC Avant Garde"/>
                <w:color w:val="000000"/>
                <w:sz w:val="16"/>
                <w:szCs w:val="16"/>
                <w:lang w:eastAsia="es-MX"/>
              </w:rPr>
              <w:t xml:space="preserve"> de Torres, Acatlán de Juárez, Tlajomulco de Zúñiga, Zapopan, Tlaquepaque y Guadalajara.</w:t>
            </w:r>
          </w:p>
        </w:tc>
        <w:tc>
          <w:tcPr>
            <w:tcW w:w="2410" w:type="dxa"/>
            <w:hideMark/>
          </w:tcPr>
          <w:p w14:paraId="3B2DE78E"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21, 22, 23 y 24</w:t>
            </w:r>
          </w:p>
        </w:tc>
      </w:tr>
      <w:tr w:rsidR="001C6AEE" w:rsidRPr="005379A1" w14:paraId="6B46561F" w14:textId="77777777" w:rsidTr="001C6AEE">
        <w:trPr>
          <w:trHeight w:val="600"/>
          <w:jc w:val="center"/>
        </w:trPr>
        <w:tc>
          <w:tcPr>
            <w:tcW w:w="1559" w:type="dxa"/>
            <w:hideMark/>
          </w:tcPr>
          <w:p w14:paraId="385541E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Aguascalientes</w:t>
            </w:r>
          </w:p>
        </w:tc>
        <w:tc>
          <w:tcPr>
            <w:tcW w:w="4106" w:type="dxa"/>
            <w:hideMark/>
          </w:tcPr>
          <w:p w14:paraId="39CEBF72"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Aguascalientes, Jesús María, San Francisco de los Romo, Pabellón de Arteaga, Rincón de Romos y Cosío.</w:t>
            </w:r>
          </w:p>
        </w:tc>
        <w:tc>
          <w:tcPr>
            <w:tcW w:w="2410" w:type="dxa"/>
            <w:hideMark/>
          </w:tcPr>
          <w:p w14:paraId="4B93418B"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35, 36, 37, 38 y 39</w:t>
            </w:r>
          </w:p>
        </w:tc>
      </w:tr>
      <w:tr w:rsidR="001C6AEE" w:rsidRPr="005379A1" w14:paraId="39CD62D3" w14:textId="77777777" w:rsidTr="001C6AEE">
        <w:trPr>
          <w:trHeight w:val="600"/>
          <w:jc w:val="center"/>
        </w:trPr>
        <w:tc>
          <w:tcPr>
            <w:tcW w:w="1559" w:type="dxa"/>
            <w:hideMark/>
          </w:tcPr>
          <w:p w14:paraId="0462E14C"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Zacatecas</w:t>
            </w:r>
          </w:p>
        </w:tc>
        <w:tc>
          <w:tcPr>
            <w:tcW w:w="4106" w:type="dxa"/>
            <w:hideMark/>
          </w:tcPr>
          <w:p w14:paraId="6069C1CD"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Luis Moya, </w:t>
            </w:r>
            <w:proofErr w:type="spellStart"/>
            <w:r w:rsidRPr="005379A1">
              <w:rPr>
                <w:rFonts w:ascii="ITC Avant Garde" w:hAnsi="ITC Avant Garde"/>
                <w:color w:val="000000"/>
                <w:sz w:val="16"/>
                <w:szCs w:val="16"/>
                <w:lang w:eastAsia="es-MX"/>
              </w:rPr>
              <w:t>Ojocaliente</w:t>
            </w:r>
            <w:proofErr w:type="spellEnd"/>
            <w:r w:rsidRPr="005379A1">
              <w:rPr>
                <w:rFonts w:ascii="ITC Avant Garde" w:hAnsi="ITC Avant Garde"/>
                <w:color w:val="000000"/>
                <w:sz w:val="16"/>
                <w:szCs w:val="16"/>
                <w:lang w:eastAsia="es-MX"/>
              </w:rPr>
              <w:t xml:space="preserve">, </w:t>
            </w:r>
            <w:proofErr w:type="spellStart"/>
            <w:r w:rsidRPr="005379A1">
              <w:rPr>
                <w:rFonts w:ascii="ITC Avant Garde" w:hAnsi="ITC Avant Garde"/>
                <w:color w:val="000000"/>
                <w:sz w:val="16"/>
                <w:szCs w:val="16"/>
                <w:lang w:eastAsia="es-MX"/>
              </w:rPr>
              <w:t>Trancoso</w:t>
            </w:r>
            <w:proofErr w:type="spellEnd"/>
            <w:r w:rsidRPr="005379A1">
              <w:rPr>
                <w:rFonts w:ascii="ITC Avant Garde" w:hAnsi="ITC Avant Garde"/>
                <w:color w:val="000000"/>
                <w:sz w:val="16"/>
                <w:szCs w:val="16"/>
                <w:lang w:eastAsia="es-MX"/>
              </w:rPr>
              <w:t xml:space="preserve">, Guadalupe, Zacatecas, Morelos, Calera, General Enrique Estrada, Fresnillo, </w:t>
            </w:r>
            <w:proofErr w:type="spellStart"/>
            <w:r w:rsidRPr="005379A1">
              <w:rPr>
                <w:rFonts w:ascii="ITC Avant Garde" w:hAnsi="ITC Avant Garde"/>
                <w:color w:val="000000"/>
                <w:sz w:val="16"/>
                <w:szCs w:val="16"/>
                <w:lang w:eastAsia="es-MX"/>
              </w:rPr>
              <w:t>Sain</w:t>
            </w:r>
            <w:proofErr w:type="spellEnd"/>
            <w:r w:rsidRPr="005379A1">
              <w:rPr>
                <w:rFonts w:ascii="ITC Avant Garde" w:hAnsi="ITC Avant Garde"/>
                <w:color w:val="000000"/>
                <w:sz w:val="16"/>
                <w:szCs w:val="16"/>
                <w:lang w:eastAsia="es-MX"/>
              </w:rPr>
              <w:t xml:space="preserve"> Alto y Sombrerete.</w:t>
            </w:r>
          </w:p>
        </w:tc>
        <w:tc>
          <w:tcPr>
            <w:tcW w:w="2410" w:type="dxa"/>
            <w:hideMark/>
          </w:tcPr>
          <w:p w14:paraId="543CC13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35, 36, 37, 38 y 39</w:t>
            </w:r>
          </w:p>
        </w:tc>
      </w:tr>
      <w:tr w:rsidR="001C6AEE" w:rsidRPr="005379A1" w14:paraId="7A2178B4" w14:textId="77777777" w:rsidTr="001C6AEE">
        <w:trPr>
          <w:trHeight w:val="600"/>
          <w:jc w:val="center"/>
        </w:trPr>
        <w:tc>
          <w:tcPr>
            <w:tcW w:w="1559" w:type="dxa"/>
            <w:hideMark/>
          </w:tcPr>
          <w:p w14:paraId="17551E8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Durango</w:t>
            </w:r>
          </w:p>
        </w:tc>
        <w:tc>
          <w:tcPr>
            <w:tcW w:w="4106" w:type="dxa"/>
            <w:hideMark/>
          </w:tcPr>
          <w:p w14:paraId="378208A0"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Vicente Guerrero, Nombre de Dios, Durango, </w:t>
            </w:r>
            <w:proofErr w:type="spellStart"/>
            <w:r w:rsidRPr="005379A1">
              <w:rPr>
                <w:rFonts w:ascii="ITC Avant Garde" w:hAnsi="ITC Avant Garde"/>
                <w:color w:val="000000"/>
                <w:sz w:val="16"/>
                <w:szCs w:val="16"/>
                <w:lang w:eastAsia="es-MX"/>
              </w:rPr>
              <w:t>Canatlán</w:t>
            </w:r>
            <w:proofErr w:type="spellEnd"/>
            <w:r w:rsidRPr="005379A1">
              <w:rPr>
                <w:rFonts w:ascii="ITC Avant Garde" w:hAnsi="ITC Avant Garde"/>
                <w:color w:val="000000"/>
                <w:sz w:val="16"/>
                <w:szCs w:val="16"/>
                <w:lang w:eastAsia="es-MX"/>
              </w:rPr>
              <w:t>, San Juan del Río, Rodeo, San Pedro del Gallo, Hidalgo y Ocampo.</w:t>
            </w:r>
          </w:p>
        </w:tc>
        <w:tc>
          <w:tcPr>
            <w:tcW w:w="2410" w:type="dxa"/>
            <w:hideMark/>
          </w:tcPr>
          <w:p w14:paraId="1291B034"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35, 36, 37, 38 y 39</w:t>
            </w:r>
          </w:p>
        </w:tc>
      </w:tr>
      <w:tr w:rsidR="001C6AEE" w:rsidRPr="005379A1" w14:paraId="267E343C" w14:textId="77777777" w:rsidTr="001C6AEE">
        <w:trPr>
          <w:trHeight w:val="600"/>
          <w:jc w:val="center"/>
        </w:trPr>
        <w:tc>
          <w:tcPr>
            <w:tcW w:w="1559" w:type="dxa"/>
            <w:hideMark/>
          </w:tcPr>
          <w:p w14:paraId="71208BF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lastRenderedPageBreak/>
              <w:t>Chihuahua</w:t>
            </w:r>
          </w:p>
        </w:tc>
        <w:tc>
          <w:tcPr>
            <w:tcW w:w="4106" w:type="dxa"/>
            <w:hideMark/>
          </w:tcPr>
          <w:p w14:paraId="08A6AF9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 xml:space="preserve">Matamoros, Hidalgo del Parral, Allende López, Jiménez, Camargo, La Cruz, Saucillo, Delicias, </w:t>
            </w:r>
            <w:proofErr w:type="spellStart"/>
            <w:r w:rsidRPr="005379A1">
              <w:rPr>
                <w:rFonts w:ascii="ITC Avant Garde" w:hAnsi="ITC Avant Garde"/>
                <w:color w:val="000000"/>
                <w:sz w:val="16"/>
                <w:szCs w:val="16"/>
                <w:lang w:eastAsia="es-MX"/>
              </w:rPr>
              <w:t>Meoqui</w:t>
            </w:r>
            <w:proofErr w:type="spellEnd"/>
            <w:r w:rsidRPr="005379A1">
              <w:rPr>
                <w:rFonts w:ascii="ITC Avant Garde" w:hAnsi="ITC Avant Garde"/>
                <w:color w:val="000000"/>
                <w:sz w:val="16"/>
                <w:szCs w:val="16"/>
                <w:lang w:eastAsia="es-MX"/>
              </w:rPr>
              <w:t>, Rosales, Aquiles Serdán, Chihuahua, Ahumada y Juárez.</w:t>
            </w:r>
          </w:p>
        </w:tc>
        <w:tc>
          <w:tcPr>
            <w:tcW w:w="2410" w:type="dxa"/>
            <w:hideMark/>
          </w:tcPr>
          <w:p w14:paraId="7DAB0F7D"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9, 10, 11, 12 y 13</w:t>
            </w:r>
          </w:p>
        </w:tc>
      </w:tr>
      <w:tr w:rsidR="001C6AEE" w:rsidRPr="005379A1" w14:paraId="23F140F5" w14:textId="77777777" w:rsidTr="001C6AEE">
        <w:trPr>
          <w:trHeight w:val="600"/>
          <w:jc w:val="center"/>
        </w:trPr>
        <w:tc>
          <w:tcPr>
            <w:tcW w:w="1559" w:type="dxa"/>
            <w:hideMark/>
          </w:tcPr>
          <w:p w14:paraId="52A6A52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Colima</w:t>
            </w:r>
          </w:p>
        </w:tc>
        <w:tc>
          <w:tcPr>
            <w:tcW w:w="4106" w:type="dxa"/>
            <w:hideMark/>
          </w:tcPr>
          <w:p w14:paraId="5E1AD4AF"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Manzanillo, Armería, Tecomán, Colima y Cuauhtémoc.</w:t>
            </w:r>
          </w:p>
        </w:tc>
        <w:tc>
          <w:tcPr>
            <w:tcW w:w="2410" w:type="dxa"/>
            <w:hideMark/>
          </w:tcPr>
          <w:p w14:paraId="465E1FA8" w14:textId="77777777" w:rsidR="001C6AEE" w:rsidRPr="005379A1" w:rsidRDefault="001C6AEE" w:rsidP="001C6AEE">
            <w:pPr>
              <w:jc w:val="center"/>
              <w:rPr>
                <w:rFonts w:ascii="ITC Avant Garde" w:hAnsi="ITC Avant Garde"/>
                <w:color w:val="000000"/>
                <w:sz w:val="16"/>
                <w:szCs w:val="16"/>
                <w:lang w:eastAsia="es-MX"/>
              </w:rPr>
            </w:pPr>
            <w:r w:rsidRPr="005379A1">
              <w:rPr>
                <w:rFonts w:ascii="ITC Avant Garde" w:hAnsi="ITC Avant Garde"/>
                <w:color w:val="000000"/>
                <w:sz w:val="16"/>
                <w:szCs w:val="16"/>
                <w:lang w:eastAsia="es-MX"/>
              </w:rPr>
              <w:t>21, 22, 23 y 24</w:t>
            </w:r>
          </w:p>
        </w:tc>
      </w:tr>
    </w:tbl>
    <w:p w14:paraId="2276D795" w14:textId="77777777" w:rsidR="00177450" w:rsidRPr="005379A1" w:rsidRDefault="00177450" w:rsidP="005379A1">
      <w:pPr>
        <w:tabs>
          <w:tab w:val="num" w:pos="540"/>
        </w:tabs>
        <w:spacing w:after="240"/>
        <w:jc w:val="both"/>
        <w:rPr>
          <w:rFonts w:ascii="ITC Avant Garde" w:hAnsi="ITC Avant Garde"/>
          <w:bCs/>
          <w:color w:val="000000"/>
          <w:sz w:val="22"/>
          <w:szCs w:val="22"/>
          <w:lang w:val="es-ES" w:eastAsia="es-MX"/>
        </w:rPr>
      </w:pPr>
    </w:p>
    <w:p w14:paraId="54EA673C" w14:textId="77777777" w:rsidR="001C6AEE" w:rsidRPr="005379A1" w:rsidRDefault="002455DA" w:rsidP="005379A1">
      <w:pPr>
        <w:autoSpaceDE w:val="0"/>
        <w:autoSpaceDN w:val="0"/>
        <w:adjustRightInd w:val="0"/>
        <w:spacing w:after="240"/>
        <w:jc w:val="both"/>
        <w:rPr>
          <w:rFonts w:ascii="ITC Avant Garde" w:hAnsi="ITC Avant Garde"/>
          <w:bCs/>
          <w:sz w:val="22"/>
          <w:szCs w:val="22"/>
          <w:lang w:val="es-ES_tradnl"/>
        </w:rPr>
      </w:pPr>
      <w:r w:rsidRPr="005379A1">
        <w:rPr>
          <w:rFonts w:ascii="ITC Avant Garde" w:hAnsi="ITC Avant Garde"/>
          <w:b/>
          <w:bCs/>
          <w:sz w:val="22"/>
          <w:szCs w:val="22"/>
          <w:lang w:val="es-ES_tradnl"/>
        </w:rPr>
        <w:t>CUARTO</w:t>
      </w:r>
      <w:r w:rsidR="009D36CD" w:rsidRPr="005379A1">
        <w:rPr>
          <w:rFonts w:ascii="ITC Avant Garde" w:hAnsi="ITC Avant Garde"/>
          <w:b/>
          <w:bCs/>
          <w:sz w:val="22"/>
          <w:szCs w:val="22"/>
          <w:lang w:val="es-ES_tradnl"/>
        </w:rPr>
        <w:t xml:space="preserve">.- </w:t>
      </w:r>
      <w:r w:rsidR="009D36CD" w:rsidRPr="005379A1">
        <w:rPr>
          <w:rFonts w:ascii="ITC Avant Garde" w:hAnsi="ITC Avant Garde"/>
          <w:bCs/>
          <w:sz w:val="22"/>
          <w:szCs w:val="22"/>
          <w:lang w:val="es-ES_tradnl"/>
        </w:rPr>
        <w:t xml:space="preserve">Se instruye a la Unidad de Concesiones y Servicios a hacer del conocimiento de </w:t>
      </w:r>
      <w:r w:rsidR="00CB0706" w:rsidRPr="005379A1">
        <w:rPr>
          <w:rFonts w:ascii="ITC Avant Garde" w:eastAsia="Calibri" w:hAnsi="ITC Avant Garde"/>
          <w:bCs/>
          <w:color w:val="000000"/>
          <w:sz w:val="22"/>
          <w:szCs w:val="22"/>
          <w:lang w:eastAsia="es-MX"/>
        </w:rPr>
        <w:t>Intercomunicación del Pacífico</w:t>
      </w:r>
      <w:r w:rsidRPr="005379A1">
        <w:rPr>
          <w:rFonts w:ascii="ITC Avant Garde" w:hAnsi="ITC Avant Garde"/>
          <w:bCs/>
          <w:color w:val="000000"/>
          <w:sz w:val="22"/>
          <w:szCs w:val="22"/>
          <w:lang w:val="es-ES" w:eastAsia="es-MX"/>
        </w:rPr>
        <w:t>, S.A. de C.V.</w:t>
      </w:r>
      <w:r w:rsidR="009D36CD" w:rsidRPr="005379A1">
        <w:rPr>
          <w:rFonts w:ascii="ITC Avant Garde" w:hAnsi="ITC Avant Garde"/>
          <w:bCs/>
          <w:sz w:val="22"/>
          <w:szCs w:val="22"/>
          <w:lang w:val="es-ES_tradnl"/>
        </w:rPr>
        <w:t xml:space="preserve"> el contenido de la presente Resolución, así como las nuevas condiciones</w:t>
      </w:r>
      <w:r w:rsidR="00D83268" w:rsidRPr="005379A1">
        <w:rPr>
          <w:rFonts w:ascii="ITC Avant Garde" w:hAnsi="ITC Avant Garde"/>
          <w:bCs/>
          <w:sz w:val="22"/>
          <w:szCs w:val="22"/>
          <w:lang w:val="es-ES_tradnl"/>
        </w:rPr>
        <w:t xml:space="preserve">, mismas que se encuentran contenidas </w:t>
      </w:r>
      <w:r w:rsidR="009D36CD" w:rsidRPr="005379A1">
        <w:rPr>
          <w:rFonts w:ascii="ITC Avant Garde" w:hAnsi="ITC Avant Garde"/>
          <w:bCs/>
          <w:sz w:val="22"/>
          <w:szCs w:val="22"/>
          <w:lang w:val="es-ES_tradnl"/>
        </w:rPr>
        <w:t xml:space="preserve">en los proyectos de títulos de concesión </w:t>
      </w:r>
      <w:r w:rsidR="00C91B39" w:rsidRPr="005379A1">
        <w:rPr>
          <w:rFonts w:ascii="ITC Avant Garde" w:hAnsi="ITC Avant Garde"/>
          <w:bCs/>
          <w:sz w:val="22"/>
          <w:szCs w:val="22"/>
          <w:lang w:val="es-ES_tradnl"/>
        </w:rPr>
        <w:t>que</w:t>
      </w:r>
      <w:r w:rsidR="00D83268" w:rsidRPr="005379A1">
        <w:rPr>
          <w:rFonts w:ascii="ITC Avant Garde" w:hAnsi="ITC Avant Garde"/>
          <w:bCs/>
          <w:sz w:val="22"/>
          <w:szCs w:val="22"/>
          <w:lang w:val="es-ES_tradnl"/>
        </w:rPr>
        <w:t xml:space="preserve"> </w:t>
      </w:r>
      <w:r w:rsidR="009D36CD" w:rsidRPr="005379A1">
        <w:rPr>
          <w:rFonts w:ascii="ITC Avant Garde" w:hAnsi="ITC Avant Garde"/>
          <w:bCs/>
          <w:sz w:val="22"/>
          <w:szCs w:val="22"/>
          <w:lang w:val="es-ES_tradnl"/>
        </w:rPr>
        <w:t>forman parte integral de la presente Resolución, a efecto de recabar de dicha empresa, en un plazo no mayor a 15 (quince) días hábiles contados a partir de que surta efectos la notificación respectiva, su aceptación expresa e indubitable de las nuevas condiciones.</w:t>
      </w:r>
    </w:p>
    <w:p w14:paraId="4721EA33" w14:textId="77777777" w:rsidR="001C6AEE" w:rsidRPr="005379A1" w:rsidRDefault="009D36CD" w:rsidP="005379A1">
      <w:pPr>
        <w:autoSpaceDE w:val="0"/>
        <w:autoSpaceDN w:val="0"/>
        <w:adjustRightInd w:val="0"/>
        <w:spacing w:after="240"/>
        <w:jc w:val="both"/>
        <w:rPr>
          <w:rFonts w:ascii="ITC Avant Garde" w:hAnsi="ITC Avant Garde"/>
          <w:bCs/>
          <w:sz w:val="22"/>
          <w:szCs w:val="22"/>
          <w:lang w:val="es-ES_tradnl"/>
        </w:rPr>
      </w:pPr>
      <w:r w:rsidRPr="005379A1">
        <w:rPr>
          <w:rFonts w:ascii="ITC Avant Garde" w:hAnsi="ITC Avant Garde"/>
          <w:bCs/>
          <w:sz w:val="22"/>
          <w:szCs w:val="22"/>
          <w:lang w:val="es-ES_tradnl"/>
        </w:rPr>
        <w:t xml:space="preserve">En caso de que no se reciba por parte </w:t>
      </w:r>
      <w:r w:rsidR="00CB0706" w:rsidRPr="005379A1">
        <w:rPr>
          <w:rFonts w:ascii="ITC Avant Garde" w:eastAsia="Calibri" w:hAnsi="ITC Avant Garde"/>
          <w:bCs/>
          <w:color w:val="000000"/>
          <w:sz w:val="22"/>
          <w:szCs w:val="22"/>
          <w:lang w:eastAsia="es-MX"/>
        </w:rPr>
        <w:t>Intercomunicación del Pacífico</w:t>
      </w:r>
      <w:r w:rsidR="003D7A38" w:rsidRPr="005379A1">
        <w:rPr>
          <w:rFonts w:ascii="ITC Avant Garde" w:hAnsi="ITC Avant Garde"/>
          <w:bCs/>
          <w:color w:val="000000"/>
          <w:sz w:val="22"/>
          <w:szCs w:val="22"/>
          <w:lang w:val="es-ES" w:eastAsia="es-MX"/>
        </w:rPr>
        <w:t>, S.A. de C.V.</w:t>
      </w:r>
      <w:r w:rsidRPr="005379A1">
        <w:rPr>
          <w:rFonts w:ascii="ITC Avant Garde" w:hAnsi="ITC Avant Garde"/>
          <w:bCs/>
          <w:sz w:val="22"/>
          <w:szCs w:val="22"/>
          <w:lang w:val="es-ES_tradnl"/>
        </w:rPr>
        <w:t xml:space="preserve"> la aceptación referida dentro del plazo establecido para tales efectos, la presente Resolución quedará sin efectos y, en consecuencia, se tendrá por negada la prórroga de vigencia solicitada respecto de la concesi</w:t>
      </w:r>
      <w:r w:rsidR="005B08F1" w:rsidRPr="005379A1">
        <w:rPr>
          <w:rFonts w:ascii="ITC Avant Garde" w:hAnsi="ITC Avant Garde"/>
          <w:bCs/>
          <w:sz w:val="22"/>
          <w:szCs w:val="22"/>
          <w:lang w:val="es-ES_tradnl"/>
        </w:rPr>
        <w:t>ón</w:t>
      </w:r>
      <w:r w:rsidRPr="005379A1">
        <w:rPr>
          <w:rFonts w:ascii="ITC Avant Garde" w:hAnsi="ITC Avant Garde"/>
          <w:bCs/>
          <w:sz w:val="22"/>
          <w:szCs w:val="22"/>
          <w:lang w:val="es-ES_tradnl"/>
        </w:rPr>
        <w:t xml:space="preserve"> de mérito.</w:t>
      </w:r>
    </w:p>
    <w:p w14:paraId="76D6F9FB" w14:textId="77777777" w:rsidR="001C6AEE" w:rsidRPr="005379A1" w:rsidRDefault="00DB528E" w:rsidP="005379A1">
      <w:pPr>
        <w:spacing w:after="240"/>
        <w:jc w:val="both"/>
        <w:rPr>
          <w:rFonts w:ascii="ITC Avant Garde" w:hAnsi="ITC Avant Garde"/>
          <w:bCs/>
          <w:sz w:val="22"/>
          <w:szCs w:val="22"/>
          <w:lang w:val="es-ES_tradnl"/>
        </w:rPr>
      </w:pPr>
      <w:r w:rsidRPr="005379A1">
        <w:rPr>
          <w:rFonts w:ascii="ITC Avant Garde" w:hAnsi="ITC Avant Garde"/>
          <w:b/>
          <w:bCs/>
          <w:sz w:val="22"/>
          <w:szCs w:val="22"/>
          <w:lang w:val="es-ES_tradnl"/>
        </w:rPr>
        <w:t>QUINT</w:t>
      </w:r>
      <w:r w:rsidR="009D36CD" w:rsidRPr="005379A1">
        <w:rPr>
          <w:rFonts w:ascii="ITC Avant Garde" w:hAnsi="ITC Avant Garde"/>
          <w:b/>
          <w:bCs/>
          <w:sz w:val="22"/>
          <w:szCs w:val="22"/>
          <w:lang w:val="es-ES_tradnl"/>
        </w:rPr>
        <w:t>O.-</w:t>
      </w:r>
      <w:r w:rsidR="009D36CD" w:rsidRPr="005379A1">
        <w:rPr>
          <w:rFonts w:ascii="ITC Avant Garde" w:hAnsi="ITC Avant Garde"/>
          <w:bCs/>
          <w:sz w:val="22"/>
          <w:szCs w:val="22"/>
          <w:lang w:val="es-ES_tradnl"/>
        </w:rPr>
        <w:t xml:space="preserve"> </w:t>
      </w:r>
      <w:r w:rsidR="00CF04CF" w:rsidRPr="005379A1">
        <w:rPr>
          <w:rFonts w:ascii="ITC Avant Garde" w:hAnsi="ITC Avant Garde"/>
          <w:bCs/>
          <w:sz w:val="22"/>
          <w:szCs w:val="22"/>
          <w:lang w:val="es-ES_tradnl"/>
        </w:rPr>
        <w:t>Intercomunicación del Pacífico, S.A. de C.V., deberá presentar al Instituto Federal de Telecomunicaciones el comprobante de pago del aprovechamiento</w:t>
      </w:r>
      <w:r w:rsidR="00383085" w:rsidRPr="005379A1">
        <w:rPr>
          <w:rFonts w:ascii="ITC Avant Garde" w:hAnsi="ITC Avant Garde"/>
          <w:bCs/>
          <w:sz w:val="22"/>
          <w:szCs w:val="22"/>
          <w:lang w:val="es-ES_tradnl"/>
        </w:rPr>
        <w:t xml:space="preserve"> por concepto de contraprestación</w:t>
      </w:r>
      <w:r w:rsidR="00CF04CF" w:rsidRPr="005379A1">
        <w:rPr>
          <w:rFonts w:ascii="ITC Avant Garde" w:hAnsi="ITC Avant Garde"/>
          <w:bCs/>
          <w:sz w:val="22"/>
          <w:szCs w:val="22"/>
          <w:lang w:val="es-ES_tradnl"/>
        </w:rPr>
        <w:t xml:space="preserve"> autorizado por la Secretaría de Hacienda y Crédito Público por un monto de </w:t>
      </w:r>
      <w:r w:rsidR="00CF04CF" w:rsidRPr="005379A1">
        <w:rPr>
          <w:rFonts w:ascii="ITC Avant Garde" w:hAnsi="ITC Avant Garde"/>
          <w:bCs/>
          <w:color w:val="000000"/>
          <w:sz w:val="22"/>
          <w:szCs w:val="22"/>
          <w:lang w:eastAsia="es-MX"/>
        </w:rPr>
        <w:t>$11,476,202.00 (Once millones cuatrocientos setenta y seis mil doscientos dos pesos 00/100 M.N.), dentro de</w:t>
      </w:r>
      <w:r w:rsidR="00C91B39" w:rsidRPr="005379A1">
        <w:rPr>
          <w:rFonts w:ascii="ITC Avant Garde" w:hAnsi="ITC Avant Garde"/>
          <w:bCs/>
          <w:color w:val="000000"/>
          <w:sz w:val="22"/>
          <w:szCs w:val="22"/>
          <w:lang w:eastAsia="es-MX"/>
        </w:rPr>
        <w:t xml:space="preserve"> </w:t>
      </w:r>
      <w:r w:rsidR="00CF04CF" w:rsidRPr="005379A1">
        <w:rPr>
          <w:rFonts w:ascii="ITC Avant Garde" w:hAnsi="ITC Avant Garde"/>
          <w:bCs/>
          <w:color w:val="000000"/>
          <w:sz w:val="22"/>
          <w:szCs w:val="22"/>
          <w:lang w:eastAsia="es-MX"/>
        </w:rPr>
        <w:t>l</w:t>
      </w:r>
      <w:r w:rsidR="00C91B39" w:rsidRPr="005379A1">
        <w:rPr>
          <w:rFonts w:ascii="ITC Avant Garde" w:hAnsi="ITC Avant Garde"/>
          <w:bCs/>
          <w:color w:val="000000"/>
          <w:sz w:val="22"/>
          <w:szCs w:val="22"/>
          <w:lang w:eastAsia="es-MX"/>
        </w:rPr>
        <w:t>os</w:t>
      </w:r>
      <w:r w:rsidR="00CF04CF" w:rsidRPr="005379A1">
        <w:rPr>
          <w:rFonts w:ascii="ITC Avant Garde" w:hAnsi="ITC Avant Garde"/>
          <w:bCs/>
          <w:color w:val="000000"/>
          <w:sz w:val="22"/>
          <w:szCs w:val="22"/>
          <w:lang w:eastAsia="es-MX"/>
        </w:rPr>
        <w:t xml:space="preserve"> </w:t>
      </w:r>
      <w:r w:rsidR="00CF04CF" w:rsidRPr="005379A1">
        <w:rPr>
          <w:rFonts w:ascii="ITC Avant Garde" w:hAnsi="ITC Avant Garde"/>
          <w:bCs/>
          <w:sz w:val="22"/>
          <w:szCs w:val="22"/>
          <w:lang w:val="es-ES_tradnl"/>
        </w:rPr>
        <w:t>30 (treinta) días hábiles siguientes a la fecha en que hubiera presentado la aceptación señalada en el Resolutivo Cuarto de la presente Resolución.</w:t>
      </w:r>
    </w:p>
    <w:p w14:paraId="48859314" w14:textId="77777777" w:rsidR="001C6AEE" w:rsidRPr="005379A1" w:rsidRDefault="00CF04CF" w:rsidP="005379A1">
      <w:pPr>
        <w:spacing w:after="240"/>
        <w:jc w:val="both"/>
        <w:rPr>
          <w:rFonts w:ascii="ITC Avant Garde" w:hAnsi="ITC Avant Garde"/>
          <w:bCs/>
          <w:sz w:val="22"/>
          <w:szCs w:val="22"/>
          <w:lang w:val="es-ES_tradnl"/>
        </w:rPr>
      </w:pPr>
      <w:r w:rsidRPr="005379A1">
        <w:rPr>
          <w:rFonts w:ascii="ITC Avant Garde" w:hAnsi="ITC Avant Garde"/>
          <w:bCs/>
          <w:sz w:val="22"/>
          <w:szCs w:val="22"/>
          <w:lang w:val="es-ES_tradnl"/>
        </w:rPr>
        <w:t xml:space="preserve">El monto señalado en el presente Resolutivo deberá ser actualizado al momento del pago, tomando en cuenta el último Índice Nacional de Precios al Consumidor publicado por el Banco de México. </w:t>
      </w:r>
    </w:p>
    <w:p w14:paraId="04C6851D" w14:textId="77777777" w:rsidR="001C6AEE" w:rsidRPr="005379A1" w:rsidRDefault="009D36CD" w:rsidP="005379A1">
      <w:pPr>
        <w:spacing w:after="240"/>
        <w:jc w:val="both"/>
        <w:rPr>
          <w:rFonts w:ascii="ITC Avant Garde" w:hAnsi="ITC Avant Garde"/>
          <w:bCs/>
          <w:color w:val="000000"/>
          <w:sz w:val="22"/>
          <w:szCs w:val="22"/>
          <w:lang w:eastAsia="es-MX"/>
        </w:rPr>
      </w:pPr>
      <w:r w:rsidRPr="005379A1">
        <w:rPr>
          <w:rFonts w:ascii="ITC Avant Garde" w:hAnsi="ITC Avant Garde"/>
          <w:b/>
          <w:bCs/>
          <w:sz w:val="22"/>
          <w:szCs w:val="22"/>
          <w:lang w:val="es-ES_tradnl"/>
        </w:rPr>
        <w:t>S</w:t>
      </w:r>
      <w:r w:rsidR="00F9389C" w:rsidRPr="005379A1">
        <w:rPr>
          <w:rFonts w:ascii="ITC Avant Garde" w:hAnsi="ITC Avant Garde"/>
          <w:b/>
          <w:bCs/>
          <w:sz w:val="22"/>
          <w:szCs w:val="22"/>
          <w:lang w:val="es-ES_tradnl"/>
        </w:rPr>
        <w:t>EXTO</w:t>
      </w:r>
      <w:r w:rsidRPr="005379A1">
        <w:rPr>
          <w:rFonts w:ascii="ITC Avant Garde" w:hAnsi="ITC Avant Garde"/>
          <w:b/>
          <w:bCs/>
          <w:sz w:val="22"/>
          <w:szCs w:val="22"/>
          <w:lang w:val="es-ES_tradnl"/>
        </w:rPr>
        <w:t xml:space="preserve">.- </w:t>
      </w:r>
      <w:r w:rsidRPr="005379A1">
        <w:rPr>
          <w:rFonts w:ascii="ITC Avant Garde" w:hAnsi="ITC Avant Garde"/>
          <w:bCs/>
          <w:color w:val="000000"/>
          <w:sz w:val="22"/>
          <w:szCs w:val="22"/>
          <w:lang w:eastAsia="es-MX"/>
        </w:rPr>
        <w:t xml:space="preserve">En caso de que </w:t>
      </w:r>
      <w:r w:rsidR="00950E88" w:rsidRPr="005379A1">
        <w:rPr>
          <w:rFonts w:ascii="ITC Avant Garde" w:hAnsi="ITC Avant Garde"/>
          <w:bCs/>
          <w:color w:val="000000"/>
          <w:sz w:val="22"/>
          <w:szCs w:val="22"/>
          <w:lang w:eastAsia="es-MX"/>
        </w:rPr>
        <w:t xml:space="preserve">no se reciba por parte de </w:t>
      </w:r>
      <w:r w:rsidR="00CB0706" w:rsidRPr="005379A1">
        <w:rPr>
          <w:rFonts w:ascii="ITC Avant Garde" w:eastAsia="Calibri" w:hAnsi="ITC Avant Garde"/>
          <w:bCs/>
          <w:color w:val="000000"/>
          <w:sz w:val="22"/>
          <w:szCs w:val="22"/>
          <w:lang w:eastAsia="es-MX"/>
        </w:rPr>
        <w:t>Intercomunicación del Pacífico</w:t>
      </w:r>
      <w:r w:rsidR="00F9389C" w:rsidRPr="005379A1">
        <w:rPr>
          <w:rFonts w:ascii="ITC Avant Garde" w:hAnsi="ITC Avant Garde"/>
          <w:bCs/>
          <w:color w:val="000000"/>
          <w:sz w:val="22"/>
          <w:szCs w:val="22"/>
          <w:lang w:val="es-ES" w:eastAsia="es-MX"/>
        </w:rPr>
        <w:t>, S.A. de C.V.</w:t>
      </w:r>
      <w:r w:rsidR="00950E88" w:rsidRPr="005379A1">
        <w:rPr>
          <w:rFonts w:ascii="ITC Avant Garde" w:hAnsi="ITC Avant Garde"/>
          <w:bCs/>
          <w:color w:val="000000"/>
          <w:sz w:val="22"/>
          <w:szCs w:val="22"/>
          <w:lang w:val="es-ES" w:eastAsia="es-MX"/>
        </w:rPr>
        <w:t xml:space="preserve"> el comprobante de pago del aprovechamiento por concepto de contraprestación señalado en el Resolutivo Quinto</w:t>
      </w:r>
      <w:r w:rsidRPr="005379A1">
        <w:rPr>
          <w:rFonts w:ascii="ITC Avant Garde" w:hAnsi="ITC Avant Garde"/>
          <w:bCs/>
          <w:color w:val="000000"/>
          <w:sz w:val="22"/>
          <w:szCs w:val="22"/>
          <w:lang w:eastAsia="es-MX"/>
        </w:rPr>
        <w:t xml:space="preserve"> </w:t>
      </w:r>
      <w:r w:rsidR="00950E88" w:rsidRPr="005379A1">
        <w:rPr>
          <w:rFonts w:ascii="ITC Avant Garde" w:hAnsi="ITC Avant Garde"/>
          <w:bCs/>
          <w:color w:val="000000"/>
          <w:sz w:val="22"/>
          <w:szCs w:val="22"/>
          <w:lang w:eastAsia="es-MX"/>
        </w:rPr>
        <w:t>dentro del plazo establecido para tales efectos, la presente Resolución quedará sin efectos y, en consecuencia, se tendrá por negada la prórroga de vigencia solicitada respecto de la concesi</w:t>
      </w:r>
      <w:r w:rsidR="00436B60" w:rsidRPr="005379A1">
        <w:rPr>
          <w:rFonts w:ascii="ITC Avant Garde" w:hAnsi="ITC Avant Garde"/>
          <w:bCs/>
          <w:color w:val="000000"/>
          <w:sz w:val="22"/>
          <w:szCs w:val="22"/>
          <w:lang w:eastAsia="es-MX"/>
        </w:rPr>
        <w:t>ó</w:t>
      </w:r>
      <w:r w:rsidR="00950E88" w:rsidRPr="005379A1">
        <w:rPr>
          <w:rFonts w:ascii="ITC Avant Garde" w:hAnsi="ITC Avant Garde"/>
          <w:bCs/>
          <w:color w:val="000000"/>
          <w:sz w:val="22"/>
          <w:szCs w:val="22"/>
          <w:lang w:eastAsia="es-MX"/>
        </w:rPr>
        <w:t xml:space="preserve">n de mérito. </w:t>
      </w:r>
    </w:p>
    <w:p w14:paraId="04F6182B" w14:textId="77777777" w:rsidR="001C6AEE" w:rsidRPr="005379A1" w:rsidRDefault="00950E88" w:rsidP="005379A1">
      <w:pPr>
        <w:spacing w:after="240"/>
        <w:jc w:val="both"/>
        <w:rPr>
          <w:rFonts w:ascii="ITC Avant Garde" w:hAnsi="ITC Avant Garde"/>
          <w:bCs/>
          <w:sz w:val="22"/>
          <w:szCs w:val="22"/>
          <w:lang w:val="es-ES_tradnl"/>
        </w:rPr>
      </w:pPr>
      <w:r w:rsidRPr="005379A1">
        <w:rPr>
          <w:rFonts w:ascii="ITC Avant Garde" w:hAnsi="ITC Avant Garde"/>
          <w:bCs/>
          <w:color w:val="000000"/>
          <w:sz w:val="22"/>
          <w:szCs w:val="22"/>
          <w:lang w:eastAsia="es-MX"/>
        </w:rPr>
        <w:t xml:space="preserve">En dicho caso, </w:t>
      </w:r>
      <w:r w:rsidR="009D36CD" w:rsidRPr="005379A1">
        <w:rPr>
          <w:rFonts w:ascii="ITC Avant Garde" w:hAnsi="ITC Avant Garde"/>
          <w:bCs/>
          <w:color w:val="000000"/>
          <w:sz w:val="22"/>
          <w:szCs w:val="22"/>
          <w:lang w:eastAsia="es-MX"/>
        </w:rPr>
        <w:t>las bandas de frecuencias que le fueron asignadas revertirán a favor de la Nación, sin perjuicio de que el Instituto Federal de Telecomunicaciones pueda ejercer las atribuciones de verificación, supervisión y, en su caso, sanción que correspondan.</w:t>
      </w:r>
    </w:p>
    <w:p w14:paraId="45BBB685" w14:textId="77777777" w:rsidR="001C6AEE" w:rsidRPr="005379A1" w:rsidRDefault="00F9389C" w:rsidP="005379A1">
      <w:pPr>
        <w:spacing w:after="240"/>
        <w:jc w:val="both"/>
        <w:rPr>
          <w:rFonts w:ascii="ITC Avant Garde" w:hAnsi="ITC Avant Garde"/>
          <w:bCs/>
          <w:sz w:val="22"/>
          <w:szCs w:val="22"/>
          <w:lang w:val="es-ES_tradnl"/>
        </w:rPr>
      </w:pPr>
      <w:r w:rsidRPr="005379A1">
        <w:rPr>
          <w:rFonts w:ascii="ITC Avant Garde" w:hAnsi="ITC Avant Garde"/>
          <w:b/>
          <w:bCs/>
          <w:sz w:val="22"/>
          <w:szCs w:val="22"/>
          <w:lang w:val="es-ES_tradnl"/>
        </w:rPr>
        <w:t>SÉPTIMO</w:t>
      </w:r>
      <w:r w:rsidR="009D36CD" w:rsidRPr="005379A1">
        <w:rPr>
          <w:rFonts w:ascii="ITC Avant Garde" w:hAnsi="ITC Avant Garde"/>
          <w:b/>
          <w:bCs/>
          <w:sz w:val="22"/>
          <w:szCs w:val="22"/>
          <w:lang w:val="es-ES_tradnl"/>
        </w:rPr>
        <w:t>.-</w:t>
      </w:r>
      <w:r w:rsidR="009D36CD" w:rsidRPr="005379A1">
        <w:rPr>
          <w:rFonts w:ascii="ITC Avant Garde" w:hAnsi="ITC Avant Garde"/>
          <w:bCs/>
          <w:sz w:val="22"/>
          <w:szCs w:val="22"/>
          <w:lang w:val="es-ES_tradnl"/>
        </w:rPr>
        <w:t xml:space="preserve"> Una vez satisfecho lo establecido en los Resolutivos </w:t>
      </w:r>
      <w:r w:rsidRPr="005379A1">
        <w:rPr>
          <w:rFonts w:ascii="ITC Avant Garde" w:hAnsi="ITC Avant Garde"/>
          <w:bCs/>
          <w:sz w:val="22"/>
          <w:szCs w:val="22"/>
          <w:lang w:val="es-ES_tradnl"/>
        </w:rPr>
        <w:t>Cuarto</w:t>
      </w:r>
      <w:r w:rsidR="009D36CD" w:rsidRPr="005379A1">
        <w:rPr>
          <w:rFonts w:ascii="ITC Avant Garde" w:hAnsi="ITC Avant Garde"/>
          <w:bCs/>
          <w:sz w:val="22"/>
          <w:szCs w:val="22"/>
          <w:lang w:val="es-ES_tradnl"/>
        </w:rPr>
        <w:t xml:space="preserve"> y </w:t>
      </w:r>
      <w:r w:rsidRPr="005379A1">
        <w:rPr>
          <w:rFonts w:ascii="ITC Avant Garde" w:hAnsi="ITC Avant Garde"/>
          <w:bCs/>
          <w:sz w:val="22"/>
          <w:szCs w:val="22"/>
          <w:lang w:val="es-ES_tradnl"/>
        </w:rPr>
        <w:t>Quinto</w:t>
      </w:r>
      <w:r w:rsidR="009D36CD" w:rsidRPr="005379A1">
        <w:rPr>
          <w:rFonts w:ascii="ITC Avant Garde" w:hAnsi="ITC Avant Garde"/>
          <w:bCs/>
          <w:sz w:val="22"/>
          <w:szCs w:val="22"/>
          <w:lang w:val="es-ES_tradnl"/>
        </w:rPr>
        <w:t xml:space="preserve"> anteriores, el Comisionado Presidente del Instituto Federal de Telecomunicaciones, con base en las </w:t>
      </w:r>
      <w:r w:rsidR="009D36CD" w:rsidRPr="005379A1">
        <w:rPr>
          <w:rFonts w:ascii="ITC Avant Garde" w:hAnsi="ITC Avant Garde"/>
          <w:bCs/>
          <w:sz w:val="22"/>
          <w:szCs w:val="22"/>
          <w:lang w:val="es-ES_tradnl"/>
        </w:rPr>
        <w:lastRenderedPageBreak/>
        <w:t>facultades que le confiere el artículo 14 fracción X del Estatuto Orgánico</w:t>
      </w:r>
      <w:r w:rsidR="00C91B39" w:rsidRPr="005379A1">
        <w:rPr>
          <w:rFonts w:ascii="ITC Avant Garde" w:hAnsi="ITC Avant Garde"/>
          <w:bCs/>
          <w:sz w:val="22"/>
          <w:szCs w:val="22"/>
          <w:lang w:val="es-ES_tradnl"/>
        </w:rPr>
        <w:t xml:space="preserve"> de este órgano autónomo</w:t>
      </w:r>
      <w:r w:rsidR="009D36CD" w:rsidRPr="005379A1">
        <w:rPr>
          <w:rFonts w:ascii="ITC Avant Garde" w:hAnsi="ITC Avant Garde"/>
          <w:bCs/>
          <w:sz w:val="22"/>
          <w:szCs w:val="22"/>
          <w:lang w:val="es-ES_tradnl"/>
        </w:rPr>
        <w:t>, suscribirá los títulos de concesión que se otorguen con motivo de la presente Resolución.</w:t>
      </w:r>
    </w:p>
    <w:p w14:paraId="6E95F951" w14:textId="77777777" w:rsidR="001C6AEE" w:rsidRPr="005379A1" w:rsidRDefault="00F9389C" w:rsidP="005379A1">
      <w:pPr>
        <w:autoSpaceDE w:val="0"/>
        <w:autoSpaceDN w:val="0"/>
        <w:adjustRightInd w:val="0"/>
        <w:spacing w:after="240"/>
        <w:jc w:val="both"/>
        <w:rPr>
          <w:rFonts w:ascii="ITC Avant Garde" w:hAnsi="ITC Avant Garde"/>
          <w:bCs/>
          <w:sz w:val="22"/>
          <w:szCs w:val="22"/>
          <w:lang w:val="es-ES_tradnl"/>
        </w:rPr>
      </w:pPr>
      <w:r w:rsidRPr="005379A1">
        <w:rPr>
          <w:rFonts w:ascii="ITC Avant Garde" w:hAnsi="ITC Avant Garde"/>
          <w:b/>
          <w:bCs/>
          <w:sz w:val="22"/>
          <w:szCs w:val="22"/>
          <w:lang w:val="es-ES_tradnl"/>
        </w:rPr>
        <w:t>OCTAV</w:t>
      </w:r>
      <w:r w:rsidR="009D36CD" w:rsidRPr="005379A1">
        <w:rPr>
          <w:rFonts w:ascii="ITC Avant Garde" w:hAnsi="ITC Avant Garde"/>
          <w:b/>
          <w:bCs/>
          <w:sz w:val="22"/>
          <w:szCs w:val="22"/>
          <w:lang w:val="es-ES_tradnl"/>
        </w:rPr>
        <w:t>O.-</w:t>
      </w:r>
      <w:r w:rsidR="009D36CD" w:rsidRPr="005379A1">
        <w:rPr>
          <w:rFonts w:ascii="ITC Avant Garde" w:hAnsi="ITC Avant Garde"/>
          <w:bCs/>
          <w:sz w:val="22"/>
          <w:szCs w:val="22"/>
          <w:lang w:val="es-ES_tradnl"/>
        </w:rPr>
        <w:t xml:space="preserve"> </w:t>
      </w:r>
      <w:r w:rsidR="00F97368" w:rsidRPr="005379A1">
        <w:rPr>
          <w:rFonts w:ascii="ITC Avant Garde" w:hAnsi="ITC Avant Garde"/>
          <w:bCs/>
          <w:sz w:val="22"/>
          <w:szCs w:val="22"/>
          <w:lang w:val="es-ES_tradnl"/>
        </w:rPr>
        <w:t>Como consecuencia de los señalado en el Resolutivo que antecede, s</w:t>
      </w:r>
      <w:r w:rsidR="009D36CD" w:rsidRPr="005379A1">
        <w:rPr>
          <w:rFonts w:ascii="ITC Avant Garde" w:hAnsi="ITC Avant Garde"/>
          <w:bCs/>
          <w:sz w:val="22"/>
          <w:szCs w:val="22"/>
          <w:lang w:val="es-ES_tradnl"/>
        </w:rPr>
        <w:t xml:space="preserve">e instruye a la Unidad de Concesiones y Servicios a notificar a </w:t>
      </w:r>
      <w:r w:rsidR="00CB0706" w:rsidRPr="005379A1">
        <w:rPr>
          <w:rFonts w:ascii="ITC Avant Garde" w:eastAsia="Calibri" w:hAnsi="ITC Avant Garde"/>
          <w:bCs/>
          <w:color w:val="000000"/>
          <w:sz w:val="22"/>
          <w:szCs w:val="22"/>
          <w:lang w:eastAsia="es-MX"/>
        </w:rPr>
        <w:t>Intercomunicación del Pacífico</w:t>
      </w:r>
      <w:r w:rsidRPr="005379A1">
        <w:rPr>
          <w:rFonts w:ascii="ITC Avant Garde" w:hAnsi="ITC Avant Garde"/>
          <w:bCs/>
          <w:color w:val="000000"/>
          <w:sz w:val="22"/>
          <w:szCs w:val="22"/>
          <w:lang w:val="es-ES" w:eastAsia="es-MX"/>
        </w:rPr>
        <w:t>, S.A. de C.V.</w:t>
      </w:r>
      <w:r w:rsidR="009D36CD" w:rsidRPr="005379A1">
        <w:rPr>
          <w:rFonts w:ascii="ITC Avant Garde" w:hAnsi="ITC Avant Garde"/>
          <w:bCs/>
          <w:sz w:val="22"/>
          <w:szCs w:val="22"/>
          <w:lang w:val="es-ES_tradnl"/>
        </w:rPr>
        <w:t xml:space="preserve">, el título de concesión </w:t>
      </w:r>
      <w:r w:rsidR="009D36CD" w:rsidRPr="005379A1">
        <w:rPr>
          <w:rFonts w:ascii="ITC Avant Garde" w:hAnsi="ITC Avant Garde"/>
          <w:bCs/>
          <w:color w:val="000000"/>
          <w:sz w:val="22"/>
          <w:szCs w:val="22"/>
          <w:lang w:eastAsia="es-MX"/>
        </w:rPr>
        <w:t xml:space="preserve">para usar, aprovechar y explotar bandas de frecuencias del espectro radioeléctrico </w:t>
      </w:r>
      <w:r w:rsidR="009D36CD" w:rsidRPr="005379A1">
        <w:rPr>
          <w:rFonts w:ascii="ITC Avant Garde" w:hAnsi="ITC Avant Garde"/>
          <w:bCs/>
          <w:sz w:val="22"/>
          <w:szCs w:val="22"/>
          <w:lang w:val="es-ES_tradnl"/>
        </w:rPr>
        <w:t>para uso comercial</w:t>
      </w:r>
      <w:r w:rsidR="00436B60" w:rsidRPr="005379A1">
        <w:rPr>
          <w:rFonts w:ascii="ITC Avant Garde" w:hAnsi="ITC Avant Garde"/>
          <w:bCs/>
          <w:sz w:val="22"/>
          <w:szCs w:val="22"/>
          <w:lang w:val="es-ES_tradnl"/>
        </w:rPr>
        <w:t xml:space="preserve"> y</w:t>
      </w:r>
      <w:r w:rsidR="009D36CD" w:rsidRPr="005379A1">
        <w:rPr>
          <w:rFonts w:ascii="ITC Avant Garde" w:hAnsi="ITC Avant Garde"/>
          <w:bCs/>
          <w:sz w:val="22"/>
          <w:szCs w:val="22"/>
          <w:lang w:val="es-ES_tradnl"/>
        </w:rPr>
        <w:t xml:space="preserve"> </w:t>
      </w:r>
      <w:r w:rsidR="00436B60" w:rsidRPr="005379A1">
        <w:rPr>
          <w:rFonts w:ascii="ITC Avant Garde" w:hAnsi="ITC Avant Garde"/>
          <w:bCs/>
          <w:sz w:val="22"/>
          <w:szCs w:val="22"/>
          <w:lang w:val="es-ES_tradnl"/>
        </w:rPr>
        <w:t xml:space="preserve">el título de concesión para uso comercial, </w:t>
      </w:r>
      <w:r w:rsidR="003457B6" w:rsidRPr="005379A1">
        <w:rPr>
          <w:rFonts w:ascii="ITC Avant Garde" w:hAnsi="ITC Avant Garde"/>
          <w:bCs/>
          <w:sz w:val="22"/>
          <w:szCs w:val="22"/>
          <w:lang w:val="es-ES_tradnl"/>
        </w:rPr>
        <w:t>ambos referidos en la presente Resolución</w:t>
      </w:r>
      <w:r w:rsidR="00FB02FA" w:rsidRPr="005379A1">
        <w:rPr>
          <w:rFonts w:ascii="ITC Avant Garde" w:hAnsi="ITC Avant Garde"/>
          <w:bCs/>
          <w:sz w:val="22"/>
          <w:szCs w:val="22"/>
          <w:lang w:val="es-ES_tradnl"/>
        </w:rPr>
        <w:t>.</w:t>
      </w:r>
    </w:p>
    <w:p w14:paraId="4EA3E7BB" w14:textId="2FA0BC45" w:rsidR="001C6AEE" w:rsidRPr="005379A1" w:rsidRDefault="0091119D" w:rsidP="005379A1">
      <w:pPr>
        <w:autoSpaceDE w:val="0"/>
        <w:autoSpaceDN w:val="0"/>
        <w:adjustRightInd w:val="0"/>
        <w:spacing w:after="240"/>
        <w:jc w:val="both"/>
        <w:rPr>
          <w:rFonts w:ascii="ITC Avant Garde" w:hAnsi="ITC Avant Garde"/>
          <w:bCs/>
          <w:color w:val="000000"/>
          <w:sz w:val="22"/>
          <w:szCs w:val="22"/>
          <w:lang w:eastAsia="es-MX"/>
        </w:rPr>
      </w:pPr>
      <w:r w:rsidRPr="005379A1">
        <w:rPr>
          <w:rFonts w:ascii="ITC Avant Garde" w:hAnsi="ITC Avant Garde"/>
          <w:b/>
          <w:bCs/>
          <w:sz w:val="22"/>
          <w:szCs w:val="22"/>
          <w:lang w:val="es-ES_tradnl"/>
        </w:rPr>
        <w:t>NOVENO</w:t>
      </w:r>
      <w:r w:rsidR="009D36CD" w:rsidRPr="005379A1">
        <w:rPr>
          <w:rFonts w:ascii="ITC Avant Garde" w:hAnsi="ITC Avant Garde"/>
          <w:b/>
          <w:bCs/>
          <w:sz w:val="22"/>
          <w:szCs w:val="22"/>
          <w:lang w:val="es-ES_tradnl"/>
        </w:rPr>
        <w:t>.-</w:t>
      </w:r>
      <w:r w:rsidR="009D36CD" w:rsidRPr="005379A1">
        <w:rPr>
          <w:rFonts w:ascii="ITC Avant Garde" w:hAnsi="ITC Avant Garde"/>
          <w:bCs/>
          <w:sz w:val="22"/>
          <w:szCs w:val="22"/>
          <w:lang w:val="es-ES_tradnl"/>
        </w:rPr>
        <w:t xml:space="preserve"> Inscríbanse en el Registro Público de Concesiones el título de concesión para usar, aprovechar y explotar bandas de frecuencias del espectro radioeléctrico </w:t>
      </w:r>
      <w:r w:rsidR="00EF0B14" w:rsidRPr="005379A1">
        <w:rPr>
          <w:rFonts w:ascii="ITC Avant Garde" w:hAnsi="ITC Avant Garde"/>
          <w:bCs/>
          <w:sz w:val="22"/>
          <w:szCs w:val="22"/>
          <w:lang w:val="es-ES_tradnl"/>
        </w:rPr>
        <w:t>p</w:t>
      </w:r>
      <w:r w:rsidR="009D36CD" w:rsidRPr="005379A1">
        <w:rPr>
          <w:rFonts w:ascii="ITC Avant Garde" w:hAnsi="ITC Avant Garde"/>
          <w:bCs/>
          <w:sz w:val="22"/>
          <w:szCs w:val="22"/>
          <w:lang w:val="es-ES_tradnl"/>
        </w:rPr>
        <w:t>ara uso comercial</w:t>
      </w:r>
      <w:r w:rsidR="00A60039" w:rsidRPr="005379A1">
        <w:rPr>
          <w:rFonts w:ascii="ITC Avant Garde" w:hAnsi="ITC Avant Garde"/>
          <w:bCs/>
          <w:sz w:val="22"/>
          <w:szCs w:val="22"/>
          <w:lang w:val="es-ES_tradnl"/>
        </w:rPr>
        <w:t>, así como</w:t>
      </w:r>
      <w:r w:rsidR="009D36CD" w:rsidRPr="005379A1">
        <w:rPr>
          <w:rFonts w:ascii="ITC Avant Garde" w:hAnsi="ITC Avant Garde"/>
          <w:bCs/>
          <w:sz w:val="22"/>
          <w:szCs w:val="22"/>
          <w:lang w:val="es-ES_tradnl"/>
        </w:rPr>
        <w:t xml:space="preserve"> </w:t>
      </w:r>
      <w:r w:rsidR="00A60039" w:rsidRPr="005379A1">
        <w:rPr>
          <w:rFonts w:ascii="ITC Avant Garde" w:hAnsi="ITC Avant Garde"/>
          <w:bCs/>
          <w:sz w:val="22"/>
          <w:szCs w:val="22"/>
          <w:lang w:val="es-ES_tradnl"/>
        </w:rPr>
        <w:t xml:space="preserve">el título de concesión para uso comercial </w:t>
      </w:r>
      <w:r w:rsidR="009D36CD" w:rsidRPr="005379A1">
        <w:rPr>
          <w:rFonts w:ascii="ITC Avant Garde" w:hAnsi="ITC Avant Garde"/>
          <w:bCs/>
          <w:sz w:val="22"/>
          <w:szCs w:val="22"/>
          <w:lang w:val="es-ES_tradnl"/>
        </w:rPr>
        <w:t xml:space="preserve">a que se refiere la presente Resolución, una vez que sean debidamente </w:t>
      </w:r>
      <w:r w:rsidR="00E53FB6" w:rsidRPr="005379A1">
        <w:rPr>
          <w:rFonts w:ascii="ITC Avant Garde" w:hAnsi="ITC Avant Garde"/>
          <w:bCs/>
          <w:sz w:val="22"/>
          <w:szCs w:val="22"/>
          <w:lang w:val="es-ES_tradnl"/>
        </w:rPr>
        <w:t xml:space="preserve">otorgados y </w:t>
      </w:r>
      <w:r w:rsidR="009D36CD" w:rsidRPr="005379A1">
        <w:rPr>
          <w:rFonts w:ascii="ITC Avant Garde" w:hAnsi="ITC Avant Garde"/>
          <w:bCs/>
          <w:sz w:val="22"/>
          <w:szCs w:val="22"/>
          <w:lang w:val="es-ES_tradnl"/>
        </w:rPr>
        <w:t>notificados</w:t>
      </w:r>
      <w:r w:rsidR="007C11D1" w:rsidRPr="005379A1">
        <w:rPr>
          <w:rFonts w:ascii="ITC Avant Garde" w:hAnsi="ITC Avant Garde"/>
          <w:bCs/>
          <w:sz w:val="22"/>
          <w:szCs w:val="22"/>
          <w:lang w:val="es-ES_tradnl"/>
        </w:rPr>
        <w:t>, en su caso,</w:t>
      </w:r>
      <w:r w:rsidR="009D36CD" w:rsidRPr="005379A1">
        <w:rPr>
          <w:rFonts w:ascii="ITC Avant Garde" w:hAnsi="ITC Avant Garde"/>
          <w:bCs/>
          <w:sz w:val="22"/>
          <w:szCs w:val="22"/>
          <w:lang w:val="es-ES_tradnl"/>
        </w:rPr>
        <w:t xml:space="preserve"> al interesado.</w:t>
      </w:r>
    </w:p>
    <w:p w14:paraId="0C9399FF" w14:textId="073C4E9E" w:rsidR="00243036" w:rsidRPr="005379A1" w:rsidRDefault="00243036" w:rsidP="005379A1">
      <w:pPr>
        <w:pStyle w:val="Sinespaciado"/>
        <w:jc w:val="both"/>
        <w:rPr>
          <w:color w:val="000000"/>
          <w:sz w:val="14"/>
        </w:rPr>
      </w:pPr>
      <w:r w:rsidRPr="005379A1">
        <w:rPr>
          <w:rFonts w:ascii="ITC Avant Garde" w:hAnsi="ITC Avant Garde"/>
          <w:color w:val="000000"/>
          <w:sz w:val="14"/>
        </w:rPr>
        <w:t xml:space="preserve">La presente Resolución fue aprobada por el Pleno del Instituto Federal de Telecomunicaciones en su XI Sesión Ordinaria celebrada el 27 de abril de 2016, por mayoría de votos de los Comisionados presentes Gabriel Oswaldo Contreras Saldívar, Ernesto Estrada González, Adriana Sofía </w:t>
      </w:r>
      <w:proofErr w:type="spellStart"/>
      <w:r w:rsidRPr="005379A1">
        <w:rPr>
          <w:rFonts w:ascii="ITC Avant Garde" w:hAnsi="ITC Avant Garde"/>
          <w:color w:val="000000"/>
          <w:sz w:val="14"/>
        </w:rPr>
        <w:t>Labardini</w:t>
      </w:r>
      <w:proofErr w:type="spellEnd"/>
      <w:r w:rsidRPr="005379A1">
        <w:rPr>
          <w:rFonts w:ascii="ITC Avant Garde" w:hAnsi="ITC Avant Garde"/>
          <w:color w:val="000000"/>
          <w:sz w:val="14"/>
        </w:rPr>
        <w:t xml:space="preserve"> </w:t>
      </w:r>
      <w:proofErr w:type="spellStart"/>
      <w:r w:rsidRPr="005379A1">
        <w:rPr>
          <w:rFonts w:ascii="ITC Avant Garde" w:hAnsi="ITC Avant Garde"/>
          <w:color w:val="000000"/>
          <w:sz w:val="14"/>
        </w:rPr>
        <w:t>Inzunza</w:t>
      </w:r>
      <w:proofErr w:type="spellEnd"/>
      <w:r w:rsidRPr="005379A1">
        <w:rPr>
          <w:rFonts w:ascii="ITC Avant Garde" w:hAnsi="ITC Avant Garde"/>
          <w:color w:val="000000"/>
          <w:sz w:val="14"/>
        </w:rPr>
        <w:t xml:space="preserve">, María Elena </w:t>
      </w:r>
      <w:proofErr w:type="spellStart"/>
      <w:r w:rsidRPr="005379A1">
        <w:rPr>
          <w:rFonts w:ascii="ITC Avant Garde" w:hAnsi="ITC Avant Garde"/>
          <w:color w:val="000000"/>
          <w:sz w:val="14"/>
        </w:rPr>
        <w:t>Estavillo</w:t>
      </w:r>
      <w:proofErr w:type="spellEnd"/>
      <w:r w:rsidRPr="005379A1">
        <w:rPr>
          <w:rFonts w:ascii="ITC Avant Garde" w:hAnsi="ITC Avant Garde"/>
          <w:color w:val="000000"/>
          <w:sz w:val="14"/>
        </w:rPr>
        <w:t xml:space="preserve"> Flores y Mario Germán </w:t>
      </w:r>
      <w:proofErr w:type="spellStart"/>
      <w:r w:rsidRPr="005379A1">
        <w:rPr>
          <w:rFonts w:ascii="ITC Avant Garde" w:hAnsi="ITC Avant Garde"/>
          <w:color w:val="000000"/>
          <w:sz w:val="14"/>
        </w:rPr>
        <w:t>Fromow</w:t>
      </w:r>
      <w:proofErr w:type="spellEnd"/>
      <w:r w:rsidRPr="005379A1">
        <w:rPr>
          <w:rFonts w:ascii="ITC Avant Garde" w:hAnsi="ITC Avant Garde"/>
          <w:color w:val="000000"/>
          <w:sz w:val="14"/>
        </w:rPr>
        <w:t xml:space="preserve"> Rangel,  quien manifiesta voto concurrente; y con el voto en contra del Comisionado Adolfo Cuevas Teja, quien presentará voto por escrito;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P/IFT/270416/188.</w:t>
      </w:r>
      <w:bookmarkStart w:id="0" w:name="_GoBack"/>
      <w:bookmarkEnd w:id="0"/>
    </w:p>
    <w:sectPr w:rsidR="00243036" w:rsidRPr="005379A1" w:rsidSect="005379A1">
      <w:type w:val="continuous"/>
      <w:pgSz w:w="12240" w:h="15840" w:code="1"/>
      <w:pgMar w:top="2127" w:right="1467" w:bottom="719" w:left="1418" w:header="720" w:footer="10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E7B02" w14:textId="77777777" w:rsidR="009F3620" w:rsidRDefault="009F3620">
      <w:r>
        <w:separator/>
      </w:r>
    </w:p>
  </w:endnote>
  <w:endnote w:type="continuationSeparator" w:id="0">
    <w:p w14:paraId="075B54ED" w14:textId="77777777" w:rsidR="009F3620" w:rsidRDefault="009F3620">
      <w:r>
        <w:continuationSeparator/>
      </w:r>
    </w:p>
  </w:endnote>
  <w:endnote w:type="continuationNotice" w:id="1">
    <w:p w14:paraId="02BAD164" w14:textId="77777777" w:rsidR="009F3620" w:rsidRDefault="009F3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E9125" w14:textId="77777777" w:rsidR="001C6AEE" w:rsidRDefault="001C6AEE" w:rsidP="00813B5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0D9A77" w14:textId="70BD979F" w:rsidR="001C6AEE" w:rsidRDefault="001C6AEE" w:rsidP="0051125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78C04" w14:textId="531251D1" w:rsidR="001C6AEE" w:rsidRPr="00BF3E5C" w:rsidRDefault="001C6AEE" w:rsidP="00E35A7F">
    <w:pPr>
      <w:pStyle w:val="Piedepgina"/>
      <w:ind w:right="360"/>
      <w:jc w:val="center"/>
      <w:rPr>
        <w:rFonts w:ascii="ITC Avant Garde" w:hAnsi="ITC Avant Garde"/>
        <w:sz w:val="16"/>
        <w:szCs w:val="16"/>
      </w:rPr>
    </w:pPr>
    <w:r w:rsidRPr="00BF3E5C">
      <w:rPr>
        <w:rStyle w:val="Nmerodepgina"/>
        <w:rFonts w:ascii="ITC Avant Garde" w:hAnsi="ITC Avant Garde"/>
        <w:sz w:val="16"/>
        <w:szCs w:val="16"/>
      </w:rPr>
      <w:fldChar w:fldCharType="begin"/>
    </w:r>
    <w:r w:rsidRPr="00BF3E5C">
      <w:rPr>
        <w:rStyle w:val="Nmerodepgina"/>
        <w:rFonts w:ascii="ITC Avant Garde" w:hAnsi="ITC Avant Garde"/>
        <w:sz w:val="16"/>
        <w:szCs w:val="16"/>
      </w:rPr>
      <w:instrText xml:space="preserve"> PAGE </w:instrText>
    </w:r>
    <w:r w:rsidRPr="00BF3E5C">
      <w:rPr>
        <w:rStyle w:val="Nmerodepgina"/>
        <w:rFonts w:ascii="ITC Avant Garde" w:hAnsi="ITC Avant Garde"/>
        <w:sz w:val="16"/>
        <w:szCs w:val="16"/>
      </w:rPr>
      <w:fldChar w:fldCharType="separate"/>
    </w:r>
    <w:r w:rsidR="005379A1">
      <w:rPr>
        <w:rStyle w:val="Nmerodepgina"/>
        <w:rFonts w:ascii="ITC Avant Garde" w:hAnsi="ITC Avant Garde"/>
        <w:noProof/>
        <w:sz w:val="16"/>
        <w:szCs w:val="16"/>
      </w:rPr>
      <w:t>26</w:t>
    </w:r>
    <w:r w:rsidRPr="00BF3E5C">
      <w:rPr>
        <w:rStyle w:val="Nmerodepgina"/>
        <w:rFonts w:ascii="ITC Avant Garde" w:hAnsi="ITC Avant Garde"/>
        <w:sz w:val="16"/>
        <w:szCs w:val="16"/>
      </w:rPr>
      <w:fldChar w:fldCharType="end"/>
    </w:r>
    <w:r w:rsidRPr="00BF3E5C">
      <w:rPr>
        <w:rStyle w:val="Nmerodepgina"/>
        <w:rFonts w:ascii="ITC Avant Garde" w:hAnsi="ITC Avant Garde"/>
        <w:sz w:val="16"/>
        <w:szCs w:val="16"/>
      </w:rPr>
      <w:t>/</w:t>
    </w:r>
    <w:r w:rsidRPr="00BF3E5C">
      <w:rPr>
        <w:rStyle w:val="Nmerodepgina"/>
        <w:rFonts w:ascii="ITC Avant Garde" w:hAnsi="ITC Avant Garde"/>
        <w:sz w:val="16"/>
        <w:szCs w:val="16"/>
      </w:rPr>
      <w:fldChar w:fldCharType="begin"/>
    </w:r>
    <w:r w:rsidRPr="00BF3E5C">
      <w:rPr>
        <w:rStyle w:val="Nmerodepgina"/>
        <w:rFonts w:ascii="ITC Avant Garde" w:hAnsi="ITC Avant Garde"/>
        <w:sz w:val="16"/>
        <w:szCs w:val="16"/>
      </w:rPr>
      <w:instrText xml:space="preserve"> NUMPAGES </w:instrText>
    </w:r>
    <w:r w:rsidRPr="00BF3E5C">
      <w:rPr>
        <w:rStyle w:val="Nmerodepgina"/>
        <w:rFonts w:ascii="ITC Avant Garde" w:hAnsi="ITC Avant Garde"/>
        <w:sz w:val="16"/>
        <w:szCs w:val="16"/>
      </w:rPr>
      <w:fldChar w:fldCharType="separate"/>
    </w:r>
    <w:r w:rsidR="005379A1">
      <w:rPr>
        <w:rStyle w:val="Nmerodepgina"/>
        <w:rFonts w:ascii="ITC Avant Garde" w:hAnsi="ITC Avant Garde"/>
        <w:noProof/>
        <w:sz w:val="16"/>
        <w:szCs w:val="16"/>
      </w:rPr>
      <w:t>28</w:t>
    </w:r>
    <w:r w:rsidRPr="00BF3E5C">
      <w:rPr>
        <w:rStyle w:val="Nmerodepgina"/>
        <w:rFonts w:ascii="ITC Avant Garde" w:hAnsi="ITC Avant Gard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7D170" w14:textId="77777777" w:rsidR="009F3620" w:rsidRDefault="009F3620">
      <w:r>
        <w:separator/>
      </w:r>
    </w:p>
  </w:footnote>
  <w:footnote w:type="continuationSeparator" w:id="0">
    <w:p w14:paraId="4767316F" w14:textId="77777777" w:rsidR="009F3620" w:rsidRDefault="009F3620">
      <w:r>
        <w:continuationSeparator/>
      </w:r>
    </w:p>
  </w:footnote>
  <w:footnote w:type="continuationNotice" w:id="1">
    <w:p w14:paraId="21B47555" w14:textId="77777777" w:rsidR="009F3620" w:rsidRDefault="009F3620"/>
  </w:footnote>
  <w:footnote w:id="2">
    <w:p w14:paraId="1F297AF7" w14:textId="77777777" w:rsidR="001C6AEE" w:rsidRPr="00063033" w:rsidRDefault="001C6AEE" w:rsidP="000D7E81">
      <w:pPr>
        <w:pStyle w:val="Textonotapie"/>
        <w:rPr>
          <w:rFonts w:ascii="ITC Avant Garde" w:hAnsi="ITC Avant Garde"/>
          <w:sz w:val="16"/>
          <w:szCs w:val="16"/>
        </w:rPr>
      </w:pPr>
      <w:r w:rsidRPr="00063033">
        <w:rPr>
          <w:rStyle w:val="Refdenotaalpie"/>
          <w:rFonts w:ascii="ITC Avant Garde" w:hAnsi="ITC Avant Garde"/>
          <w:sz w:val="16"/>
          <w:szCs w:val="16"/>
        </w:rPr>
        <w:footnoteRef/>
      </w:r>
      <w:r w:rsidRPr="00063033">
        <w:rPr>
          <w:rFonts w:ascii="ITC Avant Garde" w:hAnsi="ITC Avant Garde"/>
          <w:sz w:val="16"/>
          <w:szCs w:val="16"/>
        </w:rPr>
        <w:t xml:space="preserve"> </w:t>
      </w:r>
      <w:r w:rsidRPr="00063033">
        <w:rPr>
          <w:rFonts w:ascii="ITC Avant Garde" w:hAnsi="ITC Avant Garde"/>
          <w:color w:val="000000" w:themeColor="text1"/>
          <w:sz w:val="16"/>
          <w:szCs w:val="16"/>
        </w:rPr>
        <w:t xml:space="preserve">Consultado el 19/06/2015: </w:t>
      </w:r>
      <w:r w:rsidRPr="00063033">
        <w:rPr>
          <w:rFonts w:ascii="ITC Avant Garde" w:hAnsi="ITC Avant Garde" w:cs="Arial"/>
          <w:sz w:val="16"/>
          <w:szCs w:val="16"/>
          <w:shd w:val="clear" w:color="auto" w:fill="FFFFFF"/>
        </w:rPr>
        <w:t>http://www.ift.org.mx/sites/default/files/p_ift_ext_260315_70.pdf</w:t>
      </w:r>
      <w:r w:rsidRPr="00063033">
        <w:rPr>
          <w:rFonts w:ascii="ITC Avant Garde" w:hAnsi="ITC Avant Garde"/>
          <w:sz w:val="16"/>
          <w:szCs w:val="16"/>
        </w:rPr>
        <w:t xml:space="preserve"> </w:t>
      </w:r>
    </w:p>
  </w:footnote>
  <w:footnote w:id="3">
    <w:p w14:paraId="4E79C383" w14:textId="77777777" w:rsidR="001C6AEE" w:rsidRPr="00935393" w:rsidRDefault="001C6AEE" w:rsidP="00CF682F">
      <w:pPr>
        <w:pStyle w:val="Textonotapie"/>
        <w:jc w:val="both"/>
        <w:rPr>
          <w:rFonts w:ascii="ITC Avant Garde" w:hAnsi="ITC Avant Garde"/>
          <w:sz w:val="16"/>
          <w:szCs w:val="16"/>
        </w:rPr>
      </w:pPr>
      <w:r w:rsidRPr="00935393">
        <w:rPr>
          <w:rStyle w:val="Refdenotaalpie"/>
          <w:rFonts w:ascii="ITC Avant Garde" w:hAnsi="ITC Avant Garde"/>
          <w:sz w:val="16"/>
          <w:szCs w:val="16"/>
        </w:rPr>
        <w:footnoteRef/>
      </w:r>
      <w:r w:rsidRPr="00935393">
        <w:rPr>
          <w:rFonts w:ascii="ITC Avant Garde" w:hAnsi="ITC Avant Garde"/>
          <w:sz w:val="16"/>
          <w:szCs w:val="16"/>
        </w:rPr>
        <w:t xml:space="preserve"> A partir del 16 de abril de 2008 su denominación es Instituto Nacional de Estadística y Geografía.</w:t>
      </w:r>
    </w:p>
  </w:footnote>
  <w:footnote w:id="4">
    <w:p w14:paraId="155F14D3" w14:textId="77777777" w:rsidR="001C6AEE" w:rsidRPr="00063033" w:rsidRDefault="001C6AEE" w:rsidP="000D7E81">
      <w:pPr>
        <w:rPr>
          <w:rFonts w:ascii="ITC Avant Garde" w:hAnsi="ITC Avant Garde"/>
          <w:sz w:val="16"/>
          <w:szCs w:val="16"/>
        </w:rPr>
      </w:pPr>
      <w:r w:rsidRPr="00063033">
        <w:rPr>
          <w:rStyle w:val="Refdenotaalpie"/>
          <w:rFonts w:ascii="ITC Avant Garde" w:hAnsi="ITC Avant Garde"/>
          <w:sz w:val="16"/>
          <w:szCs w:val="16"/>
        </w:rPr>
        <w:footnoteRef/>
      </w:r>
      <w:r w:rsidRPr="00063033">
        <w:rPr>
          <w:rFonts w:ascii="ITC Avant Garde" w:hAnsi="ITC Avant Garde"/>
          <w:sz w:val="16"/>
          <w:szCs w:val="16"/>
        </w:rPr>
        <w:t xml:space="preserve"> </w:t>
      </w:r>
      <w:r w:rsidRPr="00063033">
        <w:rPr>
          <w:rFonts w:ascii="ITC Avant Garde" w:hAnsi="ITC Avant Garde"/>
          <w:color w:val="000000" w:themeColor="text1"/>
          <w:sz w:val="16"/>
          <w:szCs w:val="16"/>
        </w:rPr>
        <w:t xml:space="preserve">Consultado el 19/06/2015: </w:t>
      </w:r>
      <w:r w:rsidRPr="00063033">
        <w:rPr>
          <w:rFonts w:ascii="ITC Avant Garde" w:hAnsi="ITC Avant Garde"/>
          <w:sz w:val="16"/>
          <w:szCs w:val="16"/>
        </w:rPr>
        <w:t>http://www.inegi.org.mx/Sistemas/multiarchivos/doc/702825003884/DZM20101.pdf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93C877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AB7235"/>
    <w:multiLevelType w:val="hybridMultilevel"/>
    <w:tmpl w:val="9A1EE312"/>
    <w:lvl w:ilvl="0" w:tplc="DE561F62">
      <w:start w:val="1"/>
      <w:numFmt w:val="upperRoman"/>
      <w:lvlText w:val="%1."/>
      <w:lvlJc w:val="left"/>
      <w:pPr>
        <w:tabs>
          <w:tab w:val="num" w:pos="1080"/>
        </w:tabs>
        <w:ind w:left="1080" w:hanging="72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8A69C8"/>
    <w:multiLevelType w:val="hybridMultilevel"/>
    <w:tmpl w:val="A2B0C330"/>
    <w:lvl w:ilvl="0" w:tplc="E7DEF50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816556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4136F6"/>
    <w:multiLevelType w:val="hybridMultilevel"/>
    <w:tmpl w:val="19D0ACF8"/>
    <w:lvl w:ilvl="0" w:tplc="0E66D1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43136A"/>
    <w:multiLevelType w:val="hybridMultilevel"/>
    <w:tmpl w:val="CABAB49E"/>
    <w:lvl w:ilvl="0" w:tplc="706C672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422B21"/>
    <w:multiLevelType w:val="singleLevel"/>
    <w:tmpl w:val="0C0A0013"/>
    <w:lvl w:ilvl="0">
      <w:start w:val="1"/>
      <w:numFmt w:val="upperRoman"/>
      <w:lvlText w:val="%1."/>
      <w:lvlJc w:val="left"/>
      <w:pPr>
        <w:tabs>
          <w:tab w:val="num" w:pos="720"/>
        </w:tabs>
        <w:ind w:left="720" w:hanging="720"/>
      </w:pPr>
    </w:lvl>
  </w:abstractNum>
  <w:abstractNum w:abstractNumId="7" w15:restartNumberingAfterBreak="0">
    <w:nsid w:val="17A12A4D"/>
    <w:multiLevelType w:val="multilevel"/>
    <w:tmpl w:val="B3F8D5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F73665"/>
    <w:multiLevelType w:val="hybridMultilevel"/>
    <w:tmpl w:val="09EABDC2"/>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9" w15:restartNumberingAfterBreak="0">
    <w:nsid w:val="1E611628"/>
    <w:multiLevelType w:val="hybridMultilevel"/>
    <w:tmpl w:val="85DCBF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2502736B"/>
    <w:multiLevelType w:val="multilevel"/>
    <w:tmpl w:val="E7CAF44A"/>
    <w:lvl w:ilvl="0">
      <w:start w:val="1"/>
      <w:numFmt w:val="decimal"/>
      <w:lvlText w:val="%1."/>
      <w:lvlJc w:val="left"/>
      <w:pPr>
        <w:ind w:left="1494"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11" w15:restartNumberingAfterBreak="0">
    <w:nsid w:val="25630E39"/>
    <w:multiLevelType w:val="hybridMultilevel"/>
    <w:tmpl w:val="82BCCFEE"/>
    <w:lvl w:ilvl="0" w:tplc="1F624F82">
      <w:start w:val="1"/>
      <w:numFmt w:val="upperRoman"/>
      <w:lvlText w:val="%1."/>
      <w:lvlJc w:val="righ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0CD58A2"/>
    <w:multiLevelType w:val="hybridMultilevel"/>
    <w:tmpl w:val="017895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0ED36B0"/>
    <w:multiLevelType w:val="hybridMultilevel"/>
    <w:tmpl w:val="F8F20A8C"/>
    <w:lvl w:ilvl="0" w:tplc="E2E2748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155B5D"/>
    <w:multiLevelType w:val="hybridMultilevel"/>
    <w:tmpl w:val="2DE641D4"/>
    <w:lvl w:ilvl="0" w:tplc="809C54A2">
      <w:start w:val="3"/>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41F4552"/>
    <w:multiLevelType w:val="hybridMultilevel"/>
    <w:tmpl w:val="90464280"/>
    <w:lvl w:ilvl="0" w:tplc="F70E727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52468D5"/>
    <w:multiLevelType w:val="hybridMultilevel"/>
    <w:tmpl w:val="E67A8E1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38C0560B"/>
    <w:multiLevelType w:val="hybridMultilevel"/>
    <w:tmpl w:val="7C7E4EA4"/>
    <w:lvl w:ilvl="0" w:tplc="4DB21D4E">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39C572BE"/>
    <w:multiLevelType w:val="hybridMultilevel"/>
    <w:tmpl w:val="842061BA"/>
    <w:lvl w:ilvl="0" w:tplc="E51049EE">
      <w:start w:val="1"/>
      <w:numFmt w:val="upperRoman"/>
      <w:lvlText w:val="%1."/>
      <w:lvlJc w:val="left"/>
      <w:pPr>
        <w:tabs>
          <w:tab w:val="num" w:pos="180"/>
        </w:tabs>
        <w:ind w:left="180" w:firstLine="10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063B65"/>
    <w:multiLevelType w:val="hybridMultilevel"/>
    <w:tmpl w:val="90349022"/>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C1370D1"/>
    <w:multiLevelType w:val="hybridMultilevel"/>
    <w:tmpl w:val="840410CA"/>
    <w:lvl w:ilvl="0" w:tplc="09CEA4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B87BA0"/>
    <w:multiLevelType w:val="hybridMultilevel"/>
    <w:tmpl w:val="545829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CB5B82"/>
    <w:multiLevelType w:val="hybridMultilevel"/>
    <w:tmpl w:val="9A763408"/>
    <w:lvl w:ilvl="0" w:tplc="028892FA">
      <w:start w:val="1"/>
      <w:numFmt w:val="lowerLetter"/>
      <w:lvlText w:val="%1."/>
      <w:lvlJc w:val="left"/>
      <w:pPr>
        <w:ind w:left="436" w:hanging="72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23" w15:restartNumberingAfterBreak="0">
    <w:nsid w:val="461A0B32"/>
    <w:multiLevelType w:val="hybridMultilevel"/>
    <w:tmpl w:val="A284192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477055DD"/>
    <w:multiLevelType w:val="hybridMultilevel"/>
    <w:tmpl w:val="A2CE4A52"/>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D8D556F"/>
    <w:multiLevelType w:val="hybridMultilevel"/>
    <w:tmpl w:val="DB3AF5CC"/>
    <w:lvl w:ilvl="0" w:tplc="87F8D3C2">
      <w:start w:val="1"/>
      <w:numFmt w:val="lowerLetter"/>
      <w:lvlText w:val="%1)"/>
      <w:lvlJc w:val="left"/>
      <w:pPr>
        <w:tabs>
          <w:tab w:val="num" w:pos="1440"/>
        </w:tabs>
        <w:ind w:left="1440" w:hanging="360"/>
      </w:pPr>
      <w:rPr>
        <w:rFonts w:ascii="Arial" w:hAnsi="Arial"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F1529E0"/>
    <w:multiLevelType w:val="hybridMultilevel"/>
    <w:tmpl w:val="8116B48E"/>
    <w:lvl w:ilvl="0" w:tplc="5ED221E2">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F2161FC"/>
    <w:multiLevelType w:val="multilevel"/>
    <w:tmpl w:val="B2948C1E"/>
    <w:lvl w:ilvl="0">
      <w:start w:val="1"/>
      <w:numFmt w:val="decimal"/>
      <w:lvlText w:val="%1."/>
      <w:lvlJc w:val="left"/>
      <w:pPr>
        <w:ind w:left="1494"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28" w15:restartNumberingAfterBreak="0">
    <w:nsid w:val="4F3B4F2A"/>
    <w:multiLevelType w:val="hybridMultilevel"/>
    <w:tmpl w:val="7E8AD34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578012DA"/>
    <w:multiLevelType w:val="multilevel"/>
    <w:tmpl w:val="2DE641D4"/>
    <w:lvl w:ilvl="0">
      <w:start w:val="3"/>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7CD229A"/>
    <w:multiLevelType w:val="hybridMultilevel"/>
    <w:tmpl w:val="1D92D6CE"/>
    <w:lvl w:ilvl="0" w:tplc="87F8D3C2">
      <w:start w:val="1"/>
      <w:numFmt w:val="lowerLetter"/>
      <w:lvlText w:val="%1)"/>
      <w:lvlJc w:val="left"/>
      <w:pPr>
        <w:tabs>
          <w:tab w:val="num" w:pos="1440"/>
        </w:tabs>
        <w:ind w:left="1440" w:hanging="360"/>
      </w:pPr>
      <w:rPr>
        <w:rFonts w:ascii="Arial" w:hAnsi="Arial"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9833FBB"/>
    <w:multiLevelType w:val="hybridMultilevel"/>
    <w:tmpl w:val="765E4F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03293A"/>
    <w:multiLevelType w:val="hybridMultilevel"/>
    <w:tmpl w:val="8FAEB3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20637B"/>
    <w:multiLevelType w:val="hybridMultilevel"/>
    <w:tmpl w:val="D228E498"/>
    <w:lvl w:ilvl="0" w:tplc="125CA09A">
      <w:start w:val="1"/>
      <w:numFmt w:val="upperRoman"/>
      <w:lvlText w:val="%1. "/>
      <w:lvlJc w:val="left"/>
      <w:pPr>
        <w:tabs>
          <w:tab w:val="num" w:pos="567"/>
        </w:tabs>
        <w:ind w:left="567" w:hanging="567"/>
      </w:pPr>
      <w:rPr>
        <w:rFonts w:ascii="Arial" w:hAnsi="Arial" w:hint="default"/>
        <w:b/>
        <w:i w:val="0"/>
        <w:sz w:val="22"/>
        <w:szCs w:val="22"/>
        <w:u w:val="none"/>
      </w:rPr>
    </w:lvl>
    <w:lvl w:ilvl="1" w:tplc="0C0A000F">
      <w:start w:val="1"/>
      <w:numFmt w:val="decimal"/>
      <w:lvlText w:val="%2."/>
      <w:lvlJc w:val="left"/>
      <w:pPr>
        <w:tabs>
          <w:tab w:val="num" w:pos="1440"/>
        </w:tabs>
        <w:ind w:left="1440" w:hanging="360"/>
      </w:pPr>
      <w:rPr>
        <w:rFonts w:hint="default"/>
        <w:b/>
        <w:i w:val="0"/>
        <w:sz w:val="22"/>
        <w:szCs w:val="22"/>
        <w:u w:val="none"/>
      </w:rPr>
    </w:lvl>
    <w:lvl w:ilvl="2" w:tplc="D0AA99A8">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26214A4"/>
    <w:multiLevelType w:val="hybridMultilevel"/>
    <w:tmpl w:val="1CC0757C"/>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5" w15:restartNumberingAfterBreak="0">
    <w:nsid w:val="63C24DBD"/>
    <w:multiLevelType w:val="hybridMultilevel"/>
    <w:tmpl w:val="3020B3B0"/>
    <w:lvl w:ilvl="0" w:tplc="C37ACD6C">
      <w:start w:val="2"/>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53D2084"/>
    <w:multiLevelType w:val="hybridMultilevel"/>
    <w:tmpl w:val="280252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FD0F60"/>
    <w:multiLevelType w:val="hybridMultilevel"/>
    <w:tmpl w:val="22E036C8"/>
    <w:lvl w:ilvl="0" w:tplc="8ABCBB16">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9BC1CDA"/>
    <w:multiLevelType w:val="hybridMultilevel"/>
    <w:tmpl w:val="1898C90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9" w15:restartNumberingAfterBreak="0">
    <w:nsid w:val="69C73B3E"/>
    <w:multiLevelType w:val="hybridMultilevel"/>
    <w:tmpl w:val="CD7CA65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70B118E0"/>
    <w:multiLevelType w:val="hybridMultilevel"/>
    <w:tmpl w:val="D312E282"/>
    <w:lvl w:ilvl="0" w:tplc="8ABE3078">
      <w:start w:val="4"/>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1" w15:restartNumberingAfterBreak="0">
    <w:nsid w:val="71F227D0"/>
    <w:multiLevelType w:val="hybridMultilevel"/>
    <w:tmpl w:val="FE0CCE26"/>
    <w:lvl w:ilvl="0" w:tplc="F6F80D20">
      <w:numFmt w:val="bullet"/>
      <w:lvlText w:val="-"/>
      <w:lvlJc w:val="left"/>
      <w:pPr>
        <w:ind w:left="900" w:hanging="360"/>
      </w:pPr>
      <w:rPr>
        <w:rFonts w:ascii="ITC Avant Garde" w:eastAsia="Calibri" w:hAnsi="ITC Avant Garde" w:cs="Times New Roman"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42" w15:restartNumberingAfterBreak="0">
    <w:nsid w:val="73AC5559"/>
    <w:multiLevelType w:val="hybridMultilevel"/>
    <w:tmpl w:val="925C7B18"/>
    <w:lvl w:ilvl="0" w:tplc="A9E66AD0">
      <w:start w:val="1"/>
      <w:numFmt w:val="upperRoman"/>
      <w:lvlText w:val="%1."/>
      <w:lvlJc w:val="left"/>
      <w:pPr>
        <w:tabs>
          <w:tab w:val="num" w:pos="1080"/>
        </w:tabs>
        <w:ind w:left="1080" w:hanging="720"/>
      </w:pPr>
      <w:rPr>
        <w:rFonts w:hint="default"/>
        <w:b/>
      </w:rPr>
    </w:lvl>
    <w:lvl w:ilvl="1" w:tplc="BC76A95C">
      <w:start w:val="1"/>
      <w:numFmt w:val="lowerLetter"/>
      <w:lvlText w:val="%2)"/>
      <w:lvlJc w:val="left"/>
      <w:pPr>
        <w:tabs>
          <w:tab w:val="num" w:pos="1440"/>
        </w:tabs>
        <w:ind w:left="1440" w:hanging="360"/>
      </w:pPr>
      <w:rPr>
        <w:rFonts w:hint="default"/>
        <w:b w:val="0"/>
        <w:i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4650DD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E71BBC"/>
    <w:multiLevelType w:val="multilevel"/>
    <w:tmpl w:val="EE5CCF4A"/>
    <w:lvl w:ilvl="0">
      <w:start w:val="2"/>
      <w:numFmt w:val="decimal"/>
      <w:lvlText w:val="%1."/>
      <w:lvlJc w:val="left"/>
      <w:pPr>
        <w:ind w:left="1494" w:hanging="360"/>
      </w:pPr>
      <w:rPr>
        <w:rFonts w:hint="default"/>
      </w:rPr>
    </w:lvl>
    <w:lvl w:ilvl="1">
      <w:start w:val="4"/>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45" w15:restartNumberingAfterBreak="0">
    <w:nsid w:val="791F673A"/>
    <w:multiLevelType w:val="hybridMultilevel"/>
    <w:tmpl w:val="B55E4666"/>
    <w:lvl w:ilvl="0" w:tplc="D20491FA">
      <w:start w:val="3"/>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3"/>
  </w:num>
  <w:num w:numId="2">
    <w:abstractNumId w:val="18"/>
  </w:num>
  <w:num w:numId="3">
    <w:abstractNumId w:val="34"/>
  </w:num>
  <w:num w:numId="4">
    <w:abstractNumId w:val="14"/>
  </w:num>
  <w:num w:numId="5">
    <w:abstractNumId w:val="7"/>
  </w:num>
  <w:num w:numId="6">
    <w:abstractNumId w:val="29"/>
  </w:num>
  <w:num w:numId="7">
    <w:abstractNumId w:val="45"/>
  </w:num>
  <w:num w:numId="8">
    <w:abstractNumId w:val="6"/>
  </w:num>
  <w:num w:numId="9">
    <w:abstractNumId w:val="23"/>
  </w:num>
  <w:num w:numId="10">
    <w:abstractNumId w:val="1"/>
  </w:num>
  <w:num w:numId="11">
    <w:abstractNumId w:val="35"/>
  </w:num>
  <w:num w:numId="12">
    <w:abstractNumId w:val="21"/>
  </w:num>
  <w:num w:numId="13">
    <w:abstractNumId w:val="37"/>
  </w:num>
  <w:num w:numId="14">
    <w:abstractNumId w:val="38"/>
  </w:num>
  <w:num w:numId="15">
    <w:abstractNumId w:val="28"/>
  </w:num>
  <w:num w:numId="16">
    <w:abstractNumId w:val="12"/>
  </w:num>
  <w:num w:numId="17">
    <w:abstractNumId w:val="19"/>
  </w:num>
  <w:num w:numId="18">
    <w:abstractNumId w:val="25"/>
  </w:num>
  <w:num w:numId="19">
    <w:abstractNumId w:val="31"/>
  </w:num>
  <w:num w:numId="20">
    <w:abstractNumId w:val="11"/>
  </w:num>
  <w:num w:numId="21">
    <w:abstractNumId w:val="32"/>
  </w:num>
  <w:num w:numId="22">
    <w:abstractNumId w:val="42"/>
  </w:num>
  <w:num w:numId="23">
    <w:abstractNumId w:val="26"/>
  </w:num>
  <w:num w:numId="24">
    <w:abstractNumId w:val="17"/>
  </w:num>
  <w:num w:numId="25">
    <w:abstractNumId w:val="24"/>
  </w:num>
  <w:num w:numId="26">
    <w:abstractNumId w:val="30"/>
  </w:num>
  <w:num w:numId="27">
    <w:abstractNumId w:val="27"/>
  </w:num>
  <w:num w:numId="28">
    <w:abstractNumId w:val="16"/>
  </w:num>
  <w:num w:numId="29">
    <w:abstractNumId w:val="10"/>
  </w:num>
  <w:num w:numId="30">
    <w:abstractNumId w:val="9"/>
  </w:num>
  <w:num w:numId="31">
    <w:abstractNumId w:val="0"/>
  </w:num>
  <w:num w:numId="32">
    <w:abstractNumId w:val="44"/>
  </w:num>
  <w:num w:numId="33">
    <w:abstractNumId w:val="36"/>
  </w:num>
  <w:num w:numId="34">
    <w:abstractNumId w:val="13"/>
  </w:num>
  <w:num w:numId="35">
    <w:abstractNumId w:val="22"/>
  </w:num>
  <w:num w:numId="36">
    <w:abstractNumId w:val="3"/>
  </w:num>
  <w:num w:numId="37">
    <w:abstractNumId w:val="2"/>
  </w:num>
  <w:num w:numId="38">
    <w:abstractNumId w:val="40"/>
  </w:num>
  <w:num w:numId="39">
    <w:abstractNumId w:val="20"/>
  </w:num>
  <w:num w:numId="40">
    <w:abstractNumId w:val="5"/>
  </w:num>
  <w:num w:numId="41">
    <w:abstractNumId w:val="43"/>
  </w:num>
  <w:num w:numId="42">
    <w:abstractNumId w:val="15"/>
  </w:num>
  <w:num w:numId="43">
    <w:abstractNumId w:val="39"/>
  </w:num>
  <w:num w:numId="44">
    <w:abstractNumId w:val="8"/>
  </w:num>
  <w:num w:numId="45">
    <w:abstractNumId w:val="4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8C"/>
    <w:rsid w:val="00001C95"/>
    <w:rsid w:val="0000269C"/>
    <w:rsid w:val="000033B8"/>
    <w:rsid w:val="00005855"/>
    <w:rsid w:val="00005E0C"/>
    <w:rsid w:val="000065C2"/>
    <w:rsid w:val="00007248"/>
    <w:rsid w:val="00007DF4"/>
    <w:rsid w:val="000111B4"/>
    <w:rsid w:val="0001222C"/>
    <w:rsid w:val="00013794"/>
    <w:rsid w:val="0001524F"/>
    <w:rsid w:val="00015945"/>
    <w:rsid w:val="00016E74"/>
    <w:rsid w:val="00017616"/>
    <w:rsid w:val="00017697"/>
    <w:rsid w:val="00017947"/>
    <w:rsid w:val="00017AF6"/>
    <w:rsid w:val="00020A9A"/>
    <w:rsid w:val="00021E72"/>
    <w:rsid w:val="00023FF1"/>
    <w:rsid w:val="0002515B"/>
    <w:rsid w:val="000305DA"/>
    <w:rsid w:val="00033159"/>
    <w:rsid w:val="00033D40"/>
    <w:rsid w:val="0003610C"/>
    <w:rsid w:val="00036C36"/>
    <w:rsid w:val="00036C77"/>
    <w:rsid w:val="000413BB"/>
    <w:rsid w:val="0004227D"/>
    <w:rsid w:val="00042361"/>
    <w:rsid w:val="00042A89"/>
    <w:rsid w:val="00042B17"/>
    <w:rsid w:val="0004312C"/>
    <w:rsid w:val="00043BDC"/>
    <w:rsid w:val="00044052"/>
    <w:rsid w:val="000442B9"/>
    <w:rsid w:val="0004438F"/>
    <w:rsid w:val="000447E9"/>
    <w:rsid w:val="00046465"/>
    <w:rsid w:val="00046582"/>
    <w:rsid w:val="00047A93"/>
    <w:rsid w:val="00047CBA"/>
    <w:rsid w:val="0005079D"/>
    <w:rsid w:val="00050BDC"/>
    <w:rsid w:val="00051252"/>
    <w:rsid w:val="000521B0"/>
    <w:rsid w:val="00053E8F"/>
    <w:rsid w:val="000552F4"/>
    <w:rsid w:val="00055913"/>
    <w:rsid w:val="00055A44"/>
    <w:rsid w:val="000606FD"/>
    <w:rsid w:val="00063033"/>
    <w:rsid w:val="00065A5B"/>
    <w:rsid w:val="000660A9"/>
    <w:rsid w:val="00066724"/>
    <w:rsid w:val="000701AA"/>
    <w:rsid w:val="000707B0"/>
    <w:rsid w:val="00072206"/>
    <w:rsid w:val="00073385"/>
    <w:rsid w:val="00074C33"/>
    <w:rsid w:val="00075942"/>
    <w:rsid w:val="00075958"/>
    <w:rsid w:val="00076950"/>
    <w:rsid w:val="000778C1"/>
    <w:rsid w:val="00081503"/>
    <w:rsid w:val="000823F5"/>
    <w:rsid w:val="00083E3D"/>
    <w:rsid w:val="00084357"/>
    <w:rsid w:val="00085958"/>
    <w:rsid w:val="00085D21"/>
    <w:rsid w:val="00087AE5"/>
    <w:rsid w:val="00091A86"/>
    <w:rsid w:val="000936D0"/>
    <w:rsid w:val="00094E98"/>
    <w:rsid w:val="000962A0"/>
    <w:rsid w:val="00096AAA"/>
    <w:rsid w:val="00096F68"/>
    <w:rsid w:val="000A0200"/>
    <w:rsid w:val="000A0EBD"/>
    <w:rsid w:val="000A2E19"/>
    <w:rsid w:val="000A3AB4"/>
    <w:rsid w:val="000A4722"/>
    <w:rsid w:val="000A5DEE"/>
    <w:rsid w:val="000A61F0"/>
    <w:rsid w:val="000A6E75"/>
    <w:rsid w:val="000A7B76"/>
    <w:rsid w:val="000B1587"/>
    <w:rsid w:val="000B28A0"/>
    <w:rsid w:val="000B4130"/>
    <w:rsid w:val="000B6E98"/>
    <w:rsid w:val="000B77D3"/>
    <w:rsid w:val="000B7B75"/>
    <w:rsid w:val="000C0C3C"/>
    <w:rsid w:val="000C1710"/>
    <w:rsid w:val="000C45D1"/>
    <w:rsid w:val="000C7242"/>
    <w:rsid w:val="000C759B"/>
    <w:rsid w:val="000D0064"/>
    <w:rsid w:val="000D04FE"/>
    <w:rsid w:val="000D0816"/>
    <w:rsid w:val="000D1164"/>
    <w:rsid w:val="000D340E"/>
    <w:rsid w:val="000D3AE9"/>
    <w:rsid w:val="000D5A9E"/>
    <w:rsid w:val="000D5E1D"/>
    <w:rsid w:val="000D60A1"/>
    <w:rsid w:val="000D6EC6"/>
    <w:rsid w:val="000D7E81"/>
    <w:rsid w:val="000E08A6"/>
    <w:rsid w:val="000E0E6C"/>
    <w:rsid w:val="000E1584"/>
    <w:rsid w:val="000E206A"/>
    <w:rsid w:val="000E37EF"/>
    <w:rsid w:val="000E577E"/>
    <w:rsid w:val="000E61CC"/>
    <w:rsid w:val="000E6F0B"/>
    <w:rsid w:val="000E719A"/>
    <w:rsid w:val="000E7AAF"/>
    <w:rsid w:val="000F08B6"/>
    <w:rsid w:val="000F0D9E"/>
    <w:rsid w:val="000F2367"/>
    <w:rsid w:val="000F3211"/>
    <w:rsid w:val="000F339A"/>
    <w:rsid w:val="000F3DF3"/>
    <w:rsid w:val="000F4832"/>
    <w:rsid w:val="000F4D5D"/>
    <w:rsid w:val="000F5F94"/>
    <w:rsid w:val="000F6D5B"/>
    <w:rsid w:val="000F6E7D"/>
    <w:rsid w:val="000F729E"/>
    <w:rsid w:val="00100357"/>
    <w:rsid w:val="00100675"/>
    <w:rsid w:val="001017E1"/>
    <w:rsid w:val="00101F94"/>
    <w:rsid w:val="001021AE"/>
    <w:rsid w:val="00102B29"/>
    <w:rsid w:val="00103F46"/>
    <w:rsid w:val="00104D92"/>
    <w:rsid w:val="00107032"/>
    <w:rsid w:val="0010756C"/>
    <w:rsid w:val="00110BF0"/>
    <w:rsid w:val="00111255"/>
    <w:rsid w:val="001115F3"/>
    <w:rsid w:val="00112BC9"/>
    <w:rsid w:val="001132E3"/>
    <w:rsid w:val="00113B5F"/>
    <w:rsid w:val="0011404C"/>
    <w:rsid w:val="0011466E"/>
    <w:rsid w:val="001148F1"/>
    <w:rsid w:val="001152B5"/>
    <w:rsid w:val="0011655E"/>
    <w:rsid w:val="00116EFB"/>
    <w:rsid w:val="0012107C"/>
    <w:rsid w:val="001241F5"/>
    <w:rsid w:val="001251E2"/>
    <w:rsid w:val="0012791B"/>
    <w:rsid w:val="00127A31"/>
    <w:rsid w:val="00130D2D"/>
    <w:rsid w:val="00131135"/>
    <w:rsid w:val="00132DD5"/>
    <w:rsid w:val="00133914"/>
    <w:rsid w:val="001339C8"/>
    <w:rsid w:val="00135033"/>
    <w:rsid w:val="00136EA5"/>
    <w:rsid w:val="00145B4D"/>
    <w:rsid w:val="0014715F"/>
    <w:rsid w:val="00151FD5"/>
    <w:rsid w:val="001523F0"/>
    <w:rsid w:val="001552FC"/>
    <w:rsid w:val="00155681"/>
    <w:rsid w:val="00155963"/>
    <w:rsid w:val="00156062"/>
    <w:rsid w:val="00157131"/>
    <w:rsid w:val="00161912"/>
    <w:rsid w:val="00162144"/>
    <w:rsid w:val="00162268"/>
    <w:rsid w:val="00162D5C"/>
    <w:rsid w:val="001652DA"/>
    <w:rsid w:val="00171CBA"/>
    <w:rsid w:val="00174889"/>
    <w:rsid w:val="001756F6"/>
    <w:rsid w:val="001765CD"/>
    <w:rsid w:val="00177354"/>
    <w:rsid w:val="00177450"/>
    <w:rsid w:val="00177588"/>
    <w:rsid w:val="001805DC"/>
    <w:rsid w:val="001819FB"/>
    <w:rsid w:val="0018248E"/>
    <w:rsid w:val="00182808"/>
    <w:rsid w:val="00182F02"/>
    <w:rsid w:val="001845AB"/>
    <w:rsid w:val="0018506F"/>
    <w:rsid w:val="00186B53"/>
    <w:rsid w:val="00187028"/>
    <w:rsid w:val="00187B60"/>
    <w:rsid w:val="0019119E"/>
    <w:rsid w:val="00192149"/>
    <w:rsid w:val="00193ACD"/>
    <w:rsid w:val="00193F2E"/>
    <w:rsid w:val="0019438B"/>
    <w:rsid w:val="00194FB9"/>
    <w:rsid w:val="0019617A"/>
    <w:rsid w:val="001969FA"/>
    <w:rsid w:val="0019724F"/>
    <w:rsid w:val="001A01B1"/>
    <w:rsid w:val="001A04F2"/>
    <w:rsid w:val="001A09E1"/>
    <w:rsid w:val="001A1120"/>
    <w:rsid w:val="001A4328"/>
    <w:rsid w:val="001A60E0"/>
    <w:rsid w:val="001A6905"/>
    <w:rsid w:val="001A75EE"/>
    <w:rsid w:val="001A76AC"/>
    <w:rsid w:val="001B1509"/>
    <w:rsid w:val="001B26CA"/>
    <w:rsid w:val="001B351C"/>
    <w:rsid w:val="001B3594"/>
    <w:rsid w:val="001B3CDC"/>
    <w:rsid w:val="001B45E1"/>
    <w:rsid w:val="001B4921"/>
    <w:rsid w:val="001B4D9A"/>
    <w:rsid w:val="001B5D11"/>
    <w:rsid w:val="001B62F4"/>
    <w:rsid w:val="001B6765"/>
    <w:rsid w:val="001B687C"/>
    <w:rsid w:val="001C0C5C"/>
    <w:rsid w:val="001C0D89"/>
    <w:rsid w:val="001C12AF"/>
    <w:rsid w:val="001C1377"/>
    <w:rsid w:val="001C3587"/>
    <w:rsid w:val="001C3897"/>
    <w:rsid w:val="001C3E04"/>
    <w:rsid w:val="001C4111"/>
    <w:rsid w:val="001C4861"/>
    <w:rsid w:val="001C4DE1"/>
    <w:rsid w:val="001C5591"/>
    <w:rsid w:val="001C5C10"/>
    <w:rsid w:val="001C613C"/>
    <w:rsid w:val="001C6AEE"/>
    <w:rsid w:val="001C6BC6"/>
    <w:rsid w:val="001D001E"/>
    <w:rsid w:val="001D088D"/>
    <w:rsid w:val="001D1009"/>
    <w:rsid w:val="001D1C87"/>
    <w:rsid w:val="001D2F3C"/>
    <w:rsid w:val="001D34E8"/>
    <w:rsid w:val="001D3A0E"/>
    <w:rsid w:val="001D4CFA"/>
    <w:rsid w:val="001D57FA"/>
    <w:rsid w:val="001D5BBE"/>
    <w:rsid w:val="001D7082"/>
    <w:rsid w:val="001D725E"/>
    <w:rsid w:val="001E0B5E"/>
    <w:rsid w:val="001E1360"/>
    <w:rsid w:val="001E1510"/>
    <w:rsid w:val="001E2587"/>
    <w:rsid w:val="001E6D56"/>
    <w:rsid w:val="001E7D57"/>
    <w:rsid w:val="001E7F2B"/>
    <w:rsid w:val="001F13A2"/>
    <w:rsid w:val="001F1DD7"/>
    <w:rsid w:val="001F2002"/>
    <w:rsid w:val="001F27DA"/>
    <w:rsid w:val="001F3658"/>
    <w:rsid w:val="001F39A3"/>
    <w:rsid w:val="001F3D90"/>
    <w:rsid w:val="001F3F66"/>
    <w:rsid w:val="001F41B6"/>
    <w:rsid w:val="001F4632"/>
    <w:rsid w:val="001F4998"/>
    <w:rsid w:val="001F5693"/>
    <w:rsid w:val="001F60A7"/>
    <w:rsid w:val="001F6930"/>
    <w:rsid w:val="00200204"/>
    <w:rsid w:val="00203742"/>
    <w:rsid w:val="00203806"/>
    <w:rsid w:val="00203BB4"/>
    <w:rsid w:val="00203DB8"/>
    <w:rsid w:val="0020462B"/>
    <w:rsid w:val="002047C3"/>
    <w:rsid w:val="00204DCF"/>
    <w:rsid w:val="002060DD"/>
    <w:rsid w:val="00207ACE"/>
    <w:rsid w:val="002111DA"/>
    <w:rsid w:val="00212790"/>
    <w:rsid w:val="00212DD2"/>
    <w:rsid w:val="00214D78"/>
    <w:rsid w:val="00217E0C"/>
    <w:rsid w:val="002223CC"/>
    <w:rsid w:val="00223A00"/>
    <w:rsid w:val="00224799"/>
    <w:rsid w:val="00224C35"/>
    <w:rsid w:val="002257A2"/>
    <w:rsid w:val="00226585"/>
    <w:rsid w:val="00226AF8"/>
    <w:rsid w:val="002311DE"/>
    <w:rsid w:val="00231CFB"/>
    <w:rsid w:val="00232985"/>
    <w:rsid w:val="00232A59"/>
    <w:rsid w:val="0023312B"/>
    <w:rsid w:val="00233C19"/>
    <w:rsid w:val="002348C1"/>
    <w:rsid w:val="00235264"/>
    <w:rsid w:val="002364B7"/>
    <w:rsid w:val="00236679"/>
    <w:rsid w:val="002402E7"/>
    <w:rsid w:val="002404EF"/>
    <w:rsid w:val="00240660"/>
    <w:rsid w:val="002418DC"/>
    <w:rsid w:val="00242F7E"/>
    <w:rsid w:val="00243036"/>
    <w:rsid w:val="00243C9D"/>
    <w:rsid w:val="00244A46"/>
    <w:rsid w:val="00244E93"/>
    <w:rsid w:val="00244F45"/>
    <w:rsid w:val="002455DA"/>
    <w:rsid w:val="002456F8"/>
    <w:rsid w:val="00245F57"/>
    <w:rsid w:val="00251355"/>
    <w:rsid w:val="00251E37"/>
    <w:rsid w:val="002533B6"/>
    <w:rsid w:val="002549BD"/>
    <w:rsid w:val="00254E38"/>
    <w:rsid w:val="002552A5"/>
    <w:rsid w:val="002579C4"/>
    <w:rsid w:val="0026256F"/>
    <w:rsid w:val="00264038"/>
    <w:rsid w:val="0026427C"/>
    <w:rsid w:val="0026473F"/>
    <w:rsid w:val="002650A6"/>
    <w:rsid w:val="002659C1"/>
    <w:rsid w:val="00265F46"/>
    <w:rsid w:val="00267EB7"/>
    <w:rsid w:val="00270897"/>
    <w:rsid w:val="002724C3"/>
    <w:rsid w:val="00273234"/>
    <w:rsid w:val="00273A76"/>
    <w:rsid w:val="00273B9F"/>
    <w:rsid w:val="002742E1"/>
    <w:rsid w:val="00275E66"/>
    <w:rsid w:val="00276062"/>
    <w:rsid w:val="00276610"/>
    <w:rsid w:val="002768F8"/>
    <w:rsid w:val="00280782"/>
    <w:rsid w:val="0028083C"/>
    <w:rsid w:val="00280C51"/>
    <w:rsid w:val="002812E6"/>
    <w:rsid w:val="00283486"/>
    <w:rsid w:val="00286B93"/>
    <w:rsid w:val="002903E3"/>
    <w:rsid w:val="00291F4C"/>
    <w:rsid w:val="00293EB1"/>
    <w:rsid w:val="0029502E"/>
    <w:rsid w:val="002953C2"/>
    <w:rsid w:val="002956EC"/>
    <w:rsid w:val="002967B3"/>
    <w:rsid w:val="00297BCC"/>
    <w:rsid w:val="002A04CA"/>
    <w:rsid w:val="002A15CA"/>
    <w:rsid w:val="002A1A69"/>
    <w:rsid w:val="002A1E0B"/>
    <w:rsid w:val="002A29BE"/>
    <w:rsid w:val="002A2C60"/>
    <w:rsid w:val="002A3570"/>
    <w:rsid w:val="002A3AFB"/>
    <w:rsid w:val="002A4B39"/>
    <w:rsid w:val="002A50C9"/>
    <w:rsid w:val="002A5A76"/>
    <w:rsid w:val="002A676A"/>
    <w:rsid w:val="002A77DB"/>
    <w:rsid w:val="002B2006"/>
    <w:rsid w:val="002B2673"/>
    <w:rsid w:val="002B3824"/>
    <w:rsid w:val="002B3A46"/>
    <w:rsid w:val="002B4A39"/>
    <w:rsid w:val="002B566D"/>
    <w:rsid w:val="002B5A87"/>
    <w:rsid w:val="002C0EB2"/>
    <w:rsid w:val="002C2711"/>
    <w:rsid w:val="002C442B"/>
    <w:rsid w:val="002C4614"/>
    <w:rsid w:val="002C4A11"/>
    <w:rsid w:val="002C4C2A"/>
    <w:rsid w:val="002C4C64"/>
    <w:rsid w:val="002D0075"/>
    <w:rsid w:val="002D00D4"/>
    <w:rsid w:val="002D22C4"/>
    <w:rsid w:val="002D28A2"/>
    <w:rsid w:val="002D3260"/>
    <w:rsid w:val="002D3FEC"/>
    <w:rsid w:val="002D4DFE"/>
    <w:rsid w:val="002D60B8"/>
    <w:rsid w:val="002D6C88"/>
    <w:rsid w:val="002E0FDF"/>
    <w:rsid w:val="002E15B4"/>
    <w:rsid w:val="002E2DEC"/>
    <w:rsid w:val="002E31E9"/>
    <w:rsid w:val="002E4063"/>
    <w:rsid w:val="002E5555"/>
    <w:rsid w:val="002E59B5"/>
    <w:rsid w:val="002E6835"/>
    <w:rsid w:val="002F01BE"/>
    <w:rsid w:val="002F0602"/>
    <w:rsid w:val="002F120B"/>
    <w:rsid w:val="002F1771"/>
    <w:rsid w:val="002F261D"/>
    <w:rsid w:val="002F3A37"/>
    <w:rsid w:val="002F3FA1"/>
    <w:rsid w:val="002F4C73"/>
    <w:rsid w:val="002F5B2F"/>
    <w:rsid w:val="002F65B4"/>
    <w:rsid w:val="002F775F"/>
    <w:rsid w:val="00304155"/>
    <w:rsid w:val="00305294"/>
    <w:rsid w:val="00305992"/>
    <w:rsid w:val="003069C5"/>
    <w:rsid w:val="003079D0"/>
    <w:rsid w:val="003105CF"/>
    <w:rsid w:val="00310F81"/>
    <w:rsid w:val="00311A17"/>
    <w:rsid w:val="00311B59"/>
    <w:rsid w:val="00312A5C"/>
    <w:rsid w:val="00320611"/>
    <w:rsid w:val="00320D58"/>
    <w:rsid w:val="003216F1"/>
    <w:rsid w:val="00322844"/>
    <w:rsid w:val="0032420A"/>
    <w:rsid w:val="00325416"/>
    <w:rsid w:val="00325975"/>
    <w:rsid w:val="00331BB9"/>
    <w:rsid w:val="00333283"/>
    <w:rsid w:val="003336E9"/>
    <w:rsid w:val="0033384A"/>
    <w:rsid w:val="00334103"/>
    <w:rsid w:val="00334EA4"/>
    <w:rsid w:val="003369C0"/>
    <w:rsid w:val="00337332"/>
    <w:rsid w:val="00337E9B"/>
    <w:rsid w:val="003426E2"/>
    <w:rsid w:val="00342857"/>
    <w:rsid w:val="00343F92"/>
    <w:rsid w:val="0034455D"/>
    <w:rsid w:val="00344B2D"/>
    <w:rsid w:val="00344FDD"/>
    <w:rsid w:val="00345125"/>
    <w:rsid w:val="003457B6"/>
    <w:rsid w:val="003462CA"/>
    <w:rsid w:val="00350039"/>
    <w:rsid w:val="00350860"/>
    <w:rsid w:val="00351D84"/>
    <w:rsid w:val="00352DF3"/>
    <w:rsid w:val="003533FC"/>
    <w:rsid w:val="00354C4D"/>
    <w:rsid w:val="00357A9A"/>
    <w:rsid w:val="0036124B"/>
    <w:rsid w:val="00361DFE"/>
    <w:rsid w:val="00364CFD"/>
    <w:rsid w:val="0036589B"/>
    <w:rsid w:val="00366B95"/>
    <w:rsid w:val="00367E6F"/>
    <w:rsid w:val="00370033"/>
    <w:rsid w:val="00370F53"/>
    <w:rsid w:val="00371E5D"/>
    <w:rsid w:val="003725A8"/>
    <w:rsid w:val="0037461D"/>
    <w:rsid w:val="0037579E"/>
    <w:rsid w:val="00375A70"/>
    <w:rsid w:val="00376651"/>
    <w:rsid w:val="00376BAC"/>
    <w:rsid w:val="00381308"/>
    <w:rsid w:val="003822A6"/>
    <w:rsid w:val="00383085"/>
    <w:rsid w:val="00385705"/>
    <w:rsid w:val="00385D4E"/>
    <w:rsid w:val="00385DBA"/>
    <w:rsid w:val="003860F3"/>
    <w:rsid w:val="00386F85"/>
    <w:rsid w:val="00387D24"/>
    <w:rsid w:val="0039083C"/>
    <w:rsid w:val="003909FD"/>
    <w:rsid w:val="003916F7"/>
    <w:rsid w:val="00391F7F"/>
    <w:rsid w:val="00392438"/>
    <w:rsid w:val="003926A9"/>
    <w:rsid w:val="00393DE1"/>
    <w:rsid w:val="003940A5"/>
    <w:rsid w:val="003943A8"/>
    <w:rsid w:val="00395A2E"/>
    <w:rsid w:val="00396192"/>
    <w:rsid w:val="003968C1"/>
    <w:rsid w:val="0039705E"/>
    <w:rsid w:val="00397565"/>
    <w:rsid w:val="003A196F"/>
    <w:rsid w:val="003A1E2D"/>
    <w:rsid w:val="003A476D"/>
    <w:rsid w:val="003A567E"/>
    <w:rsid w:val="003A6C90"/>
    <w:rsid w:val="003A7C21"/>
    <w:rsid w:val="003B0005"/>
    <w:rsid w:val="003B010C"/>
    <w:rsid w:val="003B28B2"/>
    <w:rsid w:val="003B2F28"/>
    <w:rsid w:val="003B3AF9"/>
    <w:rsid w:val="003B430B"/>
    <w:rsid w:val="003B5AEE"/>
    <w:rsid w:val="003B70AE"/>
    <w:rsid w:val="003B72F1"/>
    <w:rsid w:val="003C09B3"/>
    <w:rsid w:val="003C19BD"/>
    <w:rsid w:val="003C1AED"/>
    <w:rsid w:val="003C28B7"/>
    <w:rsid w:val="003C28BD"/>
    <w:rsid w:val="003C360B"/>
    <w:rsid w:val="003C4CC0"/>
    <w:rsid w:val="003C7B77"/>
    <w:rsid w:val="003D0302"/>
    <w:rsid w:val="003D0901"/>
    <w:rsid w:val="003D166C"/>
    <w:rsid w:val="003D1A36"/>
    <w:rsid w:val="003D3F30"/>
    <w:rsid w:val="003D408D"/>
    <w:rsid w:val="003D4476"/>
    <w:rsid w:val="003D4D3F"/>
    <w:rsid w:val="003D64E9"/>
    <w:rsid w:val="003D66D7"/>
    <w:rsid w:val="003D729F"/>
    <w:rsid w:val="003D744E"/>
    <w:rsid w:val="003D77E5"/>
    <w:rsid w:val="003D7A38"/>
    <w:rsid w:val="003E0CFF"/>
    <w:rsid w:val="003E16D2"/>
    <w:rsid w:val="003E176F"/>
    <w:rsid w:val="003E183F"/>
    <w:rsid w:val="003E33E8"/>
    <w:rsid w:val="003E3988"/>
    <w:rsid w:val="003E4FEC"/>
    <w:rsid w:val="003F24FC"/>
    <w:rsid w:val="003F37E8"/>
    <w:rsid w:val="003F44BD"/>
    <w:rsid w:val="003F497B"/>
    <w:rsid w:val="003F56BC"/>
    <w:rsid w:val="003F6036"/>
    <w:rsid w:val="003F7CE2"/>
    <w:rsid w:val="00400AAD"/>
    <w:rsid w:val="004024AE"/>
    <w:rsid w:val="00402DAC"/>
    <w:rsid w:val="00403573"/>
    <w:rsid w:val="0040385E"/>
    <w:rsid w:val="00403E60"/>
    <w:rsid w:val="004050BD"/>
    <w:rsid w:val="004055ED"/>
    <w:rsid w:val="00405AA0"/>
    <w:rsid w:val="00407B5F"/>
    <w:rsid w:val="00407D8E"/>
    <w:rsid w:val="00410134"/>
    <w:rsid w:val="00410300"/>
    <w:rsid w:val="00410FD2"/>
    <w:rsid w:val="004111EF"/>
    <w:rsid w:val="0041373A"/>
    <w:rsid w:val="00413970"/>
    <w:rsid w:val="00414161"/>
    <w:rsid w:val="00414FEE"/>
    <w:rsid w:val="00415ED0"/>
    <w:rsid w:val="00416F98"/>
    <w:rsid w:val="00417ACE"/>
    <w:rsid w:val="00417B47"/>
    <w:rsid w:val="00422C7A"/>
    <w:rsid w:val="004254B1"/>
    <w:rsid w:val="00425509"/>
    <w:rsid w:val="0042636A"/>
    <w:rsid w:val="00426DDA"/>
    <w:rsid w:val="00431DE3"/>
    <w:rsid w:val="00433338"/>
    <w:rsid w:val="004335CE"/>
    <w:rsid w:val="00433622"/>
    <w:rsid w:val="00435BDE"/>
    <w:rsid w:val="00435E40"/>
    <w:rsid w:val="00436233"/>
    <w:rsid w:val="00436B60"/>
    <w:rsid w:val="004406AC"/>
    <w:rsid w:val="0044599B"/>
    <w:rsid w:val="00446202"/>
    <w:rsid w:val="00447996"/>
    <w:rsid w:val="00447B36"/>
    <w:rsid w:val="00450A75"/>
    <w:rsid w:val="004513B9"/>
    <w:rsid w:val="0045190C"/>
    <w:rsid w:val="00451A53"/>
    <w:rsid w:val="00456081"/>
    <w:rsid w:val="004564DF"/>
    <w:rsid w:val="00457237"/>
    <w:rsid w:val="004578A5"/>
    <w:rsid w:val="00461715"/>
    <w:rsid w:val="004621D9"/>
    <w:rsid w:val="00464F8C"/>
    <w:rsid w:val="004659FD"/>
    <w:rsid w:val="00466DA0"/>
    <w:rsid w:val="00471735"/>
    <w:rsid w:val="004725A3"/>
    <w:rsid w:val="00472C8D"/>
    <w:rsid w:val="004731F3"/>
    <w:rsid w:val="004733AB"/>
    <w:rsid w:val="0047401D"/>
    <w:rsid w:val="004743AE"/>
    <w:rsid w:val="00474F3D"/>
    <w:rsid w:val="00477215"/>
    <w:rsid w:val="0047721E"/>
    <w:rsid w:val="00477438"/>
    <w:rsid w:val="00480133"/>
    <w:rsid w:val="004802D8"/>
    <w:rsid w:val="00480E5B"/>
    <w:rsid w:val="00482350"/>
    <w:rsid w:val="00482BF1"/>
    <w:rsid w:val="00483357"/>
    <w:rsid w:val="00483D98"/>
    <w:rsid w:val="00484574"/>
    <w:rsid w:val="004853DF"/>
    <w:rsid w:val="00486C75"/>
    <w:rsid w:val="004873A0"/>
    <w:rsid w:val="004904DD"/>
    <w:rsid w:val="00491AF0"/>
    <w:rsid w:val="00491BC1"/>
    <w:rsid w:val="00491F39"/>
    <w:rsid w:val="0049347E"/>
    <w:rsid w:val="0049730F"/>
    <w:rsid w:val="004A1BED"/>
    <w:rsid w:val="004A226E"/>
    <w:rsid w:val="004A295D"/>
    <w:rsid w:val="004A3606"/>
    <w:rsid w:val="004A491A"/>
    <w:rsid w:val="004A55C8"/>
    <w:rsid w:val="004A57DE"/>
    <w:rsid w:val="004A6B33"/>
    <w:rsid w:val="004B01EC"/>
    <w:rsid w:val="004B1F71"/>
    <w:rsid w:val="004B2113"/>
    <w:rsid w:val="004B251C"/>
    <w:rsid w:val="004B29E5"/>
    <w:rsid w:val="004B551D"/>
    <w:rsid w:val="004B648A"/>
    <w:rsid w:val="004C1FD5"/>
    <w:rsid w:val="004C37B2"/>
    <w:rsid w:val="004C3E1D"/>
    <w:rsid w:val="004C41F0"/>
    <w:rsid w:val="004C4C37"/>
    <w:rsid w:val="004C4D3E"/>
    <w:rsid w:val="004C532B"/>
    <w:rsid w:val="004C554E"/>
    <w:rsid w:val="004C68E7"/>
    <w:rsid w:val="004C6E8F"/>
    <w:rsid w:val="004C7D2A"/>
    <w:rsid w:val="004C7F12"/>
    <w:rsid w:val="004D3265"/>
    <w:rsid w:val="004D4FA1"/>
    <w:rsid w:val="004D5872"/>
    <w:rsid w:val="004D7726"/>
    <w:rsid w:val="004E068D"/>
    <w:rsid w:val="004E25DF"/>
    <w:rsid w:val="004E4E4F"/>
    <w:rsid w:val="004E591D"/>
    <w:rsid w:val="004E7AC5"/>
    <w:rsid w:val="004E7C5B"/>
    <w:rsid w:val="004F00CE"/>
    <w:rsid w:val="004F05CB"/>
    <w:rsid w:val="004F2BA6"/>
    <w:rsid w:val="004F2C0C"/>
    <w:rsid w:val="004F34B4"/>
    <w:rsid w:val="004F3864"/>
    <w:rsid w:val="004F6BBB"/>
    <w:rsid w:val="004F71DA"/>
    <w:rsid w:val="004F76D2"/>
    <w:rsid w:val="00500BF6"/>
    <w:rsid w:val="0050145C"/>
    <w:rsid w:val="00501C05"/>
    <w:rsid w:val="00502224"/>
    <w:rsid w:val="00502AC4"/>
    <w:rsid w:val="0050314A"/>
    <w:rsid w:val="00505169"/>
    <w:rsid w:val="005051AD"/>
    <w:rsid w:val="00505F60"/>
    <w:rsid w:val="005062B1"/>
    <w:rsid w:val="005070A2"/>
    <w:rsid w:val="00507517"/>
    <w:rsid w:val="00507DA0"/>
    <w:rsid w:val="00510415"/>
    <w:rsid w:val="005111D7"/>
    <w:rsid w:val="00511255"/>
    <w:rsid w:val="005113C0"/>
    <w:rsid w:val="005123DF"/>
    <w:rsid w:val="005125C3"/>
    <w:rsid w:val="005127E3"/>
    <w:rsid w:val="005131CB"/>
    <w:rsid w:val="005140E9"/>
    <w:rsid w:val="00514AFC"/>
    <w:rsid w:val="00515990"/>
    <w:rsid w:val="0051753A"/>
    <w:rsid w:val="005202C2"/>
    <w:rsid w:val="00520D65"/>
    <w:rsid w:val="0052105A"/>
    <w:rsid w:val="005212B1"/>
    <w:rsid w:val="00522459"/>
    <w:rsid w:val="00522969"/>
    <w:rsid w:val="005236D9"/>
    <w:rsid w:val="00524400"/>
    <w:rsid w:val="00525484"/>
    <w:rsid w:val="00525996"/>
    <w:rsid w:val="00526A06"/>
    <w:rsid w:val="00527652"/>
    <w:rsid w:val="0052773B"/>
    <w:rsid w:val="00527C14"/>
    <w:rsid w:val="00527F32"/>
    <w:rsid w:val="00530F69"/>
    <w:rsid w:val="0053113C"/>
    <w:rsid w:val="00531857"/>
    <w:rsid w:val="00532071"/>
    <w:rsid w:val="00532488"/>
    <w:rsid w:val="00534142"/>
    <w:rsid w:val="00534510"/>
    <w:rsid w:val="00536885"/>
    <w:rsid w:val="005373E4"/>
    <w:rsid w:val="005379A1"/>
    <w:rsid w:val="005414A5"/>
    <w:rsid w:val="00544B7D"/>
    <w:rsid w:val="00546626"/>
    <w:rsid w:val="00547E24"/>
    <w:rsid w:val="00550D0E"/>
    <w:rsid w:val="00550F4B"/>
    <w:rsid w:val="00552052"/>
    <w:rsid w:val="00552E84"/>
    <w:rsid w:val="0055415D"/>
    <w:rsid w:val="0055471C"/>
    <w:rsid w:val="00556517"/>
    <w:rsid w:val="005602BA"/>
    <w:rsid w:val="00560814"/>
    <w:rsid w:val="00560F37"/>
    <w:rsid w:val="00563789"/>
    <w:rsid w:val="005646AF"/>
    <w:rsid w:val="00565E26"/>
    <w:rsid w:val="005667BE"/>
    <w:rsid w:val="005669A6"/>
    <w:rsid w:val="00566AA2"/>
    <w:rsid w:val="005671F9"/>
    <w:rsid w:val="0056766D"/>
    <w:rsid w:val="00571119"/>
    <w:rsid w:val="005718C4"/>
    <w:rsid w:val="00571BE2"/>
    <w:rsid w:val="005720A9"/>
    <w:rsid w:val="00573D75"/>
    <w:rsid w:val="00574EB9"/>
    <w:rsid w:val="00575017"/>
    <w:rsid w:val="0058108A"/>
    <w:rsid w:val="005822E5"/>
    <w:rsid w:val="0058575E"/>
    <w:rsid w:val="00587B12"/>
    <w:rsid w:val="00587FCA"/>
    <w:rsid w:val="00592277"/>
    <w:rsid w:val="00592EAD"/>
    <w:rsid w:val="005932CA"/>
    <w:rsid w:val="005936E7"/>
    <w:rsid w:val="00593B74"/>
    <w:rsid w:val="00595D4F"/>
    <w:rsid w:val="00596FD5"/>
    <w:rsid w:val="0059754D"/>
    <w:rsid w:val="00597682"/>
    <w:rsid w:val="00597CF9"/>
    <w:rsid w:val="005A177B"/>
    <w:rsid w:val="005A27C9"/>
    <w:rsid w:val="005A2A52"/>
    <w:rsid w:val="005A3409"/>
    <w:rsid w:val="005A34A6"/>
    <w:rsid w:val="005A34CD"/>
    <w:rsid w:val="005A3598"/>
    <w:rsid w:val="005A35CC"/>
    <w:rsid w:val="005A5860"/>
    <w:rsid w:val="005A6B55"/>
    <w:rsid w:val="005A7609"/>
    <w:rsid w:val="005B08F1"/>
    <w:rsid w:val="005B1193"/>
    <w:rsid w:val="005B124D"/>
    <w:rsid w:val="005B1615"/>
    <w:rsid w:val="005B1A2A"/>
    <w:rsid w:val="005B4389"/>
    <w:rsid w:val="005B43B5"/>
    <w:rsid w:val="005B4792"/>
    <w:rsid w:val="005B4F76"/>
    <w:rsid w:val="005B5256"/>
    <w:rsid w:val="005B5F1B"/>
    <w:rsid w:val="005B6453"/>
    <w:rsid w:val="005B653A"/>
    <w:rsid w:val="005C0AFD"/>
    <w:rsid w:val="005C1301"/>
    <w:rsid w:val="005C2F2D"/>
    <w:rsid w:val="005C4A5A"/>
    <w:rsid w:val="005C4AB4"/>
    <w:rsid w:val="005C544E"/>
    <w:rsid w:val="005C5A31"/>
    <w:rsid w:val="005C601D"/>
    <w:rsid w:val="005C6F84"/>
    <w:rsid w:val="005C7104"/>
    <w:rsid w:val="005C7795"/>
    <w:rsid w:val="005C7F6D"/>
    <w:rsid w:val="005D1C9A"/>
    <w:rsid w:val="005D5A8D"/>
    <w:rsid w:val="005E05B1"/>
    <w:rsid w:val="005E0F4C"/>
    <w:rsid w:val="005E1E0C"/>
    <w:rsid w:val="005E2281"/>
    <w:rsid w:val="005E2E83"/>
    <w:rsid w:val="005E6D45"/>
    <w:rsid w:val="005E74CD"/>
    <w:rsid w:val="005F0189"/>
    <w:rsid w:val="005F02B0"/>
    <w:rsid w:val="005F1955"/>
    <w:rsid w:val="005F2D56"/>
    <w:rsid w:val="005F3EA5"/>
    <w:rsid w:val="005F4709"/>
    <w:rsid w:val="005F4E09"/>
    <w:rsid w:val="005F7EB2"/>
    <w:rsid w:val="00601168"/>
    <w:rsid w:val="00602313"/>
    <w:rsid w:val="00602741"/>
    <w:rsid w:val="00602A1F"/>
    <w:rsid w:val="00604EA6"/>
    <w:rsid w:val="006070B6"/>
    <w:rsid w:val="00607BCC"/>
    <w:rsid w:val="0061264C"/>
    <w:rsid w:val="0061412E"/>
    <w:rsid w:val="00616D89"/>
    <w:rsid w:val="00621FE1"/>
    <w:rsid w:val="0062269A"/>
    <w:rsid w:val="00622826"/>
    <w:rsid w:val="00622B87"/>
    <w:rsid w:val="00622F73"/>
    <w:rsid w:val="0062377B"/>
    <w:rsid w:val="00623D14"/>
    <w:rsid w:val="00624379"/>
    <w:rsid w:val="0062479C"/>
    <w:rsid w:val="00625EB9"/>
    <w:rsid w:val="006268C5"/>
    <w:rsid w:val="00627FFE"/>
    <w:rsid w:val="00631019"/>
    <w:rsid w:val="006328E8"/>
    <w:rsid w:val="006352A5"/>
    <w:rsid w:val="0063566F"/>
    <w:rsid w:val="00635A1E"/>
    <w:rsid w:val="00635BEF"/>
    <w:rsid w:val="006360B5"/>
    <w:rsid w:val="00636CFB"/>
    <w:rsid w:val="00637121"/>
    <w:rsid w:val="00637296"/>
    <w:rsid w:val="00637C60"/>
    <w:rsid w:val="00640748"/>
    <w:rsid w:val="00642BA3"/>
    <w:rsid w:val="00643C58"/>
    <w:rsid w:val="00644715"/>
    <w:rsid w:val="00644AA3"/>
    <w:rsid w:val="00645E93"/>
    <w:rsid w:val="006469F1"/>
    <w:rsid w:val="0064762D"/>
    <w:rsid w:val="006479B0"/>
    <w:rsid w:val="00647C19"/>
    <w:rsid w:val="00647E1E"/>
    <w:rsid w:val="00650806"/>
    <w:rsid w:val="00651CD1"/>
    <w:rsid w:val="00652765"/>
    <w:rsid w:val="006531FA"/>
    <w:rsid w:val="00655F1D"/>
    <w:rsid w:val="00656EE1"/>
    <w:rsid w:val="00657147"/>
    <w:rsid w:val="006615EF"/>
    <w:rsid w:val="006616C0"/>
    <w:rsid w:val="006617DC"/>
    <w:rsid w:val="00661FE5"/>
    <w:rsid w:val="00663D02"/>
    <w:rsid w:val="00663FEA"/>
    <w:rsid w:val="0066523F"/>
    <w:rsid w:val="006710E0"/>
    <w:rsid w:val="006713CB"/>
    <w:rsid w:val="00672470"/>
    <w:rsid w:val="00672B9E"/>
    <w:rsid w:val="00673850"/>
    <w:rsid w:val="00673C54"/>
    <w:rsid w:val="006753D3"/>
    <w:rsid w:val="006779A6"/>
    <w:rsid w:val="00677A9C"/>
    <w:rsid w:val="00677E0F"/>
    <w:rsid w:val="00681319"/>
    <w:rsid w:val="0068252D"/>
    <w:rsid w:val="00683BFC"/>
    <w:rsid w:val="006840D2"/>
    <w:rsid w:val="00684BFE"/>
    <w:rsid w:val="00686BBA"/>
    <w:rsid w:val="0068782D"/>
    <w:rsid w:val="0068795B"/>
    <w:rsid w:val="00691577"/>
    <w:rsid w:val="00692A13"/>
    <w:rsid w:val="00692B9A"/>
    <w:rsid w:val="00696746"/>
    <w:rsid w:val="006971E7"/>
    <w:rsid w:val="006A1084"/>
    <w:rsid w:val="006A358A"/>
    <w:rsid w:val="006A4292"/>
    <w:rsid w:val="006A4389"/>
    <w:rsid w:val="006A43ED"/>
    <w:rsid w:val="006A457E"/>
    <w:rsid w:val="006A6904"/>
    <w:rsid w:val="006A6CD3"/>
    <w:rsid w:val="006A6DC5"/>
    <w:rsid w:val="006B2398"/>
    <w:rsid w:val="006B23F8"/>
    <w:rsid w:val="006B2DAF"/>
    <w:rsid w:val="006B3404"/>
    <w:rsid w:val="006B3547"/>
    <w:rsid w:val="006B3652"/>
    <w:rsid w:val="006B5EDC"/>
    <w:rsid w:val="006B7B9A"/>
    <w:rsid w:val="006C0FCB"/>
    <w:rsid w:val="006C3129"/>
    <w:rsid w:val="006C48AB"/>
    <w:rsid w:val="006C5E2F"/>
    <w:rsid w:val="006C6D16"/>
    <w:rsid w:val="006C72DB"/>
    <w:rsid w:val="006C7DB0"/>
    <w:rsid w:val="006D22A8"/>
    <w:rsid w:val="006D367C"/>
    <w:rsid w:val="006D4CC4"/>
    <w:rsid w:val="006D5133"/>
    <w:rsid w:val="006D5CC0"/>
    <w:rsid w:val="006D64BD"/>
    <w:rsid w:val="006D71DF"/>
    <w:rsid w:val="006D7861"/>
    <w:rsid w:val="006E05DF"/>
    <w:rsid w:val="006E11C5"/>
    <w:rsid w:val="006E1844"/>
    <w:rsid w:val="006E1DC0"/>
    <w:rsid w:val="006E1F23"/>
    <w:rsid w:val="006E27A8"/>
    <w:rsid w:val="006E313C"/>
    <w:rsid w:val="006E4BF8"/>
    <w:rsid w:val="006E5D30"/>
    <w:rsid w:val="006E5FDD"/>
    <w:rsid w:val="006E6D52"/>
    <w:rsid w:val="006E7160"/>
    <w:rsid w:val="006F13A5"/>
    <w:rsid w:val="006F1648"/>
    <w:rsid w:val="006F25CF"/>
    <w:rsid w:val="006F3EEC"/>
    <w:rsid w:val="006F4C30"/>
    <w:rsid w:val="006F514A"/>
    <w:rsid w:val="006F5264"/>
    <w:rsid w:val="006F5620"/>
    <w:rsid w:val="006F5DDA"/>
    <w:rsid w:val="006F625D"/>
    <w:rsid w:val="006F64A3"/>
    <w:rsid w:val="006F672D"/>
    <w:rsid w:val="006F7E84"/>
    <w:rsid w:val="007013A0"/>
    <w:rsid w:val="0070205A"/>
    <w:rsid w:val="007020F0"/>
    <w:rsid w:val="007029A3"/>
    <w:rsid w:val="0070327A"/>
    <w:rsid w:val="00703F24"/>
    <w:rsid w:val="007078B7"/>
    <w:rsid w:val="00712B9E"/>
    <w:rsid w:val="00712F2D"/>
    <w:rsid w:val="0071393E"/>
    <w:rsid w:val="00714384"/>
    <w:rsid w:val="00716283"/>
    <w:rsid w:val="007176C2"/>
    <w:rsid w:val="007221FF"/>
    <w:rsid w:val="007231B0"/>
    <w:rsid w:val="007232DD"/>
    <w:rsid w:val="007235D2"/>
    <w:rsid w:val="0072368F"/>
    <w:rsid w:val="00724352"/>
    <w:rsid w:val="007243FD"/>
    <w:rsid w:val="00725791"/>
    <w:rsid w:val="00725DEA"/>
    <w:rsid w:val="0072680E"/>
    <w:rsid w:val="007269F9"/>
    <w:rsid w:val="00726AC5"/>
    <w:rsid w:val="00726BE4"/>
    <w:rsid w:val="00726C3A"/>
    <w:rsid w:val="00727382"/>
    <w:rsid w:val="007309B1"/>
    <w:rsid w:val="00731E83"/>
    <w:rsid w:val="007325E3"/>
    <w:rsid w:val="00732D27"/>
    <w:rsid w:val="007331A1"/>
    <w:rsid w:val="00735A2E"/>
    <w:rsid w:val="00737028"/>
    <w:rsid w:val="0073796F"/>
    <w:rsid w:val="007379BB"/>
    <w:rsid w:val="00740F52"/>
    <w:rsid w:val="0074381C"/>
    <w:rsid w:val="00744152"/>
    <w:rsid w:val="00744816"/>
    <w:rsid w:val="0074664E"/>
    <w:rsid w:val="00746D14"/>
    <w:rsid w:val="00747B7C"/>
    <w:rsid w:val="007509F4"/>
    <w:rsid w:val="007525A7"/>
    <w:rsid w:val="00755AC6"/>
    <w:rsid w:val="0075629E"/>
    <w:rsid w:val="00757F8B"/>
    <w:rsid w:val="00760127"/>
    <w:rsid w:val="00760D33"/>
    <w:rsid w:val="00761003"/>
    <w:rsid w:val="00761AD6"/>
    <w:rsid w:val="00761CAD"/>
    <w:rsid w:val="007621F1"/>
    <w:rsid w:val="00762AFA"/>
    <w:rsid w:val="00762D76"/>
    <w:rsid w:val="00762E4D"/>
    <w:rsid w:val="00764464"/>
    <w:rsid w:val="00765510"/>
    <w:rsid w:val="00765640"/>
    <w:rsid w:val="00765C80"/>
    <w:rsid w:val="00767278"/>
    <w:rsid w:val="0076764B"/>
    <w:rsid w:val="00772736"/>
    <w:rsid w:val="00774C4A"/>
    <w:rsid w:val="00774F1E"/>
    <w:rsid w:val="007778AF"/>
    <w:rsid w:val="00777E6E"/>
    <w:rsid w:val="007805E9"/>
    <w:rsid w:val="00782A0D"/>
    <w:rsid w:val="007837BA"/>
    <w:rsid w:val="007839E6"/>
    <w:rsid w:val="00784B6F"/>
    <w:rsid w:val="00784E58"/>
    <w:rsid w:val="00784F96"/>
    <w:rsid w:val="0078536B"/>
    <w:rsid w:val="00786ACF"/>
    <w:rsid w:val="007870C8"/>
    <w:rsid w:val="00792B8B"/>
    <w:rsid w:val="007937BB"/>
    <w:rsid w:val="00793B29"/>
    <w:rsid w:val="00793F85"/>
    <w:rsid w:val="0079413E"/>
    <w:rsid w:val="00795C11"/>
    <w:rsid w:val="00795F0A"/>
    <w:rsid w:val="00796D67"/>
    <w:rsid w:val="00797388"/>
    <w:rsid w:val="007A0D2A"/>
    <w:rsid w:val="007A1316"/>
    <w:rsid w:val="007A18D9"/>
    <w:rsid w:val="007A287A"/>
    <w:rsid w:val="007A2D4D"/>
    <w:rsid w:val="007A3920"/>
    <w:rsid w:val="007A59A8"/>
    <w:rsid w:val="007A5C90"/>
    <w:rsid w:val="007A7338"/>
    <w:rsid w:val="007A7357"/>
    <w:rsid w:val="007B1114"/>
    <w:rsid w:val="007B3257"/>
    <w:rsid w:val="007B4628"/>
    <w:rsid w:val="007B5A89"/>
    <w:rsid w:val="007B6914"/>
    <w:rsid w:val="007C00F0"/>
    <w:rsid w:val="007C0959"/>
    <w:rsid w:val="007C1189"/>
    <w:rsid w:val="007C11D1"/>
    <w:rsid w:val="007C17A7"/>
    <w:rsid w:val="007C1A67"/>
    <w:rsid w:val="007C1B3D"/>
    <w:rsid w:val="007C21CE"/>
    <w:rsid w:val="007C2F71"/>
    <w:rsid w:val="007C335A"/>
    <w:rsid w:val="007C7B4E"/>
    <w:rsid w:val="007D0B36"/>
    <w:rsid w:val="007D29B7"/>
    <w:rsid w:val="007D2F51"/>
    <w:rsid w:val="007D3FEC"/>
    <w:rsid w:val="007D4143"/>
    <w:rsid w:val="007D44FC"/>
    <w:rsid w:val="007D5273"/>
    <w:rsid w:val="007D5FA7"/>
    <w:rsid w:val="007D66A3"/>
    <w:rsid w:val="007D724A"/>
    <w:rsid w:val="007D7C43"/>
    <w:rsid w:val="007E0306"/>
    <w:rsid w:val="007E06EB"/>
    <w:rsid w:val="007E24D0"/>
    <w:rsid w:val="007E5708"/>
    <w:rsid w:val="007E71C4"/>
    <w:rsid w:val="007E766A"/>
    <w:rsid w:val="007E7D56"/>
    <w:rsid w:val="007F0D8E"/>
    <w:rsid w:val="007F12B1"/>
    <w:rsid w:val="007F17F0"/>
    <w:rsid w:val="007F2D22"/>
    <w:rsid w:val="007F3AAB"/>
    <w:rsid w:val="007F6E52"/>
    <w:rsid w:val="007F7137"/>
    <w:rsid w:val="007F7232"/>
    <w:rsid w:val="007F7EF1"/>
    <w:rsid w:val="008009BE"/>
    <w:rsid w:val="00800F59"/>
    <w:rsid w:val="00801376"/>
    <w:rsid w:val="0080208A"/>
    <w:rsid w:val="008020C9"/>
    <w:rsid w:val="00802B93"/>
    <w:rsid w:val="00804063"/>
    <w:rsid w:val="008076B6"/>
    <w:rsid w:val="00807C91"/>
    <w:rsid w:val="00811FC7"/>
    <w:rsid w:val="00812083"/>
    <w:rsid w:val="00812774"/>
    <w:rsid w:val="00812E18"/>
    <w:rsid w:val="00813B50"/>
    <w:rsid w:val="008149D2"/>
    <w:rsid w:val="008162F3"/>
    <w:rsid w:val="00817BEB"/>
    <w:rsid w:val="008204BE"/>
    <w:rsid w:val="008205DB"/>
    <w:rsid w:val="00820BC2"/>
    <w:rsid w:val="00821711"/>
    <w:rsid w:val="00822B4C"/>
    <w:rsid w:val="0082360B"/>
    <w:rsid w:val="00825B98"/>
    <w:rsid w:val="008260AF"/>
    <w:rsid w:val="00830A50"/>
    <w:rsid w:val="00832117"/>
    <w:rsid w:val="00834412"/>
    <w:rsid w:val="00834561"/>
    <w:rsid w:val="00834C14"/>
    <w:rsid w:val="00834CAB"/>
    <w:rsid w:val="0083550B"/>
    <w:rsid w:val="0083660D"/>
    <w:rsid w:val="0083663F"/>
    <w:rsid w:val="008370DC"/>
    <w:rsid w:val="00840175"/>
    <w:rsid w:val="008404AD"/>
    <w:rsid w:val="00842B9A"/>
    <w:rsid w:val="0084331B"/>
    <w:rsid w:val="008439D7"/>
    <w:rsid w:val="00845568"/>
    <w:rsid w:val="00850D3C"/>
    <w:rsid w:val="00852AF3"/>
    <w:rsid w:val="00852B04"/>
    <w:rsid w:val="00852DD7"/>
    <w:rsid w:val="0085478A"/>
    <w:rsid w:val="008551AE"/>
    <w:rsid w:val="008554B2"/>
    <w:rsid w:val="008568BB"/>
    <w:rsid w:val="008568E5"/>
    <w:rsid w:val="00860394"/>
    <w:rsid w:val="008604CB"/>
    <w:rsid w:val="008609A9"/>
    <w:rsid w:val="00861BE4"/>
    <w:rsid w:val="00861BEF"/>
    <w:rsid w:val="00862E50"/>
    <w:rsid w:val="0086564C"/>
    <w:rsid w:val="00866087"/>
    <w:rsid w:val="0086612F"/>
    <w:rsid w:val="00870C25"/>
    <w:rsid w:val="00872DF4"/>
    <w:rsid w:val="00872F23"/>
    <w:rsid w:val="008733F5"/>
    <w:rsid w:val="00874294"/>
    <w:rsid w:val="00875CAC"/>
    <w:rsid w:val="00876E18"/>
    <w:rsid w:val="00877CB3"/>
    <w:rsid w:val="00883895"/>
    <w:rsid w:val="00884041"/>
    <w:rsid w:val="008852CF"/>
    <w:rsid w:val="00886669"/>
    <w:rsid w:val="00886B93"/>
    <w:rsid w:val="00887BDB"/>
    <w:rsid w:val="00887F14"/>
    <w:rsid w:val="00893088"/>
    <w:rsid w:val="00893434"/>
    <w:rsid w:val="00893A27"/>
    <w:rsid w:val="00895496"/>
    <w:rsid w:val="00897506"/>
    <w:rsid w:val="00897DE4"/>
    <w:rsid w:val="008A1457"/>
    <w:rsid w:val="008A2623"/>
    <w:rsid w:val="008A2B64"/>
    <w:rsid w:val="008A4657"/>
    <w:rsid w:val="008A4E26"/>
    <w:rsid w:val="008A5943"/>
    <w:rsid w:val="008A5B33"/>
    <w:rsid w:val="008A65E1"/>
    <w:rsid w:val="008A6BD5"/>
    <w:rsid w:val="008B08CC"/>
    <w:rsid w:val="008B0CE6"/>
    <w:rsid w:val="008B1F40"/>
    <w:rsid w:val="008B2317"/>
    <w:rsid w:val="008B4253"/>
    <w:rsid w:val="008C0B01"/>
    <w:rsid w:val="008C10BB"/>
    <w:rsid w:val="008C271F"/>
    <w:rsid w:val="008C373E"/>
    <w:rsid w:val="008C3D9E"/>
    <w:rsid w:val="008C4E98"/>
    <w:rsid w:val="008D0402"/>
    <w:rsid w:val="008D0D3F"/>
    <w:rsid w:val="008D1091"/>
    <w:rsid w:val="008D40C8"/>
    <w:rsid w:val="008D5DA6"/>
    <w:rsid w:val="008D61D6"/>
    <w:rsid w:val="008E01E1"/>
    <w:rsid w:val="008E0FC6"/>
    <w:rsid w:val="008E10D7"/>
    <w:rsid w:val="008E149B"/>
    <w:rsid w:val="008E2849"/>
    <w:rsid w:val="008E4AF8"/>
    <w:rsid w:val="008E4B72"/>
    <w:rsid w:val="008E519E"/>
    <w:rsid w:val="008E59A8"/>
    <w:rsid w:val="008E5BC0"/>
    <w:rsid w:val="008E6908"/>
    <w:rsid w:val="008E6CE8"/>
    <w:rsid w:val="008E7242"/>
    <w:rsid w:val="008E73DC"/>
    <w:rsid w:val="008E79D0"/>
    <w:rsid w:val="008F0F3D"/>
    <w:rsid w:val="008F182D"/>
    <w:rsid w:val="008F1AAB"/>
    <w:rsid w:val="008F2095"/>
    <w:rsid w:val="008F3924"/>
    <w:rsid w:val="008F39FF"/>
    <w:rsid w:val="008F3F52"/>
    <w:rsid w:val="008F4475"/>
    <w:rsid w:val="008F4C23"/>
    <w:rsid w:val="008F511C"/>
    <w:rsid w:val="008F55C2"/>
    <w:rsid w:val="008F611A"/>
    <w:rsid w:val="008F6876"/>
    <w:rsid w:val="008F68CE"/>
    <w:rsid w:val="008F7A12"/>
    <w:rsid w:val="009004EA"/>
    <w:rsid w:val="00901A49"/>
    <w:rsid w:val="009023E6"/>
    <w:rsid w:val="009034D3"/>
    <w:rsid w:val="00904204"/>
    <w:rsid w:val="00905ADC"/>
    <w:rsid w:val="009060D7"/>
    <w:rsid w:val="009062EE"/>
    <w:rsid w:val="00906521"/>
    <w:rsid w:val="00907CAC"/>
    <w:rsid w:val="009101E9"/>
    <w:rsid w:val="0091054D"/>
    <w:rsid w:val="0091119D"/>
    <w:rsid w:val="0091400E"/>
    <w:rsid w:val="009147F0"/>
    <w:rsid w:val="0091492F"/>
    <w:rsid w:val="00914A93"/>
    <w:rsid w:val="00915A47"/>
    <w:rsid w:val="00915F07"/>
    <w:rsid w:val="00916D46"/>
    <w:rsid w:val="00916E18"/>
    <w:rsid w:val="00917047"/>
    <w:rsid w:val="00920C28"/>
    <w:rsid w:val="0092103C"/>
    <w:rsid w:val="00921F3E"/>
    <w:rsid w:val="00922204"/>
    <w:rsid w:val="00922E7D"/>
    <w:rsid w:val="00925456"/>
    <w:rsid w:val="00925662"/>
    <w:rsid w:val="00925794"/>
    <w:rsid w:val="009261DC"/>
    <w:rsid w:val="00926996"/>
    <w:rsid w:val="009270EE"/>
    <w:rsid w:val="00930B44"/>
    <w:rsid w:val="00931367"/>
    <w:rsid w:val="00932789"/>
    <w:rsid w:val="00933B0C"/>
    <w:rsid w:val="00934332"/>
    <w:rsid w:val="0093537F"/>
    <w:rsid w:val="0093572D"/>
    <w:rsid w:val="00935DBB"/>
    <w:rsid w:val="00936984"/>
    <w:rsid w:val="0094054E"/>
    <w:rsid w:val="009409AE"/>
    <w:rsid w:val="009409C3"/>
    <w:rsid w:val="00942020"/>
    <w:rsid w:val="00943340"/>
    <w:rsid w:val="00943580"/>
    <w:rsid w:val="00943954"/>
    <w:rsid w:val="009441F6"/>
    <w:rsid w:val="009455DC"/>
    <w:rsid w:val="009479F0"/>
    <w:rsid w:val="0095062E"/>
    <w:rsid w:val="00950E88"/>
    <w:rsid w:val="00951FA1"/>
    <w:rsid w:val="009544BB"/>
    <w:rsid w:val="00954775"/>
    <w:rsid w:val="0095648F"/>
    <w:rsid w:val="00961515"/>
    <w:rsid w:val="0096243F"/>
    <w:rsid w:val="009630DD"/>
    <w:rsid w:val="00964639"/>
    <w:rsid w:val="00964DC8"/>
    <w:rsid w:val="009654C5"/>
    <w:rsid w:val="009655CB"/>
    <w:rsid w:val="0096561D"/>
    <w:rsid w:val="009659AE"/>
    <w:rsid w:val="00965CB0"/>
    <w:rsid w:val="00966C36"/>
    <w:rsid w:val="00966E03"/>
    <w:rsid w:val="00967EC7"/>
    <w:rsid w:val="00970A30"/>
    <w:rsid w:val="0097147C"/>
    <w:rsid w:val="00971822"/>
    <w:rsid w:val="009727FB"/>
    <w:rsid w:val="0097328C"/>
    <w:rsid w:val="009736BE"/>
    <w:rsid w:val="0097422C"/>
    <w:rsid w:val="009756F0"/>
    <w:rsid w:val="0098199B"/>
    <w:rsid w:val="00982026"/>
    <w:rsid w:val="00982A61"/>
    <w:rsid w:val="009860A5"/>
    <w:rsid w:val="00987DA0"/>
    <w:rsid w:val="00990429"/>
    <w:rsid w:val="00991018"/>
    <w:rsid w:val="00992245"/>
    <w:rsid w:val="0099698C"/>
    <w:rsid w:val="009970F4"/>
    <w:rsid w:val="00997454"/>
    <w:rsid w:val="009A0F4E"/>
    <w:rsid w:val="009A1116"/>
    <w:rsid w:val="009A1DBE"/>
    <w:rsid w:val="009A1E5B"/>
    <w:rsid w:val="009A2CCB"/>
    <w:rsid w:val="009A4447"/>
    <w:rsid w:val="009B0406"/>
    <w:rsid w:val="009B12C5"/>
    <w:rsid w:val="009B219D"/>
    <w:rsid w:val="009B23D1"/>
    <w:rsid w:val="009B287B"/>
    <w:rsid w:val="009B4050"/>
    <w:rsid w:val="009B4643"/>
    <w:rsid w:val="009B510B"/>
    <w:rsid w:val="009B6EA2"/>
    <w:rsid w:val="009B7465"/>
    <w:rsid w:val="009C06BF"/>
    <w:rsid w:val="009C1FFF"/>
    <w:rsid w:val="009C224F"/>
    <w:rsid w:val="009C38B0"/>
    <w:rsid w:val="009C4092"/>
    <w:rsid w:val="009C4134"/>
    <w:rsid w:val="009C5364"/>
    <w:rsid w:val="009C65B0"/>
    <w:rsid w:val="009D02C1"/>
    <w:rsid w:val="009D2973"/>
    <w:rsid w:val="009D36CD"/>
    <w:rsid w:val="009D55F0"/>
    <w:rsid w:val="009D6DE5"/>
    <w:rsid w:val="009D76F4"/>
    <w:rsid w:val="009D7BE4"/>
    <w:rsid w:val="009E005F"/>
    <w:rsid w:val="009E0AE8"/>
    <w:rsid w:val="009E14B6"/>
    <w:rsid w:val="009E171A"/>
    <w:rsid w:val="009E2A52"/>
    <w:rsid w:val="009E30D0"/>
    <w:rsid w:val="009E3D08"/>
    <w:rsid w:val="009F05A3"/>
    <w:rsid w:val="009F0755"/>
    <w:rsid w:val="009F0932"/>
    <w:rsid w:val="009F0DA2"/>
    <w:rsid w:val="009F222E"/>
    <w:rsid w:val="009F3620"/>
    <w:rsid w:val="009F4F80"/>
    <w:rsid w:val="009F503D"/>
    <w:rsid w:val="009F6A4E"/>
    <w:rsid w:val="009F7150"/>
    <w:rsid w:val="009F764F"/>
    <w:rsid w:val="009F7E1A"/>
    <w:rsid w:val="00A0024A"/>
    <w:rsid w:val="00A00616"/>
    <w:rsid w:val="00A00781"/>
    <w:rsid w:val="00A00A32"/>
    <w:rsid w:val="00A01339"/>
    <w:rsid w:val="00A016EA"/>
    <w:rsid w:val="00A0197E"/>
    <w:rsid w:val="00A03706"/>
    <w:rsid w:val="00A04C59"/>
    <w:rsid w:val="00A0535C"/>
    <w:rsid w:val="00A1256B"/>
    <w:rsid w:val="00A15F5F"/>
    <w:rsid w:val="00A171DD"/>
    <w:rsid w:val="00A20114"/>
    <w:rsid w:val="00A209A4"/>
    <w:rsid w:val="00A21885"/>
    <w:rsid w:val="00A22658"/>
    <w:rsid w:val="00A2274F"/>
    <w:rsid w:val="00A23098"/>
    <w:rsid w:val="00A233FF"/>
    <w:rsid w:val="00A23E99"/>
    <w:rsid w:val="00A248D7"/>
    <w:rsid w:val="00A25AE6"/>
    <w:rsid w:val="00A323F8"/>
    <w:rsid w:val="00A32B96"/>
    <w:rsid w:val="00A3392D"/>
    <w:rsid w:val="00A33B9C"/>
    <w:rsid w:val="00A358A0"/>
    <w:rsid w:val="00A35BD7"/>
    <w:rsid w:val="00A37641"/>
    <w:rsid w:val="00A4056F"/>
    <w:rsid w:val="00A4094F"/>
    <w:rsid w:val="00A40B68"/>
    <w:rsid w:val="00A41587"/>
    <w:rsid w:val="00A4285B"/>
    <w:rsid w:val="00A43F99"/>
    <w:rsid w:val="00A44684"/>
    <w:rsid w:val="00A446B8"/>
    <w:rsid w:val="00A44D94"/>
    <w:rsid w:val="00A44DF9"/>
    <w:rsid w:val="00A472C3"/>
    <w:rsid w:val="00A478EA"/>
    <w:rsid w:val="00A50874"/>
    <w:rsid w:val="00A51633"/>
    <w:rsid w:val="00A51A17"/>
    <w:rsid w:val="00A53490"/>
    <w:rsid w:val="00A5496D"/>
    <w:rsid w:val="00A54DB7"/>
    <w:rsid w:val="00A56A4B"/>
    <w:rsid w:val="00A57A89"/>
    <w:rsid w:val="00A60039"/>
    <w:rsid w:val="00A601A7"/>
    <w:rsid w:val="00A633D6"/>
    <w:rsid w:val="00A64387"/>
    <w:rsid w:val="00A65D06"/>
    <w:rsid w:val="00A662C1"/>
    <w:rsid w:val="00A66D82"/>
    <w:rsid w:val="00A678C5"/>
    <w:rsid w:val="00A67ADB"/>
    <w:rsid w:val="00A70C2E"/>
    <w:rsid w:val="00A71C50"/>
    <w:rsid w:val="00A71E45"/>
    <w:rsid w:val="00A734FC"/>
    <w:rsid w:val="00A75AFF"/>
    <w:rsid w:val="00A75E4E"/>
    <w:rsid w:val="00A77336"/>
    <w:rsid w:val="00A773BF"/>
    <w:rsid w:val="00A807EE"/>
    <w:rsid w:val="00A809AA"/>
    <w:rsid w:val="00A811FB"/>
    <w:rsid w:val="00A81516"/>
    <w:rsid w:val="00A84147"/>
    <w:rsid w:val="00A852BA"/>
    <w:rsid w:val="00A8605E"/>
    <w:rsid w:val="00A87496"/>
    <w:rsid w:val="00A900B6"/>
    <w:rsid w:val="00A90825"/>
    <w:rsid w:val="00A913ED"/>
    <w:rsid w:val="00A933D6"/>
    <w:rsid w:val="00A93B49"/>
    <w:rsid w:val="00A947B1"/>
    <w:rsid w:val="00A949B0"/>
    <w:rsid w:val="00A9540A"/>
    <w:rsid w:val="00A96645"/>
    <w:rsid w:val="00A96DF6"/>
    <w:rsid w:val="00AA49B6"/>
    <w:rsid w:val="00AA56F3"/>
    <w:rsid w:val="00AA5C19"/>
    <w:rsid w:val="00AA7516"/>
    <w:rsid w:val="00AA7BE7"/>
    <w:rsid w:val="00AA7F0E"/>
    <w:rsid w:val="00AB24B3"/>
    <w:rsid w:val="00AB471F"/>
    <w:rsid w:val="00AB48B1"/>
    <w:rsid w:val="00AB48BE"/>
    <w:rsid w:val="00AB5DE1"/>
    <w:rsid w:val="00AB6462"/>
    <w:rsid w:val="00AB751D"/>
    <w:rsid w:val="00AC1C84"/>
    <w:rsid w:val="00AC29BE"/>
    <w:rsid w:val="00AC3D0B"/>
    <w:rsid w:val="00AC3DCF"/>
    <w:rsid w:val="00AC43EA"/>
    <w:rsid w:val="00AC4595"/>
    <w:rsid w:val="00AC483F"/>
    <w:rsid w:val="00AC488A"/>
    <w:rsid w:val="00AC5247"/>
    <w:rsid w:val="00AC57E8"/>
    <w:rsid w:val="00AC6432"/>
    <w:rsid w:val="00AC653D"/>
    <w:rsid w:val="00AC6AE3"/>
    <w:rsid w:val="00AC77E1"/>
    <w:rsid w:val="00AD0DB7"/>
    <w:rsid w:val="00AD1CDC"/>
    <w:rsid w:val="00AD29B3"/>
    <w:rsid w:val="00AD4DBD"/>
    <w:rsid w:val="00AD4E37"/>
    <w:rsid w:val="00AD50F2"/>
    <w:rsid w:val="00AD535B"/>
    <w:rsid w:val="00AD61CB"/>
    <w:rsid w:val="00AD6FBB"/>
    <w:rsid w:val="00AE0B45"/>
    <w:rsid w:val="00AE17E1"/>
    <w:rsid w:val="00AE24B3"/>
    <w:rsid w:val="00AE2CF8"/>
    <w:rsid w:val="00AE369F"/>
    <w:rsid w:val="00AE43A6"/>
    <w:rsid w:val="00AE442F"/>
    <w:rsid w:val="00AE52E9"/>
    <w:rsid w:val="00AE60B8"/>
    <w:rsid w:val="00AE7987"/>
    <w:rsid w:val="00AF1FFA"/>
    <w:rsid w:val="00AF339D"/>
    <w:rsid w:val="00AF468F"/>
    <w:rsid w:val="00AF4C58"/>
    <w:rsid w:val="00AF6644"/>
    <w:rsid w:val="00AF778D"/>
    <w:rsid w:val="00B014BD"/>
    <w:rsid w:val="00B04069"/>
    <w:rsid w:val="00B055FB"/>
    <w:rsid w:val="00B05B7D"/>
    <w:rsid w:val="00B05F2A"/>
    <w:rsid w:val="00B06E1C"/>
    <w:rsid w:val="00B07D80"/>
    <w:rsid w:val="00B07D91"/>
    <w:rsid w:val="00B07DAC"/>
    <w:rsid w:val="00B10821"/>
    <w:rsid w:val="00B10831"/>
    <w:rsid w:val="00B1269A"/>
    <w:rsid w:val="00B12C65"/>
    <w:rsid w:val="00B12F3A"/>
    <w:rsid w:val="00B13A26"/>
    <w:rsid w:val="00B15289"/>
    <w:rsid w:val="00B166CD"/>
    <w:rsid w:val="00B17DB2"/>
    <w:rsid w:val="00B20B1D"/>
    <w:rsid w:val="00B20BD5"/>
    <w:rsid w:val="00B227EB"/>
    <w:rsid w:val="00B256BA"/>
    <w:rsid w:val="00B26087"/>
    <w:rsid w:val="00B265C5"/>
    <w:rsid w:val="00B266C1"/>
    <w:rsid w:val="00B30EC5"/>
    <w:rsid w:val="00B30F63"/>
    <w:rsid w:val="00B31175"/>
    <w:rsid w:val="00B31D98"/>
    <w:rsid w:val="00B32757"/>
    <w:rsid w:val="00B3303E"/>
    <w:rsid w:val="00B35363"/>
    <w:rsid w:val="00B35A89"/>
    <w:rsid w:val="00B36091"/>
    <w:rsid w:val="00B37540"/>
    <w:rsid w:val="00B41ED2"/>
    <w:rsid w:val="00B4398D"/>
    <w:rsid w:val="00B43B6A"/>
    <w:rsid w:val="00B4643D"/>
    <w:rsid w:val="00B51B0C"/>
    <w:rsid w:val="00B52390"/>
    <w:rsid w:val="00B52445"/>
    <w:rsid w:val="00B5319B"/>
    <w:rsid w:val="00B5439D"/>
    <w:rsid w:val="00B54BB1"/>
    <w:rsid w:val="00B54BE7"/>
    <w:rsid w:val="00B55400"/>
    <w:rsid w:val="00B56AF1"/>
    <w:rsid w:val="00B57115"/>
    <w:rsid w:val="00B574E5"/>
    <w:rsid w:val="00B602D5"/>
    <w:rsid w:val="00B60789"/>
    <w:rsid w:val="00B61449"/>
    <w:rsid w:val="00B61F15"/>
    <w:rsid w:val="00B64666"/>
    <w:rsid w:val="00B64EF1"/>
    <w:rsid w:val="00B7068D"/>
    <w:rsid w:val="00B70FB1"/>
    <w:rsid w:val="00B7190A"/>
    <w:rsid w:val="00B71999"/>
    <w:rsid w:val="00B7295C"/>
    <w:rsid w:val="00B735B1"/>
    <w:rsid w:val="00B747EC"/>
    <w:rsid w:val="00B764BB"/>
    <w:rsid w:val="00B775C8"/>
    <w:rsid w:val="00B77981"/>
    <w:rsid w:val="00B800B9"/>
    <w:rsid w:val="00B80106"/>
    <w:rsid w:val="00B81989"/>
    <w:rsid w:val="00B81D3D"/>
    <w:rsid w:val="00B82EE5"/>
    <w:rsid w:val="00B84FA2"/>
    <w:rsid w:val="00B850A2"/>
    <w:rsid w:val="00B85938"/>
    <w:rsid w:val="00B8686A"/>
    <w:rsid w:val="00B8730E"/>
    <w:rsid w:val="00B87C7E"/>
    <w:rsid w:val="00B93130"/>
    <w:rsid w:val="00B945A0"/>
    <w:rsid w:val="00B9481D"/>
    <w:rsid w:val="00B9542B"/>
    <w:rsid w:val="00B96AA8"/>
    <w:rsid w:val="00B97489"/>
    <w:rsid w:val="00B97B4C"/>
    <w:rsid w:val="00B97EEE"/>
    <w:rsid w:val="00BA0D6A"/>
    <w:rsid w:val="00BA11DA"/>
    <w:rsid w:val="00BA2530"/>
    <w:rsid w:val="00BA39FF"/>
    <w:rsid w:val="00BA4532"/>
    <w:rsid w:val="00BA4771"/>
    <w:rsid w:val="00BA5C1D"/>
    <w:rsid w:val="00BA6937"/>
    <w:rsid w:val="00BA6BEF"/>
    <w:rsid w:val="00BA6C9A"/>
    <w:rsid w:val="00BB0C17"/>
    <w:rsid w:val="00BB0D47"/>
    <w:rsid w:val="00BB0E11"/>
    <w:rsid w:val="00BB0E8F"/>
    <w:rsid w:val="00BB167A"/>
    <w:rsid w:val="00BB4EA3"/>
    <w:rsid w:val="00BB67DD"/>
    <w:rsid w:val="00BB6B76"/>
    <w:rsid w:val="00BC02AB"/>
    <w:rsid w:val="00BC0C64"/>
    <w:rsid w:val="00BC0CA4"/>
    <w:rsid w:val="00BC0E3D"/>
    <w:rsid w:val="00BC0EB7"/>
    <w:rsid w:val="00BC10C2"/>
    <w:rsid w:val="00BC1DAB"/>
    <w:rsid w:val="00BC68B6"/>
    <w:rsid w:val="00BC75E0"/>
    <w:rsid w:val="00BC7B0D"/>
    <w:rsid w:val="00BD0C07"/>
    <w:rsid w:val="00BD130D"/>
    <w:rsid w:val="00BD326F"/>
    <w:rsid w:val="00BD3B61"/>
    <w:rsid w:val="00BD44B6"/>
    <w:rsid w:val="00BD45C2"/>
    <w:rsid w:val="00BD7618"/>
    <w:rsid w:val="00BD7A2E"/>
    <w:rsid w:val="00BE013C"/>
    <w:rsid w:val="00BE0737"/>
    <w:rsid w:val="00BE2CDE"/>
    <w:rsid w:val="00BE58CB"/>
    <w:rsid w:val="00BE5CB0"/>
    <w:rsid w:val="00BE60D3"/>
    <w:rsid w:val="00BE67CB"/>
    <w:rsid w:val="00BE6A11"/>
    <w:rsid w:val="00BE7105"/>
    <w:rsid w:val="00BF145A"/>
    <w:rsid w:val="00BF161A"/>
    <w:rsid w:val="00BF1A6F"/>
    <w:rsid w:val="00BF3E5C"/>
    <w:rsid w:val="00BF46CE"/>
    <w:rsid w:val="00BF4C76"/>
    <w:rsid w:val="00BF6616"/>
    <w:rsid w:val="00BF67BA"/>
    <w:rsid w:val="00C003FB"/>
    <w:rsid w:val="00C0131E"/>
    <w:rsid w:val="00C027C3"/>
    <w:rsid w:val="00C03425"/>
    <w:rsid w:val="00C03683"/>
    <w:rsid w:val="00C03C7C"/>
    <w:rsid w:val="00C04040"/>
    <w:rsid w:val="00C04303"/>
    <w:rsid w:val="00C04625"/>
    <w:rsid w:val="00C0706D"/>
    <w:rsid w:val="00C07165"/>
    <w:rsid w:val="00C07C78"/>
    <w:rsid w:val="00C11F1A"/>
    <w:rsid w:val="00C12C00"/>
    <w:rsid w:val="00C12E4C"/>
    <w:rsid w:val="00C12F6A"/>
    <w:rsid w:val="00C1565E"/>
    <w:rsid w:val="00C21A8F"/>
    <w:rsid w:val="00C22B18"/>
    <w:rsid w:val="00C22F2D"/>
    <w:rsid w:val="00C2442C"/>
    <w:rsid w:val="00C24E5E"/>
    <w:rsid w:val="00C256EB"/>
    <w:rsid w:val="00C25E94"/>
    <w:rsid w:val="00C266F4"/>
    <w:rsid w:val="00C267DF"/>
    <w:rsid w:val="00C26C9F"/>
    <w:rsid w:val="00C32309"/>
    <w:rsid w:val="00C326E7"/>
    <w:rsid w:val="00C338EC"/>
    <w:rsid w:val="00C36259"/>
    <w:rsid w:val="00C36E0E"/>
    <w:rsid w:val="00C374A7"/>
    <w:rsid w:val="00C413C5"/>
    <w:rsid w:val="00C4318E"/>
    <w:rsid w:val="00C43842"/>
    <w:rsid w:val="00C43FF3"/>
    <w:rsid w:val="00C44C59"/>
    <w:rsid w:val="00C4601D"/>
    <w:rsid w:val="00C46952"/>
    <w:rsid w:val="00C469DB"/>
    <w:rsid w:val="00C4729C"/>
    <w:rsid w:val="00C50495"/>
    <w:rsid w:val="00C50610"/>
    <w:rsid w:val="00C51338"/>
    <w:rsid w:val="00C52860"/>
    <w:rsid w:val="00C5325C"/>
    <w:rsid w:val="00C55721"/>
    <w:rsid w:val="00C5573B"/>
    <w:rsid w:val="00C577B9"/>
    <w:rsid w:val="00C60029"/>
    <w:rsid w:val="00C625BC"/>
    <w:rsid w:val="00C65701"/>
    <w:rsid w:val="00C66420"/>
    <w:rsid w:val="00C66796"/>
    <w:rsid w:val="00C66987"/>
    <w:rsid w:val="00C67180"/>
    <w:rsid w:val="00C67AA1"/>
    <w:rsid w:val="00C70ACF"/>
    <w:rsid w:val="00C7127F"/>
    <w:rsid w:val="00C72486"/>
    <w:rsid w:val="00C72A12"/>
    <w:rsid w:val="00C7305B"/>
    <w:rsid w:val="00C74CBE"/>
    <w:rsid w:val="00C74EF1"/>
    <w:rsid w:val="00C75FC9"/>
    <w:rsid w:val="00C760DE"/>
    <w:rsid w:val="00C76796"/>
    <w:rsid w:val="00C77AED"/>
    <w:rsid w:val="00C814BD"/>
    <w:rsid w:val="00C818E2"/>
    <w:rsid w:val="00C83721"/>
    <w:rsid w:val="00C842F1"/>
    <w:rsid w:val="00C84473"/>
    <w:rsid w:val="00C84599"/>
    <w:rsid w:val="00C863D9"/>
    <w:rsid w:val="00C8670C"/>
    <w:rsid w:val="00C87B33"/>
    <w:rsid w:val="00C90228"/>
    <w:rsid w:val="00C910E0"/>
    <w:rsid w:val="00C91B39"/>
    <w:rsid w:val="00C93648"/>
    <w:rsid w:val="00C93B4D"/>
    <w:rsid w:val="00C946E1"/>
    <w:rsid w:val="00C94835"/>
    <w:rsid w:val="00C94A4F"/>
    <w:rsid w:val="00C95589"/>
    <w:rsid w:val="00C95ACC"/>
    <w:rsid w:val="00C963DF"/>
    <w:rsid w:val="00C96DD0"/>
    <w:rsid w:val="00C97B01"/>
    <w:rsid w:val="00C97BE8"/>
    <w:rsid w:val="00CA0967"/>
    <w:rsid w:val="00CA1B8C"/>
    <w:rsid w:val="00CA4CF6"/>
    <w:rsid w:val="00CA54EF"/>
    <w:rsid w:val="00CA59CE"/>
    <w:rsid w:val="00CA61C7"/>
    <w:rsid w:val="00CA692D"/>
    <w:rsid w:val="00CA755C"/>
    <w:rsid w:val="00CA792C"/>
    <w:rsid w:val="00CB0641"/>
    <w:rsid w:val="00CB0706"/>
    <w:rsid w:val="00CB116F"/>
    <w:rsid w:val="00CB1F20"/>
    <w:rsid w:val="00CB3ABC"/>
    <w:rsid w:val="00CB42E4"/>
    <w:rsid w:val="00CB4679"/>
    <w:rsid w:val="00CB5914"/>
    <w:rsid w:val="00CB6F0D"/>
    <w:rsid w:val="00CC0904"/>
    <w:rsid w:val="00CC1C58"/>
    <w:rsid w:val="00CC2611"/>
    <w:rsid w:val="00CC2E9B"/>
    <w:rsid w:val="00CC56F0"/>
    <w:rsid w:val="00CC5D30"/>
    <w:rsid w:val="00CC6F76"/>
    <w:rsid w:val="00CC6FED"/>
    <w:rsid w:val="00CC7A3C"/>
    <w:rsid w:val="00CC7BFB"/>
    <w:rsid w:val="00CC7DD4"/>
    <w:rsid w:val="00CD0151"/>
    <w:rsid w:val="00CD0576"/>
    <w:rsid w:val="00CD15C7"/>
    <w:rsid w:val="00CD2A21"/>
    <w:rsid w:val="00CD3660"/>
    <w:rsid w:val="00CD5FBB"/>
    <w:rsid w:val="00CD6341"/>
    <w:rsid w:val="00CD6372"/>
    <w:rsid w:val="00CD7D21"/>
    <w:rsid w:val="00CE12AD"/>
    <w:rsid w:val="00CE1C1F"/>
    <w:rsid w:val="00CE3033"/>
    <w:rsid w:val="00CE343D"/>
    <w:rsid w:val="00CE3DEE"/>
    <w:rsid w:val="00CE7189"/>
    <w:rsid w:val="00CE7B14"/>
    <w:rsid w:val="00CF04CF"/>
    <w:rsid w:val="00CF1085"/>
    <w:rsid w:val="00CF1D3F"/>
    <w:rsid w:val="00CF2104"/>
    <w:rsid w:val="00CF3262"/>
    <w:rsid w:val="00CF4381"/>
    <w:rsid w:val="00CF4E90"/>
    <w:rsid w:val="00CF540E"/>
    <w:rsid w:val="00CF5D8C"/>
    <w:rsid w:val="00CF682F"/>
    <w:rsid w:val="00D01C3D"/>
    <w:rsid w:val="00D0501D"/>
    <w:rsid w:val="00D05560"/>
    <w:rsid w:val="00D06209"/>
    <w:rsid w:val="00D1041C"/>
    <w:rsid w:val="00D12722"/>
    <w:rsid w:val="00D15241"/>
    <w:rsid w:val="00D17675"/>
    <w:rsid w:val="00D178DA"/>
    <w:rsid w:val="00D21DDA"/>
    <w:rsid w:val="00D23575"/>
    <w:rsid w:val="00D255B2"/>
    <w:rsid w:val="00D25E5F"/>
    <w:rsid w:val="00D25E65"/>
    <w:rsid w:val="00D25F2C"/>
    <w:rsid w:val="00D309F7"/>
    <w:rsid w:val="00D31007"/>
    <w:rsid w:val="00D3107E"/>
    <w:rsid w:val="00D31539"/>
    <w:rsid w:val="00D32049"/>
    <w:rsid w:val="00D34027"/>
    <w:rsid w:val="00D3652E"/>
    <w:rsid w:val="00D367B8"/>
    <w:rsid w:val="00D37E97"/>
    <w:rsid w:val="00D40531"/>
    <w:rsid w:val="00D40A39"/>
    <w:rsid w:val="00D40D77"/>
    <w:rsid w:val="00D411EB"/>
    <w:rsid w:val="00D424BE"/>
    <w:rsid w:val="00D43FA0"/>
    <w:rsid w:val="00D454B6"/>
    <w:rsid w:val="00D45834"/>
    <w:rsid w:val="00D46145"/>
    <w:rsid w:val="00D47472"/>
    <w:rsid w:val="00D523CD"/>
    <w:rsid w:val="00D52693"/>
    <w:rsid w:val="00D5387B"/>
    <w:rsid w:val="00D553F2"/>
    <w:rsid w:val="00D55464"/>
    <w:rsid w:val="00D56CE3"/>
    <w:rsid w:val="00D60F4F"/>
    <w:rsid w:val="00D62551"/>
    <w:rsid w:val="00D627FE"/>
    <w:rsid w:val="00D62AFB"/>
    <w:rsid w:val="00D62D7A"/>
    <w:rsid w:val="00D63225"/>
    <w:rsid w:val="00D641EF"/>
    <w:rsid w:val="00D65C4A"/>
    <w:rsid w:val="00D66D8A"/>
    <w:rsid w:val="00D72331"/>
    <w:rsid w:val="00D75808"/>
    <w:rsid w:val="00D7654F"/>
    <w:rsid w:val="00D80D7A"/>
    <w:rsid w:val="00D818FF"/>
    <w:rsid w:val="00D83268"/>
    <w:rsid w:val="00D85952"/>
    <w:rsid w:val="00D85FCD"/>
    <w:rsid w:val="00D87383"/>
    <w:rsid w:val="00D90C6E"/>
    <w:rsid w:val="00D92279"/>
    <w:rsid w:val="00D9229B"/>
    <w:rsid w:val="00D923A3"/>
    <w:rsid w:val="00D92427"/>
    <w:rsid w:val="00D928B5"/>
    <w:rsid w:val="00D930EA"/>
    <w:rsid w:val="00D93374"/>
    <w:rsid w:val="00D94275"/>
    <w:rsid w:val="00D95117"/>
    <w:rsid w:val="00D96696"/>
    <w:rsid w:val="00D96E26"/>
    <w:rsid w:val="00DA332C"/>
    <w:rsid w:val="00DA3CE1"/>
    <w:rsid w:val="00DA47D3"/>
    <w:rsid w:val="00DA58C6"/>
    <w:rsid w:val="00DA6B50"/>
    <w:rsid w:val="00DA7A8E"/>
    <w:rsid w:val="00DB0378"/>
    <w:rsid w:val="00DB1B1E"/>
    <w:rsid w:val="00DB2C67"/>
    <w:rsid w:val="00DB3958"/>
    <w:rsid w:val="00DB41F5"/>
    <w:rsid w:val="00DB51D6"/>
    <w:rsid w:val="00DB528E"/>
    <w:rsid w:val="00DB55D5"/>
    <w:rsid w:val="00DB6CDF"/>
    <w:rsid w:val="00DB73EA"/>
    <w:rsid w:val="00DC052E"/>
    <w:rsid w:val="00DC0E00"/>
    <w:rsid w:val="00DC18C8"/>
    <w:rsid w:val="00DC3A0F"/>
    <w:rsid w:val="00DC4040"/>
    <w:rsid w:val="00DC41DF"/>
    <w:rsid w:val="00DC456E"/>
    <w:rsid w:val="00DC6304"/>
    <w:rsid w:val="00DC7048"/>
    <w:rsid w:val="00DC72BA"/>
    <w:rsid w:val="00DC7DE7"/>
    <w:rsid w:val="00DD046E"/>
    <w:rsid w:val="00DD08F2"/>
    <w:rsid w:val="00DD1B30"/>
    <w:rsid w:val="00DD3299"/>
    <w:rsid w:val="00DD3FC9"/>
    <w:rsid w:val="00DD441A"/>
    <w:rsid w:val="00DD510F"/>
    <w:rsid w:val="00DD5D3E"/>
    <w:rsid w:val="00DD60CE"/>
    <w:rsid w:val="00DE00CB"/>
    <w:rsid w:val="00DE078A"/>
    <w:rsid w:val="00DE0DAC"/>
    <w:rsid w:val="00DE0EAE"/>
    <w:rsid w:val="00DE0FE8"/>
    <w:rsid w:val="00DE1DC1"/>
    <w:rsid w:val="00DE23F8"/>
    <w:rsid w:val="00DE250A"/>
    <w:rsid w:val="00DE294F"/>
    <w:rsid w:val="00DE33F0"/>
    <w:rsid w:val="00DE396F"/>
    <w:rsid w:val="00DE59D9"/>
    <w:rsid w:val="00DE5B10"/>
    <w:rsid w:val="00DE5D16"/>
    <w:rsid w:val="00DE6431"/>
    <w:rsid w:val="00DE6553"/>
    <w:rsid w:val="00DF0F23"/>
    <w:rsid w:val="00DF194F"/>
    <w:rsid w:val="00DF1D9C"/>
    <w:rsid w:val="00DF1F69"/>
    <w:rsid w:val="00DF22E9"/>
    <w:rsid w:val="00DF2FC7"/>
    <w:rsid w:val="00DF3406"/>
    <w:rsid w:val="00DF39F8"/>
    <w:rsid w:val="00DF4344"/>
    <w:rsid w:val="00DF435E"/>
    <w:rsid w:val="00DF4927"/>
    <w:rsid w:val="00DF49BE"/>
    <w:rsid w:val="00DF65A0"/>
    <w:rsid w:val="00DF704D"/>
    <w:rsid w:val="00E00176"/>
    <w:rsid w:val="00E002B8"/>
    <w:rsid w:val="00E01B74"/>
    <w:rsid w:val="00E02608"/>
    <w:rsid w:val="00E03454"/>
    <w:rsid w:val="00E04CD8"/>
    <w:rsid w:val="00E07DEE"/>
    <w:rsid w:val="00E07F40"/>
    <w:rsid w:val="00E101FE"/>
    <w:rsid w:val="00E107AA"/>
    <w:rsid w:val="00E114F3"/>
    <w:rsid w:val="00E1231D"/>
    <w:rsid w:val="00E13FB7"/>
    <w:rsid w:val="00E17405"/>
    <w:rsid w:val="00E2060F"/>
    <w:rsid w:val="00E20B13"/>
    <w:rsid w:val="00E217CD"/>
    <w:rsid w:val="00E24D56"/>
    <w:rsid w:val="00E256E2"/>
    <w:rsid w:val="00E25BD7"/>
    <w:rsid w:val="00E26450"/>
    <w:rsid w:val="00E26BDE"/>
    <w:rsid w:val="00E27B18"/>
    <w:rsid w:val="00E31029"/>
    <w:rsid w:val="00E31CDD"/>
    <w:rsid w:val="00E31CF0"/>
    <w:rsid w:val="00E324E4"/>
    <w:rsid w:val="00E32696"/>
    <w:rsid w:val="00E326BF"/>
    <w:rsid w:val="00E3333D"/>
    <w:rsid w:val="00E34B69"/>
    <w:rsid w:val="00E3565D"/>
    <w:rsid w:val="00E35A7F"/>
    <w:rsid w:val="00E35FA9"/>
    <w:rsid w:val="00E366DE"/>
    <w:rsid w:val="00E36D0C"/>
    <w:rsid w:val="00E37B7A"/>
    <w:rsid w:val="00E37D73"/>
    <w:rsid w:val="00E40FCF"/>
    <w:rsid w:val="00E41ABF"/>
    <w:rsid w:val="00E42160"/>
    <w:rsid w:val="00E422DF"/>
    <w:rsid w:val="00E4668F"/>
    <w:rsid w:val="00E47889"/>
    <w:rsid w:val="00E502E1"/>
    <w:rsid w:val="00E50B7D"/>
    <w:rsid w:val="00E51ADE"/>
    <w:rsid w:val="00E5391E"/>
    <w:rsid w:val="00E53EFB"/>
    <w:rsid w:val="00E53FB6"/>
    <w:rsid w:val="00E545DB"/>
    <w:rsid w:val="00E55729"/>
    <w:rsid w:val="00E55C5E"/>
    <w:rsid w:val="00E56D67"/>
    <w:rsid w:val="00E575DA"/>
    <w:rsid w:val="00E57C6C"/>
    <w:rsid w:val="00E6020B"/>
    <w:rsid w:val="00E6123A"/>
    <w:rsid w:val="00E61717"/>
    <w:rsid w:val="00E6183E"/>
    <w:rsid w:val="00E62875"/>
    <w:rsid w:val="00E62F9A"/>
    <w:rsid w:val="00E634C6"/>
    <w:rsid w:val="00E635E8"/>
    <w:rsid w:val="00E63F0B"/>
    <w:rsid w:val="00E64243"/>
    <w:rsid w:val="00E71803"/>
    <w:rsid w:val="00E730BE"/>
    <w:rsid w:val="00E74A05"/>
    <w:rsid w:val="00E74ABF"/>
    <w:rsid w:val="00E75C82"/>
    <w:rsid w:val="00E75D9E"/>
    <w:rsid w:val="00E76919"/>
    <w:rsid w:val="00E76F41"/>
    <w:rsid w:val="00E80587"/>
    <w:rsid w:val="00E81D51"/>
    <w:rsid w:val="00E82213"/>
    <w:rsid w:val="00E8258C"/>
    <w:rsid w:val="00E82E17"/>
    <w:rsid w:val="00E83E18"/>
    <w:rsid w:val="00E83F06"/>
    <w:rsid w:val="00E84522"/>
    <w:rsid w:val="00E84B8E"/>
    <w:rsid w:val="00E8571F"/>
    <w:rsid w:val="00E866B9"/>
    <w:rsid w:val="00E874D6"/>
    <w:rsid w:val="00E91F1B"/>
    <w:rsid w:val="00E92ED5"/>
    <w:rsid w:val="00E93558"/>
    <w:rsid w:val="00E938F6"/>
    <w:rsid w:val="00E942C3"/>
    <w:rsid w:val="00E94936"/>
    <w:rsid w:val="00E97E20"/>
    <w:rsid w:val="00EA1358"/>
    <w:rsid w:val="00EA1A1A"/>
    <w:rsid w:val="00EA2AA5"/>
    <w:rsid w:val="00EA2B1A"/>
    <w:rsid w:val="00EA3C17"/>
    <w:rsid w:val="00EA5637"/>
    <w:rsid w:val="00EA73CB"/>
    <w:rsid w:val="00EA75B5"/>
    <w:rsid w:val="00EA762F"/>
    <w:rsid w:val="00EA7BF3"/>
    <w:rsid w:val="00EB0687"/>
    <w:rsid w:val="00EB08BB"/>
    <w:rsid w:val="00EB4FCF"/>
    <w:rsid w:val="00EB5866"/>
    <w:rsid w:val="00EB5D5C"/>
    <w:rsid w:val="00EB762F"/>
    <w:rsid w:val="00EC1873"/>
    <w:rsid w:val="00EC18A0"/>
    <w:rsid w:val="00EC41FB"/>
    <w:rsid w:val="00EC5100"/>
    <w:rsid w:val="00EC660F"/>
    <w:rsid w:val="00EC6ADB"/>
    <w:rsid w:val="00EC771D"/>
    <w:rsid w:val="00ED0AB6"/>
    <w:rsid w:val="00ED1091"/>
    <w:rsid w:val="00ED1313"/>
    <w:rsid w:val="00ED476F"/>
    <w:rsid w:val="00ED4A2F"/>
    <w:rsid w:val="00ED6322"/>
    <w:rsid w:val="00ED6A8E"/>
    <w:rsid w:val="00ED6C29"/>
    <w:rsid w:val="00ED7A09"/>
    <w:rsid w:val="00ED7F77"/>
    <w:rsid w:val="00EE04E8"/>
    <w:rsid w:val="00EE1C4F"/>
    <w:rsid w:val="00EE3253"/>
    <w:rsid w:val="00EE3328"/>
    <w:rsid w:val="00EE3567"/>
    <w:rsid w:val="00EE3D6D"/>
    <w:rsid w:val="00EE6135"/>
    <w:rsid w:val="00EE799B"/>
    <w:rsid w:val="00EF056F"/>
    <w:rsid w:val="00EF0B14"/>
    <w:rsid w:val="00EF0D3E"/>
    <w:rsid w:val="00EF24ED"/>
    <w:rsid w:val="00EF70B8"/>
    <w:rsid w:val="00EF73C8"/>
    <w:rsid w:val="00EF7753"/>
    <w:rsid w:val="00F02334"/>
    <w:rsid w:val="00F02EA9"/>
    <w:rsid w:val="00F03E5F"/>
    <w:rsid w:val="00F04E87"/>
    <w:rsid w:val="00F04E9C"/>
    <w:rsid w:val="00F051FB"/>
    <w:rsid w:val="00F05212"/>
    <w:rsid w:val="00F0674E"/>
    <w:rsid w:val="00F06BF9"/>
    <w:rsid w:val="00F10B38"/>
    <w:rsid w:val="00F10C0F"/>
    <w:rsid w:val="00F11EF2"/>
    <w:rsid w:val="00F11FF9"/>
    <w:rsid w:val="00F12577"/>
    <w:rsid w:val="00F12B32"/>
    <w:rsid w:val="00F1460F"/>
    <w:rsid w:val="00F14A05"/>
    <w:rsid w:val="00F14C49"/>
    <w:rsid w:val="00F15125"/>
    <w:rsid w:val="00F163A3"/>
    <w:rsid w:val="00F20F25"/>
    <w:rsid w:val="00F212C0"/>
    <w:rsid w:val="00F21A7D"/>
    <w:rsid w:val="00F230D8"/>
    <w:rsid w:val="00F2340F"/>
    <w:rsid w:val="00F23D00"/>
    <w:rsid w:val="00F24FED"/>
    <w:rsid w:val="00F27702"/>
    <w:rsid w:val="00F27722"/>
    <w:rsid w:val="00F277E7"/>
    <w:rsid w:val="00F27FE4"/>
    <w:rsid w:val="00F308D5"/>
    <w:rsid w:val="00F31609"/>
    <w:rsid w:val="00F31A4B"/>
    <w:rsid w:val="00F3250C"/>
    <w:rsid w:val="00F35395"/>
    <w:rsid w:val="00F3599D"/>
    <w:rsid w:val="00F36E61"/>
    <w:rsid w:val="00F37982"/>
    <w:rsid w:val="00F41F83"/>
    <w:rsid w:val="00F42158"/>
    <w:rsid w:val="00F42571"/>
    <w:rsid w:val="00F42DE2"/>
    <w:rsid w:val="00F464BE"/>
    <w:rsid w:val="00F479AF"/>
    <w:rsid w:val="00F50C05"/>
    <w:rsid w:val="00F50FAE"/>
    <w:rsid w:val="00F515D7"/>
    <w:rsid w:val="00F55A7B"/>
    <w:rsid w:val="00F55B12"/>
    <w:rsid w:val="00F565DC"/>
    <w:rsid w:val="00F578D4"/>
    <w:rsid w:val="00F60CEB"/>
    <w:rsid w:val="00F60F71"/>
    <w:rsid w:val="00F6148A"/>
    <w:rsid w:val="00F621DF"/>
    <w:rsid w:val="00F656B7"/>
    <w:rsid w:val="00F65966"/>
    <w:rsid w:val="00F65FE1"/>
    <w:rsid w:val="00F67092"/>
    <w:rsid w:val="00F6772E"/>
    <w:rsid w:val="00F67B48"/>
    <w:rsid w:val="00F708BD"/>
    <w:rsid w:val="00F71A3B"/>
    <w:rsid w:val="00F74D0C"/>
    <w:rsid w:val="00F7562D"/>
    <w:rsid w:val="00F76012"/>
    <w:rsid w:val="00F77752"/>
    <w:rsid w:val="00F77F79"/>
    <w:rsid w:val="00F80E4C"/>
    <w:rsid w:val="00F8109C"/>
    <w:rsid w:val="00F81D98"/>
    <w:rsid w:val="00F82794"/>
    <w:rsid w:val="00F82914"/>
    <w:rsid w:val="00F844F4"/>
    <w:rsid w:val="00F84C11"/>
    <w:rsid w:val="00F85114"/>
    <w:rsid w:val="00F86658"/>
    <w:rsid w:val="00F87B2B"/>
    <w:rsid w:val="00F87D54"/>
    <w:rsid w:val="00F900FE"/>
    <w:rsid w:val="00F91FC1"/>
    <w:rsid w:val="00F92566"/>
    <w:rsid w:val="00F92893"/>
    <w:rsid w:val="00F92D99"/>
    <w:rsid w:val="00F93646"/>
    <w:rsid w:val="00F9389C"/>
    <w:rsid w:val="00F93EB9"/>
    <w:rsid w:val="00F93F6C"/>
    <w:rsid w:val="00F9574C"/>
    <w:rsid w:val="00F971B5"/>
    <w:rsid w:val="00F97368"/>
    <w:rsid w:val="00F97A38"/>
    <w:rsid w:val="00FA171A"/>
    <w:rsid w:val="00FA1D1A"/>
    <w:rsid w:val="00FA24AB"/>
    <w:rsid w:val="00FA27C6"/>
    <w:rsid w:val="00FA3A8C"/>
    <w:rsid w:val="00FA3E67"/>
    <w:rsid w:val="00FA4A37"/>
    <w:rsid w:val="00FA5036"/>
    <w:rsid w:val="00FA5395"/>
    <w:rsid w:val="00FA6A51"/>
    <w:rsid w:val="00FA6E4E"/>
    <w:rsid w:val="00FA7E7A"/>
    <w:rsid w:val="00FB02FA"/>
    <w:rsid w:val="00FB03E0"/>
    <w:rsid w:val="00FB0DB1"/>
    <w:rsid w:val="00FB163A"/>
    <w:rsid w:val="00FB1A7A"/>
    <w:rsid w:val="00FB25FA"/>
    <w:rsid w:val="00FB3669"/>
    <w:rsid w:val="00FB4202"/>
    <w:rsid w:val="00FB5FDE"/>
    <w:rsid w:val="00FB619F"/>
    <w:rsid w:val="00FB6670"/>
    <w:rsid w:val="00FC0BD8"/>
    <w:rsid w:val="00FC261B"/>
    <w:rsid w:val="00FC2DB6"/>
    <w:rsid w:val="00FC353D"/>
    <w:rsid w:val="00FC58DC"/>
    <w:rsid w:val="00FD044C"/>
    <w:rsid w:val="00FD0F3F"/>
    <w:rsid w:val="00FD168A"/>
    <w:rsid w:val="00FD217A"/>
    <w:rsid w:val="00FD2420"/>
    <w:rsid w:val="00FD4CD5"/>
    <w:rsid w:val="00FD54E4"/>
    <w:rsid w:val="00FD5B6C"/>
    <w:rsid w:val="00FD63FE"/>
    <w:rsid w:val="00FD660D"/>
    <w:rsid w:val="00FD6832"/>
    <w:rsid w:val="00FD784A"/>
    <w:rsid w:val="00FE2120"/>
    <w:rsid w:val="00FE2227"/>
    <w:rsid w:val="00FE317B"/>
    <w:rsid w:val="00FE6784"/>
    <w:rsid w:val="00FF4962"/>
    <w:rsid w:val="00FF5379"/>
    <w:rsid w:val="00FF5398"/>
    <w:rsid w:val="00FF5C00"/>
    <w:rsid w:val="00FF5CC5"/>
    <w:rsid w:val="00FF7C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08E19"/>
  <w15:docId w15:val="{BD2F2DEF-E2CA-4E8D-AD31-60B9F765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3CC"/>
    <w:rPr>
      <w:rFonts w:ascii="Arial" w:hAnsi="Arial"/>
      <w:sz w:val="24"/>
      <w:lang w:val="es-MX"/>
    </w:rPr>
  </w:style>
  <w:style w:type="paragraph" w:styleId="Ttulo1">
    <w:name w:val="heading 1"/>
    <w:basedOn w:val="Normal"/>
    <w:next w:val="Normal"/>
    <w:link w:val="Ttulo1Car"/>
    <w:uiPriority w:val="9"/>
    <w:qFormat/>
    <w:rsid w:val="001F6930"/>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next w:val="Normal"/>
    <w:link w:val="Ttulo2Car"/>
    <w:uiPriority w:val="9"/>
    <w:unhideWhenUsed/>
    <w:qFormat/>
    <w:rsid w:val="001F6930"/>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5">
    <w:name w:val="heading 5"/>
    <w:basedOn w:val="Normal"/>
    <w:next w:val="Normal"/>
    <w:qFormat/>
    <w:rsid w:val="0097328C"/>
    <w:pPr>
      <w:keepNext/>
      <w:jc w:val="center"/>
      <w:outlineLvl w:val="4"/>
    </w:pPr>
    <w:rPr>
      <w:b/>
    </w:rPr>
  </w:style>
  <w:style w:type="paragraph" w:styleId="Ttulo6">
    <w:name w:val="heading 6"/>
    <w:basedOn w:val="Normal"/>
    <w:next w:val="Normal"/>
    <w:qFormat/>
    <w:rsid w:val="0097328C"/>
    <w:pPr>
      <w:keepNext/>
      <w:jc w:val="center"/>
      <w:outlineLvl w:val="5"/>
    </w:pPr>
    <w:rPr>
      <w:b/>
      <w:sz w:val="19"/>
    </w:rPr>
  </w:style>
  <w:style w:type="paragraph" w:styleId="Ttulo7">
    <w:name w:val="heading 7"/>
    <w:basedOn w:val="Normal"/>
    <w:next w:val="Normal"/>
    <w:qFormat/>
    <w:rsid w:val="0097328C"/>
    <w:pPr>
      <w:keepNext/>
      <w:spacing w:before="240"/>
      <w:outlineLvl w:val="6"/>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328C"/>
    <w:pPr>
      <w:jc w:val="both"/>
    </w:pPr>
  </w:style>
  <w:style w:type="paragraph" w:styleId="Puesto">
    <w:name w:val="Title"/>
    <w:basedOn w:val="Normal"/>
    <w:qFormat/>
    <w:rsid w:val="0097328C"/>
    <w:pPr>
      <w:jc w:val="center"/>
    </w:pPr>
    <w:rPr>
      <w:b/>
      <w:sz w:val="20"/>
    </w:rPr>
  </w:style>
  <w:style w:type="paragraph" w:styleId="Textodeglobo">
    <w:name w:val="Balloon Text"/>
    <w:basedOn w:val="Normal"/>
    <w:semiHidden/>
    <w:rsid w:val="00A209A4"/>
    <w:rPr>
      <w:rFonts w:ascii="Tahoma" w:hAnsi="Tahoma" w:cs="Tahoma"/>
      <w:sz w:val="16"/>
      <w:szCs w:val="16"/>
    </w:rPr>
  </w:style>
  <w:style w:type="paragraph" w:styleId="Piedepgina">
    <w:name w:val="footer"/>
    <w:basedOn w:val="Normal"/>
    <w:rsid w:val="00511255"/>
    <w:pPr>
      <w:tabs>
        <w:tab w:val="center" w:pos="4252"/>
        <w:tab w:val="right" w:pos="8504"/>
      </w:tabs>
    </w:pPr>
  </w:style>
  <w:style w:type="character" w:styleId="Nmerodepgina">
    <w:name w:val="page number"/>
    <w:basedOn w:val="Fuentedeprrafopredeter"/>
    <w:rsid w:val="00511255"/>
  </w:style>
  <w:style w:type="paragraph" w:styleId="Encabezado">
    <w:name w:val="header"/>
    <w:basedOn w:val="Normal"/>
    <w:link w:val="EncabezadoCar"/>
    <w:uiPriority w:val="99"/>
    <w:rsid w:val="00511255"/>
    <w:pPr>
      <w:tabs>
        <w:tab w:val="center" w:pos="4252"/>
        <w:tab w:val="right" w:pos="8504"/>
      </w:tabs>
    </w:pPr>
  </w:style>
  <w:style w:type="table" w:styleId="Tablaconcuadrcula">
    <w:name w:val="Table Grid"/>
    <w:basedOn w:val="Tablanormal"/>
    <w:uiPriority w:val="59"/>
    <w:rsid w:val="00832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92A13"/>
    <w:pPr>
      <w:spacing w:before="100" w:beforeAutospacing="1" w:after="100" w:afterAutospacing="1"/>
    </w:pPr>
    <w:rPr>
      <w:rFonts w:ascii="Times New Roman" w:hAnsi="Times New Roman"/>
      <w:szCs w:val="24"/>
      <w:lang w:val="es-ES"/>
    </w:rPr>
  </w:style>
  <w:style w:type="paragraph" w:customStyle="1" w:styleId="texto">
    <w:name w:val="texto"/>
    <w:basedOn w:val="Normal"/>
    <w:rsid w:val="00884041"/>
    <w:pPr>
      <w:spacing w:after="101" w:line="216" w:lineRule="atLeast"/>
      <w:ind w:firstLine="288"/>
      <w:jc w:val="both"/>
    </w:pPr>
    <w:rPr>
      <w:rFonts w:cs="Arial"/>
      <w:sz w:val="18"/>
      <w:lang w:val="es-ES_tradnl" w:eastAsia="es-MX"/>
    </w:rPr>
  </w:style>
  <w:style w:type="paragraph" w:styleId="Prrafodelista">
    <w:name w:val="List Paragraph"/>
    <w:basedOn w:val="Normal"/>
    <w:link w:val="PrrafodelistaCar"/>
    <w:uiPriority w:val="34"/>
    <w:qFormat/>
    <w:rsid w:val="00017AF6"/>
    <w:pPr>
      <w:ind w:left="708"/>
    </w:pPr>
  </w:style>
  <w:style w:type="character" w:customStyle="1" w:styleId="TextoindependienteCar">
    <w:name w:val="Texto independiente Car"/>
    <w:link w:val="Textoindependiente"/>
    <w:rsid w:val="007B5A89"/>
    <w:rPr>
      <w:rFonts w:ascii="Arial" w:hAnsi="Arial"/>
      <w:sz w:val="24"/>
      <w:lang w:val="es-MX"/>
    </w:rPr>
  </w:style>
  <w:style w:type="character" w:styleId="Refdecomentario">
    <w:name w:val="annotation reference"/>
    <w:basedOn w:val="Fuentedeprrafopredeter"/>
    <w:semiHidden/>
    <w:unhideWhenUsed/>
    <w:rsid w:val="00650806"/>
    <w:rPr>
      <w:sz w:val="16"/>
      <w:szCs w:val="16"/>
    </w:rPr>
  </w:style>
  <w:style w:type="paragraph" w:styleId="Textocomentario">
    <w:name w:val="annotation text"/>
    <w:basedOn w:val="Normal"/>
    <w:link w:val="TextocomentarioCar"/>
    <w:semiHidden/>
    <w:unhideWhenUsed/>
    <w:rsid w:val="00650806"/>
    <w:rPr>
      <w:sz w:val="20"/>
    </w:rPr>
  </w:style>
  <w:style w:type="character" w:customStyle="1" w:styleId="TextocomentarioCar">
    <w:name w:val="Texto comentario Car"/>
    <w:basedOn w:val="Fuentedeprrafopredeter"/>
    <w:link w:val="Textocomentario"/>
    <w:semiHidden/>
    <w:rsid w:val="00650806"/>
    <w:rPr>
      <w:rFonts w:ascii="Arial" w:hAnsi="Arial"/>
      <w:lang w:val="es-MX"/>
    </w:rPr>
  </w:style>
  <w:style w:type="paragraph" w:styleId="Asuntodelcomentario">
    <w:name w:val="annotation subject"/>
    <w:basedOn w:val="Textocomentario"/>
    <w:next w:val="Textocomentario"/>
    <w:link w:val="AsuntodelcomentarioCar"/>
    <w:semiHidden/>
    <w:unhideWhenUsed/>
    <w:rsid w:val="00650806"/>
    <w:rPr>
      <w:b/>
      <w:bCs/>
    </w:rPr>
  </w:style>
  <w:style w:type="character" w:customStyle="1" w:styleId="AsuntodelcomentarioCar">
    <w:name w:val="Asunto del comentario Car"/>
    <w:basedOn w:val="TextocomentarioCar"/>
    <w:link w:val="Asuntodelcomentario"/>
    <w:semiHidden/>
    <w:rsid w:val="00650806"/>
    <w:rPr>
      <w:rFonts w:ascii="Arial" w:hAnsi="Arial"/>
      <w:b/>
      <w:bCs/>
      <w:lang w:val="es-MX"/>
    </w:rPr>
  </w:style>
  <w:style w:type="paragraph" w:styleId="Textodebloque">
    <w:name w:val="Block Text"/>
    <w:basedOn w:val="Normal"/>
    <w:rsid w:val="001241F5"/>
    <w:pPr>
      <w:tabs>
        <w:tab w:val="left" w:pos="8910"/>
      </w:tabs>
      <w:ind w:left="720" w:right="720"/>
      <w:jc w:val="both"/>
    </w:pPr>
    <w:rPr>
      <w:lang w:eastAsia="en-US"/>
    </w:rPr>
  </w:style>
  <w:style w:type="character" w:customStyle="1" w:styleId="EncabezadoCar">
    <w:name w:val="Encabezado Car"/>
    <w:basedOn w:val="Fuentedeprrafopredeter"/>
    <w:link w:val="Encabezado"/>
    <w:uiPriority w:val="99"/>
    <w:rsid w:val="005D5A8D"/>
    <w:rPr>
      <w:rFonts w:ascii="Arial" w:hAnsi="Arial"/>
      <w:sz w:val="24"/>
      <w:lang w:val="es-MX"/>
    </w:rPr>
  </w:style>
  <w:style w:type="paragraph" w:styleId="Revisin">
    <w:name w:val="Revision"/>
    <w:hidden/>
    <w:uiPriority w:val="99"/>
    <w:semiHidden/>
    <w:rsid w:val="00731E83"/>
    <w:rPr>
      <w:rFonts w:ascii="Arial" w:hAnsi="Arial"/>
      <w:sz w:val="24"/>
      <w:lang w:val="es-MX"/>
    </w:rPr>
  </w:style>
  <w:style w:type="paragraph" w:styleId="Listaconvietas">
    <w:name w:val="List Bullet"/>
    <w:basedOn w:val="Normal"/>
    <w:unhideWhenUsed/>
    <w:rsid w:val="00907CAC"/>
    <w:pPr>
      <w:numPr>
        <w:numId w:val="31"/>
      </w:numPr>
      <w:contextualSpacing/>
    </w:pPr>
  </w:style>
  <w:style w:type="character" w:customStyle="1" w:styleId="PrrafodelistaCar">
    <w:name w:val="Párrafo de lista Car"/>
    <w:link w:val="Prrafodelista"/>
    <w:uiPriority w:val="34"/>
    <w:locked/>
    <w:rsid w:val="00CC7BFB"/>
    <w:rPr>
      <w:rFonts w:ascii="Arial" w:hAnsi="Arial"/>
      <w:sz w:val="24"/>
      <w:lang w:val="es-MX"/>
    </w:rPr>
  </w:style>
  <w:style w:type="character" w:styleId="Refdenotaalpie">
    <w:name w:val="footnote reference"/>
    <w:basedOn w:val="Fuentedeprrafopredeter"/>
    <w:uiPriority w:val="99"/>
    <w:semiHidden/>
    <w:unhideWhenUsed/>
    <w:rsid w:val="00812083"/>
    <w:rPr>
      <w:vertAlign w:val="superscript"/>
    </w:rPr>
  </w:style>
  <w:style w:type="paragraph" w:styleId="Textonotapie">
    <w:name w:val="footnote text"/>
    <w:basedOn w:val="Normal"/>
    <w:link w:val="TextonotapieCar"/>
    <w:uiPriority w:val="99"/>
    <w:semiHidden/>
    <w:unhideWhenUsed/>
    <w:rsid w:val="002348C1"/>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semiHidden/>
    <w:rsid w:val="002348C1"/>
    <w:rPr>
      <w:rFonts w:asciiTheme="minorHAnsi" w:eastAsiaTheme="minorHAnsi" w:hAnsiTheme="minorHAnsi" w:cstheme="minorBidi"/>
      <w:lang w:val="es-MX" w:eastAsia="en-US"/>
    </w:rPr>
  </w:style>
  <w:style w:type="paragraph" w:customStyle="1" w:styleId="estilo30">
    <w:name w:val="estilo30"/>
    <w:basedOn w:val="Normal"/>
    <w:rsid w:val="00AA7BE7"/>
    <w:pPr>
      <w:spacing w:before="100" w:beforeAutospacing="1" w:after="100" w:afterAutospacing="1"/>
    </w:pPr>
    <w:rPr>
      <w:rFonts w:ascii="Times New Roman" w:hAnsi="Times New Roman"/>
      <w:szCs w:val="24"/>
      <w:lang w:eastAsia="es-MX"/>
    </w:rPr>
  </w:style>
  <w:style w:type="character" w:customStyle="1" w:styleId="SinespaciadoCar">
    <w:name w:val="Sin espaciado Car"/>
    <w:basedOn w:val="Fuentedeprrafopredeter"/>
    <w:link w:val="Sinespaciado"/>
    <w:uiPriority w:val="1"/>
    <w:locked/>
    <w:rsid w:val="00243036"/>
    <w:rPr>
      <w:rFonts w:ascii="Calibri" w:hAnsi="Calibri"/>
    </w:rPr>
  </w:style>
  <w:style w:type="paragraph" w:styleId="Sinespaciado">
    <w:name w:val="No Spacing"/>
    <w:basedOn w:val="Normal"/>
    <w:link w:val="SinespaciadoCar"/>
    <w:uiPriority w:val="1"/>
    <w:qFormat/>
    <w:rsid w:val="00243036"/>
    <w:rPr>
      <w:rFonts w:ascii="Calibri" w:hAnsi="Calibri"/>
      <w:sz w:val="20"/>
      <w:lang w:val="es-ES"/>
    </w:rPr>
  </w:style>
  <w:style w:type="character" w:customStyle="1" w:styleId="Ttulo2Car">
    <w:name w:val="Título 2 Car"/>
    <w:basedOn w:val="Fuentedeprrafopredeter"/>
    <w:link w:val="Ttulo2"/>
    <w:uiPriority w:val="9"/>
    <w:rsid w:val="001F6930"/>
    <w:rPr>
      <w:rFonts w:asciiTheme="majorHAnsi" w:eastAsiaTheme="majorEastAsia" w:hAnsiTheme="majorHAnsi" w:cstheme="majorBidi"/>
      <w:color w:val="365F91" w:themeColor="accent1" w:themeShade="BF"/>
      <w:sz w:val="26"/>
      <w:szCs w:val="26"/>
      <w:lang w:val="es-MX" w:eastAsia="en-US"/>
    </w:rPr>
  </w:style>
  <w:style w:type="character" w:customStyle="1" w:styleId="Ttulo1Car">
    <w:name w:val="Título 1 Car"/>
    <w:basedOn w:val="Fuentedeprrafopredeter"/>
    <w:link w:val="Ttulo1"/>
    <w:uiPriority w:val="9"/>
    <w:rsid w:val="001F6930"/>
    <w:rPr>
      <w:rFonts w:asciiTheme="majorHAnsi" w:eastAsiaTheme="majorEastAsia" w:hAnsiTheme="majorHAnsi" w:cstheme="majorBidi"/>
      <w:color w:val="365F91" w:themeColor="accent1" w:themeShade="BF"/>
      <w:sz w:val="32"/>
      <w:szCs w:val="32"/>
      <w:lang w:val="es-MX" w:eastAsia="en-US"/>
    </w:rPr>
  </w:style>
  <w:style w:type="table" w:styleId="Cuadrculadetablaclara">
    <w:name w:val="Grid Table Light"/>
    <w:basedOn w:val="Tablanormal"/>
    <w:uiPriority w:val="40"/>
    <w:rsid w:val="001F69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6895">
      <w:bodyDiv w:val="1"/>
      <w:marLeft w:val="0"/>
      <w:marRight w:val="0"/>
      <w:marTop w:val="0"/>
      <w:marBottom w:val="0"/>
      <w:divBdr>
        <w:top w:val="none" w:sz="0" w:space="0" w:color="auto"/>
        <w:left w:val="none" w:sz="0" w:space="0" w:color="auto"/>
        <w:bottom w:val="none" w:sz="0" w:space="0" w:color="auto"/>
        <w:right w:val="none" w:sz="0" w:space="0" w:color="auto"/>
      </w:divBdr>
    </w:div>
    <w:div w:id="126824955">
      <w:bodyDiv w:val="1"/>
      <w:marLeft w:val="0"/>
      <w:marRight w:val="0"/>
      <w:marTop w:val="0"/>
      <w:marBottom w:val="0"/>
      <w:divBdr>
        <w:top w:val="none" w:sz="0" w:space="0" w:color="auto"/>
        <w:left w:val="none" w:sz="0" w:space="0" w:color="auto"/>
        <w:bottom w:val="none" w:sz="0" w:space="0" w:color="auto"/>
        <w:right w:val="none" w:sz="0" w:space="0" w:color="auto"/>
      </w:divBdr>
    </w:div>
    <w:div w:id="147290995">
      <w:bodyDiv w:val="1"/>
      <w:marLeft w:val="0"/>
      <w:marRight w:val="0"/>
      <w:marTop w:val="0"/>
      <w:marBottom w:val="0"/>
      <w:divBdr>
        <w:top w:val="none" w:sz="0" w:space="0" w:color="auto"/>
        <w:left w:val="none" w:sz="0" w:space="0" w:color="auto"/>
        <w:bottom w:val="none" w:sz="0" w:space="0" w:color="auto"/>
        <w:right w:val="none" w:sz="0" w:space="0" w:color="auto"/>
      </w:divBdr>
    </w:div>
    <w:div w:id="175661303">
      <w:bodyDiv w:val="1"/>
      <w:marLeft w:val="0"/>
      <w:marRight w:val="0"/>
      <w:marTop w:val="0"/>
      <w:marBottom w:val="0"/>
      <w:divBdr>
        <w:top w:val="none" w:sz="0" w:space="0" w:color="auto"/>
        <w:left w:val="none" w:sz="0" w:space="0" w:color="auto"/>
        <w:bottom w:val="none" w:sz="0" w:space="0" w:color="auto"/>
        <w:right w:val="none" w:sz="0" w:space="0" w:color="auto"/>
      </w:divBdr>
    </w:div>
    <w:div w:id="186064958">
      <w:bodyDiv w:val="1"/>
      <w:marLeft w:val="0"/>
      <w:marRight w:val="0"/>
      <w:marTop w:val="0"/>
      <w:marBottom w:val="0"/>
      <w:divBdr>
        <w:top w:val="none" w:sz="0" w:space="0" w:color="auto"/>
        <w:left w:val="none" w:sz="0" w:space="0" w:color="auto"/>
        <w:bottom w:val="none" w:sz="0" w:space="0" w:color="auto"/>
        <w:right w:val="none" w:sz="0" w:space="0" w:color="auto"/>
      </w:divBdr>
    </w:div>
    <w:div w:id="193423008">
      <w:bodyDiv w:val="1"/>
      <w:marLeft w:val="0"/>
      <w:marRight w:val="0"/>
      <w:marTop w:val="0"/>
      <w:marBottom w:val="0"/>
      <w:divBdr>
        <w:top w:val="none" w:sz="0" w:space="0" w:color="auto"/>
        <w:left w:val="none" w:sz="0" w:space="0" w:color="auto"/>
        <w:bottom w:val="none" w:sz="0" w:space="0" w:color="auto"/>
        <w:right w:val="none" w:sz="0" w:space="0" w:color="auto"/>
      </w:divBdr>
    </w:div>
    <w:div w:id="202182623">
      <w:bodyDiv w:val="1"/>
      <w:marLeft w:val="0"/>
      <w:marRight w:val="0"/>
      <w:marTop w:val="0"/>
      <w:marBottom w:val="0"/>
      <w:divBdr>
        <w:top w:val="none" w:sz="0" w:space="0" w:color="auto"/>
        <w:left w:val="none" w:sz="0" w:space="0" w:color="auto"/>
        <w:bottom w:val="none" w:sz="0" w:space="0" w:color="auto"/>
        <w:right w:val="none" w:sz="0" w:space="0" w:color="auto"/>
      </w:divBdr>
    </w:div>
    <w:div w:id="216935576">
      <w:bodyDiv w:val="1"/>
      <w:marLeft w:val="0"/>
      <w:marRight w:val="0"/>
      <w:marTop w:val="0"/>
      <w:marBottom w:val="0"/>
      <w:divBdr>
        <w:top w:val="none" w:sz="0" w:space="0" w:color="auto"/>
        <w:left w:val="none" w:sz="0" w:space="0" w:color="auto"/>
        <w:bottom w:val="none" w:sz="0" w:space="0" w:color="auto"/>
        <w:right w:val="none" w:sz="0" w:space="0" w:color="auto"/>
      </w:divBdr>
    </w:div>
    <w:div w:id="273174041">
      <w:bodyDiv w:val="1"/>
      <w:marLeft w:val="0"/>
      <w:marRight w:val="0"/>
      <w:marTop w:val="0"/>
      <w:marBottom w:val="0"/>
      <w:divBdr>
        <w:top w:val="none" w:sz="0" w:space="0" w:color="auto"/>
        <w:left w:val="none" w:sz="0" w:space="0" w:color="auto"/>
        <w:bottom w:val="none" w:sz="0" w:space="0" w:color="auto"/>
        <w:right w:val="none" w:sz="0" w:space="0" w:color="auto"/>
      </w:divBdr>
    </w:div>
    <w:div w:id="293950169">
      <w:bodyDiv w:val="1"/>
      <w:marLeft w:val="0"/>
      <w:marRight w:val="0"/>
      <w:marTop w:val="0"/>
      <w:marBottom w:val="0"/>
      <w:divBdr>
        <w:top w:val="none" w:sz="0" w:space="0" w:color="auto"/>
        <w:left w:val="none" w:sz="0" w:space="0" w:color="auto"/>
        <w:bottom w:val="none" w:sz="0" w:space="0" w:color="auto"/>
        <w:right w:val="none" w:sz="0" w:space="0" w:color="auto"/>
      </w:divBdr>
    </w:div>
    <w:div w:id="297033721">
      <w:bodyDiv w:val="1"/>
      <w:marLeft w:val="0"/>
      <w:marRight w:val="0"/>
      <w:marTop w:val="0"/>
      <w:marBottom w:val="0"/>
      <w:divBdr>
        <w:top w:val="none" w:sz="0" w:space="0" w:color="auto"/>
        <w:left w:val="none" w:sz="0" w:space="0" w:color="auto"/>
        <w:bottom w:val="none" w:sz="0" w:space="0" w:color="auto"/>
        <w:right w:val="none" w:sz="0" w:space="0" w:color="auto"/>
      </w:divBdr>
    </w:div>
    <w:div w:id="322858993">
      <w:bodyDiv w:val="1"/>
      <w:marLeft w:val="0"/>
      <w:marRight w:val="0"/>
      <w:marTop w:val="0"/>
      <w:marBottom w:val="0"/>
      <w:divBdr>
        <w:top w:val="none" w:sz="0" w:space="0" w:color="auto"/>
        <w:left w:val="none" w:sz="0" w:space="0" w:color="auto"/>
        <w:bottom w:val="none" w:sz="0" w:space="0" w:color="auto"/>
        <w:right w:val="none" w:sz="0" w:space="0" w:color="auto"/>
      </w:divBdr>
    </w:div>
    <w:div w:id="328288964">
      <w:bodyDiv w:val="1"/>
      <w:marLeft w:val="0"/>
      <w:marRight w:val="0"/>
      <w:marTop w:val="0"/>
      <w:marBottom w:val="0"/>
      <w:divBdr>
        <w:top w:val="none" w:sz="0" w:space="0" w:color="auto"/>
        <w:left w:val="none" w:sz="0" w:space="0" w:color="auto"/>
        <w:bottom w:val="none" w:sz="0" w:space="0" w:color="auto"/>
        <w:right w:val="none" w:sz="0" w:space="0" w:color="auto"/>
      </w:divBdr>
    </w:div>
    <w:div w:id="387414083">
      <w:bodyDiv w:val="1"/>
      <w:marLeft w:val="0"/>
      <w:marRight w:val="0"/>
      <w:marTop w:val="0"/>
      <w:marBottom w:val="0"/>
      <w:divBdr>
        <w:top w:val="none" w:sz="0" w:space="0" w:color="auto"/>
        <w:left w:val="none" w:sz="0" w:space="0" w:color="auto"/>
        <w:bottom w:val="none" w:sz="0" w:space="0" w:color="auto"/>
        <w:right w:val="none" w:sz="0" w:space="0" w:color="auto"/>
      </w:divBdr>
    </w:div>
    <w:div w:id="408962801">
      <w:bodyDiv w:val="1"/>
      <w:marLeft w:val="0"/>
      <w:marRight w:val="0"/>
      <w:marTop w:val="0"/>
      <w:marBottom w:val="0"/>
      <w:divBdr>
        <w:top w:val="none" w:sz="0" w:space="0" w:color="auto"/>
        <w:left w:val="none" w:sz="0" w:space="0" w:color="auto"/>
        <w:bottom w:val="none" w:sz="0" w:space="0" w:color="auto"/>
        <w:right w:val="none" w:sz="0" w:space="0" w:color="auto"/>
      </w:divBdr>
    </w:div>
    <w:div w:id="472019465">
      <w:bodyDiv w:val="1"/>
      <w:marLeft w:val="0"/>
      <w:marRight w:val="0"/>
      <w:marTop w:val="0"/>
      <w:marBottom w:val="0"/>
      <w:divBdr>
        <w:top w:val="none" w:sz="0" w:space="0" w:color="auto"/>
        <w:left w:val="none" w:sz="0" w:space="0" w:color="auto"/>
        <w:bottom w:val="none" w:sz="0" w:space="0" w:color="auto"/>
        <w:right w:val="none" w:sz="0" w:space="0" w:color="auto"/>
      </w:divBdr>
    </w:div>
    <w:div w:id="494496074">
      <w:bodyDiv w:val="1"/>
      <w:marLeft w:val="0"/>
      <w:marRight w:val="0"/>
      <w:marTop w:val="0"/>
      <w:marBottom w:val="0"/>
      <w:divBdr>
        <w:top w:val="none" w:sz="0" w:space="0" w:color="auto"/>
        <w:left w:val="none" w:sz="0" w:space="0" w:color="auto"/>
        <w:bottom w:val="none" w:sz="0" w:space="0" w:color="auto"/>
        <w:right w:val="none" w:sz="0" w:space="0" w:color="auto"/>
      </w:divBdr>
    </w:div>
    <w:div w:id="513764600">
      <w:bodyDiv w:val="1"/>
      <w:marLeft w:val="0"/>
      <w:marRight w:val="0"/>
      <w:marTop w:val="0"/>
      <w:marBottom w:val="0"/>
      <w:divBdr>
        <w:top w:val="none" w:sz="0" w:space="0" w:color="auto"/>
        <w:left w:val="none" w:sz="0" w:space="0" w:color="auto"/>
        <w:bottom w:val="none" w:sz="0" w:space="0" w:color="auto"/>
        <w:right w:val="none" w:sz="0" w:space="0" w:color="auto"/>
      </w:divBdr>
    </w:div>
    <w:div w:id="538053385">
      <w:bodyDiv w:val="1"/>
      <w:marLeft w:val="0"/>
      <w:marRight w:val="0"/>
      <w:marTop w:val="0"/>
      <w:marBottom w:val="0"/>
      <w:divBdr>
        <w:top w:val="none" w:sz="0" w:space="0" w:color="auto"/>
        <w:left w:val="none" w:sz="0" w:space="0" w:color="auto"/>
        <w:bottom w:val="none" w:sz="0" w:space="0" w:color="auto"/>
        <w:right w:val="none" w:sz="0" w:space="0" w:color="auto"/>
      </w:divBdr>
    </w:div>
    <w:div w:id="568274242">
      <w:bodyDiv w:val="1"/>
      <w:marLeft w:val="0"/>
      <w:marRight w:val="0"/>
      <w:marTop w:val="0"/>
      <w:marBottom w:val="0"/>
      <w:divBdr>
        <w:top w:val="none" w:sz="0" w:space="0" w:color="auto"/>
        <w:left w:val="none" w:sz="0" w:space="0" w:color="auto"/>
        <w:bottom w:val="none" w:sz="0" w:space="0" w:color="auto"/>
        <w:right w:val="none" w:sz="0" w:space="0" w:color="auto"/>
      </w:divBdr>
    </w:div>
    <w:div w:id="590116303">
      <w:bodyDiv w:val="1"/>
      <w:marLeft w:val="0"/>
      <w:marRight w:val="0"/>
      <w:marTop w:val="0"/>
      <w:marBottom w:val="0"/>
      <w:divBdr>
        <w:top w:val="none" w:sz="0" w:space="0" w:color="auto"/>
        <w:left w:val="none" w:sz="0" w:space="0" w:color="auto"/>
        <w:bottom w:val="none" w:sz="0" w:space="0" w:color="auto"/>
        <w:right w:val="none" w:sz="0" w:space="0" w:color="auto"/>
      </w:divBdr>
    </w:div>
    <w:div w:id="591353246">
      <w:bodyDiv w:val="1"/>
      <w:marLeft w:val="0"/>
      <w:marRight w:val="0"/>
      <w:marTop w:val="0"/>
      <w:marBottom w:val="0"/>
      <w:divBdr>
        <w:top w:val="none" w:sz="0" w:space="0" w:color="auto"/>
        <w:left w:val="none" w:sz="0" w:space="0" w:color="auto"/>
        <w:bottom w:val="none" w:sz="0" w:space="0" w:color="auto"/>
        <w:right w:val="none" w:sz="0" w:space="0" w:color="auto"/>
      </w:divBdr>
    </w:div>
    <w:div w:id="650140603">
      <w:bodyDiv w:val="1"/>
      <w:marLeft w:val="0"/>
      <w:marRight w:val="0"/>
      <w:marTop w:val="0"/>
      <w:marBottom w:val="0"/>
      <w:divBdr>
        <w:top w:val="none" w:sz="0" w:space="0" w:color="auto"/>
        <w:left w:val="none" w:sz="0" w:space="0" w:color="auto"/>
        <w:bottom w:val="none" w:sz="0" w:space="0" w:color="auto"/>
        <w:right w:val="none" w:sz="0" w:space="0" w:color="auto"/>
      </w:divBdr>
    </w:div>
    <w:div w:id="666246711">
      <w:bodyDiv w:val="1"/>
      <w:marLeft w:val="0"/>
      <w:marRight w:val="0"/>
      <w:marTop w:val="0"/>
      <w:marBottom w:val="0"/>
      <w:divBdr>
        <w:top w:val="none" w:sz="0" w:space="0" w:color="auto"/>
        <w:left w:val="none" w:sz="0" w:space="0" w:color="auto"/>
        <w:bottom w:val="none" w:sz="0" w:space="0" w:color="auto"/>
        <w:right w:val="none" w:sz="0" w:space="0" w:color="auto"/>
      </w:divBdr>
    </w:div>
    <w:div w:id="682048378">
      <w:bodyDiv w:val="1"/>
      <w:marLeft w:val="0"/>
      <w:marRight w:val="0"/>
      <w:marTop w:val="0"/>
      <w:marBottom w:val="0"/>
      <w:divBdr>
        <w:top w:val="none" w:sz="0" w:space="0" w:color="auto"/>
        <w:left w:val="none" w:sz="0" w:space="0" w:color="auto"/>
        <w:bottom w:val="none" w:sz="0" w:space="0" w:color="auto"/>
        <w:right w:val="none" w:sz="0" w:space="0" w:color="auto"/>
      </w:divBdr>
    </w:div>
    <w:div w:id="709841884">
      <w:bodyDiv w:val="1"/>
      <w:marLeft w:val="0"/>
      <w:marRight w:val="0"/>
      <w:marTop w:val="0"/>
      <w:marBottom w:val="0"/>
      <w:divBdr>
        <w:top w:val="none" w:sz="0" w:space="0" w:color="auto"/>
        <w:left w:val="none" w:sz="0" w:space="0" w:color="auto"/>
        <w:bottom w:val="none" w:sz="0" w:space="0" w:color="auto"/>
        <w:right w:val="none" w:sz="0" w:space="0" w:color="auto"/>
      </w:divBdr>
    </w:div>
    <w:div w:id="721297476">
      <w:bodyDiv w:val="1"/>
      <w:marLeft w:val="0"/>
      <w:marRight w:val="0"/>
      <w:marTop w:val="0"/>
      <w:marBottom w:val="0"/>
      <w:divBdr>
        <w:top w:val="none" w:sz="0" w:space="0" w:color="auto"/>
        <w:left w:val="none" w:sz="0" w:space="0" w:color="auto"/>
        <w:bottom w:val="none" w:sz="0" w:space="0" w:color="auto"/>
        <w:right w:val="none" w:sz="0" w:space="0" w:color="auto"/>
      </w:divBdr>
    </w:div>
    <w:div w:id="738747778">
      <w:bodyDiv w:val="1"/>
      <w:marLeft w:val="0"/>
      <w:marRight w:val="0"/>
      <w:marTop w:val="0"/>
      <w:marBottom w:val="0"/>
      <w:divBdr>
        <w:top w:val="none" w:sz="0" w:space="0" w:color="auto"/>
        <w:left w:val="none" w:sz="0" w:space="0" w:color="auto"/>
        <w:bottom w:val="none" w:sz="0" w:space="0" w:color="auto"/>
        <w:right w:val="none" w:sz="0" w:space="0" w:color="auto"/>
      </w:divBdr>
    </w:div>
    <w:div w:id="756706967">
      <w:bodyDiv w:val="1"/>
      <w:marLeft w:val="0"/>
      <w:marRight w:val="0"/>
      <w:marTop w:val="0"/>
      <w:marBottom w:val="0"/>
      <w:divBdr>
        <w:top w:val="none" w:sz="0" w:space="0" w:color="auto"/>
        <w:left w:val="none" w:sz="0" w:space="0" w:color="auto"/>
        <w:bottom w:val="none" w:sz="0" w:space="0" w:color="auto"/>
        <w:right w:val="none" w:sz="0" w:space="0" w:color="auto"/>
      </w:divBdr>
    </w:div>
    <w:div w:id="773750191">
      <w:bodyDiv w:val="1"/>
      <w:marLeft w:val="0"/>
      <w:marRight w:val="0"/>
      <w:marTop w:val="0"/>
      <w:marBottom w:val="0"/>
      <w:divBdr>
        <w:top w:val="none" w:sz="0" w:space="0" w:color="auto"/>
        <w:left w:val="none" w:sz="0" w:space="0" w:color="auto"/>
        <w:bottom w:val="none" w:sz="0" w:space="0" w:color="auto"/>
        <w:right w:val="none" w:sz="0" w:space="0" w:color="auto"/>
      </w:divBdr>
    </w:div>
    <w:div w:id="829370930">
      <w:bodyDiv w:val="1"/>
      <w:marLeft w:val="0"/>
      <w:marRight w:val="0"/>
      <w:marTop w:val="0"/>
      <w:marBottom w:val="0"/>
      <w:divBdr>
        <w:top w:val="none" w:sz="0" w:space="0" w:color="auto"/>
        <w:left w:val="none" w:sz="0" w:space="0" w:color="auto"/>
        <w:bottom w:val="none" w:sz="0" w:space="0" w:color="auto"/>
        <w:right w:val="none" w:sz="0" w:space="0" w:color="auto"/>
      </w:divBdr>
    </w:div>
    <w:div w:id="831213481">
      <w:bodyDiv w:val="1"/>
      <w:marLeft w:val="0"/>
      <w:marRight w:val="0"/>
      <w:marTop w:val="0"/>
      <w:marBottom w:val="0"/>
      <w:divBdr>
        <w:top w:val="none" w:sz="0" w:space="0" w:color="auto"/>
        <w:left w:val="none" w:sz="0" w:space="0" w:color="auto"/>
        <w:bottom w:val="none" w:sz="0" w:space="0" w:color="auto"/>
        <w:right w:val="none" w:sz="0" w:space="0" w:color="auto"/>
      </w:divBdr>
    </w:div>
    <w:div w:id="835848245">
      <w:bodyDiv w:val="1"/>
      <w:marLeft w:val="0"/>
      <w:marRight w:val="0"/>
      <w:marTop w:val="0"/>
      <w:marBottom w:val="0"/>
      <w:divBdr>
        <w:top w:val="none" w:sz="0" w:space="0" w:color="auto"/>
        <w:left w:val="none" w:sz="0" w:space="0" w:color="auto"/>
        <w:bottom w:val="none" w:sz="0" w:space="0" w:color="auto"/>
        <w:right w:val="none" w:sz="0" w:space="0" w:color="auto"/>
      </w:divBdr>
    </w:div>
    <w:div w:id="908419801">
      <w:bodyDiv w:val="1"/>
      <w:marLeft w:val="0"/>
      <w:marRight w:val="0"/>
      <w:marTop w:val="0"/>
      <w:marBottom w:val="0"/>
      <w:divBdr>
        <w:top w:val="none" w:sz="0" w:space="0" w:color="auto"/>
        <w:left w:val="none" w:sz="0" w:space="0" w:color="auto"/>
        <w:bottom w:val="none" w:sz="0" w:space="0" w:color="auto"/>
        <w:right w:val="none" w:sz="0" w:space="0" w:color="auto"/>
      </w:divBdr>
    </w:div>
    <w:div w:id="1066147609">
      <w:bodyDiv w:val="1"/>
      <w:marLeft w:val="0"/>
      <w:marRight w:val="0"/>
      <w:marTop w:val="0"/>
      <w:marBottom w:val="0"/>
      <w:divBdr>
        <w:top w:val="none" w:sz="0" w:space="0" w:color="auto"/>
        <w:left w:val="none" w:sz="0" w:space="0" w:color="auto"/>
        <w:bottom w:val="none" w:sz="0" w:space="0" w:color="auto"/>
        <w:right w:val="none" w:sz="0" w:space="0" w:color="auto"/>
      </w:divBdr>
    </w:div>
    <w:div w:id="1135679482">
      <w:bodyDiv w:val="1"/>
      <w:marLeft w:val="0"/>
      <w:marRight w:val="0"/>
      <w:marTop w:val="0"/>
      <w:marBottom w:val="0"/>
      <w:divBdr>
        <w:top w:val="none" w:sz="0" w:space="0" w:color="auto"/>
        <w:left w:val="none" w:sz="0" w:space="0" w:color="auto"/>
        <w:bottom w:val="none" w:sz="0" w:space="0" w:color="auto"/>
        <w:right w:val="none" w:sz="0" w:space="0" w:color="auto"/>
      </w:divBdr>
    </w:div>
    <w:div w:id="1168330202">
      <w:bodyDiv w:val="1"/>
      <w:marLeft w:val="0"/>
      <w:marRight w:val="0"/>
      <w:marTop w:val="0"/>
      <w:marBottom w:val="0"/>
      <w:divBdr>
        <w:top w:val="none" w:sz="0" w:space="0" w:color="auto"/>
        <w:left w:val="none" w:sz="0" w:space="0" w:color="auto"/>
        <w:bottom w:val="none" w:sz="0" w:space="0" w:color="auto"/>
        <w:right w:val="none" w:sz="0" w:space="0" w:color="auto"/>
      </w:divBdr>
    </w:div>
    <w:div w:id="1204756734">
      <w:bodyDiv w:val="1"/>
      <w:marLeft w:val="0"/>
      <w:marRight w:val="0"/>
      <w:marTop w:val="0"/>
      <w:marBottom w:val="0"/>
      <w:divBdr>
        <w:top w:val="none" w:sz="0" w:space="0" w:color="auto"/>
        <w:left w:val="none" w:sz="0" w:space="0" w:color="auto"/>
        <w:bottom w:val="none" w:sz="0" w:space="0" w:color="auto"/>
        <w:right w:val="none" w:sz="0" w:space="0" w:color="auto"/>
      </w:divBdr>
    </w:div>
    <w:div w:id="1241914127">
      <w:bodyDiv w:val="1"/>
      <w:marLeft w:val="0"/>
      <w:marRight w:val="0"/>
      <w:marTop w:val="0"/>
      <w:marBottom w:val="0"/>
      <w:divBdr>
        <w:top w:val="none" w:sz="0" w:space="0" w:color="auto"/>
        <w:left w:val="none" w:sz="0" w:space="0" w:color="auto"/>
        <w:bottom w:val="none" w:sz="0" w:space="0" w:color="auto"/>
        <w:right w:val="none" w:sz="0" w:space="0" w:color="auto"/>
      </w:divBdr>
    </w:div>
    <w:div w:id="1263221825">
      <w:bodyDiv w:val="1"/>
      <w:marLeft w:val="0"/>
      <w:marRight w:val="0"/>
      <w:marTop w:val="0"/>
      <w:marBottom w:val="0"/>
      <w:divBdr>
        <w:top w:val="none" w:sz="0" w:space="0" w:color="auto"/>
        <w:left w:val="none" w:sz="0" w:space="0" w:color="auto"/>
        <w:bottom w:val="none" w:sz="0" w:space="0" w:color="auto"/>
        <w:right w:val="none" w:sz="0" w:space="0" w:color="auto"/>
      </w:divBdr>
    </w:div>
    <w:div w:id="1265456220">
      <w:bodyDiv w:val="1"/>
      <w:marLeft w:val="0"/>
      <w:marRight w:val="0"/>
      <w:marTop w:val="0"/>
      <w:marBottom w:val="0"/>
      <w:divBdr>
        <w:top w:val="none" w:sz="0" w:space="0" w:color="auto"/>
        <w:left w:val="none" w:sz="0" w:space="0" w:color="auto"/>
        <w:bottom w:val="none" w:sz="0" w:space="0" w:color="auto"/>
        <w:right w:val="none" w:sz="0" w:space="0" w:color="auto"/>
      </w:divBdr>
    </w:div>
    <w:div w:id="1269119520">
      <w:bodyDiv w:val="1"/>
      <w:marLeft w:val="0"/>
      <w:marRight w:val="0"/>
      <w:marTop w:val="0"/>
      <w:marBottom w:val="0"/>
      <w:divBdr>
        <w:top w:val="none" w:sz="0" w:space="0" w:color="auto"/>
        <w:left w:val="none" w:sz="0" w:space="0" w:color="auto"/>
        <w:bottom w:val="none" w:sz="0" w:space="0" w:color="auto"/>
        <w:right w:val="none" w:sz="0" w:space="0" w:color="auto"/>
      </w:divBdr>
    </w:div>
    <w:div w:id="1302031833">
      <w:bodyDiv w:val="1"/>
      <w:marLeft w:val="0"/>
      <w:marRight w:val="0"/>
      <w:marTop w:val="0"/>
      <w:marBottom w:val="0"/>
      <w:divBdr>
        <w:top w:val="none" w:sz="0" w:space="0" w:color="auto"/>
        <w:left w:val="none" w:sz="0" w:space="0" w:color="auto"/>
        <w:bottom w:val="none" w:sz="0" w:space="0" w:color="auto"/>
        <w:right w:val="none" w:sz="0" w:space="0" w:color="auto"/>
      </w:divBdr>
    </w:div>
    <w:div w:id="1341273890">
      <w:bodyDiv w:val="1"/>
      <w:marLeft w:val="0"/>
      <w:marRight w:val="0"/>
      <w:marTop w:val="0"/>
      <w:marBottom w:val="0"/>
      <w:divBdr>
        <w:top w:val="none" w:sz="0" w:space="0" w:color="auto"/>
        <w:left w:val="none" w:sz="0" w:space="0" w:color="auto"/>
        <w:bottom w:val="none" w:sz="0" w:space="0" w:color="auto"/>
        <w:right w:val="none" w:sz="0" w:space="0" w:color="auto"/>
      </w:divBdr>
    </w:div>
    <w:div w:id="1350059997">
      <w:bodyDiv w:val="1"/>
      <w:marLeft w:val="0"/>
      <w:marRight w:val="0"/>
      <w:marTop w:val="0"/>
      <w:marBottom w:val="0"/>
      <w:divBdr>
        <w:top w:val="none" w:sz="0" w:space="0" w:color="auto"/>
        <w:left w:val="none" w:sz="0" w:space="0" w:color="auto"/>
        <w:bottom w:val="none" w:sz="0" w:space="0" w:color="auto"/>
        <w:right w:val="none" w:sz="0" w:space="0" w:color="auto"/>
      </w:divBdr>
    </w:div>
    <w:div w:id="1357463126">
      <w:bodyDiv w:val="1"/>
      <w:marLeft w:val="0"/>
      <w:marRight w:val="0"/>
      <w:marTop w:val="0"/>
      <w:marBottom w:val="0"/>
      <w:divBdr>
        <w:top w:val="none" w:sz="0" w:space="0" w:color="auto"/>
        <w:left w:val="none" w:sz="0" w:space="0" w:color="auto"/>
        <w:bottom w:val="none" w:sz="0" w:space="0" w:color="auto"/>
        <w:right w:val="none" w:sz="0" w:space="0" w:color="auto"/>
      </w:divBdr>
    </w:div>
    <w:div w:id="1413506274">
      <w:bodyDiv w:val="1"/>
      <w:marLeft w:val="0"/>
      <w:marRight w:val="0"/>
      <w:marTop w:val="0"/>
      <w:marBottom w:val="0"/>
      <w:divBdr>
        <w:top w:val="none" w:sz="0" w:space="0" w:color="auto"/>
        <w:left w:val="none" w:sz="0" w:space="0" w:color="auto"/>
        <w:bottom w:val="none" w:sz="0" w:space="0" w:color="auto"/>
        <w:right w:val="none" w:sz="0" w:space="0" w:color="auto"/>
      </w:divBdr>
    </w:div>
    <w:div w:id="1413816055">
      <w:bodyDiv w:val="1"/>
      <w:marLeft w:val="0"/>
      <w:marRight w:val="0"/>
      <w:marTop w:val="0"/>
      <w:marBottom w:val="0"/>
      <w:divBdr>
        <w:top w:val="none" w:sz="0" w:space="0" w:color="auto"/>
        <w:left w:val="none" w:sz="0" w:space="0" w:color="auto"/>
        <w:bottom w:val="none" w:sz="0" w:space="0" w:color="auto"/>
        <w:right w:val="none" w:sz="0" w:space="0" w:color="auto"/>
      </w:divBdr>
    </w:div>
    <w:div w:id="1415512368">
      <w:bodyDiv w:val="1"/>
      <w:marLeft w:val="0"/>
      <w:marRight w:val="0"/>
      <w:marTop w:val="0"/>
      <w:marBottom w:val="0"/>
      <w:divBdr>
        <w:top w:val="none" w:sz="0" w:space="0" w:color="auto"/>
        <w:left w:val="none" w:sz="0" w:space="0" w:color="auto"/>
        <w:bottom w:val="none" w:sz="0" w:space="0" w:color="auto"/>
        <w:right w:val="none" w:sz="0" w:space="0" w:color="auto"/>
      </w:divBdr>
    </w:div>
    <w:div w:id="1425568830">
      <w:bodyDiv w:val="1"/>
      <w:marLeft w:val="0"/>
      <w:marRight w:val="0"/>
      <w:marTop w:val="0"/>
      <w:marBottom w:val="0"/>
      <w:divBdr>
        <w:top w:val="none" w:sz="0" w:space="0" w:color="auto"/>
        <w:left w:val="none" w:sz="0" w:space="0" w:color="auto"/>
        <w:bottom w:val="none" w:sz="0" w:space="0" w:color="auto"/>
        <w:right w:val="none" w:sz="0" w:space="0" w:color="auto"/>
      </w:divBdr>
    </w:div>
    <w:div w:id="1500541445">
      <w:bodyDiv w:val="1"/>
      <w:marLeft w:val="0"/>
      <w:marRight w:val="0"/>
      <w:marTop w:val="0"/>
      <w:marBottom w:val="0"/>
      <w:divBdr>
        <w:top w:val="none" w:sz="0" w:space="0" w:color="auto"/>
        <w:left w:val="none" w:sz="0" w:space="0" w:color="auto"/>
        <w:bottom w:val="none" w:sz="0" w:space="0" w:color="auto"/>
        <w:right w:val="none" w:sz="0" w:space="0" w:color="auto"/>
      </w:divBdr>
    </w:div>
    <w:div w:id="1522627947">
      <w:bodyDiv w:val="1"/>
      <w:marLeft w:val="0"/>
      <w:marRight w:val="0"/>
      <w:marTop w:val="0"/>
      <w:marBottom w:val="0"/>
      <w:divBdr>
        <w:top w:val="none" w:sz="0" w:space="0" w:color="auto"/>
        <w:left w:val="none" w:sz="0" w:space="0" w:color="auto"/>
        <w:bottom w:val="none" w:sz="0" w:space="0" w:color="auto"/>
        <w:right w:val="none" w:sz="0" w:space="0" w:color="auto"/>
      </w:divBdr>
    </w:div>
    <w:div w:id="1562520184">
      <w:bodyDiv w:val="1"/>
      <w:marLeft w:val="0"/>
      <w:marRight w:val="0"/>
      <w:marTop w:val="0"/>
      <w:marBottom w:val="0"/>
      <w:divBdr>
        <w:top w:val="none" w:sz="0" w:space="0" w:color="auto"/>
        <w:left w:val="none" w:sz="0" w:space="0" w:color="auto"/>
        <w:bottom w:val="none" w:sz="0" w:space="0" w:color="auto"/>
        <w:right w:val="none" w:sz="0" w:space="0" w:color="auto"/>
      </w:divBdr>
    </w:div>
    <w:div w:id="1566404678">
      <w:bodyDiv w:val="1"/>
      <w:marLeft w:val="0"/>
      <w:marRight w:val="0"/>
      <w:marTop w:val="0"/>
      <w:marBottom w:val="0"/>
      <w:divBdr>
        <w:top w:val="none" w:sz="0" w:space="0" w:color="auto"/>
        <w:left w:val="none" w:sz="0" w:space="0" w:color="auto"/>
        <w:bottom w:val="none" w:sz="0" w:space="0" w:color="auto"/>
        <w:right w:val="none" w:sz="0" w:space="0" w:color="auto"/>
      </w:divBdr>
    </w:div>
    <w:div w:id="1660452548">
      <w:bodyDiv w:val="1"/>
      <w:marLeft w:val="0"/>
      <w:marRight w:val="0"/>
      <w:marTop w:val="0"/>
      <w:marBottom w:val="0"/>
      <w:divBdr>
        <w:top w:val="none" w:sz="0" w:space="0" w:color="auto"/>
        <w:left w:val="none" w:sz="0" w:space="0" w:color="auto"/>
        <w:bottom w:val="none" w:sz="0" w:space="0" w:color="auto"/>
        <w:right w:val="none" w:sz="0" w:space="0" w:color="auto"/>
      </w:divBdr>
    </w:div>
    <w:div w:id="1686706486">
      <w:bodyDiv w:val="1"/>
      <w:marLeft w:val="0"/>
      <w:marRight w:val="0"/>
      <w:marTop w:val="0"/>
      <w:marBottom w:val="0"/>
      <w:divBdr>
        <w:top w:val="none" w:sz="0" w:space="0" w:color="auto"/>
        <w:left w:val="none" w:sz="0" w:space="0" w:color="auto"/>
        <w:bottom w:val="none" w:sz="0" w:space="0" w:color="auto"/>
        <w:right w:val="none" w:sz="0" w:space="0" w:color="auto"/>
      </w:divBdr>
    </w:div>
    <w:div w:id="1703744335">
      <w:bodyDiv w:val="1"/>
      <w:marLeft w:val="0"/>
      <w:marRight w:val="0"/>
      <w:marTop w:val="0"/>
      <w:marBottom w:val="0"/>
      <w:divBdr>
        <w:top w:val="none" w:sz="0" w:space="0" w:color="auto"/>
        <w:left w:val="none" w:sz="0" w:space="0" w:color="auto"/>
        <w:bottom w:val="none" w:sz="0" w:space="0" w:color="auto"/>
        <w:right w:val="none" w:sz="0" w:space="0" w:color="auto"/>
      </w:divBdr>
    </w:div>
    <w:div w:id="1736009725">
      <w:bodyDiv w:val="1"/>
      <w:marLeft w:val="0"/>
      <w:marRight w:val="0"/>
      <w:marTop w:val="0"/>
      <w:marBottom w:val="0"/>
      <w:divBdr>
        <w:top w:val="none" w:sz="0" w:space="0" w:color="auto"/>
        <w:left w:val="none" w:sz="0" w:space="0" w:color="auto"/>
        <w:bottom w:val="none" w:sz="0" w:space="0" w:color="auto"/>
        <w:right w:val="none" w:sz="0" w:space="0" w:color="auto"/>
      </w:divBdr>
    </w:div>
    <w:div w:id="1781801198">
      <w:bodyDiv w:val="1"/>
      <w:marLeft w:val="0"/>
      <w:marRight w:val="0"/>
      <w:marTop w:val="0"/>
      <w:marBottom w:val="0"/>
      <w:divBdr>
        <w:top w:val="none" w:sz="0" w:space="0" w:color="auto"/>
        <w:left w:val="none" w:sz="0" w:space="0" w:color="auto"/>
        <w:bottom w:val="none" w:sz="0" w:space="0" w:color="auto"/>
        <w:right w:val="none" w:sz="0" w:space="0" w:color="auto"/>
      </w:divBdr>
    </w:div>
    <w:div w:id="1782332162">
      <w:bodyDiv w:val="1"/>
      <w:marLeft w:val="0"/>
      <w:marRight w:val="0"/>
      <w:marTop w:val="0"/>
      <w:marBottom w:val="0"/>
      <w:divBdr>
        <w:top w:val="none" w:sz="0" w:space="0" w:color="auto"/>
        <w:left w:val="none" w:sz="0" w:space="0" w:color="auto"/>
        <w:bottom w:val="none" w:sz="0" w:space="0" w:color="auto"/>
        <w:right w:val="none" w:sz="0" w:space="0" w:color="auto"/>
      </w:divBdr>
    </w:div>
    <w:div w:id="1790902543">
      <w:bodyDiv w:val="1"/>
      <w:marLeft w:val="0"/>
      <w:marRight w:val="0"/>
      <w:marTop w:val="0"/>
      <w:marBottom w:val="0"/>
      <w:divBdr>
        <w:top w:val="none" w:sz="0" w:space="0" w:color="auto"/>
        <w:left w:val="none" w:sz="0" w:space="0" w:color="auto"/>
        <w:bottom w:val="none" w:sz="0" w:space="0" w:color="auto"/>
        <w:right w:val="none" w:sz="0" w:space="0" w:color="auto"/>
      </w:divBdr>
    </w:div>
    <w:div w:id="1807966531">
      <w:bodyDiv w:val="1"/>
      <w:marLeft w:val="0"/>
      <w:marRight w:val="0"/>
      <w:marTop w:val="0"/>
      <w:marBottom w:val="0"/>
      <w:divBdr>
        <w:top w:val="none" w:sz="0" w:space="0" w:color="auto"/>
        <w:left w:val="none" w:sz="0" w:space="0" w:color="auto"/>
        <w:bottom w:val="none" w:sz="0" w:space="0" w:color="auto"/>
        <w:right w:val="none" w:sz="0" w:space="0" w:color="auto"/>
      </w:divBdr>
    </w:div>
    <w:div w:id="1833717310">
      <w:bodyDiv w:val="1"/>
      <w:marLeft w:val="0"/>
      <w:marRight w:val="0"/>
      <w:marTop w:val="0"/>
      <w:marBottom w:val="0"/>
      <w:divBdr>
        <w:top w:val="none" w:sz="0" w:space="0" w:color="auto"/>
        <w:left w:val="none" w:sz="0" w:space="0" w:color="auto"/>
        <w:bottom w:val="none" w:sz="0" w:space="0" w:color="auto"/>
        <w:right w:val="none" w:sz="0" w:space="0" w:color="auto"/>
      </w:divBdr>
    </w:div>
    <w:div w:id="1916278136">
      <w:bodyDiv w:val="1"/>
      <w:marLeft w:val="0"/>
      <w:marRight w:val="0"/>
      <w:marTop w:val="0"/>
      <w:marBottom w:val="0"/>
      <w:divBdr>
        <w:top w:val="none" w:sz="0" w:space="0" w:color="auto"/>
        <w:left w:val="none" w:sz="0" w:space="0" w:color="auto"/>
        <w:bottom w:val="none" w:sz="0" w:space="0" w:color="auto"/>
        <w:right w:val="none" w:sz="0" w:space="0" w:color="auto"/>
      </w:divBdr>
    </w:div>
    <w:div w:id="1932152877">
      <w:bodyDiv w:val="1"/>
      <w:marLeft w:val="0"/>
      <w:marRight w:val="0"/>
      <w:marTop w:val="0"/>
      <w:marBottom w:val="0"/>
      <w:divBdr>
        <w:top w:val="none" w:sz="0" w:space="0" w:color="auto"/>
        <w:left w:val="none" w:sz="0" w:space="0" w:color="auto"/>
        <w:bottom w:val="none" w:sz="0" w:space="0" w:color="auto"/>
        <w:right w:val="none" w:sz="0" w:space="0" w:color="auto"/>
      </w:divBdr>
    </w:div>
    <w:div w:id="1933321867">
      <w:bodyDiv w:val="1"/>
      <w:marLeft w:val="0"/>
      <w:marRight w:val="0"/>
      <w:marTop w:val="0"/>
      <w:marBottom w:val="0"/>
      <w:divBdr>
        <w:top w:val="none" w:sz="0" w:space="0" w:color="auto"/>
        <w:left w:val="none" w:sz="0" w:space="0" w:color="auto"/>
        <w:bottom w:val="none" w:sz="0" w:space="0" w:color="auto"/>
        <w:right w:val="none" w:sz="0" w:space="0" w:color="auto"/>
      </w:divBdr>
    </w:div>
    <w:div w:id="1957829155">
      <w:bodyDiv w:val="1"/>
      <w:marLeft w:val="0"/>
      <w:marRight w:val="0"/>
      <w:marTop w:val="0"/>
      <w:marBottom w:val="0"/>
      <w:divBdr>
        <w:top w:val="none" w:sz="0" w:space="0" w:color="auto"/>
        <w:left w:val="none" w:sz="0" w:space="0" w:color="auto"/>
        <w:bottom w:val="none" w:sz="0" w:space="0" w:color="auto"/>
        <w:right w:val="none" w:sz="0" w:space="0" w:color="auto"/>
      </w:divBdr>
    </w:div>
    <w:div w:id="1972975619">
      <w:bodyDiv w:val="1"/>
      <w:marLeft w:val="0"/>
      <w:marRight w:val="0"/>
      <w:marTop w:val="0"/>
      <w:marBottom w:val="0"/>
      <w:divBdr>
        <w:top w:val="none" w:sz="0" w:space="0" w:color="auto"/>
        <w:left w:val="none" w:sz="0" w:space="0" w:color="auto"/>
        <w:bottom w:val="none" w:sz="0" w:space="0" w:color="auto"/>
        <w:right w:val="none" w:sz="0" w:space="0" w:color="auto"/>
      </w:divBdr>
    </w:div>
    <w:div w:id="2012026222">
      <w:bodyDiv w:val="1"/>
      <w:marLeft w:val="0"/>
      <w:marRight w:val="0"/>
      <w:marTop w:val="0"/>
      <w:marBottom w:val="0"/>
      <w:divBdr>
        <w:top w:val="none" w:sz="0" w:space="0" w:color="auto"/>
        <w:left w:val="none" w:sz="0" w:space="0" w:color="auto"/>
        <w:bottom w:val="none" w:sz="0" w:space="0" w:color="auto"/>
        <w:right w:val="none" w:sz="0" w:space="0" w:color="auto"/>
      </w:divBdr>
    </w:div>
    <w:div w:id="2026318575">
      <w:bodyDiv w:val="1"/>
      <w:marLeft w:val="0"/>
      <w:marRight w:val="0"/>
      <w:marTop w:val="0"/>
      <w:marBottom w:val="0"/>
      <w:divBdr>
        <w:top w:val="none" w:sz="0" w:space="0" w:color="auto"/>
        <w:left w:val="none" w:sz="0" w:space="0" w:color="auto"/>
        <w:bottom w:val="none" w:sz="0" w:space="0" w:color="auto"/>
        <w:right w:val="none" w:sz="0" w:space="0" w:color="auto"/>
      </w:divBdr>
    </w:div>
    <w:div w:id="2050259144">
      <w:bodyDiv w:val="1"/>
      <w:marLeft w:val="0"/>
      <w:marRight w:val="0"/>
      <w:marTop w:val="0"/>
      <w:marBottom w:val="0"/>
      <w:divBdr>
        <w:top w:val="none" w:sz="0" w:space="0" w:color="auto"/>
        <w:left w:val="none" w:sz="0" w:space="0" w:color="auto"/>
        <w:bottom w:val="none" w:sz="0" w:space="0" w:color="auto"/>
        <w:right w:val="none" w:sz="0" w:space="0" w:color="auto"/>
      </w:divBdr>
    </w:div>
    <w:div w:id="2061392515">
      <w:bodyDiv w:val="1"/>
      <w:marLeft w:val="0"/>
      <w:marRight w:val="0"/>
      <w:marTop w:val="0"/>
      <w:marBottom w:val="0"/>
      <w:divBdr>
        <w:top w:val="none" w:sz="0" w:space="0" w:color="auto"/>
        <w:left w:val="none" w:sz="0" w:space="0" w:color="auto"/>
        <w:bottom w:val="none" w:sz="0" w:space="0" w:color="auto"/>
        <w:right w:val="none" w:sz="0" w:space="0" w:color="auto"/>
      </w:divBdr>
    </w:div>
    <w:div w:id="2129659709">
      <w:bodyDiv w:val="1"/>
      <w:marLeft w:val="0"/>
      <w:marRight w:val="0"/>
      <w:marTop w:val="0"/>
      <w:marBottom w:val="0"/>
      <w:divBdr>
        <w:top w:val="none" w:sz="0" w:space="0" w:color="auto"/>
        <w:left w:val="none" w:sz="0" w:space="0" w:color="auto"/>
        <w:bottom w:val="none" w:sz="0" w:space="0" w:color="auto"/>
        <w:right w:val="none" w:sz="0" w:space="0" w:color="auto"/>
      </w:divBdr>
    </w:div>
    <w:div w:id="21342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9A71D-4454-4717-A520-43341880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12410</Words>
  <Characters>68258</Characters>
  <Application>Microsoft Office Word</Application>
  <DocSecurity>0</DocSecurity>
  <Lines>568</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México, D</vt:lpstr>
      <vt:lpstr>México, D</vt:lpstr>
    </vt:vector>
  </TitlesOfParts>
  <Company>COFETEL</Company>
  <LinksUpToDate>false</LinksUpToDate>
  <CharactersWithSpaces>80507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Jose Roberto Flores Navarrete</dc:creator>
  <cp:lastModifiedBy>Maria del Consuelo Gonzalez Moreno</cp:lastModifiedBy>
  <cp:revision>6</cp:revision>
  <cp:lastPrinted>2014-11-14T23:38:00Z</cp:lastPrinted>
  <dcterms:created xsi:type="dcterms:W3CDTF">2016-06-30T18:11:00Z</dcterms:created>
  <dcterms:modified xsi:type="dcterms:W3CDTF">2016-12-29T18:44:00Z</dcterms:modified>
</cp:coreProperties>
</file>