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70999" w14:textId="52423A8A" w:rsidR="00394255" w:rsidRPr="009746AC" w:rsidRDefault="00394255" w:rsidP="009746AC">
      <w:pPr>
        <w:spacing w:after="0"/>
        <w:jc w:val="both"/>
        <w:rPr>
          <w:rFonts w:ascii="ITC Avant Garde" w:hAnsi="ITC Avant Garde"/>
          <w:b/>
        </w:rPr>
      </w:pPr>
      <w:r w:rsidRPr="009746AC">
        <w:rPr>
          <w:rFonts w:ascii="ITC Avant Garde" w:hAnsi="ITC Avant Garde"/>
          <w:b/>
        </w:rPr>
        <w:t xml:space="preserve">RESOLUCIÓN MEDIANTE LA CUAL EL PLENO DEL INSTITUTO FEDERAL DE TELECOMUNICACIONES DETERMINA LAS CONDICIONES DE INTERCONEXIÓN NO CONVENIDAS ENTRE </w:t>
      </w:r>
      <w:r w:rsidR="00915D82" w:rsidRPr="009746AC">
        <w:rPr>
          <w:rFonts w:ascii="ITC Avant Garde" w:hAnsi="ITC Avant Garde"/>
          <w:b/>
        </w:rPr>
        <w:t>RADIOMÓVIL DIPSA, S.A DE C.V.</w:t>
      </w:r>
      <w:r w:rsidRPr="009746AC">
        <w:rPr>
          <w:rFonts w:ascii="ITC Avant Garde" w:hAnsi="ITC Avant Garde"/>
          <w:b/>
        </w:rPr>
        <w:t xml:space="preserve"> </w:t>
      </w:r>
      <w:r w:rsidR="001B131F" w:rsidRPr="009746AC">
        <w:rPr>
          <w:rFonts w:ascii="ITC Avant Garde" w:hAnsi="ITC Avant Garde"/>
          <w:b/>
        </w:rPr>
        <w:t xml:space="preserve">Y </w:t>
      </w:r>
      <w:r w:rsidR="007F62BF" w:rsidRPr="009746AC">
        <w:rPr>
          <w:rFonts w:ascii="ITC Avant Garde" w:hAnsi="ITC Avant Garde"/>
          <w:b/>
        </w:rPr>
        <w:t xml:space="preserve">CABLEVISIÓN RED, S.A. </w:t>
      </w:r>
      <w:r w:rsidR="00D73E92" w:rsidRPr="009746AC">
        <w:rPr>
          <w:rFonts w:ascii="ITC Avant Garde" w:hAnsi="ITC Avant Garde"/>
          <w:b/>
        </w:rPr>
        <w:t xml:space="preserve">DE C.V., </w:t>
      </w:r>
      <w:r w:rsidR="00B53B55" w:rsidRPr="009746AC">
        <w:rPr>
          <w:rFonts w:ascii="ITC Avant Garde" w:hAnsi="ITC Avant Garde"/>
          <w:b/>
        </w:rPr>
        <w:t xml:space="preserve">APLICABLES </w:t>
      </w:r>
      <w:r w:rsidR="007B1C84" w:rsidRPr="009746AC">
        <w:rPr>
          <w:rFonts w:ascii="ITC Avant Garde" w:hAnsi="ITC Avant Garde"/>
          <w:b/>
        </w:rPr>
        <w:t xml:space="preserve">DEL </w:t>
      </w:r>
      <w:r w:rsidR="00915D82" w:rsidRPr="009746AC">
        <w:rPr>
          <w:rFonts w:ascii="ITC Avant Garde" w:hAnsi="ITC Avant Garde"/>
          <w:b/>
        </w:rPr>
        <w:t xml:space="preserve">1 ENERO </w:t>
      </w:r>
      <w:r w:rsidR="006C14F9" w:rsidRPr="009746AC">
        <w:rPr>
          <w:rFonts w:ascii="ITC Avant Garde" w:hAnsi="ITC Avant Garde"/>
          <w:b/>
        </w:rPr>
        <w:t xml:space="preserve">DE 2015 </w:t>
      </w:r>
      <w:r w:rsidR="00915D82" w:rsidRPr="009746AC">
        <w:rPr>
          <w:rFonts w:ascii="ITC Avant Garde" w:hAnsi="ITC Avant Garde"/>
          <w:b/>
        </w:rPr>
        <w:t>AL 31 DE DICIEMBRE</w:t>
      </w:r>
      <w:r w:rsidR="007B1C84" w:rsidRPr="009746AC">
        <w:rPr>
          <w:rFonts w:ascii="ITC Avant Garde" w:hAnsi="ITC Avant Garde"/>
          <w:b/>
        </w:rPr>
        <w:t xml:space="preserve"> DE </w:t>
      </w:r>
      <w:r w:rsidR="006C14F9" w:rsidRPr="009746AC">
        <w:rPr>
          <w:rFonts w:ascii="ITC Avant Garde" w:hAnsi="ITC Avant Garde"/>
          <w:b/>
        </w:rPr>
        <w:t>2016</w:t>
      </w:r>
      <w:r w:rsidR="00915D82" w:rsidRPr="009746AC">
        <w:rPr>
          <w:rFonts w:ascii="ITC Avant Garde" w:hAnsi="ITC Avant Garde"/>
          <w:b/>
        </w:rPr>
        <w:t>.</w:t>
      </w:r>
    </w:p>
    <w:p w14:paraId="5AB8224C" w14:textId="77777777" w:rsidR="00175EFA" w:rsidRDefault="00175EFA" w:rsidP="009746AC">
      <w:pPr>
        <w:spacing w:after="0"/>
        <w:jc w:val="both"/>
        <w:rPr>
          <w:rFonts w:ascii="ITC Avant Garde" w:hAnsi="ITC Avant Garde"/>
        </w:rPr>
      </w:pPr>
    </w:p>
    <w:p w14:paraId="1A69B19E" w14:textId="77777777" w:rsidR="0010524D" w:rsidRPr="009746AC" w:rsidRDefault="00C25F00" w:rsidP="009746AC">
      <w:pPr>
        <w:spacing w:after="0"/>
        <w:jc w:val="center"/>
        <w:rPr>
          <w:rFonts w:ascii="ITC Avant Garde" w:hAnsi="ITC Avant Garde"/>
          <w:b/>
        </w:rPr>
      </w:pPr>
      <w:r w:rsidRPr="009746AC">
        <w:rPr>
          <w:rFonts w:ascii="ITC Avant Garde" w:hAnsi="ITC Avant Garde"/>
          <w:b/>
        </w:rPr>
        <w:t>ANTECEDENTES</w:t>
      </w:r>
    </w:p>
    <w:p w14:paraId="6918F64F" w14:textId="77777777" w:rsidR="003C333D" w:rsidRPr="00ED4558" w:rsidRDefault="003C333D" w:rsidP="00773BC1">
      <w:pPr>
        <w:spacing w:after="0"/>
        <w:jc w:val="both"/>
        <w:rPr>
          <w:rFonts w:ascii="ITC Avant Garde" w:hAnsi="ITC Avant Garde"/>
        </w:rPr>
      </w:pPr>
    </w:p>
    <w:p w14:paraId="33D7DED2" w14:textId="77777777" w:rsidR="00915D82" w:rsidRPr="00ED4558" w:rsidRDefault="00915D82" w:rsidP="00773BC1">
      <w:pPr>
        <w:numPr>
          <w:ilvl w:val="0"/>
          <w:numId w:val="1"/>
        </w:numPr>
        <w:tabs>
          <w:tab w:val="clear" w:pos="680"/>
        </w:tabs>
        <w:spacing w:after="0"/>
        <w:ind w:left="720"/>
        <w:jc w:val="both"/>
        <w:rPr>
          <w:rFonts w:ascii="ITC Avant Garde" w:eastAsia="Times New Roman" w:hAnsi="ITC Avant Garde"/>
          <w:b/>
          <w:lang w:eastAsia="es-ES"/>
        </w:rPr>
      </w:pPr>
      <w:r w:rsidRPr="00ED4558">
        <w:rPr>
          <w:rFonts w:ascii="ITC Avant Garde" w:eastAsia="Times New Roman" w:hAnsi="ITC Avant Garde"/>
          <w:b/>
          <w:lang w:eastAsia="es-ES"/>
        </w:rPr>
        <w:t xml:space="preserve">Concesiones de </w:t>
      </w:r>
      <w:proofErr w:type="spellStart"/>
      <w:r w:rsidRPr="00ED4558">
        <w:rPr>
          <w:rFonts w:ascii="ITC Avant Garde" w:eastAsia="Times New Roman" w:hAnsi="ITC Avant Garde"/>
          <w:b/>
          <w:lang w:eastAsia="es-ES"/>
        </w:rPr>
        <w:t>Radiomóvil</w:t>
      </w:r>
      <w:proofErr w:type="spellEnd"/>
      <w:r w:rsidRPr="00ED4558">
        <w:rPr>
          <w:rFonts w:ascii="ITC Avant Garde" w:eastAsia="Times New Roman" w:hAnsi="ITC Avant Garde"/>
          <w:b/>
          <w:lang w:eastAsia="es-ES"/>
        </w:rPr>
        <w:t xml:space="preserve"> </w:t>
      </w:r>
      <w:proofErr w:type="spellStart"/>
      <w:r w:rsidRPr="00ED4558">
        <w:rPr>
          <w:rFonts w:ascii="ITC Avant Garde" w:eastAsia="Times New Roman" w:hAnsi="ITC Avant Garde"/>
          <w:b/>
          <w:lang w:eastAsia="es-ES"/>
        </w:rPr>
        <w:t>Dipsa</w:t>
      </w:r>
      <w:proofErr w:type="spellEnd"/>
      <w:r w:rsidRPr="00ED4558">
        <w:rPr>
          <w:rFonts w:ascii="ITC Avant Garde" w:eastAsia="Times New Roman" w:hAnsi="ITC Avant Garde"/>
          <w:b/>
          <w:lang w:eastAsia="es-ES"/>
        </w:rPr>
        <w:t>, S.A. de C.V.</w:t>
      </w:r>
    </w:p>
    <w:p w14:paraId="7B8BED09" w14:textId="77777777" w:rsidR="00915D82" w:rsidRDefault="00915D82" w:rsidP="00773BC1">
      <w:pPr>
        <w:tabs>
          <w:tab w:val="left" w:pos="567"/>
        </w:tabs>
        <w:spacing w:after="0"/>
        <w:jc w:val="both"/>
        <w:rPr>
          <w:rFonts w:ascii="ITC Avant Garde" w:eastAsia="Times New Roman" w:hAnsi="ITC Avant Garde"/>
          <w:lang w:eastAsia="es-ES"/>
        </w:rPr>
      </w:pPr>
    </w:p>
    <w:p w14:paraId="7DAE3666" w14:textId="77777777" w:rsidR="003C333D" w:rsidRPr="00ED4558" w:rsidRDefault="003C333D" w:rsidP="00773BC1">
      <w:pPr>
        <w:tabs>
          <w:tab w:val="left" w:pos="567"/>
        </w:tabs>
        <w:spacing w:after="0"/>
        <w:jc w:val="both"/>
        <w:rPr>
          <w:rFonts w:ascii="ITC Avant Garde" w:eastAsia="Times New Roman" w:hAnsi="ITC Avant Garde"/>
          <w:lang w:eastAsia="es-ES"/>
        </w:rPr>
      </w:pPr>
    </w:p>
    <w:p w14:paraId="42116ECD" w14:textId="77777777" w:rsidR="00915D82" w:rsidRPr="00ED4558" w:rsidRDefault="00915D82" w:rsidP="00773BC1">
      <w:pPr>
        <w:numPr>
          <w:ilvl w:val="0"/>
          <w:numId w:val="28"/>
        </w:numPr>
        <w:tabs>
          <w:tab w:val="left" w:pos="567"/>
        </w:tabs>
        <w:spacing w:after="0"/>
        <w:ind w:left="1134" w:hanging="425"/>
        <w:jc w:val="both"/>
        <w:rPr>
          <w:rFonts w:ascii="ITC Avant Garde" w:eastAsia="Times New Roman" w:hAnsi="ITC Avant Garde"/>
          <w:lang w:eastAsia="es-ES"/>
        </w:rPr>
      </w:pPr>
      <w:r w:rsidRPr="00ED4558">
        <w:rPr>
          <w:rFonts w:ascii="ITC Avant Garde" w:eastAsia="Times New Roman" w:hAnsi="ITC Avant Garde"/>
          <w:lang w:eastAsia="es-ES"/>
        </w:rPr>
        <w:t>El 7 de octubre de 1998, la Secretaría</w:t>
      </w:r>
      <w:r w:rsidR="002E1E64" w:rsidRPr="00ED4558">
        <w:rPr>
          <w:rFonts w:ascii="ITC Avant Garde" w:eastAsia="Times New Roman" w:hAnsi="ITC Avant Garde"/>
          <w:lang w:eastAsia="es-ES"/>
        </w:rPr>
        <w:t xml:space="preserve"> de Comunicaciones y Transportes (e</w:t>
      </w:r>
      <w:r w:rsidR="00A06FBB" w:rsidRPr="00ED4558">
        <w:rPr>
          <w:rFonts w:ascii="ITC Avant Garde" w:eastAsia="Times New Roman" w:hAnsi="ITC Avant Garde"/>
          <w:lang w:eastAsia="es-ES"/>
        </w:rPr>
        <w:t xml:space="preserve">n lo sucesivo, la “Secretaría”) </w:t>
      </w:r>
      <w:r w:rsidRPr="00ED4558">
        <w:rPr>
          <w:rFonts w:ascii="ITC Avant Garde" w:eastAsia="Times New Roman" w:hAnsi="ITC Avant Garde"/>
          <w:lang w:eastAsia="es-ES"/>
        </w:rPr>
        <w:t xml:space="preserve">otorgó a </w:t>
      </w:r>
      <w:proofErr w:type="spellStart"/>
      <w:r w:rsidRPr="00ED4558">
        <w:rPr>
          <w:rFonts w:ascii="ITC Avant Garde" w:eastAsia="Times New Roman" w:hAnsi="ITC Avant Garde"/>
          <w:lang w:eastAsia="es-ES"/>
        </w:rPr>
        <w:t>Radiomóvil</w:t>
      </w:r>
      <w:proofErr w:type="spellEnd"/>
      <w:r w:rsidRPr="00ED4558">
        <w:rPr>
          <w:rFonts w:ascii="ITC Avant Garde" w:eastAsia="Times New Roman" w:hAnsi="ITC Avant Garde"/>
          <w:lang w:eastAsia="es-ES"/>
        </w:rPr>
        <w:t xml:space="preserve"> </w:t>
      </w:r>
      <w:proofErr w:type="spellStart"/>
      <w:r w:rsidRPr="00ED4558">
        <w:rPr>
          <w:rFonts w:ascii="ITC Avant Garde" w:eastAsia="Times New Roman" w:hAnsi="ITC Avant Garde"/>
          <w:lang w:eastAsia="es-ES"/>
        </w:rPr>
        <w:t>Dipsa</w:t>
      </w:r>
      <w:proofErr w:type="spellEnd"/>
      <w:r w:rsidRPr="00ED4558">
        <w:rPr>
          <w:rFonts w:ascii="ITC Avant Garde" w:eastAsia="Times New Roman" w:hAnsi="ITC Avant Garde"/>
          <w:lang w:eastAsia="es-ES"/>
        </w:rPr>
        <w:t>, S.A. de C.V. (en lo sucesivo, “Telcel”), una concesión para instalar, operar y explotar una red pública de telecomunicaciones para prestar el servicio de acceso inalámbrico fijo o móvil (en lo sucesivo, la “Concesión de Telcel”).</w:t>
      </w:r>
    </w:p>
    <w:p w14:paraId="31D4841E" w14:textId="77777777" w:rsidR="00915D82" w:rsidRPr="00ED4558" w:rsidRDefault="00915D82" w:rsidP="00773BC1">
      <w:pPr>
        <w:spacing w:after="0"/>
        <w:ind w:left="1134" w:hanging="425"/>
        <w:jc w:val="both"/>
        <w:rPr>
          <w:rFonts w:ascii="ITC Avant Garde" w:eastAsia="Times New Roman" w:hAnsi="ITC Avant Garde"/>
          <w:lang w:eastAsia="es-ES"/>
        </w:rPr>
      </w:pPr>
    </w:p>
    <w:p w14:paraId="40DD3DFA" w14:textId="77777777" w:rsidR="00915D82" w:rsidRPr="00ED4558" w:rsidRDefault="00915D82" w:rsidP="00773BC1">
      <w:pPr>
        <w:numPr>
          <w:ilvl w:val="0"/>
          <w:numId w:val="28"/>
        </w:numPr>
        <w:tabs>
          <w:tab w:val="left" w:pos="567"/>
        </w:tabs>
        <w:spacing w:after="0"/>
        <w:ind w:left="1134" w:hanging="425"/>
        <w:jc w:val="both"/>
        <w:rPr>
          <w:rFonts w:ascii="ITC Avant Garde" w:eastAsia="Times New Roman" w:hAnsi="ITC Avant Garde"/>
          <w:lang w:eastAsia="es-ES"/>
        </w:rPr>
      </w:pPr>
      <w:r w:rsidRPr="00ED4558">
        <w:rPr>
          <w:rFonts w:ascii="ITC Avant Garde" w:eastAsia="Times New Roman" w:hAnsi="ITC Avant Garde"/>
          <w:lang w:eastAsia="es-ES"/>
        </w:rPr>
        <w:t>El 7 de octubre de 1998, la Secretaría otorgó a Telcel nueve (9) concesiones para usar, aprovechar y explotar bandas de frecuencias del espectro radioeléctrico para uso determinado, para la prestación del servicio de acceso inalámbrico fijo o móvil, en la banda de frecuencias de 1.9 GHz en las nueve (9) regiones en que se dividió el territorio nacional.</w:t>
      </w:r>
    </w:p>
    <w:p w14:paraId="029F79D0" w14:textId="77777777" w:rsidR="00915D82" w:rsidRPr="00ED4558" w:rsidRDefault="00915D82" w:rsidP="00773BC1">
      <w:pPr>
        <w:spacing w:after="0"/>
        <w:ind w:left="1134" w:hanging="425"/>
        <w:jc w:val="both"/>
        <w:rPr>
          <w:rFonts w:ascii="ITC Avant Garde" w:eastAsia="Times New Roman" w:hAnsi="ITC Avant Garde"/>
          <w:lang w:eastAsia="es-ES"/>
        </w:rPr>
      </w:pPr>
    </w:p>
    <w:p w14:paraId="3B10D9CF" w14:textId="77777777" w:rsidR="00915D82" w:rsidRPr="00ED4558" w:rsidRDefault="00915D82" w:rsidP="00773BC1">
      <w:pPr>
        <w:numPr>
          <w:ilvl w:val="0"/>
          <w:numId w:val="28"/>
        </w:numPr>
        <w:tabs>
          <w:tab w:val="left" w:pos="567"/>
        </w:tabs>
        <w:spacing w:after="0"/>
        <w:ind w:left="1134" w:hanging="425"/>
        <w:jc w:val="both"/>
        <w:rPr>
          <w:rFonts w:ascii="ITC Avant Garde" w:eastAsia="Times New Roman" w:hAnsi="ITC Avant Garde"/>
          <w:lang w:eastAsia="es-ES"/>
        </w:rPr>
      </w:pPr>
      <w:r w:rsidRPr="00ED4558">
        <w:rPr>
          <w:rFonts w:ascii="ITC Avant Garde" w:eastAsia="Times New Roman" w:hAnsi="ITC Avant Garde"/>
          <w:lang w:eastAsia="es-ES"/>
        </w:rPr>
        <w:t>El 13 de octubre de 2000, la Secretaría otorgó a Telcel una prórroga y modificación de concesión para operar y explotar una red pública de telecomunicaciones, para prestar el servicio de radiotelefonía móvil con tecnología celular y el servicio de radiotelefonía móvil a bordo de vehículos en los estados de México, Hidalgo, Morelos y el Distrito Federal.</w:t>
      </w:r>
    </w:p>
    <w:p w14:paraId="1080AB5A" w14:textId="77777777" w:rsidR="00915D82" w:rsidRPr="00ED4558" w:rsidRDefault="00915D82" w:rsidP="00773BC1">
      <w:pPr>
        <w:spacing w:after="0"/>
        <w:ind w:left="1134" w:hanging="425"/>
        <w:jc w:val="both"/>
        <w:rPr>
          <w:rFonts w:ascii="ITC Avant Garde" w:eastAsia="Times New Roman" w:hAnsi="ITC Avant Garde"/>
          <w:lang w:eastAsia="es-ES"/>
        </w:rPr>
      </w:pPr>
    </w:p>
    <w:p w14:paraId="333A5B4F" w14:textId="77777777" w:rsidR="00915D82" w:rsidRPr="00ED4558" w:rsidRDefault="00915D82" w:rsidP="00773BC1">
      <w:pPr>
        <w:numPr>
          <w:ilvl w:val="0"/>
          <w:numId w:val="28"/>
        </w:numPr>
        <w:tabs>
          <w:tab w:val="left" w:pos="567"/>
        </w:tabs>
        <w:spacing w:after="0"/>
        <w:ind w:left="1134" w:hanging="425"/>
        <w:jc w:val="both"/>
        <w:rPr>
          <w:rFonts w:ascii="ITC Avant Garde" w:eastAsia="Times New Roman" w:hAnsi="ITC Avant Garde"/>
          <w:lang w:eastAsia="es-ES"/>
        </w:rPr>
      </w:pPr>
      <w:r w:rsidRPr="00ED4558">
        <w:rPr>
          <w:rFonts w:ascii="ITC Avant Garde" w:eastAsia="Times New Roman" w:hAnsi="ITC Avant Garde"/>
          <w:lang w:eastAsia="es-ES"/>
        </w:rPr>
        <w:t>El 13 de octubre de 2000, la Secretaría otorgó a Telcel dos (2) concesiones para usar, aprovechar y explotar bandas de frecuencias del espectro radioeléctrico para uso determinado, la primera para prestar el servicio de radiotelefonía móvil con tecnología celular en la banda de frecuencias de 800 MHz en la Región 9, y la segunda para prestar el servicio de radiotelefonía móvil a bordo de vehículos en la banda de frecuencias de 400 MHz en el área metropolitana de la Ciudad de México.</w:t>
      </w:r>
    </w:p>
    <w:p w14:paraId="60CDC7B4" w14:textId="77777777" w:rsidR="00775966" w:rsidRPr="00ED4558" w:rsidRDefault="00775966" w:rsidP="00775966">
      <w:pPr>
        <w:tabs>
          <w:tab w:val="left" w:pos="567"/>
        </w:tabs>
        <w:spacing w:after="0"/>
        <w:ind w:left="1134"/>
        <w:jc w:val="both"/>
        <w:rPr>
          <w:rFonts w:ascii="ITC Avant Garde" w:eastAsia="Times New Roman" w:hAnsi="ITC Avant Garde"/>
          <w:lang w:eastAsia="es-ES"/>
        </w:rPr>
      </w:pPr>
    </w:p>
    <w:p w14:paraId="517334B5" w14:textId="77777777" w:rsidR="00915D82" w:rsidRPr="00ED4558" w:rsidRDefault="00915D82" w:rsidP="00773BC1">
      <w:pPr>
        <w:numPr>
          <w:ilvl w:val="0"/>
          <w:numId w:val="28"/>
        </w:numPr>
        <w:tabs>
          <w:tab w:val="left" w:pos="567"/>
        </w:tabs>
        <w:spacing w:after="0"/>
        <w:ind w:left="1134" w:hanging="425"/>
        <w:jc w:val="both"/>
        <w:rPr>
          <w:rFonts w:ascii="ITC Avant Garde" w:eastAsia="Times New Roman" w:hAnsi="ITC Avant Garde"/>
          <w:lang w:eastAsia="es-ES"/>
        </w:rPr>
      </w:pPr>
      <w:r w:rsidRPr="00ED4558">
        <w:rPr>
          <w:rFonts w:ascii="ITC Avant Garde" w:eastAsia="Times New Roman" w:hAnsi="ITC Avant Garde"/>
          <w:lang w:eastAsia="es-ES"/>
        </w:rPr>
        <w:t xml:space="preserve">El 21 de abril de 2005, la Secretaría otorgó a Telcel nueve (9) concesiones para usar, aprovechar y explotar bandas de frecuencias del espectro radioeléctrico para uso determinado para la prestación del servicio de </w:t>
      </w:r>
      <w:r w:rsidRPr="00ED4558">
        <w:rPr>
          <w:rFonts w:ascii="ITC Avant Garde" w:eastAsia="Times New Roman" w:hAnsi="ITC Avant Garde"/>
          <w:lang w:eastAsia="es-ES"/>
        </w:rPr>
        <w:lastRenderedPageBreak/>
        <w:t>acceso inalámbrico fijo o móvil, en la banda de frecuencias de 1.9 GHz en las nueve (9) regiones en que se dividió el territorio nacional.</w:t>
      </w:r>
    </w:p>
    <w:p w14:paraId="4BB9E84F" w14:textId="77777777" w:rsidR="00915D82" w:rsidRPr="00ED4558" w:rsidRDefault="00915D82" w:rsidP="00773BC1">
      <w:pPr>
        <w:tabs>
          <w:tab w:val="left" w:pos="567"/>
        </w:tabs>
        <w:spacing w:after="0"/>
        <w:ind w:left="1134" w:hanging="425"/>
        <w:jc w:val="both"/>
        <w:rPr>
          <w:rFonts w:ascii="ITC Avant Garde" w:eastAsia="Times New Roman" w:hAnsi="ITC Avant Garde"/>
          <w:lang w:eastAsia="es-ES"/>
        </w:rPr>
      </w:pPr>
    </w:p>
    <w:p w14:paraId="3611EF66" w14:textId="3A591DCB" w:rsidR="00915D82" w:rsidRPr="00ED4558" w:rsidRDefault="00915D82" w:rsidP="00773BC1">
      <w:pPr>
        <w:numPr>
          <w:ilvl w:val="0"/>
          <w:numId w:val="28"/>
        </w:numPr>
        <w:tabs>
          <w:tab w:val="clear" w:pos="900"/>
        </w:tabs>
        <w:spacing w:after="0"/>
        <w:ind w:left="1134" w:hanging="425"/>
        <w:jc w:val="both"/>
        <w:rPr>
          <w:rFonts w:ascii="ITC Avant Garde" w:eastAsia="Times New Roman" w:hAnsi="ITC Avant Garde"/>
          <w:lang w:eastAsia="es-ES"/>
        </w:rPr>
      </w:pPr>
      <w:r w:rsidRPr="00ED4558">
        <w:rPr>
          <w:rFonts w:ascii="ITC Avant Garde" w:eastAsia="Times New Roman" w:hAnsi="ITC Avant Garde"/>
          <w:lang w:eastAsia="es-ES"/>
        </w:rPr>
        <w:t>El 9 de mayo de 2005, mediante oficio 112.202.-1979 la Secretaría autorizó la cesión parcial de derechos</w:t>
      </w:r>
      <w:r w:rsidR="003A67E0" w:rsidRPr="00ED4558">
        <w:rPr>
          <w:rFonts w:ascii="ITC Avant Garde" w:eastAsia="Times New Roman" w:hAnsi="ITC Avant Garde"/>
          <w:lang w:eastAsia="es-ES"/>
        </w:rPr>
        <w:t>, a favor de Telcel, respecto de la banda de frecuencia</w:t>
      </w:r>
      <w:r w:rsidRPr="00ED4558">
        <w:rPr>
          <w:rFonts w:ascii="ITC Avant Garde" w:eastAsia="Times New Roman" w:hAnsi="ITC Avant Garde"/>
          <w:lang w:eastAsia="es-ES"/>
        </w:rPr>
        <w:t xml:space="preserve"> de 8.4 MHz de nueve (9) concesiones para usar, aprovechar y explotar bandas de frecuencias del espectro radioeléctrico para prestar el servicio de acceso inalámbrico fijo o móvil, en la banda de frecuencias de 1.9 GHz  en las nueve (9) regiones en que se dividió el territorio nacional, que le fueron otorgadas originalmente a Sistemas Profesionales de Comunicación, S.A. de C.V., el 27 de septiembre de 1999.</w:t>
      </w:r>
    </w:p>
    <w:p w14:paraId="6919E795" w14:textId="77777777" w:rsidR="00915D82" w:rsidRPr="00ED4558" w:rsidRDefault="00915D82" w:rsidP="00773BC1">
      <w:pPr>
        <w:tabs>
          <w:tab w:val="left" w:pos="567"/>
        </w:tabs>
        <w:spacing w:after="0"/>
        <w:ind w:left="1134"/>
        <w:jc w:val="both"/>
        <w:rPr>
          <w:rFonts w:ascii="ITC Avant Garde" w:eastAsia="Times New Roman" w:hAnsi="ITC Avant Garde"/>
          <w:lang w:eastAsia="es-ES"/>
        </w:rPr>
      </w:pPr>
    </w:p>
    <w:p w14:paraId="21D61C91" w14:textId="77777777" w:rsidR="00915D82" w:rsidRPr="00ED4558" w:rsidRDefault="00915D82" w:rsidP="00773BC1">
      <w:pPr>
        <w:numPr>
          <w:ilvl w:val="0"/>
          <w:numId w:val="28"/>
        </w:numPr>
        <w:tabs>
          <w:tab w:val="left" w:pos="567"/>
        </w:tabs>
        <w:spacing w:after="0"/>
        <w:ind w:left="1134" w:hanging="425"/>
        <w:jc w:val="both"/>
        <w:rPr>
          <w:rFonts w:ascii="ITC Avant Garde" w:eastAsia="Times New Roman" w:hAnsi="ITC Avant Garde"/>
          <w:lang w:eastAsia="es-ES"/>
        </w:rPr>
      </w:pPr>
      <w:r w:rsidRPr="00ED4558">
        <w:rPr>
          <w:rFonts w:ascii="ITC Avant Garde" w:eastAsia="Times New Roman" w:hAnsi="ITC Avant Garde"/>
          <w:lang w:eastAsia="es-ES"/>
        </w:rPr>
        <w:t>El 3 de mayo de 2010, la Secretaría otorgó a Telcel las correspondientes prórrogas y modificaciones de títulos de concesión para instalar, operar y explotar una red pública de telecomunicaciones en las regiones 1, 2, 3, 6, 7 y 8, así como las respectivas prórrogas de títulos de concesión para usar, aprovechar y explotar bandas de frecuencias del espectro radioeléctrico.</w:t>
      </w:r>
    </w:p>
    <w:p w14:paraId="2E12AD8F" w14:textId="77777777" w:rsidR="00915D82" w:rsidRPr="00ED4558" w:rsidRDefault="00915D82" w:rsidP="00773BC1">
      <w:pPr>
        <w:tabs>
          <w:tab w:val="left" w:pos="567"/>
        </w:tabs>
        <w:spacing w:after="0"/>
        <w:ind w:left="1134" w:hanging="425"/>
        <w:jc w:val="both"/>
        <w:rPr>
          <w:rFonts w:ascii="ITC Avant Garde" w:eastAsia="Times New Roman" w:hAnsi="ITC Avant Garde"/>
          <w:lang w:eastAsia="es-ES"/>
        </w:rPr>
      </w:pPr>
    </w:p>
    <w:p w14:paraId="1D991A59" w14:textId="77777777" w:rsidR="00915D82" w:rsidRPr="00ED4558" w:rsidRDefault="00915D82" w:rsidP="00773BC1">
      <w:pPr>
        <w:numPr>
          <w:ilvl w:val="0"/>
          <w:numId w:val="28"/>
        </w:numPr>
        <w:tabs>
          <w:tab w:val="left" w:pos="567"/>
        </w:tabs>
        <w:spacing w:after="0"/>
        <w:ind w:left="1134" w:hanging="425"/>
        <w:jc w:val="both"/>
        <w:rPr>
          <w:rFonts w:ascii="ITC Avant Garde" w:eastAsia="Times New Roman" w:hAnsi="ITC Avant Garde"/>
          <w:lang w:eastAsia="es-ES"/>
        </w:rPr>
      </w:pPr>
      <w:r w:rsidRPr="00ED4558">
        <w:rPr>
          <w:rFonts w:ascii="ITC Avant Garde" w:eastAsia="Times New Roman" w:hAnsi="ITC Avant Garde"/>
          <w:lang w:eastAsia="es-ES"/>
        </w:rPr>
        <w:t>El 1 de octubre de 2010, la Secretaría otorgó a Telcel nueve (9) concesiones para usar, aprovechar y explotar bandas de frecuencias del espectro radioeléctrico para uso determinado en el segmento de 1710-1770/2110-2170 MHz en las nueve (9) regiones en que se dividió el territorio nacional.</w:t>
      </w:r>
    </w:p>
    <w:p w14:paraId="1594822E" w14:textId="77777777" w:rsidR="00915D82" w:rsidRPr="00ED4558" w:rsidRDefault="00915D82" w:rsidP="00773BC1">
      <w:pPr>
        <w:tabs>
          <w:tab w:val="num" w:pos="2160"/>
        </w:tabs>
        <w:spacing w:after="0"/>
        <w:jc w:val="both"/>
        <w:rPr>
          <w:rFonts w:ascii="ITC Avant Garde" w:eastAsia="Times New Roman" w:hAnsi="ITC Avant Garde"/>
        </w:rPr>
      </w:pPr>
    </w:p>
    <w:p w14:paraId="7D52DAE0" w14:textId="77777777" w:rsidR="00915D82" w:rsidRPr="00ED4558" w:rsidRDefault="00915D82" w:rsidP="00773BC1">
      <w:pPr>
        <w:numPr>
          <w:ilvl w:val="0"/>
          <w:numId w:val="28"/>
        </w:numPr>
        <w:tabs>
          <w:tab w:val="clear" w:pos="900"/>
          <w:tab w:val="left" w:pos="567"/>
        </w:tabs>
        <w:spacing w:after="0"/>
        <w:ind w:left="1134" w:hanging="425"/>
        <w:jc w:val="both"/>
        <w:rPr>
          <w:rFonts w:ascii="ITC Avant Garde" w:eastAsia="Times New Roman" w:hAnsi="ITC Avant Garde"/>
          <w:lang w:eastAsia="es-ES"/>
        </w:rPr>
      </w:pPr>
      <w:r w:rsidRPr="00ED4558">
        <w:rPr>
          <w:rFonts w:ascii="ITC Avant Garde" w:eastAsia="Times New Roman" w:hAnsi="ITC Avant Garde"/>
          <w:lang w:eastAsia="es-ES"/>
        </w:rPr>
        <w:t>El 29 de noviembre de 2011, la Secretaría otorgó a Telcel las correspondientes prórrogas y modificaciones de títulos de concesión para instalar, operar y explotar una red pública de telecomunicaciones en las regiones 4 y 5, así como las respectivas prórrogas de títulos de concesión para usar, aprovechar y explotar bandas de frecuencias del espectro radioeléctrico.</w:t>
      </w:r>
    </w:p>
    <w:p w14:paraId="6EA3BE1B" w14:textId="77777777" w:rsidR="00915D82" w:rsidRPr="00ED4558" w:rsidRDefault="00915D82" w:rsidP="00773BC1">
      <w:pPr>
        <w:spacing w:after="0"/>
        <w:ind w:left="900"/>
        <w:jc w:val="both"/>
        <w:rPr>
          <w:rFonts w:ascii="ITC Avant Garde" w:eastAsia="Times New Roman" w:hAnsi="ITC Avant Garde"/>
          <w:bCs/>
          <w:lang w:val="es-ES" w:eastAsia="es-ES"/>
        </w:rPr>
      </w:pPr>
    </w:p>
    <w:p w14:paraId="1AC10008" w14:textId="77777777" w:rsidR="00915D82" w:rsidRPr="00ED4558" w:rsidRDefault="00915D82" w:rsidP="00773BC1">
      <w:pPr>
        <w:spacing w:after="0"/>
        <w:ind w:left="709"/>
        <w:jc w:val="both"/>
        <w:rPr>
          <w:rFonts w:ascii="ITC Avant Garde" w:eastAsia="Times New Roman" w:hAnsi="ITC Avant Garde"/>
          <w:bCs/>
          <w:lang w:val="es-ES" w:eastAsia="es-ES"/>
        </w:rPr>
      </w:pPr>
      <w:r w:rsidRPr="00ED4558">
        <w:rPr>
          <w:rFonts w:ascii="ITC Avant Garde" w:eastAsia="Times New Roman" w:hAnsi="ITC Avant Garde"/>
          <w:bCs/>
          <w:lang w:val="es-ES" w:eastAsia="es-ES"/>
        </w:rPr>
        <w:t xml:space="preserve">En lo </w:t>
      </w:r>
      <w:r w:rsidRPr="00ED4558">
        <w:rPr>
          <w:rFonts w:ascii="ITC Avant Garde" w:eastAsia="Times New Roman" w:hAnsi="ITC Avant Garde"/>
          <w:bCs/>
          <w:lang w:eastAsia="es-ES"/>
        </w:rPr>
        <w:t>sucesivo</w:t>
      </w:r>
      <w:r w:rsidRPr="00ED4558">
        <w:rPr>
          <w:rFonts w:ascii="ITC Avant Garde" w:eastAsia="Times New Roman" w:hAnsi="ITC Avant Garde"/>
          <w:bCs/>
          <w:lang w:val="es-ES" w:eastAsia="es-ES"/>
        </w:rPr>
        <w:t>, a las concesiones relacionadas en los incisos g) e i) anteriores, se les denominará conjuntamente como las “Concesiones Celulares de Telcel”.</w:t>
      </w:r>
    </w:p>
    <w:p w14:paraId="792AEDDF" w14:textId="77777777" w:rsidR="00C51AB2" w:rsidRPr="00ED4558" w:rsidRDefault="00C51AB2" w:rsidP="00773BC1">
      <w:pPr>
        <w:spacing w:after="0"/>
        <w:jc w:val="both"/>
        <w:rPr>
          <w:rFonts w:ascii="ITC Avant Garde" w:eastAsia="Times New Roman" w:hAnsi="ITC Avant Garde" w:cs="Arial"/>
          <w:b/>
          <w:bCs/>
          <w:lang w:eastAsia="es-ES"/>
        </w:rPr>
      </w:pPr>
    </w:p>
    <w:p w14:paraId="7EF48256" w14:textId="77777777" w:rsidR="007F62BF" w:rsidRPr="00ED4558" w:rsidRDefault="007F62BF" w:rsidP="00775966">
      <w:pPr>
        <w:numPr>
          <w:ilvl w:val="0"/>
          <w:numId w:val="1"/>
        </w:numPr>
        <w:tabs>
          <w:tab w:val="clear" w:pos="680"/>
        </w:tabs>
        <w:spacing w:after="0"/>
        <w:ind w:left="709" w:right="48" w:hanging="709"/>
        <w:jc w:val="both"/>
        <w:rPr>
          <w:rFonts w:ascii="ITC Avant Garde" w:hAnsi="ITC Avant Garde"/>
          <w:bCs/>
        </w:rPr>
      </w:pPr>
      <w:r w:rsidRPr="00ED4558">
        <w:rPr>
          <w:rFonts w:ascii="ITC Avant Garde" w:hAnsi="ITC Avant Garde"/>
          <w:b/>
          <w:bCs/>
        </w:rPr>
        <w:t xml:space="preserve">Concesiones de Cablevisión Red, S.A. de C.V. </w:t>
      </w:r>
      <w:r w:rsidRPr="00ED4558">
        <w:rPr>
          <w:rFonts w:ascii="ITC Avant Garde" w:eastAsia="Times New Roman" w:hAnsi="ITC Avant Garde" w:cs="Arial"/>
          <w:bCs/>
          <w:lang w:eastAsia="es-ES"/>
        </w:rPr>
        <w:t>La Secretaría otorgó a Cablevisión Red</w:t>
      </w:r>
      <w:r w:rsidRPr="00ED4558">
        <w:rPr>
          <w:rFonts w:ascii="ITC Avant Garde" w:eastAsia="Times New Roman" w:hAnsi="ITC Avant Garde" w:cs="Arial"/>
          <w:lang w:eastAsia="es-ES"/>
        </w:rPr>
        <w:t xml:space="preserve">, </w:t>
      </w:r>
      <w:r w:rsidRPr="00ED4558">
        <w:rPr>
          <w:rFonts w:ascii="ITC Avant Garde" w:eastAsia="Times New Roman" w:hAnsi="ITC Avant Garde" w:cs="Arial"/>
          <w:bCs/>
          <w:lang w:eastAsia="es-ES"/>
        </w:rPr>
        <w:t>S.A. de C.V. (en lo sucesivo, “Cablevisión Red”) los títulos de concesión de red pública de telecomunicaciones que más adelante se enlistan, en los cuales se autorizó la prestación del servicio de telefonía.</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1931"/>
        <w:gridCol w:w="2561"/>
        <w:gridCol w:w="567"/>
        <w:gridCol w:w="1647"/>
        <w:gridCol w:w="2806"/>
      </w:tblGrid>
      <w:tr w:rsidR="00ED4558" w:rsidRPr="00ED4558" w14:paraId="0232E95B" w14:textId="77777777" w:rsidTr="007F62BF">
        <w:trPr>
          <w:tblHeader/>
          <w:jc w:val="center"/>
        </w:trPr>
        <w:tc>
          <w:tcPr>
            <w:tcW w:w="1931" w:type="dxa"/>
            <w:tcBorders>
              <w:bottom w:val="single" w:sz="4" w:space="0" w:color="auto"/>
            </w:tcBorders>
            <w:shd w:val="pct15" w:color="auto" w:fill="auto"/>
            <w:vAlign w:val="center"/>
          </w:tcPr>
          <w:p w14:paraId="7C9B5F9B" w14:textId="77777777" w:rsidR="007F62BF" w:rsidRPr="00ED4558" w:rsidRDefault="007F62BF" w:rsidP="007F62BF">
            <w:pPr>
              <w:spacing w:after="0"/>
              <w:jc w:val="center"/>
              <w:rPr>
                <w:rFonts w:ascii="ITC Avant Garde" w:eastAsia="Times New Roman" w:hAnsi="ITC Avant Garde" w:cs="Arial"/>
                <w:b/>
                <w:bCs/>
                <w:sz w:val="18"/>
                <w:szCs w:val="18"/>
                <w:lang w:eastAsia="es-ES"/>
              </w:rPr>
            </w:pPr>
            <w:r w:rsidRPr="00ED4558">
              <w:rPr>
                <w:rFonts w:ascii="ITC Avant Garde" w:eastAsia="Times New Roman" w:hAnsi="ITC Avant Garde" w:cs="Arial"/>
                <w:b/>
                <w:bCs/>
                <w:sz w:val="18"/>
                <w:szCs w:val="18"/>
                <w:lang w:eastAsia="es-ES"/>
              </w:rPr>
              <w:lastRenderedPageBreak/>
              <w:t>Fecha de autorización para el servicio de telefonía</w:t>
            </w:r>
          </w:p>
        </w:tc>
        <w:tc>
          <w:tcPr>
            <w:tcW w:w="2561" w:type="dxa"/>
            <w:tcBorders>
              <w:bottom w:val="single" w:sz="4" w:space="0" w:color="auto"/>
            </w:tcBorders>
            <w:shd w:val="pct15" w:color="auto" w:fill="auto"/>
            <w:vAlign w:val="center"/>
          </w:tcPr>
          <w:p w14:paraId="6FAFA741" w14:textId="77777777" w:rsidR="007F62BF" w:rsidRPr="00ED4558" w:rsidRDefault="007F62BF" w:rsidP="007F62BF">
            <w:pPr>
              <w:spacing w:after="0"/>
              <w:jc w:val="center"/>
              <w:rPr>
                <w:rFonts w:ascii="ITC Avant Garde" w:eastAsia="Times New Roman" w:hAnsi="ITC Avant Garde" w:cs="Arial"/>
                <w:b/>
                <w:bCs/>
                <w:sz w:val="18"/>
                <w:szCs w:val="18"/>
                <w:lang w:eastAsia="es-ES"/>
              </w:rPr>
            </w:pPr>
            <w:r w:rsidRPr="00ED4558">
              <w:rPr>
                <w:rFonts w:ascii="ITC Avant Garde" w:eastAsia="Times New Roman" w:hAnsi="ITC Avant Garde" w:cs="Arial"/>
                <w:b/>
                <w:bCs/>
                <w:sz w:val="18"/>
                <w:szCs w:val="18"/>
                <w:lang w:eastAsia="es-ES"/>
              </w:rPr>
              <w:t>Localidades</w:t>
            </w:r>
          </w:p>
        </w:tc>
        <w:tc>
          <w:tcPr>
            <w:tcW w:w="567" w:type="dxa"/>
            <w:tcBorders>
              <w:top w:val="nil"/>
              <w:bottom w:val="nil"/>
            </w:tcBorders>
            <w:shd w:val="clear" w:color="auto" w:fill="auto"/>
            <w:vAlign w:val="center"/>
          </w:tcPr>
          <w:p w14:paraId="40B062D2" w14:textId="77777777" w:rsidR="007F62BF" w:rsidRPr="00ED4558" w:rsidRDefault="007F62BF" w:rsidP="007F62BF">
            <w:pPr>
              <w:spacing w:after="0"/>
              <w:jc w:val="center"/>
              <w:rPr>
                <w:rFonts w:ascii="ITC Avant Garde" w:eastAsia="Times New Roman" w:hAnsi="ITC Avant Garde" w:cs="Arial"/>
                <w:b/>
                <w:bCs/>
                <w:sz w:val="18"/>
                <w:szCs w:val="18"/>
                <w:lang w:eastAsia="es-ES"/>
              </w:rPr>
            </w:pPr>
          </w:p>
        </w:tc>
        <w:tc>
          <w:tcPr>
            <w:tcW w:w="1647" w:type="dxa"/>
            <w:tcBorders>
              <w:bottom w:val="single" w:sz="4" w:space="0" w:color="auto"/>
            </w:tcBorders>
            <w:shd w:val="pct15" w:color="auto" w:fill="auto"/>
            <w:vAlign w:val="center"/>
          </w:tcPr>
          <w:p w14:paraId="49CBF605" w14:textId="77777777" w:rsidR="007F62BF" w:rsidRPr="00ED4558" w:rsidRDefault="007F62BF" w:rsidP="007F62BF">
            <w:pPr>
              <w:spacing w:after="0"/>
              <w:jc w:val="center"/>
              <w:rPr>
                <w:rFonts w:ascii="ITC Avant Garde" w:eastAsia="Times New Roman" w:hAnsi="ITC Avant Garde" w:cs="Arial"/>
                <w:b/>
                <w:bCs/>
                <w:sz w:val="18"/>
                <w:szCs w:val="18"/>
                <w:lang w:eastAsia="es-ES"/>
              </w:rPr>
            </w:pPr>
            <w:r w:rsidRPr="00ED4558">
              <w:rPr>
                <w:rFonts w:ascii="ITC Avant Garde" w:eastAsia="Times New Roman" w:hAnsi="ITC Avant Garde" w:cs="Arial"/>
                <w:b/>
                <w:bCs/>
                <w:sz w:val="18"/>
                <w:szCs w:val="18"/>
                <w:lang w:eastAsia="es-ES"/>
              </w:rPr>
              <w:t>Fecha de autorización para el servicio de telefonía</w:t>
            </w:r>
          </w:p>
        </w:tc>
        <w:tc>
          <w:tcPr>
            <w:tcW w:w="2806" w:type="dxa"/>
            <w:tcBorders>
              <w:bottom w:val="single" w:sz="4" w:space="0" w:color="auto"/>
            </w:tcBorders>
            <w:shd w:val="pct15" w:color="auto" w:fill="auto"/>
            <w:vAlign w:val="center"/>
          </w:tcPr>
          <w:p w14:paraId="30A9EE97" w14:textId="77777777" w:rsidR="007F62BF" w:rsidRPr="00ED4558" w:rsidRDefault="007F62BF" w:rsidP="007F62BF">
            <w:pPr>
              <w:spacing w:after="0"/>
              <w:jc w:val="center"/>
              <w:rPr>
                <w:rFonts w:ascii="ITC Avant Garde" w:eastAsia="Times New Roman" w:hAnsi="ITC Avant Garde" w:cs="Arial"/>
                <w:b/>
                <w:bCs/>
                <w:sz w:val="18"/>
                <w:szCs w:val="18"/>
                <w:lang w:eastAsia="es-ES"/>
              </w:rPr>
            </w:pPr>
            <w:r w:rsidRPr="00ED4558">
              <w:rPr>
                <w:rFonts w:ascii="ITC Avant Garde" w:eastAsia="Times New Roman" w:hAnsi="ITC Avant Garde" w:cs="Arial"/>
                <w:b/>
                <w:bCs/>
                <w:sz w:val="18"/>
                <w:szCs w:val="18"/>
                <w:lang w:eastAsia="es-ES"/>
              </w:rPr>
              <w:t>Localidades</w:t>
            </w:r>
          </w:p>
        </w:tc>
      </w:tr>
      <w:tr w:rsidR="00ED4558" w:rsidRPr="00ED4558" w14:paraId="0169C8BF" w14:textId="77777777" w:rsidTr="007F62BF">
        <w:trPr>
          <w:jc w:val="center"/>
        </w:trPr>
        <w:tc>
          <w:tcPr>
            <w:tcW w:w="1931" w:type="dxa"/>
            <w:shd w:val="clear" w:color="auto" w:fill="auto"/>
            <w:vAlign w:val="center"/>
          </w:tcPr>
          <w:p w14:paraId="762EFB02" w14:textId="77777777" w:rsidR="007F62BF" w:rsidRPr="00ED4558" w:rsidRDefault="007F62BF" w:rsidP="007F62BF">
            <w:pPr>
              <w:spacing w:after="0"/>
              <w:jc w:val="center"/>
              <w:rPr>
                <w:rFonts w:ascii="ITC Avant Garde" w:eastAsia="Times New Roman" w:hAnsi="ITC Avant Garde" w:cs="Arial"/>
                <w:bCs/>
                <w:sz w:val="16"/>
                <w:szCs w:val="16"/>
                <w:lang w:eastAsia="es-ES"/>
              </w:rPr>
            </w:pPr>
            <w:r w:rsidRPr="00ED4558">
              <w:rPr>
                <w:rFonts w:ascii="ITC Avant Garde" w:eastAsia="Times New Roman" w:hAnsi="ITC Avant Garde" w:cs="Arial"/>
                <w:sz w:val="16"/>
                <w:szCs w:val="16"/>
                <w:lang w:eastAsia="es-ES"/>
              </w:rPr>
              <w:t>30-Nov-06</w:t>
            </w:r>
          </w:p>
        </w:tc>
        <w:tc>
          <w:tcPr>
            <w:tcW w:w="2561" w:type="dxa"/>
            <w:shd w:val="clear" w:color="auto" w:fill="auto"/>
            <w:vAlign w:val="center"/>
          </w:tcPr>
          <w:p w14:paraId="0360695A" w14:textId="77777777" w:rsidR="007F62BF" w:rsidRPr="00ED4558" w:rsidRDefault="007F62BF" w:rsidP="007F62BF">
            <w:pPr>
              <w:spacing w:after="0"/>
              <w:rPr>
                <w:rFonts w:ascii="ITC Avant Garde" w:eastAsia="Times New Roman" w:hAnsi="ITC Avant Garde" w:cs="Arial"/>
                <w:sz w:val="16"/>
                <w:szCs w:val="16"/>
                <w:lang w:eastAsia="es-ES"/>
              </w:rPr>
            </w:pPr>
            <w:r w:rsidRPr="00ED4558">
              <w:rPr>
                <w:rFonts w:ascii="ITC Avant Garde" w:eastAsia="Times New Roman" w:hAnsi="ITC Avant Garde" w:cs="Arial"/>
                <w:sz w:val="16"/>
                <w:szCs w:val="16"/>
                <w:lang w:eastAsia="es-ES"/>
              </w:rPr>
              <w:t>Irapuato, Guanajuato.</w:t>
            </w:r>
          </w:p>
        </w:tc>
        <w:tc>
          <w:tcPr>
            <w:tcW w:w="567" w:type="dxa"/>
            <w:tcBorders>
              <w:top w:val="nil"/>
              <w:bottom w:val="nil"/>
            </w:tcBorders>
            <w:vAlign w:val="center"/>
          </w:tcPr>
          <w:p w14:paraId="24B66236" w14:textId="77777777" w:rsidR="007F62BF" w:rsidRPr="00ED4558" w:rsidRDefault="007F62BF" w:rsidP="007F62BF">
            <w:pPr>
              <w:spacing w:after="0"/>
              <w:jc w:val="center"/>
              <w:rPr>
                <w:rFonts w:ascii="ITC Avant Garde" w:eastAsia="Times New Roman" w:hAnsi="ITC Avant Garde" w:cs="Arial"/>
                <w:sz w:val="16"/>
                <w:szCs w:val="16"/>
                <w:lang w:eastAsia="es-ES"/>
              </w:rPr>
            </w:pPr>
          </w:p>
        </w:tc>
        <w:tc>
          <w:tcPr>
            <w:tcW w:w="1647" w:type="dxa"/>
            <w:shd w:val="clear" w:color="auto" w:fill="auto"/>
            <w:vAlign w:val="center"/>
          </w:tcPr>
          <w:p w14:paraId="03E27428" w14:textId="77777777" w:rsidR="007F62BF" w:rsidRPr="00ED4558" w:rsidRDefault="007F62BF" w:rsidP="007F62BF">
            <w:pPr>
              <w:spacing w:after="0"/>
              <w:jc w:val="center"/>
              <w:rPr>
                <w:rFonts w:ascii="ITC Avant Garde" w:eastAsia="Times New Roman" w:hAnsi="ITC Avant Garde" w:cs="Arial"/>
                <w:sz w:val="16"/>
                <w:szCs w:val="16"/>
                <w:lang w:eastAsia="es-ES"/>
              </w:rPr>
            </w:pPr>
            <w:r w:rsidRPr="00ED4558">
              <w:rPr>
                <w:rFonts w:ascii="ITC Avant Garde" w:eastAsia="Times New Roman" w:hAnsi="ITC Avant Garde" w:cs="Arial"/>
                <w:sz w:val="16"/>
                <w:szCs w:val="16"/>
                <w:lang w:eastAsia="es-ES"/>
              </w:rPr>
              <w:t>30-Ago-10</w:t>
            </w:r>
          </w:p>
        </w:tc>
        <w:tc>
          <w:tcPr>
            <w:tcW w:w="2806" w:type="dxa"/>
            <w:shd w:val="clear" w:color="auto" w:fill="auto"/>
            <w:vAlign w:val="center"/>
          </w:tcPr>
          <w:p w14:paraId="218EE166" w14:textId="77777777" w:rsidR="007F62BF" w:rsidRPr="00ED4558" w:rsidRDefault="007F62BF" w:rsidP="007F62BF">
            <w:pPr>
              <w:spacing w:after="0"/>
              <w:rPr>
                <w:rFonts w:ascii="ITC Avant Garde" w:eastAsia="Times New Roman" w:hAnsi="ITC Avant Garde" w:cs="Arial"/>
                <w:sz w:val="16"/>
                <w:szCs w:val="16"/>
                <w:lang w:eastAsia="es-ES"/>
              </w:rPr>
            </w:pPr>
            <w:r w:rsidRPr="00ED4558">
              <w:rPr>
                <w:rFonts w:ascii="ITC Avant Garde" w:eastAsia="Times New Roman" w:hAnsi="ITC Avant Garde" w:cs="Arial"/>
                <w:sz w:val="16"/>
                <w:szCs w:val="16"/>
                <w:lang w:eastAsia="es-ES"/>
              </w:rPr>
              <w:t>Guanajuato, Michoacán.</w:t>
            </w:r>
          </w:p>
        </w:tc>
      </w:tr>
      <w:tr w:rsidR="00ED4558" w:rsidRPr="00ED4558" w14:paraId="0B9CF4E9" w14:textId="77777777" w:rsidTr="007F62BF">
        <w:trPr>
          <w:jc w:val="center"/>
        </w:trPr>
        <w:tc>
          <w:tcPr>
            <w:tcW w:w="1931" w:type="dxa"/>
            <w:shd w:val="clear" w:color="auto" w:fill="auto"/>
            <w:vAlign w:val="center"/>
          </w:tcPr>
          <w:p w14:paraId="5246EDD3" w14:textId="77777777" w:rsidR="007F62BF" w:rsidRPr="00ED4558" w:rsidRDefault="007F62BF" w:rsidP="007F62BF">
            <w:pPr>
              <w:spacing w:after="0"/>
              <w:jc w:val="center"/>
              <w:rPr>
                <w:rFonts w:ascii="ITC Avant Garde" w:eastAsia="Times New Roman" w:hAnsi="ITC Avant Garde" w:cs="Arial"/>
                <w:bCs/>
                <w:sz w:val="16"/>
                <w:szCs w:val="16"/>
                <w:lang w:eastAsia="es-ES"/>
              </w:rPr>
            </w:pPr>
            <w:r w:rsidRPr="00ED4558">
              <w:rPr>
                <w:rFonts w:ascii="ITC Avant Garde" w:eastAsia="Times New Roman" w:hAnsi="ITC Avant Garde" w:cs="Arial"/>
                <w:sz w:val="16"/>
                <w:szCs w:val="16"/>
                <w:lang w:eastAsia="es-ES"/>
              </w:rPr>
              <w:t>30-Nov-06</w:t>
            </w:r>
          </w:p>
        </w:tc>
        <w:tc>
          <w:tcPr>
            <w:tcW w:w="2561" w:type="dxa"/>
            <w:shd w:val="clear" w:color="auto" w:fill="auto"/>
            <w:vAlign w:val="center"/>
          </w:tcPr>
          <w:p w14:paraId="061E9877" w14:textId="77777777" w:rsidR="007F62BF" w:rsidRPr="00ED4558" w:rsidRDefault="007F62BF" w:rsidP="007F62BF">
            <w:pPr>
              <w:spacing w:after="0"/>
              <w:rPr>
                <w:rFonts w:ascii="ITC Avant Garde" w:eastAsia="Times New Roman" w:hAnsi="ITC Avant Garde" w:cs="Arial"/>
                <w:sz w:val="16"/>
                <w:szCs w:val="16"/>
                <w:lang w:eastAsia="es-ES"/>
              </w:rPr>
            </w:pPr>
            <w:r w:rsidRPr="00ED4558">
              <w:rPr>
                <w:rFonts w:ascii="ITC Avant Garde" w:eastAsia="Times New Roman" w:hAnsi="ITC Avant Garde" w:cs="Arial"/>
                <w:sz w:val="16"/>
                <w:szCs w:val="16"/>
                <w:lang w:eastAsia="es-ES"/>
              </w:rPr>
              <w:t>Ciudad Madero-Tampico, Tamaulipas.</w:t>
            </w:r>
          </w:p>
        </w:tc>
        <w:tc>
          <w:tcPr>
            <w:tcW w:w="567" w:type="dxa"/>
            <w:tcBorders>
              <w:top w:val="nil"/>
              <w:bottom w:val="nil"/>
            </w:tcBorders>
            <w:vAlign w:val="center"/>
          </w:tcPr>
          <w:p w14:paraId="5ECBBFE1" w14:textId="77777777" w:rsidR="007F62BF" w:rsidRPr="00ED4558" w:rsidRDefault="007F62BF" w:rsidP="007F62BF">
            <w:pPr>
              <w:spacing w:after="0"/>
              <w:jc w:val="center"/>
              <w:rPr>
                <w:rFonts w:ascii="ITC Avant Garde" w:eastAsia="Times New Roman" w:hAnsi="ITC Avant Garde" w:cs="Arial"/>
                <w:sz w:val="16"/>
                <w:szCs w:val="16"/>
                <w:lang w:eastAsia="es-ES"/>
              </w:rPr>
            </w:pPr>
          </w:p>
        </w:tc>
        <w:tc>
          <w:tcPr>
            <w:tcW w:w="1647" w:type="dxa"/>
            <w:shd w:val="clear" w:color="auto" w:fill="auto"/>
            <w:vAlign w:val="center"/>
          </w:tcPr>
          <w:p w14:paraId="498D12D9" w14:textId="77777777" w:rsidR="007F62BF" w:rsidRPr="00ED4558" w:rsidRDefault="007F62BF" w:rsidP="007F62BF">
            <w:pPr>
              <w:spacing w:after="0"/>
              <w:jc w:val="center"/>
              <w:rPr>
                <w:rFonts w:ascii="ITC Avant Garde" w:eastAsia="Times New Roman" w:hAnsi="ITC Avant Garde" w:cs="Arial"/>
                <w:sz w:val="16"/>
                <w:szCs w:val="16"/>
                <w:lang w:eastAsia="es-ES"/>
              </w:rPr>
            </w:pPr>
            <w:r w:rsidRPr="00ED4558">
              <w:rPr>
                <w:rFonts w:ascii="ITC Avant Garde" w:eastAsia="Times New Roman" w:hAnsi="ITC Avant Garde" w:cs="Arial"/>
                <w:sz w:val="16"/>
                <w:szCs w:val="16"/>
                <w:lang w:eastAsia="es-ES"/>
              </w:rPr>
              <w:t>04-Nov-10</w:t>
            </w:r>
          </w:p>
        </w:tc>
        <w:tc>
          <w:tcPr>
            <w:tcW w:w="2806" w:type="dxa"/>
            <w:shd w:val="clear" w:color="auto" w:fill="auto"/>
            <w:vAlign w:val="center"/>
          </w:tcPr>
          <w:p w14:paraId="4418EF31" w14:textId="77777777" w:rsidR="007F62BF" w:rsidRPr="00ED4558" w:rsidRDefault="007F62BF" w:rsidP="007F62BF">
            <w:pPr>
              <w:spacing w:after="0"/>
              <w:rPr>
                <w:rFonts w:ascii="ITC Avant Garde" w:eastAsia="Times New Roman" w:hAnsi="ITC Avant Garde" w:cs="Arial"/>
                <w:sz w:val="16"/>
                <w:szCs w:val="16"/>
                <w:lang w:eastAsia="es-ES"/>
              </w:rPr>
            </w:pPr>
            <w:r w:rsidRPr="00ED4558">
              <w:rPr>
                <w:rFonts w:ascii="ITC Avant Garde" w:eastAsia="Times New Roman" w:hAnsi="ITC Avant Garde" w:cs="Arial"/>
                <w:sz w:val="16"/>
                <w:szCs w:val="16"/>
                <w:lang w:eastAsia="es-ES"/>
              </w:rPr>
              <w:t>Tamaulipas, Michoacán, Nayarit, Jalisco, Colima, Aguascalientes, Guanajuato.</w:t>
            </w:r>
          </w:p>
        </w:tc>
      </w:tr>
      <w:tr w:rsidR="00ED4558" w:rsidRPr="00ED4558" w14:paraId="041C1BD4" w14:textId="77777777" w:rsidTr="007F62BF">
        <w:trPr>
          <w:jc w:val="center"/>
        </w:trPr>
        <w:tc>
          <w:tcPr>
            <w:tcW w:w="1931" w:type="dxa"/>
            <w:shd w:val="clear" w:color="auto" w:fill="auto"/>
            <w:vAlign w:val="center"/>
          </w:tcPr>
          <w:p w14:paraId="1F6C3469" w14:textId="77777777" w:rsidR="007F62BF" w:rsidRPr="00ED4558" w:rsidRDefault="007F62BF" w:rsidP="007F62BF">
            <w:pPr>
              <w:spacing w:after="0"/>
              <w:jc w:val="center"/>
              <w:rPr>
                <w:rFonts w:ascii="ITC Avant Garde" w:eastAsia="Times New Roman" w:hAnsi="ITC Avant Garde" w:cs="Arial"/>
                <w:bCs/>
                <w:sz w:val="16"/>
                <w:szCs w:val="16"/>
                <w:lang w:eastAsia="es-ES"/>
              </w:rPr>
            </w:pPr>
            <w:r w:rsidRPr="00ED4558">
              <w:rPr>
                <w:rFonts w:ascii="ITC Avant Garde" w:eastAsia="Times New Roman" w:hAnsi="ITC Avant Garde" w:cs="Arial"/>
                <w:sz w:val="16"/>
                <w:szCs w:val="16"/>
                <w:lang w:eastAsia="es-ES"/>
              </w:rPr>
              <w:t>30-Nov-06</w:t>
            </w:r>
          </w:p>
        </w:tc>
        <w:tc>
          <w:tcPr>
            <w:tcW w:w="2561" w:type="dxa"/>
            <w:shd w:val="clear" w:color="auto" w:fill="auto"/>
            <w:vAlign w:val="center"/>
          </w:tcPr>
          <w:p w14:paraId="1523689A" w14:textId="77777777" w:rsidR="007F62BF" w:rsidRPr="00ED4558" w:rsidRDefault="007F62BF" w:rsidP="007F62BF">
            <w:pPr>
              <w:spacing w:after="0"/>
              <w:rPr>
                <w:rFonts w:ascii="ITC Avant Garde" w:eastAsia="Times New Roman" w:hAnsi="ITC Avant Garde" w:cs="Arial"/>
                <w:sz w:val="16"/>
                <w:szCs w:val="16"/>
                <w:lang w:eastAsia="es-ES"/>
              </w:rPr>
            </w:pPr>
            <w:r w:rsidRPr="00ED4558">
              <w:rPr>
                <w:rFonts w:ascii="ITC Avant Garde" w:eastAsia="Times New Roman" w:hAnsi="ITC Avant Garde" w:cs="Arial"/>
                <w:sz w:val="16"/>
                <w:szCs w:val="16"/>
                <w:lang w:eastAsia="es-ES"/>
              </w:rPr>
              <w:t>Aguascalientes, Jesús María, Pabellón de Arteaga, Rincón de Romos, San Francisco de los Romo, Jesús Gómez Portugal, Aguascalientes.</w:t>
            </w:r>
          </w:p>
        </w:tc>
        <w:tc>
          <w:tcPr>
            <w:tcW w:w="567" w:type="dxa"/>
            <w:tcBorders>
              <w:top w:val="nil"/>
              <w:bottom w:val="nil"/>
            </w:tcBorders>
            <w:vAlign w:val="center"/>
          </w:tcPr>
          <w:p w14:paraId="0A70A83A" w14:textId="77777777" w:rsidR="007F62BF" w:rsidRPr="00ED4558" w:rsidRDefault="007F62BF" w:rsidP="007F62BF">
            <w:pPr>
              <w:spacing w:after="0"/>
              <w:jc w:val="center"/>
              <w:rPr>
                <w:rFonts w:ascii="ITC Avant Garde" w:eastAsia="Times New Roman" w:hAnsi="ITC Avant Garde" w:cs="Arial"/>
                <w:sz w:val="16"/>
                <w:szCs w:val="16"/>
                <w:lang w:eastAsia="es-ES"/>
              </w:rPr>
            </w:pPr>
          </w:p>
        </w:tc>
        <w:tc>
          <w:tcPr>
            <w:tcW w:w="1647" w:type="dxa"/>
            <w:shd w:val="clear" w:color="auto" w:fill="auto"/>
            <w:vAlign w:val="center"/>
          </w:tcPr>
          <w:p w14:paraId="1EF2691A" w14:textId="77777777" w:rsidR="007F62BF" w:rsidRPr="00ED4558" w:rsidRDefault="007F62BF" w:rsidP="007F62BF">
            <w:pPr>
              <w:spacing w:after="0"/>
              <w:jc w:val="center"/>
              <w:rPr>
                <w:rFonts w:ascii="ITC Avant Garde" w:eastAsia="Times New Roman" w:hAnsi="ITC Avant Garde" w:cs="Arial"/>
                <w:bCs/>
                <w:sz w:val="16"/>
                <w:szCs w:val="16"/>
                <w:lang w:eastAsia="es-ES"/>
              </w:rPr>
            </w:pPr>
            <w:r w:rsidRPr="00ED4558">
              <w:rPr>
                <w:rFonts w:ascii="ITC Avant Garde" w:eastAsia="Times New Roman" w:hAnsi="ITC Avant Garde" w:cs="Arial"/>
                <w:bCs/>
                <w:sz w:val="16"/>
                <w:szCs w:val="16"/>
                <w:lang w:eastAsia="es-ES"/>
              </w:rPr>
              <w:t>14-Dic-10</w:t>
            </w:r>
          </w:p>
        </w:tc>
        <w:tc>
          <w:tcPr>
            <w:tcW w:w="2806" w:type="dxa"/>
            <w:shd w:val="clear" w:color="auto" w:fill="auto"/>
            <w:vAlign w:val="center"/>
          </w:tcPr>
          <w:p w14:paraId="54B6CE7B" w14:textId="77777777" w:rsidR="007F62BF" w:rsidRPr="00ED4558" w:rsidRDefault="007F62BF" w:rsidP="007F62BF">
            <w:pPr>
              <w:spacing w:after="0"/>
              <w:rPr>
                <w:rFonts w:ascii="ITC Avant Garde" w:eastAsia="Times New Roman" w:hAnsi="ITC Avant Garde" w:cs="Arial"/>
                <w:sz w:val="16"/>
                <w:szCs w:val="16"/>
                <w:lang w:eastAsia="es-ES"/>
              </w:rPr>
            </w:pPr>
            <w:r w:rsidRPr="00ED4558">
              <w:rPr>
                <w:rFonts w:ascii="ITC Avant Garde" w:eastAsia="Times New Roman" w:hAnsi="ITC Avant Garde" w:cs="Arial"/>
                <w:sz w:val="16"/>
                <w:szCs w:val="16"/>
                <w:lang w:eastAsia="es-ES"/>
              </w:rPr>
              <w:t xml:space="preserve">Tepatitlán de Morelos, Valle de Guadalupe., San Ignacio Cerro Gordo, </w:t>
            </w:r>
            <w:proofErr w:type="spellStart"/>
            <w:r w:rsidRPr="00ED4558">
              <w:rPr>
                <w:rFonts w:ascii="ITC Avant Garde" w:eastAsia="Times New Roman" w:hAnsi="ITC Avant Garde" w:cs="Arial"/>
                <w:sz w:val="16"/>
                <w:szCs w:val="16"/>
                <w:lang w:eastAsia="es-ES"/>
              </w:rPr>
              <w:t>Acatic</w:t>
            </w:r>
            <w:proofErr w:type="spellEnd"/>
            <w:r w:rsidRPr="00ED4558">
              <w:rPr>
                <w:rFonts w:ascii="ITC Avant Garde" w:eastAsia="Times New Roman" w:hAnsi="ITC Avant Garde" w:cs="Arial"/>
                <w:sz w:val="16"/>
                <w:szCs w:val="16"/>
                <w:lang w:eastAsia="es-ES"/>
              </w:rPr>
              <w:t>, Jalisco.</w:t>
            </w:r>
          </w:p>
        </w:tc>
      </w:tr>
      <w:tr w:rsidR="00ED4558" w:rsidRPr="00ED4558" w14:paraId="4011DDC6" w14:textId="77777777" w:rsidTr="007F62BF">
        <w:trPr>
          <w:jc w:val="center"/>
        </w:trPr>
        <w:tc>
          <w:tcPr>
            <w:tcW w:w="1931" w:type="dxa"/>
            <w:shd w:val="clear" w:color="auto" w:fill="auto"/>
            <w:vAlign w:val="center"/>
          </w:tcPr>
          <w:p w14:paraId="45645102" w14:textId="77777777" w:rsidR="007F62BF" w:rsidRPr="00ED4558" w:rsidRDefault="007F62BF" w:rsidP="007F62BF">
            <w:pPr>
              <w:spacing w:after="0"/>
              <w:jc w:val="center"/>
              <w:rPr>
                <w:rFonts w:ascii="ITC Avant Garde" w:eastAsia="Times New Roman" w:hAnsi="ITC Avant Garde" w:cs="Arial"/>
                <w:sz w:val="16"/>
                <w:szCs w:val="16"/>
                <w:lang w:eastAsia="es-ES"/>
              </w:rPr>
            </w:pPr>
            <w:r w:rsidRPr="00ED4558">
              <w:rPr>
                <w:rFonts w:ascii="ITC Avant Garde" w:eastAsia="Times New Roman" w:hAnsi="ITC Avant Garde" w:cs="Arial"/>
                <w:sz w:val="16"/>
                <w:szCs w:val="16"/>
                <w:lang w:eastAsia="es-ES"/>
              </w:rPr>
              <w:t>30-Nov-06</w:t>
            </w:r>
          </w:p>
        </w:tc>
        <w:tc>
          <w:tcPr>
            <w:tcW w:w="2561" w:type="dxa"/>
            <w:shd w:val="clear" w:color="auto" w:fill="auto"/>
            <w:vAlign w:val="center"/>
          </w:tcPr>
          <w:p w14:paraId="34848E06" w14:textId="77777777" w:rsidR="007F62BF" w:rsidRPr="00ED4558" w:rsidRDefault="007F62BF" w:rsidP="007F62BF">
            <w:pPr>
              <w:spacing w:after="0"/>
              <w:rPr>
                <w:rFonts w:ascii="ITC Avant Garde" w:eastAsia="Times New Roman" w:hAnsi="ITC Avant Garde" w:cs="Arial"/>
                <w:sz w:val="16"/>
                <w:szCs w:val="16"/>
                <w:lang w:eastAsia="es-ES"/>
              </w:rPr>
            </w:pPr>
            <w:r w:rsidRPr="00ED4558">
              <w:rPr>
                <w:rFonts w:ascii="ITC Avant Garde" w:eastAsia="Times New Roman" w:hAnsi="ITC Avant Garde" w:cs="Arial"/>
                <w:sz w:val="16"/>
                <w:szCs w:val="16"/>
                <w:lang w:eastAsia="es-ES"/>
              </w:rPr>
              <w:t>San Juan del Rio, Querétaro.</w:t>
            </w:r>
          </w:p>
        </w:tc>
        <w:tc>
          <w:tcPr>
            <w:tcW w:w="567" w:type="dxa"/>
            <w:tcBorders>
              <w:top w:val="nil"/>
              <w:bottom w:val="nil"/>
            </w:tcBorders>
            <w:vAlign w:val="center"/>
          </w:tcPr>
          <w:p w14:paraId="5C493CEB" w14:textId="77777777" w:rsidR="007F62BF" w:rsidRPr="00ED4558" w:rsidRDefault="007F62BF" w:rsidP="007F62BF">
            <w:pPr>
              <w:spacing w:after="0"/>
              <w:jc w:val="center"/>
              <w:rPr>
                <w:rFonts w:ascii="ITC Avant Garde" w:eastAsia="Times New Roman" w:hAnsi="ITC Avant Garde" w:cs="Arial"/>
                <w:sz w:val="16"/>
                <w:szCs w:val="16"/>
                <w:lang w:eastAsia="es-ES"/>
              </w:rPr>
            </w:pPr>
          </w:p>
        </w:tc>
        <w:tc>
          <w:tcPr>
            <w:tcW w:w="1647" w:type="dxa"/>
            <w:shd w:val="clear" w:color="auto" w:fill="auto"/>
            <w:vAlign w:val="center"/>
          </w:tcPr>
          <w:p w14:paraId="00B2DAD1" w14:textId="77777777" w:rsidR="007F62BF" w:rsidRPr="00ED4558" w:rsidRDefault="007F62BF" w:rsidP="007F62BF">
            <w:pPr>
              <w:spacing w:after="0"/>
              <w:jc w:val="center"/>
              <w:rPr>
                <w:rFonts w:ascii="ITC Avant Garde" w:eastAsia="Times New Roman" w:hAnsi="ITC Avant Garde" w:cs="Arial"/>
                <w:sz w:val="16"/>
                <w:szCs w:val="16"/>
                <w:lang w:eastAsia="es-ES"/>
              </w:rPr>
            </w:pPr>
            <w:r w:rsidRPr="00ED4558">
              <w:rPr>
                <w:rFonts w:ascii="ITC Avant Garde" w:eastAsia="Times New Roman" w:hAnsi="ITC Avant Garde" w:cs="Arial"/>
                <w:sz w:val="16"/>
                <w:szCs w:val="16"/>
                <w:lang w:eastAsia="es-ES"/>
              </w:rPr>
              <w:t>14-Dic-10</w:t>
            </w:r>
          </w:p>
        </w:tc>
        <w:tc>
          <w:tcPr>
            <w:tcW w:w="2806" w:type="dxa"/>
            <w:shd w:val="clear" w:color="auto" w:fill="auto"/>
            <w:vAlign w:val="center"/>
          </w:tcPr>
          <w:p w14:paraId="6881366D" w14:textId="77777777" w:rsidR="007F62BF" w:rsidRPr="00ED4558" w:rsidRDefault="007F62BF" w:rsidP="007F62BF">
            <w:pPr>
              <w:spacing w:after="0"/>
              <w:rPr>
                <w:rFonts w:ascii="ITC Avant Garde" w:eastAsia="Times New Roman" w:hAnsi="ITC Avant Garde" w:cs="Arial"/>
                <w:sz w:val="16"/>
                <w:szCs w:val="16"/>
                <w:lang w:eastAsia="es-ES"/>
              </w:rPr>
            </w:pPr>
            <w:r w:rsidRPr="00ED4558">
              <w:rPr>
                <w:rFonts w:ascii="ITC Avant Garde" w:eastAsia="Times New Roman" w:hAnsi="ITC Avant Garde" w:cs="Arial"/>
                <w:sz w:val="16"/>
                <w:szCs w:val="16"/>
                <w:lang w:eastAsia="es-ES"/>
              </w:rPr>
              <w:t>Tepatitlán de Morelos, Jalisco.</w:t>
            </w:r>
          </w:p>
        </w:tc>
      </w:tr>
      <w:tr w:rsidR="00ED4558" w:rsidRPr="00ED4558" w14:paraId="7474B68A" w14:textId="77777777" w:rsidTr="007F62BF">
        <w:trPr>
          <w:jc w:val="center"/>
        </w:trPr>
        <w:tc>
          <w:tcPr>
            <w:tcW w:w="1931" w:type="dxa"/>
            <w:shd w:val="clear" w:color="auto" w:fill="auto"/>
            <w:vAlign w:val="center"/>
          </w:tcPr>
          <w:p w14:paraId="0875C2A2" w14:textId="77777777" w:rsidR="007F62BF" w:rsidRPr="00ED4558" w:rsidRDefault="007F62BF" w:rsidP="007F62BF">
            <w:pPr>
              <w:spacing w:after="0"/>
              <w:jc w:val="center"/>
              <w:rPr>
                <w:rFonts w:ascii="ITC Avant Garde" w:eastAsia="Times New Roman" w:hAnsi="ITC Avant Garde" w:cs="Arial"/>
                <w:sz w:val="16"/>
                <w:szCs w:val="16"/>
                <w:lang w:eastAsia="es-ES"/>
              </w:rPr>
            </w:pPr>
            <w:r w:rsidRPr="00ED4558">
              <w:rPr>
                <w:rFonts w:ascii="ITC Avant Garde" w:eastAsia="Times New Roman" w:hAnsi="ITC Avant Garde" w:cs="Arial"/>
                <w:sz w:val="16"/>
                <w:szCs w:val="16"/>
                <w:lang w:eastAsia="es-ES"/>
              </w:rPr>
              <w:t>22-Dic-06</w:t>
            </w:r>
          </w:p>
        </w:tc>
        <w:tc>
          <w:tcPr>
            <w:tcW w:w="2561" w:type="dxa"/>
            <w:shd w:val="clear" w:color="auto" w:fill="auto"/>
            <w:vAlign w:val="center"/>
          </w:tcPr>
          <w:p w14:paraId="28B88231" w14:textId="77777777" w:rsidR="007F62BF" w:rsidRPr="00ED4558" w:rsidRDefault="007F62BF" w:rsidP="007F62BF">
            <w:pPr>
              <w:spacing w:after="0"/>
              <w:rPr>
                <w:rFonts w:ascii="ITC Avant Garde" w:eastAsia="Times New Roman" w:hAnsi="ITC Avant Garde" w:cs="Arial"/>
                <w:sz w:val="16"/>
                <w:szCs w:val="16"/>
                <w:lang w:eastAsia="es-ES"/>
              </w:rPr>
            </w:pPr>
            <w:r w:rsidRPr="00ED4558">
              <w:rPr>
                <w:rFonts w:ascii="ITC Avant Garde" w:eastAsia="Times New Roman" w:hAnsi="ITC Avant Garde" w:cs="Arial"/>
                <w:sz w:val="16"/>
                <w:szCs w:val="16"/>
                <w:lang w:eastAsia="es-ES"/>
              </w:rPr>
              <w:t>Altamira, Tamaulipas.</w:t>
            </w:r>
          </w:p>
        </w:tc>
        <w:tc>
          <w:tcPr>
            <w:tcW w:w="567" w:type="dxa"/>
            <w:tcBorders>
              <w:top w:val="nil"/>
              <w:bottom w:val="nil"/>
            </w:tcBorders>
            <w:vAlign w:val="center"/>
          </w:tcPr>
          <w:p w14:paraId="49675443" w14:textId="77777777" w:rsidR="007F62BF" w:rsidRPr="00ED4558" w:rsidRDefault="007F62BF" w:rsidP="007F62BF">
            <w:pPr>
              <w:spacing w:after="0"/>
              <w:jc w:val="center"/>
              <w:rPr>
                <w:rFonts w:ascii="ITC Avant Garde" w:eastAsia="Times New Roman" w:hAnsi="ITC Avant Garde" w:cs="Arial"/>
                <w:sz w:val="16"/>
                <w:szCs w:val="16"/>
                <w:lang w:eastAsia="es-ES"/>
              </w:rPr>
            </w:pPr>
          </w:p>
        </w:tc>
        <w:tc>
          <w:tcPr>
            <w:tcW w:w="1647" w:type="dxa"/>
            <w:shd w:val="clear" w:color="auto" w:fill="auto"/>
            <w:vAlign w:val="center"/>
          </w:tcPr>
          <w:p w14:paraId="1C186C9A" w14:textId="77777777" w:rsidR="007F62BF" w:rsidRPr="00ED4558" w:rsidRDefault="007F62BF" w:rsidP="007F62BF">
            <w:pPr>
              <w:spacing w:after="0"/>
              <w:jc w:val="center"/>
              <w:rPr>
                <w:rFonts w:ascii="ITC Avant Garde" w:eastAsia="Times New Roman" w:hAnsi="ITC Avant Garde" w:cs="Arial"/>
                <w:sz w:val="16"/>
                <w:szCs w:val="16"/>
                <w:lang w:eastAsia="es-ES"/>
              </w:rPr>
            </w:pPr>
            <w:r w:rsidRPr="00ED4558">
              <w:rPr>
                <w:rFonts w:ascii="ITC Avant Garde" w:eastAsia="Times New Roman" w:hAnsi="ITC Avant Garde" w:cs="Arial"/>
                <w:sz w:val="16"/>
                <w:szCs w:val="16"/>
                <w:lang w:eastAsia="es-ES"/>
              </w:rPr>
              <w:t>14-Dic-10</w:t>
            </w:r>
          </w:p>
        </w:tc>
        <w:tc>
          <w:tcPr>
            <w:tcW w:w="2806" w:type="dxa"/>
            <w:shd w:val="clear" w:color="auto" w:fill="auto"/>
            <w:vAlign w:val="center"/>
          </w:tcPr>
          <w:p w14:paraId="700B16C0" w14:textId="77777777" w:rsidR="007F62BF" w:rsidRPr="00ED4558" w:rsidRDefault="007F62BF" w:rsidP="007F62BF">
            <w:pPr>
              <w:spacing w:after="0"/>
              <w:rPr>
                <w:rFonts w:ascii="ITC Avant Garde" w:eastAsia="Times New Roman" w:hAnsi="ITC Avant Garde" w:cs="Arial"/>
                <w:sz w:val="16"/>
                <w:szCs w:val="16"/>
                <w:lang w:eastAsia="es-ES"/>
              </w:rPr>
            </w:pPr>
            <w:r w:rsidRPr="00ED4558">
              <w:rPr>
                <w:rFonts w:ascii="ITC Avant Garde" w:eastAsia="Times New Roman" w:hAnsi="ITC Avant Garde" w:cs="Arial"/>
                <w:sz w:val="16"/>
                <w:szCs w:val="16"/>
                <w:lang w:eastAsia="es-ES"/>
              </w:rPr>
              <w:t xml:space="preserve">San Juan de los Lagos, San Miguel el Alto, </w:t>
            </w:r>
            <w:proofErr w:type="spellStart"/>
            <w:r w:rsidRPr="00ED4558">
              <w:rPr>
                <w:rFonts w:ascii="ITC Avant Garde" w:eastAsia="Times New Roman" w:hAnsi="ITC Avant Garde" w:cs="Arial"/>
                <w:sz w:val="16"/>
                <w:szCs w:val="16"/>
                <w:lang w:eastAsia="es-ES"/>
              </w:rPr>
              <w:t>Jalostotitlan</w:t>
            </w:r>
            <w:proofErr w:type="spellEnd"/>
            <w:r w:rsidRPr="00ED4558">
              <w:rPr>
                <w:rFonts w:ascii="ITC Avant Garde" w:eastAsia="Times New Roman" w:hAnsi="ITC Avant Garde" w:cs="Arial"/>
                <w:sz w:val="16"/>
                <w:szCs w:val="16"/>
                <w:lang w:eastAsia="es-ES"/>
              </w:rPr>
              <w:t>, Arandas, San Julián, Jalisco.</w:t>
            </w:r>
          </w:p>
        </w:tc>
      </w:tr>
      <w:tr w:rsidR="00ED4558" w:rsidRPr="00ED4558" w14:paraId="1F55C6AB" w14:textId="77777777" w:rsidTr="007F62BF">
        <w:trPr>
          <w:jc w:val="center"/>
        </w:trPr>
        <w:tc>
          <w:tcPr>
            <w:tcW w:w="1931" w:type="dxa"/>
            <w:shd w:val="clear" w:color="auto" w:fill="auto"/>
            <w:vAlign w:val="center"/>
          </w:tcPr>
          <w:p w14:paraId="3C8BB076" w14:textId="77777777" w:rsidR="007F62BF" w:rsidRPr="00ED4558" w:rsidRDefault="007F62BF" w:rsidP="007F62BF">
            <w:pPr>
              <w:spacing w:after="0"/>
              <w:jc w:val="center"/>
              <w:rPr>
                <w:rFonts w:ascii="ITC Avant Garde" w:eastAsia="Times New Roman" w:hAnsi="ITC Avant Garde" w:cs="Arial"/>
                <w:bCs/>
                <w:sz w:val="16"/>
                <w:szCs w:val="16"/>
                <w:lang w:eastAsia="es-ES"/>
              </w:rPr>
            </w:pPr>
            <w:r w:rsidRPr="00ED4558">
              <w:rPr>
                <w:rFonts w:ascii="ITC Avant Garde" w:eastAsia="Times New Roman" w:hAnsi="ITC Avant Garde" w:cs="Arial"/>
                <w:sz w:val="16"/>
                <w:szCs w:val="16"/>
                <w:lang w:eastAsia="es-ES"/>
              </w:rPr>
              <w:t>22-Dic-06</w:t>
            </w:r>
          </w:p>
        </w:tc>
        <w:tc>
          <w:tcPr>
            <w:tcW w:w="2561" w:type="dxa"/>
            <w:shd w:val="clear" w:color="auto" w:fill="auto"/>
            <w:vAlign w:val="center"/>
          </w:tcPr>
          <w:p w14:paraId="55FD8119" w14:textId="77777777" w:rsidR="007F62BF" w:rsidRPr="00ED4558" w:rsidRDefault="007F62BF" w:rsidP="007F62BF">
            <w:pPr>
              <w:spacing w:after="0"/>
              <w:rPr>
                <w:rFonts w:ascii="ITC Avant Garde" w:eastAsia="Times New Roman" w:hAnsi="ITC Avant Garde" w:cs="Arial"/>
                <w:sz w:val="16"/>
                <w:szCs w:val="16"/>
                <w:lang w:eastAsia="es-ES"/>
              </w:rPr>
            </w:pPr>
            <w:r w:rsidRPr="00ED4558">
              <w:rPr>
                <w:rFonts w:ascii="ITC Avant Garde" w:eastAsia="Times New Roman" w:hAnsi="ITC Avant Garde" w:cs="Arial"/>
                <w:sz w:val="16"/>
                <w:szCs w:val="16"/>
                <w:lang w:eastAsia="es-ES"/>
              </w:rPr>
              <w:t>Tecomán, Colima.</w:t>
            </w:r>
          </w:p>
        </w:tc>
        <w:tc>
          <w:tcPr>
            <w:tcW w:w="567" w:type="dxa"/>
            <w:tcBorders>
              <w:top w:val="nil"/>
              <w:bottom w:val="nil"/>
            </w:tcBorders>
            <w:vAlign w:val="center"/>
          </w:tcPr>
          <w:p w14:paraId="794E7AF0" w14:textId="77777777" w:rsidR="007F62BF" w:rsidRPr="00ED4558" w:rsidRDefault="007F62BF" w:rsidP="007F62BF">
            <w:pPr>
              <w:spacing w:after="0"/>
              <w:jc w:val="center"/>
              <w:rPr>
                <w:rFonts w:ascii="ITC Avant Garde" w:eastAsia="Times New Roman" w:hAnsi="ITC Avant Garde" w:cs="Arial"/>
                <w:sz w:val="16"/>
                <w:szCs w:val="16"/>
                <w:lang w:eastAsia="es-ES"/>
              </w:rPr>
            </w:pPr>
          </w:p>
        </w:tc>
        <w:tc>
          <w:tcPr>
            <w:tcW w:w="1647" w:type="dxa"/>
            <w:shd w:val="clear" w:color="auto" w:fill="auto"/>
            <w:vAlign w:val="center"/>
          </w:tcPr>
          <w:p w14:paraId="52CF47BE" w14:textId="77777777" w:rsidR="007F62BF" w:rsidRPr="00ED4558" w:rsidRDefault="007F62BF" w:rsidP="007F62BF">
            <w:pPr>
              <w:spacing w:after="0"/>
              <w:jc w:val="center"/>
              <w:rPr>
                <w:rFonts w:ascii="ITC Avant Garde" w:eastAsia="Times New Roman" w:hAnsi="ITC Avant Garde" w:cs="Arial"/>
                <w:sz w:val="16"/>
                <w:szCs w:val="16"/>
                <w:lang w:eastAsia="es-ES"/>
              </w:rPr>
            </w:pPr>
            <w:r w:rsidRPr="00ED4558">
              <w:rPr>
                <w:rFonts w:ascii="ITC Avant Garde" w:eastAsia="Times New Roman" w:hAnsi="ITC Avant Garde" w:cs="Arial"/>
                <w:sz w:val="16"/>
                <w:szCs w:val="16"/>
                <w:lang w:eastAsia="es-ES"/>
              </w:rPr>
              <w:t>20-Dic-10</w:t>
            </w:r>
          </w:p>
        </w:tc>
        <w:tc>
          <w:tcPr>
            <w:tcW w:w="2806" w:type="dxa"/>
            <w:shd w:val="clear" w:color="auto" w:fill="auto"/>
            <w:vAlign w:val="center"/>
          </w:tcPr>
          <w:p w14:paraId="750015EB" w14:textId="77777777" w:rsidR="007F62BF" w:rsidRPr="00ED4558" w:rsidRDefault="007F62BF" w:rsidP="007F62BF">
            <w:pPr>
              <w:spacing w:after="0"/>
              <w:rPr>
                <w:rFonts w:ascii="ITC Avant Garde" w:eastAsia="Times New Roman" w:hAnsi="ITC Avant Garde" w:cs="Arial"/>
                <w:sz w:val="16"/>
                <w:szCs w:val="16"/>
                <w:lang w:eastAsia="es-ES"/>
              </w:rPr>
            </w:pPr>
            <w:r w:rsidRPr="00ED4558">
              <w:rPr>
                <w:rFonts w:ascii="ITC Avant Garde" w:eastAsia="Times New Roman" w:hAnsi="ITC Avant Garde" w:cs="Arial"/>
                <w:sz w:val="16"/>
                <w:szCs w:val="16"/>
                <w:lang w:eastAsia="es-ES"/>
              </w:rPr>
              <w:t>Jesús María, Jalisco.</w:t>
            </w:r>
          </w:p>
        </w:tc>
      </w:tr>
      <w:tr w:rsidR="00ED4558" w:rsidRPr="00ED4558" w14:paraId="3B2C39B0" w14:textId="77777777" w:rsidTr="007F62BF">
        <w:trPr>
          <w:jc w:val="center"/>
        </w:trPr>
        <w:tc>
          <w:tcPr>
            <w:tcW w:w="1931" w:type="dxa"/>
            <w:shd w:val="clear" w:color="auto" w:fill="auto"/>
            <w:vAlign w:val="center"/>
          </w:tcPr>
          <w:p w14:paraId="38B34FFC" w14:textId="77777777" w:rsidR="007F62BF" w:rsidRPr="00ED4558" w:rsidRDefault="007F62BF" w:rsidP="007F62BF">
            <w:pPr>
              <w:spacing w:after="0"/>
              <w:jc w:val="center"/>
              <w:rPr>
                <w:rFonts w:ascii="ITC Avant Garde" w:eastAsia="Times New Roman" w:hAnsi="ITC Avant Garde" w:cs="Arial"/>
                <w:bCs/>
                <w:sz w:val="16"/>
                <w:szCs w:val="16"/>
                <w:lang w:eastAsia="es-ES"/>
              </w:rPr>
            </w:pPr>
            <w:r w:rsidRPr="00ED4558">
              <w:rPr>
                <w:rFonts w:ascii="ITC Avant Garde" w:eastAsia="Times New Roman" w:hAnsi="ITC Avant Garde" w:cs="Arial"/>
                <w:sz w:val="16"/>
                <w:szCs w:val="16"/>
                <w:lang w:eastAsia="es-ES"/>
              </w:rPr>
              <w:t>22-Dic-06</w:t>
            </w:r>
          </w:p>
        </w:tc>
        <w:tc>
          <w:tcPr>
            <w:tcW w:w="2561" w:type="dxa"/>
            <w:shd w:val="clear" w:color="auto" w:fill="auto"/>
            <w:vAlign w:val="center"/>
          </w:tcPr>
          <w:p w14:paraId="5210436C" w14:textId="77777777" w:rsidR="007F62BF" w:rsidRPr="00ED4558" w:rsidRDefault="007F62BF" w:rsidP="007F62BF">
            <w:pPr>
              <w:spacing w:after="0"/>
              <w:rPr>
                <w:rFonts w:ascii="ITC Avant Garde" w:eastAsia="Times New Roman" w:hAnsi="ITC Avant Garde" w:cs="Arial"/>
                <w:sz w:val="16"/>
                <w:szCs w:val="16"/>
                <w:lang w:eastAsia="es-ES"/>
              </w:rPr>
            </w:pPr>
            <w:r w:rsidRPr="00ED4558">
              <w:rPr>
                <w:rFonts w:ascii="ITC Avant Garde" w:eastAsia="Times New Roman" w:hAnsi="ITC Avant Garde" w:cs="Arial"/>
                <w:sz w:val="16"/>
                <w:szCs w:val="16"/>
                <w:lang w:eastAsia="es-ES"/>
              </w:rPr>
              <w:t>Armería, Colima.</w:t>
            </w:r>
          </w:p>
        </w:tc>
        <w:tc>
          <w:tcPr>
            <w:tcW w:w="567" w:type="dxa"/>
            <w:tcBorders>
              <w:top w:val="nil"/>
              <w:bottom w:val="nil"/>
            </w:tcBorders>
            <w:vAlign w:val="center"/>
          </w:tcPr>
          <w:p w14:paraId="54F76E02" w14:textId="77777777" w:rsidR="007F62BF" w:rsidRPr="00ED4558" w:rsidRDefault="007F62BF" w:rsidP="007F62BF">
            <w:pPr>
              <w:spacing w:after="0"/>
              <w:jc w:val="center"/>
              <w:rPr>
                <w:rFonts w:ascii="ITC Avant Garde" w:eastAsia="Times New Roman" w:hAnsi="ITC Avant Garde" w:cs="Arial"/>
                <w:sz w:val="16"/>
                <w:szCs w:val="16"/>
                <w:lang w:eastAsia="es-ES"/>
              </w:rPr>
            </w:pPr>
          </w:p>
        </w:tc>
        <w:tc>
          <w:tcPr>
            <w:tcW w:w="1647" w:type="dxa"/>
            <w:shd w:val="clear" w:color="auto" w:fill="auto"/>
            <w:vAlign w:val="center"/>
          </w:tcPr>
          <w:p w14:paraId="33443285" w14:textId="77777777" w:rsidR="007F62BF" w:rsidRPr="00ED4558" w:rsidRDefault="007F62BF" w:rsidP="007F62BF">
            <w:pPr>
              <w:spacing w:after="0"/>
              <w:jc w:val="center"/>
              <w:rPr>
                <w:rFonts w:ascii="ITC Avant Garde" w:eastAsia="Times New Roman" w:hAnsi="ITC Avant Garde" w:cs="Arial"/>
                <w:sz w:val="16"/>
                <w:szCs w:val="16"/>
                <w:lang w:eastAsia="es-ES"/>
              </w:rPr>
            </w:pPr>
            <w:r w:rsidRPr="00ED4558">
              <w:rPr>
                <w:rFonts w:ascii="ITC Avant Garde" w:eastAsia="Times New Roman" w:hAnsi="ITC Avant Garde" w:cs="Arial"/>
                <w:sz w:val="16"/>
                <w:szCs w:val="16"/>
                <w:lang w:eastAsia="es-ES"/>
              </w:rPr>
              <w:t>20-Dic-10</w:t>
            </w:r>
          </w:p>
        </w:tc>
        <w:tc>
          <w:tcPr>
            <w:tcW w:w="2806" w:type="dxa"/>
            <w:shd w:val="clear" w:color="auto" w:fill="auto"/>
            <w:vAlign w:val="center"/>
          </w:tcPr>
          <w:p w14:paraId="5A52F274" w14:textId="77777777" w:rsidR="007F62BF" w:rsidRPr="00ED4558" w:rsidRDefault="007F62BF" w:rsidP="007F62BF">
            <w:pPr>
              <w:spacing w:after="0"/>
              <w:rPr>
                <w:rFonts w:ascii="ITC Avant Garde" w:eastAsia="Times New Roman" w:hAnsi="ITC Avant Garde" w:cs="Arial"/>
                <w:sz w:val="16"/>
                <w:szCs w:val="16"/>
                <w:lang w:eastAsia="es-ES"/>
              </w:rPr>
            </w:pPr>
            <w:proofErr w:type="spellStart"/>
            <w:r w:rsidRPr="00ED4558">
              <w:rPr>
                <w:rFonts w:ascii="ITC Avant Garde" w:eastAsia="Times New Roman" w:hAnsi="ITC Avant Garde" w:cs="Arial"/>
                <w:sz w:val="16"/>
                <w:szCs w:val="16"/>
                <w:lang w:eastAsia="es-ES"/>
              </w:rPr>
              <w:t>Acatic</w:t>
            </w:r>
            <w:proofErr w:type="spellEnd"/>
            <w:r w:rsidRPr="00ED4558">
              <w:rPr>
                <w:rFonts w:ascii="ITC Avant Garde" w:eastAsia="Times New Roman" w:hAnsi="ITC Avant Garde" w:cs="Arial"/>
                <w:sz w:val="16"/>
                <w:szCs w:val="16"/>
                <w:lang w:eastAsia="es-ES"/>
              </w:rPr>
              <w:t>, Jalisco</w:t>
            </w:r>
          </w:p>
        </w:tc>
      </w:tr>
      <w:tr w:rsidR="00ED4558" w:rsidRPr="00ED4558" w14:paraId="72006023" w14:textId="77777777" w:rsidTr="007F62BF">
        <w:trPr>
          <w:jc w:val="center"/>
        </w:trPr>
        <w:tc>
          <w:tcPr>
            <w:tcW w:w="1931" w:type="dxa"/>
            <w:shd w:val="clear" w:color="auto" w:fill="auto"/>
            <w:vAlign w:val="center"/>
          </w:tcPr>
          <w:p w14:paraId="2AADDDD8" w14:textId="77777777" w:rsidR="007F62BF" w:rsidRPr="00ED4558" w:rsidRDefault="007F62BF" w:rsidP="007F62BF">
            <w:pPr>
              <w:spacing w:after="0"/>
              <w:jc w:val="center"/>
              <w:rPr>
                <w:rFonts w:ascii="ITC Avant Garde" w:eastAsia="Times New Roman" w:hAnsi="ITC Avant Garde" w:cs="Arial"/>
                <w:bCs/>
                <w:sz w:val="16"/>
                <w:szCs w:val="16"/>
                <w:lang w:eastAsia="es-ES"/>
              </w:rPr>
            </w:pPr>
            <w:r w:rsidRPr="00ED4558">
              <w:rPr>
                <w:rFonts w:ascii="ITC Avant Garde" w:eastAsia="Times New Roman" w:hAnsi="ITC Avant Garde" w:cs="Arial"/>
                <w:sz w:val="16"/>
                <w:szCs w:val="16"/>
                <w:lang w:eastAsia="es-ES"/>
              </w:rPr>
              <w:t>22-Dic-06</w:t>
            </w:r>
          </w:p>
        </w:tc>
        <w:tc>
          <w:tcPr>
            <w:tcW w:w="2561" w:type="dxa"/>
            <w:shd w:val="clear" w:color="auto" w:fill="auto"/>
            <w:vAlign w:val="center"/>
          </w:tcPr>
          <w:p w14:paraId="6B247731" w14:textId="77777777" w:rsidR="007F62BF" w:rsidRPr="00ED4558" w:rsidRDefault="007F62BF" w:rsidP="007F62BF">
            <w:pPr>
              <w:spacing w:after="0"/>
              <w:rPr>
                <w:rFonts w:ascii="ITC Avant Garde" w:eastAsia="Times New Roman" w:hAnsi="ITC Avant Garde" w:cs="Arial"/>
                <w:sz w:val="16"/>
                <w:szCs w:val="16"/>
                <w:lang w:eastAsia="es-ES"/>
              </w:rPr>
            </w:pPr>
            <w:r w:rsidRPr="00ED4558">
              <w:rPr>
                <w:rFonts w:ascii="ITC Avant Garde" w:eastAsia="Times New Roman" w:hAnsi="ITC Avant Garde" w:cs="Arial"/>
                <w:sz w:val="16"/>
                <w:szCs w:val="16"/>
                <w:lang w:eastAsia="es-ES"/>
              </w:rPr>
              <w:t>Manzanillo, Colima.</w:t>
            </w:r>
          </w:p>
        </w:tc>
        <w:tc>
          <w:tcPr>
            <w:tcW w:w="567" w:type="dxa"/>
            <w:tcBorders>
              <w:top w:val="nil"/>
              <w:bottom w:val="nil"/>
            </w:tcBorders>
            <w:vAlign w:val="center"/>
          </w:tcPr>
          <w:p w14:paraId="70FD76D4" w14:textId="77777777" w:rsidR="007F62BF" w:rsidRPr="00ED4558" w:rsidRDefault="007F62BF" w:rsidP="007F62BF">
            <w:pPr>
              <w:spacing w:after="0"/>
              <w:jc w:val="center"/>
              <w:rPr>
                <w:rFonts w:ascii="ITC Avant Garde" w:eastAsia="Times New Roman" w:hAnsi="ITC Avant Garde" w:cs="Arial"/>
                <w:sz w:val="16"/>
                <w:szCs w:val="16"/>
                <w:lang w:eastAsia="es-ES"/>
              </w:rPr>
            </w:pPr>
          </w:p>
        </w:tc>
        <w:tc>
          <w:tcPr>
            <w:tcW w:w="1647" w:type="dxa"/>
            <w:shd w:val="clear" w:color="auto" w:fill="auto"/>
            <w:vAlign w:val="center"/>
          </w:tcPr>
          <w:p w14:paraId="46C48FBD" w14:textId="77777777" w:rsidR="007F62BF" w:rsidRPr="00ED4558" w:rsidRDefault="007F62BF" w:rsidP="007F62BF">
            <w:pPr>
              <w:spacing w:after="0"/>
              <w:jc w:val="center"/>
              <w:rPr>
                <w:rFonts w:ascii="ITC Avant Garde" w:eastAsia="Times New Roman" w:hAnsi="ITC Avant Garde" w:cs="Arial"/>
                <w:sz w:val="16"/>
                <w:szCs w:val="16"/>
                <w:lang w:eastAsia="es-ES"/>
              </w:rPr>
            </w:pPr>
            <w:r w:rsidRPr="00ED4558">
              <w:rPr>
                <w:rFonts w:ascii="ITC Avant Garde" w:eastAsia="Times New Roman" w:hAnsi="ITC Avant Garde" w:cs="Arial"/>
                <w:bCs/>
                <w:sz w:val="16"/>
                <w:szCs w:val="16"/>
                <w:lang w:eastAsia="es-ES"/>
              </w:rPr>
              <w:t>23-Jun-11</w:t>
            </w:r>
          </w:p>
        </w:tc>
        <w:tc>
          <w:tcPr>
            <w:tcW w:w="2806" w:type="dxa"/>
            <w:shd w:val="clear" w:color="auto" w:fill="auto"/>
            <w:vAlign w:val="center"/>
          </w:tcPr>
          <w:p w14:paraId="7DCB0EB6" w14:textId="77777777" w:rsidR="007F62BF" w:rsidRPr="00ED4558" w:rsidRDefault="007F62BF" w:rsidP="007F62BF">
            <w:pPr>
              <w:spacing w:after="0"/>
              <w:rPr>
                <w:rFonts w:ascii="ITC Avant Garde" w:eastAsia="Times New Roman" w:hAnsi="ITC Avant Garde" w:cs="Arial"/>
                <w:sz w:val="16"/>
                <w:szCs w:val="16"/>
                <w:lang w:eastAsia="es-ES"/>
              </w:rPr>
            </w:pPr>
            <w:r w:rsidRPr="00ED4558">
              <w:rPr>
                <w:rFonts w:ascii="ITC Avant Garde" w:eastAsia="Times New Roman" w:hAnsi="ITC Avant Garde" w:cs="Arial"/>
                <w:sz w:val="16"/>
                <w:szCs w:val="16"/>
                <w:lang w:eastAsia="es-ES"/>
              </w:rPr>
              <w:t>Purísima de Bustos, Guanajuato.</w:t>
            </w:r>
          </w:p>
        </w:tc>
      </w:tr>
      <w:tr w:rsidR="00ED4558" w:rsidRPr="00ED4558" w14:paraId="04085152" w14:textId="77777777" w:rsidTr="007F62BF">
        <w:trPr>
          <w:jc w:val="center"/>
        </w:trPr>
        <w:tc>
          <w:tcPr>
            <w:tcW w:w="1931" w:type="dxa"/>
            <w:shd w:val="clear" w:color="auto" w:fill="auto"/>
            <w:vAlign w:val="center"/>
          </w:tcPr>
          <w:p w14:paraId="13752105" w14:textId="77777777" w:rsidR="007F62BF" w:rsidRPr="00ED4558" w:rsidRDefault="007F62BF" w:rsidP="007F62BF">
            <w:pPr>
              <w:spacing w:after="0"/>
              <w:jc w:val="center"/>
              <w:rPr>
                <w:rFonts w:ascii="ITC Avant Garde" w:eastAsia="Times New Roman" w:hAnsi="ITC Avant Garde" w:cs="Arial"/>
                <w:bCs/>
                <w:sz w:val="16"/>
                <w:szCs w:val="16"/>
                <w:lang w:eastAsia="es-ES"/>
              </w:rPr>
            </w:pPr>
            <w:r w:rsidRPr="00ED4558">
              <w:rPr>
                <w:rFonts w:ascii="ITC Avant Garde" w:eastAsia="Times New Roman" w:hAnsi="ITC Avant Garde" w:cs="Arial"/>
                <w:bCs/>
                <w:sz w:val="16"/>
                <w:szCs w:val="16"/>
                <w:lang w:eastAsia="es-ES"/>
              </w:rPr>
              <w:t>22-Dic-06</w:t>
            </w:r>
          </w:p>
        </w:tc>
        <w:tc>
          <w:tcPr>
            <w:tcW w:w="2561" w:type="dxa"/>
            <w:shd w:val="clear" w:color="auto" w:fill="auto"/>
            <w:vAlign w:val="center"/>
          </w:tcPr>
          <w:p w14:paraId="0F806B80" w14:textId="77777777" w:rsidR="007F62BF" w:rsidRPr="00ED4558" w:rsidRDefault="007F62BF" w:rsidP="007F62BF">
            <w:pPr>
              <w:spacing w:after="0"/>
              <w:rPr>
                <w:rFonts w:ascii="ITC Avant Garde" w:eastAsia="Times New Roman" w:hAnsi="ITC Avant Garde" w:cs="Arial"/>
                <w:sz w:val="16"/>
                <w:szCs w:val="16"/>
                <w:lang w:eastAsia="es-ES"/>
              </w:rPr>
            </w:pPr>
            <w:r w:rsidRPr="00ED4558">
              <w:rPr>
                <w:rFonts w:ascii="ITC Avant Garde" w:eastAsia="Times New Roman" w:hAnsi="ITC Avant Garde" w:cs="Arial"/>
                <w:sz w:val="16"/>
                <w:szCs w:val="16"/>
                <w:lang w:eastAsia="es-ES"/>
              </w:rPr>
              <w:t>Miramar, Tamaulipas.</w:t>
            </w:r>
          </w:p>
        </w:tc>
        <w:tc>
          <w:tcPr>
            <w:tcW w:w="567" w:type="dxa"/>
            <w:tcBorders>
              <w:top w:val="nil"/>
              <w:bottom w:val="nil"/>
            </w:tcBorders>
            <w:vAlign w:val="center"/>
          </w:tcPr>
          <w:p w14:paraId="4CA8C732" w14:textId="77777777" w:rsidR="007F62BF" w:rsidRPr="00ED4558" w:rsidRDefault="007F62BF" w:rsidP="007F62BF">
            <w:pPr>
              <w:spacing w:after="0"/>
              <w:jc w:val="center"/>
              <w:rPr>
                <w:rFonts w:ascii="ITC Avant Garde" w:eastAsia="Times New Roman" w:hAnsi="ITC Avant Garde" w:cs="Arial"/>
                <w:sz w:val="16"/>
                <w:szCs w:val="16"/>
                <w:lang w:eastAsia="es-ES"/>
              </w:rPr>
            </w:pPr>
          </w:p>
        </w:tc>
        <w:tc>
          <w:tcPr>
            <w:tcW w:w="1647" w:type="dxa"/>
            <w:shd w:val="clear" w:color="auto" w:fill="auto"/>
            <w:vAlign w:val="center"/>
          </w:tcPr>
          <w:p w14:paraId="01EE9DC3" w14:textId="77777777" w:rsidR="007F62BF" w:rsidRPr="00ED4558" w:rsidRDefault="007F62BF" w:rsidP="007F62BF">
            <w:pPr>
              <w:spacing w:after="0"/>
              <w:jc w:val="center"/>
              <w:rPr>
                <w:rFonts w:ascii="ITC Avant Garde" w:eastAsia="Times New Roman" w:hAnsi="ITC Avant Garde" w:cs="Arial"/>
                <w:sz w:val="16"/>
                <w:szCs w:val="16"/>
                <w:lang w:eastAsia="es-ES"/>
              </w:rPr>
            </w:pPr>
            <w:r w:rsidRPr="00ED4558">
              <w:rPr>
                <w:rFonts w:ascii="ITC Avant Garde" w:eastAsia="Times New Roman" w:hAnsi="ITC Avant Garde" w:cs="Arial"/>
                <w:bCs/>
                <w:sz w:val="16"/>
                <w:szCs w:val="16"/>
                <w:lang w:eastAsia="es-ES"/>
              </w:rPr>
              <w:t>23-Jun-11</w:t>
            </w:r>
          </w:p>
        </w:tc>
        <w:tc>
          <w:tcPr>
            <w:tcW w:w="2806" w:type="dxa"/>
            <w:shd w:val="clear" w:color="auto" w:fill="auto"/>
            <w:vAlign w:val="center"/>
          </w:tcPr>
          <w:p w14:paraId="3A26F817" w14:textId="77777777" w:rsidR="007F62BF" w:rsidRPr="00ED4558" w:rsidRDefault="007F62BF" w:rsidP="007F62BF">
            <w:pPr>
              <w:spacing w:after="0"/>
              <w:rPr>
                <w:rFonts w:ascii="ITC Avant Garde" w:eastAsia="Times New Roman" w:hAnsi="ITC Avant Garde" w:cs="Arial"/>
                <w:sz w:val="16"/>
                <w:szCs w:val="16"/>
                <w:lang w:eastAsia="es-ES"/>
              </w:rPr>
            </w:pPr>
            <w:r w:rsidRPr="00ED4558">
              <w:rPr>
                <w:rFonts w:ascii="ITC Avant Garde" w:eastAsia="Times New Roman" w:hAnsi="ITC Avant Garde" w:cs="Arial"/>
                <w:sz w:val="16"/>
                <w:szCs w:val="16"/>
                <w:lang w:eastAsia="es-ES"/>
              </w:rPr>
              <w:t>San Diego de Alejandra, Unión de San Antonio, Jalisco</w:t>
            </w:r>
          </w:p>
        </w:tc>
      </w:tr>
      <w:tr w:rsidR="00ED4558" w:rsidRPr="00ED4558" w14:paraId="723C867B" w14:textId="77777777" w:rsidTr="007F62BF">
        <w:trPr>
          <w:jc w:val="center"/>
        </w:trPr>
        <w:tc>
          <w:tcPr>
            <w:tcW w:w="1931" w:type="dxa"/>
            <w:shd w:val="clear" w:color="auto" w:fill="auto"/>
            <w:vAlign w:val="center"/>
          </w:tcPr>
          <w:p w14:paraId="4E245B6E" w14:textId="77777777" w:rsidR="007F62BF" w:rsidRPr="00ED4558" w:rsidRDefault="007F62BF" w:rsidP="007F62BF">
            <w:pPr>
              <w:spacing w:after="0"/>
              <w:jc w:val="center"/>
              <w:rPr>
                <w:rFonts w:ascii="ITC Avant Garde" w:eastAsia="Times New Roman" w:hAnsi="ITC Avant Garde" w:cs="Arial"/>
                <w:bCs/>
                <w:sz w:val="16"/>
                <w:szCs w:val="16"/>
                <w:lang w:eastAsia="es-ES"/>
              </w:rPr>
            </w:pPr>
            <w:r w:rsidRPr="00ED4558">
              <w:rPr>
                <w:rFonts w:ascii="ITC Avant Garde" w:eastAsia="Times New Roman" w:hAnsi="ITC Avant Garde" w:cs="Arial"/>
                <w:bCs/>
                <w:sz w:val="16"/>
                <w:szCs w:val="16"/>
                <w:lang w:eastAsia="es-ES"/>
              </w:rPr>
              <w:t>22-Dic-06</w:t>
            </w:r>
          </w:p>
        </w:tc>
        <w:tc>
          <w:tcPr>
            <w:tcW w:w="2561" w:type="dxa"/>
            <w:shd w:val="clear" w:color="auto" w:fill="auto"/>
            <w:vAlign w:val="center"/>
          </w:tcPr>
          <w:p w14:paraId="63D45DFB" w14:textId="77777777" w:rsidR="007F62BF" w:rsidRPr="00ED4558" w:rsidRDefault="007F62BF" w:rsidP="007F62BF">
            <w:pPr>
              <w:spacing w:after="0"/>
              <w:rPr>
                <w:rFonts w:ascii="ITC Avant Garde" w:eastAsia="Times New Roman" w:hAnsi="ITC Avant Garde" w:cs="Arial"/>
                <w:sz w:val="16"/>
                <w:szCs w:val="16"/>
                <w:lang w:eastAsia="es-ES"/>
              </w:rPr>
            </w:pPr>
            <w:proofErr w:type="spellStart"/>
            <w:r w:rsidRPr="00ED4558">
              <w:rPr>
                <w:rFonts w:ascii="ITC Avant Garde" w:eastAsia="Times New Roman" w:hAnsi="ITC Avant Garde" w:cs="Arial"/>
                <w:sz w:val="16"/>
                <w:szCs w:val="16"/>
                <w:lang w:eastAsia="es-ES"/>
              </w:rPr>
              <w:t>Amealco</w:t>
            </w:r>
            <w:proofErr w:type="spellEnd"/>
            <w:r w:rsidRPr="00ED4558">
              <w:rPr>
                <w:rFonts w:ascii="ITC Avant Garde" w:eastAsia="Times New Roman" w:hAnsi="ITC Avant Garde" w:cs="Arial"/>
                <w:sz w:val="16"/>
                <w:szCs w:val="16"/>
                <w:lang w:eastAsia="es-ES"/>
              </w:rPr>
              <w:t xml:space="preserve"> de Bonfil, Querétaro.</w:t>
            </w:r>
          </w:p>
        </w:tc>
        <w:tc>
          <w:tcPr>
            <w:tcW w:w="567" w:type="dxa"/>
            <w:tcBorders>
              <w:top w:val="nil"/>
              <w:bottom w:val="nil"/>
            </w:tcBorders>
            <w:vAlign w:val="center"/>
          </w:tcPr>
          <w:p w14:paraId="652649E9" w14:textId="77777777" w:rsidR="007F62BF" w:rsidRPr="00ED4558" w:rsidRDefault="007F62BF" w:rsidP="007F62BF">
            <w:pPr>
              <w:spacing w:after="0"/>
              <w:jc w:val="center"/>
              <w:rPr>
                <w:rFonts w:ascii="ITC Avant Garde" w:eastAsia="Times New Roman" w:hAnsi="ITC Avant Garde" w:cs="Arial"/>
                <w:sz w:val="16"/>
                <w:szCs w:val="16"/>
                <w:lang w:eastAsia="es-ES"/>
              </w:rPr>
            </w:pPr>
          </w:p>
        </w:tc>
        <w:tc>
          <w:tcPr>
            <w:tcW w:w="1647" w:type="dxa"/>
            <w:shd w:val="clear" w:color="auto" w:fill="auto"/>
            <w:vAlign w:val="center"/>
          </w:tcPr>
          <w:p w14:paraId="08EE66C9" w14:textId="77777777" w:rsidR="007F62BF" w:rsidRPr="00ED4558" w:rsidRDefault="007F62BF" w:rsidP="007F62BF">
            <w:pPr>
              <w:spacing w:after="0"/>
              <w:jc w:val="center"/>
              <w:rPr>
                <w:rFonts w:ascii="ITC Avant Garde" w:eastAsia="Times New Roman" w:hAnsi="ITC Avant Garde" w:cs="Arial"/>
                <w:sz w:val="16"/>
                <w:szCs w:val="16"/>
                <w:lang w:eastAsia="es-ES"/>
              </w:rPr>
            </w:pPr>
            <w:r w:rsidRPr="00ED4558">
              <w:rPr>
                <w:rFonts w:ascii="ITC Avant Garde" w:eastAsia="Times New Roman" w:hAnsi="ITC Avant Garde" w:cs="Arial"/>
                <w:bCs/>
                <w:sz w:val="16"/>
                <w:szCs w:val="16"/>
                <w:lang w:eastAsia="es-ES"/>
              </w:rPr>
              <w:t>23-Jun-11</w:t>
            </w:r>
          </w:p>
        </w:tc>
        <w:tc>
          <w:tcPr>
            <w:tcW w:w="2806" w:type="dxa"/>
            <w:shd w:val="clear" w:color="auto" w:fill="auto"/>
            <w:vAlign w:val="center"/>
          </w:tcPr>
          <w:p w14:paraId="3CE9D927" w14:textId="77777777" w:rsidR="007F62BF" w:rsidRPr="00ED4558" w:rsidRDefault="007F62BF" w:rsidP="007F62BF">
            <w:pPr>
              <w:spacing w:after="0"/>
              <w:rPr>
                <w:rFonts w:ascii="ITC Avant Garde" w:eastAsia="Times New Roman" w:hAnsi="ITC Avant Garde" w:cs="Arial"/>
                <w:sz w:val="16"/>
                <w:szCs w:val="16"/>
                <w:lang w:eastAsia="es-ES"/>
              </w:rPr>
            </w:pPr>
            <w:r w:rsidRPr="00ED4558">
              <w:rPr>
                <w:rFonts w:ascii="ITC Avant Garde" w:eastAsia="Times New Roman" w:hAnsi="ITC Avant Garde" w:cs="Arial"/>
                <w:sz w:val="16"/>
                <w:szCs w:val="16"/>
                <w:lang w:eastAsia="es-ES"/>
              </w:rPr>
              <w:t xml:space="preserve">Tapachula, Tuxtla Chico, </w:t>
            </w:r>
            <w:proofErr w:type="spellStart"/>
            <w:r w:rsidRPr="00ED4558">
              <w:rPr>
                <w:rFonts w:ascii="ITC Avant Garde" w:eastAsia="Times New Roman" w:hAnsi="ITC Avant Garde" w:cs="Arial"/>
                <w:sz w:val="16"/>
                <w:szCs w:val="16"/>
                <w:lang w:eastAsia="es-ES"/>
              </w:rPr>
              <w:t>Cacahoatan</w:t>
            </w:r>
            <w:proofErr w:type="spellEnd"/>
            <w:r w:rsidRPr="00ED4558">
              <w:rPr>
                <w:rFonts w:ascii="ITC Avant Garde" w:eastAsia="Times New Roman" w:hAnsi="ITC Avant Garde" w:cs="Arial"/>
                <w:sz w:val="16"/>
                <w:szCs w:val="16"/>
                <w:lang w:eastAsia="es-ES"/>
              </w:rPr>
              <w:t xml:space="preserve">, </w:t>
            </w:r>
            <w:proofErr w:type="spellStart"/>
            <w:r w:rsidRPr="00ED4558">
              <w:rPr>
                <w:rFonts w:ascii="ITC Avant Garde" w:eastAsia="Times New Roman" w:hAnsi="ITC Avant Garde" w:cs="Arial"/>
                <w:sz w:val="16"/>
                <w:szCs w:val="16"/>
                <w:lang w:eastAsia="es-ES"/>
              </w:rPr>
              <w:t>Mazatan</w:t>
            </w:r>
            <w:proofErr w:type="spellEnd"/>
            <w:r w:rsidRPr="00ED4558">
              <w:rPr>
                <w:rFonts w:ascii="ITC Avant Garde" w:eastAsia="Times New Roman" w:hAnsi="ITC Avant Garde" w:cs="Arial"/>
                <w:sz w:val="16"/>
                <w:szCs w:val="16"/>
                <w:lang w:eastAsia="es-ES"/>
              </w:rPr>
              <w:t>, Chiapas.</w:t>
            </w:r>
          </w:p>
        </w:tc>
      </w:tr>
      <w:tr w:rsidR="007F62BF" w:rsidRPr="00ED4558" w14:paraId="43144183" w14:textId="77777777" w:rsidTr="007F62BF">
        <w:trPr>
          <w:jc w:val="center"/>
        </w:trPr>
        <w:tc>
          <w:tcPr>
            <w:tcW w:w="1931" w:type="dxa"/>
            <w:shd w:val="clear" w:color="auto" w:fill="auto"/>
            <w:vAlign w:val="center"/>
          </w:tcPr>
          <w:p w14:paraId="17000A4E" w14:textId="77777777" w:rsidR="007F62BF" w:rsidRPr="00ED4558" w:rsidRDefault="007F62BF" w:rsidP="007F62BF">
            <w:pPr>
              <w:spacing w:after="0"/>
              <w:jc w:val="center"/>
              <w:rPr>
                <w:rFonts w:ascii="ITC Avant Garde" w:eastAsia="Times New Roman" w:hAnsi="ITC Avant Garde" w:cs="Arial"/>
                <w:bCs/>
                <w:sz w:val="16"/>
                <w:szCs w:val="16"/>
                <w:lang w:eastAsia="es-ES"/>
              </w:rPr>
            </w:pPr>
            <w:r w:rsidRPr="00ED4558">
              <w:rPr>
                <w:rFonts w:ascii="ITC Avant Garde" w:eastAsia="Times New Roman" w:hAnsi="ITC Avant Garde" w:cs="Arial"/>
                <w:bCs/>
                <w:sz w:val="16"/>
                <w:szCs w:val="16"/>
                <w:lang w:eastAsia="es-ES"/>
              </w:rPr>
              <w:t>22-Dic-06</w:t>
            </w:r>
          </w:p>
        </w:tc>
        <w:tc>
          <w:tcPr>
            <w:tcW w:w="2561" w:type="dxa"/>
            <w:shd w:val="clear" w:color="auto" w:fill="auto"/>
            <w:vAlign w:val="center"/>
          </w:tcPr>
          <w:p w14:paraId="77982248" w14:textId="77777777" w:rsidR="007F62BF" w:rsidRPr="00ED4558" w:rsidRDefault="007F62BF" w:rsidP="007F62BF">
            <w:pPr>
              <w:spacing w:after="0"/>
              <w:rPr>
                <w:rFonts w:ascii="ITC Avant Garde" w:eastAsia="Times New Roman" w:hAnsi="ITC Avant Garde" w:cs="Arial"/>
                <w:sz w:val="16"/>
                <w:szCs w:val="16"/>
                <w:lang w:eastAsia="es-ES"/>
              </w:rPr>
            </w:pPr>
            <w:r w:rsidRPr="00ED4558">
              <w:rPr>
                <w:rFonts w:ascii="ITC Avant Garde" w:eastAsia="Times New Roman" w:hAnsi="ITC Avant Garde" w:cs="Arial"/>
                <w:sz w:val="16"/>
                <w:szCs w:val="16"/>
                <w:lang w:eastAsia="es-ES"/>
              </w:rPr>
              <w:t>Nuevo Laredo, Tamaulipas.</w:t>
            </w:r>
          </w:p>
        </w:tc>
        <w:tc>
          <w:tcPr>
            <w:tcW w:w="567" w:type="dxa"/>
            <w:tcBorders>
              <w:top w:val="nil"/>
              <w:bottom w:val="nil"/>
            </w:tcBorders>
            <w:vAlign w:val="center"/>
          </w:tcPr>
          <w:p w14:paraId="22681D18" w14:textId="77777777" w:rsidR="007F62BF" w:rsidRPr="00ED4558" w:rsidRDefault="007F62BF" w:rsidP="007F62BF">
            <w:pPr>
              <w:spacing w:after="0"/>
              <w:jc w:val="center"/>
              <w:rPr>
                <w:rFonts w:ascii="ITC Avant Garde" w:eastAsia="Times New Roman" w:hAnsi="ITC Avant Garde" w:cs="Arial"/>
                <w:sz w:val="16"/>
                <w:szCs w:val="16"/>
                <w:lang w:eastAsia="es-ES"/>
              </w:rPr>
            </w:pPr>
          </w:p>
        </w:tc>
        <w:tc>
          <w:tcPr>
            <w:tcW w:w="1647" w:type="dxa"/>
            <w:shd w:val="clear" w:color="auto" w:fill="auto"/>
            <w:vAlign w:val="center"/>
          </w:tcPr>
          <w:p w14:paraId="0F30DBCB" w14:textId="77777777" w:rsidR="007F62BF" w:rsidRPr="00ED4558" w:rsidRDefault="007F62BF" w:rsidP="007F62BF">
            <w:pPr>
              <w:spacing w:after="0"/>
              <w:jc w:val="center"/>
              <w:rPr>
                <w:rFonts w:ascii="ITC Avant Garde" w:eastAsia="Times New Roman" w:hAnsi="ITC Avant Garde" w:cs="Arial"/>
                <w:sz w:val="16"/>
                <w:szCs w:val="16"/>
                <w:lang w:eastAsia="es-ES"/>
              </w:rPr>
            </w:pPr>
            <w:r w:rsidRPr="00ED4558">
              <w:rPr>
                <w:rFonts w:ascii="ITC Avant Garde" w:eastAsia="Times New Roman" w:hAnsi="ITC Avant Garde" w:cs="Arial"/>
                <w:bCs/>
                <w:sz w:val="16"/>
                <w:szCs w:val="16"/>
                <w:lang w:eastAsia="es-ES"/>
              </w:rPr>
              <w:t>27-May-13</w:t>
            </w:r>
          </w:p>
        </w:tc>
        <w:tc>
          <w:tcPr>
            <w:tcW w:w="2806" w:type="dxa"/>
            <w:shd w:val="clear" w:color="auto" w:fill="auto"/>
            <w:vAlign w:val="center"/>
          </w:tcPr>
          <w:p w14:paraId="606CA574" w14:textId="77777777" w:rsidR="007F62BF" w:rsidRPr="00ED4558" w:rsidRDefault="007F62BF" w:rsidP="007F62BF">
            <w:pPr>
              <w:spacing w:after="0"/>
              <w:rPr>
                <w:rFonts w:ascii="ITC Avant Garde" w:eastAsia="Times New Roman" w:hAnsi="ITC Avant Garde" w:cs="Arial"/>
                <w:sz w:val="16"/>
                <w:szCs w:val="16"/>
                <w:lang w:eastAsia="es-ES"/>
              </w:rPr>
            </w:pPr>
            <w:r w:rsidRPr="00ED4558">
              <w:rPr>
                <w:rFonts w:ascii="ITC Avant Garde" w:eastAsia="Times New Roman" w:hAnsi="ITC Avant Garde" w:cs="Arial"/>
                <w:sz w:val="16"/>
                <w:szCs w:val="16"/>
                <w:lang w:eastAsia="es-ES"/>
              </w:rPr>
              <w:t>Monterrey, San Nicolás de los Garza, San Pedro Garza García, Santa Catarina, Gral. Escobedo, Apodaca, Guadalupe, Juárez, Santiago, Montemorelos, Nuevo León.</w:t>
            </w:r>
          </w:p>
        </w:tc>
      </w:tr>
    </w:tbl>
    <w:p w14:paraId="7B22076B" w14:textId="77777777" w:rsidR="00D73E92" w:rsidRPr="00ED4558" w:rsidRDefault="00D73E92" w:rsidP="00D73E92">
      <w:pPr>
        <w:spacing w:after="0"/>
        <w:ind w:right="567"/>
        <w:jc w:val="both"/>
        <w:rPr>
          <w:rFonts w:ascii="ITC Avant Garde" w:eastAsia="Times New Roman" w:hAnsi="ITC Avant Garde"/>
          <w:bCs/>
          <w:lang w:eastAsia="es-ES"/>
        </w:rPr>
      </w:pPr>
    </w:p>
    <w:p w14:paraId="638382FD" w14:textId="77777777" w:rsidR="00746B44" w:rsidRPr="00ED4558" w:rsidRDefault="00746B44" w:rsidP="00773BC1">
      <w:pPr>
        <w:numPr>
          <w:ilvl w:val="0"/>
          <w:numId w:val="1"/>
        </w:numPr>
        <w:tabs>
          <w:tab w:val="clear" w:pos="680"/>
          <w:tab w:val="num" w:pos="1220"/>
        </w:tabs>
        <w:spacing w:after="0"/>
        <w:ind w:left="709" w:hanging="709"/>
        <w:jc w:val="both"/>
        <w:rPr>
          <w:rFonts w:ascii="ITC Avant Garde" w:hAnsi="ITC Avant Garde"/>
          <w:bCs/>
        </w:rPr>
      </w:pPr>
      <w:r w:rsidRPr="00ED4558">
        <w:rPr>
          <w:rFonts w:ascii="ITC Avant Garde" w:hAnsi="ITC Avant Garde"/>
          <w:b/>
          <w:bCs/>
        </w:rPr>
        <w:t>Decreto de Reforma Constitucional.</w:t>
      </w:r>
      <w:r w:rsidRPr="00ED4558">
        <w:rPr>
          <w:rFonts w:ascii="ITC Avant Garde" w:hAnsi="ITC Avant Garde"/>
          <w:bCs/>
        </w:rPr>
        <w:t xml:space="preserve"> El 11 de junio de 2013, se publicó en el Diario Oficial de la Federación (en lo sucesivo, el “DOF”), el </w:t>
      </w:r>
      <w:r w:rsidRPr="00ED4558">
        <w:rPr>
          <w:rFonts w:ascii="ITC Avant Garde" w:hAnsi="ITC Avant Garde"/>
          <w:bCs/>
          <w:i/>
        </w:rPr>
        <w:t>“DECRETO por el que se reforman y adicionan diversas disposiciones de los artículos 6o., 7o., 27, 28, 73, 78, 94 y 105 de la Constitución Política de los Estados Unidos Mexicanos, en materia de telecomunicaciones”</w:t>
      </w:r>
      <w:r w:rsidRPr="00ED4558">
        <w:rPr>
          <w:rFonts w:ascii="ITC Avant Garde" w:hAnsi="ITC Avant Garde"/>
          <w:bCs/>
        </w:rPr>
        <w:t xml:space="preserve"> (en lo sucesivo, el “Decreto”), mediante el cual se creó al Instituto Federal de Telecomunicaciones (en lo sucesivo, el “Instituto”), como un órgano autónomo con personalidad jurídica y patrimonio propio, cuyo objeto es el desarrollo eficiente de la radiodifusión y las telecomunicaciones conforme a lo dispuesto en la propia Constitución Política de los Estados Unidos Mexicanos (en lo sucesivo, la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3EEF6797" w14:textId="77777777" w:rsidR="00746B44" w:rsidRPr="00ED4558" w:rsidRDefault="00746B44" w:rsidP="00773BC1">
      <w:pPr>
        <w:pStyle w:val="Prrafodelista"/>
        <w:widowControl w:val="0"/>
        <w:tabs>
          <w:tab w:val="left" w:pos="720"/>
        </w:tabs>
        <w:spacing w:line="276" w:lineRule="auto"/>
        <w:ind w:left="709"/>
        <w:rPr>
          <w:rFonts w:ascii="ITC Avant Garde" w:hAnsi="ITC Avant Garde"/>
          <w:bCs/>
        </w:rPr>
      </w:pPr>
      <w:r w:rsidRPr="00ED4558">
        <w:rPr>
          <w:rFonts w:ascii="ITC Avant Garde" w:hAnsi="ITC Avant Garde"/>
          <w:bCs/>
        </w:rPr>
        <w:lastRenderedPageBreak/>
        <w:t>Por otra parte, el órgano de gobierno del Instituto se integra por siete Comisionados, incluyendo al Comisionado Presidente, designados en forma escalonada a propuesta del Ejecutivo Federal con la ratificación del Senado de la República.</w:t>
      </w:r>
    </w:p>
    <w:p w14:paraId="0165F3A3" w14:textId="77777777" w:rsidR="00915D82" w:rsidRPr="00ED4558" w:rsidRDefault="00915D82" w:rsidP="00773BC1">
      <w:pPr>
        <w:tabs>
          <w:tab w:val="left" w:pos="567"/>
        </w:tabs>
        <w:spacing w:after="0"/>
        <w:ind w:right="567"/>
        <w:jc w:val="both"/>
        <w:rPr>
          <w:rFonts w:ascii="ITC Avant Garde" w:eastAsia="Times New Roman" w:hAnsi="ITC Avant Garde"/>
          <w:lang w:val="es-ES" w:eastAsia="es-ES"/>
        </w:rPr>
      </w:pPr>
    </w:p>
    <w:p w14:paraId="3F405748" w14:textId="77777777" w:rsidR="00FC21E9" w:rsidRPr="00ED4558" w:rsidRDefault="00915D82" w:rsidP="00773BC1">
      <w:pPr>
        <w:numPr>
          <w:ilvl w:val="0"/>
          <w:numId w:val="1"/>
        </w:numPr>
        <w:tabs>
          <w:tab w:val="clear" w:pos="680"/>
          <w:tab w:val="num" w:pos="1220"/>
        </w:tabs>
        <w:spacing w:after="0"/>
        <w:ind w:left="709" w:right="48" w:hanging="709"/>
        <w:jc w:val="both"/>
        <w:rPr>
          <w:rFonts w:ascii="ITC Avant Garde" w:eastAsia="Times New Roman" w:hAnsi="ITC Avant Garde"/>
          <w:lang w:val="es-ES" w:eastAsia="es-ES"/>
        </w:rPr>
      </w:pPr>
      <w:r w:rsidRPr="00ED4558">
        <w:rPr>
          <w:rFonts w:ascii="ITC Avant Garde" w:eastAsia="Times New Roman" w:hAnsi="ITC Avant Garde"/>
          <w:b/>
          <w:lang w:val="es-ES" w:eastAsia="es-ES"/>
        </w:rPr>
        <w:t xml:space="preserve">Determinación del Agente Económico Preponderante. </w:t>
      </w:r>
      <w:r w:rsidRPr="00ED4558">
        <w:rPr>
          <w:rFonts w:ascii="ITC Avant Garde" w:eastAsia="Times New Roman" w:hAnsi="ITC Avant Garde"/>
          <w:lang w:val="es-ES" w:eastAsia="es-ES"/>
        </w:rPr>
        <w:t xml:space="preserve">El 6 de marzo de 2014, el Pleno del Instituto, en su V Sesión Extraordinaria aprobó la </w:t>
      </w:r>
      <w:r w:rsidRPr="00ED4558">
        <w:rPr>
          <w:rFonts w:ascii="ITC Avant Garde" w:eastAsia="Times New Roman" w:hAnsi="ITC Avant Garde"/>
          <w:i/>
          <w:lang w:val="es-ES" w:eastAsia="es-ES"/>
        </w:rPr>
        <w:t>“RESOLUCIÓN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w:t>
      </w:r>
      <w:r w:rsidRPr="00ED4558">
        <w:rPr>
          <w:rFonts w:ascii="ITC Avant Garde" w:eastAsia="Times New Roman" w:hAnsi="ITC Avant Garde"/>
          <w:lang w:val="es-ES" w:eastAsia="es-ES"/>
        </w:rPr>
        <w:t xml:space="preserve"> aprobada mediante Acuerdo P/IFT/EXT/060314/76 (en lo sucesivo, la “Resolución del AEP”).</w:t>
      </w:r>
    </w:p>
    <w:p w14:paraId="22613F4C" w14:textId="77777777" w:rsidR="00FC21E9" w:rsidRPr="00ED4558" w:rsidRDefault="00FC21E9" w:rsidP="00773BC1">
      <w:pPr>
        <w:pStyle w:val="Prrafodelista"/>
        <w:spacing w:line="276" w:lineRule="auto"/>
        <w:rPr>
          <w:rFonts w:ascii="ITC Avant Garde" w:hAnsi="ITC Avant Garde"/>
          <w:lang w:val="es-ES"/>
        </w:rPr>
      </w:pPr>
    </w:p>
    <w:p w14:paraId="07C61942" w14:textId="77777777" w:rsidR="00FC21E9" w:rsidRPr="00ED4558" w:rsidRDefault="00FC21E9" w:rsidP="00773BC1">
      <w:pPr>
        <w:spacing w:after="0"/>
        <w:ind w:left="709" w:right="48"/>
        <w:jc w:val="both"/>
        <w:rPr>
          <w:rFonts w:ascii="ITC Avant Garde" w:eastAsia="Times New Roman" w:hAnsi="ITC Avant Garde"/>
          <w:lang w:val="es-ES" w:eastAsia="es-ES"/>
        </w:rPr>
      </w:pPr>
      <w:r w:rsidRPr="00ED4558">
        <w:rPr>
          <w:rFonts w:ascii="ITC Avant Garde" w:hAnsi="ITC Avant Garde"/>
          <w:lang w:val="es-ES"/>
        </w:rPr>
        <w:t>Dentro del Ac</w:t>
      </w:r>
      <w:r w:rsidR="00324B77" w:rsidRPr="00ED4558">
        <w:rPr>
          <w:rFonts w:ascii="ITC Avant Garde" w:hAnsi="ITC Avant Garde"/>
          <w:lang w:val="es-ES"/>
        </w:rPr>
        <w:t>uerdo P/IFT/EXT/060314/76 como A</w:t>
      </w:r>
      <w:r w:rsidRPr="00ED4558">
        <w:rPr>
          <w:rFonts w:ascii="ITC Avant Garde" w:hAnsi="ITC Avant Garde"/>
          <w:lang w:val="es-ES"/>
        </w:rPr>
        <w:t xml:space="preserve">nexo 1, el Pleno del Instituto aprobó las </w:t>
      </w:r>
      <w:r w:rsidRPr="00ED4558">
        <w:rPr>
          <w:rFonts w:ascii="ITC Avant Garde" w:hAnsi="ITC Avant Garde"/>
          <w:i/>
          <w:lang w:val="es-ES"/>
        </w:rPr>
        <w:t>“MEDIDAS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w:t>
      </w:r>
      <w:r w:rsidRPr="00ED4558">
        <w:rPr>
          <w:rFonts w:ascii="ITC Avant Garde" w:hAnsi="ITC Avant Garde"/>
          <w:lang w:val="es-ES"/>
        </w:rPr>
        <w:t xml:space="preserve"> (en lo sucesivo, las “Medidas Móviles”).</w:t>
      </w:r>
    </w:p>
    <w:p w14:paraId="55C3B9DD" w14:textId="77777777" w:rsidR="00FC21E9" w:rsidRPr="00ED4558" w:rsidRDefault="00FC21E9" w:rsidP="00773BC1">
      <w:pPr>
        <w:spacing w:after="0"/>
        <w:ind w:right="615"/>
        <w:jc w:val="both"/>
        <w:rPr>
          <w:rFonts w:ascii="ITC Avant Garde" w:eastAsia="Times New Roman" w:hAnsi="ITC Avant Garde"/>
          <w:lang w:val="es-ES" w:eastAsia="es-ES"/>
        </w:rPr>
      </w:pPr>
    </w:p>
    <w:p w14:paraId="50BE38AA" w14:textId="77777777" w:rsidR="00E717C8" w:rsidRPr="00ED4558" w:rsidRDefault="001D5838" w:rsidP="00773BC1">
      <w:pPr>
        <w:numPr>
          <w:ilvl w:val="0"/>
          <w:numId w:val="1"/>
        </w:numPr>
        <w:tabs>
          <w:tab w:val="clear" w:pos="680"/>
        </w:tabs>
        <w:spacing w:after="0"/>
        <w:ind w:left="709" w:right="48" w:hanging="709"/>
        <w:jc w:val="both"/>
        <w:rPr>
          <w:rFonts w:ascii="ITC Avant Garde" w:eastAsia="Times New Roman" w:hAnsi="ITC Avant Garde"/>
          <w:i/>
          <w:lang w:eastAsia="es-ES"/>
        </w:rPr>
      </w:pPr>
      <w:r w:rsidRPr="00ED4558">
        <w:rPr>
          <w:rFonts w:ascii="ITC Avant Garde" w:eastAsia="Times New Roman" w:hAnsi="ITC Avant Garde"/>
          <w:b/>
          <w:lang w:val="es-ES" w:eastAsia="es-ES"/>
        </w:rPr>
        <w:t xml:space="preserve">Publicación de la </w:t>
      </w:r>
      <w:r w:rsidR="00E93740" w:rsidRPr="00ED4558">
        <w:rPr>
          <w:rFonts w:ascii="ITC Avant Garde" w:eastAsia="Times New Roman" w:hAnsi="ITC Avant Garde"/>
          <w:b/>
          <w:lang w:val="es-ES" w:eastAsia="es-ES"/>
        </w:rPr>
        <w:t xml:space="preserve">Ley Federal de Telecomunicaciones y Radiodifusión. </w:t>
      </w:r>
      <w:r w:rsidR="00E93740" w:rsidRPr="00ED4558">
        <w:rPr>
          <w:rFonts w:ascii="ITC Avant Garde" w:eastAsia="Times New Roman" w:hAnsi="ITC Avant Garde"/>
          <w:lang w:val="es-ES" w:eastAsia="es-ES"/>
        </w:rPr>
        <w:t>El 14 de julio de 2014, se publicó en el DOF el</w:t>
      </w:r>
      <w:r w:rsidR="00E93740" w:rsidRPr="00ED4558">
        <w:rPr>
          <w:rFonts w:ascii="ITC Avant Garde" w:eastAsia="Times New Roman" w:hAnsi="ITC Avant Garde"/>
          <w:i/>
          <w:lang w:val="es-ES" w:eastAsia="es-ES"/>
        </w:rPr>
        <w:t xml:space="preserve"> “</w:t>
      </w:r>
      <w:r w:rsidR="00E717C8" w:rsidRPr="00ED4558">
        <w:rPr>
          <w:rFonts w:ascii="ITC Avant Garde" w:eastAsia="Times New Roman" w:hAnsi="ITC Avant Garde"/>
          <w:i/>
          <w:lang w:val="es-ES" w:eastAsia="es-ES"/>
        </w:rPr>
        <w:t xml:space="preserve">DECRETO </w:t>
      </w:r>
      <w:r w:rsidR="00E93740" w:rsidRPr="00ED4558">
        <w:rPr>
          <w:rFonts w:ascii="ITC Avant Garde" w:eastAsia="Times New Roman" w:hAnsi="ITC Avant Garde"/>
          <w:i/>
          <w:lang w:val="es-ES" w:eastAsia="es-ES"/>
        </w:rPr>
        <w:t xml:space="preserve">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Ley”), </w:t>
      </w:r>
      <w:r w:rsidR="00E93740" w:rsidRPr="00ED4558">
        <w:rPr>
          <w:rFonts w:ascii="ITC Avant Garde" w:eastAsia="Times New Roman" w:hAnsi="ITC Avant Garde"/>
          <w:lang w:val="es-ES" w:eastAsia="es-ES"/>
        </w:rPr>
        <w:t xml:space="preserve">entrando en vigor la Ley Federal de Telecomunicaciones y Radiodifusión (en lo sucesivo, la </w:t>
      </w:r>
      <w:r w:rsidR="00157BBE" w:rsidRPr="00ED4558">
        <w:rPr>
          <w:rFonts w:ascii="ITC Avant Garde" w:eastAsia="Times New Roman" w:hAnsi="ITC Avant Garde"/>
          <w:lang w:val="es-ES" w:eastAsia="es-ES"/>
        </w:rPr>
        <w:t>“</w:t>
      </w:r>
      <w:proofErr w:type="spellStart"/>
      <w:r w:rsidR="00E93740" w:rsidRPr="00ED4558">
        <w:rPr>
          <w:rFonts w:ascii="ITC Avant Garde" w:eastAsia="Times New Roman" w:hAnsi="ITC Avant Garde"/>
          <w:lang w:val="es-ES" w:eastAsia="es-ES"/>
        </w:rPr>
        <w:t>LFTyR</w:t>
      </w:r>
      <w:proofErr w:type="spellEnd"/>
      <w:r w:rsidR="00E93740" w:rsidRPr="00ED4558">
        <w:rPr>
          <w:rFonts w:ascii="ITC Avant Garde" w:eastAsia="Times New Roman" w:hAnsi="ITC Avant Garde"/>
          <w:lang w:val="es-ES" w:eastAsia="es-ES"/>
        </w:rPr>
        <w:t>”</w:t>
      </w:r>
      <w:r w:rsidR="001A7F98" w:rsidRPr="00ED4558">
        <w:rPr>
          <w:rFonts w:ascii="ITC Avant Garde" w:eastAsia="Times New Roman" w:hAnsi="ITC Avant Garde"/>
          <w:lang w:val="es-ES" w:eastAsia="es-ES"/>
        </w:rPr>
        <w:t>)</w:t>
      </w:r>
      <w:r w:rsidR="00E93740" w:rsidRPr="00ED4558">
        <w:rPr>
          <w:rFonts w:ascii="ITC Avant Garde" w:eastAsia="Times New Roman" w:hAnsi="ITC Avant Garde"/>
          <w:i/>
          <w:lang w:val="es-ES" w:eastAsia="es-ES"/>
        </w:rPr>
        <w:t xml:space="preserve"> </w:t>
      </w:r>
      <w:r w:rsidR="00E93740" w:rsidRPr="00ED4558">
        <w:rPr>
          <w:rFonts w:ascii="ITC Avant Garde" w:eastAsia="Times New Roman" w:hAnsi="ITC Avant Garde"/>
          <w:lang w:val="es-ES" w:eastAsia="es-ES"/>
        </w:rPr>
        <w:t>el 13 de agosto del 2014</w:t>
      </w:r>
      <w:r w:rsidR="00157BBE" w:rsidRPr="00ED4558">
        <w:rPr>
          <w:rFonts w:ascii="ITC Avant Garde" w:eastAsia="Times New Roman" w:hAnsi="ITC Avant Garde"/>
          <w:lang w:val="es-ES" w:eastAsia="es-ES"/>
        </w:rPr>
        <w:t>, de conformidad a lo establecido en el artículo Primero Transitorio del citado Decreto de Ley.</w:t>
      </w:r>
    </w:p>
    <w:p w14:paraId="2C90A262" w14:textId="77777777" w:rsidR="00E717C8" w:rsidRPr="00ED4558" w:rsidRDefault="00E717C8" w:rsidP="00773BC1">
      <w:pPr>
        <w:spacing w:after="0"/>
        <w:ind w:left="709" w:right="48"/>
        <w:jc w:val="both"/>
        <w:rPr>
          <w:rFonts w:ascii="ITC Avant Garde" w:eastAsia="Times New Roman" w:hAnsi="ITC Avant Garde"/>
          <w:i/>
          <w:lang w:val="es-ES" w:eastAsia="es-ES"/>
        </w:rPr>
      </w:pPr>
    </w:p>
    <w:p w14:paraId="43B24E29" w14:textId="77777777" w:rsidR="0010524D" w:rsidRPr="00ED4558" w:rsidRDefault="00E93740" w:rsidP="00773BC1">
      <w:pPr>
        <w:numPr>
          <w:ilvl w:val="0"/>
          <w:numId w:val="1"/>
        </w:numPr>
        <w:tabs>
          <w:tab w:val="clear" w:pos="680"/>
        </w:tabs>
        <w:spacing w:after="0"/>
        <w:ind w:left="709" w:right="48" w:hanging="709"/>
        <w:jc w:val="both"/>
        <w:rPr>
          <w:rFonts w:ascii="ITC Avant Garde" w:eastAsia="Times New Roman" w:hAnsi="ITC Avant Garde"/>
          <w:i/>
          <w:lang w:val="es-ES" w:eastAsia="es-ES"/>
        </w:rPr>
      </w:pPr>
      <w:bookmarkStart w:id="0" w:name="antecedente6"/>
      <w:r w:rsidRPr="00ED4558">
        <w:rPr>
          <w:rFonts w:ascii="ITC Avant Garde" w:eastAsia="Times New Roman" w:hAnsi="ITC Avant Garde"/>
          <w:b/>
          <w:lang w:val="es-ES" w:eastAsia="es-ES"/>
        </w:rPr>
        <w:t>Publicación del Estatuto Orgánico del Instituto Federal de Telecomunicaciones.</w:t>
      </w:r>
      <w:r w:rsidRPr="00ED4558">
        <w:rPr>
          <w:rFonts w:ascii="ITC Avant Garde" w:eastAsia="Times New Roman" w:hAnsi="ITC Avant Garde"/>
          <w:lang w:val="es-ES" w:eastAsia="es-ES"/>
        </w:rPr>
        <w:t xml:space="preserve"> El 4 de septiembre de 2014 se publicó en el DOF el </w:t>
      </w:r>
      <w:r w:rsidR="00746B44" w:rsidRPr="00ED4558">
        <w:rPr>
          <w:rFonts w:ascii="ITC Avant Garde" w:eastAsia="Times New Roman" w:hAnsi="ITC Avant Garde"/>
          <w:i/>
          <w:lang w:val="es-ES" w:eastAsia="es-ES"/>
        </w:rPr>
        <w:t>“</w:t>
      </w:r>
      <w:r w:rsidRPr="00ED4558">
        <w:rPr>
          <w:rFonts w:ascii="ITC Avant Garde" w:eastAsia="Times New Roman" w:hAnsi="ITC Avant Garde"/>
          <w:i/>
          <w:lang w:val="es-ES" w:eastAsia="es-ES"/>
        </w:rPr>
        <w:t>E</w:t>
      </w:r>
      <w:r w:rsidR="00157BBE" w:rsidRPr="00ED4558">
        <w:rPr>
          <w:rFonts w:ascii="ITC Avant Garde" w:eastAsia="Times New Roman" w:hAnsi="ITC Avant Garde"/>
          <w:i/>
          <w:lang w:val="es-ES" w:eastAsia="es-ES"/>
        </w:rPr>
        <w:t>STATUTO</w:t>
      </w:r>
      <w:r w:rsidRPr="00ED4558">
        <w:rPr>
          <w:rFonts w:ascii="ITC Avant Garde" w:eastAsia="Times New Roman" w:hAnsi="ITC Avant Garde"/>
          <w:i/>
          <w:lang w:val="es-ES" w:eastAsia="es-ES"/>
        </w:rPr>
        <w:t xml:space="preserve"> Orgánico del Instituto Federal de Telecomunicaciones” (en lo sucesivo, el</w:t>
      </w:r>
      <w:r w:rsidR="00157BBE" w:rsidRPr="00ED4558">
        <w:rPr>
          <w:rFonts w:ascii="ITC Avant Garde" w:eastAsia="Times New Roman" w:hAnsi="ITC Avant Garde"/>
          <w:i/>
          <w:lang w:val="es-ES" w:eastAsia="es-ES"/>
        </w:rPr>
        <w:t xml:space="preserve"> </w:t>
      </w:r>
      <w:r w:rsidRPr="00ED4558">
        <w:rPr>
          <w:rFonts w:ascii="ITC Avant Garde" w:eastAsia="Times New Roman" w:hAnsi="ITC Avant Garde"/>
          <w:i/>
          <w:lang w:val="es-ES" w:eastAsia="es-ES"/>
        </w:rPr>
        <w:t>“Estatuto”)</w:t>
      </w:r>
      <w:r w:rsidRPr="00ED4558">
        <w:rPr>
          <w:rFonts w:ascii="ITC Avant Garde" w:eastAsia="Times New Roman" w:hAnsi="ITC Avant Garde"/>
          <w:lang w:val="es-ES" w:eastAsia="es-ES"/>
        </w:rPr>
        <w:t>, mismo que entró en vigor el 26 de septiembre de 2014</w:t>
      </w:r>
      <w:r w:rsidR="00746B44" w:rsidRPr="00ED4558">
        <w:rPr>
          <w:rFonts w:ascii="ITC Avant Garde" w:eastAsia="Times New Roman" w:hAnsi="ITC Avant Garde"/>
          <w:lang w:val="es-ES" w:eastAsia="es-ES"/>
        </w:rPr>
        <w:t xml:space="preserve"> </w:t>
      </w:r>
      <w:r w:rsidR="00685E34" w:rsidRPr="00ED4558">
        <w:rPr>
          <w:rFonts w:ascii="ITC Avant Garde" w:eastAsia="Times New Roman" w:hAnsi="ITC Avant Garde"/>
          <w:lang w:val="es-ES" w:eastAsia="es-ES"/>
        </w:rPr>
        <w:t>y fue modificado el 17 de octubre de 2014.</w:t>
      </w:r>
    </w:p>
    <w:bookmarkEnd w:id="0"/>
    <w:p w14:paraId="408094A6" w14:textId="77777777" w:rsidR="0010524D" w:rsidRPr="00ED4558" w:rsidRDefault="00DC4719" w:rsidP="00773BC1">
      <w:pPr>
        <w:numPr>
          <w:ilvl w:val="0"/>
          <w:numId w:val="1"/>
        </w:numPr>
        <w:tabs>
          <w:tab w:val="clear" w:pos="680"/>
        </w:tabs>
        <w:spacing w:after="0"/>
        <w:ind w:left="709" w:right="48" w:hanging="709"/>
        <w:jc w:val="both"/>
        <w:rPr>
          <w:rFonts w:ascii="ITC Avant Garde" w:hAnsi="ITC Avant Garde" w:cs="Arial"/>
          <w:bCs/>
          <w:i/>
        </w:rPr>
      </w:pPr>
      <w:r w:rsidRPr="00ED4558">
        <w:rPr>
          <w:rFonts w:ascii="ITC Avant Garde" w:hAnsi="ITC Avant Garde" w:cs="Arial"/>
          <w:b/>
          <w:bCs/>
        </w:rPr>
        <w:lastRenderedPageBreak/>
        <w:t xml:space="preserve">Metodología para el cálculo de costos de interconexión. </w:t>
      </w:r>
      <w:r w:rsidRPr="00ED4558">
        <w:rPr>
          <w:rFonts w:ascii="ITC Avant Garde" w:hAnsi="ITC Avant Garde" w:cs="Arial"/>
          <w:bCs/>
        </w:rPr>
        <w:t>El 18 de diciembre de 2014, el Instituto publicó en el DOF, el “</w:t>
      </w:r>
      <w:r w:rsidRPr="00ED4558">
        <w:rPr>
          <w:rFonts w:ascii="ITC Avant Garde" w:hAnsi="ITC Avant Garde" w:cs="Arial"/>
          <w:bCs/>
          <w:i/>
        </w:rPr>
        <w:t xml:space="preserve">ACUERDO </w:t>
      </w:r>
      <w:r w:rsidR="00157BBE" w:rsidRPr="00ED4558">
        <w:rPr>
          <w:rFonts w:ascii="ITC Avant Garde" w:hAnsi="ITC Avant Garde" w:cs="Arial"/>
          <w:bCs/>
          <w:i/>
        </w:rPr>
        <w:t>mediante el cual el</w:t>
      </w:r>
      <w:r w:rsidR="006B6E39" w:rsidRPr="00ED4558">
        <w:rPr>
          <w:rFonts w:ascii="ITC Avant Garde" w:hAnsi="ITC Avant Garde" w:cs="Arial"/>
          <w:bCs/>
          <w:i/>
        </w:rPr>
        <w:t xml:space="preserve"> </w:t>
      </w:r>
      <w:r w:rsidR="00157BBE" w:rsidRPr="00ED4558">
        <w:rPr>
          <w:rFonts w:ascii="ITC Avant Garde" w:hAnsi="ITC Avant Garde" w:cs="Arial"/>
          <w:bCs/>
          <w:i/>
        </w:rPr>
        <w:t>Pleno del Instituto Federal de Telecomunicaciones emite la metodología para el cálculo de costos de interconexión de conformidad con la Ley Federal de Telecomunicaciones y Radiodifusión</w:t>
      </w:r>
      <w:r w:rsidRPr="00ED4558">
        <w:rPr>
          <w:rFonts w:ascii="ITC Avant Garde" w:hAnsi="ITC Avant Garde" w:cs="Arial"/>
          <w:bCs/>
          <w:i/>
        </w:rPr>
        <w:t xml:space="preserve">”, </w:t>
      </w:r>
      <w:r w:rsidRPr="00ED4558">
        <w:rPr>
          <w:rFonts w:ascii="ITC Avant Garde" w:hAnsi="ITC Avant Garde" w:cs="Arial"/>
          <w:bCs/>
        </w:rPr>
        <w:t>aprobado mediante Acuerdo P/IFT/EXT/161214/277 (en lo</w:t>
      </w:r>
      <w:r w:rsidRPr="00ED4558">
        <w:rPr>
          <w:rFonts w:ascii="ITC Avant Garde" w:hAnsi="ITC Avant Garde" w:cs="Arial"/>
          <w:bCs/>
          <w:i/>
        </w:rPr>
        <w:t xml:space="preserve"> </w:t>
      </w:r>
      <w:r w:rsidRPr="00ED4558">
        <w:rPr>
          <w:rFonts w:ascii="ITC Avant Garde" w:hAnsi="ITC Avant Garde" w:cs="Arial"/>
          <w:bCs/>
        </w:rPr>
        <w:t>sucesivo la “Metodología de Costos”).</w:t>
      </w:r>
    </w:p>
    <w:p w14:paraId="1FD37B39" w14:textId="77777777" w:rsidR="0010524D" w:rsidRPr="00ED4558" w:rsidRDefault="0010524D" w:rsidP="00773BC1">
      <w:pPr>
        <w:spacing w:after="0"/>
        <w:ind w:left="709" w:right="48"/>
        <w:jc w:val="both"/>
        <w:rPr>
          <w:rFonts w:ascii="ITC Avant Garde" w:hAnsi="ITC Avant Garde" w:cs="Arial"/>
          <w:bCs/>
          <w:i/>
        </w:rPr>
      </w:pPr>
    </w:p>
    <w:p w14:paraId="0F2B0829" w14:textId="77777777" w:rsidR="0010524D" w:rsidRPr="00ED4558" w:rsidRDefault="00DC4719" w:rsidP="00773BC1">
      <w:pPr>
        <w:numPr>
          <w:ilvl w:val="0"/>
          <w:numId w:val="1"/>
        </w:numPr>
        <w:spacing w:after="0"/>
        <w:ind w:left="709" w:right="48" w:hanging="567"/>
        <w:jc w:val="both"/>
        <w:rPr>
          <w:rFonts w:ascii="ITC Avant Garde" w:hAnsi="ITC Avant Garde" w:cs="Arial"/>
          <w:b/>
        </w:rPr>
      </w:pPr>
      <w:r w:rsidRPr="00ED4558">
        <w:rPr>
          <w:rFonts w:ascii="ITC Avant Garde" w:hAnsi="ITC Avant Garde" w:cs="Arial"/>
          <w:b/>
        </w:rPr>
        <w:t xml:space="preserve">Publicación de Tarifas de Interconexión del año 2015. </w:t>
      </w:r>
      <w:r w:rsidRPr="00ED4558">
        <w:rPr>
          <w:rFonts w:ascii="ITC Avant Garde" w:hAnsi="ITC Avant Garde" w:cs="Arial"/>
        </w:rPr>
        <w:t>El 29 de diciembre de 2014, el Instituto publicó en el DOF el “</w:t>
      </w:r>
      <w:r w:rsidRPr="00ED4558">
        <w:rPr>
          <w:rFonts w:ascii="ITC Avant Garde" w:hAnsi="ITC Avant Garde" w:cs="Arial"/>
          <w:i/>
        </w:rPr>
        <w:t xml:space="preserve">ACUERDO </w:t>
      </w:r>
      <w:r w:rsidR="00157BBE" w:rsidRPr="00ED4558">
        <w:rPr>
          <w:rFonts w:ascii="ITC Avant Garde" w:hAnsi="ITC Avant Garde" w:cs="Arial"/>
          <w:i/>
        </w:rPr>
        <w:t>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2015</w:t>
      </w:r>
      <w:r w:rsidRPr="00ED4558">
        <w:rPr>
          <w:rFonts w:ascii="ITC Avant Garde" w:hAnsi="ITC Avant Garde" w:cs="Arial"/>
          <w:i/>
        </w:rPr>
        <w:t>”,</w:t>
      </w:r>
      <w:r w:rsidRPr="00ED4558">
        <w:rPr>
          <w:rFonts w:ascii="ITC Avant Garde" w:hAnsi="ITC Avant Garde" w:cs="Arial"/>
        </w:rPr>
        <w:t xml:space="preserve"> aprobado mediante Acuerdo P/IFT/EXT/191214/284 (en lo sucesivo, el “Acuerdo de Tarifas 2015”).</w:t>
      </w:r>
    </w:p>
    <w:p w14:paraId="00E4C731" w14:textId="77777777" w:rsidR="0010524D" w:rsidRPr="00ED4558" w:rsidRDefault="0010524D" w:rsidP="00773BC1">
      <w:pPr>
        <w:spacing w:after="0"/>
        <w:ind w:left="709" w:right="48"/>
        <w:jc w:val="both"/>
        <w:rPr>
          <w:rFonts w:ascii="ITC Avant Garde" w:hAnsi="ITC Avant Garde" w:cs="Arial"/>
          <w:b/>
        </w:rPr>
      </w:pPr>
    </w:p>
    <w:p w14:paraId="63BA626A" w14:textId="77777777" w:rsidR="0010524D" w:rsidRPr="00ED4558" w:rsidRDefault="00A7512D" w:rsidP="00773BC1">
      <w:pPr>
        <w:numPr>
          <w:ilvl w:val="0"/>
          <w:numId w:val="1"/>
        </w:numPr>
        <w:spacing w:after="0"/>
        <w:ind w:left="709" w:right="48" w:hanging="567"/>
        <w:jc w:val="both"/>
        <w:rPr>
          <w:rFonts w:ascii="ITC Avant Garde" w:hAnsi="ITC Avant Garde" w:cs="Arial"/>
          <w:b/>
        </w:rPr>
      </w:pPr>
      <w:r w:rsidRPr="00ED4558">
        <w:rPr>
          <w:rFonts w:ascii="ITC Avant Garde" w:hAnsi="ITC Avant Garde"/>
          <w:b/>
          <w:bCs/>
          <w:lang w:val="es-ES" w:eastAsia="es-ES"/>
        </w:rPr>
        <w:t>Sistema Electrónico de Solicitudes de Interconexión.</w:t>
      </w:r>
      <w:r w:rsidRPr="00ED4558">
        <w:rPr>
          <w:rFonts w:ascii="ITC Avant Garde" w:hAnsi="ITC Avant Garde"/>
          <w:bCs/>
          <w:lang w:val="es-ES" w:eastAsia="es-ES"/>
        </w:rPr>
        <w:t xml:space="preserve"> El 29 de diciembre de 2014 se publicó en el DOF el </w:t>
      </w:r>
      <w:r w:rsidRPr="00ED4558">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ED4558">
        <w:rPr>
          <w:rFonts w:ascii="ITC Avant Garde" w:hAnsi="ITC Avant Garde"/>
          <w:bCs/>
          <w:lang w:val="es-ES" w:eastAsia="es-ES"/>
        </w:rPr>
        <w:t>(en lo sucesivo, el “Acuerdo del Sistema”),</w:t>
      </w:r>
      <w:r w:rsidRPr="00ED4558">
        <w:rPr>
          <w:rFonts w:ascii="ITC Avant Garde" w:hAnsi="ITC Avant Garde"/>
          <w:bCs/>
          <w:i/>
          <w:lang w:val="es-ES" w:eastAsia="es-ES"/>
        </w:rPr>
        <w:t xml:space="preserve"> </w:t>
      </w:r>
      <w:r w:rsidRPr="00ED4558">
        <w:rPr>
          <w:rFonts w:ascii="ITC Avant Garde" w:hAnsi="ITC Avant Garde"/>
          <w:bCs/>
          <w:lang w:val="es-ES" w:eastAsia="es-ES"/>
        </w:rPr>
        <w:t>mediante el cual se estableció</w:t>
      </w:r>
      <w:r w:rsidR="005160CE" w:rsidRPr="00ED4558">
        <w:rPr>
          <w:rFonts w:ascii="ITC Avant Garde" w:hAnsi="ITC Avant Garde"/>
          <w:bCs/>
          <w:lang w:val="es-ES" w:eastAsia="es-ES"/>
        </w:rPr>
        <w:t xml:space="preserve"> el Sistema Electrónico de Solicitudes de Interconexión, (en lo sucesivo, el “SESI”).</w:t>
      </w:r>
    </w:p>
    <w:p w14:paraId="005E5E85" w14:textId="77777777" w:rsidR="00F9253A" w:rsidRPr="00ED4558" w:rsidRDefault="00F9253A" w:rsidP="00773BC1">
      <w:pPr>
        <w:pStyle w:val="Prrafodelista"/>
        <w:spacing w:line="276" w:lineRule="auto"/>
        <w:rPr>
          <w:rFonts w:ascii="ITC Avant Garde" w:hAnsi="ITC Avant Garde" w:cs="Arial"/>
          <w:b/>
        </w:rPr>
      </w:pPr>
    </w:p>
    <w:p w14:paraId="3F5CC35F" w14:textId="77777777" w:rsidR="00F9253A" w:rsidRPr="00ED4558" w:rsidRDefault="00F9253A" w:rsidP="007A4860">
      <w:pPr>
        <w:numPr>
          <w:ilvl w:val="0"/>
          <w:numId w:val="1"/>
        </w:numPr>
        <w:spacing w:after="0"/>
        <w:jc w:val="both"/>
        <w:rPr>
          <w:rFonts w:ascii="ITC Avant Garde" w:hAnsi="ITC Avant Garde"/>
          <w:bCs/>
          <w:lang w:val="es-ES" w:eastAsia="es-ES"/>
        </w:rPr>
      </w:pPr>
      <w:r w:rsidRPr="00ED4558">
        <w:rPr>
          <w:rFonts w:ascii="ITC Avant Garde" w:hAnsi="ITC Avant Garde"/>
          <w:b/>
          <w:bCs/>
          <w:lang w:val="es-ES" w:eastAsia="es-ES"/>
        </w:rPr>
        <w:t xml:space="preserve">Condiciones Técnicas Mínimas.- </w:t>
      </w:r>
      <w:r w:rsidRPr="00ED4558">
        <w:rPr>
          <w:rFonts w:ascii="ITC Avant Garde" w:hAnsi="ITC Avant Garde"/>
          <w:bCs/>
          <w:lang w:val="es-ES" w:eastAsia="es-ES"/>
        </w:rPr>
        <w:t xml:space="preserve">El 31 de diciembre de 2014 se publicó en el DOF, mediante acuerdo P/IFT/EXT/191214/283, el </w:t>
      </w:r>
      <w:r w:rsidRPr="00ED4558">
        <w:rPr>
          <w:rFonts w:ascii="ITC Avant Garde" w:hAnsi="ITC Avant Garde"/>
          <w:bCs/>
          <w:i/>
          <w:lang w:val="es-ES" w:eastAsia="es-ES"/>
        </w:rPr>
        <w:t>“ACUERDO mediante el cual el Pleno del Instituto Federal de Telecomunicaciones establece las condiciones técnicas mínimas para la interconexión entre concesionarios que operen redes públicas de telecomunicaciones”</w:t>
      </w:r>
      <w:r w:rsidRPr="00ED4558">
        <w:rPr>
          <w:rFonts w:ascii="ITC Avant Garde" w:hAnsi="ITC Avant Garde"/>
          <w:bCs/>
          <w:lang w:val="es-ES" w:eastAsia="es-ES"/>
        </w:rPr>
        <w:t xml:space="preserve">, </w:t>
      </w:r>
      <w:r w:rsidR="00607175" w:rsidRPr="00ED4558">
        <w:rPr>
          <w:rFonts w:ascii="ITC Avant Garde" w:hAnsi="ITC Avant Garde"/>
          <w:bCs/>
          <w:lang w:val="es-ES" w:eastAsia="es-ES"/>
        </w:rPr>
        <w:t xml:space="preserve">mismo que a partir del 1 de enero de 2016 será sustituido por el </w:t>
      </w:r>
      <w:r w:rsidR="00607175" w:rsidRPr="00ED4558">
        <w:rPr>
          <w:rFonts w:ascii="ITC Avant Garde" w:hAnsi="ITC Avant Garde"/>
          <w:bCs/>
          <w:i/>
          <w:lang w:val="es-ES" w:eastAsia="es-ES"/>
        </w:rPr>
        <w:t xml:space="preserve">“ACUERDO mediante el cual el Pleno del Instituto Federal de Telecomunicaciones establece las condiciones técnicas mínimas para la interconexión entre concesionarios que operen redes públicas de telecomunicaciones” </w:t>
      </w:r>
      <w:r w:rsidR="00607175" w:rsidRPr="00ED4558">
        <w:rPr>
          <w:rFonts w:ascii="ITC Avant Garde" w:hAnsi="ITC Avant Garde"/>
          <w:bCs/>
          <w:lang w:val="es-ES" w:eastAsia="es-ES"/>
        </w:rPr>
        <w:t xml:space="preserve">publicado en el DOF el 5 de noviembre de 2015, aplicable del 1 de enero al 31 de diciembre de 2016 </w:t>
      </w:r>
      <w:r w:rsidRPr="00ED4558">
        <w:rPr>
          <w:rFonts w:ascii="ITC Avant Garde" w:hAnsi="ITC Avant Garde"/>
          <w:bCs/>
          <w:lang w:val="es-ES" w:eastAsia="es-ES"/>
        </w:rPr>
        <w:t>(en lo sucesivo, “Condiciones Técnicas Mínimas”).</w:t>
      </w:r>
    </w:p>
    <w:p w14:paraId="64BFF00C" w14:textId="77777777" w:rsidR="0010524D" w:rsidRPr="00ED4558" w:rsidRDefault="0010524D" w:rsidP="00773BC1">
      <w:pPr>
        <w:tabs>
          <w:tab w:val="left" w:pos="567"/>
        </w:tabs>
        <w:spacing w:after="0"/>
        <w:ind w:left="567" w:right="567"/>
        <w:jc w:val="both"/>
        <w:rPr>
          <w:rFonts w:ascii="ITC Avant Garde" w:hAnsi="ITC Avant Garde"/>
          <w:bCs/>
        </w:rPr>
      </w:pPr>
    </w:p>
    <w:p w14:paraId="3268F119" w14:textId="77777777" w:rsidR="0010524D" w:rsidRPr="00ED4558" w:rsidRDefault="00394255" w:rsidP="00AB29EF">
      <w:pPr>
        <w:numPr>
          <w:ilvl w:val="0"/>
          <w:numId w:val="1"/>
        </w:numPr>
        <w:tabs>
          <w:tab w:val="clear" w:pos="680"/>
        </w:tabs>
        <w:spacing w:after="0"/>
        <w:ind w:left="709" w:right="48" w:hanging="709"/>
        <w:jc w:val="both"/>
        <w:rPr>
          <w:rFonts w:ascii="ITC Avant Garde" w:eastAsia="Times New Roman" w:hAnsi="ITC Avant Garde"/>
          <w:bCs/>
          <w:lang w:val="es-ES" w:eastAsia="es-ES"/>
        </w:rPr>
      </w:pPr>
      <w:bookmarkStart w:id="1" w:name="antecedente10"/>
      <w:r w:rsidRPr="00ED4558">
        <w:rPr>
          <w:rFonts w:ascii="ITC Avant Garde" w:eastAsia="Times New Roman" w:hAnsi="ITC Avant Garde"/>
          <w:b/>
          <w:bCs/>
          <w:lang w:val="es-ES" w:eastAsia="es-ES"/>
        </w:rPr>
        <w:t xml:space="preserve">Solicitud de resolución de condiciones de interconexión no convenidas. </w:t>
      </w:r>
      <w:r w:rsidRPr="00ED4558">
        <w:rPr>
          <w:rFonts w:ascii="ITC Avant Garde" w:eastAsia="Times New Roman" w:hAnsi="ITC Avant Garde"/>
          <w:lang w:val="es-ES" w:eastAsia="es-ES"/>
        </w:rPr>
        <w:t>El</w:t>
      </w:r>
      <w:r w:rsidR="005D64CC" w:rsidRPr="00ED4558">
        <w:rPr>
          <w:rFonts w:ascii="ITC Avant Garde" w:eastAsia="Times New Roman" w:hAnsi="ITC Avant Garde"/>
          <w:lang w:val="es-ES" w:eastAsia="es-ES"/>
        </w:rPr>
        <w:t xml:space="preserve"> </w:t>
      </w:r>
      <w:r w:rsidR="002B2578" w:rsidRPr="00ED4558">
        <w:rPr>
          <w:rFonts w:ascii="ITC Avant Garde" w:eastAsia="Times New Roman" w:hAnsi="ITC Avant Garde"/>
          <w:lang w:val="es-ES" w:eastAsia="es-ES"/>
        </w:rPr>
        <w:t>7</w:t>
      </w:r>
      <w:r w:rsidR="00293D63" w:rsidRPr="00ED4558">
        <w:rPr>
          <w:rFonts w:ascii="ITC Avant Garde" w:eastAsia="Times New Roman" w:hAnsi="ITC Avant Garde"/>
          <w:lang w:val="es-ES" w:eastAsia="es-ES"/>
        </w:rPr>
        <w:t xml:space="preserve"> </w:t>
      </w:r>
      <w:r w:rsidR="001F2F07" w:rsidRPr="00ED4558">
        <w:rPr>
          <w:rFonts w:ascii="ITC Avant Garde" w:eastAsia="Times New Roman" w:hAnsi="ITC Avant Garde"/>
          <w:lang w:val="es-ES" w:eastAsia="es-ES"/>
        </w:rPr>
        <w:t xml:space="preserve">de </w:t>
      </w:r>
      <w:r w:rsidR="002B2578" w:rsidRPr="00ED4558">
        <w:rPr>
          <w:rFonts w:ascii="ITC Avant Garde" w:eastAsia="Times New Roman" w:hAnsi="ITC Avant Garde"/>
          <w:lang w:val="es-ES" w:eastAsia="es-ES"/>
        </w:rPr>
        <w:t xml:space="preserve">agosto </w:t>
      </w:r>
      <w:r w:rsidR="001F2F07" w:rsidRPr="00ED4558">
        <w:rPr>
          <w:rFonts w:ascii="ITC Avant Garde" w:eastAsia="Times New Roman" w:hAnsi="ITC Avant Garde"/>
          <w:lang w:val="es-ES" w:eastAsia="es-ES"/>
        </w:rPr>
        <w:t xml:space="preserve">de </w:t>
      </w:r>
      <w:r w:rsidR="00915D82" w:rsidRPr="00ED4558">
        <w:rPr>
          <w:rFonts w:ascii="ITC Avant Garde" w:eastAsia="Times New Roman" w:hAnsi="ITC Avant Garde"/>
          <w:lang w:val="es-ES" w:eastAsia="es-ES"/>
        </w:rPr>
        <w:t>2015</w:t>
      </w:r>
      <w:r w:rsidRPr="00ED4558">
        <w:rPr>
          <w:rFonts w:ascii="ITC Avant Garde" w:eastAsia="Times New Roman" w:hAnsi="ITC Avant Garde"/>
          <w:lang w:val="es-ES" w:eastAsia="es-ES"/>
        </w:rPr>
        <w:t xml:space="preserve">, el representante legal de </w:t>
      </w:r>
      <w:r w:rsidR="00915D82" w:rsidRPr="00ED4558">
        <w:rPr>
          <w:rFonts w:ascii="ITC Avant Garde" w:eastAsia="Times New Roman" w:hAnsi="ITC Avant Garde"/>
          <w:lang w:val="es-ES" w:eastAsia="es-ES"/>
        </w:rPr>
        <w:t>Telcel</w:t>
      </w:r>
      <w:r w:rsidR="00685E34" w:rsidRPr="00ED4558">
        <w:rPr>
          <w:rFonts w:ascii="ITC Avant Garde" w:eastAsia="Times New Roman" w:hAnsi="ITC Avant Garde"/>
          <w:lang w:val="es-ES" w:eastAsia="es-ES"/>
        </w:rPr>
        <w:t xml:space="preserve"> </w:t>
      </w:r>
      <w:r w:rsidRPr="00ED4558">
        <w:rPr>
          <w:rFonts w:ascii="ITC Avant Garde" w:eastAsia="Times New Roman" w:hAnsi="ITC Avant Garde"/>
          <w:lang w:val="es-ES" w:eastAsia="es-ES"/>
        </w:rPr>
        <w:t xml:space="preserve">presentó ante </w:t>
      </w:r>
      <w:r w:rsidR="002D1D4B" w:rsidRPr="00ED4558">
        <w:rPr>
          <w:rFonts w:ascii="ITC Avant Garde" w:eastAsia="Times New Roman" w:hAnsi="ITC Avant Garde"/>
          <w:lang w:val="es-ES" w:eastAsia="es-ES"/>
        </w:rPr>
        <w:t>el Instituto</w:t>
      </w:r>
      <w:r w:rsidRPr="00ED4558">
        <w:rPr>
          <w:rFonts w:ascii="ITC Avant Garde" w:eastAsia="Times New Roman" w:hAnsi="ITC Avant Garde"/>
          <w:lang w:val="es-ES" w:eastAsia="es-ES"/>
        </w:rPr>
        <w:t>, escrito mediante el cual solicitó su intervención para resolver los términos</w:t>
      </w:r>
      <w:r w:rsidR="00FE5895" w:rsidRPr="00ED4558">
        <w:rPr>
          <w:rFonts w:ascii="ITC Avant Garde" w:eastAsia="Times New Roman" w:hAnsi="ITC Avant Garde"/>
          <w:lang w:val="es-ES" w:eastAsia="es-ES"/>
        </w:rPr>
        <w:t>, tarifas</w:t>
      </w:r>
      <w:r w:rsidRPr="00ED4558">
        <w:rPr>
          <w:rFonts w:ascii="ITC Avant Garde" w:eastAsia="Times New Roman" w:hAnsi="ITC Avant Garde"/>
          <w:lang w:val="es-ES" w:eastAsia="es-ES"/>
        </w:rPr>
        <w:t xml:space="preserve"> y condi</w:t>
      </w:r>
      <w:r w:rsidR="002B2578" w:rsidRPr="00ED4558">
        <w:rPr>
          <w:rFonts w:ascii="ITC Avant Garde" w:eastAsia="Times New Roman" w:hAnsi="ITC Avant Garde"/>
          <w:lang w:val="es-ES" w:eastAsia="es-ES"/>
        </w:rPr>
        <w:t xml:space="preserve">ciones que no pudo convenir con Cablevisión Red </w:t>
      </w:r>
      <w:r w:rsidRPr="00ED4558">
        <w:rPr>
          <w:rFonts w:ascii="ITC Avant Garde" w:eastAsia="Times New Roman" w:hAnsi="ITC Avant Garde"/>
          <w:lang w:val="es-ES" w:eastAsia="es-ES"/>
        </w:rPr>
        <w:t xml:space="preserve">para la interconexión de </w:t>
      </w:r>
      <w:r w:rsidRPr="00ED4558">
        <w:rPr>
          <w:rFonts w:ascii="ITC Avant Garde" w:eastAsia="Times New Roman" w:hAnsi="ITC Avant Garde"/>
          <w:lang w:val="es-ES" w:eastAsia="es-ES"/>
        </w:rPr>
        <w:lastRenderedPageBreak/>
        <w:t>sus respectivas redes públicas de telecomunicaciones</w:t>
      </w:r>
      <w:r w:rsidR="00FE5895" w:rsidRPr="00ED4558">
        <w:rPr>
          <w:rFonts w:ascii="ITC Avant Garde" w:eastAsia="Times New Roman" w:hAnsi="ITC Avant Garde"/>
          <w:lang w:val="es-ES" w:eastAsia="es-ES"/>
        </w:rPr>
        <w:t xml:space="preserve"> que a</w:t>
      </w:r>
      <w:r w:rsidR="004511A0" w:rsidRPr="00ED4558">
        <w:rPr>
          <w:rFonts w:ascii="ITC Avant Garde" w:eastAsia="Times New Roman" w:hAnsi="ITC Avant Garde"/>
          <w:lang w:val="es-ES" w:eastAsia="es-ES"/>
        </w:rPr>
        <w:t xml:space="preserve">plicaran para el ejercicio </w:t>
      </w:r>
      <w:r w:rsidR="00915D82" w:rsidRPr="00ED4558">
        <w:rPr>
          <w:rFonts w:ascii="ITC Avant Garde" w:eastAsia="Times New Roman" w:hAnsi="ITC Avant Garde"/>
          <w:lang w:val="es-ES" w:eastAsia="es-ES"/>
        </w:rPr>
        <w:t>2015 y 2016</w:t>
      </w:r>
      <w:r w:rsidR="00642729" w:rsidRPr="00ED4558">
        <w:rPr>
          <w:rFonts w:ascii="ITC Avant Garde" w:eastAsia="Times New Roman" w:hAnsi="ITC Avant Garde"/>
          <w:lang w:val="es-ES" w:eastAsia="es-ES"/>
        </w:rPr>
        <w:t xml:space="preserve"> </w:t>
      </w:r>
      <w:r w:rsidRPr="00ED4558">
        <w:rPr>
          <w:rFonts w:ascii="ITC Avant Garde" w:eastAsia="Times New Roman" w:hAnsi="ITC Avant Garde"/>
          <w:lang w:val="es-ES" w:eastAsia="es-ES"/>
        </w:rPr>
        <w:t>(en lo sucesivo, la “Solicitud de Resolución”).</w:t>
      </w:r>
    </w:p>
    <w:bookmarkEnd w:id="1"/>
    <w:p w14:paraId="7EF625C5" w14:textId="77777777" w:rsidR="0010524D" w:rsidRPr="00ED4558" w:rsidRDefault="0010524D" w:rsidP="00773BC1">
      <w:pPr>
        <w:spacing w:after="0"/>
        <w:ind w:left="709" w:right="48" w:hanging="709"/>
        <w:jc w:val="both"/>
        <w:rPr>
          <w:rFonts w:ascii="ITC Avant Garde" w:eastAsia="Times New Roman" w:hAnsi="ITC Avant Garde"/>
          <w:lang w:val="es-ES" w:eastAsia="es-ES"/>
        </w:rPr>
      </w:pPr>
    </w:p>
    <w:p w14:paraId="4413E0AA" w14:textId="77777777" w:rsidR="00F3236C" w:rsidRPr="00ED4558" w:rsidRDefault="00394255" w:rsidP="00AB29EF">
      <w:pPr>
        <w:spacing w:after="0"/>
        <w:ind w:left="709" w:right="48"/>
        <w:jc w:val="both"/>
        <w:rPr>
          <w:rFonts w:ascii="ITC Avant Garde" w:eastAsia="Times New Roman" w:hAnsi="ITC Avant Garde"/>
          <w:lang w:val="es-ES" w:eastAsia="es-ES"/>
        </w:rPr>
      </w:pPr>
      <w:r w:rsidRPr="00ED4558">
        <w:rPr>
          <w:rFonts w:ascii="ITC Avant Garde" w:eastAsia="Times New Roman" w:hAnsi="ITC Avant Garde"/>
          <w:lang w:val="es-ES" w:eastAsia="es-ES"/>
        </w:rPr>
        <w:t xml:space="preserve">Para efectos de lo anterior, el </w:t>
      </w:r>
      <w:r w:rsidR="0054738F" w:rsidRPr="00ED4558">
        <w:rPr>
          <w:rFonts w:ascii="ITC Avant Garde" w:eastAsia="Times New Roman" w:hAnsi="ITC Avant Garde"/>
          <w:lang w:val="es-ES" w:eastAsia="es-ES"/>
        </w:rPr>
        <w:t>representante</w:t>
      </w:r>
      <w:r w:rsidR="00B63ABD" w:rsidRPr="00ED4558">
        <w:rPr>
          <w:rFonts w:ascii="ITC Avant Garde" w:eastAsia="Times New Roman" w:hAnsi="ITC Avant Garde"/>
          <w:lang w:val="es-ES" w:eastAsia="es-ES"/>
        </w:rPr>
        <w:t xml:space="preserve"> legal de </w:t>
      </w:r>
      <w:r w:rsidR="00915D82" w:rsidRPr="00ED4558">
        <w:rPr>
          <w:rFonts w:ascii="ITC Avant Garde" w:eastAsia="Times New Roman" w:hAnsi="ITC Avant Garde"/>
          <w:lang w:val="es-ES" w:eastAsia="es-ES"/>
        </w:rPr>
        <w:t>Telcel</w:t>
      </w:r>
      <w:r w:rsidR="00557E14" w:rsidRPr="00ED4558">
        <w:rPr>
          <w:rFonts w:ascii="ITC Avant Garde" w:eastAsia="Times New Roman" w:hAnsi="ITC Avant Garde"/>
          <w:lang w:val="es-ES" w:eastAsia="es-ES"/>
        </w:rPr>
        <w:t xml:space="preserve"> </w:t>
      </w:r>
      <w:r w:rsidR="00B63ABD" w:rsidRPr="00ED4558">
        <w:rPr>
          <w:rFonts w:ascii="ITC Avant Garde" w:eastAsia="Times New Roman" w:hAnsi="ITC Avant Garde"/>
          <w:lang w:val="es-ES" w:eastAsia="es-ES"/>
        </w:rPr>
        <w:t xml:space="preserve">manifestó que </w:t>
      </w:r>
      <w:r w:rsidR="00B027D6" w:rsidRPr="00ED4558">
        <w:rPr>
          <w:rFonts w:ascii="ITC Avant Garde" w:eastAsia="Times New Roman" w:hAnsi="ITC Avant Garde"/>
          <w:lang w:val="es-ES" w:eastAsia="es-ES"/>
        </w:rPr>
        <w:t xml:space="preserve">con fecha 18 de mayo de 2015 a través del SESI solicitó formalmente a Cablevisión Red </w:t>
      </w:r>
      <w:r w:rsidR="00B63ABD" w:rsidRPr="00ED4558">
        <w:rPr>
          <w:rFonts w:ascii="ITC Avant Garde" w:eastAsia="Times New Roman" w:hAnsi="ITC Avant Garde"/>
          <w:lang w:val="es-ES" w:eastAsia="es-ES"/>
        </w:rPr>
        <w:t xml:space="preserve">el inicio de negociaciones a fin de determinar las tarifas de interconexión aplicables al ejercicio </w:t>
      </w:r>
      <w:r w:rsidR="00915D82" w:rsidRPr="00ED4558">
        <w:rPr>
          <w:rFonts w:ascii="ITC Avant Garde" w:eastAsia="Times New Roman" w:hAnsi="ITC Avant Garde"/>
          <w:lang w:val="es-ES" w:eastAsia="es-ES"/>
        </w:rPr>
        <w:t>2015 y 2016</w:t>
      </w:r>
      <w:r w:rsidR="00AB29EF" w:rsidRPr="00ED4558">
        <w:rPr>
          <w:rFonts w:ascii="ITC Avant Garde" w:eastAsia="Times New Roman" w:hAnsi="ITC Avant Garde"/>
          <w:lang w:val="es-ES" w:eastAsia="es-ES"/>
        </w:rPr>
        <w:t>.</w:t>
      </w:r>
    </w:p>
    <w:p w14:paraId="499EBB64" w14:textId="77777777" w:rsidR="00AB29EF" w:rsidRPr="00ED4558" w:rsidRDefault="00AB29EF" w:rsidP="00AB29EF">
      <w:pPr>
        <w:spacing w:after="0"/>
        <w:ind w:left="709" w:right="48"/>
        <w:jc w:val="both"/>
        <w:rPr>
          <w:rFonts w:ascii="ITC Avant Garde" w:hAnsi="ITC Avant Garde"/>
          <w:bCs/>
          <w:lang w:val="es-ES" w:eastAsia="es-ES"/>
        </w:rPr>
      </w:pPr>
    </w:p>
    <w:p w14:paraId="6987B8CD" w14:textId="77777777" w:rsidR="0010524D" w:rsidRPr="00ED4558" w:rsidRDefault="004A5DB0" w:rsidP="00773BC1">
      <w:pPr>
        <w:pStyle w:val="Textoindependiente"/>
        <w:spacing w:line="276" w:lineRule="auto"/>
        <w:ind w:left="709" w:right="48"/>
        <w:rPr>
          <w:rFonts w:ascii="ITC Avant Garde" w:hAnsi="ITC Avant Garde"/>
          <w:bCs/>
          <w:szCs w:val="22"/>
          <w:lang w:val="es-ES" w:eastAsia="es-ES"/>
        </w:rPr>
      </w:pPr>
      <w:r w:rsidRPr="00ED4558">
        <w:rPr>
          <w:rFonts w:ascii="ITC Avant Garde" w:hAnsi="ITC Avant Garde"/>
          <w:bCs/>
          <w:szCs w:val="22"/>
          <w:lang w:val="es-ES" w:eastAsia="es-ES"/>
        </w:rPr>
        <w:t>Cabe mencionar que mediante solicitud IFT/UPR/</w:t>
      </w:r>
      <w:r w:rsidR="008D1032" w:rsidRPr="00ED4558">
        <w:rPr>
          <w:rFonts w:ascii="ITC Avant Garde" w:hAnsi="ITC Avant Garde"/>
          <w:bCs/>
          <w:szCs w:val="22"/>
          <w:lang w:val="es-ES" w:eastAsia="es-ES"/>
        </w:rPr>
        <w:t xml:space="preserve">1564 </w:t>
      </w:r>
      <w:r w:rsidRPr="00ED4558">
        <w:rPr>
          <w:rFonts w:ascii="ITC Avant Garde" w:hAnsi="ITC Avant Garde"/>
          <w:bCs/>
          <w:szCs w:val="22"/>
          <w:lang w:val="es-ES" w:eastAsia="es-ES"/>
        </w:rPr>
        <w:t xml:space="preserve">del SESI, </w:t>
      </w:r>
      <w:r w:rsidR="008D1032" w:rsidRPr="00ED4558">
        <w:rPr>
          <w:rFonts w:ascii="ITC Avant Garde" w:hAnsi="ITC Avant Garde"/>
          <w:bCs/>
          <w:szCs w:val="22"/>
          <w:lang w:val="es-ES" w:eastAsia="es-ES"/>
        </w:rPr>
        <w:t xml:space="preserve">Telcel y Cablevisión Red llevaron a cabo las negociaciones </w:t>
      </w:r>
      <w:r w:rsidRPr="00ED4558">
        <w:rPr>
          <w:rFonts w:ascii="ITC Avant Garde" w:hAnsi="ITC Avant Garde"/>
          <w:bCs/>
          <w:szCs w:val="22"/>
          <w:lang w:val="es-ES" w:eastAsia="es-ES"/>
        </w:rPr>
        <w:t xml:space="preserve">materia de la Solicitud de Resolución dentro de dicho sistema, teniéndose así por satisfechos los requisitos </w:t>
      </w:r>
      <w:r w:rsidR="00C7037D" w:rsidRPr="00ED4558">
        <w:rPr>
          <w:rFonts w:ascii="ITC Avant Garde" w:hAnsi="ITC Avant Garde"/>
          <w:bCs/>
          <w:szCs w:val="22"/>
          <w:lang w:val="es-ES" w:eastAsia="es-ES"/>
        </w:rPr>
        <w:t xml:space="preserve">de </w:t>
      </w:r>
      <w:proofErr w:type="spellStart"/>
      <w:r w:rsidR="00C7037D" w:rsidRPr="00ED4558">
        <w:rPr>
          <w:rFonts w:ascii="ITC Avant Garde" w:hAnsi="ITC Avant Garde"/>
          <w:bCs/>
          <w:szCs w:val="22"/>
          <w:lang w:val="es-ES" w:eastAsia="es-ES"/>
        </w:rPr>
        <w:t>procedibilidad</w:t>
      </w:r>
      <w:proofErr w:type="spellEnd"/>
      <w:r w:rsidR="00C7037D" w:rsidRPr="00ED4558">
        <w:rPr>
          <w:rFonts w:ascii="ITC Avant Garde" w:hAnsi="ITC Avant Garde"/>
          <w:bCs/>
          <w:szCs w:val="22"/>
          <w:lang w:val="es-ES" w:eastAsia="es-ES"/>
        </w:rPr>
        <w:t xml:space="preserve"> </w:t>
      </w:r>
      <w:r w:rsidRPr="00ED4558">
        <w:rPr>
          <w:rFonts w:ascii="ITC Avant Garde" w:hAnsi="ITC Avant Garde"/>
          <w:bCs/>
          <w:szCs w:val="22"/>
          <w:lang w:val="es-ES" w:eastAsia="es-ES"/>
        </w:rPr>
        <w:t xml:space="preserve">que marca el artículo 129 de la </w:t>
      </w:r>
      <w:proofErr w:type="spellStart"/>
      <w:r w:rsidRPr="00ED4558">
        <w:rPr>
          <w:rFonts w:ascii="ITC Avant Garde" w:hAnsi="ITC Avant Garde"/>
          <w:bCs/>
          <w:szCs w:val="22"/>
          <w:lang w:val="es-ES" w:eastAsia="es-ES"/>
        </w:rPr>
        <w:t>LFTyR</w:t>
      </w:r>
      <w:proofErr w:type="spellEnd"/>
      <w:r w:rsidRPr="00ED4558">
        <w:rPr>
          <w:rFonts w:ascii="ITC Avant Garde" w:hAnsi="ITC Avant Garde"/>
          <w:bCs/>
          <w:szCs w:val="22"/>
          <w:lang w:val="es-ES" w:eastAsia="es-ES"/>
        </w:rPr>
        <w:t>.</w:t>
      </w:r>
    </w:p>
    <w:p w14:paraId="16C989A2" w14:textId="77777777" w:rsidR="0010524D" w:rsidRPr="00ED4558" w:rsidRDefault="0010524D" w:rsidP="00773BC1">
      <w:pPr>
        <w:spacing w:after="0"/>
        <w:ind w:left="709" w:right="48" w:hanging="709"/>
        <w:jc w:val="both"/>
        <w:rPr>
          <w:rFonts w:ascii="ITC Avant Garde" w:eastAsia="Times New Roman" w:hAnsi="ITC Avant Garde"/>
          <w:lang w:val="es-ES" w:eastAsia="es-ES"/>
        </w:rPr>
      </w:pPr>
    </w:p>
    <w:p w14:paraId="4CB1DAAD" w14:textId="77777777" w:rsidR="006F3A4F" w:rsidRPr="00ED4558" w:rsidRDefault="00537EAE" w:rsidP="006F3A4F">
      <w:pPr>
        <w:numPr>
          <w:ilvl w:val="0"/>
          <w:numId w:val="1"/>
        </w:numPr>
        <w:spacing w:after="0"/>
        <w:jc w:val="both"/>
        <w:rPr>
          <w:rFonts w:ascii="ITC Avant Garde" w:eastAsia="Times New Roman" w:hAnsi="ITC Avant Garde"/>
          <w:lang w:val="es-ES" w:eastAsia="es-ES"/>
        </w:rPr>
      </w:pPr>
      <w:r w:rsidRPr="00ED4558">
        <w:rPr>
          <w:rFonts w:ascii="ITC Avant Garde" w:hAnsi="ITC Avant Garde" w:cs="Arial"/>
          <w:b/>
          <w:bCs/>
        </w:rPr>
        <w:t xml:space="preserve">Acuerdo de Admisión y </w:t>
      </w:r>
      <w:r w:rsidR="00394255" w:rsidRPr="00ED4558">
        <w:rPr>
          <w:rFonts w:ascii="ITC Avant Garde" w:eastAsia="Times New Roman" w:hAnsi="ITC Avant Garde"/>
          <w:b/>
          <w:lang w:val="es-ES" w:eastAsia="es-ES"/>
        </w:rPr>
        <w:t>Vista.</w:t>
      </w:r>
      <w:r w:rsidR="00BA70C1" w:rsidRPr="00ED4558">
        <w:rPr>
          <w:rFonts w:ascii="ITC Avant Garde" w:eastAsia="Times New Roman" w:hAnsi="ITC Avant Garde"/>
          <w:lang w:val="es-ES" w:eastAsia="es-ES"/>
        </w:rPr>
        <w:t xml:space="preserve"> </w:t>
      </w:r>
      <w:r w:rsidR="006F3A4F" w:rsidRPr="00ED4558">
        <w:rPr>
          <w:rFonts w:ascii="ITC Avant Garde" w:hAnsi="ITC Avant Garde" w:cs="Arial"/>
          <w:bCs/>
        </w:rPr>
        <w:t xml:space="preserve">Mediante Acuerdo número </w:t>
      </w:r>
      <w:r w:rsidR="0000638B" w:rsidRPr="00ED4558">
        <w:rPr>
          <w:rFonts w:ascii="ITC Avant Garde" w:hAnsi="ITC Avant Garde" w:cs="Arial"/>
          <w:bCs/>
        </w:rPr>
        <w:t>13</w:t>
      </w:r>
      <w:r w:rsidR="006F3A4F" w:rsidRPr="00ED4558">
        <w:rPr>
          <w:rFonts w:ascii="ITC Avant Garde" w:hAnsi="ITC Avant Garde" w:cs="Arial"/>
          <w:bCs/>
        </w:rPr>
        <w:t>/0</w:t>
      </w:r>
      <w:r w:rsidR="0000638B" w:rsidRPr="00ED4558">
        <w:rPr>
          <w:rFonts w:ascii="ITC Avant Garde" w:hAnsi="ITC Avant Garde" w:cs="Arial"/>
          <w:bCs/>
        </w:rPr>
        <w:t>8</w:t>
      </w:r>
      <w:r w:rsidR="006F3A4F" w:rsidRPr="00ED4558">
        <w:rPr>
          <w:rFonts w:ascii="ITC Avant Garde" w:hAnsi="ITC Avant Garde" w:cs="Arial"/>
          <w:bCs/>
        </w:rPr>
        <w:t xml:space="preserve">/001/2015, de fecha </w:t>
      </w:r>
      <w:r w:rsidR="0000638B" w:rsidRPr="00ED4558">
        <w:rPr>
          <w:rFonts w:ascii="ITC Avant Garde" w:hAnsi="ITC Avant Garde" w:cs="Arial"/>
          <w:bCs/>
        </w:rPr>
        <w:t xml:space="preserve">13 de agosto de </w:t>
      </w:r>
      <w:r w:rsidR="006F3A4F" w:rsidRPr="00ED4558">
        <w:rPr>
          <w:rFonts w:ascii="ITC Avant Garde" w:hAnsi="ITC Avant Garde" w:cs="Arial"/>
          <w:bCs/>
        </w:rPr>
        <w:t xml:space="preserve">2015, notificado a las partes por </w:t>
      </w:r>
      <w:r w:rsidR="0000638B" w:rsidRPr="00ED4558">
        <w:rPr>
          <w:rFonts w:ascii="ITC Avant Garde" w:hAnsi="ITC Avant Garde" w:cs="Arial"/>
          <w:bCs/>
        </w:rPr>
        <w:t xml:space="preserve">instructivo </w:t>
      </w:r>
      <w:r w:rsidR="000C6634" w:rsidRPr="00ED4558">
        <w:rPr>
          <w:rFonts w:ascii="ITC Avant Garde" w:hAnsi="ITC Avant Garde" w:cs="Arial"/>
          <w:bCs/>
        </w:rPr>
        <w:t xml:space="preserve">el </w:t>
      </w:r>
      <w:r w:rsidR="0000638B" w:rsidRPr="00ED4558">
        <w:rPr>
          <w:rFonts w:ascii="ITC Avant Garde" w:hAnsi="ITC Avant Garde" w:cs="Arial"/>
          <w:bCs/>
        </w:rPr>
        <w:t>19 de agosto de 2015</w:t>
      </w:r>
      <w:r w:rsidR="000C6634" w:rsidRPr="00ED4558">
        <w:rPr>
          <w:rFonts w:ascii="ITC Avant Garde" w:hAnsi="ITC Avant Garde" w:cs="Arial"/>
          <w:bCs/>
        </w:rPr>
        <w:t>,</w:t>
      </w:r>
      <w:r w:rsidR="006F3A4F" w:rsidRPr="00ED4558">
        <w:rPr>
          <w:rFonts w:ascii="ITC Avant Garde" w:hAnsi="ITC Avant Garde" w:cs="Arial"/>
          <w:bCs/>
        </w:rPr>
        <w:t xml:space="preserve"> se tuvo por reconocida la personalidad con que se ostentó el representante legal de Telcel, admitiéndose a trámite su Solicitud de Resolución para el periodo del 1 de enero al 31 de diciembre de 2015 y del 1 de enero al 31 de diciembre de 2016.</w:t>
      </w:r>
    </w:p>
    <w:p w14:paraId="5E1EFBFB" w14:textId="77777777" w:rsidR="006F3A4F" w:rsidRPr="00ED4558" w:rsidRDefault="006F3A4F" w:rsidP="006F3A4F">
      <w:pPr>
        <w:spacing w:after="0"/>
        <w:ind w:left="709"/>
        <w:jc w:val="both"/>
        <w:rPr>
          <w:rFonts w:ascii="ITC Avant Garde" w:hAnsi="ITC Avant Garde" w:cs="Arial"/>
          <w:bCs/>
        </w:rPr>
      </w:pPr>
    </w:p>
    <w:p w14:paraId="65B5C3EB" w14:textId="77777777" w:rsidR="0010524D" w:rsidRPr="00ED4558" w:rsidRDefault="006F3A4F" w:rsidP="006F3A4F">
      <w:pPr>
        <w:spacing w:after="0"/>
        <w:ind w:left="709"/>
        <w:jc w:val="both"/>
        <w:rPr>
          <w:rFonts w:ascii="ITC Avant Garde" w:eastAsia="Times New Roman" w:hAnsi="ITC Avant Garde"/>
          <w:lang w:val="es-ES" w:eastAsia="es-ES"/>
        </w:rPr>
      </w:pPr>
      <w:r w:rsidRPr="00ED4558">
        <w:rPr>
          <w:rFonts w:ascii="ITC Avant Garde" w:hAnsi="ITC Avant Garde" w:cs="Arial"/>
          <w:bCs/>
        </w:rPr>
        <w:t xml:space="preserve">Asimismo, en términos de la fracción III del artículo 129 de la </w:t>
      </w:r>
      <w:proofErr w:type="spellStart"/>
      <w:r w:rsidRPr="00ED4558">
        <w:rPr>
          <w:rFonts w:ascii="ITC Avant Garde" w:hAnsi="ITC Avant Garde" w:cs="Arial"/>
          <w:bCs/>
        </w:rPr>
        <w:t>LFTyR</w:t>
      </w:r>
      <w:proofErr w:type="spellEnd"/>
      <w:r w:rsidRPr="00ED4558">
        <w:rPr>
          <w:rFonts w:ascii="ITC Avant Garde" w:hAnsi="ITC Avant Garde" w:cs="Arial"/>
          <w:bCs/>
        </w:rPr>
        <w:t xml:space="preserve">, se dio vista a </w:t>
      </w:r>
      <w:r w:rsidR="0000638B" w:rsidRPr="00ED4558">
        <w:rPr>
          <w:rFonts w:ascii="ITC Avant Garde" w:hAnsi="ITC Avant Garde" w:cs="Arial"/>
          <w:bCs/>
        </w:rPr>
        <w:t>Cablevisión Red</w:t>
      </w:r>
      <w:r w:rsidRPr="00ED4558">
        <w:rPr>
          <w:rFonts w:ascii="ITC Avant Garde" w:hAnsi="ITC Avant Garde" w:cs="Arial"/>
          <w:bCs/>
        </w:rPr>
        <w:t xml:space="preserve">, de las Solicitud de Resolución y </w:t>
      </w:r>
      <w:r w:rsidRPr="00ED4558">
        <w:rPr>
          <w:rFonts w:ascii="ITC Avant Garde" w:eastAsia="Times New Roman" w:hAnsi="ITC Avant Garde"/>
          <w:lang w:val="es-ES" w:eastAsia="es-ES"/>
        </w:rPr>
        <w:t xml:space="preserve">se requirió </w:t>
      </w:r>
      <w:r w:rsidRPr="00ED4558">
        <w:rPr>
          <w:rFonts w:ascii="ITC Avant Garde" w:eastAsia="Times New Roman" w:hAnsi="ITC Avant Garde"/>
          <w:bCs/>
          <w:lang w:val="es-ES" w:eastAsia="es-ES"/>
        </w:rPr>
        <w:t xml:space="preserve">para </w:t>
      </w:r>
      <w:r w:rsidRPr="00ED4558">
        <w:rPr>
          <w:rFonts w:ascii="ITC Avant Garde" w:eastAsia="Times New Roman" w:hAnsi="ITC Avant Garde"/>
          <w:lang w:val="es-ES" w:eastAsia="es-ES"/>
        </w:rPr>
        <w:t xml:space="preserve">que en un plazo no mayor a cinco (5) días hábiles contados a partir del día siguiente a que surtiera efectos legales la notificación del oficio de mérito, manifestara lo que a su derecho conviniera e informaran si existían condiciones que no había podido convenir con </w:t>
      </w:r>
      <w:r w:rsidRPr="00ED4558">
        <w:rPr>
          <w:rFonts w:ascii="ITC Avant Garde" w:hAnsi="ITC Avant Garde" w:cs="Arial"/>
          <w:bCs/>
        </w:rPr>
        <w:t xml:space="preserve">Telcel </w:t>
      </w:r>
      <w:r w:rsidRPr="00ED4558">
        <w:rPr>
          <w:rFonts w:ascii="ITC Avant Garde" w:eastAsia="Times New Roman" w:hAnsi="ITC Avant Garde"/>
          <w:lang w:val="es-ES" w:eastAsia="es-ES"/>
        </w:rPr>
        <w:t xml:space="preserve">y de ser el caso, señalara expresamente en qué consistían los desacuerdos, fijara su postura al respecto y ofreciera los elementos de prueba que estimara pertinentes, </w:t>
      </w:r>
      <w:r w:rsidRPr="00ED4558">
        <w:rPr>
          <w:rFonts w:ascii="ITC Avant Garde" w:eastAsia="Times New Roman" w:hAnsi="ITC Avant Garde"/>
          <w:bCs/>
          <w:lang w:val="es-ES" w:eastAsia="es-ES"/>
        </w:rPr>
        <w:t>(en lo sucesivo, el “</w:t>
      </w:r>
      <w:r w:rsidR="000C6C0A" w:rsidRPr="00ED4558">
        <w:rPr>
          <w:rFonts w:ascii="ITC Avant Garde" w:eastAsia="Times New Roman" w:hAnsi="ITC Avant Garde"/>
          <w:bCs/>
          <w:lang w:val="es-ES" w:eastAsia="es-ES"/>
        </w:rPr>
        <w:t xml:space="preserve">Acuerdo de </w:t>
      </w:r>
      <w:r w:rsidRPr="00ED4558">
        <w:rPr>
          <w:rFonts w:ascii="ITC Avant Garde" w:eastAsia="Times New Roman" w:hAnsi="ITC Avant Garde"/>
          <w:bCs/>
          <w:lang w:val="es-ES" w:eastAsia="es-ES"/>
        </w:rPr>
        <w:t>Vista”).</w:t>
      </w:r>
    </w:p>
    <w:p w14:paraId="0929F241" w14:textId="77777777" w:rsidR="0010524D" w:rsidRPr="00ED4558" w:rsidRDefault="0010524D" w:rsidP="00773BC1">
      <w:pPr>
        <w:tabs>
          <w:tab w:val="left" w:pos="567"/>
        </w:tabs>
        <w:spacing w:after="0"/>
        <w:ind w:left="567" w:right="567"/>
        <w:jc w:val="both"/>
        <w:rPr>
          <w:rFonts w:ascii="ITC Avant Garde" w:eastAsia="Times New Roman" w:hAnsi="ITC Avant Garde"/>
          <w:lang w:val="es-ES" w:eastAsia="es-ES"/>
        </w:rPr>
      </w:pPr>
    </w:p>
    <w:p w14:paraId="293F5FF6" w14:textId="77777777" w:rsidR="0010524D" w:rsidRPr="00ED4558" w:rsidRDefault="00394255" w:rsidP="00773BC1">
      <w:pPr>
        <w:numPr>
          <w:ilvl w:val="0"/>
          <w:numId w:val="1"/>
        </w:numPr>
        <w:tabs>
          <w:tab w:val="clear" w:pos="680"/>
        </w:tabs>
        <w:spacing w:after="0"/>
        <w:ind w:left="709" w:right="48" w:hanging="709"/>
        <w:jc w:val="both"/>
        <w:rPr>
          <w:rFonts w:ascii="ITC Avant Garde" w:eastAsia="Times New Roman" w:hAnsi="ITC Avant Garde"/>
          <w:lang w:val="es-ES" w:eastAsia="es-ES"/>
        </w:rPr>
      </w:pPr>
      <w:r w:rsidRPr="00ED4558">
        <w:rPr>
          <w:rFonts w:ascii="ITC Avant Garde" w:eastAsia="Times New Roman" w:hAnsi="ITC Avant Garde"/>
          <w:b/>
          <w:lang w:val="es-ES" w:eastAsia="es-ES"/>
        </w:rPr>
        <w:t xml:space="preserve">Solicitud de ampliación del plazo. </w:t>
      </w:r>
      <w:r w:rsidR="00000AC3" w:rsidRPr="00ED4558">
        <w:rPr>
          <w:rFonts w:ascii="ITC Avant Garde" w:eastAsia="Times New Roman" w:hAnsi="ITC Avant Garde"/>
          <w:lang w:val="es-ES" w:eastAsia="es-ES"/>
        </w:rPr>
        <w:t xml:space="preserve">El </w:t>
      </w:r>
      <w:r w:rsidR="0000638B" w:rsidRPr="00ED4558">
        <w:rPr>
          <w:rFonts w:ascii="ITC Avant Garde" w:eastAsia="Times New Roman" w:hAnsi="ITC Avant Garde"/>
          <w:lang w:val="es-ES" w:eastAsia="es-ES"/>
        </w:rPr>
        <w:t>26 de agosto de 2015</w:t>
      </w:r>
      <w:r w:rsidR="00C16584" w:rsidRPr="00ED4558">
        <w:rPr>
          <w:rFonts w:ascii="ITC Avant Garde" w:eastAsia="Times New Roman" w:hAnsi="ITC Avant Garde"/>
          <w:lang w:val="es-ES" w:eastAsia="es-ES"/>
        </w:rPr>
        <w:t xml:space="preserve">, </w:t>
      </w:r>
      <w:r w:rsidR="0000638B" w:rsidRPr="00ED4558">
        <w:rPr>
          <w:rFonts w:ascii="ITC Avant Garde" w:eastAsia="Times New Roman" w:hAnsi="ITC Avant Garde"/>
          <w:lang w:val="es-ES" w:eastAsia="es-ES"/>
        </w:rPr>
        <w:t xml:space="preserve">el apoderado legal de Cablevisión Red </w:t>
      </w:r>
      <w:r w:rsidRPr="00ED4558">
        <w:rPr>
          <w:rFonts w:ascii="ITC Avant Garde" w:eastAsia="Times New Roman" w:hAnsi="ITC Avant Garde"/>
          <w:lang w:val="es-ES" w:eastAsia="es-ES"/>
        </w:rPr>
        <w:t>present</w:t>
      </w:r>
      <w:r w:rsidR="006F3A4F" w:rsidRPr="00ED4558">
        <w:rPr>
          <w:rFonts w:ascii="ITC Avant Garde" w:eastAsia="Times New Roman" w:hAnsi="ITC Avant Garde"/>
          <w:lang w:val="es-ES" w:eastAsia="es-ES"/>
        </w:rPr>
        <w:t>ó</w:t>
      </w:r>
      <w:r w:rsidRPr="00ED4558">
        <w:rPr>
          <w:rFonts w:ascii="ITC Avant Garde" w:eastAsia="Times New Roman" w:hAnsi="ITC Avant Garde"/>
          <w:lang w:val="es-ES" w:eastAsia="es-ES"/>
        </w:rPr>
        <w:t xml:space="preserve"> ante </w:t>
      </w:r>
      <w:r w:rsidR="00000AC3" w:rsidRPr="00ED4558">
        <w:rPr>
          <w:rFonts w:ascii="ITC Avant Garde" w:eastAsia="Times New Roman" w:hAnsi="ITC Avant Garde"/>
          <w:lang w:val="es-ES" w:eastAsia="es-ES"/>
        </w:rPr>
        <w:t>el Instituto</w:t>
      </w:r>
      <w:r w:rsidRPr="00ED4558">
        <w:rPr>
          <w:rFonts w:ascii="ITC Avant Garde" w:eastAsia="Times New Roman" w:hAnsi="ITC Avant Garde"/>
          <w:lang w:val="es-ES" w:eastAsia="es-ES"/>
        </w:rPr>
        <w:t xml:space="preserve"> escrito mediante el cual </w:t>
      </w:r>
      <w:r w:rsidR="006F3A4F" w:rsidRPr="00ED4558">
        <w:rPr>
          <w:rFonts w:ascii="ITC Avant Garde" w:eastAsia="Times New Roman" w:hAnsi="ITC Avant Garde"/>
          <w:lang w:val="es-ES" w:eastAsia="es-ES"/>
        </w:rPr>
        <w:t>solicitó</w:t>
      </w:r>
      <w:r w:rsidRPr="00ED4558">
        <w:rPr>
          <w:rFonts w:ascii="ITC Avant Garde" w:eastAsia="Times New Roman" w:hAnsi="ITC Avant Garde"/>
          <w:lang w:val="es-ES" w:eastAsia="es-ES"/>
        </w:rPr>
        <w:t xml:space="preserve"> una prórroga para dar debido cumplimiento al requerimiento formulado en el </w:t>
      </w:r>
      <w:r w:rsidR="00B9261A" w:rsidRPr="00ED4558">
        <w:rPr>
          <w:rFonts w:ascii="ITC Avant Garde" w:eastAsia="Times New Roman" w:hAnsi="ITC Avant Garde"/>
          <w:lang w:val="es-ES" w:eastAsia="es-ES"/>
        </w:rPr>
        <w:t xml:space="preserve">Acuerdo </w:t>
      </w:r>
      <w:r w:rsidR="001B33C4" w:rsidRPr="00ED4558">
        <w:rPr>
          <w:rFonts w:ascii="ITC Avant Garde" w:eastAsia="Times New Roman" w:hAnsi="ITC Avant Garde"/>
          <w:lang w:val="es-ES" w:eastAsia="es-ES"/>
        </w:rPr>
        <w:t>de Vista.</w:t>
      </w:r>
    </w:p>
    <w:p w14:paraId="7F512A9E" w14:textId="77777777" w:rsidR="00746B44" w:rsidRPr="00ED4558" w:rsidRDefault="00746B44" w:rsidP="00773BC1">
      <w:pPr>
        <w:spacing w:after="0"/>
        <w:ind w:left="709" w:right="48"/>
        <w:jc w:val="both"/>
        <w:rPr>
          <w:rFonts w:ascii="ITC Avant Garde" w:eastAsia="Times New Roman" w:hAnsi="ITC Avant Garde"/>
          <w:lang w:val="es-ES" w:eastAsia="es-ES"/>
        </w:rPr>
      </w:pPr>
    </w:p>
    <w:p w14:paraId="67DCEFD3" w14:textId="77777777" w:rsidR="0010524D" w:rsidRPr="00ED4558" w:rsidRDefault="008702DD" w:rsidP="00773BC1">
      <w:pPr>
        <w:tabs>
          <w:tab w:val="left" w:pos="709"/>
        </w:tabs>
        <w:spacing w:after="0"/>
        <w:ind w:left="709" w:right="48"/>
        <w:jc w:val="both"/>
        <w:rPr>
          <w:rFonts w:ascii="ITC Avant Garde" w:eastAsia="Times New Roman" w:hAnsi="ITC Avant Garde"/>
          <w:lang w:val="es-ES" w:eastAsia="es-ES"/>
        </w:rPr>
      </w:pPr>
      <w:r w:rsidRPr="00ED4558">
        <w:rPr>
          <w:rFonts w:ascii="ITC Avant Garde" w:eastAsia="Times New Roman" w:hAnsi="ITC Avant Garde"/>
          <w:lang w:val="es-ES" w:eastAsia="es-ES"/>
        </w:rPr>
        <w:t xml:space="preserve">Mediante Acuerdo </w:t>
      </w:r>
      <w:r w:rsidR="0000638B" w:rsidRPr="00ED4558">
        <w:rPr>
          <w:rFonts w:ascii="ITC Avant Garde" w:eastAsia="Times New Roman" w:hAnsi="ITC Avant Garde"/>
          <w:lang w:val="es-ES" w:eastAsia="es-ES"/>
        </w:rPr>
        <w:t xml:space="preserve">28/08/002/2015 </w:t>
      </w:r>
      <w:r w:rsidR="006F3A4F" w:rsidRPr="00ED4558">
        <w:rPr>
          <w:rFonts w:ascii="ITC Avant Garde" w:eastAsia="Times New Roman" w:hAnsi="ITC Avant Garde"/>
          <w:lang w:val="es-ES" w:eastAsia="es-ES"/>
        </w:rPr>
        <w:t xml:space="preserve">de fecha </w:t>
      </w:r>
      <w:r w:rsidR="008F24E0" w:rsidRPr="00ED4558">
        <w:rPr>
          <w:rFonts w:ascii="ITC Avant Garde" w:eastAsia="Times New Roman" w:hAnsi="ITC Avant Garde"/>
          <w:lang w:val="es-ES" w:eastAsia="es-ES"/>
        </w:rPr>
        <w:t>28 de agosto de 2015</w:t>
      </w:r>
      <w:r w:rsidRPr="00ED4558">
        <w:rPr>
          <w:rFonts w:ascii="ITC Avant Garde" w:eastAsia="Times New Roman" w:hAnsi="ITC Avant Garde"/>
          <w:lang w:val="es-ES" w:eastAsia="es-ES"/>
        </w:rPr>
        <w:t xml:space="preserve">, el Instituto le otorgó a </w:t>
      </w:r>
      <w:r w:rsidR="008F24E0" w:rsidRPr="00ED4558">
        <w:rPr>
          <w:rFonts w:ascii="ITC Avant Garde" w:eastAsia="Times New Roman" w:hAnsi="ITC Avant Garde"/>
          <w:lang w:val="es-ES" w:eastAsia="es-ES"/>
        </w:rPr>
        <w:t xml:space="preserve">Cablevisión Red </w:t>
      </w:r>
      <w:r w:rsidRPr="00ED4558">
        <w:rPr>
          <w:rFonts w:ascii="ITC Avant Garde" w:eastAsia="Times New Roman" w:hAnsi="ITC Avant Garde"/>
          <w:lang w:val="es-ES" w:eastAsia="es-ES"/>
        </w:rPr>
        <w:t xml:space="preserve">una ampliación de tres (3) días hábiles para que diera respuesta al </w:t>
      </w:r>
      <w:r w:rsidR="001E0251" w:rsidRPr="00ED4558">
        <w:rPr>
          <w:rFonts w:ascii="ITC Avant Garde" w:eastAsia="Times New Roman" w:hAnsi="ITC Avant Garde"/>
          <w:lang w:val="es-ES" w:eastAsia="es-ES"/>
        </w:rPr>
        <w:t xml:space="preserve">Acuerdo de </w:t>
      </w:r>
      <w:r w:rsidR="00B9261A" w:rsidRPr="00ED4558">
        <w:rPr>
          <w:rFonts w:ascii="ITC Avant Garde" w:eastAsia="Times New Roman" w:hAnsi="ITC Avant Garde"/>
          <w:lang w:val="es-ES" w:eastAsia="es-ES"/>
        </w:rPr>
        <w:t xml:space="preserve">Vista </w:t>
      </w:r>
      <w:r w:rsidR="00307639" w:rsidRPr="00ED4558">
        <w:rPr>
          <w:rFonts w:ascii="ITC Avant Garde" w:eastAsia="Times New Roman" w:hAnsi="ITC Avant Garde"/>
          <w:lang w:val="es-ES" w:eastAsia="es-ES"/>
        </w:rPr>
        <w:t xml:space="preserve">y </w:t>
      </w:r>
      <w:r w:rsidR="00307639" w:rsidRPr="00ED4558">
        <w:rPr>
          <w:rFonts w:ascii="ITC Avant Garde" w:hAnsi="ITC Avant Garde" w:cs="Arial"/>
          <w:bCs/>
        </w:rPr>
        <w:t>se tuvo por reconocida la</w:t>
      </w:r>
      <w:r w:rsidR="00C51AB2" w:rsidRPr="00ED4558">
        <w:rPr>
          <w:rFonts w:ascii="ITC Avant Garde" w:hAnsi="ITC Avant Garde" w:cs="Arial"/>
          <w:bCs/>
        </w:rPr>
        <w:t xml:space="preserve"> personalidad con que se ostent</w:t>
      </w:r>
      <w:r w:rsidR="006F3A4F" w:rsidRPr="00ED4558">
        <w:rPr>
          <w:rFonts w:ascii="ITC Avant Garde" w:hAnsi="ITC Avant Garde" w:cs="Arial"/>
          <w:bCs/>
        </w:rPr>
        <w:t xml:space="preserve">ó </w:t>
      </w:r>
      <w:r w:rsidR="008F24E0" w:rsidRPr="00ED4558">
        <w:rPr>
          <w:rFonts w:ascii="ITC Avant Garde" w:hAnsi="ITC Avant Garde" w:cs="Arial"/>
          <w:bCs/>
        </w:rPr>
        <w:t xml:space="preserve">el apoderado legal de Cablevisión Red. </w:t>
      </w:r>
      <w:r w:rsidR="00307639" w:rsidRPr="00ED4558">
        <w:rPr>
          <w:rFonts w:ascii="ITC Avant Garde" w:hAnsi="ITC Avant Garde" w:cs="Arial"/>
          <w:bCs/>
        </w:rPr>
        <w:t>Dicho acuerdo</w:t>
      </w:r>
      <w:r w:rsidRPr="00ED4558">
        <w:rPr>
          <w:rFonts w:ascii="ITC Avant Garde" w:eastAsia="Times New Roman" w:hAnsi="ITC Avant Garde"/>
          <w:lang w:val="es-ES" w:eastAsia="es-ES"/>
        </w:rPr>
        <w:t xml:space="preserve"> fue notificado </w:t>
      </w:r>
      <w:r w:rsidR="00623521" w:rsidRPr="00ED4558">
        <w:rPr>
          <w:rFonts w:ascii="ITC Avant Garde" w:eastAsia="Times New Roman" w:hAnsi="ITC Avant Garde"/>
          <w:lang w:val="es-ES" w:eastAsia="es-ES"/>
        </w:rPr>
        <w:t xml:space="preserve">por instructivo </w:t>
      </w:r>
      <w:r w:rsidR="006F3A4F" w:rsidRPr="00ED4558">
        <w:rPr>
          <w:rFonts w:ascii="ITC Avant Garde" w:eastAsia="Times New Roman" w:hAnsi="ITC Avant Garde"/>
          <w:lang w:val="es-ES" w:eastAsia="es-ES"/>
        </w:rPr>
        <w:t xml:space="preserve">con fecha </w:t>
      </w:r>
      <w:r w:rsidR="008F24E0" w:rsidRPr="00ED4558">
        <w:rPr>
          <w:rFonts w:ascii="ITC Avant Garde" w:eastAsia="Times New Roman" w:hAnsi="ITC Avant Garde"/>
          <w:lang w:val="es-ES" w:eastAsia="es-ES"/>
        </w:rPr>
        <w:t>2</w:t>
      </w:r>
      <w:r w:rsidR="006F3A4F" w:rsidRPr="00ED4558">
        <w:rPr>
          <w:rFonts w:ascii="ITC Avant Garde" w:eastAsia="Times New Roman" w:hAnsi="ITC Avant Garde"/>
          <w:lang w:val="es-ES" w:eastAsia="es-ES"/>
        </w:rPr>
        <w:t xml:space="preserve"> de </w:t>
      </w:r>
      <w:r w:rsidR="008F24E0" w:rsidRPr="00ED4558">
        <w:rPr>
          <w:rFonts w:ascii="ITC Avant Garde" w:eastAsia="Times New Roman" w:hAnsi="ITC Avant Garde"/>
          <w:lang w:val="es-ES" w:eastAsia="es-ES"/>
        </w:rPr>
        <w:t xml:space="preserve">septiembre </w:t>
      </w:r>
      <w:r w:rsidR="006F3A4F" w:rsidRPr="00ED4558">
        <w:rPr>
          <w:rFonts w:ascii="ITC Avant Garde" w:eastAsia="Times New Roman" w:hAnsi="ITC Avant Garde"/>
          <w:lang w:val="es-ES" w:eastAsia="es-ES"/>
        </w:rPr>
        <w:t>de</w:t>
      </w:r>
      <w:r w:rsidR="00C16584" w:rsidRPr="00ED4558">
        <w:rPr>
          <w:rFonts w:ascii="ITC Avant Garde" w:eastAsia="Times New Roman" w:hAnsi="ITC Avant Garde"/>
          <w:lang w:val="es-ES" w:eastAsia="es-ES"/>
        </w:rPr>
        <w:t xml:space="preserve"> 2015.</w:t>
      </w:r>
    </w:p>
    <w:p w14:paraId="0FF05C34" w14:textId="77777777" w:rsidR="0010524D" w:rsidRPr="00ED4558" w:rsidRDefault="00394255" w:rsidP="00706187">
      <w:pPr>
        <w:numPr>
          <w:ilvl w:val="0"/>
          <w:numId w:val="1"/>
        </w:numPr>
        <w:tabs>
          <w:tab w:val="clear" w:pos="680"/>
          <w:tab w:val="num" w:pos="1220"/>
        </w:tabs>
        <w:spacing w:after="0"/>
        <w:ind w:left="709" w:hanging="709"/>
        <w:jc w:val="both"/>
        <w:rPr>
          <w:rFonts w:ascii="ITC Avant Garde" w:eastAsia="Times New Roman" w:hAnsi="ITC Avant Garde"/>
          <w:lang w:val="es-ES" w:eastAsia="es-ES"/>
        </w:rPr>
      </w:pPr>
      <w:r w:rsidRPr="00ED4558">
        <w:rPr>
          <w:rFonts w:ascii="ITC Avant Garde" w:eastAsia="Times New Roman" w:hAnsi="ITC Avant Garde"/>
          <w:b/>
          <w:lang w:val="es-ES" w:eastAsia="es-ES"/>
        </w:rPr>
        <w:lastRenderedPageBreak/>
        <w:t xml:space="preserve">Respuesta al </w:t>
      </w:r>
      <w:r w:rsidR="000C6C0A" w:rsidRPr="00ED4558">
        <w:rPr>
          <w:rFonts w:ascii="ITC Avant Garde" w:eastAsia="Times New Roman" w:hAnsi="ITC Avant Garde"/>
          <w:b/>
          <w:lang w:val="es-ES" w:eastAsia="es-ES"/>
        </w:rPr>
        <w:t xml:space="preserve">Acuerdo </w:t>
      </w:r>
      <w:r w:rsidR="00BB71F5" w:rsidRPr="00ED4558">
        <w:rPr>
          <w:rFonts w:ascii="ITC Avant Garde" w:eastAsia="Times New Roman" w:hAnsi="ITC Avant Garde"/>
          <w:b/>
          <w:lang w:val="es-ES" w:eastAsia="es-ES"/>
        </w:rPr>
        <w:t>de Vista</w:t>
      </w:r>
      <w:r w:rsidRPr="00ED4558">
        <w:rPr>
          <w:rFonts w:ascii="ITC Avant Garde" w:eastAsia="Times New Roman" w:hAnsi="ITC Avant Garde"/>
          <w:b/>
          <w:lang w:val="es-ES" w:eastAsia="es-ES"/>
        </w:rPr>
        <w:t xml:space="preserve">. </w:t>
      </w:r>
      <w:r w:rsidR="00706187" w:rsidRPr="00ED4558">
        <w:rPr>
          <w:rFonts w:ascii="ITC Avant Garde" w:eastAsia="Times New Roman" w:hAnsi="ITC Avant Garde"/>
          <w:lang w:val="es-ES" w:eastAsia="es-ES"/>
        </w:rPr>
        <w:t xml:space="preserve">El </w:t>
      </w:r>
      <w:r w:rsidR="00A109FB" w:rsidRPr="00ED4558">
        <w:rPr>
          <w:rFonts w:ascii="ITC Avant Garde" w:eastAsia="Times New Roman" w:hAnsi="ITC Avant Garde"/>
          <w:lang w:val="es-ES" w:eastAsia="es-ES"/>
        </w:rPr>
        <w:t xml:space="preserve">7 de septiembre de 2015 el apoderado legal de Cablevisión Red </w:t>
      </w:r>
      <w:r w:rsidR="00706187" w:rsidRPr="00ED4558">
        <w:rPr>
          <w:rFonts w:ascii="ITC Avant Garde" w:eastAsia="Times New Roman" w:hAnsi="ITC Avant Garde"/>
          <w:lang w:val="es-ES" w:eastAsia="es-ES"/>
        </w:rPr>
        <w:t xml:space="preserve">presentó, ante el Instituto, escrito mediante el cual dio contestación al </w:t>
      </w:r>
      <w:r w:rsidR="00F40D56" w:rsidRPr="00ED4558">
        <w:rPr>
          <w:rFonts w:ascii="ITC Avant Garde" w:eastAsia="Times New Roman" w:hAnsi="ITC Avant Garde"/>
          <w:lang w:val="es-ES" w:eastAsia="es-ES"/>
        </w:rPr>
        <w:t xml:space="preserve">Acuerdo </w:t>
      </w:r>
      <w:r w:rsidR="00706187" w:rsidRPr="00ED4558">
        <w:rPr>
          <w:rFonts w:ascii="ITC Avant Garde" w:eastAsia="Times New Roman" w:hAnsi="ITC Avant Garde"/>
          <w:lang w:val="es-ES" w:eastAsia="es-ES"/>
        </w:rPr>
        <w:t xml:space="preserve">de Vista. En dicho escrito, </w:t>
      </w:r>
      <w:r w:rsidR="00A109FB" w:rsidRPr="00ED4558">
        <w:rPr>
          <w:rFonts w:ascii="ITC Avant Garde" w:eastAsia="Times New Roman" w:hAnsi="ITC Avant Garde"/>
          <w:lang w:val="es-ES" w:eastAsia="es-ES"/>
        </w:rPr>
        <w:t xml:space="preserve">Cablevisión Red </w:t>
      </w:r>
      <w:r w:rsidR="00706187" w:rsidRPr="00ED4558">
        <w:rPr>
          <w:rFonts w:ascii="ITC Avant Garde" w:eastAsia="Times New Roman" w:hAnsi="ITC Avant Garde"/>
          <w:lang w:val="es-ES" w:eastAsia="es-ES"/>
        </w:rPr>
        <w:t xml:space="preserve">manifestó lo que a su derecho convino, fijó su postura y ofreció pruebas (en lo sucesivo, la “Respuesta </w:t>
      </w:r>
      <w:r w:rsidR="00A109FB" w:rsidRPr="00ED4558">
        <w:rPr>
          <w:rFonts w:ascii="ITC Avant Garde" w:eastAsia="Times New Roman" w:hAnsi="ITC Avant Garde"/>
          <w:lang w:val="es-ES" w:eastAsia="es-ES"/>
        </w:rPr>
        <w:t>de Cablevisión Red</w:t>
      </w:r>
      <w:r w:rsidR="00706187" w:rsidRPr="00ED4558">
        <w:rPr>
          <w:rFonts w:ascii="ITC Avant Garde" w:eastAsia="Times New Roman" w:hAnsi="ITC Avant Garde"/>
          <w:lang w:val="es-ES" w:eastAsia="es-ES"/>
        </w:rPr>
        <w:t>”).</w:t>
      </w:r>
      <w:r w:rsidR="00C16584" w:rsidRPr="00ED4558">
        <w:rPr>
          <w:rFonts w:ascii="ITC Avant Garde" w:eastAsia="Times New Roman" w:hAnsi="ITC Avant Garde"/>
          <w:lang w:val="es-ES" w:eastAsia="es-ES"/>
        </w:rPr>
        <w:t xml:space="preserve"> </w:t>
      </w:r>
    </w:p>
    <w:p w14:paraId="130DFE00" w14:textId="77777777" w:rsidR="0010524D" w:rsidRPr="00ED4558" w:rsidRDefault="0010524D" w:rsidP="00773BC1">
      <w:pPr>
        <w:pStyle w:val="Prrafodelista"/>
        <w:spacing w:line="276" w:lineRule="auto"/>
        <w:ind w:left="567" w:right="567"/>
        <w:rPr>
          <w:rFonts w:ascii="ITC Avant Garde" w:hAnsi="ITC Avant Garde"/>
          <w:b/>
          <w:szCs w:val="22"/>
          <w:lang w:val="es-ES"/>
        </w:rPr>
      </w:pPr>
    </w:p>
    <w:p w14:paraId="1AD607F1" w14:textId="77777777" w:rsidR="00706187" w:rsidRPr="00ED4558" w:rsidRDefault="004E41F0" w:rsidP="00706187">
      <w:pPr>
        <w:numPr>
          <w:ilvl w:val="0"/>
          <w:numId w:val="1"/>
        </w:numPr>
        <w:tabs>
          <w:tab w:val="clear" w:pos="680"/>
          <w:tab w:val="num" w:pos="709"/>
        </w:tabs>
        <w:spacing w:after="0"/>
        <w:ind w:left="709" w:right="48" w:hanging="709"/>
        <w:jc w:val="both"/>
        <w:rPr>
          <w:rFonts w:ascii="ITC Avant Garde" w:eastAsia="Times New Roman" w:hAnsi="ITC Avant Garde"/>
          <w:lang w:val="es-ES" w:eastAsia="es-ES"/>
        </w:rPr>
      </w:pPr>
      <w:r w:rsidRPr="00ED4558">
        <w:rPr>
          <w:rFonts w:ascii="ITC Avant Garde" w:eastAsia="Times New Roman" w:hAnsi="ITC Avant Garde"/>
          <w:b/>
          <w:lang w:val="es-ES" w:eastAsia="es-ES"/>
        </w:rPr>
        <w:t xml:space="preserve">Desahogo de </w:t>
      </w:r>
      <w:r w:rsidR="0060757B" w:rsidRPr="00ED4558">
        <w:rPr>
          <w:rFonts w:ascii="ITC Avant Garde" w:eastAsia="Times New Roman" w:hAnsi="ITC Avant Garde"/>
          <w:b/>
          <w:lang w:val="es-ES" w:eastAsia="es-ES"/>
        </w:rPr>
        <w:t xml:space="preserve">Pruebas. </w:t>
      </w:r>
      <w:r w:rsidR="00706187" w:rsidRPr="00ED4558">
        <w:rPr>
          <w:rFonts w:ascii="ITC Avant Garde" w:eastAsia="Times New Roman" w:hAnsi="ITC Avant Garde"/>
          <w:lang w:val="es-ES" w:eastAsia="es-ES"/>
        </w:rPr>
        <w:t xml:space="preserve">El </w:t>
      </w:r>
      <w:r w:rsidR="00C46A7A" w:rsidRPr="00ED4558">
        <w:rPr>
          <w:rFonts w:ascii="ITC Avant Garde" w:eastAsia="Times New Roman" w:hAnsi="ITC Avant Garde"/>
          <w:lang w:val="es-ES" w:eastAsia="es-ES"/>
        </w:rPr>
        <w:t xml:space="preserve">15 de septiembre de 2015, </w:t>
      </w:r>
      <w:r w:rsidR="00706187" w:rsidRPr="00ED4558">
        <w:rPr>
          <w:rFonts w:ascii="ITC Avant Garde" w:eastAsia="Times New Roman" w:hAnsi="ITC Avant Garde"/>
          <w:lang w:val="es-ES" w:eastAsia="es-ES"/>
        </w:rPr>
        <w:t xml:space="preserve">el Instituto notificó a </w:t>
      </w:r>
      <w:r w:rsidR="00C46A7A" w:rsidRPr="00ED4558">
        <w:rPr>
          <w:rFonts w:ascii="ITC Avant Garde" w:eastAsia="Times New Roman" w:hAnsi="ITC Avant Garde"/>
          <w:lang w:val="es-ES" w:eastAsia="es-ES"/>
        </w:rPr>
        <w:t xml:space="preserve">Cablevisión Red y </w:t>
      </w:r>
      <w:r w:rsidR="00706187" w:rsidRPr="00ED4558">
        <w:rPr>
          <w:rFonts w:ascii="ITC Avant Garde" w:eastAsia="Times New Roman" w:hAnsi="ITC Avant Garde"/>
          <w:lang w:val="es-ES" w:eastAsia="es-ES"/>
        </w:rPr>
        <w:t xml:space="preserve">Telcel, respectivamente, el Acuerdo </w:t>
      </w:r>
      <w:r w:rsidR="00C46A7A" w:rsidRPr="00ED4558">
        <w:rPr>
          <w:rFonts w:ascii="ITC Avant Garde" w:eastAsia="Times New Roman" w:hAnsi="ITC Avant Garde"/>
          <w:lang w:val="es-ES" w:eastAsia="es-ES"/>
        </w:rPr>
        <w:t>10/09/003/2015</w:t>
      </w:r>
      <w:r w:rsidR="00706187" w:rsidRPr="00ED4558">
        <w:rPr>
          <w:rFonts w:ascii="ITC Avant Garde" w:eastAsia="Times New Roman" w:hAnsi="ITC Avant Garde"/>
          <w:lang w:val="es-ES" w:eastAsia="es-ES"/>
        </w:rPr>
        <w:t xml:space="preserve">, mediante el cual se hizo del conocimiento de las partes que </w:t>
      </w:r>
      <w:r w:rsidR="00266C19" w:rsidRPr="00ED4558">
        <w:rPr>
          <w:rFonts w:ascii="ITC Avant Garde" w:eastAsia="Times New Roman" w:hAnsi="ITC Avant Garde"/>
          <w:lang w:val="es-ES" w:eastAsia="es-ES"/>
        </w:rPr>
        <w:t xml:space="preserve">Cablevisión Red </w:t>
      </w:r>
      <w:r w:rsidR="00706187" w:rsidRPr="00ED4558">
        <w:rPr>
          <w:rFonts w:ascii="ITC Avant Garde" w:eastAsia="Times New Roman" w:hAnsi="ITC Avant Garde"/>
          <w:lang w:val="es-ES" w:eastAsia="es-ES"/>
        </w:rPr>
        <w:t xml:space="preserve">ofreció prueba pericial en materia de Economía por lo que el Instituto admitió dicha prueba pericial y tuvo por designado al perito ofrecido por </w:t>
      </w:r>
      <w:r w:rsidR="00266C19" w:rsidRPr="00ED4558">
        <w:rPr>
          <w:rFonts w:ascii="ITC Avant Garde" w:eastAsia="Times New Roman" w:hAnsi="ITC Avant Garde"/>
          <w:lang w:val="es-ES" w:eastAsia="es-ES"/>
        </w:rPr>
        <w:t>Cablevisión Red</w:t>
      </w:r>
      <w:r w:rsidR="00706187" w:rsidRPr="00ED4558">
        <w:rPr>
          <w:rFonts w:ascii="ITC Avant Garde" w:eastAsia="Times New Roman" w:hAnsi="ITC Avant Garde"/>
          <w:lang w:val="es-ES" w:eastAsia="es-ES"/>
        </w:rPr>
        <w:t xml:space="preserve">. Asimismo, se requirió a </w:t>
      </w:r>
      <w:r w:rsidR="00266C19" w:rsidRPr="00ED4558">
        <w:rPr>
          <w:rFonts w:ascii="ITC Avant Garde" w:eastAsia="Times New Roman" w:hAnsi="ITC Avant Garde"/>
          <w:lang w:val="es-ES" w:eastAsia="es-ES"/>
        </w:rPr>
        <w:t xml:space="preserve">Cablevisión Red </w:t>
      </w:r>
      <w:r w:rsidR="00706187" w:rsidRPr="00ED4558">
        <w:rPr>
          <w:rFonts w:ascii="ITC Avant Garde" w:eastAsia="Times New Roman" w:hAnsi="ITC Avant Garde"/>
          <w:lang w:val="es-ES" w:eastAsia="es-ES"/>
        </w:rPr>
        <w:t>para que en un plazo no mayor a tres (3) días hábiles, contados a partir del día siguiente que surtiera efectos la notificación presentara al profesional en Economía ofrecido</w:t>
      </w:r>
      <w:r w:rsidR="00266C19" w:rsidRPr="00ED4558">
        <w:rPr>
          <w:rFonts w:ascii="ITC Avant Garde" w:eastAsia="Times New Roman" w:hAnsi="ITC Avant Garde"/>
          <w:lang w:val="es-ES" w:eastAsia="es-ES"/>
        </w:rPr>
        <w:t xml:space="preserve"> </w:t>
      </w:r>
      <w:r w:rsidR="00706187" w:rsidRPr="00ED4558">
        <w:rPr>
          <w:rFonts w:ascii="ITC Avant Garde" w:eastAsia="Times New Roman" w:hAnsi="ITC Avant Garde"/>
          <w:lang w:val="es-ES" w:eastAsia="es-ES"/>
        </w:rPr>
        <w:t xml:space="preserve">como perito de su parte a efecto de que protestara y aceptara su cargo. </w:t>
      </w:r>
    </w:p>
    <w:p w14:paraId="1FFB5609" w14:textId="77777777" w:rsidR="00706187" w:rsidRPr="00ED4558" w:rsidRDefault="00706187" w:rsidP="00706187">
      <w:pPr>
        <w:pStyle w:val="Prrafodelista"/>
        <w:rPr>
          <w:rFonts w:ascii="ITC Avant Garde" w:hAnsi="ITC Avant Garde" w:cs="Arial"/>
          <w:bCs/>
        </w:rPr>
      </w:pPr>
    </w:p>
    <w:p w14:paraId="08205491" w14:textId="77777777" w:rsidR="00706187" w:rsidRPr="00ED4558" w:rsidRDefault="00706187" w:rsidP="00706187">
      <w:pPr>
        <w:tabs>
          <w:tab w:val="left" w:pos="709"/>
        </w:tabs>
        <w:spacing w:after="0"/>
        <w:ind w:left="709" w:right="48"/>
        <w:jc w:val="both"/>
        <w:rPr>
          <w:rFonts w:ascii="ITC Avant Garde" w:eastAsia="Times New Roman" w:hAnsi="ITC Avant Garde"/>
          <w:lang w:val="es-ES" w:eastAsia="es-ES"/>
        </w:rPr>
      </w:pPr>
      <w:r w:rsidRPr="00ED4558">
        <w:rPr>
          <w:rFonts w:ascii="ITC Avant Garde" w:eastAsia="Times New Roman" w:hAnsi="ITC Avant Garde"/>
          <w:lang w:val="es-ES" w:eastAsia="es-ES"/>
        </w:rPr>
        <w:t xml:space="preserve">En términos de lo anterior, se le corrió traslado al representante legal de Telcel del cuestionario en materia de Economía presentado por </w:t>
      </w:r>
      <w:r w:rsidR="00266C19" w:rsidRPr="00ED4558">
        <w:rPr>
          <w:rFonts w:ascii="ITC Avant Garde" w:eastAsia="Times New Roman" w:hAnsi="ITC Avant Garde"/>
          <w:lang w:val="es-ES" w:eastAsia="es-ES"/>
        </w:rPr>
        <w:t>Cablevisión Red</w:t>
      </w:r>
      <w:r w:rsidRPr="00ED4558">
        <w:rPr>
          <w:rFonts w:ascii="ITC Avant Garde" w:eastAsia="Times New Roman" w:hAnsi="ITC Avant Garde"/>
          <w:lang w:val="es-ES" w:eastAsia="es-ES"/>
        </w:rPr>
        <w:t xml:space="preserve"> para que en un plazo no mayor a cinco (5) días hábiles contados a partir del día siguiente en que surtiera efectos legales la notificación, designara al profesional en Economía para el desahogo de</w:t>
      </w:r>
      <w:r w:rsidR="00266C19" w:rsidRPr="00ED4558">
        <w:rPr>
          <w:rFonts w:ascii="ITC Avant Garde" w:eastAsia="Times New Roman" w:hAnsi="ITC Avant Garde"/>
          <w:lang w:val="es-ES" w:eastAsia="es-ES"/>
        </w:rPr>
        <w:t xml:space="preserve">l </w:t>
      </w:r>
      <w:r w:rsidRPr="00ED4558">
        <w:rPr>
          <w:rFonts w:ascii="ITC Avant Garde" w:eastAsia="Times New Roman" w:hAnsi="ITC Avant Garde"/>
          <w:lang w:val="es-ES" w:eastAsia="es-ES"/>
        </w:rPr>
        <w:t>cuestionario</w:t>
      </w:r>
      <w:r w:rsidR="00266C19" w:rsidRPr="00ED4558">
        <w:rPr>
          <w:rFonts w:ascii="ITC Avant Garde" w:eastAsia="Times New Roman" w:hAnsi="ITC Avant Garde"/>
          <w:lang w:val="es-ES" w:eastAsia="es-ES"/>
        </w:rPr>
        <w:t xml:space="preserve"> </w:t>
      </w:r>
      <w:r w:rsidRPr="00ED4558">
        <w:rPr>
          <w:rFonts w:ascii="ITC Avant Garde" w:eastAsia="Times New Roman" w:hAnsi="ITC Avant Garde"/>
          <w:lang w:val="es-ES" w:eastAsia="es-ES"/>
        </w:rPr>
        <w:t xml:space="preserve">presentado por </w:t>
      </w:r>
      <w:r w:rsidR="00266C19" w:rsidRPr="00ED4558">
        <w:rPr>
          <w:rFonts w:ascii="ITC Avant Garde" w:eastAsia="Times New Roman" w:hAnsi="ITC Avant Garde"/>
          <w:lang w:val="es-ES" w:eastAsia="es-ES"/>
        </w:rPr>
        <w:t>Cablevisión Red</w:t>
      </w:r>
      <w:r w:rsidRPr="00ED4558">
        <w:rPr>
          <w:rFonts w:ascii="ITC Avant Garde" w:eastAsia="Times New Roman" w:hAnsi="ITC Avant Garde"/>
          <w:lang w:val="es-ES" w:eastAsia="es-ES"/>
        </w:rPr>
        <w:t>, y en su caso, adicionara las preguntas que considerara convenientes.</w:t>
      </w:r>
    </w:p>
    <w:p w14:paraId="78ADF3E4" w14:textId="77777777" w:rsidR="00706187" w:rsidRPr="00ED4558" w:rsidRDefault="00706187" w:rsidP="00ED4558">
      <w:pPr>
        <w:tabs>
          <w:tab w:val="left" w:pos="709"/>
        </w:tabs>
        <w:spacing w:after="0"/>
        <w:ind w:right="48"/>
        <w:jc w:val="both"/>
        <w:rPr>
          <w:rFonts w:ascii="ITC Avant Garde" w:eastAsia="Times New Roman" w:hAnsi="ITC Avant Garde"/>
          <w:lang w:val="es-ES" w:eastAsia="es-ES"/>
        </w:rPr>
      </w:pPr>
    </w:p>
    <w:p w14:paraId="4472630B" w14:textId="77777777" w:rsidR="00706187" w:rsidRPr="00ED4558" w:rsidRDefault="00706187" w:rsidP="00706187">
      <w:pPr>
        <w:tabs>
          <w:tab w:val="left" w:pos="709"/>
        </w:tabs>
        <w:spacing w:after="0"/>
        <w:ind w:left="709" w:right="48"/>
        <w:jc w:val="both"/>
        <w:rPr>
          <w:rFonts w:ascii="ITC Avant Garde" w:eastAsia="Times New Roman" w:hAnsi="ITC Avant Garde"/>
          <w:lang w:val="es-ES" w:eastAsia="es-ES"/>
        </w:rPr>
      </w:pPr>
      <w:r w:rsidRPr="00ED4558">
        <w:rPr>
          <w:rFonts w:ascii="ITC Avant Garde" w:eastAsia="Times New Roman" w:hAnsi="ITC Avant Garde"/>
          <w:lang w:val="es-ES" w:eastAsia="es-ES"/>
        </w:rPr>
        <w:t xml:space="preserve">El </w:t>
      </w:r>
      <w:r w:rsidR="00E8629A" w:rsidRPr="00ED4558">
        <w:rPr>
          <w:rFonts w:ascii="ITC Avant Garde" w:eastAsia="Times New Roman" w:hAnsi="ITC Avant Garde"/>
          <w:lang w:val="es-ES" w:eastAsia="es-ES"/>
        </w:rPr>
        <w:t xml:space="preserve">15 de septiembre de </w:t>
      </w:r>
      <w:r w:rsidRPr="00ED4558">
        <w:rPr>
          <w:rFonts w:ascii="ITC Avant Garde" w:eastAsia="Times New Roman" w:hAnsi="ITC Avant Garde"/>
          <w:lang w:val="es-ES" w:eastAsia="es-ES"/>
        </w:rPr>
        <w:t xml:space="preserve">2015, el representante legal de Telcel manifestó que no era de su interés designar un profesional en materia de economía, ni adicionar el cuestionario correspondiente para el desahogo de la prueba pericial ofrecida por </w:t>
      </w:r>
      <w:r w:rsidR="00E8629A" w:rsidRPr="00ED4558">
        <w:rPr>
          <w:rFonts w:ascii="ITC Avant Garde" w:eastAsia="Times New Roman" w:hAnsi="ITC Avant Garde"/>
          <w:lang w:val="es-ES" w:eastAsia="es-ES"/>
        </w:rPr>
        <w:t>Cablevisión Red</w:t>
      </w:r>
      <w:r w:rsidRPr="00ED4558">
        <w:rPr>
          <w:rFonts w:ascii="ITC Avant Garde" w:eastAsia="Times New Roman" w:hAnsi="ITC Avant Garde"/>
          <w:lang w:val="es-ES" w:eastAsia="es-ES"/>
        </w:rPr>
        <w:t xml:space="preserve">. Lo anterior, en virtud de que Telcel consideró que la probanza en cuestión no tiene relación con el fondo del asunto y resulta improcedente e innecesaria, según lo señala el artículo 50 de la Ley Federal de Procedimiento Administrativo (en lo sucesivo, la “LFPA”), de aplicación supletoria en la materia. </w:t>
      </w:r>
    </w:p>
    <w:p w14:paraId="734E8884" w14:textId="77777777" w:rsidR="00706187" w:rsidRPr="00ED4558" w:rsidRDefault="00706187" w:rsidP="00706187">
      <w:pPr>
        <w:tabs>
          <w:tab w:val="left" w:pos="709"/>
        </w:tabs>
        <w:spacing w:after="0"/>
        <w:ind w:left="709" w:right="48"/>
        <w:jc w:val="both"/>
        <w:rPr>
          <w:rFonts w:ascii="ITC Avant Garde" w:eastAsia="Times New Roman" w:hAnsi="ITC Avant Garde"/>
          <w:lang w:val="es-ES" w:eastAsia="es-ES"/>
        </w:rPr>
      </w:pPr>
    </w:p>
    <w:p w14:paraId="414DFF64" w14:textId="77777777" w:rsidR="003A67E0" w:rsidRPr="00ED4558" w:rsidRDefault="003A67E0" w:rsidP="003A67E0">
      <w:pPr>
        <w:tabs>
          <w:tab w:val="left" w:pos="709"/>
        </w:tabs>
        <w:spacing w:after="0"/>
        <w:ind w:left="709" w:right="48"/>
        <w:jc w:val="both"/>
        <w:rPr>
          <w:rFonts w:ascii="ITC Avant Garde" w:eastAsia="Times New Roman" w:hAnsi="ITC Avant Garde"/>
          <w:lang w:val="es-ES" w:eastAsia="es-ES"/>
        </w:rPr>
      </w:pPr>
      <w:r w:rsidRPr="00ED4558">
        <w:rPr>
          <w:rFonts w:ascii="ITC Avant Garde" w:eastAsia="Times New Roman" w:hAnsi="ITC Avant Garde"/>
          <w:lang w:val="es-ES" w:eastAsia="es-ES"/>
        </w:rPr>
        <w:t>El 21 de septiembre de 2015, compareció ante el Instituto a efecto de protestar el cargo de perito, el profesional en Economía que fue designado por Cablevisión Red.</w:t>
      </w:r>
    </w:p>
    <w:p w14:paraId="413C4C75" w14:textId="77777777" w:rsidR="003A67E0" w:rsidRPr="00ED4558" w:rsidRDefault="003A67E0" w:rsidP="00ED4558">
      <w:pPr>
        <w:tabs>
          <w:tab w:val="left" w:pos="709"/>
        </w:tabs>
        <w:spacing w:after="0"/>
        <w:ind w:right="48"/>
        <w:jc w:val="both"/>
        <w:rPr>
          <w:rFonts w:ascii="ITC Avant Garde" w:eastAsia="Times New Roman" w:hAnsi="ITC Avant Garde"/>
          <w:lang w:val="es-ES" w:eastAsia="es-ES"/>
        </w:rPr>
      </w:pPr>
    </w:p>
    <w:p w14:paraId="26D822E5" w14:textId="77777777" w:rsidR="00706187" w:rsidRPr="00ED4558" w:rsidRDefault="00706187" w:rsidP="00706187">
      <w:pPr>
        <w:tabs>
          <w:tab w:val="left" w:pos="709"/>
        </w:tabs>
        <w:spacing w:after="0"/>
        <w:ind w:left="709" w:right="48"/>
        <w:jc w:val="both"/>
        <w:rPr>
          <w:rFonts w:ascii="ITC Avant Garde" w:eastAsia="Times New Roman" w:hAnsi="ITC Avant Garde"/>
          <w:lang w:val="es-ES" w:eastAsia="es-ES"/>
        </w:rPr>
      </w:pPr>
      <w:r w:rsidRPr="00ED4558">
        <w:rPr>
          <w:rFonts w:ascii="ITC Avant Garde" w:eastAsia="Times New Roman" w:hAnsi="ITC Avant Garde"/>
          <w:lang w:val="es-ES" w:eastAsia="es-ES"/>
        </w:rPr>
        <w:t xml:space="preserve">De esta manera, con fundamento en el artículo 84 de la misma LFPA, Telcel manifiesta su oposición a la admisión de la prueba pericial ofrecida por </w:t>
      </w:r>
      <w:r w:rsidR="00E8629A" w:rsidRPr="00ED4558">
        <w:rPr>
          <w:rFonts w:ascii="ITC Avant Garde" w:eastAsia="Times New Roman" w:hAnsi="ITC Avant Garde"/>
          <w:lang w:val="es-ES" w:eastAsia="es-ES"/>
        </w:rPr>
        <w:t>Cablevisión Red</w:t>
      </w:r>
      <w:r w:rsidRPr="00ED4558">
        <w:rPr>
          <w:rFonts w:ascii="ITC Avant Garde" w:eastAsia="Times New Roman" w:hAnsi="ITC Avant Garde"/>
          <w:lang w:val="es-ES" w:eastAsia="es-ES"/>
        </w:rPr>
        <w:t xml:space="preserve">, contenida en el </w:t>
      </w:r>
      <w:r w:rsidR="00E8629A" w:rsidRPr="00ED4558">
        <w:rPr>
          <w:rFonts w:ascii="ITC Avant Garde" w:eastAsia="Times New Roman" w:hAnsi="ITC Avant Garde"/>
          <w:lang w:val="es-ES" w:eastAsia="es-ES"/>
        </w:rPr>
        <w:t>Acuerdo 10/09/003/2015</w:t>
      </w:r>
      <w:r w:rsidRPr="00ED4558">
        <w:rPr>
          <w:rFonts w:ascii="ITC Avant Garde" w:eastAsia="Times New Roman" w:hAnsi="ITC Avant Garde"/>
          <w:lang w:val="es-ES" w:eastAsia="es-ES"/>
        </w:rPr>
        <w:t xml:space="preserve">, con independencia </w:t>
      </w:r>
      <w:r w:rsidRPr="00ED4558">
        <w:rPr>
          <w:rFonts w:ascii="ITC Avant Garde" w:eastAsia="Times New Roman" w:hAnsi="ITC Avant Garde"/>
          <w:lang w:val="es-ES" w:eastAsia="es-ES"/>
        </w:rPr>
        <w:lastRenderedPageBreak/>
        <w:t>de realizar las manifestaciones que considere pertinentes, sobre el dictamen que en su momento sea rendido.</w:t>
      </w:r>
    </w:p>
    <w:p w14:paraId="4CBF773E" w14:textId="77777777" w:rsidR="00706187" w:rsidRPr="00ED4558" w:rsidRDefault="00706187" w:rsidP="00706187">
      <w:pPr>
        <w:tabs>
          <w:tab w:val="left" w:pos="709"/>
        </w:tabs>
        <w:spacing w:after="0"/>
        <w:ind w:left="709" w:right="48"/>
        <w:jc w:val="both"/>
        <w:rPr>
          <w:rFonts w:ascii="ITC Avant Garde" w:eastAsia="Times New Roman" w:hAnsi="ITC Avant Garde"/>
          <w:lang w:val="es-ES" w:eastAsia="es-ES"/>
        </w:rPr>
      </w:pPr>
    </w:p>
    <w:p w14:paraId="684E6D5F" w14:textId="345A0270" w:rsidR="00706187" w:rsidRPr="00ED4558" w:rsidRDefault="00706187" w:rsidP="00706187">
      <w:pPr>
        <w:tabs>
          <w:tab w:val="left" w:pos="709"/>
        </w:tabs>
        <w:spacing w:after="0"/>
        <w:ind w:left="709" w:right="48"/>
        <w:jc w:val="both"/>
        <w:rPr>
          <w:rFonts w:ascii="ITC Avant Garde" w:eastAsia="Times New Roman" w:hAnsi="ITC Avant Garde"/>
          <w:lang w:val="es-ES" w:eastAsia="es-ES"/>
        </w:rPr>
      </w:pPr>
      <w:r w:rsidRPr="00ED4558">
        <w:rPr>
          <w:rFonts w:ascii="ITC Avant Garde" w:eastAsia="Times New Roman" w:hAnsi="ITC Avant Garde"/>
          <w:lang w:val="es-ES" w:eastAsia="es-ES"/>
        </w:rPr>
        <w:t xml:space="preserve">El </w:t>
      </w:r>
      <w:r w:rsidR="008233E2" w:rsidRPr="00ED4558">
        <w:rPr>
          <w:rFonts w:ascii="ITC Avant Garde" w:eastAsia="Times New Roman" w:hAnsi="ITC Avant Garde"/>
          <w:lang w:val="es-ES" w:eastAsia="es-ES"/>
        </w:rPr>
        <w:t xml:space="preserve">5 de octubre </w:t>
      </w:r>
      <w:r w:rsidRPr="00ED4558">
        <w:rPr>
          <w:rFonts w:ascii="ITC Avant Garde" w:eastAsia="Times New Roman" w:hAnsi="ITC Avant Garde"/>
          <w:lang w:val="es-ES" w:eastAsia="es-ES"/>
        </w:rPr>
        <w:t xml:space="preserve">de 2015, el Instituto notificó a Telcel y </w:t>
      </w:r>
      <w:r w:rsidR="008233E2" w:rsidRPr="00ED4558">
        <w:rPr>
          <w:rFonts w:ascii="ITC Avant Garde" w:eastAsia="Times New Roman" w:hAnsi="ITC Avant Garde"/>
          <w:lang w:val="es-ES" w:eastAsia="es-ES"/>
        </w:rPr>
        <w:t xml:space="preserve">Cablevisión Red </w:t>
      </w:r>
      <w:r w:rsidRPr="00ED4558">
        <w:rPr>
          <w:rFonts w:ascii="ITC Avant Garde" w:eastAsia="Times New Roman" w:hAnsi="ITC Avant Garde"/>
          <w:lang w:val="es-ES" w:eastAsia="es-ES"/>
        </w:rPr>
        <w:t xml:space="preserve">el Acuerdo </w:t>
      </w:r>
      <w:r w:rsidR="008233E2" w:rsidRPr="00ED4558">
        <w:rPr>
          <w:rFonts w:ascii="ITC Avant Garde" w:eastAsia="Times New Roman" w:hAnsi="ITC Avant Garde"/>
          <w:lang w:val="es-ES" w:eastAsia="es-ES"/>
        </w:rPr>
        <w:t>28/09/004/2015</w:t>
      </w:r>
      <w:r w:rsidR="003A67E0" w:rsidRPr="00ED4558">
        <w:rPr>
          <w:rFonts w:ascii="ITC Avant Garde" w:eastAsia="Times New Roman" w:hAnsi="ITC Avant Garde"/>
          <w:lang w:val="es-ES" w:eastAsia="es-ES"/>
        </w:rPr>
        <w:t xml:space="preserve"> de fecha 28 de septiembre de 2015</w:t>
      </w:r>
      <w:r w:rsidRPr="00ED4558">
        <w:rPr>
          <w:rFonts w:ascii="ITC Avant Garde" w:eastAsia="Times New Roman" w:hAnsi="ITC Avant Garde"/>
          <w:lang w:val="es-ES" w:eastAsia="es-ES"/>
        </w:rPr>
        <w:t xml:space="preserve">, mediante el cual requirió que en un plazo no mayor a cinco (5) días hábiles contados a partir del día siguiente en que surtiera efectos la notificación, el perito de </w:t>
      </w:r>
      <w:r w:rsidR="008233E2" w:rsidRPr="00ED4558">
        <w:rPr>
          <w:rFonts w:ascii="ITC Avant Garde" w:eastAsia="Times New Roman" w:hAnsi="ITC Avant Garde"/>
          <w:lang w:val="es-ES" w:eastAsia="es-ES"/>
        </w:rPr>
        <w:t xml:space="preserve">Cablevisión Red rindiera </w:t>
      </w:r>
      <w:r w:rsidRPr="00ED4558">
        <w:rPr>
          <w:rFonts w:ascii="ITC Avant Garde" w:eastAsia="Times New Roman" w:hAnsi="ITC Avant Garde"/>
          <w:lang w:val="es-ES" w:eastAsia="es-ES"/>
        </w:rPr>
        <w:t xml:space="preserve">el dictamen pericial correspondiente, conforme al cuestionario que fue presentado. </w:t>
      </w:r>
    </w:p>
    <w:p w14:paraId="23C6CC46" w14:textId="77777777" w:rsidR="00706187" w:rsidRPr="00ED4558" w:rsidRDefault="00706187" w:rsidP="00706187">
      <w:pPr>
        <w:tabs>
          <w:tab w:val="left" w:pos="709"/>
        </w:tabs>
        <w:spacing w:after="0"/>
        <w:ind w:left="709" w:right="48"/>
        <w:jc w:val="both"/>
        <w:rPr>
          <w:rFonts w:ascii="ITC Avant Garde" w:eastAsia="Times New Roman" w:hAnsi="ITC Avant Garde"/>
          <w:lang w:val="es-ES" w:eastAsia="es-ES"/>
        </w:rPr>
      </w:pPr>
    </w:p>
    <w:p w14:paraId="1C976F73" w14:textId="77777777" w:rsidR="00706187" w:rsidRPr="00ED4558" w:rsidRDefault="00706187" w:rsidP="00706187">
      <w:pPr>
        <w:tabs>
          <w:tab w:val="left" w:pos="709"/>
        </w:tabs>
        <w:spacing w:after="0"/>
        <w:ind w:left="709" w:right="48"/>
        <w:jc w:val="both"/>
        <w:rPr>
          <w:rFonts w:ascii="ITC Avant Garde" w:eastAsia="Times New Roman" w:hAnsi="ITC Avant Garde"/>
          <w:lang w:val="es-ES" w:eastAsia="es-ES"/>
        </w:rPr>
      </w:pPr>
      <w:r w:rsidRPr="00ED4558">
        <w:rPr>
          <w:rFonts w:ascii="ITC Avant Garde" w:eastAsia="Times New Roman" w:hAnsi="ITC Avant Garde"/>
          <w:lang w:val="es-ES" w:eastAsia="es-ES"/>
        </w:rPr>
        <w:t xml:space="preserve">El </w:t>
      </w:r>
      <w:r w:rsidR="008233E2" w:rsidRPr="00ED4558">
        <w:rPr>
          <w:rFonts w:ascii="ITC Avant Garde" w:eastAsia="Times New Roman" w:hAnsi="ITC Avant Garde"/>
          <w:lang w:val="es-ES" w:eastAsia="es-ES"/>
        </w:rPr>
        <w:t xml:space="preserve">12 de octubre de </w:t>
      </w:r>
      <w:r w:rsidRPr="00ED4558">
        <w:rPr>
          <w:rFonts w:ascii="ITC Avant Garde" w:eastAsia="Times New Roman" w:hAnsi="ITC Avant Garde"/>
          <w:lang w:val="es-ES" w:eastAsia="es-ES"/>
        </w:rPr>
        <w:t xml:space="preserve">2015 el profesional en Economía designado por </w:t>
      </w:r>
      <w:r w:rsidR="008233E2" w:rsidRPr="00ED4558">
        <w:rPr>
          <w:rFonts w:ascii="ITC Avant Garde" w:eastAsia="Times New Roman" w:hAnsi="ITC Avant Garde"/>
          <w:lang w:val="es-ES" w:eastAsia="es-ES"/>
        </w:rPr>
        <w:t>Cablevisión Red</w:t>
      </w:r>
      <w:r w:rsidRPr="00ED4558">
        <w:rPr>
          <w:rFonts w:ascii="ITC Avant Garde" w:eastAsia="Times New Roman" w:hAnsi="ITC Avant Garde"/>
          <w:lang w:val="es-ES" w:eastAsia="es-ES"/>
        </w:rPr>
        <w:t>, presentó ante el Instituto su dictamen pericial correspondiente.</w:t>
      </w:r>
    </w:p>
    <w:p w14:paraId="789B5655" w14:textId="77777777" w:rsidR="00706187" w:rsidRPr="00ED4558" w:rsidRDefault="00706187" w:rsidP="00706187">
      <w:pPr>
        <w:tabs>
          <w:tab w:val="left" w:pos="709"/>
        </w:tabs>
        <w:spacing w:after="0"/>
        <w:ind w:right="48"/>
        <w:jc w:val="both"/>
        <w:rPr>
          <w:rFonts w:ascii="ITC Avant Garde" w:eastAsia="Times New Roman" w:hAnsi="ITC Avant Garde"/>
          <w:lang w:val="es-ES" w:eastAsia="es-ES"/>
        </w:rPr>
      </w:pPr>
    </w:p>
    <w:p w14:paraId="7A4BE69F" w14:textId="77777777" w:rsidR="00706187" w:rsidRPr="00ED4558" w:rsidRDefault="00706187" w:rsidP="00706187">
      <w:pPr>
        <w:tabs>
          <w:tab w:val="left" w:pos="709"/>
        </w:tabs>
        <w:spacing w:after="0"/>
        <w:ind w:left="709" w:right="48"/>
        <w:jc w:val="both"/>
        <w:rPr>
          <w:rFonts w:ascii="ITC Avant Garde" w:eastAsia="Times New Roman" w:hAnsi="ITC Avant Garde"/>
          <w:lang w:val="es-ES" w:eastAsia="es-ES"/>
        </w:rPr>
      </w:pPr>
      <w:r w:rsidRPr="00ED4558">
        <w:rPr>
          <w:rFonts w:ascii="ITC Avant Garde" w:eastAsia="Times New Roman" w:hAnsi="ITC Avant Garde"/>
          <w:lang w:val="es-ES" w:eastAsia="es-ES"/>
        </w:rPr>
        <w:t xml:space="preserve">El </w:t>
      </w:r>
      <w:r w:rsidR="008233E2" w:rsidRPr="00ED4558">
        <w:rPr>
          <w:rFonts w:ascii="ITC Avant Garde" w:eastAsia="Times New Roman" w:hAnsi="ITC Avant Garde"/>
          <w:lang w:val="es-ES" w:eastAsia="es-ES"/>
        </w:rPr>
        <w:t>16</w:t>
      </w:r>
      <w:r w:rsidRPr="00ED4558">
        <w:rPr>
          <w:rFonts w:ascii="ITC Avant Garde" w:eastAsia="Times New Roman" w:hAnsi="ITC Avant Garde"/>
          <w:lang w:val="es-ES" w:eastAsia="es-ES"/>
        </w:rPr>
        <w:t xml:space="preserve"> de </w:t>
      </w:r>
      <w:r w:rsidR="008233E2" w:rsidRPr="00ED4558">
        <w:rPr>
          <w:rFonts w:ascii="ITC Avant Garde" w:eastAsia="Times New Roman" w:hAnsi="ITC Avant Garde"/>
          <w:lang w:val="es-ES" w:eastAsia="es-ES"/>
        </w:rPr>
        <w:t xml:space="preserve">octubre </w:t>
      </w:r>
      <w:r w:rsidRPr="00ED4558">
        <w:rPr>
          <w:rFonts w:ascii="ITC Avant Garde" w:eastAsia="Times New Roman" w:hAnsi="ITC Avant Garde"/>
          <w:lang w:val="es-ES" w:eastAsia="es-ES"/>
        </w:rPr>
        <w:t xml:space="preserve">de 2015, el Instituto notificó a </w:t>
      </w:r>
      <w:r w:rsidR="008233E2" w:rsidRPr="00ED4558">
        <w:rPr>
          <w:rFonts w:ascii="ITC Avant Garde" w:eastAsia="Times New Roman" w:hAnsi="ITC Avant Garde"/>
          <w:lang w:val="es-ES" w:eastAsia="es-ES"/>
        </w:rPr>
        <w:t xml:space="preserve">Cablevisión Red </w:t>
      </w:r>
      <w:r w:rsidRPr="00ED4558">
        <w:rPr>
          <w:rFonts w:ascii="ITC Avant Garde" w:eastAsia="Times New Roman" w:hAnsi="ITC Avant Garde"/>
          <w:lang w:val="es-ES" w:eastAsia="es-ES"/>
        </w:rPr>
        <w:t xml:space="preserve">el Acuerdo </w:t>
      </w:r>
      <w:r w:rsidR="008233E2" w:rsidRPr="00ED4558">
        <w:rPr>
          <w:rFonts w:ascii="ITC Avant Garde" w:eastAsia="Times New Roman" w:hAnsi="ITC Avant Garde"/>
          <w:lang w:val="es-ES" w:eastAsia="es-ES"/>
        </w:rPr>
        <w:t>15/10/005/2015</w:t>
      </w:r>
      <w:r w:rsidRPr="00ED4558">
        <w:rPr>
          <w:rFonts w:ascii="ITC Avant Garde" w:eastAsia="Times New Roman" w:hAnsi="ITC Avant Garde"/>
          <w:lang w:val="es-ES" w:eastAsia="es-ES"/>
        </w:rPr>
        <w:t xml:space="preserve">, mediante el cual se otorgó un término de tres (3) días hábiles contados a partir del día siguiente al que surtiera efectos la notificación de dicho </w:t>
      </w:r>
      <w:r w:rsidR="00A44E7B" w:rsidRPr="00ED4558">
        <w:rPr>
          <w:rFonts w:ascii="ITC Avant Garde" w:eastAsia="Times New Roman" w:hAnsi="ITC Avant Garde"/>
          <w:lang w:val="es-ES" w:eastAsia="es-ES"/>
        </w:rPr>
        <w:t>Acuerdo</w:t>
      </w:r>
      <w:r w:rsidRPr="00ED4558">
        <w:rPr>
          <w:rFonts w:ascii="ITC Avant Garde" w:eastAsia="Times New Roman" w:hAnsi="ITC Avant Garde"/>
          <w:lang w:val="es-ES" w:eastAsia="es-ES"/>
        </w:rPr>
        <w:t xml:space="preserve">, para que el perito de </w:t>
      </w:r>
      <w:r w:rsidR="008233E2" w:rsidRPr="00ED4558">
        <w:rPr>
          <w:rFonts w:ascii="ITC Avant Garde" w:eastAsia="Times New Roman" w:hAnsi="ITC Avant Garde"/>
          <w:lang w:val="es-ES" w:eastAsia="es-ES"/>
        </w:rPr>
        <w:t xml:space="preserve">Cablevisión Red </w:t>
      </w:r>
      <w:r w:rsidRPr="00ED4558">
        <w:rPr>
          <w:rFonts w:ascii="ITC Avant Garde" w:eastAsia="Times New Roman" w:hAnsi="ITC Avant Garde"/>
          <w:lang w:val="es-ES" w:eastAsia="es-ES"/>
        </w:rPr>
        <w:t>ratificara el contenido de su dictamen pericial.</w:t>
      </w:r>
    </w:p>
    <w:p w14:paraId="4CDB69C2" w14:textId="77777777" w:rsidR="00706187" w:rsidRPr="00ED4558" w:rsidRDefault="00706187" w:rsidP="00706187">
      <w:pPr>
        <w:tabs>
          <w:tab w:val="left" w:pos="709"/>
        </w:tabs>
        <w:spacing w:after="0"/>
        <w:ind w:left="709" w:right="48"/>
        <w:jc w:val="both"/>
        <w:rPr>
          <w:rFonts w:ascii="ITC Avant Garde" w:eastAsia="Times New Roman" w:hAnsi="ITC Avant Garde"/>
          <w:lang w:val="es-ES" w:eastAsia="es-ES"/>
        </w:rPr>
      </w:pPr>
    </w:p>
    <w:p w14:paraId="18750508" w14:textId="77777777" w:rsidR="0060757B" w:rsidRPr="00ED4558" w:rsidRDefault="00706187" w:rsidP="00706187">
      <w:pPr>
        <w:spacing w:after="0"/>
        <w:ind w:left="709" w:right="48"/>
        <w:jc w:val="both"/>
        <w:rPr>
          <w:rFonts w:ascii="ITC Avant Garde" w:eastAsia="Times New Roman" w:hAnsi="ITC Avant Garde"/>
          <w:lang w:val="es-ES" w:eastAsia="es-ES"/>
        </w:rPr>
      </w:pPr>
      <w:r w:rsidRPr="00ED4558">
        <w:rPr>
          <w:rFonts w:ascii="ITC Avant Garde" w:eastAsia="Times New Roman" w:hAnsi="ITC Avant Garde"/>
          <w:lang w:val="es-ES" w:eastAsia="es-ES"/>
        </w:rPr>
        <w:t xml:space="preserve">El </w:t>
      </w:r>
      <w:r w:rsidR="009C137F" w:rsidRPr="00ED4558">
        <w:rPr>
          <w:rFonts w:ascii="ITC Avant Garde" w:eastAsia="Times New Roman" w:hAnsi="ITC Avant Garde"/>
          <w:lang w:val="es-ES" w:eastAsia="es-ES"/>
        </w:rPr>
        <w:t>21</w:t>
      </w:r>
      <w:r w:rsidRPr="00ED4558">
        <w:rPr>
          <w:rFonts w:ascii="ITC Avant Garde" w:eastAsia="Times New Roman" w:hAnsi="ITC Avant Garde"/>
          <w:lang w:val="es-ES" w:eastAsia="es-ES"/>
        </w:rPr>
        <w:t xml:space="preserve"> de </w:t>
      </w:r>
      <w:r w:rsidR="009C137F" w:rsidRPr="00ED4558">
        <w:rPr>
          <w:rFonts w:ascii="ITC Avant Garde" w:eastAsia="Times New Roman" w:hAnsi="ITC Avant Garde"/>
          <w:lang w:val="es-ES" w:eastAsia="es-ES"/>
        </w:rPr>
        <w:t xml:space="preserve">octubre </w:t>
      </w:r>
      <w:r w:rsidRPr="00ED4558">
        <w:rPr>
          <w:rFonts w:ascii="ITC Avant Garde" w:eastAsia="Times New Roman" w:hAnsi="ITC Avant Garde"/>
          <w:lang w:val="es-ES" w:eastAsia="es-ES"/>
        </w:rPr>
        <w:t xml:space="preserve">de 2015, el profesional en Economía designado por </w:t>
      </w:r>
      <w:r w:rsidR="009C137F" w:rsidRPr="00ED4558">
        <w:rPr>
          <w:rFonts w:ascii="ITC Avant Garde" w:eastAsia="Times New Roman" w:hAnsi="ITC Avant Garde"/>
          <w:lang w:val="es-ES" w:eastAsia="es-ES"/>
        </w:rPr>
        <w:t xml:space="preserve">Cablevisión Red </w:t>
      </w:r>
      <w:r w:rsidRPr="00ED4558">
        <w:rPr>
          <w:rFonts w:ascii="ITC Avant Garde" w:eastAsia="Times New Roman" w:hAnsi="ITC Avant Garde"/>
          <w:lang w:val="es-ES" w:eastAsia="es-ES"/>
        </w:rPr>
        <w:t>se presentó ante el Instituto a efecto de ratificar su dictamen pericial.</w:t>
      </w:r>
      <w:r w:rsidR="00C661F3" w:rsidRPr="00ED4558">
        <w:rPr>
          <w:rFonts w:ascii="ITC Avant Garde" w:eastAsia="Times New Roman" w:hAnsi="ITC Avant Garde"/>
          <w:lang w:val="es-ES" w:eastAsia="es-ES"/>
        </w:rPr>
        <w:t xml:space="preserve"> </w:t>
      </w:r>
    </w:p>
    <w:p w14:paraId="5C4EB74E" w14:textId="77777777" w:rsidR="0060757B" w:rsidRPr="00ED4558" w:rsidRDefault="0060757B" w:rsidP="00BA3E06">
      <w:pPr>
        <w:tabs>
          <w:tab w:val="left" w:pos="709"/>
        </w:tabs>
        <w:spacing w:after="0"/>
        <w:ind w:left="709" w:right="48"/>
        <w:jc w:val="both"/>
        <w:rPr>
          <w:rFonts w:ascii="ITC Avant Garde" w:eastAsia="Times New Roman" w:hAnsi="ITC Avant Garde"/>
          <w:lang w:val="es-ES" w:eastAsia="es-ES"/>
        </w:rPr>
      </w:pPr>
    </w:p>
    <w:p w14:paraId="52DB1C67" w14:textId="77777777" w:rsidR="00706187" w:rsidRPr="00ED4558" w:rsidRDefault="00394255" w:rsidP="00BA3E06">
      <w:pPr>
        <w:numPr>
          <w:ilvl w:val="0"/>
          <w:numId w:val="1"/>
        </w:numPr>
        <w:tabs>
          <w:tab w:val="clear" w:pos="680"/>
          <w:tab w:val="left" w:pos="709"/>
        </w:tabs>
        <w:spacing w:after="0"/>
        <w:ind w:left="709" w:right="48"/>
        <w:jc w:val="both"/>
        <w:rPr>
          <w:rFonts w:ascii="ITC Avant Garde" w:eastAsia="Times New Roman" w:hAnsi="ITC Avant Garde"/>
          <w:lang w:val="es-ES" w:eastAsia="es-ES"/>
        </w:rPr>
      </w:pPr>
      <w:r w:rsidRPr="00ED4558">
        <w:rPr>
          <w:rFonts w:ascii="ITC Avant Garde" w:eastAsia="Times New Roman" w:hAnsi="ITC Avant Garde"/>
          <w:b/>
          <w:lang w:val="es-ES" w:eastAsia="es-ES"/>
        </w:rPr>
        <w:t>Alegatos.</w:t>
      </w:r>
      <w:r w:rsidR="00B514ED" w:rsidRPr="00ED4558">
        <w:rPr>
          <w:rFonts w:ascii="ITC Avant Garde" w:eastAsia="Times New Roman" w:hAnsi="ITC Avant Garde"/>
          <w:lang w:val="es-ES" w:eastAsia="es-ES"/>
        </w:rPr>
        <w:t xml:space="preserve"> </w:t>
      </w:r>
      <w:r w:rsidR="007A5168" w:rsidRPr="00ED4558">
        <w:rPr>
          <w:rFonts w:ascii="ITC Avant Garde" w:eastAsia="Times New Roman" w:hAnsi="ITC Avant Garde"/>
          <w:lang w:val="es-ES" w:eastAsia="es-ES"/>
        </w:rPr>
        <w:t>Por acuerdo 22</w:t>
      </w:r>
      <w:r w:rsidR="00B3279B" w:rsidRPr="00ED4558">
        <w:rPr>
          <w:rFonts w:ascii="ITC Avant Garde" w:eastAsia="Times New Roman" w:hAnsi="ITC Avant Garde"/>
          <w:lang w:val="es-ES" w:eastAsia="es-ES"/>
        </w:rPr>
        <w:t>/10/006/2015 de fecha 22</w:t>
      </w:r>
      <w:r w:rsidR="00706187" w:rsidRPr="00ED4558">
        <w:rPr>
          <w:rFonts w:ascii="ITC Avant Garde" w:eastAsia="Times New Roman" w:hAnsi="ITC Avant Garde"/>
          <w:lang w:val="es-ES" w:eastAsia="es-ES"/>
        </w:rPr>
        <w:t xml:space="preserve"> de </w:t>
      </w:r>
      <w:r w:rsidR="00B3279B" w:rsidRPr="00ED4558">
        <w:rPr>
          <w:rFonts w:ascii="ITC Avant Garde" w:eastAsia="Times New Roman" w:hAnsi="ITC Avant Garde"/>
          <w:lang w:val="es-ES" w:eastAsia="es-ES"/>
        </w:rPr>
        <w:t>octubre</w:t>
      </w:r>
      <w:r w:rsidR="00706187" w:rsidRPr="00ED4558">
        <w:rPr>
          <w:rFonts w:ascii="ITC Avant Garde" w:eastAsia="Times New Roman" w:hAnsi="ITC Avant Garde"/>
          <w:lang w:val="es-ES" w:eastAsia="es-ES"/>
        </w:rPr>
        <w:t xml:space="preserve"> de 2015 se tuvo por fijada la Litis y en virtud de que se habían desahogado todas las pruebas ofrecidas por las partes, se les otorgó un plazo no mayor a dos (2) días hábiles para que presentaran sus alegatos por escrito ante el Instituto, acuerdo que les fue notificado por instructivo el día </w:t>
      </w:r>
      <w:r w:rsidR="00B3279B" w:rsidRPr="00ED4558">
        <w:rPr>
          <w:rFonts w:ascii="ITC Avant Garde" w:eastAsia="Times New Roman" w:hAnsi="ITC Avant Garde"/>
          <w:lang w:val="es-ES" w:eastAsia="es-ES"/>
        </w:rPr>
        <w:t>26</w:t>
      </w:r>
      <w:r w:rsidR="00706187" w:rsidRPr="00ED4558">
        <w:rPr>
          <w:rFonts w:ascii="ITC Avant Garde" w:eastAsia="Times New Roman" w:hAnsi="ITC Avant Garde"/>
          <w:lang w:val="es-ES" w:eastAsia="es-ES"/>
        </w:rPr>
        <w:t xml:space="preserve"> de </w:t>
      </w:r>
      <w:r w:rsidR="00B3279B" w:rsidRPr="00ED4558">
        <w:rPr>
          <w:rFonts w:ascii="ITC Avant Garde" w:eastAsia="Times New Roman" w:hAnsi="ITC Avant Garde"/>
          <w:lang w:val="es-ES" w:eastAsia="es-ES"/>
        </w:rPr>
        <w:t>octubre</w:t>
      </w:r>
      <w:r w:rsidR="00325685" w:rsidRPr="00ED4558">
        <w:rPr>
          <w:rFonts w:ascii="ITC Avant Garde" w:eastAsia="Times New Roman" w:hAnsi="ITC Avant Garde"/>
          <w:lang w:val="es-ES" w:eastAsia="es-ES"/>
        </w:rPr>
        <w:t xml:space="preserve"> </w:t>
      </w:r>
      <w:r w:rsidR="00706187" w:rsidRPr="00ED4558">
        <w:rPr>
          <w:rFonts w:ascii="ITC Avant Garde" w:eastAsia="Times New Roman" w:hAnsi="ITC Avant Garde"/>
          <w:lang w:val="es-ES" w:eastAsia="es-ES"/>
        </w:rPr>
        <w:t>de 2015.</w:t>
      </w:r>
    </w:p>
    <w:p w14:paraId="3ADD78EE" w14:textId="77777777" w:rsidR="00706187" w:rsidRPr="00ED4558" w:rsidRDefault="00706187" w:rsidP="00BA3E06">
      <w:pPr>
        <w:tabs>
          <w:tab w:val="left" w:pos="709"/>
        </w:tabs>
        <w:spacing w:after="0"/>
        <w:ind w:left="709" w:right="48"/>
        <w:jc w:val="both"/>
        <w:rPr>
          <w:rFonts w:ascii="ITC Avant Garde" w:eastAsia="Times New Roman" w:hAnsi="ITC Avant Garde"/>
          <w:lang w:val="es-ES" w:eastAsia="es-ES"/>
        </w:rPr>
      </w:pPr>
    </w:p>
    <w:p w14:paraId="5D75104F" w14:textId="77777777" w:rsidR="00706187" w:rsidRPr="00ED4558" w:rsidRDefault="00B3279B" w:rsidP="00BA3E06">
      <w:pPr>
        <w:tabs>
          <w:tab w:val="left" w:pos="709"/>
        </w:tabs>
        <w:spacing w:after="0"/>
        <w:ind w:left="709" w:right="48"/>
        <w:jc w:val="both"/>
        <w:rPr>
          <w:rFonts w:ascii="ITC Avant Garde" w:eastAsia="Times New Roman" w:hAnsi="ITC Avant Garde"/>
          <w:lang w:val="es-ES" w:eastAsia="es-ES"/>
        </w:rPr>
      </w:pPr>
      <w:r w:rsidRPr="00ED4558">
        <w:rPr>
          <w:rFonts w:ascii="ITC Avant Garde" w:eastAsia="Times New Roman" w:hAnsi="ITC Avant Garde"/>
          <w:lang w:val="es-ES" w:eastAsia="es-ES"/>
        </w:rPr>
        <w:t>El 28 de octubre</w:t>
      </w:r>
      <w:r w:rsidR="00706187" w:rsidRPr="00ED4558">
        <w:rPr>
          <w:rFonts w:ascii="ITC Avant Garde" w:eastAsia="Times New Roman" w:hAnsi="ITC Avant Garde"/>
          <w:lang w:val="es-ES" w:eastAsia="es-ES"/>
        </w:rPr>
        <w:t xml:space="preserve"> de 2015, el </w:t>
      </w:r>
      <w:r w:rsidRPr="00ED4558">
        <w:rPr>
          <w:rFonts w:ascii="ITC Avant Garde" w:eastAsia="Times New Roman" w:hAnsi="ITC Avant Garde"/>
          <w:lang w:val="es-ES" w:eastAsia="es-ES"/>
        </w:rPr>
        <w:t xml:space="preserve">representante de Telcel </w:t>
      </w:r>
      <w:r w:rsidR="00706187" w:rsidRPr="00ED4558">
        <w:rPr>
          <w:rFonts w:ascii="ITC Avant Garde" w:eastAsia="Times New Roman" w:hAnsi="ITC Avant Garde"/>
          <w:lang w:val="es-ES" w:eastAsia="es-ES"/>
        </w:rPr>
        <w:t xml:space="preserve">presentó ante el Instituto escrito por </w:t>
      </w:r>
      <w:r w:rsidRPr="00ED4558">
        <w:rPr>
          <w:rFonts w:ascii="ITC Avant Garde" w:eastAsia="Times New Roman" w:hAnsi="ITC Avant Garde"/>
          <w:lang w:val="es-ES" w:eastAsia="es-ES"/>
        </w:rPr>
        <w:t>el</w:t>
      </w:r>
      <w:r w:rsidR="00706187" w:rsidRPr="00ED4558">
        <w:rPr>
          <w:rFonts w:ascii="ITC Avant Garde" w:eastAsia="Times New Roman" w:hAnsi="ITC Avant Garde"/>
          <w:lang w:val="es-ES" w:eastAsia="es-ES"/>
        </w:rPr>
        <w:t xml:space="preserve"> que formuló sus correspondientes alegatos (en lo sucesivo, los “Alegatos de </w:t>
      </w:r>
      <w:r w:rsidRPr="00ED4558">
        <w:rPr>
          <w:rFonts w:ascii="ITC Avant Garde" w:eastAsia="Times New Roman" w:hAnsi="ITC Avant Garde"/>
          <w:lang w:val="es-ES" w:eastAsia="es-ES"/>
        </w:rPr>
        <w:t>Telcel</w:t>
      </w:r>
      <w:r w:rsidR="00706187" w:rsidRPr="00ED4558">
        <w:rPr>
          <w:rFonts w:ascii="ITC Avant Garde" w:eastAsia="Times New Roman" w:hAnsi="ITC Avant Garde"/>
          <w:lang w:val="es-ES" w:eastAsia="es-ES"/>
        </w:rPr>
        <w:t xml:space="preserve">”). </w:t>
      </w:r>
    </w:p>
    <w:p w14:paraId="6EFF9C56" w14:textId="77777777" w:rsidR="00706187" w:rsidRPr="00ED4558" w:rsidRDefault="00706187" w:rsidP="00BA3E06">
      <w:pPr>
        <w:tabs>
          <w:tab w:val="left" w:pos="709"/>
        </w:tabs>
        <w:spacing w:after="0"/>
        <w:ind w:left="709" w:right="48"/>
        <w:jc w:val="both"/>
        <w:rPr>
          <w:rFonts w:ascii="ITC Avant Garde" w:eastAsia="Times New Roman" w:hAnsi="ITC Avant Garde"/>
          <w:lang w:val="es-ES" w:eastAsia="es-ES"/>
        </w:rPr>
      </w:pPr>
    </w:p>
    <w:p w14:paraId="5F1D6FD3" w14:textId="77777777" w:rsidR="00B3279B" w:rsidRPr="00ED4558" w:rsidRDefault="00B3279B" w:rsidP="00BA3E06">
      <w:pPr>
        <w:tabs>
          <w:tab w:val="left" w:pos="709"/>
        </w:tabs>
        <w:spacing w:after="0"/>
        <w:ind w:left="709" w:right="48"/>
        <w:jc w:val="both"/>
        <w:rPr>
          <w:rFonts w:ascii="ITC Avant Garde" w:eastAsia="Times New Roman" w:hAnsi="ITC Avant Garde"/>
          <w:lang w:val="es-ES" w:eastAsia="es-ES"/>
        </w:rPr>
      </w:pPr>
      <w:r w:rsidRPr="00ED4558">
        <w:rPr>
          <w:rFonts w:ascii="ITC Avant Garde" w:eastAsia="Times New Roman" w:hAnsi="ITC Avant Garde"/>
          <w:lang w:eastAsia="es-ES"/>
        </w:rPr>
        <w:t>El 28 de octubre de 2015 el representante legal de Cablevisión Red, presentó ante el Instituto escrito mediante el cual solicitó se le otorgara prórroga para presentar sus alegatos.</w:t>
      </w:r>
    </w:p>
    <w:p w14:paraId="0757D0BD" w14:textId="77777777" w:rsidR="00B3279B" w:rsidRPr="00ED4558" w:rsidRDefault="00B3279B" w:rsidP="00BA3E06">
      <w:pPr>
        <w:tabs>
          <w:tab w:val="left" w:pos="709"/>
        </w:tabs>
        <w:spacing w:after="0"/>
        <w:ind w:left="709" w:right="48"/>
        <w:jc w:val="both"/>
        <w:rPr>
          <w:rFonts w:ascii="ITC Avant Garde" w:eastAsia="Times New Roman" w:hAnsi="ITC Avant Garde"/>
          <w:lang w:eastAsia="es-ES"/>
        </w:rPr>
      </w:pPr>
    </w:p>
    <w:p w14:paraId="4EEFA964" w14:textId="77777777" w:rsidR="000D5D94" w:rsidRPr="00ED4558" w:rsidRDefault="00B3279B" w:rsidP="00BA3E06">
      <w:pPr>
        <w:tabs>
          <w:tab w:val="left" w:pos="709"/>
        </w:tabs>
        <w:spacing w:after="0"/>
        <w:ind w:left="709" w:right="48"/>
        <w:jc w:val="both"/>
        <w:rPr>
          <w:rFonts w:ascii="ITC Avant Garde" w:eastAsia="Times New Roman" w:hAnsi="ITC Avant Garde"/>
          <w:lang w:eastAsia="es-ES"/>
        </w:rPr>
      </w:pPr>
      <w:r w:rsidRPr="00ED4558">
        <w:rPr>
          <w:rFonts w:ascii="ITC Avant Garde" w:eastAsia="Times New Roman" w:hAnsi="ITC Avant Garde"/>
          <w:lang w:eastAsia="es-ES"/>
        </w:rPr>
        <w:t xml:space="preserve">El 30 de octubre de 2015, el Instituto notificó a Cablevisión Red, el Acuerdo 29/10/007/2015, mediante el cual se le otorgó ampliación de un (1) día hábil contado a partir del día siguiente a la fecha de notificación para que presentara sus alegatos. </w:t>
      </w:r>
    </w:p>
    <w:p w14:paraId="3CAE2C1B" w14:textId="2CBB9C2F" w:rsidR="000D5D94" w:rsidRPr="00ED4558" w:rsidRDefault="000D5D94" w:rsidP="00ED4558">
      <w:pPr>
        <w:tabs>
          <w:tab w:val="left" w:pos="709"/>
        </w:tabs>
        <w:spacing w:after="0"/>
        <w:ind w:left="709" w:right="48"/>
        <w:jc w:val="both"/>
        <w:rPr>
          <w:rFonts w:ascii="ITC Avant Garde" w:eastAsia="Times New Roman" w:hAnsi="ITC Avant Garde"/>
          <w:lang w:eastAsia="es-ES"/>
        </w:rPr>
      </w:pPr>
      <w:r w:rsidRPr="00ED4558">
        <w:rPr>
          <w:rFonts w:ascii="ITC Avant Garde" w:eastAsia="Times New Roman" w:hAnsi="ITC Avant Garde"/>
          <w:lang w:eastAsia="es-ES"/>
        </w:rPr>
        <w:lastRenderedPageBreak/>
        <w:t>El 02 de noviembre de 2015 el representante legal de Cablevisión Red presentó en tiempo ante el Instituto, a través del correo electrónico oficialia@ift.org.mx, escrito mediante el cual formuló sus correspondientes alegatos (en lo sucesivo, los “Alegatos de Cablevisión Red”), mismos que fueron presentado en la Oficialía de Partes del Instituto el día hábil siguiente, esto es el 03 de noviembre de 2015, cumpliendo así con el requisito que refiere que las promociones y documentos recibidos por correo electrónico serán admisibles siempre y cuando la promoción, sus anexos originales y el acuse de recibo de la transmisión electrónica, sean presentados en la Oficialía de partes del Instituto al día hábil siguiente de haberse efectuado la transmisión.</w:t>
      </w:r>
    </w:p>
    <w:p w14:paraId="7F39095B" w14:textId="77777777" w:rsidR="0010524D" w:rsidRPr="00ED4558" w:rsidRDefault="0010524D" w:rsidP="00BA3E06">
      <w:pPr>
        <w:tabs>
          <w:tab w:val="left" w:pos="567"/>
        </w:tabs>
        <w:spacing w:after="0"/>
        <w:ind w:right="567"/>
        <w:jc w:val="both"/>
        <w:rPr>
          <w:rFonts w:ascii="ITC Avant Garde" w:eastAsia="Times New Roman" w:hAnsi="ITC Avant Garde"/>
          <w:lang w:val="es-ES" w:eastAsia="es-ES"/>
        </w:rPr>
      </w:pPr>
    </w:p>
    <w:p w14:paraId="4A28E484" w14:textId="096BA669" w:rsidR="0010524D" w:rsidRPr="00ED4558" w:rsidRDefault="00394255" w:rsidP="00773BC1">
      <w:pPr>
        <w:numPr>
          <w:ilvl w:val="0"/>
          <w:numId w:val="1"/>
        </w:numPr>
        <w:tabs>
          <w:tab w:val="clear" w:pos="680"/>
          <w:tab w:val="num" w:pos="709"/>
        </w:tabs>
        <w:spacing w:after="0"/>
        <w:ind w:left="709" w:right="48" w:hanging="709"/>
        <w:jc w:val="both"/>
        <w:rPr>
          <w:rFonts w:ascii="ITC Avant Garde" w:eastAsia="Times New Roman" w:hAnsi="ITC Avant Garde"/>
          <w:lang w:val="es-ES" w:eastAsia="es-ES"/>
        </w:rPr>
      </w:pPr>
      <w:r w:rsidRPr="00ED4558">
        <w:rPr>
          <w:rFonts w:ascii="ITC Avant Garde" w:eastAsia="Times New Roman" w:hAnsi="ITC Avant Garde"/>
          <w:b/>
          <w:lang w:val="es-ES" w:eastAsia="es-ES"/>
        </w:rPr>
        <w:t>Cierre de la instrucción.</w:t>
      </w:r>
      <w:r w:rsidR="00176F5F" w:rsidRPr="00ED4558">
        <w:rPr>
          <w:rFonts w:ascii="ITC Avant Garde" w:eastAsia="Times New Roman" w:hAnsi="ITC Avant Garde"/>
          <w:lang w:val="es-ES" w:eastAsia="es-ES"/>
        </w:rPr>
        <w:t xml:space="preserve"> </w:t>
      </w:r>
      <w:r w:rsidR="003E14D5" w:rsidRPr="00ED4558">
        <w:rPr>
          <w:rFonts w:ascii="ITC Avant Garde" w:eastAsia="Times New Roman" w:hAnsi="ITC Avant Garde"/>
          <w:lang w:val="es-ES" w:eastAsia="es-ES"/>
        </w:rPr>
        <w:t xml:space="preserve">El </w:t>
      </w:r>
      <w:r w:rsidR="00BA3E06" w:rsidRPr="00ED4558">
        <w:rPr>
          <w:rFonts w:ascii="ITC Avant Garde" w:eastAsia="Times New Roman" w:hAnsi="ITC Avant Garde"/>
          <w:lang w:val="es-ES" w:eastAsia="es-ES"/>
        </w:rPr>
        <w:t>9</w:t>
      </w:r>
      <w:r w:rsidR="00E314E9" w:rsidRPr="00ED4558">
        <w:rPr>
          <w:rFonts w:ascii="ITC Avant Garde" w:eastAsia="Times New Roman" w:hAnsi="ITC Avant Garde"/>
          <w:lang w:val="es-ES" w:eastAsia="es-ES"/>
        </w:rPr>
        <w:t xml:space="preserve"> de </w:t>
      </w:r>
      <w:r w:rsidR="00BA3E06" w:rsidRPr="00ED4558">
        <w:rPr>
          <w:rFonts w:ascii="ITC Avant Garde" w:eastAsia="Times New Roman" w:hAnsi="ITC Avant Garde"/>
          <w:lang w:val="es-ES" w:eastAsia="es-ES"/>
        </w:rPr>
        <w:t>noviem</w:t>
      </w:r>
      <w:r w:rsidR="00E314E9" w:rsidRPr="00ED4558">
        <w:rPr>
          <w:rFonts w:ascii="ITC Avant Garde" w:eastAsia="Times New Roman" w:hAnsi="ITC Avant Garde"/>
          <w:lang w:val="es-ES" w:eastAsia="es-ES"/>
        </w:rPr>
        <w:t>bre de 2015</w:t>
      </w:r>
      <w:r w:rsidR="003E14D5" w:rsidRPr="00ED4558">
        <w:rPr>
          <w:rFonts w:ascii="ITC Avant Garde" w:eastAsia="Times New Roman" w:hAnsi="ITC Avant Garde"/>
          <w:lang w:val="es-ES" w:eastAsia="es-ES"/>
        </w:rPr>
        <w:t>, el Instituto notificó</w:t>
      </w:r>
      <w:r w:rsidR="00E314E9" w:rsidRPr="00ED4558">
        <w:rPr>
          <w:rFonts w:ascii="ITC Avant Garde" w:eastAsia="Times New Roman" w:hAnsi="ITC Avant Garde"/>
          <w:lang w:val="es-ES" w:eastAsia="es-ES"/>
        </w:rPr>
        <w:t xml:space="preserve"> </w:t>
      </w:r>
      <w:r w:rsidR="0038258E" w:rsidRPr="00ED4558">
        <w:rPr>
          <w:rFonts w:ascii="ITC Avant Garde" w:eastAsia="Times New Roman" w:hAnsi="ITC Avant Garde"/>
          <w:lang w:val="es-ES" w:eastAsia="es-ES"/>
        </w:rPr>
        <w:t>a</w:t>
      </w:r>
      <w:r w:rsidR="00E314E9" w:rsidRPr="00ED4558">
        <w:rPr>
          <w:rFonts w:ascii="ITC Avant Garde" w:eastAsia="Times New Roman" w:hAnsi="ITC Avant Garde"/>
          <w:lang w:val="es-ES" w:eastAsia="es-ES"/>
        </w:rPr>
        <w:t xml:space="preserve"> Telcel</w:t>
      </w:r>
      <w:r w:rsidR="0038258E" w:rsidRPr="00ED4558">
        <w:rPr>
          <w:rFonts w:ascii="ITC Avant Garde" w:eastAsia="Times New Roman" w:hAnsi="ITC Avant Garde"/>
          <w:lang w:val="es-ES" w:eastAsia="es-ES"/>
        </w:rPr>
        <w:t xml:space="preserve"> y Cable</w:t>
      </w:r>
      <w:r w:rsidR="003A67E0" w:rsidRPr="00ED4558">
        <w:rPr>
          <w:rFonts w:ascii="ITC Avant Garde" w:eastAsia="Times New Roman" w:hAnsi="ITC Avant Garde"/>
          <w:lang w:val="es-ES" w:eastAsia="es-ES"/>
        </w:rPr>
        <w:t>visión Red</w:t>
      </w:r>
      <w:r w:rsidR="006E7757" w:rsidRPr="00ED4558">
        <w:rPr>
          <w:rFonts w:ascii="ITC Avant Garde" w:eastAsia="Times New Roman" w:hAnsi="ITC Avant Garde"/>
          <w:lang w:val="es-ES" w:eastAsia="es-ES"/>
        </w:rPr>
        <w:t xml:space="preserve">, el Acuerdo </w:t>
      </w:r>
      <w:r w:rsidR="00BA3E06" w:rsidRPr="00ED4558">
        <w:rPr>
          <w:rFonts w:ascii="ITC Avant Garde" w:eastAsia="Times New Roman" w:hAnsi="ITC Avant Garde"/>
          <w:lang w:val="es-ES" w:eastAsia="es-ES"/>
        </w:rPr>
        <w:t>04</w:t>
      </w:r>
      <w:r w:rsidR="0038258E" w:rsidRPr="00ED4558">
        <w:rPr>
          <w:rFonts w:ascii="ITC Avant Garde" w:eastAsia="Times New Roman" w:hAnsi="ITC Avant Garde"/>
          <w:lang w:val="es-ES" w:eastAsia="es-ES"/>
        </w:rPr>
        <w:t>/</w:t>
      </w:r>
      <w:r w:rsidR="00BA3E06" w:rsidRPr="00ED4558">
        <w:rPr>
          <w:rFonts w:ascii="ITC Avant Garde" w:eastAsia="Times New Roman" w:hAnsi="ITC Avant Garde"/>
          <w:lang w:val="es-ES" w:eastAsia="es-ES"/>
        </w:rPr>
        <w:t>11</w:t>
      </w:r>
      <w:r w:rsidR="00924053" w:rsidRPr="00ED4558">
        <w:rPr>
          <w:rFonts w:ascii="ITC Avant Garde" w:eastAsia="Times New Roman" w:hAnsi="ITC Avant Garde"/>
          <w:lang w:val="es-ES" w:eastAsia="es-ES"/>
        </w:rPr>
        <w:t>/00</w:t>
      </w:r>
      <w:r w:rsidR="00BA3E06" w:rsidRPr="00ED4558">
        <w:rPr>
          <w:rFonts w:ascii="ITC Avant Garde" w:eastAsia="Times New Roman" w:hAnsi="ITC Avant Garde"/>
          <w:lang w:val="es-ES" w:eastAsia="es-ES"/>
        </w:rPr>
        <w:t>8</w:t>
      </w:r>
      <w:r w:rsidR="009706E5" w:rsidRPr="00ED4558">
        <w:rPr>
          <w:rFonts w:ascii="ITC Avant Garde" w:eastAsia="Times New Roman" w:hAnsi="ITC Avant Garde"/>
          <w:lang w:val="es-ES" w:eastAsia="es-ES"/>
        </w:rPr>
        <w:t>/</w:t>
      </w:r>
      <w:r w:rsidR="00E314E9" w:rsidRPr="00ED4558">
        <w:rPr>
          <w:rFonts w:ascii="ITC Avant Garde" w:eastAsia="Times New Roman" w:hAnsi="ITC Avant Garde"/>
          <w:lang w:val="es-ES" w:eastAsia="es-ES"/>
        </w:rPr>
        <w:t>2015</w:t>
      </w:r>
      <w:r w:rsidR="009B7E3F" w:rsidRPr="00ED4558">
        <w:rPr>
          <w:rFonts w:ascii="ITC Avant Garde" w:eastAsia="Times New Roman" w:hAnsi="ITC Avant Garde"/>
          <w:lang w:val="es-ES" w:eastAsia="es-ES"/>
        </w:rPr>
        <w:t>,</w:t>
      </w:r>
      <w:r w:rsidR="006E7757" w:rsidRPr="00ED4558">
        <w:rPr>
          <w:rFonts w:ascii="ITC Avant Garde" w:eastAsia="Times New Roman" w:hAnsi="ITC Avant Garde"/>
          <w:lang w:val="es-ES" w:eastAsia="es-ES"/>
        </w:rPr>
        <w:t xml:space="preserve"> </w:t>
      </w:r>
      <w:r w:rsidR="003E14D5" w:rsidRPr="00ED4558">
        <w:rPr>
          <w:rFonts w:ascii="ITC Avant Garde" w:eastAsia="Times New Roman" w:hAnsi="ITC Avant Garde"/>
          <w:lang w:val="es-ES" w:eastAsia="es-ES"/>
        </w:rPr>
        <w:t>de fecha</w:t>
      </w:r>
      <w:r w:rsidR="006E7757" w:rsidRPr="00ED4558">
        <w:rPr>
          <w:rFonts w:ascii="ITC Avant Garde" w:eastAsia="Times New Roman" w:hAnsi="ITC Avant Garde"/>
          <w:lang w:val="es-ES" w:eastAsia="es-ES"/>
        </w:rPr>
        <w:t xml:space="preserve"> </w:t>
      </w:r>
      <w:r w:rsidR="00BA3E06" w:rsidRPr="00ED4558">
        <w:rPr>
          <w:rFonts w:ascii="ITC Avant Garde" w:eastAsia="Times New Roman" w:hAnsi="ITC Avant Garde"/>
          <w:lang w:val="es-ES" w:eastAsia="es-ES"/>
        </w:rPr>
        <w:t>4</w:t>
      </w:r>
      <w:r w:rsidR="00E314E9" w:rsidRPr="00ED4558">
        <w:rPr>
          <w:rFonts w:ascii="ITC Avant Garde" w:eastAsia="Times New Roman" w:hAnsi="ITC Avant Garde"/>
          <w:lang w:val="es-ES" w:eastAsia="es-ES"/>
        </w:rPr>
        <w:t xml:space="preserve"> de </w:t>
      </w:r>
      <w:r w:rsidR="00BA3E06" w:rsidRPr="00ED4558">
        <w:rPr>
          <w:rFonts w:ascii="ITC Avant Garde" w:eastAsia="Times New Roman" w:hAnsi="ITC Avant Garde"/>
          <w:lang w:val="es-ES" w:eastAsia="es-ES"/>
        </w:rPr>
        <w:t>noviem</w:t>
      </w:r>
      <w:r w:rsidR="0038258E" w:rsidRPr="00ED4558">
        <w:rPr>
          <w:rFonts w:ascii="ITC Avant Garde" w:eastAsia="Times New Roman" w:hAnsi="ITC Avant Garde"/>
          <w:lang w:val="es-ES" w:eastAsia="es-ES"/>
        </w:rPr>
        <w:t>bre</w:t>
      </w:r>
      <w:r w:rsidR="00F73F6D" w:rsidRPr="00ED4558">
        <w:rPr>
          <w:rFonts w:ascii="ITC Avant Garde" w:eastAsia="Times New Roman" w:hAnsi="ITC Avant Garde"/>
          <w:lang w:val="es-ES" w:eastAsia="es-ES"/>
        </w:rPr>
        <w:t xml:space="preserve"> de 2015</w:t>
      </w:r>
      <w:r w:rsidR="003E14D5" w:rsidRPr="00ED4558">
        <w:rPr>
          <w:rFonts w:ascii="ITC Avant Garde" w:eastAsia="Times New Roman" w:hAnsi="ITC Avant Garde"/>
          <w:lang w:val="es-ES" w:eastAsia="es-ES"/>
        </w:rPr>
        <w:t xml:space="preserve">, mediante </w:t>
      </w:r>
      <w:r w:rsidR="006E7757" w:rsidRPr="00ED4558">
        <w:rPr>
          <w:rFonts w:ascii="ITC Avant Garde" w:eastAsia="Times New Roman" w:hAnsi="ITC Avant Garde"/>
          <w:lang w:val="es-ES" w:eastAsia="es-ES"/>
        </w:rPr>
        <w:t>e</w:t>
      </w:r>
      <w:r w:rsidR="003E14D5" w:rsidRPr="00ED4558">
        <w:rPr>
          <w:rFonts w:ascii="ITC Avant Garde" w:eastAsia="Times New Roman" w:hAnsi="ITC Avant Garde"/>
          <w:lang w:val="es-ES" w:eastAsia="es-ES"/>
        </w:rPr>
        <w:t>l cual se acordó que toda vez que el plazo para formular alegatos había concluido, el procedimiento guardaba estado para que el Pleno del Instituto dict</w:t>
      </w:r>
      <w:r w:rsidR="00721E96" w:rsidRPr="00ED4558">
        <w:rPr>
          <w:rFonts w:ascii="ITC Avant Garde" w:eastAsia="Times New Roman" w:hAnsi="ITC Avant Garde"/>
          <w:lang w:val="es-ES" w:eastAsia="es-ES"/>
        </w:rPr>
        <w:t>ase</w:t>
      </w:r>
      <w:r w:rsidR="003E14D5" w:rsidRPr="00ED4558">
        <w:rPr>
          <w:rFonts w:ascii="ITC Avant Garde" w:eastAsia="Times New Roman" w:hAnsi="ITC Avant Garde"/>
          <w:lang w:val="es-ES" w:eastAsia="es-ES"/>
        </w:rPr>
        <w:t xml:space="preserve"> la resolución sobre las cuestiones planteadas por las partes.</w:t>
      </w:r>
    </w:p>
    <w:p w14:paraId="1DD37618" w14:textId="77777777" w:rsidR="00B03B7B" w:rsidRPr="00ED4558" w:rsidRDefault="00B03B7B" w:rsidP="00C43D83">
      <w:pPr>
        <w:spacing w:after="0"/>
        <w:ind w:left="709" w:right="48"/>
        <w:jc w:val="both"/>
        <w:rPr>
          <w:rFonts w:ascii="ITC Avant Garde" w:eastAsia="Times New Roman" w:hAnsi="ITC Avant Garde"/>
          <w:b/>
          <w:lang w:val="es-ES" w:eastAsia="es-ES"/>
        </w:rPr>
      </w:pPr>
    </w:p>
    <w:p w14:paraId="54663DE6" w14:textId="77777777" w:rsidR="000C6634" w:rsidRPr="00ED4558" w:rsidRDefault="000C6634" w:rsidP="000C6634">
      <w:pPr>
        <w:numPr>
          <w:ilvl w:val="0"/>
          <w:numId w:val="1"/>
        </w:numPr>
        <w:spacing w:after="0"/>
        <w:ind w:right="48"/>
        <w:jc w:val="both"/>
        <w:rPr>
          <w:rFonts w:ascii="ITC Avant Garde" w:eastAsia="Times New Roman" w:hAnsi="ITC Avant Garde"/>
          <w:lang w:val="es-ES" w:eastAsia="es-ES"/>
        </w:rPr>
      </w:pPr>
      <w:r w:rsidRPr="00ED4558">
        <w:rPr>
          <w:rFonts w:ascii="ITC Avant Garde" w:eastAsia="Times New Roman" w:hAnsi="ITC Avant Garde"/>
          <w:b/>
          <w:lang w:val="es-ES" w:eastAsia="es-ES"/>
        </w:rPr>
        <w:t>Publicación de Tarifas de Interconexión del año 201</w:t>
      </w:r>
      <w:r w:rsidR="00225EDD" w:rsidRPr="00ED4558">
        <w:rPr>
          <w:rFonts w:ascii="ITC Avant Garde" w:eastAsia="Times New Roman" w:hAnsi="ITC Avant Garde"/>
          <w:b/>
          <w:lang w:val="es-ES" w:eastAsia="es-ES"/>
        </w:rPr>
        <w:t>6</w:t>
      </w:r>
      <w:r w:rsidRPr="00ED4558">
        <w:rPr>
          <w:rFonts w:ascii="ITC Avant Garde" w:eastAsia="Times New Roman" w:hAnsi="ITC Avant Garde"/>
          <w:b/>
          <w:lang w:val="es-ES" w:eastAsia="es-ES"/>
        </w:rPr>
        <w:t xml:space="preserve">. </w:t>
      </w:r>
      <w:r w:rsidRPr="00ED4558">
        <w:rPr>
          <w:rFonts w:ascii="ITC Avant Garde" w:eastAsia="Times New Roman" w:hAnsi="ITC Avant Garde"/>
          <w:lang w:val="es-ES" w:eastAsia="es-ES"/>
        </w:rPr>
        <w:t>El 1 de octubre de 2015, el Instituto publicó en el DOF el “ACUERDO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2016.”, aprobado mediante Acuerdo P/IFT/120815/347 (en lo sucesivo, el “Acuerdo de Tarifas 2016”).</w:t>
      </w:r>
    </w:p>
    <w:p w14:paraId="71618FD2" w14:textId="77777777" w:rsidR="00B03B7B" w:rsidRPr="00ED4558" w:rsidRDefault="00B03B7B" w:rsidP="00C43D83">
      <w:pPr>
        <w:spacing w:after="0"/>
        <w:ind w:right="48"/>
        <w:jc w:val="both"/>
        <w:rPr>
          <w:rFonts w:ascii="ITC Avant Garde" w:eastAsia="Times New Roman" w:hAnsi="ITC Avant Garde"/>
          <w:lang w:val="es-ES" w:eastAsia="es-ES"/>
        </w:rPr>
      </w:pPr>
    </w:p>
    <w:p w14:paraId="4FBF83E7" w14:textId="77777777" w:rsidR="0010524D" w:rsidRPr="00ED4558" w:rsidRDefault="0010524D" w:rsidP="00ED4558">
      <w:pPr>
        <w:tabs>
          <w:tab w:val="left" w:pos="567"/>
        </w:tabs>
        <w:spacing w:after="0"/>
        <w:jc w:val="both"/>
        <w:rPr>
          <w:rFonts w:ascii="ITC Avant Garde" w:eastAsia="Times New Roman" w:hAnsi="ITC Avant Garde"/>
          <w:lang w:val="es-ES" w:eastAsia="es-ES"/>
        </w:rPr>
      </w:pPr>
    </w:p>
    <w:p w14:paraId="01342191" w14:textId="77777777" w:rsidR="0010524D" w:rsidRPr="00ED4558" w:rsidRDefault="00F11878" w:rsidP="00773BC1">
      <w:pPr>
        <w:widowControl w:val="0"/>
        <w:spacing w:after="0"/>
        <w:jc w:val="both"/>
        <w:rPr>
          <w:rFonts w:ascii="ITC Avant Garde" w:eastAsia="Times New Roman" w:hAnsi="ITC Avant Garde"/>
          <w:lang w:eastAsia="es-ES"/>
        </w:rPr>
      </w:pPr>
      <w:bookmarkStart w:id="2" w:name="HipótesisNormativa"/>
      <w:r w:rsidRPr="00ED4558">
        <w:rPr>
          <w:rFonts w:ascii="ITC Avant Garde" w:eastAsia="Times New Roman" w:hAnsi="ITC Avant Garde"/>
          <w:lang w:eastAsia="es-ES"/>
        </w:rPr>
        <w:t>En virtud de los referidos Antecedentes, y</w:t>
      </w:r>
    </w:p>
    <w:p w14:paraId="47F879B0" w14:textId="77777777" w:rsidR="0010524D" w:rsidRPr="009746AC" w:rsidRDefault="0010524D" w:rsidP="009746AC">
      <w:pPr>
        <w:tabs>
          <w:tab w:val="left" w:pos="567"/>
        </w:tabs>
        <w:spacing w:after="0"/>
        <w:jc w:val="both"/>
        <w:rPr>
          <w:rFonts w:ascii="ITC Avant Garde" w:eastAsia="Times New Roman" w:hAnsi="ITC Avant Garde"/>
          <w:lang w:val="es-ES" w:eastAsia="es-ES"/>
        </w:rPr>
      </w:pPr>
    </w:p>
    <w:p w14:paraId="22612FC1" w14:textId="77777777" w:rsidR="0010524D" w:rsidRPr="009746AC" w:rsidRDefault="0010524D" w:rsidP="009746AC">
      <w:pPr>
        <w:tabs>
          <w:tab w:val="left" w:pos="567"/>
        </w:tabs>
        <w:spacing w:after="0"/>
        <w:jc w:val="both"/>
        <w:rPr>
          <w:rFonts w:ascii="ITC Avant Garde" w:eastAsia="Times New Roman" w:hAnsi="ITC Avant Garde"/>
          <w:lang w:val="es-ES" w:eastAsia="es-ES"/>
        </w:rPr>
      </w:pPr>
    </w:p>
    <w:p w14:paraId="0571C3C0" w14:textId="01DBBF0C" w:rsidR="0010524D" w:rsidRPr="009746AC" w:rsidRDefault="00F11878" w:rsidP="009746AC">
      <w:pPr>
        <w:tabs>
          <w:tab w:val="left" w:pos="567"/>
        </w:tabs>
        <w:spacing w:after="0"/>
        <w:jc w:val="center"/>
        <w:rPr>
          <w:rFonts w:ascii="ITC Avant Garde" w:eastAsia="Times New Roman" w:hAnsi="ITC Avant Garde"/>
          <w:b/>
          <w:lang w:val="es-ES" w:eastAsia="es-ES"/>
        </w:rPr>
      </w:pPr>
      <w:r w:rsidRPr="009746AC">
        <w:rPr>
          <w:rFonts w:ascii="ITC Avant Garde" w:eastAsia="Times New Roman" w:hAnsi="ITC Avant Garde"/>
          <w:b/>
          <w:lang w:val="es-ES" w:eastAsia="es-ES"/>
        </w:rPr>
        <w:t>CONSIDERANDO</w:t>
      </w:r>
    </w:p>
    <w:p w14:paraId="786F5EE9" w14:textId="77777777" w:rsidR="0010524D" w:rsidRPr="009746AC" w:rsidRDefault="0010524D" w:rsidP="009746AC">
      <w:pPr>
        <w:tabs>
          <w:tab w:val="left" w:pos="567"/>
        </w:tabs>
        <w:spacing w:after="0"/>
        <w:jc w:val="both"/>
        <w:rPr>
          <w:rFonts w:ascii="ITC Avant Garde" w:eastAsia="Times New Roman" w:hAnsi="ITC Avant Garde"/>
          <w:lang w:val="es-ES" w:eastAsia="es-ES"/>
        </w:rPr>
      </w:pPr>
    </w:p>
    <w:p w14:paraId="6398F964" w14:textId="77777777" w:rsidR="0010524D" w:rsidRPr="00ED4558" w:rsidRDefault="003B083D" w:rsidP="00773BC1">
      <w:pPr>
        <w:pStyle w:val="Textoindependiente"/>
        <w:spacing w:line="276" w:lineRule="auto"/>
        <w:rPr>
          <w:rFonts w:ascii="ITC Avant Garde" w:hAnsi="ITC Avant Garde" w:cs="Arial"/>
          <w:bCs/>
          <w:szCs w:val="22"/>
        </w:rPr>
      </w:pPr>
      <w:bookmarkStart w:id="3" w:name="primero"/>
      <w:r w:rsidRPr="00ED4558">
        <w:rPr>
          <w:rFonts w:ascii="ITC Avant Garde" w:hAnsi="ITC Avant Garde" w:cs="Arial"/>
          <w:b/>
          <w:bCs/>
          <w:szCs w:val="22"/>
          <w:lang w:val="es-ES"/>
        </w:rPr>
        <w:t>PRIMERO.- Competencia del Instituto</w:t>
      </w:r>
      <w:r w:rsidRPr="00ED4558">
        <w:rPr>
          <w:rFonts w:ascii="ITC Avant Garde" w:hAnsi="ITC Avant Garde" w:cs="Arial"/>
          <w:bCs/>
          <w:szCs w:val="22"/>
          <w:lang w:val="es-ES"/>
        </w:rPr>
        <w:t xml:space="preserve">. </w:t>
      </w:r>
      <w:r w:rsidRPr="00ED4558">
        <w:rPr>
          <w:rFonts w:ascii="ITC Avant Garde" w:hAnsi="ITC Avant Garde" w:cs="Arial"/>
          <w:bCs/>
          <w:szCs w:val="22"/>
        </w:rPr>
        <w:t>De conformidad con los artículos 6</w:t>
      </w:r>
      <w:r w:rsidR="00572734" w:rsidRPr="00ED4558">
        <w:rPr>
          <w:rFonts w:ascii="ITC Avant Garde" w:hAnsi="ITC Avant Garde" w:cs="Arial"/>
          <w:bCs/>
          <w:szCs w:val="22"/>
        </w:rPr>
        <w:t>°</w:t>
      </w:r>
      <w:r w:rsidRPr="00ED4558">
        <w:rPr>
          <w:rFonts w:ascii="ITC Avant Garde" w:hAnsi="ITC Avant Garde" w:cs="Arial"/>
          <w:bCs/>
          <w:szCs w:val="22"/>
        </w:rPr>
        <w:t>,</w:t>
      </w:r>
      <w:r w:rsidR="00572734" w:rsidRPr="00ED4558">
        <w:rPr>
          <w:rFonts w:ascii="ITC Avant Garde" w:hAnsi="ITC Avant Garde" w:cs="Arial"/>
          <w:bCs/>
          <w:szCs w:val="22"/>
        </w:rPr>
        <w:t xml:space="preserve"> apartado B fracción II,</w:t>
      </w:r>
      <w:r w:rsidRPr="00ED4558">
        <w:rPr>
          <w:rFonts w:ascii="ITC Avant Garde" w:hAnsi="ITC Avant Garde" w:cs="Arial"/>
          <w:bCs/>
          <w:szCs w:val="22"/>
        </w:rPr>
        <w:t xml:space="preserve"> 28, párrafo</w:t>
      </w:r>
      <w:r w:rsidR="00572734" w:rsidRPr="00ED4558">
        <w:rPr>
          <w:rFonts w:ascii="ITC Avant Garde" w:hAnsi="ITC Avant Garde" w:cs="Arial"/>
          <w:bCs/>
          <w:szCs w:val="22"/>
        </w:rPr>
        <w:t>s</w:t>
      </w:r>
      <w:r w:rsidRPr="00ED4558">
        <w:rPr>
          <w:rFonts w:ascii="ITC Avant Garde" w:hAnsi="ITC Avant Garde" w:cs="Arial"/>
          <w:bCs/>
          <w:szCs w:val="22"/>
        </w:rPr>
        <w:t xml:space="preserve"> décimo quinto y décimo sexto de la Constitución y 7</w:t>
      </w:r>
      <w:r w:rsidR="00D15FF7" w:rsidRPr="00ED4558">
        <w:rPr>
          <w:rFonts w:ascii="ITC Avant Garde" w:hAnsi="ITC Avant Garde" w:cs="Arial"/>
          <w:bCs/>
          <w:szCs w:val="22"/>
        </w:rPr>
        <w:t>°</w:t>
      </w:r>
      <w:r w:rsidR="00572734" w:rsidRPr="00ED4558">
        <w:rPr>
          <w:rFonts w:ascii="ITC Avant Garde" w:hAnsi="ITC Avant Garde" w:cs="Arial"/>
          <w:bCs/>
          <w:szCs w:val="22"/>
        </w:rPr>
        <w:t>, primer párrafo</w:t>
      </w:r>
      <w:r w:rsidRPr="00ED4558">
        <w:rPr>
          <w:rFonts w:ascii="ITC Avant Garde" w:hAnsi="ITC Avant Garde" w:cs="Arial"/>
          <w:bCs/>
          <w:szCs w:val="22"/>
        </w:rPr>
        <w:t xml:space="preserve"> de la </w:t>
      </w:r>
      <w:proofErr w:type="spellStart"/>
      <w:r w:rsidRPr="00ED4558">
        <w:rPr>
          <w:rFonts w:ascii="ITC Avant Garde" w:hAnsi="ITC Avant Garde" w:cs="Arial"/>
          <w:bCs/>
          <w:szCs w:val="22"/>
        </w:rPr>
        <w:t>LFTyR</w:t>
      </w:r>
      <w:proofErr w:type="spellEnd"/>
      <w:r w:rsidRPr="00ED4558">
        <w:rPr>
          <w:rFonts w:ascii="ITC Avant Garde" w:hAnsi="ITC Avant Garde" w:cs="Arial"/>
          <w:bCs/>
          <w:szCs w:val="22"/>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ED4558">
        <w:rPr>
          <w:rFonts w:ascii="ITC Avant Garde" w:hAnsi="ITC Avant Garde" w:cs="Arial"/>
          <w:bCs/>
          <w:szCs w:val="22"/>
        </w:rPr>
        <w:t>LFTyR</w:t>
      </w:r>
      <w:proofErr w:type="spellEnd"/>
      <w:r w:rsidRPr="00ED4558">
        <w:rPr>
          <w:rFonts w:ascii="ITC Avant Garde" w:hAnsi="ITC Avant Garde" w:cs="Arial"/>
          <w:bCs/>
          <w:szCs w:val="22"/>
        </w:rPr>
        <w:t xml:space="preserve"> y demás disposiciones aplicables</w:t>
      </w:r>
      <w:r w:rsidR="00721E96" w:rsidRPr="00ED4558">
        <w:rPr>
          <w:rFonts w:ascii="ITC Avant Garde" w:hAnsi="ITC Avant Garde" w:cs="Arial"/>
          <w:bCs/>
          <w:szCs w:val="22"/>
        </w:rPr>
        <w:t>.</w:t>
      </w:r>
      <w:r w:rsidRPr="00ED4558">
        <w:rPr>
          <w:rFonts w:ascii="ITC Avant Garde" w:hAnsi="ITC Avant Garde" w:cs="Arial"/>
          <w:bCs/>
          <w:szCs w:val="22"/>
        </w:rPr>
        <w:t xml:space="preserve"> </w:t>
      </w:r>
    </w:p>
    <w:p w14:paraId="7EA46F21" w14:textId="77777777" w:rsidR="0010524D" w:rsidRPr="00ED4558" w:rsidRDefault="0010524D" w:rsidP="00773BC1">
      <w:pPr>
        <w:pStyle w:val="Textoindependiente"/>
        <w:spacing w:line="276" w:lineRule="auto"/>
        <w:rPr>
          <w:rFonts w:ascii="ITC Avant Garde" w:hAnsi="ITC Avant Garde" w:cs="Arial"/>
          <w:bCs/>
          <w:szCs w:val="22"/>
          <w:lang w:val="es-ES"/>
        </w:rPr>
      </w:pPr>
    </w:p>
    <w:p w14:paraId="05484438" w14:textId="77777777" w:rsidR="0010524D" w:rsidRPr="00ED4558" w:rsidRDefault="00572734" w:rsidP="00773BC1">
      <w:pPr>
        <w:pStyle w:val="Textoindependiente"/>
        <w:spacing w:line="276" w:lineRule="auto"/>
        <w:rPr>
          <w:rFonts w:ascii="ITC Avant Garde" w:hAnsi="ITC Avant Garde" w:cs="Arial"/>
          <w:bCs/>
          <w:szCs w:val="22"/>
        </w:rPr>
      </w:pPr>
      <w:r w:rsidRPr="00ED4558">
        <w:rPr>
          <w:rFonts w:ascii="ITC Avant Garde" w:hAnsi="ITC Avant Garde" w:cs="Arial"/>
          <w:bCs/>
          <w:szCs w:val="22"/>
          <w:lang w:val="es-ES"/>
        </w:rPr>
        <w:lastRenderedPageBreak/>
        <w:t>Co</w:t>
      </w:r>
      <w:r w:rsidR="00536328" w:rsidRPr="00ED4558">
        <w:rPr>
          <w:rFonts w:ascii="ITC Avant Garde" w:hAnsi="ITC Avant Garde" w:cs="Arial"/>
          <w:bCs/>
          <w:szCs w:val="22"/>
          <w:lang w:val="es-ES"/>
        </w:rPr>
        <w:t>n</w:t>
      </w:r>
      <w:r w:rsidR="003B083D" w:rsidRPr="00ED4558">
        <w:rPr>
          <w:rFonts w:ascii="ITC Avant Garde" w:hAnsi="ITC Avant Garde" w:cs="Arial"/>
          <w:bCs/>
          <w:szCs w:val="22"/>
          <w:lang w:val="es-ES"/>
        </w:rPr>
        <w:t xml:space="preserve"> fundamento </w:t>
      </w:r>
      <w:r w:rsidR="003B083D" w:rsidRPr="00ED4558">
        <w:rPr>
          <w:rFonts w:ascii="ITC Avant Garde" w:hAnsi="ITC Avant Garde" w:cs="Arial"/>
          <w:bCs/>
          <w:szCs w:val="22"/>
        </w:rPr>
        <w:t>en los artículos 7, 15</w:t>
      </w:r>
      <w:r w:rsidR="00D15FF7" w:rsidRPr="00ED4558">
        <w:rPr>
          <w:rFonts w:ascii="ITC Avant Garde" w:hAnsi="ITC Avant Garde" w:cs="Arial"/>
          <w:bCs/>
          <w:szCs w:val="22"/>
        </w:rPr>
        <w:t>,</w:t>
      </w:r>
      <w:r w:rsidR="003B083D" w:rsidRPr="00ED4558">
        <w:rPr>
          <w:rFonts w:ascii="ITC Avant Garde" w:hAnsi="ITC Avant Garde" w:cs="Arial"/>
          <w:bCs/>
          <w:szCs w:val="22"/>
        </w:rPr>
        <w:t xml:space="preserve"> fracción X, 17</w:t>
      </w:r>
      <w:r w:rsidR="00D15FF7" w:rsidRPr="00ED4558">
        <w:rPr>
          <w:rFonts w:ascii="ITC Avant Garde" w:hAnsi="ITC Avant Garde" w:cs="Arial"/>
          <w:bCs/>
          <w:szCs w:val="22"/>
        </w:rPr>
        <w:t>,</w:t>
      </w:r>
      <w:r w:rsidR="003B083D" w:rsidRPr="00ED4558">
        <w:rPr>
          <w:rFonts w:ascii="ITC Avant Garde" w:hAnsi="ITC Avant Garde" w:cs="Arial"/>
          <w:bCs/>
          <w:szCs w:val="22"/>
        </w:rPr>
        <w:t xml:space="preserve"> fracción I, y 129 de la </w:t>
      </w:r>
      <w:proofErr w:type="spellStart"/>
      <w:r w:rsidR="003B083D" w:rsidRPr="00ED4558">
        <w:rPr>
          <w:rFonts w:ascii="ITC Avant Garde" w:hAnsi="ITC Avant Garde" w:cs="Arial"/>
          <w:bCs/>
          <w:szCs w:val="22"/>
        </w:rPr>
        <w:t>LFTyR</w:t>
      </w:r>
      <w:proofErr w:type="spellEnd"/>
      <w:r w:rsidR="003B083D" w:rsidRPr="00ED4558">
        <w:rPr>
          <w:rFonts w:ascii="ITC Avant Garde" w:hAnsi="ITC Avant Garde" w:cs="Arial"/>
          <w:bCs/>
          <w:szCs w:val="22"/>
        </w:rPr>
        <w:t>, el Pleno del Instituto está facultado</w:t>
      </w:r>
      <w:r w:rsidR="00C7037D" w:rsidRPr="00ED4558">
        <w:rPr>
          <w:rFonts w:ascii="ITC Avant Garde" w:hAnsi="ITC Avant Garde" w:cs="Arial"/>
          <w:bCs/>
          <w:szCs w:val="22"/>
        </w:rPr>
        <w:t>, de manera exclusiva e indelegable,</w:t>
      </w:r>
      <w:r w:rsidR="003B083D" w:rsidRPr="00ED4558">
        <w:rPr>
          <w:rFonts w:ascii="ITC Avant Garde" w:hAnsi="ITC Avant Garde" w:cs="Arial"/>
          <w:bCs/>
          <w:szCs w:val="22"/>
        </w:rPr>
        <w:t xml:space="preserve"> para resolver y establecer los términos y condiciones de interconexión que no hayan podido convenir los concesionarios respecto de sus redes públicas de telecomunicaciones</w:t>
      </w:r>
      <w:r w:rsidR="00536328" w:rsidRPr="00ED4558">
        <w:rPr>
          <w:rFonts w:ascii="ITC Avant Garde" w:hAnsi="ITC Avant Garde" w:cs="Arial"/>
          <w:bCs/>
          <w:szCs w:val="22"/>
        </w:rPr>
        <w:t>, una vez que se solicite su intervención.</w:t>
      </w:r>
    </w:p>
    <w:p w14:paraId="406DDC4E" w14:textId="77777777" w:rsidR="0010524D" w:rsidRPr="00ED4558" w:rsidRDefault="0010524D" w:rsidP="00773BC1">
      <w:pPr>
        <w:pStyle w:val="Textoindependiente"/>
        <w:spacing w:line="276" w:lineRule="auto"/>
        <w:rPr>
          <w:rFonts w:ascii="ITC Avant Garde" w:hAnsi="ITC Avant Garde" w:cs="Arial"/>
          <w:bCs/>
          <w:szCs w:val="22"/>
        </w:rPr>
      </w:pPr>
    </w:p>
    <w:p w14:paraId="51A96C82" w14:textId="77777777" w:rsidR="0010524D" w:rsidRPr="00ED4558" w:rsidRDefault="00D15FF7" w:rsidP="00773BC1">
      <w:pPr>
        <w:pStyle w:val="Textoindependiente"/>
        <w:spacing w:line="276" w:lineRule="auto"/>
        <w:rPr>
          <w:rFonts w:ascii="ITC Avant Garde" w:hAnsi="ITC Avant Garde" w:cs="Arial"/>
          <w:bCs/>
          <w:szCs w:val="22"/>
        </w:rPr>
      </w:pPr>
      <w:r w:rsidRPr="00ED4558">
        <w:rPr>
          <w:rFonts w:ascii="ITC Avant Garde" w:hAnsi="ITC Avant Garde" w:cs="Arial"/>
          <w:bCs/>
          <w:szCs w:val="22"/>
        </w:rPr>
        <w:t>Adicionalmente e</w:t>
      </w:r>
      <w:r w:rsidR="003B083D" w:rsidRPr="00ED4558">
        <w:rPr>
          <w:rFonts w:ascii="ITC Avant Garde" w:hAnsi="ITC Avant Garde" w:cs="Arial"/>
          <w:bCs/>
          <w:szCs w:val="22"/>
        </w:rPr>
        <w:t>l artículo 6</w:t>
      </w:r>
      <w:r w:rsidR="00536328" w:rsidRPr="00ED4558">
        <w:rPr>
          <w:rFonts w:ascii="ITC Avant Garde" w:hAnsi="ITC Avant Garde" w:cs="Arial"/>
          <w:bCs/>
          <w:szCs w:val="22"/>
        </w:rPr>
        <w:t>°</w:t>
      </w:r>
      <w:r w:rsidRPr="00ED4558">
        <w:rPr>
          <w:rFonts w:ascii="ITC Avant Garde" w:hAnsi="ITC Avant Garde" w:cs="Arial"/>
          <w:bCs/>
          <w:szCs w:val="22"/>
        </w:rPr>
        <w:t>, fracción I</w:t>
      </w:r>
      <w:r w:rsidR="003B083D" w:rsidRPr="00ED4558">
        <w:rPr>
          <w:rFonts w:ascii="ITC Avant Garde" w:hAnsi="ITC Avant Garde" w:cs="Arial"/>
          <w:bCs/>
          <w:szCs w:val="22"/>
        </w:rPr>
        <w:t xml:space="preserve"> del Estatuto establece que corresponde al Pleno, además de las atribuciones establecidas como indelegables en la </w:t>
      </w:r>
      <w:proofErr w:type="spellStart"/>
      <w:r w:rsidR="003B083D" w:rsidRPr="00ED4558">
        <w:rPr>
          <w:rFonts w:ascii="ITC Avant Garde" w:hAnsi="ITC Avant Garde" w:cs="Arial"/>
          <w:bCs/>
          <w:szCs w:val="22"/>
        </w:rPr>
        <w:t>LFTyR</w:t>
      </w:r>
      <w:proofErr w:type="spellEnd"/>
      <w:r w:rsidR="003B083D" w:rsidRPr="00ED4558">
        <w:rPr>
          <w:rFonts w:ascii="ITC Avant Garde" w:hAnsi="ITC Avant Garde" w:cs="Arial"/>
          <w:bCs/>
          <w:szCs w:val="22"/>
        </w:rPr>
        <w:t>,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6BB49EB3" w14:textId="77777777" w:rsidR="0010524D" w:rsidRPr="00ED4558" w:rsidRDefault="0010524D" w:rsidP="00773BC1">
      <w:pPr>
        <w:pStyle w:val="Textoindependiente"/>
        <w:spacing w:line="276" w:lineRule="auto"/>
        <w:rPr>
          <w:rFonts w:ascii="ITC Avant Garde" w:hAnsi="ITC Avant Garde" w:cs="Arial"/>
          <w:b/>
          <w:szCs w:val="22"/>
        </w:rPr>
      </w:pPr>
    </w:p>
    <w:p w14:paraId="0B393350" w14:textId="77777777" w:rsidR="0010524D" w:rsidRPr="00ED4558" w:rsidRDefault="003B083D" w:rsidP="00773BC1">
      <w:pPr>
        <w:pStyle w:val="Textoindependiente"/>
        <w:spacing w:line="276" w:lineRule="auto"/>
        <w:rPr>
          <w:rFonts w:ascii="ITC Avant Garde" w:hAnsi="ITC Avant Garde"/>
          <w:szCs w:val="22"/>
        </w:rPr>
      </w:pPr>
      <w:r w:rsidRPr="00ED4558">
        <w:rPr>
          <w:rFonts w:ascii="ITC Avant Garde" w:hAnsi="ITC Avant Garde"/>
          <w:szCs w:val="22"/>
        </w:rPr>
        <w:t xml:space="preserve">Por lo anterior y de conformidad con lo dispuesto en los artículos indicados, el Pleno del Instituto resulta competente para emitir la presente </w:t>
      </w:r>
      <w:r w:rsidR="00D15FF7" w:rsidRPr="00ED4558">
        <w:rPr>
          <w:rFonts w:ascii="ITC Avant Garde" w:hAnsi="ITC Avant Garde"/>
          <w:szCs w:val="22"/>
        </w:rPr>
        <w:t>R</w:t>
      </w:r>
      <w:r w:rsidRPr="00ED4558">
        <w:rPr>
          <w:rFonts w:ascii="ITC Avant Garde" w:hAnsi="ITC Avant Garde"/>
          <w:szCs w:val="22"/>
        </w:rPr>
        <w:t>esolución que determina las condiciones de interconexión no convenidas entre</w:t>
      </w:r>
      <w:r w:rsidR="00D15FF7" w:rsidRPr="00ED4558">
        <w:rPr>
          <w:rFonts w:ascii="ITC Avant Garde" w:hAnsi="ITC Avant Garde"/>
          <w:szCs w:val="22"/>
        </w:rPr>
        <w:t xml:space="preserve"> los</w:t>
      </w:r>
      <w:r w:rsidRPr="00ED4558">
        <w:rPr>
          <w:rFonts w:ascii="ITC Avant Garde" w:hAnsi="ITC Avant Garde"/>
          <w:szCs w:val="22"/>
        </w:rPr>
        <w:t xml:space="preserve"> concesionarios de redes públicas de telecomunicaciones</w:t>
      </w:r>
      <w:r w:rsidR="00D15FF7" w:rsidRPr="00ED4558">
        <w:rPr>
          <w:rFonts w:ascii="ITC Avant Garde" w:hAnsi="ITC Avant Garde"/>
          <w:szCs w:val="22"/>
        </w:rPr>
        <w:t>, antes señalados</w:t>
      </w:r>
      <w:r w:rsidRPr="00ED4558">
        <w:rPr>
          <w:rFonts w:ascii="ITC Avant Garde" w:hAnsi="ITC Avant Garde"/>
          <w:szCs w:val="22"/>
        </w:rPr>
        <w:t>.</w:t>
      </w:r>
    </w:p>
    <w:bookmarkEnd w:id="3"/>
    <w:p w14:paraId="2C724853" w14:textId="77777777" w:rsidR="0010524D" w:rsidRPr="00ED4558" w:rsidRDefault="0010524D" w:rsidP="00773BC1">
      <w:pPr>
        <w:autoSpaceDE w:val="0"/>
        <w:autoSpaceDN w:val="0"/>
        <w:adjustRightInd w:val="0"/>
        <w:spacing w:after="0"/>
        <w:jc w:val="both"/>
        <w:rPr>
          <w:rFonts w:ascii="ITC Avant Garde" w:eastAsia="Times New Roman" w:hAnsi="ITC Avant Garde"/>
          <w:lang w:eastAsia="es-ES"/>
        </w:rPr>
      </w:pPr>
    </w:p>
    <w:p w14:paraId="374D5DD6" w14:textId="77777777" w:rsidR="0010524D" w:rsidRPr="00ED4558" w:rsidRDefault="00F413A3" w:rsidP="00773BC1">
      <w:pPr>
        <w:pStyle w:val="Textoindependiente"/>
        <w:spacing w:line="276" w:lineRule="auto"/>
        <w:rPr>
          <w:rFonts w:ascii="ITC Avant Garde" w:hAnsi="ITC Avant Garde" w:cs="Arial"/>
          <w:szCs w:val="22"/>
        </w:rPr>
      </w:pPr>
      <w:bookmarkStart w:id="4" w:name="segundo"/>
      <w:r w:rsidRPr="00ED4558">
        <w:rPr>
          <w:rFonts w:ascii="ITC Avant Garde" w:hAnsi="ITC Avant Garde" w:cs="Arial"/>
          <w:b/>
          <w:szCs w:val="22"/>
        </w:rPr>
        <w:t>SEGUNDO.- Importancia de la interconexión e Interés Público.-</w:t>
      </w:r>
      <w:r w:rsidRPr="00ED4558">
        <w:rPr>
          <w:rFonts w:ascii="ITC Avant Garde" w:hAnsi="ITC Avant Garde" w:cs="Arial"/>
          <w:szCs w:val="22"/>
        </w:rPr>
        <w:t xml:space="preserve"> El artículo 6</w:t>
      </w:r>
      <w:r w:rsidR="00536328" w:rsidRPr="00ED4558">
        <w:rPr>
          <w:rFonts w:ascii="ITC Avant Garde" w:hAnsi="ITC Avant Garde" w:cs="Arial"/>
          <w:szCs w:val="22"/>
        </w:rPr>
        <w:t>°, apartado B, fracción II,</w:t>
      </w:r>
      <w:r w:rsidRPr="00ED4558">
        <w:rPr>
          <w:rFonts w:ascii="ITC Avant Garde" w:hAnsi="ITC Avant Garde" w:cs="Arial"/>
          <w:szCs w:val="22"/>
        </w:rPr>
        <w:t xml:space="preserve"> de la Constitución establece que las telecomunicaciones son servicios públicos de interés general, y</w:t>
      </w:r>
      <w:r w:rsidR="00536328" w:rsidRPr="00ED4558">
        <w:rPr>
          <w:rFonts w:ascii="ITC Avant Garde" w:hAnsi="ITC Avant Garde" w:cs="Arial"/>
          <w:szCs w:val="22"/>
        </w:rPr>
        <w:t xml:space="preserve"> es</w:t>
      </w:r>
      <w:r w:rsidRPr="00ED4558">
        <w:rPr>
          <w:rFonts w:ascii="ITC Avant Garde" w:hAnsi="ITC Avant Garde" w:cs="Arial"/>
          <w:szCs w:val="22"/>
        </w:rPr>
        <w:t xml:space="preserve"> deber del Estado garantizar que se presten en condiciones de competencia, calidad, pluralidad, cobertura universal, interconexión, convergencia, continuidad, acceso libre y sin injerencias arbitrarias.</w:t>
      </w:r>
    </w:p>
    <w:p w14:paraId="2E15B1BC" w14:textId="77777777" w:rsidR="0010524D" w:rsidRPr="00ED4558" w:rsidRDefault="0010524D" w:rsidP="00773BC1">
      <w:pPr>
        <w:pStyle w:val="Textoindependiente"/>
        <w:spacing w:line="276" w:lineRule="auto"/>
        <w:rPr>
          <w:rFonts w:ascii="ITC Avant Garde" w:hAnsi="ITC Avant Garde" w:cs="Arial"/>
          <w:szCs w:val="22"/>
        </w:rPr>
      </w:pPr>
    </w:p>
    <w:p w14:paraId="11504EB8" w14:textId="77777777" w:rsidR="0010524D" w:rsidRPr="00ED4558" w:rsidRDefault="00F413A3" w:rsidP="00773BC1">
      <w:pPr>
        <w:pStyle w:val="Textoindependiente"/>
        <w:spacing w:line="276" w:lineRule="auto"/>
        <w:rPr>
          <w:rFonts w:ascii="ITC Avant Garde" w:hAnsi="ITC Avant Garde" w:cs="Arial"/>
          <w:szCs w:val="22"/>
        </w:rPr>
      </w:pPr>
      <w:r w:rsidRPr="00ED4558">
        <w:rPr>
          <w:rFonts w:ascii="ITC Avant Garde" w:hAnsi="ITC Avant Garde" w:cs="Arial"/>
          <w:szCs w:val="22"/>
        </w:rPr>
        <w:t xml:space="preserve">De conformidad con </w:t>
      </w:r>
      <w:r w:rsidR="00536328" w:rsidRPr="00ED4558">
        <w:rPr>
          <w:rFonts w:ascii="ITC Avant Garde" w:hAnsi="ITC Avant Garde" w:cs="Arial"/>
          <w:szCs w:val="22"/>
        </w:rPr>
        <w:t>el segundo párrafo del artículo 25 constitucional</w:t>
      </w:r>
      <w:r w:rsidR="00D15FF7" w:rsidRPr="00ED4558">
        <w:rPr>
          <w:rFonts w:ascii="ITC Avant Garde" w:hAnsi="ITC Avant Garde" w:cs="Arial"/>
          <w:szCs w:val="22"/>
        </w:rPr>
        <w:t>,</w:t>
      </w:r>
      <w:r w:rsidR="00536328" w:rsidRPr="00ED4558">
        <w:rPr>
          <w:rFonts w:ascii="ITC Avant Garde" w:hAnsi="ITC Avant Garde" w:cs="Arial"/>
          <w:szCs w:val="22"/>
        </w:rPr>
        <w:t xml:space="preserve"> </w:t>
      </w:r>
      <w:r w:rsidRPr="00ED4558">
        <w:rPr>
          <w:rFonts w:ascii="ITC Avant Garde" w:hAnsi="ITC Avant Garde" w:cs="Arial"/>
          <w:szCs w:val="22"/>
        </w:rPr>
        <w:t>el Estado planeará, conducirá, coordinará y orientará la actividad económica nacional, llevando a cabo la regulación y fomento de las actividades que demande el interés general en el marco que otorga la propia Constitución.</w:t>
      </w:r>
    </w:p>
    <w:p w14:paraId="50E89F04" w14:textId="77777777" w:rsidR="00E42266" w:rsidRPr="00ED4558" w:rsidRDefault="00E42266" w:rsidP="00773BC1">
      <w:pPr>
        <w:pStyle w:val="Textoindependiente"/>
        <w:spacing w:line="276" w:lineRule="auto"/>
        <w:rPr>
          <w:rFonts w:ascii="ITC Avant Garde" w:hAnsi="ITC Avant Garde" w:cs="Arial"/>
          <w:szCs w:val="22"/>
        </w:rPr>
      </w:pPr>
    </w:p>
    <w:p w14:paraId="072942CF" w14:textId="77777777" w:rsidR="00E42266" w:rsidRPr="00ED4558" w:rsidRDefault="00E42266" w:rsidP="00E42266">
      <w:pPr>
        <w:pStyle w:val="Textoindependiente"/>
        <w:rPr>
          <w:rFonts w:ascii="ITC Avant Garde" w:hAnsi="ITC Avant Garde" w:cs="Arial"/>
        </w:rPr>
      </w:pPr>
      <w:r w:rsidRPr="00ED4558">
        <w:rPr>
          <w:rFonts w:ascii="ITC Avant Garde" w:hAnsi="ITC Avant Garde" w:cs="Arial"/>
        </w:rPr>
        <w:t>Aunado a lo anterior, y del análisis de los artículos 25 y 28 de la Constitución, se desprende que las telecomunicaciones constituyen un área importante para el desarrollo nacional, al propiciar condiciones para la mayor eficacia de toda una serie de derechos fundamentales, como a la información, a la libertad de expresión, a la educación, participación democrática, la integración de las comunidades indígenas, entre otros.</w:t>
      </w:r>
    </w:p>
    <w:p w14:paraId="54F4B752" w14:textId="77777777" w:rsidR="00E42266" w:rsidRPr="00ED4558" w:rsidRDefault="00E42266" w:rsidP="00773BC1">
      <w:pPr>
        <w:pStyle w:val="Textoindependiente"/>
        <w:spacing w:line="276" w:lineRule="auto"/>
        <w:rPr>
          <w:rFonts w:ascii="ITC Avant Garde" w:hAnsi="ITC Avant Garde" w:cs="Arial"/>
          <w:szCs w:val="22"/>
        </w:rPr>
      </w:pPr>
    </w:p>
    <w:p w14:paraId="4B29A080" w14:textId="77777777" w:rsidR="0010524D" w:rsidRPr="00ED4558" w:rsidRDefault="00F413A3" w:rsidP="00773BC1">
      <w:pPr>
        <w:pStyle w:val="Textoindependiente"/>
        <w:spacing w:line="276" w:lineRule="auto"/>
        <w:rPr>
          <w:rFonts w:ascii="ITC Avant Garde" w:hAnsi="ITC Avant Garde" w:cs="Arial"/>
          <w:szCs w:val="22"/>
        </w:rPr>
      </w:pPr>
      <w:r w:rsidRPr="00ED4558">
        <w:rPr>
          <w:rFonts w:ascii="ITC Avant Garde" w:hAnsi="ITC Avant Garde" w:cs="Arial"/>
          <w:szCs w:val="22"/>
        </w:rPr>
        <w:t>Por su parte</w:t>
      </w:r>
      <w:r w:rsidR="00721E96" w:rsidRPr="00ED4558">
        <w:rPr>
          <w:rFonts w:ascii="ITC Avant Garde" w:hAnsi="ITC Avant Garde" w:cs="Arial"/>
          <w:szCs w:val="22"/>
        </w:rPr>
        <w:t>,</w:t>
      </w:r>
      <w:r w:rsidRPr="00ED4558">
        <w:rPr>
          <w:rFonts w:ascii="ITC Avant Garde" w:hAnsi="ITC Avant Garde" w:cs="Arial"/>
          <w:szCs w:val="22"/>
        </w:rPr>
        <w:t xml:space="preserve"> el artículo 2</w:t>
      </w:r>
      <w:r w:rsidR="00721E96" w:rsidRPr="00ED4558">
        <w:rPr>
          <w:rFonts w:ascii="ITC Avant Garde" w:hAnsi="ITC Avant Garde" w:cs="Arial"/>
          <w:szCs w:val="22"/>
        </w:rPr>
        <w:t xml:space="preserve"> de la </w:t>
      </w:r>
      <w:proofErr w:type="spellStart"/>
      <w:r w:rsidR="00721E96" w:rsidRPr="00ED4558">
        <w:rPr>
          <w:rFonts w:ascii="ITC Avant Garde" w:hAnsi="ITC Avant Garde" w:cs="Arial"/>
          <w:szCs w:val="22"/>
        </w:rPr>
        <w:t>LFTyR</w:t>
      </w:r>
      <w:proofErr w:type="spellEnd"/>
      <w:r w:rsidR="0054738F" w:rsidRPr="00ED4558">
        <w:rPr>
          <w:rFonts w:ascii="ITC Avant Garde" w:hAnsi="ITC Avant Garde" w:cs="Arial"/>
          <w:szCs w:val="22"/>
        </w:rPr>
        <w:t xml:space="preserve"> </w:t>
      </w:r>
      <w:r w:rsidRPr="00ED4558">
        <w:rPr>
          <w:rFonts w:ascii="ITC Avant Garde" w:hAnsi="ITC Avant Garde" w:cs="Arial"/>
          <w:szCs w:val="22"/>
        </w:rPr>
        <w:t xml:space="preserve">en concordancia con </w:t>
      </w:r>
      <w:r w:rsidR="00D15FF7" w:rsidRPr="00ED4558">
        <w:rPr>
          <w:rFonts w:ascii="ITC Avant Garde" w:hAnsi="ITC Avant Garde" w:cs="Arial"/>
          <w:szCs w:val="22"/>
        </w:rPr>
        <w:t xml:space="preserve">el artículo 6 de </w:t>
      </w:r>
      <w:r w:rsidRPr="00ED4558">
        <w:rPr>
          <w:rFonts w:ascii="ITC Avant Garde" w:hAnsi="ITC Avant Garde" w:cs="Arial"/>
          <w:szCs w:val="22"/>
        </w:rPr>
        <w:t xml:space="preserve">la Constitución señala que las telecomunicaciones son servicios públicos de interés general; y que corresponde al Estado ejercer la rectoría en la materia, proteger la seguridad y la soberanía de la </w:t>
      </w:r>
      <w:r w:rsidR="00F3236C" w:rsidRPr="00ED4558">
        <w:rPr>
          <w:rFonts w:ascii="ITC Avant Garde" w:hAnsi="ITC Avant Garde" w:cs="Arial"/>
          <w:szCs w:val="22"/>
        </w:rPr>
        <w:t>N</w:t>
      </w:r>
      <w:r w:rsidRPr="00ED4558">
        <w:rPr>
          <w:rFonts w:ascii="ITC Avant Garde" w:hAnsi="ITC Avant Garde" w:cs="Arial"/>
          <w:szCs w:val="22"/>
        </w:rPr>
        <w:t xml:space="preserve">ación y garantizar su eficiente prestación, y que para tales efectos </w:t>
      </w:r>
      <w:r w:rsidRPr="00ED4558">
        <w:rPr>
          <w:rFonts w:ascii="ITC Avant Garde" w:hAnsi="ITC Avant Garde" w:cs="Arial"/>
          <w:szCs w:val="22"/>
        </w:rPr>
        <w:lastRenderedPageBreak/>
        <w:t>establecerá condiciones de competencia efectiva en la prestación de dichos servicios. En este sentido, se observa que es a través del desarrollo y la promoción de una competencia efectiva que se garantizan mejores condiciones para el país.</w:t>
      </w:r>
    </w:p>
    <w:p w14:paraId="16FF34EE" w14:textId="77777777" w:rsidR="0010524D" w:rsidRPr="00ED4558" w:rsidRDefault="0010524D" w:rsidP="00773BC1">
      <w:pPr>
        <w:pStyle w:val="Textoindependiente"/>
        <w:spacing w:line="276" w:lineRule="auto"/>
        <w:rPr>
          <w:rFonts w:ascii="ITC Avant Garde" w:hAnsi="ITC Avant Garde" w:cs="Arial"/>
          <w:szCs w:val="22"/>
          <w:lang w:val="es-ES"/>
        </w:rPr>
      </w:pPr>
    </w:p>
    <w:p w14:paraId="579E4D8D" w14:textId="77777777" w:rsidR="0010524D" w:rsidRPr="00ED4558" w:rsidRDefault="00F413A3" w:rsidP="00773BC1">
      <w:pPr>
        <w:pStyle w:val="Textoindependiente"/>
        <w:spacing w:line="276" w:lineRule="auto"/>
        <w:rPr>
          <w:rFonts w:ascii="ITC Avant Garde" w:hAnsi="ITC Avant Garde" w:cs="Arial"/>
          <w:szCs w:val="22"/>
        </w:rPr>
      </w:pPr>
      <w:r w:rsidRPr="00ED4558">
        <w:rPr>
          <w:rFonts w:ascii="ITC Avant Garde" w:hAnsi="ITC Avant Garde" w:cs="Arial"/>
          <w:szCs w:val="22"/>
        </w:rPr>
        <w:t xml:space="preserve">En este tenor, </w:t>
      </w:r>
      <w:r w:rsidR="00413744" w:rsidRPr="00ED4558">
        <w:rPr>
          <w:rFonts w:ascii="ITC Avant Garde" w:hAnsi="ITC Avant Garde" w:cs="Arial"/>
          <w:szCs w:val="22"/>
        </w:rPr>
        <w:t xml:space="preserve">la </w:t>
      </w:r>
      <w:proofErr w:type="spellStart"/>
      <w:r w:rsidR="00413744" w:rsidRPr="00ED4558">
        <w:rPr>
          <w:rFonts w:ascii="ITC Avant Garde" w:hAnsi="ITC Avant Garde" w:cs="Arial"/>
          <w:szCs w:val="22"/>
        </w:rPr>
        <w:t>LFTyR</w:t>
      </w:r>
      <w:proofErr w:type="spellEnd"/>
      <w:r w:rsidR="003C657A" w:rsidRPr="00ED4558">
        <w:rPr>
          <w:rFonts w:ascii="ITC Avant Garde" w:hAnsi="ITC Avant Garde" w:cs="Arial"/>
          <w:szCs w:val="22"/>
        </w:rPr>
        <w:t xml:space="preserve"> </w:t>
      </w:r>
      <w:r w:rsidRPr="00ED4558">
        <w:rPr>
          <w:rFonts w:ascii="ITC Avant Garde" w:hAnsi="ITC Avant Garde" w:cs="Arial"/>
          <w:szCs w:val="22"/>
        </w:rPr>
        <w:t xml:space="preserve">establece el deber </w:t>
      </w:r>
      <w:r w:rsidR="00644742" w:rsidRPr="00ED4558">
        <w:rPr>
          <w:rFonts w:ascii="ITC Avant Garde" w:hAnsi="ITC Avant Garde" w:cs="Arial"/>
          <w:szCs w:val="22"/>
        </w:rPr>
        <w:t xml:space="preserve">del Estado </w:t>
      </w:r>
      <w:r w:rsidRPr="00ED4558">
        <w:rPr>
          <w:rFonts w:ascii="ITC Avant Garde" w:hAnsi="ITC Avant Garde" w:cs="Arial"/>
          <w:szCs w:val="22"/>
        </w:rPr>
        <w:t xml:space="preserve">de garantizar la competencia en el sector telecomunicaciones, por lo tanto se requiere de una regulación adecuada, precisa e imparcial de la interconexión, </w:t>
      </w:r>
      <w:r w:rsidR="00644742" w:rsidRPr="00ED4558">
        <w:rPr>
          <w:rFonts w:ascii="ITC Avant Garde" w:hAnsi="ITC Avant Garde" w:cs="Arial"/>
          <w:szCs w:val="22"/>
        </w:rPr>
        <w:t xml:space="preserve">misma que debe promover y facilitar </w:t>
      </w:r>
      <w:r w:rsidRPr="00ED4558">
        <w:rPr>
          <w:rFonts w:ascii="ITC Avant Garde" w:hAnsi="ITC Avant Garde" w:cs="Arial"/>
          <w:szCs w:val="22"/>
        </w:rPr>
        <w:t>el uso eficiente de las redes, foment</w:t>
      </w:r>
      <w:r w:rsidR="009B0D32" w:rsidRPr="00ED4558">
        <w:rPr>
          <w:rFonts w:ascii="ITC Avant Garde" w:hAnsi="ITC Avant Garde" w:cs="Arial"/>
          <w:szCs w:val="22"/>
        </w:rPr>
        <w:t>ar</w:t>
      </w:r>
      <w:r w:rsidRPr="00ED4558">
        <w:rPr>
          <w:rFonts w:ascii="ITC Avant Garde" w:hAnsi="ITC Avant Garde" w:cs="Arial"/>
          <w:szCs w:val="22"/>
        </w:rPr>
        <w:t xml:space="preserve"> la entrada en el mercado de competidores eficientes, y permit</w:t>
      </w:r>
      <w:r w:rsidR="009B0D32" w:rsidRPr="00ED4558">
        <w:rPr>
          <w:rFonts w:ascii="ITC Avant Garde" w:hAnsi="ITC Avant Garde" w:cs="Arial"/>
          <w:szCs w:val="22"/>
        </w:rPr>
        <w:t>ir</w:t>
      </w:r>
      <w:r w:rsidRPr="00ED4558">
        <w:rPr>
          <w:rFonts w:ascii="ITC Avant Garde" w:hAnsi="ITC Avant Garde" w:cs="Arial"/>
          <w:szCs w:val="22"/>
        </w:rPr>
        <w:t xml:space="preserve"> la expansión de los existentes, incorpore nuevas tecnologías y servicios, y prom</w:t>
      </w:r>
      <w:r w:rsidR="00870E1B" w:rsidRPr="00ED4558">
        <w:rPr>
          <w:rFonts w:ascii="ITC Avant Garde" w:hAnsi="ITC Avant Garde" w:cs="Arial"/>
          <w:szCs w:val="22"/>
        </w:rPr>
        <w:t>o</w:t>
      </w:r>
      <w:r w:rsidRPr="00ED4558">
        <w:rPr>
          <w:rFonts w:ascii="ITC Avant Garde" w:hAnsi="ITC Avant Garde" w:cs="Arial"/>
          <w:szCs w:val="22"/>
        </w:rPr>
        <w:t>v</w:t>
      </w:r>
      <w:r w:rsidR="009B0D32" w:rsidRPr="00ED4558">
        <w:rPr>
          <w:rFonts w:ascii="ITC Avant Garde" w:hAnsi="ITC Avant Garde" w:cs="Arial"/>
          <w:szCs w:val="22"/>
        </w:rPr>
        <w:t>er</w:t>
      </w:r>
      <w:r w:rsidRPr="00ED4558">
        <w:rPr>
          <w:rFonts w:ascii="ITC Avant Garde" w:hAnsi="ITC Avant Garde" w:cs="Arial"/>
          <w:szCs w:val="22"/>
        </w:rPr>
        <w:t xml:space="preserve"> un entorno de sana competencia </w:t>
      </w:r>
      <w:r w:rsidR="00870E1B" w:rsidRPr="00ED4558">
        <w:rPr>
          <w:rFonts w:ascii="ITC Avant Garde" w:hAnsi="ITC Avant Garde" w:cs="Arial"/>
          <w:szCs w:val="22"/>
        </w:rPr>
        <w:t xml:space="preserve">y libre concurrencia </w:t>
      </w:r>
      <w:r w:rsidRPr="00ED4558">
        <w:rPr>
          <w:rFonts w:ascii="ITC Avant Garde" w:hAnsi="ITC Avant Garde" w:cs="Arial"/>
          <w:szCs w:val="22"/>
        </w:rPr>
        <w:t xml:space="preserve">entre los operadores. </w:t>
      </w:r>
    </w:p>
    <w:p w14:paraId="6F11F1D0" w14:textId="77777777" w:rsidR="0010524D" w:rsidRPr="00ED4558" w:rsidRDefault="0010524D" w:rsidP="00773BC1">
      <w:pPr>
        <w:pStyle w:val="Textoindependiente"/>
        <w:spacing w:line="276" w:lineRule="auto"/>
        <w:rPr>
          <w:rFonts w:ascii="ITC Avant Garde" w:hAnsi="ITC Avant Garde" w:cs="Arial"/>
          <w:szCs w:val="22"/>
        </w:rPr>
      </w:pPr>
    </w:p>
    <w:p w14:paraId="1E769F5E" w14:textId="77777777" w:rsidR="0010524D" w:rsidRPr="00ED4558" w:rsidRDefault="00F413A3" w:rsidP="00773BC1">
      <w:pPr>
        <w:pStyle w:val="Textoindependiente"/>
        <w:spacing w:line="276" w:lineRule="auto"/>
        <w:rPr>
          <w:rFonts w:ascii="ITC Avant Garde" w:hAnsi="ITC Avant Garde" w:cs="Arial"/>
          <w:szCs w:val="22"/>
        </w:rPr>
      </w:pPr>
      <w:r w:rsidRPr="00ED4558">
        <w:rPr>
          <w:rFonts w:ascii="ITC Avant Garde" w:hAnsi="ITC Avant Garde" w:cs="Arial"/>
          <w:szCs w:val="22"/>
        </w:rPr>
        <w:t xml:space="preserve">Al respecto, las telecomunicaciones son </w:t>
      </w:r>
      <w:r w:rsidR="00536328" w:rsidRPr="00ED4558">
        <w:rPr>
          <w:rFonts w:ascii="ITC Avant Garde" w:hAnsi="ITC Avant Garde" w:cs="Arial"/>
          <w:szCs w:val="22"/>
        </w:rPr>
        <w:t>estratégicas</w:t>
      </w:r>
      <w:r w:rsidRPr="00ED4558">
        <w:rPr>
          <w:rFonts w:ascii="ITC Avant Garde" w:hAnsi="ITC Avant Garde" w:cs="Arial"/>
          <w:szCs w:val="22"/>
        </w:rPr>
        <w:t xml:space="preserve"> para el crecimiento económico y social de cualquier país. El desarrollo de la infraestructura y de las redes de comunicación se ha converti</w:t>
      </w:r>
      <w:r w:rsidR="00B761D6" w:rsidRPr="00ED4558">
        <w:rPr>
          <w:rFonts w:ascii="ITC Avant Garde" w:hAnsi="ITC Avant Garde" w:cs="Arial"/>
          <w:szCs w:val="22"/>
        </w:rPr>
        <w:t>do en una prioridad inaplazable</w:t>
      </w:r>
      <w:r w:rsidRPr="00ED4558">
        <w:rPr>
          <w:rFonts w:ascii="ITC Avant Garde" w:hAnsi="ITC Avant Garde" w:cs="Arial"/>
          <w:szCs w:val="22"/>
        </w:rPr>
        <w:t xml:space="preserve"> particularmente para pa</w:t>
      </w:r>
      <w:r w:rsidR="00B761D6" w:rsidRPr="00ED4558">
        <w:rPr>
          <w:rFonts w:ascii="ITC Avant Garde" w:hAnsi="ITC Avant Garde" w:cs="Arial"/>
          <w:szCs w:val="22"/>
        </w:rPr>
        <w:t>íses como México,</w:t>
      </w:r>
      <w:r w:rsidRPr="00ED4558">
        <w:rPr>
          <w:rFonts w:ascii="ITC Avant Garde" w:hAnsi="ITC Avant Garde" w:cs="Arial"/>
          <w:szCs w:val="22"/>
        </w:rPr>
        <w:t xml:space="preserve"> en el que se requiere un aumento en la tasa de penetración de los servicios de telecomunicaciones. </w:t>
      </w:r>
    </w:p>
    <w:p w14:paraId="47CC94B7" w14:textId="77777777" w:rsidR="0010524D" w:rsidRPr="00ED4558" w:rsidRDefault="0010524D" w:rsidP="00773BC1">
      <w:pPr>
        <w:pStyle w:val="Textoindependiente"/>
        <w:spacing w:line="276" w:lineRule="auto"/>
        <w:rPr>
          <w:rFonts w:ascii="ITC Avant Garde" w:hAnsi="ITC Avant Garde" w:cs="Arial"/>
          <w:szCs w:val="22"/>
        </w:rPr>
      </w:pPr>
    </w:p>
    <w:p w14:paraId="0E7219D5" w14:textId="77777777" w:rsidR="0010524D" w:rsidRPr="00ED4558" w:rsidRDefault="00F413A3" w:rsidP="00773BC1">
      <w:pPr>
        <w:pStyle w:val="Textoindependiente"/>
        <w:spacing w:line="276" w:lineRule="auto"/>
        <w:rPr>
          <w:rFonts w:ascii="ITC Avant Garde" w:hAnsi="ITC Avant Garde" w:cs="Arial"/>
          <w:szCs w:val="22"/>
        </w:rPr>
      </w:pPr>
      <w:r w:rsidRPr="00ED4558">
        <w:rPr>
          <w:rFonts w:ascii="ITC Avant Garde" w:hAnsi="ITC Avant Garde" w:cs="Arial"/>
          <w:szCs w:val="22"/>
        </w:rPr>
        <w:t>El desarrollo tecnológico</w:t>
      </w:r>
      <w:r w:rsidR="00870E1B" w:rsidRPr="00ED4558">
        <w:rPr>
          <w:rFonts w:ascii="ITC Avant Garde" w:hAnsi="ITC Avant Garde" w:cs="Arial"/>
          <w:szCs w:val="22"/>
        </w:rPr>
        <w:t>, así como</w:t>
      </w:r>
      <w:r w:rsidRPr="00ED4558">
        <w:rPr>
          <w:rFonts w:ascii="ITC Avant Garde" w:hAnsi="ITC Avant Garde" w:cs="Arial"/>
          <w:szCs w:val="22"/>
        </w:rPr>
        <w:t xml:space="preserve"> la marcada tendencia de globalización y converg</w:t>
      </w:r>
      <w:r w:rsidR="00F44769" w:rsidRPr="00ED4558">
        <w:rPr>
          <w:rFonts w:ascii="ITC Avant Garde" w:hAnsi="ITC Avant Garde" w:cs="Arial"/>
          <w:szCs w:val="22"/>
        </w:rPr>
        <w:t>encia de las telecomunicaciones</w:t>
      </w:r>
      <w:r w:rsidR="00D15FF7" w:rsidRPr="00ED4558">
        <w:rPr>
          <w:rFonts w:ascii="ITC Avant Garde" w:hAnsi="ITC Avant Garde" w:cs="Arial"/>
          <w:szCs w:val="22"/>
        </w:rPr>
        <w:t>,</w:t>
      </w:r>
      <w:r w:rsidRPr="00ED4558">
        <w:rPr>
          <w:rFonts w:ascii="ITC Avant Garde" w:hAnsi="ITC Avant Garde" w:cs="Arial"/>
          <w:szCs w:val="22"/>
        </w:rPr>
        <w:t xml:space="preserve"> han promovido que las fuerzas del mercado asuman un papel más activo e</w:t>
      </w:r>
      <w:r w:rsidR="00F44769" w:rsidRPr="00ED4558">
        <w:rPr>
          <w:rFonts w:ascii="ITC Avant Garde" w:hAnsi="ITC Avant Garde" w:cs="Arial"/>
          <w:szCs w:val="22"/>
        </w:rPr>
        <w:t>n la asignación de los recursos</w:t>
      </w:r>
      <w:r w:rsidRPr="00ED4558">
        <w:rPr>
          <w:rFonts w:ascii="ITC Avant Garde" w:hAnsi="ITC Avant Garde" w:cs="Arial"/>
          <w:szCs w:val="22"/>
        </w:rPr>
        <w:t xml:space="preserve"> incentivando el surgimiento de nuevas empresas</w:t>
      </w:r>
      <w:r w:rsidR="00F44769" w:rsidRPr="00ED4558">
        <w:rPr>
          <w:rFonts w:ascii="ITC Avant Garde" w:hAnsi="ITC Avant Garde" w:cs="Arial"/>
          <w:szCs w:val="22"/>
        </w:rPr>
        <w:t>,</w:t>
      </w:r>
      <w:r w:rsidRPr="00ED4558">
        <w:rPr>
          <w:rFonts w:ascii="ITC Avant Garde" w:hAnsi="ITC Avant Garde" w:cs="Arial"/>
          <w:szCs w:val="22"/>
        </w:rPr>
        <w:t xml:space="preserve"> las cuales requieren de un entorno regulatorio que permita la acción natural de las fuerzas de mercado y de la sana competencia entre t</w:t>
      </w:r>
      <w:r w:rsidR="00F44769" w:rsidRPr="00ED4558">
        <w:rPr>
          <w:rFonts w:ascii="ITC Avant Garde" w:hAnsi="ITC Avant Garde" w:cs="Arial"/>
          <w:szCs w:val="22"/>
        </w:rPr>
        <w:t>odos los participantes</w:t>
      </w:r>
      <w:r w:rsidRPr="00ED4558">
        <w:rPr>
          <w:rFonts w:ascii="ITC Avant Garde" w:hAnsi="ITC Avant Garde" w:cs="Arial"/>
          <w:szCs w:val="22"/>
        </w:rPr>
        <w:t xml:space="preserve"> mediante la rectoría del Estado. </w:t>
      </w:r>
    </w:p>
    <w:p w14:paraId="4A55C2B1" w14:textId="77777777" w:rsidR="0010524D" w:rsidRPr="00ED4558" w:rsidRDefault="0010524D" w:rsidP="00773BC1">
      <w:pPr>
        <w:pStyle w:val="Textoindependiente"/>
        <w:spacing w:line="276" w:lineRule="auto"/>
        <w:rPr>
          <w:rFonts w:ascii="ITC Avant Garde" w:hAnsi="ITC Avant Garde" w:cs="Arial"/>
          <w:szCs w:val="22"/>
        </w:rPr>
      </w:pPr>
    </w:p>
    <w:p w14:paraId="571AD09F" w14:textId="77777777" w:rsidR="0010524D" w:rsidRPr="00ED4558" w:rsidRDefault="00F413A3" w:rsidP="00773BC1">
      <w:pPr>
        <w:pStyle w:val="Textoindependiente"/>
        <w:spacing w:line="276" w:lineRule="auto"/>
        <w:rPr>
          <w:rFonts w:ascii="ITC Avant Garde" w:hAnsi="ITC Avant Garde" w:cs="Arial"/>
          <w:szCs w:val="22"/>
        </w:rPr>
      </w:pPr>
      <w:r w:rsidRPr="00ED4558">
        <w:rPr>
          <w:rFonts w:ascii="ITC Avant Garde" w:hAnsi="ITC Avant Garde" w:cs="Arial"/>
          <w:szCs w:val="22"/>
        </w:rPr>
        <w:t xml:space="preserve">En este </w:t>
      </w:r>
      <w:r w:rsidR="00536328" w:rsidRPr="00ED4558">
        <w:rPr>
          <w:rFonts w:ascii="ITC Avant Garde" w:hAnsi="ITC Avant Garde" w:cs="Arial"/>
          <w:szCs w:val="22"/>
        </w:rPr>
        <w:t>tenor</w:t>
      </w:r>
      <w:r w:rsidRPr="00ED4558">
        <w:rPr>
          <w:rFonts w:ascii="ITC Avant Garde" w:hAnsi="ITC Avant Garde" w:cs="Arial"/>
          <w:szCs w:val="22"/>
        </w:rPr>
        <w:t xml:space="preserve">, la competencia es un factor decisivo para la innovación y el desarrollo de los mercados de las telecomunicaciones. Un mercado en competencia implica la existencia de distintos prestadores de servicios, a fin de permitir que los usuarios elijan libremente a aquel concesionario que ofrezca las mejores condiciones en precio, calidad y diversidad. Es en este contexto de competencia en el que la interconexión entre redes se convierte en un factor de interés público, en tanto </w:t>
      </w:r>
      <w:r w:rsidR="00536328" w:rsidRPr="00ED4558">
        <w:rPr>
          <w:rFonts w:ascii="ITC Avant Garde" w:hAnsi="ITC Avant Garde" w:cs="Arial"/>
          <w:szCs w:val="22"/>
        </w:rPr>
        <w:t xml:space="preserve">a que cualquier </w:t>
      </w:r>
      <w:r w:rsidRPr="00ED4558">
        <w:rPr>
          <w:rFonts w:ascii="ITC Avant Garde" w:hAnsi="ITC Avant Garde" w:cs="Arial"/>
          <w:szCs w:val="22"/>
        </w:rPr>
        <w:t xml:space="preserve">comunicación que inicie pueda llegar a su destino, independientemente de la red pública </w:t>
      </w:r>
      <w:r w:rsidR="0091520E" w:rsidRPr="00ED4558">
        <w:rPr>
          <w:rFonts w:ascii="ITC Avant Garde" w:hAnsi="ITC Avant Garde" w:cs="Arial"/>
          <w:szCs w:val="22"/>
        </w:rPr>
        <w:t xml:space="preserve">de telecomunicaciones </w:t>
      </w:r>
      <w:r w:rsidRPr="00ED4558">
        <w:rPr>
          <w:rFonts w:ascii="ITC Avant Garde" w:hAnsi="ITC Avant Garde" w:cs="Arial"/>
          <w:szCs w:val="22"/>
        </w:rPr>
        <w:t>que se utilice</w:t>
      </w:r>
      <w:r w:rsidR="00536328" w:rsidRPr="00ED4558">
        <w:rPr>
          <w:rFonts w:ascii="ITC Avant Garde" w:hAnsi="ITC Avant Garde" w:cs="Arial"/>
          <w:szCs w:val="22"/>
        </w:rPr>
        <w:t xml:space="preserve">; evitando que una determinada empresa pueda tomar ventaja de su tamaño de red, y permitiendo que la </w:t>
      </w:r>
      <w:r w:rsidR="006F3F35" w:rsidRPr="00ED4558">
        <w:rPr>
          <w:rFonts w:ascii="ITC Avant Garde" w:hAnsi="ITC Avant Garde" w:cs="Arial"/>
          <w:szCs w:val="22"/>
        </w:rPr>
        <w:t>decisión</w:t>
      </w:r>
      <w:r w:rsidR="00536328" w:rsidRPr="00ED4558">
        <w:rPr>
          <w:rFonts w:ascii="ITC Avant Garde" w:hAnsi="ITC Avant Garde" w:cs="Arial"/>
          <w:szCs w:val="22"/>
        </w:rPr>
        <w:t xml:space="preserve"> de contratar los servicios por parte de los usuarios sea por </w:t>
      </w:r>
      <w:r w:rsidRPr="00ED4558">
        <w:rPr>
          <w:rFonts w:ascii="ITC Avant Garde" w:hAnsi="ITC Avant Garde" w:cs="Arial"/>
          <w:szCs w:val="22"/>
        </w:rPr>
        <w:t>factores de precio, calidad y diversidad</w:t>
      </w:r>
      <w:r w:rsidR="00536328" w:rsidRPr="00ED4558">
        <w:rPr>
          <w:rFonts w:ascii="ITC Avant Garde" w:hAnsi="ITC Avant Garde" w:cs="Arial"/>
          <w:szCs w:val="22"/>
        </w:rPr>
        <w:t>.</w:t>
      </w:r>
    </w:p>
    <w:p w14:paraId="3AC2592D" w14:textId="77777777" w:rsidR="0010524D" w:rsidRPr="00ED4558" w:rsidRDefault="0010524D" w:rsidP="00773BC1">
      <w:pPr>
        <w:pStyle w:val="Textoindependiente"/>
        <w:spacing w:line="276" w:lineRule="auto"/>
        <w:rPr>
          <w:rFonts w:ascii="ITC Avant Garde" w:hAnsi="ITC Avant Garde" w:cs="Arial"/>
          <w:szCs w:val="22"/>
        </w:rPr>
      </w:pPr>
    </w:p>
    <w:p w14:paraId="4CE3DF06" w14:textId="77777777" w:rsidR="0010524D" w:rsidRPr="00ED4558" w:rsidRDefault="00F413A3" w:rsidP="00773BC1">
      <w:pPr>
        <w:pStyle w:val="Textoindependiente"/>
        <w:spacing w:line="276" w:lineRule="auto"/>
        <w:rPr>
          <w:rFonts w:ascii="ITC Avant Garde" w:hAnsi="ITC Avant Garde" w:cs="Arial"/>
          <w:szCs w:val="22"/>
        </w:rPr>
      </w:pPr>
      <w:r w:rsidRPr="00ED4558">
        <w:rPr>
          <w:rFonts w:ascii="ITC Avant Garde" w:hAnsi="ITC Avant Garde" w:cs="Arial"/>
          <w:szCs w:val="22"/>
        </w:rPr>
        <w:t xml:space="preserve">Uno de los elementos que el usuario considera para contratar los servicios de telecomunicaciones es el número de usuarios con los cuales podrá comunicarse. A medida que las redes interconectadas cuenten con un mayor número de usuarios suscritos, mayor será el beneficio que se obtenga de conectarse a la misma, lo que se </w:t>
      </w:r>
      <w:r w:rsidRPr="00ED4558">
        <w:rPr>
          <w:rFonts w:ascii="ITC Avant Garde" w:hAnsi="ITC Avant Garde" w:cs="Arial"/>
          <w:szCs w:val="22"/>
        </w:rPr>
        <w:lastRenderedPageBreak/>
        <w:t xml:space="preserve">conoce como externalidad de red en los servicios de telecomunicaciones. En caso </w:t>
      </w:r>
      <w:r w:rsidR="00536328" w:rsidRPr="00ED4558">
        <w:rPr>
          <w:rFonts w:ascii="ITC Avant Garde" w:hAnsi="ITC Avant Garde" w:cs="Arial"/>
          <w:szCs w:val="22"/>
        </w:rPr>
        <w:t>de no existir interconexión</w:t>
      </w:r>
      <w:r w:rsidRPr="00ED4558">
        <w:rPr>
          <w:rFonts w:ascii="ITC Avant Garde" w:hAnsi="ITC Avant Garde" w:cs="Arial"/>
          <w:szCs w:val="22"/>
        </w:rPr>
        <w:t xml:space="preserve">, el usuario tendría que contratar necesariamente los servicios de telecomunicaciones con todas las redes </w:t>
      </w:r>
      <w:r w:rsidR="0091520E" w:rsidRPr="00ED4558">
        <w:rPr>
          <w:rFonts w:ascii="ITC Avant Garde" w:hAnsi="ITC Avant Garde" w:cs="Arial"/>
          <w:szCs w:val="22"/>
        </w:rPr>
        <w:t>existentes</w:t>
      </w:r>
      <w:r w:rsidR="00870E1B" w:rsidRPr="00ED4558">
        <w:rPr>
          <w:rFonts w:ascii="ITC Avant Garde" w:hAnsi="ITC Avant Garde" w:cs="Arial"/>
          <w:szCs w:val="22"/>
        </w:rPr>
        <w:t xml:space="preserve"> </w:t>
      </w:r>
      <w:r w:rsidRPr="00ED4558">
        <w:rPr>
          <w:rFonts w:ascii="ITC Avant Garde" w:hAnsi="ITC Avant Garde" w:cs="Arial"/>
          <w:szCs w:val="22"/>
        </w:rPr>
        <w:t>para asegurar que su universo de llamadas llegue a su destino</w:t>
      </w:r>
      <w:r w:rsidR="00D15FF7" w:rsidRPr="00ED4558">
        <w:rPr>
          <w:rFonts w:ascii="ITC Avant Garde" w:hAnsi="ITC Avant Garde" w:cs="Arial"/>
          <w:szCs w:val="22"/>
        </w:rPr>
        <w:t>.</w:t>
      </w:r>
      <w:r w:rsidRPr="00ED4558">
        <w:rPr>
          <w:rFonts w:ascii="ITC Avant Garde" w:hAnsi="ITC Avant Garde" w:cs="Arial"/>
          <w:szCs w:val="22"/>
        </w:rPr>
        <w:t xml:space="preserve"> </w:t>
      </w:r>
      <w:r w:rsidR="00D15FF7" w:rsidRPr="00ED4558">
        <w:rPr>
          <w:rFonts w:ascii="ITC Avant Garde" w:hAnsi="ITC Avant Garde" w:cs="Arial"/>
          <w:szCs w:val="22"/>
        </w:rPr>
        <w:t>D</w:t>
      </w:r>
      <w:r w:rsidRPr="00ED4558">
        <w:rPr>
          <w:rFonts w:ascii="ITC Avant Garde" w:hAnsi="ITC Avant Garde" w:cs="Arial"/>
          <w:szCs w:val="22"/>
        </w:rPr>
        <w:t xml:space="preserve">e esta forma, sólo podría establecer comunicación con los usuarios que también hayan contratado los servicios de telecomunicaciones con la red a la que él se encuentre suscrito. Esta situación repercutiría en la toma de decisión para adquirir dichos servicios, ya que estaría afectada sensiblemente por el tamaño de las redes, haciendo a un lado criterios relacionados con precio, calidad y diversidad y eliminando el beneficio social de la externalidad de red en los servicios de telecomunicaciones. </w:t>
      </w:r>
    </w:p>
    <w:p w14:paraId="5CEFD48D" w14:textId="77777777" w:rsidR="0010524D" w:rsidRPr="00ED4558" w:rsidRDefault="0010524D" w:rsidP="00773BC1">
      <w:pPr>
        <w:pStyle w:val="Textoindependiente"/>
        <w:spacing w:line="276" w:lineRule="auto"/>
        <w:rPr>
          <w:rFonts w:ascii="ITC Avant Garde" w:hAnsi="ITC Avant Garde" w:cs="Arial"/>
          <w:szCs w:val="22"/>
        </w:rPr>
      </w:pPr>
    </w:p>
    <w:p w14:paraId="77BA0A39" w14:textId="77777777" w:rsidR="0010524D" w:rsidRPr="00ED4558" w:rsidRDefault="00F413A3" w:rsidP="00773BC1">
      <w:pPr>
        <w:pStyle w:val="Textoindependiente"/>
        <w:spacing w:line="276" w:lineRule="auto"/>
        <w:rPr>
          <w:rFonts w:ascii="ITC Avant Garde" w:hAnsi="ITC Avant Garde" w:cs="Arial"/>
          <w:szCs w:val="22"/>
        </w:rPr>
      </w:pPr>
      <w:r w:rsidRPr="00ED4558">
        <w:rPr>
          <w:rFonts w:ascii="ITC Avant Garde" w:hAnsi="ITC Avant Garde" w:cs="Arial"/>
          <w:szCs w:val="22"/>
        </w:rPr>
        <w:t xml:space="preserve">Por ello, el legislador estableció (i) la obligación de todos los concesionarios de redes públicas de telecomunicaciones de adoptar diseños de arquitectura abierta para </w:t>
      </w:r>
      <w:r w:rsidR="0091520E" w:rsidRPr="00ED4558">
        <w:rPr>
          <w:rFonts w:ascii="ITC Avant Garde" w:hAnsi="ITC Avant Garde" w:cs="Arial"/>
          <w:szCs w:val="22"/>
        </w:rPr>
        <w:t xml:space="preserve">garantizar </w:t>
      </w:r>
      <w:r w:rsidRPr="00ED4558">
        <w:rPr>
          <w:rFonts w:ascii="ITC Avant Garde" w:hAnsi="ITC Avant Garde" w:cs="Arial"/>
          <w:szCs w:val="22"/>
        </w:rPr>
        <w:t xml:space="preserve">la interconexión e interoperabilidad de sus redes, contenida en el artículo 124 de la </w:t>
      </w:r>
      <w:proofErr w:type="spellStart"/>
      <w:r w:rsidRPr="00ED4558">
        <w:rPr>
          <w:rFonts w:ascii="ITC Avant Garde" w:hAnsi="ITC Avant Garde" w:cs="Arial"/>
          <w:szCs w:val="22"/>
        </w:rPr>
        <w:t>LFTyR</w:t>
      </w:r>
      <w:proofErr w:type="spellEnd"/>
      <w:r w:rsidRPr="00ED4558">
        <w:rPr>
          <w:rFonts w:ascii="ITC Avant Garde" w:hAnsi="ITC Avant Garde" w:cs="Arial"/>
          <w:szCs w:val="22"/>
        </w:rPr>
        <w:t xml:space="preserve">, (ii) la obligación de los concesionarios de redes públicas de interconectar sus redes de conformidad con lo establecido en el artículo 125 de la </w:t>
      </w:r>
      <w:proofErr w:type="spellStart"/>
      <w:r w:rsidRPr="00ED4558">
        <w:rPr>
          <w:rFonts w:ascii="ITC Avant Garde" w:hAnsi="ITC Avant Garde" w:cs="Arial"/>
          <w:szCs w:val="22"/>
        </w:rPr>
        <w:t>LFTyR</w:t>
      </w:r>
      <w:proofErr w:type="spellEnd"/>
      <w:r w:rsidRPr="00ED4558">
        <w:rPr>
          <w:rFonts w:ascii="ITC Avant Garde" w:hAnsi="ITC Avant Garde" w:cs="Arial"/>
          <w:szCs w:val="22"/>
        </w:rPr>
        <w:t>, y (iii) los concesionarios que operen redes públicas de telecomunicaciones deberán interconectar sus redes</w:t>
      </w:r>
      <w:r w:rsidR="00D97EEC" w:rsidRPr="00ED4558">
        <w:rPr>
          <w:rFonts w:ascii="ITC Avant Garde" w:hAnsi="ITC Avant Garde" w:cs="Arial"/>
          <w:szCs w:val="22"/>
        </w:rPr>
        <w:t xml:space="preserve"> con las de otros concesionarios en condiciones no discriminatorias, transparentes y basadas en criterios objetivos</w:t>
      </w:r>
      <w:r w:rsidRPr="00ED4558">
        <w:rPr>
          <w:rFonts w:ascii="ITC Avant Garde" w:hAnsi="ITC Avant Garde" w:cs="Arial"/>
          <w:szCs w:val="22"/>
        </w:rPr>
        <w:t xml:space="preserve"> y a tal efecto, suscribirán un convenio en un plazo no mayor a sesenta </w:t>
      </w:r>
      <w:r w:rsidR="00A258E3" w:rsidRPr="00ED4558">
        <w:rPr>
          <w:rFonts w:ascii="ITC Avant Garde" w:hAnsi="ITC Avant Garde" w:cs="Arial"/>
          <w:szCs w:val="22"/>
        </w:rPr>
        <w:t xml:space="preserve">(60) </w:t>
      </w:r>
      <w:r w:rsidRPr="00ED4558">
        <w:rPr>
          <w:rFonts w:ascii="ITC Avant Garde" w:hAnsi="ITC Avant Garde" w:cs="Arial"/>
          <w:szCs w:val="22"/>
        </w:rPr>
        <w:t>días</w:t>
      </w:r>
      <w:r w:rsidR="00D15FF7" w:rsidRPr="00ED4558">
        <w:rPr>
          <w:rFonts w:ascii="ITC Avant Garde" w:hAnsi="ITC Avant Garde" w:cs="Arial"/>
          <w:szCs w:val="22"/>
        </w:rPr>
        <w:t xml:space="preserve"> naturales</w:t>
      </w:r>
      <w:r w:rsidRPr="00ED4558">
        <w:rPr>
          <w:rFonts w:ascii="ITC Avant Garde" w:hAnsi="ITC Avant Garde" w:cs="Arial"/>
          <w:szCs w:val="22"/>
        </w:rPr>
        <w:t>, tra</w:t>
      </w:r>
      <w:r w:rsidR="00D15FF7" w:rsidRPr="00ED4558">
        <w:rPr>
          <w:rFonts w:ascii="ITC Avant Garde" w:hAnsi="ITC Avant Garde" w:cs="Arial"/>
          <w:szCs w:val="22"/>
        </w:rPr>
        <w:t>n</w:t>
      </w:r>
      <w:r w:rsidRPr="00ED4558">
        <w:rPr>
          <w:rFonts w:ascii="ITC Avant Garde" w:hAnsi="ITC Avant Garde" w:cs="Arial"/>
          <w:szCs w:val="22"/>
        </w:rPr>
        <w:t>scurrido dicho plazo sin que se hubiera celebrado el convenio,</w:t>
      </w:r>
      <w:r w:rsidR="009D78CF" w:rsidRPr="00ED4558">
        <w:rPr>
          <w:rFonts w:ascii="ITC Avant Garde" w:hAnsi="ITC Avant Garde" w:cs="Arial"/>
          <w:szCs w:val="22"/>
        </w:rPr>
        <w:t xml:space="preserve"> a solicitud de uno o ambos concesionarios,</w:t>
      </w:r>
      <w:r w:rsidRPr="00ED4558">
        <w:rPr>
          <w:rFonts w:ascii="ITC Avant Garde" w:hAnsi="ITC Avant Garde" w:cs="Arial"/>
          <w:szCs w:val="22"/>
        </w:rPr>
        <w:t xml:space="preserve"> el Instituto deberá resolver sobre las condiciones términos y tarifas que no hayan podido convenir, de conformidad en el artículo 129 de la </w:t>
      </w:r>
      <w:proofErr w:type="spellStart"/>
      <w:r w:rsidRPr="00ED4558">
        <w:rPr>
          <w:rFonts w:ascii="ITC Avant Garde" w:hAnsi="ITC Avant Garde" w:cs="Arial"/>
          <w:szCs w:val="22"/>
        </w:rPr>
        <w:t>LFTyR</w:t>
      </w:r>
      <w:proofErr w:type="spellEnd"/>
      <w:r w:rsidRPr="00ED4558">
        <w:rPr>
          <w:rFonts w:ascii="ITC Avant Garde" w:hAnsi="ITC Avant Garde" w:cs="Arial"/>
          <w:szCs w:val="22"/>
        </w:rPr>
        <w:t>.</w:t>
      </w:r>
    </w:p>
    <w:p w14:paraId="37272737" w14:textId="77777777" w:rsidR="0010524D" w:rsidRPr="00ED4558" w:rsidRDefault="0010524D" w:rsidP="00773BC1">
      <w:pPr>
        <w:pStyle w:val="Textoindependiente"/>
        <w:spacing w:line="276" w:lineRule="auto"/>
        <w:rPr>
          <w:rFonts w:ascii="ITC Avant Garde" w:hAnsi="ITC Avant Garde" w:cs="Arial"/>
          <w:szCs w:val="22"/>
        </w:rPr>
      </w:pPr>
    </w:p>
    <w:p w14:paraId="74184238" w14:textId="77777777" w:rsidR="0010524D" w:rsidRPr="00ED4558" w:rsidRDefault="009D78CF" w:rsidP="00773BC1">
      <w:pPr>
        <w:pStyle w:val="Textoindependiente"/>
        <w:spacing w:line="276" w:lineRule="auto"/>
        <w:rPr>
          <w:rFonts w:ascii="ITC Avant Garde" w:hAnsi="ITC Avant Garde" w:cs="Arial"/>
          <w:szCs w:val="22"/>
        </w:rPr>
      </w:pPr>
      <w:r w:rsidRPr="00ED4558">
        <w:rPr>
          <w:rFonts w:ascii="ITC Avant Garde" w:hAnsi="ITC Avant Garde" w:cs="Arial"/>
          <w:szCs w:val="22"/>
        </w:rPr>
        <w:t>En este sentido, l</w:t>
      </w:r>
      <w:r w:rsidR="00BA7508" w:rsidRPr="00ED4558">
        <w:rPr>
          <w:rFonts w:ascii="ITC Avant Garde" w:hAnsi="ITC Avant Garde" w:cs="Arial"/>
          <w:szCs w:val="22"/>
        </w:rPr>
        <w:t>a</w:t>
      </w:r>
      <w:r w:rsidR="00F413A3" w:rsidRPr="00ED4558">
        <w:rPr>
          <w:rFonts w:ascii="ITC Avant Garde" w:hAnsi="ITC Avant Garde" w:cs="Arial"/>
          <w:szCs w:val="22"/>
        </w:rPr>
        <w:t xml:space="preserve"> interconexión se ha convertido en los últimos años en un factor crítico debido al desarrollo tecnológico y al surgimiento de nuevos servicios, ya que ésta permite que los distintos concesionarios coexistan para ofrecer sus servicios a todos los usuarios y a su vez compitan por el mercado de las telecomunicaciones. </w:t>
      </w:r>
    </w:p>
    <w:p w14:paraId="61B144FE" w14:textId="77777777" w:rsidR="0010524D" w:rsidRPr="00ED4558" w:rsidRDefault="0010524D" w:rsidP="00773BC1">
      <w:pPr>
        <w:spacing w:after="0"/>
        <w:jc w:val="both"/>
        <w:rPr>
          <w:rFonts w:ascii="ITC Avant Garde" w:eastAsia="Times New Roman" w:hAnsi="ITC Avant Garde"/>
          <w:b/>
          <w:lang w:eastAsia="es-ES"/>
        </w:rPr>
      </w:pPr>
    </w:p>
    <w:p w14:paraId="68B0BEC7" w14:textId="77777777" w:rsidR="0010524D" w:rsidRPr="00ED4558" w:rsidRDefault="00F413A3" w:rsidP="00773BC1">
      <w:pPr>
        <w:pStyle w:val="Textoindependiente"/>
        <w:spacing w:line="276" w:lineRule="auto"/>
        <w:rPr>
          <w:rFonts w:ascii="ITC Avant Garde" w:hAnsi="ITC Avant Garde" w:cs="Arial"/>
          <w:szCs w:val="22"/>
        </w:rPr>
      </w:pPr>
      <w:r w:rsidRPr="00ED4558">
        <w:rPr>
          <w:rFonts w:ascii="ITC Avant Garde" w:hAnsi="ITC Avant Garde" w:cs="Arial"/>
          <w:szCs w:val="22"/>
        </w:rPr>
        <w:t xml:space="preserve">El principio a salvaguardar es el interés público, ya que otorga al usuario la oportunidad de adquirir servicios a menor precio, mayor calidad y diversidad, de ahí que los concesionarios estén obligados a entregar el tráfico a su destino final o a un concesionario o combinación de concesionarios que puedan hacerlo, proveyendo los servicios de interconexión a que los obliga la normatividad de la materia. </w:t>
      </w:r>
    </w:p>
    <w:p w14:paraId="5F93D7D2" w14:textId="77777777" w:rsidR="0010524D" w:rsidRPr="00ED4558" w:rsidRDefault="0010524D" w:rsidP="00773BC1">
      <w:pPr>
        <w:pStyle w:val="Textoindependiente"/>
        <w:spacing w:line="276" w:lineRule="auto"/>
        <w:rPr>
          <w:rFonts w:ascii="ITC Avant Garde" w:hAnsi="ITC Avant Garde" w:cs="Arial"/>
          <w:szCs w:val="22"/>
        </w:rPr>
      </w:pPr>
    </w:p>
    <w:p w14:paraId="45CB72F9" w14:textId="77777777" w:rsidR="0010524D" w:rsidRPr="00ED4558" w:rsidRDefault="00F413A3" w:rsidP="00773BC1">
      <w:pPr>
        <w:pStyle w:val="Textoindependiente"/>
        <w:spacing w:line="276" w:lineRule="auto"/>
        <w:rPr>
          <w:rFonts w:ascii="ITC Avant Garde" w:hAnsi="ITC Avant Garde" w:cs="Arial"/>
          <w:szCs w:val="22"/>
        </w:rPr>
      </w:pPr>
      <w:r w:rsidRPr="00ED4558">
        <w:rPr>
          <w:rFonts w:ascii="ITC Avant Garde" w:hAnsi="ITC Avant Garde" w:cs="Arial"/>
          <w:szCs w:val="22"/>
        </w:rPr>
        <w:t xml:space="preserve">Para </w:t>
      </w:r>
      <w:r w:rsidR="009D78CF" w:rsidRPr="00ED4558">
        <w:rPr>
          <w:rFonts w:ascii="ITC Avant Garde" w:hAnsi="ITC Avant Garde" w:cs="Arial"/>
          <w:szCs w:val="22"/>
        </w:rPr>
        <w:t>lograr lo anterior</w:t>
      </w:r>
      <w:r w:rsidRPr="00ED4558">
        <w:rPr>
          <w:rFonts w:ascii="ITC Avant Garde" w:hAnsi="ITC Avant Garde" w:cs="Arial"/>
          <w:szCs w:val="22"/>
        </w:rPr>
        <w:t>, el Instituto, tiene dentro de sus facultades promover y vigilar la eficiente interconexión de los equipos y redes públicas de telecomunicaciones, determinando las condiciones que, en materia de interconexión, no han podido convenirse entre los concesionarios de redes públicas de telecomunicaciones.</w:t>
      </w:r>
    </w:p>
    <w:p w14:paraId="7C31DC41" w14:textId="77777777" w:rsidR="0010524D" w:rsidRPr="00ED4558" w:rsidRDefault="00F413A3" w:rsidP="00773BC1">
      <w:pPr>
        <w:pStyle w:val="Textoindependiente"/>
        <w:spacing w:line="276" w:lineRule="auto"/>
        <w:rPr>
          <w:rFonts w:ascii="ITC Avant Garde" w:hAnsi="ITC Avant Garde" w:cs="Arial"/>
          <w:szCs w:val="22"/>
        </w:rPr>
      </w:pPr>
      <w:r w:rsidRPr="00ED4558">
        <w:rPr>
          <w:rFonts w:ascii="ITC Avant Garde" w:hAnsi="ITC Avant Garde" w:cs="Arial"/>
          <w:szCs w:val="22"/>
        </w:rPr>
        <w:lastRenderedPageBreak/>
        <w:t xml:space="preserve">La emisión de las resoluciones en materia de desacuerdos de interconexión, como expresión de la rectoría que ejerce el Estado en materia de telecomunicaciones, tiende a procurar una sana competencia entre los concesionarios, sin dejar de </w:t>
      </w:r>
      <w:r w:rsidR="009D78CF" w:rsidRPr="00ED4558">
        <w:rPr>
          <w:rFonts w:ascii="ITC Avant Garde" w:hAnsi="ITC Avant Garde" w:cs="Arial"/>
          <w:szCs w:val="22"/>
        </w:rPr>
        <w:t>priorizar</w:t>
      </w:r>
      <w:r w:rsidRPr="00ED4558">
        <w:rPr>
          <w:rFonts w:ascii="ITC Avant Garde" w:hAnsi="ITC Avant Garde" w:cs="Arial"/>
          <w:szCs w:val="22"/>
        </w:rPr>
        <w:t xml:space="preserve">, de manera preponderante, los intereses de los usuarios o consumidores finales, en términos de lo establecido en los artículos 7º, 124 y 125 de la </w:t>
      </w:r>
      <w:proofErr w:type="spellStart"/>
      <w:r w:rsidRPr="00ED4558">
        <w:rPr>
          <w:rFonts w:ascii="ITC Avant Garde" w:hAnsi="ITC Avant Garde" w:cs="Arial"/>
          <w:szCs w:val="22"/>
        </w:rPr>
        <w:t>LFTyR</w:t>
      </w:r>
      <w:proofErr w:type="spellEnd"/>
      <w:r w:rsidRPr="00ED4558">
        <w:rPr>
          <w:rFonts w:ascii="ITC Avant Garde" w:hAnsi="ITC Avant Garde" w:cs="Arial"/>
          <w:szCs w:val="22"/>
        </w:rPr>
        <w:t>.</w:t>
      </w:r>
    </w:p>
    <w:p w14:paraId="1FDB9510" w14:textId="77777777" w:rsidR="0010524D" w:rsidRPr="00ED4558" w:rsidRDefault="0010524D" w:rsidP="00773BC1">
      <w:pPr>
        <w:pStyle w:val="Textoindependiente"/>
        <w:spacing w:line="276" w:lineRule="auto"/>
        <w:rPr>
          <w:rFonts w:ascii="ITC Avant Garde" w:hAnsi="ITC Avant Garde" w:cs="Arial"/>
          <w:szCs w:val="22"/>
        </w:rPr>
      </w:pPr>
    </w:p>
    <w:p w14:paraId="45F24C92" w14:textId="77777777" w:rsidR="0010524D" w:rsidRPr="00ED4558" w:rsidRDefault="00F413A3" w:rsidP="00773BC1">
      <w:pPr>
        <w:pStyle w:val="Textoindependiente"/>
        <w:spacing w:line="276" w:lineRule="auto"/>
        <w:rPr>
          <w:rFonts w:ascii="ITC Avant Garde" w:hAnsi="ITC Avant Garde" w:cs="Arial"/>
          <w:szCs w:val="22"/>
        </w:rPr>
      </w:pPr>
      <w:r w:rsidRPr="00ED4558">
        <w:rPr>
          <w:rFonts w:ascii="ITC Avant Garde" w:hAnsi="ITC Avant Garde" w:cs="Arial"/>
          <w:szCs w:val="22"/>
        </w:rPr>
        <w:t>La Suprema Corte de Justicia de la Nación</w:t>
      </w:r>
      <w:r w:rsidR="00BA7508" w:rsidRPr="00ED4558">
        <w:rPr>
          <w:rFonts w:ascii="ITC Avant Garde" w:hAnsi="ITC Avant Garde" w:cs="Arial"/>
          <w:szCs w:val="22"/>
        </w:rPr>
        <w:t xml:space="preserve"> (en lo sucesivo, la “SCJN”)</w:t>
      </w:r>
      <w:r w:rsidRPr="00ED4558">
        <w:rPr>
          <w:rFonts w:ascii="ITC Avant Garde" w:hAnsi="ITC Avant Garde" w:cs="Arial"/>
          <w:szCs w:val="22"/>
        </w:rPr>
        <w:t xml:space="preserve"> ha sostenido que los servicios de interconexión son considerados como básicos para el desarrollo del país </w:t>
      </w:r>
      <w:r w:rsidR="00EE47D1" w:rsidRPr="00ED4558">
        <w:rPr>
          <w:rFonts w:ascii="ITC Avant Garde" w:hAnsi="ITC Avant Garde" w:cs="Arial"/>
          <w:szCs w:val="22"/>
        </w:rPr>
        <w:t xml:space="preserve">y coadyuvan a mejorar las condiciones de vida en sociedad. </w:t>
      </w:r>
      <w:r w:rsidRPr="00ED4558">
        <w:rPr>
          <w:rFonts w:ascii="ITC Avant Garde" w:hAnsi="ITC Avant Garde" w:cs="Arial"/>
          <w:szCs w:val="22"/>
        </w:rPr>
        <w:t xml:space="preserve">Dicha determinación encuentra sustento en la Tesis de Jurisprudencia 2a./J. 112/2004, con número de Registro 180524, emitida por la Segunda Sala de la </w:t>
      </w:r>
      <w:r w:rsidR="00C57D73" w:rsidRPr="00ED4558">
        <w:rPr>
          <w:rFonts w:ascii="ITC Avant Garde" w:hAnsi="ITC Avant Garde" w:cs="Arial"/>
          <w:szCs w:val="22"/>
        </w:rPr>
        <w:t>SCJN</w:t>
      </w:r>
      <w:r w:rsidRPr="00ED4558">
        <w:rPr>
          <w:rFonts w:ascii="ITC Avant Garde" w:hAnsi="ITC Avant Garde" w:cs="Arial"/>
          <w:szCs w:val="22"/>
        </w:rPr>
        <w:t>, Localizada en el Semanario Judicial de la Federación y su Gaceta, Tomo XX, Septiembre de 2004, Página 230</w:t>
      </w:r>
      <w:r w:rsidR="009B4EF5" w:rsidRPr="00ED4558">
        <w:rPr>
          <w:rFonts w:ascii="ITC Avant Garde" w:hAnsi="ITC Avant Garde" w:cs="Arial"/>
          <w:szCs w:val="22"/>
        </w:rPr>
        <w:t>.</w:t>
      </w:r>
      <w:r w:rsidR="009B4EF5" w:rsidRPr="00ED4558">
        <w:rPr>
          <w:rStyle w:val="Refdenotaalpie"/>
          <w:rFonts w:ascii="ITC Avant Garde" w:hAnsi="ITC Avant Garde" w:cs="Arial"/>
          <w:szCs w:val="22"/>
        </w:rPr>
        <w:footnoteReference w:id="1"/>
      </w:r>
    </w:p>
    <w:p w14:paraId="7B705AFF" w14:textId="77777777" w:rsidR="0010524D" w:rsidRPr="00ED4558" w:rsidRDefault="0010524D" w:rsidP="00773BC1">
      <w:pPr>
        <w:spacing w:after="0"/>
        <w:jc w:val="both"/>
        <w:rPr>
          <w:rFonts w:ascii="ITC Avant Garde" w:eastAsia="Times New Roman" w:hAnsi="ITC Avant Garde"/>
          <w:b/>
          <w:lang w:eastAsia="es-ES"/>
        </w:rPr>
      </w:pPr>
    </w:p>
    <w:p w14:paraId="205FE04D" w14:textId="77777777" w:rsidR="0010524D" w:rsidRPr="00ED4558" w:rsidRDefault="009B4EF5" w:rsidP="00773BC1">
      <w:pPr>
        <w:pStyle w:val="Textoindependiente"/>
        <w:spacing w:line="276" w:lineRule="auto"/>
        <w:rPr>
          <w:rFonts w:ascii="ITC Avant Garde" w:hAnsi="ITC Avant Garde" w:cs="Arial"/>
          <w:szCs w:val="22"/>
        </w:rPr>
      </w:pPr>
      <w:r w:rsidRPr="00ED4558">
        <w:rPr>
          <w:rFonts w:ascii="ITC Avant Garde" w:hAnsi="ITC Avant Garde" w:cs="Arial"/>
          <w:szCs w:val="22"/>
        </w:rPr>
        <w:t>R</w:t>
      </w:r>
      <w:r w:rsidR="00F413A3" w:rsidRPr="00ED4558">
        <w:rPr>
          <w:rFonts w:ascii="ITC Avant Garde" w:hAnsi="ITC Avant Garde" w:cs="Arial"/>
          <w:szCs w:val="22"/>
        </w:rPr>
        <w:t xml:space="preserve">esulta inherente a estas resoluciones el interés público, pues al resolver las cuestiones no acordadas entre las partes sobre las condiciones de interconexión, obligación de interconectar y fijación de tarifas, no se debe </w:t>
      </w:r>
      <w:r w:rsidR="009D78CF" w:rsidRPr="00ED4558">
        <w:rPr>
          <w:rFonts w:ascii="ITC Avant Garde" w:hAnsi="ITC Avant Garde" w:cs="Arial"/>
          <w:szCs w:val="22"/>
        </w:rPr>
        <w:t>atender</w:t>
      </w:r>
      <w:r w:rsidR="00F413A3" w:rsidRPr="00ED4558">
        <w:rPr>
          <w:rFonts w:ascii="ITC Avant Garde" w:hAnsi="ITC Avant Garde" w:cs="Arial"/>
          <w:szCs w:val="22"/>
        </w:rPr>
        <w:t xml:space="preserve"> preponderantemente al interés particular de los concesionarios, sino al del público usuario, ya que se deben tomar en consideración los principios establecidos en la </w:t>
      </w:r>
      <w:proofErr w:type="spellStart"/>
      <w:r w:rsidR="00F413A3" w:rsidRPr="00ED4558">
        <w:rPr>
          <w:rFonts w:ascii="ITC Avant Garde" w:hAnsi="ITC Avant Garde" w:cs="Arial"/>
          <w:szCs w:val="22"/>
        </w:rPr>
        <w:t>LFTyR</w:t>
      </w:r>
      <w:proofErr w:type="spellEnd"/>
      <w:r w:rsidR="00F413A3" w:rsidRPr="00ED4558">
        <w:rPr>
          <w:rFonts w:ascii="ITC Avant Garde" w:hAnsi="ITC Avant Garde" w:cs="Arial"/>
          <w:szCs w:val="22"/>
        </w:rPr>
        <w:t>, entre los que destaca la competencia efectiva.</w:t>
      </w:r>
    </w:p>
    <w:p w14:paraId="192CA099" w14:textId="77777777" w:rsidR="0010524D" w:rsidRPr="00ED4558" w:rsidRDefault="0010524D" w:rsidP="00773BC1">
      <w:pPr>
        <w:pStyle w:val="Textoindependiente"/>
        <w:spacing w:line="276" w:lineRule="auto"/>
        <w:rPr>
          <w:rFonts w:ascii="ITC Avant Garde" w:hAnsi="ITC Avant Garde" w:cs="Arial"/>
          <w:szCs w:val="22"/>
        </w:rPr>
      </w:pPr>
    </w:p>
    <w:p w14:paraId="6019D104" w14:textId="77777777" w:rsidR="0010524D" w:rsidRPr="00ED4558" w:rsidRDefault="00F413A3" w:rsidP="00773BC1">
      <w:pPr>
        <w:pStyle w:val="Textoindependiente"/>
        <w:spacing w:line="276" w:lineRule="auto"/>
        <w:rPr>
          <w:rFonts w:ascii="ITC Avant Garde" w:hAnsi="ITC Avant Garde" w:cs="Arial"/>
          <w:szCs w:val="22"/>
        </w:rPr>
      </w:pPr>
      <w:r w:rsidRPr="00ED4558">
        <w:rPr>
          <w:rFonts w:ascii="ITC Avant Garde" w:hAnsi="ITC Avant Garde" w:cs="Arial"/>
          <w:szCs w:val="22"/>
        </w:rPr>
        <w:t xml:space="preserve">En efecto, las disposiciones de la </w:t>
      </w:r>
      <w:proofErr w:type="spellStart"/>
      <w:r w:rsidRPr="00ED4558">
        <w:rPr>
          <w:rFonts w:ascii="ITC Avant Garde" w:hAnsi="ITC Avant Garde" w:cs="Arial"/>
          <w:szCs w:val="22"/>
        </w:rPr>
        <w:t>LFTyR</w:t>
      </w:r>
      <w:proofErr w:type="spellEnd"/>
      <w:r w:rsidRPr="00ED4558">
        <w:rPr>
          <w:rFonts w:ascii="ITC Avant Garde" w:hAnsi="ITC Avant Garde" w:cs="Arial"/>
          <w:szCs w:val="22"/>
        </w:rPr>
        <w:t xml:space="preserve"> relativas a la interconexión son de orden público e interés social, la propia </w:t>
      </w:r>
      <w:r w:rsidR="00C57D73" w:rsidRPr="00ED4558">
        <w:rPr>
          <w:rFonts w:ascii="ITC Avant Garde" w:hAnsi="ITC Avant Garde" w:cs="Arial"/>
          <w:szCs w:val="22"/>
        </w:rPr>
        <w:t>l</w:t>
      </w:r>
      <w:r w:rsidRPr="00ED4558">
        <w:rPr>
          <w:rFonts w:ascii="ITC Avant Garde" w:hAnsi="ITC Avant Garde" w:cs="Arial"/>
          <w:szCs w:val="22"/>
        </w:rPr>
        <w:t xml:space="preserve">ey atribuye ese carácter al ordenamiento en general, tomando en cuenta que el fin inmediato y directo de esas normas y el actuar del Instituto es tutelar los derechos de la colectividad para evitarle algún trastorno o desventaja, como sucedería con la falta de interconexión o con una interconexión </w:t>
      </w:r>
      <w:r w:rsidR="009D78CF" w:rsidRPr="00ED4558">
        <w:rPr>
          <w:rFonts w:ascii="ITC Avant Garde" w:hAnsi="ITC Avant Garde" w:cs="Arial"/>
          <w:szCs w:val="22"/>
        </w:rPr>
        <w:t xml:space="preserve">que </w:t>
      </w:r>
      <w:r w:rsidR="00870E1B" w:rsidRPr="00ED4558">
        <w:rPr>
          <w:rFonts w:ascii="ITC Avant Garde" w:hAnsi="ITC Avant Garde" w:cs="Arial"/>
          <w:szCs w:val="22"/>
        </w:rPr>
        <w:t>dificultara</w:t>
      </w:r>
      <w:r w:rsidR="009D78CF" w:rsidRPr="00ED4558">
        <w:rPr>
          <w:rFonts w:ascii="ITC Avant Garde" w:hAnsi="ITC Avant Garde" w:cs="Arial"/>
          <w:szCs w:val="22"/>
        </w:rPr>
        <w:t xml:space="preserve"> la competitividad de los concesionarios en los mercados finales</w:t>
      </w:r>
      <w:r w:rsidRPr="00ED4558">
        <w:rPr>
          <w:rFonts w:ascii="ITC Avant Garde" w:hAnsi="ITC Avant Garde" w:cs="Arial"/>
          <w:szCs w:val="22"/>
        </w:rPr>
        <w:t>; y para procurarle la satisfacción de necesidades, o algún provecho o beneficio, como sería el desarrollo de nuevos concesionarios y servicios de comunicaciones, además de la posibilidad de tarifas mejores.</w:t>
      </w:r>
    </w:p>
    <w:bookmarkEnd w:id="4"/>
    <w:p w14:paraId="59747293" w14:textId="77777777" w:rsidR="0010524D" w:rsidRPr="00ED4558" w:rsidRDefault="0010524D" w:rsidP="00773BC1">
      <w:pPr>
        <w:spacing w:after="0"/>
        <w:jc w:val="both"/>
        <w:rPr>
          <w:rFonts w:ascii="ITC Avant Garde" w:eastAsia="Times New Roman" w:hAnsi="ITC Avant Garde"/>
          <w:b/>
          <w:lang w:eastAsia="es-ES"/>
        </w:rPr>
      </w:pPr>
    </w:p>
    <w:p w14:paraId="635C4F5C" w14:textId="77777777" w:rsidR="004709AF" w:rsidRPr="00ED4558" w:rsidRDefault="00F413A3" w:rsidP="00773BC1">
      <w:pPr>
        <w:pStyle w:val="Textoindependiente"/>
        <w:spacing w:line="276" w:lineRule="auto"/>
        <w:rPr>
          <w:rFonts w:ascii="ITC Avant Garde" w:hAnsi="ITC Avant Garde" w:cs="Arial"/>
          <w:szCs w:val="22"/>
        </w:rPr>
      </w:pPr>
      <w:bookmarkStart w:id="5" w:name="tercero1"/>
      <w:r w:rsidRPr="00ED4558">
        <w:rPr>
          <w:rFonts w:ascii="ITC Avant Garde" w:hAnsi="ITC Avant Garde" w:cs="Arial"/>
          <w:b/>
          <w:szCs w:val="22"/>
        </w:rPr>
        <w:t>TERCERO.</w:t>
      </w:r>
      <w:proofErr w:type="gramStart"/>
      <w:r w:rsidRPr="00ED4558">
        <w:rPr>
          <w:rFonts w:ascii="ITC Avant Garde" w:hAnsi="ITC Avant Garde" w:cs="Arial"/>
          <w:b/>
          <w:szCs w:val="22"/>
        </w:rPr>
        <w:t xml:space="preserve">- </w:t>
      </w:r>
      <w:r w:rsidR="00F3236C" w:rsidRPr="00ED4558">
        <w:rPr>
          <w:rFonts w:ascii="ITC Avant Garde" w:hAnsi="ITC Avant Garde" w:cs="Arial"/>
          <w:b/>
          <w:szCs w:val="22"/>
        </w:rPr>
        <w:t xml:space="preserve"> </w:t>
      </w:r>
      <w:r w:rsidRPr="00ED4558">
        <w:rPr>
          <w:rFonts w:ascii="ITC Avant Garde" w:hAnsi="ITC Avant Garde" w:cs="Arial"/>
          <w:b/>
          <w:szCs w:val="22"/>
        </w:rPr>
        <w:t>Obligatoriedad</w:t>
      </w:r>
      <w:proofErr w:type="gramEnd"/>
      <w:r w:rsidRPr="00ED4558">
        <w:rPr>
          <w:rFonts w:ascii="ITC Avant Garde" w:hAnsi="ITC Avant Garde" w:cs="Arial"/>
          <w:b/>
          <w:szCs w:val="22"/>
        </w:rPr>
        <w:t xml:space="preserve"> de la interconexión.-</w:t>
      </w:r>
      <w:r w:rsidRPr="00ED4558">
        <w:rPr>
          <w:rFonts w:ascii="ITC Avant Garde" w:hAnsi="ITC Avant Garde" w:cs="Arial"/>
          <w:szCs w:val="22"/>
        </w:rPr>
        <w:t xml:space="preserve"> En el artículo 125 de la </w:t>
      </w:r>
      <w:proofErr w:type="spellStart"/>
      <w:r w:rsidRPr="00ED4558">
        <w:rPr>
          <w:rFonts w:ascii="ITC Avant Garde" w:hAnsi="ITC Avant Garde" w:cs="Arial"/>
          <w:szCs w:val="22"/>
        </w:rPr>
        <w:t>LFTyR</w:t>
      </w:r>
      <w:proofErr w:type="spellEnd"/>
      <w:r w:rsidRPr="00ED4558">
        <w:rPr>
          <w:rFonts w:ascii="ITC Avant Garde" w:hAnsi="ITC Avant Garde" w:cs="Arial"/>
          <w:szCs w:val="22"/>
        </w:rPr>
        <w:t xml:space="preserve"> está previsto que los concesionarios de redes públicas de telecomunicaciones tienen la obligación de interconectar sus redes </w:t>
      </w:r>
      <w:r w:rsidR="004709AF" w:rsidRPr="00ED4558">
        <w:rPr>
          <w:rFonts w:ascii="ITC Avant Garde" w:hAnsi="ITC Avant Garde" w:cs="Arial"/>
          <w:szCs w:val="22"/>
        </w:rPr>
        <w:t>con las de otros concesionarios, en condiciones no discriminatorias, transparentes y basadas en criterios objetivos.</w:t>
      </w:r>
    </w:p>
    <w:p w14:paraId="675D7415" w14:textId="77777777" w:rsidR="004709AF" w:rsidRPr="00ED4558" w:rsidRDefault="004709AF" w:rsidP="00773BC1">
      <w:pPr>
        <w:pStyle w:val="Textoindependiente"/>
        <w:spacing w:line="276" w:lineRule="auto"/>
        <w:rPr>
          <w:rFonts w:ascii="ITC Avant Garde" w:hAnsi="ITC Avant Garde" w:cs="Arial"/>
          <w:szCs w:val="22"/>
        </w:rPr>
      </w:pPr>
    </w:p>
    <w:p w14:paraId="073B268B" w14:textId="77777777" w:rsidR="0010524D" w:rsidRPr="00ED4558" w:rsidRDefault="00F413A3" w:rsidP="00773BC1">
      <w:pPr>
        <w:pStyle w:val="Textoindependiente"/>
        <w:spacing w:line="276" w:lineRule="auto"/>
        <w:rPr>
          <w:rFonts w:ascii="ITC Avant Garde" w:hAnsi="ITC Avant Garde" w:cs="Arial"/>
          <w:szCs w:val="22"/>
        </w:rPr>
      </w:pPr>
      <w:r w:rsidRPr="00ED4558">
        <w:rPr>
          <w:rFonts w:ascii="ITC Avant Garde" w:hAnsi="ITC Avant Garde" w:cs="Arial"/>
          <w:szCs w:val="22"/>
        </w:rPr>
        <w:lastRenderedPageBreak/>
        <w:t>Lo anterior pone de manifiesto que</w:t>
      </w:r>
      <w:r w:rsidR="004709AF" w:rsidRPr="00ED4558">
        <w:rPr>
          <w:rFonts w:ascii="ITC Avant Garde" w:hAnsi="ITC Avant Garde" w:cs="Arial"/>
          <w:szCs w:val="22"/>
        </w:rPr>
        <w:t xml:space="preserve"> no existe supuesto normativo alguno en</w:t>
      </w:r>
      <w:r w:rsidRPr="00ED4558">
        <w:rPr>
          <w:rFonts w:ascii="ITC Avant Garde" w:hAnsi="ITC Avant Garde" w:cs="Arial"/>
          <w:szCs w:val="22"/>
        </w:rPr>
        <w:t xml:space="preserve"> la </w:t>
      </w:r>
      <w:proofErr w:type="spellStart"/>
      <w:r w:rsidRPr="00ED4558">
        <w:rPr>
          <w:rFonts w:ascii="ITC Avant Garde" w:hAnsi="ITC Avant Garde" w:cs="Arial"/>
          <w:szCs w:val="22"/>
        </w:rPr>
        <w:t>LFTyR</w:t>
      </w:r>
      <w:proofErr w:type="spellEnd"/>
      <w:r w:rsidRPr="00ED4558">
        <w:rPr>
          <w:rFonts w:ascii="ITC Avant Garde" w:hAnsi="ITC Avant Garde" w:cs="Arial"/>
          <w:szCs w:val="22"/>
        </w:rPr>
        <w:t xml:space="preserve"> </w:t>
      </w:r>
      <w:r w:rsidR="004709AF" w:rsidRPr="00ED4558">
        <w:rPr>
          <w:rFonts w:ascii="ITC Avant Garde" w:hAnsi="ITC Avant Garde" w:cs="Arial"/>
          <w:szCs w:val="22"/>
        </w:rPr>
        <w:t>que prevea la posibilidad de que</w:t>
      </w:r>
      <w:r w:rsidRPr="00ED4558">
        <w:rPr>
          <w:rFonts w:ascii="ITC Avant Garde" w:hAnsi="ITC Avant Garde" w:cs="Arial"/>
          <w:szCs w:val="22"/>
        </w:rPr>
        <w:t xml:space="preserve"> los concesionarios de redes públicas de telecomunicaciones </w:t>
      </w:r>
      <w:r w:rsidR="004709AF" w:rsidRPr="00ED4558">
        <w:rPr>
          <w:rFonts w:ascii="ITC Avant Garde" w:hAnsi="ITC Avant Garde" w:cs="Arial"/>
          <w:szCs w:val="22"/>
        </w:rPr>
        <w:t>nieguen dicha interconexión, al ser una obligación.</w:t>
      </w:r>
      <w:r w:rsidRPr="00ED4558">
        <w:rPr>
          <w:rFonts w:ascii="ITC Avant Garde" w:hAnsi="ITC Avant Garde" w:cs="Arial"/>
          <w:szCs w:val="22"/>
        </w:rPr>
        <w:t xml:space="preserve"> </w:t>
      </w:r>
    </w:p>
    <w:p w14:paraId="03425EF8" w14:textId="77777777" w:rsidR="004709AF" w:rsidRPr="00ED4558" w:rsidRDefault="004709AF" w:rsidP="00773BC1">
      <w:pPr>
        <w:pStyle w:val="Textoindependiente"/>
        <w:spacing w:line="276" w:lineRule="auto"/>
        <w:rPr>
          <w:rFonts w:ascii="ITC Avant Garde" w:hAnsi="ITC Avant Garde" w:cs="Arial"/>
          <w:szCs w:val="22"/>
        </w:rPr>
      </w:pPr>
    </w:p>
    <w:p w14:paraId="2441F39D" w14:textId="77777777" w:rsidR="00DB1610" w:rsidRPr="00ED4558" w:rsidRDefault="004709AF" w:rsidP="00773BC1">
      <w:pPr>
        <w:pStyle w:val="Textoindependiente"/>
        <w:spacing w:line="276" w:lineRule="auto"/>
        <w:rPr>
          <w:rFonts w:ascii="ITC Avant Garde" w:hAnsi="ITC Avant Garde" w:cs="Arial"/>
          <w:szCs w:val="22"/>
        </w:rPr>
      </w:pPr>
      <w:r w:rsidRPr="00ED4558">
        <w:rPr>
          <w:rFonts w:ascii="ITC Avant Garde" w:hAnsi="ITC Avant Garde" w:cs="Arial"/>
          <w:szCs w:val="22"/>
        </w:rPr>
        <w:t xml:space="preserve">Ahora bien, el artículo 129 de la </w:t>
      </w:r>
      <w:proofErr w:type="spellStart"/>
      <w:r w:rsidRPr="00ED4558">
        <w:rPr>
          <w:rFonts w:ascii="ITC Avant Garde" w:hAnsi="ITC Avant Garde" w:cs="Arial"/>
          <w:szCs w:val="22"/>
        </w:rPr>
        <w:t>LFTyR</w:t>
      </w:r>
      <w:proofErr w:type="spellEnd"/>
      <w:r w:rsidRPr="00ED4558">
        <w:rPr>
          <w:rFonts w:ascii="ITC Avant Garde" w:hAnsi="ITC Avant Garde" w:cs="Arial"/>
          <w:szCs w:val="22"/>
        </w:rPr>
        <w:t xml:space="preserve"> dispone que los concesionarios que operen redes públicas de telecomunicaciones, deberán interconectar sus redes, y a tal efecto, suscribirán un convenio en un plazo no mayor de sesenta días naturales contados a partir de que sea presentada la solicitud correspondiente. Esto es, </w:t>
      </w:r>
      <w:r w:rsidR="00DB1610" w:rsidRPr="00ED4558">
        <w:rPr>
          <w:rFonts w:ascii="ITC Avant Garde" w:hAnsi="ITC Avant Garde" w:cs="Arial"/>
          <w:szCs w:val="22"/>
        </w:rPr>
        <w:t xml:space="preserve">los concesionarios de redes públicas de telecomunicaciones tienen la libertad de negociar </w:t>
      </w:r>
      <w:r w:rsidRPr="00ED4558">
        <w:rPr>
          <w:rFonts w:ascii="ITC Avant Garde" w:hAnsi="ITC Avant Garde" w:cs="Arial"/>
          <w:szCs w:val="22"/>
        </w:rPr>
        <w:t xml:space="preserve">los términos, condiciones y tarifas de la interconexión, </w:t>
      </w:r>
      <w:r w:rsidR="00DB1610" w:rsidRPr="00ED4558">
        <w:rPr>
          <w:rFonts w:ascii="ITC Avant Garde" w:hAnsi="ITC Avant Garde" w:cs="Arial"/>
          <w:szCs w:val="22"/>
        </w:rPr>
        <w:t>mismos que deberán reflejarse en el convenio que al efecto suscriban, sin embargo, dicha libertad de negociación no implica de modo alguno</w:t>
      </w:r>
      <w:r w:rsidRPr="00ED4558">
        <w:rPr>
          <w:rFonts w:ascii="ITC Avant Garde" w:hAnsi="ITC Avant Garde" w:cs="Arial"/>
          <w:szCs w:val="22"/>
        </w:rPr>
        <w:t xml:space="preserve"> negarse a interconectar sus redes públicas de telecomunicaciones. </w:t>
      </w:r>
    </w:p>
    <w:p w14:paraId="112B8543" w14:textId="77777777" w:rsidR="00DB1610" w:rsidRPr="00ED4558" w:rsidRDefault="00DB1610" w:rsidP="00773BC1">
      <w:pPr>
        <w:pStyle w:val="Textoindependiente"/>
        <w:spacing w:line="276" w:lineRule="auto"/>
        <w:rPr>
          <w:rFonts w:ascii="ITC Avant Garde" w:hAnsi="ITC Avant Garde" w:cs="Arial"/>
          <w:szCs w:val="22"/>
        </w:rPr>
      </w:pPr>
    </w:p>
    <w:p w14:paraId="4DA420CC" w14:textId="77777777" w:rsidR="004709AF" w:rsidRPr="00ED4558" w:rsidRDefault="004709AF" w:rsidP="00773BC1">
      <w:pPr>
        <w:pStyle w:val="Textoindependiente"/>
        <w:spacing w:line="276" w:lineRule="auto"/>
        <w:rPr>
          <w:rFonts w:ascii="ITC Avant Garde" w:hAnsi="ITC Avant Garde" w:cs="Arial"/>
          <w:szCs w:val="22"/>
        </w:rPr>
      </w:pPr>
      <w:r w:rsidRPr="00ED4558">
        <w:rPr>
          <w:rFonts w:ascii="ITC Avant Garde" w:hAnsi="ITC Avant Garde" w:cs="Arial"/>
          <w:szCs w:val="22"/>
        </w:rPr>
        <w:t>En este sentido, la</w:t>
      </w:r>
      <w:r w:rsidRPr="00ED4558">
        <w:rPr>
          <w:rFonts w:ascii="ITC Avant Garde" w:hAnsi="ITC Avant Garde"/>
          <w:szCs w:val="22"/>
          <w:lang w:eastAsia="es-ES"/>
        </w:rPr>
        <w:t xml:space="preserve"> </w:t>
      </w:r>
      <w:proofErr w:type="spellStart"/>
      <w:r w:rsidRPr="00ED4558">
        <w:rPr>
          <w:rFonts w:ascii="ITC Avant Garde" w:hAnsi="ITC Avant Garde"/>
          <w:szCs w:val="22"/>
          <w:lang w:eastAsia="es-ES"/>
        </w:rPr>
        <w:t>LFTyR</w:t>
      </w:r>
      <w:proofErr w:type="spellEnd"/>
      <w:r w:rsidRPr="00ED4558">
        <w:rPr>
          <w:rFonts w:ascii="ITC Avant Garde" w:hAnsi="ITC Avant Garde"/>
          <w:szCs w:val="22"/>
          <w:lang w:eastAsia="es-ES"/>
        </w:rPr>
        <w:t xml:space="preserve"> en su artículo 298 </w:t>
      </w:r>
      <w:proofErr w:type="gramStart"/>
      <w:r w:rsidRPr="00ED4558">
        <w:rPr>
          <w:rFonts w:ascii="ITC Avant Garde" w:hAnsi="ITC Avant Garde"/>
          <w:szCs w:val="22"/>
          <w:lang w:eastAsia="es-ES"/>
        </w:rPr>
        <w:t>inciso</w:t>
      </w:r>
      <w:proofErr w:type="gramEnd"/>
      <w:r w:rsidRPr="00ED4558">
        <w:rPr>
          <w:rFonts w:ascii="ITC Avant Garde" w:hAnsi="ITC Avant Garde"/>
          <w:szCs w:val="22"/>
          <w:lang w:eastAsia="es-ES"/>
        </w:rPr>
        <w:t xml:space="preserve"> D) fracción I, establece la sanción aplicable al concesionario que incumpla con las obligaciones en materia de operación e interconexión de redes de telecomunicaciones.</w:t>
      </w:r>
    </w:p>
    <w:p w14:paraId="2C8B1A90" w14:textId="77777777" w:rsidR="0010524D" w:rsidRPr="00ED4558" w:rsidRDefault="0010524D" w:rsidP="00773BC1">
      <w:pPr>
        <w:pStyle w:val="Textoindependiente"/>
        <w:widowControl w:val="0"/>
        <w:spacing w:line="276" w:lineRule="auto"/>
        <w:rPr>
          <w:rFonts w:ascii="ITC Avant Garde" w:hAnsi="ITC Avant Garde" w:cs="Arial"/>
          <w:szCs w:val="22"/>
        </w:rPr>
      </w:pPr>
    </w:p>
    <w:p w14:paraId="6F86C1BA" w14:textId="77777777" w:rsidR="0010524D" w:rsidRPr="00ED4558" w:rsidRDefault="00F413A3" w:rsidP="00773BC1">
      <w:pPr>
        <w:pStyle w:val="Textoindependiente"/>
        <w:spacing w:line="276" w:lineRule="auto"/>
        <w:rPr>
          <w:rFonts w:ascii="ITC Avant Garde" w:hAnsi="ITC Avant Garde" w:cs="Arial"/>
          <w:szCs w:val="22"/>
        </w:rPr>
      </w:pPr>
      <w:r w:rsidRPr="00ED4558">
        <w:rPr>
          <w:rFonts w:ascii="ITC Avant Garde" w:hAnsi="ITC Avant Garde" w:cs="Arial"/>
          <w:szCs w:val="22"/>
        </w:rPr>
        <w:t xml:space="preserve">La interconexión, </w:t>
      </w:r>
      <w:r w:rsidR="00C57D73" w:rsidRPr="00ED4558">
        <w:rPr>
          <w:rFonts w:ascii="ITC Avant Garde" w:hAnsi="ITC Avant Garde" w:cs="Arial"/>
          <w:szCs w:val="22"/>
        </w:rPr>
        <w:t xml:space="preserve">se encuentra definida en el artículo 3º, fracción XXX la </w:t>
      </w:r>
      <w:proofErr w:type="spellStart"/>
      <w:r w:rsidR="00C57D73" w:rsidRPr="00ED4558">
        <w:rPr>
          <w:rFonts w:ascii="ITC Avant Garde" w:hAnsi="ITC Avant Garde" w:cs="Arial"/>
          <w:szCs w:val="22"/>
        </w:rPr>
        <w:t>LFTyR</w:t>
      </w:r>
      <w:proofErr w:type="spellEnd"/>
      <w:r w:rsidR="00C57D73" w:rsidRPr="00ED4558">
        <w:rPr>
          <w:rFonts w:ascii="ITC Avant Garde" w:hAnsi="ITC Avant Garde" w:cs="Arial"/>
          <w:szCs w:val="22"/>
        </w:rPr>
        <w:t xml:space="preserve"> como: </w:t>
      </w:r>
    </w:p>
    <w:p w14:paraId="1FC2FE59" w14:textId="77777777" w:rsidR="006737B9" w:rsidRPr="00ED4558" w:rsidRDefault="006737B9" w:rsidP="00773BC1">
      <w:pPr>
        <w:pStyle w:val="Textoindependiente"/>
        <w:spacing w:line="276" w:lineRule="auto"/>
        <w:rPr>
          <w:rFonts w:ascii="ITC Avant Garde" w:hAnsi="ITC Avant Garde" w:cs="Arial"/>
          <w:i/>
          <w:szCs w:val="22"/>
        </w:rPr>
      </w:pPr>
    </w:p>
    <w:p w14:paraId="16A466E3" w14:textId="77777777" w:rsidR="0010524D" w:rsidRPr="00ED4558" w:rsidRDefault="00F413A3" w:rsidP="00773BC1">
      <w:pPr>
        <w:pStyle w:val="Textoindependiente"/>
        <w:spacing w:line="276" w:lineRule="auto"/>
        <w:ind w:left="1417" w:right="1417"/>
        <w:rPr>
          <w:rFonts w:ascii="ITC Avant Garde" w:hAnsi="ITC Avant Garde" w:cs="Arial"/>
          <w:sz w:val="18"/>
          <w:szCs w:val="22"/>
        </w:rPr>
      </w:pPr>
      <w:r w:rsidRPr="00ED4558">
        <w:rPr>
          <w:rFonts w:ascii="ITC Avant Garde" w:hAnsi="ITC Avant Garde" w:cs="Arial"/>
          <w:i/>
          <w:sz w:val="18"/>
          <w:szCs w:val="22"/>
        </w:rPr>
        <w:t>“Conexión física o virtual, lógica y funcional entre redes públicas de telecomunicaciones que permite la conducción de tráfico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w:t>
      </w:r>
      <w:r w:rsidRPr="00ED4558">
        <w:rPr>
          <w:rFonts w:ascii="ITC Avant Garde" w:hAnsi="ITC Avant Garde" w:cs="Arial"/>
          <w:sz w:val="18"/>
          <w:szCs w:val="22"/>
        </w:rPr>
        <w:t xml:space="preserve"> </w:t>
      </w:r>
    </w:p>
    <w:p w14:paraId="3C0BE20A" w14:textId="77777777" w:rsidR="0010524D" w:rsidRPr="00ED4558" w:rsidRDefault="0010524D" w:rsidP="00773BC1">
      <w:pPr>
        <w:pStyle w:val="Textoindependiente"/>
        <w:spacing w:line="276" w:lineRule="auto"/>
        <w:rPr>
          <w:rFonts w:ascii="ITC Avant Garde" w:hAnsi="ITC Avant Garde" w:cs="Arial"/>
          <w:szCs w:val="22"/>
        </w:rPr>
      </w:pPr>
    </w:p>
    <w:p w14:paraId="2EEB6FBA" w14:textId="77777777" w:rsidR="0010524D" w:rsidRPr="00ED4558" w:rsidRDefault="006B307F" w:rsidP="00773BC1">
      <w:pPr>
        <w:pStyle w:val="Textoindependiente"/>
        <w:spacing w:line="276" w:lineRule="auto"/>
        <w:rPr>
          <w:rFonts w:ascii="ITC Avant Garde" w:hAnsi="ITC Avant Garde" w:cs="Arial"/>
          <w:szCs w:val="22"/>
        </w:rPr>
      </w:pPr>
      <w:r w:rsidRPr="00ED4558">
        <w:rPr>
          <w:rFonts w:ascii="ITC Avant Garde" w:hAnsi="ITC Avant Garde" w:cs="Arial"/>
          <w:szCs w:val="22"/>
        </w:rPr>
        <w:t>En este sentido</w:t>
      </w:r>
      <w:r w:rsidR="00F3236C" w:rsidRPr="00ED4558">
        <w:rPr>
          <w:rFonts w:ascii="ITC Avant Garde" w:hAnsi="ITC Avant Garde" w:cs="Arial"/>
          <w:szCs w:val="22"/>
        </w:rPr>
        <w:t>,</w:t>
      </w:r>
      <w:r w:rsidRPr="00ED4558">
        <w:rPr>
          <w:rFonts w:ascii="ITC Avant Garde" w:hAnsi="ITC Avant Garde" w:cs="Arial"/>
          <w:szCs w:val="22"/>
        </w:rPr>
        <w:t xml:space="preserve"> l</w:t>
      </w:r>
      <w:r w:rsidR="00675562" w:rsidRPr="00ED4558">
        <w:rPr>
          <w:rFonts w:ascii="ITC Avant Garde" w:hAnsi="ITC Avant Garde" w:cs="Arial"/>
          <w:szCs w:val="22"/>
        </w:rPr>
        <w:t>a interconexión e</w:t>
      </w:r>
      <w:r w:rsidR="00F413A3" w:rsidRPr="00ED4558">
        <w:rPr>
          <w:rFonts w:ascii="ITC Avant Garde" w:hAnsi="ITC Avant Garde" w:cs="Arial"/>
          <w:szCs w:val="22"/>
        </w:rPr>
        <w:t>s el instrumento que garantiza la interoperabilidad de las redes y de los servicios, esto es, que los usuarios de una red puedan conectarse y comunicarse con los usuarios de otra y viceversa, o utilizar servicios proporcionados por la otra red. La obligatoriedad de la interconexión incluye ofrecer de manera no discriminatoria aquellas funciones necesarias para llevar a cabo la interconexión, en las mismas condiciones y con cuando menos la misma calidad de servicio que se otorguen a otros concesionarios que utilicen servicios de interconexión, capacidades o funciones similares.</w:t>
      </w:r>
    </w:p>
    <w:p w14:paraId="192A0119" w14:textId="77777777" w:rsidR="0010524D" w:rsidRPr="00ED4558" w:rsidRDefault="0010524D" w:rsidP="00773BC1">
      <w:pPr>
        <w:pStyle w:val="Textoindependiente"/>
        <w:spacing w:line="276" w:lineRule="auto"/>
        <w:rPr>
          <w:rFonts w:ascii="ITC Avant Garde" w:hAnsi="ITC Avant Garde" w:cs="Arial"/>
          <w:szCs w:val="22"/>
        </w:rPr>
      </w:pPr>
    </w:p>
    <w:p w14:paraId="7B78DD57" w14:textId="77777777" w:rsidR="0010524D" w:rsidRPr="00ED4558" w:rsidRDefault="00EE47D1" w:rsidP="00773BC1">
      <w:pPr>
        <w:pStyle w:val="Textoindependiente"/>
        <w:spacing w:line="276" w:lineRule="auto"/>
        <w:rPr>
          <w:rFonts w:ascii="ITC Avant Garde" w:hAnsi="ITC Avant Garde" w:cs="Arial"/>
          <w:szCs w:val="22"/>
        </w:rPr>
      </w:pPr>
      <w:r w:rsidRPr="00ED4558">
        <w:rPr>
          <w:rFonts w:ascii="ITC Avant Garde" w:hAnsi="ITC Avant Garde" w:cs="Arial"/>
          <w:szCs w:val="22"/>
        </w:rPr>
        <w:t xml:space="preserve">El bien jurídico tutelado por los artículos 124 y 125 de la </w:t>
      </w:r>
      <w:proofErr w:type="spellStart"/>
      <w:r w:rsidRPr="00ED4558">
        <w:rPr>
          <w:rFonts w:ascii="ITC Avant Garde" w:hAnsi="ITC Avant Garde" w:cs="Arial"/>
          <w:szCs w:val="22"/>
        </w:rPr>
        <w:t>LFTyR</w:t>
      </w:r>
      <w:proofErr w:type="spellEnd"/>
      <w:r w:rsidR="00F413A3" w:rsidRPr="00ED4558">
        <w:rPr>
          <w:rFonts w:ascii="ITC Avant Garde" w:hAnsi="ITC Avant Garde" w:cs="Arial"/>
          <w:szCs w:val="22"/>
        </w:rPr>
        <w:t xml:space="preserve"> es </w:t>
      </w:r>
      <w:r w:rsidR="00A31649" w:rsidRPr="00ED4558">
        <w:rPr>
          <w:rFonts w:ascii="ITC Avant Garde" w:hAnsi="ITC Avant Garde" w:cs="Arial"/>
          <w:szCs w:val="22"/>
        </w:rPr>
        <w:t xml:space="preserve">permitir la comunicación de los usuarios con independencia de la red de telecomunicaciones con quien tenga contratados los servicios, y de este modo </w:t>
      </w:r>
      <w:r w:rsidR="00F413A3" w:rsidRPr="00ED4558">
        <w:rPr>
          <w:rFonts w:ascii="ITC Avant Garde" w:hAnsi="ITC Avant Garde" w:cs="Arial"/>
          <w:szCs w:val="22"/>
        </w:rPr>
        <w:t xml:space="preserve">consumar la interconexión de redes públicas </w:t>
      </w:r>
      <w:r w:rsidR="00F413A3" w:rsidRPr="00ED4558">
        <w:rPr>
          <w:rFonts w:ascii="ITC Avant Garde" w:hAnsi="ITC Avant Garde" w:cs="Arial"/>
          <w:szCs w:val="22"/>
        </w:rPr>
        <w:lastRenderedPageBreak/>
        <w:t xml:space="preserve">de telecomunicaciones para que los usuarios de </w:t>
      </w:r>
      <w:r w:rsidR="009F49C0" w:rsidRPr="00ED4558">
        <w:rPr>
          <w:rFonts w:ascii="ITC Avant Garde" w:hAnsi="ITC Avant Garde" w:cs="Arial"/>
          <w:szCs w:val="22"/>
        </w:rPr>
        <w:t xml:space="preserve">una </w:t>
      </w:r>
      <w:r w:rsidR="00F413A3" w:rsidRPr="00ED4558">
        <w:rPr>
          <w:rFonts w:ascii="ITC Avant Garde" w:hAnsi="ITC Avant Garde" w:cs="Arial"/>
          <w:szCs w:val="22"/>
        </w:rPr>
        <w:t xml:space="preserve">red </w:t>
      </w:r>
      <w:r w:rsidR="009F49C0" w:rsidRPr="00ED4558">
        <w:rPr>
          <w:rFonts w:ascii="ITC Avant Garde" w:hAnsi="ITC Avant Garde" w:cs="Arial"/>
          <w:szCs w:val="22"/>
        </w:rPr>
        <w:t>(</w:t>
      </w:r>
      <w:r w:rsidR="00F413A3" w:rsidRPr="00ED4558">
        <w:rPr>
          <w:rFonts w:ascii="ITC Avant Garde" w:hAnsi="ITC Avant Garde" w:cs="Arial"/>
          <w:szCs w:val="22"/>
        </w:rPr>
        <w:t>A</w:t>
      </w:r>
      <w:r w:rsidR="009F49C0" w:rsidRPr="00ED4558">
        <w:rPr>
          <w:rFonts w:ascii="ITC Avant Garde" w:hAnsi="ITC Avant Garde" w:cs="Arial"/>
          <w:szCs w:val="22"/>
        </w:rPr>
        <w:t>)</w:t>
      </w:r>
      <w:r w:rsidR="00F413A3" w:rsidRPr="00ED4558">
        <w:rPr>
          <w:rFonts w:ascii="ITC Avant Garde" w:hAnsi="ITC Avant Garde" w:cs="Arial"/>
          <w:szCs w:val="22"/>
        </w:rPr>
        <w:t xml:space="preserve"> puedan comunicarse con los usuarios de </w:t>
      </w:r>
      <w:r w:rsidR="009F49C0" w:rsidRPr="00ED4558">
        <w:rPr>
          <w:rFonts w:ascii="ITC Avant Garde" w:hAnsi="ITC Avant Garde" w:cs="Arial"/>
          <w:szCs w:val="22"/>
        </w:rPr>
        <w:t>otra red distinta</w:t>
      </w:r>
      <w:r w:rsidR="00F413A3" w:rsidRPr="00ED4558">
        <w:rPr>
          <w:rFonts w:ascii="ITC Avant Garde" w:hAnsi="ITC Avant Garde" w:cs="Arial"/>
          <w:szCs w:val="22"/>
        </w:rPr>
        <w:t xml:space="preserve"> </w:t>
      </w:r>
      <w:r w:rsidR="009F49C0" w:rsidRPr="00ED4558">
        <w:rPr>
          <w:rFonts w:ascii="ITC Avant Garde" w:hAnsi="ITC Avant Garde" w:cs="Arial"/>
          <w:szCs w:val="22"/>
        </w:rPr>
        <w:t>(</w:t>
      </w:r>
      <w:r w:rsidR="00F413A3" w:rsidRPr="00ED4558">
        <w:rPr>
          <w:rFonts w:ascii="ITC Avant Garde" w:hAnsi="ITC Avant Garde" w:cs="Arial"/>
          <w:szCs w:val="22"/>
        </w:rPr>
        <w:t>B</w:t>
      </w:r>
      <w:r w:rsidR="009F49C0" w:rsidRPr="00ED4558">
        <w:rPr>
          <w:rFonts w:ascii="ITC Avant Garde" w:hAnsi="ITC Avant Garde" w:cs="Arial"/>
          <w:szCs w:val="22"/>
        </w:rPr>
        <w:t>)</w:t>
      </w:r>
      <w:r w:rsidR="00F413A3" w:rsidRPr="00ED4558">
        <w:rPr>
          <w:rFonts w:ascii="ITC Avant Garde" w:hAnsi="ITC Avant Garde" w:cs="Arial"/>
          <w:szCs w:val="22"/>
        </w:rPr>
        <w:t>. Si no hubiere interconexión entre la red A y la red B, un usuario necesariamente tendría que contratar sus servicios con ambas redes para asegurar que su universo de llamadas llegue a su destino. En caso de no hacerlo de esta forma, sólo podría establecer comunicación con los usuarios que también hayan contratado sus servicios con la red que él haya contratado. Esta situación repercutiría en que su decisión para adquirir sus servicios estaría afectada sensiblemente por la cobertura de las redes haciendo a un lado criterios relacionados con precio, calidad y diversidad de servicios.</w:t>
      </w:r>
    </w:p>
    <w:p w14:paraId="66D05AD3" w14:textId="77777777" w:rsidR="0010524D" w:rsidRPr="00ED4558" w:rsidRDefault="0010524D" w:rsidP="00773BC1">
      <w:pPr>
        <w:pStyle w:val="Textoindependiente"/>
        <w:spacing w:line="276" w:lineRule="auto"/>
        <w:rPr>
          <w:rFonts w:ascii="ITC Avant Garde" w:hAnsi="ITC Avant Garde" w:cs="Arial"/>
          <w:szCs w:val="22"/>
        </w:rPr>
      </w:pPr>
    </w:p>
    <w:p w14:paraId="6239332E" w14:textId="77777777" w:rsidR="0010524D" w:rsidRPr="00ED4558" w:rsidRDefault="00F413A3" w:rsidP="00773BC1">
      <w:pPr>
        <w:pStyle w:val="Textoindependiente"/>
        <w:spacing w:line="276" w:lineRule="auto"/>
        <w:rPr>
          <w:rFonts w:ascii="ITC Avant Garde" w:hAnsi="ITC Avant Garde" w:cs="Arial"/>
          <w:szCs w:val="22"/>
        </w:rPr>
      </w:pPr>
      <w:r w:rsidRPr="00ED4558">
        <w:rPr>
          <w:rFonts w:ascii="ITC Avant Garde" w:hAnsi="ITC Avant Garde" w:cs="Arial"/>
          <w:szCs w:val="22"/>
        </w:rPr>
        <w:t xml:space="preserve">Es así que el artículo 125 de la </w:t>
      </w:r>
      <w:proofErr w:type="spellStart"/>
      <w:r w:rsidRPr="00ED4558">
        <w:rPr>
          <w:rFonts w:ascii="ITC Avant Garde" w:hAnsi="ITC Avant Garde" w:cs="Arial"/>
          <w:szCs w:val="22"/>
        </w:rPr>
        <w:t>LFTyR</w:t>
      </w:r>
      <w:proofErr w:type="spellEnd"/>
      <w:r w:rsidRPr="00ED4558">
        <w:rPr>
          <w:rFonts w:ascii="ITC Avant Garde" w:hAnsi="ITC Avant Garde" w:cs="Arial"/>
          <w:szCs w:val="22"/>
        </w:rPr>
        <w:t xml:space="preserve"> es garante del derecho que asiste a los usuarios de servicios de telecomunicaciones de tener comunicación con usuarios conectados a otras redes públicas de telecomunicaciones, así como de poder utilizar servicios proporcionados por otras redes, lo cual se logra con</w:t>
      </w:r>
      <w:r w:rsidR="009F49C0" w:rsidRPr="00ED4558">
        <w:rPr>
          <w:rFonts w:ascii="ITC Avant Garde" w:hAnsi="ITC Avant Garde" w:cs="Arial"/>
          <w:szCs w:val="22"/>
        </w:rPr>
        <w:t xml:space="preserve"> el cumplimiento de</w:t>
      </w:r>
      <w:r w:rsidRPr="00ED4558">
        <w:rPr>
          <w:rFonts w:ascii="ITC Avant Garde" w:hAnsi="ITC Avant Garde" w:cs="Arial"/>
          <w:szCs w:val="22"/>
        </w:rPr>
        <w:t xml:space="preserve"> la obligación de todo concesionario de interconectar su red para garantizar el citado derecho de los usuarios. El objetivo último de un convenio de interconexión es que mediante la interconexión de las redes públicas de telecomunicaciones, se privilegie el interés público al permitir que los usuarios de una red puedan comunicarse con los usuarios de otra red y viceversa, o utilizar servicios proporcionados por la otra red.</w:t>
      </w:r>
    </w:p>
    <w:p w14:paraId="476D6671" w14:textId="77777777" w:rsidR="0010524D" w:rsidRPr="00ED4558" w:rsidRDefault="0010524D" w:rsidP="00773BC1">
      <w:pPr>
        <w:spacing w:after="0"/>
        <w:jc w:val="both"/>
        <w:rPr>
          <w:rFonts w:ascii="ITC Avant Garde" w:eastAsia="Times New Roman" w:hAnsi="ITC Avant Garde"/>
          <w:b/>
          <w:lang w:eastAsia="es-ES"/>
        </w:rPr>
      </w:pPr>
    </w:p>
    <w:p w14:paraId="4AFFEB1F" w14:textId="77777777" w:rsidR="009B4EF5" w:rsidRPr="00ED4558" w:rsidRDefault="00F413A3" w:rsidP="00773BC1">
      <w:pPr>
        <w:pStyle w:val="Textoindependiente"/>
        <w:spacing w:line="276" w:lineRule="auto"/>
        <w:rPr>
          <w:rFonts w:ascii="ITC Avant Garde" w:hAnsi="ITC Avant Garde" w:cs="Arial"/>
          <w:szCs w:val="22"/>
        </w:rPr>
      </w:pPr>
      <w:r w:rsidRPr="00ED4558">
        <w:rPr>
          <w:rFonts w:ascii="ITC Avant Garde" w:hAnsi="ITC Avant Garde" w:cs="Arial"/>
          <w:szCs w:val="22"/>
        </w:rPr>
        <w:t xml:space="preserve">El artículo 129 de la </w:t>
      </w:r>
      <w:proofErr w:type="spellStart"/>
      <w:r w:rsidRPr="00ED4558">
        <w:rPr>
          <w:rFonts w:ascii="ITC Avant Garde" w:hAnsi="ITC Avant Garde" w:cs="Arial"/>
          <w:szCs w:val="22"/>
        </w:rPr>
        <w:t>LFTyR</w:t>
      </w:r>
      <w:proofErr w:type="spellEnd"/>
      <w:r w:rsidRPr="00ED4558">
        <w:rPr>
          <w:rFonts w:ascii="ITC Avant Garde" w:hAnsi="ITC Avant Garde" w:cs="Arial"/>
          <w:szCs w:val="22"/>
        </w:rPr>
        <w:t xml:space="preserve"> faculta a la autoridad para que</w:t>
      </w:r>
      <w:r w:rsidR="009F49C0" w:rsidRPr="00ED4558">
        <w:rPr>
          <w:rFonts w:ascii="ITC Avant Garde" w:hAnsi="ITC Avant Garde" w:cs="Arial"/>
          <w:szCs w:val="22"/>
        </w:rPr>
        <w:t>, a solicitud de parte,</w:t>
      </w:r>
      <w:r w:rsidRPr="00ED4558">
        <w:rPr>
          <w:rFonts w:ascii="ITC Avant Garde" w:hAnsi="ITC Avant Garde" w:cs="Arial"/>
          <w:szCs w:val="22"/>
        </w:rPr>
        <w:t xml:space="preserve"> intervenga tanto en el caso en que no exista convenio de </w:t>
      </w:r>
      <w:r w:rsidR="009F49C0" w:rsidRPr="00ED4558">
        <w:rPr>
          <w:rFonts w:ascii="ITC Avant Garde" w:hAnsi="ITC Avant Garde" w:cs="Arial"/>
          <w:szCs w:val="22"/>
        </w:rPr>
        <w:t xml:space="preserve">condiciones de </w:t>
      </w:r>
      <w:r w:rsidRPr="00ED4558">
        <w:rPr>
          <w:rFonts w:ascii="ITC Avant Garde" w:hAnsi="ITC Avant Garde" w:cs="Arial"/>
          <w:szCs w:val="22"/>
        </w:rPr>
        <w:t xml:space="preserve">interconexión previo o interconexión de redes públicas de telecomunicaciones, así como en el caso en que algún concesionario solicite el inicio de negociaciones para convenir nuevos términos, condiciones o tarifas de interconexión, los cuales no estén acordados en convenios de interconexión previamente celebrados. </w:t>
      </w:r>
    </w:p>
    <w:p w14:paraId="56EBD795" w14:textId="77777777" w:rsidR="0010524D" w:rsidRPr="00ED4558" w:rsidRDefault="0010524D" w:rsidP="00773BC1">
      <w:pPr>
        <w:spacing w:after="0"/>
        <w:jc w:val="both"/>
        <w:rPr>
          <w:rFonts w:ascii="ITC Avant Garde" w:hAnsi="ITC Avant Garde" w:cs="Arial"/>
        </w:rPr>
      </w:pPr>
    </w:p>
    <w:p w14:paraId="30BA485F" w14:textId="77777777" w:rsidR="0010524D" w:rsidRPr="00ED4558" w:rsidRDefault="00F413A3" w:rsidP="00773BC1">
      <w:pPr>
        <w:pStyle w:val="Textoindependiente"/>
        <w:spacing w:line="276" w:lineRule="auto"/>
        <w:rPr>
          <w:rFonts w:ascii="ITC Avant Garde" w:hAnsi="ITC Avant Garde" w:cs="Arial"/>
          <w:szCs w:val="22"/>
        </w:rPr>
      </w:pPr>
      <w:bookmarkStart w:id="6" w:name="tercero2"/>
      <w:bookmarkEnd w:id="5"/>
      <w:r w:rsidRPr="00ED4558">
        <w:rPr>
          <w:rFonts w:ascii="ITC Avant Garde" w:hAnsi="ITC Avant Garde" w:cs="Arial"/>
          <w:szCs w:val="22"/>
        </w:rPr>
        <w:t xml:space="preserve">En virtud de lo anterior, se concluye que: (i) la interconexión es el mecanismo que materializa la interoperabilidad de las redes y de los servicios, esto es, </w:t>
      </w:r>
      <w:r w:rsidRPr="00ED4558">
        <w:rPr>
          <w:rFonts w:ascii="ITC Avant Garde" w:hAnsi="ITC Avant Garde"/>
          <w:szCs w:val="22"/>
        </w:rPr>
        <w:t>que los usuarios de una de las redes públicas de telecomunicaciones puedan conectarse e intercambiar tráfico con los usuarios de la otra red pública de telecomunicaciones y viceversa, o bien permite a los usuarios de una red pública de telecomunicaciones la utilización de servicios de telecomunicaciones</w:t>
      </w:r>
      <w:r w:rsidRPr="00ED4558">
        <w:rPr>
          <w:rFonts w:ascii="ITC Avant Garde" w:hAnsi="ITC Avant Garde" w:cs="Arial"/>
          <w:szCs w:val="22"/>
        </w:rPr>
        <w:t xml:space="preserve">; (ii) los concesionarios están obligados a interconectar sus redes y, a tal efecto, suscribir un convenio en un plazo no mayor de sesenta (60) días naturales contados a partir de que alguno de ellos lo solicite; (iii) transcurridos los sesenta (60) días naturales a que hace alusión el artículo 129 de la </w:t>
      </w:r>
      <w:proofErr w:type="spellStart"/>
      <w:r w:rsidRPr="00ED4558">
        <w:rPr>
          <w:rFonts w:ascii="ITC Avant Garde" w:hAnsi="ITC Avant Garde" w:cs="Arial"/>
          <w:szCs w:val="22"/>
        </w:rPr>
        <w:t>LFTyR</w:t>
      </w:r>
      <w:proofErr w:type="spellEnd"/>
      <w:r w:rsidRPr="00ED4558">
        <w:rPr>
          <w:rFonts w:ascii="ITC Avant Garde" w:hAnsi="ITC Avant Garde" w:cs="Arial"/>
          <w:szCs w:val="22"/>
        </w:rPr>
        <w:t xml:space="preserve">, sin que las partes hayan llegado a un acuerdo, </w:t>
      </w:r>
      <w:r w:rsidR="008E6A60" w:rsidRPr="00ED4558">
        <w:rPr>
          <w:rFonts w:ascii="ITC Avant Garde" w:hAnsi="ITC Avant Garde" w:cs="Arial"/>
          <w:szCs w:val="22"/>
        </w:rPr>
        <w:t xml:space="preserve">a solicitud de parte, </w:t>
      </w:r>
      <w:r w:rsidRPr="00ED4558">
        <w:rPr>
          <w:rFonts w:ascii="ITC Avant Garde" w:hAnsi="ITC Avant Garde" w:cs="Arial"/>
          <w:szCs w:val="22"/>
        </w:rPr>
        <w:t xml:space="preserve">el Instituto resolverá los términos y condiciones de interconexión no convenidos sometidas a su competencia, </w:t>
      </w:r>
      <w:r w:rsidR="008E6A60" w:rsidRPr="00ED4558">
        <w:rPr>
          <w:rFonts w:ascii="ITC Avant Garde" w:hAnsi="ITC Avant Garde" w:cs="Arial"/>
          <w:szCs w:val="22"/>
        </w:rPr>
        <w:t xml:space="preserve">dicha solicitud deberá </w:t>
      </w:r>
      <w:r w:rsidRPr="00ED4558">
        <w:rPr>
          <w:rFonts w:ascii="ITC Avant Garde" w:hAnsi="ITC Avant Garde" w:cs="Arial"/>
          <w:szCs w:val="22"/>
        </w:rPr>
        <w:t>someter</w:t>
      </w:r>
      <w:r w:rsidR="008E6A60" w:rsidRPr="00ED4558">
        <w:rPr>
          <w:rFonts w:ascii="ITC Avant Garde" w:hAnsi="ITC Avant Garde" w:cs="Arial"/>
          <w:szCs w:val="22"/>
        </w:rPr>
        <w:t>se</w:t>
      </w:r>
      <w:r w:rsidRPr="00ED4558">
        <w:rPr>
          <w:rFonts w:ascii="ITC Avant Garde" w:hAnsi="ITC Avant Garde" w:cs="Arial"/>
          <w:szCs w:val="22"/>
        </w:rPr>
        <w:t xml:space="preserve"> a</w:t>
      </w:r>
      <w:r w:rsidR="008E6A60" w:rsidRPr="00ED4558">
        <w:rPr>
          <w:rFonts w:ascii="ITC Avant Garde" w:hAnsi="ITC Avant Garde" w:cs="Arial"/>
          <w:szCs w:val="22"/>
        </w:rPr>
        <w:t>l</w:t>
      </w:r>
      <w:r w:rsidRPr="00ED4558">
        <w:rPr>
          <w:rFonts w:ascii="ITC Avant Garde" w:hAnsi="ITC Avant Garde" w:cs="Arial"/>
          <w:szCs w:val="22"/>
        </w:rPr>
        <w:t xml:space="preserve"> Instituto dentro de</w:t>
      </w:r>
      <w:r w:rsidR="008E6A60" w:rsidRPr="00ED4558">
        <w:rPr>
          <w:rFonts w:ascii="ITC Avant Garde" w:hAnsi="ITC Avant Garde" w:cs="Arial"/>
          <w:szCs w:val="22"/>
        </w:rPr>
        <w:t xml:space="preserve">l plazo de </w:t>
      </w:r>
      <w:r w:rsidRPr="00ED4558">
        <w:rPr>
          <w:rFonts w:ascii="ITC Avant Garde" w:hAnsi="ITC Avant Garde" w:cs="Arial"/>
          <w:szCs w:val="22"/>
        </w:rPr>
        <w:t xml:space="preserve"> los cuarenta y cinco (45) días hábiles siguientes </w:t>
      </w:r>
      <w:r w:rsidRPr="00ED4558">
        <w:rPr>
          <w:rFonts w:ascii="ITC Avant Garde" w:hAnsi="ITC Avant Garde" w:cs="Arial"/>
          <w:szCs w:val="22"/>
        </w:rPr>
        <w:lastRenderedPageBreak/>
        <w:t>a que haya concluido el periodo de los sesenta (60) días naturales, y (iv) la obligatoriedad de la interconexión incluye el ofrecer de manera no discriminatoria aquellas funciones necesarias para llevar a cabo la interconexión, en las mismas condiciones y con cuando menos la misma calidad de servicio con que se presten a la propia operación, a las filiales y subsidiarias.</w:t>
      </w:r>
    </w:p>
    <w:p w14:paraId="757724CC" w14:textId="77777777" w:rsidR="0010524D" w:rsidRPr="00ED4558" w:rsidRDefault="0010524D" w:rsidP="00773BC1">
      <w:pPr>
        <w:pStyle w:val="Textoindependiente"/>
        <w:spacing w:line="276" w:lineRule="auto"/>
        <w:rPr>
          <w:rFonts w:ascii="ITC Avant Garde" w:hAnsi="ITC Avant Garde" w:cs="Arial"/>
          <w:szCs w:val="22"/>
        </w:rPr>
      </w:pPr>
    </w:p>
    <w:p w14:paraId="76CBA077" w14:textId="77777777" w:rsidR="0010524D" w:rsidRPr="00ED4558" w:rsidRDefault="00F413A3" w:rsidP="00773BC1">
      <w:pPr>
        <w:pStyle w:val="Textoindependiente"/>
        <w:spacing w:line="276" w:lineRule="auto"/>
        <w:rPr>
          <w:rFonts w:ascii="ITC Avant Garde" w:hAnsi="ITC Avant Garde" w:cs="Arial"/>
          <w:spacing w:val="-2"/>
          <w:szCs w:val="22"/>
        </w:rPr>
      </w:pPr>
      <w:r w:rsidRPr="00ED4558">
        <w:rPr>
          <w:rFonts w:ascii="ITC Avant Garde" w:hAnsi="ITC Avant Garde" w:cs="Arial"/>
          <w:spacing w:val="-2"/>
          <w:szCs w:val="22"/>
        </w:rPr>
        <w:t xml:space="preserve">Una vez analizado el marco regulatorio se desprende que los únicos requisitos para ser sujeto de la obligación de interconexión son: (i) </w:t>
      </w:r>
      <w:r w:rsidR="00EA5E80" w:rsidRPr="00ED4558">
        <w:rPr>
          <w:rFonts w:ascii="ITC Avant Garde" w:hAnsi="ITC Avant Garde" w:cs="Arial"/>
          <w:spacing w:val="-2"/>
          <w:szCs w:val="22"/>
        </w:rPr>
        <w:t>ser concesionario que opere una red pública de telecomunicaciones</w:t>
      </w:r>
      <w:r w:rsidRPr="00ED4558">
        <w:rPr>
          <w:rFonts w:ascii="ITC Avant Garde" w:hAnsi="ITC Avant Garde" w:cs="Arial"/>
          <w:spacing w:val="-2"/>
          <w:szCs w:val="22"/>
        </w:rPr>
        <w:t>, y (ii) que un concesionario</w:t>
      </w:r>
      <w:r w:rsidR="004940B7" w:rsidRPr="00ED4558">
        <w:rPr>
          <w:rFonts w:ascii="ITC Avant Garde" w:hAnsi="ITC Avant Garde" w:cs="Arial"/>
          <w:spacing w:val="-2"/>
          <w:szCs w:val="22"/>
        </w:rPr>
        <w:t xml:space="preserve"> que opere una</w:t>
      </w:r>
      <w:r w:rsidRPr="00ED4558">
        <w:rPr>
          <w:rFonts w:ascii="ITC Avant Garde" w:hAnsi="ITC Avant Garde" w:cs="Arial"/>
          <w:spacing w:val="-2"/>
          <w:szCs w:val="22"/>
        </w:rPr>
        <w:t xml:space="preserve"> red pública de telecomunicaciones la solicite a otro.</w:t>
      </w:r>
    </w:p>
    <w:p w14:paraId="7CD7E6E5" w14:textId="77777777" w:rsidR="0010524D" w:rsidRPr="00ED4558" w:rsidRDefault="0010524D" w:rsidP="00773BC1">
      <w:pPr>
        <w:pStyle w:val="Textoindependiente"/>
        <w:spacing w:line="276" w:lineRule="auto"/>
        <w:rPr>
          <w:rFonts w:ascii="ITC Avant Garde" w:hAnsi="ITC Avant Garde" w:cs="Arial"/>
          <w:szCs w:val="22"/>
        </w:rPr>
      </w:pPr>
    </w:p>
    <w:p w14:paraId="01C1CE2A" w14:textId="77777777" w:rsidR="0010524D" w:rsidRPr="00ED4558" w:rsidRDefault="00711E3B" w:rsidP="00773BC1">
      <w:pPr>
        <w:pStyle w:val="Textoindependiente"/>
        <w:spacing w:line="276" w:lineRule="auto"/>
        <w:rPr>
          <w:rFonts w:ascii="ITC Avant Garde" w:hAnsi="ITC Avant Garde" w:cs="Arial"/>
          <w:spacing w:val="-2"/>
          <w:szCs w:val="22"/>
          <w:lang w:val="es-ES"/>
        </w:rPr>
      </w:pPr>
      <w:r w:rsidRPr="00ED4558">
        <w:rPr>
          <w:rFonts w:ascii="ITC Avant Garde" w:hAnsi="ITC Avant Garde" w:cs="Arial"/>
          <w:spacing w:val="-2"/>
          <w:szCs w:val="22"/>
        </w:rPr>
        <w:t xml:space="preserve">En consecuencia, </w:t>
      </w:r>
      <w:r w:rsidR="00EE47D1" w:rsidRPr="00ED4558">
        <w:rPr>
          <w:rFonts w:ascii="ITC Avant Garde" w:hAnsi="ITC Avant Garde" w:cs="Arial"/>
          <w:spacing w:val="-2"/>
          <w:szCs w:val="22"/>
        </w:rPr>
        <w:t xml:space="preserve">en autos está acreditado que </w:t>
      </w:r>
      <w:r w:rsidR="00706E98" w:rsidRPr="00ED4558">
        <w:rPr>
          <w:rFonts w:ascii="ITC Avant Garde" w:hAnsi="ITC Avant Garde" w:cs="Arial"/>
          <w:spacing w:val="-2"/>
          <w:szCs w:val="22"/>
        </w:rPr>
        <w:t xml:space="preserve">Telcel y </w:t>
      </w:r>
      <w:r w:rsidR="00AA3435" w:rsidRPr="00ED4558">
        <w:rPr>
          <w:rFonts w:ascii="ITC Avant Garde" w:hAnsi="ITC Avant Garde" w:cs="Arial"/>
          <w:spacing w:val="-2"/>
          <w:szCs w:val="22"/>
        </w:rPr>
        <w:t xml:space="preserve">Cablevisión Red </w:t>
      </w:r>
      <w:r w:rsidR="00EE47D1" w:rsidRPr="00ED4558">
        <w:rPr>
          <w:rFonts w:ascii="ITC Avant Garde" w:hAnsi="ITC Avant Garde" w:cs="Arial"/>
          <w:spacing w:val="-2"/>
          <w:szCs w:val="22"/>
        </w:rPr>
        <w:t>tienen el carácter de</w:t>
      </w:r>
      <w:r w:rsidR="00706E98" w:rsidRPr="00ED4558">
        <w:rPr>
          <w:rFonts w:ascii="ITC Avant Garde" w:hAnsi="ITC Avant Garde" w:cs="Arial"/>
          <w:spacing w:val="-2"/>
          <w:szCs w:val="22"/>
        </w:rPr>
        <w:t xml:space="preserve"> concesionarios que operan </w:t>
      </w:r>
      <w:r w:rsidR="00BE482A" w:rsidRPr="00ED4558">
        <w:rPr>
          <w:rFonts w:ascii="ITC Avant Garde" w:hAnsi="ITC Avant Garde" w:cs="Arial"/>
          <w:spacing w:val="-2"/>
          <w:szCs w:val="22"/>
        </w:rPr>
        <w:t>una red pública</w:t>
      </w:r>
      <w:r w:rsidR="00EE47D1" w:rsidRPr="00ED4558">
        <w:rPr>
          <w:rFonts w:ascii="ITC Avant Garde" w:hAnsi="ITC Avant Garde" w:cs="Arial"/>
          <w:spacing w:val="-2"/>
          <w:szCs w:val="22"/>
        </w:rPr>
        <w:t xml:space="preserve"> de telecomu</w:t>
      </w:r>
      <w:r w:rsidR="00706E98" w:rsidRPr="00ED4558">
        <w:rPr>
          <w:rFonts w:ascii="ITC Avant Garde" w:hAnsi="ITC Avant Garde" w:cs="Arial"/>
          <w:spacing w:val="-2"/>
          <w:szCs w:val="22"/>
        </w:rPr>
        <w:t xml:space="preserve">nicaciones y que efectivamente Telcel </w:t>
      </w:r>
      <w:r w:rsidR="00EE47D1" w:rsidRPr="00ED4558">
        <w:rPr>
          <w:rFonts w:ascii="ITC Avant Garde" w:hAnsi="ITC Avant Garde" w:cs="Arial"/>
          <w:spacing w:val="-2"/>
          <w:szCs w:val="22"/>
        </w:rPr>
        <w:t xml:space="preserve">requirió a </w:t>
      </w:r>
      <w:r w:rsidR="00AA3435" w:rsidRPr="00ED4558">
        <w:rPr>
          <w:rFonts w:ascii="ITC Avant Garde" w:hAnsi="ITC Avant Garde" w:cs="Arial"/>
          <w:spacing w:val="-2"/>
          <w:szCs w:val="22"/>
        </w:rPr>
        <w:t xml:space="preserve">Cablevisión Red </w:t>
      </w:r>
      <w:r w:rsidR="00EE47D1" w:rsidRPr="00ED4558">
        <w:rPr>
          <w:rFonts w:ascii="ITC Avant Garde" w:hAnsi="ITC Avant Garde" w:cs="Arial"/>
          <w:spacing w:val="-2"/>
          <w:szCs w:val="22"/>
        </w:rPr>
        <w:t xml:space="preserve">el inicio de negociaciones para convenir los términos, condiciones y tarifas de interconexión, según se desprende de los Antecedentes </w:t>
      </w:r>
      <w:r w:rsidR="00F90C9A" w:rsidRPr="00ED4558">
        <w:rPr>
          <w:rFonts w:ascii="ITC Avant Garde" w:hAnsi="ITC Avant Garde" w:cs="Arial"/>
          <w:spacing w:val="-2"/>
          <w:szCs w:val="22"/>
        </w:rPr>
        <w:t>I, II, y X</w:t>
      </w:r>
      <w:r w:rsidR="00AA165F" w:rsidRPr="00ED4558">
        <w:rPr>
          <w:rFonts w:ascii="ITC Avant Garde" w:hAnsi="ITC Avant Garde" w:cs="Arial"/>
          <w:spacing w:val="-2"/>
          <w:szCs w:val="22"/>
        </w:rPr>
        <w:t>I</w:t>
      </w:r>
      <w:r w:rsidR="00631E99" w:rsidRPr="00ED4558">
        <w:rPr>
          <w:rFonts w:ascii="ITC Avant Garde" w:hAnsi="ITC Avant Garde" w:cs="Arial"/>
          <w:spacing w:val="-2"/>
          <w:szCs w:val="22"/>
        </w:rPr>
        <w:t xml:space="preserve"> </w:t>
      </w:r>
      <w:r w:rsidR="00EE47D1" w:rsidRPr="00ED4558">
        <w:rPr>
          <w:rFonts w:ascii="ITC Avant Garde" w:hAnsi="ITC Avant Garde" w:cs="Arial"/>
          <w:spacing w:val="-2"/>
          <w:szCs w:val="22"/>
        </w:rPr>
        <w:t xml:space="preserve">de la presente Resolución. </w:t>
      </w:r>
    </w:p>
    <w:p w14:paraId="030ED530" w14:textId="77777777" w:rsidR="0010524D" w:rsidRPr="00ED4558" w:rsidRDefault="0010524D" w:rsidP="00773BC1">
      <w:pPr>
        <w:pStyle w:val="Textoindependiente"/>
        <w:spacing w:line="276" w:lineRule="auto"/>
        <w:rPr>
          <w:rFonts w:ascii="ITC Avant Garde" w:hAnsi="ITC Avant Garde" w:cs="Arial"/>
          <w:spacing w:val="-2"/>
          <w:szCs w:val="22"/>
        </w:rPr>
      </w:pPr>
    </w:p>
    <w:p w14:paraId="6B154131" w14:textId="77777777" w:rsidR="0010524D" w:rsidRPr="00ED4558" w:rsidRDefault="00EE47D1" w:rsidP="00773BC1">
      <w:pPr>
        <w:pStyle w:val="Textoindependiente"/>
        <w:spacing w:line="276" w:lineRule="auto"/>
        <w:rPr>
          <w:rFonts w:ascii="ITC Avant Garde" w:hAnsi="ITC Avant Garde" w:cs="Arial"/>
          <w:szCs w:val="22"/>
        </w:rPr>
      </w:pPr>
      <w:r w:rsidRPr="00ED4558">
        <w:rPr>
          <w:rFonts w:ascii="ITC Avant Garde" w:hAnsi="ITC Avant Garde" w:cs="Arial"/>
          <w:szCs w:val="22"/>
        </w:rPr>
        <w:t xml:space="preserve">Por ello, conforme al artículo 124 de la </w:t>
      </w:r>
      <w:proofErr w:type="spellStart"/>
      <w:r w:rsidRPr="00ED4558">
        <w:rPr>
          <w:rFonts w:ascii="ITC Avant Garde" w:hAnsi="ITC Avant Garde" w:cs="Arial"/>
          <w:szCs w:val="22"/>
        </w:rPr>
        <w:t>LFTyR</w:t>
      </w:r>
      <w:proofErr w:type="spellEnd"/>
      <w:r w:rsidRPr="00ED4558">
        <w:rPr>
          <w:rFonts w:ascii="ITC Avant Garde" w:hAnsi="ITC Avant Garde" w:cs="Arial"/>
          <w:szCs w:val="22"/>
        </w:rPr>
        <w:t xml:space="preserve">, </w:t>
      </w:r>
      <w:r w:rsidR="00F90C9A" w:rsidRPr="00ED4558">
        <w:rPr>
          <w:rFonts w:ascii="ITC Avant Garde" w:hAnsi="ITC Avant Garde" w:cs="Arial"/>
          <w:spacing w:val="-2"/>
          <w:szCs w:val="22"/>
        </w:rPr>
        <w:t xml:space="preserve">Telcel y </w:t>
      </w:r>
      <w:r w:rsidR="00371126" w:rsidRPr="00ED4558">
        <w:rPr>
          <w:rFonts w:ascii="ITC Avant Garde" w:hAnsi="ITC Avant Garde" w:cs="Arial"/>
          <w:spacing w:val="-2"/>
          <w:szCs w:val="22"/>
        </w:rPr>
        <w:t xml:space="preserve">Cablevisión Red </w:t>
      </w:r>
      <w:r w:rsidRPr="00ED4558">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bookmarkEnd w:id="6"/>
    <w:p w14:paraId="2972F2D4" w14:textId="77777777" w:rsidR="0010524D" w:rsidRPr="00ED4558" w:rsidRDefault="0010524D" w:rsidP="00773BC1">
      <w:pPr>
        <w:spacing w:after="0"/>
        <w:jc w:val="both"/>
        <w:rPr>
          <w:rFonts w:ascii="ITC Avant Garde" w:eastAsia="Times New Roman" w:hAnsi="ITC Avant Garde"/>
          <w:b/>
          <w:lang w:eastAsia="es-ES"/>
        </w:rPr>
      </w:pPr>
    </w:p>
    <w:p w14:paraId="39DA6EEE" w14:textId="77777777" w:rsidR="0010524D" w:rsidRPr="00ED4558" w:rsidRDefault="00F413A3" w:rsidP="00773BC1">
      <w:pPr>
        <w:pStyle w:val="Textoindependiente"/>
        <w:spacing w:line="276" w:lineRule="auto"/>
        <w:rPr>
          <w:rFonts w:ascii="ITC Avant Garde" w:hAnsi="ITC Avant Garde"/>
          <w:szCs w:val="22"/>
        </w:rPr>
      </w:pPr>
      <w:r w:rsidRPr="00ED4558">
        <w:rPr>
          <w:rFonts w:ascii="ITC Avant Garde" w:hAnsi="ITC Avant Garde"/>
          <w:b/>
          <w:bCs/>
          <w:szCs w:val="22"/>
        </w:rPr>
        <w:t>CUARTO.- Plazos.</w:t>
      </w:r>
      <w:r w:rsidRPr="00ED4558">
        <w:rPr>
          <w:rFonts w:ascii="ITC Avant Garde" w:hAnsi="ITC Avant Garde"/>
          <w:szCs w:val="22"/>
        </w:rPr>
        <w:t xml:space="preserve"> En virtud de que</w:t>
      </w:r>
      <w:r w:rsidR="004D60E4" w:rsidRPr="00ED4558">
        <w:rPr>
          <w:rFonts w:ascii="ITC Avant Garde" w:hAnsi="ITC Avant Garde"/>
          <w:szCs w:val="22"/>
        </w:rPr>
        <w:t xml:space="preserve"> Telcel </w:t>
      </w:r>
      <w:r w:rsidRPr="00ED4558">
        <w:rPr>
          <w:rFonts w:ascii="ITC Avant Garde" w:hAnsi="ITC Avant Garde"/>
          <w:szCs w:val="22"/>
        </w:rPr>
        <w:t xml:space="preserve">notificó a </w:t>
      </w:r>
      <w:r w:rsidR="00463A83" w:rsidRPr="00ED4558">
        <w:rPr>
          <w:rFonts w:ascii="ITC Avant Garde" w:hAnsi="ITC Avant Garde"/>
          <w:szCs w:val="22"/>
        </w:rPr>
        <w:t>Cablevisión Red</w:t>
      </w:r>
      <w:r w:rsidR="006C1D5C" w:rsidRPr="00ED4558">
        <w:rPr>
          <w:rFonts w:ascii="ITC Avant Garde" w:hAnsi="ITC Avant Garde"/>
          <w:szCs w:val="22"/>
        </w:rPr>
        <w:t>, con fecha</w:t>
      </w:r>
      <w:r w:rsidR="00463A83" w:rsidRPr="00ED4558">
        <w:rPr>
          <w:rFonts w:ascii="ITC Avant Garde" w:hAnsi="ITC Avant Garde"/>
          <w:szCs w:val="22"/>
        </w:rPr>
        <w:t xml:space="preserve"> 18 de mayo de </w:t>
      </w:r>
      <w:r w:rsidR="004D60E4" w:rsidRPr="00ED4558">
        <w:rPr>
          <w:rFonts w:ascii="ITC Avant Garde" w:hAnsi="ITC Avant Garde"/>
          <w:szCs w:val="22"/>
        </w:rPr>
        <w:t>2015</w:t>
      </w:r>
      <w:r w:rsidRPr="00ED4558">
        <w:rPr>
          <w:rFonts w:ascii="ITC Avant Garde" w:hAnsi="ITC Avant Garde" w:cs="Arial"/>
          <w:szCs w:val="22"/>
        </w:rPr>
        <w:t xml:space="preserve">, </w:t>
      </w:r>
      <w:r w:rsidRPr="00ED4558">
        <w:rPr>
          <w:rFonts w:ascii="ITC Avant Garde" w:hAnsi="ITC Avant Garde" w:cs="Arial"/>
          <w:bCs/>
          <w:szCs w:val="22"/>
        </w:rPr>
        <w:t xml:space="preserve">el inicio de las gestiones para establecer términos, condiciones y tarifas aplicables a la interconexión entre </w:t>
      </w:r>
      <w:r w:rsidR="00B90D6E" w:rsidRPr="00ED4558">
        <w:rPr>
          <w:rFonts w:ascii="ITC Avant Garde" w:hAnsi="ITC Avant Garde" w:cs="Arial"/>
          <w:bCs/>
          <w:szCs w:val="22"/>
        </w:rPr>
        <w:t xml:space="preserve">las </w:t>
      </w:r>
      <w:r w:rsidRPr="00ED4558">
        <w:rPr>
          <w:rFonts w:ascii="ITC Avant Garde" w:hAnsi="ITC Avant Garde" w:cs="Arial"/>
          <w:bCs/>
          <w:szCs w:val="22"/>
        </w:rPr>
        <w:t xml:space="preserve">respectivas redes públicas de telecomunicaciones </w:t>
      </w:r>
      <w:r w:rsidR="00B016AC" w:rsidRPr="00ED4558">
        <w:rPr>
          <w:rFonts w:ascii="ITC Avant Garde" w:hAnsi="ITC Avant Garde"/>
          <w:szCs w:val="22"/>
        </w:rPr>
        <w:t xml:space="preserve">de dichos concesionarios </w:t>
      </w:r>
      <w:r w:rsidRPr="00ED4558">
        <w:rPr>
          <w:rFonts w:ascii="ITC Avant Garde" w:hAnsi="ITC Avant Garde"/>
          <w:szCs w:val="22"/>
        </w:rPr>
        <w:t xml:space="preserve">y dado que ha transcurrido </w:t>
      </w:r>
      <w:r w:rsidR="00A258E3" w:rsidRPr="00ED4558">
        <w:rPr>
          <w:rFonts w:ascii="ITC Avant Garde" w:hAnsi="ITC Avant Garde"/>
          <w:szCs w:val="22"/>
        </w:rPr>
        <w:t xml:space="preserve">en exceso el plazo legal de sesenta (60) </w:t>
      </w:r>
      <w:r w:rsidRPr="00ED4558">
        <w:rPr>
          <w:rFonts w:ascii="ITC Avant Garde" w:hAnsi="ITC Avant Garde"/>
          <w:szCs w:val="22"/>
        </w:rPr>
        <w:t xml:space="preserve">días naturales, sin que a la fecha de emisión de la presente Resolución las partes hayan acordado los mencionados términos, condiciones y tarifas de interconexión, el Instituto, de conformidad con el artículo 129 de la </w:t>
      </w:r>
      <w:proofErr w:type="spellStart"/>
      <w:r w:rsidRPr="00ED4558">
        <w:rPr>
          <w:rFonts w:ascii="ITC Avant Garde" w:hAnsi="ITC Avant Garde"/>
          <w:szCs w:val="22"/>
        </w:rPr>
        <w:t>LFTyR</w:t>
      </w:r>
      <w:proofErr w:type="spellEnd"/>
      <w:r w:rsidRPr="00ED4558">
        <w:rPr>
          <w:rFonts w:ascii="ITC Avant Garde" w:hAnsi="ITC Avant Garde"/>
          <w:szCs w:val="22"/>
        </w:rPr>
        <w:t xml:space="preserve">, </w:t>
      </w:r>
      <w:r w:rsidR="00BB19FF" w:rsidRPr="00ED4558">
        <w:rPr>
          <w:rFonts w:ascii="ITC Avant Garde" w:hAnsi="ITC Avant Garde"/>
          <w:szCs w:val="22"/>
        </w:rPr>
        <w:t>resolverá sobre aquellos puntos de desacuerdo que se someten a su consideración.</w:t>
      </w:r>
    </w:p>
    <w:p w14:paraId="0BDE77FB" w14:textId="77777777" w:rsidR="00083396" w:rsidRPr="00ED4558" w:rsidRDefault="00083396" w:rsidP="00773BC1">
      <w:pPr>
        <w:pStyle w:val="Textoindependiente"/>
        <w:spacing w:line="276" w:lineRule="auto"/>
        <w:rPr>
          <w:rFonts w:ascii="ITC Avant Garde" w:hAnsi="ITC Avant Garde"/>
          <w:szCs w:val="22"/>
        </w:rPr>
      </w:pPr>
    </w:p>
    <w:p w14:paraId="70AD91A7" w14:textId="663CEBF9" w:rsidR="00083396" w:rsidRPr="00ED4558" w:rsidRDefault="00083396" w:rsidP="00773BC1">
      <w:pPr>
        <w:pStyle w:val="Textoindependiente"/>
        <w:spacing w:line="276" w:lineRule="auto"/>
        <w:rPr>
          <w:rFonts w:ascii="ITC Avant Garde" w:hAnsi="ITC Avant Garde"/>
          <w:szCs w:val="22"/>
        </w:rPr>
      </w:pPr>
      <w:r w:rsidRPr="00ED4558">
        <w:rPr>
          <w:rFonts w:ascii="ITC Avant Garde" w:hAnsi="ITC Avant Garde"/>
          <w:szCs w:val="22"/>
        </w:rPr>
        <w:t>Asimismo</w:t>
      </w:r>
      <w:r w:rsidR="00F3236C" w:rsidRPr="00ED4558">
        <w:rPr>
          <w:rFonts w:ascii="ITC Avant Garde" w:hAnsi="ITC Avant Garde"/>
          <w:szCs w:val="22"/>
        </w:rPr>
        <w:t>,</w:t>
      </w:r>
      <w:r w:rsidRPr="00ED4558">
        <w:rPr>
          <w:rFonts w:ascii="ITC Avant Garde" w:hAnsi="ITC Avant Garde"/>
          <w:szCs w:val="22"/>
        </w:rPr>
        <w:t xml:space="preserve"> se acredita que</w:t>
      </w:r>
      <w:r w:rsidR="004D60E4" w:rsidRPr="00ED4558">
        <w:rPr>
          <w:rFonts w:ascii="ITC Avant Garde" w:hAnsi="ITC Avant Garde"/>
          <w:szCs w:val="22"/>
        </w:rPr>
        <w:t xml:space="preserve"> Telcel</w:t>
      </w:r>
      <w:r w:rsidRPr="00ED4558">
        <w:rPr>
          <w:rFonts w:ascii="ITC Avant Garde" w:hAnsi="ITC Avant Garde"/>
          <w:szCs w:val="22"/>
        </w:rPr>
        <w:t xml:space="preserve"> solicitó la intervención del Instituto para la resolución del desacuerdo dentro de los 45 días </w:t>
      </w:r>
      <w:r w:rsidR="001E1D9E" w:rsidRPr="00ED4558">
        <w:rPr>
          <w:rFonts w:ascii="ITC Avant Garde" w:hAnsi="ITC Avant Garde"/>
          <w:szCs w:val="22"/>
        </w:rPr>
        <w:t>hábiles</w:t>
      </w:r>
      <w:r w:rsidRPr="00ED4558">
        <w:rPr>
          <w:rFonts w:ascii="ITC Avant Garde" w:hAnsi="ITC Avant Garde"/>
          <w:szCs w:val="22"/>
        </w:rPr>
        <w:t xml:space="preserve"> contados a partir del día hábil siguiente al plazo de 60 días antes mencionado. Todo ello de conformidad con </w:t>
      </w:r>
      <w:r w:rsidR="007A4860" w:rsidRPr="00ED4558">
        <w:rPr>
          <w:rFonts w:ascii="ITC Avant Garde" w:hAnsi="ITC Avant Garde"/>
          <w:szCs w:val="22"/>
        </w:rPr>
        <w:t>la fracción</w:t>
      </w:r>
      <w:r w:rsidRPr="00ED4558">
        <w:rPr>
          <w:rFonts w:ascii="ITC Avant Garde" w:hAnsi="ITC Avant Garde"/>
          <w:szCs w:val="22"/>
        </w:rPr>
        <w:t xml:space="preserve"> I del artículo 129 de la </w:t>
      </w:r>
      <w:proofErr w:type="spellStart"/>
      <w:r w:rsidRPr="00ED4558">
        <w:rPr>
          <w:rFonts w:ascii="ITC Avant Garde" w:hAnsi="ITC Avant Garde"/>
          <w:szCs w:val="22"/>
        </w:rPr>
        <w:t>LFTyR</w:t>
      </w:r>
      <w:proofErr w:type="spellEnd"/>
      <w:r w:rsidRPr="00ED4558">
        <w:rPr>
          <w:rFonts w:ascii="ITC Avant Garde" w:hAnsi="ITC Avant Garde"/>
          <w:szCs w:val="22"/>
        </w:rPr>
        <w:t>.</w:t>
      </w:r>
    </w:p>
    <w:p w14:paraId="4DB999B8" w14:textId="77777777" w:rsidR="0010524D" w:rsidRPr="00ED4558" w:rsidRDefault="0010524D" w:rsidP="00773BC1">
      <w:pPr>
        <w:pStyle w:val="Textoindependiente"/>
        <w:spacing w:line="276" w:lineRule="auto"/>
        <w:rPr>
          <w:rFonts w:ascii="ITC Avant Garde" w:hAnsi="ITC Avant Garde"/>
          <w:szCs w:val="22"/>
        </w:rPr>
      </w:pPr>
    </w:p>
    <w:p w14:paraId="644B10F7" w14:textId="77777777" w:rsidR="0010524D" w:rsidRPr="00ED4558" w:rsidRDefault="00F413A3" w:rsidP="00773BC1">
      <w:pPr>
        <w:pStyle w:val="Textoindependiente"/>
        <w:spacing w:line="276" w:lineRule="auto"/>
        <w:rPr>
          <w:rFonts w:ascii="ITC Avant Garde" w:hAnsi="ITC Avant Garde"/>
          <w:bCs/>
          <w:szCs w:val="22"/>
          <w:lang w:val="es-ES" w:eastAsia="es-ES"/>
        </w:rPr>
      </w:pPr>
      <w:r w:rsidRPr="00ED4558">
        <w:rPr>
          <w:rFonts w:ascii="ITC Avant Garde" w:hAnsi="ITC Avant Garde"/>
          <w:szCs w:val="22"/>
        </w:rPr>
        <w:t>En efecto, de las constancias que obran en el expediente en que se actúa, en particular de las</w:t>
      </w:r>
      <w:r w:rsidR="00CB45C7" w:rsidRPr="00ED4558">
        <w:rPr>
          <w:rFonts w:ascii="ITC Avant Garde" w:hAnsi="ITC Avant Garde"/>
          <w:szCs w:val="22"/>
        </w:rPr>
        <w:t xml:space="preserve"> consistentes en la</w:t>
      </w:r>
      <w:r w:rsidR="00631E99" w:rsidRPr="00ED4558">
        <w:rPr>
          <w:rFonts w:ascii="ITC Avant Garde" w:hAnsi="ITC Avant Garde"/>
          <w:szCs w:val="22"/>
        </w:rPr>
        <w:t xml:space="preserve"> página del SESI del Instituto co</w:t>
      </w:r>
      <w:r w:rsidR="00AA165F" w:rsidRPr="00ED4558">
        <w:rPr>
          <w:rFonts w:ascii="ITC Avant Garde" w:hAnsi="ITC Avant Garde"/>
          <w:szCs w:val="22"/>
        </w:rPr>
        <w:t>n número de registro IFT/UPR/</w:t>
      </w:r>
      <w:r w:rsidR="00463A83" w:rsidRPr="00ED4558">
        <w:rPr>
          <w:rFonts w:ascii="ITC Avant Garde" w:hAnsi="ITC Avant Garde"/>
          <w:szCs w:val="22"/>
        </w:rPr>
        <w:t>1564</w:t>
      </w:r>
      <w:r w:rsidR="00631E99" w:rsidRPr="00ED4558">
        <w:rPr>
          <w:rFonts w:ascii="ITC Avant Garde" w:hAnsi="ITC Avant Garde"/>
          <w:szCs w:val="22"/>
        </w:rPr>
        <w:t xml:space="preserve">, se observa que Telcel solicitó el inicio de </w:t>
      </w:r>
      <w:r w:rsidR="00F31563" w:rsidRPr="00ED4558">
        <w:rPr>
          <w:rFonts w:ascii="ITC Avant Garde" w:hAnsi="ITC Avant Garde"/>
          <w:bCs/>
          <w:szCs w:val="22"/>
          <w:lang w:val="es-ES" w:eastAsia="es-ES"/>
        </w:rPr>
        <w:t xml:space="preserve">negociaciones </w:t>
      </w:r>
      <w:r w:rsidR="00631E99" w:rsidRPr="00ED4558">
        <w:rPr>
          <w:rFonts w:ascii="ITC Avant Garde" w:hAnsi="ITC Avant Garde"/>
          <w:bCs/>
          <w:szCs w:val="22"/>
          <w:lang w:val="es-ES" w:eastAsia="es-ES"/>
        </w:rPr>
        <w:t>a</w:t>
      </w:r>
      <w:r w:rsidR="00AA165F" w:rsidRPr="00ED4558">
        <w:rPr>
          <w:rFonts w:ascii="ITC Avant Garde" w:hAnsi="ITC Avant Garde"/>
          <w:bCs/>
          <w:szCs w:val="22"/>
          <w:lang w:val="es-ES" w:eastAsia="es-ES"/>
        </w:rPr>
        <w:t xml:space="preserve"> </w:t>
      </w:r>
      <w:r w:rsidR="00463A83" w:rsidRPr="00ED4558">
        <w:rPr>
          <w:rFonts w:ascii="ITC Avant Garde" w:hAnsi="ITC Avant Garde"/>
          <w:bCs/>
          <w:szCs w:val="22"/>
          <w:lang w:val="es-ES" w:eastAsia="es-ES"/>
        </w:rPr>
        <w:t xml:space="preserve">Cablevisión Red </w:t>
      </w:r>
      <w:r w:rsidR="00CB45C7" w:rsidRPr="00ED4558">
        <w:rPr>
          <w:rFonts w:ascii="ITC Avant Garde" w:hAnsi="ITC Avant Garde"/>
          <w:bCs/>
          <w:szCs w:val="22"/>
          <w:lang w:val="es-ES" w:eastAsia="es-ES"/>
        </w:rPr>
        <w:t xml:space="preserve">a fin acordar </w:t>
      </w:r>
      <w:r w:rsidR="00CB45C7" w:rsidRPr="00ED4558">
        <w:rPr>
          <w:rFonts w:ascii="ITC Avant Garde" w:hAnsi="ITC Avant Garde"/>
          <w:bCs/>
          <w:szCs w:val="22"/>
          <w:lang w:val="es-ES" w:eastAsia="es-ES"/>
        </w:rPr>
        <w:lastRenderedPageBreak/>
        <w:t xml:space="preserve">las condiciones no convenidas en relación a </w:t>
      </w:r>
      <w:r w:rsidR="00AD2CB9" w:rsidRPr="00ED4558">
        <w:rPr>
          <w:rFonts w:ascii="ITC Avant Garde" w:hAnsi="ITC Avant Garde"/>
          <w:bCs/>
          <w:szCs w:val="22"/>
          <w:lang w:val="es-ES" w:eastAsia="es-ES"/>
        </w:rPr>
        <w:t>la interconexión</w:t>
      </w:r>
      <w:r w:rsidR="00F3236C" w:rsidRPr="00ED4558">
        <w:rPr>
          <w:rFonts w:ascii="ITC Avant Garde" w:hAnsi="ITC Avant Garde"/>
          <w:bCs/>
          <w:szCs w:val="22"/>
          <w:lang w:val="es-ES" w:eastAsia="es-ES"/>
        </w:rPr>
        <w:t xml:space="preserve"> en la modalidad antes descrita</w:t>
      </w:r>
      <w:r w:rsidR="00AD2CB9" w:rsidRPr="00ED4558">
        <w:rPr>
          <w:rFonts w:ascii="ITC Avant Garde" w:hAnsi="ITC Avant Garde"/>
          <w:bCs/>
          <w:szCs w:val="22"/>
          <w:lang w:val="es-ES" w:eastAsia="es-ES"/>
        </w:rPr>
        <w:t xml:space="preserve"> </w:t>
      </w:r>
      <w:r w:rsidR="00CB45C7" w:rsidRPr="00ED4558">
        <w:rPr>
          <w:rFonts w:ascii="ITC Avant Garde" w:hAnsi="ITC Avant Garde"/>
          <w:bCs/>
          <w:szCs w:val="22"/>
          <w:lang w:val="es-ES" w:eastAsia="es-ES"/>
        </w:rPr>
        <w:t>as</w:t>
      </w:r>
      <w:r w:rsidR="00BB504D" w:rsidRPr="00ED4558">
        <w:rPr>
          <w:rFonts w:ascii="ITC Avant Garde" w:hAnsi="ITC Avant Garde"/>
          <w:bCs/>
          <w:szCs w:val="22"/>
          <w:lang w:val="es-ES" w:eastAsia="es-ES"/>
        </w:rPr>
        <w:t>í como la</w:t>
      </w:r>
      <w:r w:rsidR="00C81BDA" w:rsidRPr="00ED4558">
        <w:rPr>
          <w:rFonts w:ascii="ITC Avant Garde" w:hAnsi="ITC Avant Garde"/>
          <w:bCs/>
          <w:szCs w:val="22"/>
          <w:lang w:val="es-ES" w:eastAsia="es-ES"/>
        </w:rPr>
        <w:t>s</w:t>
      </w:r>
      <w:r w:rsidR="00BB504D" w:rsidRPr="00ED4558">
        <w:rPr>
          <w:rFonts w:ascii="ITC Avant Garde" w:hAnsi="ITC Avant Garde"/>
          <w:bCs/>
          <w:szCs w:val="22"/>
          <w:lang w:val="es-ES" w:eastAsia="es-ES"/>
        </w:rPr>
        <w:t xml:space="preserve"> tarifas aplicables. </w:t>
      </w:r>
    </w:p>
    <w:p w14:paraId="2ED6CDDD" w14:textId="77777777" w:rsidR="0010524D" w:rsidRPr="00ED4558" w:rsidRDefault="0010524D" w:rsidP="00773BC1">
      <w:pPr>
        <w:pStyle w:val="Textoindependiente"/>
        <w:spacing w:line="276" w:lineRule="auto"/>
        <w:rPr>
          <w:rFonts w:ascii="ITC Avant Garde" w:hAnsi="ITC Avant Garde"/>
          <w:szCs w:val="22"/>
        </w:rPr>
      </w:pPr>
    </w:p>
    <w:p w14:paraId="01A473FA" w14:textId="77777777" w:rsidR="0010524D" w:rsidRPr="00ED4558" w:rsidRDefault="009A4640" w:rsidP="00773BC1">
      <w:pPr>
        <w:pStyle w:val="Textoindependiente"/>
        <w:spacing w:line="276" w:lineRule="auto"/>
        <w:rPr>
          <w:rFonts w:ascii="ITC Avant Garde" w:hAnsi="ITC Avant Garde"/>
          <w:szCs w:val="22"/>
        </w:rPr>
      </w:pPr>
      <w:r w:rsidRPr="00ED4558">
        <w:rPr>
          <w:rFonts w:ascii="ITC Avant Garde" w:hAnsi="ITC Avant Garde"/>
          <w:szCs w:val="22"/>
        </w:rPr>
        <w:t>Asimismo,</w:t>
      </w:r>
      <w:r w:rsidR="00BB7ADB" w:rsidRPr="00ED4558">
        <w:rPr>
          <w:rFonts w:ascii="ITC Avant Garde" w:hAnsi="ITC Avant Garde"/>
          <w:szCs w:val="22"/>
        </w:rPr>
        <w:t xml:space="preserve"> Telcel </w:t>
      </w:r>
      <w:r w:rsidR="00F413A3" w:rsidRPr="00ED4558">
        <w:rPr>
          <w:rFonts w:ascii="ITC Avant Garde" w:hAnsi="ITC Avant Garde"/>
          <w:szCs w:val="22"/>
        </w:rPr>
        <w:t xml:space="preserve">manifestó que no había alcanzado un acuerdo con </w:t>
      </w:r>
      <w:r w:rsidR="00463A83" w:rsidRPr="00ED4558">
        <w:rPr>
          <w:rFonts w:ascii="ITC Avant Garde" w:hAnsi="ITC Avant Garde"/>
          <w:szCs w:val="22"/>
        </w:rPr>
        <w:t>Cablevisión Red</w:t>
      </w:r>
      <w:r w:rsidR="00BB7ADB" w:rsidRPr="00ED4558">
        <w:rPr>
          <w:rFonts w:ascii="ITC Avant Garde" w:hAnsi="ITC Avant Garde"/>
          <w:szCs w:val="22"/>
        </w:rPr>
        <w:t>.</w:t>
      </w:r>
      <w:r w:rsidR="00F413A3" w:rsidRPr="00ED4558">
        <w:rPr>
          <w:rFonts w:ascii="ITC Avant Garde" w:hAnsi="ITC Avant Garde"/>
          <w:szCs w:val="22"/>
        </w:rPr>
        <w:t xml:space="preserve"> Lo cual quedó corroborado con la Respuesta de</w:t>
      </w:r>
      <w:r w:rsidR="00BB7ADB" w:rsidRPr="00ED4558">
        <w:rPr>
          <w:rFonts w:ascii="ITC Avant Garde" w:hAnsi="ITC Avant Garde"/>
          <w:szCs w:val="22"/>
        </w:rPr>
        <w:t xml:space="preserve"> </w:t>
      </w:r>
      <w:r w:rsidR="00463A83" w:rsidRPr="00ED4558">
        <w:rPr>
          <w:rFonts w:ascii="ITC Avant Garde" w:hAnsi="ITC Avant Garde"/>
          <w:szCs w:val="22"/>
        </w:rPr>
        <w:t>Cablevisión Red</w:t>
      </w:r>
      <w:r w:rsidR="00434B05" w:rsidRPr="00ED4558">
        <w:rPr>
          <w:rFonts w:ascii="ITC Avant Garde" w:hAnsi="ITC Avant Garde"/>
          <w:szCs w:val="22"/>
        </w:rPr>
        <w:t>, de la cual</w:t>
      </w:r>
      <w:r w:rsidR="00F413A3" w:rsidRPr="00ED4558">
        <w:rPr>
          <w:rFonts w:ascii="ITC Avant Garde" w:hAnsi="ITC Avant Garde"/>
          <w:szCs w:val="22"/>
        </w:rPr>
        <w:t xml:space="preserve"> se desprende que no ha convenido las condiciones de interconexión propuestas por </w:t>
      </w:r>
      <w:r w:rsidR="00BB7ADB" w:rsidRPr="00ED4558">
        <w:rPr>
          <w:rFonts w:ascii="ITC Avant Garde" w:hAnsi="ITC Avant Garde"/>
          <w:szCs w:val="22"/>
        </w:rPr>
        <w:t>Telce</w:t>
      </w:r>
      <w:r w:rsidR="003429AC" w:rsidRPr="00ED4558">
        <w:rPr>
          <w:rFonts w:ascii="ITC Avant Garde" w:hAnsi="ITC Avant Garde"/>
          <w:szCs w:val="22"/>
        </w:rPr>
        <w:t>l.</w:t>
      </w:r>
    </w:p>
    <w:p w14:paraId="1D01E563" w14:textId="77777777" w:rsidR="00BB7ADB" w:rsidRPr="00ED4558" w:rsidRDefault="00BB7ADB" w:rsidP="00773BC1">
      <w:pPr>
        <w:pStyle w:val="Textoindependiente"/>
        <w:spacing w:line="276" w:lineRule="auto"/>
        <w:rPr>
          <w:rFonts w:ascii="ITC Avant Garde" w:hAnsi="ITC Avant Garde"/>
          <w:szCs w:val="22"/>
        </w:rPr>
      </w:pPr>
    </w:p>
    <w:p w14:paraId="6CC9B6D8" w14:textId="77777777" w:rsidR="0010524D" w:rsidRPr="00ED4558" w:rsidRDefault="00F413A3" w:rsidP="00773BC1">
      <w:pPr>
        <w:pStyle w:val="Piedepgina"/>
        <w:widowControl w:val="0"/>
        <w:tabs>
          <w:tab w:val="left" w:pos="720"/>
        </w:tabs>
        <w:spacing w:line="276" w:lineRule="auto"/>
        <w:jc w:val="both"/>
        <w:rPr>
          <w:rFonts w:ascii="ITC Avant Garde" w:hAnsi="ITC Avant Garde" w:cs="Arial"/>
        </w:rPr>
      </w:pPr>
      <w:r w:rsidRPr="00ED4558">
        <w:rPr>
          <w:rFonts w:ascii="ITC Avant Garde" w:hAnsi="ITC Avant Garde" w:cs="Arial"/>
        </w:rPr>
        <w:t xml:space="preserve">Por tanto, se materializa la hipótesis normativa prevista en </w:t>
      </w:r>
      <w:r w:rsidR="00F3236C" w:rsidRPr="00ED4558">
        <w:rPr>
          <w:rFonts w:ascii="ITC Avant Garde" w:hAnsi="ITC Avant Garde" w:cs="Arial"/>
        </w:rPr>
        <w:t xml:space="preserve">el </w:t>
      </w:r>
      <w:r w:rsidR="006B307F" w:rsidRPr="00ED4558">
        <w:rPr>
          <w:rFonts w:ascii="ITC Avant Garde" w:hAnsi="ITC Avant Garde" w:cs="Arial"/>
        </w:rPr>
        <w:t>segundo párrafo d</w:t>
      </w:r>
      <w:r w:rsidRPr="00ED4558">
        <w:rPr>
          <w:rFonts w:ascii="ITC Avant Garde" w:hAnsi="ITC Avant Garde" w:cs="Arial"/>
        </w:rPr>
        <w:t xml:space="preserve">el artículo 129 de la </w:t>
      </w:r>
      <w:proofErr w:type="spellStart"/>
      <w:r w:rsidRPr="00ED4558">
        <w:rPr>
          <w:rFonts w:ascii="ITC Avant Garde" w:hAnsi="ITC Avant Garde" w:cs="Arial"/>
        </w:rPr>
        <w:t>LFTyR</w:t>
      </w:r>
      <w:proofErr w:type="spellEnd"/>
      <w:r w:rsidRPr="00ED4558">
        <w:rPr>
          <w:rFonts w:ascii="ITC Avant Garde" w:hAnsi="ITC Avant Garde" w:cs="Arial"/>
        </w:rPr>
        <w:t>, por lo que el Instituto se encuentra plenamente facultado para resolver aquellas condiciones de interconexión no convenidas entre las partes, es decir, los términos, condiciones y tarifas relacionadas con la interconexión de las redes públicas de telecomunicaciones de dichos concesionarios.</w:t>
      </w:r>
    </w:p>
    <w:p w14:paraId="1178646F" w14:textId="77777777" w:rsidR="0010524D" w:rsidRPr="00ED4558" w:rsidRDefault="0010524D" w:rsidP="00773BC1">
      <w:pPr>
        <w:pStyle w:val="Piedepgina"/>
        <w:widowControl w:val="0"/>
        <w:tabs>
          <w:tab w:val="left" w:pos="720"/>
        </w:tabs>
        <w:spacing w:line="276" w:lineRule="auto"/>
        <w:jc w:val="both"/>
        <w:rPr>
          <w:rFonts w:ascii="ITC Avant Garde" w:hAnsi="ITC Avant Garde" w:cs="Arial"/>
        </w:rPr>
      </w:pPr>
      <w:bookmarkStart w:id="7" w:name="quinto"/>
    </w:p>
    <w:p w14:paraId="52B1BE08" w14:textId="77777777" w:rsidR="0010524D" w:rsidRPr="00ED4558" w:rsidRDefault="00E82AE2" w:rsidP="00773BC1">
      <w:pPr>
        <w:pStyle w:val="Textoindependiente"/>
        <w:spacing w:line="276" w:lineRule="auto"/>
        <w:rPr>
          <w:rFonts w:ascii="ITC Avant Garde" w:hAnsi="ITC Avant Garde"/>
          <w:spacing w:val="-2"/>
          <w:szCs w:val="22"/>
          <w:lang w:eastAsia="es-ES"/>
        </w:rPr>
      </w:pPr>
      <w:r w:rsidRPr="00ED4558">
        <w:rPr>
          <w:rFonts w:ascii="ITC Avant Garde" w:hAnsi="ITC Avant Garde" w:cs="Arial"/>
          <w:b/>
          <w:szCs w:val="22"/>
        </w:rPr>
        <w:t xml:space="preserve">QUINTO.- Aplicación del </w:t>
      </w:r>
      <w:r w:rsidR="00C57D73" w:rsidRPr="00ED4558">
        <w:rPr>
          <w:rFonts w:ascii="ITC Avant Garde" w:hAnsi="ITC Avant Garde" w:cs="Arial"/>
          <w:b/>
          <w:szCs w:val="22"/>
        </w:rPr>
        <w:t xml:space="preserve">Artículo </w:t>
      </w:r>
      <w:r w:rsidRPr="00ED4558">
        <w:rPr>
          <w:rFonts w:ascii="ITC Avant Garde" w:hAnsi="ITC Avant Garde" w:cs="Arial"/>
          <w:b/>
          <w:szCs w:val="22"/>
        </w:rPr>
        <w:t xml:space="preserve">Vigésimo Transitorio del Decreto de </w:t>
      </w:r>
      <w:r w:rsidR="004007ED" w:rsidRPr="00ED4558">
        <w:rPr>
          <w:rFonts w:ascii="ITC Avant Garde" w:hAnsi="ITC Avant Garde" w:cs="Arial"/>
          <w:b/>
          <w:szCs w:val="22"/>
        </w:rPr>
        <w:t>Ley</w:t>
      </w:r>
      <w:r w:rsidRPr="00ED4558">
        <w:rPr>
          <w:rFonts w:ascii="ITC Avant Garde" w:hAnsi="ITC Avant Garde" w:cs="Arial"/>
          <w:b/>
          <w:szCs w:val="22"/>
        </w:rPr>
        <w:t>.-</w:t>
      </w:r>
      <w:r w:rsidRPr="00ED4558">
        <w:rPr>
          <w:rFonts w:ascii="ITC Avant Garde" w:hAnsi="ITC Avant Garde"/>
          <w:spacing w:val="-2"/>
          <w:szCs w:val="22"/>
          <w:lang w:eastAsia="es-ES"/>
        </w:rPr>
        <w:t xml:space="preserve"> Como quedó establecido en el </w:t>
      </w:r>
      <w:r w:rsidR="00D53241" w:rsidRPr="00ED4558">
        <w:rPr>
          <w:rFonts w:ascii="ITC Avant Garde" w:hAnsi="ITC Avant Garde"/>
          <w:spacing w:val="-2"/>
          <w:szCs w:val="22"/>
          <w:lang w:eastAsia="es-ES"/>
        </w:rPr>
        <w:t>A</w:t>
      </w:r>
      <w:r w:rsidR="006E7757" w:rsidRPr="00ED4558">
        <w:rPr>
          <w:rFonts w:ascii="ITC Avant Garde" w:hAnsi="ITC Avant Garde"/>
          <w:spacing w:val="-2"/>
          <w:szCs w:val="22"/>
          <w:lang w:eastAsia="es-ES"/>
        </w:rPr>
        <w:t xml:space="preserve">ntecedente </w:t>
      </w:r>
      <w:r w:rsidR="00F90C9A" w:rsidRPr="00ED4558">
        <w:rPr>
          <w:rFonts w:ascii="ITC Avant Garde" w:hAnsi="ITC Avant Garde"/>
          <w:spacing w:val="-2"/>
          <w:szCs w:val="22"/>
          <w:lang w:eastAsia="es-ES"/>
        </w:rPr>
        <w:t>VI</w:t>
      </w:r>
      <w:r w:rsidRPr="00ED4558">
        <w:rPr>
          <w:rFonts w:ascii="ITC Avant Garde" w:hAnsi="ITC Avant Garde"/>
          <w:spacing w:val="-2"/>
          <w:szCs w:val="22"/>
          <w:lang w:eastAsia="es-ES"/>
        </w:rPr>
        <w:t>, el 14 de julio de 2014, se publicó en el DOF el Decreto de</w:t>
      </w:r>
      <w:r w:rsidR="004007ED" w:rsidRPr="00ED4558">
        <w:rPr>
          <w:rFonts w:ascii="ITC Avant Garde" w:hAnsi="ITC Avant Garde"/>
          <w:spacing w:val="-2"/>
          <w:szCs w:val="22"/>
          <w:lang w:eastAsia="es-ES"/>
        </w:rPr>
        <w:t xml:space="preserve"> Ley</w:t>
      </w:r>
      <w:r w:rsidR="00F74E67" w:rsidRPr="00ED4558">
        <w:rPr>
          <w:rFonts w:ascii="ITC Avant Garde" w:hAnsi="ITC Avant Garde"/>
          <w:spacing w:val="-2"/>
          <w:szCs w:val="22"/>
          <w:lang w:eastAsia="es-ES"/>
        </w:rPr>
        <w:t>.</w:t>
      </w:r>
      <w:r w:rsidRPr="00ED4558">
        <w:rPr>
          <w:rFonts w:ascii="ITC Avant Garde" w:hAnsi="ITC Avant Garde"/>
          <w:spacing w:val="-2"/>
          <w:szCs w:val="22"/>
          <w:lang w:eastAsia="es-ES"/>
        </w:rPr>
        <w:t xml:space="preserve"> </w:t>
      </w:r>
    </w:p>
    <w:p w14:paraId="07D40C3B" w14:textId="77777777" w:rsidR="00157AD7" w:rsidRPr="00ED4558" w:rsidRDefault="00157AD7" w:rsidP="00773BC1">
      <w:pPr>
        <w:pStyle w:val="Textoindependiente"/>
        <w:spacing w:line="276" w:lineRule="auto"/>
        <w:rPr>
          <w:rFonts w:ascii="ITC Avant Garde" w:hAnsi="ITC Avant Garde"/>
          <w:spacing w:val="-2"/>
          <w:szCs w:val="22"/>
          <w:lang w:eastAsia="es-ES"/>
        </w:rPr>
      </w:pPr>
    </w:p>
    <w:p w14:paraId="6CE5E64F" w14:textId="69F5C0DF" w:rsidR="0010524D" w:rsidRPr="00ED4558" w:rsidRDefault="00E82AE2" w:rsidP="00773BC1">
      <w:pPr>
        <w:pStyle w:val="Textoindependiente"/>
        <w:spacing w:line="276" w:lineRule="auto"/>
        <w:rPr>
          <w:rFonts w:ascii="ITC Avant Garde" w:hAnsi="ITC Avant Garde"/>
          <w:spacing w:val="-2"/>
          <w:szCs w:val="22"/>
          <w:lang w:eastAsia="es-ES"/>
        </w:rPr>
      </w:pPr>
      <w:r w:rsidRPr="00ED4558">
        <w:rPr>
          <w:rFonts w:ascii="ITC Avant Garde" w:hAnsi="ITC Avant Garde"/>
          <w:spacing w:val="-2"/>
          <w:szCs w:val="22"/>
          <w:lang w:eastAsia="es-ES"/>
        </w:rPr>
        <w:t>Como parte del régimen transitorio de dicho Decreto estableció</w:t>
      </w:r>
      <w:r w:rsidR="007F196A" w:rsidRPr="00ED4558">
        <w:rPr>
          <w:rFonts w:ascii="ITC Avant Garde" w:hAnsi="ITC Avant Garde"/>
          <w:spacing w:val="-2"/>
          <w:szCs w:val="22"/>
          <w:lang w:eastAsia="es-ES"/>
        </w:rPr>
        <w:t xml:space="preserve">, en su artículo Vigésimo, </w:t>
      </w:r>
      <w:r w:rsidR="003A67E0" w:rsidRPr="00ED4558">
        <w:rPr>
          <w:rFonts w:ascii="ITC Avant Garde" w:hAnsi="ITC Avant Garde"/>
          <w:spacing w:val="-2"/>
          <w:szCs w:val="22"/>
          <w:lang w:eastAsia="es-ES"/>
        </w:rPr>
        <w:t xml:space="preserve">segundo párrafo </w:t>
      </w:r>
      <w:r w:rsidR="007F196A" w:rsidRPr="00ED4558">
        <w:rPr>
          <w:rFonts w:ascii="ITC Avant Garde" w:hAnsi="ITC Avant Garde"/>
          <w:spacing w:val="-2"/>
          <w:szCs w:val="22"/>
          <w:lang w:eastAsia="es-ES"/>
        </w:rPr>
        <w:t>l</w:t>
      </w:r>
      <w:r w:rsidRPr="00ED4558">
        <w:rPr>
          <w:rFonts w:ascii="ITC Avant Garde" w:hAnsi="ITC Avant Garde"/>
          <w:spacing w:val="-2"/>
          <w:szCs w:val="22"/>
          <w:lang w:eastAsia="es-ES"/>
        </w:rPr>
        <w:t>o siguiente:</w:t>
      </w:r>
    </w:p>
    <w:p w14:paraId="4AC14B5A" w14:textId="77777777" w:rsidR="0010524D" w:rsidRPr="00ED4558" w:rsidRDefault="0010524D" w:rsidP="00773BC1">
      <w:pPr>
        <w:pStyle w:val="Textoindependiente"/>
        <w:spacing w:line="276" w:lineRule="auto"/>
        <w:ind w:left="567" w:right="615"/>
        <w:rPr>
          <w:rFonts w:ascii="ITC Avant Garde" w:hAnsi="ITC Avant Garde"/>
          <w:b/>
          <w:i/>
          <w:spacing w:val="-2"/>
          <w:szCs w:val="22"/>
          <w:lang w:val="es-ES_tradnl" w:eastAsia="es-ES"/>
        </w:rPr>
      </w:pPr>
    </w:p>
    <w:p w14:paraId="74748FD6" w14:textId="77777777" w:rsidR="007F196A" w:rsidRPr="00ED4558" w:rsidRDefault="00EE47D1" w:rsidP="00773BC1">
      <w:pPr>
        <w:pStyle w:val="Textoindependiente"/>
        <w:spacing w:line="276" w:lineRule="auto"/>
        <w:ind w:left="1417" w:right="1417"/>
        <w:rPr>
          <w:rFonts w:ascii="ITC Avant Garde" w:hAnsi="ITC Avant Garde"/>
          <w:b/>
          <w:i/>
          <w:spacing w:val="-2"/>
          <w:sz w:val="18"/>
          <w:szCs w:val="22"/>
          <w:lang w:val="es-ES_tradnl" w:eastAsia="es-ES"/>
        </w:rPr>
      </w:pPr>
      <w:r w:rsidRPr="00ED4558">
        <w:rPr>
          <w:rFonts w:ascii="ITC Avant Garde" w:hAnsi="ITC Avant Garde"/>
          <w:i/>
          <w:spacing w:val="-2"/>
          <w:sz w:val="18"/>
          <w:szCs w:val="22"/>
          <w:lang w:val="es-ES_tradnl" w:eastAsia="es-ES"/>
        </w:rPr>
        <w:t>“</w:t>
      </w:r>
      <w:r w:rsidRPr="00ED4558">
        <w:rPr>
          <w:rFonts w:ascii="ITC Avant Garde" w:hAnsi="ITC Avant Garde"/>
          <w:b/>
          <w:i/>
          <w:spacing w:val="-2"/>
          <w:sz w:val="18"/>
          <w:szCs w:val="22"/>
          <w:lang w:val="es-ES_tradnl" w:eastAsia="es-ES"/>
        </w:rPr>
        <w:t xml:space="preserve">VIGÉSIMO. </w:t>
      </w:r>
      <w:r w:rsidR="007F196A" w:rsidRPr="00ED4558">
        <w:rPr>
          <w:rFonts w:ascii="ITC Avant Garde" w:hAnsi="ITC Avant Garde"/>
          <w:b/>
          <w:i/>
          <w:spacing w:val="-2"/>
          <w:sz w:val="18"/>
          <w:szCs w:val="22"/>
          <w:lang w:val="es-ES_tradnl" w:eastAsia="es-ES"/>
        </w:rPr>
        <w:t>[…]</w:t>
      </w:r>
    </w:p>
    <w:p w14:paraId="36BF0445" w14:textId="77777777" w:rsidR="0010524D" w:rsidRPr="00ED4558" w:rsidRDefault="0010524D" w:rsidP="00773BC1">
      <w:pPr>
        <w:pStyle w:val="Textoindependiente"/>
        <w:spacing w:line="276" w:lineRule="auto"/>
        <w:ind w:left="1417" w:right="1417"/>
        <w:rPr>
          <w:rFonts w:ascii="ITC Avant Garde" w:hAnsi="ITC Avant Garde"/>
          <w:i/>
          <w:spacing w:val="-2"/>
          <w:sz w:val="18"/>
          <w:szCs w:val="22"/>
          <w:lang w:val="es-ES_tradnl" w:eastAsia="es-ES"/>
        </w:rPr>
      </w:pPr>
    </w:p>
    <w:p w14:paraId="5913AAE6" w14:textId="77777777" w:rsidR="0010524D" w:rsidRPr="00ED4558" w:rsidRDefault="00E82AE2" w:rsidP="00773BC1">
      <w:pPr>
        <w:pStyle w:val="Textoindependiente"/>
        <w:spacing w:line="276" w:lineRule="auto"/>
        <w:ind w:left="1417" w:right="1417"/>
        <w:rPr>
          <w:rFonts w:ascii="ITC Avant Garde" w:hAnsi="ITC Avant Garde"/>
          <w:i/>
          <w:spacing w:val="-2"/>
          <w:sz w:val="18"/>
          <w:szCs w:val="22"/>
          <w:lang w:val="es-ES_tradnl" w:eastAsia="es-ES"/>
        </w:rPr>
      </w:pPr>
      <w:r w:rsidRPr="00ED4558">
        <w:rPr>
          <w:rFonts w:ascii="ITC Avant Garde" w:hAnsi="ITC Avant Garde"/>
          <w:b/>
          <w:i/>
          <w:spacing w:val="-2"/>
          <w:sz w:val="18"/>
          <w:szCs w:val="22"/>
          <w:lang w:val="es-ES_tradnl" w:eastAsia="es-ES"/>
        </w:rPr>
        <w:t>Para efectos de lo dispuesto en el inciso b) del artículo 131 de la Ley Federal de Telecomunicaciones y Radiodifusión, y hasta en tanto los concesionarios a que se refiere ese inciso no acuerden las tarifas de interconexión correspondientes o, en su caso, el Instituto no resuelva cualquier disputa respecto de dichas tarifas, seguirán en vigor las que actualmente aplican,</w:t>
      </w:r>
      <w:r w:rsidRPr="00ED4558">
        <w:rPr>
          <w:rFonts w:ascii="ITC Avant Garde" w:hAnsi="ITC Avant Garde"/>
          <w:i/>
          <w:spacing w:val="-2"/>
          <w:sz w:val="18"/>
          <w:szCs w:val="22"/>
          <w:lang w:val="es-ES_tradnl" w:eastAsia="es-ES"/>
        </w:rPr>
        <w:t xml:space="preserve"> salvo tratándose del agente económico al que se refiere le párrafo segundo del artículo 131 de la Ley en cita, al que le será aplicable el inciso a) del mismo artículo.” (</w:t>
      </w:r>
      <w:r w:rsidR="00F3236C" w:rsidRPr="00ED4558">
        <w:rPr>
          <w:rFonts w:ascii="ITC Avant Garde" w:hAnsi="ITC Avant Garde"/>
          <w:i/>
          <w:spacing w:val="-2"/>
          <w:sz w:val="18"/>
          <w:szCs w:val="22"/>
          <w:lang w:val="es-ES_tradnl" w:eastAsia="es-ES"/>
        </w:rPr>
        <w:t>Énfasis</w:t>
      </w:r>
      <w:r w:rsidRPr="00ED4558">
        <w:rPr>
          <w:rFonts w:ascii="ITC Avant Garde" w:hAnsi="ITC Avant Garde"/>
          <w:i/>
          <w:spacing w:val="-2"/>
          <w:sz w:val="18"/>
          <w:szCs w:val="22"/>
          <w:lang w:val="es-ES_tradnl" w:eastAsia="es-ES"/>
        </w:rPr>
        <w:t xml:space="preserve"> añadido)</w:t>
      </w:r>
    </w:p>
    <w:p w14:paraId="62901F9B" w14:textId="77777777" w:rsidR="0010524D" w:rsidRPr="00ED4558" w:rsidRDefault="0010524D" w:rsidP="00773BC1">
      <w:pPr>
        <w:pStyle w:val="Textoindependiente"/>
        <w:spacing w:line="276" w:lineRule="auto"/>
        <w:ind w:left="567" w:right="615"/>
        <w:rPr>
          <w:rFonts w:ascii="ITC Avant Garde" w:hAnsi="ITC Avant Garde"/>
          <w:i/>
          <w:spacing w:val="-2"/>
          <w:szCs w:val="22"/>
          <w:lang w:val="es-ES_tradnl" w:eastAsia="es-ES"/>
        </w:rPr>
      </w:pPr>
    </w:p>
    <w:p w14:paraId="4E196648" w14:textId="77777777" w:rsidR="0010524D" w:rsidRPr="00ED4558" w:rsidRDefault="00EE47D1" w:rsidP="00773BC1">
      <w:pPr>
        <w:pStyle w:val="Textoindependiente"/>
        <w:spacing w:line="276" w:lineRule="auto"/>
        <w:rPr>
          <w:rFonts w:ascii="ITC Avant Garde" w:hAnsi="ITC Avant Garde"/>
          <w:spacing w:val="-2"/>
          <w:szCs w:val="22"/>
          <w:lang w:eastAsia="es-ES"/>
        </w:rPr>
      </w:pPr>
      <w:r w:rsidRPr="00ED4558">
        <w:rPr>
          <w:rFonts w:ascii="ITC Avant Garde" w:hAnsi="ITC Avant Garde"/>
          <w:spacing w:val="-2"/>
          <w:szCs w:val="22"/>
          <w:lang w:eastAsia="es-ES"/>
        </w:rPr>
        <w:t xml:space="preserve">Es decir, en términos de lo dispuesto por el artículo Vigésimo Transitorio del Decreto de Ley, el Instituto resolverá los diferendos que se promuevan sobre las tarifas de interconexión por servicios prestados en el 2015 con base en las tarifas </w:t>
      </w:r>
      <w:r w:rsidR="007F196A" w:rsidRPr="00ED4558">
        <w:rPr>
          <w:rFonts w:ascii="ITC Avant Garde" w:hAnsi="ITC Avant Garde"/>
          <w:spacing w:val="-2"/>
          <w:szCs w:val="22"/>
          <w:lang w:eastAsia="es-ES"/>
        </w:rPr>
        <w:t>que se determinen en la presente</w:t>
      </w:r>
      <w:r w:rsidR="00F3236C" w:rsidRPr="00ED4558">
        <w:rPr>
          <w:rFonts w:ascii="ITC Avant Garde" w:hAnsi="ITC Avant Garde"/>
          <w:spacing w:val="-2"/>
          <w:szCs w:val="22"/>
          <w:lang w:eastAsia="es-ES"/>
        </w:rPr>
        <w:t xml:space="preserve"> Resolución</w:t>
      </w:r>
      <w:r w:rsidR="007F196A" w:rsidRPr="00ED4558">
        <w:rPr>
          <w:rFonts w:ascii="ITC Avant Garde" w:hAnsi="ITC Avant Garde"/>
          <w:spacing w:val="-2"/>
          <w:szCs w:val="22"/>
          <w:lang w:eastAsia="es-ES"/>
        </w:rPr>
        <w:t xml:space="preserve">, </w:t>
      </w:r>
      <w:r w:rsidRPr="00ED4558">
        <w:rPr>
          <w:rFonts w:ascii="ITC Avant Garde" w:hAnsi="ITC Avant Garde"/>
          <w:spacing w:val="-2"/>
          <w:szCs w:val="22"/>
          <w:lang w:eastAsia="es-ES"/>
        </w:rPr>
        <w:t xml:space="preserve">mismas que serán aplicables desde su resolución; esto es, en el caso que nos ocupa, las tarifas que determine el Instituto de conformidad con el artículo 131 de la </w:t>
      </w:r>
      <w:proofErr w:type="spellStart"/>
      <w:r w:rsidRPr="00ED4558">
        <w:rPr>
          <w:rFonts w:ascii="ITC Avant Garde" w:hAnsi="ITC Avant Garde"/>
          <w:spacing w:val="-2"/>
          <w:szCs w:val="22"/>
          <w:lang w:eastAsia="es-ES"/>
        </w:rPr>
        <w:t>LFTyR</w:t>
      </w:r>
      <w:proofErr w:type="spellEnd"/>
      <w:r w:rsidRPr="00ED4558">
        <w:rPr>
          <w:rFonts w:ascii="ITC Avant Garde" w:hAnsi="ITC Avant Garde"/>
          <w:spacing w:val="-2"/>
          <w:szCs w:val="22"/>
          <w:lang w:eastAsia="es-ES"/>
        </w:rPr>
        <w:t xml:space="preserve"> serán aplicables</w:t>
      </w:r>
      <w:r w:rsidR="00E82AE2" w:rsidRPr="00ED4558">
        <w:rPr>
          <w:rFonts w:ascii="ITC Avant Garde" w:hAnsi="ITC Avant Garde"/>
          <w:spacing w:val="-2"/>
          <w:szCs w:val="22"/>
          <w:lang w:eastAsia="es-ES"/>
        </w:rPr>
        <w:t xml:space="preserve"> </w:t>
      </w:r>
      <w:r w:rsidR="00864B7D" w:rsidRPr="00ED4558">
        <w:rPr>
          <w:rFonts w:ascii="ITC Avant Garde" w:hAnsi="ITC Avant Garde"/>
          <w:spacing w:val="-2"/>
          <w:szCs w:val="22"/>
          <w:lang w:eastAsia="es-ES"/>
        </w:rPr>
        <w:t xml:space="preserve">a partir de  </w:t>
      </w:r>
      <w:r w:rsidR="00436B02" w:rsidRPr="00ED4558">
        <w:rPr>
          <w:rFonts w:ascii="ITC Avant Garde" w:hAnsi="ITC Avant Garde"/>
          <w:spacing w:val="-2"/>
          <w:szCs w:val="22"/>
          <w:lang w:eastAsia="es-ES"/>
        </w:rPr>
        <w:t>ese momento</w:t>
      </w:r>
      <w:r w:rsidR="00E82AE2" w:rsidRPr="00ED4558">
        <w:rPr>
          <w:rFonts w:ascii="ITC Avant Garde" w:hAnsi="ITC Avant Garde"/>
          <w:spacing w:val="-2"/>
          <w:szCs w:val="22"/>
          <w:lang w:eastAsia="es-ES"/>
        </w:rPr>
        <w:t>.</w:t>
      </w:r>
    </w:p>
    <w:p w14:paraId="3F75C45A" w14:textId="77777777" w:rsidR="0010524D" w:rsidRPr="00ED4558" w:rsidRDefault="0010524D" w:rsidP="00773BC1">
      <w:pPr>
        <w:pStyle w:val="Textoindependiente"/>
        <w:spacing w:line="276" w:lineRule="auto"/>
        <w:rPr>
          <w:rFonts w:ascii="ITC Avant Garde" w:hAnsi="ITC Avant Garde"/>
          <w:spacing w:val="-2"/>
          <w:szCs w:val="22"/>
          <w:lang w:eastAsia="es-ES"/>
        </w:rPr>
      </w:pPr>
    </w:p>
    <w:p w14:paraId="23FA95A0" w14:textId="77777777" w:rsidR="0010524D" w:rsidRPr="00ED4558" w:rsidRDefault="00E82AE2" w:rsidP="00773BC1">
      <w:pPr>
        <w:spacing w:after="0"/>
        <w:jc w:val="both"/>
        <w:rPr>
          <w:rFonts w:ascii="ITC Avant Garde" w:hAnsi="ITC Avant Garde"/>
        </w:rPr>
      </w:pPr>
      <w:r w:rsidRPr="00ED4558">
        <w:rPr>
          <w:rFonts w:ascii="ITC Avant Garde" w:hAnsi="ITC Avant Garde"/>
        </w:rPr>
        <w:t>Cabe señalar que el mismo artículo Vigésimo Transitorio</w:t>
      </w:r>
      <w:r w:rsidR="00864B7D" w:rsidRPr="00ED4558">
        <w:rPr>
          <w:rFonts w:ascii="ITC Avant Garde" w:hAnsi="ITC Avant Garde"/>
        </w:rPr>
        <w:t xml:space="preserve"> del Decreto de Ley</w:t>
      </w:r>
      <w:r w:rsidRPr="00ED4558">
        <w:rPr>
          <w:rFonts w:ascii="ITC Avant Garde" w:hAnsi="ITC Avant Garde"/>
        </w:rPr>
        <w:t xml:space="preserve">, a fin de dotar de certeza jurídica contempla que hasta en tanto el Instituto no determine una tarifa de conformidad con lo señalado en el párrafo anterior, o los concesionarios </w:t>
      </w:r>
      <w:r w:rsidRPr="00ED4558">
        <w:rPr>
          <w:rFonts w:ascii="ITC Avant Garde" w:hAnsi="ITC Avant Garde"/>
        </w:rPr>
        <w:lastRenderedPageBreak/>
        <w:t xml:space="preserve">convengan una tarifa, seguirán en vigor las que </w:t>
      </w:r>
      <w:r w:rsidR="007422A3" w:rsidRPr="00ED4558">
        <w:rPr>
          <w:rFonts w:ascii="ITC Avant Garde" w:hAnsi="ITC Avant Garde"/>
        </w:rPr>
        <w:t>“</w:t>
      </w:r>
      <w:r w:rsidRPr="00ED4558">
        <w:rPr>
          <w:rFonts w:ascii="ITC Avant Garde" w:hAnsi="ITC Avant Garde"/>
        </w:rPr>
        <w:t>actualmente aplican</w:t>
      </w:r>
      <w:r w:rsidR="007422A3" w:rsidRPr="00ED4558">
        <w:rPr>
          <w:rFonts w:ascii="ITC Avant Garde" w:hAnsi="ITC Avant Garde"/>
        </w:rPr>
        <w:t>”, es decir, las aplicables al periodo previo a la determinación de las tarifas.</w:t>
      </w:r>
    </w:p>
    <w:p w14:paraId="5F4AE84D" w14:textId="77777777" w:rsidR="0010524D" w:rsidRPr="00ED4558" w:rsidRDefault="0010524D" w:rsidP="002F2291">
      <w:pPr>
        <w:spacing w:after="0"/>
        <w:jc w:val="both"/>
        <w:rPr>
          <w:rFonts w:ascii="ITC Avant Garde" w:hAnsi="ITC Avant Garde"/>
        </w:rPr>
      </w:pPr>
    </w:p>
    <w:p w14:paraId="57BEAF42" w14:textId="77777777" w:rsidR="0010524D" w:rsidRPr="00ED4558" w:rsidRDefault="00E82AE2" w:rsidP="004A259C">
      <w:pPr>
        <w:jc w:val="both"/>
        <w:rPr>
          <w:rFonts w:ascii="ITC Avant Garde" w:hAnsi="ITC Avant Garde"/>
        </w:rPr>
      </w:pPr>
      <w:r w:rsidRPr="00ED4558">
        <w:rPr>
          <w:rFonts w:ascii="ITC Avant Garde" w:hAnsi="ITC Avant Garde"/>
        </w:rPr>
        <w:t xml:space="preserve">Para estos efectos, por lo que hace al periodo </w:t>
      </w:r>
      <w:r w:rsidR="00653AA8" w:rsidRPr="00ED4558">
        <w:rPr>
          <w:rFonts w:ascii="ITC Avant Garde" w:hAnsi="ITC Avant Garde"/>
        </w:rPr>
        <w:t xml:space="preserve">comprendido </w:t>
      </w:r>
      <w:r w:rsidR="00BB7ADB" w:rsidRPr="00ED4558">
        <w:rPr>
          <w:rFonts w:ascii="ITC Avant Garde" w:hAnsi="ITC Avant Garde"/>
        </w:rPr>
        <w:t xml:space="preserve">desde el 1 de enero de 2015 hasta el </w:t>
      </w:r>
      <w:r w:rsidR="000F5B9F" w:rsidRPr="00ED4558">
        <w:rPr>
          <w:rFonts w:ascii="ITC Avant Garde" w:hAnsi="ITC Avant Garde"/>
        </w:rPr>
        <w:t>25</w:t>
      </w:r>
      <w:r w:rsidR="002F2291" w:rsidRPr="00ED4558">
        <w:rPr>
          <w:rFonts w:ascii="ITC Avant Garde" w:hAnsi="ITC Avant Garde"/>
        </w:rPr>
        <w:t xml:space="preserve"> </w:t>
      </w:r>
      <w:r w:rsidR="00F90C9A" w:rsidRPr="00ED4558">
        <w:rPr>
          <w:rFonts w:ascii="ITC Avant Garde" w:hAnsi="ITC Avant Garde"/>
        </w:rPr>
        <w:t xml:space="preserve">de </w:t>
      </w:r>
      <w:r w:rsidR="000F5B9F" w:rsidRPr="00ED4558">
        <w:rPr>
          <w:rFonts w:ascii="ITC Avant Garde" w:hAnsi="ITC Avant Garde"/>
        </w:rPr>
        <w:t>noviembre</w:t>
      </w:r>
      <w:r w:rsidR="00BB7ADB" w:rsidRPr="00ED4558">
        <w:rPr>
          <w:rFonts w:ascii="ITC Avant Garde" w:hAnsi="ITC Avant Garde"/>
        </w:rPr>
        <w:t xml:space="preserve"> de 2015</w:t>
      </w:r>
      <w:r w:rsidRPr="00ED4558">
        <w:rPr>
          <w:rFonts w:ascii="ITC Avant Garde" w:hAnsi="ITC Avant Garde"/>
        </w:rPr>
        <w:t xml:space="preserve">, </w:t>
      </w:r>
      <w:r w:rsidR="00436B02" w:rsidRPr="00ED4558">
        <w:rPr>
          <w:rFonts w:ascii="ITC Avant Garde" w:hAnsi="ITC Avant Garde"/>
        </w:rPr>
        <w:t xml:space="preserve">en términos del segundo párrafo del artículo Vigésimo Transitorio </w:t>
      </w:r>
      <w:r w:rsidR="002F2291" w:rsidRPr="00ED4558">
        <w:rPr>
          <w:rFonts w:ascii="ITC Avant Garde" w:hAnsi="ITC Avant Garde"/>
        </w:rPr>
        <w:t>del Decreto de Ley, deberá hacer extensiva la tarifa aplicable a la entrada en vigor de la Ley Federal de Telecomunicaciones y Radiodifusión.</w:t>
      </w:r>
      <w:bookmarkEnd w:id="7"/>
    </w:p>
    <w:p w14:paraId="49565649" w14:textId="77777777" w:rsidR="00D7401D" w:rsidRPr="00ED4558" w:rsidRDefault="008C4403" w:rsidP="00773BC1">
      <w:pPr>
        <w:spacing w:after="0"/>
        <w:jc w:val="both"/>
        <w:rPr>
          <w:rFonts w:ascii="ITC Avant Garde" w:hAnsi="ITC Avant Garde"/>
        </w:rPr>
      </w:pPr>
      <w:r w:rsidRPr="00ED4558">
        <w:rPr>
          <w:rFonts w:ascii="ITC Avant Garde" w:eastAsia="Times New Roman" w:hAnsi="ITC Avant Garde"/>
          <w:b/>
          <w:lang w:eastAsia="es-ES"/>
        </w:rPr>
        <w:t xml:space="preserve">SEXTO.- Valoración de pruebas. </w:t>
      </w:r>
      <w:r w:rsidR="00D7401D" w:rsidRPr="00ED4558">
        <w:rPr>
          <w:rFonts w:ascii="ITC Avant Garde" w:hAnsi="ITC Avant Garde"/>
        </w:rPr>
        <w:t>En términos generales la prueba es el medio de demostración de la realidad de un hecho o de la existencia de un acto. Es así que dentro del procedimiento de mérito, la prueba cumple la siguiente función: i) fija los hechos materia del desacuerdo, ii) generar certeza acerca de las afirmaciones y alegaciones de los concesionarios sujetos del desacuerdo.</w:t>
      </w:r>
    </w:p>
    <w:p w14:paraId="10390A29" w14:textId="77777777" w:rsidR="00BB19FF" w:rsidRPr="00ED4558" w:rsidRDefault="00BB19FF" w:rsidP="00773BC1">
      <w:pPr>
        <w:spacing w:after="0"/>
        <w:jc w:val="both"/>
        <w:rPr>
          <w:rFonts w:ascii="ITC Avant Garde" w:hAnsi="ITC Avant Garde"/>
        </w:rPr>
      </w:pPr>
    </w:p>
    <w:p w14:paraId="77477FFD" w14:textId="77777777" w:rsidR="007B6073" w:rsidRPr="00ED4558" w:rsidRDefault="007B6073" w:rsidP="00773BC1">
      <w:pPr>
        <w:spacing w:after="0"/>
        <w:jc w:val="both"/>
        <w:rPr>
          <w:rFonts w:ascii="ITC Avant Garde" w:hAnsi="ITC Avant Garde"/>
        </w:rPr>
      </w:pPr>
      <w:r w:rsidRPr="00ED4558">
        <w:rPr>
          <w:rFonts w:ascii="ITC Avant Garde" w:hAnsi="ITC Avant Garde"/>
        </w:rPr>
        <w:t>Por su parte la LFPA y el C</w:t>
      </w:r>
      <w:r w:rsidR="00BB19FF" w:rsidRPr="00ED4558">
        <w:rPr>
          <w:rFonts w:ascii="ITC Avant Garde" w:hAnsi="ITC Avant Garde"/>
        </w:rPr>
        <w:t xml:space="preserve">ódigo </w:t>
      </w:r>
      <w:r w:rsidRPr="00ED4558">
        <w:rPr>
          <w:rFonts w:ascii="ITC Avant Garde" w:hAnsi="ITC Avant Garde"/>
        </w:rPr>
        <w:t>F</w:t>
      </w:r>
      <w:r w:rsidR="00BB19FF" w:rsidRPr="00ED4558">
        <w:rPr>
          <w:rFonts w:ascii="ITC Avant Garde" w:hAnsi="ITC Avant Garde"/>
        </w:rPr>
        <w:t xml:space="preserve">ederal de </w:t>
      </w:r>
      <w:r w:rsidRPr="00ED4558">
        <w:rPr>
          <w:rFonts w:ascii="ITC Avant Garde" w:hAnsi="ITC Avant Garde"/>
        </w:rPr>
        <w:t>P</w:t>
      </w:r>
      <w:r w:rsidR="00BB19FF" w:rsidRPr="00ED4558">
        <w:rPr>
          <w:rFonts w:ascii="ITC Avant Garde" w:hAnsi="ITC Avant Garde"/>
        </w:rPr>
        <w:t xml:space="preserve">rocedimientos </w:t>
      </w:r>
      <w:r w:rsidRPr="00ED4558">
        <w:rPr>
          <w:rFonts w:ascii="ITC Avant Garde" w:hAnsi="ITC Avant Garde"/>
        </w:rPr>
        <w:t>C</w:t>
      </w:r>
      <w:r w:rsidR="00BB19FF" w:rsidRPr="00ED4558">
        <w:rPr>
          <w:rFonts w:ascii="ITC Avant Garde" w:hAnsi="ITC Avant Garde"/>
        </w:rPr>
        <w:t>iviles (en lo sucesivo, el “CFPC”)</w:t>
      </w:r>
      <w:r w:rsidRPr="00ED4558">
        <w:rPr>
          <w:rFonts w:ascii="ITC Avant Garde" w:hAnsi="ITC Avant Garde"/>
        </w:rPr>
        <w:t xml:space="preserve"> establecen que en los procedimientos administrativos se admitirán toda clase de pruebas, excepto la confesional de las autoridades. Asimismo, establece en cuanto a su valoración que la autoridad goza de la más amplia libertad para hacer el análisis de las pruebas rendidas; para determinar el valor de las mismas, y para fijar el resultado final de dicha valuación. </w:t>
      </w:r>
    </w:p>
    <w:p w14:paraId="0D05F67D" w14:textId="77777777" w:rsidR="007B6073" w:rsidRPr="00ED4558" w:rsidRDefault="007B6073" w:rsidP="00773BC1">
      <w:pPr>
        <w:spacing w:after="0"/>
        <w:jc w:val="both"/>
        <w:rPr>
          <w:rFonts w:ascii="ITC Avant Garde" w:hAnsi="ITC Avant Garde"/>
        </w:rPr>
      </w:pPr>
    </w:p>
    <w:p w14:paraId="38CDCA57" w14:textId="4A35ADA3" w:rsidR="004D181A" w:rsidRPr="00ED4558" w:rsidRDefault="00E12FDA" w:rsidP="00773BC1">
      <w:pPr>
        <w:spacing w:after="0"/>
        <w:ind w:right="20"/>
        <w:jc w:val="both"/>
        <w:rPr>
          <w:rFonts w:ascii="ITC Avant Garde" w:hAnsi="ITC Avant Garde"/>
        </w:rPr>
      </w:pPr>
      <w:r w:rsidRPr="00ED4558">
        <w:rPr>
          <w:rFonts w:ascii="ITC Avant Garde" w:hAnsi="ITC Avant Garde"/>
        </w:rPr>
        <w:t xml:space="preserve">En ese sentido, respecto a las pruebas ofrecidas por </w:t>
      </w:r>
      <w:r w:rsidR="00C156DB" w:rsidRPr="00ED4558">
        <w:rPr>
          <w:rFonts w:ascii="ITC Avant Garde" w:hAnsi="ITC Avant Garde"/>
        </w:rPr>
        <w:t xml:space="preserve">Cablevisión Red </w:t>
      </w:r>
      <w:r w:rsidRPr="00ED4558">
        <w:rPr>
          <w:rFonts w:ascii="ITC Avant Garde" w:hAnsi="ITC Avant Garde"/>
        </w:rPr>
        <w:t xml:space="preserve">dado que Telcel no ofreció </w:t>
      </w:r>
      <w:r w:rsidR="003A67E0" w:rsidRPr="00ED4558">
        <w:rPr>
          <w:rFonts w:ascii="ITC Avant Garde" w:hAnsi="ITC Avant Garde"/>
        </w:rPr>
        <w:t>pruebas</w:t>
      </w:r>
      <w:r w:rsidRPr="00ED4558">
        <w:rPr>
          <w:rFonts w:ascii="ITC Avant Garde" w:hAnsi="ITC Avant Garde"/>
        </w:rPr>
        <w:t xml:space="preserve"> en el procedimiento de mérito, este instituto valora las mismas de </w:t>
      </w:r>
      <w:proofErr w:type="gramStart"/>
      <w:r w:rsidRPr="00ED4558">
        <w:rPr>
          <w:rFonts w:ascii="ITC Avant Garde" w:hAnsi="ITC Avant Garde"/>
        </w:rPr>
        <w:t>la  siguiente</w:t>
      </w:r>
      <w:proofErr w:type="gramEnd"/>
      <w:r w:rsidRPr="00ED4558">
        <w:rPr>
          <w:rFonts w:ascii="ITC Avant Garde" w:hAnsi="ITC Avant Garde"/>
        </w:rPr>
        <w:t xml:space="preserve"> manera:</w:t>
      </w:r>
    </w:p>
    <w:p w14:paraId="49D83689" w14:textId="77777777" w:rsidR="00E12FDA" w:rsidRPr="00ED4558" w:rsidRDefault="00E12FDA" w:rsidP="00773BC1">
      <w:pPr>
        <w:spacing w:after="0"/>
        <w:ind w:right="20"/>
        <w:jc w:val="both"/>
        <w:rPr>
          <w:rFonts w:ascii="ITC Avant Garde" w:hAnsi="ITC Avant Garde"/>
          <w:szCs w:val="24"/>
        </w:rPr>
      </w:pPr>
    </w:p>
    <w:p w14:paraId="06B0F1D3" w14:textId="77777777" w:rsidR="00E12FDA" w:rsidRPr="00ED4558" w:rsidRDefault="00E12FDA" w:rsidP="00E12FDA">
      <w:pPr>
        <w:widowControl w:val="0"/>
        <w:spacing w:after="0"/>
        <w:jc w:val="both"/>
        <w:rPr>
          <w:rFonts w:ascii="ITC Avant Garde" w:eastAsia="Times New Roman" w:hAnsi="ITC Avant Garde"/>
          <w:b/>
          <w:bCs/>
          <w:u w:val="single"/>
        </w:rPr>
      </w:pPr>
      <w:r w:rsidRPr="00ED4558">
        <w:rPr>
          <w:rFonts w:ascii="ITC Avant Garde" w:eastAsia="Times New Roman" w:hAnsi="ITC Avant Garde"/>
          <w:b/>
          <w:bCs/>
          <w:u w:val="single"/>
        </w:rPr>
        <w:t>Pericial</w:t>
      </w:r>
    </w:p>
    <w:p w14:paraId="4D39ED24" w14:textId="77777777" w:rsidR="00E12FDA" w:rsidRPr="00ED4558" w:rsidRDefault="00E12FDA" w:rsidP="00E12FDA">
      <w:pPr>
        <w:widowControl w:val="0"/>
        <w:spacing w:after="0"/>
        <w:jc w:val="both"/>
        <w:rPr>
          <w:rFonts w:ascii="ITC Avant Garde" w:eastAsia="Times New Roman" w:hAnsi="ITC Avant Garde"/>
          <w:b/>
          <w:bCs/>
        </w:rPr>
      </w:pPr>
      <w:r w:rsidRPr="00ED4558">
        <w:rPr>
          <w:rFonts w:ascii="ITC Avant Garde" w:eastAsia="Times New Roman" w:hAnsi="ITC Avant Garde"/>
          <w:b/>
          <w:bCs/>
        </w:rPr>
        <w:t>Referente a la prueba pericial en materia de economía ofrecida por</w:t>
      </w:r>
      <w:r w:rsidR="004167E7" w:rsidRPr="00ED4558">
        <w:rPr>
          <w:rFonts w:ascii="ITC Avant Garde" w:eastAsia="Times New Roman" w:hAnsi="ITC Avant Garde"/>
          <w:b/>
          <w:bCs/>
        </w:rPr>
        <w:t xml:space="preserve"> </w:t>
      </w:r>
      <w:r w:rsidR="0061113D" w:rsidRPr="00ED4558">
        <w:rPr>
          <w:rFonts w:ascii="ITC Avant Garde" w:eastAsia="Times New Roman" w:hAnsi="ITC Avant Garde"/>
          <w:b/>
          <w:bCs/>
        </w:rPr>
        <w:t>Cablevisión Red</w:t>
      </w:r>
      <w:r w:rsidRPr="00ED4558">
        <w:rPr>
          <w:rFonts w:ascii="ITC Avant Garde" w:eastAsia="Times New Roman" w:hAnsi="ITC Avant Garde"/>
          <w:b/>
          <w:bCs/>
        </w:rPr>
        <w:t>, este Instituto valora la misma en los siguientes términos:</w:t>
      </w:r>
    </w:p>
    <w:p w14:paraId="424B4E7A" w14:textId="77777777" w:rsidR="00E12FDA" w:rsidRPr="00ED4558" w:rsidRDefault="00E12FDA" w:rsidP="00E12FDA">
      <w:pPr>
        <w:widowControl w:val="0"/>
        <w:spacing w:after="0"/>
        <w:jc w:val="both"/>
        <w:rPr>
          <w:rFonts w:ascii="ITC Avant Garde" w:eastAsia="Times New Roman" w:hAnsi="ITC Avant Garde"/>
          <w:b/>
          <w:bCs/>
        </w:rPr>
      </w:pPr>
    </w:p>
    <w:p w14:paraId="5E0E7456" w14:textId="77777777" w:rsidR="004D181A" w:rsidRPr="00ED4558" w:rsidRDefault="00E12FDA" w:rsidP="00E12FDA">
      <w:pPr>
        <w:widowControl w:val="0"/>
        <w:spacing w:after="0"/>
        <w:jc w:val="both"/>
        <w:rPr>
          <w:rFonts w:ascii="ITC Avant Garde" w:eastAsia="Times New Roman" w:hAnsi="ITC Avant Garde"/>
          <w:b/>
          <w:bCs/>
        </w:rPr>
      </w:pPr>
      <w:r w:rsidRPr="00ED4558">
        <w:rPr>
          <w:rFonts w:ascii="ITC Avant Garde" w:eastAsia="Times New Roman" w:hAnsi="ITC Avant Garde"/>
          <w:b/>
          <w:bCs/>
        </w:rPr>
        <w:t xml:space="preserve">Preguntas en materia económica propuestas por </w:t>
      </w:r>
      <w:r w:rsidR="0061113D" w:rsidRPr="00ED4558">
        <w:rPr>
          <w:rFonts w:ascii="ITC Avant Garde" w:eastAsia="Times New Roman" w:hAnsi="ITC Avant Garde"/>
          <w:b/>
          <w:bCs/>
        </w:rPr>
        <w:t>Cablevisión Red</w:t>
      </w:r>
      <w:r w:rsidRPr="00ED4558">
        <w:rPr>
          <w:rFonts w:ascii="ITC Avant Garde" w:eastAsia="Times New Roman" w:hAnsi="ITC Avant Garde"/>
          <w:b/>
          <w:bCs/>
        </w:rPr>
        <w:t>.</w:t>
      </w:r>
    </w:p>
    <w:p w14:paraId="6B91F529" w14:textId="77777777" w:rsidR="004D181A" w:rsidRPr="00ED4558" w:rsidRDefault="004D181A" w:rsidP="00773BC1">
      <w:pPr>
        <w:spacing w:after="0"/>
        <w:ind w:right="20"/>
        <w:jc w:val="both"/>
        <w:rPr>
          <w:rFonts w:ascii="ITC Avant Garde" w:hAnsi="ITC Avant Garde"/>
          <w:szCs w:val="24"/>
        </w:rPr>
      </w:pPr>
    </w:p>
    <w:p w14:paraId="597711A4" w14:textId="77777777" w:rsidR="004D181A" w:rsidRPr="00ED4558" w:rsidRDefault="004D181A" w:rsidP="00773BC1">
      <w:pPr>
        <w:widowControl w:val="0"/>
        <w:spacing w:after="0"/>
        <w:jc w:val="both"/>
        <w:rPr>
          <w:rFonts w:ascii="ITC Avant Garde" w:eastAsia="Times New Roman" w:hAnsi="ITC Avant Garde"/>
          <w:b/>
        </w:rPr>
      </w:pPr>
      <w:r w:rsidRPr="00ED4558">
        <w:rPr>
          <w:rFonts w:ascii="ITC Avant Garde" w:eastAsia="Times New Roman" w:hAnsi="ITC Avant Garde"/>
          <w:b/>
        </w:rPr>
        <w:t>Pregunta 1.</w:t>
      </w:r>
      <w:r w:rsidR="00F92236" w:rsidRPr="00ED4558">
        <w:rPr>
          <w:rFonts w:ascii="ITC Avant Garde" w:eastAsia="Times New Roman" w:hAnsi="ITC Avant Garde"/>
        </w:rPr>
        <w:t xml:space="preserve"> Se solicitó al perito</w:t>
      </w:r>
      <w:r w:rsidRPr="00ED4558">
        <w:rPr>
          <w:rFonts w:ascii="ITC Avant Garde" w:eastAsia="Times New Roman" w:hAnsi="ITC Avant Garde"/>
        </w:rPr>
        <w:t xml:space="preserve"> mencionar qué debe entenderse por regulación asimétrica en tarifas de interconexión.</w:t>
      </w:r>
    </w:p>
    <w:p w14:paraId="47ECA236" w14:textId="77777777" w:rsidR="004D181A" w:rsidRPr="00ED4558" w:rsidRDefault="004D181A" w:rsidP="00773BC1">
      <w:pPr>
        <w:widowControl w:val="0"/>
        <w:spacing w:after="0"/>
        <w:jc w:val="both"/>
        <w:rPr>
          <w:rFonts w:ascii="ITC Avant Garde" w:eastAsia="Times New Roman" w:hAnsi="ITC Avant Garde"/>
        </w:rPr>
      </w:pPr>
    </w:p>
    <w:p w14:paraId="5C17BF17" w14:textId="77777777" w:rsidR="004D181A" w:rsidRPr="00ED4558" w:rsidRDefault="004D181A" w:rsidP="00773BC1">
      <w:pPr>
        <w:widowControl w:val="0"/>
        <w:spacing w:after="0"/>
        <w:jc w:val="both"/>
        <w:rPr>
          <w:rFonts w:ascii="ITC Avant Garde" w:eastAsia="Times New Roman" w:hAnsi="ITC Avant Garde"/>
        </w:rPr>
      </w:pPr>
      <w:r w:rsidRPr="00ED4558">
        <w:rPr>
          <w:rFonts w:ascii="ITC Avant Garde" w:eastAsia="Times New Roman" w:hAnsi="ITC Avant Garde"/>
        </w:rPr>
        <w:t xml:space="preserve">El perito de </w:t>
      </w:r>
      <w:r w:rsidR="0061113D" w:rsidRPr="00ED4558">
        <w:rPr>
          <w:rFonts w:ascii="ITC Avant Garde" w:eastAsia="Times New Roman" w:hAnsi="ITC Avant Garde"/>
        </w:rPr>
        <w:t xml:space="preserve">Cablevisión Red </w:t>
      </w:r>
      <w:r w:rsidRPr="00ED4558">
        <w:rPr>
          <w:rFonts w:ascii="ITC Avant Garde" w:eastAsia="Times New Roman" w:hAnsi="ITC Avant Garde"/>
        </w:rPr>
        <w:t xml:space="preserve">respondió que la regulación se refiere a normas o reglas de aplicación general para todas las empresas en determinado sector, sin embargo, en algunos casos estas reglas no son suficientes para que los operadores puedan competir realmente. Por consiguiente bajo una regulación asimétrica las empresas son sujetas a diferentes niveles de restricciones regulatorias. En el caso de la infraestructura se pueden imponer distintas tarifas a los operadores considerando el tamaño de su red, </w:t>
      </w:r>
      <w:r w:rsidRPr="00ED4558">
        <w:rPr>
          <w:rFonts w:ascii="ITC Avant Garde" w:eastAsia="Times New Roman" w:hAnsi="ITC Avant Garde"/>
        </w:rPr>
        <w:lastRenderedPageBreak/>
        <w:t>participación de mercado, entre otros. Los operadores de mayor participación de mercado están obligados a cobrar una tarifa de interconexión menor que aquellos con diferentes características. De lo que se concluye que la regulación asimétrica es la aplicación diferenciada de las restricciones regulatorias.</w:t>
      </w:r>
    </w:p>
    <w:p w14:paraId="160ACE84" w14:textId="77777777" w:rsidR="004D181A" w:rsidRPr="00ED4558" w:rsidRDefault="004D181A" w:rsidP="00773BC1">
      <w:pPr>
        <w:widowControl w:val="0"/>
        <w:tabs>
          <w:tab w:val="left" w:pos="7965"/>
        </w:tabs>
        <w:spacing w:after="0"/>
        <w:jc w:val="both"/>
        <w:rPr>
          <w:rFonts w:ascii="ITC Avant Garde" w:eastAsia="Times New Roman" w:hAnsi="ITC Avant Garde"/>
        </w:rPr>
      </w:pPr>
      <w:r w:rsidRPr="00ED4558">
        <w:rPr>
          <w:rFonts w:ascii="ITC Avant Garde" w:eastAsia="Times New Roman" w:hAnsi="ITC Avant Garde"/>
        </w:rPr>
        <w:tab/>
      </w:r>
    </w:p>
    <w:p w14:paraId="37A16CC7" w14:textId="77777777" w:rsidR="004D181A" w:rsidRPr="00ED4558" w:rsidRDefault="004D181A" w:rsidP="00773BC1">
      <w:pPr>
        <w:widowControl w:val="0"/>
        <w:spacing w:after="0"/>
        <w:jc w:val="both"/>
        <w:rPr>
          <w:rFonts w:ascii="ITC Avant Garde" w:eastAsia="Times New Roman" w:hAnsi="ITC Avant Garde"/>
          <w:szCs w:val="24"/>
        </w:rPr>
      </w:pPr>
      <w:r w:rsidRPr="00ED4558">
        <w:rPr>
          <w:rFonts w:ascii="ITC Avant Garde" w:eastAsia="Times New Roman" w:hAnsi="ITC Avant Garde"/>
          <w:szCs w:val="24"/>
        </w:rPr>
        <w:t xml:space="preserve">Este Instituto coincide con el perito de </w:t>
      </w:r>
      <w:r w:rsidR="0061113D" w:rsidRPr="00ED4558">
        <w:rPr>
          <w:rFonts w:ascii="ITC Avant Garde" w:eastAsia="Times New Roman" w:hAnsi="ITC Avant Garde"/>
          <w:szCs w:val="24"/>
        </w:rPr>
        <w:t xml:space="preserve">Cablevisión Red </w:t>
      </w:r>
      <w:r w:rsidRPr="00ED4558">
        <w:rPr>
          <w:rFonts w:ascii="ITC Avant Garde" w:eastAsia="Times New Roman" w:hAnsi="ITC Avant Garde"/>
          <w:szCs w:val="24"/>
        </w:rPr>
        <w:t>en el sentido de que la regulación asimétrica implica establecer obligaciones diferentes a las establecidas al resto del mercado a aquellos operadores, que bajo los marcos regulatorios de cada país, son considerados con poder significativo del mercado.</w:t>
      </w:r>
      <w:r w:rsidRPr="00ED4558">
        <w:t xml:space="preserve"> </w:t>
      </w:r>
    </w:p>
    <w:p w14:paraId="46D6EB6E" w14:textId="77777777" w:rsidR="004D181A" w:rsidRPr="00ED4558" w:rsidRDefault="004D181A" w:rsidP="00773BC1">
      <w:pPr>
        <w:spacing w:after="0"/>
        <w:ind w:right="20"/>
        <w:jc w:val="both"/>
        <w:rPr>
          <w:rFonts w:ascii="ITC Avant Garde" w:hAnsi="ITC Avant Garde"/>
          <w:szCs w:val="24"/>
        </w:rPr>
      </w:pPr>
    </w:p>
    <w:p w14:paraId="3E12AC55" w14:textId="77777777" w:rsidR="004D181A" w:rsidRPr="00ED4558" w:rsidRDefault="004D181A" w:rsidP="00773BC1">
      <w:pPr>
        <w:spacing w:after="0"/>
        <w:ind w:right="20"/>
        <w:jc w:val="both"/>
        <w:rPr>
          <w:rFonts w:ascii="ITC Avant Garde" w:eastAsia="Times New Roman" w:hAnsi="ITC Avant Garde"/>
        </w:rPr>
      </w:pPr>
      <w:r w:rsidRPr="00ED4558">
        <w:rPr>
          <w:rFonts w:ascii="ITC Avant Garde" w:eastAsia="Times New Roman" w:hAnsi="ITC Avant Garde"/>
          <w:b/>
        </w:rPr>
        <w:t xml:space="preserve">Pregunta 2. </w:t>
      </w:r>
      <w:r w:rsidR="00F92236" w:rsidRPr="00ED4558">
        <w:rPr>
          <w:rFonts w:ascii="ITC Avant Garde" w:eastAsia="Times New Roman" w:hAnsi="ITC Avant Garde"/>
        </w:rPr>
        <w:t>Se solicitó al perito</w:t>
      </w:r>
      <w:r w:rsidRPr="00ED4558">
        <w:rPr>
          <w:rFonts w:ascii="ITC Avant Garde" w:eastAsia="Times New Roman" w:hAnsi="ITC Avant Garde"/>
        </w:rPr>
        <w:t xml:space="preserve"> explicar cuál es la experiencia internacional con la aplicación de tarifas asimétricas de interconexión.</w:t>
      </w:r>
    </w:p>
    <w:p w14:paraId="6D6A1CC2" w14:textId="77777777" w:rsidR="004D181A" w:rsidRPr="00ED4558" w:rsidRDefault="004D181A" w:rsidP="00773BC1">
      <w:pPr>
        <w:spacing w:after="0"/>
        <w:ind w:right="20"/>
        <w:jc w:val="both"/>
        <w:rPr>
          <w:rFonts w:ascii="ITC Avant Garde" w:eastAsia="Times New Roman" w:hAnsi="ITC Avant Garde"/>
        </w:rPr>
      </w:pPr>
    </w:p>
    <w:p w14:paraId="1ADE1D30" w14:textId="77777777" w:rsidR="004D181A" w:rsidRPr="00ED4558" w:rsidRDefault="004D181A" w:rsidP="00773BC1">
      <w:pPr>
        <w:spacing w:after="0"/>
        <w:ind w:right="20"/>
        <w:jc w:val="both"/>
        <w:rPr>
          <w:rFonts w:ascii="ITC Avant Garde" w:eastAsia="Times New Roman" w:hAnsi="ITC Avant Garde"/>
        </w:rPr>
      </w:pPr>
      <w:r w:rsidRPr="00ED4558">
        <w:rPr>
          <w:rFonts w:ascii="ITC Avant Garde" w:eastAsia="Times New Roman" w:hAnsi="ITC Avant Garde"/>
        </w:rPr>
        <w:t>El perito de</w:t>
      </w:r>
      <w:r w:rsidR="009C1423" w:rsidRPr="00ED4558">
        <w:rPr>
          <w:rFonts w:ascii="ITC Avant Garde" w:eastAsia="Times New Roman" w:hAnsi="ITC Avant Garde"/>
        </w:rPr>
        <w:t xml:space="preserve"> </w:t>
      </w:r>
      <w:r w:rsidR="0061113D" w:rsidRPr="00ED4558">
        <w:rPr>
          <w:rFonts w:ascii="ITC Avant Garde" w:eastAsia="Times New Roman" w:hAnsi="ITC Avant Garde"/>
        </w:rPr>
        <w:t xml:space="preserve">Cablevisión Red </w:t>
      </w:r>
      <w:r w:rsidRPr="00ED4558">
        <w:rPr>
          <w:rFonts w:ascii="ITC Avant Garde" w:eastAsia="Times New Roman" w:hAnsi="ITC Avant Garde"/>
        </w:rPr>
        <w:t>señaló que países con características similares al mercado mexicano han implementado un régimen de tarifas asimétricas con la intención de fomentar la entrada de nuevos operadores al mercado y consolidarse como nuevas opciones para los competidores.</w:t>
      </w:r>
    </w:p>
    <w:p w14:paraId="561284B1" w14:textId="77777777" w:rsidR="00B92370" w:rsidRPr="00ED4558" w:rsidRDefault="00B92370" w:rsidP="00773BC1">
      <w:pPr>
        <w:spacing w:after="0"/>
        <w:ind w:right="20"/>
        <w:jc w:val="both"/>
        <w:rPr>
          <w:rFonts w:ascii="ITC Avant Garde" w:eastAsia="Times New Roman" w:hAnsi="ITC Avant Garde"/>
        </w:rPr>
      </w:pPr>
    </w:p>
    <w:p w14:paraId="1F79545E" w14:textId="77777777" w:rsidR="00B92370" w:rsidRPr="00ED4558" w:rsidRDefault="00B92370" w:rsidP="00B92370">
      <w:pPr>
        <w:spacing w:after="0"/>
        <w:jc w:val="both"/>
        <w:rPr>
          <w:rFonts w:ascii="ITC Avant Garde" w:eastAsia="Times New Roman" w:hAnsi="ITC Avant Garde"/>
          <w:lang w:eastAsia="es-ES"/>
        </w:rPr>
      </w:pPr>
      <w:r w:rsidRPr="00ED4558">
        <w:rPr>
          <w:rFonts w:ascii="ITC Avant Garde" w:eastAsia="Times New Roman" w:hAnsi="ITC Avant Garde"/>
          <w:lang w:eastAsia="es-ES"/>
        </w:rPr>
        <w:t>Cabe mencionar que de conformidad con el antecedente XV</w:t>
      </w:r>
      <w:r w:rsidR="00927DE8" w:rsidRPr="00ED4558">
        <w:rPr>
          <w:rFonts w:ascii="ITC Avant Garde" w:eastAsia="Times New Roman" w:hAnsi="ITC Avant Garde"/>
          <w:lang w:eastAsia="es-ES"/>
        </w:rPr>
        <w:t xml:space="preserve"> </w:t>
      </w:r>
      <w:r w:rsidRPr="00ED4558">
        <w:rPr>
          <w:rFonts w:ascii="ITC Avant Garde" w:eastAsia="Times New Roman" w:hAnsi="ITC Avant Garde"/>
          <w:lang w:eastAsia="es-ES"/>
        </w:rPr>
        <w:t>de la preste Resolución Telcel no designó p</w:t>
      </w:r>
      <w:r w:rsidR="00D80100" w:rsidRPr="00ED4558">
        <w:rPr>
          <w:rFonts w:ascii="ITC Avant Garde" w:eastAsia="Times New Roman" w:hAnsi="ITC Avant Garde"/>
          <w:lang w:eastAsia="es-ES"/>
        </w:rPr>
        <w:t>erito en materia de Economía y por lo tanto no dio</w:t>
      </w:r>
      <w:r w:rsidR="00927DE8" w:rsidRPr="00ED4558">
        <w:rPr>
          <w:rFonts w:ascii="ITC Avant Garde" w:eastAsia="Times New Roman" w:hAnsi="ITC Avant Garde"/>
          <w:lang w:eastAsia="es-ES"/>
        </w:rPr>
        <w:t xml:space="preserve"> respuesta a la prueba pericial, </w:t>
      </w:r>
      <w:r w:rsidR="00D80100" w:rsidRPr="00ED4558">
        <w:rPr>
          <w:rFonts w:ascii="ITC Avant Garde" w:eastAsia="Times New Roman" w:hAnsi="ITC Avant Garde"/>
          <w:lang w:eastAsia="es-ES"/>
        </w:rPr>
        <w:t>sin embargo, en su escrito de alegatos y referente a la presente pregunta manifestó que l</w:t>
      </w:r>
      <w:r w:rsidRPr="00ED4558">
        <w:rPr>
          <w:rFonts w:ascii="ITC Avant Garde" w:eastAsia="Times New Roman" w:hAnsi="ITC Avant Garde"/>
          <w:lang w:eastAsia="es-ES"/>
        </w:rPr>
        <w:t xml:space="preserve">a Comisión Europea, en la Recomendación sobre “El Tratamiento regulatorio de los cargos de terminación fijos y móviles en la Unión Europea” del 2009, considera que dicha asimetría no es una política regulatoria adecuada para solucionar los desbalances de tráfico de los entrantes; por el contrario, puede agravar estos desbalances y, por lo tanto, es una política regulatoria que no fortalece las condiciones de competencia de los entrantes. </w:t>
      </w:r>
    </w:p>
    <w:p w14:paraId="0CA65A5E" w14:textId="77777777" w:rsidR="00FE5B56" w:rsidRPr="00ED4558" w:rsidRDefault="00FE5B56" w:rsidP="00B92370">
      <w:pPr>
        <w:spacing w:after="0"/>
        <w:jc w:val="both"/>
        <w:rPr>
          <w:rFonts w:ascii="ITC Avant Garde" w:eastAsia="Times New Roman" w:hAnsi="ITC Avant Garde"/>
          <w:lang w:eastAsia="es-ES"/>
        </w:rPr>
      </w:pPr>
    </w:p>
    <w:p w14:paraId="64E56ECF" w14:textId="77777777" w:rsidR="00FE5B56" w:rsidRPr="00ED4558" w:rsidRDefault="009D19C1" w:rsidP="00FF2736">
      <w:pPr>
        <w:autoSpaceDE w:val="0"/>
        <w:autoSpaceDN w:val="0"/>
        <w:adjustRightInd w:val="0"/>
        <w:spacing w:after="0"/>
        <w:jc w:val="both"/>
        <w:rPr>
          <w:rFonts w:ascii="ITC Avant Garde" w:hAnsi="ITC Avant Garde" w:cs="Helvetica"/>
          <w:lang w:eastAsia="es-MX"/>
        </w:rPr>
      </w:pPr>
      <w:r w:rsidRPr="00ED4558">
        <w:rPr>
          <w:rFonts w:ascii="ITC Avant Garde" w:hAnsi="ITC Avant Garde" w:cs="Helvetica"/>
          <w:lang w:eastAsia="es-MX"/>
        </w:rPr>
        <w:t xml:space="preserve">Telcel señala que </w:t>
      </w:r>
      <w:r w:rsidR="00FE5B56" w:rsidRPr="00ED4558">
        <w:rPr>
          <w:rFonts w:ascii="ITC Avant Garde" w:hAnsi="ITC Avant Garde" w:cs="Helvetica"/>
          <w:lang w:eastAsia="es-MX"/>
        </w:rPr>
        <w:t>los argumentos utilizados por l</w:t>
      </w:r>
      <w:r w:rsidRPr="00ED4558">
        <w:rPr>
          <w:rFonts w:ascii="ITC Avant Garde" w:hAnsi="ITC Avant Garde" w:cs="Helvetica"/>
          <w:lang w:eastAsia="es-MX"/>
        </w:rPr>
        <w:t xml:space="preserve">os reguladores para preferir la </w:t>
      </w:r>
      <w:r w:rsidR="00FE5B56" w:rsidRPr="00ED4558">
        <w:rPr>
          <w:rFonts w:ascii="ITC Avant Garde" w:hAnsi="ITC Avant Garde" w:cs="Helvetica"/>
          <w:lang w:eastAsia="es-MX"/>
        </w:rPr>
        <w:t xml:space="preserve">simetría sobre la asimetría </w:t>
      </w:r>
      <w:r w:rsidR="00FA0DC0" w:rsidRPr="00ED4558">
        <w:rPr>
          <w:rFonts w:ascii="ITC Avant Garde" w:hAnsi="ITC Avant Garde" w:cs="Helvetica"/>
          <w:lang w:eastAsia="es-MX"/>
        </w:rPr>
        <w:t xml:space="preserve">generalmente </w:t>
      </w:r>
      <w:r w:rsidR="00FE5B56" w:rsidRPr="00ED4558">
        <w:rPr>
          <w:rFonts w:ascii="ITC Avant Garde" w:hAnsi="ITC Avant Garde" w:cs="Helvetica"/>
          <w:lang w:eastAsia="es-MX"/>
        </w:rPr>
        <w:t>son los siguientes:</w:t>
      </w:r>
    </w:p>
    <w:p w14:paraId="50D8F0E9" w14:textId="77777777" w:rsidR="00FE5B56" w:rsidRPr="00ED4558" w:rsidRDefault="00FE5B56" w:rsidP="00FF2736">
      <w:pPr>
        <w:autoSpaceDE w:val="0"/>
        <w:autoSpaceDN w:val="0"/>
        <w:adjustRightInd w:val="0"/>
        <w:spacing w:after="0"/>
        <w:jc w:val="both"/>
        <w:rPr>
          <w:rFonts w:ascii="ITC Avant Garde" w:hAnsi="ITC Avant Garde" w:cs="Helvetica"/>
          <w:lang w:eastAsia="es-MX"/>
        </w:rPr>
      </w:pPr>
    </w:p>
    <w:p w14:paraId="2D9F0232" w14:textId="77777777" w:rsidR="00FE5B56" w:rsidRPr="00ED4558" w:rsidRDefault="00FE5B56" w:rsidP="00FF2736">
      <w:pPr>
        <w:pStyle w:val="Prrafodelista"/>
        <w:numPr>
          <w:ilvl w:val="0"/>
          <w:numId w:val="40"/>
        </w:numPr>
        <w:autoSpaceDE w:val="0"/>
        <w:autoSpaceDN w:val="0"/>
        <w:adjustRightInd w:val="0"/>
        <w:spacing w:line="276" w:lineRule="auto"/>
        <w:ind w:left="714" w:hanging="357"/>
        <w:rPr>
          <w:rFonts w:ascii="ITC Avant Garde" w:hAnsi="ITC Avant Garde" w:cs="Helvetica"/>
          <w:lang w:eastAsia="es-MX"/>
        </w:rPr>
      </w:pPr>
      <w:r w:rsidRPr="00ED4558">
        <w:rPr>
          <w:rFonts w:ascii="ITC Avant Garde" w:hAnsi="ITC Avant Garde" w:cs="Helvetica"/>
          <w:lang w:eastAsia="es-MX"/>
        </w:rPr>
        <w:t>Las tarifas asimétricas podrían ayudar a los entrantes, pero deben ser aplicadas solo de manera TEMPORAL y en fases tempranas. Al crecer los operadores entrantes deberían observar costos que convergen al costo de las empresas establecidas.</w:t>
      </w:r>
    </w:p>
    <w:p w14:paraId="4824130D" w14:textId="77777777" w:rsidR="009D19C1" w:rsidRPr="00ED4558" w:rsidRDefault="009D19C1" w:rsidP="00FF2736">
      <w:pPr>
        <w:pStyle w:val="Prrafodelista"/>
        <w:autoSpaceDE w:val="0"/>
        <w:autoSpaceDN w:val="0"/>
        <w:adjustRightInd w:val="0"/>
        <w:spacing w:line="276" w:lineRule="auto"/>
        <w:ind w:left="720"/>
        <w:rPr>
          <w:rFonts w:ascii="ITC Avant Garde" w:hAnsi="ITC Avant Garde" w:cs="Helvetica"/>
          <w:lang w:eastAsia="es-MX"/>
        </w:rPr>
      </w:pPr>
    </w:p>
    <w:p w14:paraId="2AFBC03A" w14:textId="77777777" w:rsidR="009D19C1" w:rsidRPr="00ED4558" w:rsidRDefault="00FE5B56" w:rsidP="00FF2736">
      <w:pPr>
        <w:pStyle w:val="Prrafodelista"/>
        <w:numPr>
          <w:ilvl w:val="0"/>
          <w:numId w:val="40"/>
        </w:numPr>
        <w:autoSpaceDE w:val="0"/>
        <w:autoSpaceDN w:val="0"/>
        <w:adjustRightInd w:val="0"/>
        <w:spacing w:line="276" w:lineRule="auto"/>
        <w:rPr>
          <w:rFonts w:ascii="ITC Avant Garde" w:hAnsi="ITC Avant Garde" w:cs="Helvetica"/>
          <w:lang w:eastAsia="es-MX"/>
        </w:rPr>
      </w:pPr>
      <w:r w:rsidRPr="00ED4558">
        <w:rPr>
          <w:rFonts w:ascii="ITC Avant Garde" w:hAnsi="ITC Avant Garde" w:cs="Helvetica"/>
          <w:lang w:eastAsia="es-MX"/>
        </w:rPr>
        <w:t xml:space="preserve">Las tarifas asimétricas generan ineficiencia en el mercado, pues fomentan que las empresas pequeñas permanezcan pequeñas e ineficientes por más tiempo del que estrictamente es necesario para crecer. Esto disminuye el bienestar social, </w:t>
      </w:r>
      <w:r w:rsidRPr="00ED4558">
        <w:rPr>
          <w:rFonts w:ascii="ITC Avant Garde" w:hAnsi="ITC Avant Garde" w:cs="Helvetica"/>
          <w:lang w:eastAsia="es-MX"/>
        </w:rPr>
        <w:lastRenderedPageBreak/>
        <w:t>pues se desincentiva la penetración y expansión de los competidores entrantes (especialmente en zonas rurales). Adicionalmente, se distorsiona el patrón de competencia.</w:t>
      </w:r>
    </w:p>
    <w:p w14:paraId="170A3722" w14:textId="77777777" w:rsidR="009D19C1" w:rsidRPr="00ED4558" w:rsidRDefault="009D19C1" w:rsidP="00FF2736">
      <w:pPr>
        <w:pStyle w:val="Prrafodelista"/>
        <w:autoSpaceDE w:val="0"/>
        <w:autoSpaceDN w:val="0"/>
        <w:adjustRightInd w:val="0"/>
        <w:spacing w:line="276" w:lineRule="auto"/>
        <w:ind w:left="720"/>
        <w:rPr>
          <w:rFonts w:ascii="ITC Avant Garde" w:hAnsi="ITC Avant Garde" w:cs="Helvetica"/>
          <w:lang w:eastAsia="es-MX"/>
        </w:rPr>
      </w:pPr>
    </w:p>
    <w:p w14:paraId="7DF1C074" w14:textId="77777777" w:rsidR="009D19C1" w:rsidRPr="00ED4558" w:rsidRDefault="00FE5B56" w:rsidP="00FF2736">
      <w:pPr>
        <w:pStyle w:val="Prrafodelista"/>
        <w:numPr>
          <w:ilvl w:val="0"/>
          <w:numId w:val="40"/>
        </w:numPr>
        <w:autoSpaceDE w:val="0"/>
        <w:autoSpaceDN w:val="0"/>
        <w:adjustRightInd w:val="0"/>
        <w:spacing w:line="276" w:lineRule="auto"/>
        <w:rPr>
          <w:rFonts w:ascii="ITC Avant Garde" w:hAnsi="ITC Avant Garde" w:cs="Helvetica"/>
          <w:lang w:eastAsia="es-MX"/>
        </w:rPr>
      </w:pPr>
      <w:r w:rsidRPr="00ED4558">
        <w:rPr>
          <w:rFonts w:ascii="ITC Avant Garde" w:hAnsi="ITC Avant Garde" w:cs="Helvetica"/>
          <w:lang w:eastAsia="es-MX"/>
        </w:rPr>
        <w:t>Las tarifas asimétricas pueden generar confusión entre los usuarios, pues no se sabe con certeza qué tarifa va a aplicar al llamar a un usuario de otro concesionario, lo cual disminuye el bienestar social.</w:t>
      </w:r>
    </w:p>
    <w:p w14:paraId="3E712FAE" w14:textId="77777777" w:rsidR="009D19C1" w:rsidRPr="00ED4558" w:rsidRDefault="009D19C1" w:rsidP="00FF2736">
      <w:pPr>
        <w:pStyle w:val="Prrafodelista"/>
        <w:autoSpaceDE w:val="0"/>
        <w:autoSpaceDN w:val="0"/>
        <w:adjustRightInd w:val="0"/>
        <w:spacing w:line="276" w:lineRule="auto"/>
        <w:ind w:left="720"/>
        <w:rPr>
          <w:rFonts w:ascii="ITC Avant Garde" w:hAnsi="ITC Avant Garde" w:cs="Helvetica"/>
          <w:lang w:eastAsia="es-MX"/>
        </w:rPr>
      </w:pPr>
    </w:p>
    <w:p w14:paraId="173F04B3" w14:textId="77777777" w:rsidR="00FE5B56" w:rsidRPr="00ED4558" w:rsidRDefault="00FE5B56" w:rsidP="00FF2736">
      <w:pPr>
        <w:pStyle w:val="Prrafodelista"/>
        <w:numPr>
          <w:ilvl w:val="0"/>
          <w:numId w:val="40"/>
        </w:numPr>
        <w:autoSpaceDE w:val="0"/>
        <w:autoSpaceDN w:val="0"/>
        <w:adjustRightInd w:val="0"/>
        <w:spacing w:line="276" w:lineRule="auto"/>
        <w:rPr>
          <w:rFonts w:ascii="ITC Avant Garde" w:hAnsi="ITC Avant Garde" w:cs="Helvetica"/>
          <w:lang w:eastAsia="es-MX"/>
        </w:rPr>
      </w:pPr>
      <w:r w:rsidRPr="00ED4558">
        <w:rPr>
          <w:rFonts w:ascii="ITC Avant Garde" w:hAnsi="ITC Avant Garde" w:cs="Helvetica"/>
          <w:lang w:eastAsia="es-MX"/>
        </w:rPr>
        <w:t>En un mercado maduro, las tarifas asimétricas son muy nocivas para el fomento a la competencia.</w:t>
      </w:r>
    </w:p>
    <w:p w14:paraId="67A3FC60" w14:textId="77777777" w:rsidR="00B92370" w:rsidRPr="00ED4558" w:rsidRDefault="00B92370" w:rsidP="00FF2736">
      <w:pPr>
        <w:spacing w:after="0"/>
        <w:jc w:val="both"/>
        <w:rPr>
          <w:rFonts w:ascii="ITC Avant Garde" w:eastAsia="Times New Roman" w:hAnsi="ITC Avant Garde"/>
          <w:lang w:eastAsia="es-ES"/>
        </w:rPr>
      </w:pPr>
    </w:p>
    <w:p w14:paraId="1915D54E" w14:textId="77777777" w:rsidR="00B92370" w:rsidRPr="00ED4558" w:rsidRDefault="00B92370" w:rsidP="00FF2736">
      <w:pPr>
        <w:spacing w:after="0"/>
        <w:jc w:val="both"/>
        <w:rPr>
          <w:rFonts w:ascii="ITC Avant Garde" w:eastAsia="Times New Roman" w:hAnsi="ITC Avant Garde"/>
          <w:b/>
          <w:lang w:eastAsia="es-ES"/>
        </w:rPr>
      </w:pPr>
      <w:r w:rsidRPr="00ED4558">
        <w:rPr>
          <w:rFonts w:ascii="ITC Avant Garde" w:eastAsia="Times New Roman" w:hAnsi="ITC Avant Garde"/>
          <w:lang w:eastAsia="es-ES"/>
        </w:rPr>
        <w:t>De lo anterior, Telcel concluye que la implementación de tarifas de interconexión asimétricas no es una herramienta regulatoria de utilidad para equilibrar las condiciones de mercado, ni para favorecer la competencia, menos aún frente al panorama nacional.</w:t>
      </w:r>
    </w:p>
    <w:p w14:paraId="75A4D06C" w14:textId="77777777" w:rsidR="004D181A" w:rsidRPr="00ED4558" w:rsidRDefault="004D181A" w:rsidP="00FF2736">
      <w:pPr>
        <w:spacing w:after="0"/>
        <w:ind w:right="20"/>
        <w:jc w:val="both"/>
        <w:rPr>
          <w:rFonts w:ascii="ITC Avant Garde" w:eastAsia="Times New Roman" w:hAnsi="ITC Avant Garde"/>
        </w:rPr>
      </w:pPr>
    </w:p>
    <w:p w14:paraId="4EDCBD30" w14:textId="77777777" w:rsidR="00FA0DC0" w:rsidRPr="00ED4558" w:rsidRDefault="004D181A" w:rsidP="00773BC1">
      <w:pPr>
        <w:spacing w:after="0"/>
        <w:ind w:right="49"/>
        <w:jc w:val="both"/>
        <w:rPr>
          <w:rFonts w:ascii="ITC Avant Garde" w:eastAsiaTheme="minorHAnsi" w:hAnsi="ITC Avant Garde"/>
        </w:rPr>
      </w:pPr>
      <w:r w:rsidRPr="00ED4558">
        <w:rPr>
          <w:rFonts w:ascii="ITC Avant Garde" w:eastAsiaTheme="minorHAnsi" w:hAnsi="ITC Avant Garde"/>
        </w:rPr>
        <w:t xml:space="preserve">Por lo que hace a la respuesta ofrecida por el perito de </w:t>
      </w:r>
      <w:r w:rsidR="00927DE8" w:rsidRPr="00ED4558">
        <w:rPr>
          <w:rFonts w:ascii="ITC Avant Garde" w:eastAsiaTheme="minorHAnsi" w:hAnsi="ITC Avant Garde"/>
        </w:rPr>
        <w:t>Cablevisión Red</w:t>
      </w:r>
      <w:r w:rsidRPr="00ED4558">
        <w:rPr>
          <w:rFonts w:ascii="ITC Avant Garde" w:eastAsiaTheme="minorHAnsi" w:hAnsi="ITC Avant Garde"/>
        </w:rPr>
        <w:t>, este Instituto coincide en cuanto a que el objetivo de una regulación asimétrica es equilibrar las fuerzas del mercado y facilitar la entrada y establecimiento de nuevos competidores</w:t>
      </w:r>
      <w:r w:rsidR="0033460E" w:rsidRPr="00ED4558">
        <w:rPr>
          <w:rFonts w:ascii="ITC Avant Garde" w:eastAsiaTheme="minorHAnsi" w:hAnsi="ITC Avant Garde"/>
        </w:rPr>
        <w:t xml:space="preserve">. </w:t>
      </w:r>
    </w:p>
    <w:p w14:paraId="0552C151" w14:textId="77777777" w:rsidR="00FA0DC0" w:rsidRPr="00ED4558" w:rsidRDefault="00FA0DC0" w:rsidP="00773BC1">
      <w:pPr>
        <w:spacing w:after="0"/>
        <w:ind w:right="49"/>
        <w:jc w:val="both"/>
        <w:rPr>
          <w:rFonts w:ascii="ITC Avant Garde" w:eastAsiaTheme="minorHAnsi" w:hAnsi="ITC Avant Garde"/>
        </w:rPr>
      </w:pPr>
    </w:p>
    <w:p w14:paraId="52CF02F6" w14:textId="08533291" w:rsidR="004D181A" w:rsidRPr="00ED4558" w:rsidRDefault="0033460E" w:rsidP="00773BC1">
      <w:pPr>
        <w:spacing w:after="0"/>
        <w:ind w:right="49"/>
        <w:jc w:val="both"/>
        <w:rPr>
          <w:rFonts w:ascii="ITC Avant Garde" w:eastAsiaTheme="minorHAnsi" w:hAnsi="ITC Avant Garde"/>
        </w:rPr>
      </w:pPr>
      <w:r w:rsidRPr="00ED4558">
        <w:rPr>
          <w:rFonts w:ascii="ITC Avant Garde" w:eastAsiaTheme="minorHAnsi" w:hAnsi="ITC Avant Garde"/>
        </w:rPr>
        <w:t>En relación a las manifestaciones de Telcel se señala que las mismas cobran contexto en el que las refiere la Comisión Europea ya que la simetría que considera la Comisión Europea es una en la cual se establece un sobreprecio a la tarifa de interconexión con lo cual resulta en una tarifa por encima del costo misma que es aplicable a los operadores de menor escala y que efectivamente ha sido aplicada de manera temporal, sin embargo, la asimetría considerada por la Metodología de Costos y el Acuerdo de Tarifas 2015</w:t>
      </w:r>
      <w:r w:rsidR="00927DE8" w:rsidRPr="00ED4558">
        <w:rPr>
          <w:rFonts w:ascii="ITC Avant Garde" w:eastAsiaTheme="minorHAnsi" w:hAnsi="ITC Avant Garde"/>
        </w:rPr>
        <w:t>,</w:t>
      </w:r>
      <w:r w:rsidRPr="00ED4558">
        <w:rPr>
          <w:rFonts w:ascii="ITC Avant Garde" w:eastAsiaTheme="minorHAnsi" w:hAnsi="ITC Avant Garde"/>
        </w:rPr>
        <w:t xml:space="preserve"> cons</w:t>
      </w:r>
      <w:r w:rsidR="00927DE8" w:rsidRPr="00ED4558">
        <w:rPr>
          <w:rFonts w:ascii="ITC Avant Garde" w:eastAsiaTheme="minorHAnsi" w:hAnsi="ITC Avant Garde"/>
        </w:rPr>
        <w:t xml:space="preserve">idera tarifas basadas en costos, </w:t>
      </w:r>
      <w:r w:rsidR="0004255E" w:rsidRPr="00ED4558">
        <w:rPr>
          <w:rFonts w:ascii="ITC Avant Garde" w:eastAsiaTheme="minorHAnsi" w:hAnsi="ITC Avant Garde"/>
        </w:rPr>
        <w:t>pero</w:t>
      </w:r>
      <w:r w:rsidR="00FA0DC0" w:rsidRPr="00ED4558">
        <w:rPr>
          <w:rFonts w:ascii="ITC Avant Garde" w:eastAsiaTheme="minorHAnsi" w:hAnsi="ITC Avant Garde"/>
        </w:rPr>
        <w:t>,</w:t>
      </w:r>
      <w:r w:rsidRPr="00ED4558">
        <w:rPr>
          <w:rFonts w:ascii="ITC Avant Garde" w:eastAsiaTheme="minorHAnsi" w:hAnsi="ITC Avant Garde"/>
        </w:rPr>
        <w:t xml:space="preserve"> únicamente distingue diferencias en la escala de operación entre el Agente Económico Preponderante y el resto de los concesionarios basándose en un criterio objetivo como lo es el carácter </w:t>
      </w:r>
      <w:r w:rsidR="0004255E" w:rsidRPr="00ED4558">
        <w:rPr>
          <w:rFonts w:ascii="ITC Avant Garde" w:eastAsiaTheme="minorHAnsi" w:hAnsi="ITC Avant Garde"/>
        </w:rPr>
        <w:t xml:space="preserve">de </w:t>
      </w:r>
      <w:r w:rsidR="00927DE8" w:rsidRPr="00ED4558">
        <w:rPr>
          <w:rFonts w:ascii="ITC Avant Garde" w:eastAsiaTheme="minorHAnsi" w:hAnsi="ITC Avant Garde"/>
        </w:rPr>
        <w:t xml:space="preserve">preponderante de dicho operador, </w:t>
      </w:r>
      <w:r w:rsidRPr="00ED4558">
        <w:rPr>
          <w:rFonts w:ascii="ITC Avant Garde" w:eastAsiaTheme="minorHAnsi" w:hAnsi="ITC Avant Garde"/>
        </w:rPr>
        <w:t xml:space="preserve">mismo que está expresamente reconocido por el artículo 131 de la </w:t>
      </w:r>
      <w:proofErr w:type="spellStart"/>
      <w:r w:rsidRPr="00ED4558">
        <w:rPr>
          <w:rFonts w:ascii="ITC Avant Garde" w:eastAsiaTheme="minorHAnsi" w:hAnsi="ITC Avant Garde"/>
        </w:rPr>
        <w:t>LFTyR</w:t>
      </w:r>
      <w:proofErr w:type="spellEnd"/>
      <w:r w:rsidRPr="00ED4558">
        <w:rPr>
          <w:rFonts w:ascii="ITC Avant Garde" w:eastAsiaTheme="minorHAnsi" w:hAnsi="ITC Avant Garde"/>
        </w:rPr>
        <w:t>.</w:t>
      </w:r>
    </w:p>
    <w:p w14:paraId="6AB17C98" w14:textId="77777777" w:rsidR="004D181A" w:rsidRPr="00ED4558" w:rsidRDefault="004D181A" w:rsidP="00773BC1">
      <w:pPr>
        <w:spacing w:after="0"/>
        <w:ind w:right="20"/>
        <w:jc w:val="both"/>
        <w:rPr>
          <w:rFonts w:ascii="ITC Avant Garde" w:hAnsi="ITC Avant Garde"/>
          <w:szCs w:val="24"/>
        </w:rPr>
      </w:pPr>
    </w:p>
    <w:p w14:paraId="3605BC45" w14:textId="77777777" w:rsidR="004D181A" w:rsidRPr="00ED4558" w:rsidRDefault="004D181A" w:rsidP="00773BC1">
      <w:pPr>
        <w:spacing w:after="0"/>
        <w:ind w:right="20"/>
        <w:jc w:val="both"/>
        <w:rPr>
          <w:rFonts w:ascii="ITC Avant Garde" w:eastAsia="Times New Roman" w:hAnsi="ITC Avant Garde"/>
        </w:rPr>
      </w:pPr>
      <w:r w:rsidRPr="00ED4558">
        <w:rPr>
          <w:rFonts w:ascii="ITC Avant Garde" w:eastAsia="Times New Roman" w:hAnsi="ITC Avant Garde"/>
          <w:b/>
        </w:rPr>
        <w:t xml:space="preserve">Pregunta 3. </w:t>
      </w:r>
      <w:r w:rsidR="00F92236" w:rsidRPr="00ED4558">
        <w:rPr>
          <w:rFonts w:ascii="ITC Avant Garde" w:eastAsia="Times New Roman" w:hAnsi="ITC Avant Garde"/>
        </w:rPr>
        <w:t>Se solicitó al perito</w:t>
      </w:r>
      <w:r w:rsidRPr="00ED4558">
        <w:rPr>
          <w:rFonts w:ascii="ITC Avant Garde" w:eastAsia="Times New Roman" w:hAnsi="ITC Avant Garde"/>
        </w:rPr>
        <w:t xml:space="preserve"> señalar qué se entiende por asimetrías naturales de redes según la teoría y literatura económica especializada.</w:t>
      </w:r>
    </w:p>
    <w:p w14:paraId="15146FDF" w14:textId="77777777" w:rsidR="004D181A" w:rsidRPr="00ED4558" w:rsidRDefault="004D181A" w:rsidP="00773BC1">
      <w:pPr>
        <w:spacing w:after="0"/>
        <w:ind w:right="20"/>
        <w:jc w:val="both"/>
        <w:rPr>
          <w:rFonts w:ascii="ITC Avant Garde" w:eastAsia="Times New Roman" w:hAnsi="ITC Avant Garde"/>
        </w:rPr>
      </w:pPr>
    </w:p>
    <w:p w14:paraId="4C147875" w14:textId="77777777" w:rsidR="004D181A" w:rsidRPr="00ED4558" w:rsidRDefault="004D181A" w:rsidP="00773BC1">
      <w:pPr>
        <w:spacing w:after="0"/>
        <w:ind w:right="20"/>
        <w:jc w:val="both"/>
        <w:rPr>
          <w:rFonts w:ascii="ITC Avant Garde" w:hAnsi="ITC Avant Garde"/>
          <w:szCs w:val="24"/>
        </w:rPr>
      </w:pPr>
      <w:r w:rsidRPr="00ED4558">
        <w:rPr>
          <w:rFonts w:ascii="ITC Avant Garde" w:eastAsia="Times New Roman" w:hAnsi="ITC Avant Garde"/>
        </w:rPr>
        <w:t xml:space="preserve">El perito de </w:t>
      </w:r>
      <w:r w:rsidR="00927DE8" w:rsidRPr="00ED4558">
        <w:rPr>
          <w:rFonts w:ascii="ITC Avant Garde" w:eastAsia="Times New Roman" w:hAnsi="ITC Avant Garde"/>
        </w:rPr>
        <w:t xml:space="preserve">Cablevisión Red </w:t>
      </w:r>
      <w:r w:rsidRPr="00ED4558">
        <w:rPr>
          <w:rFonts w:ascii="ITC Avant Garde" w:eastAsia="Times New Roman" w:hAnsi="ITC Avant Garde"/>
        </w:rPr>
        <w:t>respondió que en la te</w:t>
      </w:r>
      <w:r w:rsidR="00153751" w:rsidRPr="00ED4558">
        <w:rPr>
          <w:rFonts w:ascii="ITC Avant Garde" w:eastAsia="Times New Roman" w:hAnsi="ITC Avant Garde"/>
        </w:rPr>
        <w:t>lefonía fija debe tenerse en cue</w:t>
      </w:r>
      <w:r w:rsidRPr="00ED4558">
        <w:rPr>
          <w:rFonts w:ascii="ITC Avant Garde" w:eastAsia="Times New Roman" w:hAnsi="ITC Avant Garde"/>
        </w:rPr>
        <w:t xml:space="preserve">nta que la existencia de economías de escala implica que los operadores más pequeños tienen un costo medio más elevado, de manera que si se impone una tarifa idéntica para todos los operadores, los más pequeños están en desventaja. La regulación </w:t>
      </w:r>
      <w:r w:rsidRPr="00ED4558">
        <w:rPr>
          <w:rFonts w:ascii="ITC Avant Garde" w:eastAsia="Times New Roman" w:hAnsi="ITC Avant Garde"/>
        </w:rPr>
        <w:lastRenderedPageBreak/>
        <w:t>asimétrica crea mayores incentivos de entrada respecto a una regulación que imponga tarifas idénticas a todos los operadores por tal razón, las tarifas asimétricas se justifican cuando las condiciones del mercado no son favorables a la competencia.</w:t>
      </w:r>
    </w:p>
    <w:p w14:paraId="485DEE0E" w14:textId="77777777" w:rsidR="008D5C14" w:rsidRPr="00ED4558" w:rsidRDefault="008D5C14" w:rsidP="00773BC1">
      <w:pPr>
        <w:widowControl w:val="0"/>
        <w:spacing w:after="0"/>
        <w:jc w:val="both"/>
        <w:rPr>
          <w:rFonts w:ascii="ITC Avant Garde" w:hAnsi="ITC Avant Garde"/>
          <w:szCs w:val="24"/>
        </w:rPr>
      </w:pPr>
    </w:p>
    <w:p w14:paraId="568268D9" w14:textId="77777777" w:rsidR="008D5C14" w:rsidRPr="00ED4558" w:rsidRDefault="004B26D6" w:rsidP="00773BC1">
      <w:pPr>
        <w:widowControl w:val="0"/>
        <w:spacing w:after="0"/>
        <w:jc w:val="both"/>
        <w:rPr>
          <w:rFonts w:ascii="ITC Avant Garde" w:eastAsia="Times New Roman" w:hAnsi="ITC Avant Garde"/>
          <w:szCs w:val="24"/>
        </w:rPr>
      </w:pPr>
      <w:r w:rsidRPr="00ED4558">
        <w:rPr>
          <w:rFonts w:ascii="ITC Avant Garde" w:hAnsi="ITC Avant Garde"/>
          <w:szCs w:val="24"/>
        </w:rPr>
        <w:t>Con</w:t>
      </w:r>
      <w:r w:rsidR="008D5C14" w:rsidRPr="00ED4558">
        <w:rPr>
          <w:rFonts w:ascii="ITC Avant Garde" w:hAnsi="ITC Avant Garde"/>
          <w:szCs w:val="24"/>
        </w:rPr>
        <w:t xml:space="preserve"> relación a la respuesta del perito de </w:t>
      </w:r>
      <w:r w:rsidRPr="00ED4558">
        <w:rPr>
          <w:rFonts w:ascii="ITC Avant Garde" w:hAnsi="ITC Avant Garde"/>
          <w:szCs w:val="24"/>
        </w:rPr>
        <w:t xml:space="preserve">Cablevisión Red </w:t>
      </w:r>
      <w:r w:rsidR="008D5C14" w:rsidRPr="00ED4558">
        <w:rPr>
          <w:rFonts w:ascii="ITC Avant Garde" w:hAnsi="ITC Avant Garde"/>
          <w:szCs w:val="24"/>
        </w:rPr>
        <w:t xml:space="preserve">se </w:t>
      </w:r>
      <w:r w:rsidRPr="00ED4558">
        <w:rPr>
          <w:rFonts w:ascii="ITC Avant Garde" w:hAnsi="ITC Avant Garde"/>
          <w:szCs w:val="24"/>
        </w:rPr>
        <w:t xml:space="preserve">manifiesta </w:t>
      </w:r>
      <w:r w:rsidR="008D5C14" w:rsidRPr="00ED4558">
        <w:rPr>
          <w:rFonts w:ascii="ITC Avant Garde" w:hAnsi="ITC Avant Garde"/>
          <w:szCs w:val="24"/>
        </w:rPr>
        <w:t>que se coincide en que la literatura especializada señala que el costo medio unitario de producción es menor a medida que se incrementa la escala de producción cuando existen rendimientos crecientes de escala</w:t>
      </w:r>
      <w:r w:rsidR="008D5C14" w:rsidRPr="00ED4558">
        <w:rPr>
          <w:rFonts w:ascii="ITC Avant Garde" w:eastAsia="Times New Roman" w:hAnsi="ITC Avant Garde"/>
          <w:szCs w:val="24"/>
        </w:rPr>
        <w:t>.</w:t>
      </w:r>
    </w:p>
    <w:p w14:paraId="63FD3DE6" w14:textId="77777777" w:rsidR="008D5C14" w:rsidRPr="00ED4558" w:rsidRDefault="008D5C14" w:rsidP="00773BC1">
      <w:pPr>
        <w:widowControl w:val="0"/>
        <w:spacing w:after="0"/>
        <w:jc w:val="both"/>
        <w:rPr>
          <w:rFonts w:ascii="ITC Avant Garde" w:eastAsia="Times New Roman" w:hAnsi="ITC Avant Garde"/>
          <w:szCs w:val="24"/>
        </w:rPr>
      </w:pPr>
    </w:p>
    <w:p w14:paraId="053C7E12" w14:textId="77777777" w:rsidR="008D5C14" w:rsidRPr="00ED4558" w:rsidRDefault="008D5C14" w:rsidP="00773BC1">
      <w:pPr>
        <w:widowControl w:val="0"/>
        <w:spacing w:after="0"/>
        <w:jc w:val="both"/>
        <w:rPr>
          <w:rFonts w:ascii="ITC Avant Garde" w:hAnsi="ITC Avant Garde"/>
          <w:szCs w:val="24"/>
        </w:rPr>
      </w:pPr>
      <w:r w:rsidRPr="00ED4558">
        <w:rPr>
          <w:rFonts w:ascii="ITC Avant Garde" w:hAnsi="ITC Avant Garde"/>
          <w:szCs w:val="24"/>
        </w:rPr>
        <w:t xml:space="preserve">Sin embargo, también la literatura señala </w:t>
      </w:r>
      <w:r w:rsidR="00DE7E85" w:rsidRPr="00ED4558">
        <w:rPr>
          <w:rFonts w:ascii="ITC Avant Garde" w:hAnsi="ITC Avant Garde"/>
          <w:szCs w:val="24"/>
        </w:rPr>
        <w:t xml:space="preserve">que se debe establecer una regulación asimétrica a un determinado operador cuando se observan elementos objetivos como particularmente cuando esto se traduce en </w:t>
      </w:r>
      <w:r w:rsidR="00B65469" w:rsidRPr="00ED4558">
        <w:rPr>
          <w:rFonts w:ascii="ITC Avant Garde" w:hAnsi="ITC Avant Garde"/>
          <w:szCs w:val="24"/>
        </w:rPr>
        <w:t xml:space="preserve">la existencia de conductas o posibles conductas contrarias a una sana competencia. El establecimiento de una regulación asimétrica debe ser </w:t>
      </w:r>
      <w:proofErr w:type="gramStart"/>
      <w:r w:rsidR="00B65469" w:rsidRPr="00ED4558">
        <w:rPr>
          <w:rFonts w:ascii="ITC Avant Garde" w:hAnsi="ITC Avant Garde"/>
          <w:szCs w:val="24"/>
        </w:rPr>
        <w:t>precedida</w:t>
      </w:r>
      <w:proofErr w:type="gramEnd"/>
      <w:r w:rsidR="00B65469" w:rsidRPr="00ED4558">
        <w:rPr>
          <w:rFonts w:ascii="ITC Avant Garde" w:hAnsi="ITC Avant Garde"/>
          <w:szCs w:val="24"/>
        </w:rPr>
        <w:t xml:space="preserve"> por un análisis del mercado a efecto de </w:t>
      </w:r>
      <w:r w:rsidR="004B26D6" w:rsidRPr="00ED4558">
        <w:rPr>
          <w:rFonts w:ascii="ITC Avant Garde" w:hAnsi="ITC Avant Garde"/>
          <w:szCs w:val="24"/>
        </w:rPr>
        <w:t xml:space="preserve">examinar </w:t>
      </w:r>
      <w:r w:rsidR="00B65469" w:rsidRPr="00ED4558">
        <w:rPr>
          <w:rFonts w:ascii="ITC Avant Garde" w:hAnsi="ITC Avant Garde"/>
          <w:szCs w:val="24"/>
        </w:rPr>
        <w:t>si existe un agente con poder sustancial de mercado o un agente preponderante.</w:t>
      </w:r>
    </w:p>
    <w:p w14:paraId="7CBD2006" w14:textId="77777777" w:rsidR="00427C3D" w:rsidRPr="00ED4558" w:rsidRDefault="00427C3D" w:rsidP="00773BC1">
      <w:pPr>
        <w:widowControl w:val="0"/>
        <w:spacing w:after="0"/>
        <w:jc w:val="both"/>
        <w:rPr>
          <w:rFonts w:ascii="ITC Avant Garde" w:hAnsi="ITC Avant Garde"/>
          <w:szCs w:val="24"/>
        </w:rPr>
      </w:pPr>
    </w:p>
    <w:p w14:paraId="7E827BD0" w14:textId="77777777" w:rsidR="004D181A" w:rsidRPr="00ED4558" w:rsidRDefault="004D181A" w:rsidP="00773BC1">
      <w:pPr>
        <w:spacing w:after="0"/>
        <w:ind w:right="20"/>
        <w:jc w:val="both"/>
        <w:rPr>
          <w:rFonts w:ascii="ITC Avant Garde" w:hAnsi="ITC Avant Garde"/>
          <w:szCs w:val="24"/>
        </w:rPr>
      </w:pPr>
      <w:r w:rsidRPr="00ED4558">
        <w:rPr>
          <w:rFonts w:ascii="ITC Avant Garde" w:hAnsi="ITC Avant Garde"/>
          <w:b/>
          <w:szCs w:val="24"/>
        </w:rPr>
        <w:t xml:space="preserve">Pregunta 4. </w:t>
      </w:r>
      <w:r w:rsidR="00F92236" w:rsidRPr="00ED4558">
        <w:rPr>
          <w:rFonts w:ascii="ITC Avant Garde" w:hAnsi="ITC Avant Garde"/>
          <w:szCs w:val="24"/>
        </w:rPr>
        <w:t>Se solicitó al perito</w:t>
      </w:r>
      <w:r w:rsidRPr="00ED4558">
        <w:rPr>
          <w:rFonts w:ascii="ITC Avant Garde" w:hAnsi="ITC Avant Garde"/>
          <w:szCs w:val="24"/>
        </w:rPr>
        <w:t xml:space="preserve"> señalar si de acuerdo con la </w:t>
      </w:r>
      <w:proofErr w:type="spellStart"/>
      <w:r w:rsidRPr="00ED4558">
        <w:rPr>
          <w:rFonts w:ascii="ITC Avant Garde" w:hAnsi="ITC Avant Garde"/>
          <w:szCs w:val="24"/>
        </w:rPr>
        <w:t>LFTyR</w:t>
      </w:r>
      <w:proofErr w:type="spellEnd"/>
      <w:r w:rsidRPr="00ED4558">
        <w:rPr>
          <w:rFonts w:ascii="ITC Avant Garde" w:hAnsi="ITC Avant Garde"/>
          <w:szCs w:val="24"/>
        </w:rPr>
        <w:t xml:space="preserve"> la tarifa de interconexión que debe aplicarse a los operadores distintos al Agente Económico Preponderante (en lo sucesivo, “AEP”) debe ser asimétrica.</w:t>
      </w:r>
    </w:p>
    <w:p w14:paraId="6ED4E1A8" w14:textId="77777777" w:rsidR="004D181A" w:rsidRPr="00ED4558" w:rsidRDefault="004D181A" w:rsidP="00773BC1">
      <w:pPr>
        <w:spacing w:after="0"/>
        <w:ind w:right="20"/>
        <w:jc w:val="both"/>
        <w:rPr>
          <w:rFonts w:ascii="ITC Avant Garde" w:hAnsi="ITC Avant Garde"/>
          <w:szCs w:val="24"/>
        </w:rPr>
      </w:pPr>
    </w:p>
    <w:p w14:paraId="77E1D70D" w14:textId="77777777" w:rsidR="004D181A" w:rsidRPr="00ED4558" w:rsidRDefault="004D181A" w:rsidP="00773BC1">
      <w:pPr>
        <w:spacing w:after="0"/>
        <w:ind w:right="20"/>
        <w:jc w:val="both"/>
        <w:rPr>
          <w:rFonts w:ascii="ITC Avant Garde" w:hAnsi="ITC Avant Garde"/>
          <w:szCs w:val="24"/>
        </w:rPr>
      </w:pPr>
      <w:r w:rsidRPr="00ED4558">
        <w:rPr>
          <w:rFonts w:ascii="ITC Avant Garde" w:hAnsi="ITC Avant Garde"/>
          <w:szCs w:val="24"/>
        </w:rPr>
        <w:t xml:space="preserve">Al respecto, el perito de </w:t>
      </w:r>
      <w:r w:rsidR="004B26D6" w:rsidRPr="00ED4558">
        <w:rPr>
          <w:rFonts w:ascii="ITC Avant Garde" w:hAnsi="ITC Avant Garde"/>
          <w:szCs w:val="24"/>
        </w:rPr>
        <w:t xml:space="preserve">Cablevisión Red </w:t>
      </w:r>
      <w:r w:rsidRPr="00ED4558">
        <w:rPr>
          <w:rFonts w:ascii="ITC Avant Garde" w:hAnsi="ITC Avant Garde"/>
          <w:szCs w:val="24"/>
        </w:rPr>
        <w:t xml:space="preserve">respondió que la ley obliga al Instituto a considerar las asimetrías naturales de las redes para determinar la tarifa de interconexión que deberán pagarse los concesionarios distintos al AEP. </w:t>
      </w:r>
    </w:p>
    <w:p w14:paraId="2E03F2A7" w14:textId="77777777" w:rsidR="004D181A" w:rsidRPr="00ED4558" w:rsidRDefault="004D181A" w:rsidP="00773BC1">
      <w:pPr>
        <w:spacing w:after="0"/>
        <w:ind w:right="20"/>
        <w:jc w:val="both"/>
        <w:rPr>
          <w:rFonts w:ascii="ITC Avant Garde" w:hAnsi="ITC Avant Garde"/>
          <w:szCs w:val="24"/>
        </w:rPr>
      </w:pPr>
    </w:p>
    <w:p w14:paraId="6880BDEB" w14:textId="77777777" w:rsidR="004D181A" w:rsidRPr="00ED4558" w:rsidRDefault="004D181A" w:rsidP="00773BC1">
      <w:pPr>
        <w:spacing w:after="0"/>
        <w:ind w:right="20"/>
        <w:jc w:val="both"/>
        <w:rPr>
          <w:rFonts w:ascii="ITC Avant Garde" w:hAnsi="ITC Avant Garde" w:cs="Arial"/>
          <w:bCs/>
        </w:rPr>
      </w:pPr>
      <w:r w:rsidRPr="00ED4558">
        <w:rPr>
          <w:rFonts w:ascii="ITC Avant Garde" w:hAnsi="ITC Avant Garde"/>
          <w:szCs w:val="24"/>
        </w:rPr>
        <w:t xml:space="preserve">Referente a la </w:t>
      </w:r>
      <w:r w:rsidR="00F92236" w:rsidRPr="00ED4558">
        <w:rPr>
          <w:rFonts w:ascii="ITC Avant Garde" w:hAnsi="ITC Avant Garde"/>
          <w:szCs w:val="24"/>
        </w:rPr>
        <w:t xml:space="preserve">respuesta ofrecida por el perito de </w:t>
      </w:r>
      <w:r w:rsidR="004B26D6" w:rsidRPr="00ED4558">
        <w:rPr>
          <w:rFonts w:ascii="ITC Avant Garde" w:hAnsi="ITC Avant Garde"/>
          <w:szCs w:val="24"/>
        </w:rPr>
        <w:t>Cablevisión Red</w:t>
      </w:r>
      <w:r w:rsidR="00F92236" w:rsidRPr="00ED4558">
        <w:rPr>
          <w:rFonts w:ascii="ITC Avant Garde" w:hAnsi="ITC Avant Garde"/>
          <w:szCs w:val="24"/>
        </w:rPr>
        <w:t xml:space="preserve">, </w:t>
      </w:r>
      <w:r w:rsidRPr="00ED4558">
        <w:rPr>
          <w:rFonts w:ascii="ITC Avant Garde" w:hAnsi="ITC Avant Garde"/>
          <w:szCs w:val="24"/>
        </w:rPr>
        <w:t xml:space="preserve"> este Insti</w:t>
      </w:r>
      <w:r w:rsidR="00F92236" w:rsidRPr="00ED4558">
        <w:rPr>
          <w:rFonts w:ascii="ITC Avant Garde" w:hAnsi="ITC Avant Garde"/>
          <w:szCs w:val="24"/>
        </w:rPr>
        <w:t>tuto coincide con la respuesta del</w:t>
      </w:r>
      <w:r w:rsidRPr="00ED4558">
        <w:rPr>
          <w:rFonts w:ascii="ITC Avant Garde" w:hAnsi="ITC Avant Garde"/>
          <w:szCs w:val="24"/>
        </w:rPr>
        <w:t xml:space="preserve"> concesionario en el sentido de que el Instituto está obligado a emitir una metodología de costos tomando en cuenta las asimetrías </w:t>
      </w:r>
      <w:r w:rsidRPr="00ED4558">
        <w:rPr>
          <w:rFonts w:ascii="ITC Avant Garde" w:hAnsi="ITC Avant Garde" w:cs="Arial"/>
          <w:bCs/>
        </w:rPr>
        <w:t xml:space="preserve">naturales de las redes a ser interconectadas, la participación de mercado o cualquier otro factor que el </w:t>
      </w:r>
      <w:r w:rsidR="006C6D6C" w:rsidRPr="00ED4558">
        <w:rPr>
          <w:rFonts w:ascii="ITC Avant Garde" w:hAnsi="ITC Avant Garde" w:cs="Arial"/>
          <w:bCs/>
        </w:rPr>
        <w:t>I</w:t>
      </w:r>
      <w:r w:rsidRPr="00ED4558">
        <w:rPr>
          <w:rFonts w:ascii="ITC Avant Garde" w:hAnsi="ITC Avant Garde" w:cs="Arial"/>
          <w:bCs/>
        </w:rPr>
        <w:t>nstituto considere necesario, sin embargo</w:t>
      </w:r>
      <w:r w:rsidR="006C6D6C" w:rsidRPr="00ED4558">
        <w:rPr>
          <w:rFonts w:ascii="ITC Avant Garde" w:hAnsi="ITC Avant Garde" w:cs="Arial"/>
          <w:bCs/>
        </w:rPr>
        <w:t>,</w:t>
      </w:r>
      <w:r w:rsidRPr="00ED4558">
        <w:rPr>
          <w:rFonts w:ascii="ITC Avant Garde" w:hAnsi="ITC Avant Garde" w:cs="Arial"/>
          <w:bCs/>
        </w:rPr>
        <w:t xml:space="preserve"> cabe aclarar que esto no implica la obligación de crear un modelo de costos para cada uno de los operadores en virtud de que el Decreto señala que a efecto de promover una competencia efectiva se deben establecer al AEP las medidas necesarias para evitar que se afecte la competencia y la libre concurrencia. Esto es, el establecimiento de condiciones equitativas de competencia se logrará regulando al AEP.</w:t>
      </w:r>
    </w:p>
    <w:p w14:paraId="2E02C4A0" w14:textId="77777777" w:rsidR="004D181A" w:rsidRPr="00ED4558" w:rsidRDefault="004D181A" w:rsidP="00773BC1">
      <w:pPr>
        <w:spacing w:after="0"/>
        <w:ind w:right="20"/>
        <w:jc w:val="both"/>
        <w:rPr>
          <w:rFonts w:ascii="ITC Avant Garde" w:hAnsi="ITC Avant Garde"/>
          <w:szCs w:val="24"/>
        </w:rPr>
      </w:pPr>
    </w:p>
    <w:p w14:paraId="3B3E0950" w14:textId="77777777" w:rsidR="004D181A" w:rsidRPr="00ED4558" w:rsidRDefault="004D181A" w:rsidP="00773BC1">
      <w:pPr>
        <w:spacing w:after="0"/>
        <w:ind w:right="20"/>
        <w:jc w:val="both"/>
        <w:rPr>
          <w:rFonts w:ascii="ITC Avant Garde" w:hAnsi="ITC Avant Garde"/>
          <w:szCs w:val="24"/>
        </w:rPr>
      </w:pPr>
      <w:r w:rsidRPr="00ED4558">
        <w:rPr>
          <w:rFonts w:ascii="ITC Avant Garde" w:hAnsi="ITC Avant Garde"/>
          <w:b/>
          <w:szCs w:val="24"/>
        </w:rPr>
        <w:t xml:space="preserve">Pregunta 5. </w:t>
      </w:r>
      <w:r w:rsidRPr="00ED4558">
        <w:rPr>
          <w:rFonts w:ascii="ITC Avant Garde" w:hAnsi="ITC Avant Garde"/>
          <w:szCs w:val="24"/>
        </w:rPr>
        <w:t xml:space="preserve">Se solicitó al perito que mencionaran los elementos mínimos, conforme a la </w:t>
      </w:r>
      <w:proofErr w:type="spellStart"/>
      <w:r w:rsidRPr="00ED4558">
        <w:rPr>
          <w:rFonts w:ascii="ITC Avant Garde" w:hAnsi="ITC Avant Garde"/>
          <w:szCs w:val="24"/>
        </w:rPr>
        <w:t>LFTyR</w:t>
      </w:r>
      <w:proofErr w:type="spellEnd"/>
      <w:r w:rsidRPr="00ED4558">
        <w:rPr>
          <w:rFonts w:ascii="ITC Avant Garde" w:hAnsi="ITC Avant Garde"/>
          <w:szCs w:val="24"/>
        </w:rPr>
        <w:t>, que deben ser considerados por el Instituto en la metodología que utilice para determinar la tarifa de interconexión en el caso de los operadores distintos al AEP.</w:t>
      </w:r>
    </w:p>
    <w:p w14:paraId="55F81E13" w14:textId="77777777" w:rsidR="004D181A" w:rsidRPr="00ED4558" w:rsidRDefault="004D181A" w:rsidP="00773BC1">
      <w:pPr>
        <w:spacing w:after="0"/>
        <w:ind w:right="20"/>
        <w:jc w:val="both"/>
        <w:rPr>
          <w:rFonts w:ascii="ITC Avant Garde" w:hAnsi="ITC Avant Garde"/>
          <w:szCs w:val="24"/>
        </w:rPr>
      </w:pPr>
    </w:p>
    <w:p w14:paraId="2AA69AD7" w14:textId="77777777" w:rsidR="004D181A" w:rsidRPr="00ED4558" w:rsidRDefault="004D181A" w:rsidP="00773BC1">
      <w:pPr>
        <w:spacing w:after="0"/>
        <w:ind w:right="20"/>
        <w:jc w:val="both"/>
        <w:rPr>
          <w:rFonts w:ascii="ITC Avant Garde" w:hAnsi="ITC Avant Garde"/>
          <w:szCs w:val="24"/>
        </w:rPr>
      </w:pPr>
      <w:r w:rsidRPr="00ED4558">
        <w:rPr>
          <w:rFonts w:ascii="ITC Avant Garde" w:hAnsi="ITC Avant Garde"/>
          <w:szCs w:val="24"/>
        </w:rPr>
        <w:lastRenderedPageBreak/>
        <w:t xml:space="preserve">El perito de </w:t>
      </w:r>
      <w:r w:rsidR="006C6D6C" w:rsidRPr="00ED4558">
        <w:rPr>
          <w:rFonts w:ascii="ITC Avant Garde" w:hAnsi="ITC Avant Garde"/>
          <w:szCs w:val="24"/>
        </w:rPr>
        <w:t xml:space="preserve">Cablevisión Red </w:t>
      </w:r>
      <w:r w:rsidRPr="00ED4558">
        <w:rPr>
          <w:rFonts w:ascii="ITC Avant Garde" w:hAnsi="ITC Avant Garde"/>
          <w:szCs w:val="24"/>
        </w:rPr>
        <w:t>señaló que dichos elementos corresponden a la participación de mercado, horarios de congestionamiento de tráfico y el volumen de tráfico, así como otros elementos que el Instituto considere relevantes.</w:t>
      </w:r>
    </w:p>
    <w:p w14:paraId="548EFF13" w14:textId="77777777" w:rsidR="004D181A" w:rsidRPr="00ED4558" w:rsidRDefault="004D181A" w:rsidP="00773BC1">
      <w:pPr>
        <w:spacing w:after="0"/>
        <w:ind w:right="20"/>
        <w:jc w:val="both"/>
        <w:rPr>
          <w:rFonts w:ascii="ITC Avant Garde" w:hAnsi="ITC Avant Garde"/>
          <w:szCs w:val="24"/>
        </w:rPr>
      </w:pPr>
    </w:p>
    <w:p w14:paraId="0CDC54FF" w14:textId="33032DF5" w:rsidR="00225EDD" w:rsidRPr="00ED4558" w:rsidRDefault="004D181A" w:rsidP="00225EDD">
      <w:pPr>
        <w:spacing w:after="0"/>
        <w:ind w:right="20"/>
        <w:jc w:val="both"/>
        <w:rPr>
          <w:rFonts w:ascii="ITC Avant Garde" w:hAnsi="ITC Avant Garde"/>
          <w:szCs w:val="24"/>
        </w:rPr>
      </w:pPr>
      <w:r w:rsidRPr="00ED4558">
        <w:rPr>
          <w:rFonts w:ascii="ITC Avant Garde" w:hAnsi="ITC Avant Garde"/>
          <w:szCs w:val="24"/>
        </w:rPr>
        <w:t>Referente a la</w:t>
      </w:r>
      <w:r w:rsidR="00F92236" w:rsidRPr="00ED4558">
        <w:rPr>
          <w:rFonts w:ascii="ITC Avant Garde" w:hAnsi="ITC Avant Garde"/>
          <w:szCs w:val="24"/>
        </w:rPr>
        <w:t xml:space="preserve"> respuesta</w:t>
      </w:r>
      <w:r w:rsidRPr="00ED4558">
        <w:rPr>
          <w:rFonts w:ascii="ITC Avant Garde" w:hAnsi="ITC Avant Garde"/>
          <w:szCs w:val="24"/>
        </w:rPr>
        <w:t xml:space="preserve"> ofrecida por </w:t>
      </w:r>
      <w:r w:rsidR="00F92236" w:rsidRPr="00ED4558">
        <w:rPr>
          <w:rFonts w:ascii="ITC Avant Garde" w:hAnsi="ITC Avant Garde"/>
          <w:szCs w:val="24"/>
        </w:rPr>
        <w:t>el perito</w:t>
      </w:r>
      <w:r w:rsidRPr="00ED4558">
        <w:rPr>
          <w:rFonts w:ascii="ITC Avant Garde" w:hAnsi="ITC Avant Garde"/>
          <w:szCs w:val="24"/>
        </w:rPr>
        <w:t xml:space="preserve">, este Instituto coincide con la respuesta </w:t>
      </w:r>
      <w:r w:rsidR="00F92236" w:rsidRPr="00ED4558">
        <w:rPr>
          <w:rFonts w:ascii="ITC Avant Garde" w:hAnsi="ITC Avant Garde"/>
          <w:szCs w:val="24"/>
        </w:rPr>
        <w:t>de</w:t>
      </w:r>
      <w:r w:rsidR="00225EDD" w:rsidRPr="00ED4558">
        <w:rPr>
          <w:rFonts w:ascii="ITC Avant Garde" w:hAnsi="ITC Avant Garde"/>
          <w:szCs w:val="24"/>
        </w:rPr>
        <w:t xml:space="preserve"> los peritos </w:t>
      </w:r>
      <w:r w:rsidRPr="00ED4558">
        <w:rPr>
          <w:rFonts w:ascii="ITC Avant Garde" w:hAnsi="ITC Avant Garde"/>
          <w:szCs w:val="24"/>
        </w:rPr>
        <w:t>en cuanto a los elementos que considera el Instituto en la metodología de costos para determinar las tarifas de interconexión</w:t>
      </w:r>
      <w:r w:rsidR="00225EDD" w:rsidRPr="00ED4558">
        <w:rPr>
          <w:rFonts w:ascii="ITC Avant Garde" w:hAnsi="ITC Avant Garde"/>
          <w:szCs w:val="24"/>
        </w:rPr>
        <w:t>.</w:t>
      </w:r>
    </w:p>
    <w:p w14:paraId="7BB56CFC" w14:textId="77777777" w:rsidR="004D181A" w:rsidRPr="00ED4558" w:rsidRDefault="004D181A" w:rsidP="00773BC1">
      <w:pPr>
        <w:spacing w:after="0"/>
        <w:ind w:right="20"/>
        <w:jc w:val="both"/>
        <w:rPr>
          <w:rFonts w:ascii="ITC Avant Garde" w:hAnsi="ITC Avant Garde"/>
          <w:szCs w:val="24"/>
        </w:rPr>
      </w:pPr>
    </w:p>
    <w:p w14:paraId="7A230225" w14:textId="77777777" w:rsidR="004D181A" w:rsidRPr="00ED4558" w:rsidRDefault="004D181A" w:rsidP="00773BC1">
      <w:pPr>
        <w:spacing w:after="0"/>
        <w:ind w:right="20"/>
        <w:jc w:val="both"/>
        <w:rPr>
          <w:rFonts w:ascii="ITC Avant Garde" w:hAnsi="ITC Avant Garde"/>
          <w:szCs w:val="24"/>
        </w:rPr>
      </w:pPr>
      <w:r w:rsidRPr="00ED4558">
        <w:rPr>
          <w:rFonts w:ascii="ITC Avant Garde" w:hAnsi="ITC Avant Garde"/>
          <w:b/>
          <w:szCs w:val="24"/>
        </w:rPr>
        <w:t xml:space="preserve">Pregunta 6. </w:t>
      </w:r>
      <w:r w:rsidRPr="00ED4558">
        <w:rPr>
          <w:rFonts w:ascii="ITC Avant Garde" w:hAnsi="ITC Avant Garde"/>
          <w:szCs w:val="24"/>
        </w:rPr>
        <w:t xml:space="preserve">Se requirió al perito que señalara si para el cálculo de la tarifa de terminación determinada para los operadores distintos al AEP y señalada en el Acuerdo de Tarifas 2015, se consideraron las asimetrías naturales de las redes y la participación de mercado tal como lo señala el artículo 131 de la </w:t>
      </w:r>
      <w:proofErr w:type="spellStart"/>
      <w:r w:rsidRPr="00ED4558">
        <w:rPr>
          <w:rFonts w:ascii="ITC Avant Garde" w:hAnsi="ITC Avant Garde"/>
          <w:szCs w:val="24"/>
        </w:rPr>
        <w:t>LFTyR</w:t>
      </w:r>
      <w:proofErr w:type="spellEnd"/>
      <w:r w:rsidRPr="00ED4558">
        <w:rPr>
          <w:rFonts w:ascii="ITC Avant Garde" w:hAnsi="ITC Avant Garde"/>
          <w:szCs w:val="24"/>
        </w:rPr>
        <w:t>.</w:t>
      </w:r>
    </w:p>
    <w:p w14:paraId="2C16365C" w14:textId="77777777" w:rsidR="004D181A" w:rsidRPr="00ED4558" w:rsidRDefault="004D181A" w:rsidP="00773BC1">
      <w:pPr>
        <w:spacing w:after="0"/>
        <w:ind w:right="20"/>
        <w:jc w:val="both"/>
        <w:rPr>
          <w:rFonts w:ascii="ITC Avant Garde" w:hAnsi="ITC Avant Garde"/>
          <w:szCs w:val="24"/>
        </w:rPr>
      </w:pPr>
    </w:p>
    <w:p w14:paraId="6B303711" w14:textId="77777777" w:rsidR="004D181A" w:rsidRPr="00ED4558" w:rsidRDefault="007B6073" w:rsidP="00773BC1">
      <w:pPr>
        <w:spacing w:after="0"/>
        <w:ind w:right="20"/>
        <w:jc w:val="both"/>
        <w:rPr>
          <w:rFonts w:ascii="ITC Avant Garde" w:hAnsi="ITC Avant Garde"/>
          <w:szCs w:val="24"/>
        </w:rPr>
      </w:pPr>
      <w:r w:rsidRPr="00ED4558">
        <w:rPr>
          <w:rFonts w:ascii="ITC Avant Garde" w:hAnsi="ITC Avant Garde"/>
          <w:szCs w:val="24"/>
        </w:rPr>
        <w:t xml:space="preserve">Al respecto el perito de </w:t>
      </w:r>
      <w:r w:rsidR="006C6D6C" w:rsidRPr="00ED4558">
        <w:rPr>
          <w:rFonts w:ascii="ITC Avant Garde" w:hAnsi="ITC Avant Garde"/>
          <w:szCs w:val="24"/>
        </w:rPr>
        <w:t xml:space="preserve">Cablevisión Red </w:t>
      </w:r>
      <w:r w:rsidR="004D181A" w:rsidRPr="00ED4558">
        <w:rPr>
          <w:rFonts w:ascii="ITC Avant Garde" w:hAnsi="ITC Avant Garde"/>
          <w:szCs w:val="24"/>
        </w:rPr>
        <w:t>señaló que el Acuerdo de Tarifas 2015 no consideró las asimetrías naturales de las redes de los concesionarios distintos al AEP para fijar la tarifa de interconexión para el tráfico que termina en sus redes. Por otra parte en dicho acuerdo se señala que para los operadores distintos al AEP se considera una participación de mercado de 36% y que cada usuario tiene al menos dos opciones de operador, por lo que tales supuestos están fuera de la realidad. Ningún operador distinto al AEP cuenta con tal participación de mercado, no existe una empresa de cable o telecomunicaciones distinta al AEP con cobertura nacional.</w:t>
      </w:r>
    </w:p>
    <w:p w14:paraId="33BD8A9A" w14:textId="77777777" w:rsidR="004D181A" w:rsidRPr="00ED4558" w:rsidRDefault="004D181A" w:rsidP="00773BC1">
      <w:pPr>
        <w:spacing w:after="0"/>
        <w:ind w:right="20"/>
        <w:jc w:val="both"/>
        <w:rPr>
          <w:rFonts w:ascii="ITC Avant Garde" w:hAnsi="ITC Avant Garde"/>
          <w:b/>
          <w:szCs w:val="24"/>
        </w:rPr>
      </w:pPr>
    </w:p>
    <w:p w14:paraId="097B0081" w14:textId="77777777" w:rsidR="00E24269" w:rsidRPr="00ED4558" w:rsidRDefault="004D181A" w:rsidP="00773BC1">
      <w:pPr>
        <w:spacing w:after="0"/>
        <w:jc w:val="both"/>
        <w:rPr>
          <w:rFonts w:ascii="ITC Avant Garde" w:hAnsi="ITC Avant Garde"/>
          <w:szCs w:val="24"/>
        </w:rPr>
      </w:pPr>
      <w:r w:rsidRPr="00ED4558">
        <w:rPr>
          <w:rFonts w:ascii="ITC Avant Garde" w:hAnsi="ITC Avant Garde"/>
          <w:szCs w:val="24"/>
        </w:rPr>
        <w:t>El Instituto desestima la respuesta del pe</w:t>
      </w:r>
      <w:r w:rsidR="007B6073" w:rsidRPr="00ED4558">
        <w:rPr>
          <w:rFonts w:ascii="ITC Avant Garde" w:hAnsi="ITC Avant Garde"/>
          <w:szCs w:val="24"/>
        </w:rPr>
        <w:t xml:space="preserve">rito de </w:t>
      </w:r>
      <w:r w:rsidR="006C6D6C" w:rsidRPr="00ED4558">
        <w:rPr>
          <w:rFonts w:ascii="ITC Avant Garde" w:hAnsi="ITC Avant Garde"/>
          <w:szCs w:val="24"/>
        </w:rPr>
        <w:t xml:space="preserve">Cablevisión Red </w:t>
      </w:r>
      <w:r w:rsidRPr="00ED4558">
        <w:rPr>
          <w:rFonts w:ascii="ITC Avant Garde" w:hAnsi="ITC Avant Garde"/>
          <w:szCs w:val="24"/>
        </w:rPr>
        <w:t xml:space="preserve">toda vez que el Instituto </w:t>
      </w:r>
      <w:r w:rsidR="00E24269" w:rsidRPr="00ED4558">
        <w:rPr>
          <w:rFonts w:ascii="ITC Avant Garde" w:hAnsi="ITC Avant Garde"/>
          <w:szCs w:val="24"/>
        </w:rPr>
        <w:t xml:space="preserve">consideró las asimetrías naturales señaladas en el artículo 131 de la </w:t>
      </w:r>
      <w:proofErr w:type="spellStart"/>
      <w:r w:rsidR="00E24269" w:rsidRPr="00ED4558">
        <w:rPr>
          <w:rFonts w:ascii="ITC Avant Garde" w:hAnsi="ITC Avant Garde"/>
          <w:szCs w:val="24"/>
        </w:rPr>
        <w:t>LFTyR</w:t>
      </w:r>
      <w:proofErr w:type="spellEnd"/>
      <w:r w:rsidR="00E24269" w:rsidRPr="00ED4558">
        <w:rPr>
          <w:rFonts w:ascii="ITC Avant Garde" w:hAnsi="ITC Avant Garde"/>
          <w:szCs w:val="24"/>
        </w:rPr>
        <w:t xml:space="preserve"> en la elaboración del modelo de costos, y para tal efecto se apegó a lo establecido en la Metodología de Costos.</w:t>
      </w:r>
    </w:p>
    <w:p w14:paraId="4ECEFE13" w14:textId="77777777" w:rsidR="006C6D6C" w:rsidRPr="00ED4558" w:rsidRDefault="006C6D6C" w:rsidP="00773BC1">
      <w:pPr>
        <w:spacing w:after="0"/>
        <w:jc w:val="both"/>
        <w:rPr>
          <w:rFonts w:ascii="ITC Avant Garde" w:hAnsi="ITC Avant Garde"/>
          <w:szCs w:val="24"/>
        </w:rPr>
      </w:pPr>
    </w:p>
    <w:p w14:paraId="75F5F4FE" w14:textId="77777777" w:rsidR="00E24269" w:rsidRPr="00ED4558" w:rsidRDefault="00E24269" w:rsidP="00773BC1">
      <w:pPr>
        <w:spacing w:after="0"/>
        <w:jc w:val="both"/>
        <w:rPr>
          <w:rFonts w:ascii="ITC Avant Garde" w:hAnsi="ITC Avant Garde"/>
          <w:szCs w:val="24"/>
        </w:rPr>
      </w:pPr>
      <w:r w:rsidRPr="00ED4558">
        <w:rPr>
          <w:rFonts w:ascii="ITC Avant Garde" w:hAnsi="ITC Avant Garde"/>
          <w:szCs w:val="24"/>
        </w:rPr>
        <w:t xml:space="preserve">Dicha metodología consideró que el artículo 131 de la </w:t>
      </w:r>
      <w:proofErr w:type="spellStart"/>
      <w:r w:rsidRPr="00ED4558">
        <w:rPr>
          <w:rFonts w:ascii="ITC Avant Garde" w:hAnsi="ITC Avant Garde"/>
          <w:szCs w:val="24"/>
        </w:rPr>
        <w:t>LFTyR</w:t>
      </w:r>
      <w:proofErr w:type="spellEnd"/>
      <w:r w:rsidRPr="00ED4558">
        <w:rPr>
          <w:rFonts w:ascii="ITC Avant Garde" w:hAnsi="ITC Avant Garde"/>
          <w:szCs w:val="24"/>
        </w:rPr>
        <w:t xml:space="preserve"> señalaba expresamente dos situaciones en las cuales se observaban diferencias objetivas bajo las que se pueden establecer tarifas asimétricas de interconexión: en el primer caso, existe un agente económico preponderante en el sector telecomunicaciones; el segundo caso, está presente un agente con poder sustancial en el mercado relevante de terminación de llamadas y mensajes cortos.</w:t>
      </w:r>
    </w:p>
    <w:p w14:paraId="77C4A929" w14:textId="77777777" w:rsidR="00E24269" w:rsidRPr="00ED4558" w:rsidRDefault="00E24269" w:rsidP="00773BC1">
      <w:pPr>
        <w:spacing w:after="0"/>
        <w:jc w:val="both"/>
        <w:rPr>
          <w:rFonts w:ascii="ITC Avant Garde" w:hAnsi="ITC Avant Garde"/>
          <w:szCs w:val="24"/>
        </w:rPr>
      </w:pPr>
    </w:p>
    <w:p w14:paraId="4E9A7185" w14:textId="77777777" w:rsidR="00E24269" w:rsidRPr="00ED4558" w:rsidRDefault="00E24269" w:rsidP="00773BC1">
      <w:pPr>
        <w:spacing w:after="0"/>
        <w:jc w:val="both"/>
        <w:rPr>
          <w:rFonts w:ascii="ITC Avant Garde" w:hAnsi="ITC Avant Garde"/>
          <w:szCs w:val="24"/>
        </w:rPr>
      </w:pPr>
      <w:r w:rsidRPr="00ED4558">
        <w:rPr>
          <w:rFonts w:ascii="ITC Avant Garde" w:hAnsi="ITC Avant Garde"/>
          <w:szCs w:val="24"/>
        </w:rPr>
        <w:t xml:space="preserve">Asimismo, es preciso mencionar que históricamente los órganos reguladores han llevado a cabo un trato asimétrico en el cálculo de los costos de interconexión entre redes fijas y móviles. La diferenciación radica en que en las redes fijas, el usuario tiene un acceso dedicado exclusivamente para su uso, normalmente a través de un par de cobre o más </w:t>
      </w:r>
      <w:r w:rsidRPr="00ED4558">
        <w:rPr>
          <w:rFonts w:ascii="ITC Avant Garde" w:hAnsi="ITC Avant Garde"/>
          <w:szCs w:val="24"/>
        </w:rPr>
        <w:lastRenderedPageBreak/>
        <w:t xml:space="preserve">recientemente de fibra óptica, lo que representa inversiones en las que el concesionario debe incurrir con independencia de que el usuario decida hacer uso o no del servicio. </w:t>
      </w:r>
    </w:p>
    <w:p w14:paraId="1601DD40" w14:textId="77777777" w:rsidR="00E24269" w:rsidRPr="00ED4558" w:rsidRDefault="00E24269" w:rsidP="00773BC1">
      <w:pPr>
        <w:spacing w:after="0"/>
        <w:jc w:val="both"/>
        <w:rPr>
          <w:rFonts w:ascii="ITC Avant Garde" w:hAnsi="ITC Avant Garde"/>
          <w:szCs w:val="24"/>
        </w:rPr>
      </w:pPr>
    </w:p>
    <w:p w14:paraId="6091A33C" w14:textId="77777777" w:rsidR="00E24269" w:rsidRPr="00ED4558" w:rsidRDefault="00E24269" w:rsidP="00773BC1">
      <w:pPr>
        <w:spacing w:after="0"/>
        <w:jc w:val="both"/>
        <w:rPr>
          <w:rFonts w:ascii="ITC Avant Garde" w:hAnsi="ITC Avant Garde"/>
          <w:szCs w:val="24"/>
        </w:rPr>
      </w:pPr>
      <w:r w:rsidRPr="00ED4558">
        <w:rPr>
          <w:rFonts w:ascii="ITC Avant Garde" w:hAnsi="ITC Avant Garde"/>
          <w:szCs w:val="24"/>
        </w:rPr>
        <w:t xml:space="preserve">En el caso del servicio móvil, el usuario no cuenta con capacidad de red dedicada para su uso exclusivo, sino que únicamente hace uso de la misma en la medida en que se conecta por medio de una llamada de voz o una conexión de datos. </w:t>
      </w:r>
      <w:r w:rsidRPr="00ED4558">
        <w:rPr>
          <w:rFonts w:ascii="ITC Avant Garde" w:hAnsi="ITC Avant Garde"/>
          <w:szCs w:val="24"/>
        </w:rPr>
        <w:br/>
      </w:r>
    </w:p>
    <w:p w14:paraId="4E301D79" w14:textId="77777777" w:rsidR="00773BC1" w:rsidRPr="00ED4558" w:rsidRDefault="00E24269" w:rsidP="00773BC1">
      <w:pPr>
        <w:spacing w:after="0"/>
        <w:jc w:val="both"/>
        <w:rPr>
          <w:rFonts w:ascii="ITC Avant Garde" w:hAnsi="ITC Avant Garde"/>
          <w:szCs w:val="24"/>
        </w:rPr>
      </w:pPr>
      <w:r w:rsidRPr="00ED4558">
        <w:rPr>
          <w:rFonts w:ascii="ITC Avant Garde" w:hAnsi="ITC Avant Garde"/>
          <w:szCs w:val="24"/>
        </w:rPr>
        <w:t xml:space="preserve">Esta asimetría natural de los servicios fijos y móviles propicia que en el caso de los primeros, exista un costo fijo relacionado con la capacidad dedicada para el usuario final, que no existe en el servicio móvil, lo cual genera distintos comportamientos en los costos respectivos, en ninguna otra situación se observa una diferenciación objetiva que permita </w:t>
      </w:r>
      <w:r w:rsidR="0058287F" w:rsidRPr="00ED4558">
        <w:rPr>
          <w:rFonts w:ascii="ITC Avant Garde" w:hAnsi="ITC Avant Garde"/>
          <w:szCs w:val="24"/>
        </w:rPr>
        <w:t xml:space="preserve">llevar a que se consideren costos distintos por cada operador como lo señala el perito de </w:t>
      </w:r>
      <w:r w:rsidR="006C6D6C" w:rsidRPr="00ED4558">
        <w:rPr>
          <w:rFonts w:ascii="ITC Avant Garde" w:hAnsi="ITC Avant Garde"/>
          <w:szCs w:val="24"/>
        </w:rPr>
        <w:t>Cablevisión Red</w:t>
      </w:r>
      <w:r w:rsidR="0058287F" w:rsidRPr="00ED4558">
        <w:rPr>
          <w:rFonts w:ascii="ITC Avant Garde" w:hAnsi="ITC Avant Garde"/>
          <w:szCs w:val="24"/>
        </w:rPr>
        <w:t xml:space="preserve">. </w:t>
      </w:r>
    </w:p>
    <w:p w14:paraId="26E77B48" w14:textId="77777777" w:rsidR="00E24269" w:rsidRPr="00ED4558" w:rsidRDefault="00E24269" w:rsidP="00773BC1">
      <w:pPr>
        <w:spacing w:after="0"/>
        <w:jc w:val="both"/>
        <w:rPr>
          <w:rFonts w:ascii="ITC Avant Garde" w:hAnsi="ITC Avant Garde"/>
          <w:b/>
        </w:rPr>
      </w:pPr>
    </w:p>
    <w:p w14:paraId="19714835" w14:textId="77777777" w:rsidR="000D4C2E" w:rsidRPr="00ED4558" w:rsidRDefault="009C1423" w:rsidP="000D4C2E">
      <w:pPr>
        <w:spacing w:after="0"/>
        <w:jc w:val="both"/>
        <w:rPr>
          <w:rFonts w:ascii="ITC Avant Garde" w:hAnsi="ITC Avant Garde"/>
        </w:rPr>
      </w:pPr>
      <w:r w:rsidRPr="00ED4558">
        <w:rPr>
          <w:rFonts w:ascii="ITC Avant Garde" w:hAnsi="ITC Avant Garde"/>
        </w:rPr>
        <w:t>Ahora bien, del análisis integral al dictamen pericial en todas las preguntas, este Instituto concluye que si bien en algunas es coincidente y en otras divergente, no le genera convicción de que las condiciones no convenidas sujetas a resolución, puedan regularse de diversa forma a las resueltas en la presente</w:t>
      </w:r>
      <w:r w:rsidR="009034B7" w:rsidRPr="00ED4558">
        <w:rPr>
          <w:rFonts w:ascii="ITC Avant Garde" w:hAnsi="ITC Avant Garde"/>
        </w:rPr>
        <w:t xml:space="preserve"> Resolución, lo anterior, </w:t>
      </w:r>
      <w:r w:rsidRPr="00ED4558">
        <w:rPr>
          <w:rFonts w:ascii="ITC Avant Garde" w:hAnsi="ITC Avant Garde"/>
        </w:rPr>
        <w:t>en términos del artículo 211 del CFPC</w:t>
      </w:r>
      <w:r w:rsidR="000D4C2E" w:rsidRPr="00ED4558">
        <w:rPr>
          <w:rFonts w:ascii="ITC Avant Garde" w:hAnsi="ITC Avant Garde"/>
        </w:rPr>
        <w:t xml:space="preserve"> que faculta al Instituto a valorar a su prudente apreciación este tipo de pruebas.</w:t>
      </w:r>
    </w:p>
    <w:p w14:paraId="59BA69D5" w14:textId="77777777" w:rsidR="009C1423" w:rsidRPr="00ED4558" w:rsidRDefault="009C1423" w:rsidP="00773BC1">
      <w:pPr>
        <w:spacing w:after="0"/>
        <w:jc w:val="both"/>
        <w:rPr>
          <w:rFonts w:ascii="ITC Avant Garde" w:hAnsi="ITC Avant Garde"/>
          <w:b/>
        </w:rPr>
      </w:pPr>
    </w:p>
    <w:p w14:paraId="5F7AF561" w14:textId="77777777" w:rsidR="009C1423" w:rsidRPr="00ED4558" w:rsidRDefault="009C1423" w:rsidP="009C1423">
      <w:pPr>
        <w:spacing w:after="0"/>
        <w:jc w:val="both"/>
        <w:rPr>
          <w:rFonts w:ascii="ITC Avant Garde" w:hAnsi="ITC Avant Garde"/>
          <w:b/>
          <w:u w:val="single"/>
        </w:rPr>
      </w:pPr>
      <w:proofErr w:type="spellStart"/>
      <w:r w:rsidRPr="00ED4558">
        <w:rPr>
          <w:rFonts w:ascii="ITC Avant Garde" w:hAnsi="ITC Avant Garde"/>
          <w:b/>
          <w:u w:val="single"/>
        </w:rPr>
        <w:t>Presuncional</w:t>
      </w:r>
      <w:proofErr w:type="spellEnd"/>
    </w:p>
    <w:p w14:paraId="0B2484C0" w14:textId="77777777" w:rsidR="009C1423" w:rsidRPr="00ED4558" w:rsidRDefault="009C1423" w:rsidP="009C1423">
      <w:pPr>
        <w:spacing w:after="0"/>
        <w:jc w:val="both"/>
        <w:rPr>
          <w:rFonts w:ascii="ITC Avant Garde" w:hAnsi="ITC Avant Garde"/>
        </w:rPr>
      </w:pPr>
    </w:p>
    <w:p w14:paraId="13056C8E" w14:textId="77777777" w:rsidR="009C1423" w:rsidRPr="00ED4558" w:rsidRDefault="009C1423" w:rsidP="009C1423">
      <w:pPr>
        <w:spacing w:after="0"/>
        <w:jc w:val="both"/>
        <w:rPr>
          <w:rFonts w:ascii="ITC Avant Garde" w:hAnsi="ITC Avant Garde"/>
        </w:rPr>
      </w:pPr>
      <w:r w:rsidRPr="00ED4558">
        <w:rPr>
          <w:rFonts w:ascii="ITC Avant Garde" w:hAnsi="ITC Avant Garde"/>
        </w:rPr>
        <w:t xml:space="preserve">En relación a la </w:t>
      </w:r>
      <w:proofErr w:type="spellStart"/>
      <w:r w:rsidRPr="00ED4558">
        <w:rPr>
          <w:rFonts w:ascii="ITC Avant Garde" w:hAnsi="ITC Avant Garde"/>
        </w:rPr>
        <w:t>Presuncional</w:t>
      </w:r>
      <w:proofErr w:type="spellEnd"/>
      <w:r w:rsidRPr="00ED4558">
        <w:rPr>
          <w:rFonts w:ascii="ITC Avant Garde" w:hAnsi="ITC Avant Garde"/>
        </w:rPr>
        <w:t>, en su doble aspecto, legal y humana, ofrecida como prueba, se les da valor probatorio en términos del artículo 218 del CFPC al ser ésta la consecuencia lógica y natural de hechos conocidos y probados al momento de hacer la deducción respectiva.</w:t>
      </w:r>
    </w:p>
    <w:p w14:paraId="52223CE8" w14:textId="77777777" w:rsidR="009C1423" w:rsidRPr="00ED4558" w:rsidRDefault="009C1423" w:rsidP="009C1423">
      <w:pPr>
        <w:spacing w:after="0"/>
        <w:jc w:val="both"/>
        <w:rPr>
          <w:rFonts w:ascii="ITC Avant Garde" w:hAnsi="ITC Avant Garde"/>
        </w:rPr>
      </w:pPr>
    </w:p>
    <w:p w14:paraId="06876867" w14:textId="77777777" w:rsidR="009C1423" w:rsidRPr="00ED4558" w:rsidRDefault="009C1423" w:rsidP="009C1423">
      <w:pPr>
        <w:spacing w:after="0"/>
        <w:jc w:val="both"/>
        <w:rPr>
          <w:rFonts w:ascii="ITC Avant Garde" w:hAnsi="ITC Avant Garde"/>
          <w:b/>
          <w:u w:val="single"/>
        </w:rPr>
      </w:pPr>
      <w:r w:rsidRPr="00ED4558">
        <w:rPr>
          <w:rFonts w:ascii="ITC Avant Garde" w:hAnsi="ITC Avant Garde"/>
          <w:b/>
          <w:u w:val="single"/>
        </w:rPr>
        <w:t>Instrumental de actuaciones</w:t>
      </w:r>
    </w:p>
    <w:p w14:paraId="13BCDBE9" w14:textId="77777777" w:rsidR="00763BE7" w:rsidRPr="00ED4558" w:rsidRDefault="00763BE7" w:rsidP="009C1423">
      <w:pPr>
        <w:spacing w:after="0"/>
        <w:jc w:val="both"/>
        <w:rPr>
          <w:rFonts w:ascii="ITC Avant Garde" w:hAnsi="ITC Avant Garde"/>
          <w:b/>
          <w:u w:val="single"/>
        </w:rPr>
      </w:pPr>
    </w:p>
    <w:p w14:paraId="4F4D3EBA" w14:textId="77777777" w:rsidR="009C1423" w:rsidRPr="00ED4558" w:rsidRDefault="009C1423" w:rsidP="009C1423">
      <w:pPr>
        <w:spacing w:after="0"/>
        <w:jc w:val="both"/>
        <w:rPr>
          <w:rFonts w:ascii="ITC Avant Garde" w:hAnsi="ITC Avant Garde"/>
        </w:rPr>
      </w:pPr>
      <w:r w:rsidRPr="00ED4558">
        <w:rPr>
          <w:rFonts w:ascii="ITC Avant Garde" w:hAnsi="ITC Avant Garde"/>
        </w:rPr>
        <w:t xml:space="preserve">Respecto </w:t>
      </w:r>
      <w:r w:rsidR="009034B7" w:rsidRPr="00ED4558">
        <w:rPr>
          <w:rFonts w:ascii="ITC Avant Garde" w:hAnsi="ITC Avant Garde"/>
        </w:rPr>
        <w:t>a la prueba instrumental de a</w:t>
      </w:r>
      <w:r w:rsidRPr="00ED4558">
        <w:rPr>
          <w:rFonts w:ascii="ITC Avant Garde" w:hAnsi="ITC Avant Garde"/>
        </w:rPr>
        <w:t>ctuaciones, consistente en todo lo actuado en e</w:t>
      </w:r>
      <w:r w:rsidR="007473C9" w:rsidRPr="00ED4558">
        <w:rPr>
          <w:rFonts w:ascii="ITC Avant Garde" w:hAnsi="ITC Avant Garde"/>
        </w:rPr>
        <w:t>l presente procedimiento, se le</w:t>
      </w:r>
      <w:r w:rsidRPr="00ED4558">
        <w:rPr>
          <w:rFonts w:ascii="ITC Avant Garde" w:hAnsi="ITC Avant Garde"/>
        </w:rPr>
        <w:t xml:space="preserve"> da valor probatorio al constituirse dicha prueba con las constancias que obran en el sumario y en términos del principio ontológico de la prueba, conforme al cual lo ordinario se presume.</w:t>
      </w:r>
    </w:p>
    <w:p w14:paraId="616C518A" w14:textId="77777777" w:rsidR="00E12FDA" w:rsidRPr="00ED4558" w:rsidRDefault="00E12FDA" w:rsidP="00773BC1">
      <w:pPr>
        <w:spacing w:after="0"/>
        <w:jc w:val="both"/>
        <w:rPr>
          <w:rFonts w:ascii="ITC Avant Garde" w:hAnsi="ITC Avant Garde"/>
          <w:b/>
        </w:rPr>
      </w:pPr>
    </w:p>
    <w:p w14:paraId="13811186" w14:textId="77777777" w:rsidR="00BB7ADB" w:rsidRPr="00ED4558" w:rsidRDefault="008C4403" w:rsidP="00773BC1">
      <w:pPr>
        <w:pStyle w:val="Piedepgina"/>
        <w:widowControl w:val="0"/>
        <w:tabs>
          <w:tab w:val="left" w:pos="720"/>
        </w:tabs>
        <w:spacing w:line="276" w:lineRule="auto"/>
        <w:jc w:val="both"/>
        <w:rPr>
          <w:rFonts w:ascii="ITC Avant Garde" w:eastAsia="Times New Roman" w:hAnsi="ITC Avant Garde"/>
          <w:lang w:eastAsia="es-ES"/>
        </w:rPr>
      </w:pPr>
      <w:r w:rsidRPr="00ED4558">
        <w:rPr>
          <w:rFonts w:ascii="ITC Avant Garde" w:eastAsia="Times New Roman" w:hAnsi="ITC Avant Garde"/>
          <w:b/>
          <w:lang w:eastAsia="es-ES"/>
        </w:rPr>
        <w:t>SÉPTIMO</w:t>
      </w:r>
      <w:r w:rsidR="002920C0" w:rsidRPr="00ED4558">
        <w:rPr>
          <w:rFonts w:ascii="ITC Avant Garde" w:eastAsia="Times New Roman" w:hAnsi="ITC Avant Garde"/>
          <w:b/>
          <w:lang w:eastAsia="es-ES"/>
        </w:rPr>
        <w:t xml:space="preserve">.- </w:t>
      </w:r>
      <w:bookmarkEnd w:id="2"/>
      <w:r w:rsidR="00321C60" w:rsidRPr="00ED4558">
        <w:rPr>
          <w:rFonts w:ascii="ITC Avant Garde" w:eastAsia="Times New Roman" w:hAnsi="ITC Avant Garde"/>
          <w:b/>
          <w:lang w:eastAsia="es-ES"/>
        </w:rPr>
        <w:t>Condiciones no convenidas sujetas a resolución</w:t>
      </w:r>
      <w:r w:rsidR="00C92C0A" w:rsidRPr="00ED4558">
        <w:rPr>
          <w:rFonts w:ascii="ITC Avant Garde" w:eastAsia="Times New Roman" w:hAnsi="ITC Avant Garde"/>
          <w:lang w:eastAsia="es-ES"/>
        </w:rPr>
        <w:t xml:space="preserve">.- </w:t>
      </w:r>
      <w:r w:rsidR="001272DB" w:rsidRPr="00ED4558">
        <w:rPr>
          <w:rFonts w:ascii="ITC Avant Garde" w:hAnsi="ITC Avant Garde"/>
        </w:rPr>
        <w:t xml:space="preserve">En </w:t>
      </w:r>
      <w:r w:rsidR="002007A5" w:rsidRPr="00ED4558">
        <w:rPr>
          <w:rFonts w:ascii="ITC Avant Garde" w:hAnsi="ITC Avant Garde"/>
        </w:rPr>
        <w:t>la Solicitud de Resolución</w:t>
      </w:r>
      <w:r w:rsidR="001272DB" w:rsidRPr="00ED4558">
        <w:rPr>
          <w:rFonts w:ascii="ITC Avant Garde" w:hAnsi="ITC Avant Garde"/>
        </w:rPr>
        <w:t>,</w:t>
      </w:r>
      <w:r w:rsidR="001272DB" w:rsidRPr="00ED4558">
        <w:rPr>
          <w:rFonts w:ascii="ITC Avant Garde" w:hAnsi="ITC Avant Garde"/>
          <w:b/>
        </w:rPr>
        <w:t xml:space="preserve"> </w:t>
      </w:r>
      <w:r w:rsidR="00BB7ADB" w:rsidRPr="00ED4558">
        <w:rPr>
          <w:rFonts w:ascii="ITC Avant Garde" w:eastAsia="Times New Roman" w:hAnsi="ITC Avant Garde"/>
          <w:lang w:eastAsia="es-ES"/>
        </w:rPr>
        <w:t xml:space="preserve">Telcel </w:t>
      </w:r>
      <w:r w:rsidR="00321C60" w:rsidRPr="00ED4558">
        <w:rPr>
          <w:rFonts w:ascii="ITC Avant Garde" w:eastAsia="Times New Roman" w:hAnsi="ITC Avant Garde"/>
          <w:lang w:eastAsia="es-ES"/>
        </w:rPr>
        <w:t xml:space="preserve">plantea las siguientes condiciones, términos y tarifas de interconexión que no pudo convenir con </w:t>
      </w:r>
      <w:r w:rsidR="00EB3327" w:rsidRPr="00ED4558">
        <w:rPr>
          <w:rFonts w:ascii="ITC Avant Garde" w:eastAsia="Times New Roman" w:hAnsi="ITC Avant Garde"/>
          <w:lang w:eastAsia="es-ES"/>
        </w:rPr>
        <w:t>Cablevisión Red</w:t>
      </w:r>
      <w:r w:rsidR="00BB7ADB" w:rsidRPr="00ED4558">
        <w:rPr>
          <w:rFonts w:ascii="ITC Avant Garde" w:eastAsia="Times New Roman" w:hAnsi="ITC Avant Garde"/>
          <w:lang w:eastAsia="es-ES"/>
        </w:rPr>
        <w:t xml:space="preserve">: </w:t>
      </w:r>
    </w:p>
    <w:p w14:paraId="5989F4DB" w14:textId="77777777" w:rsidR="0010524D" w:rsidRPr="00ED4558" w:rsidRDefault="0010524D" w:rsidP="00773BC1">
      <w:pPr>
        <w:spacing w:after="0"/>
        <w:jc w:val="both"/>
        <w:rPr>
          <w:rFonts w:ascii="ITC Avant Garde" w:eastAsia="Times New Roman" w:hAnsi="ITC Avant Garde"/>
          <w:lang w:eastAsia="es-ES"/>
        </w:rPr>
      </w:pPr>
    </w:p>
    <w:p w14:paraId="1C8351B9" w14:textId="77777777" w:rsidR="0010524D" w:rsidRPr="00ED4558" w:rsidRDefault="00BB7ADB" w:rsidP="00773BC1">
      <w:pPr>
        <w:pStyle w:val="Prrafodelista"/>
        <w:numPr>
          <w:ilvl w:val="0"/>
          <w:numId w:val="29"/>
        </w:numPr>
        <w:spacing w:line="276" w:lineRule="auto"/>
        <w:rPr>
          <w:rFonts w:ascii="ITC Avant Garde" w:hAnsi="ITC Avant Garde"/>
          <w:szCs w:val="22"/>
        </w:rPr>
      </w:pPr>
      <w:r w:rsidRPr="00ED4558">
        <w:rPr>
          <w:rFonts w:ascii="ITC Avant Garde" w:hAnsi="ITC Avant Garde"/>
          <w:szCs w:val="22"/>
        </w:rPr>
        <w:lastRenderedPageBreak/>
        <w:t xml:space="preserve">Tarifa de interconexión </w:t>
      </w:r>
      <w:r w:rsidR="003529B5" w:rsidRPr="00ED4558">
        <w:rPr>
          <w:rFonts w:ascii="ITC Avant Garde" w:hAnsi="ITC Avant Garde"/>
          <w:szCs w:val="22"/>
        </w:rPr>
        <w:t xml:space="preserve">que Telcel deberá pagar a </w:t>
      </w:r>
      <w:r w:rsidR="00EB3327" w:rsidRPr="00ED4558">
        <w:rPr>
          <w:rFonts w:ascii="ITC Avant Garde" w:hAnsi="ITC Avant Garde"/>
          <w:szCs w:val="22"/>
        </w:rPr>
        <w:t xml:space="preserve">Cablevisión Red </w:t>
      </w:r>
      <w:r w:rsidR="007473C9" w:rsidRPr="00ED4558">
        <w:rPr>
          <w:rFonts w:ascii="ITC Avant Garde" w:hAnsi="ITC Avant Garde"/>
          <w:szCs w:val="22"/>
        </w:rPr>
        <w:t>por</w:t>
      </w:r>
      <w:r w:rsidR="003529B5" w:rsidRPr="00ED4558">
        <w:rPr>
          <w:rFonts w:ascii="ITC Avant Garde" w:hAnsi="ITC Avant Garde"/>
          <w:szCs w:val="22"/>
        </w:rPr>
        <w:t xml:space="preserve"> servicios de terminación de tráfico público conmutado en las redes de servicio local fijo de </w:t>
      </w:r>
      <w:r w:rsidR="00EB3327" w:rsidRPr="00ED4558">
        <w:rPr>
          <w:rFonts w:ascii="ITC Avant Garde" w:hAnsi="ITC Avant Garde"/>
          <w:szCs w:val="22"/>
        </w:rPr>
        <w:t xml:space="preserve">Cablevisión Red, </w:t>
      </w:r>
      <w:r w:rsidR="003529B5" w:rsidRPr="00ED4558">
        <w:rPr>
          <w:rFonts w:ascii="ITC Avant Garde" w:hAnsi="ITC Avant Garde"/>
          <w:szCs w:val="22"/>
        </w:rPr>
        <w:t xml:space="preserve">durante el periodo comprendido del 1º de enero al 31 de diciembre de 2015 y del 1º de enero al 31 de diciembre de 2016. </w:t>
      </w:r>
    </w:p>
    <w:p w14:paraId="74E2E9B7" w14:textId="77777777" w:rsidR="00BB7ADB" w:rsidRPr="00ED4558" w:rsidRDefault="00BB7ADB" w:rsidP="00773BC1">
      <w:pPr>
        <w:spacing w:after="0"/>
        <w:jc w:val="both"/>
        <w:rPr>
          <w:rFonts w:ascii="ITC Avant Garde" w:eastAsia="Times New Roman" w:hAnsi="ITC Avant Garde"/>
          <w:lang w:eastAsia="es-ES"/>
        </w:rPr>
      </w:pPr>
    </w:p>
    <w:p w14:paraId="1A152EE1" w14:textId="4C45C2F9" w:rsidR="00283900" w:rsidRDefault="00595F36" w:rsidP="00773BC1">
      <w:pPr>
        <w:spacing w:after="0"/>
        <w:jc w:val="both"/>
        <w:rPr>
          <w:rFonts w:ascii="ITC Avant Garde" w:eastAsia="Times New Roman" w:hAnsi="ITC Avant Garde"/>
        </w:rPr>
      </w:pPr>
      <w:r w:rsidRPr="00ED4558">
        <w:rPr>
          <w:rFonts w:ascii="ITC Avant Garde" w:eastAsia="Times New Roman" w:hAnsi="ITC Avant Garde"/>
        </w:rPr>
        <w:t xml:space="preserve">Por su parte, </w:t>
      </w:r>
      <w:r w:rsidR="00B10459" w:rsidRPr="00ED4558">
        <w:rPr>
          <w:rFonts w:ascii="ITC Avant Garde" w:eastAsia="Times New Roman" w:hAnsi="ITC Avant Garde"/>
        </w:rPr>
        <w:t>Cablevisión Red</w:t>
      </w:r>
      <w:r w:rsidR="00F3236C" w:rsidRPr="00ED4558">
        <w:rPr>
          <w:rFonts w:ascii="ITC Avant Garde" w:eastAsia="Times New Roman" w:hAnsi="ITC Avant Garde"/>
        </w:rPr>
        <w:t>,</w:t>
      </w:r>
      <w:r w:rsidRPr="00ED4558">
        <w:rPr>
          <w:rFonts w:ascii="ITC Avant Garde" w:eastAsia="Times New Roman" w:hAnsi="ITC Avant Garde"/>
        </w:rPr>
        <w:t xml:space="preserve"> en los diversos escritos presentados en el procedimiento en que se actúa, </w:t>
      </w:r>
      <w:r w:rsidR="00283900" w:rsidRPr="00ED4558">
        <w:rPr>
          <w:rFonts w:ascii="ITC Avant Garde" w:eastAsia="Times New Roman" w:hAnsi="ITC Avant Garde"/>
        </w:rPr>
        <w:t>además de formular</w:t>
      </w:r>
      <w:r w:rsidRPr="00ED4558">
        <w:rPr>
          <w:rFonts w:ascii="ITC Avant Garde" w:eastAsia="Times New Roman" w:hAnsi="ITC Avant Garde"/>
        </w:rPr>
        <w:t xml:space="preserve"> manifestaciones respecto a la improcedencia tanto de la Solicitud de Resolución, como del presente procedimiento administrativo</w:t>
      </w:r>
      <w:r w:rsidR="00283900" w:rsidRPr="00ED4558">
        <w:rPr>
          <w:rFonts w:ascii="ITC Avant Garde" w:eastAsia="Times New Roman" w:hAnsi="ITC Avant Garde"/>
        </w:rPr>
        <w:t>, planteó las siguientes condiciones de interconexión no convenidas:</w:t>
      </w:r>
    </w:p>
    <w:p w14:paraId="1F69D101" w14:textId="77777777" w:rsidR="003C333D" w:rsidRPr="00ED4558" w:rsidRDefault="003C333D" w:rsidP="00773BC1">
      <w:pPr>
        <w:spacing w:after="0"/>
        <w:jc w:val="both"/>
        <w:rPr>
          <w:rFonts w:ascii="ITC Avant Garde" w:eastAsia="Times New Roman" w:hAnsi="ITC Avant Garde"/>
        </w:rPr>
      </w:pPr>
    </w:p>
    <w:p w14:paraId="39B43F69" w14:textId="77777777" w:rsidR="00B90B21" w:rsidRPr="00ED4558" w:rsidRDefault="003529B5" w:rsidP="007473C9">
      <w:pPr>
        <w:pStyle w:val="Prrafodelista"/>
        <w:numPr>
          <w:ilvl w:val="0"/>
          <w:numId w:val="29"/>
        </w:numPr>
        <w:spacing w:line="276" w:lineRule="auto"/>
        <w:rPr>
          <w:rFonts w:ascii="ITC Avant Garde" w:hAnsi="ITC Avant Garde"/>
        </w:rPr>
      </w:pPr>
      <w:r w:rsidRPr="00ED4558">
        <w:rPr>
          <w:rFonts w:ascii="ITC Avant Garde" w:hAnsi="ITC Avant Garde"/>
        </w:rPr>
        <w:t xml:space="preserve">La obligación de celebrar un convenio de interconexión entre la red pública de telecomunicaciones de </w:t>
      </w:r>
      <w:r w:rsidR="00B10459" w:rsidRPr="00ED4558">
        <w:rPr>
          <w:rFonts w:ascii="ITC Avant Garde" w:hAnsi="ITC Avant Garde"/>
        </w:rPr>
        <w:t xml:space="preserve">Cablevisión Red </w:t>
      </w:r>
      <w:r w:rsidRPr="00ED4558">
        <w:rPr>
          <w:rFonts w:ascii="ITC Avant Garde" w:hAnsi="ITC Avant Garde"/>
        </w:rPr>
        <w:t xml:space="preserve">y la red pública de telecomunicaciones móvil de Telcel. </w:t>
      </w:r>
    </w:p>
    <w:p w14:paraId="52F17888" w14:textId="77777777" w:rsidR="005B02C0" w:rsidRPr="00ED4558" w:rsidRDefault="005B02C0" w:rsidP="00773BC1">
      <w:pPr>
        <w:pStyle w:val="Prrafodelista"/>
        <w:spacing w:line="276" w:lineRule="auto"/>
        <w:ind w:left="720"/>
        <w:rPr>
          <w:rFonts w:ascii="ITC Avant Garde" w:hAnsi="ITC Avant Garde"/>
        </w:rPr>
      </w:pPr>
    </w:p>
    <w:p w14:paraId="14A9EDFF" w14:textId="77777777" w:rsidR="005B02C0" w:rsidRPr="00ED4558" w:rsidRDefault="003529B5" w:rsidP="007473C9">
      <w:pPr>
        <w:pStyle w:val="Prrafodelista"/>
        <w:numPr>
          <w:ilvl w:val="0"/>
          <w:numId w:val="29"/>
        </w:numPr>
        <w:spacing w:line="276" w:lineRule="auto"/>
        <w:rPr>
          <w:rFonts w:ascii="ITC Avant Garde" w:hAnsi="ITC Avant Garde"/>
          <w:szCs w:val="22"/>
        </w:rPr>
      </w:pPr>
      <w:r w:rsidRPr="00ED4558">
        <w:rPr>
          <w:rFonts w:ascii="ITC Avant Garde" w:hAnsi="ITC Avant Garde"/>
          <w:szCs w:val="22"/>
        </w:rPr>
        <w:t xml:space="preserve">Las contraprestaciones que Telcel deba pagar a </w:t>
      </w:r>
      <w:r w:rsidR="0075579B" w:rsidRPr="00ED4558">
        <w:rPr>
          <w:rFonts w:ascii="ITC Avant Garde" w:hAnsi="ITC Avant Garde"/>
          <w:szCs w:val="22"/>
        </w:rPr>
        <w:t xml:space="preserve">Cablevisión Red </w:t>
      </w:r>
      <w:r w:rsidRPr="00ED4558">
        <w:rPr>
          <w:rFonts w:ascii="ITC Avant Garde" w:hAnsi="ITC Avant Garde"/>
          <w:szCs w:val="22"/>
        </w:rPr>
        <w:t xml:space="preserve">por los servicios de interconexión solamente por lo que respecta al periodo comprendido desde la fecha en que resuelva el Instituto el presente desacuerdo y hasta el 31 de diciembre de 2015, mismas que se determinarán con base en la duración real de las llamadas, sin redondeo al minuto siguiente, debiendo para tal efecto sumar la duración de todas las llamadas completadas en el periodo de facturación correspondiente, medidas en segundos, y multiplicar los minutos equivalente a dicha suma, por la tarifa correspondiente. </w:t>
      </w:r>
    </w:p>
    <w:p w14:paraId="561C1B63" w14:textId="77777777" w:rsidR="005B02C0" w:rsidRPr="00ED4558" w:rsidRDefault="005B02C0" w:rsidP="00773BC1">
      <w:pPr>
        <w:pStyle w:val="Prrafodelista"/>
        <w:spacing w:line="276" w:lineRule="auto"/>
        <w:ind w:left="720"/>
        <w:rPr>
          <w:rFonts w:ascii="ITC Avant Garde" w:hAnsi="ITC Avant Garde"/>
          <w:szCs w:val="22"/>
        </w:rPr>
      </w:pPr>
    </w:p>
    <w:p w14:paraId="14E06C39" w14:textId="677CA874" w:rsidR="003529B5" w:rsidRPr="009746AC" w:rsidRDefault="00B60C80" w:rsidP="00307F70">
      <w:pPr>
        <w:pStyle w:val="Prrafodelista"/>
        <w:numPr>
          <w:ilvl w:val="0"/>
          <w:numId w:val="29"/>
        </w:numPr>
        <w:spacing w:line="276" w:lineRule="auto"/>
        <w:rPr>
          <w:rFonts w:ascii="ITC Avant Garde" w:hAnsi="ITC Avant Garde"/>
        </w:rPr>
      </w:pPr>
      <w:r w:rsidRPr="009746AC">
        <w:rPr>
          <w:rFonts w:ascii="ITC Avant Garde" w:hAnsi="ITC Avant Garde"/>
          <w:szCs w:val="22"/>
        </w:rPr>
        <w:t xml:space="preserve">La determinación de que en adición a los protocolos de interconexión a través de los cuales actualmente se cursa el tráfico entre la red de </w:t>
      </w:r>
      <w:r w:rsidR="0075579B" w:rsidRPr="009746AC">
        <w:rPr>
          <w:rFonts w:ascii="ITC Avant Garde" w:hAnsi="ITC Avant Garde"/>
          <w:szCs w:val="22"/>
        </w:rPr>
        <w:t xml:space="preserve">Cablevisión Red </w:t>
      </w:r>
      <w:r w:rsidRPr="009746AC">
        <w:rPr>
          <w:rFonts w:ascii="ITC Avant Garde" w:hAnsi="ITC Avant Garde"/>
          <w:szCs w:val="22"/>
        </w:rPr>
        <w:t>y Telcel, también se pueda realizar a través de protocolo IP entre la red del</w:t>
      </w:r>
      <w:r w:rsidR="007473C9" w:rsidRPr="009746AC">
        <w:rPr>
          <w:rFonts w:ascii="ITC Avant Garde" w:hAnsi="ITC Avant Garde"/>
          <w:szCs w:val="22"/>
        </w:rPr>
        <w:t xml:space="preserve"> servicio fijo de </w:t>
      </w:r>
      <w:r w:rsidR="0075579B" w:rsidRPr="009746AC">
        <w:rPr>
          <w:rFonts w:ascii="ITC Avant Garde" w:hAnsi="ITC Avant Garde"/>
          <w:szCs w:val="22"/>
        </w:rPr>
        <w:t xml:space="preserve">Cablevisión Red </w:t>
      </w:r>
      <w:r w:rsidRPr="009746AC">
        <w:rPr>
          <w:rFonts w:ascii="ITC Avant Garde" w:hAnsi="ITC Avant Garde"/>
          <w:szCs w:val="22"/>
        </w:rPr>
        <w:t>y la red del servicio móvil de Telcel, en su versión SIP (</w:t>
      </w:r>
      <w:proofErr w:type="spellStart"/>
      <w:r w:rsidRPr="009746AC">
        <w:rPr>
          <w:rFonts w:ascii="ITC Avant Garde" w:hAnsi="ITC Avant Garde"/>
          <w:szCs w:val="22"/>
        </w:rPr>
        <w:t>Session</w:t>
      </w:r>
      <w:proofErr w:type="spellEnd"/>
      <w:r w:rsidRPr="009746AC">
        <w:rPr>
          <w:rFonts w:ascii="ITC Avant Garde" w:hAnsi="ITC Avant Garde"/>
          <w:szCs w:val="22"/>
        </w:rPr>
        <w:t xml:space="preserve"> </w:t>
      </w:r>
      <w:proofErr w:type="spellStart"/>
      <w:r w:rsidRPr="009746AC">
        <w:rPr>
          <w:rFonts w:ascii="ITC Avant Garde" w:hAnsi="ITC Avant Garde"/>
          <w:szCs w:val="22"/>
        </w:rPr>
        <w:t>Initiation</w:t>
      </w:r>
      <w:proofErr w:type="spellEnd"/>
      <w:r w:rsidRPr="009746AC">
        <w:rPr>
          <w:rFonts w:ascii="ITC Avant Garde" w:hAnsi="ITC Avant Garde"/>
          <w:szCs w:val="22"/>
        </w:rPr>
        <w:t xml:space="preserve"> </w:t>
      </w:r>
      <w:proofErr w:type="spellStart"/>
      <w:r w:rsidRPr="009746AC">
        <w:rPr>
          <w:rFonts w:ascii="ITC Avant Garde" w:hAnsi="ITC Avant Garde"/>
          <w:szCs w:val="22"/>
        </w:rPr>
        <w:t>Protocol</w:t>
      </w:r>
      <w:proofErr w:type="spellEnd"/>
      <w:r w:rsidRPr="009746AC">
        <w:rPr>
          <w:rFonts w:ascii="ITC Avant Garde" w:hAnsi="ITC Avant Garde"/>
          <w:szCs w:val="22"/>
        </w:rPr>
        <w:t>).</w:t>
      </w:r>
    </w:p>
    <w:p w14:paraId="3983E735" w14:textId="77777777" w:rsidR="003C333D" w:rsidRPr="00ED4558" w:rsidRDefault="003C333D" w:rsidP="00773BC1">
      <w:pPr>
        <w:spacing w:after="0"/>
        <w:jc w:val="both"/>
        <w:rPr>
          <w:rFonts w:ascii="ITC Avant Garde" w:eastAsia="Times New Roman" w:hAnsi="ITC Avant Garde"/>
        </w:rPr>
      </w:pPr>
    </w:p>
    <w:p w14:paraId="00A474DE" w14:textId="77777777" w:rsidR="00E4085A" w:rsidRPr="00ED4558" w:rsidRDefault="00E4085A" w:rsidP="00773BC1">
      <w:pPr>
        <w:spacing w:after="0"/>
        <w:jc w:val="both"/>
        <w:rPr>
          <w:rFonts w:ascii="ITC Avant Garde" w:eastAsia="Times New Roman" w:hAnsi="ITC Avant Garde"/>
        </w:rPr>
      </w:pPr>
      <w:r w:rsidRPr="00ED4558">
        <w:rPr>
          <w:rFonts w:ascii="ITC Avant Garde" w:eastAsia="Times New Roman" w:hAnsi="ITC Avant Garde"/>
        </w:rPr>
        <w:t>Al respec</w:t>
      </w:r>
      <w:r w:rsidR="0075579B" w:rsidRPr="00ED4558">
        <w:rPr>
          <w:rFonts w:ascii="ITC Avant Garde" w:eastAsia="Times New Roman" w:hAnsi="ITC Avant Garde"/>
        </w:rPr>
        <w:t xml:space="preserve">to, el artículo 129 de la </w:t>
      </w:r>
      <w:proofErr w:type="spellStart"/>
      <w:r w:rsidR="0075579B" w:rsidRPr="00ED4558">
        <w:rPr>
          <w:rFonts w:ascii="ITC Avant Garde" w:eastAsia="Times New Roman" w:hAnsi="ITC Avant Garde"/>
        </w:rPr>
        <w:t>LFTyR</w:t>
      </w:r>
      <w:proofErr w:type="spellEnd"/>
      <w:r w:rsidR="0075579B" w:rsidRPr="00ED4558">
        <w:rPr>
          <w:rFonts w:ascii="ITC Avant Garde" w:eastAsia="Times New Roman" w:hAnsi="ITC Avant Garde"/>
        </w:rPr>
        <w:t xml:space="preserve"> </w:t>
      </w:r>
      <w:r w:rsidRPr="00ED4558">
        <w:rPr>
          <w:rFonts w:ascii="ITC Avant Garde" w:eastAsia="Times New Roman" w:hAnsi="ITC Avant Garde"/>
        </w:rPr>
        <w:t>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43B6D08A" w14:textId="35A94B91" w:rsidR="00D14F71" w:rsidRPr="00ED4558" w:rsidRDefault="00D14F71" w:rsidP="00773BC1">
      <w:pPr>
        <w:spacing w:after="0"/>
        <w:jc w:val="both"/>
      </w:pPr>
      <w:r w:rsidRPr="00ED4558">
        <w:rPr>
          <w:rFonts w:ascii="ITC Avant Garde" w:eastAsia="Times New Roman" w:hAnsi="ITC Avant Garde"/>
        </w:rPr>
        <w:t xml:space="preserve">El mencionado artículo 129 prevé la obligación de los concesionarios de interconectar las redes públicas de telecomunicaciones, y </w:t>
      </w:r>
      <w:r w:rsidR="0004255E" w:rsidRPr="00ED4558">
        <w:rPr>
          <w:rFonts w:ascii="ITC Avant Garde" w:eastAsia="Times New Roman" w:hAnsi="ITC Avant Garde"/>
        </w:rPr>
        <w:t xml:space="preserve">a </w:t>
      </w:r>
      <w:r w:rsidRPr="00ED4558">
        <w:rPr>
          <w:rFonts w:ascii="ITC Avant Garde" w:eastAsia="Times New Roman" w:hAnsi="ITC Avant Garde"/>
        </w:rPr>
        <w:t xml:space="preserve">tal efecto, suscribirán un convenio de </w:t>
      </w:r>
      <w:r w:rsidRPr="00ED4558">
        <w:rPr>
          <w:rFonts w:ascii="ITC Avant Garde" w:eastAsia="Times New Roman" w:hAnsi="ITC Avant Garde"/>
        </w:rPr>
        <w:lastRenderedPageBreak/>
        <w:t xml:space="preserve">interconexión. Asimismo, dicho precepto señala que en el caso de concesionarios cuyas redes públicas de telecomunicaciones se encuentren interconectadas y  con motivo de la terminación de la vigencia de sus convenios los concesionarios pueden acordar nuevas condiciones de interconexión, conforme al procedimiento </w:t>
      </w:r>
      <w:r w:rsidR="0075579B" w:rsidRPr="00ED4558">
        <w:rPr>
          <w:rFonts w:ascii="ITC Avant Garde" w:eastAsia="Times New Roman" w:hAnsi="ITC Avant Garde"/>
        </w:rPr>
        <w:t xml:space="preserve">administrativo aludido, esto es, </w:t>
      </w:r>
      <w:r w:rsidRPr="00ED4558">
        <w:rPr>
          <w:rFonts w:ascii="ITC Avant Garde" w:eastAsia="Times New Roman" w:hAnsi="ITC Avant Garde"/>
        </w:rPr>
        <w:t>dentro de un plazo de sesenta días naturales</w:t>
      </w:r>
      <w:r w:rsidR="0075579B" w:rsidRPr="00ED4558">
        <w:rPr>
          <w:rFonts w:ascii="ITC Avant Garde" w:eastAsia="Times New Roman" w:hAnsi="ITC Avant Garde"/>
        </w:rPr>
        <w:t>,</w:t>
      </w:r>
      <w:r w:rsidRPr="00ED4558">
        <w:rPr>
          <w:rFonts w:ascii="ITC Avant Garde" w:eastAsia="Times New Roman" w:hAnsi="ITC Avant Garde"/>
        </w:rPr>
        <w:t xml:space="preserve"> por lo tanto, se entiende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576B2396" w14:textId="77777777" w:rsidR="00E4085A" w:rsidRPr="00ED4558" w:rsidRDefault="00E4085A" w:rsidP="00773BC1">
      <w:pPr>
        <w:spacing w:after="0"/>
        <w:jc w:val="both"/>
        <w:rPr>
          <w:rFonts w:ascii="ITC Avant Garde" w:eastAsia="Times New Roman" w:hAnsi="ITC Avant Garde"/>
        </w:rPr>
      </w:pPr>
    </w:p>
    <w:p w14:paraId="44410915" w14:textId="77777777" w:rsidR="00E4085A" w:rsidRPr="00ED4558" w:rsidRDefault="00E4085A" w:rsidP="00773BC1">
      <w:pPr>
        <w:spacing w:after="0"/>
        <w:jc w:val="both"/>
        <w:rPr>
          <w:rFonts w:ascii="ITC Avant Garde" w:eastAsia="Times New Roman" w:hAnsi="ITC Avant Garde"/>
        </w:rPr>
      </w:pPr>
      <w:r w:rsidRPr="00ED4558">
        <w:rPr>
          <w:rFonts w:ascii="ITC Avant Garde" w:eastAsia="Times New Roman" w:hAnsi="ITC Avant Garde"/>
        </w:rPr>
        <w:t>Es así que el Instituto deberá resolver sobre las tarifas, términos y condiciones que no hayan podido convenir las partes durante los sesenta días naturales que tienen para suscribir el convenio.</w:t>
      </w:r>
    </w:p>
    <w:p w14:paraId="0E06516F" w14:textId="77777777" w:rsidR="00E4085A" w:rsidRPr="00ED4558" w:rsidRDefault="00E4085A" w:rsidP="00773BC1">
      <w:pPr>
        <w:spacing w:after="0"/>
        <w:jc w:val="both"/>
        <w:rPr>
          <w:rFonts w:ascii="ITC Avant Garde" w:eastAsia="Times New Roman" w:hAnsi="ITC Avant Garde"/>
        </w:rPr>
      </w:pPr>
    </w:p>
    <w:p w14:paraId="236ECAE5" w14:textId="376C1C05" w:rsidR="00E4085A" w:rsidRPr="00ED4558" w:rsidRDefault="00E4085A" w:rsidP="00773BC1">
      <w:pPr>
        <w:spacing w:after="0"/>
        <w:jc w:val="both"/>
        <w:rPr>
          <w:rFonts w:ascii="ITC Avant Garde" w:eastAsia="Times New Roman" w:hAnsi="ITC Avant Garde"/>
        </w:rPr>
      </w:pPr>
      <w:r w:rsidRPr="00ED4558">
        <w:rPr>
          <w:rFonts w:ascii="ITC Avant Garde" w:eastAsia="Times New Roman" w:hAnsi="ITC Avant Garde"/>
        </w:rPr>
        <w:t>Ahora bien, toda vez que se actualizó el supuesto de que los concesionarios llevaron a cabo las negociaciones durante los sesenta días naturales que marca el artículo 129, se hace necesario determinar cuáles son las condiciones no convenidas, en este sentido</w:t>
      </w:r>
      <w:r w:rsidR="0075579B" w:rsidRPr="00ED4558">
        <w:rPr>
          <w:rFonts w:ascii="ITC Avant Garde" w:eastAsia="Times New Roman" w:hAnsi="ITC Avant Garde"/>
        </w:rPr>
        <w:t>,</w:t>
      </w:r>
      <w:r w:rsidRPr="00ED4558">
        <w:rPr>
          <w:rFonts w:ascii="ITC Avant Garde" w:eastAsia="Times New Roman" w:hAnsi="ITC Avant Garde"/>
        </w:rPr>
        <w:t xml:space="preserve"> toda vez que Telcel dio inicio al procedimiento en su escrito de Solicitud de Resolución </w:t>
      </w:r>
      <w:r w:rsidR="0004255E" w:rsidRPr="00ED4558">
        <w:rPr>
          <w:rFonts w:ascii="ITC Avant Garde" w:eastAsia="Times New Roman" w:hAnsi="ITC Avant Garde"/>
        </w:rPr>
        <w:t xml:space="preserve">mediante la cual </w:t>
      </w:r>
      <w:r w:rsidRPr="00ED4558">
        <w:rPr>
          <w:rFonts w:ascii="ITC Avant Garde" w:eastAsia="Times New Roman" w:hAnsi="ITC Avant Garde"/>
        </w:rPr>
        <w:t xml:space="preserve">planteó </w:t>
      </w:r>
      <w:r w:rsidR="0004255E" w:rsidRPr="00ED4558">
        <w:rPr>
          <w:rFonts w:ascii="ITC Avant Garde" w:eastAsia="Times New Roman" w:hAnsi="ITC Avant Garde"/>
        </w:rPr>
        <w:t xml:space="preserve">aquellas condiciones </w:t>
      </w:r>
      <w:r w:rsidRPr="00ED4558">
        <w:rPr>
          <w:rFonts w:ascii="ITC Avant Garde" w:eastAsia="Times New Roman" w:hAnsi="ITC Avant Garde"/>
        </w:rPr>
        <w:t xml:space="preserve"> que por su parte consideraba con tal carácter, por lo tanto se necesitaba conocer cuáles eran las que la contraparte en el presente procedimiento consideraba como tales.</w:t>
      </w:r>
    </w:p>
    <w:p w14:paraId="6C6A762D" w14:textId="77777777" w:rsidR="00BD7084" w:rsidRPr="00ED4558" w:rsidRDefault="00BD7084" w:rsidP="00773BC1">
      <w:pPr>
        <w:spacing w:after="0"/>
        <w:jc w:val="both"/>
        <w:rPr>
          <w:rFonts w:ascii="ITC Avant Garde" w:eastAsia="Times New Roman" w:hAnsi="ITC Avant Garde"/>
        </w:rPr>
      </w:pPr>
    </w:p>
    <w:p w14:paraId="4B448506" w14:textId="77777777" w:rsidR="00E4085A" w:rsidRPr="00ED4558" w:rsidRDefault="00E4085A" w:rsidP="00773BC1">
      <w:pPr>
        <w:spacing w:after="0"/>
        <w:jc w:val="both"/>
        <w:rPr>
          <w:rFonts w:ascii="ITC Avant Garde" w:eastAsia="Times New Roman" w:hAnsi="ITC Avant Garde"/>
          <w:lang w:val="es-ES" w:eastAsia="es-ES"/>
        </w:rPr>
      </w:pPr>
      <w:r w:rsidRPr="00ED4558">
        <w:rPr>
          <w:rFonts w:ascii="ITC Avant Garde" w:eastAsia="Times New Roman" w:hAnsi="ITC Avant Garde"/>
        </w:rPr>
        <w:t>Es así que</w:t>
      </w:r>
      <w:r w:rsidR="002D1A11" w:rsidRPr="00ED4558">
        <w:rPr>
          <w:rFonts w:ascii="ITC Avant Garde" w:eastAsia="Times New Roman" w:hAnsi="ITC Avant Garde"/>
        </w:rPr>
        <w:t>,</w:t>
      </w:r>
      <w:r w:rsidRPr="00ED4558">
        <w:rPr>
          <w:rFonts w:ascii="ITC Avant Garde" w:eastAsia="Times New Roman" w:hAnsi="ITC Avant Garde"/>
        </w:rPr>
        <w:t xml:space="preserve"> mediante el Acuerdo de Admisión </w:t>
      </w:r>
      <w:r w:rsidR="0075579B" w:rsidRPr="00ED4558">
        <w:rPr>
          <w:rFonts w:ascii="ITC Avant Garde" w:eastAsia="Times New Roman" w:hAnsi="ITC Avant Garde"/>
        </w:rPr>
        <w:t xml:space="preserve">y de Vista </w:t>
      </w:r>
      <w:r w:rsidRPr="00ED4558">
        <w:rPr>
          <w:rFonts w:ascii="ITC Avant Garde" w:eastAsia="Times New Roman" w:hAnsi="ITC Avant Garde"/>
        </w:rPr>
        <w:t xml:space="preserve">el Instituto le solicitó expresamente a </w:t>
      </w:r>
      <w:r w:rsidR="001A45A6" w:rsidRPr="00ED4558">
        <w:rPr>
          <w:rFonts w:ascii="ITC Avant Garde" w:eastAsia="Times New Roman" w:hAnsi="ITC Avant Garde"/>
        </w:rPr>
        <w:t xml:space="preserve">Cablevisión Red </w:t>
      </w:r>
      <w:r w:rsidRPr="00ED4558">
        <w:rPr>
          <w:rFonts w:ascii="ITC Avant Garde" w:eastAsia="Times New Roman" w:hAnsi="ITC Avant Garde"/>
          <w:lang w:val="es-ES" w:eastAsia="es-ES"/>
        </w:rPr>
        <w:t xml:space="preserve">manifestara lo que a su derecho conviniera e informara si existían condiciones que no habían podido convenir con </w:t>
      </w:r>
      <w:r w:rsidRPr="00ED4558">
        <w:rPr>
          <w:rFonts w:ascii="ITC Avant Garde" w:hAnsi="ITC Avant Garde" w:cs="Arial"/>
          <w:bCs/>
        </w:rPr>
        <w:t xml:space="preserve">Telcel </w:t>
      </w:r>
      <w:r w:rsidRPr="00ED4558">
        <w:rPr>
          <w:rFonts w:ascii="ITC Avant Garde" w:eastAsia="Times New Roman" w:hAnsi="ITC Avant Garde"/>
          <w:lang w:val="es-ES" w:eastAsia="es-ES"/>
        </w:rPr>
        <w:t>y,</w:t>
      </w:r>
      <w:r w:rsidR="001D5E28" w:rsidRPr="00ED4558">
        <w:rPr>
          <w:rFonts w:ascii="ITC Avant Garde" w:eastAsia="Times New Roman" w:hAnsi="ITC Avant Garde"/>
          <w:lang w:val="es-ES" w:eastAsia="es-ES"/>
        </w:rPr>
        <w:t xml:space="preserve"> de ser el caso, señalara expresamente en qué consistía el desacuerdo, fijara</w:t>
      </w:r>
      <w:r w:rsidRPr="00ED4558">
        <w:rPr>
          <w:rFonts w:ascii="ITC Avant Garde" w:eastAsia="Times New Roman" w:hAnsi="ITC Avant Garde"/>
          <w:lang w:val="es-ES" w:eastAsia="es-ES"/>
        </w:rPr>
        <w:t xml:space="preserve"> su postura al respecto y ofreciera los elementos de prueba que estimara pertinentes, por lo que mediante la Respuesta de </w:t>
      </w:r>
      <w:r w:rsidR="001A45A6" w:rsidRPr="00ED4558">
        <w:rPr>
          <w:rFonts w:ascii="ITC Avant Garde" w:eastAsia="Times New Roman" w:hAnsi="ITC Avant Garde"/>
          <w:lang w:val="es-ES" w:eastAsia="es-ES"/>
        </w:rPr>
        <w:t xml:space="preserve">Cablevisión Red </w:t>
      </w:r>
      <w:r w:rsidRPr="00ED4558">
        <w:rPr>
          <w:rFonts w:ascii="ITC Avant Garde" w:eastAsia="Times New Roman" w:hAnsi="ITC Avant Garde"/>
          <w:lang w:val="es-ES" w:eastAsia="es-ES"/>
        </w:rPr>
        <w:t>dicho concesionario fijó su postura, indicando además como condiciones no convenidas las anteriormente señaladas en los incisos b), c)</w:t>
      </w:r>
      <w:r w:rsidR="00B60C80" w:rsidRPr="00ED4558">
        <w:rPr>
          <w:rFonts w:ascii="ITC Avant Garde" w:eastAsia="Times New Roman" w:hAnsi="ITC Avant Garde"/>
          <w:lang w:val="es-ES" w:eastAsia="es-ES"/>
        </w:rPr>
        <w:t xml:space="preserve"> y</w:t>
      </w:r>
      <w:r w:rsidRPr="00ED4558">
        <w:rPr>
          <w:rFonts w:ascii="ITC Avant Garde" w:eastAsia="Times New Roman" w:hAnsi="ITC Avant Garde"/>
          <w:lang w:val="es-ES" w:eastAsia="es-ES"/>
        </w:rPr>
        <w:t xml:space="preserve"> d)</w:t>
      </w:r>
      <w:r w:rsidR="00B60C80" w:rsidRPr="00ED4558">
        <w:rPr>
          <w:rFonts w:ascii="ITC Avant Garde" w:eastAsia="Times New Roman" w:hAnsi="ITC Avant Garde"/>
          <w:lang w:val="es-ES" w:eastAsia="es-ES"/>
        </w:rPr>
        <w:t xml:space="preserve"> </w:t>
      </w:r>
      <w:r w:rsidRPr="00ED4558">
        <w:rPr>
          <w:rFonts w:ascii="ITC Avant Garde" w:eastAsia="Times New Roman" w:hAnsi="ITC Avant Garde"/>
          <w:lang w:val="es-ES" w:eastAsia="es-ES"/>
        </w:rPr>
        <w:t>anteriores.</w:t>
      </w:r>
    </w:p>
    <w:p w14:paraId="1EB00795" w14:textId="77777777" w:rsidR="00E4085A" w:rsidRPr="00ED4558" w:rsidRDefault="00E4085A" w:rsidP="00773BC1">
      <w:pPr>
        <w:spacing w:after="0"/>
        <w:jc w:val="both"/>
        <w:rPr>
          <w:rFonts w:ascii="ITC Avant Garde" w:eastAsia="Times New Roman" w:hAnsi="ITC Avant Garde"/>
        </w:rPr>
      </w:pPr>
    </w:p>
    <w:p w14:paraId="621F8EC8" w14:textId="77777777" w:rsidR="003A67AD" w:rsidRPr="00ED4558" w:rsidRDefault="003A67AD" w:rsidP="003A67AD">
      <w:pPr>
        <w:spacing w:after="0"/>
        <w:jc w:val="both"/>
        <w:rPr>
          <w:rFonts w:ascii="ITC Avant Garde" w:eastAsia="Times New Roman" w:hAnsi="ITC Avant Garde"/>
        </w:rPr>
      </w:pPr>
      <w:r w:rsidRPr="00ED4558">
        <w:rPr>
          <w:rFonts w:ascii="ITC Avant Garde" w:eastAsia="Times New Roman" w:hAnsi="ITC Avant Garde"/>
        </w:rPr>
        <w:t xml:space="preserve">En virtud de lo anterior, las condiciones no convenidas sobre las cuales se pronunciará el Instituto serán: </w:t>
      </w:r>
    </w:p>
    <w:p w14:paraId="6FB57C93" w14:textId="77777777" w:rsidR="003A67AD" w:rsidRPr="00ED4558" w:rsidRDefault="003A67AD" w:rsidP="003A67AD">
      <w:pPr>
        <w:spacing w:after="0"/>
        <w:jc w:val="both"/>
        <w:rPr>
          <w:rFonts w:ascii="ITC Avant Garde" w:eastAsia="Times New Roman" w:hAnsi="ITC Avant Garde"/>
        </w:rPr>
      </w:pPr>
    </w:p>
    <w:p w14:paraId="2078FF27" w14:textId="74837CED" w:rsidR="003A67AD" w:rsidRPr="00ED4558" w:rsidRDefault="003A67AD" w:rsidP="003A67AD">
      <w:pPr>
        <w:pStyle w:val="Prrafodelista"/>
        <w:numPr>
          <w:ilvl w:val="0"/>
          <w:numId w:val="44"/>
        </w:numPr>
        <w:rPr>
          <w:rFonts w:ascii="ITC Avant Garde" w:hAnsi="ITC Avant Garde"/>
        </w:rPr>
      </w:pPr>
      <w:r w:rsidRPr="00ED4558">
        <w:rPr>
          <w:rFonts w:ascii="ITC Avant Garde" w:hAnsi="ITC Avant Garde"/>
        </w:rPr>
        <w:t xml:space="preserve">La tarifa de interconexión que </w:t>
      </w:r>
      <w:r w:rsidR="00607175" w:rsidRPr="00ED4558">
        <w:rPr>
          <w:rFonts w:ascii="ITC Avant Garde" w:hAnsi="ITC Avant Garde"/>
        </w:rPr>
        <w:t xml:space="preserve">Telcel deberá pagar a </w:t>
      </w:r>
      <w:r w:rsidRPr="00ED4558">
        <w:rPr>
          <w:rFonts w:ascii="ITC Avant Garde" w:hAnsi="ITC Avant Garde"/>
        </w:rPr>
        <w:t>Cablevisión Red por servicios de terminación del servicio local en usuarios fijos</w:t>
      </w:r>
      <w:r w:rsidR="00607175" w:rsidRPr="00ED4558">
        <w:rPr>
          <w:rFonts w:ascii="ITC Avant Garde" w:hAnsi="ITC Avant Garde"/>
        </w:rPr>
        <w:t xml:space="preserve"> para los años 2015 y 2016</w:t>
      </w:r>
      <w:r w:rsidRPr="00ED4558">
        <w:rPr>
          <w:rFonts w:ascii="ITC Avant Garde" w:hAnsi="ITC Avant Garde"/>
        </w:rPr>
        <w:t>.</w:t>
      </w:r>
    </w:p>
    <w:p w14:paraId="5CE1366F" w14:textId="77777777" w:rsidR="003A67AD" w:rsidRPr="00ED4558" w:rsidRDefault="003A67AD" w:rsidP="003A67AD">
      <w:pPr>
        <w:spacing w:after="0"/>
        <w:jc w:val="both"/>
        <w:rPr>
          <w:rFonts w:ascii="ITC Avant Garde" w:eastAsia="Times New Roman" w:hAnsi="ITC Avant Garde"/>
        </w:rPr>
      </w:pPr>
    </w:p>
    <w:p w14:paraId="46F2342A" w14:textId="77777777" w:rsidR="003A67AD" w:rsidRPr="00ED4558" w:rsidRDefault="003A67AD" w:rsidP="003A67AD">
      <w:pPr>
        <w:pStyle w:val="Prrafodelista"/>
        <w:numPr>
          <w:ilvl w:val="0"/>
          <w:numId w:val="44"/>
        </w:numPr>
        <w:rPr>
          <w:rFonts w:ascii="ITC Avant Garde" w:hAnsi="ITC Avant Garde"/>
        </w:rPr>
      </w:pPr>
      <w:r w:rsidRPr="00ED4558">
        <w:rPr>
          <w:rFonts w:ascii="ITC Avant Garde" w:hAnsi="ITC Avant Garde"/>
        </w:rPr>
        <w:lastRenderedPageBreak/>
        <w:t>La forma de tasación de las llamadas.</w:t>
      </w:r>
    </w:p>
    <w:p w14:paraId="54C8020D" w14:textId="77777777" w:rsidR="003A67AD" w:rsidRPr="00ED4558" w:rsidRDefault="003A67AD" w:rsidP="003A67AD">
      <w:pPr>
        <w:spacing w:after="0"/>
        <w:jc w:val="both"/>
        <w:rPr>
          <w:rFonts w:ascii="ITC Avant Garde" w:eastAsia="Times New Roman" w:hAnsi="ITC Avant Garde"/>
        </w:rPr>
      </w:pPr>
    </w:p>
    <w:p w14:paraId="1803A1EA" w14:textId="77777777" w:rsidR="003A67AD" w:rsidRPr="00ED4558" w:rsidRDefault="003A67AD" w:rsidP="003A67AD">
      <w:pPr>
        <w:pStyle w:val="Prrafodelista"/>
        <w:numPr>
          <w:ilvl w:val="0"/>
          <w:numId w:val="44"/>
        </w:numPr>
        <w:rPr>
          <w:rFonts w:ascii="ITC Avant Garde" w:hAnsi="ITC Avant Garde"/>
        </w:rPr>
      </w:pPr>
      <w:r w:rsidRPr="00ED4558">
        <w:rPr>
          <w:rFonts w:ascii="ITC Avant Garde" w:hAnsi="ITC Avant Garde"/>
        </w:rPr>
        <w:t>La interconexión bajo el Protocolo de Internet (IP)</w:t>
      </w:r>
    </w:p>
    <w:p w14:paraId="5E6744C7" w14:textId="77777777" w:rsidR="003A67AD" w:rsidRDefault="003A67AD" w:rsidP="00773BC1">
      <w:pPr>
        <w:spacing w:after="0"/>
        <w:jc w:val="both"/>
        <w:rPr>
          <w:rFonts w:ascii="ITC Avant Garde" w:eastAsia="Times New Roman" w:hAnsi="ITC Avant Garde"/>
        </w:rPr>
      </w:pPr>
    </w:p>
    <w:p w14:paraId="1449BFE9" w14:textId="77777777" w:rsidR="003C333D" w:rsidRPr="00ED4558" w:rsidRDefault="003C333D" w:rsidP="00773BC1">
      <w:pPr>
        <w:spacing w:after="0"/>
        <w:jc w:val="both"/>
        <w:rPr>
          <w:rFonts w:ascii="ITC Avant Garde" w:eastAsia="Times New Roman" w:hAnsi="ITC Avant Garde"/>
        </w:rPr>
      </w:pPr>
    </w:p>
    <w:p w14:paraId="3AC67E07" w14:textId="77777777" w:rsidR="00E4085A" w:rsidRPr="00ED4558" w:rsidRDefault="00E4085A" w:rsidP="00773BC1">
      <w:pPr>
        <w:spacing w:after="0"/>
        <w:jc w:val="both"/>
        <w:rPr>
          <w:rFonts w:ascii="ITC Avant Garde" w:eastAsia="Times New Roman" w:hAnsi="ITC Avant Garde"/>
        </w:rPr>
      </w:pPr>
      <w:r w:rsidRPr="00ED4558">
        <w:rPr>
          <w:rFonts w:ascii="ITC Avant Garde" w:eastAsia="Times New Roman" w:hAnsi="ITC Avant Garde"/>
        </w:rPr>
        <w:t xml:space="preserve">De lo anterior, y toda vez que Telcel y </w:t>
      </w:r>
      <w:r w:rsidR="001A45A6" w:rsidRPr="00ED4558">
        <w:rPr>
          <w:rFonts w:ascii="ITC Avant Garde" w:eastAsia="Times New Roman" w:hAnsi="ITC Avant Garde"/>
        </w:rPr>
        <w:t xml:space="preserve">Cablevisión Red </w:t>
      </w:r>
      <w:r w:rsidRPr="00ED4558">
        <w:rPr>
          <w:rFonts w:ascii="ITC Avant Garde" w:eastAsia="Times New Roman" w:hAnsi="ITC Avant Garde"/>
        </w:rPr>
        <w:t xml:space="preserve">señalaron expresamente a éste Instituto cuáles eran las condiciones no convenidas en el procedimiento en el que se actúa, éste Instituto determina que para que proceda eficazmente la prestación de los servicios de interconexión entre sus redes públicas de telecomunicaciones se deberá resolver todas y cada una de las condiciones solicitadas por los concesionarios. </w:t>
      </w:r>
    </w:p>
    <w:p w14:paraId="6BDDB66C" w14:textId="77777777" w:rsidR="00E4085A" w:rsidRPr="00ED4558" w:rsidRDefault="00E4085A" w:rsidP="00773BC1">
      <w:pPr>
        <w:spacing w:after="0"/>
        <w:jc w:val="both"/>
        <w:rPr>
          <w:rFonts w:ascii="ITC Avant Garde" w:eastAsia="Times New Roman" w:hAnsi="ITC Avant Garde"/>
        </w:rPr>
      </w:pPr>
    </w:p>
    <w:p w14:paraId="33AC2BF2" w14:textId="77777777" w:rsidR="0010524D" w:rsidRPr="00ED4558" w:rsidRDefault="00595F36" w:rsidP="00773BC1">
      <w:pPr>
        <w:spacing w:after="0"/>
        <w:jc w:val="both"/>
        <w:rPr>
          <w:rFonts w:ascii="ITC Avant Garde" w:hAnsi="ITC Avant Garde" w:cs="Arial"/>
          <w:lang w:val="es-ES"/>
        </w:rPr>
      </w:pPr>
      <w:r w:rsidRPr="00ED4558">
        <w:rPr>
          <w:rFonts w:ascii="ITC Avant Garde" w:eastAsia="Times New Roman" w:hAnsi="ITC Avant Garde"/>
        </w:rPr>
        <w:t>Por lo anterior, previo al análisis de las condiciones no convenidas,</w:t>
      </w:r>
      <w:r w:rsidR="0054738F" w:rsidRPr="00ED4558">
        <w:rPr>
          <w:rFonts w:ascii="ITC Avant Garde" w:eastAsia="Times New Roman" w:hAnsi="ITC Avant Garde"/>
        </w:rPr>
        <w:t xml:space="preserve"> </w:t>
      </w:r>
      <w:r w:rsidRPr="00ED4558">
        <w:rPr>
          <w:rFonts w:ascii="ITC Avant Garde" w:eastAsia="Times New Roman" w:hAnsi="ITC Avant Garde"/>
        </w:rPr>
        <w:t>el Instituto pr</w:t>
      </w:r>
      <w:r w:rsidR="008844CD" w:rsidRPr="00ED4558">
        <w:rPr>
          <w:rFonts w:ascii="ITC Avant Garde" w:eastAsia="Times New Roman" w:hAnsi="ITC Avant Garde"/>
        </w:rPr>
        <w:t>ocede, en primera instancia, a analizar</w:t>
      </w:r>
      <w:r w:rsidRPr="00ED4558">
        <w:rPr>
          <w:rFonts w:ascii="ITC Avant Garde" w:eastAsia="Times New Roman" w:hAnsi="ITC Avant Garde"/>
        </w:rPr>
        <w:t xml:space="preserve"> específicamente las argumentaciones de </w:t>
      </w:r>
      <w:r w:rsidR="001A45A6" w:rsidRPr="00ED4558">
        <w:rPr>
          <w:rFonts w:ascii="ITC Avant Garde" w:eastAsia="Times New Roman" w:hAnsi="ITC Avant Garde"/>
        </w:rPr>
        <w:t xml:space="preserve">Cablevisión Red </w:t>
      </w:r>
      <w:r w:rsidRPr="00ED4558">
        <w:rPr>
          <w:rFonts w:ascii="ITC Avant Garde" w:eastAsia="Times New Roman" w:hAnsi="ITC Avant Garde"/>
        </w:rPr>
        <w:t>y los alegatos que al respecto esgrimió</w:t>
      </w:r>
      <w:r w:rsidR="00B90B21" w:rsidRPr="00ED4558">
        <w:rPr>
          <w:rFonts w:ascii="ITC Avant Garde" w:eastAsia="Times New Roman" w:hAnsi="ITC Avant Garde"/>
        </w:rPr>
        <w:t xml:space="preserve"> Telcel,</w:t>
      </w:r>
      <w:r w:rsidR="00ED312D" w:rsidRPr="00ED4558">
        <w:rPr>
          <w:rFonts w:ascii="ITC Avant Garde" w:eastAsia="Times New Roman" w:hAnsi="ITC Avant Garde"/>
        </w:rPr>
        <w:t xml:space="preserve"> para posteriormente resolver sobre </w:t>
      </w:r>
      <w:r w:rsidR="00ED7BAF" w:rsidRPr="00ED4558">
        <w:rPr>
          <w:rFonts w:ascii="ITC Avant Garde" w:hAnsi="ITC Avant Garde" w:cs="Arial"/>
          <w:lang w:val="es-ES"/>
        </w:rPr>
        <w:t>aquellos puntos de desacuerdo que en materia de interconexión fueron sometidos por las partes.</w:t>
      </w:r>
    </w:p>
    <w:p w14:paraId="6F1EAD2A" w14:textId="77777777" w:rsidR="00773BC1" w:rsidRPr="00ED4558" w:rsidRDefault="00773BC1" w:rsidP="00773BC1">
      <w:pPr>
        <w:spacing w:after="0"/>
        <w:jc w:val="both"/>
        <w:rPr>
          <w:rFonts w:ascii="ITC Avant Garde" w:eastAsia="Times New Roman" w:hAnsi="ITC Avant Garde"/>
          <w:b/>
          <w:lang w:eastAsia="es-ES"/>
        </w:rPr>
      </w:pPr>
    </w:p>
    <w:p w14:paraId="06E624B0" w14:textId="77777777" w:rsidR="00CD61CC" w:rsidRPr="00ED4558" w:rsidRDefault="00CD61CC" w:rsidP="00773BC1">
      <w:pPr>
        <w:pStyle w:val="Prrafodelista"/>
        <w:numPr>
          <w:ilvl w:val="0"/>
          <w:numId w:val="32"/>
        </w:numPr>
        <w:spacing w:line="276" w:lineRule="auto"/>
        <w:ind w:left="426" w:hanging="426"/>
        <w:rPr>
          <w:rFonts w:ascii="ITC Avant Garde" w:hAnsi="ITC Avant Garde"/>
          <w:b/>
        </w:rPr>
      </w:pPr>
      <w:r w:rsidRPr="00ED4558">
        <w:rPr>
          <w:rFonts w:ascii="ITC Avant Garde" w:hAnsi="ITC Avant Garde"/>
          <w:b/>
        </w:rPr>
        <w:t xml:space="preserve">Improcedencia del </w:t>
      </w:r>
      <w:r w:rsidR="00493061" w:rsidRPr="00ED4558">
        <w:rPr>
          <w:rFonts w:ascii="ITC Avant Garde" w:hAnsi="ITC Avant Garde"/>
          <w:b/>
        </w:rPr>
        <w:t>inicio del d</w:t>
      </w:r>
      <w:r w:rsidR="00FD24B9" w:rsidRPr="00ED4558">
        <w:rPr>
          <w:rFonts w:ascii="ITC Avant Garde" w:hAnsi="ITC Avant Garde"/>
          <w:b/>
        </w:rPr>
        <w:t>esacuerdo de interconexión</w:t>
      </w:r>
    </w:p>
    <w:p w14:paraId="461A344D" w14:textId="77777777" w:rsidR="00B662C1" w:rsidRPr="00ED4558" w:rsidRDefault="00B662C1" w:rsidP="00773BC1">
      <w:pPr>
        <w:spacing w:after="0"/>
        <w:jc w:val="both"/>
        <w:rPr>
          <w:rFonts w:ascii="ITC Avant Garde" w:eastAsia="Times New Roman" w:hAnsi="ITC Avant Garde"/>
          <w:lang w:eastAsia="es-ES"/>
        </w:rPr>
      </w:pPr>
    </w:p>
    <w:p w14:paraId="765548EF" w14:textId="497BADE7" w:rsidR="001A45A6" w:rsidRPr="00ED4558" w:rsidRDefault="001A45A6" w:rsidP="00773BC1">
      <w:pPr>
        <w:spacing w:after="0"/>
        <w:jc w:val="both"/>
        <w:rPr>
          <w:rFonts w:ascii="ITC Avant Garde" w:eastAsia="Times New Roman" w:hAnsi="ITC Avant Garde"/>
          <w:lang w:eastAsia="es-ES"/>
        </w:rPr>
      </w:pPr>
      <w:r w:rsidRPr="00ED4558">
        <w:rPr>
          <w:rFonts w:ascii="ITC Avant Garde" w:eastAsia="Times New Roman" w:hAnsi="ITC Avant Garde"/>
          <w:lang w:eastAsia="es-ES"/>
        </w:rPr>
        <w:t xml:space="preserve">El apoderado legal </w:t>
      </w:r>
      <w:r w:rsidR="007473C9" w:rsidRPr="00ED4558">
        <w:rPr>
          <w:rFonts w:ascii="ITC Avant Garde" w:eastAsia="Times New Roman" w:hAnsi="ITC Avant Garde"/>
          <w:lang w:eastAsia="es-ES"/>
        </w:rPr>
        <w:t xml:space="preserve">de </w:t>
      </w:r>
      <w:r w:rsidRPr="00ED4558">
        <w:rPr>
          <w:rFonts w:ascii="ITC Avant Garde" w:eastAsia="Times New Roman" w:hAnsi="ITC Avant Garde"/>
          <w:lang w:eastAsia="es-ES"/>
        </w:rPr>
        <w:t xml:space="preserve">Cablevisión Red </w:t>
      </w:r>
      <w:r w:rsidR="00B662C1" w:rsidRPr="00ED4558">
        <w:rPr>
          <w:rFonts w:ascii="ITC Avant Garde" w:eastAsia="Times New Roman" w:hAnsi="ITC Avant Garde"/>
          <w:lang w:eastAsia="es-ES"/>
        </w:rPr>
        <w:t xml:space="preserve">señala que es improcedente el procedimiento de </w:t>
      </w:r>
      <w:r w:rsidR="0004255E" w:rsidRPr="00ED4558">
        <w:rPr>
          <w:rFonts w:ascii="ITC Avant Garde" w:eastAsia="Times New Roman" w:hAnsi="ITC Avant Garde"/>
          <w:lang w:eastAsia="es-ES"/>
        </w:rPr>
        <w:t>d</w:t>
      </w:r>
      <w:r w:rsidR="00B662C1" w:rsidRPr="00ED4558">
        <w:rPr>
          <w:rFonts w:ascii="ITC Avant Garde" w:eastAsia="Times New Roman" w:hAnsi="ITC Avant Garde"/>
          <w:lang w:eastAsia="es-ES"/>
        </w:rPr>
        <w:t>esacuerdo de inte</w:t>
      </w:r>
      <w:r w:rsidR="00153751" w:rsidRPr="00ED4558">
        <w:rPr>
          <w:rFonts w:ascii="ITC Avant Garde" w:eastAsia="Times New Roman" w:hAnsi="ITC Avant Garde"/>
          <w:lang w:eastAsia="es-ES"/>
        </w:rPr>
        <w:t>rconexión iniciado por Telcel en</w:t>
      </w:r>
      <w:r w:rsidR="00B662C1" w:rsidRPr="00ED4558">
        <w:rPr>
          <w:rFonts w:ascii="ITC Avant Garde" w:eastAsia="Times New Roman" w:hAnsi="ITC Avant Garde"/>
          <w:lang w:eastAsia="es-ES"/>
        </w:rPr>
        <w:t xml:space="preserve"> </w:t>
      </w:r>
      <w:r w:rsidR="00B67A81" w:rsidRPr="00ED4558">
        <w:rPr>
          <w:rFonts w:ascii="ITC Avant Garde" w:eastAsia="Times New Roman" w:hAnsi="ITC Avant Garde"/>
          <w:lang w:eastAsia="es-ES"/>
        </w:rPr>
        <w:t>virtud del A</w:t>
      </w:r>
      <w:r w:rsidR="00146579" w:rsidRPr="00ED4558">
        <w:rPr>
          <w:rFonts w:ascii="ITC Avant Garde" w:eastAsia="Times New Roman" w:hAnsi="ITC Avant Garde"/>
          <w:lang w:eastAsia="es-ES"/>
        </w:rPr>
        <w:t>cuerdo del Sistema.</w:t>
      </w:r>
      <w:r w:rsidR="00BC53D2" w:rsidRPr="00ED4558">
        <w:rPr>
          <w:rFonts w:ascii="ITC Avant Garde" w:eastAsia="Times New Roman" w:hAnsi="ITC Avant Garde"/>
          <w:lang w:eastAsia="es-ES"/>
        </w:rPr>
        <w:t xml:space="preserve"> </w:t>
      </w:r>
    </w:p>
    <w:p w14:paraId="40DBE64B" w14:textId="77777777" w:rsidR="001A45A6" w:rsidRPr="00ED4558" w:rsidRDefault="001A45A6" w:rsidP="00773BC1">
      <w:pPr>
        <w:spacing w:after="0"/>
        <w:jc w:val="both"/>
        <w:rPr>
          <w:rFonts w:ascii="ITC Avant Garde" w:eastAsia="Times New Roman" w:hAnsi="ITC Avant Garde"/>
          <w:lang w:eastAsia="es-ES"/>
        </w:rPr>
      </w:pPr>
    </w:p>
    <w:p w14:paraId="4F1EB39F" w14:textId="77777777" w:rsidR="00B662C1" w:rsidRPr="00ED4558" w:rsidRDefault="001A45A6" w:rsidP="00773BC1">
      <w:pPr>
        <w:spacing w:after="0"/>
        <w:jc w:val="both"/>
        <w:rPr>
          <w:rFonts w:ascii="ITC Avant Garde" w:eastAsia="Times New Roman" w:hAnsi="ITC Avant Garde"/>
          <w:lang w:eastAsia="es-ES"/>
        </w:rPr>
      </w:pPr>
      <w:r w:rsidRPr="00ED4558">
        <w:rPr>
          <w:rFonts w:ascii="ITC Avant Garde" w:eastAsia="Times New Roman" w:hAnsi="ITC Avant Garde"/>
          <w:lang w:eastAsia="es-ES"/>
        </w:rPr>
        <w:t xml:space="preserve">Cablevisión Red </w:t>
      </w:r>
      <w:r w:rsidR="00146579" w:rsidRPr="00ED4558">
        <w:rPr>
          <w:rFonts w:ascii="ITC Avant Garde" w:eastAsia="Times New Roman" w:hAnsi="ITC Avant Garde"/>
          <w:lang w:eastAsia="es-ES"/>
        </w:rPr>
        <w:t>señala que</w:t>
      </w:r>
      <w:r w:rsidR="00B67A81" w:rsidRPr="00ED4558">
        <w:rPr>
          <w:rFonts w:ascii="ITC Avant Garde" w:eastAsia="Times New Roman" w:hAnsi="ITC Avant Garde"/>
          <w:lang w:eastAsia="es-ES"/>
        </w:rPr>
        <w:t xml:space="preserve"> </w:t>
      </w:r>
      <w:r w:rsidR="00146579" w:rsidRPr="00ED4558">
        <w:rPr>
          <w:rFonts w:ascii="ITC Avant Garde" w:eastAsia="Times New Roman" w:hAnsi="ITC Avant Garde"/>
          <w:lang w:eastAsia="es-ES"/>
        </w:rPr>
        <w:t>de acuerdo a lo establecido en el numeral 3.3.6, del Acuerdo del Sistema</w:t>
      </w:r>
      <w:r w:rsidR="00B67A81" w:rsidRPr="00ED4558">
        <w:rPr>
          <w:rFonts w:ascii="ITC Avant Garde" w:eastAsia="Times New Roman" w:hAnsi="ITC Avant Garde"/>
          <w:lang w:eastAsia="es-ES"/>
        </w:rPr>
        <w:t xml:space="preserve">, denominado “Requisitos de la solicitud electrónica para tramitar la suscripción del convenio de interconexión o para acordar nuevas condiciones de interconexión”, Telcel no cumplió con los requisitos </w:t>
      </w:r>
      <w:r w:rsidR="00146579" w:rsidRPr="00ED4558">
        <w:rPr>
          <w:rFonts w:ascii="ITC Avant Garde" w:eastAsia="Times New Roman" w:hAnsi="ITC Avant Garde"/>
          <w:lang w:eastAsia="es-ES"/>
        </w:rPr>
        <w:t>establecidos en dicho numeral</w:t>
      </w:r>
      <w:r w:rsidR="00B67A81" w:rsidRPr="00ED4558">
        <w:rPr>
          <w:rFonts w:ascii="ITC Avant Garde" w:eastAsia="Times New Roman" w:hAnsi="ITC Avant Garde"/>
          <w:lang w:eastAsia="es-ES"/>
        </w:rPr>
        <w:t xml:space="preserve">, </w:t>
      </w:r>
      <w:r w:rsidR="00146579" w:rsidRPr="00ED4558">
        <w:rPr>
          <w:rFonts w:ascii="ITC Avant Garde" w:eastAsia="Times New Roman" w:hAnsi="ITC Avant Garde"/>
          <w:lang w:eastAsia="es-ES"/>
        </w:rPr>
        <w:t xml:space="preserve">ya que Telcel </w:t>
      </w:r>
      <w:r w:rsidR="00B67A81" w:rsidRPr="00ED4558">
        <w:rPr>
          <w:rFonts w:ascii="ITC Avant Garde" w:eastAsia="Times New Roman" w:hAnsi="ITC Avant Garde"/>
          <w:lang w:eastAsia="es-ES"/>
        </w:rPr>
        <w:t xml:space="preserve">de manera expresa y obligatoria debió elaborar un escrito, que su representante legal firmara y adjuntara en formato PDF </w:t>
      </w:r>
      <w:r w:rsidR="007473C9" w:rsidRPr="00ED4558">
        <w:rPr>
          <w:rFonts w:ascii="ITC Avant Garde" w:eastAsia="Times New Roman" w:hAnsi="ITC Avant Garde"/>
          <w:lang w:eastAsia="es-ES"/>
        </w:rPr>
        <w:t>a</w:t>
      </w:r>
      <w:r w:rsidR="00B67A81" w:rsidRPr="00ED4558">
        <w:rPr>
          <w:rFonts w:ascii="ITC Avant Garde" w:eastAsia="Times New Roman" w:hAnsi="ITC Avant Garde"/>
          <w:lang w:eastAsia="es-ES"/>
        </w:rPr>
        <w:t xml:space="preserve"> la solicitud planteada, violentando los principios de seguridad jurídica y debido proceso de </w:t>
      </w:r>
      <w:r w:rsidRPr="00ED4558">
        <w:rPr>
          <w:rFonts w:ascii="ITC Avant Garde" w:eastAsia="Times New Roman" w:hAnsi="ITC Avant Garde"/>
          <w:lang w:eastAsia="es-ES"/>
        </w:rPr>
        <w:t>Cablevisión Red.</w:t>
      </w:r>
      <w:r w:rsidR="00B67A81" w:rsidRPr="00ED4558">
        <w:rPr>
          <w:rFonts w:ascii="ITC Avant Garde" w:eastAsia="Times New Roman" w:hAnsi="ITC Avant Garde"/>
          <w:lang w:eastAsia="es-ES"/>
        </w:rPr>
        <w:t xml:space="preserve"> </w:t>
      </w:r>
    </w:p>
    <w:p w14:paraId="67DDB593" w14:textId="77777777" w:rsidR="00B67A81" w:rsidRPr="00ED4558" w:rsidRDefault="00B67A81" w:rsidP="00773BC1">
      <w:pPr>
        <w:spacing w:after="0"/>
        <w:jc w:val="both"/>
        <w:rPr>
          <w:rFonts w:ascii="ITC Avant Garde" w:eastAsia="Times New Roman" w:hAnsi="ITC Avant Garde"/>
          <w:lang w:eastAsia="es-ES"/>
        </w:rPr>
      </w:pPr>
    </w:p>
    <w:p w14:paraId="3F8BA7F0" w14:textId="77777777" w:rsidR="003831F0" w:rsidRPr="00ED4558" w:rsidRDefault="00614312" w:rsidP="00773BC1">
      <w:pPr>
        <w:spacing w:after="0"/>
        <w:jc w:val="both"/>
        <w:rPr>
          <w:rFonts w:ascii="ITC Avant Garde" w:eastAsia="Times New Roman" w:hAnsi="ITC Avant Garde"/>
          <w:lang w:eastAsia="es-ES"/>
        </w:rPr>
      </w:pPr>
      <w:r w:rsidRPr="00ED4558">
        <w:rPr>
          <w:rFonts w:ascii="ITC Avant Garde" w:eastAsia="Times New Roman" w:hAnsi="ITC Avant Garde"/>
          <w:lang w:eastAsia="es-ES"/>
        </w:rPr>
        <w:t>Asimismo,</w:t>
      </w:r>
      <w:r w:rsidR="00B662C1" w:rsidRPr="00ED4558">
        <w:rPr>
          <w:rFonts w:ascii="ITC Avant Garde" w:eastAsia="Times New Roman" w:hAnsi="ITC Avant Garde"/>
          <w:lang w:eastAsia="es-ES"/>
        </w:rPr>
        <w:t xml:space="preserve"> manifiesta que el incumplimiento de Telcel al Acuerdo del Sistema, en particular en no haber adjuntado el escrito debidamente firmado por su representante legal, es un hecho notorio</w:t>
      </w:r>
      <w:r w:rsidR="003831F0" w:rsidRPr="00ED4558">
        <w:rPr>
          <w:rFonts w:ascii="ITC Avant Garde" w:eastAsia="Times New Roman" w:hAnsi="ITC Avant Garde"/>
          <w:lang w:eastAsia="es-ES"/>
        </w:rPr>
        <w:t>,</w:t>
      </w:r>
      <w:r w:rsidR="00A23AF5" w:rsidRPr="00ED4558">
        <w:rPr>
          <w:rFonts w:ascii="ITC Avant Garde" w:eastAsia="Times New Roman" w:hAnsi="ITC Avant Garde"/>
          <w:lang w:eastAsia="es-ES"/>
        </w:rPr>
        <w:t xml:space="preserve"> en términos de la jurisprudencia por reiteración XX.2º J/24, </w:t>
      </w:r>
      <w:r w:rsidR="003831F0" w:rsidRPr="00ED4558">
        <w:rPr>
          <w:rFonts w:ascii="ITC Avant Garde" w:eastAsia="Times New Roman" w:hAnsi="ITC Avant Garde"/>
          <w:lang w:eastAsia="es-ES"/>
        </w:rPr>
        <w:t xml:space="preserve"> señalando que dicho trámite se encuentra disponible para consulta pública en el SE</w:t>
      </w:r>
      <w:r w:rsidR="00A23AF5" w:rsidRPr="00ED4558">
        <w:rPr>
          <w:rFonts w:ascii="ITC Avant Garde" w:eastAsia="Times New Roman" w:hAnsi="ITC Avant Garde"/>
          <w:lang w:eastAsia="es-ES"/>
        </w:rPr>
        <w:t>S</w:t>
      </w:r>
      <w:r w:rsidR="003831F0" w:rsidRPr="00ED4558">
        <w:rPr>
          <w:rFonts w:ascii="ITC Avant Garde" w:eastAsia="Times New Roman" w:hAnsi="ITC Avant Garde"/>
          <w:lang w:eastAsia="es-ES"/>
        </w:rPr>
        <w:t>I del I</w:t>
      </w:r>
      <w:r w:rsidR="00A23AF5" w:rsidRPr="00ED4558">
        <w:rPr>
          <w:rFonts w:ascii="ITC Avant Garde" w:eastAsia="Times New Roman" w:hAnsi="ITC Avant Garde"/>
          <w:lang w:eastAsia="es-ES"/>
        </w:rPr>
        <w:t>nstituto.</w:t>
      </w:r>
    </w:p>
    <w:p w14:paraId="6BB66C5D" w14:textId="77777777" w:rsidR="00A23AF5" w:rsidRPr="00ED4558" w:rsidRDefault="00A23AF5" w:rsidP="00773BC1">
      <w:pPr>
        <w:spacing w:after="0"/>
        <w:jc w:val="both"/>
        <w:rPr>
          <w:rFonts w:ascii="ITC Avant Garde" w:eastAsia="Times New Roman" w:hAnsi="ITC Avant Garde"/>
          <w:lang w:eastAsia="es-ES"/>
        </w:rPr>
      </w:pPr>
    </w:p>
    <w:p w14:paraId="5068253E" w14:textId="77777777" w:rsidR="00B662C1" w:rsidRPr="00ED4558" w:rsidRDefault="00A23AF5" w:rsidP="00773BC1">
      <w:pPr>
        <w:spacing w:after="0"/>
        <w:jc w:val="both"/>
        <w:rPr>
          <w:rFonts w:ascii="ITC Avant Garde" w:eastAsia="Times New Roman" w:hAnsi="ITC Avant Garde"/>
          <w:lang w:eastAsia="es-ES"/>
        </w:rPr>
      </w:pPr>
      <w:r w:rsidRPr="00ED4558">
        <w:rPr>
          <w:rFonts w:ascii="ITC Avant Garde" w:eastAsia="Times New Roman" w:hAnsi="ITC Avant Garde"/>
          <w:lang w:eastAsia="es-ES"/>
        </w:rPr>
        <w:t xml:space="preserve">Por lo anterior, </w:t>
      </w:r>
      <w:r w:rsidR="003D35A9" w:rsidRPr="00ED4558">
        <w:rPr>
          <w:rFonts w:ascii="ITC Avant Garde" w:eastAsia="Times New Roman" w:hAnsi="ITC Avant Garde"/>
          <w:lang w:eastAsia="es-ES"/>
        </w:rPr>
        <w:t xml:space="preserve">el apoderado legal de Cablevisión Red </w:t>
      </w:r>
      <w:r w:rsidR="00614312" w:rsidRPr="00ED4558">
        <w:rPr>
          <w:rFonts w:ascii="ITC Avant Garde" w:eastAsia="Times New Roman" w:hAnsi="ITC Avant Garde"/>
          <w:lang w:eastAsia="es-ES"/>
        </w:rPr>
        <w:t>concluye</w:t>
      </w:r>
      <w:r w:rsidRPr="00ED4558">
        <w:rPr>
          <w:rFonts w:ascii="ITC Avant Garde" w:eastAsia="Times New Roman" w:hAnsi="ITC Avant Garde"/>
          <w:lang w:eastAsia="es-ES"/>
        </w:rPr>
        <w:t xml:space="preserve"> que es procedente que el presente procedimiento se reponga en sus términos a fin de que se cumpla con lo establecido en el Acuerdo del Sistema y en lo establecido en el artículo 129 de la </w:t>
      </w:r>
      <w:proofErr w:type="spellStart"/>
      <w:r w:rsidRPr="00ED4558">
        <w:rPr>
          <w:rFonts w:ascii="ITC Avant Garde" w:eastAsia="Times New Roman" w:hAnsi="ITC Avant Garde"/>
          <w:lang w:eastAsia="es-ES"/>
        </w:rPr>
        <w:t>LFTyR</w:t>
      </w:r>
      <w:proofErr w:type="spellEnd"/>
      <w:r w:rsidRPr="00ED4558">
        <w:rPr>
          <w:rFonts w:ascii="ITC Avant Garde" w:eastAsia="Times New Roman" w:hAnsi="ITC Avant Garde"/>
          <w:lang w:eastAsia="es-ES"/>
        </w:rPr>
        <w:t xml:space="preserve">, a efecto de que no se deje en estado de indefensión a su representada. </w:t>
      </w:r>
    </w:p>
    <w:p w14:paraId="2D8CF72F" w14:textId="664DAF0F" w:rsidR="00FD24B9" w:rsidRPr="00ED4558" w:rsidRDefault="00FD24B9" w:rsidP="00773BC1">
      <w:pPr>
        <w:spacing w:after="0"/>
        <w:jc w:val="both"/>
        <w:rPr>
          <w:rFonts w:ascii="ITC Avant Garde" w:eastAsia="Times New Roman" w:hAnsi="ITC Avant Garde"/>
          <w:b/>
          <w:lang w:eastAsia="es-ES"/>
        </w:rPr>
      </w:pPr>
    </w:p>
    <w:p w14:paraId="13F39C3F" w14:textId="77777777" w:rsidR="00CD61CC" w:rsidRPr="00ED4558" w:rsidRDefault="00CD61CC" w:rsidP="00773BC1">
      <w:pPr>
        <w:spacing w:after="0"/>
        <w:jc w:val="both"/>
        <w:rPr>
          <w:rFonts w:ascii="ITC Avant Garde" w:eastAsia="Times New Roman" w:hAnsi="ITC Avant Garde"/>
          <w:lang w:eastAsia="es-ES"/>
        </w:rPr>
      </w:pPr>
      <w:r w:rsidRPr="00ED4558">
        <w:rPr>
          <w:rFonts w:ascii="ITC Avant Garde" w:eastAsia="Times New Roman" w:hAnsi="ITC Avant Garde"/>
          <w:lang w:eastAsia="es-ES"/>
        </w:rPr>
        <w:t xml:space="preserve">Por su parte, el representante legal de Telcel señala que las manifestaciones rendidas por </w:t>
      </w:r>
      <w:r w:rsidR="003D35A9" w:rsidRPr="00ED4558">
        <w:rPr>
          <w:rFonts w:ascii="ITC Avant Garde" w:eastAsia="Times New Roman" w:hAnsi="ITC Avant Garde"/>
          <w:lang w:eastAsia="es-ES"/>
        </w:rPr>
        <w:t xml:space="preserve">Cablevisión Red </w:t>
      </w:r>
      <w:r w:rsidRPr="00ED4558">
        <w:rPr>
          <w:rFonts w:ascii="ITC Avant Garde" w:eastAsia="Times New Roman" w:hAnsi="ITC Avant Garde"/>
          <w:lang w:eastAsia="es-ES"/>
        </w:rPr>
        <w:t xml:space="preserve">revelan su intención por que el Instituto no ejerza su facultad de rectoría en el sector de las telecomunicaciones para resolver el desacuerdo de interconexión materia del presente procedimiento, empleando al efecto argumentos sustentados en premisas inexactas, por lo que devienen en inoperantes e infundados. </w:t>
      </w:r>
    </w:p>
    <w:p w14:paraId="03BDCC05" w14:textId="77777777" w:rsidR="00CD61CC" w:rsidRPr="00ED4558" w:rsidRDefault="00CD61CC" w:rsidP="00773BC1">
      <w:pPr>
        <w:spacing w:after="0"/>
        <w:jc w:val="both"/>
        <w:rPr>
          <w:rFonts w:ascii="ITC Avant Garde" w:eastAsia="Times New Roman" w:hAnsi="ITC Avant Garde"/>
          <w:lang w:eastAsia="es-ES"/>
        </w:rPr>
      </w:pPr>
    </w:p>
    <w:p w14:paraId="234898F6" w14:textId="77777777" w:rsidR="00CC7346" w:rsidRPr="00ED4558" w:rsidRDefault="00CD61CC" w:rsidP="00773BC1">
      <w:pPr>
        <w:spacing w:after="0"/>
        <w:jc w:val="both"/>
        <w:rPr>
          <w:rFonts w:ascii="ITC Avant Garde" w:eastAsia="Times New Roman" w:hAnsi="ITC Avant Garde"/>
          <w:lang w:eastAsia="es-ES"/>
        </w:rPr>
      </w:pPr>
      <w:r w:rsidRPr="00ED4558">
        <w:rPr>
          <w:rFonts w:ascii="ITC Avant Garde" w:eastAsia="Times New Roman" w:hAnsi="ITC Avant Garde"/>
          <w:lang w:eastAsia="es-ES"/>
        </w:rPr>
        <w:t xml:space="preserve">Manifiesta Telcel que, la </w:t>
      </w:r>
      <w:r w:rsidR="00CC7346" w:rsidRPr="00ED4558">
        <w:rPr>
          <w:rFonts w:ascii="ITC Avant Garde" w:eastAsia="Times New Roman" w:hAnsi="ITC Avant Garde"/>
          <w:lang w:eastAsia="es-ES"/>
        </w:rPr>
        <w:t>interpretación</w:t>
      </w:r>
      <w:r w:rsidRPr="00ED4558">
        <w:rPr>
          <w:rFonts w:ascii="ITC Avant Garde" w:eastAsia="Times New Roman" w:hAnsi="ITC Avant Garde"/>
          <w:lang w:eastAsia="es-ES"/>
        </w:rPr>
        <w:t xml:space="preserve"> del Acue</w:t>
      </w:r>
      <w:r w:rsidR="00812892" w:rsidRPr="00ED4558">
        <w:rPr>
          <w:rFonts w:ascii="ITC Avant Garde" w:eastAsia="Times New Roman" w:hAnsi="ITC Avant Garde"/>
          <w:lang w:eastAsia="es-ES"/>
        </w:rPr>
        <w:t>rdo del Sistema</w:t>
      </w:r>
      <w:r w:rsidRPr="00ED4558">
        <w:rPr>
          <w:rFonts w:ascii="ITC Avant Garde" w:eastAsia="Times New Roman" w:hAnsi="ITC Avant Garde"/>
          <w:lang w:eastAsia="es-ES"/>
        </w:rPr>
        <w:t xml:space="preserve"> realizada por </w:t>
      </w:r>
      <w:r w:rsidR="003D35A9" w:rsidRPr="00ED4558">
        <w:rPr>
          <w:rFonts w:ascii="ITC Avant Garde" w:eastAsia="Times New Roman" w:hAnsi="ITC Avant Garde"/>
          <w:lang w:eastAsia="es-ES"/>
        </w:rPr>
        <w:t xml:space="preserve">Cablevisión Red </w:t>
      </w:r>
      <w:r w:rsidR="00614312" w:rsidRPr="00ED4558">
        <w:rPr>
          <w:rFonts w:ascii="ITC Avant Garde" w:eastAsia="Times New Roman" w:hAnsi="ITC Avant Garde"/>
          <w:lang w:eastAsia="es-ES"/>
        </w:rPr>
        <w:t xml:space="preserve">es </w:t>
      </w:r>
      <w:r w:rsidRPr="00ED4558">
        <w:rPr>
          <w:rFonts w:ascii="ITC Avant Garde" w:eastAsia="Times New Roman" w:hAnsi="ITC Avant Garde"/>
          <w:lang w:eastAsia="es-ES"/>
        </w:rPr>
        <w:t xml:space="preserve">incorrecta, ya que dicho Acuerdo no obliga al concesionario que dé inicio a un desacuerdo a elaborar un escrito formal y físico para dicho propósito y adjuntarlo al SESI. </w:t>
      </w:r>
      <w:r w:rsidR="00812892" w:rsidRPr="00ED4558">
        <w:rPr>
          <w:rFonts w:ascii="ITC Avant Garde" w:eastAsia="Times New Roman" w:hAnsi="ITC Avant Garde"/>
          <w:lang w:eastAsia="es-ES"/>
        </w:rPr>
        <w:t xml:space="preserve">Señala que lo que el numeral 3.3.6 del Acuerdo del Sistema establece la obligación de adjuntar aquellos escritos a través de los cuales los concesionarios hubieran entablado negociaciones posteriores al inicio del procedimiento realizado vía SESI. Cuestión que no sucedió, en virtud de la falta de interés de </w:t>
      </w:r>
      <w:r w:rsidR="003D35A9" w:rsidRPr="00ED4558">
        <w:rPr>
          <w:rFonts w:ascii="ITC Avant Garde" w:eastAsia="Times New Roman" w:hAnsi="ITC Avant Garde"/>
          <w:lang w:eastAsia="es-ES"/>
        </w:rPr>
        <w:t>Cablevisión Red.</w:t>
      </w:r>
    </w:p>
    <w:p w14:paraId="3320D13C" w14:textId="77777777" w:rsidR="00E47359" w:rsidRPr="00ED4558" w:rsidRDefault="00E47359" w:rsidP="00773BC1">
      <w:pPr>
        <w:spacing w:after="0"/>
        <w:jc w:val="both"/>
        <w:rPr>
          <w:rFonts w:ascii="ITC Avant Garde" w:eastAsia="Times New Roman" w:hAnsi="ITC Avant Garde"/>
          <w:lang w:eastAsia="es-ES"/>
        </w:rPr>
      </w:pPr>
    </w:p>
    <w:p w14:paraId="0D07C9A9" w14:textId="65A173D6" w:rsidR="005932B9" w:rsidRPr="00ED4558" w:rsidRDefault="005932B9" w:rsidP="00773BC1">
      <w:pPr>
        <w:spacing w:after="0"/>
        <w:jc w:val="both"/>
        <w:rPr>
          <w:rFonts w:ascii="ITC Avant Garde" w:eastAsia="Times New Roman" w:hAnsi="ITC Avant Garde"/>
          <w:lang w:eastAsia="es-ES"/>
        </w:rPr>
      </w:pPr>
      <w:r w:rsidRPr="00ED4558">
        <w:rPr>
          <w:rFonts w:ascii="ITC Avant Garde" w:eastAsia="Times New Roman" w:hAnsi="ITC Avant Garde"/>
          <w:lang w:eastAsia="es-ES"/>
        </w:rPr>
        <w:t xml:space="preserve">Continúa manifestando Telcel que si el SESI requiriera de una manera tajante e inflexible la formulación de solicitudes de inicio de negociaciones mediante documento formal y físico, firmado por el representante legal  del solicitante y acompañado de archivo digital en formato </w:t>
      </w:r>
      <w:proofErr w:type="spellStart"/>
      <w:r w:rsidR="0004255E" w:rsidRPr="00ED4558">
        <w:rPr>
          <w:rFonts w:ascii="ITC Avant Garde" w:eastAsia="Times New Roman" w:hAnsi="ITC Avant Garde"/>
          <w:i/>
          <w:lang w:eastAsia="es-ES"/>
        </w:rPr>
        <w:t>pdf</w:t>
      </w:r>
      <w:proofErr w:type="spellEnd"/>
      <w:r w:rsidRPr="00ED4558">
        <w:rPr>
          <w:rFonts w:ascii="ITC Avant Garde" w:eastAsia="Times New Roman" w:hAnsi="ITC Avant Garde"/>
          <w:lang w:eastAsia="es-ES"/>
        </w:rPr>
        <w:t xml:space="preserve">., no se explica cómo es que </w:t>
      </w:r>
      <w:proofErr w:type="spellStart"/>
      <w:r w:rsidRPr="00ED4558">
        <w:rPr>
          <w:rFonts w:ascii="ITC Avant Garde" w:eastAsia="Times New Roman" w:hAnsi="ITC Avant Garde"/>
          <w:lang w:eastAsia="es-ES"/>
        </w:rPr>
        <w:t>el</w:t>
      </w:r>
      <w:proofErr w:type="spellEnd"/>
      <w:r w:rsidRPr="00ED4558">
        <w:rPr>
          <w:rFonts w:ascii="ITC Avant Garde" w:eastAsia="Times New Roman" w:hAnsi="ITC Avant Garde"/>
          <w:lang w:eastAsia="es-ES"/>
        </w:rPr>
        <w:t xml:space="preserve"> </w:t>
      </w:r>
      <w:r w:rsidR="0004255E" w:rsidRPr="00ED4558">
        <w:rPr>
          <w:rFonts w:ascii="ITC Avant Garde" w:eastAsia="Times New Roman" w:hAnsi="ITC Avant Garde"/>
          <w:lang w:eastAsia="es-ES"/>
        </w:rPr>
        <w:t>se</w:t>
      </w:r>
      <w:r w:rsidR="00ED4558">
        <w:rPr>
          <w:rFonts w:ascii="ITC Avant Garde" w:eastAsia="Times New Roman" w:hAnsi="ITC Avant Garde"/>
          <w:lang w:eastAsia="es-ES"/>
        </w:rPr>
        <w:t xml:space="preserve"> </w:t>
      </w:r>
      <w:r w:rsidRPr="00ED4558">
        <w:rPr>
          <w:rFonts w:ascii="ITC Avant Garde" w:eastAsia="Times New Roman" w:hAnsi="ITC Avant Garde"/>
          <w:lang w:eastAsia="es-ES"/>
        </w:rPr>
        <w:t>registra la admisión de los trámites, asigna folios electrónicos y genera acuses de recibo, computa plazos de negociación y envía notificaciones electrónicas a las partes involucradas. Asimismo, señala que en la parte considerativa del Acuerdo del SESI, es la agilizar, simplificar y privilegiar el inicio de negociaciones entre los concesionarios y no la de crear cargas excesivas ni obstáculos formales, como infundadamente lo pretende Cablevisión Red.</w:t>
      </w:r>
    </w:p>
    <w:p w14:paraId="7ED00A38" w14:textId="77777777" w:rsidR="008F23A9" w:rsidRPr="00ED4558" w:rsidRDefault="008F23A9" w:rsidP="00773BC1">
      <w:pPr>
        <w:spacing w:after="0"/>
        <w:jc w:val="both"/>
        <w:rPr>
          <w:rFonts w:ascii="ITC Avant Garde" w:eastAsia="Times New Roman" w:hAnsi="ITC Avant Garde"/>
          <w:lang w:eastAsia="es-ES"/>
        </w:rPr>
      </w:pPr>
    </w:p>
    <w:p w14:paraId="0E24FE88" w14:textId="77777777" w:rsidR="00BC73B7" w:rsidRPr="00ED4558" w:rsidRDefault="008F23A9" w:rsidP="00773BC1">
      <w:pPr>
        <w:spacing w:after="0"/>
        <w:jc w:val="both"/>
        <w:rPr>
          <w:rFonts w:ascii="ITC Avant Garde" w:eastAsia="Times New Roman" w:hAnsi="ITC Avant Garde"/>
          <w:lang w:eastAsia="es-ES"/>
        </w:rPr>
      </w:pPr>
      <w:r w:rsidRPr="00ED4558">
        <w:rPr>
          <w:rFonts w:ascii="ITC Avant Garde" w:eastAsia="Times New Roman" w:hAnsi="ITC Avant Garde"/>
          <w:lang w:eastAsia="es-ES"/>
        </w:rPr>
        <w:t>Telcel manifiesta</w:t>
      </w:r>
      <w:r w:rsidR="00BC73B7" w:rsidRPr="00ED4558">
        <w:rPr>
          <w:rFonts w:ascii="ITC Avant Garde" w:eastAsia="Times New Roman" w:hAnsi="ITC Avant Garde"/>
          <w:lang w:eastAsia="es-ES"/>
        </w:rPr>
        <w:t xml:space="preserve"> que dio inicio al presente procedimiento mediante los estándares de simplificación regulatoria establecidos por la </w:t>
      </w:r>
      <w:proofErr w:type="spellStart"/>
      <w:r w:rsidR="00BC73B7" w:rsidRPr="00ED4558">
        <w:rPr>
          <w:rFonts w:ascii="ITC Avant Garde" w:eastAsia="Times New Roman" w:hAnsi="ITC Avant Garde"/>
          <w:lang w:eastAsia="es-ES"/>
        </w:rPr>
        <w:t>LFTyR</w:t>
      </w:r>
      <w:proofErr w:type="spellEnd"/>
      <w:r w:rsidR="00BC73B7" w:rsidRPr="00ED4558">
        <w:rPr>
          <w:rFonts w:ascii="ITC Avant Garde" w:eastAsia="Times New Roman" w:hAnsi="ITC Avant Garde"/>
          <w:lang w:eastAsia="es-ES"/>
        </w:rPr>
        <w:t xml:space="preserve"> y el Acuerdo del Sistema, dando aviso a </w:t>
      </w:r>
      <w:r w:rsidR="00E47359" w:rsidRPr="00ED4558">
        <w:rPr>
          <w:rFonts w:ascii="ITC Avant Garde" w:eastAsia="Times New Roman" w:hAnsi="ITC Avant Garde"/>
          <w:lang w:eastAsia="es-ES"/>
        </w:rPr>
        <w:t xml:space="preserve">Cablevisión Red </w:t>
      </w:r>
      <w:r w:rsidR="00BC73B7" w:rsidRPr="00ED4558">
        <w:rPr>
          <w:rFonts w:ascii="ITC Avant Garde" w:eastAsia="Times New Roman" w:hAnsi="ITC Avant Garde"/>
          <w:lang w:eastAsia="es-ES"/>
        </w:rPr>
        <w:t xml:space="preserve">con quien </w:t>
      </w:r>
      <w:r w:rsidRPr="00ED4558">
        <w:rPr>
          <w:rFonts w:ascii="ITC Avant Garde" w:eastAsia="Times New Roman" w:hAnsi="ITC Avant Garde"/>
          <w:lang w:eastAsia="es-ES"/>
        </w:rPr>
        <w:t>resulta</w:t>
      </w:r>
      <w:r w:rsidR="00BC73B7" w:rsidRPr="00ED4558">
        <w:rPr>
          <w:rFonts w:ascii="ITC Avant Garde" w:eastAsia="Times New Roman" w:hAnsi="ITC Avant Garde"/>
          <w:lang w:eastAsia="es-ES"/>
        </w:rPr>
        <w:t xml:space="preserve"> necesario establecer condicio</w:t>
      </w:r>
      <w:r w:rsidRPr="00ED4558">
        <w:rPr>
          <w:rFonts w:ascii="ITC Avant Garde" w:eastAsia="Times New Roman" w:hAnsi="ITC Avant Garde"/>
          <w:lang w:eastAsia="es-ES"/>
        </w:rPr>
        <w:t xml:space="preserve">nes de interconexión aplicables a los años 2015 y 2016, por medio de la herramienta remota implementada por dicho Instituto y a través de su representante legal, cuya legitimación se encuentra previamente validada por el Instituto, de conformidad con las condiciones contenidas en los numerales 2.3 a 2.6 del Acuerdo del Sistema. </w:t>
      </w:r>
    </w:p>
    <w:p w14:paraId="3C45685F" w14:textId="77777777" w:rsidR="008F23A9" w:rsidRPr="00ED4558" w:rsidRDefault="008F23A9" w:rsidP="00773BC1">
      <w:pPr>
        <w:spacing w:after="0"/>
        <w:jc w:val="both"/>
        <w:rPr>
          <w:rFonts w:ascii="ITC Avant Garde" w:eastAsia="Times New Roman" w:hAnsi="ITC Avant Garde"/>
          <w:lang w:eastAsia="es-ES"/>
        </w:rPr>
      </w:pPr>
    </w:p>
    <w:p w14:paraId="4DC1CA7F" w14:textId="2886B12D" w:rsidR="008F23A9" w:rsidRPr="00ED4558" w:rsidRDefault="00614312" w:rsidP="00773BC1">
      <w:pPr>
        <w:spacing w:after="0"/>
        <w:jc w:val="both"/>
        <w:rPr>
          <w:rFonts w:ascii="ITC Avant Garde" w:eastAsia="Times New Roman" w:hAnsi="ITC Avant Garde"/>
          <w:lang w:eastAsia="es-ES"/>
        </w:rPr>
      </w:pPr>
      <w:r w:rsidRPr="00ED4558">
        <w:rPr>
          <w:rFonts w:ascii="ITC Avant Garde" w:eastAsia="Times New Roman" w:hAnsi="ITC Avant Garde"/>
          <w:lang w:eastAsia="es-ES"/>
        </w:rPr>
        <w:t>Concluye Telcel que resulta i</w:t>
      </w:r>
      <w:r w:rsidR="0004255E" w:rsidRPr="00ED4558">
        <w:rPr>
          <w:rFonts w:ascii="ITC Avant Garde" w:eastAsia="Times New Roman" w:hAnsi="ITC Avant Garde"/>
          <w:lang w:eastAsia="es-ES"/>
        </w:rPr>
        <w:t>legal</w:t>
      </w:r>
      <w:r w:rsidR="008F23A9" w:rsidRPr="00ED4558">
        <w:rPr>
          <w:rFonts w:ascii="ITC Avant Garde" w:eastAsia="Times New Roman" w:hAnsi="ITC Avant Garde"/>
          <w:lang w:eastAsia="es-ES"/>
        </w:rPr>
        <w:t xml:space="preserve"> la petición de </w:t>
      </w:r>
      <w:r w:rsidR="00E47359" w:rsidRPr="00ED4558">
        <w:rPr>
          <w:rFonts w:ascii="ITC Avant Garde" w:eastAsia="Times New Roman" w:hAnsi="ITC Avant Garde"/>
          <w:lang w:eastAsia="es-ES"/>
        </w:rPr>
        <w:t>Cablevisión Red</w:t>
      </w:r>
      <w:r w:rsidR="008F23A9" w:rsidRPr="00ED4558">
        <w:rPr>
          <w:rFonts w:ascii="ITC Avant Garde" w:eastAsia="Times New Roman" w:hAnsi="ITC Avant Garde"/>
          <w:lang w:eastAsia="es-ES"/>
        </w:rPr>
        <w:t xml:space="preserve">, en el sentido de solicitar que el procedimiento se reponga, toda vez que contrariamente a su pretensión, Telcel cumplió con los lineamientos prescritos en el Acuerdo del Sistema y en el artículo 129 de la </w:t>
      </w:r>
      <w:proofErr w:type="spellStart"/>
      <w:r w:rsidR="008F23A9" w:rsidRPr="00ED4558">
        <w:rPr>
          <w:rFonts w:ascii="ITC Avant Garde" w:eastAsia="Times New Roman" w:hAnsi="ITC Avant Garde"/>
          <w:lang w:eastAsia="es-ES"/>
        </w:rPr>
        <w:t>LFTyR</w:t>
      </w:r>
      <w:proofErr w:type="spellEnd"/>
      <w:r w:rsidR="008F23A9" w:rsidRPr="00ED4558">
        <w:rPr>
          <w:rFonts w:ascii="ITC Avant Garde" w:eastAsia="Times New Roman" w:hAnsi="ITC Avant Garde"/>
          <w:lang w:eastAsia="es-ES"/>
        </w:rPr>
        <w:t xml:space="preserve"> para solicitar el inicio de negociaciones. </w:t>
      </w:r>
    </w:p>
    <w:p w14:paraId="1E8236A4" w14:textId="77777777" w:rsidR="008F23A9" w:rsidRPr="00ED4558" w:rsidRDefault="008F23A9" w:rsidP="00773BC1">
      <w:pPr>
        <w:spacing w:after="0"/>
        <w:jc w:val="both"/>
        <w:rPr>
          <w:rFonts w:ascii="ITC Avant Garde" w:eastAsia="Times New Roman" w:hAnsi="ITC Avant Garde"/>
          <w:lang w:eastAsia="es-ES"/>
        </w:rPr>
      </w:pPr>
    </w:p>
    <w:p w14:paraId="0476F684" w14:textId="77777777" w:rsidR="00CC7346" w:rsidRPr="00ED4558" w:rsidRDefault="003831F0" w:rsidP="00773BC1">
      <w:pPr>
        <w:spacing w:after="0"/>
        <w:jc w:val="both"/>
        <w:rPr>
          <w:rFonts w:ascii="ITC Avant Garde" w:eastAsia="Times New Roman" w:hAnsi="ITC Avant Garde"/>
          <w:b/>
          <w:lang w:eastAsia="es-ES"/>
        </w:rPr>
      </w:pPr>
      <w:r w:rsidRPr="00ED4558">
        <w:rPr>
          <w:rFonts w:ascii="ITC Avant Garde" w:eastAsia="Times New Roman" w:hAnsi="ITC Avant Garde"/>
          <w:b/>
          <w:lang w:eastAsia="es-ES"/>
        </w:rPr>
        <w:t>Consideraciones del Instituto</w:t>
      </w:r>
    </w:p>
    <w:p w14:paraId="62DBDDA0" w14:textId="77777777" w:rsidR="006C7B1A" w:rsidRPr="00ED4558" w:rsidRDefault="006C7B1A" w:rsidP="007909A3">
      <w:pPr>
        <w:spacing w:after="0"/>
        <w:jc w:val="both"/>
        <w:rPr>
          <w:rFonts w:ascii="ITC Avant Garde" w:hAnsi="ITC Avant Garde" w:cs="Arial"/>
        </w:rPr>
      </w:pPr>
    </w:p>
    <w:p w14:paraId="27D21B64" w14:textId="44504DDA" w:rsidR="006C7B1A" w:rsidRPr="00ED4558" w:rsidRDefault="006C7B1A" w:rsidP="007909A3">
      <w:pPr>
        <w:spacing w:after="0"/>
        <w:jc w:val="both"/>
        <w:rPr>
          <w:rFonts w:ascii="ITC Avant Garde" w:hAnsi="ITC Avant Garde" w:cs="Arial"/>
        </w:rPr>
      </w:pPr>
      <w:r w:rsidRPr="00ED4558">
        <w:rPr>
          <w:rFonts w:ascii="ITC Avant Garde" w:hAnsi="ITC Avant Garde" w:cs="Arial"/>
        </w:rPr>
        <w:t xml:space="preserve">Las manifestaciones de </w:t>
      </w:r>
      <w:r w:rsidR="00377E08" w:rsidRPr="00ED4558">
        <w:rPr>
          <w:rFonts w:ascii="ITC Avant Garde" w:hAnsi="ITC Avant Garde" w:cs="Arial"/>
        </w:rPr>
        <w:t xml:space="preserve">Cablevisión Red </w:t>
      </w:r>
      <w:r w:rsidR="00614312" w:rsidRPr="00ED4558">
        <w:rPr>
          <w:rFonts w:ascii="ITC Avant Garde" w:hAnsi="ITC Avant Garde" w:cs="Arial"/>
        </w:rPr>
        <w:t xml:space="preserve">resultan  </w:t>
      </w:r>
      <w:r w:rsidR="00325685" w:rsidRPr="00ED4558">
        <w:rPr>
          <w:rFonts w:ascii="ITC Avant Garde" w:hAnsi="ITC Avant Garde" w:cs="Arial"/>
        </w:rPr>
        <w:t>infundadas</w:t>
      </w:r>
      <w:r w:rsidRPr="00ED4558">
        <w:rPr>
          <w:rFonts w:ascii="ITC Avant Garde" w:hAnsi="ITC Avant Garde" w:cs="Arial"/>
        </w:rPr>
        <w:t xml:space="preserve"> toda vez</w:t>
      </w:r>
      <w:r w:rsidR="002D3D05" w:rsidRPr="00ED4558">
        <w:rPr>
          <w:rFonts w:ascii="ITC Avant Garde" w:hAnsi="ITC Avant Garde" w:cs="Arial"/>
        </w:rPr>
        <w:t xml:space="preserve"> contrario a lo que sostiene,</w:t>
      </w:r>
      <w:r w:rsidRPr="00ED4558">
        <w:rPr>
          <w:rFonts w:ascii="ITC Avant Garde" w:hAnsi="ITC Avant Garde" w:cs="Arial"/>
        </w:rPr>
        <w:t xml:space="preserve"> la solicitud presentada por Telcel cumple con los requisitos establecidos en el marco normativo vigente, esto es, lo establecido en el artículo 129 de la </w:t>
      </w:r>
      <w:proofErr w:type="spellStart"/>
      <w:r w:rsidRPr="00ED4558">
        <w:rPr>
          <w:rFonts w:ascii="ITC Avant Garde" w:hAnsi="ITC Avant Garde" w:cs="Arial"/>
        </w:rPr>
        <w:t>LFTyR</w:t>
      </w:r>
      <w:proofErr w:type="spellEnd"/>
      <w:r w:rsidRPr="00ED4558">
        <w:rPr>
          <w:rFonts w:ascii="ITC Avant Garde" w:hAnsi="ITC Avant Garde" w:cs="Arial"/>
        </w:rPr>
        <w:t xml:space="preserve"> es decir: que el solicitante del desacuerdo de interconexión sea concesionario de red pública de telecomunicaciones, que la persona a quien se le solicitaron las negociaciones sea concesionario de red pública de telecomunicaciones, y esté registrado en el SESI, que haya transcurrido el plazo de 60 días naturales para las negociaciones en el SESI, </w:t>
      </w:r>
      <w:r w:rsidRPr="00ED4558">
        <w:rPr>
          <w:rFonts w:asciiTheme="minorHAnsi" w:eastAsiaTheme="minorEastAsia" w:cs="Arial"/>
          <w:kern w:val="24"/>
          <w:sz w:val="36"/>
          <w:szCs w:val="36"/>
          <w:lang w:eastAsia="es-MX"/>
        </w:rPr>
        <w:t xml:space="preserve"> </w:t>
      </w:r>
      <w:r w:rsidRPr="00ED4558">
        <w:rPr>
          <w:rFonts w:ascii="ITC Avant Garde" w:hAnsi="ITC Avant Garde" w:cs="Arial"/>
        </w:rPr>
        <w:t xml:space="preserve">que la solicitud haya sido presentada dentro los 45 días hábiles contados a partir del día hábil siguiente al  que hubiere concluido el plazo anterior y, que los términos, tarifas y condiciones se hayan negociado a través del SESI. </w:t>
      </w:r>
    </w:p>
    <w:p w14:paraId="4271A41E" w14:textId="77777777" w:rsidR="007909A3" w:rsidRPr="00ED4558" w:rsidRDefault="007909A3" w:rsidP="007909A3">
      <w:pPr>
        <w:spacing w:after="0"/>
        <w:jc w:val="both"/>
        <w:rPr>
          <w:rFonts w:ascii="ITC Avant Garde" w:hAnsi="ITC Avant Garde" w:cs="Arial"/>
        </w:rPr>
      </w:pPr>
    </w:p>
    <w:p w14:paraId="1CB1F61B" w14:textId="77777777" w:rsidR="006C7B1A" w:rsidRPr="00ED4558" w:rsidRDefault="006C7B1A" w:rsidP="007909A3">
      <w:pPr>
        <w:spacing w:after="0"/>
        <w:jc w:val="both"/>
        <w:rPr>
          <w:rFonts w:ascii="ITC Avant Garde" w:hAnsi="ITC Avant Garde" w:cs="Arial"/>
        </w:rPr>
      </w:pPr>
      <w:r w:rsidRPr="00ED4558">
        <w:rPr>
          <w:rFonts w:ascii="ITC Avant Garde" w:hAnsi="ITC Avant Garde" w:cs="Arial"/>
        </w:rPr>
        <w:t>De igual manera, las negociaciones realizadas en el SESI deben de cumplir con lo establecido del Acuerdo del Si</w:t>
      </w:r>
      <w:r w:rsidR="007909A3" w:rsidRPr="00ED4558">
        <w:rPr>
          <w:rFonts w:ascii="ITC Avant Garde" w:hAnsi="ITC Avant Garde" w:cs="Arial"/>
        </w:rPr>
        <w:t>stema, sin embargo, respecto de</w:t>
      </w:r>
      <w:r w:rsidRPr="00ED4558">
        <w:rPr>
          <w:rFonts w:ascii="ITC Avant Garde" w:hAnsi="ITC Avant Garde" w:cs="Arial"/>
        </w:rPr>
        <w:t>l</w:t>
      </w:r>
      <w:r w:rsidR="007909A3" w:rsidRPr="00ED4558">
        <w:rPr>
          <w:rFonts w:ascii="ITC Avant Garde" w:hAnsi="ITC Avant Garde" w:cs="Arial"/>
        </w:rPr>
        <w:t xml:space="preserve"> requisito</w:t>
      </w:r>
      <w:r w:rsidRPr="00ED4558">
        <w:rPr>
          <w:rFonts w:ascii="ITC Avant Garde" w:hAnsi="ITC Avant Garde" w:cs="Arial"/>
        </w:rPr>
        <w:t xml:space="preserve"> que a decir de </w:t>
      </w:r>
      <w:r w:rsidR="00377E08" w:rsidRPr="00ED4558">
        <w:rPr>
          <w:rFonts w:ascii="ITC Avant Garde" w:hAnsi="ITC Avant Garde" w:cs="Arial"/>
        </w:rPr>
        <w:t xml:space="preserve">Cablevisión Red </w:t>
      </w:r>
      <w:r w:rsidR="007909A3" w:rsidRPr="00ED4558">
        <w:rPr>
          <w:rFonts w:ascii="ITC Avant Garde" w:hAnsi="ITC Avant Garde" w:cs="Arial"/>
        </w:rPr>
        <w:t>fue omitido</w:t>
      </w:r>
      <w:r w:rsidRPr="00ED4558">
        <w:rPr>
          <w:rFonts w:ascii="ITC Avant Garde" w:hAnsi="ITC Avant Garde" w:cs="Arial"/>
        </w:rPr>
        <w:t xml:space="preserve"> por Telcel, </w:t>
      </w:r>
      <w:r w:rsidR="007909A3" w:rsidRPr="00ED4558">
        <w:rPr>
          <w:rFonts w:ascii="ITC Avant Garde" w:hAnsi="ITC Avant Garde" w:cs="Arial"/>
        </w:rPr>
        <w:t>esto es el cumplimiento del numeral</w:t>
      </w:r>
      <w:r w:rsidRPr="00ED4558">
        <w:rPr>
          <w:rFonts w:ascii="ITC Avant Garde" w:hAnsi="ITC Avant Garde" w:cs="Arial"/>
        </w:rPr>
        <w:t xml:space="preserve"> 3.3.6 ya que no presenta ningún documento firmado por el representante legal, este Instituto señala que de conformidad con el numeral 3 del Acuerdo del  Sistema la solicitud es electrónica, por lo que el inicio de negociaciones y las negociaciones subsecuentes pueden llevarse a cabo enteramente de manera electrónica, por lo que la inclusión de escritos de negociaciones es opcional; no obstante, cuando estos se incluyen</w:t>
      </w:r>
      <w:r w:rsidR="00377E08" w:rsidRPr="00ED4558">
        <w:rPr>
          <w:rFonts w:ascii="ITC Avant Garde" w:hAnsi="ITC Avant Garde" w:cs="Arial"/>
        </w:rPr>
        <w:t xml:space="preserve">, </w:t>
      </w:r>
      <w:r w:rsidRPr="00ED4558">
        <w:rPr>
          <w:rFonts w:ascii="ITC Avant Garde" w:hAnsi="ITC Avant Garde" w:cs="Arial"/>
        </w:rPr>
        <w:t>deben venir firmados por el representante legal.</w:t>
      </w:r>
    </w:p>
    <w:p w14:paraId="723B302A" w14:textId="77777777" w:rsidR="006C7B1A" w:rsidRPr="00ED4558" w:rsidRDefault="006C7B1A" w:rsidP="007909A3">
      <w:pPr>
        <w:spacing w:after="0"/>
        <w:rPr>
          <w:rFonts w:ascii="ITC Avant Garde" w:hAnsi="ITC Avant Garde" w:cs="Arial"/>
        </w:rPr>
      </w:pPr>
    </w:p>
    <w:p w14:paraId="63B3AA99" w14:textId="77777777" w:rsidR="006C7B1A" w:rsidRPr="00ED4558" w:rsidRDefault="007909A3" w:rsidP="007909A3">
      <w:pPr>
        <w:spacing w:after="0"/>
        <w:jc w:val="both"/>
        <w:rPr>
          <w:rFonts w:ascii="ITC Avant Garde" w:hAnsi="ITC Avant Garde" w:cs="Arial"/>
          <w:bCs/>
        </w:rPr>
      </w:pPr>
      <w:r w:rsidRPr="00ED4558">
        <w:rPr>
          <w:rFonts w:ascii="ITC Avant Garde" w:hAnsi="ITC Avant Garde" w:cs="Arial"/>
        </w:rPr>
        <w:t xml:space="preserve">Lo anterior toda vez que en la </w:t>
      </w:r>
      <w:r w:rsidR="006C7B1A" w:rsidRPr="00ED4558">
        <w:rPr>
          <w:rFonts w:ascii="ITC Avant Garde" w:hAnsi="ITC Avant Garde" w:cs="Arial"/>
          <w:bCs/>
        </w:rPr>
        <w:t xml:space="preserve">pantalla del SESI quedó acreditado que Telcel señaló expresamente lo siguiente: </w:t>
      </w:r>
      <w:r w:rsidR="006C7B1A" w:rsidRPr="00ED4558">
        <w:rPr>
          <w:rFonts w:ascii="ITC Avant Garde" w:hAnsi="ITC Avant Garde" w:cs="Arial"/>
          <w:bCs/>
          <w:i/>
        </w:rPr>
        <w:t>“…formalmente les solicitamos llevar a cabo las negociaciones para acordar las tarifas de interconexión que Telcel deberá pagar por servicios de terminación de tráfico público conmutado en la red pública de telecomunicaciones de su representada durante el periodo comprendido del 1° de enero al 31 de diciembre de 2015 y del 1° de enero al 31 de diciembre de 2016.  …”</w:t>
      </w:r>
      <w:r w:rsidR="006C7B1A" w:rsidRPr="00ED4558">
        <w:rPr>
          <w:rFonts w:ascii="ITC Avant Garde" w:hAnsi="ITC Avant Garde" w:cs="Arial"/>
          <w:bCs/>
        </w:rPr>
        <w:t>, por lo que resulta claro</w:t>
      </w:r>
      <w:r w:rsidRPr="00ED4558">
        <w:rPr>
          <w:rFonts w:ascii="ITC Avant Garde" w:hAnsi="ITC Avant Garde" w:cs="Arial"/>
          <w:bCs/>
        </w:rPr>
        <w:t xml:space="preserve"> para este Instituto que Telcel</w:t>
      </w:r>
      <w:r w:rsidR="006C7B1A" w:rsidRPr="00ED4558">
        <w:rPr>
          <w:rFonts w:ascii="ITC Avant Garde" w:hAnsi="ITC Avant Garde" w:cs="Arial"/>
          <w:bCs/>
        </w:rPr>
        <w:t xml:space="preserve"> indicó </w:t>
      </w:r>
      <w:r w:rsidRPr="00ED4558">
        <w:rPr>
          <w:rFonts w:ascii="ITC Avant Garde" w:hAnsi="ITC Avant Garde" w:cs="Arial"/>
          <w:bCs/>
        </w:rPr>
        <w:t>claramente cuál era el servicio de interconexión objeto de la negociación.</w:t>
      </w:r>
    </w:p>
    <w:p w14:paraId="7EA4ACC9" w14:textId="77777777" w:rsidR="007909A3" w:rsidRPr="00ED4558" w:rsidRDefault="007909A3" w:rsidP="007909A3">
      <w:pPr>
        <w:spacing w:after="0"/>
        <w:rPr>
          <w:rFonts w:ascii="ITC Avant Garde" w:hAnsi="ITC Avant Garde" w:cs="Arial"/>
        </w:rPr>
      </w:pPr>
    </w:p>
    <w:p w14:paraId="0E8588DE" w14:textId="77777777" w:rsidR="006C7B1A" w:rsidRPr="00ED4558" w:rsidRDefault="006C7B1A" w:rsidP="007909A3">
      <w:pPr>
        <w:spacing w:after="0"/>
        <w:jc w:val="both"/>
        <w:rPr>
          <w:rFonts w:ascii="ITC Avant Garde" w:hAnsi="ITC Avant Garde" w:cs="Arial"/>
        </w:rPr>
      </w:pPr>
      <w:r w:rsidRPr="00ED4558">
        <w:rPr>
          <w:rFonts w:ascii="ITC Avant Garde" w:hAnsi="ITC Avant Garde" w:cs="Arial"/>
        </w:rPr>
        <w:t xml:space="preserve">La anterior verificación permite al Instituto que al pronunciarse sobre la </w:t>
      </w:r>
      <w:r w:rsidRPr="00ED4558">
        <w:rPr>
          <w:rFonts w:ascii="ITC Avant Garde" w:hAnsi="ITC Avant Garde" w:cs="Arial"/>
          <w:bCs/>
        </w:rPr>
        <w:t xml:space="preserve">procedencia y admisión de la solicitud de resolución, </w:t>
      </w:r>
      <w:r w:rsidRPr="00ED4558">
        <w:rPr>
          <w:rFonts w:ascii="ITC Avant Garde" w:hAnsi="ITC Avant Garde" w:cs="Arial"/>
        </w:rPr>
        <w:t>se</w:t>
      </w:r>
      <w:r w:rsidRPr="00ED4558">
        <w:rPr>
          <w:rFonts w:ascii="ITC Avant Garde" w:hAnsi="ITC Avant Garde" w:cs="Arial"/>
          <w:bCs/>
        </w:rPr>
        <w:t xml:space="preserve"> </w:t>
      </w:r>
      <w:r w:rsidRPr="00ED4558">
        <w:rPr>
          <w:rFonts w:ascii="ITC Avant Garde" w:hAnsi="ITC Avant Garde" w:cs="Arial"/>
        </w:rPr>
        <w:t xml:space="preserve">cumpla con la hipótesis normativa que establece el artículo 129 de la </w:t>
      </w:r>
      <w:proofErr w:type="spellStart"/>
      <w:r w:rsidRPr="00ED4558">
        <w:rPr>
          <w:rFonts w:ascii="ITC Avant Garde" w:hAnsi="ITC Avant Garde" w:cs="Arial"/>
        </w:rPr>
        <w:t>LFTyR</w:t>
      </w:r>
      <w:proofErr w:type="spellEnd"/>
      <w:r w:rsidRPr="00ED4558">
        <w:rPr>
          <w:rFonts w:ascii="ITC Avant Garde" w:hAnsi="ITC Avant Garde" w:cs="Arial"/>
        </w:rPr>
        <w:t>, en el sentido de que:</w:t>
      </w:r>
    </w:p>
    <w:p w14:paraId="33E06B37" w14:textId="77777777" w:rsidR="007909A3" w:rsidRPr="00ED4558" w:rsidRDefault="007909A3" w:rsidP="007909A3">
      <w:pPr>
        <w:spacing w:after="0"/>
        <w:jc w:val="both"/>
        <w:rPr>
          <w:rFonts w:ascii="ITC Avant Garde" w:hAnsi="ITC Avant Garde" w:cs="Arial"/>
        </w:rPr>
      </w:pPr>
    </w:p>
    <w:p w14:paraId="437DEA28" w14:textId="77777777" w:rsidR="006C7B1A" w:rsidRPr="00ED4558" w:rsidRDefault="006C7B1A" w:rsidP="007909A3">
      <w:pPr>
        <w:numPr>
          <w:ilvl w:val="0"/>
          <w:numId w:val="39"/>
        </w:numPr>
        <w:spacing w:after="0"/>
        <w:jc w:val="both"/>
        <w:rPr>
          <w:rFonts w:ascii="ITC Avant Garde" w:hAnsi="ITC Avant Garde" w:cs="Arial"/>
        </w:rPr>
      </w:pPr>
      <w:r w:rsidRPr="00ED4558">
        <w:rPr>
          <w:rFonts w:ascii="ITC Avant Garde" w:hAnsi="ITC Avant Garde" w:cs="Arial"/>
        </w:rPr>
        <w:t>Se tiene plena certeza de quien es el concesionario solicitante.</w:t>
      </w:r>
    </w:p>
    <w:p w14:paraId="508CDDD1" w14:textId="77777777" w:rsidR="006C7B1A" w:rsidRPr="00ED4558" w:rsidRDefault="006C7B1A" w:rsidP="007909A3">
      <w:pPr>
        <w:numPr>
          <w:ilvl w:val="0"/>
          <w:numId w:val="39"/>
        </w:numPr>
        <w:spacing w:after="0"/>
        <w:jc w:val="both"/>
        <w:rPr>
          <w:rFonts w:ascii="ITC Avant Garde" w:hAnsi="ITC Avant Garde" w:cs="Arial"/>
        </w:rPr>
      </w:pPr>
      <w:r w:rsidRPr="00ED4558">
        <w:rPr>
          <w:rFonts w:ascii="ITC Avant Garde" w:hAnsi="ITC Avant Garde" w:cs="Arial"/>
        </w:rPr>
        <w:t>Se tiene plena certeza de quien es el concesionario solicitado.</w:t>
      </w:r>
    </w:p>
    <w:p w14:paraId="47267A3C" w14:textId="77777777" w:rsidR="006C7B1A" w:rsidRPr="00ED4558" w:rsidRDefault="006C7B1A" w:rsidP="007909A3">
      <w:pPr>
        <w:numPr>
          <w:ilvl w:val="0"/>
          <w:numId w:val="39"/>
        </w:numPr>
        <w:spacing w:after="0"/>
        <w:jc w:val="both"/>
        <w:rPr>
          <w:rFonts w:ascii="ITC Avant Garde" w:hAnsi="ITC Avant Garde" w:cs="Arial"/>
        </w:rPr>
      </w:pPr>
      <w:r w:rsidRPr="00ED4558">
        <w:rPr>
          <w:rFonts w:ascii="ITC Avant Garde" w:hAnsi="ITC Avant Garde" w:cs="Arial"/>
        </w:rPr>
        <w:t>Se acredita fehacientemente cuáles fueron las condiciones de interconexión no convenidas.</w:t>
      </w:r>
    </w:p>
    <w:p w14:paraId="2A2C2B70" w14:textId="77777777" w:rsidR="006C7B1A" w:rsidRPr="00ED4558" w:rsidRDefault="006C7B1A" w:rsidP="007909A3">
      <w:pPr>
        <w:numPr>
          <w:ilvl w:val="0"/>
          <w:numId w:val="39"/>
        </w:numPr>
        <w:spacing w:after="0"/>
        <w:jc w:val="both"/>
        <w:rPr>
          <w:rFonts w:ascii="ITC Avant Garde" w:hAnsi="ITC Avant Garde" w:cs="Arial"/>
        </w:rPr>
      </w:pPr>
      <w:r w:rsidRPr="00ED4558">
        <w:rPr>
          <w:rFonts w:ascii="ITC Avant Garde" w:hAnsi="ITC Avant Garde" w:cs="Arial"/>
        </w:rPr>
        <w:lastRenderedPageBreak/>
        <w:t>Se tiene certeza de la temporalidad en la aplicación de las condiciones no convenidas, en particular de la tarifa de interconexión.</w:t>
      </w:r>
    </w:p>
    <w:p w14:paraId="7B8B20C8" w14:textId="77777777" w:rsidR="006C7B1A" w:rsidRPr="00ED4558" w:rsidRDefault="006C7B1A" w:rsidP="007909A3">
      <w:pPr>
        <w:numPr>
          <w:ilvl w:val="0"/>
          <w:numId w:val="39"/>
        </w:numPr>
        <w:spacing w:after="0"/>
        <w:jc w:val="both"/>
        <w:rPr>
          <w:rFonts w:ascii="ITC Avant Garde" w:hAnsi="ITC Avant Garde" w:cs="Arial"/>
        </w:rPr>
      </w:pPr>
      <w:r w:rsidRPr="00ED4558">
        <w:rPr>
          <w:rFonts w:ascii="ITC Avant Garde" w:hAnsi="ITC Avant Garde" w:cs="Arial"/>
        </w:rPr>
        <w:t xml:space="preserve">Se acredita fehacientemente que se realizaron negociaciones entre concesionarios y que las mismas </w:t>
      </w:r>
      <w:r w:rsidRPr="00ED4558">
        <w:rPr>
          <w:rFonts w:ascii="ITC Avant Garde" w:hAnsi="ITC Avant Garde" w:cs="Arial"/>
          <w:bCs/>
        </w:rPr>
        <w:t>se llevaron a cabo a través del sistema en los términos que prevé la ley</w:t>
      </w:r>
      <w:r w:rsidRPr="00ED4558">
        <w:rPr>
          <w:rFonts w:ascii="ITC Avant Garde" w:hAnsi="ITC Avant Garde" w:cs="Arial"/>
        </w:rPr>
        <w:t>.</w:t>
      </w:r>
    </w:p>
    <w:p w14:paraId="2375823B" w14:textId="77777777" w:rsidR="006C7B1A" w:rsidRPr="00ED4558" w:rsidRDefault="006C7B1A" w:rsidP="007909A3">
      <w:pPr>
        <w:numPr>
          <w:ilvl w:val="0"/>
          <w:numId w:val="39"/>
        </w:numPr>
        <w:spacing w:after="0"/>
        <w:jc w:val="both"/>
        <w:rPr>
          <w:rFonts w:ascii="ITC Avant Garde" w:hAnsi="ITC Avant Garde" w:cs="Arial"/>
        </w:rPr>
      </w:pPr>
      <w:r w:rsidRPr="00ED4558">
        <w:rPr>
          <w:rFonts w:ascii="ITC Avant Garde" w:hAnsi="ITC Avant Garde" w:cs="Arial"/>
        </w:rPr>
        <w:t>Se tiene certeza que se cumplió con el p</w:t>
      </w:r>
      <w:r w:rsidR="007909A3" w:rsidRPr="00ED4558">
        <w:rPr>
          <w:rFonts w:ascii="ITC Avant Garde" w:hAnsi="ITC Avant Garde" w:cs="Arial"/>
        </w:rPr>
        <w:t>l</w:t>
      </w:r>
      <w:r w:rsidRPr="00ED4558">
        <w:rPr>
          <w:rFonts w:ascii="ITC Avant Garde" w:hAnsi="ITC Avant Garde" w:cs="Arial"/>
        </w:rPr>
        <w:t>azo de 60 días naturales para las negociaciones, y los 45 días hábiles para ingresar la solicitud de resolución ante el Instituto.</w:t>
      </w:r>
    </w:p>
    <w:p w14:paraId="6E11E8B9" w14:textId="77777777" w:rsidR="006C7B1A" w:rsidRDefault="006C7B1A" w:rsidP="007909A3">
      <w:pPr>
        <w:pStyle w:val="Prrafodelista"/>
        <w:ind w:left="284"/>
        <w:rPr>
          <w:rFonts w:ascii="ITC Avant Garde" w:hAnsi="ITC Avant Garde" w:cs="Arial"/>
        </w:rPr>
      </w:pPr>
    </w:p>
    <w:p w14:paraId="6C541772" w14:textId="77777777" w:rsidR="003C333D" w:rsidRPr="00ED4558" w:rsidRDefault="003C333D" w:rsidP="007909A3">
      <w:pPr>
        <w:pStyle w:val="Prrafodelista"/>
        <w:ind w:left="284"/>
        <w:rPr>
          <w:rFonts w:ascii="ITC Avant Garde" w:hAnsi="ITC Avant Garde" w:cs="Arial"/>
        </w:rPr>
      </w:pPr>
    </w:p>
    <w:p w14:paraId="4019F280" w14:textId="77777777" w:rsidR="006C7B1A" w:rsidRPr="00ED4558" w:rsidRDefault="006C7B1A" w:rsidP="007909A3">
      <w:pPr>
        <w:spacing w:after="0"/>
        <w:jc w:val="both"/>
        <w:rPr>
          <w:rFonts w:ascii="ITC Avant Garde" w:eastAsia="Times New Roman" w:hAnsi="ITC Avant Garde"/>
          <w:szCs w:val="24"/>
          <w:lang w:eastAsia="es-ES"/>
        </w:rPr>
      </w:pPr>
      <w:r w:rsidRPr="00ED4558">
        <w:rPr>
          <w:rFonts w:ascii="ITC Avant Garde" w:eastAsia="Times New Roman" w:hAnsi="ITC Avant Garde"/>
          <w:szCs w:val="24"/>
          <w:lang w:eastAsia="es-ES"/>
        </w:rPr>
        <w:t xml:space="preserve">Lo anterior es consistente con lo señalado en el último párrafo del artículo 129 de la </w:t>
      </w:r>
      <w:proofErr w:type="spellStart"/>
      <w:r w:rsidRPr="00ED4558">
        <w:rPr>
          <w:rFonts w:ascii="ITC Avant Garde" w:eastAsia="Times New Roman" w:hAnsi="ITC Avant Garde"/>
          <w:szCs w:val="24"/>
          <w:lang w:eastAsia="es-ES"/>
        </w:rPr>
        <w:t>LFTyR</w:t>
      </w:r>
      <w:proofErr w:type="spellEnd"/>
      <w:r w:rsidRPr="00ED4558">
        <w:rPr>
          <w:rFonts w:ascii="ITC Avant Garde" w:eastAsia="Times New Roman" w:hAnsi="ITC Avant Garde"/>
          <w:szCs w:val="24"/>
          <w:lang w:eastAsia="es-ES"/>
        </w:rPr>
        <w:t xml:space="preserve">, en el sentido de que es obligación del Instituto favorecer </w:t>
      </w:r>
      <w:r w:rsidRPr="00ED4558">
        <w:rPr>
          <w:rFonts w:ascii="ITC Avant Garde" w:eastAsia="Times New Roman" w:hAnsi="ITC Avant Garde"/>
          <w:szCs w:val="24"/>
          <w:u w:val="single"/>
          <w:lang w:eastAsia="es-ES"/>
        </w:rPr>
        <w:t>la pronta y efectiva interconexión entre redes públicas de telecomunicaciones por lo que el procedimiento administrativo debió desahogarse en forma transparente, pronta, expedita y deben evitarse actuaciones procesales que tengan como consecuencia retrasar la interconexión efectiva entre redes públicas de telecomunicaciones o las condiciones no convenidas que permitan la prestación de los servicios públicos de telecomunicaciones.</w:t>
      </w:r>
    </w:p>
    <w:p w14:paraId="3E78E48D" w14:textId="77777777" w:rsidR="009F044D" w:rsidRPr="00ED4558" w:rsidRDefault="009F044D" w:rsidP="009F044D">
      <w:pPr>
        <w:pStyle w:val="Textoindependiente"/>
        <w:spacing w:line="276" w:lineRule="auto"/>
        <w:rPr>
          <w:rFonts w:ascii="ITC Avant Garde" w:hAnsi="ITC Avant Garde" w:cs="Arial"/>
          <w:bCs/>
        </w:rPr>
      </w:pPr>
    </w:p>
    <w:p w14:paraId="3EE4DD13" w14:textId="77777777" w:rsidR="009F044D" w:rsidRPr="00ED4558" w:rsidRDefault="00614312" w:rsidP="009F044D">
      <w:pPr>
        <w:pStyle w:val="Textoindependiente"/>
        <w:spacing w:line="276" w:lineRule="auto"/>
        <w:rPr>
          <w:rFonts w:ascii="ITC Avant Garde" w:hAnsi="ITC Avant Garde" w:cs="Arial"/>
          <w:bCs/>
        </w:rPr>
      </w:pPr>
      <w:r w:rsidRPr="00ED4558">
        <w:rPr>
          <w:rFonts w:ascii="ITC Avant Garde" w:hAnsi="ITC Avant Garde" w:cs="Arial"/>
          <w:bCs/>
        </w:rPr>
        <w:t>En ese sentido resulta infunda</w:t>
      </w:r>
      <w:r w:rsidR="00C52F33" w:rsidRPr="00ED4558">
        <w:rPr>
          <w:rFonts w:ascii="ITC Avant Garde" w:hAnsi="ITC Avant Garde" w:cs="Arial"/>
          <w:bCs/>
        </w:rPr>
        <w:t xml:space="preserve">do lo manifestado por </w:t>
      </w:r>
      <w:r w:rsidR="00C46891" w:rsidRPr="00ED4558">
        <w:rPr>
          <w:rFonts w:ascii="ITC Avant Garde" w:hAnsi="ITC Avant Garde" w:cs="Arial"/>
          <w:bCs/>
        </w:rPr>
        <w:t>Cablevisión Red</w:t>
      </w:r>
      <w:r w:rsidR="00C52F33" w:rsidRPr="00ED4558">
        <w:rPr>
          <w:rFonts w:ascii="ITC Avant Garde" w:hAnsi="ITC Avant Garde" w:cs="Arial"/>
          <w:bCs/>
        </w:rPr>
        <w:t xml:space="preserve">, </w:t>
      </w:r>
      <w:r w:rsidR="00C46891" w:rsidRPr="00ED4558">
        <w:rPr>
          <w:rFonts w:ascii="ITC Avant Garde" w:hAnsi="ITC Avant Garde" w:cs="Arial"/>
          <w:bCs/>
        </w:rPr>
        <w:t xml:space="preserve">por lo que </w:t>
      </w:r>
      <w:r w:rsidRPr="00ED4558">
        <w:rPr>
          <w:rFonts w:ascii="ITC Avant Garde" w:hAnsi="ITC Avant Garde" w:cs="Arial"/>
          <w:bCs/>
        </w:rPr>
        <w:t>u</w:t>
      </w:r>
      <w:r w:rsidR="009F044D" w:rsidRPr="00ED4558">
        <w:rPr>
          <w:rFonts w:ascii="ITC Avant Garde" w:hAnsi="ITC Avant Garde" w:cs="Arial"/>
          <w:bCs/>
          <w:szCs w:val="22"/>
        </w:rPr>
        <w:t>na vez analizadas las manifestaciones gene</w:t>
      </w:r>
      <w:r w:rsidR="00C52F33" w:rsidRPr="00ED4558">
        <w:rPr>
          <w:rFonts w:ascii="ITC Avant Garde" w:hAnsi="ITC Avant Garde" w:cs="Arial"/>
          <w:bCs/>
          <w:szCs w:val="22"/>
        </w:rPr>
        <w:t>rales de las partes se procede</w:t>
      </w:r>
      <w:r w:rsidR="009F044D" w:rsidRPr="00ED4558">
        <w:rPr>
          <w:rFonts w:ascii="ITC Avant Garde" w:hAnsi="ITC Avant Garde" w:cs="Arial"/>
          <w:bCs/>
          <w:szCs w:val="22"/>
        </w:rPr>
        <w:t xml:space="preserve"> a resolver sobre las condiciones no convenidas.</w:t>
      </w:r>
    </w:p>
    <w:p w14:paraId="6D01F24C" w14:textId="77777777" w:rsidR="009F044D" w:rsidRPr="00ED4558" w:rsidRDefault="009F044D" w:rsidP="00773BC1">
      <w:pPr>
        <w:spacing w:after="0"/>
        <w:jc w:val="both"/>
        <w:rPr>
          <w:rFonts w:ascii="ITC Avant Garde" w:eastAsia="Times New Roman" w:hAnsi="ITC Avant Garde"/>
          <w:b/>
          <w:lang w:eastAsia="es-ES"/>
        </w:rPr>
      </w:pPr>
    </w:p>
    <w:p w14:paraId="7EB949FD" w14:textId="77777777" w:rsidR="00CC7346" w:rsidRPr="00ED4558" w:rsidRDefault="00B501A9" w:rsidP="00773BC1">
      <w:pPr>
        <w:pStyle w:val="Prrafodelista"/>
        <w:numPr>
          <w:ilvl w:val="0"/>
          <w:numId w:val="33"/>
        </w:numPr>
        <w:spacing w:line="276" w:lineRule="auto"/>
        <w:ind w:left="426" w:hanging="426"/>
        <w:rPr>
          <w:rFonts w:ascii="ITC Avant Garde" w:hAnsi="ITC Avant Garde"/>
          <w:b/>
        </w:rPr>
      </w:pPr>
      <w:r w:rsidRPr="00ED4558">
        <w:rPr>
          <w:rFonts w:ascii="ITC Avant Garde" w:hAnsi="ITC Avant Garde"/>
          <w:b/>
        </w:rPr>
        <w:t>Determinación de la tarifa de i</w:t>
      </w:r>
      <w:r w:rsidR="00CD40DD" w:rsidRPr="00ED4558">
        <w:rPr>
          <w:rFonts w:ascii="ITC Avant Garde" w:hAnsi="ITC Avant Garde"/>
          <w:b/>
        </w:rPr>
        <w:t>nterconexión por servicios de terminación fija para los ejercicios 2015 y 2016</w:t>
      </w:r>
    </w:p>
    <w:p w14:paraId="25585CD5" w14:textId="77777777" w:rsidR="00FA2947" w:rsidRPr="00ED4558" w:rsidRDefault="00FA2947" w:rsidP="00773BC1">
      <w:pPr>
        <w:spacing w:after="0"/>
        <w:jc w:val="both"/>
        <w:rPr>
          <w:rFonts w:ascii="ITC Avant Garde" w:eastAsia="Times New Roman" w:hAnsi="ITC Avant Garde"/>
          <w:b/>
          <w:lang w:eastAsia="es-ES"/>
        </w:rPr>
      </w:pPr>
    </w:p>
    <w:p w14:paraId="49EE1CD6" w14:textId="77777777" w:rsidR="00FA2947" w:rsidRPr="00ED4558" w:rsidRDefault="00FA0DC0" w:rsidP="00773BC1">
      <w:pPr>
        <w:spacing w:after="0"/>
        <w:jc w:val="both"/>
        <w:rPr>
          <w:rFonts w:ascii="ITC Avant Garde" w:eastAsia="Times New Roman" w:hAnsi="ITC Avant Garde"/>
          <w:lang w:eastAsia="es-ES"/>
        </w:rPr>
      </w:pPr>
      <w:r w:rsidRPr="00ED4558">
        <w:rPr>
          <w:rFonts w:ascii="ITC Avant Garde" w:eastAsia="Times New Roman" w:hAnsi="ITC Avant Garde"/>
          <w:lang w:eastAsia="es-ES"/>
        </w:rPr>
        <w:t>Respecto de la petición de Telcel sobre que se determine la tarifa de interconexión para el periodo del 1 de enero de 2015 al 31 de diciembre de 2015 y 1 de enero de 2016 al 3</w:t>
      </w:r>
      <w:r w:rsidR="00FE37CA" w:rsidRPr="00ED4558">
        <w:rPr>
          <w:rFonts w:ascii="ITC Avant Garde" w:eastAsia="Times New Roman" w:hAnsi="ITC Avant Garde"/>
          <w:lang w:eastAsia="es-ES"/>
        </w:rPr>
        <w:t xml:space="preserve">1 de diciembre de 2016, </w:t>
      </w:r>
      <w:r w:rsidR="00C46891" w:rsidRPr="00ED4558">
        <w:rPr>
          <w:rFonts w:ascii="ITC Avant Garde" w:eastAsia="Times New Roman" w:hAnsi="ITC Avant Garde"/>
          <w:lang w:eastAsia="es-ES"/>
        </w:rPr>
        <w:t xml:space="preserve">Cablevisión Red </w:t>
      </w:r>
      <w:r w:rsidR="00FA2947" w:rsidRPr="00ED4558">
        <w:rPr>
          <w:rFonts w:ascii="ITC Avant Garde" w:eastAsia="Times New Roman" w:hAnsi="ITC Avant Garde"/>
          <w:lang w:eastAsia="es-ES"/>
        </w:rPr>
        <w:t xml:space="preserve">señaló que las contraprestaciones que Telcel deba pagarle por los servicios de interconexión sea solamente por lo que respecta al periodo comprendido desde la fecha en que resuelva el Instituto el presente desacuerdo y hasta el 31 de diciembre de 2015. </w:t>
      </w:r>
    </w:p>
    <w:p w14:paraId="4ED52631" w14:textId="77777777" w:rsidR="00111150" w:rsidRPr="00ED4558" w:rsidRDefault="00111150" w:rsidP="00773BC1">
      <w:pPr>
        <w:spacing w:after="0"/>
        <w:jc w:val="both"/>
        <w:rPr>
          <w:rFonts w:ascii="ITC Avant Garde" w:eastAsia="Times New Roman" w:hAnsi="ITC Avant Garde"/>
          <w:lang w:eastAsia="es-ES"/>
        </w:rPr>
      </w:pPr>
    </w:p>
    <w:p w14:paraId="62270795" w14:textId="77777777" w:rsidR="00111150" w:rsidRPr="00ED4558" w:rsidRDefault="00111150" w:rsidP="00773BC1">
      <w:pPr>
        <w:spacing w:after="0"/>
        <w:jc w:val="both"/>
        <w:rPr>
          <w:rFonts w:ascii="ITC Avant Garde" w:eastAsia="Times New Roman" w:hAnsi="ITC Avant Garde"/>
          <w:lang w:eastAsia="es-ES"/>
        </w:rPr>
      </w:pPr>
      <w:r w:rsidRPr="00ED4558">
        <w:rPr>
          <w:rFonts w:ascii="ITC Avant Garde" w:eastAsia="Times New Roman" w:hAnsi="ITC Avant Garde"/>
          <w:lang w:eastAsia="es-ES"/>
        </w:rPr>
        <w:t xml:space="preserve">Asimismo, señala </w:t>
      </w:r>
      <w:r w:rsidR="00236069" w:rsidRPr="00ED4558">
        <w:rPr>
          <w:rFonts w:ascii="ITC Avant Garde" w:eastAsia="Times New Roman" w:hAnsi="ITC Avant Garde"/>
          <w:lang w:eastAsia="es-ES"/>
        </w:rPr>
        <w:t xml:space="preserve">Cablevisión Red </w:t>
      </w:r>
      <w:r w:rsidRPr="00ED4558">
        <w:rPr>
          <w:rFonts w:ascii="ITC Avant Garde" w:eastAsia="Times New Roman" w:hAnsi="ITC Avant Garde"/>
          <w:lang w:eastAsia="es-ES"/>
        </w:rPr>
        <w:t xml:space="preserve">que la tarifa de interconexión deberá de ser acorde con lo establecido en el artículo 131 de la </w:t>
      </w:r>
      <w:proofErr w:type="spellStart"/>
      <w:r w:rsidRPr="00ED4558">
        <w:rPr>
          <w:rFonts w:ascii="ITC Avant Garde" w:eastAsia="Times New Roman" w:hAnsi="ITC Avant Garde"/>
          <w:lang w:eastAsia="es-ES"/>
        </w:rPr>
        <w:t>LFTyR</w:t>
      </w:r>
      <w:proofErr w:type="spellEnd"/>
      <w:r w:rsidRPr="00ED4558">
        <w:rPr>
          <w:rFonts w:ascii="ITC Avant Garde" w:eastAsia="Times New Roman" w:hAnsi="ITC Avant Garde"/>
          <w:lang w:eastAsia="es-ES"/>
        </w:rPr>
        <w:t xml:space="preserve"> y con las mejores prácticas internacionales actuales; esto es, acorde con las “asimetrías naturales de las redes”, considerando la participación de mercado y la declaratoria de Agente Económico Preponderante de Telcel.</w:t>
      </w:r>
    </w:p>
    <w:p w14:paraId="0E5ABA8B" w14:textId="77777777" w:rsidR="00FA2947" w:rsidRPr="00ED4558" w:rsidRDefault="00FA2947" w:rsidP="00773BC1">
      <w:pPr>
        <w:spacing w:after="0"/>
        <w:jc w:val="both"/>
        <w:rPr>
          <w:rFonts w:ascii="ITC Avant Garde" w:eastAsia="Times New Roman" w:hAnsi="ITC Avant Garde"/>
          <w:lang w:eastAsia="es-ES"/>
        </w:rPr>
      </w:pPr>
    </w:p>
    <w:p w14:paraId="49B3310D" w14:textId="77777777" w:rsidR="007A4577" w:rsidRPr="00ED4558" w:rsidRDefault="00FA2947" w:rsidP="00773BC1">
      <w:pPr>
        <w:spacing w:after="0"/>
        <w:jc w:val="both"/>
        <w:rPr>
          <w:rFonts w:ascii="ITC Avant Garde" w:eastAsia="Times New Roman" w:hAnsi="ITC Avant Garde"/>
          <w:lang w:eastAsia="es-ES"/>
        </w:rPr>
      </w:pPr>
      <w:r w:rsidRPr="00ED4558">
        <w:rPr>
          <w:rFonts w:ascii="ITC Avant Garde" w:eastAsia="Times New Roman" w:hAnsi="ITC Avant Garde"/>
          <w:lang w:eastAsia="es-ES"/>
        </w:rPr>
        <w:lastRenderedPageBreak/>
        <w:t xml:space="preserve">Por su parte, Telcel solicitó que la tarifa que fije el Instituto efectivamente comprenda el periodo que se sujetó a desacuerdo, esto es, del 1º de enero al 31 de diciembre de 2015 y del 1º de enero de 2016 al 31 de diciembre de 2016. </w:t>
      </w:r>
    </w:p>
    <w:p w14:paraId="7A6D8F4B" w14:textId="77777777" w:rsidR="007A4577" w:rsidRPr="00ED4558" w:rsidRDefault="007A4577" w:rsidP="00773BC1">
      <w:pPr>
        <w:spacing w:after="0"/>
        <w:jc w:val="both"/>
        <w:rPr>
          <w:rFonts w:ascii="ITC Avant Garde" w:eastAsia="Times New Roman" w:hAnsi="ITC Avant Garde"/>
          <w:lang w:eastAsia="es-ES"/>
        </w:rPr>
      </w:pPr>
    </w:p>
    <w:p w14:paraId="581F2CB3" w14:textId="2640A7BD" w:rsidR="00C40A00" w:rsidRPr="00ED4558" w:rsidRDefault="00C40A00" w:rsidP="00C40A00">
      <w:pPr>
        <w:spacing w:after="0"/>
        <w:jc w:val="both"/>
        <w:rPr>
          <w:rFonts w:ascii="ITC Avant Garde" w:eastAsia="Times New Roman" w:hAnsi="ITC Avant Garde"/>
          <w:lang w:eastAsia="es-ES"/>
        </w:rPr>
      </w:pPr>
      <w:r w:rsidRPr="00ED4558">
        <w:rPr>
          <w:rFonts w:ascii="ITC Avant Garde" w:eastAsia="Times New Roman" w:hAnsi="ITC Avant Garde"/>
          <w:lang w:eastAsia="es-ES"/>
        </w:rPr>
        <w:t>En sus alegatos el representante legal de Telcel señala que el Instituto cuenta con facultades para resolver los desacuerdos que se susciten para el año 2016</w:t>
      </w:r>
      <w:proofErr w:type="gramStart"/>
      <w:r w:rsidRPr="00ED4558">
        <w:rPr>
          <w:rFonts w:ascii="ITC Avant Garde" w:eastAsia="Times New Roman" w:hAnsi="ITC Avant Garde"/>
          <w:lang w:eastAsia="es-ES"/>
        </w:rPr>
        <w:t>,.</w:t>
      </w:r>
      <w:proofErr w:type="gramEnd"/>
      <w:r w:rsidR="00392F62" w:rsidRPr="00ED4558">
        <w:rPr>
          <w:rFonts w:ascii="ITC Avant Garde" w:eastAsia="Times New Roman" w:hAnsi="ITC Avant Garde"/>
          <w:lang w:eastAsia="es-ES"/>
        </w:rPr>
        <w:t xml:space="preserve"> Asimismo Telcel</w:t>
      </w:r>
      <w:r w:rsidRPr="00ED4558">
        <w:rPr>
          <w:rFonts w:ascii="ITC Avant Garde" w:eastAsia="Times New Roman" w:hAnsi="ITC Avant Garde"/>
          <w:lang w:eastAsia="es-ES"/>
        </w:rPr>
        <w:t xml:space="preserve"> </w:t>
      </w:r>
      <w:r w:rsidR="00392F62" w:rsidRPr="00ED4558">
        <w:rPr>
          <w:rFonts w:ascii="ITC Avant Garde" w:eastAsia="Times New Roman" w:hAnsi="ITC Avant Garde"/>
          <w:lang w:eastAsia="es-ES"/>
        </w:rPr>
        <w:t>s</w:t>
      </w:r>
      <w:r w:rsidRPr="00ED4558">
        <w:rPr>
          <w:rFonts w:ascii="ITC Avant Garde" w:eastAsia="Times New Roman" w:hAnsi="ITC Avant Garde"/>
          <w:lang w:eastAsia="es-ES"/>
        </w:rPr>
        <w:t>eñala que la Metodología de Costos dispone en el párrafo segundo de su numeral Décimo Tercero que, si bien los resultados de</w:t>
      </w:r>
      <w:r w:rsidR="00236069" w:rsidRPr="00ED4558">
        <w:rPr>
          <w:rFonts w:ascii="ITC Avant Garde" w:eastAsia="Times New Roman" w:hAnsi="ITC Avant Garde"/>
          <w:lang w:eastAsia="es-ES"/>
        </w:rPr>
        <w:t xml:space="preserve">l Modelo de Costos </w:t>
      </w:r>
      <w:r w:rsidRPr="00ED4558">
        <w:rPr>
          <w:rFonts w:ascii="ITC Avant Garde" w:eastAsia="Times New Roman" w:hAnsi="ITC Avant Garde"/>
          <w:lang w:eastAsia="es-ES"/>
        </w:rPr>
        <w:t>relevante tendrán vigencia del 1º de enero al 31 de diciembre de cada año, no menos es cierto que el Instituto, a petición de las partes que sometan a consideración de éste el desacuerdo de interconexión de que se trate, podrá resolver tarifas para los Servicios de Interconexión para periodos multianuales.</w:t>
      </w:r>
    </w:p>
    <w:p w14:paraId="3F02C3FE" w14:textId="77777777" w:rsidR="00C40A00" w:rsidRPr="00ED4558" w:rsidRDefault="00C40A00" w:rsidP="00C40A00">
      <w:pPr>
        <w:spacing w:after="0"/>
        <w:jc w:val="both"/>
        <w:rPr>
          <w:rFonts w:ascii="ITC Avant Garde" w:eastAsia="Times New Roman" w:hAnsi="ITC Avant Garde"/>
          <w:lang w:eastAsia="es-ES"/>
        </w:rPr>
      </w:pPr>
    </w:p>
    <w:p w14:paraId="6825AF81" w14:textId="77777777" w:rsidR="00C40A00" w:rsidRPr="00ED4558" w:rsidRDefault="00C40A00" w:rsidP="00C40A00">
      <w:pPr>
        <w:spacing w:after="0"/>
        <w:jc w:val="both"/>
        <w:rPr>
          <w:rFonts w:ascii="ITC Avant Garde" w:eastAsia="Times New Roman" w:hAnsi="ITC Avant Garde"/>
          <w:lang w:eastAsia="es-ES"/>
        </w:rPr>
      </w:pPr>
      <w:r w:rsidRPr="00ED4558">
        <w:rPr>
          <w:rFonts w:ascii="ITC Avant Garde" w:eastAsia="Times New Roman" w:hAnsi="ITC Avant Garde"/>
          <w:lang w:eastAsia="es-ES"/>
        </w:rPr>
        <w:t>Asimismo, Telcel señala que el Acuerdo de Tarifas 2015 incorpora en su Considerando Tercero el contenido de la Metodología de Costos. Este instrumento establece en su artículo Primero Transitorio que la Metodología de Costos incluirá un factor de gradualidad para el periodo 2015. Además, en su considerando Quinto y en referencia a dicho factor de gradualidad, destaca que su fin es otorgar certeza a los concesionarios en el sentido de que al tener conocimiento previo de la evolución que tendrán en el futuro las tarifas de interconexión que estarán vigentes para la autoridad reguladora, podrán tomar las previsiones necesarias para ajustar sus planes de negocios y comerciales ante el nuevo entorno regulatorio. Asimismo, refiere que el año 2015 es considerado como un periodo de transición -debido a la entrada de un nuevo entorno regulatorio- por lo que para la determinación de la tarifa de interconexión se deberá aplicar un factor de gradualidad que consiste en un margen adicional sobre el costo calculado con base la metodología CILP puro, mientras que a partir del 1 de enero de 2016 la tarifa será indubitablemente igual al costo determinado con base en el CILP puro, sin añadir un margen adicional de gradualidad.</w:t>
      </w:r>
    </w:p>
    <w:p w14:paraId="08CAC59A" w14:textId="77777777" w:rsidR="00C40A00" w:rsidRPr="00ED4558" w:rsidRDefault="00C40A00" w:rsidP="00C40A00">
      <w:pPr>
        <w:spacing w:after="0"/>
        <w:jc w:val="both"/>
        <w:rPr>
          <w:rFonts w:ascii="ITC Avant Garde" w:eastAsia="Times New Roman" w:hAnsi="ITC Avant Garde"/>
          <w:lang w:eastAsia="es-ES"/>
        </w:rPr>
      </w:pPr>
    </w:p>
    <w:p w14:paraId="660B6156" w14:textId="77777777" w:rsidR="00C40A00" w:rsidRPr="00ED4558" w:rsidRDefault="00C40A00" w:rsidP="00C40A00">
      <w:pPr>
        <w:spacing w:after="0"/>
        <w:jc w:val="both"/>
        <w:rPr>
          <w:rFonts w:ascii="ITC Avant Garde" w:eastAsia="Times New Roman" w:hAnsi="ITC Avant Garde"/>
          <w:lang w:eastAsia="es-ES"/>
        </w:rPr>
      </w:pPr>
      <w:r w:rsidRPr="00ED4558">
        <w:rPr>
          <w:rFonts w:ascii="ITC Avant Garde" w:eastAsia="Times New Roman" w:hAnsi="ITC Avant Garde"/>
          <w:lang w:eastAsia="es-ES"/>
        </w:rPr>
        <w:t xml:space="preserve">Telcel concluye que, de las consideraciones apuntadas, el Instituto cuenta con los elementos técnicos y económicos necesarios para resolver no solamente las tarifas del periodo 2015, sino también las del periodo 2016, siendo que el hecho de que el Acuerdo de Tarifas 2015 prevea de manera expresa el monto de las tarifas aplicables para el año 2015, no es obstáculo para que el Instituto se pronuncie sobre tarifas multianuales, exceptuando la aplicación del factor de gradualidad para el periodo que trascienda al 2015. </w:t>
      </w:r>
    </w:p>
    <w:p w14:paraId="2C53EEA9" w14:textId="6E4A0D9B" w:rsidR="004D5ED3" w:rsidRPr="00ED4558" w:rsidRDefault="004D5ED3" w:rsidP="00773BC1">
      <w:pPr>
        <w:widowControl w:val="0"/>
        <w:spacing w:after="0"/>
        <w:jc w:val="both"/>
        <w:rPr>
          <w:rFonts w:ascii="ITC Avant Garde" w:eastAsia="Times New Roman" w:hAnsi="ITC Avant Garde" w:cs="Arial"/>
        </w:rPr>
      </w:pPr>
      <w:r w:rsidRPr="00ED4558">
        <w:rPr>
          <w:rFonts w:ascii="ITC Avant Garde" w:eastAsia="Times New Roman" w:hAnsi="ITC Avant Garde" w:cs="Arial"/>
        </w:rPr>
        <w:t xml:space="preserve">En sus alegatos, Telcel reitera su solicitud para que el Instituto resuelva las tarifas para la prestación de servicio de interconexión por la terminación de llamadas en la red del servicio local fijo de </w:t>
      </w:r>
      <w:r w:rsidR="00236069" w:rsidRPr="00ED4558">
        <w:rPr>
          <w:rFonts w:ascii="ITC Avant Garde" w:eastAsia="Times New Roman" w:hAnsi="ITC Avant Garde" w:cs="Arial"/>
        </w:rPr>
        <w:t xml:space="preserve">Cablevisión Red para </w:t>
      </w:r>
      <w:r w:rsidRPr="00ED4558">
        <w:rPr>
          <w:rFonts w:ascii="ITC Avant Garde" w:eastAsia="Times New Roman" w:hAnsi="ITC Avant Garde" w:cs="Arial"/>
        </w:rPr>
        <w:t xml:space="preserve">el periodo comprendido del 1 de enero al 31 </w:t>
      </w:r>
      <w:r w:rsidRPr="00ED4558">
        <w:rPr>
          <w:rFonts w:ascii="ITC Avant Garde" w:eastAsia="Times New Roman" w:hAnsi="ITC Avant Garde" w:cs="Arial"/>
        </w:rPr>
        <w:lastRenderedPageBreak/>
        <w:t xml:space="preserve">de diciembre de 2015, y del 1 de enero al 31 de diciembre de 2016 </w:t>
      </w:r>
    </w:p>
    <w:p w14:paraId="2AF79DD7" w14:textId="77777777" w:rsidR="004D5ED3" w:rsidRPr="00ED4558" w:rsidRDefault="004D5ED3" w:rsidP="00773BC1">
      <w:pPr>
        <w:spacing w:after="0"/>
        <w:jc w:val="both"/>
        <w:rPr>
          <w:rFonts w:ascii="ITC Avant Garde" w:eastAsia="Times New Roman" w:hAnsi="ITC Avant Garde"/>
          <w:lang w:eastAsia="es-ES"/>
        </w:rPr>
      </w:pPr>
    </w:p>
    <w:p w14:paraId="786F0FC7" w14:textId="77777777" w:rsidR="004D5ED3" w:rsidRPr="00ED4558" w:rsidRDefault="004D5ED3" w:rsidP="00773BC1">
      <w:pPr>
        <w:spacing w:after="0"/>
        <w:jc w:val="both"/>
        <w:rPr>
          <w:rFonts w:ascii="ITC Avant Garde" w:eastAsia="Times New Roman" w:hAnsi="ITC Avant Garde"/>
          <w:lang w:eastAsia="es-ES"/>
        </w:rPr>
      </w:pPr>
      <w:r w:rsidRPr="00ED4558">
        <w:rPr>
          <w:rFonts w:ascii="ITC Avant Garde" w:eastAsia="Times New Roman" w:hAnsi="ITC Avant Garde"/>
          <w:lang w:eastAsia="es-ES"/>
        </w:rPr>
        <w:t xml:space="preserve">Telcel señala que el Instituto en el Considerando Sexto y en el numeral Primero del Acuerdo de Tarifas 2015 sostuvo, bajo una peculiar interpretación del artículo Vigésimo Transitorio del Decreto de Ley, que las tarifas que resuelva el Instituto con motivo de un desacuerdo, aplicarán únicamente desde la fecha de resolución de las mismas hasta el 31 de diciembre de ese año, estableciendo que durante el plazo en el que no se ha resuelto el desacuerdo se aplicarán las tarifas previamente convenidas entre los concesionarios. </w:t>
      </w:r>
    </w:p>
    <w:p w14:paraId="57BD3ADB" w14:textId="77777777" w:rsidR="004D5ED3" w:rsidRPr="00ED4558" w:rsidRDefault="004D5ED3" w:rsidP="00773BC1">
      <w:pPr>
        <w:spacing w:after="0"/>
        <w:jc w:val="both"/>
        <w:rPr>
          <w:rFonts w:ascii="ITC Avant Garde" w:eastAsia="Times New Roman" w:hAnsi="ITC Avant Garde"/>
          <w:lang w:eastAsia="es-ES"/>
        </w:rPr>
      </w:pPr>
    </w:p>
    <w:p w14:paraId="1187BD40" w14:textId="095A54C1" w:rsidR="004D5ED3" w:rsidRPr="00ED4558" w:rsidRDefault="004D5ED3" w:rsidP="00773BC1">
      <w:pPr>
        <w:spacing w:after="0"/>
        <w:jc w:val="both"/>
        <w:rPr>
          <w:rFonts w:ascii="ITC Avant Garde" w:eastAsia="Times New Roman" w:hAnsi="ITC Avant Garde"/>
          <w:lang w:eastAsia="es-ES"/>
        </w:rPr>
      </w:pPr>
      <w:r w:rsidRPr="00ED4558">
        <w:rPr>
          <w:rFonts w:ascii="ITC Avant Garde" w:eastAsia="Times New Roman" w:hAnsi="ITC Avant Garde"/>
          <w:lang w:eastAsia="es-ES"/>
        </w:rPr>
        <w:t xml:space="preserve">Telcel advierte que el </w:t>
      </w:r>
      <w:r w:rsidR="00697402" w:rsidRPr="00ED4558">
        <w:rPr>
          <w:rFonts w:ascii="ITC Avant Garde" w:eastAsia="Times New Roman" w:hAnsi="ITC Avant Garde"/>
          <w:lang w:eastAsia="es-ES"/>
        </w:rPr>
        <w:t xml:space="preserve">párrafo segundo del </w:t>
      </w:r>
      <w:r w:rsidRPr="00ED4558">
        <w:rPr>
          <w:rFonts w:ascii="ITC Avant Garde" w:eastAsia="Times New Roman" w:hAnsi="ITC Avant Garde"/>
          <w:lang w:eastAsia="es-ES"/>
        </w:rPr>
        <w:t>artículo Vigésimo Transitorio del Decreto de Ley en realidad lo único que prescribe es que, salvo en el caso de la terminación de tráfico en la red del Agente Económico Preponderante, todo lo demá</w:t>
      </w:r>
      <w:r w:rsidR="00D31BBB" w:rsidRPr="00ED4558">
        <w:rPr>
          <w:rFonts w:ascii="ITC Avant Garde" w:eastAsia="Times New Roman" w:hAnsi="ITC Avant Garde"/>
          <w:lang w:eastAsia="es-ES"/>
        </w:rPr>
        <w:t xml:space="preserve">s continúe con su curso normal, </w:t>
      </w:r>
      <w:r w:rsidRPr="00ED4558">
        <w:rPr>
          <w:rFonts w:ascii="ITC Avant Garde" w:eastAsia="Times New Roman" w:hAnsi="ITC Avant Garde"/>
          <w:lang w:eastAsia="es-ES"/>
        </w:rPr>
        <w:t xml:space="preserve">que las tarifas ya pactadas o resueltas para años anteriores continúen aplicándose por el periodo para el que efectivamente fueron pactadas o resueltas; y que una vez que el Instituto resuelva desacuerdos y determine nuevas tarifas, se apliquen éstas como siempre ha acontecido en la práctica regular del sector. </w:t>
      </w:r>
    </w:p>
    <w:p w14:paraId="1F7403FD" w14:textId="77777777" w:rsidR="004D5ED3" w:rsidRPr="00ED4558" w:rsidRDefault="004D5ED3" w:rsidP="00773BC1">
      <w:pPr>
        <w:spacing w:after="0"/>
        <w:jc w:val="both"/>
        <w:rPr>
          <w:rFonts w:ascii="ITC Avant Garde" w:eastAsia="Times New Roman" w:hAnsi="ITC Avant Garde"/>
          <w:lang w:eastAsia="es-ES"/>
        </w:rPr>
      </w:pPr>
    </w:p>
    <w:p w14:paraId="40C9BC2E" w14:textId="77777777" w:rsidR="004D5ED3" w:rsidRPr="00ED4558" w:rsidRDefault="004D5ED3" w:rsidP="00773BC1">
      <w:pPr>
        <w:spacing w:after="0"/>
        <w:jc w:val="both"/>
        <w:rPr>
          <w:rFonts w:ascii="ITC Avant Garde" w:eastAsia="Times New Roman" w:hAnsi="ITC Avant Garde"/>
          <w:lang w:eastAsia="es-ES"/>
        </w:rPr>
      </w:pPr>
      <w:r w:rsidRPr="00ED4558">
        <w:rPr>
          <w:rFonts w:ascii="ITC Avant Garde" w:eastAsia="Times New Roman" w:hAnsi="ITC Avant Garde"/>
          <w:lang w:eastAsia="es-ES"/>
        </w:rPr>
        <w:t xml:space="preserve">Señala Telcel que, el artículo mencionado, al no hacer distinción alguna, se limita a prescribir que a los concesionarios les seguirán aplicando las tarifas que tengan acordadas hasta en tanto convengan otras o el </w:t>
      </w:r>
      <w:r w:rsidR="00812135" w:rsidRPr="00ED4558">
        <w:rPr>
          <w:rFonts w:ascii="ITC Avant Garde" w:eastAsia="Times New Roman" w:hAnsi="ITC Avant Garde"/>
          <w:lang w:eastAsia="es-ES"/>
        </w:rPr>
        <w:t>instituto</w:t>
      </w:r>
      <w:r w:rsidRPr="00ED4558">
        <w:rPr>
          <w:rFonts w:ascii="ITC Avant Garde" w:eastAsia="Times New Roman" w:hAnsi="ITC Avant Garde"/>
          <w:lang w:eastAsia="es-ES"/>
        </w:rPr>
        <w:t xml:space="preserve"> resuelva las aplicables en caso de desacuerdo, en cuyo supuesto la resolución tarifaria del </w:t>
      </w:r>
      <w:r w:rsidR="00961AC9" w:rsidRPr="00ED4558">
        <w:rPr>
          <w:rFonts w:ascii="ITC Avant Garde" w:eastAsia="Times New Roman" w:hAnsi="ITC Avant Garde"/>
          <w:lang w:eastAsia="es-ES"/>
        </w:rPr>
        <w:t>Instituto</w:t>
      </w:r>
      <w:r w:rsidRPr="00ED4558">
        <w:rPr>
          <w:rFonts w:ascii="ITC Avant Garde" w:eastAsia="Times New Roman" w:hAnsi="ITC Avant Garde"/>
          <w:lang w:eastAsia="es-ES"/>
        </w:rPr>
        <w:t xml:space="preserve"> deberá invariablemente ser aplicable a todo el periodo sometido a desacuerdo.</w:t>
      </w:r>
    </w:p>
    <w:p w14:paraId="1644FE31" w14:textId="77777777" w:rsidR="004D5ED3" w:rsidRPr="00ED4558" w:rsidRDefault="004D5ED3" w:rsidP="00773BC1">
      <w:pPr>
        <w:spacing w:after="0"/>
        <w:jc w:val="both"/>
        <w:rPr>
          <w:rFonts w:ascii="ITC Avant Garde" w:eastAsia="Times New Roman" w:hAnsi="ITC Avant Garde" w:cs="Arial"/>
          <w:b/>
        </w:rPr>
      </w:pPr>
    </w:p>
    <w:p w14:paraId="6FD84A3B" w14:textId="77777777" w:rsidR="004D5ED3" w:rsidRPr="00ED4558" w:rsidRDefault="004D5ED3" w:rsidP="00773BC1">
      <w:pPr>
        <w:spacing w:after="0"/>
        <w:jc w:val="both"/>
        <w:rPr>
          <w:rFonts w:ascii="ITC Avant Garde" w:eastAsia="Times New Roman" w:hAnsi="ITC Avant Garde" w:cs="Arial"/>
        </w:rPr>
      </w:pPr>
      <w:r w:rsidRPr="00ED4558">
        <w:rPr>
          <w:rFonts w:ascii="ITC Avant Garde" w:eastAsia="Times New Roman" w:hAnsi="ITC Avant Garde"/>
          <w:lang w:eastAsia="es-ES"/>
        </w:rPr>
        <w:t xml:space="preserve">Telcel </w:t>
      </w:r>
      <w:r w:rsidRPr="00ED4558">
        <w:rPr>
          <w:rFonts w:ascii="ITC Avant Garde" w:eastAsia="Times New Roman" w:hAnsi="ITC Avant Garde" w:cs="Arial"/>
        </w:rPr>
        <w:t xml:space="preserve">concluye </w:t>
      </w:r>
      <w:r w:rsidR="00812135" w:rsidRPr="00ED4558">
        <w:rPr>
          <w:rFonts w:ascii="ITC Avant Garde" w:eastAsia="Times New Roman" w:hAnsi="ITC Avant Garde" w:cs="Arial"/>
        </w:rPr>
        <w:t xml:space="preserve">manifestando </w:t>
      </w:r>
      <w:r w:rsidRPr="00ED4558">
        <w:rPr>
          <w:rFonts w:ascii="ITC Avant Garde" w:eastAsia="Times New Roman" w:hAnsi="ITC Avant Garde" w:cs="Arial"/>
        </w:rPr>
        <w:t>que</w:t>
      </w:r>
      <w:r w:rsidR="00812135" w:rsidRPr="00ED4558">
        <w:rPr>
          <w:rFonts w:ascii="ITC Avant Garde" w:eastAsia="Times New Roman" w:hAnsi="ITC Avant Garde" w:cs="Arial"/>
        </w:rPr>
        <w:t xml:space="preserve"> en la revisión de amparo</w:t>
      </w:r>
      <w:r w:rsidRPr="00ED4558">
        <w:rPr>
          <w:rFonts w:ascii="ITC Avant Garde" w:eastAsia="Times New Roman" w:hAnsi="ITC Avant Garde" w:cs="Arial"/>
        </w:rPr>
        <w:t xml:space="preserve"> 318/2011, </w:t>
      </w:r>
      <w:r w:rsidR="00812135" w:rsidRPr="00ED4558">
        <w:rPr>
          <w:rFonts w:ascii="ITC Avant Garde" w:eastAsia="Times New Roman" w:hAnsi="ITC Avant Garde" w:cs="Arial"/>
        </w:rPr>
        <w:t>s</w:t>
      </w:r>
      <w:r w:rsidRPr="00ED4558">
        <w:rPr>
          <w:rFonts w:ascii="ITC Avant Garde" w:eastAsia="Times New Roman" w:hAnsi="ITC Avant Garde" w:cs="Arial"/>
        </w:rPr>
        <w:t xml:space="preserve">e determinó que el órgano regulador no está legitimado para resolver más allá o en exceso del desacuerdo sometido a su consideración, se infiere que tampoco está habilitado para resolver menos de lo que se le pide. Indica que, la interpretación anterior protegería la libertad tarifaria de los concesionarios tutelada por el artículo 126 de la </w:t>
      </w:r>
      <w:proofErr w:type="spellStart"/>
      <w:r w:rsidRPr="00ED4558">
        <w:rPr>
          <w:rFonts w:ascii="ITC Avant Garde" w:eastAsia="Times New Roman" w:hAnsi="ITC Avant Garde" w:cs="Arial"/>
        </w:rPr>
        <w:t>LFTyR</w:t>
      </w:r>
      <w:proofErr w:type="spellEnd"/>
      <w:r w:rsidRPr="00ED4558">
        <w:rPr>
          <w:rFonts w:ascii="ITC Avant Garde" w:eastAsia="Times New Roman" w:hAnsi="ITC Avant Garde" w:cs="Arial"/>
        </w:rPr>
        <w:t>, y fortalecería el ejercicio de la competencia regulatoria del Instituto para fijar las tarifas de interconexión que no se hayan convenido entre las partes.</w:t>
      </w:r>
    </w:p>
    <w:p w14:paraId="57A4AE9F" w14:textId="77777777" w:rsidR="00F425C0" w:rsidRPr="00ED4558" w:rsidRDefault="00F425C0" w:rsidP="00773BC1">
      <w:pPr>
        <w:spacing w:after="0"/>
        <w:jc w:val="both"/>
        <w:rPr>
          <w:rFonts w:ascii="ITC Avant Garde" w:eastAsia="Times New Roman" w:hAnsi="ITC Avant Garde"/>
          <w:lang w:eastAsia="es-ES"/>
        </w:rPr>
      </w:pPr>
    </w:p>
    <w:p w14:paraId="63CBE6E5" w14:textId="77777777" w:rsidR="00BC657C" w:rsidRPr="00ED4558" w:rsidRDefault="00BC657C" w:rsidP="00773BC1">
      <w:pPr>
        <w:spacing w:after="0"/>
        <w:jc w:val="both"/>
        <w:rPr>
          <w:rFonts w:ascii="ITC Avant Garde" w:eastAsia="Times New Roman" w:hAnsi="ITC Avant Garde"/>
          <w:b/>
          <w:lang w:eastAsia="es-ES"/>
        </w:rPr>
      </w:pPr>
      <w:r w:rsidRPr="00ED4558">
        <w:rPr>
          <w:rFonts w:ascii="ITC Avant Garde" w:eastAsia="Times New Roman" w:hAnsi="ITC Avant Garde"/>
          <w:b/>
          <w:lang w:eastAsia="es-ES"/>
        </w:rPr>
        <w:t>Consideraciones del Instituto</w:t>
      </w:r>
    </w:p>
    <w:p w14:paraId="2065D6EE" w14:textId="77777777" w:rsidR="00BC657C" w:rsidRPr="00ED4558" w:rsidRDefault="00BC657C" w:rsidP="00773BC1">
      <w:pPr>
        <w:spacing w:after="0"/>
        <w:jc w:val="both"/>
        <w:rPr>
          <w:rFonts w:ascii="ITC Avant Garde" w:eastAsia="Times New Roman" w:hAnsi="ITC Avant Garde"/>
          <w:b/>
          <w:lang w:eastAsia="es-ES"/>
        </w:rPr>
      </w:pPr>
    </w:p>
    <w:p w14:paraId="7DF325F9" w14:textId="77777777" w:rsidR="00BC657C" w:rsidRPr="00ED4558" w:rsidRDefault="00BC657C" w:rsidP="00773BC1">
      <w:pPr>
        <w:widowControl w:val="0"/>
        <w:spacing w:after="0"/>
        <w:jc w:val="both"/>
        <w:rPr>
          <w:rFonts w:ascii="ITC Avant Garde" w:eastAsia="Times New Roman" w:hAnsi="ITC Avant Garde" w:cs="Arial"/>
        </w:rPr>
      </w:pPr>
      <w:r w:rsidRPr="00ED4558">
        <w:rPr>
          <w:rFonts w:ascii="ITC Avant Garde" w:eastAsia="Times New Roman" w:hAnsi="ITC Avant Garde" w:cs="Arial"/>
        </w:rPr>
        <w:t>La interconexión es de vital importancia para el desarrollo de una sana competencia porque asegura que cualquier comunicación que inicie un usuario pueda llegar a su destino, independientemente de la red pública de telecomunicaciones que se utilice; propiciando así que la decisión de con qué empresa contratar los servicios, esté sustentada en factores de precio, calidad y diversidad.</w:t>
      </w:r>
    </w:p>
    <w:p w14:paraId="7404C687" w14:textId="77777777" w:rsidR="00BC657C" w:rsidRPr="00ED4558" w:rsidRDefault="00BC657C" w:rsidP="00773BC1">
      <w:pPr>
        <w:widowControl w:val="0"/>
        <w:spacing w:after="0"/>
        <w:jc w:val="both"/>
        <w:rPr>
          <w:rFonts w:ascii="ITC Avant Garde" w:eastAsia="Times New Roman" w:hAnsi="ITC Avant Garde" w:cs="Arial"/>
        </w:rPr>
      </w:pPr>
    </w:p>
    <w:p w14:paraId="764119A8" w14:textId="77777777" w:rsidR="00BC657C" w:rsidRPr="00ED4558" w:rsidRDefault="00BC657C" w:rsidP="00773BC1">
      <w:pPr>
        <w:pStyle w:val="Textoindependiente"/>
        <w:spacing w:line="276" w:lineRule="auto"/>
        <w:rPr>
          <w:rFonts w:ascii="ITC Avant Garde" w:hAnsi="ITC Avant Garde" w:cs="Arial"/>
          <w:szCs w:val="22"/>
          <w:lang w:eastAsia="es-ES"/>
        </w:rPr>
      </w:pPr>
      <w:r w:rsidRPr="00ED4558">
        <w:rPr>
          <w:rFonts w:ascii="ITC Avant Garde" w:hAnsi="ITC Avant Garde" w:cs="Arial"/>
          <w:szCs w:val="22"/>
          <w:lang w:eastAsia="es-ES"/>
        </w:rPr>
        <w:t xml:space="preserve">En este sentido, se considera que en un escenario donde se fomenta la competencia en la prestación de todos los servicios de telecomunicaciones, es necesario establecer tarifas que estén basadas en costos, ya que esto constituye una política que promueve el desarrollo de la competencia, en la medida que no se distorsiona el crecimiento eficiente del sector, ya que todos los participantes del mercado acceden a un elemento básico como lo es la interconexión, sin que ninguno obtenga ventajas extraordinarias en la prestación de dicho servicio. </w:t>
      </w:r>
    </w:p>
    <w:p w14:paraId="3A824289" w14:textId="77777777" w:rsidR="00BC657C" w:rsidRPr="00ED4558" w:rsidRDefault="00BC657C" w:rsidP="00773BC1">
      <w:pPr>
        <w:spacing w:after="0"/>
        <w:jc w:val="both"/>
        <w:rPr>
          <w:rFonts w:ascii="ITC Avant Garde" w:hAnsi="ITC Avant Garde" w:cs="Arial"/>
        </w:rPr>
      </w:pPr>
    </w:p>
    <w:p w14:paraId="323F4907" w14:textId="77777777" w:rsidR="00BC657C" w:rsidRPr="00ED4558" w:rsidRDefault="00BC657C" w:rsidP="00773BC1">
      <w:pPr>
        <w:spacing w:after="0"/>
        <w:jc w:val="both"/>
        <w:rPr>
          <w:rFonts w:ascii="ITC Avant Garde" w:hAnsi="ITC Avant Garde" w:cs="Arial"/>
        </w:rPr>
      </w:pPr>
      <w:r w:rsidRPr="00ED4558">
        <w:rPr>
          <w:rFonts w:ascii="ITC Avant Garde" w:hAnsi="ITC Avant Garde" w:cs="Arial"/>
        </w:rPr>
        <w:t>En tal virtud, para la determinación de las tarifas de interconexión en la red pú</w:t>
      </w:r>
      <w:r w:rsidR="00BC53D2" w:rsidRPr="00ED4558">
        <w:rPr>
          <w:rFonts w:ascii="ITC Avant Garde" w:hAnsi="ITC Avant Garde" w:cs="Arial"/>
        </w:rPr>
        <w:t xml:space="preserve">blica de telecomunicaciones de </w:t>
      </w:r>
      <w:r w:rsidR="00603DCE" w:rsidRPr="00ED4558">
        <w:rPr>
          <w:rFonts w:ascii="ITC Avant Garde" w:hAnsi="ITC Avant Garde" w:cs="Arial"/>
        </w:rPr>
        <w:t>Cablevisión Red</w:t>
      </w:r>
      <w:r w:rsidRPr="00ED4558">
        <w:rPr>
          <w:rFonts w:ascii="ITC Avant Garde" w:hAnsi="ITC Avant Garde" w:cs="Arial"/>
        </w:rPr>
        <w:t xml:space="preserve">, se debe considerar que los objetivos plasmados en la </w:t>
      </w:r>
      <w:proofErr w:type="spellStart"/>
      <w:r w:rsidRPr="00ED4558">
        <w:rPr>
          <w:rFonts w:ascii="ITC Avant Garde" w:hAnsi="ITC Avant Garde" w:cs="Arial"/>
        </w:rPr>
        <w:t>LFTyR</w:t>
      </w:r>
      <w:proofErr w:type="spellEnd"/>
      <w:r w:rsidRPr="00ED4558">
        <w:rPr>
          <w:rFonts w:ascii="ITC Avant Garde" w:hAnsi="ITC Avant Garde" w:cs="Arial"/>
        </w:rPr>
        <w:t xml:space="preserve"> establecen las bases para la fijación de las tarifas de interconexión con base a costos.</w:t>
      </w:r>
    </w:p>
    <w:p w14:paraId="40E1616B" w14:textId="77777777" w:rsidR="00BC657C" w:rsidRPr="00ED4558" w:rsidRDefault="00BC657C" w:rsidP="00773BC1">
      <w:pPr>
        <w:spacing w:after="0"/>
        <w:jc w:val="both"/>
        <w:rPr>
          <w:rFonts w:ascii="ITC Avant Garde" w:hAnsi="ITC Avant Garde" w:cs="Arial"/>
        </w:rPr>
      </w:pPr>
    </w:p>
    <w:p w14:paraId="2163117A" w14:textId="77777777" w:rsidR="00BC657C" w:rsidRPr="00ED4558" w:rsidRDefault="00BC657C" w:rsidP="00773BC1">
      <w:pPr>
        <w:widowControl w:val="0"/>
        <w:spacing w:after="0"/>
        <w:jc w:val="both"/>
        <w:rPr>
          <w:rFonts w:ascii="ITC Avant Garde" w:eastAsia="Times New Roman" w:hAnsi="ITC Avant Garde" w:cs="Arial"/>
        </w:rPr>
      </w:pPr>
      <w:r w:rsidRPr="00ED4558">
        <w:rPr>
          <w:rFonts w:ascii="ITC Avant Garde" w:eastAsia="Times New Roman" w:hAnsi="ITC Avant Garde" w:cs="Arial"/>
        </w:rPr>
        <w:t xml:space="preserve">A tal efecto, el artículo 124 de la </w:t>
      </w:r>
      <w:proofErr w:type="spellStart"/>
      <w:r w:rsidRPr="00ED4558">
        <w:rPr>
          <w:rFonts w:ascii="ITC Avant Garde" w:eastAsia="Times New Roman" w:hAnsi="ITC Avant Garde" w:cs="Arial"/>
        </w:rPr>
        <w:t>LFTyR</w:t>
      </w:r>
      <w:proofErr w:type="spellEnd"/>
      <w:r w:rsidRPr="00ED4558">
        <w:rPr>
          <w:rFonts w:ascii="ITC Avant Garde" w:eastAsia="Times New Roman" w:hAnsi="ITC Avant Garde" w:cs="Arial"/>
        </w:rPr>
        <w:t xml:space="preserve"> establece lo siguiente:</w:t>
      </w:r>
    </w:p>
    <w:p w14:paraId="70A2335C" w14:textId="77777777" w:rsidR="00BC657C" w:rsidRDefault="00BC657C" w:rsidP="00773BC1">
      <w:pPr>
        <w:spacing w:after="0"/>
        <w:jc w:val="both"/>
        <w:rPr>
          <w:rFonts w:ascii="ITC Avant Garde" w:eastAsia="Times New Roman" w:hAnsi="ITC Avant Garde" w:cs="Arial"/>
          <w:lang w:eastAsia="es-ES"/>
        </w:rPr>
      </w:pPr>
    </w:p>
    <w:p w14:paraId="71146D64" w14:textId="77777777" w:rsidR="003C333D" w:rsidRPr="00ED4558" w:rsidRDefault="003C333D" w:rsidP="00773BC1">
      <w:pPr>
        <w:spacing w:after="0"/>
        <w:jc w:val="both"/>
        <w:rPr>
          <w:rFonts w:ascii="ITC Avant Garde" w:eastAsia="Times New Roman" w:hAnsi="ITC Avant Garde" w:cs="Arial"/>
          <w:lang w:eastAsia="es-ES"/>
        </w:rPr>
      </w:pPr>
    </w:p>
    <w:p w14:paraId="1999398D" w14:textId="77777777" w:rsidR="00BC657C" w:rsidRPr="00ED4558" w:rsidRDefault="00BC657C" w:rsidP="00773BC1">
      <w:pPr>
        <w:spacing w:after="0"/>
        <w:ind w:left="1417" w:right="1417"/>
        <w:jc w:val="both"/>
        <w:rPr>
          <w:rFonts w:ascii="ITC Avant Garde" w:hAnsi="ITC Avant Garde" w:cs="Arial"/>
          <w:i/>
          <w:sz w:val="18"/>
        </w:rPr>
      </w:pPr>
      <w:r w:rsidRPr="00ED4558">
        <w:rPr>
          <w:rFonts w:ascii="ITC Avant Garde" w:hAnsi="ITC Avant Garde" w:cs="Arial"/>
          <w:sz w:val="18"/>
        </w:rPr>
        <w:t>“</w:t>
      </w:r>
      <w:r w:rsidRPr="00ED4558">
        <w:rPr>
          <w:rFonts w:ascii="ITC Avant Garde" w:hAnsi="ITC Avant Garde" w:cs="Arial"/>
          <w:b/>
          <w:i/>
          <w:sz w:val="18"/>
        </w:rPr>
        <w:t>Artículo 124.</w:t>
      </w:r>
      <w:r w:rsidRPr="00ED4558">
        <w:rPr>
          <w:rFonts w:ascii="ITC Avant Garde" w:hAnsi="ITC Avant Garde" w:cs="Arial"/>
          <w:i/>
          <w:sz w:val="18"/>
        </w:rPr>
        <w:t xml:space="preserve"> Los concesionarios que operen redes públicas de telecomunicaciones deberán adoptar diseños de arquitectura abierta de red para garantizar la interconexión e interoperabilidad de sus redes.</w:t>
      </w:r>
    </w:p>
    <w:p w14:paraId="264183B5" w14:textId="77777777" w:rsidR="00BC657C" w:rsidRPr="00ED4558" w:rsidRDefault="00BC657C" w:rsidP="00773BC1">
      <w:pPr>
        <w:spacing w:after="0"/>
        <w:ind w:left="1417" w:right="1417"/>
        <w:jc w:val="both"/>
        <w:rPr>
          <w:rFonts w:ascii="ITC Avant Garde" w:hAnsi="ITC Avant Garde" w:cs="Arial"/>
          <w:i/>
          <w:sz w:val="18"/>
        </w:rPr>
      </w:pPr>
    </w:p>
    <w:p w14:paraId="3A66740C" w14:textId="77777777" w:rsidR="00BC657C" w:rsidRPr="00ED4558" w:rsidRDefault="00BC657C" w:rsidP="00773BC1">
      <w:pPr>
        <w:spacing w:after="0"/>
        <w:ind w:left="1417" w:right="1417"/>
        <w:jc w:val="both"/>
        <w:rPr>
          <w:rFonts w:ascii="ITC Avant Garde" w:hAnsi="ITC Avant Garde" w:cs="Arial"/>
          <w:i/>
          <w:sz w:val="18"/>
        </w:rPr>
      </w:pPr>
      <w:r w:rsidRPr="00ED4558">
        <w:rPr>
          <w:rFonts w:ascii="ITC Avant Garde" w:hAnsi="ITC Avant Garde" w:cs="Arial"/>
          <w:i/>
          <w:sz w:val="18"/>
        </w:rPr>
        <w:t>A tal efecto, 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 Dichos planes deberán considerar los intereses de los usuarios y de los concesionarios, prevaleciendo los de los primeros y podrán tomar en cuenta las recomendaciones y mejores prácticas internacionales, teniendo los siguientes objetivos:</w:t>
      </w:r>
    </w:p>
    <w:p w14:paraId="077EBA2B" w14:textId="77777777" w:rsidR="00BC657C" w:rsidRPr="00ED4558" w:rsidRDefault="00BC657C" w:rsidP="00773BC1">
      <w:pPr>
        <w:spacing w:after="0"/>
        <w:ind w:left="1417" w:right="1417"/>
        <w:jc w:val="both"/>
        <w:rPr>
          <w:rFonts w:ascii="ITC Avant Garde" w:hAnsi="ITC Avant Garde" w:cs="Arial"/>
          <w:i/>
          <w:sz w:val="18"/>
        </w:rPr>
      </w:pPr>
    </w:p>
    <w:p w14:paraId="23B8B3E1" w14:textId="77777777" w:rsidR="00BC657C" w:rsidRPr="00ED4558" w:rsidRDefault="00BC657C" w:rsidP="00773BC1">
      <w:pPr>
        <w:spacing w:after="0"/>
        <w:ind w:left="1417" w:right="1417"/>
        <w:jc w:val="both"/>
        <w:rPr>
          <w:rFonts w:ascii="ITC Avant Garde" w:hAnsi="ITC Avant Garde" w:cs="Arial"/>
          <w:i/>
          <w:sz w:val="18"/>
        </w:rPr>
      </w:pPr>
      <w:r w:rsidRPr="00ED4558">
        <w:rPr>
          <w:rFonts w:ascii="ITC Avant Garde" w:hAnsi="ITC Avant Garde" w:cs="Arial"/>
          <w:i/>
          <w:sz w:val="18"/>
        </w:rPr>
        <w:t xml:space="preserve">I. Promover un amplio desarrollo de nuevos concesionarios, tecnologías, infraestructuras y servicios de telecomunicaciones, por medio del despliegue y la inversión en redes de telecomunicaciones y el fomento de la innovación; </w:t>
      </w:r>
    </w:p>
    <w:p w14:paraId="7FD97150" w14:textId="77777777" w:rsidR="00BC657C" w:rsidRPr="00ED4558" w:rsidRDefault="00BC657C" w:rsidP="00773BC1">
      <w:pPr>
        <w:spacing w:after="0"/>
        <w:ind w:left="1417" w:right="1417"/>
        <w:jc w:val="both"/>
        <w:rPr>
          <w:rFonts w:ascii="ITC Avant Garde" w:hAnsi="ITC Avant Garde" w:cs="Arial"/>
          <w:i/>
          <w:sz w:val="18"/>
        </w:rPr>
      </w:pPr>
      <w:r w:rsidRPr="00ED4558">
        <w:rPr>
          <w:rFonts w:ascii="ITC Avant Garde" w:hAnsi="ITC Avant Garde" w:cs="Arial"/>
          <w:i/>
          <w:sz w:val="18"/>
        </w:rPr>
        <w:t xml:space="preserve">II. Dar un trato no discriminatorio a los concesionarios excepto por las medidas asimétricas o específicas que dispone esta Ley; </w:t>
      </w:r>
    </w:p>
    <w:p w14:paraId="53DCFB34" w14:textId="77777777" w:rsidR="00BC657C" w:rsidRPr="00ED4558" w:rsidRDefault="00BC657C" w:rsidP="00773BC1">
      <w:pPr>
        <w:spacing w:after="0"/>
        <w:ind w:left="1417" w:right="1417"/>
        <w:jc w:val="both"/>
        <w:rPr>
          <w:rFonts w:ascii="ITC Avant Garde" w:hAnsi="ITC Avant Garde" w:cs="Arial"/>
          <w:i/>
          <w:sz w:val="18"/>
        </w:rPr>
      </w:pPr>
      <w:r w:rsidRPr="00ED4558">
        <w:rPr>
          <w:rFonts w:ascii="ITC Avant Garde" w:hAnsi="ITC Avant Garde" w:cs="Arial"/>
          <w:i/>
          <w:sz w:val="18"/>
        </w:rPr>
        <w:t>[…]</w:t>
      </w:r>
    </w:p>
    <w:p w14:paraId="5F9DDE85" w14:textId="77777777" w:rsidR="00BC657C" w:rsidRPr="00ED4558" w:rsidRDefault="00BC657C" w:rsidP="00773BC1">
      <w:pPr>
        <w:spacing w:after="0"/>
        <w:ind w:left="1417" w:right="1417"/>
        <w:jc w:val="both"/>
        <w:rPr>
          <w:rFonts w:ascii="ITC Avant Garde" w:hAnsi="ITC Avant Garde" w:cs="Arial"/>
          <w:i/>
          <w:sz w:val="18"/>
        </w:rPr>
      </w:pPr>
    </w:p>
    <w:p w14:paraId="466E6BFC" w14:textId="77777777" w:rsidR="00BC657C" w:rsidRPr="00ED4558" w:rsidRDefault="00BC657C" w:rsidP="00773BC1">
      <w:pPr>
        <w:spacing w:after="0"/>
        <w:ind w:left="1417" w:right="1417"/>
        <w:jc w:val="both"/>
        <w:rPr>
          <w:rFonts w:ascii="ITC Avant Garde" w:hAnsi="ITC Avant Garde" w:cs="Arial"/>
          <w:i/>
          <w:sz w:val="18"/>
        </w:rPr>
      </w:pPr>
      <w:r w:rsidRPr="00ED4558">
        <w:rPr>
          <w:rFonts w:ascii="ITC Avant Garde" w:hAnsi="ITC Avant Garde" w:cs="Arial"/>
          <w:i/>
          <w:sz w:val="18"/>
        </w:rPr>
        <w:t>V. Fomentar condiciones de competencia efectiva;</w:t>
      </w:r>
    </w:p>
    <w:p w14:paraId="153169F5" w14:textId="77777777" w:rsidR="00BC657C" w:rsidRPr="00ED4558" w:rsidRDefault="00BC657C" w:rsidP="00773BC1">
      <w:pPr>
        <w:spacing w:after="0"/>
        <w:ind w:left="1417" w:right="1417"/>
        <w:jc w:val="both"/>
        <w:rPr>
          <w:rFonts w:ascii="ITC Avant Garde" w:hAnsi="ITC Avant Garde" w:cs="Arial"/>
          <w:i/>
          <w:sz w:val="18"/>
        </w:rPr>
      </w:pPr>
    </w:p>
    <w:p w14:paraId="23BA9374" w14:textId="77777777" w:rsidR="00BC657C" w:rsidRPr="00ED4558" w:rsidRDefault="00BC657C" w:rsidP="00773BC1">
      <w:pPr>
        <w:spacing w:after="0"/>
        <w:ind w:left="1417" w:right="1417"/>
        <w:jc w:val="both"/>
        <w:rPr>
          <w:rFonts w:ascii="ITC Avant Garde" w:hAnsi="ITC Avant Garde" w:cs="Arial"/>
          <w:i/>
          <w:sz w:val="18"/>
        </w:rPr>
      </w:pPr>
      <w:r w:rsidRPr="00ED4558">
        <w:rPr>
          <w:rFonts w:ascii="ITC Avant Garde" w:hAnsi="ITC Avant Garde" w:cs="Arial"/>
          <w:i/>
          <w:sz w:val="18"/>
        </w:rPr>
        <w:t>[…]”</w:t>
      </w:r>
    </w:p>
    <w:p w14:paraId="6795EFA7" w14:textId="77777777" w:rsidR="00BC657C" w:rsidRPr="00ED4558" w:rsidRDefault="00BC657C" w:rsidP="00773BC1">
      <w:pPr>
        <w:spacing w:after="0"/>
        <w:jc w:val="both"/>
        <w:rPr>
          <w:rFonts w:ascii="ITC Avant Garde" w:hAnsi="ITC Avant Garde" w:cs="Arial"/>
        </w:rPr>
      </w:pPr>
      <w:r w:rsidRPr="00ED4558">
        <w:rPr>
          <w:rFonts w:ascii="ITC Avant Garde" w:hAnsi="ITC Avant Garde" w:cs="Arial"/>
        </w:rPr>
        <w:t xml:space="preserve">Asimismo, el artículo 131 de la </w:t>
      </w:r>
      <w:proofErr w:type="spellStart"/>
      <w:r w:rsidRPr="00ED4558">
        <w:rPr>
          <w:rFonts w:ascii="ITC Avant Garde" w:hAnsi="ITC Avant Garde" w:cs="Arial"/>
        </w:rPr>
        <w:t>LFTyR</w:t>
      </w:r>
      <w:proofErr w:type="spellEnd"/>
      <w:r w:rsidRPr="00ED4558">
        <w:rPr>
          <w:rFonts w:ascii="ITC Avant Garde" w:hAnsi="ITC Avant Garde" w:cs="Arial"/>
        </w:rPr>
        <w:t xml:space="preserve"> dispone lo siguiente:</w:t>
      </w:r>
    </w:p>
    <w:p w14:paraId="7E17BBBF" w14:textId="77777777" w:rsidR="00BC657C" w:rsidRPr="00ED4558" w:rsidRDefault="00BC657C" w:rsidP="00773BC1">
      <w:pPr>
        <w:spacing w:after="0"/>
        <w:jc w:val="both"/>
        <w:rPr>
          <w:rFonts w:ascii="ITC Avant Garde" w:hAnsi="ITC Avant Garde" w:cs="Arial"/>
        </w:rPr>
      </w:pPr>
    </w:p>
    <w:p w14:paraId="6F8A85AC" w14:textId="77777777" w:rsidR="00BC657C" w:rsidRPr="00ED4558" w:rsidRDefault="00BC657C" w:rsidP="00773BC1">
      <w:pPr>
        <w:spacing w:after="0"/>
        <w:ind w:left="1417" w:right="1417"/>
        <w:jc w:val="both"/>
        <w:rPr>
          <w:rFonts w:ascii="ITC Avant Garde" w:hAnsi="ITC Avant Garde" w:cs="Arial"/>
          <w:i/>
          <w:sz w:val="18"/>
        </w:rPr>
      </w:pPr>
      <w:r w:rsidRPr="00ED4558">
        <w:rPr>
          <w:rFonts w:ascii="ITC Avant Garde" w:hAnsi="ITC Avant Garde" w:cs="Arial"/>
          <w:i/>
          <w:sz w:val="18"/>
        </w:rPr>
        <w:t>“</w:t>
      </w:r>
      <w:r w:rsidRPr="00ED4558">
        <w:rPr>
          <w:rFonts w:ascii="ITC Avant Garde" w:hAnsi="ITC Avant Garde" w:cs="Arial"/>
          <w:b/>
          <w:i/>
          <w:sz w:val="18"/>
        </w:rPr>
        <w:t>Artículo 131.</w:t>
      </w:r>
      <w:r w:rsidRPr="00ED4558">
        <w:rPr>
          <w:rFonts w:ascii="ITC Avant Garde" w:hAnsi="ITC Avant Garde" w:cs="Arial"/>
          <w:i/>
          <w:sz w:val="18"/>
        </w:rPr>
        <w:t xml:space="preserve"> […]</w:t>
      </w:r>
    </w:p>
    <w:p w14:paraId="3036F7EB" w14:textId="77777777" w:rsidR="00BC657C" w:rsidRPr="00ED4558" w:rsidRDefault="00BC657C" w:rsidP="00773BC1">
      <w:pPr>
        <w:spacing w:after="0"/>
        <w:ind w:left="1417" w:right="1417"/>
        <w:jc w:val="both"/>
        <w:rPr>
          <w:rFonts w:ascii="ITC Avant Garde" w:hAnsi="ITC Avant Garde" w:cs="Arial"/>
          <w:i/>
          <w:sz w:val="18"/>
        </w:rPr>
      </w:pPr>
    </w:p>
    <w:p w14:paraId="47D1C385" w14:textId="77777777" w:rsidR="00BC657C" w:rsidRPr="00ED4558" w:rsidRDefault="00BC657C" w:rsidP="00773BC1">
      <w:pPr>
        <w:spacing w:after="0"/>
        <w:ind w:left="1417" w:right="1417"/>
        <w:jc w:val="both"/>
        <w:rPr>
          <w:rFonts w:ascii="ITC Avant Garde" w:hAnsi="ITC Avant Garde" w:cs="Arial"/>
          <w:i/>
          <w:sz w:val="18"/>
        </w:rPr>
      </w:pPr>
      <w:r w:rsidRPr="00ED4558">
        <w:rPr>
          <w:rFonts w:ascii="ITC Avant Garde" w:hAnsi="ITC Avant Garde" w:cs="Arial"/>
          <w:i/>
          <w:sz w:val="18"/>
        </w:rPr>
        <w:t>[…]</w:t>
      </w:r>
    </w:p>
    <w:p w14:paraId="5546944A" w14:textId="77777777" w:rsidR="00BC657C" w:rsidRPr="00ED4558" w:rsidRDefault="00BC657C" w:rsidP="00773BC1">
      <w:pPr>
        <w:spacing w:after="0"/>
        <w:ind w:left="1417" w:right="1417"/>
        <w:jc w:val="both"/>
        <w:rPr>
          <w:rFonts w:ascii="ITC Avant Garde" w:hAnsi="ITC Avant Garde" w:cs="Arial"/>
          <w:i/>
          <w:sz w:val="18"/>
        </w:rPr>
      </w:pPr>
    </w:p>
    <w:p w14:paraId="0FB3C5F5" w14:textId="77777777" w:rsidR="00BC657C" w:rsidRPr="00ED4558" w:rsidRDefault="00BC657C" w:rsidP="00773BC1">
      <w:pPr>
        <w:spacing w:after="0"/>
        <w:ind w:left="1417" w:right="1417"/>
        <w:jc w:val="both"/>
        <w:rPr>
          <w:rFonts w:ascii="ITC Avant Garde" w:hAnsi="ITC Avant Garde" w:cs="Arial"/>
          <w:i/>
          <w:sz w:val="18"/>
        </w:rPr>
      </w:pPr>
      <w:r w:rsidRPr="00ED4558">
        <w:rPr>
          <w:rFonts w:ascii="ITC Avant Garde" w:hAnsi="ITC Avant Garde" w:cs="Arial"/>
          <w:i/>
          <w:sz w:val="18"/>
        </w:rPr>
        <w:t>b) Para el tráfico que termine en la red de los demás concesionarios, la tarifa de interconexión será negociada libremente.</w:t>
      </w:r>
    </w:p>
    <w:p w14:paraId="7EBE1121" w14:textId="77777777" w:rsidR="00BC657C" w:rsidRPr="00ED4558" w:rsidRDefault="00BC657C" w:rsidP="00773BC1">
      <w:pPr>
        <w:spacing w:after="0"/>
        <w:ind w:left="1417" w:right="1417"/>
        <w:jc w:val="both"/>
        <w:rPr>
          <w:rFonts w:ascii="ITC Avant Garde" w:hAnsi="ITC Avant Garde" w:cs="Arial"/>
          <w:i/>
          <w:sz w:val="18"/>
        </w:rPr>
      </w:pPr>
    </w:p>
    <w:p w14:paraId="5CA429FB" w14:textId="77777777" w:rsidR="00BC657C" w:rsidRPr="00ED4558" w:rsidRDefault="00BC657C" w:rsidP="00773BC1">
      <w:pPr>
        <w:spacing w:after="0"/>
        <w:ind w:left="1417" w:right="1417"/>
        <w:jc w:val="both"/>
        <w:rPr>
          <w:rFonts w:ascii="ITC Avant Garde" w:hAnsi="ITC Avant Garde" w:cs="Arial"/>
          <w:i/>
          <w:sz w:val="18"/>
        </w:rPr>
      </w:pPr>
      <w:r w:rsidRPr="00ED4558">
        <w:rPr>
          <w:rFonts w:ascii="ITC Avant Garde" w:hAnsi="ITC Avant Garde" w:cs="Arial"/>
          <w:i/>
          <w:sz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20EB59ED" w14:textId="77777777" w:rsidR="00BC657C" w:rsidRPr="00ED4558" w:rsidRDefault="00BC657C" w:rsidP="00773BC1">
      <w:pPr>
        <w:spacing w:after="0"/>
        <w:ind w:left="1417" w:right="1417"/>
        <w:jc w:val="both"/>
        <w:rPr>
          <w:rFonts w:ascii="ITC Avant Garde" w:hAnsi="ITC Avant Garde" w:cs="Arial"/>
          <w:i/>
          <w:sz w:val="18"/>
        </w:rPr>
      </w:pPr>
    </w:p>
    <w:p w14:paraId="7FE5A778" w14:textId="77777777" w:rsidR="00BC657C" w:rsidRPr="00ED4558" w:rsidRDefault="00BC657C" w:rsidP="00773BC1">
      <w:pPr>
        <w:spacing w:after="0"/>
        <w:ind w:left="1417" w:right="1417"/>
        <w:jc w:val="both"/>
        <w:rPr>
          <w:rFonts w:ascii="ITC Avant Garde" w:hAnsi="ITC Avant Garde" w:cs="Arial"/>
          <w:i/>
          <w:sz w:val="18"/>
        </w:rPr>
      </w:pPr>
      <w:r w:rsidRPr="00ED4558">
        <w:rPr>
          <w:rFonts w:ascii="ITC Avant Garde" w:hAnsi="ITC Avant Garde" w:cs="Arial"/>
          <w:i/>
          <w:sz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2856A6A6" w14:textId="77777777" w:rsidR="00BC657C" w:rsidRPr="00ED4558" w:rsidRDefault="00BC657C" w:rsidP="00773BC1">
      <w:pPr>
        <w:spacing w:after="0"/>
        <w:ind w:left="1417" w:right="1417"/>
        <w:jc w:val="both"/>
        <w:rPr>
          <w:rFonts w:ascii="ITC Avant Garde" w:hAnsi="ITC Avant Garde" w:cs="Arial"/>
          <w:i/>
          <w:sz w:val="18"/>
        </w:rPr>
      </w:pPr>
    </w:p>
    <w:p w14:paraId="1F43F21E" w14:textId="77777777" w:rsidR="00BC657C" w:rsidRPr="00ED4558" w:rsidRDefault="00BC657C" w:rsidP="00773BC1">
      <w:pPr>
        <w:spacing w:after="0"/>
        <w:ind w:left="1417" w:right="1417"/>
        <w:jc w:val="both"/>
        <w:rPr>
          <w:rFonts w:ascii="ITC Avant Garde" w:hAnsi="ITC Avant Garde" w:cs="Arial"/>
          <w:i/>
          <w:sz w:val="18"/>
        </w:rPr>
      </w:pPr>
      <w:r w:rsidRPr="00ED4558">
        <w:rPr>
          <w:rFonts w:ascii="ITC Avant Garde" w:hAnsi="ITC Avant Garde" w:cs="Arial"/>
          <w:i/>
          <w:sz w:val="18"/>
        </w:rPr>
        <w:t>Las tarifas deberán ser lo suficientemente desagregadas para que el concesionario que se interconecte no necesite pagar por componentes o recursos de la red que no se requieran para que el servicio sea suministrado.</w:t>
      </w:r>
    </w:p>
    <w:p w14:paraId="0CAC2B23" w14:textId="77777777" w:rsidR="00BC657C" w:rsidRPr="00ED4558" w:rsidRDefault="00BC657C" w:rsidP="00773BC1">
      <w:pPr>
        <w:spacing w:after="0"/>
        <w:ind w:left="1417" w:right="1417"/>
        <w:jc w:val="both"/>
        <w:rPr>
          <w:rFonts w:ascii="ITC Avant Garde" w:hAnsi="ITC Avant Garde" w:cs="Arial"/>
          <w:i/>
          <w:sz w:val="18"/>
        </w:rPr>
      </w:pPr>
    </w:p>
    <w:p w14:paraId="43FFA712" w14:textId="77777777" w:rsidR="00BC657C" w:rsidRPr="00ED4558" w:rsidRDefault="00BC657C" w:rsidP="00773BC1">
      <w:pPr>
        <w:spacing w:after="0"/>
        <w:ind w:left="1417" w:right="1417"/>
        <w:jc w:val="both"/>
        <w:rPr>
          <w:rFonts w:ascii="ITC Avant Garde" w:hAnsi="ITC Avant Garde" w:cs="Arial"/>
          <w:i/>
          <w:sz w:val="18"/>
        </w:rPr>
      </w:pPr>
      <w:r w:rsidRPr="00ED4558">
        <w:rPr>
          <w:rFonts w:ascii="ITC Avant Garde" w:hAnsi="ITC Avant Garde" w:cs="Arial"/>
          <w:i/>
          <w:sz w:val="18"/>
        </w:rPr>
        <w:t>[…]”</w:t>
      </w:r>
    </w:p>
    <w:p w14:paraId="41B930B6" w14:textId="77777777" w:rsidR="00BC657C" w:rsidRPr="00ED4558" w:rsidRDefault="00BC657C" w:rsidP="00773BC1">
      <w:pPr>
        <w:spacing w:after="0"/>
        <w:jc w:val="both"/>
        <w:rPr>
          <w:rFonts w:ascii="ITC Avant Garde" w:hAnsi="ITC Avant Garde" w:cs="Arial"/>
          <w:sz w:val="18"/>
        </w:rPr>
      </w:pPr>
    </w:p>
    <w:p w14:paraId="788E816B" w14:textId="77777777" w:rsidR="00BC657C" w:rsidRPr="00ED4558" w:rsidRDefault="00BC657C" w:rsidP="00773BC1">
      <w:pPr>
        <w:spacing w:after="0"/>
        <w:jc w:val="both"/>
        <w:rPr>
          <w:rFonts w:ascii="ITC Avant Garde" w:hAnsi="ITC Avant Garde" w:cs="Arial"/>
        </w:rPr>
      </w:pPr>
      <w:r w:rsidRPr="00ED4558">
        <w:rPr>
          <w:rFonts w:ascii="ITC Avant Garde" w:hAnsi="ITC Avant Garde" w:cs="Arial"/>
        </w:rPr>
        <w:t xml:space="preserve">En este orden de ideas, el artículo 137 de la </w:t>
      </w:r>
      <w:proofErr w:type="spellStart"/>
      <w:r w:rsidRPr="00ED4558">
        <w:rPr>
          <w:rFonts w:ascii="ITC Avant Garde" w:hAnsi="ITC Avant Garde" w:cs="Arial"/>
        </w:rPr>
        <w:t>LFTyR</w:t>
      </w:r>
      <w:proofErr w:type="spellEnd"/>
      <w:r w:rsidRPr="00ED4558">
        <w:rPr>
          <w:rFonts w:ascii="ITC Avant Garde" w:hAnsi="ITC Avant Garde" w:cs="Arial"/>
        </w:rPr>
        <w:t xml:space="preserve"> señala a la letra lo siguiente:</w:t>
      </w:r>
    </w:p>
    <w:p w14:paraId="0E07D4C5" w14:textId="77777777" w:rsidR="00BC657C" w:rsidRPr="00ED4558" w:rsidRDefault="00BC657C" w:rsidP="00773BC1">
      <w:pPr>
        <w:spacing w:after="0"/>
        <w:jc w:val="both"/>
        <w:rPr>
          <w:rFonts w:ascii="ITC Avant Garde" w:hAnsi="ITC Avant Garde" w:cs="Arial"/>
        </w:rPr>
      </w:pPr>
    </w:p>
    <w:p w14:paraId="5D7A3672" w14:textId="77777777" w:rsidR="00BC657C" w:rsidRPr="00ED4558" w:rsidRDefault="00BC657C" w:rsidP="00773BC1">
      <w:pPr>
        <w:spacing w:after="0"/>
        <w:ind w:left="1417" w:right="1417"/>
        <w:jc w:val="both"/>
        <w:rPr>
          <w:rFonts w:ascii="ITC Avant Garde" w:hAnsi="ITC Avant Garde" w:cs="Arial"/>
          <w:i/>
          <w:sz w:val="18"/>
        </w:rPr>
      </w:pPr>
      <w:r w:rsidRPr="00ED4558">
        <w:rPr>
          <w:rFonts w:ascii="ITC Avant Garde" w:hAnsi="ITC Avant Garde" w:cs="Arial"/>
          <w:b/>
          <w:i/>
          <w:sz w:val="18"/>
        </w:rPr>
        <w:t>“Artículo 137.</w:t>
      </w:r>
      <w:r w:rsidRPr="00ED4558">
        <w:rPr>
          <w:rFonts w:ascii="ITC Avant Garde" w:hAnsi="ITC Avant Garde" w:cs="Arial"/>
          <w:i/>
          <w:sz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3487AC0D" w14:textId="77777777" w:rsidR="00BC657C" w:rsidRPr="00ED4558" w:rsidRDefault="00BC657C" w:rsidP="00773BC1">
      <w:pPr>
        <w:spacing w:after="0"/>
        <w:jc w:val="both"/>
        <w:rPr>
          <w:rFonts w:ascii="ITC Avant Garde" w:hAnsi="ITC Avant Garde" w:cs="Arial"/>
        </w:rPr>
      </w:pPr>
    </w:p>
    <w:p w14:paraId="53E03322" w14:textId="77777777" w:rsidR="00BC657C" w:rsidRPr="00ED4558" w:rsidRDefault="00BC657C" w:rsidP="00773BC1">
      <w:pPr>
        <w:spacing w:after="0"/>
        <w:jc w:val="both"/>
        <w:rPr>
          <w:rFonts w:ascii="ITC Avant Garde" w:hAnsi="ITC Avant Garde" w:cs="Arial"/>
        </w:rPr>
      </w:pPr>
      <w:r w:rsidRPr="00ED4558">
        <w:rPr>
          <w:rFonts w:ascii="ITC Avant Garde" w:hAnsi="ITC Avant Garde" w:cs="Arial"/>
        </w:rPr>
        <w:t>En estricto cumplimiento al artículo citado, el Instituto debía emitir una metodología de costos, así como publicar en el DOF las tarifas que estarían vigentes durante 2015.</w:t>
      </w:r>
    </w:p>
    <w:p w14:paraId="5B1672F8" w14:textId="77777777" w:rsidR="00BC657C" w:rsidRPr="00ED4558" w:rsidRDefault="00BC657C" w:rsidP="00773BC1">
      <w:pPr>
        <w:spacing w:after="0"/>
        <w:jc w:val="both"/>
        <w:rPr>
          <w:rFonts w:ascii="ITC Avant Garde" w:hAnsi="ITC Avant Garde" w:cs="Arial"/>
        </w:rPr>
      </w:pPr>
    </w:p>
    <w:p w14:paraId="07458936" w14:textId="77777777" w:rsidR="00BC657C" w:rsidRPr="00ED4558" w:rsidRDefault="00BC657C" w:rsidP="00773BC1">
      <w:pPr>
        <w:spacing w:after="0"/>
        <w:jc w:val="both"/>
        <w:rPr>
          <w:rFonts w:ascii="ITC Avant Garde" w:hAnsi="ITC Avant Garde"/>
          <w:i/>
        </w:rPr>
      </w:pPr>
      <w:r w:rsidRPr="00ED4558">
        <w:rPr>
          <w:rFonts w:ascii="ITC Avant Garde" w:hAnsi="ITC Avant Garde" w:cs="Arial"/>
        </w:rPr>
        <w:t>Es así que el 18 de diciembre de 2014 el Instituto publicó en el DOF la Metodología de Costos, misma que establece los principios básicos a los cuales se deberá sujetar la autoridad reguladora al momento de elaborar los modelos de costos que calculen las tarifas de interconexión.</w:t>
      </w:r>
    </w:p>
    <w:p w14:paraId="11AD8C6D" w14:textId="77777777" w:rsidR="00BC657C" w:rsidRPr="00ED4558" w:rsidRDefault="00BC657C" w:rsidP="00773BC1">
      <w:pPr>
        <w:spacing w:after="0"/>
        <w:jc w:val="both"/>
        <w:rPr>
          <w:rFonts w:ascii="ITC Avant Garde" w:hAnsi="ITC Avant Garde" w:cs="Arial"/>
        </w:rPr>
      </w:pPr>
    </w:p>
    <w:p w14:paraId="49F0E0BA" w14:textId="77777777" w:rsidR="00BC657C" w:rsidRPr="00ED4558" w:rsidRDefault="00BC657C" w:rsidP="00773BC1">
      <w:pPr>
        <w:pStyle w:val="Textoindependiente"/>
        <w:spacing w:line="276" w:lineRule="auto"/>
        <w:rPr>
          <w:rFonts w:ascii="ITC Avant Garde" w:hAnsi="ITC Avant Garde" w:cs="Arial"/>
          <w:szCs w:val="22"/>
        </w:rPr>
      </w:pPr>
      <w:r w:rsidRPr="00ED4558">
        <w:rPr>
          <w:rFonts w:ascii="ITC Avant Garde" w:hAnsi="ITC Avant Garde" w:cs="Arial"/>
          <w:szCs w:val="22"/>
        </w:rPr>
        <w:t xml:space="preserve">Dentro de los objetivos de la </w:t>
      </w:r>
      <w:proofErr w:type="spellStart"/>
      <w:r w:rsidRPr="00ED4558">
        <w:rPr>
          <w:rFonts w:ascii="ITC Avant Garde" w:hAnsi="ITC Avant Garde" w:cs="Arial"/>
          <w:szCs w:val="22"/>
        </w:rPr>
        <w:t>LFTyR</w:t>
      </w:r>
      <w:proofErr w:type="spellEnd"/>
      <w:r w:rsidRPr="00ED4558">
        <w:rPr>
          <w:rFonts w:ascii="ITC Avant Garde" w:hAnsi="ITC Avant Garde" w:cs="Arial"/>
          <w:szCs w:val="22"/>
        </w:rPr>
        <w:t xml:space="preserve"> está el de promover un desarrollo eficiente de las telecomunicaciones; ejercer la rectoría del Estado en esa materia para garantizar la soberanía nacional; fomentar una sana competencia entre los concesionarios, permisionarios e intermediarios (servicios de interconexión) a fin de que se presten </w:t>
      </w:r>
      <w:r w:rsidRPr="00ED4558">
        <w:rPr>
          <w:rFonts w:ascii="ITC Avant Garde" w:hAnsi="ITC Avant Garde" w:cs="Arial"/>
          <w:szCs w:val="22"/>
        </w:rPr>
        <w:lastRenderedPageBreak/>
        <w:t>mejores servicios y se otorguen precios adecuados en beneficio de los usuarios, promoviendo una adecuada cobertura social.</w:t>
      </w:r>
    </w:p>
    <w:p w14:paraId="38EA2313" w14:textId="77777777" w:rsidR="00BC657C" w:rsidRPr="00ED4558" w:rsidRDefault="00BC657C" w:rsidP="00773BC1">
      <w:pPr>
        <w:pStyle w:val="Textoindependiente"/>
        <w:spacing w:line="276" w:lineRule="auto"/>
        <w:rPr>
          <w:rFonts w:ascii="ITC Avant Garde" w:hAnsi="ITC Avant Garde" w:cs="Arial"/>
          <w:szCs w:val="22"/>
        </w:rPr>
      </w:pPr>
    </w:p>
    <w:p w14:paraId="09507223" w14:textId="77777777" w:rsidR="00BC657C" w:rsidRPr="00ED4558" w:rsidRDefault="00BC657C" w:rsidP="00773BC1">
      <w:pPr>
        <w:pStyle w:val="Textoindependiente"/>
        <w:spacing w:line="276" w:lineRule="auto"/>
        <w:rPr>
          <w:rFonts w:ascii="ITC Avant Garde" w:hAnsi="ITC Avant Garde" w:cs="Arial"/>
          <w:szCs w:val="22"/>
        </w:rPr>
      </w:pPr>
      <w:r w:rsidRPr="00ED4558">
        <w:rPr>
          <w:rFonts w:ascii="ITC Avant Garde" w:hAnsi="ITC Avant Garde" w:cs="Arial"/>
          <w:szCs w:val="22"/>
        </w:rPr>
        <w:t xml:space="preserve">Es por ello que la emisión de las resoluciones en materia de desacuerdos de interconexión, como expresión de la rectoría que ejerce el Estado en materia de telecomunicaciones, tiende a procurar una sana competencia entre los concesionarios, sin dejar de considerar, de manera preponderante, los intereses de los usuarios o consumidores finales, en términos de lo establecido en los artículos 7º, 124 y 125 de la </w:t>
      </w:r>
      <w:proofErr w:type="spellStart"/>
      <w:r w:rsidRPr="00ED4558">
        <w:rPr>
          <w:rFonts w:ascii="ITC Avant Garde" w:hAnsi="ITC Avant Garde" w:cs="Arial"/>
          <w:szCs w:val="22"/>
        </w:rPr>
        <w:t>LFTyR</w:t>
      </w:r>
      <w:proofErr w:type="spellEnd"/>
      <w:r w:rsidRPr="00ED4558">
        <w:rPr>
          <w:rFonts w:ascii="ITC Avant Garde" w:hAnsi="ITC Avant Garde" w:cs="Arial"/>
          <w:szCs w:val="22"/>
        </w:rPr>
        <w:t>.</w:t>
      </w:r>
    </w:p>
    <w:p w14:paraId="6E376135" w14:textId="77777777" w:rsidR="00BC657C" w:rsidRPr="00ED4558" w:rsidRDefault="00BC657C" w:rsidP="00773BC1">
      <w:pPr>
        <w:pStyle w:val="Textoindependiente"/>
        <w:spacing w:line="276" w:lineRule="auto"/>
        <w:rPr>
          <w:rFonts w:ascii="ITC Avant Garde" w:hAnsi="ITC Avant Garde" w:cs="Arial"/>
          <w:szCs w:val="22"/>
        </w:rPr>
      </w:pPr>
    </w:p>
    <w:p w14:paraId="5D992CCE" w14:textId="77777777" w:rsidR="00BC657C" w:rsidRPr="00ED4558" w:rsidRDefault="00BC657C" w:rsidP="00773BC1">
      <w:pPr>
        <w:spacing w:after="0"/>
        <w:jc w:val="both"/>
        <w:rPr>
          <w:rFonts w:ascii="ITC Avant Garde" w:hAnsi="ITC Avant Garde" w:cs="Arial"/>
        </w:rPr>
      </w:pPr>
      <w:r w:rsidRPr="00ED4558">
        <w:rPr>
          <w:rFonts w:ascii="ITC Avant Garde" w:hAnsi="ITC Avant Garde" w:cs="Arial"/>
        </w:rPr>
        <w:t>Por lo anterior, se observa que el objetivo de la política en materia de tarifas de interconexión que ha definido el Instituto es regular y promover la competencia y el desarrollo eficiente de las telecomunicaciones y que en el contexto actual dicho objetivo se cumple mediante la aplicación de la ya señalada Metodología de Costos, la cual en el caso de las tarifas de terminación, consiste en el cálculo de costos con base en el CILP Puro.</w:t>
      </w:r>
    </w:p>
    <w:p w14:paraId="5858D318" w14:textId="77777777" w:rsidR="00BC657C" w:rsidRPr="00ED4558" w:rsidRDefault="00BC657C" w:rsidP="00773BC1">
      <w:pPr>
        <w:spacing w:after="0"/>
        <w:jc w:val="both"/>
        <w:rPr>
          <w:rFonts w:ascii="ITC Avant Garde" w:eastAsia="Times New Roman" w:hAnsi="ITC Avant Garde"/>
          <w:b/>
          <w:lang w:eastAsia="es-ES"/>
        </w:rPr>
      </w:pPr>
    </w:p>
    <w:p w14:paraId="62A72E03" w14:textId="77777777" w:rsidR="00BC657C" w:rsidRPr="00ED4558" w:rsidRDefault="00BC657C" w:rsidP="00773BC1">
      <w:pPr>
        <w:spacing w:after="0"/>
        <w:jc w:val="both"/>
        <w:rPr>
          <w:rFonts w:ascii="ITC Avant Garde" w:hAnsi="ITC Avant Garde"/>
          <w:spacing w:val="-4"/>
        </w:rPr>
      </w:pPr>
      <w:r w:rsidRPr="00ED4558">
        <w:rPr>
          <w:rFonts w:ascii="ITC Avant Garde" w:hAnsi="ITC Avant Garde"/>
          <w:spacing w:val="-4"/>
        </w:rPr>
        <w:t>Ahora bien, por lo que hace a las tarifas de interconexión que deberán estar vigentes durante 2015</w:t>
      </w:r>
      <w:r w:rsidR="000C6634" w:rsidRPr="00ED4558">
        <w:rPr>
          <w:rFonts w:ascii="ITC Avant Garde" w:hAnsi="ITC Avant Garde"/>
          <w:spacing w:val="-4"/>
        </w:rPr>
        <w:t xml:space="preserve"> y 2016</w:t>
      </w:r>
      <w:r w:rsidRPr="00ED4558">
        <w:rPr>
          <w:rFonts w:ascii="ITC Avant Garde" w:hAnsi="ITC Avant Garde"/>
          <w:spacing w:val="-4"/>
        </w:rPr>
        <w:t xml:space="preserve">, previstas en el citado artículo 137 de la </w:t>
      </w:r>
      <w:proofErr w:type="spellStart"/>
      <w:r w:rsidRPr="00ED4558">
        <w:rPr>
          <w:rFonts w:ascii="ITC Avant Garde" w:hAnsi="ITC Avant Garde"/>
          <w:spacing w:val="-4"/>
        </w:rPr>
        <w:t>LFTyR</w:t>
      </w:r>
      <w:proofErr w:type="spellEnd"/>
      <w:r w:rsidRPr="00ED4558">
        <w:rPr>
          <w:rFonts w:ascii="ITC Avant Garde" w:hAnsi="ITC Avant Garde"/>
          <w:spacing w:val="-4"/>
        </w:rPr>
        <w:t>, el Instituto publicó en el DOF el 29 de diciembre de 2014</w:t>
      </w:r>
      <w:r w:rsidR="000C6634" w:rsidRPr="00ED4558">
        <w:rPr>
          <w:rFonts w:ascii="ITC Avant Garde" w:hAnsi="ITC Avant Garde"/>
          <w:spacing w:val="-4"/>
        </w:rPr>
        <w:t xml:space="preserve"> y el 1 de octubre de 2015</w:t>
      </w:r>
      <w:r w:rsidRPr="00ED4558">
        <w:rPr>
          <w:rFonts w:ascii="ITC Avant Garde" w:hAnsi="ITC Avant Garde"/>
          <w:spacing w:val="-4"/>
        </w:rPr>
        <w:t xml:space="preserve"> el Acuerdo de Tarifas 2015</w:t>
      </w:r>
      <w:r w:rsidR="000C6634" w:rsidRPr="00ED4558">
        <w:rPr>
          <w:rFonts w:ascii="ITC Avant Garde" w:hAnsi="ITC Avant Garde"/>
          <w:spacing w:val="-4"/>
        </w:rPr>
        <w:t xml:space="preserve"> y el Acuerdo de Tarifas 2016, respectivamente</w:t>
      </w:r>
      <w:r w:rsidRPr="00ED4558">
        <w:rPr>
          <w:rFonts w:ascii="ITC Avant Garde" w:hAnsi="ITC Avant Garde"/>
          <w:spacing w:val="-4"/>
        </w:rPr>
        <w:t xml:space="preserve">, en </w:t>
      </w:r>
      <w:r w:rsidR="000C6634" w:rsidRPr="00ED4558">
        <w:rPr>
          <w:rFonts w:ascii="ITC Avant Garde" w:hAnsi="ITC Avant Garde"/>
          <w:spacing w:val="-4"/>
        </w:rPr>
        <w:t>los</w:t>
      </w:r>
      <w:r w:rsidRPr="00ED4558">
        <w:rPr>
          <w:rFonts w:ascii="ITC Avant Garde" w:hAnsi="ITC Avant Garde"/>
          <w:spacing w:val="-4"/>
        </w:rPr>
        <w:t xml:space="preserve"> cual</w:t>
      </w:r>
      <w:r w:rsidR="000C6634" w:rsidRPr="00ED4558">
        <w:rPr>
          <w:rFonts w:ascii="ITC Avant Garde" w:hAnsi="ITC Avant Garde"/>
          <w:spacing w:val="-4"/>
        </w:rPr>
        <w:t>es</w:t>
      </w:r>
      <w:r w:rsidRPr="00ED4558">
        <w:rPr>
          <w:rFonts w:ascii="ITC Avant Garde" w:hAnsi="ITC Avant Garde"/>
          <w:spacing w:val="-4"/>
        </w:rPr>
        <w:t xml:space="preserve"> determinó las tarifas por los Servicios de Interconexión que han resultado de la metodología para el cálculo de costos de interconexión de conformidad con la </w:t>
      </w:r>
      <w:proofErr w:type="spellStart"/>
      <w:r w:rsidRPr="00ED4558">
        <w:rPr>
          <w:rFonts w:ascii="ITC Avant Garde" w:hAnsi="ITC Avant Garde"/>
          <w:spacing w:val="-4"/>
        </w:rPr>
        <w:t>LFTyR</w:t>
      </w:r>
      <w:proofErr w:type="spellEnd"/>
      <w:r w:rsidRPr="00ED4558">
        <w:rPr>
          <w:rFonts w:ascii="ITC Avant Garde" w:hAnsi="ITC Avant Garde"/>
          <w:spacing w:val="-4"/>
        </w:rPr>
        <w:t>, y que utilizará para resolver los desacuerdos de interconexión que se presenten.</w:t>
      </w:r>
    </w:p>
    <w:p w14:paraId="429D1151" w14:textId="77777777" w:rsidR="00BC657C" w:rsidRPr="00ED4558" w:rsidRDefault="00BC657C" w:rsidP="00773BC1">
      <w:pPr>
        <w:spacing w:after="0"/>
        <w:jc w:val="both"/>
        <w:rPr>
          <w:rFonts w:ascii="ITC Avant Garde" w:hAnsi="ITC Avant Garde"/>
          <w:spacing w:val="-4"/>
        </w:rPr>
      </w:pPr>
    </w:p>
    <w:p w14:paraId="1EAE1D4E" w14:textId="77777777" w:rsidR="00BC657C" w:rsidRPr="00ED4558" w:rsidRDefault="00BC657C" w:rsidP="00773BC1">
      <w:pPr>
        <w:spacing w:after="0"/>
        <w:jc w:val="both"/>
        <w:rPr>
          <w:rFonts w:ascii="ITC Avant Garde" w:hAnsi="ITC Avant Garde"/>
          <w:spacing w:val="-4"/>
        </w:rPr>
      </w:pPr>
      <w:r w:rsidRPr="00ED4558">
        <w:rPr>
          <w:rFonts w:ascii="ITC Avant Garde" w:hAnsi="ITC Avant Garde"/>
          <w:spacing w:val="-4"/>
        </w:rPr>
        <w:t xml:space="preserve">En consecuencia, las tarifas de interconexión objeto del presente procedimiento, han sido determinadas por la autoridad en </w:t>
      </w:r>
      <w:r w:rsidR="000C6634" w:rsidRPr="00ED4558">
        <w:rPr>
          <w:rFonts w:ascii="ITC Avant Garde" w:hAnsi="ITC Avant Garde"/>
          <w:spacing w:val="-4"/>
        </w:rPr>
        <w:t>los</w:t>
      </w:r>
      <w:r w:rsidRPr="00ED4558">
        <w:rPr>
          <w:rFonts w:ascii="ITC Avant Garde" w:hAnsi="ITC Avant Garde"/>
          <w:spacing w:val="-4"/>
        </w:rPr>
        <w:t xml:space="preserve"> Acuerdo</w:t>
      </w:r>
      <w:r w:rsidR="000C6634" w:rsidRPr="00ED4558">
        <w:rPr>
          <w:rFonts w:ascii="ITC Avant Garde" w:hAnsi="ITC Avant Garde"/>
          <w:spacing w:val="-4"/>
        </w:rPr>
        <w:t>s</w:t>
      </w:r>
      <w:r w:rsidRPr="00ED4558">
        <w:rPr>
          <w:rFonts w:ascii="ITC Avant Garde" w:hAnsi="ITC Avant Garde"/>
          <w:spacing w:val="-4"/>
        </w:rPr>
        <w:t xml:space="preserve"> antes citado</w:t>
      </w:r>
      <w:r w:rsidR="000C6634" w:rsidRPr="00ED4558">
        <w:rPr>
          <w:rFonts w:ascii="ITC Avant Garde" w:hAnsi="ITC Avant Garde"/>
          <w:spacing w:val="-4"/>
        </w:rPr>
        <w:t>s</w:t>
      </w:r>
      <w:r w:rsidRPr="00ED4558">
        <w:rPr>
          <w:rFonts w:ascii="ITC Avant Garde" w:hAnsi="ITC Avant Garde"/>
          <w:spacing w:val="-4"/>
        </w:rPr>
        <w:t xml:space="preserve"> a partir de la aplicación de la metodología respectiva.</w:t>
      </w:r>
    </w:p>
    <w:p w14:paraId="18A6FAC0" w14:textId="77777777" w:rsidR="00BC657C" w:rsidRPr="00ED4558" w:rsidRDefault="00BC657C" w:rsidP="00773BC1">
      <w:pPr>
        <w:spacing w:after="0"/>
        <w:jc w:val="both"/>
        <w:rPr>
          <w:rFonts w:ascii="ITC Avant Garde" w:hAnsi="ITC Avant Garde"/>
          <w:spacing w:val="-4"/>
        </w:rPr>
      </w:pPr>
    </w:p>
    <w:p w14:paraId="58EE612E" w14:textId="77777777" w:rsidR="00BC657C" w:rsidRPr="00ED4558" w:rsidRDefault="00BC657C" w:rsidP="00773BC1">
      <w:pPr>
        <w:spacing w:after="0"/>
        <w:jc w:val="both"/>
        <w:rPr>
          <w:rFonts w:ascii="ITC Avant Garde" w:hAnsi="ITC Avant Garde"/>
          <w:spacing w:val="-4"/>
          <w:lang w:val="es-ES"/>
        </w:rPr>
      </w:pPr>
      <w:r w:rsidRPr="00ED4558">
        <w:rPr>
          <w:rFonts w:ascii="ITC Avant Garde" w:hAnsi="ITC Avant Garde"/>
          <w:spacing w:val="-4"/>
          <w:lang w:val="es-ES"/>
        </w:rPr>
        <w:t xml:space="preserve">En tal virtud, la tarifa por los Servicios de Interconexión que Telcel deberá pagar a </w:t>
      </w:r>
      <w:r w:rsidR="00084FDD" w:rsidRPr="00ED4558">
        <w:rPr>
          <w:rFonts w:ascii="ITC Avant Garde" w:hAnsi="ITC Avant Garde"/>
          <w:spacing w:val="-4"/>
          <w:lang w:val="es-ES"/>
        </w:rPr>
        <w:t xml:space="preserve">Cablevisión Red </w:t>
      </w:r>
      <w:r w:rsidRPr="00ED4558">
        <w:rPr>
          <w:rFonts w:ascii="ITC Avant Garde" w:hAnsi="ITC Avant Garde"/>
          <w:spacing w:val="-4"/>
          <w:lang w:val="es-ES"/>
        </w:rPr>
        <w:t xml:space="preserve">por </w:t>
      </w:r>
      <w:r w:rsidRPr="00ED4558">
        <w:rPr>
          <w:rFonts w:ascii="ITC Avant Garde" w:hAnsi="ITC Avant Garde"/>
          <w:spacing w:val="-4"/>
        </w:rPr>
        <w:t xml:space="preserve">los </w:t>
      </w:r>
      <w:r w:rsidRPr="00ED4558">
        <w:rPr>
          <w:rFonts w:ascii="ITC Avant Garde" w:hAnsi="ITC Avant Garde"/>
          <w:spacing w:val="-4"/>
          <w:lang w:val="es-ES"/>
        </w:rPr>
        <w:t>servicios de terminación del Servicio Local en usuarios fijos, será la siguiente:</w:t>
      </w:r>
    </w:p>
    <w:p w14:paraId="4C12FBD9" w14:textId="77777777" w:rsidR="00BC657C" w:rsidRPr="00ED4558" w:rsidRDefault="00BC657C" w:rsidP="00773BC1">
      <w:pPr>
        <w:spacing w:after="0"/>
        <w:jc w:val="both"/>
        <w:rPr>
          <w:rFonts w:ascii="ITC Avant Garde" w:hAnsi="ITC Avant Garde"/>
          <w:b/>
          <w:spacing w:val="-4"/>
          <w:lang w:val="es-ES"/>
        </w:rPr>
      </w:pPr>
    </w:p>
    <w:p w14:paraId="0F54A161" w14:textId="77777777" w:rsidR="00BC657C" w:rsidRPr="00ED4558" w:rsidRDefault="00BC657C" w:rsidP="00773BC1">
      <w:pPr>
        <w:pStyle w:val="Prrafodelista"/>
        <w:numPr>
          <w:ilvl w:val="0"/>
          <w:numId w:val="14"/>
        </w:numPr>
        <w:spacing w:line="276" w:lineRule="auto"/>
        <w:rPr>
          <w:rFonts w:ascii="ITC Avant Garde" w:hAnsi="ITC Avant Garde"/>
          <w:b/>
          <w:spacing w:val="-4"/>
          <w:szCs w:val="22"/>
          <w:lang w:val="es-ES_tradnl"/>
        </w:rPr>
      </w:pPr>
      <w:r w:rsidRPr="00ED4558">
        <w:rPr>
          <w:rFonts w:ascii="ITC Avant Garde" w:hAnsi="ITC Avant Garde"/>
          <w:b/>
          <w:spacing w:val="-4"/>
          <w:szCs w:val="22"/>
          <w:lang w:val="es-ES_tradnl"/>
        </w:rPr>
        <w:t xml:space="preserve">Del </w:t>
      </w:r>
      <w:r w:rsidR="00F3248E" w:rsidRPr="00ED4558">
        <w:rPr>
          <w:rFonts w:ascii="ITC Avant Garde" w:hAnsi="ITC Avant Garde"/>
          <w:b/>
          <w:spacing w:val="-4"/>
          <w:szCs w:val="22"/>
          <w:lang w:val="es-ES_tradnl"/>
        </w:rPr>
        <w:t>25</w:t>
      </w:r>
      <w:r w:rsidR="00F06942" w:rsidRPr="00ED4558">
        <w:rPr>
          <w:rFonts w:ascii="ITC Avant Garde" w:hAnsi="ITC Avant Garde"/>
          <w:b/>
          <w:spacing w:val="-4"/>
          <w:szCs w:val="22"/>
          <w:lang w:val="es-ES_tradnl"/>
        </w:rPr>
        <w:t xml:space="preserve"> de </w:t>
      </w:r>
      <w:r w:rsidR="00F3248E" w:rsidRPr="00ED4558">
        <w:rPr>
          <w:rFonts w:ascii="ITC Avant Garde" w:hAnsi="ITC Avant Garde"/>
          <w:b/>
          <w:spacing w:val="-4"/>
          <w:szCs w:val="22"/>
          <w:lang w:val="es-ES_tradnl"/>
        </w:rPr>
        <w:t>noviem</w:t>
      </w:r>
      <w:r w:rsidR="00F06942" w:rsidRPr="00ED4558">
        <w:rPr>
          <w:rFonts w:ascii="ITC Avant Garde" w:hAnsi="ITC Avant Garde"/>
          <w:b/>
          <w:spacing w:val="-4"/>
          <w:szCs w:val="22"/>
          <w:lang w:val="es-ES_tradnl"/>
        </w:rPr>
        <w:t>bre</w:t>
      </w:r>
      <w:r w:rsidRPr="00ED4558">
        <w:rPr>
          <w:rFonts w:ascii="ITC Avant Garde" w:hAnsi="ITC Avant Garde"/>
          <w:b/>
          <w:spacing w:val="-4"/>
          <w:szCs w:val="22"/>
          <w:lang w:val="es-ES_tradnl"/>
        </w:rPr>
        <w:t xml:space="preserve"> al 31 de diciembre de 2015, por servicios de terminación del Servicio Local en usuarios fijos, será de $0.004179 pesos M.N. por minuto de interconexión.</w:t>
      </w:r>
    </w:p>
    <w:p w14:paraId="3CBFCF25" w14:textId="77777777" w:rsidR="00BC657C" w:rsidRPr="00ED4558" w:rsidRDefault="00BC657C" w:rsidP="00773BC1">
      <w:pPr>
        <w:spacing w:after="0"/>
        <w:jc w:val="both"/>
        <w:rPr>
          <w:rFonts w:ascii="ITC Avant Garde" w:hAnsi="ITC Avant Garde" w:cs="Arial"/>
          <w:shd w:val="clear" w:color="auto" w:fill="FFFFFF"/>
        </w:rPr>
      </w:pPr>
    </w:p>
    <w:p w14:paraId="257A8E2B" w14:textId="77777777" w:rsidR="00B03B7B" w:rsidRPr="00ED4558" w:rsidRDefault="000C6634" w:rsidP="00C43D83">
      <w:pPr>
        <w:pStyle w:val="Prrafodelista"/>
        <w:numPr>
          <w:ilvl w:val="0"/>
          <w:numId w:val="14"/>
        </w:numPr>
        <w:spacing w:line="276" w:lineRule="auto"/>
        <w:rPr>
          <w:rFonts w:ascii="ITC Avant Garde" w:hAnsi="ITC Avant Garde" w:cs="Arial"/>
          <w:shd w:val="clear" w:color="auto" w:fill="FFFFFF"/>
        </w:rPr>
      </w:pPr>
      <w:r w:rsidRPr="00ED4558">
        <w:rPr>
          <w:rFonts w:ascii="ITC Avant Garde" w:hAnsi="ITC Avant Garde" w:cs="Arial"/>
          <w:b/>
          <w:shd w:val="clear" w:color="auto" w:fill="FFFFFF"/>
        </w:rPr>
        <w:t>Del</w:t>
      </w:r>
      <w:r w:rsidRPr="00ED4558">
        <w:rPr>
          <w:rFonts w:ascii="ITC Avant Garde" w:hAnsi="ITC Avant Garde" w:cs="Arial"/>
          <w:shd w:val="clear" w:color="auto" w:fill="FFFFFF"/>
        </w:rPr>
        <w:t xml:space="preserve"> </w:t>
      </w:r>
      <w:r w:rsidRPr="00ED4558">
        <w:rPr>
          <w:rFonts w:ascii="ITC Avant Garde" w:hAnsi="ITC Avant Garde" w:cs="Arial"/>
          <w:b/>
          <w:shd w:val="clear" w:color="auto" w:fill="FFFFFF"/>
          <w:lang w:val="es-ES_tradnl"/>
        </w:rPr>
        <w:t>1 de enero al 31 de diciembre de 2016, $0.003088 pesos M.N. por minuto de interconexión.</w:t>
      </w:r>
    </w:p>
    <w:p w14:paraId="69ACC549" w14:textId="77777777" w:rsidR="000C6634" w:rsidRPr="00ED4558" w:rsidRDefault="000C6634" w:rsidP="00773BC1">
      <w:pPr>
        <w:spacing w:after="0"/>
        <w:jc w:val="both"/>
        <w:rPr>
          <w:rFonts w:ascii="ITC Avant Garde" w:hAnsi="ITC Avant Garde" w:cs="Arial"/>
          <w:shd w:val="clear" w:color="auto" w:fill="FFFFFF"/>
        </w:rPr>
      </w:pPr>
    </w:p>
    <w:p w14:paraId="24196E2B" w14:textId="77777777" w:rsidR="00BC657C" w:rsidRPr="00ED4558" w:rsidRDefault="00764F1E" w:rsidP="00773BC1">
      <w:pPr>
        <w:spacing w:after="0"/>
        <w:jc w:val="both"/>
        <w:rPr>
          <w:rFonts w:ascii="ITC Avant Garde" w:hAnsi="ITC Avant Garde" w:cs="Arial"/>
        </w:rPr>
      </w:pPr>
      <w:r w:rsidRPr="00ED4558">
        <w:rPr>
          <w:rFonts w:ascii="ITC Avant Garde" w:hAnsi="ITC Avant Garde" w:cs="Arial"/>
        </w:rPr>
        <w:t>D</w:t>
      </w:r>
      <w:r w:rsidR="00BC657C" w:rsidRPr="00ED4558">
        <w:rPr>
          <w:rFonts w:ascii="ITC Avant Garde" w:hAnsi="ITC Avant Garde" w:cs="Arial"/>
        </w:rPr>
        <w:t>icha</w:t>
      </w:r>
      <w:r w:rsidR="000C6634" w:rsidRPr="00ED4558">
        <w:rPr>
          <w:rFonts w:ascii="ITC Avant Garde" w:hAnsi="ITC Avant Garde" w:cs="Arial"/>
        </w:rPr>
        <w:t>s</w:t>
      </w:r>
      <w:r w:rsidR="00BC657C" w:rsidRPr="00ED4558">
        <w:rPr>
          <w:rFonts w:ascii="ITC Avant Garde" w:hAnsi="ITC Avant Garde" w:cs="Arial"/>
        </w:rPr>
        <w:t xml:space="preserve"> tarifa</w:t>
      </w:r>
      <w:r w:rsidR="000C6634" w:rsidRPr="00ED4558">
        <w:rPr>
          <w:rFonts w:ascii="ITC Avant Garde" w:hAnsi="ITC Avant Garde" w:cs="Arial"/>
        </w:rPr>
        <w:t>s</w:t>
      </w:r>
      <w:r w:rsidR="00BC657C" w:rsidRPr="00ED4558">
        <w:rPr>
          <w:rFonts w:ascii="ITC Avant Garde" w:hAnsi="ITC Avant Garde" w:cs="Arial"/>
        </w:rPr>
        <w:t xml:space="preserve"> ya incluye</w:t>
      </w:r>
      <w:r w:rsidR="000C6634" w:rsidRPr="00ED4558">
        <w:rPr>
          <w:rFonts w:ascii="ITC Avant Garde" w:hAnsi="ITC Avant Garde" w:cs="Arial"/>
        </w:rPr>
        <w:t>n</w:t>
      </w:r>
      <w:r w:rsidR="00BC657C" w:rsidRPr="00ED4558">
        <w:rPr>
          <w:rFonts w:ascii="ITC Avant Garde" w:hAnsi="ITC Avant Garde" w:cs="Arial"/>
        </w:rPr>
        <w:t xml:space="preserve"> el costo correspondiente a los puertos necesarios para la interconexión.</w:t>
      </w:r>
    </w:p>
    <w:p w14:paraId="7EA429A1" w14:textId="77777777" w:rsidR="00BC657C" w:rsidRPr="00ED4558" w:rsidRDefault="00BC657C" w:rsidP="00773BC1">
      <w:pPr>
        <w:spacing w:after="0"/>
        <w:jc w:val="both"/>
        <w:rPr>
          <w:rFonts w:ascii="ITC Avant Garde" w:hAnsi="ITC Avant Garde"/>
          <w:spacing w:val="-4"/>
        </w:rPr>
      </w:pPr>
    </w:p>
    <w:p w14:paraId="7ADE06A9" w14:textId="605FA222" w:rsidR="00BC657C" w:rsidRPr="00ED4558" w:rsidRDefault="004B5DDA" w:rsidP="00773BC1">
      <w:pPr>
        <w:spacing w:after="0"/>
        <w:jc w:val="both"/>
        <w:rPr>
          <w:rFonts w:ascii="ITC Avant Garde" w:hAnsi="ITC Avant Garde"/>
          <w:spacing w:val="-4"/>
        </w:rPr>
      </w:pPr>
      <w:r w:rsidRPr="00ED4558">
        <w:rPr>
          <w:rFonts w:ascii="ITC Avant Garde" w:hAnsi="ITC Avant Garde"/>
          <w:spacing w:val="-4"/>
        </w:rPr>
        <w:t>Cabe señalar que</w:t>
      </w:r>
      <w:r w:rsidR="00BC657C" w:rsidRPr="00ED4558">
        <w:rPr>
          <w:rFonts w:ascii="ITC Avant Garde" w:hAnsi="ITC Avant Garde"/>
          <w:spacing w:val="-4"/>
        </w:rPr>
        <w:t xml:space="preserve"> el propio Acuerdo de Tarifas 2015 establece que en términos de lo dispuesto por el artículo Vigésimo Transitorio del Decreto de Ley, el Instituto resolverá los diferendos que se promuevan sobre las tarifas de interconexión por servicios prestados en el 2015 con base en las tarifas señaladas, mismas que serán aplicables desde su resolución, esto es del </w:t>
      </w:r>
      <w:r w:rsidR="00F3248E" w:rsidRPr="00ED4558">
        <w:rPr>
          <w:rFonts w:ascii="ITC Avant Garde" w:hAnsi="ITC Avant Garde"/>
          <w:spacing w:val="-4"/>
        </w:rPr>
        <w:t>25</w:t>
      </w:r>
      <w:r w:rsidR="004A259C" w:rsidRPr="00ED4558">
        <w:rPr>
          <w:rFonts w:ascii="ITC Avant Garde" w:hAnsi="ITC Avant Garde"/>
          <w:spacing w:val="-4"/>
        </w:rPr>
        <w:t xml:space="preserve"> de </w:t>
      </w:r>
      <w:r w:rsidR="00F3248E" w:rsidRPr="00ED4558">
        <w:rPr>
          <w:rFonts w:ascii="ITC Avant Garde" w:hAnsi="ITC Avant Garde"/>
          <w:spacing w:val="-4"/>
        </w:rPr>
        <w:t>noviembre</w:t>
      </w:r>
      <w:r w:rsidR="00BC657C" w:rsidRPr="00ED4558">
        <w:rPr>
          <w:rFonts w:ascii="ITC Avant Garde" w:hAnsi="ITC Avant Garde"/>
          <w:spacing w:val="-4"/>
        </w:rPr>
        <w:t xml:space="preserve"> al 31 de diciembre de 2015. </w:t>
      </w:r>
    </w:p>
    <w:p w14:paraId="32B2874B" w14:textId="77777777" w:rsidR="00BC657C" w:rsidRPr="00ED4558" w:rsidRDefault="00BC657C" w:rsidP="00773BC1">
      <w:pPr>
        <w:spacing w:after="0"/>
        <w:jc w:val="both"/>
        <w:rPr>
          <w:rFonts w:ascii="ITC Avant Garde" w:hAnsi="ITC Avant Garde"/>
          <w:spacing w:val="-4"/>
        </w:rPr>
      </w:pPr>
    </w:p>
    <w:p w14:paraId="05FD1281" w14:textId="77777777" w:rsidR="00BC657C" w:rsidRPr="00ED4558" w:rsidRDefault="00BC657C" w:rsidP="00773BC1">
      <w:pPr>
        <w:spacing w:after="0"/>
        <w:jc w:val="both"/>
        <w:rPr>
          <w:rFonts w:ascii="ITC Avant Garde" w:hAnsi="ITC Avant Garde"/>
          <w:spacing w:val="-4"/>
        </w:rPr>
      </w:pPr>
      <w:r w:rsidRPr="00ED4558">
        <w:rPr>
          <w:rFonts w:ascii="ITC Avant Garde" w:hAnsi="ITC Avant Garde"/>
          <w:spacing w:val="-4"/>
        </w:rPr>
        <w:t>Esto es, en el Artículo Vigésimo Transitorio del Decreto de Ley, que a la letra señala:</w:t>
      </w:r>
    </w:p>
    <w:p w14:paraId="58BB9290" w14:textId="77777777" w:rsidR="00BC657C" w:rsidRPr="00ED4558" w:rsidRDefault="00BC657C" w:rsidP="00773BC1">
      <w:pPr>
        <w:spacing w:after="0"/>
        <w:jc w:val="both"/>
        <w:rPr>
          <w:rFonts w:ascii="ITC Avant Garde" w:hAnsi="ITC Avant Garde"/>
          <w:spacing w:val="-4"/>
        </w:rPr>
      </w:pPr>
    </w:p>
    <w:p w14:paraId="2EF284E4" w14:textId="77777777" w:rsidR="00BC657C" w:rsidRPr="00ED4558" w:rsidRDefault="00BC657C" w:rsidP="00773BC1">
      <w:pPr>
        <w:spacing w:after="0"/>
        <w:ind w:left="567" w:right="615"/>
        <w:jc w:val="both"/>
        <w:rPr>
          <w:rFonts w:ascii="ITC Avant Garde" w:hAnsi="ITC Avant Garde"/>
          <w:b/>
          <w:i/>
          <w:spacing w:val="-4"/>
          <w:sz w:val="16"/>
        </w:rPr>
      </w:pPr>
      <w:r w:rsidRPr="00ED4558">
        <w:rPr>
          <w:rFonts w:ascii="ITC Avant Garde" w:hAnsi="ITC Avant Garde"/>
          <w:b/>
          <w:i/>
          <w:spacing w:val="-4"/>
          <w:sz w:val="16"/>
        </w:rPr>
        <w:t>“VIGÉSIMO. […]</w:t>
      </w:r>
    </w:p>
    <w:p w14:paraId="28E0EBDB" w14:textId="77777777" w:rsidR="00BC657C" w:rsidRPr="00ED4558" w:rsidRDefault="00BC657C" w:rsidP="00773BC1">
      <w:pPr>
        <w:spacing w:after="0"/>
        <w:ind w:left="567" w:right="615"/>
        <w:jc w:val="both"/>
        <w:rPr>
          <w:rFonts w:ascii="ITC Avant Garde" w:hAnsi="ITC Avant Garde"/>
          <w:b/>
          <w:i/>
          <w:spacing w:val="-4"/>
          <w:sz w:val="16"/>
        </w:rPr>
      </w:pPr>
    </w:p>
    <w:p w14:paraId="57C4FFE8" w14:textId="77777777" w:rsidR="00BC657C" w:rsidRPr="00ED4558" w:rsidRDefault="00BC657C" w:rsidP="00773BC1">
      <w:pPr>
        <w:spacing w:after="0"/>
        <w:ind w:left="567" w:right="615"/>
        <w:jc w:val="both"/>
        <w:rPr>
          <w:rFonts w:ascii="ITC Avant Garde" w:hAnsi="ITC Avant Garde"/>
          <w:i/>
          <w:spacing w:val="-4"/>
          <w:sz w:val="16"/>
        </w:rPr>
      </w:pPr>
      <w:r w:rsidRPr="00ED4558">
        <w:rPr>
          <w:rFonts w:ascii="ITC Avant Garde" w:hAnsi="ITC Avant Garde"/>
          <w:i/>
          <w:spacing w:val="-4"/>
          <w:sz w:val="16"/>
        </w:rPr>
        <w:t>Para efectos de lo dispuesto en el inciso b) del artículo 131 de la Ley Federal de Telecomunicaciones y Radiodifusión, y hasta en tanto los concesionarios a que se refiere ese inciso no acuerden las tarifas de interconexión correspondientes o, en su caso, el Instituto no resuelva cualquier disputa respecto de dichas tarifas, seguirán en vigor las que actualmente aplican, salvo tratándose del agente económico al que se refiere le párrafo segundo del artículo 131 de la Ley en cita, al que le será aplicable el inciso a) del mismo artículo.”</w:t>
      </w:r>
    </w:p>
    <w:p w14:paraId="3B9A4ED5" w14:textId="77777777" w:rsidR="00BC657C" w:rsidRPr="00ED4558" w:rsidRDefault="00BC657C" w:rsidP="00773BC1">
      <w:pPr>
        <w:spacing w:after="0"/>
        <w:jc w:val="both"/>
        <w:rPr>
          <w:rFonts w:ascii="ITC Avant Garde" w:hAnsi="ITC Avant Garde"/>
          <w:spacing w:val="-4"/>
        </w:rPr>
      </w:pPr>
    </w:p>
    <w:p w14:paraId="29CF1C45" w14:textId="77777777" w:rsidR="00BC657C" w:rsidRPr="00ED4558" w:rsidRDefault="00BC657C" w:rsidP="00773BC1">
      <w:pPr>
        <w:spacing w:after="0"/>
        <w:jc w:val="both"/>
        <w:rPr>
          <w:rFonts w:ascii="ITC Avant Garde" w:hAnsi="ITC Avant Garde" w:cs="Arial"/>
        </w:rPr>
      </w:pPr>
      <w:r w:rsidRPr="00ED4558">
        <w:rPr>
          <w:rFonts w:ascii="ITC Avant Garde" w:hAnsi="ITC Avant Garde" w:cs="Arial"/>
        </w:rPr>
        <w:t xml:space="preserve">El inciso b) del artículo 131 de la </w:t>
      </w:r>
      <w:proofErr w:type="spellStart"/>
      <w:r w:rsidRPr="00ED4558">
        <w:rPr>
          <w:rFonts w:ascii="ITC Avant Garde" w:hAnsi="ITC Avant Garde" w:cs="Arial"/>
        </w:rPr>
        <w:t>LFTyR</w:t>
      </w:r>
      <w:proofErr w:type="spellEnd"/>
      <w:r w:rsidRPr="00ED4558">
        <w:rPr>
          <w:rFonts w:ascii="ITC Avant Garde" w:hAnsi="ITC Avant Garde" w:cs="Arial"/>
        </w:rPr>
        <w:t xml:space="preserve"> se refiere a las tarifas de interconexión aplicables a los concesionarios distintos al agente económico preponderante, para las cuales</w:t>
      </w:r>
      <w:r w:rsidRPr="00ED4558">
        <w:rPr>
          <w:rFonts w:ascii="ITC Avant Garde" w:hAnsi="ITC Avant Garde"/>
          <w:i/>
          <w:spacing w:val="-4"/>
        </w:rPr>
        <w:t xml:space="preserve"> </w:t>
      </w:r>
      <w:r w:rsidRPr="00ED4558">
        <w:rPr>
          <w:rFonts w:ascii="ITC Avant Garde" w:hAnsi="ITC Avant Garde" w:cs="Arial"/>
        </w:rPr>
        <w:t>hasta en tanto los concesionarios a que se refiere ese inciso no acuerden las tarifas de interconexión correspondientes o, en su caso, el Instituto no resuelva cualquier disputa respecto de dichas tarifas, seguirán en vigor las que resulten aplicables para el periodo previo a la determinación correspondiente, ya sea por convenio de las partes o determinación del Instituto.</w:t>
      </w:r>
    </w:p>
    <w:p w14:paraId="097C4335" w14:textId="77777777" w:rsidR="00BC657C" w:rsidRPr="00ED4558" w:rsidRDefault="00BC657C" w:rsidP="00773BC1">
      <w:pPr>
        <w:spacing w:after="0"/>
        <w:jc w:val="both"/>
        <w:rPr>
          <w:rFonts w:ascii="ITC Avant Garde" w:hAnsi="ITC Avant Garde" w:cs="Arial"/>
        </w:rPr>
      </w:pPr>
    </w:p>
    <w:p w14:paraId="7F2B0E4F" w14:textId="77777777" w:rsidR="004A79C1" w:rsidRPr="00ED4558" w:rsidRDefault="00FA2AFC" w:rsidP="004A79C1">
      <w:pPr>
        <w:spacing w:after="0"/>
        <w:jc w:val="both"/>
        <w:rPr>
          <w:rFonts w:ascii="ITC Avant Garde" w:hAnsi="ITC Avant Garde"/>
        </w:rPr>
      </w:pPr>
      <w:r w:rsidRPr="00ED4558">
        <w:rPr>
          <w:rFonts w:ascii="ITC Avant Garde" w:hAnsi="ITC Avant Garde"/>
        </w:rPr>
        <w:t xml:space="preserve">De esta forma </w:t>
      </w:r>
      <w:r w:rsidR="00BC657C" w:rsidRPr="00ED4558">
        <w:rPr>
          <w:rFonts w:ascii="ITC Avant Garde" w:hAnsi="ITC Avant Garde"/>
        </w:rPr>
        <w:t xml:space="preserve">desde el 1º de enero de 2015 hasta el </w:t>
      </w:r>
      <w:r w:rsidR="00F3248E" w:rsidRPr="00ED4558">
        <w:rPr>
          <w:rFonts w:ascii="ITC Avant Garde" w:hAnsi="ITC Avant Garde"/>
        </w:rPr>
        <w:t>24</w:t>
      </w:r>
      <w:r w:rsidR="00BC657C" w:rsidRPr="00ED4558">
        <w:rPr>
          <w:rFonts w:ascii="ITC Avant Garde" w:hAnsi="ITC Avant Garde"/>
        </w:rPr>
        <w:t xml:space="preserve"> de </w:t>
      </w:r>
      <w:r w:rsidR="00F3248E" w:rsidRPr="00ED4558">
        <w:rPr>
          <w:rFonts w:ascii="ITC Avant Garde" w:hAnsi="ITC Avant Garde"/>
        </w:rPr>
        <w:t>noviembre</w:t>
      </w:r>
      <w:r w:rsidR="00BC657C" w:rsidRPr="00ED4558">
        <w:rPr>
          <w:rFonts w:ascii="ITC Avant Garde" w:hAnsi="ITC Avant Garde"/>
        </w:rPr>
        <w:t xml:space="preserve"> de 2015, tratándose del servicio de terminación del Servicio Local en usuarios fijos</w:t>
      </w:r>
      <w:r w:rsidR="004A79C1" w:rsidRPr="00ED4558">
        <w:rPr>
          <w:rFonts w:ascii="ITC Avant Garde" w:hAnsi="ITC Avant Garde"/>
        </w:rPr>
        <w:t xml:space="preserve"> de </w:t>
      </w:r>
      <w:r w:rsidR="00BC7EE5" w:rsidRPr="00ED4558">
        <w:rPr>
          <w:rFonts w:ascii="ITC Avant Garde" w:hAnsi="ITC Avant Garde"/>
        </w:rPr>
        <w:t xml:space="preserve">Cablevisión Red </w:t>
      </w:r>
      <w:r w:rsidR="004A79C1" w:rsidRPr="00ED4558">
        <w:rPr>
          <w:rFonts w:ascii="ITC Avant Garde" w:hAnsi="ITC Avant Garde"/>
        </w:rPr>
        <w:t>deberá hacer extensiva la tarifa aplicable a la entrada en vigor de la Ley Federal de Telecomunicaciones y Radiodifusión.</w:t>
      </w:r>
    </w:p>
    <w:p w14:paraId="31D0E689" w14:textId="77777777" w:rsidR="004A79C1" w:rsidRPr="00ED4558" w:rsidRDefault="004A79C1" w:rsidP="004A79C1">
      <w:pPr>
        <w:spacing w:after="0"/>
        <w:jc w:val="both"/>
        <w:rPr>
          <w:rFonts w:ascii="ITC Avant Garde" w:hAnsi="ITC Avant Garde"/>
        </w:rPr>
      </w:pPr>
    </w:p>
    <w:p w14:paraId="3628D6BC" w14:textId="77777777" w:rsidR="00BC657C" w:rsidRPr="00ED4558" w:rsidRDefault="00BC657C" w:rsidP="004A79C1">
      <w:pPr>
        <w:spacing w:after="0"/>
        <w:jc w:val="both"/>
        <w:rPr>
          <w:rFonts w:ascii="ITC Avant Garde" w:hAnsi="ITC Avant Garde"/>
        </w:rPr>
      </w:pPr>
      <w:r w:rsidRPr="00ED4558">
        <w:rPr>
          <w:rFonts w:ascii="ITC Avant Garde" w:hAnsi="ITC Avant Garde"/>
        </w:rPr>
        <w:t>Respecto al argumento de Telcel en el sentido de que el Instituto no debe dejar de resolver desacuerdos existentes, o que en estos se resuelva menos de lo que se pide, el mismo se encuentra atendido, pues atentos al principio de exhaustividad debe resolverse de forma integral la cuestión sometida a la potestad del Instituto, sin que ello llegue al extremo de conceder lo peticionado, sino resolver la totalidad de cuestiones hechas valer, en este sentido, con la presente resolución se resuelve en términos de la ley vigente</w:t>
      </w:r>
      <w:r w:rsidR="00BC7EE5" w:rsidRPr="00ED4558">
        <w:rPr>
          <w:rFonts w:ascii="ITC Avant Garde" w:hAnsi="ITC Avant Garde"/>
        </w:rPr>
        <w:t>,</w:t>
      </w:r>
      <w:r w:rsidRPr="00ED4558">
        <w:rPr>
          <w:rFonts w:ascii="ITC Avant Garde" w:hAnsi="ITC Avant Garde"/>
        </w:rPr>
        <w:t xml:space="preserve"> la totalidad de los periodos solicitados por Telcel, esto es, para el periodo </w:t>
      </w:r>
      <w:r w:rsidRPr="00ED4558">
        <w:rPr>
          <w:rFonts w:ascii="ITC Avant Garde" w:hAnsi="ITC Avant Garde"/>
        </w:rPr>
        <w:lastRenderedPageBreak/>
        <w:t>comprendido del 1 de enero al 31 de diciembre de 2015 y del 1 de enero al 31 de diciembre de 2016.</w:t>
      </w:r>
    </w:p>
    <w:p w14:paraId="57C2B047" w14:textId="77777777" w:rsidR="00BC657C" w:rsidRPr="00ED4558" w:rsidRDefault="00BC657C" w:rsidP="00773BC1">
      <w:pPr>
        <w:spacing w:after="0"/>
        <w:jc w:val="both"/>
        <w:rPr>
          <w:rFonts w:ascii="ITC Avant Garde" w:hAnsi="ITC Avant Garde"/>
        </w:rPr>
      </w:pPr>
    </w:p>
    <w:p w14:paraId="62F186A8" w14:textId="77777777" w:rsidR="00BC657C" w:rsidRPr="00ED4558" w:rsidRDefault="00BC657C" w:rsidP="00773BC1">
      <w:pPr>
        <w:spacing w:after="0"/>
        <w:jc w:val="both"/>
        <w:rPr>
          <w:rFonts w:ascii="ITC Avant Garde" w:hAnsi="ITC Avant Garde"/>
        </w:rPr>
      </w:pPr>
      <w:r w:rsidRPr="00ED4558">
        <w:rPr>
          <w:rFonts w:ascii="ITC Avant Garde" w:hAnsi="ITC Avant Garde"/>
        </w:rPr>
        <w:t>En efecto, este Instituto ni resuelve más allá de lo solicitado, ni deja de resolver lo pedido, es así que el hecho de que para el periodo 2015 se aplique el Vigésimo Transitorio no quiere decir que se está dejando de resolver lo solicitado por Telcel, por el contrario y en términos de ley</w:t>
      </w:r>
      <w:r w:rsidR="00410639" w:rsidRPr="00ED4558">
        <w:rPr>
          <w:rFonts w:ascii="ITC Avant Garde" w:hAnsi="ITC Avant Garde"/>
        </w:rPr>
        <w:t>,</w:t>
      </w:r>
      <w:r w:rsidRPr="00ED4558">
        <w:rPr>
          <w:rFonts w:ascii="ITC Avant Garde" w:hAnsi="ITC Avant Garde"/>
        </w:rPr>
        <w:t xml:space="preserve"> en la presente resolución se resuelve de forma exhaustiva por cuanto hace a dicho periodo, sólo que si bien se refiere al Vigésimo Transitori</w:t>
      </w:r>
      <w:r w:rsidR="004A6726" w:rsidRPr="00ED4558">
        <w:rPr>
          <w:rFonts w:ascii="ITC Avant Garde" w:hAnsi="ITC Avant Garde"/>
        </w:rPr>
        <w:t xml:space="preserve">o es porque se está cumpliendo </w:t>
      </w:r>
      <w:r w:rsidRPr="00ED4558">
        <w:rPr>
          <w:rFonts w:ascii="ITC Avant Garde" w:hAnsi="ITC Avant Garde"/>
        </w:rPr>
        <w:t>con el principio general de derecho que establece que la autoridad sólo puede hacer lo que la ley le permite, luego entonces, si la legislación vigente establece la aplicación de dicho artículo transitorio al caso concreto, es dable que se está resolviendo lo solicitado, cumpliendo así con el principio de legalidad y seguridad jurídica.</w:t>
      </w:r>
    </w:p>
    <w:p w14:paraId="66C7C654" w14:textId="77777777" w:rsidR="00B662C1" w:rsidRPr="00ED4558" w:rsidRDefault="00B662C1" w:rsidP="00773BC1">
      <w:pPr>
        <w:spacing w:after="0"/>
        <w:jc w:val="both"/>
        <w:rPr>
          <w:rFonts w:ascii="ITC Avant Garde" w:eastAsia="Times New Roman" w:hAnsi="ITC Avant Garde"/>
          <w:lang w:eastAsia="es-ES"/>
        </w:rPr>
      </w:pPr>
    </w:p>
    <w:p w14:paraId="1910628E" w14:textId="77777777" w:rsidR="00A61062" w:rsidRPr="00ED4558" w:rsidRDefault="005A603D" w:rsidP="00773BC1">
      <w:pPr>
        <w:spacing w:after="0"/>
        <w:jc w:val="both"/>
        <w:rPr>
          <w:rFonts w:ascii="ITC Avant Garde" w:eastAsia="Times New Roman" w:hAnsi="ITC Avant Garde"/>
          <w:b/>
          <w:szCs w:val="24"/>
          <w:lang w:eastAsia="es-ES"/>
        </w:rPr>
      </w:pPr>
      <w:r w:rsidRPr="00ED4558">
        <w:rPr>
          <w:rFonts w:ascii="ITC Avant Garde" w:eastAsia="Times New Roman" w:hAnsi="ITC Avant Garde"/>
          <w:b/>
          <w:szCs w:val="24"/>
          <w:lang w:eastAsia="es-ES"/>
        </w:rPr>
        <w:t xml:space="preserve">2. Determinación del tráfico terminado para el pago de contraprestaciones </w:t>
      </w:r>
    </w:p>
    <w:p w14:paraId="24A1937D" w14:textId="77777777" w:rsidR="00A61062" w:rsidRPr="00ED4558" w:rsidRDefault="00A61062" w:rsidP="00773BC1">
      <w:pPr>
        <w:spacing w:after="0"/>
        <w:jc w:val="both"/>
        <w:rPr>
          <w:rFonts w:ascii="ITC Avant Garde" w:eastAsia="Times New Roman" w:hAnsi="ITC Avant Garde"/>
          <w:szCs w:val="24"/>
          <w:lang w:eastAsia="es-ES"/>
        </w:rPr>
      </w:pPr>
    </w:p>
    <w:p w14:paraId="65A3FB33" w14:textId="77777777" w:rsidR="005A603D" w:rsidRPr="00ED4558" w:rsidRDefault="005A603D" w:rsidP="00773BC1">
      <w:pPr>
        <w:spacing w:after="0"/>
        <w:jc w:val="both"/>
        <w:rPr>
          <w:rFonts w:ascii="ITC Avant Garde" w:eastAsia="Times New Roman" w:hAnsi="ITC Avant Garde"/>
          <w:b/>
          <w:szCs w:val="24"/>
          <w:lang w:eastAsia="es-ES"/>
        </w:rPr>
      </w:pPr>
      <w:r w:rsidRPr="00ED4558">
        <w:rPr>
          <w:rFonts w:ascii="ITC Avant Garde" w:eastAsia="Times New Roman" w:hAnsi="ITC Avant Garde"/>
          <w:b/>
          <w:szCs w:val="24"/>
          <w:lang w:eastAsia="es-ES"/>
        </w:rPr>
        <w:t>Argumentos de las partes</w:t>
      </w:r>
    </w:p>
    <w:p w14:paraId="5EE8B6BB" w14:textId="77777777" w:rsidR="005A603D" w:rsidRPr="00ED4558" w:rsidRDefault="005A603D" w:rsidP="00773BC1">
      <w:pPr>
        <w:spacing w:after="0"/>
        <w:jc w:val="both"/>
        <w:rPr>
          <w:rFonts w:ascii="ITC Avant Garde" w:eastAsia="Times New Roman" w:hAnsi="ITC Avant Garde"/>
          <w:szCs w:val="24"/>
          <w:lang w:eastAsia="es-ES"/>
        </w:rPr>
      </w:pPr>
    </w:p>
    <w:p w14:paraId="20B710A8" w14:textId="77777777" w:rsidR="005A603D" w:rsidRPr="00ED4558" w:rsidRDefault="00410639" w:rsidP="00773BC1">
      <w:pPr>
        <w:spacing w:after="0"/>
        <w:jc w:val="both"/>
        <w:rPr>
          <w:rFonts w:ascii="ITC Avant Garde" w:hAnsi="ITC Avant Garde"/>
        </w:rPr>
      </w:pPr>
      <w:r w:rsidRPr="00ED4558">
        <w:rPr>
          <w:rFonts w:ascii="ITC Avant Garde" w:eastAsia="Times New Roman" w:hAnsi="ITC Avant Garde"/>
          <w:szCs w:val="24"/>
          <w:lang w:eastAsia="es-ES"/>
        </w:rPr>
        <w:t xml:space="preserve">El apoderado legal de Cablevisión Red </w:t>
      </w:r>
      <w:proofErr w:type="gramStart"/>
      <w:r w:rsidR="005A603D" w:rsidRPr="00ED4558">
        <w:rPr>
          <w:rFonts w:ascii="ITC Avant Garde" w:eastAsia="Times New Roman" w:hAnsi="ITC Avant Garde"/>
          <w:szCs w:val="24"/>
          <w:lang w:eastAsia="es-ES"/>
        </w:rPr>
        <w:t xml:space="preserve">manifiesta </w:t>
      </w:r>
      <w:r w:rsidR="00A61062" w:rsidRPr="00ED4558">
        <w:rPr>
          <w:rFonts w:ascii="ITC Avant Garde" w:eastAsia="Times New Roman" w:hAnsi="ITC Avant Garde"/>
          <w:szCs w:val="24"/>
          <w:lang w:eastAsia="es-ES"/>
        </w:rPr>
        <w:t xml:space="preserve"> que</w:t>
      </w:r>
      <w:proofErr w:type="gramEnd"/>
      <w:r w:rsidR="00A61062" w:rsidRPr="00ED4558">
        <w:rPr>
          <w:rFonts w:ascii="ITC Avant Garde" w:eastAsia="Times New Roman" w:hAnsi="ITC Avant Garde"/>
          <w:szCs w:val="24"/>
          <w:lang w:eastAsia="es-ES"/>
        </w:rPr>
        <w:t xml:space="preserve"> las </w:t>
      </w:r>
      <w:r w:rsidR="00A61062" w:rsidRPr="00ED4558">
        <w:rPr>
          <w:rFonts w:ascii="ITC Avant Garde" w:hAnsi="ITC Avant Garde"/>
        </w:rPr>
        <w:t xml:space="preserve">contraprestaciones que Telcel deba pagar a </w:t>
      </w:r>
      <w:r w:rsidRPr="00ED4558">
        <w:rPr>
          <w:rFonts w:ascii="ITC Avant Garde" w:hAnsi="ITC Avant Garde"/>
        </w:rPr>
        <w:t xml:space="preserve">Cablevisión Red por </w:t>
      </w:r>
      <w:r w:rsidR="00A61062" w:rsidRPr="00ED4558">
        <w:rPr>
          <w:rFonts w:ascii="ITC Avant Garde" w:hAnsi="ITC Avant Garde"/>
        </w:rPr>
        <w:t xml:space="preserve">los servicios </w:t>
      </w:r>
      <w:r w:rsidRPr="00ED4558">
        <w:rPr>
          <w:rFonts w:ascii="ITC Avant Garde" w:hAnsi="ITC Avant Garde"/>
        </w:rPr>
        <w:t xml:space="preserve">de interconexión </w:t>
      </w:r>
      <w:r w:rsidR="00A61062" w:rsidRPr="00ED4558">
        <w:rPr>
          <w:rFonts w:ascii="ITC Avant Garde" w:hAnsi="ITC Avant Garde"/>
        </w:rPr>
        <w:t xml:space="preserve">se determinarán con base en la duración real de las llamadas, sin redondeo al minuto siguiente, debiendo para tal efecto sumar la duración de todas las llamadas completadas en el periodo de facturación correspondiente, medidas en segundos, y multiplicar los minutos equivalente a dicha suma, por la tarifa correspondiente. </w:t>
      </w:r>
    </w:p>
    <w:p w14:paraId="2A06C603" w14:textId="77777777" w:rsidR="00BD09FD" w:rsidRPr="00ED4558" w:rsidRDefault="00BD09FD" w:rsidP="00773BC1">
      <w:pPr>
        <w:spacing w:after="0"/>
        <w:jc w:val="both"/>
        <w:rPr>
          <w:rFonts w:ascii="ITC Avant Garde" w:hAnsi="ITC Avant Garde"/>
        </w:rPr>
      </w:pPr>
    </w:p>
    <w:p w14:paraId="60E737C8" w14:textId="77777777" w:rsidR="005A603D" w:rsidRPr="00ED4558" w:rsidRDefault="005A603D" w:rsidP="00773BC1">
      <w:pPr>
        <w:spacing w:after="0"/>
        <w:jc w:val="both"/>
        <w:rPr>
          <w:rFonts w:ascii="ITC Avant Garde" w:eastAsia="Times New Roman" w:hAnsi="ITC Avant Garde"/>
          <w:b/>
          <w:szCs w:val="24"/>
          <w:lang w:eastAsia="es-ES"/>
        </w:rPr>
      </w:pPr>
      <w:r w:rsidRPr="00ED4558">
        <w:rPr>
          <w:rFonts w:ascii="ITC Avant Garde" w:eastAsia="Times New Roman" w:hAnsi="ITC Avant Garde"/>
          <w:b/>
          <w:szCs w:val="24"/>
          <w:lang w:eastAsia="es-ES"/>
        </w:rPr>
        <w:t>Consideraciones del Instituto</w:t>
      </w:r>
    </w:p>
    <w:p w14:paraId="2153D391" w14:textId="77777777" w:rsidR="005A603D" w:rsidRPr="00ED4558" w:rsidRDefault="005A603D" w:rsidP="00773BC1">
      <w:pPr>
        <w:spacing w:after="0"/>
        <w:jc w:val="both"/>
        <w:rPr>
          <w:rFonts w:ascii="ITC Avant Garde" w:eastAsia="Times New Roman" w:hAnsi="ITC Avant Garde"/>
          <w:szCs w:val="24"/>
          <w:lang w:eastAsia="es-ES"/>
        </w:rPr>
      </w:pPr>
    </w:p>
    <w:p w14:paraId="27E82856" w14:textId="77777777" w:rsidR="005A603D" w:rsidRPr="00ED4558" w:rsidRDefault="005A603D" w:rsidP="00773BC1">
      <w:pPr>
        <w:spacing w:after="0"/>
        <w:jc w:val="both"/>
        <w:rPr>
          <w:rFonts w:ascii="ITC Avant Garde" w:eastAsia="Times New Roman" w:hAnsi="ITC Avant Garde"/>
        </w:rPr>
      </w:pPr>
      <w:r w:rsidRPr="00ED4558">
        <w:rPr>
          <w:rFonts w:ascii="ITC Avant Garde" w:eastAsia="Times New Roman" w:hAnsi="ITC Avant Garde"/>
        </w:rPr>
        <w:t>En lo que respecta a la medición de tráfico</w:t>
      </w:r>
      <w:r w:rsidR="00410639" w:rsidRPr="00ED4558">
        <w:rPr>
          <w:rFonts w:ascii="ITC Avant Garde" w:eastAsia="Times New Roman" w:hAnsi="ITC Avant Garde"/>
        </w:rPr>
        <w:t xml:space="preserve">, </w:t>
      </w:r>
      <w:r w:rsidRPr="00ED4558">
        <w:rPr>
          <w:rFonts w:ascii="ITC Avant Garde" w:eastAsia="Times New Roman" w:hAnsi="ITC Avant Garde"/>
        </w:rPr>
        <w:t>este Instituto considera que es económicamente eficiente que un concesionario pague por el uso de la infraestructura en función de su utilización real. De tal forma, que si un concesionario utiliza la infraestructura de otro concesionario solamente por una fracción de minuto, es económicamente ineficiente que se le cobre como si hubiera utilizado dicha infraestructura por un minuto completo, debido a que este sobre pago se trasladaría directamente a las tarifas que el concesionario ofrece al usuario final.</w:t>
      </w:r>
    </w:p>
    <w:p w14:paraId="106029BC" w14:textId="77777777" w:rsidR="005A603D" w:rsidRPr="00ED4558" w:rsidRDefault="005A603D" w:rsidP="00773BC1">
      <w:pPr>
        <w:spacing w:after="0"/>
        <w:jc w:val="both"/>
        <w:rPr>
          <w:rFonts w:ascii="ITC Avant Garde" w:eastAsia="Times New Roman" w:hAnsi="ITC Avant Garde"/>
        </w:rPr>
      </w:pPr>
    </w:p>
    <w:p w14:paraId="542DD781" w14:textId="77777777" w:rsidR="005A603D" w:rsidRPr="00ED4558" w:rsidRDefault="005A603D" w:rsidP="00773BC1">
      <w:pPr>
        <w:spacing w:after="0"/>
        <w:jc w:val="both"/>
        <w:rPr>
          <w:rFonts w:ascii="ITC Avant Garde" w:eastAsia="Times New Roman" w:hAnsi="ITC Avant Garde"/>
        </w:rPr>
      </w:pPr>
      <w:r w:rsidRPr="00ED4558">
        <w:rPr>
          <w:rFonts w:ascii="ITC Avant Garde" w:eastAsia="Times New Roman" w:hAnsi="ITC Avant Garde"/>
        </w:rPr>
        <w:t>Los costos determinados por el Modelo de Costos del Instituto y que determinan las tarifas para el año 2015</w:t>
      </w:r>
      <w:r w:rsidR="0085144C" w:rsidRPr="00ED4558">
        <w:rPr>
          <w:rFonts w:ascii="ITC Avant Garde" w:eastAsia="Times New Roman" w:hAnsi="ITC Avant Garde"/>
        </w:rPr>
        <w:t xml:space="preserve"> y 2016</w:t>
      </w:r>
      <w:r w:rsidRPr="00ED4558">
        <w:rPr>
          <w:rFonts w:ascii="ITC Avant Garde" w:eastAsia="Times New Roman" w:hAnsi="ITC Avant Garde"/>
        </w:rPr>
        <w:t xml:space="preserve"> están calculados con base en un pronóstico del uso real de la infraestructura de interconexión, por lo que las tarifas determinadas permiten a </w:t>
      </w:r>
      <w:r w:rsidR="00410639" w:rsidRPr="00ED4558">
        <w:rPr>
          <w:rFonts w:ascii="ITC Avant Garde" w:eastAsia="Times New Roman" w:hAnsi="ITC Avant Garde"/>
        </w:rPr>
        <w:lastRenderedPageBreak/>
        <w:t xml:space="preserve">Cablevisión Red </w:t>
      </w:r>
      <w:r w:rsidRPr="00ED4558">
        <w:rPr>
          <w:rFonts w:ascii="ITC Avant Garde" w:eastAsia="Times New Roman" w:hAnsi="ITC Avant Garde"/>
        </w:rPr>
        <w:t>recuperar los costos en los que incurre para la prestación del servicio de interconexión.</w:t>
      </w:r>
    </w:p>
    <w:p w14:paraId="7DB15144" w14:textId="77777777" w:rsidR="005A603D" w:rsidRPr="00ED4558" w:rsidRDefault="005A603D" w:rsidP="00773BC1">
      <w:pPr>
        <w:spacing w:after="0"/>
        <w:jc w:val="both"/>
        <w:rPr>
          <w:rFonts w:ascii="ITC Avant Garde" w:eastAsia="Times New Roman" w:hAnsi="ITC Avant Garde"/>
        </w:rPr>
      </w:pPr>
    </w:p>
    <w:p w14:paraId="1687A301" w14:textId="77777777" w:rsidR="005A603D" w:rsidRPr="00ED4558" w:rsidRDefault="005A603D" w:rsidP="00773BC1">
      <w:pPr>
        <w:spacing w:after="0"/>
        <w:jc w:val="both"/>
        <w:rPr>
          <w:rFonts w:ascii="ITC Avant Garde" w:eastAsia="Times New Roman" w:hAnsi="ITC Avant Garde"/>
        </w:rPr>
      </w:pPr>
      <w:r w:rsidRPr="00ED4558">
        <w:rPr>
          <w:rFonts w:ascii="ITC Avant Garde" w:eastAsia="Times New Roman" w:hAnsi="ITC Avant Garde"/>
        </w:rPr>
        <w:t xml:space="preserve">En tal virtud, el Instituto determina que el cálculo de las contraprestaciones que </w:t>
      </w:r>
      <w:r w:rsidR="00004D09" w:rsidRPr="00ED4558">
        <w:rPr>
          <w:rFonts w:ascii="ITC Avant Garde" w:eastAsia="Times New Roman" w:hAnsi="ITC Avant Garde"/>
        </w:rPr>
        <w:t xml:space="preserve">Telcel deberá pagar a </w:t>
      </w:r>
      <w:r w:rsidR="00410639" w:rsidRPr="00ED4558">
        <w:rPr>
          <w:rFonts w:ascii="ITC Avant Garde" w:eastAsia="Times New Roman" w:hAnsi="ITC Avant Garde"/>
        </w:rPr>
        <w:t xml:space="preserve">Cablevisión Red </w:t>
      </w:r>
      <w:r w:rsidRPr="00ED4558">
        <w:rPr>
          <w:rFonts w:ascii="ITC Avant Garde" w:eastAsia="Times New Roman" w:hAnsi="ITC Avant Garde"/>
        </w:rPr>
        <w:t>por las llamadas cursadas hacia sus redes, se lleve a cabo sumando la duración de todas las llamadas completadas en el período de facturación correspondiente, medidas en segundos, y multiplicar los minutos equivalentes a dicha suma, por la tarifa correspondiente.</w:t>
      </w:r>
    </w:p>
    <w:p w14:paraId="3A3C3A60" w14:textId="77777777" w:rsidR="00ED4558" w:rsidRPr="00ED4558" w:rsidRDefault="00ED4558" w:rsidP="00773BC1">
      <w:pPr>
        <w:spacing w:after="0"/>
        <w:rPr>
          <w:rFonts w:ascii="ITC Avant Garde" w:hAnsi="ITC Avant Garde"/>
        </w:rPr>
      </w:pPr>
    </w:p>
    <w:p w14:paraId="0EF448F7" w14:textId="77777777" w:rsidR="00B662C1" w:rsidRPr="00ED4558" w:rsidRDefault="00B662C1" w:rsidP="00773BC1">
      <w:pPr>
        <w:pStyle w:val="Prrafodelista"/>
        <w:numPr>
          <w:ilvl w:val="0"/>
          <w:numId w:val="35"/>
        </w:numPr>
        <w:spacing w:line="276" w:lineRule="auto"/>
        <w:ind w:left="426"/>
        <w:rPr>
          <w:rFonts w:ascii="ITC Avant Garde" w:hAnsi="ITC Avant Garde"/>
          <w:b/>
        </w:rPr>
      </w:pPr>
      <w:r w:rsidRPr="00ED4558">
        <w:rPr>
          <w:rFonts w:ascii="ITC Avant Garde" w:hAnsi="ITC Avant Garde"/>
          <w:b/>
        </w:rPr>
        <w:t>Interconexión IP</w:t>
      </w:r>
    </w:p>
    <w:p w14:paraId="4C9FD624" w14:textId="77777777" w:rsidR="00B662C1" w:rsidRPr="00ED4558" w:rsidRDefault="00B662C1" w:rsidP="00773BC1">
      <w:pPr>
        <w:spacing w:after="0"/>
        <w:jc w:val="both"/>
        <w:rPr>
          <w:rFonts w:ascii="ITC Avant Garde" w:eastAsia="Times New Roman" w:hAnsi="ITC Avant Garde"/>
          <w:b/>
          <w:lang w:eastAsia="es-ES"/>
        </w:rPr>
      </w:pPr>
    </w:p>
    <w:p w14:paraId="2AE6F593" w14:textId="77777777" w:rsidR="00B662C1" w:rsidRPr="00ED4558" w:rsidRDefault="00BC62A0" w:rsidP="00773BC1">
      <w:pPr>
        <w:spacing w:after="0"/>
        <w:jc w:val="both"/>
        <w:rPr>
          <w:rFonts w:ascii="ITC Avant Garde" w:eastAsia="Times New Roman" w:hAnsi="ITC Avant Garde"/>
          <w:lang w:eastAsia="es-ES"/>
        </w:rPr>
      </w:pPr>
      <w:r w:rsidRPr="00ED4558">
        <w:rPr>
          <w:rFonts w:ascii="ITC Avant Garde" w:eastAsia="Times New Roman" w:hAnsi="ITC Avant Garde"/>
          <w:lang w:eastAsia="es-ES"/>
        </w:rPr>
        <w:t xml:space="preserve">Cablevisión Red </w:t>
      </w:r>
      <w:r w:rsidR="00B662C1" w:rsidRPr="00ED4558">
        <w:rPr>
          <w:rFonts w:ascii="ITC Avant Garde" w:eastAsia="Times New Roman" w:hAnsi="ITC Avant Garde"/>
          <w:lang w:eastAsia="es-ES"/>
        </w:rPr>
        <w:t xml:space="preserve">señala que los avances tecnológicos conllevan obviamente una maduración de tecnologías, de compatibilidad de redes, es por ello que dada la experiencia internacional, y tal y como ya lo ha resuelto el Instituto en diversos desacuerdos de interconexión, la tecnología IP trae consigo que mediante su implementación se puedan prestar más y mejores servicios, con un costo más bajo. </w:t>
      </w:r>
    </w:p>
    <w:p w14:paraId="7967E1B7" w14:textId="77777777" w:rsidR="00B662C1" w:rsidRPr="00ED4558" w:rsidRDefault="00B662C1" w:rsidP="00773BC1">
      <w:pPr>
        <w:spacing w:after="0"/>
        <w:jc w:val="both"/>
        <w:rPr>
          <w:rFonts w:ascii="ITC Avant Garde" w:eastAsia="Times New Roman" w:hAnsi="ITC Avant Garde"/>
          <w:lang w:eastAsia="es-ES"/>
        </w:rPr>
      </w:pPr>
    </w:p>
    <w:p w14:paraId="214B171A" w14:textId="77777777" w:rsidR="00B662C1" w:rsidRPr="00ED4558" w:rsidRDefault="00B662C1" w:rsidP="00773BC1">
      <w:pPr>
        <w:spacing w:after="0"/>
        <w:jc w:val="both"/>
        <w:rPr>
          <w:rFonts w:ascii="ITC Avant Garde" w:eastAsia="Times New Roman" w:hAnsi="ITC Avant Garde"/>
          <w:lang w:eastAsia="es-ES"/>
        </w:rPr>
      </w:pPr>
      <w:r w:rsidRPr="00ED4558">
        <w:rPr>
          <w:rFonts w:ascii="ITC Avant Garde" w:eastAsia="Times New Roman" w:hAnsi="ITC Avant Garde"/>
          <w:lang w:eastAsia="es-ES"/>
        </w:rPr>
        <w:t xml:space="preserve">Por su parte, el representante legal de Telcel señala que, </w:t>
      </w:r>
      <w:r w:rsidR="00BC62A0" w:rsidRPr="00ED4558">
        <w:rPr>
          <w:rFonts w:ascii="ITC Avant Garde" w:eastAsia="Times New Roman" w:hAnsi="ITC Avant Garde"/>
          <w:lang w:eastAsia="es-ES"/>
        </w:rPr>
        <w:t xml:space="preserve">Cablevisión Red </w:t>
      </w:r>
      <w:r w:rsidRPr="00ED4558">
        <w:rPr>
          <w:rFonts w:ascii="ITC Avant Garde" w:eastAsia="Times New Roman" w:hAnsi="ITC Avant Garde"/>
          <w:lang w:eastAsia="es-ES"/>
        </w:rPr>
        <w:t>pretende desconocer la procedencia de la solicitud de Telcel, sustentando sus manifestaciones en una incorrecta y tendenciosa interpretación del Acuerdo</w:t>
      </w:r>
      <w:r w:rsidR="00DE591A" w:rsidRPr="00ED4558">
        <w:rPr>
          <w:rFonts w:ascii="ITC Avant Garde" w:eastAsia="Times New Roman" w:hAnsi="ITC Avant Garde"/>
          <w:lang w:eastAsia="es-ES"/>
        </w:rPr>
        <w:t xml:space="preserve"> del Sistema</w:t>
      </w:r>
      <w:r w:rsidRPr="00ED4558">
        <w:rPr>
          <w:rFonts w:ascii="ITC Avant Garde" w:eastAsia="Times New Roman" w:hAnsi="ITC Avant Garde"/>
          <w:lang w:eastAsia="es-ES"/>
        </w:rPr>
        <w:t xml:space="preserve">, pero, </w:t>
      </w:r>
      <w:r w:rsidR="00E67676" w:rsidRPr="00ED4558">
        <w:rPr>
          <w:rFonts w:ascii="ITC Avant Garde" w:eastAsia="Times New Roman" w:hAnsi="ITC Avant Garde"/>
          <w:lang w:eastAsia="es-ES"/>
        </w:rPr>
        <w:t>también manifiesta que</w:t>
      </w:r>
      <w:r w:rsidRPr="00ED4558">
        <w:rPr>
          <w:rFonts w:ascii="ITC Avant Garde" w:eastAsia="Times New Roman" w:hAnsi="ITC Avant Garde"/>
          <w:lang w:eastAsia="es-ES"/>
        </w:rPr>
        <w:t xml:space="preserve">, si le resulta de beneficio el trámite iniciado por Telcel para hacer extensivas sus peticiones. </w:t>
      </w:r>
    </w:p>
    <w:p w14:paraId="58C21065" w14:textId="77777777" w:rsidR="00B662C1" w:rsidRPr="00ED4558" w:rsidRDefault="00B662C1" w:rsidP="00773BC1">
      <w:pPr>
        <w:spacing w:after="0"/>
        <w:jc w:val="both"/>
        <w:rPr>
          <w:rFonts w:ascii="ITC Avant Garde" w:eastAsia="Times New Roman" w:hAnsi="ITC Avant Garde"/>
          <w:lang w:eastAsia="es-ES"/>
        </w:rPr>
      </w:pPr>
    </w:p>
    <w:p w14:paraId="27FBC544" w14:textId="77777777" w:rsidR="00B662C1" w:rsidRPr="00ED4558" w:rsidRDefault="00B662C1" w:rsidP="00773BC1">
      <w:pPr>
        <w:spacing w:after="0"/>
        <w:jc w:val="both"/>
        <w:rPr>
          <w:rFonts w:ascii="ITC Avant Garde" w:eastAsia="Times New Roman" w:hAnsi="ITC Avant Garde"/>
          <w:lang w:eastAsia="es-ES"/>
        </w:rPr>
      </w:pPr>
      <w:r w:rsidRPr="00ED4558">
        <w:rPr>
          <w:rFonts w:ascii="ITC Avant Garde" w:eastAsia="Times New Roman" w:hAnsi="ITC Avant Garde"/>
          <w:lang w:eastAsia="es-ES"/>
        </w:rPr>
        <w:t xml:space="preserve">Así, el representante legal de Telcel aclara que su representada está en la mejor disposición de analizar y, en su caso, convenir el uso del protocolo que más convenga a ambas partes, sobre bases de trato no discriminatorio, una vez que cuente con la información y los requerimientos técnicos necesarios para ello. </w:t>
      </w:r>
    </w:p>
    <w:p w14:paraId="00CB7BA0" w14:textId="77777777" w:rsidR="00B662C1" w:rsidRPr="00ED4558" w:rsidRDefault="00B662C1" w:rsidP="00773BC1">
      <w:pPr>
        <w:spacing w:after="0"/>
        <w:jc w:val="both"/>
        <w:rPr>
          <w:rFonts w:ascii="ITC Avant Garde" w:eastAsia="Times New Roman" w:hAnsi="ITC Avant Garde"/>
          <w:lang w:eastAsia="es-ES"/>
        </w:rPr>
      </w:pPr>
    </w:p>
    <w:p w14:paraId="19526C43" w14:textId="77777777" w:rsidR="00B662C1" w:rsidRPr="00ED4558" w:rsidRDefault="00B662C1" w:rsidP="00773BC1">
      <w:pPr>
        <w:spacing w:after="0"/>
        <w:jc w:val="both"/>
        <w:rPr>
          <w:rFonts w:ascii="ITC Avant Garde" w:hAnsi="ITC Avant Garde"/>
          <w:b/>
        </w:rPr>
      </w:pPr>
      <w:r w:rsidRPr="00ED4558">
        <w:rPr>
          <w:rFonts w:ascii="ITC Avant Garde" w:hAnsi="ITC Avant Garde"/>
          <w:b/>
        </w:rPr>
        <w:t>Consideraciones del Instituto</w:t>
      </w:r>
    </w:p>
    <w:p w14:paraId="0A101698" w14:textId="77777777" w:rsidR="00E32FF0" w:rsidRPr="00ED4558" w:rsidRDefault="00E32FF0" w:rsidP="00096167">
      <w:pPr>
        <w:spacing w:after="0"/>
        <w:jc w:val="both"/>
        <w:rPr>
          <w:rFonts w:ascii="ITC Avant Garde" w:hAnsi="ITC Avant Garde"/>
        </w:rPr>
      </w:pPr>
    </w:p>
    <w:p w14:paraId="263F7271" w14:textId="77777777" w:rsidR="00096167" w:rsidRPr="00ED4558" w:rsidRDefault="00096167" w:rsidP="00096167">
      <w:pPr>
        <w:spacing w:after="0"/>
        <w:jc w:val="both"/>
        <w:rPr>
          <w:rFonts w:ascii="ITC Avant Garde" w:hAnsi="ITC Avant Garde"/>
        </w:rPr>
      </w:pPr>
      <w:r w:rsidRPr="00ED4558">
        <w:rPr>
          <w:rFonts w:ascii="ITC Avant Garde" w:hAnsi="ITC Avant Garde"/>
        </w:rPr>
        <w:t xml:space="preserve">El artículo 127 de la </w:t>
      </w:r>
      <w:proofErr w:type="spellStart"/>
      <w:r w:rsidRPr="00ED4558">
        <w:rPr>
          <w:rFonts w:ascii="ITC Avant Garde" w:hAnsi="ITC Avant Garde"/>
        </w:rPr>
        <w:t>LFTyR</w:t>
      </w:r>
      <w:proofErr w:type="spellEnd"/>
      <w:r w:rsidRPr="00ED4558">
        <w:rPr>
          <w:rFonts w:ascii="ITC Avant Garde" w:hAnsi="ITC Avant Garde"/>
        </w:rPr>
        <w:t xml:space="preserve"> establece los servicios de </w:t>
      </w:r>
      <w:r w:rsidR="00E67676" w:rsidRPr="00ED4558">
        <w:rPr>
          <w:rFonts w:ascii="ITC Avant Garde" w:hAnsi="ITC Avant Garde"/>
        </w:rPr>
        <w:t>interconexión, entre los cuales</w:t>
      </w:r>
      <w:r w:rsidRPr="00ED4558">
        <w:rPr>
          <w:rFonts w:ascii="ITC Avant Garde" w:hAnsi="ITC Avant Garde"/>
        </w:rPr>
        <w:t xml:space="preserve"> se encuentra, en su fracción IV, el servicio de señalización; ahora bien, el artículo 133 del mismo ordenamiento establece que la prestación de todos los servicios de interconexión señalados en el artículo 127 será obligatoria para el agente económico preponderante o con poder sustancial, así como que los señalados en las fracciones I a IV de dicho artículo serán obligatorios para el resto de los concesionarios.</w:t>
      </w:r>
    </w:p>
    <w:p w14:paraId="6B161122" w14:textId="77777777" w:rsidR="00096167" w:rsidRPr="00ED4558" w:rsidRDefault="00096167" w:rsidP="00096167">
      <w:pPr>
        <w:spacing w:after="0"/>
        <w:jc w:val="both"/>
        <w:rPr>
          <w:rFonts w:ascii="ITC Avant Garde" w:hAnsi="ITC Avant Garde"/>
        </w:rPr>
      </w:pPr>
    </w:p>
    <w:p w14:paraId="489C30C3" w14:textId="77777777" w:rsidR="00096167" w:rsidRPr="00ED4558" w:rsidRDefault="00096167" w:rsidP="00096167">
      <w:pPr>
        <w:spacing w:after="0"/>
        <w:jc w:val="both"/>
        <w:rPr>
          <w:rFonts w:ascii="ITC Avant Garde" w:hAnsi="ITC Avant Garde"/>
        </w:rPr>
      </w:pPr>
      <w:r w:rsidRPr="00ED4558">
        <w:rPr>
          <w:rFonts w:ascii="ITC Avant Garde" w:hAnsi="ITC Avant Garde"/>
        </w:rPr>
        <w:t xml:space="preserve">De lo anterior se colige que la prestación del servicio de señalización es obligatoria para todos los concesionarios de redes públicas de telecomunicaciones, por lo que </w:t>
      </w:r>
      <w:r w:rsidR="00CD739D" w:rsidRPr="00ED4558">
        <w:rPr>
          <w:rFonts w:ascii="ITC Avant Garde" w:hAnsi="ITC Avant Garde"/>
        </w:rPr>
        <w:lastRenderedPageBreak/>
        <w:t xml:space="preserve">Cablevisión Red </w:t>
      </w:r>
      <w:r w:rsidR="00FB16FB" w:rsidRPr="00ED4558">
        <w:rPr>
          <w:rFonts w:ascii="ITC Avant Garde" w:hAnsi="ITC Avant Garde"/>
        </w:rPr>
        <w:t>y Telcel</w:t>
      </w:r>
      <w:r w:rsidRPr="00ED4558">
        <w:rPr>
          <w:rFonts w:ascii="ITC Avant Garde" w:hAnsi="ITC Avant Garde"/>
        </w:rPr>
        <w:t xml:space="preserve"> se encuentran obligadas a proveerse mutuamente dicho servicio. </w:t>
      </w:r>
    </w:p>
    <w:p w14:paraId="2B077E2F" w14:textId="77777777" w:rsidR="00096167" w:rsidRPr="00ED4558" w:rsidRDefault="00096167" w:rsidP="00096167">
      <w:pPr>
        <w:spacing w:after="0"/>
        <w:jc w:val="both"/>
        <w:rPr>
          <w:rFonts w:ascii="ITC Avant Garde" w:hAnsi="ITC Avant Garde"/>
        </w:rPr>
      </w:pPr>
    </w:p>
    <w:p w14:paraId="5980A6A4" w14:textId="77777777" w:rsidR="00B662C1" w:rsidRPr="00ED4558" w:rsidRDefault="00096167" w:rsidP="00E67676">
      <w:pPr>
        <w:jc w:val="both"/>
        <w:rPr>
          <w:rFonts w:ascii="ITC Avant Garde" w:hAnsi="ITC Avant Garde"/>
        </w:rPr>
      </w:pPr>
      <w:r w:rsidRPr="00ED4558">
        <w:rPr>
          <w:rFonts w:ascii="ITC Avant Garde" w:hAnsi="ITC Avant Garde"/>
        </w:rPr>
        <w:t xml:space="preserve">Por otro lado, </w:t>
      </w:r>
      <w:r w:rsidRPr="00ED4558">
        <w:rPr>
          <w:rFonts w:ascii="ITC Avant Garde" w:hAnsi="ITC Avant Garde" w:cs="Arial"/>
        </w:rPr>
        <w:t>e</w:t>
      </w:r>
      <w:r w:rsidR="00B662C1" w:rsidRPr="00ED4558">
        <w:rPr>
          <w:rFonts w:ascii="ITC Avant Garde" w:hAnsi="ITC Avant Garde" w:cs="Arial"/>
        </w:rPr>
        <w:t>n el numeral 7 del Plan Técnico Fundamental de Señalización (en lo sucesivo, “Plan de Señalización”) publicado en el DOF el 21 de junio de 1996 se establece lo siguiente:</w:t>
      </w:r>
    </w:p>
    <w:p w14:paraId="3785CC0D" w14:textId="77777777" w:rsidR="00BD09FD" w:rsidRPr="00ED4558" w:rsidRDefault="00BD09FD" w:rsidP="00773BC1">
      <w:pPr>
        <w:spacing w:after="0"/>
        <w:jc w:val="both"/>
        <w:rPr>
          <w:rFonts w:ascii="ITC Avant Garde" w:hAnsi="ITC Avant Garde" w:cs="Arial"/>
        </w:rPr>
      </w:pPr>
    </w:p>
    <w:p w14:paraId="22F1ECD6" w14:textId="77777777" w:rsidR="00B662C1" w:rsidRPr="00ED4558" w:rsidRDefault="00B662C1" w:rsidP="00773BC1">
      <w:pPr>
        <w:shd w:val="clear" w:color="auto" w:fill="FFFFFF"/>
        <w:spacing w:after="0"/>
        <w:ind w:left="1417" w:right="1417"/>
        <w:jc w:val="both"/>
        <w:rPr>
          <w:rFonts w:ascii="ITC Avant Garde" w:eastAsia="Times New Roman" w:hAnsi="ITC Avant Garde" w:cs="Arial"/>
          <w:b/>
          <w:bCs/>
          <w:i/>
          <w:sz w:val="18"/>
          <w:szCs w:val="18"/>
          <w:lang w:val="es-ES" w:eastAsia="es-MX"/>
        </w:rPr>
      </w:pPr>
      <w:r w:rsidRPr="00ED4558">
        <w:rPr>
          <w:rFonts w:ascii="ITC Avant Garde" w:eastAsia="Times New Roman" w:hAnsi="ITC Avant Garde" w:cs="Arial"/>
          <w:b/>
          <w:bCs/>
          <w:i/>
          <w:sz w:val="18"/>
          <w:szCs w:val="18"/>
          <w:lang w:val="es-ES" w:eastAsia="es-MX"/>
        </w:rPr>
        <w:t>“7. PROTOCOLOS DE SEÑALIZACIÓN</w:t>
      </w:r>
    </w:p>
    <w:p w14:paraId="3617869D" w14:textId="77777777" w:rsidR="00B662C1" w:rsidRPr="00ED4558" w:rsidRDefault="00B662C1" w:rsidP="00773BC1">
      <w:pPr>
        <w:shd w:val="clear" w:color="auto" w:fill="FFFFFF"/>
        <w:spacing w:after="0"/>
        <w:ind w:left="1417" w:right="1417"/>
        <w:jc w:val="both"/>
        <w:rPr>
          <w:rFonts w:ascii="ITC Avant Garde" w:eastAsia="Times New Roman" w:hAnsi="ITC Avant Garde" w:cs="Arial"/>
          <w:bCs/>
          <w:i/>
          <w:sz w:val="18"/>
          <w:szCs w:val="18"/>
          <w:lang w:val="es-ES" w:eastAsia="es-MX"/>
        </w:rPr>
      </w:pPr>
      <w:r w:rsidRPr="00ED4558">
        <w:rPr>
          <w:rFonts w:ascii="ITC Avant Garde" w:eastAsia="Times New Roman" w:hAnsi="ITC Avant Garde" w:cs="Arial"/>
          <w:bCs/>
          <w:i/>
          <w:sz w:val="18"/>
          <w:szCs w:val="18"/>
          <w:lang w:val="es-ES" w:eastAsia="es-MX"/>
        </w:rPr>
        <w:t>7.1. El protocolo PAUSI-MX será el protocolo que deberán usar las redes públicas de telecomunicaciones para su interconexión.”</w:t>
      </w:r>
    </w:p>
    <w:p w14:paraId="3F9409B4" w14:textId="77777777" w:rsidR="00B662C1" w:rsidRPr="00ED4558" w:rsidRDefault="00B662C1" w:rsidP="00773BC1">
      <w:pPr>
        <w:spacing w:after="0"/>
        <w:jc w:val="both"/>
        <w:rPr>
          <w:rFonts w:ascii="ITC Avant Garde" w:hAnsi="ITC Avant Garde" w:cs="Arial"/>
        </w:rPr>
      </w:pPr>
    </w:p>
    <w:p w14:paraId="2D4521F9" w14:textId="77777777" w:rsidR="00B662C1" w:rsidRDefault="00B662C1" w:rsidP="00773BC1">
      <w:pPr>
        <w:spacing w:after="0"/>
        <w:jc w:val="both"/>
        <w:rPr>
          <w:rFonts w:ascii="ITC Avant Garde" w:hAnsi="ITC Avant Garde" w:cs="Arial"/>
        </w:rPr>
      </w:pPr>
      <w:r w:rsidRPr="00ED4558">
        <w:rPr>
          <w:rFonts w:ascii="ITC Avant Garde" w:hAnsi="ITC Avant Garde" w:cs="Arial"/>
        </w:rPr>
        <w:t xml:space="preserve">Asimismo, en la </w:t>
      </w:r>
      <w:r w:rsidRPr="00ED4558">
        <w:rPr>
          <w:rFonts w:ascii="ITC Avant Garde" w:hAnsi="ITC Avant Garde" w:cs="Arial"/>
          <w:i/>
        </w:rPr>
        <w:t xml:space="preserve">“Resolución por la que el Pleno de la Comisión Federal de Telecomunicaciones modifica el Plan Técnico Fundamental de Señalización publicado el 21 de junio de 1996 en el Diario Oficial de la Federación” </w:t>
      </w:r>
      <w:r w:rsidRPr="00ED4558">
        <w:rPr>
          <w:rFonts w:ascii="ITC Avant Garde" w:hAnsi="ITC Avant Garde" w:cs="Arial"/>
        </w:rPr>
        <w:t>(en lo sucesivo, “Modificación al Plan de Señalización”), publicada en el DOF el 14 de octubre de 2011 se establece lo siguiente:</w:t>
      </w:r>
    </w:p>
    <w:p w14:paraId="37B594A2" w14:textId="77777777" w:rsidR="003C333D" w:rsidRPr="00ED4558" w:rsidRDefault="003C333D" w:rsidP="00773BC1">
      <w:pPr>
        <w:spacing w:after="0"/>
        <w:jc w:val="both"/>
        <w:rPr>
          <w:rFonts w:ascii="ITC Avant Garde" w:hAnsi="ITC Avant Garde" w:cs="Arial"/>
        </w:rPr>
      </w:pPr>
    </w:p>
    <w:p w14:paraId="5035104B" w14:textId="77777777" w:rsidR="00B662C1" w:rsidRPr="00ED4558" w:rsidRDefault="00B662C1" w:rsidP="00773BC1">
      <w:pPr>
        <w:shd w:val="clear" w:color="auto" w:fill="FFFFFF"/>
        <w:spacing w:after="0"/>
        <w:ind w:left="1417" w:right="1417"/>
        <w:jc w:val="both"/>
        <w:rPr>
          <w:rFonts w:ascii="ITC Avant Garde" w:eastAsia="Times New Roman" w:hAnsi="ITC Avant Garde" w:cs="Arial"/>
          <w:bCs/>
          <w:i/>
          <w:sz w:val="18"/>
          <w:szCs w:val="18"/>
          <w:lang w:val="es-ES" w:eastAsia="es-MX"/>
        </w:rPr>
      </w:pPr>
      <w:r w:rsidRPr="00ED4558">
        <w:rPr>
          <w:rFonts w:ascii="ITC Avant Garde" w:eastAsia="Times New Roman" w:hAnsi="ITC Avant Garde" w:cs="Arial"/>
          <w:bCs/>
          <w:i/>
          <w:sz w:val="18"/>
          <w:szCs w:val="18"/>
          <w:lang w:val="es-ES" w:eastAsia="es-MX"/>
        </w:rPr>
        <w:t xml:space="preserve"> “</w:t>
      </w:r>
      <w:r w:rsidRPr="00ED4558">
        <w:rPr>
          <w:rFonts w:ascii="ITC Avant Garde" w:eastAsia="Times New Roman" w:hAnsi="ITC Avant Garde" w:cs="Arial"/>
          <w:b/>
          <w:bCs/>
          <w:i/>
          <w:sz w:val="18"/>
          <w:szCs w:val="18"/>
          <w:lang w:val="es-ES" w:eastAsia="es-MX"/>
        </w:rPr>
        <w:t>7.1</w:t>
      </w:r>
      <w:r w:rsidRPr="00ED4558">
        <w:rPr>
          <w:rFonts w:ascii="ITC Avant Garde" w:eastAsia="Times New Roman" w:hAnsi="ITC Avant Garde" w:cs="Arial"/>
          <w:bCs/>
          <w:i/>
          <w:sz w:val="18"/>
          <w:szCs w:val="18"/>
          <w:lang w:val="es-ES" w:eastAsia="es-MX"/>
        </w:rPr>
        <w:t xml:space="preserve"> El protocolo PAUSI-MX será el protocolo que deberán usar las redes públicas </w:t>
      </w:r>
      <w:proofErr w:type="gramStart"/>
      <w:r w:rsidRPr="00ED4558">
        <w:rPr>
          <w:rFonts w:ascii="ITC Avant Garde" w:eastAsia="Times New Roman" w:hAnsi="ITC Avant Garde" w:cs="Arial"/>
          <w:bCs/>
          <w:i/>
          <w:sz w:val="18"/>
          <w:szCs w:val="18"/>
          <w:lang w:val="es-ES" w:eastAsia="es-MX"/>
        </w:rPr>
        <w:t>de  telecomunicaciones</w:t>
      </w:r>
      <w:proofErr w:type="gramEnd"/>
      <w:r w:rsidRPr="00ED4558">
        <w:rPr>
          <w:rFonts w:ascii="ITC Avant Garde" w:eastAsia="Times New Roman" w:hAnsi="ITC Avant Garde" w:cs="Arial"/>
          <w:bCs/>
          <w:i/>
          <w:sz w:val="18"/>
          <w:szCs w:val="18"/>
          <w:lang w:val="es-ES" w:eastAsia="es-MX"/>
        </w:rPr>
        <w:t xml:space="preserve"> para su interconexión, salvo que de común acuerdo entre los operadores de servicios de telecomunicaciones, se establezcan protocolos diferentes que permitan cumplir con el envío de la información a que se refiere el numeral 8 del presente Plan y el artículo 43 fracción X de la Ley.</w:t>
      </w:r>
    </w:p>
    <w:p w14:paraId="1EBEE7FD" w14:textId="77777777" w:rsidR="001B6762" w:rsidRPr="00ED4558" w:rsidRDefault="001B6762" w:rsidP="00773BC1">
      <w:pPr>
        <w:shd w:val="clear" w:color="auto" w:fill="FFFFFF"/>
        <w:spacing w:after="0"/>
        <w:ind w:left="1417" w:right="1417"/>
        <w:jc w:val="both"/>
        <w:rPr>
          <w:rFonts w:ascii="ITC Avant Garde" w:eastAsia="Times New Roman" w:hAnsi="ITC Avant Garde" w:cs="Arial"/>
          <w:bCs/>
          <w:i/>
          <w:sz w:val="18"/>
          <w:szCs w:val="18"/>
          <w:lang w:val="es-ES" w:eastAsia="es-MX"/>
        </w:rPr>
      </w:pPr>
    </w:p>
    <w:p w14:paraId="1CD6871D" w14:textId="77777777" w:rsidR="00B662C1" w:rsidRPr="00ED4558" w:rsidRDefault="00B662C1" w:rsidP="00773BC1">
      <w:pPr>
        <w:shd w:val="clear" w:color="auto" w:fill="FFFFFF"/>
        <w:spacing w:after="0"/>
        <w:ind w:left="1417" w:right="1417"/>
        <w:jc w:val="both"/>
        <w:rPr>
          <w:rFonts w:ascii="ITC Avant Garde" w:eastAsia="Times New Roman" w:hAnsi="ITC Avant Garde" w:cs="Arial"/>
          <w:bCs/>
          <w:i/>
          <w:sz w:val="18"/>
          <w:szCs w:val="18"/>
          <w:lang w:val="es-ES" w:eastAsia="es-MX"/>
        </w:rPr>
      </w:pPr>
      <w:r w:rsidRPr="00ED4558">
        <w:rPr>
          <w:rFonts w:ascii="ITC Avant Garde" w:eastAsia="Times New Roman" w:hAnsi="ITC Avant Garde" w:cs="Arial"/>
          <w:bCs/>
          <w:i/>
          <w:sz w:val="18"/>
          <w:szCs w:val="18"/>
          <w:lang w:val="es-ES" w:eastAsia="es-MX"/>
        </w:rPr>
        <w:t>Los protocolos que un concesionario haya establecido para interconectarse con otro operador, inclusive tratándose de interconexión con redes extranjeras, deberán hacerse disponibles a otros concesi</w:t>
      </w:r>
      <w:r w:rsidR="001B6762" w:rsidRPr="00ED4558">
        <w:rPr>
          <w:rFonts w:ascii="ITC Avant Garde" w:eastAsia="Times New Roman" w:hAnsi="ITC Avant Garde" w:cs="Arial"/>
          <w:bCs/>
          <w:i/>
          <w:sz w:val="18"/>
          <w:szCs w:val="18"/>
          <w:lang w:val="es-ES" w:eastAsia="es-MX"/>
        </w:rPr>
        <w:t>onarios que se lo soliciten.</w:t>
      </w:r>
      <w:r w:rsidRPr="00ED4558">
        <w:rPr>
          <w:rFonts w:ascii="ITC Avant Garde" w:eastAsia="Times New Roman" w:hAnsi="ITC Avant Garde" w:cs="Arial"/>
          <w:bCs/>
          <w:i/>
          <w:sz w:val="18"/>
          <w:szCs w:val="18"/>
          <w:lang w:val="es-ES" w:eastAsia="es-MX"/>
        </w:rPr>
        <w:t>”</w:t>
      </w:r>
    </w:p>
    <w:p w14:paraId="6D0A31D5" w14:textId="77777777" w:rsidR="00B662C1" w:rsidRDefault="00B662C1" w:rsidP="00773BC1">
      <w:pPr>
        <w:spacing w:after="0"/>
        <w:jc w:val="both"/>
        <w:rPr>
          <w:rFonts w:ascii="ITC Avant Garde" w:eastAsia="Times New Roman" w:hAnsi="ITC Avant Garde"/>
          <w:b/>
          <w:szCs w:val="24"/>
          <w:lang w:eastAsia="es-ES"/>
        </w:rPr>
      </w:pPr>
    </w:p>
    <w:p w14:paraId="4C13D5B4" w14:textId="77777777" w:rsidR="003C333D" w:rsidRPr="00ED4558" w:rsidRDefault="003C333D" w:rsidP="00773BC1">
      <w:pPr>
        <w:spacing w:after="0"/>
        <w:jc w:val="both"/>
        <w:rPr>
          <w:rFonts w:ascii="ITC Avant Garde" w:eastAsia="Times New Roman" w:hAnsi="ITC Avant Garde"/>
          <w:b/>
          <w:szCs w:val="24"/>
          <w:lang w:eastAsia="es-ES"/>
        </w:rPr>
      </w:pPr>
    </w:p>
    <w:p w14:paraId="3B26B177" w14:textId="77777777" w:rsidR="001B6762" w:rsidRPr="00ED4558" w:rsidRDefault="001B6762" w:rsidP="00773BC1">
      <w:pPr>
        <w:spacing w:after="0"/>
        <w:jc w:val="both"/>
        <w:rPr>
          <w:rFonts w:ascii="ITC Avant Garde" w:hAnsi="ITC Avant Garde"/>
        </w:rPr>
      </w:pPr>
      <w:r w:rsidRPr="00ED4558">
        <w:rPr>
          <w:rFonts w:ascii="ITC Avant Garde" w:hAnsi="ITC Avant Garde"/>
        </w:rPr>
        <w:t>De lo anterior es posible concluir que el protocolo de señalización PAUSI-MX es obligatorio para todos los concesionarios y que en caso de que éstos hayan establecido un protocolo distinto, también deberán hacerlo disponible a todo aquel que se lo solicite.</w:t>
      </w:r>
    </w:p>
    <w:p w14:paraId="5672EA16" w14:textId="77777777" w:rsidR="001B6762" w:rsidRPr="00ED4558" w:rsidRDefault="001B6762" w:rsidP="00773BC1">
      <w:pPr>
        <w:spacing w:after="0"/>
        <w:jc w:val="both"/>
        <w:rPr>
          <w:rFonts w:ascii="ITC Avant Garde" w:hAnsi="ITC Avant Garde"/>
        </w:rPr>
      </w:pPr>
    </w:p>
    <w:p w14:paraId="118B2F41" w14:textId="77777777" w:rsidR="00B662C1" w:rsidRPr="00ED4558" w:rsidRDefault="001B6762" w:rsidP="00773BC1">
      <w:pPr>
        <w:spacing w:after="0"/>
        <w:jc w:val="both"/>
        <w:rPr>
          <w:rFonts w:ascii="ITC Avant Garde" w:eastAsia="Times New Roman" w:hAnsi="ITC Avant Garde" w:cs="Arial"/>
          <w:bCs/>
          <w:lang w:eastAsia="es-ES"/>
        </w:rPr>
      </w:pPr>
      <w:r w:rsidRPr="00ED4558">
        <w:rPr>
          <w:rFonts w:ascii="ITC Avant Garde" w:eastAsia="Times New Roman" w:hAnsi="ITC Avant Garde"/>
          <w:szCs w:val="24"/>
          <w:lang w:eastAsia="es-ES"/>
        </w:rPr>
        <w:t>No obstante lo anterior es importante señalar que</w:t>
      </w:r>
      <w:r w:rsidR="00B662C1" w:rsidRPr="00ED4558">
        <w:rPr>
          <w:rFonts w:ascii="ITC Avant Garde" w:eastAsia="Times New Roman" w:hAnsi="ITC Avant Garde"/>
          <w:szCs w:val="24"/>
          <w:lang w:eastAsia="es-ES"/>
        </w:rPr>
        <w:t xml:space="preserve"> </w:t>
      </w:r>
      <w:r w:rsidR="00B662C1" w:rsidRPr="00ED4558">
        <w:rPr>
          <w:rFonts w:ascii="ITC Avant Garde" w:eastAsia="Times New Roman" w:hAnsi="ITC Avant Garde" w:cs="Arial"/>
          <w:lang w:eastAsia="es-MX"/>
        </w:rPr>
        <w:t>la Medida Octava de las Medidas Móviles establece lo siguiente:</w:t>
      </w:r>
    </w:p>
    <w:p w14:paraId="23A07B40" w14:textId="77777777" w:rsidR="00B662C1" w:rsidRPr="00ED4558" w:rsidRDefault="00B662C1" w:rsidP="00773BC1">
      <w:pPr>
        <w:spacing w:after="0"/>
        <w:jc w:val="both"/>
        <w:rPr>
          <w:rFonts w:ascii="ITC Avant Garde" w:eastAsia="Times New Roman" w:hAnsi="ITC Avant Garde" w:cs="Arial"/>
          <w:lang w:eastAsia="es-MX"/>
        </w:rPr>
      </w:pPr>
    </w:p>
    <w:p w14:paraId="5EA50749" w14:textId="68EA6051" w:rsidR="00B662C1" w:rsidRPr="00ED4558" w:rsidRDefault="00B662C1" w:rsidP="00773BC1">
      <w:pPr>
        <w:tabs>
          <w:tab w:val="left" w:pos="8789"/>
        </w:tabs>
        <w:adjustRightInd w:val="0"/>
        <w:spacing w:after="0"/>
        <w:ind w:left="567" w:right="615"/>
        <w:jc w:val="both"/>
        <w:rPr>
          <w:rFonts w:ascii="ITC Avant Garde" w:eastAsia="Times New Roman" w:hAnsi="ITC Avant Garde" w:cs="Arial"/>
          <w:bCs/>
          <w:i/>
          <w:sz w:val="18"/>
          <w:szCs w:val="18"/>
          <w:lang w:val="es-ES_tradnl" w:eastAsia="es-ES"/>
        </w:rPr>
      </w:pPr>
      <w:r w:rsidRPr="00ED4558">
        <w:rPr>
          <w:rFonts w:ascii="ITC Avant Garde" w:eastAsia="Times New Roman" w:hAnsi="ITC Avant Garde" w:cs="Arial"/>
          <w:b/>
          <w:bCs/>
          <w:i/>
          <w:sz w:val="18"/>
          <w:szCs w:val="18"/>
          <w:lang w:eastAsia="es-ES"/>
        </w:rPr>
        <w:t>“</w:t>
      </w:r>
      <w:r w:rsidRPr="00ED4558">
        <w:rPr>
          <w:rFonts w:ascii="ITC Avant Garde" w:eastAsia="Times New Roman" w:hAnsi="ITC Avant Garde" w:cs="Arial"/>
          <w:b/>
          <w:bCs/>
          <w:i/>
          <w:sz w:val="18"/>
          <w:szCs w:val="18"/>
          <w:lang w:val="es-ES_tradnl" w:eastAsia="es-ES"/>
        </w:rPr>
        <w:t>OCTAVA.-</w:t>
      </w:r>
      <w:r w:rsidRPr="00ED4558">
        <w:rPr>
          <w:rFonts w:ascii="ITC Avant Garde" w:eastAsia="Times New Roman" w:hAnsi="ITC Avant Garde" w:cs="Arial"/>
          <w:bCs/>
          <w:i/>
          <w:sz w:val="18"/>
          <w:szCs w:val="18"/>
          <w:lang w:val="es-ES_tradnl" w:eastAsia="es-ES"/>
        </w:rPr>
        <w:t xml:space="preserve"> El Agente Económico Preponderante deberá, a solicitud del Concesionario Solicitante, permitir el intercambio de Tráfico mediante los protocolos de señalización SIP (</w:t>
      </w:r>
      <w:proofErr w:type="spellStart"/>
      <w:r w:rsidRPr="00ED4558">
        <w:rPr>
          <w:rFonts w:ascii="ITC Avant Garde" w:eastAsia="Times New Roman" w:hAnsi="ITC Avant Garde" w:cs="Arial"/>
          <w:bCs/>
          <w:i/>
          <w:sz w:val="18"/>
          <w:szCs w:val="18"/>
          <w:lang w:val="es-ES_tradnl" w:eastAsia="es-ES"/>
        </w:rPr>
        <w:t>Session</w:t>
      </w:r>
      <w:proofErr w:type="spellEnd"/>
      <w:r w:rsidRPr="00ED4558">
        <w:rPr>
          <w:rFonts w:ascii="ITC Avant Garde" w:eastAsia="Times New Roman" w:hAnsi="ITC Avant Garde" w:cs="Arial"/>
          <w:bCs/>
          <w:i/>
          <w:sz w:val="18"/>
          <w:szCs w:val="18"/>
          <w:lang w:val="es-ES_tradnl" w:eastAsia="es-ES"/>
        </w:rPr>
        <w:t xml:space="preserve"> </w:t>
      </w:r>
      <w:proofErr w:type="spellStart"/>
      <w:r w:rsidRPr="00ED4558">
        <w:rPr>
          <w:rFonts w:ascii="ITC Avant Garde" w:eastAsia="Times New Roman" w:hAnsi="ITC Avant Garde" w:cs="Arial"/>
          <w:bCs/>
          <w:i/>
          <w:sz w:val="18"/>
          <w:szCs w:val="18"/>
          <w:lang w:val="es-ES_tradnl" w:eastAsia="es-ES"/>
        </w:rPr>
        <w:t>Initiation</w:t>
      </w:r>
      <w:proofErr w:type="spellEnd"/>
      <w:r w:rsidRPr="00ED4558">
        <w:rPr>
          <w:rFonts w:ascii="ITC Avant Garde" w:eastAsia="Times New Roman" w:hAnsi="ITC Avant Garde" w:cs="Arial"/>
          <w:bCs/>
          <w:i/>
          <w:sz w:val="18"/>
          <w:szCs w:val="18"/>
          <w:lang w:val="es-ES_tradnl" w:eastAsia="es-ES"/>
        </w:rPr>
        <w:t xml:space="preserve"> </w:t>
      </w:r>
      <w:proofErr w:type="spellStart"/>
      <w:r w:rsidRPr="00ED4558">
        <w:rPr>
          <w:rFonts w:ascii="ITC Avant Garde" w:eastAsia="Times New Roman" w:hAnsi="ITC Avant Garde" w:cs="Arial"/>
          <w:bCs/>
          <w:i/>
          <w:sz w:val="18"/>
          <w:szCs w:val="18"/>
          <w:lang w:val="es-ES_tradnl" w:eastAsia="es-ES"/>
        </w:rPr>
        <w:t>Protocol</w:t>
      </w:r>
      <w:proofErr w:type="spellEnd"/>
      <w:r w:rsidRPr="00ED4558">
        <w:rPr>
          <w:rFonts w:ascii="ITC Avant Garde" w:eastAsia="Times New Roman" w:hAnsi="ITC Avant Garde" w:cs="Arial"/>
          <w:bCs/>
          <w:i/>
          <w:sz w:val="18"/>
          <w:szCs w:val="18"/>
          <w:lang w:val="es-ES_tradnl" w:eastAsia="es-ES"/>
        </w:rPr>
        <w:t xml:space="preserve">), H.323 o aquel protocolo que determine el </w:t>
      </w:r>
      <w:proofErr w:type="gramStart"/>
      <w:r w:rsidRPr="00ED4558">
        <w:rPr>
          <w:rFonts w:ascii="ITC Avant Garde" w:eastAsia="Times New Roman" w:hAnsi="ITC Avant Garde" w:cs="Arial"/>
          <w:bCs/>
          <w:i/>
          <w:sz w:val="18"/>
          <w:szCs w:val="18"/>
          <w:lang w:val="es-ES_tradnl" w:eastAsia="es-ES"/>
        </w:rPr>
        <w:t>Instituto  para</w:t>
      </w:r>
      <w:proofErr w:type="gramEnd"/>
      <w:r w:rsidRPr="00ED4558">
        <w:rPr>
          <w:rFonts w:ascii="ITC Avant Garde" w:eastAsia="Times New Roman" w:hAnsi="ITC Avant Garde" w:cs="Arial"/>
          <w:bCs/>
          <w:i/>
          <w:sz w:val="18"/>
          <w:szCs w:val="18"/>
          <w:lang w:val="es-ES_tradnl" w:eastAsia="es-ES"/>
        </w:rPr>
        <w:t xml:space="preserve"> la Interconexión IP (Internet </w:t>
      </w:r>
      <w:proofErr w:type="spellStart"/>
      <w:r w:rsidRPr="00ED4558">
        <w:rPr>
          <w:rFonts w:ascii="ITC Avant Garde" w:eastAsia="Times New Roman" w:hAnsi="ITC Avant Garde" w:cs="Arial"/>
          <w:bCs/>
          <w:i/>
          <w:sz w:val="18"/>
          <w:szCs w:val="18"/>
          <w:lang w:val="es-ES_tradnl" w:eastAsia="es-ES"/>
        </w:rPr>
        <w:t>Protocol</w:t>
      </w:r>
      <w:proofErr w:type="spellEnd"/>
      <w:r w:rsidRPr="00ED4558">
        <w:rPr>
          <w:rFonts w:ascii="ITC Avant Garde" w:eastAsia="Times New Roman" w:hAnsi="ITC Avant Garde" w:cs="Arial"/>
          <w:bCs/>
          <w:i/>
          <w:sz w:val="18"/>
          <w:szCs w:val="18"/>
          <w:lang w:val="es-ES_tradnl" w:eastAsia="es-ES"/>
        </w:rPr>
        <w:t>) de su red con la del Concesionario Solicitante.”</w:t>
      </w:r>
    </w:p>
    <w:p w14:paraId="7C156ED5" w14:textId="77777777" w:rsidR="00B662C1" w:rsidRPr="00ED4558" w:rsidRDefault="00B662C1" w:rsidP="00773BC1">
      <w:pPr>
        <w:spacing w:after="0"/>
        <w:ind w:left="567"/>
        <w:jc w:val="both"/>
        <w:rPr>
          <w:rFonts w:ascii="ITC Avant Garde" w:eastAsia="Times New Roman" w:hAnsi="ITC Avant Garde" w:cs="Arial"/>
          <w:lang w:val="es-ES_tradnl" w:eastAsia="es-MX"/>
        </w:rPr>
      </w:pPr>
    </w:p>
    <w:p w14:paraId="5D49D01F" w14:textId="77777777" w:rsidR="00B662C1" w:rsidRPr="00ED4558" w:rsidRDefault="00B662C1" w:rsidP="00773BC1">
      <w:pPr>
        <w:spacing w:after="0"/>
        <w:jc w:val="both"/>
        <w:rPr>
          <w:rFonts w:ascii="ITC Avant Garde" w:eastAsia="Times New Roman" w:hAnsi="ITC Avant Garde" w:cs="Arial"/>
          <w:lang w:eastAsia="es-MX"/>
        </w:rPr>
      </w:pPr>
      <w:r w:rsidRPr="00ED4558">
        <w:rPr>
          <w:rFonts w:ascii="ITC Avant Garde" w:eastAsia="Times New Roman" w:hAnsi="ITC Avant Garde" w:cs="Arial"/>
          <w:lang w:eastAsia="es-MX"/>
        </w:rPr>
        <w:lastRenderedPageBreak/>
        <w:t xml:space="preserve">De esta forma, las Medidas Móviles determinan la obligación a cargo del Agente Económico Preponderante de permitir la interconexión IP (Internet </w:t>
      </w:r>
      <w:proofErr w:type="spellStart"/>
      <w:r w:rsidRPr="00ED4558">
        <w:rPr>
          <w:rFonts w:ascii="ITC Avant Garde" w:eastAsia="Times New Roman" w:hAnsi="ITC Avant Garde" w:cs="Arial"/>
          <w:lang w:eastAsia="es-MX"/>
        </w:rPr>
        <w:t>Protocol</w:t>
      </w:r>
      <w:proofErr w:type="spellEnd"/>
      <w:r w:rsidRPr="00ED4558">
        <w:rPr>
          <w:rFonts w:ascii="ITC Avant Garde" w:eastAsia="Times New Roman" w:hAnsi="ITC Avant Garde" w:cs="Arial"/>
          <w:lang w:eastAsia="es-MX"/>
        </w:rPr>
        <w:t>), mediante los protocolos de señalización SIP (</w:t>
      </w:r>
      <w:proofErr w:type="spellStart"/>
      <w:r w:rsidRPr="00ED4558">
        <w:rPr>
          <w:rFonts w:ascii="ITC Avant Garde" w:eastAsia="Times New Roman" w:hAnsi="ITC Avant Garde" w:cs="Arial"/>
          <w:lang w:eastAsia="es-MX"/>
        </w:rPr>
        <w:t>Session</w:t>
      </w:r>
      <w:proofErr w:type="spellEnd"/>
      <w:r w:rsidRPr="00ED4558">
        <w:rPr>
          <w:rFonts w:ascii="ITC Avant Garde" w:eastAsia="Times New Roman" w:hAnsi="ITC Avant Garde" w:cs="Arial"/>
          <w:lang w:eastAsia="es-MX"/>
        </w:rPr>
        <w:t xml:space="preserve"> </w:t>
      </w:r>
      <w:proofErr w:type="spellStart"/>
      <w:r w:rsidRPr="00ED4558">
        <w:rPr>
          <w:rFonts w:ascii="ITC Avant Garde" w:eastAsia="Times New Roman" w:hAnsi="ITC Avant Garde" w:cs="Arial"/>
          <w:lang w:eastAsia="es-MX"/>
        </w:rPr>
        <w:t>Initiation</w:t>
      </w:r>
      <w:proofErr w:type="spellEnd"/>
      <w:r w:rsidRPr="00ED4558">
        <w:rPr>
          <w:rFonts w:ascii="ITC Avant Garde" w:eastAsia="Times New Roman" w:hAnsi="ITC Avant Garde" w:cs="Arial"/>
          <w:lang w:eastAsia="es-MX"/>
        </w:rPr>
        <w:t xml:space="preserve"> </w:t>
      </w:r>
      <w:proofErr w:type="spellStart"/>
      <w:r w:rsidRPr="00ED4558">
        <w:rPr>
          <w:rFonts w:ascii="ITC Avant Garde" w:eastAsia="Times New Roman" w:hAnsi="ITC Avant Garde" w:cs="Arial"/>
          <w:lang w:eastAsia="es-MX"/>
        </w:rPr>
        <w:t>Protocol</w:t>
      </w:r>
      <w:proofErr w:type="spellEnd"/>
      <w:r w:rsidRPr="00ED4558">
        <w:rPr>
          <w:rFonts w:ascii="ITC Avant Garde" w:eastAsia="Times New Roman" w:hAnsi="ITC Avant Garde" w:cs="Arial"/>
          <w:lang w:eastAsia="es-MX"/>
        </w:rPr>
        <w:t xml:space="preserve">), H.323 o aquel protocolo que determine el Instituto. </w:t>
      </w:r>
    </w:p>
    <w:p w14:paraId="73C22115" w14:textId="77777777" w:rsidR="00B662C1" w:rsidRPr="00ED4558" w:rsidRDefault="00B662C1" w:rsidP="00773BC1">
      <w:pPr>
        <w:spacing w:after="0"/>
        <w:jc w:val="both"/>
        <w:rPr>
          <w:rFonts w:ascii="ITC Avant Garde" w:eastAsia="Times New Roman" w:hAnsi="ITC Avant Garde" w:cs="Arial"/>
          <w:lang w:eastAsia="es-MX"/>
        </w:rPr>
      </w:pPr>
    </w:p>
    <w:p w14:paraId="797C0B13" w14:textId="77777777" w:rsidR="00B662C1" w:rsidRPr="00ED4558" w:rsidRDefault="00B662C1" w:rsidP="00773BC1">
      <w:pPr>
        <w:spacing w:after="0"/>
        <w:jc w:val="both"/>
        <w:rPr>
          <w:rFonts w:ascii="ITC Avant Garde" w:hAnsi="ITC Avant Garde" w:cs="Arial"/>
        </w:rPr>
      </w:pPr>
      <w:r w:rsidRPr="00ED4558">
        <w:rPr>
          <w:rFonts w:ascii="ITC Avant Garde" w:hAnsi="ITC Avant Garde" w:cs="Arial"/>
        </w:rPr>
        <w:t>Por otra parte, a efecto de dotar de certeza a los operadores y homologar los criterios necesarios para alcanzar la interconexión IP, en las Medidas Móviles se impuso la Medida Transitoria Octava, en los siguientes términos:</w:t>
      </w:r>
    </w:p>
    <w:p w14:paraId="26C1E033" w14:textId="77777777" w:rsidR="00B662C1" w:rsidRPr="00ED4558" w:rsidRDefault="00B662C1" w:rsidP="00773BC1">
      <w:pPr>
        <w:spacing w:after="0"/>
        <w:jc w:val="both"/>
        <w:rPr>
          <w:rFonts w:ascii="ITC Avant Garde" w:hAnsi="ITC Avant Garde" w:cs="Arial"/>
        </w:rPr>
      </w:pPr>
    </w:p>
    <w:p w14:paraId="76C2C796" w14:textId="77777777" w:rsidR="00B662C1" w:rsidRPr="00ED4558" w:rsidRDefault="00B662C1" w:rsidP="00773BC1">
      <w:pPr>
        <w:spacing w:after="0"/>
        <w:ind w:left="1417" w:right="1417"/>
        <w:jc w:val="both"/>
        <w:rPr>
          <w:rFonts w:ascii="ITC Avant Garde" w:hAnsi="ITC Avant Garde" w:cs="Arial"/>
          <w:bCs/>
          <w:i/>
          <w:sz w:val="18"/>
          <w:szCs w:val="18"/>
        </w:rPr>
      </w:pPr>
      <w:r w:rsidRPr="00ED4558">
        <w:rPr>
          <w:rFonts w:ascii="ITC Avant Garde" w:hAnsi="ITC Avant Garde" w:cs="Arial"/>
          <w:bCs/>
          <w:i/>
          <w:sz w:val="18"/>
          <w:szCs w:val="18"/>
        </w:rPr>
        <w:t xml:space="preserve">“OCTAVA.- El Instituto dará inicio a los trabajos para definir los términos de Interconexión bajo protocolos de Internet (Internet </w:t>
      </w:r>
      <w:proofErr w:type="spellStart"/>
      <w:r w:rsidRPr="00ED4558">
        <w:rPr>
          <w:rFonts w:ascii="ITC Avant Garde" w:hAnsi="ITC Avant Garde" w:cs="Arial"/>
          <w:bCs/>
          <w:i/>
          <w:sz w:val="18"/>
          <w:szCs w:val="18"/>
        </w:rPr>
        <w:t>Protocol</w:t>
      </w:r>
      <w:proofErr w:type="spellEnd"/>
      <w:r w:rsidRPr="00ED4558">
        <w:rPr>
          <w:rFonts w:ascii="ITC Avant Garde" w:hAnsi="ITC Avant Garde" w:cs="Arial"/>
          <w:bCs/>
          <w:i/>
          <w:sz w:val="18"/>
          <w:szCs w:val="18"/>
        </w:rPr>
        <w:t>), entre ellos el de inicio de sesión (SIP, por sus siglas en Inglés) y/o la recomendación internacional H.323 dentro de los noventa días naturales posteriores a la entrada en vigor de las presentes medidas.”</w:t>
      </w:r>
    </w:p>
    <w:p w14:paraId="296FB523" w14:textId="77777777" w:rsidR="00B662C1" w:rsidRPr="00ED4558" w:rsidRDefault="00B662C1" w:rsidP="00773BC1">
      <w:pPr>
        <w:spacing w:after="0"/>
        <w:jc w:val="both"/>
        <w:rPr>
          <w:rFonts w:ascii="ITC Avant Garde" w:hAnsi="ITC Avant Garde" w:cs="Arial"/>
        </w:rPr>
      </w:pPr>
    </w:p>
    <w:p w14:paraId="3D84CC11" w14:textId="77777777" w:rsidR="00B662C1" w:rsidRPr="00ED4558" w:rsidRDefault="00B662C1" w:rsidP="00773BC1">
      <w:pPr>
        <w:spacing w:after="0"/>
        <w:jc w:val="both"/>
        <w:rPr>
          <w:rFonts w:ascii="ITC Avant Garde" w:hAnsi="ITC Avant Garde" w:cs="Arial"/>
        </w:rPr>
      </w:pPr>
      <w:r w:rsidRPr="00ED4558">
        <w:rPr>
          <w:rFonts w:ascii="ITC Avant Garde" w:hAnsi="ITC Avant Garde" w:cs="Arial"/>
        </w:rPr>
        <w:t>En este sentido, el 31 de diciembre de 2014 el Instituto publicó en el DOF las Condiciones Técnicas Mínimas, mediante las cuales se establecieron los parámetros mínimos para llevar acabo la interconexión por medio del protocolo SIP</w:t>
      </w:r>
      <w:r w:rsidR="00607175" w:rsidRPr="00ED4558">
        <w:rPr>
          <w:rFonts w:ascii="ITC Avant Garde" w:hAnsi="ITC Avant Garde" w:cs="Arial"/>
        </w:rPr>
        <w:t xml:space="preserve">, mientras que el 5 de noviembre de 2015 el Instituto publicó en el DOF </w:t>
      </w:r>
      <w:r w:rsidR="00643B05" w:rsidRPr="00ED4558">
        <w:rPr>
          <w:rFonts w:ascii="ITC Avant Garde" w:hAnsi="ITC Avant Garde" w:cs="Arial"/>
        </w:rPr>
        <w:t>las Condiciones Técnicas Mínimas aplicables del 1 de enero al 31 de diciembre de 2016</w:t>
      </w:r>
      <w:r w:rsidRPr="00ED4558">
        <w:rPr>
          <w:rFonts w:ascii="ITC Avant Garde" w:hAnsi="ITC Avant Garde" w:cs="Arial"/>
        </w:rPr>
        <w:t xml:space="preserve">; es así que por medio del establecimiento de dichos parámetros resulta técnicamente factible prestar el servicio de interconexión IP mediante la utilización del protocolo SIP. </w:t>
      </w:r>
    </w:p>
    <w:p w14:paraId="2A95858A" w14:textId="77777777" w:rsidR="00B662C1" w:rsidRPr="00ED4558" w:rsidRDefault="00B662C1" w:rsidP="00773BC1">
      <w:pPr>
        <w:spacing w:after="0"/>
        <w:jc w:val="both"/>
        <w:rPr>
          <w:rFonts w:ascii="ITC Avant Garde" w:hAnsi="ITC Avant Garde" w:cs="Arial"/>
        </w:rPr>
      </w:pPr>
    </w:p>
    <w:p w14:paraId="4530BF0C" w14:textId="77777777" w:rsidR="00B662C1" w:rsidRPr="00ED4558" w:rsidRDefault="00B662C1" w:rsidP="00773BC1">
      <w:pPr>
        <w:spacing w:after="0"/>
        <w:jc w:val="both"/>
        <w:rPr>
          <w:rFonts w:ascii="ITC Avant Garde" w:hAnsi="ITC Avant Garde" w:cs="Arial"/>
        </w:rPr>
      </w:pPr>
      <w:r w:rsidRPr="00ED4558">
        <w:rPr>
          <w:rFonts w:ascii="ITC Avant Garde" w:hAnsi="ITC Avant Garde" w:cs="Arial"/>
        </w:rPr>
        <w:t xml:space="preserve">A mayor abundamiento, de las constancias que obran en los expedientes de este Instituto se observa que el 7 de julio de 2015 con número de folio 9944, se inscribió en el Registro Público de Telecomunicaciones el Convenio para la interconexión de la red del servicio de larga distancia de </w:t>
      </w:r>
      <w:r w:rsidRPr="00ED4558">
        <w:rPr>
          <w:rFonts w:ascii="ITC Avant Garde" w:eastAsia="Times New Roman" w:hAnsi="ITC Avant Garde"/>
          <w:bCs/>
          <w:lang w:val="es-ES" w:eastAsia="es-ES"/>
        </w:rPr>
        <w:t xml:space="preserve">Operadora </w:t>
      </w:r>
      <w:proofErr w:type="spellStart"/>
      <w:r w:rsidRPr="00ED4558">
        <w:rPr>
          <w:rFonts w:ascii="ITC Avant Garde" w:eastAsia="Times New Roman" w:hAnsi="ITC Avant Garde"/>
          <w:bCs/>
          <w:lang w:val="es-ES" w:eastAsia="es-ES"/>
        </w:rPr>
        <w:t>Unefon</w:t>
      </w:r>
      <w:proofErr w:type="spellEnd"/>
      <w:r w:rsidRPr="00ED4558">
        <w:rPr>
          <w:rFonts w:ascii="ITC Avant Garde" w:eastAsia="Times New Roman" w:hAnsi="ITC Avant Garde"/>
          <w:bCs/>
          <w:lang w:val="es-ES" w:eastAsia="es-ES"/>
        </w:rPr>
        <w:t>, S.A. de C.V.</w:t>
      </w:r>
      <w:r w:rsidRPr="00ED4558">
        <w:rPr>
          <w:rFonts w:ascii="ITC Avant Garde" w:hAnsi="ITC Avant Garde" w:cs="Arial"/>
        </w:rPr>
        <w:t xml:space="preserve">, con la red local móvil de </w:t>
      </w:r>
      <w:proofErr w:type="spellStart"/>
      <w:r w:rsidRPr="00ED4558">
        <w:rPr>
          <w:rFonts w:ascii="ITC Avant Garde" w:hAnsi="ITC Avant Garde" w:cs="Arial"/>
        </w:rPr>
        <w:t>Radiomóvil</w:t>
      </w:r>
      <w:proofErr w:type="spellEnd"/>
      <w:r w:rsidRPr="00ED4558">
        <w:rPr>
          <w:rFonts w:ascii="ITC Avant Garde" w:hAnsi="ITC Avant Garde" w:cs="Arial"/>
        </w:rPr>
        <w:t xml:space="preserve"> </w:t>
      </w:r>
      <w:proofErr w:type="spellStart"/>
      <w:r w:rsidRPr="00ED4558">
        <w:rPr>
          <w:rFonts w:ascii="ITC Avant Garde" w:hAnsi="ITC Avant Garde" w:cs="Arial"/>
        </w:rPr>
        <w:t>Dipsa</w:t>
      </w:r>
      <w:proofErr w:type="spellEnd"/>
      <w:r w:rsidRPr="00ED4558">
        <w:rPr>
          <w:rFonts w:ascii="ITC Avant Garde" w:hAnsi="ITC Avant Garde" w:cs="Arial"/>
        </w:rPr>
        <w:t>, S.A. de C.V., en el que se incluye la interconexión mediante el protocolo de señalización SIP (</w:t>
      </w:r>
      <w:proofErr w:type="spellStart"/>
      <w:r w:rsidRPr="00ED4558">
        <w:rPr>
          <w:rFonts w:ascii="ITC Avant Garde" w:hAnsi="ITC Avant Garde" w:cs="Arial"/>
        </w:rPr>
        <w:t>Session</w:t>
      </w:r>
      <w:proofErr w:type="spellEnd"/>
      <w:r w:rsidRPr="00ED4558">
        <w:rPr>
          <w:rFonts w:ascii="ITC Avant Garde" w:hAnsi="ITC Avant Garde" w:cs="Arial"/>
        </w:rPr>
        <w:t xml:space="preserve"> </w:t>
      </w:r>
      <w:proofErr w:type="spellStart"/>
      <w:r w:rsidRPr="00ED4558">
        <w:rPr>
          <w:rFonts w:ascii="ITC Avant Garde" w:hAnsi="ITC Avant Garde" w:cs="Arial"/>
        </w:rPr>
        <w:t>Initiation</w:t>
      </w:r>
      <w:proofErr w:type="spellEnd"/>
      <w:r w:rsidRPr="00ED4558">
        <w:rPr>
          <w:rFonts w:ascii="ITC Avant Garde" w:hAnsi="ITC Avant Garde" w:cs="Arial"/>
        </w:rPr>
        <w:t xml:space="preserve"> </w:t>
      </w:r>
      <w:proofErr w:type="spellStart"/>
      <w:r w:rsidRPr="00ED4558">
        <w:rPr>
          <w:rFonts w:ascii="ITC Avant Garde" w:hAnsi="ITC Avant Garde" w:cs="Arial"/>
        </w:rPr>
        <w:t>Protocol</w:t>
      </w:r>
      <w:proofErr w:type="spellEnd"/>
      <w:r w:rsidRPr="00ED4558">
        <w:rPr>
          <w:rFonts w:ascii="ITC Avant Garde" w:hAnsi="ITC Avant Garde" w:cs="Arial"/>
        </w:rPr>
        <w:t>), por lo que en términos del numeral 7.1 del Plan de Interconexión, Telcel estará obligado a hacer disponible dicho protocolo de Interconexión a otros concesionarios.</w:t>
      </w:r>
    </w:p>
    <w:p w14:paraId="7A1E06DF" w14:textId="77777777" w:rsidR="00B662C1" w:rsidRPr="00ED4558" w:rsidRDefault="00B662C1" w:rsidP="00773BC1">
      <w:pPr>
        <w:spacing w:after="0"/>
        <w:jc w:val="both"/>
        <w:rPr>
          <w:rFonts w:ascii="ITC Avant Garde" w:hAnsi="ITC Avant Garde" w:cs="Arial"/>
        </w:rPr>
      </w:pPr>
    </w:p>
    <w:p w14:paraId="6CFA9F35" w14:textId="77777777" w:rsidR="001B6762" w:rsidRPr="00ED4558" w:rsidRDefault="001B6762" w:rsidP="001B6762">
      <w:pPr>
        <w:spacing w:after="0"/>
        <w:jc w:val="both"/>
        <w:rPr>
          <w:rFonts w:ascii="ITC Avant Garde" w:hAnsi="ITC Avant Garde"/>
          <w:lang w:eastAsia="es-ES"/>
        </w:rPr>
      </w:pPr>
      <w:r w:rsidRPr="00ED4558">
        <w:rPr>
          <w:rFonts w:ascii="ITC Avant Garde" w:hAnsi="ITC Avant Garde"/>
          <w:lang w:eastAsia="es-ES"/>
        </w:rPr>
        <w:t>No pasa por alto a este Instituto que en el sector telecomunicaciones existe una tendencia hacia la migración de las redes de telecomunicaciones a redes de próxima generación (NGN, por sus siglas en inglés) basadas en tecnologías IP, en las que mediante una misma red de telecomunicac</w:t>
      </w:r>
      <w:r w:rsidR="006C71A4" w:rsidRPr="00ED4558">
        <w:rPr>
          <w:rFonts w:ascii="ITC Avant Garde" w:hAnsi="ITC Avant Garde"/>
          <w:lang w:eastAsia="es-ES"/>
        </w:rPr>
        <w:t>iones se prestan</w:t>
      </w:r>
      <w:r w:rsidRPr="00ED4558">
        <w:rPr>
          <w:rFonts w:ascii="ITC Avant Garde" w:hAnsi="ITC Avant Garde"/>
          <w:lang w:eastAsia="es-ES"/>
        </w:rPr>
        <w:t xml:space="preserve"> múltiples servicios como voz, datos y video.</w:t>
      </w:r>
    </w:p>
    <w:p w14:paraId="65BA9A61" w14:textId="77777777" w:rsidR="001B6762" w:rsidRPr="00ED4558" w:rsidRDefault="001B6762" w:rsidP="001B6762">
      <w:pPr>
        <w:spacing w:after="0"/>
        <w:jc w:val="both"/>
        <w:rPr>
          <w:rFonts w:ascii="ITC Avant Garde" w:hAnsi="ITC Avant Garde"/>
          <w:lang w:eastAsia="es-ES"/>
        </w:rPr>
      </w:pPr>
    </w:p>
    <w:p w14:paraId="42C16B42" w14:textId="77777777" w:rsidR="001B6762" w:rsidRPr="00ED4558" w:rsidRDefault="001B6762" w:rsidP="001B6762">
      <w:pPr>
        <w:spacing w:after="0"/>
        <w:jc w:val="both"/>
        <w:rPr>
          <w:rFonts w:ascii="ITC Avant Garde" w:hAnsi="ITC Avant Garde"/>
          <w:lang w:eastAsia="es-ES"/>
        </w:rPr>
      </w:pPr>
      <w:r w:rsidRPr="00ED4558">
        <w:rPr>
          <w:rFonts w:ascii="ITC Avant Garde" w:hAnsi="ITC Avant Garde"/>
          <w:lang w:eastAsia="es-ES"/>
        </w:rPr>
        <w:t xml:space="preserve">La tecnología IP ha implicado una reducción en los costos de prestación de servicios de telecomunicaciones permitiendo reducir los costos unitarios de los operadores debido a </w:t>
      </w:r>
      <w:r w:rsidRPr="00ED4558">
        <w:rPr>
          <w:rFonts w:ascii="ITC Avant Garde" w:hAnsi="ITC Avant Garde"/>
          <w:lang w:eastAsia="es-ES"/>
        </w:rPr>
        <w:lastRenderedPageBreak/>
        <w:t>que las economías de alcance permiten repartir los costos fijos entre un mayor número de servicios.</w:t>
      </w:r>
    </w:p>
    <w:p w14:paraId="113C8BA9" w14:textId="77777777" w:rsidR="001B6762" w:rsidRPr="00ED4558" w:rsidRDefault="001B6762" w:rsidP="001B6762">
      <w:pPr>
        <w:spacing w:after="0"/>
        <w:jc w:val="both"/>
        <w:rPr>
          <w:rFonts w:ascii="ITC Avant Garde" w:hAnsi="ITC Avant Garde"/>
          <w:lang w:eastAsia="es-ES"/>
        </w:rPr>
      </w:pPr>
    </w:p>
    <w:p w14:paraId="5AC68D36" w14:textId="77777777" w:rsidR="001B6762" w:rsidRPr="00ED4558" w:rsidRDefault="001B6762" w:rsidP="001B6762">
      <w:pPr>
        <w:spacing w:after="0"/>
        <w:jc w:val="both"/>
        <w:rPr>
          <w:rFonts w:ascii="ITC Avant Garde" w:hAnsi="ITC Avant Garde"/>
          <w:lang w:eastAsia="es-ES"/>
        </w:rPr>
      </w:pPr>
      <w:r w:rsidRPr="00ED4558">
        <w:rPr>
          <w:rFonts w:ascii="ITC Avant Garde" w:hAnsi="ITC Avant Garde"/>
          <w:lang w:eastAsia="es-ES"/>
        </w:rPr>
        <w:t>En este sentido, tomando en cuenta la factibilidad jurídica, el desarrollo tecnológico, la innovación y dinamismo de las telecomunicaciones, existe la necesidad que en todo momento quede garantizado el correcto enrutamiento de las comunicaciones para el intercambio de información entre redes con la adopción de diseños de arquitectura abierta de red, tal y como se establece en la Ley, asegurando con ello la neutralidad tecnológica.</w:t>
      </w:r>
    </w:p>
    <w:p w14:paraId="0E244103" w14:textId="77777777" w:rsidR="001B6762" w:rsidRPr="00ED4558" w:rsidRDefault="001B6762" w:rsidP="001B6762">
      <w:pPr>
        <w:spacing w:after="0"/>
        <w:jc w:val="both"/>
        <w:rPr>
          <w:rFonts w:ascii="ITC Avant Garde" w:hAnsi="ITC Avant Garde"/>
          <w:lang w:eastAsia="es-ES"/>
        </w:rPr>
      </w:pPr>
    </w:p>
    <w:p w14:paraId="1FDED540" w14:textId="77777777" w:rsidR="00B662C1" w:rsidRPr="00ED4558" w:rsidRDefault="001B6762" w:rsidP="00773BC1">
      <w:pPr>
        <w:spacing w:after="0"/>
        <w:jc w:val="both"/>
        <w:rPr>
          <w:rFonts w:ascii="ITC Avant Garde" w:hAnsi="ITC Avant Garde"/>
        </w:rPr>
      </w:pPr>
      <w:r w:rsidRPr="00ED4558">
        <w:rPr>
          <w:rFonts w:ascii="ITC Avant Garde" w:hAnsi="ITC Avant Garde"/>
          <w:lang w:eastAsia="es-ES"/>
        </w:rPr>
        <w:t>Por lo anterior,</w:t>
      </w:r>
      <w:r w:rsidRPr="00ED4558">
        <w:rPr>
          <w:rFonts w:ascii="ITC Avant Garde" w:hAnsi="ITC Avant Garde"/>
        </w:rPr>
        <w:t xml:space="preserve"> </w:t>
      </w:r>
      <w:r w:rsidR="00B662C1" w:rsidRPr="00ED4558">
        <w:rPr>
          <w:rFonts w:ascii="ITC Avant Garde" w:hAnsi="ITC Avant Garde" w:cs="Arial"/>
        </w:rPr>
        <w:t>y toda vez que el supuesto de la definición los términos y condiciones aplicables a la interconexión IP mediante la utilización del protocolo SIP al que se refiere la Medida Octava Transitoria antes citada  ha sido actualizado con la publicación de las Condiciones Técnicas Mínimas, y que Telcel ha suscrito un Convenio de Interconexión que incluye la interconexión mediante el protocolo de señalización SIP (</w:t>
      </w:r>
      <w:proofErr w:type="spellStart"/>
      <w:r w:rsidR="00B662C1" w:rsidRPr="00ED4558">
        <w:rPr>
          <w:rFonts w:ascii="ITC Avant Garde" w:hAnsi="ITC Avant Garde" w:cs="Arial"/>
        </w:rPr>
        <w:t>Session</w:t>
      </w:r>
      <w:proofErr w:type="spellEnd"/>
      <w:r w:rsidR="00B662C1" w:rsidRPr="00ED4558">
        <w:rPr>
          <w:rFonts w:ascii="ITC Avant Garde" w:hAnsi="ITC Avant Garde" w:cs="Arial"/>
        </w:rPr>
        <w:t xml:space="preserve"> </w:t>
      </w:r>
      <w:proofErr w:type="spellStart"/>
      <w:r w:rsidR="00B662C1" w:rsidRPr="00ED4558">
        <w:rPr>
          <w:rFonts w:ascii="ITC Avant Garde" w:hAnsi="ITC Avant Garde" w:cs="Arial"/>
        </w:rPr>
        <w:t>Initiation</w:t>
      </w:r>
      <w:proofErr w:type="spellEnd"/>
      <w:r w:rsidR="00B662C1" w:rsidRPr="00ED4558">
        <w:rPr>
          <w:rFonts w:ascii="ITC Avant Garde" w:hAnsi="ITC Avant Garde" w:cs="Arial"/>
        </w:rPr>
        <w:t xml:space="preserve"> </w:t>
      </w:r>
      <w:proofErr w:type="spellStart"/>
      <w:r w:rsidR="00B662C1" w:rsidRPr="00ED4558">
        <w:rPr>
          <w:rFonts w:ascii="ITC Avant Garde" w:hAnsi="ITC Avant Garde" w:cs="Arial"/>
        </w:rPr>
        <w:t>Protocol</w:t>
      </w:r>
      <w:proofErr w:type="spellEnd"/>
      <w:r w:rsidR="00B662C1" w:rsidRPr="00ED4558">
        <w:rPr>
          <w:rFonts w:ascii="ITC Avant Garde" w:hAnsi="ITC Avant Garde" w:cs="Arial"/>
        </w:rPr>
        <w:t xml:space="preserve">),  este Instituto determina que Telcel deberá otorgar a </w:t>
      </w:r>
      <w:r w:rsidR="006C71A4" w:rsidRPr="00ED4558">
        <w:rPr>
          <w:rFonts w:ascii="ITC Avant Garde" w:hAnsi="ITC Avant Garde" w:cs="Arial"/>
        </w:rPr>
        <w:t xml:space="preserve">Cablevisión Red </w:t>
      </w:r>
      <w:r w:rsidR="00B662C1" w:rsidRPr="00ED4558">
        <w:rPr>
          <w:rFonts w:ascii="ITC Avant Garde" w:hAnsi="ITC Avant Garde" w:cs="Arial"/>
        </w:rPr>
        <w:t xml:space="preserve">la interconexión mediante el protocolo de señalización SIP, en términos de lo establecido en la Resolución del AEP, las Condiciones Técnicas Mínimas </w:t>
      </w:r>
      <w:r w:rsidR="007710BA" w:rsidRPr="00ED4558">
        <w:rPr>
          <w:rFonts w:ascii="ITC Avant Garde" w:hAnsi="ITC Avant Garde" w:cs="Arial"/>
          <w:bCs/>
        </w:rPr>
        <w:t>o aquellas que las modifiquen o sustituyan</w:t>
      </w:r>
      <w:r w:rsidR="006C71A4" w:rsidRPr="00ED4558">
        <w:rPr>
          <w:rFonts w:ascii="ITC Avant Garde" w:hAnsi="ITC Avant Garde" w:cs="Arial"/>
          <w:bCs/>
        </w:rPr>
        <w:t xml:space="preserve">, </w:t>
      </w:r>
      <w:r w:rsidR="00B662C1" w:rsidRPr="00ED4558">
        <w:rPr>
          <w:rFonts w:ascii="ITC Avant Garde" w:hAnsi="ITC Avant Garde" w:cs="Arial"/>
        </w:rPr>
        <w:t>y en términos no discriminatorios respecto de lo convenido con otros concesionarios.</w:t>
      </w:r>
    </w:p>
    <w:p w14:paraId="42A7C4D4" w14:textId="77777777" w:rsidR="00B662C1" w:rsidRPr="00ED4558" w:rsidRDefault="00B662C1" w:rsidP="00773BC1">
      <w:pPr>
        <w:spacing w:after="0"/>
        <w:jc w:val="both"/>
        <w:rPr>
          <w:rFonts w:ascii="ITC Avant Garde" w:hAnsi="ITC Avant Garde" w:cs="Arial"/>
        </w:rPr>
      </w:pPr>
    </w:p>
    <w:p w14:paraId="3936C4EB" w14:textId="77777777" w:rsidR="00B662C1" w:rsidRPr="00ED4558" w:rsidRDefault="00B662C1" w:rsidP="00773BC1">
      <w:pPr>
        <w:spacing w:after="0"/>
        <w:jc w:val="both"/>
        <w:rPr>
          <w:rFonts w:ascii="ITC Avant Garde" w:hAnsi="ITC Avant Garde" w:cs="Arial"/>
        </w:rPr>
      </w:pPr>
      <w:r w:rsidRPr="00ED4558">
        <w:rPr>
          <w:rFonts w:ascii="ITC Avant Garde" w:hAnsi="ITC Avant Garde" w:cs="Arial"/>
        </w:rPr>
        <w:t xml:space="preserve">Asimismo, y toda vez que es el propio </w:t>
      </w:r>
      <w:r w:rsidR="006C71A4" w:rsidRPr="00ED4558">
        <w:rPr>
          <w:rFonts w:ascii="ITC Avant Garde" w:hAnsi="ITC Avant Garde" w:cs="Arial"/>
        </w:rPr>
        <w:t xml:space="preserve">Cablevisión Red </w:t>
      </w:r>
      <w:r w:rsidRPr="00ED4558">
        <w:rPr>
          <w:rFonts w:ascii="ITC Avant Garde" w:hAnsi="ITC Avant Garde" w:cs="Arial"/>
        </w:rPr>
        <w:t xml:space="preserve">quien ha solicitado a Telcel la interconexión mediante el protocolo de Internet (IP) en su modalidad SIP, y que por virtud de la presente Resolución se genera la obligación de interconectarse mediante dicha modalidad técnica, </w:t>
      </w:r>
      <w:r w:rsidR="006C71A4" w:rsidRPr="00ED4558">
        <w:rPr>
          <w:rFonts w:ascii="ITC Avant Garde" w:hAnsi="ITC Avant Garde" w:cs="Arial"/>
        </w:rPr>
        <w:t xml:space="preserve">Cablevisión Red </w:t>
      </w:r>
      <w:r w:rsidRPr="00ED4558">
        <w:rPr>
          <w:rFonts w:ascii="ITC Avant Garde" w:hAnsi="ITC Avant Garde" w:cs="Arial"/>
        </w:rPr>
        <w:t>deberá otorgar la interconexión mediante el protocolo de señalización SIP (</w:t>
      </w:r>
      <w:proofErr w:type="spellStart"/>
      <w:r w:rsidRPr="00ED4558">
        <w:rPr>
          <w:rFonts w:ascii="ITC Avant Garde" w:hAnsi="ITC Avant Garde" w:cs="Arial"/>
        </w:rPr>
        <w:t>Session</w:t>
      </w:r>
      <w:proofErr w:type="spellEnd"/>
      <w:r w:rsidRPr="00ED4558">
        <w:rPr>
          <w:rFonts w:ascii="ITC Avant Garde" w:hAnsi="ITC Avant Garde" w:cs="Arial"/>
        </w:rPr>
        <w:t xml:space="preserve"> </w:t>
      </w:r>
      <w:proofErr w:type="spellStart"/>
      <w:r w:rsidRPr="00ED4558">
        <w:rPr>
          <w:rFonts w:ascii="ITC Avant Garde" w:hAnsi="ITC Avant Garde" w:cs="Arial"/>
        </w:rPr>
        <w:t>Initiation</w:t>
      </w:r>
      <w:proofErr w:type="spellEnd"/>
      <w:r w:rsidRPr="00ED4558">
        <w:rPr>
          <w:rFonts w:ascii="ITC Avant Garde" w:hAnsi="ITC Avant Garde" w:cs="Arial"/>
        </w:rPr>
        <w:t xml:space="preserve"> </w:t>
      </w:r>
      <w:proofErr w:type="spellStart"/>
      <w:r w:rsidRPr="00ED4558">
        <w:rPr>
          <w:rFonts w:ascii="ITC Avant Garde" w:hAnsi="ITC Avant Garde" w:cs="Arial"/>
        </w:rPr>
        <w:t>Protocol</w:t>
      </w:r>
      <w:proofErr w:type="spellEnd"/>
      <w:r w:rsidRPr="00ED4558">
        <w:rPr>
          <w:rFonts w:ascii="ITC Avant Garde" w:hAnsi="ITC Avant Garde" w:cs="Arial"/>
        </w:rPr>
        <w:t>), en términos no discriminatorios a los concesionarios que en un futuro lo soliciten.</w:t>
      </w:r>
    </w:p>
    <w:p w14:paraId="052D454A" w14:textId="77777777" w:rsidR="00B662C1" w:rsidRPr="00ED4558" w:rsidRDefault="00B662C1" w:rsidP="00773BC1">
      <w:pPr>
        <w:spacing w:after="0"/>
        <w:jc w:val="both"/>
        <w:rPr>
          <w:rFonts w:ascii="ITC Avant Garde" w:hAnsi="ITC Avant Garde" w:cs="Arial"/>
        </w:rPr>
      </w:pPr>
    </w:p>
    <w:p w14:paraId="34C7DA29" w14:textId="77777777" w:rsidR="00B662C1" w:rsidRPr="00ED4558" w:rsidRDefault="00B662C1" w:rsidP="00773BC1">
      <w:pPr>
        <w:spacing w:after="0"/>
        <w:jc w:val="both"/>
        <w:rPr>
          <w:rFonts w:ascii="ITC Avant Garde" w:hAnsi="ITC Avant Garde" w:cs="Arial"/>
        </w:rPr>
      </w:pPr>
      <w:r w:rsidRPr="00ED4558">
        <w:rPr>
          <w:rFonts w:ascii="ITC Avant Garde" w:hAnsi="ITC Avant Garde" w:cs="Arial"/>
        </w:rPr>
        <w:t>Lo anterior, sin perjuicio de que los protocolos de interconexión obligatorios para las partes serán aquellos que se establezcan a través de las disposiciones legales y administrativas aplicables.</w:t>
      </w:r>
    </w:p>
    <w:p w14:paraId="72092C29" w14:textId="77777777" w:rsidR="0041728F" w:rsidRPr="00ED4558" w:rsidRDefault="0041728F" w:rsidP="00773BC1">
      <w:pPr>
        <w:spacing w:after="0"/>
        <w:jc w:val="both"/>
        <w:rPr>
          <w:rFonts w:ascii="ITC Avant Garde" w:hAnsi="ITC Avant Garde" w:cs="Arial"/>
        </w:rPr>
      </w:pPr>
    </w:p>
    <w:p w14:paraId="64F015DB" w14:textId="77777777" w:rsidR="003B6FA7" w:rsidRPr="00ED4558" w:rsidRDefault="00AB7E77" w:rsidP="00773BC1">
      <w:pPr>
        <w:spacing w:after="0"/>
        <w:jc w:val="both"/>
        <w:rPr>
          <w:rFonts w:ascii="ITC Avant Garde" w:hAnsi="ITC Avant Garde" w:cs="Arial"/>
        </w:rPr>
      </w:pPr>
      <w:r w:rsidRPr="00ED4558">
        <w:rPr>
          <w:rFonts w:ascii="ITC Avant Garde" w:hAnsi="ITC Avant Garde" w:cs="Arial"/>
        </w:rPr>
        <w:t xml:space="preserve">Por otra parte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w:t>
      </w:r>
      <w:r w:rsidRPr="00ED4558">
        <w:rPr>
          <w:rFonts w:ascii="ITC Avant Garde" w:hAnsi="ITC Avant Garde" w:cs="Arial"/>
        </w:rPr>
        <w:lastRenderedPageBreak/>
        <w:t xml:space="preserve">177, fracción XV y 178 de la </w:t>
      </w:r>
      <w:proofErr w:type="spellStart"/>
      <w:r w:rsidRPr="00ED4558">
        <w:rPr>
          <w:rFonts w:ascii="ITC Avant Garde" w:hAnsi="ITC Avant Garde" w:cs="Arial"/>
        </w:rPr>
        <w:t>LFTyR</w:t>
      </w:r>
      <w:proofErr w:type="spellEnd"/>
      <w:r w:rsidRPr="00ED4558">
        <w:rPr>
          <w:rFonts w:ascii="ITC Avant Garde" w:hAnsi="ITC Avant Garde" w:cs="Arial"/>
        </w:rPr>
        <w:t>, la presente Resolución será inscrita en el Registro Público de Telecomunicaciones a cargo del propio Instituto.</w:t>
      </w:r>
    </w:p>
    <w:p w14:paraId="6983613A" w14:textId="77777777" w:rsidR="003B6FA7" w:rsidRPr="00ED4558" w:rsidRDefault="003B6FA7" w:rsidP="00773BC1">
      <w:pPr>
        <w:spacing w:after="0"/>
        <w:jc w:val="both"/>
        <w:rPr>
          <w:rFonts w:ascii="ITC Avant Garde" w:hAnsi="ITC Avant Garde" w:cs="Arial"/>
        </w:rPr>
      </w:pPr>
    </w:p>
    <w:p w14:paraId="7035D2C5" w14:textId="4FDBE391" w:rsidR="0010524D" w:rsidRPr="00ED4558" w:rsidRDefault="00A70124" w:rsidP="00773BC1">
      <w:pPr>
        <w:spacing w:after="0"/>
        <w:jc w:val="both"/>
        <w:rPr>
          <w:rFonts w:ascii="ITC Avant Garde" w:hAnsi="ITC Avant Garde" w:cs="Arial"/>
        </w:rPr>
      </w:pPr>
      <w:r w:rsidRPr="00ED4558">
        <w:rPr>
          <w:rFonts w:ascii="ITC Avant Garde" w:hAnsi="ITC Avant Garde" w:cs="Arial"/>
        </w:rPr>
        <w:t xml:space="preserve">Lo anterior, sin perjuicio de que </w:t>
      </w:r>
      <w:r w:rsidR="00A552D0" w:rsidRPr="00ED4558">
        <w:rPr>
          <w:rFonts w:ascii="ITC Avant Garde" w:hAnsi="ITC Avant Garde" w:cs="Arial"/>
        </w:rPr>
        <w:t>Telcel</w:t>
      </w:r>
      <w:r w:rsidR="00E729CA" w:rsidRPr="00ED4558">
        <w:rPr>
          <w:rFonts w:ascii="ITC Avant Garde" w:hAnsi="ITC Avant Garde" w:cs="Arial"/>
        </w:rPr>
        <w:t xml:space="preserve"> </w:t>
      </w:r>
      <w:r w:rsidRPr="00ED4558">
        <w:rPr>
          <w:rFonts w:ascii="ITC Avant Garde" w:hAnsi="ITC Avant Garde" w:cs="Arial"/>
        </w:rPr>
        <w:t xml:space="preserve">y </w:t>
      </w:r>
      <w:r w:rsidR="001A5E8F" w:rsidRPr="00ED4558">
        <w:rPr>
          <w:rFonts w:ascii="ITC Avant Garde" w:hAnsi="ITC Avant Garde" w:cs="Arial"/>
        </w:rPr>
        <w:t xml:space="preserve">Cablevisión Red </w:t>
      </w:r>
      <w:r w:rsidRPr="00ED4558">
        <w:rPr>
          <w:rFonts w:ascii="ITC Avant Garde" w:hAnsi="ITC Avant Garde" w:cs="Arial"/>
        </w:rPr>
        <w:t>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w:t>
      </w:r>
      <w:r w:rsidR="00697402" w:rsidRPr="00ED4558">
        <w:rPr>
          <w:rFonts w:ascii="ITC Avant Garde" w:hAnsi="ITC Avant Garde" w:cs="Arial"/>
        </w:rPr>
        <w:t>,</w:t>
      </w:r>
      <w:r w:rsidRPr="00ED4558">
        <w:rPr>
          <w:rFonts w:ascii="ITC Avant Garde" w:hAnsi="ITC Avant Garde" w:cs="Arial"/>
        </w:rPr>
        <w:t xml:space="preserve"> 177 </w:t>
      </w:r>
      <w:proofErr w:type="gramStart"/>
      <w:r w:rsidRPr="00ED4558">
        <w:rPr>
          <w:rFonts w:ascii="ITC Avant Garde" w:hAnsi="ITC Avant Garde" w:cs="Arial"/>
        </w:rPr>
        <w:t>fracción</w:t>
      </w:r>
      <w:proofErr w:type="gramEnd"/>
      <w:r w:rsidRPr="00ED4558">
        <w:rPr>
          <w:rFonts w:ascii="ITC Avant Garde" w:hAnsi="ITC Avant Garde" w:cs="Arial"/>
        </w:rPr>
        <w:t xml:space="preserve"> VII</w:t>
      </w:r>
      <w:r w:rsidR="00697402" w:rsidRPr="00ED4558">
        <w:rPr>
          <w:rFonts w:ascii="ITC Avant Garde" w:hAnsi="ITC Avant Garde" w:cs="Arial"/>
        </w:rPr>
        <w:t xml:space="preserve"> y 178</w:t>
      </w:r>
      <w:r w:rsidRPr="00ED4558">
        <w:rPr>
          <w:rFonts w:ascii="ITC Avant Garde" w:hAnsi="ITC Avant Garde" w:cs="Arial"/>
        </w:rPr>
        <w:t xml:space="preserve"> de la </w:t>
      </w:r>
      <w:proofErr w:type="spellStart"/>
      <w:r w:rsidRPr="00ED4558">
        <w:rPr>
          <w:rFonts w:ascii="ITC Avant Garde" w:hAnsi="ITC Avant Garde" w:cs="Arial"/>
        </w:rPr>
        <w:t>LFTyR</w:t>
      </w:r>
      <w:proofErr w:type="spellEnd"/>
      <w:r w:rsidRPr="00ED4558">
        <w:rPr>
          <w:rFonts w:ascii="ITC Avant Garde" w:hAnsi="ITC Avant Garde" w:cs="Arial"/>
        </w:rPr>
        <w:t>.</w:t>
      </w:r>
    </w:p>
    <w:p w14:paraId="5BE3D490" w14:textId="77777777" w:rsidR="0010524D" w:rsidRPr="00ED4558" w:rsidRDefault="0010524D" w:rsidP="00773BC1">
      <w:pPr>
        <w:spacing w:after="0"/>
        <w:jc w:val="both"/>
        <w:rPr>
          <w:rFonts w:ascii="ITC Avant Garde" w:hAnsi="ITC Avant Garde"/>
        </w:rPr>
      </w:pPr>
    </w:p>
    <w:p w14:paraId="4E5E8209" w14:textId="77777777" w:rsidR="00F3248E" w:rsidRPr="00ED4558" w:rsidRDefault="00F3248E" w:rsidP="00F3248E">
      <w:pPr>
        <w:spacing w:after="0"/>
        <w:jc w:val="both"/>
        <w:rPr>
          <w:rFonts w:ascii="ITC Avant Garde" w:hAnsi="ITC Avant Garde"/>
        </w:rPr>
      </w:pPr>
      <w:r w:rsidRPr="00ED4558">
        <w:rPr>
          <w:rFonts w:ascii="ITC Avant Garde" w:hAnsi="ITC Avant Garde"/>
        </w:rPr>
        <w:t>Con base en lo anterior y con fundamento en lo dispuesto por los artículo 28 párrafos décimo quinto y décimo sexto de la Constitución Política de los Estados Unidos Mexicanos; 6 fracciones IV y VII, 15 fracción X, 17 fracción I, 125, 128 y 129 fracciones VII, VIII y IX; 176, 177 fracción VII, 312 y 313 de la Ley Federal de Telecomunicaciones y Radiodifusión; Vigésimo Transitorio del Decreto por el que se expiden la Ley Federal de Telecomunicaciones y Radiodifusión y la Ley del Sistema Público de Radiodifusión del Estado Mexicano y se reforman, adicionan y derogan diversas disposiciones en materia de telecomunicaciones y radiodifusión 16 fracción X, 32, 35 fracción I, 36, 38, 39, 45 y 57 de la Ley Federal de Procedimiento Administrativo; 72, 73, 74, 197, 211 Y 218 del Código Federal de Procedimientos Civiles y 4 fracción I y 6 fracción XXXVII del Estatuto Orgánico del Instituto Federal de Telecomunicaciones, el Pleno del Instituto Federal de Telecomunicaciones emite los siguientes:</w:t>
      </w:r>
    </w:p>
    <w:p w14:paraId="1AAF786D" w14:textId="77777777" w:rsidR="0010524D" w:rsidRPr="00ED4558" w:rsidRDefault="0010524D" w:rsidP="00773BC1">
      <w:pPr>
        <w:spacing w:after="0"/>
        <w:jc w:val="both"/>
        <w:rPr>
          <w:rFonts w:ascii="ITC Avant Garde" w:hAnsi="ITC Avant Garde" w:cs="Arial"/>
          <w:b/>
        </w:rPr>
      </w:pPr>
    </w:p>
    <w:p w14:paraId="4C8B5959" w14:textId="77777777" w:rsidR="008B593C" w:rsidRPr="00ED4558" w:rsidRDefault="008B593C" w:rsidP="00773BC1">
      <w:pPr>
        <w:spacing w:after="0"/>
        <w:jc w:val="both"/>
        <w:rPr>
          <w:rFonts w:ascii="ITC Avant Garde" w:hAnsi="ITC Avant Garde" w:cs="Arial"/>
          <w:b/>
        </w:rPr>
      </w:pPr>
    </w:p>
    <w:p w14:paraId="18EF8BC4" w14:textId="77777777" w:rsidR="0010524D" w:rsidRPr="00ED4558" w:rsidRDefault="00AC04A2" w:rsidP="00773BC1">
      <w:pPr>
        <w:spacing w:after="0"/>
        <w:jc w:val="center"/>
        <w:rPr>
          <w:rFonts w:ascii="ITC Avant Garde" w:hAnsi="ITC Avant Garde" w:cs="Arial"/>
          <w:b/>
        </w:rPr>
      </w:pPr>
      <w:r w:rsidRPr="00ED4558">
        <w:rPr>
          <w:rFonts w:ascii="ITC Avant Garde" w:hAnsi="ITC Avant Garde" w:cs="Arial"/>
          <w:b/>
        </w:rPr>
        <w:t>RESOLUTIVOS</w:t>
      </w:r>
    </w:p>
    <w:p w14:paraId="38D1AF47" w14:textId="77777777" w:rsidR="00763BE7" w:rsidRPr="00ED4558" w:rsidRDefault="00763BE7" w:rsidP="00773BC1">
      <w:pPr>
        <w:spacing w:after="0"/>
        <w:jc w:val="center"/>
        <w:rPr>
          <w:rFonts w:ascii="ITC Avant Garde" w:hAnsi="ITC Avant Garde" w:cs="Arial"/>
          <w:b/>
        </w:rPr>
      </w:pPr>
    </w:p>
    <w:p w14:paraId="5F3DFECC" w14:textId="77777777" w:rsidR="00763BE7" w:rsidRPr="00ED4558" w:rsidRDefault="00763BE7" w:rsidP="00773BC1">
      <w:pPr>
        <w:spacing w:after="0"/>
        <w:jc w:val="center"/>
        <w:rPr>
          <w:rFonts w:ascii="ITC Avant Garde" w:hAnsi="ITC Avant Garde" w:cs="Arial"/>
          <w:b/>
        </w:rPr>
      </w:pPr>
    </w:p>
    <w:p w14:paraId="6864C74D" w14:textId="77777777" w:rsidR="0010524D" w:rsidRPr="00ED4558" w:rsidRDefault="00946933" w:rsidP="009746AC">
      <w:pPr>
        <w:spacing w:after="0"/>
        <w:jc w:val="both"/>
        <w:rPr>
          <w:rFonts w:ascii="ITC Avant Garde" w:eastAsia="Times New Roman" w:hAnsi="ITC Avant Garde"/>
          <w:b/>
          <w:bCs/>
          <w:lang w:eastAsia="es-ES"/>
        </w:rPr>
      </w:pPr>
      <w:r w:rsidRPr="00ED4558">
        <w:rPr>
          <w:rFonts w:ascii="ITC Avant Garde" w:hAnsi="ITC Avant Garde" w:cs="Arial"/>
          <w:b/>
        </w:rPr>
        <w:t>PRIMERO</w:t>
      </w:r>
      <w:r w:rsidRPr="00ED4558">
        <w:rPr>
          <w:rFonts w:ascii="ITC Avant Garde" w:hAnsi="ITC Avant Garde" w:cs="Arial"/>
        </w:rPr>
        <w:t xml:space="preserve">.- </w:t>
      </w:r>
      <w:r w:rsidR="00617D3E" w:rsidRPr="00ED4558">
        <w:rPr>
          <w:rFonts w:ascii="ITC Avant Garde" w:hAnsi="ITC Avant Garde" w:cs="Arial"/>
        </w:rPr>
        <w:t xml:space="preserve">La tarifa de interconexión que </w:t>
      </w:r>
      <w:proofErr w:type="spellStart"/>
      <w:r w:rsidR="00A552D0" w:rsidRPr="00ED4558">
        <w:rPr>
          <w:rFonts w:ascii="ITC Avant Garde" w:hAnsi="ITC Avant Garde" w:cs="Arial"/>
        </w:rPr>
        <w:t>Radiomóvil</w:t>
      </w:r>
      <w:proofErr w:type="spellEnd"/>
      <w:r w:rsidR="00A552D0" w:rsidRPr="00ED4558">
        <w:rPr>
          <w:rFonts w:ascii="ITC Avant Garde" w:hAnsi="ITC Avant Garde" w:cs="Arial"/>
        </w:rPr>
        <w:t xml:space="preserve"> </w:t>
      </w:r>
      <w:proofErr w:type="spellStart"/>
      <w:r w:rsidR="00A552D0" w:rsidRPr="00ED4558">
        <w:rPr>
          <w:rFonts w:ascii="ITC Avant Garde" w:hAnsi="ITC Avant Garde" w:cs="Arial"/>
        </w:rPr>
        <w:t>Dipsa</w:t>
      </w:r>
      <w:proofErr w:type="spellEnd"/>
      <w:r w:rsidR="00A552D0" w:rsidRPr="00ED4558">
        <w:rPr>
          <w:rFonts w:ascii="ITC Avant Garde" w:hAnsi="ITC Avant Garde" w:cs="Arial"/>
        </w:rPr>
        <w:t>, S.A de C.V.</w:t>
      </w:r>
      <w:r w:rsidR="00617D3E" w:rsidRPr="00ED4558">
        <w:rPr>
          <w:rFonts w:ascii="ITC Avant Garde" w:hAnsi="ITC Avant Garde" w:cs="Arial"/>
        </w:rPr>
        <w:t xml:space="preserve"> deberá pagar a</w:t>
      </w:r>
      <w:r w:rsidR="00ED312D" w:rsidRPr="00ED4558">
        <w:rPr>
          <w:rFonts w:ascii="ITC Avant Garde" w:hAnsi="ITC Avant Garde" w:cs="Arial"/>
        </w:rPr>
        <w:t xml:space="preserve"> </w:t>
      </w:r>
      <w:r w:rsidR="00A552D0" w:rsidRPr="00ED4558">
        <w:rPr>
          <w:rFonts w:ascii="ITC Avant Garde" w:hAnsi="ITC Avant Garde" w:cs="Arial"/>
        </w:rPr>
        <w:t>la</w:t>
      </w:r>
      <w:r w:rsidR="001A5E8F" w:rsidRPr="00ED4558">
        <w:rPr>
          <w:rFonts w:ascii="ITC Avant Garde" w:hAnsi="ITC Avant Garde" w:cs="Arial"/>
        </w:rPr>
        <w:t xml:space="preserve"> </w:t>
      </w:r>
      <w:r w:rsidR="00A552D0" w:rsidRPr="00ED4558">
        <w:rPr>
          <w:rFonts w:ascii="ITC Avant Garde" w:hAnsi="ITC Avant Garde" w:cs="Arial"/>
        </w:rPr>
        <w:t>empresa</w:t>
      </w:r>
      <w:r w:rsidR="001A5E8F" w:rsidRPr="00ED4558">
        <w:rPr>
          <w:rFonts w:ascii="ITC Avant Garde" w:hAnsi="ITC Avant Garde" w:cs="Arial"/>
        </w:rPr>
        <w:t xml:space="preserve"> Cablevisión Red, S.A. de C.V.</w:t>
      </w:r>
      <w:r w:rsidR="005943EE" w:rsidRPr="00ED4558">
        <w:rPr>
          <w:rFonts w:ascii="ITC Avant Garde" w:hAnsi="ITC Avant Garde" w:cs="Arial"/>
        </w:rPr>
        <w:t>,</w:t>
      </w:r>
      <w:r w:rsidR="00F361E0" w:rsidRPr="00ED4558">
        <w:rPr>
          <w:rFonts w:ascii="ITC Avant Garde" w:hAnsi="ITC Avant Garde" w:cs="Arial"/>
        </w:rPr>
        <w:t xml:space="preserve"> </w:t>
      </w:r>
      <w:r w:rsidR="00617D3E" w:rsidRPr="00ED4558">
        <w:rPr>
          <w:rFonts w:ascii="ITC Avant Garde" w:hAnsi="ITC Avant Garde" w:cs="Arial"/>
        </w:rPr>
        <w:t xml:space="preserve">por </w:t>
      </w:r>
      <w:r w:rsidR="00A552D0" w:rsidRPr="00ED4558">
        <w:rPr>
          <w:rFonts w:ascii="ITC Avant Garde" w:hAnsi="ITC Avant Garde" w:cs="Arial"/>
        </w:rPr>
        <w:t>servicios de terminación del servicio local en usuario</w:t>
      </w:r>
      <w:r w:rsidR="00566891" w:rsidRPr="00ED4558">
        <w:rPr>
          <w:rFonts w:ascii="ITC Avant Garde" w:hAnsi="ITC Avant Garde" w:cs="Arial"/>
        </w:rPr>
        <w:t>s</w:t>
      </w:r>
      <w:r w:rsidR="00A552D0" w:rsidRPr="00ED4558">
        <w:rPr>
          <w:rFonts w:ascii="ITC Avant Garde" w:hAnsi="ITC Avant Garde" w:cs="Arial"/>
        </w:rPr>
        <w:t xml:space="preserve"> fijos</w:t>
      </w:r>
      <w:r w:rsidR="00617D3E" w:rsidRPr="00ED4558">
        <w:rPr>
          <w:rFonts w:ascii="ITC Avant Garde" w:hAnsi="ITC Avant Garde" w:cs="Arial"/>
        </w:rPr>
        <w:t>, será la siguiente:</w:t>
      </w:r>
    </w:p>
    <w:p w14:paraId="7D3EC417" w14:textId="77777777" w:rsidR="0010524D" w:rsidRPr="00ED4558" w:rsidRDefault="0010524D" w:rsidP="00773BC1">
      <w:pPr>
        <w:spacing w:after="0"/>
        <w:jc w:val="both"/>
        <w:rPr>
          <w:rFonts w:ascii="ITC Avant Garde" w:hAnsi="ITC Avant Garde" w:cs="Arial"/>
        </w:rPr>
      </w:pPr>
    </w:p>
    <w:p w14:paraId="6BF58E81" w14:textId="77777777" w:rsidR="0010524D" w:rsidRPr="00ED4558" w:rsidRDefault="00946933" w:rsidP="00773BC1">
      <w:pPr>
        <w:pStyle w:val="Prrafodelista"/>
        <w:numPr>
          <w:ilvl w:val="0"/>
          <w:numId w:val="13"/>
        </w:numPr>
        <w:spacing w:line="276" w:lineRule="auto"/>
        <w:rPr>
          <w:rFonts w:ascii="ITC Avant Garde" w:hAnsi="ITC Avant Garde" w:cs="Arial"/>
          <w:b/>
          <w:szCs w:val="22"/>
        </w:rPr>
      </w:pPr>
      <w:r w:rsidRPr="00ED4558">
        <w:rPr>
          <w:rFonts w:ascii="ITC Avant Garde" w:hAnsi="ITC Avant Garde" w:cs="Arial"/>
          <w:b/>
          <w:szCs w:val="22"/>
        </w:rPr>
        <w:t xml:space="preserve">Del </w:t>
      </w:r>
      <w:r w:rsidR="00F3248E" w:rsidRPr="00ED4558">
        <w:rPr>
          <w:rFonts w:ascii="ITC Avant Garde" w:hAnsi="ITC Avant Garde" w:cs="Arial"/>
          <w:b/>
          <w:szCs w:val="22"/>
        </w:rPr>
        <w:t>25</w:t>
      </w:r>
      <w:r w:rsidR="00F06942" w:rsidRPr="00ED4558">
        <w:rPr>
          <w:rFonts w:ascii="ITC Avant Garde" w:hAnsi="ITC Avant Garde" w:cs="Arial"/>
          <w:b/>
          <w:szCs w:val="22"/>
        </w:rPr>
        <w:t xml:space="preserve"> de </w:t>
      </w:r>
      <w:r w:rsidR="00F3248E" w:rsidRPr="00ED4558">
        <w:rPr>
          <w:rFonts w:ascii="ITC Avant Garde" w:hAnsi="ITC Avant Garde" w:cs="Arial"/>
          <w:b/>
          <w:szCs w:val="22"/>
        </w:rPr>
        <w:t>noviem</w:t>
      </w:r>
      <w:r w:rsidR="00F06942" w:rsidRPr="00ED4558">
        <w:rPr>
          <w:rFonts w:ascii="ITC Avant Garde" w:hAnsi="ITC Avant Garde" w:cs="Arial"/>
          <w:b/>
          <w:szCs w:val="22"/>
        </w:rPr>
        <w:t>bre</w:t>
      </w:r>
      <w:r w:rsidR="000C1F04" w:rsidRPr="00ED4558">
        <w:rPr>
          <w:rFonts w:ascii="ITC Avant Garde" w:hAnsi="ITC Avant Garde" w:cs="Arial"/>
          <w:b/>
          <w:szCs w:val="22"/>
        </w:rPr>
        <w:t xml:space="preserve"> </w:t>
      </w:r>
      <w:r w:rsidRPr="00ED4558">
        <w:rPr>
          <w:rFonts w:ascii="ITC Avant Garde" w:hAnsi="ITC Avant Garde" w:cs="Arial"/>
          <w:b/>
          <w:szCs w:val="22"/>
        </w:rPr>
        <w:t xml:space="preserve">al </w:t>
      </w:r>
      <w:r w:rsidR="00A552D0" w:rsidRPr="00ED4558">
        <w:rPr>
          <w:rFonts w:ascii="ITC Avant Garde" w:hAnsi="ITC Avant Garde" w:cs="Arial"/>
          <w:b/>
          <w:szCs w:val="22"/>
        </w:rPr>
        <w:t>31</w:t>
      </w:r>
      <w:r w:rsidR="00F361E0" w:rsidRPr="00ED4558">
        <w:rPr>
          <w:rFonts w:ascii="ITC Avant Garde" w:hAnsi="ITC Avant Garde" w:cs="Arial"/>
          <w:b/>
          <w:szCs w:val="22"/>
        </w:rPr>
        <w:t xml:space="preserve"> </w:t>
      </w:r>
      <w:r w:rsidRPr="00ED4558">
        <w:rPr>
          <w:rFonts w:ascii="ITC Avant Garde" w:hAnsi="ITC Avant Garde" w:cs="Arial"/>
          <w:b/>
          <w:szCs w:val="22"/>
        </w:rPr>
        <w:t xml:space="preserve">de </w:t>
      </w:r>
      <w:r w:rsidR="00A552D0" w:rsidRPr="00ED4558">
        <w:rPr>
          <w:rFonts w:ascii="ITC Avant Garde" w:hAnsi="ITC Avant Garde" w:cs="Arial"/>
          <w:b/>
          <w:szCs w:val="22"/>
        </w:rPr>
        <w:t>diciembre</w:t>
      </w:r>
      <w:r w:rsidR="00F361E0" w:rsidRPr="00ED4558">
        <w:rPr>
          <w:rFonts w:ascii="ITC Avant Garde" w:hAnsi="ITC Avant Garde" w:cs="Arial"/>
          <w:b/>
          <w:szCs w:val="22"/>
        </w:rPr>
        <w:t xml:space="preserve"> </w:t>
      </w:r>
      <w:r w:rsidRPr="00ED4558">
        <w:rPr>
          <w:rFonts w:ascii="ITC Avant Garde" w:hAnsi="ITC Avant Garde" w:cs="Arial"/>
          <w:b/>
          <w:szCs w:val="22"/>
        </w:rPr>
        <w:t xml:space="preserve">de </w:t>
      </w:r>
      <w:r w:rsidR="00A552D0" w:rsidRPr="00ED4558">
        <w:rPr>
          <w:rFonts w:ascii="ITC Avant Garde" w:hAnsi="ITC Avant Garde" w:cs="Arial"/>
          <w:b/>
          <w:szCs w:val="22"/>
        </w:rPr>
        <w:t>2015</w:t>
      </w:r>
      <w:r w:rsidRPr="00ED4558">
        <w:rPr>
          <w:rFonts w:ascii="ITC Avant Garde" w:hAnsi="ITC Avant Garde" w:cs="Arial"/>
          <w:b/>
          <w:szCs w:val="22"/>
        </w:rPr>
        <w:t>, $</w:t>
      </w:r>
      <w:r w:rsidR="00A552D0" w:rsidRPr="00ED4558">
        <w:rPr>
          <w:rFonts w:ascii="ITC Avant Garde" w:hAnsi="ITC Avant Garde" w:cs="Arial"/>
          <w:b/>
          <w:szCs w:val="22"/>
        </w:rPr>
        <w:t>0.004179</w:t>
      </w:r>
      <w:r w:rsidRPr="00ED4558">
        <w:rPr>
          <w:rFonts w:ascii="ITC Avant Garde" w:hAnsi="ITC Avant Garde" w:cs="Arial"/>
          <w:b/>
          <w:szCs w:val="22"/>
        </w:rPr>
        <w:t xml:space="preserve"> pesos M.N. por minuto de interconexión.</w:t>
      </w:r>
    </w:p>
    <w:p w14:paraId="4668D749" w14:textId="77777777" w:rsidR="00CC6D63" w:rsidRPr="00ED4558" w:rsidRDefault="00CC6D63" w:rsidP="00773BC1">
      <w:pPr>
        <w:spacing w:after="0"/>
        <w:jc w:val="both"/>
        <w:rPr>
          <w:rFonts w:ascii="ITC Avant Garde" w:eastAsia="Times New Roman" w:hAnsi="ITC Avant Garde"/>
          <w:lang w:eastAsia="es-ES"/>
        </w:rPr>
      </w:pPr>
    </w:p>
    <w:p w14:paraId="3F17DF11" w14:textId="77777777" w:rsidR="0010524D" w:rsidRPr="00ED4558" w:rsidRDefault="0050145B" w:rsidP="00773BC1">
      <w:pPr>
        <w:spacing w:after="0"/>
        <w:jc w:val="both"/>
        <w:rPr>
          <w:rFonts w:ascii="ITC Avant Garde" w:eastAsia="Times New Roman" w:hAnsi="ITC Avant Garde"/>
          <w:lang w:eastAsia="es-ES"/>
        </w:rPr>
      </w:pPr>
      <w:r w:rsidRPr="00ED4558">
        <w:rPr>
          <w:rFonts w:ascii="ITC Avant Garde" w:eastAsia="Times New Roman" w:hAnsi="ITC Avant Garde"/>
          <w:lang w:eastAsia="es-ES"/>
        </w:rPr>
        <w:t>La tarifa anterior ya incluye el costo correspondiente a los puertos necesarios para la interconexión.</w:t>
      </w:r>
    </w:p>
    <w:p w14:paraId="11D556F6" w14:textId="77777777" w:rsidR="00FF7ADF" w:rsidRPr="00ED4558" w:rsidRDefault="00FF7ADF" w:rsidP="00773BC1">
      <w:pPr>
        <w:spacing w:after="0"/>
        <w:jc w:val="both"/>
        <w:rPr>
          <w:rFonts w:ascii="ITC Avant Garde" w:eastAsia="Times New Roman" w:hAnsi="ITC Avant Garde" w:cs="Arial"/>
          <w:b/>
          <w:bCs/>
        </w:rPr>
      </w:pPr>
    </w:p>
    <w:p w14:paraId="4075CF4B" w14:textId="77777777" w:rsidR="00763BE7" w:rsidRPr="00ED4558" w:rsidRDefault="00763BE7" w:rsidP="00773BC1">
      <w:pPr>
        <w:spacing w:after="0"/>
        <w:jc w:val="both"/>
        <w:rPr>
          <w:rFonts w:ascii="ITC Avant Garde" w:eastAsia="Times New Roman" w:hAnsi="ITC Avant Garde" w:cs="Arial"/>
          <w:b/>
          <w:bCs/>
        </w:rPr>
      </w:pPr>
    </w:p>
    <w:p w14:paraId="029E455E" w14:textId="77777777" w:rsidR="00CC6D63" w:rsidRPr="00ED4558" w:rsidRDefault="00CC6D63" w:rsidP="009746AC">
      <w:pPr>
        <w:spacing w:after="0"/>
        <w:ind w:right="20"/>
        <w:jc w:val="both"/>
        <w:rPr>
          <w:rFonts w:ascii="ITC Avant Garde" w:eastAsia="Times New Roman" w:hAnsi="ITC Avant Garde"/>
          <w:b/>
          <w:bCs/>
          <w:lang w:eastAsia="es-ES"/>
        </w:rPr>
      </w:pPr>
      <w:r w:rsidRPr="00ED4558">
        <w:rPr>
          <w:rFonts w:ascii="ITC Avant Garde" w:hAnsi="ITC Avant Garde" w:cs="Arial"/>
          <w:b/>
        </w:rPr>
        <w:lastRenderedPageBreak/>
        <w:t>SEGUNDO</w:t>
      </w:r>
      <w:r w:rsidRPr="00ED4558">
        <w:rPr>
          <w:rFonts w:ascii="ITC Avant Garde" w:hAnsi="ITC Avant Garde" w:cs="Arial"/>
        </w:rPr>
        <w:t xml:space="preserve">.- La tarifa de interconexión que </w:t>
      </w:r>
      <w:proofErr w:type="spellStart"/>
      <w:r w:rsidRPr="00ED4558">
        <w:rPr>
          <w:rFonts w:ascii="ITC Avant Garde" w:hAnsi="ITC Avant Garde" w:cs="Arial"/>
        </w:rPr>
        <w:t>Radiomóvil</w:t>
      </w:r>
      <w:proofErr w:type="spellEnd"/>
      <w:r w:rsidRPr="00ED4558">
        <w:rPr>
          <w:rFonts w:ascii="ITC Avant Garde" w:hAnsi="ITC Avant Garde" w:cs="Arial"/>
        </w:rPr>
        <w:t xml:space="preserve"> </w:t>
      </w:r>
      <w:proofErr w:type="spellStart"/>
      <w:r w:rsidRPr="00ED4558">
        <w:rPr>
          <w:rFonts w:ascii="ITC Avant Garde" w:hAnsi="ITC Avant Garde" w:cs="Arial"/>
        </w:rPr>
        <w:t>Dipsa</w:t>
      </w:r>
      <w:proofErr w:type="spellEnd"/>
      <w:r w:rsidRPr="00ED4558">
        <w:rPr>
          <w:rFonts w:ascii="ITC Avant Garde" w:hAnsi="ITC Avant Garde" w:cs="Arial"/>
        </w:rPr>
        <w:t xml:space="preserve">, S.A de C.V. deberá pagar </w:t>
      </w:r>
      <w:r w:rsidR="001A5E8F" w:rsidRPr="00ED4558">
        <w:rPr>
          <w:rFonts w:ascii="ITC Avant Garde" w:hAnsi="ITC Avant Garde" w:cs="Arial"/>
        </w:rPr>
        <w:t>a la empresa Cablevisión Red, S.A. de C.V.,</w:t>
      </w:r>
      <w:r w:rsidR="007A37A7" w:rsidRPr="00ED4558">
        <w:rPr>
          <w:rFonts w:ascii="ITC Avant Garde" w:hAnsi="ITC Avant Garde" w:cs="Arial"/>
        </w:rPr>
        <w:t xml:space="preserve"> </w:t>
      </w:r>
      <w:r w:rsidRPr="00ED4558">
        <w:rPr>
          <w:rFonts w:ascii="ITC Avant Garde" w:hAnsi="ITC Avant Garde" w:cs="Arial"/>
        </w:rPr>
        <w:t>por servicios de terminación del servicio local en usuario</w:t>
      </w:r>
      <w:r w:rsidR="00566891" w:rsidRPr="00ED4558">
        <w:rPr>
          <w:rFonts w:ascii="ITC Avant Garde" w:hAnsi="ITC Avant Garde" w:cs="Arial"/>
        </w:rPr>
        <w:t>s</w:t>
      </w:r>
      <w:r w:rsidRPr="00ED4558">
        <w:rPr>
          <w:rFonts w:ascii="ITC Avant Garde" w:hAnsi="ITC Avant Garde" w:cs="Arial"/>
        </w:rPr>
        <w:t xml:space="preserve"> fijos, será la siguiente:</w:t>
      </w:r>
    </w:p>
    <w:p w14:paraId="0CD7E7D1" w14:textId="77777777" w:rsidR="00CC6D63" w:rsidRPr="00ED4558" w:rsidRDefault="00CC6D63" w:rsidP="00773BC1">
      <w:pPr>
        <w:spacing w:after="0"/>
        <w:jc w:val="both"/>
        <w:rPr>
          <w:rFonts w:ascii="ITC Avant Garde" w:hAnsi="ITC Avant Garde" w:cs="Arial"/>
        </w:rPr>
      </w:pPr>
    </w:p>
    <w:p w14:paraId="51E4E709" w14:textId="77777777" w:rsidR="00CC6D63" w:rsidRPr="00ED4558" w:rsidRDefault="00CC6D63" w:rsidP="00773BC1">
      <w:pPr>
        <w:pStyle w:val="Prrafodelista"/>
        <w:numPr>
          <w:ilvl w:val="0"/>
          <w:numId w:val="13"/>
        </w:numPr>
        <w:spacing w:line="276" w:lineRule="auto"/>
        <w:rPr>
          <w:rFonts w:ascii="ITC Avant Garde" w:hAnsi="ITC Avant Garde" w:cs="Arial"/>
          <w:b/>
          <w:szCs w:val="22"/>
        </w:rPr>
      </w:pPr>
      <w:r w:rsidRPr="00ED4558">
        <w:rPr>
          <w:rFonts w:ascii="ITC Avant Garde" w:hAnsi="ITC Avant Garde" w:cs="Arial"/>
          <w:b/>
          <w:szCs w:val="22"/>
        </w:rPr>
        <w:t xml:space="preserve">Del 1 de enero al 31 de diciembre de 2016, </w:t>
      </w:r>
      <w:r w:rsidRPr="00ED4558">
        <w:rPr>
          <w:rFonts w:ascii="ITC Avant Garde" w:hAnsi="ITC Avant Garde" w:cs="Arial"/>
          <w:b/>
        </w:rPr>
        <w:t xml:space="preserve">$0.003088 </w:t>
      </w:r>
      <w:r w:rsidRPr="00ED4558">
        <w:rPr>
          <w:rFonts w:ascii="ITC Avant Garde" w:hAnsi="ITC Avant Garde" w:cs="Arial"/>
          <w:b/>
          <w:szCs w:val="22"/>
        </w:rPr>
        <w:t xml:space="preserve">pesos M.N. por minuto de interconexión. </w:t>
      </w:r>
    </w:p>
    <w:p w14:paraId="55803840" w14:textId="77777777" w:rsidR="00CC6D63" w:rsidRPr="00ED4558" w:rsidRDefault="00CC6D63" w:rsidP="00773BC1">
      <w:pPr>
        <w:spacing w:after="0"/>
        <w:jc w:val="both"/>
        <w:rPr>
          <w:rFonts w:ascii="ITC Avant Garde" w:eastAsia="Times New Roman" w:hAnsi="ITC Avant Garde"/>
          <w:lang w:eastAsia="es-ES"/>
        </w:rPr>
      </w:pPr>
    </w:p>
    <w:p w14:paraId="32FAC0B3" w14:textId="77777777" w:rsidR="00CC6D63" w:rsidRPr="00ED4558" w:rsidRDefault="00CC6D63" w:rsidP="00773BC1">
      <w:pPr>
        <w:spacing w:after="0"/>
        <w:jc w:val="both"/>
        <w:rPr>
          <w:rFonts w:ascii="ITC Avant Garde" w:eastAsia="Times New Roman" w:hAnsi="ITC Avant Garde"/>
          <w:lang w:eastAsia="es-ES"/>
        </w:rPr>
      </w:pPr>
      <w:r w:rsidRPr="00ED4558">
        <w:rPr>
          <w:rFonts w:ascii="ITC Avant Garde" w:eastAsia="Times New Roman" w:hAnsi="ITC Avant Garde"/>
          <w:lang w:eastAsia="es-ES"/>
        </w:rPr>
        <w:t>La tarifa anterior ya incluye el costo correspondiente a los puertos necesarios para la interconexión.</w:t>
      </w:r>
    </w:p>
    <w:p w14:paraId="58BF5783" w14:textId="77777777" w:rsidR="00FF7ADF" w:rsidRPr="00ED4558" w:rsidRDefault="00FF7ADF" w:rsidP="00773BC1">
      <w:pPr>
        <w:spacing w:after="0"/>
        <w:jc w:val="both"/>
        <w:rPr>
          <w:rFonts w:ascii="ITC Avant Garde" w:eastAsia="Times New Roman" w:hAnsi="ITC Avant Garde" w:cs="Arial"/>
          <w:b/>
          <w:bCs/>
        </w:rPr>
      </w:pPr>
    </w:p>
    <w:p w14:paraId="3F8D172E" w14:textId="77777777" w:rsidR="00763BE7" w:rsidRPr="00ED4558" w:rsidRDefault="00763BE7" w:rsidP="00773BC1">
      <w:pPr>
        <w:spacing w:after="0"/>
        <w:ind w:right="20"/>
        <w:jc w:val="both"/>
        <w:rPr>
          <w:rFonts w:ascii="ITC Avant Garde" w:hAnsi="ITC Avant Garde" w:cs="Arial"/>
          <w:b/>
        </w:rPr>
      </w:pPr>
    </w:p>
    <w:p w14:paraId="22BF0A57" w14:textId="77777777" w:rsidR="00A61062" w:rsidRPr="00ED4558" w:rsidRDefault="00A61062" w:rsidP="00773BC1">
      <w:pPr>
        <w:spacing w:after="0"/>
        <w:ind w:right="20"/>
        <w:jc w:val="both"/>
        <w:rPr>
          <w:rFonts w:ascii="ITC Avant Garde" w:hAnsi="ITC Avant Garde" w:cs="Arial"/>
        </w:rPr>
      </w:pPr>
      <w:r w:rsidRPr="00ED4558">
        <w:rPr>
          <w:rFonts w:ascii="ITC Avant Garde" w:hAnsi="ITC Avant Garde" w:cs="Arial"/>
          <w:b/>
        </w:rPr>
        <w:t xml:space="preserve">TERCERO.- </w:t>
      </w:r>
      <w:r w:rsidRPr="00ED4558">
        <w:rPr>
          <w:rFonts w:ascii="ITC Avant Garde" w:hAnsi="ITC Avant Garde" w:cs="Arial"/>
        </w:rPr>
        <w:t>Las contraprestaciones a las que se refieren el resolutivo PRIMERO</w:t>
      </w:r>
      <w:r w:rsidR="00773BC1" w:rsidRPr="00ED4558">
        <w:rPr>
          <w:rFonts w:ascii="ITC Avant Garde" w:hAnsi="ITC Avant Garde" w:cs="Arial"/>
        </w:rPr>
        <w:t xml:space="preserve"> y SEGUNDO</w:t>
      </w:r>
      <w:r w:rsidRPr="00ED4558">
        <w:rPr>
          <w:rFonts w:ascii="ITC Avant Garde" w:hAnsi="ITC Avant Garde" w:cs="Arial"/>
        </w:rPr>
        <w:t>, se calcularán sumando la duración de todas las l</w:t>
      </w:r>
      <w:r w:rsidR="007710BA" w:rsidRPr="00ED4558">
        <w:rPr>
          <w:rFonts w:ascii="ITC Avant Garde" w:hAnsi="ITC Avant Garde" w:cs="Arial"/>
        </w:rPr>
        <w:t>lamadas completadas en el peri</w:t>
      </w:r>
      <w:r w:rsidRPr="00ED4558">
        <w:rPr>
          <w:rFonts w:ascii="ITC Avant Garde" w:hAnsi="ITC Avant Garde" w:cs="Arial"/>
        </w:rPr>
        <w:t>odo de facturación correspondiente, medidas en segundos, y multiplicando los minutos equivalentes a dicha suma, por la tarifa correspondiente.</w:t>
      </w:r>
    </w:p>
    <w:p w14:paraId="15FC8227" w14:textId="77777777" w:rsidR="00A61062" w:rsidRPr="00ED4558" w:rsidRDefault="00A61062" w:rsidP="00AA2086">
      <w:pPr>
        <w:spacing w:after="0"/>
        <w:jc w:val="both"/>
        <w:rPr>
          <w:rFonts w:ascii="ITC Avant Garde" w:eastAsia="Times New Roman" w:hAnsi="ITC Avant Garde" w:cs="Arial"/>
          <w:b/>
          <w:bCs/>
        </w:rPr>
      </w:pPr>
    </w:p>
    <w:p w14:paraId="1319BDC8" w14:textId="77777777" w:rsidR="00763BE7" w:rsidRPr="00ED4558" w:rsidRDefault="00763BE7" w:rsidP="00AA2086">
      <w:pPr>
        <w:spacing w:after="0"/>
        <w:jc w:val="both"/>
        <w:rPr>
          <w:rFonts w:ascii="ITC Avant Garde" w:eastAsia="Times New Roman" w:hAnsi="ITC Avant Garde" w:cs="Arial"/>
          <w:b/>
          <w:bCs/>
        </w:rPr>
      </w:pPr>
    </w:p>
    <w:p w14:paraId="5D924A31" w14:textId="77777777" w:rsidR="00AA2086" w:rsidRPr="00ED4558" w:rsidRDefault="00A61062" w:rsidP="00763BE7">
      <w:pPr>
        <w:spacing w:after="0"/>
        <w:jc w:val="both"/>
        <w:rPr>
          <w:rFonts w:ascii="ITC Avant Garde" w:hAnsi="ITC Avant Garde" w:cs="Arial"/>
        </w:rPr>
      </w:pPr>
      <w:r w:rsidRPr="00ED4558">
        <w:rPr>
          <w:rFonts w:ascii="ITC Avant Garde" w:eastAsia="Times New Roman" w:hAnsi="ITC Avant Garde"/>
          <w:b/>
          <w:bCs/>
          <w:lang w:eastAsia="es-ES"/>
        </w:rPr>
        <w:t>CUARTO</w:t>
      </w:r>
      <w:r w:rsidR="00B54661" w:rsidRPr="00ED4558">
        <w:rPr>
          <w:rFonts w:ascii="ITC Avant Garde" w:eastAsia="Times New Roman" w:hAnsi="ITC Avant Garde"/>
          <w:b/>
          <w:bCs/>
          <w:lang w:eastAsia="es-ES"/>
        </w:rPr>
        <w:t>.-</w:t>
      </w:r>
      <w:r w:rsidR="00B54661" w:rsidRPr="00ED4558">
        <w:rPr>
          <w:rFonts w:ascii="ITC Avant Garde" w:hAnsi="ITC Avant Garde"/>
        </w:rPr>
        <w:t xml:space="preserve"> </w:t>
      </w:r>
      <w:r w:rsidR="001960F0" w:rsidRPr="00ED4558">
        <w:rPr>
          <w:rFonts w:ascii="ITC Avant Garde" w:hAnsi="ITC Avant Garde"/>
        </w:rPr>
        <w:t>En términos del artículo Vigésimo Transitorio del “</w:t>
      </w:r>
      <w:r w:rsidR="001960F0" w:rsidRPr="00ED4558">
        <w:rPr>
          <w:rFonts w:ascii="ITC Avant Garde" w:hAnsi="ITC Avant Garde"/>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1960F0" w:rsidRPr="00ED4558">
        <w:rPr>
          <w:rFonts w:ascii="ITC Avant Garde" w:hAnsi="ITC Avant Garde"/>
        </w:rPr>
        <w:t xml:space="preserve">”, para el periodo </w:t>
      </w:r>
      <w:r w:rsidR="00617D3E" w:rsidRPr="00ED4558">
        <w:rPr>
          <w:rFonts w:ascii="ITC Avant Garde" w:hAnsi="ITC Avant Garde"/>
        </w:rPr>
        <w:t xml:space="preserve">comprendido desde </w:t>
      </w:r>
      <w:r w:rsidR="00AB7E77" w:rsidRPr="00ED4558">
        <w:rPr>
          <w:rFonts w:ascii="ITC Avant Garde" w:hAnsi="ITC Avant Garde"/>
        </w:rPr>
        <w:t xml:space="preserve">el 1 de enero de 2015 al </w:t>
      </w:r>
      <w:r w:rsidR="00F3248E" w:rsidRPr="00ED4558">
        <w:rPr>
          <w:rFonts w:ascii="ITC Avant Garde" w:hAnsi="ITC Avant Garde"/>
        </w:rPr>
        <w:t>24</w:t>
      </w:r>
      <w:r w:rsidR="00AA2086" w:rsidRPr="00ED4558">
        <w:rPr>
          <w:rFonts w:ascii="ITC Avant Garde" w:hAnsi="ITC Avant Garde"/>
        </w:rPr>
        <w:t xml:space="preserve"> de </w:t>
      </w:r>
      <w:r w:rsidR="00F3248E" w:rsidRPr="00ED4558">
        <w:rPr>
          <w:rFonts w:ascii="ITC Avant Garde" w:hAnsi="ITC Avant Garde"/>
        </w:rPr>
        <w:t>noviem</w:t>
      </w:r>
      <w:r w:rsidR="00AA2086" w:rsidRPr="00ED4558">
        <w:rPr>
          <w:rFonts w:ascii="ITC Avant Garde" w:hAnsi="ITC Avant Garde"/>
        </w:rPr>
        <w:t>bre</w:t>
      </w:r>
      <w:r w:rsidR="00AB7E77" w:rsidRPr="00ED4558">
        <w:rPr>
          <w:rFonts w:ascii="ITC Avant Garde" w:hAnsi="ITC Avant Garde"/>
        </w:rPr>
        <w:t xml:space="preserve"> de 2015</w:t>
      </w:r>
      <w:r w:rsidR="00244F4B" w:rsidRPr="00ED4558">
        <w:rPr>
          <w:rFonts w:ascii="ITC Avant Garde" w:hAnsi="ITC Avant Garde"/>
        </w:rPr>
        <w:t xml:space="preserve">, tratándose del servicio de </w:t>
      </w:r>
      <w:r w:rsidR="00AB7E77" w:rsidRPr="00ED4558">
        <w:rPr>
          <w:rFonts w:ascii="ITC Avant Garde" w:hAnsi="ITC Avant Garde"/>
        </w:rPr>
        <w:t>terminación del Servicio Local en usuario</w:t>
      </w:r>
      <w:r w:rsidR="005A27FD" w:rsidRPr="00ED4558">
        <w:rPr>
          <w:rFonts w:ascii="ITC Avant Garde" w:hAnsi="ITC Avant Garde"/>
        </w:rPr>
        <w:t>s</w:t>
      </w:r>
      <w:r w:rsidR="00AB7E77" w:rsidRPr="00ED4558">
        <w:rPr>
          <w:rFonts w:ascii="ITC Avant Garde" w:hAnsi="ITC Avant Garde"/>
        </w:rPr>
        <w:t xml:space="preserve"> fijos</w:t>
      </w:r>
      <w:r w:rsidR="00AA2086" w:rsidRPr="00ED4558">
        <w:rPr>
          <w:rFonts w:ascii="ITC Avant Garde" w:hAnsi="ITC Avant Garde"/>
        </w:rPr>
        <w:t xml:space="preserve"> de la</w:t>
      </w:r>
      <w:r w:rsidR="00B85F70" w:rsidRPr="00ED4558">
        <w:rPr>
          <w:rFonts w:ascii="ITC Avant Garde" w:hAnsi="ITC Avant Garde"/>
        </w:rPr>
        <w:t xml:space="preserve"> </w:t>
      </w:r>
      <w:r w:rsidR="00AA2086" w:rsidRPr="00ED4558">
        <w:rPr>
          <w:rFonts w:ascii="ITC Avant Garde" w:hAnsi="ITC Avant Garde"/>
        </w:rPr>
        <w:t>empresa</w:t>
      </w:r>
      <w:r w:rsidR="00B85F70" w:rsidRPr="00ED4558">
        <w:rPr>
          <w:rFonts w:ascii="ITC Avant Garde" w:hAnsi="ITC Avant Garde"/>
        </w:rPr>
        <w:t xml:space="preserve"> Cablevisión Red, S.A. de C.V. </w:t>
      </w:r>
      <w:r w:rsidR="00AA2086" w:rsidRPr="00ED4558">
        <w:rPr>
          <w:rFonts w:ascii="ITC Avant Garde" w:hAnsi="ITC Avant Garde" w:cs="Arial"/>
        </w:rPr>
        <w:t xml:space="preserve">deberá hacer extensiva la </w:t>
      </w:r>
      <w:r w:rsidR="004B5DDA" w:rsidRPr="00ED4558">
        <w:rPr>
          <w:rFonts w:ascii="ITC Avant Garde" w:hAnsi="ITC Avant Garde" w:cs="Arial"/>
        </w:rPr>
        <w:t xml:space="preserve">tarifa </w:t>
      </w:r>
      <w:r w:rsidR="00AA2086" w:rsidRPr="00ED4558">
        <w:rPr>
          <w:rFonts w:ascii="ITC Avant Garde" w:hAnsi="ITC Avant Garde" w:cs="Arial"/>
        </w:rPr>
        <w:t>aplicable a la entrada en vigor de la Ley Federal de Telecomunicaciones y Radiodifusión.</w:t>
      </w:r>
    </w:p>
    <w:p w14:paraId="50351DE8" w14:textId="77777777" w:rsidR="006C70B1" w:rsidRPr="00ED4558" w:rsidRDefault="006C70B1" w:rsidP="00763BE7">
      <w:pPr>
        <w:spacing w:after="0"/>
        <w:jc w:val="both"/>
        <w:rPr>
          <w:rFonts w:ascii="ITC Avant Garde" w:hAnsi="ITC Avant Garde"/>
        </w:rPr>
      </w:pPr>
    </w:p>
    <w:p w14:paraId="20C91A89" w14:textId="77777777" w:rsidR="00763BE7" w:rsidRPr="00ED4558" w:rsidRDefault="00763BE7" w:rsidP="00763BE7">
      <w:pPr>
        <w:spacing w:after="0"/>
        <w:jc w:val="both"/>
        <w:rPr>
          <w:rFonts w:ascii="ITC Avant Garde" w:hAnsi="ITC Avant Garde"/>
        </w:rPr>
      </w:pPr>
    </w:p>
    <w:p w14:paraId="5E0BB7A9" w14:textId="027DE91C" w:rsidR="004900CC" w:rsidRPr="00ED4558" w:rsidRDefault="00A61062" w:rsidP="00773BC1">
      <w:pPr>
        <w:spacing w:after="0"/>
        <w:jc w:val="both"/>
        <w:rPr>
          <w:rFonts w:ascii="ITC Avant Garde" w:hAnsi="ITC Avant Garde" w:cs="Arial"/>
          <w:bCs/>
          <w:i/>
        </w:rPr>
      </w:pPr>
      <w:r w:rsidRPr="00ED4558">
        <w:rPr>
          <w:rFonts w:ascii="ITC Avant Garde" w:hAnsi="ITC Avant Garde"/>
          <w:b/>
        </w:rPr>
        <w:t>QUINTO</w:t>
      </w:r>
      <w:r w:rsidR="004900CC" w:rsidRPr="00ED4558">
        <w:rPr>
          <w:rFonts w:ascii="ITC Avant Garde" w:hAnsi="ITC Avant Garde"/>
          <w:b/>
        </w:rPr>
        <w:t xml:space="preserve">.- </w:t>
      </w:r>
      <w:proofErr w:type="spellStart"/>
      <w:r w:rsidR="004900CC" w:rsidRPr="00ED4558">
        <w:rPr>
          <w:rFonts w:ascii="ITC Avant Garde" w:eastAsia="Times New Roman" w:hAnsi="ITC Avant Garde" w:cs="Arial"/>
          <w:bCs/>
          <w:lang w:eastAsia="es-ES"/>
        </w:rPr>
        <w:t>Radiomóvil</w:t>
      </w:r>
      <w:proofErr w:type="spellEnd"/>
      <w:r w:rsidR="004900CC" w:rsidRPr="00ED4558">
        <w:rPr>
          <w:rFonts w:ascii="ITC Avant Garde" w:eastAsia="Times New Roman" w:hAnsi="ITC Avant Garde" w:cs="Arial"/>
          <w:bCs/>
          <w:lang w:eastAsia="es-ES"/>
        </w:rPr>
        <w:t xml:space="preserve"> </w:t>
      </w:r>
      <w:proofErr w:type="spellStart"/>
      <w:r w:rsidR="004900CC" w:rsidRPr="00ED4558">
        <w:rPr>
          <w:rFonts w:ascii="ITC Avant Garde" w:eastAsia="Times New Roman" w:hAnsi="ITC Avant Garde" w:cs="Arial"/>
          <w:bCs/>
          <w:lang w:eastAsia="es-ES"/>
        </w:rPr>
        <w:t>Dipsa</w:t>
      </w:r>
      <w:proofErr w:type="spellEnd"/>
      <w:r w:rsidR="004900CC" w:rsidRPr="00ED4558">
        <w:rPr>
          <w:rFonts w:ascii="ITC Avant Garde" w:eastAsia="Times New Roman" w:hAnsi="ITC Avant Garde" w:cs="Arial"/>
          <w:bCs/>
          <w:lang w:eastAsia="es-ES"/>
        </w:rPr>
        <w:t xml:space="preserve">, S.A. de C.V., </w:t>
      </w:r>
      <w:r w:rsidR="004900CC" w:rsidRPr="00ED4558">
        <w:rPr>
          <w:rFonts w:ascii="ITC Avant Garde" w:hAnsi="ITC Avant Garde" w:cs="Arial"/>
        </w:rPr>
        <w:t xml:space="preserve">deberá </w:t>
      </w:r>
      <w:r w:rsidR="004900CC" w:rsidRPr="00ED4558">
        <w:rPr>
          <w:rFonts w:ascii="ITC Avant Garde" w:hAnsi="ITC Avant Garde" w:cs="Arial"/>
          <w:bCs/>
        </w:rPr>
        <w:t>otorgar</w:t>
      </w:r>
      <w:r w:rsidR="007A37A7" w:rsidRPr="00ED4558">
        <w:rPr>
          <w:rFonts w:ascii="ITC Avant Garde" w:hAnsi="ITC Avant Garde" w:cs="Arial"/>
          <w:bCs/>
        </w:rPr>
        <w:t xml:space="preserve"> a</w:t>
      </w:r>
      <w:r w:rsidR="004900CC" w:rsidRPr="00ED4558">
        <w:rPr>
          <w:rFonts w:ascii="ITC Avant Garde" w:hAnsi="ITC Avant Garde" w:cs="Arial"/>
          <w:bCs/>
        </w:rPr>
        <w:t xml:space="preserve"> </w:t>
      </w:r>
      <w:r w:rsidR="00B85F70" w:rsidRPr="00ED4558">
        <w:rPr>
          <w:rFonts w:ascii="ITC Avant Garde" w:hAnsi="ITC Avant Garde" w:cs="Arial"/>
          <w:bCs/>
        </w:rPr>
        <w:t>Cablevisión Red, S.A. de C.V.</w:t>
      </w:r>
      <w:r w:rsidR="007A37A7" w:rsidRPr="00ED4558">
        <w:rPr>
          <w:rFonts w:ascii="ITC Avant Garde" w:hAnsi="ITC Avant Garde" w:cs="Arial"/>
        </w:rPr>
        <w:t xml:space="preserve">, </w:t>
      </w:r>
      <w:r w:rsidR="004900CC" w:rsidRPr="00ED4558">
        <w:rPr>
          <w:rFonts w:ascii="ITC Avant Garde" w:hAnsi="ITC Avant Garde" w:cs="Arial"/>
          <w:bCs/>
        </w:rPr>
        <w:t>el intercambio de tráfico median</w:t>
      </w:r>
      <w:r w:rsidR="00CC6D63" w:rsidRPr="00ED4558">
        <w:rPr>
          <w:rFonts w:ascii="ITC Avant Garde" w:hAnsi="ITC Avant Garde" w:cs="Arial"/>
          <w:bCs/>
        </w:rPr>
        <w:t xml:space="preserve">te el </w:t>
      </w:r>
      <w:r w:rsidR="00742F6D" w:rsidRPr="00ED4558">
        <w:rPr>
          <w:rFonts w:ascii="ITC Avant Garde" w:hAnsi="ITC Avant Garde" w:cs="Arial"/>
          <w:bCs/>
        </w:rPr>
        <w:t>P</w:t>
      </w:r>
      <w:r w:rsidR="00CC6D63" w:rsidRPr="00ED4558">
        <w:rPr>
          <w:rFonts w:ascii="ITC Avant Garde" w:hAnsi="ITC Avant Garde" w:cs="Arial"/>
          <w:bCs/>
        </w:rPr>
        <w:t>rotocolo de Internet (IP)</w:t>
      </w:r>
      <w:r w:rsidR="004900CC" w:rsidRPr="00ED4558">
        <w:rPr>
          <w:rFonts w:ascii="ITC Avant Garde" w:hAnsi="ITC Avant Garde" w:cs="Arial"/>
          <w:bCs/>
        </w:rPr>
        <w:t>, en términos de lo establecido en las “</w:t>
      </w:r>
      <w:r w:rsidR="004900CC" w:rsidRPr="00ED4558">
        <w:rPr>
          <w:rFonts w:ascii="ITC Avant Garde" w:hAnsi="ITC Avant Garde" w:cs="Arial"/>
          <w:i/>
          <w:snapToGrid w:val="0"/>
        </w:rPr>
        <w:t>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w:t>
      </w:r>
      <w:r w:rsidR="004900CC" w:rsidRPr="00ED4558">
        <w:rPr>
          <w:rFonts w:ascii="ITC Avant Garde" w:hAnsi="ITC Avant Garde" w:cs="Arial"/>
          <w:bCs/>
        </w:rPr>
        <w:t xml:space="preserve"> el “</w:t>
      </w:r>
      <w:r w:rsidR="004900CC" w:rsidRPr="00ED4558">
        <w:rPr>
          <w:rFonts w:ascii="ITC Avant Garde" w:hAnsi="ITC Avant Garde" w:cs="Arial"/>
          <w:bCs/>
          <w:i/>
        </w:rPr>
        <w:t>Acuerdo mediante el cual el Pleno del Instituto Federal de Telecomunicaciones establece las condiciones técnicas mínimas para la interconexión entre concesionarios que operen redes públicas de telecomunicaciones”,</w:t>
      </w:r>
      <w:r w:rsidR="007710BA" w:rsidRPr="00ED4558">
        <w:rPr>
          <w:rFonts w:ascii="ITC Avant Garde" w:hAnsi="ITC Avant Garde" w:cs="Arial"/>
          <w:bCs/>
          <w:i/>
        </w:rPr>
        <w:t xml:space="preserve"> </w:t>
      </w:r>
      <w:r w:rsidR="007710BA" w:rsidRPr="00ED4558">
        <w:rPr>
          <w:rFonts w:ascii="ITC Avant Garde" w:hAnsi="ITC Avant Garde" w:cs="Arial"/>
          <w:bCs/>
        </w:rPr>
        <w:t>o aquellas que las modifiquen o sustituyan</w:t>
      </w:r>
      <w:r w:rsidR="004900CC" w:rsidRPr="00ED4558">
        <w:rPr>
          <w:rFonts w:ascii="ITC Avant Garde" w:hAnsi="ITC Avant Garde" w:cs="Arial"/>
          <w:bCs/>
        </w:rPr>
        <w:t xml:space="preserve"> y el</w:t>
      </w:r>
      <w:r w:rsidR="004900CC" w:rsidRPr="00ED4558">
        <w:rPr>
          <w:rFonts w:ascii="ITC Avant Garde" w:hAnsi="ITC Avant Garde" w:cs="Arial"/>
          <w:bCs/>
          <w:i/>
        </w:rPr>
        <w:t xml:space="preserve"> </w:t>
      </w:r>
      <w:r w:rsidR="004900CC" w:rsidRPr="00ED4558">
        <w:rPr>
          <w:rFonts w:ascii="ITC Avant Garde" w:hAnsi="ITC Avant Garde" w:cs="Arial"/>
          <w:bCs/>
          <w:i/>
        </w:rPr>
        <w:lastRenderedPageBreak/>
        <w:t>“Acuerdo mediante el cual el Pleno del Instituto Federal de Telecomunicaciones define los puntos de interconexión a la red del Agente Económico Preponderante”.</w:t>
      </w:r>
    </w:p>
    <w:p w14:paraId="0291A996" w14:textId="77777777" w:rsidR="00CC6D63" w:rsidRPr="00ED4558" w:rsidRDefault="00CC6D63" w:rsidP="00773BC1">
      <w:pPr>
        <w:spacing w:after="0"/>
        <w:jc w:val="both"/>
        <w:rPr>
          <w:rFonts w:ascii="ITC Avant Garde" w:hAnsi="ITC Avant Garde" w:cs="Arial"/>
          <w:bCs/>
          <w:i/>
        </w:rPr>
      </w:pPr>
    </w:p>
    <w:p w14:paraId="29239524" w14:textId="77777777" w:rsidR="00FF7ADF" w:rsidRPr="00ED4558" w:rsidRDefault="00CC6D63" w:rsidP="00773BC1">
      <w:pPr>
        <w:spacing w:after="0"/>
        <w:jc w:val="both"/>
        <w:rPr>
          <w:rFonts w:ascii="ITC Avant Garde" w:hAnsi="ITC Avant Garde" w:cs="Arial"/>
          <w:bCs/>
        </w:rPr>
      </w:pPr>
      <w:r w:rsidRPr="00ED4558">
        <w:rPr>
          <w:rFonts w:ascii="ITC Avant Garde" w:hAnsi="ITC Avant Garde" w:cs="Arial"/>
          <w:bCs/>
        </w:rPr>
        <w:t>Lo anterior, sin perjuicio de que las partes cumplan con las disposiciones administrativas de carácter general que establezcan las normas técnicas relativas a los protocolos de señalización o estándares de transmisión, y aquellas disposiciones en materia de calidad y seguridad en la provisión de servicios de interconexión, que en su caso emita el Instituto Federal de Telecomunicaciones.</w:t>
      </w:r>
    </w:p>
    <w:p w14:paraId="551D6204" w14:textId="77777777" w:rsidR="0025011B" w:rsidRPr="00ED4558" w:rsidRDefault="0025011B" w:rsidP="00773BC1">
      <w:pPr>
        <w:spacing w:after="0"/>
        <w:jc w:val="both"/>
        <w:rPr>
          <w:rFonts w:ascii="ITC Avant Garde" w:hAnsi="ITC Avant Garde" w:cs="Arial"/>
          <w:b/>
        </w:rPr>
      </w:pPr>
    </w:p>
    <w:p w14:paraId="143068A0" w14:textId="77777777" w:rsidR="0010524D" w:rsidRPr="00ED4558" w:rsidRDefault="00A61062" w:rsidP="00773BC1">
      <w:pPr>
        <w:spacing w:after="0"/>
        <w:jc w:val="both"/>
        <w:rPr>
          <w:rFonts w:ascii="ITC Avant Garde" w:hAnsi="ITC Avant Garde" w:cs="Arial"/>
        </w:rPr>
      </w:pPr>
      <w:r w:rsidRPr="00ED4558">
        <w:rPr>
          <w:rFonts w:ascii="ITC Avant Garde" w:hAnsi="ITC Avant Garde" w:cs="Arial"/>
          <w:b/>
        </w:rPr>
        <w:t>SEXTO</w:t>
      </w:r>
      <w:r w:rsidR="00BE252E" w:rsidRPr="00ED4558">
        <w:rPr>
          <w:rFonts w:ascii="ITC Avant Garde" w:hAnsi="ITC Avant Garde" w:cs="Arial"/>
        </w:rPr>
        <w:t xml:space="preserve">.- </w:t>
      </w:r>
      <w:r w:rsidR="00A258E3" w:rsidRPr="00ED4558">
        <w:rPr>
          <w:rFonts w:ascii="ITC Avant Garde" w:hAnsi="ITC Avant Garde" w:cs="Arial"/>
        </w:rPr>
        <w:t>Dentro de los</w:t>
      </w:r>
      <w:r w:rsidR="0054738F" w:rsidRPr="00ED4558">
        <w:rPr>
          <w:rFonts w:ascii="ITC Avant Garde" w:hAnsi="ITC Avant Garde" w:cs="Arial"/>
        </w:rPr>
        <w:t xml:space="preserve"> </w:t>
      </w:r>
      <w:r w:rsidR="001960F0" w:rsidRPr="00ED4558">
        <w:rPr>
          <w:rFonts w:ascii="ITC Avant Garde" w:hAnsi="ITC Avant Garde" w:cs="Arial"/>
        </w:rPr>
        <w:t xml:space="preserve">diez </w:t>
      </w:r>
      <w:r w:rsidR="00A258E3" w:rsidRPr="00ED4558">
        <w:rPr>
          <w:rFonts w:ascii="ITC Avant Garde" w:hAnsi="ITC Avant Garde" w:cs="Arial"/>
        </w:rPr>
        <w:t xml:space="preserve">(10) </w:t>
      </w:r>
      <w:r w:rsidR="001960F0" w:rsidRPr="00ED4558">
        <w:rPr>
          <w:rFonts w:ascii="ITC Avant Garde" w:hAnsi="ITC Avant Garde" w:cs="Arial"/>
        </w:rPr>
        <w:t xml:space="preserve">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proofErr w:type="spellStart"/>
      <w:r w:rsidR="00CC6D63" w:rsidRPr="00ED4558">
        <w:rPr>
          <w:rFonts w:ascii="ITC Avant Garde" w:hAnsi="ITC Avant Garde" w:cs="Arial"/>
        </w:rPr>
        <w:t>Radiomóvil</w:t>
      </w:r>
      <w:proofErr w:type="spellEnd"/>
      <w:r w:rsidR="00CC6D63" w:rsidRPr="00ED4558">
        <w:rPr>
          <w:rFonts w:ascii="ITC Avant Garde" w:hAnsi="ITC Avant Garde" w:cs="Arial"/>
        </w:rPr>
        <w:t xml:space="preserve"> </w:t>
      </w:r>
      <w:proofErr w:type="spellStart"/>
      <w:r w:rsidR="00CC6D63" w:rsidRPr="00ED4558">
        <w:rPr>
          <w:rFonts w:ascii="ITC Avant Garde" w:hAnsi="ITC Avant Garde" w:cs="Arial"/>
        </w:rPr>
        <w:t>Dipsa</w:t>
      </w:r>
      <w:proofErr w:type="spellEnd"/>
      <w:r w:rsidR="00CC6D63" w:rsidRPr="00ED4558">
        <w:rPr>
          <w:rFonts w:ascii="ITC Avant Garde" w:hAnsi="ITC Avant Garde" w:cs="Arial"/>
        </w:rPr>
        <w:t xml:space="preserve">, S.A de C.V. </w:t>
      </w:r>
      <w:r w:rsidR="00AB7E77" w:rsidRPr="00ED4558">
        <w:rPr>
          <w:rFonts w:ascii="ITC Avant Garde" w:hAnsi="ITC Avant Garde"/>
        </w:rPr>
        <w:t xml:space="preserve">y </w:t>
      </w:r>
      <w:r w:rsidR="007A08F7" w:rsidRPr="00ED4558">
        <w:rPr>
          <w:rFonts w:ascii="ITC Avant Garde" w:hAnsi="ITC Avant Garde"/>
        </w:rPr>
        <w:t>la</w:t>
      </w:r>
      <w:r w:rsidR="003C09F0" w:rsidRPr="00ED4558">
        <w:rPr>
          <w:rFonts w:ascii="ITC Avant Garde" w:hAnsi="ITC Avant Garde"/>
        </w:rPr>
        <w:t xml:space="preserve"> empresa</w:t>
      </w:r>
      <w:r w:rsidR="007A08F7" w:rsidRPr="00ED4558">
        <w:rPr>
          <w:rFonts w:ascii="ITC Avant Garde" w:hAnsi="ITC Avant Garde"/>
        </w:rPr>
        <w:t xml:space="preserve"> Cablevisión Red, S.A. de C.V.</w:t>
      </w:r>
      <w:r w:rsidR="00E91020" w:rsidRPr="00ED4558">
        <w:rPr>
          <w:rFonts w:ascii="ITC Avant Garde" w:hAnsi="ITC Avant Garde" w:cs="Arial"/>
        </w:rPr>
        <w:t>,</w:t>
      </w:r>
      <w:r w:rsidR="00CC6D63" w:rsidRPr="00ED4558">
        <w:rPr>
          <w:rFonts w:ascii="ITC Avant Garde" w:hAnsi="ITC Avant Garde" w:cs="Arial"/>
        </w:rPr>
        <w:t xml:space="preserve"> </w:t>
      </w:r>
      <w:r w:rsidR="007A08F7" w:rsidRPr="00ED4558">
        <w:rPr>
          <w:rFonts w:ascii="ITC Avant Garde" w:hAnsi="ITC Avant Garde" w:cs="Arial"/>
        </w:rPr>
        <w:t>deberán celebrar el c</w:t>
      </w:r>
      <w:r w:rsidR="001960F0" w:rsidRPr="00ED4558">
        <w:rPr>
          <w:rFonts w:ascii="ITC Avant Garde" w:hAnsi="ITC Avant Garde" w:cs="Arial"/>
        </w:rPr>
        <w:t>onvenio</w:t>
      </w:r>
      <w:r w:rsidR="007A08F7" w:rsidRPr="00ED4558">
        <w:rPr>
          <w:rFonts w:ascii="ITC Avant Garde" w:hAnsi="ITC Avant Garde" w:cs="Arial"/>
        </w:rPr>
        <w:t xml:space="preserve"> </w:t>
      </w:r>
      <w:r w:rsidR="001960F0" w:rsidRPr="00ED4558">
        <w:rPr>
          <w:rFonts w:ascii="ITC Avant Garde" w:hAnsi="ITC Avant Garde" w:cs="Arial"/>
        </w:rPr>
        <w:t>de interconexión de sus redes públicas de telecomunicaciones conforme a los términos y condiciones determinados en los Resolutivos PRIMERO, SEGUNDO</w:t>
      </w:r>
      <w:r w:rsidR="00672010" w:rsidRPr="00ED4558">
        <w:rPr>
          <w:rFonts w:ascii="ITC Avant Garde" w:hAnsi="ITC Avant Garde" w:cs="Arial"/>
        </w:rPr>
        <w:t xml:space="preserve">, </w:t>
      </w:r>
      <w:r w:rsidR="00D46148" w:rsidRPr="00ED4558">
        <w:rPr>
          <w:rFonts w:ascii="ITC Avant Garde" w:hAnsi="ITC Avant Garde" w:cs="Arial"/>
        </w:rPr>
        <w:t>TERCERO</w:t>
      </w:r>
      <w:r w:rsidRPr="00ED4558">
        <w:rPr>
          <w:rFonts w:ascii="ITC Avant Garde" w:hAnsi="ITC Avant Garde" w:cs="Arial"/>
        </w:rPr>
        <w:t>,</w:t>
      </w:r>
      <w:r w:rsidR="00672010" w:rsidRPr="00ED4558">
        <w:rPr>
          <w:rFonts w:ascii="ITC Avant Garde" w:hAnsi="ITC Avant Garde" w:cs="Arial"/>
        </w:rPr>
        <w:t xml:space="preserve"> CUARTO</w:t>
      </w:r>
      <w:r w:rsidR="00D46148" w:rsidRPr="00ED4558">
        <w:rPr>
          <w:rFonts w:ascii="ITC Avant Garde" w:hAnsi="ITC Avant Garde" w:cs="Arial"/>
        </w:rPr>
        <w:t xml:space="preserve"> </w:t>
      </w:r>
      <w:r w:rsidRPr="00ED4558">
        <w:rPr>
          <w:rFonts w:ascii="ITC Avant Garde" w:hAnsi="ITC Avant Garde" w:cs="Arial"/>
        </w:rPr>
        <w:t xml:space="preserve">y QUINTO </w:t>
      </w:r>
      <w:r w:rsidR="001960F0" w:rsidRPr="00ED4558">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w:t>
      </w:r>
      <w:r w:rsidR="00A258E3" w:rsidRPr="00ED4558">
        <w:rPr>
          <w:rFonts w:ascii="ITC Avant Garde" w:hAnsi="ITC Avant Garde" w:cs="Arial"/>
        </w:rPr>
        <w:t>, dentro de los treinta</w:t>
      </w:r>
      <w:r w:rsidR="001960F0" w:rsidRPr="00ED4558">
        <w:rPr>
          <w:rFonts w:ascii="ITC Avant Garde" w:hAnsi="ITC Avant Garde" w:cs="Arial"/>
        </w:rPr>
        <w:t xml:space="preserve"> </w:t>
      </w:r>
      <w:r w:rsidR="00A258E3" w:rsidRPr="00ED4558">
        <w:rPr>
          <w:rFonts w:ascii="ITC Avant Garde" w:hAnsi="ITC Avant Garde" w:cs="Arial"/>
        </w:rPr>
        <w:t xml:space="preserve">(30) </w:t>
      </w:r>
      <w:r w:rsidR="001960F0" w:rsidRPr="00ED4558">
        <w:rPr>
          <w:rFonts w:ascii="ITC Avant Garde" w:hAnsi="ITC Avant Garde" w:cs="Arial"/>
        </w:rPr>
        <w:t>días hábiles siguientes a su celebración, de conformidad con los artículos 128, 176 y 177, fracción VII de la Ley Federal de Telecomunicaciones y Radiodifusión.</w:t>
      </w:r>
    </w:p>
    <w:p w14:paraId="202A754E" w14:textId="77777777" w:rsidR="00FF7ADF" w:rsidRPr="00ED4558" w:rsidRDefault="00FF7ADF" w:rsidP="00773BC1">
      <w:pPr>
        <w:spacing w:after="0"/>
        <w:jc w:val="both"/>
        <w:rPr>
          <w:rFonts w:ascii="ITC Avant Garde" w:hAnsi="ITC Avant Garde" w:cs="Arial"/>
          <w:b/>
        </w:rPr>
      </w:pPr>
    </w:p>
    <w:p w14:paraId="76C9ED39" w14:textId="77777777" w:rsidR="0010524D" w:rsidRPr="00ED4558" w:rsidRDefault="00A61062" w:rsidP="00773BC1">
      <w:pPr>
        <w:spacing w:after="0"/>
        <w:jc w:val="both"/>
        <w:rPr>
          <w:rFonts w:ascii="ITC Avant Garde" w:hAnsi="ITC Avant Garde" w:cs="Arial"/>
        </w:rPr>
      </w:pPr>
      <w:r w:rsidRPr="00ED4558">
        <w:rPr>
          <w:rFonts w:ascii="ITC Avant Garde" w:hAnsi="ITC Avant Garde" w:cs="Arial"/>
          <w:b/>
        </w:rPr>
        <w:t>SÉPTIMO</w:t>
      </w:r>
      <w:r w:rsidR="005E55D1" w:rsidRPr="00ED4558">
        <w:rPr>
          <w:rFonts w:ascii="ITC Avant Garde" w:hAnsi="ITC Avant Garde" w:cs="Arial"/>
          <w:b/>
        </w:rPr>
        <w:t xml:space="preserve">.-  </w:t>
      </w:r>
      <w:r w:rsidR="00EA763F" w:rsidRPr="00ED4558">
        <w:rPr>
          <w:rFonts w:ascii="ITC Avant Garde" w:hAnsi="ITC Avant Garde"/>
          <w:lang w:eastAsia="es-ES"/>
        </w:rPr>
        <w:t xml:space="preserve">En cumplimiento a lo dispuesto en los artículos 312 y 313 de la Ley Federal de Telecomunicaciones y Radiodifusión, se hace del conocimiento de </w:t>
      </w:r>
      <w:proofErr w:type="spellStart"/>
      <w:r w:rsidR="007A37A7" w:rsidRPr="00ED4558">
        <w:rPr>
          <w:rFonts w:ascii="ITC Avant Garde" w:hAnsi="ITC Avant Garde"/>
        </w:rPr>
        <w:t>Radiomóvil</w:t>
      </w:r>
      <w:proofErr w:type="spellEnd"/>
      <w:r w:rsidR="007A37A7" w:rsidRPr="00ED4558">
        <w:rPr>
          <w:rFonts w:ascii="ITC Avant Garde" w:hAnsi="ITC Avant Garde"/>
        </w:rPr>
        <w:t xml:space="preserve"> </w:t>
      </w:r>
      <w:proofErr w:type="spellStart"/>
      <w:r w:rsidR="007A37A7" w:rsidRPr="00ED4558">
        <w:rPr>
          <w:rFonts w:ascii="ITC Avant Garde" w:hAnsi="ITC Avant Garde"/>
        </w:rPr>
        <w:t>Dipsa</w:t>
      </w:r>
      <w:proofErr w:type="spellEnd"/>
      <w:r w:rsidR="007A37A7" w:rsidRPr="00ED4558">
        <w:rPr>
          <w:rFonts w:ascii="ITC Avant Garde" w:hAnsi="ITC Avant Garde"/>
        </w:rPr>
        <w:t>, S.A de C.V</w:t>
      </w:r>
      <w:r w:rsidR="00A960AC" w:rsidRPr="00ED4558">
        <w:rPr>
          <w:rFonts w:ascii="ITC Avant Garde" w:hAnsi="ITC Avant Garde"/>
        </w:rPr>
        <w:t>. y de Cablevisión Red, S.A. de C.V.</w:t>
      </w:r>
      <w:r w:rsidR="00E91020" w:rsidRPr="00ED4558">
        <w:rPr>
          <w:rFonts w:ascii="ITC Avant Garde" w:hAnsi="ITC Avant Garde"/>
        </w:rPr>
        <w:t>,</w:t>
      </w:r>
      <w:r w:rsidR="00EA763F" w:rsidRPr="00ED4558">
        <w:rPr>
          <w:rFonts w:ascii="ITC Avant Garde" w:hAnsi="ITC Avant Garde"/>
        </w:rPr>
        <w:t xml:space="preserve"> </w:t>
      </w:r>
      <w:r w:rsidR="00EA763F" w:rsidRPr="00ED4558">
        <w:rPr>
          <w:rFonts w:ascii="ITC Avant Garde" w:hAnsi="ITC Avant Garde"/>
          <w:lang w:eastAsia="es-ES"/>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días hábiles contado a partir de que surta efectos la notificación de la presente Resolución, en términos del artículo 17 de la Ley de Amparo, Reglamentaria de los artículos 103 y 107 de la Constitución Política de los Estados Unidos Mexicanos.</w:t>
      </w:r>
    </w:p>
    <w:p w14:paraId="3B9E96CC" w14:textId="77777777" w:rsidR="00EB1177" w:rsidRPr="00ED4558" w:rsidRDefault="00EB1177" w:rsidP="00773BC1">
      <w:pPr>
        <w:spacing w:after="0"/>
        <w:jc w:val="both"/>
        <w:rPr>
          <w:rFonts w:ascii="ITC Avant Garde" w:hAnsi="ITC Avant Garde" w:cs="Arial"/>
          <w:b/>
        </w:rPr>
      </w:pPr>
    </w:p>
    <w:p w14:paraId="7A0B9CEE" w14:textId="77777777" w:rsidR="004D1F2B" w:rsidRPr="00ED4558" w:rsidRDefault="00A61062" w:rsidP="00773BC1">
      <w:pPr>
        <w:spacing w:after="0"/>
        <w:jc w:val="both"/>
        <w:rPr>
          <w:rFonts w:ascii="ITC Avant Garde" w:hAnsi="ITC Avant Garde" w:cs="Arial"/>
        </w:rPr>
      </w:pPr>
      <w:r w:rsidRPr="00ED4558">
        <w:rPr>
          <w:rFonts w:ascii="ITC Avant Garde" w:hAnsi="ITC Avant Garde" w:cs="Arial"/>
          <w:b/>
          <w:bCs/>
        </w:rPr>
        <w:t>OCTAVO</w:t>
      </w:r>
      <w:r w:rsidR="00BE252E" w:rsidRPr="00ED4558">
        <w:rPr>
          <w:rFonts w:ascii="ITC Avant Garde" w:hAnsi="ITC Avant Garde" w:cs="Arial"/>
          <w:b/>
          <w:snapToGrid w:val="0"/>
        </w:rPr>
        <w:t>.-</w:t>
      </w:r>
      <w:r w:rsidR="00BE252E" w:rsidRPr="00ED4558">
        <w:rPr>
          <w:rFonts w:ascii="ITC Avant Garde" w:hAnsi="ITC Avant Garde" w:cs="Arial"/>
          <w:snapToGrid w:val="0"/>
        </w:rPr>
        <w:t>.</w:t>
      </w:r>
      <w:r w:rsidR="00BE252E" w:rsidRPr="00ED4558">
        <w:rPr>
          <w:rFonts w:ascii="ITC Avant Garde" w:hAnsi="ITC Avant Garde" w:cs="Arial"/>
        </w:rPr>
        <w:t xml:space="preserve"> Notifíquese personalmente a los representantes legales de </w:t>
      </w:r>
      <w:proofErr w:type="spellStart"/>
      <w:r w:rsidR="007A37A7" w:rsidRPr="00ED4558">
        <w:rPr>
          <w:rFonts w:ascii="ITC Avant Garde" w:hAnsi="ITC Avant Garde"/>
        </w:rPr>
        <w:t>Radiomóvil</w:t>
      </w:r>
      <w:proofErr w:type="spellEnd"/>
      <w:r w:rsidR="007A37A7" w:rsidRPr="00ED4558">
        <w:rPr>
          <w:rFonts w:ascii="ITC Avant Garde" w:hAnsi="ITC Avant Garde"/>
        </w:rPr>
        <w:t xml:space="preserve"> </w:t>
      </w:r>
      <w:proofErr w:type="spellStart"/>
      <w:r w:rsidR="007A37A7" w:rsidRPr="00ED4558">
        <w:rPr>
          <w:rFonts w:ascii="ITC Avant Garde" w:hAnsi="ITC Avant Garde"/>
        </w:rPr>
        <w:t>Dipsa</w:t>
      </w:r>
      <w:proofErr w:type="spellEnd"/>
      <w:r w:rsidR="007A37A7" w:rsidRPr="00ED4558">
        <w:rPr>
          <w:rFonts w:ascii="ITC Avant Garde" w:hAnsi="ITC Avant Garde"/>
        </w:rPr>
        <w:t>, S.A. de C.V</w:t>
      </w:r>
      <w:r w:rsidR="00A960AC" w:rsidRPr="00ED4558">
        <w:rPr>
          <w:rFonts w:ascii="ITC Avant Garde" w:hAnsi="ITC Avant Garde"/>
        </w:rPr>
        <w:t xml:space="preserve">. y de Cablevisión Red, </w:t>
      </w:r>
      <w:r w:rsidR="00E91020" w:rsidRPr="00ED4558">
        <w:rPr>
          <w:rFonts w:ascii="ITC Avant Garde" w:hAnsi="ITC Avant Garde"/>
        </w:rPr>
        <w:t xml:space="preserve">S.A. de C.V., </w:t>
      </w:r>
      <w:r w:rsidR="00BE252E" w:rsidRPr="00ED4558">
        <w:rPr>
          <w:rFonts w:ascii="ITC Avant Garde" w:hAnsi="ITC Avant Garde" w:cs="Arial"/>
          <w:bCs/>
        </w:rPr>
        <w:t>el</w:t>
      </w:r>
      <w:r w:rsidR="00BE252E" w:rsidRPr="00ED4558">
        <w:rPr>
          <w:rFonts w:ascii="ITC Avant Garde" w:hAnsi="ITC Avant Garde" w:cs="Arial"/>
        </w:rPr>
        <w:t xml:space="preserve"> contenido de la presente Resolución, en términos de lo establecido en el artículo 129 fracción VIII de la Ley Federal de Telecomunicaciones y Radiodifusión.</w:t>
      </w:r>
    </w:p>
    <w:p w14:paraId="2A904296" w14:textId="77777777" w:rsidR="004D1F2B" w:rsidRDefault="004D1F2B" w:rsidP="003C333D">
      <w:pPr>
        <w:spacing w:after="0" w:line="240" w:lineRule="auto"/>
        <w:jc w:val="both"/>
        <w:rPr>
          <w:rFonts w:ascii="ITC Avant Garde" w:hAnsi="ITC Avant Garde" w:cs="Arial"/>
        </w:rPr>
      </w:pPr>
    </w:p>
    <w:p w14:paraId="57AC08A7" w14:textId="77777777" w:rsidR="00334223" w:rsidRPr="00334223" w:rsidRDefault="00334223" w:rsidP="00334223">
      <w:pPr>
        <w:spacing w:after="0" w:line="240" w:lineRule="auto"/>
        <w:jc w:val="both"/>
        <w:rPr>
          <w:rFonts w:ascii="ITC Avant Garde" w:hAnsi="ITC Avant Garde"/>
          <w:sz w:val="14"/>
          <w:szCs w:val="14"/>
        </w:rPr>
      </w:pPr>
      <w:r w:rsidRPr="00334223">
        <w:rPr>
          <w:rFonts w:ascii="ITC Avant Garde" w:hAnsi="ITC Avant Garde"/>
          <w:sz w:val="14"/>
          <w:szCs w:val="14"/>
        </w:rPr>
        <w:lastRenderedPageBreak/>
        <w:t xml:space="preserve">La presente Resolución fue aprobada por el Pleno del Instituto Federal de Telecomunicaciones en su XXVII Sesión Ordinaria celebrada el 25 de noviembre de 2015, en lo general por unanimidad de votos de los Comisionados presentes Gabriel Oswaldo Contreras Saldívar, Luis Fernando </w:t>
      </w:r>
      <w:proofErr w:type="spellStart"/>
      <w:r w:rsidRPr="00334223">
        <w:rPr>
          <w:rFonts w:ascii="ITC Avant Garde" w:hAnsi="ITC Avant Garde"/>
          <w:sz w:val="14"/>
          <w:szCs w:val="14"/>
        </w:rPr>
        <w:t>Borjón</w:t>
      </w:r>
      <w:proofErr w:type="spellEnd"/>
      <w:r w:rsidRPr="00334223">
        <w:rPr>
          <w:rFonts w:ascii="ITC Avant Garde" w:hAnsi="ITC Avant Garde"/>
          <w:sz w:val="14"/>
          <w:szCs w:val="14"/>
        </w:rPr>
        <w:t xml:space="preserve"> Figueroa, Ernesto Estrada González, Adriana Sofía </w:t>
      </w:r>
      <w:proofErr w:type="spellStart"/>
      <w:r w:rsidRPr="00334223">
        <w:rPr>
          <w:rFonts w:ascii="ITC Avant Garde" w:hAnsi="ITC Avant Garde"/>
          <w:sz w:val="14"/>
          <w:szCs w:val="14"/>
        </w:rPr>
        <w:t>Labardini</w:t>
      </w:r>
      <w:proofErr w:type="spellEnd"/>
      <w:r w:rsidRPr="00334223">
        <w:rPr>
          <w:rFonts w:ascii="ITC Avant Garde" w:hAnsi="ITC Avant Garde"/>
          <w:sz w:val="14"/>
          <w:szCs w:val="14"/>
        </w:rPr>
        <w:t xml:space="preserve"> </w:t>
      </w:r>
      <w:proofErr w:type="spellStart"/>
      <w:r w:rsidRPr="00334223">
        <w:rPr>
          <w:rFonts w:ascii="ITC Avant Garde" w:hAnsi="ITC Avant Garde"/>
          <w:sz w:val="14"/>
          <w:szCs w:val="14"/>
        </w:rPr>
        <w:t>Inzunza</w:t>
      </w:r>
      <w:proofErr w:type="spellEnd"/>
      <w:r w:rsidRPr="00334223">
        <w:rPr>
          <w:rFonts w:ascii="ITC Avant Garde" w:hAnsi="ITC Avant Garde"/>
          <w:sz w:val="14"/>
          <w:szCs w:val="14"/>
        </w:rPr>
        <w:t xml:space="preserve">, María Elena </w:t>
      </w:r>
      <w:proofErr w:type="spellStart"/>
      <w:r w:rsidRPr="00334223">
        <w:rPr>
          <w:rFonts w:ascii="ITC Avant Garde" w:hAnsi="ITC Avant Garde"/>
          <w:sz w:val="14"/>
          <w:szCs w:val="14"/>
        </w:rPr>
        <w:t>Estavillo</w:t>
      </w:r>
      <w:proofErr w:type="spellEnd"/>
      <w:r w:rsidRPr="00334223">
        <w:rPr>
          <w:rFonts w:ascii="ITC Avant Garde" w:hAnsi="ITC Avant Garde"/>
          <w:sz w:val="14"/>
          <w:szCs w:val="14"/>
        </w:rPr>
        <w:t xml:space="preserve"> Flores, Mario Germán </w:t>
      </w:r>
      <w:proofErr w:type="spellStart"/>
      <w:r w:rsidRPr="00334223">
        <w:rPr>
          <w:rFonts w:ascii="ITC Avant Garde" w:hAnsi="ITC Avant Garde"/>
          <w:sz w:val="14"/>
          <w:szCs w:val="14"/>
        </w:rPr>
        <w:t>Fromow</w:t>
      </w:r>
      <w:proofErr w:type="spellEnd"/>
      <w:r w:rsidRPr="00334223">
        <w:rPr>
          <w:rFonts w:ascii="ITC Avant Garde" w:hAnsi="ITC Avant Garde"/>
          <w:sz w:val="14"/>
          <w:szCs w:val="14"/>
        </w:rPr>
        <w:t xml:space="preserve"> Rangel y Adolfo Cuevas Teja.</w:t>
      </w:r>
    </w:p>
    <w:p w14:paraId="7DD4CF9F" w14:textId="77777777" w:rsidR="00334223" w:rsidRPr="00334223" w:rsidRDefault="00334223" w:rsidP="00334223">
      <w:pPr>
        <w:spacing w:after="0" w:line="240" w:lineRule="auto"/>
        <w:jc w:val="both"/>
        <w:rPr>
          <w:rFonts w:ascii="ITC Avant Garde" w:hAnsi="ITC Avant Garde"/>
          <w:b/>
          <w:bCs/>
          <w:i/>
          <w:iCs/>
          <w:sz w:val="14"/>
          <w:szCs w:val="14"/>
        </w:rPr>
      </w:pPr>
    </w:p>
    <w:p w14:paraId="682E089C" w14:textId="77777777" w:rsidR="00334223" w:rsidRDefault="00334223" w:rsidP="00334223">
      <w:pPr>
        <w:spacing w:after="0" w:line="240" w:lineRule="auto"/>
        <w:jc w:val="both"/>
        <w:rPr>
          <w:rFonts w:ascii="ITC Avant Garde" w:hAnsi="ITC Avant Garde"/>
          <w:sz w:val="14"/>
          <w:szCs w:val="14"/>
        </w:rPr>
      </w:pPr>
      <w:r w:rsidRPr="00334223">
        <w:rPr>
          <w:rFonts w:ascii="ITC Avant Garde" w:hAnsi="ITC Avant Garde"/>
          <w:sz w:val="14"/>
          <w:szCs w:val="14"/>
        </w:rPr>
        <w:t xml:space="preserve">La Comisionada María Elena </w:t>
      </w:r>
      <w:proofErr w:type="spellStart"/>
      <w:r w:rsidRPr="00334223">
        <w:rPr>
          <w:rFonts w:ascii="ITC Avant Garde" w:hAnsi="ITC Avant Garde"/>
          <w:sz w:val="14"/>
          <w:szCs w:val="14"/>
        </w:rPr>
        <w:t>Estavillo</w:t>
      </w:r>
      <w:proofErr w:type="spellEnd"/>
      <w:r w:rsidRPr="00334223">
        <w:rPr>
          <w:rFonts w:ascii="ITC Avant Garde" w:hAnsi="ITC Avant Garde"/>
          <w:sz w:val="14"/>
          <w:szCs w:val="14"/>
        </w:rPr>
        <w:t xml:space="preserve"> Flores manifestó voto en contra del Resolutivo Segundo, en relación con la determinación de las tarifas para 2016; así como del Resolutivo Cuarto, en lo que se refiere a la celebración del convenio con las tarifas determinadas para 2016.</w:t>
      </w:r>
    </w:p>
    <w:p w14:paraId="4E09C6DC" w14:textId="77777777" w:rsidR="0097436F" w:rsidRPr="00334223" w:rsidRDefault="0097436F" w:rsidP="00334223">
      <w:pPr>
        <w:spacing w:after="0" w:line="240" w:lineRule="auto"/>
        <w:jc w:val="both"/>
        <w:rPr>
          <w:rFonts w:ascii="ITC Avant Garde" w:hAnsi="ITC Avant Garde"/>
          <w:sz w:val="14"/>
          <w:szCs w:val="14"/>
        </w:rPr>
      </w:pPr>
    </w:p>
    <w:p w14:paraId="490D40A2" w14:textId="77777777" w:rsidR="00334223" w:rsidRPr="00334223" w:rsidRDefault="00334223" w:rsidP="00334223">
      <w:pPr>
        <w:spacing w:after="0" w:line="240" w:lineRule="auto"/>
        <w:jc w:val="both"/>
        <w:rPr>
          <w:rFonts w:ascii="ITC Avant Garde" w:hAnsi="ITC Avant Garde"/>
          <w:sz w:val="14"/>
          <w:szCs w:val="14"/>
        </w:rPr>
      </w:pPr>
      <w:r w:rsidRPr="00334223">
        <w:rPr>
          <w:rFonts w:ascii="ITC Avant Garde" w:hAnsi="ITC Avant Garde"/>
          <w:sz w:val="14"/>
          <w:szCs w:val="14"/>
        </w:rPr>
        <w:t xml:space="preserve">El Comisionado Luis Fernando </w:t>
      </w:r>
      <w:proofErr w:type="spellStart"/>
      <w:r w:rsidRPr="00334223">
        <w:rPr>
          <w:rFonts w:ascii="ITC Avant Garde" w:hAnsi="ITC Avant Garde"/>
          <w:sz w:val="14"/>
          <w:szCs w:val="14"/>
        </w:rPr>
        <w:t>Borjón</w:t>
      </w:r>
      <w:proofErr w:type="spellEnd"/>
      <w:r w:rsidRPr="00334223">
        <w:rPr>
          <w:rFonts w:ascii="ITC Avant Garde" w:hAnsi="ITC Avant Garde"/>
          <w:sz w:val="14"/>
          <w:szCs w:val="14"/>
        </w:rPr>
        <w:t xml:space="preserve"> Figueroa manifestó voto en contra del Resolutivo Segundo; así como de los Resolutivos Tercero y Sexto en lo conducente al Resolutivo Segundo. </w:t>
      </w:r>
    </w:p>
    <w:p w14:paraId="1C755946" w14:textId="77777777" w:rsidR="00334223" w:rsidRPr="00334223" w:rsidRDefault="00334223" w:rsidP="00334223">
      <w:pPr>
        <w:spacing w:after="0" w:line="240" w:lineRule="auto"/>
        <w:jc w:val="both"/>
        <w:rPr>
          <w:rFonts w:ascii="ITC Avant Garde" w:hAnsi="ITC Avant Garde"/>
          <w:b/>
          <w:bCs/>
          <w:i/>
          <w:iCs/>
          <w:sz w:val="14"/>
          <w:szCs w:val="14"/>
        </w:rPr>
      </w:pPr>
    </w:p>
    <w:p w14:paraId="47FD9E20" w14:textId="12446560" w:rsidR="00A575DD" w:rsidRDefault="00A575DD" w:rsidP="00334223">
      <w:pPr>
        <w:spacing w:after="0" w:line="240" w:lineRule="auto"/>
        <w:jc w:val="both"/>
        <w:rPr>
          <w:rFonts w:ascii="ITC Avant Garde" w:hAnsi="ITC Avant Garde"/>
          <w:b/>
          <w:bCs/>
          <w:i/>
          <w:iCs/>
          <w:sz w:val="14"/>
          <w:szCs w:val="14"/>
        </w:rPr>
      </w:pPr>
      <w:r w:rsidRPr="00A575DD">
        <w:rPr>
          <w:rFonts w:ascii="ITC Avant Garde" w:hAnsi="ITC Avant Garde"/>
          <w:sz w:val="14"/>
          <w:szCs w:val="20"/>
        </w:rPr>
        <w:t>El Comisionado Adolfo Cuevas Teja manifestó su voto en contra de los Resolutivos Primero y Segundo y su parte considerativa; así como del Resolutivo Sexto, en lo referente a ordenar la celebración de convenios de interconexión conforme a los términos y condiciones establecidos en los Resolutivos Primero y Segundo.</w:t>
      </w:r>
    </w:p>
    <w:p w14:paraId="339913BE" w14:textId="77777777" w:rsidR="00A575DD" w:rsidRPr="00334223" w:rsidRDefault="00A575DD" w:rsidP="00334223">
      <w:pPr>
        <w:spacing w:after="0" w:line="240" w:lineRule="auto"/>
        <w:jc w:val="both"/>
        <w:rPr>
          <w:rFonts w:ascii="ITC Avant Garde" w:hAnsi="ITC Avant Garde"/>
          <w:b/>
          <w:bCs/>
          <w:i/>
          <w:iCs/>
          <w:sz w:val="14"/>
          <w:szCs w:val="14"/>
        </w:rPr>
      </w:pPr>
    </w:p>
    <w:p w14:paraId="4F6262FC" w14:textId="77777777" w:rsidR="00334223" w:rsidRPr="00334223" w:rsidRDefault="00334223" w:rsidP="00334223">
      <w:pPr>
        <w:spacing w:after="0" w:line="240" w:lineRule="auto"/>
        <w:jc w:val="both"/>
        <w:rPr>
          <w:rFonts w:ascii="ITC Avant Garde" w:hAnsi="ITC Avant Garde"/>
          <w:b/>
          <w:bCs/>
          <w:i/>
          <w:iCs/>
          <w:sz w:val="14"/>
          <w:szCs w:val="14"/>
        </w:rPr>
      </w:pPr>
      <w:r w:rsidRPr="00334223">
        <w:rPr>
          <w:rFonts w:ascii="ITC Avant Garde" w:hAnsi="ITC Avant Garde"/>
          <w:sz w:val="14"/>
          <w:szCs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P/IFT/251115/546.</w:t>
      </w:r>
      <w:bookmarkStart w:id="8" w:name="_GoBack"/>
      <w:bookmarkEnd w:id="8"/>
    </w:p>
    <w:sectPr w:rsidR="00334223" w:rsidRPr="00334223" w:rsidSect="003C333D">
      <w:headerReference w:type="even" r:id="rId11"/>
      <w:footerReference w:type="default" r:id="rId12"/>
      <w:headerReference w:type="first" r:id="rId13"/>
      <w:pgSz w:w="12240" w:h="15840"/>
      <w:pgMar w:top="1985" w:right="1418" w:bottom="1418" w:left="1418" w:header="709" w:footer="9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3A112" w14:textId="77777777" w:rsidR="00392F62" w:rsidRDefault="00392F62" w:rsidP="00072BC8">
      <w:pPr>
        <w:spacing w:after="0" w:line="240" w:lineRule="auto"/>
      </w:pPr>
      <w:r>
        <w:separator/>
      </w:r>
    </w:p>
  </w:endnote>
  <w:endnote w:type="continuationSeparator" w:id="0">
    <w:p w14:paraId="0B01C317" w14:textId="77777777" w:rsidR="00392F62" w:rsidRDefault="00392F62"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543506"/>
      <w:docPartObj>
        <w:docPartGallery w:val="Page Numbers (Bottom of Page)"/>
        <w:docPartUnique/>
      </w:docPartObj>
    </w:sdtPr>
    <w:sdtEndPr>
      <w:rPr>
        <w:rFonts w:ascii="ITC Avant Garde" w:hAnsi="ITC Avant Garde"/>
        <w:sz w:val="20"/>
        <w:szCs w:val="20"/>
      </w:rPr>
    </w:sdtEndPr>
    <w:sdtContent>
      <w:p w14:paraId="1519C942" w14:textId="77777777" w:rsidR="00392F62" w:rsidRPr="003C333D" w:rsidRDefault="00392F62">
        <w:pPr>
          <w:pStyle w:val="Piedepgina"/>
          <w:jc w:val="right"/>
          <w:rPr>
            <w:rFonts w:ascii="ITC Avant Garde" w:hAnsi="ITC Avant Garde"/>
            <w:sz w:val="20"/>
            <w:szCs w:val="20"/>
          </w:rPr>
        </w:pPr>
        <w:r w:rsidRPr="003C333D">
          <w:rPr>
            <w:rFonts w:ascii="ITC Avant Garde" w:hAnsi="ITC Avant Garde"/>
            <w:sz w:val="20"/>
            <w:szCs w:val="20"/>
          </w:rPr>
          <w:fldChar w:fldCharType="begin"/>
        </w:r>
        <w:r w:rsidRPr="003C333D">
          <w:rPr>
            <w:rFonts w:ascii="ITC Avant Garde" w:hAnsi="ITC Avant Garde"/>
            <w:sz w:val="20"/>
            <w:szCs w:val="20"/>
          </w:rPr>
          <w:instrText>PAGE   \* MERGEFORMAT</w:instrText>
        </w:r>
        <w:r w:rsidRPr="003C333D">
          <w:rPr>
            <w:rFonts w:ascii="ITC Avant Garde" w:hAnsi="ITC Avant Garde"/>
            <w:sz w:val="20"/>
            <w:szCs w:val="20"/>
          </w:rPr>
          <w:fldChar w:fldCharType="separate"/>
        </w:r>
        <w:r w:rsidR="009746AC" w:rsidRPr="009746AC">
          <w:rPr>
            <w:rFonts w:ascii="ITC Avant Garde" w:hAnsi="ITC Avant Garde"/>
            <w:noProof/>
            <w:sz w:val="20"/>
            <w:szCs w:val="20"/>
            <w:lang w:val="es-ES"/>
          </w:rPr>
          <w:t>40</w:t>
        </w:r>
        <w:r w:rsidRPr="003C333D">
          <w:rPr>
            <w:rFonts w:ascii="ITC Avant Garde" w:hAnsi="ITC Avant Garde"/>
            <w:noProof/>
            <w:sz w:val="20"/>
            <w:szCs w:val="20"/>
            <w:lang w:val="es-E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F413B" w14:textId="77777777" w:rsidR="00392F62" w:rsidRDefault="00392F62" w:rsidP="00072BC8">
      <w:pPr>
        <w:spacing w:after="0" w:line="240" w:lineRule="auto"/>
      </w:pPr>
      <w:r>
        <w:separator/>
      </w:r>
    </w:p>
  </w:footnote>
  <w:footnote w:type="continuationSeparator" w:id="0">
    <w:p w14:paraId="4ADF6F22" w14:textId="77777777" w:rsidR="00392F62" w:rsidRDefault="00392F62" w:rsidP="00072BC8">
      <w:pPr>
        <w:spacing w:after="0" w:line="240" w:lineRule="auto"/>
      </w:pPr>
      <w:r>
        <w:continuationSeparator/>
      </w:r>
    </w:p>
  </w:footnote>
  <w:footnote w:id="1">
    <w:p w14:paraId="184708C5" w14:textId="77777777" w:rsidR="00392F62" w:rsidRPr="009B4EF5" w:rsidRDefault="00392F62" w:rsidP="00F3236C">
      <w:pPr>
        <w:pStyle w:val="Textonotapie"/>
        <w:jc w:val="both"/>
      </w:pPr>
      <w:r w:rsidRPr="00324B77">
        <w:rPr>
          <w:rStyle w:val="Refdenotaalpie"/>
          <w:color w:val="4F81BD" w:themeColor="accent1"/>
        </w:rPr>
        <w:footnoteRef/>
      </w:r>
      <w:r w:rsidRPr="00324B77">
        <w:rPr>
          <w:color w:val="4F81BD" w:themeColor="accent1"/>
        </w:rPr>
        <w:t xml:space="preserve"> </w:t>
      </w:r>
      <w:r w:rsidRPr="00324B77">
        <w:rPr>
          <w:rFonts w:ascii="ITC Avant Garde" w:hAnsi="ITC Avant Garde"/>
          <w:color w:val="4F81BD" w:themeColor="accent1"/>
          <w:sz w:val="18"/>
          <w:szCs w:val="18"/>
        </w:rPr>
        <w:t>P</w:t>
      </w:r>
      <w:r w:rsidRPr="00324B77">
        <w:rPr>
          <w:rFonts w:ascii="ITC Avant Garde" w:hAnsi="ITC Avant Garde" w:cs="Arial"/>
          <w:color w:val="4F81BD" w:themeColor="accent1"/>
          <w:sz w:val="18"/>
          <w:szCs w:val="18"/>
        </w:rPr>
        <w:t>roducción y servicios. El artículo 18, fracciones I, II, III, V, VI, VII, X Y XI, de la Ley del Impuesto Especial Relativo (vigente durante el año de 2002), en cuanto concede exenciones por la prestación de servicios de telefonía, internet e interconexión, más no por el de televisión por cable, no es violatorio del principio de equidad tributaria.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1FB58" w14:textId="77777777" w:rsidR="00392F62" w:rsidRDefault="009746AC">
    <w:pPr>
      <w:pStyle w:val="Encabezado"/>
    </w:pPr>
    <w:r>
      <w:rPr>
        <w:noProof/>
        <w:lang w:eastAsia="es-MX"/>
      </w:rPr>
      <w:pict w14:anchorId="3932EB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6596B" w14:textId="77777777" w:rsidR="00392F62" w:rsidRDefault="009746AC">
    <w:pPr>
      <w:pStyle w:val="Encabezado"/>
    </w:pPr>
    <w:r>
      <w:rPr>
        <w:noProof/>
        <w:lang w:eastAsia="es-MX"/>
      </w:rPr>
      <w:pict w14:anchorId="717107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225993"/>
    <w:multiLevelType w:val="hybridMultilevel"/>
    <w:tmpl w:val="6CDCC83E"/>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4" w15:restartNumberingAfterBreak="0">
    <w:nsid w:val="01042BFA"/>
    <w:multiLevelType w:val="hybridMultilevel"/>
    <w:tmpl w:val="83C81488"/>
    <w:lvl w:ilvl="0" w:tplc="080A0001">
      <w:start w:val="1"/>
      <w:numFmt w:val="bullet"/>
      <w:lvlText w:val=""/>
      <w:lvlJc w:val="left"/>
      <w:pPr>
        <w:ind w:left="1494" w:hanging="360"/>
      </w:pPr>
      <w:rPr>
        <w:rFonts w:ascii="Symbol" w:hAnsi="Symbol" w:hint="default"/>
      </w:rPr>
    </w:lvl>
    <w:lvl w:ilvl="1" w:tplc="080A0003">
      <w:start w:val="1"/>
      <w:numFmt w:val="bullet"/>
      <w:lvlText w:val="o"/>
      <w:lvlJc w:val="left"/>
      <w:pPr>
        <w:ind w:left="2214" w:hanging="360"/>
      </w:pPr>
      <w:rPr>
        <w:rFonts w:ascii="Courier New" w:hAnsi="Courier New" w:cs="Courier New" w:hint="default"/>
      </w:rPr>
    </w:lvl>
    <w:lvl w:ilvl="2" w:tplc="080A0005">
      <w:start w:val="1"/>
      <w:numFmt w:val="bullet"/>
      <w:lvlText w:val=""/>
      <w:lvlJc w:val="left"/>
      <w:pPr>
        <w:ind w:left="2934" w:hanging="360"/>
      </w:pPr>
      <w:rPr>
        <w:rFonts w:ascii="Wingdings" w:hAnsi="Wingdings" w:hint="default"/>
      </w:rPr>
    </w:lvl>
    <w:lvl w:ilvl="3" w:tplc="080A0001">
      <w:start w:val="1"/>
      <w:numFmt w:val="bullet"/>
      <w:lvlText w:val=""/>
      <w:lvlJc w:val="left"/>
      <w:pPr>
        <w:ind w:left="3654" w:hanging="360"/>
      </w:pPr>
      <w:rPr>
        <w:rFonts w:ascii="Symbol" w:hAnsi="Symbol" w:hint="default"/>
      </w:rPr>
    </w:lvl>
    <w:lvl w:ilvl="4" w:tplc="080A0003">
      <w:start w:val="1"/>
      <w:numFmt w:val="bullet"/>
      <w:lvlText w:val="o"/>
      <w:lvlJc w:val="left"/>
      <w:pPr>
        <w:ind w:left="4374" w:hanging="360"/>
      </w:pPr>
      <w:rPr>
        <w:rFonts w:ascii="Courier New" w:hAnsi="Courier New" w:cs="Courier New" w:hint="default"/>
      </w:rPr>
    </w:lvl>
    <w:lvl w:ilvl="5" w:tplc="080A0005">
      <w:start w:val="1"/>
      <w:numFmt w:val="bullet"/>
      <w:lvlText w:val=""/>
      <w:lvlJc w:val="left"/>
      <w:pPr>
        <w:ind w:left="5094" w:hanging="360"/>
      </w:pPr>
      <w:rPr>
        <w:rFonts w:ascii="Wingdings" w:hAnsi="Wingdings" w:hint="default"/>
      </w:rPr>
    </w:lvl>
    <w:lvl w:ilvl="6" w:tplc="080A0001">
      <w:start w:val="1"/>
      <w:numFmt w:val="bullet"/>
      <w:lvlText w:val=""/>
      <w:lvlJc w:val="left"/>
      <w:pPr>
        <w:ind w:left="5814" w:hanging="360"/>
      </w:pPr>
      <w:rPr>
        <w:rFonts w:ascii="Symbol" w:hAnsi="Symbol" w:hint="default"/>
      </w:rPr>
    </w:lvl>
    <w:lvl w:ilvl="7" w:tplc="080A0003">
      <w:start w:val="1"/>
      <w:numFmt w:val="bullet"/>
      <w:lvlText w:val="o"/>
      <w:lvlJc w:val="left"/>
      <w:pPr>
        <w:ind w:left="6534" w:hanging="360"/>
      </w:pPr>
      <w:rPr>
        <w:rFonts w:ascii="Courier New" w:hAnsi="Courier New" w:cs="Courier New" w:hint="default"/>
      </w:rPr>
    </w:lvl>
    <w:lvl w:ilvl="8" w:tplc="080A0005">
      <w:start w:val="1"/>
      <w:numFmt w:val="bullet"/>
      <w:lvlText w:val=""/>
      <w:lvlJc w:val="left"/>
      <w:pPr>
        <w:ind w:left="7254" w:hanging="360"/>
      </w:pPr>
      <w:rPr>
        <w:rFonts w:ascii="Wingdings" w:hAnsi="Wingdings" w:hint="default"/>
      </w:rPr>
    </w:lvl>
  </w:abstractNum>
  <w:abstractNum w:abstractNumId="5" w15:restartNumberingAfterBreak="0">
    <w:nsid w:val="03980B38"/>
    <w:multiLevelType w:val="hybridMultilevel"/>
    <w:tmpl w:val="24AC2514"/>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6" w15:restartNumberingAfterBreak="0">
    <w:nsid w:val="04BF41D2"/>
    <w:multiLevelType w:val="hybridMultilevel"/>
    <w:tmpl w:val="B75A6932"/>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7" w15:restartNumberingAfterBreak="0">
    <w:nsid w:val="087D603A"/>
    <w:multiLevelType w:val="hybridMultilevel"/>
    <w:tmpl w:val="B0A8C86C"/>
    <w:lvl w:ilvl="0" w:tplc="4B707EDA">
      <w:start w:val="1"/>
      <w:numFmt w:val="lowerLetter"/>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0B4F0D8F"/>
    <w:multiLevelType w:val="hybridMultilevel"/>
    <w:tmpl w:val="EBC20EEA"/>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9136E0"/>
    <w:multiLevelType w:val="hybridMultilevel"/>
    <w:tmpl w:val="D4C42194"/>
    <w:lvl w:ilvl="0" w:tplc="3BEA0502">
      <w:start w:val="1"/>
      <w:numFmt w:val="bullet"/>
      <w:lvlText w:val="•"/>
      <w:lvlJc w:val="left"/>
      <w:pPr>
        <w:tabs>
          <w:tab w:val="num" w:pos="720"/>
        </w:tabs>
        <w:ind w:left="720" w:hanging="360"/>
      </w:pPr>
      <w:rPr>
        <w:rFonts w:ascii="Arial" w:hAnsi="Arial" w:hint="default"/>
      </w:rPr>
    </w:lvl>
    <w:lvl w:ilvl="1" w:tplc="990CFF54" w:tentative="1">
      <w:start w:val="1"/>
      <w:numFmt w:val="bullet"/>
      <w:lvlText w:val="•"/>
      <w:lvlJc w:val="left"/>
      <w:pPr>
        <w:tabs>
          <w:tab w:val="num" w:pos="1440"/>
        </w:tabs>
        <w:ind w:left="1440" w:hanging="360"/>
      </w:pPr>
      <w:rPr>
        <w:rFonts w:ascii="Arial" w:hAnsi="Arial" w:hint="default"/>
      </w:rPr>
    </w:lvl>
    <w:lvl w:ilvl="2" w:tplc="CC44ED1C" w:tentative="1">
      <w:start w:val="1"/>
      <w:numFmt w:val="bullet"/>
      <w:lvlText w:val="•"/>
      <w:lvlJc w:val="left"/>
      <w:pPr>
        <w:tabs>
          <w:tab w:val="num" w:pos="2160"/>
        </w:tabs>
        <w:ind w:left="2160" w:hanging="360"/>
      </w:pPr>
      <w:rPr>
        <w:rFonts w:ascii="Arial" w:hAnsi="Arial" w:hint="default"/>
      </w:rPr>
    </w:lvl>
    <w:lvl w:ilvl="3" w:tplc="E2962EBE" w:tentative="1">
      <w:start w:val="1"/>
      <w:numFmt w:val="bullet"/>
      <w:lvlText w:val="•"/>
      <w:lvlJc w:val="left"/>
      <w:pPr>
        <w:tabs>
          <w:tab w:val="num" w:pos="2880"/>
        </w:tabs>
        <w:ind w:left="2880" w:hanging="360"/>
      </w:pPr>
      <w:rPr>
        <w:rFonts w:ascii="Arial" w:hAnsi="Arial" w:hint="default"/>
      </w:rPr>
    </w:lvl>
    <w:lvl w:ilvl="4" w:tplc="8A8CB1E0" w:tentative="1">
      <w:start w:val="1"/>
      <w:numFmt w:val="bullet"/>
      <w:lvlText w:val="•"/>
      <w:lvlJc w:val="left"/>
      <w:pPr>
        <w:tabs>
          <w:tab w:val="num" w:pos="3600"/>
        </w:tabs>
        <w:ind w:left="3600" w:hanging="360"/>
      </w:pPr>
      <w:rPr>
        <w:rFonts w:ascii="Arial" w:hAnsi="Arial" w:hint="default"/>
      </w:rPr>
    </w:lvl>
    <w:lvl w:ilvl="5" w:tplc="847C139E" w:tentative="1">
      <w:start w:val="1"/>
      <w:numFmt w:val="bullet"/>
      <w:lvlText w:val="•"/>
      <w:lvlJc w:val="left"/>
      <w:pPr>
        <w:tabs>
          <w:tab w:val="num" w:pos="4320"/>
        </w:tabs>
        <w:ind w:left="4320" w:hanging="360"/>
      </w:pPr>
      <w:rPr>
        <w:rFonts w:ascii="Arial" w:hAnsi="Arial" w:hint="default"/>
      </w:rPr>
    </w:lvl>
    <w:lvl w:ilvl="6" w:tplc="E6B674FE" w:tentative="1">
      <w:start w:val="1"/>
      <w:numFmt w:val="bullet"/>
      <w:lvlText w:val="•"/>
      <w:lvlJc w:val="left"/>
      <w:pPr>
        <w:tabs>
          <w:tab w:val="num" w:pos="5040"/>
        </w:tabs>
        <w:ind w:left="5040" w:hanging="360"/>
      </w:pPr>
      <w:rPr>
        <w:rFonts w:ascii="Arial" w:hAnsi="Arial" w:hint="default"/>
      </w:rPr>
    </w:lvl>
    <w:lvl w:ilvl="7" w:tplc="9B9C2EE0" w:tentative="1">
      <w:start w:val="1"/>
      <w:numFmt w:val="bullet"/>
      <w:lvlText w:val="•"/>
      <w:lvlJc w:val="left"/>
      <w:pPr>
        <w:tabs>
          <w:tab w:val="num" w:pos="5760"/>
        </w:tabs>
        <w:ind w:left="5760" w:hanging="360"/>
      </w:pPr>
      <w:rPr>
        <w:rFonts w:ascii="Arial" w:hAnsi="Arial" w:hint="default"/>
      </w:rPr>
    </w:lvl>
    <w:lvl w:ilvl="8" w:tplc="9056C38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2" w15:restartNumberingAfterBreak="0">
    <w:nsid w:val="1D4053A5"/>
    <w:multiLevelType w:val="hybridMultilevel"/>
    <w:tmpl w:val="7F2ADE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5332C2"/>
    <w:multiLevelType w:val="hybridMultilevel"/>
    <w:tmpl w:val="379496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A72C25"/>
    <w:multiLevelType w:val="hybridMultilevel"/>
    <w:tmpl w:val="9EF22A4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15:restartNumberingAfterBreak="0">
    <w:nsid w:val="223F0C7D"/>
    <w:multiLevelType w:val="hybridMultilevel"/>
    <w:tmpl w:val="B67EAD2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6" w15:restartNumberingAfterBreak="0">
    <w:nsid w:val="2DDC137B"/>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2DFE35F7"/>
    <w:multiLevelType w:val="hybridMultilevel"/>
    <w:tmpl w:val="6FAEE3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9" w15:restartNumberingAfterBreak="0">
    <w:nsid w:val="32413128"/>
    <w:multiLevelType w:val="hybridMultilevel"/>
    <w:tmpl w:val="379496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4A59F2"/>
    <w:multiLevelType w:val="hybridMultilevel"/>
    <w:tmpl w:val="1546A04C"/>
    <w:lvl w:ilvl="0" w:tplc="0D141766">
      <w:start w:val="4"/>
      <w:numFmt w:val="lowerLetter"/>
      <w:lvlText w:val="%1)"/>
      <w:lvlJc w:val="left"/>
      <w:pPr>
        <w:ind w:left="1040" w:hanging="360"/>
      </w:pPr>
      <w:rPr>
        <w:rFonts w:hint="default"/>
        <w:b w:val="0"/>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21"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9024A2"/>
    <w:multiLevelType w:val="hybridMultilevel"/>
    <w:tmpl w:val="379496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E70EA2"/>
    <w:multiLevelType w:val="hybridMultilevel"/>
    <w:tmpl w:val="2BC44BAA"/>
    <w:lvl w:ilvl="0" w:tplc="C7827F06">
      <w:start w:val="1"/>
      <w:numFmt w:val="upperRoman"/>
      <w:suff w:val="nothing"/>
      <w:lvlText w:val="%1.-"/>
      <w:lvlJc w:val="left"/>
      <w:pPr>
        <w:ind w:left="851" w:hanging="284"/>
      </w:pPr>
      <w:rPr>
        <w:rFonts w:ascii="Arial" w:hAnsi="Arial" w:hint="default"/>
        <w:b/>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7522131"/>
    <w:multiLevelType w:val="hybridMultilevel"/>
    <w:tmpl w:val="1E5E4834"/>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8A91009"/>
    <w:multiLevelType w:val="hybridMultilevel"/>
    <w:tmpl w:val="9E7A4070"/>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29" w15:restartNumberingAfterBreak="0">
    <w:nsid w:val="5B517762"/>
    <w:multiLevelType w:val="hybridMultilevel"/>
    <w:tmpl w:val="E17865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1"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392414"/>
    <w:multiLevelType w:val="hybridMultilevel"/>
    <w:tmpl w:val="7F1A80A8"/>
    <w:lvl w:ilvl="0" w:tplc="104A33BC">
      <w:start w:val="1"/>
      <w:numFmt w:val="lowerLetter"/>
      <w:lvlText w:val="%1)"/>
      <w:lvlJc w:val="left"/>
      <w:pPr>
        <w:tabs>
          <w:tab w:val="num" w:pos="1494"/>
        </w:tabs>
        <w:ind w:left="1494" w:hanging="360"/>
      </w:pPr>
      <w:rPr>
        <w:b/>
      </w:rPr>
    </w:lvl>
    <w:lvl w:ilvl="1" w:tplc="33B65D92">
      <w:start w:val="1"/>
      <w:numFmt w:val="decimal"/>
      <w:lvlText w:val="%2."/>
      <w:lvlJc w:val="left"/>
      <w:pPr>
        <w:ind w:left="1959" w:hanging="105"/>
      </w:pPr>
      <w:rPr>
        <w:rFonts w:hint="default"/>
      </w:r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33"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D70B3"/>
    <w:multiLevelType w:val="hybridMultilevel"/>
    <w:tmpl w:val="C70821CA"/>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35" w15:restartNumberingAfterBreak="0">
    <w:nsid w:val="69095C3A"/>
    <w:multiLevelType w:val="hybridMultilevel"/>
    <w:tmpl w:val="770C9F8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B86477"/>
    <w:multiLevelType w:val="hybridMultilevel"/>
    <w:tmpl w:val="0BB0CC20"/>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37" w15:restartNumberingAfterBreak="0">
    <w:nsid w:val="6C7051F1"/>
    <w:multiLevelType w:val="hybridMultilevel"/>
    <w:tmpl w:val="B58C45D4"/>
    <w:lvl w:ilvl="0" w:tplc="623CF38C">
      <w:start w:val="1"/>
      <w:numFmt w:val="lowerLetter"/>
      <w:lvlText w:val="%1)"/>
      <w:lvlJc w:val="left"/>
      <w:pPr>
        <w:tabs>
          <w:tab w:val="num" w:pos="900"/>
        </w:tabs>
        <w:ind w:left="900" w:hanging="360"/>
      </w:pPr>
      <w:rPr>
        <w:b w:val="0"/>
      </w:rPr>
    </w:lvl>
    <w:lvl w:ilvl="1" w:tplc="0C0A0019">
      <w:start w:val="1"/>
      <w:numFmt w:val="lowerLetter"/>
      <w:lvlText w:val="%2."/>
      <w:lvlJc w:val="left"/>
      <w:pPr>
        <w:tabs>
          <w:tab w:val="num" w:pos="1620"/>
        </w:tabs>
        <w:ind w:left="1620" w:hanging="360"/>
      </w:pPr>
    </w:lvl>
    <w:lvl w:ilvl="2" w:tplc="0C0A001B">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8" w15:restartNumberingAfterBreak="0">
    <w:nsid w:val="75CA19AB"/>
    <w:multiLevelType w:val="hybridMultilevel"/>
    <w:tmpl w:val="E9E20CD0"/>
    <w:lvl w:ilvl="0" w:tplc="080A0001">
      <w:start w:val="1"/>
      <w:numFmt w:val="bullet"/>
      <w:lvlText w:val=""/>
      <w:lvlJc w:val="left"/>
      <w:pPr>
        <w:ind w:left="720" w:hanging="360"/>
      </w:pPr>
      <w:rPr>
        <w:rFonts w:ascii="Symbol" w:hAnsi="Symbol" w:hint="default"/>
      </w:rPr>
    </w:lvl>
    <w:lvl w:ilvl="1" w:tplc="D500E7AC">
      <w:numFmt w:val="bullet"/>
      <w:lvlText w:val="•"/>
      <w:lvlJc w:val="left"/>
      <w:pPr>
        <w:ind w:left="1785" w:hanging="705"/>
      </w:pPr>
      <w:rPr>
        <w:rFonts w:ascii="ITC Avant Garde" w:eastAsiaTheme="minorHAnsi" w:hAnsi="ITC Avant Garde"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6597E54"/>
    <w:multiLevelType w:val="hybridMultilevel"/>
    <w:tmpl w:val="6EC4C352"/>
    <w:lvl w:ilvl="0" w:tplc="0C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40" w15:restartNumberingAfterBreak="0">
    <w:nsid w:val="79B86562"/>
    <w:multiLevelType w:val="hybridMultilevel"/>
    <w:tmpl w:val="48264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A211D35"/>
    <w:multiLevelType w:val="hybridMultilevel"/>
    <w:tmpl w:val="6D586A32"/>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42" w15:restartNumberingAfterBreak="0">
    <w:nsid w:val="7A670BF6"/>
    <w:multiLevelType w:val="hybridMultilevel"/>
    <w:tmpl w:val="1298D6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7AA57030"/>
    <w:multiLevelType w:val="hybridMultilevel"/>
    <w:tmpl w:val="7B90D768"/>
    <w:lvl w:ilvl="0" w:tplc="0C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num w:numId="1">
    <w:abstractNumId w:val="27"/>
  </w:num>
  <w:num w:numId="2">
    <w:abstractNumId w:val="18"/>
  </w:num>
  <w:num w:numId="3">
    <w:abstractNumId w:val="30"/>
  </w:num>
  <w:num w:numId="4">
    <w:abstractNumId w:val="0"/>
  </w:num>
  <w:num w:numId="5">
    <w:abstractNumId w:val="1"/>
  </w:num>
  <w:num w:numId="6">
    <w:abstractNumId w:val="23"/>
  </w:num>
  <w:num w:numId="7">
    <w:abstractNumId w:val="21"/>
  </w:num>
  <w:num w:numId="8">
    <w:abstractNumId w:val="26"/>
  </w:num>
  <w:num w:numId="9">
    <w:abstractNumId w:val="11"/>
  </w:num>
  <w:num w:numId="10">
    <w:abstractNumId w:val="22"/>
  </w:num>
  <w:num w:numId="11">
    <w:abstractNumId w:val="10"/>
  </w:num>
  <w:num w:numId="12">
    <w:abstractNumId w:val="31"/>
  </w:num>
  <w:num w:numId="13">
    <w:abstractNumId w:val="33"/>
  </w:num>
  <w:num w:numId="14">
    <w:abstractNumId w:val="16"/>
  </w:num>
  <w:num w:numId="15">
    <w:abstractNumId w:val="43"/>
  </w:num>
  <w:num w:numId="16">
    <w:abstractNumId w:val="39"/>
  </w:num>
  <w:num w:numId="17">
    <w:abstractNumId w:val="4"/>
  </w:num>
  <w:num w:numId="18">
    <w:abstractNumId w:val="6"/>
  </w:num>
  <w:num w:numId="19">
    <w:abstractNumId w:val="41"/>
  </w:num>
  <w:num w:numId="20">
    <w:abstractNumId w:val="36"/>
  </w:num>
  <w:num w:numId="21">
    <w:abstractNumId w:val="3"/>
  </w:num>
  <w:num w:numId="22">
    <w:abstractNumId w:val="34"/>
  </w:num>
  <w:num w:numId="23">
    <w:abstractNumId w:val="28"/>
  </w:num>
  <w:num w:numId="24">
    <w:abstractNumId w:val="5"/>
  </w:num>
  <w:num w:numId="25">
    <w:abstractNumId w:val="15"/>
  </w:num>
  <w:num w:numId="26">
    <w:abstractNumId w:val="14"/>
  </w:num>
  <w:num w:numId="27">
    <w:abstractNumId w:val="42"/>
  </w:num>
  <w:num w:numId="28">
    <w:abstractNumId w:val="37"/>
  </w:num>
  <w:num w:numId="29">
    <w:abstractNumId w:val="24"/>
  </w:num>
  <w:num w:numId="30">
    <w:abstractNumId w:val="38"/>
  </w:num>
  <w:num w:numId="31">
    <w:abstractNumId w:val="12"/>
  </w:num>
  <w:num w:numId="32">
    <w:abstractNumId w:val="35"/>
  </w:num>
  <w:num w:numId="33">
    <w:abstractNumId w:val="29"/>
  </w:num>
  <w:num w:numId="34">
    <w:abstractNumId w:val="25"/>
  </w:num>
  <w:num w:numId="35">
    <w:abstractNumId w:val="8"/>
  </w:num>
  <w:num w:numId="36">
    <w:abstractNumId w:val="13"/>
  </w:num>
  <w:num w:numId="37">
    <w:abstractNumId w:val="19"/>
  </w:num>
  <w:num w:numId="38">
    <w:abstractNumId w:val="32"/>
  </w:num>
  <w:num w:numId="39">
    <w:abstractNumId w:val="9"/>
  </w:num>
  <w:num w:numId="40">
    <w:abstractNumId w:val="17"/>
  </w:num>
  <w:num w:numId="41">
    <w:abstractNumId w:val="20"/>
  </w:num>
  <w:num w:numId="42">
    <w:abstractNumId w:val="7"/>
  </w:num>
  <w:num w:numId="43">
    <w:abstractNumId w:val="2"/>
  </w:num>
  <w:num w:numId="44">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mailMerge>
    <w:mainDocumentType w:val="formLetters"/>
    <w:dataType w:val="textFile"/>
    <w:activeRecord w:val="-1"/>
    <w:odso/>
  </w:mailMerge>
  <w:defaultTabStop w:val="709"/>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2DC"/>
    <w:rsid w:val="000036B5"/>
    <w:rsid w:val="000041AF"/>
    <w:rsid w:val="00004D09"/>
    <w:rsid w:val="0000638B"/>
    <w:rsid w:val="00011447"/>
    <w:rsid w:val="00011561"/>
    <w:rsid w:val="000119F5"/>
    <w:rsid w:val="000154B0"/>
    <w:rsid w:val="00015DB2"/>
    <w:rsid w:val="00020418"/>
    <w:rsid w:val="000205C9"/>
    <w:rsid w:val="00021C46"/>
    <w:rsid w:val="00023013"/>
    <w:rsid w:val="000239A4"/>
    <w:rsid w:val="000240AE"/>
    <w:rsid w:val="00026EE9"/>
    <w:rsid w:val="00032D48"/>
    <w:rsid w:val="00033BE9"/>
    <w:rsid w:val="000358CA"/>
    <w:rsid w:val="000377C2"/>
    <w:rsid w:val="0004255E"/>
    <w:rsid w:val="00042E7E"/>
    <w:rsid w:val="00043B08"/>
    <w:rsid w:val="00043BFF"/>
    <w:rsid w:val="00052044"/>
    <w:rsid w:val="00053762"/>
    <w:rsid w:val="0005493D"/>
    <w:rsid w:val="00057A2A"/>
    <w:rsid w:val="00060D36"/>
    <w:rsid w:val="000623A9"/>
    <w:rsid w:val="00067018"/>
    <w:rsid w:val="00071002"/>
    <w:rsid w:val="000718F8"/>
    <w:rsid w:val="000720EE"/>
    <w:rsid w:val="00072BC8"/>
    <w:rsid w:val="00073DDC"/>
    <w:rsid w:val="00074558"/>
    <w:rsid w:val="0007607F"/>
    <w:rsid w:val="0007621B"/>
    <w:rsid w:val="00081068"/>
    <w:rsid w:val="00081503"/>
    <w:rsid w:val="00081B80"/>
    <w:rsid w:val="00081CFB"/>
    <w:rsid w:val="00082DAB"/>
    <w:rsid w:val="00083396"/>
    <w:rsid w:val="00083ECA"/>
    <w:rsid w:val="00084FDD"/>
    <w:rsid w:val="000901D2"/>
    <w:rsid w:val="00091012"/>
    <w:rsid w:val="00095CDB"/>
    <w:rsid w:val="00096167"/>
    <w:rsid w:val="00096D65"/>
    <w:rsid w:val="00096FE1"/>
    <w:rsid w:val="00097822"/>
    <w:rsid w:val="000978F0"/>
    <w:rsid w:val="000A05E5"/>
    <w:rsid w:val="000A2091"/>
    <w:rsid w:val="000A2AF8"/>
    <w:rsid w:val="000A50DB"/>
    <w:rsid w:val="000A5E4A"/>
    <w:rsid w:val="000A7BB6"/>
    <w:rsid w:val="000A7D62"/>
    <w:rsid w:val="000B0340"/>
    <w:rsid w:val="000B0DC1"/>
    <w:rsid w:val="000B2442"/>
    <w:rsid w:val="000B30F6"/>
    <w:rsid w:val="000B334C"/>
    <w:rsid w:val="000B3735"/>
    <w:rsid w:val="000B40F2"/>
    <w:rsid w:val="000B48AE"/>
    <w:rsid w:val="000C1F04"/>
    <w:rsid w:val="000C1F38"/>
    <w:rsid w:val="000C27E7"/>
    <w:rsid w:val="000C2CF4"/>
    <w:rsid w:val="000C4877"/>
    <w:rsid w:val="000C6634"/>
    <w:rsid w:val="000C6C0A"/>
    <w:rsid w:val="000C6FC6"/>
    <w:rsid w:val="000D04CA"/>
    <w:rsid w:val="000D1A16"/>
    <w:rsid w:val="000D4A3A"/>
    <w:rsid w:val="000D4C2E"/>
    <w:rsid w:val="000D5D94"/>
    <w:rsid w:val="000E27D2"/>
    <w:rsid w:val="000E305E"/>
    <w:rsid w:val="000E4C0A"/>
    <w:rsid w:val="000E598D"/>
    <w:rsid w:val="000E641D"/>
    <w:rsid w:val="000E6467"/>
    <w:rsid w:val="000E6F53"/>
    <w:rsid w:val="000F320B"/>
    <w:rsid w:val="000F3AAC"/>
    <w:rsid w:val="000F4101"/>
    <w:rsid w:val="000F5B9F"/>
    <w:rsid w:val="000F5BEC"/>
    <w:rsid w:val="00102C7D"/>
    <w:rsid w:val="00104C74"/>
    <w:rsid w:val="0010524D"/>
    <w:rsid w:val="00106523"/>
    <w:rsid w:val="00106952"/>
    <w:rsid w:val="001100CF"/>
    <w:rsid w:val="0011030F"/>
    <w:rsid w:val="00111150"/>
    <w:rsid w:val="0011309A"/>
    <w:rsid w:val="00113E2E"/>
    <w:rsid w:val="00116A10"/>
    <w:rsid w:val="001175D7"/>
    <w:rsid w:val="00120E4C"/>
    <w:rsid w:val="001226C1"/>
    <w:rsid w:val="00122CD4"/>
    <w:rsid w:val="0012304B"/>
    <w:rsid w:val="00125F77"/>
    <w:rsid w:val="001272DB"/>
    <w:rsid w:val="00127735"/>
    <w:rsid w:val="00132D70"/>
    <w:rsid w:val="001335BC"/>
    <w:rsid w:val="0013473E"/>
    <w:rsid w:val="00137B34"/>
    <w:rsid w:val="00137B8C"/>
    <w:rsid w:val="00140E59"/>
    <w:rsid w:val="0014228B"/>
    <w:rsid w:val="0014251D"/>
    <w:rsid w:val="00146579"/>
    <w:rsid w:val="001514AC"/>
    <w:rsid w:val="00153751"/>
    <w:rsid w:val="00153C43"/>
    <w:rsid w:val="00157AD7"/>
    <w:rsid w:val="00157BBE"/>
    <w:rsid w:val="00165339"/>
    <w:rsid w:val="00167A74"/>
    <w:rsid w:val="00175431"/>
    <w:rsid w:val="001755FC"/>
    <w:rsid w:val="00175EFA"/>
    <w:rsid w:val="00176F5F"/>
    <w:rsid w:val="00177691"/>
    <w:rsid w:val="001813C5"/>
    <w:rsid w:val="001840B6"/>
    <w:rsid w:val="00185664"/>
    <w:rsid w:val="00186CD7"/>
    <w:rsid w:val="00187CCD"/>
    <w:rsid w:val="0019438F"/>
    <w:rsid w:val="0019449A"/>
    <w:rsid w:val="00195DC5"/>
    <w:rsid w:val="001960F0"/>
    <w:rsid w:val="001A45A6"/>
    <w:rsid w:val="001A48DD"/>
    <w:rsid w:val="001A4C2D"/>
    <w:rsid w:val="001A5E8F"/>
    <w:rsid w:val="001A604E"/>
    <w:rsid w:val="001A7B3A"/>
    <w:rsid w:val="001A7F98"/>
    <w:rsid w:val="001B131F"/>
    <w:rsid w:val="001B33C4"/>
    <w:rsid w:val="001B48C1"/>
    <w:rsid w:val="001B58A1"/>
    <w:rsid w:val="001B6762"/>
    <w:rsid w:val="001B6768"/>
    <w:rsid w:val="001C5A3B"/>
    <w:rsid w:val="001C706D"/>
    <w:rsid w:val="001D0D90"/>
    <w:rsid w:val="001D169C"/>
    <w:rsid w:val="001D2FA2"/>
    <w:rsid w:val="001D5838"/>
    <w:rsid w:val="001D5E28"/>
    <w:rsid w:val="001E0251"/>
    <w:rsid w:val="001E1D9E"/>
    <w:rsid w:val="001E265E"/>
    <w:rsid w:val="001E29D2"/>
    <w:rsid w:val="001E3033"/>
    <w:rsid w:val="001E3E45"/>
    <w:rsid w:val="001E3EEA"/>
    <w:rsid w:val="001F113D"/>
    <w:rsid w:val="001F2F07"/>
    <w:rsid w:val="001F325B"/>
    <w:rsid w:val="001F3BC9"/>
    <w:rsid w:val="001F74E1"/>
    <w:rsid w:val="002007A5"/>
    <w:rsid w:val="002012FB"/>
    <w:rsid w:val="002032A7"/>
    <w:rsid w:val="00203913"/>
    <w:rsid w:val="0020438F"/>
    <w:rsid w:val="00204F43"/>
    <w:rsid w:val="0020508C"/>
    <w:rsid w:val="00207FD9"/>
    <w:rsid w:val="00210F73"/>
    <w:rsid w:val="002119F4"/>
    <w:rsid w:val="002130E7"/>
    <w:rsid w:val="00217CF8"/>
    <w:rsid w:val="00223B93"/>
    <w:rsid w:val="0022460D"/>
    <w:rsid w:val="00225EDD"/>
    <w:rsid w:val="00231DB9"/>
    <w:rsid w:val="0023288D"/>
    <w:rsid w:val="00236069"/>
    <w:rsid w:val="0023752B"/>
    <w:rsid w:val="00242E29"/>
    <w:rsid w:val="00243B5A"/>
    <w:rsid w:val="00244F4B"/>
    <w:rsid w:val="0025011B"/>
    <w:rsid w:val="00250617"/>
    <w:rsid w:val="0025109B"/>
    <w:rsid w:val="002535FC"/>
    <w:rsid w:val="00253E94"/>
    <w:rsid w:val="00254946"/>
    <w:rsid w:val="002647F5"/>
    <w:rsid w:val="002659C5"/>
    <w:rsid w:val="00266C19"/>
    <w:rsid w:val="00272B28"/>
    <w:rsid w:val="00276232"/>
    <w:rsid w:val="002803B3"/>
    <w:rsid w:val="00281965"/>
    <w:rsid w:val="00282DC3"/>
    <w:rsid w:val="0028363B"/>
    <w:rsid w:val="002837D9"/>
    <w:rsid w:val="00283900"/>
    <w:rsid w:val="00285020"/>
    <w:rsid w:val="0029172A"/>
    <w:rsid w:val="002920C0"/>
    <w:rsid w:val="00293D63"/>
    <w:rsid w:val="002960C7"/>
    <w:rsid w:val="0029760C"/>
    <w:rsid w:val="002A489F"/>
    <w:rsid w:val="002B20B2"/>
    <w:rsid w:val="002B2578"/>
    <w:rsid w:val="002B4233"/>
    <w:rsid w:val="002B4382"/>
    <w:rsid w:val="002B711E"/>
    <w:rsid w:val="002B7473"/>
    <w:rsid w:val="002C05D5"/>
    <w:rsid w:val="002C12B0"/>
    <w:rsid w:val="002C21CB"/>
    <w:rsid w:val="002C2280"/>
    <w:rsid w:val="002C2A91"/>
    <w:rsid w:val="002C50F4"/>
    <w:rsid w:val="002D0A93"/>
    <w:rsid w:val="002D1A11"/>
    <w:rsid w:val="002D1D4B"/>
    <w:rsid w:val="002D2EF5"/>
    <w:rsid w:val="002D3D05"/>
    <w:rsid w:val="002D4C98"/>
    <w:rsid w:val="002D7FBC"/>
    <w:rsid w:val="002E015C"/>
    <w:rsid w:val="002E1682"/>
    <w:rsid w:val="002E1E64"/>
    <w:rsid w:val="002E4665"/>
    <w:rsid w:val="002E6B97"/>
    <w:rsid w:val="002E71F1"/>
    <w:rsid w:val="002E7677"/>
    <w:rsid w:val="002F1D3F"/>
    <w:rsid w:val="002F2291"/>
    <w:rsid w:val="002F359E"/>
    <w:rsid w:val="002F3BC8"/>
    <w:rsid w:val="00302363"/>
    <w:rsid w:val="003072E6"/>
    <w:rsid w:val="00307639"/>
    <w:rsid w:val="00307F97"/>
    <w:rsid w:val="00311A21"/>
    <w:rsid w:val="0031277B"/>
    <w:rsid w:val="00315919"/>
    <w:rsid w:val="00320A9E"/>
    <w:rsid w:val="00321C60"/>
    <w:rsid w:val="00324B77"/>
    <w:rsid w:val="00325685"/>
    <w:rsid w:val="00331467"/>
    <w:rsid w:val="003322F7"/>
    <w:rsid w:val="00334223"/>
    <w:rsid w:val="0033460E"/>
    <w:rsid w:val="00342061"/>
    <w:rsid w:val="003429AC"/>
    <w:rsid w:val="00343316"/>
    <w:rsid w:val="003529B5"/>
    <w:rsid w:val="003530F5"/>
    <w:rsid w:val="00353A56"/>
    <w:rsid w:val="00356263"/>
    <w:rsid w:val="00356C3C"/>
    <w:rsid w:val="00360FFA"/>
    <w:rsid w:val="003624AD"/>
    <w:rsid w:val="00362726"/>
    <w:rsid w:val="00365AF3"/>
    <w:rsid w:val="00367B4C"/>
    <w:rsid w:val="00370258"/>
    <w:rsid w:val="00370F9A"/>
    <w:rsid w:val="00371126"/>
    <w:rsid w:val="003719BA"/>
    <w:rsid w:val="00373118"/>
    <w:rsid w:val="00373D57"/>
    <w:rsid w:val="00377E08"/>
    <w:rsid w:val="0038258E"/>
    <w:rsid w:val="003831F0"/>
    <w:rsid w:val="00383334"/>
    <w:rsid w:val="00384051"/>
    <w:rsid w:val="00385C0C"/>
    <w:rsid w:val="00390CDA"/>
    <w:rsid w:val="0039193D"/>
    <w:rsid w:val="00392F62"/>
    <w:rsid w:val="00393278"/>
    <w:rsid w:val="00393A9C"/>
    <w:rsid w:val="00394255"/>
    <w:rsid w:val="00394573"/>
    <w:rsid w:val="00394A6D"/>
    <w:rsid w:val="003A06F8"/>
    <w:rsid w:val="003A1BA9"/>
    <w:rsid w:val="003A2FA7"/>
    <w:rsid w:val="003A3C8A"/>
    <w:rsid w:val="003A458B"/>
    <w:rsid w:val="003A49C5"/>
    <w:rsid w:val="003A5479"/>
    <w:rsid w:val="003A5C87"/>
    <w:rsid w:val="003A67AD"/>
    <w:rsid w:val="003A67E0"/>
    <w:rsid w:val="003A70D7"/>
    <w:rsid w:val="003A7B99"/>
    <w:rsid w:val="003B02D3"/>
    <w:rsid w:val="003B083D"/>
    <w:rsid w:val="003B3FCD"/>
    <w:rsid w:val="003B4F28"/>
    <w:rsid w:val="003B6FA7"/>
    <w:rsid w:val="003C09F0"/>
    <w:rsid w:val="003C0C79"/>
    <w:rsid w:val="003C27D5"/>
    <w:rsid w:val="003C322B"/>
    <w:rsid w:val="003C333D"/>
    <w:rsid w:val="003C397B"/>
    <w:rsid w:val="003C657A"/>
    <w:rsid w:val="003C6814"/>
    <w:rsid w:val="003D2034"/>
    <w:rsid w:val="003D2097"/>
    <w:rsid w:val="003D35A9"/>
    <w:rsid w:val="003D6C05"/>
    <w:rsid w:val="003D719A"/>
    <w:rsid w:val="003E14D5"/>
    <w:rsid w:val="003E3445"/>
    <w:rsid w:val="003E4DD7"/>
    <w:rsid w:val="003E53A0"/>
    <w:rsid w:val="003E75E6"/>
    <w:rsid w:val="003F3096"/>
    <w:rsid w:val="003F30E0"/>
    <w:rsid w:val="003F5ABC"/>
    <w:rsid w:val="003F6162"/>
    <w:rsid w:val="004007ED"/>
    <w:rsid w:val="00400F9A"/>
    <w:rsid w:val="004041C4"/>
    <w:rsid w:val="00410639"/>
    <w:rsid w:val="00413744"/>
    <w:rsid w:val="0041459A"/>
    <w:rsid w:val="004167E7"/>
    <w:rsid w:val="0041728F"/>
    <w:rsid w:val="004203FE"/>
    <w:rsid w:val="00425C7A"/>
    <w:rsid w:val="004264C4"/>
    <w:rsid w:val="00426594"/>
    <w:rsid w:val="004265EF"/>
    <w:rsid w:val="00427C3D"/>
    <w:rsid w:val="00434B05"/>
    <w:rsid w:val="00435466"/>
    <w:rsid w:val="00436827"/>
    <w:rsid w:val="00436B02"/>
    <w:rsid w:val="0044439D"/>
    <w:rsid w:val="0044789D"/>
    <w:rsid w:val="00450136"/>
    <w:rsid w:val="00450D28"/>
    <w:rsid w:val="00450F7F"/>
    <w:rsid w:val="004511A0"/>
    <w:rsid w:val="0045161D"/>
    <w:rsid w:val="00452E2A"/>
    <w:rsid w:val="00453F8F"/>
    <w:rsid w:val="0045681D"/>
    <w:rsid w:val="00457370"/>
    <w:rsid w:val="004573DA"/>
    <w:rsid w:val="00457C9A"/>
    <w:rsid w:val="00460408"/>
    <w:rsid w:val="00460F82"/>
    <w:rsid w:val="00461629"/>
    <w:rsid w:val="00461C63"/>
    <w:rsid w:val="00463A03"/>
    <w:rsid w:val="00463A83"/>
    <w:rsid w:val="00466E9A"/>
    <w:rsid w:val="004709AF"/>
    <w:rsid w:val="00477EE2"/>
    <w:rsid w:val="00483036"/>
    <w:rsid w:val="00483F69"/>
    <w:rsid w:val="00484CCD"/>
    <w:rsid w:val="004900CC"/>
    <w:rsid w:val="00493061"/>
    <w:rsid w:val="004940B7"/>
    <w:rsid w:val="0049721A"/>
    <w:rsid w:val="00497331"/>
    <w:rsid w:val="00497CA5"/>
    <w:rsid w:val="004A24ED"/>
    <w:rsid w:val="004A259C"/>
    <w:rsid w:val="004A2786"/>
    <w:rsid w:val="004A3929"/>
    <w:rsid w:val="004A5DB0"/>
    <w:rsid w:val="004A6726"/>
    <w:rsid w:val="004A79C1"/>
    <w:rsid w:val="004B26D6"/>
    <w:rsid w:val="004B5DDA"/>
    <w:rsid w:val="004C04C8"/>
    <w:rsid w:val="004C417D"/>
    <w:rsid w:val="004C7D3F"/>
    <w:rsid w:val="004D181A"/>
    <w:rsid w:val="004D1F2B"/>
    <w:rsid w:val="004D479D"/>
    <w:rsid w:val="004D4805"/>
    <w:rsid w:val="004D5ED3"/>
    <w:rsid w:val="004D60E4"/>
    <w:rsid w:val="004D6B33"/>
    <w:rsid w:val="004E1AE6"/>
    <w:rsid w:val="004E20D1"/>
    <w:rsid w:val="004E2D44"/>
    <w:rsid w:val="004E3E69"/>
    <w:rsid w:val="004E41F0"/>
    <w:rsid w:val="004E5E44"/>
    <w:rsid w:val="004E6453"/>
    <w:rsid w:val="004E6845"/>
    <w:rsid w:val="004F38AB"/>
    <w:rsid w:val="004F46B6"/>
    <w:rsid w:val="004F73CB"/>
    <w:rsid w:val="0050145B"/>
    <w:rsid w:val="005039AE"/>
    <w:rsid w:val="0050457E"/>
    <w:rsid w:val="00504FF0"/>
    <w:rsid w:val="00506798"/>
    <w:rsid w:val="0050727A"/>
    <w:rsid w:val="0051052B"/>
    <w:rsid w:val="0051108D"/>
    <w:rsid w:val="005112D1"/>
    <w:rsid w:val="00512CCD"/>
    <w:rsid w:val="0051432C"/>
    <w:rsid w:val="00514705"/>
    <w:rsid w:val="0051488F"/>
    <w:rsid w:val="005160CE"/>
    <w:rsid w:val="00516539"/>
    <w:rsid w:val="00516A2D"/>
    <w:rsid w:val="00517FC6"/>
    <w:rsid w:val="00523B63"/>
    <w:rsid w:val="00526B1D"/>
    <w:rsid w:val="005306E4"/>
    <w:rsid w:val="00531974"/>
    <w:rsid w:val="00532D4D"/>
    <w:rsid w:val="005339FC"/>
    <w:rsid w:val="00534DA1"/>
    <w:rsid w:val="0053533F"/>
    <w:rsid w:val="005358E7"/>
    <w:rsid w:val="00536328"/>
    <w:rsid w:val="00537EAE"/>
    <w:rsid w:val="00543D44"/>
    <w:rsid w:val="0054738F"/>
    <w:rsid w:val="00554AAA"/>
    <w:rsid w:val="00557E14"/>
    <w:rsid w:val="00563BF8"/>
    <w:rsid w:val="00563F87"/>
    <w:rsid w:val="0056638E"/>
    <w:rsid w:val="00566891"/>
    <w:rsid w:val="00571EB8"/>
    <w:rsid w:val="00572386"/>
    <w:rsid w:val="00572734"/>
    <w:rsid w:val="00577FB5"/>
    <w:rsid w:val="005811A6"/>
    <w:rsid w:val="0058287F"/>
    <w:rsid w:val="00585B2F"/>
    <w:rsid w:val="005866BC"/>
    <w:rsid w:val="00586C89"/>
    <w:rsid w:val="00591550"/>
    <w:rsid w:val="005928DC"/>
    <w:rsid w:val="005932B9"/>
    <w:rsid w:val="005943EE"/>
    <w:rsid w:val="00595F36"/>
    <w:rsid w:val="00596401"/>
    <w:rsid w:val="00597908"/>
    <w:rsid w:val="005A115B"/>
    <w:rsid w:val="005A27FD"/>
    <w:rsid w:val="005A603D"/>
    <w:rsid w:val="005A7F63"/>
    <w:rsid w:val="005B02C0"/>
    <w:rsid w:val="005B0A5C"/>
    <w:rsid w:val="005B1A19"/>
    <w:rsid w:val="005B2916"/>
    <w:rsid w:val="005B299D"/>
    <w:rsid w:val="005C1F9F"/>
    <w:rsid w:val="005C2DBE"/>
    <w:rsid w:val="005C4D9E"/>
    <w:rsid w:val="005D0B0F"/>
    <w:rsid w:val="005D1666"/>
    <w:rsid w:val="005D6448"/>
    <w:rsid w:val="005D64CC"/>
    <w:rsid w:val="005D723B"/>
    <w:rsid w:val="005D788A"/>
    <w:rsid w:val="005E0301"/>
    <w:rsid w:val="005E0FE0"/>
    <w:rsid w:val="005E2570"/>
    <w:rsid w:val="005E3257"/>
    <w:rsid w:val="005E37B7"/>
    <w:rsid w:val="005E3BAE"/>
    <w:rsid w:val="005E55D1"/>
    <w:rsid w:val="005E6BF9"/>
    <w:rsid w:val="005F0C9F"/>
    <w:rsid w:val="005F2C5B"/>
    <w:rsid w:val="005F5681"/>
    <w:rsid w:val="005F641C"/>
    <w:rsid w:val="005F6882"/>
    <w:rsid w:val="006029E5"/>
    <w:rsid w:val="00603DCE"/>
    <w:rsid w:val="00607175"/>
    <w:rsid w:val="0060757B"/>
    <w:rsid w:val="0061113D"/>
    <w:rsid w:val="00614312"/>
    <w:rsid w:val="0061535D"/>
    <w:rsid w:val="006177B6"/>
    <w:rsid w:val="00617D3E"/>
    <w:rsid w:val="00621B17"/>
    <w:rsid w:val="00623521"/>
    <w:rsid w:val="00625030"/>
    <w:rsid w:val="006259FF"/>
    <w:rsid w:val="00625D13"/>
    <w:rsid w:val="00630660"/>
    <w:rsid w:val="00631D55"/>
    <w:rsid w:val="00631E99"/>
    <w:rsid w:val="0063297F"/>
    <w:rsid w:val="00634F7D"/>
    <w:rsid w:val="00640D6D"/>
    <w:rsid w:val="00640D86"/>
    <w:rsid w:val="00641BAE"/>
    <w:rsid w:val="00642729"/>
    <w:rsid w:val="00643B05"/>
    <w:rsid w:val="00644742"/>
    <w:rsid w:val="00644D33"/>
    <w:rsid w:val="006451F4"/>
    <w:rsid w:val="006469F7"/>
    <w:rsid w:val="00646BCE"/>
    <w:rsid w:val="00646E5B"/>
    <w:rsid w:val="00652B87"/>
    <w:rsid w:val="00653AA8"/>
    <w:rsid w:val="00654BF8"/>
    <w:rsid w:val="00654EC5"/>
    <w:rsid w:val="00656863"/>
    <w:rsid w:val="00662F2F"/>
    <w:rsid w:val="00663F7D"/>
    <w:rsid w:val="006659FA"/>
    <w:rsid w:val="00670669"/>
    <w:rsid w:val="00672010"/>
    <w:rsid w:val="006737B9"/>
    <w:rsid w:val="00673A58"/>
    <w:rsid w:val="00675562"/>
    <w:rsid w:val="00676A1B"/>
    <w:rsid w:val="00677524"/>
    <w:rsid w:val="006858B0"/>
    <w:rsid w:val="00685E34"/>
    <w:rsid w:val="006872FE"/>
    <w:rsid w:val="006875A3"/>
    <w:rsid w:val="00690651"/>
    <w:rsid w:val="00690812"/>
    <w:rsid w:val="00690A35"/>
    <w:rsid w:val="006914E2"/>
    <w:rsid w:val="00692DE1"/>
    <w:rsid w:val="0069339A"/>
    <w:rsid w:val="00697402"/>
    <w:rsid w:val="006A0F32"/>
    <w:rsid w:val="006A15A7"/>
    <w:rsid w:val="006A2A6B"/>
    <w:rsid w:val="006A4FC8"/>
    <w:rsid w:val="006A6728"/>
    <w:rsid w:val="006A718C"/>
    <w:rsid w:val="006B307F"/>
    <w:rsid w:val="006B3148"/>
    <w:rsid w:val="006B379F"/>
    <w:rsid w:val="006B4165"/>
    <w:rsid w:val="006B6E39"/>
    <w:rsid w:val="006C14F9"/>
    <w:rsid w:val="006C159D"/>
    <w:rsid w:val="006C1D5C"/>
    <w:rsid w:val="006C2424"/>
    <w:rsid w:val="006C310A"/>
    <w:rsid w:val="006C3992"/>
    <w:rsid w:val="006C3B66"/>
    <w:rsid w:val="006C64FC"/>
    <w:rsid w:val="006C6D6C"/>
    <w:rsid w:val="006C70B1"/>
    <w:rsid w:val="006C71A4"/>
    <w:rsid w:val="006C723A"/>
    <w:rsid w:val="006C7B1A"/>
    <w:rsid w:val="006D1173"/>
    <w:rsid w:val="006E1F9B"/>
    <w:rsid w:val="006E7757"/>
    <w:rsid w:val="006E7DBD"/>
    <w:rsid w:val="006F171E"/>
    <w:rsid w:val="006F3A4F"/>
    <w:rsid w:val="006F3F35"/>
    <w:rsid w:val="007029C6"/>
    <w:rsid w:val="00704F6A"/>
    <w:rsid w:val="00706187"/>
    <w:rsid w:val="00706D65"/>
    <w:rsid w:val="00706E09"/>
    <w:rsid w:val="00706E98"/>
    <w:rsid w:val="007101A1"/>
    <w:rsid w:val="00711E3B"/>
    <w:rsid w:val="00711FEF"/>
    <w:rsid w:val="00714688"/>
    <w:rsid w:val="007167AC"/>
    <w:rsid w:val="00721E96"/>
    <w:rsid w:val="00737377"/>
    <w:rsid w:val="00741CD1"/>
    <w:rsid w:val="007422A3"/>
    <w:rsid w:val="00742F6D"/>
    <w:rsid w:val="00743530"/>
    <w:rsid w:val="0074416D"/>
    <w:rsid w:val="00746B44"/>
    <w:rsid w:val="007473C9"/>
    <w:rsid w:val="007510D8"/>
    <w:rsid w:val="00753E5C"/>
    <w:rsid w:val="0075579B"/>
    <w:rsid w:val="00761C83"/>
    <w:rsid w:val="00763BE7"/>
    <w:rsid w:val="00763D2A"/>
    <w:rsid w:val="00764F1E"/>
    <w:rsid w:val="007657A3"/>
    <w:rsid w:val="007660DB"/>
    <w:rsid w:val="007710BA"/>
    <w:rsid w:val="007711CF"/>
    <w:rsid w:val="00773807"/>
    <w:rsid w:val="00773BC1"/>
    <w:rsid w:val="00775966"/>
    <w:rsid w:val="007759EF"/>
    <w:rsid w:val="00775BE7"/>
    <w:rsid w:val="00781F67"/>
    <w:rsid w:val="00783C7F"/>
    <w:rsid w:val="00785CB9"/>
    <w:rsid w:val="007909A3"/>
    <w:rsid w:val="00794EC4"/>
    <w:rsid w:val="00795AF2"/>
    <w:rsid w:val="007964DF"/>
    <w:rsid w:val="00796567"/>
    <w:rsid w:val="007977EA"/>
    <w:rsid w:val="007A08F7"/>
    <w:rsid w:val="007A37A7"/>
    <w:rsid w:val="007A4577"/>
    <w:rsid w:val="007A4860"/>
    <w:rsid w:val="007A5168"/>
    <w:rsid w:val="007B1C84"/>
    <w:rsid w:val="007B2A2F"/>
    <w:rsid w:val="007B6073"/>
    <w:rsid w:val="007B613D"/>
    <w:rsid w:val="007C32F0"/>
    <w:rsid w:val="007C3CBD"/>
    <w:rsid w:val="007C6BCB"/>
    <w:rsid w:val="007C75AA"/>
    <w:rsid w:val="007D0D3C"/>
    <w:rsid w:val="007D2ACD"/>
    <w:rsid w:val="007D4244"/>
    <w:rsid w:val="007D5211"/>
    <w:rsid w:val="007D5D21"/>
    <w:rsid w:val="007D74D8"/>
    <w:rsid w:val="007E18DA"/>
    <w:rsid w:val="007E2714"/>
    <w:rsid w:val="007E2CA1"/>
    <w:rsid w:val="007E3008"/>
    <w:rsid w:val="007E5602"/>
    <w:rsid w:val="007E5D82"/>
    <w:rsid w:val="007E7073"/>
    <w:rsid w:val="007E74BA"/>
    <w:rsid w:val="007F0357"/>
    <w:rsid w:val="007F196A"/>
    <w:rsid w:val="007F1C14"/>
    <w:rsid w:val="007F62BF"/>
    <w:rsid w:val="00800247"/>
    <w:rsid w:val="00810133"/>
    <w:rsid w:val="00812135"/>
    <w:rsid w:val="00812892"/>
    <w:rsid w:val="00813158"/>
    <w:rsid w:val="00813237"/>
    <w:rsid w:val="00813A32"/>
    <w:rsid w:val="0081499F"/>
    <w:rsid w:val="0081546C"/>
    <w:rsid w:val="008214A4"/>
    <w:rsid w:val="00821BC8"/>
    <w:rsid w:val="008233E2"/>
    <w:rsid w:val="00823967"/>
    <w:rsid w:val="00823B48"/>
    <w:rsid w:val="00826BE0"/>
    <w:rsid w:val="00832075"/>
    <w:rsid w:val="008329A3"/>
    <w:rsid w:val="00832AC6"/>
    <w:rsid w:val="00832DC1"/>
    <w:rsid w:val="00833151"/>
    <w:rsid w:val="008339A0"/>
    <w:rsid w:val="0083675D"/>
    <w:rsid w:val="00841AC0"/>
    <w:rsid w:val="00842B3D"/>
    <w:rsid w:val="00846B32"/>
    <w:rsid w:val="00850FE0"/>
    <w:rsid w:val="0085144C"/>
    <w:rsid w:val="00852C0D"/>
    <w:rsid w:val="008545B1"/>
    <w:rsid w:val="008604EC"/>
    <w:rsid w:val="00860B69"/>
    <w:rsid w:val="008611AA"/>
    <w:rsid w:val="008628B4"/>
    <w:rsid w:val="008648E7"/>
    <w:rsid w:val="00864B7D"/>
    <w:rsid w:val="00865478"/>
    <w:rsid w:val="00865A8A"/>
    <w:rsid w:val="00867046"/>
    <w:rsid w:val="008670BE"/>
    <w:rsid w:val="008702DD"/>
    <w:rsid w:val="00870E1B"/>
    <w:rsid w:val="00871F3A"/>
    <w:rsid w:val="00872BD5"/>
    <w:rsid w:val="00880192"/>
    <w:rsid w:val="008814D3"/>
    <w:rsid w:val="00883BE7"/>
    <w:rsid w:val="008844CD"/>
    <w:rsid w:val="00887012"/>
    <w:rsid w:val="00892BAB"/>
    <w:rsid w:val="00895C16"/>
    <w:rsid w:val="00897704"/>
    <w:rsid w:val="0089799F"/>
    <w:rsid w:val="008A0EDD"/>
    <w:rsid w:val="008A4232"/>
    <w:rsid w:val="008A6323"/>
    <w:rsid w:val="008A7B3F"/>
    <w:rsid w:val="008B2FB1"/>
    <w:rsid w:val="008B593C"/>
    <w:rsid w:val="008B6100"/>
    <w:rsid w:val="008B738D"/>
    <w:rsid w:val="008C1596"/>
    <w:rsid w:val="008C2685"/>
    <w:rsid w:val="008C26D2"/>
    <w:rsid w:val="008C4403"/>
    <w:rsid w:val="008D1032"/>
    <w:rsid w:val="008D11E0"/>
    <w:rsid w:val="008D120A"/>
    <w:rsid w:val="008D1631"/>
    <w:rsid w:val="008D24CF"/>
    <w:rsid w:val="008D3876"/>
    <w:rsid w:val="008D5992"/>
    <w:rsid w:val="008D5C14"/>
    <w:rsid w:val="008D7869"/>
    <w:rsid w:val="008E46F2"/>
    <w:rsid w:val="008E5006"/>
    <w:rsid w:val="008E51E6"/>
    <w:rsid w:val="008E6A60"/>
    <w:rsid w:val="008E6E32"/>
    <w:rsid w:val="008E7682"/>
    <w:rsid w:val="008F1F51"/>
    <w:rsid w:val="008F23A9"/>
    <w:rsid w:val="008F24E0"/>
    <w:rsid w:val="008F738B"/>
    <w:rsid w:val="009034B7"/>
    <w:rsid w:val="00904329"/>
    <w:rsid w:val="0090537E"/>
    <w:rsid w:val="009055AD"/>
    <w:rsid w:val="009146AC"/>
    <w:rsid w:val="00914D23"/>
    <w:rsid w:val="0091520E"/>
    <w:rsid w:val="009159B6"/>
    <w:rsid w:val="00915D82"/>
    <w:rsid w:val="0091646C"/>
    <w:rsid w:val="00916A7E"/>
    <w:rsid w:val="00916B56"/>
    <w:rsid w:val="009215AC"/>
    <w:rsid w:val="00924053"/>
    <w:rsid w:val="00925F61"/>
    <w:rsid w:val="00927DE8"/>
    <w:rsid w:val="00935143"/>
    <w:rsid w:val="009360BF"/>
    <w:rsid w:val="009368CE"/>
    <w:rsid w:val="0094254B"/>
    <w:rsid w:val="009448F5"/>
    <w:rsid w:val="00945D02"/>
    <w:rsid w:val="00946933"/>
    <w:rsid w:val="00946B26"/>
    <w:rsid w:val="00953C12"/>
    <w:rsid w:val="00961AC9"/>
    <w:rsid w:val="00962602"/>
    <w:rsid w:val="009669DE"/>
    <w:rsid w:val="00967D81"/>
    <w:rsid w:val="009706E5"/>
    <w:rsid w:val="00971CDC"/>
    <w:rsid w:val="00971FBE"/>
    <w:rsid w:val="00973367"/>
    <w:rsid w:val="00973D49"/>
    <w:rsid w:val="0097436F"/>
    <w:rsid w:val="009746AC"/>
    <w:rsid w:val="009804A7"/>
    <w:rsid w:val="00980CB5"/>
    <w:rsid w:val="0098189F"/>
    <w:rsid w:val="009829A7"/>
    <w:rsid w:val="00986149"/>
    <w:rsid w:val="009932C8"/>
    <w:rsid w:val="0099404A"/>
    <w:rsid w:val="009953DB"/>
    <w:rsid w:val="009A0084"/>
    <w:rsid w:val="009A1A86"/>
    <w:rsid w:val="009A4640"/>
    <w:rsid w:val="009A52AC"/>
    <w:rsid w:val="009B07DB"/>
    <w:rsid w:val="009B0D32"/>
    <w:rsid w:val="009B4EF5"/>
    <w:rsid w:val="009B547C"/>
    <w:rsid w:val="009B59D9"/>
    <w:rsid w:val="009B6CDE"/>
    <w:rsid w:val="009B7E3F"/>
    <w:rsid w:val="009C137F"/>
    <w:rsid w:val="009C1423"/>
    <w:rsid w:val="009C307B"/>
    <w:rsid w:val="009C3918"/>
    <w:rsid w:val="009C510B"/>
    <w:rsid w:val="009D02B5"/>
    <w:rsid w:val="009D0466"/>
    <w:rsid w:val="009D0C9B"/>
    <w:rsid w:val="009D160A"/>
    <w:rsid w:val="009D16A0"/>
    <w:rsid w:val="009D19C1"/>
    <w:rsid w:val="009D368F"/>
    <w:rsid w:val="009D3E31"/>
    <w:rsid w:val="009D5A07"/>
    <w:rsid w:val="009D78CF"/>
    <w:rsid w:val="009D7D03"/>
    <w:rsid w:val="009E4A70"/>
    <w:rsid w:val="009E65BF"/>
    <w:rsid w:val="009E766C"/>
    <w:rsid w:val="009F044D"/>
    <w:rsid w:val="009F23FB"/>
    <w:rsid w:val="009F3D3D"/>
    <w:rsid w:val="009F49C0"/>
    <w:rsid w:val="00A01E9E"/>
    <w:rsid w:val="00A05152"/>
    <w:rsid w:val="00A059A3"/>
    <w:rsid w:val="00A06D46"/>
    <w:rsid w:val="00A06FBB"/>
    <w:rsid w:val="00A109FB"/>
    <w:rsid w:val="00A13EE6"/>
    <w:rsid w:val="00A144E9"/>
    <w:rsid w:val="00A17918"/>
    <w:rsid w:val="00A20403"/>
    <w:rsid w:val="00A2333F"/>
    <w:rsid w:val="00A23AF5"/>
    <w:rsid w:val="00A258E3"/>
    <w:rsid w:val="00A26621"/>
    <w:rsid w:val="00A26A82"/>
    <w:rsid w:val="00A31649"/>
    <w:rsid w:val="00A31CA1"/>
    <w:rsid w:val="00A33134"/>
    <w:rsid w:val="00A36073"/>
    <w:rsid w:val="00A37B93"/>
    <w:rsid w:val="00A40995"/>
    <w:rsid w:val="00A40CC4"/>
    <w:rsid w:val="00A44E7B"/>
    <w:rsid w:val="00A50269"/>
    <w:rsid w:val="00A510B1"/>
    <w:rsid w:val="00A5312F"/>
    <w:rsid w:val="00A54818"/>
    <w:rsid w:val="00A552D0"/>
    <w:rsid w:val="00A575DD"/>
    <w:rsid w:val="00A57793"/>
    <w:rsid w:val="00A57ACD"/>
    <w:rsid w:val="00A61062"/>
    <w:rsid w:val="00A66049"/>
    <w:rsid w:val="00A67924"/>
    <w:rsid w:val="00A70124"/>
    <w:rsid w:val="00A7512D"/>
    <w:rsid w:val="00A76511"/>
    <w:rsid w:val="00A77EE0"/>
    <w:rsid w:val="00A8213D"/>
    <w:rsid w:val="00A8499D"/>
    <w:rsid w:val="00A84BDF"/>
    <w:rsid w:val="00A850C1"/>
    <w:rsid w:val="00A86A0C"/>
    <w:rsid w:val="00A9023D"/>
    <w:rsid w:val="00A91D02"/>
    <w:rsid w:val="00A91F6F"/>
    <w:rsid w:val="00A92E0D"/>
    <w:rsid w:val="00A95361"/>
    <w:rsid w:val="00A95D78"/>
    <w:rsid w:val="00A960AC"/>
    <w:rsid w:val="00A974F9"/>
    <w:rsid w:val="00AA165F"/>
    <w:rsid w:val="00AA1914"/>
    <w:rsid w:val="00AA2086"/>
    <w:rsid w:val="00AA3435"/>
    <w:rsid w:val="00AA6A37"/>
    <w:rsid w:val="00AB04AF"/>
    <w:rsid w:val="00AB29EF"/>
    <w:rsid w:val="00AB3AFA"/>
    <w:rsid w:val="00AB3E3E"/>
    <w:rsid w:val="00AB5948"/>
    <w:rsid w:val="00AB7BD4"/>
    <w:rsid w:val="00AB7E77"/>
    <w:rsid w:val="00AC035E"/>
    <w:rsid w:val="00AC04A2"/>
    <w:rsid w:val="00AC30E6"/>
    <w:rsid w:val="00AC5611"/>
    <w:rsid w:val="00AC7594"/>
    <w:rsid w:val="00AC7E9C"/>
    <w:rsid w:val="00AD0379"/>
    <w:rsid w:val="00AD1D7A"/>
    <w:rsid w:val="00AD2A27"/>
    <w:rsid w:val="00AD2CB9"/>
    <w:rsid w:val="00AD34A3"/>
    <w:rsid w:val="00AD54D6"/>
    <w:rsid w:val="00AD6DF0"/>
    <w:rsid w:val="00AD76C4"/>
    <w:rsid w:val="00AE0144"/>
    <w:rsid w:val="00AE1A75"/>
    <w:rsid w:val="00AE4963"/>
    <w:rsid w:val="00AF05CC"/>
    <w:rsid w:val="00AF0992"/>
    <w:rsid w:val="00AF2474"/>
    <w:rsid w:val="00AF26E1"/>
    <w:rsid w:val="00AF3989"/>
    <w:rsid w:val="00AF6655"/>
    <w:rsid w:val="00AF6F5D"/>
    <w:rsid w:val="00AF746D"/>
    <w:rsid w:val="00B00254"/>
    <w:rsid w:val="00B016AC"/>
    <w:rsid w:val="00B018AF"/>
    <w:rsid w:val="00B027D6"/>
    <w:rsid w:val="00B03B7B"/>
    <w:rsid w:val="00B04D8E"/>
    <w:rsid w:val="00B053F4"/>
    <w:rsid w:val="00B10459"/>
    <w:rsid w:val="00B11341"/>
    <w:rsid w:val="00B114A0"/>
    <w:rsid w:val="00B114F0"/>
    <w:rsid w:val="00B12060"/>
    <w:rsid w:val="00B1290B"/>
    <w:rsid w:val="00B12A7B"/>
    <w:rsid w:val="00B1374F"/>
    <w:rsid w:val="00B20E30"/>
    <w:rsid w:val="00B2152D"/>
    <w:rsid w:val="00B217FC"/>
    <w:rsid w:val="00B21C38"/>
    <w:rsid w:val="00B2338B"/>
    <w:rsid w:val="00B25AE9"/>
    <w:rsid w:val="00B305D8"/>
    <w:rsid w:val="00B307CF"/>
    <w:rsid w:val="00B314BD"/>
    <w:rsid w:val="00B3279B"/>
    <w:rsid w:val="00B32EAF"/>
    <w:rsid w:val="00B333E6"/>
    <w:rsid w:val="00B34250"/>
    <w:rsid w:val="00B35EE2"/>
    <w:rsid w:val="00B501A9"/>
    <w:rsid w:val="00B514ED"/>
    <w:rsid w:val="00B51A8D"/>
    <w:rsid w:val="00B535A6"/>
    <w:rsid w:val="00B53B55"/>
    <w:rsid w:val="00B54661"/>
    <w:rsid w:val="00B54F1C"/>
    <w:rsid w:val="00B56ACF"/>
    <w:rsid w:val="00B576E5"/>
    <w:rsid w:val="00B6064D"/>
    <w:rsid w:val="00B60C80"/>
    <w:rsid w:val="00B624AC"/>
    <w:rsid w:val="00B63ABD"/>
    <w:rsid w:val="00B65469"/>
    <w:rsid w:val="00B662C1"/>
    <w:rsid w:val="00B67744"/>
    <w:rsid w:val="00B67A81"/>
    <w:rsid w:val="00B71292"/>
    <w:rsid w:val="00B72644"/>
    <w:rsid w:val="00B733AC"/>
    <w:rsid w:val="00B761D6"/>
    <w:rsid w:val="00B763E3"/>
    <w:rsid w:val="00B825DE"/>
    <w:rsid w:val="00B85774"/>
    <w:rsid w:val="00B85F70"/>
    <w:rsid w:val="00B90B21"/>
    <w:rsid w:val="00B90D6E"/>
    <w:rsid w:val="00B92370"/>
    <w:rsid w:val="00B9261A"/>
    <w:rsid w:val="00B934FA"/>
    <w:rsid w:val="00B93D94"/>
    <w:rsid w:val="00B9618E"/>
    <w:rsid w:val="00B969C7"/>
    <w:rsid w:val="00BA189C"/>
    <w:rsid w:val="00BA3E06"/>
    <w:rsid w:val="00BA6EDA"/>
    <w:rsid w:val="00BA70C1"/>
    <w:rsid w:val="00BA7508"/>
    <w:rsid w:val="00BA7770"/>
    <w:rsid w:val="00BB10DF"/>
    <w:rsid w:val="00BB1103"/>
    <w:rsid w:val="00BB19FF"/>
    <w:rsid w:val="00BB22C6"/>
    <w:rsid w:val="00BB504D"/>
    <w:rsid w:val="00BB71F5"/>
    <w:rsid w:val="00BB7663"/>
    <w:rsid w:val="00BB7ADB"/>
    <w:rsid w:val="00BC1D1B"/>
    <w:rsid w:val="00BC53D2"/>
    <w:rsid w:val="00BC62A0"/>
    <w:rsid w:val="00BC657C"/>
    <w:rsid w:val="00BC73B7"/>
    <w:rsid w:val="00BC7EE5"/>
    <w:rsid w:val="00BD09FD"/>
    <w:rsid w:val="00BD124C"/>
    <w:rsid w:val="00BD5DB7"/>
    <w:rsid w:val="00BD685D"/>
    <w:rsid w:val="00BD7084"/>
    <w:rsid w:val="00BE1367"/>
    <w:rsid w:val="00BE252E"/>
    <w:rsid w:val="00BE482A"/>
    <w:rsid w:val="00BE7E9A"/>
    <w:rsid w:val="00BF0D74"/>
    <w:rsid w:val="00BF1CFD"/>
    <w:rsid w:val="00BF30D8"/>
    <w:rsid w:val="00BF55ED"/>
    <w:rsid w:val="00C00AAD"/>
    <w:rsid w:val="00C00B7C"/>
    <w:rsid w:val="00C0345B"/>
    <w:rsid w:val="00C061C1"/>
    <w:rsid w:val="00C0701C"/>
    <w:rsid w:val="00C07A78"/>
    <w:rsid w:val="00C121DE"/>
    <w:rsid w:val="00C156DB"/>
    <w:rsid w:val="00C16584"/>
    <w:rsid w:val="00C21449"/>
    <w:rsid w:val="00C25F00"/>
    <w:rsid w:val="00C2605C"/>
    <w:rsid w:val="00C32053"/>
    <w:rsid w:val="00C40A00"/>
    <w:rsid w:val="00C42477"/>
    <w:rsid w:val="00C43215"/>
    <w:rsid w:val="00C43D83"/>
    <w:rsid w:val="00C4602E"/>
    <w:rsid w:val="00C46891"/>
    <w:rsid w:val="00C46A7A"/>
    <w:rsid w:val="00C51AB2"/>
    <w:rsid w:val="00C52F33"/>
    <w:rsid w:val="00C57D73"/>
    <w:rsid w:val="00C62307"/>
    <w:rsid w:val="00C62F78"/>
    <w:rsid w:val="00C63840"/>
    <w:rsid w:val="00C638BC"/>
    <w:rsid w:val="00C639E3"/>
    <w:rsid w:val="00C65C03"/>
    <w:rsid w:val="00C661F3"/>
    <w:rsid w:val="00C7037D"/>
    <w:rsid w:val="00C70AFC"/>
    <w:rsid w:val="00C72962"/>
    <w:rsid w:val="00C73F82"/>
    <w:rsid w:val="00C745EE"/>
    <w:rsid w:val="00C7577E"/>
    <w:rsid w:val="00C766C9"/>
    <w:rsid w:val="00C76D59"/>
    <w:rsid w:val="00C8065B"/>
    <w:rsid w:val="00C81437"/>
    <w:rsid w:val="00C81BDA"/>
    <w:rsid w:val="00C8323C"/>
    <w:rsid w:val="00C90862"/>
    <w:rsid w:val="00C92C0A"/>
    <w:rsid w:val="00C92EBC"/>
    <w:rsid w:val="00C93B8E"/>
    <w:rsid w:val="00C95888"/>
    <w:rsid w:val="00CA02D1"/>
    <w:rsid w:val="00CA1B60"/>
    <w:rsid w:val="00CA490C"/>
    <w:rsid w:val="00CB006D"/>
    <w:rsid w:val="00CB0DB6"/>
    <w:rsid w:val="00CB2D9F"/>
    <w:rsid w:val="00CB45C7"/>
    <w:rsid w:val="00CB523C"/>
    <w:rsid w:val="00CB766F"/>
    <w:rsid w:val="00CB76D2"/>
    <w:rsid w:val="00CC3F97"/>
    <w:rsid w:val="00CC4DB6"/>
    <w:rsid w:val="00CC6A85"/>
    <w:rsid w:val="00CC6D63"/>
    <w:rsid w:val="00CC7346"/>
    <w:rsid w:val="00CC7A9E"/>
    <w:rsid w:val="00CD0E19"/>
    <w:rsid w:val="00CD0EB4"/>
    <w:rsid w:val="00CD3AF0"/>
    <w:rsid w:val="00CD40DD"/>
    <w:rsid w:val="00CD46BA"/>
    <w:rsid w:val="00CD61CC"/>
    <w:rsid w:val="00CD739D"/>
    <w:rsid w:val="00CD74E9"/>
    <w:rsid w:val="00CD7AAC"/>
    <w:rsid w:val="00CE0199"/>
    <w:rsid w:val="00CE2767"/>
    <w:rsid w:val="00CE51BA"/>
    <w:rsid w:val="00CE625A"/>
    <w:rsid w:val="00CE712C"/>
    <w:rsid w:val="00CF23F5"/>
    <w:rsid w:val="00CF35D8"/>
    <w:rsid w:val="00CF6A80"/>
    <w:rsid w:val="00D0120C"/>
    <w:rsid w:val="00D14340"/>
    <w:rsid w:val="00D14F71"/>
    <w:rsid w:val="00D15FF7"/>
    <w:rsid w:val="00D1754B"/>
    <w:rsid w:val="00D20C63"/>
    <w:rsid w:val="00D2366D"/>
    <w:rsid w:val="00D2553A"/>
    <w:rsid w:val="00D25CA6"/>
    <w:rsid w:val="00D31BBB"/>
    <w:rsid w:val="00D37F17"/>
    <w:rsid w:val="00D4008B"/>
    <w:rsid w:val="00D40F91"/>
    <w:rsid w:val="00D441BD"/>
    <w:rsid w:val="00D44A5B"/>
    <w:rsid w:val="00D4516C"/>
    <w:rsid w:val="00D46148"/>
    <w:rsid w:val="00D46C0A"/>
    <w:rsid w:val="00D508A1"/>
    <w:rsid w:val="00D511D7"/>
    <w:rsid w:val="00D53241"/>
    <w:rsid w:val="00D53F28"/>
    <w:rsid w:val="00D54406"/>
    <w:rsid w:val="00D63764"/>
    <w:rsid w:val="00D66E29"/>
    <w:rsid w:val="00D73E92"/>
    <w:rsid w:val="00D7401D"/>
    <w:rsid w:val="00D76F7A"/>
    <w:rsid w:val="00D80100"/>
    <w:rsid w:val="00D862E4"/>
    <w:rsid w:val="00D8670A"/>
    <w:rsid w:val="00D9275E"/>
    <w:rsid w:val="00D93980"/>
    <w:rsid w:val="00D94FDF"/>
    <w:rsid w:val="00D95B28"/>
    <w:rsid w:val="00D96107"/>
    <w:rsid w:val="00D96A6D"/>
    <w:rsid w:val="00D97E2E"/>
    <w:rsid w:val="00D97EEC"/>
    <w:rsid w:val="00DA4918"/>
    <w:rsid w:val="00DA5062"/>
    <w:rsid w:val="00DB1610"/>
    <w:rsid w:val="00DB57A5"/>
    <w:rsid w:val="00DC08AF"/>
    <w:rsid w:val="00DC4719"/>
    <w:rsid w:val="00DC4D83"/>
    <w:rsid w:val="00DC5B5F"/>
    <w:rsid w:val="00DC5DF9"/>
    <w:rsid w:val="00DD2305"/>
    <w:rsid w:val="00DD42C1"/>
    <w:rsid w:val="00DD5863"/>
    <w:rsid w:val="00DE591A"/>
    <w:rsid w:val="00DE6584"/>
    <w:rsid w:val="00DE7E85"/>
    <w:rsid w:val="00DF0F49"/>
    <w:rsid w:val="00DF0FA4"/>
    <w:rsid w:val="00DF1595"/>
    <w:rsid w:val="00DF4050"/>
    <w:rsid w:val="00DF5BCF"/>
    <w:rsid w:val="00DF6497"/>
    <w:rsid w:val="00E03E63"/>
    <w:rsid w:val="00E05FD7"/>
    <w:rsid w:val="00E06A0B"/>
    <w:rsid w:val="00E06FFC"/>
    <w:rsid w:val="00E127F4"/>
    <w:rsid w:val="00E12FDA"/>
    <w:rsid w:val="00E135BC"/>
    <w:rsid w:val="00E13DEC"/>
    <w:rsid w:val="00E13E98"/>
    <w:rsid w:val="00E153F3"/>
    <w:rsid w:val="00E17263"/>
    <w:rsid w:val="00E2354C"/>
    <w:rsid w:val="00E24269"/>
    <w:rsid w:val="00E306CE"/>
    <w:rsid w:val="00E314E9"/>
    <w:rsid w:val="00E31D08"/>
    <w:rsid w:val="00E31F63"/>
    <w:rsid w:val="00E32FF0"/>
    <w:rsid w:val="00E35FA1"/>
    <w:rsid w:val="00E365E0"/>
    <w:rsid w:val="00E4066A"/>
    <w:rsid w:val="00E4085A"/>
    <w:rsid w:val="00E41834"/>
    <w:rsid w:val="00E42266"/>
    <w:rsid w:val="00E42BDA"/>
    <w:rsid w:val="00E44093"/>
    <w:rsid w:val="00E44B15"/>
    <w:rsid w:val="00E46A95"/>
    <w:rsid w:val="00E46CE4"/>
    <w:rsid w:val="00E47359"/>
    <w:rsid w:val="00E52477"/>
    <w:rsid w:val="00E52655"/>
    <w:rsid w:val="00E53A81"/>
    <w:rsid w:val="00E5440B"/>
    <w:rsid w:val="00E6488C"/>
    <w:rsid w:val="00E64F38"/>
    <w:rsid w:val="00E66395"/>
    <w:rsid w:val="00E67676"/>
    <w:rsid w:val="00E70613"/>
    <w:rsid w:val="00E717C8"/>
    <w:rsid w:val="00E71904"/>
    <w:rsid w:val="00E729CA"/>
    <w:rsid w:val="00E72F35"/>
    <w:rsid w:val="00E734BF"/>
    <w:rsid w:val="00E747B2"/>
    <w:rsid w:val="00E76501"/>
    <w:rsid w:val="00E81A0D"/>
    <w:rsid w:val="00E82AE2"/>
    <w:rsid w:val="00E8371E"/>
    <w:rsid w:val="00E8629A"/>
    <w:rsid w:val="00E908F1"/>
    <w:rsid w:val="00E91020"/>
    <w:rsid w:val="00E92352"/>
    <w:rsid w:val="00E93740"/>
    <w:rsid w:val="00E95170"/>
    <w:rsid w:val="00E956C8"/>
    <w:rsid w:val="00E96C61"/>
    <w:rsid w:val="00EA2750"/>
    <w:rsid w:val="00EA49AC"/>
    <w:rsid w:val="00EA5E80"/>
    <w:rsid w:val="00EA6DD9"/>
    <w:rsid w:val="00EA7155"/>
    <w:rsid w:val="00EA763F"/>
    <w:rsid w:val="00EB1177"/>
    <w:rsid w:val="00EB1811"/>
    <w:rsid w:val="00EB3327"/>
    <w:rsid w:val="00EB647B"/>
    <w:rsid w:val="00EC176A"/>
    <w:rsid w:val="00EC190E"/>
    <w:rsid w:val="00EC4E55"/>
    <w:rsid w:val="00EC575C"/>
    <w:rsid w:val="00EC5D5F"/>
    <w:rsid w:val="00EC7A10"/>
    <w:rsid w:val="00ED312D"/>
    <w:rsid w:val="00ED4558"/>
    <w:rsid w:val="00ED52D0"/>
    <w:rsid w:val="00ED7BAF"/>
    <w:rsid w:val="00EE2537"/>
    <w:rsid w:val="00EE47D1"/>
    <w:rsid w:val="00EE5B70"/>
    <w:rsid w:val="00EE77C6"/>
    <w:rsid w:val="00EE7C64"/>
    <w:rsid w:val="00EF1077"/>
    <w:rsid w:val="00EF17C0"/>
    <w:rsid w:val="00EF2BE3"/>
    <w:rsid w:val="00EF2E77"/>
    <w:rsid w:val="00EF4F8B"/>
    <w:rsid w:val="00F06942"/>
    <w:rsid w:val="00F07759"/>
    <w:rsid w:val="00F11878"/>
    <w:rsid w:val="00F14160"/>
    <w:rsid w:val="00F145E2"/>
    <w:rsid w:val="00F14AE8"/>
    <w:rsid w:val="00F2159F"/>
    <w:rsid w:val="00F240A6"/>
    <w:rsid w:val="00F24545"/>
    <w:rsid w:val="00F2748D"/>
    <w:rsid w:val="00F3083F"/>
    <w:rsid w:val="00F31563"/>
    <w:rsid w:val="00F3236C"/>
    <w:rsid w:val="00F3248E"/>
    <w:rsid w:val="00F341FA"/>
    <w:rsid w:val="00F361E0"/>
    <w:rsid w:val="00F364A5"/>
    <w:rsid w:val="00F407F3"/>
    <w:rsid w:val="00F40D56"/>
    <w:rsid w:val="00F413A3"/>
    <w:rsid w:val="00F425C0"/>
    <w:rsid w:val="00F428E9"/>
    <w:rsid w:val="00F444CB"/>
    <w:rsid w:val="00F44769"/>
    <w:rsid w:val="00F47C55"/>
    <w:rsid w:val="00F5075C"/>
    <w:rsid w:val="00F511C2"/>
    <w:rsid w:val="00F51B2A"/>
    <w:rsid w:val="00F529F7"/>
    <w:rsid w:val="00F52B88"/>
    <w:rsid w:val="00F54259"/>
    <w:rsid w:val="00F57E3C"/>
    <w:rsid w:val="00F61165"/>
    <w:rsid w:val="00F62BDB"/>
    <w:rsid w:val="00F64C0D"/>
    <w:rsid w:val="00F66920"/>
    <w:rsid w:val="00F66FD9"/>
    <w:rsid w:val="00F67A5C"/>
    <w:rsid w:val="00F72FA9"/>
    <w:rsid w:val="00F73BDB"/>
    <w:rsid w:val="00F73F6D"/>
    <w:rsid w:val="00F74E67"/>
    <w:rsid w:val="00F76F7B"/>
    <w:rsid w:val="00F8187C"/>
    <w:rsid w:val="00F86A86"/>
    <w:rsid w:val="00F90C9A"/>
    <w:rsid w:val="00F92236"/>
    <w:rsid w:val="00F9232F"/>
    <w:rsid w:val="00F9253A"/>
    <w:rsid w:val="00F93247"/>
    <w:rsid w:val="00F94C2A"/>
    <w:rsid w:val="00F96FAC"/>
    <w:rsid w:val="00F971A0"/>
    <w:rsid w:val="00FA0DC0"/>
    <w:rsid w:val="00FA2947"/>
    <w:rsid w:val="00FA2AFC"/>
    <w:rsid w:val="00FA2C6E"/>
    <w:rsid w:val="00FA6170"/>
    <w:rsid w:val="00FA7C65"/>
    <w:rsid w:val="00FB0436"/>
    <w:rsid w:val="00FB16FB"/>
    <w:rsid w:val="00FB2DD4"/>
    <w:rsid w:val="00FB4D4E"/>
    <w:rsid w:val="00FB7CC4"/>
    <w:rsid w:val="00FC0302"/>
    <w:rsid w:val="00FC1836"/>
    <w:rsid w:val="00FC21E9"/>
    <w:rsid w:val="00FC3C90"/>
    <w:rsid w:val="00FC4BCC"/>
    <w:rsid w:val="00FC6C36"/>
    <w:rsid w:val="00FC77C8"/>
    <w:rsid w:val="00FD14EB"/>
    <w:rsid w:val="00FD183C"/>
    <w:rsid w:val="00FD24B9"/>
    <w:rsid w:val="00FE37CA"/>
    <w:rsid w:val="00FE4AEF"/>
    <w:rsid w:val="00FE50BF"/>
    <w:rsid w:val="00FE5895"/>
    <w:rsid w:val="00FE5B56"/>
    <w:rsid w:val="00FE6867"/>
    <w:rsid w:val="00FF02BD"/>
    <w:rsid w:val="00FF22B7"/>
    <w:rsid w:val="00FF2736"/>
    <w:rsid w:val="00FF6728"/>
    <w:rsid w:val="00FF7A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311991EF"/>
  <w15:docId w15:val="{4F121610-F582-4927-9DC1-D88DE25F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1">
    <w:name w:val="Sombreado medio 2 - Énfasis 1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Citaiftcalibri">
    <w:name w:val="Cita ift calibri"/>
    <w:basedOn w:val="Textoindependiente"/>
    <w:link w:val="CitaiftcalibriCar"/>
    <w:qFormat/>
    <w:rsid w:val="004D479D"/>
    <w:pPr>
      <w:ind w:left="851" w:right="757"/>
    </w:pPr>
    <w:rPr>
      <w:rFonts w:ascii="Calibri" w:hAnsi="Calibri"/>
      <w:bCs/>
      <w:i/>
      <w:iCs/>
      <w:color w:val="000000"/>
      <w:sz w:val="18"/>
      <w:szCs w:val="18"/>
      <w:lang w:eastAsia="es-ES"/>
    </w:rPr>
  </w:style>
  <w:style w:type="character" w:customStyle="1" w:styleId="CitaiftcalibriCar">
    <w:name w:val="Cita ift calibri Car"/>
    <w:link w:val="Citaiftcalibri"/>
    <w:rsid w:val="004D479D"/>
    <w:rPr>
      <w:rFonts w:eastAsia="Times New Roman"/>
      <w:bCs/>
      <w:i/>
      <w:iCs/>
      <w:color w:val="000000"/>
      <w:sz w:val="18"/>
      <w:szCs w:val="18"/>
      <w:lang w:eastAsia="es-ES"/>
    </w:rPr>
  </w:style>
  <w:style w:type="paragraph" w:styleId="Revisin">
    <w:name w:val="Revision"/>
    <w:hidden/>
    <w:uiPriority w:val="99"/>
    <w:semiHidden/>
    <w:rsid w:val="009F044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27212074">
      <w:bodyDiv w:val="1"/>
      <w:marLeft w:val="0"/>
      <w:marRight w:val="0"/>
      <w:marTop w:val="0"/>
      <w:marBottom w:val="0"/>
      <w:divBdr>
        <w:top w:val="none" w:sz="0" w:space="0" w:color="auto"/>
        <w:left w:val="none" w:sz="0" w:space="0" w:color="auto"/>
        <w:bottom w:val="none" w:sz="0" w:space="0" w:color="auto"/>
        <w:right w:val="none" w:sz="0" w:space="0" w:color="auto"/>
      </w:divBdr>
    </w:div>
    <w:div w:id="138615705">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8457780">
      <w:bodyDiv w:val="1"/>
      <w:marLeft w:val="0"/>
      <w:marRight w:val="0"/>
      <w:marTop w:val="0"/>
      <w:marBottom w:val="0"/>
      <w:divBdr>
        <w:top w:val="none" w:sz="0" w:space="0" w:color="auto"/>
        <w:left w:val="none" w:sz="0" w:space="0" w:color="auto"/>
        <w:bottom w:val="none" w:sz="0" w:space="0" w:color="auto"/>
        <w:right w:val="none" w:sz="0" w:space="0" w:color="auto"/>
      </w:divBdr>
      <w:divsChild>
        <w:div w:id="1988240443">
          <w:marLeft w:val="567"/>
          <w:marRight w:val="474"/>
          <w:marTop w:val="0"/>
          <w:marBottom w:val="0"/>
          <w:divBdr>
            <w:top w:val="none" w:sz="0" w:space="0" w:color="auto"/>
            <w:left w:val="none" w:sz="0" w:space="0" w:color="auto"/>
            <w:bottom w:val="none" w:sz="0" w:space="0" w:color="auto"/>
            <w:right w:val="none" w:sz="0" w:space="0" w:color="auto"/>
          </w:divBdr>
        </w:div>
        <w:div w:id="2007702283">
          <w:marLeft w:val="0"/>
          <w:marRight w:val="0"/>
          <w:marTop w:val="0"/>
          <w:marBottom w:val="160"/>
          <w:divBdr>
            <w:top w:val="none" w:sz="0" w:space="0" w:color="auto"/>
            <w:left w:val="none" w:sz="0" w:space="0" w:color="auto"/>
            <w:bottom w:val="none" w:sz="0" w:space="0" w:color="auto"/>
            <w:right w:val="none" w:sz="0" w:space="0" w:color="auto"/>
          </w:divBdr>
        </w:div>
      </w:divsChild>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09755104">
      <w:bodyDiv w:val="1"/>
      <w:marLeft w:val="0"/>
      <w:marRight w:val="0"/>
      <w:marTop w:val="0"/>
      <w:marBottom w:val="0"/>
      <w:divBdr>
        <w:top w:val="none" w:sz="0" w:space="0" w:color="auto"/>
        <w:left w:val="none" w:sz="0" w:space="0" w:color="auto"/>
        <w:bottom w:val="none" w:sz="0" w:space="0" w:color="auto"/>
        <w:right w:val="none" w:sz="0" w:space="0" w:color="auto"/>
      </w:divBdr>
      <w:divsChild>
        <w:div w:id="1644382406">
          <w:marLeft w:val="567"/>
          <w:marRight w:val="474"/>
          <w:marTop w:val="0"/>
          <w:marBottom w:val="0"/>
          <w:divBdr>
            <w:top w:val="none" w:sz="0" w:space="0" w:color="auto"/>
            <w:left w:val="none" w:sz="0" w:space="0" w:color="auto"/>
            <w:bottom w:val="none" w:sz="0" w:space="0" w:color="auto"/>
            <w:right w:val="none" w:sz="0" w:space="0" w:color="auto"/>
          </w:divBdr>
        </w:div>
        <w:div w:id="2095128062">
          <w:marLeft w:val="0"/>
          <w:marRight w:val="0"/>
          <w:marTop w:val="0"/>
          <w:marBottom w:val="160"/>
          <w:divBdr>
            <w:top w:val="none" w:sz="0" w:space="0" w:color="auto"/>
            <w:left w:val="none" w:sz="0" w:space="0" w:color="auto"/>
            <w:bottom w:val="none" w:sz="0" w:space="0" w:color="auto"/>
            <w:right w:val="none" w:sz="0" w:space="0" w:color="auto"/>
          </w:divBdr>
        </w:div>
      </w:divsChild>
    </w:div>
    <w:div w:id="532621755">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33159734">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56569265">
      <w:bodyDiv w:val="1"/>
      <w:marLeft w:val="0"/>
      <w:marRight w:val="0"/>
      <w:marTop w:val="0"/>
      <w:marBottom w:val="0"/>
      <w:divBdr>
        <w:top w:val="none" w:sz="0" w:space="0" w:color="auto"/>
        <w:left w:val="none" w:sz="0" w:space="0" w:color="auto"/>
        <w:bottom w:val="none" w:sz="0" w:space="0" w:color="auto"/>
        <w:right w:val="none" w:sz="0" w:space="0" w:color="auto"/>
      </w:divBdr>
      <w:divsChild>
        <w:div w:id="1955091176">
          <w:marLeft w:val="0"/>
          <w:marRight w:val="0"/>
          <w:marTop w:val="0"/>
          <w:marBottom w:val="0"/>
          <w:divBdr>
            <w:top w:val="none" w:sz="0" w:space="0" w:color="auto"/>
            <w:left w:val="none" w:sz="0" w:space="0" w:color="auto"/>
            <w:bottom w:val="none" w:sz="0" w:space="0" w:color="auto"/>
            <w:right w:val="none" w:sz="0" w:space="0" w:color="auto"/>
          </w:divBdr>
          <w:divsChild>
            <w:div w:id="509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986520279">
      <w:bodyDiv w:val="1"/>
      <w:marLeft w:val="0"/>
      <w:marRight w:val="0"/>
      <w:marTop w:val="0"/>
      <w:marBottom w:val="0"/>
      <w:divBdr>
        <w:top w:val="none" w:sz="0" w:space="0" w:color="auto"/>
        <w:left w:val="none" w:sz="0" w:space="0" w:color="auto"/>
        <w:bottom w:val="none" w:sz="0" w:space="0" w:color="auto"/>
        <w:right w:val="none" w:sz="0" w:space="0" w:color="auto"/>
      </w:divBdr>
    </w:div>
    <w:div w:id="105874552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131446">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75485647">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697344719">
      <w:bodyDiv w:val="1"/>
      <w:marLeft w:val="0"/>
      <w:marRight w:val="0"/>
      <w:marTop w:val="0"/>
      <w:marBottom w:val="0"/>
      <w:divBdr>
        <w:top w:val="none" w:sz="0" w:space="0" w:color="auto"/>
        <w:left w:val="none" w:sz="0" w:space="0" w:color="auto"/>
        <w:bottom w:val="none" w:sz="0" w:space="0" w:color="auto"/>
        <w:right w:val="none" w:sz="0" w:space="0" w:color="auto"/>
      </w:divBdr>
      <w:divsChild>
        <w:div w:id="357433606">
          <w:marLeft w:val="567"/>
          <w:marRight w:val="474"/>
          <w:marTop w:val="0"/>
          <w:marBottom w:val="0"/>
          <w:divBdr>
            <w:top w:val="none" w:sz="0" w:space="0" w:color="auto"/>
            <w:left w:val="none" w:sz="0" w:space="0" w:color="auto"/>
            <w:bottom w:val="none" w:sz="0" w:space="0" w:color="auto"/>
            <w:right w:val="none" w:sz="0" w:space="0" w:color="auto"/>
          </w:divBdr>
        </w:div>
        <w:div w:id="1574851015">
          <w:marLeft w:val="0"/>
          <w:marRight w:val="0"/>
          <w:marTop w:val="0"/>
          <w:marBottom w:val="160"/>
          <w:divBdr>
            <w:top w:val="none" w:sz="0" w:space="0" w:color="auto"/>
            <w:left w:val="none" w:sz="0" w:space="0" w:color="auto"/>
            <w:bottom w:val="none" w:sz="0" w:space="0" w:color="auto"/>
            <w:right w:val="none" w:sz="0" w:space="0" w:color="auto"/>
          </w:divBdr>
        </w:div>
      </w:divsChild>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56771242">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2c4975a522403e03402feaa9c4d1eec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61EE86D0-D9AD-4F2D-80FA-2BD893FB7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9A85E371-FB12-4D4A-A431-4EED80FA4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44</Pages>
  <Words>16491</Words>
  <Characters>90706</Characters>
  <Application>Microsoft Office Word</Application>
  <DocSecurity>0</DocSecurity>
  <Lines>755</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Maria del Consuelo Gonzalez Moreno</cp:lastModifiedBy>
  <cp:revision>8</cp:revision>
  <cp:lastPrinted>2015-10-14T22:20:00Z</cp:lastPrinted>
  <dcterms:created xsi:type="dcterms:W3CDTF">2015-12-01T19:05:00Z</dcterms:created>
  <dcterms:modified xsi:type="dcterms:W3CDTF">2016-01-25T16:27:00Z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