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4075" w14:textId="0E2E5498" w:rsidR="001B1DA2" w:rsidRPr="008509EB" w:rsidRDefault="00DE2303" w:rsidP="008509EB">
      <w:pPr>
        <w:pStyle w:val="Ttulo1"/>
        <w:spacing w:before="240" w:after="240"/>
        <w:jc w:val="both"/>
        <w:rPr>
          <w:rFonts w:ascii="ITC Avant Garde" w:hAnsi="ITC Avant Garde" w:cs="Helvetica"/>
          <w:lang w:eastAsia="es-MX"/>
        </w:rPr>
      </w:pPr>
      <w:r w:rsidRPr="008509EB">
        <w:rPr>
          <w:rFonts w:ascii="ITC Avant Garde" w:hAnsi="ITC Avant Garde"/>
          <w:lang w:val="es-ES" w:eastAsia="es-ES"/>
        </w:rPr>
        <w:t xml:space="preserve">RESOLUCIÓN MEDIANTE LA CUAL EL PLENO DEL INSTITUTO FEDERAL DE TELECOMUNICACIONES DETERMINA LAS CONDICIONES DE INTERCONEXIÓN NO CONVENIDAS ENTRE </w:t>
      </w:r>
      <w:r w:rsidR="009204B8" w:rsidRPr="008509EB">
        <w:rPr>
          <w:rFonts w:ascii="ITC Avant Garde" w:hAnsi="ITC Avant Garde" w:cs="Helvetica"/>
          <w:lang w:eastAsia="es-MX"/>
        </w:rPr>
        <w:t xml:space="preserve">AXTEL, S.A.B. DE C.V. Y MEGA CABLE, S.A. DE C.V., </w:t>
      </w:r>
      <w:r w:rsidR="001B1DA2" w:rsidRPr="008509EB">
        <w:rPr>
          <w:rFonts w:ascii="ITC Avant Garde" w:hAnsi="ITC Avant Garde" w:cs="Helvetica"/>
          <w:lang w:eastAsia="es-MX"/>
        </w:rPr>
        <w:t xml:space="preserve">APLICABLES DEL </w:t>
      </w:r>
      <w:r w:rsidR="009204B8" w:rsidRPr="008509EB">
        <w:rPr>
          <w:rFonts w:ascii="ITC Avant Garde" w:hAnsi="ITC Avant Garde" w:cs="Helvetica"/>
          <w:lang w:eastAsia="es-MX"/>
        </w:rPr>
        <w:t xml:space="preserve">1 DE ENERO </w:t>
      </w:r>
      <w:r w:rsidR="001B1DA2" w:rsidRPr="008509EB">
        <w:rPr>
          <w:rFonts w:ascii="ITC Avant Garde" w:hAnsi="ITC Avant Garde" w:cs="Helvetica"/>
          <w:lang w:eastAsia="es-MX"/>
        </w:rPr>
        <w:t>AL 31 DE DICIEMBRE DE 2017.</w:t>
      </w:r>
    </w:p>
    <w:p w14:paraId="4AD4DB10" w14:textId="77777777" w:rsidR="008509EB" w:rsidRPr="008509EB" w:rsidRDefault="00C25F00" w:rsidP="008509EB">
      <w:pPr>
        <w:pStyle w:val="Ttulo2"/>
        <w:keepLines/>
        <w:spacing w:before="240" w:after="240" w:line="276" w:lineRule="auto"/>
        <w:jc w:val="center"/>
        <w:rPr>
          <w:rFonts w:ascii="ITC Avant Garde" w:eastAsiaTheme="majorEastAsia" w:hAnsi="ITC Avant Garde" w:cstheme="majorBidi"/>
          <w:color w:val="000000" w:themeColor="text1"/>
          <w:szCs w:val="22"/>
        </w:rPr>
      </w:pPr>
      <w:r w:rsidRPr="008509EB">
        <w:rPr>
          <w:rFonts w:ascii="ITC Avant Garde" w:eastAsiaTheme="majorEastAsia" w:hAnsi="ITC Avant Garde" w:cstheme="majorBidi"/>
          <w:color w:val="000000" w:themeColor="text1"/>
          <w:szCs w:val="22"/>
        </w:rPr>
        <w:t>ANTECEDENTES</w:t>
      </w:r>
    </w:p>
    <w:p w14:paraId="0209099E" w14:textId="77777777" w:rsidR="008509EB" w:rsidRPr="008509EB" w:rsidRDefault="00E2188E" w:rsidP="008509EB">
      <w:pPr>
        <w:numPr>
          <w:ilvl w:val="0"/>
          <w:numId w:val="1"/>
        </w:numPr>
        <w:tabs>
          <w:tab w:val="clear" w:pos="1106"/>
          <w:tab w:val="left" w:pos="142"/>
        </w:tabs>
        <w:spacing w:before="240" w:after="240"/>
        <w:ind w:left="426" w:right="23" w:hanging="426"/>
        <w:jc w:val="both"/>
        <w:rPr>
          <w:rFonts w:ascii="ITC Avant Garde" w:hAnsi="ITC Avant Garde" w:cs="Arial"/>
          <w:bCs/>
        </w:rPr>
      </w:pPr>
      <w:r w:rsidRPr="008509EB">
        <w:rPr>
          <w:rFonts w:ascii="ITC Avant Garde" w:hAnsi="ITC Avant Garde" w:cs="Arial"/>
          <w:b/>
          <w:bCs/>
        </w:rPr>
        <w:t xml:space="preserve">Axtel, S.A. B. de C.V. (en lo sucesivo, “Axtel”), </w:t>
      </w:r>
      <w:r w:rsidR="009204B8" w:rsidRPr="008509EB">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5665B673" w14:textId="77777777" w:rsidR="008509EB" w:rsidRPr="008509EB" w:rsidRDefault="009204B8" w:rsidP="008509EB">
      <w:pPr>
        <w:numPr>
          <w:ilvl w:val="0"/>
          <w:numId w:val="1"/>
        </w:numPr>
        <w:tabs>
          <w:tab w:val="clear" w:pos="1106"/>
          <w:tab w:val="left" w:pos="142"/>
        </w:tabs>
        <w:spacing w:before="240" w:after="240"/>
        <w:ind w:left="426" w:right="23" w:hanging="426"/>
        <w:jc w:val="both"/>
        <w:rPr>
          <w:rFonts w:ascii="ITC Avant Garde" w:hAnsi="ITC Avant Garde" w:cs="Arial"/>
          <w:bCs/>
        </w:rPr>
      </w:pPr>
      <w:r w:rsidRPr="008509EB">
        <w:rPr>
          <w:rFonts w:ascii="ITC Avant Garde" w:hAnsi="ITC Avant Garde" w:cs="Arial"/>
          <w:b/>
          <w:bCs/>
        </w:rPr>
        <w:t>Mega Cable, S.A</w:t>
      </w:r>
      <w:r w:rsidR="00C44AA9" w:rsidRPr="008509EB">
        <w:rPr>
          <w:rFonts w:ascii="ITC Avant Garde" w:hAnsi="ITC Avant Garde" w:cs="Arial"/>
          <w:b/>
          <w:bCs/>
        </w:rPr>
        <w:t>.</w:t>
      </w:r>
      <w:r w:rsidR="00C915D7" w:rsidRPr="008509EB">
        <w:rPr>
          <w:rFonts w:ascii="ITC Avant Garde" w:hAnsi="ITC Avant Garde" w:cs="Arial"/>
          <w:b/>
          <w:bCs/>
        </w:rPr>
        <w:t xml:space="preserve"> de C.V., </w:t>
      </w:r>
      <w:r w:rsidRPr="008509EB">
        <w:rPr>
          <w:rFonts w:ascii="ITC Avant Garde" w:hAnsi="ITC Avant Garde" w:cs="Arial"/>
          <w:b/>
          <w:bCs/>
        </w:rPr>
        <w:t xml:space="preserve">(en lo sucesivo, “Mega Cable”), </w:t>
      </w:r>
      <w:r w:rsidRPr="008509EB">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Pr="008509EB">
        <w:rPr>
          <w:rFonts w:ascii="ITC Avant Garde" w:hAnsi="ITC Avant Garde" w:cs="Arial"/>
          <w:b/>
          <w:bCs/>
        </w:rPr>
        <w:t>.</w:t>
      </w:r>
    </w:p>
    <w:p w14:paraId="24589B57" w14:textId="77777777" w:rsidR="008509EB" w:rsidRPr="008509EB" w:rsidRDefault="007A2313" w:rsidP="008509EB">
      <w:pPr>
        <w:numPr>
          <w:ilvl w:val="0"/>
          <w:numId w:val="1"/>
        </w:numPr>
        <w:tabs>
          <w:tab w:val="clear" w:pos="1106"/>
          <w:tab w:val="left" w:pos="142"/>
        </w:tabs>
        <w:spacing w:before="240" w:after="240"/>
        <w:ind w:left="426" w:right="23" w:hanging="426"/>
        <w:jc w:val="both"/>
        <w:rPr>
          <w:rFonts w:ascii="ITC Avant Garde" w:hAnsi="ITC Avant Garde" w:cs="Arial"/>
          <w:b/>
          <w:bCs/>
        </w:rPr>
      </w:pPr>
      <w:r w:rsidRPr="008509EB">
        <w:rPr>
          <w:rFonts w:ascii="ITC Avant Garde" w:hAnsi="ITC Avant Garde" w:cs="Arial"/>
          <w:b/>
          <w:bCs/>
        </w:rPr>
        <w:t xml:space="preserve">Metodología para el cálculo de costos de interconexión. </w:t>
      </w:r>
      <w:r w:rsidRPr="008509EB">
        <w:rPr>
          <w:rFonts w:ascii="ITC Avant Garde" w:hAnsi="ITC Avant Garde" w:cs="Arial"/>
          <w:bCs/>
        </w:rPr>
        <w:t xml:space="preserve">El 18 de diciembre de 2014, </w:t>
      </w:r>
      <w:r w:rsidR="00E2188E" w:rsidRPr="008509EB">
        <w:rPr>
          <w:rFonts w:ascii="ITC Avant Garde" w:hAnsi="ITC Avant Garde" w:cs="Arial"/>
          <w:bCs/>
        </w:rPr>
        <w:t>se publicó</w:t>
      </w:r>
      <w:r w:rsidRPr="008509EB">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5EE2AE84" w14:textId="77777777" w:rsidR="008509EB" w:rsidRPr="008509EB" w:rsidRDefault="007A2313" w:rsidP="008509EB">
      <w:pPr>
        <w:numPr>
          <w:ilvl w:val="0"/>
          <w:numId w:val="1"/>
        </w:numPr>
        <w:tabs>
          <w:tab w:val="clear" w:pos="1106"/>
          <w:tab w:val="left" w:pos="142"/>
        </w:tabs>
        <w:spacing w:before="240" w:after="240"/>
        <w:ind w:left="426" w:right="23" w:hanging="426"/>
        <w:jc w:val="both"/>
        <w:rPr>
          <w:rFonts w:ascii="ITC Avant Garde" w:hAnsi="ITC Avant Garde" w:cs="Arial"/>
          <w:b/>
          <w:bCs/>
        </w:rPr>
      </w:pPr>
      <w:r w:rsidRPr="008509EB">
        <w:rPr>
          <w:rFonts w:ascii="ITC Avant Garde" w:hAnsi="ITC Avant Garde"/>
          <w:b/>
          <w:bCs/>
          <w:lang w:val="es-ES" w:eastAsia="es-ES"/>
        </w:rPr>
        <w:t>Sistema Electrónico de Solicitudes de Interconexión.</w:t>
      </w:r>
      <w:r w:rsidRPr="008509EB">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7A735761" w14:textId="77777777" w:rsidR="008509EB" w:rsidRPr="008509EB" w:rsidRDefault="00DB4785" w:rsidP="008509EB">
      <w:pPr>
        <w:numPr>
          <w:ilvl w:val="0"/>
          <w:numId w:val="1"/>
        </w:numPr>
        <w:tabs>
          <w:tab w:val="clear" w:pos="1106"/>
          <w:tab w:val="left" w:pos="142"/>
        </w:tabs>
        <w:spacing w:before="240" w:after="240"/>
        <w:ind w:left="426" w:right="23" w:hanging="426"/>
        <w:jc w:val="both"/>
        <w:rPr>
          <w:rFonts w:ascii="ITC Avant Garde" w:hAnsi="ITC Avant Garde"/>
          <w:b/>
          <w:bCs/>
          <w:lang w:val="es-ES" w:eastAsia="es-ES"/>
        </w:rPr>
      </w:pPr>
      <w:r w:rsidRPr="008509EB">
        <w:rPr>
          <w:rFonts w:ascii="ITC Avant Garde" w:hAnsi="ITC Avant Garde"/>
          <w:b/>
          <w:bCs/>
          <w:lang w:val="es-ES" w:eastAsia="es-ES"/>
        </w:rPr>
        <w:t xml:space="preserve">Publicación de Tarifas de Interconexión del año 2017. </w:t>
      </w:r>
      <w:r w:rsidRPr="008509EB">
        <w:rPr>
          <w:rFonts w:ascii="ITC Avant Garde" w:hAnsi="ITC Avant Garde"/>
          <w:bCs/>
          <w:lang w:val="es-ES" w:eastAsia="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w:t>
      </w:r>
      <w:r w:rsidRPr="008509EB">
        <w:rPr>
          <w:rFonts w:ascii="ITC Avant Garde" w:hAnsi="ITC Avant Garde"/>
          <w:bCs/>
          <w:lang w:val="es-ES" w:eastAsia="es-ES"/>
        </w:rPr>
        <w:lastRenderedPageBreak/>
        <w:t>VIGENTES DEL 1 DE ENERO AL 31 DE DICIEMBRE DE 2017”, aprobado mediante Acuerdo P/IFT/200916/503 (en lo sucesivo, el “Acuerdo de CTM y Tarifas 2017”).</w:t>
      </w:r>
    </w:p>
    <w:p w14:paraId="3FFC8C43" w14:textId="77777777" w:rsidR="008509EB" w:rsidRPr="008509EB" w:rsidRDefault="007A2313" w:rsidP="008509EB">
      <w:pPr>
        <w:numPr>
          <w:ilvl w:val="0"/>
          <w:numId w:val="1"/>
        </w:numPr>
        <w:tabs>
          <w:tab w:val="clear" w:pos="1106"/>
          <w:tab w:val="left" w:pos="142"/>
        </w:tabs>
        <w:spacing w:before="240" w:after="240"/>
        <w:ind w:left="426" w:right="23" w:hanging="426"/>
        <w:jc w:val="both"/>
        <w:rPr>
          <w:rFonts w:ascii="ITC Avant Garde" w:hAnsi="ITC Avant Garde"/>
        </w:rPr>
      </w:pPr>
      <w:r w:rsidRPr="008509EB">
        <w:rPr>
          <w:rFonts w:ascii="ITC Avant Garde" w:hAnsi="ITC Avant Garde"/>
          <w:b/>
          <w:bCs/>
          <w:lang w:val="es-ES"/>
        </w:rPr>
        <w:t>Procedimiento de resolución de condiciones de interconexión no convenidas.</w:t>
      </w:r>
      <w:r w:rsidRPr="008509EB">
        <w:rPr>
          <w:rFonts w:ascii="ITC Avant Garde" w:hAnsi="ITC Avant Garde"/>
          <w:lang w:val="es-ES"/>
        </w:rPr>
        <w:t xml:space="preserve"> </w:t>
      </w:r>
      <w:r w:rsidRPr="008509EB">
        <w:rPr>
          <w:rFonts w:ascii="ITC Avant Garde" w:hAnsi="ITC Avant Garde"/>
          <w:bCs/>
          <w:lang w:val="es-ES"/>
        </w:rPr>
        <w:t xml:space="preserve">El </w:t>
      </w:r>
      <w:r w:rsidR="009204B8" w:rsidRPr="008509EB">
        <w:rPr>
          <w:rFonts w:ascii="ITC Avant Garde" w:hAnsi="ITC Avant Garde"/>
          <w:bCs/>
          <w:lang w:val="es-ES"/>
        </w:rPr>
        <w:t>3 de octubre</w:t>
      </w:r>
      <w:r w:rsidR="008F7F01" w:rsidRPr="008509EB">
        <w:rPr>
          <w:rFonts w:ascii="ITC Avant Garde" w:hAnsi="ITC Avant Garde"/>
          <w:bCs/>
          <w:lang w:val="es-ES"/>
        </w:rPr>
        <w:t xml:space="preserve"> de 2016</w:t>
      </w:r>
      <w:r w:rsidRPr="008509EB">
        <w:rPr>
          <w:rFonts w:ascii="ITC Avant Garde" w:hAnsi="ITC Avant Garde"/>
          <w:bCs/>
          <w:lang w:val="es-ES"/>
        </w:rPr>
        <w:t xml:space="preserve">, </w:t>
      </w:r>
      <w:r w:rsidR="00C82A12" w:rsidRPr="008509EB">
        <w:rPr>
          <w:rFonts w:ascii="ITC Avant Garde" w:hAnsi="ITC Avant Garde"/>
          <w:bCs/>
          <w:lang w:val="es-ES"/>
        </w:rPr>
        <w:t xml:space="preserve">el </w:t>
      </w:r>
      <w:r w:rsidR="00C10B4C" w:rsidRPr="008509EB">
        <w:rPr>
          <w:rFonts w:ascii="ITC Avant Garde" w:hAnsi="ITC Avant Garde"/>
          <w:bCs/>
          <w:lang w:val="es-ES"/>
        </w:rPr>
        <w:t xml:space="preserve">representante </w:t>
      </w:r>
      <w:r w:rsidRPr="008509EB">
        <w:rPr>
          <w:rFonts w:ascii="ITC Avant Garde" w:hAnsi="ITC Avant Garde"/>
          <w:bCs/>
          <w:lang w:val="es-ES"/>
        </w:rPr>
        <w:t xml:space="preserve">legal de </w:t>
      </w:r>
      <w:r w:rsidR="009204B8" w:rsidRPr="008509EB">
        <w:rPr>
          <w:rFonts w:ascii="ITC Avant Garde" w:hAnsi="ITC Avant Garde"/>
          <w:bCs/>
          <w:lang w:val="es-ES"/>
        </w:rPr>
        <w:t>Axtel</w:t>
      </w:r>
      <w:r w:rsidR="00C10B4C" w:rsidRPr="008509EB">
        <w:rPr>
          <w:rFonts w:ascii="ITC Avant Garde" w:hAnsi="ITC Avant Garde"/>
          <w:bCs/>
          <w:lang w:val="es-ES"/>
        </w:rPr>
        <w:t xml:space="preserve"> </w:t>
      </w:r>
      <w:r w:rsidR="001C3815" w:rsidRPr="008509EB">
        <w:rPr>
          <w:rFonts w:ascii="ITC Avant Garde" w:hAnsi="ITC Avant Garde"/>
          <w:bCs/>
          <w:lang w:val="es-ES"/>
        </w:rPr>
        <w:t xml:space="preserve">presentó </w:t>
      </w:r>
      <w:r w:rsidR="001C3815" w:rsidRPr="008509EB">
        <w:rPr>
          <w:rFonts w:ascii="ITC Avant Garde" w:hAnsi="ITC Avant Garde"/>
          <w:lang w:val="es-ES"/>
        </w:rPr>
        <w:t xml:space="preserve">ante el Instituto, escrito mediante el cual solicitó su intervención para resolver los términos, tarifas y condiciones que no pudo convenir con </w:t>
      </w:r>
      <w:r w:rsidR="009204B8" w:rsidRPr="008509EB">
        <w:rPr>
          <w:rFonts w:ascii="ITC Avant Garde" w:hAnsi="ITC Avant Garde"/>
          <w:lang w:val="es-ES"/>
        </w:rPr>
        <w:t xml:space="preserve">Mega Cable </w:t>
      </w:r>
      <w:r w:rsidR="001C3815" w:rsidRPr="008509EB">
        <w:rPr>
          <w:rFonts w:ascii="ITC Avant Garde" w:hAnsi="ITC Avant Garde"/>
          <w:lang w:val="es-ES"/>
        </w:rPr>
        <w:t xml:space="preserve">para la interconexión de sus respectivas redes públicas de telecomunicaciones, aplicables </w:t>
      </w:r>
      <w:r w:rsidR="00ED01AE" w:rsidRPr="008509EB">
        <w:rPr>
          <w:rFonts w:ascii="ITC Avant Garde" w:hAnsi="ITC Avant Garde"/>
          <w:lang w:val="es-ES"/>
        </w:rPr>
        <w:t>par</w:t>
      </w:r>
      <w:r w:rsidR="001C3815" w:rsidRPr="008509EB">
        <w:rPr>
          <w:rFonts w:ascii="ITC Avant Garde" w:hAnsi="ITC Avant Garde"/>
          <w:lang w:val="es-ES"/>
        </w:rPr>
        <w:t>a</w:t>
      </w:r>
      <w:r w:rsidR="00C10B4C" w:rsidRPr="008509EB">
        <w:rPr>
          <w:rFonts w:ascii="ITC Avant Garde" w:hAnsi="ITC Avant Garde"/>
          <w:lang w:val="es-ES"/>
        </w:rPr>
        <w:t xml:space="preserve"> </w:t>
      </w:r>
      <w:r w:rsidR="009204B8" w:rsidRPr="008509EB">
        <w:rPr>
          <w:rFonts w:ascii="ITC Avant Garde" w:hAnsi="ITC Avant Garde"/>
          <w:lang w:val="es-ES"/>
        </w:rPr>
        <w:t>el</w:t>
      </w:r>
      <w:r w:rsidR="001C3815" w:rsidRPr="008509EB">
        <w:rPr>
          <w:rFonts w:ascii="ITC Avant Garde" w:hAnsi="ITC Avant Garde"/>
          <w:lang w:val="es-ES"/>
        </w:rPr>
        <w:t xml:space="preserve"> periodo</w:t>
      </w:r>
      <w:r w:rsidR="00C10B4C" w:rsidRPr="008509EB">
        <w:rPr>
          <w:rFonts w:ascii="ITC Avant Garde" w:hAnsi="ITC Avant Garde"/>
          <w:lang w:val="es-ES"/>
        </w:rPr>
        <w:t xml:space="preserve"> </w:t>
      </w:r>
      <w:r w:rsidR="001C3815" w:rsidRPr="008509EB">
        <w:rPr>
          <w:rFonts w:ascii="ITC Avant Garde" w:hAnsi="ITC Avant Garde"/>
          <w:lang w:val="es-ES"/>
        </w:rPr>
        <w:t>2017</w:t>
      </w:r>
      <w:r w:rsidR="00C10B4C" w:rsidRPr="008509EB">
        <w:rPr>
          <w:rFonts w:ascii="ITC Avant Garde" w:hAnsi="ITC Avant Garde"/>
          <w:lang w:val="es-ES"/>
        </w:rPr>
        <w:t>.</w:t>
      </w:r>
    </w:p>
    <w:p w14:paraId="7D585114" w14:textId="77777777" w:rsidR="008509EB" w:rsidRPr="008509EB" w:rsidRDefault="009204B8" w:rsidP="008509EB">
      <w:pPr>
        <w:tabs>
          <w:tab w:val="left" w:pos="142"/>
        </w:tabs>
        <w:spacing w:before="240" w:after="240"/>
        <w:ind w:left="426" w:right="23"/>
        <w:jc w:val="both"/>
        <w:rPr>
          <w:rFonts w:ascii="ITC Avant Garde" w:eastAsia="Times New Roman" w:hAnsi="ITC Avant Garde"/>
          <w:szCs w:val="24"/>
          <w:lang w:eastAsia="es-ES"/>
        </w:rPr>
      </w:pPr>
      <w:r w:rsidRPr="008509EB">
        <w:rPr>
          <w:rFonts w:ascii="ITC Avant Garde" w:eastAsia="Times New Roman" w:hAnsi="ITC Avant Garde"/>
          <w:szCs w:val="24"/>
          <w:lang w:eastAsia="es-ES"/>
        </w:rPr>
        <w:t>La Solicitud de Resolución se admitió a trámite asignándole el número de expediente IFT/221/UPR/DG-RIRST/194.031016/ITX. El procedimiento fue sustanciado en todas y cada una de sus etapas en estricto apego a lo establecido en el artículo 129 de la Ley Federal de Telecomunicaciones y Radiodifusión (en lo sucesivo, la “</w:t>
      </w:r>
      <w:proofErr w:type="spellStart"/>
      <w:r w:rsidRPr="008509EB">
        <w:rPr>
          <w:rFonts w:ascii="ITC Avant Garde" w:eastAsia="Times New Roman" w:hAnsi="ITC Avant Garde"/>
          <w:szCs w:val="24"/>
          <w:lang w:eastAsia="es-ES"/>
        </w:rPr>
        <w:t>LFTyR</w:t>
      </w:r>
      <w:proofErr w:type="spellEnd"/>
      <w:r w:rsidRPr="008509EB">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578358EB" w14:textId="77777777" w:rsidR="008509EB" w:rsidRPr="008509EB" w:rsidRDefault="009204B8" w:rsidP="008509EB">
      <w:pPr>
        <w:tabs>
          <w:tab w:val="left" w:pos="142"/>
        </w:tabs>
        <w:spacing w:before="240" w:after="240"/>
        <w:ind w:left="426" w:right="23"/>
        <w:jc w:val="both"/>
        <w:rPr>
          <w:rFonts w:ascii="ITC Avant Garde" w:eastAsia="Times New Roman" w:hAnsi="ITC Avant Garde"/>
          <w:szCs w:val="24"/>
          <w:lang w:eastAsia="es-ES"/>
        </w:rPr>
      </w:pPr>
      <w:r w:rsidRPr="008509EB">
        <w:rPr>
          <w:rFonts w:ascii="ITC Avant Garde" w:eastAsia="Times New Roman" w:hAnsi="ITC Avant Garde"/>
          <w:szCs w:val="24"/>
          <w:lang w:eastAsia="es-ES"/>
        </w:rPr>
        <w:t xml:space="preserve">Es así que con fecha </w:t>
      </w:r>
      <w:r w:rsidR="00C3592A" w:rsidRPr="008509EB">
        <w:rPr>
          <w:rFonts w:ascii="ITC Avant Garde" w:eastAsia="Times New Roman" w:hAnsi="ITC Avant Garde"/>
          <w:szCs w:val="24"/>
          <w:lang w:eastAsia="es-ES"/>
        </w:rPr>
        <w:t>7</w:t>
      </w:r>
      <w:r w:rsidRPr="008509EB">
        <w:rPr>
          <w:rFonts w:ascii="ITC Avant Garde" w:eastAsia="Times New Roman" w:hAnsi="ITC Avant Garde"/>
          <w:szCs w:val="24"/>
          <w:lang w:eastAsia="es-ES"/>
        </w:rPr>
        <w:t xml:space="preserve"> de diciembre de 2016, el Instituto notificó a las partes que el procedimiento guardaba estado para que el Pleno del Instituto dictase la resolución correspondiente.</w:t>
      </w:r>
    </w:p>
    <w:p w14:paraId="28BA328A" w14:textId="6668A4B3" w:rsidR="008509EB" w:rsidRPr="008509EB" w:rsidRDefault="007A2313" w:rsidP="008509EB">
      <w:pPr>
        <w:widowControl w:val="0"/>
        <w:spacing w:before="240" w:after="240"/>
        <w:jc w:val="both"/>
        <w:rPr>
          <w:rFonts w:ascii="ITC Avant Garde" w:eastAsia="Times New Roman" w:hAnsi="ITC Avant Garde"/>
          <w:lang w:eastAsia="es-ES"/>
        </w:rPr>
      </w:pPr>
      <w:r w:rsidRPr="008509EB">
        <w:rPr>
          <w:rFonts w:ascii="ITC Avant Garde" w:eastAsia="Times New Roman" w:hAnsi="ITC Avant Garde"/>
          <w:lang w:eastAsia="es-ES"/>
        </w:rPr>
        <w:t>En virtud de los referidos Antecedentes, y</w:t>
      </w:r>
    </w:p>
    <w:p w14:paraId="2AF383C4" w14:textId="77777777" w:rsidR="008509EB" w:rsidRPr="008509EB" w:rsidRDefault="0001126F" w:rsidP="008509EB">
      <w:pPr>
        <w:pStyle w:val="Ttulo2"/>
        <w:keepLines/>
        <w:spacing w:before="2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8509EB">
        <w:rPr>
          <w:rFonts w:ascii="ITC Avant Garde" w:eastAsiaTheme="majorEastAsia" w:hAnsi="ITC Avant Garde" w:cstheme="majorBidi"/>
          <w:color w:val="000000" w:themeColor="text1"/>
          <w:szCs w:val="22"/>
        </w:rPr>
        <w:t>CONSIDERANDO</w:t>
      </w:r>
    </w:p>
    <w:p w14:paraId="7A17BAEF" w14:textId="77777777" w:rsidR="008509EB" w:rsidRPr="008509EB" w:rsidRDefault="0001126F" w:rsidP="008509EB">
      <w:pPr>
        <w:pStyle w:val="Textoindependiente"/>
        <w:spacing w:before="240" w:after="240" w:line="276" w:lineRule="auto"/>
        <w:rPr>
          <w:rFonts w:ascii="ITC Avant Garde" w:hAnsi="ITC Avant Garde" w:cs="Arial"/>
          <w:bCs/>
          <w:lang w:val="es-ES"/>
        </w:rPr>
      </w:pPr>
      <w:r w:rsidRPr="008509EB">
        <w:rPr>
          <w:rFonts w:ascii="ITC Avant Garde" w:hAnsi="ITC Avant Garde" w:cs="Arial"/>
          <w:b/>
          <w:bCs/>
          <w:lang w:val="es-ES"/>
        </w:rPr>
        <w:t xml:space="preserve">PRIMERO.- Competencia del Instituto. </w:t>
      </w:r>
      <w:r w:rsidRPr="008509EB">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proofErr w:type="spellStart"/>
      <w:r w:rsidRPr="008509EB">
        <w:rPr>
          <w:rFonts w:ascii="ITC Avant Garde" w:hAnsi="ITC Avant Garde" w:cs="Arial"/>
          <w:bCs/>
          <w:lang w:val="es-ES"/>
        </w:rPr>
        <w:t>LFTyR</w:t>
      </w:r>
      <w:proofErr w:type="spellEnd"/>
      <w:r w:rsidRPr="008509EB">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8509EB">
        <w:rPr>
          <w:rFonts w:ascii="ITC Avant Garde" w:hAnsi="ITC Avant Garde" w:cs="Arial"/>
          <w:bCs/>
          <w:lang w:val="es-ES"/>
        </w:rPr>
        <w:t>LFTyR</w:t>
      </w:r>
      <w:proofErr w:type="spellEnd"/>
      <w:r w:rsidRPr="008509EB">
        <w:rPr>
          <w:rFonts w:ascii="ITC Avant Garde" w:hAnsi="ITC Avant Garde" w:cs="Arial"/>
          <w:bCs/>
          <w:lang w:val="es-ES"/>
        </w:rPr>
        <w:t xml:space="preserve"> y demás disposiciones aplicables. </w:t>
      </w:r>
    </w:p>
    <w:p w14:paraId="61BA359A" w14:textId="77777777" w:rsidR="008509EB" w:rsidRPr="008509EB" w:rsidRDefault="0001126F" w:rsidP="008509EB">
      <w:pPr>
        <w:pStyle w:val="Textoindependiente"/>
        <w:spacing w:before="240" w:after="240" w:line="276" w:lineRule="auto"/>
        <w:rPr>
          <w:rFonts w:ascii="ITC Avant Garde" w:hAnsi="ITC Avant Garde" w:cs="Arial"/>
          <w:bCs/>
          <w:lang w:val="es-ES"/>
        </w:rPr>
      </w:pPr>
      <w:r w:rsidRPr="008509EB">
        <w:rPr>
          <w:rFonts w:ascii="ITC Avant Garde" w:hAnsi="ITC Avant Garde" w:cs="Arial"/>
          <w:bCs/>
          <w:lang w:val="es-ES"/>
        </w:rPr>
        <w:t xml:space="preserve">Con fundamento en los artículos 7, 15, fracción X, 17, fracción I, y 129 de la </w:t>
      </w:r>
      <w:proofErr w:type="spellStart"/>
      <w:r w:rsidRPr="008509EB">
        <w:rPr>
          <w:rFonts w:ascii="ITC Avant Garde" w:hAnsi="ITC Avant Garde" w:cs="Arial"/>
          <w:bCs/>
          <w:lang w:val="es-ES"/>
        </w:rPr>
        <w:t>LFTyR</w:t>
      </w:r>
      <w:proofErr w:type="spellEnd"/>
      <w:r w:rsidRPr="008509EB">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0D869201" w14:textId="77777777" w:rsidR="008509EB" w:rsidRPr="008509EB" w:rsidRDefault="0001126F" w:rsidP="008509EB">
      <w:pPr>
        <w:pStyle w:val="Textoindependiente"/>
        <w:spacing w:before="240" w:after="240" w:line="276" w:lineRule="auto"/>
        <w:rPr>
          <w:rFonts w:ascii="ITC Avant Garde" w:hAnsi="ITC Avant Garde" w:cs="Arial"/>
          <w:bCs/>
          <w:lang w:val="es-ES"/>
        </w:rPr>
      </w:pPr>
      <w:r w:rsidRPr="008509EB">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3C5B4DF8" w14:textId="77777777" w:rsidR="008509EB" w:rsidRPr="008509EB" w:rsidRDefault="0001126F" w:rsidP="008509EB">
      <w:pPr>
        <w:pStyle w:val="Textoindependiente"/>
        <w:spacing w:before="240" w:after="240" w:line="276" w:lineRule="auto"/>
        <w:rPr>
          <w:rFonts w:ascii="ITC Avant Garde" w:hAnsi="ITC Avant Garde" w:cs="Arial"/>
        </w:rPr>
      </w:pPr>
      <w:r w:rsidRPr="008509EB">
        <w:rPr>
          <w:rFonts w:ascii="ITC Avant Garde" w:hAnsi="ITC Avant Garde" w:cs="Arial"/>
          <w:b/>
        </w:rPr>
        <w:t xml:space="preserve">SEGUNDO.- Importancia y obligatoriedad de la interconexión e Interés Público.- </w:t>
      </w:r>
      <w:r w:rsidRPr="008509EB">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705B21E" w14:textId="77777777" w:rsidR="008509EB" w:rsidRPr="008509EB" w:rsidRDefault="0001126F" w:rsidP="008509EB">
      <w:pPr>
        <w:pStyle w:val="Textoindependiente"/>
        <w:spacing w:before="240" w:after="240" w:line="276" w:lineRule="auto"/>
        <w:rPr>
          <w:rFonts w:ascii="ITC Avant Garde" w:hAnsi="ITC Avant Garde" w:cs="Arial"/>
        </w:rPr>
      </w:pPr>
      <w:r w:rsidRPr="008509EB">
        <w:rPr>
          <w:rFonts w:ascii="ITC Avant Garde" w:hAnsi="ITC Avant Garde" w:cs="Arial"/>
        </w:rPr>
        <w:t xml:space="preserve">Por su parte, el artículo 2 de la </w:t>
      </w:r>
      <w:proofErr w:type="spellStart"/>
      <w:r w:rsidRPr="008509EB">
        <w:rPr>
          <w:rFonts w:ascii="ITC Avant Garde" w:hAnsi="ITC Avant Garde" w:cs="Arial"/>
        </w:rPr>
        <w:t>LFTyR</w:t>
      </w:r>
      <w:proofErr w:type="spellEnd"/>
      <w:r w:rsidRPr="008509EB">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8509EB">
        <w:rPr>
          <w:rFonts w:ascii="ITC Avant Garde" w:hAnsi="ITC Avant Garde" w:cs="Arial"/>
        </w:rPr>
        <w:t>LFTyR</w:t>
      </w:r>
      <w:proofErr w:type="spellEnd"/>
      <w:r w:rsidRPr="008509EB">
        <w:rPr>
          <w:rFonts w:ascii="ITC Avant Garde" w:hAnsi="ITC Avant Garde" w:cs="Arial"/>
        </w:rPr>
        <w:t>.</w:t>
      </w:r>
    </w:p>
    <w:p w14:paraId="29631E98" w14:textId="77777777" w:rsidR="008509EB" w:rsidRPr="008509EB" w:rsidRDefault="0001126F" w:rsidP="008509EB">
      <w:pPr>
        <w:pStyle w:val="Textoindependiente"/>
        <w:spacing w:before="240" w:after="240" w:line="276" w:lineRule="auto"/>
        <w:rPr>
          <w:rFonts w:ascii="ITC Avant Garde" w:hAnsi="ITC Avant Garde" w:cs="Arial"/>
        </w:rPr>
      </w:pPr>
      <w:r w:rsidRPr="008509EB">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proofErr w:type="spellStart"/>
      <w:r w:rsidRPr="008509EB">
        <w:rPr>
          <w:rFonts w:ascii="ITC Avant Garde" w:hAnsi="ITC Avant Garde" w:cs="Arial"/>
        </w:rPr>
        <w:t>LFTyR</w:t>
      </w:r>
      <w:proofErr w:type="spellEnd"/>
      <w:r w:rsidRPr="008509EB">
        <w:rPr>
          <w:rFonts w:ascii="ITC Avant Garde" w:hAnsi="ITC Avant Garde" w:cs="Arial"/>
        </w:rPr>
        <w:t xml:space="preserve">; (ii) la obligación de los concesionarios que operan redes públicas de interconectar sus redes de conformidad con lo establecido en el artículo 125 de la </w:t>
      </w:r>
      <w:proofErr w:type="spellStart"/>
      <w:r w:rsidRPr="008509EB">
        <w:rPr>
          <w:rFonts w:ascii="ITC Avant Garde" w:hAnsi="ITC Avant Garde" w:cs="Arial"/>
        </w:rPr>
        <w:t>LFTyR</w:t>
      </w:r>
      <w:proofErr w:type="spellEnd"/>
      <w:r w:rsidRPr="008509EB">
        <w:rPr>
          <w:rFonts w:ascii="ITC Avant Garde" w:hAnsi="ITC Avant Garde" w:cs="Arial"/>
        </w:rPr>
        <w:t>, y (iii) que dicha interconexión se realice en condiciones no discriminatorias, transparentes y basadas en criterios objetivos.</w:t>
      </w:r>
    </w:p>
    <w:p w14:paraId="4A4A50E3" w14:textId="77777777" w:rsidR="008509EB" w:rsidRPr="008509EB" w:rsidRDefault="0001126F" w:rsidP="008509EB">
      <w:pPr>
        <w:pStyle w:val="Textoindependiente"/>
        <w:spacing w:before="240" w:after="240" w:line="276" w:lineRule="auto"/>
        <w:rPr>
          <w:rFonts w:ascii="ITC Avant Garde" w:hAnsi="ITC Avant Garde" w:cs="Arial"/>
        </w:rPr>
      </w:pPr>
      <w:r w:rsidRPr="008509EB">
        <w:rPr>
          <w:rFonts w:ascii="ITC Avant Garde" w:hAnsi="ITC Avant Garde" w:cs="Arial"/>
        </w:rPr>
        <w:t xml:space="preserve">Ahora bien, el artículo 129 de la </w:t>
      </w:r>
      <w:proofErr w:type="spellStart"/>
      <w:r w:rsidRPr="008509EB">
        <w:rPr>
          <w:rFonts w:ascii="ITC Avant Garde" w:hAnsi="ITC Avant Garde" w:cs="Arial"/>
        </w:rPr>
        <w:t>LFTyR</w:t>
      </w:r>
      <w:proofErr w:type="spellEnd"/>
      <w:r w:rsidRPr="008509EB">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506DC42A" w14:textId="77777777" w:rsidR="008509EB" w:rsidRPr="008509EB" w:rsidRDefault="0001126F" w:rsidP="008509EB">
      <w:pPr>
        <w:pStyle w:val="Textoindependiente"/>
        <w:spacing w:before="240" w:after="240" w:line="276" w:lineRule="auto"/>
        <w:rPr>
          <w:rFonts w:ascii="ITC Avant Garde" w:hAnsi="ITC Avant Garde" w:cs="Arial"/>
        </w:rPr>
      </w:pPr>
      <w:r w:rsidRPr="008509EB">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34E46011" w14:textId="77777777" w:rsidR="008509EB" w:rsidRPr="008509EB" w:rsidRDefault="00054805" w:rsidP="008509EB">
      <w:pPr>
        <w:pStyle w:val="Textoindependiente"/>
        <w:spacing w:before="240" w:after="240" w:line="276" w:lineRule="auto"/>
        <w:rPr>
          <w:rFonts w:ascii="ITC Avant Garde" w:hAnsi="ITC Avant Garde" w:cs="Arial"/>
          <w:spacing w:val="-2"/>
          <w:szCs w:val="22"/>
        </w:rPr>
      </w:pPr>
      <w:r w:rsidRPr="008509EB">
        <w:rPr>
          <w:rFonts w:ascii="ITC Avant Garde" w:hAnsi="ITC Avant Garde" w:cs="Arial"/>
          <w:spacing w:val="-2"/>
          <w:szCs w:val="22"/>
        </w:rPr>
        <w:t xml:space="preserve">En consecuencia, en autos está acreditado que </w:t>
      </w:r>
      <w:r w:rsidR="00F73128" w:rsidRPr="008509EB">
        <w:rPr>
          <w:rFonts w:ascii="ITC Avant Garde" w:hAnsi="ITC Avant Garde" w:cs="Arial"/>
          <w:spacing w:val="-2"/>
          <w:szCs w:val="22"/>
        </w:rPr>
        <w:t>Axtel y Mega Cable</w:t>
      </w:r>
      <w:r w:rsidRPr="008509EB">
        <w:rPr>
          <w:rFonts w:ascii="ITC Avant Garde" w:hAnsi="ITC Avant Garde" w:cs="Arial"/>
          <w:spacing w:val="-2"/>
          <w:szCs w:val="22"/>
        </w:rPr>
        <w:t xml:space="preserve"> tienen el carácter de concesionarios que operan una red pública de telecomunicaciones y que efectivamente </w:t>
      </w:r>
      <w:r w:rsidR="00F73128" w:rsidRPr="008509EB">
        <w:rPr>
          <w:rFonts w:ascii="ITC Avant Garde" w:hAnsi="ITC Avant Garde" w:cs="Arial"/>
          <w:spacing w:val="-2"/>
          <w:szCs w:val="22"/>
        </w:rPr>
        <w:t>Axtel</w:t>
      </w:r>
      <w:r w:rsidR="009933A9" w:rsidRPr="008509EB">
        <w:rPr>
          <w:rFonts w:ascii="ITC Avant Garde" w:hAnsi="ITC Avant Garde" w:cs="Arial"/>
          <w:spacing w:val="-2"/>
          <w:szCs w:val="22"/>
        </w:rPr>
        <w:t xml:space="preserve"> </w:t>
      </w:r>
      <w:r w:rsidR="00A944F1" w:rsidRPr="008509EB">
        <w:rPr>
          <w:rFonts w:ascii="ITC Avant Garde" w:hAnsi="ITC Avant Garde" w:cs="Arial"/>
          <w:spacing w:val="-2"/>
          <w:szCs w:val="22"/>
        </w:rPr>
        <w:t>requirió</w:t>
      </w:r>
      <w:r w:rsidRPr="008509EB">
        <w:rPr>
          <w:rFonts w:ascii="ITC Avant Garde" w:hAnsi="ITC Avant Garde" w:cs="Arial"/>
          <w:spacing w:val="-2"/>
          <w:szCs w:val="22"/>
        </w:rPr>
        <w:t xml:space="preserve"> a </w:t>
      </w:r>
      <w:r w:rsidR="00F73128" w:rsidRPr="008509EB">
        <w:rPr>
          <w:rFonts w:ascii="ITC Avant Garde" w:hAnsi="ITC Avant Garde"/>
          <w:lang w:val="es-ES" w:eastAsia="es-ES"/>
        </w:rPr>
        <w:t>Mega Cable</w:t>
      </w:r>
      <w:r w:rsidR="00DC5789" w:rsidRPr="008509EB">
        <w:rPr>
          <w:rFonts w:ascii="ITC Avant Garde" w:hAnsi="ITC Avant Garde"/>
          <w:lang w:val="es-ES" w:eastAsia="es-ES"/>
        </w:rPr>
        <w:t xml:space="preserve"> </w:t>
      </w:r>
      <w:r w:rsidRPr="008509EB">
        <w:rPr>
          <w:rFonts w:ascii="ITC Avant Garde" w:hAnsi="ITC Avant Garde" w:cs="Arial"/>
          <w:spacing w:val="-2"/>
          <w:szCs w:val="22"/>
        </w:rPr>
        <w:t>el inicio de negociaciones para convenir los términos, condiciones y tarifas de interconexión, según se desprende de los Antecedentes I, II, y V</w:t>
      </w:r>
      <w:r w:rsidR="000D3795" w:rsidRPr="008509EB">
        <w:rPr>
          <w:rFonts w:ascii="ITC Avant Garde" w:hAnsi="ITC Avant Garde" w:cs="Arial"/>
          <w:spacing w:val="-2"/>
          <w:szCs w:val="22"/>
        </w:rPr>
        <w:t>I</w:t>
      </w:r>
      <w:r w:rsidRPr="008509EB">
        <w:rPr>
          <w:rFonts w:ascii="ITC Avant Garde" w:hAnsi="ITC Avant Garde" w:cs="Arial"/>
          <w:spacing w:val="-2"/>
          <w:szCs w:val="22"/>
        </w:rPr>
        <w:t xml:space="preserve"> de la presente Resolución.</w:t>
      </w:r>
    </w:p>
    <w:p w14:paraId="76BA4A02" w14:textId="77777777" w:rsidR="008509EB" w:rsidRPr="008509EB" w:rsidRDefault="00054805" w:rsidP="008509EB">
      <w:pPr>
        <w:pStyle w:val="Textoindependiente"/>
        <w:spacing w:before="240" w:after="240" w:line="276" w:lineRule="auto"/>
        <w:rPr>
          <w:rFonts w:ascii="ITC Avant Garde" w:hAnsi="ITC Avant Garde" w:cs="Arial"/>
          <w:szCs w:val="22"/>
        </w:rPr>
      </w:pPr>
      <w:r w:rsidRPr="008509EB">
        <w:rPr>
          <w:rFonts w:ascii="ITC Avant Garde" w:hAnsi="ITC Avant Garde" w:cs="Arial"/>
          <w:szCs w:val="22"/>
        </w:rPr>
        <w:t xml:space="preserve">Por ello, conforme al artículo 124 de la </w:t>
      </w:r>
      <w:proofErr w:type="spellStart"/>
      <w:r w:rsidRPr="008509EB">
        <w:rPr>
          <w:rFonts w:ascii="ITC Avant Garde" w:hAnsi="ITC Avant Garde" w:cs="Arial"/>
          <w:szCs w:val="22"/>
        </w:rPr>
        <w:t>LFTyR</w:t>
      </w:r>
      <w:proofErr w:type="spellEnd"/>
      <w:r w:rsidRPr="008509EB">
        <w:rPr>
          <w:rFonts w:ascii="ITC Avant Garde" w:hAnsi="ITC Avant Garde" w:cs="Arial"/>
          <w:szCs w:val="22"/>
        </w:rPr>
        <w:t xml:space="preserve">, </w:t>
      </w:r>
      <w:r w:rsidR="00F73128" w:rsidRPr="008509EB">
        <w:rPr>
          <w:rFonts w:ascii="ITC Avant Garde" w:hAnsi="ITC Avant Garde" w:cs="Arial"/>
          <w:spacing w:val="-2"/>
          <w:szCs w:val="22"/>
        </w:rPr>
        <w:t>Axtel y Mega Cable</w:t>
      </w:r>
      <w:r w:rsidR="00DC5789" w:rsidRPr="008509EB">
        <w:rPr>
          <w:rFonts w:ascii="ITC Avant Garde" w:hAnsi="ITC Avant Garde"/>
          <w:lang w:val="es-ES" w:eastAsia="es-ES"/>
        </w:rPr>
        <w:t xml:space="preserve"> </w:t>
      </w:r>
      <w:r w:rsidRPr="008509EB">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CDD4D1B" w14:textId="77777777" w:rsidR="008509EB" w:rsidRPr="008509EB" w:rsidRDefault="0001126F" w:rsidP="008509EB">
      <w:pPr>
        <w:spacing w:before="240" w:after="240"/>
        <w:jc w:val="both"/>
        <w:rPr>
          <w:rFonts w:ascii="ITC Avant Garde" w:hAnsi="ITC Avant Garde"/>
          <w:spacing w:val="-4"/>
        </w:rPr>
      </w:pPr>
      <w:r w:rsidRPr="008509EB">
        <w:rPr>
          <w:rFonts w:ascii="ITC Avant Garde" w:hAnsi="ITC Avant Garde" w:cs="Arial"/>
          <w:b/>
        </w:rPr>
        <w:t xml:space="preserve">TERCERO.- </w:t>
      </w:r>
      <w:r w:rsidRPr="008509EB">
        <w:rPr>
          <w:rFonts w:ascii="ITC Avant Garde" w:hAnsi="ITC Avant Garde"/>
          <w:b/>
          <w:szCs w:val="24"/>
        </w:rPr>
        <w:t xml:space="preserve">Valoración de pruebas.- </w:t>
      </w:r>
      <w:r w:rsidRPr="008509EB">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3D555F7" w14:textId="77777777" w:rsidR="008509EB" w:rsidRPr="008509EB" w:rsidRDefault="0001126F" w:rsidP="008509EB">
      <w:pPr>
        <w:spacing w:before="240" w:after="240"/>
        <w:jc w:val="both"/>
        <w:rPr>
          <w:rFonts w:ascii="ITC Avant Garde" w:hAnsi="ITC Avant Garde"/>
          <w:szCs w:val="24"/>
        </w:rPr>
      </w:pPr>
      <w:r w:rsidRPr="008509EB">
        <w:rPr>
          <w:rFonts w:ascii="ITC Avant Garde" w:hAnsi="ITC Avant Garde"/>
          <w:szCs w:val="24"/>
        </w:rPr>
        <w:t xml:space="preserve">Por su parte la </w:t>
      </w:r>
      <w:r w:rsidR="00F73128" w:rsidRPr="008509EB">
        <w:rPr>
          <w:rFonts w:ascii="ITC Avant Garde" w:hAnsi="ITC Avant Garde"/>
          <w:szCs w:val="24"/>
        </w:rPr>
        <w:t>Ley Federal de Procedimiento Administrativo (en lo sucesivo, la “LFPA”), y el Código Federal de Procedimientos Civiles (en lo sucesivo, el “CFPC”)</w:t>
      </w:r>
      <w:r w:rsidRPr="008509EB">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7ECAAA2B" w14:textId="77777777" w:rsidR="008509EB" w:rsidRPr="008509EB" w:rsidRDefault="009933A9" w:rsidP="008509EB">
      <w:pPr>
        <w:spacing w:before="240" w:after="240"/>
        <w:jc w:val="both"/>
        <w:rPr>
          <w:rFonts w:ascii="ITC Avant Garde" w:hAnsi="ITC Avant Garde"/>
          <w:szCs w:val="24"/>
        </w:rPr>
      </w:pPr>
      <w:r w:rsidRPr="008509EB">
        <w:rPr>
          <w:rFonts w:ascii="ITC Avant Garde" w:hAnsi="ITC Avant Garde"/>
          <w:szCs w:val="24"/>
        </w:rPr>
        <w:t xml:space="preserve">En tal sentido, el Instituto valora las pruebas aportadas por </w:t>
      </w:r>
      <w:r w:rsidR="00F73128" w:rsidRPr="008509EB">
        <w:rPr>
          <w:rFonts w:ascii="ITC Avant Garde" w:hAnsi="ITC Avant Garde"/>
          <w:szCs w:val="24"/>
        </w:rPr>
        <w:t>Axtel y Mega Cable</w:t>
      </w:r>
      <w:r w:rsidRPr="008509EB">
        <w:rPr>
          <w:rFonts w:ascii="ITC Avant Garde" w:hAnsi="ITC Avant Garde"/>
          <w:szCs w:val="24"/>
        </w:rPr>
        <w:t xml:space="preserve"> en los siguientes términos:</w:t>
      </w:r>
    </w:p>
    <w:p w14:paraId="53B5B93A" w14:textId="77777777" w:rsidR="008509EB" w:rsidRPr="008509EB" w:rsidRDefault="00D211A5" w:rsidP="008509EB">
      <w:pPr>
        <w:tabs>
          <w:tab w:val="left" w:pos="4850"/>
        </w:tabs>
        <w:spacing w:before="240" w:after="240"/>
        <w:jc w:val="both"/>
        <w:rPr>
          <w:rFonts w:ascii="ITC Avant Garde" w:hAnsi="ITC Avant Garde"/>
          <w:b/>
          <w:szCs w:val="24"/>
        </w:rPr>
      </w:pPr>
      <w:r w:rsidRPr="008509EB">
        <w:rPr>
          <w:rFonts w:ascii="ITC Avant Garde" w:hAnsi="ITC Avant Garde"/>
          <w:b/>
          <w:szCs w:val="24"/>
        </w:rPr>
        <w:t>3</w:t>
      </w:r>
      <w:r w:rsidR="003939FF" w:rsidRPr="008509EB">
        <w:rPr>
          <w:rFonts w:ascii="ITC Avant Garde" w:hAnsi="ITC Avant Garde"/>
          <w:b/>
          <w:szCs w:val="24"/>
        </w:rPr>
        <w:t>.</w:t>
      </w:r>
      <w:r w:rsidR="00041B8A" w:rsidRPr="008509EB">
        <w:rPr>
          <w:rFonts w:ascii="ITC Avant Garde" w:hAnsi="ITC Avant Garde"/>
          <w:b/>
          <w:szCs w:val="24"/>
        </w:rPr>
        <w:t>1</w:t>
      </w:r>
      <w:r w:rsidR="003939FF" w:rsidRPr="008509EB">
        <w:rPr>
          <w:rFonts w:ascii="ITC Avant Garde" w:hAnsi="ITC Avant Garde"/>
          <w:b/>
          <w:szCs w:val="24"/>
        </w:rPr>
        <w:t xml:space="preserve"> Pruebas ofrecidas por </w:t>
      </w:r>
      <w:r w:rsidR="00F73128" w:rsidRPr="008509EB">
        <w:rPr>
          <w:rFonts w:ascii="ITC Avant Garde" w:hAnsi="ITC Avant Garde"/>
          <w:b/>
          <w:szCs w:val="24"/>
        </w:rPr>
        <w:t>Axtel</w:t>
      </w:r>
    </w:p>
    <w:p w14:paraId="10FE2595" w14:textId="77777777" w:rsidR="008509EB" w:rsidRPr="008509EB" w:rsidRDefault="00F73128" w:rsidP="008509EB">
      <w:pPr>
        <w:pStyle w:val="Prrafodelista"/>
        <w:numPr>
          <w:ilvl w:val="0"/>
          <w:numId w:val="15"/>
        </w:numPr>
        <w:spacing w:before="240" w:after="240" w:line="276" w:lineRule="auto"/>
        <w:ind w:left="567" w:right="45"/>
        <w:rPr>
          <w:rFonts w:ascii="ITC Avant Garde" w:hAnsi="ITC Avant Garde" w:cs="Arial"/>
          <w:lang w:val="es-ES_tradnl"/>
        </w:rPr>
      </w:pPr>
      <w:r w:rsidRPr="008509EB">
        <w:rPr>
          <w:rFonts w:ascii="ITC Avant Garde" w:hAnsi="ITC Avant Garde"/>
        </w:rPr>
        <w:t xml:space="preserve">Respecto de las documentales </w:t>
      </w:r>
      <w:r w:rsidR="00730F5C" w:rsidRPr="008509EB">
        <w:rPr>
          <w:rFonts w:ascii="ITC Avant Garde" w:hAnsi="ITC Avant Garde"/>
        </w:rPr>
        <w:t>consistentes en: (a) copia simple de 2 escritos de Axtel de fecha 17 de mayo de 2016 subidos al SESI; (b) copia simple de las actuaciones dentro del procedimiento de desacuerdo de interconexión que se registraron en el SESI, en los que con fecha 20 de junio de 2016 Mega Cable da respuesta a los inicios de negociaciones, y (c) copia simple de 2 escritos de fecha 15 de julio de 2016 registrados en el SESI</w:t>
      </w:r>
      <w:r w:rsidRPr="008509EB">
        <w:rPr>
          <w:rFonts w:ascii="ITC Avant Garde" w:hAnsi="ITC Avant Garde"/>
          <w:shd w:val="clear" w:color="auto" w:fill="FFFFFF" w:themeFill="background1"/>
        </w:rPr>
        <w:t>,</w:t>
      </w:r>
      <w:r w:rsidRPr="008509EB">
        <w:rPr>
          <w:rFonts w:ascii="ITC Avant Garde" w:hAnsi="ITC Avant Garde"/>
        </w:rPr>
        <w:t xml:space="preserve"> se les otorga valor probatorio en términos de lo establecido en el artículo 197</w:t>
      </w:r>
      <w:r w:rsidR="0088260D" w:rsidRPr="008509EB">
        <w:rPr>
          <w:rFonts w:ascii="ITC Avant Garde" w:hAnsi="ITC Avant Garde"/>
        </w:rPr>
        <w:t xml:space="preserve">, </w:t>
      </w:r>
      <w:r w:rsidRPr="008509EB">
        <w:rPr>
          <w:rFonts w:ascii="ITC Avant Garde" w:hAnsi="ITC Avant Garde"/>
        </w:rPr>
        <w:t>203</w:t>
      </w:r>
      <w:r w:rsidR="0088260D" w:rsidRPr="008509EB">
        <w:rPr>
          <w:rFonts w:ascii="ITC Avant Garde" w:hAnsi="ITC Avant Garde"/>
        </w:rPr>
        <w:t>, 210-A y 217</w:t>
      </w:r>
      <w:r w:rsidRPr="008509EB">
        <w:rPr>
          <w:rFonts w:ascii="ITC Avant Garde" w:hAnsi="ITC Avant Garde"/>
        </w:rPr>
        <w:t xml:space="preserve"> del CFPC, lo anterior por causar convicción respecto de que las negociaciones materia de la presente Resolución iniciaron su trámite dentro del SESI.</w:t>
      </w:r>
    </w:p>
    <w:p w14:paraId="414A3B5F" w14:textId="77777777" w:rsidR="008509EB" w:rsidRPr="008509EB" w:rsidRDefault="00730F5C" w:rsidP="008509EB">
      <w:pPr>
        <w:spacing w:before="240" w:after="240"/>
        <w:jc w:val="both"/>
        <w:rPr>
          <w:rFonts w:ascii="ITC Avant Garde" w:hAnsi="ITC Avant Garde"/>
          <w:b/>
        </w:rPr>
      </w:pPr>
      <w:r w:rsidRPr="008509EB">
        <w:rPr>
          <w:rFonts w:ascii="ITC Avant Garde" w:hAnsi="ITC Avant Garde"/>
          <w:b/>
        </w:rPr>
        <w:t>3.2 Pruebas ofrecidas por Mega Cable</w:t>
      </w:r>
    </w:p>
    <w:p w14:paraId="108819C3" w14:textId="77777777" w:rsidR="008509EB" w:rsidRPr="008509EB" w:rsidRDefault="00730F5C" w:rsidP="008509EB">
      <w:pPr>
        <w:pStyle w:val="Prrafodelista"/>
        <w:numPr>
          <w:ilvl w:val="0"/>
          <w:numId w:val="15"/>
        </w:numPr>
        <w:spacing w:before="240" w:after="240" w:line="276" w:lineRule="auto"/>
        <w:ind w:left="567" w:right="45"/>
        <w:rPr>
          <w:rFonts w:ascii="ITC Avant Garde" w:hAnsi="ITC Avant Garde"/>
        </w:rPr>
      </w:pPr>
      <w:r w:rsidRPr="008509EB">
        <w:rPr>
          <w:rFonts w:ascii="ITC Avant Garde" w:hAnsi="ITC Avant Garde"/>
        </w:rPr>
        <w:t>Respecto</w:t>
      </w:r>
      <w:r w:rsidRPr="008509EB">
        <w:rPr>
          <w:rFonts w:ascii="ITC Avant Garde" w:hAnsi="ITC Avant Garde" w:cs="Arial"/>
        </w:rPr>
        <w:t xml:space="preserve"> de las documentales públicas consistentes</w:t>
      </w:r>
      <w:r w:rsidR="00256EED" w:rsidRPr="008509EB">
        <w:rPr>
          <w:rFonts w:ascii="ITC Avant Garde" w:hAnsi="ITC Avant Garde" w:cs="Arial"/>
        </w:rPr>
        <w:t xml:space="preserve"> en: (a) </w:t>
      </w:r>
      <w:r w:rsidRPr="008509EB">
        <w:rPr>
          <w:rFonts w:ascii="ITC Avant Garde" w:hAnsi="ITC Avant Garde" w:cs="Arial"/>
        </w:rPr>
        <w:t xml:space="preserve">el Acuerdo </w:t>
      </w:r>
      <w:r w:rsidR="00256EED" w:rsidRPr="008509EB">
        <w:rPr>
          <w:rFonts w:ascii="ITC Avant Garde" w:hAnsi="ITC Avant Garde" w:cs="Arial"/>
        </w:rPr>
        <w:t>P/IFT/EXT/161214/277</w:t>
      </w:r>
      <w:r w:rsidR="00695EAC" w:rsidRPr="008509EB">
        <w:rPr>
          <w:rFonts w:ascii="ITC Avant Garde" w:hAnsi="ITC Avant Garde" w:cs="Arial"/>
        </w:rPr>
        <w:t xml:space="preserve"> </w:t>
      </w:r>
      <w:r w:rsidRPr="008509EB">
        <w:rPr>
          <w:rFonts w:ascii="ITC Avant Garde" w:hAnsi="ITC Avant Garde" w:cs="Arial"/>
        </w:rPr>
        <w:t xml:space="preserve">mediante el cual el Pleno del Instituto, emite la Metodología para el cálculo de costos de interconexión de conformidad con la </w:t>
      </w:r>
      <w:proofErr w:type="spellStart"/>
      <w:r w:rsidRPr="008509EB">
        <w:rPr>
          <w:rFonts w:ascii="ITC Avant Garde" w:hAnsi="ITC Avant Garde" w:cs="Arial"/>
        </w:rPr>
        <w:t>LFTyR</w:t>
      </w:r>
      <w:proofErr w:type="spellEnd"/>
      <w:r w:rsidRPr="008509EB">
        <w:rPr>
          <w:rFonts w:ascii="ITC Avant Garde" w:hAnsi="ITC Avant Garde" w:cs="Arial"/>
        </w:rPr>
        <w:t xml:space="preserve">, </w:t>
      </w:r>
      <w:r w:rsidR="00256EED" w:rsidRPr="008509EB">
        <w:rPr>
          <w:rFonts w:ascii="ITC Avant Garde" w:hAnsi="ITC Avant Garde" w:cs="Arial"/>
        </w:rPr>
        <w:t>y (b) el Acuerdo P/IFT/200916</w:t>
      </w:r>
      <w:r w:rsidR="00505D64" w:rsidRPr="008509EB">
        <w:rPr>
          <w:rFonts w:ascii="ITC Avant Garde" w:hAnsi="ITC Avant Garde" w:cs="Arial"/>
        </w:rPr>
        <w:t>/503</w:t>
      </w:r>
      <w:r w:rsidR="00256EED" w:rsidRPr="008509EB">
        <w:rPr>
          <w:rFonts w:ascii="ITC Avant Garde" w:hAnsi="ITC Avant Garde" w:cs="Arial"/>
        </w:rPr>
        <w:t xml:space="preserve">, publicado el 3 de octubre </w:t>
      </w:r>
      <w:r w:rsidR="00505D64" w:rsidRPr="008509EB">
        <w:rPr>
          <w:rFonts w:ascii="ITC Avant Garde" w:hAnsi="ITC Avant Garde" w:cs="Arial"/>
        </w:rPr>
        <w:t xml:space="preserve">de 2016 </w:t>
      </w:r>
      <w:r w:rsidR="00256EED" w:rsidRPr="008509EB">
        <w:rPr>
          <w:rFonts w:ascii="ITC Avant Garde" w:hAnsi="ITC Avant Garde" w:cs="Arial"/>
        </w:rPr>
        <w:t>en el DOF, mediante el cual el Pleno del Instituto estableció las condiciones técnicas mínimas y las tarifas de interconexión vigentes del 1 de enero al 31 de diciembre de 2017</w:t>
      </w:r>
      <w:r w:rsidRPr="008509EB">
        <w:rPr>
          <w:rFonts w:ascii="ITC Avant Garde" w:hAnsi="ITC Avant Garde" w:cs="Arial"/>
        </w:rPr>
        <w:t xml:space="preserve">, </w:t>
      </w:r>
      <w:r w:rsidRPr="008509EB">
        <w:rPr>
          <w:rFonts w:ascii="ITC Avant Garde" w:hAnsi="ITC Avant Garde"/>
        </w:rPr>
        <w:t>se le</w:t>
      </w:r>
      <w:r w:rsidR="00256EED" w:rsidRPr="008509EB">
        <w:rPr>
          <w:rFonts w:ascii="ITC Avant Garde" w:hAnsi="ITC Avant Garde"/>
        </w:rPr>
        <w:t>s</w:t>
      </w:r>
      <w:r w:rsidRPr="008509EB">
        <w:rPr>
          <w:rFonts w:ascii="ITC Avant Garde" w:hAnsi="ITC Avant Garde"/>
        </w:rPr>
        <w:t xml:space="preserve"> otorga valor probatorio en términos de los artículos 197 y 202 del CFPC, de aplicación supletoria conforme al artículo 6, fracción VII de la </w:t>
      </w:r>
      <w:proofErr w:type="spellStart"/>
      <w:r w:rsidRPr="008509EB">
        <w:rPr>
          <w:rFonts w:ascii="ITC Avant Garde" w:hAnsi="ITC Avant Garde"/>
        </w:rPr>
        <w:t>LFTyR</w:t>
      </w:r>
      <w:proofErr w:type="spellEnd"/>
      <w:r w:rsidRPr="008509EB">
        <w:rPr>
          <w:rFonts w:ascii="ITC Avant Garde" w:hAnsi="ITC Avant Garde"/>
        </w:rPr>
        <w:t xml:space="preserve">, </w:t>
      </w:r>
      <w:r w:rsidRPr="008509EB">
        <w:rPr>
          <w:rFonts w:ascii="ITC Avant Garde" w:hAnsi="ITC Avant Garde" w:cs="Arial"/>
        </w:rPr>
        <w:t>al hacer prueba de la emisión y publicación de la metodología para el cálculo de costos de interconexión</w:t>
      </w:r>
      <w:r w:rsidR="00256EED" w:rsidRPr="008509EB">
        <w:rPr>
          <w:rFonts w:ascii="ITC Avant Garde" w:hAnsi="ITC Avant Garde" w:cs="Arial"/>
        </w:rPr>
        <w:t>, así como del Acuerdo de CTM y Tarifas 2017</w:t>
      </w:r>
      <w:r w:rsidRPr="008509EB">
        <w:rPr>
          <w:rFonts w:ascii="ITC Avant Garde" w:hAnsi="ITC Avant Garde" w:cs="Arial"/>
        </w:rPr>
        <w:t>.</w:t>
      </w:r>
    </w:p>
    <w:p w14:paraId="521ECA65" w14:textId="77777777" w:rsidR="008509EB" w:rsidRPr="008509EB" w:rsidRDefault="00043662" w:rsidP="008509EB">
      <w:pPr>
        <w:tabs>
          <w:tab w:val="left" w:pos="4850"/>
        </w:tabs>
        <w:spacing w:before="240" w:after="240"/>
        <w:rPr>
          <w:rFonts w:ascii="ITC Avant Garde" w:hAnsi="ITC Avant Garde"/>
          <w:b/>
        </w:rPr>
      </w:pPr>
      <w:r w:rsidRPr="008509EB">
        <w:rPr>
          <w:rFonts w:ascii="ITC Avant Garde" w:hAnsi="ITC Avant Garde"/>
          <w:b/>
        </w:rPr>
        <w:t>3.3 Pruebas ofrecidas por ambas partes</w:t>
      </w:r>
    </w:p>
    <w:p w14:paraId="0710B86F" w14:textId="77777777" w:rsidR="008509EB" w:rsidRPr="008509EB" w:rsidRDefault="00D8186B" w:rsidP="008509EB">
      <w:pPr>
        <w:pStyle w:val="Prrafodelista"/>
        <w:numPr>
          <w:ilvl w:val="0"/>
          <w:numId w:val="15"/>
        </w:numPr>
        <w:spacing w:before="240" w:after="240" w:line="276" w:lineRule="auto"/>
        <w:ind w:left="567" w:right="45"/>
        <w:rPr>
          <w:rFonts w:ascii="ITC Avant Garde" w:hAnsi="ITC Avant Garde" w:cs="Arial"/>
        </w:rPr>
      </w:pPr>
      <w:r w:rsidRPr="008509EB">
        <w:rPr>
          <w:rFonts w:ascii="ITC Avant Garde" w:hAnsi="ITC Avant Garde" w:cs="Arial"/>
        </w:rPr>
        <w:t xml:space="preserve">En relación </w:t>
      </w:r>
      <w:r w:rsidR="0006731A" w:rsidRPr="008509EB">
        <w:rPr>
          <w:rFonts w:ascii="ITC Avant Garde" w:hAnsi="ITC Avant Garde" w:cs="Arial"/>
        </w:rPr>
        <w:t>con</w:t>
      </w:r>
      <w:r w:rsidRPr="008509EB">
        <w:rPr>
          <w:rFonts w:ascii="ITC Avant Garde" w:hAnsi="ITC Avant Garde" w:cs="Arial"/>
        </w:rPr>
        <w:t xml:space="preserve"> la </w:t>
      </w:r>
      <w:proofErr w:type="spellStart"/>
      <w:r w:rsidR="0006731A" w:rsidRPr="008509EB">
        <w:rPr>
          <w:rFonts w:ascii="ITC Avant Garde" w:hAnsi="ITC Avant Garde" w:cs="Arial"/>
        </w:rPr>
        <w:t>p</w:t>
      </w:r>
      <w:r w:rsidRPr="008509EB">
        <w:rPr>
          <w:rFonts w:ascii="ITC Avant Garde" w:hAnsi="ITC Avant Garde" w:cs="Arial"/>
        </w:rPr>
        <w:t>resuncional</w:t>
      </w:r>
      <w:proofErr w:type="spellEnd"/>
      <w:r w:rsidRPr="008509EB">
        <w:rPr>
          <w:rFonts w:ascii="ITC Avant Garde" w:hAnsi="ITC Avant Garde" w:cs="Arial"/>
        </w:rPr>
        <w:t>, en su doble aspecto, legal y humana, ofrecida</w:t>
      </w:r>
      <w:r w:rsidR="00043662" w:rsidRPr="008509EB">
        <w:rPr>
          <w:rFonts w:ascii="ITC Avant Garde" w:hAnsi="ITC Avant Garde" w:cs="Arial"/>
        </w:rPr>
        <w:t>s</w:t>
      </w:r>
      <w:r w:rsidRPr="008509EB">
        <w:rPr>
          <w:rFonts w:ascii="ITC Avant Garde" w:hAnsi="ITC Avant Garde" w:cs="Arial"/>
        </w:rPr>
        <w:t xml:space="preserve"> como prueba por </w:t>
      </w:r>
      <w:r w:rsidR="00256EED" w:rsidRPr="008509EB">
        <w:rPr>
          <w:rFonts w:ascii="ITC Avant Garde" w:hAnsi="ITC Avant Garde" w:cs="Arial"/>
        </w:rPr>
        <w:t>Axtel y Mega Cable</w:t>
      </w:r>
      <w:r w:rsidRPr="008509EB">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7E01FC43" w14:textId="77777777" w:rsidR="008509EB" w:rsidRPr="008509EB" w:rsidRDefault="007C6685" w:rsidP="008509EB">
      <w:pPr>
        <w:pStyle w:val="Prrafodelista"/>
        <w:numPr>
          <w:ilvl w:val="0"/>
          <w:numId w:val="15"/>
        </w:numPr>
        <w:spacing w:before="240" w:after="240" w:line="276" w:lineRule="auto"/>
        <w:ind w:left="567" w:right="45"/>
        <w:rPr>
          <w:rFonts w:ascii="ITC Avant Garde" w:hAnsi="ITC Avant Garde" w:cs="Arial"/>
        </w:rPr>
      </w:pPr>
      <w:r w:rsidRPr="008509EB">
        <w:rPr>
          <w:rFonts w:ascii="ITC Avant Garde" w:hAnsi="ITC Avant Garde" w:cs="Arial"/>
        </w:rPr>
        <w:t xml:space="preserve">Respecto </w:t>
      </w:r>
      <w:r w:rsidR="0006731A" w:rsidRPr="008509EB">
        <w:rPr>
          <w:rFonts w:ascii="ITC Avant Garde" w:hAnsi="ITC Avant Garde" w:cs="Arial"/>
        </w:rPr>
        <w:t>de</w:t>
      </w:r>
      <w:r w:rsidRPr="008509EB">
        <w:rPr>
          <w:rFonts w:ascii="ITC Avant Garde" w:hAnsi="ITC Avant Garde" w:cs="Arial"/>
        </w:rPr>
        <w:t xml:space="preserve"> la Instrumental de actuaciones, ofrecida</w:t>
      </w:r>
      <w:r w:rsidR="00043662" w:rsidRPr="008509EB">
        <w:rPr>
          <w:rFonts w:ascii="ITC Avant Garde" w:hAnsi="ITC Avant Garde" w:cs="Arial"/>
        </w:rPr>
        <w:t>s</w:t>
      </w:r>
      <w:r w:rsidRPr="008509EB">
        <w:rPr>
          <w:rFonts w:ascii="ITC Avant Garde" w:hAnsi="ITC Avant Garde" w:cs="Arial"/>
        </w:rPr>
        <w:t xml:space="preserve"> por </w:t>
      </w:r>
      <w:r w:rsidR="00256EED" w:rsidRPr="008509EB">
        <w:rPr>
          <w:rFonts w:ascii="ITC Avant Garde" w:hAnsi="ITC Avant Garde" w:cs="Arial"/>
        </w:rPr>
        <w:t>Axtel y Mega Cable</w:t>
      </w:r>
      <w:r w:rsidRPr="008509EB">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0"/>
    <w:p w14:paraId="45F232A9" w14:textId="77777777" w:rsidR="008509EB" w:rsidRPr="008509EB" w:rsidRDefault="002F1D3A" w:rsidP="008509EB">
      <w:pPr>
        <w:spacing w:before="240" w:after="240"/>
        <w:jc w:val="both"/>
        <w:rPr>
          <w:rFonts w:ascii="ITC Avant Garde" w:eastAsia="Times New Roman" w:hAnsi="ITC Avant Garde"/>
        </w:rPr>
      </w:pPr>
      <w:r w:rsidRPr="008509EB">
        <w:rPr>
          <w:rFonts w:ascii="ITC Avant Garde" w:hAnsi="ITC Avant Garde"/>
          <w:b/>
          <w:szCs w:val="24"/>
        </w:rPr>
        <w:t>CUARTO</w:t>
      </w:r>
      <w:r w:rsidR="003B3180" w:rsidRPr="008509EB">
        <w:rPr>
          <w:rFonts w:ascii="ITC Avant Garde" w:hAnsi="ITC Avant Garde"/>
          <w:b/>
          <w:szCs w:val="24"/>
        </w:rPr>
        <w:t>.-</w:t>
      </w:r>
      <w:r w:rsidR="002920C0" w:rsidRPr="008509EB">
        <w:rPr>
          <w:rFonts w:ascii="ITC Avant Garde" w:eastAsia="Times New Roman" w:hAnsi="ITC Avant Garde"/>
          <w:b/>
          <w:lang w:eastAsia="es-ES"/>
        </w:rPr>
        <w:t xml:space="preserve"> </w:t>
      </w:r>
      <w:bookmarkEnd w:id="1"/>
      <w:r w:rsidR="00321C60" w:rsidRPr="008509EB">
        <w:rPr>
          <w:rFonts w:ascii="ITC Avant Garde" w:eastAsia="Times New Roman" w:hAnsi="ITC Avant Garde"/>
          <w:b/>
          <w:lang w:eastAsia="es-ES"/>
        </w:rPr>
        <w:t>Condiciones no convenidas sujetas a resolución</w:t>
      </w:r>
      <w:r w:rsidR="00C92C0A" w:rsidRPr="008509EB">
        <w:rPr>
          <w:rFonts w:ascii="ITC Avant Garde" w:eastAsia="Times New Roman" w:hAnsi="ITC Avant Garde"/>
          <w:lang w:eastAsia="es-ES"/>
        </w:rPr>
        <w:t xml:space="preserve">.- </w:t>
      </w:r>
      <w:r w:rsidR="00543EF7" w:rsidRPr="008509EB">
        <w:rPr>
          <w:rFonts w:ascii="ITC Avant Garde" w:eastAsia="Times New Roman" w:hAnsi="ITC Avant Garde"/>
          <w:lang w:eastAsia="es-ES"/>
        </w:rPr>
        <w:t xml:space="preserve">En su </w:t>
      </w:r>
      <w:r w:rsidR="00EC520A" w:rsidRPr="008509EB">
        <w:rPr>
          <w:rFonts w:ascii="ITC Avant Garde" w:eastAsia="Times New Roman" w:hAnsi="ITC Avant Garde"/>
          <w:lang w:eastAsia="es-ES"/>
        </w:rPr>
        <w:t xml:space="preserve">Solicitud </w:t>
      </w:r>
      <w:r w:rsidR="00832D83" w:rsidRPr="008509EB">
        <w:rPr>
          <w:rFonts w:ascii="ITC Avant Garde" w:eastAsia="Times New Roman" w:hAnsi="ITC Avant Garde"/>
          <w:lang w:eastAsia="es-ES"/>
        </w:rPr>
        <w:t xml:space="preserve">de Resolución </w:t>
      </w:r>
      <w:r w:rsidR="00807A42" w:rsidRPr="008509EB">
        <w:rPr>
          <w:rFonts w:ascii="ITC Avant Garde" w:eastAsia="Times New Roman" w:hAnsi="ITC Avant Garde"/>
          <w:lang w:eastAsia="es-ES"/>
        </w:rPr>
        <w:t>Axtel</w:t>
      </w:r>
      <w:r w:rsidR="00FD7F21" w:rsidRPr="008509EB">
        <w:rPr>
          <w:rFonts w:ascii="ITC Avant Garde" w:eastAsia="Times New Roman" w:hAnsi="ITC Avant Garde"/>
        </w:rPr>
        <w:t xml:space="preserve"> </w:t>
      </w:r>
      <w:r w:rsidR="00FC5D25" w:rsidRPr="008509EB">
        <w:rPr>
          <w:rFonts w:ascii="ITC Avant Garde" w:eastAsia="Times New Roman" w:hAnsi="ITC Avant Garde"/>
        </w:rPr>
        <w:t>planteó</w:t>
      </w:r>
      <w:r w:rsidR="00B90B19" w:rsidRPr="008509EB">
        <w:rPr>
          <w:rFonts w:ascii="ITC Avant Garde" w:eastAsia="Times New Roman" w:hAnsi="ITC Avant Garde"/>
        </w:rPr>
        <w:t xml:space="preserve"> l</w:t>
      </w:r>
      <w:r w:rsidR="00A01830" w:rsidRPr="008509EB">
        <w:rPr>
          <w:rFonts w:ascii="ITC Avant Garde" w:eastAsia="Times New Roman" w:hAnsi="ITC Avant Garde"/>
        </w:rPr>
        <w:t>o</w:t>
      </w:r>
      <w:r w:rsidR="00B90B19" w:rsidRPr="008509EB">
        <w:rPr>
          <w:rFonts w:ascii="ITC Avant Garde" w:eastAsia="Times New Roman" w:hAnsi="ITC Avant Garde"/>
        </w:rPr>
        <w:t xml:space="preserve">s </w:t>
      </w:r>
      <w:r w:rsidR="00A01830" w:rsidRPr="008509EB">
        <w:rPr>
          <w:rFonts w:ascii="ITC Avant Garde" w:eastAsia="Times New Roman" w:hAnsi="ITC Avant Garde"/>
        </w:rPr>
        <w:t xml:space="preserve">siguientes términos, </w:t>
      </w:r>
      <w:r w:rsidR="00F00A30" w:rsidRPr="008509EB">
        <w:rPr>
          <w:rFonts w:ascii="ITC Avant Garde" w:eastAsia="Times New Roman" w:hAnsi="ITC Avant Garde"/>
        </w:rPr>
        <w:t xml:space="preserve">condiciones </w:t>
      </w:r>
      <w:r w:rsidR="00F00A30" w:rsidRPr="008509EB">
        <w:rPr>
          <w:rFonts w:ascii="ITC Avant Garde" w:eastAsia="Times New Roman" w:hAnsi="ITC Avant Garde"/>
          <w:lang w:eastAsia="es-ES"/>
        </w:rPr>
        <w:t>y</w:t>
      </w:r>
      <w:r w:rsidR="00F6778F" w:rsidRPr="008509EB">
        <w:rPr>
          <w:rFonts w:ascii="ITC Avant Garde" w:eastAsia="Times New Roman" w:hAnsi="ITC Avant Garde"/>
          <w:lang w:eastAsia="es-ES"/>
        </w:rPr>
        <w:t xml:space="preserve"> tari</w:t>
      </w:r>
      <w:r w:rsidR="00A50C4B" w:rsidRPr="008509EB">
        <w:rPr>
          <w:rFonts w:ascii="ITC Avant Garde" w:eastAsia="Times New Roman" w:hAnsi="ITC Avant Garde"/>
          <w:lang w:eastAsia="es-ES"/>
        </w:rPr>
        <w:t xml:space="preserve">fas de interconexión que no </w:t>
      </w:r>
      <w:r w:rsidR="00A86A6B" w:rsidRPr="008509EB">
        <w:rPr>
          <w:rFonts w:ascii="ITC Avant Garde" w:eastAsia="Times New Roman" w:hAnsi="ITC Avant Garde"/>
          <w:lang w:eastAsia="es-ES"/>
        </w:rPr>
        <w:t>pud</w:t>
      </w:r>
      <w:r w:rsidR="00537E52" w:rsidRPr="008509EB">
        <w:rPr>
          <w:rFonts w:ascii="ITC Avant Garde" w:eastAsia="Times New Roman" w:hAnsi="ITC Avant Garde"/>
          <w:lang w:eastAsia="es-ES"/>
        </w:rPr>
        <w:t>o</w:t>
      </w:r>
      <w:r w:rsidR="00543EF7" w:rsidRPr="008509EB">
        <w:rPr>
          <w:rFonts w:ascii="ITC Avant Garde" w:eastAsia="Times New Roman" w:hAnsi="ITC Avant Garde"/>
          <w:lang w:eastAsia="es-ES"/>
        </w:rPr>
        <w:t xml:space="preserve"> convenir con </w:t>
      </w:r>
      <w:r w:rsidR="00807A42" w:rsidRPr="008509EB">
        <w:rPr>
          <w:rFonts w:ascii="ITC Avant Garde" w:eastAsia="Times New Roman" w:hAnsi="ITC Avant Garde"/>
          <w:lang w:eastAsia="es-ES"/>
        </w:rPr>
        <w:t>Mega Cable</w:t>
      </w:r>
      <w:r w:rsidR="00DD7F1E" w:rsidRPr="008509EB">
        <w:rPr>
          <w:rFonts w:ascii="ITC Avant Garde" w:eastAsia="Times New Roman" w:hAnsi="ITC Avant Garde"/>
        </w:rPr>
        <w:t>:</w:t>
      </w:r>
    </w:p>
    <w:p w14:paraId="2CE03183" w14:textId="77777777" w:rsidR="008509EB" w:rsidRPr="008509EB" w:rsidRDefault="004A472B" w:rsidP="008509EB">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8509EB">
        <w:rPr>
          <w:rFonts w:ascii="ITC Avant Garde" w:hAnsi="ITC Avant Garde"/>
        </w:rPr>
        <w:t xml:space="preserve">Tarifa de $0.003088 por servicios de terminación del Servicio Local Fijo y de Larga Distancia en la red local </w:t>
      </w:r>
      <w:r w:rsidR="00EF459A" w:rsidRPr="008509EB">
        <w:rPr>
          <w:rFonts w:ascii="ITC Avant Garde" w:hAnsi="ITC Avant Garde"/>
        </w:rPr>
        <w:t xml:space="preserve">fija </w:t>
      </w:r>
      <w:r w:rsidRPr="008509EB">
        <w:rPr>
          <w:rFonts w:ascii="ITC Avant Garde" w:hAnsi="ITC Avant Garde"/>
        </w:rPr>
        <w:t>de Mega Cable para el periodo comprendido del 1 de enero al 31 de diciembre de 2017.</w:t>
      </w:r>
    </w:p>
    <w:p w14:paraId="131B26C8" w14:textId="77777777" w:rsidR="008509EB" w:rsidRPr="008509EB" w:rsidRDefault="00A803E0" w:rsidP="008509EB">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8509EB">
        <w:rPr>
          <w:rFonts w:ascii="ITC Avant Garde" w:hAnsi="ITC Avant Garde"/>
        </w:rPr>
        <w:t>Medición de tráfico terminado en la red Local Fijo de Mega Cable, con base en la duración real de las llamadas, sin redondear al minuto, debiendo para tal efecto sumar la duración de todas las llamadas completadas en el periodo de facturación correspondiente, medidas en segundos, y multiplicando los minutos equivalentes a dicha suma por la tarifa correspondiente.</w:t>
      </w:r>
    </w:p>
    <w:p w14:paraId="335F88B3" w14:textId="77777777" w:rsidR="008509EB" w:rsidRPr="008509EB" w:rsidRDefault="008B310C" w:rsidP="008509EB">
      <w:pPr>
        <w:pStyle w:val="Textoindependiente"/>
        <w:spacing w:before="240" w:after="240" w:line="276" w:lineRule="auto"/>
        <w:rPr>
          <w:rFonts w:ascii="ITC Avant Garde" w:hAnsi="ITC Avant Garde"/>
          <w:szCs w:val="22"/>
        </w:rPr>
      </w:pPr>
      <w:r w:rsidRPr="008509EB">
        <w:rPr>
          <w:rFonts w:ascii="ITC Avant Garde" w:hAnsi="ITC Avant Garde"/>
          <w:szCs w:val="22"/>
        </w:rPr>
        <w:t>Por su parte, en su escrito de Respuesta, Mega Cable planteó como condición de interconexión no convenida con Axtel, la siguiente:</w:t>
      </w:r>
    </w:p>
    <w:p w14:paraId="2EC07A65" w14:textId="77777777" w:rsidR="008509EB" w:rsidRPr="008509EB" w:rsidRDefault="00C81462" w:rsidP="008509EB">
      <w:pPr>
        <w:pStyle w:val="Prrafodelista"/>
        <w:numPr>
          <w:ilvl w:val="0"/>
          <w:numId w:val="13"/>
        </w:numPr>
        <w:spacing w:before="240" w:after="240" w:line="276" w:lineRule="auto"/>
        <w:rPr>
          <w:rFonts w:ascii="ITC Avant Garde" w:hAnsi="ITC Avant Garde"/>
        </w:rPr>
      </w:pPr>
      <w:r w:rsidRPr="008509EB">
        <w:rPr>
          <w:rFonts w:ascii="ITC Avant Garde" w:hAnsi="ITC Avant Garde"/>
        </w:rPr>
        <w:t>La tarifa por servicios de interconexión no convenida, que deberán pagarse Axtel y Mega Cable de manera recíproca para el periodo comprendido de 1 de enero al 31 de diciembre de 2017 por la terminación de llamadas en sus redes</w:t>
      </w:r>
      <w:r w:rsidR="00BA583E" w:rsidRPr="008509EB">
        <w:rPr>
          <w:rFonts w:ascii="ITC Avant Garde" w:hAnsi="ITC Avant Garde"/>
        </w:rPr>
        <w:t>.</w:t>
      </w:r>
    </w:p>
    <w:p w14:paraId="6EC92164" w14:textId="77777777" w:rsidR="008509EB" w:rsidRPr="008509EB" w:rsidRDefault="00A50C4B" w:rsidP="008509EB">
      <w:pPr>
        <w:spacing w:before="240" w:after="240"/>
        <w:jc w:val="both"/>
        <w:rPr>
          <w:rFonts w:ascii="ITC Avant Garde" w:eastAsia="Times New Roman" w:hAnsi="ITC Avant Garde"/>
        </w:rPr>
      </w:pPr>
      <w:r w:rsidRPr="008509EB">
        <w:rPr>
          <w:rFonts w:ascii="ITC Avant Garde" w:eastAsia="Times New Roman" w:hAnsi="ITC Avant Garde"/>
        </w:rPr>
        <w:t xml:space="preserve">Al respecto, el artículo 129 de la </w:t>
      </w:r>
      <w:proofErr w:type="spellStart"/>
      <w:r w:rsidRPr="008509EB">
        <w:rPr>
          <w:rFonts w:ascii="ITC Avant Garde" w:eastAsia="Times New Roman" w:hAnsi="ITC Avant Garde"/>
        </w:rPr>
        <w:t>LFTyR</w:t>
      </w:r>
      <w:proofErr w:type="spellEnd"/>
      <w:r w:rsidRPr="008509EB">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F4A1E36" w14:textId="77777777" w:rsidR="008509EB" w:rsidRPr="008509EB" w:rsidRDefault="00A50C4B" w:rsidP="008509EB">
      <w:pPr>
        <w:spacing w:before="240" w:after="240"/>
        <w:jc w:val="both"/>
        <w:rPr>
          <w:rFonts w:ascii="ITC Avant Garde" w:eastAsia="Times New Roman" w:hAnsi="ITC Avant Garde"/>
        </w:rPr>
      </w:pPr>
      <w:r w:rsidRPr="008509EB">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4941D064" w14:textId="77777777" w:rsidR="008509EB" w:rsidRPr="008509EB" w:rsidRDefault="00A50C4B" w:rsidP="008509EB">
      <w:pPr>
        <w:spacing w:before="240" w:after="240"/>
        <w:jc w:val="both"/>
        <w:rPr>
          <w:rFonts w:ascii="ITC Avant Garde" w:eastAsia="Times New Roman" w:hAnsi="ITC Avant Garde"/>
        </w:rPr>
      </w:pPr>
      <w:r w:rsidRPr="008509EB">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1447063" w14:textId="77777777" w:rsidR="008509EB" w:rsidRPr="008509EB" w:rsidRDefault="00A50C4B" w:rsidP="008509EB">
      <w:pPr>
        <w:spacing w:before="240" w:after="240"/>
        <w:jc w:val="both"/>
        <w:rPr>
          <w:rFonts w:ascii="ITC Avant Garde" w:eastAsia="Times New Roman" w:hAnsi="ITC Avant Garde"/>
        </w:rPr>
      </w:pPr>
      <w:r w:rsidRPr="008509EB">
        <w:rPr>
          <w:rFonts w:ascii="ITC Avant Garde" w:eastAsia="Times New Roman" w:hAnsi="ITC Avant Garde"/>
        </w:rPr>
        <w:t xml:space="preserve">Por lo que, en términos del artículo 129 de la </w:t>
      </w:r>
      <w:proofErr w:type="spellStart"/>
      <w:r w:rsidRPr="008509EB">
        <w:rPr>
          <w:rFonts w:ascii="ITC Avant Garde" w:eastAsia="Times New Roman" w:hAnsi="ITC Avant Garde"/>
        </w:rPr>
        <w:t>LFTyR</w:t>
      </w:r>
      <w:proofErr w:type="spellEnd"/>
      <w:r w:rsidRPr="008509EB">
        <w:rPr>
          <w:rFonts w:ascii="ITC Avant Garde" w:eastAsia="Times New Roman" w:hAnsi="ITC Avant Garde"/>
        </w:rPr>
        <w:t xml:space="preserve"> es procedente resolver las condiciones solicitadas por ambas partes.</w:t>
      </w:r>
    </w:p>
    <w:p w14:paraId="06FEE3BC" w14:textId="77777777" w:rsidR="008509EB" w:rsidRPr="008509EB" w:rsidRDefault="00491D3A" w:rsidP="008509EB">
      <w:pPr>
        <w:spacing w:before="240" w:after="240"/>
        <w:jc w:val="both"/>
        <w:rPr>
          <w:rFonts w:ascii="ITC Avant Garde" w:hAnsi="ITC Avant Garde"/>
        </w:rPr>
      </w:pPr>
      <w:r w:rsidRPr="008509EB">
        <w:rPr>
          <w:rFonts w:ascii="ITC Avant Garde" w:hAnsi="ITC Avant Garde"/>
        </w:rPr>
        <w:t xml:space="preserve">Cabe señalar, que la condición planteada en el inciso </w:t>
      </w:r>
      <w:r w:rsidRPr="008509EB">
        <w:rPr>
          <w:rFonts w:ascii="ITC Avant Garde" w:hAnsi="ITC Avant Garde"/>
          <w:b/>
        </w:rPr>
        <w:t>a)</w:t>
      </w:r>
      <w:r w:rsidRPr="008509EB">
        <w:rPr>
          <w:rFonts w:ascii="ITC Avant Garde" w:hAnsi="ITC Avant Garde"/>
        </w:rPr>
        <w:t xml:space="preserve"> queda comprendida en la condición establecida en el inciso </w:t>
      </w:r>
      <w:r w:rsidRPr="008509EB">
        <w:rPr>
          <w:rFonts w:ascii="ITC Avant Garde" w:hAnsi="ITC Avant Garde"/>
          <w:b/>
        </w:rPr>
        <w:t>c)</w:t>
      </w:r>
      <w:r w:rsidRPr="008509EB">
        <w:rPr>
          <w:rFonts w:ascii="ITC Avant Garde" w:hAnsi="ITC Avant Garde"/>
        </w:rPr>
        <w:t>, por lo que en las consideraciones que este Instituto emita al respecto, dichas condiciones se atenderán de manera conjunta.</w:t>
      </w:r>
    </w:p>
    <w:p w14:paraId="1228435D" w14:textId="77777777" w:rsidR="008509EB" w:rsidRPr="008509EB" w:rsidRDefault="00C01F93" w:rsidP="008509EB">
      <w:pPr>
        <w:spacing w:before="240" w:after="240"/>
        <w:jc w:val="both"/>
        <w:rPr>
          <w:rFonts w:ascii="ITC Avant Garde" w:hAnsi="ITC Avant Garde"/>
        </w:rPr>
      </w:pPr>
      <w:r w:rsidRPr="008509EB">
        <w:rPr>
          <w:rFonts w:ascii="ITC Avant Garde" w:eastAsia="Times New Roman" w:hAnsi="ITC Avant Garde"/>
        </w:rPr>
        <w:t xml:space="preserve">Ahora bien, por lo que hace </w:t>
      </w:r>
      <w:r w:rsidRPr="008509EB">
        <w:rPr>
          <w:rFonts w:ascii="ITC Avant Garde" w:hAnsi="ITC Avant Garde" w:cs="Arial"/>
        </w:rPr>
        <w:t xml:space="preserve">al título de concesión de Axtel, para instalar, operar y explotar una red pública de telecomunicaciones para prestar, entre otros, el servicio público de telefonía básica de larga distancia nacional e internacional, es preciso mencionar que en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de 2014 en el DOF, estableció </w:t>
      </w:r>
      <w:r w:rsidRPr="008509EB">
        <w:rPr>
          <w:rFonts w:ascii="ITC Avant Garde" w:hAnsi="ITC Avant Garde"/>
        </w:rPr>
        <w:t>en su disposición Sexta lo siguiente:</w:t>
      </w:r>
    </w:p>
    <w:p w14:paraId="628D910A" w14:textId="77777777" w:rsidR="008509EB" w:rsidRPr="008509EB" w:rsidRDefault="00C01F93" w:rsidP="008509EB">
      <w:pPr>
        <w:spacing w:before="240" w:after="240"/>
        <w:ind w:left="567" w:right="615"/>
        <w:jc w:val="both"/>
        <w:rPr>
          <w:rFonts w:ascii="ITC Avant Garde" w:hAnsi="ITC Avant Garde"/>
          <w:iCs/>
          <w:sz w:val="18"/>
          <w:szCs w:val="18"/>
        </w:rPr>
      </w:pPr>
      <w:r w:rsidRPr="008509EB">
        <w:rPr>
          <w:rFonts w:ascii="ITC Avant Garde" w:hAnsi="ITC Avant Garde"/>
          <w:iCs/>
          <w:sz w:val="18"/>
          <w:szCs w:val="18"/>
        </w:rPr>
        <w:t>“</w:t>
      </w:r>
      <w:r w:rsidRPr="008509EB">
        <w:rPr>
          <w:rFonts w:ascii="ITC Avant Garde" w:hAnsi="ITC Avant Garde"/>
          <w:b/>
          <w:bCs/>
          <w:iCs/>
          <w:sz w:val="18"/>
          <w:szCs w:val="18"/>
        </w:rPr>
        <w:t>Sexta.</w:t>
      </w:r>
      <w:r w:rsidRPr="008509EB">
        <w:rPr>
          <w:rFonts w:ascii="ITC Avant Garde" w:hAnsi="ITC Avant Garde"/>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2A11A454" w14:textId="77777777" w:rsidR="008509EB" w:rsidRPr="008509EB" w:rsidRDefault="00C01F93" w:rsidP="008509EB">
      <w:pPr>
        <w:pStyle w:val="Textoindependiente"/>
        <w:spacing w:before="240" w:after="240" w:line="276" w:lineRule="auto"/>
        <w:rPr>
          <w:rFonts w:ascii="ITC Avant Garde" w:hAnsi="ITC Avant Garde"/>
        </w:rPr>
      </w:pPr>
      <w:r w:rsidRPr="008509EB">
        <w:rPr>
          <w:rFonts w:ascii="ITC Avant Garde" w:hAnsi="ITC Avant Garde"/>
        </w:rPr>
        <w:t xml:space="preserve">En este sentido se observa que a partir de la entrada en vigor del citado acuerdo, Axtel </w:t>
      </w:r>
      <w:r w:rsidR="00857736" w:rsidRPr="008509EB">
        <w:rPr>
          <w:rFonts w:ascii="ITC Avant Garde" w:hAnsi="ITC Avant Garde"/>
        </w:rPr>
        <w:t>qued</w:t>
      </w:r>
      <w:r w:rsidR="00045EE5" w:rsidRPr="008509EB">
        <w:rPr>
          <w:rFonts w:ascii="ITC Avant Garde" w:hAnsi="ITC Avant Garde"/>
        </w:rPr>
        <w:t>ó autorizada</w:t>
      </w:r>
      <w:r w:rsidRPr="008509EB">
        <w:rPr>
          <w:rFonts w:ascii="ITC Avant Garde" w:hAnsi="ITC Avant Garde"/>
        </w:rPr>
        <w:t xml:space="preserve"> para prestar el servicio local mediante su concesión de larga distancia, es así que al poder prestar el servicio local mediante la concesión citada, este Instituto considera que la tarifa que se determine para terminación de tráfico en la red local de Mega Cable, engloba el tráfico de servicio local que se pueda prestar mediante la</w:t>
      </w:r>
      <w:r w:rsidR="00857736" w:rsidRPr="008509EB">
        <w:rPr>
          <w:rFonts w:ascii="ITC Avant Garde" w:hAnsi="ITC Avant Garde"/>
        </w:rPr>
        <w:t>s</w:t>
      </w:r>
      <w:r w:rsidRPr="008509EB">
        <w:rPr>
          <w:rFonts w:ascii="ITC Avant Garde" w:hAnsi="ITC Avant Garde"/>
        </w:rPr>
        <w:t xml:space="preserve"> citada</w:t>
      </w:r>
      <w:r w:rsidR="00857736" w:rsidRPr="008509EB">
        <w:rPr>
          <w:rFonts w:ascii="ITC Avant Garde" w:hAnsi="ITC Avant Garde"/>
        </w:rPr>
        <w:t>s</w:t>
      </w:r>
      <w:r w:rsidRPr="008509EB">
        <w:rPr>
          <w:rFonts w:ascii="ITC Avant Garde" w:hAnsi="ITC Avant Garde"/>
        </w:rPr>
        <w:t xml:space="preserve"> </w:t>
      </w:r>
      <w:r w:rsidR="00857736" w:rsidRPr="008509EB">
        <w:rPr>
          <w:rFonts w:ascii="ITC Avant Garde" w:hAnsi="ITC Avant Garde"/>
        </w:rPr>
        <w:t xml:space="preserve">concesiones </w:t>
      </w:r>
      <w:r w:rsidRPr="008509EB">
        <w:rPr>
          <w:rFonts w:ascii="ITC Avant Garde" w:hAnsi="ITC Avant Garde"/>
        </w:rPr>
        <w:t>de larga distancia.</w:t>
      </w:r>
    </w:p>
    <w:p w14:paraId="244D6414" w14:textId="77777777" w:rsidR="008509EB" w:rsidRPr="008509EB" w:rsidRDefault="00A50C4B" w:rsidP="008509EB">
      <w:pPr>
        <w:spacing w:before="240" w:after="240"/>
        <w:jc w:val="both"/>
        <w:rPr>
          <w:rFonts w:ascii="ITC Avant Garde" w:hAnsi="ITC Avant Garde"/>
        </w:rPr>
      </w:pPr>
      <w:r w:rsidRPr="008509EB">
        <w:rPr>
          <w:rFonts w:ascii="ITC Avant Garde" w:eastAsia="Times New Roman" w:hAnsi="ITC Avant Garde"/>
          <w:lang w:val="es-ES" w:eastAsia="es-ES"/>
        </w:rPr>
        <w:t xml:space="preserve">En virtud de lo anterior, las condiciones no convenidas planteadas por las partes </w:t>
      </w:r>
      <w:r w:rsidRPr="008509EB">
        <w:rPr>
          <w:rFonts w:ascii="ITC Avant Garde" w:hAnsi="ITC Avant Garde"/>
        </w:rPr>
        <w:t>sobre las cuales se pronunciará el Instituto, son las siguientes:</w:t>
      </w:r>
    </w:p>
    <w:p w14:paraId="0492C7AF" w14:textId="77777777" w:rsidR="008509EB" w:rsidRPr="008509EB" w:rsidRDefault="00BA323A" w:rsidP="008509EB">
      <w:pPr>
        <w:numPr>
          <w:ilvl w:val="0"/>
          <w:numId w:val="29"/>
        </w:numPr>
        <w:spacing w:before="240" w:after="240"/>
        <w:jc w:val="both"/>
        <w:rPr>
          <w:rFonts w:ascii="ITC Avant Garde" w:eastAsia="Times New Roman" w:hAnsi="ITC Avant Garde"/>
          <w:lang w:eastAsia="es-ES"/>
        </w:rPr>
      </w:pPr>
      <w:r w:rsidRPr="008509EB">
        <w:rPr>
          <w:rFonts w:ascii="ITC Avant Garde" w:hAnsi="ITC Avant Garde"/>
        </w:rPr>
        <w:t>La tarifa de interconexión por servicios de terminación del Servicio Local en usuarios fijos que Axtel y Mega Cable se deberán pagar de manera recíproca, para el periodo comprendido del 1 de enero de 2017 al 31 de diciembre de 2017.</w:t>
      </w:r>
    </w:p>
    <w:p w14:paraId="2D113651" w14:textId="77777777" w:rsidR="008509EB" w:rsidRPr="008509EB" w:rsidRDefault="004C714B" w:rsidP="008509EB">
      <w:pPr>
        <w:numPr>
          <w:ilvl w:val="0"/>
          <w:numId w:val="29"/>
        </w:numPr>
        <w:spacing w:before="240" w:after="240"/>
        <w:jc w:val="both"/>
        <w:rPr>
          <w:rFonts w:ascii="ITC Avant Garde" w:eastAsia="Times New Roman" w:hAnsi="ITC Avant Garde"/>
          <w:lang w:eastAsia="es-ES"/>
        </w:rPr>
      </w:pPr>
      <w:r w:rsidRPr="008509EB">
        <w:rPr>
          <w:rFonts w:ascii="ITC Avant Garde" w:eastAsia="Times New Roman" w:hAnsi="ITC Avant Garde"/>
          <w:szCs w:val="24"/>
          <w:lang w:eastAsia="es-ES"/>
        </w:rPr>
        <w:t>Forma de tasación del tráfico t</w:t>
      </w:r>
      <w:r w:rsidR="00477CB6" w:rsidRPr="008509EB">
        <w:rPr>
          <w:rFonts w:ascii="ITC Avant Garde" w:eastAsia="Times New Roman" w:hAnsi="ITC Avant Garde"/>
          <w:szCs w:val="24"/>
          <w:lang w:eastAsia="es-ES"/>
        </w:rPr>
        <w:t xml:space="preserve">erminado en las redes de Axtel </w:t>
      </w:r>
      <w:r w:rsidRPr="008509EB">
        <w:rPr>
          <w:rFonts w:ascii="ITC Avant Garde" w:eastAsia="Times New Roman" w:hAnsi="ITC Avant Garde"/>
          <w:szCs w:val="24"/>
          <w:lang w:eastAsia="es-ES"/>
        </w:rPr>
        <w:t xml:space="preserve">y </w:t>
      </w:r>
      <w:r w:rsidR="00477CB6" w:rsidRPr="008509EB">
        <w:rPr>
          <w:rFonts w:ascii="ITC Avant Garde" w:eastAsia="Times New Roman" w:hAnsi="ITC Avant Garde"/>
          <w:szCs w:val="24"/>
          <w:lang w:eastAsia="es-ES"/>
        </w:rPr>
        <w:t>Mega Cable</w:t>
      </w:r>
      <w:r w:rsidRPr="008509EB">
        <w:rPr>
          <w:rFonts w:ascii="ITC Avant Garde" w:eastAsia="Times New Roman" w:hAnsi="ITC Avant Garde"/>
          <w:szCs w:val="24"/>
          <w:lang w:eastAsia="es-ES"/>
        </w:rPr>
        <w:t>.</w:t>
      </w:r>
    </w:p>
    <w:p w14:paraId="09C13563" w14:textId="77777777" w:rsidR="008509EB" w:rsidRPr="008509EB" w:rsidRDefault="00BA323A" w:rsidP="008509EB">
      <w:pPr>
        <w:spacing w:before="240" w:after="240"/>
        <w:jc w:val="both"/>
        <w:rPr>
          <w:rFonts w:ascii="ITC Avant Garde" w:hAnsi="ITC Avant Garde" w:cs="Arial"/>
          <w:lang w:val="es-ES"/>
        </w:rPr>
      </w:pPr>
      <w:r w:rsidRPr="008509EB">
        <w:rPr>
          <w:rFonts w:ascii="ITC Avant Garde" w:eastAsia="Times New Roman" w:hAnsi="ITC Avant Garde"/>
        </w:rPr>
        <w:t>Previ</w:t>
      </w:r>
      <w:r w:rsidR="001472B8" w:rsidRPr="008509EB">
        <w:rPr>
          <w:rFonts w:ascii="ITC Avant Garde" w:eastAsia="Times New Roman" w:hAnsi="ITC Avant Garde"/>
        </w:rPr>
        <w:t>amente</w:t>
      </w:r>
      <w:r w:rsidRPr="008509EB">
        <w:rPr>
          <w:rFonts w:ascii="ITC Avant Garde" w:eastAsia="Times New Roman" w:hAnsi="ITC Avant Garde"/>
        </w:rPr>
        <w:t xml:space="preserve"> al análisis de las condiciones no convenidas, el Instituto procede, en primera instancia, a analizar específicamente las argumentaciones generales de Axtel en relación con el presente procedimiento, para posteriormente resolver sobre </w:t>
      </w:r>
      <w:r w:rsidRPr="008509EB">
        <w:rPr>
          <w:rFonts w:ascii="ITC Avant Garde" w:hAnsi="ITC Avant Garde" w:cs="Arial"/>
          <w:lang w:val="es-ES"/>
        </w:rPr>
        <w:t>aquellos puntos de desacuerdo que en materia de interconexión fueron sometidos por las partes.</w:t>
      </w:r>
    </w:p>
    <w:p w14:paraId="641CADA4" w14:textId="77777777" w:rsidR="008509EB" w:rsidRPr="008509EB" w:rsidRDefault="00BA323A" w:rsidP="008509EB">
      <w:pPr>
        <w:widowControl w:val="0"/>
        <w:tabs>
          <w:tab w:val="center" w:pos="4419"/>
          <w:tab w:val="right" w:pos="8838"/>
        </w:tabs>
        <w:spacing w:before="240" w:after="240"/>
        <w:rPr>
          <w:rFonts w:ascii="ITC Avant Garde" w:hAnsi="ITC Avant Garde"/>
          <w:b/>
        </w:rPr>
      </w:pPr>
      <w:r w:rsidRPr="008509EB">
        <w:rPr>
          <w:rFonts w:ascii="ITC Avant Garde" w:hAnsi="ITC Avant Garde"/>
          <w:b/>
        </w:rPr>
        <w:t xml:space="preserve">A. Comentarios al Modelo de Costos del Instituto. </w:t>
      </w:r>
    </w:p>
    <w:p w14:paraId="61E088DB" w14:textId="77777777" w:rsidR="008509EB" w:rsidRPr="008509EB" w:rsidRDefault="00BA323A" w:rsidP="008509EB">
      <w:pPr>
        <w:spacing w:before="240" w:after="240"/>
        <w:jc w:val="both"/>
        <w:rPr>
          <w:rFonts w:ascii="ITC Avant Garde" w:eastAsia="Times New Roman" w:hAnsi="ITC Avant Garde"/>
          <w:b/>
        </w:rPr>
      </w:pPr>
      <w:r w:rsidRPr="008509EB">
        <w:rPr>
          <w:rFonts w:ascii="ITC Avant Garde" w:eastAsia="Times New Roman" w:hAnsi="ITC Avant Garde"/>
          <w:b/>
        </w:rPr>
        <w:t>Argumentos de las partes</w:t>
      </w:r>
    </w:p>
    <w:p w14:paraId="5BA1F55E" w14:textId="77777777" w:rsidR="008509EB" w:rsidRPr="008509EB" w:rsidRDefault="00BA323A" w:rsidP="008509EB">
      <w:pPr>
        <w:pStyle w:val="Prrafodelista"/>
        <w:spacing w:before="240" w:after="240" w:line="276" w:lineRule="auto"/>
        <w:ind w:left="0"/>
        <w:rPr>
          <w:rFonts w:ascii="ITC Avant Garde" w:hAnsi="ITC Avant Garde" w:cs="Arial"/>
          <w:lang w:val="es-ES"/>
        </w:rPr>
      </w:pPr>
      <w:r w:rsidRPr="008509EB">
        <w:rPr>
          <w:rFonts w:ascii="ITC Avant Garde" w:hAnsi="ITC Avant Garde"/>
        </w:rPr>
        <w:t xml:space="preserve">Axtel </w:t>
      </w:r>
      <w:r w:rsidRPr="008509EB">
        <w:rPr>
          <w:rFonts w:ascii="ITC Avant Garde" w:hAnsi="ITC Avant Garde" w:cs="Arial"/>
          <w:lang w:val="es-ES"/>
        </w:rPr>
        <w:t>realiza diversas manifestaciones acerca del Modelo de Costos del Instituto donde argumenta que hay una abrupta reducción de las tarifas de interconexión para los años 2015 y 2016 que las coloca por debajo de los costos de prestar el servicio debido a que se modela un operador hipotético que tiene mayores similitudes con el A</w:t>
      </w:r>
      <w:r w:rsidR="002E4220" w:rsidRPr="008509EB">
        <w:rPr>
          <w:rFonts w:ascii="ITC Avant Garde" w:hAnsi="ITC Avant Garde" w:cs="Arial"/>
          <w:lang w:val="es-ES"/>
        </w:rPr>
        <w:t xml:space="preserve">gente </w:t>
      </w:r>
      <w:r w:rsidRPr="008509EB">
        <w:rPr>
          <w:rFonts w:ascii="ITC Avant Garde" w:hAnsi="ITC Avant Garde" w:cs="Arial"/>
          <w:lang w:val="es-ES"/>
        </w:rPr>
        <w:t>E</w:t>
      </w:r>
      <w:r w:rsidR="002E4220" w:rsidRPr="008509EB">
        <w:rPr>
          <w:rFonts w:ascii="ITC Avant Garde" w:hAnsi="ITC Avant Garde" w:cs="Arial"/>
          <w:lang w:val="es-ES"/>
        </w:rPr>
        <w:t xml:space="preserve">conómico </w:t>
      </w:r>
      <w:r w:rsidRPr="008509EB">
        <w:rPr>
          <w:rFonts w:ascii="ITC Avant Garde" w:hAnsi="ITC Avant Garde" w:cs="Arial"/>
          <w:lang w:val="es-ES"/>
        </w:rPr>
        <w:t>P</w:t>
      </w:r>
      <w:r w:rsidR="002E4220" w:rsidRPr="008509EB">
        <w:rPr>
          <w:rFonts w:ascii="ITC Avant Garde" w:hAnsi="ITC Avant Garde" w:cs="Arial"/>
          <w:lang w:val="es-ES"/>
        </w:rPr>
        <w:t>reponderante</w:t>
      </w:r>
      <w:r w:rsidRPr="008509EB">
        <w:rPr>
          <w:rFonts w:ascii="ITC Avant Garde" w:hAnsi="ITC Avant Garde" w:cs="Arial"/>
          <w:lang w:val="es-ES"/>
        </w:rPr>
        <w:t xml:space="preserve"> que con los demás operadores, </w:t>
      </w:r>
      <w:r w:rsidR="008D47DD" w:rsidRPr="008509EB">
        <w:rPr>
          <w:rFonts w:ascii="ITC Avant Garde" w:hAnsi="ITC Avant Garde" w:cs="Arial"/>
          <w:lang w:val="es-ES"/>
        </w:rPr>
        <w:t>pues incluye el</w:t>
      </w:r>
      <w:r w:rsidRPr="008509EB">
        <w:rPr>
          <w:rFonts w:ascii="ITC Avant Garde" w:hAnsi="ITC Avant Garde" w:cs="Arial"/>
          <w:lang w:val="es-ES"/>
        </w:rPr>
        <w:t xml:space="preserve"> diseño de una red </w:t>
      </w:r>
      <w:r w:rsidR="008D47DD" w:rsidRPr="008509EB">
        <w:rPr>
          <w:rFonts w:ascii="ITC Avant Garde" w:hAnsi="ITC Avant Garde" w:cs="Arial"/>
          <w:lang w:val="es-ES"/>
        </w:rPr>
        <w:t xml:space="preserve">de nueva generación </w:t>
      </w:r>
      <w:r w:rsidRPr="008509EB">
        <w:rPr>
          <w:rFonts w:ascii="ITC Avant Garde" w:hAnsi="ITC Avant Garde" w:cs="Arial"/>
          <w:lang w:val="es-ES"/>
        </w:rPr>
        <w:t xml:space="preserve">(NGN) y la inclusión </w:t>
      </w:r>
      <w:r w:rsidR="008D47DD" w:rsidRPr="008509EB">
        <w:rPr>
          <w:rFonts w:ascii="ITC Avant Garde" w:hAnsi="ITC Avant Garde" w:cs="Arial"/>
          <w:lang w:val="es-ES"/>
        </w:rPr>
        <w:t>como definición de tarifa de interconexión el</w:t>
      </w:r>
      <w:r w:rsidR="00AA328C" w:rsidRPr="008509EB">
        <w:rPr>
          <w:rFonts w:ascii="ITC Avant Garde" w:hAnsi="ITC Avant Garde" w:cs="Arial"/>
          <w:lang w:val="es-ES"/>
        </w:rPr>
        <w:t xml:space="preserve"> LRIC P</w:t>
      </w:r>
      <w:r w:rsidRPr="008509EB">
        <w:rPr>
          <w:rFonts w:ascii="ITC Avant Garde" w:hAnsi="ITC Avant Garde" w:cs="Arial"/>
          <w:lang w:val="es-ES"/>
        </w:rPr>
        <w:t>uro.</w:t>
      </w:r>
    </w:p>
    <w:p w14:paraId="4354A203" w14:textId="77777777" w:rsidR="008509EB" w:rsidRPr="008509EB" w:rsidRDefault="00BA323A" w:rsidP="008509EB">
      <w:pPr>
        <w:pStyle w:val="Prrafodelista"/>
        <w:spacing w:before="240" w:after="240" w:line="276" w:lineRule="auto"/>
        <w:ind w:left="0"/>
        <w:rPr>
          <w:rFonts w:ascii="ITC Avant Garde" w:hAnsi="ITC Avant Garde" w:cs="Arial"/>
          <w:lang w:val="es-ES"/>
        </w:rPr>
      </w:pPr>
      <w:r w:rsidRPr="008509EB">
        <w:rPr>
          <w:rFonts w:ascii="ITC Avant Garde" w:hAnsi="ITC Avant Garde" w:cs="Arial"/>
          <w:lang w:val="es-ES"/>
        </w:rPr>
        <w:t>Asimismo, menciona que el Costo de Capital Promedio Ponderado (en lo sucesivo, “CCPP”) debe incrementarse de 7.0% a 9.0% y el tipo de cambio que debe utilizarse es el de la encuesta realizada por el Banco de México a especialistas en economía del sector privado, añade que en la última encuesta reportada el tipo de cambio estimado promedio para el 2017 es 17.2 pesos.</w:t>
      </w:r>
    </w:p>
    <w:p w14:paraId="1F93C78C" w14:textId="77777777" w:rsidR="008509EB" w:rsidRPr="008509EB" w:rsidRDefault="00BA323A" w:rsidP="008509EB">
      <w:pPr>
        <w:spacing w:before="240" w:after="240"/>
        <w:jc w:val="both"/>
        <w:rPr>
          <w:rFonts w:ascii="ITC Avant Garde" w:eastAsia="Times New Roman" w:hAnsi="ITC Avant Garde"/>
        </w:rPr>
      </w:pPr>
      <w:r w:rsidRPr="008509EB">
        <w:rPr>
          <w:rFonts w:ascii="ITC Avant Garde" w:eastAsia="Times New Roman" w:hAnsi="ITC Avant Garde"/>
        </w:rPr>
        <w:t xml:space="preserve">Menciona </w:t>
      </w:r>
      <w:r w:rsidR="00B76EF3" w:rsidRPr="008509EB">
        <w:rPr>
          <w:rFonts w:ascii="ITC Avant Garde" w:eastAsia="Times New Roman" w:hAnsi="ITC Avant Garde"/>
        </w:rPr>
        <w:t xml:space="preserve">Axtel </w:t>
      </w:r>
      <w:r w:rsidRPr="008509EB">
        <w:rPr>
          <w:rFonts w:ascii="ITC Avant Garde" w:eastAsia="Times New Roman" w:hAnsi="ITC Avant Garde"/>
        </w:rPr>
        <w:t>que el modelo empleado por el Instituto considera variables diversas para la determinación de la tarifa para el servicio fijo a las utilizadas para la determinación de la tarifa del servicio móvil, sin justificar mediante una correcta fundamentación y motivación la disparidad de criterios para la determinación de las tarifas entre tales servicios.</w:t>
      </w:r>
    </w:p>
    <w:p w14:paraId="58F0324D" w14:textId="77777777" w:rsidR="008509EB" w:rsidRPr="008509EB" w:rsidRDefault="00BA323A" w:rsidP="008509EB">
      <w:pPr>
        <w:spacing w:before="240" w:after="240"/>
        <w:jc w:val="both"/>
        <w:rPr>
          <w:rFonts w:ascii="ITC Avant Garde" w:eastAsia="Times New Roman" w:hAnsi="ITC Avant Garde"/>
        </w:rPr>
      </w:pPr>
      <w:r w:rsidRPr="008509EB">
        <w:rPr>
          <w:rFonts w:ascii="ITC Avant Garde" w:eastAsia="Times New Roman" w:hAnsi="ITC Avant Garde"/>
        </w:rPr>
        <w:t>Como ejemplo de lo anterior, Axtel señala que mientras para la tarifa de interconexión fija se contempla la tecnología de nueva generación (NGN), para la tarifa de interconexión móvil se consideran tecnologías de redes menos avanzadas como 2G y 3G. Asimismo, mencionan que para la determinación de la tarifa para el servicio móvil se toma en cuenta el costo de la llamada en el usuario final mientras que en la tarifa del servicio fijo no se toma en cuenta. Finalmente, Axtel señala que mientras para la tarifa móvil se toma en cuenta el costo del espectro para la tarifa fija no, situación que al conjuntarse con lo señalado anteriormente, origina una disparidad de costos de donde que la tarifa fija resulta menor que la móvil.</w:t>
      </w:r>
    </w:p>
    <w:p w14:paraId="0DD00179" w14:textId="77777777" w:rsidR="008509EB" w:rsidRPr="008509EB" w:rsidRDefault="00BA323A" w:rsidP="008509EB">
      <w:pPr>
        <w:spacing w:before="240" w:after="240"/>
        <w:jc w:val="both"/>
        <w:rPr>
          <w:rFonts w:ascii="ITC Avant Garde" w:eastAsia="Times New Roman" w:hAnsi="ITC Avant Garde"/>
          <w:b/>
        </w:rPr>
      </w:pPr>
      <w:r w:rsidRPr="008509EB">
        <w:rPr>
          <w:rFonts w:ascii="ITC Avant Garde" w:eastAsia="Times New Roman" w:hAnsi="ITC Avant Garde"/>
          <w:b/>
        </w:rPr>
        <w:t>Consideraciones del Instituto</w:t>
      </w:r>
    </w:p>
    <w:p w14:paraId="31E85364" w14:textId="77777777" w:rsidR="008509EB" w:rsidRPr="008509EB" w:rsidRDefault="00BA323A" w:rsidP="008509EB">
      <w:pPr>
        <w:spacing w:before="240" w:after="240"/>
        <w:jc w:val="both"/>
        <w:rPr>
          <w:rFonts w:ascii="ITC Avant Garde" w:hAnsi="ITC Avant Garde"/>
        </w:rPr>
      </w:pPr>
      <w:r w:rsidRPr="008509EB">
        <w:rPr>
          <w:rFonts w:ascii="ITC Avant Garde" w:hAnsi="ITC Avant Garde"/>
        </w:rPr>
        <w:t>Con relación a la utilización de un operador hipotético y la inclusión de LRIC puro, debe decirse que dicha determinación formó parte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y el Modelo de Costos.</w:t>
      </w:r>
    </w:p>
    <w:p w14:paraId="38ACA065" w14:textId="77777777" w:rsidR="008509EB" w:rsidRPr="008509EB" w:rsidRDefault="00BA323A" w:rsidP="008509EB">
      <w:pPr>
        <w:spacing w:before="240" w:after="240"/>
        <w:jc w:val="both"/>
        <w:rPr>
          <w:rFonts w:ascii="ITC Avant Garde" w:eastAsia="Times New Roman" w:hAnsi="ITC Avant Garde"/>
        </w:rPr>
      </w:pPr>
      <w:r w:rsidRPr="008509EB">
        <w:rPr>
          <w:rFonts w:ascii="ITC Avant Garde" w:eastAsia="Times New Roman" w:hAnsi="ITC Avant Garde"/>
        </w:rPr>
        <w:t>No obstante lo anterior, respecto a los niveles que variables como el CCPP y el tipo de cambio deben mantener vigentes para el año 2017, se menciona que el lineamiento Décimo Tercero de la Metodología de Costos, establece que:</w:t>
      </w:r>
    </w:p>
    <w:p w14:paraId="6DF89818" w14:textId="77777777" w:rsidR="008509EB" w:rsidRPr="008509EB" w:rsidRDefault="00BA323A" w:rsidP="008509EB">
      <w:pPr>
        <w:spacing w:before="240" w:after="240"/>
        <w:ind w:left="567" w:right="899"/>
        <w:jc w:val="both"/>
        <w:rPr>
          <w:rFonts w:ascii="ITC Avant Garde" w:eastAsia="Times New Roman" w:hAnsi="ITC Avant Garde"/>
          <w:sz w:val="18"/>
          <w:szCs w:val="18"/>
        </w:rPr>
      </w:pPr>
      <w:r w:rsidRPr="008509EB">
        <w:rPr>
          <w:rFonts w:ascii="ITC Avant Garde" w:eastAsia="Times New Roman" w:hAnsi="ITC Avant Garde"/>
          <w:sz w:val="18"/>
          <w:szCs w:val="18"/>
        </w:rPr>
        <w:t>“</w:t>
      </w:r>
      <w:r w:rsidRPr="008509EB">
        <w:rPr>
          <w:rFonts w:ascii="ITC Avant Garde" w:eastAsia="Times New Roman" w:hAnsi="ITC Avant Garde"/>
          <w:b/>
          <w:sz w:val="18"/>
          <w:szCs w:val="18"/>
        </w:rPr>
        <w:t>DÉCIMO TERCERO.-</w:t>
      </w:r>
      <w:r w:rsidRPr="008509EB">
        <w:rPr>
          <w:rFonts w:ascii="ITC Avant Garde" w:eastAsia="Times New Roman" w:hAnsi="ITC Avant Garde"/>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2A82F548" w14:textId="77777777" w:rsidR="008509EB" w:rsidRPr="008509EB" w:rsidRDefault="00BA323A" w:rsidP="008509EB">
      <w:pPr>
        <w:spacing w:before="240" w:after="240"/>
        <w:jc w:val="both"/>
        <w:rPr>
          <w:rFonts w:ascii="ITC Avant Garde" w:eastAsia="Times New Roman" w:hAnsi="ITC Avant Garde"/>
        </w:rPr>
      </w:pPr>
      <w:r w:rsidRPr="008509EB">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4EDFA59F" w14:textId="77777777" w:rsidR="008509EB" w:rsidRPr="008509EB" w:rsidRDefault="00BA323A" w:rsidP="008509EB">
      <w:pPr>
        <w:pStyle w:val="Texto0"/>
        <w:spacing w:before="240" w:after="240" w:line="276" w:lineRule="auto"/>
        <w:ind w:left="567" w:right="615" w:firstLine="0"/>
        <w:rPr>
          <w:rFonts w:ascii="ITC Avant Garde" w:hAnsi="ITC Avant Garde"/>
        </w:rPr>
      </w:pPr>
      <w:r w:rsidRPr="008509EB">
        <w:rPr>
          <w:rFonts w:ascii="ITC Avant Garde" w:hAnsi="ITC Avant Garde"/>
          <w:b/>
        </w:rPr>
        <w:t>“QUINTO.-</w:t>
      </w:r>
      <w:r w:rsidRPr="008509EB">
        <w:rPr>
          <w:rFonts w:ascii="ITC Avant Garde" w:hAnsi="ITC Avant Garde"/>
        </w:rPr>
        <w:t xml:space="preserve"> </w:t>
      </w:r>
      <w:r w:rsidRPr="008509EB">
        <w:rPr>
          <w:rFonts w:ascii="ITC Avant Garde" w:hAnsi="ITC Avant Garde"/>
          <w:b/>
        </w:rPr>
        <w:t>Modelos de Costos.</w:t>
      </w:r>
      <w:r w:rsidRPr="008509EB">
        <w:rPr>
          <w:rFonts w:ascii="ITC Avant Garde" w:hAnsi="ITC Avant Garde"/>
        </w:rPr>
        <w:t xml:space="preserve"> De conformidad con lo señalado en los Lineamientos Tercero y Cuarto de la Metodología de Costos 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14:paraId="0CFBDDBA" w14:textId="77777777" w:rsidR="008509EB" w:rsidRPr="008509EB" w:rsidRDefault="00BA323A" w:rsidP="008509EB">
      <w:pPr>
        <w:pStyle w:val="Texto0"/>
        <w:spacing w:before="240" w:after="240" w:line="276" w:lineRule="auto"/>
        <w:ind w:left="567" w:right="615" w:firstLine="0"/>
        <w:rPr>
          <w:rFonts w:ascii="ITC Avant Garde" w:hAnsi="ITC Avant Garde"/>
        </w:rPr>
      </w:pPr>
      <w:r w:rsidRPr="008509EB">
        <w:rPr>
          <w:rFonts w:ascii="ITC Avant Garde" w:hAnsi="ITC Avant Garde"/>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05B587F7" w14:textId="77777777" w:rsidR="008509EB" w:rsidRPr="008509EB" w:rsidRDefault="00BA323A" w:rsidP="008509EB">
      <w:pPr>
        <w:spacing w:before="240" w:after="240"/>
        <w:jc w:val="both"/>
        <w:rPr>
          <w:rFonts w:ascii="ITC Avant Garde" w:eastAsia="Times New Roman" w:hAnsi="ITC Avant Garde"/>
        </w:rPr>
      </w:pPr>
      <w:r w:rsidRPr="008509EB">
        <w:rPr>
          <w:rFonts w:ascii="ITC Avant Garde" w:eastAsia="Times New Roman" w:hAnsi="ITC Avant Garde"/>
        </w:rPr>
        <w:t>Es decir, l</w:t>
      </w:r>
      <w:r w:rsidRPr="008509EB">
        <w:rPr>
          <w:rFonts w:ascii="ITC Avant Garde" w:hAnsi="ITC Avant Garde"/>
        </w:rPr>
        <w:t xml:space="preserve">os puntos planteados por Axtel en el presente procedimiento, fueron analizados por el Instituto como parte del procedimiento para la emisión del Acuerdo de CTM y Tarifas 2017, por lo que </w:t>
      </w:r>
      <w:r w:rsidRPr="008509EB">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180CEB15" w14:textId="77777777" w:rsidR="008509EB" w:rsidRPr="008509EB" w:rsidRDefault="00BA323A" w:rsidP="008509EB">
      <w:pPr>
        <w:pStyle w:val="Textoindependiente"/>
        <w:spacing w:before="240" w:after="240" w:line="276" w:lineRule="auto"/>
        <w:rPr>
          <w:rFonts w:ascii="ITC Avant Garde" w:hAnsi="ITC Avant Garde" w:cs="Arial"/>
          <w:bCs/>
        </w:rPr>
      </w:pPr>
      <w:r w:rsidRPr="008509EB">
        <w:rPr>
          <w:rFonts w:ascii="ITC Avant Garde" w:hAnsi="ITC Avant Garde"/>
          <w:szCs w:val="24"/>
          <w:lang w:eastAsia="es-ES"/>
        </w:rPr>
        <w:t>Por lo que hace a las diversas manifestaciones de Axtel referente</w:t>
      </w:r>
      <w:r w:rsidR="007E360C" w:rsidRPr="008509EB">
        <w:rPr>
          <w:rFonts w:ascii="ITC Avant Garde" w:hAnsi="ITC Avant Garde"/>
          <w:szCs w:val="24"/>
          <w:lang w:eastAsia="es-ES"/>
        </w:rPr>
        <w:t>s</w:t>
      </w:r>
      <w:r w:rsidRPr="008509EB">
        <w:rPr>
          <w:rFonts w:ascii="ITC Avant Garde" w:hAnsi="ITC Avant Garde"/>
          <w:szCs w:val="24"/>
          <w:lang w:eastAsia="es-ES"/>
        </w:rPr>
        <w:t xml:space="preserve"> a las diferencias entre el modelo móvil con respecto al fijo que supuestamente origina una disparidad de costos y de tarifas ilegal</w:t>
      </w:r>
      <w:r w:rsidR="00FD39D2" w:rsidRPr="008509EB">
        <w:rPr>
          <w:rFonts w:ascii="ITC Avant Garde" w:hAnsi="ITC Avant Garde"/>
          <w:szCs w:val="24"/>
          <w:lang w:eastAsia="es-ES"/>
        </w:rPr>
        <w:t>es</w:t>
      </w:r>
      <w:r w:rsidRPr="008509EB">
        <w:rPr>
          <w:rFonts w:ascii="ITC Avant Garde" w:hAnsi="ITC Avant Garde"/>
          <w:szCs w:val="24"/>
          <w:lang w:eastAsia="es-ES"/>
        </w:rPr>
        <w:t>, se menciona que dichos señalamientos</w:t>
      </w:r>
      <w:r w:rsidRPr="008509EB">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0B9DAA9F" w14:textId="77777777" w:rsidR="008509EB" w:rsidRPr="008509EB" w:rsidRDefault="00BA323A" w:rsidP="008509EB">
      <w:pPr>
        <w:pStyle w:val="Textoindependiente"/>
        <w:spacing w:before="240" w:after="240" w:line="276" w:lineRule="auto"/>
        <w:rPr>
          <w:rFonts w:ascii="ITC Avant Garde" w:hAnsi="ITC Avant Garde" w:cs="Arial"/>
          <w:bCs/>
        </w:rPr>
      </w:pPr>
      <w:r w:rsidRPr="008509EB">
        <w:rPr>
          <w:rFonts w:ascii="ITC Avant Garde" w:hAnsi="ITC Avant Garde" w:cs="Arial"/>
          <w:bCs/>
        </w:rPr>
        <w:t>En el caso de las redes fijas se decidió modelar una red troncal basada en redes de nueva generación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14:paraId="3E7DBD29" w14:textId="77777777" w:rsidR="008509EB" w:rsidRPr="008509EB" w:rsidRDefault="00BA323A" w:rsidP="008509EB">
      <w:pPr>
        <w:spacing w:before="240" w:after="240"/>
        <w:jc w:val="both"/>
        <w:rPr>
          <w:rFonts w:ascii="ITC Avant Garde" w:eastAsia="Times New Roman" w:hAnsi="ITC Avant Garde"/>
          <w:lang w:eastAsia="es-ES"/>
        </w:rPr>
      </w:pPr>
      <w:r w:rsidRPr="008509EB">
        <w:rPr>
          <w:rFonts w:ascii="ITC Avant Garde" w:eastAsia="Times New Roman" w:hAnsi="ITC Avant Garde"/>
          <w:lang w:eastAsia="es-ES"/>
        </w:rPr>
        <w:t xml:space="preserve">Una vez analizadas las manifestaciones generales </w:t>
      </w:r>
      <w:r w:rsidR="005F5B05" w:rsidRPr="008509EB">
        <w:rPr>
          <w:rFonts w:ascii="ITC Avant Garde" w:eastAsia="Times New Roman" w:hAnsi="ITC Avant Garde"/>
          <w:lang w:eastAsia="es-ES"/>
        </w:rPr>
        <w:t>de Axtel</w:t>
      </w:r>
      <w:r w:rsidRPr="008509EB">
        <w:rPr>
          <w:rFonts w:ascii="ITC Avant Garde" w:eastAsia="Times New Roman" w:hAnsi="ITC Avant Garde"/>
          <w:lang w:eastAsia="es-ES"/>
        </w:rPr>
        <w:t xml:space="preserve">, en términos del artículo 129 de la </w:t>
      </w:r>
      <w:proofErr w:type="spellStart"/>
      <w:r w:rsidRPr="008509EB">
        <w:rPr>
          <w:rFonts w:ascii="ITC Avant Garde" w:eastAsia="Times New Roman" w:hAnsi="ITC Avant Garde"/>
          <w:lang w:eastAsia="es-ES"/>
        </w:rPr>
        <w:t>LFTyR</w:t>
      </w:r>
      <w:proofErr w:type="spellEnd"/>
      <w:r w:rsidRPr="008509EB">
        <w:rPr>
          <w:rFonts w:ascii="ITC Avant Garde" w:eastAsia="Times New Roman" w:hAnsi="ITC Avant Garde"/>
          <w:lang w:eastAsia="es-ES"/>
        </w:rPr>
        <w:t xml:space="preserve"> se procede</w:t>
      </w:r>
      <w:r w:rsidR="005F5B05" w:rsidRPr="008509EB">
        <w:rPr>
          <w:rFonts w:ascii="ITC Avant Garde" w:eastAsia="Times New Roman" w:hAnsi="ITC Avant Garde"/>
          <w:lang w:eastAsia="es-ES"/>
        </w:rPr>
        <w:t xml:space="preserve"> </w:t>
      </w:r>
      <w:r w:rsidRPr="008509EB">
        <w:rPr>
          <w:rFonts w:ascii="ITC Avant Garde" w:eastAsia="Times New Roman" w:hAnsi="ITC Avant Garde"/>
          <w:lang w:eastAsia="es-ES"/>
        </w:rPr>
        <w:t>a resolver sobre las condiciones no convenidas.</w:t>
      </w:r>
    </w:p>
    <w:p w14:paraId="2A92AE25" w14:textId="77777777" w:rsidR="008509EB" w:rsidRPr="008509EB" w:rsidRDefault="00B15D4E" w:rsidP="008509EB">
      <w:pPr>
        <w:pStyle w:val="Prrafodelista"/>
        <w:numPr>
          <w:ilvl w:val="0"/>
          <w:numId w:val="30"/>
        </w:numPr>
        <w:spacing w:before="240" w:after="240" w:line="276" w:lineRule="auto"/>
        <w:jc w:val="left"/>
        <w:rPr>
          <w:rFonts w:ascii="ITC Avant Garde" w:hAnsi="ITC Avant Garde"/>
        </w:rPr>
      </w:pPr>
      <w:r w:rsidRPr="008509EB">
        <w:rPr>
          <w:rFonts w:ascii="ITC Avant Garde" w:hAnsi="ITC Avant Garde"/>
          <w:b/>
          <w:lang w:val="es-ES"/>
        </w:rPr>
        <w:t>Tarifas de Interconexión</w:t>
      </w:r>
    </w:p>
    <w:p w14:paraId="314E99E7" w14:textId="77777777" w:rsidR="008509EB" w:rsidRPr="008509EB" w:rsidRDefault="00803153" w:rsidP="008509EB">
      <w:pPr>
        <w:spacing w:before="240" w:after="240"/>
        <w:jc w:val="both"/>
        <w:rPr>
          <w:rFonts w:ascii="ITC Avant Garde" w:eastAsia="Times New Roman" w:hAnsi="ITC Avant Garde"/>
          <w:b/>
          <w:szCs w:val="24"/>
          <w:lang w:eastAsia="es-ES"/>
        </w:rPr>
      </w:pPr>
      <w:r w:rsidRPr="008509EB">
        <w:rPr>
          <w:rFonts w:ascii="ITC Avant Garde" w:eastAsia="Times New Roman" w:hAnsi="ITC Avant Garde"/>
          <w:b/>
          <w:szCs w:val="24"/>
          <w:lang w:eastAsia="es-ES"/>
        </w:rPr>
        <w:t>Argumentos de las partes</w:t>
      </w:r>
    </w:p>
    <w:p w14:paraId="01198891" w14:textId="582F8001" w:rsidR="00875E5C" w:rsidRPr="008509EB" w:rsidRDefault="00875E5C" w:rsidP="008509EB">
      <w:pPr>
        <w:pStyle w:val="Textoindependiente"/>
        <w:spacing w:before="240" w:after="240" w:line="276" w:lineRule="auto"/>
        <w:rPr>
          <w:rFonts w:ascii="ITC Avant Garde" w:eastAsia="Calibri" w:hAnsi="ITC Avant Garde"/>
          <w:spacing w:val="-4"/>
          <w:szCs w:val="22"/>
          <w:lang w:val="es-ES_tradnl"/>
        </w:rPr>
      </w:pPr>
      <w:r w:rsidRPr="008509EB">
        <w:rPr>
          <w:rFonts w:ascii="ITC Avant Garde" w:eastAsia="Calibri" w:hAnsi="ITC Avant Garde"/>
          <w:spacing w:val="-4"/>
          <w:szCs w:val="22"/>
          <w:lang w:val="es-ES_tradnl"/>
        </w:rPr>
        <w:t>Axtel solicita que la tarifa de interconexión por servicios de terminación del servicio local fijo para el periodo comprendido del 1 de enero al 31 de diciembre de 2017 sea de $0.003088 M.N. por minuto de interconexión.</w:t>
      </w:r>
    </w:p>
    <w:p w14:paraId="6C417A32" w14:textId="77777777" w:rsidR="008509EB" w:rsidRPr="008509EB" w:rsidRDefault="004A6557" w:rsidP="008509EB">
      <w:pPr>
        <w:pStyle w:val="Textoindependiente"/>
        <w:spacing w:before="240" w:after="240" w:line="276" w:lineRule="auto"/>
        <w:rPr>
          <w:rFonts w:ascii="ITC Avant Garde" w:eastAsia="Calibri" w:hAnsi="ITC Avant Garde"/>
          <w:spacing w:val="-4"/>
          <w:szCs w:val="22"/>
        </w:rPr>
      </w:pPr>
      <w:r w:rsidRPr="008509EB">
        <w:rPr>
          <w:rFonts w:ascii="ITC Avant Garde" w:eastAsia="Calibri" w:hAnsi="ITC Avant Garde"/>
          <w:spacing w:val="-4"/>
          <w:szCs w:val="22"/>
          <w:lang w:val="es-ES_tradnl"/>
        </w:rPr>
        <w:t>Asimismo, Axtel solicita que la m</w:t>
      </w:r>
      <w:r w:rsidRPr="008509EB">
        <w:rPr>
          <w:rFonts w:ascii="ITC Avant Garde" w:eastAsia="Calibri" w:hAnsi="ITC Avant Garde"/>
          <w:spacing w:val="-4"/>
          <w:szCs w:val="22"/>
        </w:rPr>
        <w:t>edición de tráfico terminado en la red Local Fijo de Mega Cable, sea con base en la duración real de las llamadas, sin redondear al minuto, debiendo para tal efecto sumar la duración de todas las llamadas completadas en el periodo de facturación correspondiente, medidas en segundos, y multiplicando los minutos equivalentes a dicha suma por la tarifa correspondiente.</w:t>
      </w:r>
    </w:p>
    <w:p w14:paraId="590074CA" w14:textId="77777777" w:rsidR="008509EB" w:rsidRPr="008509EB" w:rsidRDefault="00875E5C" w:rsidP="008509EB">
      <w:pPr>
        <w:spacing w:before="240" w:after="240"/>
        <w:jc w:val="both"/>
        <w:rPr>
          <w:rFonts w:ascii="ITC Avant Garde" w:hAnsi="ITC Avant Garde"/>
          <w:spacing w:val="-4"/>
          <w:lang w:val="es-ES_tradnl"/>
        </w:rPr>
      </w:pPr>
      <w:r w:rsidRPr="008509EB">
        <w:rPr>
          <w:rFonts w:ascii="ITC Avant Garde" w:hAnsi="ITC Avant Garde"/>
          <w:spacing w:val="-4"/>
          <w:lang w:val="es-ES_tradnl"/>
        </w:rPr>
        <w:t xml:space="preserve">Por su parte, Mega Cable </w:t>
      </w:r>
      <w:r w:rsidR="00FD39D2" w:rsidRPr="008509EB">
        <w:rPr>
          <w:rFonts w:ascii="ITC Avant Garde" w:hAnsi="ITC Avant Garde"/>
          <w:spacing w:val="-4"/>
          <w:lang w:val="es-ES_tradnl"/>
        </w:rPr>
        <w:t>solicita</w:t>
      </w:r>
      <w:r w:rsidRPr="008509EB">
        <w:rPr>
          <w:rFonts w:ascii="ITC Avant Garde" w:hAnsi="ITC Avant Garde"/>
          <w:spacing w:val="-4"/>
          <w:lang w:val="es-ES_tradnl"/>
        </w:rPr>
        <w:t xml:space="preserve"> que la fijación de tarifas atienda a las máximas de la </w:t>
      </w:r>
      <w:proofErr w:type="spellStart"/>
      <w:r w:rsidRPr="008509EB">
        <w:rPr>
          <w:rFonts w:ascii="ITC Avant Garde" w:hAnsi="ITC Avant Garde"/>
          <w:spacing w:val="-4"/>
          <w:lang w:val="es-ES_tradnl"/>
        </w:rPr>
        <w:t>LFTyR</w:t>
      </w:r>
      <w:proofErr w:type="spellEnd"/>
      <w:r w:rsidRPr="008509EB">
        <w:rPr>
          <w:rFonts w:ascii="ITC Avant Garde" w:hAnsi="ITC Avant Garde"/>
          <w:spacing w:val="-4"/>
          <w:lang w:val="es-ES_tradnl"/>
        </w:rPr>
        <w:t>, así como el acuerdo P/IFT/200916/503, para fijar los términos, condiciones y tarifas aplicables para el periodo de tarifas del 01 de enero al 31 de diciembre de 2017.</w:t>
      </w:r>
    </w:p>
    <w:p w14:paraId="26BFAC32" w14:textId="77777777" w:rsidR="008509EB" w:rsidRPr="008509EB" w:rsidRDefault="008E2F2D" w:rsidP="008509EB">
      <w:pPr>
        <w:spacing w:before="240" w:after="240"/>
        <w:ind w:right="48"/>
        <w:jc w:val="both"/>
        <w:rPr>
          <w:rFonts w:ascii="ITC Avant Garde" w:hAnsi="ITC Avant Garde"/>
          <w:b/>
        </w:rPr>
      </w:pPr>
      <w:r w:rsidRPr="008509EB">
        <w:rPr>
          <w:rFonts w:ascii="ITC Avant Garde" w:hAnsi="ITC Avant Garde"/>
          <w:b/>
        </w:rPr>
        <w:t xml:space="preserve">Consideraciones del Instituto </w:t>
      </w:r>
    </w:p>
    <w:p w14:paraId="35C20CA7" w14:textId="77777777" w:rsidR="008509EB" w:rsidRPr="008509EB" w:rsidRDefault="006E7664" w:rsidP="008509EB">
      <w:pPr>
        <w:spacing w:before="240" w:after="240"/>
        <w:jc w:val="both"/>
        <w:rPr>
          <w:rFonts w:ascii="ITC Avant Garde" w:hAnsi="ITC Avant Garde" w:cs="Arial"/>
        </w:rPr>
      </w:pPr>
      <w:r w:rsidRPr="008509EB">
        <w:rPr>
          <w:rFonts w:ascii="ITC Avant Garde" w:hAnsi="ITC Avant Garde" w:cs="Arial"/>
        </w:rPr>
        <w:t>P</w:t>
      </w:r>
      <w:r w:rsidR="001073D7" w:rsidRPr="008509EB">
        <w:rPr>
          <w:rFonts w:ascii="ITC Avant Garde" w:hAnsi="ITC Avant Garde" w:cs="Arial"/>
        </w:rPr>
        <w:t xml:space="preserve">ara la determinación de las tarifas de interconexión en las redes públicas de telecomunicaciones de </w:t>
      </w:r>
      <w:r w:rsidRPr="008509EB">
        <w:rPr>
          <w:rFonts w:ascii="ITC Avant Garde" w:hAnsi="ITC Avant Garde"/>
          <w:bCs/>
          <w:lang w:val="es-ES"/>
        </w:rPr>
        <w:t>Axtel y Mega Cable</w:t>
      </w:r>
      <w:r w:rsidR="001073D7" w:rsidRPr="008509EB">
        <w:rPr>
          <w:rFonts w:ascii="ITC Avant Garde" w:hAnsi="ITC Avant Garde" w:cs="Arial"/>
        </w:rPr>
        <w:t xml:space="preserve">, se debe considerar que la propia </w:t>
      </w:r>
      <w:proofErr w:type="spellStart"/>
      <w:r w:rsidR="001073D7" w:rsidRPr="008509EB">
        <w:rPr>
          <w:rFonts w:ascii="ITC Avant Garde" w:hAnsi="ITC Avant Garde" w:cs="Arial"/>
        </w:rPr>
        <w:t>LFTyR</w:t>
      </w:r>
      <w:proofErr w:type="spellEnd"/>
      <w:r w:rsidR="001073D7" w:rsidRPr="008509EB">
        <w:rPr>
          <w:rFonts w:ascii="ITC Avant Garde" w:hAnsi="ITC Avant Garde" w:cs="Arial"/>
        </w:rPr>
        <w:t xml:space="preserve"> establece el marco normativo y regulatorio aplicable para la fijación de las tarifas de interconexión.</w:t>
      </w:r>
    </w:p>
    <w:p w14:paraId="0480BB9C" w14:textId="77777777" w:rsidR="008509EB" w:rsidRPr="008509EB" w:rsidRDefault="001073D7" w:rsidP="008509EB">
      <w:pPr>
        <w:widowControl w:val="0"/>
        <w:spacing w:before="240" w:after="240"/>
        <w:jc w:val="both"/>
        <w:rPr>
          <w:rFonts w:ascii="ITC Avant Garde" w:hAnsi="ITC Avant Garde" w:cs="Arial"/>
        </w:rPr>
      </w:pPr>
      <w:r w:rsidRPr="008509EB">
        <w:rPr>
          <w:rFonts w:ascii="ITC Avant Garde" w:eastAsia="Times New Roman" w:hAnsi="ITC Avant Garde" w:cs="Arial"/>
        </w:rPr>
        <w:t xml:space="preserve">A tal efecto, </w:t>
      </w:r>
      <w:r w:rsidRPr="008509EB">
        <w:rPr>
          <w:rFonts w:ascii="ITC Avant Garde" w:hAnsi="ITC Avant Garde" w:cs="Arial"/>
        </w:rPr>
        <w:t xml:space="preserve">el artículo 131 de la </w:t>
      </w:r>
      <w:proofErr w:type="spellStart"/>
      <w:r w:rsidRPr="008509EB">
        <w:rPr>
          <w:rFonts w:ascii="ITC Avant Garde" w:hAnsi="ITC Avant Garde" w:cs="Arial"/>
        </w:rPr>
        <w:t>LFTyR</w:t>
      </w:r>
      <w:proofErr w:type="spellEnd"/>
      <w:r w:rsidRPr="008509EB">
        <w:rPr>
          <w:rFonts w:ascii="ITC Avant Garde" w:hAnsi="ITC Avant Garde" w:cs="Arial"/>
        </w:rPr>
        <w:t xml:space="preserve"> dispone lo siguiente:</w:t>
      </w:r>
    </w:p>
    <w:p w14:paraId="69A6A1B7"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sz w:val="18"/>
          <w:szCs w:val="18"/>
        </w:rPr>
        <w:t>“</w:t>
      </w:r>
      <w:r w:rsidRPr="008509EB">
        <w:rPr>
          <w:rFonts w:ascii="ITC Avant Garde" w:hAnsi="ITC Avant Garde" w:cs="Arial"/>
          <w:b/>
          <w:sz w:val="18"/>
          <w:szCs w:val="18"/>
        </w:rPr>
        <w:t>Artículo 131.</w:t>
      </w:r>
      <w:r w:rsidRPr="008509EB">
        <w:rPr>
          <w:rFonts w:ascii="ITC Avant Garde" w:hAnsi="ITC Avant Garde" w:cs="Arial"/>
          <w:sz w:val="18"/>
          <w:szCs w:val="18"/>
        </w:rPr>
        <w:t xml:space="preserve"> […]</w:t>
      </w:r>
    </w:p>
    <w:p w14:paraId="10956FFE"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sz w:val="18"/>
          <w:szCs w:val="18"/>
        </w:rPr>
        <w:t>[…]</w:t>
      </w:r>
    </w:p>
    <w:p w14:paraId="432BCADB" w14:textId="3896E9D5" w:rsidR="001073D7"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b/>
          <w:sz w:val="18"/>
          <w:szCs w:val="18"/>
        </w:rPr>
        <w:t>b)</w:t>
      </w:r>
      <w:r w:rsidRPr="008509EB">
        <w:rPr>
          <w:rFonts w:ascii="ITC Avant Garde" w:hAnsi="ITC Avant Garde" w:cs="Arial"/>
          <w:sz w:val="18"/>
          <w:szCs w:val="18"/>
        </w:rPr>
        <w:t xml:space="preserve"> Para el tráfico que termine en la red de los demás concesionarios, la tarifa de interconexión será negociada libremente.</w:t>
      </w:r>
    </w:p>
    <w:p w14:paraId="2D86246D"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96D55D4"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50DB39D"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770AF013"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sz w:val="18"/>
          <w:szCs w:val="18"/>
        </w:rPr>
        <w:t>[…]”</w:t>
      </w:r>
    </w:p>
    <w:p w14:paraId="6170C95A" w14:textId="77777777" w:rsidR="008509EB" w:rsidRPr="008509EB" w:rsidRDefault="001073D7" w:rsidP="008509EB">
      <w:pPr>
        <w:spacing w:before="240" w:after="240"/>
        <w:ind w:right="20"/>
        <w:jc w:val="both"/>
        <w:rPr>
          <w:rFonts w:ascii="ITC Avant Garde" w:hAnsi="ITC Avant Garde" w:cs="Arial"/>
        </w:rPr>
      </w:pPr>
      <w:r w:rsidRPr="008509EB">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BB3CE10" w14:textId="77777777" w:rsidR="008509EB" w:rsidRPr="008509EB" w:rsidRDefault="001073D7" w:rsidP="008509EB">
      <w:pPr>
        <w:spacing w:before="240" w:after="240"/>
        <w:ind w:right="20"/>
        <w:jc w:val="both"/>
        <w:rPr>
          <w:rFonts w:ascii="ITC Avant Garde" w:hAnsi="ITC Avant Garde" w:cs="Arial"/>
        </w:rPr>
      </w:pPr>
      <w:r w:rsidRPr="008509EB">
        <w:rPr>
          <w:rFonts w:ascii="ITC Avant Garde" w:hAnsi="ITC Avant Garde" w:cs="Arial"/>
        </w:rPr>
        <w:t xml:space="preserve">En este orden de ideas, el artículo 137 de la </w:t>
      </w:r>
      <w:proofErr w:type="spellStart"/>
      <w:r w:rsidRPr="008509EB">
        <w:rPr>
          <w:rFonts w:ascii="ITC Avant Garde" w:hAnsi="ITC Avant Garde" w:cs="Arial"/>
        </w:rPr>
        <w:t>LFTyR</w:t>
      </w:r>
      <w:proofErr w:type="spellEnd"/>
      <w:r w:rsidRPr="008509EB">
        <w:rPr>
          <w:rFonts w:ascii="ITC Avant Garde" w:hAnsi="ITC Avant Garde" w:cs="Arial"/>
        </w:rPr>
        <w:t xml:space="preserve"> señala a la letra lo siguiente:</w:t>
      </w:r>
    </w:p>
    <w:p w14:paraId="5EF9F6A4" w14:textId="77777777" w:rsidR="008509EB" w:rsidRPr="008509EB" w:rsidRDefault="001073D7" w:rsidP="008509EB">
      <w:pPr>
        <w:spacing w:before="240" w:after="240"/>
        <w:ind w:left="567" w:right="615"/>
        <w:jc w:val="both"/>
        <w:rPr>
          <w:rFonts w:ascii="ITC Avant Garde" w:hAnsi="ITC Avant Garde" w:cs="Arial"/>
          <w:sz w:val="18"/>
          <w:szCs w:val="18"/>
        </w:rPr>
      </w:pPr>
      <w:r w:rsidRPr="008509EB">
        <w:rPr>
          <w:rFonts w:ascii="ITC Avant Garde" w:hAnsi="ITC Avant Garde" w:cs="Arial"/>
          <w:b/>
          <w:sz w:val="18"/>
          <w:szCs w:val="18"/>
        </w:rPr>
        <w:t>“Artículo 137.</w:t>
      </w:r>
      <w:r w:rsidRPr="008509EB">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C399FC1" w14:textId="77777777" w:rsidR="008509EB" w:rsidRPr="008509EB" w:rsidRDefault="001073D7" w:rsidP="008509EB">
      <w:pPr>
        <w:spacing w:before="240" w:after="240"/>
        <w:ind w:right="20"/>
        <w:jc w:val="both"/>
        <w:rPr>
          <w:rFonts w:ascii="ITC Avant Garde" w:eastAsia="Times New Roman" w:hAnsi="ITC Avant Garde" w:cs="Arial"/>
        </w:rPr>
      </w:pPr>
      <w:r w:rsidRPr="008509EB">
        <w:rPr>
          <w:rFonts w:ascii="ITC Avant Garde" w:eastAsia="Times New Roman" w:hAnsi="ITC Avant Garde" w:cs="Arial"/>
        </w:rPr>
        <w:t>En apego a dicha metodología y en cumplimiento a lo establecido en el artículo 137, el Instituto publicó en el DOF el 3 de octubre de 2016</w:t>
      </w:r>
      <w:r w:rsidR="006E7664" w:rsidRPr="008509EB">
        <w:rPr>
          <w:rFonts w:ascii="ITC Avant Garde" w:eastAsia="Times New Roman" w:hAnsi="ITC Avant Garde" w:cs="Arial"/>
        </w:rPr>
        <w:t>,</w:t>
      </w:r>
      <w:r w:rsidRPr="008509EB">
        <w:rPr>
          <w:rFonts w:ascii="ITC Avant Garde" w:eastAsia="Times New Roman" w:hAnsi="ITC Avant Garde" w:cs="Arial"/>
        </w:rPr>
        <w:t xml:space="preserve"> el </w:t>
      </w:r>
      <w:r w:rsidRPr="008509EB">
        <w:rPr>
          <w:rFonts w:ascii="ITC Avant Garde" w:eastAsia="Times New Roman" w:hAnsi="ITC Avant Garde"/>
          <w:szCs w:val="24"/>
          <w:lang w:val="es-ES" w:eastAsia="es-ES"/>
        </w:rPr>
        <w:t>Acuerdo de CTM y Tarifas 2017</w:t>
      </w:r>
      <w:r w:rsidRPr="008509EB">
        <w:rPr>
          <w:rFonts w:ascii="ITC Avant Garde" w:eastAsia="Times New Roman" w:hAnsi="ITC Avant Garde" w:cs="Arial"/>
        </w:rPr>
        <w:t>, respectivamente,</w:t>
      </w:r>
      <w:r w:rsidR="006E7664" w:rsidRPr="008509EB">
        <w:rPr>
          <w:rFonts w:ascii="ITC Avant Garde" w:eastAsia="Times New Roman" w:hAnsi="ITC Avant Garde" w:cs="Arial"/>
        </w:rPr>
        <w:t xml:space="preserve">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C51C2F6" w14:textId="77777777" w:rsidR="008509EB" w:rsidRPr="008509EB" w:rsidRDefault="00875E5C" w:rsidP="008509EB">
      <w:pPr>
        <w:spacing w:before="240" w:after="240"/>
        <w:ind w:right="20"/>
        <w:jc w:val="both"/>
        <w:rPr>
          <w:rFonts w:ascii="ITC Avant Garde" w:eastAsia="Times New Roman" w:hAnsi="ITC Avant Garde" w:cs="Arial"/>
        </w:rPr>
      </w:pPr>
      <w:r w:rsidRPr="008509EB">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1E334F8E" w14:textId="77777777" w:rsidR="008509EB" w:rsidRPr="008509EB" w:rsidRDefault="00875E5C" w:rsidP="008509EB">
      <w:pPr>
        <w:spacing w:before="240" w:after="240"/>
        <w:ind w:right="20"/>
        <w:jc w:val="both"/>
        <w:rPr>
          <w:rFonts w:ascii="ITC Avant Garde" w:hAnsi="ITC Avant Garde" w:cs="Arial"/>
        </w:rPr>
      </w:pPr>
      <w:r w:rsidRPr="008509EB">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65D5F7B7" w14:textId="37B10C58" w:rsidR="0023419F" w:rsidRPr="008509EB" w:rsidRDefault="00B43CF2" w:rsidP="008509EB">
      <w:pPr>
        <w:spacing w:before="240" w:after="240"/>
        <w:jc w:val="both"/>
        <w:rPr>
          <w:rFonts w:ascii="ITC Avant Garde" w:hAnsi="ITC Avant Garde"/>
          <w:spacing w:val="-4"/>
          <w:lang w:val="es-ES"/>
        </w:rPr>
      </w:pPr>
      <w:bookmarkStart w:id="2" w:name="vitalimportancia"/>
      <w:r w:rsidRPr="008509EB">
        <w:rPr>
          <w:rFonts w:ascii="ITC Avant Garde" w:hAnsi="ITC Avant Garde" w:cs="Arial"/>
        </w:rPr>
        <w:t xml:space="preserve">En tal virtud, la tarifa por los Servicios de Interconexión que </w:t>
      </w:r>
      <w:r w:rsidR="00875E5C" w:rsidRPr="008509EB">
        <w:rPr>
          <w:rFonts w:ascii="ITC Avant Garde" w:hAnsi="ITC Avant Garde" w:cs="Arial"/>
        </w:rPr>
        <w:t>Axtel y Mega Cable</w:t>
      </w:r>
      <w:r w:rsidR="00541D5A" w:rsidRPr="008509EB">
        <w:rPr>
          <w:rFonts w:ascii="ITC Avant Garde" w:hAnsi="ITC Avant Garde" w:cs="Arial"/>
        </w:rPr>
        <w:t xml:space="preserve"> </w:t>
      </w:r>
      <w:r w:rsidR="0023419F" w:rsidRPr="008509EB">
        <w:rPr>
          <w:rFonts w:ascii="ITC Avant Garde" w:hAnsi="ITC Avant Garde" w:cs="Arial"/>
        </w:rPr>
        <w:t>deberá</w:t>
      </w:r>
      <w:r w:rsidR="00541D5A" w:rsidRPr="008509EB">
        <w:rPr>
          <w:rFonts w:ascii="ITC Avant Garde" w:hAnsi="ITC Avant Garde" w:cs="Arial"/>
        </w:rPr>
        <w:t>n</w:t>
      </w:r>
      <w:r w:rsidRPr="008509EB">
        <w:rPr>
          <w:rFonts w:ascii="ITC Avant Garde" w:hAnsi="ITC Avant Garde" w:cs="Arial"/>
        </w:rPr>
        <w:t xml:space="preserve"> pagar</w:t>
      </w:r>
      <w:r w:rsidR="00541D5A" w:rsidRPr="008509EB">
        <w:rPr>
          <w:rFonts w:ascii="ITC Avant Garde" w:hAnsi="ITC Avant Garde" w:cs="Arial"/>
        </w:rPr>
        <w:t>se</w:t>
      </w:r>
      <w:r w:rsidRPr="008509EB">
        <w:rPr>
          <w:rFonts w:ascii="ITC Avant Garde" w:hAnsi="ITC Avant Garde" w:cs="Arial"/>
        </w:rPr>
        <w:t xml:space="preserve"> </w:t>
      </w:r>
      <w:r w:rsidR="00541D5A" w:rsidRPr="008509EB">
        <w:rPr>
          <w:rFonts w:ascii="ITC Avant Garde" w:hAnsi="ITC Avant Garde" w:cs="Arial"/>
        </w:rPr>
        <w:t>de manera recíproca</w:t>
      </w:r>
      <w:r w:rsidRPr="008509EB">
        <w:rPr>
          <w:rFonts w:ascii="ITC Avant Garde" w:hAnsi="ITC Avant Garde" w:cs="Arial"/>
        </w:rPr>
        <w:t xml:space="preserve"> por los servicios </w:t>
      </w:r>
      <w:r w:rsidR="0087101D" w:rsidRPr="008509EB">
        <w:rPr>
          <w:rFonts w:ascii="ITC Avant Garde" w:hAnsi="ITC Avant Garde" w:cs="Arial"/>
        </w:rPr>
        <w:t xml:space="preserve">de </w:t>
      </w:r>
      <w:r w:rsidR="0087101D" w:rsidRPr="008509EB">
        <w:rPr>
          <w:rFonts w:ascii="ITC Avant Garde" w:hAnsi="ITC Avant Garde"/>
          <w:spacing w:val="-4"/>
          <w:lang w:val="es-ES"/>
        </w:rPr>
        <w:t>terminación</w:t>
      </w:r>
      <w:r w:rsidR="0023419F" w:rsidRPr="008509EB">
        <w:rPr>
          <w:rFonts w:ascii="ITC Avant Garde" w:hAnsi="ITC Avant Garde"/>
          <w:spacing w:val="-4"/>
          <w:lang w:val="es-ES"/>
        </w:rPr>
        <w:t xml:space="preserve"> del servicio local en usuarios </w:t>
      </w:r>
      <w:r w:rsidR="001C0C25" w:rsidRPr="008509EB">
        <w:rPr>
          <w:rFonts w:ascii="ITC Avant Garde" w:hAnsi="ITC Avant Garde"/>
          <w:spacing w:val="-4"/>
          <w:lang w:val="es-ES"/>
        </w:rPr>
        <w:t>fijos</w:t>
      </w:r>
      <w:r w:rsidR="0023419F" w:rsidRPr="008509EB">
        <w:rPr>
          <w:rFonts w:ascii="ITC Avant Garde" w:hAnsi="ITC Avant Garde"/>
          <w:spacing w:val="-4"/>
          <w:lang w:val="es-ES"/>
        </w:rPr>
        <w:t>, será la siguiente:</w:t>
      </w:r>
    </w:p>
    <w:bookmarkEnd w:id="2"/>
    <w:p w14:paraId="0F1975E1" w14:textId="77777777" w:rsidR="008509EB" w:rsidRPr="008509EB" w:rsidRDefault="0023419F" w:rsidP="008509EB">
      <w:pPr>
        <w:pStyle w:val="Prrafodelista"/>
        <w:numPr>
          <w:ilvl w:val="0"/>
          <w:numId w:val="17"/>
        </w:numPr>
        <w:spacing w:before="240" w:after="240" w:line="276" w:lineRule="auto"/>
        <w:ind w:left="426"/>
        <w:rPr>
          <w:rFonts w:ascii="ITC Avant Garde" w:hAnsi="ITC Avant Garde"/>
          <w:b/>
          <w:spacing w:val="-4"/>
          <w:lang w:val="es-ES_tradnl"/>
        </w:rPr>
      </w:pPr>
      <w:r w:rsidRPr="008509EB">
        <w:rPr>
          <w:rFonts w:ascii="ITC Avant Garde" w:hAnsi="ITC Avant Garde"/>
          <w:b/>
          <w:spacing w:val="-4"/>
          <w:lang w:val="es-ES_tradnl"/>
        </w:rPr>
        <w:t>Del 1 de enero al 31 de diciembre de 2017, $0.003094 pesos M.N. por minuto de interconexión.</w:t>
      </w:r>
    </w:p>
    <w:p w14:paraId="4F06D91A" w14:textId="77777777" w:rsidR="008509EB" w:rsidRPr="008509EB" w:rsidRDefault="00875E5C" w:rsidP="008509EB">
      <w:pPr>
        <w:spacing w:before="240" w:after="240"/>
        <w:jc w:val="both"/>
        <w:rPr>
          <w:rFonts w:ascii="ITC Avant Garde" w:hAnsi="ITC Avant Garde" w:cs="Arial"/>
        </w:rPr>
      </w:pPr>
      <w:r w:rsidRPr="008509EB">
        <w:rPr>
          <w:rFonts w:ascii="ITC Avant Garde" w:hAnsi="ITC Avant Garde" w:cs="Arial"/>
        </w:rPr>
        <w:t>La tarifa anterior ya incluye el costo correspondiente a los puertos necesarios para la interconexión.</w:t>
      </w:r>
    </w:p>
    <w:p w14:paraId="6F083B96" w14:textId="77777777" w:rsidR="008509EB" w:rsidRPr="008509EB" w:rsidRDefault="00875E5C" w:rsidP="008509EB">
      <w:pPr>
        <w:spacing w:before="240" w:after="240"/>
        <w:jc w:val="both"/>
        <w:rPr>
          <w:rFonts w:ascii="ITC Avant Garde" w:hAnsi="ITC Avant Garde" w:cs="Arial"/>
        </w:rPr>
      </w:pPr>
      <w:r w:rsidRPr="008509EB">
        <w:rPr>
          <w:rFonts w:ascii="ITC Avant Garde" w:hAnsi="ITC Avant Garde" w:cs="Arial"/>
        </w:rPr>
        <w:t>Asimismo, e</w:t>
      </w:r>
      <w:r w:rsidR="0023419F" w:rsidRPr="008509EB">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C74D9B9" w14:textId="77777777" w:rsidR="008509EB" w:rsidRPr="008509EB" w:rsidRDefault="00C3592A" w:rsidP="008509EB">
      <w:pPr>
        <w:spacing w:before="240" w:after="240"/>
        <w:jc w:val="both"/>
        <w:rPr>
          <w:rFonts w:ascii="ITC Avant Garde" w:hAnsi="ITC Avant Garde" w:cs="Arial"/>
        </w:rPr>
      </w:pPr>
      <w:r w:rsidRPr="008509EB">
        <w:rPr>
          <w:rFonts w:ascii="ITC Avant Garde" w:hAnsi="ITC Avant Garde" w:cs="Arial"/>
        </w:rPr>
        <w:t>En virtud de lo</w:t>
      </w:r>
      <w:r w:rsidR="008E2F2D" w:rsidRPr="008509EB">
        <w:rPr>
          <w:rFonts w:ascii="ITC Avant Garde" w:hAnsi="ITC Avant Garde" w:cs="Arial"/>
        </w:rPr>
        <w:t xml:space="preserve">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8E2F2D" w:rsidRPr="008509EB">
        <w:rPr>
          <w:rFonts w:ascii="ITC Avant Garde" w:hAnsi="ITC Avant Garde" w:cs="Arial"/>
        </w:rPr>
        <w:t>LFTyR</w:t>
      </w:r>
      <w:proofErr w:type="spellEnd"/>
      <w:r w:rsidR="008E2F2D" w:rsidRPr="008509EB">
        <w:rPr>
          <w:rFonts w:ascii="ITC Avant Garde" w:hAnsi="ITC Avant Garde" w:cs="Arial"/>
        </w:rPr>
        <w:t>, la presente Resolución será inscrita en el Registro Público de Telecomunicaciones a cargo del propio Instituto.</w:t>
      </w:r>
    </w:p>
    <w:p w14:paraId="68F7B0F4" w14:textId="77777777" w:rsidR="008509EB" w:rsidRPr="008509EB" w:rsidRDefault="008E2F2D" w:rsidP="008509EB">
      <w:pPr>
        <w:spacing w:before="240" w:after="240"/>
        <w:jc w:val="both"/>
        <w:rPr>
          <w:rFonts w:ascii="ITC Avant Garde" w:hAnsi="ITC Avant Garde" w:cs="Arial"/>
        </w:rPr>
      </w:pPr>
      <w:r w:rsidRPr="008509EB">
        <w:rPr>
          <w:rFonts w:ascii="ITC Avant Garde" w:hAnsi="ITC Avant Garde" w:cs="Arial"/>
        </w:rPr>
        <w:t xml:space="preserve">Lo anterior, sin perjuicio de que </w:t>
      </w:r>
      <w:r w:rsidR="008B3F62" w:rsidRPr="008509EB">
        <w:rPr>
          <w:rFonts w:ascii="ITC Avant Garde" w:hAnsi="ITC Avant Garde" w:cs="Arial"/>
        </w:rPr>
        <w:t>Axtel y Mega Cable</w:t>
      </w:r>
      <w:r w:rsidR="00FC39AE" w:rsidRPr="008509EB">
        <w:rPr>
          <w:rFonts w:ascii="ITC Avant Garde" w:eastAsia="Times New Roman" w:hAnsi="ITC Avant Garde"/>
          <w:lang w:val="es-ES" w:eastAsia="es-ES"/>
        </w:rPr>
        <w:t xml:space="preserve"> formalicen</w:t>
      </w:r>
      <w:r w:rsidRPr="008509EB">
        <w:rPr>
          <w:rFonts w:ascii="ITC Avant Garde" w:hAnsi="ITC Avant Garde" w:cs="Arial"/>
        </w:rPr>
        <w:t xml:space="preserve">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w:t>
      </w:r>
      <w:r w:rsidR="008B3F62" w:rsidRPr="008509EB">
        <w:rPr>
          <w:rFonts w:ascii="ITC Avant Garde" w:hAnsi="ITC Avant Garde" w:cs="Arial"/>
        </w:rPr>
        <w:t xml:space="preserve">dispuesto por los artículos 128, 176 </w:t>
      </w:r>
      <w:r w:rsidRPr="008509EB">
        <w:rPr>
          <w:rFonts w:ascii="ITC Avant Garde" w:hAnsi="ITC Avant Garde" w:cs="Arial"/>
        </w:rPr>
        <w:t xml:space="preserve">y 177, fracción VII de la </w:t>
      </w:r>
      <w:proofErr w:type="spellStart"/>
      <w:r w:rsidRPr="008509EB">
        <w:rPr>
          <w:rFonts w:ascii="ITC Avant Garde" w:hAnsi="ITC Avant Garde" w:cs="Arial"/>
        </w:rPr>
        <w:t>LFTyR</w:t>
      </w:r>
      <w:proofErr w:type="spellEnd"/>
      <w:r w:rsidRPr="008509EB">
        <w:rPr>
          <w:rFonts w:ascii="ITC Avant Garde" w:hAnsi="ITC Avant Garde" w:cs="Arial"/>
        </w:rPr>
        <w:t>.</w:t>
      </w:r>
    </w:p>
    <w:p w14:paraId="74B32814" w14:textId="77777777" w:rsidR="008509EB" w:rsidRPr="008509EB" w:rsidRDefault="008E2F2D" w:rsidP="008509EB">
      <w:pPr>
        <w:spacing w:before="240" w:after="240"/>
        <w:jc w:val="both"/>
        <w:rPr>
          <w:rFonts w:ascii="ITC Avant Garde" w:hAnsi="ITC Avant Garde" w:cs="Arial"/>
        </w:rPr>
      </w:pPr>
      <w:r w:rsidRPr="008509EB">
        <w:rPr>
          <w:rFonts w:ascii="ITC Avant Garde" w:hAnsi="ITC Avant Garde" w:cs="Arial"/>
        </w:rPr>
        <w:t xml:space="preserve">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w:t>
      </w:r>
      <w:r w:rsidR="00FD39D2" w:rsidRPr="008509EB">
        <w:rPr>
          <w:rFonts w:ascii="ITC Avant Garde" w:hAnsi="ITC Avant Garde" w:cs="Arial"/>
        </w:rPr>
        <w:t xml:space="preserve">202, </w:t>
      </w:r>
      <w:r w:rsidRPr="008509EB">
        <w:rPr>
          <w:rFonts w:ascii="ITC Avant Garde" w:hAnsi="ITC Avant Garde" w:cs="Arial"/>
        </w:rPr>
        <w:t>203 y 218 del Código Federal de Procedimientos Civiles; y 4 fracción I y 6, fracción XXXVII</w:t>
      </w:r>
      <w:r w:rsidR="00B244CC" w:rsidRPr="008509EB">
        <w:rPr>
          <w:rFonts w:ascii="ITC Avant Garde" w:hAnsi="ITC Avant Garde" w:cs="Arial"/>
        </w:rPr>
        <w:t>I</w:t>
      </w:r>
      <w:r w:rsidRPr="008509EB">
        <w:rPr>
          <w:rFonts w:ascii="ITC Avant Garde" w:hAnsi="ITC Avant Garde" w:cs="Arial"/>
        </w:rPr>
        <w:t xml:space="preserve"> del Estatuto Orgánico del Instituto Federal de Telecomunicaciones, el Pleno del Instituto Federal de Telecomunicaciones emite los siguientes:</w:t>
      </w:r>
    </w:p>
    <w:p w14:paraId="0D4A0DBD" w14:textId="64F70CCE" w:rsidR="008509EB" w:rsidRPr="008509EB" w:rsidRDefault="00AC04A2" w:rsidP="008509EB">
      <w:pPr>
        <w:pStyle w:val="Ttulo2"/>
        <w:keepLines/>
        <w:spacing w:before="240" w:after="240" w:line="276" w:lineRule="auto"/>
        <w:jc w:val="center"/>
        <w:rPr>
          <w:rFonts w:ascii="ITC Avant Garde" w:eastAsiaTheme="majorEastAsia" w:hAnsi="ITC Avant Garde" w:cstheme="majorBidi"/>
          <w:color w:val="000000" w:themeColor="text1"/>
          <w:szCs w:val="22"/>
        </w:rPr>
      </w:pPr>
      <w:r w:rsidRPr="008509EB">
        <w:rPr>
          <w:rFonts w:ascii="ITC Avant Garde" w:eastAsiaTheme="majorEastAsia" w:hAnsi="ITC Avant Garde" w:cstheme="majorBidi"/>
          <w:color w:val="000000" w:themeColor="text1"/>
          <w:szCs w:val="22"/>
        </w:rPr>
        <w:t>RESOLUTIVOS</w:t>
      </w:r>
    </w:p>
    <w:p w14:paraId="5F18C22F" w14:textId="77777777" w:rsidR="008509EB" w:rsidRPr="008509EB" w:rsidRDefault="005E3C03" w:rsidP="008509EB">
      <w:pPr>
        <w:spacing w:before="240" w:after="240"/>
        <w:jc w:val="both"/>
        <w:rPr>
          <w:rFonts w:ascii="ITC Avant Garde" w:hAnsi="ITC Avant Garde" w:cs="Arial"/>
        </w:rPr>
      </w:pPr>
      <w:r w:rsidRPr="008509EB">
        <w:rPr>
          <w:rFonts w:ascii="ITC Avant Garde" w:hAnsi="ITC Avant Garde" w:cs="Arial"/>
          <w:b/>
        </w:rPr>
        <w:t>PRIMERO</w:t>
      </w:r>
      <w:r w:rsidRPr="008509EB">
        <w:rPr>
          <w:rFonts w:ascii="ITC Avant Garde" w:hAnsi="ITC Avant Garde" w:cs="Arial"/>
        </w:rPr>
        <w:t xml:space="preserve">.- </w:t>
      </w:r>
      <w:r w:rsidR="00760E75" w:rsidRPr="008509EB">
        <w:rPr>
          <w:rFonts w:ascii="ITC Avant Garde" w:hAnsi="ITC Avant Garde" w:cs="Arial"/>
        </w:rPr>
        <w:t xml:space="preserve">La tarifa de interconexión que </w:t>
      </w:r>
      <w:r w:rsidR="008B3F62" w:rsidRPr="008509EB">
        <w:rPr>
          <w:rFonts w:ascii="ITC Avant Garde" w:eastAsia="Times New Roman" w:hAnsi="ITC Avant Garde"/>
          <w:bCs/>
          <w:lang w:val="es-ES" w:eastAsia="es-ES"/>
        </w:rPr>
        <w:t xml:space="preserve">Axtel, S.A.B. de C.V. y </w:t>
      </w:r>
      <w:r w:rsidR="008B3F62" w:rsidRPr="008509EB">
        <w:rPr>
          <w:rFonts w:ascii="ITC Avant Garde" w:hAnsi="ITC Avant Garde" w:cs="Helvetica"/>
          <w:lang w:eastAsia="es-MX"/>
        </w:rPr>
        <w:t xml:space="preserve">Mega Cable, S.A. de C.V., </w:t>
      </w:r>
      <w:proofErr w:type="gramStart"/>
      <w:r w:rsidR="000105EB" w:rsidRPr="008509EB">
        <w:rPr>
          <w:rFonts w:ascii="ITC Avant Garde" w:eastAsia="Times New Roman" w:hAnsi="ITC Avant Garde"/>
          <w:bCs/>
          <w:lang w:val="es-ES" w:eastAsia="es-ES"/>
        </w:rPr>
        <w:t>deberán</w:t>
      </w:r>
      <w:proofErr w:type="gramEnd"/>
      <w:r w:rsidR="000105EB" w:rsidRPr="008509EB">
        <w:rPr>
          <w:rFonts w:ascii="ITC Avant Garde" w:eastAsia="Times New Roman" w:hAnsi="ITC Avant Garde"/>
          <w:bCs/>
          <w:lang w:val="es-ES" w:eastAsia="es-ES"/>
        </w:rPr>
        <w:t xml:space="preserve"> pagarse de manera recíproca </w:t>
      </w:r>
      <w:r w:rsidR="00760E75" w:rsidRPr="008509EB">
        <w:rPr>
          <w:rFonts w:ascii="ITC Avant Garde" w:hAnsi="ITC Avant Garde"/>
          <w:bCs/>
          <w:lang w:val="es-ES" w:eastAsia="es-ES"/>
        </w:rPr>
        <w:t>por servicios de terminación del Servicio Local en usuarios fijos será la siguiente:</w:t>
      </w:r>
    </w:p>
    <w:p w14:paraId="227DAE70" w14:textId="6CFDC919" w:rsidR="008509EB" w:rsidRPr="008509EB" w:rsidRDefault="00760E75" w:rsidP="008509EB">
      <w:pPr>
        <w:pStyle w:val="Prrafodelista"/>
        <w:numPr>
          <w:ilvl w:val="0"/>
          <w:numId w:val="19"/>
        </w:numPr>
        <w:spacing w:before="240" w:after="240" w:line="276" w:lineRule="auto"/>
        <w:rPr>
          <w:rFonts w:ascii="ITC Avant Garde" w:hAnsi="ITC Avant Garde"/>
          <w:b/>
          <w:spacing w:val="-4"/>
          <w:lang w:val="es-ES_tradnl"/>
        </w:rPr>
      </w:pPr>
      <w:r w:rsidRPr="008509EB">
        <w:rPr>
          <w:rFonts w:ascii="ITC Avant Garde" w:hAnsi="ITC Avant Garde"/>
          <w:b/>
          <w:spacing w:val="-4"/>
          <w:lang w:val="es-ES_tradnl"/>
        </w:rPr>
        <w:t>Del 1 de enero al 31 de diciembre de 2017, $0.003094 pesos M.N. por minuto de interconexión.</w:t>
      </w:r>
    </w:p>
    <w:p w14:paraId="18F6DA20" w14:textId="77777777" w:rsidR="008509EB" w:rsidRPr="008509EB" w:rsidRDefault="0023419F" w:rsidP="008509EB">
      <w:pPr>
        <w:spacing w:before="240" w:after="240"/>
        <w:jc w:val="both"/>
        <w:rPr>
          <w:rFonts w:ascii="ITC Avant Garde" w:eastAsia="Times New Roman" w:hAnsi="ITC Avant Garde"/>
          <w:lang w:eastAsia="es-ES"/>
        </w:rPr>
      </w:pPr>
      <w:r w:rsidRPr="008509EB">
        <w:rPr>
          <w:rFonts w:ascii="ITC Avant Garde" w:eastAsia="Times New Roman" w:hAnsi="ITC Avant Garde"/>
          <w:lang w:eastAsia="es-ES"/>
        </w:rPr>
        <w:t>La tarifa anterior ya incluye el costo correspondiente a los puertos necesarios para la interconexión.</w:t>
      </w:r>
    </w:p>
    <w:p w14:paraId="09DAAF2C" w14:textId="77777777" w:rsidR="008509EB" w:rsidRPr="008509EB" w:rsidRDefault="004C714B" w:rsidP="008509EB">
      <w:pPr>
        <w:spacing w:before="240" w:after="240"/>
        <w:jc w:val="both"/>
        <w:rPr>
          <w:rFonts w:ascii="ITC Avant Garde" w:hAnsi="ITC Avant Garde" w:cs="Arial"/>
          <w:b/>
        </w:rPr>
      </w:pPr>
      <w:r w:rsidRPr="008509EB">
        <w:rPr>
          <w:rFonts w:ascii="ITC Avant Garde" w:hAnsi="ITC Avant Garde"/>
        </w:rPr>
        <w:t>Las contraprestaciones se calcularán sumando la duración de todas las llamadas completadas en el período de facturación correspondiente, medidas en segundos, y multiplicando los minutos equivalentes a dicha suma, por la tarifa correspondiente.</w:t>
      </w:r>
    </w:p>
    <w:p w14:paraId="0CC7C1F6" w14:textId="77777777" w:rsidR="008509EB" w:rsidRPr="008509EB" w:rsidRDefault="004C714B" w:rsidP="008509EB">
      <w:pPr>
        <w:spacing w:before="240" w:after="240"/>
        <w:ind w:right="20"/>
        <w:jc w:val="both"/>
        <w:rPr>
          <w:rFonts w:ascii="ITC Avant Garde" w:hAnsi="ITC Avant Garde" w:cs="Arial"/>
        </w:rPr>
      </w:pPr>
      <w:r w:rsidRPr="008509EB">
        <w:rPr>
          <w:rFonts w:ascii="ITC Avant Garde" w:hAnsi="ITC Avant Garde" w:cs="Arial"/>
          <w:b/>
        </w:rPr>
        <w:t>SEGUNDO</w:t>
      </w:r>
      <w:r w:rsidR="00760E75" w:rsidRPr="008509EB">
        <w:rPr>
          <w:rFonts w:ascii="ITC Avant Garde" w:hAnsi="ITC Avant Garde" w:cs="Arial"/>
          <w:b/>
        </w:rPr>
        <w:t xml:space="preserve">.- </w:t>
      </w:r>
      <w:r w:rsidR="00B43CF2" w:rsidRPr="008509EB">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00445662" w:rsidRPr="008509EB">
        <w:rPr>
          <w:rFonts w:ascii="ITC Avant Garde" w:eastAsia="Times New Roman" w:hAnsi="ITC Avant Garde"/>
          <w:bCs/>
          <w:lang w:val="es-ES" w:eastAsia="es-ES"/>
        </w:rPr>
        <w:t xml:space="preserve">Axtel, S.A.B. de C.V. y </w:t>
      </w:r>
      <w:r w:rsidR="00445662" w:rsidRPr="008509EB">
        <w:rPr>
          <w:rFonts w:ascii="ITC Avant Garde" w:hAnsi="ITC Avant Garde" w:cs="Helvetica"/>
          <w:lang w:eastAsia="es-MX"/>
        </w:rPr>
        <w:t>Mega Cable, S.A. de C.V.</w:t>
      </w:r>
      <w:r w:rsidR="0023419F" w:rsidRPr="008509EB">
        <w:rPr>
          <w:rFonts w:ascii="ITC Avant Garde" w:eastAsia="Times New Roman" w:hAnsi="ITC Avant Garde"/>
          <w:bCs/>
          <w:lang w:val="es-ES" w:eastAsia="es-ES"/>
        </w:rPr>
        <w:t xml:space="preserve">, </w:t>
      </w:r>
      <w:r w:rsidR="00B43CF2" w:rsidRPr="008509EB">
        <w:rPr>
          <w:rFonts w:ascii="ITC Avant Garde" w:hAnsi="ITC Avant Garde" w:cs="Arial"/>
        </w:rPr>
        <w:t xml:space="preserve">deberán </w:t>
      </w:r>
      <w:r w:rsidR="00B43CF2" w:rsidRPr="008509EB">
        <w:rPr>
          <w:rFonts w:ascii="ITC Avant Garde" w:eastAsia="Times New Roman" w:hAnsi="ITC Avant Garde" w:cs="Arial"/>
        </w:rPr>
        <w:t xml:space="preserve">suscribir </w:t>
      </w:r>
      <w:r w:rsidR="00B43CF2" w:rsidRPr="008509EB">
        <w:rPr>
          <w:rFonts w:ascii="ITC Avant Garde" w:hAnsi="ITC Avant Garde" w:cs="Arial"/>
        </w:rPr>
        <w:t>los convenios de interconexión de sus redes públicas de telecomunicaciones conforme a los términos y condiciones deter</w:t>
      </w:r>
      <w:r w:rsidR="0053533D" w:rsidRPr="008509EB">
        <w:rPr>
          <w:rFonts w:ascii="ITC Avant Garde" w:hAnsi="ITC Avant Garde" w:cs="Arial"/>
        </w:rPr>
        <w:t xml:space="preserve">minados en </w:t>
      </w:r>
      <w:r w:rsidRPr="008509EB">
        <w:rPr>
          <w:rFonts w:ascii="ITC Avant Garde" w:hAnsi="ITC Avant Garde" w:cs="Arial"/>
        </w:rPr>
        <w:t>e</w:t>
      </w:r>
      <w:r w:rsidR="0053533D" w:rsidRPr="008509EB">
        <w:rPr>
          <w:rFonts w:ascii="ITC Avant Garde" w:hAnsi="ITC Avant Garde" w:cs="Arial"/>
        </w:rPr>
        <w:t>l Resolutivo</w:t>
      </w:r>
      <w:r w:rsidR="00445662" w:rsidRPr="008509EB">
        <w:rPr>
          <w:rFonts w:ascii="ITC Avant Garde" w:hAnsi="ITC Avant Garde" w:cs="Arial"/>
        </w:rPr>
        <w:t xml:space="preserve"> PRIMERO</w:t>
      </w:r>
      <w:r w:rsidR="005E309F" w:rsidRPr="008509EB">
        <w:rPr>
          <w:rFonts w:ascii="ITC Avant Garde" w:hAnsi="ITC Avant Garde" w:cs="Arial"/>
        </w:rPr>
        <w:t xml:space="preserve"> </w:t>
      </w:r>
      <w:r w:rsidR="00B43CF2" w:rsidRPr="008509EB">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A01D520" w14:textId="257ECE94" w:rsidR="0069048B" w:rsidRPr="008509EB" w:rsidRDefault="004C714B" w:rsidP="008509EB">
      <w:pPr>
        <w:spacing w:before="240" w:after="240"/>
        <w:jc w:val="both"/>
        <w:rPr>
          <w:rFonts w:ascii="ITC Avant Garde" w:hAnsi="ITC Avant Garde"/>
          <w:shd w:val="clear" w:color="auto" w:fill="FFFFFF"/>
        </w:rPr>
      </w:pPr>
      <w:r w:rsidRPr="008509EB">
        <w:rPr>
          <w:rFonts w:ascii="ITC Avant Garde" w:hAnsi="ITC Avant Garde"/>
          <w:b/>
          <w:shd w:val="clear" w:color="auto" w:fill="FFFFFF"/>
        </w:rPr>
        <w:t>TERCERO</w:t>
      </w:r>
      <w:r w:rsidR="0053533D" w:rsidRPr="008509EB">
        <w:rPr>
          <w:rFonts w:ascii="ITC Avant Garde" w:hAnsi="ITC Avant Garde"/>
          <w:b/>
          <w:shd w:val="clear" w:color="auto" w:fill="FFFFFF"/>
        </w:rPr>
        <w:t xml:space="preserve">.- </w:t>
      </w:r>
      <w:r w:rsidR="00B43CF2" w:rsidRPr="008509EB">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445662" w:rsidRPr="008509EB">
        <w:rPr>
          <w:rFonts w:ascii="ITC Avant Garde" w:eastAsia="Times New Roman" w:hAnsi="ITC Avant Garde"/>
          <w:bCs/>
          <w:lang w:val="es-ES" w:eastAsia="es-ES"/>
        </w:rPr>
        <w:t xml:space="preserve">Axtel, S.A.B. de C.V. y </w:t>
      </w:r>
      <w:r w:rsidR="00445662" w:rsidRPr="008509EB">
        <w:rPr>
          <w:rFonts w:ascii="ITC Avant Garde" w:hAnsi="ITC Avant Garde" w:cs="Helvetica"/>
          <w:lang w:eastAsia="es-MX"/>
        </w:rPr>
        <w:t>Mega Cable, S.A. de C.V.</w:t>
      </w:r>
      <w:r w:rsidR="0053533D" w:rsidRPr="008509EB">
        <w:rPr>
          <w:rFonts w:ascii="ITC Avant Garde" w:eastAsia="Times New Roman" w:hAnsi="ITC Avant Garde"/>
          <w:bCs/>
          <w:lang w:val="es-ES" w:eastAsia="es-ES"/>
        </w:rPr>
        <w:t xml:space="preserve">, </w:t>
      </w:r>
      <w:r w:rsidR="00B43CF2" w:rsidRPr="008509EB">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28D0CA72" w14:textId="77777777" w:rsidR="008509EB" w:rsidRPr="008509EB" w:rsidRDefault="004C714B" w:rsidP="008509EB">
      <w:pPr>
        <w:spacing w:before="240" w:after="240"/>
        <w:ind w:right="20"/>
        <w:jc w:val="both"/>
        <w:rPr>
          <w:rFonts w:ascii="ITC Avant Garde" w:hAnsi="ITC Avant Garde" w:cs="Arial"/>
        </w:rPr>
      </w:pPr>
      <w:bookmarkStart w:id="3" w:name="_GoBack"/>
      <w:bookmarkEnd w:id="3"/>
      <w:r w:rsidRPr="008509EB">
        <w:rPr>
          <w:rFonts w:ascii="ITC Avant Garde" w:eastAsia="Times New Roman" w:hAnsi="ITC Avant Garde"/>
          <w:b/>
          <w:bCs/>
          <w:lang w:eastAsia="es-ES"/>
        </w:rPr>
        <w:t>CUARTO</w:t>
      </w:r>
      <w:r w:rsidR="00B43CF2" w:rsidRPr="008509EB">
        <w:rPr>
          <w:rFonts w:ascii="ITC Avant Garde" w:eastAsia="Times New Roman" w:hAnsi="ITC Avant Garde"/>
          <w:b/>
          <w:bCs/>
          <w:lang w:eastAsia="es-ES"/>
        </w:rPr>
        <w:t>.-</w:t>
      </w:r>
      <w:r w:rsidR="00B43CF2" w:rsidRPr="008509EB">
        <w:rPr>
          <w:rFonts w:ascii="ITC Avant Garde" w:hAnsi="ITC Avant Garde"/>
        </w:rPr>
        <w:t xml:space="preserve"> </w:t>
      </w:r>
      <w:r w:rsidR="00B43CF2" w:rsidRPr="008509EB">
        <w:rPr>
          <w:rFonts w:ascii="ITC Avant Garde" w:hAnsi="ITC Avant Garde" w:cs="Arial"/>
        </w:rPr>
        <w:t xml:space="preserve">Notifíquese personalmente a los representantes legales de </w:t>
      </w:r>
      <w:r w:rsidR="00B43CF2" w:rsidRPr="008509EB">
        <w:rPr>
          <w:rFonts w:ascii="ITC Avant Garde" w:hAnsi="ITC Avant Garde"/>
        </w:rPr>
        <w:t xml:space="preserve">las empresas </w:t>
      </w:r>
      <w:r w:rsidR="00445662" w:rsidRPr="008509EB">
        <w:rPr>
          <w:rFonts w:ascii="ITC Avant Garde" w:eastAsia="Times New Roman" w:hAnsi="ITC Avant Garde"/>
          <w:bCs/>
          <w:lang w:val="es-ES" w:eastAsia="es-ES"/>
        </w:rPr>
        <w:t xml:space="preserve">Axtel, S.A.B. de C.V. y </w:t>
      </w:r>
      <w:r w:rsidR="00445662" w:rsidRPr="008509EB">
        <w:rPr>
          <w:rFonts w:ascii="ITC Avant Garde" w:hAnsi="ITC Avant Garde" w:cs="Helvetica"/>
          <w:lang w:eastAsia="es-MX"/>
        </w:rPr>
        <w:t>Mega Cable, S.A. de C.V.</w:t>
      </w:r>
      <w:r w:rsidR="0053533D" w:rsidRPr="008509EB">
        <w:rPr>
          <w:rFonts w:ascii="ITC Avant Garde" w:eastAsia="Times New Roman" w:hAnsi="ITC Avant Garde"/>
          <w:bCs/>
          <w:lang w:val="es-ES" w:eastAsia="es-ES"/>
        </w:rPr>
        <w:t xml:space="preserve">, </w:t>
      </w:r>
      <w:r w:rsidR="00B43CF2" w:rsidRPr="008509EB">
        <w:rPr>
          <w:rFonts w:ascii="ITC Avant Garde" w:hAnsi="ITC Avant Garde" w:cs="Arial"/>
          <w:bCs/>
        </w:rPr>
        <w:t>el</w:t>
      </w:r>
      <w:r w:rsidR="00B43CF2" w:rsidRPr="008509EB">
        <w:rPr>
          <w:rFonts w:ascii="ITC Avant Garde" w:hAnsi="ITC Avant Garde" w:cs="Arial"/>
        </w:rPr>
        <w:t xml:space="preserve"> contenido de la presente Resolución, en términos de lo establecido en el artículo 129 fracción VIII de la Ley Federal de Telecomunicaciones y Radiodifusión.</w:t>
      </w:r>
    </w:p>
    <w:p w14:paraId="663D80A0" w14:textId="5453AAEB" w:rsidR="004C714B" w:rsidRPr="008509EB" w:rsidRDefault="003D1A6B" w:rsidP="008509EB">
      <w:pPr>
        <w:pStyle w:val="Prrafodelista"/>
        <w:spacing w:before="240" w:after="240"/>
        <w:ind w:left="0"/>
        <w:rPr>
          <w:rFonts w:ascii="ITC Avant Garde" w:hAnsi="ITC Avant Garde"/>
          <w:bCs/>
          <w:sz w:val="14"/>
          <w:szCs w:val="14"/>
          <w:lang w:eastAsia="es-MX"/>
        </w:rPr>
      </w:pPr>
      <w:r w:rsidRPr="008509EB">
        <w:rPr>
          <w:rFonts w:ascii="ITC Avant Garde" w:hAnsi="ITC Avant Garde"/>
          <w:sz w:val="14"/>
          <w:szCs w:val="14"/>
        </w:rPr>
        <w:t>La presente Resolución fue aprobada por el Pleno del Instituto Federal de Telecomunicaciones en su III Sesión Ordinaria celebrada el 25 de enero de 2017</w:t>
      </w:r>
      <w:r w:rsidRPr="008509EB">
        <w:rPr>
          <w:rFonts w:ascii="ITC Avant Garde" w:hAnsi="ITC Avant Garde"/>
          <w:sz w:val="14"/>
          <w:szCs w:val="14"/>
          <w:lang w:val="es-ES_tradnl"/>
        </w:rPr>
        <w:t xml:space="preserve">, </w:t>
      </w:r>
      <w:r w:rsidRPr="008509EB">
        <w:rPr>
          <w:rFonts w:ascii="ITC Avant Garde" w:hAnsi="ITC Avant Garde"/>
          <w:bCs/>
          <w:sz w:val="14"/>
          <w:szCs w:val="14"/>
          <w:lang w:val="es-ES_tradnl"/>
        </w:rPr>
        <w:t>por</w:t>
      </w:r>
      <w:r w:rsidRPr="008509EB">
        <w:rPr>
          <w:rFonts w:ascii="ITC Avant Garde" w:hAnsi="ITC Avant Garde"/>
          <w:sz w:val="14"/>
          <w:szCs w:val="14"/>
          <w:lang w:val="es-ES_tradnl"/>
        </w:rPr>
        <w:t xml:space="preserve"> </w:t>
      </w:r>
      <w:r w:rsidRPr="008509EB">
        <w:rPr>
          <w:rFonts w:ascii="ITC Avant Garde" w:hAnsi="ITC Avant Garde"/>
          <w:bCs/>
          <w:sz w:val="14"/>
          <w:szCs w:val="14"/>
          <w:lang w:val="es-ES_tradnl"/>
        </w:rPr>
        <w:t>unanimidad</w:t>
      </w:r>
      <w:r w:rsidRPr="008509EB">
        <w:rPr>
          <w:rFonts w:ascii="ITC Avant Garde" w:hAnsi="ITC Avant Garde"/>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P/IFT/250117/13. </w:t>
      </w:r>
    </w:p>
    <w:sectPr w:rsidR="004C714B" w:rsidRPr="008509EB" w:rsidSect="000179D1">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7AAB3" w14:textId="77777777" w:rsidR="00EF459A" w:rsidRDefault="00EF459A" w:rsidP="00072BC8">
      <w:pPr>
        <w:spacing w:after="0" w:line="240" w:lineRule="auto"/>
      </w:pPr>
      <w:r>
        <w:separator/>
      </w:r>
    </w:p>
  </w:endnote>
  <w:endnote w:type="continuationSeparator" w:id="0">
    <w:p w14:paraId="522BAAF4" w14:textId="77777777" w:rsidR="00EF459A" w:rsidRDefault="00EF459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3582CE22" w14:textId="77777777" w:rsidR="00EF459A" w:rsidRPr="00874E04" w:rsidRDefault="00EF459A">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8509EB" w:rsidRPr="008509EB">
          <w:rPr>
            <w:rFonts w:ascii="ITC Avant Garde" w:hAnsi="ITC Avant Garde"/>
            <w:noProof/>
            <w:sz w:val="20"/>
            <w:szCs w:val="20"/>
            <w:lang w:val="es-ES"/>
          </w:rPr>
          <w:t>14</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C9739" w14:textId="77777777" w:rsidR="00EF459A" w:rsidRDefault="00EF459A" w:rsidP="00072BC8">
      <w:pPr>
        <w:spacing w:after="0" w:line="240" w:lineRule="auto"/>
      </w:pPr>
      <w:r>
        <w:separator/>
      </w:r>
    </w:p>
  </w:footnote>
  <w:footnote w:type="continuationSeparator" w:id="0">
    <w:p w14:paraId="2AED4705" w14:textId="77777777" w:rsidR="00EF459A" w:rsidRDefault="00EF459A"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AA3F" w14:textId="77777777" w:rsidR="00EF459A" w:rsidRDefault="008509EB">
    <w:pPr>
      <w:pStyle w:val="Encabezado"/>
    </w:pPr>
    <w:r>
      <w:rPr>
        <w:noProof/>
        <w:lang w:eastAsia="es-MX"/>
      </w:rPr>
      <w:pict w14:anchorId="679B4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149E" w14:textId="77777777" w:rsidR="00EF459A" w:rsidRDefault="008509EB">
    <w:pPr>
      <w:pStyle w:val="Encabezado"/>
    </w:pPr>
    <w:r>
      <w:rPr>
        <w:noProof/>
        <w:lang w:eastAsia="es-MX"/>
      </w:rPr>
      <w:pict w14:anchorId="4A1EC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FDE5DDA"/>
    <w:multiLevelType w:val="hybridMultilevel"/>
    <w:tmpl w:val="0D4A2056"/>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0320FEE"/>
    <w:multiLevelType w:val="hybridMultilevel"/>
    <w:tmpl w:val="8CC84CC2"/>
    <w:lvl w:ilvl="0" w:tplc="DC12232A">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3396C"/>
    <w:multiLevelType w:val="hybridMultilevel"/>
    <w:tmpl w:val="1A1051B4"/>
    <w:lvl w:ilvl="0" w:tplc="346EDAA8">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7263"/>
    <w:multiLevelType w:val="hybridMultilevel"/>
    <w:tmpl w:val="52B8D3D0"/>
    <w:lvl w:ilvl="0" w:tplc="14C06E92">
      <w:start w:val="2"/>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A8F"/>
    <w:multiLevelType w:val="hybridMultilevel"/>
    <w:tmpl w:val="9B826BB6"/>
    <w:lvl w:ilvl="0" w:tplc="0C0A001B">
      <w:start w:val="1"/>
      <w:numFmt w:val="lowerRoman"/>
      <w:lvlText w:val="%1."/>
      <w:lvlJc w:val="righ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CA84987"/>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E2A8E"/>
    <w:multiLevelType w:val="hybridMultilevel"/>
    <w:tmpl w:val="6B3400E2"/>
    <w:lvl w:ilvl="0" w:tplc="0C3A8888">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0423051"/>
    <w:multiLevelType w:val="hybridMultilevel"/>
    <w:tmpl w:val="0F7A02C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EC64582A">
      <w:start w:val="1"/>
      <w:numFmt w:val="decimal"/>
      <w:lvlText w:val="%3."/>
      <w:lvlJc w:val="left"/>
      <w:pPr>
        <w:ind w:left="2340" w:hanging="360"/>
      </w:pPr>
      <w:rPr>
        <w:rFonts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78D0182"/>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47B51"/>
    <w:multiLevelType w:val="hybridMultilevel"/>
    <w:tmpl w:val="4E0EE79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F6F49D9"/>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66E2350"/>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7D9C22B9"/>
    <w:multiLevelType w:val="multilevel"/>
    <w:tmpl w:val="77403728"/>
    <w:lvl w:ilvl="0">
      <w:start w:val="1"/>
      <w:numFmt w:val="lowerLetter"/>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22"/>
  </w:num>
  <w:num w:numId="2">
    <w:abstractNumId w:val="14"/>
  </w:num>
  <w:num w:numId="3">
    <w:abstractNumId w:val="24"/>
  </w:num>
  <w:num w:numId="4">
    <w:abstractNumId w:val="0"/>
  </w:num>
  <w:num w:numId="5">
    <w:abstractNumId w:val="1"/>
  </w:num>
  <w:num w:numId="6">
    <w:abstractNumId w:val="18"/>
  </w:num>
  <w:num w:numId="7">
    <w:abstractNumId w:val="15"/>
  </w:num>
  <w:num w:numId="8">
    <w:abstractNumId w:val="21"/>
  </w:num>
  <w:num w:numId="9">
    <w:abstractNumId w:val="10"/>
  </w:num>
  <w:num w:numId="10">
    <w:abstractNumId w:val="17"/>
  </w:num>
  <w:num w:numId="11">
    <w:abstractNumId w:val="9"/>
  </w:num>
  <w:num w:numId="12">
    <w:abstractNumId w:val="25"/>
  </w:num>
  <w:num w:numId="13">
    <w:abstractNumId w:val="26"/>
  </w:num>
  <w:num w:numId="14">
    <w:abstractNumId w:val="5"/>
  </w:num>
  <w:num w:numId="15">
    <w:abstractNumId w:val="11"/>
  </w:num>
  <w:num w:numId="16">
    <w:abstractNumId w:val="1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7"/>
  </w:num>
  <w:num w:numId="20">
    <w:abstractNumId w:val="6"/>
  </w:num>
  <w:num w:numId="21">
    <w:abstractNumId w:val="19"/>
  </w:num>
  <w:num w:numId="22">
    <w:abstractNumId w:val="20"/>
  </w:num>
  <w:num w:numId="23">
    <w:abstractNumId w:val="23"/>
  </w:num>
  <w:num w:numId="24">
    <w:abstractNumId w:val="3"/>
  </w:num>
  <w:num w:numId="25">
    <w:abstractNumId w:val="12"/>
  </w:num>
  <w:num w:numId="26">
    <w:abstractNumId w:val="8"/>
  </w:num>
  <w:num w:numId="27">
    <w:abstractNumId w:val="2"/>
  </w:num>
  <w:num w:numId="28">
    <w:abstractNumId w:val="4"/>
  </w:num>
  <w:num w:numId="29">
    <w:abstractNumId w:val="29"/>
  </w:num>
  <w:num w:numId="3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A46"/>
    <w:rsid w:val="000105EB"/>
    <w:rsid w:val="0001126F"/>
    <w:rsid w:val="00011447"/>
    <w:rsid w:val="00011561"/>
    <w:rsid w:val="00011680"/>
    <w:rsid w:val="000154B0"/>
    <w:rsid w:val="00016B3C"/>
    <w:rsid w:val="000179D1"/>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5EE5"/>
    <w:rsid w:val="000477FB"/>
    <w:rsid w:val="00047986"/>
    <w:rsid w:val="00052044"/>
    <w:rsid w:val="00054805"/>
    <w:rsid w:val="000553A7"/>
    <w:rsid w:val="00056BF9"/>
    <w:rsid w:val="000570EE"/>
    <w:rsid w:val="00057A2A"/>
    <w:rsid w:val="00060D36"/>
    <w:rsid w:val="00063820"/>
    <w:rsid w:val="000638CF"/>
    <w:rsid w:val="00063F9C"/>
    <w:rsid w:val="00067018"/>
    <w:rsid w:val="0006731A"/>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4589"/>
    <w:rsid w:val="000A50DB"/>
    <w:rsid w:val="000A5E4A"/>
    <w:rsid w:val="000A7D62"/>
    <w:rsid w:val="000B0DC1"/>
    <w:rsid w:val="000B334C"/>
    <w:rsid w:val="000B35DB"/>
    <w:rsid w:val="000B3735"/>
    <w:rsid w:val="000B3D68"/>
    <w:rsid w:val="000B4852"/>
    <w:rsid w:val="000B48AE"/>
    <w:rsid w:val="000B6473"/>
    <w:rsid w:val="000B6B78"/>
    <w:rsid w:val="000B7FC8"/>
    <w:rsid w:val="000C0BB3"/>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4A3A"/>
    <w:rsid w:val="000D6A88"/>
    <w:rsid w:val="000D6F52"/>
    <w:rsid w:val="000E03F7"/>
    <w:rsid w:val="000E04C7"/>
    <w:rsid w:val="000E2BD4"/>
    <w:rsid w:val="000E305E"/>
    <w:rsid w:val="000E4C0A"/>
    <w:rsid w:val="000E6467"/>
    <w:rsid w:val="000E661E"/>
    <w:rsid w:val="000E6A28"/>
    <w:rsid w:val="000E6DA8"/>
    <w:rsid w:val="000E6F53"/>
    <w:rsid w:val="000F1509"/>
    <w:rsid w:val="000F195C"/>
    <w:rsid w:val="000F21AB"/>
    <w:rsid w:val="000F2B01"/>
    <w:rsid w:val="000F348B"/>
    <w:rsid w:val="000F3AAC"/>
    <w:rsid w:val="000F4101"/>
    <w:rsid w:val="000F5BEC"/>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6C73"/>
    <w:rsid w:val="001272DB"/>
    <w:rsid w:val="00127EB9"/>
    <w:rsid w:val="001305D6"/>
    <w:rsid w:val="001318C4"/>
    <w:rsid w:val="00132D70"/>
    <w:rsid w:val="001335BC"/>
    <w:rsid w:val="00133CDF"/>
    <w:rsid w:val="0013466E"/>
    <w:rsid w:val="0013473E"/>
    <w:rsid w:val="00140E59"/>
    <w:rsid w:val="0014228B"/>
    <w:rsid w:val="0014251D"/>
    <w:rsid w:val="001437EE"/>
    <w:rsid w:val="00144D4A"/>
    <w:rsid w:val="0014611E"/>
    <w:rsid w:val="00147023"/>
    <w:rsid w:val="001472B8"/>
    <w:rsid w:val="00147AF2"/>
    <w:rsid w:val="00147E33"/>
    <w:rsid w:val="00150A05"/>
    <w:rsid w:val="001514AC"/>
    <w:rsid w:val="00153C43"/>
    <w:rsid w:val="00153C44"/>
    <w:rsid w:val="00153FA4"/>
    <w:rsid w:val="00154F47"/>
    <w:rsid w:val="001566D4"/>
    <w:rsid w:val="001569CE"/>
    <w:rsid w:val="00157269"/>
    <w:rsid w:val="00157BBE"/>
    <w:rsid w:val="00160FBA"/>
    <w:rsid w:val="0016331C"/>
    <w:rsid w:val="00163B81"/>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3D28"/>
    <w:rsid w:val="001840B6"/>
    <w:rsid w:val="00185213"/>
    <w:rsid w:val="00186CD7"/>
    <w:rsid w:val="001927D9"/>
    <w:rsid w:val="0019438F"/>
    <w:rsid w:val="0019449A"/>
    <w:rsid w:val="001944F5"/>
    <w:rsid w:val="001950A6"/>
    <w:rsid w:val="00195DC5"/>
    <w:rsid w:val="001960F0"/>
    <w:rsid w:val="00196509"/>
    <w:rsid w:val="001A3875"/>
    <w:rsid w:val="001A48DD"/>
    <w:rsid w:val="001A4C2D"/>
    <w:rsid w:val="001A604E"/>
    <w:rsid w:val="001A7B3A"/>
    <w:rsid w:val="001A7F98"/>
    <w:rsid w:val="001B130F"/>
    <w:rsid w:val="001B1DA2"/>
    <w:rsid w:val="001B33C4"/>
    <w:rsid w:val="001B395D"/>
    <w:rsid w:val="001B45C6"/>
    <w:rsid w:val="001B48C1"/>
    <w:rsid w:val="001B58A1"/>
    <w:rsid w:val="001B6768"/>
    <w:rsid w:val="001B67EF"/>
    <w:rsid w:val="001C020F"/>
    <w:rsid w:val="001C0C25"/>
    <w:rsid w:val="001C3815"/>
    <w:rsid w:val="001C5A3B"/>
    <w:rsid w:val="001C5A91"/>
    <w:rsid w:val="001C756D"/>
    <w:rsid w:val="001C77DD"/>
    <w:rsid w:val="001D0589"/>
    <w:rsid w:val="001D0D90"/>
    <w:rsid w:val="001D169C"/>
    <w:rsid w:val="001D2FA2"/>
    <w:rsid w:val="001D37BA"/>
    <w:rsid w:val="001D5838"/>
    <w:rsid w:val="001D7D8F"/>
    <w:rsid w:val="001E0251"/>
    <w:rsid w:val="001E1D9E"/>
    <w:rsid w:val="001E22C2"/>
    <w:rsid w:val="001E3033"/>
    <w:rsid w:val="001E3E45"/>
    <w:rsid w:val="001E4AE6"/>
    <w:rsid w:val="001E5357"/>
    <w:rsid w:val="001E7E17"/>
    <w:rsid w:val="001F0A33"/>
    <w:rsid w:val="001F113D"/>
    <w:rsid w:val="001F2F07"/>
    <w:rsid w:val="001F325B"/>
    <w:rsid w:val="001F3BC9"/>
    <w:rsid w:val="001F45DE"/>
    <w:rsid w:val="001F75D3"/>
    <w:rsid w:val="002007A5"/>
    <w:rsid w:val="00201211"/>
    <w:rsid w:val="002012FB"/>
    <w:rsid w:val="002032A7"/>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B93"/>
    <w:rsid w:val="0022458E"/>
    <w:rsid w:val="0022460D"/>
    <w:rsid w:val="00224EFF"/>
    <w:rsid w:val="0022730A"/>
    <w:rsid w:val="00231937"/>
    <w:rsid w:val="002325C3"/>
    <w:rsid w:val="0023288D"/>
    <w:rsid w:val="00233F5F"/>
    <w:rsid w:val="0023419F"/>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6EED"/>
    <w:rsid w:val="002626DD"/>
    <w:rsid w:val="00263859"/>
    <w:rsid w:val="002659C5"/>
    <w:rsid w:val="00266493"/>
    <w:rsid w:val="002679D7"/>
    <w:rsid w:val="00272721"/>
    <w:rsid w:val="00272B28"/>
    <w:rsid w:val="00275284"/>
    <w:rsid w:val="00275EE5"/>
    <w:rsid w:val="002762C4"/>
    <w:rsid w:val="002803B3"/>
    <w:rsid w:val="00281965"/>
    <w:rsid w:val="00282030"/>
    <w:rsid w:val="00282662"/>
    <w:rsid w:val="00282DC3"/>
    <w:rsid w:val="0028363B"/>
    <w:rsid w:val="00285020"/>
    <w:rsid w:val="002874C7"/>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6BB0"/>
    <w:rsid w:val="002A7A43"/>
    <w:rsid w:val="002B153F"/>
    <w:rsid w:val="002B20B2"/>
    <w:rsid w:val="002B2F19"/>
    <w:rsid w:val="002B32CE"/>
    <w:rsid w:val="002B4382"/>
    <w:rsid w:val="002B68F6"/>
    <w:rsid w:val="002B711E"/>
    <w:rsid w:val="002C05D5"/>
    <w:rsid w:val="002C12B0"/>
    <w:rsid w:val="002C1A95"/>
    <w:rsid w:val="002C21CB"/>
    <w:rsid w:val="002C2BC0"/>
    <w:rsid w:val="002C375B"/>
    <w:rsid w:val="002C50F4"/>
    <w:rsid w:val="002D1D4B"/>
    <w:rsid w:val="002D2EF5"/>
    <w:rsid w:val="002D3433"/>
    <w:rsid w:val="002D4C98"/>
    <w:rsid w:val="002D6EE1"/>
    <w:rsid w:val="002D6EFB"/>
    <w:rsid w:val="002D7427"/>
    <w:rsid w:val="002D76CA"/>
    <w:rsid w:val="002D7FBC"/>
    <w:rsid w:val="002E015C"/>
    <w:rsid w:val="002E0CFE"/>
    <w:rsid w:val="002E1682"/>
    <w:rsid w:val="002E3142"/>
    <w:rsid w:val="002E370B"/>
    <w:rsid w:val="002E4220"/>
    <w:rsid w:val="002E45CC"/>
    <w:rsid w:val="002E50E7"/>
    <w:rsid w:val="002E6B97"/>
    <w:rsid w:val="002E7099"/>
    <w:rsid w:val="002E71F1"/>
    <w:rsid w:val="002E7677"/>
    <w:rsid w:val="002F009A"/>
    <w:rsid w:val="002F0895"/>
    <w:rsid w:val="002F1D3A"/>
    <w:rsid w:val="002F3127"/>
    <w:rsid w:val="002F3BC8"/>
    <w:rsid w:val="002F5A11"/>
    <w:rsid w:val="002F738E"/>
    <w:rsid w:val="00302363"/>
    <w:rsid w:val="003031D9"/>
    <w:rsid w:val="003046AB"/>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24E3B"/>
    <w:rsid w:val="00325F1E"/>
    <w:rsid w:val="00331467"/>
    <w:rsid w:val="00332C00"/>
    <w:rsid w:val="00334A78"/>
    <w:rsid w:val="00334CC2"/>
    <w:rsid w:val="00334E76"/>
    <w:rsid w:val="00336DC1"/>
    <w:rsid w:val="00336E00"/>
    <w:rsid w:val="003407A1"/>
    <w:rsid w:val="00343316"/>
    <w:rsid w:val="003471D2"/>
    <w:rsid w:val="00351B83"/>
    <w:rsid w:val="00352302"/>
    <w:rsid w:val="003534DD"/>
    <w:rsid w:val="00353A56"/>
    <w:rsid w:val="00353E67"/>
    <w:rsid w:val="0035405F"/>
    <w:rsid w:val="00356263"/>
    <w:rsid w:val="003577A5"/>
    <w:rsid w:val="00360A82"/>
    <w:rsid w:val="00360FFA"/>
    <w:rsid w:val="00361031"/>
    <w:rsid w:val="00361168"/>
    <w:rsid w:val="00361CDC"/>
    <w:rsid w:val="00363E06"/>
    <w:rsid w:val="00365A3C"/>
    <w:rsid w:val="00367B4C"/>
    <w:rsid w:val="00370258"/>
    <w:rsid w:val="00370542"/>
    <w:rsid w:val="00370F9A"/>
    <w:rsid w:val="003719BA"/>
    <w:rsid w:val="00373118"/>
    <w:rsid w:val="00373D57"/>
    <w:rsid w:val="00376BF1"/>
    <w:rsid w:val="003775F8"/>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E9A"/>
    <w:rsid w:val="003B3FCD"/>
    <w:rsid w:val="003B4523"/>
    <w:rsid w:val="003B4F28"/>
    <w:rsid w:val="003B51EF"/>
    <w:rsid w:val="003C0823"/>
    <w:rsid w:val="003C0C79"/>
    <w:rsid w:val="003C27D5"/>
    <w:rsid w:val="003C657A"/>
    <w:rsid w:val="003C6814"/>
    <w:rsid w:val="003D1A6B"/>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4547"/>
    <w:rsid w:val="00405520"/>
    <w:rsid w:val="00413744"/>
    <w:rsid w:val="004137DF"/>
    <w:rsid w:val="00415AD6"/>
    <w:rsid w:val="004166F7"/>
    <w:rsid w:val="0041760B"/>
    <w:rsid w:val="00417C54"/>
    <w:rsid w:val="00417E33"/>
    <w:rsid w:val="004203FE"/>
    <w:rsid w:val="00421B38"/>
    <w:rsid w:val="00424AC8"/>
    <w:rsid w:val="0042597A"/>
    <w:rsid w:val="00425C7A"/>
    <w:rsid w:val="00426594"/>
    <w:rsid w:val="004265EF"/>
    <w:rsid w:val="00430AA3"/>
    <w:rsid w:val="0043174E"/>
    <w:rsid w:val="00432927"/>
    <w:rsid w:val="00433AA1"/>
    <w:rsid w:val="00433F7F"/>
    <w:rsid w:val="00434B05"/>
    <w:rsid w:val="00435D8E"/>
    <w:rsid w:val="00436827"/>
    <w:rsid w:val="00436B02"/>
    <w:rsid w:val="00437335"/>
    <w:rsid w:val="00437966"/>
    <w:rsid w:val="00437DD2"/>
    <w:rsid w:val="00440DF7"/>
    <w:rsid w:val="00442714"/>
    <w:rsid w:val="00443A5C"/>
    <w:rsid w:val="00445662"/>
    <w:rsid w:val="00446FCC"/>
    <w:rsid w:val="00450136"/>
    <w:rsid w:val="00450698"/>
    <w:rsid w:val="00450D28"/>
    <w:rsid w:val="00450F7F"/>
    <w:rsid w:val="004511A0"/>
    <w:rsid w:val="00453DB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77CB6"/>
    <w:rsid w:val="00481148"/>
    <w:rsid w:val="00483036"/>
    <w:rsid w:val="00483F69"/>
    <w:rsid w:val="00484CC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146E"/>
    <w:rsid w:val="004A2786"/>
    <w:rsid w:val="004A3929"/>
    <w:rsid w:val="004A456A"/>
    <w:rsid w:val="004A472B"/>
    <w:rsid w:val="004A5DB0"/>
    <w:rsid w:val="004A6557"/>
    <w:rsid w:val="004B1184"/>
    <w:rsid w:val="004B7269"/>
    <w:rsid w:val="004C04C8"/>
    <w:rsid w:val="004C22EA"/>
    <w:rsid w:val="004C417D"/>
    <w:rsid w:val="004C55C0"/>
    <w:rsid w:val="004C714B"/>
    <w:rsid w:val="004C7D3F"/>
    <w:rsid w:val="004D049F"/>
    <w:rsid w:val="004D27BF"/>
    <w:rsid w:val="004D50DB"/>
    <w:rsid w:val="004E1AE6"/>
    <w:rsid w:val="004E20D1"/>
    <w:rsid w:val="004E22C5"/>
    <w:rsid w:val="004E25AD"/>
    <w:rsid w:val="004E273A"/>
    <w:rsid w:val="004E3E69"/>
    <w:rsid w:val="004E41F0"/>
    <w:rsid w:val="004E42DE"/>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5D64"/>
    <w:rsid w:val="00506425"/>
    <w:rsid w:val="00506798"/>
    <w:rsid w:val="0050734A"/>
    <w:rsid w:val="0051108D"/>
    <w:rsid w:val="005112D1"/>
    <w:rsid w:val="0051181D"/>
    <w:rsid w:val="00513122"/>
    <w:rsid w:val="0051432C"/>
    <w:rsid w:val="00514432"/>
    <w:rsid w:val="0051488F"/>
    <w:rsid w:val="00514BC0"/>
    <w:rsid w:val="0051534E"/>
    <w:rsid w:val="005160CE"/>
    <w:rsid w:val="00516539"/>
    <w:rsid w:val="00516A2D"/>
    <w:rsid w:val="00516E36"/>
    <w:rsid w:val="00516F09"/>
    <w:rsid w:val="00517FC6"/>
    <w:rsid w:val="00523C6E"/>
    <w:rsid w:val="005255A1"/>
    <w:rsid w:val="00525655"/>
    <w:rsid w:val="00526469"/>
    <w:rsid w:val="00526B1D"/>
    <w:rsid w:val="005306E4"/>
    <w:rsid w:val="00531974"/>
    <w:rsid w:val="00532D4D"/>
    <w:rsid w:val="005339FC"/>
    <w:rsid w:val="00534DA1"/>
    <w:rsid w:val="0053533D"/>
    <w:rsid w:val="00536328"/>
    <w:rsid w:val="005375BB"/>
    <w:rsid w:val="0053796F"/>
    <w:rsid w:val="00537E52"/>
    <w:rsid w:val="00537EAE"/>
    <w:rsid w:val="005406C4"/>
    <w:rsid w:val="00540FBA"/>
    <w:rsid w:val="00541D5A"/>
    <w:rsid w:val="00543D44"/>
    <w:rsid w:val="00543EF7"/>
    <w:rsid w:val="0054490A"/>
    <w:rsid w:val="0054738F"/>
    <w:rsid w:val="005511F4"/>
    <w:rsid w:val="005547AC"/>
    <w:rsid w:val="00557E14"/>
    <w:rsid w:val="005603B9"/>
    <w:rsid w:val="00561E24"/>
    <w:rsid w:val="00563BF8"/>
    <w:rsid w:val="00563F87"/>
    <w:rsid w:val="00564287"/>
    <w:rsid w:val="0056490C"/>
    <w:rsid w:val="0056638E"/>
    <w:rsid w:val="0056671C"/>
    <w:rsid w:val="00566B41"/>
    <w:rsid w:val="00567BE7"/>
    <w:rsid w:val="00567FDE"/>
    <w:rsid w:val="00572386"/>
    <w:rsid w:val="00572734"/>
    <w:rsid w:val="00573D0B"/>
    <w:rsid w:val="00577291"/>
    <w:rsid w:val="005811A6"/>
    <w:rsid w:val="0058316E"/>
    <w:rsid w:val="0058478C"/>
    <w:rsid w:val="00585428"/>
    <w:rsid w:val="00585B2F"/>
    <w:rsid w:val="00585CFD"/>
    <w:rsid w:val="00586C89"/>
    <w:rsid w:val="00587227"/>
    <w:rsid w:val="005900A1"/>
    <w:rsid w:val="00591550"/>
    <w:rsid w:val="0059388A"/>
    <w:rsid w:val="00594337"/>
    <w:rsid w:val="00595011"/>
    <w:rsid w:val="00595BD1"/>
    <w:rsid w:val="00595F36"/>
    <w:rsid w:val="00596401"/>
    <w:rsid w:val="005976F5"/>
    <w:rsid w:val="00597908"/>
    <w:rsid w:val="00597A5A"/>
    <w:rsid w:val="005A08A9"/>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2C5B"/>
    <w:rsid w:val="005F2CE0"/>
    <w:rsid w:val="005F30D2"/>
    <w:rsid w:val="005F34C3"/>
    <w:rsid w:val="005F44DF"/>
    <w:rsid w:val="005F5681"/>
    <w:rsid w:val="005F57A2"/>
    <w:rsid w:val="005F5B05"/>
    <w:rsid w:val="005F641C"/>
    <w:rsid w:val="006019D4"/>
    <w:rsid w:val="00603633"/>
    <w:rsid w:val="00605423"/>
    <w:rsid w:val="00606231"/>
    <w:rsid w:val="006109AA"/>
    <w:rsid w:val="00611981"/>
    <w:rsid w:val="00611B90"/>
    <w:rsid w:val="00612222"/>
    <w:rsid w:val="0061535D"/>
    <w:rsid w:val="006163D3"/>
    <w:rsid w:val="00617D3E"/>
    <w:rsid w:val="00620F74"/>
    <w:rsid w:val="00621B17"/>
    <w:rsid w:val="00621B24"/>
    <w:rsid w:val="006222EF"/>
    <w:rsid w:val="00623521"/>
    <w:rsid w:val="00625030"/>
    <w:rsid w:val="006259FF"/>
    <w:rsid w:val="00625D13"/>
    <w:rsid w:val="00631D55"/>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473DA"/>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F7D"/>
    <w:rsid w:val="006659FA"/>
    <w:rsid w:val="00666A7A"/>
    <w:rsid w:val="006711C9"/>
    <w:rsid w:val="0067171D"/>
    <w:rsid w:val="00673A58"/>
    <w:rsid w:val="00674E6D"/>
    <w:rsid w:val="00674FBD"/>
    <w:rsid w:val="00675562"/>
    <w:rsid w:val="00676A1B"/>
    <w:rsid w:val="00677524"/>
    <w:rsid w:val="006842B5"/>
    <w:rsid w:val="006858B0"/>
    <w:rsid w:val="00685C8E"/>
    <w:rsid w:val="00685CA2"/>
    <w:rsid w:val="00685E34"/>
    <w:rsid w:val="00687B5F"/>
    <w:rsid w:val="0069048B"/>
    <w:rsid w:val="00690651"/>
    <w:rsid w:val="006914DB"/>
    <w:rsid w:val="00691B5A"/>
    <w:rsid w:val="00691DB5"/>
    <w:rsid w:val="006929EC"/>
    <w:rsid w:val="0069339A"/>
    <w:rsid w:val="0069391F"/>
    <w:rsid w:val="00693E3C"/>
    <w:rsid w:val="00695EAC"/>
    <w:rsid w:val="006A0F32"/>
    <w:rsid w:val="006A15A7"/>
    <w:rsid w:val="006A1B5A"/>
    <w:rsid w:val="006A2090"/>
    <w:rsid w:val="006A20F3"/>
    <w:rsid w:val="006A22AA"/>
    <w:rsid w:val="006A2A6B"/>
    <w:rsid w:val="006A2F04"/>
    <w:rsid w:val="006A4442"/>
    <w:rsid w:val="006A4F2C"/>
    <w:rsid w:val="006A547D"/>
    <w:rsid w:val="006A6042"/>
    <w:rsid w:val="006A6728"/>
    <w:rsid w:val="006A718C"/>
    <w:rsid w:val="006B0F4A"/>
    <w:rsid w:val="006B19CB"/>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2AE2"/>
    <w:rsid w:val="006D4D62"/>
    <w:rsid w:val="006E1F9B"/>
    <w:rsid w:val="006E2215"/>
    <w:rsid w:val="006E24AE"/>
    <w:rsid w:val="006E3C70"/>
    <w:rsid w:val="006E59E7"/>
    <w:rsid w:val="006E5CDB"/>
    <w:rsid w:val="006E68D6"/>
    <w:rsid w:val="006E6FC6"/>
    <w:rsid w:val="006E7664"/>
    <w:rsid w:val="006E7757"/>
    <w:rsid w:val="006E7DBD"/>
    <w:rsid w:val="006F00A8"/>
    <w:rsid w:val="006F171E"/>
    <w:rsid w:val="006F3F35"/>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FEF"/>
    <w:rsid w:val="00713703"/>
    <w:rsid w:val="0071420B"/>
    <w:rsid w:val="00714688"/>
    <w:rsid w:val="00714C16"/>
    <w:rsid w:val="00715548"/>
    <w:rsid w:val="00715551"/>
    <w:rsid w:val="007167AC"/>
    <w:rsid w:val="00720E65"/>
    <w:rsid w:val="00721E96"/>
    <w:rsid w:val="00723E35"/>
    <w:rsid w:val="00725844"/>
    <w:rsid w:val="00726A4D"/>
    <w:rsid w:val="00730F5C"/>
    <w:rsid w:val="00731B1C"/>
    <w:rsid w:val="007327DA"/>
    <w:rsid w:val="00732D99"/>
    <w:rsid w:val="00734FC3"/>
    <w:rsid w:val="00737377"/>
    <w:rsid w:val="00741CD1"/>
    <w:rsid w:val="007422A3"/>
    <w:rsid w:val="00742557"/>
    <w:rsid w:val="00743530"/>
    <w:rsid w:val="0074370A"/>
    <w:rsid w:val="007440E1"/>
    <w:rsid w:val="0074416D"/>
    <w:rsid w:val="0074542F"/>
    <w:rsid w:val="00753E5C"/>
    <w:rsid w:val="00753FBE"/>
    <w:rsid w:val="00754FD1"/>
    <w:rsid w:val="00755E7D"/>
    <w:rsid w:val="00760E75"/>
    <w:rsid w:val="00761C83"/>
    <w:rsid w:val="00762446"/>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43DC"/>
    <w:rsid w:val="007A6263"/>
    <w:rsid w:val="007A7913"/>
    <w:rsid w:val="007A7F5A"/>
    <w:rsid w:val="007B1C84"/>
    <w:rsid w:val="007B2A2F"/>
    <w:rsid w:val="007B3CE5"/>
    <w:rsid w:val="007B613D"/>
    <w:rsid w:val="007C1FFB"/>
    <w:rsid w:val="007C3784"/>
    <w:rsid w:val="007C3CBD"/>
    <w:rsid w:val="007C6685"/>
    <w:rsid w:val="007C6BCB"/>
    <w:rsid w:val="007C75AA"/>
    <w:rsid w:val="007D74D8"/>
    <w:rsid w:val="007E18DA"/>
    <w:rsid w:val="007E1DF9"/>
    <w:rsid w:val="007E2CA1"/>
    <w:rsid w:val="007E3008"/>
    <w:rsid w:val="007E360C"/>
    <w:rsid w:val="007E3AB4"/>
    <w:rsid w:val="007E5602"/>
    <w:rsid w:val="007F0319"/>
    <w:rsid w:val="007F0357"/>
    <w:rsid w:val="007F0439"/>
    <w:rsid w:val="007F196A"/>
    <w:rsid w:val="007F1C14"/>
    <w:rsid w:val="007F26A6"/>
    <w:rsid w:val="007F3DB0"/>
    <w:rsid w:val="007F4187"/>
    <w:rsid w:val="007F4C22"/>
    <w:rsid w:val="00800247"/>
    <w:rsid w:val="00800499"/>
    <w:rsid w:val="00801C4D"/>
    <w:rsid w:val="00803153"/>
    <w:rsid w:val="008035E9"/>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3771"/>
    <w:rsid w:val="00845EAD"/>
    <w:rsid w:val="00846B32"/>
    <w:rsid w:val="0084706C"/>
    <w:rsid w:val="008477A6"/>
    <w:rsid w:val="008508B0"/>
    <w:rsid w:val="00850994"/>
    <w:rsid w:val="008509EB"/>
    <w:rsid w:val="00850FE0"/>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B7D"/>
    <w:rsid w:val="00865478"/>
    <w:rsid w:val="00865A8A"/>
    <w:rsid w:val="00865CDA"/>
    <w:rsid w:val="00867046"/>
    <w:rsid w:val="008670BE"/>
    <w:rsid w:val="008702DD"/>
    <w:rsid w:val="00870E1B"/>
    <w:rsid w:val="0087101D"/>
    <w:rsid w:val="00871A3C"/>
    <w:rsid w:val="00874CB7"/>
    <w:rsid w:val="00874E04"/>
    <w:rsid w:val="00875483"/>
    <w:rsid w:val="008758C3"/>
    <w:rsid w:val="00875E5C"/>
    <w:rsid w:val="00880192"/>
    <w:rsid w:val="008814D3"/>
    <w:rsid w:val="0088260D"/>
    <w:rsid w:val="00883BE7"/>
    <w:rsid w:val="0088423D"/>
    <w:rsid w:val="008861F2"/>
    <w:rsid w:val="008871BE"/>
    <w:rsid w:val="008913A3"/>
    <w:rsid w:val="00892BAB"/>
    <w:rsid w:val="00892D58"/>
    <w:rsid w:val="00895C16"/>
    <w:rsid w:val="00895E8C"/>
    <w:rsid w:val="00896366"/>
    <w:rsid w:val="00896630"/>
    <w:rsid w:val="008A0EDD"/>
    <w:rsid w:val="008A3743"/>
    <w:rsid w:val="008A4232"/>
    <w:rsid w:val="008A4534"/>
    <w:rsid w:val="008A7010"/>
    <w:rsid w:val="008A73AD"/>
    <w:rsid w:val="008A7A86"/>
    <w:rsid w:val="008A7B3F"/>
    <w:rsid w:val="008B2FB1"/>
    <w:rsid w:val="008B310C"/>
    <w:rsid w:val="008B315D"/>
    <w:rsid w:val="008B3F62"/>
    <w:rsid w:val="008B6100"/>
    <w:rsid w:val="008B695E"/>
    <w:rsid w:val="008B738D"/>
    <w:rsid w:val="008B7BAC"/>
    <w:rsid w:val="008C1596"/>
    <w:rsid w:val="008C1B43"/>
    <w:rsid w:val="008C2502"/>
    <w:rsid w:val="008C2685"/>
    <w:rsid w:val="008C26D2"/>
    <w:rsid w:val="008C3F52"/>
    <w:rsid w:val="008C62D2"/>
    <w:rsid w:val="008D11E0"/>
    <w:rsid w:val="008D13C9"/>
    <w:rsid w:val="008D1631"/>
    <w:rsid w:val="008D231C"/>
    <w:rsid w:val="008D24CF"/>
    <w:rsid w:val="008D2ABD"/>
    <w:rsid w:val="008D47DD"/>
    <w:rsid w:val="008D5992"/>
    <w:rsid w:val="008D5CE9"/>
    <w:rsid w:val="008D6E50"/>
    <w:rsid w:val="008D7869"/>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5D07"/>
    <w:rsid w:val="008F6587"/>
    <w:rsid w:val="008F738B"/>
    <w:rsid w:val="008F7C86"/>
    <w:rsid w:val="008F7F01"/>
    <w:rsid w:val="00904329"/>
    <w:rsid w:val="0090537E"/>
    <w:rsid w:val="009055AD"/>
    <w:rsid w:val="0090751F"/>
    <w:rsid w:val="0091307B"/>
    <w:rsid w:val="00914D23"/>
    <w:rsid w:val="0091520E"/>
    <w:rsid w:val="009155CD"/>
    <w:rsid w:val="009159B6"/>
    <w:rsid w:val="0091646C"/>
    <w:rsid w:val="00916A7E"/>
    <w:rsid w:val="00916B56"/>
    <w:rsid w:val="009204B8"/>
    <w:rsid w:val="00924723"/>
    <w:rsid w:val="00925F61"/>
    <w:rsid w:val="00930549"/>
    <w:rsid w:val="00930964"/>
    <w:rsid w:val="009317C7"/>
    <w:rsid w:val="00931A0D"/>
    <w:rsid w:val="0093357D"/>
    <w:rsid w:val="00934DD7"/>
    <w:rsid w:val="009360BF"/>
    <w:rsid w:val="009367D6"/>
    <w:rsid w:val="009368CE"/>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29C1"/>
    <w:rsid w:val="00952C3A"/>
    <w:rsid w:val="00953C12"/>
    <w:rsid w:val="0095633D"/>
    <w:rsid w:val="009600EB"/>
    <w:rsid w:val="00962602"/>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3856"/>
    <w:rsid w:val="00986149"/>
    <w:rsid w:val="009878FC"/>
    <w:rsid w:val="00990393"/>
    <w:rsid w:val="009932C8"/>
    <w:rsid w:val="009933A9"/>
    <w:rsid w:val="009938F0"/>
    <w:rsid w:val="00993FF7"/>
    <w:rsid w:val="0099404A"/>
    <w:rsid w:val="00995CD3"/>
    <w:rsid w:val="00995EB6"/>
    <w:rsid w:val="00997354"/>
    <w:rsid w:val="00997B08"/>
    <w:rsid w:val="009A1A86"/>
    <w:rsid w:val="009A25FD"/>
    <w:rsid w:val="009A4640"/>
    <w:rsid w:val="009A4751"/>
    <w:rsid w:val="009A52AC"/>
    <w:rsid w:val="009A658C"/>
    <w:rsid w:val="009B07DB"/>
    <w:rsid w:val="009B07DE"/>
    <w:rsid w:val="009B088D"/>
    <w:rsid w:val="009B0D32"/>
    <w:rsid w:val="009B2FED"/>
    <w:rsid w:val="009B4EBE"/>
    <w:rsid w:val="009B4EF5"/>
    <w:rsid w:val="009B63A8"/>
    <w:rsid w:val="009B67B9"/>
    <w:rsid w:val="009B7E3F"/>
    <w:rsid w:val="009C281B"/>
    <w:rsid w:val="009C307B"/>
    <w:rsid w:val="009C3918"/>
    <w:rsid w:val="009C4870"/>
    <w:rsid w:val="009C5B1F"/>
    <w:rsid w:val="009D02B5"/>
    <w:rsid w:val="009D0466"/>
    <w:rsid w:val="009D0C9B"/>
    <w:rsid w:val="009D17AF"/>
    <w:rsid w:val="009D2077"/>
    <w:rsid w:val="009D368F"/>
    <w:rsid w:val="009D3E31"/>
    <w:rsid w:val="009D438F"/>
    <w:rsid w:val="009D5A07"/>
    <w:rsid w:val="009D5A4F"/>
    <w:rsid w:val="009D62C1"/>
    <w:rsid w:val="009D765C"/>
    <w:rsid w:val="009D78CF"/>
    <w:rsid w:val="009D7D03"/>
    <w:rsid w:val="009E4A70"/>
    <w:rsid w:val="009E60FD"/>
    <w:rsid w:val="009E65BF"/>
    <w:rsid w:val="009E665D"/>
    <w:rsid w:val="009E6976"/>
    <w:rsid w:val="009E6A4B"/>
    <w:rsid w:val="009E766C"/>
    <w:rsid w:val="009F217F"/>
    <w:rsid w:val="009F23FB"/>
    <w:rsid w:val="009F3709"/>
    <w:rsid w:val="009F3D3D"/>
    <w:rsid w:val="009F45AA"/>
    <w:rsid w:val="009F49C0"/>
    <w:rsid w:val="009F6E19"/>
    <w:rsid w:val="00A004AD"/>
    <w:rsid w:val="00A01830"/>
    <w:rsid w:val="00A04894"/>
    <w:rsid w:val="00A06D46"/>
    <w:rsid w:val="00A06D8A"/>
    <w:rsid w:val="00A06F44"/>
    <w:rsid w:val="00A0721E"/>
    <w:rsid w:val="00A074BC"/>
    <w:rsid w:val="00A13DB3"/>
    <w:rsid w:val="00A144E9"/>
    <w:rsid w:val="00A15376"/>
    <w:rsid w:val="00A1540A"/>
    <w:rsid w:val="00A17918"/>
    <w:rsid w:val="00A20403"/>
    <w:rsid w:val="00A22096"/>
    <w:rsid w:val="00A22B97"/>
    <w:rsid w:val="00A22DFC"/>
    <w:rsid w:val="00A22F88"/>
    <w:rsid w:val="00A2333F"/>
    <w:rsid w:val="00A258E3"/>
    <w:rsid w:val="00A25BED"/>
    <w:rsid w:val="00A26A82"/>
    <w:rsid w:val="00A3082A"/>
    <w:rsid w:val="00A30B0E"/>
    <w:rsid w:val="00A31178"/>
    <w:rsid w:val="00A31649"/>
    <w:rsid w:val="00A330A2"/>
    <w:rsid w:val="00A33134"/>
    <w:rsid w:val="00A35435"/>
    <w:rsid w:val="00A36073"/>
    <w:rsid w:val="00A40995"/>
    <w:rsid w:val="00A41DA3"/>
    <w:rsid w:val="00A41EB2"/>
    <w:rsid w:val="00A420D2"/>
    <w:rsid w:val="00A4268F"/>
    <w:rsid w:val="00A429B9"/>
    <w:rsid w:val="00A435A7"/>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499D"/>
    <w:rsid w:val="00A84C0E"/>
    <w:rsid w:val="00A850C1"/>
    <w:rsid w:val="00A86A0C"/>
    <w:rsid w:val="00A86A6B"/>
    <w:rsid w:val="00A86E00"/>
    <w:rsid w:val="00A91D02"/>
    <w:rsid w:val="00A91F6F"/>
    <w:rsid w:val="00A92E0D"/>
    <w:rsid w:val="00A944F1"/>
    <w:rsid w:val="00A95021"/>
    <w:rsid w:val="00A95361"/>
    <w:rsid w:val="00AA1914"/>
    <w:rsid w:val="00AA1DC3"/>
    <w:rsid w:val="00AA29E7"/>
    <w:rsid w:val="00AA328C"/>
    <w:rsid w:val="00AA544C"/>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4508"/>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4BD"/>
    <w:rsid w:val="00AE19A2"/>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1C23"/>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951"/>
    <w:rsid w:val="00B2001D"/>
    <w:rsid w:val="00B20E30"/>
    <w:rsid w:val="00B2152D"/>
    <w:rsid w:val="00B217FC"/>
    <w:rsid w:val="00B223C2"/>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3CF2"/>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A8A"/>
    <w:rsid w:val="00B60D6C"/>
    <w:rsid w:val="00B613FF"/>
    <w:rsid w:val="00B614D3"/>
    <w:rsid w:val="00B62254"/>
    <w:rsid w:val="00B62270"/>
    <w:rsid w:val="00B630FC"/>
    <w:rsid w:val="00B63ABD"/>
    <w:rsid w:val="00B66F66"/>
    <w:rsid w:val="00B67744"/>
    <w:rsid w:val="00B703B6"/>
    <w:rsid w:val="00B7617B"/>
    <w:rsid w:val="00B761D6"/>
    <w:rsid w:val="00B763E3"/>
    <w:rsid w:val="00B76EF3"/>
    <w:rsid w:val="00B7754B"/>
    <w:rsid w:val="00B817DE"/>
    <w:rsid w:val="00B81E13"/>
    <w:rsid w:val="00B8208C"/>
    <w:rsid w:val="00B825DE"/>
    <w:rsid w:val="00B82B34"/>
    <w:rsid w:val="00B85774"/>
    <w:rsid w:val="00B85E66"/>
    <w:rsid w:val="00B90B19"/>
    <w:rsid w:val="00B90D6E"/>
    <w:rsid w:val="00B93D94"/>
    <w:rsid w:val="00B94070"/>
    <w:rsid w:val="00B9618E"/>
    <w:rsid w:val="00B96731"/>
    <w:rsid w:val="00B97488"/>
    <w:rsid w:val="00BA189C"/>
    <w:rsid w:val="00BA323A"/>
    <w:rsid w:val="00BA583E"/>
    <w:rsid w:val="00BA5A36"/>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15A8"/>
    <w:rsid w:val="00BC1C8E"/>
    <w:rsid w:val="00BC2308"/>
    <w:rsid w:val="00BC2D7F"/>
    <w:rsid w:val="00BD1D2E"/>
    <w:rsid w:val="00BD363F"/>
    <w:rsid w:val="00BD5AD0"/>
    <w:rsid w:val="00BD5DB7"/>
    <w:rsid w:val="00BD685D"/>
    <w:rsid w:val="00BD68DE"/>
    <w:rsid w:val="00BD7283"/>
    <w:rsid w:val="00BD7677"/>
    <w:rsid w:val="00BE1367"/>
    <w:rsid w:val="00BE252E"/>
    <w:rsid w:val="00BE3A72"/>
    <w:rsid w:val="00BE3E7B"/>
    <w:rsid w:val="00BE4316"/>
    <w:rsid w:val="00BE4361"/>
    <w:rsid w:val="00BE65CB"/>
    <w:rsid w:val="00BE6F8B"/>
    <w:rsid w:val="00BE7E9A"/>
    <w:rsid w:val="00BF1CFD"/>
    <w:rsid w:val="00BF30D8"/>
    <w:rsid w:val="00BF55ED"/>
    <w:rsid w:val="00BF571E"/>
    <w:rsid w:val="00BF61D7"/>
    <w:rsid w:val="00BF65AD"/>
    <w:rsid w:val="00BF6785"/>
    <w:rsid w:val="00C005BA"/>
    <w:rsid w:val="00C00AAD"/>
    <w:rsid w:val="00C00B59"/>
    <w:rsid w:val="00C00B7C"/>
    <w:rsid w:val="00C01F93"/>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AA9"/>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462"/>
    <w:rsid w:val="00C81BDA"/>
    <w:rsid w:val="00C81E80"/>
    <w:rsid w:val="00C82A12"/>
    <w:rsid w:val="00C8323C"/>
    <w:rsid w:val="00C84779"/>
    <w:rsid w:val="00C84AAA"/>
    <w:rsid w:val="00C85B0E"/>
    <w:rsid w:val="00C905E4"/>
    <w:rsid w:val="00C90862"/>
    <w:rsid w:val="00C915D7"/>
    <w:rsid w:val="00C92C0A"/>
    <w:rsid w:val="00C92EBC"/>
    <w:rsid w:val="00C93805"/>
    <w:rsid w:val="00C9549E"/>
    <w:rsid w:val="00C95652"/>
    <w:rsid w:val="00C95888"/>
    <w:rsid w:val="00CA0174"/>
    <w:rsid w:val="00CA02D1"/>
    <w:rsid w:val="00CA04CA"/>
    <w:rsid w:val="00CA1B60"/>
    <w:rsid w:val="00CA490C"/>
    <w:rsid w:val="00CA4DFD"/>
    <w:rsid w:val="00CA60E6"/>
    <w:rsid w:val="00CA6328"/>
    <w:rsid w:val="00CA78A6"/>
    <w:rsid w:val="00CB006D"/>
    <w:rsid w:val="00CB0DB6"/>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A9E"/>
    <w:rsid w:val="00CD0EB4"/>
    <w:rsid w:val="00CD2901"/>
    <w:rsid w:val="00CD330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23C"/>
    <w:rsid w:val="00CF047B"/>
    <w:rsid w:val="00CF09B7"/>
    <w:rsid w:val="00CF35D8"/>
    <w:rsid w:val="00CF671E"/>
    <w:rsid w:val="00CF6E47"/>
    <w:rsid w:val="00D0096C"/>
    <w:rsid w:val="00D0142E"/>
    <w:rsid w:val="00D034D9"/>
    <w:rsid w:val="00D04925"/>
    <w:rsid w:val="00D060D6"/>
    <w:rsid w:val="00D1067A"/>
    <w:rsid w:val="00D1085A"/>
    <w:rsid w:val="00D11A5D"/>
    <w:rsid w:val="00D11BBB"/>
    <w:rsid w:val="00D11FC5"/>
    <w:rsid w:val="00D130F5"/>
    <w:rsid w:val="00D135AB"/>
    <w:rsid w:val="00D15D72"/>
    <w:rsid w:val="00D15FF7"/>
    <w:rsid w:val="00D16C86"/>
    <w:rsid w:val="00D1754B"/>
    <w:rsid w:val="00D176DF"/>
    <w:rsid w:val="00D20C63"/>
    <w:rsid w:val="00D211A5"/>
    <w:rsid w:val="00D21509"/>
    <w:rsid w:val="00D21775"/>
    <w:rsid w:val="00D2221B"/>
    <w:rsid w:val="00D225AB"/>
    <w:rsid w:val="00D2366D"/>
    <w:rsid w:val="00D2553A"/>
    <w:rsid w:val="00D25575"/>
    <w:rsid w:val="00D25CA6"/>
    <w:rsid w:val="00D26E54"/>
    <w:rsid w:val="00D32D9C"/>
    <w:rsid w:val="00D370D2"/>
    <w:rsid w:val="00D37651"/>
    <w:rsid w:val="00D4008B"/>
    <w:rsid w:val="00D41493"/>
    <w:rsid w:val="00D4247D"/>
    <w:rsid w:val="00D43A25"/>
    <w:rsid w:val="00D4516C"/>
    <w:rsid w:val="00D452F9"/>
    <w:rsid w:val="00D46118"/>
    <w:rsid w:val="00D46C0A"/>
    <w:rsid w:val="00D46E0F"/>
    <w:rsid w:val="00D46EBF"/>
    <w:rsid w:val="00D47C6F"/>
    <w:rsid w:val="00D50226"/>
    <w:rsid w:val="00D508A1"/>
    <w:rsid w:val="00D511D7"/>
    <w:rsid w:val="00D51478"/>
    <w:rsid w:val="00D53241"/>
    <w:rsid w:val="00D53F28"/>
    <w:rsid w:val="00D551D1"/>
    <w:rsid w:val="00D56344"/>
    <w:rsid w:val="00D600BA"/>
    <w:rsid w:val="00D607EA"/>
    <w:rsid w:val="00D62A12"/>
    <w:rsid w:val="00D62D38"/>
    <w:rsid w:val="00D637C7"/>
    <w:rsid w:val="00D67DF2"/>
    <w:rsid w:val="00D73861"/>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AF1"/>
    <w:rsid w:val="00DA49D9"/>
    <w:rsid w:val="00DA4F05"/>
    <w:rsid w:val="00DB1610"/>
    <w:rsid w:val="00DB1AA4"/>
    <w:rsid w:val="00DB22C1"/>
    <w:rsid w:val="00DB4785"/>
    <w:rsid w:val="00DB57A5"/>
    <w:rsid w:val="00DB6943"/>
    <w:rsid w:val="00DC08AF"/>
    <w:rsid w:val="00DC3682"/>
    <w:rsid w:val="00DC3AD1"/>
    <w:rsid w:val="00DC4682"/>
    <w:rsid w:val="00DC4719"/>
    <w:rsid w:val="00DC5789"/>
    <w:rsid w:val="00DC5DF9"/>
    <w:rsid w:val="00DD1A4D"/>
    <w:rsid w:val="00DD24C3"/>
    <w:rsid w:val="00DD38BA"/>
    <w:rsid w:val="00DD42C1"/>
    <w:rsid w:val="00DD5863"/>
    <w:rsid w:val="00DD7F1E"/>
    <w:rsid w:val="00DE0260"/>
    <w:rsid w:val="00DE0751"/>
    <w:rsid w:val="00DE2139"/>
    <w:rsid w:val="00DE2303"/>
    <w:rsid w:val="00DE2956"/>
    <w:rsid w:val="00DE46AA"/>
    <w:rsid w:val="00DE4BFC"/>
    <w:rsid w:val="00DE6F07"/>
    <w:rsid w:val="00DE779B"/>
    <w:rsid w:val="00DF0EDB"/>
    <w:rsid w:val="00DF0FA4"/>
    <w:rsid w:val="00DF1595"/>
    <w:rsid w:val="00DF202B"/>
    <w:rsid w:val="00DF32F5"/>
    <w:rsid w:val="00DF3952"/>
    <w:rsid w:val="00DF5226"/>
    <w:rsid w:val="00DF5753"/>
    <w:rsid w:val="00DF5787"/>
    <w:rsid w:val="00DF5BCF"/>
    <w:rsid w:val="00DF6664"/>
    <w:rsid w:val="00DF7E3B"/>
    <w:rsid w:val="00DF7E92"/>
    <w:rsid w:val="00E011C0"/>
    <w:rsid w:val="00E02220"/>
    <w:rsid w:val="00E035DC"/>
    <w:rsid w:val="00E03E63"/>
    <w:rsid w:val="00E040BA"/>
    <w:rsid w:val="00E05FD7"/>
    <w:rsid w:val="00E06A0B"/>
    <w:rsid w:val="00E11453"/>
    <w:rsid w:val="00E11C12"/>
    <w:rsid w:val="00E126B4"/>
    <w:rsid w:val="00E12BAC"/>
    <w:rsid w:val="00E135BC"/>
    <w:rsid w:val="00E13DEC"/>
    <w:rsid w:val="00E14E27"/>
    <w:rsid w:val="00E153F3"/>
    <w:rsid w:val="00E17263"/>
    <w:rsid w:val="00E17EBB"/>
    <w:rsid w:val="00E2188E"/>
    <w:rsid w:val="00E23348"/>
    <w:rsid w:val="00E2354C"/>
    <w:rsid w:val="00E238EC"/>
    <w:rsid w:val="00E27038"/>
    <w:rsid w:val="00E306CE"/>
    <w:rsid w:val="00E31E2B"/>
    <w:rsid w:val="00E31F63"/>
    <w:rsid w:val="00E33276"/>
    <w:rsid w:val="00E352CD"/>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29F"/>
    <w:rsid w:val="00E717C8"/>
    <w:rsid w:val="00E729CA"/>
    <w:rsid w:val="00E74596"/>
    <w:rsid w:val="00E747B2"/>
    <w:rsid w:val="00E7493A"/>
    <w:rsid w:val="00E74A01"/>
    <w:rsid w:val="00E77A04"/>
    <w:rsid w:val="00E77D14"/>
    <w:rsid w:val="00E810F9"/>
    <w:rsid w:val="00E81A0D"/>
    <w:rsid w:val="00E82039"/>
    <w:rsid w:val="00E82AE2"/>
    <w:rsid w:val="00E8371E"/>
    <w:rsid w:val="00E84AE6"/>
    <w:rsid w:val="00E86B17"/>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C2A"/>
    <w:rsid w:val="00EB2FD9"/>
    <w:rsid w:val="00EB3116"/>
    <w:rsid w:val="00EB51AA"/>
    <w:rsid w:val="00EB61CB"/>
    <w:rsid w:val="00EB6E94"/>
    <w:rsid w:val="00EC0F49"/>
    <w:rsid w:val="00EC176A"/>
    <w:rsid w:val="00EC2F8C"/>
    <w:rsid w:val="00EC459B"/>
    <w:rsid w:val="00EC4DE5"/>
    <w:rsid w:val="00EC4E55"/>
    <w:rsid w:val="00EC520A"/>
    <w:rsid w:val="00EC575C"/>
    <w:rsid w:val="00EC5D5F"/>
    <w:rsid w:val="00EC61A6"/>
    <w:rsid w:val="00EC7A10"/>
    <w:rsid w:val="00EC7F68"/>
    <w:rsid w:val="00ED018D"/>
    <w:rsid w:val="00ED01AE"/>
    <w:rsid w:val="00ED09B5"/>
    <w:rsid w:val="00ED1E15"/>
    <w:rsid w:val="00ED30B4"/>
    <w:rsid w:val="00ED312D"/>
    <w:rsid w:val="00ED40B6"/>
    <w:rsid w:val="00ED4DAA"/>
    <w:rsid w:val="00ED7BAF"/>
    <w:rsid w:val="00EE307C"/>
    <w:rsid w:val="00EE3AFF"/>
    <w:rsid w:val="00EE4046"/>
    <w:rsid w:val="00EE47D1"/>
    <w:rsid w:val="00EE5B70"/>
    <w:rsid w:val="00EE636F"/>
    <w:rsid w:val="00EE63CB"/>
    <w:rsid w:val="00EE77C6"/>
    <w:rsid w:val="00EE7C64"/>
    <w:rsid w:val="00EF1077"/>
    <w:rsid w:val="00EF17C0"/>
    <w:rsid w:val="00EF2BE3"/>
    <w:rsid w:val="00EF459A"/>
    <w:rsid w:val="00EF4E23"/>
    <w:rsid w:val="00EF4F8B"/>
    <w:rsid w:val="00EF539B"/>
    <w:rsid w:val="00EF5847"/>
    <w:rsid w:val="00F00A30"/>
    <w:rsid w:val="00F0523F"/>
    <w:rsid w:val="00F055FA"/>
    <w:rsid w:val="00F063AF"/>
    <w:rsid w:val="00F071AF"/>
    <w:rsid w:val="00F07759"/>
    <w:rsid w:val="00F11878"/>
    <w:rsid w:val="00F119AE"/>
    <w:rsid w:val="00F12A03"/>
    <w:rsid w:val="00F12FD2"/>
    <w:rsid w:val="00F14160"/>
    <w:rsid w:val="00F145E2"/>
    <w:rsid w:val="00F14AE8"/>
    <w:rsid w:val="00F173EE"/>
    <w:rsid w:val="00F20EB3"/>
    <w:rsid w:val="00F214A6"/>
    <w:rsid w:val="00F217D4"/>
    <w:rsid w:val="00F2330A"/>
    <w:rsid w:val="00F23498"/>
    <w:rsid w:val="00F23A54"/>
    <w:rsid w:val="00F240A6"/>
    <w:rsid w:val="00F25313"/>
    <w:rsid w:val="00F25546"/>
    <w:rsid w:val="00F2748D"/>
    <w:rsid w:val="00F27A4A"/>
    <w:rsid w:val="00F3083F"/>
    <w:rsid w:val="00F31563"/>
    <w:rsid w:val="00F341FA"/>
    <w:rsid w:val="00F361E0"/>
    <w:rsid w:val="00F363E3"/>
    <w:rsid w:val="00F400D6"/>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063"/>
    <w:rsid w:val="00F70B4C"/>
    <w:rsid w:val="00F71EA0"/>
    <w:rsid w:val="00F728DF"/>
    <w:rsid w:val="00F73128"/>
    <w:rsid w:val="00F73879"/>
    <w:rsid w:val="00F74E67"/>
    <w:rsid w:val="00F75B76"/>
    <w:rsid w:val="00F77445"/>
    <w:rsid w:val="00F778A3"/>
    <w:rsid w:val="00F80F2F"/>
    <w:rsid w:val="00F810FB"/>
    <w:rsid w:val="00F8187C"/>
    <w:rsid w:val="00F83224"/>
    <w:rsid w:val="00F85D8A"/>
    <w:rsid w:val="00F86A86"/>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C65"/>
    <w:rsid w:val="00FB0436"/>
    <w:rsid w:val="00FB2DD4"/>
    <w:rsid w:val="00FB3FFB"/>
    <w:rsid w:val="00FB4D4E"/>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6184"/>
    <w:rsid w:val="00FD7B23"/>
    <w:rsid w:val="00FD7F21"/>
    <w:rsid w:val="00FE1171"/>
    <w:rsid w:val="00FE2046"/>
    <w:rsid w:val="00FE291F"/>
    <w:rsid w:val="00FE3050"/>
    <w:rsid w:val="00FE3503"/>
    <w:rsid w:val="00FE50BF"/>
    <w:rsid w:val="00FE525C"/>
    <w:rsid w:val="00FE5895"/>
    <w:rsid w:val="00FF02BD"/>
    <w:rsid w:val="00FF12C2"/>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76B0565"/>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229740">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5E482334-3B66-4261-8A8D-D52534C50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C1CAA68-DCEC-4BB9-B74B-EAD3AB53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5325</Words>
  <Characters>29289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2017-01-30T19:19:00Z</cp:lastPrinted>
  <dcterms:created xsi:type="dcterms:W3CDTF">2017-01-26T00:14:00Z</dcterms:created>
  <dcterms:modified xsi:type="dcterms:W3CDTF">2017-02-08T23:46:00Z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