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EB1" w:rsidRPr="00A2691A" w:rsidRDefault="00F23F04" w:rsidP="00703EB1">
      <w:pPr>
        <w:tabs>
          <w:tab w:val="right" w:pos="8789"/>
        </w:tabs>
        <w:spacing w:before="240" w:line="240" w:lineRule="auto"/>
        <w:jc w:val="both"/>
        <w:rPr>
          <w:rFonts w:ascii="ITC Avant Garde" w:hAnsi="ITC Avant Garde"/>
          <w:sz w:val="21"/>
          <w:szCs w:val="21"/>
        </w:rPr>
      </w:pPr>
      <w:r w:rsidRPr="00A2691A">
        <w:rPr>
          <w:rFonts w:ascii="ITC Avant Garde" w:hAnsi="ITC Avant Garde"/>
          <w:sz w:val="21"/>
          <w:szCs w:val="21"/>
        </w:rPr>
        <w:t xml:space="preserve">Ciudad de México, a </w:t>
      </w:r>
      <w:r w:rsidR="00002331" w:rsidRPr="00A2691A">
        <w:rPr>
          <w:rFonts w:ascii="ITC Avant Garde" w:hAnsi="ITC Avant Garde"/>
          <w:sz w:val="21"/>
          <w:szCs w:val="21"/>
        </w:rPr>
        <w:t xml:space="preserve">veinticuatro </w:t>
      </w:r>
      <w:r w:rsidRPr="00A2691A">
        <w:rPr>
          <w:rFonts w:ascii="ITC Avant Garde" w:hAnsi="ITC Avant Garde"/>
          <w:sz w:val="21"/>
          <w:szCs w:val="21"/>
        </w:rPr>
        <w:t>de febrero de dos mil diecisiete</w:t>
      </w:r>
      <w:r w:rsidR="007B6C98" w:rsidRPr="00A2691A">
        <w:rPr>
          <w:rFonts w:ascii="ITC Avant Garde" w:hAnsi="ITC Avant Garde"/>
          <w:sz w:val="21"/>
          <w:szCs w:val="21"/>
        </w:rPr>
        <w:t>.- Vist</w:t>
      </w:r>
      <w:r w:rsidR="003C6940" w:rsidRPr="00A2691A">
        <w:rPr>
          <w:rFonts w:ascii="ITC Avant Garde" w:hAnsi="ITC Avant Garde"/>
          <w:sz w:val="21"/>
          <w:szCs w:val="21"/>
        </w:rPr>
        <w:t xml:space="preserve">os </w:t>
      </w:r>
    </w:p>
    <w:p w:rsidR="00703EB1" w:rsidRPr="00A2691A" w:rsidRDefault="003C6940" w:rsidP="00703EB1">
      <w:pPr>
        <w:spacing w:before="240" w:line="240" w:lineRule="auto"/>
        <w:jc w:val="both"/>
        <w:rPr>
          <w:rFonts w:ascii="ITC Avant Garde" w:eastAsia="Calibri" w:hAnsi="ITC Avant Garde" w:cs="Times New Roman"/>
          <w:sz w:val="21"/>
          <w:szCs w:val="21"/>
        </w:rPr>
      </w:pPr>
      <w:r w:rsidRPr="00A2691A">
        <w:rPr>
          <w:rFonts w:ascii="ITC Avant Garde" w:hAnsi="ITC Avant Garde"/>
          <w:b/>
          <w:sz w:val="21"/>
          <w:szCs w:val="21"/>
        </w:rPr>
        <w:t xml:space="preserve">Primero.- </w:t>
      </w:r>
      <w:r w:rsidRPr="00A2691A">
        <w:rPr>
          <w:rFonts w:ascii="ITC Avant Garde" w:hAnsi="ITC Avant Garde"/>
          <w:sz w:val="21"/>
          <w:szCs w:val="21"/>
        </w:rPr>
        <w:t xml:space="preserve">La </w:t>
      </w:r>
      <w:r w:rsidR="00DA4857" w:rsidRPr="00A2691A">
        <w:rPr>
          <w:rFonts w:ascii="ITC Avant Garde" w:hAnsi="ITC Avant Garde"/>
          <w:sz w:val="21"/>
          <w:szCs w:val="21"/>
        </w:rPr>
        <w:t xml:space="preserve">resolución </w:t>
      </w:r>
      <w:r w:rsidRPr="00A2691A">
        <w:rPr>
          <w:rFonts w:ascii="ITC Avant Garde" w:hAnsi="ITC Avant Garde"/>
          <w:sz w:val="21"/>
          <w:szCs w:val="21"/>
        </w:rPr>
        <w:t xml:space="preserve">de fecha diecinueve de enero de dos mil diecisiete </w:t>
      </w:r>
      <w:r w:rsidR="00F82335" w:rsidRPr="00A2691A">
        <w:rPr>
          <w:rFonts w:ascii="ITC Avant Garde" w:hAnsi="ITC Avant Garde"/>
          <w:sz w:val="21"/>
          <w:szCs w:val="21"/>
        </w:rPr>
        <w:t>emitida en el recurso de revisión número R.A. 141/2016 por el</w:t>
      </w:r>
      <w:r w:rsidRPr="00A2691A">
        <w:rPr>
          <w:rFonts w:ascii="ITC Avant Garde" w:hAnsi="ITC Avant Garde"/>
          <w:sz w:val="21"/>
          <w:szCs w:val="21"/>
        </w:rPr>
        <w:t xml:space="preserve"> Primer Tribunal Colegiado de Circuito en Materia Administrativa Especializado en Competencia Económica, Radiodifusión y Telecomunicaciones, con residencia en la Ciudad de México y jurisdicción en toda la República</w:t>
      </w:r>
      <w:r w:rsidRPr="00A2691A">
        <w:rPr>
          <w:rFonts w:ascii="ITC Avant Garde" w:hAnsi="ITC Avant Garde"/>
          <w:sz w:val="21"/>
          <w:szCs w:val="21"/>
          <w:vertAlign w:val="superscript"/>
        </w:rPr>
        <w:footnoteReference w:id="1"/>
      </w:r>
      <w:r w:rsidRPr="00A2691A">
        <w:rPr>
          <w:rFonts w:ascii="ITC Avant Garde" w:hAnsi="ITC Avant Garde"/>
          <w:sz w:val="21"/>
          <w:szCs w:val="21"/>
        </w:rPr>
        <w:t xml:space="preserve"> </w:t>
      </w:r>
      <w:r w:rsidR="00F82335" w:rsidRPr="00A2691A">
        <w:rPr>
          <w:rFonts w:ascii="ITC Avant Garde" w:hAnsi="ITC Avant Garde"/>
          <w:sz w:val="21"/>
          <w:szCs w:val="21"/>
        </w:rPr>
        <w:t xml:space="preserve">en la que, </w:t>
      </w:r>
      <w:r w:rsidRPr="00A2691A">
        <w:rPr>
          <w:rFonts w:ascii="ITC Avant Garde" w:hAnsi="ITC Avant Garde"/>
          <w:sz w:val="21"/>
          <w:szCs w:val="21"/>
        </w:rPr>
        <w:t>por unanimidad de votos</w:t>
      </w:r>
      <w:r w:rsidR="00F82335" w:rsidRPr="00A2691A">
        <w:rPr>
          <w:rFonts w:ascii="ITC Avant Garde" w:hAnsi="ITC Avant Garde"/>
          <w:sz w:val="21"/>
          <w:szCs w:val="21"/>
        </w:rPr>
        <w:t>,</w:t>
      </w:r>
      <w:r w:rsidRPr="00A2691A">
        <w:rPr>
          <w:rFonts w:ascii="ITC Avant Garde" w:hAnsi="ITC Avant Garde"/>
          <w:sz w:val="21"/>
          <w:szCs w:val="21"/>
        </w:rPr>
        <w:t xml:space="preserve"> </w:t>
      </w:r>
      <w:r w:rsidR="00DA4857" w:rsidRPr="00A2691A">
        <w:rPr>
          <w:rFonts w:ascii="ITC Avant Garde" w:hAnsi="ITC Avant Garde"/>
          <w:sz w:val="21"/>
          <w:szCs w:val="21"/>
        </w:rPr>
        <w:t xml:space="preserve">otorgó </w:t>
      </w:r>
      <w:r w:rsidRPr="00A2691A">
        <w:rPr>
          <w:rFonts w:ascii="ITC Avant Garde" w:hAnsi="ITC Avant Garde"/>
          <w:sz w:val="21"/>
          <w:szCs w:val="21"/>
        </w:rPr>
        <w:t xml:space="preserve">el amparo a Televisora del Valle de México, S.A.P.I. de C.V. en contra del acto de autoridad consistente en la resolución de treinta de septiembre de dos mil quince, emitida por el Pleno del IFT en su XXXIII sesión extraordinaria, contenida en el </w:t>
      </w:r>
      <w:r w:rsidRPr="00A2691A">
        <w:rPr>
          <w:rFonts w:ascii="ITC Avant Garde" w:eastAsia="Calibri" w:hAnsi="ITC Avant Garde" w:cs="Times New Roman"/>
          <w:sz w:val="21"/>
          <w:szCs w:val="21"/>
        </w:rPr>
        <w:t>Acuerdo P/IFT/EXT/300915/114, para los siguientes efectos:</w:t>
      </w:r>
      <w:r w:rsidRPr="00A2691A">
        <w:rPr>
          <w:rFonts w:ascii="ITC Avant Garde" w:eastAsia="Calibri" w:hAnsi="ITC Avant Garde" w:cs="Times New Roman"/>
          <w:sz w:val="21"/>
          <w:szCs w:val="21"/>
          <w:vertAlign w:val="superscript"/>
        </w:rPr>
        <w:footnoteReference w:id="2"/>
      </w:r>
      <w:r w:rsidRPr="00A2691A">
        <w:rPr>
          <w:rFonts w:ascii="ITC Avant Garde" w:eastAsia="Calibri" w:hAnsi="ITC Avant Garde" w:cs="Times New Roman"/>
          <w:sz w:val="21"/>
          <w:szCs w:val="21"/>
        </w:rPr>
        <w:t xml:space="preserve"> </w:t>
      </w:r>
    </w:p>
    <w:p w:rsidR="003C6940" w:rsidRPr="00A2691A" w:rsidRDefault="003C6940" w:rsidP="00703EB1">
      <w:pPr>
        <w:spacing w:before="240" w:line="240" w:lineRule="auto"/>
        <w:ind w:left="2125" w:hanging="1417"/>
        <w:jc w:val="both"/>
        <w:rPr>
          <w:rFonts w:ascii="ITC Avant Garde" w:eastAsia="Calibri" w:hAnsi="ITC Avant Garde" w:cs="Times New Roman"/>
          <w:b/>
          <w:color w:val="000000"/>
          <w:sz w:val="17"/>
          <w:szCs w:val="17"/>
        </w:rPr>
      </w:pPr>
      <w:r w:rsidRPr="00A2691A">
        <w:rPr>
          <w:rFonts w:ascii="ITC Avant Garde" w:eastAsia="Calibri" w:hAnsi="ITC Avant Garde" w:cs="Times New Roman"/>
          <w:b/>
          <w:color w:val="000000"/>
          <w:sz w:val="17"/>
          <w:szCs w:val="17"/>
        </w:rPr>
        <w:t>«Consecuencias del fallo.</w:t>
      </w:r>
    </w:p>
    <w:p w:rsidR="003C6940" w:rsidRPr="00A2691A" w:rsidRDefault="003C6940" w:rsidP="00703EB1">
      <w:pPr>
        <w:spacing w:before="240" w:line="240" w:lineRule="auto"/>
        <w:ind w:left="708"/>
        <w:jc w:val="both"/>
        <w:rPr>
          <w:rFonts w:ascii="ITC Avant Garde" w:eastAsia="Calibri" w:hAnsi="ITC Avant Garde" w:cs="Times New Roman"/>
          <w:color w:val="000000"/>
          <w:sz w:val="17"/>
          <w:szCs w:val="17"/>
        </w:rPr>
      </w:pPr>
      <w:r w:rsidRPr="00A2691A">
        <w:rPr>
          <w:rFonts w:ascii="ITC Avant Garde" w:eastAsia="Calibri" w:hAnsi="ITC Avant Garde" w:cs="Times New Roman"/>
          <w:b/>
          <w:color w:val="000000"/>
          <w:sz w:val="17"/>
          <w:szCs w:val="17"/>
        </w:rPr>
        <w:t>188.</w:t>
      </w:r>
      <w:r w:rsidRPr="00A2691A">
        <w:rPr>
          <w:rFonts w:ascii="ITC Avant Garde" w:eastAsia="Calibri" w:hAnsi="ITC Avant Garde" w:cs="Times New Roman"/>
          <w:color w:val="000000"/>
          <w:sz w:val="17"/>
          <w:szCs w:val="17"/>
        </w:rPr>
        <w:t xml:space="preserve"> Atento al resultado de los conceptos de violación analizados, y a que resultaron fundados y suficientes, se impone conceder el amparo y protección de la justicia Federal, para el efecto de que el Pleno del IFT, </w:t>
      </w:r>
      <w:r w:rsidRPr="00A2691A">
        <w:rPr>
          <w:rFonts w:ascii="ITC Avant Garde" w:eastAsia="Calibri" w:hAnsi="ITC Avant Garde" w:cs="Times New Roman"/>
          <w:b/>
          <w:color w:val="000000"/>
          <w:sz w:val="17"/>
          <w:szCs w:val="17"/>
        </w:rPr>
        <w:t>deje sin efectos la resolución</w:t>
      </w:r>
      <w:r w:rsidRPr="00A2691A">
        <w:rPr>
          <w:rFonts w:ascii="ITC Avant Garde" w:eastAsia="Calibri" w:hAnsi="ITC Avant Garde" w:cs="Times New Roman"/>
          <w:color w:val="000000"/>
          <w:sz w:val="17"/>
          <w:szCs w:val="17"/>
        </w:rPr>
        <w:t xml:space="preserve"> contenida en el Acuerdo P/IFT/EXT/300915/114, emitido en la XXXIII sesión extraordinaria celebrada de treinta de septiembre de dos mil quince, para el efecto de que </w:t>
      </w:r>
      <w:r w:rsidRPr="00A2691A">
        <w:rPr>
          <w:rFonts w:ascii="ITC Avant Garde" w:eastAsia="Calibri" w:hAnsi="ITC Avant Garde" w:cs="Times New Roman"/>
          <w:b/>
          <w:color w:val="000000"/>
          <w:sz w:val="17"/>
          <w:szCs w:val="17"/>
        </w:rPr>
        <w:t xml:space="preserve">dicte una nueva evaluando los datos pertinentes y utilizados por la autoridad investigadora al emitir su dictamen preliminar, en claro acatamiento a la orden y mandato impuesto por el legislador en el artículo Trigésimo Noveno Transitorio de la </w:t>
      </w:r>
      <w:proofErr w:type="spellStart"/>
      <w:r w:rsidRPr="00A2691A">
        <w:rPr>
          <w:rFonts w:ascii="ITC Avant Garde" w:eastAsia="Calibri" w:hAnsi="ITC Avant Garde" w:cs="Times New Roman"/>
          <w:b/>
          <w:color w:val="000000"/>
          <w:sz w:val="17"/>
          <w:szCs w:val="17"/>
        </w:rPr>
        <w:t>LFTyR</w:t>
      </w:r>
      <w:proofErr w:type="spellEnd"/>
      <w:r w:rsidRPr="00A2691A">
        <w:rPr>
          <w:rFonts w:ascii="ITC Avant Garde" w:eastAsia="Calibri" w:hAnsi="ITC Avant Garde" w:cs="Times New Roman"/>
          <w:color w:val="000000"/>
          <w:sz w:val="17"/>
          <w:szCs w:val="17"/>
        </w:rPr>
        <w:t xml:space="preserve">. </w:t>
      </w:r>
    </w:p>
    <w:p w:rsidR="00703EB1" w:rsidRPr="00A2691A" w:rsidRDefault="003C6940" w:rsidP="00703EB1">
      <w:pPr>
        <w:spacing w:before="240" w:line="240" w:lineRule="auto"/>
        <w:ind w:left="708"/>
        <w:jc w:val="both"/>
        <w:rPr>
          <w:rFonts w:ascii="ITC Avant Garde" w:eastAsia="Calibri" w:hAnsi="ITC Avant Garde" w:cs="Times New Roman"/>
          <w:sz w:val="17"/>
          <w:szCs w:val="17"/>
        </w:rPr>
      </w:pPr>
      <w:r w:rsidRPr="00A2691A">
        <w:rPr>
          <w:rFonts w:ascii="ITC Avant Garde" w:eastAsia="Calibri" w:hAnsi="ITC Avant Garde" w:cs="Times New Roman"/>
          <w:b/>
          <w:color w:val="000000"/>
          <w:sz w:val="17"/>
          <w:szCs w:val="17"/>
        </w:rPr>
        <w:t>189.</w:t>
      </w:r>
      <w:r w:rsidRPr="00A2691A">
        <w:rPr>
          <w:rFonts w:ascii="ITC Avant Garde" w:eastAsia="Calibri" w:hAnsi="ITC Avant Garde" w:cs="Times New Roman"/>
          <w:color w:val="000000"/>
          <w:sz w:val="17"/>
          <w:szCs w:val="17"/>
        </w:rPr>
        <w:t xml:space="preserve"> En relación con </w:t>
      </w:r>
      <w:r w:rsidRPr="00A2691A">
        <w:rPr>
          <w:rFonts w:ascii="ITC Avant Garde" w:eastAsia="Calibri" w:hAnsi="ITC Avant Garde" w:cs="Times New Roman"/>
          <w:b/>
          <w:color w:val="000000"/>
          <w:sz w:val="17"/>
          <w:szCs w:val="17"/>
        </w:rPr>
        <w:t>las medidas</w:t>
      </w:r>
      <w:r w:rsidRPr="00A2691A">
        <w:rPr>
          <w:rFonts w:ascii="ITC Avant Garde" w:eastAsia="Calibri" w:hAnsi="ITC Avant Garde" w:cs="Times New Roman"/>
          <w:color w:val="000000"/>
          <w:sz w:val="17"/>
          <w:szCs w:val="17"/>
        </w:rPr>
        <w:t xml:space="preserve"> </w:t>
      </w:r>
      <w:r w:rsidRPr="00A2691A">
        <w:rPr>
          <w:rFonts w:ascii="ITC Avant Garde" w:eastAsia="Calibri" w:hAnsi="ITC Avant Garde" w:cs="Times New Roman"/>
          <w:b/>
          <w:color w:val="000000"/>
          <w:sz w:val="17"/>
          <w:szCs w:val="17"/>
        </w:rPr>
        <w:t xml:space="preserve">que, en su caso, </w:t>
      </w:r>
      <w:r w:rsidRPr="00A2691A">
        <w:rPr>
          <w:rFonts w:ascii="ITC Avant Garde" w:eastAsia="Calibri" w:hAnsi="ITC Avant Garde" w:cs="Times New Roman"/>
          <w:color w:val="000000"/>
          <w:sz w:val="17"/>
          <w:szCs w:val="17"/>
        </w:rPr>
        <w:t xml:space="preserve">merezcan ser impuestas, serán las </w:t>
      </w:r>
      <w:r w:rsidRPr="00A2691A">
        <w:rPr>
          <w:rFonts w:ascii="ITC Avant Garde" w:eastAsia="Calibri" w:hAnsi="ITC Avant Garde" w:cs="Times New Roman"/>
          <w:b/>
          <w:color w:val="000000"/>
          <w:sz w:val="17"/>
          <w:szCs w:val="17"/>
        </w:rPr>
        <w:t>oportunas</w:t>
      </w:r>
      <w:r w:rsidRPr="00A2691A">
        <w:rPr>
          <w:rFonts w:ascii="ITC Avant Garde" w:eastAsia="Calibri" w:hAnsi="ITC Avant Garde" w:cs="Times New Roman"/>
          <w:color w:val="000000"/>
          <w:sz w:val="17"/>
          <w:szCs w:val="17"/>
        </w:rPr>
        <w:t xml:space="preserve">, razonables, idóneas y pertinentes, </w:t>
      </w:r>
      <w:r w:rsidRPr="00A2691A">
        <w:rPr>
          <w:rFonts w:ascii="ITC Avant Garde" w:eastAsia="Calibri" w:hAnsi="ITC Avant Garde" w:cs="Times New Roman"/>
          <w:b/>
          <w:color w:val="000000"/>
          <w:sz w:val="17"/>
          <w:szCs w:val="17"/>
        </w:rPr>
        <w:t>al momento que sean decretadas</w:t>
      </w:r>
      <w:r w:rsidRPr="00A2691A">
        <w:rPr>
          <w:rFonts w:ascii="ITC Avant Garde" w:eastAsia="Calibri" w:hAnsi="ITC Avant Garde" w:cs="Times New Roman"/>
          <w:color w:val="000000"/>
          <w:sz w:val="17"/>
          <w:szCs w:val="17"/>
        </w:rPr>
        <w:t xml:space="preserve">, eso sí, </w:t>
      </w:r>
      <w:r w:rsidRPr="00A2691A">
        <w:rPr>
          <w:rFonts w:ascii="ITC Avant Garde" w:eastAsia="Calibri" w:hAnsi="ITC Avant Garde" w:cs="Times New Roman"/>
          <w:b/>
          <w:color w:val="000000"/>
          <w:sz w:val="17"/>
          <w:szCs w:val="17"/>
        </w:rPr>
        <w:t>con base y de acuerdo con en el marco regulador pertinente</w:t>
      </w:r>
      <w:r w:rsidRPr="00A2691A">
        <w:rPr>
          <w:rFonts w:ascii="ITC Avant Garde" w:eastAsia="Calibri" w:hAnsi="ITC Avant Garde" w:cs="Times New Roman"/>
          <w:color w:val="000000"/>
          <w:sz w:val="17"/>
          <w:szCs w:val="17"/>
        </w:rPr>
        <w:t>.</w:t>
      </w:r>
      <w:r w:rsidRPr="00A2691A">
        <w:rPr>
          <w:rFonts w:ascii="ITC Avant Garde" w:eastAsia="Calibri" w:hAnsi="ITC Avant Garde" w:cs="Times New Roman"/>
          <w:sz w:val="17"/>
          <w:szCs w:val="17"/>
        </w:rPr>
        <w:t>» [Énfasis añadido]</w:t>
      </w:r>
    </w:p>
    <w:p w:rsidR="00703EB1" w:rsidRPr="00A2691A" w:rsidRDefault="003C6940" w:rsidP="00703EB1">
      <w:pPr>
        <w:tabs>
          <w:tab w:val="right" w:pos="8789"/>
        </w:tabs>
        <w:spacing w:before="240" w:line="240" w:lineRule="auto"/>
        <w:jc w:val="both"/>
        <w:rPr>
          <w:rFonts w:ascii="ITC Avant Garde" w:hAnsi="ITC Avant Garde"/>
          <w:sz w:val="21"/>
          <w:szCs w:val="21"/>
        </w:rPr>
      </w:pPr>
      <w:r w:rsidRPr="00A2691A">
        <w:rPr>
          <w:rFonts w:ascii="ITC Avant Garde" w:hAnsi="ITC Avant Garde"/>
          <w:b/>
          <w:sz w:val="21"/>
          <w:szCs w:val="21"/>
        </w:rPr>
        <w:t xml:space="preserve">Segundo.- </w:t>
      </w:r>
      <w:r w:rsidRPr="00A2691A">
        <w:rPr>
          <w:rFonts w:ascii="ITC Avant Garde" w:hAnsi="ITC Avant Garde"/>
          <w:sz w:val="21"/>
          <w:szCs w:val="21"/>
        </w:rPr>
        <w:t>L</w:t>
      </w:r>
      <w:r w:rsidR="00F23F04" w:rsidRPr="00A2691A">
        <w:rPr>
          <w:rFonts w:ascii="ITC Avant Garde" w:hAnsi="ITC Avant Garde"/>
          <w:sz w:val="21"/>
          <w:szCs w:val="21"/>
        </w:rPr>
        <w:t xml:space="preserve">a resolución </w:t>
      </w:r>
      <w:r w:rsidR="00A109AC" w:rsidRPr="00A2691A">
        <w:rPr>
          <w:rFonts w:ascii="ITC Avant Garde" w:hAnsi="ITC Avant Garde"/>
          <w:sz w:val="21"/>
          <w:szCs w:val="21"/>
        </w:rPr>
        <w:t>adopta</w:t>
      </w:r>
      <w:r w:rsidR="00F23F04" w:rsidRPr="00A2691A">
        <w:rPr>
          <w:rFonts w:ascii="ITC Avant Garde" w:hAnsi="ITC Avant Garde"/>
          <w:sz w:val="21"/>
          <w:szCs w:val="21"/>
        </w:rPr>
        <w:t xml:space="preserve">da en el </w:t>
      </w:r>
      <w:r w:rsidR="007B6C98" w:rsidRPr="00A2691A">
        <w:rPr>
          <w:rFonts w:ascii="ITC Avant Garde" w:hAnsi="ITC Avant Garde"/>
          <w:sz w:val="21"/>
          <w:szCs w:val="21"/>
        </w:rPr>
        <w:t>acuerdo P/IFT/</w:t>
      </w:r>
      <w:r w:rsidR="00E27E00" w:rsidRPr="00A2691A">
        <w:rPr>
          <w:rFonts w:ascii="ITC Avant Garde" w:hAnsi="ITC Avant Garde"/>
          <w:sz w:val="21"/>
          <w:szCs w:val="21"/>
        </w:rPr>
        <w:t>240217/104</w:t>
      </w:r>
      <w:r w:rsidR="00F23F04" w:rsidRPr="00A2691A">
        <w:rPr>
          <w:rFonts w:ascii="ITC Avant Garde" w:hAnsi="ITC Avant Garde"/>
          <w:sz w:val="21"/>
          <w:szCs w:val="21"/>
        </w:rPr>
        <w:t xml:space="preserve">, </w:t>
      </w:r>
      <w:r w:rsidR="00A109AC" w:rsidRPr="00A2691A">
        <w:rPr>
          <w:rFonts w:ascii="ITC Avant Garde" w:hAnsi="ITC Avant Garde"/>
          <w:sz w:val="21"/>
          <w:szCs w:val="21"/>
        </w:rPr>
        <w:t>emiti</w:t>
      </w:r>
      <w:r w:rsidR="00F23F04" w:rsidRPr="00A2691A">
        <w:rPr>
          <w:rFonts w:ascii="ITC Avant Garde" w:hAnsi="ITC Avant Garde"/>
          <w:sz w:val="21"/>
          <w:szCs w:val="21"/>
        </w:rPr>
        <w:t>da en el expediente AI/DC-001-2014, por el Pleno del Instituto Federal de Telecomunicaciones</w:t>
      </w:r>
      <w:r w:rsidR="007B6C98" w:rsidRPr="00A2691A">
        <w:rPr>
          <w:rFonts w:ascii="ITC Avant Garde" w:hAnsi="ITC Avant Garde"/>
          <w:sz w:val="21"/>
          <w:szCs w:val="21"/>
        </w:rPr>
        <w:t xml:space="preserve"> (Instituto</w:t>
      </w:r>
      <w:r w:rsidR="00FE0AAF" w:rsidRPr="00A2691A">
        <w:rPr>
          <w:rFonts w:ascii="ITC Avant Garde" w:hAnsi="ITC Avant Garde"/>
          <w:sz w:val="21"/>
          <w:szCs w:val="21"/>
        </w:rPr>
        <w:t>)</w:t>
      </w:r>
      <w:r w:rsidR="007B6C98" w:rsidRPr="00A2691A">
        <w:rPr>
          <w:rFonts w:ascii="ITC Avant Garde" w:hAnsi="ITC Avant Garde"/>
          <w:sz w:val="21"/>
          <w:szCs w:val="21"/>
        </w:rPr>
        <w:t xml:space="preserve"> en su </w:t>
      </w:r>
      <w:r w:rsidR="00E27E00" w:rsidRPr="00A2691A">
        <w:rPr>
          <w:rFonts w:ascii="ITC Avant Garde" w:hAnsi="ITC Avant Garde"/>
          <w:sz w:val="21"/>
          <w:szCs w:val="21"/>
        </w:rPr>
        <w:t xml:space="preserve">VIII </w:t>
      </w:r>
      <w:r w:rsidR="007B6C98" w:rsidRPr="00A2691A">
        <w:rPr>
          <w:rFonts w:ascii="ITC Avant Garde" w:hAnsi="ITC Avant Garde"/>
          <w:sz w:val="21"/>
          <w:szCs w:val="21"/>
        </w:rPr>
        <w:t>Sesión Ordinaria</w:t>
      </w:r>
      <w:r w:rsidR="00F23F04" w:rsidRPr="00A2691A">
        <w:rPr>
          <w:rFonts w:ascii="ITC Avant Garde" w:hAnsi="ITC Avant Garde"/>
          <w:sz w:val="21"/>
          <w:szCs w:val="21"/>
        </w:rPr>
        <w:t xml:space="preserve"> del</w:t>
      </w:r>
      <w:r w:rsidR="007B6C98" w:rsidRPr="00A2691A">
        <w:rPr>
          <w:rFonts w:ascii="ITC Avant Garde" w:hAnsi="ITC Avant Garde"/>
          <w:sz w:val="21"/>
          <w:szCs w:val="21"/>
        </w:rPr>
        <w:t xml:space="preserve"> dos mil diecisiete</w:t>
      </w:r>
      <w:r w:rsidR="00F23F04" w:rsidRPr="00A2691A">
        <w:rPr>
          <w:rFonts w:ascii="ITC Avant Garde" w:hAnsi="ITC Avant Garde"/>
          <w:sz w:val="21"/>
          <w:szCs w:val="21"/>
        </w:rPr>
        <w:t xml:space="preserve">, celebrada </w:t>
      </w:r>
      <w:r w:rsidR="00002331" w:rsidRPr="00A2691A">
        <w:rPr>
          <w:rFonts w:ascii="ITC Avant Garde" w:hAnsi="ITC Avant Garde"/>
          <w:sz w:val="21"/>
          <w:szCs w:val="21"/>
        </w:rPr>
        <w:t>en esta misma fecha</w:t>
      </w:r>
      <w:r w:rsidR="00E859B3" w:rsidRPr="00A2691A">
        <w:rPr>
          <w:rFonts w:ascii="ITC Avant Garde" w:hAnsi="ITC Avant Garde"/>
          <w:sz w:val="21"/>
          <w:szCs w:val="21"/>
        </w:rPr>
        <w:t>, la cual resuelve:</w:t>
      </w:r>
    </w:p>
    <w:p w:rsidR="00703EB1" w:rsidRPr="00A2691A" w:rsidRDefault="00E27E00" w:rsidP="00703EB1">
      <w:pPr>
        <w:tabs>
          <w:tab w:val="right" w:pos="8789"/>
        </w:tabs>
        <w:spacing w:before="240" w:line="240" w:lineRule="auto"/>
        <w:ind w:left="709"/>
        <w:jc w:val="both"/>
        <w:rPr>
          <w:rFonts w:ascii="ITC Avant Garde" w:hAnsi="ITC Avant Garde"/>
          <w:sz w:val="17"/>
          <w:szCs w:val="17"/>
        </w:rPr>
      </w:pPr>
      <w:r w:rsidRPr="00A2691A">
        <w:rPr>
          <w:rFonts w:ascii="ITC Avant Garde" w:hAnsi="ITC Avant Garde"/>
          <w:sz w:val="17"/>
          <w:szCs w:val="17"/>
        </w:rPr>
        <w:t>PRIMERO.-</w:t>
      </w:r>
      <w:r w:rsidRPr="00A2691A">
        <w:rPr>
          <w:rFonts w:ascii="ITC Avant Garde" w:hAnsi="ITC Avant Garde"/>
          <w:sz w:val="17"/>
          <w:szCs w:val="17"/>
        </w:rPr>
        <w:tab/>
        <w:t xml:space="preserve">Para efectos del presente procedimiento se determina como Grupo de Interés Económico al encabezado por </w:t>
      </w:r>
      <w:r w:rsidR="001650B3" w:rsidRPr="00A2691A">
        <w:rPr>
          <w:rFonts w:ascii="ITC Avant Garde" w:hAnsi="ITC Avant Garde"/>
          <w:sz w:val="17"/>
          <w:szCs w:val="17"/>
        </w:rPr>
        <w:t>GRUPO TELEVISA S.A.B. DE C.V. Y DEL QUE FORMAN PARTE LAS EMPRESAS CABLEVISIÓN, S.A.B. DE C.V., TELEVISIÓN INTERNACIONAL, S.A. DE C.V., GRUPO CABLE TV, S.A. DE C.V., INNOVA, S. DE R.L. DE C.V. Y CABLEMÁS, S.A. DE C.V.</w:t>
      </w:r>
      <w:r w:rsidRPr="00A2691A">
        <w:rPr>
          <w:rFonts w:ascii="ITC Avant Garde" w:hAnsi="ITC Avant Garde"/>
          <w:sz w:val="17"/>
          <w:szCs w:val="17"/>
        </w:rPr>
        <w:t>; sus subsidiarias y/o filiales concesionarias; las personas físicas y morales que sean sus causahabientes o cesionarios de sus derechos o que resulten de cambios en sus estructuras corporativas o modificaciones accionarias; y las demás personas físicas y morales que participen en el Mercado Relevante definido en esta resolución que se encuentren bajo el control o influencia decisiva, directa o indirecta, de cualquiera de las personas señaladas en este resolutivo, en los términos expuestos en términos del Anexo I del presente documento, el cual forma parte integral de la presente resolución.</w:t>
      </w:r>
    </w:p>
    <w:p w:rsidR="00703EB1" w:rsidRPr="00A2691A" w:rsidRDefault="00961297" w:rsidP="00703EB1">
      <w:pPr>
        <w:pStyle w:val="Prrafodelista"/>
        <w:spacing w:before="240" w:line="240" w:lineRule="auto"/>
        <w:ind w:left="709"/>
        <w:contextualSpacing w:val="0"/>
        <w:jc w:val="both"/>
        <w:rPr>
          <w:rFonts w:ascii="ITC Avant Garde" w:hAnsi="ITC Avant Garde"/>
          <w:sz w:val="17"/>
          <w:szCs w:val="17"/>
        </w:rPr>
      </w:pPr>
      <w:r w:rsidRPr="00A2691A">
        <w:rPr>
          <w:rFonts w:ascii="ITC Avant Garde" w:hAnsi="ITC Avant Garde"/>
          <w:sz w:val="17"/>
          <w:szCs w:val="17"/>
        </w:rPr>
        <w:t>SEGUNDO.-</w:t>
      </w:r>
      <w:r w:rsidR="00E27E00" w:rsidRPr="00A2691A">
        <w:rPr>
          <w:rFonts w:ascii="ITC Avant Garde" w:hAnsi="ITC Avant Garde"/>
          <w:sz w:val="17"/>
          <w:szCs w:val="17"/>
        </w:rPr>
        <w:t xml:space="preserve">El grupo de interés económico referido en el Resolutivo Primero, conforme a las consideraciones presentadas en la sección VI.4. </w:t>
      </w:r>
      <w:proofErr w:type="gramStart"/>
      <w:r w:rsidR="00E27E00" w:rsidRPr="00A2691A">
        <w:rPr>
          <w:rFonts w:ascii="ITC Avant Garde" w:hAnsi="ITC Avant Garde"/>
          <w:sz w:val="17"/>
          <w:szCs w:val="17"/>
        </w:rPr>
        <w:t>de</w:t>
      </w:r>
      <w:proofErr w:type="gramEnd"/>
      <w:r w:rsidR="00E27E00" w:rsidRPr="00A2691A">
        <w:rPr>
          <w:rFonts w:ascii="ITC Avant Garde" w:hAnsi="ITC Avant Garde"/>
          <w:sz w:val="17"/>
          <w:szCs w:val="17"/>
        </w:rPr>
        <w:t xml:space="preserve"> esta Resolución, detenta poder sustancial en el mercado de la provisión del servicio de televisión y audio restringido en los términos definidos en la sección VI.3. </w:t>
      </w:r>
      <w:proofErr w:type="gramStart"/>
      <w:r w:rsidR="00E27E00" w:rsidRPr="00A2691A">
        <w:rPr>
          <w:rFonts w:ascii="ITC Avant Garde" w:hAnsi="ITC Avant Garde"/>
          <w:sz w:val="17"/>
          <w:szCs w:val="17"/>
        </w:rPr>
        <w:t>de</w:t>
      </w:r>
      <w:proofErr w:type="gramEnd"/>
      <w:r w:rsidR="00E27E00" w:rsidRPr="00A2691A">
        <w:rPr>
          <w:rFonts w:ascii="ITC Avant Garde" w:hAnsi="ITC Avant Garde"/>
          <w:sz w:val="17"/>
          <w:szCs w:val="17"/>
        </w:rPr>
        <w:t xml:space="preserve"> esta Resolución.</w:t>
      </w:r>
    </w:p>
    <w:p w:rsidR="00703EB1" w:rsidRPr="00A2691A" w:rsidRDefault="005D45FA" w:rsidP="00703EB1">
      <w:pPr>
        <w:pStyle w:val="Prrafodelista"/>
        <w:spacing w:before="240" w:line="240" w:lineRule="auto"/>
        <w:ind w:left="709"/>
        <w:contextualSpacing w:val="0"/>
        <w:jc w:val="both"/>
        <w:rPr>
          <w:rFonts w:ascii="ITC Avant Garde" w:hAnsi="ITC Avant Garde"/>
          <w:sz w:val="17"/>
          <w:szCs w:val="17"/>
        </w:rPr>
      </w:pPr>
      <w:r w:rsidRPr="00A2691A">
        <w:rPr>
          <w:rFonts w:ascii="ITC Avant Garde" w:hAnsi="ITC Avant Garde"/>
          <w:sz w:val="17"/>
          <w:szCs w:val="17"/>
        </w:rPr>
        <w:t>TERCERO.- Se instruye a la Unidad de Competencia Económica para que, en términos de la fracción X del artículo 96 de la Ley Federal de Competencia Económica: (i) publique en la página de internet del Instituto la presente Resolución, salvo por la información que haya sido clasificada como reservada o confidencial, y (ii) publique los datos relevantes en el Diario Oficial de la Federación.</w:t>
      </w:r>
    </w:p>
    <w:p w:rsidR="00703EB1" w:rsidRPr="00A2691A" w:rsidRDefault="005D45FA" w:rsidP="00703EB1">
      <w:pPr>
        <w:spacing w:before="240" w:line="240" w:lineRule="auto"/>
        <w:rPr>
          <w:rFonts w:ascii="ITC Avant Garde" w:eastAsia="Calibri" w:hAnsi="ITC Avant Garde" w:cs="Helvetica"/>
          <w:sz w:val="21"/>
          <w:szCs w:val="21"/>
        </w:rPr>
      </w:pPr>
      <w:r w:rsidRPr="00A2691A">
        <w:rPr>
          <w:rFonts w:ascii="ITC Avant Garde" w:eastAsia="Calibri" w:hAnsi="ITC Avant Garde" w:cs="Helvetica"/>
          <w:sz w:val="21"/>
          <w:szCs w:val="21"/>
        </w:rPr>
        <w:t>En virtud de lo anterior y</w:t>
      </w:r>
    </w:p>
    <w:p w:rsidR="00703EB1" w:rsidRPr="00A2691A" w:rsidRDefault="007B6C98" w:rsidP="00703EB1">
      <w:pPr>
        <w:pStyle w:val="Ttulo2"/>
        <w:spacing w:after="240"/>
        <w:jc w:val="center"/>
        <w:rPr>
          <w:rFonts w:ascii="ITC Avant Garde" w:hAnsi="ITC Avant Garde"/>
          <w:b/>
          <w:color w:val="000000" w:themeColor="text1"/>
          <w:sz w:val="22"/>
          <w:szCs w:val="22"/>
        </w:rPr>
      </w:pPr>
      <w:r w:rsidRPr="00A2691A">
        <w:rPr>
          <w:rFonts w:ascii="ITC Avant Garde" w:hAnsi="ITC Avant Garde"/>
          <w:b/>
          <w:color w:val="000000" w:themeColor="text1"/>
          <w:sz w:val="22"/>
          <w:szCs w:val="22"/>
        </w:rPr>
        <w:lastRenderedPageBreak/>
        <w:t>CONSIDERANDO</w:t>
      </w:r>
    </w:p>
    <w:p w:rsidR="00703EB1" w:rsidRPr="00A2691A" w:rsidRDefault="007B6C98" w:rsidP="00703EB1">
      <w:pPr>
        <w:spacing w:before="240" w:line="240" w:lineRule="auto"/>
        <w:jc w:val="both"/>
        <w:rPr>
          <w:rFonts w:ascii="ITC Avant Garde" w:eastAsia="Calibri" w:hAnsi="ITC Avant Garde" w:cs="Times New Roman"/>
          <w:sz w:val="21"/>
          <w:szCs w:val="21"/>
        </w:rPr>
      </w:pPr>
      <w:r w:rsidRPr="00A2691A">
        <w:rPr>
          <w:rFonts w:ascii="ITC Avant Garde" w:eastAsia="Calibri" w:hAnsi="ITC Avant Garde" w:cs="Times New Roman"/>
          <w:sz w:val="21"/>
          <w:szCs w:val="21"/>
        </w:rPr>
        <w:t xml:space="preserve">De conformidad con el artículo 28, párrafos décimo quinto y décimo sexto de la Constitución Política de los Estados Unidos Mexicanos (CPEUM), el Instituto tiene por objeto el desarrollo eficiente de la radiodifusión y las telecomunicaciones,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w:t>
      </w:r>
      <w:r w:rsidR="00F31CFA" w:rsidRPr="00A2691A">
        <w:rPr>
          <w:rFonts w:ascii="ITC Avant Garde" w:eastAsia="Calibri" w:hAnsi="ITC Avant Garde" w:cs="Times New Roman"/>
          <w:sz w:val="21"/>
          <w:szCs w:val="21"/>
        </w:rPr>
        <w:t>artículos 6º y 7º</w:t>
      </w:r>
      <w:r w:rsidRPr="00A2691A">
        <w:rPr>
          <w:rFonts w:ascii="ITC Avant Garde" w:eastAsia="Calibri" w:hAnsi="ITC Avant Garde" w:cs="Times New Roman"/>
          <w:sz w:val="21"/>
          <w:szCs w:val="21"/>
        </w:rPr>
        <w:t xml:space="preserve"> de la CPEUM. Asimismo, el Instituto es la autoridad en materia de competencia económica en los sectores de telecomunicaciones y radiodifusión, por lo que en éstos ejerce en forma exclusiva las facultades que el artículo 28 de la CPEUM y las leyes establecen para la Comisión Federal de Competencia Económica (CFCE).</w:t>
      </w:r>
    </w:p>
    <w:p w:rsidR="00703EB1" w:rsidRPr="00A2691A" w:rsidRDefault="007B6C98" w:rsidP="00703EB1">
      <w:pPr>
        <w:spacing w:before="240" w:line="240" w:lineRule="auto"/>
        <w:jc w:val="both"/>
        <w:rPr>
          <w:rFonts w:ascii="ITC Avant Garde" w:eastAsia="Calibri" w:hAnsi="ITC Avant Garde" w:cs="Times New Roman"/>
          <w:sz w:val="21"/>
          <w:szCs w:val="21"/>
        </w:rPr>
      </w:pPr>
      <w:r w:rsidRPr="00A2691A">
        <w:rPr>
          <w:rFonts w:ascii="ITC Avant Garde" w:eastAsia="Calibri" w:hAnsi="ITC Avant Garde" w:cs="Times New Roman"/>
          <w:sz w:val="21"/>
          <w:szCs w:val="21"/>
        </w:rPr>
        <w:t>Así, con fundamento en los artículos 12, fracción XI, 18, párrafo séptimo, de la Ley Federal de Competencia Económica (LFCE), 15, fracciones XVIII y XX, 17, fracción I, 264, primer párrafo, 279 y 280 de la Ley Federal de Telecomunicaciones y Radiodifusión (LFTR), al Pleno del Instituto le corresponden atribuciones para: i) resolver sobre condiciones de competencia, competencia efectiva, existencia de poder sustancial en el mercado relevante u otras cuestiones relativas al proceso de libre concurrencia o competencia económica a que hacen referencia la LFCE u otras leyes o disposiciones; y ii) determinar la existencia de agentes económicos con poder sustancial en los mercados relevantes que correspondan en los sectores de telecomunicaciones y radiodifusión de conformidad con el procedimiento establecido en el artículo 96 de la LFCE.</w:t>
      </w:r>
    </w:p>
    <w:p w:rsidR="00703EB1" w:rsidRPr="00A2691A" w:rsidRDefault="007B6C98" w:rsidP="00703EB1">
      <w:pPr>
        <w:spacing w:before="240" w:line="240" w:lineRule="auto"/>
        <w:jc w:val="both"/>
        <w:rPr>
          <w:rFonts w:ascii="ITC Avant Garde" w:eastAsia="Calibri" w:hAnsi="ITC Avant Garde" w:cs="Times New Roman"/>
          <w:sz w:val="21"/>
          <w:szCs w:val="21"/>
        </w:rPr>
      </w:pPr>
      <w:r w:rsidRPr="00A2691A">
        <w:rPr>
          <w:rFonts w:ascii="ITC Avant Garde" w:eastAsia="Calibri" w:hAnsi="ITC Avant Garde" w:cs="Times New Roman"/>
          <w:sz w:val="21"/>
          <w:szCs w:val="21"/>
        </w:rPr>
        <w:t>El artículo 96, fracción X, de la LFCE, establece que una vez que el Pleno del Instituto emita resolución donde declare la existencia de agentes económicos con poder sustancial en un mercado relevante, ésta se deberá notificar, en su caso, al Ejecutivo Federal y a la autoridad coordinadora del sector correspondiente, para efectos de que, en su caso, la autoridad coordinadora de sector pueda establecer la regulación y medidas correspondientes, para lo cual podrá solicitar la opinión no vinculatoria de la autoridad de competencia.</w:t>
      </w:r>
    </w:p>
    <w:p w:rsidR="00703EB1" w:rsidRPr="00A2691A" w:rsidRDefault="006C1AA0" w:rsidP="00703EB1">
      <w:pPr>
        <w:spacing w:before="240" w:line="240" w:lineRule="auto"/>
        <w:jc w:val="both"/>
        <w:rPr>
          <w:rFonts w:ascii="ITC Avant Garde" w:eastAsia="Calibri" w:hAnsi="ITC Avant Garde" w:cs="Times New Roman"/>
          <w:sz w:val="21"/>
          <w:szCs w:val="21"/>
        </w:rPr>
      </w:pPr>
      <w:r w:rsidRPr="00A2691A">
        <w:rPr>
          <w:rFonts w:ascii="ITC Avant Garde" w:eastAsia="Calibri" w:hAnsi="ITC Avant Garde" w:cs="Times New Roman"/>
          <w:sz w:val="21"/>
          <w:szCs w:val="21"/>
        </w:rPr>
        <w:t>E</w:t>
      </w:r>
      <w:r w:rsidR="007B6C98" w:rsidRPr="00A2691A">
        <w:rPr>
          <w:rFonts w:ascii="ITC Avant Garde" w:eastAsia="Calibri" w:hAnsi="ITC Avant Garde" w:cs="Times New Roman"/>
          <w:sz w:val="21"/>
          <w:szCs w:val="21"/>
        </w:rPr>
        <w:t>l Instituto es la autoridad coordinadora en los sectores de radiodifusión y telecomunicaciones, en los cuales ejerce en forma exclusiva las facultades que establece el artículo 28 de la CPEUM y aquellas establecidas por las leyes para la CFCE, por lo que en aquellos casos donde el Pleno del Instituto declare la existencia de agentes económicos con poder sustancial actuando como autoridad en materia de competencia, también será la autoridad encargada de imponer la regulación y medidas correspondientes con fundamento con fundamento en los artículos 28, décimo sexto párrafo, de la CPEUM, 15, fracción XX, 17, fr</w:t>
      </w:r>
      <w:r w:rsidRPr="00A2691A">
        <w:rPr>
          <w:rFonts w:ascii="ITC Avant Garde" w:eastAsia="Calibri" w:hAnsi="ITC Avant Garde" w:cs="Times New Roman"/>
          <w:sz w:val="21"/>
          <w:szCs w:val="21"/>
        </w:rPr>
        <w:t>acción I y 281 de la LFT</w:t>
      </w:r>
      <w:r w:rsidR="007B6C98" w:rsidRPr="00A2691A">
        <w:rPr>
          <w:rFonts w:ascii="ITC Avant Garde" w:eastAsia="Calibri" w:hAnsi="ITC Avant Garde" w:cs="Times New Roman"/>
          <w:sz w:val="21"/>
          <w:szCs w:val="21"/>
        </w:rPr>
        <w:t>R, así como 6, fracción VI del Estatuto Orgánico del Instituto.</w:t>
      </w:r>
    </w:p>
    <w:p w:rsidR="00703EB1" w:rsidRPr="00A2691A" w:rsidRDefault="007B6C98" w:rsidP="00703EB1">
      <w:pPr>
        <w:spacing w:before="240" w:line="240" w:lineRule="auto"/>
        <w:jc w:val="both"/>
        <w:rPr>
          <w:rFonts w:ascii="ITC Avant Garde" w:eastAsia="Calibri" w:hAnsi="ITC Avant Garde" w:cs="Times New Roman"/>
          <w:sz w:val="21"/>
          <w:szCs w:val="21"/>
        </w:rPr>
      </w:pPr>
      <w:r w:rsidRPr="00A2691A">
        <w:rPr>
          <w:rFonts w:ascii="ITC Avant Garde" w:eastAsia="Calibri" w:hAnsi="ITC Avant Garde" w:cs="Times New Roman"/>
          <w:sz w:val="21"/>
          <w:szCs w:val="21"/>
        </w:rPr>
        <w:t>Ahora bien, de conformidad con los artículos 21 y 24, fracción VII del Estatuto Orgánico del Instituto, a la Unidad de Política Regulatoria del Instituto, le corresponde sustanciar los procedimientos para la imposición de medidas a los agentes económicos con poder sustancial, por lo que dicha Unidad propondrá al Pleno la resolución correspondiente atendiendo a lo dispuesto en los artículos 166,</w:t>
      </w:r>
      <w:r w:rsidR="00E859B3" w:rsidRPr="00A2691A">
        <w:rPr>
          <w:rFonts w:ascii="ITC Avant Garde" w:eastAsia="Calibri" w:hAnsi="ITC Avant Garde" w:cs="Times New Roman"/>
          <w:sz w:val="21"/>
          <w:szCs w:val="21"/>
        </w:rPr>
        <w:t xml:space="preserve"> </w:t>
      </w:r>
      <w:r w:rsidRPr="00A2691A">
        <w:rPr>
          <w:rFonts w:ascii="ITC Avant Garde" w:eastAsia="Calibri" w:hAnsi="ITC Avant Garde" w:cs="Times New Roman"/>
          <w:sz w:val="21"/>
          <w:szCs w:val="21"/>
        </w:rPr>
        <w:t>208</w:t>
      </w:r>
      <w:r w:rsidR="006A70B9" w:rsidRPr="00A2691A">
        <w:rPr>
          <w:rFonts w:ascii="ITC Avant Garde" w:eastAsia="Calibri" w:hAnsi="ITC Avant Garde" w:cs="Times New Roman"/>
          <w:sz w:val="21"/>
          <w:szCs w:val="21"/>
        </w:rPr>
        <w:t xml:space="preserve"> y 279 a 284, con relación a los diversos</w:t>
      </w:r>
      <w:r w:rsidRPr="00A2691A">
        <w:rPr>
          <w:rFonts w:ascii="ITC Avant Garde" w:eastAsia="Calibri" w:hAnsi="ITC Avant Garde" w:cs="Times New Roman"/>
          <w:sz w:val="21"/>
          <w:szCs w:val="21"/>
        </w:rPr>
        <w:t xml:space="preserve"> 267 a 277 de la LFTR. </w:t>
      </w:r>
    </w:p>
    <w:p w:rsidR="00703EB1" w:rsidRPr="00A2691A" w:rsidRDefault="0048277A" w:rsidP="00703EB1">
      <w:pPr>
        <w:spacing w:before="240" w:line="240" w:lineRule="auto"/>
        <w:jc w:val="both"/>
        <w:rPr>
          <w:rFonts w:ascii="ITC Avant Garde" w:hAnsi="ITC Avant Garde"/>
          <w:sz w:val="21"/>
          <w:szCs w:val="21"/>
        </w:rPr>
      </w:pPr>
      <w:r w:rsidRPr="00A2691A">
        <w:rPr>
          <w:rFonts w:ascii="ITC Avant Garde" w:eastAsia="Calibri" w:hAnsi="ITC Avant Garde" w:cs="Times New Roman"/>
          <w:sz w:val="21"/>
          <w:szCs w:val="21"/>
        </w:rPr>
        <w:t>Por lo tanto, e</w:t>
      </w:r>
      <w:r w:rsidR="00253A54" w:rsidRPr="00A2691A">
        <w:rPr>
          <w:rFonts w:ascii="ITC Avant Garde" w:eastAsia="Calibri" w:hAnsi="ITC Avant Garde" w:cs="Times New Roman"/>
          <w:sz w:val="21"/>
          <w:szCs w:val="21"/>
        </w:rPr>
        <w:t>l Pleno del Instituto, de conformidad con los artículos citados a lo largo del presente acuerdo; así</w:t>
      </w:r>
      <w:r w:rsidR="00253A54" w:rsidRPr="00A2691A">
        <w:rPr>
          <w:rFonts w:ascii="ITC Avant Garde" w:hAnsi="ITC Avant Garde"/>
          <w:sz w:val="21"/>
          <w:szCs w:val="21"/>
        </w:rPr>
        <w:t xml:space="preserve"> como en los artículos 117, tercer párrafo, de la Ley Federal de Competencia Económica, 69, fracción I</w:t>
      </w:r>
      <w:r w:rsidR="006A70B9" w:rsidRPr="00A2691A">
        <w:rPr>
          <w:rFonts w:ascii="ITC Avant Garde" w:hAnsi="ITC Avant Garde"/>
          <w:sz w:val="21"/>
          <w:szCs w:val="21"/>
        </w:rPr>
        <w:t>V</w:t>
      </w:r>
      <w:r w:rsidR="00253A54" w:rsidRPr="00A2691A">
        <w:rPr>
          <w:rFonts w:ascii="ITC Avant Garde" w:hAnsi="ITC Avant Garde"/>
          <w:sz w:val="21"/>
          <w:szCs w:val="21"/>
        </w:rPr>
        <w:t>, 70, fracción I</w:t>
      </w:r>
      <w:r w:rsidR="006A70B9" w:rsidRPr="00A2691A">
        <w:rPr>
          <w:rFonts w:ascii="ITC Avant Garde" w:hAnsi="ITC Avant Garde"/>
          <w:sz w:val="21"/>
          <w:szCs w:val="21"/>
        </w:rPr>
        <w:t xml:space="preserve"> y</w:t>
      </w:r>
      <w:r w:rsidR="00253A54" w:rsidRPr="00A2691A">
        <w:rPr>
          <w:rFonts w:ascii="ITC Avant Garde" w:hAnsi="ITC Avant Garde"/>
          <w:sz w:val="21"/>
          <w:szCs w:val="21"/>
        </w:rPr>
        <w:t xml:space="preserve"> 78 de las Disposiciones Regulatorias de la Ley Federal </w:t>
      </w:r>
      <w:r w:rsidR="00253A54" w:rsidRPr="00A2691A">
        <w:rPr>
          <w:rFonts w:ascii="ITC Avant Garde" w:hAnsi="ITC Avant Garde"/>
          <w:sz w:val="21"/>
          <w:szCs w:val="21"/>
        </w:rPr>
        <w:lastRenderedPageBreak/>
        <w:t>de Competencia Económica para los sectores de telecomunicaciones y radiodifusión;</w:t>
      </w:r>
      <w:r w:rsidR="00253A54" w:rsidRPr="00A2691A">
        <w:rPr>
          <w:rStyle w:val="Refdenotaalpie"/>
          <w:rFonts w:ascii="ITC Avant Garde" w:hAnsi="ITC Avant Garde"/>
          <w:sz w:val="21"/>
          <w:szCs w:val="21"/>
        </w:rPr>
        <w:footnoteReference w:id="3"/>
      </w:r>
      <w:r w:rsidR="00253A54" w:rsidRPr="00A2691A">
        <w:rPr>
          <w:rFonts w:ascii="ITC Avant Garde" w:eastAsia="Times New Roman" w:hAnsi="ITC Avant Garde" w:cs="Courier New"/>
          <w:color w:val="000000"/>
          <w:sz w:val="21"/>
          <w:szCs w:val="21"/>
          <w:lang w:eastAsia="es-MX"/>
        </w:rPr>
        <w:t xml:space="preserve"> </w:t>
      </w:r>
      <w:r w:rsidR="00253A54" w:rsidRPr="00A2691A">
        <w:rPr>
          <w:rFonts w:ascii="ITC Avant Garde" w:hAnsi="ITC Avant Garde"/>
          <w:sz w:val="21"/>
          <w:szCs w:val="21"/>
        </w:rPr>
        <w:t xml:space="preserve">y 4, fracción I del Estatuto Orgánico del Instituto Federal de Telecomunicaciones, </w:t>
      </w:r>
    </w:p>
    <w:p w:rsidR="00703EB1" w:rsidRPr="00A2691A" w:rsidRDefault="00F23F04" w:rsidP="00703EB1">
      <w:pPr>
        <w:pStyle w:val="Ttulo2"/>
        <w:spacing w:after="240"/>
        <w:jc w:val="center"/>
        <w:rPr>
          <w:rFonts w:ascii="ITC Avant Garde" w:hAnsi="ITC Avant Garde"/>
          <w:b/>
          <w:color w:val="000000" w:themeColor="text1"/>
          <w:sz w:val="22"/>
          <w:szCs w:val="22"/>
        </w:rPr>
      </w:pPr>
      <w:r w:rsidRPr="00A2691A">
        <w:rPr>
          <w:rFonts w:ascii="ITC Avant Garde" w:hAnsi="ITC Avant Garde"/>
          <w:b/>
          <w:color w:val="000000" w:themeColor="text1"/>
          <w:sz w:val="22"/>
          <w:szCs w:val="22"/>
        </w:rPr>
        <w:t>ACUERDA:</w:t>
      </w:r>
    </w:p>
    <w:p w:rsidR="007E5B1D" w:rsidRPr="00A2691A" w:rsidRDefault="005D45FA" w:rsidP="00703EB1">
      <w:pPr>
        <w:pStyle w:val="Prrafodelista"/>
        <w:spacing w:before="240" w:line="240" w:lineRule="auto"/>
        <w:ind w:left="0"/>
        <w:contextualSpacing w:val="0"/>
        <w:jc w:val="both"/>
        <w:rPr>
          <w:rFonts w:ascii="ITC Avant Garde" w:hAnsi="ITC Avant Garde"/>
          <w:sz w:val="21"/>
          <w:szCs w:val="21"/>
        </w:rPr>
      </w:pPr>
      <w:r w:rsidRPr="00A2691A">
        <w:rPr>
          <w:rFonts w:ascii="ITC Avant Garde" w:hAnsi="ITC Avant Garde"/>
          <w:b/>
          <w:bCs/>
          <w:color w:val="000000"/>
          <w:sz w:val="21"/>
          <w:szCs w:val="21"/>
        </w:rPr>
        <w:t xml:space="preserve">Único.- </w:t>
      </w:r>
      <w:r w:rsidR="0048277A" w:rsidRPr="00A2691A">
        <w:rPr>
          <w:rFonts w:ascii="ITC Avant Garde" w:hAnsi="ITC Avant Garde"/>
          <w:sz w:val="21"/>
          <w:szCs w:val="21"/>
        </w:rPr>
        <w:t xml:space="preserve">Instruir </w:t>
      </w:r>
      <w:r w:rsidRPr="00A2691A">
        <w:rPr>
          <w:rFonts w:ascii="ITC Avant Garde" w:hAnsi="ITC Avant Garde"/>
          <w:sz w:val="21"/>
          <w:szCs w:val="21"/>
        </w:rPr>
        <w:t xml:space="preserve">a </w:t>
      </w:r>
      <w:r w:rsidR="0048277A" w:rsidRPr="00A2691A">
        <w:rPr>
          <w:rFonts w:ascii="ITC Avant Garde" w:hAnsi="ITC Avant Garde"/>
          <w:sz w:val="21"/>
          <w:szCs w:val="21"/>
        </w:rPr>
        <w:t xml:space="preserve">la </w:t>
      </w:r>
      <w:r w:rsidRPr="00A2691A">
        <w:rPr>
          <w:rFonts w:ascii="ITC Avant Garde" w:hAnsi="ITC Avant Garde"/>
          <w:sz w:val="21"/>
          <w:szCs w:val="21"/>
        </w:rPr>
        <w:t>Unidad de Política Regulatoria de este Instituto, a fin de que en el ámbito de sus atribuciones inicie el procedimiento previsto en el artículo 281 de la Ley Federal de Tel</w:t>
      </w:r>
      <w:r w:rsidR="00002331" w:rsidRPr="00A2691A">
        <w:rPr>
          <w:rFonts w:ascii="ITC Avant Garde" w:hAnsi="ITC Avant Garde"/>
          <w:sz w:val="21"/>
          <w:szCs w:val="21"/>
        </w:rPr>
        <w:t>ecomunicaciones y Radiodifusión, tomando en co</w:t>
      </w:r>
      <w:r w:rsidR="00DA4857" w:rsidRPr="00A2691A">
        <w:rPr>
          <w:rFonts w:ascii="ITC Avant Garde" w:hAnsi="ITC Avant Garde"/>
          <w:sz w:val="21"/>
          <w:szCs w:val="21"/>
        </w:rPr>
        <w:t>nsideración el contenido de la r</w:t>
      </w:r>
      <w:r w:rsidR="00002331" w:rsidRPr="00A2691A">
        <w:rPr>
          <w:rFonts w:ascii="ITC Avant Garde" w:hAnsi="ITC Avant Garde"/>
          <w:sz w:val="21"/>
          <w:szCs w:val="21"/>
        </w:rPr>
        <w:t>es</w:t>
      </w:r>
      <w:r w:rsidR="00DA4857" w:rsidRPr="00A2691A">
        <w:rPr>
          <w:rFonts w:ascii="ITC Avant Garde" w:hAnsi="ITC Avant Garde"/>
          <w:sz w:val="21"/>
          <w:szCs w:val="21"/>
        </w:rPr>
        <w:t xml:space="preserve">olución de esta autoridad </w:t>
      </w:r>
      <w:r w:rsidR="00002331" w:rsidRPr="00A2691A">
        <w:rPr>
          <w:rFonts w:ascii="ITC Avant Garde" w:hAnsi="ITC Avant Garde"/>
          <w:sz w:val="21"/>
          <w:szCs w:val="21"/>
        </w:rPr>
        <w:t>en el expediente AI/DC-001-2014 y demás información que resulte pertinente para que las medidas que, en su caso presente a consideración de este Pleno</w:t>
      </w:r>
      <w:r w:rsidR="00DA4857" w:rsidRPr="00A2691A">
        <w:rPr>
          <w:rFonts w:ascii="ITC Avant Garde" w:hAnsi="ITC Avant Garde"/>
          <w:sz w:val="21"/>
          <w:szCs w:val="21"/>
        </w:rPr>
        <w:t>,</w:t>
      </w:r>
      <w:r w:rsidR="00002331" w:rsidRPr="00A2691A">
        <w:rPr>
          <w:rFonts w:ascii="ITC Avant Garde" w:hAnsi="ITC Avant Garde"/>
          <w:sz w:val="21"/>
          <w:szCs w:val="21"/>
        </w:rPr>
        <w:t xml:space="preserve"> sean oportunas, razonables, idóneas y pertinentes al momento que sean </w:t>
      </w:r>
      <w:r w:rsidR="00DA4857" w:rsidRPr="00A2691A">
        <w:rPr>
          <w:rFonts w:ascii="ITC Avant Garde" w:hAnsi="ITC Avant Garde"/>
          <w:sz w:val="21"/>
          <w:szCs w:val="21"/>
        </w:rPr>
        <w:t>presentadas.</w:t>
      </w:r>
    </w:p>
    <w:p w:rsidR="00F23F04" w:rsidRPr="00A2691A" w:rsidRDefault="00710197" w:rsidP="00703EB1">
      <w:pPr>
        <w:pStyle w:val="Prrafodelista"/>
        <w:spacing w:before="240" w:line="240" w:lineRule="auto"/>
        <w:ind w:left="0"/>
        <w:jc w:val="both"/>
        <w:rPr>
          <w:rFonts w:ascii="ITC Avant Garde" w:hAnsi="ITC Avant Garde"/>
          <w:sz w:val="12"/>
          <w:szCs w:val="12"/>
        </w:rPr>
      </w:pPr>
      <w:r w:rsidRPr="00A2691A">
        <w:rPr>
          <w:rFonts w:ascii="ITC Avant Garde" w:hAnsi="ITC Avant Garde"/>
          <w:sz w:val="12"/>
          <w:szCs w:val="12"/>
        </w:rPr>
        <w:t xml:space="preserve">El presente Acuerdo fue aprobado por el Pleno del Instituto Federal de Telecomunicaciones en su VIII Sesión Ordinaria celebrada el 24 de febrero de 2017, </w:t>
      </w:r>
      <w:r w:rsidRPr="00A2691A">
        <w:rPr>
          <w:rFonts w:ascii="ITC Avant Garde" w:hAnsi="ITC Avant Garde"/>
          <w:bCs/>
          <w:sz w:val="12"/>
          <w:szCs w:val="12"/>
        </w:rPr>
        <w:t>por mayoría</w:t>
      </w:r>
      <w:r w:rsidRPr="00A2691A">
        <w:rPr>
          <w:rFonts w:ascii="ITC Avant Garde" w:hAnsi="ITC Avant Garde"/>
          <w:sz w:val="12"/>
          <w:szCs w:val="12"/>
        </w:rPr>
        <w:t xml:space="preserve"> de votos de los Comisionados Gabriel Oswaldo Contreras Saldívar, Ernesto Estrada González, Adriana Sofía Labardini Inzunza, María Elena Estavillo Flores, Mario Germán Fromow Rangel y Javier Juárez Mojica; y con el voto en contra del Comisionado Adolfo Cuevas Teja;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P/IFT/240217/105.</w:t>
      </w:r>
    </w:p>
    <w:sectPr w:rsidR="00F23F04" w:rsidRPr="00A2691A" w:rsidSect="00961297">
      <w:headerReference w:type="even" r:id="rId7"/>
      <w:headerReference w:type="default" r:id="rId8"/>
      <w:footerReference w:type="default" r:id="rId9"/>
      <w:headerReference w:type="first" r:id="rId10"/>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948" w:rsidRDefault="00A74948" w:rsidP="00406DF7">
      <w:pPr>
        <w:spacing w:after="0" w:line="240" w:lineRule="auto"/>
      </w:pPr>
      <w:r>
        <w:separator/>
      </w:r>
    </w:p>
  </w:endnote>
  <w:endnote w:type="continuationSeparator" w:id="0">
    <w:p w:rsidR="00A74948" w:rsidRDefault="00A74948" w:rsidP="0040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504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373875"/>
      <w:docPartObj>
        <w:docPartGallery w:val="Page Numbers (Bottom of Page)"/>
        <w:docPartUnique/>
      </w:docPartObj>
    </w:sdtPr>
    <w:sdtEndPr>
      <w:rPr>
        <w:rFonts w:ascii="ITC Avant Garde" w:hAnsi="ITC Avant Garde"/>
        <w:sz w:val="16"/>
      </w:rPr>
    </w:sdtEndPr>
    <w:sdtContent>
      <w:p w:rsidR="008B1AB5" w:rsidRPr="00A2691A" w:rsidRDefault="008B1AB5" w:rsidP="00A2691A">
        <w:pPr>
          <w:pStyle w:val="Piedepgina"/>
          <w:jc w:val="right"/>
          <w:rPr>
            <w:rFonts w:ascii="ITC Avant Garde" w:hAnsi="ITC Avant Garde"/>
            <w:sz w:val="16"/>
          </w:rPr>
        </w:pPr>
        <w:r w:rsidRPr="008B1AB5">
          <w:rPr>
            <w:rFonts w:ascii="ITC Avant Garde" w:hAnsi="ITC Avant Garde"/>
            <w:sz w:val="16"/>
          </w:rPr>
          <w:fldChar w:fldCharType="begin"/>
        </w:r>
        <w:r w:rsidRPr="008B1AB5">
          <w:rPr>
            <w:rFonts w:ascii="ITC Avant Garde" w:hAnsi="ITC Avant Garde"/>
            <w:sz w:val="16"/>
          </w:rPr>
          <w:instrText>PAGE   \* MERGEFORMAT</w:instrText>
        </w:r>
        <w:r w:rsidRPr="008B1AB5">
          <w:rPr>
            <w:rFonts w:ascii="ITC Avant Garde" w:hAnsi="ITC Avant Garde"/>
            <w:sz w:val="16"/>
          </w:rPr>
          <w:fldChar w:fldCharType="separate"/>
        </w:r>
        <w:r w:rsidR="00022866" w:rsidRPr="00022866">
          <w:rPr>
            <w:rFonts w:ascii="ITC Avant Garde" w:hAnsi="ITC Avant Garde"/>
            <w:noProof/>
            <w:sz w:val="16"/>
            <w:lang w:val="es-ES"/>
          </w:rPr>
          <w:t>3</w:t>
        </w:r>
        <w:r w:rsidRPr="008B1AB5">
          <w:rPr>
            <w:rFonts w:ascii="ITC Avant Garde" w:hAnsi="ITC Avant Garde"/>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948" w:rsidRDefault="00A74948" w:rsidP="00406DF7">
      <w:pPr>
        <w:spacing w:after="0" w:line="240" w:lineRule="auto"/>
      </w:pPr>
      <w:r>
        <w:separator/>
      </w:r>
    </w:p>
  </w:footnote>
  <w:footnote w:type="continuationSeparator" w:id="0">
    <w:p w:rsidR="00A74948" w:rsidRDefault="00A74948" w:rsidP="00406DF7">
      <w:pPr>
        <w:spacing w:after="0" w:line="240" w:lineRule="auto"/>
      </w:pPr>
      <w:r>
        <w:continuationSeparator/>
      </w:r>
    </w:p>
  </w:footnote>
  <w:footnote w:id="1">
    <w:p w:rsidR="003C6940" w:rsidRPr="00961297" w:rsidRDefault="003C6940" w:rsidP="003C6940">
      <w:pPr>
        <w:pStyle w:val="Textonotapie"/>
        <w:rPr>
          <w:rFonts w:ascii="ITC Avant Garde" w:hAnsi="ITC Avant Garde"/>
          <w:sz w:val="14"/>
          <w:szCs w:val="16"/>
        </w:rPr>
      </w:pPr>
      <w:r w:rsidRPr="00961297">
        <w:rPr>
          <w:rStyle w:val="Refdenotaalpie"/>
          <w:rFonts w:ascii="ITC Avant Garde" w:hAnsi="ITC Avant Garde"/>
          <w:sz w:val="14"/>
          <w:szCs w:val="16"/>
        </w:rPr>
        <w:footnoteRef/>
      </w:r>
      <w:r w:rsidRPr="00961297">
        <w:rPr>
          <w:rFonts w:ascii="ITC Avant Garde" w:hAnsi="ITC Avant Garde"/>
          <w:sz w:val="14"/>
          <w:szCs w:val="16"/>
        </w:rPr>
        <w:t xml:space="preserve"> Al conocer de la sentencia dictada el veintisiete de septiembre de dos mil dieciséis, por la juez Primero de Distrito en Materia Administrativa Especializada en Competencia Económica, Radiodifusión y Telecomunicaciones, con residencia en la ciudad de México y jurisdicción en toda la República, en el juicio de amparo indirecto 1675/2015 que resolvió sobreseer el juicio al determinar que el quejoso no tenía interés legítimo. </w:t>
      </w:r>
    </w:p>
  </w:footnote>
  <w:footnote w:id="2">
    <w:p w:rsidR="003C6940" w:rsidRPr="00FE621E" w:rsidRDefault="003C6940" w:rsidP="003C6940">
      <w:pPr>
        <w:pStyle w:val="Textonotapie"/>
        <w:rPr>
          <w:sz w:val="16"/>
          <w:szCs w:val="16"/>
        </w:rPr>
      </w:pPr>
      <w:r w:rsidRPr="00961297">
        <w:rPr>
          <w:rStyle w:val="Refdenotaalpie"/>
          <w:rFonts w:ascii="ITC Avant Garde" w:hAnsi="ITC Avant Garde"/>
          <w:sz w:val="14"/>
          <w:szCs w:val="16"/>
        </w:rPr>
        <w:footnoteRef/>
      </w:r>
      <w:r w:rsidRPr="00961297">
        <w:rPr>
          <w:rFonts w:ascii="ITC Avant Garde" w:hAnsi="ITC Avant Garde"/>
          <w:sz w:val="14"/>
          <w:szCs w:val="16"/>
        </w:rPr>
        <w:t xml:space="preserve"> Párrafos 188 y 189 de la Sentencia.</w:t>
      </w:r>
      <w:r w:rsidRPr="00961297">
        <w:rPr>
          <w:sz w:val="14"/>
          <w:szCs w:val="16"/>
        </w:rPr>
        <w:t xml:space="preserve"> </w:t>
      </w:r>
    </w:p>
  </w:footnote>
  <w:footnote w:id="3">
    <w:p w:rsidR="00253A54" w:rsidRPr="00961297" w:rsidRDefault="00253A54" w:rsidP="00253A54">
      <w:pPr>
        <w:pStyle w:val="Textonotapie"/>
        <w:rPr>
          <w:rFonts w:ascii="ITC Avant Garde" w:hAnsi="ITC Avant Garde"/>
          <w:sz w:val="14"/>
          <w:szCs w:val="16"/>
        </w:rPr>
      </w:pPr>
      <w:r w:rsidRPr="00961297">
        <w:rPr>
          <w:rStyle w:val="Refdenotaalpie"/>
          <w:rFonts w:ascii="ITC Avant Garde" w:hAnsi="ITC Avant Garde"/>
          <w:sz w:val="14"/>
          <w:szCs w:val="16"/>
        </w:rPr>
        <w:footnoteRef/>
      </w:r>
      <w:r w:rsidRPr="00961297">
        <w:rPr>
          <w:rFonts w:ascii="ITC Avant Garde" w:hAnsi="ITC Avant Garde"/>
          <w:sz w:val="14"/>
          <w:szCs w:val="16"/>
        </w:rPr>
        <w:t xml:space="preserve"> Publicadas en el DOF el veintiocho de julio de dos mil catorce, aplicables al presente procedimiento de conformidad con lo dispuesto en el artículo Segundo Transitorio de la publicación en el DOF aludida y al haber estado vigentes al inicio del procedimiento tramitado en el expediente AI/DC-001-2014.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DF7" w:rsidRDefault="00A7494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887907" o:spid="_x0000_s2071" type="#_x0000_t75" style="position:absolute;margin-left:0;margin-top:0;width:612pt;height:11in;z-index:-251657216;mso-position-horizontal:center;mso-position-horizontal-relative:margin;mso-position-vertical:center;mso-position-vertical-relative:margin" o:allowincell="f">
          <v:imagedata r:id="rId1" o:title="Constitución2_bost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ED4" w:rsidRDefault="002E6ED4" w:rsidP="00253A54">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DF7" w:rsidRDefault="00A7494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887906" o:spid="_x0000_s2070" type="#_x0000_t75" style="position:absolute;margin-left:0;margin-top:0;width:612pt;height:11in;z-index:-251658240;mso-position-horizontal:center;mso-position-horizontal-relative:margin;mso-position-vertical:center;mso-position-vertical-relative:margin" o:allowincell="f">
          <v:imagedata r:id="rId1" o:title="Constitución2_bost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87904"/>
    <w:multiLevelType w:val="hybridMultilevel"/>
    <w:tmpl w:val="CD385578"/>
    <w:lvl w:ilvl="0" w:tplc="F5ECFF32">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DF2BB5"/>
    <w:multiLevelType w:val="hybridMultilevel"/>
    <w:tmpl w:val="5A3AD9B8"/>
    <w:lvl w:ilvl="0" w:tplc="2C8A2AA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AA0BE7"/>
    <w:multiLevelType w:val="hybridMultilevel"/>
    <w:tmpl w:val="66EC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F7"/>
    <w:rsid w:val="00002331"/>
    <w:rsid w:val="00022866"/>
    <w:rsid w:val="000843EA"/>
    <w:rsid w:val="000C7CCD"/>
    <w:rsid w:val="000E576B"/>
    <w:rsid w:val="0014328C"/>
    <w:rsid w:val="00163778"/>
    <w:rsid w:val="001650B3"/>
    <w:rsid w:val="00181250"/>
    <w:rsid w:val="00197D24"/>
    <w:rsid w:val="001C1C34"/>
    <w:rsid w:val="00253A54"/>
    <w:rsid w:val="002E6ED4"/>
    <w:rsid w:val="003264BC"/>
    <w:rsid w:val="00326769"/>
    <w:rsid w:val="00384D43"/>
    <w:rsid w:val="003C6940"/>
    <w:rsid w:val="00406DF7"/>
    <w:rsid w:val="0042017A"/>
    <w:rsid w:val="0043482F"/>
    <w:rsid w:val="0048277A"/>
    <w:rsid w:val="004A4026"/>
    <w:rsid w:val="004B5D06"/>
    <w:rsid w:val="005B5683"/>
    <w:rsid w:val="005D45FA"/>
    <w:rsid w:val="005E55CE"/>
    <w:rsid w:val="005F622A"/>
    <w:rsid w:val="00617ED7"/>
    <w:rsid w:val="00635EC5"/>
    <w:rsid w:val="006A70B9"/>
    <w:rsid w:val="006C1AA0"/>
    <w:rsid w:val="00703EB1"/>
    <w:rsid w:val="00710197"/>
    <w:rsid w:val="007522D6"/>
    <w:rsid w:val="007963D2"/>
    <w:rsid w:val="007B6C98"/>
    <w:rsid w:val="007E5B1D"/>
    <w:rsid w:val="0084416E"/>
    <w:rsid w:val="008B1AB5"/>
    <w:rsid w:val="008F30CF"/>
    <w:rsid w:val="00911823"/>
    <w:rsid w:val="00961297"/>
    <w:rsid w:val="00965755"/>
    <w:rsid w:val="009A4EB7"/>
    <w:rsid w:val="009E464E"/>
    <w:rsid w:val="00A02D10"/>
    <w:rsid w:val="00A109AC"/>
    <w:rsid w:val="00A2691A"/>
    <w:rsid w:val="00A72149"/>
    <w:rsid w:val="00A74948"/>
    <w:rsid w:val="00A80E5D"/>
    <w:rsid w:val="00AA3F65"/>
    <w:rsid w:val="00AB7617"/>
    <w:rsid w:val="00AD154E"/>
    <w:rsid w:val="00B934EC"/>
    <w:rsid w:val="00BB22C6"/>
    <w:rsid w:val="00BF63DD"/>
    <w:rsid w:val="00C72AAC"/>
    <w:rsid w:val="00CC18FC"/>
    <w:rsid w:val="00CC7F8E"/>
    <w:rsid w:val="00D26CE6"/>
    <w:rsid w:val="00D465E9"/>
    <w:rsid w:val="00DA4857"/>
    <w:rsid w:val="00DE09C3"/>
    <w:rsid w:val="00DE7D4B"/>
    <w:rsid w:val="00E02CC7"/>
    <w:rsid w:val="00E27E00"/>
    <w:rsid w:val="00E859B3"/>
    <w:rsid w:val="00EE7C64"/>
    <w:rsid w:val="00F23F04"/>
    <w:rsid w:val="00F31CFA"/>
    <w:rsid w:val="00F82335"/>
    <w:rsid w:val="00FA4088"/>
    <w:rsid w:val="00FE0AAF"/>
    <w:rsid w:val="00FE3B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5:docId w15:val="{F3A09F68-B314-426D-A493-B1CC724A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03E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6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6DF7"/>
  </w:style>
  <w:style w:type="paragraph" w:styleId="Piedepgina">
    <w:name w:val="footer"/>
    <w:basedOn w:val="Normal"/>
    <w:link w:val="PiedepginaCar"/>
    <w:uiPriority w:val="99"/>
    <w:unhideWhenUsed/>
    <w:rsid w:val="00406D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DF7"/>
  </w:style>
  <w:style w:type="table" w:customStyle="1" w:styleId="Tablaconcuadrcula1">
    <w:name w:val="Tabla con cuadrícula1"/>
    <w:basedOn w:val="Tablanormal"/>
    <w:next w:val="Tablaconcuadrcula"/>
    <w:uiPriority w:val="39"/>
    <w:rsid w:val="00F23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F23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A109AC"/>
    <w:pPr>
      <w:spacing w:after="0" w:line="240" w:lineRule="auto"/>
      <w:jc w:val="both"/>
    </w:pPr>
    <w:rPr>
      <w:rFonts w:ascii="Times New Roman" w:eastAsia="Calibri" w:hAnsi="Times New Roman" w:cs="Times New Roman"/>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A109AC"/>
    <w:rPr>
      <w:rFonts w:ascii="Times New Roman" w:eastAsia="Calibri" w:hAnsi="Times New Roman" w:cs="Times New Roman"/>
      <w:sz w:val="20"/>
      <w:szCs w:val="20"/>
    </w:rPr>
  </w:style>
  <w:style w:type="character" w:styleId="Refdenotaalpie">
    <w:name w:val="footnote reference"/>
    <w:aliases w:val="Ref,de nota al pie"/>
    <w:uiPriority w:val="99"/>
    <w:unhideWhenUsed/>
    <w:qFormat/>
    <w:rsid w:val="00A109AC"/>
    <w:rPr>
      <w:vertAlign w:val="superscript"/>
    </w:rPr>
  </w:style>
  <w:style w:type="character" w:styleId="Refdecomentario">
    <w:name w:val="annotation reference"/>
    <w:basedOn w:val="Fuentedeprrafopredeter"/>
    <w:uiPriority w:val="99"/>
    <w:semiHidden/>
    <w:unhideWhenUsed/>
    <w:rsid w:val="00253A54"/>
    <w:rPr>
      <w:sz w:val="16"/>
      <w:szCs w:val="16"/>
    </w:rPr>
  </w:style>
  <w:style w:type="paragraph" w:styleId="Textocomentario">
    <w:name w:val="annotation text"/>
    <w:basedOn w:val="Normal"/>
    <w:link w:val="TextocomentarioCar"/>
    <w:uiPriority w:val="99"/>
    <w:semiHidden/>
    <w:unhideWhenUsed/>
    <w:rsid w:val="00253A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3A54"/>
    <w:rPr>
      <w:sz w:val="20"/>
      <w:szCs w:val="20"/>
    </w:rPr>
  </w:style>
  <w:style w:type="paragraph" w:styleId="Asuntodelcomentario">
    <w:name w:val="annotation subject"/>
    <w:basedOn w:val="Textocomentario"/>
    <w:next w:val="Textocomentario"/>
    <w:link w:val="AsuntodelcomentarioCar"/>
    <w:uiPriority w:val="99"/>
    <w:semiHidden/>
    <w:unhideWhenUsed/>
    <w:rsid w:val="00253A54"/>
    <w:rPr>
      <w:b/>
      <w:bCs/>
    </w:rPr>
  </w:style>
  <w:style w:type="character" w:customStyle="1" w:styleId="AsuntodelcomentarioCar">
    <w:name w:val="Asunto del comentario Car"/>
    <w:basedOn w:val="TextocomentarioCar"/>
    <w:link w:val="Asuntodelcomentario"/>
    <w:uiPriority w:val="99"/>
    <w:semiHidden/>
    <w:rsid w:val="00253A54"/>
    <w:rPr>
      <w:b/>
      <w:bCs/>
      <w:sz w:val="20"/>
      <w:szCs w:val="20"/>
    </w:rPr>
  </w:style>
  <w:style w:type="paragraph" w:styleId="Textodeglobo">
    <w:name w:val="Balloon Text"/>
    <w:basedOn w:val="Normal"/>
    <w:link w:val="TextodegloboCar"/>
    <w:uiPriority w:val="99"/>
    <w:semiHidden/>
    <w:unhideWhenUsed/>
    <w:rsid w:val="00253A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3A54"/>
    <w:rPr>
      <w:rFonts w:ascii="Segoe UI" w:hAnsi="Segoe UI" w:cs="Segoe UI"/>
      <w:sz w:val="18"/>
      <w:szCs w:val="18"/>
    </w:rPr>
  </w:style>
  <w:style w:type="paragraph" w:styleId="Prrafodelista">
    <w:name w:val="List Paragraph"/>
    <w:basedOn w:val="Normal"/>
    <w:uiPriority w:val="34"/>
    <w:qFormat/>
    <w:rsid w:val="007B6C98"/>
    <w:pPr>
      <w:ind w:left="720"/>
      <w:contextualSpacing/>
    </w:pPr>
  </w:style>
  <w:style w:type="character" w:customStyle="1" w:styleId="Ttulo2Car">
    <w:name w:val="Título 2 Car"/>
    <w:basedOn w:val="Fuentedeprrafopredeter"/>
    <w:link w:val="Ttulo2"/>
    <w:uiPriority w:val="9"/>
    <w:rsid w:val="00703EB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1383</Words>
  <Characters>7608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Maria del Consuelo Gonzalez Moreno</cp:lastModifiedBy>
  <cp:revision>18</cp:revision>
  <cp:lastPrinted>2017-03-01T22:07:00Z</cp:lastPrinted>
  <dcterms:created xsi:type="dcterms:W3CDTF">2017-02-17T20:54:00Z</dcterms:created>
  <dcterms:modified xsi:type="dcterms:W3CDTF">2017-03-14T18:39:00Z</dcterms:modified>
</cp:coreProperties>
</file>