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84" w:rsidRPr="000672F6" w:rsidRDefault="003640E1" w:rsidP="008F4584">
      <w:pPr>
        <w:pStyle w:val="Ttulo1"/>
        <w:spacing w:after="240"/>
        <w:jc w:val="both"/>
        <w:rPr>
          <w:rFonts w:ascii="ITC Avant Garde" w:eastAsia="Times New Roman" w:hAnsi="ITC Avant Garde"/>
          <w:b/>
          <w:color w:val="000000" w:themeColor="text1"/>
          <w:sz w:val="24"/>
          <w:szCs w:val="24"/>
          <w:lang w:val="es-ES_tradnl" w:eastAsia="es-ES"/>
        </w:rPr>
      </w:pPr>
      <w:r w:rsidRPr="000672F6">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w:t>
      </w:r>
      <w:r w:rsidR="00A21538" w:rsidRPr="000672F6">
        <w:rPr>
          <w:rFonts w:ascii="ITC Avant Garde" w:eastAsia="Times New Roman" w:hAnsi="ITC Avant Garde"/>
          <w:b/>
          <w:color w:val="000000" w:themeColor="text1"/>
          <w:sz w:val="24"/>
          <w:szCs w:val="24"/>
          <w:lang w:val="es-ES_tradnl" w:eastAsia="es-ES"/>
        </w:rPr>
        <w:t xml:space="preserve">AMPLITUD </w:t>
      </w:r>
      <w:r w:rsidRPr="000672F6">
        <w:rPr>
          <w:rFonts w:ascii="ITC Avant Garde" w:eastAsia="Times New Roman" w:hAnsi="ITC Avant Garde"/>
          <w:b/>
          <w:color w:val="000000" w:themeColor="text1"/>
          <w:sz w:val="24"/>
          <w:szCs w:val="24"/>
          <w:lang w:val="es-ES_tradnl" w:eastAsia="es-ES"/>
        </w:rPr>
        <w:t>MODULADA PARA USO COMERCIAL A FAVOR DE CARLOS DE JESÚS QUIÑONES ARMENDARIZ</w:t>
      </w:r>
    </w:p>
    <w:p w:rsidR="008F4584" w:rsidRPr="000672F6" w:rsidRDefault="003640E1" w:rsidP="008F4584">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ANTECEDENTES</w:t>
      </w:r>
    </w:p>
    <w:p w:rsidR="008F4584" w:rsidRPr="000672F6" w:rsidRDefault="004C00A3"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sz w:val="22"/>
          <w:szCs w:val="22"/>
          <w:lang w:eastAsia="es-MX"/>
        </w:rPr>
        <w:t xml:space="preserve">Refrendo de la Concesión. </w:t>
      </w:r>
      <w:r w:rsidR="003640E1" w:rsidRPr="000672F6">
        <w:rPr>
          <w:rFonts w:ascii="ITC Avant Garde" w:hAnsi="ITC Avant Garde"/>
          <w:sz w:val="22"/>
          <w:szCs w:val="22"/>
          <w:lang w:eastAsia="es-MX"/>
        </w:rPr>
        <w:t xml:space="preserve">El 1 de marzo de 2005, la Secretaría de Comunicaciones y Transportes (la “SCT”) de conformidad con lo dispuesto en la Ley Federal de Radio y Televisión (la “LFRTV”), otorgó a favor de </w:t>
      </w:r>
      <w:r w:rsidR="003640E1" w:rsidRPr="000672F6">
        <w:rPr>
          <w:rFonts w:ascii="ITC Avant Garde" w:hAnsi="ITC Avant Garde"/>
          <w:b/>
          <w:bCs/>
          <w:sz w:val="22"/>
          <w:szCs w:val="22"/>
          <w:lang w:val="es-ES_tradnl" w:eastAsia="es-MX"/>
        </w:rPr>
        <w:t>Publicistas, S.A.</w:t>
      </w:r>
      <w:r w:rsidR="003640E1" w:rsidRPr="000672F6">
        <w:rPr>
          <w:rFonts w:ascii="ITC Avant Garde" w:hAnsi="ITC Avant Garde"/>
          <w:sz w:val="22"/>
          <w:szCs w:val="22"/>
          <w:lang w:eastAsia="es-MX"/>
        </w:rPr>
        <w:t xml:space="preserve">, el Título de Refrendo de la Concesión para continuar usando comercialmente la frecuencia </w:t>
      </w:r>
      <w:r w:rsidR="004F39D0" w:rsidRPr="000672F6">
        <w:rPr>
          <w:rFonts w:ascii="ITC Avant Garde" w:hAnsi="ITC Avant Garde"/>
          <w:sz w:val="22"/>
          <w:szCs w:val="22"/>
          <w:lang w:eastAsia="es-MX"/>
        </w:rPr>
        <w:t>1290 kHz</w:t>
      </w:r>
      <w:r w:rsidR="003640E1" w:rsidRPr="000672F6">
        <w:rPr>
          <w:rFonts w:ascii="ITC Avant Garde" w:hAnsi="ITC Avant Garde"/>
          <w:sz w:val="22"/>
          <w:szCs w:val="22"/>
          <w:lang w:eastAsia="es-MX"/>
        </w:rPr>
        <w:t xml:space="preserve"> en la banda de </w:t>
      </w:r>
      <w:r w:rsidR="004F39D0" w:rsidRPr="000672F6">
        <w:rPr>
          <w:rFonts w:ascii="ITC Avant Garde" w:hAnsi="ITC Avant Garde"/>
          <w:sz w:val="22"/>
          <w:szCs w:val="22"/>
          <w:lang w:eastAsia="es-MX"/>
        </w:rPr>
        <w:t>Amplitud</w:t>
      </w:r>
      <w:r w:rsidR="003640E1" w:rsidRPr="000672F6">
        <w:rPr>
          <w:rFonts w:ascii="ITC Avant Garde" w:hAnsi="ITC Avant Garde"/>
          <w:sz w:val="22"/>
          <w:szCs w:val="22"/>
          <w:lang w:eastAsia="es-MX"/>
        </w:rPr>
        <w:t xml:space="preserve"> Modulada, a través de la estación con distintivo de llamada </w:t>
      </w:r>
      <w:r w:rsidR="004F39D0" w:rsidRPr="000672F6">
        <w:rPr>
          <w:rFonts w:ascii="ITC Avant Garde" w:hAnsi="ITC Avant Garde"/>
          <w:sz w:val="22"/>
          <w:szCs w:val="22"/>
          <w:lang w:eastAsia="es-MX"/>
        </w:rPr>
        <w:t>XEDA-AM</w:t>
      </w:r>
      <w:r w:rsidR="003640E1" w:rsidRPr="000672F6">
        <w:rPr>
          <w:rFonts w:ascii="ITC Avant Garde" w:hAnsi="ITC Avant Garde"/>
          <w:sz w:val="22"/>
          <w:szCs w:val="22"/>
          <w:lang w:eastAsia="es-MX"/>
        </w:rPr>
        <w:t xml:space="preserve">, en </w:t>
      </w:r>
      <w:r w:rsidR="004F39D0" w:rsidRPr="000672F6">
        <w:rPr>
          <w:rFonts w:ascii="ITC Avant Garde" w:hAnsi="ITC Avant Garde"/>
          <w:sz w:val="22"/>
          <w:szCs w:val="22"/>
          <w:lang w:eastAsia="es-MX"/>
        </w:rPr>
        <w:t>la Ciudad de México</w:t>
      </w:r>
      <w:r w:rsidR="003640E1" w:rsidRPr="000672F6">
        <w:rPr>
          <w:rFonts w:ascii="ITC Avant Garde" w:hAnsi="ITC Avant Garde"/>
          <w:sz w:val="22"/>
          <w:szCs w:val="22"/>
          <w:lang w:eastAsia="es-MX"/>
        </w:rPr>
        <w:t xml:space="preserve">, con vigencia de 12 (doce) años contados a partir del día </w:t>
      </w:r>
      <w:r w:rsidR="004F39D0" w:rsidRPr="000672F6">
        <w:rPr>
          <w:rFonts w:ascii="ITC Avant Garde" w:hAnsi="ITC Avant Garde"/>
          <w:sz w:val="22"/>
          <w:szCs w:val="22"/>
          <w:lang w:eastAsia="es-MX"/>
        </w:rPr>
        <w:t>3 de julio de 2004</w:t>
      </w:r>
      <w:r w:rsidR="003640E1" w:rsidRPr="000672F6">
        <w:rPr>
          <w:rFonts w:ascii="ITC Avant Garde" w:hAnsi="ITC Avant Garde"/>
          <w:sz w:val="22"/>
          <w:szCs w:val="22"/>
          <w:lang w:eastAsia="es-MX"/>
        </w:rPr>
        <w:t xml:space="preserve"> y vencimiento el </w:t>
      </w:r>
      <w:r w:rsidR="004F39D0" w:rsidRPr="000672F6">
        <w:rPr>
          <w:rFonts w:ascii="ITC Avant Garde" w:hAnsi="ITC Avant Garde"/>
          <w:sz w:val="22"/>
          <w:szCs w:val="22"/>
          <w:lang w:eastAsia="es-MX"/>
        </w:rPr>
        <w:t>2 de julio de 2016</w:t>
      </w:r>
      <w:r w:rsidR="003640E1" w:rsidRPr="000672F6">
        <w:rPr>
          <w:rFonts w:ascii="ITC Avant Garde" w:hAnsi="ITC Avant Garde"/>
          <w:sz w:val="22"/>
          <w:szCs w:val="22"/>
          <w:lang w:eastAsia="es-MX"/>
        </w:rPr>
        <w:t xml:space="preserve"> (la “Concesión”)</w:t>
      </w:r>
      <w:r w:rsidR="003640E1" w:rsidRPr="000672F6">
        <w:rPr>
          <w:rFonts w:ascii="ITC Avant Garde" w:eastAsia="Calibri" w:hAnsi="ITC Avant Garde"/>
          <w:sz w:val="22"/>
          <w:szCs w:val="22"/>
        </w:rPr>
        <w:t>.</w:t>
      </w:r>
    </w:p>
    <w:p w:rsidR="008F4584" w:rsidRPr="000672F6" w:rsidRDefault="003640E1"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sz w:val="22"/>
          <w:szCs w:val="22"/>
        </w:rPr>
        <w:t xml:space="preserve">Cesión de derechos. </w:t>
      </w:r>
      <w:r w:rsidRPr="000672F6">
        <w:rPr>
          <w:rFonts w:ascii="ITC Avant Garde" w:hAnsi="ITC Avant Garde"/>
          <w:sz w:val="22"/>
          <w:szCs w:val="22"/>
        </w:rPr>
        <w:t>Mediante oficio CFT/D01/STP/3784/12</w:t>
      </w:r>
      <w:r w:rsidRPr="000672F6">
        <w:rPr>
          <w:rFonts w:ascii="ITC Avant Garde" w:eastAsia="Calibri" w:hAnsi="ITC Avant Garde"/>
          <w:sz w:val="22"/>
          <w:szCs w:val="22"/>
        </w:rPr>
        <w:t xml:space="preserve"> de fecha 5 de noviembre de 2012, la extinta Comisión Federal de Telecomunicaciones (la “Cofetel”) autorizó a </w:t>
      </w:r>
      <w:r w:rsidRPr="000672F6">
        <w:rPr>
          <w:rFonts w:ascii="ITC Avant Garde" w:eastAsia="Calibri" w:hAnsi="ITC Avant Garde"/>
          <w:bCs/>
          <w:sz w:val="22"/>
          <w:szCs w:val="22"/>
          <w:lang w:val="es-ES_tradnl"/>
        </w:rPr>
        <w:t>Publicistas, S.A.</w:t>
      </w:r>
      <w:r w:rsidRPr="000672F6">
        <w:rPr>
          <w:rFonts w:ascii="ITC Avant Garde" w:hAnsi="ITC Avant Garde"/>
          <w:sz w:val="22"/>
          <w:szCs w:val="22"/>
          <w:lang w:eastAsia="es-MX"/>
        </w:rPr>
        <w:t xml:space="preserve">, </w:t>
      </w:r>
      <w:r w:rsidRPr="000672F6">
        <w:rPr>
          <w:rFonts w:ascii="ITC Avant Garde" w:hAnsi="ITC Avant Garde"/>
          <w:sz w:val="22"/>
          <w:szCs w:val="22"/>
        </w:rPr>
        <w:t xml:space="preserve">ceder los derechos y obligaciones de la Concesión a favor del </w:t>
      </w:r>
      <w:r w:rsidRPr="000672F6">
        <w:rPr>
          <w:rFonts w:ascii="ITC Avant Garde" w:hAnsi="ITC Avant Garde"/>
          <w:b/>
          <w:sz w:val="22"/>
          <w:szCs w:val="22"/>
        </w:rPr>
        <w:t>C. Carlos de Jesús Quiñones Armendariz</w:t>
      </w:r>
      <w:r w:rsidRPr="000672F6">
        <w:rPr>
          <w:rFonts w:ascii="ITC Avant Garde" w:hAnsi="ITC Avant Garde"/>
          <w:sz w:val="22"/>
          <w:szCs w:val="22"/>
        </w:rPr>
        <w:t xml:space="preserve"> como concesionaria para todos los efectos legales conducentes (el “Concesionario”).</w:t>
      </w:r>
    </w:p>
    <w:p w:rsidR="008F4584" w:rsidRPr="000672F6" w:rsidRDefault="00173E52"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sz w:val="22"/>
          <w:szCs w:val="22"/>
          <w:lang w:eastAsia="es-MX"/>
        </w:rPr>
        <w:t>Decreto de Reforma Constitucional.</w:t>
      </w:r>
      <w:r w:rsidR="00070223" w:rsidRPr="000672F6">
        <w:rPr>
          <w:rFonts w:ascii="ITC Avant Garde" w:hAnsi="ITC Avant Garde"/>
          <w:b/>
          <w:sz w:val="22"/>
          <w:szCs w:val="22"/>
          <w:lang w:eastAsia="es-MX"/>
        </w:rPr>
        <w:t xml:space="preserve"> </w:t>
      </w:r>
      <w:r w:rsidR="00246E91" w:rsidRPr="000672F6">
        <w:rPr>
          <w:rFonts w:ascii="ITC Avant Garde" w:hAnsi="ITC Avant Garde"/>
          <w:sz w:val="22"/>
          <w:szCs w:val="22"/>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r w:rsidR="00A21538" w:rsidRPr="000672F6">
        <w:rPr>
          <w:rFonts w:ascii="ITC Avant Garde" w:hAnsi="ITC Avant Garde"/>
          <w:sz w:val="22"/>
          <w:szCs w:val="22"/>
          <w:lang w:eastAsia="es-MX"/>
        </w:rPr>
        <w:t xml:space="preserve"> Federal de Telecomunicaciones (el “Instituto”)</w:t>
      </w:r>
      <w:r w:rsidR="00246E91" w:rsidRPr="000672F6">
        <w:rPr>
          <w:rFonts w:ascii="ITC Avant Garde" w:hAnsi="ITC Avant Garde"/>
          <w:sz w:val="22"/>
          <w:szCs w:val="22"/>
          <w:lang w:eastAsia="es-MX"/>
        </w:rPr>
        <w:t>.</w:t>
      </w:r>
    </w:p>
    <w:p w:rsidR="008F4584" w:rsidRPr="000672F6" w:rsidRDefault="00173E52"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bCs/>
          <w:color w:val="000000" w:themeColor="text1"/>
          <w:sz w:val="22"/>
          <w:szCs w:val="22"/>
          <w:lang w:eastAsia="es-MX"/>
        </w:rPr>
        <w:t xml:space="preserve">Decreto de Ley. </w:t>
      </w:r>
      <w:r w:rsidR="00246E91" w:rsidRPr="000672F6">
        <w:rPr>
          <w:rFonts w:ascii="ITC Avant Garde" w:hAnsi="ITC Avant Garde"/>
          <w:bCs/>
          <w:color w:val="000000" w:themeColor="text1"/>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F4584" w:rsidRPr="000672F6" w:rsidRDefault="00173E52"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lastRenderedPageBreak/>
        <w:t>Estatuto Orgánico.</w:t>
      </w:r>
      <w:r w:rsidRPr="000672F6">
        <w:rPr>
          <w:rFonts w:ascii="ITC Avant Garde" w:hAnsi="ITC Avant Garde"/>
          <w:kern w:val="1"/>
          <w:sz w:val="22"/>
          <w:szCs w:val="22"/>
          <w:lang w:eastAsia="ar-SA"/>
        </w:rPr>
        <w:t xml:space="preserve"> </w:t>
      </w:r>
      <w:r w:rsidR="002A4F6C" w:rsidRPr="000672F6">
        <w:rPr>
          <w:rFonts w:ascii="ITC Avant Garde" w:hAnsi="ITC Avant Garde"/>
          <w:kern w:val="1"/>
          <w:sz w:val="22"/>
          <w:szCs w:val="22"/>
          <w:lang w:eastAsia="ar-SA"/>
        </w:rPr>
        <w:t xml:space="preserve">El 4 de septiembre de 2014 se publicó en el DOF el “Estatuto Orgánico del Instituto Federal de Telecomunicaciones” (el “Estatuto Orgánico”), el cual entró en vigor el 26 de septiembre de 2014 y cuya última modificación fue publicada el </w:t>
      </w:r>
      <w:r w:rsidR="00A21538" w:rsidRPr="000672F6">
        <w:rPr>
          <w:rFonts w:ascii="ITC Avant Garde" w:hAnsi="ITC Avant Garde"/>
          <w:kern w:val="1"/>
          <w:sz w:val="22"/>
          <w:szCs w:val="22"/>
          <w:lang w:eastAsia="ar-SA"/>
        </w:rPr>
        <w:t>20 de julio de 2017</w:t>
      </w:r>
      <w:r w:rsidRPr="000672F6">
        <w:rPr>
          <w:rFonts w:ascii="ITC Avant Garde" w:hAnsi="ITC Avant Garde"/>
          <w:kern w:val="1"/>
          <w:sz w:val="22"/>
          <w:szCs w:val="22"/>
          <w:lang w:val="es-ES" w:eastAsia="ar-SA"/>
        </w:rPr>
        <w:t>.</w:t>
      </w:r>
    </w:p>
    <w:p w:rsidR="008F4584" w:rsidRPr="000672F6" w:rsidRDefault="00545FCB"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eastAsia="Calibri" w:hAnsi="ITC Avant Garde"/>
          <w:b/>
          <w:sz w:val="22"/>
          <w:szCs w:val="22"/>
        </w:rPr>
        <w:t>Solicitud de Refrendo o Prórroga</w:t>
      </w:r>
      <w:r w:rsidRPr="000672F6">
        <w:rPr>
          <w:rFonts w:ascii="ITC Avant Garde" w:eastAsia="Calibri" w:hAnsi="ITC Avant Garde"/>
          <w:sz w:val="22"/>
          <w:szCs w:val="22"/>
        </w:rPr>
        <w:t xml:space="preserve">. </w:t>
      </w:r>
      <w:r w:rsidR="003640E1" w:rsidRPr="000672F6">
        <w:rPr>
          <w:rFonts w:ascii="ITC Avant Garde" w:eastAsia="Calibri" w:hAnsi="ITC Avant Garde"/>
          <w:sz w:val="22"/>
          <w:szCs w:val="22"/>
        </w:rPr>
        <w:t>Mediante escrito presentado el 28 de mayo de 2015 ante el Instituto, el Concesionario a través de su representante legal, solicitó el refrendo de la vigencia de la respectiva Concesión (la “Solicitud de Prórroga”).</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Solicitud de opinión a la Unidad de Cumplimiento</w:t>
      </w:r>
      <w:r w:rsidRPr="000672F6">
        <w:rPr>
          <w:rFonts w:ascii="ITC Avant Garde" w:hAnsi="ITC Avant Garde"/>
          <w:kern w:val="1"/>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Concesión.</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Solicitud de opinión a la Unidad de Competencia Económica</w:t>
      </w:r>
      <w:r w:rsidRPr="000672F6">
        <w:rPr>
          <w:rFonts w:ascii="ITC Avant Garde" w:hAnsi="ITC Avant Garde"/>
          <w:kern w:val="1"/>
          <w:sz w:val="22"/>
          <w:szCs w:val="22"/>
          <w:lang w:eastAsia="ar-SA"/>
        </w:rPr>
        <w:t>. Con oficio IFT/223/UCS/DG-CRAD/563/2016 de fecha 10 de marzo de 2016,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opinión en materia de competencia económica respecto a la Solicitud de Prórroga.</w:t>
      </w:r>
    </w:p>
    <w:p w:rsidR="008F4584" w:rsidRPr="000672F6" w:rsidRDefault="003640E1"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eastAsia="Calibri" w:hAnsi="ITC Avant Garde"/>
          <w:b/>
          <w:sz w:val="22"/>
          <w:szCs w:val="22"/>
        </w:rPr>
        <w:t>Solicitud de opinión a la Secretaría de Comunicaciones y Transportes.</w:t>
      </w:r>
      <w:r w:rsidRPr="000672F6">
        <w:rPr>
          <w:rFonts w:ascii="ITC Avant Garde" w:eastAsia="Calibri" w:hAnsi="ITC Avant Garde"/>
          <w:sz w:val="22"/>
          <w:szCs w:val="22"/>
        </w:rPr>
        <w:t xml:space="preserve"> Con oficio IFT/223/UCS/</w:t>
      </w:r>
      <w:r w:rsidR="004F39D0" w:rsidRPr="000672F6">
        <w:rPr>
          <w:rFonts w:ascii="ITC Avant Garde" w:eastAsia="Calibri" w:hAnsi="ITC Avant Garde"/>
          <w:sz w:val="22"/>
          <w:szCs w:val="22"/>
        </w:rPr>
        <w:t>703/2016</w:t>
      </w:r>
      <w:r w:rsidRPr="000672F6">
        <w:rPr>
          <w:rFonts w:ascii="ITC Avant Garde" w:eastAsia="Calibri" w:hAnsi="ITC Avant Garde"/>
          <w:sz w:val="22"/>
          <w:szCs w:val="22"/>
        </w:rPr>
        <w:t xml:space="preserve"> </w:t>
      </w:r>
      <w:r w:rsidR="004F39D0" w:rsidRPr="000672F6">
        <w:rPr>
          <w:rFonts w:ascii="ITC Avant Garde" w:eastAsia="Calibri" w:hAnsi="ITC Avant Garde"/>
          <w:sz w:val="22"/>
          <w:szCs w:val="22"/>
        </w:rPr>
        <w:t>de fecha</w:t>
      </w:r>
      <w:r w:rsidRPr="000672F6">
        <w:rPr>
          <w:rFonts w:ascii="ITC Avant Garde" w:eastAsia="Calibri" w:hAnsi="ITC Avant Garde"/>
          <w:sz w:val="22"/>
          <w:szCs w:val="22"/>
        </w:rPr>
        <w:t xml:space="preserve"> </w:t>
      </w:r>
      <w:r w:rsidR="004F39D0" w:rsidRPr="000672F6">
        <w:rPr>
          <w:rFonts w:ascii="ITC Avant Garde" w:eastAsia="Calibri" w:hAnsi="ITC Avant Garde"/>
          <w:sz w:val="22"/>
          <w:szCs w:val="22"/>
        </w:rPr>
        <w:t>5 de mayo de 2016</w:t>
      </w:r>
      <w:r w:rsidRPr="000672F6">
        <w:rPr>
          <w:rFonts w:ascii="ITC Avant Garde" w:eastAsia="Calibri" w:hAnsi="ITC Avant Garde"/>
          <w:sz w:val="22"/>
          <w:szCs w:val="22"/>
        </w:rPr>
        <w:t xml:space="preserve">,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w:t>
      </w:r>
      <w:r w:rsidR="004F39D0" w:rsidRPr="000672F6">
        <w:rPr>
          <w:rFonts w:ascii="ITC Avant Garde" w:eastAsia="Calibri" w:hAnsi="ITC Avant Garde"/>
          <w:sz w:val="22"/>
          <w:szCs w:val="22"/>
        </w:rPr>
        <w:t>estime procedente respecto a la</w:t>
      </w:r>
      <w:r w:rsidRPr="000672F6">
        <w:rPr>
          <w:rFonts w:ascii="ITC Avant Garde" w:eastAsia="Calibri" w:hAnsi="ITC Avant Garde"/>
          <w:sz w:val="22"/>
          <w:szCs w:val="22"/>
        </w:rPr>
        <w:t xml:space="preserve"> Solicitud de Prórroga.</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Solicitud a la Unidad de Espectro Radioeléctrico para calcular el monto de la contraprestación</w:t>
      </w:r>
      <w:r w:rsidRPr="000672F6">
        <w:rPr>
          <w:rFonts w:ascii="ITC Avant Garde" w:hAnsi="ITC Avant Garde"/>
          <w:kern w:val="1"/>
          <w:sz w:val="22"/>
          <w:szCs w:val="22"/>
          <w:lang w:eastAsia="ar-SA"/>
        </w:rPr>
        <w:t>. Con oficio IFT/223/UCS/</w:t>
      </w:r>
      <w:r w:rsidR="001F620D" w:rsidRPr="000672F6">
        <w:rPr>
          <w:rFonts w:ascii="ITC Avant Garde" w:hAnsi="ITC Avant Garde"/>
          <w:kern w:val="1"/>
          <w:sz w:val="22"/>
          <w:szCs w:val="22"/>
          <w:lang w:eastAsia="ar-SA"/>
        </w:rPr>
        <w:t>DG-CRAD/561/2016</w:t>
      </w:r>
      <w:r w:rsidRPr="000672F6">
        <w:rPr>
          <w:rFonts w:ascii="ITC Avant Garde" w:hAnsi="ITC Avant Garde"/>
          <w:kern w:val="1"/>
          <w:sz w:val="22"/>
          <w:szCs w:val="22"/>
          <w:lang w:eastAsia="ar-SA"/>
        </w:rPr>
        <w:t xml:space="preserve"> de fecha </w:t>
      </w:r>
      <w:r w:rsidR="001F620D" w:rsidRPr="000672F6">
        <w:rPr>
          <w:rFonts w:ascii="ITC Avant Garde" w:hAnsi="ITC Avant Garde"/>
          <w:kern w:val="1"/>
          <w:sz w:val="22"/>
          <w:szCs w:val="22"/>
          <w:lang w:eastAsia="ar-SA"/>
        </w:rPr>
        <w:t>3 de mayo de 2016</w:t>
      </w:r>
      <w:r w:rsidRPr="000672F6">
        <w:rPr>
          <w:rFonts w:ascii="ITC Avant Garde" w:hAnsi="ITC Avant Garde"/>
          <w:kern w:val="1"/>
          <w:sz w:val="22"/>
          <w:szCs w:val="22"/>
          <w:lang w:eastAsia="ar-SA"/>
        </w:rPr>
        <w:t>, la Unidad de Concesiones y Servicios, solicitó a la Unidad de Espectro Radioeléctrico, que en ejercicio de las facultades que le confiere el artículo 29 fracción VII del Estatuto Orgánico, realizara las gestiones necesarias a efecto de calcular el monto de la contraprestación que deberá cubrir el Concesionario con motivo de la Solicitud de Prórroga.</w:t>
      </w:r>
    </w:p>
    <w:p w:rsidR="008F4584" w:rsidRPr="000672F6" w:rsidRDefault="00173E52"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 xml:space="preserve">Solicitud a la Unidad de Espectro Radioeléctrico </w:t>
      </w:r>
      <w:r w:rsidR="001B1E44" w:rsidRPr="000672F6">
        <w:rPr>
          <w:rFonts w:ascii="ITC Avant Garde" w:hAnsi="ITC Avant Garde"/>
          <w:b/>
          <w:kern w:val="1"/>
          <w:sz w:val="22"/>
          <w:szCs w:val="22"/>
          <w:lang w:eastAsia="ar-SA"/>
        </w:rPr>
        <w:t>sobre interés público</w:t>
      </w:r>
      <w:r w:rsidRPr="000672F6">
        <w:rPr>
          <w:rFonts w:ascii="ITC Avant Garde" w:hAnsi="ITC Avant Garde"/>
          <w:b/>
          <w:kern w:val="1"/>
          <w:sz w:val="22"/>
          <w:szCs w:val="22"/>
          <w:lang w:eastAsia="ar-SA"/>
        </w:rPr>
        <w:t>.</w:t>
      </w:r>
      <w:r w:rsidRPr="000672F6">
        <w:rPr>
          <w:rFonts w:ascii="ITC Avant Garde" w:hAnsi="ITC Avant Garde"/>
          <w:kern w:val="1"/>
          <w:sz w:val="22"/>
          <w:szCs w:val="22"/>
          <w:lang w:eastAsia="ar-SA"/>
        </w:rPr>
        <w:t xml:space="preserve"> </w:t>
      </w:r>
      <w:r w:rsidRPr="000672F6">
        <w:rPr>
          <w:rFonts w:ascii="ITC Avant Garde" w:eastAsia="Calibri" w:hAnsi="ITC Avant Garde"/>
          <w:sz w:val="22"/>
          <w:szCs w:val="22"/>
        </w:rPr>
        <w:t xml:space="preserve">Con oficio </w:t>
      </w:r>
      <w:r w:rsidR="0035638C" w:rsidRPr="000672F6">
        <w:rPr>
          <w:rFonts w:ascii="ITC Avant Garde" w:eastAsia="Calibri" w:hAnsi="ITC Avant Garde"/>
          <w:sz w:val="22"/>
          <w:szCs w:val="22"/>
        </w:rPr>
        <w:t>IFT/223/UCS/</w:t>
      </w:r>
      <w:r w:rsidR="001F620D" w:rsidRPr="000672F6">
        <w:rPr>
          <w:rFonts w:ascii="ITC Avant Garde" w:eastAsia="Calibri" w:hAnsi="ITC Avant Garde"/>
          <w:sz w:val="22"/>
          <w:szCs w:val="22"/>
        </w:rPr>
        <w:t>882/2016</w:t>
      </w:r>
      <w:r w:rsidR="00337CEC" w:rsidRPr="000672F6">
        <w:rPr>
          <w:rFonts w:ascii="ITC Avant Garde" w:eastAsia="Calibri" w:hAnsi="ITC Avant Garde"/>
          <w:sz w:val="22"/>
          <w:szCs w:val="22"/>
        </w:rPr>
        <w:t xml:space="preserve"> </w:t>
      </w:r>
      <w:r w:rsidR="004D5765" w:rsidRPr="000672F6">
        <w:rPr>
          <w:rFonts w:ascii="ITC Avant Garde" w:eastAsia="Calibri" w:hAnsi="ITC Avant Garde"/>
          <w:sz w:val="22"/>
          <w:szCs w:val="22"/>
        </w:rPr>
        <w:t>de fecha</w:t>
      </w:r>
      <w:r w:rsidR="00337CEC" w:rsidRPr="000672F6">
        <w:rPr>
          <w:rFonts w:ascii="ITC Avant Garde" w:eastAsia="Calibri" w:hAnsi="ITC Avant Garde"/>
          <w:sz w:val="22"/>
          <w:szCs w:val="22"/>
        </w:rPr>
        <w:t xml:space="preserve"> </w:t>
      </w:r>
      <w:r w:rsidR="001F620D" w:rsidRPr="000672F6">
        <w:rPr>
          <w:rFonts w:ascii="ITC Avant Garde" w:eastAsia="Calibri" w:hAnsi="ITC Avant Garde"/>
          <w:sz w:val="22"/>
          <w:szCs w:val="22"/>
        </w:rPr>
        <w:t>6 de junio de 2016</w:t>
      </w:r>
      <w:r w:rsidRPr="000672F6">
        <w:rPr>
          <w:rFonts w:ascii="ITC Avant Garde" w:eastAsia="Calibri" w:hAnsi="ITC Avant Garde"/>
          <w:sz w:val="22"/>
          <w:szCs w:val="22"/>
        </w:rPr>
        <w:t xml:space="preserve">, </w:t>
      </w:r>
      <w:r w:rsidR="00005EB7" w:rsidRPr="000672F6">
        <w:rPr>
          <w:rFonts w:ascii="ITC Avant Garde" w:eastAsia="Calibri" w:hAnsi="ITC Avant Garde"/>
          <w:sz w:val="22"/>
          <w:szCs w:val="22"/>
        </w:rPr>
        <w:t>la</w:t>
      </w:r>
      <w:r w:rsidRPr="000672F6">
        <w:rPr>
          <w:rFonts w:ascii="ITC Avant Garde" w:eastAsia="Calibri" w:hAnsi="ITC Avant Garde"/>
          <w:sz w:val="22"/>
          <w:szCs w:val="22"/>
        </w:rPr>
        <w:t xml:space="preserve"> Unidad de Concesiones y Servicios, solicitó a la Unidad de Espectro Radioeléctrico, que en ejercicio de las </w:t>
      </w:r>
      <w:r w:rsidRPr="000672F6">
        <w:rPr>
          <w:rFonts w:ascii="ITC Avant Garde" w:eastAsia="Calibri" w:hAnsi="ITC Avant Garde"/>
          <w:sz w:val="22"/>
          <w:szCs w:val="22"/>
        </w:rPr>
        <w:lastRenderedPageBreak/>
        <w:t xml:space="preserve">facultades que le confiere el artículo 29 fracción VII del Estatuto Orgánico, </w:t>
      </w:r>
      <w:r w:rsidR="00F8047B" w:rsidRPr="000672F6">
        <w:rPr>
          <w:rFonts w:ascii="ITC Avant Garde" w:eastAsia="Calibri" w:hAnsi="ITC Avant Garde"/>
          <w:sz w:val="22"/>
          <w:szCs w:val="22"/>
        </w:rPr>
        <w:t>informara si existe interés público en recuperar el espectro radioeléctrico objeto de la</w:t>
      </w:r>
      <w:r w:rsidRPr="000672F6">
        <w:rPr>
          <w:rFonts w:ascii="ITC Avant Garde" w:eastAsia="Calibri" w:hAnsi="ITC Avant Garde"/>
          <w:sz w:val="22"/>
          <w:szCs w:val="22"/>
        </w:rPr>
        <w:t xml:space="preserve"> Solicitud de Prórroga.</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eastAsia="Calibri" w:hAnsi="ITC Avant Garde"/>
          <w:b/>
          <w:sz w:val="22"/>
          <w:szCs w:val="22"/>
        </w:rPr>
        <w:t xml:space="preserve">Opinión de la Secretaría de Comunicaciones y Transportes. </w:t>
      </w:r>
      <w:r w:rsidRPr="000672F6">
        <w:rPr>
          <w:rFonts w:ascii="ITC Avant Garde" w:eastAsia="Calibri" w:hAnsi="ITC Avant Garde"/>
          <w:sz w:val="22"/>
          <w:szCs w:val="22"/>
        </w:rPr>
        <w:t>Con oficio 1.-</w:t>
      </w:r>
      <w:r w:rsidR="001F620D" w:rsidRPr="000672F6">
        <w:rPr>
          <w:rFonts w:ascii="ITC Avant Garde" w:eastAsia="Calibri" w:hAnsi="ITC Avant Garde"/>
          <w:sz w:val="22"/>
          <w:szCs w:val="22"/>
        </w:rPr>
        <w:t>162</w:t>
      </w:r>
      <w:r w:rsidRPr="000672F6">
        <w:rPr>
          <w:rFonts w:ascii="ITC Avant Garde" w:eastAsia="Calibri" w:hAnsi="ITC Avant Garde"/>
          <w:sz w:val="22"/>
          <w:szCs w:val="22"/>
        </w:rPr>
        <w:t xml:space="preserve"> de </w:t>
      </w:r>
      <w:r w:rsidR="001F620D" w:rsidRPr="000672F6">
        <w:rPr>
          <w:rFonts w:ascii="ITC Avant Garde" w:eastAsia="Calibri" w:hAnsi="ITC Avant Garde"/>
          <w:sz w:val="22"/>
          <w:szCs w:val="22"/>
        </w:rPr>
        <w:t xml:space="preserve">10 de agosto </w:t>
      </w:r>
      <w:r w:rsidRPr="000672F6">
        <w:rPr>
          <w:rFonts w:ascii="ITC Avant Garde" w:eastAsia="Calibri" w:hAnsi="ITC Avant Garde"/>
          <w:sz w:val="22"/>
          <w:szCs w:val="22"/>
        </w:rPr>
        <w:t>de 2016, la SCT emitió opinión favorable desde el punto de vista técnico respecto de la solicitud presentada por el Concesionario.</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eastAsia="Calibri" w:hAnsi="ITC Avant Garde"/>
          <w:b/>
          <w:sz w:val="22"/>
          <w:szCs w:val="22"/>
        </w:rPr>
        <w:t>Opini</w:t>
      </w:r>
      <w:r w:rsidR="001F620D" w:rsidRPr="000672F6">
        <w:rPr>
          <w:rFonts w:ascii="ITC Avant Garde" w:eastAsia="Calibri" w:hAnsi="ITC Avant Garde"/>
          <w:b/>
          <w:sz w:val="22"/>
          <w:szCs w:val="22"/>
        </w:rPr>
        <w:t>ón</w:t>
      </w:r>
      <w:r w:rsidRPr="000672F6">
        <w:rPr>
          <w:rFonts w:ascii="ITC Avant Garde" w:eastAsia="Calibri" w:hAnsi="ITC Avant Garde"/>
          <w:b/>
          <w:sz w:val="22"/>
          <w:szCs w:val="22"/>
        </w:rPr>
        <w:t xml:space="preserve"> de la Unidad de Espectro Radioeléctrico sobre interés público. </w:t>
      </w:r>
      <w:r w:rsidRPr="000672F6">
        <w:rPr>
          <w:rFonts w:ascii="ITC Avant Garde" w:eastAsia="Calibri" w:hAnsi="ITC Avant Garde"/>
          <w:sz w:val="22"/>
          <w:szCs w:val="22"/>
        </w:rPr>
        <w:t>Con oficio IFT/222/UER/DGPE/023/2016 de fecha 17 de junio de 2016, la Dirección General de Planeación del Espectro adscrita a la Unidad de Espectro Radioeléctrico emitió opinión sobre si existe interés público en recuperar el espectro radioeléctrico objeto de la Solicitud de Prórroga</w:t>
      </w:r>
      <w:r w:rsidR="001F620D" w:rsidRPr="000672F6">
        <w:rPr>
          <w:rFonts w:ascii="ITC Avant Garde" w:eastAsia="Calibri" w:hAnsi="ITC Avant Garde"/>
          <w:sz w:val="22"/>
          <w:szCs w:val="22"/>
        </w:rPr>
        <w:t>.</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Opinión en Materia de Cumplimiento de Obligaciones</w:t>
      </w:r>
      <w:r w:rsidRPr="000672F6">
        <w:rPr>
          <w:rFonts w:ascii="ITC Avant Garde" w:hAnsi="ITC Avant Garde"/>
          <w:kern w:val="1"/>
          <w:sz w:val="22"/>
          <w:szCs w:val="22"/>
          <w:lang w:eastAsia="ar-SA"/>
        </w:rPr>
        <w:t>. Con oficio IFT/225/UC/DG-SUV/</w:t>
      </w:r>
      <w:r w:rsidR="001F620D" w:rsidRPr="000672F6">
        <w:rPr>
          <w:rFonts w:ascii="ITC Avant Garde" w:hAnsi="ITC Avant Garde"/>
          <w:kern w:val="1"/>
          <w:sz w:val="22"/>
          <w:szCs w:val="22"/>
          <w:lang w:eastAsia="ar-SA"/>
        </w:rPr>
        <w:t>1141</w:t>
      </w:r>
      <w:r w:rsidRPr="000672F6">
        <w:rPr>
          <w:rFonts w:ascii="ITC Avant Garde" w:hAnsi="ITC Avant Garde"/>
          <w:kern w:val="1"/>
          <w:sz w:val="22"/>
          <w:szCs w:val="22"/>
          <w:lang w:eastAsia="ar-SA"/>
        </w:rPr>
        <w:t xml:space="preserve">/2017 de </w:t>
      </w:r>
      <w:r w:rsidR="001F620D" w:rsidRPr="000672F6">
        <w:rPr>
          <w:rFonts w:ascii="ITC Avant Garde" w:hAnsi="ITC Avant Garde"/>
          <w:kern w:val="1"/>
          <w:sz w:val="22"/>
          <w:szCs w:val="22"/>
          <w:lang w:eastAsia="ar-SA"/>
        </w:rPr>
        <w:t>5</w:t>
      </w:r>
      <w:r w:rsidRPr="000672F6">
        <w:rPr>
          <w:rFonts w:ascii="ITC Avant Garde" w:hAnsi="ITC Avant Garde"/>
          <w:kern w:val="1"/>
          <w:sz w:val="22"/>
          <w:szCs w:val="22"/>
          <w:lang w:eastAsia="ar-SA"/>
        </w:rPr>
        <w:t xml:space="preserve"> de abril de 2017, la Dirección 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Contraprestación emitida por la Secretaría de Hacienda y Crédito Público</w:t>
      </w:r>
      <w:r w:rsidRPr="000672F6">
        <w:rPr>
          <w:rFonts w:ascii="ITC Avant Garde" w:hAnsi="ITC Avant Garde"/>
          <w:kern w:val="1"/>
          <w:sz w:val="22"/>
          <w:szCs w:val="22"/>
          <w:lang w:eastAsia="ar-SA"/>
        </w:rPr>
        <w:t>. Mediante Oficio 349-B-386 de fecha 22 de mayo de 2017, la Unidad de Política de Ingresos No Tributarios de la Secretaría de Hacienda y Crédito Público (la “SHCP”) opinó favorablemente respecto del monto del aprovechamiento por concepto de contraprestación que deberá pagar el Concesionario por el otorgamiento de la prórroga de la Concesión de mérito.</w:t>
      </w:r>
    </w:p>
    <w:p w:rsidR="008F4584" w:rsidRPr="000672F6" w:rsidRDefault="004F39D0" w:rsidP="008F4584">
      <w:pPr>
        <w:pStyle w:val="Prrafodelista"/>
        <w:numPr>
          <w:ilvl w:val="0"/>
          <w:numId w:val="12"/>
        </w:numPr>
        <w:suppressAutoHyphens/>
        <w:autoSpaceDN w:val="0"/>
        <w:spacing w:before="240" w:after="160" w:line="276" w:lineRule="auto"/>
        <w:ind w:left="714" w:hanging="357"/>
        <w:jc w:val="both"/>
        <w:textAlignment w:val="baseline"/>
        <w:rPr>
          <w:rFonts w:ascii="ITC Avant Garde" w:eastAsia="Calibri" w:hAnsi="ITC Avant Garde"/>
          <w:sz w:val="22"/>
          <w:szCs w:val="22"/>
        </w:rPr>
      </w:pPr>
      <w:r w:rsidRPr="000672F6">
        <w:rPr>
          <w:rFonts w:ascii="ITC Avant Garde" w:hAnsi="ITC Avant Garde"/>
          <w:b/>
          <w:kern w:val="1"/>
          <w:sz w:val="22"/>
          <w:szCs w:val="22"/>
          <w:lang w:eastAsia="ar-SA"/>
        </w:rPr>
        <w:t xml:space="preserve">Opinión en Materia de Competencia Económica. </w:t>
      </w:r>
      <w:r w:rsidRPr="000672F6">
        <w:rPr>
          <w:rFonts w:ascii="ITC Avant Garde" w:hAnsi="ITC Avant Garde"/>
          <w:kern w:val="1"/>
          <w:sz w:val="22"/>
          <w:szCs w:val="22"/>
          <w:lang w:eastAsia="ar-SA"/>
        </w:rPr>
        <w:t>Mediante oficio IFT/226/UCE/DG-CCON/</w:t>
      </w:r>
      <w:r w:rsidR="001F620D" w:rsidRPr="000672F6">
        <w:rPr>
          <w:rFonts w:ascii="ITC Avant Garde" w:hAnsi="ITC Avant Garde"/>
          <w:kern w:val="1"/>
          <w:sz w:val="22"/>
          <w:szCs w:val="22"/>
          <w:lang w:eastAsia="ar-SA"/>
        </w:rPr>
        <w:t>417</w:t>
      </w:r>
      <w:r w:rsidRPr="000672F6">
        <w:rPr>
          <w:rFonts w:ascii="ITC Avant Garde" w:hAnsi="ITC Avant Garde"/>
          <w:kern w:val="1"/>
          <w:sz w:val="22"/>
          <w:szCs w:val="22"/>
          <w:lang w:eastAsia="ar-SA"/>
        </w:rPr>
        <w:t xml:space="preserve">/2017 de fecha </w:t>
      </w:r>
      <w:r w:rsidR="001F620D" w:rsidRPr="000672F6">
        <w:rPr>
          <w:rFonts w:ascii="ITC Avant Garde" w:hAnsi="ITC Avant Garde"/>
          <w:kern w:val="1"/>
          <w:sz w:val="22"/>
          <w:szCs w:val="22"/>
          <w:lang w:eastAsia="ar-SA"/>
        </w:rPr>
        <w:t>13</w:t>
      </w:r>
      <w:r w:rsidRPr="000672F6">
        <w:rPr>
          <w:rFonts w:ascii="ITC Avant Garde" w:hAnsi="ITC Avant Garde"/>
          <w:kern w:val="1"/>
          <w:sz w:val="22"/>
          <w:szCs w:val="22"/>
          <w:lang w:eastAsia="ar-SA"/>
        </w:rPr>
        <w:t xml:space="preserve"> de junio de 2017, la Dirección General de Concentraciones y Concesiones de la Unidad de Competencia Económica emitió la opinión en materia de competencia económica respecto a la Solicitud de Prórroga.</w:t>
      </w:r>
    </w:p>
    <w:p w:rsidR="008F4584" w:rsidRPr="000672F6" w:rsidRDefault="00CB4873" w:rsidP="008F4584">
      <w:pPr>
        <w:spacing w:before="240" w:line="276" w:lineRule="auto"/>
        <w:jc w:val="both"/>
        <w:rPr>
          <w:rFonts w:ascii="ITC Avant Garde" w:hAnsi="ITC Avant Garde"/>
          <w:bCs/>
          <w:color w:val="000000" w:themeColor="text1"/>
          <w:lang w:eastAsia="es-MX"/>
        </w:rPr>
      </w:pPr>
      <w:r w:rsidRPr="000672F6">
        <w:rPr>
          <w:rFonts w:ascii="ITC Avant Garde" w:hAnsi="ITC Avant Garde"/>
          <w:bCs/>
          <w:color w:val="000000" w:themeColor="text1"/>
          <w:lang w:eastAsia="es-MX"/>
        </w:rPr>
        <w:t>E</w:t>
      </w:r>
      <w:r w:rsidR="00173E52" w:rsidRPr="000672F6">
        <w:rPr>
          <w:rFonts w:ascii="ITC Avant Garde" w:hAnsi="ITC Avant Garde"/>
          <w:bCs/>
          <w:color w:val="000000" w:themeColor="text1"/>
          <w:lang w:eastAsia="es-MX"/>
        </w:rPr>
        <w:t>n virtud de los Antecedentes referidos y,</w:t>
      </w:r>
    </w:p>
    <w:p w:rsidR="008F4584" w:rsidRPr="000672F6" w:rsidRDefault="00173E52" w:rsidP="008F4584">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CONSIDERANDO</w:t>
      </w:r>
    </w:p>
    <w:p w:rsidR="008F4584" w:rsidRPr="000672F6" w:rsidRDefault="00173E52" w:rsidP="008F4584">
      <w:pPr>
        <w:spacing w:before="240" w:line="276" w:lineRule="auto"/>
        <w:jc w:val="both"/>
        <w:rPr>
          <w:rFonts w:ascii="ITC Avant Garde" w:eastAsia="Times New Roman" w:hAnsi="ITC Avant Garde"/>
          <w:bCs/>
          <w:kern w:val="1"/>
          <w:lang w:val="es-ES" w:eastAsia="ar-SA"/>
        </w:rPr>
      </w:pPr>
      <w:r w:rsidRPr="000672F6">
        <w:rPr>
          <w:rFonts w:ascii="ITC Avant Garde" w:eastAsia="Times New Roman" w:hAnsi="ITC Avant Garde"/>
          <w:b/>
          <w:bCs/>
          <w:kern w:val="1"/>
          <w:lang w:val="es-ES" w:eastAsia="ar-SA"/>
        </w:rPr>
        <w:t>Primero.- Competencia del Instituto.</w:t>
      </w:r>
      <w:r w:rsidRPr="000672F6">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w:t>
      </w:r>
      <w:r w:rsidRPr="000672F6">
        <w:rPr>
          <w:rFonts w:ascii="ITC Avant Garde" w:eastAsia="Times New Roman" w:hAnsi="ITC Avant Garde"/>
          <w:bCs/>
          <w:kern w:val="1"/>
          <w:lang w:val="es-ES" w:eastAsia="ar-SA"/>
        </w:rPr>
        <w:lastRenderedPageBreak/>
        <w:t>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F4584" w:rsidRPr="000672F6" w:rsidRDefault="00173E52" w:rsidP="008F4584">
      <w:pPr>
        <w:spacing w:before="240" w:line="276" w:lineRule="auto"/>
        <w:ind w:right="48"/>
        <w:jc w:val="both"/>
        <w:rPr>
          <w:rFonts w:ascii="ITC Avant Garde" w:eastAsia="Times New Roman" w:hAnsi="ITC Avant Garde"/>
          <w:bCs/>
          <w:kern w:val="1"/>
          <w:lang w:eastAsia="ar-SA"/>
        </w:rPr>
      </w:pPr>
      <w:r w:rsidRPr="000672F6">
        <w:rPr>
          <w:rFonts w:ascii="ITC Avant Garde" w:eastAsia="Times New Roman" w:hAnsi="ITC Avant Garde"/>
          <w:bCs/>
          <w:kern w:val="1"/>
          <w:lang w:val="es-ES" w:eastAsia="ar-SA"/>
        </w:rPr>
        <w:t xml:space="preserve">Por su parte, el párrafo décimo séptimo del artículo 28 de la Constitución dispone que </w:t>
      </w:r>
      <w:r w:rsidRPr="000672F6">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8F4584" w:rsidRPr="000672F6" w:rsidRDefault="00173E52" w:rsidP="008F4584">
      <w:pPr>
        <w:spacing w:before="240" w:line="276" w:lineRule="auto"/>
        <w:jc w:val="both"/>
        <w:rPr>
          <w:rFonts w:ascii="ITC Avant Garde" w:eastAsia="Times New Roman" w:hAnsi="ITC Avant Garde"/>
          <w:bCs/>
          <w:kern w:val="1"/>
          <w:lang w:eastAsia="ar-SA"/>
        </w:rPr>
      </w:pPr>
      <w:r w:rsidRPr="000672F6">
        <w:rPr>
          <w:rFonts w:ascii="ITC Avant Garde" w:eastAsia="Times New Roman" w:hAnsi="ITC Avant Garde"/>
          <w:bCs/>
          <w:kern w:val="1"/>
          <w:lang w:val="es-ES" w:eastAsia="ar-SA"/>
        </w:rPr>
        <w:t xml:space="preserve">Asimismo, </w:t>
      </w:r>
      <w:r w:rsidRPr="000672F6">
        <w:rPr>
          <w:rFonts w:ascii="ITC Avant Garde" w:eastAsia="Times New Roman" w:hAnsi="ITC Avant Garde"/>
          <w:bCs/>
          <w:kern w:val="1"/>
          <w:lang w:eastAsia="ar-SA"/>
        </w:rPr>
        <w:t>conforme al artículo 28 párrafo décimo sexto de la Constitución,</w:t>
      </w:r>
      <w:r w:rsidRPr="000672F6">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8F4584" w:rsidRPr="000672F6" w:rsidRDefault="00173E52" w:rsidP="008F4584">
      <w:pPr>
        <w:spacing w:before="240" w:line="276" w:lineRule="auto"/>
        <w:jc w:val="both"/>
        <w:rPr>
          <w:rFonts w:ascii="ITC Avant Garde" w:eastAsia="Times New Roman" w:hAnsi="ITC Avant Garde"/>
          <w:bCs/>
          <w:kern w:val="1"/>
          <w:lang w:val="es-ES" w:eastAsia="ar-SA"/>
        </w:rPr>
      </w:pPr>
      <w:r w:rsidRPr="000672F6">
        <w:rPr>
          <w:rFonts w:ascii="ITC Avant Garde" w:eastAsia="Times New Roman" w:hAnsi="ITC Avant Garde"/>
          <w:bCs/>
          <w:kern w:val="1"/>
          <w:lang w:val="es-ES" w:eastAsia="ar-SA"/>
        </w:rPr>
        <w:t xml:space="preserve">El artículo Sexto Transitorio del Decreto de Ley, señala que la atención, trámite y resolución de los asuntos y procedimientos que hayan iniciado </w:t>
      </w:r>
      <w:r w:rsidR="004948AA" w:rsidRPr="000672F6">
        <w:rPr>
          <w:rFonts w:ascii="ITC Avant Garde" w:eastAsia="Times New Roman" w:hAnsi="ITC Avant Garde"/>
          <w:bCs/>
          <w:kern w:val="1"/>
          <w:lang w:val="es-ES" w:eastAsia="ar-SA"/>
        </w:rPr>
        <w:t xml:space="preserve">previamente </w:t>
      </w:r>
      <w:r w:rsidRPr="000672F6">
        <w:rPr>
          <w:rFonts w:ascii="ITC Avant Garde" w:eastAsia="Times New Roman" w:hAnsi="ITC Avant Garde"/>
          <w:bCs/>
          <w:kern w:val="1"/>
          <w:lang w:val="es-ES" w:eastAsia="ar-SA"/>
        </w:rPr>
        <w:t>a la entrada en vigor del mismo, se realizarán en los términos establecidos en el artículo Séptimo Transitorio del Decreto de Reforma Constitucional.</w:t>
      </w:r>
    </w:p>
    <w:p w:rsidR="008F4584" w:rsidRPr="000672F6" w:rsidRDefault="00173E52" w:rsidP="008F4584">
      <w:pPr>
        <w:spacing w:before="240" w:line="276" w:lineRule="auto"/>
        <w:jc w:val="both"/>
        <w:rPr>
          <w:rFonts w:ascii="ITC Avant Garde" w:eastAsia="Times New Roman" w:hAnsi="ITC Avant Garde"/>
          <w:bCs/>
          <w:kern w:val="1"/>
          <w:lang w:val="es-ES" w:eastAsia="ar-SA"/>
        </w:rPr>
      </w:pPr>
      <w:r w:rsidRPr="000672F6">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8F4584" w:rsidRPr="000672F6" w:rsidRDefault="00796CA5" w:rsidP="008F4584">
      <w:pPr>
        <w:spacing w:before="240" w:line="276" w:lineRule="auto"/>
        <w:jc w:val="both"/>
        <w:rPr>
          <w:rFonts w:ascii="ITC Avant Garde" w:eastAsia="Times New Roman" w:hAnsi="ITC Avant Garde"/>
          <w:bCs/>
          <w:kern w:val="1"/>
          <w:lang w:eastAsia="ar-SA"/>
        </w:rPr>
      </w:pPr>
      <w:r w:rsidRPr="000672F6">
        <w:rPr>
          <w:rFonts w:ascii="ITC Avant Garde" w:eastAsia="Times New Roman" w:hAnsi="ITC Avant Garde"/>
          <w:bCs/>
          <w:kern w:val="1"/>
          <w:lang w:eastAsia="ar-SA"/>
        </w:rPr>
        <w:t>De igual forma, conforme a lo establecido en los artículos 15 fracción IV y 17 fracción I de la Ley y 6 fracciones I y XXXVII</w:t>
      </w:r>
      <w:r w:rsidR="00374821" w:rsidRPr="000672F6">
        <w:rPr>
          <w:rFonts w:ascii="ITC Avant Garde" w:eastAsia="Times New Roman" w:hAnsi="ITC Avant Garde"/>
          <w:bCs/>
          <w:kern w:val="1"/>
          <w:lang w:eastAsia="ar-SA"/>
        </w:rPr>
        <w:t>I</w:t>
      </w:r>
      <w:r w:rsidRPr="000672F6">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rsidR="008F4584" w:rsidRPr="000672F6" w:rsidRDefault="00173E52" w:rsidP="008F4584">
      <w:pPr>
        <w:autoSpaceDE w:val="0"/>
        <w:autoSpaceDN w:val="0"/>
        <w:adjustRightInd w:val="0"/>
        <w:spacing w:before="240" w:line="276" w:lineRule="auto"/>
        <w:jc w:val="both"/>
        <w:rPr>
          <w:rFonts w:ascii="ITC Avant Garde" w:eastAsia="Times New Roman" w:hAnsi="ITC Avant Garde"/>
          <w:bCs/>
          <w:kern w:val="1"/>
          <w:lang w:eastAsia="ar-SA"/>
        </w:rPr>
      </w:pPr>
      <w:r w:rsidRPr="000672F6">
        <w:rPr>
          <w:rFonts w:ascii="ITC Avant Garde" w:eastAsia="Times New Roman" w:hAnsi="ITC Avant Garde"/>
          <w:bCs/>
          <w:kern w:val="1"/>
          <w:lang w:eastAsia="ar-SA"/>
        </w:rPr>
        <w:t xml:space="preserve">Para dichos efectos, conforme a los artículos 32 y 34 fracción II del Estatuto Orgánico, corresponde originariamente a la Unidad de Concesiones y Servicios por conducto de la Dirección General de Concesiones de Radiodifusión, tramitar y evaluar las solicitudes </w:t>
      </w:r>
      <w:r w:rsidRPr="000672F6">
        <w:rPr>
          <w:rFonts w:ascii="ITC Avant Garde" w:eastAsia="Times New Roman" w:hAnsi="ITC Avant Garde"/>
          <w:bCs/>
          <w:kern w:val="1"/>
          <w:lang w:eastAsia="ar-SA"/>
        </w:rPr>
        <w:lastRenderedPageBreak/>
        <w:t>de prórroga de concesiones en materia de radiodifusión para someterlas a consideración del Pleno.</w:t>
      </w:r>
    </w:p>
    <w:p w:rsidR="008F4584" w:rsidRPr="000672F6" w:rsidRDefault="00173E52" w:rsidP="008F4584">
      <w:pPr>
        <w:autoSpaceDE w:val="0"/>
        <w:autoSpaceDN w:val="0"/>
        <w:adjustRightInd w:val="0"/>
        <w:spacing w:before="240" w:line="276" w:lineRule="auto"/>
        <w:jc w:val="both"/>
        <w:rPr>
          <w:rFonts w:ascii="ITC Avant Garde" w:hAnsi="ITC Avant Garde"/>
          <w:bCs/>
        </w:rPr>
      </w:pPr>
      <w:r w:rsidRPr="000672F6">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672F6">
        <w:rPr>
          <w:rFonts w:ascii="ITC Avant Garde" w:hAnsi="ITC Avant Garde" w:cs="Tahoma"/>
          <w:bCs/>
          <w:lang w:eastAsia="es-MX"/>
        </w:rPr>
        <w:t xml:space="preserve">para </w:t>
      </w:r>
      <w:r w:rsidRPr="000672F6">
        <w:rPr>
          <w:rFonts w:ascii="ITC Avant Garde" w:eastAsia="Times New Roman" w:hAnsi="ITC Avant Garde"/>
          <w:bCs/>
          <w:kern w:val="1"/>
          <w:lang w:eastAsia="ar-SA"/>
        </w:rPr>
        <w:t xml:space="preserve">resolver sobre la prórroga de </w:t>
      </w:r>
      <w:r w:rsidRPr="000672F6">
        <w:rPr>
          <w:rFonts w:ascii="ITC Avant Garde" w:eastAsia="Times New Roman" w:hAnsi="ITC Avant Garde"/>
          <w:bCs/>
          <w:kern w:val="1"/>
          <w:lang w:val="es-ES_tradnl" w:eastAsia="ar-SA"/>
        </w:rPr>
        <w:t>concesiones</w:t>
      </w:r>
      <w:r w:rsidRPr="000672F6">
        <w:rPr>
          <w:rFonts w:ascii="ITC Avant Garde" w:hAnsi="ITC Avant Garde"/>
          <w:bCs/>
        </w:rPr>
        <w:t>, el Pleno, como órgano máximo de gobierno y decisión del Instituto, se encuentra plenamente facultado para resolver las Solicitudes de Prórroga que nos ocupan.</w:t>
      </w:r>
    </w:p>
    <w:p w:rsidR="008F4584" w:rsidRPr="000672F6" w:rsidRDefault="00173E52" w:rsidP="008F4584">
      <w:pPr>
        <w:suppressAutoHyphens/>
        <w:spacing w:before="240" w:line="276" w:lineRule="auto"/>
        <w:jc w:val="both"/>
        <w:rPr>
          <w:rFonts w:ascii="ITC Avant Garde" w:eastAsia="Times New Roman" w:hAnsi="ITC Avant Garde"/>
          <w:kern w:val="1"/>
          <w:lang w:eastAsia="ar-SA"/>
        </w:rPr>
      </w:pPr>
      <w:r w:rsidRPr="000672F6">
        <w:rPr>
          <w:rFonts w:ascii="ITC Avant Garde" w:eastAsia="Times New Roman" w:hAnsi="ITC Avant Garde"/>
          <w:b/>
          <w:kern w:val="1"/>
          <w:lang w:val="es-ES" w:eastAsia="ar-SA"/>
        </w:rPr>
        <w:t>Segundo</w:t>
      </w:r>
      <w:r w:rsidRPr="000672F6">
        <w:rPr>
          <w:rFonts w:ascii="ITC Avant Garde" w:eastAsia="Times New Roman" w:hAnsi="ITC Avant Garde"/>
          <w:b/>
          <w:kern w:val="1"/>
          <w:lang w:eastAsia="ar-SA"/>
        </w:rPr>
        <w:t xml:space="preserve">.- Marco jurídico aplicable. </w:t>
      </w:r>
      <w:r w:rsidR="00CB45FB" w:rsidRPr="000672F6">
        <w:rPr>
          <w:rFonts w:ascii="ITC Avant Garde" w:eastAsia="Times New Roman" w:hAnsi="ITC Avant Garde"/>
          <w:kern w:val="1"/>
          <w:lang w:eastAsia="ar-SA"/>
        </w:rPr>
        <w:t xml:space="preserve">Para efectos del trámite e integración de la Solicitud de Prórroga materia de la presente Resolución, deberán observarse los </w:t>
      </w:r>
      <w:r w:rsidR="00B32A84" w:rsidRPr="000672F6">
        <w:rPr>
          <w:rFonts w:ascii="ITC Avant Garde" w:eastAsia="Times New Roman" w:hAnsi="ITC Avant Garde"/>
          <w:kern w:val="1"/>
          <w:lang w:eastAsia="ar-SA"/>
        </w:rPr>
        <w:t xml:space="preserve">requisitos </w:t>
      </w:r>
      <w:r w:rsidR="005F0305" w:rsidRPr="000672F6">
        <w:rPr>
          <w:rFonts w:ascii="ITC Avant Garde" w:eastAsia="Times New Roman" w:hAnsi="ITC Avant Garde"/>
          <w:kern w:val="1"/>
          <w:lang w:eastAsia="ar-SA"/>
        </w:rPr>
        <w:t xml:space="preserve">establecidos en la </w:t>
      </w:r>
      <w:r w:rsidR="00CB45FB" w:rsidRPr="000672F6">
        <w:rPr>
          <w:rFonts w:ascii="ITC Avant Garde" w:eastAsia="Times New Roman" w:hAnsi="ITC Avant Garde"/>
          <w:kern w:val="1"/>
          <w:lang w:eastAsia="ar-SA"/>
        </w:rPr>
        <w:t xml:space="preserve">legislación vigente al momento de la presentación de las mismas, esto es, en concordancia con lo dispuesto en la </w:t>
      </w:r>
      <w:r w:rsidR="005F0305" w:rsidRPr="000672F6">
        <w:rPr>
          <w:rFonts w:ascii="ITC Avant Garde" w:eastAsia="Times New Roman" w:hAnsi="ITC Avant Garde"/>
          <w:kern w:val="1"/>
          <w:lang w:eastAsia="ar-SA"/>
        </w:rPr>
        <w:t xml:space="preserve">Constitución, la Ley, la Ley Federal de Derechos y el Estatuto Orgánico. </w:t>
      </w:r>
    </w:p>
    <w:p w:rsidR="008F4584" w:rsidRPr="000672F6" w:rsidRDefault="005F0305" w:rsidP="008F4584">
      <w:pPr>
        <w:suppressAutoHyphens/>
        <w:spacing w:before="240" w:line="276" w:lineRule="auto"/>
        <w:jc w:val="both"/>
        <w:rPr>
          <w:rFonts w:ascii="ITC Avant Garde" w:eastAsia="Times New Roman" w:hAnsi="ITC Avant Garde"/>
          <w:kern w:val="1"/>
          <w:lang w:eastAsia="ar-SA"/>
        </w:rPr>
      </w:pPr>
      <w:r w:rsidRPr="000672F6">
        <w:rPr>
          <w:rFonts w:ascii="ITC Avant Garde" w:eastAsia="Times New Roman" w:hAnsi="ITC Avant Garde"/>
          <w:kern w:val="1"/>
          <w:lang w:eastAsia="ar-SA"/>
        </w:rPr>
        <w:t>El artículo 28 de la Constitución, párrafo décimo séptimo, dota de facultades al Instituto para otorgar concesiones en materia de radiodifusi</w:t>
      </w:r>
      <w:r w:rsidR="007F63DA" w:rsidRPr="000672F6">
        <w:rPr>
          <w:rFonts w:ascii="ITC Avant Garde" w:eastAsia="Times New Roman" w:hAnsi="ITC Avant Garde"/>
          <w:kern w:val="1"/>
          <w:lang w:eastAsia="ar-SA"/>
        </w:rPr>
        <w:t>ón y telecomunicaciones, así como fijar el monto de las contraprestaciones por su otorgamiento, previa opinión de la autoridad hacendaria. De igual manera, señala que el Instituto deberá notificar al Secretario del ramo previ</w:t>
      </w:r>
      <w:r w:rsidR="00645C6B" w:rsidRPr="000672F6">
        <w:rPr>
          <w:rFonts w:ascii="ITC Avant Garde" w:eastAsia="Times New Roman" w:hAnsi="ITC Avant Garde"/>
          <w:kern w:val="1"/>
          <w:lang w:eastAsia="ar-SA"/>
        </w:rPr>
        <w:t>amente</w:t>
      </w:r>
      <w:r w:rsidR="007F63DA" w:rsidRPr="000672F6">
        <w:rPr>
          <w:rFonts w:ascii="ITC Avant Garde" w:eastAsia="Times New Roman" w:hAnsi="ITC Avant Garde"/>
          <w:kern w:val="1"/>
          <w:lang w:eastAsia="ar-SA"/>
        </w:rPr>
        <w:t xml:space="preserve"> a su determinación, quien podrá emitir su opinión técnica no vinculante en un plazo de 30 días naturales. Al efecto, a continuación se transcribe de manera íntegra el párrafo citado: </w:t>
      </w:r>
    </w:p>
    <w:p w:rsidR="007F63DA" w:rsidRPr="000672F6" w:rsidRDefault="007F63DA"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sz w:val="20"/>
        </w:rPr>
        <w:t>“</w:t>
      </w:r>
      <w:r w:rsidRPr="000672F6">
        <w:rPr>
          <w:rFonts w:ascii="ITC Avant Garde" w:hAnsi="ITC Avant Garde"/>
          <w:b/>
          <w:sz w:val="20"/>
        </w:rPr>
        <w:t>Artículo 28.</w:t>
      </w:r>
      <w:r w:rsidRPr="000672F6">
        <w:rPr>
          <w:rFonts w:ascii="ITC Avant Garde" w:hAnsi="ITC Avant Garde"/>
          <w:sz w:val="20"/>
        </w:rPr>
        <w:t xml:space="preserve"> …</w:t>
      </w:r>
    </w:p>
    <w:p w:rsidR="008F4584" w:rsidRPr="000672F6" w:rsidRDefault="007F63DA"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sz w:val="20"/>
        </w:rPr>
        <w:t>….</w:t>
      </w:r>
    </w:p>
    <w:p w:rsidR="008F4584" w:rsidRPr="000672F6" w:rsidRDefault="007F63DA"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sz w:val="20"/>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8F4584" w:rsidRPr="000672F6" w:rsidRDefault="007F63DA" w:rsidP="008F4584">
      <w:pPr>
        <w:suppressAutoHyphens/>
        <w:spacing w:before="240" w:line="276" w:lineRule="auto"/>
        <w:jc w:val="both"/>
        <w:rPr>
          <w:rFonts w:ascii="ITC Avant Garde" w:eastAsia="Times New Roman" w:hAnsi="ITC Avant Garde"/>
          <w:kern w:val="1"/>
          <w:lang w:eastAsia="ar-SA"/>
        </w:rPr>
      </w:pPr>
      <w:r w:rsidRPr="000672F6">
        <w:rPr>
          <w:rFonts w:ascii="ITC Avant Garde" w:eastAsia="Times New Roman" w:hAnsi="ITC Avant Garde"/>
          <w:kern w:val="1"/>
          <w:lang w:eastAsia="ar-SA"/>
        </w:rPr>
        <w:t xml:space="preserve">Por su parte, </w:t>
      </w:r>
      <w:r w:rsidR="00ED0043" w:rsidRPr="000672F6">
        <w:rPr>
          <w:rFonts w:ascii="ITC Avant Garde" w:eastAsia="Times New Roman" w:hAnsi="ITC Avant Garde"/>
          <w:kern w:val="1"/>
          <w:lang w:eastAsia="ar-SA"/>
        </w:rPr>
        <w:t>el artículo</w:t>
      </w:r>
      <w:r w:rsidR="00DA28B4" w:rsidRPr="000672F6">
        <w:rPr>
          <w:rFonts w:ascii="ITC Avant Garde" w:eastAsia="Times New Roman" w:hAnsi="ITC Avant Garde"/>
          <w:kern w:val="1"/>
          <w:lang w:eastAsia="ar-SA"/>
        </w:rPr>
        <w:t xml:space="preserve"> 114 de la Ley señala a la letra </w:t>
      </w:r>
      <w:r w:rsidR="00ED0043" w:rsidRPr="000672F6">
        <w:rPr>
          <w:rFonts w:ascii="ITC Avant Garde" w:eastAsia="Times New Roman" w:hAnsi="ITC Avant Garde"/>
          <w:kern w:val="1"/>
          <w:lang w:eastAsia="ar-SA"/>
        </w:rPr>
        <w:t>lo siguiente</w:t>
      </w:r>
      <w:r w:rsidR="00DA28B4" w:rsidRPr="000672F6">
        <w:rPr>
          <w:rFonts w:ascii="ITC Avant Garde" w:eastAsia="Times New Roman" w:hAnsi="ITC Avant Garde"/>
          <w:kern w:val="1"/>
          <w:lang w:eastAsia="ar-SA"/>
        </w:rPr>
        <w:t>:</w:t>
      </w:r>
    </w:p>
    <w:p w:rsidR="008F4584" w:rsidRPr="000672F6" w:rsidRDefault="00DA28B4"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b/>
          <w:bCs/>
          <w:sz w:val="20"/>
          <w:lang w:val="es-MX"/>
        </w:rPr>
        <w:lastRenderedPageBreak/>
        <w:t>“</w:t>
      </w:r>
      <w:r w:rsidR="007F63DA" w:rsidRPr="000672F6">
        <w:rPr>
          <w:rFonts w:ascii="ITC Avant Garde" w:hAnsi="ITC Avant Garde"/>
          <w:b/>
          <w:bCs/>
          <w:sz w:val="20"/>
          <w:lang w:val="es-MX"/>
        </w:rPr>
        <w:t xml:space="preserve">Artículo 114. </w:t>
      </w:r>
      <w:r w:rsidR="007F63DA" w:rsidRPr="000672F6">
        <w:rPr>
          <w:rFonts w:ascii="ITC Avant Garde" w:hAnsi="ITC Avant Garde"/>
          <w:sz w:val="20"/>
          <w:lang w:val="es-MX"/>
        </w:rPr>
        <w:t>Para el otorgamiento de las prórrogas de concesiones de bandas de frecuencias o de recursos orbitales, será necesario que el concesionario la solicite al Instituto dentro del año previo al inicio de la última quinta</w:t>
      </w:r>
      <w:r w:rsidR="007F63DA" w:rsidRPr="000672F6">
        <w:rPr>
          <w:rFonts w:eastAsiaTheme="minorHAnsi"/>
          <w:color w:val="000000"/>
          <w:szCs w:val="18"/>
        </w:rPr>
        <w:t xml:space="preserve"> </w:t>
      </w:r>
      <w:r w:rsidR="007F63DA" w:rsidRPr="000672F6">
        <w:rPr>
          <w:rFonts w:ascii="ITC Avant Garde" w:hAnsi="ITC Avant Garde"/>
          <w:sz w:val="20"/>
        </w:rPr>
        <w:t xml:space="preserve">parte del plazo de vigencia de la concesión, se encuentre al corriente en el cumplimiento de las obligaciones establecidas en la Ley y demás disposiciones aplicables, así como en su título de concesión. </w:t>
      </w:r>
    </w:p>
    <w:p w:rsidR="008F4584" w:rsidRPr="000672F6" w:rsidRDefault="007F63DA"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sz w:val="20"/>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rsidR="008F4584" w:rsidRPr="000672F6" w:rsidRDefault="007F63DA"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sz w:val="20"/>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rsidR="008F4584" w:rsidRPr="000672F6" w:rsidRDefault="007F63DA" w:rsidP="008F4584">
      <w:pPr>
        <w:pStyle w:val="Texto"/>
        <w:spacing w:before="240" w:after="160" w:line="276" w:lineRule="auto"/>
        <w:ind w:left="567" w:right="615" w:firstLine="6"/>
        <w:rPr>
          <w:rFonts w:ascii="ITC Avant Garde" w:hAnsi="ITC Avant Garde"/>
          <w:sz w:val="20"/>
        </w:rPr>
      </w:pPr>
      <w:r w:rsidRPr="000672F6">
        <w:rPr>
          <w:rFonts w:ascii="ITC Avant Garde" w:hAnsi="ITC Avant Garde"/>
          <w:sz w:val="20"/>
          <w:lang w:val="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rsidR="008F4584" w:rsidRPr="000672F6" w:rsidRDefault="0009226A" w:rsidP="008F4584">
      <w:pPr>
        <w:suppressAutoHyphens/>
        <w:spacing w:before="240" w:line="240" w:lineRule="auto"/>
        <w:jc w:val="both"/>
        <w:rPr>
          <w:rFonts w:ascii="ITC Avant Garde" w:eastAsia="Times New Roman" w:hAnsi="ITC Avant Garde"/>
          <w:kern w:val="1"/>
          <w:lang w:eastAsia="ar-SA"/>
        </w:rPr>
      </w:pPr>
      <w:r w:rsidRPr="000672F6">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w:t>
      </w:r>
      <w:r w:rsidR="00CB45FB" w:rsidRPr="000672F6">
        <w:rPr>
          <w:rFonts w:ascii="ITC Avant Garde" w:eastAsia="Times New Roman" w:hAnsi="ITC Avant Garde"/>
          <w:kern w:val="1"/>
          <w:lang w:eastAsia="ar-SA"/>
        </w:rPr>
        <w:t>solicitarlo al Instituto</w:t>
      </w:r>
      <w:r w:rsidRPr="000672F6">
        <w:rPr>
          <w:rFonts w:ascii="ITC Avant Garde" w:eastAsia="Times New Roman" w:hAnsi="ITC Avant Garde"/>
          <w:kern w:val="1"/>
          <w:lang w:eastAsia="ar-SA"/>
        </w:rPr>
        <w:t xml:space="preserve"> dentro del año previo al inicio de la última quinta parte del plazo de vigencia de la concesión; (ii) </w:t>
      </w:r>
      <w:r w:rsidR="00CB45FB" w:rsidRPr="000672F6">
        <w:rPr>
          <w:rFonts w:ascii="ITC Avant Garde" w:eastAsia="Times New Roman" w:hAnsi="ITC Avant Garde"/>
          <w:kern w:val="1"/>
          <w:lang w:eastAsia="ar-SA"/>
        </w:rPr>
        <w:t>estar</w:t>
      </w:r>
      <w:r w:rsidRPr="000672F6">
        <w:rPr>
          <w:rFonts w:ascii="ITC Avant Garde" w:eastAsia="Times New Roman" w:hAnsi="ITC Avant Garde"/>
          <w:kern w:val="1"/>
          <w:lang w:eastAsia="ar-SA"/>
        </w:rPr>
        <w:t xml:space="preserve"> al corriente en el cumplimiento de las obligaciones establecidas en la Ley, el título de concesión y demás disposiciones aplicables; (iii) </w:t>
      </w:r>
      <w:r w:rsidR="00CB45FB" w:rsidRPr="000672F6">
        <w:rPr>
          <w:rFonts w:ascii="ITC Avant Garde" w:eastAsia="Times New Roman" w:hAnsi="ITC Avant Garde"/>
          <w:kern w:val="1"/>
          <w:lang w:eastAsia="ar-SA"/>
        </w:rPr>
        <w:t xml:space="preserve">determinar si </w:t>
      </w:r>
      <w:r w:rsidRPr="000672F6">
        <w:rPr>
          <w:rFonts w:ascii="ITC Avant Garde" w:eastAsia="Times New Roman" w:hAnsi="ITC Avant Garde"/>
          <w:kern w:val="1"/>
          <w:lang w:eastAsia="ar-SA"/>
        </w:rPr>
        <w:t>exist</w:t>
      </w:r>
      <w:r w:rsidR="00CB45FB" w:rsidRPr="000672F6">
        <w:rPr>
          <w:rFonts w:ascii="ITC Avant Garde" w:eastAsia="Times New Roman" w:hAnsi="ITC Avant Garde"/>
          <w:kern w:val="1"/>
          <w:lang w:eastAsia="ar-SA"/>
        </w:rPr>
        <w:t>e</w:t>
      </w:r>
      <w:r w:rsidRPr="000672F6">
        <w:rPr>
          <w:rFonts w:ascii="ITC Avant Garde" w:eastAsia="Times New Roman" w:hAnsi="ITC Avant Garde"/>
          <w:kern w:val="1"/>
          <w:lang w:eastAsia="ar-SA"/>
        </w:rPr>
        <w:t xml:space="preserve"> interés público </w:t>
      </w:r>
      <w:r w:rsidR="00CB45FB" w:rsidRPr="000672F6">
        <w:rPr>
          <w:rFonts w:ascii="ITC Avant Garde" w:eastAsia="Times New Roman" w:hAnsi="ITC Avant Garde"/>
          <w:kern w:val="1"/>
          <w:lang w:eastAsia="ar-SA"/>
        </w:rPr>
        <w:t xml:space="preserve">por parte del Instituto </w:t>
      </w:r>
      <w:r w:rsidRPr="000672F6">
        <w:rPr>
          <w:rFonts w:ascii="ITC Avant Garde" w:eastAsia="Times New Roman" w:hAnsi="ITC Avant Garde"/>
          <w:kern w:val="1"/>
          <w:lang w:eastAsia="ar-SA"/>
        </w:rPr>
        <w:t>en recuperar el espectro radioeléctrico concesionado; (iv) que se cuente con la opinión técnica no vinculante por parte de la SCT</w:t>
      </w:r>
      <w:r w:rsidR="00CB45FB" w:rsidRPr="000672F6">
        <w:rPr>
          <w:rFonts w:ascii="ITC Avant Garde" w:eastAsia="Times New Roman" w:hAnsi="ITC Avant Garde"/>
          <w:kern w:val="1"/>
          <w:lang w:eastAsia="ar-SA"/>
        </w:rPr>
        <w:t>; y, (v) aceptar previamente las nuevas condiciones</w:t>
      </w:r>
      <w:r w:rsidRPr="000672F6">
        <w:rPr>
          <w:rFonts w:ascii="ITC Avant Garde" w:eastAsia="Times New Roman" w:hAnsi="ITC Avant Garde"/>
          <w:kern w:val="1"/>
          <w:lang w:eastAsia="ar-SA"/>
        </w:rPr>
        <w:t>.</w:t>
      </w:r>
    </w:p>
    <w:p w:rsidR="008F4584" w:rsidRPr="000672F6" w:rsidRDefault="00A46F53" w:rsidP="008F4584">
      <w:pPr>
        <w:autoSpaceDE w:val="0"/>
        <w:spacing w:before="240" w:line="240" w:lineRule="auto"/>
        <w:jc w:val="both"/>
      </w:pPr>
      <w:r w:rsidRPr="000672F6">
        <w:rPr>
          <w:rFonts w:ascii="ITC Avant Garde" w:hAnsi="ITC Avant Garde" w:cs="Tahoma"/>
          <w:bCs/>
          <w:color w:val="000000"/>
          <w:lang w:eastAsia="es-MX"/>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las solicitudes que nos ocupan.</w:t>
      </w:r>
    </w:p>
    <w:p w:rsidR="008F4584" w:rsidRPr="000672F6" w:rsidRDefault="00A46F53" w:rsidP="008F4584">
      <w:pPr>
        <w:autoSpaceDE w:val="0"/>
        <w:spacing w:before="240" w:line="240" w:lineRule="auto"/>
        <w:jc w:val="both"/>
      </w:pPr>
      <w:r w:rsidRPr="000672F6">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 vigente al inicio del trámite,</w:t>
      </w:r>
      <w:r w:rsidR="00B2014E" w:rsidRPr="000672F6">
        <w:rPr>
          <w:rFonts w:ascii="ITC Avant Garde" w:hAnsi="ITC Avant Garde" w:cs="Tahoma"/>
          <w:bCs/>
          <w:color w:val="000000"/>
          <w:lang w:eastAsia="es-MX"/>
        </w:rPr>
        <w:t xml:space="preserve"> así como 173 apartado A fracción II para aquellos pagos realizados con la Ley Federal de Derechos vigente,</w:t>
      </w:r>
      <w:r w:rsidRPr="000672F6">
        <w:rPr>
          <w:rFonts w:ascii="ITC Avant Garde" w:hAnsi="ITC Avant Garde" w:cs="Tahoma"/>
          <w:bCs/>
          <w:color w:val="000000"/>
          <w:lang w:eastAsia="es-MX"/>
        </w:rPr>
        <w:t xml:space="preserve"> el cual dispone la obligación de pagar los derechos por el estudio y revisión del cumplimiento de obligaciones de la concesión que se solicita </w:t>
      </w:r>
      <w:r w:rsidR="00B2014E" w:rsidRPr="000672F6">
        <w:rPr>
          <w:rFonts w:ascii="ITC Avant Garde" w:hAnsi="ITC Avant Garde" w:cs="Tahoma"/>
          <w:bCs/>
          <w:color w:val="000000"/>
          <w:lang w:eastAsia="es-MX"/>
        </w:rPr>
        <w:t>prorrogar</w:t>
      </w:r>
      <w:r w:rsidRPr="000672F6">
        <w:rPr>
          <w:rFonts w:ascii="ITC Avant Garde" w:hAnsi="ITC Avant Garde" w:cs="Tahoma"/>
          <w:bCs/>
          <w:color w:val="000000"/>
          <w:lang w:eastAsia="es-MX"/>
        </w:rPr>
        <w:t>, como es el caso que nos ocupa.</w:t>
      </w:r>
    </w:p>
    <w:p w:rsidR="008F4584" w:rsidRPr="000672F6" w:rsidRDefault="001F620D" w:rsidP="008F4584">
      <w:pPr>
        <w:autoSpaceDE w:val="0"/>
        <w:spacing w:before="240" w:line="240" w:lineRule="auto"/>
        <w:jc w:val="both"/>
      </w:pPr>
      <w:r w:rsidRPr="000672F6">
        <w:rPr>
          <w:rFonts w:ascii="ITC Avant Garde" w:eastAsia="Times New Roman" w:hAnsi="ITC Avant Garde"/>
          <w:b/>
          <w:kern w:val="3"/>
          <w:lang w:val="es-ES" w:eastAsia="ar-SA"/>
        </w:rPr>
        <w:lastRenderedPageBreak/>
        <w:t>Tercero.- Análisis de la Solicitud</w:t>
      </w:r>
      <w:r w:rsidR="004A4253" w:rsidRPr="000672F6">
        <w:rPr>
          <w:rFonts w:ascii="ITC Avant Garde" w:eastAsia="Times New Roman" w:hAnsi="ITC Avant Garde"/>
          <w:b/>
          <w:kern w:val="3"/>
          <w:lang w:val="es-ES" w:eastAsia="ar-SA"/>
        </w:rPr>
        <w:t xml:space="preserve"> de Prórroga.</w:t>
      </w:r>
      <w:r w:rsidR="004A4253" w:rsidRPr="000672F6">
        <w:rPr>
          <w:rFonts w:ascii="ITC Avant Garde" w:eastAsia="Times New Roman" w:hAnsi="ITC Avant Garde"/>
          <w:kern w:val="3"/>
          <w:lang w:val="es-ES" w:eastAsia="ar-SA"/>
        </w:rPr>
        <w:t xml:space="preserve"> L</w:t>
      </w:r>
      <w:r w:rsidR="004A4253" w:rsidRPr="000672F6">
        <w:rPr>
          <w:rFonts w:ascii="ITC Avant Garde" w:eastAsia="Times New Roman" w:hAnsi="ITC Avant Garde"/>
          <w:kern w:val="3"/>
          <w:lang w:eastAsia="ar-SA"/>
        </w:rPr>
        <w:t>a Unidad de Concesiones y Servicios por conducto de la Dirección General de Concesiones de Radiodifusión realizó el análisis de la So</w:t>
      </w:r>
      <w:r w:rsidRPr="000672F6">
        <w:rPr>
          <w:rFonts w:ascii="ITC Avant Garde" w:eastAsia="Times New Roman" w:hAnsi="ITC Avant Garde"/>
          <w:kern w:val="3"/>
          <w:lang w:eastAsia="ar-SA"/>
        </w:rPr>
        <w:t>licitud</w:t>
      </w:r>
      <w:r w:rsidR="004A4253" w:rsidRPr="000672F6">
        <w:rPr>
          <w:rFonts w:ascii="ITC Avant Garde" w:eastAsia="Times New Roman" w:hAnsi="ITC Avant Garde"/>
          <w:kern w:val="3"/>
          <w:lang w:eastAsia="ar-SA"/>
        </w:rPr>
        <w:t xml:space="preserve"> de Prórroga de conformidad con los requisitos establecidos en el artículo </w:t>
      </w:r>
      <w:r w:rsidR="00595ABD" w:rsidRPr="000672F6">
        <w:rPr>
          <w:rFonts w:ascii="ITC Avant Garde" w:eastAsia="Times New Roman" w:hAnsi="ITC Avant Garde"/>
          <w:kern w:val="3"/>
          <w:lang w:eastAsia="ar-SA"/>
        </w:rPr>
        <w:t>114 de la Ley</w:t>
      </w:r>
      <w:r w:rsidR="004A4253" w:rsidRPr="000672F6">
        <w:rPr>
          <w:rFonts w:ascii="ITC Avant Garde" w:eastAsia="Times New Roman" w:hAnsi="ITC Avant Garde"/>
          <w:kern w:val="3"/>
          <w:lang w:eastAsia="ar-SA"/>
        </w:rPr>
        <w:t>, en los siguientes términos:</w:t>
      </w:r>
    </w:p>
    <w:p w:rsidR="008F4584" w:rsidRPr="000672F6" w:rsidRDefault="004A4253" w:rsidP="008F4584">
      <w:pPr>
        <w:pStyle w:val="Prrafodelista"/>
        <w:numPr>
          <w:ilvl w:val="0"/>
          <w:numId w:val="19"/>
        </w:numPr>
        <w:spacing w:before="240" w:after="160"/>
        <w:ind w:right="48"/>
        <w:jc w:val="both"/>
        <w:rPr>
          <w:rFonts w:ascii="ITC Avant Garde" w:hAnsi="ITC Avant Garde"/>
          <w:kern w:val="3"/>
          <w:sz w:val="22"/>
          <w:szCs w:val="22"/>
          <w:lang w:eastAsia="ar-SA"/>
        </w:rPr>
      </w:pPr>
      <w:r w:rsidRPr="000672F6">
        <w:rPr>
          <w:rFonts w:ascii="ITC Avant Garde" w:hAnsi="ITC Avant Garde"/>
          <w:b/>
          <w:kern w:val="3"/>
          <w:sz w:val="22"/>
          <w:szCs w:val="22"/>
          <w:lang w:eastAsia="ar-SA"/>
        </w:rPr>
        <w:t>Temporalidad</w:t>
      </w:r>
      <w:r w:rsidRPr="000672F6">
        <w:rPr>
          <w:rFonts w:ascii="ITC Avant Garde" w:hAnsi="ITC Avant Garde"/>
          <w:kern w:val="3"/>
          <w:sz w:val="22"/>
          <w:szCs w:val="22"/>
          <w:lang w:eastAsia="ar-SA"/>
        </w:rPr>
        <w:t xml:space="preserve">. Por lo que hace al requisito de procedencia establecido por el referido artículo </w:t>
      </w:r>
      <w:r w:rsidR="00595ABD" w:rsidRPr="000672F6">
        <w:rPr>
          <w:rFonts w:ascii="ITC Avant Garde" w:hAnsi="ITC Avant Garde"/>
          <w:kern w:val="3"/>
          <w:sz w:val="22"/>
          <w:szCs w:val="22"/>
          <w:lang w:eastAsia="ar-SA"/>
        </w:rPr>
        <w:t>114 de la Ley</w:t>
      </w:r>
      <w:r w:rsidRPr="000672F6">
        <w:rPr>
          <w:rFonts w:ascii="ITC Avant Garde" w:hAnsi="ITC Avant Garde"/>
          <w:kern w:val="3"/>
          <w:sz w:val="22"/>
          <w:szCs w:val="22"/>
          <w:lang w:eastAsia="ar-SA"/>
        </w:rPr>
        <w:t xml:space="preserve">, relativo a que los Concesionarios presenten las solicitudes de prórroga </w:t>
      </w:r>
      <w:r w:rsidR="003F6AC4" w:rsidRPr="000672F6">
        <w:rPr>
          <w:rFonts w:ascii="ITC Avant Garde" w:hAnsi="ITC Avant Garde"/>
          <w:kern w:val="3"/>
          <w:sz w:val="22"/>
          <w:szCs w:val="22"/>
          <w:lang w:eastAsia="ar-SA"/>
        </w:rPr>
        <w:t>dentro del año previo al inicio de</w:t>
      </w:r>
      <w:r w:rsidRPr="000672F6">
        <w:rPr>
          <w:rFonts w:ascii="ITC Avant Garde" w:hAnsi="ITC Avant Garde"/>
          <w:kern w:val="3"/>
          <w:sz w:val="22"/>
          <w:szCs w:val="22"/>
          <w:lang w:eastAsia="ar-SA"/>
        </w:rPr>
        <w:t xml:space="preserve"> la última quinta parte de la vigencia de la Concesión, </w:t>
      </w:r>
      <w:r w:rsidR="00F115AF" w:rsidRPr="000672F6">
        <w:rPr>
          <w:rFonts w:ascii="ITC Avant Garde" w:hAnsi="ITC Avant Garde"/>
          <w:kern w:val="3"/>
          <w:sz w:val="22"/>
          <w:szCs w:val="22"/>
          <w:lang w:eastAsia="ar-SA"/>
        </w:rPr>
        <w:t xml:space="preserve">y  para que la autoridad se encuentre en aptitud legal de realizar el trámite de prórroga que nos ocupa, </w:t>
      </w:r>
      <w:r w:rsidRPr="000672F6">
        <w:rPr>
          <w:rFonts w:ascii="ITC Avant Garde" w:hAnsi="ITC Avant Garde"/>
          <w:kern w:val="3"/>
          <w:sz w:val="22"/>
          <w:szCs w:val="22"/>
          <w:lang w:eastAsia="ar-SA"/>
        </w:rPr>
        <w:t>este Instituto considera</w:t>
      </w:r>
      <w:r w:rsidR="00A85D4F" w:rsidRPr="000672F6">
        <w:rPr>
          <w:rFonts w:ascii="ITC Avant Garde" w:hAnsi="ITC Avant Garde"/>
          <w:kern w:val="3"/>
          <w:sz w:val="22"/>
          <w:szCs w:val="22"/>
          <w:lang w:eastAsia="ar-SA"/>
        </w:rPr>
        <w:t xml:space="preserve"> lo</w:t>
      </w:r>
      <w:r w:rsidR="00F115AF" w:rsidRPr="000672F6">
        <w:rPr>
          <w:rFonts w:ascii="ITC Avant Garde" w:hAnsi="ITC Avant Garde"/>
          <w:kern w:val="3"/>
          <w:sz w:val="22"/>
          <w:szCs w:val="22"/>
          <w:lang w:eastAsia="ar-SA"/>
        </w:rPr>
        <w:t>s</w:t>
      </w:r>
      <w:r w:rsidR="00A85D4F" w:rsidRPr="000672F6">
        <w:rPr>
          <w:rFonts w:ascii="ITC Avant Garde" w:hAnsi="ITC Avant Garde"/>
          <w:kern w:val="3"/>
          <w:sz w:val="22"/>
          <w:szCs w:val="22"/>
          <w:lang w:eastAsia="ar-SA"/>
        </w:rPr>
        <w:t xml:space="preserve"> siguiente</w:t>
      </w:r>
      <w:r w:rsidR="00F115AF" w:rsidRPr="000672F6">
        <w:rPr>
          <w:rFonts w:ascii="ITC Avant Garde" w:hAnsi="ITC Avant Garde"/>
          <w:kern w:val="3"/>
          <w:sz w:val="22"/>
          <w:szCs w:val="22"/>
          <w:lang w:eastAsia="ar-SA"/>
        </w:rPr>
        <w:t>s supuestos</w:t>
      </w:r>
      <w:r w:rsidR="00A85D4F" w:rsidRPr="000672F6">
        <w:rPr>
          <w:rFonts w:ascii="ITC Avant Garde" w:hAnsi="ITC Avant Garde"/>
          <w:kern w:val="3"/>
          <w:sz w:val="22"/>
          <w:szCs w:val="22"/>
          <w:lang w:eastAsia="ar-SA"/>
        </w:rPr>
        <w:t>:</w:t>
      </w:r>
    </w:p>
    <w:p w:rsidR="008F4584" w:rsidRPr="000672F6" w:rsidRDefault="001F620D" w:rsidP="008F4584">
      <w:pPr>
        <w:pStyle w:val="Prrafodelista"/>
        <w:spacing w:before="240" w:after="160"/>
        <w:ind w:left="503" w:right="48"/>
        <w:jc w:val="both"/>
        <w:rPr>
          <w:rFonts w:ascii="ITC Avant Garde" w:hAnsi="ITC Avant Garde" w:cs="Arial"/>
          <w:sz w:val="22"/>
          <w:szCs w:val="22"/>
          <w:lang w:eastAsia="es-MX"/>
        </w:rPr>
      </w:pPr>
      <w:r w:rsidRPr="000672F6">
        <w:rPr>
          <w:rFonts w:ascii="ITC Avant Garde" w:hAnsi="ITC Avant Garde"/>
          <w:kern w:val="1"/>
          <w:sz w:val="22"/>
          <w:szCs w:val="22"/>
          <w:lang w:eastAsia="ar-SA"/>
        </w:rPr>
        <w:t>D</w:t>
      </w:r>
      <w:r w:rsidR="00343822" w:rsidRPr="000672F6">
        <w:rPr>
          <w:rFonts w:ascii="ITC Avant Garde" w:hAnsi="ITC Avant Garde"/>
          <w:kern w:val="1"/>
          <w:sz w:val="22"/>
          <w:szCs w:val="22"/>
          <w:lang w:eastAsia="ar-SA"/>
        </w:rPr>
        <w:t xml:space="preserve">e acuerdo al </w:t>
      </w:r>
      <w:r w:rsidR="00343822" w:rsidRPr="000672F6">
        <w:rPr>
          <w:rFonts w:ascii="ITC Avant Garde" w:hAnsi="ITC Avant Garde" w:cs="Arial"/>
          <w:sz w:val="22"/>
          <w:szCs w:val="22"/>
          <w:lang w:eastAsia="es-MX"/>
        </w:rPr>
        <w:t xml:space="preserve">requisito de temporalidad ordenado por la Ley, </w:t>
      </w:r>
      <w:r w:rsidRPr="000672F6">
        <w:rPr>
          <w:rFonts w:ascii="ITC Avant Garde" w:hAnsi="ITC Avant Garde" w:cs="Arial"/>
          <w:sz w:val="22"/>
          <w:szCs w:val="22"/>
          <w:lang w:eastAsia="es-MX"/>
        </w:rPr>
        <w:t>el</w:t>
      </w:r>
      <w:r w:rsidR="00343822" w:rsidRPr="000672F6">
        <w:rPr>
          <w:rFonts w:ascii="ITC Avant Garde" w:hAnsi="ITC Avant Garde" w:cs="Arial"/>
          <w:sz w:val="22"/>
          <w:szCs w:val="22"/>
          <w:lang w:eastAsia="es-MX"/>
        </w:rPr>
        <w:t xml:space="preserve"> Concesionario deb</w:t>
      </w:r>
      <w:r w:rsidRPr="000672F6">
        <w:rPr>
          <w:rFonts w:ascii="ITC Avant Garde" w:hAnsi="ITC Avant Garde" w:cs="Arial"/>
          <w:sz w:val="22"/>
          <w:szCs w:val="22"/>
          <w:lang w:eastAsia="es-MX"/>
        </w:rPr>
        <w:t>ió</w:t>
      </w:r>
      <w:r w:rsidR="00343822" w:rsidRPr="000672F6">
        <w:rPr>
          <w:rFonts w:ascii="ITC Avant Garde" w:hAnsi="ITC Avant Garde" w:cs="Arial"/>
          <w:sz w:val="22"/>
          <w:szCs w:val="22"/>
          <w:lang w:eastAsia="es-MX"/>
        </w:rPr>
        <w:t xml:space="preserve"> presentar su solicitud de prórroga un año previo al inicio de la última quinta parte del plazo de vigencia de la concesión, </w:t>
      </w:r>
      <w:r w:rsidRPr="000672F6">
        <w:rPr>
          <w:rFonts w:ascii="ITC Avant Garde" w:hAnsi="ITC Avant Garde" w:cs="Arial"/>
          <w:sz w:val="22"/>
          <w:szCs w:val="22"/>
          <w:lang w:eastAsia="es-MX"/>
        </w:rPr>
        <w:t xml:space="preserve">sin embargo, </w:t>
      </w:r>
      <w:r w:rsidR="00343822" w:rsidRPr="000672F6">
        <w:rPr>
          <w:rFonts w:ascii="ITC Avant Garde" w:hAnsi="ITC Avant Garde" w:cs="Arial"/>
          <w:sz w:val="22"/>
          <w:szCs w:val="22"/>
          <w:lang w:eastAsia="es-MX"/>
        </w:rPr>
        <w:t>en el caso que nos ocupa dicho plazo no podría ser exigible considerando que el mismo empezó a transcurrir previamente a la entrada en vigor de la Ley.</w:t>
      </w:r>
    </w:p>
    <w:p w:rsidR="008F4584" w:rsidRPr="000672F6" w:rsidRDefault="00E2695B" w:rsidP="008F4584">
      <w:pPr>
        <w:pStyle w:val="Prrafodelista"/>
        <w:spacing w:before="240" w:after="160"/>
        <w:ind w:left="503" w:right="48"/>
        <w:jc w:val="both"/>
        <w:rPr>
          <w:rFonts w:ascii="ITC Avant Garde" w:hAnsi="ITC Avant Garde" w:cs="Arial"/>
          <w:sz w:val="22"/>
          <w:szCs w:val="22"/>
          <w:lang w:eastAsia="es-MX"/>
        </w:rPr>
      </w:pPr>
      <w:r w:rsidRPr="000672F6">
        <w:rPr>
          <w:rFonts w:ascii="ITC Avant Garde" w:hAnsi="ITC Avant Garde" w:cs="Arial"/>
          <w:sz w:val="22"/>
          <w:szCs w:val="22"/>
          <w:lang w:eastAsia="es-MX"/>
        </w:rPr>
        <w:t>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previo a la última quinta parte de la vigencia de la concesión, de lo contrario, se coartaría el derecho que tienen los interesados para la presentación de su prórroga dado que se daría un plazo menor al establecido en la Ley.</w:t>
      </w:r>
    </w:p>
    <w:p w:rsidR="008F4584" w:rsidRPr="000672F6" w:rsidRDefault="00E2695B" w:rsidP="008F4584">
      <w:pPr>
        <w:pStyle w:val="Prrafodelista"/>
        <w:spacing w:before="240" w:after="160"/>
        <w:ind w:left="503" w:right="48"/>
        <w:jc w:val="both"/>
        <w:rPr>
          <w:rFonts w:ascii="ITC Avant Garde" w:eastAsia="Calibri" w:hAnsi="ITC Avant Garde" w:cs="Tahoma"/>
          <w:bCs/>
          <w:sz w:val="22"/>
          <w:szCs w:val="22"/>
          <w:lang w:val="es-ES" w:eastAsia="es-MX"/>
        </w:rPr>
      </w:pPr>
      <w:r w:rsidRPr="000672F6">
        <w:rPr>
          <w:rFonts w:ascii="ITC Avant Garde" w:eastAsia="Calibri" w:hAnsi="ITC Avant Garde" w:cs="Tahoma"/>
          <w:bCs/>
          <w:sz w:val="22"/>
          <w:szCs w:val="22"/>
          <w:lang w:eastAsia="es-MX"/>
        </w:rPr>
        <w:t>Ahora bien, dado que el plazo de la Ley no le es aplicable por lo antes señalado, debe atenderse a lo dispuesto en la Condición de vigencia de la Concesi</w:t>
      </w:r>
      <w:r w:rsidR="001F620D" w:rsidRPr="000672F6">
        <w:rPr>
          <w:rFonts w:ascii="ITC Avant Garde" w:eastAsia="Calibri" w:hAnsi="ITC Avant Garde" w:cs="Tahoma"/>
          <w:bCs/>
          <w:sz w:val="22"/>
          <w:szCs w:val="22"/>
          <w:lang w:eastAsia="es-MX"/>
        </w:rPr>
        <w:t>ón</w:t>
      </w:r>
      <w:r w:rsidRPr="000672F6">
        <w:rPr>
          <w:rFonts w:ascii="ITC Avant Garde" w:eastAsia="Calibri" w:hAnsi="ITC Avant Garde" w:cs="Tahoma"/>
          <w:bCs/>
          <w:sz w:val="22"/>
          <w:szCs w:val="22"/>
          <w:lang w:eastAsia="es-MX"/>
        </w:rPr>
        <w:t xml:space="preserve">, que prevé </w:t>
      </w:r>
      <w:r w:rsidRPr="000672F6">
        <w:rPr>
          <w:rFonts w:ascii="ITC Avant Garde" w:eastAsia="Calibri" w:hAnsi="ITC Avant Garde" w:cs="Tahoma"/>
          <w:bCs/>
          <w:sz w:val="22"/>
          <w:szCs w:val="22"/>
          <w:lang w:val="es-ES" w:eastAsia="es-MX"/>
        </w:rPr>
        <w:t>la posibilidad legal de refrendar la concesi</w:t>
      </w:r>
      <w:r w:rsidR="001F620D" w:rsidRPr="000672F6">
        <w:rPr>
          <w:rFonts w:ascii="ITC Avant Garde" w:eastAsia="Calibri" w:hAnsi="ITC Avant Garde" w:cs="Tahoma"/>
          <w:bCs/>
          <w:sz w:val="22"/>
          <w:szCs w:val="22"/>
          <w:lang w:val="es-ES" w:eastAsia="es-MX"/>
        </w:rPr>
        <w:t>ón</w:t>
      </w:r>
      <w:r w:rsidRPr="000672F6">
        <w:rPr>
          <w:rFonts w:ascii="ITC Avant Garde" w:eastAsia="Calibri" w:hAnsi="ITC Avant Garde" w:cs="Tahoma"/>
          <w:bCs/>
          <w:sz w:val="22"/>
          <w:szCs w:val="22"/>
          <w:lang w:val="es-ES" w:eastAsia="es-MX"/>
        </w:rPr>
        <w:t xml:space="preserve"> otorgada, siempre que el Concesionario lo solicite a más tardar un año antes de su terminación.</w:t>
      </w:r>
    </w:p>
    <w:p w:rsidR="008F4584" w:rsidRPr="000672F6" w:rsidRDefault="00155324" w:rsidP="008F4584">
      <w:pPr>
        <w:pStyle w:val="Prrafodelista"/>
        <w:spacing w:before="240" w:after="160"/>
        <w:ind w:left="503" w:right="48"/>
        <w:jc w:val="both"/>
        <w:rPr>
          <w:rFonts w:ascii="ITC Avant Garde" w:eastAsia="Calibri" w:hAnsi="ITC Avant Garde" w:cs="Tahoma"/>
          <w:bCs/>
          <w:sz w:val="22"/>
          <w:szCs w:val="22"/>
          <w:lang w:eastAsia="es-MX"/>
        </w:rPr>
      </w:pPr>
      <w:r w:rsidRPr="000672F6">
        <w:rPr>
          <w:rFonts w:ascii="ITC Avant Garde" w:eastAsia="Calibri" w:hAnsi="ITC Avant Garde" w:cs="Tahoma"/>
          <w:bCs/>
          <w:sz w:val="22"/>
          <w:szCs w:val="22"/>
          <w:lang w:eastAsia="es-MX"/>
        </w:rPr>
        <w:t xml:space="preserve">En </w:t>
      </w:r>
      <w:r w:rsidR="00356E45" w:rsidRPr="000672F6">
        <w:rPr>
          <w:rFonts w:ascii="ITC Avant Garde" w:eastAsia="Calibri" w:hAnsi="ITC Avant Garde" w:cs="Tahoma"/>
          <w:bCs/>
          <w:sz w:val="22"/>
          <w:szCs w:val="22"/>
          <w:lang w:eastAsia="es-MX"/>
        </w:rPr>
        <w:t>este orden de ideas</w:t>
      </w:r>
      <w:r w:rsidRPr="000672F6">
        <w:rPr>
          <w:rFonts w:ascii="ITC Avant Garde" w:eastAsia="Calibri" w:hAnsi="ITC Avant Garde" w:cs="Tahoma"/>
          <w:bCs/>
          <w:sz w:val="22"/>
          <w:szCs w:val="22"/>
          <w:lang w:eastAsia="es-MX"/>
        </w:rPr>
        <w:t xml:space="preserve">, considerando que </w:t>
      </w:r>
      <w:r w:rsidR="001F620D" w:rsidRPr="000672F6">
        <w:rPr>
          <w:rFonts w:ascii="ITC Avant Garde" w:eastAsia="Calibri" w:hAnsi="ITC Avant Garde" w:cs="Tahoma"/>
          <w:bCs/>
          <w:sz w:val="22"/>
          <w:szCs w:val="22"/>
          <w:lang w:eastAsia="es-MX"/>
        </w:rPr>
        <w:t>el Concesionario</w:t>
      </w:r>
      <w:r w:rsidRPr="000672F6">
        <w:rPr>
          <w:rFonts w:ascii="ITC Avant Garde" w:eastAsia="Calibri" w:hAnsi="ITC Avant Garde" w:cs="Tahoma"/>
          <w:bCs/>
          <w:sz w:val="22"/>
          <w:szCs w:val="22"/>
          <w:lang w:eastAsia="es-MX"/>
        </w:rPr>
        <w:t xml:space="preserve"> present</w:t>
      </w:r>
      <w:r w:rsidR="001F620D" w:rsidRPr="000672F6">
        <w:rPr>
          <w:rFonts w:ascii="ITC Avant Garde" w:eastAsia="Calibri" w:hAnsi="ITC Avant Garde" w:cs="Tahoma"/>
          <w:bCs/>
          <w:sz w:val="22"/>
          <w:szCs w:val="22"/>
          <w:lang w:eastAsia="es-MX"/>
        </w:rPr>
        <w:t>ó la Solicitud</w:t>
      </w:r>
      <w:r w:rsidRPr="000672F6">
        <w:rPr>
          <w:rFonts w:ascii="ITC Avant Garde" w:eastAsia="Calibri" w:hAnsi="ITC Avant Garde" w:cs="Tahoma"/>
          <w:bCs/>
          <w:sz w:val="22"/>
          <w:szCs w:val="22"/>
          <w:lang w:eastAsia="es-MX"/>
        </w:rPr>
        <w:t xml:space="preserve"> de Prórroga dentro del plazo vinculante establecido en el Título de Concesión, se deberá tener por cumplido el requisito de temporalidad.</w:t>
      </w:r>
    </w:p>
    <w:p w:rsidR="008F4584" w:rsidRPr="000672F6" w:rsidRDefault="00AF5905" w:rsidP="008F4584">
      <w:pPr>
        <w:pStyle w:val="Prrafodelista"/>
        <w:spacing w:before="240" w:after="160"/>
        <w:ind w:left="503" w:right="48"/>
        <w:jc w:val="both"/>
        <w:rPr>
          <w:rFonts w:ascii="ITC Avant Garde" w:hAnsi="ITC Avant Garde"/>
          <w:kern w:val="3"/>
          <w:sz w:val="22"/>
          <w:szCs w:val="22"/>
          <w:lang w:eastAsia="ar-SA"/>
        </w:rPr>
      </w:pPr>
      <w:r w:rsidRPr="000672F6">
        <w:rPr>
          <w:rFonts w:ascii="ITC Avant Garde" w:eastAsia="Calibri" w:hAnsi="ITC Avant Garde" w:cs="Tahoma"/>
          <w:bCs/>
          <w:sz w:val="22"/>
          <w:szCs w:val="22"/>
          <w:lang w:eastAsia="es-MX"/>
        </w:rPr>
        <w:t>En virtud de lo expuesto, este Instituto considera que el requisito de temporalidad se encuentra cumplido.</w:t>
      </w:r>
    </w:p>
    <w:p w:rsidR="008F4584" w:rsidRPr="000672F6" w:rsidRDefault="004A4253" w:rsidP="008F4584">
      <w:pPr>
        <w:pStyle w:val="Prrafodelista"/>
        <w:numPr>
          <w:ilvl w:val="0"/>
          <w:numId w:val="20"/>
        </w:numPr>
        <w:autoSpaceDE w:val="0"/>
        <w:autoSpaceDN w:val="0"/>
        <w:spacing w:before="240" w:after="160" w:line="276" w:lineRule="auto"/>
        <w:ind w:left="425" w:right="48"/>
        <w:jc w:val="both"/>
        <w:textAlignment w:val="baseline"/>
        <w:rPr>
          <w:rFonts w:ascii="ITC Avant Garde" w:hAnsi="ITC Avant Garde"/>
          <w:sz w:val="22"/>
          <w:szCs w:val="22"/>
          <w:lang w:eastAsia="ar-SA"/>
        </w:rPr>
      </w:pPr>
      <w:r w:rsidRPr="000672F6">
        <w:rPr>
          <w:rFonts w:ascii="ITC Avant Garde" w:hAnsi="ITC Avant Garde"/>
          <w:b/>
          <w:kern w:val="3"/>
          <w:sz w:val="22"/>
          <w:szCs w:val="22"/>
          <w:lang w:eastAsia="ar-SA"/>
        </w:rPr>
        <w:t>Cumplimiento de obligaciones</w:t>
      </w:r>
      <w:r w:rsidR="00AB3FD4" w:rsidRPr="000672F6">
        <w:rPr>
          <w:rFonts w:ascii="ITC Avant Garde" w:hAnsi="ITC Avant Garde"/>
          <w:kern w:val="3"/>
          <w:sz w:val="22"/>
          <w:szCs w:val="22"/>
          <w:lang w:eastAsia="ar-SA"/>
        </w:rPr>
        <w:t xml:space="preserve">. </w:t>
      </w:r>
      <w:r w:rsidR="00DF45E0" w:rsidRPr="000672F6">
        <w:rPr>
          <w:rFonts w:ascii="ITC Avant Garde" w:hAnsi="ITC Avant Garde"/>
          <w:sz w:val="22"/>
          <w:szCs w:val="22"/>
          <w:lang w:eastAsia="ar-SA"/>
        </w:rPr>
        <w:t>Mediante el oficio señalado</w:t>
      </w:r>
      <w:r w:rsidR="0008065B" w:rsidRPr="000672F6">
        <w:rPr>
          <w:rFonts w:ascii="ITC Avant Garde" w:hAnsi="ITC Avant Garde"/>
          <w:sz w:val="22"/>
          <w:szCs w:val="22"/>
          <w:lang w:eastAsia="ar-SA"/>
        </w:rPr>
        <w:t xml:space="preserve"> en el </w:t>
      </w:r>
      <w:r w:rsidR="001F620D" w:rsidRPr="000672F6">
        <w:rPr>
          <w:rFonts w:ascii="ITC Avant Garde" w:hAnsi="ITC Avant Garde"/>
          <w:bCs/>
          <w:sz w:val="22"/>
          <w:szCs w:val="22"/>
          <w:lang w:eastAsia="ar-SA"/>
        </w:rPr>
        <w:t>Antecedente XIV</w:t>
      </w:r>
      <w:r w:rsidR="0008065B" w:rsidRPr="000672F6">
        <w:rPr>
          <w:rFonts w:ascii="ITC Avant Garde" w:hAnsi="ITC Avant Garde"/>
          <w:sz w:val="22"/>
          <w:szCs w:val="22"/>
          <w:lang w:eastAsia="ar-SA"/>
        </w:rPr>
        <w:t xml:space="preserve"> de la presente Resolución, la Unidad de Cumplimiento, remitió </w:t>
      </w:r>
      <w:r w:rsidR="00033663" w:rsidRPr="000672F6">
        <w:rPr>
          <w:rFonts w:ascii="ITC Avant Garde" w:hAnsi="ITC Avant Garde"/>
          <w:sz w:val="22"/>
          <w:szCs w:val="22"/>
          <w:lang w:eastAsia="ar-SA"/>
        </w:rPr>
        <w:t>el</w:t>
      </w:r>
      <w:r w:rsidR="0008065B" w:rsidRPr="000672F6">
        <w:rPr>
          <w:rFonts w:ascii="ITC Avant Garde" w:hAnsi="ITC Avant Garde"/>
          <w:sz w:val="22"/>
          <w:szCs w:val="22"/>
          <w:lang w:eastAsia="ar-SA"/>
        </w:rPr>
        <w:t xml:space="preserve"> dict</w:t>
      </w:r>
      <w:r w:rsidR="00033663" w:rsidRPr="000672F6">
        <w:rPr>
          <w:rFonts w:ascii="ITC Avant Garde" w:hAnsi="ITC Avant Garde"/>
          <w:sz w:val="22"/>
          <w:szCs w:val="22"/>
          <w:lang w:eastAsia="ar-SA"/>
        </w:rPr>
        <w:t>a</w:t>
      </w:r>
      <w:r w:rsidR="0008065B" w:rsidRPr="000672F6">
        <w:rPr>
          <w:rFonts w:ascii="ITC Avant Garde" w:hAnsi="ITC Avant Garde"/>
          <w:sz w:val="22"/>
          <w:szCs w:val="22"/>
          <w:lang w:eastAsia="ar-SA"/>
        </w:rPr>
        <w:t>me</w:t>
      </w:r>
      <w:r w:rsidR="00033663" w:rsidRPr="000672F6">
        <w:rPr>
          <w:rFonts w:ascii="ITC Avant Garde" w:hAnsi="ITC Avant Garde"/>
          <w:sz w:val="22"/>
          <w:szCs w:val="22"/>
          <w:lang w:eastAsia="ar-SA"/>
        </w:rPr>
        <w:t>n</w:t>
      </w:r>
      <w:r w:rsidR="0008065B" w:rsidRPr="000672F6">
        <w:rPr>
          <w:rFonts w:ascii="ITC Avant Garde" w:hAnsi="ITC Avant Garde"/>
          <w:sz w:val="22"/>
          <w:szCs w:val="22"/>
          <w:lang w:eastAsia="ar-SA"/>
        </w:rPr>
        <w:t xml:space="preserve"> como resultado de la revisión documental del cumplimiento de las obligaciones practicada a los expedientes de</w:t>
      </w:r>
      <w:r w:rsidR="00033663" w:rsidRPr="000672F6">
        <w:rPr>
          <w:rFonts w:ascii="ITC Avant Garde" w:hAnsi="ITC Avant Garde"/>
          <w:sz w:val="22"/>
          <w:szCs w:val="22"/>
          <w:lang w:eastAsia="ar-SA"/>
        </w:rPr>
        <w:t>l</w:t>
      </w:r>
      <w:r w:rsidR="0008065B" w:rsidRPr="000672F6">
        <w:rPr>
          <w:rFonts w:ascii="ITC Avant Garde" w:hAnsi="ITC Avant Garde"/>
          <w:sz w:val="22"/>
          <w:szCs w:val="22"/>
          <w:lang w:eastAsia="ar-SA"/>
        </w:rPr>
        <w:t xml:space="preserve"> Concesionario, en </w:t>
      </w:r>
      <w:r w:rsidR="00033663" w:rsidRPr="000672F6">
        <w:rPr>
          <w:rFonts w:ascii="ITC Avant Garde" w:hAnsi="ITC Avant Garde"/>
          <w:sz w:val="22"/>
          <w:szCs w:val="22"/>
          <w:lang w:eastAsia="ar-SA"/>
        </w:rPr>
        <w:t>el</w:t>
      </w:r>
      <w:r w:rsidR="0008065B" w:rsidRPr="000672F6">
        <w:rPr>
          <w:rFonts w:ascii="ITC Avant Garde" w:hAnsi="ITC Avant Garde"/>
          <w:sz w:val="22"/>
          <w:szCs w:val="22"/>
          <w:lang w:eastAsia="ar-SA"/>
        </w:rPr>
        <w:t xml:space="preserve"> que se advierte que a la fecha en la cual se emiti</w:t>
      </w:r>
      <w:r w:rsidR="00033663" w:rsidRPr="000672F6">
        <w:rPr>
          <w:rFonts w:ascii="ITC Avant Garde" w:hAnsi="ITC Avant Garde"/>
          <w:sz w:val="22"/>
          <w:szCs w:val="22"/>
          <w:lang w:eastAsia="ar-SA"/>
        </w:rPr>
        <w:t>ó</w:t>
      </w:r>
      <w:r w:rsidR="0008065B" w:rsidRPr="000672F6">
        <w:rPr>
          <w:rFonts w:ascii="ITC Avant Garde" w:hAnsi="ITC Avant Garde"/>
          <w:sz w:val="22"/>
          <w:szCs w:val="22"/>
          <w:lang w:eastAsia="ar-SA"/>
        </w:rPr>
        <w:t xml:space="preserve"> </w:t>
      </w:r>
      <w:r w:rsidR="00033663" w:rsidRPr="000672F6">
        <w:rPr>
          <w:rFonts w:ascii="ITC Avant Garde" w:hAnsi="ITC Avant Garde"/>
          <w:sz w:val="22"/>
          <w:szCs w:val="22"/>
          <w:lang w:eastAsia="ar-SA"/>
        </w:rPr>
        <w:t>el mismo</w:t>
      </w:r>
      <w:r w:rsidR="0008065B" w:rsidRPr="000672F6">
        <w:rPr>
          <w:rFonts w:ascii="ITC Avant Garde" w:hAnsi="ITC Avant Garde"/>
          <w:sz w:val="22"/>
          <w:szCs w:val="22"/>
          <w:lang w:eastAsia="ar-SA"/>
        </w:rPr>
        <w:t xml:space="preserve">, </w:t>
      </w:r>
      <w:r w:rsidR="00033663" w:rsidRPr="000672F6">
        <w:rPr>
          <w:rFonts w:ascii="ITC Avant Garde" w:hAnsi="ITC Avant Garde"/>
          <w:sz w:val="22"/>
          <w:szCs w:val="22"/>
          <w:lang w:eastAsia="ar-SA"/>
        </w:rPr>
        <w:t>el</w:t>
      </w:r>
      <w:r w:rsidR="003840C9" w:rsidRPr="000672F6">
        <w:rPr>
          <w:rFonts w:ascii="ITC Avant Garde" w:hAnsi="ITC Avant Garde"/>
          <w:sz w:val="22"/>
          <w:szCs w:val="22"/>
          <w:lang w:eastAsia="ar-SA"/>
        </w:rPr>
        <w:t xml:space="preserve"> Concesionario </w:t>
      </w:r>
      <w:r w:rsidR="0008065B" w:rsidRPr="000672F6">
        <w:rPr>
          <w:rFonts w:ascii="ITC Avant Garde" w:hAnsi="ITC Avant Garde"/>
          <w:sz w:val="22"/>
          <w:szCs w:val="22"/>
          <w:lang w:eastAsia="ar-SA"/>
        </w:rPr>
        <w:t>acredit</w:t>
      </w:r>
      <w:r w:rsidR="00033663" w:rsidRPr="000672F6">
        <w:rPr>
          <w:rFonts w:ascii="ITC Avant Garde" w:hAnsi="ITC Avant Garde"/>
          <w:sz w:val="22"/>
          <w:szCs w:val="22"/>
          <w:lang w:eastAsia="ar-SA"/>
        </w:rPr>
        <w:t>ó</w:t>
      </w:r>
      <w:r w:rsidR="0008065B" w:rsidRPr="000672F6">
        <w:rPr>
          <w:rFonts w:ascii="ITC Avant Garde" w:hAnsi="ITC Avant Garde"/>
          <w:sz w:val="22"/>
          <w:szCs w:val="22"/>
          <w:lang w:eastAsia="ar-SA"/>
        </w:rPr>
        <w:t xml:space="preserve"> la prestación del </w:t>
      </w:r>
      <w:r w:rsidR="0008065B" w:rsidRPr="000672F6">
        <w:rPr>
          <w:rFonts w:ascii="ITC Avant Garde" w:hAnsi="ITC Avant Garde"/>
          <w:sz w:val="22"/>
          <w:szCs w:val="22"/>
          <w:lang w:eastAsia="ar-SA"/>
        </w:rPr>
        <w:lastRenderedPageBreak/>
        <w:t>servicio de radiodifusión y el aprovechamiento de la banda de frecuencias concesionada en la poblaci</w:t>
      </w:r>
      <w:r w:rsidR="00033663" w:rsidRPr="000672F6">
        <w:rPr>
          <w:rFonts w:ascii="ITC Avant Garde" w:hAnsi="ITC Avant Garde"/>
          <w:sz w:val="22"/>
          <w:szCs w:val="22"/>
          <w:lang w:eastAsia="ar-SA"/>
        </w:rPr>
        <w:t>ón</w:t>
      </w:r>
      <w:r w:rsidR="0008065B" w:rsidRPr="000672F6">
        <w:rPr>
          <w:rFonts w:ascii="ITC Avant Garde" w:hAnsi="ITC Avant Garde"/>
          <w:sz w:val="22"/>
          <w:szCs w:val="22"/>
          <w:lang w:eastAsia="ar-SA"/>
        </w:rPr>
        <w:t xml:space="preserve"> principal a servir.</w:t>
      </w:r>
    </w:p>
    <w:p w:rsidR="008F4584" w:rsidRPr="000672F6" w:rsidRDefault="00033663" w:rsidP="008F4584">
      <w:pPr>
        <w:pStyle w:val="Prrafodelista"/>
        <w:suppressAutoHyphens/>
        <w:autoSpaceDE w:val="0"/>
        <w:autoSpaceDN w:val="0"/>
        <w:spacing w:before="240" w:after="160" w:line="276" w:lineRule="auto"/>
        <w:ind w:left="425" w:right="48"/>
        <w:jc w:val="both"/>
        <w:textAlignment w:val="baseline"/>
        <w:rPr>
          <w:rFonts w:ascii="ITC Avant Garde" w:eastAsiaTheme="minorHAnsi" w:hAnsi="ITC Avant Garde" w:cstheme="minorBidi"/>
          <w:sz w:val="22"/>
          <w:szCs w:val="22"/>
          <w:lang w:eastAsia="ar-SA"/>
        </w:rPr>
      </w:pPr>
      <w:r w:rsidRPr="000672F6">
        <w:rPr>
          <w:rFonts w:ascii="ITC Avant Garde" w:eastAsiaTheme="minorHAnsi" w:hAnsi="ITC Avant Garde" w:cstheme="minorBidi"/>
          <w:sz w:val="22"/>
          <w:szCs w:val="22"/>
          <w:lang w:eastAsia="ar-SA"/>
        </w:rPr>
        <w:t>En relación a la estación que nos ocupa, cabe hacer notar que en el expediente de la estación no obra constancia del informe sobre las labores de investigación y desarrollo en el país llevadas a cabo y las proyectadas para el siguiente año, correspondientes a los años 2013, 2014 y 2015; no presentó la información técnica, legal y programática para el año 2015; y, de igual manera, no se acreditó el pago de derechos por la frecuencia 219.375 MHz utilizada como enlace estudio-planta para el año 2016.</w:t>
      </w:r>
    </w:p>
    <w:p w:rsidR="008F4584" w:rsidRPr="000672F6" w:rsidRDefault="00033663" w:rsidP="008F4584">
      <w:pPr>
        <w:autoSpaceDE w:val="0"/>
        <w:spacing w:before="240" w:line="276" w:lineRule="auto"/>
        <w:ind w:left="425" w:right="45"/>
        <w:jc w:val="both"/>
        <w:rPr>
          <w:rFonts w:ascii="ITC Avant Garde" w:hAnsi="ITC Avant Garde"/>
          <w:lang w:val="es-ES" w:eastAsia="ar-SA"/>
        </w:rPr>
      </w:pPr>
      <w:r w:rsidRPr="000672F6">
        <w:rPr>
          <w:rFonts w:ascii="ITC Avant Garde" w:hAnsi="ITC Avant Garde"/>
          <w:lang w:eastAsia="ar-SA"/>
        </w:rPr>
        <w:t xml:space="preserve">Al respecto, </w:t>
      </w:r>
      <w:r w:rsidRPr="000672F6">
        <w:rPr>
          <w:rFonts w:ascii="ITC Avant Garde" w:hAnsi="ITC Avant Garde"/>
          <w:lang w:val="es-ES" w:eastAsia="ar-SA"/>
        </w:rPr>
        <w:t xml:space="preserve">se concluye que si bien es cierto no se acreditó la presentación de la información documental referida, estas obligaciones no ponen en riesgo o afectan la prestación de los servicios de radiodifusión que ofrece el Concesionario. </w:t>
      </w:r>
    </w:p>
    <w:p w:rsidR="008F4584" w:rsidRPr="000672F6" w:rsidRDefault="00033663" w:rsidP="008F4584">
      <w:pPr>
        <w:pStyle w:val="Prrafodelista"/>
        <w:suppressAutoHyphens/>
        <w:autoSpaceDE w:val="0"/>
        <w:autoSpaceDN w:val="0"/>
        <w:spacing w:before="240" w:after="160" w:line="276" w:lineRule="auto"/>
        <w:ind w:left="425" w:right="48"/>
        <w:jc w:val="both"/>
        <w:textAlignment w:val="baseline"/>
        <w:rPr>
          <w:rFonts w:ascii="ITC Avant Garde" w:eastAsiaTheme="minorHAnsi" w:hAnsi="ITC Avant Garde" w:cstheme="minorBidi"/>
          <w:sz w:val="22"/>
          <w:szCs w:val="22"/>
          <w:lang w:eastAsia="ar-SA"/>
        </w:rPr>
      </w:pPr>
      <w:r w:rsidRPr="000672F6">
        <w:rPr>
          <w:rFonts w:ascii="ITC Avant Garde" w:eastAsiaTheme="minorHAnsi" w:hAnsi="ITC Avant Garde" w:cstheme="minorBidi"/>
          <w:sz w:val="22"/>
          <w:szCs w:val="22"/>
          <w:lang w:eastAsia="ar-SA"/>
        </w:rPr>
        <w:t>Po</w:t>
      </w:r>
      <w:r w:rsidR="007C40DC" w:rsidRPr="000672F6">
        <w:rPr>
          <w:rFonts w:ascii="ITC Avant Garde" w:eastAsiaTheme="minorHAnsi" w:hAnsi="ITC Avant Garde" w:cstheme="minorBidi"/>
          <w:sz w:val="22"/>
          <w:szCs w:val="22"/>
          <w:lang w:eastAsia="ar-SA"/>
        </w:rPr>
        <w:t>r</w:t>
      </w:r>
      <w:r w:rsidRPr="000672F6">
        <w:rPr>
          <w:rFonts w:ascii="ITC Avant Garde" w:eastAsiaTheme="minorHAnsi" w:hAnsi="ITC Avant Garde" w:cstheme="minorBidi"/>
          <w:sz w:val="22"/>
          <w:szCs w:val="22"/>
          <w:lang w:eastAsia="ar-SA"/>
        </w:rPr>
        <w:t xml:space="preserve"> su parte, respecto a la omisión en la presentación del comprobante de pago de derechos sobre el uso de la frecuencia utilizada como enlace estudio-planta, en términos del artículo 21 del Código Fiscal de la Federación, dicha contribución podrá ser cubierta fuera del plazo fijado, lo que implicará una actualización en el monto a pagar desde el mes en que debió hacerse el pago y hasta que el mismo se efectúe, además deberán pagarse recargos por concepto de indemnización al fisco federal por la falta de pago oportuno. Lo anterior, sin perjuicio del entero que el Concesionario deberá pagar por la contraprestación motivo de la prórroga de vigencia de la concesión.</w:t>
      </w:r>
    </w:p>
    <w:p w:rsidR="008F4584" w:rsidRPr="000672F6" w:rsidRDefault="00033663" w:rsidP="008F4584">
      <w:pPr>
        <w:pStyle w:val="Prrafodelista"/>
        <w:suppressAutoHyphens/>
        <w:autoSpaceDE w:val="0"/>
        <w:autoSpaceDN w:val="0"/>
        <w:spacing w:before="240" w:after="160" w:line="276" w:lineRule="auto"/>
        <w:ind w:left="425" w:right="48"/>
        <w:jc w:val="both"/>
        <w:textAlignment w:val="baseline"/>
        <w:rPr>
          <w:rFonts w:ascii="ITC Avant Garde" w:eastAsiaTheme="minorHAnsi" w:hAnsi="ITC Avant Garde" w:cstheme="minorBidi"/>
          <w:sz w:val="22"/>
          <w:szCs w:val="22"/>
          <w:lang w:eastAsia="ar-SA"/>
        </w:rPr>
      </w:pPr>
      <w:r w:rsidRPr="000672F6">
        <w:rPr>
          <w:rFonts w:ascii="ITC Avant Garde" w:eastAsiaTheme="minorHAnsi" w:hAnsi="ITC Avant Garde" w:cstheme="minorBidi"/>
          <w:sz w:val="22"/>
          <w:szCs w:val="22"/>
          <w:lang w:eastAsia="ar-SA"/>
        </w:rPr>
        <w:t>Por lo tanto, toda vez que el Código Fiscal de la Federación establece mecanismos para</w:t>
      </w:r>
      <w:r w:rsidR="00C97C87" w:rsidRPr="000672F6">
        <w:rPr>
          <w:rFonts w:ascii="ITC Avant Garde" w:eastAsiaTheme="minorHAnsi" w:hAnsi="ITC Avant Garde" w:cstheme="minorBidi"/>
          <w:sz w:val="22"/>
          <w:szCs w:val="22"/>
          <w:lang w:eastAsia="ar-SA"/>
        </w:rPr>
        <w:t xml:space="preserve"> </w:t>
      </w:r>
      <w:r w:rsidRPr="000672F6">
        <w:rPr>
          <w:rFonts w:ascii="ITC Avant Garde" w:eastAsiaTheme="minorHAnsi" w:hAnsi="ITC Avant Garde" w:cstheme="minorBidi"/>
          <w:sz w:val="22"/>
          <w:szCs w:val="22"/>
          <w:lang w:eastAsia="ar-SA"/>
        </w:rPr>
        <w:t>realizar el pago de las contraprestaciones fuera de las fechas o plazos establecidos, a juicio de esta autoridad el pago de derechos por el uso de servicios auxiliares se trata de una obligación que puede ser normalizada por el Concesionario y, en ese sentido, no debería traer como consecuencia la negativa de la prórroga.</w:t>
      </w:r>
    </w:p>
    <w:p w:rsidR="008F4584" w:rsidRPr="000672F6" w:rsidRDefault="00033663" w:rsidP="008F4584">
      <w:pPr>
        <w:pStyle w:val="Prrafodelista"/>
        <w:suppressAutoHyphens/>
        <w:autoSpaceDE w:val="0"/>
        <w:autoSpaceDN w:val="0"/>
        <w:spacing w:before="240" w:after="160" w:line="276" w:lineRule="auto"/>
        <w:ind w:left="425" w:right="48"/>
        <w:jc w:val="both"/>
        <w:textAlignment w:val="baseline"/>
        <w:rPr>
          <w:rFonts w:ascii="ITC Avant Garde" w:eastAsiaTheme="minorHAnsi" w:hAnsi="ITC Avant Garde" w:cstheme="minorBidi"/>
          <w:sz w:val="22"/>
          <w:szCs w:val="22"/>
          <w:lang w:eastAsia="ar-SA"/>
        </w:rPr>
      </w:pPr>
      <w:r w:rsidRPr="000672F6">
        <w:rPr>
          <w:rFonts w:ascii="ITC Avant Garde" w:eastAsiaTheme="minorHAnsi" w:hAnsi="ITC Avant Garde" w:cstheme="minorBidi"/>
          <w:sz w:val="22"/>
          <w:szCs w:val="22"/>
          <w:lang w:eastAsia="ar-SA"/>
        </w:rPr>
        <w:t>Lo anterior es así, toda vez que se trata de obligaciones rectificables por parte del Concesionario, por lo que si su inobservancia motivase la negativa de la solicitud de referencia resultaría en una consecuencia desmedida, pues el objeto de las Concesiones es la prestación de un servicio de interés general en condiciones de continuidad, carácter inherente al servicio de radiodifusión en términos del artículo 6º constitucional.</w:t>
      </w:r>
    </w:p>
    <w:p w:rsidR="008F4584" w:rsidRPr="000672F6" w:rsidRDefault="00033663" w:rsidP="008F4584">
      <w:pPr>
        <w:pStyle w:val="Prrafodelista"/>
        <w:suppressAutoHyphens/>
        <w:autoSpaceDE w:val="0"/>
        <w:autoSpaceDN w:val="0"/>
        <w:spacing w:before="240" w:after="160" w:line="276" w:lineRule="auto"/>
        <w:ind w:left="425" w:right="48"/>
        <w:jc w:val="both"/>
        <w:textAlignment w:val="baseline"/>
        <w:rPr>
          <w:rFonts w:ascii="ITC Avant Garde" w:eastAsiaTheme="minorHAnsi" w:hAnsi="ITC Avant Garde" w:cstheme="minorBidi"/>
          <w:sz w:val="22"/>
          <w:szCs w:val="22"/>
          <w:lang w:eastAsia="ar-SA"/>
        </w:rPr>
      </w:pPr>
      <w:r w:rsidRPr="000672F6">
        <w:rPr>
          <w:rFonts w:ascii="ITC Avant Garde" w:eastAsiaTheme="minorHAnsi" w:hAnsi="ITC Avant Garde" w:cstheme="minorBidi"/>
          <w:sz w:val="22"/>
          <w:szCs w:val="22"/>
          <w:lang w:eastAsia="ar-SA"/>
        </w:rPr>
        <w:t xml:space="preserve">En ese sentido, este Pleno considera que si bien </w:t>
      </w:r>
      <w:r w:rsidR="00B0095E" w:rsidRPr="000672F6">
        <w:rPr>
          <w:rFonts w:ascii="ITC Avant Garde" w:eastAsiaTheme="minorHAnsi" w:hAnsi="ITC Avant Garde" w:cstheme="minorBidi"/>
          <w:sz w:val="22"/>
          <w:szCs w:val="22"/>
          <w:lang w:eastAsia="ar-SA"/>
        </w:rPr>
        <w:t>el dicta</w:t>
      </w:r>
      <w:r w:rsidRPr="000672F6">
        <w:rPr>
          <w:rFonts w:ascii="ITC Avant Garde" w:eastAsiaTheme="minorHAnsi" w:hAnsi="ITC Avant Garde" w:cstheme="minorBidi"/>
          <w:sz w:val="22"/>
          <w:szCs w:val="22"/>
          <w:lang w:eastAsia="ar-SA"/>
        </w:rPr>
        <w:t xml:space="preserve">men de obligaciones emitido por la Unidad de Cumplimiento hace constar que </w:t>
      </w:r>
      <w:r w:rsidR="00B0095E" w:rsidRPr="000672F6">
        <w:rPr>
          <w:rFonts w:ascii="ITC Avant Garde" w:eastAsiaTheme="minorHAnsi" w:hAnsi="ITC Avant Garde" w:cstheme="minorBidi"/>
          <w:sz w:val="22"/>
          <w:szCs w:val="22"/>
          <w:lang w:eastAsia="ar-SA"/>
        </w:rPr>
        <w:t>el Concesionario</w:t>
      </w:r>
      <w:r w:rsidRPr="000672F6">
        <w:rPr>
          <w:rFonts w:ascii="ITC Avant Garde" w:eastAsiaTheme="minorHAnsi" w:hAnsi="ITC Avant Garde" w:cstheme="minorBidi"/>
          <w:sz w:val="22"/>
          <w:szCs w:val="22"/>
          <w:lang w:eastAsia="ar-SA"/>
        </w:rPr>
        <w:t xml:space="preserve"> no present</w:t>
      </w:r>
      <w:r w:rsidR="00B0095E" w:rsidRPr="000672F6">
        <w:rPr>
          <w:rFonts w:ascii="ITC Avant Garde" w:eastAsiaTheme="minorHAnsi" w:hAnsi="ITC Avant Garde" w:cstheme="minorBidi"/>
          <w:sz w:val="22"/>
          <w:szCs w:val="22"/>
          <w:lang w:eastAsia="ar-SA"/>
        </w:rPr>
        <w:t xml:space="preserve">ó </w:t>
      </w:r>
      <w:r w:rsidRPr="000672F6">
        <w:rPr>
          <w:rFonts w:ascii="ITC Avant Garde" w:eastAsiaTheme="minorHAnsi" w:hAnsi="ITC Avant Garde" w:cstheme="minorBidi"/>
          <w:sz w:val="22"/>
          <w:szCs w:val="22"/>
          <w:lang w:eastAsia="ar-SA"/>
        </w:rPr>
        <w:lastRenderedPageBreak/>
        <w:t>alguna de sus obligaciones, éstas no se consideran motivo suficiente para negar la prórroga solicitada.</w:t>
      </w:r>
    </w:p>
    <w:p w:rsidR="008F4584" w:rsidRPr="000672F6" w:rsidRDefault="00033663" w:rsidP="008F4584">
      <w:pPr>
        <w:pStyle w:val="Prrafodelista"/>
        <w:suppressAutoHyphens/>
        <w:autoSpaceDE w:val="0"/>
        <w:autoSpaceDN w:val="0"/>
        <w:spacing w:before="240" w:after="160" w:line="276" w:lineRule="auto"/>
        <w:ind w:left="425" w:right="48"/>
        <w:jc w:val="both"/>
        <w:textAlignment w:val="baseline"/>
        <w:rPr>
          <w:rFonts w:ascii="ITC Avant Garde" w:eastAsiaTheme="minorHAnsi" w:hAnsi="ITC Avant Garde" w:cstheme="minorBidi"/>
          <w:sz w:val="22"/>
          <w:szCs w:val="22"/>
          <w:lang w:eastAsia="ar-SA"/>
        </w:rPr>
      </w:pPr>
      <w:r w:rsidRPr="000672F6">
        <w:rPr>
          <w:rFonts w:ascii="ITC Avant Garde" w:eastAsiaTheme="minorHAnsi" w:hAnsi="ITC Avant Garde" w:cstheme="minorBidi"/>
          <w:sz w:val="22"/>
          <w:szCs w:val="22"/>
          <w:lang w:eastAsia="ar-SA"/>
        </w:rPr>
        <w:t>A este respecto, esta autoridad considera importante señalar que, la resolución favorable de la prórroga, no exime a</w:t>
      </w:r>
      <w:r w:rsidR="00B0095E" w:rsidRPr="000672F6">
        <w:rPr>
          <w:rFonts w:ascii="ITC Avant Garde" w:eastAsiaTheme="minorHAnsi" w:hAnsi="ITC Avant Garde" w:cstheme="minorBidi"/>
          <w:sz w:val="22"/>
          <w:szCs w:val="22"/>
          <w:lang w:eastAsia="ar-SA"/>
        </w:rPr>
        <w:t>l</w:t>
      </w:r>
      <w:r w:rsidRPr="000672F6">
        <w:rPr>
          <w:rFonts w:ascii="ITC Avant Garde" w:eastAsiaTheme="minorHAnsi" w:hAnsi="ITC Avant Garde" w:cstheme="minorBidi"/>
          <w:sz w:val="22"/>
          <w:szCs w:val="22"/>
          <w:lang w:eastAsia="ar-SA"/>
        </w:rPr>
        <w:t xml:space="preserve"> concesionari</w:t>
      </w:r>
      <w:r w:rsidR="00B0095E" w:rsidRPr="000672F6">
        <w:rPr>
          <w:rFonts w:ascii="ITC Avant Garde" w:eastAsiaTheme="minorHAnsi" w:hAnsi="ITC Avant Garde" w:cstheme="minorBidi"/>
          <w:sz w:val="22"/>
          <w:szCs w:val="22"/>
          <w:lang w:eastAsia="ar-SA"/>
        </w:rPr>
        <w:t>o</w:t>
      </w:r>
      <w:r w:rsidRPr="000672F6">
        <w:rPr>
          <w:rFonts w:ascii="ITC Avant Garde" w:eastAsiaTheme="minorHAnsi" w:hAnsi="ITC Avant Garde" w:cstheme="minorBidi"/>
          <w:sz w:val="22"/>
          <w:szCs w:val="22"/>
          <w:lang w:eastAsia="ar-SA"/>
        </w:rPr>
        <w:t xml:space="preserve"> del cumplimiento de las obligaciones originadas durante la vigencia de la concesi</w:t>
      </w:r>
      <w:r w:rsidR="00B0095E" w:rsidRPr="000672F6">
        <w:rPr>
          <w:rFonts w:ascii="ITC Avant Garde" w:eastAsiaTheme="minorHAnsi" w:hAnsi="ITC Avant Garde" w:cstheme="minorBidi"/>
          <w:sz w:val="22"/>
          <w:szCs w:val="22"/>
          <w:lang w:eastAsia="ar-SA"/>
        </w:rPr>
        <w:t>ón</w:t>
      </w:r>
      <w:r w:rsidRPr="000672F6">
        <w:rPr>
          <w:rFonts w:ascii="ITC Avant Garde" w:eastAsiaTheme="minorHAnsi" w:hAnsi="ITC Avant Garde" w:cstheme="minorBidi"/>
          <w:sz w:val="22"/>
          <w:szCs w:val="22"/>
          <w:lang w:eastAsia="ar-SA"/>
        </w:rPr>
        <w:t xml:space="preserve"> objeto de prórroga o de las responsabilidades en que hubiere incurrido </w:t>
      </w:r>
      <w:r w:rsidR="00B0095E" w:rsidRPr="000672F6">
        <w:rPr>
          <w:rFonts w:ascii="ITC Avant Garde" w:eastAsiaTheme="minorHAnsi" w:hAnsi="ITC Avant Garde" w:cstheme="minorBidi"/>
          <w:sz w:val="22"/>
          <w:szCs w:val="22"/>
          <w:lang w:eastAsia="ar-SA"/>
        </w:rPr>
        <w:t>el</w:t>
      </w:r>
      <w:r w:rsidRPr="000672F6">
        <w:rPr>
          <w:rFonts w:ascii="ITC Avant Garde" w:eastAsiaTheme="minorHAnsi" w:hAnsi="ITC Avant Garde" w:cstheme="minorBidi"/>
          <w:sz w:val="22"/>
          <w:szCs w:val="22"/>
          <w:lang w:eastAsia="ar-SA"/>
        </w:rPr>
        <w:t xml:space="preserve"> Concesionario con motivo del incumplimiento a las condiciones establecidas en las disposiciones legales, fiscales o administrativas, incluidas las contenidas en </w:t>
      </w:r>
      <w:r w:rsidR="00B0095E" w:rsidRPr="000672F6">
        <w:rPr>
          <w:rFonts w:ascii="ITC Avant Garde" w:eastAsiaTheme="minorHAnsi" w:hAnsi="ITC Avant Garde" w:cstheme="minorBidi"/>
          <w:sz w:val="22"/>
          <w:szCs w:val="22"/>
          <w:lang w:eastAsia="ar-SA"/>
        </w:rPr>
        <w:t>el</w:t>
      </w:r>
      <w:r w:rsidRPr="000672F6">
        <w:rPr>
          <w:rFonts w:ascii="ITC Avant Garde" w:eastAsiaTheme="minorHAnsi" w:hAnsi="ITC Avant Garde" w:cstheme="minorBidi"/>
          <w:sz w:val="22"/>
          <w:szCs w:val="22"/>
          <w:lang w:eastAsia="ar-SA"/>
        </w:rPr>
        <w:t xml:space="preserve"> título de concesión en comento.</w:t>
      </w:r>
    </w:p>
    <w:p w:rsidR="008F4584" w:rsidRPr="000672F6" w:rsidRDefault="004A4253" w:rsidP="008F4584">
      <w:pPr>
        <w:pStyle w:val="Prrafodelista"/>
        <w:numPr>
          <w:ilvl w:val="0"/>
          <w:numId w:val="14"/>
        </w:numPr>
        <w:suppressAutoHyphens/>
        <w:autoSpaceDE w:val="0"/>
        <w:autoSpaceDN w:val="0"/>
        <w:spacing w:before="240" w:after="160" w:line="276" w:lineRule="auto"/>
        <w:ind w:left="426" w:right="48"/>
        <w:jc w:val="both"/>
        <w:textAlignment w:val="baseline"/>
        <w:rPr>
          <w:rFonts w:ascii="ITC Avant Garde" w:hAnsi="ITC Avant Garde"/>
          <w:kern w:val="3"/>
          <w:sz w:val="22"/>
          <w:szCs w:val="22"/>
          <w:lang w:eastAsia="ar-SA"/>
        </w:rPr>
      </w:pPr>
      <w:r w:rsidRPr="000672F6">
        <w:rPr>
          <w:rFonts w:ascii="ITC Avant Garde" w:hAnsi="ITC Avant Garde"/>
          <w:b/>
          <w:kern w:val="3"/>
          <w:sz w:val="22"/>
          <w:szCs w:val="22"/>
          <w:lang w:eastAsia="ar-SA"/>
        </w:rPr>
        <w:t>Aceptación de condiciones</w:t>
      </w:r>
      <w:r w:rsidRPr="000672F6">
        <w:rPr>
          <w:rFonts w:ascii="ITC Avant Garde" w:hAnsi="ITC Avant Garde"/>
          <w:kern w:val="3"/>
          <w:sz w:val="22"/>
          <w:szCs w:val="22"/>
          <w:lang w:eastAsia="ar-SA"/>
        </w:rPr>
        <w:t>. Por cuanto hace a</w:t>
      </w:r>
      <w:r w:rsidR="00595ABD" w:rsidRPr="000672F6">
        <w:rPr>
          <w:rFonts w:ascii="ITC Avant Garde" w:hAnsi="ITC Avant Garde"/>
          <w:kern w:val="3"/>
          <w:sz w:val="22"/>
          <w:szCs w:val="22"/>
          <w:lang w:eastAsia="ar-SA"/>
        </w:rPr>
        <w:t xml:space="preserve"> este</w:t>
      </w:r>
      <w:r w:rsidRPr="000672F6">
        <w:rPr>
          <w:rFonts w:ascii="ITC Avant Garde" w:hAnsi="ITC Avant Garde"/>
          <w:kern w:val="3"/>
          <w:sz w:val="22"/>
          <w:szCs w:val="22"/>
          <w:lang w:eastAsia="ar-SA"/>
        </w:rPr>
        <w:t xml:space="preserve"> requisito, que refiere que los concesionarios deberán aceptar las nuevas condiciones que establezca el propio Instituto, se considera que tendrán que hacerse del conocimiento de</w:t>
      </w:r>
      <w:r w:rsidR="00B0095E" w:rsidRPr="000672F6">
        <w:rPr>
          <w:rFonts w:ascii="ITC Avant Garde" w:hAnsi="ITC Avant Garde"/>
          <w:kern w:val="3"/>
          <w:sz w:val="22"/>
          <w:szCs w:val="22"/>
          <w:lang w:eastAsia="ar-SA"/>
        </w:rPr>
        <w:t>l</w:t>
      </w:r>
      <w:r w:rsidRPr="000672F6">
        <w:rPr>
          <w:rFonts w:ascii="ITC Avant Garde" w:hAnsi="ITC Avant Garde"/>
          <w:kern w:val="3"/>
          <w:sz w:val="22"/>
          <w:szCs w:val="22"/>
          <w:lang w:eastAsia="ar-SA"/>
        </w:rPr>
        <w:t xml:space="preserve"> Concesionario las nuevas cond</w:t>
      </w:r>
      <w:r w:rsidR="004E23C5" w:rsidRPr="000672F6">
        <w:rPr>
          <w:rFonts w:ascii="ITC Avant Garde" w:hAnsi="ITC Avant Garde"/>
          <w:kern w:val="3"/>
          <w:sz w:val="22"/>
          <w:szCs w:val="22"/>
          <w:lang w:eastAsia="ar-SA"/>
        </w:rPr>
        <w:t xml:space="preserve">iciones que se establecerán en </w:t>
      </w:r>
      <w:r w:rsidR="00B0095E" w:rsidRPr="000672F6">
        <w:rPr>
          <w:rFonts w:ascii="ITC Avant Garde" w:hAnsi="ITC Avant Garde"/>
          <w:kern w:val="3"/>
          <w:sz w:val="22"/>
          <w:szCs w:val="22"/>
          <w:lang w:eastAsia="ar-SA"/>
        </w:rPr>
        <w:t>el</w:t>
      </w:r>
      <w:r w:rsidRPr="000672F6">
        <w:rPr>
          <w:rFonts w:ascii="ITC Avant Garde" w:hAnsi="ITC Avant Garde"/>
          <w:kern w:val="3"/>
          <w:sz w:val="22"/>
          <w:szCs w:val="22"/>
          <w:lang w:eastAsia="ar-SA"/>
        </w:rPr>
        <w:t xml:space="preserve"> Título de Concesión que en su caso se otorgue, ello a efecto de que ést</w:t>
      </w:r>
      <w:r w:rsidR="00B0095E" w:rsidRPr="000672F6">
        <w:rPr>
          <w:rFonts w:ascii="ITC Avant Garde" w:hAnsi="ITC Avant Garde"/>
          <w:kern w:val="3"/>
          <w:sz w:val="22"/>
          <w:szCs w:val="22"/>
          <w:lang w:eastAsia="ar-SA"/>
        </w:rPr>
        <w:t>e</w:t>
      </w:r>
      <w:r w:rsidRPr="000672F6">
        <w:rPr>
          <w:rFonts w:ascii="ITC Avant Garde" w:hAnsi="ITC Avant Garde"/>
          <w:kern w:val="3"/>
          <w:sz w:val="22"/>
          <w:szCs w:val="22"/>
          <w:lang w:eastAsia="ar-SA"/>
        </w:rPr>
        <w:t xml:space="preserve"> manifieste su conformidad y total aceptación de las mismas, previo a la entrega de dicho instrumento.</w:t>
      </w:r>
    </w:p>
    <w:p w:rsidR="008F4584" w:rsidRPr="000672F6" w:rsidRDefault="00AA0853" w:rsidP="008F4584">
      <w:pPr>
        <w:spacing w:before="240" w:line="276" w:lineRule="auto"/>
        <w:jc w:val="both"/>
        <w:rPr>
          <w:rFonts w:ascii="ITC Avant Garde" w:hAnsi="ITC Avant Garde" w:cs="Tahoma"/>
          <w:bCs/>
          <w:color w:val="000000"/>
          <w:lang w:eastAsia="es-MX"/>
        </w:rPr>
      </w:pPr>
      <w:r w:rsidRPr="000672F6">
        <w:rPr>
          <w:rFonts w:ascii="ITC Avant Garde" w:hAnsi="ITC Avant Garde" w:cs="Tahoma"/>
          <w:bCs/>
          <w:color w:val="000000"/>
          <w:lang w:eastAsia="es-MX"/>
        </w:rPr>
        <w:t xml:space="preserve">Asimismo, </w:t>
      </w:r>
      <w:r w:rsidR="003D3F79" w:rsidRPr="000672F6">
        <w:rPr>
          <w:rFonts w:ascii="ITC Avant Garde" w:hAnsi="ITC Avant Garde" w:cs="Tahoma"/>
          <w:bCs/>
          <w:color w:val="000000"/>
          <w:lang w:eastAsia="es-MX"/>
        </w:rPr>
        <w:t xml:space="preserve">este Pleno estima que en atención a lo dispuesto en el numeral </w:t>
      </w:r>
      <w:r w:rsidR="00C54266" w:rsidRPr="000672F6">
        <w:rPr>
          <w:rFonts w:ascii="ITC Avant Garde" w:eastAsia="Times New Roman" w:hAnsi="ITC Avant Garde"/>
          <w:bCs/>
          <w:kern w:val="1"/>
          <w:lang w:eastAsia="ar-SA"/>
        </w:rPr>
        <w:t>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w:t>
      </w:r>
      <w:r w:rsidR="003D3F79" w:rsidRPr="000672F6">
        <w:rPr>
          <w:rFonts w:ascii="ITC Avant Garde" w:hAnsi="ITC Avant Garde" w:cs="Tahoma"/>
          <w:bCs/>
          <w:color w:val="000000"/>
          <w:lang w:eastAsia="es-MX"/>
        </w:rPr>
        <w:t>; por tanto, en la medida en que se hace un uso continuo de estas frecuencias para las transmisiones de la señal radiodifundida, es que se hace un uso correcto y eficiente del espectro concesionado para tal fin.</w:t>
      </w:r>
    </w:p>
    <w:p w:rsidR="008F4584" w:rsidRPr="000672F6" w:rsidRDefault="003D3F79" w:rsidP="008F4584">
      <w:pPr>
        <w:spacing w:before="240" w:line="276" w:lineRule="auto"/>
        <w:ind w:right="-62"/>
        <w:jc w:val="both"/>
        <w:rPr>
          <w:rFonts w:ascii="ITC Avant Garde" w:hAnsi="ITC Avant Garde" w:cs="Tahoma"/>
          <w:bCs/>
          <w:color w:val="000000"/>
          <w:lang w:eastAsia="es-MX"/>
        </w:rPr>
      </w:pPr>
      <w:r w:rsidRPr="000672F6">
        <w:rPr>
          <w:rFonts w:ascii="ITC Avant Garde" w:hAnsi="ITC Avant Garde" w:cs="Tahoma"/>
          <w:bCs/>
          <w:color w:val="000000"/>
          <w:lang w:eastAsia="es-MX"/>
        </w:rPr>
        <w:t xml:space="preserve">Adicionalmente, </w:t>
      </w:r>
      <w:r w:rsidR="00B0095E" w:rsidRPr="000672F6">
        <w:rPr>
          <w:rFonts w:ascii="ITC Avant Garde" w:hAnsi="ITC Avant Garde" w:cs="Tahoma"/>
          <w:bCs/>
          <w:color w:val="000000"/>
          <w:lang w:eastAsia="es-MX"/>
        </w:rPr>
        <w:t>el</w:t>
      </w:r>
      <w:r w:rsidRPr="000672F6">
        <w:rPr>
          <w:rFonts w:ascii="ITC Avant Garde" w:hAnsi="ITC Avant Garde" w:cs="Tahoma"/>
          <w:bCs/>
          <w:color w:val="000000"/>
          <w:lang w:eastAsia="es-MX"/>
        </w:rPr>
        <w:t xml:space="preserve"> Concesionario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 cuenta de que se ha operado la estación de manera regular.</w:t>
      </w:r>
    </w:p>
    <w:p w:rsidR="008F4584" w:rsidRPr="000672F6" w:rsidRDefault="00AA0853" w:rsidP="008F4584">
      <w:pPr>
        <w:suppressAutoHyphens/>
        <w:spacing w:before="240" w:line="276" w:lineRule="auto"/>
        <w:ind w:right="-62"/>
        <w:jc w:val="both"/>
        <w:rPr>
          <w:rFonts w:ascii="ITC Avant Garde" w:eastAsia="Times New Roman" w:hAnsi="ITC Avant Garde"/>
          <w:bCs/>
          <w:color w:val="000000"/>
          <w:lang w:eastAsia="es-MX"/>
        </w:rPr>
      </w:pPr>
      <w:r w:rsidRPr="000672F6">
        <w:rPr>
          <w:rFonts w:ascii="ITC Avant Garde" w:eastAsia="Times New Roman" w:hAnsi="ITC Avant Garde"/>
          <w:bCs/>
          <w:color w:val="000000"/>
          <w:lang w:eastAsia="es-MX"/>
        </w:rPr>
        <w:t xml:space="preserve">Por otro lado, tal y como se señaló en el Antecedente </w:t>
      </w:r>
      <w:r w:rsidR="008D1E40" w:rsidRPr="000672F6">
        <w:rPr>
          <w:rFonts w:ascii="ITC Avant Garde" w:eastAsia="Times New Roman" w:hAnsi="ITC Avant Garde"/>
          <w:bCs/>
          <w:color w:val="000000"/>
          <w:lang w:eastAsia="es-MX"/>
        </w:rPr>
        <w:t>X</w:t>
      </w:r>
      <w:r w:rsidR="00B0095E" w:rsidRPr="000672F6">
        <w:rPr>
          <w:rFonts w:ascii="ITC Avant Garde" w:eastAsia="Times New Roman" w:hAnsi="ITC Avant Garde"/>
          <w:bCs/>
          <w:color w:val="000000"/>
          <w:lang w:eastAsia="es-MX"/>
        </w:rPr>
        <w:t>II</w:t>
      </w:r>
      <w:r w:rsidR="008D1E40" w:rsidRPr="000672F6">
        <w:rPr>
          <w:rFonts w:ascii="ITC Avant Garde" w:eastAsia="Times New Roman" w:hAnsi="ITC Avant Garde"/>
          <w:bCs/>
          <w:color w:val="000000"/>
          <w:lang w:eastAsia="es-MX"/>
        </w:rPr>
        <w:t xml:space="preserve"> de la presente Resolución, la SCT conforme a lo ordenado en el párrafo décimo séptimo del artículo 28 de la Constitución y fracción I del artículo 9 de la Ley, mediante </w:t>
      </w:r>
      <w:r w:rsidR="006C5CB7" w:rsidRPr="000672F6">
        <w:rPr>
          <w:rFonts w:ascii="ITC Avant Garde" w:hAnsi="ITC Avant Garde"/>
          <w:kern w:val="1"/>
          <w:lang w:eastAsia="ar-SA"/>
        </w:rPr>
        <w:t xml:space="preserve">oficio 1.- </w:t>
      </w:r>
      <w:r w:rsidR="00B0095E" w:rsidRPr="000672F6">
        <w:rPr>
          <w:rFonts w:ascii="ITC Avant Garde" w:hAnsi="ITC Avant Garde"/>
          <w:kern w:val="1"/>
          <w:lang w:eastAsia="ar-SA"/>
        </w:rPr>
        <w:t>162</w:t>
      </w:r>
      <w:r w:rsidR="006C5CB7" w:rsidRPr="000672F6">
        <w:rPr>
          <w:rFonts w:ascii="ITC Avant Garde" w:hAnsi="ITC Avant Garde"/>
          <w:kern w:val="1"/>
          <w:lang w:eastAsia="ar-SA"/>
        </w:rPr>
        <w:t xml:space="preserve"> de fecha 10 de agosto de 2016</w:t>
      </w:r>
      <w:r w:rsidR="00333984" w:rsidRPr="000672F6">
        <w:rPr>
          <w:rFonts w:ascii="ITC Avant Garde" w:eastAsia="Times New Roman" w:hAnsi="ITC Avant Garde"/>
          <w:bCs/>
          <w:color w:val="000000"/>
          <w:lang w:eastAsia="es-MX"/>
        </w:rPr>
        <w:t>, emitió</w:t>
      </w:r>
      <w:r w:rsidR="005762A8" w:rsidRPr="000672F6">
        <w:rPr>
          <w:rFonts w:ascii="ITC Avant Garde" w:eastAsia="Times New Roman" w:hAnsi="ITC Avant Garde"/>
          <w:bCs/>
          <w:color w:val="000000"/>
          <w:lang w:eastAsia="es-MX"/>
        </w:rPr>
        <w:t xml:space="preserve"> opinión técnica </w:t>
      </w:r>
      <w:r w:rsidR="00333984" w:rsidRPr="000672F6">
        <w:rPr>
          <w:rFonts w:ascii="ITC Avant Garde" w:eastAsia="Times New Roman" w:hAnsi="ITC Avant Garde"/>
          <w:bCs/>
          <w:color w:val="000000"/>
          <w:lang w:eastAsia="es-MX"/>
        </w:rPr>
        <w:t>no vinculante respecto de</w:t>
      </w:r>
      <w:r w:rsidR="005762A8" w:rsidRPr="000672F6">
        <w:rPr>
          <w:rFonts w:ascii="ITC Avant Garde" w:eastAsia="Times New Roman" w:hAnsi="ITC Avant Garde"/>
          <w:bCs/>
          <w:color w:val="000000"/>
          <w:lang w:eastAsia="es-MX"/>
        </w:rPr>
        <w:t xml:space="preserve"> la prórroga de l</w:t>
      </w:r>
      <w:r w:rsidR="00333984" w:rsidRPr="000672F6">
        <w:rPr>
          <w:rFonts w:ascii="ITC Avant Garde" w:eastAsia="Times New Roman" w:hAnsi="ITC Avant Garde"/>
          <w:bCs/>
          <w:color w:val="000000"/>
          <w:lang w:eastAsia="es-MX"/>
        </w:rPr>
        <w:t>a</w:t>
      </w:r>
      <w:r w:rsidR="005762A8" w:rsidRPr="000672F6">
        <w:rPr>
          <w:rFonts w:ascii="ITC Avant Garde" w:eastAsia="Times New Roman" w:hAnsi="ITC Avant Garde"/>
          <w:bCs/>
          <w:color w:val="000000"/>
          <w:lang w:eastAsia="es-MX"/>
        </w:rPr>
        <w:t xml:space="preserve"> </w:t>
      </w:r>
      <w:r w:rsidR="00333984" w:rsidRPr="000672F6">
        <w:rPr>
          <w:rFonts w:ascii="ITC Avant Garde" w:eastAsia="Times New Roman" w:hAnsi="ITC Avant Garde"/>
          <w:bCs/>
          <w:color w:val="000000"/>
          <w:lang w:eastAsia="es-MX"/>
        </w:rPr>
        <w:t>C</w:t>
      </w:r>
      <w:r w:rsidR="005762A8" w:rsidRPr="000672F6">
        <w:rPr>
          <w:rFonts w:ascii="ITC Avant Garde" w:eastAsia="Times New Roman" w:hAnsi="ITC Avant Garde"/>
          <w:bCs/>
          <w:color w:val="000000"/>
          <w:lang w:eastAsia="es-MX"/>
        </w:rPr>
        <w:t>oncesi</w:t>
      </w:r>
      <w:r w:rsidR="00B0095E" w:rsidRPr="000672F6">
        <w:rPr>
          <w:rFonts w:ascii="ITC Avant Garde" w:eastAsia="Times New Roman" w:hAnsi="ITC Avant Garde"/>
          <w:bCs/>
          <w:color w:val="000000"/>
          <w:lang w:eastAsia="es-MX"/>
        </w:rPr>
        <w:t>ón</w:t>
      </w:r>
      <w:r w:rsidR="00333984" w:rsidRPr="000672F6">
        <w:rPr>
          <w:rFonts w:ascii="ITC Avant Garde" w:eastAsia="Times New Roman" w:hAnsi="ITC Avant Garde"/>
          <w:bCs/>
          <w:color w:val="000000"/>
          <w:lang w:eastAsia="es-MX"/>
        </w:rPr>
        <w:t xml:space="preserve"> materia de la presente Resolución</w:t>
      </w:r>
      <w:r w:rsidR="005762A8" w:rsidRPr="000672F6">
        <w:rPr>
          <w:rFonts w:ascii="ITC Avant Garde" w:eastAsia="Times New Roman" w:hAnsi="ITC Avant Garde"/>
          <w:bCs/>
          <w:color w:val="000000"/>
          <w:lang w:eastAsia="es-MX"/>
        </w:rPr>
        <w:t xml:space="preserve">, </w:t>
      </w:r>
      <w:r w:rsidR="00333984" w:rsidRPr="000672F6">
        <w:rPr>
          <w:rFonts w:ascii="ITC Avant Garde" w:eastAsia="Times New Roman" w:hAnsi="ITC Avant Garde"/>
          <w:bCs/>
          <w:color w:val="000000"/>
          <w:lang w:eastAsia="es-MX"/>
        </w:rPr>
        <w:t>donde, entre otras cosas, señaló que de autorizarse la</w:t>
      </w:r>
      <w:r w:rsidR="00B0095E" w:rsidRPr="000672F6">
        <w:rPr>
          <w:rFonts w:ascii="ITC Avant Garde" w:eastAsia="Times New Roman" w:hAnsi="ITC Avant Garde"/>
          <w:bCs/>
          <w:color w:val="000000"/>
          <w:lang w:eastAsia="es-MX"/>
        </w:rPr>
        <w:t xml:space="preserve"> prórroga</w:t>
      </w:r>
      <w:r w:rsidR="00333984" w:rsidRPr="000672F6">
        <w:rPr>
          <w:rFonts w:ascii="ITC Avant Garde" w:eastAsia="Times New Roman" w:hAnsi="ITC Avant Garde"/>
          <w:bCs/>
          <w:color w:val="000000"/>
          <w:lang w:eastAsia="es-MX"/>
        </w:rPr>
        <w:t xml:space="preserve"> se dota de certeza jurídica a</w:t>
      </w:r>
      <w:r w:rsidR="00B0095E" w:rsidRPr="000672F6">
        <w:rPr>
          <w:rFonts w:ascii="ITC Avant Garde" w:eastAsia="Times New Roman" w:hAnsi="ITC Avant Garde"/>
          <w:bCs/>
          <w:color w:val="000000"/>
          <w:lang w:eastAsia="es-MX"/>
        </w:rPr>
        <w:t>l</w:t>
      </w:r>
      <w:r w:rsidR="00333984" w:rsidRPr="000672F6">
        <w:rPr>
          <w:rFonts w:ascii="ITC Avant Garde" w:eastAsia="Times New Roman" w:hAnsi="ITC Avant Garde"/>
          <w:bCs/>
          <w:color w:val="000000"/>
          <w:lang w:eastAsia="es-MX"/>
        </w:rPr>
        <w:t xml:space="preserve"> Concesionario</w:t>
      </w:r>
      <w:r w:rsidR="00B0095E" w:rsidRPr="000672F6">
        <w:rPr>
          <w:rFonts w:ascii="ITC Avant Garde" w:eastAsia="Times New Roman" w:hAnsi="ITC Avant Garde"/>
          <w:bCs/>
          <w:color w:val="000000"/>
          <w:lang w:eastAsia="es-MX"/>
        </w:rPr>
        <w:t>,</w:t>
      </w:r>
      <w:r w:rsidR="00333984" w:rsidRPr="000672F6">
        <w:rPr>
          <w:rFonts w:ascii="ITC Avant Garde" w:eastAsia="Times New Roman" w:hAnsi="ITC Avant Garde"/>
          <w:bCs/>
          <w:color w:val="000000"/>
          <w:lang w:eastAsia="es-MX"/>
        </w:rPr>
        <w:t xml:space="preserve"> además de permitirle</w:t>
      </w:r>
      <w:r w:rsidR="005762A8" w:rsidRPr="000672F6">
        <w:rPr>
          <w:rFonts w:ascii="ITC Avant Garde" w:eastAsia="Times New Roman" w:hAnsi="ITC Avant Garde"/>
          <w:bCs/>
          <w:color w:val="000000"/>
          <w:lang w:eastAsia="es-MX"/>
        </w:rPr>
        <w:t xml:space="preserve"> continuar con el </w:t>
      </w:r>
      <w:r w:rsidR="00333984" w:rsidRPr="000672F6">
        <w:rPr>
          <w:rFonts w:ascii="ITC Avant Garde" w:eastAsia="Times New Roman" w:hAnsi="ITC Avant Garde"/>
          <w:bCs/>
          <w:color w:val="000000"/>
          <w:lang w:eastAsia="es-MX"/>
        </w:rPr>
        <w:t xml:space="preserve">uso, </w:t>
      </w:r>
      <w:r w:rsidR="005762A8" w:rsidRPr="000672F6">
        <w:rPr>
          <w:rFonts w:ascii="ITC Avant Garde" w:eastAsia="Times New Roman" w:hAnsi="ITC Avant Garde"/>
          <w:bCs/>
          <w:color w:val="000000"/>
          <w:lang w:eastAsia="es-MX"/>
        </w:rPr>
        <w:t xml:space="preserve">aprovechamiento y explotación de las frecuencias del espectro radioeléctrico concesionadas, para seguir prestando el servicio de radiodifusión </w:t>
      </w:r>
      <w:r w:rsidR="005762A8" w:rsidRPr="000672F6">
        <w:rPr>
          <w:rFonts w:ascii="ITC Avant Garde" w:eastAsia="Times New Roman" w:hAnsi="ITC Avant Garde"/>
          <w:bCs/>
          <w:color w:val="000000"/>
          <w:lang w:eastAsia="es-MX"/>
        </w:rPr>
        <w:lastRenderedPageBreak/>
        <w:t xml:space="preserve">considerado en </w:t>
      </w:r>
      <w:r w:rsidR="007C40DC" w:rsidRPr="000672F6">
        <w:rPr>
          <w:rFonts w:ascii="ITC Avant Garde" w:eastAsia="Times New Roman" w:hAnsi="ITC Avant Garde"/>
          <w:bCs/>
          <w:color w:val="000000"/>
          <w:lang w:eastAsia="es-MX"/>
        </w:rPr>
        <w:t xml:space="preserve">la </w:t>
      </w:r>
      <w:r w:rsidR="005762A8" w:rsidRPr="000672F6">
        <w:rPr>
          <w:rFonts w:ascii="ITC Avant Garde" w:eastAsia="Times New Roman" w:hAnsi="ITC Avant Garde"/>
          <w:bCs/>
          <w:color w:val="000000"/>
          <w:lang w:eastAsia="es-MX"/>
        </w:rPr>
        <w:t xml:space="preserve">Carta Magna como un servicio público de interés general, </w:t>
      </w:r>
      <w:r w:rsidR="00333984" w:rsidRPr="000672F6">
        <w:rPr>
          <w:rFonts w:ascii="ITC Avant Garde" w:eastAsia="Times New Roman" w:hAnsi="ITC Avant Garde"/>
          <w:bCs/>
          <w:color w:val="000000"/>
          <w:lang w:eastAsia="es-MX"/>
        </w:rPr>
        <w:t xml:space="preserve">en el entendido de </w:t>
      </w:r>
      <w:r w:rsidR="005762A8" w:rsidRPr="000672F6">
        <w:rPr>
          <w:rFonts w:ascii="ITC Avant Garde" w:eastAsia="Times New Roman" w:hAnsi="ITC Avant Garde"/>
          <w:bCs/>
          <w:color w:val="000000"/>
          <w:lang w:eastAsia="es-MX"/>
        </w:rPr>
        <w:t xml:space="preserve">que las </w:t>
      </w:r>
      <w:r w:rsidR="00A47FAD" w:rsidRPr="000672F6">
        <w:rPr>
          <w:rFonts w:ascii="ITC Avant Garde" w:eastAsia="Times New Roman" w:hAnsi="ITC Avant Garde"/>
          <w:bCs/>
          <w:color w:val="000000"/>
          <w:lang w:eastAsia="es-MX"/>
        </w:rPr>
        <w:t>prórrogas</w:t>
      </w:r>
      <w:r w:rsidR="005762A8" w:rsidRPr="000672F6">
        <w:rPr>
          <w:rFonts w:ascii="ITC Avant Garde" w:eastAsia="Times New Roman" w:hAnsi="ITC Avant Garde"/>
          <w:bCs/>
          <w:color w:val="000000"/>
          <w:lang w:eastAsia="es-MX"/>
        </w:rPr>
        <w:t xml:space="preserve"> se ajusta</w:t>
      </w:r>
      <w:r w:rsidR="00333984" w:rsidRPr="000672F6">
        <w:rPr>
          <w:rFonts w:ascii="ITC Avant Garde" w:eastAsia="Times New Roman" w:hAnsi="ITC Avant Garde"/>
          <w:bCs/>
          <w:color w:val="000000"/>
          <w:lang w:eastAsia="es-MX"/>
        </w:rPr>
        <w:t>n</w:t>
      </w:r>
      <w:r w:rsidR="005762A8" w:rsidRPr="000672F6">
        <w:rPr>
          <w:rFonts w:ascii="ITC Avant Garde" w:eastAsia="Times New Roman" w:hAnsi="ITC Avant Garde"/>
          <w:bCs/>
          <w:color w:val="000000"/>
          <w:lang w:eastAsia="es-MX"/>
        </w:rPr>
        <w:t xml:space="preserve"> a la política pública señalada por el Gobierno de la República en el “Plan Nacional de Desarrollo 2013-2018” y en el “Programa Sectorial de Comunicaciones y Transportes 2013-2018”.</w:t>
      </w:r>
    </w:p>
    <w:p w:rsidR="008F4584" w:rsidRPr="000672F6" w:rsidRDefault="00FF301E" w:rsidP="008F4584">
      <w:pPr>
        <w:suppressAutoHyphens/>
        <w:spacing w:before="240" w:line="276" w:lineRule="auto"/>
        <w:ind w:right="-62"/>
        <w:jc w:val="both"/>
        <w:rPr>
          <w:rFonts w:ascii="ITC Avant Garde" w:eastAsia="Times New Roman" w:hAnsi="ITC Avant Garde"/>
          <w:bCs/>
          <w:color w:val="000000"/>
          <w:lang w:eastAsia="es-MX"/>
        </w:rPr>
      </w:pPr>
      <w:r w:rsidRPr="000672F6">
        <w:rPr>
          <w:rFonts w:ascii="ITC Avant Garde" w:eastAsia="Times New Roman" w:hAnsi="ITC Avant Garde"/>
          <w:bCs/>
          <w:color w:val="000000"/>
          <w:lang w:eastAsia="es-MX"/>
        </w:rPr>
        <w:t xml:space="preserve">Ahora bien, </w:t>
      </w:r>
      <w:r w:rsidR="004B181A" w:rsidRPr="000672F6">
        <w:rPr>
          <w:rFonts w:ascii="ITC Avant Garde" w:eastAsia="Times New Roman" w:hAnsi="ITC Avant Garde"/>
          <w:bCs/>
          <w:color w:val="000000"/>
          <w:lang w:eastAsia="es-MX"/>
        </w:rPr>
        <w:t>en cuanto a lo establecido en el tercer p</w:t>
      </w:r>
      <w:r w:rsidR="000D4F02" w:rsidRPr="000672F6">
        <w:rPr>
          <w:rFonts w:ascii="ITC Avant Garde" w:eastAsia="Times New Roman" w:hAnsi="ITC Avant Garde"/>
          <w:bCs/>
          <w:color w:val="000000"/>
          <w:lang w:eastAsia="es-MX"/>
        </w:rPr>
        <w:t>árrafo del artículo 114 de la Ley</w:t>
      </w:r>
      <w:r w:rsidR="007B5400" w:rsidRPr="000672F6">
        <w:rPr>
          <w:rFonts w:ascii="ITC Avant Garde" w:eastAsia="Times New Roman" w:hAnsi="ITC Avant Garde"/>
          <w:bCs/>
          <w:color w:val="000000"/>
          <w:lang w:eastAsia="es-MX"/>
        </w:rPr>
        <w:t xml:space="preserve">, la </w:t>
      </w:r>
      <w:r w:rsidRPr="000672F6">
        <w:rPr>
          <w:rFonts w:ascii="ITC Avant Garde" w:eastAsia="Times New Roman" w:hAnsi="ITC Avant Garde"/>
          <w:bCs/>
          <w:color w:val="000000"/>
          <w:lang w:eastAsia="es-MX"/>
        </w:rPr>
        <w:t>Unidad de Espectro Radioeléctrico</w:t>
      </w:r>
      <w:r w:rsidR="000D4F02" w:rsidRPr="000672F6">
        <w:rPr>
          <w:rFonts w:ascii="ITC Avant Garde" w:eastAsia="Times New Roman" w:hAnsi="ITC Avant Garde"/>
          <w:bCs/>
          <w:color w:val="000000"/>
          <w:lang w:eastAsia="es-MX"/>
        </w:rPr>
        <w:t xml:space="preserve"> </w:t>
      </w:r>
      <w:r w:rsidR="007B5400" w:rsidRPr="000672F6">
        <w:rPr>
          <w:rFonts w:ascii="ITC Avant Garde" w:eastAsia="Times New Roman" w:hAnsi="ITC Avant Garde"/>
          <w:bCs/>
          <w:color w:val="000000"/>
          <w:lang w:eastAsia="es-MX"/>
        </w:rPr>
        <w:t>con oficio señalado en el Antecedente X</w:t>
      </w:r>
      <w:r w:rsidR="002F783C" w:rsidRPr="000672F6">
        <w:rPr>
          <w:rFonts w:ascii="ITC Avant Garde" w:eastAsia="Times New Roman" w:hAnsi="ITC Avant Garde"/>
          <w:bCs/>
          <w:color w:val="000000"/>
          <w:lang w:eastAsia="es-MX"/>
        </w:rPr>
        <w:t>I</w:t>
      </w:r>
      <w:r w:rsidR="007B5400" w:rsidRPr="000672F6">
        <w:rPr>
          <w:rFonts w:ascii="ITC Avant Garde" w:eastAsia="Times New Roman" w:hAnsi="ITC Avant Garde"/>
          <w:bCs/>
          <w:color w:val="000000"/>
          <w:lang w:eastAsia="es-MX"/>
        </w:rPr>
        <w:t>I</w:t>
      </w:r>
      <w:r w:rsidR="00B0095E" w:rsidRPr="000672F6">
        <w:rPr>
          <w:rFonts w:ascii="ITC Avant Garde" w:eastAsia="Times New Roman" w:hAnsi="ITC Avant Garde"/>
          <w:bCs/>
          <w:color w:val="000000"/>
          <w:lang w:eastAsia="es-MX"/>
        </w:rPr>
        <w:t>I</w:t>
      </w:r>
      <w:r w:rsidR="007B5400" w:rsidRPr="000672F6">
        <w:rPr>
          <w:rFonts w:ascii="ITC Avant Garde" w:eastAsia="Times New Roman" w:hAnsi="ITC Avant Garde"/>
          <w:bCs/>
          <w:color w:val="000000"/>
          <w:lang w:eastAsia="es-MX"/>
        </w:rPr>
        <w:t xml:space="preserve"> emitió opinión indicando </w:t>
      </w:r>
      <w:r w:rsidR="0087556F" w:rsidRPr="000672F6">
        <w:rPr>
          <w:rFonts w:ascii="ITC Avant Garde" w:eastAsia="Times New Roman" w:hAnsi="ITC Avant Garde"/>
          <w:bCs/>
          <w:color w:val="000000"/>
          <w:lang w:eastAsia="es-MX"/>
        </w:rPr>
        <w:t xml:space="preserve">que no existe interés público en recuperar el espectro </w:t>
      </w:r>
      <w:r w:rsidR="007B5400" w:rsidRPr="000672F6">
        <w:rPr>
          <w:rFonts w:ascii="ITC Avant Garde" w:eastAsia="Times New Roman" w:hAnsi="ITC Avant Garde"/>
          <w:bCs/>
          <w:color w:val="000000"/>
          <w:lang w:eastAsia="es-MX"/>
        </w:rPr>
        <w:t>concesionado</w:t>
      </w:r>
      <w:r w:rsidR="00123207" w:rsidRPr="000672F6">
        <w:rPr>
          <w:rFonts w:ascii="ITC Avant Garde" w:eastAsia="Times New Roman" w:hAnsi="ITC Avant Garde"/>
          <w:bCs/>
          <w:color w:val="000000"/>
          <w:lang w:eastAsia="es-MX"/>
        </w:rPr>
        <w:t xml:space="preserve"> </w:t>
      </w:r>
      <w:r w:rsidR="007B5400" w:rsidRPr="000672F6">
        <w:rPr>
          <w:rFonts w:ascii="ITC Avant Garde" w:eastAsia="Times New Roman" w:hAnsi="ITC Avant Garde"/>
          <w:bCs/>
          <w:color w:val="000000"/>
          <w:lang w:eastAsia="es-MX"/>
        </w:rPr>
        <w:t>para su re-planificación o futura utilización para un servic</w:t>
      </w:r>
      <w:r w:rsidR="007B1B05" w:rsidRPr="000672F6">
        <w:rPr>
          <w:rFonts w:ascii="ITC Avant Garde" w:eastAsia="Times New Roman" w:hAnsi="ITC Avant Garde"/>
          <w:bCs/>
          <w:color w:val="000000"/>
          <w:lang w:eastAsia="es-MX"/>
        </w:rPr>
        <w:t>i</w:t>
      </w:r>
      <w:r w:rsidR="00840207" w:rsidRPr="000672F6">
        <w:rPr>
          <w:rFonts w:ascii="ITC Avant Garde" w:eastAsia="Times New Roman" w:hAnsi="ITC Avant Garde"/>
          <w:bCs/>
          <w:color w:val="000000"/>
          <w:lang w:eastAsia="es-MX"/>
        </w:rPr>
        <w:t>o distinto al de Radiodifusión.</w:t>
      </w:r>
    </w:p>
    <w:p w:rsidR="008F4584" w:rsidRPr="000672F6" w:rsidRDefault="007E6EE8" w:rsidP="008F4584">
      <w:pPr>
        <w:suppressAutoHyphens/>
        <w:spacing w:before="240" w:line="276" w:lineRule="auto"/>
        <w:ind w:right="-62"/>
        <w:jc w:val="both"/>
        <w:rPr>
          <w:rFonts w:ascii="ITC Avant Garde" w:eastAsia="Times New Roman" w:hAnsi="ITC Avant Garde"/>
          <w:bCs/>
          <w:color w:val="000000"/>
          <w:lang w:eastAsia="es-MX"/>
        </w:rPr>
      </w:pPr>
      <w:r w:rsidRPr="000672F6">
        <w:rPr>
          <w:rFonts w:ascii="ITC Avant Garde" w:eastAsia="Times New Roman" w:hAnsi="ITC Avant Garde"/>
          <w:bCs/>
          <w:color w:val="000000"/>
          <w:lang w:eastAsia="es-MX"/>
        </w:rPr>
        <w:t xml:space="preserve">De igual forma, </w:t>
      </w:r>
      <w:r w:rsidR="00B0095E" w:rsidRPr="000672F6">
        <w:rPr>
          <w:rFonts w:ascii="ITC Avant Garde" w:eastAsia="Times New Roman" w:hAnsi="ITC Avant Garde"/>
          <w:bCs/>
          <w:color w:val="000000"/>
          <w:lang w:eastAsia="es-MX"/>
        </w:rPr>
        <w:t>el</w:t>
      </w:r>
      <w:r w:rsidRPr="000672F6">
        <w:rPr>
          <w:rFonts w:ascii="ITC Avant Garde" w:eastAsia="Times New Roman" w:hAnsi="ITC Avant Garde"/>
          <w:bCs/>
          <w:color w:val="000000"/>
          <w:lang w:eastAsia="es-MX"/>
        </w:rPr>
        <w:t xml:space="preserve"> Concesionario adjunt</w:t>
      </w:r>
      <w:r w:rsidR="00B0095E" w:rsidRPr="000672F6">
        <w:rPr>
          <w:rFonts w:ascii="ITC Avant Garde" w:eastAsia="Times New Roman" w:hAnsi="ITC Avant Garde"/>
          <w:bCs/>
          <w:color w:val="000000"/>
          <w:lang w:eastAsia="es-MX"/>
        </w:rPr>
        <w:t>ó</w:t>
      </w:r>
      <w:r w:rsidRPr="000672F6">
        <w:rPr>
          <w:rFonts w:ascii="ITC Avant Garde" w:eastAsia="Times New Roman" w:hAnsi="ITC Avant Garde"/>
          <w:bCs/>
          <w:color w:val="000000"/>
          <w:lang w:eastAsia="es-MX"/>
        </w:rPr>
        <w:t xml:space="preserve"> el comprobante de pago de derechos correspondiente y conforme a la Ley Federal de Derechos vigente, por conceptos de estudio y revisión del cumplimiento de obligaciones de la concesión que se solicita prorrogar.</w:t>
      </w:r>
    </w:p>
    <w:p w:rsidR="008F4584" w:rsidRPr="000672F6" w:rsidRDefault="007E6EE8" w:rsidP="008F4584">
      <w:pPr>
        <w:suppressAutoHyphens/>
        <w:spacing w:before="240" w:line="276" w:lineRule="auto"/>
        <w:ind w:right="-62"/>
        <w:jc w:val="both"/>
        <w:rPr>
          <w:rFonts w:ascii="ITC Avant Garde" w:eastAsia="Times New Roman" w:hAnsi="ITC Avant Garde"/>
          <w:bCs/>
          <w:color w:val="000000"/>
          <w:lang w:eastAsia="es-MX"/>
        </w:rPr>
      </w:pPr>
      <w:r w:rsidRPr="000672F6">
        <w:rPr>
          <w:rFonts w:ascii="ITC Avant Garde" w:eastAsia="Times New Roman" w:hAnsi="ITC Avant Garde"/>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8F4584" w:rsidRPr="000672F6" w:rsidRDefault="007E6EE8" w:rsidP="008F4584">
      <w:pPr>
        <w:suppressAutoHyphens/>
        <w:spacing w:before="240" w:line="276" w:lineRule="auto"/>
        <w:ind w:right="-62"/>
        <w:jc w:val="both"/>
        <w:rPr>
          <w:rFonts w:ascii="ITC Avant Garde" w:eastAsia="Times New Roman" w:hAnsi="ITC Avant Garde"/>
          <w:bCs/>
          <w:color w:val="000000"/>
          <w:lang w:eastAsia="es-MX"/>
        </w:rPr>
      </w:pPr>
      <w:r w:rsidRPr="000672F6">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8F4584" w:rsidRPr="000672F6" w:rsidRDefault="00FF301E" w:rsidP="008F4584">
      <w:pPr>
        <w:suppressAutoHyphens/>
        <w:spacing w:before="240" w:line="276" w:lineRule="auto"/>
        <w:ind w:right="-62"/>
        <w:jc w:val="both"/>
        <w:rPr>
          <w:rFonts w:ascii="ITC Avant Garde" w:eastAsia="Times New Roman" w:hAnsi="ITC Avant Garde"/>
          <w:bCs/>
          <w:color w:val="000000"/>
          <w:lang w:eastAsia="es-MX"/>
        </w:rPr>
      </w:pPr>
      <w:r w:rsidRPr="000672F6">
        <w:rPr>
          <w:rFonts w:ascii="ITC Avant Garde" w:eastAsia="Times New Roman" w:hAnsi="ITC Avant Garde"/>
          <w:bCs/>
          <w:color w:val="000000"/>
          <w:lang w:eastAsia="es-MX"/>
        </w:rPr>
        <w:t>Por lo descrito en los puntos antes referidos, se considera que se han satisfecho los requisitos de procedencia de la</w:t>
      </w:r>
      <w:r w:rsidR="00A54A65" w:rsidRPr="000672F6">
        <w:rPr>
          <w:rFonts w:ascii="ITC Avant Garde" w:eastAsia="Times New Roman" w:hAnsi="ITC Avant Garde"/>
          <w:bCs/>
          <w:color w:val="000000"/>
          <w:lang w:eastAsia="es-MX"/>
        </w:rPr>
        <w:t>s</w:t>
      </w:r>
      <w:r w:rsidRPr="000672F6">
        <w:rPr>
          <w:rFonts w:ascii="ITC Avant Garde" w:eastAsia="Times New Roman" w:hAnsi="ITC Avant Garde"/>
          <w:bCs/>
          <w:color w:val="000000"/>
          <w:lang w:eastAsia="es-MX"/>
        </w:rPr>
        <w:t xml:space="preserve"> prórroga</w:t>
      </w:r>
      <w:r w:rsidR="00A54A65" w:rsidRPr="000672F6">
        <w:rPr>
          <w:rFonts w:ascii="ITC Avant Garde" w:eastAsia="Times New Roman" w:hAnsi="ITC Avant Garde"/>
          <w:bCs/>
          <w:color w:val="000000"/>
          <w:lang w:eastAsia="es-MX"/>
        </w:rPr>
        <w:t>s,</w:t>
      </w:r>
      <w:r w:rsidRPr="000672F6">
        <w:rPr>
          <w:rFonts w:ascii="ITC Avant Garde" w:eastAsia="Times New Roman" w:hAnsi="ITC Avant Garde"/>
          <w:bCs/>
          <w:color w:val="000000"/>
          <w:lang w:eastAsia="es-MX"/>
        </w:rPr>
        <w:t xml:space="preserve"> establecido</w:t>
      </w:r>
      <w:r w:rsidR="00A54A65" w:rsidRPr="000672F6">
        <w:rPr>
          <w:rFonts w:ascii="ITC Avant Garde" w:eastAsia="Times New Roman" w:hAnsi="ITC Avant Garde"/>
          <w:bCs/>
          <w:color w:val="000000"/>
          <w:lang w:eastAsia="es-MX"/>
        </w:rPr>
        <w:t>s</w:t>
      </w:r>
      <w:r w:rsidRPr="000672F6">
        <w:rPr>
          <w:rFonts w:ascii="ITC Avant Garde" w:eastAsia="Times New Roman" w:hAnsi="ITC Avant Garde"/>
          <w:bCs/>
          <w:color w:val="000000"/>
          <w:lang w:eastAsia="es-MX"/>
        </w:rPr>
        <w:t xml:space="preserve"> en las disposiciones legales aplicables y en las propias Concesiones y no se advierte ninguna otra causa o impedimento legal, en consecuencia, esta autoridad estima procedente el otorgamiento de las prórrogas solicitadas.</w:t>
      </w:r>
    </w:p>
    <w:p w:rsidR="008F4584" w:rsidRPr="000672F6" w:rsidRDefault="001647BC" w:rsidP="008F4584">
      <w:pPr>
        <w:autoSpaceDE w:val="0"/>
        <w:autoSpaceDN w:val="0"/>
        <w:spacing w:before="240" w:line="276" w:lineRule="auto"/>
        <w:jc w:val="both"/>
        <w:rPr>
          <w:rFonts w:ascii="ITC Avant Garde" w:eastAsia="Times New Roman" w:hAnsi="ITC Avant Garde" w:cs="Times New Roman"/>
          <w:bCs/>
          <w:kern w:val="3"/>
          <w:lang w:eastAsia="ar-SA"/>
        </w:rPr>
      </w:pPr>
      <w:r w:rsidRPr="000672F6">
        <w:rPr>
          <w:rFonts w:ascii="ITC Avant Garde" w:eastAsia="Times New Roman" w:hAnsi="ITC Avant Garde"/>
          <w:b/>
          <w:bCs/>
          <w:kern w:val="1"/>
          <w:lang w:eastAsia="ar-SA"/>
        </w:rPr>
        <w:lastRenderedPageBreak/>
        <w:t>Cuarto</w:t>
      </w:r>
      <w:r w:rsidR="007439DF" w:rsidRPr="000672F6">
        <w:rPr>
          <w:rFonts w:ascii="ITC Avant Garde" w:eastAsia="Times New Roman" w:hAnsi="ITC Avant Garde"/>
          <w:b/>
          <w:bCs/>
          <w:kern w:val="1"/>
          <w:lang w:eastAsia="ar-SA"/>
        </w:rPr>
        <w:t xml:space="preserve">.- </w:t>
      </w:r>
      <w:r w:rsidR="00173E52" w:rsidRPr="000672F6">
        <w:rPr>
          <w:rFonts w:ascii="ITC Avant Garde" w:eastAsia="Times New Roman" w:hAnsi="ITC Avant Garde"/>
          <w:b/>
          <w:bCs/>
          <w:kern w:val="1"/>
          <w:lang w:eastAsia="ar-SA"/>
        </w:rPr>
        <w:t>Opinión en materia de competencia económica.</w:t>
      </w:r>
      <w:r w:rsidR="009567F0" w:rsidRPr="000672F6">
        <w:rPr>
          <w:rFonts w:ascii="ITC Avant Garde" w:eastAsia="Times New Roman" w:hAnsi="ITC Avant Garde"/>
          <w:b/>
          <w:bCs/>
          <w:kern w:val="1"/>
          <w:lang w:eastAsia="ar-SA"/>
        </w:rPr>
        <w:t xml:space="preserve"> </w:t>
      </w:r>
      <w:r w:rsidR="00B97D9D" w:rsidRPr="000672F6">
        <w:rPr>
          <w:rFonts w:ascii="ITC Avant Garde" w:hAnsi="ITC Avant Garde"/>
          <w:lang w:eastAsia="ar-SA"/>
        </w:rPr>
        <w:t xml:space="preserve">De conformidad con el artículo 50 fracción XII del Estatuto Orgánico, la Dirección General de Concentraciones y Concesiones adscrita a la Unidad de Competencia Económica, </w:t>
      </w:r>
      <w:r w:rsidR="007E0DE0" w:rsidRPr="000672F6">
        <w:rPr>
          <w:rFonts w:ascii="ITC Avant Garde" w:hAnsi="ITC Avant Garde"/>
          <w:lang w:eastAsia="ar-SA"/>
        </w:rPr>
        <w:t>r</w:t>
      </w:r>
      <w:r w:rsidR="00B97D9D" w:rsidRPr="000672F6">
        <w:rPr>
          <w:rFonts w:ascii="ITC Avant Garde" w:hAnsi="ITC Avant Garde"/>
          <w:lang w:eastAsia="ar-SA"/>
        </w:rPr>
        <w:t>emitió la opini</w:t>
      </w:r>
      <w:r w:rsidR="00B0095E" w:rsidRPr="000672F6">
        <w:rPr>
          <w:rFonts w:ascii="ITC Avant Garde" w:hAnsi="ITC Avant Garde"/>
          <w:lang w:eastAsia="ar-SA"/>
        </w:rPr>
        <w:t>ón señalada</w:t>
      </w:r>
      <w:r w:rsidR="00B97D9D" w:rsidRPr="000672F6">
        <w:rPr>
          <w:rFonts w:ascii="ITC Avant Garde" w:hAnsi="ITC Avant Garde"/>
          <w:lang w:eastAsia="ar-SA"/>
        </w:rPr>
        <w:t xml:space="preserve"> </w:t>
      </w:r>
      <w:r w:rsidR="007E0DE0" w:rsidRPr="000672F6">
        <w:rPr>
          <w:rFonts w:ascii="ITC Avant Garde" w:hAnsi="ITC Avant Garde"/>
          <w:lang w:eastAsia="ar-SA"/>
        </w:rPr>
        <w:t>en el Antecedente X</w:t>
      </w:r>
      <w:r w:rsidR="00B0095E" w:rsidRPr="000672F6">
        <w:rPr>
          <w:rFonts w:ascii="ITC Avant Garde" w:hAnsi="ITC Avant Garde"/>
          <w:lang w:eastAsia="ar-SA"/>
        </w:rPr>
        <w:t>V</w:t>
      </w:r>
      <w:r w:rsidR="007E0DE0" w:rsidRPr="000672F6">
        <w:rPr>
          <w:rFonts w:ascii="ITC Avant Garde" w:hAnsi="ITC Avant Garde"/>
          <w:lang w:eastAsia="ar-SA"/>
        </w:rPr>
        <w:t xml:space="preserve">I, </w:t>
      </w:r>
      <w:r w:rsidR="00B0095E" w:rsidRPr="000672F6">
        <w:rPr>
          <w:rFonts w:ascii="ITC Avant Garde" w:hAnsi="ITC Avant Garde"/>
          <w:lang w:eastAsia="ar-SA"/>
        </w:rPr>
        <w:t xml:space="preserve">en donde señaló que </w:t>
      </w:r>
      <w:r w:rsidR="008C1F9D" w:rsidRPr="000672F6">
        <w:rPr>
          <w:rFonts w:ascii="ITC Avant Garde" w:eastAsia="Times New Roman" w:hAnsi="ITC Avant Garde" w:cs="Times New Roman"/>
          <w:bCs/>
          <w:kern w:val="3"/>
          <w:lang w:eastAsia="ar-SA"/>
        </w:rPr>
        <w:t>en caso de autorizar la</w:t>
      </w:r>
      <w:r w:rsidR="00B0095E" w:rsidRPr="000672F6">
        <w:rPr>
          <w:rFonts w:ascii="ITC Avant Garde" w:eastAsia="Times New Roman" w:hAnsi="ITC Avant Garde" w:cs="Times New Roman"/>
          <w:bCs/>
          <w:kern w:val="3"/>
          <w:lang w:eastAsia="ar-SA"/>
        </w:rPr>
        <w:t xml:space="preserve"> prórroga</w:t>
      </w:r>
      <w:r w:rsidR="008C1F9D" w:rsidRPr="000672F6">
        <w:rPr>
          <w:rFonts w:ascii="ITC Avant Garde" w:eastAsia="Times New Roman" w:hAnsi="ITC Avant Garde" w:cs="Times New Roman"/>
          <w:bCs/>
          <w:kern w:val="3"/>
          <w:lang w:eastAsia="ar-SA"/>
        </w:rPr>
        <w:t xml:space="preserve"> no se prevé que se generen efectos contrarios en el proceso de competencia y libre concurrencia en la prestación del servicio público de radiodifusión.</w:t>
      </w:r>
    </w:p>
    <w:p w:rsidR="008F4584" w:rsidRPr="000672F6" w:rsidRDefault="0031286B" w:rsidP="008F4584">
      <w:pPr>
        <w:autoSpaceDE w:val="0"/>
        <w:spacing w:before="240" w:line="276" w:lineRule="auto"/>
        <w:jc w:val="both"/>
        <w:rPr>
          <w:rFonts w:ascii="ITC Avant Garde" w:hAnsi="ITC Avant Garde"/>
        </w:rPr>
      </w:pPr>
      <w:r w:rsidRPr="000672F6">
        <w:rPr>
          <w:rFonts w:ascii="ITC Avant Garde" w:eastAsia="Times New Roman" w:hAnsi="ITC Avant Garde"/>
          <w:bCs/>
          <w:kern w:val="3"/>
          <w:lang w:eastAsia="ar-SA"/>
        </w:rPr>
        <w:t xml:space="preserve">Con base en la información disponible y </w:t>
      </w:r>
      <w:r w:rsidRPr="000672F6">
        <w:rPr>
          <w:rFonts w:ascii="ITC Avant Garde" w:eastAsia="Times New Roman" w:hAnsi="ITC Avant Garde"/>
          <w:bCs/>
          <w:iCs/>
          <w:kern w:val="3"/>
          <w:lang w:eastAsia="ar-SA"/>
        </w:rPr>
        <w:t>en términos de la opini</w:t>
      </w:r>
      <w:r w:rsidR="00B0095E" w:rsidRPr="000672F6">
        <w:rPr>
          <w:rFonts w:ascii="ITC Avant Garde" w:eastAsia="Times New Roman" w:hAnsi="ITC Avant Garde"/>
          <w:bCs/>
          <w:iCs/>
          <w:kern w:val="3"/>
          <w:lang w:eastAsia="ar-SA"/>
        </w:rPr>
        <w:t>ón</w:t>
      </w:r>
      <w:r w:rsidRPr="000672F6">
        <w:rPr>
          <w:rFonts w:ascii="ITC Avant Garde" w:eastAsia="Times New Roman" w:hAnsi="ITC Avant Garde"/>
          <w:bCs/>
          <w:iCs/>
          <w:kern w:val="3"/>
          <w:lang w:eastAsia="ar-SA"/>
        </w:rPr>
        <w:t xml:space="preserve"> en materia de competencia económica referida, este Pleno considera que la prórroga de la </w:t>
      </w:r>
      <w:r w:rsidRPr="000672F6">
        <w:rPr>
          <w:rFonts w:ascii="ITC Avant Garde" w:eastAsia="Times New Roman" w:hAnsi="ITC Avant Garde"/>
          <w:bCs/>
          <w:kern w:val="3"/>
          <w:lang w:eastAsia="ar-SA"/>
        </w:rPr>
        <w:t>Concesi</w:t>
      </w:r>
      <w:r w:rsidR="00CF7D1A" w:rsidRPr="000672F6">
        <w:rPr>
          <w:rFonts w:ascii="ITC Avant Garde" w:eastAsia="Times New Roman" w:hAnsi="ITC Avant Garde"/>
          <w:bCs/>
          <w:kern w:val="3"/>
          <w:lang w:eastAsia="ar-SA"/>
        </w:rPr>
        <w:t>ó</w:t>
      </w:r>
      <w:r w:rsidRPr="000672F6">
        <w:rPr>
          <w:rFonts w:ascii="ITC Avant Garde" w:eastAsia="Times New Roman" w:hAnsi="ITC Avant Garde"/>
          <w:bCs/>
          <w:kern w:val="3"/>
          <w:lang w:eastAsia="ar-SA"/>
        </w:rPr>
        <w:t xml:space="preserve">n no generará efectos contrarios al proceso de competencia y libre concurrencia en la provisión de servicios de radio abierta comercial; y por otro lado, contribuiría a asegurar la continuidad de la prestación del servicio así como para lograr el objeto del Instituto consistente en el desarrollo eficiente de las telecomunicaciones y la radiodifusión. </w:t>
      </w:r>
    </w:p>
    <w:p w:rsidR="00E20877" w:rsidRPr="000672F6" w:rsidRDefault="00E20877" w:rsidP="008F4584">
      <w:pPr>
        <w:autoSpaceDE w:val="0"/>
        <w:spacing w:before="240" w:line="276" w:lineRule="auto"/>
        <w:jc w:val="both"/>
        <w:rPr>
          <w:rFonts w:ascii="ITC Avant Garde" w:eastAsia="Times New Roman" w:hAnsi="ITC Avant Garde"/>
          <w:bCs/>
          <w:iCs/>
          <w:kern w:val="3"/>
          <w:lang w:eastAsia="ar-SA"/>
        </w:rPr>
      </w:pPr>
      <w:r w:rsidRPr="000672F6">
        <w:rPr>
          <w:rFonts w:ascii="ITC Avant Garde" w:eastAsia="Times New Roman" w:hAnsi="ITC Avant Garde"/>
          <w:bCs/>
          <w:iCs/>
          <w:kern w:val="3"/>
          <w:lang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rsidR="008F4584" w:rsidRPr="000672F6" w:rsidRDefault="00E20877" w:rsidP="008F4584">
      <w:pPr>
        <w:autoSpaceDE w:val="0"/>
        <w:autoSpaceDN w:val="0"/>
        <w:adjustRightInd w:val="0"/>
        <w:spacing w:before="240" w:line="276" w:lineRule="auto"/>
        <w:jc w:val="both"/>
        <w:rPr>
          <w:rFonts w:ascii="ITC Avant Garde" w:eastAsia="Times New Roman" w:hAnsi="ITC Avant Garde"/>
          <w:bCs/>
          <w:kern w:val="3"/>
          <w:lang w:eastAsia="ar-SA"/>
        </w:rPr>
      </w:pPr>
      <w:r w:rsidRPr="000672F6">
        <w:rPr>
          <w:rFonts w:ascii="ITC Avant Garde" w:eastAsia="Times New Roman" w:hAnsi="ITC Avant Garde"/>
          <w:bCs/>
          <w:kern w:val="3"/>
          <w:lang w:eastAsia="ar-SA"/>
        </w:rPr>
        <w:t xml:space="preserve">En efecto, </w:t>
      </w:r>
      <w:r w:rsidRPr="000672F6">
        <w:rPr>
          <w:rFonts w:ascii="ITC Avant Garde" w:eastAsia="Times New Roman" w:hAnsi="ITC Avant Garde"/>
          <w:bCs/>
          <w:kern w:val="3"/>
          <w:lang w:val="es-ES" w:eastAsia="ar-SA"/>
        </w:rPr>
        <w:t xml:space="preserve">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2C3176" w:rsidRPr="000672F6" w:rsidRDefault="00E20877" w:rsidP="008F4584">
      <w:pPr>
        <w:autoSpaceDE w:val="0"/>
        <w:autoSpaceDN w:val="0"/>
        <w:adjustRightInd w:val="0"/>
        <w:spacing w:before="240" w:line="276" w:lineRule="auto"/>
        <w:jc w:val="both"/>
        <w:rPr>
          <w:rFonts w:ascii="ITC Avant Garde" w:eastAsia="Times New Roman" w:hAnsi="ITC Avant Garde"/>
          <w:bCs/>
          <w:kern w:val="3"/>
          <w:lang w:eastAsia="ar-SA"/>
        </w:rPr>
      </w:pPr>
      <w:r w:rsidRPr="000672F6">
        <w:rPr>
          <w:rFonts w:ascii="ITC Avant Garde" w:eastAsia="Times New Roman" w:hAnsi="ITC Avant Garde"/>
          <w:bCs/>
          <w:kern w:val="3"/>
          <w:lang w:val="es-ES" w:eastAsia="ar-SA"/>
        </w:rPr>
        <w:t>En conclusión, al haberse satisfecho los</w:t>
      </w:r>
      <w:r w:rsidRPr="000672F6">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 Concesi</w:t>
      </w:r>
      <w:r w:rsidR="00CF7D1A" w:rsidRPr="000672F6">
        <w:rPr>
          <w:rFonts w:ascii="ITC Avant Garde" w:eastAsia="Times New Roman" w:hAnsi="ITC Avant Garde"/>
          <w:bCs/>
          <w:kern w:val="3"/>
          <w:lang w:eastAsia="ar-SA"/>
        </w:rPr>
        <w:t>ó</w:t>
      </w:r>
      <w:r w:rsidRPr="000672F6">
        <w:rPr>
          <w:rFonts w:ascii="ITC Avant Garde" w:eastAsia="Times New Roman" w:hAnsi="ITC Avant Garde"/>
          <w:bCs/>
          <w:kern w:val="3"/>
          <w:lang w:eastAsia="ar-SA"/>
        </w:rPr>
        <w:t>n.</w:t>
      </w:r>
    </w:p>
    <w:p w:rsidR="008F4584" w:rsidRPr="000672F6" w:rsidRDefault="001647BC" w:rsidP="008F4584">
      <w:pPr>
        <w:autoSpaceDE w:val="0"/>
        <w:autoSpaceDN w:val="0"/>
        <w:adjustRightInd w:val="0"/>
        <w:spacing w:before="240" w:line="276" w:lineRule="auto"/>
        <w:jc w:val="both"/>
        <w:rPr>
          <w:rFonts w:ascii="ITC Avant Garde" w:eastAsia="Times New Roman" w:hAnsi="ITC Avant Garde"/>
          <w:bCs/>
          <w:kern w:val="1"/>
          <w:lang w:eastAsia="ar-SA"/>
        </w:rPr>
      </w:pPr>
      <w:r w:rsidRPr="000672F6">
        <w:rPr>
          <w:rFonts w:ascii="ITC Avant Garde" w:eastAsia="Times New Roman" w:hAnsi="ITC Avant Garde"/>
          <w:b/>
          <w:bCs/>
          <w:kern w:val="1"/>
          <w:lang w:eastAsia="ar-SA"/>
        </w:rPr>
        <w:t>Quinto</w:t>
      </w:r>
      <w:r w:rsidR="00173E52" w:rsidRPr="000672F6">
        <w:rPr>
          <w:rFonts w:ascii="ITC Avant Garde" w:eastAsia="Times New Roman" w:hAnsi="ITC Avant Garde"/>
          <w:b/>
          <w:bCs/>
          <w:kern w:val="1"/>
          <w:lang w:eastAsia="ar-SA"/>
        </w:rPr>
        <w:t>.- Concesiones para uso comercial.</w:t>
      </w:r>
      <w:r w:rsidR="00221A5D" w:rsidRPr="000672F6">
        <w:rPr>
          <w:rFonts w:ascii="ITC Avant Garde" w:eastAsia="Times New Roman" w:hAnsi="ITC Avant Garde"/>
          <w:b/>
          <w:bCs/>
          <w:kern w:val="1"/>
          <w:lang w:eastAsia="ar-SA"/>
        </w:rPr>
        <w:t xml:space="preserve"> </w:t>
      </w:r>
      <w:r w:rsidR="004941EB" w:rsidRPr="000672F6">
        <w:rPr>
          <w:rFonts w:ascii="ITC Avant Garde" w:eastAsia="Times New Roman" w:hAnsi="ITC Avant Garde"/>
          <w:bCs/>
          <w:kern w:val="1"/>
          <w:lang w:eastAsia="ar-SA"/>
        </w:rPr>
        <w:t xml:space="preserve">Como se precisó previamente, en el presente procedimiento de prórroga resulta aplicable la </w:t>
      </w:r>
      <w:r w:rsidR="00DA71AF" w:rsidRPr="000672F6">
        <w:rPr>
          <w:rFonts w:ascii="ITC Avant Garde" w:eastAsia="Times New Roman" w:hAnsi="ITC Avant Garde"/>
          <w:kern w:val="1"/>
          <w:lang w:eastAsia="ar-SA"/>
        </w:rPr>
        <w:t>legislación vigente al momento de la presentación de la Solicitud de Prórroga</w:t>
      </w:r>
      <w:r w:rsidR="004941EB" w:rsidRPr="000672F6">
        <w:rPr>
          <w:rFonts w:ascii="ITC Avant Garde" w:eastAsia="Times New Roman" w:hAnsi="ITC Avant Garde"/>
          <w:bCs/>
          <w:kern w:val="1"/>
          <w:lang w:eastAsia="ar-SA"/>
        </w:rPr>
        <w:t>. 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rsidR="008F4584" w:rsidRPr="000672F6" w:rsidRDefault="004941EB" w:rsidP="008F4584">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0672F6">
        <w:rPr>
          <w:rFonts w:ascii="ITC Avant Garde" w:eastAsia="Times New Roman" w:hAnsi="ITC Avant Garde"/>
          <w:bCs/>
          <w:kern w:val="1"/>
          <w:lang w:eastAsia="ar-SA"/>
        </w:rPr>
        <w:lastRenderedPageBreak/>
        <w:t>En consecuencia, atento a lo expuesto en el párrafo anterior, así como en razón de haberse satisfecho los requisitos señalados en el Considerando Tercero de la presente Resolución, procede el otorgamiento de la concesi</w:t>
      </w:r>
      <w:r w:rsidR="00B0095E" w:rsidRPr="000672F6">
        <w:rPr>
          <w:rFonts w:ascii="ITC Avant Garde" w:eastAsia="Times New Roman" w:hAnsi="ITC Avant Garde"/>
          <w:bCs/>
          <w:kern w:val="1"/>
          <w:lang w:eastAsia="ar-SA"/>
        </w:rPr>
        <w:t>ón</w:t>
      </w:r>
      <w:r w:rsidRPr="000672F6">
        <w:rPr>
          <w:rFonts w:ascii="ITC Avant Garde" w:eastAsia="Times New Roman" w:hAnsi="ITC Avant Garde"/>
          <w:bCs/>
          <w:kern w:val="1"/>
          <w:lang w:eastAsia="ar-SA"/>
        </w:rPr>
        <w:t xml:space="preserve"> sobre el espectro radioeléctrico </w:t>
      </w:r>
      <w:r w:rsidR="0049380A" w:rsidRPr="000672F6">
        <w:rPr>
          <w:rFonts w:ascii="ITC Avant Garde" w:eastAsia="Times New Roman" w:hAnsi="ITC Avant Garde"/>
          <w:bCs/>
          <w:kern w:val="1"/>
          <w:lang w:eastAsia="ar-SA"/>
        </w:rPr>
        <w:t xml:space="preserve">para </w:t>
      </w:r>
      <w:r w:rsidRPr="000672F6">
        <w:rPr>
          <w:rFonts w:ascii="ITC Avant Garde" w:eastAsia="Times New Roman" w:hAnsi="ITC Avant Garde"/>
          <w:bCs/>
          <w:kern w:val="1"/>
          <w:lang w:eastAsia="ar-SA"/>
        </w:rPr>
        <w:t xml:space="preserve">uso comercial toda vez que el uso, aprovechamiento y explotación de las bandas de frecuencias del espectro radioeléctrico es con fines de lucro, </w:t>
      </w:r>
      <w:r w:rsidRPr="000672F6">
        <w:rPr>
          <w:rFonts w:ascii="ITC Avant Garde" w:eastAsia="Times New Roman" w:hAnsi="ITC Avant Garde"/>
          <w:bCs/>
          <w:kern w:val="1"/>
          <w:lang w:val="es-ES_tradnl" w:eastAsia="ar-SA"/>
        </w:rPr>
        <w:t xml:space="preserve">en términos de lo dispuesto por el artículo 76 fracción I de la Ley. </w:t>
      </w:r>
    </w:p>
    <w:p w:rsidR="008F4584" w:rsidRPr="000672F6" w:rsidRDefault="00491844" w:rsidP="008F4584">
      <w:pPr>
        <w:suppressAutoHyphens/>
        <w:autoSpaceDN w:val="0"/>
        <w:spacing w:before="240" w:line="276" w:lineRule="auto"/>
        <w:ind w:right="-62"/>
        <w:jc w:val="both"/>
        <w:textAlignment w:val="baseline"/>
        <w:rPr>
          <w:rFonts w:ascii="ITC Avant Garde" w:eastAsia="Times New Roman" w:hAnsi="ITC Avant Garde" w:cs="Times New Roman"/>
          <w:bCs/>
          <w:color w:val="000000"/>
          <w:lang w:eastAsia="es-MX"/>
        </w:rPr>
      </w:pPr>
      <w:r w:rsidRPr="000672F6">
        <w:rPr>
          <w:rFonts w:ascii="ITC Avant Garde" w:eastAsia="Times New Roman" w:hAnsi="ITC Avant Garde" w:cs="Times New Roman"/>
          <w:bCs/>
          <w:color w:val="000000"/>
          <w:lang w:val="es-ES_tradnl" w:eastAsia="es-MX"/>
        </w:rPr>
        <w:t xml:space="preserve">Es importante señalar, que el artículo </w:t>
      </w:r>
      <w:r w:rsidRPr="000672F6">
        <w:rPr>
          <w:rFonts w:ascii="ITC Avant Garde" w:eastAsia="Times New Roman" w:hAnsi="ITC Avant Garde" w:cs="Times New Roman"/>
          <w:bCs/>
          <w:color w:val="000000"/>
          <w:lang w:eastAsia="es-MX"/>
        </w:rPr>
        <w:t>75, párrafo segundo de la Ley, establece que cuando la explotación de los servicios objeto de la concesión sobre el espectro radioeléctrico requiera de una concesión única, ésta se otorgará en el mismo acto administrativo, salvo que el concesionario ya cuente con una concesión única,</w:t>
      </w:r>
      <w:r w:rsidRPr="000672F6">
        <w:rPr>
          <w:rFonts w:ascii="ITC Avant Garde" w:eastAsia="Times New Roman" w:hAnsi="ITC Avant Garde" w:cs="Times New Roman"/>
          <w:bCs/>
          <w:kern w:val="1"/>
          <w:lang w:val="es-ES_tradnl" w:eastAsia="ar-SA"/>
        </w:rPr>
        <w:t xml:space="preserve"> </w:t>
      </w:r>
      <w:r w:rsidRPr="000672F6">
        <w:rPr>
          <w:rFonts w:ascii="ITC Avant Garde" w:eastAsia="Times New Roman" w:hAnsi="ITC Avant Garde" w:cs="Times New Roman"/>
          <w:bCs/>
          <w:color w:val="000000"/>
          <w:lang w:val="es-ES_tradnl" w:eastAsia="es-MX"/>
        </w:rPr>
        <w:t xml:space="preserve">en cuyo caso </w:t>
      </w:r>
      <w:r w:rsidRPr="000672F6">
        <w:rPr>
          <w:rFonts w:ascii="ITC Avant Garde" w:eastAsia="Times New Roman" w:hAnsi="ITC Avant Garde" w:cs="Times New Roman"/>
          <w:bCs/>
          <w:color w:val="000000"/>
          <w:lang w:eastAsia="es-MX"/>
        </w:rPr>
        <w:t>no será necesario otorgar una adicional.</w:t>
      </w:r>
    </w:p>
    <w:p w:rsidR="008F4584" w:rsidRPr="000672F6" w:rsidRDefault="00491844" w:rsidP="008F4584">
      <w:pPr>
        <w:suppressAutoHyphens/>
        <w:autoSpaceDN w:val="0"/>
        <w:spacing w:before="240" w:line="276" w:lineRule="auto"/>
        <w:ind w:right="-62"/>
        <w:jc w:val="both"/>
        <w:textAlignment w:val="baseline"/>
        <w:rPr>
          <w:rFonts w:ascii="ITC Avant Garde" w:eastAsia="Times New Roman" w:hAnsi="ITC Avant Garde" w:cs="Times New Roman"/>
          <w:bCs/>
          <w:color w:val="000000"/>
          <w:lang w:eastAsia="es-MX"/>
        </w:rPr>
      </w:pPr>
      <w:r w:rsidRPr="000672F6">
        <w:rPr>
          <w:rFonts w:ascii="ITC Avant Garde" w:eastAsia="Times New Roman" w:hAnsi="ITC Avant Garde" w:cs="Times New Roman"/>
          <w:bCs/>
          <w:color w:val="000000"/>
          <w:lang w:eastAsia="es-MX"/>
        </w:rPr>
        <w:t xml:space="preserve">Por lo anterior, debe señalarse que el Pleno del Instituto resolvió previamente otorgar una Concesión Única </w:t>
      </w:r>
      <w:r w:rsidR="00CF7D1A" w:rsidRPr="000672F6">
        <w:rPr>
          <w:rFonts w:ascii="ITC Avant Garde" w:eastAsia="Times New Roman" w:hAnsi="ITC Avant Garde" w:cs="Times New Roman"/>
          <w:bCs/>
          <w:color w:val="000000"/>
          <w:lang w:eastAsia="es-MX"/>
        </w:rPr>
        <w:t xml:space="preserve">para </w:t>
      </w:r>
      <w:r w:rsidRPr="000672F6">
        <w:rPr>
          <w:rFonts w:ascii="ITC Avant Garde" w:eastAsia="Times New Roman" w:hAnsi="ITC Avant Garde" w:cs="Times New Roman"/>
          <w:bCs/>
          <w:color w:val="000000"/>
          <w:lang w:eastAsia="es-MX"/>
        </w:rPr>
        <w:t>uso comercial a favor del Concesionario, razón por la cual se exceptúa en este acto de la entrega de dicho título.</w:t>
      </w:r>
    </w:p>
    <w:p w:rsidR="008F4584" w:rsidRPr="000672F6" w:rsidRDefault="00491844" w:rsidP="008F4584">
      <w:pPr>
        <w:suppressAutoHyphens/>
        <w:autoSpaceDN w:val="0"/>
        <w:spacing w:before="240" w:line="276" w:lineRule="auto"/>
        <w:ind w:right="-62"/>
        <w:jc w:val="both"/>
        <w:textAlignment w:val="baseline"/>
        <w:rPr>
          <w:rFonts w:ascii="ITC Avant Garde" w:eastAsia="Times New Roman" w:hAnsi="ITC Avant Garde" w:cs="Times New Roman"/>
          <w:bCs/>
          <w:kern w:val="3"/>
          <w:lang w:val="es-ES" w:eastAsia="ar-SA"/>
        </w:rPr>
      </w:pPr>
      <w:r w:rsidRPr="000672F6">
        <w:rPr>
          <w:rFonts w:ascii="ITC Avant Garde" w:eastAsia="Times New Roman" w:hAnsi="ITC Avant Garde" w:cs="Times New Roman"/>
          <w:bCs/>
          <w:color w:val="000000"/>
          <w:lang w:eastAsia="es-MX"/>
        </w:rPr>
        <w:t xml:space="preserve">El </w:t>
      </w:r>
      <w:r w:rsidRPr="000672F6">
        <w:rPr>
          <w:rFonts w:ascii="ITC Avant Garde" w:eastAsia="Times New Roman" w:hAnsi="ITC Avant Garde" w:cs="Times New Roman"/>
          <w:b/>
          <w:bCs/>
          <w:color w:val="000000"/>
          <w:lang w:eastAsia="es-MX"/>
        </w:rPr>
        <w:t xml:space="preserve">Anexo Único </w:t>
      </w:r>
      <w:r w:rsidRPr="000672F6">
        <w:rPr>
          <w:rFonts w:ascii="ITC Avant Garde" w:eastAsia="Times New Roman" w:hAnsi="ITC Avant Garde" w:cs="Times New Roman"/>
          <w:bCs/>
          <w:color w:val="000000"/>
          <w:lang w:eastAsia="es-MX"/>
        </w:rPr>
        <w:t>de la presente Resolución contiene el modelo de título de concesión de bandas de frecuencias del espectro radioeléctrico a que se refiere el párrafo anterior, el cual establece los términos y condiciones a que estará sujeto el Concesionario.</w:t>
      </w:r>
    </w:p>
    <w:p w:rsidR="008F4584" w:rsidRPr="000672F6" w:rsidRDefault="001647BC" w:rsidP="008F4584">
      <w:pPr>
        <w:autoSpaceDE w:val="0"/>
        <w:adjustRightInd w:val="0"/>
        <w:spacing w:before="240" w:line="276" w:lineRule="auto"/>
        <w:jc w:val="both"/>
        <w:rPr>
          <w:rFonts w:ascii="ITC Avant Garde" w:eastAsia="Times New Roman" w:hAnsi="ITC Avant Garde"/>
          <w:bCs/>
          <w:kern w:val="1"/>
          <w:lang w:eastAsia="ar-SA"/>
        </w:rPr>
      </w:pPr>
      <w:r w:rsidRPr="000672F6">
        <w:rPr>
          <w:rFonts w:ascii="ITC Avant Garde" w:eastAsia="Times New Roman" w:hAnsi="ITC Avant Garde" w:cs="Times New Roman"/>
          <w:b/>
          <w:bCs/>
          <w:kern w:val="3"/>
          <w:lang w:val="es-ES" w:eastAsia="ar-SA"/>
        </w:rPr>
        <w:t>S</w:t>
      </w:r>
      <w:r w:rsidR="008854D8" w:rsidRPr="000672F6">
        <w:rPr>
          <w:rFonts w:ascii="ITC Avant Garde" w:eastAsia="Times New Roman" w:hAnsi="ITC Avant Garde" w:cs="Times New Roman"/>
          <w:b/>
          <w:bCs/>
          <w:kern w:val="3"/>
          <w:lang w:val="es-ES" w:eastAsia="ar-SA"/>
        </w:rPr>
        <w:t>exto</w:t>
      </w:r>
      <w:r w:rsidR="00EF5DC3" w:rsidRPr="000672F6">
        <w:rPr>
          <w:rFonts w:ascii="ITC Avant Garde" w:eastAsia="Times New Roman" w:hAnsi="ITC Avant Garde" w:cs="Times New Roman"/>
          <w:b/>
          <w:bCs/>
          <w:kern w:val="3"/>
          <w:lang w:val="es-ES" w:eastAsia="ar-SA"/>
        </w:rPr>
        <w:t>.</w:t>
      </w:r>
      <w:r w:rsidR="00EF5DC3" w:rsidRPr="000672F6">
        <w:rPr>
          <w:rFonts w:ascii="ITC Avant Garde" w:eastAsia="Times New Roman" w:hAnsi="ITC Avant Garde" w:cs="Times New Roman"/>
          <w:bCs/>
          <w:kern w:val="3"/>
          <w:lang w:val="es-ES" w:eastAsia="ar-SA"/>
        </w:rPr>
        <w:t xml:space="preserve">- </w:t>
      </w:r>
      <w:r w:rsidR="00173E52" w:rsidRPr="000672F6">
        <w:rPr>
          <w:rFonts w:ascii="ITC Avant Garde" w:eastAsia="Times New Roman" w:hAnsi="ITC Avant Garde"/>
          <w:b/>
          <w:bCs/>
          <w:kern w:val="1"/>
          <w:lang w:val="es-ES" w:eastAsia="ar-SA"/>
        </w:rPr>
        <w:t>Vigencia de las concesiones para uso comercial.</w:t>
      </w:r>
      <w:r w:rsidR="007B63A0" w:rsidRPr="000672F6">
        <w:rPr>
          <w:rFonts w:ascii="ITC Avant Garde" w:eastAsia="Times New Roman" w:hAnsi="ITC Avant Garde"/>
          <w:b/>
          <w:bCs/>
          <w:kern w:val="1"/>
          <w:lang w:val="es-ES" w:eastAsia="ar-SA"/>
        </w:rPr>
        <w:t xml:space="preserve"> </w:t>
      </w:r>
      <w:r w:rsidR="00491844" w:rsidRPr="000672F6">
        <w:rPr>
          <w:rFonts w:ascii="ITC Avant Garde" w:eastAsia="Times New Roman" w:hAnsi="ITC Avant Garde"/>
          <w:bCs/>
          <w:kern w:val="1"/>
          <w:lang w:eastAsia="ar-SA"/>
        </w:rPr>
        <w:t>En términos de lo dispuesto por el artículo 75 de la Ley, la vigencia de la concesión sobre el espectro radioeléctrico para uso comercial, serán hasta por 20 (veinte) años, contados a partir del día siguiente a la fecha de vencimiento del título de refrendo de concesión señalado en el Antecedente I de la presente Resolución.</w:t>
      </w:r>
    </w:p>
    <w:p w:rsidR="008F4584" w:rsidRPr="000672F6" w:rsidRDefault="00491844" w:rsidP="008F4584">
      <w:pPr>
        <w:autoSpaceDE w:val="0"/>
        <w:autoSpaceDN w:val="0"/>
        <w:adjustRightInd w:val="0"/>
        <w:spacing w:before="240" w:line="276" w:lineRule="auto"/>
        <w:jc w:val="both"/>
        <w:rPr>
          <w:rFonts w:ascii="ITC Avant Garde" w:hAnsi="ITC Avant Garde"/>
          <w:bCs/>
        </w:rPr>
      </w:pPr>
      <w:r w:rsidRPr="000672F6">
        <w:rPr>
          <w:rFonts w:ascii="ITC Avant Garde" w:hAnsi="ITC Avant Garde"/>
          <w:bCs/>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concesión a otorgar.</w:t>
      </w:r>
    </w:p>
    <w:p w:rsidR="008F4584" w:rsidRPr="000672F6" w:rsidRDefault="00491844" w:rsidP="008F4584">
      <w:pPr>
        <w:tabs>
          <w:tab w:val="left" w:pos="0"/>
        </w:tabs>
        <w:autoSpaceDE w:val="0"/>
        <w:autoSpaceDN w:val="0"/>
        <w:adjustRightInd w:val="0"/>
        <w:spacing w:before="240" w:line="276" w:lineRule="auto"/>
        <w:jc w:val="both"/>
        <w:rPr>
          <w:rFonts w:ascii="ITC Avant Garde" w:eastAsia="Calibri" w:hAnsi="ITC Avant Garde" w:cs="Times New Roman"/>
        </w:rPr>
      </w:pPr>
      <w:r w:rsidRPr="000672F6">
        <w:rPr>
          <w:rFonts w:ascii="ITC Avant Garde" w:eastAsia="Calibri" w:hAnsi="ITC Avant Garde" w:cs="Times New Roman"/>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 concesión cuyo otorgamiento se resuelve en virtud de la presente Resolución.</w:t>
      </w:r>
    </w:p>
    <w:p w:rsidR="008F4584" w:rsidRPr="000672F6" w:rsidRDefault="005B463B" w:rsidP="008F4584">
      <w:pPr>
        <w:suppressAutoHyphens/>
        <w:spacing w:before="240" w:line="276" w:lineRule="auto"/>
        <w:ind w:right="-62"/>
        <w:jc w:val="both"/>
        <w:rPr>
          <w:rFonts w:ascii="ITC Avant Garde" w:eastAsia="Times New Roman" w:hAnsi="ITC Avant Garde"/>
          <w:kern w:val="1"/>
          <w:lang w:val="es-ES_tradnl" w:eastAsia="ar-SA"/>
        </w:rPr>
      </w:pPr>
      <w:r w:rsidRPr="000672F6">
        <w:rPr>
          <w:rFonts w:ascii="ITC Avant Garde" w:eastAsia="Times New Roman" w:hAnsi="ITC Avant Garde"/>
          <w:b/>
          <w:bCs/>
          <w:kern w:val="1"/>
          <w:lang w:val="es-ES" w:eastAsia="ar-SA"/>
        </w:rPr>
        <w:t>Sé</w:t>
      </w:r>
      <w:r w:rsidR="007955CF" w:rsidRPr="000672F6">
        <w:rPr>
          <w:rFonts w:ascii="ITC Avant Garde" w:eastAsia="Times New Roman" w:hAnsi="ITC Avant Garde"/>
          <w:b/>
          <w:bCs/>
          <w:kern w:val="1"/>
          <w:lang w:val="es-ES" w:eastAsia="ar-SA"/>
        </w:rPr>
        <w:t>ptimo</w:t>
      </w:r>
      <w:r w:rsidR="00173E52" w:rsidRPr="000672F6">
        <w:rPr>
          <w:rFonts w:ascii="ITC Avant Garde" w:eastAsia="Times New Roman" w:hAnsi="ITC Avant Garde"/>
          <w:b/>
          <w:bCs/>
          <w:kern w:val="1"/>
          <w:lang w:val="es-ES" w:eastAsia="ar-SA"/>
        </w:rPr>
        <w:t>.</w:t>
      </w:r>
      <w:r w:rsidR="00173E52" w:rsidRPr="000672F6">
        <w:rPr>
          <w:rFonts w:ascii="ITC Avant Garde" w:eastAsia="Times New Roman" w:hAnsi="ITC Avant Garde"/>
          <w:bCs/>
          <w:kern w:val="1"/>
          <w:lang w:val="es-ES" w:eastAsia="ar-SA"/>
        </w:rPr>
        <w:t xml:space="preserve">- </w:t>
      </w:r>
      <w:r w:rsidR="00173E52" w:rsidRPr="000672F6">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4941EB" w:rsidRPr="000672F6">
        <w:rPr>
          <w:rFonts w:ascii="ITC Avant Garde" w:eastAsia="Times New Roman" w:hAnsi="ITC Avant Garde"/>
          <w:kern w:val="1"/>
          <w:lang w:val="es-ES_tradnl" w:eastAsia="ar-SA"/>
        </w:rPr>
        <w:t>L</w:t>
      </w:r>
      <w:r w:rsidR="004941EB" w:rsidRPr="000672F6">
        <w:rPr>
          <w:rFonts w:ascii="ITC Avant Garde" w:eastAsia="Times New Roman" w:hAnsi="ITC Avant Garde"/>
          <w:kern w:val="1"/>
          <w:lang w:val="es-ES" w:eastAsia="ar-SA"/>
        </w:rPr>
        <w:t xml:space="preserve">a banda de frecuencias del espectro radioeléctrico objeto de las Concesiones, en términos de los </w:t>
      </w:r>
      <w:r w:rsidR="004941EB" w:rsidRPr="000672F6">
        <w:rPr>
          <w:rFonts w:ascii="ITC Avant Garde" w:eastAsia="Times New Roman" w:hAnsi="ITC Avant Garde"/>
          <w:kern w:val="1"/>
          <w:lang w:val="es-ES_tradnl" w:eastAsia="ar-SA"/>
        </w:rPr>
        <w:t xml:space="preserve">párrafos cuarto y sexto del artículo 27 de la </w:t>
      </w:r>
      <w:r w:rsidR="004941EB" w:rsidRPr="000672F6">
        <w:rPr>
          <w:rFonts w:ascii="ITC Avant Garde" w:eastAsia="Times New Roman" w:hAnsi="ITC Avant Garde"/>
          <w:kern w:val="1"/>
          <w:lang w:val="es-ES_tradnl" w:eastAsia="ar-SA"/>
        </w:rPr>
        <w:lastRenderedPageBreak/>
        <w:t>Constitución,</w:t>
      </w:r>
      <w:r w:rsidR="004941EB" w:rsidRPr="000672F6">
        <w:rPr>
          <w:rFonts w:ascii="ITC Avant Garde" w:eastAsia="Times New Roman" w:hAnsi="ITC Avant Garde"/>
          <w:kern w:val="1"/>
          <w:lang w:val="es-ES" w:eastAsia="ar-SA"/>
        </w:rPr>
        <w:t xml:space="preserve"> constituye </w:t>
      </w:r>
      <w:r w:rsidR="004941EB" w:rsidRPr="000672F6">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p>
    <w:p w:rsidR="008F4584" w:rsidRPr="000672F6" w:rsidRDefault="00173E52" w:rsidP="008F4584">
      <w:pPr>
        <w:suppressAutoHyphens/>
        <w:spacing w:before="240" w:line="276" w:lineRule="auto"/>
        <w:ind w:right="-62"/>
        <w:jc w:val="both"/>
        <w:rPr>
          <w:rFonts w:ascii="ITC Avant Garde" w:eastAsia="Times New Roman" w:hAnsi="ITC Avant Garde"/>
          <w:kern w:val="1"/>
          <w:lang w:val="es-ES_tradnl" w:eastAsia="ar-SA"/>
        </w:rPr>
      </w:pPr>
      <w:r w:rsidRPr="000672F6">
        <w:rPr>
          <w:rFonts w:ascii="ITC Avant Garde" w:eastAsia="Times New Roman" w:hAnsi="ITC Avant Garde"/>
          <w:kern w:val="1"/>
          <w:lang w:val="es-ES_tradnl" w:eastAsia="ar-SA"/>
        </w:rPr>
        <w:t xml:space="preserve">El espacio aéreo </w:t>
      </w:r>
      <w:r w:rsidRPr="000672F6">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0672F6">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8F4584" w:rsidRPr="000672F6" w:rsidRDefault="00173E52" w:rsidP="008F4584">
      <w:pPr>
        <w:suppressAutoHyphens/>
        <w:spacing w:before="240" w:line="276" w:lineRule="auto"/>
        <w:ind w:left="567" w:right="425"/>
        <w:jc w:val="both"/>
        <w:rPr>
          <w:rFonts w:ascii="ITC Avant Garde" w:eastAsia="Times New Roman" w:hAnsi="ITC Avant Garde"/>
          <w:kern w:val="1"/>
          <w:sz w:val="18"/>
          <w:szCs w:val="18"/>
          <w:lang w:eastAsia="ar-SA"/>
        </w:rPr>
      </w:pPr>
      <w:r w:rsidRPr="000672F6">
        <w:rPr>
          <w:rFonts w:ascii="ITC Avant Garde" w:eastAsia="Times New Roman" w:hAnsi="ITC Avant Garde"/>
          <w:b/>
          <w:bCs/>
          <w:kern w:val="1"/>
          <w:sz w:val="18"/>
          <w:szCs w:val="18"/>
          <w:lang w:eastAsia="ar-SA"/>
        </w:rPr>
        <w:t xml:space="preserve">“Artículo 134. </w:t>
      </w:r>
      <w:r w:rsidRPr="000672F6">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0672F6">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rsidR="008F4584" w:rsidRPr="000672F6" w:rsidRDefault="00173E52" w:rsidP="008F4584">
      <w:pPr>
        <w:suppressAutoHyphens/>
        <w:spacing w:before="240" w:line="276" w:lineRule="auto"/>
        <w:ind w:left="567" w:right="425"/>
        <w:jc w:val="both"/>
        <w:rPr>
          <w:rFonts w:ascii="ITC Avant Garde" w:eastAsia="Times New Roman" w:hAnsi="ITC Avant Garde"/>
          <w:iCs/>
          <w:kern w:val="1"/>
          <w:sz w:val="18"/>
          <w:szCs w:val="18"/>
          <w:lang w:eastAsia="ar-SA"/>
        </w:rPr>
      </w:pPr>
      <w:r w:rsidRPr="000672F6">
        <w:rPr>
          <w:rFonts w:ascii="ITC Avant Garde" w:eastAsia="Times New Roman" w:hAnsi="ITC Avant Garde"/>
          <w:iCs/>
          <w:kern w:val="1"/>
          <w:sz w:val="18"/>
          <w:szCs w:val="18"/>
          <w:lang w:eastAsia="ar-SA"/>
        </w:rPr>
        <w:t>…</w:t>
      </w:r>
    </w:p>
    <w:p w:rsidR="008F4584" w:rsidRPr="000672F6" w:rsidRDefault="00173E52" w:rsidP="008F4584">
      <w:pPr>
        <w:suppressAutoHyphens/>
        <w:spacing w:before="240" w:line="276" w:lineRule="auto"/>
        <w:ind w:left="567" w:right="425"/>
        <w:jc w:val="both"/>
        <w:rPr>
          <w:rFonts w:ascii="ITC Avant Garde" w:eastAsia="Times New Roman" w:hAnsi="ITC Avant Garde"/>
          <w:iCs/>
          <w:kern w:val="1"/>
          <w:sz w:val="18"/>
          <w:szCs w:val="18"/>
          <w:lang w:eastAsia="ar-SA"/>
        </w:rPr>
      </w:pPr>
      <w:r w:rsidRPr="000672F6">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8F4584" w:rsidRPr="000672F6" w:rsidRDefault="00173E52" w:rsidP="008F4584">
      <w:pPr>
        <w:suppressAutoHyphens/>
        <w:spacing w:before="240" w:line="276" w:lineRule="auto"/>
        <w:ind w:left="567" w:right="425"/>
        <w:jc w:val="both"/>
        <w:rPr>
          <w:rFonts w:ascii="ITC Avant Garde" w:eastAsia="Times New Roman" w:hAnsi="ITC Avant Garde"/>
          <w:iCs/>
          <w:kern w:val="1"/>
          <w:sz w:val="18"/>
          <w:szCs w:val="18"/>
          <w:lang w:eastAsia="ar-SA"/>
        </w:rPr>
      </w:pPr>
      <w:r w:rsidRPr="000672F6">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0672F6">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8F4584" w:rsidRPr="000672F6" w:rsidRDefault="00173E52" w:rsidP="008F4584">
      <w:pPr>
        <w:suppressAutoHyphens/>
        <w:spacing w:before="240" w:line="276" w:lineRule="auto"/>
        <w:ind w:left="567" w:right="425"/>
        <w:jc w:val="both"/>
        <w:rPr>
          <w:rFonts w:ascii="ITC Avant Garde" w:eastAsia="Times New Roman" w:hAnsi="ITC Avant Garde"/>
          <w:kern w:val="1"/>
          <w:sz w:val="18"/>
          <w:szCs w:val="18"/>
          <w:lang w:eastAsia="ar-SA"/>
        </w:rPr>
      </w:pPr>
      <w:r w:rsidRPr="000672F6">
        <w:rPr>
          <w:rFonts w:ascii="ITC Avant Garde" w:eastAsia="Times New Roman" w:hAnsi="ITC Avant Garde"/>
          <w:iCs/>
          <w:kern w:val="1"/>
          <w:sz w:val="18"/>
          <w:szCs w:val="18"/>
          <w:lang w:eastAsia="ar-SA"/>
        </w:rPr>
        <w:t>...”</w:t>
      </w:r>
    </w:p>
    <w:p w:rsidR="008F4584" w:rsidRPr="000672F6" w:rsidRDefault="00173E52" w:rsidP="008F4584">
      <w:pPr>
        <w:suppressAutoHyphens/>
        <w:spacing w:before="240" w:line="276" w:lineRule="auto"/>
        <w:ind w:right="-62"/>
        <w:jc w:val="both"/>
        <w:rPr>
          <w:rFonts w:ascii="ITC Avant Garde" w:eastAsia="Times New Roman" w:hAnsi="ITC Avant Garde"/>
          <w:kern w:val="1"/>
          <w:lang w:val="es-ES_tradnl" w:eastAsia="ar-SA"/>
        </w:rPr>
      </w:pPr>
      <w:r w:rsidRPr="000672F6">
        <w:rPr>
          <w:rFonts w:ascii="ITC Avant Garde" w:eastAsia="Times New Roman" w:hAnsi="ITC Avant Garde"/>
          <w:kern w:val="1"/>
          <w:lang w:val="es-ES_tradnl" w:eastAsia="ar-SA"/>
        </w:rPr>
        <w:t>En ese sentido, es importante señalar que</w:t>
      </w:r>
      <w:r w:rsidRPr="000672F6">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rsidR="008F4584" w:rsidRPr="000672F6" w:rsidRDefault="00173E52" w:rsidP="008F4584">
      <w:pPr>
        <w:suppressAutoHyphens/>
        <w:spacing w:before="240" w:line="276" w:lineRule="auto"/>
        <w:ind w:right="-62"/>
        <w:jc w:val="both"/>
        <w:rPr>
          <w:rFonts w:ascii="ITC Avant Garde" w:eastAsia="Times New Roman" w:hAnsi="ITC Avant Garde"/>
          <w:kern w:val="1"/>
          <w:sz w:val="18"/>
          <w:szCs w:val="18"/>
          <w:lang w:val="es-ES_tradnl" w:eastAsia="ar-SA"/>
        </w:rPr>
      </w:pPr>
      <w:r w:rsidRPr="000672F6">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w:t>
      </w:r>
      <w:r w:rsidR="005A0946" w:rsidRPr="000672F6">
        <w:rPr>
          <w:rFonts w:ascii="ITC Avant Garde" w:eastAsia="Times New Roman" w:hAnsi="ITC Avant Garde"/>
          <w:kern w:val="1"/>
          <w:lang w:val="es-ES_tradnl" w:eastAsia="ar-SA"/>
        </w:rPr>
        <w:t xml:space="preserve">los </w:t>
      </w:r>
      <w:r w:rsidRPr="000672F6">
        <w:rPr>
          <w:rFonts w:ascii="ITC Avant Garde" w:eastAsia="Times New Roman" w:hAnsi="ITC Avant Garde"/>
          <w:kern w:val="1"/>
          <w:lang w:val="es-ES_tradnl" w:eastAsia="ar-SA"/>
        </w:rPr>
        <w:t>artículo</w:t>
      </w:r>
      <w:r w:rsidR="005A0946" w:rsidRPr="000672F6">
        <w:rPr>
          <w:rFonts w:ascii="ITC Avant Garde" w:eastAsia="Times New Roman" w:hAnsi="ITC Avant Garde"/>
          <w:kern w:val="1"/>
          <w:lang w:val="es-ES_tradnl" w:eastAsia="ar-SA"/>
        </w:rPr>
        <w:t>s</w:t>
      </w:r>
      <w:r w:rsidRPr="000672F6">
        <w:rPr>
          <w:rFonts w:ascii="ITC Avant Garde" w:eastAsia="Times New Roman" w:hAnsi="ITC Avant Garde"/>
          <w:kern w:val="1"/>
          <w:lang w:val="es-ES_tradnl" w:eastAsia="ar-SA"/>
        </w:rPr>
        <w:t xml:space="preserve"> </w:t>
      </w:r>
      <w:r w:rsidR="005A0946" w:rsidRPr="000672F6">
        <w:rPr>
          <w:rFonts w:ascii="ITC Avant Garde" w:eastAsia="Times New Roman" w:hAnsi="ITC Avant Garde"/>
          <w:kern w:val="1"/>
          <w:lang w:val="es-ES_tradnl" w:eastAsia="ar-SA"/>
        </w:rPr>
        <w:t>28 párrafo décimo séptimo de la Constitución y 114 de la Ley.</w:t>
      </w:r>
    </w:p>
    <w:p w:rsidR="008F4584" w:rsidRPr="000672F6" w:rsidRDefault="00173E52" w:rsidP="008F4584">
      <w:pPr>
        <w:suppressAutoHyphens/>
        <w:spacing w:before="240" w:line="276" w:lineRule="auto"/>
        <w:ind w:right="-62"/>
        <w:jc w:val="both"/>
        <w:rPr>
          <w:rFonts w:ascii="ITC Avant Garde" w:eastAsia="Times New Roman" w:hAnsi="ITC Avant Garde"/>
          <w:b/>
          <w:kern w:val="1"/>
          <w:lang w:val="es-ES" w:eastAsia="ar-SA"/>
        </w:rPr>
      </w:pPr>
      <w:r w:rsidRPr="000672F6">
        <w:rPr>
          <w:rFonts w:ascii="ITC Avant Garde" w:eastAsia="Times New Roman" w:hAnsi="ITC Avant Garde"/>
          <w:kern w:val="1"/>
          <w:lang w:val="es-ES_tradnl" w:eastAsia="ar-SA"/>
        </w:rPr>
        <w:lastRenderedPageBreak/>
        <w:t xml:space="preserve">Derivado de lo anterior, </w:t>
      </w:r>
      <w:r w:rsidRPr="000672F6">
        <w:rPr>
          <w:rFonts w:ascii="ITC Avant Garde" w:eastAsia="Times New Roman" w:hAnsi="ITC Avant Garde"/>
          <w:kern w:val="1"/>
          <w:lang w:eastAsia="ar-SA"/>
        </w:rPr>
        <w:t>es necesario identificar el alcance de dicho</w:t>
      </w:r>
      <w:r w:rsidR="005A0946" w:rsidRPr="000672F6">
        <w:rPr>
          <w:rFonts w:ascii="ITC Avant Garde" w:eastAsia="Times New Roman" w:hAnsi="ITC Avant Garde"/>
          <w:kern w:val="1"/>
          <w:lang w:eastAsia="ar-SA"/>
        </w:rPr>
        <w:t>s</w:t>
      </w:r>
      <w:r w:rsidRPr="000672F6">
        <w:rPr>
          <w:rFonts w:ascii="ITC Avant Garde" w:eastAsia="Times New Roman" w:hAnsi="ITC Avant Garde"/>
          <w:kern w:val="1"/>
          <w:lang w:eastAsia="ar-SA"/>
        </w:rPr>
        <w:t xml:space="preserve"> precepto</w:t>
      </w:r>
      <w:r w:rsidR="005A0946" w:rsidRPr="000672F6">
        <w:rPr>
          <w:rFonts w:ascii="ITC Avant Garde" w:eastAsia="Times New Roman" w:hAnsi="ITC Avant Garde"/>
          <w:kern w:val="1"/>
          <w:lang w:eastAsia="ar-SA"/>
        </w:rPr>
        <w:t>s</w:t>
      </w:r>
      <w:r w:rsidRPr="000672F6">
        <w:rPr>
          <w:rFonts w:ascii="ITC Avant Garde" w:eastAsia="Times New Roman" w:hAnsi="ITC Avant Garde"/>
          <w:kern w:val="1"/>
          <w:lang w:eastAsia="ar-SA"/>
        </w:rPr>
        <w:t xml:space="preserve"> en relación con el pago de una contraprestación a favor del Estado. </w:t>
      </w:r>
    </w:p>
    <w:p w:rsidR="008F4584" w:rsidRPr="000672F6" w:rsidRDefault="00173E52" w:rsidP="008F4584">
      <w:pPr>
        <w:suppressAutoHyphens/>
        <w:spacing w:before="240" w:line="276" w:lineRule="auto"/>
        <w:ind w:right="-62"/>
        <w:jc w:val="both"/>
        <w:rPr>
          <w:rFonts w:ascii="ITC Avant Garde" w:eastAsia="Times New Roman" w:hAnsi="ITC Avant Garde"/>
          <w:kern w:val="1"/>
          <w:lang w:eastAsia="ar-SA"/>
        </w:rPr>
      </w:pPr>
      <w:r w:rsidRPr="000672F6">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0672F6">
        <w:rPr>
          <w:rFonts w:ascii="ITC Avant Garde" w:eastAsia="Times New Roman" w:hAnsi="ITC Avant Garde"/>
          <w:b/>
          <w:kern w:val="1"/>
          <w:lang w:eastAsia="ar-SA"/>
        </w:rPr>
        <w:t>otorgar</w:t>
      </w:r>
      <w:r w:rsidRPr="000672F6">
        <w:rPr>
          <w:rFonts w:ascii="ITC Avant Garde" w:eastAsia="Times New Roman" w:hAnsi="ITC Avant Garde"/>
          <w:kern w:val="1"/>
          <w:lang w:eastAsia="ar-SA"/>
        </w:rPr>
        <w:t>, definido éste como “consentir, condescender o conceder algo que se pide o se pregunta”</w:t>
      </w:r>
      <w:r w:rsidRPr="000672F6">
        <w:rPr>
          <w:rStyle w:val="Refdenotaalpie"/>
          <w:rFonts w:ascii="ITC Avant Garde" w:eastAsia="Times New Roman" w:hAnsi="ITC Avant Garde"/>
          <w:kern w:val="1"/>
          <w:lang w:eastAsia="ar-SA"/>
        </w:rPr>
        <w:footnoteReference w:id="1"/>
      </w:r>
      <w:r w:rsidRPr="000672F6">
        <w:rPr>
          <w:rFonts w:ascii="ITC Avant Garde" w:eastAsia="Times New Roman" w:hAnsi="ITC Avant Garde"/>
          <w:kern w:val="1"/>
          <w:lang w:eastAsia="ar-SA"/>
        </w:rPr>
        <w:t>.</w:t>
      </w:r>
    </w:p>
    <w:p w:rsidR="008F4584" w:rsidRPr="000672F6" w:rsidRDefault="00173E52" w:rsidP="008F4584">
      <w:pPr>
        <w:spacing w:before="240" w:line="276" w:lineRule="auto"/>
        <w:jc w:val="both"/>
        <w:rPr>
          <w:rFonts w:ascii="ITC Avant Garde" w:hAnsi="ITC Avant Garde"/>
        </w:rPr>
      </w:pPr>
      <w:r w:rsidRPr="000672F6">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rsidR="008F4584" w:rsidRPr="000672F6" w:rsidRDefault="00173E52" w:rsidP="008F4584">
      <w:pPr>
        <w:suppressAutoHyphens/>
        <w:spacing w:before="240" w:line="276" w:lineRule="auto"/>
        <w:ind w:right="-62"/>
        <w:jc w:val="both"/>
        <w:rPr>
          <w:rFonts w:ascii="ITC Avant Garde" w:eastAsia="Times New Roman" w:hAnsi="ITC Avant Garde"/>
          <w:kern w:val="1"/>
          <w:lang w:val="es-ES_tradnl" w:eastAsia="ar-SA"/>
        </w:rPr>
      </w:pPr>
      <w:r w:rsidRPr="000672F6">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0672F6">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0672F6">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rsidR="008F4584" w:rsidRPr="000672F6" w:rsidRDefault="00173E52" w:rsidP="008F4584">
      <w:pPr>
        <w:suppressAutoHyphens/>
        <w:spacing w:before="240" w:line="276" w:lineRule="auto"/>
        <w:ind w:right="-62"/>
        <w:jc w:val="both"/>
        <w:rPr>
          <w:rFonts w:ascii="ITC Avant Garde" w:hAnsi="ITC Avant Garde"/>
          <w:kern w:val="1"/>
          <w:lang w:eastAsia="ar-SA"/>
        </w:rPr>
      </w:pPr>
      <w:r w:rsidRPr="000672F6">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w:t>
      </w:r>
      <w:r w:rsidR="005A0946" w:rsidRPr="000672F6">
        <w:rPr>
          <w:rFonts w:ascii="ITC Avant Garde" w:hAnsi="ITC Avant Garde"/>
          <w:kern w:val="1"/>
          <w:lang w:val="es-ES_tradnl" w:eastAsia="ar-SA"/>
        </w:rPr>
        <w:t>114 de la Ley</w:t>
      </w:r>
      <w:r w:rsidRPr="000672F6">
        <w:rPr>
          <w:rFonts w:ascii="ITC Avant Garde" w:hAnsi="ITC Avant Garde"/>
          <w:kern w:val="1"/>
          <w:lang w:val="es-ES_tradnl" w:eastAsia="ar-SA"/>
        </w:rPr>
        <w:t xml:space="preserve">, toda vez que como se indicó en el Considerando Segundo de la presente Resolución, la atención y análisis de las Solicitudes de Prórroga de las concesiones originarias se realizó de conformidad con las </w:t>
      </w:r>
      <w:r w:rsidRPr="000672F6">
        <w:rPr>
          <w:rFonts w:ascii="ITC Avant Garde" w:eastAsia="Times New Roman" w:hAnsi="ITC Avant Garde"/>
          <w:kern w:val="1"/>
          <w:lang w:eastAsia="ar-SA"/>
        </w:rPr>
        <w:t>disposiciones legales y administrativas aplicables al momento de la presentación de las mismas.</w:t>
      </w:r>
    </w:p>
    <w:p w:rsidR="008F4584" w:rsidRPr="000672F6" w:rsidRDefault="00491844" w:rsidP="008F4584">
      <w:pPr>
        <w:spacing w:before="240" w:line="276" w:lineRule="auto"/>
        <w:jc w:val="both"/>
        <w:rPr>
          <w:rFonts w:ascii="ITC Avant Garde" w:hAnsi="ITC Avant Garde"/>
          <w:lang w:val="es-ES" w:eastAsia="ar-SA"/>
        </w:rPr>
      </w:pPr>
      <w:r w:rsidRPr="000672F6">
        <w:rPr>
          <w:rFonts w:ascii="ITC Avant Garde" w:hAnsi="ITC Avant Garde"/>
          <w:lang w:eastAsia="ar-SA"/>
        </w:rPr>
        <w:t xml:space="preserve">En consecuencia, en ejercicio de las atribuciones establecidas el artículo 29 fracción VII del Estatuto Orgánico, la Unidad de Espectro Radioeléctrico del Instituto solicitó a la SHCP la opinión de los aprovechamientos correspondientes a las prórrogas </w:t>
      </w:r>
      <w:r w:rsidRPr="000672F6">
        <w:rPr>
          <w:rFonts w:ascii="ITC Avant Garde" w:hAnsi="ITC Avant Garde"/>
          <w:lang w:val="es-ES" w:eastAsia="ar-SA"/>
        </w:rPr>
        <w:t xml:space="preserve">de las concesiones que nos ocupan por 20 (veinte) años; en respuesta a dicha solicitud, </w:t>
      </w:r>
      <w:r w:rsidRPr="000672F6">
        <w:rPr>
          <w:rFonts w:ascii="ITC Avant Garde" w:hAnsi="ITC Avant Garde"/>
          <w:lang w:eastAsia="ar-SA"/>
        </w:rPr>
        <w:lastRenderedPageBreak/>
        <w:t>mediante oficio No. 349-B-386 del 22 de mayo de 2017 la Unidad de Política de Ingresos No Tributarios de la SHCP emitió opinión favorable respecto del monto de</w:t>
      </w:r>
      <w:r w:rsidR="00CF7D1A" w:rsidRPr="000672F6">
        <w:rPr>
          <w:rFonts w:ascii="ITC Avant Garde" w:hAnsi="ITC Avant Garde"/>
          <w:lang w:eastAsia="ar-SA"/>
        </w:rPr>
        <w:t>l</w:t>
      </w:r>
      <w:r w:rsidRPr="000672F6">
        <w:rPr>
          <w:rFonts w:ascii="ITC Avant Garde" w:hAnsi="ITC Avant Garde"/>
          <w:lang w:eastAsia="ar-SA"/>
        </w:rPr>
        <w:t xml:space="preserve"> aprovechamiento por concepto de contraprestación </w:t>
      </w:r>
      <w:r w:rsidRPr="000672F6">
        <w:rPr>
          <w:rFonts w:ascii="ITC Avant Garde" w:hAnsi="ITC Avant Garde"/>
          <w:lang w:val="es-ES" w:eastAsia="ar-SA"/>
        </w:rPr>
        <w:t>que le corresponde cubrir a</w:t>
      </w:r>
      <w:r w:rsidR="00CF7D1A" w:rsidRPr="000672F6">
        <w:rPr>
          <w:rFonts w:ascii="ITC Avant Garde" w:hAnsi="ITC Avant Garde"/>
          <w:lang w:val="es-ES" w:eastAsia="ar-SA"/>
        </w:rPr>
        <w:t>l</w:t>
      </w:r>
      <w:r w:rsidRPr="000672F6">
        <w:rPr>
          <w:rFonts w:ascii="ITC Avant Garde" w:hAnsi="ITC Avant Garde"/>
          <w:lang w:val="es-ES" w:eastAsia="ar-SA"/>
        </w:rPr>
        <w:t xml:space="preserve">  Concesionario por el otorgamiento de la prórroga solicitada respecto del uso, aprovechamiento y explotación de </w:t>
      </w:r>
      <w:r w:rsidRPr="000672F6">
        <w:rPr>
          <w:rFonts w:ascii="ITC Avant Garde" w:hAnsi="ITC Avant Garde"/>
          <w:lang w:eastAsia="ar-SA"/>
        </w:rPr>
        <w:t>las frecuencias</w:t>
      </w:r>
      <w:r w:rsidRPr="000672F6">
        <w:rPr>
          <w:rFonts w:ascii="ITC Avant Garde" w:hAnsi="ITC Avant Garde"/>
          <w:lang w:val="es-ES" w:eastAsia="ar-SA"/>
        </w:rPr>
        <w:t xml:space="preserve"> para la prestación del servicio de radiodifusión sonora.</w:t>
      </w:r>
    </w:p>
    <w:p w:rsidR="008F4584" w:rsidRPr="000672F6" w:rsidRDefault="00132642" w:rsidP="008F4584">
      <w:pPr>
        <w:spacing w:before="240" w:line="276" w:lineRule="auto"/>
        <w:jc w:val="both"/>
        <w:rPr>
          <w:rFonts w:ascii="ITC Avant Garde" w:hAnsi="ITC Avant Garde"/>
          <w:kern w:val="3"/>
          <w:lang w:eastAsia="ar-SA"/>
        </w:rPr>
      </w:pPr>
      <w:r w:rsidRPr="000672F6">
        <w:rPr>
          <w:rFonts w:ascii="ITC Avant Garde" w:eastAsia="Times New Roman" w:hAnsi="ITC Avant Garde"/>
          <w:kern w:val="3"/>
          <w:lang w:val="es-ES" w:eastAsia="ar-SA"/>
        </w:rPr>
        <w:t xml:space="preserve">En específico, en el oficio </w:t>
      </w:r>
      <w:r w:rsidRPr="000672F6">
        <w:rPr>
          <w:rFonts w:ascii="ITC Avant Garde" w:hAnsi="ITC Avant Garde"/>
          <w:kern w:val="3"/>
          <w:lang w:eastAsia="ar-SA"/>
        </w:rPr>
        <w:t>349-B-386 antes citado la SHCP dispuso lo siguiente:</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eastAsia="Times New Roman" w:hAnsi="ITC Avant Garde"/>
          <w:sz w:val="18"/>
          <w:szCs w:val="18"/>
          <w:lang w:eastAsia="es-MX"/>
        </w:rPr>
        <w:t>Que al utilizar la metodología de cálculo de las contraprestaciones que la entonces Cofetel usó, se logra que los aprovechamientos por los que el IFT solicita opinión sean consistentes con los que en su momento calculó la extinta Cofetel, de tal forma que se estima el valor de mercado de cada concesión con base en las características particulares que tiene cada concesión en cuanto a población servida, sus características técnicas y el potencial económico de la zona concesionada.</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con la aplicación del límite poblacional de 6.5 millones de habitantes que el IFT utiliza se logra que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la población considerada para el cálculo de los aprovechamientos corresponde al Censo de Población y Vivienda INEGI 2010 y para el cálculo del Factor Económico se utilizaron los valores de dicho censo y los del Censo Económico 2009 (INEGI), toda vez la información de dichos censos continúa siendo la más reciente publicada a nivel localidad.</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al considerar dentro de la fórmula a la población servida por cada estación consistente en el número de habitantes cubiertos por la estación concesionada con calidad auditiva (74 dBu para estaciones de FM y 80 dBu para estaciones de AM), se logra que el aprovechamiento calculado refleje el tamaño de la concesión y por lo mismo su valor económico.</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lastRenderedPageBreak/>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la utilización de un Factor Económico para el cálculo de los aprovechamientos por los cuales se solicita opinión,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 en el Factor Económico reflejan el incremento en los ingresos potenciales que las empresas pueden recibir.</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abril de 2017 que corresponde al mes anterior a la presentación de la solicitud de opinión, partiendo de los valores de referencia que corresponden a diciembre de 2005.</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el valor de referencia actualizado con el INPC de abril de 2017 es de $0.9813 pesos por habitante por estación de radio FM, mientras que para estaciones AM se ajusta este valor al 35% obteniéndose un monto de $0.3435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 xml:space="preserve">Que el IFT sigue utilizando la metodología señalada en el presente oficio, debido a que, por una parte, la Licitación IFT-4 realizada para otorgar diversas concesiones de frecuencias de </w:t>
      </w:r>
      <w:r w:rsidRPr="000672F6">
        <w:rPr>
          <w:rFonts w:ascii="ITC Avant Garde" w:hAnsi="ITC Avant Garde"/>
          <w:sz w:val="18"/>
          <w:szCs w:val="18"/>
        </w:rPr>
        <w:lastRenderedPageBreak/>
        <w:t>espectro radioeléctrico para el Servicio Público de Radiodifusión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Radiodifusión (LFTyR). Esto debido a que los Participantes Ganadores aún deberán cumplir con las condiciones establecidas en el Acta de Fallo correspondiente y con las actividades previstas en las bases de licitación, entre las que se encuentra el pago de una contraprestación equivalente al componente económico de su oferta respectiva misma que deberán cubrir antes del 22 de mayo de 2017 y por otra, las solicitudes de prórroga de concesiones a que hace referencia el presente oficio se presentaron con anterioridad al 22 de mayo de 2017.</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de conformidad a lo señalado por el propio IFT, las empresas radiodifusoras titulares de las 472 concesiones iniciaron el proceso de solicitud de prórroga de sus títulos de concesión con posterioridad a la integración del Instituto Federal de Telecomunicaciones.</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el 11 de junio de 2013, se publicó en el Diario Oficial de la Federación, el Decreto por el que se reforman y adicionan diversas disposiciones de los artículo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lo señalado en el numeral anterior se relaciona con lo previsto en el artículo 99 de la LFTyR que establece que todas las contraprestaciones requerirán previa opinión no vinculante de la Secretaría de Hacienda y Crédito Público.</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0672F6">
        <w:rPr>
          <w:rFonts w:ascii="ITC Avant Garde" w:hAnsi="ITC Avant Garde"/>
          <w:sz w:val="18"/>
          <w:szCs w:val="18"/>
          <w:vertAlign w:val="superscript"/>
        </w:rPr>
        <w:t>1</w:t>
      </w:r>
      <w:r w:rsidRPr="000672F6">
        <w:rPr>
          <w:rFonts w:ascii="ITC Avant Garde" w:hAnsi="ITC Avant Garde"/>
          <w:sz w:val="18"/>
          <w:szCs w:val="18"/>
        </w:rPr>
        <w:t>.</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el artículo 114 de la LFTyR,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 xml:space="preserve">Que el otorgamiento de una prórroga de vigencia constituye un nuevo acto de otorgamiento de una concesión por un plazo determinado, lo cual no implica la renuncia </w:t>
      </w:r>
      <w:r w:rsidRPr="000672F6">
        <w:rPr>
          <w:rFonts w:ascii="ITC Avant Garde" w:hAnsi="ITC Avant Garde"/>
          <w:sz w:val="18"/>
          <w:szCs w:val="18"/>
        </w:rPr>
        <w:lastRenderedPageBreak/>
        <w:t>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132642"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8F4584" w:rsidRPr="000672F6" w:rsidRDefault="00132642" w:rsidP="008F4584">
      <w:pPr>
        <w:numPr>
          <w:ilvl w:val="0"/>
          <w:numId w:val="28"/>
        </w:numPr>
        <w:spacing w:before="240" w:line="276" w:lineRule="auto"/>
        <w:ind w:right="758"/>
        <w:jc w:val="both"/>
        <w:rPr>
          <w:rFonts w:ascii="ITC Avant Garde" w:hAnsi="ITC Avant Garde"/>
          <w:sz w:val="18"/>
          <w:szCs w:val="18"/>
        </w:rPr>
      </w:pPr>
      <w:r w:rsidRPr="000672F6">
        <w:rPr>
          <w:rFonts w:ascii="ITC Avant Garde"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8F4584" w:rsidRPr="000672F6" w:rsidRDefault="00132642" w:rsidP="008F4584">
      <w:pPr>
        <w:autoSpaceDE w:val="0"/>
        <w:spacing w:before="240" w:line="276" w:lineRule="auto"/>
        <w:ind w:left="993" w:right="473"/>
        <w:jc w:val="both"/>
        <w:rPr>
          <w:rFonts w:ascii="ITC Avant Garde" w:eastAsia="Times New Roman" w:hAnsi="ITC Avant Garde"/>
          <w:kern w:val="3"/>
          <w:sz w:val="18"/>
          <w:szCs w:val="18"/>
          <w:lang w:val="es-ES" w:eastAsia="ar-SA"/>
        </w:rPr>
      </w:pPr>
      <w:r w:rsidRPr="000672F6">
        <w:rPr>
          <w:rFonts w:ascii="ITC Avant Garde" w:eastAsia="Times New Roman" w:hAnsi="ITC Avant Garde"/>
          <w:kern w:val="3"/>
          <w:sz w:val="18"/>
          <w:szCs w:val="18"/>
          <w:lang w:val="es-ES" w:eastAsia="ar-SA"/>
        </w:rPr>
        <w:t xml:space="preserve"> (…)”</w:t>
      </w:r>
    </w:p>
    <w:p w:rsidR="008F4584" w:rsidRPr="000672F6" w:rsidRDefault="00132642" w:rsidP="008F4584">
      <w:pPr>
        <w:autoSpaceDE w:val="0"/>
        <w:spacing w:before="240" w:line="276" w:lineRule="auto"/>
        <w:ind w:right="473"/>
        <w:jc w:val="both"/>
        <w:rPr>
          <w:rFonts w:ascii="ITC Avant Garde" w:eastAsia="Times New Roman" w:hAnsi="ITC Avant Garde"/>
          <w:kern w:val="3"/>
          <w:lang w:val="es-ES" w:eastAsia="ar-SA"/>
        </w:rPr>
      </w:pPr>
      <w:r w:rsidRPr="000672F6">
        <w:rPr>
          <w:rFonts w:ascii="ITC Avant Garde" w:eastAsia="Times New Roman" w:hAnsi="ITC Avant Garde"/>
          <w:kern w:val="3"/>
          <w:lang w:val="es-ES" w:eastAsia="ar-SA"/>
        </w:rPr>
        <w:t>Asimismo continúa señalando;</w:t>
      </w:r>
    </w:p>
    <w:p w:rsidR="008F4584" w:rsidRPr="000672F6" w:rsidRDefault="00132642" w:rsidP="008F4584">
      <w:pPr>
        <w:autoSpaceDE w:val="0"/>
        <w:adjustRightInd w:val="0"/>
        <w:spacing w:before="240" w:line="276" w:lineRule="auto"/>
        <w:ind w:left="851" w:right="49" w:hanging="284"/>
        <w:jc w:val="both"/>
        <w:rPr>
          <w:rFonts w:ascii="ITC Avant Garde" w:eastAsia="Times New Roman" w:hAnsi="ITC Avant Garde"/>
          <w:kern w:val="1"/>
          <w:sz w:val="18"/>
          <w:szCs w:val="18"/>
          <w:lang w:val="es-ES" w:eastAsia="ar-SA"/>
        </w:rPr>
      </w:pPr>
      <w:r w:rsidRPr="000672F6">
        <w:rPr>
          <w:rFonts w:ascii="ITC Avant Garde" w:eastAsia="Times New Roman" w:hAnsi="ITC Avant Garde"/>
          <w:kern w:val="1"/>
          <w:sz w:val="18"/>
          <w:szCs w:val="18"/>
          <w:lang w:val="es-ES" w:eastAsia="ar-SA"/>
        </w:rPr>
        <w:t>“(…)</w:t>
      </w:r>
    </w:p>
    <w:p w:rsidR="008F4584" w:rsidRPr="000672F6" w:rsidRDefault="00132642" w:rsidP="008F4584">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0672F6">
        <w:rPr>
          <w:rFonts w:ascii="ITC Avant Garde" w:eastAsia="Times New Roman" w:hAnsi="ITC Avant Garde"/>
          <w:kern w:val="1"/>
          <w:sz w:val="18"/>
          <w:szCs w:val="18"/>
          <w:lang w:val="es-ES" w:eastAsia="ar-SA"/>
        </w:rPr>
        <w:lastRenderedPageBreak/>
        <w:t>Los aprovechamientos sobre los que se opina mediante el presente oficio están actualizados por inflación al mes de abril de 2017, por lo que el IFT deberá actualizar el monto de los aprovechamientos por inflación con base en el INPC más reciente disponible a la fecha de la entrega de las prórrogas de concesión.</w:t>
      </w:r>
    </w:p>
    <w:p w:rsidR="008F4584" w:rsidRPr="000672F6" w:rsidRDefault="00132642" w:rsidP="008F4584">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0672F6">
        <w:rPr>
          <w:rFonts w:ascii="ITC Avant Garde" w:eastAsia="Times New Roman" w:hAnsi="ITC Avant Garde"/>
          <w:kern w:val="1"/>
          <w:sz w:val="18"/>
          <w:szCs w:val="18"/>
          <w:lang w:val="es-ES" w:eastAsia="ar-SA"/>
        </w:rPr>
        <w:t>El detalle de los concesionarios, bandas de frecuencias, factores técnicos y económicos, población servida con calidad auditiva, de las 472 concesiones, opinados mediante el presente oficio, se muestran en los anexo B y C que forman parte del presente oficio.</w:t>
      </w:r>
    </w:p>
    <w:p w:rsidR="00132642" w:rsidRPr="000672F6" w:rsidRDefault="00132642" w:rsidP="008F4584">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0672F6">
        <w:rPr>
          <w:rFonts w:ascii="ITC Avant Garde" w:eastAsia="Times New Roman" w:hAnsi="ITC Avant Garde"/>
          <w:kern w:val="1"/>
          <w:sz w:val="18"/>
          <w:szCs w:val="18"/>
          <w:lang w:val="es-ES" w:eastAsia="ar-SA"/>
        </w:rPr>
        <w:t>El entero del aprovechamiento que resultan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8F4584" w:rsidRPr="000672F6" w:rsidRDefault="00132642" w:rsidP="008F4584">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0672F6">
        <w:rPr>
          <w:rFonts w:ascii="ITC Avant Garde" w:eastAsia="Times New Roman" w:hAnsi="ITC Avant Garde"/>
          <w:kern w:val="1"/>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8F4584" w:rsidRPr="000672F6" w:rsidRDefault="00132642" w:rsidP="008F4584">
      <w:pPr>
        <w:autoSpaceDE w:val="0"/>
        <w:adjustRightInd w:val="0"/>
        <w:spacing w:before="240" w:line="276" w:lineRule="auto"/>
        <w:ind w:left="567" w:right="474"/>
        <w:jc w:val="both"/>
        <w:rPr>
          <w:rFonts w:ascii="ITC Avant Garde" w:eastAsia="Times New Roman" w:hAnsi="ITC Avant Garde"/>
          <w:kern w:val="1"/>
          <w:sz w:val="18"/>
          <w:szCs w:val="18"/>
          <w:lang w:eastAsia="ar-SA"/>
        </w:rPr>
      </w:pPr>
      <w:r w:rsidRPr="000672F6">
        <w:rPr>
          <w:rFonts w:ascii="ITC Avant Garde" w:eastAsia="Times New Roman" w:hAnsi="ITC Avant Garde"/>
          <w:kern w:val="1"/>
          <w:sz w:val="18"/>
          <w:szCs w:val="18"/>
          <w:lang w:val="es-ES" w:eastAsia="ar-SA"/>
        </w:rPr>
        <w:t>Los aprovechamientos  a los que hace referencia el presente oficio no incluyen el cobro correspondiente en el caso de que el Instituto autorice cualquier cambio en la concesión que pueda involucrar un incremento en su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8F4584" w:rsidRPr="000672F6" w:rsidRDefault="00132642" w:rsidP="008F4584">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0672F6">
        <w:rPr>
          <w:rFonts w:ascii="ITC Avant Garde" w:eastAsia="Times New Roman" w:hAnsi="ITC Avant Garde"/>
          <w:kern w:val="1"/>
          <w:sz w:val="18"/>
          <w:szCs w:val="18"/>
          <w:lang w:val="es-ES" w:eastAsia="ar-SA"/>
        </w:rPr>
        <w:t>(…)”</w:t>
      </w:r>
    </w:p>
    <w:p w:rsidR="00132642" w:rsidRPr="000672F6" w:rsidRDefault="00132642" w:rsidP="008F4584">
      <w:pPr>
        <w:spacing w:before="240" w:line="276" w:lineRule="auto"/>
        <w:ind w:right="-62"/>
        <w:jc w:val="both"/>
        <w:rPr>
          <w:rFonts w:ascii="ITC Avant Garde" w:eastAsia="Times New Roman" w:hAnsi="ITC Avant Garde"/>
          <w:kern w:val="3"/>
          <w:lang w:val="es-ES" w:eastAsia="ar-SA"/>
        </w:rPr>
      </w:pPr>
      <w:r w:rsidRPr="000672F6">
        <w:rPr>
          <w:rFonts w:ascii="ITC Avant Garde" w:eastAsia="Times New Roman" w:hAnsi="ITC Avant Garde"/>
          <w:kern w:val="3"/>
          <w:lang w:val="es-ES" w:eastAsia="ar-SA"/>
        </w:rPr>
        <w:t>En resumen, la metodología que fija el procedimiento descrito anteriormente nos reporta la siguiente fórmula aplicada:</w:t>
      </w:r>
    </w:p>
    <w:tbl>
      <w:tblPr>
        <w:tblStyle w:val="Tablaconcuadrcula1"/>
        <w:tblW w:w="9712" w:type="dxa"/>
        <w:jc w:val="center"/>
        <w:tblLook w:val="0000" w:firstRow="0" w:lastRow="0" w:firstColumn="0" w:lastColumn="0" w:noHBand="0" w:noVBand="0"/>
        <w:tblCaption w:val="Fórmula para cálculo de contrasprestación"/>
        <w:tblDescription w:val="En una tabla de 2 columnas y 1 fila, se proporciona la fórmula para e cálculo de la contraprestación."/>
      </w:tblPr>
      <w:tblGrid>
        <w:gridCol w:w="2689"/>
        <w:gridCol w:w="7023"/>
      </w:tblGrid>
      <w:tr w:rsidR="00132642" w:rsidRPr="000672F6" w:rsidTr="008F4584">
        <w:trPr>
          <w:trHeight w:val="645"/>
          <w:tblHeader/>
          <w:jc w:val="center"/>
        </w:trPr>
        <w:tc>
          <w:tcPr>
            <w:tcW w:w="2689" w:type="dxa"/>
          </w:tcPr>
          <w:p w:rsidR="00132642" w:rsidRPr="000672F6" w:rsidRDefault="00132642" w:rsidP="008F4584">
            <w:pPr>
              <w:spacing w:before="240" w:line="276" w:lineRule="auto"/>
              <w:ind w:right="-62"/>
              <w:jc w:val="center"/>
            </w:pPr>
            <w:r w:rsidRPr="000672F6">
              <w:rPr>
                <w:rFonts w:ascii="ITC Avant Garde" w:eastAsia="Times New Roman" w:hAnsi="ITC Avant Garde"/>
                <w:kern w:val="3"/>
                <w:sz w:val="20"/>
                <w:szCs w:val="20"/>
                <w:lang w:val="es-ES" w:eastAsia="ar-SA"/>
              </w:rPr>
              <w:t xml:space="preserve">Contraprestación </w:t>
            </w:r>
            <w:r w:rsidRPr="000672F6">
              <w:rPr>
                <w:rFonts w:ascii="ITC Avant Garde" w:eastAsia="Times New Roman" w:hAnsi="ITC Avant Garde"/>
                <w:b/>
                <w:kern w:val="3"/>
                <w:sz w:val="20"/>
                <w:szCs w:val="20"/>
                <w:lang w:val="es-ES" w:eastAsia="ar-SA"/>
              </w:rPr>
              <w:t>(C)</w:t>
            </w:r>
          </w:p>
        </w:tc>
        <w:tc>
          <w:tcPr>
            <w:tcW w:w="7023" w:type="dxa"/>
          </w:tcPr>
          <w:p w:rsidR="00132642" w:rsidRPr="000672F6" w:rsidRDefault="00132642" w:rsidP="008F4584">
            <w:pPr>
              <w:spacing w:before="240" w:line="276" w:lineRule="auto"/>
              <w:ind w:right="-62"/>
              <w:jc w:val="center"/>
            </w:pPr>
            <w:r w:rsidRPr="000672F6">
              <w:rPr>
                <w:rFonts w:ascii="ITC Avant Garde" w:eastAsia="Times New Roman" w:hAnsi="ITC Avant Garde"/>
                <w:kern w:val="3"/>
                <w:sz w:val="20"/>
                <w:szCs w:val="20"/>
                <w:lang w:val="es-ES" w:eastAsia="ar-SA"/>
              </w:rPr>
              <w:t xml:space="preserve">Valor de referencia </w:t>
            </w:r>
            <w:r w:rsidRPr="000672F6">
              <w:rPr>
                <w:rFonts w:ascii="ITC Avant Garde" w:eastAsia="Times New Roman" w:hAnsi="ITC Avant Garde"/>
                <w:b/>
                <w:kern w:val="3"/>
                <w:sz w:val="20"/>
                <w:szCs w:val="20"/>
                <w:lang w:val="es-ES" w:eastAsia="ar-SA"/>
              </w:rPr>
              <w:t>(VR)</w:t>
            </w:r>
            <w:r w:rsidRPr="000672F6">
              <w:rPr>
                <w:rFonts w:ascii="ITC Avant Garde" w:eastAsia="Times New Roman" w:hAnsi="ITC Avant Garde"/>
                <w:kern w:val="3"/>
                <w:sz w:val="20"/>
                <w:szCs w:val="20"/>
                <w:lang w:val="es-ES" w:eastAsia="ar-SA"/>
              </w:rPr>
              <w:t xml:space="preserve"> x Población </w:t>
            </w:r>
            <w:r w:rsidRPr="000672F6">
              <w:rPr>
                <w:rFonts w:ascii="ITC Avant Garde" w:eastAsia="Times New Roman" w:hAnsi="ITC Avant Garde"/>
                <w:b/>
                <w:kern w:val="3"/>
                <w:sz w:val="20"/>
                <w:szCs w:val="20"/>
                <w:lang w:val="es-ES" w:eastAsia="ar-SA"/>
              </w:rPr>
              <w:t>(P)</w:t>
            </w:r>
            <w:r w:rsidRPr="000672F6">
              <w:rPr>
                <w:rFonts w:ascii="ITC Avant Garde" w:eastAsia="Times New Roman" w:hAnsi="ITC Avant Garde"/>
                <w:kern w:val="3"/>
                <w:sz w:val="20"/>
                <w:szCs w:val="20"/>
                <w:lang w:val="es-ES" w:eastAsia="ar-SA"/>
              </w:rPr>
              <w:t xml:space="preserve"> x </w:t>
            </w:r>
            <w:r w:rsidRPr="000672F6">
              <w:rPr>
                <w:rFonts w:ascii="ITC Avant Garde" w:eastAsia="Times New Roman" w:hAnsi="ITC Avant Garde"/>
                <w:b/>
                <w:kern w:val="3"/>
                <w:sz w:val="20"/>
                <w:szCs w:val="20"/>
                <w:lang w:val="es-ES" w:eastAsia="ar-SA"/>
              </w:rPr>
              <w:t>[</w:t>
            </w:r>
            <w:r w:rsidRPr="000672F6">
              <w:rPr>
                <w:rFonts w:ascii="ITC Avant Garde" w:eastAsia="Times New Roman" w:hAnsi="ITC Avant Garde"/>
                <w:kern w:val="3"/>
                <w:sz w:val="20"/>
                <w:szCs w:val="20"/>
                <w:lang w:val="es-ES" w:eastAsia="ar-SA"/>
              </w:rPr>
              <w:t xml:space="preserve">Factor Económico </w:t>
            </w:r>
            <w:r w:rsidRPr="000672F6">
              <w:rPr>
                <w:rFonts w:ascii="ITC Avant Garde" w:eastAsia="Times New Roman" w:hAnsi="ITC Avant Garde"/>
                <w:b/>
                <w:kern w:val="3"/>
                <w:sz w:val="20"/>
                <w:szCs w:val="20"/>
                <w:lang w:val="es-ES" w:eastAsia="ar-SA"/>
              </w:rPr>
              <w:t xml:space="preserve">(FE) </w:t>
            </w:r>
            <w:r w:rsidRPr="000672F6">
              <w:rPr>
                <w:rFonts w:ascii="ITC Avant Garde" w:eastAsia="Times New Roman" w:hAnsi="ITC Avant Garde"/>
                <w:kern w:val="3"/>
                <w:sz w:val="20"/>
                <w:szCs w:val="20"/>
                <w:lang w:val="es-ES" w:eastAsia="ar-SA"/>
              </w:rPr>
              <w:t>+</w:t>
            </w:r>
            <w:r w:rsidRPr="000672F6">
              <w:rPr>
                <w:rFonts w:ascii="ITC Avant Garde" w:eastAsia="Times New Roman" w:hAnsi="ITC Avant Garde"/>
                <w:b/>
                <w:kern w:val="3"/>
                <w:sz w:val="20"/>
                <w:szCs w:val="20"/>
                <w:lang w:val="es-ES" w:eastAsia="ar-SA"/>
              </w:rPr>
              <w:t xml:space="preserve"> </w:t>
            </w:r>
            <w:r w:rsidRPr="000672F6">
              <w:rPr>
                <w:rFonts w:ascii="ITC Avant Garde" w:eastAsia="Times New Roman" w:hAnsi="ITC Avant Garde"/>
                <w:kern w:val="3"/>
                <w:sz w:val="20"/>
                <w:szCs w:val="20"/>
                <w:lang w:val="es-ES" w:eastAsia="ar-SA"/>
              </w:rPr>
              <w:t xml:space="preserve">Factor Técnico </w:t>
            </w:r>
            <w:r w:rsidRPr="000672F6">
              <w:rPr>
                <w:rFonts w:ascii="ITC Avant Garde" w:eastAsia="Times New Roman" w:hAnsi="ITC Avant Garde"/>
                <w:b/>
                <w:kern w:val="3"/>
                <w:sz w:val="20"/>
                <w:szCs w:val="20"/>
                <w:lang w:val="es-ES" w:eastAsia="ar-SA"/>
              </w:rPr>
              <w:t>(FT)]</w:t>
            </w:r>
          </w:p>
        </w:tc>
      </w:tr>
    </w:tbl>
    <w:p w:rsidR="008F4584" w:rsidRPr="000672F6" w:rsidRDefault="00132642" w:rsidP="008F4584">
      <w:pPr>
        <w:spacing w:before="240" w:line="276" w:lineRule="auto"/>
        <w:ind w:right="-62"/>
        <w:jc w:val="both"/>
        <w:rPr>
          <w:rFonts w:ascii="ITC Avant Garde" w:eastAsia="Times New Roman" w:hAnsi="ITC Avant Garde"/>
          <w:kern w:val="3"/>
          <w:sz w:val="18"/>
          <w:szCs w:val="18"/>
          <w:lang w:val="es-ES" w:eastAsia="ar-SA"/>
        </w:rPr>
      </w:pPr>
      <w:r w:rsidRPr="000672F6">
        <w:rPr>
          <w:rFonts w:ascii="ITC Avant Garde" w:eastAsia="Times New Roman" w:hAnsi="ITC Avant Garde"/>
          <w:kern w:val="3"/>
          <w:sz w:val="18"/>
          <w:szCs w:val="18"/>
          <w:lang w:val="es-ES" w:eastAsia="ar-SA"/>
        </w:rPr>
        <w:t>Donde:</w:t>
      </w:r>
    </w:p>
    <w:p w:rsidR="00132642" w:rsidRPr="000672F6" w:rsidRDefault="00132642" w:rsidP="008F4584">
      <w:pPr>
        <w:spacing w:before="240" w:line="276" w:lineRule="auto"/>
        <w:ind w:left="705" w:right="-62" w:hanging="705"/>
        <w:jc w:val="both"/>
        <w:rPr>
          <w:sz w:val="18"/>
          <w:szCs w:val="18"/>
        </w:rPr>
      </w:pPr>
      <w:r w:rsidRPr="000672F6">
        <w:rPr>
          <w:rFonts w:ascii="ITC Avant Garde" w:eastAsia="Times New Roman" w:hAnsi="ITC Avant Garde"/>
          <w:b/>
          <w:kern w:val="3"/>
          <w:sz w:val="18"/>
          <w:szCs w:val="18"/>
          <w:lang w:eastAsia="ar-SA"/>
        </w:rPr>
        <w:t>VR =</w:t>
      </w:r>
      <w:r w:rsidRPr="000672F6">
        <w:rPr>
          <w:rFonts w:ascii="ITC Avant Garde" w:eastAsia="Times New Roman" w:hAnsi="ITC Avant Garde"/>
          <w:kern w:val="3"/>
          <w:sz w:val="18"/>
          <w:szCs w:val="18"/>
          <w:lang w:eastAsia="ar-SA"/>
        </w:rPr>
        <w:tab/>
        <w:t xml:space="preserve">Valor de referencia en pesos por habitante. </w:t>
      </w:r>
    </w:p>
    <w:p w:rsidR="00132642" w:rsidRPr="000672F6" w:rsidRDefault="00132642" w:rsidP="008F4584">
      <w:pPr>
        <w:tabs>
          <w:tab w:val="left" w:pos="284"/>
        </w:tabs>
        <w:spacing w:before="240" w:line="276" w:lineRule="auto"/>
        <w:ind w:left="705" w:right="-62" w:hanging="705"/>
        <w:jc w:val="both"/>
        <w:rPr>
          <w:sz w:val="18"/>
          <w:szCs w:val="18"/>
        </w:rPr>
      </w:pPr>
      <w:r w:rsidRPr="000672F6">
        <w:rPr>
          <w:rFonts w:ascii="ITC Avant Garde" w:eastAsia="Times New Roman" w:hAnsi="ITC Avant Garde"/>
          <w:b/>
          <w:kern w:val="3"/>
          <w:sz w:val="18"/>
          <w:szCs w:val="18"/>
          <w:lang w:eastAsia="ar-SA"/>
        </w:rPr>
        <w:t>P</w:t>
      </w:r>
      <w:r w:rsidRPr="000672F6">
        <w:rPr>
          <w:rFonts w:ascii="ITC Avant Garde" w:eastAsia="Times New Roman" w:hAnsi="ITC Avant Garde"/>
          <w:kern w:val="3"/>
          <w:sz w:val="18"/>
          <w:szCs w:val="18"/>
          <w:lang w:eastAsia="ar-SA"/>
        </w:rPr>
        <w:t>=</w:t>
      </w:r>
      <w:r w:rsidRPr="000672F6">
        <w:rPr>
          <w:rFonts w:ascii="ITC Avant Garde" w:eastAsia="Times New Roman" w:hAnsi="ITC Avant Garde"/>
          <w:kern w:val="3"/>
          <w:sz w:val="18"/>
          <w:szCs w:val="18"/>
          <w:lang w:eastAsia="ar-SA"/>
        </w:rPr>
        <w:tab/>
      </w:r>
      <w:r w:rsidRPr="000672F6">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rsidR="00132642" w:rsidRPr="000672F6" w:rsidRDefault="00132642" w:rsidP="008F4584">
      <w:pPr>
        <w:spacing w:before="240" w:line="276" w:lineRule="auto"/>
        <w:ind w:left="705" w:right="-62" w:hanging="705"/>
        <w:jc w:val="both"/>
        <w:rPr>
          <w:sz w:val="18"/>
          <w:szCs w:val="18"/>
        </w:rPr>
      </w:pPr>
      <w:r w:rsidRPr="000672F6">
        <w:rPr>
          <w:rFonts w:ascii="ITC Avant Garde" w:eastAsia="Times New Roman" w:hAnsi="ITC Avant Garde"/>
          <w:b/>
          <w:kern w:val="3"/>
          <w:sz w:val="18"/>
          <w:szCs w:val="18"/>
          <w:lang w:eastAsia="ar-SA"/>
        </w:rPr>
        <w:t>FT</w:t>
      </w:r>
      <w:r w:rsidRPr="000672F6">
        <w:rPr>
          <w:rFonts w:ascii="ITC Avant Garde" w:eastAsia="Times New Roman" w:hAnsi="ITC Avant Garde"/>
          <w:kern w:val="3"/>
          <w:sz w:val="18"/>
          <w:szCs w:val="18"/>
          <w:lang w:eastAsia="ar-SA"/>
        </w:rPr>
        <w:t>=</w:t>
      </w:r>
      <w:r w:rsidRPr="000672F6">
        <w:rPr>
          <w:rFonts w:ascii="ITC Avant Garde" w:eastAsia="Times New Roman" w:hAnsi="ITC Avant Garde"/>
          <w:kern w:val="3"/>
          <w:sz w:val="18"/>
          <w:szCs w:val="18"/>
          <w:lang w:eastAsia="ar-SA"/>
        </w:rPr>
        <w:tab/>
        <w:t>Factor técnico que corresponde a las características técnicas de la estación con valores entre 1 y 2 para estaciones AM y para estaciones de FM entre 0.53 y 2.04.</w:t>
      </w:r>
    </w:p>
    <w:p w:rsidR="008F4584" w:rsidRPr="000672F6" w:rsidRDefault="00132642" w:rsidP="008F4584">
      <w:pPr>
        <w:tabs>
          <w:tab w:val="left" w:pos="284"/>
        </w:tabs>
        <w:spacing w:before="240" w:line="276" w:lineRule="auto"/>
        <w:ind w:left="705" w:right="-62" w:hanging="705"/>
        <w:jc w:val="both"/>
        <w:rPr>
          <w:sz w:val="18"/>
          <w:szCs w:val="18"/>
        </w:rPr>
      </w:pPr>
      <w:r w:rsidRPr="000672F6">
        <w:rPr>
          <w:rFonts w:ascii="ITC Avant Garde" w:eastAsia="Times New Roman" w:hAnsi="ITC Avant Garde"/>
          <w:b/>
          <w:kern w:val="3"/>
          <w:sz w:val="18"/>
          <w:szCs w:val="18"/>
          <w:lang w:eastAsia="ar-SA"/>
        </w:rPr>
        <w:t>FE</w:t>
      </w:r>
      <w:r w:rsidRPr="000672F6">
        <w:rPr>
          <w:rFonts w:ascii="ITC Avant Garde" w:eastAsia="Times New Roman" w:hAnsi="ITC Avant Garde"/>
          <w:kern w:val="3"/>
          <w:sz w:val="18"/>
          <w:szCs w:val="18"/>
          <w:lang w:eastAsia="ar-SA"/>
        </w:rPr>
        <w:t xml:space="preserve">= </w:t>
      </w:r>
      <w:r w:rsidRPr="000672F6">
        <w:rPr>
          <w:rFonts w:ascii="ITC Avant Garde" w:eastAsia="Times New Roman" w:hAnsi="ITC Avant Garde"/>
          <w:kern w:val="3"/>
          <w:sz w:val="18"/>
          <w:szCs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8F4584" w:rsidRPr="000672F6" w:rsidRDefault="00491844" w:rsidP="008F4584">
      <w:pPr>
        <w:pStyle w:val="Prrafodelista"/>
        <w:numPr>
          <w:ilvl w:val="0"/>
          <w:numId w:val="30"/>
        </w:numPr>
        <w:spacing w:before="240" w:after="160" w:line="276" w:lineRule="auto"/>
        <w:jc w:val="both"/>
        <w:rPr>
          <w:rFonts w:ascii="ITC Avant Garde" w:hAnsi="ITC Avant Garde"/>
          <w:b/>
          <w:bCs/>
          <w:sz w:val="22"/>
          <w:szCs w:val="22"/>
        </w:rPr>
      </w:pPr>
      <w:r w:rsidRPr="000672F6">
        <w:rPr>
          <w:rFonts w:ascii="ITC Avant Garde" w:hAnsi="ITC Avant Garde"/>
          <w:b/>
          <w:bCs/>
          <w:sz w:val="22"/>
          <w:szCs w:val="22"/>
        </w:rPr>
        <w:lastRenderedPageBreak/>
        <w:t>Valor de referencia</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En 2005, la SCT en conjunto con la Cofetel establecieron un valor de referencia para estaciones de FM de $0.50 pesos por habitante para concesiones en la banda de FM con vigencia de 12 años.</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Para las estaciones que operan en la banda de AM, el IFT determinó que el Valor de Referencia representa el 35% del valor de referencia de una estación de FM, esto considerando que las tarifas de publicidad también son en promedio más bajas en las estaciones de AM que en las de FM.</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El Valor de Referencia de $0.50 pesos por habitante para estaciones de radio con vigencia de concesión de 12 años para estaciones FM el IFT lo actualizó por inflación con el Índice Nacional de Precios al Consumidor (INPC) publicado mensualmente en el Diario Oficial de la Federación por el Instituto Nacional de Estadística y Geografía, de acuerdo a lo establecido en el artículo 17-A del Código Fiscal de la Federación, de diciembre de 2005 fecha en la que está actualizado el Valor de Referencia de $0.50 pesos por habitante, a abril de 2017, INPC más reciente disponible a la fecha de solicitud de opinión del IFT. Además el Valor de Referencia se ajustó por el periodo de vigencia de las prórrogas de concesión que se tiene previsto otorgar, 20 años, mediante la metodología de Valor Presente Neto dado que el plazo de la vigencia de la prórroga de la concesión es mayor (pasa de 12 a 20 años) el valor económico de la concesión también lo es, este ajuste busca que este incremento se refleje en el monto de la contraprestación.</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De acuerdo con el INEGI el INPC de los meses citados son los siguientes:</w:t>
      </w:r>
    </w:p>
    <w:p w:rsidR="00491844" w:rsidRPr="000672F6" w:rsidRDefault="00491844" w:rsidP="008F4584">
      <w:pPr>
        <w:spacing w:before="240" w:line="276" w:lineRule="auto"/>
        <w:jc w:val="both"/>
        <w:rPr>
          <w:rFonts w:ascii="ITC Avant Garde" w:hAnsi="ITC Avant Garde"/>
        </w:rPr>
      </w:pPr>
      <w:r w:rsidRPr="000672F6">
        <w:rPr>
          <w:rFonts w:ascii="ITC Avant Garde" w:hAnsi="ITC Avant Garde"/>
        </w:rPr>
        <w:t>INPC diciembre 2005 = 80.2004</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INPC abril 2017 = 126.242</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La actualización por inflación se realizó de la siguiente manera:</w:t>
      </w:r>
    </w:p>
    <w:p w:rsidR="008F4584" w:rsidRPr="000672F6" w:rsidRDefault="000672F6" w:rsidP="008F4584">
      <w:pPr>
        <w:spacing w:before="240" w:line="276" w:lineRule="auto"/>
        <w:jc w:val="both"/>
        <w:rPr>
          <w:rFonts w:ascii="ITC Avant Garde" w:hAnsi="ITC Avant Garde"/>
        </w:rPr>
      </w:pPr>
      <m:oMathPara>
        <m:oMath>
          <m:r>
            <m:rPr>
              <m:sty m:val="p"/>
            </m:rPr>
            <w:rPr>
              <w:rFonts w:ascii="Cambria Math" w:hAnsi="Cambria Math"/>
            </w:rPr>
            <m:t xml:space="preserve">Factor de actualización = ión = </m:t>
          </m:r>
          <m:f>
            <m:fPr>
              <m:ctrlPr>
                <w:rPr>
                  <w:rFonts w:ascii="Cambria Math" w:hAnsi="Cambria Math"/>
                </w:rPr>
              </m:ctrlPr>
            </m:fPr>
            <m:num>
              <m:r>
                <m:rPr>
                  <m:sty m:val="p"/>
                </m:rPr>
                <w:rPr>
                  <w:rFonts w:ascii="Cambria Math" w:hAnsi="Cambria Math"/>
                </w:rPr>
                <m:t>INPC abril 2017</m:t>
              </m:r>
            </m:num>
            <m:den>
              <m:r>
                <m:rPr>
                  <m:sty m:val="p"/>
                </m:rPr>
                <w:rPr>
                  <w:rFonts w:ascii="Cambria Math" w:hAnsi="Cambria Math"/>
                </w:rPr>
                <m:t>INPC diciembre 2005</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126.242</m:t>
              </m:r>
            </m:num>
            <m:den>
              <m:r>
                <m:rPr>
                  <m:sty m:val="p"/>
                </m:rPr>
                <w:rPr>
                  <w:rFonts w:ascii="Cambria Math" w:hAnsi="Cambria Math"/>
                </w:rPr>
                <m:t>80.2004</m:t>
              </m:r>
            </m:den>
          </m:f>
          <m:r>
            <m:rPr>
              <m:sty m:val="p"/>
            </m:rPr>
            <w:rPr>
              <w:rFonts w:ascii="Cambria Math" w:hAnsi="Cambria Math"/>
            </w:rPr>
            <m:t>=1.5741</m:t>
          </m:r>
        </m:oMath>
      </m:oMathPara>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Este factor de actualización se multiplicó por el Valor de Referencia de $0.50 establecido en 2005, para obtener el Valor de Referencia actualizado a abril de 2017:</w:t>
      </w:r>
    </w:p>
    <w:p w:rsidR="008F4584" w:rsidRPr="000672F6" w:rsidRDefault="000672F6" w:rsidP="008F4584">
      <w:pPr>
        <w:spacing w:before="240" w:line="276" w:lineRule="auto"/>
        <w:jc w:val="both"/>
        <w:rPr>
          <w:rFonts w:ascii="ITC Avant Garde" w:eastAsiaTheme="minorEastAsia" w:hAnsi="ITC Avant Garde"/>
        </w:rPr>
      </w:pPr>
      <m:oMathPara>
        <m:oMath>
          <m:r>
            <m:rPr>
              <m:sty m:val="p"/>
            </m:rPr>
            <w:rPr>
              <w:rFonts w:ascii="Cambria Math" w:hAnsi="Cambria Math"/>
            </w:rPr>
            <m:t>Valor de referencia abril 2017= $0.50*1.5741=$0.7871</m:t>
          </m:r>
        </m:oMath>
      </m:oMathPara>
    </w:p>
    <w:p w:rsidR="008F4584" w:rsidRPr="000672F6" w:rsidRDefault="00491844" w:rsidP="008F4584">
      <w:pPr>
        <w:spacing w:before="240" w:line="276" w:lineRule="auto"/>
        <w:jc w:val="both"/>
        <w:rPr>
          <w:rFonts w:ascii="ITC Avant Garde" w:hAnsi="ITC Avant Garde"/>
          <w:color w:val="000000"/>
          <w:lang w:eastAsia="es-ES"/>
        </w:rPr>
      </w:pPr>
      <w:r w:rsidRPr="000672F6">
        <w:rPr>
          <w:rFonts w:ascii="ITC Avant Garde" w:hAnsi="ITC Avant Garde"/>
          <w:color w:val="000000"/>
          <w:lang w:eastAsia="es-ES"/>
        </w:rPr>
        <w:lastRenderedPageBreak/>
        <w:t>Es importante mencionar que la actualización del INPC se realiza con base en lo estipulado en el artículo 17-A del Código Fiscal de la Federación, mismo que a la letra dice:</w:t>
      </w:r>
    </w:p>
    <w:p w:rsidR="008F4584" w:rsidRPr="000672F6" w:rsidRDefault="00491844" w:rsidP="008F4584">
      <w:pPr>
        <w:spacing w:before="240" w:line="276" w:lineRule="auto"/>
        <w:ind w:left="1134" w:right="1523"/>
        <w:jc w:val="both"/>
        <w:rPr>
          <w:rFonts w:ascii="ITC Avant Garde" w:hAnsi="ITC Avant Garde"/>
          <w:iCs/>
          <w:color w:val="000000"/>
          <w:sz w:val="18"/>
          <w:szCs w:val="18"/>
        </w:rPr>
      </w:pPr>
      <w:r w:rsidRPr="000672F6">
        <w:rPr>
          <w:rFonts w:ascii="ITC Avant Garde" w:hAnsi="ITC Avant Garde"/>
          <w:iCs/>
          <w:color w:val="000000"/>
          <w:sz w:val="18"/>
          <w:szCs w:val="18"/>
        </w:rPr>
        <w:t>“</w:t>
      </w:r>
      <w:r w:rsidRPr="000672F6">
        <w:rPr>
          <w:rFonts w:ascii="ITC Avant Garde" w:hAnsi="ITC Avant Garde"/>
          <w:b/>
          <w:bCs/>
          <w:iCs/>
          <w:color w:val="000000"/>
          <w:sz w:val="18"/>
          <w:szCs w:val="18"/>
        </w:rPr>
        <w:t>Artículo 17-A.-</w:t>
      </w:r>
      <w:r w:rsidRPr="000672F6">
        <w:rPr>
          <w:rFonts w:ascii="ITC Avant Garde" w:hAnsi="ITC Avant Garde"/>
          <w:iCs/>
          <w:color w:val="000000"/>
          <w:sz w:val="18"/>
          <w:szCs w:val="18"/>
        </w:rPr>
        <w:t xml:space="preserve"> El monto de las contribuciones, aprovechamientos, así como de las devoluciones a cargo del fisco federal, </w:t>
      </w:r>
      <w:r w:rsidRPr="000672F6">
        <w:rPr>
          <w:rFonts w:ascii="ITC Avant Garde" w:hAnsi="ITC Avant Garde"/>
          <w:b/>
          <w:bCs/>
          <w:iCs/>
          <w:color w:val="000000"/>
          <w:sz w:val="18"/>
          <w:szCs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0672F6">
        <w:rPr>
          <w:rFonts w:ascii="ITC Avant Garde" w:hAnsi="ITC Avant Garde"/>
          <w:iCs/>
          <w:color w:val="000000"/>
          <w:sz w:val="18"/>
          <w:szCs w:val="18"/>
        </w:rPr>
        <w:t>. Las contribuciones, los aprovechamientos, así como las devoluciones a cargo del fisco federal, no se actualizarán por fracciones de mes.</w:t>
      </w:r>
    </w:p>
    <w:p w:rsidR="00491844" w:rsidRPr="000672F6" w:rsidRDefault="00491844" w:rsidP="008F4584">
      <w:pPr>
        <w:spacing w:before="240" w:line="276" w:lineRule="auto"/>
        <w:ind w:left="1134" w:right="1523"/>
        <w:jc w:val="both"/>
        <w:rPr>
          <w:rFonts w:ascii="ITC Avant Garde" w:hAnsi="ITC Avant Garde"/>
          <w:iCs/>
          <w:color w:val="000000"/>
          <w:sz w:val="18"/>
          <w:szCs w:val="18"/>
        </w:rPr>
      </w:pPr>
      <w:r w:rsidRPr="000672F6">
        <w:rPr>
          <w:rFonts w:ascii="ITC Avant Garde" w:hAnsi="ITC Avant Garde"/>
          <w:iCs/>
          <w:color w:val="000000"/>
          <w:sz w:val="18"/>
          <w:szCs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8F4584" w:rsidRPr="000672F6" w:rsidRDefault="00491844" w:rsidP="008F4584">
      <w:pPr>
        <w:spacing w:before="240" w:line="276" w:lineRule="auto"/>
        <w:ind w:left="1134" w:right="1523"/>
        <w:jc w:val="both"/>
        <w:rPr>
          <w:rFonts w:ascii="ITC Avant Garde" w:hAnsi="ITC Avant Garde"/>
          <w:iCs/>
          <w:color w:val="000000"/>
          <w:sz w:val="18"/>
          <w:szCs w:val="18"/>
        </w:rPr>
      </w:pPr>
      <w:r w:rsidRPr="000672F6">
        <w:rPr>
          <w:rFonts w:ascii="ITC Avant Garde" w:hAnsi="ITC Avant Garde"/>
          <w:iCs/>
          <w:color w:val="000000"/>
          <w:sz w:val="18"/>
          <w:szCs w:val="18"/>
        </w:rPr>
        <w:t>Los valores de bienes u operaciones se actualizarán de acuerdo con lo dispuesto por este Artículo, cuando las leyes fiscales así lo establezcan. Las disposiciones señalarán en cada caso el período de que se trate.</w:t>
      </w:r>
    </w:p>
    <w:p w:rsidR="008F4584" w:rsidRPr="000672F6" w:rsidRDefault="00491844" w:rsidP="008F4584">
      <w:pPr>
        <w:spacing w:before="240" w:line="276" w:lineRule="auto"/>
        <w:ind w:left="1134" w:right="1523"/>
        <w:jc w:val="both"/>
        <w:rPr>
          <w:rFonts w:ascii="ITC Avant Garde" w:hAnsi="ITC Avant Garde"/>
          <w:iCs/>
          <w:color w:val="000000"/>
          <w:sz w:val="18"/>
          <w:szCs w:val="18"/>
        </w:rPr>
      </w:pPr>
      <w:r w:rsidRPr="000672F6">
        <w:rPr>
          <w:rFonts w:ascii="ITC Avant Garde" w:hAnsi="ITC Avant Garde"/>
          <w:b/>
          <w:bCs/>
          <w:iCs/>
          <w:color w:val="000000"/>
          <w:sz w:val="18"/>
          <w:szCs w:val="18"/>
        </w:rPr>
        <w:t>Las cantidades actualizadas conservan la naturaleza jurídica que tenían antes de la actualización. El monto de ésta, determinado en los pagos provisionales, definitivos y del ejercicio, no será deducible ni acreditable.</w:t>
      </w:r>
      <w:r w:rsidRPr="000672F6">
        <w:rPr>
          <w:rFonts w:ascii="ITC Avant Garde" w:hAnsi="ITC Avant Garde"/>
          <w:iCs/>
          <w:color w:val="000000"/>
          <w:sz w:val="18"/>
          <w:szCs w:val="18"/>
        </w:rPr>
        <w:t>”</w:t>
      </w:r>
    </w:p>
    <w:p w:rsidR="008F4584" w:rsidRPr="000672F6" w:rsidRDefault="00491844" w:rsidP="008F4584">
      <w:pPr>
        <w:spacing w:before="240" w:line="276" w:lineRule="auto"/>
        <w:ind w:left="1134" w:right="1523"/>
        <w:jc w:val="both"/>
        <w:rPr>
          <w:rFonts w:ascii="ITC Avant Garde" w:hAnsi="ITC Avant Garde"/>
          <w:color w:val="000000"/>
          <w:sz w:val="18"/>
          <w:szCs w:val="18"/>
        </w:rPr>
      </w:pPr>
      <w:r w:rsidRPr="000672F6">
        <w:rPr>
          <w:rFonts w:ascii="ITC Avant Garde" w:hAnsi="ITC Avant Garde"/>
          <w:color w:val="000000"/>
          <w:sz w:val="18"/>
          <w:szCs w:val="18"/>
        </w:rPr>
        <w:t>(Énfasis añadido)</w:t>
      </w:r>
    </w:p>
    <w:p w:rsidR="008F4584" w:rsidRPr="000672F6" w:rsidRDefault="00491844" w:rsidP="008F4584">
      <w:pPr>
        <w:spacing w:before="240" w:line="276" w:lineRule="auto"/>
        <w:jc w:val="both"/>
        <w:rPr>
          <w:rFonts w:ascii="ITC Avant Garde" w:hAnsi="ITC Avant Garde"/>
          <w:color w:val="000000"/>
          <w:lang w:eastAsia="es-ES"/>
        </w:rPr>
      </w:pPr>
      <w:r w:rsidRPr="000672F6">
        <w:rPr>
          <w:rFonts w:ascii="ITC Avant Garde" w:hAnsi="ITC Avant Garde"/>
          <w:color w:val="000000"/>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rsidR="008F4584" w:rsidRPr="000672F6" w:rsidRDefault="00491844" w:rsidP="008F4584">
      <w:pPr>
        <w:spacing w:before="240" w:line="276" w:lineRule="auto"/>
        <w:jc w:val="both"/>
        <w:rPr>
          <w:rFonts w:ascii="ITC Avant Garde" w:hAnsi="ITC Avant Garde"/>
          <w:color w:val="000000"/>
        </w:rPr>
      </w:pPr>
      <w:r w:rsidRPr="000672F6">
        <w:rPr>
          <w:rFonts w:ascii="ITC Avant Garde" w:hAnsi="ITC Avant Garde"/>
          <w:color w:val="000000"/>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lastRenderedPageBreak/>
        <w:t>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rsidR="008F4584" w:rsidRPr="000672F6" w:rsidRDefault="00491844" w:rsidP="008F4584">
      <w:pPr>
        <w:spacing w:before="240" w:line="276" w:lineRule="auto"/>
        <w:jc w:val="both"/>
        <w:rPr>
          <w:rFonts w:ascii="ITC Avant Garde" w:hAnsi="ITC Avant Garde"/>
          <w:lang w:eastAsia="es-ES"/>
        </w:rPr>
      </w:pPr>
      <w:r w:rsidRPr="000672F6">
        <w:rPr>
          <w:rFonts w:ascii="ITC Avant Garde" w:hAnsi="ITC Avant Garde"/>
          <w:lang w:eastAsia="es-ES"/>
        </w:rPr>
        <w:t xml:space="preserve">En ese sentido, y atendiendo el caso de </w:t>
      </w:r>
      <w:r w:rsidRPr="000672F6">
        <w:rPr>
          <w:rFonts w:ascii="ITC Avant Garde" w:hAnsi="ITC Avant Garde"/>
          <w:iCs/>
          <w:lang w:eastAsia="es-ES"/>
        </w:rPr>
        <w:t>temporalidad</w:t>
      </w:r>
      <w:r w:rsidRPr="000672F6">
        <w:rPr>
          <w:rFonts w:ascii="ITC Avant Garde" w:hAnsi="ITC Avant Garde"/>
          <w:lang w:eastAsia="es-ES"/>
        </w:rPr>
        <w:t xml:space="preserve"> en la vigencia de la concesión, el Valor de Referencia obtenido de $0.7871 es para el cálculo de una contraprestación con vigencia típica a 12 años, primero se debe obtener el pago anual de este valor con la siguiente fórmula:</w:t>
      </w:r>
    </w:p>
    <w:p w:rsidR="00491844" w:rsidRPr="000672F6" w:rsidRDefault="000672F6" w:rsidP="008F4584">
      <w:pPr>
        <w:spacing w:before="240" w:line="276" w:lineRule="auto"/>
        <w:ind w:left="360"/>
        <w:contextualSpacing/>
        <w:jc w:val="center"/>
        <w:rPr>
          <w:rFonts w:ascii="ITC Avant Garde" w:hAnsi="ITC Avant Garde"/>
        </w:rPr>
      </w:pPr>
      <m:oMathPara>
        <m:oMath>
          <m:r>
            <m:rPr>
              <m:sty m:val="p"/>
            </m:rPr>
            <w:rPr>
              <w:rFonts w:ascii="Cambria Math" w:hAnsi="Cambria Math"/>
            </w:rPr>
            <m:t xml:space="preserve">Pago anual=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VR</m:t>
                  </m:r>
                </m:e>
                <m:sub>
                  <m:r>
                    <m:rPr>
                      <m:sty m:val="p"/>
                    </m:rPr>
                    <w:rPr>
                      <w:rFonts w:ascii="Cambria Math" w:hAnsi="Cambria Math"/>
                    </w:rPr>
                    <m:t>n</m:t>
                  </m:r>
                </m:sub>
              </m:sSub>
              <m:r>
                <m:rPr>
                  <m:sty m:val="p"/>
                </m:rPr>
                <w:rPr>
                  <w:rFonts w:ascii="Cambria Math" w:hAnsi="Cambria Math"/>
                </w:rPr>
                <m:t>*i</m:t>
              </m:r>
            </m:num>
            <m:den>
              <m:r>
                <m:rPr>
                  <m:sty m:val="p"/>
                </m:rPr>
                <w:rPr>
                  <w:rFonts w:ascii="Cambria Math" w:hAnsi="Cambria Math"/>
                </w:rPr>
                <m:t>1-</m:t>
              </m:r>
              <m:sSup>
                <m:sSupPr>
                  <m:ctrlPr>
                    <w:rPr>
                      <w:rFonts w:ascii="Cambria Math" w:hAnsi="Cambria Math"/>
                      <w:iCs/>
                    </w:rPr>
                  </m:ctrlPr>
                </m:sSupPr>
                <m:e>
                  <m:r>
                    <m:rPr>
                      <m:sty m:val="p"/>
                    </m:rPr>
                    <w:rPr>
                      <w:rFonts w:ascii="Cambria Math" w:hAnsi="Cambria Math"/>
                    </w:rPr>
                    <m:t>(1+i)</m:t>
                  </m:r>
                </m:e>
                <m:sup>
                  <m:r>
                    <m:rPr>
                      <m:sty m:val="p"/>
                    </m:rPr>
                    <w:rPr>
                      <w:rFonts w:ascii="Cambria Math" w:hAnsi="Cambria Math"/>
                    </w:rPr>
                    <m:t>-n</m:t>
                  </m:r>
                </m:sup>
              </m:sSup>
            </m:den>
          </m:f>
        </m:oMath>
      </m:oMathPara>
    </w:p>
    <w:p w:rsidR="008F4584" w:rsidRPr="000672F6" w:rsidRDefault="00491844" w:rsidP="008F4584">
      <w:pPr>
        <w:spacing w:before="240" w:line="276" w:lineRule="auto"/>
        <w:rPr>
          <w:rFonts w:ascii="ITC Avant Garde" w:hAnsi="ITC Avant Garde"/>
        </w:rPr>
      </w:pPr>
      <w:r w:rsidRPr="000672F6">
        <w:rPr>
          <w:rFonts w:ascii="ITC Avant Garde" w:hAnsi="ITC Avant Garde"/>
        </w:rPr>
        <w:t>Donde:</w:t>
      </w:r>
    </w:p>
    <w:p w:rsidR="00491844" w:rsidRPr="000672F6" w:rsidRDefault="00807442" w:rsidP="008F4584">
      <w:pPr>
        <w:spacing w:before="240" w:line="276" w:lineRule="auto"/>
        <w:rPr>
          <w:rFonts w:ascii="ITC Avant Garde" w:hAnsi="ITC Avant Garde"/>
        </w:rPr>
      </w:pPr>
      <m:oMath>
        <m:sSub>
          <m:sSubPr>
            <m:ctrlPr>
              <w:rPr>
                <w:rFonts w:ascii="Cambria Math" w:hAnsi="Cambria Math"/>
              </w:rPr>
            </m:ctrlPr>
          </m:sSubPr>
          <m:e>
            <m:r>
              <m:rPr>
                <m:sty m:val="p"/>
              </m:rPr>
              <w:rPr>
                <w:rFonts w:ascii="Cambria Math" w:hAnsi="Cambria Math"/>
              </w:rPr>
              <m:t>VR</m:t>
            </m:r>
          </m:e>
          <m:sub>
            <m:r>
              <m:rPr>
                <m:sty m:val="p"/>
              </m:rPr>
              <w:rPr>
                <w:rFonts w:ascii="Cambria Math" w:hAnsi="Cambria Math"/>
              </w:rPr>
              <m:t>n</m:t>
            </m:r>
          </m:sub>
        </m:sSub>
      </m:oMath>
      <w:r w:rsidR="00491844" w:rsidRPr="000672F6">
        <w:rPr>
          <w:rFonts w:ascii="ITC Avant Garde" w:hAnsi="ITC Avant Garde"/>
        </w:rPr>
        <w:t xml:space="preserve"> -  es el monto del valor de referencia a 12 años actualizado a abril de 2017 ($0.7871)</w:t>
      </w:r>
    </w:p>
    <w:p w:rsidR="00491844" w:rsidRPr="000672F6" w:rsidRDefault="000672F6" w:rsidP="008F4584">
      <w:pPr>
        <w:spacing w:before="240" w:line="276" w:lineRule="auto"/>
        <w:rPr>
          <w:rFonts w:ascii="ITC Avant Garde" w:hAnsi="ITC Avant Garde"/>
        </w:rPr>
      </w:pPr>
      <m:oMath>
        <m:r>
          <m:rPr>
            <m:sty m:val="p"/>
          </m:rPr>
          <w:rPr>
            <w:rFonts w:ascii="Cambria Math" w:hAnsi="Cambria Math"/>
          </w:rPr>
          <m:t>i</m:t>
        </m:r>
      </m:oMath>
      <w:r w:rsidR="00491844" w:rsidRPr="000672F6">
        <w:rPr>
          <w:rFonts w:ascii="ITC Avant Garde" w:hAnsi="ITC Avant Garde"/>
        </w:rPr>
        <w:t xml:space="preserve"> - es la tasa de descuento real anual (10.11%)</w:t>
      </w:r>
    </w:p>
    <w:p w:rsidR="008F4584" w:rsidRPr="000672F6" w:rsidRDefault="000672F6" w:rsidP="008F4584">
      <w:pPr>
        <w:spacing w:before="240" w:line="276" w:lineRule="auto"/>
        <w:rPr>
          <w:rFonts w:ascii="ITC Avant Garde" w:hAnsi="ITC Avant Garde"/>
        </w:rPr>
      </w:pPr>
      <m:oMath>
        <m:r>
          <m:rPr>
            <m:sty m:val="p"/>
          </m:rPr>
          <w:rPr>
            <w:rFonts w:ascii="Cambria Math" w:hAnsi="Cambria Math"/>
          </w:rPr>
          <m:t>n</m:t>
        </m:r>
      </m:oMath>
      <w:r w:rsidR="00491844" w:rsidRPr="000672F6">
        <w:rPr>
          <w:rFonts w:ascii="ITC Avant Garde" w:hAnsi="ITC Avant Garde"/>
        </w:rPr>
        <w:t xml:space="preserve"> – es el periodo que se quiere anualizar (12 años)</w:t>
      </w:r>
    </w:p>
    <w:p w:rsidR="008F4584" w:rsidRPr="000672F6" w:rsidRDefault="00491844" w:rsidP="008F4584">
      <w:pPr>
        <w:spacing w:before="240" w:line="276" w:lineRule="auto"/>
        <w:rPr>
          <w:rFonts w:ascii="ITC Avant Garde" w:hAnsi="ITC Avant Garde"/>
          <w:lang w:eastAsia="es-ES"/>
        </w:rPr>
      </w:pPr>
      <w:r w:rsidRPr="000672F6">
        <w:rPr>
          <w:rFonts w:ascii="ITC Avant Garde" w:hAnsi="ITC Avant Garde"/>
          <w:lang w:eastAsia="es-ES"/>
        </w:rPr>
        <w:t>Por lo que al sustituir los valores resulta lo siguiente:</w:t>
      </w:r>
    </w:p>
    <w:p w:rsidR="008F4584" w:rsidRPr="000672F6" w:rsidRDefault="000672F6" w:rsidP="008F4584">
      <w:pPr>
        <w:spacing w:before="240" w:line="276" w:lineRule="auto"/>
        <w:jc w:val="center"/>
        <w:rPr>
          <w:rFonts w:ascii="Soberana Sans" w:eastAsiaTheme="minorEastAsia" w:hAnsi="Soberana Sans"/>
        </w:rPr>
      </w:pPr>
      <m:oMathPara>
        <m:oMath>
          <m:r>
            <m:rPr>
              <m:sty m:val="p"/>
            </m:rPr>
            <w:rPr>
              <w:rFonts w:ascii="Cambria Math" w:hAnsi="Cambria Math"/>
            </w:rPr>
            <m:t xml:space="preserve">Pago anual= </m:t>
          </m:r>
          <m:f>
            <m:fPr>
              <m:ctrlPr>
                <w:rPr>
                  <w:rFonts w:ascii="Cambria Math" w:hAnsi="Cambria Math"/>
                  <w:iCs/>
                </w:rPr>
              </m:ctrlPr>
            </m:fPr>
            <m:num>
              <m:r>
                <m:rPr>
                  <m:sty m:val="p"/>
                </m:rPr>
                <w:rPr>
                  <w:rFonts w:ascii="Cambria Math" w:hAnsi="Cambria Math"/>
                </w:rPr>
                <m:t>$0.7871*10.11%</m:t>
              </m:r>
            </m:num>
            <m:den>
              <m:r>
                <m:rPr>
                  <m:sty m:val="p"/>
                </m:rPr>
                <w:rPr>
                  <w:rFonts w:ascii="Cambria Math" w:hAnsi="Cambria Math"/>
                </w:rPr>
                <m:t>1-</m:t>
              </m:r>
              <m:sSup>
                <m:sSupPr>
                  <m:ctrlPr>
                    <w:rPr>
                      <w:rFonts w:ascii="Cambria Math" w:hAnsi="Cambria Math"/>
                      <w:iCs/>
                    </w:rPr>
                  </m:ctrlPr>
                </m:sSupPr>
                <m:e>
                  <m:r>
                    <m:rPr>
                      <m:sty m:val="p"/>
                    </m:rPr>
                    <w:rPr>
                      <w:rFonts w:ascii="Cambria Math" w:hAnsi="Cambria Math"/>
                    </w:rPr>
                    <m:t>(1+10.11%)</m:t>
                  </m:r>
                </m:e>
                <m:sup>
                  <m:r>
                    <m:rPr>
                      <m:sty m:val="p"/>
                    </m:rPr>
                    <w:rPr>
                      <w:rFonts w:ascii="Cambria Math" w:hAnsi="Cambria Math"/>
                    </w:rPr>
                    <m:t>-12</m:t>
                  </m:r>
                </m:sup>
              </m:sSup>
            </m:den>
          </m:f>
          <m:r>
            <m:rPr>
              <m:sty m:val="p"/>
            </m:rPr>
            <w:rPr>
              <w:rFonts w:ascii="Cambria Math" w:hAnsi="Cambria Math"/>
            </w:rPr>
            <m:t>=$0.1161</m:t>
          </m:r>
        </m:oMath>
      </m:oMathPara>
    </w:p>
    <w:p w:rsidR="008F4584" w:rsidRPr="000672F6" w:rsidRDefault="00491844" w:rsidP="008F4584">
      <w:pPr>
        <w:spacing w:before="240" w:line="276" w:lineRule="auto"/>
        <w:jc w:val="both"/>
        <w:rPr>
          <w:rFonts w:ascii="ITC Avant Garde" w:hAnsi="ITC Avant Garde"/>
          <w:lang w:eastAsia="es-ES"/>
        </w:rPr>
      </w:pPr>
      <w:r w:rsidRPr="000672F6">
        <w:rPr>
          <w:rFonts w:ascii="ITC Avant Garde" w:hAnsi="ITC Avant Garde"/>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rsidR="008F4584" w:rsidRPr="000672F6" w:rsidRDefault="000672F6" w:rsidP="008F4584">
      <w:pPr>
        <w:spacing w:before="240" w:line="276" w:lineRule="auto"/>
        <w:ind w:left="360"/>
        <w:contextualSpacing/>
        <w:jc w:val="center"/>
        <w:rPr>
          <w:rFonts w:ascii="ITC Avant Garde" w:hAnsi="ITC Avant Garde"/>
        </w:rPr>
      </w:pPr>
      <m:oMathPara>
        <m:oMath>
          <m:r>
            <m:rPr>
              <m:sty m:val="p"/>
            </m:rPr>
            <w:rPr>
              <w:rFonts w:ascii="Cambria Math" w:hAnsi="Cambria Math"/>
            </w:rPr>
            <m:t xml:space="preserve">Valor Actual= </m:t>
          </m:r>
          <m:f>
            <m:fPr>
              <m:ctrlPr>
                <w:rPr>
                  <w:rFonts w:ascii="Cambria Math" w:hAnsi="Cambria Math"/>
                  <w:iCs/>
                </w:rPr>
              </m:ctrlPr>
            </m:fPr>
            <m:num>
              <m:r>
                <m:rPr>
                  <m:sty m:val="p"/>
                </m:rPr>
                <w:rPr>
                  <w:rFonts w:ascii="Cambria Math" w:hAnsi="Cambria Math"/>
                </w:rPr>
                <m:t>Pago anual*[1-</m:t>
              </m:r>
              <m:sSup>
                <m:sSupPr>
                  <m:ctrlPr>
                    <w:rPr>
                      <w:rFonts w:ascii="Cambria Math" w:hAnsi="Cambria Math"/>
                      <w:iCs/>
                    </w:rPr>
                  </m:ctrlPr>
                </m:sSupPr>
                <m:e>
                  <m:d>
                    <m:dPr>
                      <m:ctrlPr>
                        <w:rPr>
                          <w:rFonts w:ascii="Cambria Math" w:hAnsi="Cambria Math"/>
                          <w:iCs/>
                        </w:rPr>
                      </m:ctrlPr>
                    </m:dPr>
                    <m:e>
                      <m:r>
                        <m:rPr>
                          <m:sty m:val="p"/>
                        </m:rPr>
                        <w:rPr>
                          <w:rFonts w:ascii="Cambria Math" w:hAnsi="Cambria Math"/>
                        </w:rPr>
                        <m:t>1+i</m:t>
                      </m:r>
                    </m:e>
                  </m:d>
                </m:e>
                <m:sup>
                  <m:r>
                    <m:rPr>
                      <m:sty m:val="p"/>
                    </m:rPr>
                    <w:rPr>
                      <w:rFonts w:ascii="Cambria Math" w:hAnsi="Cambria Math"/>
                    </w:rPr>
                    <m:t>-n</m:t>
                  </m:r>
                </m:sup>
              </m:sSup>
              <m:r>
                <m:rPr>
                  <m:sty m:val="p"/>
                </m:rPr>
                <w:rPr>
                  <w:rFonts w:ascii="Cambria Math" w:hAnsi="Cambria Math"/>
                </w:rPr>
                <m:t>]</m:t>
              </m:r>
            </m:num>
            <m:den>
              <m:r>
                <m:rPr>
                  <m:sty m:val="p"/>
                </m:rPr>
                <w:rPr>
                  <w:rFonts w:ascii="Cambria Math" w:hAnsi="Cambria Math"/>
                </w:rPr>
                <m:t>i</m:t>
              </m:r>
            </m:den>
          </m:f>
        </m:oMath>
      </m:oMathPara>
    </w:p>
    <w:p w:rsidR="008F4584" w:rsidRPr="000672F6" w:rsidRDefault="00491844" w:rsidP="008F4584">
      <w:pPr>
        <w:spacing w:before="240" w:line="276" w:lineRule="auto"/>
        <w:rPr>
          <w:rFonts w:ascii="ITC Avant Garde" w:hAnsi="ITC Avant Garde"/>
          <w:lang w:eastAsia="es-ES"/>
        </w:rPr>
      </w:pPr>
      <w:r w:rsidRPr="000672F6">
        <w:rPr>
          <w:rFonts w:ascii="ITC Avant Garde" w:hAnsi="ITC Avant Garde"/>
          <w:lang w:eastAsia="es-ES"/>
        </w:rPr>
        <w:t>Donde:</w:t>
      </w:r>
    </w:p>
    <w:p w:rsidR="00491844" w:rsidRPr="000672F6" w:rsidRDefault="000672F6" w:rsidP="008F4584">
      <w:pPr>
        <w:spacing w:before="240" w:line="276" w:lineRule="auto"/>
        <w:jc w:val="both"/>
        <w:rPr>
          <w:rFonts w:ascii="ITC Avant Garde" w:hAnsi="ITC Avant Garde"/>
          <w:lang w:eastAsia="es-ES"/>
        </w:rPr>
      </w:pPr>
      <m:oMath>
        <m:r>
          <m:rPr>
            <m:sty m:val="p"/>
          </m:rPr>
          <w:rPr>
            <w:rFonts w:ascii="Cambria Math" w:hAnsi="Cambria Math"/>
            <w:lang w:eastAsia="es-ES"/>
          </w:rPr>
          <m:t>i</m:t>
        </m:r>
      </m:oMath>
      <w:r w:rsidR="00491844" w:rsidRPr="000672F6">
        <w:rPr>
          <w:rFonts w:ascii="ITC Avant Garde" w:hAnsi="ITC Avant Garde"/>
          <w:lang w:eastAsia="es-ES"/>
        </w:rPr>
        <w:t xml:space="preserve"> - es la tasa de descuento de 10.11%, utilizada por la Secretaría de Hacienda y Crédito Público.</w:t>
      </w:r>
    </w:p>
    <w:p w:rsidR="00491844" w:rsidRPr="000672F6" w:rsidRDefault="000672F6" w:rsidP="008F4584">
      <w:pPr>
        <w:spacing w:before="240" w:line="276" w:lineRule="auto"/>
        <w:rPr>
          <w:rFonts w:ascii="ITC Avant Garde" w:hAnsi="ITC Avant Garde"/>
          <w:lang w:eastAsia="es-ES"/>
        </w:rPr>
      </w:pPr>
      <m:oMath>
        <m:r>
          <m:rPr>
            <m:sty m:val="p"/>
          </m:rPr>
          <w:rPr>
            <w:rFonts w:ascii="Cambria Math" w:hAnsi="Cambria Math"/>
            <w:lang w:eastAsia="es-ES"/>
          </w:rPr>
          <w:lastRenderedPageBreak/>
          <m:t>n</m:t>
        </m:r>
      </m:oMath>
      <w:r w:rsidR="00491844" w:rsidRPr="000672F6">
        <w:rPr>
          <w:rFonts w:ascii="ITC Avant Garde" w:hAnsi="ITC Avant Garde"/>
          <w:lang w:eastAsia="es-ES"/>
        </w:rPr>
        <w:t xml:space="preserve"> – es el periodo del Valor actual (20 años).</w:t>
      </w:r>
    </w:p>
    <w:p w:rsidR="008F4584" w:rsidRPr="000672F6" w:rsidRDefault="00491844" w:rsidP="008F4584">
      <w:pPr>
        <w:spacing w:before="240" w:line="276" w:lineRule="auto"/>
        <w:rPr>
          <w:rFonts w:ascii="ITC Avant Garde" w:hAnsi="ITC Avant Garde"/>
          <w:lang w:eastAsia="es-ES"/>
        </w:rPr>
      </w:pPr>
      <w:r w:rsidRPr="000672F6">
        <w:rPr>
          <w:rFonts w:ascii="ITC Avant Garde" w:hAnsi="ITC Avant Garde"/>
          <w:lang w:eastAsia="es-ES"/>
        </w:rPr>
        <w:t>Así, al sustituir los valores indicados se obtiene lo siguiente:</w:t>
      </w:r>
    </w:p>
    <w:p w:rsidR="008F4584" w:rsidRPr="000672F6" w:rsidRDefault="000672F6" w:rsidP="008F4584">
      <w:pPr>
        <w:spacing w:before="240" w:line="276" w:lineRule="auto"/>
        <w:rPr>
          <w:rFonts w:ascii="Soberana Sans" w:hAnsi="Soberana Sans"/>
        </w:rPr>
      </w:pPr>
      <m:oMathPara>
        <m:oMath>
          <m:r>
            <m:rPr>
              <m:sty m:val="p"/>
            </m:rPr>
            <w:rPr>
              <w:rFonts w:ascii="Cambria Math" w:hAnsi="Cambria Math"/>
            </w:rPr>
            <m:t xml:space="preserve">Valor Actual= </m:t>
          </m:r>
          <m:f>
            <m:fPr>
              <m:ctrlPr>
                <w:rPr>
                  <w:rFonts w:ascii="Cambria Math" w:hAnsi="Cambria Math"/>
                </w:rPr>
              </m:ctrlPr>
            </m:fPr>
            <m:num>
              <m:r>
                <m:rPr>
                  <m:sty m:val="p"/>
                </m:rPr>
                <w:rPr>
                  <w:rFonts w:ascii="Cambria Math" w:hAnsi="Cambria Math"/>
                </w:rPr>
                <m:t>$0.1161*[1-</m:t>
              </m:r>
              <m:sSup>
                <m:sSupPr>
                  <m:ctrlPr>
                    <w:rPr>
                      <w:rFonts w:ascii="Cambria Math" w:hAnsi="Cambria Math"/>
                    </w:rPr>
                  </m:ctrlPr>
                </m:sSupPr>
                <m:e>
                  <m:d>
                    <m:dPr>
                      <m:ctrlPr>
                        <w:rPr>
                          <w:rFonts w:ascii="Cambria Math" w:hAnsi="Cambria Math"/>
                        </w:rPr>
                      </m:ctrlPr>
                    </m:dPr>
                    <m:e>
                      <m:r>
                        <m:rPr>
                          <m:sty m:val="p"/>
                        </m:rPr>
                        <w:rPr>
                          <w:rFonts w:ascii="Cambria Math" w:hAnsi="Cambria Math"/>
                        </w:rPr>
                        <m:t>1+10.11%</m:t>
                      </m:r>
                    </m:e>
                  </m:d>
                </m:e>
                <m:sup>
                  <m:r>
                    <m:rPr>
                      <m:sty m:val="p"/>
                    </m:rPr>
                    <w:rPr>
                      <w:rFonts w:ascii="Cambria Math" w:hAnsi="Cambria Math"/>
                    </w:rPr>
                    <m:t>-20</m:t>
                  </m:r>
                </m:sup>
              </m:sSup>
              <m:r>
                <m:rPr>
                  <m:sty m:val="p"/>
                </m:rPr>
                <w:rPr>
                  <w:rFonts w:ascii="Cambria Math" w:hAnsi="Cambria Math"/>
                </w:rPr>
                <m:t>]</m:t>
              </m:r>
            </m:num>
            <m:den>
              <m:r>
                <m:rPr>
                  <m:sty m:val="p"/>
                </m:rPr>
                <w:rPr>
                  <w:rFonts w:ascii="Cambria Math" w:hAnsi="Cambria Math"/>
                </w:rPr>
                <m:t>10.11%</m:t>
              </m:r>
            </m:den>
          </m:f>
          <m:r>
            <m:rPr>
              <m:sty m:val="p"/>
            </m:rPr>
            <w:rPr>
              <w:rFonts w:ascii="Cambria Math" w:hAnsi="Cambria Math"/>
            </w:rPr>
            <m:t>=$0.9813</m:t>
          </m:r>
        </m:oMath>
      </m:oMathPara>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 xml:space="preserve">De esta forma, el Valor de Referencia utilizado es de $0.9813 pesos por habitante para concesiones con vigencia de 20 años para estaciones FM y $0.3435 pesos por habitante para concesiones con vigencia de 20 años para estaciones AM, el cual fue actualizado con el </w:t>
      </w:r>
      <w:r w:rsidRPr="000672F6">
        <w:rPr>
          <w:rFonts w:ascii="ITC Avant Garde" w:hAnsi="ITC Avant Garde"/>
          <w:u w:val="single"/>
        </w:rPr>
        <w:t xml:space="preserve">INPC de abril de 2017. </w:t>
      </w:r>
    </w:p>
    <w:p w:rsidR="008F4584" w:rsidRPr="000672F6" w:rsidRDefault="00491844" w:rsidP="008F4584">
      <w:pPr>
        <w:numPr>
          <w:ilvl w:val="0"/>
          <w:numId w:val="24"/>
        </w:numPr>
        <w:autoSpaceDN w:val="0"/>
        <w:spacing w:before="240" w:line="276" w:lineRule="auto"/>
        <w:jc w:val="both"/>
        <w:textAlignment w:val="baseline"/>
        <w:rPr>
          <w:rFonts w:ascii="ITC Avant Garde" w:eastAsia="Times New Roman" w:hAnsi="ITC Avant Garde"/>
          <w:b/>
          <w:bCs/>
        </w:rPr>
      </w:pPr>
      <w:r w:rsidRPr="000672F6">
        <w:rPr>
          <w:rFonts w:ascii="ITC Avant Garde" w:eastAsia="Times New Roman" w:hAnsi="ITC Avant Garde"/>
          <w:b/>
          <w:bCs/>
        </w:rPr>
        <w:t>Población servida</w:t>
      </w:r>
    </w:p>
    <w:p w:rsidR="008F4584" w:rsidRPr="000672F6" w:rsidRDefault="00491844" w:rsidP="008F4584">
      <w:pPr>
        <w:spacing w:before="240" w:line="276" w:lineRule="auto"/>
        <w:jc w:val="both"/>
        <w:rPr>
          <w:rFonts w:ascii="ITC Avant Garde" w:hAnsi="ITC Avant Garde"/>
        </w:rPr>
      </w:pPr>
      <w:r w:rsidRPr="000672F6">
        <w:rPr>
          <w:rFonts w:ascii="ITC Avant Garde" w:hAnsi="ITC Avant Garde"/>
        </w:rPr>
        <w:t>Es el número de habitantes cubiertos por la estación concesionada con calidad auditiva. La cobertura poblacional deriva de calcular el contorno audible comercial y determinar la población cubierta dentro de dicho contorno, conforme a lo dispuesto en la disposición IFT-001-2015 “Especificaciones y requerimientos para la instalación y operación de las estaciones de radiodifusión sonora en amplitud modulada en la banda de 535 kHz a 1705 kHz”, para el caso de AM (contorno audible de 80 dBu), y la disposición IFT-002-2016 “Especificaciones y requerimientos mínimos para la instalación y operación de las estaciones de radiodifusión sonora en frecuencia modulada</w:t>
      </w:r>
      <w:r w:rsidRPr="000672F6">
        <w:rPr>
          <w:rFonts w:ascii="Times New Roman" w:hAnsi="Times New Roman"/>
          <w:sz w:val="24"/>
          <w:szCs w:val="24"/>
          <w:lang w:eastAsia="es-ES"/>
        </w:rPr>
        <w:t xml:space="preserve"> </w:t>
      </w:r>
      <w:r w:rsidRPr="000672F6">
        <w:rPr>
          <w:rFonts w:ascii="ITC Avant Garde" w:hAnsi="ITC Avant Garde"/>
        </w:rPr>
        <w:t>en la banda de 88 MHz a 108 MHz ”, para el caso de FM (contorno audible de 74 dBu).</w:t>
      </w:r>
    </w:p>
    <w:p w:rsidR="008F4584" w:rsidRPr="000672F6" w:rsidRDefault="00491844" w:rsidP="008F4584">
      <w:pPr>
        <w:spacing w:before="240" w:line="276" w:lineRule="auto"/>
        <w:jc w:val="both"/>
        <w:rPr>
          <w:rFonts w:ascii="ITC Avant Garde" w:hAnsi="ITC Avant Garde"/>
          <w:lang w:eastAsia="ar-SA"/>
        </w:rPr>
      </w:pPr>
      <w:r w:rsidRPr="000672F6">
        <w:rPr>
          <w:rFonts w:ascii="ITC Avant Garde" w:hAnsi="ITC Avant Garde"/>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rsidR="008F4584" w:rsidRPr="000672F6" w:rsidRDefault="00491844" w:rsidP="008F4584">
      <w:pPr>
        <w:spacing w:before="240" w:line="276" w:lineRule="auto"/>
        <w:jc w:val="both"/>
        <w:rPr>
          <w:rFonts w:ascii="ITC Avant Garde" w:hAnsi="ITC Avant Garde"/>
          <w:lang w:eastAsia="ar-SA"/>
        </w:rPr>
      </w:pPr>
      <w:r w:rsidRPr="000672F6">
        <w:rPr>
          <w:rFonts w:ascii="ITC Avant Garde" w:hAnsi="ITC Avant Garde"/>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0672F6">
        <w:rPr>
          <w:rFonts w:ascii="ITC Avant Garde" w:hAnsi="ITC Avant Garde"/>
        </w:rPr>
        <w:t>que dibuja el área que comprende el contorno audible mediante un método de predicción de propagación,</w:t>
      </w:r>
      <w:r w:rsidRPr="000672F6">
        <w:rPr>
          <w:rFonts w:ascii="ITC Avant Garde" w:hAnsi="ITC Avant Garde"/>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w:t>
      </w:r>
      <w:r w:rsidRPr="000672F6">
        <w:rPr>
          <w:rFonts w:ascii="ITC Avant Garde" w:hAnsi="ITC Avant Garde"/>
          <w:lang w:eastAsia="ar-SA"/>
        </w:rPr>
        <w:lastRenderedPageBreak/>
        <w:t xml:space="preserve">destacar que </w:t>
      </w:r>
      <w:r w:rsidRPr="000672F6">
        <w:rPr>
          <w:rFonts w:ascii="ITC Avant Garde" w:hAnsi="ITC Avant Garde"/>
        </w:rPr>
        <w:t>la población servida será la misma para cualquier concesión siempre y cuando no exista una actualización en el Censo de Población y Vivienda que publica el INEGI</w:t>
      </w:r>
      <w:r w:rsidRPr="000672F6">
        <w:rPr>
          <w:rFonts w:ascii="ITC Avant Garde" w:hAnsi="ITC Avant Garde"/>
          <w:lang w:eastAsia="ar-SA"/>
        </w:rPr>
        <w:t>.</w:t>
      </w:r>
    </w:p>
    <w:p w:rsidR="008F4584" w:rsidRPr="000672F6" w:rsidRDefault="00491844" w:rsidP="008F4584">
      <w:pPr>
        <w:numPr>
          <w:ilvl w:val="0"/>
          <w:numId w:val="24"/>
        </w:numPr>
        <w:autoSpaceDN w:val="0"/>
        <w:spacing w:before="240" w:line="276" w:lineRule="auto"/>
        <w:jc w:val="both"/>
        <w:textAlignment w:val="baseline"/>
        <w:rPr>
          <w:rFonts w:ascii="ITC Avant Garde" w:eastAsia="Times New Roman" w:hAnsi="ITC Avant Garde"/>
          <w:b/>
          <w:bCs/>
          <w:lang w:eastAsia="ar-SA"/>
        </w:rPr>
      </w:pPr>
      <w:r w:rsidRPr="000672F6">
        <w:rPr>
          <w:rFonts w:ascii="ITC Avant Garde" w:eastAsia="Times New Roman" w:hAnsi="ITC Avant Garde"/>
          <w:b/>
          <w:bCs/>
          <w:lang w:eastAsia="ar-SA"/>
        </w:rPr>
        <w:t>Factor Económico</w:t>
      </w:r>
    </w:p>
    <w:p w:rsidR="008F4584" w:rsidRPr="000672F6" w:rsidRDefault="00491844" w:rsidP="008F4584">
      <w:pPr>
        <w:spacing w:before="240" w:line="276" w:lineRule="auto"/>
        <w:jc w:val="both"/>
        <w:rPr>
          <w:rFonts w:ascii="ITC Avant Garde" w:hAnsi="ITC Avant Garde"/>
          <w:lang w:eastAsia="ar-SA"/>
        </w:rPr>
      </w:pPr>
      <w:r w:rsidRPr="000672F6">
        <w:rPr>
          <w:rFonts w:ascii="ITC Avant Garde" w:hAnsi="ITC Avant Garde"/>
          <w:lang w:eastAsia="ar-SA"/>
        </w:rPr>
        <w:t>El factor económico tiene como finalidad reflejar el valor de mercado de las concesiones en las que además de la población servida se tome en cuenta el potencial económico de la cobertura que se concesiona.</w:t>
      </w:r>
    </w:p>
    <w:p w:rsidR="00491844" w:rsidRPr="000672F6" w:rsidRDefault="00491844" w:rsidP="008F4584">
      <w:pPr>
        <w:spacing w:before="240" w:line="276" w:lineRule="auto"/>
        <w:jc w:val="both"/>
        <w:rPr>
          <w:rFonts w:ascii="ITC Avant Garde" w:hAnsi="ITC Avant Garde"/>
          <w:lang w:eastAsia="es-ES"/>
        </w:rPr>
      </w:pPr>
      <w:r w:rsidRPr="000672F6">
        <w:rPr>
          <w:rFonts w:ascii="ITC Avant Garde" w:hAnsi="ITC Avant Garde"/>
          <w:lang w:eastAsia="es-ES"/>
        </w:rPr>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rsidR="008F4584" w:rsidRPr="000672F6" w:rsidRDefault="00491844" w:rsidP="008F4584">
      <w:pPr>
        <w:spacing w:before="240" w:line="276" w:lineRule="auto"/>
        <w:jc w:val="both"/>
        <w:rPr>
          <w:rFonts w:ascii="ITC Avant Garde" w:hAnsi="ITC Avant Garde"/>
          <w:lang w:eastAsia="es-ES"/>
        </w:rPr>
      </w:pPr>
      <w:r w:rsidRPr="000672F6">
        <w:rPr>
          <w:rFonts w:ascii="ITC Avant Garde" w:hAnsi="ITC Avant Garde"/>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rsidR="008F4584" w:rsidRPr="000672F6" w:rsidRDefault="00807442" w:rsidP="008F4584">
      <w:pPr>
        <w:spacing w:before="240" w:line="276" w:lineRule="auto"/>
        <w:ind w:left="360"/>
        <w:contextualSpacing/>
        <w:jc w:val="both"/>
        <w:rPr>
          <w:rFonts w:ascii="ITC Avant Garde" w:hAnsi="ITC Avant Garde"/>
          <w:lang w:eastAsia="es-ES"/>
        </w:rPr>
      </w:pPr>
      <m:oMathPara>
        <m:oMath>
          <m:sSub>
            <m:sSubPr>
              <m:ctrlPr>
                <w:rPr>
                  <w:rFonts w:ascii="Cambria Math" w:hAnsi="Cambria Math"/>
                  <w:iCs/>
                  <w:lang w:eastAsia="es-ES"/>
                </w:rPr>
              </m:ctrlPr>
            </m:sSubPr>
            <m:e>
              <m:r>
                <m:rPr>
                  <m:sty m:val="p"/>
                </m:rPr>
                <w:rPr>
                  <w:rFonts w:ascii="Cambria Math" w:hAnsi="Cambria Math"/>
                  <w:lang w:eastAsia="es-ES"/>
                </w:rPr>
                <m:t>Valor Bruto de la Producción per cápita</m:t>
              </m:r>
            </m:e>
            <m:sub/>
          </m:sSub>
          <m:r>
            <m:rPr>
              <m:sty m:val="p"/>
            </m:rPr>
            <w:rPr>
              <w:rFonts w:ascii="Cambria Math" w:hAnsi="Cambria Math"/>
              <w:lang w:eastAsia="es-ES"/>
            </w:rPr>
            <m:t>=</m:t>
          </m:r>
          <m:f>
            <m:fPr>
              <m:ctrlPr>
                <w:rPr>
                  <w:rFonts w:ascii="Cambria Math" w:hAnsi="Cambria Math"/>
                  <w:iCs/>
                  <w:lang w:eastAsia="es-ES"/>
                </w:rPr>
              </m:ctrlPr>
            </m:fPr>
            <m:num>
              <m:r>
                <m:rPr>
                  <m:sty m:val="p"/>
                </m:rPr>
                <w:rPr>
                  <w:rFonts w:ascii="Cambria Math" w:hAnsi="Cambria Math"/>
                  <w:lang w:eastAsia="es-ES"/>
                </w:rPr>
                <m:t>PBT</m:t>
              </m:r>
            </m:num>
            <m:den>
              <m:r>
                <m:rPr>
                  <m:sty m:val="p"/>
                </m:rPr>
                <w:rPr>
                  <w:rFonts w:ascii="Cambria Math" w:hAnsi="Cambria Math"/>
                  <w:lang w:eastAsia="es-ES"/>
                </w:rPr>
                <m:t>PPS</m:t>
              </m:r>
            </m:den>
          </m:f>
        </m:oMath>
      </m:oMathPara>
    </w:p>
    <w:p w:rsidR="008F4584" w:rsidRPr="000672F6" w:rsidRDefault="00491844" w:rsidP="008F4584">
      <w:pPr>
        <w:spacing w:before="240" w:line="276" w:lineRule="auto"/>
        <w:rPr>
          <w:rFonts w:ascii="ITC Avant Garde" w:hAnsi="ITC Avant Garde"/>
          <w:lang w:eastAsia="es-ES"/>
        </w:rPr>
      </w:pPr>
      <w:r w:rsidRPr="000672F6">
        <w:rPr>
          <w:rFonts w:ascii="ITC Avant Garde" w:hAnsi="ITC Avant Garde"/>
          <w:lang w:eastAsia="es-ES"/>
        </w:rPr>
        <w:t>Donde:</w:t>
      </w:r>
    </w:p>
    <w:p w:rsidR="00491844" w:rsidRPr="000672F6" w:rsidRDefault="000672F6" w:rsidP="008F4584">
      <w:pPr>
        <w:spacing w:before="240" w:line="276" w:lineRule="auto"/>
        <w:jc w:val="both"/>
        <w:rPr>
          <w:rFonts w:ascii="ITC Avant Garde" w:hAnsi="ITC Avant Garde"/>
          <w:lang w:eastAsia="es-ES"/>
        </w:rPr>
      </w:pPr>
      <m:oMath>
        <m:r>
          <m:rPr>
            <m:sty m:val="p"/>
          </m:rPr>
          <w:rPr>
            <w:rFonts w:ascii="Cambria Math" w:hAnsi="Cambria Math"/>
            <w:lang w:eastAsia="es-ES"/>
          </w:rPr>
          <m:t>PBT</m:t>
        </m:r>
      </m:oMath>
      <w:r w:rsidR="00491844" w:rsidRPr="000672F6">
        <w:rPr>
          <w:rFonts w:ascii="ITC Avant Garde" w:hAnsi="ITC Avant Garde"/>
          <w:lang w:eastAsia="es-ES"/>
        </w:rPr>
        <w:t xml:space="preserve"> - es la Producción Bruta Total de Municipio de la Localidad Principal a Servir.</w:t>
      </w:r>
    </w:p>
    <w:p w:rsidR="008F4584" w:rsidRPr="000672F6" w:rsidRDefault="00491844" w:rsidP="008F4584">
      <w:pPr>
        <w:spacing w:before="240" w:line="276" w:lineRule="auto"/>
        <w:rPr>
          <w:rFonts w:ascii="ITC Avant Garde" w:hAnsi="ITC Avant Garde"/>
          <w:lang w:eastAsia="es-ES"/>
        </w:rPr>
      </w:pPr>
      <w:r w:rsidRPr="000672F6">
        <w:rPr>
          <w:rFonts w:ascii="Cambria Math" w:hAnsi="Cambria Math"/>
          <w:iCs/>
          <w:lang w:eastAsia="es-ES"/>
        </w:rPr>
        <w:t>PPS</w:t>
      </w:r>
      <w:r w:rsidRPr="000672F6">
        <w:rPr>
          <w:rFonts w:ascii="ITC Avant Garde" w:hAnsi="ITC Avant Garde"/>
          <w:lang w:eastAsia="es-ES"/>
        </w:rPr>
        <w:t xml:space="preserve"> – es la Población del municipio de la Localidad Principal a Servir.</w:t>
      </w:r>
    </w:p>
    <w:p w:rsidR="00491844" w:rsidRPr="000672F6" w:rsidRDefault="00491844" w:rsidP="008F4584">
      <w:pPr>
        <w:spacing w:before="240" w:line="276" w:lineRule="auto"/>
        <w:jc w:val="both"/>
        <w:rPr>
          <w:rFonts w:ascii="ITC Avant Garde" w:hAnsi="ITC Avant Garde"/>
          <w:lang w:eastAsia="ar-SA"/>
        </w:rPr>
      </w:pPr>
      <w:r w:rsidRPr="000672F6">
        <w:rPr>
          <w:rFonts w:ascii="ITC Avant Garde" w:hAnsi="ITC Avant Garde"/>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1"/>
        <w:tblW w:w="6379" w:type="dxa"/>
        <w:tblInd w:w="1696" w:type="dxa"/>
        <w:tblLook w:val="04A0" w:firstRow="1" w:lastRow="0" w:firstColumn="1" w:lastColumn="0" w:noHBand="0" w:noVBand="1"/>
        <w:tblCaption w:val="valor per cápita"/>
        <w:tblDescription w:val="En una tabla de 3 columnas y 7 filas, se proprcionan los valores per cápita por rango y FE."/>
      </w:tblPr>
      <w:tblGrid>
        <w:gridCol w:w="4395"/>
        <w:gridCol w:w="1134"/>
        <w:gridCol w:w="850"/>
      </w:tblGrid>
      <w:tr w:rsidR="000672F6" w:rsidRPr="000672F6" w:rsidTr="000672F6">
        <w:trPr>
          <w:trHeight w:val="480"/>
          <w:tblHeader/>
        </w:trPr>
        <w:tc>
          <w:tcPr>
            <w:tcW w:w="4395" w:type="dxa"/>
            <w:shd w:val="clear" w:color="auto" w:fill="A8D08D" w:themeFill="accent6" w:themeFillTint="99"/>
            <w:vAlign w:val="center"/>
            <w:hideMark/>
          </w:tcPr>
          <w:p w:rsidR="000672F6" w:rsidRPr="000672F6" w:rsidRDefault="000672F6" w:rsidP="000672F6">
            <w:pPr>
              <w:spacing w:line="276" w:lineRule="auto"/>
              <w:ind w:right="-62"/>
              <w:jc w:val="center"/>
              <w:rPr>
                <w:rFonts w:ascii="ITC Avant Garde" w:hAnsi="ITC Avant Garde"/>
                <w:b/>
                <w:bCs/>
                <w:sz w:val="18"/>
                <w:szCs w:val="18"/>
                <w:lang w:eastAsia="ar-SA"/>
              </w:rPr>
            </w:pPr>
            <w:r w:rsidRPr="000672F6">
              <w:rPr>
                <w:rFonts w:ascii="ITC Avant Garde" w:hAnsi="ITC Avant Garde"/>
                <w:b/>
                <w:bCs/>
                <w:sz w:val="18"/>
                <w:szCs w:val="18"/>
                <w:lang w:eastAsia="ar-SA"/>
              </w:rPr>
              <w:t>Valor Pér capita de la producción bruta (miles de pesos)</w:t>
            </w:r>
          </w:p>
        </w:tc>
        <w:tc>
          <w:tcPr>
            <w:tcW w:w="1134" w:type="dxa"/>
            <w:shd w:val="clear" w:color="auto" w:fill="A8D08D" w:themeFill="accent6" w:themeFillTint="99"/>
            <w:vAlign w:val="center"/>
            <w:hideMark/>
          </w:tcPr>
          <w:p w:rsidR="000672F6" w:rsidRPr="000672F6" w:rsidRDefault="000672F6" w:rsidP="000672F6">
            <w:pPr>
              <w:spacing w:line="276" w:lineRule="auto"/>
              <w:ind w:right="-62"/>
              <w:jc w:val="center"/>
              <w:rPr>
                <w:rFonts w:ascii="ITC Avant Garde" w:hAnsi="ITC Avant Garde"/>
                <w:b/>
                <w:bCs/>
                <w:sz w:val="18"/>
                <w:szCs w:val="18"/>
                <w:lang w:eastAsia="ar-SA"/>
              </w:rPr>
            </w:pPr>
            <w:r w:rsidRPr="000672F6">
              <w:rPr>
                <w:rFonts w:ascii="ITC Avant Garde" w:hAnsi="ITC Avant Garde"/>
                <w:b/>
                <w:bCs/>
                <w:sz w:val="18"/>
                <w:szCs w:val="18"/>
                <w:lang w:eastAsia="ar-SA"/>
              </w:rPr>
              <w:t>Rango</w:t>
            </w:r>
          </w:p>
        </w:tc>
        <w:tc>
          <w:tcPr>
            <w:tcW w:w="850" w:type="dxa"/>
            <w:shd w:val="clear" w:color="auto" w:fill="A8D08D" w:themeFill="accent6" w:themeFillTint="99"/>
            <w:vAlign w:val="center"/>
            <w:hideMark/>
          </w:tcPr>
          <w:p w:rsidR="000672F6" w:rsidRPr="000672F6" w:rsidRDefault="000672F6" w:rsidP="000672F6">
            <w:pPr>
              <w:spacing w:line="276" w:lineRule="auto"/>
              <w:ind w:right="-62"/>
              <w:jc w:val="center"/>
              <w:rPr>
                <w:rFonts w:ascii="ITC Avant Garde" w:hAnsi="ITC Avant Garde"/>
                <w:b/>
                <w:bCs/>
                <w:sz w:val="18"/>
                <w:szCs w:val="18"/>
                <w:lang w:eastAsia="ar-SA"/>
              </w:rPr>
            </w:pPr>
            <w:r w:rsidRPr="000672F6">
              <w:rPr>
                <w:rFonts w:ascii="ITC Avant Garde" w:hAnsi="ITC Avant Garde"/>
                <w:b/>
                <w:bCs/>
                <w:sz w:val="18"/>
                <w:szCs w:val="18"/>
                <w:lang w:eastAsia="ar-SA"/>
              </w:rPr>
              <w:t>FE</w:t>
            </w:r>
          </w:p>
        </w:tc>
      </w:tr>
      <w:tr w:rsidR="000672F6" w:rsidRPr="000672F6" w:rsidTr="000672F6">
        <w:trPr>
          <w:trHeight w:val="253"/>
        </w:trPr>
        <w:tc>
          <w:tcPr>
            <w:tcW w:w="4395"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 a 10</w:t>
            </w:r>
          </w:p>
        </w:tc>
        <w:tc>
          <w:tcPr>
            <w:tcW w:w="1134"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w:t>
            </w:r>
          </w:p>
        </w:tc>
        <w:tc>
          <w:tcPr>
            <w:tcW w:w="850"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1.0</w:t>
            </w:r>
          </w:p>
        </w:tc>
      </w:tr>
      <w:tr w:rsidR="000672F6" w:rsidRPr="000672F6" w:rsidTr="000672F6">
        <w:trPr>
          <w:trHeight w:val="239"/>
        </w:trPr>
        <w:tc>
          <w:tcPr>
            <w:tcW w:w="4395"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10 a 20</w:t>
            </w:r>
          </w:p>
        </w:tc>
        <w:tc>
          <w:tcPr>
            <w:tcW w:w="1134"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2</w:t>
            </w:r>
          </w:p>
        </w:tc>
        <w:tc>
          <w:tcPr>
            <w:tcW w:w="850"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1.2</w:t>
            </w:r>
          </w:p>
        </w:tc>
      </w:tr>
      <w:tr w:rsidR="000672F6" w:rsidRPr="000672F6" w:rsidTr="000672F6">
        <w:trPr>
          <w:trHeight w:val="253"/>
        </w:trPr>
        <w:tc>
          <w:tcPr>
            <w:tcW w:w="4395"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20 a 30</w:t>
            </w:r>
          </w:p>
        </w:tc>
        <w:tc>
          <w:tcPr>
            <w:tcW w:w="1134"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3</w:t>
            </w:r>
          </w:p>
        </w:tc>
        <w:tc>
          <w:tcPr>
            <w:tcW w:w="850"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1.4</w:t>
            </w:r>
          </w:p>
        </w:tc>
      </w:tr>
      <w:tr w:rsidR="000672F6" w:rsidRPr="000672F6" w:rsidTr="000672F6">
        <w:trPr>
          <w:trHeight w:val="239"/>
        </w:trPr>
        <w:tc>
          <w:tcPr>
            <w:tcW w:w="4395"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30 a 40</w:t>
            </w:r>
          </w:p>
        </w:tc>
        <w:tc>
          <w:tcPr>
            <w:tcW w:w="1134"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4</w:t>
            </w:r>
          </w:p>
        </w:tc>
        <w:tc>
          <w:tcPr>
            <w:tcW w:w="850"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1.6</w:t>
            </w:r>
          </w:p>
        </w:tc>
      </w:tr>
      <w:tr w:rsidR="000672F6" w:rsidRPr="000672F6" w:rsidTr="000672F6">
        <w:trPr>
          <w:trHeight w:val="253"/>
        </w:trPr>
        <w:tc>
          <w:tcPr>
            <w:tcW w:w="4395"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40 a 100</w:t>
            </w:r>
          </w:p>
        </w:tc>
        <w:tc>
          <w:tcPr>
            <w:tcW w:w="1134"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5</w:t>
            </w:r>
          </w:p>
        </w:tc>
        <w:tc>
          <w:tcPr>
            <w:tcW w:w="850"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1.8</w:t>
            </w:r>
          </w:p>
        </w:tc>
      </w:tr>
      <w:tr w:rsidR="000672F6" w:rsidRPr="000672F6" w:rsidTr="000672F6">
        <w:trPr>
          <w:trHeight w:val="239"/>
        </w:trPr>
        <w:tc>
          <w:tcPr>
            <w:tcW w:w="4395"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lastRenderedPageBreak/>
              <w:t>mayor a 100</w:t>
            </w:r>
          </w:p>
        </w:tc>
        <w:tc>
          <w:tcPr>
            <w:tcW w:w="1134"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6</w:t>
            </w:r>
          </w:p>
        </w:tc>
        <w:tc>
          <w:tcPr>
            <w:tcW w:w="850" w:type="dxa"/>
            <w:hideMark/>
          </w:tcPr>
          <w:p w:rsidR="000672F6" w:rsidRPr="000672F6" w:rsidRDefault="000672F6" w:rsidP="000672F6">
            <w:pPr>
              <w:spacing w:line="276" w:lineRule="auto"/>
              <w:ind w:right="-62"/>
              <w:jc w:val="center"/>
              <w:rPr>
                <w:rFonts w:ascii="ITC Avant Garde" w:hAnsi="ITC Avant Garde"/>
                <w:sz w:val="18"/>
                <w:szCs w:val="18"/>
                <w:lang w:eastAsia="ar-SA"/>
              </w:rPr>
            </w:pPr>
            <w:r w:rsidRPr="000672F6">
              <w:rPr>
                <w:rFonts w:ascii="ITC Avant Garde" w:hAnsi="ITC Avant Garde"/>
                <w:sz w:val="18"/>
                <w:szCs w:val="18"/>
                <w:lang w:eastAsia="ar-SA"/>
              </w:rPr>
              <w:t>2.0</w:t>
            </w:r>
          </w:p>
        </w:tc>
      </w:tr>
    </w:tbl>
    <w:p w:rsidR="008F4584" w:rsidRPr="000672F6" w:rsidRDefault="00491844" w:rsidP="008F4584">
      <w:pPr>
        <w:spacing w:before="240" w:line="276" w:lineRule="auto"/>
        <w:jc w:val="both"/>
        <w:rPr>
          <w:rFonts w:ascii="ITC Avant Garde" w:hAnsi="ITC Avant Garde"/>
          <w:lang w:eastAsia="ar-SA"/>
        </w:rPr>
      </w:pPr>
      <w:r w:rsidRPr="000672F6">
        <w:rPr>
          <w:rFonts w:ascii="ITC Avant Garde" w:hAnsi="ITC Avant Garde"/>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Bruto de la Producción per cápita que sea coherente con el monto de la población servida.</w:t>
      </w:r>
    </w:p>
    <w:p w:rsidR="008F4584" w:rsidRPr="000672F6" w:rsidRDefault="00491844" w:rsidP="008F4584">
      <w:pPr>
        <w:numPr>
          <w:ilvl w:val="0"/>
          <w:numId w:val="24"/>
        </w:numPr>
        <w:autoSpaceDN w:val="0"/>
        <w:spacing w:before="240" w:line="276" w:lineRule="auto"/>
        <w:jc w:val="both"/>
        <w:textAlignment w:val="baseline"/>
        <w:rPr>
          <w:rFonts w:ascii="ITC Avant Garde" w:eastAsia="Times New Roman" w:hAnsi="ITC Avant Garde"/>
          <w:b/>
          <w:bCs/>
          <w:lang w:eastAsia="ar-SA"/>
        </w:rPr>
      </w:pPr>
      <w:r w:rsidRPr="000672F6">
        <w:rPr>
          <w:rFonts w:ascii="ITC Avant Garde" w:eastAsia="Times New Roman" w:hAnsi="ITC Avant Garde"/>
          <w:b/>
          <w:bCs/>
          <w:lang w:eastAsia="ar-SA"/>
        </w:rPr>
        <w:t>Factor Técnico</w:t>
      </w:r>
    </w:p>
    <w:p w:rsidR="008F4584" w:rsidRPr="000672F6" w:rsidRDefault="00132642" w:rsidP="008F4584">
      <w:pPr>
        <w:spacing w:before="240" w:line="276" w:lineRule="auto"/>
        <w:ind w:right="-62"/>
        <w:jc w:val="both"/>
        <w:rPr>
          <w:rFonts w:ascii="ITC Avant Garde" w:eastAsia="Times New Roman" w:hAnsi="ITC Avant Garde"/>
          <w:kern w:val="3"/>
          <w:lang w:eastAsia="ar-SA"/>
        </w:rPr>
      </w:pPr>
      <w:r w:rsidRPr="000672F6">
        <w:rPr>
          <w:rFonts w:ascii="ITC Avant Garde" w:eastAsia="Times New Roman" w:hAnsi="ITC Avant Garde"/>
          <w:kern w:val="3"/>
          <w:lang w:eastAsia="ar-SA"/>
        </w:rPr>
        <w:t>El factor técnico refleja las características operativas de la estación que se concesiona en cuanto a su potencia y el contorno protegido, características que están definidas en la Disposición Técnica IFT-00</w:t>
      </w:r>
      <w:r w:rsidR="00A953A3" w:rsidRPr="000672F6">
        <w:rPr>
          <w:rFonts w:ascii="ITC Avant Garde" w:eastAsia="Times New Roman" w:hAnsi="ITC Avant Garde"/>
          <w:kern w:val="3"/>
          <w:lang w:eastAsia="ar-SA"/>
        </w:rPr>
        <w:t>1</w:t>
      </w:r>
      <w:r w:rsidRPr="000672F6">
        <w:rPr>
          <w:rFonts w:ascii="ITC Avant Garde" w:eastAsia="Times New Roman" w:hAnsi="ITC Avant Garde"/>
          <w:kern w:val="3"/>
          <w:lang w:eastAsia="ar-SA"/>
        </w:rPr>
        <w:t>-2015 para estaciones de AM, características con las que se establece la clase de la estación.</w:t>
      </w:r>
    </w:p>
    <w:p w:rsidR="008F4584" w:rsidRPr="000672F6" w:rsidRDefault="00132642" w:rsidP="008F4584">
      <w:pPr>
        <w:spacing w:before="240" w:line="276" w:lineRule="auto"/>
        <w:ind w:right="-62"/>
        <w:jc w:val="both"/>
        <w:rPr>
          <w:rFonts w:ascii="ITC Avant Garde" w:eastAsia="Times New Roman" w:hAnsi="ITC Avant Garde"/>
          <w:bCs/>
          <w:kern w:val="3"/>
          <w:lang w:eastAsia="ar-SA"/>
        </w:rPr>
      </w:pPr>
      <w:r w:rsidRPr="000672F6">
        <w:rPr>
          <w:rFonts w:ascii="ITC Avant Garde" w:eastAsia="Times New Roman" w:hAnsi="ITC Avant Garde"/>
          <w:bCs/>
          <w:kern w:val="3"/>
          <w:lang w:eastAsia="ar-SA"/>
        </w:rPr>
        <w:t>A mayor detalle:</w:t>
      </w:r>
    </w:p>
    <w:p w:rsidR="00132642" w:rsidRPr="000672F6" w:rsidRDefault="00132642" w:rsidP="008F4584">
      <w:pPr>
        <w:spacing w:before="240" w:line="276" w:lineRule="auto"/>
        <w:ind w:right="-62"/>
        <w:jc w:val="both"/>
        <w:rPr>
          <w:rFonts w:ascii="ITC Avant Garde" w:eastAsia="Times New Roman" w:hAnsi="ITC Avant Garde"/>
          <w:bCs/>
          <w:kern w:val="3"/>
          <w:lang w:eastAsia="ar-SA"/>
        </w:rPr>
      </w:pPr>
      <w:r w:rsidRPr="000672F6">
        <w:rPr>
          <w:rFonts w:ascii="ITC Avant Garde" w:eastAsia="Times New Roman" w:hAnsi="ITC Avant Garde"/>
          <w:bCs/>
          <w:kern w:val="3"/>
          <w:lang w:eastAsia="ar-SA"/>
        </w:rPr>
        <w:t>-A la clase C se le ha asignado un factor técnico de 1,</w:t>
      </w:r>
    </w:p>
    <w:p w:rsidR="00132642" w:rsidRPr="000672F6" w:rsidRDefault="00132642" w:rsidP="008F4584">
      <w:pPr>
        <w:spacing w:before="240" w:line="276" w:lineRule="auto"/>
        <w:ind w:right="-62"/>
        <w:jc w:val="both"/>
        <w:rPr>
          <w:rFonts w:ascii="ITC Avant Garde" w:eastAsia="Times New Roman" w:hAnsi="ITC Avant Garde"/>
          <w:bCs/>
          <w:kern w:val="3"/>
          <w:lang w:eastAsia="ar-SA"/>
        </w:rPr>
      </w:pPr>
      <w:r w:rsidRPr="000672F6">
        <w:rPr>
          <w:rFonts w:ascii="ITC Avant Garde" w:eastAsia="Times New Roman" w:hAnsi="ITC Avant Garde"/>
          <w:bCs/>
          <w:kern w:val="3"/>
          <w:lang w:eastAsia="ar-SA"/>
        </w:rPr>
        <w:t>-A la clase B se le ha asignado un factor técnico de 1.5, y</w:t>
      </w:r>
    </w:p>
    <w:p w:rsidR="008F4584" w:rsidRPr="000672F6" w:rsidRDefault="00132642" w:rsidP="008F4584">
      <w:pPr>
        <w:spacing w:before="240" w:line="276" w:lineRule="auto"/>
        <w:ind w:right="-62"/>
        <w:jc w:val="both"/>
        <w:rPr>
          <w:rFonts w:ascii="ITC Avant Garde" w:eastAsia="Times New Roman" w:hAnsi="ITC Avant Garde"/>
          <w:bCs/>
          <w:kern w:val="3"/>
          <w:lang w:eastAsia="ar-SA"/>
        </w:rPr>
      </w:pPr>
      <w:r w:rsidRPr="000672F6">
        <w:rPr>
          <w:rFonts w:ascii="ITC Avant Garde" w:eastAsia="Times New Roman" w:hAnsi="ITC Avant Garde"/>
          <w:bCs/>
          <w:kern w:val="3"/>
          <w:lang w:eastAsia="ar-SA"/>
        </w:rPr>
        <w:t>-A la clase A se le ha asignado un factor técnico de 2.0</w:t>
      </w:r>
    </w:p>
    <w:p w:rsidR="00491844" w:rsidRPr="000672F6" w:rsidRDefault="00491844" w:rsidP="000672F6">
      <w:pPr>
        <w:spacing w:before="240" w:line="276" w:lineRule="auto"/>
        <w:ind w:right="-62"/>
        <w:jc w:val="both"/>
        <w:rPr>
          <w:rFonts w:ascii="ITC Avant Garde" w:eastAsia="Times New Roman" w:hAnsi="ITC Avant Garde"/>
          <w:kern w:val="3"/>
          <w:lang w:val="es-ES" w:eastAsia="ar-SA"/>
        </w:rPr>
      </w:pPr>
      <w:r w:rsidRPr="000672F6">
        <w:rPr>
          <w:rFonts w:ascii="ITC Avant Garde" w:eastAsia="Times New Roman" w:hAnsi="ITC Avant Garde"/>
          <w:kern w:val="3"/>
          <w:lang w:val="es-ES" w:eastAsia="ar-SA"/>
        </w:rPr>
        <w:t xml:space="preserve">Derivado de lo anterior, para la estación que nos ocupa, atento a la opinión favorable de la SHCP y considerando la aplicación de la metodología descrita, este Pleno, con fundamento en los artículos 15 fracción LIV y 100 de la Ley, fija el monto de la contraprestación que le corresponde cubrir al Concesionario por la frecuencia del espectro radioeléctrico, el cual asciende a la cantidad que se encuentra precisada en el siguiente cuadro y en el </w:t>
      </w:r>
      <w:r w:rsidRPr="000672F6">
        <w:rPr>
          <w:rFonts w:ascii="ITC Avant Garde" w:eastAsia="Times New Roman" w:hAnsi="ITC Avant Garde"/>
          <w:b/>
          <w:kern w:val="3"/>
          <w:lang w:val="es-ES" w:eastAsia="ar-SA"/>
        </w:rPr>
        <w:t>Resolutivo Cuarto</w:t>
      </w:r>
      <w:r w:rsidRPr="000672F6">
        <w:rPr>
          <w:rFonts w:ascii="ITC Avant Garde" w:eastAsia="Times New Roman" w:hAnsi="ITC Avant Garde"/>
          <w:kern w:val="3"/>
          <w:lang w:val="es-ES" w:eastAsia="ar-SA"/>
        </w:rPr>
        <w:t xml:space="preserve"> de la presente Resolución, el cual deberá ser enterado, en una sola exhibición, previamente a la entrega de</w:t>
      </w:r>
      <w:r w:rsidR="00132642" w:rsidRPr="000672F6">
        <w:rPr>
          <w:rFonts w:ascii="ITC Avant Garde" w:eastAsia="Times New Roman" w:hAnsi="ITC Avant Garde"/>
          <w:kern w:val="3"/>
          <w:lang w:val="es-ES" w:eastAsia="ar-SA"/>
        </w:rPr>
        <w:t>l</w:t>
      </w:r>
      <w:r w:rsidRPr="000672F6">
        <w:rPr>
          <w:rFonts w:ascii="ITC Avant Garde" w:eastAsia="Times New Roman" w:hAnsi="ITC Avant Garde"/>
          <w:kern w:val="3"/>
          <w:lang w:val="es-ES" w:eastAsia="ar-SA"/>
        </w:rPr>
        <w:t xml:space="preserve"> título de conce</w:t>
      </w:r>
      <w:r w:rsidR="00132642" w:rsidRPr="000672F6">
        <w:rPr>
          <w:rFonts w:ascii="ITC Avant Garde" w:eastAsia="Times New Roman" w:hAnsi="ITC Avant Garde"/>
          <w:kern w:val="3"/>
          <w:lang w:val="es-ES" w:eastAsia="ar-SA"/>
        </w:rPr>
        <w:t>sión respectivo</w:t>
      </w:r>
      <w:r w:rsidRPr="000672F6">
        <w:rPr>
          <w:rFonts w:ascii="ITC Avant Garde" w:eastAsia="Times New Roman" w:hAnsi="ITC Avant Garde"/>
          <w:kern w:val="3"/>
          <w:lang w:val="es-ES" w:eastAsia="ar-SA"/>
        </w:rPr>
        <w:t>.</w:t>
      </w:r>
    </w:p>
    <w:tbl>
      <w:tblPr>
        <w:tblStyle w:val="Tablaconcuadrcula1"/>
        <w:tblW w:w="4934" w:type="pct"/>
        <w:tblLook w:val="04A0" w:firstRow="1" w:lastRow="0" w:firstColumn="1" w:lastColumn="0" w:noHBand="0" w:noVBand="1"/>
        <w:tblCaption w:val="monto de la contraprestación"/>
        <w:tblDescription w:val="En una tabla de 8 columnas y 2 filas, se proporcionan los datos técnicos de la estación y el monto de contraprestación."/>
      </w:tblPr>
      <w:tblGrid>
        <w:gridCol w:w="1010"/>
        <w:gridCol w:w="1251"/>
        <w:gridCol w:w="1142"/>
        <w:gridCol w:w="1142"/>
        <w:gridCol w:w="927"/>
        <w:gridCol w:w="1264"/>
        <w:gridCol w:w="710"/>
        <w:gridCol w:w="1824"/>
      </w:tblGrid>
      <w:tr w:rsidR="00491844" w:rsidRPr="000672F6" w:rsidTr="000672F6">
        <w:trPr>
          <w:trHeight w:val="202"/>
          <w:tblHeader/>
        </w:trPr>
        <w:tc>
          <w:tcPr>
            <w:tcW w:w="544"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lastRenderedPageBreak/>
              <w:t>Distintivo</w:t>
            </w:r>
          </w:p>
        </w:tc>
        <w:tc>
          <w:tcPr>
            <w:tcW w:w="675"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Frecuencia</w:t>
            </w:r>
          </w:p>
        </w:tc>
        <w:tc>
          <w:tcPr>
            <w:tcW w:w="616"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Población Principal A Servir</w:t>
            </w:r>
          </w:p>
        </w:tc>
        <w:tc>
          <w:tcPr>
            <w:tcW w:w="616"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Población Servida</w:t>
            </w:r>
          </w:p>
        </w:tc>
        <w:tc>
          <w:tcPr>
            <w:tcW w:w="500"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Factor Técnico</w:t>
            </w:r>
          </w:p>
        </w:tc>
        <w:tc>
          <w:tcPr>
            <w:tcW w:w="682"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Factor Económico</w:t>
            </w:r>
          </w:p>
        </w:tc>
        <w:tc>
          <w:tcPr>
            <w:tcW w:w="383"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Clase</w:t>
            </w:r>
          </w:p>
        </w:tc>
        <w:tc>
          <w:tcPr>
            <w:tcW w:w="984" w:type="pct"/>
            <w:shd w:val="clear" w:color="auto" w:fill="A8D08D" w:themeFill="accent6" w:themeFillTint="99"/>
            <w:vAlign w:val="center"/>
            <w:hideMark/>
          </w:tcPr>
          <w:p w:rsidR="00491844" w:rsidRPr="000672F6" w:rsidRDefault="00491844" w:rsidP="000672F6">
            <w:pPr>
              <w:spacing w:before="240"/>
              <w:jc w:val="center"/>
              <w:rPr>
                <w:rFonts w:ascii="ITC Avant Garde" w:eastAsia="Times New Roman" w:hAnsi="ITC Avant Garde" w:cs="Times New Roman"/>
                <w:b/>
                <w:bCs/>
                <w:sz w:val="16"/>
                <w:szCs w:val="16"/>
                <w:lang w:eastAsia="es-MX"/>
              </w:rPr>
            </w:pPr>
            <w:r w:rsidRPr="000672F6">
              <w:rPr>
                <w:rFonts w:ascii="ITC Avant Garde" w:eastAsia="Times New Roman" w:hAnsi="ITC Avant Garde" w:cs="Times New Roman"/>
                <w:b/>
                <w:bCs/>
                <w:sz w:val="16"/>
                <w:szCs w:val="16"/>
                <w:lang w:eastAsia="es-MX"/>
              </w:rPr>
              <w:t>Monto de la contraprestación</w:t>
            </w:r>
          </w:p>
        </w:tc>
      </w:tr>
      <w:tr w:rsidR="00491844" w:rsidRPr="000672F6" w:rsidTr="000672F6">
        <w:trPr>
          <w:trHeight w:val="548"/>
        </w:trPr>
        <w:tc>
          <w:tcPr>
            <w:tcW w:w="544" w:type="pct"/>
            <w:hideMark/>
          </w:tcPr>
          <w:p w:rsidR="00491844" w:rsidRPr="000672F6" w:rsidRDefault="00491844" w:rsidP="008F4584">
            <w:pPr>
              <w:spacing w:before="240"/>
              <w:jc w:val="center"/>
              <w:rPr>
                <w:rFonts w:ascii="ITC Avant Garde" w:eastAsia="Times New Roman" w:hAnsi="ITC Avant Garde" w:cs="Times New Roman"/>
                <w:color w:val="000000"/>
                <w:sz w:val="16"/>
                <w:szCs w:val="16"/>
                <w:lang w:eastAsia="es-MX"/>
              </w:rPr>
            </w:pPr>
            <w:r w:rsidRPr="000672F6">
              <w:rPr>
                <w:rFonts w:ascii="ITC Avant Garde" w:eastAsia="Times New Roman" w:hAnsi="ITC Avant Garde" w:cs="Times New Roman"/>
                <w:color w:val="000000"/>
                <w:sz w:val="16"/>
                <w:szCs w:val="16"/>
                <w:lang w:eastAsia="es-MX"/>
              </w:rPr>
              <w:t>XEDA-AM</w:t>
            </w:r>
          </w:p>
        </w:tc>
        <w:tc>
          <w:tcPr>
            <w:tcW w:w="675" w:type="pct"/>
            <w:hideMark/>
          </w:tcPr>
          <w:p w:rsidR="00491844" w:rsidRPr="000672F6" w:rsidRDefault="00491844" w:rsidP="008F4584">
            <w:pPr>
              <w:spacing w:before="240"/>
              <w:jc w:val="center"/>
              <w:rPr>
                <w:rFonts w:ascii="ITC Avant Garde" w:eastAsia="Times New Roman" w:hAnsi="ITC Avant Garde" w:cs="Times New Roman"/>
                <w:color w:val="000000"/>
                <w:sz w:val="16"/>
                <w:szCs w:val="16"/>
                <w:lang w:eastAsia="es-MX"/>
              </w:rPr>
            </w:pPr>
            <w:r w:rsidRPr="000672F6">
              <w:rPr>
                <w:rFonts w:ascii="ITC Avant Garde" w:eastAsia="Times New Roman" w:hAnsi="ITC Avant Garde" w:cs="Times New Roman"/>
                <w:color w:val="000000"/>
                <w:sz w:val="16"/>
                <w:szCs w:val="16"/>
                <w:lang w:eastAsia="es-MX"/>
              </w:rPr>
              <w:t xml:space="preserve">1290 </w:t>
            </w:r>
            <w:r w:rsidR="00B633E8" w:rsidRPr="000672F6">
              <w:rPr>
                <w:rFonts w:ascii="ITC Avant Garde" w:eastAsia="Times New Roman" w:hAnsi="ITC Avant Garde" w:cs="Times New Roman"/>
                <w:color w:val="000000"/>
                <w:sz w:val="16"/>
                <w:szCs w:val="16"/>
                <w:lang w:eastAsia="es-MX"/>
              </w:rPr>
              <w:t>kHz</w:t>
            </w:r>
          </w:p>
        </w:tc>
        <w:tc>
          <w:tcPr>
            <w:tcW w:w="616" w:type="pct"/>
            <w:hideMark/>
          </w:tcPr>
          <w:p w:rsidR="00491844" w:rsidRPr="000672F6" w:rsidRDefault="00491844" w:rsidP="008F4584">
            <w:pPr>
              <w:spacing w:before="240"/>
              <w:jc w:val="center"/>
              <w:rPr>
                <w:rFonts w:ascii="ITC Avant Garde" w:eastAsia="Times New Roman" w:hAnsi="ITC Avant Garde" w:cs="Times New Roman"/>
                <w:color w:val="000000"/>
                <w:sz w:val="16"/>
                <w:szCs w:val="16"/>
                <w:lang w:eastAsia="es-MX"/>
              </w:rPr>
            </w:pPr>
            <w:r w:rsidRPr="000672F6">
              <w:rPr>
                <w:rFonts w:ascii="ITC Avant Garde" w:eastAsia="Times New Roman" w:hAnsi="ITC Avant Garde" w:cs="Times New Roman"/>
                <w:color w:val="000000"/>
                <w:sz w:val="16"/>
                <w:szCs w:val="16"/>
                <w:lang w:eastAsia="es-MX"/>
              </w:rPr>
              <w:t>Cd. de México</w:t>
            </w:r>
          </w:p>
        </w:tc>
        <w:tc>
          <w:tcPr>
            <w:tcW w:w="616" w:type="pct"/>
            <w:hideMark/>
          </w:tcPr>
          <w:p w:rsidR="00491844" w:rsidRPr="000672F6" w:rsidRDefault="00491844" w:rsidP="008F4584">
            <w:pPr>
              <w:spacing w:before="240"/>
              <w:jc w:val="center"/>
              <w:rPr>
                <w:rFonts w:ascii="ITC Avant Garde" w:eastAsia="Times New Roman" w:hAnsi="ITC Avant Garde" w:cs="Times New Roman"/>
                <w:bCs/>
                <w:sz w:val="16"/>
                <w:szCs w:val="16"/>
                <w:lang w:eastAsia="es-MX"/>
              </w:rPr>
            </w:pPr>
            <w:r w:rsidRPr="000672F6">
              <w:rPr>
                <w:rFonts w:ascii="ITC Avant Garde" w:eastAsia="Times New Roman" w:hAnsi="ITC Avant Garde" w:cs="Times New Roman"/>
                <w:bCs/>
                <w:sz w:val="16"/>
                <w:szCs w:val="16"/>
                <w:lang w:eastAsia="es-MX"/>
              </w:rPr>
              <w:t>6,500,000</w:t>
            </w:r>
          </w:p>
        </w:tc>
        <w:tc>
          <w:tcPr>
            <w:tcW w:w="500" w:type="pct"/>
            <w:hideMark/>
          </w:tcPr>
          <w:p w:rsidR="00491844" w:rsidRPr="000672F6" w:rsidRDefault="00491844" w:rsidP="008F4584">
            <w:pPr>
              <w:spacing w:before="240"/>
              <w:jc w:val="center"/>
              <w:rPr>
                <w:rFonts w:ascii="ITC Avant Garde" w:eastAsia="Times New Roman" w:hAnsi="ITC Avant Garde" w:cs="Times New Roman"/>
                <w:bCs/>
                <w:sz w:val="16"/>
                <w:szCs w:val="16"/>
                <w:lang w:eastAsia="es-MX"/>
              </w:rPr>
            </w:pPr>
            <w:r w:rsidRPr="000672F6">
              <w:rPr>
                <w:rFonts w:ascii="ITC Avant Garde" w:eastAsia="Times New Roman" w:hAnsi="ITC Avant Garde" w:cs="Times New Roman"/>
                <w:bCs/>
                <w:sz w:val="16"/>
                <w:szCs w:val="16"/>
                <w:lang w:eastAsia="es-MX"/>
              </w:rPr>
              <w:t>1.50</w:t>
            </w:r>
          </w:p>
        </w:tc>
        <w:tc>
          <w:tcPr>
            <w:tcW w:w="682" w:type="pct"/>
            <w:hideMark/>
          </w:tcPr>
          <w:p w:rsidR="00491844" w:rsidRPr="000672F6" w:rsidRDefault="00491844" w:rsidP="008F4584">
            <w:pPr>
              <w:spacing w:before="240"/>
              <w:jc w:val="center"/>
              <w:rPr>
                <w:rFonts w:ascii="ITC Avant Garde" w:eastAsia="Times New Roman" w:hAnsi="ITC Avant Garde" w:cs="Times New Roman"/>
                <w:bCs/>
                <w:sz w:val="16"/>
                <w:szCs w:val="16"/>
                <w:lang w:eastAsia="es-MX"/>
              </w:rPr>
            </w:pPr>
            <w:r w:rsidRPr="000672F6">
              <w:rPr>
                <w:rFonts w:ascii="ITC Avant Garde" w:eastAsia="Times New Roman" w:hAnsi="ITC Avant Garde" w:cs="Times New Roman"/>
                <w:bCs/>
                <w:sz w:val="16"/>
                <w:szCs w:val="16"/>
                <w:lang w:eastAsia="es-MX"/>
              </w:rPr>
              <w:t>2.00</w:t>
            </w:r>
          </w:p>
        </w:tc>
        <w:tc>
          <w:tcPr>
            <w:tcW w:w="383" w:type="pct"/>
            <w:hideMark/>
          </w:tcPr>
          <w:p w:rsidR="00491844" w:rsidRPr="000672F6" w:rsidRDefault="00491844" w:rsidP="008F4584">
            <w:pPr>
              <w:spacing w:before="240"/>
              <w:jc w:val="center"/>
              <w:rPr>
                <w:rFonts w:ascii="ITC Avant Garde" w:eastAsia="Times New Roman" w:hAnsi="ITC Avant Garde" w:cs="Times New Roman"/>
                <w:bCs/>
                <w:sz w:val="16"/>
                <w:szCs w:val="16"/>
                <w:lang w:eastAsia="es-MX"/>
              </w:rPr>
            </w:pPr>
            <w:r w:rsidRPr="000672F6">
              <w:rPr>
                <w:rFonts w:ascii="ITC Avant Garde" w:eastAsia="Times New Roman" w:hAnsi="ITC Avant Garde" w:cs="Times New Roman"/>
                <w:bCs/>
                <w:sz w:val="16"/>
                <w:szCs w:val="16"/>
                <w:lang w:eastAsia="es-MX"/>
              </w:rPr>
              <w:t xml:space="preserve">B </w:t>
            </w:r>
          </w:p>
        </w:tc>
        <w:tc>
          <w:tcPr>
            <w:tcW w:w="984" w:type="pct"/>
            <w:hideMark/>
          </w:tcPr>
          <w:p w:rsidR="00491844" w:rsidRPr="000672F6" w:rsidRDefault="00491844" w:rsidP="000672F6">
            <w:pPr>
              <w:spacing w:before="240"/>
              <w:jc w:val="center"/>
              <w:rPr>
                <w:rFonts w:ascii="ITC Avant Garde" w:eastAsia="Times New Roman" w:hAnsi="ITC Avant Garde" w:cs="Times New Roman"/>
                <w:bCs/>
                <w:sz w:val="16"/>
                <w:szCs w:val="16"/>
                <w:lang w:eastAsia="es-MX"/>
              </w:rPr>
            </w:pPr>
            <w:r w:rsidRPr="000672F6">
              <w:rPr>
                <w:rFonts w:ascii="ITC Avant Garde" w:eastAsia="Times New Roman" w:hAnsi="ITC Avant Garde" w:cs="Times New Roman"/>
                <w:bCs/>
                <w:sz w:val="16"/>
                <w:szCs w:val="16"/>
                <w:lang w:eastAsia="es-MX"/>
              </w:rPr>
              <w:t xml:space="preserve">$7,813,834.00 </w:t>
            </w:r>
          </w:p>
        </w:tc>
      </w:tr>
    </w:tbl>
    <w:p w:rsidR="008F4584" w:rsidRPr="000672F6" w:rsidRDefault="00491844" w:rsidP="008F4584">
      <w:pPr>
        <w:suppressAutoHyphens/>
        <w:spacing w:before="240" w:line="276" w:lineRule="auto"/>
        <w:ind w:right="-62"/>
        <w:jc w:val="both"/>
        <w:rPr>
          <w:rFonts w:ascii="ITC Avant Garde" w:hAnsi="ITC Avant Garde"/>
          <w:bCs/>
          <w:lang w:eastAsia="es-MX"/>
        </w:rPr>
      </w:pPr>
      <w:r w:rsidRPr="000672F6">
        <w:rPr>
          <w:rFonts w:ascii="ITC Avant Garde" w:eastAsia="Times New Roman" w:hAnsi="ITC Avant Garde"/>
          <w:kern w:val="1"/>
          <w:lang w:val="es-ES" w:eastAsia="ar-SA"/>
        </w:rPr>
        <w:t xml:space="preserve">Para dichos efectos, el Concesionario contará con un plazo de 30 (treinta) días hábiles para aceptar las nuevas condiciones contenidas en el modelo de título de concesión a que se refiere el </w:t>
      </w:r>
      <w:r w:rsidRPr="000672F6">
        <w:rPr>
          <w:rFonts w:ascii="ITC Avant Garde" w:eastAsia="Times New Roman" w:hAnsi="ITC Avant Garde"/>
          <w:b/>
          <w:kern w:val="1"/>
          <w:lang w:val="es-ES" w:eastAsia="ar-SA"/>
        </w:rPr>
        <w:t xml:space="preserve">Anexo Único </w:t>
      </w:r>
      <w:r w:rsidRPr="000672F6">
        <w:rPr>
          <w:rFonts w:ascii="ITC Avant Garde" w:eastAsia="Times New Roman" w:hAnsi="ITC Avant Garde"/>
          <w:kern w:val="1"/>
          <w:lang w:val="es-ES" w:eastAsia="ar-SA"/>
        </w:rPr>
        <w:t xml:space="preserve">de la presente Resolución, término que transcurrirá </w:t>
      </w:r>
      <w:r w:rsidRPr="000672F6">
        <w:rPr>
          <w:rFonts w:ascii="ITC Avant Garde" w:hAnsi="ITC Avant Garde"/>
          <w:bCs/>
          <w:lang w:eastAsia="es-MX"/>
        </w:rPr>
        <w:t>a partir del día siguiente a aquél en que haya surtido efectos la notificación de la misma.</w:t>
      </w:r>
    </w:p>
    <w:p w:rsidR="008F4584" w:rsidRPr="000672F6" w:rsidRDefault="00491844"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hAnsi="ITC Avant Garde"/>
          <w:bCs/>
          <w:lang w:eastAsia="es-MX"/>
        </w:rPr>
        <w:t xml:space="preserve">Adicionalmente el Concesionario contará con un plazo de </w:t>
      </w:r>
      <w:r w:rsidRPr="000672F6">
        <w:rPr>
          <w:rFonts w:ascii="ITC Avant Garde" w:eastAsia="Times New Roman" w:hAnsi="ITC Avant Garde"/>
          <w:kern w:val="1"/>
          <w:lang w:val="es-ES" w:eastAsia="ar-SA"/>
        </w:rPr>
        <w:t>30 (treinta) días hábiles</w:t>
      </w:r>
      <w:r w:rsidRPr="000672F6">
        <w:rPr>
          <w:rFonts w:ascii="ITC Avant Garde" w:hAnsi="ITC Avant Garde"/>
          <w:bCs/>
          <w:lang w:eastAsia="es-MX"/>
        </w:rPr>
        <w:t xml:space="preserve"> contados a partir del día siguiente a la fecha de recepción del escrito de aceptación de condiciones, para </w:t>
      </w:r>
      <w:r w:rsidRPr="000672F6">
        <w:rPr>
          <w:rFonts w:ascii="ITC Avant Garde" w:eastAsia="Times New Roman" w:hAnsi="ITC Avant Garde"/>
          <w:kern w:val="1"/>
          <w:lang w:val="es-ES" w:eastAsia="ar-SA"/>
        </w:rPr>
        <w:t>exhibir ante este Instituto los comprobantes con los que se acredite haber realizado el pago de la contraprestación en cuestión.</w:t>
      </w:r>
    </w:p>
    <w:p w:rsidR="008F4584" w:rsidRPr="000672F6" w:rsidRDefault="00491844"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8F4584" w:rsidRPr="000672F6" w:rsidRDefault="00491844" w:rsidP="008F4584">
      <w:pPr>
        <w:autoSpaceDE w:val="0"/>
        <w:autoSpaceDN w:val="0"/>
        <w:adjustRightInd w:val="0"/>
        <w:spacing w:before="240" w:line="276" w:lineRule="auto"/>
        <w:jc w:val="both"/>
        <w:rPr>
          <w:rFonts w:ascii="ITC Avant Garde" w:eastAsia="Times New Roman" w:hAnsi="ITC Avant Garde"/>
          <w:kern w:val="1"/>
          <w:lang w:val="es-ES" w:eastAsia="ar-SA"/>
        </w:rPr>
      </w:pPr>
      <w:r w:rsidRPr="000672F6">
        <w:rPr>
          <w:rFonts w:ascii="ITC Avant Garde" w:eastAsia="Times New Roman" w:hAnsi="ITC Avant Garde"/>
          <w:kern w:val="1"/>
          <w:lang w:val="es-ES" w:eastAsia="ar-SA"/>
        </w:rPr>
        <w:t xml:space="preserve">Una vez aceptadas las condiciones y acreditado el pago total de la contraprestación, este Instituto procederá a la expedición del </w:t>
      </w:r>
      <w:r w:rsidRPr="000672F6">
        <w:rPr>
          <w:rFonts w:ascii="ITC Avant Garde" w:eastAsia="Times New Roman" w:hAnsi="ITC Avant Garde"/>
          <w:bCs/>
          <w:kern w:val="1"/>
          <w:lang w:eastAsia="ar-SA"/>
        </w:rPr>
        <w:t xml:space="preserve">título de Concesión </w:t>
      </w:r>
      <w:r w:rsidRPr="000672F6">
        <w:rPr>
          <w:rFonts w:ascii="ITC Avant Garde" w:eastAsia="Times New Roman" w:hAnsi="ITC Avant Garde"/>
          <w:lang w:val="es-ES_tradnl" w:eastAsia="es-ES"/>
        </w:rPr>
        <w:t>para usar, aprovechar y explotar bandas de frecuencia del espectro radioeléctrico para uso comercial</w:t>
      </w:r>
      <w:r w:rsidRPr="000672F6">
        <w:rPr>
          <w:rFonts w:ascii="ITC Avant Garde" w:eastAsia="Times New Roman" w:hAnsi="ITC Avant Garde"/>
          <w:bCs/>
          <w:kern w:val="1"/>
          <w:lang w:eastAsia="ar-SA"/>
        </w:rPr>
        <w:t xml:space="preserve">, a que se refiere la presente Resolución. La </w:t>
      </w:r>
      <w:r w:rsidRPr="000672F6">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8F4584" w:rsidRPr="000672F6" w:rsidRDefault="00173E52" w:rsidP="008F4584">
      <w:pPr>
        <w:suppressAutoHyphens/>
        <w:spacing w:before="240" w:line="276" w:lineRule="auto"/>
        <w:ind w:right="-62"/>
        <w:jc w:val="both"/>
        <w:rPr>
          <w:rFonts w:ascii="ITC Avant Garde" w:eastAsia="Times New Roman" w:hAnsi="ITC Avant Garde"/>
          <w:bCs/>
          <w:kern w:val="1"/>
          <w:lang w:eastAsia="ar-SA"/>
        </w:rPr>
      </w:pPr>
      <w:r w:rsidRPr="000672F6">
        <w:rPr>
          <w:rFonts w:ascii="ITC Avant Garde" w:hAnsi="ITC Avant Garde"/>
          <w:color w:val="000000"/>
          <w:lang w:eastAsia="es-MX"/>
        </w:rPr>
        <w:t>Por lo anterior, con fundamento en los artículos 6º Apartado B fracción III, 27 párrafos cuarto y sexto, 28 párrafos décimo quinto, décimo sexto y décimo séptimo y 134 de la Constitución Política de los Estados Unidos Mexicanos; 1, 2, 4, 5, 7,</w:t>
      </w:r>
      <w:r w:rsidR="007E3986" w:rsidRPr="000672F6">
        <w:rPr>
          <w:rFonts w:ascii="ITC Avant Garde" w:hAnsi="ITC Avant Garde"/>
          <w:color w:val="000000"/>
          <w:lang w:eastAsia="es-MX"/>
        </w:rPr>
        <w:t xml:space="preserve"> 9 fracción I,</w:t>
      </w:r>
      <w:r w:rsidRPr="000672F6">
        <w:rPr>
          <w:rFonts w:ascii="ITC Avant Garde" w:hAnsi="ITC Avant Garde"/>
          <w:color w:val="000000"/>
          <w:lang w:eastAsia="es-MX"/>
        </w:rPr>
        <w:t xml:space="preserve"> 15 fracciones IV</w:t>
      </w:r>
      <w:r w:rsidR="00A0248C" w:rsidRPr="000672F6">
        <w:rPr>
          <w:rFonts w:ascii="ITC Avant Garde" w:hAnsi="ITC Avant Garde"/>
          <w:color w:val="000000"/>
          <w:lang w:eastAsia="es-MX"/>
        </w:rPr>
        <w:t>, LIV</w:t>
      </w:r>
      <w:r w:rsidRPr="000672F6">
        <w:rPr>
          <w:rFonts w:ascii="ITC Avant Garde" w:hAnsi="ITC Avant Garde"/>
          <w:color w:val="000000"/>
          <w:lang w:eastAsia="es-MX"/>
        </w:rPr>
        <w:t xml:space="preserve"> y LVII, 16, 17 fracción I, 54, 55 fracción I, 66, 67 fracción I, 71, 72, 75, 76 fracción I</w:t>
      </w:r>
      <w:r w:rsidR="003B732B" w:rsidRPr="000672F6">
        <w:rPr>
          <w:rFonts w:ascii="ITC Avant Garde" w:hAnsi="ITC Avant Garde"/>
          <w:color w:val="000000"/>
          <w:lang w:eastAsia="es-MX"/>
        </w:rPr>
        <w:t>,</w:t>
      </w:r>
      <w:r w:rsidR="00D7435A" w:rsidRPr="000672F6">
        <w:rPr>
          <w:rFonts w:ascii="ITC Avant Garde" w:hAnsi="ITC Avant Garde"/>
          <w:color w:val="000000"/>
          <w:lang w:eastAsia="es-MX"/>
        </w:rPr>
        <w:t xml:space="preserve"> </w:t>
      </w:r>
      <w:r w:rsidRPr="000672F6">
        <w:rPr>
          <w:rFonts w:ascii="ITC Avant Garde" w:hAnsi="ITC Avant Garde"/>
          <w:color w:val="000000"/>
          <w:lang w:eastAsia="es-MX"/>
        </w:rPr>
        <w:t>77</w:t>
      </w:r>
      <w:r w:rsidR="001E533B" w:rsidRPr="000672F6">
        <w:rPr>
          <w:rFonts w:ascii="ITC Avant Garde" w:hAnsi="ITC Avant Garde"/>
          <w:color w:val="000000"/>
          <w:lang w:eastAsia="es-MX"/>
        </w:rPr>
        <w:t>, 90,</w:t>
      </w:r>
      <w:r w:rsidR="00A0248C" w:rsidRPr="000672F6">
        <w:rPr>
          <w:rFonts w:ascii="ITC Avant Garde" w:hAnsi="ITC Avant Garde"/>
          <w:color w:val="000000"/>
          <w:lang w:eastAsia="es-MX"/>
        </w:rPr>
        <w:t>100</w:t>
      </w:r>
      <w:r w:rsidR="00067643" w:rsidRPr="000672F6">
        <w:rPr>
          <w:rFonts w:ascii="ITC Avant Garde" w:hAnsi="ITC Avant Garde"/>
          <w:color w:val="000000"/>
          <w:lang w:eastAsia="es-MX"/>
        </w:rPr>
        <w:t>, 105, 106</w:t>
      </w:r>
      <w:r w:rsidR="00483609" w:rsidRPr="000672F6">
        <w:rPr>
          <w:rFonts w:ascii="ITC Avant Garde" w:hAnsi="ITC Avant Garde"/>
          <w:color w:val="000000"/>
          <w:lang w:eastAsia="es-MX"/>
        </w:rPr>
        <w:t>,</w:t>
      </w:r>
      <w:r w:rsidR="00067643" w:rsidRPr="000672F6">
        <w:rPr>
          <w:rFonts w:ascii="ITC Avant Garde" w:hAnsi="ITC Avant Garde"/>
          <w:color w:val="000000"/>
          <w:lang w:eastAsia="es-MX"/>
        </w:rPr>
        <w:t xml:space="preserve"> </w:t>
      </w:r>
      <w:r w:rsidR="003B732B" w:rsidRPr="000672F6">
        <w:rPr>
          <w:rFonts w:ascii="ITC Avant Garde" w:hAnsi="ITC Avant Garde"/>
          <w:color w:val="000000"/>
          <w:lang w:eastAsia="es-MX"/>
        </w:rPr>
        <w:t xml:space="preserve">114 </w:t>
      </w:r>
      <w:r w:rsidR="00067643" w:rsidRPr="000672F6">
        <w:rPr>
          <w:rFonts w:ascii="ITC Avant Garde" w:hAnsi="ITC Avant Garde"/>
          <w:color w:val="000000"/>
          <w:lang w:eastAsia="es-MX"/>
        </w:rPr>
        <w:t xml:space="preserve">y 156 </w:t>
      </w:r>
      <w:r w:rsidRPr="000672F6">
        <w:rPr>
          <w:rFonts w:ascii="ITC Avant Garde" w:hAnsi="ITC Avant Garde"/>
          <w:color w:val="000000"/>
          <w:lang w:eastAsia="es-MX"/>
        </w:rPr>
        <w:t>de la Ley Federal de Telecomunicaciones y Radiodifusión;</w:t>
      </w:r>
      <w:r w:rsidR="00D7435A" w:rsidRPr="000672F6">
        <w:rPr>
          <w:rFonts w:ascii="ITC Avant Garde" w:hAnsi="ITC Avant Garde"/>
          <w:bCs/>
          <w:color w:val="000000"/>
          <w:lang w:val="es-ES" w:eastAsia="es-MX"/>
        </w:rPr>
        <w:t xml:space="preserve"> </w:t>
      </w:r>
      <w:r w:rsidRPr="000672F6">
        <w:rPr>
          <w:rFonts w:ascii="ITC Avant Garde" w:hAnsi="ITC Avant Garde"/>
          <w:color w:val="000000"/>
          <w:lang w:eastAsia="es-MX"/>
        </w:rPr>
        <w:t>3, 16 fracción X, 35 fracción I, 36, 38 y 57 fracción I de la Ley Federal de Procedimiento Administrativo; y 1, 4 fracción I, 6 fracciones I y XXXV</w:t>
      </w:r>
      <w:r w:rsidR="0087347C" w:rsidRPr="000672F6">
        <w:rPr>
          <w:rFonts w:ascii="ITC Avant Garde" w:hAnsi="ITC Avant Garde"/>
          <w:color w:val="000000"/>
          <w:lang w:eastAsia="es-MX"/>
        </w:rPr>
        <w:t>I</w:t>
      </w:r>
      <w:r w:rsidRPr="000672F6">
        <w:rPr>
          <w:rFonts w:ascii="ITC Avant Garde" w:hAnsi="ITC Avant Garde"/>
          <w:color w:val="000000"/>
          <w:lang w:eastAsia="es-MX"/>
        </w:rPr>
        <w:t>II, 32 y 34 fracción II del Estatuto Orgánico del Instituto Federal de Telecomunicaciones, este órgano autónomo emite los siguientes:</w:t>
      </w:r>
    </w:p>
    <w:p w:rsidR="008F4584" w:rsidRPr="000672F6" w:rsidRDefault="00173E52" w:rsidP="008F4584">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RESOLUTIVOS</w:t>
      </w:r>
    </w:p>
    <w:p w:rsidR="008F4584" w:rsidRPr="000672F6" w:rsidRDefault="00173E52" w:rsidP="008F4584">
      <w:pPr>
        <w:suppressAutoHyphens/>
        <w:spacing w:before="240" w:line="276" w:lineRule="auto"/>
        <w:ind w:right="-62"/>
        <w:jc w:val="both"/>
        <w:rPr>
          <w:rFonts w:ascii="ITC Avant Garde" w:eastAsia="Times New Roman" w:hAnsi="ITC Avant Garde"/>
          <w:bCs/>
          <w:kern w:val="1"/>
          <w:lang w:eastAsia="ar-SA"/>
        </w:rPr>
      </w:pPr>
      <w:r w:rsidRPr="000672F6">
        <w:rPr>
          <w:rFonts w:ascii="ITC Avant Garde" w:eastAsia="Times New Roman" w:hAnsi="ITC Avant Garde"/>
          <w:b/>
          <w:bCs/>
          <w:kern w:val="1"/>
          <w:lang w:eastAsia="ar-SA"/>
        </w:rPr>
        <w:t xml:space="preserve">PRIMERO.- </w:t>
      </w:r>
      <w:r w:rsidR="00491844" w:rsidRPr="000672F6">
        <w:rPr>
          <w:rFonts w:ascii="ITC Avant Garde" w:eastAsia="Times New Roman" w:hAnsi="ITC Avant Garde"/>
          <w:bCs/>
          <w:kern w:val="1"/>
          <w:lang w:eastAsia="ar-SA"/>
        </w:rPr>
        <w:t xml:space="preserve">Se resuelve favorablemente la solicitud de prórroga de la Concesión presentada por </w:t>
      </w:r>
      <w:r w:rsidR="00491844" w:rsidRPr="000672F6">
        <w:rPr>
          <w:rFonts w:ascii="ITC Avant Garde" w:hAnsi="ITC Avant Garde"/>
          <w:b/>
          <w:lang w:eastAsia="es-MX"/>
        </w:rPr>
        <w:t>Carlos de Jesús Quiñones Armendariz</w:t>
      </w:r>
      <w:r w:rsidR="00491844" w:rsidRPr="000672F6">
        <w:rPr>
          <w:rFonts w:ascii="ITC Avant Garde" w:hAnsi="ITC Avant Garde"/>
          <w:lang w:eastAsia="es-MX"/>
        </w:rPr>
        <w:t xml:space="preserve"> </w:t>
      </w:r>
      <w:r w:rsidR="00491844" w:rsidRPr="000672F6">
        <w:rPr>
          <w:rFonts w:ascii="ITC Avant Garde" w:eastAsia="Times New Roman" w:hAnsi="ITC Avant Garde"/>
          <w:bCs/>
          <w:kern w:val="1"/>
          <w:lang w:val="es-ES" w:eastAsia="ar-SA"/>
        </w:rPr>
        <w:t xml:space="preserve">para continuar usando </w:t>
      </w:r>
      <w:r w:rsidR="00491844" w:rsidRPr="000672F6">
        <w:rPr>
          <w:rFonts w:ascii="ITC Avant Garde" w:eastAsia="Times New Roman" w:hAnsi="ITC Avant Garde"/>
          <w:bCs/>
          <w:kern w:val="1"/>
          <w:lang w:val="es-ES" w:eastAsia="ar-SA"/>
        </w:rPr>
        <w:lastRenderedPageBreak/>
        <w:t xml:space="preserve">comercialmente </w:t>
      </w:r>
      <w:r w:rsidR="00491844" w:rsidRPr="000672F6">
        <w:rPr>
          <w:rFonts w:ascii="ITC Avant Garde" w:hAnsi="ITC Avant Garde"/>
          <w:lang w:eastAsia="es-MX"/>
        </w:rPr>
        <w:t xml:space="preserve">la frecuencia 1290 kHz, a través de la estación con distintivo de llamada </w:t>
      </w:r>
      <w:r w:rsidR="00491844" w:rsidRPr="000672F6">
        <w:rPr>
          <w:rFonts w:ascii="ITC Avant Garde" w:hAnsi="ITC Avant Garde"/>
          <w:b/>
          <w:lang w:eastAsia="es-MX"/>
        </w:rPr>
        <w:t xml:space="preserve">XEDA-AM </w:t>
      </w:r>
      <w:r w:rsidR="00491844" w:rsidRPr="000672F6">
        <w:rPr>
          <w:rFonts w:ascii="ITC Avant Garde" w:hAnsi="ITC Avant Garde"/>
          <w:lang w:eastAsia="es-MX"/>
        </w:rPr>
        <w:t>en la Ciudad de México.</w:t>
      </w:r>
    </w:p>
    <w:p w:rsidR="008F4584" w:rsidRPr="000672F6" w:rsidRDefault="00173E52" w:rsidP="008F4584">
      <w:pPr>
        <w:suppressAutoHyphens/>
        <w:spacing w:before="240" w:line="276" w:lineRule="auto"/>
        <w:ind w:right="-62"/>
        <w:jc w:val="both"/>
        <w:rPr>
          <w:rFonts w:ascii="ITC Avant Garde" w:hAnsi="ITC Avant Garde"/>
          <w:lang w:eastAsia="es-MX"/>
        </w:rPr>
      </w:pPr>
      <w:r w:rsidRPr="000672F6">
        <w:rPr>
          <w:rFonts w:ascii="ITC Avant Garde" w:eastAsia="Times New Roman" w:hAnsi="ITC Avant Garde"/>
          <w:b/>
          <w:bCs/>
          <w:kern w:val="1"/>
          <w:lang w:eastAsia="ar-SA"/>
        </w:rPr>
        <w:t>SEGUNDO.-</w:t>
      </w:r>
      <w:r w:rsidR="00D7435A" w:rsidRPr="000672F6">
        <w:rPr>
          <w:rFonts w:ascii="ITC Avant Garde" w:eastAsia="Times New Roman" w:hAnsi="ITC Avant Garde"/>
          <w:b/>
          <w:bCs/>
          <w:kern w:val="1"/>
          <w:lang w:eastAsia="ar-SA"/>
        </w:rPr>
        <w:t xml:space="preserve"> </w:t>
      </w:r>
      <w:r w:rsidR="00491844" w:rsidRPr="000672F6">
        <w:rPr>
          <w:rFonts w:ascii="ITC Avant Garde" w:eastAsia="Times New Roman" w:hAnsi="ITC Avant Garde"/>
          <w:bCs/>
          <w:kern w:val="1"/>
          <w:lang w:eastAsia="ar-SA"/>
        </w:rPr>
        <w:t xml:space="preserve">Se otorga </w:t>
      </w:r>
      <w:r w:rsidR="00491844" w:rsidRPr="000672F6">
        <w:rPr>
          <w:rFonts w:ascii="ITC Avant Garde" w:hAnsi="ITC Avant Garde"/>
        </w:rPr>
        <w:t xml:space="preserve">a favor de </w:t>
      </w:r>
      <w:r w:rsidR="00491844" w:rsidRPr="000672F6">
        <w:rPr>
          <w:rFonts w:ascii="ITC Avant Garde" w:hAnsi="ITC Avant Garde"/>
          <w:b/>
          <w:lang w:eastAsia="es-MX"/>
        </w:rPr>
        <w:t>Carlos de Jesús Quiñones Armendariz</w:t>
      </w:r>
      <w:r w:rsidR="00491844" w:rsidRPr="000672F6">
        <w:rPr>
          <w:rFonts w:ascii="ITC Avant Garde" w:hAnsi="ITC Avant Garde"/>
          <w:lang w:eastAsia="es-MX"/>
        </w:rPr>
        <w:t xml:space="preserve"> </w:t>
      </w:r>
      <w:r w:rsidR="00491844" w:rsidRPr="000672F6">
        <w:rPr>
          <w:rFonts w:ascii="ITC Avant Garde" w:eastAsia="Times New Roman" w:hAnsi="ITC Avant Garde"/>
          <w:bCs/>
          <w:kern w:val="1"/>
          <w:lang w:eastAsia="ar-SA"/>
        </w:rPr>
        <w:t xml:space="preserve">una </w:t>
      </w:r>
      <w:r w:rsidR="00491844" w:rsidRPr="000672F6">
        <w:rPr>
          <w:rFonts w:ascii="ITC Avant Garde" w:hAnsi="ITC Avant Garde"/>
          <w:bCs/>
          <w:lang w:eastAsia="es-MX"/>
        </w:rPr>
        <w:t xml:space="preserve">Concesión </w:t>
      </w:r>
      <w:r w:rsidR="00491844" w:rsidRPr="000672F6">
        <w:rPr>
          <w:rFonts w:ascii="ITC Avant Garde" w:hAnsi="ITC Avant Garde"/>
          <w:bCs/>
          <w:lang w:val="es-ES_tradnl" w:eastAsia="es-MX"/>
        </w:rPr>
        <w:t xml:space="preserve">para usar, aprovechar y explotar bandas de frecuencias del espectro radioeléctrico </w:t>
      </w:r>
      <w:r w:rsidR="00491844" w:rsidRPr="000672F6">
        <w:rPr>
          <w:rFonts w:ascii="ITC Avant Garde" w:hAnsi="ITC Avant Garde"/>
        </w:rPr>
        <w:t xml:space="preserve">para uso comercial con una vigencia de 20 (veinte) años contados a partir del día siguiente a la fecha de vencimiento del título que se prorroga en la presente Resolución, para la prestación del servicio público de radiodifusión sonora en </w:t>
      </w:r>
      <w:r w:rsidR="00A953A3" w:rsidRPr="000672F6">
        <w:rPr>
          <w:rFonts w:ascii="ITC Avant Garde" w:hAnsi="ITC Avant Garde"/>
        </w:rPr>
        <w:t xml:space="preserve">amplitud </w:t>
      </w:r>
      <w:r w:rsidR="00491844" w:rsidRPr="000672F6">
        <w:rPr>
          <w:rFonts w:ascii="ITC Avant Garde" w:hAnsi="ITC Avant Garde"/>
        </w:rPr>
        <w:t xml:space="preserve">modulada a través de </w:t>
      </w:r>
      <w:r w:rsidR="00491844" w:rsidRPr="000672F6">
        <w:rPr>
          <w:rFonts w:ascii="ITC Avant Garde" w:hAnsi="ITC Avant Garde"/>
          <w:lang w:eastAsia="es-MX"/>
        </w:rPr>
        <w:t xml:space="preserve">la frecuencia 1290 kHz, a través de la estación con distintivo de llamada </w:t>
      </w:r>
      <w:r w:rsidR="00491844" w:rsidRPr="000672F6">
        <w:rPr>
          <w:rFonts w:ascii="ITC Avant Garde" w:hAnsi="ITC Avant Garde"/>
          <w:b/>
          <w:lang w:eastAsia="es-MX"/>
        </w:rPr>
        <w:t xml:space="preserve">XEDA-AM </w:t>
      </w:r>
      <w:r w:rsidR="00491844" w:rsidRPr="000672F6">
        <w:rPr>
          <w:rFonts w:ascii="ITC Avant Garde" w:hAnsi="ITC Avant Garde"/>
          <w:lang w:eastAsia="es-MX"/>
        </w:rPr>
        <w:t>en la Ciudad de México.</w:t>
      </w:r>
    </w:p>
    <w:p w:rsidR="008F4584" w:rsidRPr="000672F6" w:rsidRDefault="00491844" w:rsidP="008F4584">
      <w:pPr>
        <w:suppressAutoHyphens/>
        <w:spacing w:before="240" w:line="276" w:lineRule="auto"/>
        <w:ind w:right="-62"/>
        <w:jc w:val="both"/>
        <w:rPr>
          <w:rFonts w:ascii="ITC Avant Garde" w:eastAsia="Times New Roman" w:hAnsi="ITC Avant Garde"/>
          <w:bCs/>
          <w:kern w:val="1"/>
          <w:lang w:eastAsia="ar-SA"/>
        </w:rPr>
      </w:pPr>
      <w:r w:rsidRPr="000672F6">
        <w:rPr>
          <w:rFonts w:ascii="ITC Avant Garde" w:eastAsia="Times New Roman" w:hAnsi="ITC Avant Garde"/>
          <w:bCs/>
          <w:kern w:val="1"/>
          <w:lang w:eastAsia="ar-SA"/>
        </w:rPr>
        <w:t>Lo anterior, conforme a los términos establecidos en los Resolutivos siguientes.</w:t>
      </w:r>
    </w:p>
    <w:p w:rsidR="008F4584" w:rsidRPr="000672F6" w:rsidRDefault="00173E52"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b/>
          <w:bCs/>
          <w:kern w:val="1"/>
          <w:lang w:eastAsia="ar-SA"/>
        </w:rPr>
        <w:t xml:space="preserve">TERCERO.- </w:t>
      </w:r>
      <w:r w:rsidR="00491844" w:rsidRPr="000672F6">
        <w:rPr>
          <w:rFonts w:ascii="ITC Avant Garde" w:eastAsia="Times New Roman" w:hAnsi="ITC Avant Garde"/>
          <w:bCs/>
          <w:kern w:val="1"/>
          <w:lang w:eastAsia="ar-SA"/>
        </w:rPr>
        <w:t xml:space="preserve">Se instruye a la Unidad de Concesiones y Servicios a notificar personalmente a </w:t>
      </w:r>
      <w:r w:rsidR="00491844" w:rsidRPr="000672F6">
        <w:rPr>
          <w:rFonts w:ascii="ITC Avant Garde" w:hAnsi="ITC Avant Garde"/>
          <w:b/>
          <w:lang w:eastAsia="es-MX"/>
        </w:rPr>
        <w:t>Carlos de Jesús Quiñones Armendariz</w:t>
      </w:r>
      <w:r w:rsidR="00491844" w:rsidRPr="000672F6">
        <w:rPr>
          <w:rFonts w:ascii="ITC Avant Garde" w:hAnsi="ITC Avant Garde"/>
          <w:lang w:eastAsia="es-MX"/>
        </w:rPr>
        <w:t xml:space="preserve"> </w:t>
      </w:r>
      <w:r w:rsidR="00491844" w:rsidRPr="000672F6">
        <w:rPr>
          <w:rFonts w:ascii="ITC Avant Garde" w:eastAsia="Times New Roman" w:hAnsi="ITC Avant Garde"/>
          <w:bCs/>
          <w:kern w:val="1"/>
          <w:lang w:eastAsia="ar-SA"/>
        </w:rPr>
        <w:t xml:space="preserve">el contenido de la presente Resolución, así como las nuevas </w:t>
      </w:r>
      <w:r w:rsidR="00491844" w:rsidRPr="000672F6">
        <w:rPr>
          <w:rFonts w:ascii="ITC Avant Garde" w:eastAsia="Times New Roman" w:hAnsi="ITC Avant Garde"/>
          <w:kern w:val="1"/>
          <w:lang w:val="es-ES" w:eastAsia="ar-SA"/>
        </w:rPr>
        <w:t xml:space="preserve">condiciones establecidas en el modelo de título de Concesión a que se refiere el Resolutivo Segundo contenidas en el </w:t>
      </w:r>
      <w:r w:rsidR="00491844" w:rsidRPr="000672F6">
        <w:rPr>
          <w:rFonts w:ascii="ITC Avant Garde" w:eastAsia="Times New Roman" w:hAnsi="ITC Avant Garde"/>
          <w:b/>
          <w:kern w:val="1"/>
          <w:lang w:val="es-ES" w:eastAsia="ar-SA"/>
        </w:rPr>
        <w:t>Anexo Único</w:t>
      </w:r>
      <w:r w:rsidR="00491844" w:rsidRPr="000672F6">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00491844" w:rsidRPr="000672F6">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r w:rsidR="00491844" w:rsidRPr="000672F6">
        <w:rPr>
          <w:rFonts w:ascii="ITC Avant Garde" w:eastAsia="Times New Roman" w:hAnsi="ITC Avant Garde"/>
          <w:kern w:val="1"/>
          <w:lang w:val="es-ES" w:eastAsia="ar-SA"/>
        </w:rPr>
        <w:t>.</w:t>
      </w:r>
    </w:p>
    <w:p w:rsidR="008F4584" w:rsidRPr="000672F6" w:rsidRDefault="00491844"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kern w:val="1"/>
          <w:lang w:val="es-ES" w:eastAsia="ar-SA"/>
        </w:rPr>
        <w:t xml:space="preserve">Asimismo, se deberá anexar, como parte integrante de la presente Resolución, el oficio de opinión de la contraprestación emitido por la </w:t>
      </w:r>
      <w:r w:rsidRPr="000672F6">
        <w:rPr>
          <w:rFonts w:ascii="ITC Avant Garde" w:eastAsia="Times New Roman" w:hAnsi="ITC Avant Garde"/>
          <w:bCs/>
          <w:kern w:val="1"/>
          <w:lang w:eastAsia="ar-SA"/>
        </w:rPr>
        <w:t>Secretaría de Hacienda y Crédito Público, descrito en el cuerpo de la Resolución.</w:t>
      </w:r>
    </w:p>
    <w:p w:rsidR="008F4584" w:rsidRPr="000672F6" w:rsidRDefault="00996C12"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b/>
          <w:kern w:val="1"/>
          <w:lang w:val="es-ES" w:eastAsia="ar-SA"/>
        </w:rPr>
        <w:t>CUARTO</w:t>
      </w:r>
      <w:r w:rsidRPr="000672F6">
        <w:rPr>
          <w:rFonts w:ascii="ITC Avant Garde" w:eastAsia="Times New Roman" w:hAnsi="ITC Avant Garde"/>
          <w:kern w:val="1"/>
          <w:lang w:val="es-ES" w:eastAsia="ar-SA"/>
        </w:rPr>
        <w:t xml:space="preserve">.- </w:t>
      </w:r>
      <w:r w:rsidR="00491844" w:rsidRPr="000672F6">
        <w:rPr>
          <w:rFonts w:ascii="ITC Avant Garde" w:eastAsia="Times New Roman" w:hAnsi="ITC Avant Garde"/>
          <w:kern w:val="1"/>
          <w:lang w:val="es-ES" w:eastAsia="ar-SA"/>
        </w:rPr>
        <w:t xml:space="preserve">Una vez aceptadas las condiciones y términos del título de concesión bajo lo determinado en el Resolutivo Tercero, </w:t>
      </w:r>
      <w:r w:rsidR="00491844" w:rsidRPr="000672F6">
        <w:rPr>
          <w:rFonts w:ascii="ITC Avant Garde" w:hAnsi="ITC Avant Garde"/>
          <w:b/>
          <w:lang w:eastAsia="es-MX"/>
        </w:rPr>
        <w:t>Carlos de Jesús Quiñones Armendariz</w:t>
      </w:r>
      <w:r w:rsidR="00491844" w:rsidRPr="000672F6">
        <w:rPr>
          <w:rFonts w:ascii="ITC Avant Garde" w:eastAsia="Times New Roman" w:hAnsi="ITC Avant Garde"/>
          <w:bCs/>
          <w:kern w:val="1"/>
          <w:lang w:eastAsia="ar-SA"/>
        </w:rPr>
        <w:t xml:space="preserve"> deberá exhibir el comprobante de pago del aprovechamiento fijado por este Órgano Autónomo, por el monto de </w:t>
      </w:r>
      <w:r w:rsidR="00491844" w:rsidRPr="000672F6">
        <w:rPr>
          <w:rFonts w:ascii="ITC Avant Garde" w:eastAsia="Times New Roman" w:hAnsi="ITC Avant Garde"/>
          <w:kern w:val="1"/>
          <w:lang w:val="es-ES" w:eastAsia="ar-SA"/>
        </w:rPr>
        <w:t xml:space="preserve">$7,813,834.00 (siete millones ochocientos trece mil ochocientos treinta y cuatro pesos 00/100 M.N), por concepto de contraprestación, situación que deberá realizar en un término de 30 (treinta) días hábiles posteriores al cumplimiento de lo establecido en el resolutivo anterior y bajo los extremos expuestos en el Considerando Séptimo de la presente; plazo </w:t>
      </w:r>
      <w:r w:rsidR="00491844" w:rsidRPr="000672F6">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00491844" w:rsidRPr="000672F6">
        <w:rPr>
          <w:rFonts w:ascii="ITC Avant Garde" w:eastAsia="Times New Roman" w:hAnsi="ITC Avant Garde"/>
          <w:kern w:val="1"/>
          <w:lang w:val="es-ES" w:eastAsia="ar-SA"/>
        </w:rPr>
        <w:t>.</w:t>
      </w:r>
    </w:p>
    <w:p w:rsidR="008F4584" w:rsidRPr="000672F6" w:rsidRDefault="00491844"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8F4584" w:rsidRPr="000672F6" w:rsidRDefault="00996C12"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b/>
          <w:kern w:val="1"/>
          <w:lang w:val="es-ES" w:eastAsia="ar-SA"/>
        </w:rPr>
        <w:lastRenderedPageBreak/>
        <w:t>QUINTO</w:t>
      </w:r>
      <w:r w:rsidRPr="000672F6">
        <w:rPr>
          <w:rFonts w:ascii="ITC Avant Garde" w:eastAsia="Times New Roman" w:hAnsi="ITC Avant Garde"/>
          <w:kern w:val="1"/>
          <w:lang w:val="es-ES" w:eastAsia="ar-SA"/>
        </w:rPr>
        <w:t xml:space="preserve">.- </w:t>
      </w:r>
      <w:r w:rsidR="00491844" w:rsidRPr="000672F6">
        <w:rPr>
          <w:rFonts w:ascii="ITC Avant Garde" w:eastAsia="Times New Roman" w:hAnsi="ITC Avant Garde"/>
          <w:kern w:val="1"/>
          <w:lang w:val="es-ES" w:eastAsia="ar-SA"/>
        </w:rPr>
        <w:t xml:space="preserve">En caso de que </w:t>
      </w:r>
      <w:r w:rsidR="00491844" w:rsidRPr="000672F6">
        <w:rPr>
          <w:rFonts w:ascii="ITC Avant Garde" w:hAnsi="ITC Avant Garde"/>
          <w:b/>
          <w:lang w:eastAsia="es-MX"/>
        </w:rPr>
        <w:t>Carlos de Jesús Quiñones Armendariz</w:t>
      </w:r>
      <w:r w:rsidR="00491844" w:rsidRPr="000672F6">
        <w:rPr>
          <w:rFonts w:ascii="ITC Avant Garde" w:eastAsia="Times New Roman" w:hAnsi="ITC Avant Garde"/>
          <w:bCs/>
          <w:kern w:val="1"/>
          <w:lang w:eastAsia="ar-SA"/>
        </w:rPr>
        <w:t xml:space="preserve"> no dé cumplimiento a lo señalado en el Resolutivo Tercero y Cuarto, la Prórroga correspondiente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8F4584" w:rsidRPr="000672F6" w:rsidRDefault="00491844" w:rsidP="008F4584">
      <w:pPr>
        <w:suppressAutoHyphens/>
        <w:spacing w:before="240" w:line="276" w:lineRule="auto"/>
        <w:ind w:right="-62"/>
        <w:jc w:val="both"/>
        <w:rPr>
          <w:rFonts w:ascii="ITC Avant Garde" w:eastAsia="Times New Roman" w:hAnsi="ITC Avant Garde"/>
          <w:kern w:val="1"/>
          <w:lang w:val="es-ES" w:eastAsia="ar-SA"/>
        </w:rPr>
      </w:pPr>
      <w:r w:rsidRPr="000672F6">
        <w:rPr>
          <w:rFonts w:ascii="ITC Avant Garde" w:eastAsia="Times New Roman" w:hAnsi="ITC Avant Garde"/>
          <w:b/>
          <w:kern w:val="1"/>
          <w:lang w:val="es-ES" w:eastAsia="ar-SA"/>
        </w:rPr>
        <w:t>SEXTO</w:t>
      </w:r>
      <w:r w:rsidRPr="000672F6">
        <w:rPr>
          <w:rFonts w:ascii="ITC Avant Garde" w:eastAsia="Times New Roman" w:hAnsi="ITC Avant Garde"/>
          <w:kern w:val="1"/>
          <w:lang w:val="es-ES" w:eastAsia="ar-SA"/>
        </w:rPr>
        <w:t>.- Una vez satisfecho lo establecido en los Resolutivos Tercero y Cuarto, el</w:t>
      </w:r>
      <w:r w:rsidRPr="000672F6">
        <w:rPr>
          <w:rFonts w:ascii="ITC Avant Garde" w:eastAsia="Times New Roman" w:hAnsi="ITC Avant Garde"/>
          <w:bCs/>
          <w:kern w:val="1"/>
          <w:lang w:eastAsia="ar-SA"/>
        </w:rPr>
        <w:t xml:space="preserve"> Comisionado Presidente del Instituto, con base en las facultades que le confiere el artículo 14 fracción X del </w:t>
      </w:r>
      <w:r w:rsidRPr="000672F6">
        <w:rPr>
          <w:rFonts w:ascii="ITC Avant Garde" w:eastAsia="Times New Roman" w:hAnsi="ITC Avant Garde"/>
          <w:lang w:eastAsia="es-ES"/>
        </w:rPr>
        <w:t>Estatuto Orgánico del Instituto Federal de Telecomunicaciones</w:t>
      </w:r>
      <w:r w:rsidRPr="000672F6">
        <w:rPr>
          <w:rFonts w:ascii="ITC Avant Garde" w:eastAsia="Times New Roman" w:hAnsi="ITC Avant Garde"/>
          <w:bCs/>
          <w:kern w:val="1"/>
          <w:lang w:eastAsia="ar-SA"/>
        </w:rPr>
        <w:t xml:space="preserve">, suscribirá el título de Concesión </w:t>
      </w:r>
      <w:r w:rsidRPr="000672F6">
        <w:rPr>
          <w:rFonts w:ascii="ITC Avant Garde" w:eastAsia="Times New Roman" w:hAnsi="ITC Avant Garde"/>
          <w:bCs/>
          <w:kern w:val="1"/>
          <w:lang w:val="es-ES_tradnl" w:eastAsia="ar-SA"/>
        </w:rPr>
        <w:t>para usar, aprovechar y explotar bandas de frecuencia d</w:t>
      </w:r>
      <w:r w:rsidRPr="000672F6">
        <w:rPr>
          <w:rFonts w:ascii="ITC Avant Garde" w:eastAsia="Times New Roman" w:hAnsi="ITC Avant Garde"/>
          <w:lang w:val="es-ES_tradnl" w:eastAsia="es-ES"/>
        </w:rPr>
        <w:t>el espectro radioeléctrico para uso comercial</w:t>
      </w:r>
      <w:r w:rsidRPr="000672F6">
        <w:rPr>
          <w:rFonts w:ascii="ITC Avant Garde" w:eastAsia="Times New Roman" w:hAnsi="ITC Avant Garde"/>
          <w:bCs/>
          <w:kern w:val="1"/>
          <w:lang w:eastAsia="ar-SA"/>
        </w:rPr>
        <w:t>, que se otorgue con motivo de la presente Resolución.</w:t>
      </w:r>
    </w:p>
    <w:p w:rsidR="008F4584" w:rsidRPr="000672F6" w:rsidRDefault="00491844" w:rsidP="008F4584">
      <w:pPr>
        <w:suppressAutoHyphens/>
        <w:spacing w:before="240" w:line="276" w:lineRule="auto"/>
        <w:ind w:right="-62"/>
        <w:jc w:val="both"/>
        <w:rPr>
          <w:rFonts w:ascii="ITC Avant Garde" w:eastAsia="Times New Roman" w:hAnsi="ITC Avant Garde"/>
          <w:bCs/>
          <w:kern w:val="1"/>
          <w:lang w:eastAsia="ar-SA"/>
        </w:rPr>
      </w:pPr>
      <w:r w:rsidRPr="000672F6">
        <w:rPr>
          <w:rFonts w:ascii="ITC Avant Garde" w:eastAsia="Times New Roman" w:hAnsi="ITC Avant Garde"/>
          <w:b/>
          <w:bCs/>
          <w:kern w:val="1"/>
          <w:lang w:eastAsia="ar-SA"/>
        </w:rPr>
        <w:t>SÉPTIMO</w:t>
      </w:r>
      <w:r w:rsidRPr="000672F6">
        <w:rPr>
          <w:rFonts w:ascii="ITC Avant Garde" w:eastAsia="Times New Roman" w:hAnsi="ITC Avant Garde"/>
          <w:bCs/>
          <w:kern w:val="1"/>
          <w:lang w:eastAsia="ar-SA"/>
        </w:rPr>
        <w:t xml:space="preserve">.- Se instruye a la Unidad de Concesiones y Servicios a realizar la entrega del título de </w:t>
      </w:r>
      <w:r w:rsidRPr="000672F6">
        <w:rPr>
          <w:rFonts w:ascii="ITC Avant Garde" w:hAnsi="ITC Avant Garde"/>
          <w:bCs/>
          <w:lang w:eastAsia="es-MX"/>
        </w:rPr>
        <w:t xml:space="preserve">Concesión </w:t>
      </w:r>
      <w:r w:rsidRPr="000672F6">
        <w:rPr>
          <w:rFonts w:ascii="ITC Avant Garde" w:eastAsia="Times New Roman" w:hAnsi="ITC Avant Garde"/>
          <w:lang w:val="es-ES_tradnl" w:eastAsia="es-ES"/>
        </w:rPr>
        <w:t>para usar, aprovechar y explotar bandas de frecuencia del espectro radioeléctrico</w:t>
      </w:r>
      <w:r w:rsidRPr="000672F6">
        <w:rPr>
          <w:rFonts w:ascii="ITC Avant Garde" w:hAnsi="ITC Avant Garde"/>
          <w:bCs/>
          <w:lang w:eastAsia="es-MX"/>
        </w:rPr>
        <w:t xml:space="preserve"> </w:t>
      </w:r>
      <w:r w:rsidRPr="000672F6">
        <w:rPr>
          <w:rFonts w:ascii="ITC Avant Garde" w:eastAsia="Times New Roman" w:hAnsi="ITC Avant Garde"/>
          <w:bCs/>
          <w:kern w:val="1"/>
          <w:lang w:eastAsia="ar-SA"/>
        </w:rPr>
        <w:t>que se otorgue con motivo de la presente Resolución.</w:t>
      </w:r>
    </w:p>
    <w:p w:rsidR="008F4584" w:rsidRPr="000672F6" w:rsidRDefault="00491844" w:rsidP="008F4584">
      <w:pPr>
        <w:suppressAutoHyphens/>
        <w:spacing w:before="240" w:line="276" w:lineRule="auto"/>
        <w:ind w:right="-62"/>
        <w:jc w:val="both"/>
        <w:rPr>
          <w:rFonts w:ascii="ITC Avant Garde" w:eastAsia="Times New Roman" w:hAnsi="ITC Avant Garde"/>
          <w:bCs/>
          <w:kern w:val="2"/>
          <w:lang w:val="es-ES_tradnl" w:eastAsia="ar-SA"/>
        </w:rPr>
      </w:pPr>
      <w:r w:rsidRPr="000672F6">
        <w:rPr>
          <w:rFonts w:ascii="ITC Avant Garde" w:eastAsia="Times New Roman" w:hAnsi="ITC Avant Garde"/>
          <w:b/>
          <w:bCs/>
          <w:kern w:val="2"/>
          <w:lang w:eastAsia="ar-SA"/>
        </w:rPr>
        <w:t xml:space="preserve">OCTAVO.- </w:t>
      </w:r>
      <w:r w:rsidRPr="000672F6">
        <w:rPr>
          <w:rFonts w:ascii="ITC Avant Garde" w:eastAsia="Times New Roman" w:hAnsi="ITC Avant Garde"/>
          <w:bCs/>
          <w:kern w:val="2"/>
          <w:lang w:val="es-ES_tradnl" w:eastAsia="ar-SA"/>
        </w:rPr>
        <w:t xml:space="preserve">Inscríbase en el Registro Público de Concesiones el </w:t>
      </w:r>
      <w:r w:rsidRPr="000672F6">
        <w:rPr>
          <w:rFonts w:ascii="ITC Avant Garde" w:eastAsia="Times New Roman" w:hAnsi="ITC Avant Garde"/>
          <w:bCs/>
          <w:kern w:val="2"/>
          <w:lang w:eastAsia="ar-SA"/>
        </w:rPr>
        <w:t xml:space="preserve">título de concesión </w:t>
      </w:r>
      <w:r w:rsidRPr="000672F6">
        <w:rPr>
          <w:rFonts w:ascii="ITC Avant Garde" w:eastAsia="Times New Roman" w:hAnsi="ITC Avant Garde"/>
          <w:bCs/>
          <w:kern w:val="2"/>
          <w:lang w:val="es-ES_tradnl" w:eastAsia="ar-SA"/>
        </w:rPr>
        <w:t xml:space="preserve">para usar, aprovechar y explotar bandas de frecuencias del espectro radioeléctrico para uso comercial a que se refiere la presente Resolución, una vez que sea debidamente notificado y entregado al interesado. </w:t>
      </w:r>
    </w:p>
    <w:p w:rsidR="008F4584" w:rsidRPr="000672F6" w:rsidRDefault="00491844" w:rsidP="008F4584">
      <w:pPr>
        <w:suppressAutoHyphens/>
        <w:spacing w:before="240" w:line="276" w:lineRule="auto"/>
        <w:ind w:right="-62"/>
        <w:jc w:val="both"/>
        <w:rPr>
          <w:rFonts w:ascii="ITC Avant Garde" w:eastAsia="Times New Roman" w:hAnsi="ITC Avant Garde"/>
          <w:bCs/>
          <w:kern w:val="2"/>
          <w:lang w:val="es-ES_tradnl" w:eastAsia="ar-SA"/>
        </w:rPr>
      </w:pPr>
      <w:r w:rsidRPr="000672F6">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8F4584" w:rsidRPr="000672F6" w:rsidRDefault="00160FE7" w:rsidP="000672F6">
      <w:pPr>
        <w:tabs>
          <w:tab w:val="left" w:pos="142"/>
          <w:tab w:val="left" w:pos="5954"/>
        </w:tabs>
        <w:spacing w:after="0" w:line="240" w:lineRule="auto"/>
        <w:jc w:val="both"/>
        <w:rPr>
          <w:rFonts w:ascii="ITC Avant Garde" w:eastAsia="Times New Roman" w:hAnsi="ITC Avant Garde" w:cs="Times New Roman"/>
          <w:sz w:val="14"/>
          <w:lang w:val="es-ES"/>
        </w:rPr>
      </w:pPr>
      <w:r w:rsidRPr="000672F6">
        <w:rPr>
          <w:rFonts w:ascii="ITC Avant Garde" w:eastAsia="Times New Roman" w:hAnsi="ITC Avant Garde" w:cs="Times New Roman"/>
          <w:sz w:val="14"/>
          <w:lang w:val="es-ES"/>
        </w:rPr>
        <w:t>La presente Resolución fue aprobada por el Pleno del Instituto Federal de Telecomunicaciones en su XXXIV Sesión Ordinaria celebrada el 23 de agosto de 2017, en lo general por mayoría de votos de los Comisionados Gabriel Oswaldo Contreras Saldívar, quien manifiesta voto concurrente; María Elena Estavillo Flores; Mario Germán Fromow Rangel; Javier Juárez Mojica y Arturo Robles Rovalo; y con el voto en contra de la Comisionada Adriana Sofía Labardini Inzunza y del Comisionado Adolfo Cuevas Teja.</w:t>
      </w:r>
    </w:p>
    <w:p w:rsidR="008F4584" w:rsidRPr="000672F6" w:rsidRDefault="00160FE7" w:rsidP="000672F6">
      <w:pPr>
        <w:tabs>
          <w:tab w:val="left" w:pos="142"/>
          <w:tab w:val="left" w:pos="5954"/>
        </w:tabs>
        <w:spacing w:after="0" w:line="240" w:lineRule="auto"/>
        <w:jc w:val="both"/>
        <w:rPr>
          <w:rFonts w:ascii="ITC Avant Garde" w:eastAsia="Times New Roman" w:hAnsi="ITC Avant Garde" w:cs="Times New Roman"/>
          <w:sz w:val="14"/>
          <w:lang w:val="es-ES"/>
        </w:rPr>
      </w:pPr>
      <w:r w:rsidRPr="000672F6">
        <w:rPr>
          <w:rFonts w:ascii="ITC Avant Garde" w:eastAsia="Times New Roman" w:hAnsi="ITC Avant Garde" w:cs="Times New Roman"/>
          <w:sz w:val="14"/>
          <w:lang w:val="es-ES"/>
        </w:rPr>
        <w:t>En lo particular, la Comisionada María Elena Estavillo Flores manifestó voto en contra del monto de la contraprestación.</w:t>
      </w:r>
    </w:p>
    <w:p w:rsidR="00160FE7" w:rsidRPr="000672F6" w:rsidRDefault="00160FE7" w:rsidP="000672F6">
      <w:pPr>
        <w:tabs>
          <w:tab w:val="left" w:pos="142"/>
          <w:tab w:val="left" w:pos="5954"/>
        </w:tabs>
        <w:spacing w:after="0" w:line="240" w:lineRule="auto"/>
        <w:jc w:val="both"/>
        <w:rPr>
          <w:rFonts w:ascii="ITC Avant Garde" w:eastAsia="Times New Roman" w:hAnsi="ITC Avant Garde" w:cs="Times New Roman"/>
          <w:sz w:val="14"/>
          <w:lang w:val="es-ES"/>
        </w:rPr>
      </w:pPr>
      <w:r w:rsidRPr="000672F6">
        <w:rPr>
          <w:rFonts w:ascii="ITC Avant Garde" w:eastAsia="Times New Roman" w:hAnsi="ITC Avant Garde" w:cs="Times New Roman"/>
          <w:sz w:val="14"/>
          <w:lang w:val="es-ES"/>
        </w:rPr>
        <w:t>Lo anterior, con fundamento en los párrafos vigésimo, fracciones I y III; y vigésimo primero, del artículo 28 de la Constitución Política de los Estados Unidos Mexicanos; artículos 7, 16 y 45 de la Ley Federal de Telecomunicaciones y Radiodifusión</w:t>
      </w:r>
      <w:r w:rsidRPr="000672F6">
        <w:rPr>
          <w:rFonts w:ascii="ITC Avant Garde" w:hAnsi="ITC Avant Garde"/>
          <w:sz w:val="14"/>
        </w:rPr>
        <w:t>;</w:t>
      </w:r>
      <w:r w:rsidRPr="000672F6">
        <w:rPr>
          <w:rFonts w:ascii="ITC Avant Garde" w:eastAsia="Times New Roman" w:hAnsi="ITC Avant Garde" w:cs="Times New Roman"/>
          <w:sz w:val="14"/>
          <w:lang w:val="es-ES"/>
        </w:rPr>
        <w:t xml:space="preserve"> así como en los artículos 1, 7, 8 y 12 del Estatuto Orgánico del Instituto Federal de Telecomunicaciones, mediante Acuerdo P/IFT/230817/522.</w:t>
      </w:r>
    </w:p>
    <w:p w:rsidR="008F4584" w:rsidRPr="000672F6" w:rsidRDefault="008F4584" w:rsidP="008F4584">
      <w:pPr>
        <w:suppressAutoHyphens/>
        <w:spacing w:before="240" w:line="276" w:lineRule="auto"/>
        <w:ind w:right="-62"/>
        <w:jc w:val="both"/>
        <w:rPr>
          <w:rFonts w:ascii="ITC Avant Garde" w:eastAsia="Times New Roman" w:hAnsi="ITC Avant Garde"/>
          <w:b/>
          <w:bCs/>
          <w:kern w:val="1"/>
          <w:lang w:val="es-ES_tradnl" w:eastAsia="ar-SA"/>
        </w:rPr>
        <w:sectPr w:rsidR="008F4584" w:rsidRPr="000672F6" w:rsidSect="00D578EE">
          <w:headerReference w:type="even" r:id="rId8"/>
          <w:footerReference w:type="default" r:id="rId9"/>
          <w:headerReference w:type="first" r:id="rId10"/>
          <w:pgSz w:w="12240" w:h="15840"/>
          <w:pgMar w:top="1985" w:right="1418" w:bottom="1418" w:left="1418" w:header="709" w:footer="709" w:gutter="0"/>
          <w:cols w:space="708"/>
          <w:docGrid w:linePitch="360"/>
        </w:sectPr>
      </w:pPr>
    </w:p>
    <w:p w:rsidR="008F4584" w:rsidRPr="000672F6" w:rsidRDefault="008F4584" w:rsidP="008F4584">
      <w:pPr>
        <w:pStyle w:val="Ttulo1"/>
        <w:jc w:val="center"/>
        <w:rPr>
          <w:rFonts w:ascii="ITC Avant Garde" w:eastAsia="Times New Roman" w:hAnsi="ITC Avant Garde"/>
          <w:b/>
          <w:color w:val="000000" w:themeColor="text1"/>
          <w:sz w:val="22"/>
          <w:szCs w:val="22"/>
          <w:lang w:eastAsia="es-MX"/>
        </w:rPr>
      </w:pPr>
      <w:r w:rsidRPr="000672F6">
        <w:rPr>
          <w:rFonts w:ascii="ITC Avant Garde" w:eastAsia="Times New Roman" w:hAnsi="ITC Avant Garde"/>
          <w:b/>
          <w:color w:val="000000" w:themeColor="text1"/>
          <w:sz w:val="22"/>
          <w:szCs w:val="22"/>
          <w:lang w:eastAsia="es-MX"/>
        </w:rPr>
        <w:lastRenderedPageBreak/>
        <w:t>ANEXO ÚNICO</w:t>
      </w:r>
    </w:p>
    <w:p w:rsidR="008F4584" w:rsidRPr="000672F6" w:rsidRDefault="008F4584" w:rsidP="008F4584">
      <w:pPr>
        <w:spacing w:before="240" w:after="200" w:line="240" w:lineRule="auto"/>
        <w:ind w:right="48"/>
        <w:jc w:val="both"/>
        <w:rPr>
          <w:rFonts w:ascii="ITC Avant Garde" w:hAnsi="ITC Avant Garde" w:cs="Times New Roman"/>
          <w:b/>
        </w:rPr>
      </w:pPr>
      <w:r w:rsidRPr="000672F6">
        <w:rPr>
          <w:rFonts w:ascii="ITC Avant Garde" w:hAnsi="ITC Avant Garde" w:cs="Times New Roman"/>
          <w:b/>
        </w:rPr>
        <w:t xml:space="preserve">MODELO DE TÍTULO DE CONCESIÓN PARA USAR, APROVECHAR Y EXPLOTAR BANDAS DE FRECUENCIAS DEL ESPECTRO RADIOELÉCTRICO PARA USO COMERCIAL QUE OTORGA EL INSTITUTO FEDERAL DE TELECOMUNICACIONES, A FAVOR DE </w:t>
      </w:r>
      <w:r w:rsidRPr="000672F6">
        <w:rPr>
          <w:rFonts w:ascii="ITC Avant Garde" w:hAnsi="ITC Avant Garde" w:cs="Times New Roman"/>
          <w:b/>
          <w:color w:val="0000FF"/>
        </w:rPr>
        <w:t>(…)</w:t>
      </w:r>
      <w:r w:rsidRPr="000672F6">
        <w:rPr>
          <w:rFonts w:ascii="ITC Avant Garde" w:hAnsi="ITC Avant Garde" w:cs="Times New Roman"/>
          <w:b/>
        </w:rPr>
        <w:t>, DE CONFORMIDAD CON LOS SIGUIENTES:</w:t>
      </w:r>
    </w:p>
    <w:p w:rsidR="008F4584" w:rsidRPr="000672F6" w:rsidRDefault="008F4584" w:rsidP="000672F6">
      <w:pPr>
        <w:pStyle w:val="Ttulo2"/>
        <w:spacing w:after="240"/>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ANTECEDENTES</w:t>
      </w:r>
    </w:p>
    <w:p w:rsidR="008F4584" w:rsidRPr="000672F6" w:rsidRDefault="008F4584" w:rsidP="008F4584">
      <w:pPr>
        <w:pStyle w:val="estilo30"/>
        <w:numPr>
          <w:ilvl w:val="0"/>
          <w:numId w:val="32"/>
        </w:numPr>
        <w:spacing w:before="240" w:beforeAutospacing="0" w:after="160" w:afterAutospacing="0" w:line="276" w:lineRule="auto"/>
        <w:ind w:left="567" w:hanging="567"/>
        <w:jc w:val="both"/>
        <w:rPr>
          <w:rFonts w:ascii="ITC Avant Garde" w:hAnsi="ITC Avant Garde"/>
          <w:sz w:val="22"/>
          <w:szCs w:val="22"/>
        </w:rPr>
      </w:pPr>
      <w:r w:rsidRPr="000672F6">
        <w:rPr>
          <w:rFonts w:ascii="ITC Avant Garde" w:hAnsi="ITC Avant Garde"/>
          <w:sz w:val="22"/>
          <w:szCs w:val="22"/>
        </w:rPr>
        <w:t xml:space="preserve">Mediante escrito presentado el </w:t>
      </w:r>
      <w:r w:rsidRPr="000672F6">
        <w:rPr>
          <w:rFonts w:ascii="ITC Avant Garde" w:hAnsi="ITC Avant Garde"/>
          <w:b/>
          <w:color w:val="0000FF"/>
        </w:rPr>
        <w:t xml:space="preserve">(…) </w:t>
      </w:r>
      <w:r w:rsidRPr="000672F6">
        <w:rPr>
          <w:rFonts w:ascii="ITC Avant Garde" w:hAnsi="ITC Avant Garde"/>
          <w:bCs/>
          <w:sz w:val="22"/>
          <w:szCs w:val="22"/>
        </w:rPr>
        <w:t xml:space="preserve">solicitó la prórroga del título de concesión para continuar explotando comercialmente la frecuencia </w:t>
      </w:r>
      <w:r w:rsidRPr="000672F6">
        <w:rPr>
          <w:rFonts w:ascii="ITC Avant Garde" w:hAnsi="ITC Avant Garde"/>
          <w:b/>
          <w:color w:val="0000FF"/>
        </w:rPr>
        <w:t xml:space="preserve">(…) </w:t>
      </w:r>
      <w:r w:rsidRPr="000672F6">
        <w:rPr>
          <w:rFonts w:ascii="ITC Avant Garde" w:hAnsi="ITC Avant Garde"/>
          <w:bCs/>
          <w:sz w:val="22"/>
          <w:szCs w:val="22"/>
        </w:rPr>
        <w:t xml:space="preserve">a través de la estación con distintivo de llamada </w:t>
      </w:r>
      <w:r w:rsidRPr="000672F6">
        <w:rPr>
          <w:rFonts w:ascii="ITC Avant Garde" w:hAnsi="ITC Avant Garde"/>
          <w:b/>
          <w:color w:val="0000FF"/>
        </w:rPr>
        <w:t>(…)</w:t>
      </w:r>
      <w:r w:rsidRPr="000672F6">
        <w:rPr>
          <w:rFonts w:ascii="ITC Avant Garde" w:hAnsi="ITC Avant Garde"/>
          <w:sz w:val="22"/>
          <w:szCs w:val="22"/>
        </w:rPr>
        <w:t xml:space="preserve">, en </w:t>
      </w:r>
      <w:r w:rsidRPr="000672F6">
        <w:rPr>
          <w:rFonts w:ascii="ITC Avant Garde" w:hAnsi="ITC Avant Garde"/>
          <w:b/>
          <w:color w:val="0000FF"/>
        </w:rPr>
        <w:t>(…)</w:t>
      </w:r>
      <w:r w:rsidRPr="000672F6">
        <w:rPr>
          <w:rFonts w:ascii="ITC Avant Garde" w:hAnsi="ITC Avant Garde"/>
          <w:bCs/>
          <w:sz w:val="22"/>
          <w:szCs w:val="22"/>
        </w:rPr>
        <w:t xml:space="preserve">; que le fue otorgado en fecha </w:t>
      </w:r>
      <w:r w:rsidRPr="000672F6">
        <w:rPr>
          <w:rFonts w:ascii="ITC Avant Garde" w:hAnsi="ITC Avant Garde"/>
          <w:b/>
          <w:color w:val="0000FF"/>
        </w:rPr>
        <w:t>(…)</w:t>
      </w:r>
      <w:r w:rsidRPr="000672F6">
        <w:rPr>
          <w:rFonts w:ascii="ITC Avant Garde" w:hAnsi="ITC Avant Garde"/>
          <w:bCs/>
          <w:sz w:val="22"/>
          <w:szCs w:val="22"/>
        </w:rPr>
        <w:t xml:space="preserve">, </w:t>
      </w:r>
      <w:r w:rsidRPr="000672F6">
        <w:rPr>
          <w:rFonts w:ascii="ITC Avant Garde" w:hAnsi="ITC Avant Garde"/>
          <w:sz w:val="22"/>
          <w:szCs w:val="22"/>
        </w:rPr>
        <w:t xml:space="preserve">con vigencia de </w:t>
      </w:r>
      <w:r w:rsidRPr="000672F6">
        <w:rPr>
          <w:rFonts w:ascii="ITC Avant Garde" w:hAnsi="ITC Avant Garde"/>
          <w:b/>
          <w:color w:val="0000FF"/>
        </w:rPr>
        <w:t>(…)</w:t>
      </w:r>
      <w:r w:rsidRPr="000672F6">
        <w:rPr>
          <w:rFonts w:ascii="ITC Avant Garde" w:hAnsi="ITC Avant Garde"/>
          <w:sz w:val="22"/>
          <w:szCs w:val="22"/>
        </w:rPr>
        <w:t xml:space="preserve"> años, contados a partir del día </w:t>
      </w:r>
      <w:r w:rsidRPr="000672F6">
        <w:rPr>
          <w:rFonts w:ascii="ITC Avant Garde" w:hAnsi="ITC Avant Garde"/>
          <w:b/>
          <w:color w:val="0000FF"/>
        </w:rPr>
        <w:t>(…)</w:t>
      </w:r>
      <w:r w:rsidRPr="000672F6">
        <w:rPr>
          <w:rFonts w:ascii="ITC Avant Garde" w:hAnsi="ITC Avant Garde"/>
          <w:sz w:val="22"/>
          <w:szCs w:val="22"/>
        </w:rPr>
        <w:t xml:space="preserve"> y vencimiento el </w:t>
      </w:r>
      <w:r w:rsidRPr="000672F6">
        <w:rPr>
          <w:rFonts w:ascii="ITC Avant Garde" w:hAnsi="ITC Avant Garde"/>
          <w:b/>
          <w:color w:val="0000FF"/>
        </w:rPr>
        <w:t>(…)</w:t>
      </w:r>
      <w:r w:rsidRPr="000672F6">
        <w:rPr>
          <w:rFonts w:ascii="ITC Avant Garde" w:hAnsi="ITC Avant Garde"/>
          <w:sz w:val="22"/>
          <w:szCs w:val="22"/>
        </w:rPr>
        <w:t>.</w:t>
      </w:r>
    </w:p>
    <w:p w:rsidR="008F4584" w:rsidRPr="000672F6" w:rsidRDefault="008F4584" w:rsidP="008F4584">
      <w:pPr>
        <w:pStyle w:val="Prrafodelista"/>
        <w:numPr>
          <w:ilvl w:val="0"/>
          <w:numId w:val="32"/>
        </w:numPr>
        <w:spacing w:before="240" w:after="160" w:line="276" w:lineRule="auto"/>
        <w:ind w:left="567" w:hanging="567"/>
        <w:jc w:val="both"/>
        <w:rPr>
          <w:rFonts w:ascii="ITC Avant Garde" w:hAnsi="ITC Avant Garde"/>
          <w:sz w:val="22"/>
          <w:szCs w:val="22"/>
          <w:lang w:eastAsia="es-MX"/>
        </w:rPr>
      </w:pPr>
      <w:r w:rsidRPr="000672F6">
        <w:rPr>
          <w:rFonts w:ascii="ITC Avant Garde" w:hAnsi="ITC Avant Garde"/>
          <w:sz w:val="22"/>
          <w:szCs w:val="22"/>
        </w:rPr>
        <w:t xml:space="preserve">El Pleno del Instituto Federal de Telecomunicaciones, mediante Acuerdo </w:t>
      </w:r>
      <w:r w:rsidRPr="000672F6">
        <w:rPr>
          <w:rFonts w:ascii="ITC Avant Garde" w:hAnsi="ITC Avant Garde"/>
          <w:b/>
          <w:color w:val="0000FF"/>
        </w:rPr>
        <w:t>(…)</w:t>
      </w:r>
      <w:r w:rsidRPr="000672F6">
        <w:rPr>
          <w:rFonts w:ascii="ITC Avant Garde" w:hAnsi="ITC Avant Garde"/>
          <w:sz w:val="22"/>
          <w:szCs w:val="22"/>
        </w:rPr>
        <w:t xml:space="preserve"> de fecha </w:t>
      </w:r>
      <w:r w:rsidRPr="000672F6">
        <w:rPr>
          <w:rFonts w:ascii="ITC Avant Garde" w:hAnsi="ITC Avant Garde"/>
          <w:b/>
          <w:color w:val="0000FF"/>
        </w:rPr>
        <w:t>(…)</w:t>
      </w:r>
      <w:r w:rsidRPr="000672F6">
        <w:rPr>
          <w:rFonts w:ascii="ITC Avant Garde" w:hAnsi="ITC Avant Garde"/>
          <w:sz w:val="22"/>
          <w:szCs w:val="22"/>
        </w:rPr>
        <w:t xml:space="preserve">, resolvió procedente la solicitud de prórroga de la Concesión referida en el Antecedente I y como consecuencia otorgar una Concesión </w:t>
      </w:r>
      <w:r w:rsidRPr="000672F6">
        <w:rPr>
          <w:rFonts w:ascii="ITC Avant Garde" w:hAnsi="ITC Avant Garde"/>
          <w:bCs/>
          <w:sz w:val="22"/>
          <w:szCs w:val="22"/>
        </w:rPr>
        <w:t xml:space="preserve">para usar, aprovechar y explotar bandas de frecuencias </w:t>
      </w:r>
      <w:r w:rsidRPr="000672F6">
        <w:rPr>
          <w:rFonts w:ascii="ITC Avant Garde" w:hAnsi="ITC Avant Garde"/>
          <w:sz w:val="22"/>
          <w:szCs w:val="22"/>
        </w:rPr>
        <w:t xml:space="preserve">del espectro radioeléctrico para uso comercial, a favor de </w:t>
      </w:r>
      <w:r w:rsidRPr="000672F6">
        <w:rPr>
          <w:rFonts w:ascii="ITC Avant Garde" w:hAnsi="ITC Avant Garde"/>
          <w:bCs/>
          <w:sz w:val="22"/>
          <w:szCs w:val="22"/>
        </w:rPr>
        <w:fldChar w:fldCharType="begin"/>
      </w:r>
      <w:r w:rsidRPr="000672F6">
        <w:rPr>
          <w:rFonts w:ascii="ITC Avant Garde" w:hAnsi="ITC Avant Garde"/>
          <w:bCs/>
          <w:sz w:val="22"/>
          <w:szCs w:val="22"/>
        </w:rPr>
        <w:instrText xml:space="preserve"> MERGEFIELD "CONCESIONARIO__ALTAS_Y_BAJAS" </w:instrText>
      </w:r>
      <w:r w:rsidRPr="000672F6">
        <w:rPr>
          <w:rFonts w:ascii="ITC Avant Garde" w:hAnsi="ITC Avant Garde"/>
          <w:bCs/>
          <w:sz w:val="22"/>
          <w:szCs w:val="22"/>
        </w:rPr>
        <w:fldChar w:fldCharType="separate"/>
      </w:r>
      <w:r w:rsidRPr="000672F6">
        <w:rPr>
          <w:rFonts w:ascii="ITC Avant Garde" w:hAnsi="ITC Avant Garde"/>
          <w:b/>
          <w:color w:val="0000FF"/>
        </w:rPr>
        <w:t>(…)</w:t>
      </w:r>
      <w:r w:rsidRPr="000672F6">
        <w:rPr>
          <w:rFonts w:ascii="ITC Avant Garde" w:hAnsi="ITC Avant Garde"/>
          <w:bCs/>
          <w:noProof/>
          <w:sz w:val="22"/>
          <w:szCs w:val="22"/>
        </w:rPr>
        <w:t>»</w:t>
      </w:r>
      <w:r w:rsidRPr="000672F6">
        <w:rPr>
          <w:rFonts w:ascii="ITC Avant Garde" w:hAnsi="ITC Avant Garde"/>
          <w:bCs/>
          <w:sz w:val="22"/>
          <w:szCs w:val="22"/>
        </w:rPr>
        <w:fldChar w:fldCharType="end"/>
      </w:r>
    </w:p>
    <w:p w:rsidR="008F4584" w:rsidRPr="000672F6" w:rsidRDefault="008F4584" w:rsidP="008F4584">
      <w:pPr>
        <w:spacing w:before="240"/>
        <w:jc w:val="both"/>
        <w:rPr>
          <w:rFonts w:ascii="ITC Avant Garde" w:hAnsi="ITC Avant Garde"/>
          <w:bCs/>
          <w:lang w:eastAsia="es-MX"/>
        </w:rPr>
      </w:pPr>
      <w:r w:rsidRPr="000672F6">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0672F6">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8F4584" w:rsidRPr="000672F6" w:rsidRDefault="008F4584" w:rsidP="000672F6">
      <w:pPr>
        <w:pStyle w:val="Ttulo2"/>
        <w:spacing w:after="240"/>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CONDICIONES</w:t>
      </w:r>
    </w:p>
    <w:p w:rsidR="008F4584" w:rsidRPr="000672F6" w:rsidRDefault="008F4584" w:rsidP="000672F6">
      <w:pPr>
        <w:pStyle w:val="Ttulo3"/>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Disposiciones Generales</w:t>
      </w:r>
    </w:p>
    <w:p w:rsidR="008F4584" w:rsidRPr="000672F6" w:rsidRDefault="008F4584" w:rsidP="008F4584">
      <w:pPr>
        <w:numPr>
          <w:ilvl w:val="0"/>
          <w:numId w:val="33"/>
        </w:numPr>
        <w:spacing w:before="240" w:line="276" w:lineRule="auto"/>
        <w:jc w:val="both"/>
        <w:rPr>
          <w:rFonts w:ascii="ITC Avant Garde" w:hAnsi="ITC Avant Garde"/>
        </w:rPr>
      </w:pPr>
      <w:r w:rsidRPr="000672F6">
        <w:rPr>
          <w:rFonts w:ascii="ITC Avant Garde" w:hAnsi="ITC Avant Garde"/>
          <w:b/>
          <w:bCs/>
        </w:rPr>
        <w:t xml:space="preserve">Definición de términos. </w:t>
      </w:r>
      <w:r w:rsidRPr="000672F6">
        <w:rPr>
          <w:rFonts w:ascii="ITC Avant Garde" w:hAnsi="ITC Avant Garde"/>
          <w:bCs/>
        </w:rPr>
        <w:t>Para los efectos del presente título, se entenderá por:</w:t>
      </w:r>
    </w:p>
    <w:p w:rsidR="008F4584" w:rsidRPr="000672F6" w:rsidRDefault="008F4584" w:rsidP="008F4584">
      <w:pPr>
        <w:pStyle w:val="Textoindependiente"/>
        <w:numPr>
          <w:ilvl w:val="0"/>
          <w:numId w:val="34"/>
        </w:numPr>
        <w:tabs>
          <w:tab w:val="num" w:pos="851"/>
        </w:tabs>
        <w:spacing w:before="240" w:after="160" w:line="276" w:lineRule="auto"/>
        <w:ind w:left="851" w:hanging="425"/>
        <w:rPr>
          <w:rFonts w:ascii="ITC Avant Garde" w:hAnsi="ITC Avant Garde"/>
          <w:sz w:val="22"/>
          <w:szCs w:val="22"/>
        </w:rPr>
      </w:pPr>
      <w:r w:rsidRPr="000672F6">
        <w:rPr>
          <w:rFonts w:ascii="ITC Avant Garde" w:hAnsi="ITC Avant Garde"/>
          <w:b/>
          <w:sz w:val="22"/>
          <w:szCs w:val="22"/>
        </w:rPr>
        <w:t>Concesión de espectro radioeléctrico:</w:t>
      </w:r>
      <w:r w:rsidRPr="000672F6">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8F4584" w:rsidRPr="000672F6" w:rsidRDefault="008F4584" w:rsidP="008F4584">
      <w:pPr>
        <w:pStyle w:val="Textoindependiente"/>
        <w:numPr>
          <w:ilvl w:val="0"/>
          <w:numId w:val="34"/>
        </w:numPr>
        <w:tabs>
          <w:tab w:val="num" w:pos="851"/>
        </w:tabs>
        <w:spacing w:before="240" w:after="160" w:line="276" w:lineRule="auto"/>
        <w:ind w:left="851" w:hanging="425"/>
        <w:rPr>
          <w:rFonts w:ascii="ITC Avant Garde" w:hAnsi="ITC Avant Garde"/>
          <w:sz w:val="22"/>
          <w:szCs w:val="22"/>
        </w:rPr>
      </w:pPr>
      <w:r w:rsidRPr="000672F6">
        <w:rPr>
          <w:rFonts w:ascii="ITC Avant Garde" w:hAnsi="ITC Avant Garde"/>
          <w:b/>
          <w:sz w:val="22"/>
          <w:szCs w:val="22"/>
        </w:rPr>
        <w:t>Concesionario:</w:t>
      </w:r>
      <w:r w:rsidRPr="000672F6">
        <w:rPr>
          <w:rFonts w:ascii="ITC Avant Garde" w:hAnsi="ITC Avant Garde"/>
          <w:sz w:val="22"/>
          <w:szCs w:val="22"/>
        </w:rPr>
        <w:t xml:space="preserve"> </w:t>
      </w:r>
      <w:r w:rsidRPr="000672F6">
        <w:rPr>
          <w:rFonts w:ascii="ITC Avant Garde" w:hAnsi="ITC Avant Garde"/>
          <w:bCs/>
          <w:sz w:val="22"/>
          <w:szCs w:val="22"/>
        </w:rPr>
        <w:t>El titular de la Concesión de espectro radioeléctrico;</w:t>
      </w:r>
    </w:p>
    <w:p w:rsidR="008F4584" w:rsidRPr="000672F6" w:rsidRDefault="008F4584" w:rsidP="008F4584">
      <w:pPr>
        <w:pStyle w:val="Textoindependiente"/>
        <w:numPr>
          <w:ilvl w:val="0"/>
          <w:numId w:val="34"/>
        </w:numPr>
        <w:tabs>
          <w:tab w:val="num" w:pos="851"/>
        </w:tabs>
        <w:spacing w:before="240" w:after="160" w:line="276" w:lineRule="auto"/>
        <w:ind w:left="851" w:hanging="425"/>
        <w:rPr>
          <w:rFonts w:ascii="ITC Avant Garde" w:hAnsi="ITC Avant Garde"/>
          <w:sz w:val="22"/>
          <w:szCs w:val="22"/>
        </w:rPr>
      </w:pPr>
      <w:r w:rsidRPr="000672F6">
        <w:rPr>
          <w:rFonts w:ascii="ITC Avant Garde" w:hAnsi="ITC Avant Garde"/>
          <w:b/>
          <w:sz w:val="22"/>
          <w:szCs w:val="22"/>
        </w:rPr>
        <w:lastRenderedPageBreak/>
        <w:t>Instituto:</w:t>
      </w:r>
      <w:r w:rsidRPr="000672F6">
        <w:rPr>
          <w:rFonts w:ascii="ITC Avant Garde" w:hAnsi="ITC Avant Garde"/>
          <w:sz w:val="22"/>
          <w:szCs w:val="22"/>
        </w:rPr>
        <w:t xml:space="preserve"> </w:t>
      </w:r>
      <w:r w:rsidRPr="000672F6">
        <w:rPr>
          <w:rFonts w:ascii="ITC Avant Garde" w:hAnsi="ITC Avant Garde"/>
          <w:bCs/>
          <w:sz w:val="22"/>
          <w:szCs w:val="22"/>
        </w:rPr>
        <w:t>El Instituto Federal de Telecomunicaciones;</w:t>
      </w:r>
    </w:p>
    <w:p w:rsidR="008F4584" w:rsidRPr="000672F6" w:rsidRDefault="008F4584" w:rsidP="008F4584">
      <w:pPr>
        <w:numPr>
          <w:ilvl w:val="0"/>
          <w:numId w:val="34"/>
        </w:numPr>
        <w:tabs>
          <w:tab w:val="num" w:pos="851"/>
        </w:tabs>
        <w:spacing w:before="240" w:line="276" w:lineRule="auto"/>
        <w:ind w:left="851" w:hanging="425"/>
        <w:jc w:val="both"/>
        <w:rPr>
          <w:rFonts w:ascii="ITC Avant Garde" w:hAnsi="ITC Avant Garde"/>
        </w:rPr>
      </w:pPr>
      <w:r w:rsidRPr="000672F6">
        <w:rPr>
          <w:rFonts w:ascii="ITC Avant Garde" w:hAnsi="ITC Avant Garde"/>
          <w:b/>
        </w:rPr>
        <w:t>Ley:</w:t>
      </w:r>
      <w:r w:rsidRPr="000672F6">
        <w:rPr>
          <w:rFonts w:ascii="ITC Avant Garde" w:hAnsi="ITC Avant Garde"/>
        </w:rPr>
        <w:t xml:space="preserve"> Ley Federal de Telecomunicaciones y Radiodifusión;</w:t>
      </w:r>
    </w:p>
    <w:p w:rsidR="008F4584" w:rsidRPr="000672F6" w:rsidRDefault="008F4584" w:rsidP="008F4584">
      <w:pPr>
        <w:numPr>
          <w:ilvl w:val="0"/>
          <w:numId w:val="34"/>
        </w:numPr>
        <w:spacing w:before="240" w:line="276" w:lineRule="auto"/>
        <w:ind w:left="851" w:hanging="425"/>
        <w:jc w:val="both"/>
        <w:rPr>
          <w:rFonts w:ascii="ITC Avant Garde" w:hAnsi="ITC Avant Garde"/>
        </w:rPr>
      </w:pPr>
      <w:r w:rsidRPr="000672F6">
        <w:rPr>
          <w:rFonts w:ascii="ITC Avant Garde" w:hAnsi="ITC Avant Garde"/>
          <w:b/>
        </w:rPr>
        <w:t>Servicio público de radiodifusión sonora:</w:t>
      </w:r>
      <w:r w:rsidRPr="000672F6">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8F4584" w:rsidRPr="000672F6" w:rsidRDefault="008F4584" w:rsidP="008F4584">
      <w:pPr>
        <w:numPr>
          <w:ilvl w:val="0"/>
          <w:numId w:val="33"/>
        </w:numPr>
        <w:tabs>
          <w:tab w:val="clear" w:pos="510"/>
        </w:tabs>
        <w:spacing w:before="240" w:line="276" w:lineRule="auto"/>
        <w:jc w:val="both"/>
        <w:rPr>
          <w:rFonts w:ascii="ITC Avant Garde" w:hAnsi="ITC Avant Garde"/>
          <w:bCs/>
        </w:rPr>
      </w:pPr>
      <w:r w:rsidRPr="000672F6">
        <w:rPr>
          <w:rFonts w:ascii="ITC Avant Garde" w:hAnsi="ITC Avant Garde"/>
          <w:b/>
        </w:rPr>
        <w:t xml:space="preserve">Modalidad de uso de la Concesión de espectro radioeléctrico. </w:t>
      </w:r>
      <w:r w:rsidRPr="000672F6">
        <w:rPr>
          <w:rFonts w:ascii="ITC Avant Garde" w:hAnsi="ITC Avant Garde"/>
        </w:rPr>
        <w:t>Con la Concesión de espectro radioeléctrico se otorga el uso, aprovechamie</w:t>
      </w:r>
      <w:bookmarkStart w:id="4" w:name="_GoBack"/>
      <w:bookmarkEnd w:id="4"/>
      <w:r w:rsidRPr="000672F6">
        <w:rPr>
          <w:rFonts w:ascii="ITC Avant Garde" w:hAnsi="ITC Avant Garde"/>
        </w:rPr>
        <w:t>nto y explotación de las bandas de frecuencias del espectro para uso comercial.</w:t>
      </w:r>
    </w:p>
    <w:p w:rsidR="008F4584" w:rsidRPr="000672F6" w:rsidRDefault="008F4584" w:rsidP="008F4584">
      <w:pPr>
        <w:pStyle w:val="estilo30"/>
        <w:spacing w:before="240" w:beforeAutospacing="0" w:after="160" w:afterAutospacing="0" w:line="276" w:lineRule="auto"/>
        <w:ind w:left="510"/>
        <w:jc w:val="both"/>
        <w:rPr>
          <w:rFonts w:ascii="ITC Avant Garde" w:eastAsia="Calibri" w:hAnsi="ITC Avant Garde"/>
          <w:sz w:val="22"/>
          <w:szCs w:val="22"/>
          <w:lang w:eastAsia="en-US"/>
        </w:rPr>
      </w:pPr>
      <w:r w:rsidRPr="000672F6">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8F4584" w:rsidRPr="000672F6" w:rsidRDefault="008F4584" w:rsidP="008F4584">
      <w:pPr>
        <w:pStyle w:val="Prrafodelista"/>
        <w:spacing w:before="240" w:after="160" w:line="276" w:lineRule="auto"/>
        <w:ind w:left="510"/>
        <w:jc w:val="both"/>
        <w:rPr>
          <w:rFonts w:ascii="ITC Avant Garde" w:eastAsia="Calibri" w:hAnsi="ITC Avant Garde"/>
          <w:sz w:val="22"/>
          <w:szCs w:val="22"/>
        </w:rPr>
      </w:pPr>
      <w:r w:rsidRPr="000672F6">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8F4584" w:rsidRPr="000672F6" w:rsidRDefault="008F4584" w:rsidP="008F4584">
      <w:pPr>
        <w:pStyle w:val="estilo30"/>
        <w:numPr>
          <w:ilvl w:val="0"/>
          <w:numId w:val="33"/>
        </w:numPr>
        <w:spacing w:before="240" w:beforeAutospacing="0" w:after="160" w:afterAutospacing="0" w:line="276" w:lineRule="auto"/>
        <w:jc w:val="both"/>
        <w:rPr>
          <w:rFonts w:ascii="ITC Avant Garde" w:hAnsi="ITC Avant Garde"/>
          <w:bCs/>
          <w:color w:val="000000"/>
          <w:sz w:val="22"/>
          <w:szCs w:val="22"/>
        </w:rPr>
      </w:pPr>
      <w:r w:rsidRPr="000672F6">
        <w:rPr>
          <w:rFonts w:ascii="ITC Avant Garde" w:hAnsi="ITC Avant Garde"/>
          <w:b/>
          <w:bCs/>
          <w:sz w:val="22"/>
          <w:szCs w:val="22"/>
        </w:rPr>
        <w:t xml:space="preserve">Domicilio convencional. </w:t>
      </w:r>
      <w:r w:rsidRPr="000672F6">
        <w:rPr>
          <w:rFonts w:ascii="ITC Avant Garde" w:hAnsi="ITC Avant Garde"/>
          <w:bCs/>
          <w:sz w:val="22"/>
          <w:szCs w:val="22"/>
        </w:rPr>
        <w:t>El Concesionario</w:t>
      </w:r>
      <w:r w:rsidRPr="000672F6">
        <w:rPr>
          <w:rFonts w:ascii="ITC Avant Garde" w:hAnsi="ITC Avant Garde"/>
          <w:b/>
          <w:bCs/>
          <w:sz w:val="22"/>
          <w:szCs w:val="22"/>
        </w:rPr>
        <w:t xml:space="preserve"> </w:t>
      </w:r>
      <w:r w:rsidRPr="000672F6">
        <w:rPr>
          <w:rFonts w:ascii="ITC Avant Garde" w:hAnsi="ITC Avant Garde"/>
          <w:bCs/>
          <w:sz w:val="22"/>
          <w:szCs w:val="22"/>
        </w:rPr>
        <w:t xml:space="preserve">señaló como domicilio para oír y recibir todo tipo de notificaciones y documentos, el ubicado en: </w:t>
      </w:r>
      <w:r w:rsidRPr="000672F6">
        <w:rPr>
          <w:rFonts w:ascii="ITC Avant Garde" w:hAnsi="ITC Avant Garde"/>
          <w:b/>
          <w:color w:val="0000FF"/>
        </w:rPr>
        <w:t>(…)</w:t>
      </w:r>
      <w:r w:rsidRPr="000672F6">
        <w:rPr>
          <w:rFonts w:ascii="ITC Avant Garde" w:hAnsi="ITC Avant Garde"/>
          <w:bCs/>
          <w:color w:val="000000"/>
          <w:sz w:val="22"/>
          <w:szCs w:val="22"/>
        </w:rPr>
        <w:t>.</w:t>
      </w:r>
    </w:p>
    <w:p w:rsidR="008F4584" w:rsidRPr="000672F6" w:rsidRDefault="008F4584" w:rsidP="008F4584">
      <w:pPr>
        <w:spacing w:before="240"/>
        <w:ind w:left="510"/>
        <w:jc w:val="both"/>
        <w:rPr>
          <w:rFonts w:ascii="ITC Avant Garde" w:eastAsia="Times New Roman" w:hAnsi="ITC Avant Garde"/>
          <w:bCs/>
          <w:lang w:eastAsia="es-MX"/>
        </w:rPr>
      </w:pPr>
      <w:r w:rsidRPr="000672F6">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0672F6" w:rsidDel="000C0E5E">
        <w:rPr>
          <w:rFonts w:ascii="ITC Avant Garde" w:eastAsia="Times New Roman" w:hAnsi="ITC Avant Garde"/>
          <w:bCs/>
          <w:lang w:eastAsia="es-MX"/>
        </w:rPr>
        <w:t xml:space="preserve"> </w:t>
      </w:r>
    </w:p>
    <w:p w:rsidR="008F4584" w:rsidRPr="000672F6" w:rsidRDefault="008F4584" w:rsidP="000672F6">
      <w:pPr>
        <w:numPr>
          <w:ilvl w:val="0"/>
          <w:numId w:val="33"/>
        </w:numPr>
        <w:spacing w:before="240" w:line="276" w:lineRule="auto"/>
        <w:jc w:val="both"/>
        <w:rPr>
          <w:rFonts w:ascii="ITC Avant Garde" w:hAnsi="ITC Avant Garde"/>
          <w:bCs/>
          <w:lang w:eastAsia="es-MX"/>
        </w:rPr>
      </w:pPr>
      <w:r w:rsidRPr="000672F6">
        <w:rPr>
          <w:rFonts w:ascii="ITC Avant Garde" w:hAnsi="ITC Avant Garde"/>
          <w:b/>
        </w:rPr>
        <w:lastRenderedPageBreak/>
        <w:t xml:space="preserve">Condiciones del uso de la banda de frecuencias. </w:t>
      </w:r>
      <w:r w:rsidRPr="000672F6">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tbl>
      <w:tblPr>
        <w:tblStyle w:val="Tablaconcuadrcula1"/>
        <w:tblW w:w="6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 uso de la banda de frecuencias"/>
        <w:tblDescription w:val="A mnera de formato para ser llenado, se proporciona en una tabla invisible de 2 columnas y 5 filas y sin encabezado, los datos técnicos que se requieren de la frecuencia."/>
      </w:tblPr>
      <w:tblGrid>
        <w:gridCol w:w="4697"/>
        <w:gridCol w:w="1824"/>
      </w:tblGrid>
      <w:tr w:rsidR="008F4584" w:rsidRPr="000672F6" w:rsidTr="008F4584">
        <w:trPr>
          <w:tblHeader/>
          <w:jc w:val="center"/>
        </w:trPr>
        <w:tc>
          <w:tcPr>
            <w:tcW w:w="4697" w:type="dxa"/>
          </w:tcPr>
          <w:p w:rsidR="008F4584" w:rsidRPr="000672F6" w:rsidRDefault="008F4584" w:rsidP="008F4584">
            <w:pPr>
              <w:autoSpaceDE w:val="0"/>
              <w:autoSpaceDN w:val="0"/>
              <w:adjustRightInd w:val="0"/>
              <w:spacing w:before="240"/>
              <w:jc w:val="both"/>
              <w:outlineLvl w:val="0"/>
              <w:rPr>
                <w:rFonts w:ascii="ITC Avant Garde" w:eastAsia="Arial" w:hAnsi="ITC Avant Garde"/>
                <w:b/>
              </w:rPr>
            </w:pPr>
            <w:r w:rsidRPr="000672F6">
              <w:rPr>
                <w:rFonts w:ascii="ITC Avant Garde" w:eastAsia="Arial" w:hAnsi="ITC Avant Garde"/>
                <w:b/>
              </w:rPr>
              <w:t>1. Frecuencia:</w:t>
            </w:r>
          </w:p>
        </w:tc>
        <w:tc>
          <w:tcPr>
            <w:tcW w:w="1824" w:type="dxa"/>
          </w:tcPr>
          <w:p w:rsidR="008F4584" w:rsidRPr="000672F6" w:rsidRDefault="008F4584" w:rsidP="008F4584">
            <w:pPr>
              <w:autoSpaceDE w:val="0"/>
              <w:autoSpaceDN w:val="0"/>
              <w:adjustRightInd w:val="0"/>
              <w:spacing w:before="240"/>
              <w:jc w:val="both"/>
              <w:outlineLvl w:val="0"/>
              <w:rPr>
                <w:rFonts w:ascii="ITC Avant Garde" w:eastAsia="Arial" w:hAnsi="ITC Avant Garde"/>
                <w:b/>
                <w:u w:val="single"/>
              </w:rPr>
            </w:pPr>
            <w:r w:rsidRPr="000672F6">
              <w:rPr>
                <w:rFonts w:ascii="ITC Avant Garde" w:hAnsi="ITC Avant Garde" w:cs="Times New Roman"/>
                <w:b/>
                <w:color w:val="0000FF"/>
              </w:rPr>
              <w:t>(…)</w:t>
            </w:r>
          </w:p>
        </w:tc>
      </w:tr>
      <w:tr w:rsidR="008F4584" w:rsidRPr="000672F6" w:rsidTr="008F4584">
        <w:trPr>
          <w:tblHeader/>
          <w:jc w:val="center"/>
        </w:trPr>
        <w:tc>
          <w:tcPr>
            <w:tcW w:w="4697" w:type="dxa"/>
          </w:tcPr>
          <w:p w:rsidR="008F4584" w:rsidRPr="000672F6" w:rsidRDefault="008F4584" w:rsidP="008F4584">
            <w:pPr>
              <w:autoSpaceDE w:val="0"/>
              <w:autoSpaceDN w:val="0"/>
              <w:adjustRightInd w:val="0"/>
              <w:spacing w:before="240"/>
              <w:jc w:val="both"/>
              <w:outlineLvl w:val="0"/>
              <w:rPr>
                <w:rFonts w:ascii="ITC Avant Garde" w:eastAsia="Arial" w:hAnsi="ITC Avant Garde"/>
                <w:b/>
              </w:rPr>
            </w:pPr>
            <w:r w:rsidRPr="000672F6">
              <w:rPr>
                <w:rFonts w:ascii="ITC Avant Garde" w:eastAsia="Arial" w:hAnsi="ITC Avant Garde"/>
                <w:b/>
              </w:rPr>
              <w:t>2. Distintivo de Llamada:</w:t>
            </w:r>
          </w:p>
        </w:tc>
        <w:tc>
          <w:tcPr>
            <w:tcW w:w="1824" w:type="dxa"/>
          </w:tcPr>
          <w:p w:rsidR="008F4584" w:rsidRPr="000672F6" w:rsidRDefault="008F4584" w:rsidP="008F4584">
            <w:pPr>
              <w:autoSpaceDE w:val="0"/>
              <w:autoSpaceDN w:val="0"/>
              <w:adjustRightInd w:val="0"/>
              <w:spacing w:before="240"/>
              <w:jc w:val="both"/>
              <w:outlineLvl w:val="0"/>
              <w:rPr>
                <w:rFonts w:ascii="ITC Avant Garde" w:eastAsia="Arial" w:hAnsi="ITC Avant Garde"/>
              </w:rPr>
            </w:pPr>
            <w:r w:rsidRPr="000672F6">
              <w:rPr>
                <w:rFonts w:ascii="ITC Avant Garde" w:hAnsi="ITC Avant Garde" w:cs="Times New Roman"/>
                <w:b/>
                <w:color w:val="0000FF"/>
              </w:rPr>
              <w:t>(…)</w:t>
            </w:r>
          </w:p>
        </w:tc>
      </w:tr>
      <w:tr w:rsidR="008F4584" w:rsidRPr="000672F6" w:rsidTr="008F4584">
        <w:trPr>
          <w:tblHeader/>
          <w:jc w:val="center"/>
        </w:trPr>
        <w:tc>
          <w:tcPr>
            <w:tcW w:w="4697" w:type="dxa"/>
          </w:tcPr>
          <w:p w:rsidR="008F4584" w:rsidRPr="000672F6" w:rsidRDefault="008F4584" w:rsidP="008F4584">
            <w:pPr>
              <w:autoSpaceDE w:val="0"/>
              <w:autoSpaceDN w:val="0"/>
              <w:adjustRightInd w:val="0"/>
              <w:spacing w:before="240"/>
              <w:jc w:val="both"/>
              <w:outlineLvl w:val="0"/>
              <w:rPr>
                <w:rFonts w:ascii="ITC Avant Garde" w:eastAsia="Arial" w:hAnsi="ITC Avant Garde"/>
                <w:b/>
              </w:rPr>
            </w:pPr>
            <w:r w:rsidRPr="000672F6">
              <w:rPr>
                <w:rFonts w:ascii="ITC Avant Garde" w:eastAsia="Arial" w:hAnsi="ITC Avant Garde"/>
                <w:b/>
              </w:rPr>
              <w:t>3. Población principal a servir:</w:t>
            </w:r>
          </w:p>
        </w:tc>
        <w:tc>
          <w:tcPr>
            <w:tcW w:w="1824" w:type="dxa"/>
          </w:tcPr>
          <w:p w:rsidR="008F4584" w:rsidRPr="000672F6" w:rsidRDefault="008F4584" w:rsidP="008F4584">
            <w:pPr>
              <w:autoSpaceDE w:val="0"/>
              <w:autoSpaceDN w:val="0"/>
              <w:adjustRightInd w:val="0"/>
              <w:spacing w:before="240"/>
              <w:jc w:val="both"/>
              <w:outlineLvl w:val="0"/>
              <w:rPr>
                <w:rFonts w:ascii="ITC Avant Garde" w:eastAsia="Arial" w:hAnsi="ITC Avant Garde"/>
              </w:rPr>
            </w:pPr>
            <w:r w:rsidRPr="000672F6">
              <w:rPr>
                <w:rFonts w:ascii="ITC Avant Garde" w:hAnsi="ITC Avant Garde" w:cs="Times New Roman"/>
                <w:b/>
                <w:color w:val="0000FF"/>
              </w:rPr>
              <w:t>(…)</w:t>
            </w:r>
          </w:p>
        </w:tc>
      </w:tr>
      <w:tr w:rsidR="008F4584" w:rsidRPr="000672F6" w:rsidTr="008F4584">
        <w:trPr>
          <w:tblHeader/>
          <w:jc w:val="center"/>
        </w:trPr>
        <w:tc>
          <w:tcPr>
            <w:tcW w:w="4697" w:type="dxa"/>
          </w:tcPr>
          <w:p w:rsidR="008F4584" w:rsidRPr="000672F6" w:rsidRDefault="008F4584" w:rsidP="008F4584">
            <w:pPr>
              <w:autoSpaceDE w:val="0"/>
              <w:autoSpaceDN w:val="0"/>
              <w:adjustRightInd w:val="0"/>
              <w:spacing w:before="240"/>
              <w:jc w:val="both"/>
              <w:outlineLvl w:val="0"/>
              <w:rPr>
                <w:rFonts w:ascii="ITC Avant Garde" w:eastAsia="Arial" w:hAnsi="ITC Avant Garde"/>
                <w:b/>
              </w:rPr>
            </w:pPr>
            <w:r w:rsidRPr="000672F6">
              <w:rPr>
                <w:rFonts w:ascii="ITC Avant Garde" w:eastAsia="Arial" w:hAnsi="ITC Avant Garde"/>
                <w:b/>
              </w:rPr>
              <w:t>4. Clase de Estación:</w:t>
            </w:r>
          </w:p>
        </w:tc>
        <w:tc>
          <w:tcPr>
            <w:tcW w:w="1824" w:type="dxa"/>
          </w:tcPr>
          <w:p w:rsidR="008F4584" w:rsidRPr="000672F6" w:rsidRDefault="008F4584" w:rsidP="008F4584">
            <w:pPr>
              <w:autoSpaceDE w:val="0"/>
              <w:autoSpaceDN w:val="0"/>
              <w:adjustRightInd w:val="0"/>
              <w:spacing w:before="240"/>
              <w:jc w:val="both"/>
              <w:outlineLvl w:val="0"/>
              <w:rPr>
                <w:rFonts w:ascii="ITC Avant Garde" w:eastAsia="Arial" w:hAnsi="ITC Avant Garde"/>
              </w:rPr>
            </w:pPr>
            <w:r w:rsidRPr="000672F6">
              <w:rPr>
                <w:rFonts w:ascii="ITC Avant Garde" w:hAnsi="ITC Avant Garde" w:cs="Times New Roman"/>
                <w:b/>
                <w:color w:val="0000FF"/>
              </w:rPr>
              <w:t>(…)</w:t>
            </w:r>
          </w:p>
        </w:tc>
      </w:tr>
      <w:tr w:rsidR="008F4584" w:rsidRPr="000672F6" w:rsidTr="008F4584">
        <w:trPr>
          <w:tblHeader/>
          <w:jc w:val="center"/>
        </w:trPr>
        <w:tc>
          <w:tcPr>
            <w:tcW w:w="4697" w:type="dxa"/>
          </w:tcPr>
          <w:p w:rsidR="008F4584" w:rsidRPr="000672F6" w:rsidRDefault="008F4584" w:rsidP="008F4584">
            <w:pPr>
              <w:autoSpaceDE w:val="0"/>
              <w:autoSpaceDN w:val="0"/>
              <w:adjustRightInd w:val="0"/>
              <w:spacing w:before="240"/>
              <w:jc w:val="both"/>
              <w:outlineLvl w:val="0"/>
              <w:rPr>
                <w:rFonts w:ascii="ITC Avant Garde" w:eastAsia="Arial" w:hAnsi="ITC Avant Garde"/>
                <w:b/>
              </w:rPr>
            </w:pPr>
            <w:r w:rsidRPr="000672F6">
              <w:rPr>
                <w:rFonts w:ascii="ITC Avant Garde" w:eastAsia="Arial" w:hAnsi="ITC Avant Garde"/>
                <w:b/>
              </w:rPr>
              <w:t>5. Coordenadas de referencia de la Población Principal a Servir:</w:t>
            </w:r>
          </w:p>
        </w:tc>
        <w:tc>
          <w:tcPr>
            <w:tcW w:w="1824" w:type="dxa"/>
          </w:tcPr>
          <w:p w:rsidR="008F4584" w:rsidRPr="000672F6" w:rsidRDefault="008F4584" w:rsidP="008F4584">
            <w:pPr>
              <w:autoSpaceDE w:val="0"/>
              <w:autoSpaceDN w:val="0"/>
              <w:adjustRightInd w:val="0"/>
              <w:spacing w:before="240"/>
              <w:jc w:val="both"/>
              <w:outlineLvl w:val="0"/>
              <w:rPr>
                <w:rFonts w:ascii="ITC Avant Garde" w:eastAsia="Arial" w:hAnsi="ITC Avant Garde"/>
              </w:rPr>
            </w:pPr>
            <w:r w:rsidRPr="000672F6">
              <w:rPr>
                <w:rFonts w:ascii="ITC Avant Garde" w:eastAsia="Arial" w:hAnsi="ITC Avant Garde"/>
              </w:rPr>
              <w:t xml:space="preserve">L.N. </w:t>
            </w:r>
            <w:r w:rsidRPr="000672F6">
              <w:rPr>
                <w:rFonts w:ascii="ITC Avant Garde" w:hAnsi="ITC Avant Garde" w:cs="Times New Roman"/>
                <w:b/>
                <w:color w:val="0000FF"/>
              </w:rPr>
              <w:t>(…)</w:t>
            </w:r>
          </w:p>
          <w:p w:rsidR="008F4584" w:rsidRPr="000672F6" w:rsidRDefault="008F4584" w:rsidP="008F4584">
            <w:pPr>
              <w:autoSpaceDE w:val="0"/>
              <w:autoSpaceDN w:val="0"/>
              <w:adjustRightInd w:val="0"/>
              <w:spacing w:before="240"/>
              <w:jc w:val="both"/>
              <w:outlineLvl w:val="0"/>
              <w:rPr>
                <w:rFonts w:ascii="ITC Avant Garde" w:eastAsia="Arial" w:hAnsi="ITC Avant Garde"/>
              </w:rPr>
            </w:pPr>
            <w:r w:rsidRPr="000672F6">
              <w:rPr>
                <w:rFonts w:ascii="ITC Avant Garde" w:eastAsia="Arial" w:hAnsi="ITC Avant Garde"/>
              </w:rPr>
              <w:t xml:space="preserve">L.W. </w:t>
            </w:r>
            <w:r w:rsidRPr="000672F6">
              <w:rPr>
                <w:rFonts w:ascii="ITC Avant Garde" w:hAnsi="ITC Avant Garde" w:cs="Times New Roman"/>
                <w:b/>
                <w:color w:val="0000FF"/>
              </w:rPr>
              <w:t>(…)</w:t>
            </w:r>
          </w:p>
        </w:tc>
      </w:tr>
    </w:tbl>
    <w:p w:rsidR="008F4584" w:rsidRPr="000672F6" w:rsidRDefault="008F4584" w:rsidP="008F4584">
      <w:pPr>
        <w:spacing w:before="240"/>
        <w:ind w:left="510"/>
        <w:jc w:val="both"/>
        <w:rPr>
          <w:rFonts w:ascii="ITC Avant Garde" w:eastAsia="Times New Roman" w:hAnsi="ITC Avant Garde"/>
          <w:bCs/>
          <w:lang w:eastAsia="es-MX"/>
        </w:rPr>
      </w:pPr>
      <w:r w:rsidRPr="000672F6">
        <w:rPr>
          <w:rFonts w:ascii="ITC Avant Garde" w:eastAsia="Calibri" w:hAnsi="ITC Avant Garde"/>
          <w:bCs/>
        </w:rPr>
        <w:t xml:space="preserve">El objeto de la concesión es el uso, aprovechamiento y explotación de bandas de frecuencia del espectro radioeléctrico para la prestación del servicio de </w:t>
      </w:r>
      <w:r w:rsidRPr="000672F6">
        <w:rPr>
          <w:rFonts w:ascii="ITC Avant Garde" w:eastAsia="Times New Roman" w:hAnsi="ITC Avant Garde"/>
          <w:bCs/>
          <w:lang w:eastAsia="es-MX"/>
        </w:rPr>
        <w:t>radiodifusión señalado, por lo que, en ningún caso, podrán utilizarse las bandas de frecuencias establecidas en el presente título para fines distintos.</w:t>
      </w:r>
    </w:p>
    <w:p w:rsidR="008F4584" w:rsidRPr="000672F6" w:rsidRDefault="008F4584" w:rsidP="008F4584">
      <w:pPr>
        <w:spacing w:before="240"/>
        <w:ind w:left="510"/>
        <w:jc w:val="both"/>
        <w:rPr>
          <w:rFonts w:ascii="ITC Avant Garde" w:eastAsia="Times New Roman" w:hAnsi="ITC Avant Garde"/>
          <w:bCs/>
          <w:lang w:eastAsia="es-MX"/>
        </w:rPr>
      </w:pPr>
      <w:r w:rsidRPr="000672F6">
        <w:rPr>
          <w:rFonts w:ascii="ITC Avant Garde" w:eastAsia="Times New Roman" w:hAnsi="ITC Avant Garde"/>
          <w:bCs/>
          <w:lang w:eastAsia="es-MX"/>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8F4584" w:rsidRPr="000672F6" w:rsidRDefault="008F4584" w:rsidP="008F4584">
      <w:pPr>
        <w:numPr>
          <w:ilvl w:val="0"/>
          <w:numId w:val="33"/>
        </w:numPr>
        <w:spacing w:before="240" w:line="276" w:lineRule="auto"/>
        <w:jc w:val="both"/>
        <w:rPr>
          <w:rFonts w:ascii="ITC Avant Garde" w:hAnsi="ITC Avant Garde"/>
          <w:bCs/>
        </w:rPr>
      </w:pPr>
      <w:r w:rsidRPr="000672F6">
        <w:rPr>
          <w:rFonts w:ascii="ITC Avant Garde" w:hAnsi="ITC Avant Garde"/>
          <w:b/>
        </w:rPr>
        <w:t>Cobertura.</w:t>
      </w:r>
      <w:r w:rsidRPr="000672F6">
        <w:rPr>
          <w:rFonts w:ascii="ITC Avant Garde" w:hAnsi="ITC Avant Garde"/>
        </w:rPr>
        <w:t xml:space="preserve"> </w:t>
      </w:r>
      <w:r w:rsidRPr="000672F6">
        <w:rPr>
          <w:rFonts w:ascii="ITC Avant Garde" w:hAnsi="ITC Avant Garde"/>
          <w:bCs/>
        </w:rPr>
        <w:t>El Concesionario deberá usar, aprovechar y explotar las frecuencias radioeléctricas para prestar el servicio público de radiodifusión sonora con las características técnicas señaladas en:</w:t>
      </w:r>
    </w:p>
    <w:tbl>
      <w:tblPr>
        <w:tblStyle w:val="Tablaconcuadrcula1"/>
        <w:tblpPr w:leftFromText="141" w:rightFromText="141" w:vertAnchor="text" w:horzAnchor="margin" w:tblpXSpec="center" w:tblpY="41"/>
        <w:tblW w:w="8919" w:type="dxa"/>
        <w:jc w:val="center"/>
        <w:tblLook w:val="04A0" w:firstRow="1" w:lastRow="0" w:firstColumn="1" w:lastColumn="0" w:noHBand="0" w:noVBand="1"/>
        <w:tblCaption w:val="Población principal a servir / Estado(s)."/>
        <w:tblDescription w:val="En una tabla de 1 columnas y 2 filas se presenta a manera de formato para llenar, la Población principal a servir / Estado(s)."/>
      </w:tblPr>
      <w:tblGrid>
        <w:gridCol w:w="8919"/>
      </w:tblGrid>
      <w:tr w:rsidR="008F4584" w:rsidRPr="000672F6" w:rsidTr="008F4584">
        <w:trPr>
          <w:trHeight w:val="527"/>
          <w:tblHeader/>
          <w:jc w:val="center"/>
        </w:trPr>
        <w:tc>
          <w:tcPr>
            <w:tcW w:w="8919" w:type="dxa"/>
            <w:vAlign w:val="center"/>
          </w:tcPr>
          <w:p w:rsidR="008F4584" w:rsidRPr="000672F6" w:rsidRDefault="008F4584" w:rsidP="008F4584">
            <w:pPr>
              <w:jc w:val="center"/>
              <w:rPr>
                <w:rFonts w:ascii="ITC Avant Garde" w:hAnsi="ITC Avant Garde"/>
                <w:b/>
                <w:bCs/>
              </w:rPr>
            </w:pPr>
            <w:r w:rsidRPr="000672F6">
              <w:rPr>
                <w:rFonts w:ascii="ITC Avant Garde" w:hAnsi="ITC Avant Garde"/>
                <w:b/>
                <w:bCs/>
              </w:rPr>
              <w:t>Población principal a servir / Estado(s).</w:t>
            </w:r>
          </w:p>
        </w:tc>
      </w:tr>
      <w:tr w:rsidR="008F4584" w:rsidRPr="000672F6" w:rsidTr="008F4584">
        <w:trPr>
          <w:trHeight w:val="331"/>
          <w:jc w:val="center"/>
        </w:trPr>
        <w:tc>
          <w:tcPr>
            <w:tcW w:w="8919" w:type="dxa"/>
          </w:tcPr>
          <w:p w:rsidR="008F4584" w:rsidRPr="000672F6" w:rsidRDefault="008F4584" w:rsidP="008F4584">
            <w:pPr>
              <w:ind w:left="510"/>
              <w:jc w:val="center"/>
              <w:rPr>
                <w:rFonts w:ascii="ITC Avant Garde" w:hAnsi="ITC Avant Garde"/>
                <w:b/>
                <w:bCs/>
              </w:rPr>
            </w:pPr>
            <w:r w:rsidRPr="000672F6">
              <w:rPr>
                <w:rFonts w:ascii="ITC Avant Garde" w:hAnsi="ITC Avant Garde" w:cs="Times New Roman"/>
                <w:b/>
                <w:color w:val="0000FF"/>
              </w:rPr>
              <w:t>(…)</w:t>
            </w:r>
          </w:p>
        </w:tc>
      </w:tr>
    </w:tbl>
    <w:p w:rsidR="008F4584" w:rsidRPr="000672F6" w:rsidRDefault="008F4584" w:rsidP="008F4584">
      <w:pPr>
        <w:pStyle w:val="Prrafodelista"/>
        <w:keepLines/>
        <w:numPr>
          <w:ilvl w:val="0"/>
          <w:numId w:val="33"/>
        </w:numPr>
        <w:tabs>
          <w:tab w:val="left" w:pos="567"/>
        </w:tabs>
        <w:spacing w:before="240" w:after="160" w:line="276" w:lineRule="auto"/>
        <w:jc w:val="both"/>
        <w:rPr>
          <w:rFonts w:ascii="ITC Avant Garde" w:hAnsi="ITC Avant Garde"/>
          <w:bCs/>
          <w:sz w:val="22"/>
          <w:szCs w:val="22"/>
        </w:rPr>
      </w:pPr>
      <w:r w:rsidRPr="000672F6">
        <w:rPr>
          <w:rFonts w:ascii="ITC Avant Garde" w:hAnsi="ITC Avant Garde"/>
          <w:b/>
          <w:sz w:val="22"/>
          <w:szCs w:val="22"/>
        </w:rPr>
        <w:t>Vigencia de la Concesión.</w:t>
      </w:r>
      <w:r w:rsidRPr="000672F6">
        <w:rPr>
          <w:rFonts w:ascii="ITC Avant Garde" w:hAnsi="ITC Avant Garde"/>
          <w:sz w:val="22"/>
          <w:szCs w:val="22"/>
        </w:rPr>
        <w:t xml:space="preserve"> La Concesión de espectro radioeléctrico para uso comercial tendrá una vigencia de 20 (veinte) años, </w:t>
      </w:r>
      <w:r w:rsidRPr="000672F6">
        <w:rPr>
          <w:rFonts w:ascii="ITC Avant Garde" w:hAnsi="ITC Avant Garde"/>
          <w:bCs/>
          <w:color w:val="000000"/>
          <w:sz w:val="22"/>
          <w:szCs w:val="22"/>
        </w:rPr>
        <w:t xml:space="preserve">contados a partir del </w:t>
      </w:r>
      <w:r w:rsidRPr="000672F6">
        <w:rPr>
          <w:rFonts w:ascii="ITC Avant Garde" w:hAnsi="ITC Avant Garde"/>
          <w:b/>
          <w:color w:val="0000FF"/>
        </w:rPr>
        <w:t>(…)</w:t>
      </w:r>
      <w:r w:rsidRPr="000672F6">
        <w:rPr>
          <w:rFonts w:ascii="ITC Avant Garde" w:hAnsi="ITC Avant Garde"/>
          <w:bCs/>
          <w:color w:val="000000"/>
          <w:sz w:val="22"/>
          <w:szCs w:val="22"/>
        </w:rPr>
        <w:t xml:space="preserve"> </w:t>
      </w:r>
      <w:r w:rsidRPr="000672F6">
        <w:rPr>
          <w:rFonts w:ascii="ITC Avant Garde" w:hAnsi="ITC Avant Garde"/>
          <w:sz w:val="22"/>
          <w:szCs w:val="22"/>
        </w:rPr>
        <w:t xml:space="preserve">y vencimiento al </w:t>
      </w:r>
      <w:r w:rsidRPr="000672F6">
        <w:rPr>
          <w:rFonts w:ascii="ITC Avant Garde" w:hAnsi="ITC Avant Garde"/>
          <w:b/>
          <w:color w:val="0000FF"/>
        </w:rPr>
        <w:t>(…)</w:t>
      </w:r>
      <w:r w:rsidRPr="000672F6">
        <w:rPr>
          <w:rFonts w:ascii="ITC Avant Garde" w:hAnsi="ITC Avant Garde"/>
          <w:sz w:val="22"/>
          <w:szCs w:val="22"/>
        </w:rPr>
        <w:t xml:space="preserve">, y </w:t>
      </w:r>
      <w:r w:rsidRPr="000672F6">
        <w:rPr>
          <w:rFonts w:ascii="ITC Avant Garde" w:hAnsi="ITC Avant Garde"/>
          <w:bCs/>
          <w:sz w:val="22"/>
          <w:szCs w:val="22"/>
        </w:rPr>
        <w:t>podrá ser prorrogada conforme a lo dispuesto en la Ley.</w:t>
      </w:r>
    </w:p>
    <w:p w:rsidR="008F4584" w:rsidRPr="000672F6" w:rsidRDefault="008F4584" w:rsidP="008F4584">
      <w:pPr>
        <w:pStyle w:val="Prrafodelista"/>
        <w:keepLines/>
        <w:numPr>
          <w:ilvl w:val="0"/>
          <w:numId w:val="33"/>
        </w:numPr>
        <w:tabs>
          <w:tab w:val="left" w:pos="567"/>
        </w:tabs>
        <w:spacing w:before="240" w:after="160" w:line="276" w:lineRule="auto"/>
        <w:ind w:left="567"/>
        <w:jc w:val="both"/>
        <w:rPr>
          <w:rFonts w:ascii="ITC Avant Garde" w:hAnsi="ITC Avant Garde"/>
          <w:bCs/>
          <w:sz w:val="22"/>
          <w:szCs w:val="22"/>
        </w:rPr>
      </w:pPr>
      <w:r w:rsidRPr="000672F6">
        <w:rPr>
          <w:rFonts w:ascii="ITC Avant Garde" w:hAnsi="ITC Avant Garde"/>
          <w:b/>
          <w:bCs/>
          <w:sz w:val="22"/>
          <w:szCs w:val="22"/>
        </w:rPr>
        <w:t>Compromisos de inversión.</w:t>
      </w:r>
      <w:r w:rsidRPr="000672F6">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8F4584" w:rsidRPr="000672F6" w:rsidRDefault="008F4584" w:rsidP="008F4584">
      <w:pPr>
        <w:pStyle w:val="Prrafodelista"/>
        <w:keepLines/>
        <w:numPr>
          <w:ilvl w:val="0"/>
          <w:numId w:val="33"/>
        </w:numPr>
        <w:tabs>
          <w:tab w:val="left" w:pos="567"/>
        </w:tabs>
        <w:spacing w:before="240" w:after="160" w:line="276" w:lineRule="auto"/>
        <w:ind w:left="567"/>
        <w:jc w:val="both"/>
        <w:rPr>
          <w:rFonts w:ascii="ITC Avant Garde" w:hAnsi="ITC Avant Garde"/>
          <w:bCs/>
          <w:sz w:val="22"/>
          <w:szCs w:val="22"/>
        </w:rPr>
      </w:pPr>
      <w:r w:rsidRPr="000672F6">
        <w:rPr>
          <w:rFonts w:ascii="ITC Avant Garde" w:hAnsi="ITC Avant Garde"/>
          <w:b/>
          <w:bCs/>
          <w:sz w:val="22"/>
          <w:szCs w:val="22"/>
        </w:rPr>
        <w:lastRenderedPageBreak/>
        <w:t>Poderes.</w:t>
      </w:r>
      <w:r w:rsidRPr="000672F6">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8F4584" w:rsidRPr="000672F6" w:rsidRDefault="008F4584" w:rsidP="008F4584">
      <w:pPr>
        <w:pStyle w:val="estilo30"/>
        <w:numPr>
          <w:ilvl w:val="0"/>
          <w:numId w:val="33"/>
        </w:numPr>
        <w:spacing w:before="240" w:beforeAutospacing="0" w:after="160" w:afterAutospacing="0" w:line="276" w:lineRule="auto"/>
        <w:jc w:val="both"/>
        <w:rPr>
          <w:rFonts w:ascii="ITC Avant Garde" w:hAnsi="ITC Avant Garde"/>
          <w:bCs/>
          <w:color w:val="000000"/>
          <w:sz w:val="22"/>
          <w:szCs w:val="22"/>
        </w:rPr>
      </w:pPr>
      <w:r w:rsidRPr="000672F6">
        <w:rPr>
          <w:rFonts w:ascii="ITC Avant Garde" w:hAnsi="ITC Avant Garde"/>
          <w:b/>
          <w:bCs/>
          <w:color w:val="000000"/>
          <w:sz w:val="22"/>
          <w:szCs w:val="22"/>
        </w:rPr>
        <w:t>Gravámenes</w:t>
      </w:r>
      <w:r w:rsidRPr="000672F6">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8F4584" w:rsidRPr="000672F6" w:rsidRDefault="008F4584" w:rsidP="008F4584">
      <w:pPr>
        <w:pStyle w:val="Prrafodelista"/>
        <w:keepLines/>
        <w:tabs>
          <w:tab w:val="left" w:pos="567"/>
        </w:tabs>
        <w:spacing w:before="240" w:after="160" w:line="276" w:lineRule="auto"/>
        <w:ind w:left="510"/>
        <w:jc w:val="both"/>
        <w:rPr>
          <w:rFonts w:ascii="ITC Avant Garde" w:hAnsi="ITC Avant Garde"/>
          <w:bCs/>
          <w:sz w:val="22"/>
          <w:szCs w:val="22"/>
        </w:rPr>
      </w:pPr>
      <w:r w:rsidRPr="000672F6">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8F4584" w:rsidRPr="000672F6" w:rsidRDefault="008F4584" w:rsidP="000672F6">
      <w:pPr>
        <w:pStyle w:val="Ttulo3"/>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Derechos y obligaciones</w:t>
      </w:r>
    </w:p>
    <w:p w:rsidR="008F4584" w:rsidRPr="000672F6" w:rsidRDefault="008F4584" w:rsidP="008F4584">
      <w:pPr>
        <w:numPr>
          <w:ilvl w:val="0"/>
          <w:numId w:val="33"/>
        </w:numPr>
        <w:spacing w:before="240" w:line="276" w:lineRule="auto"/>
        <w:jc w:val="both"/>
        <w:rPr>
          <w:rFonts w:ascii="ITC Avant Garde" w:hAnsi="ITC Avant Garde"/>
        </w:rPr>
      </w:pPr>
      <w:r w:rsidRPr="000672F6">
        <w:rPr>
          <w:rFonts w:ascii="ITC Avant Garde" w:hAnsi="ITC Avant Garde"/>
          <w:b/>
        </w:rPr>
        <w:t>Calidad de la operación.</w:t>
      </w:r>
      <w:r w:rsidRPr="000672F6">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8F4584" w:rsidRPr="000672F6" w:rsidRDefault="008F4584" w:rsidP="008F4584">
      <w:pPr>
        <w:numPr>
          <w:ilvl w:val="0"/>
          <w:numId w:val="33"/>
        </w:numPr>
        <w:spacing w:before="240" w:line="276" w:lineRule="auto"/>
        <w:jc w:val="both"/>
        <w:rPr>
          <w:rFonts w:ascii="ITC Avant Garde" w:hAnsi="ITC Avant Garde"/>
        </w:rPr>
      </w:pPr>
      <w:r w:rsidRPr="000672F6">
        <w:rPr>
          <w:rFonts w:ascii="ITC Avant Garde" w:hAnsi="ITC Avant Garde"/>
          <w:b/>
        </w:rPr>
        <w:t xml:space="preserve">Interferencias Perjudiciales. </w:t>
      </w:r>
      <w:r w:rsidRPr="000672F6">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8F4584" w:rsidRPr="000672F6" w:rsidRDefault="008F4584" w:rsidP="008F4584">
      <w:pPr>
        <w:spacing w:before="240"/>
        <w:ind w:left="510"/>
        <w:jc w:val="both"/>
        <w:rPr>
          <w:rFonts w:ascii="ITC Avant Garde" w:hAnsi="ITC Avant Garde"/>
        </w:rPr>
      </w:pPr>
      <w:r w:rsidRPr="000672F6">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8F4584" w:rsidRPr="000672F6" w:rsidRDefault="008F4584" w:rsidP="008F4584">
      <w:pPr>
        <w:numPr>
          <w:ilvl w:val="0"/>
          <w:numId w:val="33"/>
        </w:numPr>
        <w:spacing w:before="240" w:line="276" w:lineRule="auto"/>
        <w:jc w:val="both"/>
        <w:rPr>
          <w:rFonts w:ascii="ITC Avant Garde" w:hAnsi="ITC Avant Garde"/>
          <w:b/>
        </w:rPr>
      </w:pPr>
      <w:r w:rsidRPr="000672F6">
        <w:rPr>
          <w:rFonts w:ascii="ITC Avant Garde" w:hAnsi="ITC Avant Garde"/>
          <w:b/>
        </w:rPr>
        <w:lastRenderedPageBreak/>
        <w:t>Modificaciones Técnicas.</w:t>
      </w:r>
      <w:r w:rsidRPr="000672F6">
        <w:rPr>
          <w:rFonts w:ascii="ITC Avant Garde" w:hAnsi="ITC Avant Garde"/>
        </w:rPr>
        <w:t xml:space="preserve"> </w:t>
      </w:r>
      <w:r w:rsidRPr="000672F6">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8F4584" w:rsidRPr="000672F6" w:rsidRDefault="008F4584" w:rsidP="008F4584">
      <w:pPr>
        <w:pStyle w:val="Prrafodelista"/>
        <w:numPr>
          <w:ilvl w:val="0"/>
          <w:numId w:val="33"/>
        </w:numPr>
        <w:spacing w:before="240" w:after="160" w:line="276" w:lineRule="auto"/>
        <w:jc w:val="both"/>
        <w:rPr>
          <w:rFonts w:ascii="ITC Avant Garde" w:hAnsi="ITC Avant Garde"/>
          <w:sz w:val="22"/>
          <w:szCs w:val="22"/>
        </w:rPr>
      </w:pPr>
      <w:r w:rsidRPr="000672F6">
        <w:rPr>
          <w:rFonts w:ascii="ITC Avant Garde" w:hAnsi="ITC Avant Garde"/>
          <w:b/>
          <w:sz w:val="22"/>
          <w:szCs w:val="22"/>
        </w:rPr>
        <w:t>Multiprogramación.</w:t>
      </w:r>
      <w:r w:rsidRPr="000672F6">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8F4584" w:rsidRPr="000672F6" w:rsidRDefault="008F4584" w:rsidP="008F4584">
      <w:pPr>
        <w:pStyle w:val="Prrafodelista"/>
        <w:numPr>
          <w:ilvl w:val="0"/>
          <w:numId w:val="33"/>
        </w:numPr>
        <w:spacing w:before="240" w:after="160" w:line="276" w:lineRule="auto"/>
        <w:jc w:val="both"/>
        <w:rPr>
          <w:rFonts w:ascii="ITC Avant Garde" w:hAnsi="ITC Avant Garde"/>
          <w:sz w:val="22"/>
          <w:szCs w:val="22"/>
        </w:rPr>
      </w:pPr>
      <w:r w:rsidRPr="000672F6">
        <w:rPr>
          <w:rFonts w:ascii="ITC Avant Garde" w:hAnsi="ITC Avant Garde"/>
          <w:b/>
          <w:sz w:val="22"/>
          <w:szCs w:val="22"/>
        </w:rPr>
        <w:t>Contraprestaciones.</w:t>
      </w:r>
      <w:r w:rsidRPr="000672F6">
        <w:rPr>
          <w:rFonts w:ascii="ITC Avant Garde" w:hAnsi="ITC Avant Garde"/>
          <w:sz w:val="22"/>
          <w:szCs w:val="22"/>
        </w:rPr>
        <w:t xml:space="preserve"> El Concesionario enteró a la Tesorería de la Federación la cantidad $</w:t>
      </w:r>
      <w:r w:rsidRPr="000672F6">
        <w:rPr>
          <w:rFonts w:ascii="ITC Avant Garde" w:hAnsi="ITC Avant Garde"/>
          <w:sz w:val="22"/>
          <w:szCs w:val="22"/>
          <w:lang w:eastAsia="es-MX"/>
        </w:rPr>
        <w:fldChar w:fldCharType="begin"/>
      </w:r>
      <w:r w:rsidRPr="000672F6">
        <w:rPr>
          <w:rFonts w:ascii="ITC Avant Garde" w:hAnsi="ITC Avant Garde"/>
          <w:sz w:val="22"/>
          <w:szCs w:val="22"/>
          <w:lang w:eastAsia="es-MX"/>
        </w:rPr>
        <w:instrText xml:space="preserve"> MERGEFIELD "CONTRAPRESTACIÓN_PAGADA" </w:instrText>
      </w:r>
      <w:r w:rsidRPr="000672F6">
        <w:rPr>
          <w:rFonts w:ascii="ITC Avant Garde" w:hAnsi="ITC Avant Garde"/>
          <w:sz w:val="22"/>
          <w:szCs w:val="22"/>
          <w:lang w:eastAsia="es-MX"/>
        </w:rPr>
        <w:fldChar w:fldCharType="separate"/>
      </w:r>
      <w:r w:rsidRPr="000672F6">
        <w:rPr>
          <w:rFonts w:ascii="ITC Avant Garde" w:hAnsi="ITC Avant Garde"/>
          <w:noProof/>
          <w:sz w:val="22"/>
          <w:szCs w:val="22"/>
          <w:lang w:eastAsia="es-MX"/>
        </w:rPr>
        <w:t>«</w:t>
      </w:r>
      <w:r w:rsidRPr="000672F6">
        <w:rPr>
          <w:rFonts w:ascii="ITC Avant Garde" w:hAnsi="ITC Avant Garde"/>
          <w:sz w:val="22"/>
          <w:szCs w:val="22"/>
          <w:lang w:eastAsia="es-MX"/>
        </w:rPr>
        <w:fldChar w:fldCharType="end"/>
      </w:r>
      <w:r w:rsidRPr="000672F6">
        <w:rPr>
          <w:rFonts w:ascii="ITC Avant Garde" w:hAnsi="ITC Avant Garde"/>
          <w:b/>
          <w:color w:val="0000FF"/>
        </w:rPr>
        <w:t>(…)</w:t>
      </w:r>
      <w:r w:rsidRPr="000672F6">
        <w:rPr>
          <w:rFonts w:ascii="ITC Avant Garde" w:hAnsi="ITC Avant Garde"/>
          <w:kern w:val="1"/>
          <w:sz w:val="22"/>
          <w:szCs w:val="22"/>
          <w:lang w:val="es-ES" w:eastAsia="ar-SA"/>
        </w:rPr>
        <w:t xml:space="preserve"> pesos 00/100 M.N.)</w:t>
      </w:r>
      <w:r w:rsidRPr="000672F6">
        <w:rPr>
          <w:rFonts w:ascii="ITC Avant Garde" w:eastAsia="Calibri" w:hAnsi="ITC Avant Garde"/>
          <w:sz w:val="22"/>
          <w:szCs w:val="22"/>
          <w:lang w:eastAsia="es-MX"/>
        </w:rPr>
        <w:t xml:space="preserve">, </w:t>
      </w:r>
      <w:r w:rsidRPr="000672F6">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8F4584" w:rsidRPr="000672F6" w:rsidRDefault="008F4584" w:rsidP="000672F6">
      <w:pPr>
        <w:pStyle w:val="Ttulo3"/>
        <w:jc w:val="center"/>
        <w:rPr>
          <w:rFonts w:ascii="ITC Avant Garde" w:hAnsi="ITC Avant Garde"/>
          <w:b/>
          <w:color w:val="000000" w:themeColor="text1"/>
          <w:sz w:val="22"/>
          <w:szCs w:val="22"/>
        </w:rPr>
      </w:pPr>
      <w:r w:rsidRPr="000672F6">
        <w:rPr>
          <w:rFonts w:ascii="ITC Avant Garde" w:hAnsi="ITC Avant Garde"/>
          <w:b/>
          <w:color w:val="000000" w:themeColor="text1"/>
          <w:sz w:val="22"/>
          <w:szCs w:val="22"/>
        </w:rPr>
        <w:t>Jurisdicción y competencia</w:t>
      </w:r>
    </w:p>
    <w:p w:rsidR="008F4584" w:rsidRPr="000672F6" w:rsidRDefault="008F4584" w:rsidP="008F4584">
      <w:pPr>
        <w:numPr>
          <w:ilvl w:val="0"/>
          <w:numId w:val="33"/>
        </w:numPr>
        <w:spacing w:before="240" w:line="276" w:lineRule="auto"/>
        <w:jc w:val="both"/>
        <w:rPr>
          <w:rFonts w:ascii="ITC Avant Garde" w:hAnsi="ITC Avant Garde"/>
        </w:rPr>
      </w:pPr>
      <w:r w:rsidRPr="000672F6">
        <w:rPr>
          <w:rFonts w:ascii="ITC Avant Garde" w:hAnsi="ITC Avant Garde"/>
          <w:b/>
          <w:bCs/>
        </w:rPr>
        <w:t xml:space="preserve">Jurisdicción y competencia. </w:t>
      </w:r>
      <w:r w:rsidRPr="000672F6">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0672F6">
        <w:rPr>
          <w:rFonts w:ascii="ITC Avant Garde" w:hAnsi="ITC Avant Garde"/>
        </w:rPr>
        <w:t xml:space="preserve"> </w:t>
      </w:r>
    </w:p>
    <w:p w:rsidR="008F4584" w:rsidRPr="000672F6" w:rsidRDefault="008F4584" w:rsidP="008F4584">
      <w:pPr>
        <w:pStyle w:val="estilo30"/>
        <w:spacing w:before="240" w:beforeAutospacing="0" w:after="160" w:afterAutospacing="0" w:line="276" w:lineRule="auto"/>
        <w:jc w:val="both"/>
        <w:rPr>
          <w:rFonts w:ascii="ITC Avant Garde" w:hAnsi="ITC Avant Garde"/>
          <w:b/>
          <w:bCs/>
          <w:sz w:val="22"/>
          <w:szCs w:val="22"/>
        </w:rPr>
      </w:pPr>
      <w:r w:rsidRPr="000672F6">
        <w:rPr>
          <w:rFonts w:ascii="ITC Avant Garde" w:hAnsi="ITC Avant Garde"/>
          <w:b/>
          <w:bCs/>
          <w:sz w:val="22"/>
          <w:szCs w:val="22"/>
        </w:rPr>
        <w:t xml:space="preserve">Ciudad de México, a </w:t>
      </w:r>
      <w:r w:rsidRPr="000672F6">
        <w:rPr>
          <w:rFonts w:ascii="ITC Avant Garde" w:hAnsi="ITC Avant Garde"/>
          <w:b/>
          <w:color w:val="0000FF"/>
        </w:rPr>
        <w:t>(…)</w:t>
      </w:r>
    </w:p>
    <w:p w:rsidR="008F4584" w:rsidRPr="000672F6" w:rsidRDefault="008F4584" w:rsidP="008F4584">
      <w:pPr>
        <w:pStyle w:val="estilo30"/>
        <w:spacing w:before="0" w:beforeAutospacing="0" w:after="240" w:afterAutospacing="0" w:line="276" w:lineRule="auto"/>
        <w:jc w:val="center"/>
        <w:rPr>
          <w:rFonts w:ascii="ITC Avant Garde" w:hAnsi="ITC Avant Garde"/>
          <w:b/>
          <w:bCs/>
          <w:sz w:val="22"/>
          <w:szCs w:val="22"/>
        </w:rPr>
      </w:pPr>
      <w:r w:rsidRPr="000672F6">
        <w:rPr>
          <w:rFonts w:ascii="ITC Avant Garde" w:hAnsi="ITC Avant Garde"/>
          <w:b/>
          <w:bCs/>
          <w:sz w:val="22"/>
          <w:szCs w:val="22"/>
        </w:rPr>
        <w:t>INSTITUTO FEDERAL DE TELECOMUNICACIONES</w:t>
      </w:r>
    </w:p>
    <w:p w:rsidR="008F4584" w:rsidRPr="000672F6" w:rsidRDefault="008F4584" w:rsidP="008F4584">
      <w:pPr>
        <w:pStyle w:val="estilo30"/>
        <w:spacing w:before="0" w:beforeAutospacing="0" w:after="0" w:afterAutospacing="0" w:line="276" w:lineRule="auto"/>
        <w:jc w:val="center"/>
        <w:rPr>
          <w:rFonts w:ascii="ITC Avant Garde" w:hAnsi="ITC Avant Garde"/>
          <w:b/>
          <w:bCs/>
          <w:sz w:val="22"/>
          <w:szCs w:val="22"/>
        </w:rPr>
      </w:pPr>
      <w:r w:rsidRPr="000672F6">
        <w:rPr>
          <w:rFonts w:ascii="ITC Avant Garde" w:hAnsi="ITC Avant Garde"/>
          <w:b/>
          <w:bCs/>
          <w:sz w:val="22"/>
          <w:szCs w:val="22"/>
        </w:rPr>
        <w:t>EL COMISIONADO PRESIDENTE</w:t>
      </w:r>
    </w:p>
    <w:p w:rsidR="008F4584" w:rsidRPr="000672F6" w:rsidRDefault="008F4584" w:rsidP="008F4584">
      <w:pPr>
        <w:pStyle w:val="estilo30"/>
        <w:spacing w:before="0" w:beforeAutospacing="0" w:after="0" w:afterAutospacing="0" w:line="276" w:lineRule="auto"/>
        <w:jc w:val="center"/>
        <w:rPr>
          <w:rFonts w:ascii="ITC Avant Garde" w:hAnsi="ITC Avant Garde"/>
          <w:b/>
          <w:color w:val="0000FF"/>
        </w:rPr>
      </w:pPr>
      <w:r w:rsidRPr="000672F6">
        <w:rPr>
          <w:rFonts w:ascii="ITC Avant Garde" w:hAnsi="ITC Avant Garde"/>
          <w:b/>
          <w:color w:val="0000FF"/>
        </w:rPr>
        <w:t>(…)</w:t>
      </w:r>
    </w:p>
    <w:p w:rsidR="008F4584" w:rsidRPr="000672F6" w:rsidRDefault="008F4584" w:rsidP="008F4584">
      <w:pPr>
        <w:pStyle w:val="estilo30"/>
        <w:spacing w:before="0" w:beforeAutospacing="0" w:after="240" w:afterAutospacing="0" w:line="276" w:lineRule="auto"/>
        <w:jc w:val="center"/>
        <w:rPr>
          <w:rFonts w:ascii="ITC Avant Garde" w:hAnsi="ITC Avant Garde"/>
          <w:b/>
          <w:bCs/>
          <w:sz w:val="22"/>
          <w:szCs w:val="22"/>
        </w:rPr>
      </w:pPr>
      <w:r w:rsidRPr="000672F6">
        <w:rPr>
          <w:rFonts w:ascii="ITC Avant Garde" w:hAnsi="ITC Avant Garde"/>
          <w:b/>
          <w:bCs/>
          <w:sz w:val="22"/>
          <w:szCs w:val="22"/>
        </w:rPr>
        <w:t>GABRIEL OSWALDO CONTRERAS SALDÍVAR</w:t>
      </w:r>
    </w:p>
    <w:p w:rsidR="008F4584" w:rsidRPr="000672F6" w:rsidRDefault="008F4584" w:rsidP="008F4584">
      <w:pPr>
        <w:pStyle w:val="estilo30"/>
        <w:spacing w:before="0" w:beforeAutospacing="0" w:after="0" w:afterAutospacing="0" w:line="276" w:lineRule="auto"/>
        <w:jc w:val="center"/>
        <w:rPr>
          <w:rFonts w:ascii="ITC Avant Garde" w:hAnsi="ITC Avant Garde"/>
          <w:b/>
          <w:bCs/>
          <w:color w:val="000000"/>
          <w:sz w:val="22"/>
          <w:szCs w:val="22"/>
        </w:rPr>
      </w:pPr>
      <w:r w:rsidRPr="000672F6">
        <w:rPr>
          <w:rFonts w:ascii="ITC Avant Garde" w:hAnsi="ITC Avant Garde"/>
          <w:b/>
          <w:bCs/>
          <w:color w:val="000000"/>
          <w:sz w:val="22"/>
          <w:szCs w:val="22"/>
        </w:rPr>
        <w:t>EL CONCESIONARIO</w:t>
      </w:r>
    </w:p>
    <w:p w:rsidR="00160FE7" w:rsidRPr="000672F6" w:rsidRDefault="008F4584" w:rsidP="008F4584">
      <w:pPr>
        <w:suppressAutoHyphens/>
        <w:spacing w:after="0" w:line="276" w:lineRule="auto"/>
        <w:ind w:right="-62"/>
        <w:jc w:val="center"/>
        <w:rPr>
          <w:rFonts w:ascii="ITC Avant Garde" w:eastAsia="Times New Roman" w:hAnsi="ITC Avant Garde"/>
          <w:b/>
          <w:bCs/>
          <w:kern w:val="1"/>
          <w:lang w:val="es-ES_tradnl" w:eastAsia="ar-SA"/>
        </w:rPr>
      </w:pPr>
      <w:r w:rsidRPr="000672F6">
        <w:rPr>
          <w:rFonts w:ascii="ITC Avant Garde" w:hAnsi="ITC Avant Garde" w:cs="Times New Roman"/>
          <w:b/>
          <w:color w:val="0000FF"/>
        </w:rPr>
        <w:t>(…)</w:t>
      </w:r>
    </w:p>
    <w:sectPr w:rsidR="00160FE7" w:rsidRPr="000672F6" w:rsidSect="008F4584">
      <w:headerReference w:type="even" r:id="rId11"/>
      <w:headerReference w:type="default" r:id="rId12"/>
      <w:footerReference w:type="default" r:id="rId13"/>
      <w:headerReference w:type="first" r:id="rId14"/>
      <w:footerReference w:type="first" r:id="rId15"/>
      <w:pgSz w:w="12240" w:h="15840"/>
      <w:pgMar w:top="1985"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42" w:rsidRDefault="00807442" w:rsidP="00173E52">
      <w:pPr>
        <w:spacing w:after="0" w:line="240" w:lineRule="auto"/>
      </w:pPr>
      <w:r>
        <w:separator/>
      </w:r>
    </w:p>
  </w:endnote>
  <w:endnote w:type="continuationSeparator" w:id="0">
    <w:p w:rsidR="00807442" w:rsidRDefault="00807442" w:rsidP="0017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oberana Sans">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57229"/>
      <w:docPartObj>
        <w:docPartGallery w:val="Page Numbers (Bottom of Page)"/>
        <w:docPartUnique/>
      </w:docPartObj>
    </w:sdtPr>
    <w:sdtEndPr>
      <w:rPr>
        <w:rFonts w:ascii="ITC Avant Garde" w:hAnsi="ITC Avant Garde"/>
        <w:sz w:val="20"/>
        <w:szCs w:val="20"/>
      </w:rPr>
    </w:sdtEndPr>
    <w:sdtContent>
      <w:p w:rsidR="007C40DC" w:rsidRPr="000672F6" w:rsidRDefault="00D578EE" w:rsidP="000672F6">
        <w:pPr>
          <w:pStyle w:val="Piedepgina"/>
          <w:jc w:val="right"/>
          <w:rPr>
            <w:rFonts w:ascii="ITC Avant Garde" w:hAnsi="ITC Avant Garde"/>
            <w:sz w:val="20"/>
            <w:szCs w:val="20"/>
          </w:rPr>
        </w:pPr>
        <w:r w:rsidRPr="00D578EE">
          <w:rPr>
            <w:rFonts w:ascii="ITC Avant Garde" w:hAnsi="ITC Avant Garde"/>
            <w:sz w:val="20"/>
            <w:szCs w:val="20"/>
          </w:rPr>
          <w:fldChar w:fldCharType="begin"/>
        </w:r>
        <w:r w:rsidRPr="00D578EE">
          <w:rPr>
            <w:rFonts w:ascii="ITC Avant Garde" w:hAnsi="ITC Avant Garde"/>
            <w:sz w:val="20"/>
            <w:szCs w:val="20"/>
          </w:rPr>
          <w:instrText>PAGE   \* MERGEFORMAT</w:instrText>
        </w:r>
        <w:r w:rsidRPr="00D578EE">
          <w:rPr>
            <w:rFonts w:ascii="ITC Avant Garde" w:hAnsi="ITC Avant Garde"/>
            <w:sz w:val="20"/>
            <w:szCs w:val="20"/>
          </w:rPr>
          <w:fldChar w:fldCharType="separate"/>
        </w:r>
        <w:r w:rsidR="0097419F" w:rsidRPr="0097419F">
          <w:rPr>
            <w:rFonts w:ascii="ITC Avant Garde" w:hAnsi="ITC Avant Garde"/>
            <w:noProof/>
            <w:sz w:val="20"/>
            <w:szCs w:val="20"/>
            <w:lang w:val="es-ES"/>
          </w:rPr>
          <w:t>28</w:t>
        </w:r>
        <w:r w:rsidRPr="00D578EE">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93526"/>
      <w:docPartObj>
        <w:docPartGallery w:val="Page Numbers (Bottom of Page)"/>
        <w:docPartUnique/>
      </w:docPartObj>
    </w:sdtPr>
    <w:sdtEndPr/>
    <w:sdtContent>
      <w:p w:rsidR="00F42E09" w:rsidRPr="008F4584" w:rsidRDefault="00F9299A" w:rsidP="008F4584">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7419F">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97419F">
          <w:rPr>
            <w:rFonts w:ascii="ITC Avant Garde" w:hAnsi="ITC Avant Garde" w:cs="Calibri"/>
            <w:sz w:val="18"/>
            <w:szCs w:val="18"/>
          </w:rPr>
          <w:t>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3025"/>
      <w:docPartObj>
        <w:docPartGallery w:val="Page Numbers (Bottom of Page)"/>
        <w:docPartUnique/>
      </w:docPartObj>
    </w:sdtPr>
    <w:sdtEndPr/>
    <w:sdtContent>
      <w:p w:rsidR="00F42E09" w:rsidRPr="00D8686A" w:rsidRDefault="00F9299A" w:rsidP="006551DC">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7419F">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97419F">
          <w:rPr>
            <w:rFonts w:ascii="ITC Avant Garde" w:hAnsi="ITC Avant Garde" w:cs="Calibri"/>
            <w:sz w:val="18"/>
            <w:szCs w:val="18"/>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42" w:rsidRDefault="00807442" w:rsidP="00173E52">
      <w:pPr>
        <w:spacing w:after="0" w:line="240" w:lineRule="auto"/>
      </w:pPr>
      <w:r>
        <w:separator/>
      </w:r>
    </w:p>
  </w:footnote>
  <w:footnote w:type="continuationSeparator" w:id="0">
    <w:p w:rsidR="00807442" w:rsidRDefault="00807442" w:rsidP="00173E52">
      <w:pPr>
        <w:spacing w:after="0" w:line="240" w:lineRule="auto"/>
      </w:pPr>
      <w:r>
        <w:continuationSeparator/>
      </w:r>
    </w:p>
  </w:footnote>
  <w:footnote w:id="1">
    <w:p w:rsidR="007C40DC" w:rsidRPr="000D1572" w:rsidRDefault="007C40DC" w:rsidP="00173E52">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DC" w:rsidRDefault="008074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DC" w:rsidRDefault="008074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09" w:rsidRDefault="008074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414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09" w:rsidRDefault="00807442" w:rsidP="006551DC">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09" w:rsidRPr="00D8686A" w:rsidRDefault="00807442" w:rsidP="006551DC">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4035D3"/>
    <w:multiLevelType w:val="hybridMultilevel"/>
    <w:tmpl w:val="45EE0ED6"/>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7" w15:restartNumberingAfterBreak="0">
    <w:nsid w:val="2CE16F9A"/>
    <w:multiLevelType w:val="hybridMultilevel"/>
    <w:tmpl w:val="629C9A2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2E8C6D3C"/>
    <w:multiLevelType w:val="hybridMultilevel"/>
    <w:tmpl w:val="297CC3D4"/>
    <w:lvl w:ilvl="0" w:tplc="E65E2D6E">
      <w:start w:val="1"/>
      <w:numFmt w:val="upperRoman"/>
      <w:suff w:val="nothing"/>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B104D7"/>
    <w:multiLevelType w:val="hybridMultilevel"/>
    <w:tmpl w:val="C9D467C2"/>
    <w:lvl w:ilvl="0" w:tplc="0B645E32">
      <w:start w:val="1"/>
      <w:numFmt w:val="decimal"/>
      <w:lvlText w:val="%1."/>
      <w:lvlJc w:val="left"/>
      <w:pPr>
        <w:ind w:left="720" w:hanging="360"/>
      </w:pPr>
      <w:rPr>
        <w:rFonts w:hint="default"/>
        <w:i/>
        <w:sz w:val="18"/>
        <w:szCs w:val="1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833735"/>
    <w:multiLevelType w:val="hybridMultilevel"/>
    <w:tmpl w:val="AF668C5C"/>
    <w:lvl w:ilvl="0" w:tplc="1B4EE9E6">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14"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231DE2"/>
    <w:multiLevelType w:val="hybridMultilevel"/>
    <w:tmpl w:val="1388AF5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BF3FCA"/>
    <w:multiLevelType w:val="hybridMultilevel"/>
    <w:tmpl w:val="F978F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D90985"/>
    <w:multiLevelType w:val="hybridMultilevel"/>
    <w:tmpl w:val="1698395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1253B9"/>
    <w:multiLevelType w:val="hybridMultilevel"/>
    <w:tmpl w:val="3822C772"/>
    <w:lvl w:ilvl="0" w:tplc="F9AA93B6">
      <w:numFmt w:val="bullet"/>
      <w:lvlText w:val="-"/>
      <w:lvlJc w:val="left"/>
      <w:pPr>
        <w:ind w:left="1004" w:hanging="360"/>
      </w:pPr>
      <w:rPr>
        <w:rFonts w:ascii="ITC Avant Garde" w:eastAsia="Calibri" w:hAnsi="ITC Avant Garde" w:cs="Tahoma"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5779D2"/>
    <w:multiLevelType w:val="hybridMultilevel"/>
    <w:tmpl w:val="DCC4E65C"/>
    <w:lvl w:ilvl="0" w:tplc="C0BEC346">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A1412E"/>
    <w:multiLevelType w:val="hybridMultilevel"/>
    <w:tmpl w:val="92C2B9CC"/>
    <w:lvl w:ilvl="0" w:tplc="C31A75F8">
      <w:start w:val="1"/>
      <w:numFmt w:val="upperRoman"/>
      <w:lvlText w:val="%1."/>
      <w:lvlJc w:val="left"/>
      <w:pPr>
        <w:ind w:left="2204"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FA048F"/>
    <w:multiLevelType w:val="hybridMultilevel"/>
    <w:tmpl w:val="0D76B79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5"/>
  </w:num>
  <w:num w:numId="4">
    <w:abstractNumId w:val="1"/>
  </w:num>
  <w:num w:numId="5">
    <w:abstractNumId w:val="29"/>
  </w:num>
  <w:num w:numId="6">
    <w:abstractNumId w:val="21"/>
  </w:num>
  <w:num w:numId="7">
    <w:abstractNumId w:val="23"/>
  </w:num>
  <w:num w:numId="8">
    <w:abstractNumId w:val="14"/>
  </w:num>
  <w:num w:numId="9">
    <w:abstractNumId w:val="18"/>
  </w:num>
  <w:num w:numId="10">
    <w:abstractNumId w:val="19"/>
  </w:num>
  <w:num w:numId="11">
    <w:abstractNumId w:val="28"/>
  </w:num>
  <w:num w:numId="12">
    <w:abstractNumId w:val="11"/>
  </w:num>
  <w:num w:numId="13">
    <w:abstractNumId w:val="30"/>
  </w:num>
  <w:num w:numId="14">
    <w:abstractNumId w:val="6"/>
  </w:num>
  <w:num w:numId="15">
    <w:abstractNumId w:val="8"/>
  </w:num>
  <w:num w:numId="16">
    <w:abstractNumId w:val="4"/>
  </w:num>
  <w:num w:numId="17">
    <w:abstractNumId w:val="16"/>
  </w:num>
  <w:num w:numId="18">
    <w:abstractNumId w:val="9"/>
  </w:num>
  <w:num w:numId="19">
    <w:abstractNumId w:val="13"/>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5"/>
  </w:num>
  <w:num w:numId="23">
    <w:abstractNumId w:val="32"/>
  </w:num>
  <w:num w:numId="24">
    <w:abstractNumId w:val="20"/>
  </w:num>
  <w:num w:numId="25">
    <w:abstractNumId w:val="24"/>
  </w:num>
  <w:num w:numId="26">
    <w:abstractNumId w:val="27"/>
  </w:num>
  <w:num w:numId="27">
    <w:abstractNumId w:val="7"/>
  </w:num>
  <w:num w:numId="28">
    <w:abstractNumId w:val="31"/>
  </w:num>
  <w:num w:numId="29">
    <w:abstractNumId w:val="17"/>
  </w:num>
  <w:num w:numId="30">
    <w:abstractNumId w:val="22"/>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3"/>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52"/>
    <w:rsid w:val="00000AF7"/>
    <w:rsid w:val="00002065"/>
    <w:rsid w:val="0000325C"/>
    <w:rsid w:val="00003F0E"/>
    <w:rsid w:val="000042CD"/>
    <w:rsid w:val="00005EB7"/>
    <w:rsid w:val="0001129A"/>
    <w:rsid w:val="000115BD"/>
    <w:rsid w:val="000119C6"/>
    <w:rsid w:val="00011ACB"/>
    <w:rsid w:val="00011EF6"/>
    <w:rsid w:val="000124BB"/>
    <w:rsid w:val="000125F6"/>
    <w:rsid w:val="00013AF2"/>
    <w:rsid w:val="00015A4A"/>
    <w:rsid w:val="00016C3B"/>
    <w:rsid w:val="00016F77"/>
    <w:rsid w:val="000207EA"/>
    <w:rsid w:val="00020ABE"/>
    <w:rsid w:val="00021E88"/>
    <w:rsid w:val="00021ED8"/>
    <w:rsid w:val="00023578"/>
    <w:rsid w:val="00026652"/>
    <w:rsid w:val="00033663"/>
    <w:rsid w:val="000349CC"/>
    <w:rsid w:val="00035628"/>
    <w:rsid w:val="000366D0"/>
    <w:rsid w:val="00036C32"/>
    <w:rsid w:val="00037F15"/>
    <w:rsid w:val="000411B4"/>
    <w:rsid w:val="00042AC8"/>
    <w:rsid w:val="00043ABF"/>
    <w:rsid w:val="00043CFB"/>
    <w:rsid w:val="00044726"/>
    <w:rsid w:val="000456F7"/>
    <w:rsid w:val="00046A33"/>
    <w:rsid w:val="00046DC7"/>
    <w:rsid w:val="00047943"/>
    <w:rsid w:val="00050060"/>
    <w:rsid w:val="00050242"/>
    <w:rsid w:val="00051E24"/>
    <w:rsid w:val="00055A50"/>
    <w:rsid w:val="00057D85"/>
    <w:rsid w:val="00060B52"/>
    <w:rsid w:val="00061858"/>
    <w:rsid w:val="000621FE"/>
    <w:rsid w:val="0006401E"/>
    <w:rsid w:val="00064557"/>
    <w:rsid w:val="000647D9"/>
    <w:rsid w:val="00064F84"/>
    <w:rsid w:val="00065279"/>
    <w:rsid w:val="00065981"/>
    <w:rsid w:val="00065DED"/>
    <w:rsid w:val="000672F6"/>
    <w:rsid w:val="00067643"/>
    <w:rsid w:val="00070223"/>
    <w:rsid w:val="000708CC"/>
    <w:rsid w:val="00070F9B"/>
    <w:rsid w:val="00071CBA"/>
    <w:rsid w:val="0007287D"/>
    <w:rsid w:val="000732A7"/>
    <w:rsid w:val="00074BD2"/>
    <w:rsid w:val="0007694B"/>
    <w:rsid w:val="000804B9"/>
    <w:rsid w:val="0008065B"/>
    <w:rsid w:val="000806C5"/>
    <w:rsid w:val="00081979"/>
    <w:rsid w:val="00082F6F"/>
    <w:rsid w:val="000834F9"/>
    <w:rsid w:val="00091CE0"/>
    <w:rsid w:val="0009226A"/>
    <w:rsid w:val="000923E9"/>
    <w:rsid w:val="00092715"/>
    <w:rsid w:val="00092981"/>
    <w:rsid w:val="0009356C"/>
    <w:rsid w:val="000952C4"/>
    <w:rsid w:val="00095673"/>
    <w:rsid w:val="00095945"/>
    <w:rsid w:val="00095FD1"/>
    <w:rsid w:val="00096E92"/>
    <w:rsid w:val="000A0BE8"/>
    <w:rsid w:val="000A45BF"/>
    <w:rsid w:val="000A6484"/>
    <w:rsid w:val="000B3419"/>
    <w:rsid w:val="000B4125"/>
    <w:rsid w:val="000B419B"/>
    <w:rsid w:val="000B5106"/>
    <w:rsid w:val="000B7C39"/>
    <w:rsid w:val="000C2611"/>
    <w:rsid w:val="000C3AD7"/>
    <w:rsid w:val="000C5943"/>
    <w:rsid w:val="000C655F"/>
    <w:rsid w:val="000C7234"/>
    <w:rsid w:val="000D1C6B"/>
    <w:rsid w:val="000D2926"/>
    <w:rsid w:val="000D2A98"/>
    <w:rsid w:val="000D4BAE"/>
    <w:rsid w:val="000D4F02"/>
    <w:rsid w:val="000F1BC4"/>
    <w:rsid w:val="000F32C8"/>
    <w:rsid w:val="0010544B"/>
    <w:rsid w:val="001065A8"/>
    <w:rsid w:val="00106912"/>
    <w:rsid w:val="00107979"/>
    <w:rsid w:val="00110201"/>
    <w:rsid w:val="001122F0"/>
    <w:rsid w:val="001125D1"/>
    <w:rsid w:val="00113CFB"/>
    <w:rsid w:val="001141EC"/>
    <w:rsid w:val="001165C0"/>
    <w:rsid w:val="00117311"/>
    <w:rsid w:val="001173B1"/>
    <w:rsid w:val="0012188E"/>
    <w:rsid w:val="00123207"/>
    <w:rsid w:val="00124650"/>
    <w:rsid w:val="0012476F"/>
    <w:rsid w:val="00124D32"/>
    <w:rsid w:val="0012521B"/>
    <w:rsid w:val="00125392"/>
    <w:rsid w:val="00126A6A"/>
    <w:rsid w:val="00127036"/>
    <w:rsid w:val="00132642"/>
    <w:rsid w:val="00133115"/>
    <w:rsid w:val="00134B5F"/>
    <w:rsid w:val="0013574D"/>
    <w:rsid w:val="00135812"/>
    <w:rsid w:val="00136F52"/>
    <w:rsid w:val="0013747E"/>
    <w:rsid w:val="00140C2F"/>
    <w:rsid w:val="00140DC7"/>
    <w:rsid w:val="00141A83"/>
    <w:rsid w:val="00141D2B"/>
    <w:rsid w:val="00141F0C"/>
    <w:rsid w:val="00145725"/>
    <w:rsid w:val="001461FA"/>
    <w:rsid w:val="00146666"/>
    <w:rsid w:val="00146E01"/>
    <w:rsid w:val="00147315"/>
    <w:rsid w:val="001477A5"/>
    <w:rsid w:val="00150CD8"/>
    <w:rsid w:val="001534D1"/>
    <w:rsid w:val="00153C94"/>
    <w:rsid w:val="00155324"/>
    <w:rsid w:val="00160FE7"/>
    <w:rsid w:val="001636B1"/>
    <w:rsid w:val="001647BC"/>
    <w:rsid w:val="00164CB3"/>
    <w:rsid w:val="00166C96"/>
    <w:rsid w:val="001701C7"/>
    <w:rsid w:val="001701D8"/>
    <w:rsid w:val="00172A49"/>
    <w:rsid w:val="00173E52"/>
    <w:rsid w:val="00173F20"/>
    <w:rsid w:val="00174784"/>
    <w:rsid w:val="0017482E"/>
    <w:rsid w:val="0017484D"/>
    <w:rsid w:val="00174FE9"/>
    <w:rsid w:val="001752A6"/>
    <w:rsid w:val="00177000"/>
    <w:rsid w:val="00177DFB"/>
    <w:rsid w:val="001846AD"/>
    <w:rsid w:val="00184A15"/>
    <w:rsid w:val="00185868"/>
    <w:rsid w:val="001866C1"/>
    <w:rsid w:val="00186F30"/>
    <w:rsid w:val="001874C0"/>
    <w:rsid w:val="00192975"/>
    <w:rsid w:val="0019431F"/>
    <w:rsid w:val="00194F93"/>
    <w:rsid w:val="001A2592"/>
    <w:rsid w:val="001A4994"/>
    <w:rsid w:val="001A4B47"/>
    <w:rsid w:val="001A7178"/>
    <w:rsid w:val="001A7E8D"/>
    <w:rsid w:val="001B0337"/>
    <w:rsid w:val="001B05A7"/>
    <w:rsid w:val="001B1DF8"/>
    <w:rsid w:val="001B1E44"/>
    <w:rsid w:val="001B26A3"/>
    <w:rsid w:val="001B26BB"/>
    <w:rsid w:val="001B715F"/>
    <w:rsid w:val="001B726A"/>
    <w:rsid w:val="001C0241"/>
    <w:rsid w:val="001C1A9C"/>
    <w:rsid w:val="001C363D"/>
    <w:rsid w:val="001C3BAC"/>
    <w:rsid w:val="001C4456"/>
    <w:rsid w:val="001C44B6"/>
    <w:rsid w:val="001C5C67"/>
    <w:rsid w:val="001C7632"/>
    <w:rsid w:val="001D1B90"/>
    <w:rsid w:val="001D3242"/>
    <w:rsid w:val="001E0792"/>
    <w:rsid w:val="001E112F"/>
    <w:rsid w:val="001E1774"/>
    <w:rsid w:val="001E1AFF"/>
    <w:rsid w:val="001E22EB"/>
    <w:rsid w:val="001E32B5"/>
    <w:rsid w:val="001E5001"/>
    <w:rsid w:val="001E533B"/>
    <w:rsid w:val="001E58D3"/>
    <w:rsid w:val="001E5B17"/>
    <w:rsid w:val="001E761E"/>
    <w:rsid w:val="001F322D"/>
    <w:rsid w:val="001F3E01"/>
    <w:rsid w:val="001F4CC0"/>
    <w:rsid w:val="001F5CAE"/>
    <w:rsid w:val="001F620D"/>
    <w:rsid w:val="001F6E60"/>
    <w:rsid w:val="001F7DF7"/>
    <w:rsid w:val="002001ED"/>
    <w:rsid w:val="002004E0"/>
    <w:rsid w:val="00201297"/>
    <w:rsid w:val="00203E4F"/>
    <w:rsid w:val="002046C1"/>
    <w:rsid w:val="0020494A"/>
    <w:rsid w:val="0020531C"/>
    <w:rsid w:val="0020546E"/>
    <w:rsid w:val="0020621B"/>
    <w:rsid w:val="00207D6C"/>
    <w:rsid w:val="002109C7"/>
    <w:rsid w:val="00212463"/>
    <w:rsid w:val="00213110"/>
    <w:rsid w:val="002167A3"/>
    <w:rsid w:val="00216E97"/>
    <w:rsid w:val="0022059A"/>
    <w:rsid w:val="00220B0F"/>
    <w:rsid w:val="00220F60"/>
    <w:rsid w:val="002217E9"/>
    <w:rsid w:val="0022180B"/>
    <w:rsid w:val="00221A5D"/>
    <w:rsid w:val="00221EE2"/>
    <w:rsid w:val="00223628"/>
    <w:rsid w:val="002241D6"/>
    <w:rsid w:val="0022526D"/>
    <w:rsid w:val="002252EF"/>
    <w:rsid w:val="00225599"/>
    <w:rsid w:val="00226143"/>
    <w:rsid w:val="0022756E"/>
    <w:rsid w:val="002323A0"/>
    <w:rsid w:val="002335DB"/>
    <w:rsid w:val="00233D2C"/>
    <w:rsid w:val="00234A9C"/>
    <w:rsid w:val="0023649A"/>
    <w:rsid w:val="00237215"/>
    <w:rsid w:val="002405D2"/>
    <w:rsid w:val="00240AF9"/>
    <w:rsid w:val="00240D12"/>
    <w:rsid w:val="00242008"/>
    <w:rsid w:val="00243701"/>
    <w:rsid w:val="002442B0"/>
    <w:rsid w:val="00246E91"/>
    <w:rsid w:val="00247B10"/>
    <w:rsid w:val="0025032B"/>
    <w:rsid w:val="00251A99"/>
    <w:rsid w:val="00251B40"/>
    <w:rsid w:val="00252414"/>
    <w:rsid w:val="0025277C"/>
    <w:rsid w:val="00252EB7"/>
    <w:rsid w:val="00254626"/>
    <w:rsid w:val="00254786"/>
    <w:rsid w:val="00255D1A"/>
    <w:rsid w:val="00256F1D"/>
    <w:rsid w:val="00257028"/>
    <w:rsid w:val="002572FB"/>
    <w:rsid w:val="00261B7A"/>
    <w:rsid w:val="00261E61"/>
    <w:rsid w:val="00263D9F"/>
    <w:rsid w:val="002640BC"/>
    <w:rsid w:val="0027007B"/>
    <w:rsid w:val="00270D9C"/>
    <w:rsid w:val="00270DF1"/>
    <w:rsid w:val="00271BC7"/>
    <w:rsid w:val="00273244"/>
    <w:rsid w:val="002736AD"/>
    <w:rsid w:val="00273D95"/>
    <w:rsid w:val="00275546"/>
    <w:rsid w:val="00275E57"/>
    <w:rsid w:val="002766FA"/>
    <w:rsid w:val="002768AD"/>
    <w:rsid w:val="00277F31"/>
    <w:rsid w:val="0028125F"/>
    <w:rsid w:val="002826C0"/>
    <w:rsid w:val="00283508"/>
    <w:rsid w:val="00283D31"/>
    <w:rsid w:val="00284711"/>
    <w:rsid w:val="00284BE4"/>
    <w:rsid w:val="00287170"/>
    <w:rsid w:val="00287CBB"/>
    <w:rsid w:val="002919D0"/>
    <w:rsid w:val="00291CCF"/>
    <w:rsid w:val="002920C4"/>
    <w:rsid w:val="00292A81"/>
    <w:rsid w:val="002946E0"/>
    <w:rsid w:val="0029514D"/>
    <w:rsid w:val="002967E6"/>
    <w:rsid w:val="002A172D"/>
    <w:rsid w:val="002A26F9"/>
    <w:rsid w:val="002A2F0D"/>
    <w:rsid w:val="002A389A"/>
    <w:rsid w:val="002A4E84"/>
    <w:rsid w:val="002A4F6C"/>
    <w:rsid w:val="002A75B9"/>
    <w:rsid w:val="002B1BD0"/>
    <w:rsid w:val="002B46B3"/>
    <w:rsid w:val="002B603E"/>
    <w:rsid w:val="002B7045"/>
    <w:rsid w:val="002B74F3"/>
    <w:rsid w:val="002B7D8F"/>
    <w:rsid w:val="002C0D35"/>
    <w:rsid w:val="002C276C"/>
    <w:rsid w:val="002C2F90"/>
    <w:rsid w:val="002C3176"/>
    <w:rsid w:val="002C5168"/>
    <w:rsid w:val="002C6494"/>
    <w:rsid w:val="002C6612"/>
    <w:rsid w:val="002D077C"/>
    <w:rsid w:val="002D096F"/>
    <w:rsid w:val="002D0F22"/>
    <w:rsid w:val="002D1A1D"/>
    <w:rsid w:val="002D64C8"/>
    <w:rsid w:val="002D6A32"/>
    <w:rsid w:val="002E1210"/>
    <w:rsid w:val="002E19F1"/>
    <w:rsid w:val="002E31DD"/>
    <w:rsid w:val="002F18B9"/>
    <w:rsid w:val="002F4784"/>
    <w:rsid w:val="002F4798"/>
    <w:rsid w:val="002F732B"/>
    <w:rsid w:val="002F783C"/>
    <w:rsid w:val="00300011"/>
    <w:rsid w:val="0030086E"/>
    <w:rsid w:val="00300E9D"/>
    <w:rsid w:val="003012BC"/>
    <w:rsid w:val="0030214F"/>
    <w:rsid w:val="00303C8D"/>
    <w:rsid w:val="0030580D"/>
    <w:rsid w:val="00307B0F"/>
    <w:rsid w:val="00307EEC"/>
    <w:rsid w:val="00311907"/>
    <w:rsid w:val="00311D8C"/>
    <w:rsid w:val="0031286B"/>
    <w:rsid w:val="00312A53"/>
    <w:rsid w:val="003131A7"/>
    <w:rsid w:val="00313EAA"/>
    <w:rsid w:val="00313F01"/>
    <w:rsid w:val="0031477F"/>
    <w:rsid w:val="00314ABB"/>
    <w:rsid w:val="00314D99"/>
    <w:rsid w:val="003166A8"/>
    <w:rsid w:val="00316DB4"/>
    <w:rsid w:val="00316E3F"/>
    <w:rsid w:val="0032130F"/>
    <w:rsid w:val="00321BB4"/>
    <w:rsid w:val="00323344"/>
    <w:rsid w:val="0032397C"/>
    <w:rsid w:val="00326408"/>
    <w:rsid w:val="0032670F"/>
    <w:rsid w:val="00327609"/>
    <w:rsid w:val="003279E2"/>
    <w:rsid w:val="00333984"/>
    <w:rsid w:val="00334011"/>
    <w:rsid w:val="0033425A"/>
    <w:rsid w:val="003351B2"/>
    <w:rsid w:val="00335B05"/>
    <w:rsid w:val="00335F83"/>
    <w:rsid w:val="00337CEC"/>
    <w:rsid w:val="003404F3"/>
    <w:rsid w:val="0034167D"/>
    <w:rsid w:val="00341E5A"/>
    <w:rsid w:val="00342F29"/>
    <w:rsid w:val="00343351"/>
    <w:rsid w:val="00343822"/>
    <w:rsid w:val="00343847"/>
    <w:rsid w:val="00345232"/>
    <w:rsid w:val="00345D38"/>
    <w:rsid w:val="0034605A"/>
    <w:rsid w:val="00346765"/>
    <w:rsid w:val="003473AE"/>
    <w:rsid w:val="00352963"/>
    <w:rsid w:val="00354682"/>
    <w:rsid w:val="00354800"/>
    <w:rsid w:val="0035493E"/>
    <w:rsid w:val="0035638C"/>
    <w:rsid w:val="00356E45"/>
    <w:rsid w:val="0035732B"/>
    <w:rsid w:val="00363839"/>
    <w:rsid w:val="003639FF"/>
    <w:rsid w:val="003640E1"/>
    <w:rsid w:val="00364FB2"/>
    <w:rsid w:val="00371308"/>
    <w:rsid w:val="00371442"/>
    <w:rsid w:val="00371B42"/>
    <w:rsid w:val="00374821"/>
    <w:rsid w:val="00374EDE"/>
    <w:rsid w:val="00376EC4"/>
    <w:rsid w:val="003778DF"/>
    <w:rsid w:val="003814CF"/>
    <w:rsid w:val="003840C9"/>
    <w:rsid w:val="00385E08"/>
    <w:rsid w:val="00390930"/>
    <w:rsid w:val="00391B04"/>
    <w:rsid w:val="00391CB0"/>
    <w:rsid w:val="003928C8"/>
    <w:rsid w:val="003942F6"/>
    <w:rsid w:val="00394C58"/>
    <w:rsid w:val="00396ABF"/>
    <w:rsid w:val="003975C2"/>
    <w:rsid w:val="00397688"/>
    <w:rsid w:val="003A100C"/>
    <w:rsid w:val="003A225D"/>
    <w:rsid w:val="003A45DF"/>
    <w:rsid w:val="003A4E1F"/>
    <w:rsid w:val="003A548F"/>
    <w:rsid w:val="003A71B9"/>
    <w:rsid w:val="003A74A3"/>
    <w:rsid w:val="003A77B7"/>
    <w:rsid w:val="003A7C32"/>
    <w:rsid w:val="003B2823"/>
    <w:rsid w:val="003B5FCC"/>
    <w:rsid w:val="003B6F3A"/>
    <w:rsid w:val="003B732B"/>
    <w:rsid w:val="003C2703"/>
    <w:rsid w:val="003C295B"/>
    <w:rsid w:val="003C2E46"/>
    <w:rsid w:val="003C3DDA"/>
    <w:rsid w:val="003C4438"/>
    <w:rsid w:val="003C5974"/>
    <w:rsid w:val="003C6535"/>
    <w:rsid w:val="003C7549"/>
    <w:rsid w:val="003C7B9C"/>
    <w:rsid w:val="003D0E53"/>
    <w:rsid w:val="003D1257"/>
    <w:rsid w:val="003D1750"/>
    <w:rsid w:val="003D28D9"/>
    <w:rsid w:val="003D3F79"/>
    <w:rsid w:val="003D445C"/>
    <w:rsid w:val="003D6FD9"/>
    <w:rsid w:val="003D75F4"/>
    <w:rsid w:val="003D77F2"/>
    <w:rsid w:val="003E00AB"/>
    <w:rsid w:val="003E083F"/>
    <w:rsid w:val="003E265E"/>
    <w:rsid w:val="003E2AAA"/>
    <w:rsid w:val="003E5D92"/>
    <w:rsid w:val="003E6A85"/>
    <w:rsid w:val="003E6E78"/>
    <w:rsid w:val="003F0027"/>
    <w:rsid w:val="003F0A7B"/>
    <w:rsid w:val="003F2FC8"/>
    <w:rsid w:val="003F2FD2"/>
    <w:rsid w:val="003F414F"/>
    <w:rsid w:val="003F5815"/>
    <w:rsid w:val="003F6AC4"/>
    <w:rsid w:val="003F6F09"/>
    <w:rsid w:val="00400CFA"/>
    <w:rsid w:val="00401328"/>
    <w:rsid w:val="00402150"/>
    <w:rsid w:val="00402671"/>
    <w:rsid w:val="00402AFB"/>
    <w:rsid w:val="00402CFA"/>
    <w:rsid w:val="00404E27"/>
    <w:rsid w:val="00406AFC"/>
    <w:rsid w:val="00407EDA"/>
    <w:rsid w:val="00410375"/>
    <w:rsid w:val="004120B7"/>
    <w:rsid w:val="00412C2F"/>
    <w:rsid w:val="004145C9"/>
    <w:rsid w:val="00416395"/>
    <w:rsid w:val="00421057"/>
    <w:rsid w:val="0042128F"/>
    <w:rsid w:val="0042226F"/>
    <w:rsid w:val="004226B2"/>
    <w:rsid w:val="00422B7E"/>
    <w:rsid w:val="0042494B"/>
    <w:rsid w:val="00425C33"/>
    <w:rsid w:val="00426F7C"/>
    <w:rsid w:val="00427A95"/>
    <w:rsid w:val="004302A8"/>
    <w:rsid w:val="00433493"/>
    <w:rsid w:val="004337FA"/>
    <w:rsid w:val="00434E73"/>
    <w:rsid w:val="0043675A"/>
    <w:rsid w:val="00437A79"/>
    <w:rsid w:val="00440997"/>
    <w:rsid w:val="00440E7F"/>
    <w:rsid w:val="004410F8"/>
    <w:rsid w:val="0044305D"/>
    <w:rsid w:val="00443BD7"/>
    <w:rsid w:val="004448CF"/>
    <w:rsid w:val="004455D1"/>
    <w:rsid w:val="00445E4B"/>
    <w:rsid w:val="0044691B"/>
    <w:rsid w:val="00446D99"/>
    <w:rsid w:val="00446DE7"/>
    <w:rsid w:val="00447116"/>
    <w:rsid w:val="00451CC1"/>
    <w:rsid w:val="00451DFF"/>
    <w:rsid w:val="004528AD"/>
    <w:rsid w:val="00454EDF"/>
    <w:rsid w:val="00457245"/>
    <w:rsid w:val="004611FE"/>
    <w:rsid w:val="00461B3A"/>
    <w:rsid w:val="004662DC"/>
    <w:rsid w:val="00466698"/>
    <w:rsid w:val="00467ECA"/>
    <w:rsid w:val="0047074D"/>
    <w:rsid w:val="00471318"/>
    <w:rsid w:val="00472502"/>
    <w:rsid w:val="00472FA5"/>
    <w:rsid w:val="004737A4"/>
    <w:rsid w:val="00473C26"/>
    <w:rsid w:val="0047528B"/>
    <w:rsid w:val="00476AF9"/>
    <w:rsid w:val="00476D04"/>
    <w:rsid w:val="00480102"/>
    <w:rsid w:val="00480F21"/>
    <w:rsid w:val="00481DAA"/>
    <w:rsid w:val="00482DCE"/>
    <w:rsid w:val="00483609"/>
    <w:rsid w:val="00483D82"/>
    <w:rsid w:val="0048426F"/>
    <w:rsid w:val="0048434F"/>
    <w:rsid w:val="00490378"/>
    <w:rsid w:val="00491844"/>
    <w:rsid w:val="00491925"/>
    <w:rsid w:val="00492443"/>
    <w:rsid w:val="00492BC6"/>
    <w:rsid w:val="00492D9F"/>
    <w:rsid w:val="004931A9"/>
    <w:rsid w:val="00493211"/>
    <w:rsid w:val="0049380A"/>
    <w:rsid w:val="004941EB"/>
    <w:rsid w:val="004948AA"/>
    <w:rsid w:val="004958D7"/>
    <w:rsid w:val="00495D1D"/>
    <w:rsid w:val="00495E7C"/>
    <w:rsid w:val="00496FAA"/>
    <w:rsid w:val="004A02FE"/>
    <w:rsid w:val="004A1793"/>
    <w:rsid w:val="004A2230"/>
    <w:rsid w:val="004A3DAB"/>
    <w:rsid w:val="004A4253"/>
    <w:rsid w:val="004A4678"/>
    <w:rsid w:val="004A5080"/>
    <w:rsid w:val="004A793D"/>
    <w:rsid w:val="004A7BAC"/>
    <w:rsid w:val="004A7BF6"/>
    <w:rsid w:val="004A7FF8"/>
    <w:rsid w:val="004B07CE"/>
    <w:rsid w:val="004B0C27"/>
    <w:rsid w:val="004B1611"/>
    <w:rsid w:val="004B181A"/>
    <w:rsid w:val="004B185A"/>
    <w:rsid w:val="004B2568"/>
    <w:rsid w:val="004B438A"/>
    <w:rsid w:val="004B5299"/>
    <w:rsid w:val="004C00A3"/>
    <w:rsid w:val="004C2E92"/>
    <w:rsid w:val="004C3C3A"/>
    <w:rsid w:val="004C52C3"/>
    <w:rsid w:val="004C7284"/>
    <w:rsid w:val="004C72D1"/>
    <w:rsid w:val="004C7660"/>
    <w:rsid w:val="004D10CA"/>
    <w:rsid w:val="004D23A8"/>
    <w:rsid w:val="004D49D5"/>
    <w:rsid w:val="004D5296"/>
    <w:rsid w:val="004D5765"/>
    <w:rsid w:val="004D7AD2"/>
    <w:rsid w:val="004E1400"/>
    <w:rsid w:val="004E17E6"/>
    <w:rsid w:val="004E198E"/>
    <w:rsid w:val="004E23C5"/>
    <w:rsid w:val="004E25DD"/>
    <w:rsid w:val="004E313D"/>
    <w:rsid w:val="004E44FB"/>
    <w:rsid w:val="004E4928"/>
    <w:rsid w:val="004E4A2A"/>
    <w:rsid w:val="004F1E68"/>
    <w:rsid w:val="004F2E6A"/>
    <w:rsid w:val="004F39D0"/>
    <w:rsid w:val="004F65FE"/>
    <w:rsid w:val="005006FA"/>
    <w:rsid w:val="00503465"/>
    <w:rsid w:val="00503ED3"/>
    <w:rsid w:val="00505AA1"/>
    <w:rsid w:val="00507A04"/>
    <w:rsid w:val="00512CA5"/>
    <w:rsid w:val="00513A20"/>
    <w:rsid w:val="005152AE"/>
    <w:rsid w:val="00515C51"/>
    <w:rsid w:val="0051615E"/>
    <w:rsid w:val="005217BE"/>
    <w:rsid w:val="00522236"/>
    <w:rsid w:val="00522A11"/>
    <w:rsid w:val="005230D8"/>
    <w:rsid w:val="00530754"/>
    <w:rsid w:val="00530D3D"/>
    <w:rsid w:val="0053557A"/>
    <w:rsid w:val="0054173F"/>
    <w:rsid w:val="00541A76"/>
    <w:rsid w:val="005436B7"/>
    <w:rsid w:val="005436FE"/>
    <w:rsid w:val="005459C4"/>
    <w:rsid w:val="00545E82"/>
    <w:rsid w:val="00545FCB"/>
    <w:rsid w:val="00546194"/>
    <w:rsid w:val="005501EF"/>
    <w:rsid w:val="0055060F"/>
    <w:rsid w:val="00552107"/>
    <w:rsid w:val="005546AA"/>
    <w:rsid w:val="005546F8"/>
    <w:rsid w:val="00556ECB"/>
    <w:rsid w:val="00557057"/>
    <w:rsid w:val="00557EAD"/>
    <w:rsid w:val="005602CD"/>
    <w:rsid w:val="00561B2F"/>
    <w:rsid w:val="00563351"/>
    <w:rsid w:val="00563517"/>
    <w:rsid w:val="005641E4"/>
    <w:rsid w:val="00566ABB"/>
    <w:rsid w:val="00567A6C"/>
    <w:rsid w:val="00567B80"/>
    <w:rsid w:val="005702AA"/>
    <w:rsid w:val="00570341"/>
    <w:rsid w:val="005713E4"/>
    <w:rsid w:val="00571DCA"/>
    <w:rsid w:val="00573C97"/>
    <w:rsid w:val="00575DCD"/>
    <w:rsid w:val="005762A8"/>
    <w:rsid w:val="00576BDB"/>
    <w:rsid w:val="00576E7E"/>
    <w:rsid w:val="00582673"/>
    <w:rsid w:val="00583DA4"/>
    <w:rsid w:val="005848AE"/>
    <w:rsid w:val="00585244"/>
    <w:rsid w:val="00585ED0"/>
    <w:rsid w:val="00586560"/>
    <w:rsid w:val="00590116"/>
    <w:rsid w:val="00590925"/>
    <w:rsid w:val="0059096B"/>
    <w:rsid w:val="0059530C"/>
    <w:rsid w:val="005956FA"/>
    <w:rsid w:val="00595ABD"/>
    <w:rsid w:val="00597108"/>
    <w:rsid w:val="005975C8"/>
    <w:rsid w:val="00597A64"/>
    <w:rsid w:val="00597C3E"/>
    <w:rsid w:val="00597F3D"/>
    <w:rsid w:val="005A02B5"/>
    <w:rsid w:val="005A0946"/>
    <w:rsid w:val="005A0FE5"/>
    <w:rsid w:val="005A274A"/>
    <w:rsid w:val="005A2C5D"/>
    <w:rsid w:val="005A56A7"/>
    <w:rsid w:val="005A7EBC"/>
    <w:rsid w:val="005B2EC5"/>
    <w:rsid w:val="005B3963"/>
    <w:rsid w:val="005B3D98"/>
    <w:rsid w:val="005B463B"/>
    <w:rsid w:val="005B5730"/>
    <w:rsid w:val="005B5C2B"/>
    <w:rsid w:val="005B6F25"/>
    <w:rsid w:val="005C18F0"/>
    <w:rsid w:val="005C28B3"/>
    <w:rsid w:val="005C35CD"/>
    <w:rsid w:val="005C5488"/>
    <w:rsid w:val="005C5628"/>
    <w:rsid w:val="005C5830"/>
    <w:rsid w:val="005C65FE"/>
    <w:rsid w:val="005D04A5"/>
    <w:rsid w:val="005D05C2"/>
    <w:rsid w:val="005D0824"/>
    <w:rsid w:val="005D3B92"/>
    <w:rsid w:val="005D43AF"/>
    <w:rsid w:val="005D514B"/>
    <w:rsid w:val="005D5ED9"/>
    <w:rsid w:val="005D7418"/>
    <w:rsid w:val="005D75D7"/>
    <w:rsid w:val="005E0649"/>
    <w:rsid w:val="005E120E"/>
    <w:rsid w:val="005E32DA"/>
    <w:rsid w:val="005E41D5"/>
    <w:rsid w:val="005E473B"/>
    <w:rsid w:val="005E6105"/>
    <w:rsid w:val="005E6903"/>
    <w:rsid w:val="005E6C49"/>
    <w:rsid w:val="005E7262"/>
    <w:rsid w:val="005F0305"/>
    <w:rsid w:val="005F0CDE"/>
    <w:rsid w:val="005F1107"/>
    <w:rsid w:val="005F2505"/>
    <w:rsid w:val="005F7391"/>
    <w:rsid w:val="005F73B9"/>
    <w:rsid w:val="005F7440"/>
    <w:rsid w:val="00600DBB"/>
    <w:rsid w:val="00600F05"/>
    <w:rsid w:val="0060124F"/>
    <w:rsid w:val="00601401"/>
    <w:rsid w:val="00601936"/>
    <w:rsid w:val="006029EE"/>
    <w:rsid w:val="00603C35"/>
    <w:rsid w:val="00604D26"/>
    <w:rsid w:val="00606238"/>
    <w:rsid w:val="0060680C"/>
    <w:rsid w:val="00612CAD"/>
    <w:rsid w:val="00615A5F"/>
    <w:rsid w:val="00617676"/>
    <w:rsid w:val="0062071C"/>
    <w:rsid w:val="00620A30"/>
    <w:rsid w:val="00621800"/>
    <w:rsid w:val="006232A7"/>
    <w:rsid w:val="00623F4B"/>
    <w:rsid w:val="00625AC6"/>
    <w:rsid w:val="00625E3F"/>
    <w:rsid w:val="006269D3"/>
    <w:rsid w:val="00626A5E"/>
    <w:rsid w:val="006278C7"/>
    <w:rsid w:val="0063066E"/>
    <w:rsid w:val="00630796"/>
    <w:rsid w:val="0063174C"/>
    <w:rsid w:val="0063262A"/>
    <w:rsid w:val="00633475"/>
    <w:rsid w:val="006345D4"/>
    <w:rsid w:val="006353B8"/>
    <w:rsid w:val="0063586A"/>
    <w:rsid w:val="00635F97"/>
    <w:rsid w:val="00637A45"/>
    <w:rsid w:val="00640A14"/>
    <w:rsid w:val="00640FA0"/>
    <w:rsid w:val="00641E0E"/>
    <w:rsid w:val="00642D42"/>
    <w:rsid w:val="006433A7"/>
    <w:rsid w:val="00645437"/>
    <w:rsid w:val="00645C6B"/>
    <w:rsid w:val="00650058"/>
    <w:rsid w:val="00651E5B"/>
    <w:rsid w:val="0065425B"/>
    <w:rsid w:val="00654F58"/>
    <w:rsid w:val="00655203"/>
    <w:rsid w:val="00657A8F"/>
    <w:rsid w:val="0066232D"/>
    <w:rsid w:val="00666682"/>
    <w:rsid w:val="00666773"/>
    <w:rsid w:val="00666775"/>
    <w:rsid w:val="00666BE7"/>
    <w:rsid w:val="00667E57"/>
    <w:rsid w:val="0067032C"/>
    <w:rsid w:val="00671158"/>
    <w:rsid w:val="006723E6"/>
    <w:rsid w:val="00673021"/>
    <w:rsid w:val="006740B2"/>
    <w:rsid w:val="00675A76"/>
    <w:rsid w:val="00676273"/>
    <w:rsid w:val="00676AB8"/>
    <w:rsid w:val="006778DD"/>
    <w:rsid w:val="00680B77"/>
    <w:rsid w:val="006849A8"/>
    <w:rsid w:val="00685FD6"/>
    <w:rsid w:val="00686EF4"/>
    <w:rsid w:val="0069070E"/>
    <w:rsid w:val="0069387E"/>
    <w:rsid w:val="00693FC9"/>
    <w:rsid w:val="006950B0"/>
    <w:rsid w:val="00695729"/>
    <w:rsid w:val="006961A9"/>
    <w:rsid w:val="00696493"/>
    <w:rsid w:val="006A0D5E"/>
    <w:rsid w:val="006A2B5D"/>
    <w:rsid w:val="006A4A72"/>
    <w:rsid w:val="006A596E"/>
    <w:rsid w:val="006A6195"/>
    <w:rsid w:val="006A65EC"/>
    <w:rsid w:val="006A6AFB"/>
    <w:rsid w:val="006B11EB"/>
    <w:rsid w:val="006B1CA9"/>
    <w:rsid w:val="006B7F2E"/>
    <w:rsid w:val="006C1784"/>
    <w:rsid w:val="006C18EA"/>
    <w:rsid w:val="006C2787"/>
    <w:rsid w:val="006C3386"/>
    <w:rsid w:val="006C588E"/>
    <w:rsid w:val="006C5CB7"/>
    <w:rsid w:val="006C5DFC"/>
    <w:rsid w:val="006C78AA"/>
    <w:rsid w:val="006C7FDA"/>
    <w:rsid w:val="006D0673"/>
    <w:rsid w:val="006D0980"/>
    <w:rsid w:val="006D170D"/>
    <w:rsid w:val="006D1A04"/>
    <w:rsid w:val="006D2366"/>
    <w:rsid w:val="006D3B1F"/>
    <w:rsid w:val="006D51E6"/>
    <w:rsid w:val="006D5688"/>
    <w:rsid w:val="006D613A"/>
    <w:rsid w:val="006D6BE7"/>
    <w:rsid w:val="006D7E63"/>
    <w:rsid w:val="006E0DBF"/>
    <w:rsid w:val="006E137F"/>
    <w:rsid w:val="006E2693"/>
    <w:rsid w:val="006E2FF2"/>
    <w:rsid w:val="006E462F"/>
    <w:rsid w:val="006E725A"/>
    <w:rsid w:val="006E7319"/>
    <w:rsid w:val="006E7B4D"/>
    <w:rsid w:val="006E7DDF"/>
    <w:rsid w:val="006F1685"/>
    <w:rsid w:val="006F5047"/>
    <w:rsid w:val="006F535D"/>
    <w:rsid w:val="006F6531"/>
    <w:rsid w:val="007013C6"/>
    <w:rsid w:val="00702647"/>
    <w:rsid w:val="00702865"/>
    <w:rsid w:val="00702F03"/>
    <w:rsid w:val="0070407E"/>
    <w:rsid w:val="00705801"/>
    <w:rsid w:val="00705905"/>
    <w:rsid w:val="00705C84"/>
    <w:rsid w:val="0070690C"/>
    <w:rsid w:val="00706E94"/>
    <w:rsid w:val="007112F9"/>
    <w:rsid w:val="00712B05"/>
    <w:rsid w:val="00713D68"/>
    <w:rsid w:val="00715526"/>
    <w:rsid w:val="00716B1A"/>
    <w:rsid w:val="00716C75"/>
    <w:rsid w:val="00720A02"/>
    <w:rsid w:val="00721369"/>
    <w:rsid w:val="007213DC"/>
    <w:rsid w:val="007229FA"/>
    <w:rsid w:val="0072399F"/>
    <w:rsid w:val="00723A05"/>
    <w:rsid w:val="00725978"/>
    <w:rsid w:val="00725BD4"/>
    <w:rsid w:val="00725F4F"/>
    <w:rsid w:val="00725FF8"/>
    <w:rsid w:val="00727892"/>
    <w:rsid w:val="0073097F"/>
    <w:rsid w:val="00730E2F"/>
    <w:rsid w:val="00732CC1"/>
    <w:rsid w:val="00733A39"/>
    <w:rsid w:val="007361B3"/>
    <w:rsid w:val="00741DDC"/>
    <w:rsid w:val="007436E9"/>
    <w:rsid w:val="007439DF"/>
    <w:rsid w:val="007448CF"/>
    <w:rsid w:val="00744E6E"/>
    <w:rsid w:val="00751BA1"/>
    <w:rsid w:val="00752E8A"/>
    <w:rsid w:val="00752EDB"/>
    <w:rsid w:val="00754359"/>
    <w:rsid w:val="007552C4"/>
    <w:rsid w:val="00756A54"/>
    <w:rsid w:val="00756AD4"/>
    <w:rsid w:val="007577A3"/>
    <w:rsid w:val="00761BFE"/>
    <w:rsid w:val="00761ECA"/>
    <w:rsid w:val="00763496"/>
    <w:rsid w:val="007636C8"/>
    <w:rsid w:val="00765500"/>
    <w:rsid w:val="00765744"/>
    <w:rsid w:val="0077108E"/>
    <w:rsid w:val="00771102"/>
    <w:rsid w:val="00771D47"/>
    <w:rsid w:val="007720E3"/>
    <w:rsid w:val="00773639"/>
    <w:rsid w:val="00774BEC"/>
    <w:rsid w:val="007764E4"/>
    <w:rsid w:val="007766EB"/>
    <w:rsid w:val="007804D2"/>
    <w:rsid w:val="00781272"/>
    <w:rsid w:val="00782A16"/>
    <w:rsid w:val="00782EEC"/>
    <w:rsid w:val="00783093"/>
    <w:rsid w:val="00785374"/>
    <w:rsid w:val="00786B7E"/>
    <w:rsid w:val="007872A7"/>
    <w:rsid w:val="0079256D"/>
    <w:rsid w:val="007951C8"/>
    <w:rsid w:val="007955CF"/>
    <w:rsid w:val="00795EAC"/>
    <w:rsid w:val="00796891"/>
    <w:rsid w:val="00796BF7"/>
    <w:rsid w:val="00796CA5"/>
    <w:rsid w:val="007974F8"/>
    <w:rsid w:val="007A1EB1"/>
    <w:rsid w:val="007A379C"/>
    <w:rsid w:val="007A497E"/>
    <w:rsid w:val="007A4ED7"/>
    <w:rsid w:val="007A7B52"/>
    <w:rsid w:val="007B1B05"/>
    <w:rsid w:val="007B1CDF"/>
    <w:rsid w:val="007B2DAD"/>
    <w:rsid w:val="007B3F2D"/>
    <w:rsid w:val="007B52EA"/>
    <w:rsid w:val="007B5314"/>
    <w:rsid w:val="007B5400"/>
    <w:rsid w:val="007B60EC"/>
    <w:rsid w:val="007B63A0"/>
    <w:rsid w:val="007C264F"/>
    <w:rsid w:val="007C2B7F"/>
    <w:rsid w:val="007C40DC"/>
    <w:rsid w:val="007C492C"/>
    <w:rsid w:val="007C539A"/>
    <w:rsid w:val="007C57FE"/>
    <w:rsid w:val="007C65C0"/>
    <w:rsid w:val="007C6F60"/>
    <w:rsid w:val="007D072E"/>
    <w:rsid w:val="007D10F3"/>
    <w:rsid w:val="007D16BD"/>
    <w:rsid w:val="007D2276"/>
    <w:rsid w:val="007D29D0"/>
    <w:rsid w:val="007D2ECE"/>
    <w:rsid w:val="007D62EC"/>
    <w:rsid w:val="007D6D70"/>
    <w:rsid w:val="007D7E71"/>
    <w:rsid w:val="007E0DE0"/>
    <w:rsid w:val="007E1B57"/>
    <w:rsid w:val="007E2465"/>
    <w:rsid w:val="007E2A31"/>
    <w:rsid w:val="007E2BA2"/>
    <w:rsid w:val="007E3986"/>
    <w:rsid w:val="007E4B44"/>
    <w:rsid w:val="007E4D4D"/>
    <w:rsid w:val="007E6839"/>
    <w:rsid w:val="007E6EE8"/>
    <w:rsid w:val="007E74D7"/>
    <w:rsid w:val="007F25C5"/>
    <w:rsid w:val="007F3275"/>
    <w:rsid w:val="007F4D85"/>
    <w:rsid w:val="007F63DA"/>
    <w:rsid w:val="00801AA7"/>
    <w:rsid w:val="00802A1C"/>
    <w:rsid w:val="00803878"/>
    <w:rsid w:val="00803D7D"/>
    <w:rsid w:val="00805F12"/>
    <w:rsid w:val="00807442"/>
    <w:rsid w:val="00810CFD"/>
    <w:rsid w:val="00811C98"/>
    <w:rsid w:val="00811CB6"/>
    <w:rsid w:val="00814D54"/>
    <w:rsid w:val="008156D0"/>
    <w:rsid w:val="00817223"/>
    <w:rsid w:val="00820F0E"/>
    <w:rsid w:val="00822728"/>
    <w:rsid w:val="00822A59"/>
    <w:rsid w:val="00822A6D"/>
    <w:rsid w:val="00822E7A"/>
    <w:rsid w:val="0082307A"/>
    <w:rsid w:val="00823139"/>
    <w:rsid w:val="00823600"/>
    <w:rsid w:val="00825698"/>
    <w:rsid w:val="00826413"/>
    <w:rsid w:val="008273D8"/>
    <w:rsid w:val="0082759F"/>
    <w:rsid w:val="00827F2E"/>
    <w:rsid w:val="00830B9D"/>
    <w:rsid w:val="00830C7F"/>
    <w:rsid w:val="00833371"/>
    <w:rsid w:val="00833CBF"/>
    <w:rsid w:val="00835ADF"/>
    <w:rsid w:val="00836590"/>
    <w:rsid w:val="00840207"/>
    <w:rsid w:val="008416A8"/>
    <w:rsid w:val="00843937"/>
    <w:rsid w:val="008440DA"/>
    <w:rsid w:val="008467CE"/>
    <w:rsid w:val="008479AB"/>
    <w:rsid w:val="008508DC"/>
    <w:rsid w:val="008517C3"/>
    <w:rsid w:val="0085289D"/>
    <w:rsid w:val="00853239"/>
    <w:rsid w:val="008553D9"/>
    <w:rsid w:val="008602CC"/>
    <w:rsid w:val="00862577"/>
    <w:rsid w:val="0086392D"/>
    <w:rsid w:val="008648CA"/>
    <w:rsid w:val="00865489"/>
    <w:rsid w:val="00866921"/>
    <w:rsid w:val="008675D4"/>
    <w:rsid w:val="00870A03"/>
    <w:rsid w:val="00872435"/>
    <w:rsid w:val="0087347C"/>
    <w:rsid w:val="008743E1"/>
    <w:rsid w:val="00875077"/>
    <w:rsid w:val="00875364"/>
    <w:rsid w:val="0087556F"/>
    <w:rsid w:val="00876566"/>
    <w:rsid w:val="008821C6"/>
    <w:rsid w:val="00883DE2"/>
    <w:rsid w:val="008846B0"/>
    <w:rsid w:val="008854D8"/>
    <w:rsid w:val="00885BB8"/>
    <w:rsid w:val="00885D9C"/>
    <w:rsid w:val="00890990"/>
    <w:rsid w:val="008909AF"/>
    <w:rsid w:val="00891ABB"/>
    <w:rsid w:val="0089235D"/>
    <w:rsid w:val="00894A1E"/>
    <w:rsid w:val="008952C0"/>
    <w:rsid w:val="00895BC5"/>
    <w:rsid w:val="008976C3"/>
    <w:rsid w:val="00897B8B"/>
    <w:rsid w:val="008A0C52"/>
    <w:rsid w:val="008A0C63"/>
    <w:rsid w:val="008A19D9"/>
    <w:rsid w:val="008A3816"/>
    <w:rsid w:val="008A4AD6"/>
    <w:rsid w:val="008A4DBA"/>
    <w:rsid w:val="008A6688"/>
    <w:rsid w:val="008A67DC"/>
    <w:rsid w:val="008A6B5C"/>
    <w:rsid w:val="008B1BA9"/>
    <w:rsid w:val="008B271E"/>
    <w:rsid w:val="008B3543"/>
    <w:rsid w:val="008B4207"/>
    <w:rsid w:val="008B594F"/>
    <w:rsid w:val="008B621B"/>
    <w:rsid w:val="008B6E34"/>
    <w:rsid w:val="008B754D"/>
    <w:rsid w:val="008B7719"/>
    <w:rsid w:val="008C02E5"/>
    <w:rsid w:val="008C0FA0"/>
    <w:rsid w:val="008C1CAF"/>
    <w:rsid w:val="008C1F9D"/>
    <w:rsid w:val="008C497E"/>
    <w:rsid w:val="008C4E04"/>
    <w:rsid w:val="008C5D60"/>
    <w:rsid w:val="008C6BE8"/>
    <w:rsid w:val="008D0E09"/>
    <w:rsid w:val="008D1E40"/>
    <w:rsid w:val="008D2078"/>
    <w:rsid w:val="008D235F"/>
    <w:rsid w:val="008D2ED2"/>
    <w:rsid w:val="008D47B1"/>
    <w:rsid w:val="008D610D"/>
    <w:rsid w:val="008D6A07"/>
    <w:rsid w:val="008D6F50"/>
    <w:rsid w:val="008D7DE4"/>
    <w:rsid w:val="008E0738"/>
    <w:rsid w:val="008E2F1C"/>
    <w:rsid w:val="008E3721"/>
    <w:rsid w:val="008E3F36"/>
    <w:rsid w:val="008E6500"/>
    <w:rsid w:val="008E72E4"/>
    <w:rsid w:val="008F4584"/>
    <w:rsid w:val="008F5CBE"/>
    <w:rsid w:val="008F72D8"/>
    <w:rsid w:val="008F7C93"/>
    <w:rsid w:val="0090246E"/>
    <w:rsid w:val="0090351D"/>
    <w:rsid w:val="00904AE2"/>
    <w:rsid w:val="00907984"/>
    <w:rsid w:val="009101ED"/>
    <w:rsid w:val="00912ACD"/>
    <w:rsid w:val="00913A2A"/>
    <w:rsid w:val="009165F3"/>
    <w:rsid w:val="00917804"/>
    <w:rsid w:val="00921483"/>
    <w:rsid w:val="00922803"/>
    <w:rsid w:val="00922B1C"/>
    <w:rsid w:val="009235AE"/>
    <w:rsid w:val="009255D1"/>
    <w:rsid w:val="00925D24"/>
    <w:rsid w:val="00926C09"/>
    <w:rsid w:val="00930138"/>
    <w:rsid w:val="00933456"/>
    <w:rsid w:val="0093390B"/>
    <w:rsid w:val="00936188"/>
    <w:rsid w:val="0093707D"/>
    <w:rsid w:val="009410D4"/>
    <w:rsid w:val="0094156F"/>
    <w:rsid w:val="009443AB"/>
    <w:rsid w:val="00944601"/>
    <w:rsid w:val="00945330"/>
    <w:rsid w:val="00947899"/>
    <w:rsid w:val="0095036F"/>
    <w:rsid w:val="0095104A"/>
    <w:rsid w:val="00953960"/>
    <w:rsid w:val="00955B48"/>
    <w:rsid w:val="009565E5"/>
    <w:rsid w:val="009567F0"/>
    <w:rsid w:val="00956CD4"/>
    <w:rsid w:val="00957B96"/>
    <w:rsid w:val="0096162C"/>
    <w:rsid w:val="00961C9C"/>
    <w:rsid w:val="00962658"/>
    <w:rsid w:val="00962DD8"/>
    <w:rsid w:val="009673E0"/>
    <w:rsid w:val="009675A6"/>
    <w:rsid w:val="009701C6"/>
    <w:rsid w:val="0097070F"/>
    <w:rsid w:val="00973E6F"/>
    <w:rsid w:val="0097419F"/>
    <w:rsid w:val="009752E8"/>
    <w:rsid w:val="009762C7"/>
    <w:rsid w:val="00980523"/>
    <w:rsid w:val="00980B4F"/>
    <w:rsid w:val="009830CF"/>
    <w:rsid w:val="00983A54"/>
    <w:rsid w:val="00986319"/>
    <w:rsid w:val="00986A77"/>
    <w:rsid w:val="00991822"/>
    <w:rsid w:val="00992976"/>
    <w:rsid w:val="00996A1C"/>
    <w:rsid w:val="00996C12"/>
    <w:rsid w:val="00997940"/>
    <w:rsid w:val="00997E99"/>
    <w:rsid w:val="009A3A2A"/>
    <w:rsid w:val="009A4CBC"/>
    <w:rsid w:val="009B1015"/>
    <w:rsid w:val="009B2378"/>
    <w:rsid w:val="009B3C45"/>
    <w:rsid w:val="009B7CC2"/>
    <w:rsid w:val="009B7DA3"/>
    <w:rsid w:val="009C12D5"/>
    <w:rsid w:val="009C2425"/>
    <w:rsid w:val="009C2D3F"/>
    <w:rsid w:val="009C2F5C"/>
    <w:rsid w:val="009C4709"/>
    <w:rsid w:val="009C660F"/>
    <w:rsid w:val="009C67F9"/>
    <w:rsid w:val="009D2DFB"/>
    <w:rsid w:val="009D4C56"/>
    <w:rsid w:val="009D6864"/>
    <w:rsid w:val="009D7995"/>
    <w:rsid w:val="009E029B"/>
    <w:rsid w:val="009E3213"/>
    <w:rsid w:val="009E401D"/>
    <w:rsid w:val="009E48DD"/>
    <w:rsid w:val="009E69B5"/>
    <w:rsid w:val="009E70CF"/>
    <w:rsid w:val="009E7514"/>
    <w:rsid w:val="009E7F99"/>
    <w:rsid w:val="009F0A5B"/>
    <w:rsid w:val="009F1018"/>
    <w:rsid w:val="009F69FD"/>
    <w:rsid w:val="009F6FF3"/>
    <w:rsid w:val="009F771D"/>
    <w:rsid w:val="009F7C78"/>
    <w:rsid w:val="00A001F0"/>
    <w:rsid w:val="00A00648"/>
    <w:rsid w:val="00A02395"/>
    <w:rsid w:val="00A0248C"/>
    <w:rsid w:val="00A02FFA"/>
    <w:rsid w:val="00A0353F"/>
    <w:rsid w:val="00A10E41"/>
    <w:rsid w:val="00A11ED9"/>
    <w:rsid w:val="00A122BD"/>
    <w:rsid w:val="00A136F6"/>
    <w:rsid w:val="00A13FAC"/>
    <w:rsid w:val="00A14B90"/>
    <w:rsid w:val="00A16717"/>
    <w:rsid w:val="00A16A74"/>
    <w:rsid w:val="00A17650"/>
    <w:rsid w:val="00A21538"/>
    <w:rsid w:val="00A22194"/>
    <w:rsid w:val="00A22B59"/>
    <w:rsid w:val="00A23C5A"/>
    <w:rsid w:val="00A24A16"/>
    <w:rsid w:val="00A24D1B"/>
    <w:rsid w:val="00A267CD"/>
    <w:rsid w:val="00A27821"/>
    <w:rsid w:val="00A27BF0"/>
    <w:rsid w:val="00A3117A"/>
    <w:rsid w:val="00A3159E"/>
    <w:rsid w:val="00A31765"/>
    <w:rsid w:val="00A31845"/>
    <w:rsid w:val="00A328BA"/>
    <w:rsid w:val="00A34559"/>
    <w:rsid w:val="00A34AD0"/>
    <w:rsid w:val="00A34C03"/>
    <w:rsid w:val="00A40C70"/>
    <w:rsid w:val="00A43A45"/>
    <w:rsid w:val="00A4641F"/>
    <w:rsid w:val="00A46C7B"/>
    <w:rsid w:val="00A46D34"/>
    <w:rsid w:val="00A46F53"/>
    <w:rsid w:val="00A47FAD"/>
    <w:rsid w:val="00A50492"/>
    <w:rsid w:val="00A527CE"/>
    <w:rsid w:val="00A52B2C"/>
    <w:rsid w:val="00A547D8"/>
    <w:rsid w:val="00A54A65"/>
    <w:rsid w:val="00A54BB9"/>
    <w:rsid w:val="00A55F04"/>
    <w:rsid w:val="00A564DC"/>
    <w:rsid w:val="00A569F3"/>
    <w:rsid w:val="00A57681"/>
    <w:rsid w:val="00A60237"/>
    <w:rsid w:val="00A6150C"/>
    <w:rsid w:val="00A621A1"/>
    <w:rsid w:val="00A62FC7"/>
    <w:rsid w:val="00A63E8D"/>
    <w:rsid w:val="00A64CF2"/>
    <w:rsid w:val="00A678BC"/>
    <w:rsid w:val="00A67ABC"/>
    <w:rsid w:val="00A67FEA"/>
    <w:rsid w:val="00A721EF"/>
    <w:rsid w:val="00A73710"/>
    <w:rsid w:val="00A73A3A"/>
    <w:rsid w:val="00A75393"/>
    <w:rsid w:val="00A75F21"/>
    <w:rsid w:val="00A769AC"/>
    <w:rsid w:val="00A76CF1"/>
    <w:rsid w:val="00A77195"/>
    <w:rsid w:val="00A777D2"/>
    <w:rsid w:val="00A805F9"/>
    <w:rsid w:val="00A80BEC"/>
    <w:rsid w:val="00A83247"/>
    <w:rsid w:val="00A8532C"/>
    <w:rsid w:val="00A85D4F"/>
    <w:rsid w:val="00A86A6B"/>
    <w:rsid w:val="00A86F17"/>
    <w:rsid w:val="00A90986"/>
    <w:rsid w:val="00A925EB"/>
    <w:rsid w:val="00A94471"/>
    <w:rsid w:val="00A94707"/>
    <w:rsid w:val="00A953A3"/>
    <w:rsid w:val="00A95BA2"/>
    <w:rsid w:val="00A966FF"/>
    <w:rsid w:val="00A97AB8"/>
    <w:rsid w:val="00AA0853"/>
    <w:rsid w:val="00AA2BE3"/>
    <w:rsid w:val="00AA4800"/>
    <w:rsid w:val="00AA4B61"/>
    <w:rsid w:val="00AA51EE"/>
    <w:rsid w:val="00AB005B"/>
    <w:rsid w:val="00AB0467"/>
    <w:rsid w:val="00AB11A1"/>
    <w:rsid w:val="00AB3FD4"/>
    <w:rsid w:val="00AB54E8"/>
    <w:rsid w:val="00AB5675"/>
    <w:rsid w:val="00AB7392"/>
    <w:rsid w:val="00AC01C7"/>
    <w:rsid w:val="00AC2306"/>
    <w:rsid w:val="00AC29C3"/>
    <w:rsid w:val="00AC66FC"/>
    <w:rsid w:val="00AC6F9B"/>
    <w:rsid w:val="00AD2412"/>
    <w:rsid w:val="00AD2501"/>
    <w:rsid w:val="00AE10D5"/>
    <w:rsid w:val="00AE1DC5"/>
    <w:rsid w:val="00AE2F25"/>
    <w:rsid w:val="00AE4A49"/>
    <w:rsid w:val="00AE6D14"/>
    <w:rsid w:val="00AF4047"/>
    <w:rsid w:val="00AF5905"/>
    <w:rsid w:val="00AF6CD0"/>
    <w:rsid w:val="00AF6CD2"/>
    <w:rsid w:val="00AF6F3F"/>
    <w:rsid w:val="00AF7589"/>
    <w:rsid w:val="00AF7AB0"/>
    <w:rsid w:val="00B0095E"/>
    <w:rsid w:val="00B01EA5"/>
    <w:rsid w:val="00B05E28"/>
    <w:rsid w:val="00B06BFE"/>
    <w:rsid w:val="00B06E29"/>
    <w:rsid w:val="00B07864"/>
    <w:rsid w:val="00B07D8C"/>
    <w:rsid w:val="00B13069"/>
    <w:rsid w:val="00B133EF"/>
    <w:rsid w:val="00B14600"/>
    <w:rsid w:val="00B15097"/>
    <w:rsid w:val="00B17440"/>
    <w:rsid w:val="00B2014E"/>
    <w:rsid w:val="00B20251"/>
    <w:rsid w:val="00B20BF2"/>
    <w:rsid w:val="00B20EDB"/>
    <w:rsid w:val="00B216D9"/>
    <w:rsid w:val="00B21C9A"/>
    <w:rsid w:val="00B231F5"/>
    <w:rsid w:val="00B23E0B"/>
    <w:rsid w:val="00B2713A"/>
    <w:rsid w:val="00B31BDD"/>
    <w:rsid w:val="00B32A84"/>
    <w:rsid w:val="00B32BC8"/>
    <w:rsid w:val="00B333D1"/>
    <w:rsid w:val="00B35879"/>
    <w:rsid w:val="00B419CE"/>
    <w:rsid w:val="00B425E9"/>
    <w:rsid w:val="00B4289B"/>
    <w:rsid w:val="00B45C4D"/>
    <w:rsid w:val="00B46DB8"/>
    <w:rsid w:val="00B50372"/>
    <w:rsid w:val="00B5038A"/>
    <w:rsid w:val="00B5069A"/>
    <w:rsid w:val="00B50B81"/>
    <w:rsid w:val="00B52345"/>
    <w:rsid w:val="00B538F1"/>
    <w:rsid w:val="00B541FA"/>
    <w:rsid w:val="00B550C6"/>
    <w:rsid w:val="00B5628C"/>
    <w:rsid w:val="00B56751"/>
    <w:rsid w:val="00B60C9A"/>
    <w:rsid w:val="00B633E8"/>
    <w:rsid w:val="00B6402E"/>
    <w:rsid w:val="00B65BAE"/>
    <w:rsid w:val="00B663D8"/>
    <w:rsid w:val="00B717C7"/>
    <w:rsid w:val="00B72D68"/>
    <w:rsid w:val="00B74672"/>
    <w:rsid w:val="00B74AE7"/>
    <w:rsid w:val="00B77B2F"/>
    <w:rsid w:val="00B801D2"/>
    <w:rsid w:val="00B80592"/>
    <w:rsid w:val="00B80DB0"/>
    <w:rsid w:val="00B81430"/>
    <w:rsid w:val="00B815C3"/>
    <w:rsid w:val="00B81789"/>
    <w:rsid w:val="00B82277"/>
    <w:rsid w:val="00B825F1"/>
    <w:rsid w:val="00B840B1"/>
    <w:rsid w:val="00B847E8"/>
    <w:rsid w:val="00B857E1"/>
    <w:rsid w:val="00B85DA2"/>
    <w:rsid w:val="00B8699A"/>
    <w:rsid w:val="00B877B7"/>
    <w:rsid w:val="00B90832"/>
    <w:rsid w:val="00B929FE"/>
    <w:rsid w:val="00B92A45"/>
    <w:rsid w:val="00B93441"/>
    <w:rsid w:val="00B94F36"/>
    <w:rsid w:val="00B9630A"/>
    <w:rsid w:val="00B97D8A"/>
    <w:rsid w:val="00B97D9D"/>
    <w:rsid w:val="00BA0D55"/>
    <w:rsid w:val="00BA359F"/>
    <w:rsid w:val="00BA55DD"/>
    <w:rsid w:val="00BA5E57"/>
    <w:rsid w:val="00BA7563"/>
    <w:rsid w:val="00BA7B0B"/>
    <w:rsid w:val="00BB1BB1"/>
    <w:rsid w:val="00BB2DFD"/>
    <w:rsid w:val="00BB6E45"/>
    <w:rsid w:val="00BC0976"/>
    <w:rsid w:val="00BC1195"/>
    <w:rsid w:val="00BC332A"/>
    <w:rsid w:val="00BC4AD5"/>
    <w:rsid w:val="00BC58C2"/>
    <w:rsid w:val="00BC5F0A"/>
    <w:rsid w:val="00BC6FAC"/>
    <w:rsid w:val="00BC75BA"/>
    <w:rsid w:val="00BC7BE6"/>
    <w:rsid w:val="00BD0E74"/>
    <w:rsid w:val="00BD188D"/>
    <w:rsid w:val="00BD6224"/>
    <w:rsid w:val="00BD7CF0"/>
    <w:rsid w:val="00BE04B7"/>
    <w:rsid w:val="00BE099E"/>
    <w:rsid w:val="00BE30F1"/>
    <w:rsid w:val="00BF2B48"/>
    <w:rsid w:val="00BF2F50"/>
    <w:rsid w:val="00BF347E"/>
    <w:rsid w:val="00BF41FB"/>
    <w:rsid w:val="00BF42F0"/>
    <w:rsid w:val="00BF5A7F"/>
    <w:rsid w:val="00BF742B"/>
    <w:rsid w:val="00BF762D"/>
    <w:rsid w:val="00C01EA3"/>
    <w:rsid w:val="00C06682"/>
    <w:rsid w:val="00C07AB3"/>
    <w:rsid w:val="00C105E8"/>
    <w:rsid w:val="00C107FF"/>
    <w:rsid w:val="00C1202C"/>
    <w:rsid w:val="00C1272F"/>
    <w:rsid w:val="00C158C8"/>
    <w:rsid w:val="00C16D33"/>
    <w:rsid w:val="00C1715F"/>
    <w:rsid w:val="00C2008D"/>
    <w:rsid w:val="00C2113D"/>
    <w:rsid w:val="00C21D6C"/>
    <w:rsid w:val="00C229F5"/>
    <w:rsid w:val="00C22C66"/>
    <w:rsid w:val="00C24B2D"/>
    <w:rsid w:val="00C258DC"/>
    <w:rsid w:val="00C27F67"/>
    <w:rsid w:val="00C3071A"/>
    <w:rsid w:val="00C30D41"/>
    <w:rsid w:val="00C31580"/>
    <w:rsid w:val="00C32DC6"/>
    <w:rsid w:val="00C344B9"/>
    <w:rsid w:val="00C34F7F"/>
    <w:rsid w:val="00C35D9E"/>
    <w:rsid w:val="00C35FEA"/>
    <w:rsid w:val="00C36F71"/>
    <w:rsid w:val="00C40D17"/>
    <w:rsid w:val="00C40EDE"/>
    <w:rsid w:val="00C41B23"/>
    <w:rsid w:val="00C4492A"/>
    <w:rsid w:val="00C45644"/>
    <w:rsid w:val="00C46299"/>
    <w:rsid w:val="00C464ED"/>
    <w:rsid w:val="00C4770F"/>
    <w:rsid w:val="00C5094F"/>
    <w:rsid w:val="00C5292C"/>
    <w:rsid w:val="00C54266"/>
    <w:rsid w:val="00C558FD"/>
    <w:rsid w:val="00C56733"/>
    <w:rsid w:val="00C601EB"/>
    <w:rsid w:val="00C62011"/>
    <w:rsid w:val="00C62D8D"/>
    <w:rsid w:val="00C6389E"/>
    <w:rsid w:val="00C63D6F"/>
    <w:rsid w:val="00C70426"/>
    <w:rsid w:val="00C71972"/>
    <w:rsid w:val="00C742FE"/>
    <w:rsid w:val="00C744C4"/>
    <w:rsid w:val="00C74588"/>
    <w:rsid w:val="00C74D32"/>
    <w:rsid w:val="00C752AB"/>
    <w:rsid w:val="00C75608"/>
    <w:rsid w:val="00C7563C"/>
    <w:rsid w:val="00C768E4"/>
    <w:rsid w:val="00C82687"/>
    <w:rsid w:val="00C83383"/>
    <w:rsid w:val="00C851F9"/>
    <w:rsid w:val="00C867AB"/>
    <w:rsid w:val="00C90012"/>
    <w:rsid w:val="00C90414"/>
    <w:rsid w:val="00C91D2A"/>
    <w:rsid w:val="00C92D92"/>
    <w:rsid w:val="00C92F69"/>
    <w:rsid w:val="00C9554A"/>
    <w:rsid w:val="00C9598A"/>
    <w:rsid w:val="00C97C87"/>
    <w:rsid w:val="00CA1354"/>
    <w:rsid w:val="00CA1517"/>
    <w:rsid w:val="00CA5351"/>
    <w:rsid w:val="00CA685E"/>
    <w:rsid w:val="00CA7E18"/>
    <w:rsid w:val="00CB0A66"/>
    <w:rsid w:val="00CB1895"/>
    <w:rsid w:val="00CB45FB"/>
    <w:rsid w:val="00CB4873"/>
    <w:rsid w:val="00CC1BB8"/>
    <w:rsid w:val="00CC1BD7"/>
    <w:rsid w:val="00CC1F56"/>
    <w:rsid w:val="00CC2FF9"/>
    <w:rsid w:val="00CC3D2C"/>
    <w:rsid w:val="00CC6488"/>
    <w:rsid w:val="00CC727C"/>
    <w:rsid w:val="00CD11AA"/>
    <w:rsid w:val="00CD1E89"/>
    <w:rsid w:val="00CD1FEF"/>
    <w:rsid w:val="00CD2F7E"/>
    <w:rsid w:val="00CD3A13"/>
    <w:rsid w:val="00CD50EE"/>
    <w:rsid w:val="00CD5844"/>
    <w:rsid w:val="00CD5B9E"/>
    <w:rsid w:val="00CE0BEF"/>
    <w:rsid w:val="00CE0DE1"/>
    <w:rsid w:val="00CE2492"/>
    <w:rsid w:val="00CE3305"/>
    <w:rsid w:val="00CE3792"/>
    <w:rsid w:val="00CE4021"/>
    <w:rsid w:val="00CE52F9"/>
    <w:rsid w:val="00CE6109"/>
    <w:rsid w:val="00CE661D"/>
    <w:rsid w:val="00CE716D"/>
    <w:rsid w:val="00CF020F"/>
    <w:rsid w:val="00CF0550"/>
    <w:rsid w:val="00CF1586"/>
    <w:rsid w:val="00CF1650"/>
    <w:rsid w:val="00CF285F"/>
    <w:rsid w:val="00CF316B"/>
    <w:rsid w:val="00CF440E"/>
    <w:rsid w:val="00CF66C8"/>
    <w:rsid w:val="00CF6C13"/>
    <w:rsid w:val="00CF6CCD"/>
    <w:rsid w:val="00CF6D4B"/>
    <w:rsid w:val="00CF7D1A"/>
    <w:rsid w:val="00D012F1"/>
    <w:rsid w:val="00D03916"/>
    <w:rsid w:val="00D039D8"/>
    <w:rsid w:val="00D1161C"/>
    <w:rsid w:val="00D13BD3"/>
    <w:rsid w:val="00D153A1"/>
    <w:rsid w:val="00D16835"/>
    <w:rsid w:val="00D17FAC"/>
    <w:rsid w:val="00D2101D"/>
    <w:rsid w:val="00D21663"/>
    <w:rsid w:val="00D25A79"/>
    <w:rsid w:val="00D27FAB"/>
    <w:rsid w:val="00D303FD"/>
    <w:rsid w:val="00D318D5"/>
    <w:rsid w:val="00D324C7"/>
    <w:rsid w:val="00D32572"/>
    <w:rsid w:val="00D3270B"/>
    <w:rsid w:val="00D32BFF"/>
    <w:rsid w:val="00D33857"/>
    <w:rsid w:val="00D3492F"/>
    <w:rsid w:val="00D35841"/>
    <w:rsid w:val="00D374FC"/>
    <w:rsid w:val="00D37955"/>
    <w:rsid w:val="00D40739"/>
    <w:rsid w:val="00D40FCA"/>
    <w:rsid w:val="00D44CFB"/>
    <w:rsid w:val="00D45BA9"/>
    <w:rsid w:val="00D47E84"/>
    <w:rsid w:val="00D50109"/>
    <w:rsid w:val="00D5083A"/>
    <w:rsid w:val="00D51B71"/>
    <w:rsid w:val="00D51BFE"/>
    <w:rsid w:val="00D527CE"/>
    <w:rsid w:val="00D54806"/>
    <w:rsid w:val="00D56A0D"/>
    <w:rsid w:val="00D572E9"/>
    <w:rsid w:val="00D578EE"/>
    <w:rsid w:val="00D608C1"/>
    <w:rsid w:val="00D620E5"/>
    <w:rsid w:val="00D62712"/>
    <w:rsid w:val="00D63690"/>
    <w:rsid w:val="00D643C2"/>
    <w:rsid w:val="00D6442D"/>
    <w:rsid w:val="00D64AEE"/>
    <w:rsid w:val="00D72763"/>
    <w:rsid w:val="00D7435A"/>
    <w:rsid w:val="00D75E01"/>
    <w:rsid w:val="00D8041C"/>
    <w:rsid w:val="00D82668"/>
    <w:rsid w:val="00D8411D"/>
    <w:rsid w:val="00D84322"/>
    <w:rsid w:val="00D85DD2"/>
    <w:rsid w:val="00D861C9"/>
    <w:rsid w:val="00D86E2B"/>
    <w:rsid w:val="00D87151"/>
    <w:rsid w:val="00D87A23"/>
    <w:rsid w:val="00D87AF2"/>
    <w:rsid w:val="00D9218A"/>
    <w:rsid w:val="00D92AE0"/>
    <w:rsid w:val="00D978CF"/>
    <w:rsid w:val="00D97C35"/>
    <w:rsid w:val="00DA16EC"/>
    <w:rsid w:val="00DA2083"/>
    <w:rsid w:val="00DA28B4"/>
    <w:rsid w:val="00DA2E2F"/>
    <w:rsid w:val="00DA5E69"/>
    <w:rsid w:val="00DA71AF"/>
    <w:rsid w:val="00DB04B1"/>
    <w:rsid w:val="00DB0624"/>
    <w:rsid w:val="00DB3166"/>
    <w:rsid w:val="00DB336E"/>
    <w:rsid w:val="00DB3593"/>
    <w:rsid w:val="00DB35F8"/>
    <w:rsid w:val="00DB4EC4"/>
    <w:rsid w:val="00DB7A22"/>
    <w:rsid w:val="00DB7C9F"/>
    <w:rsid w:val="00DC3B56"/>
    <w:rsid w:val="00DC3BBE"/>
    <w:rsid w:val="00DC5A95"/>
    <w:rsid w:val="00DC5F83"/>
    <w:rsid w:val="00DC6091"/>
    <w:rsid w:val="00DC6111"/>
    <w:rsid w:val="00DC7970"/>
    <w:rsid w:val="00DD0492"/>
    <w:rsid w:val="00DD0963"/>
    <w:rsid w:val="00DD1ABD"/>
    <w:rsid w:val="00DD1B2E"/>
    <w:rsid w:val="00DD1C34"/>
    <w:rsid w:val="00DD2118"/>
    <w:rsid w:val="00DD5612"/>
    <w:rsid w:val="00DD62BD"/>
    <w:rsid w:val="00DD6BEA"/>
    <w:rsid w:val="00DD7BFE"/>
    <w:rsid w:val="00DD7C9A"/>
    <w:rsid w:val="00DE2E59"/>
    <w:rsid w:val="00DE30B6"/>
    <w:rsid w:val="00DE51F3"/>
    <w:rsid w:val="00DE611D"/>
    <w:rsid w:val="00DE6526"/>
    <w:rsid w:val="00DE67D7"/>
    <w:rsid w:val="00DE72F7"/>
    <w:rsid w:val="00DE7D4A"/>
    <w:rsid w:val="00DF2345"/>
    <w:rsid w:val="00DF30D2"/>
    <w:rsid w:val="00DF388B"/>
    <w:rsid w:val="00DF45E0"/>
    <w:rsid w:val="00DF488E"/>
    <w:rsid w:val="00DF5D64"/>
    <w:rsid w:val="00DF5D7D"/>
    <w:rsid w:val="00DF76BA"/>
    <w:rsid w:val="00DF79C1"/>
    <w:rsid w:val="00DF7C81"/>
    <w:rsid w:val="00E0039E"/>
    <w:rsid w:val="00E00DC7"/>
    <w:rsid w:val="00E027C2"/>
    <w:rsid w:val="00E06B70"/>
    <w:rsid w:val="00E06B9D"/>
    <w:rsid w:val="00E13635"/>
    <w:rsid w:val="00E1384B"/>
    <w:rsid w:val="00E153A1"/>
    <w:rsid w:val="00E15F31"/>
    <w:rsid w:val="00E15F63"/>
    <w:rsid w:val="00E20877"/>
    <w:rsid w:val="00E22F90"/>
    <w:rsid w:val="00E2695B"/>
    <w:rsid w:val="00E30C83"/>
    <w:rsid w:val="00E316C1"/>
    <w:rsid w:val="00E31D9B"/>
    <w:rsid w:val="00E35457"/>
    <w:rsid w:val="00E35D64"/>
    <w:rsid w:val="00E35DB4"/>
    <w:rsid w:val="00E37A87"/>
    <w:rsid w:val="00E40B6C"/>
    <w:rsid w:val="00E42D9E"/>
    <w:rsid w:val="00E43257"/>
    <w:rsid w:val="00E4380B"/>
    <w:rsid w:val="00E440CD"/>
    <w:rsid w:val="00E4418A"/>
    <w:rsid w:val="00E44AEB"/>
    <w:rsid w:val="00E46F6D"/>
    <w:rsid w:val="00E47B17"/>
    <w:rsid w:val="00E50EB0"/>
    <w:rsid w:val="00E511E0"/>
    <w:rsid w:val="00E51C4E"/>
    <w:rsid w:val="00E5236A"/>
    <w:rsid w:val="00E5246A"/>
    <w:rsid w:val="00E52767"/>
    <w:rsid w:val="00E527FD"/>
    <w:rsid w:val="00E53B08"/>
    <w:rsid w:val="00E55210"/>
    <w:rsid w:val="00E563A2"/>
    <w:rsid w:val="00E565E7"/>
    <w:rsid w:val="00E573DF"/>
    <w:rsid w:val="00E64A1B"/>
    <w:rsid w:val="00E669FA"/>
    <w:rsid w:val="00E67FAD"/>
    <w:rsid w:val="00E748A6"/>
    <w:rsid w:val="00E74AC6"/>
    <w:rsid w:val="00E75F0F"/>
    <w:rsid w:val="00E77CAD"/>
    <w:rsid w:val="00E803BC"/>
    <w:rsid w:val="00E828BE"/>
    <w:rsid w:val="00E82E13"/>
    <w:rsid w:val="00E84074"/>
    <w:rsid w:val="00E847F2"/>
    <w:rsid w:val="00E86CE4"/>
    <w:rsid w:val="00E870FB"/>
    <w:rsid w:val="00E90586"/>
    <w:rsid w:val="00E90E68"/>
    <w:rsid w:val="00E91A30"/>
    <w:rsid w:val="00E91CEA"/>
    <w:rsid w:val="00E96C74"/>
    <w:rsid w:val="00EA082E"/>
    <w:rsid w:val="00EA1086"/>
    <w:rsid w:val="00EA20B6"/>
    <w:rsid w:val="00EA316E"/>
    <w:rsid w:val="00EA31E7"/>
    <w:rsid w:val="00EA35BA"/>
    <w:rsid w:val="00EA54F8"/>
    <w:rsid w:val="00EA60CB"/>
    <w:rsid w:val="00EA664E"/>
    <w:rsid w:val="00EB0A0B"/>
    <w:rsid w:val="00EB1970"/>
    <w:rsid w:val="00EB2346"/>
    <w:rsid w:val="00EB40C0"/>
    <w:rsid w:val="00EB44F1"/>
    <w:rsid w:val="00EB45FC"/>
    <w:rsid w:val="00EB5638"/>
    <w:rsid w:val="00EB6EFA"/>
    <w:rsid w:val="00EB77D8"/>
    <w:rsid w:val="00EC0ED6"/>
    <w:rsid w:val="00EC2249"/>
    <w:rsid w:val="00EC2AFC"/>
    <w:rsid w:val="00EC3D24"/>
    <w:rsid w:val="00EC3F04"/>
    <w:rsid w:val="00EC4207"/>
    <w:rsid w:val="00EC49ED"/>
    <w:rsid w:val="00EC5013"/>
    <w:rsid w:val="00ED003A"/>
    <w:rsid w:val="00ED0043"/>
    <w:rsid w:val="00ED1749"/>
    <w:rsid w:val="00ED17D5"/>
    <w:rsid w:val="00ED2876"/>
    <w:rsid w:val="00ED2A98"/>
    <w:rsid w:val="00ED3817"/>
    <w:rsid w:val="00EE03F8"/>
    <w:rsid w:val="00EE09F8"/>
    <w:rsid w:val="00EE0EF6"/>
    <w:rsid w:val="00EE2BC3"/>
    <w:rsid w:val="00EE3068"/>
    <w:rsid w:val="00EE33AD"/>
    <w:rsid w:val="00EE5A94"/>
    <w:rsid w:val="00EE7553"/>
    <w:rsid w:val="00EF204D"/>
    <w:rsid w:val="00EF2147"/>
    <w:rsid w:val="00EF22EF"/>
    <w:rsid w:val="00EF5DC3"/>
    <w:rsid w:val="00EF780A"/>
    <w:rsid w:val="00F017CA"/>
    <w:rsid w:val="00F032E3"/>
    <w:rsid w:val="00F03DE4"/>
    <w:rsid w:val="00F0498D"/>
    <w:rsid w:val="00F04CAA"/>
    <w:rsid w:val="00F115AF"/>
    <w:rsid w:val="00F126EA"/>
    <w:rsid w:val="00F129BB"/>
    <w:rsid w:val="00F13296"/>
    <w:rsid w:val="00F14480"/>
    <w:rsid w:val="00F16A7D"/>
    <w:rsid w:val="00F25AF1"/>
    <w:rsid w:val="00F26F0C"/>
    <w:rsid w:val="00F276EF"/>
    <w:rsid w:val="00F30725"/>
    <w:rsid w:val="00F310DE"/>
    <w:rsid w:val="00F33A90"/>
    <w:rsid w:val="00F3412D"/>
    <w:rsid w:val="00F35A8B"/>
    <w:rsid w:val="00F35D45"/>
    <w:rsid w:val="00F35F2D"/>
    <w:rsid w:val="00F4165B"/>
    <w:rsid w:val="00F41B02"/>
    <w:rsid w:val="00F42708"/>
    <w:rsid w:val="00F430FC"/>
    <w:rsid w:val="00F4340F"/>
    <w:rsid w:val="00F43CEA"/>
    <w:rsid w:val="00F4506D"/>
    <w:rsid w:val="00F4777A"/>
    <w:rsid w:val="00F47EC0"/>
    <w:rsid w:val="00F51421"/>
    <w:rsid w:val="00F5265A"/>
    <w:rsid w:val="00F573E4"/>
    <w:rsid w:val="00F57413"/>
    <w:rsid w:val="00F62F36"/>
    <w:rsid w:val="00F63248"/>
    <w:rsid w:val="00F63B43"/>
    <w:rsid w:val="00F643B1"/>
    <w:rsid w:val="00F646B0"/>
    <w:rsid w:val="00F64D91"/>
    <w:rsid w:val="00F6521C"/>
    <w:rsid w:val="00F65523"/>
    <w:rsid w:val="00F67A03"/>
    <w:rsid w:val="00F7132E"/>
    <w:rsid w:val="00F71532"/>
    <w:rsid w:val="00F724CD"/>
    <w:rsid w:val="00F726B7"/>
    <w:rsid w:val="00F74392"/>
    <w:rsid w:val="00F745CC"/>
    <w:rsid w:val="00F76AA4"/>
    <w:rsid w:val="00F776FE"/>
    <w:rsid w:val="00F8047B"/>
    <w:rsid w:val="00F811FD"/>
    <w:rsid w:val="00F81E6B"/>
    <w:rsid w:val="00F824BD"/>
    <w:rsid w:val="00F826C9"/>
    <w:rsid w:val="00F83512"/>
    <w:rsid w:val="00F83F76"/>
    <w:rsid w:val="00F84226"/>
    <w:rsid w:val="00F84A4E"/>
    <w:rsid w:val="00F857FE"/>
    <w:rsid w:val="00F85A10"/>
    <w:rsid w:val="00F85AF5"/>
    <w:rsid w:val="00F85ED5"/>
    <w:rsid w:val="00F86663"/>
    <w:rsid w:val="00F87753"/>
    <w:rsid w:val="00F87875"/>
    <w:rsid w:val="00F908C6"/>
    <w:rsid w:val="00F909F9"/>
    <w:rsid w:val="00F9299A"/>
    <w:rsid w:val="00F92A7C"/>
    <w:rsid w:val="00F94F8F"/>
    <w:rsid w:val="00F95691"/>
    <w:rsid w:val="00F95737"/>
    <w:rsid w:val="00F9591F"/>
    <w:rsid w:val="00FA0332"/>
    <w:rsid w:val="00FA2921"/>
    <w:rsid w:val="00FA4B02"/>
    <w:rsid w:val="00FA57EB"/>
    <w:rsid w:val="00FA6141"/>
    <w:rsid w:val="00FA651F"/>
    <w:rsid w:val="00FA7660"/>
    <w:rsid w:val="00FB0B02"/>
    <w:rsid w:val="00FB14D0"/>
    <w:rsid w:val="00FB16A0"/>
    <w:rsid w:val="00FB21D8"/>
    <w:rsid w:val="00FB2C56"/>
    <w:rsid w:val="00FB2FF1"/>
    <w:rsid w:val="00FB3701"/>
    <w:rsid w:val="00FB4D4B"/>
    <w:rsid w:val="00FB5BCF"/>
    <w:rsid w:val="00FB7C1D"/>
    <w:rsid w:val="00FC153E"/>
    <w:rsid w:val="00FC6F36"/>
    <w:rsid w:val="00FC77D9"/>
    <w:rsid w:val="00FD1D72"/>
    <w:rsid w:val="00FD3054"/>
    <w:rsid w:val="00FD4A92"/>
    <w:rsid w:val="00FD5FFA"/>
    <w:rsid w:val="00FE4444"/>
    <w:rsid w:val="00FE544B"/>
    <w:rsid w:val="00FE6C4C"/>
    <w:rsid w:val="00FE7250"/>
    <w:rsid w:val="00FF0A4F"/>
    <w:rsid w:val="00FF1180"/>
    <w:rsid w:val="00FF1720"/>
    <w:rsid w:val="00FF2056"/>
    <w:rsid w:val="00FF2927"/>
    <w:rsid w:val="00FF301E"/>
    <w:rsid w:val="00FF3DB1"/>
    <w:rsid w:val="00FF6058"/>
    <w:rsid w:val="00FF75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9530EF1-98FF-4ECA-93D2-50F2326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52"/>
  </w:style>
  <w:style w:type="paragraph" w:styleId="Ttulo1">
    <w:name w:val="heading 1"/>
    <w:basedOn w:val="Normal"/>
    <w:next w:val="Normal"/>
    <w:link w:val="Ttulo1Car"/>
    <w:uiPriority w:val="9"/>
    <w:qFormat/>
    <w:rsid w:val="008F458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F45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672F6"/>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173E52"/>
    <w:rPr>
      <w:rFonts w:ascii="Calibri" w:eastAsia="Calibri" w:hAnsi="Calibri" w:cs="Times New Roman"/>
    </w:rPr>
  </w:style>
  <w:style w:type="paragraph" w:styleId="Piedepgina">
    <w:name w:val="footer"/>
    <w:basedOn w:val="Normal"/>
    <w:link w:val="PiedepginaCar"/>
    <w:uiPriority w:val="99"/>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73E52"/>
    <w:rPr>
      <w:rFonts w:ascii="Calibri" w:eastAsia="Calibri" w:hAnsi="Calibri" w:cs="Times New Roman"/>
    </w:rPr>
  </w:style>
  <w:style w:type="paragraph" w:styleId="Prrafodelista">
    <w:name w:val="List Paragraph"/>
    <w:basedOn w:val="Normal"/>
    <w:link w:val="PrrafodelistaCar"/>
    <w:uiPriority w:val="43"/>
    <w:qFormat/>
    <w:rsid w:val="00173E52"/>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173E52"/>
    <w:rPr>
      <w:rFonts w:ascii="Arial" w:eastAsia="Times New Roman" w:hAnsi="Arial" w:cs="Times New Roman"/>
      <w:sz w:val="24"/>
      <w:szCs w:val="20"/>
    </w:rPr>
  </w:style>
  <w:style w:type="paragraph" w:customStyle="1" w:styleId="estilo30">
    <w:name w:val="estilo30"/>
    <w:basedOn w:val="Normal"/>
    <w:rsid w:val="00173E5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173E5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173E52"/>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173E52"/>
    <w:rPr>
      <w:vertAlign w:val="superscript"/>
    </w:rPr>
  </w:style>
  <w:style w:type="table" w:customStyle="1" w:styleId="Tablaconcuadrcula1">
    <w:name w:val="Tabla con cuadrícula1"/>
    <w:basedOn w:val="Tablanormal"/>
    <w:next w:val="Tablaconcuadrcula"/>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3E52"/>
    <w:rPr>
      <w:color w:val="0563C1" w:themeColor="hyperlink"/>
      <w:u w:val="single"/>
    </w:rPr>
  </w:style>
  <w:style w:type="table" w:styleId="Tablaconcuadrcula">
    <w:name w:val="Table Grid"/>
    <w:basedOn w:val="Tablanormal"/>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73E52"/>
    <w:rPr>
      <w:sz w:val="16"/>
      <w:szCs w:val="16"/>
    </w:rPr>
  </w:style>
  <w:style w:type="paragraph" w:styleId="Textocomentario">
    <w:name w:val="annotation text"/>
    <w:basedOn w:val="Normal"/>
    <w:link w:val="TextocomentarioCar"/>
    <w:uiPriority w:val="99"/>
    <w:semiHidden/>
    <w:unhideWhenUsed/>
    <w:rsid w:val="00173E5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73E5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73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E5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73E5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73E52"/>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654F58"/>
    <w:rPr>
      <w:color w:val="808080"/>
    </w:rPr>
  </w:style>
  <w:style w:type="character" w:customStyle="1" w:styleId="TextoCar">
    <w:name w:val="Texto Car"/>
    <w:link w:val="Texto"/>
    <w:locked/>
    <w:rsid w:val="007F63DA"/>
    <w:rPr>
      <w:rFonts w:ascii="Arial" w:eastAsia="Times New Roman" w:hAnsi="Arial" w:cs="Arial"/>
      <w:sz w:val="18"/>
      <w:szCs w:val="20"/>
      <w:lang w:val="es-ES" w:eastAsia="es-ES"/>
    </w:rPr>
  </w:style>
  <w:style w:type="paragraph" w:customStyle="1" w:styleId="Texto">
    <w:name w:val="Texto"/>
    <w:basedOn w:val="Normal"/>
    <w:link w:val="TextoCar"/>
    <w:rsid w:val="007F63DA"/>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CD1FEF"/>
    <w:pPr>
      <w:autoSpaceDE w:val="0"/>
      <w:autoSpaceDN w:val="0"/>
      <w:adjustRightInd w:val="0"/>
      <w:spacing w:after="0" w:line="240" w:lineRule="auto"/>
    </w:pPr>
    <w:rPr>
      <w:rFonts w:ascii="Arial" w:hAnsi="Arial" w:cs="Arial"/>
      <w:color w:val="000000"/>
      <w:sz w:val="24"/>
      <w:szCs w:val="24"/>
    </w:rPr>
  </w:style>
  <w:style w:type="character" w:customStyle="1" w:styleId="A6">
    <w:name w:val="A6"/>
    <w:rsid w:val="00491844"/>
    <w:rPr>
      <w:rFonts w:cs="Century"/>
      <w:color w:val="000000"/>
      <w:sz w:val="14"/>
      <w:szCs w:val="14"/>
    </w:rPr>
  </w:style>
  <w:style w:type="paragraph" w:styleId="Textoindependiente">
    <w:name w:val="Body Text"/>
    <w:basedOn w:val="Normal"/>
    <w:link w:val="TextoindependienteCar"/>
    <w:uiPriority w:val="99"/>
    <w:rsid w:val="008F4584"/>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8F4584"/>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8F45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F458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F458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672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881">
      <w:bodyDiv w:val="1"/>
      <w:marLeft w:val="0"/>
      <w:marRight w:val="0"/>
      <w:marTop w:val="0"/>
      <w:marBottom w:val="0"/>
      <w:divBdr>
        <w:top w:val="none" w:sz="0" w:space="0" w:color="auto"/>
        <w:left w:val="none" w:sz="0" w:space="0" w:color="auto"/>
        <w:bottom w:val="none" w:sz="0" w:space="0" w:color="auto"/>
        <w:right w:val="none" w:sz="0" w:space="0" w:color="auto"/>
      </w:divBdr>
    </w:div>
    <w:div w:id="38363621">
      <w:bodyDiv w:val="1"/>
      <w:marLeft w:val="0"/>
      <w:marRight w:val="0"/>
      <w:marTop w:val="0"/>
      <w:marBottom w:val="0"/>
      <w:divBdr>
        <w:top w:val="none" w:sz="0" w:space="0" w:color="auto"/>
        <w:left w:val="none" w:sz="0" w:space="0" w:color="auto"/>
        <w:bottom w:val="none" w:sz="0" w:space="0" w:color="auto"/>
        <w:right w:val="none" w:sz="0" w:space="0" w:color="auto"/>
      </w:divBdr>
    </w:div>
    <w:div w:id="70927046">
      <w:bodyDiv w:val="1"/>
      <w:marLeft w:val="0"/>
      <w:marRight w:val="0"/>
      <w:marTop w:val="0"/>
      <w:marBottom w:val="0"/>
      <w:divBdr>
        <w:top w:val="none" w:sz="0" w:space="0" w:color="auto"/>
        <w:left w:val="none" w:sz="0" w:space="0" w:color="auto"/>
        <w:bottom w:val="none" w:sz="0" w:space="0" w:color="auto"/>
        <w:right w:val="none" w:sz="0" w:space="0" w:color="auto"/>
      </w:divBdr>
    </w:div>
    <w:div w:id="76293628">
      <w:bodyDiv w:val="1"/>
      <w:marLeft w:val="0"/>
      <w:marRight w:val="0"/>
      <w:marTop w:val="0"/>
      <w:marBottom w:val="0"/>
      <w:divBdr>
        <w:top w:val="none" w:sz="0" w:space="0" w:color="auto"/>
        <w:left w:val="none" w:sz="0" w:space="0" w:color="auto"/>
        <w:bottom w:val="none" w:sz="0" w:space="0" w:color="auto"/>
        <w:right w:val="none" w:sz="0" w:space="0" w:color="auto"/>
      </w:divBdr>
    </w:div>
    <w:div w:id="103885848">
      <w:bodyDiv w:val="1"/>
      <w:marLeft w:val="0"/>
      <w:marRight w:val="0"/>
      <w:marTop w:val="0"/>
      <w:marBottom w:val="0"/>
      <w:divBdr>
        <w:top w:val="none" w:sz="0" w:space="0" w:color="auto"/>
        <w:left w:val="none" w:sz="0" w:space="0" w:color="auto"/>
        <w:bottom w:val="none" w:sz="0" w:space="0" w:color="auto"/>
        <w:right w:val="none" w:sz="0" w:space="0" w:color="auto"/>
      </w:divBdr>
    </w:div>
    <w:div w:id="104734199">
      <w:bodyDiv w:val="1"/>
      <w:marLeft w:val="0"/>
      <w:marRight w:val="0"/>
      <w:marTop w:val="0"/>
      <w:marBottom w:val="0"/>
      <w:divBdr>
        <w:top w:val="none" w:sz="0" w:space="0" w:color="auto"/>
        <w:left w:val="none" w:sz="0" w:space="0" w:color="auto"/>
        <w:bottom w:val="none" w:sz="0" w:space="0" w:color="auto"/>
        <w:right w:val="none" w:sz="0" w:space="0" w:color="auto"/>
      </w:divBdr>
    </w:div>
    <w:div w:id="106778155">
      <w:bodyDiv w:val="1"/>
      <w:marLeft w:val="0"/>
      <w:marRight w:val="0"/>
      <w:marTop w:val="0"/>
      <w:marBottom w:val="0"/>
      <w:divBdr>
        <w:top w:val="none" w:sz="0" w:space="0" w:color="auto"/>
        <w:left w:val="none" w:sz="0" w:space="0" w:color="auto"/>
        <w:bottom w:val="none" w:sz="0" w:space="0" w:color="auto"/>
        <w:right w:val="none" w:sz="0" w:space="0" w:color="auto"/>
      </w:divBdr>
    </w:div>
    <w:div w:id="151069751">
      <w:bodyDiv w:val="1"/>
      <w:marLeft w:val="0"/>
      <w:marRight w:val="0"/>
      <w:marTop w:val="0"/>
      <w:marBottom w:val="0"/>
      <w:divBdr>
        <w:top w:val="none" w:sz="0" w:space="0" w:color="auto"/>
        <w:left w:val="none" w:sz="0" w:space="0" w:color="auto"/>
        <w:bottom w:val="none" w:sz="0" w:space="0" w:color="auto"/>
        <w:right w:val="none" w:sz="0" w:space="0" w:color="auto"/>
      </w:divBdr>
    </w:div>
    <w:div w:id="159394409">
      <w:bodyDiv w:val="1"/>
      <w:marLeft w:val="0"/>
      <w:marRight w:val="0"/>
      <w:marTop w:val="0"/>
      <w:marBottom w:val="0"/>
      <w:divBdr>
        <w:top w:val="none" w:sz="0" w:space="0" w:color="auto"/>
        <w:left w:val="none" w:sz="0" w:space="0" w:color="auto"/>
        <w:bottom w:val="none" w:sz="0" w:space="0" w:color="auto"/>
        <w:right w:val="none" w:sz="0" w:space="0" w:color="auto"/>
      </w:divBdr>
    </w:div>
    <w:div w:id="245503714">
      <w:bodyDiv w:val="1"/>
      <w:marLeft w:val="0"/>
      <w:marRight w:val="0"/>
      <w:marTop w:val="0"/>
      <w:marBottom w:val="0"/>
      <w:divBdr>
        <w:top w:val="none" w:sz="0" w:space="0" w:color="auto"/>
        <w:left w:val="none" w:sz="0" w:space="0" w:color="auto"/>
        <w:bottom w:val="none" w:sz="0" w:space="0" w:color="auto"/>
        <w:right w:val="none" w:sz="0" w:space="0" w:color="auto"/>
      </w:divBdr>
    </w:div>
    <w:div w:id="283460322">
      <w:bodyDiv w:val="1"/>
      <w:marLeft w:val="0"/>
      <w:marRight w:val="0"/>
      <w:marTop w:val="0"/>
      <w:marBottom w:val="0"/>
      <w:divBdr>
        <w:top w:val="none" w:sz="0" w:space="0" w:color="auto"/>
        <w:left w:val="none" w:sz="0" w:space="0" w:color="auto"/>
        <w:bottom w:val="none" w:sz="0" w:space="0" w:color="auto"/>
        <w:right w:val="none" w:sz="0" w:space="0" w:color="auto"/>
      </w:divBdr>
    </w:div>
    <w:div w:id="297106391">
      <w:bodyDiv w:val="1"/>
      <w:marLeft w:val="0"/>
      <w:marRight w:val="0"/>
      <w:marTop w:val="0"/>
      <w:marBottom w:val="0"/>
      <w:divBdr>
        <w:top w:val="none" w:sz="0" w:space="0" w:color="auto"/>
        <w:left w:val="none" w:sz="0" w:space="0" w:color="auto"/>
        <w:bottom w:val="none" w:sz="0" w:space="0" w:color="auto"/>
        <w:right w:val="none" w:sz="0" w:space="0" w:color="auto"/>
      </w:divBdr>
    </w:div>
    <w:div w:id="307561732">
      <w:bodyDiv w:val="1"/>
      <w:marLeft w:val="0"/>
      <w:marRight w:val="0"/>
      <w:marTop w:val="0"/>
      <w:marBottom w:val="0"/>
      <w:divBdr>
        <w:top w:val="none" w:sz="0" w:space="0" w:color="auto"/>
        <w:left w:val="none" w:sz="0" w:space="0" w:color="auto"/>
        <w:bottom w:val="none" w:sz="0" w:space="0" w:color="auto"/>
        <w:right w:val="none" w:sz="0" w:space="0" w:color="auto"/>
      </w:divBdr>
    </w:div>
    <w:div w:id="310721986">
      <w:bodyDiv w:val="1"/>
      <w:marLeft w:val="0"/>
      <w:marRight w:val="0"/>
      <w:marTop w:val="0"/>
      <w:marBottom w:val="0"/>
      <w:divBdr>
        <w:top w:val="none" w:sz="0" w:space="0" w:color="auto"/>
        <w:left w:val="none" w:sz="0" w:space="0" w:color="auto"/>
        <w:bottom w:val="none" w:sz="0" w:space="0" w:color="auto"/>
        <w:right w:val="none" w:sz="0" w:space="0" w:color="auto"/>
      </w:divBdr>
    </w:div>
    <w:div w:id="312637031">
      <w:bodyDiv w:val="1"/>
      <w:marLeft w:val="0"/>
      <w:marRight w:val="0"/>
      <w:marTop w:val="0"/>
      <w:marBottom w:val="0"/>
      <w:divBdr>
        <w:top w:val="none" w:sz="0" w:space="0" w:color="auto"/>
        <w:left w:val="none" w:sz="0" w:space="0" w:color="auto"/>
        <w:bottom w:val="none" w:sz="0" w:space="0" w:color="auto"/>
        <w:right w:val="none" w:sz="0" w:space="0" w:color="auto"/>
      </w:divBdr>
    </w:div>
    <w:div w:id="320888124">
      <w:bodyDiv w:val="1"/>
      <w:marLeft w:val="0"/>
      <w:marRight w:val="0"/>
      <w:marTop w:val="0"/>
      <w:marBottom w:val="0"/>
      <w:divBdr>
        <w:top w:val="none" w:sz="0" w:space="0" w:color="auto"/>
        <w:left w:val="none" w:sz="0" w:space="0" w:color="auto"/>
        <w:bottom w:val="none" w:sz="0" w:space="0" w:color="auto"/>
        <w:right w:val="none" w:sz="0" w:space="0" w:color="auto"/>
      </w:divBdr>
    </w:div>
    <w:div w:id="341397728">
      <w:bodyDiv w:val="1"/>
      <w:marLeft w:val="0"/>
      <w:marRight w:val="0"/>
      <w:marTop w:val="0"/>
      <w:marBottom w:val="0"/>
      <w:divBdr>
        <w:top w:val="none" w:sz="0" w:space="0" w:color="auto"/>
        <w:left w:val="none" w:sz="0" w:space="0" w:color="auto"/>
        <w:bottom w:val="none" w:sz="0" w:space="0" w:color="auto"/>
        <w:right w:val="none" w:sz="0" w:space="0" w:color="auto"/>
      </w:divBdr>
    </w:div>
    <w:div w:id="375129786">
      <w:bodyDiv w:val="1"/>
      <w:marLeft w:val="0"/>
      <w:marRight w:val="0"/>
      <w:marTop w:val="0"/>
      <w:marBottom w:val="0"/>
      <w:divBdr>
        <w:top w:val="none" w:sz="0" w:space="0" w:color="auto"/>
        <w:left w:val="none" w:sz="0" w:space="0" w:color="auto"/>
        <w:bottom w:val="none" w:sz="0" w:space="0" w:color="auto"/>
        <w:right w:val="none" w:sz="0" w:space="0" w:color="auto"/>
      </w:divBdr>
    </w:div>
    <w:div w:id="411515356">
      <w:bodyDiv w:val="1"/>
      <w:marLeft w:val="0"/>
      <w:marRight w:val="0"/>
      <w:marTop w:val="0"/>
      <w:marBottom w:val="0"/>
      <w:divBdr>
        <w:top w:val="none" w:sz="0" w:space="0" w:color="auto"/>
        <w:left w:val="none" w:sz="0" w:space="0" w:color="auto"/>
        <w:bottom w:val="none" w:sz="0" w:space="0" w:color="auto"/>
        <w:right w:val="none" w:sz="0" w:space="0" w:color="auto"/>
      </w:divBdr>
    </w:div>
    <w:div w:id="417139975">
      <w:bodyDiv w:val="1"/>
      <w:marLeft w:val="0"/>
      <w:marRight w:val="0"/>
      <w:marTop w:val="0"/>
      <w:marBottom w:val="0"/>
      <w:divBdr>
        <w:top w:val="none" w:sz="0" w:space="0" w:color="auto"/>
        <w:left w:val="none" w:sz="0" w:space="0" w:color="auto"/>
        <w:bottom w:val="none" w:sz="0" w:space="0" w:color="auto"/>
        <w:right w:val="none" w:sz="0" w:space="0" w:color="auto"/>
      </w:divBdr>
    </w:div>
    <w:div w:id="465901709">
      <w:bodyDiv w:val="1"/>
      <w:marLeft w:val="0"/>
      <w:marRight w:val="0"/>
      <w:marTop w:val="0"/>
      <w:marBottom w:val="0"/>
      <w:divBdr>
        <w:top w:val="none" w:sz="0" w:space="0" w:color="auto"/>
        <w:left w:val="none" w:sz="0" w:space="0" w:color="auto"/>
        <w:bottom w:val="none" w:sz="0" w:space="0" w:color="auto"/>
        <w:right w:val="none" w:sz="0" w:space="0" w:color="auto"/>
      </w:divBdr>
    </w:div>
    <w:div w:id="496920497">
      <w:bodyDiv w:val="1"/>
      <w:marLeft w:val="0"/>
      <w:marRight w:val="0"/>
      <w:marTop w:val="0"/>
      <w:marBottom w:val="0"/>
      <w:divBdr>
        <w:top w:val="none" w:sz="0" w:space="0" w:color="auto"/>
        <w:left w:val="none" w:sz="0" w:space="0" w:color="auto"/>
        <w:bottom w:val="none" w:sz="0" w:space="0" w:color="auto"/>
        <w:right w:val="none" w:sz="0" w:space="0" w:color="auto"/>
      </w:divBdr>
    </w:div>
    <w:div w:id="505707002">
      <w:bodyDiv w:val="1"/>
      <w:marLeft w:val="0"/>
      <w:marRight w:val="0"/>
      <w:marTop w:val="0"/>
      <w:marBottom w:val="0"/>
      <w:divBdr>
        <w:top w:val="none" w:sz="0" w:space="0" w:color="auto"/>
        <w:left w:val="none" w:sz="0" w:space="0" w:color="auto"/>
        <w:bottom w:val="none" w:sz="0" w:space="0" w:color="auto"/>
        <w:right w:val="none" w:sz="0" w:space="0" w:color="auto"/>
      </w:divBdr>
    </w:div>
    <w:div w:id="512303308">
      <w:bodyDiv w:val="1"/>
      <w:marLeft w:val="0"/>
      <w:marRight w:val="0"/>
      <w:marTop w:val="0"/>
      <w:marBottom w:val="0"/>
      <w:divBdr>
        <w:top w:val="none" w:sz="0" w:space="0" w:color="auto"/>
        <w:left w:val="none" w:sz="0" w:space="0" w:color="auto"/>
        <w:bottom w:val="none" w:sz="0" w:space="0" w:color="auto"/>
        <w:right w:val="none" w:sz="0" w:space="0" w:color="auto"/>
      </w:divBdr>
    </w:div>
    <w:div w:id="529341463">
      <w:bodyDiv w:val="1"/>
      <w:marLeft w:val="0"/>
      <w:marRight w:val="0"/>
      <w:marTop w:val="0"/>
      <w:marBottom w:val="0"/>
      <w:divBdr>
        <w:top w:val="none" w:sz="0" w:space="0" w:color="auto"/>
        <w:left w:val="none" w:sz="0" w:space="0" w:color="auto"/>
        <w:bottom w:val="none" w:sz="0" w:space="0" w:color="auto"/>
        <w:right w:val="none" w:sz="0" w:space="0" w:color="auto"/>
      </w:divBdr>
    </w:div>
    <w:div w:id="598022406">
      <w:bodyDiv w:val="1"/>
      <w:marLeft w:val="0"/>
      <w:marRight w:val="0"/>
      <w:marTop w:val="0"/>
      <w:marBottom w:val="0"/>
      <w:divBdr>
        <w:top w:val="none" w:sz="0" w:space="0" w:color="auto"/>
        <w:left w:val="none" w:sz="0" w:space="0" w:color="auto"/>
        <w:bottom w:val="none" w:sz="0" w:space="0" w:color="auto"/>
        <w:right w:val="none" w:sz="0" w:space="0" w:color="auto"/>
      </w:divBdr>
    </w:div>
    <w:div w:id="601886085">
      <w:bodyDiv w:val="1"/>
      <w:marLeft w:val="0"/>
      <w:marRight w:val="0"/>
      <w:marTop w:val="0"/>
      <w:marBottom w:val="0"/>
      <w:divBdr>
        <w:top w:val="none" w:sz="0" w:space="0" w:color="auto"/>
        <w:left w:val="none" w:sz="0" w:space="0" w:color="auto"/>
        <w:bottom w:val="none" w:sz="0" w:space="0" w:color="auto"/>
        <w:right w:val="none" w:sz="0" w:space="0" w:color="auto"/>
      </w:divBdr>
    </w:div>
    <w:div w:id="623001549">
      <w:bodyDiv w:val="1"/>
      <w:marLeft w:val="0"/>
      <w:marRight w:val="0"/>
      <w:marTop w:val="0"/>
      <w:marBottom w:val="0"/>
      <w:divBdr>
        <w:top w:val="none" w:sz="0" w:space="0" w:color="auto"/>
        <w:left w:val="none" w:sz="0" w:space="0" w:color="auto"/>
        <w:bottom w:val="none" w:sz="0" w:space="0" w:color="auto"/>
        <w:right w:val="none" w:sz="0" w:space="0" w:color="auto"/>
      </w:divBdr>
    </w:div>
    <w:div w:id="635987555">
      <w:bodyDiv w:val="1"/>
      <w:marLeft w:val="0"/>
      <w:marRight w:val="0"/>
      <w:marTop w:val="0"/>
      <w:marBottom w:val="0"/>
      <w:divBdr>
        <w:top w:val="none" w:sz="0" w:space="0" w:color="auto"/>
        <w:left w:val="none" w:sz="0" w:space="0" w:color="auto"/>
        <w:bottom w:val="none" w:sz="0" w:space="0" w:color="auto"/>
        <w:right w:val="none" w:sz="0" w:space="0" w:color="auto"/>
      </w:divBdr>
    </w:div>
    <w:div w:id="693189389">
      <w:bodyDiv w:val="1"/>
      <w:marLeft w:val="0"/>
      <w:marRight w:val="0"/>
      <w:marTop w:val="0"/>
      <w:marBottom w:val="0"/>
      <w:divBdr>
        <w:top w:val="none" w:sz="0" w:space="0" w:color="auto"/>
        <w:left w:val="none" w:sz="0" w:space="0" w:color="auto"/>
        <w:bottom w:val="none" w:sz="0" w:space="0" w:color="auto"/>
        <w:right w:val="none" w:sz="0" w:space="0" w:color="auto"/>
      </w:divBdr>
    </w:div>
    <w:div w:id="700325992">
      <w:bodyDiv w:val="1"/>
      <w:marLeft w:val="0"/>
      <w:marRight w:val="0"/>
      <w:marTop w:val="0"/>
      <w:marBottom w:val="0"/>
      <w:divBdr>
        <w:top w:val="none" w:sz="0" w:space="0" w:color="auto"/>
        <w:left w:val="none" w:sz="0" w:space="0" w:color="auto"/>
        <w:bottom w:val="none" w:sz="0" w:space="0" w:color="auto"/>
        <w:right w:val="none" w:sz="0" w:space="0" w:color="auto"/>
      </w:divBdr>
    </w:div>
    <w:div w:id="732314239">
      <w:bodyDiv w:val="1"/>
      <w:marLeft w:val="0"/>
      <w:marRight w:val="0"/>
      <w:marTop w:val="0"/>
      <w:marBottom w:val="0"/>
      <w:divBdr>
        <w:top w:val="none" w:sz="0" w:space="0" w:color="auto"/>
        <w:left w:val="none" w:sz="0" w:space="0" w:color="auto"/>
        <w:bottom w:val="none" w:sz="0" w:space="0" w:color="auto"/>
        <w:right w:val="none" w:sz="0" w:space="0" w:color="auto"/>
      </w:divBdr>
    </w:div>
    <w:div w:id="762412256">
      <w:bodyDiv w:val="1"/>
      <w:marLeft w:val="0"/>
      <w:marRight w:val="0"/>
      <w:marTop w:val="0"/>
      <w:marBottom w:val="0"/>
      <w:divBdr>
        <w:top w:val="none" w:sz="0" w:space="0" w:color="auto"/>
        <w:left w:val="none" w:sz="0" w:space="0" w:color="auto"/>
        <w:bottom w:val="none" w:sz="0" w:space="0" w:color="auto"/>
        <w:right w:val="none" w:sz="0" w:space="0" w:color="auto"/>
      </w:divBdr>
    </w:div>
    <w:div w:id="763653362">
      <w:bodyDiv w:val="1"/>
      <w:marLeft w:val="0"/>
      <w:marRight w:val="0"/>
      <w:marTop w:val="0"/>
      <w:marBottom w:val="0"/>
      <w:divBdr>
        <w:top w:val="none" w:sz="0" w:space="0" w:color="auto"/>
        <w:left w:val="none" w:sz="0" w:space="0" w:color="auto"/>
        <w:bottom w:val="none" w:sz="0" w:space="0" w:color="auto"/>
        <w:right w:val="none" w:sz="0" w:space="0" w:color="auto"/>
      </w:divBdr>
    </w:div>
    <w:div w:id="766073700">
      <w:bodyDiv w:val="1"/>
      <w:marLeft w:val="0"/>
      <w:marRight w:val="0"/>
      <w:marTop w:val="0"/>
      <w:marBottom w:val="0"/>
      <w:divBdr>
        <w:top w:val="none" w:sz="0" w:space="0" w:color="auto"/>
        <w:left w:val="none" w:sz="0" w:space="0" w:color="auto"/>
        <w:bottom w:val="none" w:sz="0" w:space="0" w:color="auto"/>
        <w:right w:val="none" w:sz="0" w:space="0" w:color="auto"/>
      </w:divBdr>
    </w:div>
    <w:div w:id="767577429">
      <w:bodyDiv w:val="1"/>
      <w:marLeft w:val="0"/>
      <w:marRight w:val="0"/>
      <w:marTop w:val="0"/>
      <w:marBottom w:val="0"/>
      <w:divBdr>
        <w:top w:val="none" w:sz="0" w:space="0" w:color="auto"/>
        <w:left w:val="none" w:sz="0" w:space="0" w:color="auto"/>
        <w:bottom w:val="none" w:sz="0" w:space="0" w:color="auto"/>
        <w:right w:val="none" w:sz="0" w:space="0" w:color="auto"/>
      </w:divBdr>
    </w:div>
    <w:div w:id="780496531">
      <w:bodyDiv w:val="1"/>
      <w:marLeft w:val="0"/>
      <w:marRight w:val="0"/>
      <w:marTop w:val="0"/>
      <w:marBottom w:val="0"/>
      <w:divBdr>
        <w:top w:val="none" w:sz="0" w:space="0" w:color="auto"/>
        <w:left w:val="none" w:sz="0" w:space="0" w:color="auto"/>
        <w:bottom w:val="none" w:sz="0" w:space="0" w:color="auto"/>
        <w:right w:val="none" w:sz="0" w:space="0" w:color="auto"/>
      </w:divBdr>
    </w:div>
    <w:div w:id="783962305">
      <w:bodyDiv w:val="1"/>
      <w:marLeft w:val="0"/>
      <w:marRight w:val="0"/>
      <w:marTop w:val="0"/>
      <w:marBottom w:val="0"/>
      <w:divBdr>
        <w:top w:val="none" w:sz="0" w:space="0" w:color="auto"/>
        <w:left w:val="none" w:sz="0" w:space="0" w:color="auto"/>
        <w:bottom w:val="none" w:sz="0" w:space="0" w:color="auto"/>
        <w:right w:val="none" w:sz="0" w:space="0" w:color="auto"/>
      </w:divBdr>
    </w:div>
    <w:div w:id="794131406">
      <w:bodyDiv w:val="1"/>
      <w:marLeft w:val="0"/>
      <w:marRight w:val="0"/>
      <w:marTop w:val="0"/>
      <w:marBottom w:val="0"/>
      <w:divBdr>
        <w:top w:val="none" w:sz="0" w:space="0" w:color="auto"/>
        <w:left w:val="none" w:sz="0" w:space="0" w:color="auto"/>
        <w:bottom w:val="none" w:sz="0" w:space="0" w:color="auto"/>
        <w:right w:val="none" w:sz="0" w:space="0" w:color="auto"/>
      </w:divBdr>
    </w:div>
    <w:div w:id="809246104">
      <w:bodyDiv w:val="1"/>
      <w:marLeft w:val="0"/>
      <w:marRight w:val="0"/>
      <w:marTop w:val="0"/>
      <w:marBottom w:val="0"/>
      <w:divBdr>
        <w:top w:val="none" w:sz="0" w:space="0" w:color="auto"/>
        <w:left w:val="none" w:sz="0" w:space="0" w:color="auto"/>
        <w:bottom w:val="none" w:sz="0" w:space="0" w:color="auto"/>
        <w:right w:val="none" w:sz="0" w:space="0" w:color="auto"/>
      </w:divBdr>
    </w:div>
    <w:div w:id="852761455">
      <w:bodyDiv w:val="1"/>
      <w:marLeft w:val="0"/>
      <w:marRight w:val="0"/>
      <w:marTop w:val="0"/>
      <w:marBottom w:val="0"/>
      <w:divBdr>
        <w:top w:val="none" w:sz="0" w:space="0" w:color="auto"/>
        <w:left w:val="none" w:sz="0" w:space="0" w:color="auto"/>
        <w:bottom w:val="none" w:sz="0" w:space="0" w:color="auto"/>
        <w:right w:val="none" w:sz="0" w:space="0" w:color="auto"/>
      </w:divBdr>
    </w:div>
    <w:div w:id="852769394">
      <w:bodyDiv w:val="1"/>
      <w:marLeft w:val="0"/>
      <w:marRight w:val="0"/>
      <w:marTop w:val="0"/>
      <w:marBottom w:val="0"/>
      <w:divBdr>
        <w:top w:val="none" w:sz="0" w:space="0" w:color="auto"/>
        <w:left w:val="none" w:sz="0" w:space="0" w:color="auto"/>
        <w:bottom w:val="none" w:sz="0" w:space="0" w:color="auto"/>
        <w:right w:val="none" w:sz="0" w:space="0" w:color="auto"/>
      </w:divBdr>
    </w:div>
    <w:div w:id="853957213">
      <w:bodyDiv w:val="1"/>
      <w:marLeft w:val="0"/>
      <w:marRight w:val="0"/>
      <w:marTop w:val="0"/>
      <w:marBottom w:val="0"/>
      <w:divBdr>
        <w:top w:val="none" w:sz="0" w:space="0" w:color="auto"/>
        <w:left w:val="none" w:sz="0" w:space="0" w:color="auto"/>
        <w:bottom w:val="none" w:sz="0" w:space="0" w:color="auto"/>
        <w:right w:val="none" w:sz="0" w:space="0" w:color="auto"/>
      </w:divBdr>
    </w:div>
    <w:div w:id="861043968">
      <w:bodyDiv w:val="1"/>
      <w:marLeft w:val="0"/>
      <w:marRight w:val="0"/>
      <w:marTop w:val="0"/>
      <w:marBottom w:val="0"/>
      <w:divBdr>
        <w:top w:val="none" w:sz="0" w:space="0" w:color="auto"/>
        <w:left w:val="none" w:sz="0" w:space="0" w:color="auto"/>
        <w:bottom w:val="none" w:sz="0" w:space="0" w:color="auto"/>
        <w:right w:val="none" w:sz="0" w:space="0" w:color="auto"/>
      </w:divBdr>
    </w:div>
    <w:div w:id="874119683">
      <w:bodyDiv w:val="1"/>
      <w:marLeft w:val="0"/>
      <w:marRight w:val="0"/>
      <w:marTop w:val="0"/>
      <w:marBottom w:val="0"/>
      <w:divBdr>
        <w:top w:val="none" w:sz="0" w:space="0" w:color="auto"/>
        <w:left w:val="none" w:sz="0" w:space="0" w:color="auto"/>
        <w:bottom w:val="none" w:sz="0" w:space="0" w:color="auto"/>
        <w:right w:val="none" w:sz="0" w:space="0" w:color="auto"/>
      </w:divBdr>
    </w:div>
    <w:div w:id="876703395">
      <w:bodyDiv w:val="1"/>
      <w:marLeft w:val="0"/>
      <w:marRight w:val="0"/>
      <w:marTop w:val="0"/>
      <w:marBottom w:val="0"/>
      <w:divBdr>
        <w:top w:val="none" w:sz="0" w:space="0" w:color="auto"/>
        <w:left w:val="none" w:sz="0" w:space="0" w:color="auto"/>
        <w:bottom w:val="none" w:sz="0" w:space="0" w:color="auto"/>
        <w:right w:val="none" w:sz="0" w:space="0" w:color="auto"/>
      </w:divBdr>
    </w:div>
    <w:div w:id="884684058">
      <w:bodyDiv w:val="1"/>
      <w:marLeft w:val="0"/>
      <w:marRight w:val="0"/>
      <w:marTop w:val="0"/>
      <w:marBottom w:val="0"/>
      <w:divBdr>
        <w:top w:val="none" w:sz="0" w:space="0" w:color="auto"/>
        <w:left w:val="none" w:sz="0" w:space="0" w:color="auto"/>
        <w:bottom w:val="none" w:sz="0" w:space="0" w:color="auto"/>
        <w:right w:val="none" w:sz="0" w:space="0" w:color="auto"/>
      </w:divBdr>
    </w:div>
    <w:div w:id="898440098">
      <w:bodyDiv w:val="1"/>
      <w:marLeft w:val="0"/>
      <w:marRight w:val="0"/>
      <w:marTop w:val="0"/>
      <w:marBottom w:val="0"/>
      <w:divBdr>
        <w:top w:val="none" w:sz="0" w:space="0" w:color="auto"/>
        <w:left w:val="none" w:sz="0" w:space="0" w:color="auto"/>
        <w:bottom w:val="none" w:sz="0" w:space="0" w:color="auto"/>
        <w:right w:val="none" w:sz="0" w:space="0" w:color="auto"/>
      </w:divBdr>
    </w:div>
    <w:div w:id="911155748">
      <w:bodyDiv w:val="1"/>
      <w:marLeft w:val="0"/>
      <w:marRight w:val="0"/>
      <w:marTop w:val="0"/>
      <w:marBottom w:val="0"/>
      <w:divBdr>
        <w:top w:val="none" w:sz="0" w:space="0" w:color="auto"/>
        <w:left w:val="none" w:sz="0" w:space="0" w:color="auto"/>
        <w:bottom w:val="none" w:sz="0" w:space="0" w:color="auto"/>
        <w:right w:val="none" w:sz="0" w:space="0" w:color="auto"/>
      </w:divBdr>
    </w:div>
    <w:div w:id="919408696">
      <w:bodyDiv w:val="1"/>
      <w:marLeft w:val="0"/>
      <w:marRight w:val="0"/>
      <w:marTop w:val="0"/>
      <w:marBottom w:val="0"/>
      <w:divBdr>
        <w:top w:val="none" w:sz="0" w:space="0" w:color="auto"/>
        <w:left w:val="none" w:sz="0" w:space="0" w:color="auto"/>
        <w:bottom w:val="none" w:sz="0" w:space="0" w:color="auto"/>
        <w:right w:val="none" w:sz="0" w:space="0" w:color="auto"/>
      </w:divBdr>
    </w:div>
    <w:div w:id="966200897">
      <w:bodyDiv w:val="1"/>
      <w:marLeft w:val="0"/>
      <w:marRight w:val="0"/>
      <w:marTop w:val="0"/>
      <w:marBottom w:val="0"/>
      <w:divBdr>
        <w:top w:val="none" w:sz="0" w:space="0" w:color="auto"/>
        <w:left w:val="none" w:sz="0" w:space="0" w:color="auto"/>
        <w:bottom w:val="none" w:sz="0" w:space="0" w:color="auto"/>
        <w:right w:val="none" w:sz="0" w:space="0" w:color="auto"/>
      </w:divBdr>
    </w:div>
    <w:div w:id="991520998">
      <w:bodyDiv w:val="1"/>
      <w:marLeft w:val="0"/>
      <w:marRight w:val="0"/>
      <w:marTop w:val="0"/>
      <w:marBottom w:val="0"/>
      <w:divBdr>
        <w:top w:val="none" w:sz="0" w:space="0" w:color="auto"/>
        <w:left w:val="none" w:sz="0" w:space="0" w:color="auto"/>
        <w:bottom w:val="none" w:sz="0" w:space="0" w:color="auto"/>
        <w:right w:val="none" w:sz="0" w:space="0" w:color="auto"/>
      </w:divBdr>
    </w:div>
    <w:div w:id="1013729182">
      <w:bodyDiv w:val="1"/>
      <w:marLeft w:val="0"/>
      <w:marRight w:val="0"/>
      <w:marTop w:val="0"/>
      <w:marBottom w:val="0"/>
      <w:divBdr>
        <w:top w:val="none" w:sz="0" w:space="0" w:color="auto"/>
        <w:left w:val="none" w:sz="0" w:space="0" w:color="auto"/>
        <w:bottom w:val="none" w:sz="0" w:space="0" w:color="auto"/>
        <w:right w:val="none" w:sz="0" w:space="0" w:color="auto"/>
      </w:divBdr>
    </w:div>
    <w:div w:id="1045906843">
      <w:bodyDiv w:val="1"/>
      <w:marLeft w:val="0"/>
      <w:marRight w:val="0"/>
      <w:marTop w:val="0"/>
      <w:marBottom w:val="0"/>
      <w:divBdr>
        <w:top w:val="none" w:sz="0" w:space="0" w:color="auto"/>
        <w:left w:val="none" w:sz="0" w:space="0" w:color="auto"/>
        <w:bottom w:val="none" w:sz="0" w:space="0" w:color="auto"/>
        <w:right w:val="none" w:sz="0" w:space="0" w:color="auto"/>
      </w:divBdr>
    </w:div>
    <w:div w:id="1049769609">
      <w:bodyDiv w:val="1"/>
      <w:marLeft w:val="0"/>
      <w:marRight w:val="0"/>
      <w:marTop w:val="0"/>
      <w:marBottom w:val="0"/>
      <w:divBdr>
        <w:top w:val="none" w:sz="0" w:space="0" w:color="auto"/>
        <w:left w:val="none" w:sz="0" w:space="0" w:color="auto"/>
        <w:bottom w:val="none" w:sz="0" w:space="0" w:color="auto"/>
        <w:right w:val="none" w:sz="0" w:space="0" w:color="auto"/>
      </w:divBdr>
    </w:div>
    <w:div w:id="1094787591">
      <w:bodyDiv w:val="1"/>
      <w:marLeft w:val="0"/>
      <w:marRight w:val="0"/>
      <w:marTop w:val="0"/>
      <w:marBottom w:val="0"/>
      <w:divBdr>
        <w:top w:val="none" w:sz="0" w:space="0" w:color="auto"/>
        <w:left w:val="none" w:sz="0" w:space="0" w:color="auto"/>
        <w:bottom w:val="none" w:sz="0" w:space="0" w:color="auto"/>
        <w:right w:val="none" w:sz="0" w:space="0" w:color="auto"/>
      </w:divBdr>
    </w:div>
    <w:div w:id="1107962295">
      <w:bodyDiv w:val="1"/>
      <w:marLeft w:val="0"/>
      <w:marRight w:val="0"/>
      <w:marTop w:val="0"/>
      <w:marBottom w:val="0"/>
      <w:divBdr>
        <w:top w:val="none" w:sz="0" w:space="0" w:color="auto"/>
        <w:left w:val="none" w:sz="0" w:space="0" w:color="auto"/>
        <w:bottom w:val="none" w:sz="0" w:space="0" w:color="auto"/>
        <w:right w:val="none" w:sz="0" w:space="0" w:color="auto"/>
      </w:divBdr>
    </w:div>
    <w:div w:id="1109159218">
      <w:bodyDiv w:val="1"/>
      <w:marLeft w:val="0"/>
      <w:marRight w:val="0"/>
      <w:marTop w:val="0"/>
      <w:marBottom w:val="0"/>
      <w:divBdr>
        <w:top w:val="none" w:sz="0" w:space="0" w:color="auto"/>
        <w:left w:val="none" w:sz="0" w:space="0" w:color="auto"/>
        <w:bottom w:val="none" w:sz="0" w:space="0" w:color="auto"/>
        <w:right w:val="none" w:sz="0" w:space="0" w:color="auto"/>
      </w:divBdr>
    </w:div>
    <w:div w:id="1110467756">
      <w:bodyDiv w:val="1"/>
      <w:marLeft w:val="0"/>
      <w:marRight w:val="0"/>
      <w:marTop w:val="0"/>
      <w:marBottom w:val="0"/>
      <w:divBdr>
        <w:top w:val="none" w:sz="0" w:space="0" w:color="auto"/>
        <w:left w:val="none" w:sz="0" w:space="0" w:color="auto"/>
        <w:bottom w:val="none" w:sz="0" w:space="0" w:color="auto"/>
        <w:right w:val="none" w:sz="0" w:space="0" w:color="auto"/>
      </w:divBdr>
    </w:div>
    <w:div w:id="1124539437">
      <w:bodyDiv w:val="1"/>
      <w:marLeft w:val="0"/>
      <w:marRight w:val="0"/>
      <w:marTop w:val="0"/>
      <w:marBottom w:val="0"/>
      <w:divBdr>
        <w:top w:val="none" w:sz="0" w:space="0" w:color="auto"/>
        <w:left w:val="none" w:sz="0" w:space="0" w:color="auto"/>
        <w:bottom w:val="none" w:sz="0" w:space="0" w:color="auto"/>
        <w:right w:val="none" w:sz="0" w:space="0" w:color="auto"/>
      </w:divBdr>
    </w:div>
    <w:div w:id="1130057290">
      <w:bodyDiv w:val="1"/>
      <w:marLeft w:val="0"/>
      <w:marRight w:val="0"/>
      <w:marTop w:val="0"/>
      <w:marBottom w:val="0"/>
      <w:divBdr>
        <w:top w:val="none" w:sz="0" w:space="0" w:color="auto"/>
        <w:left w:val="none" w:sz="0" w:space="0" w:color="auto"/>
        <w:bottom w:val="none" w:sz="0" w:space="0" w:color="auto"/>
        <w:right w:val="none" w:sz="0" w:space="0" w:color="auto"/>
      </w:divBdr>
    </w:div>
    <w:div w:id="1167331760">
      <w:bodyDiv w:val="1"/>
      <w:marLeft w:val="0"/>
      <w:marRight w:val="0"/>
      <w:marTop w:val="0"/>
      <w:marBottom w:val="0"/>
      <w:divBdr>
        <w:top w:val="none" w:sz="0" w:space="0" w:color="auto"/>
        <w:left w:val="none" w:sz="0" w:space="0" w:color="auto"/>
        <w:bottom w:val="none" w:sz="0" w:space="0" w:color="auto"/>
        <w:right w:val="none" w:sz="0" w:space="0" w:color="auto"/>
      </w:divBdr>
    </w:div>
    <w:div w:id="1185364716">
      <w:bodyDiv w:val="1"/>
      <w:marLeft w:val="0"/>
      <w:marRight w:val="0"/>
      <w:marTop w:val="0"/>
      <w:marBottom w:val="0"/>
      <w:divBdr>
        <w:top w:val="none" w:sz="0" w:space="0" w:color="auto"/>
        <w:left w:val="none" w:sz="0" w:space="0" w:color="auto"/>
        <w:bottom w:val="none" w:sz="0" w:space="0" w:color="auto"/>
        <w:right w:val="none" w:sz="0" w:space="0" w:color="auto"/>
      </w:divBdr>
    </w:div>
    <w:div w:id="1230727315">
      <w:bodyDiv w:val="1"/>
      <w:marLeft w:val="0"/>
      <w:marRight w:val="0"/>
      <w:marTop w:val="0"/>
      <w:marBottom w:val="0"/>
      <w:divBdr>
        <w:top w:val="none" w:sz="0" w:space="0" w:color="auto"/>
        <w:left w:val="none" w:sz="0" w:space="0" w:color="auto"/>
        <w:bottom w:val="none" w:sz="0" w:space="0" w:color="auto"/>
        <w:right w:val="none" w:sz="0" w:space="0" w:color="auto"/>
      </w:divBdr>
    </w:div>
    <w:div w:id="1239553167">
      <w:bodyDiv w:val="1"/>
      <w:marLeft w:val="0"/>
      <w:marRight w:val="0"/>
      <w:marTop w:val="0"/>
      <w:marBottom w:val="0"/>
      <w:divBdr>
        <w:top w:val="none" w:sz="0" w:space="0" w:color="auto"/>
        <w:left w:val="none" w:sz="0" w:space="0" w:color="auto"/>
        <w:bottom w:val="none" w:sz="0" w:space="0" w:color="auto"/>
        <w:right w:val="none" w:sz="0" w:space="0" w:color="auto"/>
      </w:divBdr>
    </w:div>
    <w:div w:id="1254169955">
      <w:bodyDiv w:val="1"/>
      <w:marLeft w:val="0"/>
      <w:marRight w:val="0"/>
      <w:marTop w:val="0"/>
      <w:marBottom w:val="0"/>
      <w:divBdr>
        <w:top w:val="none" w:sz="0" w:space="0" w:color="auto"/>
        <w:left w:val="none" w:sz="0" w:space="0" w:color="auto"/>
        <w:bottom w:val="none" w:sz="0" w:space="0" w:color="auto"/>
        <w:right w:val="none" w:sz="0" w:space="0" w:color="auto"/>
      </w:divBdr>
    </w:div>
    <w:div w:id="1264221428">
      <w:bodyDiv w:val="1"/>
      <w:marLeft w:val="0"/>
      <w:marRight w:val="0"/>
      <w:marTop w:val="0"/>
      <w:marBottom w:val="0"/>
      <w:divBdr>
        <w:top w:val="none" w:sz="0" w:space="0" w:color="auto"/>
        <w:left w:val="none" w:sz="0" w:space="0" w:color="auto"/>
        <w:bottom w:val="none" w:sz="0" w:space="0" w:color="auto"/>
        <w:right w:val="none" w:sz="0" w:space="0" w:color="auto"/>
      </w:divBdr>
    </w:div>
    <w:div w:id="1270818295">
      <w:bodyDiv w:val="1"/>
      <w:marLeft w:val="0"/>
      <w:marRight w:val="0"/>
      <w:marTop w:val="0"/>
      <w:marBottom w:val="0"/>
      <w:divBdr>
        <w:top w:val="none" w:sz="0" w:space="0" w:color="auto"/>
        <w:left w:val="none" w:sz="0" w:space="0" w:color="auto"/>
        <w:bottom w:val="none" w:sz="0" w:space="0" w:color="auto"/>
        <w:right w:val="none" w:sz="0" w:space="0" w:color="auto"/>
      </w:divBdr>
    </w:div>
    <w:div w:id="1273438058">
      <w:bodyDiv w:val="1"/>
      <w:marLeft w:val="0"/>
      <w:marRight w:val="0"/>
      <w:marTop w:val="0"/>
      <w:marBottom w:val="0"/>
      <w:divBdr>
        <w:top w:val="none" w:sz="0" w:space="0" w:color="auto"/>
        <w:left w:val="none" w:sz="0" w:space="0" w:color="auto"/>
        <w:bottom w:val="none" w:sz="0" w:space="0" w:color="auto"/>
        <w:right w:val="none" w:sz="0" w:space="0" w:color="auto"/>
      </w:divBdr>
    </w:div>
    <w:div w:id="1296570573">
      <w:bodyDiv w:val="1"/>
      <w:marLeft w:val="0"/>
      <w:marRight w:val="0"/>
      <w:marTop w:val="0"/>
      <w:marBottom w:val="0"/>
      <w:divBdr>
        <w:top w:val="none" w:sz="0" w:space="0" w:color="auto"/>
        <w:left w:val="none" w:sz="0" w:space="0" w:color="auto"/>
        <w:bottom w:val="none" w:sz="0" w:space="0" w:color="auto"/>
        <w:right w:val="none" w:sz="0" w:space="0" w:color="auto"/>
      </w:divBdr>
    </w:div>
    <w:div w:id="1302031314">
      <w:bodyDiv w:val="1"/>
      <w:marLeft w:val="0"/>
      <w:marRight w:val="0"/>
      <w:marTop w:val="0"/>
      <w:marBottom w:val="0"/>
      <w:divBdr>
        <w:top w:val="none" w:sz="0" w:space="0" w:color="auto"/>
        <w:left w:val="none" w:sz="0" w:space="0" w:color="auto"/>
        <w:bottom w:val="none" w:sz="0" w:space="0" w:color="auto"/>
        <w:right w:val="none" w:sz="0" w:space="0" w:color="auto"/>
      </w:divBdr>
    </w:div>
    <w:div w:id="1309360738">
      <w:bodyDiv w:val="1"/>
      <w:marLeft w:val="0"/>
      <w:marRight w:val="0"/>
      <w:marTop w:val="0"/>
      <w:marBottom w:val="0"/>
      <w:divBdr>
        <w:top w:val="none" w:sz="0" w:space="0" w:color="auto"/>
        <w:left w:val="none" w:sz="0" w:space="0" w:color="auto"/>
        <w:bottom w:val="none" w:sz="0" w:space="0" w:color="auto"/>
        <w:right w:val="none" w:sz="0" w:space="0" w:color="auto"/>
      </w:divBdr>
    </w:div>
    <w:div w:id="1348171927">
      <w:bodyDiv w:val="1"/>
      <w:marLeft w:val="0"/>
      <w:marRight w:val="0"/>
      <w:marTop w:val="0"/>
      <w:marBottom w:val="0"/>
      <w:divBdr>
        <w:top w:val="none" w:sz="0" w:space="0" w:color="auto"/>
        <w:left w:val="none" w:sz="0" w:space="0" w:color="auto"/>
        <w:bottom w:val="none" w:sz="0" w:space="0" w:color="auto"/>
        <w:right w:val="none" w:sz="0" w:space="0" w:color="auto"/>
      </w:divBdr>
    </w:div>
    <w:div w:id="1361323220">
      <w:bodyDiv w:val="1"/>
      <w:marLeft w:val="0"/>
      <w:marRight w:val="0"/>
      <w:marTop w:val="0"/>
      <w:marBottom w:val="0"/>
      <w:divBdr>
        <w:top w:val="none" w:sz="0" w:space="0" w:color="auto"/>
        <w:left w:val="none" w:sz="0" w:space="0" w:color="auto"/>
        <w:bottom w:val="none" w:sz="0" w:space="0" w:color="auto"/>
        <w:right w:val="none" w:sz="0" w:space="0" w:color="auto"/>
      </w:divBdr>
    </w:div>
    <w:div w:id="1380932020">
      <w:bodyDiv w:val="1"/>
      <w:marLeft w:val="0"/>
      <w:marRight w:val="0"/>
      <w:marTop w:val="0"/>
      <w:marBottom w:val="0"/>
      <w:divBdr>
        <w:top w:val="none" w:sz="0" w:space="0" w:color="auto"/>
        <w:left w:val="none" w:sz="0" w:space="0" w:color="auto"/>
        <w:bottom w:val="none" w:sz="0" w:space="0" w:color="auto"/>
        <w:right w:val="none" w:sz="0" w:space="0" w:color="auto"/>
      </w:divBdr>
    </w:div>
    <w:div w:id="1389455825">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405759410">
      <w:bodyDiv w:val="1"/>
      <w:marLeft w:val="0"/>
      <w:marRight w:val="0"/>
      <w:marTop w:val="0"/>
      <w:marBottom w:val="0"/>
      <w:divBdr>
        <w:top w:val="none" w:sz="0" w:space="0" w:color="auto"/>
        <w:left w:val="none" w:sz="0" w:space="0" w:color="auto"/>
        <w:bottom w:val="none" w:sz="0" w:space="0" w:color="auto"/>
        <w:right w:val="none" w:sz="0" w:space="0" w:color="auto"/>
      </w:divBdr>
    </w:div>
    <w:div w:id="1437554108">
      <w:bodyDiv w:val="1"/>
      <w:marLeft w:val="0"/>
      <w:marRight w:val="0"/>
      <w:marTop w:val="0"/>
      <w:marBottom w:val="0"/>
      <w:divBdr>
        <w:top w:val="none" w:sz="0" w:space="0" w:color="auto"/>
        <w:left w:val="none" w:sz="0" w:space="0" w:color="auto"/>
        <w:bottom w:val="none" w:sz="0" w:space="0" w:color="auto"/>
        <w:right w:val="none" w:sz="0" w:space="0" w:color="auto"/>
      </w:divBdr>
    </w:div>
    <w:div w:id="1495610975">
      <w:bodyDiv w:val="1"/>
      <w:marLeft w:val="0"/>
      <w:marRight w:val="0"/>
      <w:marTop w:val="0"/>
      <w:marBottom w:val="0"/>
      <w:divBdr>
        <w:top w:val="none" w:sz="0" w:space="0" w:color="auto"/>
        <w:left w:val="none" w:sz="0" w:space="0" w:color="auto"/>
        <w:bottom w:val="none" w:sz="0" w:space="0" w:color="auto"/>
        <w:right w:val="none" w:sz="0" w:space="0" w:color="auto"/>
      </w:divBdr>
    </w:div>
    <w:div w:id="1500347040">
      <w:bodyDiv w:val="1"/>
      <w:marLeft w:val="0"/>
      <w:marRight w:val="0"/>
      <w:marTop w:val="0"/>
      <w:marBottom w:val="0"/>
      <w:divBdr>
        <w:top w:val="none" w:sz="0" w:space="0" w:color="auto"/>
        <w:left w:val="none" w:sz="0" w:space="0" w:color="auto"/>
        <w:bottom w:val="none" w:sz="0" w:space="0" w:color="auto"/>
        <w:right w:val="none" w:sz="0" w:space="0" w:color="auto"/>
      </w:divBdr>
    </w:div>
    <w:div w:id="1518695860">
      <w:bodyDiv w:val="1"/>
      <w:marLeft w:val="0"/>
      <w:marRight w:val="0"/>
      <w:marTop w:val="0"/>
      <w:marBottom w:val="0"/>
      <w:divBdr>
        <w:top w:val="none" w:sz="0" w:space="0" w:color="auto"/>
        <w:left w:val="none" w:sz="0" w:space="0" w:color="auto"/>
        <w:bottom w:val="none" w:sz="0" w:space="0" w:color="auto"/>
        <w:right w:val="none" w:sz="0" w:space="0" w:color="auto"/>
      </w:divBdr>
    </w:div>
    <w:div w:id="1522550383">
      <w:bodyDiv w:val="1"/>
      <w:marLeft w:val="0"/>
      <w:marRight w:val="0"/>
      <w:marTop w:val="0"/>
      <w:marBottom w:val="0"/>
      <w:divBdr>
        <w:top w:val="none" w:sz="0" w:space="0" w:color="auto"/>
        <w:left w:val="none" w:sz="0" w:space="0" w:color="auto"/>
        <w:bottom w:val="none" w:sz="0" w:space="0" w:color="auto"/>
        <w:right w:val="none" w:sz="0" w:space="0" w:color="auto"/>
      </w:divBdr>
    </w:div>
    <w:div w:id="1541671804">
      <w:bodyDiv w:val="1"/>
      <w:marLeft w:val="0"/>
      <w:marRight w:val="0"/>
      <w:marTop w:val="0"/>
      <w:marBottom w:val="0"/>
      <w:divBdr>
        <w:top w:val="none" w:sz="0" w:space="0" w:color="auto"/>
        <w:left w:val="none" w:sz="0" w:space="0" w:color="auto"/>
        <w:bottom w:val="none" w:sz="0" w:space="0" w:color="auto"/>
        <w:right w:val="none" w:sz="0" w:space="0" w:color="auto"/>
      </w:divBdr>
    </w:div>
    <w:div w:id="1546062025">
      <w:bodyDiv w:val="1"/>
      <w:marLeft w:val="0"/>
      <w:marRight w:val="0"/>
      <w:marTop w:val="0"/>
      <w:marBottom w:val="0"/>
      <w:divBdr>
        <w:top w:val="none" w:sz="0" w:space="0" w:color="auto"/>
        <w:left w:val="none" w:sz="0" w:space="0" w:color="auto"/>
        <w:bottom w:val="none" w:sz="0" w:space="0" w:color="auto"/>
        <w:right w:val="none" w:sz="0" w:space="0" w:color="auto"/>
      </w:divBdr>
    </w:div>
    <w:div w:id="1574848888">
      <w:bodyDiv w:val="1"/>
      <w:marLeft w:val="0"/>
      <w:marRight w:val="0"/>
      <w:marTop w:val="0"/>
      <w:marBottom w:val="0"/>
      <w:divBdr>
        <w:top w:val="none" w:sz="0" w:space="0" w:color="auto"/>
        <w:left w:val="none" w:sz="0" w:space="0" w:color="auto"/>
        <w:bottom w:val="none" w:sz="0" w:space="0" w:color="auto"/>
        <w:right w:val="none" w:sz="0" w:space="0" w:color="auto"/>
      </w:divBdr>
    </w:div>
    <w:div w:id="1609241854">
      <w:bodyDiv w:val="1"/>
      <w:marLeft w:val="0"/>
      <w:marRight w:val="0"/>
      <w:marTop w:val="0"/>
      <w:marBottom w:val="0"/>
      <w:divBdr>
        <w:top w:val="none" w:sz="0" w:space="0" w:color="auto"/>
        <w:left w:val="none" w:sz="0" w:space="0" w:color="auto"/>
        <w:bottom w:val="none" w:sz="0" w:space="0" w:color="auto"/>
        <w:right w:val="none" w:sz="0" w:space="0" w:color="auto"/>
      </w:divBdr>
    </w:div>
    <w:div w:id="1630235555">
      <w:bodyDiv w:val="1"/>
      <w:marLeft w:val="0"/>
      <w:marRight w:val="0"/>
      <w:marTop w:val="0"/>
      <w:marBottom w:val="0"/>
      <w:divBdr>
        <w:top w:val="none" w:sz="0" w:space="0" w:color="auto"/>
        <w:left w:val="none" w:sz="0" w:space="0" w:color="auto"/>
        <w:bottom w:val="none" w:sz="0" w:space="0" w:color="auto"/>
        <w:right w:val="none" w:sz="0" w:space="0" w:color="auto"/>
      </w:divBdr>
    </w:div>
    <w:div w:id="1705594243">
      <w:bodyDiv w:val="1"/>
      <w:marLeft w:val="0"/>
      <w:marRight w:val="0"/>
      <w:marTop w:val="0"/>
      <w:marBottom w:val="0"/>
      <w:divBdr>
        <w:top w:val="none" w:sz="0" w:space="0" w:color="auto"/>
        <w:left w:val="none" w:sz="0" w:space="0" w:color="auto"/>
        <w:bottom w:val="none" w:sz="0" w:space="0" w:color="auto"/>
        <w:right w:val="none" w:sz="0" w:space="0" w:color="auto"/>
      </w:divBdr>
    </w:div>
    <w:div w:id="1711999398">
      <w:bodyDiv w:val="1"/>
      <w:marLeft w:val="0"/>
      <w:marRight w:val="0"/>
      <w:marTop w:val="0"/>
      <w:marBottom w:val="0"/>
      <w:divBdr>
        <w:top w:val="none" w:sz="0" w:space="0" w:color="auto"/>
        <w:left w:val="none" w:sz="0" w:space="0" w:color="auto"/>
        <w:bottom w:val="none" w:sz="0" w:space="0" w:color="auto"/>
        <w:right w:val="none" w:sz="0" w:space="0" w:color="auto"/>
      </w:divBdr>
    </w:div>
    <w:div w:id="1721783633">
      <w:bodyDiv w:val="1"/>
      <w:marLeft w:val="0"/>
      <w:marRight w:val="0"/>
      <w:marTop w:val="0"/>
      <w:marBottom w:val="0"/>
      <w:divBdr>
        <w:top w:val="none" w:sz="0" w:space="0" w:color="auto"/>
        <w:left w:val="none" w:sz="0" w:space="0" w:color="auto"/>
        <w:bottom w:val="none" w:sz="0" w:space="0" w:color="auto"/>
        <w:right w:val="none" w:sz="0" w:space="0" w:color="auto"/>
      </w:divBdr>
    </w:div>
    <w:div w:id="1727336624">
      <w:bodyDiv w:val="1"/>
      <w:marLeft w:val="0"/>
      <w:marRight w:val="0"/>
      <w:marTop w:val="0"/>
      <w:marBottom w:val="0"/>
      <w:divBdr>
        <w:top w:val="none" w:sz="0" w:space="0" w:color="auto"/>
        <w:left w:val="none" w:sz="0" w:space="0" w:color="auto"/>
        <w:bottom w:val="none" w:sz="0" w:space="0" w:color="auto"/>
        <w:right w:val="none" w:sz="0" w:space="0" w:color="auto"/>
      </w:divBdr>
    </w:div>
    <w:div w:id="1729720954">
      <w:bodyDiv w:val="1"/>
      <w:marLeft w:val="0"/>
      <w:marRight w:val="0"/>
      <w:marTop w:val="0"/>
      <w:marBottom w:val="0"/>
      <w:divBdr>
        <w:top w:val="none" w:sz="0" w:space="0" w:color="auto"/>
        <w:left w:val="none" w:sz="0" w:space="0" w:color="auto"/>
        <w:bottom w:val="none" w:sz="0" w:space="0" w:color="auto"/>
        <w:right w:val="none" w:sz="0" w:space="0" w:color="auto"/>
      </w:divBdr>
    </w:div>
    <w:div w:id="1735086882">
      <w:bodyDiv w:val="1"/>
      <w:marLeft w:val="0"/>
      <w:marRight w:val="0"/>
      <w:marTop w:val="0"/>
      <w:marBottom w:val="0"/>
      <w:divBdr>
        <w:top w:val="none" w:sz="0" w:space="0" w:color="auto"/>
        <w:left w:val="none" w:sz="0" w:space="0" w:color="auto"/>
        <w:bottom w:val="none" w:sz="0" w:space="0" w:color="auto"/>
        <w:right w:val="none" w:sz="0" w:space="0" w:color="auto"/>
      </w:divBdr>
    </w:div>
    <w:div w:id="1743258745">
      <w:bodyDiv w:val="1"/>
      <w:marLeft w:val="0"/>
      <w:marRight w:val="0"/>
      <w:marTop w:val="0"/>
      <w:marBottom w:val="0"/>
      <w:divBdr>
        <w:top w:val="none" w:sz="0" w:space="0" w:color="auto"/>
        <w:left w:val="none" w:sz="0" w:space="0" w:color="auto"/>
        <w:bottom w:val="none" w:sz="0" w:space="0" w:color="auto"/>
        <w:right w:val="none" w:sz="0" w:space="0" w:color="auto"/>
      </w:divBdr>
    </w:div>
    <w:div w:id="1764909490">
      <w:bodyDiv w:val="1"/>
      <w:marLeft w:val="0"/>
      <w:marRight w:val="0"/>
      <w:marTop w:val="0"/>
      <w:marBottom w:val="0"/>
      <w:divBdr>
        <w:top w:val="none" w:sz="0" w:space="0" w:color="auto"/>
        <w:left w:val="none" w:sz="0" w:space="0" w:color="auto"/>
        <w:bottom w:val="none" w:sz="0" w:space="0" w:color="auto"/>
        <w:right w:val="none" w:sz="0" w:space="0" w:color="auto"/>
      </w:divBdr>
    </w:div>
    <w:div w:id="1781685366">
      <w:bodyDiv w:val="1"/>
      <w:marLeft w:val="0"/>
      <w:marRight w:val="0"/>
      <w:marTop w:val="0"/>
      <w:marBottom w:val="0"/>
      <w:divBdr>
        <w:top w:val="none" w:sz="0" w:space="0" w:color="auto"/>
        <w:left w:val="none" w:sz="0" w:space="0" w:color="auto"/>
        <w:bottom w:val="none" w:sz="0" w:space="0" w:color="auto"/>
        <w:right w:val="none" w:sz="0" w:space="0" w:color="auto"/>
      </w:divBdr>
    </w:div>
    <w:div w:id="1786339266">
      <w:bodyDiv w:val="1"/>
      <w:marLeft w:val="0"/>
      <w:marRight w:val="0"/>
      <w:marTop w:val="0"/>
      <w:marBottom w:val="0"/>
      <w:divBdr>
        <w:top w:val="none" w:sz="0" w:space="0" w:color="auto"/>
        <w:left w:val="none" w:sz="0" w:space="0" w:color="auto"/>
        <w:bottom w:val="none" w:sz="0" w:space="0" w:color="auto"/>
        <w:right w:val="none" w:sz="0" w:space="0" w:color="auto"/>
      </w:divBdr>
    </w:div>
    <w:div w:id="1802262870">
      <w:bodyDiv w:val="1"/>
      <w:marLeft w:val="0"/>
      <w:marRight w:val="0"/>
      <w:marTop w:val="0"/>
      <w:marBottom w:val="0"/>
      <w:divBdr>
        <w:top w:val="none" w:sz="0" w:space="0" w:color="auto"/>
        <w:left w:val="none" w:sz="0" w:space="0" w:color="auto"/>
        <w:bottom w:val="none" w:sz="0" w:space="0" w:color="auto"/>
        <w:right w:val="none" w:sz="0" w:space="0" w:color="auto"/>
      </w:divBdr>
    </w:div>
    <w:div w:id="1810857734">
      <w:bodyDiv w:val="1"/>
      <w:marLeft w:val="0"/>
      <w:marRight w:val="0"/>
      <w:marTop w:val="0"/>
      <w:marBottom w:val="0"/>
      <w:divBdr>
        <w:top w:val="none" w:sz="0" w:space="0" w:color="auto"/>
        <w:left w:val="none" w:sz="0" w:space="0" w:color="auto"/>
        <w:bottom w:val="none" w:sz="0" w:space="0" w:color="auto"/>
        <w:right w:val="none" w:sz="0" w:space="0" w:color="auto"/>
      </w:divBdr>
    </w:div>
    <w:div w:id="1831797745">
      <w:bodyDiv w:val="1"/>
      <w:marLeft w:val="0"/>
      <w:marRight w:val="0"/>
      <w:marTop w:val="0"/>
      <w:marBottom w:val="0"/>
      <w:divBdr>
        <w:top w:val="none" w:sz="0" w:space="0" w:color="auto"/>
        <w:left w:val="none" w:sz="0" w:space="0" w:color="auto"/>
        <w:bottom w:val="none" w:sz="0" w:space="0" w:color="auto"/>
        <w:right w:val="none" w:sz="0" w:space="0" w:color="auto"/>
      </w:divBdr>
    </w:div>
    <w:div w:id="1842310410">
      <w:bodyDiv w:val="1"/>
      <w:marLeft w:val="0"/>
      <w:marRight w:val="0"/>
      <w:marTop w:val="0"/>
      <w:marBottom w:val="0"/>
      <w:divBdr>
        <w:top w:val="none" w:sz="0" w:space="0" w:color="auto"/>
        <w:left w:val="none" w:sz="0" w:space="0" w:color="auto"/>
        <w:bottom w:val="none" w:sz="0" w:space="0" w:color="auto"/>
        <w:right w:val="none" w:sz="0" w:space="0" w:color="auto"/>
      </w:divBdr>
    </w:div>
    <w:div w:id="1845244655">
      <w:bodyDiv w:val="1"/>
      <w:marLeft w:val="0"/>
      <w:marRight w:val="0"/>
      <w:marTop w:val="0"/>
      <w:marBottom w:val="0"/>
      <w:divBdr>
        <w:top w:val="none" w:sz="0" w:space="0" w:color="auto"/>
        <w:left w:val="none" w:sz="0" w:space="0" w:color="auto"/>
        <w:bottom w:val="none" w:sz="0" w:space="0" w:color="auto"/>
        <w:right w:val="none" w:sz="0" w:space="0" w:color="auto"/>
      </w:divBdr>
    </w:div>
    <w:div w:id="1848323927">
      <w:bodyDiv w:val="1"/>
      <w:marLeft w:val="0"/>
      <w:marRight w:val="0"/>
      <w:marTop w:val="0"/>
      <w:marBottom w:val="0"/>
      <w:divBdr>
        <w:top w:val="none" w:sz="0" w:space="0" w:color="auto"/>
        <w:left w:val="none" w:sz="0" w:space="0" w:color="auto"/>
        <w:bottom w:val="none" w:sz="0" w:space="0" w:color="auto"/>
        <w:right w:val="none" w:sz="0" w:space="0" w:color="auto"/>
      </w:divBdr>
    </w:div>
    <w:div w:id="1879854297">
      <w:bodyDiv w:val="1"/>
      <w:marLeft w:val="0"/>
      <w:marRight w:val="0"/>
      <w:marTop w:val="0"/>
      <w:marBottom w:val="0"/>
      <w:divBdr>
        <w:top w:val="none" w:sz="0" w:space="0" w:color="auto"/>
        <w:left w:val="none" w:sz="0" w:space="0" w:color="auto"/>
        <w:bottom w:val="none" w:sz="0" w:space="0" w:color="auto"/>
        <w:right w:val="none" w:sz="0" w:space="0" w:color="auto"/>
      </w:divBdr>
    </w:div>
    <w:div w:id="1884056703">
      <w:bodyDiv w:val="1"/>
      <w:marLeft w:val="0"/>
      <w:marRight w:val="0"/>
      <w:marTop w:val="0"/>
      <w:marBottom w:val="0"/>
      <w:divBdr>
        <w:top w:val="none" w:sz="0" w:space="0" w:color="auto"/>
        <w:left w:val="none" w:sz="0" w:space="0" w:color="auto"/>
        <w:bottom w:val="none" w:sz="0" w:space="0" w:color="auto"/>
        <w:right w:val="none" w:sz="0" w:space="0" w:color="auto"/>
      </w:divBdr>
    </w:div>
    <w:div w:id="1886602664">
      <w:bodyDiv w:val="1"/>
      <w:marLeft w:val="0"/>
      <w:marRight w:val="0"/>
      <w:marTop w:val="0"/>
      <w:marBottom w:val="0"/>
      <w:divBdr>
        <w:top w:val="none" w:sz="0" w:space="0" w:color="auto"/>
        <w:left w:val="none" w:sz="0" w:space="0" w:color="auto"/>
        <w:bottom w:val="none" w:sz="0" w:space="0" w:color="auto"/>
        <w:right w:val="none" w:sz="0" w:space="0" w:color="auto"/>
      </w:divBdr>
    </w:div>
    <w:div w:id="1903251207">
      <w:bodyDiv w:val="1"/>
      <w:marLeft w:val="0"/>
      <w:marRight w:val="0"/>
      <w:marTop w:val="0"/>
      <w:marBottom w:val="0"/>
      <w:divBdr>
        <w:top w:val="none" w:sz="0" w:space="0" w:color="auto"/>
        <w:left w:val="none" w:sz="0" w:space="0" w:color="auto"/>
        <w:bottom w:val="none" w:sz="0" w:space="0" w:color="auto"/>
        <w:right w:val="none" w:sz="0" w:space="0" w:color="auto"/>
      </w:divBdr>
    </w:div>
    <w:div w:id="1913198836">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62150196">
      <w:bodyDiv w:val="1"/>
      <w:marLeft w:val="0"/>
      <w:marRight w:val="0"/>
      <w:marTop w:val="0"/>
      <w:marBottom w:val="0"/>
      <w:divBdr>
        <w:top w:val="none" w:sz="0" w:space="0" w:color="auto"/>
        <w:left w:val="none" w:sz="0" w:space="0" w:color="auto"/>
        <w:bottom w:val="none" w:sz="0" w:space="0" w:color="auto"/>
        <w:right w:val="none" w:sz="0" w:space="0" w:color="auto"/>
      </w:divBdr>
    </w:div>
    <w:div w:id="1977100686">
      <w:bodyDiv w:val="1"/>
      <w:marLeft w:val="0"/>
      <w:marRight w:val="0"/>
      <w:marTop w:val="0"/>
      <w:marBottom w:val="0"/>
      <w:divBdr>
        <w:top w:val="none" w:sz="0" w:space="0" w:color="auto"/>
        <w:left w:val="none" w:sz="0" w:space="0" w:color="auto"/>
        <w:bottom w:val="none" w:sz="0" w:space="0" w:color="auto"/>
        <w:right w:val="none" w:sz="0" w:space="0" w:color="auto"/>
      </w:divBdr>
    </w:div>
    <w:div w:id="2026974153">
      <w:bodyDiv w:val="1"/>
      <w:marLeft w:val="0"/>
      <w:marRight w:val="0"/>
      <w:marTop w:val="0"/>
      <w:marBottom w:val="0"/>
      <w:divBdr>
        <w:top w:val="none" w:sz="0" w:space="0" w:color="auto"/>
        <w:left w:val="none" w:sz="0" w:space="0" w:color="auto"/>
        <w:bottom w:val="none" w:sz="0" w:space="0" w:color="auto"/>
        <w:right w:val="none" w:sz="0" w:space="0" w:color="auto"/>
      </w:divBdr>
    </w:div>
    <w:div w:id="2102602086">
      <w:bodyDiv w:val="1"/>
      <w:marLeft w:val="0"/>
      <w:marRight w:val="0"/>
      <w:marTop w:val="0"/>
      <w:marBottom w:val="0"/>
      <w:divBdr>
        <w:top w:val="none" w:sz="0" w:space="0" w:color="auto"/>
        <w:left w:val="none" w:sz="0" w:space="0" w:color="auto"/>
        <w:bottom w:val="none" w:sz="0" w:space="0" w:color="auto"/>
        <w:right w:val="none" w:sz="0" w:space="0" w:color="auto"/>
      </w:divBdr>
    </w:div>
    <w:div w:id="21155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4720-3CA1-4D80-82AC-5322DF0C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12912</Words>
  <Characters>71022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11</cp:revision>
  <cp:lastPrinted>2017-10-17T23:33:00Z</cp:lastPrinted>
  <dcterms:created xsi:type="dcterms:W3CDTF">2017-09-04T16:15:00Z</dcterms:created>
  <dcterms:modified xsi:type="dcterms:W3CDTF">2017-11-14T20:07:00Z</dcterms:modified>
</cp:coreProperties>
</file>