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75A3E" w14:textId="77777777" w:rsidR="002C5C12" w:rsidRPr="005D557C" w:rsidRDefault="00CC5A6D" w:rsidP="005D557C">
      <w:pPr>
        <w:pStyle w:val="Ttulo1"/>
        <w:spacing w:after="240" w:line="240" w:lineRule="auto"/>
        <w:jc w:val="both"/>
        <w:rPr>
          <w:rFonts w:ascii="ITC Avant Garde" w:hAnsi="ITC Avant Garde"/>
          <w:b/>
          <w:color w:val="000000" w:themeColor="text1"/>
          <w:sz w:val="22"/>
          <w:szCs w:val="22"/>
          <w:lang w:eastAsia="es-MX"/>
        </w:rPr>
      </w:pPr>
      <w:r w:rsidRPr="005D557C">
        <w:rPr>
          <w:rFonts w:ascii="ITC Avant Garde" w:hAnsi="ITC Avant Garde"/>
          <w:b/>
          <w:color w:val="000000" w:themeColor="text1"/>
          <w:sz w:val="22"/>
          <w:szCs w:val="22"/>
          <w:lang w:eastAsia="es-MX"/>
        </w:rPr>
        <w:t>RESOLUCIÓN MEDIANTE LA CUAL EL PLENO DEL INSTITUTO FEDERAL DE TELECOMUNICACIONES AUTORIZA LA AMPLIACIÓN DE COBERTURA DEL TÍTULO DE CONCESIÓN PARA INSTALAR, OPERAR Y EXPLOTAR UNA RED PÚBLICA DE TELECOMUNICACIONES OTORGADO EL 27 DE ABRIL DE 2012, AL C. EDUARDO TREVIÑO NÚÑEZ</w:t>
      </w:r>
      <w:r w:rsidR="002A0B3C" w:rsidRPr="005D557C">
        <w:rPr>
          <w:rFonts w:ascii="ITC Avant Garde" w:hAnsi="ITC Avant Garde"/>
          <w:b/>
          <w:color w:val="000000" w:themeColor="text1"/>
          <w:sz w:val="22"/>
          <w:szCs w:val="22"/>
          <w:lang w:eastAsia="es-MX"/>
        </w:rPr>
        <w:t>.</w:t>
      </w:r>
      <w:r w:rsidR="00714806" w:rsidRPr="005D557C">
        <w:rPr>
          <w:rFonts w:ascii="ITC Avant Garde" w:hAnsi="ITC Avant Garde"/>
          <w:b/>
          <w:color w:val="000000" w:themeColor="text1"/>
          <w:sz w:val="22"/>
          <w:szCs w:val="22"/>
          <w:lang w:eastAsia="es-MX"/>
        </w:rPr>
        <w:t xml:space="preserve"> </w:t>
      </w:r>
      <w:bookmarkStart w:id="0" w:name="_GoBack"/>
      <w:bookmarkEnd w:id="0"/>
    </w:p>
    <w:p w14:paraId="0AC2F69C" w14:textId="77777777" w:rsidR="002C5C12" w:rsidRPr="005D557C" w:rsidRDefault="00B048BA" w:rsidP="005D557C">
      <w:pPr>
        <w:pStyle w:val="Ttulo2"/>
        <w:spacing w:after="240"/>
        <w:jc w:val="center"/>
        <w:rPr>
          <w:rFonts w:ascii="ITC Avant Garde" w:hAnsi="ITC Avant Garde"/>
          <w:b/>
          <w:color w:val="000000" w:themeColor="text1"/>
          <w:sz w:val="22"/>
          <w:szCs w:val="22"/>
        </w:rPr>
      </w:pPr>
      <w:r w:rsidRPr="005D557C">
        <w:rPr>
          <w:rFonts w:ascii="ITC Avant Garde" w:hAnsi="ITC Avant Garde"/>
          <w:b/>
          <w:color w:val="000000" w:themeColor="text1"/>
          <w:sz w:val="22"/>
          <w:szCs w:val="22"/>
        </w:rPr>
        <w:t>ANTECEDENTES</w:t>
      </w:r>
    </w:p>
    <w:p w14:paraId="68DC18AF" w14:textId="2C6DC8F4" w:rsidR="002C5C12" w:rsidRPr="005D557C" w:rsidRDefault="00516DB6" w:rsidP="002C5C12">
      <w:pPr>
        <w:numPr>
          <w:ilvl w:val="0"/>
          <w:numId w:val="4"/>
        </w:numPr>
        <w:spacing w:before="240" w:line="240" w:lineRule="auto"/>
        <w:ind w:left="567"/>
        <w:jc w:val="both"/>
        <w:rPr>
          <w:rFonts w:ascii="ITC Avant Garde" w:hAnsi="ITC Avant Garde"/>
          <w:bCs/>
          <w:lang w:eastAsia="es-MX"/>
        </w:rPr>
      </w:pPr>
      <w:r w:rsidRPr="005D557C">
        <w:rPr>
          <w:rFonts w:ascii="ITC Avant Garde" w:hAnsi="ITC Avant Garde"/>
          <w:b/>
          <w:bCs/>
          <w:lang w:eastAsia="es-MX"/>
        </w:rPr>
        <w:t>Otorgamiento de la C</w:t>
      </w:r>
      <w:r w:rsidR="00824E5F" w:rsidRPr="005D557C">
        <w:rPr>
          <w:rFonts w:ascii="ITC Avant Garde" w:hAnsi="ITC Avant Garde"/>
          <w:b/>
          <w:bCs/>
          <w:lang w:eastAsia="es-MX"/>
        </w:rPr>
        <w:t>oncesión.</w:t>
      </w:r>
      <w:r w:rsidR="00824E5F" w:rsidRPr="005D557C">
        <w:rPr>
          <w:rFonts w:ascii="ITC Avant Garde" w:hAnsi="ITC Avant Garde"/>
          <w:bCs/>
          <w:lang w:eastAsia="es-MX"/>
        </w:rPr>
        <w:t xml:space="preserve"> </w:t>
      </w:r>
      <w:r w:rsidR="00494F85" w:rsidRPr="005D557C">
        <w:rPr>
          <w:rFonts w:ascii="ITC Avant Garde" w:hAnsi="ITC Avant Garde"/>
          <w:bCs/>
          <w:lang w:eastAsia="es-MX"/>
        </w:rPr>
        <w:t xml:space="preserve">El </w:t>
      </w:r>
      <w:r w:rsidR="00CC5A6D" w:rsidRPr="005D557C">
        <w:rPr>
          <w:rFonts w:ascii="ITC Avant Garde" w:hAnsi="ITC Avant Garde"/>
          <w:bCs/>
          <w:lang w:eastAsia="es-MX"/>
        </w:rPr>
        <w:t>27</w:t>
      </w:r>
      <w:r w:rsidR="00494F85" w:rsidRPr="005D557C">
        <w:rPr>
          <w:rFonts w:ascii="ITC Avant Garde" w:hAnsi="ITC Avant Garde"/>
          <w:bCs/>
          <w:lang w:eastAsia="es-MX"/>
        </w:rPr>
        <w:t xml:space="preserve"> de </w:t>
      </w:r>
      <w:r w:rsidR="00CC5A6D" w:rsidRPr="005D557C">
        <w:rPr>
          <w:rFonts w:ascii="ITC Avant Garde" w:hAnsi="ITC Avant Garde"/>
          <w:bCs/>
          <w:lang w:eastAsia="es-MX"/>
        </w:rPr>
        <w:t>abril</w:t>
      </w:r>
      <w:r w:rsidR="00494F85" w:rsidRPr="005D557C">
        <w:rPr>
          <w:rFonts w:ascii="ITC Avant Garde" w:hAnsi="ITC Avant Garde"/>
          <w:bCs/>
          <w:lang w:eastAsia="es-MX"/>
        </w:rPr>
        <w:t xml:space="preserve"> de 20</w:t>
      </w:r>
      <w:r w:rsidR="00CC5A6D" w:rsidRPr="005D557C">
        <w:rPr>
          <w:rFonts w:ascii="ITC Avant Garde" w:hAnsi="ITC Avant Garde"/>
          <w:bCs/>
          <w:lang w:eastAsia="es-MX"/>
        </w:rPr>
        <w:t>12</w:t>
      </w:r>
      <w:r w:rsidR="00494F85" w:rsidRPr="005D557C">
        <w:rPr>
          <w:rFonts w:ascii="ITC Avant Garde" w:hAnsi="ITC Avant Garde"/>
          <w:bCs/>
          <w:lang w:eastAsia="es-MX"/>
        </w:rPr>
        <w:t xml:space="preserve">, la Secretaría de Comunicaciones y Transportes otorgó a favor del C. </w:t>
      </w:r>
      <w:r w:rsidR="00CC5A6D" w:rsidRPr="005D557C">
        <w:rPr>
          <w:rFonts w:ascii="ITC Avant Garde" w:hAnsi="ITC Avant Garde"/>
          <w:bCs/>
          <w:lang w:eastAsia="es-MX"/>
        </w:rPr>
        <w:t>Eduardo Treviño Núñez</w:t>
      </w:r>
      <w:r w:rsidR="00494F85" w:rsidRPr="005D557C">
        <w:rPr>
          <w:rFonts w:ascii="ITC Avant Garde" w:hAnsi="ITC Avant Garde"/>
          <w:bCs/>
          <w:lang w:eastAsia="es-MX"/>
        </w:rPr>
        <w:t xml:space="preserve">, un título de concesión para instalar, operar y explotar una red pública de telecomunicaciones para prestar el servicio de televisión restringida en </w:t>
      </w:r>
      <w:r w:rsidR="00CC5A6D" w:rsidRPr="005D557C">
        <w:rPr>
          <w:rFonts w:ascii="ITC Avant Garde" w:hAnsi="ITC Avant Garde"/>
          <w:bCs/>
          <w:lang w:eastAsia="es-MX"/>
        </w:rPr>
        <w:t>Los Reyes de Salgado, en el Municipio de Los Reyes, en el Estado de Michoacán</w:t>
      </w:r>
      <w:r w:rsidR="00494F85" w:rsidRPr="005D557C">
        <w:rPr>
          <w:rFonts w:ascii="ITC Avant Garde" w:hAnsi="ITC Avant Garde"/>
          <w:bCs/>
          <w:lang w:eastAsia="es-MX"/>
        </w:rPr>
        <w:t>, con una vigencia de 30 (treinta) años contados a partir de la fecha</w:t>
      </w:r>
      <w:r w:rsidR="002A0B3C" w:rsidRPr="005D557C">
        <w:rPr>
          <w:rFonts w:ascii="ITC Avant Garde" w:hAnsi="ITC Avant Garde"/>
          <w:bCs/>
          <w:lang w:eastAsia="es-MX"/>
        </w:rPr>
        <w:t xml:space="preserve"> de otorgamiento (la Concesión)</w:t>
      </w:r>
      <w:r w:rsidR="00824E5F" w:rsidRPr="005D557C">
        <w:rPr>
          <w:rFonts w:ascii="ITC Avant Garde" w:hAnsi="ITC Avant Garde"/>
          <w:bCs/>
          <w:lang w:eastAsia="es-MX"/>
        </w:rPr>
        <w:t>.</w:t>
      </w:r>
    </w:p>
    <w:p w14:paraId="0195DCF1" w14:textId="77777777" w:rsidR="002C5C12" w:rsidRPr="005D557C" w:rsidRDefault="00A73AD0" w:rsidP="002C5C12">
      <w:pPr>
        <w:numPr>
          <w:ilvl w:val="0"/>
          <w:numId w:val="4"/>
        </w:numPr>
        <w:spacing w:before="240" w:line="240" w:lineRule="auto"/>
        <w:ind w:left="567"/>
        <w:jc w:val="both"/>
        <w:rPr>
          <w:rFonts w:ascii="ITC Avant Garde" w:hAnsi="ITC Avant Garde"/>
          <w:b/>
          <w:bCs/>
          <w:lang w:eastAsia="es-MX"/>
        </w:rPr>
      </w:pPr>
      <w:r w:rsidRPr="005D557C">
        <w:rPr>
          <w:rFonts w:ascii="ITC Avant Garde" w:hAnsi="ITC Avant Garde"/>
          <w:b/>
          <w:bCs/>
          <w:lang w:eastAsia="es-MX"/>
        </w:rPr>
        <w:t>Decreto de Reforma Constitucional.</w:t>
      </w:r>
      <w:r w:rsidRPr="005D557C">
        <w:rPr>
          <w:rFonts w:ascii="ITC Avant Garde" w:hAnsi="ITC Avant Garde"/>
          <w:b/>
          <w:lang w:eastAsia="es-MX"/>
        </w:rPr>
        <w:t xml:space="preserve"> </w:t>
      </w:r>
      <w:r w:rsidRPr="005D557C">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EB3B4F" w:rsidRPr="005D557C">
        <w:rPr>
          <w:rFonts w:ascii="ITC Avant Garde" w:hAnsi="ITC Avant Garde"/>
          <w:bCs/>
          <w:lang w:eastAsia="es-MX"/>
        </w:rPr>
        <w:t xml:space="preserve"> (el “Decreto de Reforma Constitucional”)</w:t>
      </w:r>
      <w:r w:rsidRPr="005D557C">
        <w:rPr>
          <w:rFonts w:ascii="ITC Avant Garde" w:hAnsi="ITC Avant Garde"/>
          <w:bCs/>
          <w:lang w:eastAsia="es-MX"/>
        </w:rPr>
        <w:t>, mediante el cual se creó el Instituto Federal de Telecomunicaciones (el “Instituto”) como un órgano autónomo que tiene por objeto el desarrollo eficiente de la radiodifusión y las telecomunicaciones.</w:t>
      </w:r>
    </w:p>
    <w:p w14:paraId="3E16E78C" w14:textId="77777777" w:rsidR="002C5C12" w:rsidRPr="005D557C" w:rsidRDefault="00C94853" w:rsidP="002C5C12">
      <w:pPr>
        <w:numPr>
          <w:ilvl w:val="0"/>
          <w:numId w:val="4"/>
        </w:numPr>
        <w:spacing w:before="240" w:line="240" w:lineRule="auto"/>
        <w:ind w:left="567"/>
        <w:jc w:val="both"/>
        <w:rPr>
          <w:rFonts w:ascii="ITC Avant Garde" w:hAnsi="ITC Avant Garde"/>
          <w:b/>
          <w:bCs/>
          <w:lang w:eastAsia="es-MX"/>
        </w:rPr>
      </w:pPr>
      <w:r w:rsidRPr="005D557C">
        <w:rPr>
          <w:rFonts w:ascii="ITC Avant Garde" w:hAnsi="ITC Avant Garde"/>
          <w:b/>
          <w:bCs/>
          <w:color w:val="000000"/>
          <w:lang w:eastAsia="es-MX"/>
        </w:rPr>
        <w:t xml:space="preserve">Constancia de Registro de Servicios de Valor Agregado. </w:t>
      </w:r>
      <w:r w:rsidR="008E1B65" w:rsidRPr="005D557C">
        <w:rPr>
          <w:rFonts w:ascii="ITC Avant Garde" w:hAnsi="ITC Avant Garde"/>
          <w:bCs/>
          <w:color w:val="000000"/>
          <w:lang w:eastAsia="es-MX"/>
        </w:rPr>
        <w:t>El</w:t>
      </w:r>
      <w:r w:rsidRPr="005D557C">
        <w:rPr>
          <w:rFonts w:ascii="ITC Avant Garde" w:hAnsi="ITC Avant Garde"/>
          <w:bCs/>
          <w:color w:val="000000"/>
          <w:lang w:eastAsia="es-MX"/>
        </w:rPr>
        <w:t xml:space="preserve"> 13 de mayo de 2014, el Instituto notificó a la representante legal </w:t>
      </w:r>
      <w:r w:rsidRPr="005D557C">
        <w:rPr>
          <w:rFonts w:ascii="ITC Avant Garde" w:hAnsi="ITC Avant Garde"/>
          <w:bCs/>
          <w:lang w:eastAsia="es-MX"/>
        </w:rPr>
        <w:t>del C. Eduardo Treviño Núñez</w:t>
      </w:r>
      <w:r w:rsidRPr="005D557C">
        <w:rPr>
          <w:rFonts w:ascii="ITC Avant Garde" w:hAnsi="ITC Avant Garde"/>
          <w:bCs/>
          <w:color w:val="000000"/>
          <w:lang w:eastAsia="es-MX"/>
        </w:rPr>
        <w:t xml:space="preserve"> la Constancia de Registro de Servicios de Valor Agregado que comprende el servicio de provisión de acceso a Internet.</w:t>
      </w:r>
    </w:p>
    <w:p w14:paraId="7E44BE20" w14:textId="77777777" w:rsidR="002C5C12" w:rsidRPr="005D557C" w:rsidRDefault="009438D6" w:rsidP="002C5C12">
      <w:pPr>
        <w:numPr>
          <w:ilvl w:val="0"/>
          <w:numId w:val="4"/>
        </w:numPr>
        <w:spacing w:before="240" w:line="240" w:lineRule="auto"/>
        <w:ind w:left="567"/>
        <w:jc w:val="both"/>
        <w:rPr>
          <w:rFonts w:ascii="ITC Avant Garde" w:hAnsi="ITC Avant Garde"/>
          <w:bCs/>
          <w:lang w:eastAsia="es-MX"/>
        </w:rPr>
      </w:pPr>
      <w:r w:rsidRPr="005D557C">
        <w:rPr>
          <w:rFonts w:ascii="ITC Avant Garde" w:hAnsi="ITC Avant Garde"/>
          <w:b/>
          <w:bCs/>
          <w:lang w:eastAsia="es-MX"/>
        </w:rPr>
        <w:t xml:space="preserve">Decreto de Ley. </w:t>
      </w:r>
      <w:r w:rsidR="00B2653B" w:rsidRPr="005D557C">
        <w:rPr>
          <w:rFonts w:ascii="ITC Avant Garde" w:hAnsi="ITC Avant Garde"/>
          <w:bCs/>
          <w:lang w:eastAsia="es-MX"/>
        </w:rPr>
        <w:t xml:space="preserve">El </w:t>
      </w:r>
      <w:r w:rsidR="003265AC" w:rsidRPr="005D557C">
        <w:rPr>
          <w:rFonts w:ascii="ITC Avant Garde" w:hAnsi="ITC Avant Garde"/>
          <w:bCs/>
          <w:lang w:eastAsia="es-MX"/>
        </w:rPr>
        <w:t>14 de julio de 2014</w:t>
      </w:r>
      <w:r w:rsidR="00FC795D" w:rsidRPr="005D557C">
        <w:rPr>
          <w:rFonts w:ascii="ITC Avant Garde" w:hAnsi="ITC Avant Garde"/>
          <w:bCs/>
          <w:lang w:eastAsia="es-MX"/>
        </w:rPr>
        <w:t>,</w:t>
      </w:r>
      <w:r w:rsidRPr="005D557C">
        <w:rPr>
          <w:rFonts w:ascii="ITC Avant Garde" w:hAnsi="ITC Avant Garde"/>
          <w:bCs/>
          <w:lang w:eastAsia="es-MX"/>
        </w:rPr>
        <w:t xml:space="preserve"> </w:t>
      </w:r>
      <w:r w:rsidR="00B2653B" w:rsidRPr="005D557C">
        <w:rPr>
          <w:rFonts w:ascii="ITC Avant Garde" w:hAnsi="ITC Avant Garde"/>
          <w:bCs/>
          <w:lang w:eastAsia="es-MX"/>
        </w:rPr>
        <w:t>se</w:t>
      </w:r>
      <w:r w:rsidR="00A762AA" w:rsidRPr="005D557C">
        <w:rPr>
          <w:rFonts w:ascii="ITC Avant Garde" w:hAnsi="ITC Avant Garde"/>
          <w:bCs/>
          <w:lang w:eastAsia="es-MX"/>
        </w:rPr>
        <w:t xml:space="preserve"> </w:t>
      </w:r>
      <w:r w:rsidR="00341D5F" w:rsidRPr="005D557C">
        <w:rPr>
          <w:rFonts w:ascii="ITC Avant Garde" w:hAnsi="ITC Avant Garde"/>
          <w:bCs/>
          <w:lang w:eastAsia="es-MX"/>
        </w:rPr>
        <w:t>publicó</w:t>
      </w:r>
      <w:r w:rsidRPr="005D557C">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5D557C">
        <w:rPr>
          <w:rFonts w:ascii="ITC Avant Garde" w:hAnsi="ITC Avant Garde"/>
          <w:bCs/>
          <w:lang w:eastAsia="es-MX"/>
        </w:rPr>
        <w:t>difusión”</w:t>
      </w:r>
      <w:r w:rsidR="005E2E89" w:rsidRPr="005D557C">
        <w:rPr>
          <w:rFonts w:ascii="ITC Avant Garde" w:hAnsi="ITC Avant Garde"/>
          <w:bCs/>
          <w:lang w:eastAsia="es-MX"/>
        </w:rPr>
        <w:t>, mismo</w:t>
      </w:r>
      <w:r w:rsidR="008B7D57" w:rsidRPr="005D557C">
        <w:rPr>
          <w:rFonts w:ascii="ITC Avant Garde" w:hAnsi="ITC Avant Garde"/>
          <w:bCs/>
          <w:lang w:eastAsia="es-MX"/>
        </w:rPr>
        <w:t xml:space="preserve"> que entró en vigor el 13 de agosto de 2014</w:t>
      </w:r>
      <w:r w:rsidR="00266F42" w:rsidRPr="005D557C">
        <w:rPr>
          <w:rFonts w:ascii="ITC Avant Garde" w:hAnsi="ITC Avant Garde"/>
          <w:bCs/>
          <w:lang w:eastAsia="es-MX"/>
        </w:rPr>
        <w:t xml:space="preserve"> (el “Decreto de Ley”)</w:t>
      </w:r>
      <w:r w:rsidR="008B7D57" w:rsidRPr="005D557C">
        <w:rPr>
          <w:rFonts w:ascii="ITC Avant Garde" w:hAnsi="ITC Avant Garde"/>
          <w:bCs/>
          <w:lang w:eastAsia="es-MX"/>
        </w:rPr>
        <w:t>.</w:t>
      </w:r>
    </w:p>
    <w:p w14:paraId="3B3E012D" w14:textId="77777777" w:rsidR="002C5C12" w:rsidRPr="005D557C" w:rsidRDefault="00DB3784" w:rsidP="002C5C12">
      <w:pPr>
        <w:numPr>
          <w:ilvl w:val="0"/>
          <w:numId w:val="4"/>
        </w:numPr>
        <w:spacing w:before="240" w:line="240" w:lineRule="auto"/>
        <w:ind w:left="567"/>
        <w:jc w:val="both"/>
        <w:rPr>
          <w:rFonts w:ascii="ITC Avant Garde" w:hAnsi="ITC Avant Garde"/>
          <w:bCs/>
          <w:lang w:eastAsia="es-MX"/>
        </w:rPr>
      </w:pPr>
      <w:r w:rsidRPr="005D557C">
        <w:rPr>
          <w:rFonts w:ascii="ITC Avant Garde" w:hAnsi="ITC Avant Garde" w:cs="Arial"/>
          <w:b/>
          <w:bCs/>
          <w:color w:val="000000"/>
          <w:shd w:val="clear" w:color="auto" w:fill="FFFFFF"/>
        </w:rPr>
        <w:t>Estatuto Orgánico.</w:t>
      </w:r>
      <w:r w:rsidRPr="005D557C">
        <w:rPr>
          <w:rStyle w:val="apple-converted-space"/>
          <w:rFonts w:ascii="ITC Avant Garde" w:hAnsi="ITC Avant Garde" w:cs="Arial"/>
          <w:b/>
          <w:bCs/>
          <w:color w:val="000000"/>
          <w:shd w:val="clear" w:color="auto" w:fill="FFFFFF"/>
        </w:rPr>
        <w:t xml:space="preserve"> </w:t>
      </w:r>
      <w:r w:rsidR="003265AC" w:rsidRPr="005D557C">
        <w:rPr>
          <w:rFonts w:ascii="ITC Avant Garde" w:hAnsi="ITC Avant Garde"/>
          <w:bCs/>
          <w:lang w:eastAsia="es-MX"/>
        </w:rPr>
        <w:t>El 4 de septiembre de 2014</w:t>
      </w:r>
      <w:r w:rsidR="00FC795D" w:rsidRPr="005D557C">
        <w:rPr>
          <w:rFonts w:ascii="ITC Avant Garde" w:hAnsi="ITC Avant Garde"/>
          <w:bCs/>
          <w:lang w:eastAsia="es-MX"/>
        </w:rPr>
        <w:t>,</w:t>
      </w:r>
      <w:r w:rsidRPr="005D557C">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5D557C">
        <w:rPr>
          <w:rFonts w:ascii="ITC Avant Garde" w:hAnsi="ITC Avant Garde"/>
          <w:bCs/>
          <w:lang w:eastAsia="es-MX"/>
        </w:rPr>
        <w:t xml:space="preserve">mismo que entró en vigor el 26 de septiembre de 2014, y </w:t>
      </w:r>
      <w:r w:rsidR="004B2362" w:rsidRPr="005D557C">
        <w:rPr>
          <w:rFonts w:ascii="ITC Avant Garde" w:hAnsi="ITC Avant Garde"/>
          <w:bCs/>
          <w:lang w:eastAsia="es-MX"/>
        </w:rPr>
        <w:t xml:space="preserve">fue </w:t>
      </w:r>
      <w:r w:rsidR="00727659" w:rsidRPr="005D557C">
        <w:rPr>
          <w:rFonts w:ascii="ITC Avant Garde" w:hAnsi="ITC Avant Garde"/>
          <w:bCs/>
          <w:lang w:eastAsia="es-MX"/>
        </w:rPr>
        <w:t xml:space="preserve">modificado </w:t>
      </w:r>
      <w:r w:rsidR="008D3DE9" w:rsidRPr="005D557C">
        <w:rPr>
          <w:rFonts w:ascii="ITC Avant Garde" w:hAnsi="ITC Avant Garde"/>
          <w:bCs/>
          <w:lang w:eastAsia="es-MX"/>
        </w:rPr>
        <w:t xml:space="preserve">por última vez </w:t>
      </w:r>
      <w:r w:rsidR="00727659" w:rsidRPr="005D557C">
        <w:rPr>
          <w:rFonts w:ascii="ITC Avant Garde" w:hAnsi="ITC Avant Garde"/>
          <w:bCs/>
          <w:lang w:eastAsia="es-MX"/>
        </w:rPr>
        <w:t xml:space="preserve">el </w:t>
      </w:r>
      <w:r w:rsidR="00A271F8" w:rsidRPr="005D557C">
        <w:rPr>
          <w:rFonts w:ascii="ITC Avant Garde" w:hAnsi="ITC Avant Garde"/>
          <w:bCs/>
          <w:lang w:eastAsia="es-MX"/>
        </w:rPr>
        <w:t>20</w:t>
      </w:r>
      <w:r w:rsidR="00727659" w:rsidRPr="005D557C">
        <w:rPr>
          <w:rFonts w:ascii="ITC Avant Garde" w:hAnsi="ITC Avant Garde"/>
          <w:bCs/>
          <w:lang w:eastAsia="es-MX"/>
        </w:rPr>
        <w:t xml:space="preserve"> de </w:t>
      </w:r>
      <w:r w:rsidR="00A271F8" w:rsidRPr="005D557C">
        <w:rPr>
          <w:rFonts w:ascii="ITC Avant Garde" w:hAnsi="ITC Avant Garde"/>
          <w:bCs/>
          <w:lang w:eastAsia="es-MX"/>
        </w:rPr>
        <w:t>julio</w:t>
      </w:r>
      <w:r w:rsidR="00727659" w:rsidRPr="005D557C">
        <w:rPr>
          <w:rFonts w:ascii="ITC Avant Garde" w:hAnsi="ITC Avant Garde"/>
          <w:bCs/>
          <w:lang w:eastAsia="es-MX"/>
        </w:rPr>
        <w:t xml:space="preserve"> de 201</w:t>
      </w:r>
      <w:r w:rsidR="00A271F8" w:rsidRPr="005D557C">
        <w:rPr>
          <w:rFonts w:ascii="ITC Avant Garde" w:hAnsi="ITC Avant Garde"/>
          <w:bCs/>
          <w:lang w:eastAsia="es-MX"/>
        </w:rPr>
        <w:t>7</w:t>
      </w:r>
      <w:r w:rsidRPr="005D557C">
        <w:rPr>
          <w:rFonts w:ascii="ITC Avant Garde" w:hAnsi="ITC Avant Garde"/>
          <w:bCs/>
          <w:lang w:eastAsia="es-MX"/>
        </w:rPr>
        <w:t>.</w:t>
      </w:r>
    </w:p>
    <w:p w14:paraId="634DA2AF" w14:textId="77777777" w:rsidR="002C5C12" w:rsidRPr="005D557C" w:rsidRDefault="00F461A4" w:rsidP="002C5C12">
      <w:pPr>
        <w:numPr>
          <w:ilvl w:val="0"/>
          <w:numId w:val="4"/>
        </w:numPr>
        <w:spacing w:before="240" w:line="240" w:lineRule="auto"/>
        <w:ind w:left="567"/>
        <w:jc w:val="both"/>
        <w:rPr>
          <w:rFonts w:ascii="ITC Avant Garde" w:hAnsi="ITC Avant Garde"/>
          <w:bCs/>
          <w:lang w:eastAsia="es-MX"/>
        </w:rPr>
      </w:pPr>
      <w:r w:rsidRPr="005D557C">
        <w:rPr>
          <w:rFonts w:ascii="ITC Avant Garde" w:hAnsi="ITC Avant Garde"/>
          <w:b/>
          <w:bCs/>
          <w:lang w:eastAsia="es-MX"/>
        </w:rPr>
        <w:t xml:space="preserve">Solicitud de </w:t>
      </w:r>
      <w:r w:rsidR="00CC4443" w:rsidRPr="005D557C">
        <w:rPr>
          <w:rFonts w:ascii="ITC Avant Garde" w:hAnsi="ITC Avant Garde"/>
          <w:b/>
          <w:bCs/>
          <w:lang w:eastAsia="es-MX"/>
        </w:rPr>
        <w:t>Ampliación de Cobertura</w:t>
      </w:r>
      <w:r w:rsidRPr="005D557C">
        <w:rPr>
          <w:rFonts w:ascii="ITC Avant Garde" w:hAnsi="ITC Avant Garde"/>
          <w:b/>
          <w:bCs/>
          <w:lang w:eastAsia="es-MX"/>
        </w:rPr>
        <w:t>.</w:t>
      </w:r>
      <w:r w:rsidRPr="005D557C">
        <w:rPr>
          <w:rFonts w:ascii="ITC Avant Garde" w:hAnsi="ITC Avant Garde"/>
          <w:bCs/>
          <w:lang w:eastAsia="es-MX"/>
        </w:rPr>
        <w:t xml:space="preserve"> </w:t>
      </w:r>
      <w:r w:rsidR="009C6F5B" w:rsidRPr="005D557C">
        <w:rPr>
          <w:rFonts w:ascii="ITC Avant Garde" w:hAnsi="ITC Avant Garde"/>
          <w:bCs/>
          <w:lang w:eastAsia="es-MX"/>
        </w:rPr>
        <w:t>El</w:t>
      </w:r>
      <w:r w:rsidR="00334840" w:rsidRPr="005D557C">
        <w:rPr>
          <w:rFonts w:ascii="ITC Avant Garde" w:hAnsi="ITC Avant Garde"/>
          <w:bCs/>
          <w:lang w:eastAsia="es-MX"/>
        </w:rPr>
        <w:t xml:space="preserve"> </w:t>
      </w:r>
      <w:r w:rsidR="00CC5A6D" w:rsidRPr="005D557C">
        <w:rPr>
          <w:rFonts w:ascii="ITC Avant Garde" w:hAnsi="ITC Avant Garde"/>
          <w:bCs/>
          <w:lang w:eastAsia="es-MX"/>
        </w:rPr>
        <w:t>12</w:t>
      </w:r>
      <w:r w:rsidR="00334840" w:rsidRPr="005D557C">
        <w:rPr>
          <w:rFonts w:ascii="ITC Avant Garde" w:hAnsi="ITC Avant Garde"/>
          <w:bCs/>
          <w:lang w:eastAsia="es-MX"/>
        </w:rPr>
        <w:t xml:space="preserve"> </w:t>
      </w:r>
      <w:r w:rsidR="009C6F5B" w:rsidRPr="005D557C">
        <w:rPr>
          <w:rFonts w:ascii="ITC Avant Garde" w:hAnsi="ITC Avant Garde"/>
          <w:bCs/>
          <w:lang w:eastAsia="es-MX"/>
        </w:rPr>
        <w:t xml:space="preserve">de </w:t>
      </w:r>
      <w:r w:rsidR="00CC5A6D" w:rsidRPr="005D557C">
        <w:rPr>
          <w:rFonts w:ascii="ITC Avant Garde" w:hAnsi="ITC Avant Garde"/>
          <w:bCs/>
          <w:lang w:eastAsia="es-MX"/>
        </w:rPr>
        <w:t>marzo</w:t>
      </w:r>
      <w:r w:rsidR="009C6F5B" w:rsidRPr="005D557C">
        <w:rPr>
          <w:rFonts w:ascii="ITC Avant Garde" w:hAnsi="ITC Avant Garde"/>
          <w:bCs/>
          <w:lang w:eastAsia="es-MX"/>
        </w:rPr>
        <w:t xml:space="preserve"> </w:t>
      </w:r>
      <w:r w:rsidRPr="005D557C">
        <w:rPr>
          <w:rFonts w:ascii="ITC Avant Garde" w:hAnsi="ITC Avant Garde"/>
          <w:bCs/>
          <w:lang w:eastAsia="es-MX"/>
        </w:rPr>
        <w:t>de 201</w:t>
      </w:r>
      <w:r w:rsidR="00CC5A6D" w:rsidRPr="005D557C">
        <w:rPr>
          <w:rFonts w:ascii="ITC Avant Garde" w:hAnsi="ITC Avant Garde"/>
          <w:bCs/>
          <w:lang w:eastAsia="es-MX"/>
        </w:rPr>
        <w:t>5</w:t>
      </w:r>
      <w:r w:rsidR="00C83F9B" w:rsidRPr="005D557C">
        <w:rPr>
          <w:rFonts w:ascii="ITC Avant Garde" w:hAnsi="ITC Avant Garde"/>
          <w:bCs/>
          <w:lang w:eastAsia="es-MX"/>
        </w:rPr>
        <w:t xml:space="preserve">, </w:t>
      </w:r>
      <w:r w:rsidR="00CC5A6D" w:rsidRPr="005D557C">
        <w:rPr>
          <w:rFonts w:ascii="ITC Avant Garde" w:hAnsi="ITC Avant Garde"/>
          <w:bCs/>
          <w:lang w:eastAsia="es-MX"/>
        </w:rPr>
        <w:t>la</w:t>
      </w:r>
      <w:r w:rsidR="00E92089" w:rsidRPr="005D557C">
        <w:rPr>
          <w:rFonts w:ascii="ITC Avant Garde" w:hAnsi="ITC Avant Garde"/>
          <w:bCs/>
          <w:lang w:eastAsia="es-MX"/>
        </w:rPr>
        <w:t xml:space="preserve"> </w:t>
      </w:r>
      <w:r w:rsidR="004A27B3" w:rsidRPr="005D557C">
        <w:rPr>
          <w:rFonts w:ascii="ITC Avant Garde" w:hAnsi="ITC Avant Garde"/>
          <w:bCs/>
          <w:lang w:eastAsia="es-MX"/>
        </w:rPr>
        <w:t>representante legal de</w:t>
      </w:r>
      <w:r w:rsidR="00E86DF3" w:rsidRPr="005D557C">
        <w:rPr>
          <w:rFonts w:ascii="ITC Avant Garde" w:hAnsi="ITC Avant Garde"/>
          <w:bCs/>
          <w:lang w:eastAsia="es-MX"/>
        </w:rPr>
        <w:t>l</w:t>
      </w:r>
      <w:r w:rsidR="004A27B3" w:rsidRPr="005D557C">
        <w:rPr>
          <w:rFonts w:ascii="ITC Avant Garde" w:hAnsi="ITC Avant Garde"/>
          <w:bCs/>
          <w:lang w:eastAsia="es-MX"/>
        </w:rPr>
        <w:t xml:space="preserve"> </w:t>
      </w:r>
      <w:r w:rsidR="00E86DF3" w:rsidRPr="005D557C">
        <w:rPr>
          <w:rFonts w:ascii="ITC Avant Garde" w:hAnsi="ITC Avant Garde"/>
          <w:bCs/>
          <w:lang w:eastAsia="es-MX"/>
        </w:rPr>
        <w:t xml:space="preserve">C. Eduardo Treviño Núñez </w:t>
      </w:r>
      <w:r w:rsidR="004B2362" w:rsidRPr="005D557C">
        <w:rPr>
          <w:rFonts w:ascii="ITC Avant Garde" w:hAnsi="ITC Avant Garde"/>
          <w:bCs/>
          <w:lang w:eastAsia="es-MX"/>
        </w:rPr>
        <w:t>solicitó al</w:t>
      </w:r>
      <w:r w:rsidR="009613F5" w:rsidRPr="005D557C">
        <w:rPr>
          <w:rFonts w:ascii="ITC Avant Garde" w:hAnsi="ITC Avant Garde"/>
          <w:bCs/>
          <w:lang w:eastAsia="es-MX"/>
        </w:rPr>
        <w:t xml:space="preserve"> Instituto</w:t>
      </w:r>
      <w:r w:rsidR="004B2362" w:rsidRPr="005D557C">
        <w:rPr>
          <w:rFonts w:ascii="ITC Avant Garde" w:hAnsi="ITC Avant Garde"/>
          <w:bCs/>
          <w:lang w:eastAsia="es-MX"/>
        </w:rPr>
        <w:t xml:space="preserve"> </w:t>
      </w:r>
      <w:r w:rsidRPr="005D557C">
        <w:rPr>
          <w:rFonts w:ascii="ITC Avant Garde" w:hAnsi="ITC Avant Garde"/>
          <w:bCs/>
          <w:lang w:eastAsia="es-MX"/>
        </w:rPr>
        <w:t xml:space="preserve">autorización para </w:t>
      </w:r>
      <w:r w:rsidR="00CC4443" w:rsidRPr="005D557C">
        <w:rPr>
          <w:rFonts w:ascii="ITC Avant Garde" w:hAnsi="ITC Avant Garde"/>
          <w:bCs/>
          <w:lang w:eastAsia="es-MX"/>
        </w:rPr>
        <w:t>ampliar la cobertura de la Conc</w:t>
      </w:r>
      <w:r w:rsidR="00E86DF3" w:rsidRPr="005D557C">
        <w:rPr>
          <w:rFonts w:ascii="ITC Avant Garde" w:hAnsi="ITC Avant Garde"/>
          <w:bCs/>
          <w:lang w:eastAsia="es-MX"/>
        </w:rPr>
        <w:t xml:space="preserve">esión, hacia las localidades de San Sebastián, Los Palillos, </w:t>
      </w:r>
      <w:r w:rsidR="009618EA" w:rsidRPr="005D557C">
        <w:rPr>
          <w:rFonts w:ascii="ITC Avant Garde" w:hAnsi="ITC Avant Garde"/>
          <w:bCs/>
          <w:lang w:eastAsia="es-MX"/>
        </w:rPr>
        <w:t xml:space="preserve">Los </w:t>
      </w:r>
      <w:r w:rsidR="009618EA" w:rsidRPr="005D557C">
        <w:rPr>
          <w:rFonts w:ascii="ITC Avant Garde" w:hAnsi="ITC Avant Garde"/>
          <w:bCs/>
          <w:lang w:eastAsia="es-MX"/>
        </w:rPr>
        <w:lastRenderedPageBreak/>
        <w:t xml:space="preserve">Limones y Atapan, en el Municipio de </w:t>
      </w:r>
      <w:r w:rsidR="00024C4D" w:rsidRPr="005D557C">
        <w:rPr>
          <w:rFonts w:ascii="ITC Avant Garde" w:hAnsi="ITC Avant Garde"/>
          <w:bCs/>
          <w:lang w:eastAsia="es-MX"/>
        </w:rPr>
        <w:t xml:space="preserve">Los Reyes; La Paz (La Calabaza), en el Municipio de </w:t>
      </w:r>
      <w:proofErr w:type="spellStart"/>
      <w:r w:rsidR="00024C4D" w:rsidRPr="005D557C">
        <w:rPr>
          <w:rFonts w:ascii="ITC Avant Garde" w:hAnsi="ITC Avant Garde"/>
          <w:bCs/>
          <w:lang w:eastAsia="es-MX"/>
        </w:rPr>
        <w:t>Epitacio</w:t>
      </w:r>
      <w:proofErr w:type="spellEnd"/>
      <w:r w:rsidR="00024C4D" w:rsidRPr="005D557C">
        <w:rPr>
          <w:rFonts w:ascii="ITC Avant Garde" w:hAnsi="ITC Avant Garde"/>
          <w:bCs/>
          <w:lang w:eastAsia="es-MX"/>
        </w:rPr>
        <w:t xml:space="preserve"> Huerta; Santa Clara de Valladares y La Calera, en el Municipio de </w:t>
      </w:r>
      <w:proofErr w:type="spellStart"/>
      <w:r w:rsidR="00024C4D" w:rsidRPr="005D557C">
        <w:rPr>
          <w:rFonts w:ascii="ITC Avant Garde" w:hAnsi="ITC Avant Garde"/>
          <w:bCs/>
          <w:lang w:eastAsia="es-MX"/>
        </w:rPr>
        <w:t>Tocumbo</w:t>
      </w:r>
      <w:proofErr w:type="spellEnd"/>
      <w:r w:rsidR="00024C4D" w:rsidRPr="005D557C">
        <w:rPr>
          <w:rFonts w:ascii="ITC Avant Garde" w:hAnsi="ITC Avant Garde"/>
          <w:bCs/>
          <w:lang w:eastAsia="es-MX"/>
        </w:rPr>
        <w:t xml:space="preserve">; </w:t>
      </w:r>
      <w:proofErr w:type="spellStart"/>
      <w:r w:rsidR="00024C4D" w:rsidRPr="005D557C">
        <w:rPr>
          <w:rFonts w:ascii="ITC Avant Garde" w:hAnsi="ITC Avant Garde"/>
          <w:bCs/>
          <w:lang w:eastAsia="es-MX"/>
        </w:rPr>
        <w:t>Huatarillo</w:t>
      </w:r>
      <w:proofErr w:type="spellEnd"/>
      <w:r w:rsidR="00024C4D" w:rsidRPr="005D557C">
        <w:rPr>
          <w:rFonts w:ascii="ITC Avant Garde" w:hAnsi="ITC Avant Garde"/>
          <w:bCs/>
          <w:lang w:eastAsia="es-MX"/>
        </w:rPr>
        <w:t xml:space="preserve">, La Cofradía, Gildardo Magaña (Los Ángeles), El Porvenir, Llanos de </w:t>
      </w:r>
      <w:proofErr w:type="spellStart"/>
      <w:r w:rsidR="00024C4D" w:rsidRPr="005D557C">
        <w:rPr>
          <w:rFonts w:ascii="ITC Avant Garde" w:hAnsi="ITC Avant Garde"/>
          <w:bCs/>
          <w:lang w:eastAsia="es-MX"/>
        </w:rPr>
        <w:t>Peribán</w:t>
      </w:r>
      <w:proofErr w:type="spellEnd"/>
      <w:r w:rsidR="00024C4D" w:rsidRPr="005D557C">
        <w:rPr>
          <w:rFonts w:ascii="ITC Avant Garde" w:hAnsi="ITC Avant Garde"/>
          <w:bCs/>
          <w:lang w:eastAsia="es-MX"/>
        </w:rPr>
        <w:t>, Los Puentes Cuates</w:t>
      </w:r>
      <w:r w:rsidR="00015932" w:rsidRPr="005D557C">
        <w:rPr>
          <w:rFonts w:ascii="ITC Avant Garde" w:hAnsi="ITC Avant Garde"/>
          <w:bCs/>
          <w:lang w:eastAsia="es-MX"/>
        </w:rPr>
        <w:t xml:space="preserve">, </w:t>
      </w:r>
      <w:proofErr w:type="spellStart"/>
      <w:r w:rsidR="00015932" w:rsidRPr="005D557C">
        <w:rPr>
          <w:rFonts w:ascii="ITC Avant Garde" w:hAnsi="ITC Avant Garde"/>
          <w:bCs/>
          <w:lang w:eastAsia="es-MX"/>
        </w:rPr>
        <w:t>Magallón</w:t>
      </w:r>
      <w:proofErr w:type="spellEnd"/>
      <w:r w:rsidR="00015932" w:rsidRPr="005D557C">
        <w:rPr>
          <w:rFonts w:ascii="ITC Avant Garde" w:hAnsi="ITC Avant Garde"/>
          <w:bCs/>
          <w:lang w:eastAsia="es-MX"/>
        </w:rPr>
        <w:t xml:space="preserve">, La Chiripa, Corona, </w:t>
      </w:r>
      <w:proofErr w:type="spellStart"/>
      <w:r w:rsidR="00015932" w:rsidRPr="005D557C">
        <w:rPr>
          <w:rFonts w:ascii="ITC Avant Garde" w:hAnsi="ITC Avant Garde"/>
          <w:bCs/>
          <w:lang w:eastAsia="es-MX"/>
        </w:rPr>
        <w:t>Peribán</w:t>
      </w:r>
      <w:proofErr w:type="spellEnd"/>
      <w:r w:rsidR="00015932" w:rsidRPr="005D557C">
        <w:rPr>
          <w:rFonts w:ascii="ITC Avant Garde" w:hAnsi="ITC Avant Garde"/>
          <w:bCs/>
          <w:lang w:eastAsia="es-MX"/>
        </w:rPr>
        <w:t xml:space="preserve"> de Ramos, Agua Fría, San Francisco </w:t>
      </w:r>
      <w:proofErr w:type="spellStart"/>
      <w:r w:rsidR="00015932" w:rsidRPr="005D557C">
        <w:rPr>
          <w:rFonts w:ascii="ITC Avant Garde" w:hAnsi="ITC Avant Garde"/>
          <w:bCs/>
          <w:lang w:eastAsia="es-MX"/>
        </w:rPr>
        <w:t>Peribán</w:t>
      </w:r>
      <w:proofErr w:type="spellEnd"/>
      <w:r w:rsidR="00015932" w:rsidRPr="005D557C">
        <w:rPr>
          <w:rFonts w:ascii="ITC Avant Garde" w:hAnsi="ITC Avant Garde"/>
          <w:bCs/>
          <w:lang w:eastAsia="es-MX"/>
        </w:rPr>
        <w:t xml:space="preserve"> y Plan de Ayala, en el Municipio de </w:t>
      </w:r>
      <w:proofErr w:type="spellStart"/>
      <w:r w:rsidR="00015932" w:rsidRPr="005D557C">
        <w:rPr>
          <w:rFonts w:ascii="ITC Avant Garde" w:hAnsi="ITC Avant Garde"/>
          <w:bCs/>
          <w:lang w:eastAsia="es-MX"/>
        </w:rPr>
        <w:t>Peribán</w:t>
      </w:r>
      <w:proofErr w:type="spellEnd"/>
      <w:r w:rsidR="00015932" w:rsidRPr="005D557C">
        <w:rPr>
          <w:rFonts w:ascii="ITC Avant Garde" w:hAnsi="ITC Avant Garde"/>
          <w:bCs/>
          <w:lang w:eastAsia="es-MX"/>
        </w:rPr>
        <w:t xml:space="preserve">, en el Estado de </w:t>
      </w:r>
      <w:r w:rsidR="00060D02" w:rsidRPr="005D557C">
        <w:rPr>
          <w:rFonts w:ascii="ITC Avant Garde" w:hAnsi="ITC Avant Garde"/>
          <w:bCs/>
          <w:lang w:eastAsia="es-MX"/>
        </w:rPr>
        <w:t xml:space="preserve">Michoacán </w:t>
      </w:r>
      <w:r w:rsidRPr="005D557C">
        <w:rPr>
          <w:rFonts w:ascii="ITC Avant Garde" w:hAnsi="ITC Avant Garde"/>
          <w:bCs/>
          <w:lang w:eastAsia="es-MX"/>
        </w:rPr>
        <w:t xml:space="preserve">(la “Solicitud de </w:t>
      </w:r>
      <w:r w:rsidR="00CC4443" w:rsidRPr="005D557C">
        <w:rPr>
          <w:rFonts w:ascii="ITC Avant Garde" w:hAnsi="ITC Avant Garde"/>
          <w:bCs/>
          <w:lang w:eastAsia="es-MX"/>
        </w:rPr>
        <w:t>Ampliación de Cobertura</w:t>
      </w:r>
      <w:r w:rsidRPr="005D557C">
        <w:rPr>
          <w:rFonts w:ascii="ITC Avant Garde" w:hAnsi="ITC Avant Garde"/>
          <w:bCs/>
          <w:lang w:eastAsia="es-MX"/>
        </w:rPr>
        <w:t>”).</w:t>
      </w:r>
    </w:p>
    <w:p w14:paraId="7051F7C4" w14:textId="77777777" w:rsidR="002C5C12" w:rsidRPr="005D557C" w:rsidRDefault="006F630B" w:rsidP="002C5C12">
      <w:pPr>
        <w:spacing w:before="240" w:line="240" w:lineRule="auto"/>
        <w:ind w:left="567"/>
        <w:jc w:val="both"/>
        <w:rPr>
          <w:rFonts w:ascii="ITC Avant Garde" w:hAnsi="ITC Avant Garde"/>
          <w:bCs/>
          <w:lang w:eastAsia="es-MX"/>
        </w:rPr>
      </w:pPr>
      <w:r w:rsidRPr="005D557C">
        <w:rPr>
          <w:rFonts w:ascii="ITC Avant Garde" w:hAnsi="ITC Avant Garde"/>
          <w:bCs/>
          <w:lang w:eastAsia="es-MX"/>
        </w:rPr>
        <w:t>Posteriormente</w:t>
      </w:r>
      <w:r w:rsidR="00340BF7" w:rsidRPr="005D557C">
        <w:rPr>
          <w:rFonts w:ascii="ITC Avant Garde" w:hAnsi="ITC Avant Garde"/>
          <w:bCs/>
          <w:lang w:eastAsia="es-MX"/>
        </w:rPr>
        <w:t>, el 12 de mayo de 2015</w:t>
      </w:r>
      <w:r w:rsidR="00EA2959" w:rsidRPr="005D557C">
        <w:rPr>
          <w:rFonts w:ascii="ITC Avant Garde" w:hAnsi="ITC Avant Garde"/>
          <w:bCs/>
          <w:lang w:eastAsia="es-MX"/>
        </w:rPr>
        <w:t xml:space="preserve"> la representante legal del C. Eduardo Treviño Núñez present</w:t>
      </w:r>
      <w:r w:rsidR="00340BF7" w:rsidRPr="005D557C">
        <w:rPr>
          <w:rFonts w:ascii="ITC Avant Garde" w:hAnsi="ITC Avant Garde"/>
          <w:bCs/>
          <w:lang w:eastAsia="es-MX"/>
        </w:rPr>
        <w:t xml:space="preserve">ó </w:t>
      </w:r>
      <w:r w:rsidR="00EA2959" w:rsidRPr="005D557C">
        <w:rPr>
          <w:rFonts w:ascii="ITC Avant Garde" w:hAnsi="ITC Avant Garde"/>
          <w:bCs/>
          <w:lang w:eastAsia="es-MX"/>
        </w:rPr>
        <w:t>escrito</w:t>
      </w:r>
      <w:r w:rsidR="009B660E" w:rsidRPr="005D557C">
        <w:rPr>
          <w:rFonts w:ascii="ITC Avant Garde" w:hAnsi="ITC Avant Garde"/>
          <w:bCs/>
          <w:lang w:eastAsia="es-MX"/>
        </w:rPr>
        <w:t xml:space="preserve"> </w:t>
      </w:r>
      <w:r w:rsidR="004B2362" w:rsidRPr="005D557C">
        <w:rPr>
          <w:rFonts w:ascii="ITC Avant Garde" w:hAnsi="ITC Avant Garde"/>
          <w:bCs/>
          <w:lang w:eastAsia="es-MX"/>
        </w:rPr>
        <w:t xml:space="preserve">ante </w:t>
      </w:r>
      <w:r w:rsidR="009B660E" w:rsidRPr="005D557C">
        <w:rPr>
          <w:rFonts w:ascii="ITC Avant Garde" w:hAnsi="ITC Avant Garde"/>
          <w:bCs/>
          <w:lang w:eastAsia="es-MX"/>
        </w:rPr>
        <w:t>el Instituto</w:t>
      </w:r>
      <w:r w:rsidR="00EA2959" w:rsidRPr="005D557C">
        <w:rPr>
          <w:rFonts w:ascii="ITC Avant Garde" w:hAnsi="ITC Avant Garde"/>
          <w:bCs/>
          <w:lang w:eastAsia="es-MX"/>
        </w:rPr>
        <w:t xml:space="preserve">, a través del cual se </w:t>
      </w:r>
      <w:r w:rsidR="004B2362" w:rsidRPr="005D557C">
        <w:rPr>
          <w:rFonts w:ascii="ITC Avant Garde" w:hAnsi="ITC Avant Garde"/>
          <w:bCs/>
          <w:lang w:eastAsia="es-MX"/>
        </w:rPr>
        <w:t>desiste de ampliar la cobertura de la Concesión en las siguientes localidades:</w:t>
      </w:r>
      <w:r w:rsidR="00EA2959" w:rsidRPr="005D557C">
        <w:rPr>
          <w:rFonts w:ascii="ITC Avant Garde" w:hAnsi="ITC Avant Garde"/>
          <w:bCs/>
          <w:lang w:eastAsia="es-MX"/>
        </w:rPr>
        <w:t xml:space="preserve"> La Paz (La Calabaza), en el Municipio de </w:t>
      </w:r>
      <w:proofErr w:type="spellStart"/>
      <w:r w:rsidR="00EA2959" w:rsidRPr="005D557C">
        <w:rPr>
          <w:rFonts w:ascii="ITC Avant Garde" w:hAnsi="ITC Avant Garde"/>
          <w:bCs/>
          <w:lang w:eastAsia="es-MX"/>
        </w:rPr>
        <w:t>Epitacio</w:t>
      </w:r>
      <w:proofErr w:type="spellEnd"/>
      <w:r w:rsidR="00EA2959" w:rsidRPr="005D557C">
        <w:rPr>
          <w:rFonts w:ascii="ITC Avant Garde" w:hAnsi="ITC Avant Garde"/>
          <w:bCs/>
          <w:lang w:eastAsia="es-MX"/>
        </w:rPr>
        <w:t xml:space="preserve"> Huerta y San Francisco </w:t>
      </w:r>
      <w:proofErr w:type="spellStart"/>
      <w:r w:rsidR="00EA2959" w:rsidRPr="005D557C">
        <w:rPr>
          <w:rFonts w:ascii="ITC Avant Garde" w:hAnsi="ITC Avant Garde"/>
          <w:bCs/>
          <w:lang w:eastAsia="es-MX"/>
        </w:rPr>
        <w:t>Peribán</w:t>
      </w:r>
      <w:proofErr w:type="spellEnd"/>
      <w:r w:rsidR="00EA2959" w:rsidRPr="005D557C">
        <w:rPr>
          <w:rFonts w:ascii="ITC Avant Garde" w:hAnsi="ITC Avant Garde"/>
          <w:bCs/>
          <w:lang w:eastAsia="es-MX"/>
        </w:rPr>
        <w:t xml:space="preserve">, en el Municipio de </w:t>
      </w:r>
      <w:proofErr w:type="spellStart"/>
      <w:r w:rsidR="00EA2959" w:rsidRPr="005D557C">
        <w:rPr>
          <w:rFonts w:ascii="ITC Avant Garde" w:hAnsi="ITC Avant Garde"/>
          <w:bCs/>
          <w:lang w:eastAsia="es-MX"/>
        </w:rPr>
        <w:t>Peribán</w:t>
      </w:r>
      <w:proofErr w:type="spellEnd"/>
      <w:r w:rsidR="00EA2959" w:rsidRPr="005D557C">
        <w:rPr>
          <w:rFonts w:ascii="ITC Avant Garde" w:hAnsi="ITC Avant Garde"/>
          <w:bCs/>
          <w:lang w:eastAsia="es-MX"/>
        </w:rPr>
        <w:t>, en el Estado de Michoacán</w:t>
      </w:r>
      <w:r w:rsidR="009B660E" w:rsidRPr="005D557C">
        <w:rPr>
          <w:rFonts w:ascii="ITC Avant Garde" w:hAnsi="ITC Avant Garde"/>
          <w:bCs/>
          <w:lang w:eastAsia="es-MX"/>
        </w:rPr>
        <w:t>, mismas que estaban contempladas en la Solicitud de Ampliación de Cobertura</w:t>
      </w:r>
      <w:r w:rsidR="00EA2959" w:rsidRPr="005D557C">
        <w:rPr>
          <w:rFonts w:ascii="ITC Avant Garde" w:hAnsi="ITC Avant Garde"/>
          <w:bCs/>
          <w:lang w:eastAsia="es-MX"/>
        </w:rPr>
        <w:t xml:space="preserve">. </w:t>
      </w:r>
    </w:p>
    <w:p w14:paraId="3E261290" w14:textId="77777777" w:rsidR="002C5C12" w:rsidRPr="005D557C" w:rsidRDefault="003A5614" w:rsidP="002C5C12">
      <w:pPr>
        <w:numPr>
          <w:ilvl w:val="0"/>
          <w:numId w:val="4"/>
        </w:numPr>
        <w:spacing w:before="240" w:line="240" w:lineRule="auto"/>
        <w:ind w:left="567"/>
        <w:jc w:val="both"/>
        <w:rPr>
          <w:rFonts w:ascii="ITC Avant Garde" w:hAnsi="ITC Avant Garde"/>
          <w:bCs/>
          <w:color w:val="000000"/>
          <w:lang w:eastAsia="es-MX"/>
        </w:rPr>
      </w:pPr>
      <w:r w:rsidRPr="005D557C">
        <w:rPr>
          <w:rFonts w:ascii="ITC Avant Garde" w:hAnsi="ITC Avant Garde" w:cs="Arial"/>
          <w:b/>
          <w:bCs/>
          <w:color w:val="000000"/>
          <w:shd w:val="clear" w:color="auto" w:fill="FFFFFF"/>
        </w:rPr>
        <w:t>Solicitud de Dictamen de Cumplimiento de Obligaciones a la</w:t>
      </w:r>
      <w:r w:rsidR="00EA2959" w:rsidRPr="005D557C">
        <w:rPr>
          <w:rFonts w:ascii="ITC Avant Garde" w:hAnsi="ITC Avant Garde" w:cs="Arial"/>
          <w:b/>
          <w:bCs/>
          <w:color w:val="000000"/>
          <w:shd w:val="clear" w:color="auto" w:fill="FFFFFF"/>
        </w:rPr>
        <w:t xml:space="preserve"> Dirección General de Supervisión de la </w:t>
      </w:r>
      <w:r w:rsidRPr="005D557C">
        <w:rPr>
          <w:rFonts w:ascii="ITC Avant Garde" w:hAnsi="ITC Avant Garde" w:cs="Arial"/>
          <w:b/>
          <w:bCs/>
          <w:color w:val="000000"/>
          <w:shd w:val="clear" w:color="auto" w:fill="FFFFFF"/>
        </w:rPr>
        <w:t xml:space="preserve">Unidad de Cumplimiento. </w:t>
      </w:r>
      <w:r w:rsidR="002F39B6" w:rsidRPr="005D557C">
        <w:rPr>
          <w:rFonts w:ascii="ITC Avant Garde" w:hAnsi="ITC Avant Garde" w:cs="Arial"/>
          <w:bCs/>
          <w:color w:val="000000"/>
          <w:shd w:val="clear" w:color="auto" w:fill="FFFFFF"/>
        </w:rPr>
        <w:t>El 20 de abril de 2015, m</w:t>
      </w:r>
      <w:r w:rsidRPr="005D557C">
        <w:rPr>
          <w:rFonts w:ascii="ITC Avant Garde" w:hAnsi="ITC Avant Garde" w:cs="Arial"/>
          <w:bCs/>
          <w:color w:val="000000"/>
          <w:shd w:val="clear" w:color="auto" w:fill="FFFFFF"/>
        </w:rPr>
        <w:t>ediante oficio IFT/</w:t>
      </w:r>
      <w:r w:rsidR="00BF1C40" w:rsidRPr="005D557C">
        <w:rPr>
          <w:rFonts w:ascii="ITC Avant Garde" w:hAnsi="ITC Avant Garde" w:cs="Arial"/>
          <w:bCs/>
          <w:color w:val="000000"/>
          <w:shd w:val="clear" w:color="auto" w:fill="FFFFFF"/>
        </w:rPr>
        <w:t>223</w:t>
      </w:r>
      <w:r w:rsidRPr="005D557C">
        <w:rPr>
          <w:rFonts w:ascii="ITC Avant Garde" w:hAnsi="ITC Avant Garde" w:cs="Arial"/>
          <w:bCs/>
          <w:color w:val="000000"/>
          <w:shd w:val="clear" w:color="auto" w:fill="FFFFFF"/>
        </w:rPr>
        <w:t>/UCS/DG-CTEL/</w:t>
      </w:r>
      <w:r w:rsidR="00EA2959" w:rsidRPr="005D557C">
        <w:rPr>
          <w:rFonts w:ascii="ITC Avant Garde" w:hAnsi="ITC Avant Garde" w:cs="Arial"/>
          <w:bCs/>
          <w:color w:val="000000"/>
          <w:shd w:val="clear" w:color="auto" w:fill="FFFFFF"/>
        </w:rPr>
        <w:t>1288</w:t>
      </w:r>
      <w:r w:rsidR="00BF1C40" w:rsidRPr="005D557C">
        <w:rPr>
          <w:rFonts w:ascii="ITC Avant Garde" w:hAnsi="ITC Avant Garde" w:cs="Arial"/>
          <w:bCs/>
          <w:color w:val="000000"/>
          <w:shd w:val="clear" w:color="auto" w:fill="FFFFFF"/>
        </w:rPr>
        <w:t>/201</w:t>
      </w:r>
      <w:r w:rsidR="00EA2959" w:rsidRPr="005D557C">
        <w:rPr>
          <w:rFonts w:ascii="ITC Avant Garde" w:hAnsi="ITC Avant Garde" w:cs="Arial"/>
          <w:bCs/>
          <w:color w:val="000000"/>
          <w:shd w:val="clear" w:color="auto" w:fill="FFFFFF"/>
        </w:rPr>
        <w:t>5</w:t>
      </w:r>
      <w:r w:rsidRPr="005D557C">
        <w:rPr>
          <w:rFonts w:ascii="ITC Avant Garde" w:hAnsi="ITC Avant Garde" w:cs="Arial"/>
          <w:bCs/>
          <w:color w:val="000000"/>
          <w:shd w:val="clear" w:color="auto" w:fill="FFFFFF"/>
        </w:rPr>
        <w:t xml:space="preserve">, la Dirección General de Concesiones de Telecomunicaciones, adscrita a la Unidad de Concesiones y Servicios del Instituto, solicitó a la Unidad de Cumplimiento el dictamen relativo al cumplimiento de obligaciones respecto de </w:t>
      </w:r>
      <w:r w:rsidR="00BF1C40" w:rsidRPr="005D557C">
        <w:rPr>
          <w:rFonts w:ascii="ITC Avant Garde" w:hAnsi="ITC Avant Garde" w:cs="Arial"/>
          <w:bCs/>
          <w:color w:val="000000"/>
          <w:shd w:val="clear" w:color="auto" w:fill="FFFFFF"/>
        </w:rPr>
        <w:t>la Concesión</w:t>
      </w:r>
      <w:r w:rsidRPr="005D557C">
        <w:rPr>
          <w:rFonts w:ascii="ITC Avant Garde" w:hAnsi="ITC Avant Garde" w:cs="Arial"/>
          <w:bCs/>
          <w:color w:val="000000"/>
          <w:shd w:val="clear" w:color="auto" w:fill="FFFFFF"/>
        </w:rPr>
        <w:t>.</w:t>
      </w:r>
      <w:r w:rsidR="00EA2959" w:rsidRPr="005D557C">
        <w:rPr>
          <w:rFonts w:ascii="ITC Avant Garde" w:hAnsi="ITC Avant Garde" w:cs="Arial"/>
          <w:b/>
          <w:bCs/>
          <w:color w:val="000000"/>
          <w:shd w:val="clear" w:color="auto" w:fill="FFFFFF"/>
        </w:rPr>
        <w:t xml:space="preserve"> </w:t>
      </w:r>
    </w:p>
    <w:p w14:paraId="4015FF1F" w14:textId="77777777" w:rsidR="002C5C12" w:rsidRPr="005D557C" w:rsidRDefault="00CC4443" w:rsidP="002C5C12">
      <w:pPr>
        <w:numPr>
          <w:ilvl w:val="0"/>
          <w:numId w:val="4"/>
        </w:numPr>
        <w:spacing w:before="240" w:line="240" w:lineRule="auto"/>
        <w:ind w:left="567"/>
        <w:jc w:val="both"/>
        <w:rPr>
          <w:rFonts w:ascii="ITC Avant Garde" w:hAnsi="ITC Avant Garde"/>
          <w:bCs/>
          <w:lang w:eastAsia="es-MX"/>
        </w:rPr>
      </w:pPr>
      <w:r w:rsidRPr="005D557C">
        <w:rPr>
          <w:rFonts w:ascii="ITC Avant Garde" w:hAnsi="ITC Avant Garde"/>
          <w:b/>
          <w:bCs/>
          <w:color w:val="000000"/>
          <w:lang w:eastAsia="es-MX"/>
        </w:rPr>
        <w:t xml:space="preserve">Dictamen de la Unidad de Cumplimiento. </w:t>
      </w:r>
      <w:r w:rsidRPr="005D557C">
        <w:rPr>
          <w:rFonts w:ascii="ITC Avant Garde" w:hAnsi="ITC Avant Garde"/>
          <w:bCs/>
          <w:color w:val="000000"/>
          <w:lang w:eastAsia="es-MX"/>
        </w:rPr>
        <w:t xml:space="preserve">El </w:t>
      </w:r>
      <w:r w:rsidR="009B660E" w:rsidRPr="005D557C">
        <w:rPr>
          <w:rFonts w:ascii="ITC Avant Garde" w:hAnsi="ITC Avant Garde"/>
          <w:bCs/>
          <w:color w:val="000000"/>
          <w:lang w:eastAsia="es-MX"/>
        </w:rPr>
        <w:t>25</w:t>
      </w:r>
      <w:r w:rsidRPr="005D557C">
        <w:rPr>
          <w:rFonts w:ascii="ITC Avant Garde" w:hAnsi="ITC Avant Garde"/>
          <w:bCs/>
          <w:color w:val="000000" w:themeColor="text1"/>
          <w:lang w:eastAsia="es-MX"/>
        </w:rPr>
        <w:t xml:space="preserve"> de </w:t>
      </w:r>
      <w:r w:rsidR="009B660E" w:rsidRPr="005D557C">
        <w:rPr>
          <w:rFonts w:ascii="ITC Avant Garde" w:hAnsi="ITC Avant Garde"/>
          <w:bCs/>
          <w:color w:val="000000" w:themeColor="text1"/>
          <w:lang w:eastAsia="es-MX"/>
        </w:rPr>
        <w:t>febrero</w:t>
      </w:r>
      <w:r w:rsidRPr="005D557C">
        <w:rPr>
          <w:rFonts w:ascii="ITC Avant Garde" w:hAnsi="ITC Avant Garde"/>
          <w:bCs/>
          <w:color w:val="000000" w:themeColor="text1"/>
          <w:lang w:eastAsia="es-MX"/>
        </w:rPr>
        <w:t xml:space="preserve"> de 201</w:t>
      </w:r>
      <w:r w:rsidR="009B660E" w:rsidRPr="005D557C">
        <w:rPr>
          <w:rFonts w:ascii="ITC Avant Garde" w:hAnsi="ITC Avant Garde"/>
          <w:bCs/>
          <w:color w:val="000000" w:themeColor="text1"/>
          <w:lang w:eastAsia="es-MX"/>
        </w:rPr>
        <w:t>6</w:t>
      </w:r>
      <w:r w:rsidRPr="005D557C">
        <w:rPr>
          <w:rFonts w:ascii="ITC Avant Garde" w:hAnsi="ITC Avant Garde"/>
          <w:bCs/>
          <w:color w:val="000000" w:themeColor="text1"/>
          <w:lang w:eastAsia="es-MX"/>
        </w:rPr>
        <w:t xml:space="preserve">, mediante oficio </w:t>
      </w:r>
      <w:r w:rsidRPr="005D557C">
        <w:rPr>
          <w:rFonts w:ascii="ITC Avant Garde" w:hAnsi="ITC Avant Garde"/>
          <w:bCs/>
          <w:lang w:eastAsia="es-MX"/>
        </w:rPr>
        <w:t>IFT/225/UC/DG-SUV/</w:t>
      </w:r>
      <w:r w:rsidR="009B660E" w:rsidRPr="005D557C">
        <w:rPr>
          <w:rFonts w:ascii="ITC Avant Garde" w:hAnsi="ITC Avant Garde"/>
          <w:bCs/>
          <w:lang w:eastAsia="es-MX"/>
        </w:rPr>
        <w:t>1244</w:t>
      </w:r>
      <w:r w:rsidRPr="005D557C">
        <w:rPr>
          <w:rFonts w:ascii="ITC Avant Garde" w:hAnsi="ITC Avant Garde"/>
          <w:bCs/>
          <w:lang w:eastAsia="es-MX"/>
        </w:rPr>
        <w:t>/201</w:t>
      </w:r>
      <w:r w:rsidR="009B660E" w:rsidRPr="005D557C">
        <w:rPr>
          <w:rFonts w:ascii="ITC Avant Garde" w:hAnsi="ITC Avant Garde"/>
          <w:bCs/>
          <w:lang w:eastAsia="es-MX"/>
        </w:rPr>
        <w:t>6</w:t>
      </w:r>
      <w:r w:rsidRPr="005D557C">
        <w:rPr>
          <w:rFonts w:ascii="ITC Avant Garde" w:hAnsi="ITC Avant Garde"/>
          <w:bCs/>
          <w:color w:val="000000" w:themeColor="text1"/>
          <w:lang w:eastAsia="es-MX"/>
        </w:rPr>
        <w:t xml:space="preserve">, la Dirección General de Supervisión, adscrita a la Unidad de Cumplimiento, remitió a la Unidad de Concesiones y Servicios, </w:t>
      </w:r>
      <w:r w:rsidR="00162CA2" w:rsidRPr="005D557C">
        <w:rPr>
          <w:rFonts w:ascii="ITC Avant Garde" w:hAnsi="ITC Avant Garde"/>
          <w:bCs/>
          <w:color w:val="000000" w:themeColor="text1"/>
          <w:lang w:eastAsia="es-MX"/>
        </w:rPr>
        <w:t>el dictamen correspondiente al cumplimiento de obligaciones derivadas de la Concesión en sentido favorable</w:t>
      </w:r>
      <w:r w:rsidR="006F630B" w:rsidRPr="005D557C">
        <w:rPr>
          <w:rFonts w:ascii="ITC Avant Garde" w:hAnsi="ITC Avant Garde"/>
          <w:bCs/>
          <w:lang w:eastAsia="es-MX"/>
        </w:rPr>
        <w:t>.</w:t>
      </w:r>
    </w:p>
    <w:p w14:paraId="592FCCB8" w14:textId="77777777" w:rsidR="002C5C12" w:rsidRPr="005D557C" w:rsidRDefault="00B048BA" w:rsidP="002C5C12">
      <w:pPr>
        <w:spacing w:before="240" w:line="240" w:lineRule="auto"/>
        <w:jc w:val="both"/>
        <w:rPr>
          <w:rFonts w:ascii="ITC Avant Garde" w:hAnsi="ITC Avant Garde"/>
          <w:bCs/>
          <w:lang w:eastAsia="es-MX"/>
        </w:rPr>
      </w:pPr>
      <w:r w:rsidRPr="005D557C">
        <w:rPr>
          <w:rFonts w:ascii="ITC Avant Garde" w:hAnsi="ITC Avant Garde"/>
          <w:bCs/>
          <w:lang w:eastAsia="es-MX"/>
        </w:rPr>
        <w:t>En virtud d</w:t>
      </w:r>
      <w:r w:rsidR="00A429FF" w:rsidRPr="005D557C">
        <w:rPr>
          <w:rFonts w:ascii="ITC Avant Garde" w:hAnsi="ITC Avant Garde"/>
          <w:bCs/>
          <w:lang w:eastAsia="es-MX"/>
        </w:rPr>
        <w:t>e los Antecedentes referidos y,</w:t>
      </w:r>
    </w:p>
    <w:p w14:paraId="7EEFDD00" w14:textId="77777777" w:rsidR="002C5C12" w:rsidRPr="005D557C" w:rsidRDefault="00B048BA" w:rsidP="005D557C">
      <w:pPr>
        <w:pStyle w:val="Ttulo2"/>
        <w:spacing w:after="240"/>
        <w:jc w:val="center"/>
        <w:rPr>
          <w:rFonts w:ascii="ITC Avant Garde" w:hAnsi="ITC Avant Garde"/>
          <w:b/>
          <w:color w:val="000000" w:themeColor="text1"/>
          <w:sz w:val="22"/>
          <w:szCs w:val="22"/>
        </w:rPr>
      </w:pPr>
      <w:r w:rsidRPr="005D557C">
        <w:rPr>
          <w:rFonts w:ascii="ITC Avant Garde" w:hAnsi="ITC Avant Garde"/>
          <w:b/>
          <w:color w:val="000000" w:themeColor="text1"/>
          <w:sz w:val="22"/>
          <w:szCs w:val="22"/>
        </w:rPr>
        <w:t>CONSIDERANDO</w:t>
      </w:r>
    </w:p>
    <w:p w14:paraId="19077D2C" w14:textId="19CD9593" w:rsidR="002C5C12" w:rsidRPr="005D557C" w:rsidRDefault="00954210" w:rsidP="002C5C12">
      <w:pPr>
        <w:autoSpaceDE w:val="0"/>
        <w:autoSpaceDN w:val="0"/>
        <w:adjustRightInd w:val="0"/>
        <w:spacing w:before="240" w:line="240" w:lineRule="auto"/>
        <w:jc w:val="both"/>
        <w:rPr>
          <w:rFonts w:ascii="ITC Avant Garde" w:hAnsi="ITC Avant Garde"/>
          <w:bCs/>
          <w:lang w:eastAsia="es-MX"/>
        </w:rPr>
      </w:pPr>
      <w:r w:rsidRPr="005D557C">
        <w:rPr>
          <w:rFonts w:ascii="ITC Avant Garde" w:hAnsi="ITC Avant Garde"/>
          <w:b/>
          <w:bCs/>
        </w:rPr>
        <w:t>Primero.-</w:t>
      </w:r>
      <w:r w:rsidRPr="005D557C">
        <w:rPr>
          <w:rFonts w:ascii="ITC Avant Garde" w:hAnsi="ITC Avant Garde"/>
          <w:bCs/>
        </w:rPr>
        <w:t xml:space="preserve"> </w:t>
      </w:r>
      <w:r w:rsidRPr="005D557C">
        <w:rPr>
          <w:rFonts w:ascii="ITC Avant Garde" w:hAnsi="ITC Avant Garde"/>
          <w:b/>
          <w:bCs/>
        </w:rPr>
        <w:t>Competencia.</w:t>
      </w:r>
      <w:r w:rsidRPr="005D557C">
        <w:rPr>
          <w:rFonts w:ascii="ITC Avant Garde" w:hAnsi="ITC Avant Garde"/>
          <w:bCs/>
        </w:rPr>
        <w:t xml:space="preserve"> </w:t>
      </w:r>
      <w:r w:rsidRPr="005D557C">
        <w:rPr>
          <w:rFonts w:ascii="ITC Avant Garde" w:hAnsi="ITC Avant Garde"/>
          <w:bCs/>
          <w:lang w:eastAsia="es-MX"/>
        </w:rPr>
        <w:t>Conforme lo dispone el art</w:t>
      </w:r>
      <w:r w:rsidR="00A271F8" w:rsidRPr="005D557C">
        <w:rPr>
          <w:rFonts w:ascii="ITC Avant Garde" w:hAnsi="ITC Avant Garde"/>
          <w:bCs/>
          <w:lang w:eastAsia="es-MX"/>
        </w:rPr>
        <w:t xml:space="preserve">ículo 28 párrafos décimo quinto y </w:t>
      </w:r>
      <w:r w:rsidRPr="005D557C">
        <w:rPr>
          <w:rFonts w:ascii="ITC Avant Garde" w:hAnsi="ITC Avant Garde"/>
          <w:bCs/>
          <w:lang w:eastAsia="es-MX"/>
        </w:rPr>
        <w:t>décimo sexto de la Constitución</w:t>
      </w:r>
      <w:r w:rsidR="00A271F8" w:rsidRPr="005D557C">
        <w:rPr>
          <w:rFonts w:ascii="ITC Avant Garde" w:hAnsi="ITC Avant Garde"/>
          <w:bCs/>
          <w:lang w:eastAsia="es-MX"/>
        </w:rPr>
        <w:t xml:space="preserve"> Política de los Estados Unidos Mexicanos (la “Constitución”)</w:t>
      </w:r>
      <w:r w:rsidRPr="005D557C">
        <w:rPr>
          <w:rFonts w:ascii="ITC Avant Garde" w:hAnsi="ITC Avant Garde"/>
          <w:bCs/>
          <w:lang w:eastAsia="es-MX"/>
        </w:rPr>
        <w:t xml:space="preserve">, el Instituto es un órgano autónomo, con personalidad jurídica y patrimonio propio, que tiene por objeto el desarrollo eficiente de la radiodifusión y las telecomunicaciones, conforme a lo dispuesto </w:t>
      </w:r>
      <w:r w:rsidR="00A73AD0" w:rsidRPr="005D557C">
        <w:rPr>
          <w:rFonts w:ascii="ITC Avant Garde" w:hAnsi="ITC Avant Garde"/>
          <w:bCs/>
          <w:lang w:eastAsia="es-MX"/>
        </w:rPr>
        <w:t xml:space="preserve">por </w:t>
      </w:r>
      <w:r w:rsidRPr="005D557C">
        <w:rPr>
          <w:rFonts w:ascii="ITC Avant Garde" w:hAnsi="ITC Avant Garde"/>
          <w:bCs/>
          <w:lang w:eastAsia="es-MX"/>
        </w:rPr>
        <w:t xml:space="preserve">la </w:t>
      </w:r>
      <w:r w:rsidR="00A73AD0" w:rsidRPr="005D557C">
        <w:rPr>
          <w:rFonts w:ascii="ITC Avant Garde" w:hAnsi="ITC Avant Garde"/>
          <w:bCs/>
          <w:lang w:eastAsia="es-MX"/>
        </w:rPr>
        <w:t xml:space="preserve">propia </w:t>
      </w:r>
      <w:r w:rsidRPr="005D557C">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12D505D" w14:textId="77777777" w:rsidR="002C5C12" w:rsidRPr="005D557C" w:rsidRDefault="00954210" w:rsidP="002C5C12">
      <w:pPr>
        <w:autoSpaceDE w:val="0"/>
        <w:autoSpaceDN w:val="0"/>
        <w:adjustRightInd w:val="0"/>
        <w:spacing w:before="240" w:line="240" w:lineRule="auto"/>
        <w:jc w:val="both"/>
        <w:rPr>
          <w:rFonts w:ascii="ITC Avant Garde" w:hAnsi="ITC Avant Garde"/>
          <w:bCs/>
          <w:lang w:eastAsia="es-MX"/>
        </w:rPr>
      </w:pPr>
      <w:r w:rsidRPr="005D557C">
        <w:rPr>
          <w:rFonts w:ascii="ITC Avant Garde" w:hAnsi="ITC Avant Garde"/>
          <w:bCs/>
          <w:lang w:eastAsia="es-MX"/>
        </w:rPr>
        <w:t xml:space="preserve">Asimismo, el Instituto es la autoridad en materia de competencia económica de los sectores de radiodifusión y telecomunicaciones, por lo que entre otros aspectos, regulará </w:t>
      </w:r>
      <w:r w:rsidRPr="005D557C">
        <w:rPr>
          <w:rFonts w:ascii="ITC Avant Garde" w:hAnsi="ITC Avant Garde"/>
          <w:bCs/>
          <w:lang w:eastAsia="es-MX"/>
        </w:rPr>
        <w:lastRenderedPageBreak/>
        <w:t>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FACD189" w14:textId="77777777" w:rsidR="002C5C12" w:rsidRPr="005D557C" w:rsidRDefault="00954210" w:rsidP="002C5C12">
      <w:pPr>
        <w:autoSpaceDE w:val="0"/>
        <w:autoSpaceDN w:val="0"/>
        <w:adjustRightInd w:val="0"/>
        <w:spacing w:before="240" w:line="240" w:lineRule="auto"/>
        <w:jc w:val="both"/>
        <w:rPr>
          <w:rFonts w:ascii="ITC Avant Garde" w:hAnsi="ITC Avant Garde"/>
          <w:bCs/>
          <w:lang w:eastAsia="es-MX"/>
        </w:rPr>
      </w:pPr>
      <w:r w:rsidRPr="005D557C">
        <w:rPr>
          <w:rFonts w:ascii="ITC Avant Garde" w:hAnsi="ITC Avant Garde"/>
          <w:bCs/>
          <w:lang w:eastAsia="es-MX"/>
        </w:rPr>
        <w:t>Ahora bien, conforme a lo establecido en los artículos 15 fracción IV y 17 fracción I de la Ley</w:t>
      </w:r>
      <w:r w:rsidR="00A73AD0" w:rsidRPr="005D557C">
        <w:rPr>
          <w:rFonts w:ascii="ITC Avant Garde" w:hAnsi="ITC Avant Garde"/>
          <w:bCs/>
          <w:lang w:eastAsia="es-MX"/>
        </w:rPr>
        <w:t xml:space="preserve"> Federal de Telecomunicaciones y Radiodifusión (la “Ley”)</w:t>
      </w:r>
      <w:r w:rsidRPr="005D557C">
        <w:rPr>
          <w:rFonts w:ascii="ITC Avant Garde" w:hAnsi="ITC Avant Garde"/>
          <w:bCs/>
          <w:lang w:eastAsia="es-MX"/>
        </w:rPr>
        <w:t xml:space="preserve">, corresponde al Pleno del Instituto </w:t>
      </w:r>
      <w:r w:rsidR="00266F42" w:rsidRPr="005D557C">
        <w:rPr>
          <w:rFonts w:ascii="ITC Avant Garde" w:hAnsi="ITC Avant Garde"/>
          <w:bCs/>
          <w:lang w:eastAsia="es-MX"/>
        </w:rPr>
        <w:t>resolver sobre las modificaciones relacionadas con concesiones en materia de telecomunicaciones y radiodifusión</w:t>
      </w:r>
      <w:r w:rsidRPr="005D557C">
        <w:rPr>
          <w:rFonts w:ascii="ITC Avant Garde" w:hAnsi="ITC Avant Garde"/>
          <w:bCs/>
          <w:lang w:eastAsia="es-MX"/>
        </w:rPr>
        <w:t>.</w:t>
      </w:r>
    </w:p>
    <w:p w14:paraId="70738AA7" w14:textId="77777777" w:rsidR="002C5C12" w:rsidRPr="005D557C" w:rsidRDefault="00A73AD0" w:rsidP="002C5C12">
      <w:pPr>
        <w:autoSpaceDE w:val="0"/>
        <w:autoSpaceDN w:val="0"/>
        <w:adjustRightInd w:val="0"/>
        <w:spacing w:before="240" w:line="240" w:lineRule="auto"/>
        <w:jc w:val="both"/>
        <w:rPr>
          <w:rFonts w:ascii="ITC Avant Garde" w:hAnsi="ITC Avant Garde"/>
          <w:bCs/>
          <w:lang w:eastAsia="es-MX"/>
        </w:rPr>
      </w:pPr>
      <w:r w:rsidRPr="005D557C">
        <w:rPr>
          <w:rFonts w:ascii="ITC Avant Garde" w:hAnsi="ITC Avant Garde"/>
          <w:bCs/>
          <w:lang w:eastAsia="es-MX"/>
        </w:rPr>
        <w:t xml:space="preserve">Por su parte, el artículo 6 fracción I del Estatuto Orgánico, establece </w:t>
      </w:r>
      <w:r w:rsidR="00EB3B4F" w:rsidRPr="005D557C">
        <w:rPr>
          <w:rFonts w:ascii="ITC Avant Garde" w:hAnsi="ITC Avant Garde"/>
          <w:bCs/>
          <w:lang w:eastAsia="es-MX"/>
        </w:rPr>
        <w:t xml:space="preserve">como </w:t>
      </w:r>
      <w:r w:rsidRPr="005D557C">
        <w:rPr>
          <w:rFonts w:ascii="ITC Avant Garde" w:hAnsi="ITC Avant Garde"/>
          <w:bCs/>
          <w:lang w:eastAsia="es-MX"/>
        </w:rPr>
        <w:t>atribución del Pleno del Instituto</w:t>
      </w:r>
      <w:r w:rsidR="00EB3B4F" w:rsidRPr="005D557C">
        <w:rPr>
          <w:rFonts w:ascii="ITC Avant Garde" w:hAnsi="ITC Avant Garde"/>
          <w:bCs/>
          <w:lang w:eastAsia="es-MX"/>
        </w:rPr>
        <w:t>, entre otras, la</w:t>
      </w:r>
      <w:r w:rsidRPr="005D557C">
        <w:rPr>
          <w:rFonts w:ascii="ITC Avant Garde" w:hAnsi="ITC Avant Garde"/>
          <w:bCs/>
          <w:lang w:eastAsia="es-MX"/>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4CFE1DB" w14:textId="63EF5A99" w:rsidR="00954210" w:rsidRPr="005D557C" w:rsidRDefault="00954210" w:rsidP="002C5C12">
      <w:pPr>
        <w:autoSpaceDE w:val="0"/>
        <w:autoSpaceDN w:val="0"/>
        <w:adjustRightInd w:val="0"/>
        <w:spacing w:before="240" w:line="240" w:lineRule="auto"/>
        <w:jc w:val="both"/>
        <w:rPr>
          <w:rFonts w:ascii="ITC Avant Garde" w:hAnsi="ITC Avant Garde"/>
          <w:bCs/>
          <w:lang w:eastAsia="es-MX"/>
        </w:rPr>
      </w:pPr>
      <w:r w:rsidRPr="005D557C">
        <w:rPr>
          <w:rFonts w:ascii="ITC Avant Garde" w:hAnsi="ITC Avant Garde"/>
          <w:bCs/>
          <w:lang w:eastAsia="es-MX"/>
        </w:rPr>
        <w:t xml:space="preserve">Asimismo, conforme a los artículos 32 y 33 fracción II del Estatuto Orgánico, </w:t>
      </w:r>
      <w:r w:rsidR="00266F42" w:rsidRPr="005D557C">
        <w:rPr>
          <w:rFonts w:ascii="ITC Avant Garde" w:hAnsi="ITC Avant Garde"/>
          <w:bCs/>
          <w:lang w:eastAsia="es-MX"/>
        </w:rPr>
        <w:t xml:space="preserve">corresponde a la </w:t>
      </w:r>
      <w:r w:rsidR="00BF1C40" w:rsidRPr="005D557C">
        <w:rPr>
          <w:rFonts w:ascii="ITC Avant Garde" w:hAnsi="ITC Avant Garde"/>
          <w:bCs/>
          <w:lang w:eastAsia="es-MX"/>
        </w:rPr>
        <w:t xml:space="preserve">Unidad de Concesiones y Servicios a través de la </w:t>
      </w:r>
      <w:r w:rsidR="00266F42" w:rsidRPr="005D557C">
        <w:rPr>
          <w:rFonts w:ascii="ITC Avant Garde" w:hAnsi="ITC Avant Garde"/>
          <w:bCs/>
          <w:lang w:eastAsia="es-MX"/>
        </w:rPr>
        <w:t>Dirección General de Concesiones de Telecomunicaciones, entre otros aspectos, tramitar y evaluar las solicitudes de modificación de las concesiones en materia de telecomunicaciones para someterlas a consideración del Pleno</w:t>
      </w:r>
      <w:r w:rsidRPr="005D557C">
        <w:rPr>
          <w:rFonts w:ascii="ITC Avant Garde" w:hAnsi="ITC Avant Garde"/>
          <w:bCs/>
          <w:lang w:eastAsia="es-MX"/>
        </w:rPr>
        <w:t>.</w:t>
      </w:r>
    </w:p>
    <w:p w14:paraId="36183466" w14:textId="77777777" w:rsidR="00954210" w:rsidRPr="005D557C" w:rsidRDefault="00954210" w:rsidP="002C5C12">
      <w:pPr>
        <w:tabs>
          <w:tab w:val="left" w:pos="2681"/>
        </w:tabs>
        <w:autoSpaceDE w:val="0"/>
        <w:autoSpaceDN w:val="0"/>
        <w:adjustRightInd w:val="0"/>
        <w:spacing w:before="240" w:line="240" w:lineRule="auto"/>
        <w:jc w:val="both"/>
        <w:rPr>
          <w:rFonts w:ascii="ITC Avant Garde" w:hAnsi="ITC Avant Garde"/>
          <w:bCs/>
          <w:lang w:eastAsia="es-MX"/>
        </w:rPr>
      </w:pPr>
      <w:r w:rsidRPr="005D557C">
        <w:rPr>
          <w:rFonts w:ascii="ITC Avant Garde" w:hAnsi="ITC Avant Garde"/>
          <w:bCs/>
          <w:lang w:eastAsia="es-MX"/>
        </w:rPr>
        <w:tab/>
      </w:r>
    </w:p>
    <w:p w14:paraId="7D7C81F7" w14:textId="77777777" w:rsidR="002C5C12" w:rsidRPr="005D557C" w:rsidRDefault="002F7A68" w:rsidP="002C5C12">
      <w:pPr>
        <w:autoSpaceDE w:val="0"/>
        <w:autoSpaceDN w:val="0"/>
        <w:adjustRightInd w:val="0"/>
        <w:spacing w:before="240" w:line="240" w:lineRule="auto"/>
        <w:jc w:val="both"/>
        <w:rPr>
          <w:rFonts w:ascii="ITC Avant Garde" w:hAnsi="ITC Avant Garde"/>
          <w:bCs/>
          <w:color w:val="000000" w:themeColor="text1"/>
          <w:lang w:eastAsia="es-MX"/>
        </w:rPr>
      </w:pPr>
      <w:r w:rsidRPr="005D557C">
        <w:rPr>
          <w:rFonts w:ascii="ITC Avant Garde" w:hAnsi="ITC Avant Garde"/>
          <w:bCs/>
          <w:color w:val="000000" w:themeColor="text1"/>
          <w:lang w:eastAsia="es-MX"/>
        </w:rPr>
        <w:t xml:space="preserve">En este orden de ideas, y considerando que el Instituto tiene a su cargo la regulación, promoción y supervisión de las telecomunicaciones, así como </w:t>
      </w:r>
      <w:r w:rsidR="00266F42" w:rsidRPr="005D557C">
        <w:rPr>
          <w:rFonts w:ascii="ITC Avant Garde" w:hAnsi="ITC Avant Garde"/>
          <w:bCs/>
          <w:color w:val="000000" w:themeColor="text1"/>
          <w:lang w:eastAsia="es-MX"/>
        </w:rPr>
        <w:t>resolver</w:t>
      </w:r>
      <w:r w:rsidR="00266F42" w:rsidRPr="005D557C">
        <w:rPr>
          <w:rFonts w:ascii="ITC Avant Garde" w:hAnsi="ITC Avant Garde"/>
          <w:bCs/>
          <w:lang w:eastAsia="es-MX"/>
        </w:rPr>
        <w:t xml:space="preserve"> sobre las modificaciones relacionadas con concesiones en materia de telecomunicaciones y radiodifusión</w:t>
      </w:r>
      <w:r w:rsidRPr="005D557C">
        <w:rPr>
          <w:rFonts w:ascii="ITC Avant Garde" w:hAnsi="ITC Avant Garde"/>
          <w:bCs/>
          <w:color w:val="000000" w:themeColor="text1"/>
          <w:lang w:eastAsia="es-MX"/>
        </w:rPr>
        <w:t xml:space="preserve">; el Pleno, como órgano máximo de gobierno y decisión del Instituto, se encuentra plenamente facultado para resolver la Solicitud de </w:t>
      </w:r>
      <w:r w:rsidR="00266F42" w:rsidRPr="005D557C">
        <w:rPr>
          <w:rFonts w:ascii="ITC Avant Garde" w:hAnsi="ITC Avant Garde"/>
          <w:bCs/>
          <w:color w:val="000000" w:themeColor="text1"/>
          <w:lang w:eastAsia="es-MX"/>
        </w:rPr>
        <w:t>Ampliación de Cobertura</w:t>
      </w:r>
      <w:r w:rsidRPr="005D557C">
        <w:rPr>
          <w:rFonts w:ascii="ITC Avant Garde" w:hAnsi="ITC Avant Garde"/>
          <w:bCs/>
          <w:color w:val="000000" w:themeColor="text1"/>
          <w:lang w:eastAsia="es-MX"/>
        </w:rPr>
        <w:t>.</w:t>
      </w:r>
    </w:p>
    <w:p w14:paraId="5C7662BD" w14:textId="52FE3678" w:rsidR="002C5C12" w:rsidRPr="005D557C" w:rsidRDefault="00954210" w:rsidP="002C5C12">
      <w:pPr>
        <w:autoSpaceDE w:val="0"/>
        <w:autoSpaceDN w:val="0"/>
        <w:adjustRightInd w:val="0"/>
        <w:spacing w:before="240" w:line="240" w:lineRule="auto"/>
        <w:jc w:val="both"/>
        <w:rPr>
          <w:rFonts w:ascii="ITC Avant Garde" w:hAnsi="ITC Avant Garde"/>
          <w:b/>
          <w:bCs/>
          <w:lang w:eastAsia="es-MX"/>
        </w:rPr>
      </w:pPr>
      <w:r w:rsidRPr="005D557C">
        <w:rPr>
          <w:rFonts w:ascii="ITC Avant Garde" w:hAnsi="ITC Avant Garde"/>
          <w:b/>
          <w:bCs/>
          <w:lang w:eastAsia="es-MX"/>
        </w:rPr>
        <w:t>Segundo.- Marco legal aplicable</w:t>
      </w:r>
      <w:r w:rsidR="00EB3B4F" w:rsidRPr="005D557C">
        <w:rPr>
          <w:rFonts w:ascii="ITC Avant Garde" w:hAnsi="ITC Avant Garde"/>
          <w:b/>
          <w:bCs/>
          <w:lang w:eastAsia="es-MX"/>
        </w:rPr>
        <w:t xml:space="preserve"> a la Solicitud de Ampliación de Cobertura</w:t>
      </w:r>
      <w:r w:rsidRPr="005D557C">
        <w:rPr>
          <w:rFonts w:ascii="ITC Avant Garde" w:hAnsi="ITC Avant Garde"/>
          <w:b/>
          <w:bCs/>
          <w:lang w:eastAsia="es-MX"/>
        </w:rPr>
        <w:t>.</w:t>
      </w:r>
      <w:r w:rsidRPr="005D557C">
        <w:rPr>
          <w:rFonts w:ascii="ITC Avant Garde" w:hAnsi="ITC Avant Garde"/>
          <w:bCs/>
          <w:lang w:eastAsia="es-MX"/>
        </w:rPr>
        <w:t xml:space="preserve"> </w:t>
      </w:r>
      <w:r w:rsidR="00EB3B4F" w:rsidRPr="005D557C">
        <w:rPr>
          <w:rFonts w:ascii="ITC Avant Garde" w:hAnsi="ITC Avant Garde"/>
          <w:bCs/>
          <w:lang w:eastAsia="es-MX"/>
        </w:rPr>
        <w:t xml:space="preserve">El artículo Primero Transitorio del Decreto de Reforma Constitucional estableció que el mismo entraría en vigor al día siguiente de su publicación en el Diario Oficial de la Federación, es decir, el 12 de junio de 2013. </w:t>
      </w:r>
    </w:p>
    <w:p w14:paraId="33824752" w14:textId="77777777" w:rsidR="002C5C12" w:rsidRPr="005D557C" w:rsidRDefault="00EB3B4F" w:rsidP="002C5C12">
      <w:pPr>
        <w:autoSpaceDE w:val="0"/>
        <w:autoSpaceDN w:val="0"/>
        <w:adjustRightInd w:val="0"/>
        <w:spacing w:before="240" w:line="240" w:lineRule="auto"/>
        <w:jc w:val="both"/>
        <w:rPr>
          <w:rFonts w:ascii="ITC Avant Garde" w:hAnsi="ITC Avant Garde"/>
          <w:bCs/>
          <w:lang w:eastAsia="es-MX"/>
        </w:rPr>
      </w:pPr>
      <w:r w:rsidRPr="005D557C">
        <w:rPr>
          <w:rFonts w:ascii="ITC Avant Garde" w:hAnsi="ITC Avant Garde"/>
          <w:bCs/>
          <w:lang w:eastAsia="es-MX"/>
        </w:rPr>
        <w:t xml:space="preserve">Por su parte, el Decreto de Ley estableció en su artículo </w:t>
      </w:r>
      <w:r w:rsidR="00932E8C" w:rsidRPr="005D557C">
        <w:rPr>
          <w:rFonts w:ascii="ITC Avant Garde" w:hAnsi="ITC Avant Garde"/>
          <w:bCs/>
          <w:lang w:eastAsia="es-MX"/>
        </w:rPr>
        <w:t xml:space="preserve">Tercero Transitorio </w:t>
      </w:r>
      <w:r w:rsidRPr="005D557C">
        <w:rPr>
          <w:rFonts w:ascii="ITC Avant Garde" w:hAnsi="ITC Avant Garde"/>
          <w:bCs/>
          <w:lang w:eastAsia="es-MX"/>
        </w:rPr>
        <w:t xml:space="preserve">que </w:t>
      </w:r>
      <w:r w:rsidR="00932E8C" w:rsidRPr="005D557C">
        <w:rPr>
          <w:rFonts w:ascii="ITC Avant Garde" w:hAnsi="ITC Avant Garde"/>
          <w:bCs/>
          <w:lang w:eastAsia="es-MX"/>
        </w:rPr>
        <w:t>las disposiciones reglamentarias y administrativas y las normas oficiales mexicanas en vigor, continuarán aplicándose hasta en tanto se expidan los nuevos ordenamientos que los sustituyan, salvo en lo que se opongan a la Ley</w:t>
      </w:r>
      <w:r w:rsidRPr="005D557C">
        <w:rPr>
          <w:rFonts w:ascii="ITC Avant Garde" w:hAnsi="ITC Avant Garde"/>
          <w:bCs/>
          <w:lang w:eastAsia="es-MX"/>
        </w:rPr>
        <w:t>.</w:t>
      </w:r>
    </w:p>
    <w:p w14:paraId="431FB6D9" w14:textId="77777777" w:rsidR="002C5C12" w:rsidRPr="005D557C" w:rsidRDefault="00EB3B4F" w:rsidP="002C5C12">
      <w:pPr>
        <w:spacing w:before="240" w:line="240" w:lineRule="auto"/>
        <w:jc w:val="both"/>
        <w:rPr>
          <w:rFonts w:ascii="ITC Avant Garde" w:hAnsi="ITC Avant Garde"/>
          <w:bCs/>
          <w:lang w:eastAsia="es-MX"/>
        </w:rPr>
      </w:pPr>
      <w:r w:rsidRPr="005D557C">
        <w:rPr>
          <w:rFonts w:ascii="ITC Avant Garde" w:hAnsi="ITC Avant Garde"/>
          <w:bCs/>
          <w:lang w:eastAsia="es-MX"/>
        </w:rPr>
        <w:t xml:space="preserve">Considerando lo anterior y la fecha en que la Solicitud de Ampliación de Cobertura fue presentada al Instituto, las disposiciones normativas que resultan aplicables para llevar a </w:t>
      </w:r>
      <w:r w:rsidRPr="005D557C">
        <w:rPr>
          <w:rFonts w:ascii="ITC Avant Garde" w:hAnsi="ITC Avant Garde"/>
          <w:bCs/>
          <w:lang w:eastAsia="es-MX"/>
        </w:rPr>
        <w:lastRenderedPageBreak/>
        <w:t xml:space="preserve">cabo el análisis de la citada solicitud y su resolución, se encuentran establecidas en el Decreto de Reforma Constitucional, </w:t>
      </w:r>
      <w:r w:rsidR="00613773" w:rsidRPr="005D557C">
        <w:rPr>
          <w:rFonts w:ascii="ITC Avant Garde" w:hAnsi="ITC Avant Garde"/>
          <w:bCs/>
          <w:lang w:eastAsia="es-MX"/>
        </w:rPr>
        <w:t xml:space="preserve">la Constitución, </w:t>
      </w:r>
      <w:r w:rsidRPr="005D557C">
        <w:rPr>
          <w:rFonts w:ascii="ITC Avant Garde" w:hAnsi="ITC Avant Garde"/>
          <w:bCs/>
          <w:lang w:eastAsia="es-MX"/>
        </w:rPr>
        <w:t>el Decreto de Ley</w:t>
      </w:r>
      <w:r w:rsidR="00B84D38" w:rsidRPr="005D557C">
        <w:rPr>
          <w:rFonts w:ascii="ITC Avant Garde" w:hAnsi="ITC Avant Garde"/>
          <w:bCs/>
          <w:lang w:eastAsia="es-MX"/>
        </w:rPr>
        <w:t>, la Ley</w:t>
      </w:r>
      <w:r w:rsidRPr="005D557C">
        <w:rPr>
          <w:rFonts w:ascii="ITC Avant Garde" w:hAnsi="ITC Avant Garde"/>
          <w:bCs/>
          <w:lang w:eastAsia="es-MX"/>
        </w:rPr>
        <w:t>, el Reglamento del Servicio de Tele</w:t>
      </w:r>
      <w:r w:rsidR="00C76246" w:rsidRPr="005D557C">
        <w:rPr>
          <w:rFonts w:ascii="ITC Avant Garde" w:hAnsi="ITC Avant Garde"/>
          <w:bCs/>
          <w:lang w:eastAsia="es-MX"/>
        </w:rPr>
        <w:t>visión y Audio Restringidos</w:t>
      </w:r>
      <w:r w:rsidR="00726D5E" w:rsidRPr="005D557C">
        <w:rPr>
          <w:rFonts w:ascii="ITC Avant Garde" w:hAnsi="ITC Avant Garde"/>
          <w:bCs/>
          <w:lang w:eastAsia="es-MX"/>
        </w:rPr>
        <w:t xml:space="preserve"> publicado en el Diario Oficial de la Federación el 29 de febrero de 2000</w:t>
      </w:r>
      <w:r w:rsidR="00C76246" w:rsidRPr="005D557C">
        <w:rPr>
          <w:rFonts w:ascii="ITC Avant Garde" w:hAnsi="ITC Avant Garde"/>
          <w:bCs/>
          <w:lang w:eastAsia="es-MX"/>
        </w:rPr>
        <w:t xml:space="preserve">, </w:t>
      </w:r>
      <w:r w:rsidRPr="005D557C">
        <w:rPr>
          <w:rFonts w:ascii="ITC Avant Garde" w:hAnsi="ITC Avant Garde"/>
          <w:bCs/>
          <w:lang w:eastAsia="es-MX"/>
        </w:rPr>
        <w:t>la Concesión y en la Ley Federal de Derechos vigente al momento de presentar la citada solicitud.</w:t>
      </w:r>
    </w:p>
    <w:p w14:paraId="1C83938C" w14:textId="77777777" w:rsidR="002C5C12" w:rsidRPr="005D557C" w:rsidRDefault="00F92A78" w:rsidP="002C5C12">
      <w:pPr>
        <w:spacing w:before="240" w:line="240" w:lineRule="auto"/>
        <w:jc w:val="both"/>
        <w:rPr>
          <w:rFonts w:ascii="ITC Avant Garde" w:hAnsi="ITC Avant Garde"/>
          <w:bCs/>
          <w:lang w:eastAsia="es-MX"/>
        </w:rPr>
      </w:pPr>
      <w:r w:rsidRPr="005D557C">
        <w:rPr>
          <w:rFonts w:ascii="ITC Avant Garde" w:hAnsi="ITC Avant Garde"/>
          <w:bCs/>
          <w:lang w:eastAsia="es-MX"/>
        </w:rPr>
        <w:t xml:space="preserve">La Constitución </w:t>
      </w:r>
      <w:r w:rsidR="00BF4543" w:rsidRPr="005D557C">
        <w:rPr>
          <w:rFonts w:ascii="ITC Avant Garde" w:hAnsi="ITC Avant Garde"/>
          <w:bCs/>
          <w:lang w:eastAsia="es-MX"/>
        </w:rPr>
        <w:t>estableció en el artículo 6o., Apartado B, fracción II que las telecomunicaciones son servicios públicos de interés general, por lo que el Estado garantizará que sean prestados, entre otr</w:t>
      </w:r>
      <w:r w:rsidR="00D8576D" w:rsidRPr="005D557C">
        <w:rPr>
          <w:rFonts w:ascii="ITC Avant Garde" w:hAnsi="ITC Avant Garde"/>
          <w:bCs/>
          <w:lang w:eastAsia="es-MX"/>
        </w:rPr>
        <w:t>o</w:t>
      </w:r>
      <w:r w:rsidR="00BF4543" w:rsidRPr="005D557C">
        <w:rPr>
          <w:rFonts w:ascii="ITC Avant Garde" w:hAnsi="ITC Avant Garde"/>
          <w:bCs/>
          <w:lang w:eastAsia="es-MX"/>
        </w:rPr>
        <w:t xml:space="preserve">s, en condiciones de competencia. Adicionalmente, en </w:t>
      </w:r>
      <w:r w:rsidRPr="005D557C">
        <w:rPr>
          <w:rFonts w:ascii="ITC Avant Garde" w:hAnsi="ITC Avant Garde"/>
          <w:bCs/>
          <w:lang w:eastAsia="es-MX"/>
        </w:rPr>
        <w:t>su</w:t>
      </w:r>
      <w:r w:rsidR="00BF4543" w:rsidRPr="005D557C">
        <w:rPr>
          <w:rFonts w:ascii="ITC Avant Garde" w:hAnsi="ITC Avant Garde"/>
          <w:bCs/>
          <w:lang w:eastAsia="es-MX"/>
        </w:rPr>
        <w:t xml:space="preserve"> artículo 28 estableció que el Instituto, como autoridad en materia de competencia económica en los sectores de radiodifusión y telecomunicaciones, tendría como objeto eliminar eficazmente las barreras a la competencia y la libre concurrencia. </w:t>
      </w:r>
    </w:p>
    <w:p w14:paraId="2E6EC2D5" w14:textId="77777777" w:rsidR="002C5C12" w:rsidRPr="005D557C" w:rsidRDefault="00B84D38" w:rsidP="002C5C12">
      <w:pPr>
        <w:spacing w:before="240" w:line="240" w:lineRule="auto"/>
        <w:jc w:val="both"/>
        <w:rPr>
          <w:rFonts w:ascii="ITC Avant Garde" w:hAnsi="ITC Avant Garde"/>
          <w:bCs/>
          <w:lang w:eastAsia="es-MX"/>
        </w:rPr>
      </w:pPr>
      <w:r w:rsidRPr="005D557C">
        <w:rPr>
          <w:rFonts w:ascii="ITC Avant Garde" w:hAnsi="ITC Avant Garde"/>
          <w:bCs/>
          <w:lang w:eastAsia="es-MX"/>
        </w:rPr>
        <w:t xml:space="preserve">Lo anterior es consistente con lo establecido por el artículo 1 de la Ley, misma que entre otros aspectos establece además, en su artículo 204 que los concesionarios de servicios de telecomunicaciones para uso comercial fijarán libremente las tarifas a los usuarios de los servicios que presten. </w:t>
      </w:r>
    </w:p>
    <w:p w14:paraId="153D763F" w14:textId="77777777" w:rsidR="002C5C12" w:rsidRPr="005D557C" w:rsidRDefault="006155D9" w:rsidP="002C5C12">
      <w:pPr>
        <w:spacing w:before="240" w:line="240" w:lineRule="auto"/>
        <w:jc w:val="both"/>
        <w:rPr>
          <w:rFonts w:ascii="ITC Avant Garde" w:hAnsi="ITC Avant Garde"/>
          <w:bCs/>
          <w:lang w:eastAsia="es-MX"/>
        </w:rPr>
      </w:pPr>
      <w:r w:rsidRPr="005D557C">
        <w:rPr>
          <w:rFonts w:ascii="ITC Avant Garde" w:hAnsi="ITC Avant Garde"/>
          <w:bCs/>
          <w:lang w:eastAsia="es-MX"/>
        </w:rPr>
        <w:t xml:space="preserve">Por su parte, </w:t>
      </w:r>
      <w:r w:rsidR="00954210" w:rsidRPr="005D557C">
        <w:rPr>
          <w:rFonts w:ascii="ITC Avant Garde" w:hAnsi="ITC Avant Garde"/>
          <w:bCs/>
          <w:lang w:eastAsia="es-MX"/>
        </w:rPr>
        <w:t xml:space="preserve">el artículo </w:t>
      </w:r>
      <w:r w:rsidR="00E6159D" w:rsidRPr="005D557C">
        <w:rPr>
          <w:rFonts w:ascii="ITC Avant Garde" w:hAnsi="ITC Avant Garde"/>
          <w:bCs/>
          <w:lang w:eastAsia="es-MX"/>
        </w:rPr>
        <w:t>8</w:t>
      </w:r>
      <w:r w:rsidR="00954210" w:rsidRPr="005D557C">
        <w:rPr>
          <w:rFonts w:ascii="ITC Avant Garde" w:hAnsi="ITC Avant Garde"/>
          <w:bCs/>
          <w:lang w:eastAsia="es-MX"/>
        </w:rPr>
        <w:t xml:space="preserve"> del Reglamento del Servicio de Televis</w:t>
      </w:r>
      <w:r w:rsidR="00E6159D" w:rsidRPr="005D557C">
        <w:rPr>
          <w:rFonts w:ascii="ITC Avant Garde" w:hAnsi="ITC Avant Garde"/>
          <w:bCs/>
          <w:lang w:eastAsia="es-MX"/>
        </w:rPr>
        <w:t xml:space="preserve">ión y Audio Restringidos </w:t>
      </w:r>
      <w:r w:rsidRPr="005D557C">
        <w:rPr>
          <w:rFonts w:ascii="ITC Avant Garde" w:hAnsi="ITC Avant Garde"/>
          <w:bCs/>
          <w:lang w:eastAsia="es-MX"/>
        </w:rPr>
        <w:t>estableció</w:t>
      </w:r>
      <w:r w:rsidR="00E6159D" w:rsidRPr="005D557C">
        <w:rPr>
          <w:rFonts w:ascii="ITC Avant Garde" w:hAnsi="ITC Avant Garde"/>
          <w:bCs/>
          <w:lang w:eastAsia="es-MX"/>
        </w:rPr>
        <w:t xml:space="preserve"> </w:t>
      </w:r>
      <w:r w:rsidR="00954210" w:rsidRPr="005D557C">
        <w:rPr>
          <w:rFonts w:ascii="ITC Avant Garde" w:hAnsi="ITC Avant Garde"/>
          <w:bCs/>
          <w:lang w:eastAsia="es-MX"/>
        </w:rPr>
        <w:t xml:space="preserve">lo siguiente: </w:t>
      </w:r>
    </w:p>
    <w:p w14:paraId="546469DE" w14:textId="77777777" w:rsidR="002C5C12" w:rsidRPr="005D557C" w:rsidRDefault="00E6159D"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
          <w:bCs/>
          <w:color w:val="000000"/>
          <w:sz w:val="18"/>
          <w:szCs w:val="18"/>
          <w:lang w:eastAsia="es-MX"/>
        </w:rPr>
        <w:t>“Artículo 8.</w:t>
      </w:r>
      <w:r w:rsidRPr="005D557C">
        <w:rPr>
          <w:rFonts w:ascii="ITC Avant Garde" w:hAnsi="ITC Avant Garde"/>
          <w:bCs/>
          <w:color w:val="000000"/>
          <w:sz w:val="18"/>
          <w:szCs w:val="18"/>
          <w:lang w:eastAsia="es-MX"/>
        </w:rPr>
        <w:t xml:space="preserve"> La Secretaría autorizará ampliaciones a la cobertura de las redes cableadas, cuando el concesionario se encuentre al corriente en el programa previsto en su título de concesión y demás obligaciones a su cargo.</w:t>
      </w:r>
    </w:p>
    <w:p w14:paraId="10E34ABD" w14:textId="77777777" w:rsidR="002C5C12" w:rsidRPr="005D557C" w:rsidRDefault="00E6159D"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La Secretaría analizará y resolverá respecto de las solicitudes a que se refiere el párrafo anterior, en un plazo no mayor a 90 días naturales a partir de la fecha en que se integre debidamente la solicitud.</w:t>
      </w:r>
    </w:p>
    <w:p w14:paraId="55929CC8" w14:textId="77777777" w:rsidR="002C5C12" w:rsidRPr="005D557C" w:rsidRDefault="00E6159D"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La autorización de ampliaciones a la cobertura de las redes cableadas estará sujeta a los siguientes criterios:</w:t>
      </w:r>
    </w:p>
    <w:p w14:paraId="29D17564" w14:textId="77777777" w:rsidR="002C5C12" w:rsidRPr="005D557C" w:rsidRDefault="00E6159D"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I. Las poblaciones comprendidas en la ampliación solicitada deberán ser aledañas a la población concesionada, la que siempre deberá tener un mayor número de habitantes respecto de la población en la que se pretende ampliar la cobertura de la concesión;</w:t>
      </w:r>
    </w:p>
    <w:p w14:paraId="58656E54" w14:textId="77777777" w:rsidR="002C5C12" w:rsidRPr="005D557C" w:rsidRDefault="00E6159D"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 xml:space="preserve">II. La infraestructura correspondiente a la ampliación deberá utilizar el mismo centro de transmisión y control, y </w:t>
      </w:r>
    </w:p>
    <w:p w14:paraId="1797AE4D" w14:textId="77777777" w:rsidR="002C5C12" w:rsidRPr="005D557C" w:rsidRDefault="00E6159D" w:rsidP="002C5C12">
      <w:pPr>
        <w:pStyle w:val="Textoindependiente"/>
        <w:spacing w:before="240" w:after="200" w:line="240" w:lineRule="auto"/>
        <w:ind w:left="567" w:right="587"/>
        <w:jc w:val="both"/>
        <w:rPr>
          <w:rFonts w:ascii="ITC Avant Garde" w:hAnsi="ITC Avant Garde" w:cs="Calibri"/>
          <w:sz w:val="18"/>
          <w:szCs w:val="18"/>
        </w:rPr>
      </w:pPr>
      <w:r w:rsidRPr="005D557C">
        <w:rPr>
          <w:rFonts w:ascii="ITC Avant Garde" w:hAnsi="ITC Avant Garde"/>
          <w:bCs/>
          <w:color w:val="000000"/>
          <w:sz w:val="18"/>
          <w:szCs w:val="18"/>
          <w:lang w:eastAsia="es-MX"/>
        </w:rPr>
        <w:t>III. En las poblaciones que correspondan a las ampliaciones deberá ofrecerse igual servicio, con las mismas tarifas y, en general, en igualdad de condiciones a los de la plaza concesionada.”</w:t>
      </w:r>
    </w:p>
    <w:p w14:paraId="5F9ED36A" w14:textId="77777777" w:rsidR="002C5C12" w:rsidRPr="005D557C" w:rsidRDefault="006D0A1E" w:rsidP="002C5C12">
      <w:pPr>
        <w:spacing w:before="240" w:line="240" w:lineRule="auto"/>
        <w:jc w:val="both"/>
        <w:rPr>
          <w:rFonts w:ascii="ITC Avant Garde" w:hAnsi="ITC Avant Garde"/>
          <w:bCs/>
        </w:rPr>
      </w:pPr>
      <w:r w:rsidRPr="005D557C">
        <w:rPr>
          <w:rFonts w:ascii="ITC Avant Garde" w:hAnsi="ITC Avant Garde"/>
          <w:bCs/>
        </w:rPr>
        <w:t>Del contenido del artículo 8 del Reglamento del Servicio Televisión y Audio Restringidos se puede colegir que toda ampliación de cobertura, para ser autorizada, tenía que cumplir los siguientes aspectos:</w:t>
      </w:r>
    </w:p>
    <w:p w14:paraId="3FC2F856" w14:textId="3106740D" w:rsidR="006D0A1E" w:rsidRPr="005D557C" w:rsidRDefault="006D0A1E" w:rsidP="002C5C12">
      <w:pPr>
        <w:pStyle w:val="Prrafodelista"/>
        <w:numPr>
          <w:ilvl w:val="0"/>
          <w:numId w:val="15"/>
        </w:numPr>
        <w:spacing w:before="240" w:after="200"/>
        <w:jc w:val="both"/>
        <w:rPr>
          <w:rFonts w:ascii="ITC Avant Garde" w:hAnsi="ITC Avant Garde"/>
          <w:bCs/>
        </w:rPr>
      </w:pPr>
      <w:r w:rsidRPr="005D557C">
        <w:rPr>
          <w:rFonts w:ascii="ITC Avant Garde" w:hAnsi="ITC Avant Garde"/>
          <w:bCs/>
          <w:sz w:val="22"/>
          <w:szCs w:val="22"/>
          <w:lang w:val="es-MX"/>
        </w:rPr>
        <w:lastRenderedPageBreak/>
        <w:t>Que el concesionario se encontrara al corriente en el cumplimiento de</w:t>
      </w:r>
      <w:r w:rsidR="00CB364F" w:rsidRPr="005D557C">
        <w:rPr>
          <w:rFonts w:ascii="ITC Avant Garde" w:hAnsi="ITC Avant Garde"/>
          <w:bCs/>
          <w:sz w:val="22"/>
          <w:szCs w:val="22"/>
          <w:lang w:val="es-MX"/>
        </w:rPr>
        <w:t>l programa de cobertura previsto en la Concesión y demás</w:t>
      </w:r>
      <w:r w:rsidRPr="005D557C">
        <w:rPr>
          <w:rFonts w:ascii="ITC Avant Garde" w:hAnsi="ITC Avant Garde"/>
          <w:bCs/>
          <w:sz w:val="22"/>
          <w:szCs w:val="22"/>
          <w:lang w:val="es-MX"/>
        </w:rPr>
        <w:t xml:space="preserve"> obligaciones a su cargo; </w:t>
      </w:r>
    </w:p>
    <w:p w14:paraId="35BDD8D4" w14:textId="77777777" w:rsidR="006D0A1E" w:rsidRPr="005D557C" w:rsidRDefault="006D0A1E" w:rsidP="002C5C12">
      <w:pPr>
        <w:pStyle w:val="Prrafodelista"/>
        <w:numPr>
          <w:ilvl w:val="0"/>
          <w:numId w:val="15"/>
        </w:numPr>
        <w:spacing w:before="240" w:after="200"/>
        <w:jc w:val="both"/>
        <w:rPr>
          <w:rFonts w:ascii="ITC Avant Garde" w:hAnsi="ITC Avant Garde"/>
          <w:bCs/>
        </w:rPr>
      </w:pPr>
      <w:r w:rsidRPr="005D557C">
        <w:rPr>
          <w:rFonts w:ascii="ITC Avant Garde" w:hAnsi="ITC Avant Garde"/>
          <w:bCs/>
          <w:sz w:val="22"/>
          <w:szCs w:val="22"/>
        </w:rPr>
        <w:t xml:space="preserve">Que las poblaciones comprendidas en la ampliación solicitada fueran aledañas a la población concesionada y que dicha población siempre tuviera un mayor número de habitantes respecto a las poblaciones comprendidas en la solicitud de ampliación; </w:t>
      </w:r>
    </w:p>
    <w:p w14:paraId="4F3411D5" w14:textId="3C8CCB7B" w:rsidR="006D0A1E" w:rsidRPr="005D557C" w:rsidRDefault="006D0A1E" w:rsidP="002C5C12">
      <w:pPr>
        <w:pStyle w:val="Prrafodelista"/>
        <w:numPr>
          <w:ilvl w:val="0"/>
          <w:numId w:val="15"/>
        </w:numPr>
        <w:spacing w:before="240" w:after="200"/>
        <w:jc w:val="both"/>
        <w:rPr>
          <w:rFonts w:ascii="ITC Avant Garde" w:hAnsi="ITC Avant Garde"/>
          <w:bCs/>
        </w:rPr>
      </w:pPr>
      <w:r w:rsidRPr="005D557C">
        <w:rPr>
          <w:rFonts w:ascii="ITC Avant Garde" w:hAnsi="ITC Avant Garde"/>
          <w:bCs/>
          <w:sz w:val="22"/>
          <w:szCs w:val="22"/>
        </w:rPr>
        <w:t>Que el concesionario utilizara el centro de transmisión y control empleado en la población concesionada</w:t>
      </w:r>
      <w:r w:rsidR="00D8576D" w:rsidRPr="005D557C">
        <w:rPr>
          <w:rFonts w:ascii="ITC Avant Garde" w:hAnsi="ITC Avant Garde"/>
          <w:bCs/>
          <w:sz w:val="22"/>
          <w:szCs w:val="22"/>
        </w:rPr>
        <w:t>,</w:t>
      </w:r>
      <w:r w:rsidRPr="005D557C">
        <w:rPr>
          <w:rFonts w:ascii="ITC Avant Garde" w:hAnsi="ITC Avant Garde"/>
          <w:bCs/>
          <w:sz w:val="22"/>
          <w:szCs w:val="22"/>
        </w:rPr>
        <w:t xml:space="preserve"> también en las poblaciones comprendidas en la solicitud de ampliación, y</w:t>
      </w:r>
    </w:p>
    <w:p w14:paraId="7BAAD677" w14:textId="77777777" w:rsidR="002C5C12" w:rsidRPr="005D557C" w:rsidRDefault="006D0A1E" w:rsidP="002C5C12">
      <w:pPr>
        <w:pStyle w:val="Prrafodelista"/>
        <w:numPr>
          <w:ilvl w:val="0"/>
          <w:numId w:val="15"/>
        </w:numPr>
        <w:spacing w:before="240" w:after="200"/>
        <w:jc w:val="both"/>
        <w:rPr>
          <w:rFonts w:ascii="ITC Avant Garde" w:hAnsi="ITC Avant Garde"/>
          <w:bCs/>
        </w:rPr>
      </w:pPr>
      <w:r w:rsidRPr="005D557C">
        <w:rPr>
          <w:rFonts w:ascii="ITC Avant Garde" w:hAnsi="ITC Avant Garde"/>
          <w:bCs/>
          <w:sz w:val="22"/>
          <w:szCs w:val="22"/>
        </w:rPr>
        <w:t>Que el concesionario ofrecería en las poblaciones objeto de la solicitud de ampliación, los mismos servicios y las mismas tarifas que ofre</w:t>
      </w:r>
      <w:r w:rsidR="00D8576D" w:rsidRPr="005D557C">
        <w:rPr>
          <w:rFonts w:ascii="ITC Avant Garde" w:hAnsi="ITC Avant Garde"/>
          <w:bCs/>
          <w:sz w:val="22"/>
          <w:szCs w:val="22"/>
        </w:rPr>
        <w:t>ciera</w:t>
      </w:r>
      <w:r w:rsidRPr="005D557C">
        <w:rPr>
          <w:rFonts w:ascii="ITC Avant Garde" w:hAnsi="ITC Avant Garde"/>
          <w:bCs/>
          <w:sz w:val="22"/>
          <w:szCs w:val="22"/>
        </w:rPr>
        <w:t xml:space="preserve"> en la población concesionada. </w:t>
      </w:r>
    </w:p>
    <w:p w14:paraId="6B7961CB" w14:textId="77777777" w:rsidR="002C5C12" w:rsidRPr="005D557C" w:rsidRDefault="008E73FD" w:rsidP="002C5C12">
      <w:pPr>
        <w:spacing w:before="240" w:line="240" w:lineRule="auto"/>
        <w:jc w:val="both"/>
        <w:rPr>
          <w:rFonts w:ascii="ITC Avant Garde" w:hAnsi="ITC Avant Garde"/>
          <w:bCs/>
        </w:rPr>
      </w:pPr>
      <w:r w:rsidRPr="005D557C">
        <w:rPr>
          <w:rFonts w:ascii="ITC Avant Garde" w:hAnsi="ITC Avant Garde"/>
          <w:bCs/>
        </w:rPr>
        <w:t>Sin embargo, como ya quedó señalado, los artículos 6o., Apartado B, fracción II y 28</w:t>
      </w:r>
      <w:r w:rsidR="00CC3695" w:rsidRPr="005D557C">
        <w:rPr>
          <w:rFonts w:ascii="ITC Avant Garde" w:hAnsi="ITC Avant Garde"/>
          <w:bCs/>
        </w:rPr>
        <w:t xml:space="preserve"> de</w:t>
      </w:r>
      <w:r w:rsidRPr="005D557C">
        <w:rPr>
          <w:rFonts w:ascii="ITC Avant Garde" w:hAnsi="ITC Avant Garde"/>
          <w:bCs/>
        </w:rPr>
        <w:t xml:space="preserve"> la Constitución establecen que el Instituto, como autoridad en materia de competencia en el sector de telecomunicaciones, debe eliminar las barreras a la competencia y a la libre concurrencia en dicho sector. </w:t>
      </w:r>
    </w:p>
    <w:p w14:paraId="485BF444" w14:textId="77777777" w:rsidR="002C5C12" w:rsidRPr="005D557C" w:rsidRDefault="008E73FD" w:rsidP="002C5C12">
      <w:pPr>
        <w:spacing w:before="240" w:line="240" w:lineRule="auto"/>
        <w:jc w:val="both"/>
        <w:rPr>
          <w:rFonts w:ascii="ITC Avant Garde" w:hAnsi="ITC Avant Garde"/>
          <w:bCs/>
        </w:rPr>
      </w:pPr>
      <w:r w:rsidRPr="005D557C">
        <w:rPr>
          <w:rFonts w:ascii="ITC Avant Garde" w:hAnsi="ITC Avant Garde"/>
          <w:bCs/>
        </w:rPr>
        <w:t>En ese sentido, el Pleno de este Instituto considera que exigir a los concesionarios que presten servicios de televisión y audio restringidos a través de redes cableadas, el cumplimiento de los requisitos señalados en los incisos b), c) y d) anteriores, sería contrario a la Constitución</w:t>
      </w:r>
      <w:r w:rsidR="008A6889" w:rsidRPr="005D557C">
        <w:rPr>
          <w:rFonts w:ascii="ITC Avant Garde" w:hAnsi="ITC Avant Garde"/>
          <w:bCs/>
        </w:rPr>
        <w:t xml:space="preserve"> y a la Ley</w:t>
      </w:r>
      <w:r w:rsidRPr="005D557C">
        <w:rPr>
          <w:rFonts w:ascii="ITC Avant Garde" w:hAnsi="ITC Avant Garde"/>
          <w:bCs/>
        </w:rPr>
        <w:t>, pues</w:t>
      </w:r>
      <w:r w:rsidR="009C694D" w:rsidRPr="005D557C">
        <w:rPr>
          <w:rFonts w:ascii="ITC Avant Garde" w:hAnsi="ITC Avant Garde"/>
          <w:bCs/>
        </w:rPr>
        <w:t xml:space="preserve"> los mismos</w:t>
      </w:r>
      <w:r w:rsidRPr="005D557C">
        <w:rPr>
          <w:rFonts w:ascii="ITC Avant Garde" w:hAnsi="ITC Avant Garde"/>
          <w:bCs/>
        </w:rPr>
        <w:t xml:space="preserve"> </w:t>
      </w:r>
      <w:r w:rsidR="00D5374A" w:rsidRPr="005D557C">
        <w:rPr>
          <w:rFonts w:ascii="ITC Avant Garde" w:hAnsi="ITC Avant Garde"/>
          <w:bCs/>
        </w:rPr>
        <w:t>podrían</w:t>
      </w:r>
      <w:r w:rsidRPr="005D557C">
        <w:rPr>
          <w:rFonts w:ascii="ITC Avant Garde" w:hAnsi="ITC Avant Garde"/>
          <w:bCs/>
        </w:rPr>
        <w:t xml:space="preserve"> representa</w:t>
      </w:r>
      <w:r w:rsidR="00D5374A" w:rsidRPr="005D557C">
        <w:rPr>
          <w:rFonts w:ascii="ITC Avant Garde" w:hAnsi="ITC Avant Garde"/>
          <w:bCs/>
        </w:rPr>
        <w:t>r</w:t>
      </w:r>
      <w:r w:rsidRPr="005D557C">
        <w:rPr>
          <w:rFonts w:ascii="ITC Avant Garde" w:hAnsi="ITC Avant Garde"/>
          <w:bCs/>
        </w:rPr>
        <w:t xml:space="preserve"> barreras a la competencia y a la libre concurrencia</w:t>
      </w:r>
      <w:r w:rsidR="00F940F2" w:rsidRPr="005D557C">
        <w:rPr>
          <w:rFonts w:ascii="ITC Avant Garde" w:hAnsi="ITC Avant Garde"/>
          <w:bCs/>
        </w:rPr>
        <w:t>,</w:t>
      </w:r>
      <w:r w:rsidRPr="005D557C">
        <w:rPr>
          <w:rFonts w:ascii="ITC Avant Garde" w:hAnsi="ITC Avant Garde"/>
          <w:bCs/>
        </w:rPr>
        <w:t xml:space="preserve"> al generar restricciones de entrada a los concesionarios a nuev</w:t>
      </w:r>
      <w:r w:rsidR="00960B55" w:rsidRPr="005D557C">
        <w:rPr>
          <w:rFonts w:ascii="ITC Avant Garde" w:hAnsi="ITC Avant Garde"/>
          <w:bCs/>
        </w:rPr>
        <w:t>as  zonas de cobertura geográfica</w:t>
      </w:r>
      <w:r w:rsidRPr="005D557C">
        <w:rPr>
          <w:rFonts w:ascii="ITC Avant Garde" w:hAnsi="ITC Avant Garde"/>
          <w:bCs/>
        </w:rPr>
        <w:t>, limitando la oferta de servicios y la libertad tarifaria. Por ello, el Pleno del Instituto considera que las fracciones I, II y III del artículo 8 del Reglamento del Servicio Televisión y Audio Restringidos</w:t>
      </w:r>
      <w:r w:rsidR="00F940F2" w:rsidRPr="005D557C">
        <w:rPr>
          <w:rFonts w:ascii="ITC Avant Garde" w:hAnsi="ITC Avant Garde"/>
          <w:bCs/>
        </w:rPr>
        <w:t xml:space="preserve"> han sido superadas por la Constitución y la Ley</w:t>
      </w:r>
      <w:r w:rsidRPr="005D557C">
        <w:rPr>
          <w:rFonts w:ascii="ITC Avant Garde" w:hAnsi="ITC Avant Garde"/>
          <w:bCs/>
        </w:rPr>
        <w:t>,</w:t>
      </w:r>
      <w:r w:rsidR="00F940F2" w:rsidRPr="005D557C">
        <w:rPr>
          <w:rFonts w:ascii="ITC Avant Garde" w:hAnsi="ITC Avant Garde"/>
          <w:bCs/>
        </w:rPr>
        <w:t xml:space="preserve"> razón por la cual</w:t>
      </w:r>
      <w:r w:rsidRPr="005D557C">
        <w:rPr>
          <w:rFonts w:ascii="ITC Avant Garde" w:hAnsi="ITC Avant Garde"/>
          <w:bCs/>
        </w:rPr>
        <w:t xml:space="preserve"> n</w:t>
      </w:r>
      <w:r w:rsidR="00F940F2" w:rsidRPr="005D557C">
        <w:rPr>
          <w:rFonts w:ascii="ITC Avant Garde" w:hAnsi="ITC Avant Garde"/>
          <w:bCs/>
        </w:rPr>
        <w:t>o</w:t>
      </w:r>
      <w:r w:rsidR="00AB11B6" w:rsidRPr="005D557C">
        <w:rPr>
          <w:rFonts w:ascii="ITC Avant Garde" w:hAnsi="ITC Avant Garde"/>
          <w:bCs/>
        </w:rPr>
        <w:t xml:space="preserve"> resultan exigibles</w:t>
      </w:r>
      <w:r w:rsidRPr="005D557C">
        <w:rPr>
          <w:rFonts w:ascii="ITC Avant Garde" w:hAnsi="ITC Avant Garde"/>
          <w:bCs/>
        </w:rPr>
        <w:t xml:space="preserve"> a los concesionarios que presenten este tipo de solicitudes. </w:t>
      </w:r>
    </w:p>
    <w:p w14:paraId="1C0E0AC9" w14:textId="77777777" w:rsidR="002C5C12" w:rsidRPr="005D557C" w:rsidRDefault="00157324" w:rsidP="002C5C12">
      <w:pPr>
        <w:spacing w:before="240" w:line="240" w:lineRule="auto"/>
        <w:jc w:val="both"/>
        <w:rPr>
          <w:rFonts w:ascii="ITC Avant Garde" w:hAnsi="ITC Avant Garde"/>
          <w:bCs/>
        </w:rPr>
      </w:pPr>
      <w:r w:rsidRPr="005D557C">
        <w:rPr>
          <w:rFonts w:ascii="ITC Avant Garde" w:hAnsi="ITC Avant Garde"/>
          <w:bCs/>
        </w:rPr>
        <w:t>Con r</w:t>
      </w:r>
      <w:r w:rsidR="008E73FD" w:rsidRPr="005D557C">
        <w:rPr>
          <w:rFonts w:ascii="ITC Avant Garde" w:hAnsi="ITC Avant Garde"/>
          <w:bCs/>
        </w:rPr>
        <w:t>especto al inciso a), el Pleno</w:t>
      </w:r>
      <w:r w:rsidR="00AB11B6" w:rsidRPr="005D557C">
        <w:rPr>
          <w:rFonts w:ascii="ITC Avant Garde" w:hAnsi="ITC Avant Garde"/>
          <w:bCs/>
        </w:rPr>
        <w:t xml:space="preserve"> </w:t>
      </w:r>
      <w:r w:rsidR="008E73FD" w:rsidRPr="005D557C">
        <w:rPr>
          <w:rFonts w:ascii="ITC Avant Garde" w:hAnsi="ITC Avant Garde"/>
          <w:bCs/>
        </w:rPr>
        <w:t>considera que el mismo s</w:t>
      </w:r>
      <w:r w:rsidR="00960B55" w:rsidRPr="005D557C">
        <w:rPr>
          <w:rFonts w:ascii="ITC Avant Garde" w:hAnsi="ITC Avant Garde"/>
          <w:bCs/>
        </w:rPr>
        <w:t>í</w:t>
      </w:r>
      <w:r w:rsidR="008E73FD" w:rsidRPr="005D557C">
        <w:rPr>
          <w:rFonts w:ascii="ITC Avant Garde" w:hAnsi="ITC Avant Garde"/>
          <w:bCs/>
        </w:rPr>
        <w:t xml:space="preserve"> debe ser exigido a los concesionarios que presten servicios de televisión y audio restringidos a través de redes cableadas, pues el mismo es acorde al Decreto de Reforma Constitucional y no se considera una barrera a la competencia y a la libre concurrencia. Lo anterior es así, debido </w:t>
      </w:r>
      <w:r w:rsidRPr="005D557C">
        <w:rPr>
          <w:rFonts w:ascii="ITC Avant Garde" w:hAnsi="ITC Avant Garde"/>
          <w:bCs/>
        </w:rPr>
        <w:t xml:space="preserve">a </w:t>
      </w:r>
      <w:r w:rsidR="008E73FD" w:rsidRPr="005D557C">
        <w:rPr>
          <w:rFonts w:ascii="ITC Avant Garde" w:hAnsi="ITC Avant Garde"/>
          <w:bCs/>
        </w:rPr>
        <w:t xml:space="preserve">que el mismo Decreto de Reforma Constitucional estableció en su artículo Cuarto Transitorio que los concesionarios de telecomunicaciones podrán transitar al modelo de concesión única, -mismo que permite prestar cualquier servicio de telecomunicaciones y/o radiodifusión técnicamente factible con cobertura nacional-, siempre que se encuentren en cumplimiento de las obligaciones previstas en las leyes y en sus títulos de concesión. En ese tenor, se concluye que el primer párrafo del artículo 8 del Reglamento del Servicio de Televisión y Audio Restringidos es exigible hasta en tanto este Instituto no emita una disposición que lo sustituya o bien dicha disposición sea derogada. </w:t>
      </w:r>
    </w:p>
    <w:p w14:paraId="2FFCD567" w14:textId="77777777" w:rsidR="002C5C12" w:rsidRPr="005D557C" w:rsidRDefault="00726D5E" w:rsidP="002C5C12">
      <w:pPr>
        <w:spacing w:before="240" w:line="240" w:lineRule="auto"/>
        <w:jc w:val="both"/>
        <w:rPr>
          <w:rFonts w:ascii="ITC Avant Garde" w:hAnsi="ITC Avant Garde"/>
          <w:bCs/>
        </w:rPr>
      </w:pPr>
      <w:r w:rsidRPr="005D557C">
        <w:rPr>
          <w:rFonts w:ascii="ITC Avant Garde" w:hAnsi="ITC Avant Garde"/>
          <w:bCs/>
        </w:rPr>
        <w:lastRenderedPageBreak/>
        <w:t>Adicionalmente</w:t>
      </w:r>
      <w:r w:rsidR="00053292" w:rsidRPr="005D557C">
        <w:rPr>
          <w:rFonts w:ascii="ITC Avant Garde" w:hAnsi="ITC Avant Garde"/>
          <w:bCs/>
        </w:rPr>
        <w:t>, la Condición 1.3. “</w:t>
      </w:r>
      <w:r w:rsidR="007B7424" w:rsidRPr="005D557C">
        <w:rPr>
          <w:rFonts w:ascii="ITC Avant Garde" w:hAnsi="ITC Avant Garde"/>
          <w:bCs/>
        </w:rPr>
        <w:t>Compromisos y m</w:t>
      </w:r>
      <w:r w:rsidR="00053292" w:rsidRPr="005D557C">
        <w:rPr>
          <w:rFonts w:ascii="ITC Avant Garde" w:hAnsi="ITC Avant Garde"/>
          <w:bCs/>
        </w:rPr>
        <w:t xml:space="preserve">odificación de cobertura” de la Concesión, establece lo siguiente: </w:t>
      </w:r>
    </w:p>
    <w:p w14:paraId="69001742" w14:textId="77777777" w:rsidR="002C5C12" w:rsidRPr="005D557C" w:rsidRDefault="00053292"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
          <w:bCs/>
          <w:color w:val="000000"/>
          <w:sz w:val="18"/>
          <w:szCs w:val="18"/>
          <w:lang w:eastAsia="es-MX"/>
        </w:rPr>
        <w:t xml:space="preserve">“1.3. </w:t>
      </w:r>
      <w:r w:rsidR="007B7424" w:rsidRPr="005D557C">
        <w:rPr>
          <w:rFonts w:ascii="ITC Avant Garde" w:hAnsi="ITC Avant Garde"/>
          <w:b/>
          <w:bCs/>
          <w:color w:val="000000"/>
          <w:sz w:val="18"/>
          <w:szCs w:val="18"/>
          <w:lang w:eastAsia="es-MX"/>
        </w:rPr>
        <w:t>Compromisos y m</w:t>
      </w:r>
      <w:r w:rsidRPr="005D557C">
        <w:rPr>
          <w:rFonts w:ascii="ITC Avant Garde" w:hAnsi="ITC Avant Garde"/>
          <w:b/>
          <w:bCs/>
          <w:color w:val="000000"/>
          <w:sz w:val="18"/>
          <w:szCs w:val="18"/>
          <w:lang w:eastAsia="es-MX"/>
        </w:rPr>
        <w:t xml:space="preserve">odificación de cobertura. </w:t>
      </w:r>
      <w:r w:rsidR="007B7424" w:rsidRPr="005D557C">
        <w:rPr>
          <w:rFonts w:ascii="ITC Avant Garde" w:hAnsi="ITC Avant Garde"/>
          <w:bCs/>
          <w:color w:val="000000"/>
          <w:sz w:val="18"/>
          <w:szCs w:val="18"/>
          <w:lang w:eastAsia="es-MX"/>
        </w:rPr>
        <w:t xml:space="preserve">Los compromisos de cobertura a que se obliga el Concesionario, se encuentran señalados en el o los Anexos de la Concesión. </w:t>
      </w:r>
    </w:p>
    <w:p w14:paraId="015E0F80" w14:textId="77777777" w:rsidR="002C5C12" w:rsidRPr="005D557C" w:rsidRDefault="007B7424"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 xml:space="preserve">Para que el Concesionario pueda ampliar o reducir el área de cobertura de la Red, requerirá de la autorización previa de la </w:t>
      </w:r>
      <w:r w:rsidR="009D77CA" w:rsidRPr="005D557C">
        <w:rPr>
          <w:rFonts w:ascii="ITC Avant Garde" w:hAnsi="ITC Avant Garde"/>
          <w:bCs/>
          <w:color w:val="000000"/>
          <w:sz w:val="18"/>
          <w:szCs w:val="18"/>
          <w:lang w:eastAsia="es-MX"/>
        </w:rPr>
        <w:t xml:space="preserve">Secretaría. </w:t>
      </w:r>
    </w:p>
    <w:p w14:paraId="6827D4D3" w14:textId="77777777" w:rsidR="002C5C12" w:rsidRPr="005D557C" w:rsidRDefault="007B7424"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La Secretaria resolverá sobre la solicitud para la ampliación o reducción de la cobertura de la Red del Concesionario, en un plazo no mayor a 120 (ciento veinte) días naturales, contado a partir de la recepción de la solicitud, siempre que el Concesionario se encuentre al corriente en el cumplimiento de las obligaciones derivadas de la Concesión y de las disposiciones legales, reglamentari</w:t>
      </w:r>
      <w:r w:rsidR="007A6890" w:rsidRPr="005D557C">
        <w:rPr>
          <w:rFonts w:ascii="ITC Avant Garde" w:hAnsi="ITC Avant Garde"/>
          <w:bCs/>
          <w:color w:val="000000"/>
          <w:sz w:val="18"/>
          <w:szCs w:val="18"/>
          <w:lang w:eastAsia="es-MX"/>
        </w:rPr>
        <w:t>as y administrativas aplicables</w:t>
      </w:r>
      <w:r w:rsidRPr="005D557C">
        <w:rPr>
          <w:rFonts w:ascii="ITC Avant Garde" w:hAnsi="ITC Avant Garde"/>
          <w:bCs/>
          <w:color w:val="000000"/>
          <w:sz w:val="18"/>
          <w:szCs w:val="18"/>
          <w:lang w:eastAsia="es-MX"/>
        </w:rPr>
        <w:t>.</w:t>
      </w:r>
      <w:r w:rsidR="00053292" w:rsidRPr="005D557C">
        <w:rPr>
          <w:rFonts w:ascii="ITC Avant Garde" w:hAnsi="ITC Avant Garde"/>
          <w:bCs/>
          <w:color w:val="000000"/>
          <w:sz w:val="18"/>
          <w:szCs w:val="18"/>
          <w:lang w:eastAsia="es-MX"/>
        </w:rPr>
        <w:t>”</w:t>
      </w:r>
    </w:p>
    <w:p w14:paraId="727FC5B3" w14:textId="77777777" w:rsidR="002C5C12" w:rsidRPr="005D557C" w:rsidRDefault="005B17E0" w:rsidP="002C5C12">
      <w:pPr>
        <w:autoSpaceDE w:val="0"/>
        <w:autoSpaceDN w:val="0"/>
        <w:adjustRightInd w:val="0"/>
        <w:spacing w:before="240" w:line="240" w:lineRule="auto"/>
        <w:jc w:val="both"/>
        <w:rPr>
          <w:rFonts w:ascii="ITC Avant Garde" w:hAnsi="ITC Avant Garde"/>
          <w:bCs/>
        </w:rPr>
      </w:pPr>
      <w:r w:rsidRPr="005D557C">
        <w:rPr>
          <w:rFonts w:ascii="ITC Avant Garde" w:hAnsi="ITC Avant Garde"/>
          <w:bCs/>
        </w:rPr>
        <w:t>Como se puede apreciar, la Condición 1.3</w:t>
      </w:r>
      <w:r w:rsidR="00CB364F" w:rsidRPr="005D557C">
        <w:rPr>
          <w:rFonts w:ascii="ITC Avant Garde" w:hAnsi="ITC Avant Garde"/>
          <w:bCs/>
        </w:rPr>
        <w:t>.</w:t>
      </w:r>
      <w:r w:rsidRPr="005D557C">
        <w:rPr>
          <w:rFonts w:ascii="ITC Avant Garde" w:hAnsi="ITC Avant Garde"/>
          <w:bCs/>
        </w:rPr>
        <w:t xml:space="preserve"> es acorde a lo señalado por el primer párrafo del artículo 8 del Reglamento del Servicio de Televisión y Audio Restringidos, respecto a exigir al concesionario que presente este tipo de solicitudes, que se encuentre al corriente en el cumplimiento de las obligaciones derivadas de la concesión respectiva.</w:t>
      </w:r>
    </w:p>
    <w:p w14:paraId="1357EE96" w14:textId="77777777" w:rsidR="002C5C12" w:rsidRPr="005D557C" w:rsidRDefault="00933483" w:rsidP="002C5C12">
      <w:pPr>
        <w:autoSpaceDE w:val="0"/>
        <w:autoSpaceDN w:val="0"/>
        <w:adjustRightInd w:val="0"/>
        <w:spacing w:before="240" w:line="240" w:lineRule="auto"/>
        <w:jc w:val="both"/>
        <w:rPr>
          <w:rFonts w:ascii="ITC Avant Garde" w:hAnsi="ITC Avant Garde"/>
          <w:bCs/>
        </w:rPr>
      </w:pPr>
      <w:r w:rsidRPr="005D557C">
        <w:rPr>
          <w:rFonts w:ascii="ITC Avant Garde" w:hAnsi="ITC Avant Garde"/>
          <w:bCs/>
        </w:rPr>
        <w:t>Finalmente</w:t>
      </w:r>
      <w:r w:rsidR="00113BA5" w:rsidRPr="005D557C">
        <w:rPr>
          <w:rFonts w:ascii="ITC Avant Garde" w:hAnsi="ITC Avant Garde"/>
          <w:bCs/>
        </w:rPr>
        <w:t>, cabe destacar que para este tipo de solicitudes debe acatarse el requisito de procedencia correspondiente al pago de derechos por ampliación al área de cobertura de la red, de conformidad con la normatividad aplicable al momento en que se inició el trámite.</w:t>
      </w:r>
    </w:p>
    <w:p w14:paraId="5D95052F" w14:textId="77777777" w:rsidR="002C5C12" w:rsidRPr="005D557C" w:rsidRDefault="00113BA5" w:rsidP="002C5C12">
      <w:pPr>
        <w:spacing w:before="240" w:line="240" w:lineRule="auto"/>
        <w:jc w:val="both"/>
        <w:rPr>
          <w:rFonts w:ascii="ITC Avant Garde" w:hAnsi="ITC Avant Garde"/>
          <w:bCs/>
        </w:rPr>
      </w:pPr>
      <w:r w:rsidRPr="005D557C">
        <w:rPr>
          <w:rFonts w:ascii="ITC Avant Garde" w:hAnsi="ITC Avant Garde"/>
          <w:bCs/>
        </w:rPr>
        <w:t>Derivado de lo anterior, y tomando en consideración que la Solicitud de Ampliación de Cobertura fue presentada el 12 de marzo de 2015, resulta importante señalar que la legislación aplicable en materia de derechos se encontraba establecida en el artículo 97 fracción V</w:t>
      </w:r>
      <w:r w:rsidR="00D30355" w:rsidRPr="005D557C">
        <w:rPr>
          <w:rFonts w:ascii="ITC Avant Garde" w:hAnsi="ITC Avant Garde"/>
          <w:bCs/>
        </w:rPr>
        <w:t>, incisos a) y b),</w:t>
      </w:r>
      <w:r w:rsidRPr="005D557C">
        <w:rPr>
          <w:rFonts w:ascii="ITC Avant Garde" w:hAnsi="ITC Avant Garde"/>
          <w:bCs/>
        </w:rPr>
        <w:t xml:space="preserve"> de la Ley Federal de Derechos vigente para el año 2015, el cual señalaba la obligación de pagar los derechos por el estudio, y de ser el caso, por la autorización por ampliación </w:t>
      </w:r>
      <w:r w:rsidR="00B03C6A" w:rsidRPr="005D557C">
        <w:rPr>
          <w:rFonts w:ascii="ITC Avant Garde" w:hAnsi="ITC Avant Garde"/>
          <w:bCs/>
        </w:rPr>
        <w:t xml:space="preserve">al área de cobertura de la red. </w:t>
      </w:r>
      <w:r w:rsidR="00AE55E0" w:rsidRPr="005D557C">
        <w:rPr>
          <w:rFonts w:ascii="ITC Avant Garde" w:hAnsi="ITC Avant Garde"/>
          <w:bCs/>
        </w:rPr>
        <w:t>Conforme al citado inciso a) e</w:t>
      </w:r>
      <w:r w:rsidR="00B03C6A" w:rsidRPr="005D557C">
        <w:rPr>
          <w:rFonts w:ascii="ITC Avant Garde" w:hAnsi="ITC Avant Garde"/>
          <w:bCs/>
        </w:rPr>
        <w:t xml:space="preserve">l pago por estudio de la solicitud de autorización de ampliación de cobertura debía presentarse con </w:t>
      </w:r>
      <w:r w:rsidR="000138E5" w:rsidRPr="005D557C">
        <w:rPr>
          <w:rFonts w:ascii="ITC Avant Garde" w:hAnsi="ITC Avant Garde"/>
          <w:bCs/>
        </w:rPr>
        <w:t xml:space="preserve">la </w:t>
      </w:r>
      <w:r w:rsidR="00CB364F" w:rsidRPr="005D557C">
        <w:rPr>
          <w:rFonts w:ascii="ITC Avant Garde" w:hAnsi="ITC Avant Garde"/>
          <w:bCs/>
        </w:rPr>
        <w:t>propia solicitud</w:t>
      </w:r>
      <w:r w:rsidR="00B03C6A" w:rsidRPr="005D557C">
        <w:rPr>
          <w:rFonts w:ascii="ITC Avant Garde" w:hAnsi="ITC Avant Garde"/>
          <w:bCs/>
        </w:rPr>
        <w:t>. Adicionalmente</w:t>
      </w:r>
      <w:r w:rsidR="00AE55E0" w:rsidRPr="005D557C">
        <w:rPr>
          <w:rFonts w:ascii="ITC Avant Garde" w:hAnsi="ITC Avant Garde"/>
          <w:bCs/>
        </w:rPr>
        <w:t xml:space="preserve"> de acuerdo al referido inciso b)</w:t>
      </w:r>
      <w:r w:rsidR="00B03C6A" w:rsidRPr="005D557C">
        <w:rPr>
          <w:rFonts w:ascii="ITC Avant Garde" w:hAnsi="ITC Avant Garde"/>
          <w:bCs/>
        </w:rPr>
        <w:t xml:space="preserve">, </w:t>
      </w:r>
      <w:r w:rsidR="00D7278F" w:rsidRPr="005D557C">
        <w:rPr>
          <w:rFonts w:ascii="ITC Avant Garde" w:hAnsi="ITC Avant Garde"/>
          <w:bCs/>
        </w:rPr>
        <w:t>y de ser procedente la ampliación de cobertura solicitada</w:t>
      </w:r>
      <w:r w:rsidR="00B03C6A" w:rsidRPr="005D557C">
        <w:rPr>
          <w:rFonts w:ascii="ITC Avant Garde" w:hAnsi="ITC Avant Garde"/>
          <w:bCs/>
        </w:rPr>
        <w:t xml:space="preserve">, se debía presentar el pago por la autorización correspondiente. </w:t>
      </w:r>
    </w:p>
    <w:p w14:paraId="19F160D1" w14:textId="77777777" w:rsidR="002C5C12" w:rsidRPr="005D557C" w:rsidRDefault="002A7DEC" w:rsidP="002C5C12">
      <w:pPr>
        <w:spacing w:before="240" w:line="240" w:lineRule="auto"/>
        <w:jc w:val="both"/>
        <w:rPr>
          <w:rFonts w:ascii="ITC Avant Garde" w:hAnsi="ITC Avant Garde"/>
          <w:bCs/>
          <w:lang w:eastAsia="es-MX"/>
        </w:rPr>
      </w:pPr>
      <w:r w:rsidRPr="005D557C">
        <w:rPr>
          <w:rFonts w:ascii="ITC Avant Garde" w:hAnsi="ITC Avant Garde"/>
          <w:bCs/>
          <w:lang w:eastAsia="es-MX"/>
        </w:rPr>
        <w:t xml:space="preserve">De esta manera, y tomando en consideración lo establecido </w:t>
      </w:r>
      <w:r w:rsidR="00933483" w:rsidRPr="005D557C">
        <w:rPr>
          <w:rFonts w:ascii="ITC Avant Garde" w:hAnsi="ITC Avant Garde"/>
          <w:bCs/>
          <w:lang w:eastAsia="es-MX"/>
        </w:rPr>
        <w:t xml:space="preserve">por </w:t>
      </w:r>
      <w:r w:rsidRPr="005D557C">
        <w:rPr>
          <w:rFonts w:ascii="ITC Avant Garde" w:hAnsi="ITC Avant Garde"/>
          <w:bCs/>
          <w:lang w:eastAsia="es-MX"/>
        </w:rPr>
        <w:t>l</w:t>
      </w:r>
      <w:r w:rsidR="00933483" w:rsidRPr="005D557C">
        <w:rPr>
          <w:rFonts w:ascii="ITC Avant Garde" w:hAnsi="ITC Avant Garde"/>
          <w:bCs/>
          <w:lang w:eastAsia="es-MX"/>
        </w:rPr>
        <w:t>os</w:t>
      </w:r>
      <w:r w:rsidRPr="005D557C">
        <w:rPr>
          <w:rFonts w:ascii="ITC Avant Garde" w:hAnsi="ITC Avant Garde"/>
          <w:bCs/>
          <w:lang w:eastAsia="es-MX"/>
        </w:rPr>
        <w:t xml:space="preserve"> Artículo</w:t>
      </w:r>
      <w:r w:rsidR="00933483" w:rsidRPr="005D557C">
        <w:rPr>
          <w:rFonts w:ascii="ITC Avant Garde" w:hAnsi="ITC Avant Garde"/>
          <w:bCs/>
          <w:lang w:eastAsia="es-MX"/>
        </w:rPr>
        <w:t>s</w:t>
      </w:r>
      <w:r w:rsidRPr="005D557C">
        <w:rPr>
          <w:rFonts w:ascii="ITC Avant Garde" w:hAnsi="ITC Avant Garde"/>
          <w:bCs/>
          <w:lang w:eastAsia="es-MX"/>
        </w:rPr>
        <w:t xml:space="preserve"> </w:t>
      </w:r>
      <w:r w:rsidR="00933483" w:rsidRPr="005D557C">
        <w:rPr>
          <w:rFonts w:ascii="ITC Avant Garde" w:hAnsi="ITC Avant Garde"/>
          <w:bCs/>
          <w:lang w:eastAsia="es-MX"/>
        </w:rPr>
        <w:t>6o. Apartado B, fracción II y 28 de la Constituci</w:t>
      </w:r>
      <w:r w:rsidR="00B11C23" w:rsidRPr="005D557C">
        <w:rPr>
          <w:rFonts w:ascii="ITC Avant Garde" w:hAnsi="ITC Avant Garde"/>
          <w:bCs/>
          <w:lang w:eastAsia="es-MX"/>
        </w:rPr>
        <w:t>ón;</w:t>
      </w:r>
      <w:r w:rsidR="00C62EC6" w:rsidRPr="005D557C">
        <w:rPr>
          <w:rFonts w:ascii="ITC Avant Garde" w:hAnsi="ITC Avant Garde"/>
          <w:bCs/>
          <w:lang w:eastAsia="es-MX"/>
        </w:rPr>
        <w:t xml:space="preserve"> </w:t>
      </w:r>
      <w:r w:rsidR="00933483" w:rsidRPr="005D557C">
        <w:rPr>
          <w:rFonts w:ascii="ITC Avant Garde" w:hAnsi="ITC Avant Garde"/>
          <w:bCs/>
          <w:lang w:eastAsia="es-MX"/>
        </w:rPr>
        <w:t xml:space="preserve">Cuarto </w:t>
      </w:r>
      <w:r w:rsidRPr="005D557C">
        <w:rPr>
          <w:rFonts w:ascii="ITC Avant Garde" w:hAnsi="ITC Avant Garde"/>
          <w:bCs/>
          <w:lang w:eastAsia="es-MX"/>
        </w:rPr>
        <w:t>Transitorio del Decreto de</w:t>
      </w:r>
      <w:r w:rsidR="00933483" w:rsidRPr="005D557C">
        <w:rPr>
          <w:rFonts w:ascii="ITC Avant Garde" w:hAnsi="ITC Avant Garde"/>
          <w:bCs/>
          <w:lang w:eastAsia="es-MX"/>
        </w:rPr>
        <w:t xml:space="preserve"> Reforma Constitucional</w:t>
      </w:r>
      <w:r w:rsidR="00C62EC6" w:rsidRPr="005D557C">
        <w:rPr>
          <w:rFonts w:ascii="ITC Avant Garde" w:hAnsi="ITC Avant Garde"/>
          <w:bCs/>
          <w:lang w:eastAsia="es-MX"/>
        </w:rPr>
        <w:t xml:space="preserve">; </w:t>
      </w:r>
      <w:r w:rsidR="00933483" w:rsidRPr="005D557C">
        <w:rPr>
          <w:rFonts w:ascii="ITC Avant Garde" w:hAnsi="ITC Avant Garde"/>
          <w:bCs/>
          <w:lang w:eastAsia="es-MX"/>
        </w:rPr>
        <w:t>1 y 204</w:t>
      </w:r>
      <w:r w:rsidRPr="005D557C">
        <w:rPr>
          <w:rFonts w:ascii="ITC Avant Garde" w:hAnsi="ITC Avant Garde"/>
          <w:bCs/>
          <w:lang w:eastAsia="es-MX"/>
        </w:rPr>
        <w:t xml:space="preserve"> </w:t>
      </w:r>
      <w:r w:rsidR="009C41FE" w:rsidRPr="005D557C">
        <w:rPr>
          <w:rFonts w:ascii="ITC Avant Garde" w:hAnsi="ITC Avant Garde"/>
          <w:bCs/>
          <w:lang w:eastAsia="es-MX"/>
        </w:rPr>
        <w:t xml:space="preserve">de la </w:t>
      </w:r>
      <w:r w:rsidRPr="005D557C">
        <w:rPr>
          <w:rFonts w:ascii="ITC Avant Garde" w:hAnsi="ITC Avant Garde"/>
          <w:bCs/>
          <w:lang w:eastAsia="es-MX"/>
        </w:rPr>
        <w:t>Ley</w:t>
      </w:r>
      <w:r w:rsidR="00B11C23" w:rsidRPr="005D557C">
        <w:rPr>
          <w:rFonts w:ascii="ITC Avant Garde" w:hAnsi="ITC Avant Garde"/>
          <w:bCs/>
          <w:lang w:eastAsia="es-MX"/>
        </w:rPr>
        <w:t xml:space="preserve">; </w:t>
      </w:r>
      <w:r w:rsidR="00D7278F" w:rsidRPr="005D557C">
        <w:rPr>
          <w:rFonts w:ascii="ITC Avant Garde" w:hAnsi="ITC Avant Garde"/>
          <w:bCs/>
          <w:lang w:eastAsia="es-MX"/>
        </w:rPr>
        <w:t xml:space="preserve">97, fracción V, inciso a), de la Ley Federal de Derechos vigente para el año 2015; </w:t>
      </w:r>
      <w:r w:rsidR="00B11C23" w:rsidRPr="005D557C">
        <w:rPr>
          <w:rFonts w:ascii="ITC Avant Garde" w:hAnsi="ITC Avant Garde"/>
          <w:bCs/>
          <w:lang w:eastAsia="es-MX"/>
        </w:rPr>
        <w:t>8</w:t>
      </w:r>
      <w:r w:rsidR="00D30355" w:rsidRPr="005D557C">
        <w:rPr>
          <w:rFonts w:ascii="ITC Avant Garde" w:hAnsi="ITC Avant Garde"/>
          <w:bCs/>
          <w:lang w:eastAsia="es-MX"/>
        </w:rPr>
        <w:t>, primer párrafo,</w:t>
      </w:r>
      <w:r w:rsidR="00B11C23" w:rsidRPr="005D557C">
        <w:rPr>
          <w:rFonts w:ascii="ITC Avant Garde" w:hAnsi="ITC Avant Garde"/>
          <w:bCs/>
          <w:lang w:eastAsia="es-MX"/>
        </w:rPr>
        <w:t xml:space="preserve"> del Reglamento del Servicio de Televisión y Audio Restringidos</w:t>
      </w:r>
      <w:r w:rsidR="00EF1368" w:rsidRPr="005D557C">
        <w:rPr>
          <w:rFonts w:ascii="ITC Avant Garde" w:hAnsi="ITC Avant Garde"/>
          <w:bCs/>
          <w:lang w:eastAsia="es-MX"/>
        </w:rPr>
        <w:t>;</w:t>
      </w:r>
      <w:r w:rsidR="00D7278F" w:rsidRPr="005D557C">
        <w:rPr>
          <w:rFonts w:ascii="ITC Avant Garde" w:hAnsi="ITC Avant Garde"/>
          <w:bCs/>
          <w:lang w:eastAsia="es-MX"/>
        </w:rPr>
        <w:t xml:space="preserve"> así como lo establecido en</w:t>
      </w:r>
      <w:r w:rsidR="00EF1368" w:rsidRPr="005D557C">
        <w:rPr>
          <w:rFonts w:ascii="ITC Avant Garde" w:hAnsi="ITC Avant Garde"/>
          <w:bCs/>
          <w:lang w:eastAsia="es-MX"/>
        </w:rPr>
        <w:t xml:space="preserve"> la Concesión, </w:t>
      </w:r>
      <w:r w:rsidR="00AE6225" w:rsidRPr="005D557C">
        <w:rPr>
          <w:rFonts w:ascii="ITC Avant Garde" w:hAnsi="ITC Avant Garde"/>
          <w:bCs/>
          <w:lang w:eastAsia="es-MX"/>
        </w:rPr>
        <w:t>el Pleno de este Instituto</w:t>
      </w:r>
      <w:r w:rsidRPr="005D557C">
        <w:rPr>
          <w:rFonts w:ascii="ITC Avant Garde" w:hAnsi="ITC Avant Garde"/>
          <w:bCs/>
          <w:lang w:eastAsia="es-MX"/>
        </w:rPr>
        <w:t xml:space="preserve"> concluye que los requisitos de procedencia que debe</w:t>
      </w:r>
      <w:r w:rsidR="00933483" w:rsidRPr="005D557C">
        <w:rPr>
          <w:rFonts w:ascii="ITC Avant Garde" w:hAnsi="ITC Avant Garde"/>
          <w:bCs/>
          <w:lang w:eastAsia="es-MX"/>
        </w:rPr>
        <w:t xml:space="preserve">n ser analizados en la Solicitud de Ampliación de Cobertura son: i) que el Concesionario se </w:t>
      </w:r>
      <w:r w:rsidRPr="005D557C">
        <w:rPr>
          <w:rFonts w:ascii="ITC Avant Garde" w:hAnsi="ITC Avant Garde"/>
          <w:bCs/>
        </w:rPr>
        <w:t>encuentre al corriente en el cumplimiento de las obligaciones derivadas de</w:t>
      </w:r>
      <w:r w:rsidR="002B3C49" w:rsidRPr="005D557C">
        <w:rPr>
          <w:rFonts w:ascii="ITC Avant Garde" w:hAnsi="ITC Avant Garde"/>
          <w:bCs/>
        </w:rPr>
        <w:t xml:space="preserve"> </w:t>
      </w:r>
      <w:r w:rsidR="00933483" w:rsidRPr="005D557C">
        <w:rPr>
          <w:rFonts w:ascii="ITC Avant Garde" w:hAnsi="ITC Avant Garde"/>
          <w:bCs/>
        </w:rPr>
        <w:t xml:space="preserve">la Concesión, y ii) que </w:t>
      </w:r>
      <w:r w:rsidR="00B03C6A" w:rsidRPr="005D557C">
        <w:rPr>
          <w:rFonts w:ascii="ITC Avant Garde" w:hAnsi="ITC Avant Garde"/>
          <w:bCs/>
        </w:rPr>
        <w:t>acompañe a su solicitud el pago de derechos correspondiente</w:t>
      </w:r>
      <w:r w:rsidR="00AE6225" w:rsidRPr="005D557C">
        <w:rPr>
          <w:rFonts w:ascii="ITC Avant Garde" w:hAnsi="ITC Avant Garde"/>
          <w:bCs/>
        </w:rPr>
        <w:t>.</w:t>
      </w:r>
    </w:p>
    <w:p w14:paraId="362752C7" w14:textId="2C92E1E9" w:rsidR="002C5C12" w:rsidRPr="005D557C" w:rsidRDefault="00954210" w:rsidP="002C5C12">
      <w:pPr>
        <w:spacing w:before="240" w:line="240" w:lineRule="auto"/>
        <w:jc w:val="both"/>
        <w:rPr>
          <w:rFonts w:ascii="ITC Avant Garde" w:hAnsi="ITC Avant Garde"/>
          <w:bCs/>
          <w:lang w:eastAsia="es-MX"/>
        </w:rPr>
      </w:pPr>
      <w:r w:rsidRPr="005D557C">
        <w:rPr>
          <w:rFonts w:ascii="ITC Avant Garde" w:hAnsi="ITC Avant Garde"/>
          <w:b/>
          <w:bCs/>
          <w:lang w:eastAsia="es-MX"/>
        </w:rPr>
        <w:lastRenderedPageBreak/>
        <w:t xml:space="preserve">Tercero.- Análisis de la Solicitud de </w:t>
      </w:r>
      <w:r w:rsidR="00053292" w:rsidRPr="005D557C">
        <w:rPr>
          <w:rFonts w:ascii="ITC Avant Garde" w:hAnsi="ITC Avant Garde"/>
          <w:b/>
          <w:bCs/>
          <w:lang w:eastAsia="es-MX"/>
        </w:rPr>
        <w:t>Ampliación de Cobertura</w:t>
      </w:r>
      <w:r w:rsidRPr="005D557C">
        <w:rPr>
          <w:rFonts w:ascii="ITC Avant Garde" w:hAnsi="ITC Avant Garde"/>
          <w:b/>
          <w:bCs/>
          <w:lang w:eastAsia="es-MX"/>
        </w:rPr>
        <w:t>.</w:t>
      </w:r>
      <w:r w:rsidRPr="005D557C">
        <w:rPr>
          <w:rFonts w:ascii="ITC Avant Garde" w:hAnsi="ITC Avant Garde"/>
          <w:bCs/>
          <w:lang w:eastAsia="es-MX"/>
        </w:rPr>
        <w:t xml:space="preserve"> </w:t>
      </w:r>
      <w:r w:rsidR="00AE6225" w:rsidRPr="005D557C">
        <w:rPr>
          <w:rFonts w:ascii="ITC Avant Garde" w:hAnsi="ITC Avant Garde" w:cs="Calibri"/>
        </w:rPr>
        <w:t>En seguimiento a lo anterior,</w:t>
      </w:r>
      <w:r w:rsidR="00B611F3" w:rsidRPr="005D557C">
        <w:rPr>
          <w:rFonts w:ascii="ITC Avant Garde" w:hAnsi="ITC Avant Garde" w:cs="Calibri"/>
        </w:rPr>
        <w:t xml:space="preserve"> </w:t>
      </w:r>
      <w:r w:rsidR="00865FAA" w:rsidRPr="005D557C">
        <w:rPr>
          <w:rFonts w:ascii="ITC Avant Garde" w:hAnsi="ITC Avant Garde"/>
          <w:bCs/>
          <w:lang w:eastAsia="es-MX"/>
        </w:rPr>
        <w:t>la Dirección General de Concesiones de Telecomunicaciones, adscrita a la Unidad de Concesiones y Servicios, mediante oficio IFT/223/UCS/DG-CTEL/</w:t>
      </w:r>
      <w:r w:rsidR="007A48BB" w:rsidRPr="005D557C">
        <w:rPr>
          <w:rFonts w:ascii="ITC Avant Garde" w:hAnsi="ITC Avant Garde"/>
          <w:bCs/>
          <w:lang w:eastAsia="es-MX"/>
        </w:rPr>
        <w:t>1288</w:t>
      </w:r>
      <w:r w:rsidR="00865FAA" w:rsidRPr="005D557C">
        <w:rPr>
          <w:rFonts w:ascii="ITC Avant Garde" w:hAnsi="ITC Avant Garde"/>
          <w:bCs/>
          <w:lang w:eastAsia="es-MX"/>
        </w:rPr>
        <w:t>/201</w:t>
      </w:r>
      <w:r w:rsidR="007A48BB" w:rsidRPr="005D557C">
        <w:rPr>
          <w:rFonts w:ascii="ITC Avant Garde" w:hAnsi="ITC Avant Garde"/>
          <w:bCs/>
          <w:lang w:eastAsia="es-MX"/>
        </w:rPr>
        <w:t>5</w:t>
      </w:r>
      <w:r w:rsidR="00865FAA" w:rsidRPr="005D557C">
        <w:rPr>
          <w:rFonts w:ascii="ITC Avant Garde" w:hAnsi="ITC Avant Garde"/>
          <w:bCs/>
          <w:lang w:eastAsia="es-MX"/>
        </w:rPr>
        <w:t xml:space="preserve"> solicitó a la </w:t>
      </w:r>
      <w:r w:rsidR="007A48BB" w:rsidRPr="005D557C">
        <w:rPr>
          <w:rFonts w:ascii="ITC Avant Garde" w:hAnsi="ITC Avant Garde"/>
          <w:bCs/>
          <w:lang w:eastAsia="es-MX"/>
        </w:rPr>
        <w:t xml:space="preserve">Dirección General de Supervisión de la </w:t>
      </w:r>
      <w:r w:rsidR="00865FAA" w:rsidRPr="005D557C">
        <w:rPr>
          <w:rFonts w:ascii="ITC Avant Garde" w:hAnsi="ITC Avant Garde"/>
          <w:bCs/>
          <w:lang w:eastAsia="es-MX"/>
        </w:rPr>
        <w:t>Unidad de Cumplimiento informara si</w:t>
      </w:r>
      <w:r w:rsidR="007A48BB" w:rsidRPr="005D557C">
        <w:rPr>
          <w:rFonts w:ascii="ITC Avant Garde" w:hAnsi="ITC Avant Garde"/>
          <w:bCs/>
          <w:lang w:eastAsia="es-MX"/>
        </w:rPr>
        <w:t xml:space="preserve"> el C. Eduardo Treviño Núñez</w:t>
      </w:r>
      <w:r w:rsidR="00865FAA" w:rsidRPr="005D557C">
        <w:rPr>
          <w:rFonts w:ascii="ITC Avant Garde" w:hAnsi="ITC Avant Garde"/>
          <w:bCs/>
          <w:lang w:eastAsia="es-MX"/>
        </w:rPr>
        <w:t>, se encontraba al corriente en el cumplimiento de las obligaciones establecidas en la Concesión y demás disposiciones aplicables</w:t>
      </w:r>
      <w:r w:rsidR="00B611F3" w:rsidRPr="005D557C">
        <w:rPr>
          <w:rFonts w:ascii="ITC Avant Garde" w:hAnsi="ITC Avant Garde"/>
          <w:bCs/>
          <w:lang w:eastAsia="es-MX"/>
        </w:rPr>
        <w:t>.</w:t>
      </w:r>
      <w:r w:rsidR="00865FAA" w:rsidRPr="005D557C">
        <w:rPr>
          <w:rFonts w:ascii="ITC Avant Garde" w:hAnsi="ITC Avant Garde"/>
          <w:bCs/>
          <w:lang w:eastAsia="es-MX"/>
        </w:rPr>
        <w:t xml:space="preserve"> </w:t>
      </w:r>
      <w:r w:rsidR="00B611F3" w:rsidRPr="005D557C">
        <w:rPr>
          <w:rFonts w:ascii="ITC Avant Garde" w:hAnsi="ITC Avant Garde"/>
          <w:bCs/>
          <w:lang w:eastAsia="es-MX"/>
        </w:rPr>
        <w:t>L</w:t>
      </w:r>
      <w:r w:rsidR="00865FAA" w:rsidRPr="005D557C">
        <w:rPr>
          <w:rFonts w:ascii="ITC Avant Garde" w:hAnsi="ITC Avant Garde"/>
          <w:bCs/>
          <w:lang w:eastAsia="es-MX"/>
        </w:rPr>
        <w:t xml:space="preserve">o anterior, </w:t>
      </w:r>
      <w:r w:rsidR="00B611F3" w:rsidRPr="005D557C">
        <w:rPr>
          <w:rFonts w:ascii="ITC Avant Garde" w:hAnsi="ITC Avant Garde"/>
          <w:bCs/>
          <w:lang w:eastAsia="es-MX"/>
        </w:rPr>
        <w:t>en apego a lo establecido en el primer párrafo del artículo 8 del Reglamento del Servicio de Televisión y Audio Restringidos</w:t>
      </w:r>
      <w:r w:rsidR="008E2AF8" w:rsidRPr="005D557C">
        <w:rPr>
          <w:rFonts w:ascii="ITC Avant Garde" w:hAnsi="ITC Avant Garde"/>
          <w:bCs/>
          <w:lang w:eastAsia="es-MX"/>
        </w:rPr>
        <w:t xml:space="preserve"> y en la Condición 1.3 de la Concesión</w:t>
      </w:r>
      <w:r w:rsidR="00865FAA" w:rsidRPr="005D557C">
        <w:rPr>
          <w:rFonts w:ascii="ITC Avant Garde" w:hAnsi="ITC Avant Garde"/>
          <w:bCs/>
          <w:lang w:eastAsia="es-MX"/>
        </w:rPr>
        <w:t>.</w:t>
      </w:r>
    </w:p>
    <w:p w14:paraId="38A36AE8" w14:textId="77777777" w:rsidR="002C5C12" w:rsidRPr="005D557C" w:rsidRDefault="00865FAA" w:rsidP="002C5C12">
      <w:pPr>
        <w:autoSpaceDE w:val="0"/>
        <w:autoSpaceDN w:val="0"/>
        <w:adjustRightInd w:val="0"/>
        <w:spacing w:before="240" w:line="240" w:lineRule="auto"/>
        <w:jc w:val="both"/>
        <w:rPr>
          <w:rFonts w:ascii="ITC Avant Garde" w:hAnsi="ITC Avant Garde"/>
          <w:bCs/>
          <w:lang w:eastAsia="es-MX"/>
        </w:rPr>
      </w:pPr>
      <w:r w:rsidRPr="005D557C">
        <w:rPr>
          <w:rFonts w:ascii="ITC Avant Garde" w:hAnsi="ITC Avant Garde"/>
          <w:bCs/>
          <w:lang w:eastAsia="es-MX"/>
        </w:rPr>
        <w:t>Al respecto, mediante oficio IFT/225/UC/DG-SUV/</w:t>
      </w:r>
      <w:r w:rsidR="007A48BB" w:rsidRPr="005D557C">
        <w:rPr>
          <w:rFonts w:ascii="ITC Avant Garde" w:hAnsi="ITC Avant Garde"/>
          <w:bCs/>
          <w:lang w:eastAsia="es-MX"/>
        </w:rPr>
        <w:t>1244</w:t>
      </w:r>
      <w:r w:rsidRPr="005D557C">
        <w:rPr>
          <w:rFonts w:ascii="ITC Avant Garde" w:hAnsi="ITC Avant Garde"/>
          <w:bCs/>
          <w:lang w:eastAsia="es-MX"/>
        </w:rPr>
        <w:t>/201</w:t>
      </w:r>
      <w:r w:rsidR="007A48BB" w:rsidRPr="005D557C">
        <w:rPr>
          <w:rFonts w:ascii="ITC Avant Garde" w:hAnsi="ITC Avant Garde"/>
          <w:bCs/>
          <w:lang w:eastAsia="es-MX"/>
        </w:rPr>
        <w:t>6</w:t>
      </w:r>
      <w:r w:rsidRPr="005D557C">
        <w:rPr>
          <w:rFonts w:ascii="ITC Avant Garde" w:hAnsi="ITC Avant Garde"/>
          <w:bCs/>
          <w:lang w:eastAsia="es-MX"/>
        </w:rPr>
        <w:t>, la Dirección General de Supervisión, adscrita a la Unidad de Cumplimiento, informó lo siguiente:</w:t>
      </w:r>
    </w:p>
    <w:p w14:paraId="686082AF" w14:textId="5C1BFC1A" w:rsidR="002C5C12" w:rsidRPr="005D557C" w:rsidRDefault="00865FAA"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w:t>
      </w:r>
    </w:p>
    <w:p w14:paraId="7CD70881" w14:textId="77777777" w:rsidR="002C5C12" w:rsidRPr="005D557C" w:rsidRDefault="00865FAA"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
          <w:bCs/>
          <w:color w:val="000000"/>
          <w:sz w:val="18"/>
          <w:szCs w:val="18"/>
          <w:lang w:eastAsia="es-MX"/>
        </w:rPr>
        <w:t>4. Dictamen</w:t>
      </w:r>
    </w:p>
    <w:p w14:paraId="7FDBEA56" w14:textId="77777777" w:rsidR="002C5C12" w:rsidRPr="005D557C" w:rsidRDefault="00865FAA" w:rsidP="002C5C12">
      <w:pPr>
        <w:spacing w:before="240" w:line="240" w:lineRule="auto"/>
        <w:ind w:left="567"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De la supervisión a las constancias que integran el expediente abierto a nombre de</w:t>
      </w:r>
      <w:r w:rsidR="007A48BB" w:rsidRPr="005D557C">
        <w:rPr>
          <w:rFonts w:ascii="ITC Avant Garde" w:hAnsi="ITC Avant Garde"/>
          <w:bCs/>
          <w:color w:val="000000"/>
          <w:sz w:val="18"/>
          <w:szCs w:val="18"/>
          <w:lang w:eastAsia="es-MX"/>
        </w:rPr>
        <w:t xml:space="preserve">l </w:t>
      </w:r>
      <w:r w:rsidRPr="005D557C">
        <w:rPr>
          <w:rFonts w:ascii="ITC Avant Garde" w:hAnsi="ITC Avant Garde"/>
          <w:bCs/>
          <w:color w:val="000000"/>
          <w:sz w:val="18"/>
          <w:szCs w:val="18"/>
          <w:lang w:eastAsia="es-MX"/>
        </w:rPr>
        <w:t>concesionari</w:t>
      </w:r>
      <w:r w:rsidR="007A48BB" w:rsidRPr="005D557C">
        <w:rPr>
          <w:rFonts w:ascii="ITC Avant Garde" w:hAnsi="ITC Avant Garde"/>
          <w:bCs/>
          <w:color w:val="000000"/>
          <w:sz w:val="18"/>
          <w:szCs w:val="18"/>
          <w:lang w:eastAsia="es-MX"/>
        </w:rPr>
        <w:t xml:space="preserve">o que nos ocupa, el requerimiento de información a la concesionaria, así </w:t>
      </w:r>
      <w:r w:rsidRPr="005D557C">
        <w:rPr>
          <w:rFonts w:ascii="ITC Avant Garde" w:hAnsi="ITC Avant Garde"/>
          <w:bCs/>
          <w:color w:val="000000"/>
          <w:sz w:val="18"/>
          <w:szCs w:val="18"/>
          <w:lang w:eastAsia="es-MX"/>
        </w:rPr>
        <w:t xml:space="preserve">como de la información proporcionada por las Direcciones Generales de Verificación y Sanciones, se concluye lo siguiente: </w:t>
      </w:r>
    </w:p>
    <w:p w14:paraId="20003F9C" w14:textId="77777777" w:rsidR="002C5C12" w:rsidRPr="005D557C" w:rsidRDefault="00865FAA" w:rsidP="002C5C12">
      <w:pPr>
        <w:pStyle w:val="Prrafodelista"/>
        <w:numPr>
          <w:ilvl w:val="0"/>
          <w:numId w:val="13"/>
        </w:numPr>
        <w:spacing w:before="240" w:after="200"/>
        <w:ind w:right="332"/>
        <w:jc w:val="both"/>
        <w:rPr>
          <w:rFonts w:ascii="ITC Avant Garde" w:hAnsi="ITC Avant Garde"/>
          <w:bCs/>
          <w:color w:val="000000"/>
          <w:sz w:val="18"/>
          <w:szCs w:val="18"/>
          <w:lang w:eastAsia="es-MX"/>
        </w:rPr>
      </w:pPr>
      <w:r w:rsidRPr="005D557C">
        <w:rPr>
          <w:rFonts w:ascii="ITC Avant Garde" w:hAnsi="ITC Avant Garde"/>
          <w:bCs/>
          <w:color w:val="000000"/>
          <w:sz w:val="18"/>
          <w:szCs w:val="18"/>
          <w:lang w:eastAsia="es-MX"/>
        </w:rPr>
        <w:t xml:space="preserve">De la revisión documental del expediente </w:t>
      </w:r>
      <w:r w:rsidR="007A48BB" w:rsidRPr="005D557C">
        <w:rPr>
          <w:rFonts w:ascii="ITC Avant Garde" w:hAnsi="ITC Avant Garde"/>
          <w:bCs/>
          <w:color w:val="000000"/>
          <w:sz w:val="18"/>
          <w:szCs w:val="18"/>
          <w:lang w:eastAsia="es-MX"/>
        </w:rPr>
        <w:t>02/1705</w:t>
      </w:r>
      <w:r w:rsidRPr="005D557C">
        <w:rPr>
          <w:rFonts w:ascii="ITC Avant Garde" w:hAnsi="ITC Avant Garde"/>
          <w:bCs/>
          <w:color w:val="000000"/>
          <w:sz w:val="18"/>
          <w:szCs w:val="18"/>
          <w:lang w:eastAsia="es-MX"/>
        </w:rPr>
        <w:t xml:space="preserve"> integrado por la Dirección General de Adquisiciones, Recursos Materiales y Servicios Generales de este Instituto a nombre de </w:t>
      </w:r>
      <w:r w:rsidR="007A48BB" w:rsidRPr="005D557C">
        <w:rPr>
          <w:rFonts w:ascii="ITC Avant Garde" w:hAnsi="ITC Avant Garde"/>
          <w:b/>
          <w:bCs/>
          <w:color w:val="000000"/>
          <w:sz w:val="18"/>
          <w:szCs w:val="18"/>
          <w:lang w:eastAsia="es-MX"/>
        </w:rPr>
        <w:t>Eduardo Treviño Núñez</w:t>
      </w:r>
      <w:r w:rsidR="007D71DC" w:rsidRPr="005D557C">
        <w:rPr>
          <w:rFonts w:ascii="ITC Avant Garde" w:hAnsi="ITC Avant Garde"/>
          <w:b/>
          <w:bCs/>
          <w:color w:val="000000"/>
          <w:sz w:val="18"/>
          <w:szCs w:val="18"/>
          <w:lang w:eastAsia="es-MX"/>
        </w:rPr>
        <w:t>,</w:t>
      </w:r>
      <w:r w:rsidR="007D71DC" w:rsidRPr="005D557C">
        <w:rPr>
          <w:rFonts w:ascii="ITC Avant Garde" w:hAnsi="ITC Avant Garde"/>
          <w:bCs/>
          <w:color w:val="000000"/>
          <w:sz w:val="18"/>
          <w:szCs w:val="18"/>
          <w:lang w:eastAsia="es-MX"/>
        </w:rPr>
        <w:t xml:space="preserve"> </w:t>
      </w:r>
      <w:r w:rsidRPr="005D557C">
        <w:rPr>
          <w:rFonts w:ascii="ITC Avant Garde" w:hAnsi="ITC Avant Garde"/>
          <w:bCs/>
          <w:color w:val="000000"/>
          <w:sz w:val="18"/>
          <w:szCs w:val="18"/>
          <w:lang w:eastAsia="es-MX"/>
        </w:rPr>
        <w:t xml:space="preserve">se desprende que al </w:t>
      </w:r>
      <w:r w:rsidR="00B06F8C" w:rsidRPr="005D557C">
        <w:rPr>
          <w:rFonts w:ascii="ITC Avant Garde" w:hAnsi="ITC Avant Garde"/>
          <w:bCs/>
          <w:color w:val="000000"/>
          <w:sz w:val="18"/>
          <w:szCs w:val="18"/>
          <w:lang w:eastAsia="es-MX"/>
        </w:rPr>
        <w:t>29 de enero de 2016</w:t>
      </w:r>
      <w:r w:rsidRPr="005D557C">
        <w:rPr>
          <w:rFonts w:ascii="ITC Avant Garde" w:hAnsi="ITC Avant Garde"/>
          <w:bCs/>
          <w:color w:val="000000"/>
          <w:sz w:val="18"/>
          <w:szCs w:val="18"/>
          <w:lang w:eastAsia="es-MX"/>
        </w:rPr>
        <w:t xml:space="preserve">, </w:t>
      </w:r>
      <w:r w:rsidR="00B06F8C" w:rsidRPr="005D557C">
        <w:rPr>
          <w:rFonts w:ascii="ITC Avant Garde" w:hAnsi="ITC Avant Garde"/>
          <w:b/>
          <w:bCs/>
          <w:color w:val="000000"/>
          <w:sz w:val="18"/>
          <w:szCs w:val="18"/>
          <w:u w:val="single"/>
          <w:lang w:eastAsia="es-MX"/>
        </w:rPr>
        <w:t>el</w:t>
      </w:r>
      <w:r w:rsidRPr="005D557C">
        <w:rPr>
          <w:rFonts w:ascii="ITC Avant Garde" w:hAnsi="ITC Avant Garde"/>
          <w:b/>
          <w:bCs/>
          <w:color w:val="000000"/>
          <w:sz w:val="18"/>
          <w:szCs w:val="18"/>
          <w:u w:val="single"/>
          <w:lang w:eastAsia="es-MX"/>
        </w:rPr>
        <w:t xml:space="preserve"> concesionari</w:t>
      </w:r>
      <w:r w:rsidR="00B06F8C" w:rsidRPr="005D557C">
        <w:rPr>
          <w:rFonts w:ascii="ITC Avant Garde" w:hAnsi="ITC Avant Garde"/>
          <w:b/>
          <w:bCs/>
          <w:color w:val="000000"/>
          <w:sz w:val="18"/>
          <w:szCs w:val="18"/>
          <w:u w:val="single"/>
          <w:lang w:eastAsia="es-MX"/>
        </w:rPr>
        <w:t>o</w:t>
      </w:r>
      <w:r w:rsidRPr="005D557C">
        <w:rPr>
          <w:rFonts w:ascii="ITC Avant Garde" w:hAnsi="ITC Avant Garde"/>
          <w:b/>
          <w:bCs/>
          <w:color w:val="000000"/>
          <w:sz w:val="18"/>
          <w:szCs w:val="18"/>
          <w:u w:val="single"/>
          <w:lang w:eastAsia="es-MX"/>
        </w:rPr>
        <w:t xml:space="preserve"> se enc</w:t>
      </w:r>
      <w:r w:rsidR="00B06F8C" w:rsidRPr="005D557C">
        <w:rPr>
          <w:rFonts w:ascii="ITC Avant Garde" w:hAnsi="ITC Avant Garde"/>
          <w:b/>
          <w:bCs/>
          <w:color w:val="000000"/>
          <w:sz w:val="18"/>
          <w:szCs w:val="18"/>
          <w:u w:val="single"/>
          <w:lang w:eastAsia="es-MX"/>
        </w:rPr>
        <w:t>ue</w:t>
      </w:r>
      <w:r w:rsidRPr="005D557C">
        <w:rPr>
          <w:rFonts w:ascii="ITC Avant Garde" w:hAnsi="ITC Avant Garde"/>
          <w:b/>
          <w:bCs/>
          <w:color w:val="000000"/>
          <w:sz w:val="18"/>
          <w:szCs w:val="18"/>
          <w:u w:val="single"/>
          <w:lang w:eastAsia="es-MX"/>
        </w:rPr>
        <w:t>ntr</w:t>
      </w:r>
      <w:r w:rsidR="00B06F8C" w:rsidRPr="005D557C">
        <w:rPr>
          <w:rFonts w:ascii="ITC Avant Garde" w:hAnsi="ITC Avant Garde"/>
          <w:b/>
          <w:bCs/>
          <w:color w:val="000000"/>
          <w:sz w:val="18"/>
          <w:szCs w:val="18"/>
          <w:u w:val="single"/>
          <w:lang w:eastAsia="es-MX"/>
        </w:rPr>
        <w:t>a</w:t>
      </w:r>
      <w:r w:rsidRPr="005D557C">
        <w:rPr>
          <w:rFonts w:ascii="ITC Avant Garde" w:hAnsi="ITC Avant Garde"/>
          <w:b/>
          <w:bCs/>
          <w:color w:val="000000"/>
          <w:sz w:val="18"/>
          <w:szCs w:val="18"/>
          <w:u w:val="single"/>
          <w:lang w:eastAsia="es-MX"/>
        </w:rPr>
        <w:t xml:space="preserve"> al corriente en la presentación de las documentales derivadas de las obligaciones que tiene a su cargo</w:t>
      </w:r>
      <w:r w:rsidRPr="005D557C">
        <w:rPr>
          <w:rFonts w:ascii="ITC Avant Garde" w:hAnsi="ITC Avant Garde"/>
          <w:bCs/>
          <w:color w:val="000000"/>
          <w:sz w:val="18"/>
          <w:szCs w:val="18"/>
          <w:lang w:eastAsia="es-MX"/>
        </w:rPr>
        <w:t xml:space="preserve"> y que le son aplicables conforme a su título de concesión de red pública de telecomunicaciones y demás disposiciones legales, reglamentarias y administrativas aplicables.</w:t>
      </w:r>
    </w:p>
    <w:p w14:paraId="2494BF0D" w14:textId="77777777" w:rsidR="002C5C12" w:rsidRPr="005D557C" w:rsidRDefault="00865FAA" w:rsidP="002C5C12">
      <w:pPr>
        <w:spacing w:before="240" w:line="240" w:lineRule="auto"/>
        <w:ind w:left="567" w:right="332"/>
        <w:jc w:val="both"/>
        <w:rPr>
          <w:rFonts w:ascii="ITC Avant Garde" w:hAnsi="ITC Avant Garde"/>
          <w:bCs/>
          <w:lang w:eastAsia="es-MX"/>
        </w:rPr>
      </w:pPr>
      <w:r w:rsidRPr="005D557C">
        <w:rPr>
          <w:rFonts w:ascii="ITC Avant Garde" w:hAnsi="ITC Avant Garde"/>
          <w:bCs/>
          <w:color w:val="000000"/>
          <w:sz w:val="18"/>
          <w:szCs w:val="18"/>
          <w:lang w:eastAsia="es-MX"/>
        </w:rPr>
        <w:t>[…].”</w:t>
      </w:r>
    </w:p>
    <w:p w14:paraId="2BEDE09E" w14:textId="77777777" w:rsidR="002C5C12" w:rsidRPr="005D557C" w:rsidRDefault="005D355E" w:rsidP="002C5C12">
      <w:pPr>
        <w:spacing w:before="240" w:line="240" w:lineRule="auto"/>
        <w:jc w:val="both"/>
        <w:rPr>
          <w:rFonts w:ascii="ITC Avant Garde" w:hAnsi="ITC Avant Garde"/>
          <w:bCs/>
          <w:lang w:eastAsia="es-MX"/>
        </w:rPr>
      </w:pPr>
      <w:r w:rsidRPr="005D557C">
        <w:rPr>
          <w:rFonts w:ascii="ITC Avant Garde" w:hAnsi="ITC Avant Garde"/>
          <w:bCs/>
          <w:lang w:eastAsia="es-MX"/>
        </w:rPr>
        <w:t>Derivado de lo anterior,</w:t>
      </w:r>
      <w:r w:rsidR="00B611F3" w:rsidRPr="005D557C">
        <w:rPr>
          <w:rFonts w:ascii="ITC Avant Garde" w:hAnsi="ITC Avant Garde"/>
          <w:bCs/>
          <w:lang w:eastAsia="es-MX"/>
        </w:rPr>
        <w:t xml:space="preserve"> </w:t>
      </w:r>
      <w:r w:rsidR="00F6504D" w:rsidRPr="005D557C">
        <w:rPr>
          <w:rFonts w:ascii="ITC Avant Garde" w:hAnsi="ITC Avant Garde"/>
          <w:bCs/>
          <w:lang w:eastAsia="es-MX"/>
        </w:rPr>
        <w:t xml:space="preserve">se concluye que el concesionario cumple con el requisito de encontrarse al corriente en el cumplimiento de las obligaciones que tiene a su cargo. </w:t>
      </w:r>
    </w:p>
    <w:p w14:paraId="645D3AB5" w14:textId="79722B23" w:rsidR="0082550F" w:rsidRPr="005D557C" w:rsidRDefault="00F6504D" w:rsidP="002C5C12">
      <w:pPr>
        <w:spacing w:before="240" w:line="240" w:lineRule="auto"/>
        <w:jc w:val="both"/>
        <w:rPr>
          <w:rFonts w:ascii="ITC Avant Garde" w:hAnsi="ITC Avant Garde"/>
          <w:bCs/>
          <w:lang w:eastAsia="es-MX"/>
        </w:rPr>
      </w:pPr>
      <w:r w:rsidRPr="005D557C">
        <w:rPr>
          <w:rFonts w:ascii="ITC Avant Garde" w:hAnsi="ITC Avant Garde"/>
          <w:bCs/>
          <w:lang w:eastAsia="es-MX"/>
        </w:rPr>
        <w:t>Por lo que respecta al segundo requisito, relativo a acreditar el pago de derechos establecido en la Ley Federal de Derechos para el trámite que nos ocupa, se debe señalar que con la Solicitud de Amplia</w:t>
      </w:r>
      <w:r w:rsidR="0082550F" w:rsidRPr="005D557C">
        <w:rPr>
          <w:rFonts w:ascii="ITC Avant Garde" w:hAnsi="ITC Avant Garde"/>
          <w:bCs/>
          <w:lang w:eastAsia="es-MX"/>
        </w:rPr>
        <w:t>ción de Cobertura se presentó el comprobante de pago de derechos, por concepto de estudio por ampliación al área de cobertura de la red, de conformidad con lo establecido en su momento por el artículo 97 fracción V, inciso a)</w:t>
      </w:r>
      <w:r w:rsidR="00D30355" w:rsidRPr="005D557C">
        <w:rPr>
          <w:rFonts w:ascii="ITC Avant Garde" w:hAnsi="ITC Avant Garde"/>
          <w:bCs/>
          <w:lang w:eastAsia="es-MX"/>
        </w:rPr>
        <w:t>,</w:t>
      </w:r>
      <w:r w:rsidR="0082550F" w:rsidRPr="005D557C">
        <w:rPr>
          <w:rFonts w:ascii="ITC Avant Garde" w:hAnsi="ITC Avant Garde"/>
          <w:bCs/>
          <w:lang w:eastAsia="es-MX"/>
        </w:rPr>
        <w:t xml:space="preserve"> de la Ley Federal de Derechos vigente durante el año 2015.</w:t>
      </w:r>
    </w:p>
    <w:p w14:paraId="1BAD0D53" w14:textId="77777777" w:rsidR="002C5C12" w:rsidRPr="005D557C" w:rsidRDefault="001111E5" w:rsidP="002C5C12">
      <w:pPr>
        <w:spacing w:before="240" w:line="240" w:lineRule="auto"/>
        <w:jc w:val="both"/>
        <w:rPr>
          <w:rFonts w:ascii="ITC Avant Garde" w:hAnsi="ITC Avant Garde"/>
          <w:bCs/>
          <w:lang w:eastAsia="es-MX"/>
        </w:rPr>
      </w:pPr>
      <w:r w:rsidRPr="005D557C">
        <w:rPr>
          <w:rFonts w:ascii="ITC Avant Garde" w:hAnsi="ITC Avant Garde"/>
          <w:b/>
          <w:bCs/>
          <w:lang w:eastAsia="es-MX"/>
        </w:rPr>
        <w:t xml:space="preserve">Cuarto.- Cobro sobre el pago de </w:t>
      </w:r>
      <w:r w:rsidR="0002350B" w:rsidRPr="005D557C">
        <w:rPr>
          <w:rFonts w:ascii="ITC Avant Garde" w:hAnsi="ITC Avant Garde"/>
          <w:b/>
          <w:bCs/>
          <w:lang w:eastAsia="es-MX"/>
        </w:rPr>
        <w:t xml:space="preserve">derechos </w:t>
      </w:r>
      <w:r w:rsidRPr="005D557C">
        <w:rPr>
          <w:rFonts w:ascii="ITC Avant Garde" w:hAnsi="ITC Avant Garde"/>
          <w:b/>
          <w:bCs/>
          <w:lang w:eastAsia="es-MX"/>
        </w:rPr>
        <w:t xml:space="preserve">por diversos trámites </w:t>
      </w:r>
      <w:r w:rsidR="00BE3BED" w:rsidRPr="005D557C">
        <w:rPr>
          <w:rFonts w:ascii="ITC Avant Garde" w:hAnsi="ITC Avant Garde"/>
          <w:b/>
          <w:bCs/>
          <w:lang w:eastAsia="es-MX"/>
        </w:rPr>
        <w:t xml:space="preserve">presentados </w:t>
      </w:r>
      <w:r w:rsidRPr="005D557C">
        <w:rPr>
          <w:rFonts w:ascii="ITC Avant Garde" w:hAnsi="ITC Avant Garde"/>
          <w:b/>
          <w:bCs/>
          <w:lang w:eastAsia="es-MX"/>
        </w:rPr>
        <w:t>ante</w:t>
      </w:r>
      <w:r w:rsidR="00BE3BED" w:rsidRPr="005D557C">
        <w:rPr>
          <w:rFonts w:ascii="ITC Avant Garde" w:hAnsi="ITC Avant Garde"/>
          <w:b/>
          <w:bCs/>
          <w:lang w:eastAsia="es-MX"/>
        </w:rPr>
        <w:t>s de</w:t>
      </w:r>
      <w:r w:rsidRPr="005D557C">
        <w:rPr>
          <w:rFonts w:ascii="ITC Avant Garde" w:hAnsi="ITC Avant Garde"/>
          <w:b/>
          <w:bCs/>
          <w:lang w:eastAsia="es-MX"/>
        </w:rPr>
        <w:t xml:space="preserve"> la entrada en vigor de la Ley Federal de Derechos vigente para 2016</w:t>
      </w:r>
      <w:r w:rsidRPr="005D557C">
        <w:rPr>
          <w:rFonts w:ascii="ITC Avant Garde" w:hAnsi="ITC Avant Garde"/>
          <w:bCs/>
          <w:lang w:eastAsia="es-MX"/>
        </w:rPr>
        <w:t xml:space="preserve">. El pasado 18 de noviembre de 2015 se publicó en el Diario Oficial de la Federación el “Decreto por el que se reforman, adicionan y derogan diversas disposiciones de la Ley Federal de Derechos”, mismo que entró en vigor el 1° de enero de 2016. Por virtud de este decreto se derogó, entre otros rubros, la Sección Primera del Capítulo VIII del Título I denominada “Servicios de Telecomunicaciones” con los artículos 91, 93, 94, 94-A, 95, 96, 97, 98, 99, 100, 101, 102 </w:t>
      </w:r>
      <w:r w:rsidRPr="005D557C">
        <w:rPr>
          <w:rFonts w:ascii="ITC Avant Garde" w:hAnsi="ITC Avant Garde"/>
          <w:bCs/>
          <w:lang w:eastAsia="es-MX"/>
        </w:rPr>
        <w:lastRenderedPageBreak/>
        <w:t xml:space="preserve">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5E9AA20A" w14:textId="77777777" w:rsidR="002C5C12" w:rsidRPr="005D557C" w:rsidRDefault="001111E5" w:rsidP="002C5C12">
      <w:pPr>
        <w:spacing w:before="240" w:line="240" w:lineRule="auto"/>
        <w:jc w:val="both"/>
        <w:rPr>
          <w:rFonts w:ascii="ITC Avant Garde" w:hAnsi="ITC Avant Garde"/>
          <w:bCs/>
          <w:lang w:eastAsia="es-MX"/>
        </w:rPr>
      </w:pPr>
      <w:r w:rsidRPr="005D557C">
        <w:rPr>
          <w:rFonts w:ascii="ITC Avant Garde" w:hAnsi="ITC Avant Garde"/>
          <w:bCs/>
          <w:lang w:eastAsia="es-MX"/>
        </w:rPr>
        <w:t xml:space="preserve">Derivado de lo anterior, y en atención a lo establecido por el artículo 6o. del Código Fiscal de la Federación, se debe tener en cuenta que el hecho generador de los derechos derivados del estudio y </w:t>
      </w:r>
      <w:r w:rsidR="00EC01A2" w:rsidRPr="005D557C">
        <w:rPr>
          <w:rFonts w:ascii="ITC Avant Garde" w:hAnsi="ITC Avant Garde"/>
          <w:bCs/>
          <w:lang w:eastAsia="es-MX"/>
        </w:rPr>
        <w:t>autorización</w:t>
      </w:r>
      <w:r w:rsidRPr="005D557C">
        <w:rPr>
          <w:rFonts w:ascii="ITC Avant Garde" w:hAnsi="ITC Avant Garde"/>
          <w:bCs/>
          <w:lang w:eastAsia="es-MX"/>
        </w:rPr>
        <w:t xml:space="preserve"> </w:t>
      </w:r>
      <w:r w:rsidR="00EC01A2" w:rsidRPr="005D557C">
        <w:rPr>
          <w:rFonts w:ascii="ITC Avant Garde" w:hAnsi="ITC Avant Garde"/>
          <w:bCs/>
          <w:lang w:eastAsia="es-MX"/>
        </w:rPr>
        <w:t>por la ampliación al área de cobertura de la red,</w:t>
      </w:r>
      <w:r w:rsidRPr="005D557C">
        <w:rPr>
          <w:rFonts w:ascii="ITC Avant Garde" w:hAnsi="ITC Avant Garde"/>
          <w:bCs/>
          <w:lang w:eastAsia="es-MX"/>
        </w:rPr>
        <w:t xml:space="preserve"> se actualizaron al momento de emisión de la presente resolución y que el artículo 97 de la Ley Federal de Derechos, al haber sido derogado, no puede ser aplicado al trámite que nos ocupa.</w:t>
      </w:r>
    </w:p>
    <w:p w14:paraId="60C4ECA9" w14:textId="77777777" w:rsidR="002C5C12" w:rsidRPr="005D557C" w:rsidRDefault="001111E5" w:rsidP="002C5C12">
      <w:pPr>
        <w:spacing w:before="240" w:line="240" w:lineRule="auto"/>
        <w:jc w:val="both"/>
        <w:rPr>
          <w:rFonts w:ascii="ITC Avant Garde" w:hAnsi="ITC Avant Garde"/>
          <w:bCs/>
          <w:lang w:eastAsia="es-MX"/>
        </w:rPr>
      </w:pPr>
      <w:r w:rsidRPr="005D557C">
        <w:rPr>
          <w:rFonts w:ascii="ITC Avant Garde" w:hAnsi="ITC Avant Garde"/>
          <w:bCs/>
          <w:lang w:eastAsia="es-MX"/>
        </w:rPr>
        <w:t xml:space="preserve">En este sentido, </w:t>
      </w:r>
      <w:r w:rsidR="00EC01A2" w:rsidRPr="005D557C">
        <w:rPr>
          <w:rFonts w:ascii="ITC Avant Garde" w:hAnsi="ITC Avant Garde"/>
          <w:bCs/>
          <w:lang w:eastAsia="es-MX"/>
        </w:rPr>
        <w:t xml:space="preserve">y como se señaló anteriormente, </w:t>
      </w:r>
      <w:r w:rsidRPr="005D557C">
        <w:rPr>
          <w:rFonts w:ascii="ITC Avant Garde" w:hAnsi="ITC Avant Garde"/>
          <w:bCs/>
          <w:lang w:eastAsia="es-MX"/>
        </w:rPr>
        <w:t xml:space="preserve">la Ley Federal de Derechos vigente a partir del 1º de enero de 2016 estableció un nuevo </w:t>
      </w:r>
      <w:r w:rsidR="00AE55E0" w:rsidRPr="005D557C">
        <w:rPr>
          <w:rFonts w:ascii="ITC Avant Garde" w:hAnsi="ITC Avant Garde"/>
          <w:bCs/>
          <w:lang w:eastAsia="es-MX"/>
        </w:rPr>
        <w:t xml:space="preserve"> esquema </w:t>
      </w:r>
      <w:r w:rsidRPr="005D557C">
        <w:rPr>
          <w:rFonts w:ascii="ITC Avant Garde" w:hAnsi="ITC Avant Garde"/>
          <w:bCs/>
          <w:lang w:eastAsia="es-MX"/>
        </w:rPr>
        <w:t xml:space="preserve">de cobro de derechos </w:t>
      </w:r>
      <w:r w:rsidR="00EC01A2" w:rsidRPr="005D557C">
        <w:rPr>
          <w:rFonts w:ascii="ITC Avant Garde" w:hAnsi="ITC Avant Garde"/>
          <w:bCs/>
          <w:lang w:eastAsia="es-MX"/>
        </w:rPr>
        <w:t xml:space="preserve">mediante el Capítulo IX del Título I denominado “Del Instituto Federal de Telecomunicaciones”, el cual no consideró un </w:t>
      </w:r>
      <w:r w:rsidR="00CE7EE4" w:rsidRPr="005D557C">
        <w:rPr>
          <w:rFonts w:ascii="ITC Avant Garde" w:hAnsi="ITC Avant Garde"/>
          <w:bCs/>
          <w:lang w:eastAsia="es-MX"/>
        </w:rPr>
        <w:t>pago</w:t>
      </w:r>
      <w:r w:rsidR="00EC01A2" w:rsidRPr="005D557C">
        <w:rPr>
          <w:rFonts w:ascii="ITC Avant Garde" w:hAnsi="ITC Avant Garde"/>
          <w:bCs/>
          <w:lang w:eastAsia="es-MX"/>
        </w:rPr>
        <w:t xml:space="preserve"> por concepto de ampliación al área de cobertura de la red</w:t>
      </w:r>
      <w:r w:rsidRPr="005D557C">
        <w:rPr>
          <w:rFonts w:ascii="ITC Avant Garde" w:hAnsi="ITC Avant Garde"/>
          <w:bCs/>
          <w:lang w:eastAsia="es-MX"/>
        </w:rPr>
        <w:t>. Esta situación es distinta a la prevista en la Ley Federa</w:t>
      </w:r>
      <w:r w:rsidR="00EC01A2" w:rsidRPr="005D557C">
        <w:rPr>
          <w:rFonts w:ascii="ITC Avant Garde" w:hAnsi="ITC Avant Garde"/>
          <w:bCs/>
          <w:lang w:eastAsia="es-MX"/>
        </w:rPr>
        <w:t>l de Derechos vigente hasta 2015</w:t>
      </w:r>
      <w:r w:rsidRPr="005D557C">
        <w:rPr>
          <w:rFonts w:ascii="ITC Avant Garde" w:hAnsi="ITC Avant Garde"/>
          <w:bCs/>
          <w:lang w:eastAsia="es-MX"/>
        </w:rPr>
        <w:t xml:space="preserve">, que establecía </w:t>
      </w:r>
      <w:r w:rsidR="00EC01A2" w:rsidRPr="005D557C">
        <w:rPr>
          <w:rFonts w:ascii="ITC Avant Garde" w:hAnsi="ITC Avant Garde"/>
          <w:bCs/>
          <w:lang w:eastAsia="es-MX"/>
        </w:rPr>
        <w:t xml:space="preserve">un </w:t>
      </w:r>
      <w:r w:rsidR="00CE7EE4" w:rsidRPr="005D557C">
        <w:rPr>
          <w:rFonts w:ascii="ITC Avant Garde" w:hAnsi="ITC Avant Garde"/>
          <w:bCs/>
          <w:lang w:eastAsia="es-MX"/>
        </w:rPr>
        <w:t>pago</w:t>
      </w:r>
      <w:r w:rsidR="00EC01A2" w:rsidRPr="005D557C">
        <w:rPr>
          <w:rFonts w:ascii="ITC Avant Garde" w:hAnsi="ITC Avant Garde"/>
          <w:bCs/>
          <w:lang w:eastAsia="es-MX"/>
        </w:rPr>
        <w:t xml:space="preserve"> para este tipo de trámites, y que incluía </w:t>
      </w:r>
      <w:r w:rsidRPr="005D557C">
        <w:rPr>
          <w:rFonts w:ascii="ITC Avant Garde" w:hAnsi="ITC Avant Garde"/>
          <w:bCs/>
          <w:lang w:eastAsia="es-MX"/>
        </w:rPr>
        <w:t xml:space="preserve">de manera diferenciada los cobros para el estudio y, en su caso, por la </w:t>
      </w:r>
      <w:r w:rsidR="00EC01A2" w:rsidRPr="005D557C">
        <w:rPr>
          <w:rFonts w:ascii="ITC Avant Garde" w:hAnsi="ITC Avant Garde"/>
          <w:bCs/>
          <w:lang w:eastAsia="es-MX"/>
        </w:rPr>
        <w:t xml:space="preserve">autorización </w:t>
      </w:r>
      <w:r w:rsidRPr="005D557C">
        <w:rPr>
          <w:rFonts w:ascii="ITC Avant Garde" w:hAnsi="ITC Avant Garde"/>
          <w:bCs/>
          <w:lang w:eastAsia="es-MX"/>
        </w:rPr>
        <w:t xml:space="preserve"> </w:t>
      </w:r>
      <w:r w:rsidR="00EC01A2" w:rsidRPr="005D557C">
        <w:rPr>
          <w:rFonts w:ascii="ITC Avant Garde" w:hAnsi="ITC Avant Garde"/>
          <w:bCs/>
          <w:lang w:eastAsia="es-MX"/>
        </w:rPr>
        <w:t>por la ampliación al área de cobertura de la red</w:t>
      </w:r>
      <w:r w:rsidRPr="005D557C">
        <w:rPr>
          <w:rFonts w:ascii="ITC Avant Garde" w:hAnsi="ITC Avant Garde"/>
          <w:bCs/>
          <w:lang w:eastAsia="es-MX"/>
        </w:rPr>
        <w:t>.</w:t>
      </w:r>
    </w:p>
    <w:p w14:paraId="15BA5A9B" w14:textId="77777777" w:rsidR="002C5C12" w:rsidRPr="005D557C" w:rsidRDefault="001111E5" w:rsidP="002C5C12">
      <w:pPr>
        <w:spacing w:before="240" w:line="240" w:lineRule="auto"/>
        <w:jc w:val="both"/>
        <w:rPr>
          <w:rFonts w:ascii="ITC Avant Garde" w:hAnsi="ITC Avant Garde"/>
          <w:bCs/>
          <w:lang w:eastAsia="es-MX"/>
        </w:rPr>
      </w:pPr>
      <w:r w:rsidRPr="005D557C">
        <w:rPr>
          <w:rFonts w:ascii="ITC Avant Garde" w:hAnsi="ITC Avant Garde"/>
          <w:bCs/>
          <w:lang w:eastAsia="es-MX"/>
        </w:rPr>
        <w:t xml:space="preserve">Al momento de iniciar el trámite que nos ocupa, el solicitante presentó, de conformidad con la normatividad vigente en ese momento, el comprobante de pago de derechos por el estudio relativo a la Solicitud de </w:t>
      </w:r>
      <w:r w:rsidR="006D3F12" w:rsidRPr="005D557C">
        <w:rPr>
          <w:rFonts w:ascii="ITC Avant Garde" w:hAnsi="ITC Avant Garde"/>
          <w:bCs/>
          <w:lang w:eastAsia="es-MX"/>
        </w:rPr>
        <w:t>Ampliación de Cobertura</w:t>
      </w:r>
      <w:r w:rsidRPr="005D557C">
        <w:rPr>
          <w:rFonts w:ascii="ITC Avant Garde" w:hAnsi="ITC Avant Garde"/>
          <w:bCs/>
          <w:lang w:eastAsia="es-MX"/>
        </w:rPr>
        <w:t xml:space="preserve">. Bajo ese tenor, conforme a la normatividad vigente en la fecha en que se emite la presente Resolución, </w:t>
      </w:r>
      <w:r w:rsidR="00EC01A2" w:rsidRPr="005D557C">
        <w:rPr>
          <w:rFonts w:ascii="ITC Avant Garde" w:hAnsi="ITC Avant Garde"/>
          <w:bCs/>
          <w:lang w:eastAsia="es-MX"/>
        </w:rPr>
        <w:t>la Ley Federal de Derechos no considera un cobro para el trámite relativo a la ampliación de la cobertura de las redes, por lo que no sería procedente llevar a cabo un cobro por concepto de autorización de la misma.</w:t>
      </w:r>
    </w:p>
    <w:p w14:paraId="3D291C0D" w14:textId="77777777" w:rsidR="002C5C12" w:rsidRPr="005D557C" w:rsidRDefault="00763F7E" w:rsidP="002C5C12">
      <w:pPr>
        <w:spacing w:before="240" w:line="240" w:lineRule="auto"/>
        <w:jc w:val="both"/>
        <w:rPr>
          <w:rFonts w:ascii="ITC Avant Garde" w:hAnsi="ITC Avant Garde"/>
          <w:bCs/>
          <w:lang w:eastAsia="es-MX"/>
        </w:rPr>
      </w:pPr>
      <w:r w:rsidRPr="005D557C">
        <w:rPr>
          <w:rFonts w:ascii="ITC Avant Garde" w:hAnsi="ITC Avant Garde"/>
          <w:bCs/>
          <w:lang w:eastAsia="es-MX"/>
        </w:rPr>
        <w:t>De esta manera, y con fundamento en los artíc</w:t>
      </w:r>
      <w:r w:rsidR="00437B73" w:rsidRPr="005D557C">
        <w:rPr>
          <w:rFonts w:ascii="ITC Avant Garde" w:hAnsi="ITC Avant Garde"/>
          <w:bCs/>
          <w:lang w:eastAsia="es-MX"/>
        </w:rPr>
        <w:t xml:space="preserve">ulos </w:t>
      </w:r>
      <w:r w:rsidR="00FD0611" w:rsidRPr="005D557C">
        <w:rPr>
          <w:rFonts w:ascii="ITC Avant Garde" w:hAnsi="ITC Avant Garde"/>
          <w:bCs/>
          <w:lang w:eastAsia="es-MX"/>
        </w:rPr>
        <w:t xml:space="preserve">6o. Apartado B, fracción II y </w:t>
      </w:r>
      <w:r w:rsidR="00437B73" w:rsidRPr="005D557C">
        <w:rPr>
          <w:rFonts w:ascii="ITC Avant Garde" w:hAnsi="ITC Avant Garde"/>
          <w:bCs/>
          <w:lang w:eastAsia="es-MX"/>
        </w:rPr>
        <w:t xml:space="preserve">28 párrafos décimo quinto y décimo sexto </w:t>
      </w:r>
      <w:r w:rsidRPr="005D557C">
        <w:rPr>
          <w:rFonts w:ascii="ITC Avant Garde" w:hAnsi="ITC Avant Garde"/>
          <w:bCs/>
          <w:lang w:eastAsia="es-MX"/>
        </w:rPr>
        <w:t xml:space="preserve">de la Constitución Política de los Estados Unidos Mexicanos; </w:t>
      </w:r>
      <w:r w:rsidR="00FD0611" w:rsidRPr="005D557C">
        <w:rPr>
          <w:rFonts w:ascii="ITC Avant Garde" w:hAnsi="ITC Avant Garde"/>
          <w:bCs/>
          <w:lang w:eastAsia="es-MX"/>
        </w:rPr>
        <w:t>Cuarto</w:t>
      </w:r>
      <w:r w:rsidR="000F3967" w:rsidRPr="005D557C">
        <w:rPr>
          <w:rFonts w:ascii="ITC Avant Garde" w:hAnsi="ITC Avant Garde"/>
          <w:bCs/>
          <w:lang w:eastAsia="es-MX"/>
        </w:rPr>
        <w:t xml:space="preserve"> </w:t>
      </w:r>
      <w:r w:rsidR="00FD0611" w:rsidRPr="005D557C">
        <w:rPr>
          <w:rFonts w:ascii="ITC Avant Garde" w:hAnsi="ITC Avant Garde"/>
          <w:bCs/>
          <w:lang w:eastAsia="es-MX"/>
        </w:rPr>
        <w:t xml:space="preserve">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5D557C">
        <w:rPr>
          <w:rFonts w:ascii="ITC Avant Garde" w:hAnsi="ITC Avant Garde"/>
          <w:bCs/>
          <w:lang w:eastAsia="es-MX"/>
        </w:rPr>
        <w:t>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r w:rsidR="00437B73" w:rsidRPr="005D557C">
        <w:rPr>
          <w:rFonts w:ascii="ITC Avant Garde" w:hAnsi="ITC Avant Garde"/>
          <w:bCs/>
          <w:lang w:eastAsia="es-MX"/>
        </w:rPr>
        <w:t xml:space="preserve"> 6 fracción IV, 15 fracción IV</w:t>
      </w:r>
      <w:r w:rsidR="00FD0611" w:rsidRPr="005D557C">
        <w:rPr>
          <w:rFonts w:ascii="ITC Avant Garde" w:hAnsi="ITC Avant Garde"/>
          <w:bCs/>
          <w:lang w:eastAsia="es-MX"/>
        </w:rPr>
        <w:t xml:space="preserve">, </w:t>
      </w:r>
      <w:r w:rsidR="00437B73" w:rsidRPr="005D557C">
        <w:rPr>
          <w:rFonts w:ascii="ITC Avant Garde" w:hAnsi="ITC Avant Garde"/>
          <w:bCs/>
          <w:lang w:eastAsia="es-MX"/>
        </w:rPr>
        <w:t xml:space="preserve">17 fracción I </w:t>
      </w:r>
      <w:r w:rsidR="00FD0611" w:rsidRPr="005D557C">
        <w:rPr>
          <w:rFonts w:ascii="ITC Avant Garde" w:hAnsi="ITC Avant Garde"/>
          <w:bCs/>
          <w:lang w:eastAsia="es-MX"/>
        </w:rPr>
        <w:t xml:space="preserve">y 204 </w:t>
      </w:r>
      <w:r w:rsidRPr="005D557C">
        <w:rPr>
          <w:rFonts w:ascii="ITC Avant Garde" w:hAnsi="ITC Avant Garde"/>
          <w:bCs/>
          <w:lang w:eastAsia="es-MX"/>
        </w:rPr>
        <w:t xml:space="preserve">de la Ley Federal de Telecomunicaciones y Radiodifusión; 35 fracción I, 36, 38, 39 y 57 fracción I de la Ley Federal de Procedimiento Administrativo; </w:t>
      </w:r>
      <w:r w:rsidR="006750A5" w:rsidRPr="005D557C">
        <w:rPr>
          <w:rFonts w:ascii="ITC Avant Garde" w:hAnsi="ITC Avant Garde"/>
          <w:bCs/>
          <w:lang w:eastAsia="es-MX"/>
        </w:rPr>
        <w:t xml:space="preserve">97 fracción V </w:t>
      </w:r>
      <w:r w:rsidR="007D3D75" w:rsidRPr="005D557C">
        <w:rPr>
          <w:rFonts w:ascii="ITC Avant Garde" w:hAnsi="ITC Avant Garde"/>
          <w:bCs/>
          <w:lang w:eastAsia="es-MX"/>
        </w:rPr>
        <w:t xml:space="preserve">inciso a) </w:t>
      </w:r>
      <w:r w:rsidR="006750A5" w:rsidRPr="005D557C">
        <w:rPr>
          <w:rFonts w:ascii="ITC Avant Garde" w:hAnsi="ITC Avant Garde"/>
          <w:bCs/>
          <w:lang w:eastAsia="es-MX"/>
        </w:rPr>
        <w:t xml:space="preserve">de la Ley Federal de Derechos vigente durante el año 2015; </w:t>
      </w:r>
      <w:r w:rsidR="00437B73" w:rsidRPr="005D557C">
        <w:rPr>
          <w:rFonts w:ascii="ITC Avant Garde" w:hAnsi="ITC Avant Garde"/>
          <w:bCs/>
          <w:lang w:eastAsia="es-MX"/>
        </w:rPr>
        <w:t>8</w:t>
      </w:r>
      <w:r w:rsidR="00AE55E0" w:rsidRPr="005D557C">
        <w:rPr>
          <w:rFonts w:ascii="ITC Avant Garde" w:hAnsi="ITC Avant Garde"/>
          <w:bCs/>
          <w:lang w:eastAsia="es-MX"/>
        </w:rPr>
        <w:t>, primer párrafo,</w:t>
      </w:r>
      <w:r w:rsidRPr="005D557C">
        <w:rPr>
          <w:rFonts w:ascii="ITC Avant Garde" w:hAnsi="ITC Avant Garde"/>
          <w:bCs/>
          <w:lang w:eastAsia="es-MX"/>
        </w:rPr>
        <w:t xml:space="preserve"> del Reglamento del Servicio de Televisión y Audio Restringidos, publicado en el Diario Oficial de la Federación el 29 de febrero de 2000, y 1, 6, 32 y 33 fracción II del </w:t>
      </w:r>
      <w:r w:rsidRPr="005D557C">
        <w:rPr>
          <w:rFonts w:ascii="ITC Avant Garde" w:hAnsi="ITC Avant Garde"/>
          <w:bCs/>
          <w:lang w:eastAsia="es-MX"/>
        </w:rPr>
        <w:lastRenderedPageBreak/>
        <w:t>Estatuto Orgánico del Instituto Federal de Telecomunicaciones</w:t>
      </w:r>
      <w:r w:rsidR="007D3D75" w:rsidRPr="005D557C">
        <w:rPr>
          <w:rFonts w:ascii="ITC Avant Garde" w:hAnsi="ITC Avant Garde"/>
          <w:bCs/>
          <w:lang w:eastAsia="es-MX"/>
        </w:rPr>
        <w:t xml:space="preserve"> y la Condición 1.3</w:t>
      </w:r>
      <w:r w:rsidR="00AE55E0" w:rsidRPr="005D557C">
        <w:rPr>
          <w:rFonts w:ascii="ITC Avant Garde" w:hAnsi="ITC Avant Garde"/>
          <w:bCs/>
          <w:lang w:eastAsia="es-MX"/>
        </w:rPr>
        <w:t>.,</w:t>
      </w:r>
      <w:r w:rsidR="007D3D75" w:rsidRPr="005D557C">
        <w:rPr>
          <w:rFonts w:ascii="ITC Avant Garde" w:hAnsi="ITC Avant Garde"/>
          <w:bCs/>
          <w:lang w:eastAsia="es-MX"/>
        </w:rPr>
        <w:t xml:space="preserve"> de la Concesión</w:t>
      </w:r>
      <w:r w:rsidRPr="005D557C">
        <w:rPr>
          <w:rFonts w:ascii="ITC Avant Garde" w:hAnsi="ITC Avant Garde"/>
          <w:bCs/>
          <w:lang w:eastAsia="es-MX"/>
        </w:rPr>
        <w:t>, este órgano autónomo emite los siguientes:</w:t>
      </w:r>
    </w:p>
    <w:p w14:paraId="63B509E1" w14:textId="77777777" w:rsidR="002C5C12" w:rsidRPr="005D557C" w:rsidRDefault="00763F7E" w:rsidP="005D557C">
      <w:pPr>
        <w:pStyle w:val="Ttulo2"/>
        <w:spacing w:after="240"/>
        <w:jc w:val="center"/>
        <w:rPr>
          <w:rFonts w:ascii="ITC Avant Garde" w:hAnsi="ITC Avant Garde"/>
          <w:b/>
          <w:color w:val="000000" w:themeColor="text1"/>
          <w:sz w:val="22"/>
          <w:szCs w:val="22"/>
        </w:rPr>
      </w:pPr>
      <w:r w:rsidRPr="005D557C">
        <w:rPr>
          <w:rFonts w:ascii="ITC Avant Garde" w:hAnsi="ITC Avant Garde"/>
          <w:b/>
          <w:color w:val="000000" w:themeColor="text1"/>
          <w:sz w:val="22"/>
          <w:szCs w:val="22"/>
        </w:rPr>
        <w:t>RESOLUTIVOS</w:t>
      </w:r>
    </w:p>
    <w:p w14:paraId="5A0B71C3" w14:textId="6D25F1AA" w:rsidR="002C5C12" w:rsidRPr="005D557C" w:rsidRDefault="00763F7E" w:rsidP="002C5C12">
      <w:pPr>
        <w:spacing w:before="240" w:line="240" w:lineRule="auto"/>
        <w:jc w:val="both"/>
        <w:rPr>
          <w:rFonts w:ascii="ITC Avant Garde" w:hAnsi="ITC Avant Garde"/>
          <w:bCs/>
          <w:color w:val="000000"/>
          <w:lang w:eastAsia="es-MX"/>
        </w:rPr>
      </w:pPr>
      <w:r w:rsidRPr="005D557C">
        <w:rPr>
          <w:rFonts w:ascii="ITC Avant Garde" w:hAnsi="ITC Avant Garde"/>
          <w:b/>
          <w:bCs/>
          <w:lang w:eastAsia="es-MX"/>
        </w:rPr>
        <w:t>PRIMERO.-</w:t>
      </w:r>
      <w:r w:rsidRPr="005D557C">
        <w:rPr>
          <w:rFonts w:ascii="ITC Avant Garde" w:hAnsi="ITC Avant Garde"/>
          <w:bCs/>
          <w:lang w:eastAsia="es-MX"/>
        </w:rPr>
        <w:t xml:space="preserve"> </w:t>
      </w:r>
      <w:r w:rsidR="00437B73" w:rsidRPr="005D557C">
        <w:rPr>
          <w:rFonts w:ascii="ITC Avant Garde" w:hAnsi="ITC Avant Garde"/>
          <w:bCs/>
          <w:color w:val="000000"/>
          <w:lang w:eastAsia="es-MX"/>
        </w:rPr>
        <w:t xml:space="preserve">Se autoriza </w:t>
      </w:r>
      <w:r w:rsidR="00500853" w:rsidRPr="005D557C">
        <w:rPr>
          <w:rFonts w:ascii="ITC Avant Garde" w:hAnsi="ITC Avant Garde"/>
          <w:bCs/>
          <w:color w:val="000000"/>
          <w:lang w:eastAsia="es-MX"/>
        </w:rPr>
        <w:t>a</w:t>
      </w:r>
      <w:r w:rsidR="00D5106F" w:rsidRPr="005D557C">
        <w:rPr>
          <w:rFonts w:ascii="ITC Avant Garde" w:hAnsi="ITC Avant Garde"/>
          <w:bCs/>
          <w:color w:val="000000"/>
          <w:lang w:eastAsia="es-MX"/>
        </w:rPr>
        <w:t>l C. Eduardo Treviño Núñez</w:t>
      </w:r>
      <w:r w:rsidR="00BE65E2" w:rsidRPr="005D557C">
        <w:rPr>
          <w:rFonts w:ascii="ITC Avant Garde" w:hAnsi="ITC Avant Garde"/>
          <w:bCs/>
          <w:color w:val="000000"/>
          <w:lang w:eastAsia="es-MX"/>
        </w:rPr>
        <w:t xml:space="preserve"> a</w:t>
      </w:r>
      <w:r w:rsidR="00437B73" w:rsidRPr="005D557C">
        <w:rPr>
          <w:rFonts w:ascii="ITC Avant Garde" w:hAnsi="ITC Avant Garde"/>
          <w:bCs/>
          <w:color w:val="000000"/>
          <w:lang w:eastAsia="es-MX"/>
        </w:rPr>
        <w:t xml:space="preserve"> </w:t>
      </w:r>
      <w:r w:rsidR="00BE65E2" w:rsidRPr="005D557C">
        <w:rPr>
          <w:rFonts w:ascii="ITC Avant Garde" w:hAnsi="ITC Avant Garde"/>
          <w:bCs/>
          <w:color w:val="000000"/>
          <w:lang w:eastAsia="es-MX"/>
        </w:rPr>
        <w:t xml:space="preserve">llevar a cabo la ampliación de </w:t>
      </w:r>
      <w:r w:rsidR="00437B73" w:rsidRPr="005D557C">
        <w:rPr>
          <w:rFonts w:ascii="ITC Avant Garde" w:hAnsi="ITC Avant Garde"/>
          <w:bCs/>
          <w:color w:val="000000"/>
          <w:lang w:eastAsia="es-MX"/>
        </w:rPr>
        <w:t>cobertura del título de concesión para instalar, operar y explotar una red</w:t>
      </w:r>
      <w:r w:rsidR="00BE65E2" w:rsidRPr="005D557C">
        <w:rPr>
          <w:rFonts w:ascii="ITC Avant Garde" w:hAnsi="ITC Avant Garde"/>
          <w:bCs/>
          <w:color w:val="000000"/>
          <w:lang w:eastAsia="es-MX"/>
        </w:rPr>
        <w:t xml:space="preserve"> pública de telecomunicaciones </w:t>
      </w:r>
      <w:r w:rsidR="00437B73" w:rsidRPr="005D557C">
        <w:rPr>
          <w:rFonts w:ascii="ITC Avant Garde" w:hAnsi="ITC Avant Garde"/>
          <w:bCs/>
          <w:color w:val="000000"/>
          <w:lang w:eastAsia="es-MX"/>
        </w:rPr>
        <w:t xml:space="preserve">otorgado el </w:t>
      </w:r>
      <w:r w:rsidR="00D5106F" w:rsidRPr="005D557C">
        <w:rPr>
          <w:rFonts w:ascii="ITC Avant Garde" w:hAnsi="ITC Avant Garde"/>
          <w:bCs/>
          <w:lang w:eastAsia="es-MX"/>
        </w:rPr>
        <w:t>27 de abril de 2012</w:t>
      </w:r>
      <w:r w:rsidR="00437B73" w:rsidRPr="005D557C">
        <w:rPr>
          <w:rFonts w:ascii="ITC Avant Garde" w:hAnsi="ITC Avant Garde"/>
          <w:bCs/>
          <w:color w:val="000000"/>
          <w:lang w:eastAsia="es-MX"/>
        </w:rPr>
        <w:t>,</w:t>
      </w:r>
      <w:r w:rsidR="0021203D" w:rsidRPr="005D557C">
        <w:rPr>
          <w:rFonts w:ascii="ITC Avant Garde" w:hAnsi="ITC Avant Garde"/>
          <w:bCs/>
          <w:color w:val="000000"/>
          <w:lang w:eastAsia="es-MX"/>
        </w:rPr>
        <w:t xml:space="preserve"> para prestar </w:t>
      </w:r>
      <w:r w:rsidR="00D5106F" w:rsidRPr="005D557C">
        <w:rPr>
          <w:rFonts w:ascii="ITC Avant Garde" w:hAnsi="ITC Avant Garde"/>
          <w:bCs/>
          <w:color w:val="000000"/>
          <w:lang w:eastAsia="es-MX"/>
        </w:rPr>
        <w:t>los</w:t>
      </w:r>
      <w:r w:rsidR="0021203D" w:rsidRPr="005D557C">
        <w:rPr>
          <w:rFonts w:ascii="ITC Avant Garde" w:hAnsi="ITC Avant Garde"/>
          <w:bCs/>
          <w:color w:val="000000"/>
          <w:lang w:eastAsia="es-MX"/>
        </w:rPr>
        <w:t xml:space="preserve"> servicio</w:t>
      </w:r>
      <w:r w:rsidR="00D5106F" w:rsidRPr="005D557C">
        <w:rPr>
          <w:rFonts w:ascii="ITC Avant Garde" w:hAnsi="ITC Avant Garde"/>
          <w:bCs/>
          <w:color w:val="000000"/>
          <w:lang w:eastAsia="es-MX"/>
        </w:rPr>
        <w:t>s</w:t>
      </w:r>
      <w:r w:rsidR="00500853" w:rsidRPr="005D557C">
        <w:rPr>
          <w:rFonts w:ascii="ITC Avant Garde" w:hAnsi="ITC Avant Garde"/>
          <w:bCs/>
          <w:color w:val="000000"/>
          <w:lang w:eastAsia="es-MX"/>
        </w:rPr>
        <w:t xml:space="preserve"> de televisión restringida </w:t>
      </w:r>
      <w:r w:rsidR="00D5106F" w:rsidRPr="005D557C">
        <w:rPr>
          <w:rFonts w:ascii="ITC Avant Garde" w:hAnsi="ITC Avant Garde"/>
          <w:bCs/>
          <w:color w:val="000000"/>
          <w:lang w:eastAsia="es-MX"/>
        </w:rPr>
        <w:t xml:space="preserve">y acceso a Internet </w:t>
      </w:r>
      <w:r w:rsidR="0021203D" w:rsidRPr="005D557C">
        <w:rPr>
          <w:rFonts w:ascii="ITC Avant Garde" w:hAnsi="ITC Avant Garde"/>
          <w:bCs/>
          <w:color w:val="000000"/>
          <w:lang w:eastAsia="es-MX"/>
        </w:rPr>
        <w:t>en</w:t>
      </w:r>
      <w:r w:rsidR="00500853" w:rsidRPr="005D557C">
        <w:rPr>
          <w:rFonts w:ascii="ITC Avant Garde" w:hAnsi="ITC Avant Garde"/>
          <w:bCs/>
          <w:color w:val="000000"/>
          <w:lang w:eastAsia="es-MX"/>
        </w:rPr>
        <w:t xml:space="preserve"> </w:t>
      </w:r>
      <w:r w:rsidR="00D5106F" w:rsidRPr="005D557C">
        <w:rPr>
          <w:rFonts w:ascii="ITC Avant Garde" w:hAnsi="ITC Avant Garde"/>
          <w:bCs/>
          <w:lang w:eastAsia="es-MX"/>
        </w:rPr>
        <w:t>Los Reyes de Salgado, en el Municipio de Los Reyes, en el Estado de Michoacán</w:t>
      </w:r>
      <w:r w:rsidR="0021203D" w:rsidRPr="005D557C">
        <w:rPr>
          <w:rFonts w:ascii="ITC Avant Garde" w:hAnsi="ITC Avant Garde"/>
          <w:bCs/>
          <w:color w:val="000000"/>
          <w:lang w:eastAsia="es-MX"/>
        </w:rPr>
        <w:t>, hacia las siguientes localidades</w:t>
      </w:r>
      <w:r w:rsidR="00437B73" w:rsidRPr="005D557C">
        <w:rPr>
          <w:rFonts w:ascii="ITC Avant Garde" w:hAnsi="ITC Avant Garde"/>
          <w:bCs/>
          <w:color w:val="000000"/>
          <w:lang w:eastAsia="es-MX"/>
        </w:rPr>
        <w:t>:</w:t>
      </w:r>
    </w:p>
    <w:tbl>
      <w:tblPr>
        <w:tblStyle w:val="Tablaconcuadrcula"/>
        <w:tblpPr w:leftFromText="141" w:rightFromText="141" w:vertAnchor="text" w:tblpXSpec="center" w:tblpY="1"/>
        <w:tblW w:w="7938" w:type="dxa"/>
        <w:tblLook w:val="04A0" w:firstRow="1" w:lastRow="0" w:firstColumn="1" w:lastColumn="0" w:noHBand="0" w:noVBand="1"/>
        <w:tblCaption w:val="Amnpliación de cobertura"/>
        <w:tblDescription w:val="En una tabla de 3 columnas, se proporcionan las localidades por municipio y Entidad Federativa"/>
      </w:tblPr>
      <w:tblGrid>
        <w:gridCol w:w="3260"/>
        <w:gridCol w:w="2977"/>
        <w:gridCol w:w="1701"/>
      </w:tblGrid>
      <w:tr w:rsidR="00437B73" w:rsidRPr="005D557C" w14:paraId="50DB1CA9" w14:textId="77777777" w:rsidTr="005D557C">
        <w:trPr>
          <w:tblHeader/>
        </w:trPr>
        <w:tc>
          <w:tcPr>
            <w:tcW w:w="3260" w:type="dxa"/>
            <w:vAlign w:val="center"/>
          </w:tcPr>
          <w:p w14:paraId="42D7DAE0" w14:textId="4BFD3E63" w:rsidR="00437B73" w:rsidRPr="005D557C" w:rsidRDefault="00437B73" w:rsidP="005D557C">
            <w:pPr>
              <w:pStyle w:val="estilo30"/>
              <w:spacing w:before="0" w:beforeAutospacing="0" w:after="0" w:afterAutospacing="0"/>
              <w:jc w:val="center"/>
              <w:rPr>
                <w:rFonts w:ascii="ITC Avant Garde" w:eastAsia="Calibri" w:hAnsi="ITC Avant Garde"/>
                <w:b/>
                <w:bCs/>
                <w:color w:val="000000"/>
                <w:sz w:val="22"/>
                <w:szCs w:val="22"/>
              </w:rPr>
            </w:pPr>
            <w:r w:rsidRPr="005D557C">
              <w:rPr>
                <w:rFonts w:ascii="ITC Avant Garde" w:eastAsia="Calibri" w:hAnsi="ITC Avant Garde"/>
                <w:b/>
                <w:bCs/>
                <w:color w:val="000000"/>
                <w:sz w:val="22"/>
                <w:szCs w:val="22"/>
              </w:rPr>
              <w:t>Localidad</w:t>
            </w:r>
            <w:r w:rsidR="00F80E38" w:rsidRPr="005D557C">
              <w:rPr>
                <w:rFonts w:ascii="ITC Avant Garde" w:eastAsia="Calibri" w:hAnsi="ITC Avant Garde"/>
                <w:b/>
                <w:bCs/>
                <w:color w:val="000000"/>
                <w:sz w:val="22"/>
                <w:szCs w:val="22"/>
              </w:rPr>
              <w:t>es</w:t>
            </w:r>
          </w:p>
        </w:tc>
        <w:tc>
          <w:tcPr>
            <w:tcW w:w="2977" w:type="dxa"/>
            <w:vAlign w:val="center"/>
          </w:tcPr>
          <w:p w14:paraId="6DF4AD3F" w14:textId="77777777" w:rsidR="00437B73" w:rsidRPr="005D557C" w:rsidRDefault="00437B73" w:rsidP="005D557C">
            <w:pPr>
              <w:pStyle w:val="estilo30"/>
              <w:spacing w:before="0" w:beforeAutospacing="0" w:after="0" w:afterAutospacing="0"/>
              <w:jc w:val="center"/>
              <w:rPr>
                <w:rFonts w:ascii="ITC Avant Garde" w:eastAsia="Calibri" w:hAnsi="ITC Avant Garde"/>
                <w:b/>
                <w:bCs/>
                <w:color w:val="000000"/>
                <w:sz w:val="22"/>
                <w:szCs w:val="22"/>
              </w:rPr>
            </w:pPr>
            <w:r w:rsidRPr="005D557C">
              <w:rPr>
                <w:rFonts w:ascii="ITC Avant Garde" w:eastAsia="Calibri" w:hAnsi="ITC Avant Garde"/>
                <w:b/>
                <w:bCs/>
                <w:color w:val="000000"/>
                <w:sz w:val="22"/>
                <w:szCs w:val="22"/>
              </w:rPr>
              <w:t>Municipio</w:t>
            </w:r>
          </w:p>
        </w:tc>
        <w:tc>
          <w:tcPr>
            <w:tcW w:w="1701" w:type="dxa"/>
            <w:vAlign w:val="center"/>
          </w:tcPr>
          <w:p w14:paraId="5EA73CFA" w14:textId="77777777" w:rsidR="00437B73" w:rsidRPr="005D557C" w:rsidRDefault="00437B73" w:rsidP="005D557C">
            <w:pPr>
              <w:pStyle w:val="estilo30"/>
              <w:spacing w:before="0" w:beforeAutospacing="0" w:after="0" w:afterAutospacing="0"/>
              <w:jc w:val="center"/>
              <w:rPr>
                <w:rFonts w:ascii="ITC Avant Garde" w:eastAsia="Calibri" w:hAnsi="ITC Avant Garde"/>
                <w:b/>
                <w:bCs/>
                <w:color w:val="000000"/>
                <w:sz w:val="22"/>
                <w:szCs w:val="22"/>
              </w:rPr>
            </w:pPr>
            <w:r w:rsidRPr="005D557C">
              <w:rPr>
                <w:rFonts w:ascii="ITC Avant Garde" w:eastAsia="Calibri" w:hAnsi="ITC Avant Garde"/>
                <w:b/>
                <w:bCs/>
                <w:color w:val="000000"/>
                <w:sz w:val="22"/>
                <w:szCs w:val="22"/>
              </w:rPr>
              <w:t>Estado</w:t>
            </w:r>
          </w:p>
        </w:tc>
      </w:tr>
      <w:tr w:rsidR="00D61D35" w:rsidRPr="005D557C" w14:paraId="6981CC24" w14:textId="77777777" w:rsidTr="005D557C">
        <w:tc>
          <w:tcPr>
            <w:tcW w:w="3260" w:type="dxa"/>
          </w:tcPr>
          <w:p w14:paraId="72FFDA36" w14:textId="02CFCADA" w:rsidR="00D61D35" w:rsidRPr="005D557C" w:rsidRDefault="00D61D35" w:rsidP="005D557C">
            <w:pPr>
              <w:pStyle w:val="estilo30"/>
              <w:spacing w:before="0" w:beforeAutospacing="0" w:after="0" w:afterAutospacing="0"/>
              <w:jc w:val="center"/>
              <w:rPr>
                <w:rFonts w:ascii="ITC Avant Garde" w:eastAsia="Calibri" w:hAnsi="ITC Avant Garde"/>
                <w:b/>
                <w:bCs/>
                <w:color w:val="000000"/>
                <w:sz w:val="22"/>
                <w:szCs w:val="22"/>
              </w:rPr>
            </w:pPr>
            <w:r w:rsidRPr="005D557C">
              <w:rPr>
                <w:rFonts w:ascii="ITC Avant Garde" w:hAnsi="ITC Avant Garde"/>
                <w:bCs/>
                <w:sz w:val="22"/>
                <w:szCs w:val="22"/>
              </w:rPr>
              <w:t xml:space="preserve">San Sebastián, Los Palillos, Los Limones y Atapan </w:t>
            </w:r>
          </w:p>
        </w:tc>
        <w:tc>
          <w:tcPr>
            <w:tcW w:w="2977" w:type="dxa"/>
          </w:tcPr>
          <w:p w14:paraId="5C632BFF" w14:textId="0C21FE0A" w:rsidR="00D61D35" w:rsidRPr="005D557C" w:rsidRDefault="00D61D35" w:rsidP="005D557C">
            <w:pPr>
              <w:pStyle w:val="estilo30"/>
              <w:spacing w:before="0" w:beforeAutospacing="0" w:after="0" w:afterAutospacing="0"/>
              <w:jc w:val="center"/>
              <w:rPr>
                <w:rFonts w:ascii="ITC Avant Garde" w:eastAsia="Calibri" w:hAnsi="ITC Avant Garde"/>
                <w:b/>
                <w:bCs/>
                <w:color w:val="000000"/>
                <w:sz w:val="22"/>
                <w:szCs w:val="22"/>
              </w:rPr>
            </w:pPr>
            <w:r w:rsidRPr="005D557C">
              <w:rPr>
                <w:rFonts w:ascii="ITC Avant Garde" w:hAnsi="ITC Avant Garde"/>
                <w:bCs/>
                <w:sz w:val="22"/>
                <w:szCs w:val="22"/>
              </w:rPr>
              <w:t>Los Reyes</w:t>
            </w:r>
          </w:p>
        </w:tc>
        <w:tc>
          <w:tcPr>
            <w:tcW w:w="1701" w:type="dxa"/>
          </w:tcPr>
          <w:p w14:paraId="639BC281" w14:textId="2021B579" w:rsidR="00D61D35" w:rsidRPr="005D557C" w:rsidRDefault="00D61D35" w:rsidP="005D557C">
            <w:pPr>
              <w:pStyle w:val="estilo30"/>
              <w:spacing w:before="0" w:beforeAutospacing="0" w:after="0" w:afterAutospacing="0"/>
              <w:jc w:val="center"/>
              <w:rPr>
                <w:rFonts w:ascii="ITC Avant Garde" w:eastAsia="Calibri" w:hAnsi="ITC Avant Garde"/>
                <w:bCs/>
                <w:color w:val="000000"/>
                <w:sz w:val="22"/>
                <w:szCs w:val="22"/>
              </w:rPr>
            </w:pPr>
            <w:r w:rsidRPr="005D557C">
              <w:rPr>
                <w:rFonts w:ascii="ITC Avant Garde" w:eastAsia="Calibri" w:hAnsi="ITC Avant Garde"/>
                <w:bCs/>
                <w:color w:val="000000"/>
                <w:sz w:val="22"/>
                <w:szCs w:val="22"/>
              </w:rPr>
              <w:t>Michoacán</w:t>
            </w:r>
          </w:p>
        </w:tc>
      </w:tr>
      <w:tr w:rsidR="005D557C" w:rsidRPr="005D557C" w14:paraId="072BFDBE" w14:textId="77777777" w:rsidTr="005D557C">
        <w:tc>
          <w:tcPr>
            <w:tcW w:w="3260" w:type="dxa"/>
          </w:tcPr>
          <w:p w14:paraId="6A84E02A" w14:textId="6B7EEDC1" w:rsidR="005D557C" w:rsidRPr="005D557C" w:rsidRDefault="005D557C" w:rsidP="005D557C">
            <w:pPr>
              <w:pStyle w:val="estilo30"/>
              <w:spacing w:before="0" w:beforeAutospacing="0" w:after="0" w:afterAutospacing="0"/>
              <w:jc w:val="center"/>
              <w:rPr>
                <w:rFonts w:ascii="ITC Avant Garde" w:hAnsi="ITC Avant Garde"/>
                <w:bCs/>
                <w:sz w:val="22"/>
                <w:szCs w:val="22"/>
              </w:rPr>
            </w:pPr>
            <w:r w:rsidRPr="005D557C">
              <w:rPr>
                <w:rFonts w:ascii="ITC Avant Garde" w:hAnsi="ITC Avant Garde"/>
                <w:bCs/>
                <w:sz w:val="22"/>
                <w:szCs w:val="22"/>
              </w:rPr>
              <w:t xml:space="preserve">Santa Clara de Valladares y La Calera </w:t>
            </w:r>
          </w:p>
        </w:tc>
        <w:tc>
          <w:tcPr>
            <w:tcW w:w="2977" w:type="dxa"/>
          </w:tcPr>
          <w:p w14:paraId="0698A685" w14:textId="2087027B" w:rsidR="005D557C" w:rsidRPr="005D557C" w:rsidRDefault="005D557C" w:rsidP="005D557C">
            <w:pPr>
              <w:pStyle w:val="estilo30"/>
              <w:spacing w:before="0" w:beforeAutospacing="0" w:after="0" w:afterAutospacing="0"/>
              <w:jc w:val="center"/>
              <w:rPr>
                <w:rFonts w:ascii="ITC Avant Garde" w:eastAsia="Calibri" w:hAnsi="ITC Avant Garde"/>
                <w:b/>
                <w:bCs/>
                <w:color w:val="000000"/>
                <w:sz w:val="22"/>
                <w:szCs w:val="22"/>
              </w:rPr>
            </w:pPr>
            <w:proofErr w:type="spellStart"/>
            <w:r w:rsidRPr="005D557C">
              <w:rPr>
                <w:rFonts w:ascii="ITC Avant Garde" w:hAnsi="ITC Avant Garde"/>
                <w:bCs/>
                <w:sz w:val="22"/>
                <w:szCs w:val="22"/>
              </w:rPr>
              <w:t>Tocumbo</w:t>
            </w:r>
            <w:proofErr w:type="spellEnd"/>
          </w:p>
        </w:tc>
        <w:tc>
          <w:tcPr>
            <w:tcW w:w="1701" w:type="dxa"/>
          </w:tcPr>
          <w:p w14:paraId="2938E814" w14:textId="0CF8EEC7" w:rsidR="005D557C" w:rsidRPr="005D557C" w:rsidRDefault="005D557C" w:rsidP="005D557C">
            <w:pPr>
              <w:pStyle w:val="estilo30"/>
              <w:spacing w:before="0" w:beforeAutospacing="0" w:after="0" w:afterAutospacing="0"/>
              <w:jc w:val="center"/>
              <w:rPr>
                <w:rFonts w:ascii="ITC Avant Garde" w:eastAsia="Calibri" w:hAnsi="ITC Avant Garde"/>
                <w:bCs/>
                <w:color w:val="000000"/>
                <w:sz w:val="22"/>
                <w:szCs w:val="22"/>
              </w:rPr>
            </w:pPr>
            <w:r w:rsidRPr="005D557C">
              <w:rPr>
                <w:rFonts w:ascii="ITC Avant Garde" w:eastAsia="Calibri" w:hAnsi="ITC Avant Garde"/>
                <w:bCs/>
                <w:color w:val="000000"/>
                <w:sz w:val="22"/>
                <w:szCs w:val="22"/>
              </w:rPr>
              <w:t>Michoacán</w:t>
            </w:r>
          </w:p>
        </w:tc>
      </w:tr>
      <w:tr w:rsidR="005D557C" w:rsidRPr="005D557C" w14:paraId="6F245942" w14:textId="77777777" w:rsidTr="005D557C">
        <w:tc>
          <w:tcPr>
            <w:tcW w:w="3260" w:type="dxa"/>
          </w:tcPr>
          <w:p w14:paraId="3395654F" w14:textId="272FE5B0" w:rsidR="005D557C" w:rsidRPr="005D557C" w:rsidRDefault="005D557C" w:rsidP="005D557C">
            <w:pPr>
              <w:pStyle w:val="estilo30"/>
              <w:spacing w:before="0" w:beforeAutospacing="0" w:after="0" w:afterAutospacing="0"/>
              <w:jc w:val="center"/>
              <w:rPr>
                <w:rFonts w:ascii="ITC Avant Garde" w:hAnsi="ITC Avant Garde"/>
                <w:bCs/>
                <w:sz w:val="22"/>
                <w:szCs w:val="22"/>
              </w:rPr>
            </w:pPr>
            <w:proofErr w:type="spellStart"/>
            <w:r w:rsidRPr="005D557C">
              <w:rPr>
                <w:rFonts w:ascii="ITC Avant Garde" w:hAnsi="ITC Avant Garde"/>
                <w:bCs/>
                <w:sz w:val="22"/>
                <w:szCs w:val="22"/>
              </w:rPr>
              <w:t>Huatarillo</w:t>
            </w:r>
            <w:proofErr w:type="spellEnd"/>
            <w:r w:rsidRPr="005D557C">
              <w:rPr>
                <w:rFonts w:ascii="ITC Avant Garde" w:hAnsi="ITC Avant Garde"/>
                <w:bCs/>
                <w:sz w:val="22"/>
                <w:szCs w:val="22"/>
              </w:rPr>
              <w:t xml:space="preserve">, La Cofradía, Gildardo Magaña (Los Ángeles), El Porvenir, Llanos de </w:t>
            </w:r>
            <w:proofErr w:type="spellStart"/>
            <w:r w:rsidRPr="005D557C">
              <w:rPr>
                <w:rFonts w:ascii="ITC Avant Garde" w:hAnsi="ITC Avant Garde"/>
                <w:bCs/>
                <w:sz w:val="22"/>
                <w:szCs w:val="22"/>
              </w:rPr>
              <w:t>Peribán</w:t>
            </w:r>
            <w:proofErr w:type="spellEnd"/>
            <w:r w:rsidRPr="005D557C">
              <w:rPr>
                <w:rFonts w:ascii="ITC Avant Garde" w:hAnsi="ITC Avant Garde"/>
                <w:bCs/>
                <w:sz w:val="22"/>
                <w:szCs w:val="22"/>
              </w:rPr>
              <w:t xml:space="preserve">, Los Puentes Cuates, </w:t>
            </w:r>
            <w:proofErr w:type="spellStart"/>
            <w:r w:rsidRPr="005D557C">
              <w:rPr>
                <w:rFonts w:ascii="ITC Avant Garde" w:hAnsi="ITC Avant Garde"/>
                <w:bCs/>
                <w:sz w:val="22"/>
                <w:szCs w:val="22"/>
              </w:rPr>
              <w:t>Magallón</w:t>
            </w:r>
            <w:proofErr w:type="spellEnd"/>
            <w:r w:rsidRPr="005D557C">
              <w:rPr>
                <w:rFonts w:ascii="ITC Avant Garde" w:hAnsi="ITC Avant Garde"/>
                <w:bCs/>
                <w:sz w:val="22"/>
                <w:szCs w:val="22"/>
              </w:rPr>
              <w:t xml:space="preserve">, La Chiripa, Corona, </w:t>
            </w:r>
            <w:proofErr w:type="spellStart"/>
            <w:r w:rsidRPr="005D557C">
              <w:rPr>
                <w:rFonts w:ascii="ITC Avant Garde" w:hAnsi="ITC Avant Garde"/>
                <w:bCs/>
                <w:sz w:val="22"/>
                <w:szCs w:val="22"/>
              </w:rPr>
              <w:t>Peribán</w:t>
            </w:r>
            <w:proofErr w:type="spellEnd"/>
            <w:r w:rsidRPr="005D557C">
              <w:rPr>
                <w:rFonts w:ascii="ITC Avant Garde" w:hAnsi="ITC Avant Garde"/>
                <w:bCs/>
                <w:sz w:val="22"/>
                <w:szCs w:val="22"/>
              </w:rPr>
              <w:t xml:space="preserve"> de Ramos, Agua Fría, Plan de Ayala</w:t>
            </w:r>
          </w:p>
        </w:tc>
        <w:tc>
          <w:tcPr>
            <w:tcW w:w="2977" w:type="dxa"/>
          </w:tcPr>
          <w:p w14:paraId="055C46CB" w14:textId="45745742" w:rsidR="005D557C" w:rsidRPr="005D557C" w:rsidRDefault="005D557C" w:rsidP="005D557C">
            <w:pPr>
              <w:pStyle w:val="estilo30"/>
              <w:spacing w:before="0" w:beforeAutospacing="0" w:after="0" w:afterAutospacing="0"/>
              <w:jc w:val="center"/>
              <w:rPr>
                <w:rFonts w:ascii="ITC Avant Garde" w:eastAsia="Calibri" w:hAnsi="ITC Avant Garde"/>
                <w:b/>
                <w:bCs/>
                <w:color w:val="000000"/>
                <w:sz w:val="22"/>
                <w:szCs w:val="22"/>
              </w:rPr>
            </w:pPr>
            <w:proofErr w:type="spellStart"/>
            <w:r w:rsidRPr="005D557C">
              <w:rPr>
                <w:rFonts w:ascii="ITC Avant Garde" w:hAnsi="ITC Avant Garde"/>
                <w:bCs/>
                <w:sz w:val="22"/>
                <w:szCs w:val="22"/>
              </w:rPr>
              <w:t>Peribán</w:t>
            </w:r>
            <w:proofErr w:type="spellEnd"/>
          </w:p>
        </w:tc>
        <w:tc>
          <w:tcPr>
            <w:tcW w:w="1701" w:type="dxa"/>
          </w:tcPr>
          <w:p w14:paraId="40148AF9" w14:textId="44ECF4E0" w:rsidR="005D557C" w:rsidRPr="005D557C" w:rsidRDefault="005D557C" w:rsidP="005D557C">
            <w:pPr>
              <w:pStyle w:val="estilo30"/>
              <w:spacing w:before="0" w:beforeAutospacing="0" w:after="0" w:afterAutospacing="0"/>
              <w:jc w:val="center"/>
              <w:rPr>
                <w:rFonts w:ascii="ITC Avant Garde" w:eastAsia="Calibri" w:hAnsi="ITC Avant Garde"/>
                <w:bCs/>
                <w:color w:val="000000"/>
                <w:sz w:val="22"/>
                <w:szCs w:val="22"/>
              </w:rPr>
            </w:pPr>
            <w:r w:rsidRPr="005D557C">
              <w:rPr>
                <w:rFonts w:ascii="ITC Avant Garde" w:eastAsia="Calibri" w:hAnsi="ITC Avant Garde"/>
                <w:bCs/>
                <w:color w:val="000000"/>
                <w:sz w:val="22"/>
                <w:szCs w:val="22"/>
              </w:rPr>
              <w:t>Michoacán</w:t>
            </w:r>
          </w:p>
        </w:tc>
      </w:tr>
    </w:tbl>
    <w:p w14:paraId="0AEFD98B" w14:textId="77777777" w:rsidR="002C5C12" w:rsidRPr="005D557C" w:rsidRDefault="000138E5" w:rsidP="002C5C12">
      <w:pPr>
        <w:autoSpaceDE w:val="0"/>
        <w:autoSpaceDN w:val="0"/>
        <w:adjustRightInd w:val="0"/>
        <w:spacing w:before="240" w:line="240" w:lineRule="auto"/>
        <w:jc w:val="both"/>
        <w:rPr>
          <w:rFonts w:ascii="ITC Avant Garde" w:hAnsi="ITC Avant Garde"/>
          <w:bCs/>
        </w:rPr>
      </w:pPr>
      <w:r w:rsidRPr="005D557C">
        <w:rPr>
          <w:rFonts w:ascii="ITC Avant Garde" w:hAnsi="ITC Avant Garde"/>
          <w:b/>
          <w:bCs/>
          <w:lang w:eastAsia="es-MX"/>
        </w:rPr>
        <w:t>SEGUND</w:t>
      </w:r>
      <w:r w:rsidR="00763F7E" w:rsidRPr="005D557C">
        <w:rPr>
          <w:rFonts w:ascii="ITC Avant Garde" w:hAnsi="ITC Avant Garde"/>
          <w:b/>
          <w:bCs/>
          <w:lang w:eastAsia="es-MX"/>
        </w:rPr>
        <w:t xml:space="preserve">O.- </w:t>
      </w:r>
      <w:r w:rsidR="00CB6F29" w:rsidRPr="005D557C">
        <w:rPr>
          <w:rFonts w:ascii="ITC Avant Garde" w:hAnsi="ITC Avant Garde"/>
          <w:bCs/>
        </w:rPr>
        <w:t>Se instruye a la Unidad de Concesiones y Servicios</w:t>
      </w:r>
      <w:r w:rsidR="00E64B4D" w:rsidRPr="005D557C">
        <w:rPr>
          <w:rFonts w:ascii="ITC Avant Garde" w:hAnsi="ITC Avant Garde"/>
          <w:bCs/>
        </w:rPr>
        <w:t xml:space="preserve"> a notificar </w:t>
      </w:r>
      <w:r w:rsidR="00CB6F29" w:rsidRPr="005D557C">
        <w:rPr>
          <w:rFonts w:ascii="ITC Avant Garde" w:hAnsi="ITC Avant Garde"/>
          <w:bCs/>
        </w:rPr>
        <w:t>al</w:t>
      </w:r>
      <w:r w:rsidR="001A33DE" w:rsidRPr="005D557C">
        <w:rPr>
          <w:rFonts w:ascii="ITC Avant Garde" w:hAnsi="ITC Avant Garde"/>
          <w:bCs/>
        </w:rPr>
        <w:t xml:space="preserve"> </w:t>
      </w:r>
      <w:r w:rsidR="00D61D35" w:rsidRPr="005D557C">
        <w:rPr>
          <w:rFonts w:ascii="ITC Avant Garde" w:hAnsi="ITC Avant Garde"/>
          <w:bCs/>
          <w:color w:val="000000"/>
          <w:lang w:eastAsia="es-MX"/>
        </w:rPr>
        <w:t>C. Eduardo Treviño Núñez</w:t>
      </w:r>
      <w:r w:rsidR="00CB6F29" w:rsidRPr="005D557C">
        <w:rPr>
          <w:rFonts w:ascii="ITC Avant Garde" w:hAnsi="ITC Avant Garde"/>
          <w:bCs/>
        </w:rPr>
        <w:t xml:space="preserve">, la autorización </w:t>
      </w:r>
      <w:r w:rsidR="005D355E" w:rsidRPr="005D557C">
        <w:rPr>
          <w:rFonts w:ascii="ITC Avant Garde" w:hAnsi="ITC Avant Garde"/>
          <w:bCs/>
        </w:rPr>
        <w:t xml:space="preserve">para ampliar el área de la cobertura de la red pública de telecomunicaciones a que se refiere la presente Resolución, de conformidad con </w:t>
      </w:r>
      <w:r w:rsidR="00CB6F29" w:rsidRPr="005D557C">
        <w:rPr>
          <w:rFonts w:ascii="ITC Avant Garde" w:hAnsi="ITC Avant Garde"/>
          <w:bCs/>
        </w:rPr>
        <w:t xml:space="preserve">el Resolutivo Primero </w:t>
      </w:r>
      <w:r w:rsidR="005D355E" w:rsidRPr="005D557C">
        <w:rPr>
          <w:rFonts w:ascii="ITC Avant Garde" w:hAnsi="ITC Avant Garde"/>
          <w:bCs/>
        </w:rPr>
        <w:t>anterior</w:t>
      </w:r>
      <w:r w:rsidR="00CB6F29" w:rsidRPr="005D557C">
        <w:rPr>
          <w:rFonts w:ascii="ITC Avant Garde" w:hAnsi="ITC Avant Garde"/>
          <w:bCs/>
        </w:rPr>
        <w:t>.</w:t>
      </w:r>
    </w:p>
    <w:p w14:paraId="7121E80F" w14:textId="28E59773" w:rsidR="00CB6F29" w:rsidRPr="005D557C" w:rsidRDefault="000138E5" w:rsidP="002C5C12">
      <w:pPr>
        <w:autoSpaceDE w:val="0"/>
        <w:autoSpaceDN w:val="0"/>
        <w:adjustRightInd w:val="0"/>
        <w:spacing w:before="240" w:line="240" w:lineRule="auto"/>
        <w:jc w:val="both"/>
        <w:rPr>
          <w:rFonts w:ascii="ITC Avant Garde" w:hAnsi="ITC Avant Garde"/>
          <w:bCs/>
        </w:rPr>
      </w:pPr>
      <w:r w:rsidRPr="005D557C">
        <w:rPr>
          <w:rFonts w:ascii="ITC Avant Garde" w:hAnsi="ITC Avant Garde"/>
          <w:b/>
          <w:bCs/>
          <w:lang w:eastAsia="es-MX"/>
        </w:rPr>
        <w:t>TERCER</w:t>
      </w:r>
      <w:r w:rsidR="00E64B4D" w:rsidRPr="005D557C">
        <w:rPr>
          <w:rFonts w:ascii="ITC Avant Garde" w:hAnsi="ITC Avant Garde"/>
          <w:b/>
          <w:bCs/>
          <w:lang w:eastAsia="es-MX"/>
        </w:rPr>
        <w:t xml:space="preserve">O.- </w:t>
      </w:r>
      <w:r w:rsidR="00CB6F29" w:rsidRPr="005D557C">
        <w:rPr>
          <w:rFonts w:ascii="ITC Avant Garde" w:hAnsi="ITC Avant Garde"/>
          <w:bCs/>
        </w:rPr>
        <w:t>Inscríbase en el Registro Público de Concesiones la autorización de ampliación de cobertura a que se refiere la presente Resolución, una vez que sea debidamente notificada a</w:t>
      </w:r>
      <w:r w:rsidR="00D61D35" w:rsidRPr="005D557C">
        <w:rPr>
          <w:rFonts w:ascii="ITC Avant Garde" w:hAnsi="ITC Avant Garde"/>
          <w:bCs/>
        </w:rPr>
        <w:t xml:space="preserve">l </w:t>
      </w:r>
      <w:r w:rsidR="00CB6F29" w:rsidRPr="005D557C">
        <w:rPr>
          <w:rFonts w:ascii="ITC Avant Garde" w:hAnsi="ITC Avant Garde"/>
          <w:bCs/>
        </w:rPr>
        <w:t>interesad</w:t>
      </w:r>
      <w:r w:rsidR="00D61D35" w:rsidRPr="005D557C">
        <w:rPr>
          <w:rFonts w:ascii="ITC Avant Garde" w:hAnsi="ITC Avant Garde"/>
          <w:bCs/>
        </w:rPr>
        <w:t>o</w:t>
      </w:r>
      <w:r w:rsidR="00CB6F29" w:rsidRPr="005D557C">
        <w:rPr>
          <w:rFonts w:ascii="ITC Avant Garde" w:hAnsi="ITC Avant Garde"/>
          <w:bCs/>
        </w:rPr>
        <w:t>.</w:t>
      </w:r>
    </w:p>
    <w:p w14:paraId="6F0689D9" w14:textId="77777777" w:rsidR="002C5C12" w:rsidRPr="005D557C" w:rsidRDefault="000138E5" w:rsidP="002C5C12">
      <w:pPr>
        <w:spacing w:before="240" w:line="240" w:lineRule="auto"/>
        <w:jc w:val="both"/>
        <w:rPr>
          <w:rFonts w:ascii="ITC Avant Garde" w:hAnsi="ITC Avant Garde"/>
          <w:b/>
          <w:bCs/>
          <w:lang w:eastAsia="es-MX"/>
        </w:rPr>
      </w:pPr>
      <w:r w:rsidRPr="005D557C">
        <w:rPr>
          <w:rFonts w:ascii="ITC Avant Garde" w:hAnsi="ITC Avant Garde"/>
          <w:b/>
          <w:bCs/>
          <w:lang w:eastAsia="es-MX"/>
        </w:rPr>
        <w:t>CUARTO</w:t>
      </w:r>
      <w:r w:rsidR="00E64B4D" w:rsidRPr="005D557C">
        <w:rPr>
          <w:rFonts w:ascii="ITC Avant Garde" w:hAnsi="ITC Avant Garde"/>
          <w:b/>
          <w:bCs/>
          <w:lang w:eastAsia="es-MX"/>
        </w:rPr>
        <w:t xml:space="preserve">.- </w:t>
      </w:r>
      <w:r w:rsidR="00763F7E" w:rsidRPr="005D557C">
        <w:rPr>
          <w:rFonts w:ascii="ITC Avant Garde" w:hAnsi="ITC Avant Garde"/>
          <w:bCs/>
          <w:lang w:eastAsia="es-MX"/>
        </w:rPr>
        <w:t>La presente Resolución no prejuzga sobre las atribuciones que corresponda ejercer al Instituto Federal de Telecomunicaciones en materia de competencia económica.</w:t>
      </w:r>
    </w:p>
    <w:p w14:paraId="5B73B8F7" w14:textId="77777777" w:rsidR="002C5C12" w:rsidRPr="005D557C" w:rsidRDefault="0092314E" w:rsidP="005D557C">
      <w:pPr>
        <w:tabs>
          <w:tab w:val="left" w:pos="142"/>
          <w:tab w:val="left" w:pos="5954"/>
        </w:tabs>
        <w:spacing w:after="0" w:line="240" w:lineRule="auto"/>
        <w:jc w:val="both"/>
        <w:rPr>
          <w:rFonts w:ascii="ITC Avant Garde" w:eastAsia="Times New Roman" w:hAnsi="ITC Avant Garde"/>
          <w:sz w:val="12"/>
          <w:szCs w:val="12"/>
          <w:lang w:val="es-ES"/>
        </w:rPr>
      </w:pPr>
      <w:r w:rsidRPr="005D557C">
        <w:rPr>
          <w:rFonts w:ascii="ITC Avant Garde" w:eastAsia="Times New Roman" w:hAnsi="ITC Avant Garde"/>
          <w:sz w:val="12"/>
          <w:szCs w:val="12"/>
          <w:lang w:val="es-ES"/>
        </w:rPr>
        <w:t xml:space="preserve">La presente Resolución fue aprobada por el Pleno del Instituto Federal de Telecomunicaciones en su XXXIV Sesión Ordinaria celebrada el 23 de agosto de 2017,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5D557C">
        <w:rPr>
          <w:rFonts w:ascii="ITC Avant Garde" w:eastAsia="Times New Roman" w:hAnsi="ITC Avant Garde"/>
          <w:sz w:val="12"/>
          <w:szCs w:val="12"/>
          <w:lang w:val="es-ES"/>
        </w:rPr>
        <w:t>Rovalo</w:t>
      </w:r>
      <w:proofErr w:type="spellEnd"/>
      <w:r w:rsidRPr="005D557C">
        <w:rPr>
          <w:rFonts w:ascii="ITC Avant Garde" w:eastAsia="Times New Roman" w:hAnsi="ITC Avant Garde"/>
          <w:sz w:val="12"/>
          <w:szCs w:val="12"/>
          <w:lang w:val="es-ES"/>
        </w:rPr>
        <w:t>.</w:t>
      </w:r>
    </w:p>
    <w:p w14:paraId="670F3BBA" w14:textId="77777777" w:rsidR="002C5C12" w:rsidRPr="005D557C" w:rsidRDefault="0092314E" w:rsidP="005D557C">
      <w:pPr>
        <w:tabs>
          <w:tab w:val="left" w:pos="142"/>
          <w:tab w:val="left" w:pos="5954"/>
        </w:tabs>
        <w:spacing w:after="0" w:line="240" w:lineRule="auto"/>
        <w:jc w:val="both"/>
        <w:rPr>
          <w:rFonts w:ascii="ITC Avant Garde" w:hAnsi="ITC Avant Garde"/>
          <w:bCs/>
          <w:sz w:val="12"/>
          <w:szCs w:val="12"/>
          <w:lang w:eastAsia="es-MX"/>
        </w:rPr>
      </w:pPr>
      <w:r w:rsidRPr="005D557C">
        <w:rPr>
          <w:rFonts w:ascii="ITC Avant Garde" w:eastAsia="Times New Roman" w:hAnsi="ITC Avant Garde"/>
          <w:sz w:val="12"/>
          <w:szCs w:val="12"/>
          <w:lang w:val="es-ES"/>
        </w:rPr>
        <w:t xml:space="preserve">La Comisionada María Elena Estavillo Flores manifestó voto concurrente respecto al Resolutivo Primero; y voto en contra del Considerando Segundo, en lo referente al artículo 8 </w:t>
      </w:r>
      <w:r w:rsidRPr="005D557C">
        <w:rPr>
          <w:rFonts w:ascii="ITC Avant Garde" w:hAnsi="ITC Avant Garde"/>
          <w:bCs/>
          <w:sz w:val="12"/>
          <w:szCs w:val="12"/>
          <w:lang w:eastAsia="es-MX"/>
        </w:rPr>
        <w:t>del Reglamento del Servicio de Televisión y Audio Restringidos.</w:t>
      </w:r>
    </w:p>
    <w:p w14:paraId="7B340926" w14:textId="140B2A26" w:rsidR="002C5C12" w:rsidRPr="005D557C" w:rsidRDefault="0092314E" w:rsidP="005D557C">
      <w:pPr>
        <w:tabs>
          <w:tab w:val="left" w:pos="142"/>
          <w:tab w:val="left" w:pos="5954"/>
        </w:tabs>
        <w:spacing w:after="0" w:line="240" w:lineRule="auto"/>
        <w:jc w:val="both"/>
        <w:rPr>
          <w:rFonts w:ascii="ITC Avant Garde" w:eastAsia="Times New Roman" w:hAnsi="ITC Avant Garde"/>
          <w:sz w:val="12"/>
          <w:szCs w:val="12"/>
          <w:lang w:val="es-ES"/>
        </w:rPr>
      </w:pPr>
      <w:r w:rsidRPr="005D557C">
        <w:rPr>
          <w:rFonts w:ascii="ITC Avant Garde" w:eastAsia="Times New Roman" w:hAnsi="ITC Avant Garde"/>
          <w:sz w:val="12"/>
          <w:szCs w:val="12"/>
          <w:lang w:val="es-ES"/>
        </w:rPr>
        <w:t>Lo anterior, con fundamento en los párrafos vigésimo, fracciones I y III; y vigésimo primero, del artículo 28 de la Constitución Política de los Estados Unidos Mexicanos; artículos 7, 16 y 45 de la Ley Federal de Telecomunicaciones y Radiodifusión</w:t>
      </w:r>
      <w:r w:rsidRPr="005D557C">
        <w:rPr>
          <w:rFonts w:ascii="ITC Avant Garde" w:hAnsi="ITC Avant Garde"/>
          <w:sz w:val="12"/>
          <w:szCs w:val="12"/>
        </w:rPr>
        <w:t>;</w:t>
      </w:r>
      <w:r w:rsidRPr="005D557C">
        <w:rPr>
          <w:rFonts w:ascii="ITC Avant Garde" w:eastAsia="Times New Roman" w:hAnsi="ITC Avant Garde"/>
          <w:sz w:val="12"/>
          <w:szCs w:val="12"/>
          <w:lang w:val="es-ES"/>
        </w:rPr>
        <w:t xml:space="preserve"> así como en los artículos 1, 7, 8 y 12 del Estatuto Orgánico del Instituto Federal de Telecomunicaciones, mediante Acuerdo P/IFT/230817/512.</w:t>
      </w:r>
    </w:p>
    <w:sectPr w:rsidR="002C5C12" w:rsidRPr="005D557C" w:rsidSect="00745EA0">
      <w:headerReference w:type="even" r:id="rId8"/>
      <w:footerReference w:type="default" r:id="rId9"/>
      <w:headerReference w:type="first" r:id="rId10"/>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F5AEB" w14:textId="77777777" w:rsidR="00CA016B" w:rsidRDefault="00CA016B" w:rsidP="00072BC8">
      <w:pPr>
        <w:spacing w:after="0" w:line="240" w:lineRule="auto"/>
      </w:pPr>
      <w:r>
        <w:separator/>
      </w:r>
    </w:p>
  </w:endnote>
  <w:endnote w:type="continuationSeparator" w:id="0">
    <w:p w14:paraId="49807FF9" w14:textId="77777777" w:rsidR="00CA016B" w:rsidRDefault="00CA016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4A6573DA" w:rsidR="006F630B" w:rsidRPr="00745EA0" w:rsidRDefault="006F630B" w:rsidP="00B048BA">
    <w:pPr>
      <w:ind w:left="5670" w:right="49"/>
      <w:jc w:val="right"/>
      <w:rPr>
        <w:sz w:val="20"/>
        <w:szCs w:val="18"/>
      </w:rPr>
    </w:pPr>
    <w:r w:rsidRPr="00745EA0">
      <w:rPr>
        <w:rFonts w:ascii="ITC Avant Garde" w:hAnsi="ITC Avant Garde" w:cs="Calibri"/>
        <w:sz w:val="20"/>
        <w:szCs w:val="18"/>
      </w:rPr>
      <w:fldChar w:fldCharType="begin"/>
    </w:r>
    <w:r w:rsidRPr="00745EA0">
      <w:rPr>
        <w:rFonts w:ascii="ITC Avant Garde" w:hAnsi="ITC Avant Garde" w:cs="Calibri"/>
        <w:sz w:val="20"/>
        <w:szCs w:val="18"/>
      </w:rPr>
      <w:instrText>PAGE</w:instrText>
    </w:r>
    <w:r w:rsidRPr="00745EA0">
      <w:rPr>
        <w:rFonts w:ascii="ITC Avant Garde" w:hAnsi="ITC Avant Garde" w:cs="Calibri"/>
        <w:sz w:val="20"/>
        <w:szCs w:val="18"/>
      </w:rPr>
      <w:fldChar w:fldCharType="separate"/>
    </w:r>
    <w:r w:rsidR="005D557C">
      <w:rPr>
        <w:rFonts w:ascii="ITC Avant Garde" w:hAnsi="ITC Avant Garde" w:cs="Calibri"/>
        <w:noProof/>
        <w:sz w:val="20"/>
        <w:szCs w:val="18"/>
      </w:rPr>
      <w:t>9</w:t>
    </w:r>
    <w:r w:rsidRPr="00745EA0">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07AA5" w14:textId="77777777" w:rsidR="00CA016B" w:rsidRDefault="00CA016B" w:rsidP="00072BC8">
      <w:pPr>
        <w:spacing w:after="0" w:line="240" w:lineRule="auto"/>
      </w:pPr>
      <w:r>
        <w:separator/>
      </w:r>
    </w:p>
  </w:footnote>
  <w:footnote w:type="continuationSeparator" w:id="0">
    <w:p w14:paraId="2A8BCBA2" w14:textId="77777777" w:rsidR="00CA016B" w:rsidRDefault="00CA016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6F630B" w:rsidRDefault="00CA016B">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6F630B" w:rsidRPr="000F5E4B" w:rsidRDefault="00CA016B">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F1531"/>
    <w:multiLevelType w:val="hybridMultilevel"/>
    <w:tmpl w:val="52D6506E"/>
    <w:lvl w:ilvl="0" w:tplc="EA204EC0">
      <w:start w:val="1"/>
      <w:numFmt w:val="lowerLetter"/>
      <w:lvlText w:val="%1)"/>
      <w:lvlJc w:val="left"/>
      <w:pPr>
        <w:ind w:left="3819" w:hanging="360"/>
      </w:pPr>
      <w:rPr>
        <w:rFonts w:hint="default"/>
        <w:b/>
      </w:rPr>
    </w:lvl>
    <w:lvl w:ilvl="1" w:tplc="080A0019" w:tentative="1">
      <w:start w:val="1"/>
      <w:numFmt w:val="lowerLetter"/>
      <w:lvlText w:val="%2."/>
      <w:lvlJc w:val="left"/>
      <w:pPr>
        <w:ind w:left="4539" w:hanging="360"/>
      </w:pPr>
    </w:lvl>
    <w:lvl w:ilvl="2" w:tplc="080A001B" w:tentative="1">
      <w:start w:val="1"/>
      <w:numFmt w:val="lowerRoman"/>
      <w:lvlText w:val="%3."/>
      <w:lvlJc w:val="right"/>
      <w:pPr>
        <w:ind w:left="5259" w:hanging="180"/>
      </w:pPr>
    </w:lvl>
    <w:lvl w:ilvl="3" w:tplc="080A000F" w:tentative="1">
      <w:start w:val="1"/>
      <w:numFmt w:val="decimal"/>
      <w:lvlText w:val="%4."/>
      <w:lvlJc w:val="left"/>
      <w:pPr>
        <w:ind w:left="5979" w:hanging="360"/>
      </w:pPr>
    </w:lvl>
    <w:lvl w:ilvl="4" w:tplc="080A0019" w:tentative="1">
      <w:start w:val="1"/>
      <w:numFmt w:val="lowerLetter"/>
      <w:lvlText w:val="%5."/>
      <w:lvlJc w:val="left"/>
      <w:pPr>
        <w:ind w:left="6699" w:hanging="360"/>
      </w:pPr>
    </w:lvl>
    <w:lvl w:ilvl="5" w:tplc="080A001B" w:tentative="1">
      <w:start w:val="1"/>
      <w:numFmt w:val="lowerRoman"/>
      <w:lvlText w:val="%6."/>
      <w:lvlJc w:val="right"/>
      <w:pPr>
        <w:ind w:left="7419" w:hanging="180"/>
      </w:pPr>
    </w:lvl>
    <w:lvl w:ilvl="6" w:tplc="080A000F" w:tentative="1">
      <w:start w:val="1"/>
      <w:numFmt w:val="decimal"/>
      <w:lvlText w:val="%7."/>
      <w:lvlJc w:val="left"/>
      <w:pPr>
        <w:ind w:left="8139" w:hanging="360"/>
      </w:pPr>
    </w:lvl>
    <w:lvl w:ilvl="7" w:tplc="080A0019" w:tentative="1">
      <w:start w:val="1"/>
      <w:numFmt w:val="lowerLetter"/>
      <w:lvlText w:val="%8."/>
      <w:lvlJc w:val="left"/>
      <w:pPr>
        <w:ind w:left="8859" w:hanging="360"/>
      </w:pPr>
    </w:lvl>
    <w:lvl w:ilvl="8" w:tplc="080A001B" w:tentative="1">
      <w:start w:val="1"/>
      <w:numFmt w:val="lowerRoman"/>
      <w:lvlText w:val="%9."/>
      <w:lvlJc w:val="right"/>
      <w:pPr>
        <w:ind w:left="9579" w:hanging="180"/>
      </w:pPr>
    </w:lvl>
  </w:abstractNum>
  <w:abstractNum w:abstractNumId="2" w15:restartNumberingAfterBreak="0">
    <w:nsid w:val="18BD39C9"/>
    <w:multiLevelType w:val="hybridMultilevel"/>
    <w:tmpl w:val="CDE66E6A"/>
    <w:lvl w:ilvl="0" w:tplc="B590E910">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8A72D3C"/>
    <w:multiLevelType w:val="hybridMultilevel"/>
    <w:tmpl w:val="67E2BD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7"/>
  </w:num>
  <w:num w:numId="5">
    <w:abstractNumId w:val="13"/>
  </w:num>
  <w:num w:numId="6">
    <w:abstractNumId w:val="8"/>
  </w:num>
  <w:num w:numId="7">
    <w:abstractNumId w:val="12"/>
  </w:num>
  <w:num w:numId="8">
    <w:abstractNumId w:val="10"/>
  </w:num>
  <w:num w:numId="9">
    <w:abstractNumId w:val="9"/>
  </w:num>
  <w:num w:numId="10">
    <w:abstractNumId w:val="0"/>
  </w:num>
  <w:num w:numId="11">
    <w:abstractNumId w:val="3"/>
  </w:num>
  <w:num w:numId="12">
    <w:abstractNumId w:val="1"/>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0914"/>
    <w:rsid w:val="000013A5"/>
    <w:rsid w:val="00002E9B"/>
    <w:rsid w:val="0000341D"/>
    <w:rsid w:val="00003F1E"/>
    <w:rsid w:val="00004279"/>
    <w:rsid w:val="00007B4B"/>
    <w:rsid w:val="00007F9B"/>
    <w:rsid w:val="0001033E"/>
    <w:rsid w:val="00011253"/>
    <w:rsid w:val="00011629"/>
    <w:rsid w:val="000116D0"/>
    <w:rsid w:val="00011FCA"/>
    <w:rsid w:val="00012713"/>
    <w:rsid w:val="00012926"/>
    <w:rsid w:val="00013871"/>
    <w:rsid w:val="000138E5"/>
    <w:rsid w:val="00014A03"/>
    <w:rsid w:val="00014EFF"/>
    <w:rsid w:val="000154B0"/>
    <w:rsid w:val="00015932"/>
    <w:rsid w:val="00016555"/>
    <w:rsid w:val="000173C1"/>
    <w:rsid w:val="00020418"/>
    <w:rsid w:val="0002350B"/>
    <w:rsid w:val="00024C4D"/>
    <w:rsid w:val="00024D9A"/>
    <w:rsid w:val="00024F70"/>
    <w:rsid w:val="000252E2"/>
    <w:rsid w:val="00025555"/>
    <w:rsid w:val="00025C61"/>
    <w:rsid w:val="000314BC"/>
    <w:rsid w:val="00031617"/>
    <w:rsid w:val="0003533E"/>
    <w:rsid w:val="00037344"/>
    <w:rsid w:val="00037D31"/>
    <w:rsid w:val="00040626"/>
    <w:rsid w:val="000415B9"/>
    <w:rsid w:val="0004259A"/>
    <w:rsid w:val="00042A05"/>
    <w:rsid w:val="000448E7"/>
    <w:rsid w:val="00044E70"/>
    <w:rsid w:val="00046B29"/>
    <w:rsid w:val="000500D9"/>
    <w:rsid w:val="000527CE"/>
    <w:rsid w:val="000529D7"/>
    <w:rsid w:val="00053292"/>
    <w:rsid w:val="0005470B"/>
    <w:rsid w:val="00055323"/>
    <w:rsid w:val="000563D9"/>
    <w:rsid w:val="00060D02"/>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77C"/>
    <w:rsid w:val="00082F83"/>
    <w:rsid w:val="000837C7"/>
    <w:rsid w:val="00085181"/>
    <w:rsid w:val="00087093"/>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65FB"/>
    <w:rsid w:val="000B7311"/>
    <w:rsid w:val="000B7808"/>
    <w:rsid w:val="000B7FD1"/>
    <w:rsid w:val="000C0163"/>
    <w:rsid w:val="000C101B"/>
    <w:rsid w:val="000C3336"/>
    <w:rsid w:val="000C474A"/>
    <w:rsid w:val="000C4C55"/>
    <w:rsid w:val="000D3CC4"/>
    <w:rsid w:val="000D5EBD"/>
    <w:rsid w:val="000E0417"/>
    <w:rsid w:val="000E0E92"/>
    <w:rsid w:val="000E12CA"/>
    <w:rsid w:val="000E17BF"/>
    <w:rsid w:val="000E180C"/>
    <w:rsid w:val="000E1AED"/>
    <w:rsid w:val="000E1B0D"/>
    <w:rsid w:val="000E28EE"/>
    <w:rsid w:val="000E342F"/>
    <w:rsid w:val="000E5EFD"/>
    <w:rsid w:val="000F01F2"/>
    <w:rsid w:val="000F152A"/>
    <w:rsid w:val="000F17CF"/>
    <w:rsid w:val="000F27D5"/>
    <w:rsid w:val="000F376D"/>
    <w:rsid w:val="000F3967"/>
    <w:rsid w:val="000F3B4C"/>
    <w:rsid w:val="000F4D94"/>
    <w:rsid w:val="000F5E4B"/>
    <w:rsid w:val="000F669E"/>
    <w:rsid w:val="0010018F"/>
    <w:rsid w:val="00100DE3"/>
    <w:rsid w:val="001031F7"/>
    <w:rsid w:val="0010344F"/>
    <w:rsid w:val="00103F81"/>
    <w:rsid w:val="00105EEB"/>
    <w:rsid w:val="00106523"/>
    <w:rsid w:val="001101F2"/>
    <w:rsid w:val="001111E5"/>
    <w:rsid w:val="001116C4"/>
    <w:rsid w:val="001116CD"/>
    <w:rsid w:val="0011178E"/>
    <w:rsid w:val="00112517"/>
    <w:rsid w:val="00112B7A"/>
    <w:rsid w:val="00112C0E"/>
    <w:rsid w:val="00113BA5"/>
    <w:rsid w:val="00114A2F"/>
    <w:rsid w:val="00115276"/>
    <w:rsid w:val="00115FE9"/>
    <w:rsid w:val="00116056"/>
    <w:rsid w:val="00122501"/>
    <w:rsid w:val="00123658"/>
    <w:rsid w:val="001248CF"/>
    <w:rsid w:val="0012599F"/>
    <w:rsid w:val="00125A15"/>
    <w:rsid w:val="0012614E"/>
    <w:rsid w:val="00127EC2"/>
    <w:rsid w:val="00130661"/>
    <w:rsid w:val="001313B3"/>
    <w:rsid w:val="001314A5"/>
    <w:rsid w:val="00133572"/>
    <w:rsid w:val="0013390B"/>
    <w:rsid w:val="00134D4D"/>
    <w:rsid w:val="00136426"/>
    <w:rsid w:val="00136C0E"/>
    <w:rsid w:val="001425EA"/>
    <w:rsid w:val="00142C3A"/>
    <w:rsid w:val="00144502"/>
    <w:rsid w:val="0014450A"/>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57324"/>
    <w:rsid w:val="0016020E"/>
    <w:rsid w:val="00160584"/>
    <w:rsid w:val="00160F8F"/>
    <w:rsid w:val="00162CA2"/>
    <w:rsid w:val="001636DE"/>
    <w:rsid w:val="0016577A"/>
    <w:rsid w:val="00165EBC"/>
    <w:rsid w:val="00167D7D"/>
    <w:rsid w:val="00170967"/>
    <w:rsid w:val="0018039E"/>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3049"/>
    <w:rsid w:val="001A333A"/>
    <w:rsid w:val="001A33DE"/>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0"/>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498"/>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03D"/>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076F"/>
    <w:rsid w:val="002315C3"/>
    <w:rsid w:val="002319C1"/>
    <w:rsid w:val="00235C88"/>
    <w:rsid w:val="00236672"/>
    <w:rsid w:val="0023752B"/>
    <w:rsid w:val="00237D7D"/>
    <w:rsid w:val="002415FF"/>
    <w:rsid w:val="00244A87"/>
    <w:rsid w:val="002458F4"/>
    <w:rsid w:val="0024592C"/>
    <w:rsid w:val="0024610A"/>
    <w:rsid w:val="00247FA5"/>
    <w:rsid w:val="00252A9B"/>
    <w:rsid w:val="00254051"/>
    <w:rsid w:val="00257DE1"/>
    <w:rsid w:val="00260800"/>
    <w:rsid w:val="002656A1"/>
    <w:rsid w:val="00265A14"/>
    <w:rsid w:val="00266693"/>
    <w:rsid w:val="00266D2E"/>
    <w:rsid w:val="00266F42"/>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80F"/>
    <w:rsid w:val="002A0B3C"/>
    <w:rsid w:val="002A17F5"/>
    <w:rsid w:val="002A1CF8"/>
    <w:rsid w:val="002A3B10"/>
    <w:rsid w:val="002A3D1D"/>
    <w:rsid w:val="002A489F"/>
    <w:rsid w:val="002A5F88"/>
    <w:rsid w:val="002A7DEC"/>
    <w:rsid w:val="002B0869"/>
    <w:rsid w:val="002B0ADD"/>
    <w:rsid w:val="002B2555"/>
    <w:rsid w:val="002B35AD"/>
    <w:rsid w:val="002B3C49"/>
    <w:rsid w:val="002B4DB4"/>
    <w:rsid w:val="002C0321"/>
    <w:rsid w:val="002C299A"/>
    <w:rsid w:val="002C2A7B"/>
    <w:rsid w:val="002C36A7"/>
    <w:rsid w:val="002C3B54"/>
    <w:rsid w:val="002C5C12"/>
    <w:rsid w:val="002C6988"/>
    <w:rsid w:val="002C707F"/>
    <w:rsid w:val="002D0F52"/>
    <w:rsid w:val="002D15D0"/>
    <w:rsid w:val="002D225E"/>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3C8C"/>
    <w:rsid w:val="002E4A09"/>
    <w:rsid w:val="002E5E9E"/>
    <w:rsid w:val="002E6A6B"/>
    <w:rsid w:val="002F0480"/>
    <w:rsid w:val="002F1D08"/>
    <w:rsid w:val="002F27A5"/>
    <w:rsid w:val="002F39B6"/>
    <w:rsid w:val="002F4AA5"/>
    <w:rsid w:val="002F7623"/>
    <w:rsid w:val="002F7A68"/>
    <w:rsid w:val="002F7AC7"/>
    <w:rsid w:val="00301072"/>
    <w:rsid w:val="0030182F"/>
    <w:rsid w:val="003026DC"/>
    <w:rsid w:val="0030317F"/>
    <w:rsid w:val="003043AE"/>
    <w:rsid w:val="003050F2"/>
    <w:rsid w:val="0030530A"/>
    <w:rsid w:val="003120FF"/>
    <w:rsid w:val="0031453B"/>
    <w:rsid w:val="00315B5A"/>
    <w:rsid w:val="00315BCE"/>
    <w:rsid w:val="00315EBB"/>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0BF7"/>
    <w:rsid w:val="00341067"/>
    <w:rsid w:val="003416AC"/>
    <w:rsid w:val="00341D5F"/>
    <w:rsid w:val="00341E84"/>
    <w:rsid w:val="00343544"/>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67B01"/>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8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5614"/>
    <w:rsid w:val="003A5EDF"/>
    <w:rsid w:val="003A7400"/>
    <w:rsid w:val="003B173B"/>
    <w:rsid w:val="003B1F96"/>
    <w:rsid w:val="003B22D6"/>
    <w:rsid w:val="003B2A27"/>
    <w:rsid w:val="003B3934"/>
    <w:rsid w:val="003B5029"/>
    <w:rsid w:val="003B6073"/>
    <w:rsid w:val="003B628C"/>
    <w:rsid w:val="003B7423"/>
    <w:rsid w:val="003C088C"/>
    <w:rsid w:val="003C29D1"/>
    <w:rsid w:val="003C2C4D"/>
    <w:rsid w:val="003C400F"/>
    <w:rsid w:val="003C5CB2"/>
    <w:rsid w:val="003C750F"/>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4978"/>
    <w:rsid w:val="003F5541"/>
    <w:rsid w:val="003F6DC0"/>
    <w:rsid w:val="003F6F6A"/>
    <w:rsid w:val="004004C1"/>
    <w:rsid w:val="0040152A"/>
    <w:rsid w:val="004022B7"/>
    <w:rsid w:val="00402324"/>
    <w:rsid w:val="00402528"/>
    <w:rsid w:val="0040260E"/>
    <w:rsid w:val="00403FEE"/>
    <w:rsid w:val="0040453E"/>
    <w:rsid w:val="0040574C"/>
    <w:rsid w:val="00405A76"/>
    <w:rsid w:val="00410862"/>
    <w:rsid w:val="00412215"/>
    <w:rsid w:val="0041398A"/>
    <w:rsid w:val="00415432"/>
    <w:rsid w:val="00415768"/>
    <w:rsid w:val="00415E0A"/>
    <w:rsid w:val="004175DD"/>
    <w:rsid w:val="00420FA3"/>
    <w:rsid w:val="004211CA"/>
    <w:rsid w:val="004249B8"/>
    <w:rsid w:val="0042552E"/>
    <w:rsid w:val="00425DE7"/>
    <w:rsid w:val="00425FE5"/>
    <w:rsid w:val="00426D40"/>
    <w:rsid w:val="00427C38"/>
    <w:rsid w:val="00437619"/>
    <w:rsid w:val="00437B73"/>
    <w:rsid w:val="0044022B"/>
    <w:rsid w:val="0044135E"/>
    <w:rsid w:val="00441C8A"/>
    <w:rsid w:val="004424A1"/>
    <w:rsid w:val="00443044"/>
    <w:rsid w:val="00446858"/>
    <w:rsid w:val="00447BC0"/>
    <w:rsid w:val="00450368"/>
    <w:rsid w:val="00450A26"/>
    <w:rsid w:val="00452461"/>
    <w:rsid w:val="004534F1"/>
    <w:rsid w:val="00453E39"/>
    <w:rsid w:val="00454A27"/>
    <w:rsid w:val="0046096F"/>
    <w:rsid w:val="00461545"/>
    <w:rsid w:val="00461DE8"/>
    <w:rsid w:val="00462107"/>
    <w:rsid w:val="0046582F"/>
    <w:rsid w:val="004734CC"/>
    <w:rsid w:val="004736E3"/>
    <w:rsid w:val="00474E20"/>
    <w:rsid w:val="00476938"/>
    <w:rsid w:val="00483E10"/>
    <w:rsid w:val="004848FF"/>
    <w:rsid w:val="00486603"/>
    <w:rsid w:val="00486746"/>
    <w:rsid w:val="00490E1C"/>
    <w:rsid w:val="0049138E"/>
    <w:rsid w:val="00491BB7"/>
    <w:rsid w:val="00491DD4"/>
    <w:rsid w:val="004929DA"/>
    <w:rsid w:val="00493A69"/>
    <w:rsid w:val="00494F85"/>
    <w:rsid w:val="00495E14"/>
    <w:rsid w:val="004965F7"/>
    <w:rsid w:val="00497B97"/>
    <w:rsid w:val="00497C6D"/>
    <w:rsid w:val="004A1E83"/>
    <w:rsid w:val="004A27B3"/>
    <w:rsid w:val="004A28A2"/>
    <w:rsid w:val="004A2B32"/>
    <w:rsid w:val="004B08AA"/>
    <w:rsid w:val="004B2362"/>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05C4"/>
    <w:rsid w:val="004D1E48"/>
    <w:rsid w:val="004D3F86"/>
    <w:rsid w:val="004D54DA"/>
    <w:rsid w:val="004D7684"/>
    <w:rsid w:val="004D7AFF"/>
    <w:rsid w:val="004E06B0"/>
    <w:rsid w:val="004E15EF"/>
    <w:rsid w:val="004E2D48"/>
    <w:rsid w:val="004E7035"/>
    <w:rsid w:val="004F07A2"/>
    <w:rsid w:val="004F1332"/>
    <w:rsid w:val="004F2E04"/>
    <w:rsid w:val="004F4E8E"/>
    <w:rsid w:val="004F518F"/>
    <w:rsid w:val="004F5813"/>
    <w:rsid w:val="004F63F1"/>
    <w:rsid w:val="004F6E26"/>
    <w:rsid w:val="00500853"/>
    <w:rsid w:val="0050163C"/>
    <w:rsid w:val="00503E37"/>
    <w:rsid w:val="005041E3"/>
    <w:rsid w:val="0050460B"/>
    <w:rsid w:val="00504FF0"/>
    <w:rsid w:val="0050536B"/>
    <w:rsid w:val="005062A1"/>
    <w:rsid w:val="005108A9"/>
    <w:rsid w:val="00511A1F"/>
    <w:rsid w:val="005121F2"/>
    <w:rsid w:val="00512471"/>
    <w:rsid w:val="0051488F"/>
    <w:rsid w:val="00514D1F"/>
    <w:rsid w:val="00514DDC"/>
    <w:rsid w:val="00516DB6"/>
    <w:rsid w:val="005235A2"/>
    <w:rsid w:val="00525EB2"/>
    <w:rsid w:val="00527AF6"/>
    <w:rsid w:val="00527C42"/>
    <w:rsid w:val="00527E8C"/>
    <w:rsid w:val="00530525"/>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2850"/>
    <w:rsid w:val="00573A4F"/>
    <w:rsid w:val="00573E36"/>
    <w:rsid w:val="00574430"/>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3D8D"/>
    <w:rsid w:val="005A5075"/>
    <w:rsid w:val="005A6228"/>
    <w:rsid w:val="005A64B9"/>
    <w:rsid w:val="005B04D3"/>
    <w:rsid w:val="005B0C52"/>
    <w:rsid w:val="005B17E0"/>
    <w:rsid w:val="005B36FD"/>
    <w:rsid w:val="005B3E8F"/>
    <w:rsid w:val="005B782D"/>
    <w:rsid w:val="005B7D27"/>
    <w:rsid w:val="005C086D"/>
    <w:rsid w:val="005C1539"/>
    <w:rsid w:val="005C3EC7"/>
    <w:rsid w:val="005C4659"/>
    <w:rsid w:val="005C642B"/>
    <w:rsid w:val="005C6D5A"/>
    <w:rsid w:val="005C7028"/>
    <w:rsid w:val="005C7713"/>
    <w:rsid w:val="005D0825"/>
    <w:rsid w:val="005D135B"/>
    <w:rsid w:val="005D16B2"/>
    <w:rsid w:val="005D28EA"/>
    <w:rsid w:val="005D2932"/>
    <w:rsid w:val="005D311B"/>
    <w:rsid w:val="005D346E"/>
    <w:rsid w:val="005D355E"/>
    <w:rsid w:val="005D43C3"/>
    <w:rsid w:val="005D4A72"/>
    <w:rsid w:val="005D4CBC"/>
    <w:rsid w:val="005D5242"/>
    <w:rsid w:val="005D557C"/>
    <w:rsid w:val="005D5598"/>
    <w:rsid w:val="005D7D7C"/>
    <w:rsid w:val="005E164A"/>
    <w:rsid w:val="005E2014"/>
    <w:rsid w:val="005E2E73"/>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D3D"/>
    <w:rsid w:val="00613329"/>
    <w:rsid w:val="00613773"/>
    <w:rsid w:val="0061385C"/>
    <w:rsid w:val="00614A99"/>
    <w:rsid w:val="006155D9"/>
    <w:rsid w:val="00615B62"/>
    <w:rsid w:val="00617D14"/>
    <w:rsid w:val="0062195D"/>
    <w:rsid w:val="00621FB5"/>
    <w:rsid w:val="0062270B"/>
    <w:rsid w:val="006235DC"/>
    <w:rsid w:val="00625F7B"/>
    <w:rsid w:val="00626DA5"/>
    <w:rsid w:val="00627791"/>
    <w:rsid w:val="00630A85"/>
    <w:rsid w:val="00631C7B"/>
    <w:rsid w:val="00632357"/>
    <w:rsid w:val="00633139"/>
    <w:rsid w:val="006333A3"/>
    <w:rsid w:val="00641827"/>
    <w:rsid w:val="00641EA3"/>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1049"/>
    <w:rsid w:val="006616CF"/>
    <w:rsid w:val="006625FE"/>
    <w:rsid w:val="00662759"/>
    <w:rsid w:val="0066351E"/>
    <w:rsid w:val="006649CE"/>
    <w:rsid w:val="00665C06"/>
    <w:rsid w:val="0066685D"/>
    <w:rsid w:val="00666BD1"/>
    <w:rsid w:val="00667193"/>
    <w:rsid w:val="00667A60"/>
    <w:rsid w:val="00672C22"/>
    <w:rsid w:val="00672FC8"/>
    <w:rsid w:val="0067323D"/>
    <w:rsid w:val="00673742"/>
    <w:rsid w:val="00674CA7"/>
    <w:rsid w:val="00674E5F"/>
    <w:rsid w:val="006750A5"/>
    <w:rsid w:val="0067717E"/>
    <w:rsid w:val="0067793F"/>
    <w:rsid w:val="0068412C"/>
    <w:rsid w:val="00684CB2"/>
    <w:rsid w:val="00685CA5"/>
    <w:rsid w:val="0068702A"/>
    <w:rsid w:val="0069017C"/>
    <w:rsid w:val="006902A6"/>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F65"/>
    <w:rsid w:val="006B191F"/>
    <w:rsid w:val="006B2720"/>
    <w:rsid w:val="006B3124"/>
    <w:rsid w:val="006B3B69"/>
    <w:rsid w:val="006B4016"/>
    <w:rsid w:val="006B4376"/>
    <w:rsid w:val="006B4A8B"/>
    <w:rsid w:val="006B6BE2"/>
    <w:rsid w:val="006B72B8"/>
    <w:rsid w:val="006B7A98"/>
    <w:rsid w:val="006C1C0C"/>
    <w:rsid w:val="006C37D1"/>
    <w:rsid w:val="006C3A47"/>
    <w:rsid w:val="006C4A81"/>
    <w:rsid w:val="006C587C"/>
    <w:rsid w:val="006C67F9"/>
    <w:rsid w:val="006D04D9"/>
    <w:rsid w:val="006D0A1E"/>
    <w:rsid w:val="006D1A09"/>
    <w:rsid w:val="006D1FD7"/>
    <w:rsid w:val="006D21C8"/>
    <w:rsid w:val="006D3F12"/>
    <w:rsid w:val="006D615A"/>
    <w:rsid w:val="006E066D"/>
    <w:rsid w:val="006F13D3"/>
    <w:rsid w:val="006F141A"/>
    <w:rsid w:val="006F232E"/>
    <w:rsid w:val="006F25F6"/>
    <w:rsid w:val="006F2E88"/>
    <w:rsid w:val="006F3BD0"/>
    <w:rsid w:val="006F3D6C"/>
    <w:rsid w:val="006F4E00"/>
    <w:rsid w:val="006F630B"/>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4806"/>
    <w:rsid w:val="00716152"/>
    <w:rsid w:val="0072029C"/>
    <w:rsid w:val="00720BAF"/>
    <w:rsid w:val="0072207F"/>
    <w:rsid w:val="00724197"/>
    <w:rsid w:val="00726D5E"/>
    <w:rsid w:val="00727659"/>
    <w:rsid w:val="00730042"/>
    <w:rsid w:val="00730483"/>
    <w:rsid w:val="00731AE4"/>
    <w:rsid w:val="00732304"/>
    <w:rsid w:val="00734B8F"/>
    <w:rsid w:val="007350D4"/>
    <w:rsid w:val="00736253"/>
    <w:rsid w:val="00736F95"/>
    <w:rsid w:val="00737962"/>
    <w:rsid w:val="00737F88"/>
    <w:rsid w:val="00741274"/>
    <w:rsid w:val="00742C59"/>
    <w:rsid w:val="00745C87"/>
    <w:rsid w:val="00745EA0"/>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3F7E"/>
    <w:rsid w:val="00764CD4"/>
    <w:rsid w:val="007672AF"/>
    <w:rsid w:val="00767A95"/>
    <w:rsid w:val="007703FB"/>
    <w:rsid w:val="0077158B"/>
    <w:rsid w:val="007750AB"/>
    <w:rsid w:val="00775C60"/>
    <w:rsid w:val="00776C6F"/>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48BB"/>
    <w:rsid w:val="007A5F0E"/>
    <w:rsid w:val="007A6890"/>
    <w:rsid w:val="007A69B0"/>
    <w:rsid w:val="007A6F80"/>
    <w:rsid w:val="007B0ABD"/>
    <w:rsid w:val="007B3C47"/>
    <w:rsid w:val="007B6525"/>
    <w:rsid w:val="007B67A2"/>
    <w:rsid w:val="007B6A7E"/>
    <w:rsid w:val="007B73FB"/>
    <w:rsid w:val="007B7424"/>
    <w:rsid w:val="007B758B"/>
    <w:rsid w:val="007B76D2"/>
    <w:rsid w:val="007B7D80"/>
    <w:rsid w:val="007B7F66"/>
    <w:rsid w:val="007C07D1"/>
    <w:rsid w:val="007C255C"/>
    <w:rsid w:val="007C51B0"/>
    <w:rsid w:val="007C5464"/>
    <w:rsid w:val="007C5A49"/>
    <w:rsid w:val="007C76EE"/>
    <w:rsid w:val="007D2877"/>
    <w:rsid w:val="007D2C60"/>
    <w:rsid w:val="007D3C36"/>
    <w:rsid w:val="007D3D75"/>
    <w:rsid w:val="007D56E6"/>
    <w:rsid w:val="007D6A04"/>
    <w:rsid w:val="007D6B79"/>
    <w:rsid w:val="007D71DC"/>
    <w:rsid w:val="007E0720"/>
    <w:rsid w:val="007E0B84"/>
    <w:rsid w:val="007E0C2A"/>
    <w:rsid w:val="007E0C9A"/>
    <w:rsid w:val="007E172A"/>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550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2B2C"/>
    <w:rsid w:val="00862CFD"/>
    <w:rsid w:val="008640FD"/>
    <w:rsid w:val="00864EEB"/>
    <w:rsid w:val="008650AF"/>
    <w:rsid w:val="00865DCA"/>
    <w:rsid w:val="00865FAA"/>
    <w:rsid w:val="00867436"/>
    <w:rsid w:val="008678C2"/>
    <w:rsid w:val="00867F5D"/>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721B"/>
    <w:rsid w:val="00897FB2"/>
    <w:rsid w:val="008A0D93"/>
    <w:rsid w:val="008A3268"/>
    <w:rsid w:val="008A3C32"/>
    <w:rsid w:val="008A622F"/>
    <w:rsid w:val="008A6889"/>
    <w:rsid w:val="008B0717"/>
    <w:rsid w:val="008B2B7C"/>
    <w:rsid w:val="008B2D55"/>
    <w:rsid w:val="008B2DEB"/>
    <w:rsid w:val="008B35E8"/>
    <w:rsid w:val="008B3BA7"/>
    <w:rsid w:val="008B3C2A"/>
    <w:rsid w:val="008B571F"/>
    <w:rsid w:val="008B6A26"/>
    <w:rsid w:val="008B6B2A"/>
    <w:rsid w:val="008B6CC7"/>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1B65"/>
    <w:rsid w:val="008E2AF8"/>
    <w:rsid w:val="008E2F50"/>
    <w:rsid w:val="008E405B"/>
    <w:rsid w:val="008E73FD"/>
    <w:rsid w:val="008E7D10"/>
    <w:rsid w:val="008E7FD8"/>
    <w:rsid w:val="008F001B"/>
    <w:rsid w:val="008F1FDE"/>
    <w:rsid w:val="008F269D"/>
    <w:rsid w:val="008F318F"/>
    <w:rsid w:val="008F3A1E"/>
    <w:rsid w:val="008F46DC"/>
    <w:rsid w:val="008F546A"/>
    <w:rsid w:val="008F576F"/>
    <w:rsid w:val="008F5FE1"/>
    <w:rsid w:val="008F76D3"/>
    <w:rsid w:val="008F7A6F"/>
    <w:rsid w:val="0090042E"/>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16FEC"/>
    <w:rsid w:val="00920E19"/>
    <w:rsid w:val="00921E7A"/>
    <w:rsid w:val="0092314E"/>
    <w:rsid w:val="00926F83"/>
    <w:rsid w:val="00927BD6"/>
    <w:rsid w:val="00930132"/>
    <w:rsid w:val="00930A17"/>
    <w:rsid w:val="00932078"/>
    <w:rsid w:val="009324E0"/>
    <w:rsid w:val="0093260A"/>
    <w:rsid w:val="00932BD5"/>
    <w:rsid w:val="00932E8C"/>
    <w:rsid w:val="0093305C"/>
    <w:rsid w:val="00933483"/>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0B55"/>
    <w:rsid w:val="009613F5"/>
    <w:rsid w:val="009618EA"/>
    <w:rsid w:val="00963330"/>
    <w:rsid w:val="00963AAA"/>
    <w:rsid w:val="00966013"/>
    <w:rsid w:val="0097490D"/>
    <w:rsid w:val="00975C6D"/>
    <w:rsid w:val="00976364"/>
    <w:rsid w:val="00980EC6"/>
    <w:rsid w:val="00980F59"/>
    <w:rsid w:val="00981583"/>
    <w:rsid w:val="00981B4D"/>
    <w:rsid w:val="00991047"/>
    <w:rsid w:val="009910B0"/>
    <w:rsid w:val="00991C30"/>
    <w:rsid w:val="00992EA7"/>
    <w:rsid w:val="0099464B"/>
    <w:rsid w:val="00994C43"/>
    <w:rsid w:val="0099589A"/>
    <w:rsid w:val="00995961"/>
    <w:rsid w:val="0099606E"/>
    <w:rsid w:val="009A16BE"/>
    <w:rsid w:val="009A1C31"/>
    <w:rsid w:val="009A22F1"/>
    <w:rsid w:val="009A48FD"/>
    <w:rsid w:val="009A5F8F"/>
    <w:rsid w:val="009A6B48"/>
    <w:rsid w:val="009B02B7"/>
    <w:rsid w:val="009B0430"/>
    <w:rsid w:val="009B068D"/>
    <w:rsid w:val="009B1517"/>
    <w:rsid w:val="009B3096"/>
    <w:rsid w:val="009B4886"/>
    <w:rsid w:val="009B5408"/>
    <w:rsid w:val="009B6321"/>
    <w:rsid w:val="009B6487"/>
    <w:rsid w:val="009B660E"/>
    <w:rsid w:val="009B7130"/>
    <w:rsid w:val="009C02C1"/>
    <w:rsid w:val="009C2967"/>
    <w:rsid w:val="009C2D6B"/>
    <w:rsid w:val="009C3AA3"/>
    <w:rsid w:val="009C41FE"/>
    <w:rsid w:val="009C4586"/>
    <w:rsid w:val="009C5367"/>
    <w:rsid w:val="009C694D"/>
    <w:rsid w:val="009C6F5B"/>
    <w:rsid w:val="009C7311"/>
    <w:rsid w:val="009C769F"/>
    <w:rsid w:val="009D2F6F"/>
    <w:rsid w:val="009D3CB7"/>
    <w:rsid w:val="009D3D77"/>
    <w:rsid w:val="009D4BA8"/>
    <w:rsid w:val="009D77CA"/>
    <w:rsid w:val="009D7C94"/>
    <w:rsid w:val="009E0304"/>
    <w:rsid w:val="009E1F80"/>
    <w:rsid w:val="009E3585"/>
    <w:rsid w:val="009E4A3B"/>
    <w:rsid w:val="009F21AA"/>
    <w:rsid w:val="009F23DC"/>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1F8"/>
    <w:rsid w:val="00A275B3"/>
    <w:rsid w:val="00A277B6"/>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33"/>
    <w:rsid w:val="00A607E8"/>
    <w:rsid w:val="00A61502"/>
    <w:rsid w:val="00A6191A"/>
    <w:rsid w:val="00A61DD6"/>
    <w:rsid w:val="00A63774"/>
    <w:rsid w:val="00A6521D"/>
    <w:rsid w:val="00A65FC0"/>
    <w:rsid w:val="00A663D2"/>
    <w:rsid w:val="00A66434"/>
    <w:rsid w:val="00A66EAF"/>
    <w:rsid w:val="00A7060B"/>
    <w:rsid w:val="00A706AA"/>
    <w:rsid w:val="00A71237"/>
    <w:rsid w:val="00A72BD8"/>
    <w:rsid w:val="00A73AD0"/>
    <w:rsid w:val="00A762AA"/>
    <w:rsid w:val="00A76B37"/>
    <w:rsid w:val="00A77FE6"/>
    <w:rsid w:val="00A80662"/>
    <w:rsid w:val="00A82420"/>
    <w:rsid w:val="00A8353B"/>
    <w:rsid w:val="00A83A9F"/>
    <w:rsid w:val="00A83ACD"/>
    <w:rsid w:val="00A84084"/>
    <w:rsid w:val="00A84788"/>
    <w:rsid w:val="00A8601E"/>
    <w:rsid w:val="00A878F3"/>
    <w:rsid w:val="00A91813"/>
    <w:rsid w:val="00A918F5"/>
    <w:rsid w:val="00A9331A"/>
    <w:rsid w:val="00A936BA"/>
    <w:rsid w:val="00A9459A"/>
    <w:rsid w:val="00A94A91"/>
    <w:rsid w:val="00A9577E"/>
    <w:rsid w:val="00A95FBC"/>
    <w:rsid w:val="00A96B85"/>
    <w:rsid w:val="00AA140D"/>
    <w:rsid w:val="00AA174C"/>
    <w:rsid w:val="00AA5AA5"/>
    <w:rsid w:val="00AA6CB4"/>
    <w:rsid w:val="00AA71DF"/>
    <w:rsid w:val="00AA76C3"/>
    <w:rsid w:val="00AB0C06"/>
    <w:rsid w:val="00AB11B6"/>
    <w:rsid w:val="00AB1C62"/>
    <w:rsid w:val="00AB3985"/>
    <w:rsid w:val="00AB55BA"/>
    <w:rsid w:val="00AB567F"/>
    <w:rsid w:val="00AB5CAB"/>
    <w:rsid w:val="00AC09C8"/>
    <w:rsid w:val="00AC10E0"/>
    <w:rsid w:val="00AC27C4"/>
    <w:rsid w:val="00AC2FBC"/>
    <w:rsid w:val="00AC3509"/>
    <w:rsid w:val="00AC41A7"/>
    <w:rsid w:val="00AD008F"/>
    <w:rsid w:val="00AD04BE"/>
    <w:rsid w:val="00AD3132"/>
    <w:rsid w:val="00AD4C88"/>
    <w:rsid w:val="00AD5339"/>
    <w:rsid w:val="00AD54AD"/>
    <w:rsid w:val="00AD6112"/>
    <w:rsid w:val="00AD634A"/>
    <w:rsid w:val="00AD73AF"/>
    <w:rsid w:val="00AE0B4B"/>
    <w:rsid w:val="00AE1A21"/>
    <w:rsid w:val="00AE27F2"/>
    <w:rsid w:val="00AE2828"/>
    <w:rsid w:val="00AE29E4"/>
    <w:rsid w:val="00AE3082"/>
    <w:rsid w:val="00AE3373"/>
    <w:rsid w:val="00AE4198"/>
    <w:rsid w:val="00AE55E0"/>
    <w:rsid w:val="00AE6225"/>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C6A"/>
    <w:rsid w:val="00B03E6F"/>
    <w:rsid w:val="00B04148"/>
    <w:rsid w:val="00B048BA"/>
    <w:rsid w:val="00B05770"/>
    <w:rsid w:val="00B06F8C"/>
    <w:rsid w:val="00B111F0"/>
    <w:rsid w:val="00B11C23"/>
    <w:rsid w:val="00B12BB1"/>
    <w:rsid w:val="00B12CB4"/>
    <w:rsid w:val="00B14ABD"/>
    <w:rsid w:val="00B14DAD"/>
    <w:rsid w:val="00B15C45"/>
    <w:rsid w:val="00B160CA"/>
    <w:rsid w:val="00B2157C"/>
    <w:rsid w:val="00B23379"/>
    <w:rsid w:val="00B23EB2"/>
    <w:rsid w:val="00B24DFA"/>
    <w:rsid w:val="00B24F4F"/>
    <w:rsid w:val="00B2653B"/>
    <w:rsid w:val="00B26762"/>
    <w:rsid w:val="00B270D7"/>
    <w:rsid w:val="00B30542"/>
    <w:rsid w:val="00B3194A"/>
    <w:rsid w:val="00B319A4"/>
    <w:rsid w:val="00B32A52"/>
    <w:rsid w:val="00B32A54"/>
    <w:rsid w:val="00B338D6"/>
    <w:rsid w:val="00B35F4F"/>
    <w:rsid w:val="00B3701C"/>
    <w:rsid w:val="00B370D4"/>
    <w:rsid w:val="00B409FD"/>
    <w:rsid w:val="00B41491"/>
    <w:rsid w:val="00B50D3A"/>
    <w:rsid w:val="00B51906"/>
    <w:rsid w:val="00B51993"/>
    <w:rsid w:val="00B5247B"/>
    <w:rsid w:val="00B55762"/>
    <w:rsid w:val="00B56007"/>
    <w:rsid w:val="00B573B6"/>
    <w:rsid w:val="00B579E3"/>
    <w:rsid w:val="00B60429"/>
    <w:rsid w:val="00B611F3"/>
    <w:rsid w:val="00B63267"/>
    <w:rsid w:val="00B64F13"/>
    <w:rsid w:val="00B650EF"/>
    <w:rsid w:val="00B65636"/>
    <w:rsid w:val="00B656E8"/>
    <w:rsid w:val="00B70A1D"/>
    <w:rsid w:val="00B72322"/>
    <w:rsid w:val="00B72B20"/>
    <w:rsid w:val="00B74272"/>
    <w:rsid w:val="00B75EE9"/>
    <w:rsid w:val="00B77FBE"/>
    <w:rsid w:val="00B80209"/>
    <w:rsid w:val="00B80E1E"/>
    <w:rsid w:val="00B81A8F"/>
    <w:rsid w:val="00B82AA1"/>
    <w:rsid w:val="00B831D9"/>
    <w:rsid w:val="00B832C5"/>
    <w:rsid w:val="00B8388F"/>
    <w:rsid w:val="00B84D38"/>
    <w:rsid w:val="00B85598"/>
    <w:rsid w:val="00B87740"/>
    <w:rsid w:val="00B87A01"/>
    <w:rsid w:val="00B90EC2"/>
    <w:rsid w:val="00B91269"/>
    <w:rsid w:val="00B913F6"/>
    <w:rsid w:val="00B91D78"/>
    <w:rsid w:val="00B9617F"/>
    <w:rsid w:val="00B964D8"/>
    <w:rsid w:val="00B96A72"/>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3BED"/>
    <w:rsid w:val="00BE4DCD"/>
    <w:rsid w:val="00BE54B3"/>
    <w:rsid w:val="00BE6098"/>
    <w:rsid w:val="00BE65E2"/>
    <w:rsid w:val="00BE6894"/>
    <w:rsid w:val="00BE7169"/>
    <w:rsid w:val="00BE7410"/>
    <w:rsid w:val="00BE7466"/>
    <w:rsid w:val="00BE74C0"/>
    <w:rsid w:val="00BF0E90"/>
    <w:rsid w:val="00BF16DE"/>
    <w:rsid w:val="00BF1C40"/>
    <w:rsid w:val="00BF31CB"/>
    <w:rsid w:val="00BF4543"/>
    <w:rsid w:val="00BF57FC"/>
    <w:rsid w:val="00BF615A"/>
    <w:rsid w:val="00BF6BDE"/>
    <w:rsid w:val="00C00AAD"/>
    <w:rsid w:val="00C025A9"/>
    <w:rsid w:val="00C02B99"/>
    <w:rsid w:val="00C032E2"/>
    <w:rsid w:val="00C03A52"/>
    <w:rsid w:val="00C043F5"/>
    <w:rsid w:val="00C056AF"/>
    <w:rsid w:val="00C07B03"/>
    <w:rsid w:val="00C103B4"/>
    <w:rsid w:val="00C10EFD"/>
    <w:rsid w:val="00C10F48"/>
    <w:rsid w:val="00C11440"/>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720"/>
    <w:rsid w:val="00C27FAA"/>
    <w:rsid w:val="00C30112"/>
    <w:rsid w:val="00C30541"/>
    <w:rsid w:val="00C30C08"/>
    <w:rsid w:val="00C35351"/>
    <w:rsid w:val="00C3629A"/>
    <w:rsid w:val="00C417B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2EC6"/>
    <w:rsid w:val="00C630FF"/>
    <w:rsid w:val="00C632B9"/>
    <w:rsid w:val="00C63AD2"/>
    <w:rsid w:val="00C643EB"/>
    <w:rsid w:val="00C652FF"/>
    <w:rsid w:val="00C67B72"/>
    <w:rsid w:val="00C7098A"/>
    <w:rsid w:val="00C70B85"/>
    <w:rsid w:val="00C7171B"/>
    <w:rsid w:val="00C71BC6"/>
    <w:rsid w:val="00C73945"/>
    <w:rsid w:val="00C73AAF"/>
    <w:rsid w:val="00C73EDC"/>
    <w:rsid w:val="00C73F42"/>
    <w:rsid w:val="00C7620D"/>
    <w:rsid w:val="00C76246"/>
    <w:rsid w:val="00C775CE"/>
    <w:rsid w:val="00C7772A"/>
    <w:rsid w:val="00C77E36"/>
    <w:rsid w:val="00C77FAA"/>
    <w:rsid w:val="00C80515"/>
    <w:rsid w:val="00C814AF"/>
    <w:rsid w:val="00C83F9B"/>
    <w:rsid w:val="00C844A5"/>
    <w:rsid w:val="00C86655"/>
    <w:rsid w:val="00C8772A"/>
    <w:rsid w:val="00C87BB0"/>
    <w:rsid w:val="00C908BB"/>
    <w:rsid w:val="00C90B6A"/>
    <w:rsid w:val="00C92A2C"/>
    <w:rsid w:val="00C92CEA"/>
    <w:rsid w:val="00C92F67"/>
    <w:rsid w:val="00C9379A"/>
    <w:rsid w:val="00C9379F"/>
    <w:rsid w:val="00C94853"/>
    <w:rsid w:val="00C96C15"/>
    <w:rsid w:val="00CA016B"/>
    <w:rsid w:val="00CA13A7"/>
    <w:rsid w:val="00CA1B8E"/>
    <w:rsid w:val="00CA55A1"/>
    <w:rsid w:val="00CA5E93"/>
    <w:rsid w:val="00CA5F4E"/>
    <w:rsid w:val="00CA616A"/>
    <w:rsid w:val="00CA6C2F"/>
    <w:rsid w:val="00CA6F6A"/>
    <w:rsid w:val="00CB17E7"/>
    <w:rsid w:val="00CB1ACB"/>
    <w:rsid w:val="00CB2273"/>
    <w:rsid w:val="00CB24C3"/>
    <w:rsid w:val="00CB34D6"/>
    <w:rsid w:val="00CB364F"/>
    <w:rsid w:val="00CB4474"/>
    <w:rsid w:val="00CB6D1B"/>
    <w:rsid w:val="00CB6F29"/>
    <w:rsid w:val="00CC012D"/>
    <w:rsid w:val="00CC0878"/>
    <w:rsid w:val="00CC3695"/>
    <w:rsid w:val="00CC3899"/>
    <w:rsid w:val="00CC39E2"/>
    <w:rsid w:val="00CC3CFA"/>
    <w:rsid w:val="00CC4443"/>
    <w:rsid w:val="00CC499F"/>
    <w:rsid w:val="00CC4CD4"/>
    <w:rsid w:val="00CC5A6D"/>
    <w:rsid w:val="00CD037E"/>
    <w:rsid w:val="00CD08A2"/>
    <w:rsid w:val="00CD0F70"/>
    <w:rsid w:val="00CD401E"/>
    <w:rsid w:val="00CD5C35"/>
    <w:rsid w:val="00CD5F5D"/>
    <w:rsid w:val="00CD64E8"/>
    <w:rsid w:val="00CD723F"/>
    <w:rsid w:val="00CE38FD"/>
    <w:rsid w:val="00CE4BE9"/>
    <w:rsid w:val="00CE4CCB"/>
    <w:rsid w:val="00CE50C1"/>
    <w:rsid w:val="00CE5E63"/>
    <w:rsid w:val="00CE7EE4"/>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2994"/>
    <w:rsid w:val="00D14093"/>
    <w:rsid w:val="00D1611E"/>
    <w:rsid w:val="00D16ECF"/>
    <w:rsid w:val="00D20752"/>
    <w:rsid w:val="00D21282"/>
    <w:rsid w:val="00D2148B"/>
    <w:rsid w:val="00D222A5"/>
    <w:rsid w:val="00D262BD"/>
    <w:rsid w:val="00D26650"/>
    <w:rsid w:val="00D26D9F"/>
    <w:rsid w:val="00D30355"/>
    <w:rsid w:val="00D314A2"/>
    <w:rsid w:val="00D32117"/>
    <w:rsid w:val="00D34A38"/>
    <w:rsid w:val="00D4008B"/>
    <w:rsid w:val="00D4016B"/>
    <w:rsid w:val="00D419C1"/>
    <w:rsid w:val="00D41E4B"/>
    <w:rsid w:val="00D420E0"/>
    <w:rsid w:val="00D45241"/>
    <w:rsid w:val="00D4606F"/>
    <w:rsid w:val="00D462DB"/>
    <w:rsid w:val="00D46AB8"/>
    <w:rsid w:val="00D46B1F"/>
    <w:rsid w:val="00D4753F"/>
    <w:rsid w:val="00D50A2F"/>
    <w:rsid w:val="00D50FCD"/>
    <w:rsid w:val="00D5106F"/>
    <w:rsid w:val="00D523E5"/>
    <w:rsid w:val="00D52E34"/>
    <w:rsid w:val="00D5374A"/>
    <w:rsid w:val="00D54BFC"/>
    <w:rsid w:val="00D57C93"/>
    <w:rsid w:val="00D57D47"/>
    <w:rsid w:val="00D60A22"/>
    <w:rsid w:val="00D61D35"/>
    <w:rsid w:val="00D61FA5"/>
    <w:rsid w:val="00D62843"/>
    <w:rsid w:val="00D628F8"/>
    <w:rsid w:val="00D641CF"/>
    <w:rsid w:val="00D64817"/>
    <w:rsid w:val="00D64CBD"/>
    <w:rsid w:val="00D6643C"/>
    <w:rsid w:val="00D66EE0"/>
    <w:rsid w:val="00D7278F"/>
    <w:rsid w:val="00D7299D"/>
    <w:rsid w:val="00D73F8D"/>
    <w:rsid w:val="00D7715D"/>
    <w:rsid w:val="00D815BC"/>
    <w:rsid w:val="00D82434"/>
    <w:rsid w:val="00D82D96"/>
    <w:rsid w:val="00D8576D"/>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C06C9"/>
    <w:rsid w:val="00DC32B4"/>
    <w:rsid w:val="00DC40AB"/>
    <w:rsid w:val="00DC4BD2"/>
    <w:rsid w:val="00DC4F98"/>
    <w:rsid w:val="00DC6533"/>
    <w:rsid w:val="00DC6F45"/>
    <w:rsid w:val="00DD3C1E"/>
    <w:rsid w:val="00DD5502"/>
    <w:rsid w:val="00DD7F0F"/>
    <w:rsid w:val="00DE1DF4"/>
    <w:rsid w:val="00DE2287"/>
    <w:rsid w:val="00DE28AA"/>
    <w:rsid w:val="00DE2E4F"/>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740"/>
    <w:rsid w:val="00E278DB"/>
    <w:rsid w:val="00E30B06"/>
    <w:rsid w:val="00E32ABB"/>
    <w:rsid w:val="00E33FF6"/>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159D"/>
    <w:rsid w:val="00E63410"/>
    <w:rsid w:val="00E636EE"/>
    <w:rsid w:val="00E64B4D"/>
    <w:rsid w:val="00E66198"/>
    <w:rsid w:val="00E7201C"/>
    <w:rsid w:val="00E72DD7"/>
    <w:rsid w:val="00E72EE5"/>
    <w:rsid w:val="00E738CF"/>
    <w:rsid w:val="00E739BE"/>
    <w:rsid w:val="00E74155"/>
    <w:rsid w:val="00E74419"/>
    <w:rsid w:val="00E745B6"/>
    <w:rsid w:val="00E76629"/>
    <w:rsid w:val="00E777B2"/>
    <w:rsid w:val="00E82D3D"/>
    <w:rsid w:val="00E85745"/>
    <w:rsid w:val="00E86180"/>
    <w:rsid w:val="00E86642"/>
    <w:rsid w:val="00E86DF3"/>
    <w:rsid w:val="00E90189"/>
    <w:rsid w:val="00E92089"/>
    <w:rsid w:val="00E92B8C"/>
    <w:rsid w:val="00E938E8"/>
    <w:rsid w:val="00E947AE"/>
    <w:rsid w:val="00E961A6"/>
    <w:rsid w:val="00EA0DD0"/>
    <w:rsid w:val="00EA2959"/>
    <w:rsid w:val="00EA2D71"/>
    <w:rsid w:val="00EA32ED"/>
    <w:rsid w:val="00EA344E"/>
    <w:rsid w:val="00EA426A"/>
    <w:rsid w:val="00EA61E7"/>
    <w:rsid w:val="00EA753B"/>
    <w:rsid w:val="00EB38E4"/>
    <w:rsid w:val="00EB3AC4"/>
    <w:rsid w:val="00EB3B4F"/>
    <w:rsid w:val="00EB4D56"/>
    <w:rsid w:val="00EB5293"/>
    <w:rsid w:val="00EB5335"/>
    <w:rsid w:val="00EB59FC"/>
    <w:rsid w:val="00EB65A4"/>
    <w:rsid w:val="00EB6CAA"/>
    <w:rsid w:val="00EB6FAE"/>
    <w:rsid w:val="00EB7427"/>
    <w:rsid w:val="00EC01A2"/>
    <w:rsid w:val="00EC0B46"/>
    <w:rsid w:val="00EC1432"/>
    <w:rsid w:val="00EC283F"/>
    <w:rsid w:val="00EC3328"/>
    <w:rsid w:val="00EC36A6"/>
    <w:rsid w:val="00EC3730"/>
    <w:rsid w:val="00EC4F5D"/>
    <w:rsid w:val="00EC68F0"/>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1368"/>
    <w:rsid w:val="00EF4239"/>
    <w:rsid w:val="00EF47A4"/>
    <w:rsid w:val="00EF491F"/>
    <w:rsid w:val="00EF591B"/>
    <w:rsid w:val="00EF69F6"/>
    <w:rsid w:val="00EF6A7C"/>
    <w:rsid w:val="00F01DE2"/>
    <w:rsid w:val="00F022B1"/>
    <w:rsid w:val="00F027EE"/>
    <w:rsid w:val="00F02AF0"/>
    <w:rsid w:val="00F05098"/>
    <w:rsid w:val="00F057B5"/>
    <w:rsid w:val="00F06FDE"/>
    <w:rsid w:val="00F073B3"/>
    <w:rsid w:val="00F11914"/>
    <w:rsid w:val="00F11AED"/>
    <w:rsid w:val="00F121B2"/>
    <w:rsid w:val="00F130E1"/>
    <w:rsid w:val="00F13172"/>
    <w:rsid w:val="00F138C7"/>
    <w:rsid w:val="00F1426A"/>
    <w:rsid w:val="00F14F70"/>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22F9"/>
    <w:rsid w:val="00F54E56"/>
    <w:rsid w:val="00F56B35"/>
    <w:rsid w:val="00F60946"/>
    <w:rsid w:val="00F617E4"/>
    <w:rsid w:val="00F633C2"/>
    <w:rsid w:val="00F633EC"/>
    <w:rsid w:val="00F64CC0"/>
    <w:rsid w:val="00F6504D"/>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0E38"/>
    <w:rsid w:val="00F837F8"/>
    <w:rsid w:val="00F84CB3"/>
    <w:rsid w:val="00F86F86"/>
    <w:rsid w:val="00F873EC"/>
    <w:rsid w:val="00F901E1"/>
    <w:rsid w:val="00F92343"/>
    <w:rsid w:val="00F92A78"/>
    <w:rsid w:val="00F930A4"/>
    <w:rsid w:val="00F93B1A"/>
    <w:rsid w:val="00F940F2"/>
    <w:rsid w:val="00F94130"/>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EE3"/>
    <w:rsid w:val="00FC3298"/>
    <w:rsid w:val="00FC34C2"/>
    <w:rsid w:val="00FC3F83"/>
    <w:rsid w:val="00FC401D"/>
    <w:rsid w:val="00FC6113"/>
    <w:rsid w:val="00FC795D"/>
    <w:rsid w:val="00FC7DE8"/>
    <w:rsid w:val="00FD0611"/>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C48"/>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26E8F9D"/>
  <w15:docId w15:val="{95BC7993-B502-40A5-8DAF-F6212B38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5D55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D55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table" w:styleId="Tablaconcuadrcula">
    <w:name w:val="Table Grid"/>
    <w:basedOn w:val="Tablanormal"/>
    <w:uiPriority w:val="59"/>
    <w:rsid w:val="005D5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D557C"/>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5D557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000692461">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6479132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417707344">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 w:id="19734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679D-066F-43B6-94F5-96B7440B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3933</Words>
  <Characters>21635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10</cp:revision>
  <cp:lastPrinted>2015-11-18T02:17:00Z</cp:lastPrinted>
  <dcterms:created xsi:type="dcterms:W3CDTF">2017-10-03T17:27:00Z</dcterms:created>
  <dcterms:modified xsi:type="dcterms:W3CDTF">2018-01-03T19:03:00Z</dcterms:modified>
</cp:coreProperties>
</file>