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15EFF" w14:textId="77777777" w:rsidR="001C4767" w:rsidRDefault="00B44991" w:rsidP="001C4767">
      <w:pPr>
        <w:pStyle w:val="Ttulo1"/>
        <w:keepNext w:val="0"/>
        <w:widowControl w:val="0"/>
        <w:spacing w:after="240" w:line="276" w:lineRule="auto"/>
        <w:jc w:val="both"/>
        <w:rPr>
          <w:rFonts w:ascii="ITC Avant Garde" w:hAnsi="ITC Avant Garde"/>
          <w:szCs w:val="22"/>
        </w:rPr>
      </w:pPr>
      <w:r w:rsidRPr="001C4767">
        <w:rPr>
          <w:rFonts w:ascii="ITC Avant Garde" w:hAnsi="ITC Avant Garde"/>
          <w:bCs/>
          <w:szCs w:val="22"/>
        </w:rPr>
        <w:t xml:space="preserve">RESOLUCIÓN MEDIANTE LA CUAL EL PLENO DEL INSTITUTO FEDERAL DE TELECOMUNICACIONES DETERMINA LAS CONDICIONES DE INTERCONEXIÓN NO CONVENIDAS </w:t>
      </w:r>
      <w:r w:rsidRPr="001C4767">
        <w:rPr>
          <w:rFonts w:ascii="ITC Avant Garde" w:hAnsi="ITC Avant Garde"/>
          <w:szCs w:val="22"/>
        </w:rPr>
        <w:t xml:space="preserve">ENTRE </w:t>
      </w:r>
      <w:r w:rsidR="00782B5C" w:rsidRPr="001C4767">
        <w:rPr>
          <w:rFonts w:ascii="ITC Avant Garde" w:hAnsi="ITC Avant Garde"/>
          <w:bCs/>
          <w:szCs w:val="22"/>
        </w:rPr>
        <w:t>LAS EMPRESAS AXTEL, S.A. B. DE C.V.</w:t>
      </w:r>
      <w:r w:rsidR="0048297F" w:rsidRPr="001C4767">
        <w:rPr>
          <w:rFonts w:ascii="ITC Avant Garde" w:hAnsi="ITC Avant Garde"/>
          <w:bCs/>
          <w:szCs w:val="22"/>
        </w:rPr>
        <w:t>,</w:t>
      </w:r>
      <w:r w:rsidR="00782B5C" w:rsidRPr="001C4767">
        <w:rPr>
          <w:rFonts w:ascii="ITC Avant Garde" w:hAnsi="ITC Avant Garde"/>
          <w:bCs/>
          <w:szCs w:val="22"/>
        </w:rPr>
        <w:t xml:space="preserve"> AVANTEL, S. DE R.L. DE C.V. </w:t>
      </w:r>
      <w:r w:rsidRPr="001C4767">
        <w:rPr>
          <w:rFonts w:ascii="ITC Avant Garde" w:hAnsi="ITC Avant Garde"/>
          <w:szCs w:val="22"/>
        </w:rPr>
        <w:t xml:space="preserve">Y </w:t>
      </w:r>
      <w:r w:rsidR="00782B5C" w:rsidRPr="001C4767">
        <w:rPr>
          <w:rFonts w:ascii="ITC Avant Garde" w:hAnsi="ITC Avant Garde"/>
          <w:szCs w:val="22"/>
        </w:rPr>
        <w:t xml:space="preserve">LA EMPRESA </w:t>
      </w:r>
      <w:r w:rsidR="00636E99" w:rsidRPr="001C4767">
        <w:rPr>
          <w:rFonts w:ascii="ITC Avant Garde" w:hAnsi="ITC Avant Garde"/>
          <w:bCs/>
          <w:szCs w:val="22"/>
        </w:rPr>
        <w:t>MEGACABLE COMUNICACIONES DE MÉXICO</w:t>
      </w:r>
      <w:r w:rsidRPr="001C4767">
        <w:rPr>
          <w:rFonts w:ascii="ITC Avant Garde" w:hAnsi="ITC Avant Garde"/>
          <w:bCs/>
          <w:szCs w:val="22"/>
        </w:rPr>
        <w:t xml:space="preserve">, </w:t>
      </w:r>
      <w:r w:rsidR="00636E99" w:rsidRPr="001C4767">
        <w:rPr>
          <w:rFonts w:ascii="ITC Avant Garde" w:hAnsi="ITC Avant Garde"/>
          <w:bCs/>
          <w:szCs w:val="22"/>
        </w:rPr>
        <w:t>S.A.</w:t>
      </w:r>
      <w:r w:rsidRPr="001C4767">
        <w:rPr>
          <w:rFonts w:ascii="ITC Avant Garde" w:hAnsi="ITC Avant Garde"/>
          <w:bCs/>
          <w:szCs w:val="22"/>
        </w:rPr>
        <w:t xml:space="preserve"> DE C.V.</w:t>
      </w:r>
      <w:r w:rsidRPr="001C4767">
        <w:rPr>
          <w:rFonts w:ascii="ITC Avant Garde" w:hAnsi="ITC Avant Garde"/>
          <w:szCs w:val="22"/>
        </w:rPr>
        <w:t xml:space="preserve">, </w:t>
      </w:r>
      <w:r w:rsidRPr="001C4767">
        <w:rPr>
          <w:rFonts w:ascii="ITC Avant Garde" w:hAnsi="ITC Avant Garde"/>
          <w:bCs/>
          <w:szCs w:val="22"/>
        </w:rPr>
        <w:t>APLICABLES DEL 1 DE ENERO AL 31 DE DICIEMBRE DE 2018.</w:t>
      </w:r>
    </w:p>
    <w:p w14:paraId="5FC628E0" w14:textId="77777777" w:rsidR="001C4767" w:rsidRDefault="00C25F00" w:rsidP="001C4767">
      <w:pPr>
        <w:pStyle w:val="Ttulo2"/>
        <w:spacing w:after="240"/>
        <w:jc w:val="center"/>
        <w:rPr>
          <w:rFonts w:ascii="ITC Avant Garde" w:hAnsi="ITC Avant Garde"/>
          <w:szCs w:val="22"/>
        </w:rPr>
      </w:pPr>
      <w:r w:rsidRPr="0003024E">
        <w:rPr>
          <w:rFonts w:ascii="ITC Avant Garde" w:hAnsi="ITC Avant Garde"/>
          <w:szCs w:val="22"/>
        </w:rPr>
        <w:t>ANTECEDENTES</w:t>
      </w:r>
    </w:p>
    <w:p w14:paraId="3A12FB8D" w14:textId="77777777" w:rsidR="001C4767" w:rsidRDefault="00125988" w:rsidP="001C4767">
      <w:pPr>
        <w:numPr>
          <w:ilvl w:val="0"/>
          <w:numId w:val="1"/>
        </w:numPr>
        <w:tabs>
          <w:tab w:val="clear" w:pos="8761"/>
          <w:tab w:val="left" w:pos="142"/>
        </w:tabs>
        <w:spacing w:after="240"/>
        <w:ind w:left="426" w:right="23" w:hanging="426"/>
        <w:jc w:val="both"/>
        <w:rPr>
          <w:rFonts w:ascii="ITC Avant Garde" w:hAnsi="ITC Avant Garde" w:cs="Arial"/>
          <w:b/>
          <w:bCs/>
        </w:rPr>
      </w:pPr>
      <w:r w:rsidRPr="0003024E">
        <w:rPr>
          <w:rFonts w:ascii="ITC Avant Garde" w:hAnsi="ITC Avant Garde" w:cs="Arial"/>
          <w:b/>
          <w:bCs/>
        </w:rPr>
        <w:t xml:space="preserve">Axtel, S.A. B. de C.V. (en lo sucesivo, “Axtel”) y Avantel, S. de R.L. de C.V. (en lo sucesivo, “Avantel”), </w:t>
      </w:r>
      <w:r w:rsidRPr="0003024E">
        <w:rPr>
          <w:rFonts w:ascii="ITC Avant Garde" w:hAnsi="ITC Avant Garde" w:cs="Arial"/>
          <w:bCs/>
        </w:rPr>
        <w:t xml:space="preserve">son </w:t>
      </w:r>
      <w:r w:rsidR="00B44991" w:rsidRPr="0003024E">
        <w:rPr>
          <w:rFonts w:ascii="ITC Avant Garde" w:hAnsi="ITC Avant Garde" w:cs="Arial"/>
          <w:bCs/>
        </w:rPr>
        <w:t>concesionario</w:t>
      </w:r>
      <w:r w:rsidRPr="0003024E">
        <w:rPr>
          <w:rFonts w:ascii="ITC Avant Garde" w:hAnsi="ITC Avant Garde" w:cs="Arial"/>
          <w:bCs/>
        </w:rPr>
        <w:t>s</w:t>
      </w:r>
      <w:r w:rsidR="00B44991" w:rsidRPr="0003024E">
        <w:rPr>
          <w:rFonts w:ascii="ITC Avant Garde" w:hAnsi="ITC Avant Garde" w:cs="Arial"/>
          <w:bCs/>
        </w:rPr>
        <w:t xml:space="preserve"> que cuenta</w:t>
      </w:r>
      <w:r w:rsidRPr="0003024E">
        <w:rPr>
          <w:rFonts w:ascii="ITC Avant Garde" w:hAnsi="ITC Avant Garde" w:cs="Arial"/>
          <w:bCs/>
        </w:rPr>
        <w:t>n</w:t>
      </w:r>
      <w:r w:rsidR="00B44991" w:rsidRPr="0003024E">
        <w:rPr>
          <w:rFonts w:ascii="ITC Avant Garde" w:hAnsi="ITC Avant Garde" w:cs="Arial"/>
          <w:bCs/>
        </w:rPr>
        <w:t xml:space="preserve">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2472056" w14:textId="77777777" w:rsidR="001C4767" w:rsidRDefault="00636E99" w:rsidP="001C4767">
      <w:pPr>
        <w:numPr>
          <w:ilvl w:val="0"/>
          <w:numId w:val="1"/>
        </w:numPr>
        <w:tabs>
          <w:tab w:val="clear" w:pos="8761"/>
          <w:tab w:val="left" w:pos="142"/>
        </w:tabs>
        <w:spacing w:after="240"/>
        <w:ind w:left="426" w:right="23" w:hanging="426"/>
        <w:jc w:val="both"/>
        <w:rPr>
          <w:rFonts w:ascii="ITC Avant Garde" w:hAnsi="ITC Avant Garde" w:cs="Arial"/>
          <w:b/>
          <w:bCs/>
        </w:rPr>
      </w:pPr>
      <w:proofErr w:type="spellStart"/>
      <w:r w:rsidRPr="0003024E">
        <w:rPr>
          <w:rFonts w:ascii="ITC Avant Garde" w:hAnsi="ITC Avant Garde" w:cs="Arial"/>
          <w:b/>
          <w:bCs/>
        </w:rPr>
        <w:t>Megacable</w:t>
      </w:r>
      <w:proofErr w:type="spellEnd"/>
      <w:r w:rsidRPr="0003024E">
        <w:rPr>
          <w:rFonts w:ascii="ITC Avant Garde" w:hAnsi="ITC Avant Garde" w:cs="Arial"/>
          <w:b/>
          <w:bCs/>
        </w:rPr>
        <w:t xml:space="preserve"> Comunicaciones de México</w:t>
      </w:r>
      <w:r w:rsidR="00B44991" w:rsidRPr="0003024E">
        <w:rPr>
          <w:rFonts w:ascii="ITC Avant Garde" w:hAnsi="ITC Avant Garde" w:cs="Arial"/>
          <w:b/>
          <w:bCs/>
        </w:rPr>
        <w:t>, S.A. de C.V. (en lo sucesivo, “</w:t>
      </w:r>
      <w:r w:rsidRPr="0003024E">
        <w:rPr>
          <w:rFonts w:ascii="ITC Avant Garde" w:hAnsi="ITC Avant Garde" w:cs="Arial"/>
          <w:b/>
          <w:bCs/>
        </w:rPr>
        <w:t>MCM</w:t>
      </w:r>
      <w:r w:rsidR="00B44991" w:rsidRPr="0003024E">
        <w:rPr>
          <w:rFonts w:ascii="ITC Avant Garde" w:hAnsi="ITC Avant Garde" w:cs="Arial"/>
          <w:b/>
          <w:bCs/>
        </w:rPr>
        <w:t xml:space="preserve">”), </w:t>
      </w:r>
      <w:r w:rsidR="00B44991" w:rsidRPr="0003024E">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55DAF32A" w14:textId="77777777" w:rsidR="001C4767" w:rsidRDefault="007A2313" w:rsidP="001C4767">
      <w:pPr>
        <w:numPr>
          <w:ilvl w:val="0"/>
          <w:numId w:val="1"/>
        </w:numPr>
        <w:tabs>
          <w:tab w:val="clear" w:pos="8761"/>
          <w:tab w:val="left" w:pos="142"/>
        </w:tabs>
        <w:spacing w:after="240"/>
        <w:ind w:left="426" w:right="23" w:hanging="426"/>
        <w:jc w:val="both"/>
        <w:rPr>
          <w:rFonts w:ascii="ITC Avant Garde" w:hAnsi="ITC Avant Garde" w:cs="Arial"/>
          <w:b/>
          <w:bCs/>
        </w:rPr>
      </w:pPr>
      <w:r w:rsidRPr="0003024E">
        <w:rPr>
          <w:rFonts w:ascii="ITC Avant Garde" w:hAnsi="ITC Avant Garde" w:cs="Arial"/>
          <w:b/>
          <w:bCs/>
        </w:rPr>
        <w:t xml:space="preserve">Metodología para el cálculo de costos de interconexión. </w:t>
      </w:r>
      <w:r w:rsidR="00F26872" w:rsidRPr="0003024E">
        <w:rPr>
          <w:rFonts w:ascii="ITC Avant Garde" w:hAnsi="ITC Avant Garde" w:cs="Arial"/>
          <w:bCs/>
        </w:rPr>
        <w:t>El 18 de diciembre de 2014, se</w:t>
      </w:r>
      <w:r w:rsidRPr="0003024E">
        <w:rPr>
          <w:rFonts w:ascii="ITC Avant Garde" w:hAnsi="ITC Avant Garde" w:cs="Arial"/>
          <w:bCs/>
        </w:rPr>
        <w:t xml:space="preserve"> publicó en el Diario Oficial de la Federación (en lo sucesivo, el “DOF”), el “</w:t>
      </w:r>
      <w:r w:rsidRPr="0003024E">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03024E">
        <w:rPr>
          <w:rFonts w:ascii="ITC Avant Garde" w:hAnsi="ITC Avant Garde" w:cs="Arial"/>
          <w:bCs/>
        </w:rPr>
        <w:t>aprobado mediante Acuerdo P/IFT/EXT/161214/277 (en lo</w:t>
      </w:r>
      <w:r w:rsidRPr="0003024E">
        <w:rPr>
          <w:rFonts w:ascii="ITC Avant Garde" w:hAnsi="ITC Avant Garde" w:cs="Arial"/>
          <w:bCs/>
          <w:i/>
        </w:rPr>
        <w:t xml:space="preserve"> </w:t>
      </w:r>
      <w:r w:rsidRPr="0003024E">
        <w:rPr>
          <w:rFonts w:ascii="ITC Avant Garde" w:hAnsi="ITC Avant Garde" w:cs="Arial"/>
          <w:bCs/>
        </w:rPr>
        <w:t>sucesivo la “Metodología de Costos”).</w:t>
      </w:r>
    </w:p>
    <w:p w14:paraId="26AFCBC7" w14:textId="77777777" w:rsidR="001C4767" w:rsidRDefault="007A2313" w:rsidP="001C4767">
      <w:pPr>
        <w:numPr>
          <w:ilvl w:val="0"/>
          <w:numId w:val="1"/>
        </w:numPr>
        <w:tabs>
          <w:tab w:val="clear" w:pos="8761"/>
          <w:tab w:val="left" w:pos="142"/>
        </w:tabs>
        <w:spacing w:after="240"/>
        <w:ind w:left="426" w:right="23" w:hanging="426"/>
        <w:jc w:val="both"/>
        <w:rPr>
          <w:rFonts w:ascii="ITC Avant Garde" w:hAnsi="ITC Avant Garde" w:cs="Arial"/>
          <w:b/>
          <w:bCs/>
        </w:rPr>
      </w:pPr>
      <w:r w:rsidRPr="0003024E">
        <w:rPr>
          <w:rFonts w:ascii="ITC Avant Garde" w:hAnsi="ITC Avant Garde" w:cs="Arial"/>
          <w:b/>
          <w:bCs/>
        </w:rPr>
        <w:t>Sistema</w:t>
      </w:r>
      <w:r w:rsidRPr="0003024E">
        <w:rPr>
          <w:rFonts w:ascii="ITC Avant Garde" w:hAnsi="ITC Avant Garde"/>
          <w:b/>
          <w:bCs/>
          <w:lang w:val="es-ES" w:eastAsia="es-ES"/>
        </w:rPr>
        <w:t xml:space="preserve"> Ele</w:t>
      </w:r>
      <w:r w:rsidR="00F878AE" w:rsidRPr="0003024E">
        <w:rPr>
          <w:rFonts w:ascii="ITC Avant Garde" w:hAnsi="ITC Avant Garde"/>
          <w:b/>
          <w:bCs/>
          <w:lang w:val="es-ES" w:eastAsia="es-ES"/>
        </w:rPr>
        <w:t>ctr</w:t>
      </w:r>
      <w:r w:rsidRPr="0003024E">
        <w:rPr>
          <w:rFonts w:ascii="ITC Avant Garde" w:hAnsi="ITC Avant Garde"/>
          <w:b/>
          <w:bCs/>
          <w:lang w:val="es-ES" w:eastAsia="es-ES"/>
        </w:rPr>
        <w:t>ónico de Solicitudes de Interconexión.</w:t>
      </w:r>
      <w:r w:rsidRPr="0003024E">
        <w:rPr>
          <w:rFonts w:ascii="ITC Avant Garde" w:hAnsi="ITC Avant Garde"/>
          <w:bCs/>
          <w:lang w:val="es-ES" w:eastAsia="es-ES"/>
        </w:rPr>
        <w:t xml:space="preserve"> El 29 de diciembre de 2014 se publicó en el DOF el </w:t>
      </w:r>
      <w:r w:rsidRPr="0003024E">
        <w:rPr>
          <w:rFonts w:ascii="ITC Avant Garde" w:hAnsi="ITC Avant Garde"/>
          <w:bCs/>
          <w:i/>
          <w:lang w:val="es-ES" w:eastAsia="es-ES"/>
        </w:rPr>
        <w:t>“ACUERDO mediante el cual el Pleno del Instituto Federal de Telecomunicaciones establece el Sistema Ele</w:t>
      </w:r>
      <w:r w:rsidR="00F878AE" w:rsidRPr="0003024E">
        <w:rPr>
          <w:rFonts w:ascii="ITC Avant Garde" w:hAnsi="ITC Avant Garde"/>
          <w:bCs/>
          <w:i/>
          <w:lang w:val="es-ES" w:eastAsia="es-ES"/>
        </w:rPr>
        <w:t>ctrónico</w:t>
      </w:r>
      <w:r w:rsidRPr="0003024E">
        <w:rPr>
          <w:rFonts w:ascii="ITC Avant Garde" w:hAnsi="ITC Avant Garde"/>
          <w:bCs/>
          <w:i/>
          <w:lang w:val="es-ES" w:eastAsia="es-ES"/>
        </w:rPr>
        <w:t xml:space="preserve"> de Solicitudes de Interconexión” </w:t>
      </w:r>
      <w:r w:rsidRPr="0003024E">
        <w:rPr>
          <w:rFonts w:ascii="ITC Avant Garde" w:hAnsi="ITC Avant Garde"/>
          <w:bCs/>
          <w:lang w:val="es-ES" w:eastAsia="es-ES"/>
        </w:rPr>
        <w:t>(en lo sucesivo, el “Acuerdo del Sistema”),</w:t>
      </w:r>
      <w:r w:rsidRPr="0003024E">
        <w:rPr>
          <w:rFonts w:ascii="ITC Avant Garde" w:hAnsi="ITC Avant Garde"/>
          <w:bCs/>
          <w:i/>
          <w:lang w:val="es-ES" w:eastAsia="es-ES"/>
        </w:rPr>
        <w:t xml:space="preserve"> </w:t>
      </w:r>
      <w:r w:rsidRPr="0003024E">
        <w:rPr>
          <w:rFonts w:ascii="ITC Avant Garde" w:hAnsi="ITC Avant Garde"/>
          <w:bCs/>
          <w:lang w:val="es-ES" w:eastAsia="es-ES"/>
        </w:rPr>
        <w:t>mediante el cual se estableció el Sistema Ele</w:t>
      </w:r>
      <w:r w:rsidR="00F878AE" w:rsidRPr="0003024E">
        <w:rPr>
          <w:rFonts w:ascii="ITC Avant Garde" w:hAnsi="ITC Avant Garde"/>
          <w:bCs/>
          <w:lang w:val="es-ES" w:eastAsia="es-ES"/>
        </w:rPr>
        <w:t>ctró</w:t>
      </w:r>
      <w:r w:rsidRPr="0003024E">
        <w:rPr>
          <w:rFonts w:ascii="ITC Avant Garde" w:hAnsi="ITC Avant Garde"/>
          <w:bCs/>
          <w:lang w:val="es-ES" w:eastAsia="es-ES"/>
        </w:rPr>
        <w:t xml:space="preserve">nico </w:t>
      </w:r>
      <w:r w:rsidR="00F26872" w:rsidRPr="0003024E">
        <w:rPr>
          <w:rFonts w:ascii="ITC Avant Garde" w:hAnsi="ITC Avant Garde"/>
          <w:bCs/>
          <w:lang w:val="es-ES" w:eastAsia="es-ES"/>
        </w:rPr>
        <w:t>de Solicitudes de Interconexión</w:t>
      </w:r>
      <w:r w:rsidRPr="0003024E">
        <w:rPr>
          <w:rFonts w:ascii="ITC Avant Garde" w:hAnsi="ITC Avant Garde"/>
          <w:bCs/>
          <w:lang w:val="es-ES" w:eastAsia="es-ES"/>
        </w:rPr>
        <w:t xml:space="preserve"> (en lo sucesivo, el “SESI”).</w:t>
      </w:r>
    </w:p>
    <w:p w14:paraId="6AACC3CB" w14:textId="77777777" w:rsidR="001C4767" w:rsidRDefault="007A2313" w:rsidP="001C4767">
      <w:pPr>
        <w:numPr>
          <w:ilvl w:val="0"/>
          <w:numId w:val="1"/>
        </w:numPr>
        <w:tabs>
          <w:tab w:val="clear" w:pos="8761"/>
          <w:tab w:val="left" w:pos="142"/>
        </w:tabs>
        <w:spacing w:after="240"/>
        <w:ind w:left="426" w:right="23" w:hanging="426"/>
        <w:jc w:val="both"/>
        <w:rPr>
          <w:rFonts w:ascii="ITC Avant Garde" w:hAnsi="ITC Avant Garde" w:cs="Arial"/>
          <w:b/>
          <w:bCs/>
        </w:rPr>
      </w:pPr>
      <w:r w:rsidRPr="0003024E">
        <w:rPr>
          <w:rFonts w:ascii="ITC Avant Garde" w:eastAsia="Times New Roman" w:hAnsi="ITC Avant Garde"/>
          <w:b/>
          <w:bCs/>
          <w:lang w:val="es-ES" w:eastAsia="es-ES"/>
        </w:rPr>
        <w:t>Procedimiento de resolución de condiciones de interconexión no convenidas.</w:t>
      </w:r>
      <w:r w:rsidRPr="0003024E">
        <w:rPr>
          <w:rFonts w:ascii="ITC Avant Garde" w:eastAsia="Times New Roman" w:hAnsi="ITC Avant Garde"/>
          <w:lang w:val="es-ES" w:eastAsia="es-ES"/>
        </w:rPr>
        <w:t xml:space="preserve"> </w:t>
      </w:r>
      <w:r w:rsidRPr="0003024E">
        <w:rPr>
          <w:rFonts w:ascii="ITC Avant Garde" w:eastAsia="Times New Roman" w:hAnsi="ITC Avant Garde"/>
          <w:bCs/>
          <w:lang w:val="es-ES" w:eastAsia="es-ES"/>
        </w:rPr>
        <w:t xml:space="preserve">El </w:t>
      </w:r>
      <w:r w:rsidR="00AE7A96" w:rsidRPr="0003024E">
        <w:rPr>
          <w:rFonts w:ascii="ITC Avant Garde" w:eastAsia="Times New Roman" w:hAnsi="ITC Avant Garde"/>
          <w:bCs/>
          <w:lang w:val="es-ES" w:eastAsia="es-ES"/>
        </w:rPr>
        <w:t>1</w:t>
      </w:r>
      <w:r w:rsidR="00972F20" w:rsidRPr="0003024E">
        <w:rPr>
          <w:rFonts w:ascii="ITC Avant Garde" w:eastAsia="Times New Roman" w:hAnsi="ITC Avant Garde"/>
          <w:bCs/>
          <w:lang w:val="es-ES" w:eastAsia="es-ES"/>
        </w:rPr>
        <w:t>4</w:t>
      </w:r>
      <w:r w:rsidR="005D3EC3" w:rsidRPr="0003024E">
        <w:rPr>
          <w:rFonts w:ascii="ITC Avant Garde" w:eastAsia="Times New Roman" w:hAnsi="ITC Avant Garde"/>
          <w:bCs/>
          <w:lang w:val="es-ES" w:eastAsia="es-ES"/>
        </w:rPr>
        <w:t xml:space="preserve"> de </w:t>
      </w:r>
      <w:r w:rsidR="00EF6C45" w:rsidRPr="0003024E">
        <w:rPr>
          <w:rFonts w:ascii="ITC Avant Garde" w:eastAsia="Times New Roman" w:hAnsi="ITC Avant Garde"/>
          <w:bCs/>
          <w:lang w:val="es-ES" w:eastAsia="es-ES"/>
        </w:rPr>
        <w:t>ju</w:t>
      </w:r>
      <w:r w:rsidR="00AE7A96" w:rsidRPr="0003024E">
        <w:rPr>
          <w:rFonts w:ascii="ITC Avant Garde" w:eastAsia="Times New Roman" w:hAnsi="ITC Avant Garde"/>
          <w:bCs/>
          <w:lang w:val="es-ES" w:eastAsia="es-ES"/>
        </w:rPr>
        <w:t>l</w:t>
      </w:r>
      <w:r w:rsidR="00EF6C45" w:rsidRPr="0003024E">
        <w:rPr>
          <w:rFonts w:ascii="ITC Avant Garde" w:eastAsia="Times New Roman" w:hAnsi="ITC Avant Garde"/>
          <w:bCs/>
          <w:lang w:val="es-ES" w:eastAsia="es-ES"/>
        </w:rPr>
        <w:t>io de 2017</w:t>
      </w:r>
      <w:r w:rsidR="00FC131C" w:rsidRPr="0003024E">
        <w:rPr>
          <w:rFonts w:ascii="ITC Avant Garde" w:eastAsia="Times New Roman" w:hAnsi="ITC Avant Garde"/>
          <w:bCs/>
          <w:lang w:val="es-ES" w:eastAsia="es-ES"/>
        </w:rPr>
        <w:t xml:space="preserve">, el </w:t>
      </w:r>
      <w:r w:rsidR="00AA0B0E" w:rsidRPr="0003024E">
        <w:rPr>
          <w:rFonts w:ascii="ITC Avant Garde" w:eastAsia="Times New Roman" w:hAnsi="ITC Avant Garde"/>
          <w:bCs/>
          <w:lang w:val="es-ES" w:eastAsia="es-ES"/>
        </w:rPr>
        <w:t>representante</w:t>
      </w:r>
      <w:r w:rsidR="003A491F" w:rsidRPr="0003024E">
        <w:rPr>
          <w:rFonts w:ascii="ITC Avant Garde" w:eastAsia="Times New Roman" w:hAnsi="ITC Avant Garde"/>
          <w:bCs/>
          <w:lang w:val="es-ES" w:eastAsia="es-ES"/>
        </w:rPr>
        <w:t xml:space="preserve"> </w:t>
      </w:r>
      <w:r w:rsidRPr="0003024E">
        <w:rPr>
          <w:rFonts w:ascii="ITC Avant Garde" w:eastAsia="Times New Roman" w:hAnsi="ITC Avant Garde"/>
          <w:bCs/>
          <w:lang w:val="es-ES" w:eastAsia="es-ES"/>
        </w:rPr>
        <w:t xml:space="preserve">legal de </w:t>
      </w:r>
      <w:r w:rsidR="00972F20" w:rsidRPr="0003024E">
        <w:rPr>
          <w:rFonts w:ascii="ITC Avant Garde" w:eastAsia="Times New Roman" w:hAnsi="ITC Avant Garde"/>
          <w:bCs/>
          <w:lang w:val="es-ES" w:eastAsia="es-ES"/>
        </w:rPr>
        <w:t>Axtel y Avantel</w:t>
      </w:r>
      <w:r w:rsidRPr="0003024E">
        <w:rPr>
          <w:rFonts w:ascii="ITC Avant Garde" w:eastAsia="Times New Roman" w:hAnsi="ITC Avant Garde"/>
          <w:bCs/>
          <w:lang w:val="es-ES" w:eastAsia="es-ES"/>
        </w:rPr>
        <w:t xml:space="preserve"> presentó </w:t>
      </w:r>
      <w:r w:rsidR="00215926" w:rsidRPr="0003024E">
        <w:rPr>
          <w:rFonts w:ascii="ITC Avant Garde" w:eastAsia="Times New Roman" w:hAnsi="ITC Avant Garde"/>
          <w:lang w:val="es-ES" w:eastAsia="es-ES"/>
        </w:rPr>
        <w:t xml:space="preserve">ante el Instituto </w:t>
      </w:r>
      <w:r w:rsidRPr="0003024E">
        <w:rPr>
          <w:rFonts w:ascii="ITC Avant Garde" w:eastAsia="Times New Roman" w:hAnsi="ITC Avant Garde"/>
          <w:lang w:val="es-ES" w:eastAsia="es-ES"/>
        </w:rPr>
        <w:t xml:space="preserve">escrito mediante </w:t>
      </w:r>
      <w:r w:rsidR="00FC131C" w:rsidRPr="0003024E">
        <w:rPr>
          <w:rFonts w:ascii="ITC Avant Garde" w:eastAsia="Times New Roman" w:hAnsi="ITC Avant Garde"/>
          <w:lang w:val="es-ES" w:eastAsia="es-ES"/>
        </w:rPr>
        <w:t>el cual</w:t>
      </w:r>
      <w:r w:rsidRPr="0003024E">
        <w:rPr>
          <w:rFonts w:ascii="ITC Avant Garde" w:eastAsia="Times New Roman" w:hAnsi="ITC Avant Garde"/>
          <w:lang w:val="es-ES" w:eastAsia="es-ES"/>
        </w:rPr>
        <w:t xml:space="preserve"> solicitó su intervención para resolver los términos, tarifas y condiciones que no pudo convenir con</w:t>
      </w:r>
      <w:r w:rsidR="0081246E" w:rsidRPr="0003024E">
        <w:rPr>
          <w:rFonts w:ascii="ITC Avant Garde" w:eastAsia="Times New Roman" w:hAnsi="ITC Avant Garde"/>
          <w:lang w:val="es-ES" w:eastAsia="es-ES"/>
        </w:rPr>
        <w:t xml:space="preserve"> </w:t>
      </w:r>
      <w:r w:rsidR="00046581" w:rsidRPr="0003024E">
        <w:rPr>
          <w:rFonts w:ascii="ITC Avant Garde" w:eastAsia="Times New Roman" w:hAnsi="ITC Avant Garde"/>
          <w:lang w:val="es-ES" w:eastAsia="es-ES"/>
        </w:rPr>
        <w:t>MCM</w:t>
      </w:r>
      <w:r w:rsidR="00475878" w:rsidRPr="0003024E">
        <w:rPr>
          <w:rFonts w:ascii="ITC Avant Garde" w:eastAsia="Times New Roman" w:hAnsi="ITC Avant Garde"/>
          <w:lang w:val="es-ES" w:eastAsia="es-ES"/>
        </w:rPr>
        <w:t xml:space="preserve"> </w:t>
      </w:r>
      <w:r w:rsidRPr="0003024E">
        <w:rPr>
          <w:rFonts w:ascii="ITC Avant Garde" w:eastAsia="Times New Roman" w:hAnsi="ITC Avant Garde"/>
          <w:lang w:val="es-ES" w:eastAsia="es-ES"/>
        </w:rPr>
        <w:t>para la interconexión de sus respectivas redes públicas de telecomunicaci</w:t>
      </w:r>
      <w:r w:rsidR="00FC131C" w:rsidRPr="0003024E">
        <w:rPr>
          <w:rFonts w:ascii="ITC Avant Garde" w:eastAsia="Times New Roman" w:hAnsi="ITC Avant Garde"/>
          <w:lang w:val="es-ES" w:eastAsia="es-ES"/>
        </w:rPr>
        <w:t xml:space="preserve">ones, aplicables </w:t>
      </w:r>
      <w:r w:rsidR="004C6755" w:rsidRPr="0003024E">
        <w:rPr>
          <w:rFonts w:ascii="ITC Avant Garde" w:eastAsia="Times New Roman" w:hAnsi="ITC Avant Garde"/>
          <w:lang w:val="es-ES" w:eastAsia="es-ES"/>
        </w:rPr>
        <w:t>de</w:t>
      </w:r>
      <w:r w:rsidR="000A2E38" w:rsidRPr="0003024E">
        <w:rPr>
          <w:rFonts w:ascii="ITC Avant Garde" w:eastAsia="Times New Roman" w:hAnsi="ITC Avant Garde"/>
          <w:lang w:val="es-ES" w:eastAsia="es-ES"/>
        </w:rPr>
        <w:t>l 1 de enero al 31 de diciembre de 201</w:t>
      </w:r>
      <w:r w:rsidR="00AE7A96" w:rsidRPr="0003024E">
        <w:rPr>
          <w:rFonts w:ascii="ITC Avant Garde" w:eastAsia="Times New Roman" w:hAnsi="ITC Avant Garde"/>
          <w:lang w:val="es-ES" w:eastAsia="es-ES"/>
        </w:rPr>
        <w:t>8</w:t>
      </w:r>
      <w:r w:rsidRPr="0003024E">
        <w:rPr>
          <w:rFonts w:ascii="ITC Avant Garde" w:eastAsia="Times New Roman" w:hAnsi="ITC Avant Garde"/>
          <w:lang w:val="es-ES" w:eastAsia="es-ES"/>
        </w:rPr>
        <w:t xml:space="preserve"> (en lo sucesivo, la “Solicitud de Resolución”).</w:t>
      </w:r>
    </w:p>
    <w:p w14:paraId="3200094B" w14:textId="77777777" w:rsidR="001C4767" w:rsidRDefault="00FC131C" w:rsidP="001C4767">
      <w:pPr>
        <w:tabs>
          <w:tab w:val="left" w:pos="142"/>
        </w:tabs>
        <w:spacing w:after="240"/>
        <w:ind w:left="426" w:right="23"/>
        <w:jc w:val="both"/>
        <w:rPr>
          <w:rFonts w:ascii="ITC Avant Garde" w:eastAsia="Times New Roman" w:hAnsi="ITC Avant Garde"/>
          <w:lang w:val="es-ES" w:eastAsia="es-ES"/>
        </w:rPr>
      </w:pPr>
      <w:r w:rsidRPr="0003024E">
        <w:rPr>
          <w:rFonts w:ascii="ITC Avant Garde" w:eastAsia="Times New Roman" w:hAnsi="ITC Avant Garde"/>
          <w:bCs/>
          <w:lang w:val="es-ES" w:eastAsia="es-ES"/>
        </w:rPr>
        <w:lastRenderedPageBreak/>
        <w:t>La Solicitud de Resolución se admitió</w:t>
      </w:r>
      <w:r w:rsidR="00D56B62" w:rsidRPr="0003024E">
        <w:rPr>
          <w:rFonts w:ascii="ITC Avant Garde" w:eastAsia="Times New Roman" w:hAnsi="ITC Avant Garde"/>
          <w:bCs/>
          <w:lang w:val="es-ES" w:eastAsia="es-ES"/>
        </w:rPr>
        <w:t xml:space="preserve"> a trámite </w:t>
      </w:r>
      <w:r w:rsidR="00D56B62" w:rsidRPr="0003024E">
        <w:rPr>
          <w:rFonts w:ascii="ITC Avant Garde" w:eastAsia="Times New Roman" w:hAnsi="ITC Avant Garde"/>
          <w:lang w:val="es-ES" w:eastAsia="es-ES"/>
        </w:rPr>
        <w:t xml:space="preserve">asignándole el número de expediente </w:t>
      </w:r>
      <w:r w:rsidR="000A2E38" w:rsidRPr="0003024E">
        <w:rPr>
          <w:rFonts w:ascii="ITC Avant Garde" w:eastAsia="Times New Roman" w:hAnsi="ITC Avant Garde"/>
          <w:b/>
          <w:lang w:val="es-ES" w:eastAsia="es-ES"/>
        </w:rPr>
        <w:t>IFT/221/UPR/DG-RIRST/</w:t>
      </w:r>
      <w:r w:rsidR="00972F20" w:rsidRPr="0003024E">
        <w:rPr>
          <w:rFonts w:ascii="ITC Avant Garde" w:eastAsia="Times New Roman" w:hAnsi="ITC Avant Garde"/>
          <w:b/>
          <w:lang w:val="es-ES" w:eastAsia="es-ES"/>
        </w:rPr>
        <w:t>168</w:t>
      </w:r>
      <w:r w:rsidR="00D56B62" w:rsidRPr="0003024E">
        <w:rPr>
          <w:rFonts w:ascii="ITC Avant Garde" w:eastAsia="Times New Roman" w:hAnsi="ITC Avant Garde"/>
          <w:b/>
          <w:lang w:val="es-ES" w:eastAsia="es-ES"/>
        </w:rPr>
        <w:t>.</w:t>
      </w:r>
      <w:r w:rsidR="00AE7A96" w:rsidRPr="0003024E">
        <w:rPr>
          <w:rFonts w:ascii="ITC Avant Garde" w:eastAsia="Times New Roman" w:hAnsi="ITC Avant Garde"/>
          <w:b/>
          <w:lang w:val="es-ES" w:eastAsia="es-ES"/>
        </w:rPr>
        <w:t>1</w:t>
      </w:r>
      <w:r w:rsidR="00972F20" w:rsidRPr="0003024E">
        <w:rPr>
          <w:rFonts w:ascii="ITC Avant Garde" w:eastAsia="Times New Roman" w:hAnsi="ITC Avant Garde"/>
          <w:b/>
          <w:lang w:val="es-ES" w:eastAsia="es-ES"/>
        </w:rPr>
        <w:t>4</w:t>
      </w:r>
      <w:r w:rsidR="00AE7A96" w:rsidRPr="0003024E">
        <w:rPr>
          <w:rFonts w:ascii="ITC Avant Garde" w:eastAsia="Times New Roman" w:hAnsi="ITC Avant Garde"/>
          <w:b/>
          <w:lang w:val="es-ES" w:eastAsia="es-ES"/>
        </w:rPr>
        <w:t>07</w:t>
      </w:r>
      <w:r w:rsidR="000A2E38" w:rsidRPr="0003024E">
        <w:rPr>
          <w:rFonts w:ascii="ITC Avant Garde" w:eastAsia="Times New Roman" w:hAnsi="ITC Avant Garde"/>
          <w:b/>
          <w:lang w:val="es-ES" w:eastAsia="es-ES"/>
        </w:rPr>
        <w:t>17</w:t>
      </w:r>
      <w:r w:rsidR="00D56B62" w:rsidRPr="0003024E">
        <w:rPr>
          <w:rFonts w:ascii="ITC Avant Garde" w:eastAsia="Times New Roman" w:hAnsi="ITC Avant Garde"/>
          <w:b/>
          <w:lang w:val="es-ES" w:eastAsia="es-ES"/>
        </w:rPr>
        <w:t>/ITX</w:t>
      </w:r>
      <w:r w:rsidR="00D56B62" w:rsidRPr="0003024E">
        <w:rPr>
          <w:rFonts w:ascii="ITC Avant Garde" w:eastAsia="Times New Roman" w:hAnsi="ITC Avant Garde"/>
          <w:lang w:val="es-ES" w:eastAsia="es-ES"/>
        </w:rPr>
        <w:t>.</w:t>
      </w:r>
      <w:r w:rsidR="00D56B62" w:rsidRPr="0003024E">
        <w:rPr>
          <w:rFonts w:ascii="ITC Avant Garde" w:eastAsia="Times New Roman" w:hAnsi="ITC Avant Garde"/>
          <w:bCs/>
          <w:lang w:val="es-ES" w:eastAsia="es-ES"/>
        </w:rPr>
        <w:t xml:space="preserve"> </w:t>
      </w:r>
      <w:r w:rsidR="00D56B62" w:rsidRPr="0003024E">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03CD0D5A" w14:textId="77777777" w:rsidR="001C4767" w:rsidRDefault="007A2313" w:rsidP="001C4767">
      <w:pPr>
        <w:spacing w:after="240"/>
        <w:ind w:left="426"/>
        <w:jc w:val="both"/>
        <w:rPr>
          <w:rFonts w:ascii="ITC Avant Garde" w:eastAsia="Times New Roman" w:hAnsi="ITC Avant Garde"/>
          <w:lang w:val="es-ES" w:eastAsia="es-ES"/>
        </w:rPr>
      </w:pPr>
      <w:r w:rsidRPr="0003024E">
        <w:rPr>
          <w:rFonts w:ascii="ITC Avant Garde" w:eastAsia="Times New Roman" w:hAnsi="ITC Avant Garde"/>
          <w:bCs/>
          <w:lang w:val="es-ES" w:eastAsia="es-ES"/>
        </w:rPr>
        <w:t>Es así que con fecha</w:t>
      </w:r>
      <w:r w:rsidR="00D56B62" w:rsidRPr="0003024E">
        <w:rPr>
          <w:rFonts w:ascii="ITC Avant Garde" w:eastAsia="Times New Roman" w:hAnsi="ITC Avant Garde"/>
          <w:bCs/>
          <w:lang w:val="es-ES" w:eastAsia="es-ES"/>
        </w:rPr>
        <w:t xml:space="preserve"> </w:t>
      </w:r>
      <w:r w:rsidR="00D6084B" w:rsidRPr="0003024E">
        <w:rPr>
          <w:rFonts w:ascii="ITC Avant Garde" w:eastAsia="Times New Roman" w:hAnsi="ITC Avant Garde"/>
          <w:bCs/>
          <w:lang w:val="es-ES" w:eastAsia="es-ES"/>
        </w:rPr>
        <w:t xml:space="preserve">24 y </w:t>
      </w:r>
      <w:r w:rsidR="00046581" w:rsidRPr="0003024E">
        <w:rPr>
          <w:rFonts w:ascii="ITC Avant Garde" w:eastAsia="Times New Roman" w:hAnsi="ITC Avant Garde"/>
          <w:bCs/>
          <w:lang w:val="es-ES" w:eastAsia="es-ES"/>
        </w:rPr>
        <w:t>25 de octubre</w:t>
      </w:r>
      <w:r w:rsidR="00AE7A96" w:rsidRPr="0003024E">
        <w:rPr>
          <w:rFonts w:ascii="ITC Avant Garde" w:eastAsia="Times New Roman" w:hAnsi="ITC Avant Garde"/>
          <w:bCs/>
          <w:lang w:val="es-ES" w:eastAsia="es-ES"/>
        </w:rPr>
        <w:t xml:space="preserve"> </w:t>
      </w:r>
      <w:r w:rsidR="008E719C" w:rsidRPr="0003024E">
        <w:rPr>
          <w:rFonts w:ascii="ITC Avant Garde" w:eastAsia="Times New Roman" w:hAnsi="ITC Avant Garde"/>
          <w:bCs/>
          <w:lang w:val="es-ES" w:eastAsia="es-ES"/>
        </w:rPr>
        <w:t>de 2017</w:t>
      </w:r>
      <w:r w:rsidR="00952C3A" w:rsidRPr="0003024E">
        <w:rPr>
          <w:rFonts w:ascii="ITC Avant Garde" w:eastAsia="Times New Roman" w:hAnsi="ITC Avant Garde"/>
          <w:bCs/>
          <w:lang w:val="es-ES" w:eastAsia="es-ES"/>
        </w:rPr>
        <w:t>,</w:t>
      </w:r>
      <w:r w:rsidRPr="0003024E">
        <w:rPr>
          <w:rFonts w:ascii="ITC Avant Garde" w:eastAsia="Times New Roman" w:hAnsi="ITC Avant Garde"/>
          <w:bCs/>
          <w:lang w:val="es-ES" w:eastAsia="es-ES"/>
        </w:rPr>
        <w:t xml:space="preserve"> </w:t>
      </w:r>
      <w:r w:rsidRPr="0003024E">
        <w:rPr>
          <w:rFonts w:ascii="ITC Avant Garde" w:eastAsia="Times New Roman" w:hAnsi="ITC Avant Garde"/>
          <w:lang w:val="es-ES" w:eastAsia="es-ES"/>
        </w:rPr>
        <w:t xml:space="preserve">el Instituto notificó a </w:t>
      </w:r>
      <w:r w:rsidR="004C3956" w:rsidRPr="0003024E">
        <w:rPr>
          <w:rFonts w:ascii="ITC Avant Garde" w:eastAsia="Times New Roman" w:hAnsi="ITC Avant Garde"/>
          <w:lang w:val="es-ES" w:eastAsia="es-ES"/>
        </w:rPr>
        <w:t>las partes</w:t>
      </w:r>
      <w:r w:rsidR="00113106" w:rsidRPr="0003024E">
        <w:rPr>
          <w:rFonts w:ascii="ITC Avant Garde" w:eastAsia="Times New Roman" w:hAnsi="ITC Avant Garde"/>
          <w:lang w:val="es-ES" w:eastAsia="es-ES"/>
        </w:rPr>
        <w:t xml:space="preserve"> </w:t>
      </w:r>
      <w:r w:rsidRPr="0003024E">
        <w:rPr>
          <w:rFonts w:ascii="ITC Avant Garde" w:eastAsia="Times New Roman" w:hAnsi="ITC Avant Garde"/>
          <w:lang w:val="es-ES" w:eastAsia="es-ES"/>
        </w:rPr>
        <w:t>que el procedimiento guardaba estado para que el Pleno del Instituto dictas</w:t>
      </w:r>
      <w:r w:rsidR="00952C3A" w:rsidRPr="0003024E">
        <w:rPr>
          <w:rFonts w:ascii="ITC Avant Garde" w:eastAsia="Times New Roman" w:hAnsi="ITC Avant Garde"/>
          <w:lang w:val="es-ES" w:eastAsia="es-ES"/>
        </w:rPr>
        <w:t>e la resolución correspondiente.</w:t>
      </w:r>
    </w:p>
    <w:p w14:paraId="6AF29043" w14:textId="77777777" w:rsidR="001C4767" w:rsidRDefault="006A3085" w:rsidP="001C4767">
      <w:pPr>
        <w:numPr>
          <w:ilvl w:val="0"/>
          <w:numId w:val="1"/>
        </w:numPr>
        <w:tabs>
          <w:tab w:val="clear" w:pos="8761"/>
          <w:tab w:val="left" w:pos="142"/>
        </w:tabs>
        <w:spacing w:after="240"/>
        <w:ind w:left="426" w:right="23" w:hanging="426"/>
        <w:jc w:val="both"/>
        <w:rPr>
          <w:rFonts w:ascii="ITC Avant Garde" w:hAnsi="ITC Avant Garde"/>
          <w:bCs/>
          <w:lang w:val="es-ES" w:eastAsia="es-ES"/>
        </w:rPr>
      </w:pPr>
      <w:r w:rsidRPr="0003024E">
        <w:rPr>
          <w:rFonts w:ascii="ITC Avant Garde" w:hAnsi="ITC Avant Garde"/>
          <w:b/>
          <w:bCs/>
          <w:lang w:val="es-ES" w:eastAsia="es-ES"/>
        </w:rPr>
        <w:t>Publicación de las Condiciones Técnicas Mínimas y las Tarifas de Interconexión para el año 2018</w:t>
      </w:r>
      <w:r w:rsidRPr="0003024E">
        <w:rPr>
          <w:rFonts w:ascii="ITC Avant Garde" w:hAnsi="ITC Avant Garde"/>
          <w:bCs/>
          <w:lang w:val="es-ES" w:eastAsia="es-ES"/>
        </w:rPr>
        <w:t xml:space="preserve">. El 9 de noviembre de 2017 se publicó en el DOF el </w:t>
      </w:r>
      <w:r w:rsidRPr="0003024E">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03024E">
        <w:rPr>
          <w:rFonts w:ascii="ITC Avant Garde" w:hAnsi="ITC Avant Garde"/>
          <w:bCs/>
          <w:lang w:val="es-ES" w:eastAsia="es-ES"/>
        </w:rPr>
        <w:t>, aprobado mediante Acuerdo P/IFT/021117/657 (en lo sucesivo, el “Acuerdo de CTM y Tarifas 2018”).</w:t>
      </w:r>
    </w:p>
    <w:p w14:paraId="5949A90E" w14:textId="77777777" w:rsidR="001C4767" w:rsidRDefault="007A2313" w:rsidP="001C4767">
      <w:pPr>
        <w:widowControl w:val="0"/>
        <w:spacing w:after="240"/>
        <w:jc w:val="both"/>
        <w:rPr>
          <w:rFonts w:ascii="ITC Avant Garde" w:eastAsia="Times New Roman" w:hAnsi="ITC Avant Garde"/>
          <w:lang w:eastAsia="es-ES"/>
        </w:rPr>
      </w:pPr>
      <w:r w:rsidRPr="0003024E">
        <w:rPr>
          <w:rFonts w:ascii="ITC Avant Garde" w:eastAsia="Times New Roman" w:hAnsi="ITC Avant Garde"/>
          <w:lang w:eastAsia="es-ES"/>
        </w:rPr>
        <w:t>En virtud de los referidos Antecedentes, y</w:t>
      </w:r>
    </w:p>
    <w:p w14:paraId="3BEE27B8" w14:textId="77777777" w:rsidR="001C4767" w:rsidRDefault="00F11878" w:rsidP="001C4767">
      <w:pPr>
        <w:pStyle w:val="Ttulo2"/>
        <w:spacing w:after="240"/>
        <w:jc w:val="center"/>
        <w:rPr>
          <w:rFonts w:ascii="ITC Avant Garde" w:hAnsi="ITC Avant Garde"/>
          <w:szCs w:val="22"/>
        </w:rPr>
      </w:pPr>
      <w:bookmarkStart w:id="0" w:name="HipótesisNormativa"/>
      <w:r w:rsidRPr="001C4767">
        <w:rPr>
          <w:rFonts w:ascii="ITC Avant Garde" w:hAnsi="ITC Avant Garde"/>
          <w:szCs w:val="22"/>
        </w:rPr>
        <w:t>CONSIDERANDO</w:t>
      </w:r>
    </w:p>
    <w:p w14:paraId="6F98096C" w14:textId="77777777" w:rsidR="001C4767" w:rsidRDefault="009375B7" w:rsidP="001C4767">
      <w:pPr>
        <w:pStyle w:val="Textoindependiente"/>
        <w:spacing w:after="240" w:line="276" w:lineRule="auto"/>
        <w:rPr>
          <w:rFonts w:ascii="ITC Avant Garde" w:hAnsi="ITC Avant Garde" w:cs="Arial"/>
          <w:bCs/>
          <w:szCs w:val="22"/>
        </w:rPr>
      </w:pPr>
      <w:bookmarkStart w:id="1" w:name="primero"/>
      <w:bookmarkStart w:id="2" w:name="quinto"/>
      <w:r w:rsidRPr="0003024E">
        <w:rPr>
          <w:rFonts w:ascii="ITC Avant Garde" w:hAnsi="ITC Avant Garde" w:cs="Arial"/>
          <w:b/>
          <w:bCs/>
          <w:lang w:val="es-ES"/>
        </w:rPr>
        <w:t>PRIMERO.- Competencia del Instituto</w:t>
      </w:r>
      <w:r w:rsidRPr="0003024E">
        <w:rPr>
          <w:rFonts w:ascii="ITC Avant Garde" w:hAnsi="ITC Avant Garde" w:cs="Arial"/>
          <w:bCs/>
          <w:lang w:val="es-ES"/>
        </w:rPr>
        <w:t xml:space="preserve">. </w:t>
      </w:r>
      <w:r w:rsidRPr="0003024E">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03024E">
        <w:rPr>
          <w:rFonts w:ascii="ITC Avant Garde" w:hAnsi="ITC Avant Garde" w:cs="Arial"/>
          <w:bCs/>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5926B2F0" w14:textId="77777777" w:rsidR="001C4767" w:rsidRDefault="009375B7" w:rsidP="001C4767">
      <w:pPr>
        <w:pStyle w:val="Textoindependiente"/>
        <w:spacing w:after="240" w:line="276" w:lineRule="auto"/>
        <w:rPr>
          <w:rFonts w:ascii="ITC Avant Garde" w:hAnsi="ITC Avant Garde" w:cs="Arial"/>
          <w:bCs/>
          <w:szCs w:val="22"/>
        </w:rPr>
      </w:pPr>
      <w:r w:rsidRPr="0003024E">
        <w:rPr>
          <w:rFonts w:ascii="ITC Avant Garde" w:hAnsi="ITC Avant Garde" w:cs="Arial"/>
          <w:bCs/>
          <w:szCs w:val="22"/>
          <w:lang w:val="es-ES"/>
        </w:rPr>
        <w:t xml:space="preserve">Con fundamento </w:t>
      </w:r>
      <w:r w:rsidRPr="0003024E">
        <w:rPr>
          <w:rFonts w:ascii="ITC Avant Garde" w:hAnsi="ITC Avant Garde" w:cs="Arial"/>
          <w:bCs/>
          <w:szCs w:val="22"/>
        </w:rPr>
        <w:t>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1E1C395C" w14:textId="77777777" w:rsidR="001C4767" w:rsidRDefault="009375B7" w:rsidP="001C4767">
      <w:pPr>
        <w:pStyle w:val="Textoindependiente"/>
        <w:spacing w:after="240" w:line="276" w:lineRule="auto"/>
        <w:rPr>
          <w:rFonts w:ascii="ITC Avant Garde" w:hAnsi="ITC Avant Garde"/>
          <w:szCs w:val="22"/>
        </w:rPr>
      </w:pPr>
      <w:r w:rsidRPr="0003024E">
        <w:rPr>
          <w:rFonts w:ascii="ITC Avant Garde" w:hAnsi="ITC Avant Garde"/>
          <w:szCs w:val="22"/>
        </w:rPr>
        <w:lastRenderedPageBreak/>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BF3228" w:rsidRPr="0003024E">
        <w:rPr>
          <w:rFonts w:ascii="ITC Avant Garde" w:hAnsi="ITC Avant Garde"/>
          <w:szCs w:val="22"/>
        </w:rPr>
        <w:t>de</w:t>
      </w:r>
      <w:r w:rsidR="00256F29" w:rsidRPr="0003024E">
        <w:rPr>
          <w:rFonts w:ascii="ITC Avant Garde" w:hAnsi="ITC Avant Garde"/>
          <w:szCs w:val="22"/>
        </w:rPr>
        <w:t xml:space="preserve"> </w:t>
      </w:r>
      <w:r w:rsidRPr="0003024E">
        <w:rPr>
          <w:rFonts w:ascii="ITC Avant Garde" w:hAnsi="ITC Avant Garde"/>
          <w:szCs w:val="22"/>
        </w:rPr>
        <w:t>redes públicas de telecomunicaciones, que forman parte en el presente procedimiento.</w:t>
      </w:r>
      <w:bookmarkEnd w:id="1"/>
    </w:p>
    <w:p w14:paraId="62F2BC0B" w14:textId="77777777" w:rsidR="001C4767" w:rsidRDefault="009375B7" w:rsidP="001C4767">
      <w:pPr>
        <w:autoSpaceDE w:val="0"/>
        <w:autoSpaceDN w:val="0"/>
        <w:spacing w:after="240"/>
        <w:jc w:val="both"/>
        <w:rPr>
          <w:rFonts w:ascii="ITC Avant Garde" w:hAnsi="ITC Avant Garde"/>
          <w:lang w:eastAsia="es-ES"/>
        </w:rPr>
      </w:pPr>
      <w:bookmarkStart w:id="3" w:name="segundo"/>
      <w:r w:rsidRPr="0003024E">
        <w:rPr>
          <w:rFonts w:ascii="ITC Avant Garde" w:eastAsia="Times New Roman" w:hAnsi="ITC Avant Garde" w:cs="Arial"/>
          <w:b/>
          <w:szCs w:val="20"/>
        </w:rPr>
        <w:t>SEGUNDO.- Importancia y obligatoriedad de la interconexión e Interés Público.-</w:t>
      </w:r>
      <w:r w:rsidRPr="0003024E">
        <w:rPr>
          <w:rFonts w:ascii="ITC Avant Garde" w:eastAsia="Times New Roman" w:hAnsi="ITC Avant Garde" w:cs="Arial"/>
          <w:szCs w:val="20"/>
        </w:rPr>
        <w:t xml:space="preserve"> </w:t>
      </w:r>
      <w:r w:rsidRPr="0003024E">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466CBF8" w14:textId="77777777" w:rsidR="001C4767" w:rsidRDefault="009375B7" w:rsidP="001C4767">
      <w:pPr>
        <w:spacing w:after="240"/>
        <w:jc w:val="both"/>
        <w:rPr>
          <w:rFonts w:ascii="ITC Avant Garde" w:hAnsi="ITC Avant Garde"/>
          <w:bCs/>
          <w:lang w:val="es-ES" w:eastAsia="es-ES"/>
        </w:rPr>
      </w:pPr>
      <w:r w:rsidRPr="0003024E">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w:t>
      </w:r>
      <w:r w:rsidR="00BF3228" w:rsidRPr="0003024E">
        <w:rPr>
          <w:rFonts w:ascii="ITC Avant Garde" w:hAnsi="ITC Avant Garde"/>
          <w:bCs/>
          <w:lang w:val="es-ES" w:eastAsia="es-ES"/>
        </w:rPr>
        <w:t xml:space="preserve"> en términos de lo establecido en los artículos 7º, 124 y 125 de la LFTR.</w:t>
      </w:r>
    </w:p>
    <w:p w14:paraId="75064C24" w14:textId="77777777" w:rsidR="001C4767" w:rsidRDefault="009375B7" w:rsidP="001C4767">
      <w:pPr>
        <w:pStyle w:val="Textoindependiente"/>
        <w:spacing w:after="240" w:line="276" w:lineRule="auto"/>
        <w:rPr>
          <w:rFonts w:ascii="ITC Avant Garde" w:hAnsi="ITC Avant Garde" w:cs="Arial"/>
          <w:szCs w:val="22"/>
        </w:rPr>
      </w:pPr>
      <w:r w:rsidRPr="0003024E">
        <w:rPr>
          <w:rFonts w:ascii="ITC Avant Garde" w:hAnsi="ITC Avant Garde" w:cs="Arial"/>
          <w:szCs w:val="22"/>
        </w:rPr>
        <w:t xml:space="preserve">Por ello, el legislador estableció (i) la obligación de todos los concesionarios </w:t>
      </w:r>
      <w:r w:rsidR="00256F29" w:rsidRPr="0003024E">
        <w:rPr>
          <w:rFonts w:ascii="ITC Avant Garde" w:hAnsi="ITC Avant Garde" w:cs="Arial"/>
          <w:szCs w:val="22"/>
        </w:rPr>
        <w:t xml:space="preserve">que operan </w:t>
      </w:r>
      <w:r w:rsidRPr="0003024E">
        <w:rPr>
          <w:rFonts w:ascii="ITC Avant Garde" w:hAnsi="ITC Avant Garde" w:cs="Arial"/>
          <w:szCs w:val="22"/>
        </w:rPr>
        <w:t>redes públicas de telecomunicaciones de adoptar diseños de arquitectura abierta para garantizar la interconexión e interoperabilidad de sus redes, contenida en el artículo 124 de la LFTR</w:t>
      </w:r>
      <w:r w:rsidR="00C54282" w:rsidRPr="0003024E">
        <w:rPr>
          <w:rFonts w:ascii="ITC Avant Garde" w:hAnsi="ITC Avant Garde" w:cs="Arial"/>
          <w:szCs w:val="22"/>
        </w:rPr>
        <w:t>;</w:t>
      </w:r>
      <w:r w:rsidRPr="0003024E">
        <w:rPr>
          <w:rFonts w:ascii="ITC Avant Garde" w:hAnsi="ITC Avant Garde" w:cs="Arial"/>
          <w:szCs w:val="22"/>
        </w:rPr>
        <w:t xml:space="preserve"> (ii) la obligación de los concesionarios </w:t>
      </w:r>
      <w:r w:rsidR="00C54282" w:rsidRPr="0003024E">
        <w:rPr>
          <w:rFonts w:ascii="ITC Avant Garde" w:hAnsi="ITC Avant Garde" w:cs="Arial"/>
          <w:szCs w:val="22"/>
        </w:rPr>
        <w:t>de</w:t>
      </w:r>
      <w:r w:rsidR="00256F29" w:rsidRPr="0003024E">
        <w:rPr>
          <w:rFonts w:ascii="ITC Avant Garde" w:hAnsi="ITC Avant Garde" w:cs="Arial"/>
          <w:szCs w:val="22"/>
        </w:rPr>
        <w:t xml:space="preserve"> </w:t>
      </w:r>
      <w:r w:rsidRPr="0003024E">
        <w:rPr>
          <w:rFonts w:ascii="ITC Avant Garde" w:hAnsi="ITC Avant Garde" w:cs="Arial"/>
          <w:szCs w:val="22"/>
        </w:rPr>
        <w:t xml:space="preserve">redes públicas de interconectar sus redes de conformidad con lo establecido en el artículo 125 de la </w:t>
      </w:r>
      <w:r w:rsidR="003E04B6" w:rsidRPr="0003024E">
        <w:rPr>
          <w:rFonts w:ascii="ITC Avant Garde" w:hAnsi="ITC Avant Garde" w:cs="Arial"/>
          <w:szCs w:val="22"/>
        </w:rPr>
        <w:t>LFTR</w:t>
      </w:r>
      <w:r w:rsidRPr="0003024E">
        <w:rPr>
          <w:rFonts w:ascii="ITC Avant Garde" w:hAnsi="ITC Avant Garde" w:cs="Arial"/>
          <w:szCs w:val="22"/>
        </w:rPr>
        <w:t>, y (iii) que dicha interconexión se realice en condiciones no discriminatorias, transparentes y basadas en criterios objetivos.</w:t>
      </w:r>
    </w:p>
    <w:p w14:paraId="67BDD9BB" w14:textId="77777777" w:rsidR="001C4767" w:rsidRDefault="00C54282" w:rsidP="001C4767">
      <w:pPr>
        <w:spacing w:after="240"/>
        <w:jc w:val="both"/>
        <w:rPr>
          <w:rFonts w:ascii="ITC Avant Garde" w:hAnsi="ITC Avant Garde"/>
          <w:bCs/>
          <w:lang w:val="es-ES" w:eastAsia="es-ES"/>
        </w:rPr>
      </w:pPr>
      <w:r w:rsidRPr="0003024E">
        <w:rPr>
          <w:rFonts w:ascii="ITC Avant Garde" w:hAnsi="ITC Avant Garde"/>
          <w:bCs/>
          <w:lang w:val="es-ES" w:eastAsia="es-ES"/>
        </w:rPr>
        <w:t>Ahora bien, 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bookmarkEnd w:id="3"/>
    </w:p>
    <w:p w14:paraId="12A35097" w14:textId="77777777" w:rsidR="001C4767" w:rsidRDefault="009375B7" w:rsidP="001C4767">
      <w:pPr>
        <w:pStyle w:val="Textoindependiente"/>
        <w:spacing w:after="240" w:line="276" w:lineRule="auto"/>
        <w:rPr>
          <w:rFonts w:ascii="ITC Avant Garde" w:hAnsi="ITC Avant Garde" w:cs="Arial"/>
          <w:szCs w:val="22"/>
        </w:rPr>
      </w:pPr>
      <w:r w:rsidRPr="0003024E">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03024E">
        <w:rPr>
          <w:rFonts w:ascii="ITC Avant Garde" w:hAnsi="ITC Avant Garde" w:cs="Arial"/>
        </w:rPr>
        <w:lastRenderedPageBreak/>
        <w:t xml:space="preserve">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03024E">
        <w:rPr>
          <w:rFonts w:ascii="ITC Avant Garde" w:hAnsi="ITC Avant Garde" w:cs="Arial"/>
          <w:szCs w:val="22"/>
        </w:rPr>
        <w:t>concluido el periodo de sesenta (60) días naturales.</w:t>
      </w:r>
    </w:p>
    <w:p w14:paraId="1B491030" w14:textId="77777777" w:rsidR="001C4767" w:rsidRDefault="00054805" w:rsidP="001C4767">
      <w:pPr>
        <w:pStyle w:val="Textoindependiente"/>
        <w:spacing w:after="240" w:line="276" w:lineRule="auto"/>
        <w:rPr>
          <w:rFonts w:ascii="ITC Avant Garde" w:hAnsi="ITC Avant Garde" w:cs="Arial"/>
          <w:spacing w:val="-2"/>
          <w:szCs w:val="22"/>
        </w:rPr>
      </w:pPr>
      <w:r w:rsidRPr="0003024E">
        <w:rPr>
          <w:rFonts w:ascii="ITC Avant Garde" w:hAnsi="ITC Avant Garde" w:cs="Arial"/>
          <w:spacing w:val="-2"/>
          <w:szCs w:val="22"/>
        </w:rPr>
        <w:t xml:space="preserve">En consecuencia, en autos está acreditado que </w:t>
      </w:r>
      <w:r w:rsidR="00782B5C" w:rsidRPr="0003024E">
        <w:rPr>
          <w:rFonts w:ascii="ITC Avant Garde" w:hAnsi="ITC Avant Garde" w:cs="Arial"/>
          <w:spacing w:val="-2"/>
          <w:szCs w:val="22"/>
        </w:rPr>
        <w:t>Axtel, Avantel</w:t>
      </w:r>
      <w:r w:rsidR="00567405" w:rsidRPr="0003024E">
        <w:rPr>
          <w:rFonts w:ascii="ITC Avant Garde" w:hAnsi="ITC Avant Garde" w:cs="Arial"/>
          <w:spacing w:val="-2"/>
          <w:szCs w:val="22"/>
        </w:rPr>
        <w:t xml:space="preserve"> y </w:t>
      </w:r>
      <w:r w:rsidR="00924F99" w:rsidRPr="0003024E">
        <w:rPr>
          <w:rFonts w:ascii="ITC Avant Garde" w:hAnsi="ITC Avant Garde" w:cs="Arial"/>
          <w:spacing w:val="-2"/>
          <w:szCs w:val="22"/>
        </w:rPr>
        <w:t xml:space="preserve">MCM </w:t>
      </w:r>
      <w:r w:rsidRPr="0003024E">
        <w:rPr>
          <w:rFonts w:ascii="ITC Avant Garde" w:hAnsi="ITC Avant Garde" w:cs="Arial"/>
          <w:spacing w:val="-2"/>
          <w:szCs w:val="22"/>
        </w:rPr>
        <w:t xml:space="preserve">tienen el carácter de concesionarios que operan una red pública de telecomunicaciones y que efectivamente </w:t>
      </w:r>
      <w:r w:rsidR="00EA55F0" w:rsidRPr="0003024E">
        <w:rPr>
          <w:rFonts w:ascii="ITC Avant Garde" w:hAnsi="ITC Avant Garde" w:cs="Arial"/>
          <w:spacing w:val="-2"/>
          <w:szCs w:val="22"/>
        </w:rPr>
        <w:t>Axtel y Avantel</w:t>
      </w:r>
      <w:r w:rsidR="00813CFB" w:rsidRPr="0003024E">
        <w:rPr>
          <w:rFonts w:ascii="ITC Avant Garde" w:hAnsi="ITC Avant Garde" w:cs="Arial"/>
          <w:spacing w:val="-2"/>
          <w:szCs w:val="22"/>
        </w:rPr>
        <w:t xml:space="preserve"> requiri</w:t>
      </w:r>
      <w:r w:rsidR="00EA55F0" w:rsidRPr="0003024E">
        <w:rPr>
          <w:rFonts w:ascii="ITC Avant Garde" w:hAnsi="ITC Avant Garde" w:cs="Arial"/>
          <w:spacing w:val="-2"/>
          <w:szCs w:val="22"/>
        </w:rPr>
        <w:t>eron</w:t>
      </w:r>
      <w:r w:rsidRPr="0003024E">
        <w:rPr>
          <w:rFonts w:ascii="ITC Avant Garde" w:hAnsi="ITC Avant Garde" w:cs="Arial"/>
          <w:spacing w:val="-2"/>
          <w:szCs w:val="22"/>
        </w:rPr>
        <w:t xml:space="preserve"> a </w:t>
      </w:r>
      <w:r w:rsidR="00924F99" w:rsidRPr="0003024E">
        <w:rPr>
          <w:rFonts w:ascii="ITC Avant Garde" w:hAnsi="ITC Avant Garde" w:cs="Arial"/>
          <w:spacing w:val="-2"/>
          <w:szCs w:val="22"/>
        </w:rPr>
        <w:t xml:space="preserve">MCM </w:t>
      </w:r>
      <w:r w:rsidRPr="0003024E">
        <w:rPr>
          <w:rFonts w:ascii="ITC Avant Garde" w:hAnsi="ITC Avant Garde" w:cs="Arial"/>
          <w:spacing w:val="-2"/>
          <w:szCs w:val="22"/>
        </w:rPr>
        <w:t>el inicio de negociaciones para convenir los términos, condiciones y tarifas de interconexión, según se desprende</w:t>
      </w:r>
      <w:r w:rsidR="00692096" w:rsidRPr="0003024E">
        <w:rPr>
          <w:rFonts w:ascii="ITC Avant Garde" w:hAnsi="ITC Avant Garde" w:cs="Arial"/>
          <w:spacing w:val="-2"/>
          <w:szCs w:val="22"/>
        </w:rPr>
        <w:t xml:space="preserve"> de los Antecedentes I, II</w:t>
      </w:r>
      <w:r w:rsidR="009375B7" w:rsidRPr="0003024E">
        <w:rPr>
          <w:rFonts w:ascii="ITC Avant Garde" w:hAnsi="ITC Avant Garde" w:cs="Arial"/>
          <w:spacing w:val="-2"/>
          <w:szCs w:val="22"/>
        </w:rPr>
        <w:t xml:space="preserve"> y V</w:t>
      </w:r>
      <w:r w:rsidRPr="0003024E">
        <w:rPr>
          <w:rFonts w:ascii="ITC Avant Garde" w:hAnsi="ITC Avant Garde" w:cs="Arial"/>
          <w:spacing w:val="-2"/>
          <w:szCs w:val="22"/>
        </w:rPr>
        <w:t xml:space="preserve"> de la presente Resolución.</w:t>
      </w:r>
    </w:p>
    <w:p w14:paraId="36A8160E" w14:textId="77777777" w:rsidR="001C4767" w:rsidRDefault="00054805" w:rsidP="001C4767">
      <w:pPr>
        <w:pStyle w:val="Textoindependiente"/>
        <w:spacing w:after="240" w:line="276" w:lineRule="auto"/>
        <w:rPr>
          <w:rFonts w:ascii="ITC Avant Garde" w:hAnsi="ITC Avant Garde" w:cs="Arial"/>
          <w:szCs w:val="22"/>
        </w:rPr>
      </w:pPr>
      <w:r w:rsidRPr="0003024E">
        <w:rPr>
          <w:rFonts w:ascii="ITC Avant Garde" w:hAnsi="ITC Avant Garde" w:cs="Arial"/>
          <w:szCs w:val="22"/>
        </w:rPr>
        <w:t>Por ello, confo</w:t>
      </w:r>
      <w:r w:rsidR="00900D7F" w:rsidRPr="0003024E">
        <w:rPr>
          <w:rFonts w:ascii="ITC Avant Garde" w:hAnsi="ITC Avant Garde" w:cs="Arial"/>
          <w:szCs w:val="22"/>
        </w:rPr>
        <w:t>rme al artículo 124 de la LFTR</w:t>
      </w:r>
      <w:r w:rsidRPr="0003024E">
        <w:rPr>
          <w:rFonts w:ascii="ITC Avant Garde" w:hAnsi="ITC Avant Garde" w:cs="Arial"/>
          <w:szCs w:val="22"/>
        </w:rPr>
        <w:t xml:space="preserve"> </w:t>
      </w:r>
      <w:r w:rsidR="00EA55F0" w:rsidRPr="0003024E">
        <w:rPr>
          <w:rFonts w:ascii="ITC Avant Garde" w:hAnsi="ITC Avant Garde" w:cs="Arial"/>
          <w:spacing w:val="-2"/>
          <w:szCs w:val="22"/>
        </w:rPr>
        <w:t>Axtel, Avantel</w:t>
      </w:r>
      <w:r w:rsidR="00567405" w:rsidRPr="0003024E">
        <w:rPr>
          <w:rFonts w:ascii="ITC Avant Garde" w:hAnsi="ITC Avant Garde" w:cs="Arial"/>
          <w:spacing w:val="-2"/>
          <w:szCs w:val="22"/>
        </w:rPr>
        <w:t xml:space="preserve"> y </w:t>
      </w:r>
      <w:r w:rsidR="00924F99" w:rsidRPr="0003024E">
        <w:rPr>
          <w:rFonts w:ascii="ITC Avant Garde" w:hAnsi="ITC Avant Garde" w:cs="Arial"/>
          <w:spacing w:val="-2"/>
          <w:szCs w:val="22"/>
        </w:rPr>
        <w:t>MCM</w:t>
      </w:r>
      <w:r w:rsidR="006C548F" w:rsidRPr="0003024E">
        <w:rPr>
          <w:rFonts w:ascii="ITC Avant Garde" w:hAnsi="ITC Avant Garde" w:cs="Arial"/>
          <w:spacing w:val="-2"/>
          <w:szCs w:val="22"/>
        </w:rPr>
        <w:t xml:space="preserve"> </w:t>
      </w:r>
      <w:r w:rsidRPr="0003024E">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171606A" w14:textId="77777777" w:rsidR="001C4767" w:rsidRDefault="00405520" w:rsidP="001C4767">
      <w:pPr>
        <w:spacing w:after="240"/>
        <w:jc w:val="both"/>
        <w:rPr>
          <w:rFonts w:ascii="ITC Avant Garde" w:hAnsi="ITC Avant Garde"/>
          <w:spacing w:val="-4"/>
        </w:rPr>
      </w:pPr>
      <w:r w:rsidRPr="0003024E">
        <w:rPr>
          <w:rFonts w:ascii="ITC Avant Garde" w:hAnsi="ITC Avant Garde" w:cs="Arial"/>
          <w:b/>
        </w:rPr>
        <w:t>TERCERO</w:t>
      </w:r>
      <w:r w:rsidR="008B315D" w:rsidRPr="0003024E">
        <w:rPr>
          <w:rFonts w:ascii="ITC Avant Garde" w:hAnsi="ITC Avant Garde" w:cs="Arial"/>
          <w:b/>
        </w:rPr>
        <w:t xml:space="preserve">.- </w:t>
      </w:r>
      <w:r w:rsidR="0035405F" w:rsidRPr="0003024E">
        <w:rPr>
          <w:rFonts w:ascii="ITC Avant Garde" w:hAnsi="ITC Avant Garde"/>
          <w:b/>
          <w:szCs w:val="24"/>
        </w:rPr>
        <w:t xml:space="preserve">Valoración </w:t>
      </w:r>
      <w:r w:rsidR="00AE51E1" w:rsidRPr="0003024E">
        <w:rPr>
          <w:rFonts w:ascii="ITC Avant Garde" w:hAnsi="ITC Avant Garde"/>
          <w:b/>
          <w:szCs w:val="24"/>
        </w:rPr>
        <w:t>de pruebas.-</w:t>
      </w:r>
      <w:r w:rsidR="0035405F" w:rsidRPr="0003024E">
        <w:rPr>
          <w:rFonts w:ascii="ITC Avant Garde" w:hAnsi="ITC Avant Garde"/>
          <w:b/>
          <w:szCs w:val="24"/>
        </w:rPr>
        <w:t xml:space="preserve"> </w:t>
      </w:r>
      <w:r w:rsidR="0035405F" w:rsidRPr="0003024E">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03024E">
        <w:rPr>
          <w:rFonts w:ascii="ITC Avant Garde" w:hAnsi="ITC Avant Garde"/>
          <w:szCs w:val="24"/>
        </w:rPr>
        <w:t>s</w:t>
      </w:r>
      <w:r w:rsidR="0035405F" w:rsidRPr="0003024E">
        <w:rPr>
          <w:rFonts w:ascii="ITC Avant Garde" w:hAnsi="ITC Avant Garde"/>
          <w:szCs w:val="24"/>
        </w:rPr>
        <w:t xml:space="preserve"> siguiente</w:t>
      </w:r>
      <w:r w:rsidR="006B0F4A" w:rsidRPr="0003024E">
        <w:rPr>
          <w:rFonts w:ascii="ITC Avant Garde" w:hAnsi="ITC Avant Garde"/>
          <w:szCs w:val="24"/>
        </w:rPr>
        <w:t>s</w:t>
      </w:r>
      <w:r w:rsidR="0035405F" w:rsidRPr="0003024E">
        <w:rPr>
          <w:rFonts w:ascii="ITC Avant Garde" w:hAnsi="ITC Avant Garde"/>
          <w:szCs w:val="24"/>
        </w:rPr>
        <w:t xml:space="preserve"> </w:t>
      </w:r>
      <w:r w:rsidR="0051181D" w:rsidRPr="0003024E">
        <w:rPr>
          <w:rFonts w:ascii="ITC Avant Garde" w:hAnsi="ITC Avant Garde"/>
          <w:szCs w:val="24"/>
        </w:rPr>
        <w:t>funciones</w:t>
      </w:r>
      <w:r w:rsidR="0035405F" w:rsidRPr="0003024E">
        <w:rPr>
          <w:rFonts w:ascii="ITC Avant Garde" w:hAnsi="ITC Avant Garde"/>
          <w:szCs w:val="24"/>
        </w:rPr>
        <w:t>: i) fija los hechos mat</w:t>
      </w:r>
      <w:r w:rsidR="00A95021" w:rsidRPr="0003024E">
        <w:rPr>
          <w:rFonts w:ascii="ITC Avant Garde" w:hAnsi="ITC Avant Garde"/>
          <w:szCs w:val="24"/>
        </w:rPr>
        <w:t xml:space="preserve">eria del desacuerdo, </w:t>
      </w:r>
      <w:r w:rsidR="00C65893" w:rsidRPr="0003024E">
        <w:rPr>
          <w:rFonts w:ascii="ITC Avant Garde" w:hAnsi="ITC Avant Garde"/>
          <w:szCs w:val="24"/>
        </w:rPr>
        <w:t xml:space="preserve">y </w:t>
      </w:r>
      <w:r w:rsidR="00A95021" w:rsidRPr="0003024E">
        <w:rPr>
          <w:rFonts w:ascii="ITC Avant Garde" w:hAnsi="ITC Avant Garde"/>
          <w:szCs w:val="24"/>
        </w:rPr>
        <w:t>ii) genera</w:t>
      </w:r>
      <w:r w:rsidR="0035405F" w:rsidRPr="0003024E">
        <w:rPr>
          <w:rFonts w:ascii="ITC Avant Garde" w:hAnsi="ITC Avant Garde"/>
          <w:szCs w:val="24"/>
        </w:rPr>
        <w:t xml:space="preserve"> certeza acerca de las afirmaciones y alegaciones de los concesionarios sujetos del desacuerdo.</w:t>
      </w:r>
    </w:p>
    <w:p w14:paraId="39438E76" w14:textId="77777777" w:rsidR="001C4767" w:rsidRDefault="00692096" w:rsidP="001C4767">
      <w:pPr>
        <w:spacing w:after="240"/>
        <w:jc w:val="both"/>
        <w:rPr>
          <w:rFonts w:ascii="ITC Avant Garde" w:hAnsi="ITC Avant Garde" w:cs="Arial"/>
        </w:rPr>
      </w:pPr>
      <w:r w:rsidRPr="0003024E">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42AF35B0" w14:textId="77777777" w:rsidR="001C4767" w:rsidRDefault="00F47E41" w:rsidP="001C4767">
      <w:pPr>
        <w:pStyle w:val="Textoindependiente"/>
        <w:spacing w:after="240" w:line="276" w:lineRule="auto"/>
        <w:rPr>
          <w:rFonts w:ascii="ITC Avant Garde" w:eastAsia="Calibri" w:hAnsi="ITC Avant Garde"/>
          <w:szCs w:val="24"/>
        </w:rPr>
      </w:pPr>
      <w:r w:rsidRPr="0003024E">
        <w:rPr>
          <w:rFonts w:ascii="ITC Avant Garde" w:eastAsia="Calibri" w:hAnsi="ITC Avant Garde"/>
          <w:szCs w:val="24"/>
        </w:rPr>
        <w:t xml:space="preserve">En tal sentido, y toda vez que </w:t>
      </w:r>
      <w:r w:rsidR="00924F99" w:rsidRPr="0003024E">
        <w:rPr>
          <w:rFonts w:ascii="ITC Avant Garde" w:eastAsia="Calibri" w:hAnsi="ITC Avant Garde"/>
          <w:szCs w:val="24"/>
        </w:rPr>
        <w:t>MCM</w:t>
      </w:r>
      <w:r w:rsidRPr="0003024E">
        <w:rPr>
          <w:rFonts w:ascii="ITC Avant Garde" w:eastAsia="Calibri" w:hAnsi="ITC Avant Garde"/>
          <w:szCs w:val="24"/>
        </w:rPr>
        <w:t xml:space="preserve"> no presentó pruebas, el Instituto valora las pruebas aportadas por </w:t>
      </w:r>
      <w:r w:rsidR="00631653" w:rsidRPr="0003024E">
        <w:rPr>
          <w:rFonts w:ascii="ITC Avant Garde" w:eastAsia="Calibri" w:hAnsi="ITC Avant Garde"/>
          <w:szCs w:val="24"/>
        </w:rPr>
        <w:t xml:space="preserve">Axtel y Avantel </w:t>
      </w:r>
      <w:r w:rsidRPr="0003024E">
        <w:rPr>
          <w:rFonts w:ascii="ITC Avant Garde" w:eastAsia="Calibri" w:hAnsi="ITC Avant Garde"/>
          <w:szCs w:val="24"/>
        </w:rPr>
        <w:t>en los siguientes términos:</w:t>
      </w:r>
    </w:p>
    <w:p w14:paraId="0C49EDB1" w14:textId="77777777" w:rsidR="001C4767" w:rsidRDefault="00647A0C" w:rsidP="001C4767">
      <w:pPr>
        <w:pStyle w:val="Prrafodelista"/>
        <w:numPr>
          <w:ilvl w:val="1"/>
          <w:numId w:val="15"/>
        </w:numPr>
        <w:tabs>
          <w:tab w:val="left" w:pos="4850"/>
        </w:tabs>
        <w:spacing w:after="240" w:line="276" w:lineRule="auto"/>
        <w:rPr>
          <w:rFonts w:ascii="ITC Avant Garde" w:hAnsi="ITC Avant Garde"/>
          <w:b/>
        </w:rPr>
      </w:pPr>
      <w:r w:rsidRPr="0003024E">
        <w:rPr>
          <w:rFonts w:ascii="ITC Avant Garde" w:hAnsi="ITC Avant Garde"/>
          <w:b/>
        </w:rPr>
        <w:t xml:space="preserve">Pruebas ofrecidas por </w:t>
      </w:r>
      <w:r w:rsidR="00631653" w:rsidRPr="0003024E">
        <w:rPr>
          <w:rFonts w:ascii="ITC Avant Garde" w:hAnsi="ITC Avant Garde"/>
          <w:b/>
        </w:rPr>
        <w:t xml:space="preserve">Axtel y </w:t>
      </w:r>
      <w:proofErr w:type="spellStart"/>
      <w:r w:rsidR="00631653" w:rsidRPr="0003024E">
        <w:rPr>
          <w:rFonts w:ascii="ITC Avant Garde" w:hAnsi="ITC Avant Garde"/>
          <w:b/>
        </w:rPr>
        <w:t>Avantel</w:t>
      </w:r>
      <w:proofErr w:type="spellEnd"/>
      <w:r w:rsidR="00A32116" w:rsidRPr="0003024E">
        <w:rPr>
          <w:rFonts w:ascii="ITC Avant Garde" w:hAnsi="ITC Avant Garde"/>
          <w:b/>
        </w:rPr>
        <w:t>.</w:t>
      </w:r>
    </w:p>
    <w:p w14:paraId="588B2676" w14:textId="77777777" w:rsidR="001C4767" w:rsidRDefault="001528F0" w:rsidP="001C4767">
      <w:pPr>
        <w:pStyle w:val="Prrafodelista"/>
        <w:numPr>
          <w:ilvl w:val="0"/>
          <w:numId w:val="14"/>
        </w:numPr>
        <w:tabs>
          <w:tab w:val="left" w:pos="4850"/>
        </w:tabs>
        <w:spacing w:after="240" w:line="276" w:lineRule="auto"/>
        <w:ind w:left="426" w:hanging="426"/>
        <w:rPr>
          <w:rFonts w:ascii="ITC Avant Garde" w:hAnsi="ITC Avant Garde"/>
          <w:b/>
        </w:rPr>
      </w:pPr>
      <w:r w:rsidRPr="0003024E">
        <w:rPr>
          <w:rFonts w:ascii="ITC Avant Garde" w:hAnsi="ITC Avant Garde" w:cs="Arial"/>
        </w:rPr>
        <w:t xml:space="preserve">Respecto </w:t>
      </w:r>
      <w:r w:rsidR="00631653" w:rsidRPr="0003024E">
        <w:rPr>
          <w:rFonts w:ascii="ITC Avant Garde" w:hAnsi="ITC Avant Garde" w:cs="Arial"/>
        </w:rPr>
        <w:t>de las pruebas consistentes en copia simple de los escritos de fecha 1</w:t>
      </w:r>
      <w:r w:rsidR="00691F17" w:rsidRPr="0003024E">
        <w:rPr>
          <w:rFonts w:ascii="ITC Avant Garde" w:hAnsi="ITC Avant Garde" w:cs="Arial"/>
        </w:rPr>
        <w:t>5</w:t>
      </w:r>
      <w:r w:rsidR="00631653" w:rsidRPr="0003024E">
        <w:rPr>
          <w:rFonts w:ascii="ITC Avant Garde" w:hAnsi="ITC Avant Garde" w:cs="Arial"/>
        </w:rPr>
        <w:t xml:space="preserve"> de mayo de 2017, </w:t>
      </w:r>
      <w:r w:rsidR="00631653" w:rsidRPr="0003024E">
        <w:rPr>
          <w:rFonts w:ascii="ITC Avant Garde" w:hAnsi="ITC Avant Garde"/>
        </w:rPr>
        <w:t>se les otorga valor probatorio en términos de los artículos 197, 203 y 207 del CFPC, al hacer prueba de que en efecto</w:t>
      </w:r>
      <w:r w:rsidR="006A3085" w:rsidRPr="0003024E">
        <w:rPr>
          <w:rFonts w:ascii="ITC Avant Garde" w:hAnsi="ITC Avant Garde"/>
        </w:rPr>
        <w:t xml:space="preserve"> Axtel y Avantel notificaron a MCM</w:t>
      </w:r>
      <w:r w:rsidR="00631653" w:rsidRPr="0003024E">
        <w:rPr>
          <w:rFonts w:ascii="ITC Avant Garde" w:hAnsi="ITC Avant Garde"/>
        </w:rPr>
        <w:t xml:space="preserve">, a través del SESI, el inicio de negociaciones para convenir las tarifas de interconexión para el año 2018, con lo que queda acreditado que se cumplió con el requisito de </w:t>
      </w:r>
      <w:r w:rsidR="00631653" w:rsidRPr="0003024E">
        <w:rPr>
          <w:rFonts w:ascii="ITC Avant Garde" w:hAnsi="ITC Avant Garde"/>
        </w:rPr>
        <w:lastRenderedPageBreak/>
        <w:t>procedencia referente a la existencia de negociaciones previas entre los concesionarios.</w:t>
      </w:r>
    </w:p>
    <w:p w14:paraId="1C197D40" w14:textId="77777777" w:rsidR="001C4767" w:rsidRDefault="00631653" w:rsidP="001C4767">
      <w:pPr>
        <w:pStyle w:val="Prrafodelista"/>
        <w:numPr>
          <w:ilvl w:val="0"/>
          <w:numId w:val="14"/>
        </w:numPr>
        <w:tabs>
          <w:tab w:val="left" w:pos="4850"/>
        </w:tabs>
        <w:spacing w:after="240" w:line="276" w:lineRule="auto"/>
        <w:ind w:left="426" w:hanging="426"/>
        <w:rPr>
          <w:rFonts w:ascii="ITC Avant Garde" w:eastAsia="Calibri" w:hAnsi="ITC Avant Garde"/>
          <w:lang w:eastAsia="en-US"/>
        </w:rPr>
      </w:pPr>
      <w:r w:rsidRPr="0003024E">
        <w:rPr>
          <w:rFonts w:ascii="ITC Avant Garde" w:eastAsia="Calibri" w:hAnsi="ITC Avant Garde"/>
          <w:lang w:eastAsia="en-US"/>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6755A38C" w14:textId="77777777" w:rsidR="001C4767" w:rsidRDefault="00A32116" w:rsidP="001C4767">
      <w:pPr>
        <w:pStyle w:val="Prrafodelista"/>
        <w:numPr>
          <w:ilvl w:val="0"/>
          <w:numId w:val="14"/>
        </w:numPr>
        <w:tabs>
          <w:tab w:val="left" w:pos="4850"/>
        </w:tabs>
        <w:spacing w:after="240" w:line="276" w:lineRule="auto"/>
        <w:ind w:left="426" w:hanging="426"/>
        <w:rPr>
          <w:rFonts w:ascii="ITC Avant Garde" w:hAnsi="ITC Avant Garde"/>
          <w:b/>
        </w:rPr>
      </w:pPr>
      <w:r w:rsidRPr="0003024E">
        <w:rPr>
          <w:rFonts w:ascii="ITC Avant Garde" w:eastAsia="Calibri" w:hAnsi="ITC Avant Garde"/>
          <w:lang w:eastAsia="en-US"/>
        </w:rPr>
        <w:t>Respecto de la instrumental de actuaciones, se le otorga valor probatorio al constituirse dicha prueba con las constancias que obran en el sumario y en términos del principio ontológico de la prueba, conforme al cual lo ordinario se presume.</w:t>
      </w:r>
    </w:p>
    <w:bookmarkEnd w:id="2"/>
    <w:p w14:paraId="1565CF67" w14:textId="77777777" w:rsidR="001C4767" w:rsidRDefault="002F1D3A" w:rsidP="001C4767">
      <w:pPr>
        <w:spacing w:after="240"/>
        <w:jc w:val="both"/>
        <w:rPr>
          <w:rFonts w:ascii="ITC Avant Garde" w:eastAsia="Times New Roman" w:hAnsi="ITC Avant Garde"/>
          <w:lang w:eastAsia="es-ES"/>
        </w:rPr>
      </w:pPr>
      <w:r w:rsidRPr="0003024E">
        <w:rPr>
          <w:rFonts w:ascii="ITC Avant Garde" w:hAnsi="ITC Avant Garde"/>
          <w:b/>
          <w:szCs w:val="24"/>
        </w:rPr>
        <w:t>CUARTO</w:t>
      </w:r>
      <w:r w:rsidR="003B3180" w:rsidRPr="0003024E">
        <w:rPr>
          <w:rFonts w:ascii="ITC Avant Garde" w:hAnsi="ITC Avant Garde"/>
          <w:b/>
          <w:szCs w:val="24"/>
        </w:rPr>
        <w:t>.-</w:t>
      </w:r>
      <w:r w:rsidR="002920C0" w:rsidRPr="0003024E">
        <w:rPr>
          <w:rFonts w:ascii="ITC Avant Garde" w:eastAsia="Times New Roman" w:hAnsi="ITC Avant Garde"/>
          <w:b/>
          <w:lang w:eastAsia="es-ES"/>
        </w:rPr>
        <w:t xml:space="preserve"> </w:t>
      </w:r>
      <w:bookmarkEnd w:id="0"/>
      <w:r w:rsidR="00321C60" w:rsidRPr="0003024E">
        <w:rPr>
          <w:rFonts w:ascii="ITC Avant Garde" w:eastAsia="Times New Roman" w:hAnsi="ITC Avant Garde"/>
          <w:b/>
          <w:lang w:eastAsia="es-ES"/>
        </w:rPr>
        <w:t>Condiciones no convenidas sujetas a resolución</w:t>
      </w:r>
      <w:r w:rsidR="00C92C0A" w:rsidRPr="0003024E">
        <w:rPr>
          <w:rFonts w:ascii="ITC Avant Garde" w:eastAsia="Times New Roman" w:hAnsi="ITC Avant Garde"/>
          <w:lang w:eastAsia="es-ES"/>
        </w:rPr>
        <w:t xml:space="preserve">.- </w:t>
      </w:r>
      <w:r w:rsidR="00832D83" w:rsidRPr="0003024E">
        <w:rPr>
          <w:rFonts w:ascii="ITC Avant Garde" w:eastAsia="Times New Roman" w:hAnsi="ITC Avant Garde"/>
          <w:lang w:eastAsia="es-ES"/>
        </w:rPr>
        <w:t>En la Solicitud de Resolución</w:t>
      </w:r>
      <w:r w:rsidR="00F142F2" w:rsidRPr="0003024E">
        <w:rPr>
          <w:rFonts w:ascii="ITC Avant Garde" w:eastAsia="Times New Roman" w:hAnsi="ITC Avant Garde"/>
          <w:lang w:eastAsia="es-ES"/>
        </w:rPr>
        <w:t xml:space="preserve"> y en el escrito de desahogo de prevención,</w:t>
      </w:r>
      <w:r w:rsidR="005D5750" w:rsidRPr="0003024E">
        <w:rPr>
          <w:rFonts w:ascii="ITC Avant Garde" w:eastAsia="Times New Roman" w:hAnsi="ITC Avant Garde"/>
          <w:lang w:eastAsia="es-ES"/>
        </w:rPr>
        <w:t xml:space="preserve"> </w:t>
      </w:r>
      <w:r w:rsidR="009060BB" w:rsidRPr="0003024E">
        <w:rPr>
          <w:rFonts w:ascii="ITC Avant Garde" w:eastAsia="Times New Roman" w:hAnsi="ITC Avant Garde"/>
          <w:lang w:eastAsia="es-ES"/>
        </w:rPr>
        <w:t xml:space="preserve">Axtel y Avantel </w:t>
      </w:r>
      <w:r w:rsidR="005D5750" w:rsidRPr="0003024E">
        <w:rPr>
          <w:rFonts w:ascii="ITC Avant Garde" w:eastAsia="Times New Roman" w:hAnsi="ITC Avant Garde"/>
          <w:lang w:eastAsia="es-ES"/>
        </w:rPr>
        <w:t>plantea</w:t>
      </w:r>
      <w:r w:rsidR="00CC4B62" w:rsidRPr="0003024E">
        <w:rPr>
          <w:rFonts w:ascii="ITC Avant Garde" w:eastAsia="Times New Roman" w:hAnsi="ITC Avant Garde"/>
          <w:lang w:eastAsia="es-ES"/>
        </w:rPr>
        <w:t>n</w:t>
      </w:r>
      <w:r w:rsidR="005D5750" w:rsidRPr="0003024E">
        <w:rPr>
          <w:rFonts w:ascii="ITC Avant Garde" w:eastAsia="Times New Roman" w:hAnsi="ITC Avant Garde"/>
          <w:lang w:eastAsia="es-ES"/>
        </w:rPr>
        <w:t xml:space="preserve"> los siguientes términos, condiciones y tarifas de interconexión que no pudo convenir con </w:t>
      </w:r>
      <w:r w:rsidR="00371EA8" w:rsidRPr="0003024E">
        <w:rPr>
          <w:rFonts w:ascii="ITC Avant Garde" w:eastAsia="Times New Roman" w:hAnsi="ITC Avant Garde"/>
          <w:lang w:eastAsia="es-ES"/>
        </w:rPr>
        <w:t>MCM</w:t>
      </w:r>
      <w:r w:rsidR="005D5750" w:rsidRPr="0003024E">
        <w:rPr>
          <w:rFonts w:ascii="ITC Avant Garde" w:eastAsia="Times New Roman" w:hAnsi="ITC Avant Garde"/>
          <w:lang w:eastAsia="es-ES"/>
        </w:rPr>
        <w:t>:</w:t>
      </w:r>
    </w:p>
    <w:p w14:paraId="76A7C6AE" w14:textId="10FEADFF" w:rsidR="00E510FB" w:rsidRPr="0003024E" w:rsidRDefault="00E510FB" w:rsidP="001C4767">
      <w:pPr>
        <w:pStyle w:val="Prrafodelista"/>
        <w:numPr>
          <w:ilvl w:val="0"/>
          <w:numId w:val="36"/>
        </w:numPr>
        <w:spacing w:after="240" w:line="276" w:lineRule="auto"/>
        <w:ind w:left="567"/>
        <w:rPr>
          <w:rFonts w:ascii="ITC Avant Garde" w:hAnsi="ITC Avant Garde"/>
        </w:rPr>
      </w:pPr>
      <w:r w:rsidRPr="0003024E">
        <w:rPr>
          <w:rFonts w:ascii="ITC Avant Garde" w:hAnsi="ITC Avant Garde"/>
        </w:rPr>
        <w:t>La tarifa</w:t>
      </w:r>
      <w:r w:rsidR="00EA56DD" w:rsidRPr="0003024E">
        <w:rPr>
          <w:rFonts w:ascii="ITC Avant Garde" w:hAnsi="ITC Avant Garde"/>
        </w:rPr>
        <w:t xml:space="preserve"> que Axtel y Avantel deben pagarle a MCM por el servicio de </w:t>
      </w:r>
      <w:r w:rsidRPr="0003024E">
        <w:rPr>
          <w:rFonts w:ascii="ITC Avant Garde" w:hAnsi="ITC Avant Garde"/>
        </w:rPr>
        <w:t>terminación del Servicio Local en usuarios fijos</w:t>
      </w:r>
      <w:r w:rsidR="00EA56DD" w:rsidRPr="0003024E">
        <w:rPr>
          <w:rFonts w:ascii="ITC Avant Garde" w:hAnsi="ITC Avant Garde"/>
        </w:rPr>
        <w:t>, así como la tarifa que MCM debe pagarle a Axtel y Avantel por el servicio de terminación del Servicio Local en usuarios fijos</w:t>
      </w:r>
      <w:r w:rsidRPr="0003024E">
        <w:rPr>
          <w:rFonts w:ascii="ITC Avant Garde" w:hAnsi="ITC Avant Garde"/>
        </w:rPr>
        <w:t xml:space="preserve"> para el periodo comprendido del 1 de enero de 2018 al 31 de diciembre de 2018.</w:t>
      </w:r>
    </w:p>
    <w:p w14:paraId="0C85FDB7" w14:textId="77777777" w:rsidR="001C4767" w:rsidRDefault="00EA56DD" w:rsidP="001C4767">
      <w:pPr>
        <w:pStyle w:val="Prrafodelista"/>
        <w:numPr>
          <w:ilvl w:val="0"/>
          <w:numId w:val="36"/>
        </w:numPr>
        <w:spacing w:after="240" w:line="276" w:lineRule="auto"/>
        <w:ind w:left="567"/>
        <w:rPr>
          <w:rFonts w:ascii="ITC Avant Garde" w:hAnsi="ITC Avant Garde"/>
        </w:rPr>
      </w:pPr>
      <w:r w:rsidRPr="0003024E">
        <w:rPr>
          <w:rFonts w:ascii="ITC Avant Garde" w:hAnsi="ITC Avant Garde"/>
        </w:rPr>
        <w:t xml:space="preserve">La tarifa que Axtel y Avantel deben pagarle a MCM por el servicio de </w:t>
      </w:r>
      <w:proofErr w:type="spellStart"/>
      <w:r w:rsidRPr="0003024E">
        <w:rPr>
          <w:rFonts w:ascii="ITC Avant Garde" w:hAnsi="ITC Avant Garde"/>
        </w:rPr>
        <w:t>originación</w:t>
      </w:r>
      <w:proofErr w:type="spellEnd"/>
      <w:r w:rsidRPr="0003024E">
        <w:rPr>
          <w:rFonts w:ascii="ITC Avant Garde" w:hAnsi="ITC Avant Garde"/>
        </w:rPr>
        <w:t xml:space="preserve"> del Servicio Local en usuarios fijos, así como la tarifa que MCM debe pagarle a Axtel y Avantel por el servicio de </w:t>
      </w:r>
      <w:proofErr w:type="spellStart"/>
      <w:r w:rsidRPr="0003024E">
        <w:rPr>
          <w:rFonts w:ascii="ITC Avant Garde" w:hAnsi="ITC Avant Garde"/>
        </w:rPr>
        <w:t>o</w:t>
      </w:r>
      <w:r w:rsidR="00385CAB" w:rsidRPr="0003024E">
        <w:rPr>
          <w:rFonts w:ascii="ITC Avant Garde" w:hAnsi="ITC Avant Garde"/>
        </w:rPr>
        <w:t>riginación</w:t>
      </w:r>
      <w:proofErr w:type="spellEnd"/>
      <w:r w:rsidRPr="0003024E">
        <w:rPr>
          <w:rFonts w:ascii="ITC Avant Garde" w:hAnsi="ITC Avant Garde"/>
        </w:rPr>
        <w:t xml:space="preserve"> del Servicio Local en usuarios fijos para el periodo comprendido del 1 de enero de 2018 al 31 de diciembre de 2018.</w:t>
      </w:r>
    </w:p>
    <w:p w14:paraId="73161CC2" w14:textId="77777777" w:rsidR="001C4767" w:rsidRDefault="00001E1D" w:rsidP="001C4767">
      <w:pPr>
        <w:pStyle w:val="Textoindependiente"/>
        <w:spacing w:after="240" w:line="276" w:lineRule="auto"/>
        <w:rPr>
          <w:rFonts w:ascii="ITC Avant Garde" w:hAnsi="ITC Avant Garde"/>
          <w:szCs w:val="22"/>
        </w:rPr>
      </w:pPr>
      <w:r w:rsidRPr="0003024E">
        <w:rPr>
          <w:rFonts w:ascii="ITC Avant Garde" w:hAnsi="ITC Avant Garde"/>
          <w:szCs w:val="22"/>
        </w:rPr>
        <w:t xml:space="preserve">Por su parte, del escrito de respuesta presentado por MCM, no se desprenden condiciones de interconexión no convenidas, adicionales a las planteadas por Axtel y </w:t>
      </w:r>
      <w:proofErr w:type="spellStart"/>
      <w:r w:rsidRPr="0003024E">
        <w:rPr>
          <w:rFonts w:ascii="ITC Avant Garde" w:hAnsi="ITC Avant Garde"/>
          <w:szCs w:val="22"/>
        </w:rPr>
        <w:t>Avantel</w:t>
      </w:r>
      <w:proofErr w:type="spellEnd"/>
      <w:r w:rsidRPr="0003024E">
        <w:rPr>
          <w:rFonts w:ascii="ITC Avant Garde" w:hAnsi="ITC Avant Garde"/>
          <w:szCs w:val="22"/>
        </w:rPr>
        <w:t>.</w:t>
      </w:r>
    </w:p>
    <w:p w14:paraId="47F30FB0" w14:textId="77777777" w:rsidR="001C4767" w:rsidRDefault="00385CAB" w:rsidP="001C4767">
      <w:pPr>
        <w:pStyle w:val="Textoindependiente"/>
        <w:spacing w:after="240" w:line="276" w:lineRule="auto"/>
        <w:rPr>
          <w:rFonts w:ascii="ITC Avant Garde" w:hAnsi="ITC Avant Garde"/>
          <w:szCs w:val="22"/>
        </w:rPr>
      </w:pPr>
      <w:r w:rsidRPr="0003024E">
        <w:rPr>
          <w:rFonts w:ascii="ITC Avant Garde" w:hAnsi="ITC Avant Garde"/>
          <w:szCs w:val="22"/>
        </w:rPr>
        <w:t xml:space="preserve">Ahora bien, respecto </w:t>
      </w:r>
      <w:r w:rsidR="00701115" w:rsidRPr="0003024E">
        <w:rPr>
          <w:rFonts w:ascii="ITC Avant Garde" w:hAnsi="ITC Avant Garde"/>
          <w:szCs w:val="22"/>
        </w:rPr>
        <w:t>de</w:t>
      </w:r>
      <w:r w:rsidRPr="0003024E">
        <w:rPr>
          <w:rFonts w:ascii="ITC Avant Garde" w:hAnsi="ITC Avant Garde"/>
          <w:szCs w:val="22"/>
        </w:rPr>
        <w:t xml:space="preserve"> la condición no convenida planteada por Axtel y Avantel en el inciso b) se señala que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de 2014 en el DOF, estableció a la letra lo siguiente:</w:t>
      </w:r>
    </w:p>
    <w:p w14:paraId="69EFD54D" w14:textId="77777777" w:rsidR="001C4767" w:rsidRDefault="00385CAB" w:rsidP="001C4767">
      <w:pPr>
        <w:spacing w:after="240"/>
        <w:ind w:left="567" w:right="615"/>
        <w:jc w:val="both"/>
        <w:rPr>
          <w:rFonts w:ascii="ITC Avant Garde" w:hAnsi="ITC Avant Garde"/>
          <w:i/>
          <w:sz w:val="18"/>
          <w:szCs w:val="20"/>
          <w:lang w:val="es-ES"/>
        </w:rPr>
      </w:pPr>
      <w:r w:rsidRPr="0003024E">
        <w:rPr>
          <w:rFonts w:ascii="ITC Avant Garde" w:hAnsi="ITC Avant Garde"/>
          <w:i/>
          <w:sz w:val="18"/>
          <w:szCs w:val="20"/>
          <w:lang w:val="es-ES"/>
        </w:rPr>
        <w:t>“</w:t>
      </w:r>
      <w:r w:rsidRPr="0003024E">
        <w:rPr>
          <w:rFonts w:ascii="ITC Avant Garde" w:hAnsi="ITC Avant Garde"/>
          <w:b/>
          <w:i/>
          <w:sz w:val="18"/>
          <w:szCs w:val="20"/>
          <w:lang w:val="es-ES"/>
        </w:rPr>
        <w:t>Novena.</w:t>
      </w:r>
      <w:r w:rsidRPr="0003024E">
        <w:rPr>
          <w:rFonts w:ascii="ITC Avant Garde" w:hAnsi="ITC Avant Garde"/>
          <w:i/>
          <w:sz w:val="18"/>
          <w:szCs w:val="20"/>
          <w:lang w:val="es-ES"/>
        </w:rPr>
        <w:t xml:space="preserve"> Presuscripción. Se elimina la Presuscripción y el Servicio de Selección por Presuscripción. Los concesionarios de redes públicas de telecomunicaciones que presten Servicio Fijo, Servicio Móvil o ambos serán responsables de conducir las llamadas originadas </w:t>
      </w:r>
      <w:r w:rsidRPr="0003024E">
        <w:rPr>
          <w:rFonts w:ascii="ITC Avant Garde" w:hAnsi="ITC Avant Garde"/>
          <w:i/>
          <w:sz w:val="18"/>
          <w:szCs w:val="20"/>
          <w:lang w:val="es-ES"/>
        </w:rPr>
        <w:lastRenderedPageBreak/>
        <w:t>por sus clientes hasta el destino o entregar la comunicación a la red o combinación de redes que puedan terminarla.”</w:t>
      </w:r>
    </w:p>
    <w:p w14:paraId="3E626208" w14:textId="77777777" w:rsidR="001C4767" w:rsidRDefault="00385CAB" w:rsidP="001C4767">
      <w:pPr>
        <w:spacing w:after="240"/>
        <w:jc w:val="both"/>
        <w:rPr>
          <w:rFonts w:ascii="ITC Avant Garde" w:eastAsia="Times New Roman" w:hAnsi="ITC Avant Garde"/>
          <w:lang w:val="es-ES"/>
        </w:rPr>
      </w:pPr>
      <w:r w:rsidRPr="0003024E">
        <w:rPr>
          <w:rFonts w:ascii="ITC Avant Garde" w:eastAsia="Times New Roman" w:hAnsi="ITC Avant Garde"/>
        </w:rPr>
        <w:t xml:space="preserve">En tal virtud, se observa que a partir del 1° de enero de 2015 se eliminó el servicio de selección por presuscripción, por lo que tanto Axtel y Avantel como MCM son responsables de conducir las llamadas originadas por sus clientes hasta la red de destino, es así que la determinación de tarifas de interconexión por el servicio de </w:t>
      </w:r>
      <w:proofErr w:type="spellStart"/>
      <w:r w:rsidRPr="0003024E">
        <w:rPr>
          <w:rFonts w:ascii="ITC Avant Garde" w:eastAsia="Times New Roman" w:hAnsi="ITC Avant Garde"/>
        </w:rPr>
        <w:t>originación</w:t>
      </w:r>
      <w:proofErr w:type="spellEnd"/>
      <w:r w:rsidRPr="0003024E">
        <w:rPr>
          <w:rFonts w:ascii="ITC Avant Garde" w:eastAsia="Times New Roman" w:hAnsi="ITC Avant Garde"/>
        </w:rPr>
        <w:t xml:space="preserve"> no es procedente</w:t>
      </w:r>
      <w:r w:rsidR="007E6613">
        <w:rPr>
          <w:rFonts w:ascii="ITC Avant Garde" w:eastAsia="Times New Roman" w:hAnsi="ITC Avant Garde"/>
        </w:rPr>
        <w:t xml:space="preserve">, en virtud de que el servicio de selección por presuscripción </w:t>
      </w:r>
      <w:r w:rsidRPr="0003024E">
        <w:rPr>
          <w:rFonts w:ascii="ITC Avant Garde" w:eastAsia="Times New Roman" w:hAnsi="ITC Avant Garde"/>
        </w:rPr>
        <w:t>ya no es vigente para los concesionarios que no son preponderantes</w:t>
      </w:r>
      <w:r w:rsidR="007E6613">
        <w:rPr>
          <w:rFonts w:ascii="ITC Avant Garde" w:eastAsia="Times New Roman" w:hAnsi="ITC Avant Garde"/>
        </w:rPr>
        <w:t xml:space="preserve">; asimismo, no se observa ningún otro escenario de tráfico en el cual sería aplicable una tarifa de </w:t>
      </w:r>
      <w:proofErr w:type="spellStart"/>
      <w:r w:rsidR="007E6613">
        <w:rPr>
          <w:rFonts w:ascii="ITC Avant Garde" w:eastAsia="Times New Roman" w:hAnsi="ITC Avant Garde"/>
        </w:rPr>
        <w:t>originación</w:t>
      </w:r>
      <w:proofErr w:type="spellEnd"/>
      <w:r w:rsidR="007E6613">
        <w:rPr>
          <w:rFonts w:ascii="ITC Avant Garde" w:eastAsia="Times New Roman" w:hAnsi="ITC Avant Garde"/>
        </w:rPr>
        <w:t>, ni ningún escenario que hubieran planteado con claridad las partes, que requiriese un pronunciamiento por parte de esta autoridad.</w:t>
      </w:r>
    </w:p>
    <w:p w14:paraId="3F5FEDAC" w14:textId="77777777" w:rsidR="001C4767" w:rsidRDefault="00385CAB" w:rsidP="001C4767">
      <w:pPr>
        <w:spacing w:after="240"/>
        <w:jc w:val="both"/>
        <w:rPr>
          <w:rFonts w:ascii="ITC Avant Garde" w:eastAsia="Times New Roman" w:hAnsi="ITC Avant Garde"/>
        </w:rPr>
      </w:pPr>
      <w:r w:rsidRPr="0003024E">
        <w:rPr>
          <w:rFonts w:ascii="ITC Avant Garde" w:eastAsia="Times New Roman" w:hAnsi="ITC Avant Garde"/>
        </w:rPr>
        <w:t xml:space="preserve">En ese sentido, </w:t>
      </w:r>
      <w:r w:rsidR="001C4432" w:rsidRPr="0003024E">
        <w:rPr>
          <w:rFonts w:ascii="ITC Avant Garde" w:eastAsia="Times New Roman" w:hAnsi="ITC Avant Garde"/>
        </w:rPr>
        <w:t xml:space="preserve">las condiciones no </w:t>
      </w:r>
      <w:proofErr w:type="gramStart"/>
      <w:r w:rsidR="001C4432" w:rsidRPr="0003024E">
        <w:rPr>
          <w:rFonts w:ascii="ITC Avant Garde" w:eastAsia="Times New Roman" w:hAnsi="ITC Avant Garde"/>
        </w:rPr>
        <w:t>convenidas sobre</w:t>
      </w:r>
      <w:proofErr w:type="gramEnd"/>
      <w:r w:rsidR="001C4432" w:rsidRPr="0003024E">
        <w:rPr>
          <w:rFonts w:ascii="ITC Avant Garde" w:eastAsia="Times New Roman" w:hAnsi="ITC Avant Garde"/>
        </w:rPr>
        <w:t xml:space="preserve"> las cuales se pronunciará el Instituto serán las siguientes:</w:t>
      </w:r>
    </w:p>
    <w:p w14:paraId="1BE64E6C" w14:textId="77777777" w:rsidR="001C4767" w:rsidRDefault="001C4432" w:rsidP="001C4767">
      <w:pPr>
        <w:pStyle w:val="Prrafodelista"/>
        <w:numPr>
          <w:ilvl w:val="0"/>
          <w:numId w:val="45"/>
        </w:numPr>
        <w:spacing w:after="240" w:line="276" w:lineRule="auto"/>
        <w:rPr>
          <w:rFonts w:ascii="ITC Avant Garde" w:hAnsi="ITC Avant Garde"/>
        </w:rPr>
      </w:pPr>
      <w:r w:rsidRPr="0003024E">
        <w:rPr>
          <w:rFonts w:ascii="ITC Avant Garde" w:hAnsi="ITC Avant Garde"/>
        </w:rPr>
        <w:t>La tarifa que Axtel</w:t>
      </w:r>
      <w:r w:rsidR="00701115" w:rsidRPr="0003024E">
        <w:rPr>
          <w:rFonts w:ascii="ITC Avant Garde" w:hAnsi="ITC Avant Garde"/>
        </w:rPr>
        <w:t>,</w:t>
      </w:r>
      <w:r w:rsidRPr="0003024E">
        <w:rPr>
          <w:rFonts w:ascii="ITC Avant Garde" w:hAnsi="ITC Avant Garde"/>
        </w:rPr>
        <w:t xml:space="preserve"> Avantel </w:t>
      </w:r>
      <w:r w:rsidR="002548A8" w:rsidRPr="0003024E">
        <w:rPr>
          <w:rFonts w:ascii="ITC Avant Garde" w:hAnsi="ITC Avant Garde"/>
        </w:rPr>
        <w:t>y</w:t>
      </w:r>
      <w:r w:rsidRPr="0003024E">
        <w:rPr>
          <w:rFonts w:ascii="ITC Avant Garde" w:hAnsi="ITC Avant Garde"/>
        </w:rPr>
        <w:t xml:space="preserve"> MCM </w:t>
      </w:r>
      <w:r w:rsidR="002548A8" w:rsidRPr="0003024E">
        <w:rPr>
          <w:rFonts w:ascii="ITC Avant Garde" w:hAnsi="ITC Avant Garde"/>
        </w:rPr>
        <w:t xml:space="preserve">deben pagarse de manera recíproca </w:t>
      </w:r>
      <w:r w:rsidRPr="0003024E">
        <w:rPr>
          <w:rFonts w:ascii="ITC Avant Garde" w:hAnsi="ITC Avant Garde"/>
        </w:rPr>
        <w:t>por el servicio de terminación del Servicio Local en usuarios fijos para el periodo comprendido del 1 de enero de 2018 al 31 de diciembre de 2018.</w:t>
      </w:r>
    </w:p>
    <w:p w14:paraId="5FA40F66" w14:textId="77777777" w:rsidR="001C4767" w:rsidRDefault="00391F8D" w:rsidP="001C4767">
      <w:pPr>
        <w:spacing w:after="240"/>
        <w:jc w:val="both"/>
        <w:rPr>
          <w:rFonts w:ascii="ITC Avant Garde" w:hAnsi="ITC Avant Garde" w:cs="Arial"/>
          <w:lang w:val="es-ES"/>
        </w:rPr>
      </w:pPr>
      <w:r w:rsidRPr="0003024E">
        <w:rPr>
          <w:rFonts w:ascii="ITC Avant Garde" w:eastAsia="Times New Roman" w:hAnsi="ITC Avant Garde"/>
        </w:rPr>
        <w:t xml:space="preserve">Ahora bien, previamente al análisis de las condiciones no convenidas, el Instituto procede, en primera instancia, a analizar específicamente las argumentaciones generales de Axtel y Avantel en relación con el presente procedimiento, para posteriormente resolver sobre </w:t>
      </w:r>
      <w:r w:rsidRPr="0003024E">
        <w:rPr>
          <w:rFonts w:ascii="ITC Avant Garde" w:hAnsi="ITC Avant Garde" w:cs="Arial"/>
          <w:lang w:val="es-ES"/>
        </w:rPr>
        <w:t>aquellos puntos de desacuerdo que en materia de interconexión fueron sometidos.</w:t>
      </w:r>
    </w:p>
    <w:p w14:paraId="0D2D57A3" w14:textId="77777777" w:rsidR="001C4767" w:rsidRDefault="00E8537E" w:rsidP="001C4767">
      <w:pPr>
        <w:widowControl w:val="0"/>
        <w:tabs>
          <w:tab w:val="center" w:pos="4419"/>
          <w:tab w:val="right" w:pos="8838"/>
        </w:tabs>
        <w:spacing w:after="240"/>
        <w:rPr>
          <w:rFonts w:ascii="ITC Avant Garde" w:hAnsi="ITC Avant Garde"/>
          <w:b/>
        </w:rPr>
      </w:pPr>
      <w:r w:rsidRPr="0003024E">
        <w:rPr>
          <w:rFonts w:ascii="ITC Avant Garde" w:hAnsi="ITC Avant Garde"/>
          <w:b/>
        </w:rPr>
        <w:t xml:space="preserve">A. Comentarios sobre el Modelo de Costos del Instituto. </w:t>
      </w:r>
    </w:p>
    <w:p w14:paraId="36A8366B" w14:textId="77777777" w:rsidR="001C4767" w:rsidRDefault="00E8537E" w:rsidP="001C4767">
      <w:pPr>
        <w:spacing w:after="240"/>
        <w:jc w:val="both"/>
        <w:rPr>
          <w:rFonts w:ascii="ITC Avant Garde" w:eastAsia="Times New Roman" w:hAnsi="ITC Avant Garde"/>
          <w:szCs w:val="24"/>
          <w:lang w:eastAsia="es-ES"/>
        </w:rPr>
      </w:pPr>
      <w:r w:rsidRPr="0003024E">
        <w:rPr>
          <w:rFonts w:ascii="ITC Avant Garde" w:eastAsia="Times New Roman" w:hAnsi="ITC Avant Garde"/>
          <w:b/>
          <w:szCs w:val="24"/>
          <w:lang w:eastAsia="es-ES"/>
        </w:rPr>
        <w:t xml:space="preserve">Argumentos de Axtel y </w:t>
      </w:r>
      <w:proofErr w:type="spellStart"/>
      <w:r w:rsidRPr="0003024E">
        <w:rPr>
          <w:rFonts w:ascii="ITC Avant Garde" w:eastAsia="Times New Roman" w:hAnsi="ITC Avant Garde"/>
          <w:b/>
          <w:szCs w:val="24"/>
          <w:lang w:eastAsia="es-ES"/>
        </w:rPr>
        <w:t>Avantel</w:t>
      </w:r>
      <w:proofErr w:type="spellEnd"/>
    </w:p>
    <w:p w14:paraId="23814803" w14:textId="77777777" w:rsidR="001C4767" w:rsidRDefault="00E8537E" w:rsidP="001C4767">
      <w:pPr>
        <w:spacing w:after="240"/>
        <w:jc w:val="both"/>
        <w:rPr>
          <w:rFonts w:ascii="ITC Avant Garde" w:eastAsia="Times New Roman" w:hAnsi="ITC Avant Garde"/>
          <w:szCs w:val="24"/>
          <w:lang w:eastAsia="es-ES"/>
        </w:rPr>
      </w:pPr>
      <w:r w:rsidRPr="0003024E">
        <w:rPr>
          <w:rFonts w:ascii="ITC Avant Garde" w:eastAsia="Times New Roman" w:hAnsi="ITC Avant Garde"/>
          <w:szCs w:val="24"/>
          <w:lang w:eastAsia="es-ES"/>
        </w:rPr>
        <w:t>En la Solicitud de Resolución y en el escrito de alegatos de Axtel y Avantel, dichos concesionarios plantean las consideraciones y argumentos jurídicos y económicos que deberán ser tomados en cuenta por el Instituto, para efecto de resolver el desacuerdo entre las partes.</w:t>
      </w:r>
    </w:p>
    <w:p w14:paraId="724A27E4" w14:textId="77777777" w:rsidR="001C4767" w:rsidRDefault="00E8537E" w:rsidP="001C4767">
      <w:pPr>
        <w:pStyle w:val="Prrafodelista"/>
        <w:numPr>
          <w:ilvl w:val="0"/>
          <w:numId w:val="48"/>
        </w:numPr>
        <w:spacing w:after="240"/>
        <w:rPr>
          <w:rFonts w:ascii="ITC Avant Garde" w:hAnsi="ITC Avant Garde"/>
          <w:b/>
        </w:rPr>
      </w:pPr>
      <w:r w:rsidRPr="0003024E">
        <w:rPr>
          <w:rFonts w:ascii="ITC Avant Garde" w:hAnsi="ITC Avant Garde"/>
          <w:b/>
        </w:rPr>
        <w:t>Consideraciones Económicas.</w:t>
      </w:r>
    </w:p>
    <w:p w14:paraId="0C54A829" w14:textId="77777777" w:rsidR="001C4767" w:rsidRDefault="00E8537E" w:rsidP="001C4767">
      <w:pPr>
        <w:spacing w:after="240"/>
        <w:jc w:val="both"/>
        <w:rPr>
          <w:rFonts w:ascii="ITC Avant Garde" w:eastAsia="Times New Roman" w:hAnsi="ITC Avant Garde"/>
          <w:szCs w:val="24"/>
          <w:lang w:eastAsia="es-ES"/>
        </w:rPr>
      </w:pPr>
      <w:r w:rsidRPr="0003024E">
        <w:rPr>
          <w:rFonts w:ascii="ITC Avant Garde" w:eastAsia="Times New Roman" w:hAnsi="ITC Avant Garde"/>
          <w:szCs w:val="24"/>
          <w:lang w:eastAsia="es-ES"/>
        </w:rPr>
        <w:t xml:space="preserve">Axtel y </w:t>
      </w:r>
      <w:proofErr w:type="spellStart"/>
      <w:r w:rsidRPr="0003024E">
        <w:rPr>
          <w:rFonts w:ascii="ITC Avant Garde" w:eastAsia="Times New Roman" w:hAnsi="ITC Avant Garde"/>
          <w:szCs w:val="24"/>
          <w:lang w:eastAsia="es-ES"/>
        </w:rPr>
        <w:t>Avantel</w:t>
      </w:r>
      <w:proofErr w:type="spellEnd"/>
      <w:r w:rsidRPr="0003024E">
        <w:rPr>
          <w:rFonts w:ascii="ITC Avant Garde" w:eastAsia="Times New Roman" w:hAnsi="ITC Avant Garde"/>
          <w:szCs w:val="24"/>
          <w:lang w:eastAsia="es-ES"/>
        </w:rPr>
        <w:t xml:space="preserve"> detallan las condiciones  que podrían revisarse en el modelo de costos a fin de contar con una herramienta apropiada para determinar las tarifas de interconexión en un contexto competitivo, y sin generar condiciones discriminatorias o inequitativas en el propio ejercicio del mercado, a saber:</w:t>
      </w:r>
    </w:p>
    <w:p w14:paraId="2B1277E3" w14:textId="21E9404E" w:rsidR="00E8537E" w:rsidRPr="0003024E" w:rsidRDefault="00E8537E" w:rsidP="001C4767">
      <w:pPr>
        <w:pStyle w:val="Prrafodelista"/>
        <w:numPr>
          <w:ilvl w:val="0"/>
          <w:numId w:val="47"/>
        </w:numPr>
        <w:spacing w:after="240" w:line="276" w:lineRule="auto"/>
        <w:rPr>
          <w:rFonts w:ascii="ITC Avant Garde" w:hAnsi="ITC Avant Garde"/>
        </w:rPr>
      </w:pPr>
      <w:r w:rsidRPr="0003024E">
        <w:rPr>
          <w:rFonts w:ascii="ITC Avant Garde" w:hAnsi="ITC Avant Garde"/>
        </w:rPr>
        <w:lastRenderedPageBreak/>
        <w:t xml:space="preserve">Demanda de los servicios.- Derivado de la evolución del mercado y de los avances tecnológicos que se han desarrollado en los últimos años, consideramos adecuado que el modelo de interconexión incluya tecnologías de nueva generación, en particular tecnología </w:t>
      </w:r>
      <w:proofErr w:type="spellStart"/>
      <w:r w:rsidRPr="0003024E">
        <w:rPr>
          <w:rFonts w:ascii="ITC Avant Garde" w:hAnsi="ITC Avant Garde"/>
        </w:rPr>
        <w:t>VoLTE</w:t>
      </w:r>
      <w:proofErr w:type="spellEnd"/>
      <w:r w:rsidRPr="0003024E">
        <w:rPr>
          <w:rFonts w:ascii="ITC Avant Garde" w:hAnsi="ITC Avant Garde"/>
        </w:rPr>
        <w:t xml:space="preserve"> en el cálculo de los costos de interconexión. Adicionalmente sugerimos que el modelo refleje la disminución de los precios de los servicios por la adopción de tecnologías más eficientes, con lo cual el costo de interconexión debe disminuir.</w:t>
      </w:r>
    </w:p>
    <w:p w14:paraId="28826425" w14:textId="77777777" w:rsidR="00E8537E" w:rsidRPr="0003024E" w:rsidRDefault="00E8537E" w:rsidP="001C4767">
      <w:pPr>
        <w:pStyle w:val="Prrafodelista"/>
        <w:numPr>
          <w:ilvl w:val="0"/>
          <w:numId w:val="47"/>
        </w:numPr>
        <w:spacing w:after="240" w:line="276" w:lineRule="auto"/>
        <w:rPr>
          <w:rFonts w:ascii="ITC Avant Garde" w:hAnsi="ITC Avant Garde"/>
        </w:rPr>
      </w:pPr>
      <w:r w:rsidRPr="0003024E">
        <w:rPr>
          <w:rFonts w:ascii="ITC Avant Garde" w:hAnsi="ITC Avant Garde"/>
        </w:rPr>
        <w:t xml:space="preserve">Tipo de cambio.- Debido a la dificultad de pronosticar el tipo de cambio lo más conveniente es actualizar el valor del tipo de cambio utilizado en el modelo, de acuerdo con la encuesta sobre las expectativas de los especialistas en economía que publica en Banco de México, el cual sugiere que para el año 2018 la expectativa se ubicara en 18.46 por dólar. </w:t>
      </w:r>
    </w:p>
    <w:p w14:paraId="455DB8D8" w14:textId="77777777" w:rsidR="001C4767" w:rsidRDefault="00E8537E" w:rsidP="001C4767">
      <w:pPr>
        <w:pStyle w:val="Prrafodelista"/>
        <w:numPr>
          <w:ilvl w:val="0"/>
          <w:numId w:val="47"/>
        </w:numPr>
        <w:spacing w:after="240" w:line="276" w:lineRule="auto"/>
        <w:rPr>
          <w:rFonts w:ascii="ITC Avant Garde" w:hAnsi="ITC Avant Garde"/>
        </w:rPr>
      </w:pPr>
      <w:r w:rsidRPr="0003024E">
        <w:rPr>
          <w:rFonts w:ascii="ITC Avant Garde" w:hAnsi="ITC Avant Garde"/>
        </w:rPr>
        <w:t>Precio de los insumos.- Si bien sugieren considerar la inclusión de nuevas tecnologías en el modelo de costos esto no debe representar incremento alguno de precios de los insumos, ya que las tecnologías son más eficientes de las que se han considerado en modelos previos.</w:t>
      </w:r>
    </w:p>
    <w:p w14:paraId="21C786EA" w14:textId="77777777" w:rsidR="001C4767" w:rsidRDefault="00E8537E" w:rsidP="001C4767">
      <w:pPr>
        <w:pStyle w:val="Prrafodelista"/>
        <w:numPr>
          <w:ilvl w:val="0"/>
          <w:numId w:val="48"/>
        </w:numPr>
        <w:spacing w:after="240"/>
        <w:rPr>
          <w:rFonts w:ascii="ITC Avant Garde" w:hAnsi="ITC Avant Garde"/>
          <w:b/>
        </w:rPr>
      </w:pPr>
      <w:r w:rsidRPr="0003024E">
        <w:rPr>
          <w:rFonts w:ascii="ITC Avant Garde" w:hAnsi="ITC Avant Garde"/>
          <w:b/>
        </w:rPr>
        <w:t>Consideraciones Jurídicas.</w:t>
      </w:r>
    </w:p>
    <w:p w14:paraId="62F39084" w14:textId="77777777" w:rsidR="001C4767" w:rsidRDefault="00E8537E" w:rsidP="001C4767">
      <w:pPr>
        <w:spacing w:after="240"/>
        <w:jc w:val="both"/>
        <w:rPr>
          <w:rFonts w:ascii="ITC Avant Garde" w:hAnsi="ITC Avant Garde"/>
        </w:rPr>
      </w:pPr>
      <w:r w:rsidRPr="0003024E">
        <w:rPr>
          <w:rFonts w:ascii="ITC Avant Garde" w:hAnsi="ITC Avant Garde"/>
        </w:rPr>
        <w:t xml:space="preserve">Axtel y </w:t>
      </w:r>
      <w:proofErr w:type="spellStart"/>
      <w:r w:rsidRPr="0003024E">
        <w:rPr>
          <w:rFonts w:ascii="ITC Avant Garde" w:hAnsi="ITC Avant Garde"/>
        </w:rPr>
        <w:t>Avantel</w:t>
      </w:r>
      <w:proofErr w:type="spellEnd"/>
      <w:r w:rsidRPr="0003024E">
        <w:rPr>
          <w:rFonts w:ascii="ITC Avant Garde" w:hAnsi="ITC Avant Garde"/>
        </w:rPr>
        <w:t xml:space="preserve"> señalan la obligación del Instituto de fijar tarifas de interconexión basadas en el costo de prestar el servicio con fundamento en los artículos 131de la LFTR, 95, fracción I, del Reglamento de Telecomunicaciones, las Reglas 52 y 53 de las Reglas del Servicio de Larga Distancia, artículo Noveno Transitorio de las Reglas del Servicio Local, punto III.6 del Plan de Interconexión con Redes de Larga Distancia de 1994, y los artículos 3, fracción VII, 31 y Tercero Transitorio del Plan Técnico Fundamental de Interconexión e Interoperabilidad.</w:t>
      </w:r>
    </w:p>
    <w:p w14:paraId="41DC3A62" w14:textId="77777777" w:rsidR="001C4767" w:rsidRDefault="00E8537E" w:rsidP="001C4767">
      <w:pPr>
        <w:pStyle w:val="Textoindependiente"/>
        <w:spacing w:after="240" w:line="276" w:lineRule="auto"/>
        <w:rPr>
          <w:rFonts w:ascii="ITC Avant Garde" w:hAnsi="ITC Avant Garde"/>
          <w:szCs w:val="24"/>
          <w:lang w:eastAsia="es-ES"/>
        </w:rPr>
      </w:pPr>
      <w:r w:rsidRPr="0003024E">
        <w:rPr>
          <w:rFonts w:ascii="ITC Avant Garde" w:hAnsi="ITC Avant Garde"/>
          <w:szCs w:val="24"/>
          <w:lang w:eastAsia="es-ES"/>
        </w:rPr>
        <w:t xml:space="preserve">Asimismo, manifiestan que la legislación vigente obliga al Instituto a resolver un desacuerdo de interconexión como el que nos ocupa, debiendo establecer tarifas de interconexión basadas en los siguientes criterios: </w:t>
      </w:r>
    </w:p>
    <w:p w14:paraId="654B42E0" w14:textId="34FBFB16" w:rsidR="00E8537E" w:rsidRPr="0003024E" w:rsidRDefault="00E8537E" w:rsidP="001C4767">
      <w:pPr>
        <w:pStyle w:val="Textoindependiente"/>
        <w:numPr>
          <w:ilvl w:val="0"/>
          <w:numId w:val="46"/>
        </w:numPr>
        <w:spacing w:after="240" w:line="276" w:lineRule="auto"/>
        <w:rPr>
          <w:rFonts w:ascii="ITC Avant Garde" w:hAnsi="ITC Avant Garde"/>
          <w:szCs w:val="24"/>
          <w:lang w:eastAsia="es-ES"/>
        </w:rPr>
      </w:pPr>
      <w:r w:rsidRPr="0003024E">
        <w:rPr>
          <w:rFonts w:ascii="ITC Avant Garde" w:hAnsi="ITC Avant Garde"/>
          <w:szCs w:val="24"/>
          <w:lang w:eastAsia="es-ES"/>
        </w:rPr>
        <w:t>La tarifa de interconexión que el concesionario fijo aplica a sí mismo por la terminación de llamadas locales de sus usuarios con destino a números locales deberá ofrecerse y aplicarse a los operadores de telecomunicaciones que se lo soliciten;</w:t>
      </w:r>
    </w:p>
    <w:p w14:paraId="2A5ED61E" w14:textId="77777777" w:rsidR="00E8537E" w:rsidRPr="0003024E" w:rsidRDefault="00E8537E" w:rsidP="001C4767">
      <w:pPr>
        <w:pStyle w:val="Textoindependiente"/>
        <w:numPr>
          <w:ilvl w:val="0"/>
          <w:numId w:val="46"/>
        </w:numPr>
        <w:spacing w:after="240" w:line="276" w:lineRule="auto"/>
        <w:rPr>
          <w:rFonts w:ascii="ITC Avant Garde" w:hAnsi="ITC Avant Garde"/>
          <w:szCs w:val="24"/>
          <w:lang w:eastAsia="es-ES"/>
        </w:rPr>
      </w:pPr>
      <w:r w:rsidRPr="0003024E">
        <w:rPr>
          <w:rFonts w:ascii="ITC Avant Garde" w:hAnsi="ITC Avant Garde"/>
          <w:szCs w:val="24"/>
          <w:lang w:eastAsia="es-ES"/>
        </w:rPr>
        <w:t>Deberán establecer tarifas de interconexión conforme al costo atribuible a dicha función.</w:t>
      </w:r>
    </w:p>
    <w:p w14:paraId="1348F985" w14:textId="77777777" w:rsidR="00E8537E" w:rsidRPr="0003024E" w:rsidRDefault="00E8537E" w:rsidP="001C4767">
      <w:pPr>
        <w:pStyle w:val="Textoindependiente"/>
        <w:numPr>
          <w:ilvl w:val="0"/>
          <w:numId w:val="46"/>
        </w:numPr>
        <w:spacing w:after="240" w:line="276" w:lineRule="auto"/>
        <w:rPr>
          <w:rFonts w:ascii="ITC Avant Garde" w:hAnsi="ITC Avant Garde"/>
          <w:szCs w:val="24"/>
          <w:lang w:eastAsia="es-ES"/>
        </w:rPr>
      </w:pPr>
      <w:r w:rsidRPr="0003024E">
        <w:rPr>
          <w:rFonts w:ascii="ITC Avant Garde" w:hAnsi="ITC Avant Garde"/>
          <w:szCs w:val="24"/>
          <w:lang w:eastAsia="es-ES"/>
        </w:rPr>
        <w:lastRenderedPageBreak/>
        <w:t>Se deberá promover una sana competencia entre los prestadores de servicios de telecomunicaciones.</w:t>
      </w:r>
    </w:p>
    <w:p w14:paraId="719914C4" w14:textId="77777777" w:rsidR="00E8537E" w:rsidRPr="0003024E" w:rsidRDefault="00E8537E" w:rsidP="001C4767">
      <w:pPr>
        <w:pStyle w:val="Textoindependiente"/>
        <w:numPr>
          <w:ilvl w:val="0"/>
          <w:numId w:val="46"/>
        </w:numPr>
        <w:spacing w:after="240" w:line="276" w:lineRule="auto"/>
        <w:rPr>
          <w:rFonts w:ascii="ITC Avant Garde" w:hAnsi="ITC Avant Garde"/>
          <w:szCs w:val="24"/>
          <w:lang w:eastAsia="es-ES"/>
        </w:rPr>
      </w:pPr>
      <w:r w:rsidRPr="0003024E">
        <w:rPr>
          <w:rFonts w:ascii="ITC Avant Garde" w:hAnsi="ITC Avant Garde"/>
          <w:szCs w:val="24"/>
          <w:lang w:eastAsia="es-ES"/>
        </w:rPr>
        <w:t>Debe tomarse en cuenta que cuando los precios de interconexión son elevados, estos implican mayores precios para los usuarios finales y barreras para que estos puedan disminuir como resultado de la dinámica de la competencia.</w:t>
      </w:r>
    </w:p>
    <w:p w14:paraId="1B4765B6" w14:textId="77777777" w:rsidR="001C4767" w:rsidRDefault="00E8537E" w:rsidP="001C4767">
      <w:pPr>
        <w:pStyle w:val="Textoindependiente"/>
        <w:numPr>
          <w:ilvl w:val="0"/>
          <w:numId w:val="46"/>
        </w:numPr>
        <w:spacing w:after="240" w:line="276" w:lineRule="auto"/>
        <w:rPr>
          <w:rFonts w:ascii="ITC Avant Garde" w:hAnsi="ITC Avant Garde"/>
          <w:szCs w:val="24"/>
          <w:lang w:eastAsia="es-ES"/>
        </w:rPr>
      </w:pPr>
      <w:r w:rsidRPr="0003024E">
        <w:rPr>
          <w:rFonts w:ascii="ITC Avant Garde" w:hAnsi="ITC Avant Garde"/>
          <w:szCs w:val="24"/>
          <w:lang w:eastAsia="es-ES"/>
        </w:rPr>
        <w:t>Los costos de la red se deben recuperar a través de los servicios prestados a los usuarios y no a través de la interconexión, ya que de lo contrario se estaría frente a un doble cobro.</w:t>
      </w:r>
    </w:p>
    <w:p w14:paraId="64AE4A56" w14:textId="77777777" w:rsidR="001C4767" w:rsidRDefault="00E8537E" w:rsidP="001C4767">
      <w:pPr>
        <w:spacing w:after="240"/>
        <w:jc w:val="both"/>
        <w:rPr>
          <w:rFonts w:ascii="ITC Avant Garde" w:eastAsia="Times New Roman" w:hAnsi="ITC Avant Garde"/>
          <w:b/>
        </w:rPr>
      </w:pPr>
      <w:r w:rsidRPr="0003024E">
        <w:rPr>
          <w:rFonts w:ascii="ITC Avant Garde" w:eastAsia="Times New Roman" w:hAnsi="ITC Avant Garde"/>
          <w:b/>
        </w:rPr>
        <w:t>Consideraciones del Instituto</w:t>
      </w:r>
    </w:p>
    <w:p w14:paraId="36506A86" w14:textId="77777777" w:rsidR="001C4767" w:rsidRDefault="00E8537E" w:rsidP="001C4767">
      <w:pPr>
        <w:spacing w:after="240"/>
        <w:jc w:val="both"/>
        <w:rPr>
          <w:rFonts w:ascii="ITC Avant Garde" w:eastAsia="Times New Roman" w:hAnsi="ITC Avant Garde"/>
        </w:rPr>
      </w:pPr>
      <w:r w:rsidRPr="0003024E">
        <w:rPr>
          <w:rFonts w:ascii="ITC Avant Garde" w:eastAsia="Times New Roman" w:hAnsi="ITC Avant Garde"/>
        </w:rPr>
        <w:t xml:space="preserve">Con relación a las manifestaciones realizadas en el numeral I, </w:t>
      </w:r>
      <w:r w:rsidR="00371142" w:rsidRPr="0003024E">
        <w:rPr>
          <w:rFonts w:ascii="ITC Avant Garde" w:eastAsia="Times New Roman" w:hAnsi="ITC Avant Garde"/>
        </w:rPr>
        <w:t xml:space="preserve">y no obstante que el presente procedimiento no versa sobre la tarifa de terminación en redes móviles, </w:t>
      </w:r>
      <w:r w:rsidRPr="0003024E">
        <w:rPr>
          <w:rFonts w:ascii="ITC Avant Garde" w:eastAsia="Times New Roman" w:hAnsi="ITC Avant Garde"/>
        </w:rPr>
        <w:t>este Instituto señala que el modelo de costos utilizado para resolver el presente desacuerdo ha sido actualizado en su construcción con lo cual para la determinación de tarifas en las redes móviles se considera la tecnología más reciente, esto es LTE.</w:t>
      </w:r>
    </w:p>
    <w:p w14:paraId="7223F7BF" w14:textId="77777777" w:rsidR="001C4767" w:rsidRDefault="00E8537E" w:rsidP="001C4767">
      <w:pPr>
        <w:spacing w:after="240"/>
        <w:jc w:val="both"/>
        <w:rPr>
          <w:rFonts w:ascii="ITC Avant Garde" w:eastAsia="Times New Roman" w:hAnsi="ITC Avant Garde"/>
        </w:rPr>
      </w:pPr>
      <w:r w:rsidRPr="0003024E">
        <w:rPr>
          <w:rFonts w:ascii="ITC Avant Garde" w:eastAsia="Times New Roman" w:hAnsi="ITC Avant Garde"/>
        </w:rPr>
        <w:t>Por otra parte, el lineamiento Décimo Tercero de la Metodología de Costos, establece que:</w:t>
      </w:r>
    </w:p>
    <w:p w14:paraId="18328A1C" w14:textId="77777777" w:rsidR="001C4767" w:rsidRDefault="00E8537E" w:rsidP="001C4767">
      <w:pPr>
        <w:spacing w:after="240"/>
        <w:ind w:left="567" w:right="899"/>
        <w:jc w:val="both"/>
        <w:rPr>
          <w:rFonts w:ascii="ITC Avant Garde" w:eastAsia="Times New Roman" w:hAnsi="ITC Avant Garde"/>
          <w:i/>
          <w:sz w:val="18"/>
          <w:szCs w:val="18"/>
        </w:rPr>
      </w:pPr>
      <w:r w:rsidRPr="0003024E">
        <w:rPr>
          <w:rFonts w:ascii="ITC Avant Garde" w:eastAsia="Times New Roman" w:hAnsi="ITC Avant Garde"/>
          <w:i/>
          <w:sz w:val="18"/>
          <w:szCs w:val="18"/>
        </w:rPr>
        <w:t>“</w:t>
      </w:r>
      <w:r w:rsidRPr="0003024E">
        <w:rPr>
          <w:rFonts w:ascii="ITC Avant Garde" w:eastAsia="Times New Roman" w:hAnsi="ITC Avant Garde"/>
          <w:b/>
          <w:i/>
          <w:sz w:val="18"/>
          <w:szCs w:val="18"/>
        </w:rPr>
        <w:t>DÉCIMO TERCERO.-</w:t>
      </w:r>
      <w:r w:rsidRPr="0003024E">
        <w:rPr>
          <w:rFonts w:ascii="ITC Avant Garde" w:eastAsia="Times New Roman" w:hAnsi="ITC Avant Garde"/>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39B187A3" w14:textId="77777777" w:rsidR="001C4767" w:rsidRDefault="00E8537E" w:rsidP="001C4767">
      <w:pPr>
        <w:spacing w:after="240"/>
        <w:jc w:val="both"/>
        <w:rPr>
          <w:rFonts w:ascii="ITC Avant Garde" w:hAnsi="ITC Avant Garde"/>
          <w:i/>
        </w:rPr>
      </w:pPr>
      <w:r w:rsidRPr="0003024E">
        <w:rPr>
          <w:rFonts w:ascii="ITC Avant Garde" w:eastAsia="Times New Roman" w:hAnsi="ITC Avant Garde"/>
        </w:rPr>
        <w:t>En este sentido, el lineamiento antes citado señala que el Instituto podrá actualizar anualmente la información del Modelo de Costos, por lo que en apego al mismo y además tratándose de un nuevo modelo de costos se han actualizado diversos parámetros de información como son precios de los insumos, demanda de los servicios y en particular el tipo de cambio, para lo cual se utilizó la Encuesta sobre las Expectativas de los Especialistas en Economía del Sector Privado: octubre de 2017, publicada por el Banco de México el 1 de noviembre de 2017.</w:t>
      </w:r>
    </w:p>
    <w:p w14:paraId="17B5C34D" w14:textId="77777777" w:rsidR="001C4767" w:rsidRDefault="00E8537E" w:rsidP="001C4767">
      <w:pPr>
        <w:spacing w:after="240"/>
        <w:jc w:val="both"/>
        <w:rPr>
          <w:rFonts w:ascii="ITC Avant Garde" w:eastAsia="Times New Roman" w:hAnsi="ITC Avant Garde"/>
          <w:szCs w:val="24"/>
          <w:lang w:eastAsia="es-ES"/>
        </w:rPr>
      </w:pPr>
      <w:r w:rsidRPr="0003024E">
        <w:rPr>
          <w:rFonts w:ascii="ITC Avant Garde" w:eastAsia="Times New Roman" w:hAnsi="ITC Avant Garde"/>
          <w:szCs w:val="24"/>
          <w:lang w:eastAsia="es-ES"/>
        </w:rPr>
        <w:t>Ahora bien, con relación a lo manifestado por Axtel y Avantel en el numeral II, se señala que las tarifas de terminación en las redes de dichos concesionarios se han determinado de conformidad con la Metodología de Costos, es decir, en estricto apego a lo señalado en el artículo 137 de la LFTR.</w:t>
      </w:r>
    </w:p>
    <w:p w14:paraId="5A73113F" w14:textId="77777777" w:rsidR="001C4767" w:rsidRDefault="00E8537E" w:rsidP="001C4767">
      <w:pPr>
        <w:spacing w:after="240"/>
        <w:jc w:val="both"/>
        <w:rPr>
          <w:rFonts w:ascii="ITC Avant Garde" w:eastAsia="Times New Roman" w:hAnsi="ITC Avant Garde"/>
          <w:szCs w:val="24"/>
          <w:lang w:eastAsia="es-ES"/>
        </w:rPr>
      </w:pPr>
      <w:r w:rsidRPr="0003024E">
        <w:rPr>
          <w:rFonts w:ascii="ITC Avant Garde" w:eastAsia="Times New Roman" w:hAnsi="ITC Avant Garde"/>
          <w:szCs w:val="24"/>
          <w:lang w:eastAsia="es-ES"/>
        </w:rPr>
        <w:lastRenderedPageBreak/>
        <w:t>La Metodología de Costos se ha definido en concordancia con la LFTR, con el propósito de promover una mayor competencia en la provisión de servicios finales, que no se trasladen elevados márgenes de las tarifas de interconexión a los precios de los usuarios de los servicios de telecomunicaciones, y que se promueva una estructura tarifaria más eficiente con menores precios que incentive el crecimiento de la demanda del servicio.</w:t>
      </w:r>
    </w:p>
    <w:p w14:paraId="69847C55" w14:textId="77777777" w:rsidR="001C4767" w:rsidRDefault="00E8537E" w:rsidP="001C4767">
      <w:pPr>
        <w:spacing w:after="240"/>
        <w:jc w:val="both"/>
        <w:rPr>
          <w:rFonts w:ascii="ITC Avant Garde" w:eastAsia="Times New Roman" w:hAnsi="ITC Avant Garde"/>
          <w:lang w:eastAsia="es-ES"/>
        </w:rPr>
      </w:pPr>
      <w:r w:rsidRPr="0003024E">
        <w:rPr>
          <w:rFonts w:ascii="ITC Avant Garde" w:eastAsia="Times New Roman" w:hAnsi="ITC Avant Garde"/>
          <w:lang w:eastAsia="es-ES"/>
        </w:rPr>
        <w:t>Una vez analizadas las manifestaciones generales de Axtel y Avantel, en términos del artículo 129 de la LFTR se procede a resolver sobre las condiciones no convenidas.</w:t>
      </w:r>
    </w:p>
    <w:p w14:paraId="70BE6B2C" w14:textId="77777777" w:rsidR="001C4767" w:rsidRDefault="00ED7894" w:rsidP="001C4767">
      <w:pPr>
        <w:pStyle w:val="Prrafodelista"/>
        <w:numPr>
          <w:ilvl w:val="0"/>
          <w:numId w:val="16"/>
        </w:numPr>
        <w:spacing w:after="240" w:line="276" w:lineRule="auto"/>
        <w:ind w:left="426"/>
        <w:rPr>
          <w:rFonts w:ascii="ITC Avant Garde" w:hAnsi="ITC Avant Garde" w:cs="Arial"/>
        </w:rPr>
      </w:pPr>
      <w:r w:rsidRPr="0003024E">
        <w:rPr>
          <w:rFonts w:ascii="ITC Avant Garde" w:hAnsi="ITC Avant Garde" w:cs="Arial"/>
          <w:b/>
        </w:rPr>
        <w:t>Tarifas de Interconexión</w:t>
      </w:r>
    </w:p>
    <w:p w14:paraId="457A89D8" w14:textId="77777777" w:rsidR="001C4767" w:rsidRDefault="006C548F" w:rsidP="001C4767">
      <w:pPr>
        <w:pStyle w:val="Textoindependiente"/>
        <w:spacing w:after="240" w:line="276" w:lineRule="auto"/>
        <w:rPr>
          <w:rFonts w:ascii="ITC Avant Garde" w:hAnsi="ITC Avant Garde" w:cs="Arial"/>
          <w:szCs w:val="22"/>
        </w:rPr>
      </w:pPr>
      <w:r w:rsidRPr="0003024E">
        <w:rPr>
          <w:rFonts w:ascii="ITC Avant Garde" w:hAnsi="ITC Avant Garde" w:cs="Arial"/>
          <w:szCs w:val="22"/>
        </w:rPr>
        <w:t>En la Solicitud de Resolución</w:t>
      </w:r>
      <w:r w:rsidR="00C16372" w:rsidRPr="0003024E">
        <w:rPr>
          <w:rFonts w:ascii="ITC Avant Garde" w:hAnsi="ITC Avant Garde" w:cs="Arial"/>
          <w:szCs w:val="22"/>
        </w:rPr>
        <w:t>, as</w:t>
      </w:r>
      <w:r w:rsidR="00BC6A18" w:rsidRPr="0003024E">
        <w:rPr>
          <w:rFonts w:ascii="ITC Avant Garde" w:hAnsi="ITC Avant Garde" w:cs="Arial"/>
          <w:szCs w:val="22"/>
        </w:rPr>
        <w:t xml:space="preserve">í como en el escrito presentado en el Instituto, </w:t>
      </w:r>
      <w:r w:rsidR="00C16372" w:rsidRPr="0003024E">
        <w:rPr>
          <w:rFonts w:ascii="ITC Avant Garde" w:hAnsi="ITC Avant Garde" w:cs="Arial"/>
          <w:szCs w:val="22"/>
        </w:rPr>
        <w:t>el</w:t>
      </w:r>
      <w:r w:rsidR="00403C6D" w:rsidRPr="0003024E">
        <w:rPr>
          <w:rFonts w:ascii="ITC Avant Garde" w:hAnsi="ITC Avant Garde" w:cs="Arial"/>
          <w:szCs w:val="22"/>
        </w:rPr>
        <w:t xml:space="preserve"> 8</w:t>
      </w:r>
      <w:r w:rsidR="00C16372" w:rsidRPr="0003024E">
        <w:rPr>
          <w:rFonts w:ascii="ITC Avant Garde" w:hAnsi="ITC Avant Garde" w:cs="Arial"/>
          <w:szCs w:val="22"/>
        </w:rPr>
        <w:t xml:space="preserve"> de agosto de 2017</w:t>
      </w:r>
      <w:r w:rsidRPr="0003024E">
        <w:rPr>
          <w:rFonts w:ascii="ITC Avant Garde" w:hAnsi="ITC Avant Garde" w:cs="Arial"/>
          <w:szCs w:val="22"/>
        </w:rPr>
        <w:t xml:space="preserve">, </w:t>
      </w:r>
      <w:r w:rsidR="00403C6D" w:rsidRPr="0003024E">
        <w:rPr>
          <w:rFonts w:ascii="ITC Avant Garde" w:hAnsi="ITC Avant Garde" w:cs="Arial"/>
          <w:szCs w:val="22"/>
        </w:rPr>
        <w:t xml:space="preserve">Axtel y Avantel </w:t>
      </w:r>
      <w:r w:rsidR="00BC6A18" w:rsidRPr="0003024E">
        <w:rPr>
          <w:rFonts w:ascii="ITC Avant Garde" w:hAnsi="ITC Avant Garde" w:cs="Arial"/>
          <w:szCs w:val="22"/>
        </w:rPr>
        <w:t>solicita</w:t>
      </w:r>
      <w:r w:rsidR="00403C6D" w:rsidRPr="0003024E">
        <w:rPr>
          <w:rFonts w:ascii="ITC Avant Garde" w:hAnsi="ITC Avant Garde" w:cs="Arial"/>
          <w:szCs w:val="22"/>
        </w:rPr>
        <w:t>n</w:t>
      </w:r>
      <w:r w:rsidRPr="0003024E">
        <w:rPr>
          <w:rFonts w:ascii="ITC Avant Garde" w:hAnsi="ITC Avant Garde" w:cs="Arial"/>
          <w:szCs w:val="22"/>
        </w:rPr>
        <w:t xml:space="preserve"> la determinación de la tarifa por Servicios de Terminación del Servicio Local en usuarios fijos por minuto de interconexión, para el</w:t>
      </w:r>
      <w:r w:rsidR="00BC6A18" w:rsidRPr="0003024E">
        <w:rPr>
          <w:rFonts w:ascii="ITC Avant Garde" w:hAnsi="ITC Avant Garde" w:cs="Arial"/>
          <w:szCs w:val="22"/>
        </w:rPr>
        <w:t xml:space="preserve"> periodo comprendido entre el 1</w:t>
      </w:r>
      <w:r w:rsidRPr="0003024E">
        <w:rPr>
          <w:rFonts w:ascii="ITC Avant Garde" w:hAnsi="ITC Avant Garde" w:cs="Arial"/>
          <w:szCs w:val="22"/>
        </w:rPr>
        <w:t xml:space="preserve"> de enero</w:t>
      </w:r>
      <w:r w:rsidR="00BC6A18" w:rsidRPr="0003024E">
        <w:rPr>
          <w:rFonts w:ascii="ITC Avant Garde" w:hAnsi="ITC Avant Garde" w:cs="Arial"/>
          <w:szCs w:val="22"/>
        </w:rPr>
        <w:t xml:space="preserve"> de 2018</w:t>
      </w:r>
      <w:r w:rsidRPr="0003024E">
        <w:rPr>
          <w:rFonts w:ascii="ITC Avant Garde" w:hAnsi="ITC Avant Garde" w:cs="Arial"/>
          <w:szCs w:val="22"/>
        </w:rPr>
        <w:t xml:space="preserve"> al 31 de diciembre de 201</w:t>
      </w:r>
      <w:r w:rsidR="00BC6A18" w:rsidRPr="0003024E">
        <w:rPr>
          <w:rFonts w:ascii="ITC Avant Garde" w:hAnsi="ITC Avant Garde" w:cs="Arial"/>
          <w:szCs w:val="22"/>
        </w:rPr>
        <w:t>8.</w:t>
      </w:r>
    </w:p>
    <w:p w14:paraId="699E4EFC" w14:textId="77777777" w:rsidR="001C4767" w:rsidRDefault="00BC6A18" w:rsidP="001C4767">
      <w:pPr>
        <w:spacing w:after="240"/>
        <w:jc w:val="both"/>
        <w:rPr>
          <w:rFonts w:ascii="ITC Avant Garde" w:eastAsia="Times New Roman" w:hAnsi="ITC Avant Garde" w:cs="Arial"/>
        </w:rPr>
      </w:pPr>
      <w:r w:rsidRPr="0003024E">
        <w:rPr>
          <w:rFonts w:ascii="ITC Avant Garde" w:eastAsia="Times New Roman" w:hAnsi="ITC Avant Garde" w:cs="Arial"/>
        </w:rPr>
        <w:t xml:space="preserve">Por su parte, </w:t>
      </w:r>
      <w:r w:rsidR="00924231" w:rsidRPr="0003024E">
        <w:rPr>
          <w:rFonts w:ascii="ITC Avant Garde" w:eastAsia="Times New Roman" w:hAnsi="ITC Avant Garde" w:cs="Arial"/>
        </w:rPr>
        <w:t>MCM solicitó al Instituto que las tarifas que determine sean con base en un modelo de costos incrementales promedio de largo plazo, utiliza</w:t>
      </w:r>
      <w:r w:rsidR="00701115" w:rsidRPr="0003024E">
        <w:rPr>
          <w:rFonts w:ascii="ITC Avant Garde" w:eastAsia="Times New Roman" w:hAnsi="ITC Avant Garde" w:cs="Arial"/>
        </w:rPr>
        <w:t>n</w:t>
      </w:r>
      <w:r w:rsidR="00924231" w:rsidRPr="0003024E">
        <w:rPr>
          <w:rFonts w:ascii="ITC Avant Garde" w:eastAsia="Times New Roman" w:hAnsi="ITC Avant Garde" w:cs="Arial"/>
        </w:rPr>
        <w:t>do un operador hipotético eficiente, donde no se dé un trato discriminatorio a las redes fijas y móviles.</w:t>
      </w:r>
    </w:p>
    <w:p w14:paraId="020F27B7" w14:textId="77777777" w:rsidR="001C4767" w:rsidRDefault="006C548F" w:rsidP="001C4767">
      <w:pPr>
        <w:widowControl w:val="0"/>
        <w:tabs>
          <w:tab w:val="center" w:pos="4419"/>
          <w:tab w:val="right" w:pos="8838"/>
        </w:tabs>
        <w:spacing w:after="240"/>
        <w:jc w:val="both"/>
        <w:rPr>
          <w:rFonts w:ascii="ITC Avant Garde" w:eastAsia="Times New Roman" w:hAnsi="ITC Avant Garde" w:cs="Arial"/>
          <w:b/>
        </w:rPr>
      </w:pPr>
      <w:r w:rsidRPr="0003024E">
        <w:rPr>
          <w:rFonts w:ascii="ITC Avant Garde" w:eastAsia="Times New Roman" w:hAnsi="ITC Avant Garde" w:cs="Arial"/>
          <w:b/>
        </w:rPr>
        <w:t xml:space="preserve">Consideraciones del Instituto </w:t>
      </w:r>
    </w:p>
    <w:p w14:paraId="52158170" w14:textId="77777777" w:rsidR="001C4767" w:rsidRDefault="00FF37F1" w:rsidP="001C4767">
      <w:pPr>
        <w:spacing w:after="240"/>
        <w:jc w:val="both"/>
        <w:rPr>
          <w:rFonts w:ascii="ITC Avant Garde" w:hAnsi="ITC Avant Garde" w:cs="Arial"/>
        </w:rPr>
      </w:pPr>
      <w:r w:rsidRPr="0003024E">
        <w:rPr>
          <w:rFonts w:ascii="ITC Avant Garde" w:hAnsi="ITC Avant Garde" w:cs="Arial"/>
        </w:rPr>
        <w:t xml:space="preserve">Para la </w:t>
      </w:r>
      <w:r w:rsidR="001C6A6A" w:rsidRPr="0003024E">
        <w:rPr>
          <w:rFonts w:ascii="ITC Avant Garde" w:hAnsi="ITC Avant Garde" w:cs="Arial"/>
        </w:rPr>
        <w:t xml:space="preserve">determinación de las tarifas de interconexión en las redes públicas de telecomunicaciones de </w:t>
      </w:r>
      <w:r w:rsidR="00682B08" w:rsidRPr="0003024E">
        <w:rPr>
          <w:rFonts w:ascii="ITC Avant Garde" w:hAnsi="ITC Avant Garde" w:cs="Arial"/>
        </w:rPr>
        <w:t>Axtel, Avantel</w:t>
      </w:r>
      <w:r w:rsidRPr="0003024E">
        <w:rPr>
          <w:rFonts w:ascii="ITC Avant Garde" w:hAnsi="ITC Avant Garde" w:cs="Arial"/>
        </w:rPr>
        <w:t xml:space="preserve"> y </w:t>
      </w:r>
      <w:r w:rsidR="00D05293" w:rsidRPr="0003024E">
        <w:rPr>
          <w:rFonts w:ascii="ITC Avant Garde" w:hAnsi="ITC Avant Garde" w:cs="Arial"/>
        </w:rPr>
        <w:t>MCM</w:t>
      </w:r>
      <w:r w:rsidR="001C6A6A" w:rsidRPr="0003024E">
        <w:rPr>
          <w:rFonts w:ascii="ITC Avant Garde" w:hAnsi="ITC Avant Garde" w:cs="Arial"/>
        </w:rPr>
        <w:t>, se debe considerar que la propia LFTR establece el marco normativo y regulatorio aplicable para la fijación de las tarifas de interconexión.</w:t>
      </w:r>
    </w:p>
    <w:p w14:paraId="6FE76EFE" w14:textId="77777777" w:rsidR="001C4767" w:rsidRDefault="006C548F" w:rsidP="001C4767">
      <w:pPr>
        <w:widowControl w:val="0"/>
        <w:spacing w:after="240"/>
        <w:jc w:val="both"/>
        <w:rPr>
          <w:rFonts w:ascii="ITC Avant Garde" w:hAnsi="ITC Avant Garde" w:cs="Arial"/>
        </w:rPr>
      </w:pPr>
      <w:r w:rsidRPr="0003024E">
        <w:rPr>
          <w:rFonts w:ascii="ITC Avant Garde" w:eastAsia="Times New Roman" w:hAnsi="ITC Avant Garde" w:cs="Arial"/>
        </w:rPr>
        <w:t xml:space="preserve">A tal efecto, </w:t>
      </w:r>
      <w:r w:rsidRPr="0003024E">
        <w:rPr>
          <w:rFonts w:ascii="ITC Avant Garde" w:hAnsi="ITC Avant Garde" w:cs="Arial"/>
        </w:rPr>
        <w:t xml:space="preserve">el artículo 131 de la </w:t>
      </w:r>
      <w:r w:rsidR="003E04B6" w:rsidRPr="0003024E">
        <w:rPr>
          <w:rFonts w:ascii="ITC Avant Garde" w:hAnsi="ITC Avant Garde" w:cs="Arial"/>
        </w:rPr>
        <w:t>LFTR</w:t>
      </w:r>
      <w:r w:rsidRPr="0003024E">
        <w:rPr>
          <w:rFonts w:ascii="ITC Avant Garde" w:hAnsi="ITC Avant Garde" w:cs="Arial"/>
        </w:rPr>
        <w:t xml:space="preserve"> dispone lo siguiente:</w:t>
      </w:r>
    </w:p>
    <w:p w14:paraId="5AE074AF" w14:textId="77777777" w:rsidR="001C4767" w:rsidRDefault="00AD055D" w:rsidP="001C4767">
      <w:pPr>
        <w:spacing w:after="240"/>
        <w:ind w:left="567" w:right="615"/>
        <w:jc w:val="both"/>
        <w:rPr>
          <w:rFonts w:ascii="ITC Avant Garde" w:hAnsi="ITC Avant Garde" w:cs="Arial"/>
          <w:i/>
          <w:sz w:val="18"/>
          <w:szCs w:val="18"/>
        </w:rPr>
      </w:pPr>
      <w:r w:rsidRPr="0003024E">
        <w:rPr>
          <w:rFonts w:ascii="ITC Avant Garde" w:hAnsi="ITC Avant Garde" w:cs="Arial"/>
          <w:i/>
          <w:sz w:val="18"/>
          <w:szCs w:val="18"/>
        </w:rPr>
        <w:t>«</w:t>
      </w:r>
      <w:r w:rsidR="006C548F" w:rsidRPr="0003024E">
        <w:rPr>
          <w:rFonts w:ascii="ITC Avant Garde" w:hAnsi="ITC Avant Garde" w:cs="Arial"/>
          <w:b/>
          <w:i/>
          <w:sz w:val="18"/>
          <w:szCs w:val="18"/>
        </w:rPr>
        <w:t>Artículo 131.</w:t>
      </w:r>
      <w:r w:rsidR="006C548F" w:rsidRPr="0003024E">
        <w:rPr>
          <w:rFonts w:ascii="ITC Avant Garde" w:hAnsi="ITC Avant Garde" w:cs="Arial"/>
          <w:i/>
          <w:sz w:val="18"/>
          <w:szCs w:val="18"/>
        </w:rPr>
        <w:t xml:space="preserve"> […]</w:t>
      </w:r>
    </w:p>
    <w:p w14:paraId="656F1C18" w14:textId="77777777" w:rsidR="001C4767" w:rsidRDefault="006C548F" w:rsidP="001C4767">
      <w:pPr>
        <w:spacing w:after="240"/>
        <w:ind w:left="567" w:right="615"/>
        <w:jc w:val="both"/>
        <w:rPr>
          <w:rFonts w:ascii="ITC Avant Garde" w:hAnsi="ITC Avant Garde" w:cs="Arial"/>
          <w:i/>
          <w:sz w:val="18"/>
          <w:szCs w:val="18"/>
        </w:rPr>
      </w:pPr>
      <w:r w:rsidRPr="0003024E">
        <w:rPr>
          <w:rFonts w:ascii="ITC Avant Garde" w:hAnsi="ITC Avant Garde" w:cs="Arial"/>
          <w:i/>
          <w:sz w:val="18"/>
          <w:szCs w:val="18"/>
        </w:rPr>
        <w:t>[…]</w:t>
      </w:r>
    </w:p>
    <w:p w14:paraId="7426C0A2" w14:textId="77777777" w:rsidR="001C4767" w:rsidRDefault="006C548F" w:rsidP="001C4767">
      <w:pPr>
        <w:spacing w:after="240"/>
        <w:ind w:left="567" w:right="615"/>
        <w:jc w:val="both"/>
        <w:rPr>
          <w:rFonts w:ascii="ITC Avant Garde" w:hAnsi="ITC Avant Garde" w:cs="Arial"/>
          <w:i/>
          <w:sz w:val="18"/>
          <w:szCs w:val="18"/>
        </w:rPr>
      </w:pPr>
      <w:r w:rsidRPr="0003024E">
        <w:rPr>
          <w:rFonts w:ascii="ITC Avant Garde" w:hAnsi="ITC Avant Garde" w:cs="Arial"/>
          <w:b/>
          <w:i/>
          <w:sz w:val="18"/>
          <w:szCs w:val="18"/>
        </w:rPr>
        <w:t>b)</w:t>
      </w:r>
      <w:r w:rsidRPr="0003024E">
        <w:rPr>
          <w:rFonts w:ascii="ITC Avant Garde" w:hAnsi="ITC Avant Garde" w:cs="Arial"/>
          <w:i/>
          <w:sz w:val="18"/>
          <w:szCs w:val="18"/>
        </w:rPr>
        <w:t xml:space="preserve"> Para el tráfico que termine en la red de los demás concesionarios, la tarifa de interconexión será negociada libremente.</w:t>
      </w:r>
    </w:p>
    <w:p w14:paraId="0A17A676" w14:textId="77777777" w:rsidR="001C4767" w:rsidRDefault="006C548F" w:rsidP="001C4767">
      <w:pPr>
        <w:spacing w:after="240"/>
        <w:ind w:left="567" w:right="615"/>
        <w:jc w:val="both"/>
        <w:rPr>
          <w:rFonts w:ascii="ITC Avant Garde" w:hAnsi="ITC Avant Garde" w:cs="Arial"/>
          <w:i/>
          <w:sz w:val="18"/>
          <w:szCs w:val="18"/>
        </w:rPr>
      </w:pPr>
      <w:r w:rsidRPr="0003024E">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707EC86" w14:textId="77777777" w:rsidR="001C4767" w:rsidRDefault="006C548F" w:rsidP="001C4767">
      <w:pPr>
        <w:spacing w:after="240"/>
        <w:ind w:left="567" w:right="615"/>
        <w:jc w:val="both"/>
        <w:rPr>
          <w:rFonts w:ascii="ITC Avant Garde" w:hAnsi="ITC Avant Garde" w:cs="Arial"/>
          <w:i/>
          <w:sz w:val="18"/>
          <w:szCs w:val="18"/>
        </w:rPr>
      </w:pPr>
      <w:r w:rsidRPr="0003024E">
        <w:rPr>
          <w:rFonts w:ascii="ITC Avant Garde" w:hAnsi="ITC Avant Garde" w:cs="Arial"/>
          <w:i/>
          <w:sz w:val="18"/>
          <w:szCs w:val="18"/>
        </w:rPr>
        <w:t xml:space="preserve">Las tarifas que determine el Instituto con base en dicha metodología deberán ser transparentes, razonables y, en su caso, asimétricas, considerando la participación de </w:t>
      </w:r>
      <w:r w:rsidRPr="0003024E">
        <w:rPr>
          <w:rFonts w:ascii="ITC Avant Garde" w:hAnsi="ITC Avant Garde" w:cs="Arial"/>
          <w:i/>
          <w:sz w:val="18"/>
          <w:szCs w:val="18"/>
        </w:rPr>
        <w:lastRenderedPageBreak/>
        <w:t>mercado, los horarios de congestionamiento de red, el volumen de tráfico u otras que determine el Instituto.</w:t>
      </w:r>
    </w:p>
    <w:p w14:paraId="7CC85782" w14:textId="77777777" w:rsidR="001C4767" w:rsidRDefault="006C548F" w:rsidP="001C4767">
      <w:pPr>
        <w:spacing w:after="240"/>
        <w:ind w:left="567" w:right="615"/>
        <w:jc w:val="both"/>
        <w:rPr>
          <w:rFonts w:ascii="ITC Avant Garde" w:hAnsi="ITC Avant Garde" w:cs="Arial"/>
          <w:i/>
          <w:sz w:val="18"/>
          <w:szCs w:val="18"/>
        </w:rPr>
      </w:pPr>
      <w:r w:rsidRPr="0003024E">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459D8C6" w14:textId="77777777" w:rsidR="001C4767" w:rsidRDefault="00AD055D" w:rsidP="001C4767">
      <w:pPr>
        <w:spacing w:after="240"/>
        <w:ind w:left="567" w:right="615"/>
        <w:jc w:val="both"/>
        <w:rPr>
          <w:rFonts w:ascii="ITC Avant Garde" w:hAnsi="ITC Avant Garde" w:cs="Arial"/>
          <w:i/>
          <w:sz w:val="18"/>
          <w:szCs w:val="18"/>
        </w:rPr>
      </w:pPr>
      <w:r w:rsidRPr="0003024E">
        <w:rPr>
          <w:rFonts w:ascii="ITC Avant Garde" w:hAnsi="ITC Avant Garde" w:cs="Arial"/>
          <w:i/>
          <w:sz w:val="18"/>
          <w:szCs w:val="18"/>
        </w:rPr>
        <w:t>[…]»</w:t>
      </w:r>
    </w:p>
    <w:p w14:paraId="3DD67D56" w14:textId="77777777" w:rsidR="001C4767" w:rsidRDefault="006C548F" w:rsidP="001C4767">
      <w:pPr>
        <w:spacing w:after="240"/>
        <w:ind w:right="20"/>
        <w:jc w:val="both"/>
        <w:rPr>
          <w:rFonts w:ascii="ITC Avant Garde" w:hAnsi="ITC Avant Garde" w:cs="Arial"/>
          <w:b/>
        </w:rPr>
      </w:pPr>
      <w:r w:rsidRPr="0003024E">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71119AD3" w14:textId="77777777" w:rsidR="001C4767" w:rsidRDefault="006C548F" w:rsidP="001C4767">
      <w:pPr>
        <w:spacing w:after="240"/>
        <w:ind w:right="20"/>
        <w:jc w:val="both"/>
        <w:rPr>
          <w:rFonts w:ascii="ITC Avant Garde" w:hAnsi="ITC Avant Garde" w:cs="Arial"/>
        </w:rPr>
      </w:pPr>
      <w:r w:rsidRPr="0003024E">
        <w:rPr>
          <w:rFonts w:ascii="ITC Avant Garde" w:hAnsi="ITC Avant Garde" w:cs="Arial"/>
        </w:rPr>
        <w:t xml:space="preserve">En este orden de ideas, el artículo 137 de la </w:t>
      </w:r>
      <w:r w:rsidR="003E04B6" w:rsidRPr="0003024E">
        <w:rPr>
          <w:rFonts w:ascii="ITC Avant Garde" w:hAnsi="ITC Avant Garde" w:cs="Arial"/>
        </w:rPr>
        <w:t>LFTR</w:t>
      </w:r>
      <w:r w:rsidRPr="0003024E">
        <w:rPr>
          <w:rFonts w:ascii="ITC Avant Garde" w:hAnsi="ITC Avant Garde" w:cs="Arial"/>
        </w:rPr>
        <w:t xml:space="preserve"> señala a la letra lo siguiente:</w:t>
      </w:r>
    </w:p>
    <w:p w14:paraId="4141C296" w14:textId="77777777" w:rsidR="001C4767" w:rsidRDefault="006C548F" w:rsidP="001C4767">
      <w:pPr>
        <w:tabs>
          <w:tab w:val="left" w:pos="4678"/>
        </w:tabs>
        <w:spacing w:after="240"/>
        <w:ind w:left="567" w:right="615"/>
        <w:jc w:val="both"/>
        <w:rPr>
          <w:rFonts w:ascii="ITC Avant Garde" w:hAnsi="ITC Avant Garde" w:cs="Arial"/>
          <w:i/>
          <w:sz w:val="18"/>
          <w:szCs w:val="18"/>
        </w:rPr>
      </w:pPr>
      <w:r w:rsidRPr="0003024E">
        <w:rPr>
          <w:rFonts w:ascii="ITC Avant Garde" w:hAnsi="ITC Avant Garde" w:cs="Arial"/>
          <w:b/>
          <w:i/>
          <w:sz w:val="18"/>
          <w:szCs w:val="18"/>
        </w:rPr>
        <w:t>“Artículo 137.</w:t>
      </w:r>
      <w:r w:rsidRPr="0003024E">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9BBA1A6" w14:textId="77777777" w:rsidR="001C4767" w:rsidRDefault="006C548F" w:rsidP="001C4767">
      <w:pPr>
        <w:spacing w:after="240"/>
        <w:ind w:right="20"/>
        <w:jc w:val="both"/>
        <w:rPr>
          <w:rFonts w:ascii="ITC Avant Garde" w:eastAsia="Times New Roman" w:hAnsi="ITC Avant Garde" w:cs="Arial"/>
        </w:rPr>
      </w:pPr>
      <w:r w:rsidRPr="0003024E">
        <w:rPr>
          <w:rFonts w:ascii="ITC Avant Garde" w:eastAsia="Times New Roman" w:hAnsi="ITC Avant Garde" w:cs="Arial"/>
        </w:rPr>
        <w:t>En apego a dicha metodología y en cumplimiento a lo establecido en el artículo 137</w:t>
      </w:r>
      <w:r w:rsidR="00AD055D" w:rsidRPr="0003024E">
        <w:rPr>
          <w:rFonts w:ascii="ITC Avant Garde" w:eastAsia="Times New Roman" w:hAnsi="ITC Avant Garde" w:cs="Arial"/>
        </w:rPr>
        <w:t xml:space="preserve"> de la LFTR</w:t>
      </w:r>
      <w:r w:rsidRPr="0003024E">
        <w:rPr>
          <w:rFonts w:ascii="ITC Avant Garde" w:eastAsia="Times New Roman" w:hAnsi="ITC Avant Garde" w:cs="Arial"/>
        </w:rPr>
        <w:t xml:space="preserve">, el Instituto publicó en el DOF </w:t>
      </w:r>
      <w:r w:rsidR="00AD055D" w:rsidRPr="0003024E">
        <w:rPr>
          <w:rFonts w:ascii="ITC Avant Garde" w:eastAsia="Times New Roman" w:hAnsi="ITC Avant Garde" w:cs="Arial"/>
        </w:rPr>
        <w:t xml:space="preserve">el </w:t>
      </w:r>
      <w:r w:rsidR="00682B08" w:rsidRPr="0003024E">
        <w:rPr>
          <w:rFonts w:ascii="ITC Avant Garde" w:eastAsia="Times New Roman" w:hAnsi="ITC Avant Garde" w:cs="Arial"/>
        </w:rPr>
        <w:t>9</w:t>
      </w:r>
      <w:r w:rsidRPr="0003024E">
        <w:rPr>
          <w:rFonts w:ascii="ITC Avant Garde" w:eastAsia="Times New Roman" w:hAnsi="ITC Avant Garde" w:cs="Arial"/>
        </w:rPr>
        <w:t xml:space="preserve"> de </w:t>
      </w:r>
      <w:r w:rsidR="00AD055D" w:rsidRPr="0003024E">
        <w:rPr>
          <w:rFonts w:ascii="ITC Avant Garde" w:eastAsia="Times New Roman" w:hAnsi="ITC Avant Garde" w:cs="Arial"/>
        </w:rPr>
        <w:t xml:space="preserve">noviembre </w:t>
      </w:r>
      <w:r w:rsidRPr="0003024E">
        <w:rPr>
          <w:rFonts w:ascii="ITC Avant Garde" w:eastAsia="Times New Roman" w:hAnsi="ITC Avant Garde" w:cs="Arial"/>
        </w:rPr>
        <w:t>de 201</w:t>
      </w:r>
      <w:r w:rsidR="00AD055D" w:rsidRPr="0003024E">
        <w:rPr>
          <w:rFonts w:ascii="ITC Avant Garde" w:eastAsia="Times New Roman" w:hAnsi="ITC Avant Garde" w:cs="Arial"/>
        </w:rPr>
        <w:t>7</w:t>
      </w:r>
      <w:r w:rsidRPr="0003024E">
        <w:rPr>
          <w:rFonts w:ascii="ITC Avant Garde" w:eastAsia="Times New Roman" w:hAnsi="ITC Avant Garde" w:cs="Arial"/>
        </w:rPr>
        <w:t>, el Acuerdo CTM y Tarifas 201</w:t>
      </w:r>
      <w:r w:rsidR="00AD055D" w:rsidRPr="0003024E">
        <w:rPr>
          <w:rFonts w:ascii="ITC Avant Garde" w:eastAsia="Times New Roman" w:hAnsi="ITC Avant Garde" w:cs="Arial"/>
        </w:rPr>
        <w:t>8</w:t>
      </w:r>
      <w:r w:rsidRPr="0003024E">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w:t>
      </w:r>
      <w:r w:rsidR="00AD055D" w:rsidRPr="0003024E">
        <w:rPr>
          <w:rFonts w:ascii="ITC Avant Garde" w:eastAsia="Times New Roman" w:hAnsi="ITC Avant Garde" w:cs="Arial"/>
        </w:rPr>
        <w:t>8</w:t>
      </w:r>
      <w:r w:rsidRPr="0003024E">
        <w:rPr>
          <w:rFonts w:ascii="ITC Avant Garde" w:eastAsia="Times New Roman" w:hAnsi="ITC Avant Garde" w:cs="Arial"/>
        </w:rPr>
        <w:t>.</w:t>
      </w:r>
    </w:p>
    <w:p w14:paraId="0B7A2DA4" w14:textId="77777777" w:rsidR="001C4767" w:rsidRDefault="006C548F" w:rsidP="001C4767">
      <w:pPr>
        <w:spacing w:after="240"/>
        <w:ind w:right="20"/>
        <w:jc w:val="both"/>
        <w:rPr>
          <w:rFonts w:ascii="ITC Avant Garde" w:eastAsia="Times New Roman" w:hAnsi="ITC Avant Garde" w:cs="Arial"/>
        </w:rPr>
      </w:pPr>
      <w:r w:rsidRPr="0003024E">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w:t>
      </w:r>
      <w:r w:rsidR="00AD055D" w:rsidRPr="0003024E">
        <w:rPr>
          <w:rFonts w:ascii="ITC Avant Garde" w:eastAsia="Times New Roman" w:hAnsi="ITC Avant Garde" w:cs="Arial"/>
        </w:rPr>
        <w:t>8</w:t>
      </w:r>
      <w:r w:rsidRPr="0003024E">
        <w:rPr>
          <w:rFonts w:ascii="ITC Avant Garde" w:eastAsia="Times New Roman" w:hAnsi="ITC Avant Garde" w:cs="Arial"/>
        </w:rPr>
        <w:t>.</w:t>
      </w:r>
    </w:p>
    <w:p w14:paraId="4AF3779E" w14:textId="77777777" w:rsidR="001C4767" w:rsidRDefault="006C548F" w:rsidP="001C4767">
      <w:pPr>
        <w:spacing w:after="240"/>
        <w:ind w:right="20"/>
        <w:jc w:val="both"/>
        <w:rPr>
          <w:rFonts w:ascii="ITC Avant Garde" w:hAnsi="ITC Avant Garde" w:cs="Arial"/>
        </w:rPr>
      </w:pPr>
      <w:r w:rsidRPr="0003024E">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44ECA9E2" w14:textId="77777777" w:rsidR="001C4767" w:rsidRDefault="006C548F" w:rsidP="001C4767">
      <w:pPr>
        <w:spacing w:after="240"/>
        <w:jc w:val="both"/>
        <w:rPr>
          <w:rFonts w:ascii="ITC Avant Garde" w:eastAsia="Times New Roman" w:hAnsi="ITC Avant Garde" w:cs="Arial"/>
        </w:rPr>
      </w:pPr>
      <w:r w:rsidRPr="0003024E">
        <w:rPr>
          <w:rFonts w:ascii="ITC Avant Garde" w:hAnsi="ITC Avant Garde"/>
          <w:spacing w:val="-4"/>
          <w:lang w:val="es-ES"/>
        </w:rPr>
        <w:t>En tal virtud</w:t>
      </w:r>
      <w:r w:rsidRPr="0003024E">
        <w:rPr>
          <w:rFonts w:ascii="ITC Avant Garde" w:hAnsi="ITC Avant Garde" w:cs="Arial"/>
        </w:rPr>
        <w:t xml:space="preserve">, la tarifa de interconexión que </w:t>
      </w:r>
      <w:r w:rsidR="00682B08" w:rsidRPr="0003024E">
        <w:rPr>
          <w:rFonts w:ascii="ITC Avant Garde" w:hAnsi="ITC Avant Garde" w:cs="Arial"/>
        </w:rPr>
        <w:t>Axtel, Avantel</w:t>
      </w:r>
      <w:r w:rsidR="00AD055D" w:rsidRPr="0003024E">
        <w:rPr>
          <w:rFonts w:ascii="ITC Avant Garde" w:hAnsi="ITC Avant Garde" w:cs="Arial"/>
        </w:rPr>
        <w:t xml:space="preserve"> y </w:t>
      </w:r>
      <w:r w:rsidR="00B4112A" w:rsidRPr="0003024E">
        <w:rPr>
          <w:rFonts w:ascii="ITC Avant Garde" w:hAnsi="ITC Avant Garde" w:cs="Arial"/>
        </w:rPr>
        <w:t>MCM</w:t>
      </w:r>
      <w:r w:rsidRPr="0003024E">
        <w:rPr>
          <w:rFonts w:ascii="ITC Avant Garde" w:hAnsi="ITC Avant Garde" w:cs="Arial"/>
        </w:rPr>
        <w:t xml:space="preserve"> deberán pagarse recíprocamente </w:t>
      </w:r>
      <w:r w:rsidRPr="0003024E">
        <w:rPr>
          <w:rFonts w:ascii="ITC Avant Garde" w:eastAsia="Times New Roman" w:hAnsi="ITC Avant Garde" w:cs="Arial"/>
        </w:rPr>
        <w:t>por servicios de terminación del servicio local en usuarios fijos, será la siguiente:</w:t>
      </w:r>
    </w:p>
    <w:p w14:paraId="582E181E" w14:textId="77777777" w:rsidR="001C4767" w:rsidRDefault="006C548F" w:rsidP="001C4767">
      <w:pPr>
        <w:numPr>
          <w:ilvl w:val="0"/>
          <w:numId w:val="21"/>
        </w:numPr>
        <w:spacing w:after="240"/>
        <w:ind w:left="567"/>
        <w:jc w:val="both"/>
        <w:rPr>
          <w:rFonts w:ascii="ITC Avant Garde" w:eastAsia="Times New Roman" w:hAnsi="ITC Avant Garde"/>
          <w:b/>
          <w:spacing w:val="-4"/>
          <w:szCs w:val="24"/>
          <w:lang w:val="es-ES_tradnl" w:eastAsia="es-ES"/>
        </w:rPr>
      </w:pPr>
      <w:r w:rsidRPr="0003024E">
        <w:rPr>
          <w:rFonts w:ascii="ITC Avant Garde" w:eastAsia="Times New Roman" w:hAnsi="ITC Avant Garde"/>
          <w:b/>
          <w:spacing w:val="-4"/>
          <w:szCs w:val="24"/>
          <w:lang w:val="es-ES_tradnl" w:eastAsia="es-ES"/>
        </w:rPr>
        <w:lastRenderedPageBreak/>
        <w:t xml:space="preserve">Del </w:t>
      </w:r>
      <w:r w:rsidR="00AD055D" w:rsidRPr="0003024E">
        <w:rPr>
          <w:rFonts w:ascii="ITC Avant Garde" w:eastAsia="Times New Roman" w:hAnsi="ITC Avant Garde"/>
          <w:b/>
          <w:spacing w:val="-4"/>
          <w:szCs w:val="24"/>
          <w:lang w:val="es-ES_tradnl" w:eastAsia="es-ES"/>
        </w:rPr>
        <w:t>1 de enero</w:t>
      </w:r>
      <w:r w:rsidR="0076047C" w:rsidRPr="0003024E">
        <w:rPr>
          <w:rFonts w:ascii="ITC Avant Garde" w:eastAsia="Times New Roman" w:hAnsi="ITC Avant Garde"/>
          <w:b/>
          <w:spacing w:val="-4"/>
          <w:szCs w:val="24"/>
          <w:lang w:val="es-ES_tradnl" w:eastAsia="es-ES"/>
        </w:rPr>
        <w:t xml:space="preserve"> </w:t>
      </w:r>
      <w:r w:rsidRPr="0003024E">
        <w:rPr>
          <w:rFonts w:ascii="ITC Avant Garde" w:eastAsia="Times New Roman" w:hAnsi="ITC Avant Garde"/>
          <w:b/>
          <w:spacing w:val="-4"/>
          <w:szCs w:val="24"/>
          <w:lang w:val="es-ES_tradnl" w:eastAsia="es-ES"/>
        </w:rPr>
        <w:t>al 31 de diciembre de 201</w:t>
      </w:r>
      <w:r w:rsidR="00AD055D" w:rsidRPr="0003024E">
        <w:rPr>
          <w:rFonts w:ascii="ITC Avant Garde" w:eastAsia="Times New Roman" w:hAnsi="ITC Avant Garde"/>
          <w:b/>
          <w:spacing w:val="-4"/>
          <w:szCs w:val="24"/>
          <w:lang w:val="es-ES_tradnl" w:eastAsia="es-ES"/>
        </w:rPr>
        <w:t>8</w:t>
      </w:r>
      <w:r w:rsidRPr="0003024E">
        <w:rPr>
          <w:rFonts w:ascii="ITC Avant Garde" w:eastAsia="Times New Roman" w:hAnsi="ITC Avant Garde"/>
          <w:b/>
          <w:spacing w:val="-4"/>
          <w:szCs w:val="24"/>
          <w:lang w:val="es-ES_tradnl" w:eastAsia="es-ES"/>
        </w:rPr>
        <w:t>, $0.00</w:t>
      </w:r>
      <w:r w:rsidR="00682B08" w:rsidRPr="0003024E">
        <w:rPr>
          <w:rFonts w:ascii="ITC Avant Garde" w:eastAsia="Times New Roman" w:hAnsi="ITC Avant Garde"/>
          <w:b/>
          <w:spacing w:val="-4"/>
          <w:szCs w:val="24"/>
          <w:lang w:val="es-ES_tradnl" w:eastAsia="es-ES"/>
        </w:rPr>
        <w:t>2836</w:t>
      </w:r>
      <w:r w:rsidRPr="0003024E">
        <w:rPr>
          <w:rFonts w:ascii="ITC Avant Garde" w:eastAsia="Times New Roman" w:hAnsi="ITC Avant Garde"/>
          <w:b/>
          <w:spacing w:val="-4"/>
          <w:szCs w:val="24"/>
          <w:lang w:val="es-ES_tradnl" w:eastAsia="es-ES"/>
        </w:rPr>
        <w:t xml:space="preserve"> pesos M.N. por minuto de interconexión.</w:t>
      </w:r>
    </w:p>
    <w:p w14:paraId="31CA992D" w14:textId="77777777" w:rsidR="001C4767" w:rsidRDefault="006C548F" w:rsidP="001C4767">
      <w:pPr>
        <w:spacing w:after="240"/>
        <w:jc w:val="both"/>
        <w:rPr>
          <w:rFonts w:ascii="ITC Avant Garde" w:hAnsi="ITC Avant Garde" w:cs="Arial"/>
        </w:rPr>
      </w:pPr>
      <w:r w:rsidRPr="0003024E">
        <w:rPr>
          <w:rFonts w:ascii="ITC Avant Garde" w:hAnsi="ITC Avant Garde" w:cs="Arial"/>
        </w:rPr>
        <w:t>La tarifa ya incluye el costo correspondiente a los puertos necesarios para la interconexión.</w:t>
      </w:r>
    </w:p>
    <w:p w14:paraId="288201E0" w14:textId="77777777" w:rsidR="001C4767" w:rsidRDefault="006C548F" w:rsidP="001C4767">
      <w:pPr>
        <w:spacing w:after="240"/>
        <w:jc w:val="both"/>
        <w:rPr>
          <w:rFonts w:ascii="ITC Avant Garde" w:hAnsi="ITC Avant Garde" w:cs="Arial"/>
        </w:rPr>
      </w:pPr>
      <w:r w:rsidRPr="0003024E">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2EF2254" w14:textId="77777777" w:rsidR="001C4767" w:rsidRDefault="00A57A9F" w:rsidP="001C4767">
      <w:pPr>
        <w:spacing w:after="240"/>
        <w:jc w:val="both"/>
        <w:rPr>
          <w:rFonts w:ascii="ITC Avant Garde" w:hAnsi="ITC Avant Garde" w:cs="Arial"/>
        </w:rPr>
      </w:pPr>
      <w:r w:rsidRPr="0003024E">
        <w:rPr>
          <w:rFonts w:ascii="ITC Avant Garde" w:hAnsi="ITC Avant Garde" w:cs="Arial"/>
        </w:rPr>
        <w:t>En virtud de lo anterior</w:t>
      </w:r>
      <w:r w:rsidR="00E64ECA" w:rsidRPr="0003024E">
        <w:rPr>
          <w:rFonts w:ascii="ITC Avant Garde" w:hAnsi="ITC Avant Garde" w:cs="Arial"/>
        </w:rPr>
        <w:t xml:space="preserve"> y con el fin de que los términos</w:t>
      </w:r>
      <w:r w:rsidR="00E73E43" w:rsidRPr="0003024E">
        <w:rPr>
          <w:rFonts w:ascii="ITC Avant Garde" w:hAnsi="ITC Avant Garde" w:cs="Arial"/>
        </w:rPr>
        <w:t xml:space="preserve"> y</w:t>
      </w:r>
      <w:r w:rsidR="00E64ECA" w:rsidRPr="0003024E">
        <w:rPr>
          <w:rFonts w:ascii="ITC Avant Garde" w:hAnsi="ITC Avant Garde" w:cs="Arial"/>
        </w:rPr>
        <w:t xml:space="preserve"> condiciones de interconexión determinad</w:t>
      </w:r>
      <w:r w:rsidR="00E73E43" w:rsidRPr="0003024E">
        <w:rPr>
          <w:rFonts w:ascii="ITC Avant Garde" w:hAnsi="ITC Avant Garde" w:cs="Arial"/>
        </w:rPr>
        <w:t>o</w:t>
      </w:r>
      <w:r w:rsidR="00E64ECA" w:rsidRPr="0003024E">
        <w:rPr>
          <w:rFonts w:ascii="ITC Avant Garde" w:hAnsi="ITC Avant Garde" w:cs="Arial"/>
        </w:rPr>
        <w:t>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5457B9C3" w14:textId="77777777" w:rsidR="001C4767" w:rsidRDefault="00A70124" w:rsidP="001C4767">
      <w:pPr>
        <w:spacing w:after="240"/>
        <w:jc w:val="both"/>
        <w:rPr>
          <w:rFonts w:ascii="ITC Avant Garde" w:hAnsi="ITC Avant Garde" w:cs="Arial"/>
        </w:rPr>
      </w:pPr>
      <w:r w:rsidRPr="0003024E">
        <w:rPr>
          <w:rFonts w:ascii="ITC Avant Garde" w:hAnsi="ITC Avant Garde" w:cs="Arial"/>
        </w:rPr>
        <w:t xml:space="preserve">Lo anterior, sin perjuicio de que </w:t>
      </w:r>
      <w:r w:rsidR="00682B08" w:rsidRPr="0003024E">
        <w:rPr>
          <w:rFonts w:ascii="ITC Avant Garde" w:hAnsi="ITC Avant Garde" w:cs="Arial"/>
        </w:rPr>
        <w:t>Axtel, Avantel</w:t>
      </w:r>
      <w:r w:rsidR="00AD055D" w:rsidRPr="0003024E">
        <w:rPr>
          <w:rFonts w:ascii="ITC Avant Garde" w:hAnsi="ITC Avant Garde" w:cs="Arial"/>
        </w:rPr>
        <w:t xml:space="preserve"> y </w:t>
      </w:r>
      <w:r w:rsidR="00B4112A" w:rsidRPr="0003024E">
        <w:rPr>
          <w:rFonts w:ascii="ITC Avant Garde" w:hAnsi="ITC Avant Garde" w:cs="Arial"/>
        </w:rPr>
        <w:t>MCM</w:t>
      </w:r>
      <w:r w:rsidR="007F3288" w:rsidRPr="0003024E">
        <w:rPr>
          <w:rFonts w:ascii="ITC Avant Garde" w:hAnsi="ITC Avant Garde" w:cs="Arial"/>
        </w:rPr>
        <w:t xml:space="preserve"> </w:t>
      </w:r>
      <w:r w:rsidR="00CC4B62" w:rsidRPr="0003024E">
        <w:rPr>
          <w:rFonts w:ascii="ITC Avant Garde" w:hAnsi="ITC Avant Garde" w:cs="Arial"/>
        </w:rPr>
        <w:t xml:space="preserve">formalicen los términos y condiciones de interconexión </w:t>
      </w:r>
      <w:r w:rsidRPr="0003024E">
        <w:rPr>
          <w:rFonts w:ascii="ITC Avant Garde" w:hAnsi="ITC Avant Garde" w:cs="Arial"/>
        </w:rPr>
        <w:t xml:space="preserve"> que se ordenan a través de la presente Resolución y a tal efecto suscriban </w:t>
      </w:r>
      <w:r w:rsidR="00A4268F" w:rsidRPr="0003024E">
        <w:rPr>
          <w:rFonts w:ascii="ITC Avant Garde" w:hAnsi="ITC Avant Garde" w:cs="Arial"/>
        </w:rPr>
        <w:t>los convenios correspondientes</w:t>
      </w:r>
      <w:r w:rsidRPr="0003024E">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03024E">
        <w:rPr>
          <w:rFonts w:ascii="ITC Avant Garde" w:hAnsi="ITC Avant Garde" w:cs="Arial"/>
        </w:rPr>
        <w:t>,</w:t>
      </w:r>
      <w:r w:rsidRPr="0003024E">
        <w:rPr>
          <w:rFonts w:ascii="ITC Avant Garde" w:hAnsi="ITC Avant Garde" w:cs="Arial"/>
        </w:rPr>
        <w:t xml:space="preserve"> fracción VII de la LFTR.</w:t>
      </w:r>
    </w:p>
    <w:p w14:paraId="54C5163F" w14:textId="77777777" w:rsidR="001C4767" w:rsidRDefault="00B15D4E" w:rsidP="001C4767">
      <w:pPr>
        <w:spacing w:after="240"/>
        <w:jc w:val="both"/>
        <w:rPr>
          <w:rFonts w:ascii="ITC Avant Garde" w:hAnsi="ITC Avant Garde" w:cs="Arial"/>
        </w:rPr>
      </w:pPr>
      <w:r w:rsidRPr="0003024E">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03024E">
        <w:rPr>
          <w:rFonts w:ascii="ITC Avant Garde" w:hAnsi="ITC Avant Garde" w:cs="Arial"/>
        </w:rPr>
        <w:t xml:space="preserve"> 131, inciso</w:t>
      </w:r>
      <w:r w:rsidR="000B434F" w:rsidRPr="0003024E">
        <w:rPr>
          <w:rFonts w:ascii="ITC Avant Garde" w:hAnsi="ITC Avant Garde" w:cs="Arial"/>
        </w:rPr>
        <w:t>s a) y</w:t>
      </w:r>
      <w:r w:rsidR="00CF6E47" w:rsidRPr="0003024E">
        <w:rPr>
          <w:rFonts w:ascii="ITC Avant Garde" w:hAnsi="ITC Avant Garde" w:cs="Arial"/>
        </w:rPr>
        <w:t xml:space="preserve"> b</w:t>
      </w:r>
      <w:r w:rsidR="000B434F" w:rsidRPr="0003024E">
        <w:rPr>
          <w:rFonts w:ascii="ITC Avant Garde" w:hAnsi="ITC Avant Garde" w:cs="Arial"/>
        </w:rPr>
        <w:t>)</w:t>
      </w:r>
      <w:r w:rsidR="00CF6E47" w:rsidRPr="0003024E">
        <w:rPr>
          <w:rFonts w:ascii="ITC Avant Garde" w:hAnsi="ITC Avant Garde" w:cs="Arial"/>
        </w:rPr>
        <w:t>,</w:t>
      </w:r>
      <w:r w:rsidRPr="0003024E">
        <w:rPr>
          <w:rFonts w:ascii="ITC Avant Garde" w:hAnsi="ITC Avant Garde" w:cs="Arial"/>
        </w:rPr>
        <w:t xml:space="preserve"> 176, 177 fracción VII,</w:t>
      </w:r>
      <w:r w:rsidR="00CF6E47" w:rsidRPr="0003024E">
        <w:rPr>
          <w:rFonts w:ascii="ITC Avant Garde" w:hAnsi="ITC Avant Garde" w:cs="Arial"/>
        </w:rPr>
        <w:t xml:space="preserve"> 178,</w:t>
      </w:r>
      <w:r w:rsidRPr="0003024E">
        <w:rPr>
          <w:rFonts w:ascii="ITC Avant Garde" w:hAnsi="ITC Avant Garde" w:cs="Arial"/>
        </w:rPr>
        <w:t xml:space="preserve"> 312 y 313 de la Ley Federal de Telecomunicaciones y Radiodifusión; 32,</w:t>
      </w:r>
      <w:r w:rsidR="00BB682C" w:rsidRPr="0003024E">
        <w:rPr>
          <w:rFonts w:ascii="ITC Avant Garde" w:hAnsi="ITC Avant Garde" w:cs="Arial"/>
        </w:rPr>
        <w:t xml:space="preserve"> 35, fracción I, 36, 38, 39 </w:t>
      </w:r>
      <w:r w:rsidRPr="0003024E">
        <w:rPr>
          <w:rFonts w:ascii="ITC Avant Garde" w:hAnsi="ITC Avant Garde" w:cs="Arial"/>
        </w:rPr>
        <w:t>y 57 fracción I de la Ley Federal de Procedimiento A</w:t>
      </w:r>
      <w:r w:rsidR="00BB682C" w:rsidRPr="0003024E">
        <w:rPr>
          <w:rFonts w:ascii="ITC Avant Garde" w:hAnsi="ITC Avant Garde" w:cs="Arial"/>
        </w:rPr>
        <w:t xml:space="preserve">dministrativo; 197, </w:t>
      </w:r>
      <w:r w:rsidR="008A5CAA" w:rsidRPr="0003024E">
        <w:rPr>
          <w:rFonts w:ascii="ITC Avant Garde" w:hAnsi="ITC Avant Garde" w:cs="Arial"/>
        </w:rPr>
        <w:t>203</w:t>
      </w:r>
      <w:r w:rsidR="00226B3B" w:rsidRPr="0003024E">
        <w:rPr>
          <w:rFonts w:ascii="ITC Avant Garde" w:hAnsi="ITC Avant Garde" w:cs="Arial"/>
        </w:rPr>
        <w:t>, 210-A</w:t>
      </w:r>
      <w:r w:rsidR="00BB682C" w:rsidRPr="0003024E">
        <w:rPr>
          <w:rFonts w:ascii="ITC Avant Garde" w:hAnsi="ITC Avant Garde" w:cs="Arial"/>
        </w:rPr>
        <w:t xml:space="preserve"> </w:t>
      </w:r>
      <w:r w:rsidRPr="0003024E">
        <w:rPr>
          <w:rFonts w:ascii="ITC Avant Garde" w:hAnsi="ITC Avant Garde" w:cs="Arial"/>
        </w:rPr>
        <w:t>y 218 del Código Federal de Procedimientos Civiles; y 4 fracción I y 6, fracción XXXV</w:t>
      </w:r>
      <w:r w:rsidR="00B542B8" w:rsidRPr="0003024E">
        <w:rPr>
          <w:rFonts w:ascii="ITC Avant Garde" w:hAnsi="ITC Avant Garde" w:cs="Arial"/>
        </w:rPr>
        <w:t>I</w:t>
      </w:r>
      <w:r w:rsidRPr="0003024E">
        <w:rPr>
          <w:rFonts w:ascii="ITC Avant Garde" w:hAnsi="ITC Avant Garde" w:cs="Arial"/>
        </w:rPr>
        <w:t>II del Estatuto Orgánico del Instituto Federal de Telecomunicaciones, el Pleno del Instituto Federal de Telecomunicaciones emite los siguientes:</w:t>
      </w:r>
    </w:p>
    <w:p w14:paraId="7B23DDBA" w14:textId="6E913C59" w:rsidR="001C4767" w:rsidRDefault="00AC04A2" w:rsidP="001C4767">
      <w:pPr>
        <w:pStyle w:val="Ttulo2"/>
        <w:spacing w:after="240"/>
        <w:jc w:val="center"/>
        <w:rPr>
          <w:rFonts w:ascii="ITC Avant Garde" w:hAnsi="ITC Avant Garde"/>
          <w:szCs w:val="22"/>
        </w:rPr>
      </w:pPr>
      <w:r w:rsidRPr="001C4767">
        <w:rPr>
          <w:rFonts w:ascii="ITC Avant Garde" w:hAnsi="ITC Avant Garde"/>
          <w:szCs w:val="22"/>
        </w:rPr>
        <w:t>RESOLUTIVOS</w:t>
      </w:r>
    </w:p>
    <w:p w14:paraId="16B6E25F" w14:textId="77777777" w:rsidR="001C4767" w:rsidRDefault="00D66F5B" w:rsidP="001C4767">
      <w:pPr>
        <w:spacing w:after="240"/>
        <w:jc w:val="both"/>
        <w:rPr>
          <w:rFonts w:ascii="ITC Avant Garde" w:hAnsi="ITC Avant Garde"/>
          <w:spacing w:val="-4"/>
          <w:lang w:val="es-ES"/>
        </w:rPr>
      </w:pPr>
      <w:r w:rsidRPr="0003024E">
        <w:rPr>
          <w:rFonts w:ascii="ITC Avant Garde" w:hAnsi="ITC Avant Garde" w:cs="Arial"/>
          <w:b/>
        </w:rPr>
        <w:t>PRIMERO</w:t>
      </w:r>
      <w:r w:rsidRPr="0003024E">
        <w:rPr>
          <w:rFonts w:ascii="ITC Avant Garde" w:hAnsi="ITC Avant Garde" w:cs="Arial"/>
        </w:rPr>
        <w:t>.-</w:t>
      </w:r>
      <w:r w:rsidR="002C4640" w:rsidRPr="0003024E">
        <w:rPr>
          <w:rFonts w:ascii="ITC Avant Garde" w:hAnsi="ITC Avant Garde" w:cs="Arial"/>
        </w:rPr>
        <w:t xml:space="preserve"> </w:t>
      </w:r>
      <w:r w:rsidR="00B75FBA" w:rsidRPr="0003024E">
        <w:rPr>
          <w:rFonts w:ascii="ITC Avant Garde" w:hAnsi="ITC Avant Garde" w:cs="Arial"/>
        </w:rPr>
        <w:t>La tarifa de interconexión qu</w:t>
      </w:r>
      <w:r w:rsidR="00B75FBA" w:rsidRPr="0003024E">
        <w:rPr>
          <w:rFonts w:ascii="ITC Avant Garde" w:hAnsi="ITC Avant Garde" w:cs="Helvetica"/>
          <w:lang w:eastAsia="es-MX"/>
        </w:rPr>
        <w:t xml:space="preserve">e </w:t>
      </w:r>
      <w:r w:rsidR="00682B08" w:rsidRPr="0003024E">
        <w:rPr>
          <w:rFonts w:ascii="ITC Avant Garde" w:hAnsi="ITC Avant Garde" w:cs="Helvetica"/>
          <w:lang w:eastAsia="es-MX"/>
        </w:rPr>
        <w:t>las empresas Axtel</w:t>
      </w:r>
      <w:r w:rsidR="00AD055D" w:rsidRPr="0003024E">
        <w:rPr>
          <w:rFonts w:ascii="ITC Avant Garde" w:hAnsi="ITC Avant Garde" w:cs="Helvetica"/>
          <w:lang w:eastAsia="es-MX"/>
        </w:rPr>
        <w:t>, S.A.</w:t>
      </w:r>
      <w:r w:rsidR="00682B08" w:rsidRPr="0003024E">
        <w:rPr>
          <w:rFonts w:ascii="ITC Avant Garde" w:hAnsi="ITC Avant Garde" w:cs="Helvetica"/>
          <w:lang w:eastAsia="es-MX"/>
        </w:rPr>
        <w:t>B.</w:t>
      </w:r>
      <w:r w:rsidR="00AD055D" w:rsidRPr="0003024E">
        <w:rPr>
          <w:rFonts w:ascii="ITC Avant Garde" w:hAnsi="ITC Avant Garde" w:cs="Helvetica"/>
          <w:lang w:eastAsia="es-MX"/>
        </w:rPr>
        <w:t xml:space="preserve"> de C.V.</w:t>
      </w:r>
      <w:r w:rsidR="00682B08" w:rsidRPr="0003024E">
        <w:rPr>
          <w:rFonts w:ascii="ITC Avant Garde" w:hAnsi="ITC Avant Garde" w:cs="Helvetica"/>
          <w:lang w:eastAsia="es-MX"/>
        </w:rPr>
        <w:t xml:space="preserve"> y </w:t>
      </w:r>
      <w:r w:rsidR="00682B08" w:rsidRPr="0003024E">
        <w:rPr>
          <w:rFonts w:ascii="ITC Avant Garde" w:hAnsi="ITC Avant Garde" w:cs="Arial"/>
          <w:bCs/>
        </w:rPr>
        <w:t xml:space="preserve">Avantel, S. de R.L. de C.V. </w:t>
      </w:r>
      <w:r w:rsidR="00AD055D" w:rsidRPr="0003024E">
        <w:rPr>
          <w:rFonts w:ascii="ITC Avant Garde" w:hAnsi="ITC Avant Garde" w:cs="Helvetica"/>
          <w:lang w:eastAsia="es-MX"/>
        </w:rPr>
        <w:t>y</w:t>
      </w:r>
      <w:r w:rsidR="00682B08" w:rsidRPr="0003024E">
        <w:rPr>
          <w:rFonts w:ascii="ITC Avant Garde" w:hAnsi="ITC Avant Garde" w:cs="Helvetica"/>
          <w:lang w:eastAsia="es-MX"/>
        </w:rPr>
        <w:t xml:space="preserve"> la empresa </w:t>
      </w:r>
      <w:r w:rsidR="00B4112A" w:rsidRPr="0003024E">
        <w:rPr>
          <w:rFonts w:ascii="ITC Avant Garde" w:hAnsi="ITC Avant Garde" w:cs="Helvetica"/>
          <w:lang w:eastAsia="es-MX"/>
        </w:rPr>
        <w:t xml:space="preserve">Megacable Comunicaciones de México, </w:t>
      </w:r>
      <w:r w:rsidR="00AD055D" w:rsidRPr="0003024E">
        <w:rPr>
          <w:rFonts w:ascii="ITC Avant Garde" w:hAnsi="ITC Avant Garde" w:cs="Helvetica"/>
          <w:lang w:eastAsia="es-MX"/>
        </w:rPr>
        <w:t>S.A. de C.V.</w:t>
      </w:r>
      <w:r w:rsidR="00575EAE" w:rsidRPr="0003024E">
        <w:rPr>
          <w:rFonts w:ascii="ITC Avant Garde" w:hAnsi="ITC Avant Garde" w:cs="Helvetica"/>
          <w:lang w:eastAsia="es-MX"/>
        </w:rPr>
        <w:t xml:space="preserve"> </w:t>
      </w:r>
      <w:r w:rsidR="00B75FBA" w:rsidRPr="0003024E">
        <w:rPr>
          <w:rFonts w:ascii="ITC Avant Garde" w:hAnsi="ITC Avant Garde" w:cs="Helvetica"/>
          <w:lang w:eastAsia="es-MX"/>
        </w:rPr>
        <w:lastRenderedPageBreak/>
        <w:t xml:space="preserve">deberán pagarse de manera recíproca por servicios de terminación del Servicio Local en usuarios fijos </w:t>
      </w:r>
      <w:r w:rsidR="00B75FBA" w:rsidRPr="0003024E">
        <w:rPr>
          <w:rFonts w:ascii="ITC Avant Garde" w:hAnsi="ITC Avant Garde"/>
          <w:spacing w:val="-4"/>
          <w:lang w:val="es-ES"/>
        </w:rPr>
        <w:t>será la siguiente:</w:t>
      </w:r>
    </w:p>
    <w:p w14:paraId="6DA48C89" w14:textId="77777777" w:rsidR="001C4767" w:rsidRDefault="00D66F5B" w:rsidP="001C4767">
      <w:pPr>
        <w:pStyle w:val="Prrafodelista"/>
        <w:numPr>
          <w:ilvl w:val="0"/>
          <w:numId w:val="23"/>
        </w:numPr>
        <w:spacing w:after="240" w:line="276" w:lineRule="auto"/>
        <w:ind w:left="567"/>
        <w:rPr>
          <w:rFonts w:ascii="ITC Avant Garde" w:hAnsi="ITC Avant Garde" w:cs="Helvetica"/>
          <w:b/>
          <w:lang w:eastAsia="es-MX"/>
        </w:rPr>
      </w:pPr>
      <w:r w:rsidRPr="0003024E">
        <w:rPr>
          <w:rFonts w:ascii="ITC Avant Garde" w:hAnsi="ITC Avant Garde" w:cs="Helvetica"/>
          <w:b/>
          <w:lang w:eastAsia="es-MX"/>
        </w:rPr>
        <w:t xml:space="preserve">Del </w:t>
      </w:r>
      <w:r w:rsidR="00AD055D" w:rsidRPr="0003024E">
        <w:rPr>
          <w:rFonts w:ascii="ITC Avant Garde" w:hAnsi="ITC Avant Garde" w:cs="Helvetica"/>
          <w:b/>
          <w:lang w:eastAsia="es-MX"/>
        </w:rPr>
        <w:t>1 de enero de 2018</w:t>
      </w:r>
      <w:r w:rsidRPr="0003024E">
        <w:rPr>
          <w:rFonts w:ascii="ITC Avant Garde" w:hAnsi="ITC Avant Garde" w:cs="Helvetica"/>
          <w:b/>
          <w:lang w:eastAsia="es-MX"/>
        </w:rPr>
        <w:t xml:space="preserve"> al 31 de diciembre de 201</w:t>
      </w:r>
      <w:r w:rsidR="00AD055D" w:rsidRPr="0003024E">
        <w:rPr>
          <w:rFonts w:ascii="ITC Avant Garde" w:hAnsi="ITC Avant Garde" w:cs="Helvetica"/>
          <w:b/>
          <w:lang w:eastAsia="es-MX"/>
        </w:rPr>
        <w:t>8</w:t>
      </w:r>
      <w:r w:rsidRPr="0003024E">
        <w:rPr>
          <w:rFonts w:ascii="ITC Avant Garde" w:hAnsi="ITC Avant Garde" w:cs="Helvetica"/>
          <w:b/>
          <w:lang w:eastAsia="es-MX"/>
        </w:rPr>
        <w:t xml:space="preserve">, será de </w:t>
      </w:r>
      <w:r w:rsidR="00FD668B" w:rsidRPr="0003024E">
        <w:rPr>
          <w:rFonts w:ascii="ITC Avant Garde" w:eastAsia="Calibri" w:hAnsi="ITC Avant Garde"/>
          <w:b/>
          <w:spacing w:val="-4"/>
          <w:szCs w:val="22"/>
          <w:lang w:val="es-ES_tradnl" w:eastAsia="en-US"/>
        </w:rPr>
        <w:t>$0.00</w:t>
      </w:r>
      <w:r w:rsidR="00682B08" w:rsidRPr="0003024E">
        <w:rPr>
          <w:rFonts w:ascii="ITC Avant Garde" w:eastAsia="Calibri" w:hAnsi="ITC Avant Garde"/>
          <w:b/>
          <w:spacing w:val="-4"/>
          <w:szCs w:val="22"/>
          <w:lang w:val="es-ES_tradnl" w:eastAsia="en-US"/>
        </w:rPr>
        <w:t>2836</w:t>
      </w:r>
      <w:r w:rsidR="00FD668B" w:rsidRPr="0003024E">
        <w:rPr>
          <w:rFonts w:ascii="ITC Avant Garde" w:eastAsia="Calibri" w:hAnsi="ITC Avant Garde"/>
          <w:b/>
          <w:spacing w:val="-4"/>
          <w:szCs w:val="22"/>
          <w:lang w:val="es-ES_tradnl" w:eastAsia="en-US"/>
        </w:rPr>
        <w:t xml:space="preserve"> </w:t>
      </w:r>
      <w:r w:rsidRPr="0003024E">
        <w:rPr>
          <w:rFonts w:ascii="ITC Avant Garde" w:hAnsi="ITC Avant Garde" w:cs="Helvetica"/>
          <w:b/>
          <w:lang w:eastAsia="es-MX"/>
        </w:rPr>
        <w:t>pesos M.N. por minuto de interconexión</w:t>
      </w:r>
    </w:p>
    <w:p w14:paraId="7229B082" w14:textId="77777777" w:rsidR="001C4767" w:rsidRDefault="00D66F5B" w:rsidP="001C4767">
      <w:pPr>
        <w:spacing w:after="240"/>
        <w:jc w:val="both"/>
        <w:rPr>
          <w:rFonts w:ascii="ITC Avant Garde" w:eastAsia="Times New Roman" w:hAnsi="ITC Avant Garde"/>
          <w:lang w:eastAsia="es-ES"/>
        </w:rPr>
      </w:pPr>
      <w:r w:rsidRPr="0003024E">
        <w:rPr>
          <w:rFonts w:ascii="ITC Avant Garde" w:eastAsia="Times New Roman" w:hAnsi="ITC Avant Garde"/>
          <w:lang w:eastAsia="es-ES"/>
        </w:rPr>
        <w:t>La tarifa anterior ya incluye el costo correspondiente a los puertos necesarios para la interconexión.</w:t>
      </w:r>
    </w:p>
    <w:p w14:paraId="7E4235E2" w14:textId="77777777" w:rsidR="001C4767" w:rsidRDefault="00D66F5B" w:rsidP="001C4767">
      <w:pPr>
        <w:spacing w:after="240"/>
        <w:jc w:val="both"/>
        <w:rPr>
          <w:rFonts w:ascii="ITC Avant Garde" w:hAnsi="ITC Avant Garde" w:cs="Arial"/>
        </w:rPr>
      </w:pPr>
      <w:r w:rsidRPr="0003024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FA85436" w14:textId="77777777" w:rsidR="001C4767" w:rsidRDefault="00AD055D" w:rsidP="001C4767">
      <w:pPr>
        <w:spacing w:after="240"/>
        <w:ind w:right="20"/>
        <w:jc w:val="both"/>
        <w:rPr>
          <w:rFonts w:ascii="ITC Avant Garde" w:hAnsi="ITC Avant Garde" w:cs="Arial"/>
        </w:rPr>
      </w:pPr>
      <w:r w:rsidRPr="0003024E">
        <w:rPr>
          <w:rFonts w:ascii="ITC Avant Garde" w:hAnsi="ITC Avant Garde" w:cs="Arial"/>
          <w:b/>
        </w:rPr>
        <w:t>SEGUNDO</w:t>
      </w:r>
      <w:r w:rsidR="00D66F5B" w:rsidRPr="0003024E">
        <w:rPr>
          <w:rFonts w:ascii="ITC Avant Garde" w:hAnsi="ITC Avant Garde" w:cs="Arial"/>
          <w:b/>
        </w:rPr>
        <w:t xml:space="preserve">.- </w:t>
      </w:r>
      <w:r w:rsidR="00D66F5B" w:rsidRPr="0003024E">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Pr="0003024E">
        <w:rPr>
          <w:rFonts w:ascii="ITC Avant Garde" w:hAnsi="ITC Avant Garde" w:cs="Arial"/>
        </w:rPr>
        <w:t xml:space="preserve">, </w:t>
      </w:r>
      <w:r w:rsidR="001C40C3" w:rsidRPr="0003024E">
        <w:rPr>
          <w:rFonts w:ascii="ITC Avant Garde" w:hAnsi="ITC Avant Garde" w:cs="Arial"/>
        </w:rPr>
        <w:t>las empresas Axtel, S.A.B. de C.V. y Avantel, S. de R.L. de C.V. y la empresa Megacable Comunicaciones de México, S.A. de C.V.</w:t>
      </w:r>
      <w:r w:rsidR="00D66F5B" w:rsidRPr="0003024E">
        <w:rPr>
          <w:rFonts w:ascii="ITC Avant Garde" w:hAnsi="ITC Avant Garde" w:cs="Helvetica"/>
          <w:lang w:eastAsia="es-MX"/>
        </w:rPr>
        <w:t xml:space="preserve">, </w:t>
      </w:r>
      <w:r w:rsidR="00D66F5B" w:rsidRPr="0003024E">
        <w:rPr>
          <w:rFonts w:ascii="ITC Avant Garde" w:hAnsi="ITC Avant Garde" w:cs="Arial"/>
        </w:rPr>
        <w:t xml:space="preserve">deberán </w:t>
      </w:r>
      <w:r w:rsidR="00D66F5B" w:rsidRPr="0003024E">
        <w:rPr>
          <w:rFonts w:ascii="ITC Avant Garde" w:eastAsia="Times New Roman" w:hAnsi="ITC Avant Garde" w:cs="Arial"/>
        </w:rPr>
        <w:t xml:space="preserve">suscribir </w:t>
      </w:r>
      <w:r w:rsidR="00293119" w:rsidRPr="0003024E">
        <w:rPr>
          <w:rFonts w:ascii="ITC Avant Garde" w:hAnsi="ITC Avant Garde" w:cs="Arial"/>
        </w:rPr>
        <w:t>el convenio</w:t>
      </w:r>
      <w:r w:rsidR="00D66F5B" w:rsidRPr="0003024E">
        <w:rPr>
          <w:rFonts w:ascii="ITC Avant Garde" w:hAnsi="ITC Avant Garde" w:cs="Arial"/>
        </w:rPr>
        <w:t xml:space="preserve"> de interconexión de sus redes públicas de telecomunicaciones conforme a los términos y condiciones determinados en </w:t>
      </w:r>
      <w:r w:rsidR="00293119" w:rsidRPr="0003024E">
        <w:rPr>
          <w:rFonts w:ascii="ITC Avant Garde" w:hAnsi="ITC Avant Garde" w:cs="Arial"/>
        </w:rPr>
        <w:t>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208A69E" w14:textId="77777777" w:rsidR="001C4767" w:rsidRDefault="00293119" w:rsidP="001C4767">
      <w:pPr>
        <w:spacing w:after="240"/>
        <w:jc w:val="both"/>
        <w:rPr>
          <w:rFonts w:ascii="ITC Avant Garde" w:hAnsi="ITC Avant Garde" w:cs="Arial"/>
        </w:rPr>
      </w:pPr>
      <w:r w:rsidRPr="0003024E">
        <w:rPr>
          <w:rFonts w:ascii="ITC Avant Garde" w:hAnsi="ITC Avant Garde" w:cs="Arial"/>
          <w:b/>
        </w:rPr>
        <w:t>TERCERO</w:t>
      </w:r>
      <w:r w:rsidR="00A60B20" w:rsidRPr="0003024E">
        <w:rPr>
          <w:rFonts w:ascii="ITC Avant Garde" w:hAnsi="ITC Avant Garde" w:cs="Arial"/>
          <w:b/>
        </w:rPr>
        <w:t xml:space="preserve">.- </w:t>
      </w:r>
      <w:r w:rsidR="00D66F5B" w:rsidRPr="0003024E">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1C40C3" w:rsidRPr="0003024E">
        <w:rPr>
          <w:rFonts w:ascii="ITC Avant Garde" w:hAnsi="ITC Avant Garde" w:cs="Helvetica"/>
          <w:lang w:eastAsia="es-MX"/>
        </w:rPr>
        <w:t>las empresas Axtel, S.A.B. de C.V. y Avantel, S. de R.L. de C.V. y la empresa Megacable Comunicaciones de México, S.A. de C.V.</w:t>
      </w:r>
      <w:r w:rsidR="00D66F5B" w:rsidRPr="0003024E">
        <w:rPr>
          <w:rFonts w:ascii="ITC Avant Garde" w:hAnsi="ITC Avant Garde" w:cs="Arial"/>
        </w:rPr>
        <w:t xml:space="preserve">, </w:t>
      </w:r>
      <w:r w:rsidR="00D66F5B" w:rsidRPr="0003024E">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28E0798" w14:textId="77B3A688" w:rsidR="00D66F5B" w:rsidRPr="0003024E" w:rsidRDefault="00293119" w:rsidP="001C4767">
      <w:pPr>
        <w:spacing w:after="240"/>
        <w:jc w:val="both"/>
        <w:rPr>
          <w:rFonts w:ascii="ITC Avant Garde" w:hAnsi="ITC Avant Garde" w:cs="Arial"/>
        </w:rPr>
      </w:pPr>
      <w:r w:rsidRPr="0003024E">
        <w:rPr>
          <w:rFonts w:ascii="ITC Avant Garde" w:hAnsi="ITC Avant Garde" w:cs="Arial"/>
          <w:b/>
        </w:rPr>
        <w:lastRenderedPageBreak/>
        <w:t>CUARTO</w:t>
      </w:r>
      <w:r w:rsidR="00D66F5B" w:rsidRPr="0003024E">
        <w:rPr>
          <w:rFonts w:ascii="ITC Avant Garde" w:hAnsi="ITC Avant Garde" w:cs="Arial"/>
          <w:b/>
        </w:rPr>
        <w:t xml:space="preserve">.- </w:t>
      </w:r>
      <w:r w:rsidR="00D66F5B" w:rsidRPr="0003024E">
        <w:rPr>
          <w:rFonts w:ascii="ITC Avant Garde" w:hAnsi="ITC Avant Garde" w:cs="Arial"/>
        </w:rPr>
        <w:t xml:space="preserve">Notifíquese personalmente a los representantes legales de </w:t>
      </w:r>
      <w:r w:rsidR="001C40C3" w:rsidRPr="0003024E">
        <w:rPr>
          <w:rFonts w:ascii="ITC Avant Garde" w:hAnsi="ITC Avant Garde" w:cs="Helvetica"/>
          <w:lang w:eastAsia="es-MX"/>
        </w:rPr>
        <w:t>las empresas Axtel, S.A.B. de C.V. y Avantel, S. de R.L. de C.V. y la empresa Megacable Comunicaciones de México, S.A. de C.V.</w:t>
      </w:r>
      <w:r w:rsidR="00D66F5B" w:rsidRPr="0003024E">
        <w:rPr>
          <w:rFonts w:ascii="ITC Avant Garde" w:hAnsi="ITC Avant Garde" w:cs="Helvetica"/>
          <w:lang w:eastAsia="es-MX"/>
        </w:rPr>
        <w:t>,</w:t>
      </w:r>
      <w:r w:rsidR="00D66F5B" w:rsidRPr="0003024E">
        <w:rPr>
          <w:rFonts w:ascii="ITC Avant Garde" w:hAnsi="ITC Avant Garde"/>
        </w:rPr>
        <w:t xml:space="preserve"> </w:t>
      </w:r>
      <w:r w:rsidR="00D66F5B" w:rsidRPr="0003024E">
        <w:rPr>
          <w:rFonts w:ascii="ITC Avant Garde" w:hAnsi="ITC Avant Garde" w:cs="Arial"/>
          <w:bCs/>
        </w:rPr>
        <w:t>el</w:t>
      </w:r>
      <w:r w:rsidR="00D66F5B" w:rsidRPr="0003024E">
        <w:rPr>
          <w:rFonts w:ascii="ITC Avant Garde" w:hAnsi="ITC Avant Garde" w:cs="Arial"/>
        </w:rPr>
        <w:t xml:space="preserve"> contenido de la presente Resolución, en términos de lo establecido en el artículo 129, fracción VIII de la Ley Federal de Telecomunicaciones y Radiodifusión.</w:t>
      </w:r>
    </w:p>
    <w:p w14:paraId="51AB6C4B" w14:textId="77777777" w:rsidR="001C4767" w:rsidRDefault="00E97DB8" w:rsidP="001C4767">
      <w:pPr>
        <w:pStyle w:val="Prrafodelista"/>
        <w:spacing w:after="240"/>
        <w:ind w:left="0"/>
        <w:rPr>
          <w:rFonts w:ascii="ITC Avant Garde" w:hAnsi="ITC Avant Garde"/>
          <w:sz w:val="12"/>
          <w:szCs w:val="12"/>
          <w:lang w:eastAsia="en-US"/>
        </w:rPr>
      </w:pPr>
      <w:bookmarkStart w:id="4" w:name="_GoBack"/>
      <w:bookmarkEnd w:id="4"/>
      <w:r w:rsidRPr="00E97DB8">
        <w:rPr>
          <w:rFonts w:ascii="ITC Avant Garde" w:hAnsi="ITC Avant Garde"/>
          <w:sz w:val="12"/>
          <w:szCs w:val="12"/>
        </w:rPr>
        <w:t xml:space="preserve">La presente Resolución fue aprobada por el Pleno del Instituto Federal de Telecomunicaciones en su XLVIII Sesión Ordinaria celebrada el 22 de noviembre de 2017, </w:t>
      </w:r>
      <w:r w:rsidRPr="00E97DB8">
        <w:rPr>
          <w:rFonts w:ascii="ITC Avant Garde" w:hAnsi="ITC Avant Garde"/>
          <w:bCs/>
          <w:sz w:val="12"/>
          <w:szCs w:val="12"/>
        </w:rPr>
        <w:t>por unanimidad</w:t>
      </w:r>
      <w:r w:rsidRPr="00E97DB8">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P/IFT/221117/722.</w:t>
      </w:r>
    </w:p>
    <w:p w14:paraId="1E714C87" w14:textId="07FEB67C" w:rsidR="00E97DB8" w:rsidRPr="0003024E" w:rsidRDefault="00E97DB8" w:rsidP="001C4767">
      <w:pPr>
        <w:pStyle w:val="N1IFT"/>
        <w:spacing w:after="240"/>
        <w:rPr>
          <w:rFonts w:cs="Arial"/>
          <w:sz w:val="21"/>
          <w:szCs w:val="21"/>
        </w:rPr>
      </w:pPr>
      <w:r w:rsidRPr="00E97DB8">
        <w:rPr>
          <w:sz w:val="12"/>
          <w:szCs w:val="12"/>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E97DB8" w:rsidRPr="0003024E" w:rsidSect="006B0807">
      <w:headerReference w:type="even" r:id="rId11"/>
      <w:footerReference w:type="default" r:id="rId12"/>
      <w:headerReference w:type="first" r:id="rId13"/>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8C445" w14:textId="77777777" w:rsidR="00C80904" w:rsidRDefault="00C80904" w:rsidP="00072BC8">
      <w:pPr>
        <w:spacing w:after="0" w:line="240" w:lineRule="auto"/>
      </w:pPr>
      <w:r>
        <w:separator/>
      </w:r>
    </w:p>
  </w:endnote>
  <w:endnote w:type="continuationSeparator" w:id="0">
    <w:p w14:paraId="13C24213" w14:textId="77777777" w:rsidR="00C80904" w:rsidRDefault="00C8090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647AB83D" w14:textId="77777777" w:rsidR="00C80904" w:rsidRPr="00955533" w:rsidRDefault="00C80904">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1C4767" w:rsidRPr="001C4767">
          <w:rPr>
            <w:rFonts w:ascii="ITC Avant Garde" w:hAnsi="ITC Avant Garde"/>
            <w:noProof/>
            <w:sz w:val="20"/>
            <w:szCs w:val="20"/>
            <w:lang w:val="es-ES"/>
          </w:rPr>
          <w:t>12</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A993" w14:textId="77777777" w:rsidR="00C80904" w:rsidRDefault="00C80904" w:rsidP="00072BC8">
      <w:pPr>
        <w:spacing w:after="0" w:line="240" w:lineRule="auto"/>
      </w:pPr>
      <w:r>
        <w:separator/>
      </w:r>
    </w:p>
  </w:footnote>
  <w:footnote w:type="continuationSeparator" w:id="0">
    <w:p w14:paraId="766E4CFB" w14:textId="77777777" w:rsidR="00C80904" w:rsidRDefault="00C8090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2DC64" w14:textId="77777777" w:rsidR="00C80904" w:rsidRDefault="001C4767">
    <w:pPr>
      <w:pStyle w:val="Encabezado"/>
    </w:pPr>
    <w:r>
      <w:rPr>
        <w:noProof/>
        <w:lang w:eastAsia="es-MX"/>
      </w:rPr>
      <w:pict w14:anchorId="1B62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A1E2" w14:textId="77777777" w:rsidR="00C80904" w:rsidRDefault="001C4767">
    <w:pPr>
      <w:pStyle w:val="Encabezado"/>
    </w:pPr>
    <w:r>
      <w:rPr>
        <w:noProof/>
        <w:lang w:eastAsia="es-MX"/>
      </w:rPr>
      <w:pict w14:anchorId="33BEF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BC7B50"/>
    <w:multiLevelType w:val="hybridMultilevel"/>
    <w:tmpl w:val="0060DD02"/>
    <w:lvl w:ilvl="0" w:tplc="54141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FF6EAA"/>
    <w:multiLevelType w:val="hybridMultilevel"/>
    <w:tmpl w:val="58CA9C0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C841E8"/>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ADD692D"/>
    <w:multiLevelType w:val="hybridMultilevel"/>
    <w:tmpl w:val="9DAC6DBA"/>
    <w:lvl w:ilvl="0" w:tplc="521A18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54490"/>
    <w:multiLevelType w:val="hybridMultilevel"/>
    <w:tmpl w:val="FAE4B8F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DCE0FFF"/>
    <w:multiLevelType w:val="hybridMultilevel"/>
    <w:tmpl w:val="4A5AEEA2"/>
    <w:lvl w:ilvl="0" w:tplc="84DA3DAC">
      <w:start w:val="5"/>
      <w:numFmt w:val="upp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713035"/>
    <w:multiLevelType w:val="hybridMultilevel"/>
    <w:tmpl w:val="418C2134"/>
    <w:lvl w:ilvl="0" w:tplc="DA0EFA92">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4FC64B0"/>
    <w:multiLevelType w:val="hybridMultilevel"/>
    <w:tmpl w:val="B74C6A84"/>
    <w:lvl w:ilvl="0" w:tplc="6B7AB62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BA436D9"/>
    <w:multiLevelType w:val="hybridMultilevel"/>
    <w:tmpl w:val="CBB8FDF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75819"/>
    <w:multiLevelType w:val="hybridMultilevel"/>
    <w:tmpl w:val="86421944"/>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476D57"/>
    <w:multiLevelType w:val="hybridMultilevel"/>
    <w:tmpl w:val="1ADE3EAA"/>
    <w:lvl w:ilvl="0" w:tplc="B2DAD16E">
      <w:start w:val="6"/>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4BBE7681"/>
    <w:multiLevelType w:val="hybridMultilevel"/>
    <w:tmpl w:val="F7088A34"/>
    <w:lvl w:ilvl="0" w:tplc="6B26266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E2724D"/>
    <w:multiLevelType w:val="hybridMultilevel"/>
    <w:tmpl w:val="44D862D6"/>
    <w:lvl w:ilvl="0" w:tplc="AE10244E">
      <w:start w:val="6"/>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236324A"/>
    <w:multiLevelType w:val="hybridMultilevel"/>
    <w:tmpl w:val="CBB8FDF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A5392C"/>
    <w:multiLevelType w:val="hybridMultilevel"/>
    <w:tmpl w:val="314EE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78D0182"/>
    <w:multiLevelType w:val="hybridMultilevel"/>
    <w:tmpl w:val="0BD2F190"/>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DF3C52"/>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B0E746A"/>
    <w:multiLevelType w:val="hybridMultilevel"/>
    <w:tmpl w:val="58CA9C0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C7434"/>
    <w:multiLevelType w:val="hybridMultilevel"/>
    <w:tmpl w:val="3EBE79B8"/>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D12844"/>
    <w:multiLevelType w:val="multilevel"/>
    <w:tmpl w:val="298C2B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9"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47B51"/>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6FFE3640"/>
    <w:multiLevelType w:val="hybridMultilevel"/>
    <w:tmpl w:val="2BBC35EE"/>
    <w:lvl w:ilvl="0" w:tplc="CCA8C30C">
      <w:start w:val="6"/>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30B396C"/>
    <w:multiLevelType w:val="hybridMultilevel"/>
    <w:tmpl w:val="C434B7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843ED4"/>
    <w:multiLevelType w:val="hybridMultilevel"/>
    <w:tmpl w:val="955A3F58"/>
    <w:lvl w:ilvl="0" w:tplc="7A12843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F119F9"/>
    <w:multiLevelType w:val="hybridMultilevel"/>
    <w:tmpl w:val="E93EB6FC"/>
    <w:lvl w:ilvl="0" w:tplc="D19E5204">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630B0C"/>
    <w:multiLevelType w:val="hybridMultilevel"/>
    <w:tmpl w:val="F7FE8F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AE35DA"/>
    <w:multiLevelType w:val="hybridMultilevel"/>
    <w:tmpl w:val="A044EA20"/>
    <w:lvl w:ilvl="0" w:tplc="C096F10A">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8E45C5"/>
    <w:multiLevelType w:val="hybridMultilevel"/>
    <w:tmpl w:val="1AE04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7"/>
  </w:num>
  <w:num w:numId="3">
    <w:abstractNumId w:val="35"/>
  </w:num>
  <w:num w:numId="4">
    <w:abstractNumId w:val="0"/>
  </w:num>
  <w:num w:numId="5">
    <w:abstractNumId w:val="1"/>
  </w:num>
  <w:num w:numId="6">
    <w:abstractNumId w:val="22"/>
  </w:num>
  <w:num w:numId="7">
    <w:abstractNumId w:val="19"/>
  </w:num>
  <w:num w:numId="8">
    <w:abstractNumId w:val="30"/>
  </w:num>
  <w:num w:numId="9">
    <w:abstractNumId w:val="11"/>
  </w:num>
  <w:num w:numId="10">
    <w:abstractNumId w:val="21"/>
  </w:num>
  <w:num w:numId="11">
    <w:abstractNumId w:val="9"/>
  </w:num>
  <w:num w:numId="12">
    <w:abstractNumId w:val="36"/>
  </w:num>
  <w:num w:numId="13">
    <w:abstractNumId w:val="40"/>
  </w:num>
  <w:num w:numId="14">
    <w:abstractNumId w:val="25"/>
  </w:num>
  <w:num w:numId="15">
    <w:abstractNumId w:val="15"/>
  </w:num>
  <w:num w:numId="16">
    <w:abstractNumId w:val="32"/>
  </w:num>
  <w:num w:numId="17">
    <w:abstractNumId w:val="43"/>
  </w:num>
  <w:num w:numId="18">
    <w:abstractNumId w:val="12"/>
  </w:num>
  <w:num w:numId="19">
    <w:abstractNumId w:val="33"/>
  </w:num>
  <w:num w:numId="20">
    <w:abstractNumId w:val="45"/>
  </w:num>
  <w:num w:numId="21">
    <w:abstractNumId w:val="39"/>
  </w:num>
  <w:num w:numId="22">
    <w:abstractNumId w:val="26"/>
  </w:num>
  <w:num w:numId="23">
    <w:abstractNumId w:val="8"/>
  </w:num>
  <w:num w:numId="24">
    <w:abstractNumId w:val="6"/>
  </w:num>
  <w:num w:numId="25">
    <w:abstractNumId w:val="44"/>
  </w:num>
  <w:num w:numId="26">
    <w:abstractNumId w:val="24"/>
  </w:num>
  <w:num w:numId="27">
    <w:abstractNumId w:val="27"/>
  </w:num>
  <w:num w:numId="28">
    <w:abstractNumId w:val="41"/>
  </w:num>
  <w:num w:numId="29">
    <w:abstractNumId w:val="18"/>
  </w:num>
  <w:num w:numId="30">
    <w:abstractNumId w:val="46"/>
  </w:num>
  <w:num w:numId="31">
    <w:abstractNumId w:val="14"/>
  </w:num>
  <w:num w:numId="32">
    <w:abstractNumId w:val="5"/>
  </w:num>
  <w:num w:numId="33">
    <w:abstractNumId w:val="29"/>
  </w:num>
  <w:num w:numId="34">
    <w:abstractNumId w:val="20"/>
  </w:num>
  <w:num w:numId="35">
    <w:abstractNumId w:val="28"/>
  </w:num>
  <w:num w:numId="36">
    <w:abstractNumId w:val="4"/>
  </w:num>
  <w:num w:numId="37">
    <w:abstractNumId w:val="3"/>
  </w:num>
  <w:num w:numId="38">
    <w:abstractNumId w:val="38"/>
  </w:num>
  <w:num w:numId="39">
    <w:abstractNumId w:val="7"/>
  </w:num>
  <w:num w:numId="40">
    <w:abstractNumId w:val="16"/>
  </w:num>
  <w:num w:numId="41">
    <w:abstractNumId w:val="37"/>
  </w:num>
  <w:num w:numId="42">
    <w:abstractNumId w:val="23"/>
  </w:num>
  <w:num w:numId="43">
    <w:abstractNumId w:val="13"/>
  </w:num>
  <w:num w:numId="44">
    <w:abstractNumId w:val="10"/>
  </w:num>
  <w:num w:numId="45">
    <w:abstractNumId w:val="34"/>
  </w:num>
  <w:num w:numId="46">
    <w:abstractNumId w:val="47"/>
  </w:num>
  <w:num w:numId="47">
    <w:abstractNumId w:val="42"/>
  </w:num>
  <w:num w:numId="4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1D"/>
    <w:rsid w:val="00001EC5"/>
    <w:rsid w:val="000027EC"/>
    <w:rsid w:val="000036B5"/>
    <w:rsid w:val="00004CF8"/>
    <w:rsid w:val="00005A46"/>
    <w:rsid w:val="00011447"/>
    <w:rsid w:val="00011561"/>
    <w:rsid w:val="00011680"/>
    <w:rsid w:val="00011726"/>
    <w:rsid w:val="000139C7"/>
    <w:rsid w:val="0001487E"/>
    <w:rsid w:val="000154B0"/>
    <w:rsid w:val="000163D7"/>
    <w:rsid w:val="00016D35"/>
    <w:rsid w:val="00017811"/>
    <w:rsid w:val="00017BAA"/>
    <w:rsid w:val="00020418"/>
    <w:rsid w:val="000205C9"/>
    <w:rsid w:val="00021BAD"/>
    <w:rsid w:val="00021C46"/>
    <w:rsid w:val="00022177"/>
    <w:rsid w:val="00023013"/>
    <w:rsid w:val="00023E7D"/>
    <w:rsid w:val="0002445D"/>
    <w:rsid w:val="00024692"/>
    <w:rsid w:val="00024781"/>
    <w:rsid w:val="000247C4"/>
    <w:rsid w:val="00025E0A"/>
    <w:rsid w:val="000263CA"/>
    <w:rsid w:val="0003024E"/>
    <w:rsid w:val="00033BE9"/>
    <w:rsid w:val="00034625"/>
    <w:rsid w:val="0003511F"/>
    <w:rsid w:val="000358CA"/>
    <w:rsid w:val="000358FD"/>
    <w:rsid w:val="000377C2"/>
    <w:rsid w:val="000377CB"/>
    <w:rsid w:val="00037AD4"/>
    <w:rsid w:val="00037E1C"/>
    <w:rsid w:val="00040970"/>
    <w:rsid w:val="000414D2"/>
    <w:rsid w:val="00041B8A"/>
    <w:rsid w:val="00041D54"/>
    <w:rsid w:val="000429BC"/>
    <w:rsid w:val="00042E7E"/>
    <w:rsid w:val="00042FA1"/>
    <w:rsid w:val="00043036"/>
    <w:rsid w:val="00044080"/>
    <w:rsid w:val="00044BB8"/>
    <w:rsid w:val="00046581"/>
    <w:rsid w:val="000472C6"/>
    <w:rsid w:val="000477FB"/>
    <w:rsid w:val="00047986"/>
    <w:rsid w:val="00047FAF"/>
    <w:rsid w:val="00052044"/>
    <w:rsid w:val="000538E4"/>
    <w:rsid w:val="00054805"/>
    <w:rsid w:val="000553A7"/>
    <w:rsid w:val="00055722"/>
    <w:rsid w:val="000561D0"/>
    <w:rsid w:val="00056D12"/>
    <w:rsid w:val="00057A2A"/>
    <w:rsid w:val="00057E68"/>
    <w:rsid w:val="00060D36"/>
    <w:rsid w:val="00062037"/>
    <w:rsid w:val="0006327E"/>
    <w:rsid w:val="00063820"/>
    <w:rsid w:val="000638CF"/>
    <w:rsid w:val="00063A7A"/>
    <w:rsid w:val="00063F9C"/>
    <w:rsid w:val="00065072"/>
    <w:rsid w:val="00065C80"/>
    <w:rsid w:val="00066642"/>
    <w:rsid w:val="00066B76"/>
    <w:rsid w:val="00067018"/>
    <w:rsid w:val="00067AB1"/>
    <w:rsid w:val="00071002"/>
    <w:rsid w:val="000718F8"/>
    <w:rsid w:val="00071BF2"/>
    <w:rsid w:val="000720EE"/>
    <w:rsid w:val="00072BC8"/>
    <w:rsid w:val="00072ED0"/>
    <w:rsid w:val="00073DDC"/>
    <w:rsid w:val="00074558"/>
    <w:rsid w:val="0007507F"/>
    <w:rsid w:val="00075589"/>
    <w:rsid w:val="0007607F"/>
    <w:rsid w:val="0007621B"/>
    <w:rsid w:val="00076577"/>
    <w:rsid w:val="00077411"/>
    <w:rsid w:val="00081068"/>
    <w:rsid w:val="00081503"/>
    <w:rsid w:val="00081B80"/>
    <w:rsid w:val="00081CFB"/>
    <w:rsid w:val="0008208E"/>
    <w:rsid w:val="00083396"/>
    <w:rsid w:val="0008386A"/>
    <w:rsid w:val="00083ECA"/>
    <w:rsid w:val="00084B29"/>
    <w:rsid w:val="00084EE6"/>
    <w:rsid w:val="00085ED0"/>
    <w:rsid w:val="00087655"/>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2E38"/>
    <w:rsid w:val="000A4589"/>
    <w:rsid w:val="000A50DB"/>
    <w:rsid w:val="000A5E4A"/>
    <w:rsid w:val="000A60D4"/>
    <w:rsid w:val="000A63FE"/>
    <w:rsid w:val="000A6741"/>
    <w:rsid w:val="000A7D62"/>
    <w:rsid w:val="000B0DC1"/>
    <w:rsid w:val="000B12D6"/>
    <w:rsid w:val="000B1E03"/>
    <w:rsid w:val="000B2B23"/>
    <w:rsid w:val="000B334C"/>
    <w:rsid w:val="000B35DB"/>
    <w:rsid w:val="000B3735"/>
    <w:rsid w:val="000B3E8F"/>
    <w:rsid w:val="000B434F"/>
    <w:rsid w:val="000B4852"/>
    <w:rsid w:val="000B48AE"/>
    <w:rsid w:val="000B4F84"/>
    <w:rsid w:val="000B6473"/>
    <w:rsid w:val="000B6B78"/>
    <w:rsid w:val="000B6C98"/>
    <w:rsid w:val="000B7FC8"/>
    <w:rsid w:val="000C0BCD"/>
    <w:rsid w:val="000C19AB"/>
    <w:rsid w:val="000C1F38"/>
    <w:rsid w:val="000C27E7"/>
    <w:rsid w:val="000C2CF4"/>
    <w:rsid w:val="000C324D"/>
    <w:rsid w:val="000C3D4B"/>
    <w:rsid w:val="000C3F9A"/>
    <w:rsid w:val="000C4034"/>
    <w:rsid w:val="000C4877"/>
    <w:rsid w:val="000C4A6B"/>
    <w:rsid w:val="000C4D79"/>
    <w:rsid w:val="000C539F"/>
    <w:rsid w:val="000C6039"/>
    <w:rsid w:val="000C6697"/>
    <w:rsid w:val="000C6A74"/>
    <w:rsid w:val="000C6BB2"/>
    <w:rsid w:val="000C6FC6"/>
    <w:rsid w:val="000C727D"/>
    <w:rsid w:val="000C79DF"/>
    <w:rsid w:val="000D04CA"/>
    <w:rsid w:val="000D063B"/>
    <w:rsid w:val="000D0953"/>
    <w:rsid w:val="000D140A"/>
    <w:rsid w:val="000D1A16"/>
    <w:rsid w:val="000D1C22"/>
    <w:rsid w:val="000D248A"/>
    <w:rsid w:val="000D30C6"/>
    <w:rsid w:val="000D42DC"/>
    <w:rsid w:val="000D46E9"/>
    <w:rsid w:val="000D4A3A"/>
    <w:rsid w:val="000D4F2F"/>
    <w:rsid w:val="000D544C"/>
    <w:rsid w:val="000D5493"/>
    <w:rsid w:val="000D6A88"/>
    <w:rsid w:val="000D6F52"/>
    <w:rsid w:val="000D7404"/>
    <w:rsid w:val="000E1B20"/>
    <w:rsid w:val="000E2BD4"/>
    <w:rsid w:val="000E305E"/>
    <w:rsid w:val="000E4C0A"/>
    <w:rsid w:val="000E5144"/>
    <w:rsid w:val="000E6467"/>
    <w:rsid w:val="000E661E"/>
    <w:rsid w:val="000E6A28"/>
    <w:rsid w:val="000E6DA8"/>
    <w:rsid w:val="000E6F53"/>
    <w:rsid w:val="000F1246"/>
    <w:rsid w:val="000F144E"/>
    <w:rsid w:val="000F1509"/>
    <w:rsid w:val="000F160E"/>
    <w:rsid w:val="000F18D5"/>
    <w:rsid w:val="000F21AB"/>
    <w:rsid w:val="000F2B01"/>
    <w:rsid w:val="000F3AAC"/>
    <w:rsid w:val="000F4101"/>
    <w:rsid w:val="000F4307"/>
    <w:rsid w:val="000F48B3"/>
    <w:rsid w:val="000F4BD6"/>
    <w:rsid w:val="000F5BEC"/>
    <w:rsid w:val="000F6C59"/>
    <w:rsid w:val="000F7F4A"/>
    <w:rsid w:val="00100BD2"/>
    <w:rsid w:val="00101EDA"/>
    <w:rsid w:val="00102C7D"/>
    <w:rsid w:val="001034E2"/>
    <w:rsid w:val="00103FB4"/>
    <w:rsid w:val="00104C74"/>
    <w:rsid w:val="0010524D"/>
    <w:rsid w:val="00106523"/>
    <w:rsid w:val="001071EC"/>
    <w:rsid w:val="00107A7F"/>
    <w:rsid w:val="00110047"/>
    <w:rsid w:val="001100CF"/>
    <w:rsid w:val="0011030F"/>
    <w:rsid w:val="00111434"/>
    <w:rsid w:val="001120B4"/>
    <w:rsid w:val="00112824"/>
    <w:rsid w:val="0011309A"/>
    <w:rsid w:val="00113106"/>
    <w:rsid w:val="00113618"/>
    <w:rsid w:val="00113E2E"/>
    <w:rsid w:val="0011636A"/>
    <w:rsid w:val="00116976"/>
    <w:rsid w:val="00116D89"/>
    <w:rsid w:val="001175D7"/>
    <w:rsid w:val="00120922"/>
    <w:rsid w:val="00120E4C"/>
    <w:rsid w:val="00121E8F"/>
    <w:rsid w:val="001226C1"/>
    <w:rsid w:val="0012304B"/>
    <w:rsid w:val="00124379"/>
    <w:rsid w:val="00124C80"/>
    <w:rsid w:val="00125061"/>
    <w:rsid w:val="00125988"/>
    <w:rsid w:val="00125B16"/>
    <w:rsid w:val="00125F77"/>
    <w:rsid w:val="00126D7F"/>
    <w:rsid w:val="001272DB"/>
    <w:rsid w:val="001277F2"/>
    <w:rsid w:val="00127E16"/>
    <w:rsid w:val="00127EB9"/>
    <w:rsid w:val="001305D6"/>
    <w:rsid w:val="00130DF7"/>
    <w:rsid w:val="001318C4"/>
    <w:rsid w:val="00131F4F"/>
    <w:rsid w:val="001325E8"/>
    <w:rsid w:val="00132D70"/>
    <w:rsid w:val="001335BC"/>
    <w:rsid w:val="00133CDF"/>
    <w:rsid w:val="0013466E"/>
    <w:rsid w:val="0013473E"/>
    <w:rsid w:val="00140E59"/>
    <w:rsid w:val="0014228B"/>
    <w:rsid w:val="0014251D"/>
    <w:rsid w:val="0014279D"/>
    <w:rsid w:val="00144D4A"/>
    <w:rsid w:val="00146CAE"/>
    <w:rsid w:val="00147AF2"/>
    <w:rsid w:val="00147E33"/>
    <w:rsid w:val="0015017E"/>
    <w:rsid w:val="00150A05"/>
    <w:rsid w:val="001514AC"/>
    <w:rsid w:val="00151629"/>
    <w:rsid w:val="001528F0"/>
    <w:rsid w:val="00153C43"/>
    <w:rsid w:val="00153C44"/>
    <w:rsid w:val="00153FA4"/>
    <w:rsid w:val="00154C69"/>
    <w:rsid w:val="00154F47"/>
    <w:rsid w:val="001566D4"/>
    <w:rsid w:val="0015727F"/>
    <w:rsid w:val="00157BBE"/>
    <w:rsid w:val="00160FBA"/>
    <w:rsid w:val="00162B0B"/>
    <w:rsid w:val="0016331C"/>
    <w:rsid w:val="001638FC"/>
    <w:rsid w:val="00163E8A"/>
    <w:rsid w:val="0016461F"/>
    <w:rsid w:val="001659E6"/>
    <w:rsid w:val="00166611"/>
    <w:rsid w:val="00166B05"/>
    <w:rsid w:val="00170029"/>
    <w:rsid w:val="00170479"/>
    <w:rsid w:val="001709BB"/>
    <w:rsid w:val="00172834"/>
    <w:rsid w:val="001755FC"/>
    <w:rsid w:val="00175EFA"/>
    <w:rsid w:val="00175F83"/>
    <w:rsid w:val="00176C9C"/>
    <w:rsid w:val="00176EC8"/>
    <w:rsid w:val="00176F5F"/>
    <w:rsid w:val="00177E81"/>
    <w:rsid w:val="00177EAD"/>
    <w:rsid w:val="00180852"/>
    <w:rsid w:val="00180DC3"/>
    <w:rsid w:val="00180E35"/>
    <w:rsid w:val="00180E62"/>
    <w:rsid w:val="00180E89"/>
    <w:rsid w:val="001813C5"/>
    <w:rsid w:val="001816B7"/>
    <w:rsid w:val="001818E5"/>
    <w:rsid w:val="001829CE"/>
    <w:rsid w:val="001840B6"/>
    <w:rsid w:val="00184136"/>
    <w:rsid w:val="00185002"/>
    <w:rsid w:val="00185213"/>
    <w:rsid w:val="00186CD7"/>
    <w:rsid w:val="001927D9"/>
    <w:rsid w:val="0019438F"/>
    <w:rsid w:val="0019445F"/>
    <w:rsid w:val="0019449A"/>
    <w:rsid w:val="00195DC5"/>
    <w:rsid w:val="001960F0"/>
    <w:rsid w:val="0019628E"/>
    <w:rsid w:val="00196509"/>
    <w:rsid w:val="001A363D"/>
    <w:rsid w:val="001A3875"/>
    <w:rsid w:val="001A48DD"/>
    <w:rsid w:val="001A4C2D"/>
    <w:rsid w:val="001A5D0E"/>
    <w:rsid w:val="001A604E"/>
    <w:rsid w:val="001A7807"/>
    <w:rsid w:val="001A7B3A"/>
    <w:rsid w:val="001A7D5F"/>
    <w:rsid w:val="001A7F98"/>
    <w:rsid w:val="001B127A"/>
    <w:rsid w:val="001B130F"/>
    <w:rsid w:val="001B29E2"/>
    <w:rsid w:val="001B33C4"/>
    <w:rsid w:val="001B395D"/>
    <w:rsid w:val="001B48C1"/>
    <w:rsid w:val="001B58A1"/>
    <w:rsid w:val="001B6768"/>
    <w:rsid w:val="001B67EF"/>
    <w:rsid w:val="001B7A8B"/>
    <w:rsid w:val="001C0098"/>
    <w:rsid w:val="001C020F"/>
    <w:rsid w:val="001C0C35"/>
    <w:rsid w:val="001C224E"/>
    <w:rsid w:val="001C29EA"/>
    <w:rsid w:val="001C40C3"/>
    <w:rsid w:val="001C4432"/>
    <w:rsid w:val="001C4767"/>
    <w:rsid w:val="001C5A3B"/>
    <w:rsid w:val="001C5A91"/>
    <w:rsid w:val="001C6A6A"/>
    <w:rsid w:val="001C756D"/>
    <w:rsid w:val="001C77DD"/>
    <w:rsid w:val="001D0589"/>
    <w:rsid w:val="001D0602"/>
    <w:rsid w:val="001D0D90"/>
    <w:rsid w:val="001D169C"/>
    <w:rsid w:val="001D2FA2"/>
    <w:rsid w:val="001D5838"/>
    <w:rsid w:val="001D758F"/>
    <w:rsid w:val="001E0251"/>
    <w:rsid w:val="001E0D08"/>
    <w:rsid w:val="001E1D9E"/>
    <w:rsid w:val="001E22C2"/>
    <w:rsid w:val="001E2DB6"/>
    <w:rsid w:val="001E2F8C"/>
    <w:rsid w:val="001E3033"/>
    <w:rsid w:val="001E3BB1"/>
    <w:rsid w:val="001E3E45"/>
    <w:rsid w:val="001E61EF"/>
    <w:rsid w:val="001E6B23"/>
    <w:rsid w:val="001E6FA9"/>
    <w:rsid w:val="001E720D"/>
    <w:rsid w:val="001E7E17"/>
    <w:rsid w:val="001F0A33"/>
    <w:rsid w:val="001F0B6D"/>
    <w:rsid w:val="001F113D"/>
    <w:rsid w:val="001F2F07"/>
    <w:rsid w:val="001F325B"/>
    <w:rsid w:val="001F3BC9"/>
    <w:rsid w:val="001F45DE"/>
    <w:rsid w:val="001F62AE"/>
    <w:rsid w:val="001F75D3"/>
    <w:rsid w:val="002007A5"/>
    <w:rsid w:val="00200822"/>
    <w:rsid w:val="00200AF0"/>
    <w:rsid w:val="00200D1A"/>
    <w:rsid w:val="00201211"/>
    <w:rsid w:val="002012FB"/>
    <w:rsid w:val="002015CA"/>
    <w:rsid w:val="00202085"/>
    <w:rsid w:val="002032A7"/>
    <w:rsid w:val="00204F43"/>
    <w:rsid w:val="0020508C"/>
    <w:rsid w:val="002057CD"/>
    <w:rsid w:val="00206345"/>
    <w:rsid w:val="00206B24"/>
    <w:rsid w:val="00207BF8"/>
    <w:rsid w:val="00207FD9"/>
    <w:rsid w:val="002102A1"/>
    <w:rsid w:val="0021053A"/>
    <w:rsid w:val="00210826"/>
    <w:rsid w:val="00210F73"/>
    <w:rsid w:val="002114BF"/>
    <w:rsid w:val="00212BEC"/>
    <w:rsid w:val="002141D9"/>
    <w:rsid w:val="00214D9A"/>
    <w:rsid w:val="00214F04"/>
    <w:rsid w:val="00215926"/>
    <w:rsid w:val="00215C44"/>
    <w:rsid w:val="00217BD7"/>
    <w:rsid w:val="00217CF8"/>
    <w:rsid w:val="00220B22"/>
    <w:rsid w:val="0022183B"/>
    <w:rsid w:val="00221DEC"/>
    <w:rsid w:val="00222780"/>
    <w:rsid w:val="00222DC0"/>
    <w:rsid w:val="00223B93"/>
    <w:rsid w:val="0022460D"/>
    <w:rsid w:val="0022564B"/>
    <w:rsid w:val="00225896"/>
    <w:rsid w:val="00226B3B"/>
    <w:rsid w:val="0022730A"/>
    <w:rsid w:val="00227C0A"/>
    <w:rsid w:val="00231937"/>
    <w:rsid w:val="002325C3"/>
    <w:rsid w:val="0023288D"/>
    <w:rsid w:val="00233F5F"/>
    <w:rsid w:val="002354D9"/>
    <w:rsid w:val="002361D6"/>
    <w:rsid w:val="002365D7"/>
    <w:rsid w:val="00236930"/>
    <w:rsid w:val="0023752B"/>
    <w:rsid w:val="00240818"/>
    <w:rsid w:val="00241616"/>
    <w:rsid w:val="002419C1"/>
    <w:rsid w:val="00242B69"/>
    <w:rsid w:val="00242E29"/>
    <w:rsid w:val="0024309D"/>
    <w:rsid w:val="00243B12"/>
    <w:rsid w:val="00243B5A"/>
    <w:rsid w:val="00244E71"/>
    <w:rsid w:val="00244F4B"/>
    <w:rsid w:val="0024629F"/>
    <w:rsid w:val="0024694D"/>
    <w:rsid w:val="00246EFF"/>
    <w:rsid w:val="0024728A"/>
    <w:rsid w:val="0024736F"/>
    <w:rsid w:val="00247750"/>
    <w:rsid w:val="00250617"/>
    <w:rsid w:val="00250B94"/>
    <w:rsid w:val="0025109B"/>
    <w:rsid w:val="0025284C"/>
    <w:rsid w:val="002530DF"/>
    <w:rsid w:val="002533BE"/>
    <w:rsid w:val="00253CD6"/>
    <w:rsid w:val="00253E94"/>
    <w:rsid w:val="002548A8"/>
    <w:rsid w:val="00254946"/>
    <w:rsid w:val="00255165"/>
    <w:rsid w:val="00256A69"/>
    <w:rsid w:val="00256F29"/>
    <w:rsid w:val="00257B71"/>
    <w:rsid w:val="0026007B"/>
    <w:rsid w:val="00261009"/>
    <w:rsid w:val="00261158"/>
    <w:rsid w:val="00261FE3"/>
    <w:rsid w:val="00262478"/>
    <w:rsid w:val="002626DD"/>
    <w:rsid w:val="00263859"/>
    <w:rsid w:val="00264F2F"/>
    <w:rsid w:val="002659C5"/>
    <w:rsid w:val="00265E59"/>
    <w:rsid w:val="00266493"/>
    <w:rsid w:val="002679D7"/>
    <w:rsid w:val="0027250C"/>
    <w:rsid w:val="00272721"/>
    <w:rsid w:val="00272B28"/>
    <w:rsid w:val="00275284"/>
    <w:rsid w:val="00275EE5"/>
    <w:rsid w:val="002777BB"/>
    <w:rsid w:val="002803B3"/>
    <w:rsid w:val="00281965"/>
    <w:rsid w:val="00282030"/>
    <w:rsid w:val="00282DC3"/>
    <w:rsid w:val="00283348"/>
    <w:rsid w:val="0028363B"/>
    <w:rsid w:val="00285020"/>
    <w:rsid w:val="00287283"/>
    <w:rsid w:val="002876F7"/>
    <w:rsid w:val="0029108A"/>
    <w:rsid w:val="0029172A"/>
    <w:rsid w:val="002920C0"/>
    <w:rsid w:val="002928F6"/>
    <w:rsid w:val="00292B77"/>
    <w:rsid w:val="00293119"/>
    <w:rsid w:val="00293D63"/>
    <w:rsid w:val="00294CD4"/>
    <w:rsid w:val="00295595"/>
    <w:rsid w:val="002960C7"/>
    <w:rsid w:val="002965AE"/>
    <w:rsid w:val="002971B2"/>
    <w:rsid w:val="002974D0"/>
    <w:rsid w:val="0029760C"/>
    <w:rsid w:val="00297ED8"/>
    <w:rsid w:val="002A00D3"/>
    <w:rsid w:val="002A3189"/>
    <w:rsid w:val="002A489F"/>
    <w:rsid w:val="002A495A"/>
    <w:rsid w:val="002A4EAD"/>
    <w:rsid w:val="002A5006"/>
    <w:rsid w:val="002A5E74"/>
    <w:rsid w:val="002A6A19"/>
    <w:rsid w:val="002A7A43"/>
    <w:rsid w:val="002B20B2"/>
    <w:rsid w:val="002B2F19"/>
    <w:rsid w:val="002B32CE"/>
    <w:rsid w:val="002B4382"/>
    <w:rsid w:val="002B538E"/>
    <w:rsid w:val="002B543F"/>
    <w:rsid w:val="002B711E"/>
    <w:rsid w:val="002C05D5"/>
    <w:rsid w:val="002C12B0"/>
    <w:rsid w:val="002C1361"/>
    <w:rsid w:val="002C1387"/>
    <w:rsid w:val="002C20B4"/>
    <w:rsid w:val="002C21CB"/>
    <w:rsid w:val="002C262B"/>
    <w:rsid w:val="002C2BC0"/>
    <w:rsid w:val="002C3DC8"/>
    <w:rsid w:val="002C41E6"/>
    <w:rsid w:val="002C4640"/>
    <w:rsid w:val="002C50F4"/>
    <w:rsid w:val="002C6276"/>
    <w:rsid w:val="002D1D4B"/>
    <w:rsid w:val="002D2EF5"/>
    <w:rsid w:val="002D316E"/>
    <w:rsid w:val="002D4553"/>
    <w:rsid w:val="002D4C98"/>
    <w:rsid w:val="002D6620"/>
    <w:rsid w:val="002D6EE1"/>
    <w:rsid w:val="002D6EFB"/>
    <w:rsid w:val="002D7427"/>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2FD"/>
    <w:rsid w:val="002E7677"/>
    <w:rsid w:val="002F009A"/>
    <w:rsid w:val="002F0895"/>
    <w:rsid w:val="002F1D3A"/>
    <w:rsid w:val="002F3127"/>
    <w:rsid w:val="002F3BC8"/>
    <w:rsid w:val="002F5A11"/>
    <w:rsid w:val="002F66E2"/>
    <w:rsid w:val="002F738E"/>
    <w:rsid w:val="002F7E50"/>
    <w:rsid w:val="00300740"/>
    <w:rsid w:val="0030209C"/>
    <w:rsid w:val="00302363"/>
    <w:rsid w:val="003031D9"/>
    <w:rsid w:val="00303201"/>
    <w:rsid w:val="00303337"/>
    <w:rsid w:val="003059FD"/>
    <w:rsid w:val="00305B3A"/>
    <w:rsid w:val="00306567"/>
    <w:rsid w:val="003073EE"/>
    <w:rsid w:val="00307639"/>
    <w:rsid w:val="00307F97"/>
    <w:rsid w:val="00310933"/>
    <w:rsid w:val="00311A21"/>
    <w:rsid w:val="0031246B"/>
    <w:rsid w:val="0031277B"/>
    <w:rsid w:val="00313E5E"/>
    <w:rsid w:val="003147A7"/>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7097"/>
    <w:rsid w:val="0032774B"/>
    <w:rsid w:val="00330B8C"/>
    <w:rsid w:val="003313C2"/>
    <w:rsid w:val="00331467"/>
    <w:rsid w:val="003323C7"/>
    <w:rsid w:val="00332C00"/>
    <w:rsid w:val="00333FEB"/>
    <w:rsid w:val="003344D7"/>
    <w:rsid w:val="00334A78"/>
    <w:rsid w:val="00336DC1"/>
    <w:rsid w:val="00336E00"/>
    <w:rsid w:val="00340126"/>
    <w:rsid w:val="003407A1"/>
    <w:rsid w:val="00340E79"/>
    <w:rsid w:val="00342631"/>
    <w:rsid w:val="00342D04"/>
    <w:rsid w:val="00343316"/>
    <w:rsid w:val="00344148"/>
    <w:rsid w:val="00344912"/>
    <w:rsid w:val="003471D2"/>
    <w:rsid w:val="003509E2"/>
    <w:rsid w:val="0035114C"/>
    <w:rsid w:val="00351B83"/>
    <w:rsid w:val="00352302"/>
    <w:rsid w:val="00353A56"/>
    <w:rsid w:val="0035405F"/>
    <w:rsid w:val="00356263"/>
    <w:rsid w:val="003577A5"/>
    <w:rsid w:val="00357A6A"/>
    <w:rsid w:val="00357AFE"/>
    <w:rsid w:val="00360A82"/>
    <w:rsid w:val="00360FFA"/>
    <w:rsid w:val="00361031"/>
    <w:rsid w:val="00361168"/>
    <w:rsid w:val="00361CDC"/>
    <w:rsid w:val="00362753"/>
    <w:rsid w:val="00363921"/>
    <w:rsid w:val="00365A3C"/>
    <w:rsid w:val="0036663C"/>
    <w:rsid w:val="00366949"/>
    <w:rsid w:val="00367B4C"/>
    <w:rsid w:val="00370258"/>
    <w:rsid w:val="003703B2"/>
    <w:rsid w:val="00370542"/>
    <w:rsid w:val="00370F9A"/>
    <w:rsid w:val="00371142"/>
    <w:rsid w:val="003719BA"/>
    <w:rsid w:val="00371EA8"/>
    <w:rsid w:val="003724FE"/>
    <w:rsid w:val="00373118"/>
    <w:rsid w:val="00373D57"/>
    <w:rsid w:val="003765D5"/>
    <w:rsid w:val="00376BF1"/>
    <w:rsid w:val="00380818"/>
    <w:rsid w:val="00380C97"/>
    <w:rsid w:val="00383334"/>
    <w:rsid w:val="0038359B"/>
    <w:rsid w:val="00384051"/>
    <w:rsid w:val="00385515"/>
    <w:rsid w:val="00385C0C"/>
    <w:rsid w:val="00385CAB"/>
    <w:rsid w:val="00387E80"/>
    <w:rsid w:val="00390026"/>
    <w:rsid w:val="00390CBA"/>
    <w:rsid w:val="00390CDA"/>
    <w:rsid w:val="0039193D"/>
    <w:rsid w:val="00391F8D"/>
    <w:rsid w:val="003939FF"/>
    <w:rsid w:val="00394255"/>
    <w:rsid w:val="0039446C"/>
    <w:rsid w:val="00394A6D"/>
    <w:rsid w:val="00394F8E"/>
    <w:rsid w:val="00395609"/>
    <w:rsid w:val="003A0616"/>
    <w:rsid w:val="003A1489"/>
    <w:rsid w:val="003A1662"/>
    <w:rsid w:val="003A199C"/>
    <w:rsid w:val="003A1BA9"/>
    <w:rsid w:val="003A1D21"/>
    <w:rsid w:val="003A1E33"/>
    <w:rsid w:val="003A2FA7"/>
    <w:rsid w:val="003A3264"/>
    <w:rsid w:val="003A34E1"/>
    <w:rsid w:val="003A3C8A"/>
    <w:rsid w:val="003A491F"/>
    <w:rsid w:val="003A49C5"/>
    <w:rsid w:val="003A5479"/>
    <w:rsid w:val="003A5C87"/>
    <w:rsid w:val="003A7B99"/>
    <w:rsid w:val="003A7FE8"/>
    <w:rsid w:val="003B083D"/>
    <w:rsid w:val="003B09FF"/>
    <w:rsid w:val="003B1586"/>
    <w:rsid w:val="003B2065"/>
    <w:rsid w:val="003B2DAC"/>
    <w:rsid w:val="003B3180"/>
    <w:rsid w:val="003B3FCD"/>
    <w:rsid w:val="003B4523"/>
    <w:rsid w:val="003B46D5"/>
    <w:rsid w:val="003B4F28"/>
    <w:rsid w:val="003B5036"/>
    <w:rsid w:val="003C0743"/>
    <w:rsid w:val="003C0823"/>
    <w:rsid w:val="003C0C79"/>
    <w:rsid w:val="003C1743"/>
    <w:rsid w:val="003C27D5"/>
    <w:rsid w:val="003C4808"/>
    <w:rsid w:val="003C4DC6"/>
    <w:rsid w:val="003C657A"/>
    <w:rsid w:val="003C6814"/>
    <w:rsid w:val="003C73D3"/>
    <w:rsid w:val="003D1DB7"/>
    <w:rsid w:val="003D2034"/>
    <w:rsid w:val="003D2097"/>
    <w:rsid w:val="003D719A"/>
    <w:rsid w:val="003E0155"/>
    <w:rsid w:val="003E04B6"/>
    <w:rsid w:val="003E0876"/>
    <w:rsid w:val="003E14D5"/>
    <w:rsid w:val="003E1C03"/>
    <w:rsid w:val="003E24B3"/>
    <w:rsid w:val="003E24E5"/>
    <w:rsid w:val="003E3720"/>
    <w:rsid w:val="003E4698"/>
    <w:rsid w:val="003E53A0"/>
    <w:rsid w:val="003E60CD"/>
    <w:rsid w:val="003E6172"/>
    <w:rsid w:val="003E75E6"/>
    <w:rsid w:val="003F03B2"/>
    <w:rsid w:val="003F1051"/>
    <w:rsid w:val="003F5ABC"/>
    <w:rsid w:val="003F5FCF"/>
    <w:rsid w:val="003F5FDB"/>
    <w:rsid w:val="003F5FF0"/>
    <w:rsid w:val="003F6162"/>
    <w:rsid w:val="003F7D9D"/>
    <w:rsid w:val="004007ED"/>
    <w:rsid w:val="00400F9A"/>
    <w:rsid w:val="0040181F"/>
    <w:rsid w:val="0040274F"/>
    <w:rsid w:val="004027E1"/>
    <w:rsid w:val="00403C6D"/>
    <w:rsid w:val="00403E57"/>
    <w:rsid w:val="00404848"/>
    <w:rsid w:val="00405520"/>
    <w:rsid w:val="00405806"/>
    <w:rsid w:val="00406B9E"/>
    <w:rsid w:val="0040735F"/>
    <w:rsid w:val="00413744"/>
    <w:rsid w:val="00414E1B"/>
    <w:rsid w:val="00415366"/>
    <w:rsid w:val="00415AD6"/>
    <w:rsid w:val="0041760B"/>
    <w:rsid w:val="00417C54"/>
    <w:rsid w:val="00417E33"/>
    <w:rsid w:val="004203FE"/>
    <w:rsid w:val="00423570"/>
    <w:rsid w:val="00424AC8"/>
    <w:rsid w:val="00424F21"/>
    <w:rsid w:val="0042532B"/>
    <w:rsid w:val="0042597A"/>
    <w:rsid w:val="00425C7A"/>
    <w:rsid w:val="00426594"/>
    <w:rsid w:val="004265EF"/>
    <w:rsid w:val="00430EAA"/>
    <w:rsid w:val="004314EB"/>
    <w:rsid w:val="0043174E"/>
    <w:rsid w:val="00432927"/>
    <w:rsid w:val="00433F4A"/>
    <w:rsid w:val="00434B05"/>
    <w:rsid w:val="00435DF3"/>
    <w:rsid w:val="00436827"/>
    <w:rsid w:val="00436B02"/>
    <w:rsid w:val="00437335"/>
    <w:rsid w:val="00437DD2"/>
    <w:rsid w:val="00440DF7"/>
    <w:rsid w:val="00441402"/>
    <w:rsid w:val="00442714"/>
    <w:rsid w:val="0044281F"/>
    <w:rsid w:val="00443A5C"/>
    <w:rsid w:val="00446FCC"/>
    <w:rsid w:val="00450136"/>
    <w:rsid w:val="00450698"/>
    <w:rsid w:val="00450D28"/>
    <w:rsid w:val="00450F7F"/>
    <w:rsid w:val="00450FC0"/>
    <w:rsid w:val="004511A0"/>
    <w:rsid w:val="0045389B"/>
    <w:rsid w:val="00455271"/>
    <w:rsid w:val="00455896"/>
    <w:rsid w:val="00455C11"/>
    <w:rsid w:val="0045681D"/>
    <w:rsid w:val="00457370"/>
    <w:rsid w:val="00457B8D"/>
    <w:rsid w:val="00457B8E"/>
    <w:rsid w:val="00457C48"/>
    <w:rsid w:val="00460235"/>
    <w:rsid w:val="00460408"/>
    <w:rsid w:val="00460F82"/>
    <w:rsid w:val="004611DB"/>
    <w:rsid w:val="00461629"/>
    <w:rsid w:val="00461B5B"/>
    <w:rsid w:val="00461E94"/>
    <w:rsid w:val="00463743"/>
    <w:rsid w:val="00463A03"/>
    <w:rsid w:val="00466E9A"/>
    <w:rsid w:val="00466FA2"/>
    <w:rsid w:val="00467E87"/>
    <w:rsid w:val="004709AF"/>
    <w:rsid w:val="00473BBA"/>
    <w:rsid w:val="00473F14"/>
    <w:rsid w:val="0047508F"/>
    <w:rsid w:val="00475878"/>
    <w:rsid w:val="00475BF4"/>
    <w:rsid w:val="0047697D"/>
    <w:rsid w:val="00477543"/>
    <w:rsid w:val="00481081"/>
    <w:rsid w:val="00481148"/>
    <w:rsid w:val="00482397"/>
    <w:rsid w:val="0048297F"/>
    <w:rsid w:val="00482DF7"/>
    <w:rsid w:val="00482FDD"/>
    <w:rsid w:val="00483036"/>
    <w:rsid w:val="00483F69"/>
    <w:rsid w:val="00484CCD"/>
    <w:rsid w:val="00484F53"/>
    <w:rsid w:val="004861D7"/>
    <w:rsid w:val="004864D1"/>
    <w:rsid w:val="00490E8E"/>
    <w:rsid w:val="00491153"/>
    <w:rsid w:val="0049117E"/>
    <w:rsid w:val="00492302"/>
    <w:rsid w:val="00493B82"/>
    <w:rsid w:val="00495BA7"/>
    <w:rsid w:val="004970E3"/>
    <w:rsid w:val="0049721A"/>
    <w:rsid w:val="00497331"/>
    <w:rsid w:val="00497CA5"/>
    <w:rsid w:val="004A2786"/>
    <w:rsid w:val="004A28E3"/>
    <w:rsid w:val="004A3929"/>
    <w:rsid w:val="004A5DB0"/>
    <w:rsid w:val="004A5DFA"/>
    <w:rsid w:val="004A6095"/>
    <w:rsid w:val="004A613C"/>
    <w:rsid w:val="004A64FD"/>
    <w:rsid w:val="004B1184"/>
    <w:rsid w:val="004B247C"/>
    <w:rsid w:val="004B3FE8"/>
    <w:rsid w:val="004B6C65"/>
    <w:rsid w:val="004B7094"/>
    <w:rsid w:val="004B7269"/>
    <w:rsid w:val="004C04C8"/>
    <w:rsid w:val="004C1F28"/>
    <w:rsid w:val="004C290A"/>
    <w:rsid w:val="004C3956"/>
    <w:rsid w:val="004C417D"/>
    <w:rsid w:val="004C55C0"/>
    <w:rsid w:val="004C6755"/>
    <w:rsid w:val="004C7D3F"/>
    <w:rsid w:val="004C7EC6"/>
    <w:rsid w:val="004D049F"/>
    <w:rsid w:val="004D108B"/>
    <w:rsid w:val="004D4297"/>
    <w:rsid w:val="004D50DB"/>
    <w:rsid w:val="004D6883"/>
    <w:rsid w:val="004E1AE6"/>
    <w:rsid w:val="004E20D1"/>
    <w:rsid w:val="004E22C5"/>
    <w:rsid w:val="004E25AD"/>
    <w:rsid w:val="004E3E69"/>
    <w:rsid w:val="004E41F0"/>
    <w:rsid w:val="004E5E44"/>
    <w:rsid w:val="004E5F95"/>
    <w:rsid w:val="004E6845"/>
    <w:rsid w:val="004E7312"/>
    <w:rsid w:val="004F0C84"/>
    <w:rsid w:val="004F0C8C"/>
    <w:rsid w:val="004F2007"/>
    <w:rsid w:val="004F2104"/>
    <w:rsid w:val="004F38AB"/>
    <w:rsid w:val="004F514E"/>
    <w:rsid w:val="004F6843"/>
    <w:rsid w:val="004F6B08"/>
    <w:rsid w:val="004F6CAF"/>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3122"/>
    <w:rsid w:val="0051432C"/>
    <w:rsid w:val="0051488F"/>
    <w:rsid w:val="00514BC0"/>
    <w:rsid w:val="0051534E"/>
    <w:rsid w:val="005160CE"/>
    <w:rsid w:val="00516539"/>
    <w:rsid w:val="00516A2D"/>
    <w:rsid w:val="00516E36"/>
    <w:rsid w:val="005177A4"/>
    <w:rsid w:val="00517FC6"/>
    <w:rsid w:val="005206BB"/>
    <w:rsid w:val="00520946"/>
    <w:rsid w:val="005239BB"/>
    <w:rsid w:val="00523C6E"/>
    <w:rsid w:val="00525239"/>
    <w:rsid w:val="00525655"/>
    <w:rsid w:val="00526469"/>
    <w:rsid w:val="00526B1D"/>
    <w:rsid w:val="00526DF9"/>
    <w:rsid w:val="00526EB3"/>
    <w:rsid w:val="005279AA"/>
    <w:rsid w:val="005306E4"/>
    <w:rsid w:val="00530FC1"/>
    <w:rsid w:val="00531974"/>
    <w:rsid w:val="00532D4D"/>
    <w:rsid w:val="005339FC"/>
    <w:rsid w:val="00534DA1"/>
    <w:rsid w:val="00535839"/>
    <w:rsid w:val="00536328"/>
    <w:rsid w:val="00536F88"/>
    <w:rsid w:val="00537121"/>
    <w:rsid w:val="00537EAE"/>
    <w:rsid w:val="00537FB5"/>
    <w:rsid w:val="005406C4"/>
    <w:rsid w:val="00540DF6"/>
    <w:rsid w:val="00543C5A"/>
    <w:rsid w:val="00543D44"/>
    <w:rsid w:val="0054490A"/>
    <w:rsid w:val="00545AED"/>
    <w:rsid w:val="0054738F"/>
    <w:rsid w:val="005511F4"/>
    <w:rsid w:val="0055198E"/>
    <w:rsid w:val="00552702"/>
    <w:rsid w:val="005564A9"/>
    <w:rsid w:val="00556985"/>
    <w:rsid w:val="00556998"/>
    <w:rsid w:val="00557E14"/>
    <w:rsid w:val="00557FAE"/>
    <w:rsid w:val="00560028"/>
    <w:rsid w:val="005603B9"/>
    <w:rsid w:val="00561E24"/>
    <w:rsid w:val="00562D11"/>
    <w:rsid w:val="00563BF8"/>
    <w:rsid w:val="00563F87"/>
    <w:rsid w:val="00564144"/>
    <w:rsid w:val="00564F5D"/>
    <w:rsid w:val="00565C5C"/>
    <w:rsid w:val="0056638E"/>
    <w:rsid w:val="0056671C"/>
    <w:rsid w:val="00566B41"/>
    <w:rsid w:val="00567405"/>
    <w:rsid w:val="00567BE7"/>
    <w:rsid w:val="00567FDE"/>
    <w:rsid w:val="00572386"/>
    <w:rsid w:val="00572734"/>
    <w:rsid w:val="00575EAE"/>
    <w:rsid w:val="005768B6"/>
    <w:rsid w:val="00577291"/>
    <w:rsid w:val="005811A6"/>
    <w:rsid w:val="00581B61"/>
    <w:rsid w:val="00582927"/>
    <w:rsid w:val="0058316E"/>
    <w:rsid w:val="005831E9"/>
    <w:rsid w:val="00583F6D"/>
    <w:rsid w:val="0058478C"/>
    <w:rsid w:val="00584B12"/>
    <w:rsid w:val="00584D3B"/>
    <w:rsid w:val="00585428"/>
    <w:rsid w:val="00585B2F"/>
    <w:rsid w:val="00586C89"/>
    <w:rsid w:val="00587227"/>
    <w:rsid w:val="00591550"/>
    <w:rsid w:val="005928F4"/>
    <w:rsid w:val="0059388A"/>
    <w:rsid w:val="0059410D"/>
    <w:rsid w:val="00595011"/>
    <w:rsid w:val="005950AE"/>
    <w:rsid w:val="00595BD1"/>
    <w:rsid w:val="00595C2E"/>
    <w:rsid w:val="00595D30"/>
    <w:rsid w:val="00595F36"/>
    <w:rsid w:val="00596401"/>
    <w:rsid w:val="00596B27"/>
    <w:rsid w:val="00596B81"/>
    <w:rsid w:val="005976F5"/>
    <w:rsid w:val="00597908"/>
    <w:rsid w:val="00597A5A"/>
    <w:rsid w:val="005A06D3"/>
    <w:rsid w:val="005A115B"/>
    <w:rsid w:val="005A147C"/>
    <w:rsid w:val="005A1679"/>
    <w:rsid w:val="005A1F26"/>
    <w:rsid w:val="005A55FF"/>
    <w:rsid w:val="005A6024"/>
    <w:rsid w:val="005A615D"/>
    <w:rsid w:val="005A6F19"/>
    <w:rsid w:val="005A7A1A"/>
    <w:rsid w:val="005A7F63"/>
    <w:rsid w:val="005B0A5C"/>
    <w:rsid w:val="005B0D97"/>
    <w:rsid w:val="005B14A0"/>
    <w:rsid w:val="005B1A19"/>
    <w:rsid w:val="005B299D"/>
    <w:rsid w:val="005B323A"/>
    <w:rsid w:val="005B324D"/>
    <w:rsid w:val="005B3CC1"/>
    <w:rsid w:val="005B41F5"/>
    <w:rsid w:val="005B4C98"/>
    <w:rsid w:val="005B4DE2"/>
    <w:rsid w:val="005B4E84"/>
    <w:rsid w:val="005B53CA"/>
    <w:rsid w:val="005B6987"/>
    <w:rsid w:val="005B7AEF"/>
    <w:rsid w:val="005C0169"/>
    <w:rsid w:val="005C02C2"/>
    <w:rsid w:val="005C0842"/>
    <w:rsid w:val="005C0CBF"/>
    <w:rsid w:val="005C0F63"/>
    <w:rsid w:val="005C1213"/>
    <w:rsid w:val="005C1F9F"/>
    <w:rsid w:val="005C2DBE"/>
    <w:rsid w:val="005C4D9E"/>
    <w:rsid w:val="005C5AC8"/>
    <w:rsid w:val="005C74D3"/>
    <w:rsid w:val="005C76EA"/>
    <w:rsid w:val="005C7C96"/>
    <w:rsid w:val="005D0AEC"/>
    <w:rsid w:val="005D1062"/>
    <w:rsid w:val="005D1666"/>
    <w:rsid w:val="005D1962"/>
    <w:rsid w:val="005D1FE7"/>
    <w:rsid w:val="005D235C"/>
    <w:rsid w:val="005D27A5"/>
    <w:rsid w:val="005D2F54"/>
    <w:rsid w:val="005D3EC3"/>
    <w:rsid w:val="005D4FB2"/>
    <w:rsid w:val="005D5750"/>
    <w:rsid w:val="005D580A"/>
    <w:rsid w:val="005D6448"/>
    <w:rsid w:val="005D64CC"/>
    <w:rsid w:val="005D709D"/>
    <w:rsid w:val="005D723B"/>
    <w:rsid w:val="005D7585"/>
    <w:rsid w:val="005E05D2"/>
    <w:rsid w:val="005E2570"/>
    <w:rsid w:val="005E3257"/>
    <w:rsid w:val="005E3BAE"/>
    <w:rsid w:val="005E4F0F"/>
    <w:rsid w:val="005E55D1"/>
    <w:rsid w:val="005E60AB"/>
    <w:rsid w:val="005E616B"/>
    <w:rsid w:val="005E6BF9"/>
    <w:rsid w:val="005E6FA5"/>
    <w:rsid w:val="005F05CE"/>
    <w:rsid w:val="005F0A6E"/>
    <w:rsid w:val="005F0C9F"/>
    <w:rsid w:val="005F0D4E"/>
    <w:rsid w:val="005F1024"/>
    <w:rsid w:val="005F2C5B"/>
    <w:rsid w:val="005F2CE0"/>
    <w:rsid w:val="005F34C3"/>
    <w:rsid w:val="005F44DF"/>
    <w:rsid w:val="005F5125"/>
    <w:rsid w:val="005F5681"/>
    <w:rsid w:val="005F57A2"/>
    <w:rsid w:val="005F6180"/>
    <w:rsid w:val="005F641C"/>
    <w:rsid w:val="006014C8"/>
    <w:rsid w:val="006019D4"/>
    <w:rsid w:val="00603633"/>
    <w:rsid w:val="00605423"/>
    <w:rsid w:val="00606231"/>
    <w:rsid w:val="00610A5A"/>
    <w:rsid w:val="00611981"/>
    <w:rsid w:val="00611B90"/>
    <w:rsid w:val="00612222"/>
    <w:rsid w:val="00612735"/>
    <w:rsid w:val="00612B16"/>
    <w:rsid w:val="00614A1E"/>
    <w:rsid w:val="0061535D"/>
    <w:rsid w:val="00616101"/>
    <w:rsid w:val="00617AEF"/>
    <w:rsid w:val="00617D3E"/>
    <w:rsid w:val="00620F74"/>
    <w:rsid w:val="00621B17"/>
    <w:rsid w:val="006222EF"/>
    <w:rsid w:val="00622CC6"/>
    <w:rsid w:val="00623521"/>
    <w:rsid w:val="006247D2"/>
    <w:rsid w:val="00625030"/>
    <w:rsid w:val="006259FF"/>
    <w:rsid w:val="00625D13"/>
    <w:rsid w:val="0062606F"/>
    <w:rsid w:val="006263EB"/>
    <w:rsid w:val="006264E1"/>
    <w:rsid w:val="006311A8"/>
    <w:rsid w:val="00631653"/>
    <w:rsid w:val="00631D55"/>
    <w:rsid w:val="006332C3"/>
    <w:rsid w:val="00633E3E"/>
    <w:rsid w:val="00634F7D"/>
    <w:rsid w:val="00635D9B"/>
    <w:rsid w:val="00636036"/>
    <w:rsid w:val="00636A4E"/>
    <w:rsid w:val="00636E99"/>
    <w:rsid w:val="0063720B"/>
    <w:rsid w:val="00637AA1"/>
    <w:rsid w:val="00637C82"/>
    <w:rsid w:val="00640A10"/>
    <w:rsid w:val="00640D6D"/>
    <w:rsid w:val="00640D86"/>
    <w:rsid w:val="00641BAE"/>
    <w:rsid w:val="00642729"/>
    <w:rsid w:val="00642DA1"/>
    <w:rsid w:val="006432EB"/>
    <w:rsid w:val="00643AD8"/>
    <w:rsid w:val="00644742"/>
    <w:rsid w:val="00644C80"/>
    <w:rsid w:val="00644D33"/>
    <w:rsid w:val="006451F4"/>
    <w:rsid w:val="00645733"/>
    <w:rsid w:val="00645AC6"/>
    <w:rsid w:val="00646BCE"/>
    <w:rsid w:val="00646E5B"/>
    <w:rsid w:val="00647A0C"/>
    <w:rsid w:val="00647E9C"/>
    <w:rsid w:val="00650A16"/>
    <w:rsid w:val="00650FBB"/>
    <w:rsid w:val="006528FA"/>
    <w:rsid w:val="00652FF6"/>
    <w:rsid w:val="00653AA8"/>
    <w:rsid w:val="00654A1E"/>
    <w:rsid w:val="00654BF8"/>
    <w:rsid w:val="00654EC5"/>
    <w:rsid w:val="00655AD8"/>
    <w:rsid w:val="00656816"/>
    <w:rsid w:val="00656863"/>
    <w:rsid w:val="00656F26"/>
    <w:rsid w:val="006572AC"/>
    <w:rsid w:val="006575ED"/>
    <w:rsid w:val="006576A3"/>
    <w:rsid w:val="0065777D"/>
    <w:rsid w:val="006617FD"/>
    <w:rsid w:val="006621CC"/>
    <w:rsid w:val="00663124"/>
    <w:rsid w:val="00663CEB"/>
    <w:rsid w:val="00663F7D"/>
    <w:rsid w:val="00664912"/>
    <w:rsid w:val="006659FA"/>
    <w:rsid w:val="00666A7A"/>
    <w:rsid w:val="006726CD"/>
    <w:rsid w:val="00673A58"/>
    <w:rsid w:val="00674E6D"/>
    <w:rsid w:val="00674F4B"/>
    <w:rsid w:val="00674FBD"/>
    <w:rsid w:val="00675562"/>
    <w:rsid w:val="0067605B"/>
    <w:rsid w:val="00676115"/>
    <w:rsid w:val="00676A1B"/>
    <w:rsid w:val="00677524"/>
    <w:rsid w:val="0067752E"/>
    <w:rsid w:val="00680C87"/>
    <w:rsid w:val="006829BE"/>
    <w:rsid w:val="00682B08"/>
    <w:rsid w:val="006842B5"/>
    <w:rsid w:val="00684443"/>
    <w:rsid w:val="006851D5"/>
    <w:rsid w:val="00685557"/>
    <w:rsid w:val="006858B0"/>
    <w:rsid w:val="00685C8E"/>
    <w:rsid w:val="00685CA2"/>
    <w:rsid w:val="00685E34"/>
    <w:rsid w:val="00686EDB"/>
    <w:rsid w:val="00686EE3"/>
    <w:rsid w:val="00687B5F"/>
    <w:rsid w:val="00690651"/>
    <w:rsid w:val="006918E0"/>
    <w:rsid w:val="00691B5A"/>
    <w:rsid w:val="00691DB5"/>
    <w:rsid w:val="00691F17"/>
    <w:rsid w:val="00692096"/>
    <w:rsid w:val="006929EC"/>
    <w:rsid w:val="0069339A"/>
    <w:rsid w:val="0069391F"/>
    <w:rsid w:val="00693E3C"/>
    <w:rsid w:val="00693E74"/>
    <w:rsid w:val="00694608"/>
    <w:rsid w:val="006947CA"/>
    <w:rsid w:val="0069480D"/>
    <w:rsid w:val="00694F64"/>
    <w:rsid w:val="006950E3"/>
    <w:rsid w:val="00695733"/>
    <w:rsid w:val="00696695"/>
    <w:rsid w:val="00696921"/>
    <w:rsid w:val="00697956"/>
    <w:rsid w:val="00697DC0"/>
    <w:rsid w:val="006A0F32"/>
    <w:rsid w:val="006A15A7"/>
    <w:rsid w:val="006A1B1A"/>
    <w:rsid w:val="006A1B5A"/>
    <w:rsid w:val="006A2090"/>
    <w:rsid w:val="006A22AA"/>
    <w:rsid w:val="006A2A6B"/>
    <w:rsid w:val="006A3085"/>
    <w:rsid w:val="006A4442"/>
    <w:rsid w:val="006A4B9F"/>
    <w:rsid w:val="006A4F2C"/>
    <w:rsid w:val="006A547D"/>
    <w:rsid w:val="006A6042"/>
    <w:rsid w:val="006A6139"/>
    <w:rsid w:val="006A6728"/>
    <w:rsid w:val="006A718C"/>
    <w:rsid w:val="006A7BB0"/>
    <w:rsid w:val="006B070E"/>
    <w:rsid w:val="006B0807"/>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AE1"/>
    <w:rsid w:val="006C3B66"/>
    <w:rsid w:val="006C3C69"/>
    <w:rsid w:val="006C45A8"/>
    <w:rsid w:val="006C548F"/>
    <w:rsid w:val="006C64FC"/>
    <w:rsid w:val="006C680E"/>
    <w:rsid w:val="006D03D1"/>
    <w:rsid w:val="006D0A53"/>
    <w:rsid w:val="006D0E26"/>
    <w:rsid w:val="006D1173"/>
    <w:rsid w:val="006D1879"/>
    <w:rsid w:val="006D1FCD"/>
    <w:rsid w:val="006D22FE"/>
    <w:rsid w:val="006D2411"/>
    <w:rsid w:val="006D2846"/>
    <w:rsid w:val="006D3123"/>
    <w:rsid w:val="006D380F"/>
    <w:rsid w:val="006D4D62"/>
    <w:rsid w:val="006D6709"/>
    <w:rsid w:val="006D6EAE"/>
    <w:rsid w:val="006D7998"/>
    <w:rsid w:val="006E1F9B"/>
    <w:rsid w:val="006E2215"/>
    <w:rsid w:val="006E59E7"/>
    <w:rsid w:val="006E5CDB"/>
    <w:rsid w:val="006E67BF"/>
    <w:rsid w:val="006E68D6"/>
    <w:rsid w:val="006E6FC6"/>
    <w:rsid w:val="006E7757"/>
    <w:rsid w:val="006E7DBD"/>
    <w:rsid w:val="006F00A8"/>
    <w:rsid w:val="006F0B55"/>
    <w:rsid w:val="006F171E"/>
    <w:rsid w:val="006F2A80"/>
    <w:rsid w:val="006F3F35"/>
    <w:rsid w:val="006F6A85"/>
    <w:rsid w:val="006F7C21"/>
    <w:rsid w:val="006F7C9C"/>
    <w:rsid w:val="00700867"/>
    <w:rsid w:val="00701115"/>
    <w:rsid w:val="00703613"/>
    <w:rsid w:val="007047B1"/>
    <w:rsid w:val="00706775"/>
    <w:rsid w:val="00706D65"/>
    <w:rsid w:val="00706E09"/>
    <w:rsid w:val="0070731F"/>
    <w:rsid w:val="00707763"/>
    <w:rsid w:val="007101A1"/>
    <w:rsid w:val="00710261"/>
    <w:rsid w:val="007109AA"/>
    <w:rsid w:val="00711C32"/>
    <w:rsid w:val="00711FEF"/>
    <w:rsid w:val="00712A21"/>
    <w:rsid w:val="00713703"/>
    <w:rsid w:val="00713FF3"/>
    <w:rsid w:val="00714162"/>
    <w:rsid w:val="0071420B"/>
    <w:rsid w:val="00714688"/>
    <w:rsid w:val="00714C16"/>
    <w:rsid w:val="00715548"/>
    <w:rsid w:val="00715551"/>
    <w:rsid w:val="007167AC"/>
    <w:rsid w:val="007175AF"/>
    <w:rsid w:val="00717B6E"/>
    <w:rsid w:val="00717DE1"/>
    <w:rsid w:val="00720E65"/>
    <w:rsid w:val="00721319"/>
    <w:rsid w:val="00721E96"/>
    <w:rsid w:val="00722E4E"/>
    <w:rsid w:val="00723E35"/>
    <w:rsid w:val="007243BA"/>
    <w:rsid w:val="00726A4D"/>
    <w:rsid w:val="007307D7"/>
    <w:rsid w:val="00731B1C"/>
    <w:rsid w:val="007327DA"/>
    <w:rsid w:val="007337F4"/>
    <w:rsid w:val="00734FC3"/>
    <w:rsid w:val="00735109"/>
    <w:rsid w:val="00735E24"/>
    <w:rsid w:val="00737377"/>
    <w:rsid w:val="00737A1F"/>
    <w:rsid w:val="00737AC6"/>
    <w:rsid w:val="00741CD1"/>
    <w:rsid w:val="007422A3"/>
    <w:rsid w:val="00742557"/>
    <w:rsid w:val="007427F8"/>
    <w:rsid w:val="00743530"/>
    <w:rsid w:val="0074370A"/>
    <w:rsid w:val="00744101"/>
    <w:rsid w:val="0074416D"/>
    <w:rsid w:val="0074542F"/>
    <w:rsid w:val="00753E5C"/>
    <w:rsid w:val="00754FD1"/>
    <w:rsid w:val="00755E7D"/>
    <w:rsid w:val="00756DBF"/>
    <w:rsid w:val="007577AF"/>
    <w:rsid w:val="00760302"/>
    <w:rsid w:val="0076047C"/>
    <w:rsid w:val="00761460"/>
    <w:rsid w:val="00761C83"/>
    <w:rsid w:val="007627B3"/>
    <w:rsid w:val="00763D2A"/>
    <w:rsid w:val="00763E67"/>
    <w:rsid w:val="00763E68"/>
    <w:rsid w:val="00764618"/>
    <w:rsid w:val="007660DB"/>
    <w:rsid w:val="00766629"/>
    <w:rsid w:val="007711CF"/>
    <w:rsid w:val="00771739"/>
    <w:rsid w:val="00772F60"/>
    <w:rsid w:val="00773807"/>
    <w:rsid w:val="00773887"/>
    <w:rsid w:val="00773A94"/>
    <w:rsid w:val="007757F6"/>
    <w:rsid w:val="007759EF"/>
    <w:rsid w:val="00775BE7"/>
    <w:rsid w:val="00775D03"/>
    <w:rsid w:val="00775D93"/>
    <w:rsid w:val="0077601E"/>
    <w:rsid w:val="007761CB"/>
    <w:rsid w:val="0077684D"/>
    <w:rsid w:val="00776CDC"/>
    <w:rsid w:val="00776E73"/>
    <w:rsid w:val="00780562"/>
    <w:rsid w:val="00781E23"/>
    <w:rsid w:val="00781ED0"/>
    <w:rsid w:val="00781F67"/>
    <w:rsid w:val="00782B5C"/>
    <w:rsid w:val="00782DA8"/>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EA"/>
    <w:rsid w:val="00797958"/>
    <w:rsid w:val="007A0F2F"/>
    <w:rsid w:val="007A2313"/>
    <w:rsid w:val="007A340A"/>
    <w:rsid w:val="007A43DC"/>
    <w:rsid w:val="007A6263"/>
    <w:rsid w:val="007B0516"/>
    <w:rsid w:val="007B1C84"/>
    <w:rsid w:val="007B2A2F"/>
    <w:rsid w:val="007B3544"/>
    <w:rsid w:val="007B3CE5"/>
    <w:rsid w:val="007B613D"/>
    <w:rsid w:val="007B6D48"/>
    <w:rsid w:val="007C02DF"/>
    <w:rsid w:val="007C139F"/>
    <w:rsid w:val="007C1FFB"/>
    <w:rsid w:val="007C25CC"/>
    <w:rsid w:val="007C3931"/>
    <w:rsid w:val="007C3CBD"/>
    <w:rsid w:val="007C3D5D"/>
    <w:rsid w:val="007C65DB"/>
    <w:rsid w:val="007C6685"/>
    <w:rsid w:val="007C6BCB"/>
    <w:rsid w:val="007C75AA"/>
    <w:rsid w:val="007D2CF2"/>
    <w:rsid w:val="007D74D8"/>
    <w:rsid w:val="007D79AD"/>
    <w:rsid w:val="007E0087"/>
    <w:rsid w:val="007E0381"/>
    <w:rsid w:val="007E0497"/>
    <w:rsid w:val="007E18DA"/>
    <w:rsid w:val="007E1DF9"/>
    <w:rsid w:val="007E2999"/>
    <w:rsid w:val="007E2CA1"/>
    <w:rsid w:val="007E3008"/>
    <w:rsid w:val="007E3AB4"/>
    <w:rsid w:val="007E5602"/>
    <w:rsid w:val="007E6613"/>
    <w:rsid w:val="007E6C18"/>
    <w:rsid w:val="007E757D"/>
    <w:rsid w:val="007F0319"/>
    <w:rsid w:val="007F0357"/>
    <w:rsid w:val="007F0439"/>
    <w:rsid w:val="007F0A32"/>
    <w:rsid w:val="007F0ABA"/>
    <w:rsid w:val="007F119F"/>
    <w:rsid w:val="007F196A"/>
    <w:rsid w:val="007F1C14"/>
    <w:rsid w:val="007F2889"/>
    <w:rsid w:val="007F2D74"/>
    <w:rsid w:val="007F3288"/>
    <w:rsid w:val="007F3C0F"/>
    <w:rsid w:val="007F3DB0"/>
    <w:rsid w:val="007F4187"/>
    <w:rsid w:val="007F4893"/>
    <w:rsid w:val="007F49A1"/>
    <w:rsid w:val="007F4C22"/>
    <w:rsid w:val="00800247"/>
    <w:rsid w:val="00800C56"/>
    <w:rsid w:val="00800CBC"/>
    <w:rsid w:val="008019C0"/>
    <w:rsid w:val="00801C4D"/>
    <w:rsid w:val="00801DF5"/>
    <w:rsid w:val="00802115"/>
    <w:rsid w:val="00802D5C"/>
    <w:rsid w:val="00803153"/>
    <w:rsid w:val="008035E9"/>
    <w:rsid w:val="008058D7"/>
    <w:rsid w:val="00810133"/>
    <w:rsid w:val="0081246E"/>
    <w:rsid w:val="00812896"/>
    <w:rsid w:val="00813158"/>
    <w:rsid w:val="00813237"/>
    <w:rsid w:val="00813895"/>
    <w:rsid w:val="00813A02"/>
    <w:rsid w:val="00813A32"/>
    <w:rsid w:val="00813CFB"/>
    <w:rsid w:val="0081546C"/>
    <w:rsid w:val="0081598F"/>
    <w:rsid w:val="008164AA"/>
    <w:rsid w:val="00816656"/>
    <w:rsid w:val="00816AA6"/>
    <w:rsid w:val="00816E36"/>
    <w:rsid w:val="00816EF4"/>
    <w:rsid w:val="00817518"/>
    <w:rsid w:val="00817E4F"/>
    <w:rsid w:val="008204F2"/>
    <w:rsid w:val="00820EDF"/>
    <w:rsid w:val="00821BC8"/>
    <w:rsid w:val="00822E2C"/>
    <w:rsid w:val="00823B48"/>
    <w:rsid w:val="0082536D"/>
    <w:rsid w:val="00826BE0"/>
    <w:rsid w:val="0083159A"/>
    <w:rsid w:val="0083195E"/>
    <w:rsid w:val="00831ADA"/>
    <w:rsid w:val="00832075"/>
    <w:rsid w:val="008329A3"/>
    <w:rsid w:val="00832AC6"/>
    <w:rsid w:val="00832D83"/>
    <w:rsid w:val="00832DC1"/>
    <w:rsid w:val="00833062"/>
    <w:rsid w:val="00833151"/>
    <w:rsid w:val="0083381D"/>
    <w:rsid w:val="008339A0"/>
    <w:rsid w:val="00833CE7"/>
    <w:rsid w:val="00835C5C"/>
    <w:rsid w:val="00836400"/>
    <w:rsid w:val="0083675D"/>
    <w:rsid w:val="00836952"/>
    <w:rsid w:val="00840762"/>
    <w:rsid w:val="008419C1"/>
    <w:rsid w:val="00842B3D"/>
    <w:rsid w:val="00845227"/>
    <w:rsid w:val="00845EAD"/>
    <w:rsid w:val="00846B32"/>
    <w:rsid w:val="0084706C"/>
    <w:rsid w:val="00847AC7"/>
    <w:rsid w:val="008508B0"/>
    <w:rsid w:val="00850994"/>
    <w:rsid w:val="00850FE0"/>
    <w:rsid w:val="00852A02"/>
    <w:rsid w:val="00852C0D"/>
    <w:rsid w:val="00853486"/>
    <w:rsid w:val="0085430E"/>
    <w:rsid w:val="008545B1"/>
    <w:rsid w:val="00854A2C"/>
    <w:rsid w:val="00854CC8"/>
    <w:rsid w:val="00854E69"/>
    <w:rsid w:val="00855393"/>
    <w:rsid w:val="008559E7"/>
    <w:rsid w:val="008569D4"/>
    <w:rsid w:val="00857186"/>
    <w:rsid w:val="00857344"/>
    <w:rsid w:val="00857550"/>
    <w:rsid w:val="008604EC"/>
    <w:rsid w:val="0086053C"/>
    <w:rsid w:val="008611AA"/>
    <w:rsid w:val="00862748"/>
    <w:rsid w:val="008628B4"/>
    <w:rsid w:val="00862C00"/>
    <w:rsid w:val="00863327"/>
    <w:rsid w:val="00863CF2"/>
    <w:rsid w:val="00864471"/>
    <w:rsid w:val="008645BA"/>
    <w:rsid w:val="008648E7"/>
    <w:rsid w:val="00864B7D"/>
    <w:rsid w:val="00865478"/>
    <w:rsid w:val="00865A8A"/>
    <w:rsid w:val="00867046"/>
    <w:rsid w:val="008670BE"/>
    <w:rsid w:val="008702DD"/>
    <w:rsid w:val="00870E1B"/>
    <w:rsid w:val="008717CD"/>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71BE"/>
    <w:rsid w:val="008913A3"/>
    <w:rsid w:val="00891773"/>
    <w:rsid w:val="00891A2D"/>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CAA"/>
    <w:rsid w:val="008A5E59"/>
    <w:rsid w:val="008A692F"/>
    <w:rsid w:val="008A7010"/>
    <w:rsid w:val="008A73AD"/>
    <w:rsid w:val="008A7B3F"/>
    <w:rsid w:val="008B1811"/>
    <w:rsid w:val="008B1AC7"/>
    <w:rsid w:val="008B1BB0"/>
    <w:rsid w:val="008B2431"/>
    <w:rsid w:val="008B2FB1"/>
    <w:rsid w:val="008B315D"/>
    <w:rsid w:val="008B6041"/>
    <w:rsid w:val="008B6100"/>
    <w:rsid w:val="008B695E"/>
    <w:rsid w:val="008B7065"/>
    <w:rsid w:val="008B738D"/>
    <w:rsid w:val="008B7BAC"/>
    <w:rsid w:val="008C0B35"/>
    <w:rsid w:val="008C1596"/>
    <w:rsid w:val="008C1712"/>
    <w:rsid w:val="008C1B43"/>
    <w:rsid w:val="008C2502"/>
    <w:rsid w:val="008C2685"/>
    <w:rsid w:val="008C26D2"/>
    <w:rsid w:val="008C3632"/>
    <w:rsid w:val="008C44E1"/>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B3A"/>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AB5"/>
    <w:rsid w:val="008F3E9A"/>
    <w:rsid w:val="008F4475"/>
    <w:rsid w:val="008F5CF1"/>
    <w:rsid w:val="008F5D07"/>
    <w:rsid w:val="008F6587"/>
    <w:rsid w:val="008F6F44"/>
    <w:rsid w:val="008F725C"/>
    <w:rsid w:val="008F738B"/>
    <w:rsid w:val="008F7C86"/>
    <w:rsid w:val="00900A6F"/>
    <w:rsid w:val="00900D7F"/>
    <w:rsid w:val="00901417"/>
    <w:rsid w:val="009020A7"/>
    <w:rsid w:val="00904329"/>
    <w:rsid w:val="0090537E"/>
    <w:rsid w:val="009055AD"/>
    <w:rsid w:val="009058A4"/>
    <w:rsid w:val="009060BB"/>
    <w:rsid w:val="009062F7"/>
    <w:rsid w:val="0090751F"/>
    <w:rsid w:val="00907539"/>
    <w:rsid w:val="00907E3E"/>
    <w:rsid w:val="0091307B"/>
    <w:rsid w:val="009148FB"/>
    <w:rsid w:val="00914D23"/>
    <w:rsid w:val="0091520E"/>
    <w:rsid w:val="009159B6"/>
    <w:rsid w:val="0091646C"/>
    <w:rsid w:val="00916A7E"/>
    <w:rsid w:val="00916B56"/>
    <w:rsid w:val="00920508"/>
    <w:rsid w:val="00920623"/>
    <w:rsid w:val="0092381E"/>
    <w:rsid w:val="00923C4B"/>
    <w:rsid w:val="00924231"/>
    <w:rsid w:val="00924723"/>
    <w:rsid w:val="00924F99"/>
    <w:rsid w:val="00925F61"/>
    <w:rsid w:val="009269CE"/>
    <w:rsid w:val="00926B77"/>
    <w:rsid w:val="00927696"/>
    <w:rsid w:val="00930549"/>
    <w:rsid w:val="00930964"/>
    <w:rsid w:val="00930FC7"/>
    <w:rsid w:val="00932B32"/>
    <w:rsid w:val="00932C40"/>
    <w:rsid w:val="0093427E"/>
    <w:rsid w:val="009347F7"/>
    <w:rsid w:val="00934DD7"/>
    <w:rsid w:val="009360BF"/>
    <w:rsid w:val="009367D6"/>
    <w:rsid w:val="009368CE"/>
    <w:rsid w:val="009375B7"/>
    <w:rsid w:val="00937F0D"/>
    <w:rsid w:val="0094022B"/>
    <w:rsid w:val="00941198"/>
    <w:rsid w:val="00941518"/>
    <w:rsid w:val="009422FA"/>
    <w:rsid w:val="009423F5"/>
    <w:rsid w:val="0094250B"/>
    <w:rsid w:val="0094254B"/>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859"/>
    <w:rsid w:val="00955B3E"/>
    <w:rsid w:val="0095633D"/>
    <w:rsid w:val="009600EB"/>
    <w:rsid w:val="009621CF"/>
    <w:rsid w:val="00962602"/>
    <w:rsid w:val="00962771"/>
    <w:rsid w:val="0096296F"/>
    <w:rsid w:val="009634C8"/>
    <w:rsid w:val="009635FF"/>
    <w:rsid w:val="00964F0D"/>
    <w:rsid w:val="00964F7C"/>
    <w:rsid w:val="009669DE"/>
    <w:rsid w:val="00967B10"/>
    <w:rsid w:val="00971D20"/>
    <w:rsid w:val="00971E9B"/>
    <w:rsid w:val="00971FBE"/>
    <w:rsid w:val="00972F20"/>
    <w:rsid w:val="00973367"/>
    <w:rsid w:val="00973D49"/>
    <w:rsid w:val="00977179"/>
    <w:rsid w:val="009804A7"/>
    <w:rsid w:val="00980CB5"/>
    <w:rsid w:val="0098189F"/>
    <w:rsid w:val="009820CF"/>
    <w:rsid w:val="009822B2"/>
    <w:rsid w:val="00982567"/>
    <w:rsid w:val="009829A7"/>
    <w:rsid w:val="00983205"/>
    <w:rsid w:val="00984A5C"/>
    <w:rsid w:val="00984FB1"/>
    <w:rsid w:val="0098580F"/>
    <w:rsid w:val="00985A99"/>
    <w:rsid w:val="00985B13"/>
    <w:rsid w:val="00986149"/>
    <w:rsid w:val="009872C1"/>
    <w:rsid w:val="009878FC"/>
    <w:rsid w:val="009902E3"/>
    <w:rsid w:val="00990393"/>
    <w:rsid w:val="009907C6"/>
    <w:rsid w:val="009932C8"/>
    <w:rsid w:val="009938F0"/>
    <w:rsid w:val="009939AE"/>
    <w:rsid w:val="00993FF7"/>
    <w:rsid w:val="0099404A"/>
    <w:rsid w:val="00994085"/>
    <w:rsid w:val="0099475F"/>
    <w:rsid w:val="00994E18"/>
    <w:rsid w:val="009970ED"/>
    <w:rsid w:val="009972D8"/>
    <w:rsid w:val="00997354"/>
    <w:rsid w:val="00997653"/>
    <w:rsid w:val="00997B08"/>
    <w:rsid w:val="009A1A86"/>
    <w:rsid w:val="009A351A"/>
    <w:rsid w:val="009A4640"/>
    <w:rsid w:val="009A4751"/>
    <w:rsid w:val="009A52AC"/>
    <w:rsid w:val="009A5B2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5BB5"/>
    <w:rsid w:val="009D02B5"/>
    <w:rsid w:val="009D0466"/>
    <w:rsid w:val="009D0C9B"/>
    <w:rsid w:val="009D2077"/>
    <w:rsid w:val="009D27B6"/>
    <w:rsid w:val="009D32D3"/>
    <w:rsid w:val="009D368F"/>
    <w:rsid w:val="009D3E31"/>
    <w:rsid w:val="009D438F"/>
    <w:rsid w:val="009D5A07"/>
    <w:rsid w:val="009D62C1"/>
    <w:rsid w:val="009D765C"/>
    <w:rsid w:val="009D78CF"/>
    <w:rsid w:val="009D7D03"/>
    <w:rsid w:val="009E0A9D"/>
    <w:rsid w:val="009E4A70"/>
    <w:rsid w:val="009E60FD"/>
    <w:rsid w:val="009E65BF"/>
    <w:rsid w:val="009E665D"/>
    <w:rsid w:val="009E6976"/>
    <w:rsid w:val="009E6A4B"/>
    <w:rsid w:val="009E720D"/>
    <w:rsid w:val="009E766C"/>
    <w:rsid w:val="009F0A1A"/>
    <w:rsid w:val="009F163B"/>
    <w:rsid w:val="009F23FB"/>
    <w:rsid w:val="009F3709"/>
    <w:rsid w:val="009F3D3D"/>
    <w:rsid w:val="009F48CA"/>
    <w:rsid w:val="009F49C0"/>
    <w:rsid w:val="009F620A"/>
    <w:rsid w:val="009F6E19"/>
    <w:rsid w:val="009F71AF"/>
    <w:rsid w:val="009F7DF4"/>
    <w:rsid w:val="00A004AD"/>
    <w:rsid w:val="00A01830"/>
    <w:rsid w:val="00A02762"/>
    <w:rsid w:val="00A030FC"/>
    <w:rsid w:val="00A038C7"/>
    <w:rsid w:val="00A03E80"/>
    <w:rsid w:val="00A04894"/>
    <w:rsid w:val="00A058A6"/>
    <w:rsid w:val="00A063BC"/>
    <w:rsid w:val="00A06D46"/>
    <w:rsid w:val="00A06D8A"/>
    <w:rsid w:val="00A06F44"/>
    <w:rsid w:val="00A0721E"/>
    <w:rsid w:val="00A074BC"/>
    <w:rsid w:val="00A11959"/>
    <w:rsid w:val="00A13D45"/>
    <w:rsid w:val="00A13DB3"/>
    <w:rsid w:val="00A144E9"/>
    <w:rsid w:val="00A1540A"/>
    <w:rsid w:val="00A17918"/>
    <w:rsid w:val="00A20095"/>
    <w:rsid w:val="00A20403"/>
    <w:rsid w:val="00A21798"/>
    <w:rsid w:val="00A22B97"/>
    <w:rsid w:val="00A22CD9"/>
    <w:rsid w:val="00A22DFC"/>
    <w:rsid w:val="00A22F88"/>
    <w:rsid w:val="00A2333F"/>
    <w:rsid w:val="00A240C2"/>
    <w:rsid w:val="00A25873"/>
    <w:rsid w:val="00A258E3"/>
    <w:rsid w:val="00A25BED"/>
    <w:rsid w:val="00A26A82"/>
    <w:rsid w:val="00A3082A"/>
    <w:rsid w:val="00A30859"/>
    <w:rsid w:val="00A30B0E"/>
    <w:rsid w:val="00A30C74"/>
    <w:rsid w:val="00A30ED5"/>
    <w:rsid w:val="00A31100"/>
    <w:rsid w:val="00A31178"/>
    <w:rsid w:val="00A31649"/>
    <w:rsid w:val="00A3181A"/>
    <w:rsid w:val="00A32116"/>
    <w:rsid w:val="00A330A2"/>
    <w:rsid w:val="00A33134"/>
    <w:rsid w:val="00A34EE9"/>
    <w:rsid w:val="00A352C8"/>
    <w:rsid w:val="00A35F43"/>
    <w:rsid w:val="00A36073"/>
    <w:rsid w:val="00A37599"/>
    <w:rsid w:val="00A40995"/>
    <w:rsid w:val="00A41C0B"/>
    <w:rsid w:val="00A41DA3"/>
    <w:rsid w:val="00A420D2"/>
    <w:rsid w:val="00A4268F"/>
    <w:rsid w:val="00A429B9"/>
    <w:rsid w:val="00A429C2"/>
    <w:rsid w:val="00A4312A"/>
    <w:rsid w:val="00A435A7"/>
    <w:rsid w:val="00A44B5D"/>
    <w:rsid w:val="00A4536B"/>
    <w:rsid w:val="00A45A28"/>
    <w:rsid w:val="00A50269"/>
    <w:rsid w:val="00A52F83"/>
    <w:rsid w:val="00A5312F"/>
    <w:rsid w:val="00A54818"/>
    <w:rsid w:val="00A54F59"/>
    <w:rsid w:val="00A554E4"/>
    <w:rsid w:val="00A561C2"/>
    <w:rsid w:val="00A5629D"/>
    <w:rsid w:val="00A568F5"/>
    <w:rsid w:val="00A574BE"/>
    <w:rsid w:val="00A57653"/>
    <w:rsid w:val="00A57A9F"/>
    <w:rsid w:val="00A60B20"/>
    <w:rsid w:val="00A64CFA"/>
    <w:rsid w:val="00A65B18"/>
    <w:rsid w:val="00A66049"/>
    <w:rsid w:val="00A67924"/>
    <w:rsid w:val="00A70124"/>
    <w:rsid w:val="00A71198"/>
    <w:rsid w:val="00A724DB"/>
    <w:rsid w:val="00A73BF8"/>
    <w:rsid w:val="00A7512D"/>
    <w:rsid w:val="00A75607"/>
    <w:rsid w:val="00A76511"/>
    <w:rsid w:val="00A76832"/>
    <w:rsid w:val="00A76B69"/>
    <w:rsid w:val="00A76DF5"/>
    <w:rsid w:val="00A77EE0"/>
    <w:rsid w:val="00A80B33"/>
    <w:rsid w:val="00A815BD"/>
    <w:rsid w:val="00A81B07"/>
    <w:rsid w:val="00A8213D"/>
    <w:rsid w:val="00A83ABA"/>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493A"/>
    <w:rsid w:val="00A95021"/>
    <w:rsid w:val="00A95361"/>
    <w:rsid w:val="00AA0B0E"/>
    <w:rsid w:val="00AA0EC5"/>
    <w:rsid w:val="00AA1914"/>
    <w:rsid w:val="00AA46BA"/>
    <w:rsid w:val="00AA67D0"/>
    <w:rsid w:val="00AA6A37"/>
    <w:rsid w:val="00AA7356"/>
    <w:rsid w:val="00AA75C2"/>
    <w:rsid w:val="00AB04AF"/>
    <w:rsid w:val="00AB1F0B"/>
    <w:rsid w:val="00AB229C"/>
    <w:rsid w:val="00AB36F9"/>
    <w:rsid w:val="00AB3AFA"/>
    <w:rsid w:val="00AB3E3E"/>
    <w:rsid w:val="00AB5806"/>
    <w:rsid w:val="00AB66F6"/>
    <w:rsid w:val="00AB79E4"/>
    <w:rsid w:val="00AB7BD4"/>
    <w:rsid w:val="00AC035E"/>
    <w:rsid w:val="00AC04A2"/>
    <w:rsid w:val="00AC1CAA"/>
    <w:rsid w:val="00AC289A"/>
    <w:rsid w:val="00AC2B91"/>
    <w:rsid w:val="00AC30E6"/>
    <w:rsid w:val="00AC3322"/>
    <w:rsid w:val="00AC3E75"/>
    <w:rsid w:val="00AC43E0"/>
    <w:rsid w:val="00AC4B74"/>
    <w:rsid w:val="00AC5611"/>
    <w:rsid w:val="00AC6907"/>
    <w:rsid w:val="00AC6A04"/>
    <w:rsid w:val="00AC7E96"/>
    <w:rsid w:val="00AC7E9C"/>
    <w:rsid w:val="00AD0379"/>
    <w:rsid w:val="00AD055D"/>
    <w:rsid w:val="00AD10C8"/>
    <w:rsid w:val="00AD1151"/>
    <w:rsid w:val="00AD1D7A"/>
    <w:rsid w:val="00AD2A27"/>
    <w:rsid w:val="00AD2C3C"/>
    <w:rsid w:val="00AD2DA7"/>
    <w:rsid w:val="00AD34A3"/>
    <w:rsid w:val="00AD3D49"/>
    <w:rsid w:val="00AD3E0A"/>
    <w:rsid w:val="00AD4528"/>
    <w:rsid w:val="00AD4EFA"/>
    <w:rsid w:val="00AD54D6"/>
    <w:rsid w:val="00AD66A4"/>
    <w:rsid w:val="00AD7594"/>
    <w:rsid w:val="00AD76C4"/>
    <w:rsid w:val="00AE0144"/>
    <w:rsid w:val="00AE054C"/>
    <w:rsid w:val="00AE0990"/>
    <w:rsid w:val="00AE0EAB"/>
    <w:rsid w:val="00AE0F50"/>
    <w:rsid w:val="00AE1A75"/>
    <w:rsid w:val="00AE2E32"/>
    <w:rsid w:val="00AE38B4"/>
    <w:rsid w:val="00AE3B6B"/>
    <w:rsid w:val="00AE4963"/>
    <w:rsid w:val="00AE4ABE"/>
    <w:rsid w:val="00AE51E1"/>
    <w:rsid w:val="00AE6C5F"/>
    <w:rsid w:val="00AE7A96"/>
    <w:rsid w:val="00AF0586"/>
    <w:rsid w:val="00AF07EB"/>
    <w:rsid w:val="00AF0992"/>
    <w:rsid w:val="00AF2315"/>
    <w:rsid w:val="00AF2474"/>
    <w:rsid w:val="00AF6655"/>
    <w:rsid w:val="00AF741D"/>
    <w:rsid w:val="00AF746D"/>
    <w:rsid w:val="00AF7C96"/>
    <w:rsid w:val="00B00254"/>
    <w:rsid w:val="00B016AC"/>
    <w:rsid w:val="00B018AF"/>
    <w:rsid w:val="00B0227A"/>
    <w:rsid w:val="00B02556"/>
    <w:rsid w:val="00B0266D"/>
    <w:rsid w:val="00B02B82"/>
    <w:rsid w:val="00B040A1"/>
    <w:rsid w:val="00B0454A"/>
    <w:rsid w:val="00B04D8E"/>
    <w:rsid w:val="00B053F4"/>
    <w:rsid w:val="00B062C9"/>
    <w:rsid w:val="00B07EB4"/>
    <w:rsid w:val="00B11341"/>
    <w:rsid w:val="00B11444"/>
    <w:rsid w:val="00B114A0"/>
    <w:rsid w:val="00B114F0"/>
    <w:rsid w:val="00B12060"/>
    <w:rsid w:val="00B123E6"/>
    <w:rsid w:val="00B1290B"/>
    <w:rsid w:val="00B12A4B"/>
    <w:rsid w:val="00B12A7B"/>
    <w:rsid w:val="00B1374F"/>
    <w:rsid w:val="00B14B15"/>
    <w:rsid w:val="00B14F73"/>
    <w:rsid w:val="00B15112"/>
    <w:rsid w:val="00B15D4E"/>
    <w:rsid w:val="00B16173"/>
    <w:rsid w:val="00B17791"/>
    <w:rsid w:val="00B2001D"/>
    <w:rsid w:val="00B20967"/>
    <w:rsid w:val="00B20E30"/>
    <w:rsid w:val="00B2152D"/>
    <w:rsid w:val="00B2179B"/>
    <w:rsid w:val="00B217FC"/>
    <w:rsid w:val="00B223C2"/>
    <w:rsid w:val="00B225E7"/>
    <w:rsid w:val="00B22781"/>
    <w:rsid w:val="00B2338B"/>
    <w:rsid w:val="00B2418A"/>
    <w:rsid w:val="00B25AE9"/>
    <w:rsid w:val="00B307CF"/>
    <w:rsid w:val="00B30950"/>
    <w:rsid w:val="00B30CFD"/>
    <w:rsid w:val="00B312F0"/>
    <w:rsid w:val="00B314BD"/>
    <w:rsid w:val="00B315EE"/>
    <w:rsid w:val="00B322C8"/>
    <w:rsid w:val="00B32EAF"/>
    <w:rsid w:val="00B333E6"/>
    <w:rsid w:val="00B34DDA"/>
    <w:rsid w:val="00B35558"/>
    <w:rsid w:val="00B3593B"/>
    <w:rsid w:val="00B35C71"/>
    <w:rsid w:val="00B35EE2"/>
    <w:rsid w:val="00B36640"/>
    <w:rsid w:val="00B36CC4"/>
    <w:rsid w:val="00B372B1"/>
    <w:rsid w:val="00B37432"/>
    <w:rsid w:val="00B377BF"/>
    <w:rsid w:val="00B4112A"/>
    <w:rsid w:val="00B41D60"/>
    <w:rsid w:val="00B41EFF"/>
    <w:rsid w:val="00B41F21"/>
    <w:rsid w:val="00B433F1"/>
    <w:rsid w:val="00B43829"/>
    <w:rsid w:val="00B44991"/>
    <w:rsid w:val="00B44A7F"/>
    <w:rsid w:val="00B44E80"/>
    <w:rsid w:val="00B46059"/>
    <w:rsid w:val="00B4630D"/>
    <w:rsid w:val="00B46455"/>
    <w:rsid w:val="00B46792"/>
    <w:rsid w:val="00B46CE7"/>
    <w:rsid w:val="00B47CED"/>
    <w:rsid w:val="00B514ED"/>
    <w:rsid w:val="00B51A8D"/>
    <w:rsid w:val="00B51FB7"/>
    <w:rsid w:val="00B53B55"/>
    <w:rsid w:val="00B53C23"/>
    <w:rsid w:val="00B5414A"/>
    <w:rsid w:val="00B542B8"/>
    <w:rsid w:val="00B54446"/>
    <w:rsid w:val="00B54661"/>
    <w:rsid w:val="00B5494A"/>
    <w:rsid w:val="00B54ECA"/>
    <w:rsid w:val="00B54F1C"/>
    <w:rsid w:val="00B56121"/>
    <w:rsid w:val="00B56ACF"/>
    <w:rsid w:val="00B57415"/>
    <w:rsid w:val="00B6064D"/>
    <w:rsid w:val="00B60CF6"/>
    <w:rsid w:val="00B60D6C"/>
    <w:rsid w:val="00B613FF"/>
    <w:rsid w:val="00B614D3"/>
    <w:rsid w:val="00B621B8"/>
    <w:rsid w:val="00B62254"/>
    <w:rsid w:val="00B62270"/>
    <w:rsid w:val="00B630FC"/>
    <w:rsid w:val="00B63664"/>
    <w:rsid w:val="00B63ABD"/>
    <w:rsid w:val="00B66F2C"/>
    <w:rsid w:val="00B6725C"/>
    <w:rsid w:val="00B67744"/>
    <w:rsid w:val="00B703B6"/>
    <w:rsid w:val="00B71E41"/>
    <w:rsid w:val="00B73E93"/>
    <w:rsid w:val="00B75FBA"/>
    <w:rsid w:val="00B7617B"/>
    <w:rsid w:val="00B761D6"/>
    <w:rsid w:val="00B763E3"/>
    <w:rsid w:val="00B80067"/>
    <w:rsid w:val="00B817DE"/>
    <w:rsid w:val="00B81E13"/>
    <w:rsid w:val="00B8208C"/>
    <w:rsid w:val="00B825DE"/>
    <w:rsid w:val="00B85774"/>
    <w:rsid w:val="00B85B3C"/>
    <w:rsid w:val="00B85BA1"/>
    <w:rsid w:val="00B85E66"/>
    <w:rsid w:val="00B906DF"/>
    <w:rsid w:val="00B90B19"/>
    <w:rsid w:val="00B90D6E"/>
    <w:rsid w:val="00B92F70"/>
    <w:rsid w:val="00B93D94"/>
    <w:rsid w:val="00B94070"/>
    <w:rsid w:val="00B944B3"/>
    <w:rsid w:val="00B95C18"/>
    <w:rsid w:val="00B9618E"/>
    <w:rsid w:val="00BA001F"/>
    <w:rsid w:val="00BA189C"/>
    <w:rsid w:val="00BA25DA"/>
    <w:rsid w:val="00BA42C9"/>
    <w:rsid w:val="00BA4E2B"/>
    <w:rsid w:val="00BA5A36"/>
    <w:rsid w:val="00BA6EDA"/>
    <w:rsid w:val="00BA70C1"/>
    <w:rsid w:val="00BA7508"/>
    <w:rsid w:val="00BA7770"/>
    <w:rsid w:val="00BA7CFF"/>
    <w:rsid w:val="00BA7E35"/>
    <w:rsid w:val="00BB01F5"/>
    <w:rsid w:val="00BB02F6"/>
    <w:rsid w:val="00BB1103"/>
    <w:rsid w:val="00BB2073"/>
    <w:rsid w:val="00BB22C6"/>
    <w:rsid w:val="00BB3499"/>
    <w:rsid w:val="00BB4137"/>
    <w:rsid w:val="00BB4323"/>
    <w:rsid w:val="00BB504D"/>
    <w:rsid w:val="00BB682C"/>
    <w:rsid w:val="00BB71F5"/>
    <w:rsid w:val="00BC0AB6"/>
    <w:rsid w:val="00BC1198"/>
    <w:rsid w:val="00BC1C8E"/>
    <w:rsid w:val="00BC2308"/>
    <w:rsid w:val="00BC2D7F"/>
    <w:rsid w:val="00BC3463"/>
    <w:rsid w:val="00BC35E4"/>
    <w:rsid w:val="00BC4569"/>
    <w:rsid w:val="00BC6A18"/>
    <w:rsid w:val="00BC756F"/>
    <w:rsid w:val="00BD0468"/>
    <w:rsid w:val="00BD0DC4"/>
    <w:rsid w:val="00BD1D2E"/>
    <w:rsid w:val="00BD363F"/>
    <w:rsid w:val="00BD5AD0"/>
    <w:rsid w:val="00BD5DB7"/>
    <w:rsid w:val="00BD685D"/>
    <w:rsid w:val="00BD7677"/>
    <w:rsid w:val="00BE0757"/>
    <w:rsid w:val="00BE1367"/>
    <w:rsid w:val="00BE1405"/>
    <w:rsid w:val="00BE252E"/>
    <w:rsid w:val="00BE2DD4"/>
    <w:rsid w:val="00BE374A"/>
    <w:rsid w:val="00BE3A72"/>
    <w:rsid w:val="00BE3E7B"/>
    <w:rsid w:val="00BE4361"/>
    <w:rsid w:val="00BE4859"/>
    <w:rsid w:val="00BE4F52"/>
    <w:rsid w:val="00BE5AE4"/>
    <w:rsid w:val="00BE65CB"/>
    <w:rsid w:val="00BE6ED8"/>
    <w:rsid w:val="00BE6F8B"/>
    <w:rsid w:val="00BE7E9A"/>
    <w:rsid w:val="00BF1CFD"/>
    <w:rsid w:val="00BF30D8"/>
    <w:rsid w:val="00BF3228"/>
    <w:rsid w:val="00BF55ED"/>
    <w:rsid w:val="00BF571E"/>
    <w:rsid w:val="00BF61D7"/>
    <w:rsid w:val="00BF65AD"/>
    <w:rsid w:val="00BF6785"/>
    <w:rsid w:val="00C00AAD"/>
    <w:rsid w:val="00C00B59"/>
    <w:rsid w:val="00C00B7C"/>
    <w:rsid w:val="00C017B3"/>
    <w:rsid w:val="00C03E1F"/>
    <w:rsid w:val="00C0579D"/>
    <w:rsid w:val="00C05F42"/>
    <w:rsid w:val="00C061C1"/>
    <w:rsid w:val="00C0737E"/>
    <w:rsid w:val="00C07A78"/>
    <w:rsid w:val="00C10CEC"/>
    <w:rsid w:val="00C121DE"/>
    <w:rsid w:val="00C1387B"/>
    <w:rsid w:val="00C13ADB"/>
    <w:rsid w:val="00C13C9F"/>
    <w:rsid w:val="00C14BAD"/>
    <w:rsid w:val="00C1573F"/>
    <w:rsid w:val="00C15D80"/>
    <w:rsid w:val="00C16214"/>
    <w:rsid w:val="00C16372"/>
    <w:rsid w:val="00C178A8"/>
    <w:rsid w:val="00C20169"/>
    <w:rsid w:val="00C20ABA"/>
    <w:rsid w:val="00C21449"/>
    <w:rsid w:val="00C21551"/>
    <w:rsid w:val="00C21811"/>
    <w:rsid w:val="00C2218E"/>
    <w:rsid w:val="00C222FF"/>
    <w:rsid w:val="00C23577"/>
    <w:rsid w:val="00C23996"/>
    <w:rsid w:val="00C23ADE"/>
    <w:rsid w:val="00C24730"/>
    <w:rsid w:val="00C251EF"/>
    <w:rsid w:val="00C258BF"/>
    <w:rsid w:val="00C25F00"/>
    <w:rsid w:val="00C2605C"/>
    <w:rsid w:val="00C303E8"/>
    <w:rsid w:val="00C30463"/>
    <w:rsid w:val="00C30892"/>
    <w:rsid w:val="00C30C97"/>
    <w:rsid w:val="00C315D4"/>
    <w:rsid w:val="00C32053"/>
    <w:rsid w:val="00C32616"/>
    <w:rsid w:val="00C33509"/>
    <w:rsid w:val="00C33CBF"/>
    <w:rsid w:val="00C353C1"/>
    <w:rsid w:val="00C364CF"/>
    <w:rsid w:val="00C40381"/>
    <w:rsid w:val="00C41ADF"/>
    <w:rsid w:val="00C41E7E"/>
    <w:rsid w:val="00C42477"/>
    <w:rsid w:val="00C43215"/>
    <w:rsid w:val="00C4383C"/>
    <w:rsid w:val="00C43A66"/>
    <w:rsid w:val="00C463D3"/>
    <w:rsid w:val="00C46CFD"/>
    <w:rsid w:val="00C47229"/>
    <w:rsid w:val="00C4760F"/>
    <w:rsid w:val="00C50FC7"/>
    <w:rsid w:val="00C51791"/>
    <w:rsid w:val="00C524A0"/>
    <w:rsid w:val="00C54025"/>
    <w:rsid w:val="00C54282"/>
    <w:rsid w:val="00C555D2"/>
    <w:rsid w:val="00C5701D"/>
    <w:rsid w:val="00C57A2C"/>
    <w:rsid w:val="00C57D73"/>
    <w:rsid w:val="00C6063C"/>
    <w:rsid w:val="00C62166"/>
    <w:rsid w:val="00C62307"/>
    <w:rsid w:val="00C63840"/>
    <w:rsid w:val="00C638BC"/>
    <w:rsid w:val="00C639E3"/>
    <w:rsid w:val="00C63B20"/>
    <w:rsid w:val="00C640EB"/>
    <w:rsid w:val="00C647F5"/>
    <w:rsid w:val="00C65893"/>
    <w:rsid w:val="00C65C03"/>
    <w:rsid w:val="00C66299"/>
    <w:rsid w:val="00C67A79"/>
    <w:rsid w:val="00C67AF0"/>
    <w:rsid w:val="00C7037D"/>
    <w:rsid w:val="00C71567"/>
    <w:rsid w:val="00C71C1A"/>
    <w:rsid w:val="00C71DED"/>
    <w:rsid w:val="00C720FA"/>
    <w:rsid w:val="00C726AF"/>
    <w:rsid w:val="00C72962"/>
    <w:rsid w:val="00C729B9"/>
    <w:rsid w:val="00C72C79"/>
    <w:rsid w:val="00C73A6D"/>
    <w:rsid w:val="00C73F82"/>
    <w:rsid w:val="00C745EE"/>
    <w:rsid w:val="00C75EB6"/>
    <w:rsid w:val="00C7689D"/>
    <w:rsid w:val="00C771A8"/>
    <w:rsid w:val="00C77807"/>
    <w:rsid w:val="00C80352"/>
    <w:rsid w:val="00C8065B"/>
    <w:rsid w:val="00C80904"/>
    <w:rsid w:val="00C81437"/>
    <w:rsid w:val="00C81BDA"/>
    <w:rsid w:val="00C81E80"/>
    <w:rsid w:val="00C82468"/>
    <w:rsid w:val="00C8323C"/>
    <w:rsid w:val="00C84779"/>
    <w:rsid w:val="00C84AAA"/>
    <w:rsid w:val="00C85120"/>
    <w:rsid w:val="00C852BF"/>
    <w:rsid w:val="00C85B0E"/>
    <w:rsid w:val="00C904B7"/>
    <w:rsid w:val="00C90862"/>
    <w:rsid w:val="00C90F24"/>
    <w:rsid w:val="00C929D5"/>
    <w:rsid w:val="00C92C0A"/>
    <w:rsid w:val="00C92EBC"/>
    <w:rsid w:val="00C93805"/>
    <w:rsid w:val="00C9549E"/>
    <w:rsid w:val="00C95652"/>
    <w:rsid w:val="00C95888"/>
    <w:rsid w:val="00C95F68"/>
    <w:rsid w:val="00C96C0B"/>
    <w:rsid w:val="00CA02D1"/>
    <w:rsid w:val="00CA04CA"/>
    <w:rsid w:val="00CA1944"/>
    <w:rsid w:val="00CA1B60"/>
    <w:rsid w:val="00CA29F5"/>
    <w:rsid w:val="00CA3467"/>
    <w:rsid w:val="00CA490C"/>
    <w:rsid w:val="00CA4BAA"/>
    <w:rsid w:val="00CA4DFD"/>
    <w:rsid w:val="00CA581A"/>
    <w:rsid w:val="00CA60E6"/>
    <w:rsid w:val="00CA6ABC"/>
    <w:rsid w:val="00CA6FA8"/>
    <w:rsid w:val="00CB006D"/>
    <w:rsid w:val="00CB0DB6"/>
    <w:rsid w:val="00CB0DF8"/>
    <w:rsid w:val="00CB1531"/>
    <w:rsid w:val="00CB166C"/>
    <w:rsid w:val="00CB1C19"/>
    <w:rsid w:val="00CB2B6B"/>
    <w:rsid w:val="00CB2C57"/>
    <w:rsid w:val="00CB2D9F"/>
    <w:rsid w:val="00CB3207"/>
    <w:rsid w:val="00CB3CC1"/>
    <w:rsid w:val="00CB3E0A"/>
    <w:rsid w:val="00CB43DC"/>
    <w:rsid w:val="00CB45C7"/>
    <w:rsid w:val="00CB523C"/>
    <w:rsid w:val="00CB672F"/>
    <w:rsid w:val="00CB6A3B"/>
    <w:rsid w:val="00CB76D2"/>
    <w:rsid w:val="00CC2D6E"/>
    <w:rsid w:val="00CC3B70"/>
    <w:rsid w:val="00CC3F97"/>
    <w:rsid w:val="00CC4B62"/>
    <w:rsid w:val="00CC4DB6"/>
    <w:rsid w:val="00CC4FAB"/>
    <w:rsid w:val="00CC5FB0"/>
    <w:rsid w:val="00CC6A85"/>
    <w:rsid w:val="00CC773D"/>
    <w:rsid w:val="00CC7A9E"/>
    <w:rsid w:val="00CC7C97"/>
    <w:rsid w:val="00CD028C"/>
    <w:rsid w:val="00CD052C"/>
    <w:rsid w:val="00CD0EB4"/>
    <w:rsid w:val="00CD294C"/>
    <w:rsid w:val="00CD2E71"/>
    <w:rsid w:val="00CD330D"/>
    <w:rsid w:val="00CD3AF0"/>
    <w:rsid w:val="00CD46BA"/>
    <w:rsid w:val="00CD4ACB"/>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4688"/>
    <w:rsid w:val="00CE51BA"/>
    <w:rsid w:val="00CE69EB"/>
    <w:rsid w:val="00CE712C"/>
    <w:rsid w:val="00CE788F"/>
    <w:rsid w:val="00CF047B"/>
    <w:rsid w:val="00CF09B7"/>
    <w:rsid w:val="00CF1430"/>
    <w:rsid w:val="00CF258A"/>
    <w:rsid w:val="00CF35D8"/>
    <w:rsid w:val="00CF513A"/>
    <w:rsid w:val="00CF6635"/>
    <w:rsid w:val="00CF671A"/>
    <w:rsid w:val="00CF671E"/>
    <w:rsid w:val="00CF6E47"/>
    <w:rsid w:val="00D004F3"/>
    <w:rsid w:val="00D0096C"/>
    <w:rsid w:val="00D0142E"/>
    <w:rsid w:val="00D02459"/>
    <w:rsid w:val="00D031CE"/>
    <w:rsid w:val="00D034D9"/>
    <w:rsid w:val="00D0391E"/>
    <w:rsid w:val="00D04925"/>
    <w:rsid w:val="00D05293"/>
    <w:rsid w:val="00D060D6"/>
    <w:rsid w:val="00D06C73"/>
    <w:rsid w:val="00D076DC"/>
    <w:rsid w:val="00D1085A"/>
    <w:rsid w:val="00D11BBB"/>
    <w:rsid w:val="00D11FC5"/>
    <w:rsid w:val="00D12888"/>
    <w:rsid w:val="00D130F5"/>
    <w:rsid w:val="00D135AB"/>
    <w:rsid w:val="00D143B1"/>
    <w:rsid w:val="00D15D72"/>
    <w:rsid w:val="00D15FF7"/>
    <w:rsid w:val="00D16231"/>
    <w:rsid w:val="00D16FFE"/>
    <w:rsid w:val="00D1754B"/>
    <w:rsid w:val="00D176DF"/>
    <w:rsid w:val="00D20758"/>
    <w:rsid w:val="00D20C63"/>
    <w:rsid w:val="00D20EEE"/>
    <w:rsid w:val="00D216F1"/>
    <w:rsid w:val="00D21775"/>
    <w:rsid w:val="00D2221B"/>
    <w:rsid w:val="00D22353"/>
    <w:rsid w:val="00D224EC"/>
    <w:rsid w:val="00D225AB"/>
    <w:rsid w:val="00D2366D"/>
    <w:rsid w:val="00D2553A"/>
    <w:rsid w:val="00D25575"/>
    <w:rsid w:val="00D259D1"/>
    <w:rsid w:val="00D25CA6"/>
    <w:rsid w:val="00D26E54"/>
    <w:rsid w:val="00D317B2"/>
    <w:rsid w:val="00D32BB4"/>
    <w:rsid w:val="00D33DD1"/>
    <w:rsid w:val="00D34A18"/>
    <w:rsid w:val="00D355D1"/>
    <w:rsid w:val="00D370D2"/>
    <w:rsid w:val="00D37651"/>
    <w:rsid w:val="00D37A57"/>
    <w:rsid w:val="00D4008B"/>
    <w:rsid w:val="00D40365"/>
    <w:rsid w:val="00D405D9"/>
    <w:rsid w:val="00D40BA0"/>
    <w:rsid w:val="00D41493"/>
    <w:rsid w:val="00D43A25"/>
    <w:rsid w:val="00D4516C"/>
    <w:rsid w:val="00D452F9"/>
    <w:rsid w:val="00D4559B"/>
    <w:rsid w:val="00D46118"/>
    <w:rsid w:val="00D461BD"/>
    <w:rsid w:val="00D46C0A"/>
    <w:rsid w:val="00D46EBF"/>
    <w:rsid w:val="00D47C6F"/>
    <w:rsid w:val="00D47F92"/>
    <w:rsid w:val="00D5012C"/>
    <w:rsid w:val="00D50226"/>
    <w:rsid w:val="00D508A1"/>
    <w:rsid w:val="00D50E7D"/>
    <w:rsid w:val="00D511D7"/>
    <w:rsid w:val="00D51478"/>
    <w:rsid w:val="00D53241"/>
    <w:rsid w:val="00D53F28"/>
    <w:rsid w:val="00D551D1"/>
    <w:rsid w:val="00D56557"/>
    <w:rsid w:val="00D56791"/>
    <w:rsid w:val="00D56B62"/>
    <w:rsid w:val="00D600BA"/>
    <w:rsid w:val="00D607EA"/>
    <w:rsid w:val="00D6084B"/>
    <w:rsid w:val="00D60AA4"/>
    <w:rsid w:val="00D60FEB"/>
    <w:rsid w:val="00D61D0E"/>
    <w:rsid w:val="00D62CB3"/>
    <w:rsid w:val="00D62D38"/>
    <w:rsid w:val="00D637C7"/>
    <w:rsid w:val="00D63D1B"/>
    <w:rsid w:val="00D66F5B"/>
    <w:rsid w:val="00D67DF2"/>
    <w:rsid w:val="00D70DF8"/>
    <w:rsid w:val="00D71E9B"/>
    <w:rsid w:val="00D73861"/>
    <w:rsid w:val="00D7470A"/>
    <w:rsid w:val="00D74F1B"/>
    <w:rsid w:val="00D75307"/>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93AC8"/>
    <w:rsid w:val="00D94A0C"/>
    <w:rsid w:val="00D94FDF"/>
    <w:rsid w:val="00D955EE"/>
    <w:rsid w:val="00D95B28"/>
    <w:rsid w:val="00D96107"/>
    <w:rsid w:val="00D96C58"/>
    <w:rsid w:val="00D97E2E"/>
    <w:rsid w:val="00D97EEC"/>
    <w:rsid w:val="00DA05AD"/>
    <w:rsid w:val="00DA12E5"/>
    <w:rsid w:val="00DA1450"/>
    <w:rsid w:val="00DA1E5E"/>
    <w:rsid w:val="00DA1FEC"/>
    <w:rsid w:val="00DA20FD"/>
    <w:rsid w:val="00DA344F"/>
    <w:rsid w:val="00DA49D9"/>
    <w:rsid w:val="00DA4F05"/>
    <w:rsid w:val="00DA7E94"/>
    <w:rsid w:val="00DB1610"/>
    <w:rsid w:val="00DB22C1"/>
    <w:rsid w:val="00DB57A5"/>
    <w:rsid w:val="00DB6151"/>
    <w:rsid w:val="00DB6943"/>
    <w:rsid w:val="00DB69F0"/>
    <w:rsid w:val="00DB7460"/>
    <w:rsid w:val="00DC08AF"/>
    <w:rsid w:val="00DC0E39"/>
    <w:rsid w:val="00DC16AE"/>
    <w:rsid w:val="00DC2F37"/>
    <w:rsid w:val="00DC3AD1"/>
    <w:rsid w:val="00DC4682"/>
    <w:rsid w:val="00DC4719"/>
    <w:rsid w:val="00DC5789"/>
    <w:rsid w:val="00DC5DF9"/>
    <w:rsid w:val="00DD0D0C"/>
    <w:rsid w:val="00DD1867"/>
    <w:rsid w:val="00DD1A4D"/>
    <w:rsid w:val="00DD24C3"/>
    <w:rsid w:val="00DD38BA"/>
    <w:rsid w:val="00DD42C1"/>
    <w:rsid w:val="00DD5134"/>
    <w:rsid w:val="00DD5435"/>
    <w:rsid w:val="00DD5863"/>
    <w:rsid w:val="00DD624B"/>
    <w:rsid w:val="00DD6E93"/>
    <w:rsid w:val="00DD7A44"/>
    <w:rsid w:val="00DD7F1E"/>
    <w:rsid w:val="00DE0260"/>
    <w:rsid w:val="00DE2956"/>
    <w:rsid w:val="00DE40DC"/>
    <w:rsid w:val="00DE440A"/>
    <w:rsid w:val="00DE4BFC"/>
    <w:rsid w:val="00DE60BA"/>
    <w:rsid w:val="00DE62EE"/>
    <w:rsid w:val="00DE6F07"/>
    <w:rsid w:val="00DE7035"/>
    <w:rsid w:val="00DE779B"/>
    <w:rsid w:val="00DF0EDB"/>
    <w:rsid w:val="00DF0FA4"/>
    <w:rsid w:val="00DF1595"/>
    <w:rsid w:val="00DF1B1C"/>
    <w:rsid w:val="00DF202B"/>
    <w:rsid w:val="00DF3952"/>
    <w:rsid w:val="00DF5226"/>
    <w:rsid w:val="00DF5BCF"/>
    <w:rsid w:val="00DF6664"/>
    <w:rsid w:val="00DF7E3B"/>
    <w:rsid w:val="00E011C0"/>
    <w:rsid w:val="00E013CF"/>
    <w:rsid w:val="00E02220"/>
    <w:rsid w:val="00E02517"/>
    <w:rsid w:val="00E02E3C"/>
    <w:rsid w:val="00E03E63"/>
    <w:rsid w:val="00E04E45"/>
    <w:rsid w:val="00E05FD7"/>
    <w:rsid w:val="00E06A0B"/>
    <w:rsid w:val="00E06B8C"/>
    <w:rsid w:val="00E11C12"/>
    <w:rsid w:val="00E126B4"/>
    <w:rsid w:val="00E12BAC"/>
    <w:rsid w:val="00E135BC"/>
    <w:rsid w:val="00E13DEC"/>
    <w:rsid w:val="00E14E27"/>
    <w:rsid w:val="00E153F3"/>
    <w:rsid w:val="00E15463"/>
    <w:rsid w:val="00E16BF7"/>
    <w:rsid w:val="00E17263"/>
    <w:rsid w:val="00E17EBB"/>
    <w:rsid w:val="00E204EE"/>
    <w:rsid w:val="00E2163B"/>
    <w:rsid w:val="00E23348"/>
    <w:rsid w:val="00E2354C"/>
    <w:rsid w:val="00E238EC"/>
    <w:rsid w:val="00E24564"/>
    <w:rsid w:val="00E256CF"/>
    <w:rsid w:val="00E258F3"/>
    <w:rsid w:val="00E27038"/>
    <w:rsid w:val="00E27350"/>
    <w:rsid w:val="00E2770A"/>
    <w:rsid w:val="00E27A2B"/>
    <w:rsid w:val="00E306CE"/>
    <w:rsid w:val="00E31E2B"/>
    <w:rsid w:val="00E31F63"/>
    <w:rsid w:val="00E346B7"/>
    <w:rsid w:val="00E352CD"/>
    <w:rsid w:val="00E35FA1"/>
    <w:rsid w:val="00E36867"/>
    <w:rsid w:val="00E3789F"/>
    <w:rsid w:val="00E37BB2"/>
    <w:rsid w:val="00E41834"/>
    <w:rsid w:val="00E42BDA"/>
    <w:rsid w:val="00E43737"/>
    <w:rsid w:val="00E43D11"/>
    <w:rsid w:val="00E44093"/>
    <w:rsid w:val="00E445CA"/>
    <w:rsid w:val="00E44B15"/>
    <w:rsid w:val="00E45270"/>
    <w:rsid w:val="00E45AEF"/>
    <w:rsid w:val="00E46A71"/>
    <w:rsid w:val="00E46A95"/>
    <w:rsid w:val="00E46CE4"/>
    <w:rsid w:val="00E47B59"/>
    <w:rsid w:val="00E47C23"/>
    <w:rsid w:val="00E5106C"/>
    <w:rsid w:val="00E510E6"/>
    <w:rsid w:val="00E510FB"/>
    <w:rsid w:val="00E51802"/>
    <w:rsid w:val="00E52431"/>
    <w:rsid w:val="00E52477"/>
    <w:rsid w:val="00E52655"/>
    <w:rsid w:val="00E52C76"/>
    <w:rsid w:val="00E540CC"/>
    <w:rsid w:val="00E5440B"/>
    <w:rsid w:val="00E572A8"/>
    <w:rsid w:val="00E57C5A"/>
    <w:rsid w:val="00E62A97"/>
    <w:rsid w:val="00E6488C"/>
    <w:rsid w:val="00E64ECA"/>
    <w:rsid w:val="00E66EB6"/>
    <w:rsid w:val="00E703B7"/>
    <w:rsid w:val="00E70613"/>
    <w:rsid w:val="00E711D6"/>
    <w:rsid w:val="00E717C8"/>
    <w:rsid w:val="00E72855"/>
    <w:rsid w:val="00E729CA"/>
    <w:rsid w:val="00E7303C"/>
    <w:rsid w:val="00E7320F"/>
    <w:rsid w:val="00E732A9"/>
    <w:rsid w:val="00E73E43"/>
    <w:rsid w:val="00E747B2"/>
    <w:rsid w:val="00E7493A"/>
    <w:rsid w:val="00E74A01"/>
    <w:rsid w:val="00E74CF0"/>
    <w:rsid w:val="00E75613"/>
    <w:rsid w:val="00E76300"/>
    <w:rsid w:val="00E76B7E"/>
    <w:rsid w:val="00E76F45"/>
    <w:rsid w:val="00E77D14"/>
    <w:rsid w:val="00E80656"/>
    <w:rsid w:val="00E810F9"/>
    <w:rsid w:val="00E81A0D"/>
    <w:rsid w:val="00E82039"/>
    <w:rsid w:val="00E820BD"/>
    <w:rsid w:val="00E82AE2"/>
    <w:rsid w:val="00E8371E"/>
    <w:rsid w:val="00E84AE6"/>
    <w:rsid w:val="00E8537E"/>
    <w:rsid w:val="00E853D2"/>
    <w:rsid w:val="00E858CE"/>
    <w:rsid w:val="00E86505"/>
    <w:rsid w:val="00E908F1"/>
    <w:rsid w:val="00E90F04"/>
    <w:rsid w:val="00E91A57"/>
    <w:rsid w:val="00E92316"/>
    <w:rsid w:val="00E92352"/>
    <w:rsid w:val="00E927CA"/>
    <w:rsid w:val="00E93740"/>
    <w:rsid w:val="00E93753"/>
    <w:rsid w:val="00E9396E"/>
    <w:rsid w:val="00E94231"/>
    <w:rsid w:val="00E95170"/>
    <w:rsid w:val="00E95A93"/>
    <w:rsid w:val="00E96C61"/>
    <w:rsid w:val="00E97015"/>
    <w:rsid w:val="00E97DB8"/>
    <w:rsid w:val="00EA0230"/>
    <w:rsid w:val="00EA03CA"/>
    <w:rsid w:val="00EA22D9"/>
    <w:rsid w:val="00EA2750"/>
    <w:rsid w:val="00EA3F97"/>
    <w:rsid w:val="00EA49AC"/>
    <w:rsid w:val="00EA55F0"/>
    <w:rsid w:val="00EA56DD"/>
    <w:rsid w:val="00EA5E80"/>
    <w:rsid w:val="00EA6FA7"/>
    <w:rsid w:val="00EA7155"/>
    <w:rsid w:val="00EB0C06"/>
    <w:rsid w:val="00EB1811"/>
    <w:rsid w:val="00EB188C"/>
    <w:rsid w:val="00EB1B1F"/>
    <w:rsid w:val="00EB23C0"/>
    <w:rsid w:val="00EB2FD9"/>
    <w:rsid w:val="00EB4EA1"/>
    <w:rsid w:val="00EB61CB"/>
    <w:rsid w:val="00EB70BE"/>
    <w:rsid w:val="00EC009C"/>
    <w:rsid w:val="00EC021C"/>
    <w:rsid w:val="00EC0293"/>
    <w:rsid w:val="00EC0F49"/>
    <w:rsid w:val="00EC176A"/>
    <w:rsid w:val="00EC2519"/>
    <w:rsid w:val="00EC2F8C"/>
    <w:rsid w:val="00EC3B79"/>
    <w:rsid w:val="00EC459B"/>
    <w:rsid w:val="00EC4AA3"/>
    <w:rsid w:val="00EC4DE5"/>
    <w:rsid w:val="00EC4E55"/>
    <w:rsid w:val="00EC575C"/>
    <w:rsid w:val="00EC5D5F"/>
    <w:rsid w:val="00EC6CE5"/>
    <w:rsid w:val="00EC6F4A"/>
    <w:rsid w:val="00EC7A10"/>
    <w:rsid w:val="00EC7F68"/>
    <w:rsid w:val="00ED018D"/>
    <w:rsid w:val="00ED0533"/>
    <w:rsid w:val="00ED0579"/>
    <w:rsid w:val="00ED09B5"/>
    <w:rsid w:val="00ED1630"/>
    <w:rsid w:val="00ED1A96"/>
    <w:rsid w:val="00ED1E15"/>
    <w:rsid w:val="00ED30B4"/>
    <w:rsid w:val="00ED312D"/>
    <w:rsid w:val="00ED3965"/>
    <w:rsid w:val="00ED4DAA"/>
    <w:rsid w:val="00ED7894"/>
    <w:rsid w:val="00ED7BAF"/>
    <w:rsid w:val="00EE2ACA"/>
    <w:rsid w:val="00EE307C"/>
    <w:rsid w:val="00EE3608"/>
    <w:rsid w:val="00EE3AAF"/>
    <w:rsid w:val="00EE3AFF"/>
    <w:rsid w:val="00EE4046"/>
    <w:rsid w:val="00EE40FE"/>
    <w:rsid w:val="00EE46C2"/>
    <w:rsid w:val="00EE47D1"/>
    <w:rsid w:val="00EE50AE"/>
    <w:rsid w:val="00EE5B70"/>
    <w:rsid w:val="00EE77C6"/>
    <w:rsid w:val="00EE7C64"/>
    <w:rsid w:val="00EF0D53"/>
    <w:rsid w:val="00EF1077"/>
    <w:rsid w:val="00EF10B4"/>
    <w:rsid w:val="00EF17C0"/>
    <w:rsid w:val="00EF1990"/>
    <w:rsid w:val="00EF23E5"/>
    <w:rsid w:val="00EF2BE3"/>
    <w:rsid w:val="00EF3D87"/>
    <w:rsid w:val="00EF4E23"/>
    <w:rsid w:val="00EF4F8B"/>
    <w:rsid w:val="00EF5847"/>
    <w:rsid w:val="00EF624B"/>
    <w:rsid w:val="00EF6C45"/>
    <w:rsid w:val="00EF77E2"/>
    <w:rsid w:val="00F00A30"/>
    <w:rsid w:val="00F00B17"/>
    <w:rsid w:val="00F00D4C"/>
    <w:rsid w:val="00F05CAD"/>
    <w:rsid w:val="00F071AF"/>
    <w:rsid w:val="00F07759"/>
    <w:rsid w:val="00F11878"/>
    <w:rsid w:val="00F119AE"/>
    <w:rsid w:val="00F12A03"/>
    <w:rsid w:val="00F13646"/>
    <w:rsid w:val="00F1394D"/>
    <w:rsid w:val="00F13F1D"/>
    <w:rsid w:val="00F14160"/>
    <w:rsid w:val="00F142F2"/>
    <w:rsid w:val="00F145E2"/>
    <w:rsid w:val="00F14AE8"/>
    <w:rsid w:val="00F1538B"/>
    <w:rsid w:val="00F15BDF"/>
    <w:rsid w:val="00F173EE"/>
    <w:rsid w:val="00F2253F"/>
    <w:rsid w:val="00F2298B"/>
    <w:rsid w:val="00F2330A"/>
    <w:rsid w:val="00F23498"/>
    <w:rsid w:val="00F23A54"/>
    <w:rsid w:val="00F240A6"/>
    <w:rsid w:val="00F25060"/>
    <w:rsid w:val="00F26872"/>
    <w:rsid w:val="00F2748D"/>
    <w:rsid w:val="00F27664"/>
    <w:rsid w:val="00F278F7"/>
    <w:rsid w:val="00F27FC6"/>
    <w:rsid w:val="00F30126"/>
    <w:rsid w:val="00F3083F"/>
    <w:rsid w:val="00F31461"/>
    <w:rsid w:val="00F31563"/>
    <w:rsid w:val="00F32E23"/>
    <w:rsid w:val="00F341FA"/>
    <w:rsid w:val="00F35794"/>
    <w:rsid w:val="00F361DF"/>
    <w:rsid w:val="00F361E0"/>
    <w:rsid w:val="00F407F3"/>
    <w:rsid w:val="00F413A3"/>
    <w:rsid w:val="00F41D79"/>
    <w:rsid w:val="00F41E0A"/>
    <w:rsid w:val="00F428E9"/>
    <w:rsid w:val="00F42C2F"/>
    <w:rsid w:val="00F444CB"/>
    <w:rsid w:val="00F44769"/>
    <w:rsid w:val="00F46F08"/>
    <w:rsid w:val="00F47C55"/>
    <w:rsid w:val="00F47E41"/>
    <w:rsid w:val="00F5075C"/>
    <w:rsid w:val="00F50A0C"/>
    <w:rsid w:val="00F50A51"/>
    <w:rsid w:val="00F51B2A"/>
    <w:rsid w:val="00F529F7"/>
    <w:rsid w:val="00F52B88"/>
    <w:rsid w:val="00F52EEF"/>
    <w:rsid w:val="00F530AF"/>
    <w:rsid w:val="00F54259"/>
    <w:rsid w:val="00F5549D"/>
    <w:rsid w:val="00F554AE"/>
    <w:rsid w:val="00F56526"/>
    <w:rsid w:val="00F5779D"/>
    <w:rsid w:val="00F57E3C"/>
    <w:rsid w:val="00F6073A"/>
    <w:rsid w:val="00F60BB3"/>
    <w:rsid w:val="00F61165"/>
    <w:rsid w:val="00F62694"/>
    <w:rsid w:val="00F62BDB"/>
    <w:rsid w:val="00F65314"/>
    <w:rsid w:val="00F66920"/>
    <w:rsid w:val="00F66FD9"/>
    <w:rsid w:val="00F6778F"/>
    <w:rsid w:val="00F67A5C"/>
    <w:rsid w:val="00F70B4C"/>
    <w:rsid w:val="00F70C3F"/>
    <w:rsid w:val="00F71562"/>
    <w:rsid w:val="00F71EA0"/>
    <w:rsid w:val="00F728DF"/>
    <w:rsid w:val="00F73879"/>
    <w:rsid w:val="00F74E67"/>
    <w:rsid w:val="00F75359"/>
    <w:rsid w:val="00F75B76"/>
    <w:rsid w:val="00F77445"/>
    <w:rsid w:val="00F7770D"/>
    <w:rsid w:val="00F77DC3"/>
    <w:rsid w:val="00F806D9"/>
    <w:rsid w:val="00F80B3C"/>
    <w:rsid w:val="00F80F2F"/>
    <w:rsid w:val="00F80FA6"/>
    <w:rsid w:val="00F810FB"/>
    <w:rsid w:val="00F8187C"/>
    <w:rsid w:val="00F8353F"/>
    <w:rsid w:val="00F8391D"/>
    <w:rsid w:val="00F83E7B"/>
    <w:rsid w:val="00F86A86"/>
    <w:rsid w:val="00F878AE"/>
    <w:rsid w:val="00F87C00"/>
    <w:rsid w:val="00F9002B"/>
    <w:rsid w:val="00F9232F"/>
    <w:rsid w:val="00F928A6"/>
    <w:rsid w:val="00F93247"/>
    <w:rsid w:val="00F93542"/>
    <w:rsid w:val="00F93FC1"/>
    <w:rsid w:val="00F94960"/>
    <w:rsid w:val="00F94C2A"/>
    <w:rsid w:val="00F9536A"/>
    <w:rsid w:val="00F96FAC"/>
    <w:rsid w:val="00F971A0"/>
    <w:rsid w:val="00F973D4"/>
    <w:rsid w:val="00F979DF"/>
    <w:rsid w:val="00FA07AA"/>
    <w:rsid w:val="00FA10CA"/>
    <w:rsid w:val="00FA1940"/>
    <w:rsid w:val="00FA2C6E"/>
    <w:rsid w:val="00FA39C5"/>
    <w:rsid w:val="00FA4213"/>
    <w:rsid w:val="00FA46F9"/>
    <w:rsid w:val="00FA6170"/>
    <w:rsid w:val="00FA65AE"/>
    <w:rsid w:val="00FA7C65"/>
    <w:rsid w:val="00FB0436"/>
    <w:rsid w:val="00FB0887"/>
    <w:rsid w:val="00FB179D"/>
    <w:rsid w:val="00FB2568"/>
    <w:rsid w:val="00FB2DD4"/>
    <w:rsid w:val="00FB2E46"/>
    <w:rsid w:val="00FB3FFB"/>
    <w:rsid w:val="00FB468D"/>
    <w:rsid w:val="00FB4881"/>
    <w:rsid w:val="00FB4D4E"/>
    <w:rsid w:val="00FB6E11"/>
    <w:rsid w:val="00FB7CC4"/>
    <w:rsid w:val="00FC0302"/>
    <w:rsid w:val="00FC0362"/>
    <w:rsid w:val="00FC0556"/>
    <w:rsid w:val="00FC1202"/>
    <w:rsid w:val="00FC12F9"/>
    <w:rsid w:val="00FC131C"/>
    <w:rsid w:val="00FC1836"/>
    <w:rsid w:val="00FC336E"/>
    <w:rsid w:val="00FC3C90"/>
    <w:rsid w:val="00FC482A"/>
    <w:rsid w:val="00FC4BCC"/>
    <w:rsid w:val="00FC60D6"/>
    <w:rsid w:val="00FC6C36"/>
    <w:rsid w:val="00FC726E"/>
    <w:rsid w:val="00FC77C8"/>
    <w:rsid w:val="00FC7BE1"/>
    <w:rsid w:val="00FD14EB"/>
    <w:rsid w:val="00FD1838"/>
    <w:rsid w:val="00FD183C"/>
    <w:rsid w:val="00FD1B98"/>
    <w:rsid w:val="00FD1D96"/>
    <w:rsid w:val="00FD1EB9"/>
    <w:rsid w:val="00FD39C8"/>
    <w:rsid w:val="00FD3A36"/>
    <w:rsid w:val="00FD3D24"/>
    <w:rsid w:val="00FD5807"/>
    <w:rsid w:val="00FD5D0E"/>
    <w:rsid w:val="00FD6184"/>
    <w:rsid w:val="00FD668B"/>
    <w:rsid w:val="00FD7F3E"/>
    <w:rsid w:val="00FE1171"/>
    <w:rsid w:val="00FE2046"/>
    <w:rsid w:val="00FE291F"/>
    <w:rsid w:val="00FE3050"/>
    <w:rsid w:val="00FE3503"/>
    <w:rsid w:val="00FE46F3"/>
    <w:rsid w:val="00FE50BF"/>
    <w:rsid w:val="00FE525C"/>
    <w:rsid w:val="00FE5895"/>
    <w:rsid w:val="00FE6561"/>
    <w:rsid w:val="00FE7B39"/>
    <w:rsid w:val="00FF02BD"/>
    <w:rsid w:val="00FF11A1"/>
    <w:rsid w:val="00FF22B7"/>
    <w:rsid w:val="00FF37F1"/>
    <w:rsid w:val="00FF3D4D"/>
    <w:rsid w:val="00FF453D"/>
    <w:rsid w:val="00FF60A7"/>
    <w:rsid w:val="00FF6728"/>
    <w:rsid w:val="00FF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AADF7A"/>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aliases w:val="Comentarios"/>
    <w:uiPriority w:val="99"/>
    <w:qFormat/>
    <w:rsid w:val="00C16372"/>
    <w:rPr>
      <w:rFonts w:ascii="ITC Avant Garde" w:hAnsi="ITC Avant Garde"/>
      <w:color w:val="auto"/>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293119"/>
    <w:pPr>
      <w:tabs>
        <w:tab w:val="clear" w:pos="635"/>
        <w:tab w:val="clear" w:pos="8789"/>
      </w:tabs>
      <w:spacing w:line="276" w:lineRule="auto"/>
      <w:jc w:val="center"/>
    </w:pPr>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N1IFTCar">
    <w:name w:val="N1 IFT Car"/>
    <w:basedOn w:val="Fuentedeprrafopredeter"/>
    <w:link w:val="N1IFT"/>
    <w:locked/>
    <w:rsid w:val="00E97DB8"/>
    <w:rPr>
      <w:rFonts w:ascii="ITC Avant Garde" w:hAnsi="ITC Avant Garde"/>
      <w:color w:val="000000"/>
      <w:lang w:eastAsia="es-ES"/>
    </w:rPr>
  </w:style>
  <w:style w:type="paragraph" w:customStyle="1" w:styleId="N1IFT">
    <w:name w:val="N1 IFT"/>
    <w:basedOn w:val="Normal"/>
    <w:link w:val="N1IFTCar"/>
    <w:rsid w:val="00E97DB8"/>
    <w:pPr>
      <w:snapToGrid w:val="0"/>
      <w:spacing w:after="0" w:line="240" w:lineRule="auto"/>
      <w:jc w:val="both"/>
    </w:pPr>
    <w:rPr>
      <w:rFonts w:ascii="ITC Avant Garde" w:hAnsi="ITC Avant Garde"/>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87047">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155878">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860776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A2DA096-CA2C-4770-91E0-062C84F9F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C3CE6F5A-6729-4920-A3AD-BF68B6D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4806</Words>
  <Characters>26439</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Mario Alonso Cruz</cp:lastModifiedBy>
  <cp:revision>5</cp:revision>
  <cp:lastPrinted>2017-06-22T17:08:00Z</cp:lastPrinted>
  <dcterms:created xsi:type="dcterms:W3CDTF">2017-11-22T19:54:00Z</dcterms:created>
  <dcterms:modified xsi:type="dcterms:W3CDTF">2017-12-05T00:55:00Z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