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52C2CE" w14:textId="77777777" w:rsidR="004F36F7" w:rsidRDefault="007E0B8B" w:rsidP="004F36F7">
      <w:pPr>
        <w:pStyle w:val="N1IFT"/>
        <w:spacing w:before="240"/>
      </w:pPr>
      <w:bookmarkStart w:id="0" w:name="OLE_LINK3"/>
      <w:r w:rsidRPr="001E7229">
        <w:t>RESOLUCIÓN</w:t>
      </w:r>
      <w:r w:rsidR="00F82003" w:rsidRPr="001E7229">
        <w:t xml:space="preserve"> MEDIANTE</w:t>
      </w:r>
      <w:r w:rsidRPr="001E7229">
        <w:t xml:space="preserve"> LA CUAL EL PLENO DEL INSTITUTO FEDERAL DE TELECOMUNICACIONES </w:t>
      </w:r>
      <w:r w:rsidR="00E47AD9" w:rsidRPr="001E7229">
        <w:t>MODIFICA Y APRUEBA LAS</w:t>
      </w:r>
      <w:r w:rsidR="00232774" w:rsidRPr="001E7229">
        <w:t xml:space="preserve"> </w:t>
      </w:r>
      <w:r w:rsidR="00E47AD9" w:rsidRPr="001E7229">
        <w:t>TARIFAS</w:t>
      </w:r>
      <w:r w:rsidR="006116E6" w:rsidRPr="001E7229">
        <w:t xml:space="preserve"> </w:t>
      </w:r>
      <w:r w:rsidR="00E47AD9" w:rsidRPr="001E7229">
        <w:t>D</w:t>
      </w:r>
      <w:r w:rsidR="00EB478E" w:rsidRPr="001E7229">
        <w:t>EL SERVICIO DE REVENTA MAYORISTA DE LÍNEA TELEFÓNICA DE LA OFERTA DE REFERENCIA DE</w:t>
      </w:r>
      <w:r w:rsidRPr="001E7229">
        <w:t xml:space="preserve"> LA DESAGREGACIÓN EFECTIVA DE LA RED LOCAL DEL </w:t>
      </w:r>
      <w:r w:rsidR="00F208DF" w:rsidRPr="001E7229">
        <w:t>AGENTE ECONÓMICO PREPONDERANTE</w:t>
      </w:r>
    </w:p>
    <w:p w14:paraId="73FD4778" w14:textId="77777777" w:rsidR="004F36F7" w:rsidRDefault="007E0B8B" w:rsidP="004F36F7">
      <w:pPr>
        <w:pStyle w:val="Ttulo2"/>
        <w:spacing w:before="240"/>
      </w:pPr>
      <w:bookmarkStart w:id="1" w:name="_Toc415216815"/>
      <w:bookmarkStart w:id="2" w:name="_Toc415228916"/>
      <w:bookmarkStart w:id="3" w:name="_Toc415232219"/>
      <w:bookmarkEnd w:id="0"/>
      <w:r w:rsidRPr="00171F82">
        <w:t>ANTECEDENTES</w:t>
      </w:r>
      <w:bookmarkEnd w:id="1"/>
      <w:bookmarkEnd w:id="2"/>
      <w:bookmarkEnd w:id="3"/>
    </w:p>
    <w:p w14:paraId="37BCE820" w14:textId="7A824E28" w:rsidR="00256DF8" w:rsidRDefault="00B4737B" w:rsidP="004F36F7">
      <w:pPr>
        <w:pStyle w:val="IFTnormal"/>
        <w:numPr>
          <w:ilvl w:val="0"/>
          <w:numId w:val="2"/>
        </w:numPr>
        <w:spacing w:before="240"/>
      </w:pPr>
      <w:r w:rsidRPr="00171F82">
        <w:rPr>
          <w:b/>
        </w:rPr>
        <w:t>Decreto de Reforma Constitucional.-</w:t>
      </w:r>
      <w:r w:rsidRPr="00171F82">
        <w:t xml:space="preserve"> El 11 de junio de 2013 se publicó en el Diario Oficial de la Federación (en lo sucesivo, “DOF”) el “</w:t>
      </w:r>
      <w:r w:rsidRPr="00171F82">
        <w:rPr>
          <w:i/>
        </w:rPr>
        <w:t>DECRETO por el que se reforman y adicionan diversas disposiciones de los artículos 6o., 7o., 27, 28, 73, 78, 94 y 105 de la Constitución Política de los Estados Unidos Mexicanos, en materia de telecomunicaciones</w:t>
      </w:r>
      <w:r w:rsidRPr="00171F82">
        <w:t>”, mediante el cual se creó al Instituto Federal de Telecomunicaciones (en lo sucesivo, “Instituto”), como un órgano autónomo con personalidad jurídica y patrimonio propio, cuyo objeto es el desarrollo eficiente de la radiodifusión y las telecomunicaciones conforme a lo dispuesto en la propia Constitución Política de los Estados Unidos Mexicanos (en lo sucesivo,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6521D9D5" w14:textId="77777777" w:rsidR="00B4737B" w:rsidRPr="00171F82" w:rsidRDefault="00B4737B" w:rsidP="004F36F7">
      <w:pPr>
        <w:pStyle w:val="Prrafodelista"/>
        <w:numPr>
          <w:ilvl w:val="0"/>
          <w:numId w:val="2"/>
        </w:numPr>
        <w:spacing w:before="240"/>
        <w:jc w:val="both"/>
        <w:rPr>
          <w:rFonts w:ascii="ITC Avant Garde" w:hAnsi="ITC Avant Garde" w:cs="Arial"/>
          <w:lang w:val="es-ES_tradnl"/>
        </w:rPr>
      </w:pPr>
      <w:r w:rsidRPr="00171F82">
        <w:rPr>
          <w:rFonts w:ascii="ITC Avant Garde" w:hAnsi="ITC Avant Garde" w:cs="Arial"/>
          <w:b/>
          <w:lang w:val="es-ES_tradnl"/>
        </w:rPr>
        <w:t>Determinación del Agente Económico Preponderante.-</w:t>
      </w:r>
      <w:r w:rsidRPr="00171F82">
        <w:t xml:space="preserve"> </w:t>
      </w:r>
      <w:r w:rsidRPr="00171F82">
        <w:rPr>
          <w:rFonts w:ascii="ITC Avant Garde" w:hAnsi="ITC Avant Garde" w:cs="Arial"/>
          <w:lang w:val="es-ES_tradnl"/>
        </w:rPr>
        <w:t xml:space="preserve">El 6 de marzo de 2014 el Pleno del Instituto en su V Sesión Extraordinaria aprobó mediante Acuerdo P/IFT/EXT/060314/76 la </w:t>
      </w:r>
      <w:r w:rsidRPr="00171F82">
        <w:rPr>
          <w:rFonts w:ascii="ITC Avant Garde" w:hAnsi="ITC Avant Garde" w:cs="Arial"/>
          <w:i/>
          <w:lang w:val="es-ES_tradnl"/>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171F82">
        <w:rPr>
          <w:rFonts w:ascii="ITC Avant Garde" w:hAnsi="ITC Avant Garde" w:cs="Arial"/>
          <w:lang w:val="es-ES_tradnl"/>
        </w:rPr>
        <w:t xml:space="preserve"> (en lo sucesivo, “Resolución AEP”).</w:t>
      </w:r>
    </w:p>
    <w:p w14:paraId="5EAEA1C9" w14:textId="77777777" w:rsidR="00B4737B" w:rsidRDefault="00B4737B" w:rsidP="004F36F7">
      <w:pPr>
        <w:pStyle w:val="NumeracinIFT"/>
        <w:spacing w:before="240"/>
        <w:ind w:left="1071" w:firstLine="0"/>
        <w:contextualSpacing w:val="0"/>
      </w:pPr>
      <w:r w:rsidRPr="00171F82">
        <w:t xml:space="preserve">La Resolución AEP contiene, entre otros, el Anexo 3 denominado </w:t>
      </w:r>
      <w:r w:rsidRPr="00171F82">
        <w:rPr>
          <w:i/>
        </w:rPr>
        <w:t xml:space="preserve">“MEDIDAS QUE PERMITEN LA DESAGREGACIÓN EFECTIVA DE LA RED LOCAL DEL AGENTE ECONÓMICO PREPONDERANTE EN TELECOMUNICACIONES DE MANERA QUE OTROS CONCESIONARIOS DE TELECOMUNICACIONES PUEDAN ACCEDER, ENTRE OTROS, A LOS MEDIOS FÍSICOS, TÉCNICOS Y LÓGICOS DE CONEXIÓN </w:t>
      </w:r>
      <w:r w:rsidRPr="00171F82">
        <w:rPr>
          <w:i/>
        </w:rPr>
        <w:lastRenderedPageBreak/>
        <w:t>ENTRE CUALQUIER PUNTO TERMINAL DE LA RED PÚBLICA DE TELECOMUNICACIONES Y EL PUNTO DE ACCESO A LA RED LOCAL PERTENECIENTE A DICHO AGENTE.”</w:t>
      </w:r>
      <w:r w:rsidRPr="00171F82">
        <w:t>, (en lo sucesivo, “Medidas de Desagregación”).</w:t>
      </w:r>
    </w:p>
    <w:p w14:paraId="14E569A8" w14:textId="77777777" w:rsidR="004F36F7" w:rsidRDefault="00C6008F" w:rsidP="004F36F7">
      <w:pPr>
        <w:numPr>
          <w:ilvl w:val="0"/>
          <w:numId w:val="2"/>
        </w:numPr>
        <w:spacing w:before="240"/>
        <w:jc w:val="both"/>
        <w:rPr>
          <w:rFonts w:ascii="ITC Avant Garde" w:eastAsia="Times New Roman" w:hAnsi="ITC Avant Garde"/>
        </w:rPr>
      </w:pPr>
      <w:r w:rsidRPr="00C6008F">
        <w:rPr>
          <w:rFonts w:ascii="ITC Avant Garde" w:hAnsi="ITC Avant Garde" w:cs="Calibri"/>
          <w:b/>
          <w:bCs/>
        </w:rPr>
        <w:t>Ley Federal de Telecomunicaciones y Radiodifusión.-</w:t>
      </w:r>
      <w:r w:rsidRPr="00C6008F">
        <w:rPr>
          <w:rFonts w:ascii="ITC Avant Garde" w:hAnsi="ITC Avant Garde" w:cs="Calibri"/>
          <w:bCs/>
        </w:rPr>
        <w:t xml:space="preserve"> </w:t>
      </w:r>
      <w:r w:rsidRPr="008256E5">
        <w:rPr>
          <w:rFonts w:ascii="ITC Avant Garde" w:eastAsia="Times New Roman" w:hAnsi="ITC Avant Garde"/>
        </w:rPr>
        <w:t xml:space="preserve">Con fecha 14 de julio de 2014 se publicó en </w:t>
      </w:r>
      <w:r w:rsidRPr="00C6008F">
        <w:rPr>
          <w:rFonts w:ascii="ITC Avant Garde" w:hAnsi="ITC Avant Garde" w:cs="Calibri"/>
          <w:bCs/>
        </w:rPr>
        <w:t xml:space="preserve">el </w:t>
      </w:r>
      <w:r w:rsidRPr="008256E5">
        <w:rPr>
          <w:rFonts w:ascii="ITC Avant Garde" w:eastAsia="Times New Roman" w:hAnsi="ITC Avant Garde"/>
        </w:rPr>
        <w:t xml:space="preserve">DOF el </w:t>
      </w:r>
      <w:r w:rsidRPr="00C6008F">
        <w:rPr>
          <w:rFonts w:ascii="ITC Avant Garde" w:hAnsi="ITC Avant Garde" w:cs="Calibri"/>
          <w:bCs/>
          <w:i/>
        </w:rPr>
        <w:t>“</w:t>
      </w:r>
      <w:r w:rsidRPr="008256E5">
        <w:rPr>
          <w:rFonts w:ascii="ITC Avant Garde" w:eastAsia="Times New Roman" w:hAnsi="ITC Avant Garde"/>
          <w:i/>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C6008F">
        <w:rPr>
          <w:rFonts w:ascii="ITC Avant Garde" w:hAnsi="ITC Avant Garde" w:cs="Calibri"/>
          <w:bCs/>
          <w:i/>
        </w:rPr>
        <w:t>”</w:t>
      </w:r>
      <w:r w:rsidRPr="008256E5">
        <w:rPr>
          <w:rFonts w:ascii="ITC Avant Garde" w:eastAsia="Times New Roman" w:hAnsi="ITC Avant Garde"/>
        </w:rPr>
        <w:t xml:space="preserve">, </w:t>
      </w:r>
      <w:r w:rsidRPr="00C6008F">
        <w:rPr>
          <w:rFonts w:ascii="ITC Avant Garde" w:hAnsi="ITC Avant Garde" w:cs="Calibri"/>
          <w:bCs/>
        </w:rPr>
        <w:t>entrando</w:t>
      </w:r>
      <w:r w:rsidRPr="008256E5">
        <w:rPr>
          <w:rFonts w:ascii="ITC Avant Garde" w:eastAsia="Times New Roman" w:hAnsi="ITC Avant Garde"/>
        </w:rPr>
        <w:t xml:space="preserve"> en vigor </w:t>
      </w:r>
      <w:r w:rsidRPr="00C6008F">
        <w:rPr>
          <w:rFonts w:ascii="ITC Avant Garde" w:hAnsi="ITC Avant Garde" w:cs="Calibri"/>
          <w:bCs/>
        </w:rPr>
        <w:t xml:space="preserve">la Ley Federal de Telecomunicaciones y Radiodifusión  </w:t>
      </w:r>
      <w:r w:rsidRPr="008256E5">
        <w:rPr>
          <w:rFonts w:ascii="ITC Avant Garde" w:eastAsia="Times New Roman" w:hAnsi="ITC Avant Garde"/>
        </w:rPr>
        <w:t xml:space="preserve">el 13 de agosto </w:t>
      </w:r>
      <w:r w:rsidRPr="00C6008F">
        <w:rPr>
          <w:rFonts w:ascii="ITC Avant Garde" w:hAnsi="ITC Avant Garde" w:cs="Calibri"/>
          <w:bCs/>
        </w:rPr>
        <w:t>del</w:t>
      </w:r>
      <w:r w:rsidRPr="008256E5">
        <w:rPr>
          <w:rFonts w:ascii="ITC Avant Garde" w:eastAsia="Times New Roman" w:hAnsi="ITC Avant Garde"/>
        </w:rPr>
        <w:t xml:space="preserve"> 2014, cuya última reforma fue publicada en el DOF el </w:t>
      </w:r>
      <w:r w:rsidRPr="00C6008F">
        <w:rPr>
          <w:rFonts w:ascii="ITC Avant Garde" w:hAnsi="ITC Avant Garde" w:cs="Calibri"/>
          <w:bCs/>
        </w:rPr>
        <w:t>31 de octubre</w:t>
      </w:r>
      <w:r w:rsidRPr="008256E5">
        <w:rPr>
          <w:rFonts w:ascii="ITC Avant Garde" w:eastAsia="Times New Roman" w:hAnsi="ITC Avant Garde"/>
        </w:rPr>
        <w:t xml:space="preserve"> de 2017</w:t>
      </w:r>
      <w:r w:rsidRPr="00C6008F">
        <w:rPr>
          <w:rFonts w:ascii="ITC Avant Garde" w:hAnsi="ITC Avant Garde" w:cs="Calibri"/>
          <w:bCs/>
        </w:rPr>
        <w:t>.</w:t>
      </w:r>
    </w:p>
    <w:p w14:paraId="3468422B" w14:textId="77777777" w:rsidR="004F36F7" w:rsidRDefault="00B4737B" w:rsidP="004F36F7">
      <w:pPr>
        <w:numPr>
          <w:ilvl w:val="0"/>
          <w:numId w:val="2"/>
        </w:numPr>
        <w:spacing w:before="240"/>
        <w:jc w:val="both"/>
        <w:rPr>
          <w:rFonts w:ascii="ITC Avant Garde" w:hAnsi="ITC Avant Garde" w:cs="Calibri"/>
          <w:bCs/>
        </w:rPr>
      </w:pPr>
      <w:r w:rsidRPr="008256E5">
        <w:rPr>
          <w:rStyle w:val="Textoennegrita"/>
          <w:rFonts w:ascii="ITC Avant Garde" w:hAnsi="ITC Avant Garde"/>
          <w:color w:val="000000"/>
        </w:rPr>
        <w:t>Estatuto Orgánico del Instituto Federal de Telecomunicaciones.-</w:t>
      </w:r>
      <w:r w:rsidR="000B4912">
        <w:rPr>
          <w:rStyle w:val="Textoennegrita"/>
          <w:rFonts w:ascii="ITC Avant Garde" w:hAnsi="ITC Avant Garde"/>
          <w:color w:val="000000"/>
        </w:rPr>
        <w:t xml:space="preserve"> </w:t>
      </w:r>
      <w:r w:rsidR="00C6008F" w:rsidRPr="00C6008F">
        <w:rPr>
          <w:rFonts w:ascii="ITC Avant Garde" w:hAnsi="ITC Avant Garde" w:cs="Calibri"/>
          <w:bCs/>
        </w:rPr>
        <w:t xml:space="preserve">El 4 de septiembre de 2014 se publicó en el DOF el </w:t>
      </w:r>
      <w:r w:rsidR="00C6008F" w:rsidRPr="00C6008F">
        <w:rPr>
          <w:rFonts w:ascii="ITC Avant Garde" w:hAnsi="ITC Avant Garde" w:cs="Calibri"/>
          <w:bCs/>
          <w:i/>
        </w:rPr>
        <w:t>“ESTATUTO Orgánico del Instituto Federal de Telecomunicaciones”</w:t>
      </w:r>
      <w:r w:rsidR="00C6008F" w:rsidRPr="00C6008F">
        <w:rPr>
          <w:rFonts w:ascii="ITC Avant Garde" w:hAnsi="ITC Avant Garde" w:cs="Calibri"/>
          <w:bCs/>
        </w:rPr>
        <w:t>, mismo que entró en vigor el 26 de septiembre de 2014, cuya última modificación fue publicada en el DOF 20 de julio de 2017.</w:t>
      </w:r>
    </w:p>
    <w:p w14:paraId="3537142E" w14:textId="40130309" w:rsidR="00C129B0" w:rsidRPr="0082072F" w:rsidRDefault="003B4D48" w:rsidP="004F36F7">
      <w:pPr>
        <w:pStyle w:val="IFTnormal"/>
        <w:numPr>
          <w:ilvl w:val="0"/>
          <w:numId w:val="2"/>
        </w:numPr>
        <w:spacing w:before="240"/>
        <w:ind w:left="1071" w:hanging="357"/>
        <w:rPr>
          <w:i/>
        </w:rPr>
      </w:pPr>
      <w:r w:rsidRPr="00AA5E9D">
        <w:rPr>
          <w:b/>
        </w:rPr>
        <w:t>Acuerdo de Requerimiento</w:t>
      </w:r>
      <w:r w:rsidR="0082072F">
        <w:rPr>
          <w:b/>
        </w:rPr>
        <w:t xml:space="preserve"> de </w:t>
      </w:r>
      <w:r w:rsidR="0082072F" w:rsidRPr="00171F82">
        <w:rPr>
          <w:b/>
        </w:rPr>
        <w:t>Teléfonos de México, S.A.B. de C.V.-</w:t>
      </w:r>
      <w:r w:rsidRPr="00171F82">
        <w:t xml:space="preserve"> Con fecha 6 de septiembre de 2016, el Pleno del Instituto en su </w:t>
      </w:r>
      <w:r w:rsidR="003119B8" w:rsidRPr="00171F82">
        <w:t xml:space="preserve">XXVIII Ordinaria mediante </w:t>
      </w:r>
      <w:r w:rsidR="007B4157" w:rsidRPr="00171F82">
        <w:t>Acuerdo P/IFT/060916/466</w:t>
      </w:r>
      <w:r w:rsidR="00E83229" w:rsidRPr="00171F82">
        <w:t>, emitió el</w:t>
      </w:r>
      <w:r w:rsidR="007E0B8B" w:rsidRPr="00171F82">
        <w:t xml:space="preserve"> </w:t>
      </w:r>
      <w:r w:rsidR="007E0B8B" w:rsidRPr="00AA5E9D">
        <w:rPr>
          <w:i/>
        </w:rPr>
        <w:t>“</w:t>
      </w:r>
      <w:r w:rsidR="006F2C13" w:rsidRPr="00AA5E9D">
        <w:rPr>
          <w:i/>
        </w:rPr>
        <w:t xml:space="preserve">ACUERDO MEDIANTE EL CUAL </w:t>
      </w:r>
      <w:r w:rsidR="007B4157" w:rsidRPr="00AA5E9D">
        <w:rPr>
          <w:i/>
        </w:rPr>
        <w:t xml:space="preserve">EL PLENO DEL INSTITUTO FEDERAL DE TELECOMUNICACIONES REQUIERE AL AGENTE ECONOMICO PREPONDERANTE EN EL SECTOR DE TELECOMUNICACIONES MODIFICAR LOS TÉRMINOS Y CONDICIONES </w:t>
      </w:r>
      <w:r w:rsidR="009D7B66" w:rsidRPr="00AA5E9D">
        <w:rPr>
          <w:i/>
        </w:rPr>
        <w:t>DE LA PROPUESTA DE OFERTA DE REFERENCIA DE DESAGREGACIÓN EFECTIVA DE LA RED LOCAL DEL AGENTE ECONÓMICO PREPONDERANTE PRESENTADA POR TELÉFONOS DE MÉXICO, S.A.B. DE C.V.”</w:t>
      </w:r>
      <w:r w:rsidR="002231D2" w:rsidRPr="00171F82">
        <w:t xml:space="preserve">. </w:t>
      </w:r>
    </w:p>
    <w:p w14:paraId="1D0E07CC" w14:textId="77777777" w:rsidR="0082072F" w:rsidRPr="0082072F" w:rsidRDefault="008774E4" w:rsidP="004F36F7">
      <w:pPr>
        <w:pStyle w:val="IFTnormal"/>
        <w:numPr>
          <w:ilvl w:val="0"/>
          <w:numId w:val="2"/>
        </w:numPr>
        <w:spacing w:before="240"/>
        <w:ind w:left="1071" w:hanging="357"/>
        <w:rPr>
          <w:i/>
        </w:rPr>
      </w:pPr>
      <w:r>
        <w:rPr>
          <w:b/>
        </w:rPr>
        <w:t>Acuerdo</w:t>
      </w:r>
      <w:r w:rsidR="009A5D82" w:rsidRPr="00171F82">
        <w:rPr>
          <w:b/>
        </w:rPr>
        <w:t xml:space="preserve"> </w:t>
      </w:r>
      <w:r w:rsidR="0082072F" w:rsidRPr="008256E5">
        <w:rPr>
          <w:b/>
        </w:rPr>
        <w:t xml:space="preserve">de </w:t>
      </w:r>
      <w:r w:rsidR="00175C7E">
        <w:rPr>
          <w:b/>
        </w:rPr>
        <w:t xml:space="preserve">Requerimiento de </w:t>
      </w:r>
      <w:r w:rsidR="0082072F" w:rsidRPr="008256E5">
        <w:rPr>
          <w:b/>
        </w:rPr>
        <w:t>Teléfonos de</w:t>
      </w:r>
      <w:r w:rsidR="0082072F">
        <w:rPr>
          <w:b/>
        </w:rPr>
        <w:t>l</w:t>
      </w:r>
      <w:r w:rsidR="0082072F" w:rsidRPr="008256E5">
        <w:rPr>
          <w:b/>
        </w:rPr>
        <w:t xml:space="preserve"> Noroeste, S.A. de C.V.-</w:t>
      </w:r>
      <w:r w:rsidR="0082072F" w:rsidRPr="00171F82">
        <w:t xml:space="preserve"> Con fecha 6 de septiembre de 2016, el Pleno del Instituto en su XXVIII Ordinaria mediante Acuerdo P/IFT/060916/46</w:t>
      </w:r>
      <w:r w:rsidR="0082072F">
        <w:t>7</w:t>
      </w:r>
      <w:r w:rsidR="0082072F" w:rsidRPr="00171F82">
        <w:t xml:space="preserve">, emitió el </w:t>
      </w:r>
      <w:r w:rsidR="0082072F" w:rsidRPr="0082072F">
        <w:rPr>
          <w:i/>
        </w:rPr>
        <w:t>“ACUERDO MEDIANTE EL CUAL EL PLENO DEL INSTITUTO FEDERAL DE TELECOMUNICACIONES REQUIERE AL AGENTE ECONOMICO PREPONDERANTE EN EL SECTOR DE TELECOMUNICACIONES MODIFICAR LOS TÉRMINOS Y CONDICIONES DE LA PROPUESTA DE OFERTA DE REFERENCIA DE DESAGREGACIÓN EFECTIVA DE LA RED LOCAL DEL AGENTE ECONÓMICO PREPONDERANTE PRESENTADA POR TELÉFONOS DEL NOROESTE, S.A. DE C.V.”</w:t>
      </w:r>
      <w:r w:rsidR="0082072F">
        <w:t>.</w:t>
      </w:r>
    </w:p>
    <w:p w14:paraId="3E4DE3D8" w14:textId="77777777" w:rsidR="00F97BD7" w:rsidRPr="00171F82" w:rsidRDefault="003119B8" w:rsidP="004F36F7">
      <w:pPr>
        <w:pStyle w:val="NumeracinIFT"/>
        <w:numPr>
          <w:ilvl w:val="0"/>
          <w:numId w:val="2"/>
        </w:numPr>
        <w:tabs>
          <w:tab w:val="left" w:pos="2127"/>
        </w:tabs>
        <w:spacing w:before="240"/>
        <w:ind w:left="993" w:hanging="284"/>
        <w:contextualSpacing w:val="0"/>
      </w:pPr>
      <w:r w:rsidRPr="00171F82">
        <w:rPr>
          <w:b/>
        </w:rPr>
        <w:lastRenderedPageBreak/>
        <w:t>Oferta de Referencia</w:t>
      </w:r>
      <w:r w:rsidR="00A66701" w:rsidRPr="00171F82">
        <w:rPr>
          <w:b/>
        </w:rPr>
        <w:t xml:space="preserve"> de Teléfonos de México, S.A.B. de C.V.</w:t>
      </w:r>
      <w:r w:rsidRPr="00171F82">
        <w:rPr>
          <w:b/>
        </w:rPr>
        <w:t>-</w:t>
      </w:r>
      <w:r w:rsidRPr="00171F82">
        <w:t xml:space="preserve"> </w:t>
      </w:r>
      <w:r w:rsidR="00E711DD" w:rsidRPr="00171F82">
        <w:t xml:space="preserve">Con fecha 24 de noviembre de 2016, </w:t>
      </w:r>
      <w:r w:rsidRPr="00171F82">
        <w:t xml:space="preserve">el Pleno del Instituto </w:t>
      </w:r>
      <w:r w:rsidR="00E711DD" w:rsidRPr="00171F82">
        <w:t xml:space="preserve">en su XX Sesión Extraordinaria aprobó mediante acuerdo P/IFT/EXT/241116/37 la </w:t>
      </w:r>
      <w:r w:rsidR="00E711DD" w:rsidRPr="00171F82">
        <w:rPr>
          <w:i/>
        </w:rPr>
        <w:t>“RESOLUCIÓN MEDIANTE LA CUAL EL PLENO DEL IN</w:t>
      </w:r>
      <w:r w:rsidR="003F5D0C" w:rsidRPr="00171F82">
        <w:rPr>
          <w:i/>
        </w:rPr>
        <w:t>STITUTO FEDERAL DE TELECOMUNICACIONES MODIFICA Y AUTORIZA AL AGENTE ECONÓMICO PREPONDERANTE LOS TÉRMINOS Y CONDICIONES DE LA OFERTA DE REFERENCIA DE DESAGREGACIÓN EFECTIVA DE LA RED LOCAL DEL AGENTE ECONÓMICO PREPONDERANTE PRESENTADA POR TELÉFONOS DE MÉXICO, S.A.B. DE C.V., APLICABLES DEL 1º DE ENERO DE 2017 AL 31 DE DICIEMBRE DE 2018</w:t>
      </w:r>
      <w:r w:rsidR="00E711DD" w:rsidRPr="00171F82">
        <w:rPr>
          <w:i/>
        </w:rPr>
        <w:t>.”</w:t>
      </w:r>
      <w:r w:rsidR="00E711DD" w:rsidRPr="00171F82">
        <w:t xml:space="preserve"> (en</w:t>
      </w:r>
      <w:r w:rsidR="00B855D3" w:rsidRPr="00171F82">
        <w:t xml:space="preserve"> lo sucesivo </w:t>
      </w:r>
      <w:r w:rsidR="00C52454" w:rsidRPr="00171F82">
        <w:t>“Resolución</w:t>
      </w:r>
      <w:r w:rsidR="00286239" w:rsidRPr="00171F82">
        <w:t xml:space="preserve"> de</w:t>
      </w:r>
      <w:r w:rsidR="00C52454" w:rsidRPr="00171F82">
        <w:t xml:space="preserve"> Desagregación</w:t>
      </w:r>
      <w:r w:rsidR="00934F4E" w:rsidRPr="00171F82">
        <w:t xml:space="preserve"> </w:t>
      </w:r>
      <w:r w:rsidR="008149B6" w:rsidRPr="00171F82">
        <w:t xml:space="preserve">TELMEX </w:t>
      </w:r>
      <w:r w:rsidR="00934F4E" w:rsidRPr="00171F82">
        <w:t>2017-2018</w:t>
      </w:r>
      <w:r w:rsidR="00B855D3" w:rsidRPr="00171F82">
        <w:t xml:space="preserve">”), </w:t>
      </w:r>
      <w:r w:rsidR="002111E4" w:rsidRPr="00171F82">
        <w:t>aplicable</w:t>
      </w:r>
      <w:r w:rsidR="00315E2F" w:rsidRPr="00171F82">
        <w:t xml:space="preserve"> </w:t>
      </w:r>
      <w:r w:rsidR="008149B6" w:rsidRPr="00171F82">
        <w:t xml:space="preserve">a </w:t>
      </w:r>
      <w:r w:rsidR="00315E2F" w:rsidRPr="00171F82">
        <w:t>Teléfonos de México, S.A.B. de C.V. (en lo sucesivo, “Telmex”)</w:t>
      </w:r>
      <w:r w:rsidR="002111E4" w:rsidRPr="00171F82">
        <w:t>.</w:t>
      </w:r>
      <w:r w:rsidR="00315E2F" w:rsidRPr="00171F82">
        <w:t xml:space="preserve"> </w:t>
      </w:r>
    </w:p>
    <w:p w14:paraId="4D2A9AED" w14:textId="77777777" w:rsidR="008256E5" w:rsidRDefault="00A66701" w:rsidP="004F36F7">
      <w:pPr>
        <w:pStyle w:val="NumeracinIFT"/>
        <w:numPr>
          <w:ilvl w:val="0"/>
          <w:numId w:val="2"/>
        </w:numPr>
        <w:tabs>
          <w:tab w:val="left" w:pos="2127"/>
        </w:tabs>
        <w:spacing w:before="240"/>
        <w:ind w:left="993" w:hanging="284"/>
        <w:contextualSpacing w:val="0"/>
      </w:pPr>
      <w:r w:rsidRPr="008256E5">
        <w:rPr>
          <w:b/>
        </w:rPr>
        <w:t>Oferta de Referencia de Teléfonos de</w:t>
      </w:r>
      <w:r w:rsidR="0082072F">
        <w:rPr>
          <w:b/>
        </w:rPr>
        <w:t>l</w:t>
      </w:r>
      <w:r w:rsidRPr="008256E5">
        <w:rPr>
          <w:b/>
        </w:rPr>
        <w:t xml:space="preserve"> Noroeste, S.A. de C.V.- </w:t>
      </w:r>
      <w:r w:rsidRPr="00171F82">
        <w:t>C</w:t>
      </w:r>
      <w:r w:rsidR="007B4850" w:rsidRPr="00171F82">
        <w:t xml:space="preserve">on fecha 24 de noviembre de 2016, </w:t>
      </w:r>
      <w:r w:rsidRPr="00171F82">
        <w:t xml:space="preserve">el Pleno del Instituto </w:t>
      </w:r>
      <w:r w:rsidR="007B4850" w:rsidRPr="00171F82">
        <w:t>en su XX Sesión Extraordinaria aprobó mediante acuerdo P/IFT/EXT/241116/3</w:t>
      </w:r>
      <w:r w:rsidR="00AB797E" w:rsidRPr="00171F82">
        <w:t>8</w:t>
      </w:r>
      <w:r w:rsidR="007B4850" w:rsidRPr="00171F82">
        <w:t xml:space="preserve"> la </w:t>
      </w:r>
      <w:r w:rsidR="007B4850" w:rsidRPr="008256E5">
        <w:rPr>
          <w:i/>
        </w:rPr>
        <w:t>“RESOLUCIÓN MEDIANTE LA CUAL EL PLENO DEL INSTITUTO FEDERAL DE TELECOMUNICACIONES MODIFICA Y AUTORIZA AL AGENTE ECONÓMICO PREPONDERANTE LOS TÉRMINOS Y CONDICIONES DE LA OFERTA DE REFERENCIA DE DESAGREGACIÓN EFECTIVA DE LA RED LOCAL DEL AGENTE ECONÓMICO PREPONDERANTE PRESENTADA POR TELÉFONOS DEL NOROESTE, S.A. DE C.V., APLICABLES DEL 1º DE ENERO DE 2017 AL 31 DE DICIEMBRE DE 2018.”</w:t>
      </w:r>
      <w:r w:rsidR="007B4850" w:rsidRPr="00171F82">
        <w:t xml:space="preserve"> (en lo sucesivo “Resolución </w:t>
      </w:r>
      <w:r w:rsidR="00286239" w:rsidRPr="00171F82">
        <w:t xml:space="preserve">de </w:t>
      </w:r>
      <w:r w:rsidR="007B4850" w:rsidRPr="00171F82">
        <w:t>Desagregación TELNOR</w:t>
      </w:r>
      <w:r w:rsidR="008149B6" w:rsidRPr="00171F82">
        <w:t xml:space="preserve"> 2017-2018</w:t>
      </w:r>
      <w:r w:rsidR="007B4850" w:rsidRPr="00171F82">
        <w:t xml:space="preserve">”), </w:t>
      </w:r>
      <w:r w:rsidR="002111E4" w:rsidRPr="00171F82">
        <w:t>aplicab</w:t>
      </w:r>
      <w:r w:rsidRPr="00171F82">
        <w:t>le</w:t>
      </w:r>
      <w:r w:rsidR="002111E4" w:rsidRPr="00171F82">
        <w:t xml:space="preserve"> </w:t>
      </w:r>
      <w:r w:rsidR="00AB797E" w:rsidRPr="00171F82">
        <w:t xml:space="preserve">a </w:t>
      </w:r>
      <w:r w:rsidR="007B4850" w:rsidRPr="00171F82">
        <w:t>Teléfonos del Noroeste, S.A. de C.V. (en lo sucesivo, “Telnor”)</w:t>
      </w:r>
      <w:r w:rsidR="002111E4" w:rsidRPr="00171F82">
        <w:t>.</w:t>
      </w:r>
      <w:r w:rsidR="007B4850" w:rsidRPr="00171F82">
        <w:t xml:space="preserve"> </w:t>
      </w:r>
    </w:p>
    <w:p w14:paraId="76865E8B" w14:textId="77777777" w:rsidR="00AA5E9D" w:rsidRDefault="00122B71" w:rsidP="004F36F7">
      <w:pPr>
        <w:pStyle w:val="NumeracinIFT"/>
        <w:numPr>
          <w:ilvl w:val="0"/>
          <w:numId w:val="2"/>
        </w:numPr>
        <w:tabs>
          <w:tab w:val="left" w:pos="2127"/>
        </w:tabs>
        <w:spacing w:before="240"/>
        <w:ind w:left="993" w:hanging="284"/>
        <w:contextualSpacing w:val="0"/>
      </w:pPr>
      <w:r w:rsidRPr="008256E5">
        <w:rPr>
          <w:b/>
        </w:rPr>
        <w:t xml:space="preserve">Resolución </w:t>
      </w:r>
      <w:r w:rsidR="0082072F">
        <w:rPr>
          <w:b/>
        </w:rPr>
        <w:t xml:space="preserve">del </w:t>
      </w:r>
      <w:r w:rsidR="0082072F" w:rsidRPr="0082072F">
        <w:rPr>
          <w:b/>
          <w:lang w:val="es-ES"/>
        </w:rPr>
        <w:t>Servicio de Reventa Mayorista de Línea Telefónica</w:t>
      </w:r>
      <w:r w:rsidRPr="008256E5">
        <w:t>.- C</w:t>
      </w:r>
      <w:r w:rsidR="00232774" w:rsidRPr="008256E5">
        <w:t>on fecha 8 de noviembre de 2017</w:t>
      </w:r>
      <w:r w:rsidRPr="008256E5">
        <w:t xml:space="preserve">, el Pleno del Instituto </w:t>
      </w:r>
      <w:r w:rsidR="00232774" w:rsidRPr="008256E5">
        <w:t>en su XLV Sesión Or</w:t>
      </w:r>
      <w:r w:rsidR="00AA5E9D" w:rsidRPr="008256E5">
        <w:t>di</w:t>
      </w:r>
      <w:r w:rsidR="00232774" w:rsidRPr="008256E5">
        <w:t>naria</w:t>
      </w:r>
      <w:r w:rsidRPr="008256E5">
        <w:t xml:space="preserve"> ap</w:t>
      </w:r>
      <w:r w:rsidR="00232774" w:rsidRPr="008256E5">
        <w:t>robó mediante acuerdo P/IFT/081117/683</w:t>
      </w:r>
      <w:r w:rsidR="00AA5E9D" w:rsidRPr="008256E5">
        <w:t xml:space="preserve"> la</w:t>
      </w:r>
      <w:r w:rsidRPr="008256E5">
        <w:rPr>
          <w:i/>
        </w:rPr>
        <w:t>“</w:t>
      </w:r>
      <w:r w:rsidR="00AA5E9D" w:rsidRPr="008256E5">
        <w:rPr>
          <w:i/>
          <w:lang w:val="es-ES"/>
        </w:rPr>
        <w:t>RESOLUCIÓN MEDIANTE LA CUAL EL PLENO DEL INSTITUTO FEDERAL DE TELECOMUNICACIONES FORMALIZA Y RESUELVE EN DEFINITIVA EL SERVICIO DE REVENTA MAYORISTA DE LÍNEA TELEFÓNICA DE LA OFERTA DE REFERENCIA DE LA DESAGREGACIÓN EFECTIVA DE LA RED LOCAL DEL AGENTE ECONÓMICO PREPONDERANTE</w:t>
      </w:r>
      <w:r w:rsidR="00AA5E9D" w:rsidRPr="008256E5">
        <w:rPr>
          <w:lang w:val="es-ES"/>
        </w:rPr>
        <w:t>”</w:t>
      </w:r>
      <w:r w:rsidR="00AA5E9D" w:rsidRPr="008256E5">
        <w:t xml:space="preserve"> (en lo sucesivo</w:t>
      </w:r>
      <w:r w:rsidR="002264DB">
        <w:t>,</w:t>
      </w:r>
      <w:r w:rsidR="00AA5E9D" w:rsidRPr="008256E5">
        <w:t xml:space="preserve"> “Resolución </w:t>
      </w:r>
      <w:r w:rsidR="000B4912">
        <w:t>SRMLT</w:t>
      </w:r>
      <w:r w:rsidR="00AA5E9D" w:rsidRPr="008256E5">
        <w:t>”).</w:t>
      </w:r>
    </w:p>
    <w:p w14:paraId="1BE602A5" w14:textId="77777777" w:rsidR="00A22B49" w:rsidRDefault="00A22B49" w:rsidP="004F36F7">
      <w:pPr>
        <w:pStyle w:val="NumeracinIFT"/>
        <w:numPr>
          <w:ilvl w:val="0"/>
          <w:numId w:val="2"/>
        </w:numPr>
        <w:tabs>
          <w:tab w:val="left" w:pos="2127"/>
        </w:tabs>
        <w:spacing w:before="240"/>
        <w:contextualSpacing w:val="0"/>
      </w:pPr>
      <w:r>
        <w:rPr>
          <w:b/>
        </w:rPr>
        <w:t xml:space="preserve">Propuesta Tarifaria </w:t>
      </w:r>
      <w:r w:rsidR="0082072F">
        <w:rPr>
          <w:b/>
        </w:rPr>
        <w:t xml:space="preserve">del </w:t>
      </w:r>
      <w:r w:rsidR="0082072F" w:rsidRPr="0082072F">
        <w:rPr>
          <w:b/>
        </w:rPr>
        <w:t xml:space="preserve">Servicio de Reventa </w:t>
      </w:r>
      <w:r w:rsidR="009930BD" w:rsidRPr="0082072F">
        <w:rPr>
          <w:b/>
        </w:rPr>
        <w:t xml:space="preserve">Mayorista </w:t>
      </w:r>
      <w:r w:rsidR="0082072F" w:rsidRPr="0082072F">
        <w:rPr>
          <w:b/>
        </w:rPr>
        <w:t>de Línea Telefónica</w:t>
      </w:r>
      <w:r w:rsidRPr="00A22B49">
        <w:t>.</w:t>
      </w:r>
      <w:r>
        <w:t xml:space="preserve">- Con fecha 20 de </w:t>
      </w:r>
      <w:r w:rsidR="00A8740C">
        <w:t>diciembre</w:t>
      </w:r>
      <w:r>
        <w:t xml:space="preserve"> de 2017</w:t>
      </w:r>
      <w:r w:rsidR="005D4AE2">
        <w:t xml:space="preserve"> Telmex y Telnor presentaron ante</w:t>
      </w:r>
      <w:r w:rsidR="004D3A96">
        <w:t xml:space="preserve"> la</w:t>
      </w:r>
      <w:r w:rsidR="005D4AE2">
        <w:t xml:space="preserve"> Oficialía de Partes de este Instituto </w:t>
      </w:r>
      <w:r w:rsidR="004D3A96">
        <w:t xml:space="preserve">escrito </w:t>
      </w:r>
      <w:r w:rsidR="005D4AE2">
        <w:t xml:space="preserve">mediante el cual </w:t>
      </w:r>
      <w:r w:rsidR="004D3A96">
        <w:t>entregaron</w:t>
      </w:r>
      <w:r w:rsidR="005D4AE2">
        <w:t xml:space="preserve"> la propuesta tarifaria para el Servicio </w:t>
      </w:r>
      <w:r w:rsidR="005B5071">
        <w:t xml:space="preserve">de Reventa </w:t>
      </w:r>
      <w:r w:rsidR="005D4AE2">
        <w:t>Mayorista de Línea Telefónica</w:t>
      </w:r>
      <w:r w:rsidR="00FF2B25">
        <w:t xml:space="preserve">, </w:t>
      </w:r>
      <w:r w:rsidR="00FF2B25" w:rsidRPr="00AA0DF1">
        <w:rPr>
          <w:rStyle w:val="IFTnormalCar"/>
        </w:rPr>
        <w:t>(en lo sucesivo</w:t>
      </w:r>
      <w:r w:rsidR="00392792">
        <w:rPr>
          <w:rStyle w:val="IFTnormalCar"/>
        </w:rPr>
        <w:t>,</w:t>
      </w:r>
      <w:r w:rsidR="00FF2B25" w:rsidRPr="00AA0DF1">
        <w:rPr>
          <w:rStyle w:val="IFTnormalCar"/>
        </w:rPr>
        <w:t xml:space="preserve"> “Propuesta de tarifas del AEP”)</w:t>
      </w:r>
      <w:r w:rsidR="005D4AE2">
        <w:t>.</w:t>
      </w:r>
    </w:p>
    <w:p w14:paraId="62002910" w14:textId="77777777" w:rsidR="00A22B49" w:rsidRDefault="008D2D9B" w:rsidP="004F36F7">
      <w:pPr>
        <w:pStyle w:val="NumeracinIFT"/>
        <w:numPr>
          <w:ilvl w:val="0"/>
          <w:numId w:val="2"/>
        </w:numPr>
        <w:tabs>
          <w:tab w:val="left" w:pos="2127"/>
        </w:tabs>
        <w:spacing w:before="240"/>
        <w:contextualSpacing w:val="0"/>
      </w:pPr>
      <w:r>
        <w:rPr>
          <w:b/>
        </w:rPr>
        <w:lastRenderedPageBreak/>
        <w:t>Requerimiento</w:t>
      </w:r>
      <w:r w:rsidR="008256E5">
        <w:rPr>
          <w:b/>
        </w:rPr>
        <w:t xml:space="preserve"> de información tarifas S</w:t>
      </w:r>
      <w:r w:rsidR="005B5071">
        <w:rPr>
          <w:b/>
        </w:rPr>
        <w:t xml:space="preserve">ervicio de Reventa </w:t>
      </w:r>
      <w:r w:rsidR="009930BD">
        <w:rPr>
          <w:b/>
        </w:rPr>
        <w:t xml:space="preserve">Mayorista </w:t>
      </w:r>
      <w:r w:rsidR="005B5071">
        <w:rPr>
          <w:b/>
        </w:rPr>
        <w:t>de Línea Telefónica</w:t>
      </w:r>
      <w:r w:rsidR="008256E5" w:rsidRPr="008256E5">
        <w:t>.</w:t>
      </w:r>
      <w:r w:rsidR="004D3A96">
        <w:t xml:space="preserve">- Mediante oficio </w:t>
      </w:r>
      <w:r w:rsidR="004D3A96" w:rsidRPr="004D3A96">
        <w:t>IFT/221/UPR/DG-CIN/005/2018</w:t>
      </w:r>
      <w:r w:rsidR="004D3A96">
        <w:t xml:space="preserve"> de fecha </w:t>
      </w:r>
      <w:r w:rsidR="00A22B49">
        <w:t>1</w:t>
      </w:r>
      <w:r w:rsidR="004D3A96">
        <w:t>6</w:t>
      </w:r>
      <w:r w:rsidR="00A22B49">
        <w:t xml:space="preserve"> de enero de 2018</w:t>
      </w:r>
      <w:r w:rsidR="004D3A96">
        <w:t>,</w:t>
      </w:r>
      <w:r w:rsidR="00A22B49">
        <w:t xml:space="preserve"> </w:t>
      </w:r>
      <w:r w:rsidR="00BF06A9">
        <w:t>este Instituto</w:t>
      </w:r>
      <w:r w:rsidR="00A22B49">
        <w:t xml:space="preserve"> </w:t>
      </w:r>
      <w:r w:rsidR="004D3A96">
        <w:t xml:space="preserve">requirió a Telmex y a Telnor </w:t>
      </w:r>
      <w:r w:rsidR="00BF06A9">
        <w:t>para que en el término de diez días hábiles contados a partir del día siguiente a aquél en que surtiera efectos la notificación de</w:t>
      </w:r>
      <w:r w:rsidR="004D3A96">
        <w:t xml:space="preserve"> dicho oficio, </w:t>
      </w:r>
      <w:r w:rsidR="00BF06A9">
        <w:t>proporcionara la información solicitada dentro de los archivos electrónicos contenidos dentro del disco compacto que acompañ</w:t>
      </w:r>
      <w:r w:rsidR="004D3A96">
        <w:t>ó</w:t>
      </w:r>
      <w:r w:rsidR="00BF06A9">
        <w:t xml:space="preserve"> el requerimiento</w:t>
      </w:r>
      <w:r w:rsidR="004D3A96">
        <w:t xml:space="preserve"> (en lo sucesivo, “Requerimiento de tarifas”)</w:t>
      </w:r>
      <w:r w:rsidR="00BF06A9">
        <w:t>.</w:t>
      </w:r>
    </w:p>
    <w:p w14:paraId="3B3442B3" w14:textId="77777777" w:rsidR="00B81A7E" w:rsidRDefault="00BF06A9" w:rsidP="004F36F7">
      <w:pPr>
        <w:pStyle w:val="NumeracinIFT"/>
        <w:tabs>
          <w:tab w:val="left" w:pos="2127"/>
        </w:tabs>
        <w:spacing w:before="240"/>
        <w:ind w:left="1077" w:firstLine="0"/>
        <w:contextualSpacing w:val="0"/>
      </w:pPr>
      <w:r>
        <w:t>Con fecha 31 de enero de 2018 Telmex y Telnor</w:t>
      </w:r>
      <w:r w:rsidR="004D3A96">
        <w:t xml:space="preserve"> mediante escrito presentado ante la </w:t>
      </w:r>
      <w:r>
        <w:t>Oficialía de Partes de este Instituto</w:t>
      </w:r>
      <w:r w:rsidR="004D3A96">
        <w:t xml:space="preserve">, solicitaron </w:t>
      </w:r>
      <w:r w:rsidR="00B81A7E">
        <w:t xml:space="preserve">una ampliación al plazo concedido dentro del </w:t>
      </w:r>
      <w:r w:rsidR="004D3A96">
        <w:t>R</w:t>
      </w:r>
      <w:r w:rsidR="00B81A7E">
        <w:t>equerimiento de tarifas.</w:t>
      </w:r>
      <w:r w:rsidR="004D3A96">
        <w:t xml:space="preserve"> Mediante oficio </w:t>
      </w:r>
      <w:r w:rsidR="004D3A96" w:rsidRPr="004D3A96">
        <w:t>IFT/221/UPR/DG-CIN/011/2018</w:t>
      </w:r>
      <w:r w:rsidR="007C58AD">
        <w:t xml:space="preserve"> de fecha 1 de febrero de 2018, </w:t>
      </w:r>
      <w:r w:rsidR="00B81A7E">
        <w:t xml:space="preserve">este Instituto </w:t>
      </w:r>
      <w:r w:rsidR="007C58AD">
        <w:t>concedió</w:t>
      </w:r>
      <w:r w:rsidR="00B81A7E">
        <w:t xml:space="preserve"> a Telmex y Telnor una ampliación de cinco días hábiles </w:t>
      </w:r>
      <w:r w:rsidR="00DF12D2">
        <w:t xml:space="preserve">al plazo </w:t>
      </w:r>
      <w:r w:rsidR="005C6DA4">
        <w:t>originalmente</w:t>
      </w:r>
      <w:r w:rsidR="00DF12D2">
        <w:t xml:space="preserve"> establecido en el </w:t>
      </w:r>
      <w:r w:rsidR="007C58AD">
        <w:t>R</w:t>
      </w:r>
      <w:r w:rsidR="00DF12D2">
        <w:t>equerimiento de tarifas.</w:t>
      </w:r>
    </w:p>
    <w:p w14:paraId="5EEF987B" w14:textId="77777777" w:rsidR="00122B71" w:rsidRPr="00DA0EDD" w:rsidRDefault="00DF12D2" w:rsidP="004F36F7">
      <w:pPr>
        <w:pStyle w:val="NumeracinIFT"/>
        <w:numPr>
          <w:ilvl w:val="0"/>
          <w:numId w:val="2"/>
        </w:numPr>
        <w:tabs>
          <w:tab w:val="left" w:pos="2127"/>
        </w:tabs>
        <w:spacing w:before="240"/>
        <w:ind w:left="993" w:hanging="284"/>
        <w:contextualSpacing w:val="0"/>
        <w:rPr>
          <w:b/>
        </w:rPr>
      </w:pPr>
      <w:r w:rsidRPr="00DF12D2">
        <w:rPr>
          <w:b/>
        </w:rPr>
        <w:t>Propuesta Final de Tarifas del S</w:t>
      </w:r>
      <w:r w:rsidR="005B5071">
        <w:rPr>
          <w:b/>
        </w:rPr>
        <w:t>ervicio de Reventa Mayorista de Línea Telefónica</w:t>
      </w:r>
      <w:r w:rsidRPr="00DF12D2">
        <w:rPr>
          <w:b/>
        </w:rPr>
        <w:t>.-</w:t>
      </w:r>
      <w:r w:rsidR="007C58AD">
        <w:rPr>
          <w:b/>
        </w:rPr>
        <w:t xml:space="preserve"> </w:t>
      </w:r>
      <w:r w:rsidR="007C58AD" w:rsidRPr="007C58AD">
        <w:t xml:space="preserve">Mediante escrito presentado ante la Oficialía de Partes de este Instituto el </w:t>
      </w:r>
      <w:r w:rsidR="00DA0EDD" w:rsidRPr="007C58AD">
        <w:t>12 de fe</w:t>
      </w:r>
      <w:r w:rsidR="00DA0EDD">
        <w:t>brero de 2018</w:t>
      </w:r>
      <w:r w:rsidR="00392792">
        <w:t>,</w:t>
      </w:r>
      <w:r w:rsidR="00DA0EDD">
        <w:t xml:space="preserve"> Telmex y </w:t>
      </w:r>
      <w:r w:rsidR="007C58AD">
        <w:t>Telnor presentaron su respuesta al Requerimiento de tarifas</w:t>
      </w:r>
      <w:r w:rsidR="00302FA6">
        <w:t xml:space="preserve"> (en lo sucesivo, “Respuesta al Requerimiento de tarifas”)</w:t>
      </w:r>
      <w:r w:rsidR="00DA0EDD">
        <w:t>.</w:t>
      </w:r>
    </w:p>
    <w:p w14:paraId="28B97D27" w14:textId="77777777" w:rsidR="001915A1" w:rsidRPr="00171F82" w:rsidRDefault="001915A1" w:rsidP="004F36F7">
      <w:pPr>
        <w:spacing w:before="240"/>
        <w:jc w:val="both"/>
        <w:rPr>
          <w:rFonts w:ascii="ITC Avant Garde" w:hAnsi="ITC Avant Garde"/>
        </w:rPr>
      </w:pPr>
      <w:r w:rsidRPr="008E7DF2">
        <w:rPr>
          <w:rFonts w:ascii="ITC Avant Garde" w:hAnsi="ITC Avant Garde"/>
        </w:rPr>
        <w:t>Para efectos de la presente Resolución se le denominará de manera integral “Resolución de Desagregación</w:t>
      </w:r>
      <w:r w:rsidR="00286239" w:rsidRPr="008E7DF2">
        <w:rPr>
          <w:rFonts w:ascii="ITC Avant Garde" w:hAnsi="ITC Avant Garde"/>
        </w:rPr>
        <w:t xml:space="preserve"> 2017-2018</w:t>
      </w:r>
      <w:r w:rsidRPr="008E7DF2">
        <w:rPr>
          <w:rFonts w:ascii="ITC Avant Garde" w:hAnsi="ITC Avant Garde"/>
        </w:rPr>
        <w:t xml:space="preserve">” a las emitidas como </w:t>
      </w:r>
      <w:r w:rsidRPr="008E7DF2">
        <w:rPr>
          <w:rStyle w:val="IFTnormalCar"/>
        </w:rPr>
        <w:t xml:space="preserve">Resolución </w:t>
      </w:r>
      <w:r w:rsidR="00286239" w:rsidRPr="008E7DF2">
        <w:rPr>
          <w:rStyle w:val="IFTnormalCar"/>
        </w:rPr>
        <w:t xml:space="preserve">de </w:t>
      </w:r>
      <w:r w:rsidRPr="008E7DF2">
        <w:rPr>
          <w:rStyle w:val="IFTnormalCar"/>
        </w:rPr>
        <w:t>Desagregación TELMEX 2017-2018</w:t>
      </w:r>
      <w:r w:rsidRPr="008E7DF2">
        <w:rPr>
          <w:rFonts w:ascii="ITC Avant Garde" w:hAnsi="ITC Avant Garde"/>
        </w:rPr>
        <w:t>, así como a la</w:t>
      </w:r>
      <w:r w:rsidRPr="008E7DF2">
        <w:t xml:space="preserve"> </w:t>
      </w:r>
      <w:r w:rsidRPr="008E7DF2">
        <w:rPr>
          <w:rFonts w:ascii="ITC Avant Garde" w:hAnsi="ITC Avant Garde"/>
        </w:rPr>
        <w:t xml:space="preserve">Resolución </w:t>
      </w:r>
      <w:r w:rsidR="00286239" w:rsidRPr="008E7DF2">
        <w:rPr>
          <w:rFonts w:ascii="ITC Avant Garde" w:hAnsi="ITC Avant Garde"/>
        </w:rPr>
        <w:t xml:space="preserve">de </w:t>
      </w:r>
      <w:r w:rsidRPr="008E7DF2">
        <w:rPr>
          <w:rFonts w:ascii="ITC Avant Garde" w:hAnsi="ITC Avant Garde"/>
        </w:rPr>
        <w:t>Desagregación TELNOR 2017-2018.</w:t>
      </w:r>
    </w:p>
    <w:p w14:paraId="28299073" w14:textId="77777777" w:rsidR="004F36F7" w:rsidRDefault="007E0B8B" w:rsidP="004F36F7">
      <w:pPr>
        <w:pStyle w:val="IFTnormal"/>
        <w:spacing w:before="240"/>
      </w:pPr>
      <w:r w:rsidRPr="00171F82">
        <w:t>En virtud de los citados Antecedentes, y</w:t>
      </w:r>
    </w:p>
    <w:p w14:paraId="7370B955" w14:textId="77777777" w:rsidR="004F36F7" w:rsidRDefault="007E0B8B" w:rsidP="004F36F7">
      <w:pPr>
        <w:pStyle w:val="Ttulo2"/>
        <w:spacing w:before="240"/>
      </w:pPr>
      <w:bookmarkStart w:id="4" w:name="_Toc415216816"/>
      <w:bookmarkStart w:id="5" w:name="_Toc415228917"/>
      <w:bookmarkStart w:id="6" w:name="_Toc415232220"/>
      <w:r w:rsidRPr="00171F82">
        <w:t>CONSIDERANDO</w:t>
      </w:r>
      <w:bookmarkEnd w:id="4"/>
      <w:bookmarkEnd w:id="5"/>
      <w:bookmarkEnd w:id="6"/>
    </w:p>
    <w:p w14:paraId="266BB9F3" w14:textId="77777777" w:rsidR="004F36F7" w:rsidRDefault="007E0B8B" w:rsidP="004F36F7">
      <w:pPr>
        <w:spacing w:before="240"/>
        <w:jc w:val="both"/>
        <w:rPr>
          <w:rFonts w:ascii="ITC Avant Garde" w:hAnsi="ITC Avant Garde"/>
        </w:rPr>
      </w:pPr>
      <w:r w:rsidRPr="000F43C6">
        <w:rPr>
          <w:rFonts w:ascii="ITC Avant Garde" w:hAnsi="ITC Avant Garde"/>
          <w:b/>
        </w:rPr>
        <w:t>PRIMERO. Competencia del Instituto.</w:t>
      </w:r>
      <w:r w:rsidRPr="000F43C6">
        <w:rPr>
          <w:rFonts w:ascii="ITC Avant Garde" w:hAnsi="ITC Avant Garde"/>
        </w:rPr>
        <w:t xml:space="preserve"> De conformidad con el </w:t>
      </w:r>
      <w:r w:rsidR="00525F5E" w:rsidRPr="000F43C6">
        <w:rPr>
          <w:rFonts w:ascii="ITC Avant Garde" w:hAnsi="ITC Avant Garde"/>
        </w:rPr>
        <w:t>a</w:t>
      </w:r>
      <w:r w:rsidR="00994B2F" w:rsidRPr="000F43C6">
        <w:rPr>
          <w:rFonts w:ascii="ITC Avant Garde" w:hAnsi="ITC Avant Garde"/>
        </w:rPr>
        <w:t>rtículo</w:t>
      </w:r>
      <w:r w:rsidRPr="000F43C6">
        <w:rPr>
          <w:rFonts w:ascii="ITC Avant Garde" w:hAnsi="ITC Avant Garde"/>
        </w:rPr>
        <w:t xml:space="preserve"> 28 de la Constitución, párrafos </w:t>
      </w:r>
      <w:r w:rsidR="00B45AD9" w:rsidRPr="000F43C6">
        <w:rPr>
          <w:rFonts w:ascii="ITC Avant Garde" w:hAnsi="ITC Avant Garde"/>
        </w:rPr>
        <w:t xml:space="preserve">DÉCIMO QUINTO </w:t>
      </w:r>
      <w:r w:rsidR="004018A7" w:rsidRPr="000F43C6">
        <w:rPr>
          <w:rFonts w:ascii="ITC Avant Garde" w:hAnsi="ITC Avant Garde"/>
        </w:rPr>
        <w:t>y</w:t>
      </w:r>
      <w:r w:rsidR="00B45AD9" w:rsidRPr="000F43C6">
        <w:rPr>
          <w:rFonts w:ascii="ITC Avant Garde" w:hAnsi="ITC Avant Garde"/>
        </w:rPr>
        <w:t xml:space="preserve"> DÉCIMO SEXTO</w:t>
      </w:r>
      <w:r w:rsidRPr="000F43C6">
        <w:rPr>
          <w:rFonts w:ascii="ITC Avant Garde" w:hAnsi="ITC Avant Garde"/>
        </w:rPr>
        <w:t>, el Instituto es un órgano autónomo, con personalidad jurídica y patrimonio propio, que tiene por objeto el desarrollo eficiente de la radiodifusión y las telecomunicaciones, conforme a lo dispuesto en la propia Constitución y en los términos que fijen la</w:t>
      </w:r>
      <w:r w:rsidR="000F43C6" w:rsidRPr="000F43C6">
        <w:rPr>
          <w:rFonts w:ascii="ITC Avant Garde" w:hAnsi="ITC Avant Garde"/>
        </w:rPr>
        <w:t>s leyes.</w:t>
      </w:r>
    </w:p>
    <w:p w14:paraId="02CE4161" w14:textId="77777777" w:rsidR="004F36F7" w:rsidRDefault="007E0B8B" w:rsidP="004F36F7">
      <w:pPr>
        <w:pStyle w:val="IFTnormal"/>
        <w:spacing w:before="240"/>
      </w:pPr>
      <w:r w:rsidRPr="00171F82">
        <w:t xml:space="preserve">Para tal efecto,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w:t>
      </w:r>
      <w:r w:rsidR="00525F5E" w:rsidRPr="00171F82">
        <w:t>a</w:t>
      </w:r>
      <w:r w:rsidR="00994B2F" w:rsidRPr="00171F82">
        <w:t>rtículo</w:t>
      </w:r>
      <w:r w:rsidRPr="00171F82">
        <w:t xml:space="preserve">s 6o. y 7o. de la Constitución. </w:t>
      </w:r>
    </w:p>
    <w:p w14:paraId="770FACDB" w14:textId="0DC96903" w:rsidR="007E0B8B" w:rsidRPr="00171F82" w:rsidRDefault="007E0B8B" w:rsidP="004F36F7">
      <w:pPr>
        <w:pStyle w:val="IFTnormal"/>
        <w:spacing w:before="240"/>
      </w:pPr>
      <w:r w:rsidRPr="00171F82">
        <w:lastRenderedPageBreak/>
        <w:t>Este Instituto, es también autoridad en materia de competencia económica de los sectores de radiodifusión y telecomunicaciones, por lo que en éstos ejerce en forma exclusiva las facultades</w:t>
      </w:r>
      <w:r w:rsidR="00525F5E" w:rsidRPr="00171F82">
        <w:t>,</w:t>
      </w:r>
      <w:r w:rsidRPr="00171F82">
        <w:t xml:space="preserve"> que el </w:t>
      </w:r>
      <w:r w:rsidR="00525F5E" w:rsidRPr="00171F82">
        <w:t>a</w:t>
      </w:r>
      <w:r w:rsidR="00994B2F" w:rsidRPr="00171F82">
        <w:t>rtículo</w:t>
      </w:r>
      <w:r w:rsidRPr="00171F82">
        <w:t xml:space="preserve"> 28 de la Constitución y las leyes establecen para la Comisión Federal de Competencia Económica</w:t>
      </w:r>
      <w:r w:rsidR="008204C7" w:rsidRPr="00171F82">
        <w:t>,</w:t>
      </w:r>
      <w:r w:rsidRPr="00171F82">
        <w:t xml:space="preserve"> y </w:t>
      </w:r>
      <w:r w:rsidR="00271A06" w:rsidRPr="00171F82">
        <w:t>regula</w:t>
      </w:r>
      <w:r w:rsidRPr="00171F82">
        <w:t xml:space="preserve"> de forma asimétrica a los participantes en estos mercados con el objeto de eliminar eficazmente las barreras a la competencia y la libre concurrencia; </w:t>
      </w:r>
      <w:r w:rsidR="00271A06" w:rsidRPr="00171F82">
        <w:t>impone</w:t>
      </w:r>
      <w:r w:rsidRPr="00171F82">
        <w:t xml:space="preserve"> límites a la concentración nacional y regional de frecuencias, al concesionamiento y a la propiedad cruzada que controle varios medios de comunicación que sean concesionarios de radiodifusión y telecomunicaciones que sirvan a un mismo mercado o </w:t>
      </w:r>
      <w:r w:rsidR="00637F48" w:rsidRPr="00171F82">
        <w:t>z</w:t>
      </w:r>
      <w:r w:rsidR="00755FF5" w:rsidRPr="00171F82">
        <w:t>ona de cobertura</w:t>
      </w:r>
      <w:r w:rsidRPr="00171F82">
        <w:t xml:space="preserve"> geográfica, y </w:t>
      </w:r>
      <w:r w:rsidR="00271A06" w:rsidRPr="00171F82">
        <w:t>ordena</w:t>
      </w:r>
      <w:r w:rsidRPr="00171F82">
        <w:t xml:space="preserve"> la desincorporación de activos, derechos o partes necesarias para asegurar el cumplimiento de estos límites, garantizando lo dispuesto en los </w:t>
      </w:r>
      <w:r w:rsidR="004D739A" w:rsidRPr="00171F82">
        <w:t>Artículo</w:t>
      </w:r>
      <w:r w:rsidRPr="00171F82">
        <w:t xml:space="preserve">s 6o. y 7o. de </w:t>
      </w:r>
      <w:r w:rsidR="00271A06" w:rsidRPr="00171F82">
        <w:t>la</w:t>
      </w:r>
      <w:r w:rsidRPr="00171F82">
        <w:t xml:space="preserve"> Constitución.</w:t>
      </w:r>
    </w:p>
    <w:p w14:paraId="2F6743CC" w14:textId="77777777" w:rsidR="003B06B1" w:rsidRDefault="00CB18EE" w:rsidP="004F36F7">
      <w:pPr>
        <w:pStyle w:val="IFTnormal"/>
        <w:spacing w:before="240"/>
      </w:pPr>
      <w:r w:rsidRPr="00171F82">
        <w:t xml:space="preserve">En </w:t>
      </w:r>
      <w:r w:rsidR="008204C7" w:rsidRPr="00171F82">
        <w:t xml:space="preserve">atención </w:t>
      </w:r>
      <w:r w:rsidRPr="00171F82">
        <w:t xml:space="preserve">a lo establecido en el Decreto, particularmente las fracciones III y IV del </w:t>
      </w:r>
      <w:r w:rsidR="00994B2F" w:rsidRPr="00171F82">
        <w:t>Artículo</w:t>
      </w:r>
      <w:r w:rsidRPr="00171F82">
        <w:t xml:space="preserve"> </w:t>
      </w:r>
      <w:r w:rsidR="008204C7" w:rsidRPr="00171F82">
        <w:t xml:space="preserve">OCTAVO </w:t>
      </w:r>
      <w:r w:rsidRPr="00171F82">
        <w:t xml:space="preserve">Transitorio </w:t>
      </w:r>
      <w:r w:rsidR="00571598" w:rsidRPr="00171F82">
        <w:t>en donde se establece que Instituto deberá determinar la existencia de agentes económicos preponderantes en los sectores de radiodifusión y de telecomunicaciones, e impondrá las medidas necesarias para evitar que se afecte la competencia y la libre concurrencia y, con ello, a los usuarios finales. Dichas medidas incluirán en lo aplicable, las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r w:rsidR="003B06B1">
        <w:t>.</w:t>
      </w:r>
    </w:p>
    <w:p w14:paraId="27A0B4DD" w14:textId="77777777" w:rsidR="00CB18EE" w:rsidRPr="00171F82" w:rsidRDefault="003B06B1" w:rsidP="004F36F7">
      <w:pPr>
        <w:pStyle w:val="IFTnormal"/>
        <w:spacing w:before="240"/>
      </w:pPr>
      <w:r>
        <w:t>Es así que</w:t>
      </w:r>
      <w:r w:rsidR="000D34A1" w:rsidRPr="00171F82">
        <w:t>, mediante la Resolución</w:t>
      </w:r>
      <w:r w:rsidR="00CB18EE" w:rsidRPr="00171F82">
        <w:t xml:space="preserve"> AEP, el Instituto determinó la existencia de </w:t>
      </w:r>
      <w:r w:rsidR="004546F3" w:rsidRPr="00171F82">
        <w:t>un A</w:t>
      </w:r>
      <w:r w:rsidR="00CB7669">
        <w:t>gente Económico Preponderante (en lo sucesivo, “</w:t>
      </w:r>
      <w:r w:rsidR="004546F3" w:rsidRPr="00171F82">
        <w:t>AEP</w:t>
      </w:r>
      <w:r w:rsidR="00CB7669">
        <w:t>”)</w:t>
      </w:r>
      <w:r w:rsidR="00CB18EE" w:rsidRPr="00171F82">
        <w:t xml:space="preserve"> en </w:t>
      </w:r>
      <w:r w:rsidR="004546F3" w:rsidRPr="00171F82">
        <w:t xml:space="preserve">el </w:t>
      </w:r>
      <w:r w:rsidR="003441F6" w:rsidRPr="00171F82">
        <w:t>sector</w:t>
      </w:r>
      <w:r w:rsidR="00CB18EE" w:rsidRPr="00171F82">
        <w:t xml:space="preserve"> de telecomunicaciones, e impuso las medidas necesarias para evitar que se afecte la competencia y la libre concurrencia y, con ello, a los </w:t>
      </w:r>
      <w:r>
        <w:t>u</w:t>
      </w:r>
      <w:r w:rsidR="00CB18EE" w:rsidRPr="00171F82">
        <w:t xml:space="preserve">suarios </w:t>
      </w:r>
      <w:r>
        <w:t>f</w:t>
      </w:r>
      <w:r w:rsidR="00CB18EE" w:rsidRPr="00171F82">
        <w:t xml:space="preserve">inales. Dichas medidas incluyen las Medidas de Desagregación, mismas que están relacionadas con la manera </w:t>
      </w:r>
      <w:r w:rsidR="004546F3" w:rsidRPr="00171F82">
        <w:t xml:space="preserve">en </w:t>
      </w:r>
      <w:r w:rsidR="00CB18EE" w:rsidRPr="00171F82">
        <w:t>que otros concesionarios de telecomunicaciones puedan acceder, entre otros, a los medios físicos, técnicos y lógicos de conexión entre cualquier punto terminal de la red pública de telecomunicaciones y el punto de acceso a la red local del AEP.</w:t>
      </w:r>
    </w:p>
    <w:p w14:paraId="5B474E43" w14:textId="77777777" w:rsidR="007E0B8B" w:rsidRPr="000F43C6" w:rsidRDefault="007E0B8B" w:rsidP="004F36F7">
      <w:pPr>
        <w:spacing w:before="240"/>
        <w:jc w:val="both"/>
        <w:rPr>
          <w:rFonts w:ascii="ITC Avant Garde" w:hAnsi="ITC Avant Garde"/>
        </w:rPr>
      </w:pPr>
      <w:r w:rsidRPr="000F43C6">
        <w:rPr>
          <w:rFonts w:ascii="ITC Avant Garde" w:hAnsi="ITC Avant Garde"/>
          <w:b/>
        </w:rPr>
        <w:t>SEGUNDO</w:t>
      </w:r>
      <w:r w:rsidR="00F61B5A" w:rsidRPr="000F43C6">
        <w:rPr>
          <w:rFonts w:ascii="ITC Avant Garde" w:hAnsi="ITC Avant Garde"/>
          <w:b/>
        </w:rPr>
        <w:t xml:space="preserve">. </w:t>
      </w:r>
      <w:r w:rsidR="002B0FD7" w:rsidRPr="000F43C6">
        <w:rPr>
          <w:rFonts w:ascii="ITC Avant Garde" w:hAnsi="ITC Avant Garde"/>
        </w:rPr>
        <w:t xml:space="preserve">La </w:t>
      </w:r>
      <w:r w:rsidRPr="000F43C6">
        <w:rPr>
          <w:rFonts w:ascii="ITC Avant Garde" w:hAnsi="ITC Avant Garde"/>
        </w:rPr>
        <w:t>desagregación efectiva de la red local del AEP</w:t>
      </w:r>
      <w:r w:rsidR="002B0FD7" w:rsidRPr="000F43C6">
        <w:rPr>
          <w:rFonts w:ascii="ITC Avant Garde" w:hAnsi="ITC Avant Garde"/>
        </w:rPr>
        <w:t>. E</w:t>
      </w:r>
      <w:r w:rsidRPr="000F43C6">
        <w:rPr>
          <w:rFonts w:ascii="ITC Avant Garde" w:hAnsi="ITC Avant Garde"/>
        </w:rPr>
        <w:t>n materia de telecomunicaciones</w:t>
      </w:r>
      <w:r w:rsidR="00811BDA" w:rsidRPr="000F43C6">
        <w:rPr>
          <w:rFonts w:ascii="ITC Avant Garde" w:hAnsi="ITC Avant Garde"/>
        </w:rPr>
        <w:t>,</w:t>
      </w:r>
      <w:r w:rsidRPr="000F43C6">
        <w:rPr>
          <w:rFonts w:ascii="ITC Avant Garde" w:hAnsi="ITC Avant Garde"/>
        </w:rPr>
        <w:t xml:space="preserve"> </w:t>
      </w:r>
      <w:r w:rsidR="00811BDA" w:rsidRPr="000F43C6">
        <w:rPr>
          <w:rFonts w:ascii="ITC Avant Garde" w:hAnsi="ITC Avant Garde"/>
        </w:rPr>
        <w:t>la</w:t>
      </w:r>
      <w:r w:rsidR="002B0FD7" w:rsidRPr="000F43C6">
        <w:rPr>
          <w:rFonts w:ascii="ITC Avant Garde" w:hAnsi="ITC Avant Garde"/>
        </w:rPr>
        <w:t xml:space="preserve"> desagregación efectiva de la red local del AEP </w:t>
      </w:r>
      <w:r w:rsidR="00387123" w:rsidRPr="000F43C6">
        <w:rPr>
          <w:rFonts w:ascii="ITC Avant Garde" w:hAnsi="ITC Avant Garde"/>
        </w:rPr>
        <w:t>permite</w:t>
      </w:r>
      <w:r w:rsidRPr="000F43C6">
        <w:rPr>
          <w:rFonts w:ascii="ITC Avant Garde" w:hAnsi="ITC Avant Garde"/>
        </w:rPr>
        <w:t xml:space="preserve"> que otros concesionarios puedan acceder, entre otros, a los medios físicos, técnicos y lógicos de conexión entre cualquier punto terminal de </w:t>
      </w:r>
      <w:r w:rsidR="004F12CA" w:rsidRPr="000F43C6">
        <w:rPr>
          <w:rFonts w:ascii="ITC Avant Garde" w:hAnsi="ITC Avant Garde"/>
        </w:rPr>
        <w:t>la</w:t>
      </w:r>
      <w:r w:rsidRPr="000F43C6">
        <w:rPr>
          <w:rFonts w:ascii="ITC Avant Garde" w:hAnsi="ITC Avant Garde"/>
        </w:rPr>
        <w:t xml:space="preserve"> red pública de telecomunicaciones y el de acceso a su red local, a fin de prestar </w:t>
      </w:r>
      <w:r w:rsidR="001266F2" w:rsidRPr="000F43C6">
        <w:rPr>
          <w:rFonts w:ascii="ITC Avant Garde" w:hAnsi="ITC Avant Garde"/>
        </w:rPr>
        <w:t>servicios de telecomunicaciones de manera competitiva.</w:t>
      </w:r>
    </w:p>
    <w:p w14:paraId="59924139" w14:textId="77777777" w:rsidR="007E0B8B" w:rsidRPr="00171F82" w:rsidRDefault="003B06B1" w:rsidP="004F36F7">
      <w:pPr>
        <w:pStyle w:val="IFTnormal"/>
        <w:spacing w:before="240"/>
        <w:rPr>
          <w:shd w:val="clear" w:color="auto" w:fill="FFFFFF"/>
        </w:rPr>
      </w:pPr>
      <w:r>
        <w:rPr>
          <w:shd w:val="clear" w:color="auto" w:fill="FFFFFF"/>
        </w:rPr>
        <w:lastRenderedPageBreak/>
        <w:t>De manera particular l</w:t>
      </w:r>
      <w:r w:rsidR="007E0B8B" w:rsidRPr="00171F82">
        <w:rPr>
          <w:shd w:val="clear" w:color="auto" w:fill="FFFFFF"/>
        </w:rPr>
        <w:t xml:space="preserve">a Medida </w:t>
      </w:r>
      <w:r w:rsidR="00994B2F" w:rsidRPr="00171F82">
        <w:rPr>
          <w:shd w:val="clear" w:color="auto" w:fill="FFFFFF"/>
        </w:rPr>
        <w:t>CUARTA</w:t>
      </w:r>
      <w:r w:rsidR="007E0B8B" w:rsidRPr="00171F82">
        <w:rPr>
          <w:shd w:val="clear" w:color="auto" w:fill="FFFFFF"/>
        </w:rPr>
        <w:t xml:space="preserve"> de las Medidas de Desagregación </w:t>
      </w:r>
      <w:r w:rsidR="008E7DF2">
        <w:rPr>
          <w:shd w:val="clear" w:color="auto" w:fill="FFFFFF"/>
        </w:rPr>
        <w:t xml:space="preserve">vigentes </w:t>
      </w:r>
      <w:r w:rsidR="00401080">
        <w:rPr>
          <w:shd w:val="clear" w:color="auto" w:fill="FFFFFF"/>
        </w:rPr>
        <w:t>a la fecha de la emisión de</w:t>
      </w:r>
      <w:r w:rsidR="008E7DF2">
        <w:rPr>
          <w:shd w:val="clear" w:color="auto" w:fill="FFFFFF"/>
        </w:rPr>
        <w:t xml:space="preserve"> </w:t>
      </w:r>
      <w:r w:rsidR="008E7DF2" w:rsidRPr="008E7DF2">
        <w:rPr>
          <w:shd w:val="clear" w:color="auto" w:fill="FFFFFF"/>
        </w:rPr>
        <w:t xml:space="preserve">la </w:t>
      </w:r>
      <w:r w:rsidR="008E7DF2" w:rsidRPr="008E7DF2">
        <w:t>Resolución de Desagregación 2017-2018</w:t>
      </w:r>
      <w:r w:rsidR="008E7DF2">
        <w:t>,</w:t>
      </w:r>
      <w:r w:rsidR="008E7DF2">
        <w:rPr>
          <w:shd w:val="clear" w:color="auto" w:fill="FFFFFF"/>
        </w:rPr>
        <w:t xml:space="preserve"> </w:t>
      </w:r>
      <w:r w:rsidR="004F12CA" w:rsidRPr="00171F82">
        <w:rPr>
          <w:shd w:val="clear" w:color="auto" w:fill="FFFFFF"/>
        </w:rPr>
        <w:t>establece</w:t>
      </w:r>
      <w:r w:rsidR="007E0B8B" w:rsidRPr="00171F82">
        <w:rPr>
          <w:shd w:val="clear" w:color="auto" w:fill="FFFFFF"/>
        </w:rPr>
        <w:t xml:space="preserve"> los servicios de desagregación que el AEP deberá prestar a los Concesionarios Solicitantes (en lo sucesivo</w:t>
      </w:r>
      <w:r w:rsidR="00401080">
        <w:rPr>
          <w:shd w:val="clear" w:color="auto" w:fill="FFFFFF"/>
        </w:rPr>
        <w:t>,</w:t>
      </w:r>
      <w:r w:rsidR="007E0B8B" w:rsidRPr="00171F82">
        <w:rPr>
          <w:shd w:val="clear" w:color="auto" w:fill="FFFFFF"/>
        </w:rPr>
        <w:t xml:space="preserve"> “CS”), </w:t>
      </w:r>
      <w:r w:rsidR="00801100" w:rsidRPr="00171F82">
        <w:rPr>
          <w:shd w:val="clear" w:color="auto" w:fill="FFFFFF"/>
        </w:rPr>
        <w:t>de conformidad con</w:t>
      </w:r>
      <w:r w:rsidR="007E0B8B" w:rsidRPr="00171F82">
        <w:rPr>
          <w:shd w:val="clear" w:color="auto" w:fill="FFFFFF"/>
        </w:rPr>
        <w:t xml:space="preserve"> lo siguiente:</w:t>
      </w:r>
    </w:p>
    <w:p w14:paraId="5ADCFC3A" w14:textId="77777777" w:rsidR="007E0B8B" w:rsidRPr="00171F82" w:rsidRDefault="007E0B8B" w:rsidP="004F36F7">
      <w:pPr>
        <w:pStyle w:val="Citaift"/>
        <w:spacing w:before="240"/>
        <w:rPr>
          <w:color w:val="auto"/>
        </w:rPr>
      </w:pPr>
      <w:r w:rsidRPr="00171F82">
        <w:rPr>
          <w:color w:val="auto"/>
        </w:rPr>
        <w:t>“</w:t>
      </w:r>
      <w:r w:rsidRPr="00171F82">
        <w:rPr>
          <w:b/>
          <w:color w:val="auto"/>
        </w:rPr>
        <w:t>CUARTA.-</w:t>
      </w:r>
      <w:r w:rsidRPr="00171F82">
        <w:rPr>
          <w:color w:val="auto"/>
        </w:rPr>
        <w:t xml:space="preserve"> El Agente Económico Preponderante deberá prestar a los Concesionarios Solicitantes, los servicios de desagregación consistentes en el Servicio de Desagregación Total del Bucle y Sub-bucle Local, el Servicio de Desagregación Compartida del Bucle y Sub-bucle Local, el Servicio de Acceso Indirecto al Bucle Local, Servicio de Reventa de Línea, así como el Servicio de Coubicación para Desagregación y los Servicios Auxiliares en los términos señalados en las presentes medidas.</w:t>
      </w:r>
    </w:p>
    <w:p w14:paraId="6AC512B6" w14:textId="77777777" w:rsidR="007E0B8B" w:rsidRPr="00171F82" w:rsidRDefault="005017AD" w:rsidP="004F36F7">
      <w:pPr>
        <w:pStyle w:val="Citaift"/>
        <w:spacing w:before="240"/>
        <w:rPr>
          <w:color w:val="auto"/>
        </w:rPr>
      </w:pPr>
      <w:r>
        <w:rPr>
          <w:color w:val="auto"/>
        </w:rPr>
        <w:t>[</w:t>
      </w:r>
      <w:r w:rsidR="007E0B8B" w:rsidRPr="00171F82">
        <w:rPr>
          <w:color w:val="auto"/>
        </w:rPr>
        <w:t>…</w:t>
      </w:r>
      <w:r>
        <w:rPr>
          <w:color w:val="auto"/>
        </w:rPr>
        <w:t>]</w:t>
      </w:r>
      <w:r w:rsidR="007E0B8B" w:rsidRPr="00171F82">
        <w:rPr>
          <w:color w:val="auto"/>
        </w:rPr>
        <w:t>”</w:t>
      </w:r>
      <w:r w:rsidR="008E7DF2">
        <w:rPr>
          <w:color w:val="auto"/>
        </w:rPr>
        <w:t>.</w:t>
      </w:r>
    </w:p>
    <w:p w14:paraId="256BC190" w14:textId="77777777" w:rsidR="003B06B1" w:rsidRPr="00025AC7" w:rsidRDefault="003B06B1" w:rsidP="004F36F7">
      <w:pPr>
        <w:pStyle w:val="IFTnormal"/>
        <w:spacing w:before="240"/>
      </w:pPr>
      <w:r w:rsidRPr="00025AC7">
        <w:t xml:space="preserve">En este contexto, las propias Medidas de Desagregación definen el </w:t>
      </w:r>
      <w:r w:rsidR="00862DF7">
        <w:t xml:space="preserve">alcance del </w:t>
      </w:r>
      <w:r w:rsidRPr="00025AC7">
        <w:t xml:space="preserve">Servicio de Reventa de </w:t>
      </w:r>
      <w:r w:rsidR="00D45F90" w:rsidRPr="00025AC7">
        <w:t>Línea,</w:t>
      </w:r>
      <w:r w:rsidRPr="00025AC7">
        <w:t xml:space="preserve"> </w:t>
      </w:r>
      <w:r w:rsidR="00862DF7">
        <w:t xml:space="preserve">así </w:t>
      </w:r>
      <w:r w:rsidRPr="00025AC7">
        <w:t>como</w:t>
      </w:r>
      <w:r w:rsidR="00862DF7">
        <w:t xml:space="preserve"> la obligación del AEP de entregar el tráfico del Servicio de Reventa de Línea en un punto de interconexión, en los siguientes términos</w:t>
      </w:r>
      <w:r w:rsidRPr="00025AC7">
        <w:t>:</w:t>
      </w:r>
    </w:p>
    <w:p w14:paraId="31ED6517" w14:textId="77777777" w:rsidR="003B06B1" w:rsidRDefault="003B06B1" w:rsidP="004F36F7">
      <w:pPr>
        <w:pStyle w:val="Citaift"/>
        <w:spacing w:before="240"/>
      </w:pPr>
      <w:r w:rsidRPr="00025AC7">
        <w:rPr>
          <w:b/>
          <w:color w:val="auto"/>
        </w:rPr>
        <w:t>14) Servicio de Reventa de Línea:</w:t>
      </w:r>
      <w:r w:rsidRPr="00025AC7">
        <w:rPr>
          <w:color w:val="auto"/>
        </w:rPr>
        <w:t xml:space="preserve"> Mediante este servicio se permite que el Concesionario Solicitante realice la reventa o comercialización de la línea telefónica de la red pública de telecomunicaciones del Agente Económico Preponderante, para la prestación de servicios de telecomunicaciones;</w:t>
      </w:r>
    </w:p>
    <w:p w14:paraId="7B4BEA89" w14:textId="77777777" w:rsidR="00862DF7" w:rsidRPr="00880470" w:rsidRDefault="00862DF7" w:rsidP="004F36F7">
      <w:pPr>
        <w:pStyle w:val="Citaift"/>
        <w:spacing w:before="240"/>
      </w:pPr>
      <w:r w:rsidRPr="00880470">
        <w:rPr>
          <w:color w:val="auto"/>
        </w:rPr>
        <w:t>[…</w:t>
      </w:r>
      <w:r w:rsidRPr="00880470">
        <w:t>]</w:t>
      </w:r>
    </w:p>
    <w:p w14:paraId="2A71790A" w14:textId="77777777" w:rsidR="00862DF7" w:rsidRPr="0048682C" w:rsidRDefault="00862DF7" w:rsidP="004F36F7">
      <w:pPr>
        <w:pStyle w:val="Citaift"/>
        <w:spacing w:before="240"/>
      </w:pPr>
      <w:r w:rsidRPr="0048682C">
        <w:rPr>
          <w:b/>
        </w:rPr>
        <w:t>UNDÉCIMA.-</w:t>
      </w:r>
      <w:r w:rsidRPr="0048682C">
        <w:t xml:space="preserve">  […]</w:t>
      </w:r>
    </w:p>
    <w:p w14:paraId="5E3D446E" w14:textId="77777777" w:rsidR="00862DF7" w:rsidRPr="0048682C" w:rsidRDefault="00862DF7" w:rsidP="004F36F7">
      <w:pPr>
        <w:pStyle w:val="Citaift"/>
        <w:spacing w:before="240"/>
      </w:pPr>
      <w:r w:rsidRPr="0048682C">
        <w:t xml:space="preserve">El Agente Económico Preponderante estará obligado a entregar el Tráfico del Servicio de Acceso Indirecto al Bucle Local y del Servicio de Reventa de Línea, en un solo Punto de Interconexión cuando así lo requiera el Concesionario Solicitante. </w:t>
      </w:r>
    </w:p>
    <w:p w14:paraId="6F771AF5" w14:textId="77777777" w:rsidR="00862DF7" w:rsidRPr="0048682C" w:rsidRDefault="00862DF7" w:rsidP="004F36F7">
      <w:pPr>
        <w:pStyle w:val="Citaift"/>
        <w:spacing w:before="240"/>
      </w:pPr>
      <w:r w:rsidRPr="0048682C">
        <w:t>El Servicio de Acceso Indirecto al Bucle Local y el Servicio de Reventa de Línea proporcionados por el Agente Económico Preponderante deberán ofrecer características técnicas que permitan al Concesionario Solicitante replicar los servicios ofrecidos por el Agente Económico Preponderante a los usuarios finales.</w:t>
      </w:r>
    </w:p>
    <w:p w14:paraId="47521187" w14:textId="77777777" w:rsidR="00082AD3" w:rsidRPr="000F43C6" w:rsidRDefault="002B0FD7" w:rsidP="004F36F7">
      <w:pPr>
        <w:spacing w:before="240"/>
        <w:rPr>
          <w:rFonts w:ascii="ITC Avant Garde" w:hAnsi="ITC Avant Garde"/>
        </w:rPr>
      </w:pPr>
      <w:r w:rsidRPr="000F43C6">
        <w:rPr>
          <w:rFonts w:ascii="ITC Avant Garde" w:hAnsi="ITC Avant Garde"/>
          <w:b/>
        </w:rPr>
        <w:t xml:space="preserve">TERCERO. </w:t>
      </w:r>
      <w:r w:rsidR="00507974" w:rsidRPr="000F43C6">
        <w:rPr>
          <w:rFonts w:ascii="ITC Avant Garde" w:hAnsi="ITC Avant Garde"/>
          <w:b/>
        </w:rPr>
        <w:t>Servicio de Reventa Mayorista de Línea Telefónica</w:t>
      </w:r>
      <w:r w:rsidR="00507974" w:rsidRPr="000F43C6">
        <w:rPr>
          <w:rFonts w:ascii="ITC Avant Garde" w:hAnsi="ITC Avant Garde"/>
        </w:rPr>
        <w:t xml:space="preserve">. </w:t>
      </w:r>
      <w:r w:rsidR="00DF4C18" w:rsidRPr="000F43C6">
        <w:rPr>
          <w:rFonts w:ascii="ITC Avant Garde" w:hAnsi="ITC Avant Garde"/>
        </w:rPr>
        <w:t>Este</w:t>
      </w:r>
      <w:r w:rsidR="00C37121" w:rsidRPr="000F43C6">
        <w:rPr>
          <w:rFonts w:ascii="ITC Avant Garde" w:hAnsi="ITC Avant Garde"/>
        </w:rPr>
        <w:t xml:space="preserve"> I</w:t>
      </w:r>
      <w:r w:rsidR="00BC0A11" w:rsidRPr="000F43C6">
        <w:rPr>
          <w:rFonts w:ascii="ITC Avant Garde" w:hAnsi="ITC Avant Garde"/>
        </w:rPr>
        <w:t>nstituto</w:t>
      </w:r>
      <w:r w:rsidR="00C37121" w:rsidRPr="000F43C6">
        <w:rPr>
          <w:rFonts w:ascii="ITC Avant Garde" w:hAnsi="ITC Avant Garde"/>
        </w:rPr>
        <w:t xml:space="preserve"> determinó a través de la Resolución de Desagregación 2017-2018, que el AEP ofreciera el </w:t>
      </w:r>
      <w:r w:rsidR="005B5071" w:rsidRPr="000F43C6">
        <w:rPr>
          <w:rFonts w:ascii="ITC Avant Garde" w:hAnsi="ITC Avant Garde"/>
        </w:rPr>
        <w:t xml:space="preserve">Servicio de Reventa Mayorista de Línea Telefónica (en lo sucesivo, “SRMLT”) </w:t>
      </w:r>
      <w:r w:rsidR="00C37121" w:rsidRPr="000F43C6">
        <w:rPr>
          <w:rFonts w:ascii="ITC Avant Garde" w:hAnsi="ITC Avant Garde"/>
        </w:rPr>
        <w:t xml:space="preserve">tal que se permita </w:t>
      </w:r>
      <w:r w:rsidR="000A0E9C" w:rsidRPr="000F43C6">
        <w:rPr>
          <w:rFonts w:ascii="ITC Avant Garde" w:hAnsi="ITC Avant Garde"/>
        </w:rPr>
        <w:t>la entrega del tráfico en un punto de interconexión cuando así lo requiera el CS, de conformidad con lo dispuesto en las Medidas de Desagregación</w:t>
      </w:r>
      <w:r w:rsidR="00C37121" w:rsidRPr="000F43C6">
        <w:rPr>
          <w:rFonts w:ascii="ITC Avant Garde" w:hAnsi="ITC Avant Garde"/>
        </w:rPr>
        <w:t>, bajo las siguientes consideraciones:</w:t>
      </w:r>
    </w:p>
    <w:p w14:paraId="327750DE" w14:textId="77777777" w:rsidR="00080604" w:rsidRPr="00171F82" w:rsidRDefault="00963D83" w:rsidP="004F36F7">
      <w:pPr>
        <w:pStyle w:val="Citaift"/>
        <w:spacing w:before="240"/>
      </w:pPr>
      <w:r w:rsidRPr="00171F82">
        <w:t>“</w:t>
      </w:r>
      <w:r w:rsidR="00080604" w:rsidRPr="00171F82">
        <w:rPr>
          <w:b/>
          <w:u w:val="single"/>
        </w:rPr>
        <w:t>Requerimiento del Instituto en el numeral 4.1.6.1 inciso d) del Acuerdo</w:t>
      </w:r>
    </w:p>
    <w:p w14:paraId="266632E9" w14:textId="77777777" w:rsidR="00080604" w:rsidRPr="00171F82" w:rsidRDefault="00080604" w:rsidP="004F36F7">
      <w:pPr>
        <w:pStyle w:val="Citaift"/>
        <w:spacing w:before="240"/>
      </w:pPr>
      <w:r w:rsidRPr="00171F82">
        <w:lastRenderedPageBreak/>
        <w:t>El Instituto requirió al AEP incluir, además de la oferta actual de Servicio de Reventa de Línea Telefónica (en lo sucesivo, el “SRLT”), un nuevo esquema de SRLT en su Propuesta Final de Oferta de Referencia con el cual el CS podrá solicitar al AEP la entrega del tráfico de los usuarios en puntos de interconexión. También el AEP deberá incluir la descripción funcional del servicio, información, procedimientos, características técnicas, tarifas y todo lo necesario para la eficiente prestación de este esquema del Servicio de Reventa Mayorista de Línea Telefónica (en lo sucesivo, el “SRMLT”) (comúnmente conocido como WLR por sus siglas en inglés). Asimismo, los costos asociados deberán verse reflejados en el cobro del servicio con base a la metodología indicada en la Medida TRIGÉSIMA NOVENA de las Medidas de Desagregación tomando en consideración los costos que absorberá el CS por esta modalidad de SRMLT.</w:t>
      </w:r>
    </w:p>
    <w:p w14:paraId="39BBDB74" w14:textId="77777777" w:rsidR="00080604" w:rsidRPr="00171F82" w:rsidRDefault="00080604" w:rsidP="004F36F7">
      <w:pPr>
        <w:pStyle w:val="Citaift"/>
        <w:spacing w:before="240"/>
        <w:rPr>
          <w:b/>
          <w:u w:val="single"/>
        </w:rPr>
      </w:pPr>
      <w:r w:rsidRPr="00171F82">
        <w:rPr>
          <w:b/>
          <w:u w:val="single"/>
        </w:rPr>
        <w:t>Oferta de Referencia Modificada</w:t>
      </w:r>
    </w:p>
    <w:p w14:paraId="76DEBD91" w14:textId="77777777" w:rsidR="00610938" w:rsidRPr="00171F82" w:rsidRDefault="00080604" w:rsidP="004F36F7">
      <w:pPr>
        <w:pStyle w:val="Citaift"/>
        <w:spacing w:before="240"/>
      </w:pPr>
      <w:r w:rsidRPr="00171F82">
        <w:t>Dentro de la Propuesta Final de Oferta de Referencia, el AEP no hace referencia al SRMLT.</w:t>
      </w:r>
    </w:p>
    <w:p w14:paraId="5A1B4801" w14:textId="77777777" w:rsidR="00080604" w:rsidRPr="00171F82" w:rsidRDefault="00080604" w:rsidP="004F36F7">
      <w:pPr>
        <w:pStyle w:val="Citaift"/>
        <w:spacing w:before="240"/>
        <w:rPr>
          <w:b/>
          <w:u w:val="single"/>
        </w:rPr>
      </w:pPr>
      <w:r w:rsidRPr="00171F82">
        <w:rPr>
          <w:b/>
          <w:u w:val="single"/>
        </w:rPr>
        <w:t>Análisis de la Oferta de Referencia Modificada</w:t>
      </w:r>
    </w:p>
    <w:p w14:paraId="63A63098" w14:textId="77777777" w:rsidR="00080604" w:rsidRPr="00171F82" w:rsidRDefault="00080604" w:rsidP="004F36F7">
      <w:pPr>
        <w:pStyle w:val="Citaift"/>
        <w:spacing w:before="240"/>
      </w:pPr>
      <w:r w:rsidRPr="00171F82">
        <w:t>El AEP establece en su Escrito de Respuesta lo siguiente:</w:t>
      </w:r>
    </w:p>
    <w:p w14:paraId="79A31613" w14:textId="77777777" w:rsidR="00080604" w:rsidRPr="00171F82" w:rsidRDefault="00080604" w:rsidP="004F36F7">
      <w:pPr>
        <w:pStyle w:val="Citaift"/>
        <w:spacing w:before="240"/>
        <w:ind w:left="1418" w:right="1276"/>
      </w:pPr>
      <w:r w:rsidRPr="00171F82">
        <w:t>“Al realizar este requerimiento se obliga a Telmex a que incurriera en incumplimiento con la prestación actual del Servicio de Reventa de Línea ya que el enrutamiento del tráfico de voz originado por los usuarios del Concesionario Solicitante del Servicio de Reventa a través de su red hacia un punto de entrega, excede y es contrario a los propios servicios que se describen y fueron aprobados por el Instituto en la Oferta de Referencia (OREDA).</w:t>
      </w:r>
    </w:p>
    <w:p w14:paraId="0092D576" w14:textId="77777777" w:rsidR="00080604" w:rsidRPr="00171F82" w:rsidRDefault="00080604" w:rsidP="004F36F7">
      <w:pPr>
        <w:pStyle w:val="Citaift"/>
        <w:spacing w:before="240"/>
        <w:ind w:left="1418" w:right="1276"/>
      </w:pPr>
      <w:r w:rsidRPr="00171F82">
        <w:t xml:space="preserve">Adicionalmente, los servicios que proporciona Telmex, están alineados y respetan los planes fundamentales emitidos por la Autoridad sectorial en los diferentes momentos, la Secretaría de Comunicaciones y Transporte, la extinta Comisión Federal de Telecomunicaciones y el propio Instituto, a través de los Planes Técnicos Fundamentales y otras disposiciones administrativas que regulan la numeración, señalización, conmutación, transmisión, y condiciones mínimas de interconexión. </w:t>
      </w:r>
    </w:p>
    <w:p w14:paraId="1C13BB67" w14:textId="77777777" w:rsidR="00080604" w:rsidRPr="00171F82" w:rsidRDefault="00080604" w:rsidP="004F36F7">
      <w:pPr>
        <w:pStyle w:val="Citaift"/>
        <w:spacing w:before="240"/>
        <w:ind w:left="1418" w:right="1276"/>
      </w:pPr>
      <w:r w:rsidRPr="00171F82">
        <w:t>Con base en lo anterior, cualquier cambio que implique la entrega de tráfico en un único punto de interconexión a un Concesionario, implicaría que a nivel de industria se tendrían que modificar los planes técnicos fundamentales de numeración, señalización, conmutación, y condiciones mínimas de interconexión e implementar por todos los Concesionarios del sector, con el fin de poder implementar, entre otros casos de tráfico, que un Concesionario reciba el tráfico de sus usuarios de Reventa, provenientes del AEP, sin importar la marcación que dicho usuario haya realizado.</w:t>
      </w:r>
    </w:p>
    <w:p w14:paraId="3C09265A" w14:textId="77777777" w:rsidR="00080604" w:rsidRPr="00171F82" w:rsidRDefault="00080604" w:rsidP="004F36F7">
      <w:pPr>
        <w:pStyle w:val="Citaift"/>
        <w:spacing w:before="240"/>
        <w:ind w:left="1418" w:right="1276"/>
      </w:pPr>
      <w:r w:rsidRPr="00171F82">
        <w:t xml:space="preserve">Así mismo, este requerimiento contraviene una disposición general con lo cual se viola el principio de jerarquía normativa, porque implicaría realizar modificaciones a los Planes técnicos fundamentales antes mencionados, los cuales son de aplicación general y que en consecuencia tienen impacto en </w:t>
      </w:r>
      <w:r w:rsidRPr="00171F82">
        <w:lastRenderedPageBreak/>
        <w:t xml:space="preserve">toda la Industria, derivado de las solicitudes de Modificación a la Oferta que está realizando el Instituto. </w:t>
      </w:r>
    </w:p>
    <w:p w14:paraId="4611180F" w14:textId="77777777" w:rsidR="00080604" w:rsidRPr="00171F82" w:rsidRDefault="00080604" w:rsidP="004F36F7">
      <w:pPr>
        <w:pStyle w:val="Citaift"/>
        <w:spacing w:before="240"/>
        <w:ind w:left="1418" w:right="1276"/>
      </w:pPr>
      <w:r w:rsidRPr="00171F82">
        <w:t>Por otro lado, Telmex tienen la obligación de ofrecer y proveer los servicios a los Concesionarios Solicitantes en los mismos términos, condiciones y calidad que se ofrece para sus usuarios. Por ende tal como está escrito y sin el acuerdo en la implementación en la industria, este requerimiento es violatorio de las obligaciones que Telmex tienen establecidas en la Ley e inoperable dado que no se tendrían implementados los casos de enrutamiento para implementar estos tráficos afectando la calidad del servicio de los usuarios del Concesionario Solicitante.</w:t>
      </w:r>
    </w:p>
    <w:p w14:paraId="18D4D304" w14:textId="77777777" w:rsidR="00080604" w:rsidRPr="00171F82" w:rsidRDefault="00080604" w:rsidP="004F36F7">
      <w:pPr>
        <w:pStyle w:val="Citaift"/>
        <w:spacing w:before="240"/>
        <w:ind w:left="1418" w:right="1276"/>
      </w:pPr>
      <w:r w:rsidRPr="00171F82">
        <w:t>Lo requerido en este punto pone a Telmex en un estado de total incertidumbre ya que no están definidas y acordadas e implementadas las reglas en todo el sector.”</w:t>
      </w:r>
    </w:p>
    <w:p w14:paraId="37AFF295" w14:textId="77777777" w:rsidR="00080604" w:rsidRPr="00171F82" w:rsidRDefault="00080604" w:rsidP="004F36F7">
      <w:pPr>
        <w:pStyle w:val="Citaift"/>
        <w:spacing w:before="240"/>
      </w:pPr>
      <w:r w:rsidRPr="00171F82">
        <w:t>El SRMLT es el servicio mayorista que permite al CS facturar a los clientes el servicio de acceso a la red pública telefónica fija del AEP. Técnicamente se realiza una interconexión en donde se realiza el traspaso del tráfico de voz originado en la red del AEP a la del CS.</w:t>
      </w:r>
    </w:p>
    <w:p w14:paraId="73FA0575" w14:textId="77777777" w:rsidR="00080604" w:rsidRPr="00171F82" w:rsidRDefault="00080604" w:rsidP="004F36F7">
      <w:pPr>
        <w:pStyle w:val="Citaift"/>
        <w:spacing w:before="240"/>
      </w:pPr>
      <w:r w:rsidRPr="00171F82">
        <w:t>Sin embargo, una vez analizada la respuesta del AEP, debido a las implicaciones técnicas que conlleva el proceso de implementación del servicio en cuestión con las características técnicas y operativas previstas, el Instituto considera que se necesitan acuerdos entre los CS y el AEP con la finalidad de que la entrega del tráfico originado en la red del AEP a los CS se lleve a cabo de manera eficiente, cuando sea procedente  con las respectivas consideraciones que haya que realizar a diferentes disposiciones, como a los Planes Técnicos Fundamentales de Numeración y de Señalización, para especificar un procedimiento en el cual se realice el etiquetado del tráfico para poder realizar el traspaso de la información hacia el CS.</w:t>
      </w:r>
      <w:r w:rsidR="008127A3" w:rsidRPr="00171F82">
        <w:t xml:space="preserve"> En específico su caso, se deberán </w:t>
      </w:r>
      <w:r w:rsidRPr="00171F82">
        <w:t>definir nuevos códigos de identificación de operador para enrutar y entregar el tráfico perteneciente a un nuevo concesionario de forma similar a los códigos de presuscripción pero en este caso abarcando todos los tipos de tráfico (local, larga distancia internacional, resto del mundo, códigos especiales, etc.). Estas consideraciones tienen un alcance que se estima deben incorporar la coordinación y acuerdo con los operadores a fin de establecer una solución real y eficiente en beneficio de la correcta prestación del servicio.</w:t>
      </w:r>
    </w:p>
    <w:p w14:paraId="59B056B5" w14:textId="77777777" w:rsidR="00080604" w:rsidRPr="00171F82" w:rsidRDefault="00080604" w:rsidP="004F36F7">
      <w:pPr>
        <w:pStyle w:val="Citaift"/>
        <w:spacing w:before="240"/>
      </w:pPr>
      <w:r w:rsidRPr="00171F82">
        <w:t>Por otra parte, se estima que también se necesita hacer uso de una base de datos que administre las etiquetas para el control del tráfico enviado de la red del AEP a la del CS, lo cual conlleva un tratamiento especial.</w:t>
      </w:r>
    </w:p>
    <w:p w14:paraId="5CFB4BAC" w14:textId="77777777" w:rsidR="00080604" w:rsidRPr="00171F82" w:rsidRDefault="00080604" w:rsidP="004F36F7">
      <w:pPr>
        <w:pStyle w:val="Citaift"/>
        <w:spacing w:before="240"/>
      </w:pPr>
      <w:r w:rsidRPr="00171F82">
        <w:t>Por lo antes señalado, el Instituto requiere al AEP presentar ante el Comité Técnico de Desagregación una propuesta técnica y operativa del desarrollo e implementación del SRMLT que efectivamente permita la entrega de tráfico a los CS en puntos de interconexión de manera eficiente. Dicha propuesta deberá ir acompañada de un cronograma con las actividades y tiempos relacionados a las adecuaciones y preparativos que sean necesarias para que el servicio sea factible de ofrecer.</w:t>
      </w:r>
    </w:p>
    <w:p w14:paraId="2F92F13C" w14:textId="77777777" w:rsidR="00080604" w:rsidRPr="00171F82" w:rsidRDefault="00080604" w:rsidP="004F36F7">
      <w:pPr>
        <w:pStyle w:val="Citaift"/>
        <w:spacing w:before="240"/>
      </w:pPr>
      <w:r w:rsidRPr="00171F82">
        <w:t>La especificación del SRMLT deberá incluir como mínimo los siguientes apartados:</w:t>
      </w:r>
    </w:p>
    <w:p w14:paraId="333D45EB" w14:textId="77777777" w:rsidR="00080604" w:rsidRPr="00171F82" w:rsidRDefault="00080604" w:rsidP="004F36F7">
      <w:pPr>
        <w:pStyle w:val="Citaift"/>
        <w:spacing w:before="240"/>
      </w:pPr>
      <w:r w:rsidRPr="00171F82">
        <w:lastRenderedPageBreak/>
        <w:t>a)</w:t>
      </w:r>
      <w:r w:rsidRPr="00171F82">
        <w:tab/>
        <w:t xml:space="preserve">Arquitectura del servicio </w:t>
      </w:r>
    </w:p>
    <w:p w14:paraId="50B007E9" w14:textId="77777777" w:rsidR="00080604" w:rsidRPr="00171F82" w:rsidRDefault="00080604" w:rsidP="004F36F7">
      <w:pPr>
        <w:pStyle w:val="Citaift"/>
        <w:spacing w:before="240"/>
      </w:pPr>
      <w:r w:rsidRPr="00171F82">
        <w:t>b)</w:t>
      </w:r>
      <w:r w:rsidRPr="00171F82">
        <w:tab/>
        <w:t>Descripción del soporte e implementación de las características técnicas exigidas.</w:t>
      </w:r>
    </w:p>
    <w:p w14:paraId="0C2C50B0" w14:textId="77777777" w:rsidR="00080604" w:rsidRPr="00171F82" w:rsidRDefault="00080604" w:rsidP="004F36F7">
      <w:pPr>
        <w:pStyle w:val="Citaift"/>
        <w:spacing w:before="240"/>
      </w:pPr>
      <w:r w:rsidRPr="00171F82">
        <w:t>c)</w:t>
      </w:r>
      <w:r w:rsidRPr="00171F82">
        <w:tab/>
        <w:t>Propuesta de señalización e identificación de códigos IDD e IDO</w:t>
      </w:r>
    </w:p>
    <w:p w14:paraId="1B2017A7" w14:textId="77777777" w:rsidR="00080604" w:rsidRPr="00171F82" w:rsidRDefault="00080604" w:rsidP="004F36F7">
      <w:pPr>
        <w:pStyle w:val="Citaift"/>
        <w:spacing w:before="240"/>
      </w:pPr>
      <w:r w:rsidRPr="00171F82">
        <w:t>d)</w:t>
      </w:r>
      <w:r w:rsidRPr="00171F82">
        <w:tab/>
        <w:t>Interfaces de conexión de usuario y de conexión de CS</w:t>
      </w:r>
    </w:p>
    <w:p w14:paraId="39381F7C" w14:textId="77777777" w:rsidR="00080604" w:rsidRPr="00171F82" w:rsidRDefault="00080604" w:rsidP="004F36F7">
      <w:pPr>
        <w:pStyle w:val="Citaift"/>
        <w:spacing w:before="240"/>
      </w:pPr>
      <w:r w:rsidRPr="00171F82">
        <w:t>e)</w:t>
      </w:r>
      <w:r w:rsidRPr="00171F82">
        <w:tab/>
        <w:t>Garantías de calidad de servicio. Pruebas de aceptación</w:t>
      </w:r>
    </w:p>
    <w:p w14:paraId="391CAC44" w14:textId="77777777" w:rsidR="00080604" w:rsidRPr="00171F82" w:rsidRDefault="00080604" w:rsidP="004F36F7">
      <w:pPr>
        <w:pStyle w:val="Citaift"/>
        <w:spacing w:before="240"/>
      </w:pPr>
      <w:r w:rsidRPr="00171F82">
        <w:t>f)</w:t>
      </w:r>
      <w:r w:rsidRPr="00171F82">
        <w:tab/>
        <w:t>Sistemas y procedimientos.</w:t>
      </w:r>
    </w:p>
    <w:p w14:paraId="1C098CD7" w14:textId="77777777" w:rsidR="00080604" w:rsidRPr="00171F82" w:rsidRDefault="00610938" w:rsidP="004F36F7">
      <w:pPr>
        <w:pStyle w:val="Citaift"/>
        <w:spacing w:before="240"/>
      </w:pPr>
      <w:r w:rsidRPr="00171F82">
        <w:t>g)</w:t>
      </w:r>
      <w:r w:rsidRPr="00171F82">
        <w:tab/>
        <w:t>Sistemas de</w:t>
      </w:r>
      <w:r w:rsidR="00080604" w:rsidRPr="00171F82">
        <w:t xml:space="preserve"> información y de acceso a la información</w:t>
      </w:r>
    </w:p>
    <w:p w14:paraId="356CC94E" w14:textId="77777777" w:rsidR="00080604" w:rsidRPr="00171F82" w:rsidRDefault="00080604" w:rsidP="004F36F7">
      <w:pPr>
        <w:pStyle w:val="Citaift"/>
        <w:spacing w:before="240"/>
      </w:pPr>
      <w:r w:rsidRPr="00171F82">
        <w:t>h)</w:t>
      </w:r>
      <w:r w:rsidRPr="00171F82">
        <w:tab/>
        <w:t>Descripción del soporte e implementación de las características funcionales exigidas</w:t>
      </w:r>
    </w:p>
    <w:p w14:paraId="29738DD4" w14:textId="77777777" w:rsidR="00080604" w:rsidRPr="00171F82" w:rsidRDefault="00080604" w:rsidP="004F36F7">
      <w:pPr>
        <w:pStyle w:val="Citaift"/>
        <w:spacing w:before="240"/>
      </w:pPr>
      <w:r w:rsidRPr="00171F82">
        <w:t>i)</w:t>
      </w:r>
      <w:r w:rsidRPr="00171F82">
        <w:tab/>
        <w:t xml:space="preserve">Lista de puntos de interconexión donde se entregará el servicio, los cuales deberán coincidir con los puntos de concentración propuestos para el SAIB. </w:t>
      </w:r>
    </w:p>
    <w:p w14:paraId="5114C559" w14:textId="77777777" w:rsidR="00080604" w:rsidRPr="00171F82" w:rsidRDefault="00080604" w:rsidP="004F36F7">
      <w:pPr>
        <w:pStyle w:val="Citaift"/>
        <w:spacing w:before="240"/>
      </w:pPr>
      <w:r w:rsidRPr="00171F82">
        <w:t>j)</w:t>
      </w:r>
      <w:r w:rsidRPr="00171F82">
        <w:tab/>
        <w:t>Lista de servicios digitales disponibles junto con el servicio</w:t>
      </w:r>
    </w:p>
    <w:p w14:paraId="24E3BE2D" w14:textId="77777777" w:rsidR="00080604" w:rsidRPr="00171F82" w:rsidRDefault="00080604" w:rsidP="004F36F7">
      <w:pPr>
        <w:pStyle w:val="Citaift"/>
        <w:spacing w:before="240"/>
      </w:pPr>
      <w:r w:rsidRPr="00171F82">
        <w:t>k)</w:t>
      </w:r>
      <w:r w:rsidRPr="00171F82">
        <w:tab/>
        <w:t>Propuesta de administración de usuarios (administrador de base de datos)</w:t>
      </w:r>
    </w:p>
    <w:p w14:paraId="50038BD4" w14:textId="77777777" w:rsidR="00080604" w:rsidRPr="00171F82" w:rsidRDefault="00080604" w:rsidP="004F36F7">
      <w:pPr>
        <w:pStyle w:val="Citaift"/>
        <w:spacing w:before="240"/>
      </w:pPr>
      <w:r w:rsidRPr="00171F82">
        <w:t>l)</w:t>
      </w:r>
      <w:r w:rsidRPr="00171F82">
        <w:tab/>
        <w:t>Otros aspectos del servicio</w:t>
      </w:r>
    </w:p>
    <w:p w14:paraId="331828CC" w14:textId="77777777" w:rsidR="00096E28" w:rsidRPr="00171F82" w:rsidRDefault="00080604" w:rsidP="004F36F7">
      <w:pPr>
        <w:pStyle w:val="Citaift"/>
        <w:spacing w:before="240"/>
      </w:pPr>
      <w:r w:rsidRPr="00171F82">
        <w:t>Por lo anterior, el Instituto considera que los Servicio de Desagregación Virtual del Bucle Local y del Servicio de Reventa de Línea Telefónica forman parte integral de la Oferta de Referencia, independientemente de su presentación en el Comité Técnico de Desagregación.</w:t>
      </w:r>
    </w:p>
    <w:p w14:paraId="40E1D959" w14:textId="77777777" w:rsidR="008C514F" w:rsidRPr="00171F82" w:rsidRDefault="005017AD" w:rsidP="004F36F7">
      <w:pPr>
        <w:pStyle w:val="Citaift"/>
        <w:spacing w:before="240"/>
      </w:pPr>
      <w:r>
        <w:t>[</w:t>
      </w:r>
      <w:r w:rsidR="00096E28" w:rsidRPr="00171F82">
        <w:t>…</w:t>
      </w:r>
      <w:r>
        <w:t>]</w:t>
      </w:r>
      <w:r w:rsidR="00491FBD" w:rsidRPr="00171F82">
        <w:t>”</w:t>
      </w:r>
    </w:p>
    <w:p w14:paraId="335C10DC" w14:textId="77777777" w:rsidR="00243517" w:rsidRPr="00171F82" w:rsidRDefault="001917D5" w:rsidP="004F36F7">
      <w:pPr>
        <w:pStyle w:val="IFTnormal"/>
        <w:spacing w:before="240"/>
      </w:pPr>
      <w:r w:rsidRPr="00171F82">
        <w:t xml:space="preserve">A partir de lo anterior </w:t>
      </w:r>
      <w:r w:rsidR="00243517" w:rsidRPr="00171F82">
        <w:t xml:space="preserve">el Pleno del Instituto </w:t>
      </w:r>
      <w:r w:rsidR="0077617B" w:rsidRPr="00171F82">
        <w:t>resolvió que el</w:t>
      </w:r>
      <w:r w:rsidR="00243517" w:rsidRPr="00171F82">
        <w:t xml:space="preserve"> AEP presentar</w:t>
      </w:r>
      <w:r w:rsidR="00614B0E">
        <w:t>a</w:t>
      </w:r>
      <w:r w:rsidR="00243517" w:rsidRPr="00171F82">
        <w:t xml:space="preserve"> dentro de los 60 días hábiles siguientes a la entrada en vigor de la Oferta de Referencia de Desagregación Efectiva de la Red Local</w:t>
      </w:r>
      <w:r w:rsidR="000D020E" w:rsidRPr="00171F82">
        <w:t xml:space="preserve"> (en lo sucesivo “OREDA vigente”)</w:t>
      </w:r>
      <w:r w:rsidR="00243517" w:rsidRPr="00171F82">
        <w:t>, la propuesta relativa a la implementación del Servicio de Reventa de Línea Telefónica, ta</w:t>
      </w:r>
      <w:r w:rsidR="0083460E" w:rsidRPr="00171F82">
        <w:t>l y como se indica en el resolutivo QUINTO de la misma</w:t>
      </w:r>
      <w:r w:rsidR="00243517" w:rsidRPr="00171F82">
        <w:t>:</w:t>
      </w:r>
    </w:p>
    <w:p w14:paraId="6DFFA67B" w14:textId="77777777" w:rsidR="00243517" w:rsidRPr="00171F82" w:rsidRDefault="00243517" w:rsidP="004F36F7">
      <w:pPr>
        <w:pStyle w:val="Citaift"/>
        <w:spacing w:before="240"/>
        <w:rPr>
          <w:color w:val="auto"/>
        </w:rPr>
      </w:pPr>
      <w:r w:rsidRPr="00F13EE0">
        <w:rPr>
          <w:color w:val="auto"/>
        </w:rPr>
        <w:t>“</w:t>
      </w:r>
      <w:r w:rsidRPr="00171F82">
        <w:rPr>
          <w:b/>
          <w:color w:val="auto"/>
        </w:rPr>
        <w:t xml:space="preserve">QUINTO.- </w:t>
      </w:r>
      <w:r w:rsidRPr="00171F82">
        <w:rPr>
          <w:color w:val="auto"/>
        </w:rPr>
        <w:t>De conformidad con lo señalado en el Considerando QUINTO de la presente Resolución, Teléfonos de México, S.A.B. de C.V. como parte del Agente Económico Preponderante deberá de presentar ante el Comité Técnico de Desagregación, dentro de los 60 (sesenta) días hábiles siguientes a la entrada en vigor de la Oferta de Referencia de Desagregación Efectiva de la Red Local, las propuestas señaladas relativas a la implementación del Servicio de Desagregación Virtual del Bucle Local y del Servicio de Reventa de Línea Telefónica.</w:t>
      </w:r>
    </w:p>
    <w:p w14:paraId="03A29F5E" w14:textId="77777777" w:rsidR="00243517" w:rsidRPr="00171F82" w:rsidRDefault="00243517" w:rsidP="004F36F7">
      <w:pPr>
        <w:pStyle w:val="Citaift"/>
        <w:spacing w:before="240"/>
        <w:rPr>
          <w:color w:val="auto"/>
        </w:rPr>
      </w:pPr>
      <w:r w:rsidRPr="00171F82">
        <w:rPr>
          <w:color w:val="auto"/>
        </w:rPr>
        <w:lastRenderedPageBreak/>
        <w:t>Los Servicios de Desagregación Virtual del Bucle Local y de Reventa de Línea Telefónica forman parte integral de la Oferta de Referencia que se aprueba mediante la presente Resolución, por lo que previo cumplimiento a lo señalado en el párrafo anterior y su correspondiente formalización o resolución definitiva por parte del Pleno, según sea el caso, se deberán ofrecer al amparo de la Oferta de Referencia”.</w:t>
      </w:r>
    </w:p>
    <w:p w14:paraId="10C8952B" w14:textId="77777777" w:rsidR="003D0E0C" w:rsidRDefault="00A21234" w:rsidP="004F36F7">
      <w:pPr>
        <w:pStyle w:val="IFTnormal"/>
        <w:spacing w:before="240"/>
      </w:pPr>
      <w:r w:rsidRPr="00171F82">
        <w:t>Al respecto, en la D</w:t>
      </w:r>
      <w:r w:rsidR="008614C5" w:rsidRPr="00171F82">
        <w:t>écima Sexta,</w:t>
      </w:r>
      <w:r w:rsidRPr="00171F82">
        <w:t xml:space="preserve"> Décima Séptima</w:t>
      </w:r>
      <w:r w:rsidR="008614C5" w:rsidRPr="00171F82">
        <w:t xml:space="preserve">, </w:t>
      </w:r>
      <w:r w:rsidR="00400C34">
        <w:t xml:space="preserve">y </w:t>
      </w:r>
      <w:r w:rsidR="008614C5" w:rsidRPr="00171F82">
        <w:t xml:space="preserve">Décima Novena </w:t>
      </w:r>
      <w:r w:rsidRPr="00171F82">
        <w:t>Sesión del Comité</w:t>
      </w:r>
      <w:r w:rsidR="003D0E0C">
        <w:t xml:space="preserve"> Técnico de Desagregación</w:t>
      </w:r>
      <w:r w:rsidR="00481B34" w:rsidRPr="00171F82">
        <w:t xml:space="preserve">, </w:t>
      </w:r>
      <w:r w:rsidR="008614C5" w:rsidRPr="00171F82">
        <w:t xml:space="preserve">el AEP presentó </w:t>
      </w:r>
      <w:r w:rsidR="00862DF7">
        <w:t>su propuesta de</w:t>
      </w:r>
      <w:r w:rsidR="00862DF7" w:rsidRPr="00171F82">
        <w:t xml:space="preserve"> </w:t>
      </w:r>
      <w:r w:rsidR="008614C5" w:rsidRPr="00171F82">
        <w:t>los aspectos gen</w:t>
      </w:r>
      <w:r w:rsidR="000D020E" w:rsidRPr="00171F82">
        <w:t xml:space="preserve">erales </w:t>
      </w:r>
      <w:r w:rsidR="00862DF7">
        <w:t xml:space="preserve">técnicos, operativos </w:t>
      </w:r>
      <w:r w:rsidR="000D020E" w:rsidRPr="00171F82">
        <w:t>y de implementación del SRMLT</w:t>
      </w:r>
      <w:r w:rsidR="00862DF7">
        <w:t xml:space="preserve"> para su discusión</w:t>
      </w:r>
      <w:r w:rsidR="00400C34">
        <w:t>, la cual fue votada por los miembros del Comité en la Vigésima Primera Sesión del mismo</w:t>
      </w:r>
      <w:r w:rsidR="00862DF7">
        <w:t xml:space="preserve">, realizada el </w:t>
      </w:r>
      <w:r w:rsidR="00025AC7">
        <w:t>26 de mayo de 2017</w:t>
      </w:r>
      <w:r w:rsidR="000D020E" w:rsidRPr="00171F82">
        <w:t>.</w:t>
      </w:r>
      <w:r w:rsidR="003D0E0C">
        <w:t xml:space="preserve"> </w:t>
      </w:r>
    </w:p>
    <w:p w14:paraId="7A0F590D" w14:textId="77777777" w:rsidR="003D0E0C" w:rsidRDefault="003D0E0C" w:rsidP="004F36F7">
      <w:pPr>
        <w:pStyle w:val="IFTnormal"/>
        <w:spacing w:before="240"/>
      </w:pPr>
      <w:r w:rsidRPr="00025AC7">
        <w:t>En este sentido, con fecha 8 de noviembre de 2017, el Pleno del Instituto en su XLV Sesión Ordinaria aprobó mediante acuerdo P/IFT/081117/683 la</w:t>
      </w:r>
      <w:r w:rsidR="005B5071" w:rsidRPr="00025AC7">
        <w:t xml:space="preserve"> </w:t>
      </w:r>
      <w:r w:rsidRPr="00025AC7">
        <w:t>Resolución SRMLT</w:t>
      </w:r>
      <w:r w:rsidR="00862DF7" w:rsidRPr="00025AC7">
        <w:t xml:space="preserve">, en la cual </w:t>
      </w:r>
      <w:r w:rsidRPr="00147AC0">
        <w:t>se determin</w:t>
      </w:r>
      <w:r>
        <w:t xml:space="preserve">ó </w:t>
      </w:r>
      <w:r w:rsidRPr="00147AC0">
        <w:t>que Telmex y Telnor</w:t>
      </w:r>
      <w:r>
        <w:rPr>
          <w:b/>
        </w:rPr>
        <w:t xml:space="preserve"> </w:t>
      </w:r>
      <w:r w:rsidRPr="00147AC0">
        <w:t>debían</w:t>
      </w:r>
      <w:r>
        <w:rPr>
          <w:b/>
        </w:rPr>
        <w:t xml:space="preserve"> </w:t>
      </w:r>
      <w:r w:rsidRPr="00C6308E">
        <w:t xml:space="preserve">presentar para aprobación del Instituto la propuesta de tarifas aplicables al </w:t>
      </w:r>
      <w:r w:rsidRPr="00171F82">
        <w:t>SRMLT</w:t>
      </w:r>
      <w:r>
        <w:t xml:space="preserve"> </w:t>
      </w:r>
      <w:r w:rsidRPr="00C6308E">
        <w:t>dentro de los siguientes veinte días hábiles contados a parti</w:t>
      </w:r>
      <w:r>
        <w:t>r del día siguiente en que surtiera</w:t>
      </w:r>
      <w:r w:rsidRPr="00C6308E">
        <w:t xml:space="preserve"> efectos legales la notificación de la Resolución</w:t>
      </w:r>
      <w:r>
        <w:t xml:space="preserve"> SRMLT.</w:t>
      </w:r>
    </w:p>
    <w:p w14:paraId="39D83E09" w14:textId="77777777" w:rsidR="00302FA6" w:rsidRPr="000F43C6" w:rsidRDefault="00837334" w:rsidP="004F36F7">
      <w:pPr>
        <w:spacing w:before="240"/>
        <w:jc w:val="both"/>
        <w:rPr>
          <w:bCs/>
        </w:rPr>
      </w:pPr>
      <w:r w:rsidRPr="000F43C6">
        <w:rPr>
          <w:rFonts w:ascii="ITC Avant Garde" w:hAnsi="ITC Avant Garde"/>
          <w:b/>
        </w:rPr>
        <w:t>CUARTO. Tarifas.</w:t>
      </w:r>
      <w:r w:rsidR="00376B61" w:rsidRPr="000F43C6">
        <w:rPr>
          <w:rFonts w:ascii="ITC Avant Garde" w:hAnsi="ITC Avant Garde"/>
          <w:b/>
        </w:rPr>
        <w:t xml:space="preserve"> A </w:t>
      </w:r>
      <w:r w:rsidR="00B97F58" w:rsidRPr="000F43C6">
        <w:rPr>
          <w:rFonts w:ascii="ITC Avant Garde" w:hAnsi="ITC Avant Garde"/>
        </w:rPr>
        <w:t>continuación</w:t>
      </w:r>
      <w:r w:rsidR="00D506FA" w:rsidRPr="000F43C6">
        <w:rPr>
          <w:rFonts w:ascii="ITC Avant Garde" w:hAnsi="ITC Avant Garde"/>
        </w:rPr>
        <w:t>,</w:t>
      </w:r>
      <w:r w:rsidR="00B97F58" w:rsidRPr="000F43C6">
        <w:rPr>
          <w:rFonts w:ascii="ITC Avant Garde" w:hAnsi="ITC Avant Garde"/>
        </w:rPr>
        <w:t xml:space="preserve"> se present</w:t>
      </w:r>
      <w:r w:rsidR="00400C34" w:rsidRPr="000F43C6">
        <w:rPr>
          <w:rFonts w:ascii="ITC Avant Garde" w:hAnsi="ITC Avant Garde"/>
        </w:rPr>
        <w:t>a</w:t>
      </w:r>
      <w:r w:rsidR="00376B61" w:rsidRPr="000F43C6">
        <w:rPr>
          <w:rFonts w:ascii="ITC Avant Garde" w:hAnsi="ITC Avant Garde"/>
        </w:rPr>
        <w:t xml:space="preserve"> </w:t>
      </w:r>
      <w:r w:rsidR="00400C34" w:rsidRPr="000F43C6">
        <w:rPr>
          <w:rFonts w:ascii="ITC Avant Garde" w:hAnsi="ITC Avant Garde"/>
        </w:rPr>
        <w:t xml:space="preserve">el </w:t>
      </w:r>
      <w:r w:rsidR="00376B61" w:rsidRPr="000F43C6">
        <w:rPr>
          <w:rFonts w:ascii="ITC Avant Garde" w:hAnsi="ITC Avant Garde"/>
        </w:rPr>
        <w:t xml:space="preserve">análisis </w:t>
      </w:r>
      <w:r w:rsidR="00400C34" w:rsidRPr="000F43C6">
        <w:rPr>
          <w:rFonts w:ascii="ITC Avant Garde" w:hAnsi="ITC Avant Garde"/>
        </w:rPr>
        <w:t xml:space="preserve">de </w:t>
      </w:r>
      <w:r w:rsidR="00376B61" w:rsidRPr="000F43C6">
        <w:rPr>
          <w:rFonts w:ascii="ITC Avant Garde" w:hAnsi="ITC Avant Garde"/>
        </w:rPr>
        <w:t xml:space="preserve">los argumentos </w:t>
      </w:r>
      <w:r w:rsidR="00400C34" w:rsidRPr="000F43C6">
        <w:rPr>
          <w:rFonts w:ascii="ITC Avant Garde" w:hAnsi="ITC Avant Garde"/>
        </w:rPr>
        <w:t xml:space="preserve">indicados </w:t>
      </w:r>
      <w:r w:rsidR="00376B61" w:rsidRPr="000F43C6">
        <w:rPr>
          <w:rFonts w:ascii="ITC Avant Garde" w:hAnsi="ITC Avant Garde"/>
        </w:rPr>
        <w:t>por el AEP para los niveles tarifarios del SRMLT</w:t>
      </w:r>
      <w:r w:rsidR="00862DF7" w:rsidRPr="000F43C6">
        <w:rPr>
          <w:rFonts w:ascii="ITC Avant Garde" w:hAnsi="ITC Avant Garde"/>
        </w:rPr>
        <w:t xml:space="preserve"> presentados ante la Oficialía de Partes del Instituto el 20 de diciembre de 2017</w:t>
      </w:r>
      <w:r w:rsidR="001D73C4" w:rsidRPr="000F43C6">
        <w:rPr>
          <w:rFonts w:ascii="ITC Avant Garde" w:hAnsi="ITC Avant Garde"/>
        </w:rPr>
        <w:t xml:space="preserve"> mediante la Propuesta de tarifas del AEP y a su vez mediante las manifestaciones presentados ante la Oficialía de Partes del Instituto el 12 de febrero de 2018</w:t>
      </w:r>
      <w:r w:rsidR="00813F4E" w:rsidRPr="000F43C6">
        <w:rPr>
          <w:rFonts w:ascii="ITC Avant Garde" w:hAnsi="ITC Avant Garde"/>
        </w:rPr>
        <w:t>,</w:t>
      </w:r>
      <w:r w:rsidR="001D73C4" w:rsidRPr="000F43C6">
        <w:rPr>
          <w:rFonts w:ascii="ITC Avant Garde" w:hAnsi="ITC Avant Garde"/>
        </w:rPr>
        <w:t xml:space="preserve"> a través de la Respuesta al Requerimiento de tarifas</w:t>
      </w:r>
      <w:r w:rsidR="00B97F58" w:rsidRPr="000F43C6">
        <w:rPr>
          <w:rFonts w:ascii="ITC Avant Garde" w:hAnsi="ITC Avant Garde"/>
        </w:rPr>
        <w:t>:</w:t>
      </w:r>
    </w:p>
    <w:p w14:paraId="37D0B1EB" w14:textId="77777777" w:rsidR="00302FA6" w:rsidRPr="00430398" w:rsidRDefault="00302FA6" w:rsidP="004F36F7">
      <w:pPr>
        <w:spacing w:before="240"/>
        <w:jc w:val="both"/>
        <w:rPr>
          <w:rStyle w:val="IFTnormalCar"/>
          <w:rFonts w:cs="Arial"/>
          <w:b/>
          <w:u w:val="single"/>
          <w:lang w:val="es-419"/>
        </w:rPr>
      </w:pPr>
      <w:r>
        <w:rPr>
          <w:rFonts w:ascii="ITC Avant Garde" w:hAnsi="ITC Avant Garde" w:cs="Arial"/>
          <w:b/>
          <w:u w:val="single"/>
          <w:lang w:val="es-419"/>
        </w:rPr>
        <w:t xml:space="preserve">Manifestaciones del AEP respecto las </w:t>
      </w:r>
      <w:r w:rsidRPr="00246B5B">
        <w:rPr>
          <w:rFonts w:ascii="ITC Avant Garde" w:hAnsi="ITC Avant Garde" w:cs="Arial"/>
          <w:b/>
          <w:u w:val="single"/>
          <w:lang w:val="es-419"/>
        </w:rPr>
        <w:t xml:space="preserve">tarifas aplicables al </w:t>
      </w:r>
      <w:r>
        <w:rPr>
          <w:rFonts w:ascii="ITC Avant Garde" w:hAnsi="ITC Avant Garde" w:cs="Arial"/>
          <w:b/>
          <w:u w:val="single"/>
          <w:lang w:val="es-419"/>
        </w:rPr>
        <w:t>SR</w:t>
      </w:r>
      <w:r w:rsidR="008525AC">
        <w:rPr>
          <w:rFonts w:ascii="ITC Avant Garde" w:hAnsi="ITC Avant Garde" w:cs="Arial"/>
          <w:b/>
          <w:u w:val="single"/>
          <w:lang w:val="es-419"/>
        </w:rPr>
        <w:t>M</w:t>
      </w:r>
      <w:r>
        <w:rPr>
          <w:rFonts w:ascii="ITC Avant Garde" w:hAnsi="ITC Avant Garde" w:cs="Arial"/>
          <w:b/>
          <w:u w:val="single"/>
          <w:lang w:val="es-419"/>
        </w:rPr>
        <w:t>LT</w:t>
      </w:r>
    </w:p>
    <w:p w14:paraId="5C464542" w14:textId="77777777" w:rsidR="00302FA6" w:rsidRDefault="00400C34" w:rsidP="004F36F7">
      <w:pPr>
        <w:spacing w:before="240"/>
        <w:jc w:val="both"/>
        <w:rPr>
          <w:rStyle w:val="IFTnormalCar"/>
        </w:rPr>
      </w:pPr>
      <w:r>
        <w:rPr>
          <w:rStyle w:val="IFTnormalCar"/>
        </w:rPr>
        <w:t>L</w:t>
      </w:r>
      <w:r w:rsidR="00302FA6">
        <w:rPr>
          <w:rStyle w:val="IFTnormalCar"/>
        </w:rPr>
        <w:t xml:space="preserve">a </w:t>
      </w:r>
      <w:r w:rsidR="00302FA6" w:rsidRPr="00AA0DF1">
        <w:rPr>
          <w:rStyle w:val="IFTnormalCar"/>
        </w:rPr>
        <w:t>Propuesta de tarifas del AEP</w:t>
      </w:r>
      <w:r>
        <w:rPr>
          <w:rStyle w:val="IFTnormalCar"/>
        </w:rPr>
        <w:t xml:space="preserve"> contiene</w:t>
      </w:r>
      <w:r w:rsidR="00302FA6">
        <w:rPr>
          <w:rStyle w:val="IFTnormalCar"/>
        </w:rPr>
        <w:t xml:space="preserve"> una estructura tarifaria para el </w:t>
      </w:r>
      <w:r w:rsidR="00B86754" w:rsidRPr="00171F82">
        <w:rPr>
          <w:rFonts w:ascii="ITC Avant Garde" w:eastAsia="Times New Roman" w:hAnsi="ITC Avant Garde"/>
          <w:iCs/>
        </w:rPr>
        <w:t>SRMLT</w:t>
      </w:r>
      <w:r w:rsidR="00302FA6">
        <w:rPr>
          <w:rStyle w:val="IFTnormalCar"/>
        </w:rPr>
        <w:t xml:space="preserve"> en dos numerales </w:t>
      </w:r>
      <w:r w:rsidR="00430398">
        <w:rPr>
          <w:rStyle w:val="IFTnormalCar"/>
        </w:rPr>
        <w:t>denominados</w:t>
      </w:r>
      <w:r w:rsidR="00D506FA">
        <w:rPr>
          <w:rStyle w:val="IFTnormalCar"/>
        </w:rPr>
        <w:t xml:space="preserve"> </w:t>
      </w:r>
      <w:r w:rsidR="00302FA6">
        <w:rPr>
          <w:rStyle w:val="IFTnormalCar"/>
        </w:rPr>
        <w:t>“</w:t>
      </w:r>
      <w:r w:rsidR="00302FA6" w:rsidRPr="00CF49FA">
        <w:rPr>
          <w:rStyle w:val="IFTnormalCar"/>
          <w:b/>
          <w:i/>
        </w:rPr>
        <w:t>1. Servicio de Reventa Mayorista de Línea Telefónica (SRMLT)</w:t>
      </w:r>
      <w:r w:rsidR="00302FA6">
        <w:rPr>
          <w:rStyle w:val="IFTnormalCar"/>
        </w:rPr>
        <w:t>” y “</w:t>
      </w:r>
      <w:r w:rsidR="00302FA6" w:rsidRPr="00CF49FA">
        <w:rPr>
          <w:rStyle w:val="IFTnormalCar"/>
          <w:b/>
          <w:i/>
        </w:rPr>
        <w:t>2. Generales</w:t>
      </w:r>
      <w:r w:rsidR="00302FA6">
        <w:rPr>
          <w:rStyle w:val="IFTnormalCar"/>
        </w:rPr>
        <w:t>”</w:t>
      </w:r>
      <w:r w:rsidR="00334140">
        <w:rPr>
          <w:rStyle w:val="IFTnormalCar"/>
        </w:rPr>
        <w:t xml:space="preserve"> con base en lo siguiente</w:t>
      </w:r>
      <w:r w:rsidR="00302FA6">
        <w:rPr>
          <w:rStyle w:val="IFTnormalCar"/>
        </w:rPr>
        <w:t>:</w:t>
      </w:r>
    </w:p>
    <w:p w14:paraId="0EDBDA5C" w14:textId="77777777" w:rsidR="00302FA6" w:rsidRPr="00C80656" w:rsidRDefault="00302FA6" w:rsidP="004F36F7">
      <w:pPr>
        <w:pStyle w:val="Citaift"/>
        <w:spacing w:before="240"/>
        <w:rPr>
          <w:rStyle w:val="IFTnormalCar"/>
          <w:sz w:val="16"/>
        </w:rPr>
      </w:pPr>
      <w:r w:rsidRPr="00C80656">
        <w:rPr>
          <w:rStyle w:val="IFTnormalCar"/>
          <w:sz w:val="16"/>
        </w:rPr>
        <w:t>“Anexo Único</w:t>
      </w:r>
    </w:p>
    <w:p w14:paraId="2354A5AF" w14:textId="77777777" w:rsidR="00302FA6" w:rsidRPr="00C80656" w:rsidRDefault="00302FA6" w:rsidP="004F36F7">
      <w:pPr>
        <w:pStyle w:val="Citaift"/>
        <w:spacing w:before="240"/>
        <w:rPr>
          <w:rStyle w:val="IFTnormalCar"/>
          <w:sz w:val="16"/>
        </w:rPr>
      </w:pPr>
      <w:r w:rsidRPr="00C80656">
        <w:rPr>
          <w:rStyle w:val="IFTnormalCar"/>
          <w:sz w:val="16"/>
        </w:rPr>
        <w:t>De conformidad con el resolutivo QUINTO de la Resolución P/IFT/081117/683 por medio de la cual el Pleno del Instituto Federal de Telecomunicaciones (en adelante el "Instituto"), formalizó y resolvió el Servicio de Reventa Mayorista de Línea Telefónica (en adelante "SRMLT"), de la Oferta de Referencia de Desagregación del Bucle Local de Telmex y Telnor, se solicitó la presentación de la propuesta de tarifas aplicables a dicho servicio […]</w:t>
      </w:r>
    </w:p>
    <w:p w14:paraId="0164EF23" w14:textId="77777777" w:rsidR="00302FA6" w:rsidRPr="00C80656" w:rsidRDefault="00302FA6" w:rsidP="004F36F7">
      <w:pPr>
        <w:pStyle w:val="Citaift"/>
        <w:spacing w:before="240"/>
        <w:rPr>
          <w:rStyle w:val="IFTnormalCar"/>
          <w:sz w:val="16"/>
        </w:rPr>
      </w:pPr>
      <w:r w:rsidRPr="00C80656">
        <w:rPr>
          <w:rStyle w:val="IFTnormalCar"/>
          <w:sz w:val="16"/>
        </w:rPr>
        <w:t>[…] a continuación se presenta la propuesta tarifaria para el servicio SRMLT que tiene el cobre como medio de acceso:</w:t>
      </w:r>
    </w:p>
    <w:p w14:paraId="1836CCE9" w14:textId="77777777" w:rsidR="00302FA6" w:rsidRDefault="00302FA6" w:rsidP="004F36F7">
      <w:pPr>
        <w:spacing w:before="240"/>
        <w:jc w:val="center"/>
        <w:rPr>
          <w:rStyle w:val="IFTnormalCar"/>
        </w:rPr>
      </w:pPr>
      <w:r w:rsidRPr="00AA0DF1">
        <w:rPr>
          <w:rStyle w:val="IFTnormalCar"/>
          <w:noProof/>
          <w:lang w:eastAsia="es-MX"/>
        </w:rPr>
        <w:lastRenderedPageBreak/>
        <w:drawing>
          <wp:inline distT="0" distB="0" distL="0" distR="0" wp14:anchorId="4B77AD56" wp14:editId="61EE6B62">
            <wp:extent cx="4380865" cy="3362325"/>
            <wp:effectExtent l="0" t="0" r="635" b="9525"/>
            <wp:docPr id="6" name="Imagen 6" descr="Servicio de reventa mayorista de línea telefónica (SRML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5775" cy="3381443"/>
                    </a:xfrm>
                    <a:prstGeom prst="rect">
                      <a:avLst/>
                    </a:prstGeom>
                    <a:noFill/>
                    <a:ln>
                      <a:noFill/>
                    </a:ln>
                  </pic:spPr>
                </pic:pic>
              </a:graphicData>
            </a:graphic>
          </wp:inline>
        </w:drawing>
      </w:r>
    </w:p>
    <w:p w14:paraId="095FCD28" w14:textId="77777777" w:rsidR="00302FA6" w:rsidRDefault="00302FA6" w:rsidP="004F36F7">
      <w:pPr>
        <w:spacing w:before="240"/>
        <w:jc w:val="center"/>
        <w:rPr>
          <w:rStyle w:val="IFTnormalCar"/>
        </w:rPr>
      </w:pPr>
      <w:r w:rsidRPr="00AA0DF1">
        <w:rPr>
          <w:rStyle w:val="IFTnormalCar"/>
          <w:noProof/>
          <w:lang w:eastAsia="es-MX"/>
        </w:rPr>
        <w:drawing>
          <wp:inline distT="0" distB="0" distL="0" distR="0" wp14:anchorId="73753D51" wp14:editId="736DE9A3">
            <wp:extent cx="4731141" cy="781050"/>
            <wp:effectExtent l="0" t="0" r="0" b="0"/>
            <wp:docPr id="7" name="Imagen 7" descr="Servicio de reventa mayorista de línea telefónica (SRML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7413" cy="785387"/>
                    </a:xfrm>
                    <a:prstGeom prst="rect">
                      <a:avLst/>
                    </a:prstGeom>
                    <a:noFill/>
                    <a:ln>
                      <a:noFill/>
                    </a:ln>
                  </pic:spPr>
                </pic:pic>
              </a:graphicData>
            </a:graphic>
          </wp:inline>
        </w:drawing>
      </w:r>
    </w:p>
    <w:p w14:paraId="3B4E3396" w14:textId="77777777" w:rsidR="00302FA6" w:rsidRDefault="00302FA6" w:rsidP="004F36F7">
      <w:pPr>
        <w:pStyle w:val="Citaift"/>
        <w:spacing w:before="240"/>
        <w:rPr>
          <w:rStyle w:val="IFTnormalCar"/>
        </w:rPr>
      </w:pPr>
      <w:r>
        <w:rPr>
          <w:rStyle w:val="IFTnormalCar"/>
        </w:rPr>
        <w:t>”</w:t>
      </w:r>
    </w:p>
    <w:p w14:paraId="421DDE97" w14:textId="77777777" w:rsidR="00302FA6" w:rsidRDefault="00302FA6" w:rsidP="004F36F7">
      <w:pPr>
        <w:pStyle w:val="IFTnormal"/>
        <w:spacing w:before="240"/>
      </w:pPr>
      <w:r>
        <w:rPr>
          <w:rStyle w:val="IFTnormalCar"/>
        </w:rPr>
        <w:t>Por otra parte</w:t>
      </w:r>
      <w:r w:rsidRPr="00E017BA">
        <w:rPr>
          <w:rStyle w:val="IFTnormalCar"/>
        </w:rPr>
        <w:t xml:space="preserve">, </w:t>
      </w:r>
      <w:r w:rsidR="00B86754">
        <w:rPr>
          <w:rStyle w:val="IFTnormalCar"/>
        </w:rPr>
        <w:t>a través del Requerimiento de tarifas el</w:t>
      </w:r>
      <w:r w:rsidR="00B86754" w:rsidRPr="00E017BA">
        <w:rPr>
          <w:rStyle w:val="IFTnormalCar"/>
        </w:rPr>
        <w:t xml:space="preserve"> </w:t>
      </w:r>
      <w:r w:rsidRPr="00E017BA">
        <w:rPr>
          <w:rStyle w:val="IFTnormalCar"/>
        </w:rPr>
        <w:t xml:space="preserve">Instituto </w:t>
      </w:r>
      <w:r w:rsidR="00334140">
        <w:rPr>
          <w:rStyle w:val="IFTnormalCar"/>
        </w:rPr>
        <w:t>solicitó</w:t>
      </w:r>
      <w:r w:rsidR="00334140" w:rsidRPr="00E017BA">
        <w:rPr>
          <w:rStyle w:val="IFTnormalCar"/>
        </w:rPr>
        <w:t xml:space="preserve"> </w:t>
      </w:r>
      <w:r w:rsidRPr="00E017BA">
        <w:rPr>
          <w:rStyle w:val="IFTnormalCar"/>
        </w:rPr>
        <w:t>al AEP proporcionar diversa información con el fin de llevar a cabo la estimación de las tarifas correspondientes para el SR</w:t>
      </w:r>
      <w:r w:rsidR="00670A33">
        <w:rPr>
          <w:rStyle w:val="IFTnormalCar"/>
        </w:rPr>
        <w:t>M</w:t>
      </w:r>
      <w:r w:rsidRPr="00E017BA">
        <w:rPr>
          <w:rStyle w:val="IFTnormalCar"/>
        </w:rPr>
        <w:t>LT.</w:t>
      </w:r>
      <w:r>
        <w:rPr>
          <w:rStyle w:val="IFTnormalCar"/>
        </w:rPr>
        <w:t xml:space="preserve"> </w:t>
      </w:r>
      <w:r>
        <w:t>Cabe destacar que, a través de éste documento, el Instituto solicitó al AEP</w:t>
      </w:r>
      <w:r>
        <w:rPr>
          <w:lang w:val="es-419"/>
        </w:rPr>
        <w:t xml:space="preserve"> que explicara </w:t>
      </w:r>
      <w:r w:rsidR="002929E7">
        <w:rPr>
          <w:lang w:val="es-419"/>
        </w:rPr>
        <w:t>l</w:t>
      </w:r>
      <w:r w:rsidRPr="00E2316C">
        <w:rPr>
          <w:lang w:val="es-419"/>
        </w:rPr>
        <w:t xml:space="preserve">a metodología que se siguió para calcular cada una de las tarifas contenidas en </w:t>
      </w:r>
      <w:r w:rsidRPr="00E2316C">
        <w:t>la</w:t>
      </w:r>
      <w:r w:rsidRPr="00E2316C">
        <w:rPr>
          <w:lang w:val="es-419"/>
        </w:rPr>
        <w:t xml:space="preserve"> Propuesta de tarifas del AEP</w:t>
      </w:r>
      <w:r>
        <w:rPr>
          <w:lang w:val="es-419"/>
        </w:rPr>
        <w:t xml:space="preserve">, así como de los elementos de costos considerados y su justificación correspondiente, tal como se aprecia en el siguiente fragmento del </w:t>
      </w:r>
      <w:r w:rsidRPr="00E017BA">
        <w:rPr>
          <w:rStyle w:val="IFTnormalCar"/>
        </w:rPr>
        <w:t>Oficio de Requerimiento</w:t>
      </w:r>
      <w:r>
        <w:rPr>
          <w:lang w:val="es-419"/>
        </w:rPr>
        <w:t>:</w:t>
      </w:r>
    </w:p>
    <w:p w14:paraId="0EF127F7" w14:textId="77777777" w:rsidR="00302FA6" w:rsidRPr="00930715" w:rsidRDefault="00302FA6" w:rsidP="004F36F7">
      <w:pPr>
        <w:pStyle w:val="CitaIFT0"/>
        <w:spacing w:before="240"/>
        <w:jc w:val="center"/>
        <w:rPr>
          <w:b/>
        </w:rPr>
      </w:pPr>
      <w:r>
        <w:t>“</w:t>
      </w:r>
      <w:r w:rsidRPr="00930715">
        <w:rPr>
          <w:b/>
        </w:rPr>
        <w:t>ANEXO</w:t>
      </w:r>
    </w:p>
    <w:p w14:paraId="5496F1CA" w14:textId="77777777" w:rsidR="00302FA6" w:rsidRPr="003A434F" w:rsidRDefault="00302FA6" w:rsidP="004F36F7">
      <w:pPr>
        <w:pStyle w:val="CitaIFT0"/>
        <w:spacing w:before="240"/>
        <w:rPr>
          <w:b/>
          <w:u w:val="single"/>
        </w:rPr>
      </w:pPr>
      <w:r w:rsidRPr="003A434F">
        <w:rPr>
          <w:b/>
          <w:u w:val="single"/>
          <w:lang w:val="es-ES"/>
        </w:rPr>
        <w:t>A</w:t>
      </w:r>
      <w:r w:rsidRPr="003A434F">
        <w:rPr>
          <w:b/>
          <w:u w:val="single"/>
        </w:rPr>
        <w:t xml:space="preserve"> fin de llevar a cabo la estimación de las tarifas del SRMLT, el presente documento aborda una lista de elementos de información cuantitativa y cuantitativa que se consideran necesarios para ejecutar dicha </w:t>
      </w:r>
      <w:r w:rsidRPr="003A434F">
        <w:rPr>
          <w:b/>
          <w:u w:val="single"/>
          <w:lang w:val="es-419"/>
        </w:rPr>
        <w:t>estimación</w:t>
      </w:r>
      <w:r w:rsidRPr="003A434F">
        <w:rPr>
          <w:b/>
          <w:u w:val="single"/>
        </w:rPr>
        <w:t xml:space="preserve">. </w:t>
      </w:r>
    </w:p>
    <w:p w14:paraId="3DC6C207" w14:textId="77777777" w:rsidR="00302FA6" w:rsidRPr="00523410" w:rsidRDefault="00302FA6" w:rsidP="004F36F7">
      <w:pPr>
        <w:pStyle w:val="CitaIFT0"/>
        <w:spacing w:before="240"/>
      </w:pPr>
      <w:r>
        <w:t>[…]</w:t>
      </w:r>
    </w:p>
    <w:p w14:paraId="0D0E52C0" w14:textId="77777777" w:rsidR="00302FA6" w:rsidRDefault="00302FA6" w:rsidP="004F36F7">
      <w:pPr>
        <w:pStyle w:val="CitaIFT0"/>
        <w:spacing w:before="240"/>
      </w:pPr>
      <w:r>
        <w:t xml:space="preserve">En tales términos, se requiere lo </w:t>
      </w:r>
      <w:r w:rsidDel="00D55D79">
        <w:t>siguiente</w:t>
      </w:r>
      <w:r>
        <w:t>:</w:t>
      </w:r>
    </w:p>
    <w:p w14:paraId="798938CF" w14:textId="77777777" w:rsidR="00302FA6" w:rsidRPr="00E2316C" w:rsidRDefault="00302FA6" w:rsidP="004F36F7">
      <w:pPr>
        <w:pStyle w:val="CitaIFT0"/>
        <w:spacing w:before="240"/>
      </w:pPr>
      <w:r w:rsidRPr="00C66D56">
        <w:rPr>
          <w:b/>
        </w:rPr>
        <w:lastRenderedPageBreak/>
        <w:t>SOBRE LA PROPUESTA DE TARIFAS DEL AEP</w:t>
      </w:r>
    </w:p>
    <w:p w14:paraId="20554BB9" w14:textId="77777777" w:rsidR="00302FA6" w:rsidRPr="00E2316C" w:rsidRDefault="00624D45" w:rsidP="004F36F7">
      <w:pPr>
        <w:pStyle w:val="CitaIFT0"/>
        <w:spacing w:before="240"/>
      </w:pPr>
      <w:r>
        <w:rPr>
          <w:b/>
          <w:u w:val="single"/>
          <w:lang w:val="es-419"/>
        </w:rPr>
        <w:t xml:space="preserve">I. </w:t>
      </w:r>
      <w:r w:rsidR="00302FA6" w:rsidRPr="003A434F">
        <w:rPr>
          <w:b/>
          <w:u w:val="single"/>
          <w:lang w:val="es-419"/>
        </w:rPr>
        <w:t xml:space="preserve">Entrega de documento donde se explique la metodología que se siguió para calcular cada una de las tarifas contenidas en </w:t>
      </w:r>
      <w:r w:rsidR="00302FA6" w:rsidRPr="003A434F">
        <w:rPr>
          <w:b/>
          <w:u w:val="single"/>
        </w:rPr>
        <w:t>la</w:t>
      </w:r>
      <w:r w:rsidR="00302FA6" w:rsidRPr="003A434F">
        <w:rPr>
          <w:b/>
          <w:u w:val="single"/>
          <w:lang w:val="es-419"/>
        </w:rPr>
        <w:t xml:space="preserve"> Propuesta de tarifas del AEP.</w:t>
      </w:r>
      <w:r w:rsidR="00302FA6" w:rsidRPr="00E2316C">
        <w:t xml:space="preserve"> De manera particular, por cada nivel tarifario se deberá presentar </w:t>
      </w:r>
      <w:r w:rsidR="00302FA6" w:rsidRPr="00E2316C">
        <w:rPr>
          <w:lang w:val="es-419"/>
        </w:rPr>
        <w:t xml:space="preserve">un listado </w:t>
      </w:r>
      <w:r w:rsidR="00302FA6">
        <w:t xml:space="preserve">de </w:t>
      </w:r>
      <w:r w:rsidR="00302FA6" w:rsidRPr="00E2316C">
        <w:rPr>
          <w:lang w:val="es-419"/>
        </w:rPr>
        <w:t>las diferentes actividades, materiales, elementos activos y pasivos involucrados.</w:t>
      </w:r>
    </w:p>
    <w:p w14:paraId="0346A8B1" w14:textId="77777777" w:rsidR="00302FA6" w:rsidRPr="003A434F" w:rsidRDefault="00302FA6" w:rsidP="004F36F7">
      <w:pPr>
        <w:pStyle w:val="CitaIFT0"/>
        <w:spacing w:before="240"/>
        <w:ind w:left="1211"/>
        <w:rPr>
          <w:b/>
          <w:u w:val="single"/>
          <w:lang w:val="es-419"/>
        </w:rPr>
      </w:pPr>
      <w:r w:rsidRPr="003A434F">
        <w:rPr>
          <w:b/>
          <w:u w:val="single"/>
          <w:lang w:val="es-419"/>
        </w:rPr>
        <w:t>Adicionalmente, se deberá proveer información sobre los costos asociados a cada tarifa presentada con su debida justificación, considerando:</w:t>
      </w:r>
    </w:p>
    <w:p w14:paraId="48C22F6B" w14:textId="77777777" w:rsidR="00302FA6" w:rsidRPr="003A434F" w:rsidRDefault="00302FA6" w:rsidP="004F36F7">
      <w:pPr>
        <w:pStyle w:val="CitaIFT0"/>
        <w:numPr>
          <w:ilvl w:val="0"/>
          <w:numId w:val="19"/>
        </w:numPr>
        <w:spacing w:before="240"/>
        <w:rPr>
          <w:b/>
          <w:u w:val="single"/>
          <w:lang w:val="es-419"/>
        </w:rPr>
      </w:pPr>
      <w:r w:rsidRPr="003A434F">
        <w:rPr>
          <w:b/>
          <w:u w:val="single"/>
          <w:lang w:val="es-419"/>
        </w:rPr>
        <w:t>Costos de los elementos involucrados en la prestación del servicio.</w:t>
      </w:r>
    </w:p>
    <w:p w14:paraId="5CA200A7" w14:textId="77777777" w:rsidR="00302FA6" w:rsidRPr="003A434F" w:rsidRDefault="00302FA6" w:rsidP="004F36F7">
      <w:pPr>
        <w:pStyle w:val="CitaIFT0"/>
        <w:numPr>
          <w:ilvl w:val="0"/>
          <w:numId w:val="19"/>
        </w:numPr>
        <w:spacing w:before="240"/>
        <w:rPr>
          <w:b/>
          <w:u w:val="single"/>
          <w:lang w:val="es-419"/>
        </w:rPr>
      </w:pPr>
      <w:r w:rsidRPr="003A434F">
        <w:rPr>
          <w:b/>
          <w:u w:val="single"/>
          <w:lang w:val="es-419"/>
        </w:rPr>
        <w:t xml:space="preserve">Aquellos derivados de capacitación, herramientas o materiales empleados, </w:t>
      </w:r>
    </w:p>
    <w:p w14:paraId="4DFFDCE9" w14:textId="77777777" w:rsidR="00302FA6" w:rsidRPr="003A434F" w:rsidRDefault="00302FA6" w:rsidP="004F36F7">
      <w:pPr>
        <w:pStyle w:val="CitaIFT0"/>
        <w:numPr>
          <w:ilvl w:val="0"/>
          <w:numId w:val="19"/>
        </w:numPr>
        <w:spacing w:before="240"/>
        <w:rPr>
          <w:b/>
          <w:u w:val="single"/>
          <w:lang w:val="es-419"/>
        </w:rPr>
      </w:pPr>
      <w:r w:rsidRPr="003A434F">
        <w:rPr>
          <w:b/>
          <w:u w:val="single"/>
          <w:lang w:val="es-419"/>
        </w:rPr>
        <w:t>Costos de administración,</w:t>
      </w:r>
    </w:p>
    <w:p w14:paraId="6BCAB31B" w14:textId="77777777" w:rsidR="00302FA6" w:rsidRPr="003A434F" w:rsidRDefault="00302FA6" w:rsidP="004F36F7">
      <w:pPr>
        <w:pStyle w:val="CitaIFT0"/>
        <w:numPr>
          <w:ilvl w:val="0"/>
          <w:numId w:val="19"/>
        </w:numPr>
        <w:spacing w:before="240"/>
        <w:rPr>
          <w:b/>
          <w:u w:val="single"/>
          <w:lang w:val="es-419"/>
        </w:rPr>
      </w:pPr>
      <w:r w:rsidRPr="003A434F">
        <w:rPr>
          <w:b/>
          <w:u w:val="single"/>
          <w:lang w:val="es-419"/>
        </w:rPr>
        <w:t>Costos comunes, y</w:t>
      </w:r>
    </w:p>
    <w:p w14:paraId="5A45F231" w14:textId="77777777" w:rsidR="00302FA6" w:rsidRPr="00C66D56" w:rsidRDefault="00302FA6" w:rsidP="004F36F7">
      <w:pPr>
        <w:pStyle w:val="CitaIFT0"/>
        <w:numPr>
          <w:ilvl w:val="0"/>
          <w:numId w:val="19"/>
        </w:numPr>
        <w:spacing w:before="240"/>
        <w:rPr>
          <w:lang w:val="es-419"/>
        </w:rPr>
      </w:pPr>
      <w:r w:rsidRPr="003A434F">
        <w:rPr>
          <w:b/>
          <w:u w:val="single"/>
          <w:lang w:val="es-419"/>
        </w:rPr>
        <w:t>Aquellos elementos adicionales que haya considerado para su estimación.</w:t>
      </w:r>
    </w:p>
    <w:p w14:paraId="4869247B" w14:textId="77777777" w:rsidR="00302FA6" w:rsidRDefault="00302FA6" w:rsidP="004F36F7">
      <w:pPr>
        <w:pStyle w:val="CitaIFT0"/>
        <w:spacing w:before="240"/>
        <w:ind w:left="1211"/>
        <w:rPr>
          <w:lang w:val="es-419"/>
        </w:rPr>
      </w:pPr>
      <w:r w:rsidRPr="000A3E04">
        <w:rPr>
          <w:b/>
          <w:u w:val="single"/>
          <w:lang w:val="es-419"/>
        </w:rPr>
        <w:t>También deberá proporcionar, de resultar aplicable, el valor del salario promedio por hora del personal involucrado en las correspondientes actividades y el tiempo promedio invertido por el personal en tales actividades.</w:t>
      </w:r>
      <w:r w:rsidRPr="00C66D56">
        <w:rPr>
          <w:lang w:val="es-419"/>
        </w:rPr>
        <w:t>”</w:t>
      </w:r>
    </w:p>
    <w:p w14:paraId="04A964FE" w14:textId="77777777" w:rsidR="00302FA6" w:rsidRPr="00C66D56" w:rsidRDefault="00302FA6" w:rsidP="004F36F7">
      <w:pPr>
        <w:pStyle w:val="CitaIFT0"/>
        <w:spacing w:before="240"/>
        <w:ind w:left="1211"/>
        <w:jc w:val="right"/>
        <w:rPr>
          <w:lang w:val="es-419"/>
        </w:rPr>
      </w:pPr>
      <w:r>
        <w:rPr>
          <w:lang w:val="es-419"/>
        </w:rPr>
        <w:t>(Énfasis añadido)</w:t>
      </w:r>
    </w:p>
    <w:p w14:paraId="5B2BDDBA" w14:textId="77777777" w:rsidR="00302FA6" w:rsidRDefault="00302FA6" w:rsidP="004F36F7">
      <w:pPr>
        <w:pStyle w:val="IFTnormal"/>
        <w:spacing w:before="240"/>
      </w:pPr>
      <w:r>
        <w:t>En este sentido, respecto del concepto “</w:t>
      </w:r>
      <w:r w:rsidRPr="00963B29">
        <w:rPr>
          <w:i/>
        </w:rPr>
        <w:t>Gastos de Configuración de Central</w:t>
      </w:r>
      <w:r>
        <w:t xml:space="preserve">”, a través de la </w:t>
      </w:r>
      <w:r w:rsidRPr="004D34B0">
        <w:t xml:space="preserve">Respuesta al </w:t>
      </w:r>
      <w:r w:rsidR="00376B61">
        <w:t>Requerimiento de tarifas</w:t>
      </w:r>
      <w:r>
        <w:t xml:space="preserve"> el AEP indica lo siguiente:</w:t>
      </w:r>
    </w:p>
    <w:p w14:paraId="3CE62148" w14:textId="567D754A" w:rsidR="00302FA6" w:rsidRDefault="00302FA6" w:rsidP="004F36F7">
      <w:pPr>
        <w:pStyle w:val="CitaIFT0"/>
        <w:spacing w:before="240"/>
        <w:rPr>
          <w:b/>
        </w:rPr>
      </w:pPr>
      <w:r w:rsidRPr="000B5713">
        <w:t>“</w:t>
      </w:r>
      <w:r w:rsidRPr="000B5713">
        <w:rPr>
          <w:b/>
        </w:rPr>
        <w:t>Cobros no Recurrentes</w:t>
      </w:r>
    </w:p>
    <w:p w14:paraId="260973BF" w14:textId="7D9B26FD" w:rsidR="0012057E" w:rsidRPr="000B5713" w:rsidRDefault="0012057E" w:rsidP="004F36F7">
      <w:pPr>
        <w:pStyle w:val="CitaIFT0"/>
        <w:spacing w:before="240"/>
        <w:jc w:val="center"/>
        <w:rPr>
          <w:b/>
        </w:rPr>
      </w:pPr>
      <w:r>
        <w:rPr>
          <w:noProof/>
          <w:lang w:val="es-MX" w:eastAsia="es-MX"/>
        </w:rPr>
        <w:drawing>
          <wp:inline distT="0" distB="0" distL="0" distR="0" wp14:anchorId="4433ABD3" wp14:editId="7BDB588F">
            <wp:extent cx="4065183" cy="844248"/>
            <wp:effectExtent l="0" t="0" r="0" b="0"/>
            <wp:docPr id="1" name="Imagen 1" descr="Gastos de Configuración de Centr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83124" cy="868742"/>
                    </a:xfrm>
                    <a:prstGeom prst="rect">
                      <a:avLst/>
                    </a:prstGeom>
                  </pic:spPr>
                </pic:pic>
              </a:graphicData>
            </a:graphic>
          </wp:inline>
        </w:drawing>
      </w:r>
    </w:p>
    <w:p w14:paraId="5F09AFF7" w14:textId="77777777" w:rsidR="00302FA6" w:rsidRPr="00FD6CC0" w:rsidRDefault="00302FA6" w:rsidP="004F36F7">
      <w:pPr>
        <w:pStyle w:val="CitaIFT0"/>
        <w:spacing w:before="240"/>
        <w:rPr>
          <w:b/>
          <w:u w:val="single"/>
        </w:rPr>
      </w:pPr>
      <w:r w:rsidRPr="00FD6CC0">
        <w:rPr>
          <w:b/>
          <w:u w:val="single"/>
        </w:rPr>
        <w:t>Para los gastos de configuración de central se considera únicamente el costo de Mano de Obra sin considerar el uso de ningún otro tipo de herramienta.</w:t>
      </w:r>
    </w:p>
    <w:p w14:paraId="11B08D0C" w14:textId="77777777" w:rsidR="00302FA6" w:rsidRPr="00813EDB" w:rsidRDefault="00302FA6" w:rsidP="004F36F7">
      <w:pPr>
        <w:pStyle w:val="CitaIFT0"/>
        <w:spacing w:before="240"/>
        <w:rPr>
          <w:b/>
          <w:u w:val="single"/>
        </w:rPr>
      </w:pPr>
      <w:r w:rsidRPr="00813EDB">
        <w:rPr>
          <w:b/>
          <w:u w:val="single"/>
        </w:rPr>
        <w:t xml:space="preserve">Se toma en cuenta una persona sindicalizada con el perfil de “Conmutación – Transmisión”, el cual estará operando por 6.25 hrs para dicha configuración. </w:t>
      </w:r>
    </w:p>
    <w:p w14:paraId="3D1FB191" w14:textId="4485F00D" w:rsidR="00302FA6" w:rsidRDefault="00302FA6" w:rsidP="004F36F7">
      <w:pPr>
        <w:pStyle w:val="CitaIFT0"/>
        <w:spacing w:before="240"/>
        <w:rPr>
          <w:b/>
          <w:u w:val="single"/>
        </w:rPr>
      </w:pPr>
      <w:r w:rsidRPr="00813EDB">
        <w:rPr>
          <w:b/>
          <w:u w:val="single"/>
        </w:rPr>
        <w:t>Para su cálculo se toma el salario diario integrado del personal, se divide entre las horas laborales y se multiplica el resultado de dicha operación por las horas que necesita para llevar a cabo la configuración, como se muestra a continuación.</w:t>
      </w:r>
    </w:p>
    <w:p w14:paraId="785EAD97" w14:textId="77777777" w:rsidR="004F36F7" w:rsidRDefault="00C07C48" w:rsidP="004F36F7">
      <w:pPr>
        <w:pStyle w:val="CitaIFT0"/>
        <w:spacing w:before="240"/>
        <w:jc w:val="center"/>
        <w:rPr>
          <w:b/>
          <w:u w:val="single"/>
        </w:rPr>
      </w:pPr>
      <w:r>
        <w:rPr>
          <w:noProof/>
          <w:lang w:val="es-MX" w:eastAsia="es-MX"/>
        </w:rPr>
        <w:lastRenderedPageBreak/>
        <w:drawing>
          <wp:inline distT="0" distB="0" distL="0" distR="0" wp14:anchorId="09809E72" wp14:editId="49EE3361">
            <wp:extent cx="4899546" cy="1878750"/>
            <wp:effectExtent l="0" t="0" r="0" b="7620"/>
            <wp:docPr id="4" name="Imagen 4" descr="Costo de person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21027" cy="1886987"/>
                    </a:xfrm>
                    <a:prstGeom prst="rect">
                      <a:avLst/>
                    </a:prstGeom>
                  </pic:spPr>
                </pic:pic>
              </a:graphicData>
            </a:graphic>
          </wp:inline>
        </w:drawing>
      </w:r>
    </w:p>
    <w:p w14:paraId="29DAD360" w14:textId="3DAEDCF0" w:rsidR="00302FA6" w:rsidRDefault="00302FA6" w:rsidP="004F36F7">
      <w:pPr>
        <w:pStyle w:val="IFTnormal"/>
        <w:spacing w:before="240"/>
      </w:pPr>
      <w:r>
        <w:t>Asimismo, en torno al concepto “</w:t>
      </w:r>
      <w:r w:rsidRPr="00963B29">
        <w:rPr>
          <w:i/>
        </w:rPr>
        <w:t>Gastos de habilitación del SRMLT</w:t>
      </w:r>
      <w:r>
        <w:t xml:space="preserve">”, a través de la </w:t>
      </w:r>
      <w:r w:rsidRPr="004D34B0">
        <w:t xml:space="preserve">Respuesta al </w:t>
      </w:r>
      <w:r w:rsidR="00376B61">
        <w:t>Requerimiento de tarifas</w:t>
      </w:r>
      <w:r>
        <w:t xml:space="preserve"> se señala que:</w:t>
      </w:r>
    </w:p>
    <w:p w14:paraId="4AEBCC7C" w14:textId="2D8FCA04" w:rsidR="00302FA6" w:rsidRDefault="00302FA6" w:rsidP="004F36F7">
      <w:pPr>
        <w:pStyle w:val="CitaIFT0"/>
        <w:spacing w:before="240"/>
      </w:pPr>
      <w:r>
        <w:t>“[…]</w:t>
      </w:r>
    </w:p>
    <w:p w14:paraId="3BC76544" w14:textId="77777777" w:rsidR="004F36F7" w:rsidRDefault="00C07C48" w:rsidP="004F36F7">
      <w:pPr>
        <w:pStyle w:val="CitaIFT0"/>
        <w:spacing w:before="240"/>
        <w:jc w:val="center"/>
      </w:pPr>
      <w:r>
        <w:rPr>
          <w:noProof/>
          <w:lang w:val="es-MX" w:eastAsia="es-MX"/>
        </w:rPr>
        <w:drawing>
          <wp:inline distT="0" distB="0" distL="0" distR="0" wp14:anchorId="3ABFB18D" wp14:editId="54D365C6">
            <wp:extent cx="4786292" cy="736979"/>
            <wp:effectExtent l="0" t="0" r="0" b="6350"/>
            <wp:docPr id="10" name="Imagen 10" descr="Gastos de habilitación del SRML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77407" cy="781804"/>
                    </a:xfrm>
                    <a:prstGeom prst="rect">
                      <a:avLst/>
                    </a:prstGeom>
                  </pic:spPr>
                </pic:pic>
              </a:graphicData>
            </a:graphic>
          </wp:inline>
        </w:drawing>
      </w:r>
    </w:p>
    <w:p w14:paraId="377491A8" w14:textId="633678DB" w:rsidR="00302FA6" w:rsidRDefault="00302FA6" w:rsidP="004F36F7">
      <w:pPr>
        <w:pStyle w:val="Citaift"/>
        <w:spacing w:before="240"/>
      </w:pPr>
      <w:r w:rsidRPr="001E1A7D">
        <w:rPr>
          <w:b/>
          <w:u w:val="single"/>
        </w:rPr>
        <w:t>La tarifa del servicio fue considerada de la resolución de la OREDA 2017 - 2018 vigente en el Anexo A de tarifas</w:t>
      </w:r>
      <w:r>
        <w:t>.</w:t>
      </w:r>
    </w:p>
    <w:p w14:paraId="0E049DFF" w14:textId="77777777" w:rsidR="00302FA6" w:rsidRDefault="00302FA6" w:rsidP="004F36F7">
      <w:pPr>
        <w:pStyle w:val="Citaift"/>
        <w:spacing w:before="240"/>
        <w:rPr>
          <w:color w:val="auto"/>
        </w:rPr>
      </w:pPr>
      <w:r>
        <w:rPr>
          <w:color w:val="auto"/>
        </w:rPr>
        <w:t>[…]”</w:t>
      </w:r>
    </w:p>
    <w:p w14:paraId="622DE972" w14:textId="77777777" w:rsidR="00302FA6" w:rsidRDefault="00302FA6" w:rsidP="004F36F7">
      <w:pPr>
        <w:pStyle w:val="Citaift"/>
        <w:spacing w:before="240"/>
        <w:jc w:val="right"/>
        <w:rPr>
          <w:color w:val="auto"/>
        </w:rPr>
      </w:pPr>
      <w:r>
        <w:rPr>
          <w:color w:val="auto"/>
        </w:rPr>
        <w:t>(Énfasis añadido)</w:t>
      </w:r>
    </w:p>
    <w:p w14:paraId="1661A1E5" w14:textId="77777777" w:rsidR="00302FA6" w:rsidRDefault="00302FA6" w:rsidP="004F36F7">
      <w:pPr>
        <w:pStyle w:val="IFTnormal"/>
        <w:spacing w:before="240"/>
      </w:pPr>
      <w:r>
        <w:t>Por otra parte, asociado al concepto “</w:t>
      </w:r>
      <w:r w:rsidRPr="00963B29">
        <w:rPr>
          <w:i/>
        </w:rPr>
        <w:t>Renta mensual de línea Residencial</w:t>
      </w:r>
      <w:r>
        <w:t xml:space="preserve">”, la </w:t>
      </w:r>
      <w:r w:rsidRPr="004D34B0">
        <w:t xml:space="preserve">Respuesta al </w:t>
      </w:r>
      <w:r w:rsidR="00376B61">
        <w:t>Requerimiento de tarifas</w:t>
      </w:r>
      <w:r>
        <w:t xml:space="preserve"> indica lo siguiente:</w:t>
      </w:r>
    </w:p>
    <w:p w14:paraId="3A8C7BC0" w14:textId="5777817F" w:rsidR="00302FA6" w:rsidRDefault="00302FA6" w:rsidP="004F36F7">
      <w:pPr>
        <w:pStyle w:val="CitaIFT0"/>
        <w:spacing w:before="240"/>
      </w:pPr>
      <w:r>
        <w:t>“[…]</w:t>
      </w:r>
    </w:p>
    <w:p w14:paraId="5D77BC8A" w14:textId="77777777" w:rsidR="004F36F7" w:rsidRDefault="00C07C48" w:rsidP="004F36F7">
      <w:pPr>
        <w:pStyle w:val="CitaIFT0"/>
        <w:spacing w:before="240"/>
      </w:pPr>
      <w:r>
        <w:rPr>
          <w:noProof/>
          <w:lang w:val="es-MX" w:eastAsia="es-MX"/>
        </w:rPr>
        <w:drawing>
          <wp:inline distT="0" distB="0" distL="0" distR="0" wp14:anchorId="0EB7BBEA" wp14:editId="3A4179C9">
            <wp:extent cx="4585648" cy="1121543"/>
            <wp:effectExtent l="0" t="0" r="5715" b="2540"/>
            <wp:docPr id="11" name="Imagen 11" descr="Renta Mensual de Línea Residenci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05894" cy="1126495"/>
                    </a:xfrm>
                    <a:prstGeom prst="rect">
                      <a:avLst/>
                    </a:prstGeom>
                  </pic:spPr>
                </pic:pic>
              </a:graphicData>
            </a:graphic>
          </wp:inline>
        </w:drawing>
      </w:r>
    </w:p>
    <w:p w14:paraId="780ECDB4" w14:textId="6B84B745" w:rsidR="00302FA6" w:rsidRPr="00CD6754" w:rsidRDefault="00302FA6" w:rsidP="004F36F7">
      <w:pPr>
        <w:pStyle w:val="CitaIFT0"/>
        <w:spacing w:before="240"/>
      </w:pPr>
      <w:r w:rsidRPr="006A59B6">
        <w:rPr>
          <w:b/>
          <w:u w:val="single"/>
        </w:rPr>
        <w:t>Se toma la tarifa registrada de Renta para línea telefónica de uso residencial de $156.55, a ésta se le descuentan los costos evitados del 20%</w:t>
      </w:r>
      <w:r>
        <w:t xml:space="preserve">, llegando así a la tarifa propuesta. </w:t>
      </w:r>
      <w:r w:rsidRPr="006A59B6">
        <w:rPr>
          <w:b/>
          <w:u w:val="single"/>
        </w:rPr>
        <w:t xml:space="preserve">Dicho porcentaje de costos evitados se calculó utilizando los porcentajes correspondientes a los costos minoristas agregando el porcentaje de utilidad después de </w:t>
      </w:r>
      <w:r w:rsidRPr="006A59B6">
        <w:rPr>
          <w:b/>
          <w:u w:val="single"/>
        </w:rPr>
        <w:lastRenderedPageBreak/>
        <w:t>costo de capital del servicio mayorista de acceso a la red telefónica pública</w:t>
      </w:r>
      <w:r w:rsidRPr="00CD6754">
        <w:t xml:space="preserve">, tal como se muestra a continuación: </w:t>
      </w:r>
    </w:p>
    <w:p w14:paraId="6AF67B0F" w14:textId="77777777" w:rsidR="00302FA6" w:rsidRPr="00CF6A83" w:rsidRDefault="00302FA6" w:rsidP="004F36F7">
      <w:pPr>
        <w:spacing w:before="240"/>
        <w:jc w:val="center"/>
      </w:pPr>
      <w:r>
        <w:rPr>
          <w:noProof/>
          <w:lang w:eastAsia="es-MX"/>
        </w:rPr>
        <w:drawing>
          <wp:inline distT="0" distB="0" distL="0" distR="0" wp14:anchorId="64892583" wp14:editId="54F90A5F">
            <wp:extent cx="4615132" cy="778361"/>
            <wp:effectExtent l="0" t="0" r="0" b="3175"/>
            <wp:docPr id="2" name="Imagen 2" descr="Porcentaje a aplicar para obtener renta mensual de línea residencial de SRML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829" cy="781852"/>
                    </a:xfrm>
                    <a:prstGeom prst="rect">
                      <a:avLst/>
                    </a:prstGeom>
                    <a:noFill/>
                    <a:ln>
                      <a:noFill/>
                    </a:ln>
                  </pic:spPr>
                </pic:pic>
              </a:graphicData>
            </a:graphic>
          </wp:inline>
        </w:drawing>
      </w:r>
    </w:p>
    <w:p w14:paraId="0CDBDFD2" w14:textId="77777777" w:rsidR="00302FA6" w:rsidRDefault="00302FA6" w:rsidP="004F36F7">
      <w:pPr>
        <w:pStyle w:val="CitaIFT0"/>
        <w:spacing w:before="240"/>
      </w:pPr>
      <w:r w:rsidRPr="00CD6754">
        <w:t>El detalle para obtener el 20% se muestra en el archivo de Excel.</w:t>
      </w:r>
    </w:p>
    <w:p w14:paraId="6A262805" w14:textId="77777777" w:rsidR="00302FA6" w:rsidRPr="006A59B6" w:rsidRDefault="00302FA6" w:rsidP="004F36F7">
      <w:pPr>
        <w:pStyle w:val="CitaIFT0"/>
        <w:spacing w:before="240"/>
        <w:rPr>
          <w:b/>
          <w:u w:val="single"/>
        </w:rPr>
      </w:pPr>
      <w:r w:rsidRPr="006A59B6">
        <w:rPr>
          <w:b/>
          <w:u w:val="single"/>
        </w:rPr>
        <w:t xml:space="preserve">La renta mensual de línea residencial de $125.24 se obtienen de la siguiente manera: </w:t>
      </w:r>
    </w:p>
    <w:p w14:paraId="54DA3283" w14:textId="77777777" w:rsidR="00302FA6" w:rsidRDefault="00302FA6" w:rsidP="004F36F7">
      <w:pPr>
        <w:pStyle w:val="CitaIFT0"/>
        <w:spacing w:before="240"/>
      </w:pPr>
      <w:r w:rsidRPr="006A59B6">
        <w:rPr>
          <w:b/>
          <w:u w:val="single"/>
        </w:rPr>
        <w:t>$156.55 * (100% – 20%) = $156.55 * 80% = $125.24</w:t>
      </w:r>
      <w:r>
        <w:t>”</w:t>
      </w:r>
    </w:p>
    <w:p w14:paraId="51D0BE9B" w14:textId="77777777" w:rsidR="00302FA6" w:rsidRDefault="00302FA6" w:rsidP="004F36F7">
      <w:pPr>
        <w:pStyle w:val="CitaIFT0"/>
        <w:spacing w:before="240"/>
        <w:jc w:val="right"/>
      </w:pPr>
      <w:r>
        <w:t>(Énfasis añadido)</w:t>
      </w:r>
    </w:p>
    <w:p w14:paraId="502D132E" w14:textId="77777777" w:rsidR="00302FA6" w:rsidRPr="00DC3C5E" w:rsidRDefault="00302FA6" w:rsidP="004F36F7">
      <w:pPr>
        <w:pStyle w:val="IFTnormal"/>
        <w:spacing w:before="240"/>
      </w:pPr>
      <w:r>
        <w:t>Asimismo, por lo que hace al concepto “</w:t>
      </w:r>
      <w:r w:rsidRPr="00963B29">
        <w:rPr>
          <w:i/>
        </w:rPr>
        <w:t>Servicio Medido (Conferencia)</w:t>
      </w:r>
      <w:r>
        <w:t xml:space="preserve">”, a través de la </w:t>
      </w:r>
      <w:r w:rsidRPr="004D34B0">
        <w:t xml:space="preserve">Respuesta al </w:t>
      </w:r>
      <w:r w:rsidR="00376B61">
        <w:t>Requerimiento de tarifas</w:t>
      </w:r>
      <w:r>
        <w:t xml:space="preserve"> se indica los siguiente:</w:t>
      </w:r>
    </w:p>
    <w:p w14:paraId="6C45A180" w14:textId="099467C6" w:rsidR="00302FA6" w:rsidRDefault="00302FA6" w:rsidP="004F36F7">
      <w:pPr>
        <w:pStyle w:val="CitaIFT0"/>
        <w:spacing w:before="240"/>
      </w:pPr>
      <w:r>
        <w:t>“[…]</w:t>
      </w:r>
    </w:p>
    <w:p w14:paraId="7DDF81A0" w14:textId="77777777" w:rsidR="004F36F7" w:rsidRDefault="00426958" w:rsidP="004F36F7">
      <w:pPr>
        <w:pStyle w:val="CitaIFT0"/>
        <w:spacing w:before="240"/>
      </w:pPr>
      <w:r>
        <w:rPr>
          <w:noProof/>
          <w:lang w:val="es-MX" w:eastAsia="es-MX"/>
        </w:rPr>
        <w:drawing>
          <wp:inline distT="0" distB="0" distL="0" distR="0" wp14:anchorId="03BA2CF9" wp14:editId="03BC90CE">
            <wp:extent cx="4606119" cy="1032018"/>
            <wp:effectExtent l="0" t="0" r="4445" b="0"/>
            <wp:docPr id="12" name="Imagen 12" descr="Servicio Medido (Conferenci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7254" cy="1050197"/>
                    </a:xfrm>
                    <a:prstGeom prst="rect">
                      <a:avLst/>
                    </a:prstGeom>
                  </pic:spPr>
                </pic:pic>
              </a:graphicData>
            </a:graphic>
          </wp:inline>
        </w:drawing>
      </w:r>
    </w:p>
    <w:p w14:paraId="01DDC0DB" w14:textId="5588D851" w:rsidR="00302FA6" w:rsidRDefault="00302FA6" w:rsidP="004F36F7">
      <w:pPr>
        <w:pStyle w:val="CitaIFT0"/>
        <w:spacing w:before="240"/>
      </w:pPr>
      <w:r>
        <w:t xml:space="preserve">La tarifa del servicio fue considerada de la resolución de </w:t>
      </w:r>
      <w:smartTag w:uri="urn:schemas-microsoft-com:office:smarttags" w:element="PersonName">
        <w:smartTagPr>
          <w:attr w:name="ProductID" w:val="la OREDA"/>
        </w:smartTagPr>
        <w:r>
          <w:t>la OREDA</w:t>
        </w:r>
      </w:smartTag>
      <w:r>
        <w:t xml:space="preserve"> 2017 - 2018 vigente en el Anexo A de tarifas.</w:t>
      </w:r>
    </w:p>
    <w:p w14:paraId="333C4257" w14:textId="77777777" w:rsidR="00302FA6" w:rsidRDefault="00302FA6" w:rsidP="004F36F7">
      <w:pPr>
        <w:pStyle w:val="CitaIFT0"/>
        <w:spacing w:before="240"/>
      </w:pPr>
      <w:r>
        <w:rPr>
          <w:lang w:val="es-MX"/>
        </w:rPr>
        <w:t>[…]</w:t>
      </w:r>
      <w:r>
        <w:t>”</w:t>
      </w:r>
    </w:p>
    <w:p w14:paraId="29C9C09A" w14:textId="77777777" w:rsidR="00302FA6" w:rsidRDefault="00302FA6" w:rsidP="004F36F7">
      <w:pPr>
        <w:pStyle w:val="IFTnormal"/>
        <w:spacing w:before="240"/>
      </w:pPr>
      <w:r>
        <w:t>Finalmente, asociado al concepto “</w:t>
      </w:r>
      <w:r w:rsidRPr="00963B29">
        <w:rPr>
          <w:i/>
        </w:rPr>
        <w:t>Instalación de la acometida de cobre</w:t>
      </w:r>
      <w:r>
        <w:t xml:space="preserve">”, la </w:t>
      </w:r>
      <w:r w:rsidRPr="004D34B0">
        <w:t xml:space="preserve">Respuesta al </w:t>
      </w:r>
      <w:r w:rsidR="00376B61">
        <w:t>Requerimiento de tarifas</w:t>
      </w:r>
      <w:r>
        <w:t xml:space="preserve"> indica</w:t>
      </w:r>
      <w:r w:rsidR="002C0EAD">
        <w:t xml:space="preserve"> lo siguiente</w:t>
      </w:r>
      <w:r>
        <w:t>:</w:t>
      </w:r>
    </w:p>
    <w:p w14:paraId="3BEE98E1" w14:textId="0FCC7A79" w:rsidR="00302FA6" w:rsidRDefault="00302FA6" w:rsidP="004F36F7">
      <w:pPr>
        <w:pStyle w:val="CitaIFT0"/>
        <w:spacing w:before="240"/>
        <w:rPr>
          <w:lang w:val="es-MX"/>
        </w:rPr>
      </w:pPr>
      <w:r>
        <w:rPr>
          <w:lang w:val="es-MX"/>
        </w:rPr>
        <w:t>“[…]</w:t>
      </w:r>
    </w:p>
    <w:p w14:paraId="08F9134D" w14:textId="77777777" w:rsidR="004F36F7" w:rsidRDefault="00426958" w:rsidP="004F36F7">
      <w:pPr>
        <w:pStyle w:val="CitaIFT0"/>
        <w:spacing w:before="240"/>
      </w:pPr>
      <w:r>
        <w:rPr>
          <w:noProof/>
          <w:lang w:val="es-MX" w:eastAsia="es-MX"/>
        </w:rPr>
        <w:drawing>
          <wp:inline distT="0" distB="0" distL="0" distR="0" wp14:anchorId="01DF9978" wp14:editId="4A26381C">
            <wp:extent cx="4756245" cy="1114208"/>
            <wp:effectExtent l="0" t="0" r="6350" b="0"/>
            <wp:docPr id="13" name="Imagen 13" descr="Instalación de la acometida de cobr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85544" cy="1121072"/>
                    </a:xfrm>
                    <a:prstGeom prst="rect">
                      <a:avLst/>
                    </a:prstGeom>
                  </pic:spPr>
                </pic:pic>
              </a:graphicData>
            </a:graphic>
          </wp:inline>
        </w:drawing>
      </w:r>
    </w:p>
    <w:p w14:paraId="2A62B7FC" w14:textId="77777777" w:rsidR="004F36F7" w:rsidRDefault="00302FA6" w:rsidP="004F36F7">
      <w:pPr>
        <w:pStyle w:val="CitaIFT0"/>
        <w:spacing w:before="240"/>
      </w:pPr>
      <w:r>
        <w:lastRenderedPageBreak/>
        <w:t>La tarifa del servicio fue considerada de la resolución de la OREDA 2017 - 2018 vigente en el Anexo A de Tarifas.”</w:t>
      </w:r>
    </w:p>
    <w:p w14:paraId="7AA56B30" w14:textId="56663742" w:rsidR="00302FA6" w:rsidRPr="00C75708" w:rsidRDefault="00302FA6" w:rsidP="004F36F7">
      <w:pPr>
        <w:pStyle w:val="IFTnormal"/>
        <w:spacing w:before="240"/>
        <w:rPr>
          <w:color w:val="FF0000"/>
        </w:rPr>
      </w:pPr>
      <w:r w:rsidRPr="00484C17">
        <w:rPr>
          <w:b/>
          <w:u w:val="single"/>
        </w:rPr>
        <w:t xml:space="preserve">Consideraciones del Instituto </w:t>
      </w:r>
    </w:p>
    <w:p w14:paraId="370E1D3B" w14:textId="77777777" w:rsidR="00302FA6" w:rsidRDefault="00302FA6" w:rsidP="004F36F7">
      <w:pPr>
        <w:pStyle w:val="IFTnormal"/>
        <w:spacing w:before="240"/>
      </w:pPr>
      <w:r>
        <w:rPr>
          <w:rStyle w:val="IFTnormalCar"/>
          <w:lang w:val="es-ES"/>
        </w:rPr>
        <w:t xml:space="preserve">Por lo que hace al concepto </w:t>
      </w:r>
      <w:r w:rsidRPr="00E16DE7">
        <w:rPr>
          <w:rStyle w:val="IFTnormalCar"/>
          <w:lang w:val="es-ES"/>
        </w:rPr>
        <w:t>“</w:t>
      </w:r>
      <w:r w:rsidRPr="00963B29">
        <w:rPr>
          <w:rStyle w:val="IFTnormalCar"/>
          <w:i/>
          <w:lang w:val="es-ES"/>
        </w:rPr>
        <w:t>Gastos de configuración de central</w:t>
      </w:r>
      <w:r w:rsidRPr="00E16DE7">
        <w:rPr>
          <w:rStyle w:val="IFTnormalCar"/>
          <w:lang w:val="es-ES"/>
        </w:rPr>
        <w:t>”</w:t>
      </w:r>
      <w:r>
        <w:rPr>
          <w:rStyle w:val="IFTnormalCar"/>
          <w:lang w:val="es-ES"/>
        </w:rPr>
        <w:t xml:space="preserve"> contenido en el numeral </w:t>
      </w:r>
      <w:r>
        <w:rPr>
          <w:rStyle w:val="IFTnormalCar"/>
        </w:rPr>
        <w:t>“</w:t>
      </w:r>
      <w:r w:rsidRPr="00CF49FA">
        <w:rPr>
          <w:rStyle w:val="IFTnormalCar"/>
          <w:b/>
          <w:i/>
        </w:rPr>
        <w:t>1. Servicio de Reventa Mayorista de Línea Telefónica (SRMLT)</w:t>
      </w:r>
      <w:r>
        <w:rPr>
          <w:rStyle w:val="IFTnormalCar"/>
        </w:rPr>
        <w:t xml:space="preserve">” de la </w:t>
      </w:r>
      <w:r w:rsidRPr="00AA0DF1">
        <w:rPr>
          <w:rStyle w:val="IFTnormalCar"/>
        </w:rPr>
        <w:t>Propuesta de tarifas del AEP</w:t>
      </w:r>
      <w:r>
        <w:rPr>
          <w:rStyle w:val="IFTnormalCar"/>
        </w:rPr>
        <w:t xml:space="preserve">, derivado del análisis a la información aportada éste último, este Instituto infiere que </w:t>
      </w:r>
      <w:r w:rsidRPr="00D45F90">
        <w:rPr>
          <w:rStyle w:val="IFTnormalCar"/>
        </w:rPr>
        <w:t>dicho concepto es relativo a la configuración de la solución SRMLT en central, descrita en el numeral “</w:t>
      </w:r>
      <w:r w:rsidRPr="00D45F90">
        <w:rPr>
          <w:rStyle w:val="IFTnormalCar"/>
          <w:i/>
        </w:rPr>
        <w:t>9.1 Procedimiento de Activación en Central</w:t>
      </w:r>
      <w:r w:rsidRPr="00D45F90">
        <w:rPr>
          <w:rStyle w:val="IFTnormalCar"/>
        </w:rPr>
        <w:t xml:space="preserve">” del Anexo 1 de la Resolución </w:t>
      </w:r>
      <w:r w:rsidR="000B4912" w:rsidRPr="00D45F90">
        <w:t>SRMLT</w:t>
      </w:r>
      <w:r w:rsidRPr="00D45F90">
        <w:rPr>
          <w:rStyle w:val="IFTnormalCar"/>
        </w:rPr>
        <w:t xml:space="preserve">, dado que a través de este último se realiza la </w:t>
      </w:r>
      <w:r w:rsidRPr="00D45F90">
        <w:t>configuración de los datos en la central que permiten la prestación del servicio mayorista en cuestión.</w:t>
      </w:r>
      <w:r>
        <w:t xml:space="preserve"> </w:t>
      </w:r>
    </w:p>
    <w:p w14:paraId="33841F99" w14:textId="77777777" w:rsidR="00302FA6" w:rsidRDefault="00302FA6" w:rsidP="004F36F7">
      <w:pPr>
        <w:pStyle w:val="IFTnormal"/>
        <w:spacing w:before="240"/>
        <w:rPr>
          <w:rStyle w:val="IFTnormalCar"/>
        </w:rPr>
      </w:pPr>
      <w:r>
        <w:t xml:space="preserve">A mayor abundamiento, conviene destacar que dicho </w:t>
      </w:r>
      <w:r>
        <w:rPr>
          <w:rStyle w:val="IFTnormalCar"/>
        </w:rPr>
        <w:t>numeral</w:t>
      </w:r>
      <w:r>
        <w:t xml:space="preserve"> del </w:t>
      </w:r>
      <w:r>
        <w:rPr>
          <w:rStyle w:val="IFTnormalCar"/>
        </w:rPr>
        <w:t xml:space="preserve">Anexo 1 de la Resolución </w:t>
      </w:r>
      <w:r w:rsidR="000B4912">
        <w:t>SRMLT</w:t>
      </w:r>
      <w:r>
        <w:rPr>
          <w:rStyle w:val="IFTnormalCar"/>
        </w:rPr>
        <w:t xml:space="preserve"> indica a la letra que:</w:t>
      </w:r>
    </w:p>
    <w:p w14:paraId="6EBD0F24" w14:textId="77777777" w:rsidR="00302FA6" w:rsidRPr="00B4365A" w:rsidRDefault="00302FA6" w:rsidP="004F36F7">
      <w:pPr>
        <w:pStyle w:val="CitaIFT0"/>
        <w:spacing w:before="240"/>
      </w:pPr>
      <w:r>
        <w:t>“</w:t>
      </w:r>
      <w:r w:rsidRPr="00551423">
        <w:rPr>
          <w:b/>
        </w:rPr>
        <w:t>9. Procedimientos de contratación, modificación y baja del SRMLT (Preliminar)</w:t>
      </w:r>
    </w:p>
    <w:p w14:paraId="65FABAC2" w14:textId="77777777" w:rsidR="00302FA6" w:rsidRPr="001A5F14" w:rsidRDefault="00302FA6" w:rsidP="004F36F7">
      <w:pPr>
        <w:pStyle w:val="CitaIFT0"/>
        <w:spacing w:before="240"/>
        <w:rPr>
          <w:b/>
        </w:rPr>
      </w:pPr>
      <w:r w:rsidRPr="001A5F14">
        <w:rPr>
          <w:b/>
        </w:rPr>
        <w:t>9.1 Procedimiento de Activación en Central</w:t>
      </w:r>
    </w:p>
    <w:p w14:paraId="5EDB86DB" w14:textId="77777777" w:rsidR="00302FA6" w:rsidRPr="005569A1" w:rsidRDefault="00302FA6" w:rsidP="004F36F7">
      <w:pPr>
        <w:pStyle w:val="CitaIFT0"/>
        <w:spacing w:before="240"/>
      </w:pPr>
      <w:r w:rsidRPr="005569A1">
        <w:t xml:space="preserve">Queda establecido que mediante el envío de la solicitud, el CS consiente efectuar el pago por las actividades a realizar así como por los elementos de cobro que conforman el (los) servicio(s), en el momento que se indique en el procedimiento. Asimismo, si el CS rechaza el servicio o decide no continuar con el procedimiento, deberá liquidar el monto generado por las actividades realizadas hasta el momento que decidió terminar el procedimiento. </w:t>
      </w:r>
    </w:p>
    <w:tbl>
      <w:tblPr>
        <w:tblStyle w:val="Tablaconcuadrcula"/>
        <w:tblW w:w="4159" w:type="pct"/>
        <w:tblInd w:w="846" w:type="dxa"/>
        <w:tblLook w:val="04A0" w:firstRow="1" w:lastRow="0" w:firstColumn="1" w:lastColumn="0" w:noHBand="0" w:noVBand="1"/>
        <w:tblCaption w:val="Tabla"/>
        <w:tblDescription w:val="Procedimiento de Activación en Central"/>
      </w:tblPr>
      <w:tblGrid>
        <w:gridCol w:w="1617"/>
        <w:gridCol w:w="6197"/>
      </w:tblGrid>
      <w:tr w:rsidR="00302FA6" w:rsidRPr="00BE2D19" w14:paraId="0BE4B24D" w14:textId="77777777" w:rsidTr="008B2557">
        <w:trPr>
          <w:tblHeader/>
        </w:trPr>
        <w:tc>
          <w:tcPr>
            <w:tcW w:w="1035" w:type="pct"/>
          </w:tcPr>
          <w:p w14:paraId="26D16C5B" w14:textId="77777777" w:rsidR="00302FA6" w:rsidRPr="00EA0F13" w:rsidRDefault="00302FA6" w:rsidP="004F36F7">
            <w:pPr>
              <w:pStyle w:val="IFTnormal"/>
              <w:spacing w:before="240"/>
              <w:jc w:val="center"/>
              <w:rPr>
                <w:b/>
                <w:i/>
                <w:sz w:val="18"/>
              </w:rPr>
            </w:pPr>
            <w:r w:rsidRPr="00EA0F13">
              <w:rPr>
                <w:b/>
                <w:i/>
                <w:sz w:val="18"/>
              </w:rPr>
              <w:t>Etapa</w:t>
            </w:r>
          </w:p>
        </w:tc>
        <w:tc>
          <w:tcPr>
            <w:tcW w:w="3965" w:type="pct"/>
          </w:tcPr>
          <w:p w14:paraId="4B36AF02" w14:textId="77777777" w:rsidR="00302FA6" w:rsidRPr="00EA0F13" w:rsidRDefault="00302FA6" w:rsidP="004F36F7">
            <w:pPr>
              <w:pStyle w:val="IFTnormal"/>
              <w:spacing w:before="240"/>
              <w:jc w:val="center"/>
              <w:rPr>
                <w:b/>
                <w:i/>
                <w:sz w:val="18"/>
              </w:rPr>
            </w:pPr>
            <w:r w:rsidRPr="00EA0F13">
              <w:rPr>
                <w:b/>
                <w:i/>
                <w:sz w:val="18"/>
              </w:rPr>
              <w:t>Descripción</w:t>
            </w:r>
          </w:p>
        </w:tc>
      </w:tr>
      <w:tr w:rsidR="00302FA6" w:rsidRPr="00BE2D19" w14:paraId="79897FA0" w14:textId="77777777" w:rsidTr="008B2557">
        <w:tc>
          <w:tcPr>
            <w:tcW w:w="1035" w:type="pct"/>
          </w:tcPr>
          <w:p w14:paraId="5F98EDE4" w14:textId="77777777" w:rsidR="00302FA6" w:rsidRPr="00EA0F13" w:rsidRDefault="00302FA6" w:rsidP="004F36F7">
            <w:pPr>
              <w:pStyle w:val="IFTnormal"/>
              <w:spacing w:before="240"/>
              <w:jc w:val="left"/>
              <w:rPr>
                <w:b/>
                <w:i/>
                <w:sz w:val="18"/>
              </w:rPr>
            </w:pPr>
            <w:r w:rsidRPr="00EA0F13">
              <w:rPr>
                <w:b/>
                <w:i/>
                <w:sz w:val="18"/>
              </w:rPr>
              <w:t>Envío de solicitud</w:t>
            </w:r>
          </w:p>
        </w:tc>
        <w:tc>
          <w:tcPr>
            <w:tcW w:w="3965" w:type="pct"/>
          </w:tcPr>
          <w:p w14:paraId="08EB2D55" w14:textId="77777777" w:rsidR="00302FA6" w:rsidRPr="00EA0F13" w:rsidRDefault="00302FA6" w:rsidP="004F36F7">
            <w:pPr>
              <w:pStyle w:val="IFTnormal"/>
              <w:spacing w:before="240"/>
              <w:rPr>
                <w:i/>
                <w:sz w:val="18"/>
              </w:rPr>
            </w:pPr>
            <w:r w:rsidRPr="00EA0F13">
              <w:rPr>
                <w:i/>
                <w:sz w:val="18"/>
              </w:rPr>
              <w:t>El CS deberá presentar su solicitud en el formato correspondiente a través del SEG.</w:t>
            </w:r>
          </w:p>
          <w:p w14:paraId="4136BFC4" w14:textId="77777777" w:rsidR="00302FA6" w:rsidRPr="00EA0F13" w:rsidRDefault="00302FA6" w:rsidP="004F36F7">
            <w:pPr>
              <w:pStyle w:val="IFTnormal"/>
              <w:numPr>
                <w:ilvl w:val="0"/>
                <w:numId w:val="6"/>
              </w:numPr>
              <w:spacing w:before="240" w:line="240" w:lineRule="auto"/>
              <w:ind w:left="318" w:hanging="284"/>
              <w:rPr>
                <w:i/>
                <w:sz w:val="18"/>
              </w:rPr>
            </w:pPr>
            <w:r w:rsidRPr="00EA0F13">
              <w:rPr>
                <w:i/>
                <w:sz w:val="18"/>
              </w:rPr>
              <w:t>Indicando:</w:t>
            </w:r>
          </w:p>
          <w:p w14:paraId="6C678A48" w14:textId="77777777" w:rsidR="00302FA6" w:rsidRPr="00EA0F13" w:rsidRDefault="00302FA6" w:rsidP="004F36F7">
            <w:pPr>
              <w:pStyle w:val="IFTnormal"/>
              <w:numPr>
                <w:ilvl w:val="0"/>
                <w:numId w:val="5"/>
              </w:numPr>
              <w:spacing w:before="240" w:line="240" w:lineRule="auto"/>
              <w:rPr>
                <w:i/>
                <w:sz w:val="18"/>
              </w:rPr>
            </w:pPr>
            <w:r w:rsidRPr="00EA0F13">
              <w:rPr>
                <w:i/>
                <w:sz w:val="18"/>
              </w:rPr>
              <w:t>Central en donde requiere el servicio</w:t>
            </w:r>
          </w:p>
          <w:p w14:paraId="5B30E251" w14:textId="77777777" w:rsidR="00302FA6" w:rsidRPr="00EA0F13" w:rsidRDefault="00302FA6" w:rsidP="004F36F7">
            <w:pPr>
              <w:pStyle w:val="IFTnormal"/>
              <w:numPr>
                <w:ilvl w:val="0"/>
                <w:numId w:val="5"/>
              </w:numPr>
              <w:spacing w:before="240" w:line="240" w:lineRule="auto"/>
              <w:rPr>
                <w:i/>
                <w:sz w:val="18"/>
              </w:rPr>
            </w:pPr>
            <w:r w:rsidRPr="00EA0F13">
              <w:rPr>
                <w:i/>
                <w:sz w:val="18"/>
              </w:rPr>
              <w:t>Código de identificación de Operador</w:t>
            </w:r>
          </w:p>
          <w:p w14:paraId="7D67287F" w14:textId="77777777" w:rsidR="00302FA6" w:rsidRPr="00EA0F13" w:rsidRDefault="00302FA6" w:rsidP="004F36F7">
            <w:pPr>
              <w:pStyle w:val="IFTnormal"/>
              <w:spacing w:before="240"/>
              <w:rPr>
                <w:i/>
                <w:sz w:val="18"/>
              </w:rPr>
            </w:pPr>
            <w:r w:rsidRPr="00EA0F13">
              <w:rPr>
                <w:i/>
                <w:sz w:val="18"/>
              </w:rPr>
              <w:t>Una vez enviada se asignará de forma automática un número de folio a la solicitud del CS.</w:t>
            </w:r>
          </w:p>
        </w:tc>
      </w:tr>
      <w:tr w:rsidR="00302FA6" w:rsidRPr="00BE2D19" w14:paraId="68BF8687" w14:textId="77777777" w:rsidTr="008B2557">
        <w:tc>
          <w:tcPr>
            <w:tcW w:w="1035" w:type="pct"/>
          </w:tcPr>
          <w:p w14:paraId="2AF2281E" w14:textId="77777777" w:rsidR="00302FA6" w:rsidRPr="00EA0F13" w:rsidRDefault="00302FA6" w:rsidP="004F36F7">
            <w:pPr>
              <w:pStyle w:val="IFTnormal"/>
              <w:spacing w:before="240"/>
              <w:jc w:val="left"/>
              <w:rPr>
                <w:b/>
                <w:i/>
                <w:sz w:val="18"/>
              </w:rPr>
            </w:pPr>
            <w:r w:rsidRPr="00EA0F13">
              <w:rPr>
                <w:b/>
                <w:i/>
                <w:sz w:val="18"/>
              </w:rPr>
              <w:t>Validación de solicitud</w:t>
            </w:r>
          </w:p>
        </w:tc>
        <w:tc>
          <w:tcPr>
            <w:tcW w:w="3965" w:type="pct"/>
          </w:tcPr>
          <w:p w14:paraId="26F9DEA4" w14:textId="77777777" w:rsidR="00302FA6" w:rsidRPr="00EA0F13" w:rsidRDefault="00302FA6" w:rsidP="004F36F7">
            <w:pPr>
              <w:pStyle w:val="IFTnormal"/>
              <w:spacing w:before="240"/>
              <w:rPr>
                <w:i/>
                <w:sz w:val="18"/>
              </w:rPr>
            </w:pPr>
            <w:r w:rsidRPr="00EA0F13">
              <w:rPr>
                <w:i/>
                <w:sz w:val="18"/>
              </w:rPr>
              <w:t>Telmex/Telnor validará las solicitudes enviadas por los CS en un plazo máximo de 1 día hábil para determinar si:</w:t>
            </w:r>
          </w:p>
          <w:p w14:paraId="5ADF07F4" w14:textId="77777777" w:rsidR="00302FA6" w:rsidRPr="00EA0F13" w:rsidRDefault="00302FA6" w:rsidP="004F36F7">
            <w:pPr>
              <w:pStyle w:val="IFTnormal"/>
              <w:numPr>
                <w:ilvl w:val="0"/>
                <w:numId w:val="5"/>
              </w:numPr>
              <w:spacing w:before="240" w:line="240" w:lineRule="auto"/>
              <w:rPr>
                <w:i/>
                <w:sz w:val="18"/>
              </w:rPr>
            </w:pPr>
            <w:r w:rsidRPr="00EA0F13">
              <w:rPr>
                <w:i/>
                <w:sz w:val="18"/>
              </w:rPr>
              <w:lastRenderedPageBreak/>
              <w:t>La información capturada es suficiente para procesar la solicitud.</w:t>
            </w:r>
          </w:p>
          <w:p w14:paraId="3940F555" w14:textId="77777777" w:rsidR="00302FA6" w:rsidRPr="00EA0F13" w:rsidRDefault="00302FA6" w:rsidP="004F36F7">
            <w:pPr>
              <w:pStyle w:val="IFTnormal"/>
              <w:numPr>
                <w:ilvl w:val="0"/>
                <w:numId w:val="5"/>
              </w:numPr>
              <w:spacing w:before="240" w:line="240" w:lineRule="auto"/>
              <w:rPr>
                <w:i/>
                <w:sz w:val="18"/>
              </w:rPr>
            </w:pPr>
            <w:r w:rsidRPr="00EA0F13">
              <w:rPr>
                <w:i/>
                <w:sz w:val="18"/>
              </w:rPr>
              <w:t>El CS capturó correctamente los detalles del servicio requerido.</w:t>
            </w:r>
          </w:p>
          <w:p w14:paraId="0C10819E" w14:textId="77777777" w:rsidR="00302FA6" w:rsidRPr="00EA0F13" w:rsidRDefault="00302FA6" w:rsidP="004F36F7">
            <w:pPr>
              <w:pStyle w:val="IFTnormal"/>
              <w:numPr>
                <w:ilvl w:val="0"/>
                <w:numId w:val="6"/>
              </w:numPr>
              <w:spacing w:before="240" w:line="240" w:lineRule="auto"/>
              <w:ind w:left="318" w:hanging="318"/>
              <w:rPr>
                <w:i/>
                <w:sz w:val="18"/>
              </w:rPr>
            </w:pPr>
            <w:r w:rsidRPr="00EA0F13">
              <w:rPr>
                <w:b/>
                <w:i/>
                <w:sz w:val="18"/>
              </w:rPr>
              <w:t>Si la solicitud es correcta</w:t>
            </w:r>
            <w:r w:rsidRPr="00EA0F13">
              <w:rPr>
                <w:i/>
                <w:sz w:val="18"/>
              </w:rPr>
              <w:t xml:space="preserve">, Telmex/Telnor cambiará el folio previamente asignado por el Número de Identificación de Solicitud (NIS) y proporcionará la fecha de habilitación del servicio en un plazo que corresponda al escenario de habilitación abajo señalado. </w:t>
            </w:r>
          </w:p>
          <w:p w14:paraId="704945AA" w14:textId="77777777" w:rsidR="00302FA6" w:rsidRPr="00EA0F13" w:rsidRDefault="00302FA6" w:rsidP="004F36F7">
            <w:pPr>
              <w:pStyle w:val="IFTnormal"/>
              <w:numPr>
                <w:ilvl w:val="0"/>
                <w:numId w:val="6"/>
              </w:numPr>
              <w:spacing w:before="240" w:line="240" w:lineRule="auto"/>
              <w:ind w:left="318" w:hanging="318"/>
              <w:rPr>
                <w:i/>
                <w:sz w:val="18"/>
              </w:rPr>
            </w:pPr>
            <w:r w:rsidRPr="00EA0F13">
              <w:rPr>
                <w:b/>
                <w:i/>
                <w:sz w:val="18"/>
              </w:rPr>
              <w:t>Si es incorrecta</w:t>
            </w:r>
            <w:r w:rsidRPr="00EA0F13">
              <w:rPr>
                <w:i/>
                <w:sz w:val="18"/>
              </w:rPr>
              <w:t xml:space="preserve">, Telmex/Telnor devolverá la solicitud al CS indicando el motivo de rechazo, para que sea corregida y reenviada nuevamente a validación, </w:t>
            </w:r>
          </w:p>
          <w:p w14:paraId="46027E99" w14:textId="77777777" w:rsidR="00302FA6" w:rsidRPr="00EA0F13" w:rsidRDefault="00302FA6" w:rsidP="004F36F7">
            <w:pPr>
              <w:pStyle w:val="IFTnormal"/>
              <w:spacing w:before="240"/>
              <w:rPr>
                <w:i/>
                <w:sz w:val="18"/>
              </w:rPr>
            </w:pPr>
            <w:r w:rsidRPr="00EA0F13">
              <w:rPr>
                <w:i/>
                <w:sz w:val="18"/>
              </w:rPr>
              <w:t>La aceptación de la solicitud provocará el Análisis de Factibilidad Técnica.</w:t>
            </w:r>
          </w:p>
        </w:tc>
      </w:tr>
      <w:tr w:rsidR="00302FA6" w:rsidRPr="00BE2D19" w14:paraId="63E5DE0A" w14:textId="77777777" w:rsidTr="008B2557">
        <w:tc>
          <w:tcPr>
            <w:tcW w:w="1035" w:type="pct"/>
          </w:tcPr>
          <w:p w14:paraId="1698C5CF" w14:textId="77777777" w:rsidR="00302FA6" w:rsidRPr="00EA0F13" w:rsidRDefault="00302FA6" w:rsidP="004F36F7">
            <w:pPr>
              <w:pStyle w:val="IFTnormal"/>
              <w:spacing w:before="240"/>
              <w:jc w:val="left"/>
              <w:rPr>
                <w:b/>
                <w:i/>
                <w:sz w:val="18"/>
              </w:rPr>
            </w:pPr>
            <w:r w:rsidRPr="00EA0F13">
              <w:rPr>
                <w:b/>
                <w:i/>
                <w:sz w:val="18"/>
              </w:rPr>
              <w:lastRenderedPageBreak/>
              <w:t>Factibilidad Técnica</w:t>
            </w:r>
          </w:p>
          <w:p w14:paraId="7DE944BA" w14:textId="77777777" w:rsidR="00302FA6" w:rsidRPr="00EA0F13" w:rsidRDefault="00302FA6" w:rsidP="004F36F7">
            <w:pPr>
              <w:pStyle w:val="IFTnormal"/>
              <w:spacing w:before="240"/>
              <w:jc w:val="left"/>
              <w:rPr>
                <w:i/>
                <w:sz w:val="18"/>
              </w:rPr>
            </w:pPr>
          </w:p>
        </w:tc>
        <w:tc>
          <w:tcPr>
            <w:tcW w:w="3965" w:type="pct"/>
          </w:tcPr>
          <w:p w14:paraId="78FE8C0D" w14:textId="77777777" w:rsidR="00302FA6" w:rsidRPr="00EA0F13" w:rsidRDefault="00302FA6" w:rsidP="004F36F7">
            <w:pPr>
              <w:pStyle w:val="IFTnormal"/>
              <w:spacing w:before="240"/>
              <w:rPr>
                <w:i/>
                <w:sz w:val="18"/>
              </w:rPr>
            </w:pPr>
            <w:r w:rsidRPr="00EA0F13">
              <w:rPr>
                <w:b/>
                <w:i/>
                <w:sz w:val="18"/>
                <w:u w:val="single"/>
              </w:rPr>
              <w:t>Durante el análisis de Factibilidad Técnica, Telmex/Telnor determinará si existen los recursos técnicos y facilidades para habilitar en la Central la configuración del servicio</w:t>
            </w:r>
            <w:r w:rsidRPr="00EA0F13">
              <w:rPr>
                <w:i/>
                <w:sz w:val="18"/>
              </w:rPr>
              <w:t>, en un plazo máximo de 3 días hábiles:</w:t>
            </w:r>
          </w:p>
          <w:p w14:paraId="584FD1EC" w14:textId="77777777" w:rsidR="00302FA6" w:rsidRPr="00EA0F13" w:rsidRDefault="00302FA6" w:rsidP="004F36F7">
            <w:pPr>
              <w:pStyle w:val="IFTnormal"/>
              <w:numPr>
                <w:ilvl w:val="0"/>
                <w:numId w:val="6"/>
              </w:numPr>
              <w:spacing w:before="240" w:line="240" w:lineRule="auto"/>
              <w:ind w:left="318" w:hanging="318"/>
              <w:rPr>
                <w:i/>
                <w:sz w:val="18"/>
              </w:rPr>
            </w:pPr>
            <w:r w:rsidRPr="00EA0F13">
              <w:rPr>
                <w:b/>
                <w:i/>
                <w:sz w:val="18"/>
              </w:rPr>
              <w:t>Si el servicio es factible</w:t>
            </w:r>
            <w:r w:rsidRPr="00EA0F13">
              <w:rPr>
                <w:i/>
                <w:sz w:val="18"/>
              </w:rPr>
              <w:t>, se continuará con el proceso de configuración de la solución.</w:t>
            </w:r>
          </w:p>
          <w:p w14:paraId="2DE887FD" w14:textId="77777777" w:rsidR="004F36F7" w:rsidRDefault="00302FA6" w:rsidP="004F36F7">
            <w:pPr>
              <w:pStyle w:val="IFTnormal"/>
              <w:numPr>
                <w:ilvl w:val="0"/>
                <w:numId w:val="6"/>
              </w:numPr>
              <w:spacing w:before="240" w:line="240" w:lineRule="auto"/>
              <w:ind w:left="318" w:hanging="318"/>
              <w:rPr>
                <w:i/>
                <w:sz w:val="18"/>
              </w:rPr>
            </w:pPr>
            <w:r w:rsidRPr="00EA0F13">
              <w:rPr>
                <w:b/>
                <w:i/>
                <w:sz w:val="18"/>
              </w:rPr>
              <w:t>Si no es factible proporcionar el servicio</w:t>
            </w:r>
            <w:r w:rsidRPr="00EA0F13">
              <w:rPr>
                <w:i/>
                <w:sz w:val="18"/>
              </w:rPr>
              <w:t>, se informará al CS la justificación de los motivos, así como las evidencias correspondientes.</w:t>
            </w:r>
          </w:p>
          <w:p w14:paraId="04EF603C" w14:textId="28390103" w:rsidR="00302FA6" w:rsidRPr="00EA0F13" w:rsidRDefault="00302FA6" w:rsidP="004F36F7">
            <w:pPr>
              <w:pStyle w:val="IFTnormal"/>
              <w:spacing w:before="240"/>
              <w:rPr>
                <w:b/>
                <w:i/>
                <w:sz w:val="18"/>
                <w:u w:val="single"/>
              </w:rPr>
            </w:pPr>
            <w:r w:rsidRPr="00EA0F13">
              <w:rPr>
                <w:b/>
                <w:i/>
                <w:sz w:val="18"/>
                <w:u w:val="single"/>
              </w:rPr>
              <w:t>Después de revisada la factibilidad en Central, se procederá directamente a la etapa de configuración de la solución en central.</w:t>
            </w:r>
          </w:p>
          <w:p w14:paraId="6E4B9025" w14:textId="77777777" w:rsidR="00302FA6" w:rsidRPr="00EA0F13" w:rsidRDefault="00302FA6" w:rsidP="004F36F7">
            <w:pPr>
              <w:pStyle w:val="IFTnormal"/>
              <w:spacing w:before="240"/>
              <w:rPr>
                <w:i/>
                <w:sz w:val="18"/>
              </w:rPr>
            </w:pPr>
            <w:r w:rsidRPr="00EA0F13">
              <w:rPr>
                <w:i/>
                <w:sz w:val="18"/>
              </w:rPr>
              <w:t>Nota: Este paso se aplica sólo para la primera solicitud que se realice en una central por cada CS.</w:t>
            </w:r>
          </w:p>
        </w:tc>
      </w:tr>
      <w:tr w:rsidR="00302FA6" w:rsidRPr="00BE2D19" w14:paraId="40E33F6A" w14:textId="77777777" w:rsidTr="008B2557">
        <w:tc>
          <w:tcPr>
            <w:tcW w:w="1035" w:type="pct"/>
          </w:tcPr>
          <w:p w14:paraId="0484168E" w14:textId="77777777" w:rsidR="00302FA6" w:rsidRPr="00EA0F13" w:rsidRDefault="00302FA6" w:rsidP="004F36F7">
            <w:pPr>
              <w:pStyle w:val="IFTnormal"/>
              <w:spacing w:before="240"/>
              <w:jc w:val="left"/>
              <w:rPr>
                <w:b/>
                <w:i/>
                <w:sz w:val="18"/>
              </w:rPr>
            </w:pPr>
            <w:r w:rsidRPr="00EA0F13">
              <w:rPr>
                <w:b/>
                <w:i/>
                <w:sz w:val="18"/>
              </w:rPr>
              <w:t xml:space="preserve">Configuración de la Solución SRMLT en Central </w:t>
            </w:r>
          </w:p>
        </w:tc>
        <w:tc>
          <w:tcPr>
            <w:tcW w:w="3965" w:type="pct"/>
          </w:tcPr>
          <w:p w14:paraId="5A61EECC" w14:textId="77777777" w:rsidR="00302FA6" w:rsidRPr="00EA0F13" w:rsidRDefault="00302FA6" w:rsidP="004F36F7">
            <w:pPr>
              <w:pStyle w:val="IFTnormal"/>
              <w:spacing w:before="240"/>
              <w:rPr>
                <w:i/>
                <w:sz w:val="18"/>
              </w:rPr>
            </w:pPr>
            <w:r w:rsidRPr="00EA0F13">
              <w:rPr>
                <w:b/>
                <w:i/>
                <w:sz w:val="18"/>
                <w:u w:val="single"/>
              </w:rPr>
              <w:t>Una vez determinada la factibilidad Técnica en central se procederá con la configuración de los datos</w:t>
            </w:r>
            <w:r w:rsidRPr="00EA0F13">
              <w:rPr>
                <w:i/>
                <w:sz w:val="18"/>
              </w:rPr>
              <w:t xml:space="preserve">, la cual se llevará a cabo en un periodo de 5 días hábiles. </w:t>
            </w:r>
          </w:p>
          <w:p w14:paraId="7A12DE33" w14:textId="77777777" w:rsidR="00302FA6" w:rsidRPr="00EA0F13" w:rsidRDefault="00302FA6" w:rsidP="004F36F7">
            <w:pPr>
              <w:pStyle w:val="IFTnormal"/>
              <w:spacing w:before="240"/>
              <w:rPr>
                <w:b/>
                <w:i/>
                <w:sz w:val="18"/>
                <w:u w:val="single"/>
              </w:rPr>
            </w:pPr>
            <w:r w:rsidRPr="00EA0F13">
              <w:rPr>
                <w:b/>
                <w:i/>
                <w:sz w:val="18"/>
                <w:u w:val="single"/>
              </w:rPr>
              <w:t>Nota: Este paso se aplica sólo para la primera solicitud que se realice en una central por cada CS.</w:t>
            </w:r>
          </w:p>
        </w:tc>
      </w:tr>
    </w:tbl>
    <w:p w14:paraId="6904AD22" w14:textId="77777777" w:rsidR="00302FA6" w:rsidRDefault="00302FA6" w:rsidP="004F36F7">
      <w:pPr>
        <w:pStyle w:val="CitaIFT0"/>
        <w:spacing w:before="240"/>
        <w:jc w:val="right"/>
        <w:rPr>
          <w:rStyle w:val="IFTnormalCar"/>
          <w:lang w:val="es-MX"/>
        </w:rPr>
      </w:pPr>
    </w:p>
    <w:p w14:paraId="7372D335" w14:textId="77777777" w:rsidR="00302FA6" w:rsidRDefault="00302FA6" w:rsidP="004F36F7">
      <w:pPr>
        <w:pStyle w:val="CitaIFT0"/>
        <w:spacing w:before="240"/>
        <w:jc w:val="right"/>
        <w:rPr>
          <w:rStyle w:val="IFTnormalCar"/>
          <w:lang w:val="es-MX"/>
        </w:rPr>
      </w:pPr>
      <w:r>
        <w:rPr>
          <w:rStyle w:val="IFTnormalCar"/>
          <w:lang w:val="es-MX"/>
        </w:rPr>
        <w:lastRenderedPageBreak/>
        <w:t>[…]”</w:t>
      </w:r>
    </w:p>
    <w:p w14:paraId="171D7AA3" w14:textId="77777777" w:rsidR="00302FA6" w:rsidRPr="006F149E" w:rsidRDefault="00302FA6" w:rsidP="004F36F7">
      <w:pPr>
        <w:pStyle w:val="CitaIFT0"/>
        <w:spacing w:before="240"/>
        <w:ind w:left="1418" w:hanging="567"/>
        <w:jc w:val="right"/>
        <w:rPr>
          <w:rStyle w:val="IFTnormalCar"/>
          <w:rFonts w:cs="Arial"/>
          <w:sz w:val="18"/>
          <w:szCs w:val="18"/>
          <w:lang w:eastAsia="es-ES"/>
        </w:rPr>
      </w:pPr>
      <w:r w:rsidRPr="006F149E">
        <w:rPr>
          <w:rStyle w:val="IFTnormalCar"/>
          <w:rFonts w:cs="Arial"/>
          <w:sz w:val="18"/>
          <w:szCs w:val="18"/>
          <w:lang w:eastAsia="es-ES"/>
        </w:rPr>
        <w:t>(</w:t>
      </w:r>
      <w:r w:rsidRPr="00B773BA">
        <w:t>Énfasis añadido</w:t>
      </w:r>
      <w:r w:rsidRPr="006F149E">
        <w:rPr>
          <w:rStyle w:val="IFTnormalCar"/>
          <w:rFonts w:cs="Arial"/>
          <w:sz w:val="18"/>
          <w:szCs w:val="18"/>
          <w:lang w:eastAsia="es-ES"/>
        </w:rPr>
        <w:t>)</w:t>
      </w:r>
    </w:p>
    <w:p w14:paraId="60F685B8" w14:textId="77777777" w:rsidR="00302FA6" w:rsidRPr="00D45F90" w:rsidRDefault="00302FA6" w:rsidP="004F36F7">
      <w:pPr>
        <w:pStyle w:val="IFTnormal"/>
        <w:spacing w:before="240"/>
        <w:rPr>
          <w:rStyle w:val="IFTnormalCar"/>
        </w:rPr>
      </w:pPr>
      <w:r w:rsidRPr="00D45F90">
        <w:rPr>
          <w:rStyle w:val="IFTnormalCar"/>
        </w:rPr>
        <w:t xml:space="preserve">De lo anterior, se desprende que, tal rubro tiene aplicación </w:t>
      </w:r>
      <w:r w:rsidR="00AD4E41" w:rsidRPr="00D45F90">
        <w:rPr>
          <w:rStyle w:val="IFTnormalCar"/>
        </w:rPr>
        <w:t xml:space="preserve">únicamente cuando el CS realice </w:t>
      </w:r>
      <w:r w:rsidRPr="00D45F90">
        <w:rPr>
          <w:rStyle w:val="IFTnormalCar"/>
        </w:rPr>
        <w:t xml:space="preserve">la primera solicitud </w:t>
      </w:r>
      <w:r w:rsidR="00AD4E41" w:rsidRPr="00D45F90">
        <w:rPr>
          <w:rStyle w:val="IFTnormalCar"/>
        </w:rPr>
        <w:t xml:space="preserve">de SRMLT </w:t>
      </w:r>
      <w:r w:rsidRPr="00D45F90">
        <w:rPr>
          <w:rStyle w:val="IFTnormalCar"/>
        </w:rPr>
        <w:t xml:space="preserve">en una central determinada. </w:t>
      </w:r>
    </w:p>
    <w:p w14:paraId="6C74E11F" w14:textId="77777777" w:rsidR="00302FA6" w:rsidRPr="00D45F90" w:rsidRDefault="00302FA6" w:rsidP="004F36F7">
      <w:pPr>
        <w:pStyle w:val="IFTnormal"/>
        <w:spacing w:before="240"/>
        <w:rPr>
          <w:rStyle w:val="IFTnormalCar"/>
        </w:rPr>
      </w:pPr>
      <w:r w:rsidRPr="00D45F90">
        <w:rPr>
          <w:rStyle w:val="IFTnormalCar"/>
        </w:rPr>
        <w:t xml:space="preserve">Por otra parte, en lo tocante a los elementos propuestos por el AEP para la estimación del nivel tarifario correspondiente a dicho servicios, el Instituto considera que tales son representativos del alcance y descripción de las actividades que permiten la configuración de una central para la prestación del SRMLT. Lo anterior en el entendido </w:t>
      </w:r>
      <w:r w:rsidR="00AD4E41" w:rsidRPr="00D45F90">
        <w:rPr>
          <w:rStyle w:val="IFTnormalCar"/>
        </w:rPr>
        <w:t xml:space="preserve">que </w:t>
      </w:r>
      <w:r w:rsidRPr="00D45F90">
        <w:rPr>
          <w:rStyle w:val="IFTnormalCar"/>
        </w:rPr>
        <w:t xml:space="preserve">para dicha actividad se involucra la mano de obra del personal del AEP, </w:t>
      </w:r>
      <w:r w:rsidR="00AD4E41" w:rsidRPr="00D45F90">
        <w:rPr>
          <w:rStyle w:val="IFTnormalCar"/>
        </w:rPr>
        <w:t xml:space="preserve">que no requiere </w:t>
      </w:r>
      <w:r w:rsidRPr="00D45F90">
        <w:rPr>
          <w:rStyle w:val="IFTnormalCar"/>
        </w:rPr>
        <w:t>uso de herramientas para la configuración del servicio mayorista en comento en una central determinada.</w:t>
      </w:r>
    </w:p>
    <w:p w14:paraId="5AED5713" w14:textId="77777777" w:rsidR="00302FA6" w:rsidRPr="00D45F90" w:rsidRDefault="00302FA6" w:rsidP="004F36F7">
      <w:pPr>
        <w:pStyle w:val="IFTnormal"/>
        <w:spacing w:before="240"/>
        <w:rPr>
          <w:rStyle w:val="IFTnormalCar"/>
        </w:rPr>
      </w:pPr>
      <w:r w:rsidRPr="00D45F90">
        <w:rPr>
          <w:rStyle w:val="IFTnormalCar"/>
        </w:rPr>
        <w:t xml:space="preserve">Ahora bien, respecto a los datos de salarios aportados para la estimación del nivel tarifario correspondiente, el Instituto corroboró </w:t>
      </w:r>
      <w:r w:rsidR="004F51E3" w:rsidRPr="00D45F90">
        <w:rPr>
          <w:rStyle w:val="IFTnormalCar"/>
        </w:rPr>
        <w:t xml:space="preserve">que </w:t>
      </w:r>
      <w:r w:rsidRPr="00D45F90">
        <w:rPr>
          <w:rStyle w:val="IFTnormalCar"/>
        </w:rPr>
        <w:t xml:space="preserve">los datos proporcionados son congruentes con los niveles salariares del personal que desarrollará la actividad. Lo anterior </w:t>
      </w:r>
      <w:r w:rsidR="004F51E3" w:rsidRPr="00D45F90">
        <w:rPr>
          <w:rStyle w:val="IFTnormalCar"/>
        </w:rPr>
        <w:t>toda vez que</w:t>
      </w:r>
      <w:r w:rsidRPr="00D45F90">
        <w:rPr>
          <w:rStyle w:val="IFTnormalCar"/>
        </w:rPr>
        <w:t xml:space="preserve"> los datos del AEP también incluye</w:t>
      </w:r>
      <w:r w:rsidR="004F51E3" w:rsidRPr="00D45F90">
        <w:rPr>
          <w:rStyle w:val="IFTnormalCar"/>
        </w:rPr>
        <w:t>n</w:t>
      </w:r>
      <w:r w:rsidRPr="00D45F90">
        <w:rPr>
          <w:rStyle w:val="IFTnormalCar"/>
        </w:rPr>
        <w:t xml:space="preserve"> </w:t>
      </w:r>
      <w:r w:rsidRPr="00D45F90">
        <w:t xml:space="preserve">el salario diario integrado, </w:t>
      </w:r>
      <w:r w:rsidRPr="00D45F90">
        <w:rPr>
          <w:rStyle w:val="IFTnormalCar"/>
        </w:rPr>
        <w:t>mediante el uso de un “</w:t>
      </w:r>
      <w:r w:rsidRPr="00D45F90">
        <w:rPr>
          <w:rStyle w:val="IFTnormalCar"/>
          <w:i/>
        </w:rPr>
        <w:t>factor integración</w:t>
      </w:r>
      <w:r w:rsidRPr="00D45F90">
        <w:rPr>
          <w:rStyle w:val="IFTnormalCar"/>
        </w:rPr>
        <w:t xml:space="preserve">”, a través del cual se representan </w:t>
      </w:r>
      <w:r w:rsidRPr="00D45F90">
        <w:t xml:space="preserve">sobre el salario, a nivel promedio, los diversos pagos, gratificaciones, percepciones, primas, comisiones y </w:t>
      </w:r>
      <w:r w:rsidRPr="00E26621">
        <w:t>cualquier otra cantidad o prestación que se entregue al trabajador por sus servicios.</w:t>
      </w:r>
    </w:p>
    <w:p w14:paraId="5E3254A2" w14:textId="77777777" w:rsidR="00302FA6" w:rsidRDefault="00302FA6" w:rsidP="004F36F7">
      <w:pPr>
        <w:pStyle w:val="IFTnormal"/>
        <w:spacing w:before="240"/>
        <w:rPr>
          <w:rStyle w:val="IFTnormalCar"/>
        </w:rPr>
      </w:pPr>
      <w:r w:rsidRPr="00D45F90">
        <w:rPr>
          <w:rStyle w:val="IFTnormalCar"/>
        </w:rPr>
        <w:t xml:space="preserve">Por otra parte, se considera que el tiempo estimado para la configuración de la central, a saber 6.25 horas, </w:t>
      </w:r>
      <w:r w:rsidR="00121CB4" w:rsidRPr="00D45F90">
        <w:rPr>
          <w:rStyle w:val="IFTnormalCar"/>
        </w:rPr>
        <w:t>permite</w:t>
      </w:r>
      <w:r w:rsidRPr="00D45F90">
        <w:rPr>
          <w:rStyle w:val="IFTnormalCar"/>
        </w:rPr>
        <w:t xml:space="preserve"> que una persona lleve a cabo la ejecución del servicio.</w:t>
      </w:r>
    </w:p>
    <w:p w14:paraId="4BE5B7CC" w14:textId="77777777" w:rsidR="00302FA6" w:rsidRDefault="00302FA6" w:rsidP="004F36F7">
      <w:pPr>
        <w:pStyle w:val="IFTnormal"/>
        <w:spacing w:before="240"/>
        <w:rPr>
          <w:rStyle w:val="IFTnormalCar"/>
        </w:rPr>
      </w:pPr>
      <w:r>
        <w:rPr>
          <w:rStyle w:val="IFTnormalCar"/>
        </w:rPr>
        <w:t xml:space="preserve">En mérito de lo anterior, </w:t>
      </w:r>
      <w:r w:rsidR="00A84D23">
        <w:rPr>
          <w:rStyle w:val="IFTnormalCar"/>
        </w:rPr>
        <w:t xml:space="preserve">si bien se consideran adecuados los parámetros utilizados por el AEP para estimar la tarifa en comento, en congruencia con la denominación de este servicio dentro del procedimiento antes descrito, </w:t>
      </w:r>
      <w:r>
        <w:rPr>
          <w:rStyle w:val="IFTnormalCar"/>
        </w:rPr>
        <w:t xml:space="preserve">el Instituto </w:t>
      </w:r>
      <w:r w:rsidR="00CB23E1">
        <w:rPr>
          <w:rStyle w:val="IFTnormalCar"/>
        </w:rPr>
        <w:t xml:space="preserve">resuelve </w:t>
      </w:r>
      <w:r>
        <w:rPr>
          <w:rStyle w:val="IFTnormalCar"/>
        </w:rPr>
        <w:t xml:space="preserve">modificar la Propuesta de tarifas del AEP para </w:t>
      </w:r>
      <w:r w:rsidR="00AD4E41">
        <w:rPr>
          <w:rStyle w:val="IFTnormalCar"/>
        </w:rPr>
        <w:t xml:space="preserve">que se haga referencia </w:t>
      </w:r>
      <w:r>
        <w:rPr>
          <w:rStyle w:val="IFTnormalCar"/>
        </w:rPr>
        <w:t>al concepto “</w:t>
      </w:r>
      <w:r w:rsidRPr="00963B29">
        <w:rPr>
          <w:rStyle w:val="IFTnormalCar"/>
          <w:i/>
        </w:rPr>
        <w:t>Gastos de Configuración de la Solución SRMLT en Central</w:t>
      </w:r>
      <w:r>
        <w:rPr>
          <w:rStyle w:val="IFTnormalCar"/>
        </w:rPr>
        <w:t xml:space="preserve">” dentro de los cobros no recurrentes aplicables a dicho servicio, a efecto de </w:t>
      </w:r>
      <w:r w:rsidR="00AD4E41">
        <w:rPr>
          <w:rStyle w:val="IFTnormalCar"/>
        </w:rPr>
        <w:t xml:space="preserve">otorgar mayor precisión en la denominación, </w:t>
      </w:r>
      <w:r>
        <w:rPr>
          <w:rStyle w:val="IFTnormalCar"/>
        </w:rPr>
        <w:t>reducir la ambigüedad en la interpretación y alcance del mismo</w:t>
      </w:r>
      <w:r w:rsidRPr="000D0030">
        <w:rPr>
          <w:rStyle w:val="IFTnormalCar"/>
        </w:rPr>
        <w:t xml:space="preserve"> </w:t>
      </w:r>
      <w:r>
        <w:rPr>
          <w:rStyle w:val="IFTnormalCar"/>
        </w:rPr>
        <w:t xml:space="preserve">lo cual se plasmará a través del </w:t>
      </w:r>
      <w:r w:rsidR="00B133A3">
        <w:rPr>
          <w:rStyle w:val="IFTnormalCar"/>
        </w:rPr>
        <w:t>Resolutivo PRIMERO</w:t>
      </w:r>
      <w:r>
        <w:rPr>
          <w:rStyle w:val="IFTnormalCar"/>
        </w:rPr>
        <w:t xml:space="preserve"> de la presente Resolución. </w:t>
      </w:r>
    </w:p>
    <w:p w14:paraId="46C8EAFF" w14:textId="493C102F" w:rsidR="00302FA6" w:rsidRDefault="00302FA6" w:rsidP="004F36F7">
      <w:pPr>
        <w:pStyle w:val="IFTnormal"/>
        <w:spacing w:before="240"/>
        <w:rPr>
          <w:rStyle w:val="IFTnormalCar"/>
        </w:rPr>
      </w:pPr>
      <w:r>
        <w:rPr>
          <w:rStyle w:val="IFTnormalCar"/>
        </w:rPr>
        <w:t xml:space="preserve">En el mismo sentido, y en línea con lo establecido en la Resolución </w:t>
      </w:r>
      <w:r w:rsidR="000B4912">
        <w:t>SRMLT</w:t>
      </w:r>
      <w:r>
        <w:rPr>
          <w:rStyle w:val="IFTnormalCar"/>
        </w:rPr>
        <w:t xml:space="preserve">, se deberá precisar que la contraprestación por tal servicio resulta en un valor de </w:t>
      </w:r>
      <w:r w:rsidRPr="000D0030">
        <w:rPr>
          <w:rStyle w:val="IFTnormalCar"/>
        </w:rPr>
        <w:t>2,207.60</w:t>
      </w:r>
      <w:r w:rsidR="00BA6D83">
        <w:rPr>
          <w:rStyle w:val="IFTnormalCar"/>
        </w:rPr>
        <w:t>00</w:t>
      </w:r>
      <w:r>
        <w:rPr>
          <w:rStyle w:val="IFTnormalCar"/>
        </w:rPr>
        <w:t xml:space="preserve"> pesos mexicanos, y que la misma deberá aplicarse </w:t>
      </w:r>
      <w:r w:rsidR="00AD4E41">
        <w:rPr>
          <w:rStyle w:val="IFTnormalCar"/>
        </w:rPr>
        <w:t xml:space="preserve">por CS cuando realice </w:t>
      </w:r>
      <w:r w:rsidR="00140AF7">
        <w:rPr>
          <w:rStyle w:val="IFTnormalCar"/>
        </w:rPr>
        <w:t xml:space="preserve">la primera </w:t>
      </w:r>
      <w:r>
        <w:rPr>
          <w:rStyle w:val="IFTnormalCar"/>
        </w:rPr>
        <w:t xml:space="preserve">solicitud </w:t>
      </w:r>
      <w:r w:rsidR="00AD4E41">
        <w:rPr>
          <w:rStyle w:val="IFTnormalCar"/>
        </w:rPr>
        <w:t xml:space="preserve">del servicio </w:t>
      </w:r>
      <w:r w:rsidR="00793F3F">
        <w:rPr>
          <w:rStyle w:val="IFTnormalCar"/>
        </w:rPr>
        <w:t xml:space="preserve">de un CS </w:t>
      </w:r>
      <w:r>
        <w:rPr>
          <w:rStyle w:val="IFTnormalCar"/>
        </w:rPr>
        <w:t>en una central específica</w:t>
      </w:r>
      <w:r w:rsidR="00C662BB">
        <w:rPr>
          <w:rStyle w:val="IFTnormalCar"/>
        </w:rPr>
        <w:t xml:space="preserve"> donde se realice la entrega del tráfico correspondiente</w:t>
      </w:r>
      <w:r>
        <w:rPr>
          <w:rStyle w:val="IFTnormalCar"/>
        </w:rPr>
        <w:t>.</w:t>
      </w:r>
    </w:p>
    <w:p w14:paraId="24EC02F8" w14:textId="77777777" w:rsidR="00302FA6" w:rsidRDefault="00302FA6" w:rsidP="004F36F7">
      <w:pPr>
        <w:pStyle w:val="IFTnormal"/>
        <w:spacing w:before="240"/>
        <w:rPr>
          <w:rStyle w:val="IFTnormalCar"/>
        </w:rPr>
      </w:pPr>
      <w:r>
        <w:rPr>
          <w:rStyle w:val="IFTnormalCar"/>
        </w:rPr>
        <w:lastRenderedPageBreak/>
        <w:t xml:space="preserve">En torno al concepto </w:t>
      </w:r>
      <w:r w:rsidRPr="00E16DE7">
        <w:rPr>
          <w:rStyle w:val="IFTnormalCar"/>
        </w:rPr>
        <w:t>“</w:t>
      </w:r>
      <w:r w:rsidRPr="00963B29">
        <w:rPr>
          <w:rStyle w:val="IFTnormalCar"/>
          <w:i/>
        </w:rPr>
        <w:t>Gastos de habilitación del SRMLT</w:t>
      </w:r>
      <w:r w:rsidRPr="00E16DE7">
        <w:rPr>
          <w:rStyle w:val="IFTnormalCar"/>
        </w:rPr>
        <w:t>”</w:t>
      </w:r>
      <w:r w:rsidRPr="00E16DE7">
        <w:rPr>
          <w:rStyle w:val="IFTnormalCar"/>
          <w:lang w:val="es-ES"/>
        </w:rPr>
        <w:t xml:space="preserve"> </w:t>
      </w:r>
      <w:r>
        <w:rPr>
          <w:rStyle w:val="IFTnormalCar"/>
          <w:lang w:val="es-ES"/>
        </w:rPr>
        <w:t xml:space="preserve">presentado en el numeral </w:t>
      </w:r>
      <w:r>
        <w:rPr>
          <w:rStyle w:val="IFTnormalCar"/>
        </w:rPr>
        <w:t>“</w:t>
      </w:r>
      <w:r w:rsidRPr="00CF49FA">
        <w:rPr>
          <w:rStyle w:val="IFTnormalCar"/>
          <w:b/>
          <w:i/>
        </w:rPr>
        <w:t>1. Servicio de Reventa Mayorista de Línea Telefónica (SRMLT)</w:t>
      </w:r>
      <w:r>
        <w:rPr>
          <w:rStyle w:val="IFTnormalCar"/>
        </w:rPr>
        <w:t xml:space="preserve">” de la </w:t>
      </w:r>
      <w:r w:rsidRPr="00AA0DF1">
        <w:rPr>
          <w:rStyle w:val="IFTnormalCar"/>
        </w:rPr>
        <w:t>Propuesta de tarifas del AEP</w:t>
      </w:r>
      <w:r>
        <w:rPr>
          <w:rStyle w:val="IFTnormalCar"/>
        </w:rPr>
        <w:t xml:space="preserve">, el Instituto estima pertinente destacar que contrariamente a lo expresado por el AEP, a través del Anexo A de la OREDA </w:t>
      </w:r>
      <w:r w:rsidR="00A365BC">
        <w:rPr>
          <w:rStyle w:val="IFTnormalCar"/>
        </w:rPr>
        <w:t>vigente</w:t>
      </w:r>
      <w:r>
        <w:rPr>
          <w:rStyle w:val="IFTnormalCar"/>
        </w:rPr>
        <w:t xml:space="preserve"> no se determinó un nivel tarifario para dicho concepto.</w:t>
      </w:r>
    </w:p>
    <w:p w14:paraId="0D3A9EC4" w14:textId="77777777" w:rsidR="00302FA6" w:rsidRDefault="00302FA6" w:rsidP="004F36F7">
      <w:pPr>
        <w:pStyle w:val="IFTnormal"/>
        <w:spacing w:before="240"/>
        <w:rPr>
          <w:rStyle w:val="IFTnormalCar"/>
        </w:rPr>
      </w:pPr>
      <w:r>
        <w:rPr>
          <w:rStyle w:val="IFTnormalCar"/>
        </w:rPr>
        <w:t>En este sentido, no escapa al Instituto el hecho de que el valor propuesto para dicho concepto en la Propuesta de tarifas del AEP es de “</w:t>
      </w:r>
      <w:r w:rsidRPr="00963B29">
        <w:rPr>
          <w:rStyle w:val="IFTnormalCar"/>
          <w:i/>
        </w:rPr>
        <w:t>450.0000</w:t>
      </w:r>
      <w:r>
        <w:rPr>
          <w:rStyle w:val="IFTnormalCar"/>
        </w:rPr>
        <w:t xml:space="preserve">”, mientras que a través de la </w:t>
      </w:r>
      <w:r w:rsidRPr="004C1119">
        <w:rPr>
          <w:rStyle w:val="IFTnormalCar"/>
        </w:rPr>
        <w:t xml:space="preserve">Respuesta al </w:t>
      </w:r>
      <w:r w:rsidR="00376B61">
        <w:rPr>
          <w:rStyle w:val="IFTnormalCar"/>
        </w:rPr>
        <w:t>Requerimiento de tarifas</w:t>
      </w:r>
      <w:r>
        <w:rPr>
          <w:rStyle w:val="IFTnormalCar"/>
        </w:rPr>
        <w:t xml:space="preserve"> se propone que la tarifa del servicio debería corresponder con “</w:t>
      </w:r>
      <w:r w:rsidRPr="00963B29">
        <w:rPr>
          <w:rStyle w:val="IFTnormalCar"/>
          <w:i/>
        </w:rPr>
        <w:t>450.50</w:t>
      </w:r>
      <w:r>
        <w:rPr>
          <w:rStyle w:val="IFTnormalCar"/>
        </w:rPr>
        <w:t>”, refiriendo que dicho valor corresponde al nivel tarifario resuelto por el Instituto para el Servicio de Desagrega</w:t>
      </w:r>
      <w:r w:rsidRPr="004C1119">
        <w:rPr>
          <w:rStyle w:val="IFTnormalCar"/>
        </w:rPr>
        <w:t>ción Comp</w:t>
      </w:r>
      <w:r>
        <w:rPr>
          <w:rStyle w:val="IFTnormalCar"/>
        </w:rPr>
        <w:t xml:space="preserve">artido del Bucle Local </w:t>
      </w:r>
      <w:r w:rsidRPr="004C1119">
        <w:rPr>
          <w:rStyle w:val="IFTnormalCar"/>
        </w:rPr>
        <w:t>(</w:t>
      </w:r>
      <w:r w:rsidR="003B0BFA">
        <w:rPr>
          <w:rStyle w:val="IFTnormalCar"/>
        </w:rPr>
        <w:t xml:space="preserve">en adelante, </w:t>
      </w:r>
      <w:r>
        <w:rPr>
          <w:rStyle w:val="IFTnormalCar"/>
        </w:rPr>
        <w:t>“</w:t>
      </w:r>
      <w:r w:rsidRPr="004C1119">
        <w:rPr>
          <w:rStyle w:val="IFTnormalCar"/>
        </w:rPr>
        <w:t>SDCBL</w:t>
      </w:r>
      <w:r>
        <w:rPr>
          <w:rStyle w:val="IFTnormalCar"/>
        </w:rPr>
        <w:t>”</w:t>
      </w:r>
      <w:r w:rsidRPr="004C1119">
        <w:rPr>
          <w:rStyle w:val="IFTnormalCar"/>
        </w:rPr>
        <w:t>)</w:t>
      </w:r>
      <w:r>
        <w:rPr>
          <w:rStyle w:val="IFTnormalCar"/>
        </w:rPr>
        <w:t xml:space="preserve"> a través de la Resolución </w:t>
      </w:r>
      <w:r w:rsidR="008525AC" w:rsidRPr="008525AC">
        <w:rPr>
          <w:rStyle w:val="IFTnormalCar"/>
        </w:rPr>
        <w:t>de Desagregación 2017-2018</w:t>
      </w:r>
      <w:r>
        <w:rPr>
          <w:rStyle w:val="IFTnormalCar"/>
        </w:rPr>
        <w:t>. Lo anterior se aprecia a través de la siguiente imagen:</w:t>
      </w:r>
    </w:p>
    <w:p w14:paraId="1CE9814C" w14:textId="77777777" w:rsidR="00302FA6" w:rsidRDefault="00302FA6" w:rsidP="004F36F7">
      <w:pPr>
        <w:pStyle w:val="IFTnormal"/>
        <w:spacing w:before="240"/>
        <w:jc w:val="center"/>
        <w:rPr>
          <w:rStyle w:val="IFTnormalCar"/>
        </w:rPr>
      </w:pPr>
      <w:r>
        <w:rPr>
          <w:noProof/>
          <w:lang w:eastAsia="es-MX"/>
        </w:rPr>
        <w:drawing>
          <wp:inline distT="0" distB="0" distL="0" distR="0" wp14:anchorId="16166803" wp14:editId="73F91D4F">
            <wp:extent cx="5971540" cy="3263265"/>
            <wp:effectExtent l="0" t="0" r="0" b="0"/>
            <wp:docPr id="8" name="Imagen 2" descr="Servicio de reventa mayorista de línea telefónica (SRML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1540" cy="3263265"/>
                    </a:xfrm>
                    <a:prstGeom prst="rect">
                      <a:avLst/>
                    </a:prstGeom>
                    <a:noFill/>
                    <a:extLst/>
                  </pic:spPr>
                </pic:pic>
              </a:graphicData>
            </a:graphic>
          </wp:inline>
        </w:drawing>
      </w:r>
    </w:p>
    <w:p w14:paraId="45120E03" w14:textId="77777777" w:rsidR="00302FA6" w:rsidRPr="00C1472F" w:rsidRDefault="00302FA6" w:rsidP="004F36F7">
      <w:pPr>
        <w:pStyle w:val="IFTnormal"/>
        <w:spacing w:before="240"/>
        <w:jc w:val="center"/>
        <w:rPr>
          <w:sz w:val="18"/>
        </w:rPr>
      </w:pPr>
      <w:r>
        <w:rPr>
          <w:b/>
          <w:sz w:val="18"/>
        </w:rPr>
        <w:t xml:space="preserve">Figura </w:t>
      </w:r>
      <w:r w:rsidR="00223A04">
        <w:rPr>
          <w:b/>
          <w:sz w:val="18"/>
        </w:rPr>
        <w:t>1</w:t>
      </w:r>
      <w:r w:rsidRPr="00C1472F">
        <w:rPr>
          <w:sz w:val="18"/>
        </w:rPr>
        <w:t xml:space="preserve"> </w:t>
      </w:r>
      <w:r>
        <w:rPr>
          <w:sz w:val="18"/>
        </w:rPr>
        <w:t>Extracto del archivo Excel “</w:t>
      </w:r>
      <w:r w:rsidRPr="00963B29">
        <w:rPr>
          <w:i/>
          <w:sz w:val="18"/>
        </w:rPr>
        <w:t>Numeral 2 Prop tarifaria Requerimiento IFT SMRLT</w:t>
      </w:r>
      <w:r>
        <w:rPr>
          <w:sz w:val="18"/>
        </w:rPr>
        <w:t xml:space="preserve">” aportado por el AEP como parte de la </w:t>
      </w:r>
      <w:r w:rsidRPr="009121B6">
        <w:rPr>
          <w:sz w:val="18"/>
        </w:rPr>
        <w:t xml:space="preserve">Respuesta al </w:t>
      </w:r>
      <w:r w:rsidR="00376B61">
        <w:rPr>
          <w:sz w:val="18"/>
        </w:rPr>
        <w:t>Requerimiento de tarifas</w:t>
      </w:r>
      <w:r w:rsidRPr="009121B6">
        <w:rPr>
          <w:sz w:val="18"/>
        </w:rPr>
        <w:t xml:space="preserve"> </w:t>
      </w:r>
      <w:r w:rsidRPr="00FD39E8">
        <w:rPr>
          <w:sz w:val="18"/>
        </w:rPr>
        <w:t>(</w:t>
      </w:r>
      <w:r w:rsidRPr="00FD39E8">
        <w:rPr>
          <w:b/>
          <w:sz w:val="18"/>
        </w:rPr>
        <w:t>Fuente:</w:t>
      </w:r>
      <w:r>
        <w:rPr>
          <w:sz w:val="18"/>
        </w:rPr>
        <w:t xml:space="preserve"> AEP</w:t>
      </w:r>
      <w:r w:rsidRPr="00FD39E8">
        <w:rPr>
          <w:sz w:val="18"/>
        </w:rPr>
        <w:t>, 2018)</w:t>
      </w:r>
      <w:r w:rsidRPr="00C1472F">
        <w:rPr>
          <w:sz w:val="18"/>
        </w:rPr>
        <w:t>.</w:t>
      </w:r>
    </w:p>
    <w:p w14:paraId="60B054EA" w14:textId="77777777" w:rsidR="00302FA6" w:rsidRDefault="00302FA6" w:rsidP="004F36F7">
      <w:pPr>
        <w:pStyle w:val="IFTnormal"/>
        <w:spacing w:before="240"/>
        <w:rPr>
          <w:rStyle w:val="IFTnormalCar"/>
        </w:rPr>
      </w:pPr>
      <w:r>
        <w:rPr>
          <w:rStyle w:val="IFTnormalCar"/>
        </w:rPr>
        <w:t xml:space="preserve">A este respecto, el Instituto señala que resulta ambiguo el hecho de que el AEP presente dos valores distintos para la tarifa de un mismo servicio. Con independencia de lo anterior, también se destaca que a través de la información presentada el AEP no brinda elementos que justifiquen </w:t>
      </w:r>
      <w:r w:rsidR="00AD4E41">
        <w:rPr>
          <w:rStyle w:val="IFTnormalCar"/>
        </w:rPr>
        <w:t xml:space="preserve">la correspondencia de </w:t>
      </w:r>
      <w:r>
        <w:rPr>
          <w:rStyle w:val="IFTnormalCar"/>
        </w:rPr>
        <w:t>los niveles tarifarios que ha propuesto para el concepto en cuestión con el alcance del servicio.</w:t>
      </w:r>
    </w:p>
    <w:p w14:paraId="67B68E51" w14:textId="77777777" w:rsidR="00302FA6" w:rsidRDefault="00B039F5" w:rsidP="004F36F7">
      <w:pPr>
        <w:pStyle w:val="IFTnormal"/>
        <w:spacing w:before="240"/>
        <w:rPr>
          <w:rStyle w:val="IFTnormalCar"/>
          <w:highlight w:val="yellow"/>
        </w:rPr>
      </w:pPr>
      <w:r>
        <w:rPr>
          <w:rStyle w:val="IFTnormalCar"/>
        </w:rPr>
        <w:lastRenderedPageBreak/>
        <w:t>En complemento,</w:t>
      </w:r>
      <w:r w:rsidR="00302FA6">
        <w:rPr>
          <w:rStyle w:val="IFTnormalCar"/>
        </w:rPr>
        <w:t xml:space="preserve"> el Instituto destaca que </w:t>
      </w:r>
      <w:r w:rsidR="00302FA6" w:rsidRPr="00D806F2">
        <w:rPr>
          <w:rStyle w:val="IFTnormalCar"/>
        </w:rPr>
        <w:t xml:space="preserve">el numeral </w:t>
      </w:r>
      <w:r w:rsidR="00302FA6">
        <w:rPr>
          <w:rStyle w:val="IFTnormalCar"/>
        </w:rPr>
        <w:t>“</w:t>
      </w:r>
      <w:r w:rsidR="00302FA6" w:rsidRPr="00963B29">
        <w:rPr>
          <w:rStyle w:val="IFTnormalCar"/>
          <w:i/>
        </w:rPr>
        <w:t>9.2 Procedimiento de contratación y entrega (Alta de línea)</w:t>
      </w:r>
      <w:r w:rsidR="00302FA6">
        <w:rPr>
          <w:rStyle w:val="IFTnormalCar"/>
        </w:rPr>
        <w:t xml:space="preserve">” </w:t>
      </w:r>
      <w:r w:rsidR="00302FA6" w:rsidRPr="00D806F2">
        <w:rPr>
          <w:rStyle w:val="IFTnormalCar"/>
        </w:rPr>
        <w:t xml:space="preserve">del Anexo 1 de la Resolución </w:t>
      </w:r>
      <w:r w:rsidR="000B4912">
        <w:t>SRMLT</w:t>
      </w:r>
      <w:r w:rsidR="00302FA6" w:rsidRPr="00D806F2">
        <w:rPr>
          <w:rStyle w:val="IFTnormalCar"/>
        </w:rPr>
        <w:t xml:space="preserve"> indica lo siguiente</w:t>
      </w:r>
      <w:r w:rsidR="00302FA6">
        <w:rPr>
          <w:rStyle w:val="IFTnormalCar"/>
        </w:rPr>
        <w:t xml:space="preserve"> al respecto de la habilitación del SRMLT</w:t>
      </w:r>
      <w:r w:rsidR="00302FA6" w:rsidRPr="00D806F2">
        <w:rPr>
          <w:rStyle w:val="IFTnormalCar"/>
        </w:rPr>
        <w:t>:</w:t>
      </w:r>
    </w:p>
    <w:p w14:paraId="617E962F" w14:textId="77777777" w:rsidR="00302FA6" w:rsidRPr="00916C2E" w:rsidRDefault="00302FA6" w:rsidP="004F36F7">
      <w:pPr>
        <w:pStyle w:val="CitaIFT0"/>
        <w:spacing w:before="240"/>
      </w:pPr>
      <w:r>
        <w:rPr>
          <w:rStyle w:val="IFTnormalCar"/>
        </w:rPr>
        <w:t>“</w:t>
      </w:r>
      <w:r w:rsidRPr="00D806F2">
        <w:rPr>
          <w:b/>
        </w:rPr>
        <w:t>9.2 Procedimiento de contratación y entrega (Alta de línea)</w:t>
      </w:r>
    </w:p>
    <w:p w14:paraId="50548455" w14:textId="77777777" w:rsidR="00302FA6" w:rsidRPr="00A96A60" w:rsidRDefault="00302FA6" w:rsidP="004F36F7">
      <w:pPr>
        <w:pStyle w:val="CitaIFT0"/>
        <w:spacing w:before="240"/>
      </w:pPr>
      <w:r w:rsidRPr="00A96A60">
        <w:t>Este procedimiento podrá aplicarse única y exclusivamente cuando el CS ya cuente con la activación del servicio en la central correspondiente.</w:t>
      </w:r>
    </w:p>
    <w:p w14:paraId="55658300" w14:textId="77777777" w:rsidR="00302FA6" w:rsidRPr="00853D00" w:rsidRDefault="00302FA6" w:rsidP="004F36F7">
      <w:pPr>
        <w:pStyle w:val="CitaIFT0"/>
        <w:spacing w:before="240"/>
      </w:pPr>
      <w:r w:rsidRPr="00D806F2">
        <w:rPr>
          <w:b/>
          <w:u w:val="single"/>
        </w:rPr>
        <w:t>El objetivo de este procedimiento es definir las actividades a desarrollar por parte de Telmex/Telnor y del CS, a fin de realizar la contratación y entrega del servicio de SRMLT. Las fases en que se divide este procedimiento son:</w:t>
      </w:r>
      <w:r w:rsidRPr="00853D00">
        <w:t xml:space="preserve"> (i) Entrega y validación de la solicitud para que el CS manifieste su intención de contratar el servicio para un cliente, y la evaluación en SEG que confirma que la solicitud cuenta con todos los elementos para la contratación del servicio en la Central correspondiente; y </w:t>
      </w:r>
      <w:r w:rsidRPr="00A96A60">
        <w:rPr>
          <w:b/>
          <w:u w:val="single"/>
        </w:rPr>
        <w:t>(ii</w:t>
      </w:r>
      <w:r w:rsidRPr="00D806F2">
        <w:rPr>
          <w:b/>
          <w:u w:val="single"/>
        </w:rPr>
        <w:t>) Habilitación y aprovisionamiento del servicio solicitado,</w:t>
      </w:r>
      <w:r w:rsidRPr="00853D00">
        <w:t xml:space="preserve"> que detonará los procesos de pruebas de entrega y facturación.</w:t>
      </w:r>
    </w:p>
    <w:tbl>
      <w:tblPr>
        <w:tblStyle w:val="Tablaconcuadrcula"/>
        <w:tblW w:w="4229" w:type="pct"/>
        <w:tblInd w:w="846" w:type="dxa"/>
        <w:tblLook w:val="04A0" w:firstRow="1" w:lastRow="0" w:firstColumn="1" w:lastColumn="0" w:noHBand="0" w:noVBand="1"/>
        <w:tblCaption w:val="Tabla"/>
        <w:tblDescription w:val="Etapas"/>
      </w:tblPr>
      <w:tblGrid>
        <w:gridCol w:w="2053"/>
        <w:gridCol w:w="5892"/>
      </w:tblGrid>
      <w:tr w:rsidR="00302FA6" w:rsidRPr="00D806F2" w14:paraId="777C6C4E" w14:textId="77777777" w:rsidTr="008B2557">
        <w:trPr>
          <w:tblHeader/>
        </w:trPr>
        <w:tc>
          <w:tcPr>
            <w:tcW w:w="1292" w:type="pct"/>
          </w:tcPr>
          <w:p w14:paraId="30819C2B" w14:textId="77777777" w:rsidR="00302FA6" w:rsidRDefault="00302FA6" w:rsidP="004F36F7">
            <w:pPr>
              <w:pStyle w:val="IFTnormal"/>
              <w:spacing w:before="240"/>
              <w:rPr>
                <w:b/>
                <w:i/>
                <w:sz w:val="18"/>
                <w:szCs w:val="16"/>
              </w:rPr>
            </w:pPr>
            <w:r w:rsidRPr="00D806F2">
              <w:rPr>
                <w:b/>
                <w:i/>
                <w:sz w:val="18"/>
                <w:szCs w:val="16"/>
              </w:rPr>
              <w:t>Etapa</w:t>
            </w:r>
          </w:p>
          <w:p w14:paraId="325F73D6" w14:textId="0317BF39" w:rsidR="00426958" w:rsidRPr="00D806F2" w:rsidRDefault="00426958" w:rsidP="004F36F7">
            <w:pPr>
              <w:pStyle w:val="IFTnormal"/>
              <w:spacing w:before="240"/>
              <w:jc w:val="center"/>
              <w:rPr>
                <w:b/>
                <w:i/>
                <w:sz w:val="18"/>
                <w:szCs w:val="16"/>
              </w:rPr>
            </w:pPr>
            <w:r w:rsidRPr="00D806F2">
              <w:rPr>
                <w:i/>
                <w:sz w:val="18"/>
                <w:szCs w:val="16"/>
              </w:rPr>
              <w:t>[…]</w:t>
            </w:r>
          </w:p>
        </w:tc>
        <w:tc>
          <w:tcPr>
            <w:tcW w:w="3708" w:type="pct"/>
          </w:tcPr>
          <w:p w14:paraId="2B5C5D17" w14:textId="77777777" w:rsidR="00302FA6" w:rsidRDefault="00302FA6" w:rsidP="004F36F7">
            <w:pPr>
              <w:pStyle w:val="IFTnormal"/>
              <w:spacing w:before="240"/>
              <w:rPr>
                <w:b/>
                <w:i/>
                <w:sz w:val="18"/>
                <w:szCs w:val="16"/>
              </w:rPr>
            </w:pPr>
            <w:r w:rsidRPr="00D806F2">
              <w:rPr>
                <w:b/>
                <w:i/>
                <w:sz w:val="18"/>
                <w:szCs w:val="16"/>
              </w:rPr>
              <w:t>Descripción</w:t>
            </w:r>
          </w:p>
          <w:p w14:paraId="12EBB49B" w14:textId="080EB4CE" w:rsidR="00426958" w:rsidRPr="00D806F2" w:rsidRDefault="00426958" w:rsidP="004F36F7">
            <w:pPr>
              <w:pStyle w:val="IFTnormal"/>
              <w:spacing w:before="240"/>
              <w:jc w:val="center"/>
              <w:rPr>
                <w:b/>
                <w:i/>
                <w:sz w:val="18"/>
                <w:szCs w:val="16"/>
              </w:rPr>
            </w:pPr>
            <w:r w:rsidRPr="00D806F2">
              <w:rPr>
                <w:i/>
                <w:sz w:val="18"/>
                <w:szCs w:val="16"/>
              </w:rPr>
              <w:t>[…]</w:t>
            </w:r>
          </w:p>
        </w:tc>
      </w:tr>
      <w:tr w:rsidR="00302FA6" w:rsidRPr="00D806F2" w14:paraId="2C80064E" w14:textId="77777777" w:rsidTr="008B2557">
        <w:tc>
          <w:tcPr>
            <w:tcW w:w="1292" w:type="pct"/>
          </w:tcPr>
          <w:p w14:paraId="51C7A34A" w14:textId="77777777" w:rsidR="00302FA6" w:rsidRPr="00D806F2" w:rsidRDefault="00302FA6" w:rsidP="004F36F7">
            <w:pPr>
              <w:pStyle w:val="IFTnormal"/>
              <w:spacing w:before="240"/>
              <w:rPr>
                <w:b/>
                <w:i/>
                <w:sz w:val="18"/>
                <w:szCs w:val="16"/>
                <w:highlight w:val="cyan"/>
              </w:rPr>
            </w:pPr>
            <w:r w:rsidRPr="00D806F2">
              <w:rPr>
                <w:b/>
                <w:i/>
                <w:sz w:val="18"/>
                <w:szCs w:val="16"/>
              </w:rPr>
              <w:t>Habilitación y aprovisionamiento del Servicio</w:t>
            </w:r>
          </w:p>
        </w:tc>
        <w:tc>
          <w:tcPr>
            <w:tcW w:w="3708" w:type="pct"/>
          </w:tcPr>
          <w:p w14:paraId="72D036DB" w14:textId="77777777" w:rsidR="00302FA6" w:rsidRPr="00A96A60" w:rsidRDefault="00302FA6" w:rsidP="004F36F7">
            <w:pPr>
              <w:pStyle w:val="IFTnormal"/>
              <w:spacing w:before="240"/>
              <w:rPr>
                <w:b/>
                <w:i/>
                <w:sz w:val="18"/>
                <w:szCs w:val="16"/>
                <w:u w:val="single"/>
              </w:rPr>
            </w:pPr>
            <w:r w:rsidRPr="00A96A60">
              <w:rPr>
                <w:b/>
                <w:i/>
                <w:sz w:val="18"/>
                <w:szCs w:val="16"/>
                <w:u w:val="single"/>
              </w:rPr>
              <w:t xml:space="preserve">Telmex/Telnor llevará a cabo las actuaciones necesarias para habilitar el servicio el día confirmado por el CS; </w:t>
            </w:r>
          </w:p>
          <w:p w14:paraId="38D55BC1" w14:textId="77777777" w:rsidR="00302FA6" w:rsidRPr="00A96A60" w:rsidRDefault="00302FA6" w:rsidP="004F36F7">
            <w:pPr>
              <w:pStyle w:val="IFTnormal"/>
              <w:spacing w:before="240"/>
              <w:rPr>
                <w:i/>
                <w:sz w:val="18"/>
                <w:szCs w:val="16"/>
                <w:u w:val="single"/>
              </w:rPr>
            </w:pPr>
            <w:r w:rsidRPr="00A96A60">
              <w:rPr>
                <w:b/>
                <w:i/>
                <w:sz w:val="18"/>
                <w:szCs w:val="16"/>
                <w:u w:val="single"/>
              </w:rPr>
              <w:t>Usuarios Existentes</w:t>
            </w:r>
            <w:r w:rsidRPr="00A96A60">
              <w:rPr>
                <w:i/>
                <w:sz w:val="18"/>
                <w:szCs w:val="16"/>
                <w:u w:val="single"/>
              </w:rPr>
              <w:t xml:space="preserve">: </w:t>
            </w:r>
            <w:r w:rsidRPr="00A96A60">
              <w:rPr>
                <w:b/>
                <w:i/>
                <w:sz w:val="18"/>
                <w:szCs w:val="16"/>
                <w:u w:val="single"/>
              </w:rPr>
              <w:t>Habilitación remota</w:t>
            </w:r>
            <w:r w:rsidRPr="009121B6">
              <w:rPr>
                <w:b/>
                <w:i/>
                <w:sz w:val="18"/>
                <w:szCs w:val="16"/>
                <w:u w:val="single"/>
              </w:rPr>
              <w:t xml:space="preserve"> (máximo 5 días hábiles contados a partir del ingreso de la solicitud y 7 días hábiles con provisión de equipo por Telmex/Telnor).</w:t>
            </w:r>
          </w:p>
          <w:p w14:paraId="6C2DE00A" w14:textId="77777777" w:rsidR="00302FA6" w:rsidRPr="009121B6" w:rsidRDefault="00302FA6" w:rsidP="004F36F7">
            <w:pPr>
              <w:pStyle w:val="IFTnormal"/>
              <w:numPr>
                <w:ilvl w:val="0"/>
                <w:numId w:val="8"/>
              </w:numPr>
              <w:spacing w:before="240"/>
              <w:rPr>
                <w:b/>
                <w:i/>
                <w:sz w:val="18"/>
                <w:szCs w:val="16"/>
                <w:u w:val="single"/>
              </w:rPr>
            </w:pPr>
            <w:r w:rsidRPr="009121B6">
              <w:rPr>
                <w:b/>
                <w:i/>
                <w:sz w:val="18"/>
                <w:szCs w:val="16"/>
                <w:u w:val="single"/>
              </w:rPr>
              <w:t>Se realizará la configuración correspondiente y el cambio administrativo para pasar la facturación al CS. Cuando sea requerido por el CS, se activarán/desactivarán los servicios digitales o de marcaciones solicitados (entendiendo esto último como restricción de marcaciones).</w:t>
            </w:r>
          </w:p>
          <w:p w14:paraId="36F8D32C" w14:textId="77777777" w:rsidR="00302FA6" w:rsidRPr="00A96A60" w:rsidRDefault="00302FA6" w:rsidP="004F36F7">
            <w:pPr>
              <w:pStyle w:val="IFTnormal"/>
              <w:spacing w:before="240"/>
              <w:rPr>
                <w:b/>
                <w:i/>
                <w:sz w:val="18"/>
                <w:szCs w:val="16"/>
                <w:u w:val="single"/>
              </w:rPr>
            </w:pPr>
            <w:r w:rsidRPr="00A96A60">
              <w:rPr>
                <w:b/>
                <w:i/>
                <w:sz w:val="18"/>
                <w:szCs w:val="16"/>
                <w:u w:val="single"/>
              </w:rPr>
              <w:t>Usuarios Nuevos: Habilitación presencial. Telmex/Telnor asistirá al domicilio del Usuario Final para instalar el servicio.</w:t>
            </w:r>
          </w:p>
          <w:p w14:paraId="02CA1C6D" w14:textId="77777777" w:rsidR="00302FA6" w:rsidRPr="009121B6" w:rsidRDefault="00302FA6" w:rsidP="004F36F7">
            <w:pPr>
              <w:pStyle w:val="IFTnormal"/>
              <w:numPr>
                <w:ilvl w:val="0"/>
                <w:numId w:val="8"/>
              </w:numPr>
              <w:tabs>
                <w:tab w:val="left" w:pos="3976"/>
              </w:tabs>
              <w:spacing w:before="240"/>
              <w:rPr>
                <w:b/>
                <w:i/>
                <w:sz w:val="18"/>
                <w:szCs w:val="16"/>
                <w:u w:val="single"/>
              </w:rPr>
            </w:pPr>
            <w:r w:rsidRPr="009121B6">
              <w:rPr>
                <w:b/>
                <w:i/>
                <w:sz w:val="18"/>
                <w:szCs w:val="16"/>
                <w:u w:val="single"/>
              </w:rPr>
              <w:t>Acometida Existente: (máximo 5 días hábiles contados a partir del ingreso de la solicitud y 7 días hábiles con provisión de equipo por Telmex/Telnor).</w:t>
            </w:r>
          </w:p>
          <w:p w14:paraId="1EB1221E" w14:textId="77777777" w:rsidR="00302FA6" w:rsidRPr="00D806F2" w:rsidRDefault="00302FA6" w:rsidP="004F36F7">
            <w:pPr>
              <w:pStyle w:val="IFTnormal"/>
              <w:numPr>
                <w:ilvl w:val="0"/>
                <w:numId w:val="9"/>
              </w:numPr>
              <w:spacing w:before="240"/>
              <w:rPr>
                <w:i/>
                <w:sz w:val="18"/>
                <w:szCs w:val="16"/>
              </w:rPr>
            </w:pPr>
            <w:r w:rsidRPr="00D806F2">
              <w:rPr>
                <w:i/>
                <w:sz w:val="18"/>
                <w:szCs w:val="16"/>
              </w:rPr>
              <w:t>Instalación de cableado interior, sólo si fue solicitado por el CS.</w:t>
            </w:r>
          </w:p>
          <w:p w14:paraId="0C76AC4D" w14:textId="77777777" w:rsidR="00302FA6" w:rsidRPr="00D806F2" w:rsidRDefault="00302FA6" w:rsidP="004F36F7">
            <w:pPr>
              <w:pStyle w:val="IFTnormal"/>
              <w:numPr>
                <w:ilvl w:val="0"/>
                <w:numId w:val="9"/>
              </w:numPr>
              <w:spacing w:before="240"/>
              <w:rPr>
                <w:i/>
                <w:sz w:val="18"/>
                <w:szCs w:val="16"/>
              </w:rPr>
            </w:pPr>
            <w:r w:rsidRPr="00D806F2">
              <w:rPr>
                <w:i/>
                <w:sz w:val="18"/>
                <w:szCs w:val="16"/>
              </w:rPr>
              <w:lastRenderedPageBreak/>
              <w:t>Instalación de aparato telefónico, sólo si fue solicitado por el CS.</w:t>
            </w:r>
          </w:p>
          <w:p w14:paraId="3FBCB075" w14:textId="77777777" w:rsidR="00302FA6" w:rsidRPr="009121B6" w:rsidRDefault="00302FA6" w:rsidP="004F36F7">
            <w:pPr>
              <w:pStyle w:val="IFTnormal"/>
              <w:numPr>
                <w:ilvl w:val="0"/>
                <w:numId w:val="8"/>
              </w:numPr>
              <w:spacing w:before="240"/>
              <w:rPr>
                <w:b/>
                <w:i/>
                <w:sz w:val="18"/>
                <w:szCs w:val="16"/>
                <w:u w:val="single"/>
              </w:rPr>
            </w:pPr>
            <w:r w:rsidRPr="009121B6">
              <w:rPr>
                <w:b/>
                <w:i/>
                <w:sz w:val="18"/>
                <w:szCs w:val="16"/>
                <w:u w:val="single"/>
              </w:rPr>
              <w:t>Sin Acometida: (máximo 7 días hábiles contados a partir del ingreso de la solicitud indistintamente de la provisión de equipo por Telmex/Telnor).</w:t>
            </w:r>
          </w:p>
          <w:p w14:paraId="44CA51F8" w14:textId="77777777" w:rsidR="00302FA6" w:rsidRPr="00D806F2" w:rsidRDefault="00302FA6" w:rsidP="004F36F7">
            <w:pPr>
              <w:pStyle w:val="IFTnormal"/>
              <w:numPr>
                <w:ilvl w:val="0"/>
                <w:numId w:val="10"/>
              </w:numPr>
              <w:spacing w:before="240"/>
              <w:rPr>
                <w:i/>
                <w:sz w:val="18"/>
                <w:szCs w:val="16"/>
              </w:rPr>
            </w:pPr>
            <w:r w:rsidRPr="00D806F2">
              <w:rPr>
                <w:i/>
                <w:sz w:val="18"/>
                <w:szCs w:val="16"/>
              </w:rPr>
              <w:t>Instalación de la acometida, incluye el primer CIC.</w:t>
            </w:r>
          </w:p>
          <w:p w14:paraId="20B76C4A" w14:textId="77777777" w:rsidR="00302FA6" w:rsidRPr="00D806F2" w:rsidRDefault="00302FA6" w:rsidP="004F36F7">
            <w:pPr>
              <w:pStyle w:val="IFTnormal"/>
              <w:numPr>
                <w:ilvl w:val="0"/>
                <w:numId w:val="10"/>
              </w:numPr>
              <w:spacing w:before="240"/>
              <w:rPr>
                <w:i/>
                <w:sz w:val="18"/>
                <w:szCs w:val="16"/>
              </w:rPr>
            </w:pPr>
            <w:r w:rsidRPr="00D806F2">
              <w:rPr>
                <w:i/>
                <w:sz w:val="18"/>
                <w:szCs w:val="16"/>
              </w:rPr>
              <w:t>Instalación de CIC adicional, sólo si fue solicitado por el CS.</w:t>
            </w:r>
          </w:p>
          <w:p w14:paraId="37C21A84" w14:textId="77777777" w:rsidR="00302FA6" w:rsidRPr="00D806F2" w:rsidRDefault="00302FA6" w:rsidP="004F36F7">
            <w:pPr>
              <w:pStyle w:val="IFTnormal"/>
              <w:numPr>
                <w:ilvl w:val="0"/>
                <w:numId w:val="10"/>
              </w:numPr>
              <w:spacing w:before="240"/>
              <w:rPr>
                <w:i/>
                <w:sz w:val="18"/>
                <w:szCs w:val="16"/>
              </w:rPr>
            </w:pPr>
            <w:r w:rsidRPr="00D806F2">
              <w:rPr>
                <w:i/>
                <w:sz w:val="18"/>
                <w:szCs w:val="16"/>
              </w:rPr>
              <w:t>Instalación de aparato telefónico, sólo si fue solicitado por el CS.</w:t>
            </w:r>
          </w:p>
        </w:tc>
      </w:tr>
    </w:tbl>
    <w:p w14:paraId="467EBBB2" w14:textId="77777777" w:rsidR="00302FA6" w:rsidRDefault="00302FA6" w:rsidP="004F36F7">
      <w:pPr>
        <w:pStyle w:val="CitaIFT0"/>
        <w:spacing w:before="240" w:line="240" w:lineRule="auto"/>
        <w:rPr>
          <w:rStyle w:val="IFTnormalCar"/>
          <w:highlight w:val="yellow"/>
          <w:lang w:val="es-MX"/>
        </w:rPr>
      </w:pPr>
    </w:p>
    <w:p w14:paraId="06F381F2" w14:textId="77777777" w:rsidR="00302FA6" w:rsidRDefault="00302FA6" w:rsidP="004F36F7">
      <w:pPr>
        <w:pStyle w:val="CitaIFT0"/>
        <w:spacing w:before="240" w:line="240" w:lineRule="auto"/>
        <w:rPr>
          <w:rStyle w:val="IFTnormalCar"/>
          <w:lang w:val="es-MX"/>
        </w:rPr>
      </w:pPr>
      <w:r w:rsidRPr="00A72D25">
        <w:rPr>
          <w:rStyle w:val="IFTnormalCar"/>
          <w:lang w:val="es-MX"/>
        </w:rPr>
        <w:t>[…]”</w:t>
      </w:r>
    </w:p>
    <w:p w14:paraId="46CCD211" w14:textId="77777777" w:rsidR="00302FA6" w:rsidRPr="00346CA8" w:rsidRDefault="00302FA6" w:rsidP="004F36F7">
      <w:pPr>
        <w:pStyle w:val="CitaIFT0"/>
        <w:spacing w:before="240" w:line="240" w:lineRule="auto"/>
        <w:jc w:val="right"/>
        <w:rPr>
          <w:rStyle w:val="IFTnormalCar"/>
          <w:rFonts w:cs="Arial"/>
          <w:bCs/>
          <w:sz w:val="18"/>
          <w:szCs w:val="18"/>
          <w:lang w:eastAsia="es-ES"/>
        </w:rPr>
      </w:pPr>
      <w:r w:rsidRPr="00346CA8">
        <w:rPr>
          <w:rStyle w:val="IFTnormalCar"/>
          <w:rFonts w:cs="Arial"/>
          <w:bCs/>
          <w:sz w:val="18"/>
          <w:szCs w:val="18"/>
          <w:lang w:eastAsia="es-ES"/>
        </w:rPr>
        <w:t>(Énfasis añadido)</w:t>
      </w:r>
    </w:p>
    <w:p w14:paraId="3AA3B602" w14:textId="77777777" w:rsidR="00302FA6" w:rsidRDefault="00302FA6" w:rsidP="004F36F7">
      <w:pPr>
        <w:pStyle w:val="IFTnormal"/>
        <w:spacing w:before="240"/>
        <w:rPr>
          <w:rStyle w:val="IFTnormalCar"/>
        </w:rPr>
      </w:pPr>
      <w:r>
        <w:rPr>
          <w:rStyle w:val="IFTnormalCar"/>
        </w:rPr>
        <w:t>Asimismo, el numeral “</w:t>
      </w:r>
      <w:r w:rsidRPr="00963B29">
        <w:rPr>
          <w:rStyle w:val="IFTnormalCar"/>
          <w:i/>
        </w:rPr>
        <w:t>4.5 Procedimientos de contratación, modificación y baja de los servicios de Reventa</w:t>
      </w:r>
      <w:r>
        <w:rPr>
          <w:rStyle w:val="IFTnormalCar"/>
        </w:rPr>
        <w:t>” de la OREDA</w:t>
      </w:r>
      <w:r w:rsidR="00A365BC">
        <w:rPr>
          <w:rStyle w:val="IFTnormalCar"/>
        </w:rPr>
        <w:t xml:space="preserve"> vigente</w:t>
      </w:r>
      <w:r>
        <w:rPr>
          <w:rStyle w:val="IFTnormalCar"/>
        </w:rPr>
        <w:t>, indica lo siguiente al respecto de la habilitación de los servicios de reventa de línea:</w:t>
      </w:r>
    </w:p>
    <w:p w14:paraId="358A50C8" w14:textId="77777777" w:rsidR="00302FA6" w:rsidRPr="00D936CA" w:rsidRDefault="00302FA6" w:rsidP="004F36F7">
      <w:pPr>
        <w:pStyle w:val="CitaIFT0"/>
        <w:spacing w:before="240"/>
      </w:pPr>
      <w:r>
        <w:rPr>
          <w:rStyle w:val="IFTnormalCar"/>
        </w:rPr>
        <w:t>“</w:t>
      </w:r>
      <w:bookmarkStart w:id="7" w:name="_Toc467248703"/>
      <w:bookmarkStart w:id="8" w:name="_Toc467852873"/>
      <w:r w:rsidRPr="00DC307E">
        <w:rPr>
          <w:rStyle w:val="IFTnormalCar"/>
          <w:b/>
        </w:rPr>
        <w:t xml:space="preserve">4.5 </w:t>
      </w:r>
      <w:r w:rsidRPr="00DC307E">
        <w:rPr>
          <w:b/>
        </w:rPr>
        <w:t>Procedimientos de contratación, modificación y baja de los servicios de Reventa</w:t>
      </w:r>
      <w:bookmarkEnd w:id="7"/>
      <w:bookmarkEnd w:id="8"/>
    </w:p>
    <w:p w14:paraId="1649CB45" w14:textId="77777777" w:rsidR="00302FA6" w:rsidRPr="00D936CA" w:rsidRDefault="00302FA6" w:rsidP="004F36F7">
      <w:pPr>
        <w:pStyle w:val="CitaIFT0"/>
        <w:spacing w:before="240"/>
      </w:pPr>
      <w:r w:rsidRPr="00D936CA">
        <w:t xml:space="preserve">Queda establecido que mediante el envío de la solicitud, </w:t>
      </w:r>
      <w:r w:rsidRPr="00EF3C94">
        <w:rPr>
          <w:b/>
          <w:u w:val="single"/>
        </w:rPr>
        <w:t>el CS consiente efectuar el pago por las actividades a realizar así como por los elementos de cobro que conforman el (los) servicio(s), en el momento que se indique en el procedimiento</w:t>
      </w:r>
      <w:r w:rsidRPr="00D936CA">
        <w:t>. Asimismo, si el CS rechaza el servicio o decide no continuar con el procedimiento, deberá liquidar el monto generado por las actividades realizadas hasta el momento que decidió terminar el procedimiento. Si la solicitud es cancelada con al menos tres días de anticipación a la programación de la habilitación, no aplicará cobro alguno.</w:t>
      </w:r>
    </w:p>
    <w:p w14:paraId="2807DBE7" w14:textId="77777777" w:rsidR="00302FA6" w:rsidRPr="00DC307E" w:rsidRDefault="00302FA6" w:rsidP="004F36F7">
      <w:pPr>
        <w:pStyle w:val="CitaIFT0"/>
        <w:spacing w:before="240"/>
        <w:rPr>
          <w:b/>
          <w:u w:val="single"/>
        </w:rPr>
      </w:pPr>
      <w:r w:rsidRPr="00DC307E">
        <w:rPr>
          <w:b/>
          <w:u w:val="single"/>
        </w:rPr>
        <w:t>Procedimiento de contratación y entrega SRLT, SRI y SRP (Alta)</w:t>
      </w:r>
    </w:p>
    <w:p w14:paraId="508BEB7B" w14:textId="77777777" w:rsidR="00302FA6" w:rsidRPr="00D936CA" w:rsidRDefault="00302FA6" w:rsidP="004F36F7">
      <w:pPr>
        <w:pStyle w:val="CitaIFT0"/>
        <w:spacing w:before="240"/>
      </w:pPr>
      <w:r w:rsidRPr="00EF3C94">
        <w:rPr>
          <w:b/>
          <w:u w:val="single"/>
        </w:rPr>
        <w:t>El objetivo y alcance de este procedimiento es definir los pasos y actividades a desarrollar por parte de Telmex y del CS, a fin de realizar la contratación y entrega de los servicios de SRLT, SRI y SRP. Las fases en que se divide este procedimiento son:</w:t>
      </w:r>
      <w:r w:rsidRPr="00D936CA">
        <w:t xml:space="preserve"> (i) Entrega y validación de la solicitud para que el CS manifieste su intención de contratar el servicio, las características que solicita para el mismo, y la evaluación por parte de Telmex para </w:t>
      </w:r>
      <w:r w:rsidRPr="00D936CA">
        <w:lastRenderedPageBreak/>
        <w:t xml:space="preserve">validar que la solicitud cuenta con todos los elementos para la contratación del servicio; (ii) Análisis de Factibilidad Técnica a fin de que Telmex pueda verificar que cuenta con los elementos para brindar el servicio solicitado (no aplica para SRLT existente y activo, únicamente se realiza el cambio administrativo); y </w:t>
      </w:r>
      <w:r w:rsidRPr="00EF3C94">
        <w:rPr>
          <w:b/>
          <w:u w:val="single"/>
        </w:rPr>
        <w:t>(iii) Habilitación y aprovisionamiento del servicio solicitado</w:t>
      </w:r>
      <w:r w:rsidRPr="00D936CA">
        <w:t>, que detonará los procesos de pruebas de entrega y facturación.</w:t>
      </w:r>
    </w:p>
    <w:tbl>
      <w:tblPr>
        <w:tblStyle w:val="Tablaconcuadrcula"/>
        <w:tblW w:w="4149" w:type="pct"/>
        <w:tblInd w:w="846" w:type="dxa"/>
        <w:tblLook w:val="04A0" w:firstRow="1" w:lastRow="0" w:firstColumn="1" w:lastColumn="0" w:noHBand="0" w:noVBand="1"/>
        <w:tblCaption w:val="Tabla"/>
        <w:tblDescription w:val="Etapas"/>
      </w:tblPr>
      <w:tblGrid>
        <w:gridCol w:w="1840"/>
        <w:gridCol w:w="5955"/>
      </w:tblGrid>
      <w:tr w:rsidR="00302FA6" w:rsidRPr="00D936CA" w14:paraId="4794E395" w14:textId="77777777" w:rsidTr="00E331AA">
        <w:trPr>
          <w:tblHeader/>
        </w:trPr>
        <w:tc>
          <w:tcPr>
            <w:tcW w:w="1180" w:type="pct"/>
          </w:tcPr>
          <w:p w14:paraId="7CA91C1F" w14:textId="77777777" w:rsidR="00E331AA" w:rsidRDefault="00302FA6" w:rsidP="004F36F7">
            <w:pPr>
              <w:pStyle w:val="IFTnormal"/>
              <w:spacing w:before="240"/>
              <w:jc w:val="center"/>
              <w:rPr>
                <w:b/>
                <w:i/>
                <w:sz w:val="18"/>
                <w:szCs w:val="18"/>
              </w:rPr>
            </w:pPr>
            <w:r w:rsidRPr="00DC307E">
              <w:rPr>
                <w:b/>
                <w:i/>
                <w:sz w:val="18"/>
                <w:szCs w:val="18"/>
              </w:rPr>
              <w:t>Etapa</w:t>
            </w:r>
          </w:p>
          <w:p w14:paraId="22D5C13A" w14:textId="4AF03835" w:rsidR="00302FA6" w:rsidRPr="00DC307E" w:rsidRDefault="00E331AA" w:rsidP="004F36F7">
            <w:pPr>
              <w:pStyle w:val="IFTnormal"/>
              <w:spacing w:before="240"/>
              <w:jc w:val="center"/>
              <w:rPr>
                <w:b/>
                <w:i/>
                <w:sz w:val="18"/>
                <w:szCs w:val="18"/>
              </w:rPr>
            </w:pPr>
            <w:r w:rsidRPr="00DC307E">
              <w:rPr>
                <w:i/>
                <w:sz w:val="18"/>
                <w:szCs w:val="18"/>
              </w:rPr>
              <w:t>[…]</w:t>
            </w:r>
          </w:p>
        </w:tc>
        <w:tc>
          <w:tcPr>
            <w:tcW w:w="3820" w:type="pct"/>
          </w:tcPr>
          <w:p w14:paraId="342B19CA" w14:textId="77777777" w:rsidR="00E331AA" w:rsidRDefault="00302FA6" w:rsidP="004F36F7">
            <w:pPr>
              <w:pStyle w:val="IFTnormal"/>
              <w:spacing w:before="240"/>
              <w:jc w:val="center"/>
              <w:rPr>
                <w:b/>
                <w:i/>
                <w:sz w:val="18"/>
                <w:szCs w:val="18"/>
              </w:rPr>
            </w:pPr>
            <w:r w:rsidRPr="00DC307E">
              <w:rPr>
                <w:b/>
                <w:i/>
                <w:sz w:val="18"/>
                <w:szCs w:val="18"/>
              </w:rPr>
              <w:t>Descripción</w:t>
            </w:r>
          </w:p>
          <w:p w14:paraId="7D6284FD" w14:textId="628F7291" w:rsidR="00302FA6" w:rsidRPr="00DC307E" w:rsidRDefault="00E331AA" w:rsidP="004F36F7">
            <w:pPr>
              <w:pStyle w:val="IFTnormal"/>
              <w:spacing w:before="240"/>
              <w:jc w:val="center"/>
              <w:rPr>
                <w:b/>
                <w:i/>
                <w:sz w:val="18"/>
                <w:szCs w:val="18"/>
              </w:rPr>
            </w:pPr>
            <w:r w:rsidRPr="00DC307E">
              <w:rPr>
                <w:i/>
                <w:sz w:val="18"/>
                <w:szCs w:val="18"/>
              </w:rPr>
              <w:t>[…]</w:t>
            </w:r>
          </w:p>
        </w:tc>
      </w:tr>
      <w:tr w:rsidR="00302FA6" w:rsidRPr="00D936CA" w14:paraId="62624257" w14:textId="77777777" w:rsidTr="008B2557">
        <w:tc>
          <w:tcPr>
            <w:tcW w:w="1180" w:type="pct"/>
          </w:tcPr>
          <w:p w14:paraId="6438B94F" w14:textId="77777777" w:rsidR="00302FA6" w:rsidRPr="00DC307E" w:rsidRDefault="00302FA6" w:rsidP="004F36F7">
            <w:pPr>
              <w:pStyle w:val="IFTnormal"/>
              <w:spacing w:before="240"/>
              <w:jc w:val="left"/>
              <w:rPr>
                <w:b/>
                <w:i/>
                <w:sz w:val="18"/>
                <w:szCs w:val="18"/>
              </w:rPr>
            </w:pPr>
            <w:r w:rsidRPr="00DC307E">
              <w:rPr>
                <w:b/>
                <w:i/>
                <w:sz w:val="18"/>
                <w:szCs w:val="18"/>
              </w:rPr>
              <w:t>Habilitación y aprovisionamiento del Servicio</w:t>
            </w:r>
          </w:p>
        </w:tc>
        <w:tc>
          <w:tcPr>
            <w:tcW w:w="3820" w:type="pct"/>
          </w:tcPr>
          <w:p w14:paraId="6F29F605" w14:textId="77777777" w:rsidR="00302FA6" w:rsidRPr="00DC307E" w:rsidRDefault="00302FA6" w:rsidP="004F36F7">
            <w:pPr>
              <w:pStyle w:val="IFTnormal"/>
              <w:spacing w:before="240"/>
              <w:rPr>
                <w:i/>
                <w:sz w:val="18"/>
                <w:szCs w:val="18"/>
              </w:rPr>
            </w:pPr>
            <w:r w:rsidRPr="00EF3C94">
              <w:rPr>
                <w:b/>
                <w:i/>
                <w:sz w:val="18"/>
                <w:szCs w:val="18"/>
                <w:u w:val="single"/>
              </w:rPr>
              <w:t>Telmex llevará a cabo las actuaciones necesarias para habilitar el servicio el día confirmado por el CS; notificará su llegada al domicilio del usuario y el inicio y fin de todas las actividades. Se abrirá un canal continuo de comunicación (vía telefónica) entre Telmex y el CS para dar seguimiento a la instalación</w:t>
            </w:r>
            <w:r w:rsidRPr="00DC307E">
              <w:rPr>
                <w:i/>
                <w:sz w:val="18"/>
                <w:szCs w:val="18"/>
              </w:rPr>
              <w:t>:</w:t>
            </w:r>
          </w:p>
          <w:p w14:paraId="37D0145B" w14:textId="77777777" w:rsidR="00302FA6" w:rsidRPr="00DC307E" w:rsidRDefault="00302FA6" w:rsidP="004F36F7">
            <w:pPr>
              <w:pStyle w:val="IFTnormal"/>
              <w:spacing w:before="240"/>
              <w:rPr>
                <w:i/>
                <w:sz w:val="18"/>
                <w:szCs w:val="18"/>
              </w:rPr>
            </w:pPr>
            <w:r w:rsidRPr="00EF3C94">
              <w:rPr>
                <w:b/>
                <w:i/>
                <w:sz w:val="18"/>
                <w:szCs w:val="18"/>
                <w:u w:val="single"/>
              </w:rPr>
              <w:t>Usuarios Existentes: Habilitación remota</w:t>
            </w:r>
            <w:r w:rsidRPr="009121B6">
              <w:rPr>
                <w:b/>
                <w:i/>
                <w:sz w:val="18"/>
                <w:szCs w:val="18"/>
                <w:u w:val="single"/>
              </w:rPr>
              <w:t xml:space="preserve"> (máximo 5 días hábiles contados a partir del ingreso de la solicitud y 7 días hábiles con provisión de equipo por Telmex).</w:t>
            </w:r>
          </w:p>
          <w:p w14:paraId="44A9A852" w14:textId="77777777" w:rsidR="00302FA6" w:rsidRPr="009121B6" w:rsidRDefault="00302FA6" w:rsidP="004F36F7">
            <w:pPr>
              <w:pStyle w:val="IFTnormal"/>
              <w:numPr>
                <w:ilvl w:val="0"/>
                <w:numId w:val="6"/>
              </w:numPr>
              <w:spacing w:before="240"/>
              <w:ind w:left="318" w:hanging="318"/>
              <w:rPr>
                <w:b/>
                <w:i/>
                <w:sz w:val="18"/>
                <w:szCs w:val="18"/>
                <w:u w:val="single"/>
              </w:rPr>
            </w:pPr>
            <w:r w:rsidRPr="009121B6">
              <w:rPr>
                <w:b/>
                <w:i/>
                <w:sz w:val="18"/>
                <w:szCs w:val="18"/>
                <w:u w:val="single"/>
              </w:rPr>
              <w:t>Voz: Se realizará el cambio administrativo para pasar la facturación al CS. Cuando sea requerido por el CS, se activarán/desactivarán los servicios digitales o de marcaciones solicitados.</w:t>
            </w:r>
          </w:p>
          <w:p w14:paraId="3BAB33A5" w14:textId="77777777" w:rsidR="00302FA6" w:rsidRPr="00DC307E" w:rsidRDefault="00302FA6" w:rsidP="004F36F7">
            <w:pPr>
              <w:pStyle w:val="IFTnormal"/>
              <w:numPr>
                <w:ilvl w:val="0"/>
                <w:numId w:val="6"/>
              </w:numPr>
              <w:spacing w:before="240"/>
              <w:ind w:left="318" w:hanging="318"/>
              <w:rPr>
                <w:i/>
                <w:sz w:val="18"/>
                <w:szCs w:val="18"/>
              </w:rPr>
            </w:pPr>
            <w:r w:rsidRPr="00DC307E">
              <w:rPr>
                <w:b/>
                <w:i/>
                <w:sz w:val="18"/>
                <w:szCs w:val="18"/>
              </w:rPr>
              <w:t>Datos:</w:t>
            </w:r>
            <w:r w:rsidRPr="00DC307E">
              <w:rPr>
                <w:i/>
                <w:sz w:val="18"/>
                <w:szCs w:val="18"/>
              </w:rPr>
              <w:t xml:space="preserve"> Se habilitará el servicio con el perfil solicitado.</w:t>
            </w:r>
          </w:p>
          <w:p w14:paraId="31E92353" w14:textId="77777777" w:rsidR="00302FA6" w:rsidRPr="00DC307E" w:rsidRDefault="00302FA6" w:rsidP="004F36F7">
            <w:pPr>
              <w:pStyle w:val="IFTnormal"/>
              <w:numPr>
                <w:ilvl w:val="0"/>
                <w:numId w:val="6"/>
              </w:numPr>
              <w:spacing w:before="240"/>
              <w:ind w:left="318" w:hanging="318"/>
              <w:rPr>
                <w:b/>
                <w:i/>
                <w:sz w:val="18"/>
                <w:szCs w:val="18"/>
              </w:rPr>
            </w:pPr>
            <w:r w:rsidRPr="00DC307E">
              <w:rPr>
                <w:b/>
                <w:i/>
                <w:sz w:val="18"/>
                <w:szCs w:val="18"/>
              </w:rPr>
              <w:t>Voz + Datos:</w:t>
            </w:r>
            <w:r w:rsidRPr="00DC307E">
              <w:rPr>
                <w:i/>
                <w:sz w:val="18"/>
                <w:szCs w:val="18"/>
              </w:rPr>
              <w:t xml:space="preserve"> Se realizará el cambio administrativo para el servicio de voz, activando/desactivando los servicios digitales o de marcaciones requeridos y se habilitará el servicio de datos con el perfil solicitado.</w:t>
            </w:r>
          </w:p>
          <w:p w14:paraId="57FCED95" w14:textId="77777777" w:rsidR="00302FA6" w:rsidRPr="00EF3C94" w:rsidRDefault="00302FA6" w:rsidP="004F36F7">
            <w:pPr>
              <w:pStyle w:val="IFTnormal"/>
              <w:spacing w:before="240"/>
              <w:rPr>
                <w:b/>
                <w:i/>
                <w:sz w:val="18"/>
                <w:szCs w:val="18"/>
                <w:u w:val="single"/>
              </w:rPr>
            </w:pPr>
            <w:r w:rsidRPr="00EF3C94">
              <w:rPr>
                <w:b/>
                <w:i/>
                <w:sz w:val="18"/>
                <w:szCs w:val="18"/>
                <w:u w:val="single"/>
              </w:rPr>
              <w:t xml:space="preserve">Usuarios Nuevos: Habilitación presencial. </w:t>
            </w:r>
          </w:p>
          <w:p w14:paraId="1D336371" w14:textId="77777777" w:rsidR="00302FA6" w:rsidRPr="00EF3C94" w:rsidRDefault="00302FA6" w:rsidP="004F36F7">
            <w:pPr>
              <w:pStyle w:val="IFTnormal"/>
              <w:spacing w:before="240"/>
              <w:rPr>
                <w:b/>
                <w:i/>
                <w:sz w:val="18"/>
                <w:u w:val="single"/>
              </w:rPr>
            </w:pPr>
            <w:r w:rsidRPr="00EF3C94">
              <w:rPr>
                <w:b/>
                <w:i/>
                <w:sz w:val="18"/>
                <w:u w:val="single"/>
              </w:rPr>
              <w:t>Telmex asistirá al domicilio del Usuario Final para instalar el servicio, el CS podrá enviar personal técnico para validar los trabajos realizados por Telmex.</w:t>
            </w:r>
          </w:p>
          <w:p w14:paraId="577AB89F" w14:textId="77777777" w:rsidR="00302FA6" w:rsidRPr="009121B6" w:rsidRDefault="00302FA6" w:rsidP="004F36F7">
            <w:pPr>
              <w:pStyle w:val="IFTnormal"/>
              <w:numPr>
                <w:ilvl w:val="0"/>
                <w:numId w:val="7"/>
              </w:numPr>
              <w:spacing w:before="240"/>
              <w:rPr>
                <w:b/>
                <w:i/>
                <w:sz w:val="18"/>
                <w:szCs w:val="18"/>
                <w:u w:val="single"/>
              </w:rPr>
            </w:pPr>
            <w:r w:rsidRPr="009121B6">
              <w:rPr>
                <w:b/>
                <w:i/>
                <w:sz w:val="18"/>
                <w:szCs w:val="18"/>
                <w:u w:val="single"/>
              </w:rPr>
              <w:t>Acometida Existente: (máximo 5 días hábiles contados a partir del ingreso de la solicitud y 7 días hábiles con provisión de equipo por Telmex).</w:t>
            </w:r>
          </w:p>
          <w:p w14:paraId="1A098C0C" w14:textId="77777777" w:rsidR="00302FA6" w:rsidRPr="00DC307E" w:rsidRDefault="00302FA6" w:rsidP="004F36F7">
            <w:pPr>
              <w:pStyle w:val="IFTnormal"/>
              <w:numPr>
                <w:ilvl w:val="0"/>
                <w:numId w:val="5"/>
              </w:numPr>
              <w:spacing w:before="240" w:line="240" w:lineRule="auto"/>
              <w:rPr>
                <w:i/>
                <w:sz w:val="18"/>
                <w:szCs w:val="18"/>
              </w:rPr>
            </w:pPr>
            <w:r w:rsidRPr="00DC307E">
              <w:rPr>
                <w:i/>
                <w:sz w:val="18"/>
                <w:szCs w:val="18"/>
              </w:rPr>
              <w:t>Ejecución de prueba de la acometida: para asegurar que las facilidades permiten la prestación de los servicios.</w:t>
            </w:r>
          </w:p>
          <w:p w14:paraId="7B4E6B7E" w14:textId="77777777" w:rsidR="00302FA6" w:rsidRPr="00DC307E" w:rsidRDefault="00302FA6" w:rsidP="004F36F7">
            <w:pPr>
              <w:pStyle w:val="IFTnormal"/>
              <w:numPr>
                <w:ilvl w:val="0"/>
                <w:numId w:val="5"/>
              </w:numPr>
              <w:spacing w:before="240" w:line="240" w:lineRule="auto"/>
              <w:rPr>
                <w:i/>
                <w:sz w:val="18"/>
                <w:szCs w:val="18"/>
              </w:rPr>
            </w:pPr>
            <w:r w:rsidRPr="00DC307E">
              <w:rPr>
                <w:i/>
                <w:sz w:val="18"/>
                <w:szCs w:val="18"/>
              </w:rPr>
              <w:t>Instalación de cableado interior: sólo si fue solicitado por el CS.</w:t>
            </w:r>
          </w:p>
          <w:p w14:paraId="0A7EB763" w14:textId="77777777" w:rsidR="00302FA6" w:rsidRPr="00DC307E" w:rsidRDefault="00302FA6" w:rsidP="004F36F7">
            <w:pPr>
              <w:pStyle w:val="IFTnormal"/>
              <w:numPr>
                <w:ilvl w:val="0"/>
                <w:numId w:val="5"/>
              </w:numPr>
              <w:spacing w:before="240" w:line="240" w:lineRule="auto"/>
              <w:rPr>
                <w:i/>
                <w:sz w:val="18"/>
                <w:szCs w:val="18"/>
              </w:rPr>
            </w:pPr>
            <w:r w:rsidRPr="00DC307E">
              <w:rPr>
                <w:i/>
                <w:sz w:val="18"/>
                <w:szCs w:val="18"/>
              </w:rPr>
              <w:lastRenderedPageBreak/>
              <w:t>Entrega e instalación de aparato telefónico y/o módem/ONT: sólo si fue solicitado por el CS.</w:t>
            </w:r>
          </w:p>
          <w:p w14:paraId="3A4E191F" w14:textId="77777777" w:rsidR="00302FA6" w:rsidRPr="00DC307E" w:rsidRDefault="00302FA6" w:rsidP="004F36F7">
            <w:pPr>
              <w:pStyle w:val="IFTnormal"/>
              <w:numPr>
                <w:ilvl w:val="0"/>
                <w:numId w:val="5"/>
              </w:numPr>
              <w:spacing w:before="240" w:line="240" w:lineRule="auto"/>
              <w:rPr>
                <w:i/>
                <w:sz w:val="18"/>
                <w:szCs w:val="18"/>
              </w:rPr>
            </w:pPr>
            <w:r w:rsidRPr="00DC307E">
              <w:rPr>
                <w:i/>
                <w:sz w:val="18"/>
                <w:szCs w:val="18"/>
              </w:rPr>
              <w:t>Habilitación del servicio.</w:t>
            </w:r>
          </w:p>
          <w:p w14:paraId="61269107" w14:textId="77777777" w:rsidR="00302FA6" w:rsidRPr="00DC307E" w:rsidRDefault="00302FA6" w:rsidP="004F36F7">
            <w:pPr>
              <w:pStyle w:val="IFTnormal"/>
              <w:numPr>
                <w:ilvl w:val="0"/>
                <w:numId w:val="6"/>
              </w:numPr>
              <w:spacing w:before="240"/>
              <w:ind w:left="318" w:hanging="318"/>
              <w:rPr>
                <w:i/>
                <w:sz w:val="18"/>
                <w:szCs w:val="18"/>
              </w:rPr>
            </w:pPr>
            <w:r w:rsidRPr="00DC307E">
              <w:rPr>
                <w:b/>
                <w:i/>
                <w:sz w:val="18"/>
                <w:szCs w:val="18"/>
              </w:rPr>
              <w:t>Sin Acometida:</w:t>
            </w:r>
            <w:r w:rsidRPr="00DC307E">
              <w:rPr>
                <w:i/>
                <w:sz w:val="18"/>
                <w:szCs w:val="18"/>
              </w:rPr>
              <w:t xml:space="preserve"> (máximo 7 días hábiles contados a partir del ingreso de la solicitud indistintamente de la provisión de equipo por Telmex).</w:t>
            </w:r>
          </w:p>
          <w:p w14:paraId="1F96A06C" w14:textId="77777777" w:rsidR="00302FA6" w:rsidRPr="00DC307E" w:rsidRDefault="00302FA6" w:rsidP="004F36F7">
            <w:pPr>
              <w:pStyle w:val="IFTnormal"/>
              <w:numPr>
                <w:ilvl w:val="0"/>
                <w:numId w:val="5"/>
              </w:numPr>
              <w:spacing w:before="240" w:line="240" w:lineRule="auto"/>
              <w:rPr>
                <w:i/>
                <w:sz w:val="18"/>
                <w:szCs w:val="18"/>
              </w:rPr>
            </w:pPr>
            <w:r w:rsidRPr="00DC307E">
              <w:rPr>
                <w:i/>
                <w:sz w:val="18"/>
                <w:szCs w:val="18"/>
              </w:rPr>
              <w:t>Instalación de la acometida, incluye el primer CIC.</w:t>
            </w:r>
          </w:p>
          <w:p w14:paraId="709511C5" w14:textId="77777777" w:rsidR="00302FA6" w:rsidRPr="00DC307E" w:rsidRDefault="00302FA6" w:rsidP="004F36F7">
            <w:pPr>
              <w:pStyle w:val="IFTnormal"/>
              <w:numPr>
                <w:ilvl w:val="0"/>
                <w:numId w:val="5"/>
              </w:numPr>
              <w:spacing w:before="240" w:line="240" w:lineRule="auto"/>
              <w:rPr>
                <w:i/>
                <w:sz w:val="18"/>
                <w:szCs w:val="18"/>
              </w:rPr>
            </w:pPr>
            <w:r w:rsidRPr="00DC307E">
              <w:rPr>
                <w:i/>
                <w:sz w:val="18"/>
                <w:szCs w:val="18"/>
              </w:rPr>
              <w:t>Instalación de CIC adicional: sólo si fue solicitado por el CS.</w:t>
            </w:r>
          </w:p>
          <w:p w14:paraId="21D797CC" w14:textId="77777777" w:rsidR="00302FA6" w:rsidRPr="00DC307E" w:rsidRDefault="00302FA6" w:rsidP="004F36F7">
            <w:pPr>
              <w:pStyle w:val="IFTnormal"/>
              <w:numPr>
                <w:ilvl w:val="0"/>
                <w:numId w:val="5"/>
              </w:numPr>
              <w:spacing w:before="240" w:line="240" w:lineRule="auto"/>
              <w:rPr>
                <w:i/>
                <w:sz w:val="18"/>
                <w:szCs w:val="18"/>
              </w:rPr>
            </w:pPr>
            <w:r w:rsidRPr="00DC307E">
              <w:rPr>
                <w:i/>
                <w:sz w:val="18"/>
                <w:szCs w:val="18"/>
              </w:rPr>
              <w:t>Entrega e instalación de aparato telefónico y/o módem/ONT: sólo si fue solicitado por el CS.</w:t>
            </w:r>
          </w:p>
          <w:p w14:paraId="66E72FDE" w14:textId="77777777" w:rsidR="00302FA6" w:rsidRPr="00DC307E" w:rsidRDefault="00302FA6" w:rsidP="004F36F7">
            <w:pPr>
              <w:pStyle w:val="IFTnormal"/>
              <w:numPr>
                <w:ilvl w:val="0"/>
                <w:numId w:val="5"/>
              </w:numPr>
              <w:spacing w:before="240" w:line="240" w:lineRule="auto"/>
              <w:rPr>
                <w:i/>
                <w:sz w:val="18"/>
                <w:szCs w:val="18"/>
              </w:rPr>
            </w:pPr>
            <w:r w:rsidRPr="00DC307E">
              <w:rPr>
                <w:i/>
                <w:sz w:val="18"/>
                <w:szCs w:val="18"/>
              </w:rPr>
              <w:t>Habilitación del servicio.</w:t>
            </w:r>
          </w:p>
          <w:p w14:paraId="4E2451C8" w14:textId="77777777" w:rsidR="00302FA6" w:rsidRPr="00DC307E" w:rsidRDefault="00302FA6" w:rsidP="004F36F7">
            <w:pPr>
              <w:pStyle w:val="IFTnormal"/>
              <w:spacing w:before="240" w:line="240" w:lineRule="auto"/>
              <w:rPr>
                <w:i/>
                <w:sz w:val="18"/>
                <w:szCs w:val="18"/>
              </w:rPr>
            </w:pPr>
            <w:r w:rsidRPr="00DC307E">
              <w:rPr>
                <w:i/>
                <w:sz w:val="18"/>
                <w:szCs w:val="18"/>
              </w:rPr>
              <w:t>Al finalizar la instalación, se realizarán las pruebas de aceptación del servicio.</w:t>
            </w:r>
          </w:p>
        </w:tc>
      </w:tr>
    </w:tbl>
    <w:p w14:paraId="6E97F7E4" w14:textId="77777777" w:rsidR="00302FA6" w:rsidRPr="00DC307E" w:rsidRDefault="00302FA6" w:rsidP="004F36F7">
      <w:pPr>
        <w:pStyle w:val="IFTnormal"/>
        <w:spacing w:before="240"/>
        <w:rPr>
          <w:rStyle w:val="IFTnormalCar"/>
        </w:rPr>
      </w:pPr>
    </w:p>
    <w:p w14:paraId="570DE26F" w14:textId="77777777" w:rsidR="00302FA6" w:rsidRDefault="00302FA6" w:rsidP="004F36F7">
      <w:pPr>
        <w:pStyle w:val="CitaIFT0"/>
        <w:spacing w:before="240"/>
        <w:rPr>
          <w:rStyle w:val="IFTnormalCar"/>
        </w:rPr>
      </w:pPr>
      <w:r>
        <w:rPr>
          <w:rStyle w:val="IFTnormalCar"/>
        </w:rPr>
        <w:t>[…]”</w:t>
      </w:r>
    </w:p>
    <w:p w14:paraId="4AB498DC" w14:textId="77777777" w:rsidR="00302FA6" w:rsidRPr="00346CA8" w:rsidRDefault="00302FA6" w:rsidP="004F36F7">
      <w:pPr>
        <w:pStyle w:val="CitaIFT0"/>
        <w:spacing w:before="240"/>
        <w:jc w:val="right"/>
        <w:rPr>
          <w:rStyle w:val="IFTnormalCar"/>
          <w:rFonts w:cs="Arial"/>
          <w:bCs/>
          <w:sz w:val="18"/>
          <w:szCs w:val="18"/>
          <w:lang w:eastAsia="es-ES"/>
        </w:rPr>
      </w:pPr>
      <w:r w:rsidRPr="00346CA8">
        <w:rPr>
          <w:rStyle w:val="IFTnormalCar"/>
          <w:rFonts w:cs="Arial"/>
          <w:bCs/>
          <w:sz w:val="18"/>
          <w:szCs w:val="18"/>
          <w:lang w:eastAsia="es-ES"/>
        </w:rPr>
        <w:t>(Énfasis añadido)</w:t>
      </w:r>
    </w:p>
    <w:p w14:paraId="0D591647" w14:textId="77777777" w:rsidR="00302FA6" w:rsidRPr="00D45F90" w:rsidRDefault="00302FA6" w:rsidP="004F36F7">
      <w:pPr>
        <w:pStyle w:val="IFTnormal"/>
        <w:spacing w:before="240"/>
        <w:rPr>
          <w:rStyle w:val="IFTnormalCar"/>
        </w:rPr>
      </w:pPr>
      <w:r>
        <w:rPr>
          <w:rStyle w:val="IFTnormalCar"/>
        </w:rPr>
        <w:t xml:space="preserve">De lo anterior, se infiere que, en términos de los procedimientos para la contratación y entrega descritas el Anexo 1 de las Resolución </w:t>
      </w:r>
      <w:r w:rsidR="000B4912">
        <w:t>SRMLT</w:t>
      </w:r>
      <w:r>
        <w:rPr>
          <w:rStyle w:val="IFTnormalCar"/>
        </w:rPr>
        <w:t xml:space="preserve"> y la OREDA</w:t>
      </w:r>
      <w:r w:rsidR="00A365BC">
        <w:rPr>
          <w:rStyle w:val="IFTnormalCar"/>
        </w:rPr>
        <w:t xml:space="preserve"> vigente</w:t>
      </w:r>
      <w:r>
        <w:rPr>
          <w:rStyle w:val="IFTnormalCar"/>
        </w:rPr>
        <w:t xml:space="preserve">, </w:t>
      </w:r>
      <w:r w:rsidRPr="00D45F90">
        <w:rPr>
          <w:rStyle w:val="IFTnormalCar"/>
        </w:rPr>
        <w:t>las actividades relativas a la habilitación del SR</w:t>
      </w:r>
      <w:r w:rsidR="00B039F5" w:rsidRPr="00D45F90">
        <w:rPr>
          <w:rStyle w:val="IFTnormalCar"/>
        </w:rPr>
        <w:t>M</w:t>
      </w:r>
      <w:r w:rsidRPr="00D45F90">
        <w:rPr>
          <w:rStyle w:val="IFTnormalCar"/>
        </w:rPr>
        <w:t xml:space="preserve">TL son análogas a aquellas que permiten la habilitación de los servicios de reventa (a saber, </w:t>
      </w:r>
      <w:r w:rsidR="00BB10AF" w:rsidRPr="00D45F90">
        <w:rPr>
          <w:rStyle w:val="IFTnormalCar"/>
        </w:rPr>
        <w:t>“</w:t>
      </w:r>
      <w:r w:rsidR="00BB10AF" w:rsidRPr="00D45F90">
        <w:rPr>
          <w:rStyle w:val="IFTnormalCar"/>
          <w:i/>
        </w:rPr>
        <w:t>Servicio de Reventa de Línea Telefónica</w:t>
      </w:r>
      <w:r w:rsidR="00BB10AF" w:rsidRPr="00D45F90">
        <w:rPr>
          <w:rStyle w:val="IFTnormalCar"/>
        </w:rPr>
        <w:t>”, “</w:t>
      </w:r>
      <w:r w:rsidR="00BB10AF" w:rsidRPr="00D45F90">
        <w:rPr>
          <w:rStyle w:val="IFTnormalCar"/>
          <w:i/>
        </w:rPr>
        <w:t>Servicio de Reventa de Internet</w:t>
      </w:r>
      <w:r w:rsidR="00BB10AF" w:rsidRPr="00D45F90">
        <w:rPr>
          <w:rStyle w:val="IFTnormalCar"/>
        </w:rPr>
        <w:t>” y “</w:t>
      </w:r>
      <w:r w:rsidR="00BB10AF" w:rsidRPr="00D45F90">
        <w:rPr>
          <w:rStyle w:val="IFTnormalCar"/>
          <w:i/>
        </w:rPr>
        <w:t>Servicio de Reventa de Paquetes</w:t>
      </w:r>
      <w:r w:rsidR="00BB10AF" w:rsidRPr="00D45F90">
        <w:rPr>
          <w:rStyle w:val="IFTnormalCar"/>
        </w:rPr>
        <w:t>”, denominados respectivamente en lo sucesivo, “</w:t>
      </w:r>
      <w:r w:rsidRPr="00D45F90">
        <w:rPr>
          <w:rStyle w:val="IFTnormalCar"/>
        </w:rPr>
        <w:t>SRLT</w:t>
      </w:r>
      <w:r w:rsidR="00BB10AF" w:rsidRPr="00D45F90">
        <w:rPr>
          <w:rStyle w:val="IFTnormalCar"/>
        </w:rPr>
        <w:t>”</w:t>
      </w:r>
      <w:r w:rsidRPr="00D45F90">
        <w:rPr>
          <w:rStyle w:val="IFTnormalCar"/>
        </w:rPr>
        <w:t xml:space="preserve">, </w:t>
      </w:r>
      <w:r w:rsidR="00BB10AF" w:rsidRPr="00D45F90">
        <w:rPr>
          <w:rStyle w:val="IFTnormalCar"/>
        </w:rPr>
        <w:t>“</w:t>
      </w:r>
      <w:r w:rsidRPr="00D45F90">
        <w:rPr>
          <w:rStyle w:val="IFTnormalCar"/>
        </w:rPr>
        <w:t>SRI</w:t>
      </w:r>
      <w:r w:rsidR="00BB10AF" w:rsidRPr="00D45F90">
        <w:rPr>
          <w:rStyle w:val="IFTnormalCar"/>
        </w:rPr>
        <w:t>”</w:t>
      </w:r>
      <w:r w:rsidRPr="00D45F90">
        <w:rPr>
          <w:rStyle w:val="IFTnormalCar"/>
        </w:rPr>
        <w:t xml:space="preserve"> y </w:t>
      </w:r>
      <w:r w:rsidR="00BB10AF" w:rsidRPr="00D45F90">
        <w:rPr>
          <w:rStyle w:val="IFTnormalCar"/>
        </w:rPr>
        <w:t>“</w:t>
      </w:r>
      <w:r w:rsidRPr="00D45F90">
        <w:rPr>
          <w:rStyle w:val="IFTnormalCar"/>
        </w:rPr>
        <w:t>SRP</w:t>
      </w:r>
      <w:r w:rsidR="00BB10AF" w:rsidRPr="00D45F90">
        <w:rPr>
          <w:rStyle w:val="IFTnormalCar"/>
        </w:rPr>
        <w:t>”</w:t>
      </w:r>
      <w:r w:rsidRPr="00D45F90">
        <w:rPr>
          <w:rStyle w:val="IFTnormalCar"/>
        </w:rPr>
        <w:t>).</w:t>
      </w:r>
    </w:p>
    <w:p w14:paraId="2DB859EA" w14:textId="77777777" w:rsidR="00302FA6" w:rsidRPr="00D45F90" w:rsidRDefault="00302FA6" w:rsidP="004F36F7">
      <w:pPr>
        <w:pStyle w:val="IFTnormal"/>
        <w:spacing w:before="240"/>
        <w:rPr>
          <w:rStyle w:val="IFTnormalCar"/>
        </w:rPr>
      </w:pPr>
      <w:r w:rsidRPr="00D45F90">
        <w:rPr>
          <w:rStyle w:val="IFTnormalCar"/>
        </w:rPr>
        <w:t xml:space="preserve">Derivado de lo anterior el Instituto considera que la tarifa para la habilitación del </w:t>
      </w:r>
      <w:r w:rsidR="001000F3" w:rsidRPr="00D45F90">
        <w:rPr>
          <w:rStyle w:val="IFTnormalCar"/>
        </w:rPr>
        <w:t>SRMLT</w:t>
      </w:r>
      <w:r w:rsidRPr="00D45F90">
        <w:rPr>
          <w:rStyle w:val="IFTnormalCar"/>
        </w:rPr>
        <w:t xml:space="preserve"> debe ser equivalente al nivel tarifario determinada por el Instituto en lo tocante a la habilitación de los servicios de reventa, es decir el valor asociado al concepto “</w:t>
      </w:r>
      <w:r w:rsidRPr="00D45F90">
        <w:rPr>
          <w:rStyle w:val="IFTnormalCar"/>
          <w:i/>
        </w:rPr>
        <w:t>Gastos de habilitación del SRLT, SRI y SRP</w:t>
      </w:r>
      <w:r w:rsidRPr="00D45F90">
        <w:rPr>
          <w:rStyle w:val="IFTnormalCar"/>
        </w:rPr>
        <w:t>”. En este sentido, el Instituto determina modificar la Propuesta de tarifas del AEP para considerar al concepto “</w:t>
      </w:r>
      <w:r w:rsidRPr="00D45F90">
        <w:rPr>
          <w:rStyle w:val="IFTnormalCar"/>
          <w:i/>
        </w:rPr>
        <w:t xml:space="preserve">Gastos de habilitación del </w:t>
      </w:r>
      <w:r w:rsidR="001000F3" w:rsidRPr="00D45F90">
        <w:rPr>
          <w:rStyle w:val="IFTnormalCar"/>
          <w:i/>
        </w:rPr>
        <w:lastRenderedPageBreak/>
        <w:t>SRMLT</w:t>
      </w:r>
      <w:r w:rsidRPr="00D45F90">
        <w:rPr>
          <w:rStyle w:val="IFTnormalCar"/>
        </w:rPr>
        <w:t xml:space="preserve">” dentro de los cobros no </w:t>
      </w:r>
      <w:r w:rsidR="002F304A" w:rsidRPr="00D45F90">
        <w:rPr>
          <w:rStyle w:val="IFTnormalCar"/>
        </w:rPr>
        <w:t>recurrentes</w:t>
      </w:r>
      <w:r w:rsidRPr="00D45F90">
        <w:rPr>
          <w:rStyle w:val="IFTnormalCar"/>
        </w:rPr>
        <w:t xml:space="preserve"> </w:t>
      </w:r>
      <w:r w:rsidR="002F304A" w:rsidRPr="00D45F90">
        <w:rPr>
          <w:rStyle w:val="IFTnormalCar"/>
        </w:rPr>
        <w:t>y</w:t>
      </w:r>
      <w:r w:rsidRPr="00D45F90">
        <w:rPr>
          <w:rStyle w:val="IFTnormalCar"/>
        </w:rPr>
        <w:t xml:space="preserve"> precisar que la contraprestación por tal servicio resulta en un valor de 225.2500 pesos, por cada solicitud que realice el CS.</w:t>
      </w:r>
    </w:p>
    <w:p w14:paraId="145E41B9" w14:textId="77777777" w:rsidR="00302FA6" w:rsidRDefault="00302FA6" w:rsidP="004F36F7">
      <w:pPr>
        <w:pStyle w:val="IFTnormal"/>
        <w:spacing w:before="240"/>
        <w:rPr>
          <w:rStyle w:val="IFTnormalCar"/>
        </w:rPr>
      </w:pPr>
      <w:r w:rsidRPr="00D45F90">
        <w:rPr>
          <w:rStyle w:val="IFTnormalCar"/>
        </w:rPr>
        <w:t>Por lo que hace a la “</w:t>
      </w:r>
      <w:r w:rsidRPr="00D45F90">
        <w:rPr>
          <w:rStyle w:val="IFTnormalCar"/>
          <w:i/>
        </w:rPr>
        <w:t>Renta mensual de línea Residencial</w:t>
      </w:r>
      <w:r w:rsidRPr="00D45F90">
        <w:rPr>
          <w:rStyle w:val="IFTnormalCar"/>
        </w:rPr>
        <w:t>”, señalada en el “</w:t>
      </w:r>
      <w:r w:rsidRPr="00D45F90">
        <w:rPr>
          <w:rStyle w:val="IFTnormalCar"/>
          <w:b/>
          <w:i/>
        </w:rPr>
        <w:t>1. Servicio de Reventa Mayorista de Línea Telefónica (SRMLT)</w:t>
      </w:r>
      <w:r w:rsidRPr="00D45F90">
        <w:rPr>
          <w:rStyle w:val="IFTnormalCar"/>
        </w:rPr>
        <w:t>” de la Propuesta de tarifas del AEP</w:t>
      </w:r>
      <w:r w:rsidRPr="00E26621">
        <w:rPr>
          <w:rStyle w:val="IFTnormalCar"/>
        </w:rPr>
        <w:t xml:space="preserve">, el Instituto señala </w:t>
      </w:r>
      <w:r w:rsidR="00241FFF" w:rsidRPr="00E26621">
        <w:rPr>
          <w:rStyle w:val="IFTnormalCar"/>
        </w:rPr>
        <w:t>que,</w:t>
      </w:r>
      <w:r w:rsidRPr="00D45F90">
        <w:rPr>
          <w:rStyle w:val="IFTnormalCar"/>
        </w:rPr>
        <w:t xml:space="preserve"> derivado del análisis a la información presentada por este último, el concepto presentado </w:t>
      </w:r>
      <w:r w:rsidR="006B4C16" w:rsidRPr="00D45F90">
        <w:rPr>
          <w:rStyle w:val="IFTnormalCar"/>
        </w:rPr>
        <w:t xml:space="preserve">por el AEP </w:t>
      </w:r>
      <w:r w:rsidRPr="00D45F90">
        <w:rPr>
          <w:rStyle w:val="IFTnormalCar"/>
        </w:rPr>
        <w:t xml:space="preserve">es impreciso </w:t>
      </w:r>
      <w:r w:rsidR="006B4C16" w:rsidRPr="00D45F90">
        <w:rPr>
          <w:rStyle w:val="IFTnormalCar"/>
        </w:rPr>
        <w:t>al sólo</w:t>
      </w:r>
      <w:r w:rsidRPr="00D45F90">
        <w:rPr>
          <w:rStyle w:val="IFTnormalCar"/>
        </w:rPr>
        <w:t xml:space="preserve"> hace</w:t>
      </w:r>
      <w:r w:rsidR="006B4C16" w:rsidRPr="00D45F90">
        <w:rPr>
          <w:rStyle w:val="IFTnormalCar"/>
        </w:rPr>
        <w:t>r</w:t>
      </w:r>
      <w:r w:rsidRPr="00D45F90">
        <w:rPr>
          <w:rStyle w:val="IFTnormalCar"/>
        </w:rPr>
        <w:t xml:space="preserve"> alusión a un servicio de tipo residencial</w:t>
      </w:r>
      <w:r w:rsidR="00E331B3" w:rsidRPr="00D45F90">
        <w:rPr>
          <w:rStyle w:val="IFTnormalCar"/>
        </w:rPr>
        <w:t>. S</w:t>
      </w:r>
      <w:r w:rsidR="006B4C16" w:rsidRPr="00D45F90">
        <w:rPr>
          <w:rStyle w:val="IFTnormalCar"/>
        </w:rPr>
        <w:t xml:space="preserve">in </w:t>
      </w:r>
      <w:r w:rsidR="00ED17EA" w:rsidRPr="00D45F90">
        <w:rPr>
          <w:rStyle w:val="IFTnormalCar"/>
        </w:rPr>
        <w:t>embargo,</w:t>
      </w:r>
      <w:r w:rsidR="006B4C16" w:rsidRPr="00D45F90">
        <w:rPr>
          <w:rStyle w:val="IFTnormalCar"/>
        </w:rPr>
        <w:t xml:space="preserve"> dada</w:t>
      </w:r>
      <w:r w:rsidRPr="00D45F90">
        <w:rPr>
          <w:rStyle w:val="IFTnormalCar"/>
        </w:rPr>
        <w:t xml:space="preserve"> la </w:t>
      </w:r>
      <w:r w:rsidR="006B4C16" w:rsidRPr="00D45F90">
        <w:rPr>
          <w:rStyle w:val="IFTnormalCar"/>
        </w:rPr>
        <w:t>descripción</w:t>
      </w:r>
      <w:r w:rsidRPr="00D45F90">
        <w:rPr>
          <w:rStyle w:val="IFTnormalCar"/>
        </w:rPr>
        <w:t xml:space="preserve"> del </w:t>
      </w:r>
      <w:r w:rsidR="006B4C16" w:rsidRPr="00D45F90">
        <w:rPr>
          <w:rStyle w:val="IFTnormalCar"/>
        </w:rPr>
        <w:t>se</w:t>
      </w:r>
      <w:r w:rsidR="00426BE2" w:rsidRPr="00D45F90">
        <w:rPr>
          <w:rStyle w:val="IFTnormalCar"/>
        </w:rPr>
        <w:t>r</w:t>
      </w:r>
      <w:r w:rsidR="006B4C16" w:rsidRPr="00D45F90">
        <w:rPr>
          <w:rStyle w:val="IFTnormalCar"/>
        </w:rPr>
        <w:t>vicio no</w:t>
      </w:r>
      <w:r w:rsidRPr="00D45F90">
        <w:t xml:space="preserve"> </w:t>
      </w:r>
      <w:r w:rsidR="00E331B3" w:rsidRPr="00D45F90">
        <w:t>debe haber distinción</w:t>
      </w:r>
      <w:r w:rsidRPr="00D45F90">
        <w:t xml:space="preserve"> relativa a que el tráfico correspondiente se </w:t>
      </w:r>
      <w:r w:rsidR="006B4C16" w:rsidRPr="00D45F90">
        <w:t>origine</w:t>
      </w:r>
      <w:r w:rsidRPr="00D45F90">
        <w:t xml:space="preserve"> en una línea residencial o no residencial</w:t>
      </w:r>
      <w:r w:rsidRPr="00D45F90">
        <w:rPr>
          <w:rStyle w:val="IFTnormalCar"/>
        </w:rPr>
        <w:t>.</w:t>
      </w:r>
      <w:r>
        <w:rPr>
          <w:rStyle w:val="IFTnormalCar"/>
        </w:rPr>
        <w:t xml:space="preserve"> Lo anterior, se puede apreciar a través del numeral “</w:t>
      </w:r>
      <w:r w:rsidRPr="00963B29">
        <w:rPr>
          <w:rStyle w:val="IFTnormalCar"/>
          <w:i/>
        </w:rPr>
        <w:t>1. DESCRIPCIÓN GENERAL</w:t>
      </w:r>
      <w:r>
        <w:rPr>
          <w:rStyle w:val="IFTnormalCar"/>
        </w:rPr>
        <w:t xml:space="preserve">” del Anexo 1 de la Resolución </w:t>
      </w:r>
      <w:r w:rsidR="000B4912">
        <w:t>SRMLT</w:t>
      </w:r>
      <w:r>
        <w:rPr>
          <w:rStyle w:val="IFTnormalCar"/>
        </w:rPr>
        <w:t>:</w:t>
      </w:r>
    </w:p>
    <w:p w14:paraId="7F0C1644" w14:textId="77777777" w:rsidR="00302FA6" w:rsidRPr="001A5F14" w:rsidRDefault="00302FA6" w:rsidP="004F36F7">
      <w:pPr>
        <w:pStyle w:val="CitaIFT0"/>
        <w:spacing w:before="240"/>
      </w:pPr>
      <w:r>
        <w:t>“</w:t>
      </w:r>
      <w:r w:rsidRPr="008128F9">
        <w:rPr>
          <w:b/>
        </w:rPr>
        <w:t>1. DESCRIPCIÓN GENERAL</w:t>
      </w:r>
    </w:p>
    <w:p w14:paraId="0DBF3A86" w14:textId="77777777" w:rsidR="00302FA6" w:rsidRDefault="00302FA6" w:rsidP="004F36F7">
      <w:pPr>
        <w:pStyle w:val="CitaIFT0"/>
        <w:spacing w:before="240"/>
      </w:pPr>
      <w:r w:rsidRPr="002C5C79">
        <w:rPr>
          <w:b/>
          <w:u w:val="single"/>
        </w:rPr>
        <w:t>Servicio mayorista que hace uso de la red telefónica del AEP para la entrega de todas las llamadas telefónicas originadas por los usuarios finales del Concesionario Solicitante (CS)</w:t>
      </w:r>
      <w:r w:rsidRPr="00B408CC">
        <w:t>, en desagregación para el nuevo servicio SRMLT hasta el punto de entrega con la red del CS, cuando sea procedente.</w:t>
      </w:r>
      <w:r>
        <w:t>”</w:t>
      </w:r>
    </w:p>
    <w:p w14:paraId="72EF4E45" w14:textId="77777777" w:rsidR="004F36F7" w:rsidRDefault="00302FA6" w:rsidP="004F36F7">
      <w:pPr>
        <w:pStyle w:val="CitaIFT0"/>
        <w:spacing w:before="240"/>
        <w:jc w:val="right"/>
      </w:pPr>
      <w:r>
        <w:t>(Énfasis añadido)</w:t>
      </w:r>
    </w:p>
    <w:p w14:paraId="5C87C97D" w14:textId="4CB5BBB8" w:rsidR="00302FA6" w:rsidRDefault="00302FA6" w:rsidP="004F36F7">
      <w:pPr>
        <w:pStyle w:val="IFTnormal"/>
        <w:spacing w:before="240"/>
        <w:rPr>
          <w:rStyle w:val="IFTnormalCar"/>
        </w:rPr>
      </w:pPr>
      <w:r w:rsidRPr="00980940">
        <w:rPr>
          <w:rStyle w:val="IFTnormalCar"/>
        </w:rPr>
        <w:t>A mayor abundamiento, el Instituto destaca que para la estimación del nivel tarifario el AEP propone</w:t>
      </w:r>
      <w:r>
        <w:rPr>
          <w:rStyle w:val="IFTnormalCar"/>
        </w:rPr>
        <w:t>:</w:t>
      </w:r>
    </w:p>
    <w:p w14:paraId="6049B872" w14:textId="77777777" w:rsidR="00302FA6" w:rsidRPr="00262A80" w:rsidRDefault="006B4C16" w:rsidP="004F36F7">
      <w:pPr>
        <w:pStyle w:val="IFTnormal"/>
        <w:numPr>
          <w:ilvl w:val="0"/>
          <w:numId w:val="21"/>
        </w:numPr>
        <w:spacing w:before="240"/>
        <w:rPr>
          <w:rStyle w:val="IFTnormalCar"/>
        </w:rPr>
      </w:pPr>
      <w:r>
        <w:rPr>
          <w:rStyle w:val="IFTnormalCar"/>
        </w:rPr>
        <w:t>C</w:t>
      </w:r>
      <w:r w:rsidRPr="006B4C16">
        <w:rPr>
          <w:rStyle w:val="IFTnormalCar"/>
        </w:rPr>
        <w:t>omo un valor de referencia</w:t>
      </w:r>
      <w:r>
        <w:rPr>
          <w:rStyle w:val="IFTnormalCar"/>
        </w:rPr>
        <w:t xml:space="preserve"> la</w:t>
      </w:r>
      <w:r w:rsidR="00302FA6" w:rsidRPr="00980940">
        <w:rPr>
          <w:rStyle w:val="IFTnormalCar"/>
        </w:rPr>
        <w:t xml:space="preserve"> tarifa registrada de “</w:t>
      </w:r>
      <w:r w:rsidR="00302FA6" w:rsidRPr="00262A80">
        <w:rPr>
          <w:rStyle w:val="IFTnormalCar"/>
          <w:i/>
        </w:rPr>
        <w:t>Renta para línea telefónica de uso residencial”,</w:t>
      </w:r>
      <w:r w:rsidR="00302FA6" w:rsidRPr="00D45F90">
        <w:rPr>
          <w:rStyle w:val="IFTnormalCar"/>
        </w:rPr>
        <w:t xml:space="preserve"> </w:t>
      </w:r>
      <w:r w:rsidR="00A376A6" w:rsidRPr="00D45F90">
        <w:rPr>
          <w:rStyle w:val="IFTnormalCar"/>
        </w:rPr>
        <w:t>y</w:t>
      </w:r>
    </w:p>
    <w:p w14:paraId="0735C6CF" w14:textId="77777777" w:rsidR="00302FA6" w:rsidRDefault="006B4C16" w:rsidP="004F36F7">
      <w:pPr>
        <w:pStyle w:val="IFTnormal"/>
        <w:numPr>
          <w:ilvl w:val="0"/>
          <w:numId w:val="21"/>
        </w:numPr>
        <w:spacing w:before="240"/>
        <w:rPr>
          <w:rStyle w:val="IFTnormalCar"/>
        </w:rPr>
      </w:pPr>
      <w:r>
        <w:rPr>
          <w:rStyle w:val="IFTnormalCar"/>
        </w:rPr>
        <w:t>A</w:t>
      </w:r>
      <w:r w:rsidR="00302FA6" w:rsidRPr="00262A80">
        <w:rPr>
          <w:rStyle w:val="IFTnormalCar"/>
        </w:rPr>
        <w:t>plica</w:t>
      </w:r>
      <w:r>
        <w:rPr>
          <w:rStyle w:val="IFTnormalCar"/>
        </w:rPr>
        <w:t>r a esta tarifa</w:t>
      </w:r>
      <w:r w:rsidR="00302FA6" w:rsidRPr="00262A80">
        <w:rPr>
          <w:rStyle w:val="IFTnormalCar"/>
        </w:rPr>
        <w:t xml:space="preserve"> los</w:t>
      </w:r>
      <w:r w:rsidR="00302FA6" w:rsidRPr="00980940">
        <w:rPr>
          <w:rStyle w:val="IFTnormalCar"/>
        </w:rPr>
        <w:t xml:space="preserve"> “</w:t>
      </w:r>
      <w:r w:rsidR="00302FA6" w:rsidRPr="00262A80">
        <w:rPr>
          <w:rStyle w:val="IFTnormalCar"/>
          <w:i/>
        </w:rPr>
        <w:t>porcentajes correspondientes a los costos minoristas agregando el porcentaje de utilidad después de costo de capital del servicio mayorista de acceso a la red telefónica pública</w:t>
      </w:r>
      <w:r w:rsidR="00302FA6" w:rsidRPr="00980940">
        <w:rPr>
          <w:rStyle w:val="IFTnormalCar"/>
        </w:rPr>
        <w:t>”</w:t>
      </w:r>
      <w:r w:rsidR="00302FA6">
        <w:rPr>
          <w:rStyle w:val="IFTnormalCar"/>
        </w:rPr>
        <w:t>.</w:t>
      </w:r>
    </w:p>
    <w:p w14:paraId="35189B10" w14:textId="77777777" w:rsidR="00302FA6" w:rsidRPr="00262A80" w:rsidRDefault="00302FA6" w:rsidP="004F36F7">
      <w:pPr>
        <w:pStyle w:val="IFTnormal"/>
        <w:spacing w:before="240"/>
        <w:ind w:left="774"/>
        <w:rPr>
          <w:rStyle w:val="IFTnormalCar"/>
        </w:rPr>
      </w:pPr>
      <w:r>
        <w:rPr>
          <w:rStyle w:val="IFTnormalCar"/>
        </w:rPr>
        <w:t xml:space="preserve">Se destaca que </w:t>
      </w:r>
      <w:r w:rsidRPr="00262A80">
        <w:t xml:space="preserve">el AEP precisa a través de la Respuesta al </w:t>
      </w:r>
      <w:r w:rsidR="00376B61">
        <w:t>Requerimiento de tarifas</w:t>
      </w:r>
      <w:r w:rsidRPr="00262A80">
        <w:t xml:space="preserve"> que “</w:t>
      </w:r>
      <w:r w:rsidRPr="00262A80">
        <w:rPr>
          <w:i/>
        </w:rPr>
        <w:t>Los porcentajes indicados fueron tomados como promedio de los costos de los servicios minoristas que presta TELMEX, por lo que dichos porcentajes deberán aplicarse a los ingresos de los servicios de telefonía fija, internet fijo y de los paquetes.</w:t>
      </w:r>
      <w:r w:rsidRPr="00262A80">
        <w:t>”, mismo que desglosa a través de “</w:t>
      </w:r>
      <w:r w:rsidRPr="00963B29">
        <w:rPr>
          <w:i/>
        </w:rPr>
        <w:t>Costos comerciales</w:t>
      </w:r>
      <w:r w:rsidRPr="00262A80">
        <w:t xml:space="preserve">” (correspondientes a </w:t>
      </w:r>
      <w:r w:rsidRPr="00262A80">
        <w:rPr>
          <w:i/>
        </w:rPr>
        <w:t>“Marketing”, “ventas y publicidad”, “Costos de facturación (incluyendo el sistema de facturación para usuarios minoristas)”, “Deuda incobrable”, “Atención al cliente”, “Renta de espacios”</w:t>
      </w:r>
      <w:r w:rsidRPr="00262A80">
        <w:t>), “</w:t>
      </w:r>
      <w:r w:rsidRPr="00262A80">
        <w:rPr>
          <w:i/>
        </w:rPr>
        <w:t>Costos comunes</w:t>
      </w:r>
      <w:r w:rsidRPr="00262A80">
        <w:t>” y un porcentaje de “</w:t>
      </w:r>
      <w:r w:rsidRPr="00262A80">
        <w:rPr>
          <w:i/>
        </w:rPr>
        <w:t>Utilidad después de costo de capital del servicio mayorista de acceso a la red telefónica pública</w:t>
      </w:r>
      <w:r w:rsidRPr="00262A80">
        <w:t>”.</w:t>
      </w:r>
    </w:p>
    <w:p w14:paraId="0C018092" w14:textId="77777777" w:rsidR="00302FA6" w:rsidRDefault="00302FA6" w:rsidP="004F36F7">
      <w:pPr>
        <w:pStyle w:val="IFTnormal"/>
        <w:spacing w:before="240"/>
        <w:rPr>
          <w:rStyle w:val="IFTnormalCar"/>
          <w:lang w:val="es-ES"/>
        </w:rPr>
      </w:pPr>
      <w:r>
        <w:rPr>
          <w:rStyle w:val="IFTnormalCar"/>
        </w:rPr>
        <w:lastRenderedPageBreak/>
        <w:t>A tal respecto, el Instituto señala que</w:t>
      </w:r>
      <w:r>
        <w:rPr>
          <w:rStyle w:val="IFTnormalCar"/>
          <w:lang w:val="es-ES"/>
        </w:rPr>
        <w:t xml:space="preserve"> la Medida TRIGÉSIMA NOVENA de las Medidas de Desagregación indica que las tarifas aplicables al Servicio de Reventa, materia de la Oferta de Referencia de Desagregación deben estimarse a través </w:t>
      </w:r>
      <w:r w:rsidRPr="00324806">
        <w:rPr>
          <w:rStyle w:val="IFTnormalCar"/>
          <w:lang w:val="es-ES"/>
        </w:rPr>
        <w:t>una metodología de costos evitados (</w:t>
      </w:r>
      <w:r w:rsidRPr="00324806">
        <w:rPr>
          <w:rStyle w:val="IFTnormalCar"/>
          <w:i/>
          <w:lang w:val="es-ES"/>
        </w:rPr>
        <w:t>retail minus</w:t>
      </w:r>
      <w:r w:rsidRPr="00324806">
        <w:rPr>
          <w:rStyle w:val="IFTnormalCar"/>
          <w:lang w:val="es-ES"/>
        </w:rPr>
        <w:t>)</w:t>
      </w:r>
      <w:r>
        <w:rPr>
          <w:rStyle w:val="IFTnormalCar"/>
          <w:lang w:val="es-ES"/>
        </w:rPr>
        <w:t>:</w:t>
      </w:r>
    </w:p>
    <w:p w14:paraId="30AE06A8" w14:textId="77777777" w:rsidR="00302FA6" w:rsidRDefault="00302FA6" w:rsidP="004F36F7">
      <w:pPr>
        <w:pStyle w:val="CitaIFT0"/>
        <w:spacing w:before="240"/>
      </w:pPr>
      <w:r w:rsidRPr="00B30565">
        <w:t>“</w:t>
      </w:r>
      <w:r>
        <w:rPr>
          <w:b/>
        </w:rPr>
        <w:t>T</w:t>
      </w:r>
      <w:r>
        <w:rPr>
          <w:b/>
          <w:spacing w:val="-1"/>
        </w:rPr>
        <w:t>R</w:t>
      </w:r>
      <w:r>
        <w:rPr>
          <w:b/>
        </w:rPr>
        <w:t>IGÉ</w:t>
      </w:r>
      <w:r>
        <w:rPr>
          <w:b/>
          <w:spacing w:val="-2"/>
        </w:rPr>
        <w:t>S</w:t>
      </w:r>
      <w:r>
        <w:rPr>
          <w:b/>
        </w:rPr>
        <w:t>IMA</w:t>
      </w:r>
      <w:r>
        <w:rPr>
          <w:b/>
          <w:spacing w:val="36"/>
        </w:rPr>
        <w:t xml:space="preserve"> </w:t>
      </w:r>
      <w:r>
        <w:rPr>
          <w:b/>
        </w:rPr>
        <w:t>N</w:t>
      </w:r>
      <w:r>
        <w:rPr>
          <w:b/>
          <w:spacing w:val="-1"/>
        </w:rPr>
        <w:t>OV</w:t>
      </w:r>
      <w:r>
        <w:rPr>
          <w:b/>
        </w:rPr>
        <w:t>E</w:t>
      </w:r>
      <w:r>
        <w:rPr>
          <w:b/>
          <w:spacing w:val="-3"/>
        </w:rPr>
        <w:t>N</w:t>
      </w:r>
      <w:r>
        <w:rPr>
          <w:b/>
        </w:rPr>
        <w:t>A</w:t>
      </w:r>
      <w:r>
        <w:rPr>
          <w:b/>
          <w:spacing w:val="1"/>
        </w:rPr>
        <w:t>.</w:t>
      </w:r>
      <w:r>
        <w:rPr>
          <w:b/>
        </w:rPr>
        <w:t>-</w:t>
      </w:r>
      <w:r>
        <w:rPr>
          <w:b/>
          <w:spacing w:val="36"/>
        </w:rPr>
        <w:t xml:space="preserve"> </w:t>
      </w:r>
      <w:r>
        <w:t>Las</w:t>
      </w:r>
      <w:r>
        <w:rPr>
          <w:spacing w:val="39"/>
        </w:rPr>
        <w:t xml:space="preserve"> </w:t>
      </w:r>
      <w:r>
        <w:t>t</w:t>
      </w:r>
      <w:r>
        <w:rPr>
          <w:spacing w:val="-3"/>
        </w:rPr>
        <w:t>a</w:t>
      </w:r>
      <w:r>
        <w:rPr>
          <w:spacing w:val="-2"/>
        </w:rPr>
        <w:t>r</w:t>
      </w:r>
      <w:r>
        <w:rPr>
          <w:spacing w:val="1"/>
        </w:rPr>
        <w:t>i</w:t>
      </w:r>
      <w:r>
        <w:t>f</w:t>
      </w:r>
      <w:r>
        <w:rPr>
          <w:spacing w:val="-2"/>
        </w:rPr>
        <w:t>a</w:t>
      </w:r>
      <w:r>
        <w:t>s</w:t>
      </w:r>
      <w:r>
        <w:rPr>
          <w:spacing w:val="39"/>
        </w:rPr>
        <w:t xml:space="preserve"> </w:t>
      </w:r>
      <w:r>
        <w:t>a</w:t>
      </w:r>
      <w:r>
        <w:rPr>
          <w:spacing w:val="-2"/>
        </w:rPr>
        <w:t>p</w:t>
      </w:r>
      <w:r>
        <w:rPr>
          <w:spacing w:val="-1"/>
        </w:rPr>
        <w:t>l</w:t>
      </w:r>
      <w:r>
        <w:rPr>
          <w:spacing w:val="1"/>
        </w:rPr>
        <w:t>i</w:t>
      </w:r>
      <w:r>
        <w:rPr>
          <w:spacing w:val="-2"/>
        </w:rPr>
        <w:t>c</w:t>
      </w:r>
      <w:r>
        <w:t>a</w:t>
      </w:r>
      <w:r>
        <w:rPr>
          <w:spacing w:val="-2"/>
        </w:rPr>
        <w:t>b</w:t>
      </w:r>
      <w:r>
        <w:rPr>
          <w:spacing w:val="-1"/>
        </w:rPr>
        <w:t>l</w:t>
      </w:r>
      <w:r>
        <w:t>es</w:t>
      </w:r>
      <w:r>
        <w:rPr>
          <w:spacing w:val="39"/>
        </w:rPr>
        <w:t xml:space="preserve"> </w:t>
      </w:r>
      <w:r>
        <w:t>a</w:t>
      </w:r>
      <w:r>
        <w:rPr>
          <w:spacing w:val="35"/>
        </w:rPr>
        <w:t xml:space="preserve"> </w:t>
      </w:r>
      <w:r>
        <w:rPr>
          <w:spacing w:val="1"/>
        </w:rPr>
        <w:t xml:space="preserve">[…] </w:t>
      </w:r>
      <w:r>
        <w:rPr>
          <w:spacing w:val="-8"/>
        </w:rPr>
        <w:t xml:space="preserve"> </w:t>
      </w:r>
      <w:r>
        <w:rPr>
          <w:spacing w:val="1"/>
        </w:rPr>
        <w:t>l</w:t>
      </w:r>
      <w:r>
        <w:rPr>
          <w:spacing w:val="2"/>
        </w:rPr>
        <w:t>o</w:t>
      </w:r>
      <w:r>
        <w:t>s Se</w:t>
      </w:r>
      <w:r>
        <w:rPr>
          <w:spacing w:val="-2"/>
        </w:rPr>
        <w:t>r</w:t>
      </w:r>
      <w:r>
        <w:t>v</w:t>
      </w:r>
      <w:r>
        <w:rPr>
          <w:spacing w:val="-1"/>
        </w:rPr>
        <w:t>i</w:t>
      </w:r>
      <w:r>
        <w:t>c</w:t>
      </w:r>
      <w:r>
        <w:rPr>
          <w:spacing w:val="1"/>
        </w:rPr>
        <w:t>i</w:t>
      </w:r>
      <w:r>
        <w:rPr>
          <w:spacing w:val="-4"/>
        </w:rPr>
        <w:t>o</w:t>
      </w:r>
      <w:r>
        <w:t>s</w:t>
      </w:r>
      <w:r>
        <w:rPr>
          <w:spacing w:val="12"/>
        </w:rPr>
        <w:t xml:space="preserve"> </w:t>
      </w:r>
      <w:r>
        <w:rPr>
          <w:spacing w:val="-6"/>
        </w:rPr>
        <w:t>A</w:t>
      </w:r>
      <w:r>
        <w:t>uxi</w:t>
      </w:r>
      <w:r>
        <w:rPr>
          <w:spacing w:val="1"/>
        </w:rPr>
        <w:t>li</w:t>
      </w:r>
      <w:r>
        <w:rPr>
          <w:spacing w:val="-2"/>
        </w:rPr>
        <w:t>a</w:t>
      </w:r>
      <w:r>
        <w:t>r</w:t>
      </w:r>
      <w:r>
        <w:rPr>
          <w:spacing w:val="-2"/>
        </w:rPr>
        <w:t>e</w:t>
      </w:r>
      <w:r>
        <w:t>s,</w:t>
      </w:r>
      <w:r>
        <w:rPr>
          <w:spacing w:val="11"/>
        </w:rPr>
        <w:t xml:space="preserve"> </w:t>
      </w:r>
      <w:r>
        <w:t>se</w:t>
      </w:r>
      <w:r>
        <w:rPr>
          <w:spacing w:val="10"/>
        </w:rPr>
        <w:t xml:space="preserve"> </w:t>
      </w:r>
      <w:r>
        <w:t>dete</w:t>
      </w:r>
      <w:r>
        <w:rPr>
          <w:spacing w:val="1"/>
        </w:rPr>
        <w:t>r</w:t>
      </w:r>
      <w:r>
        <w:rPr>
          <w:spacing w:val="-4"/>
        </w:rPr>
        <w:t>m</w:t>
      </w:r>
      <w:r>
        <w:rPr>
          <w:spacing w:val="1"/>
        </w:rPr>
        <w:t>i</w:t>
      </w:r>
      <w:r>
        <w:t>n</w:t>
      </w:r>
      <w:r>
        <w:rPr>
          <w:spacing w:val="-3"/>
        </w:rPr>
        <w:t>a</w:t>
      </w:r>
      <w:r>
        <w:t>rán</w:t>
      </w:r>
      <w:r>
        <w:rPr>
          <w:spacing w:val="9"/>
        </w:rPr>
        <w:t xml:space="preserve"> </w:t>
      </w:r>
      <w:r>
        <w:t>a</w:t>
      </w:r>
      <w:r>
        <w:rPr>
          <w:spacing w:val="12"/>
        </w:rPr>
        <w:t xml:space="preserve"> </w:t>
      </w:r>
      <w:r>
        <w:t>p</w:t>
      </w:r>
      <w:r>
        <w:rPr>
          <w:spacing w:val="-2"/>
        </w:rPr>
        <w:t>ar</w:t>
      </w:r>
      <w:r>
        <w:t>tir</w:t>
      </w:r>
      <w:r>
        <w:rPr>
          <w:spacing w:val="12"/>
        </w:rPr>
        <w:t xml:space="preserve"> </w:t>
      </w:r>
      <w:r>
        <w:rPr>
          <w:spacing w:val="-3"/>
        </w:rPr>
        <w:t>d</w:t>
      </w:r>
      <w:r>
        <w:t>e</w:t>
      </w:r>
      <w:r>
        <w:rPr>
          <w:spacing w:val="12"/>
        </w:rPr>
        <w:t xml:space="preserve"> </w:t>
      </w:r>
      <w:r>
        <w:t>un</w:t>
      </w:r>
      <w:r>
        <w:rPr>
          <w:spacing w:val="12"/>
        </w:rPr>
        <w:t xml:space="preserve"> </w:t>
      </w:r>
      <w:r>
        <w:rPr>
          <w:spacing w:val="-1"/>
        </w:rPr>
        <w:t>m</w:t>
      </w:r>
      <w:r>
        <w:t>o</w:t>
      </w:r>
      <w:r>
        <w:rPr>
          <w:spacing w:val="-1"/>
        </w:rPr>
        <w:t>d</w:t>
      </w:r>
      <w:r>
        <w:rPr>
          <w:spacing w:val="-2"/>
        </w:rPr>
        <w:t>e</w:t>
      </w:r>
      <w:r>
        <w:rPr>
          <w:spacing w:val="1"/>
        </w:rPr>
        <w:t>l</w:t>
      </w:r>
      <w:r>
        <w:t>o</w:t>
      </w:r>
      <w:r>
        <w:rPr>
          <w:spacing w:val="11"/>
        </w:rPr>
        <w:t xml:space="preserve"> </w:t>
      </w:r>
      <w:r>
        <w:rPr>
          <w:spacing w:val="-3"/>
        </w:rPr>
        <w:t>d</w:t>
      </w:r>
      <w:r>
        <w:t>e</w:t>
      </w:r>
      <w:r>
        <w:rPr>
          <w:spacing w:val="10"/>
        </w:rPr>
        <w:t xml:space="preserve"> </w:t>
      </w:r>
      <w:r>
        <w:t>cost</w:t>
      </w:r>
      <w:r>
        <w:rPr>
          <w:spacing w:val="-1"/>
        </w:rPr>
        <w:t>o</w:t>
      </w:r>
      <w:r>
        <w:t>s</w:t>
      </w:r>
      <w:r>
        <w:rPr>
          <w:spacing w:val="10"/>
        </w:rPr>
        <w:t xml:space="preserve"> </w:t>
      </w:r>
      <w:r>
        <w:t>b</w:t>
      </w:r>
      <w:r>
        <w:rPr>
          <w:spacing w:val="-2"/>
        </w:rPr>
        <w:t>a</w:t>
      </w:r>
      <w:r>
        <w:t>sado</w:t>
      </w:r>
      <w:r>
        <w:rPr>
          <w:spacing w:val="11"/>
        </w:rPr>
        <w:t xml:space="preserve"> </w:t>
      </w:r>
      <w:r>
        <w:rPr>
          <w:spacing w:val="-2"/>
        </w:rPr>
        <w:t>e</w:t>
      </w:r>
      <w:r>
        <w:t>n</w:t>
      </w:r>
      <w:r>
        <w:rPr>
          <w:spacing w:val="11"/>
        </w:rPr>
        <w:t xml:space="preserve"> </w:t>
      </w:r>
      <w:r>
        <w:rPr>
          <w:spacing w:val="-3"/>
        </w:rPr>
        <w:t>u</w:t>
      </w:r>
      <w:r>
        <w:t xml:space="preserve">na </w:t>
      </w:r>
      <w:r>
        <w:rPr>
          <w:spacing w:val="-1"/>
        </w:rPr>
        <w:t>m</w:t>
      </w:r>
      <w:r>
        <w:t>etod</w:t>
      </w:r>
      <w:r>
        <w:rPr>
          <w:spacing w:val="-2"/>
        </w:rPr>
        <w:t>o</w:t>
      </w:r>
      <w:r>
        <w:rPr>
          <w:spacing w:val="1"/>
        </w:rPr>
        <w:t>l</w:t>
      </w:r>
      <w:r>
        <w:t>o</w:t>
      </w:r>
      <w:r>
        <w:rPr>
          <w:spacing w:val="-3"/>
        </w:rPr>
        <w:t>g</w:t>
      </w:r>
      <w:r>
        <w:rPr>
          <w:spacing w:val="1"/>
        </w:rPr>
        <w:t>í</w:t>
      </w:r>
      <w:r>
        <w:t>a</w:t>
      </w:r>
      <w:r>
        <w:rPr>
          <w:spacing w:val="55"/>
        </w:rPr>
        <w:t xml:space="preserve"> </w:t>
      </w:r>
      <w:r>
        <w:rPr>
          <w:spacing w:val="-3"/>
        </w:rPr>
        <w:t>d</w:t>
      </w:r>
      <w:r>
        <w:t>e</w:t>
      </w:r>
      <w:r>
        <w:rPr>
          <w:spacing w:val="57"/>
        </w:rPr>
        <w:t xml:space="preserve"> </w:t>
      </w:r>
      <w:r>
        <w:t>c</w:t>
      </w:r>
      <w:r>
        <w:rPr>
          <w:spacing w:val="-4"/>
        </w:rPr>
        <w:t>o</w:t>
      </w:r>
      <w:r>
        <w:t>s</w:t>
      </w:r>
      <w:r>
        <w:rPr>
          <w:spacing w:val="-3"/>
        </w:rPr>
        <w:t>t</w:t>
      </w:r>
      <w:r>
        <w:t>os</w:t>
      </w:r>
      <w:r>
        <w:rPr>
          <w:spacing w:val="56"/>
        </w:rPr>
        <w:t xml:space="preserve"> </w:t>
      </w:r>
      <w:r>
        <w:rPr>
          <w:spacing w:val="1"/>
        </w:rPr>
        <w:t>i</w:t>
      </w:r>
      <w:r>
        <w:rPr>
          <w:spacing w:val="-3"/>
        </w:rPr>
        <w:t>n</w:t>
      </w:r>
      <w:r>
        <w:t>cre</w:t>
      </w:r>
      <w:r>
        <w:rPr>
          <w:spacing w:val="-3"/>
        </w:rPr>
        <w:t>m</w:t>
      </w:r>
      <w:r>
        <w:t>ent</w:t>
      </w:r>
      <w:r>
        <w:rPr>
          <w:spacing w:val="-3"/>
        </w:rPr>
        <w:t>a</w:t>
      </w:r>
      <w:r>
        <w:rPr>
          <w:spacing w:val="1"/>
        </w:rPr>
        <w:t>l</w:t>
      </w:r>
      <w:r>
        <w:rPr>
          <w:spacing w:val="-2"/>
        </w:rPr>
        <w:t>e</w:t>
      </w:r>
      <w:r>
        <w:t>s</w:t>
      </w:r>
      <w:r>
        <w:rPr>
          <w:spacing w:val="57"/>
        </w:rPr>
        <w:t xml:space="preserve"> </w:t>
      </w:r>
      <w:r>
        <w:t>p</w:t>
      </w:r>
      <w:r>
        <w:rPr>
          <w:spacing w:val="1"/>
        </w:rPr>
        <w:t>r</w:t>
      </w:r>
      <w:r>
        <w:rPr>
          <w:spacing w:val="-4"/>
        </w:rPr>
        <w:t>o</w:t>
      </w:r>
      <w:r>
        <w:rPr>
          <w:spacing w:val="-1"/>
        </w:rPr>
        <w:t>m</w:t>
      </w:r>
      <w:r>
        <w:t>ed</w:t>
      </w:r>
      <w:r>
        <w:rPr>
          <w:spacing w:val="1"/>
        </w:rPr>
        <w:t>i</w:t>
      </w:r>
      <w:r>
        <w:t>o</w:t>
      </w:r>
      <w:r>
        <w:rPr>
          <w:spacing w:val="55"/>
        </w:rPr>
        <w:t xml:space="preserve"> </w:t>
      </w:r>
      <w:r>
        <w:rPr>
          <w:spacing w:val="-3"/>
        </w:rPr>
        <w:t>d</w:t>
      </w:r>
      <w:r>
        <w:t>e</w:t>
      </w:r>
      <w:r>
        <w:rPr>
          <w:spacing w:val="57"/>
        </w:rPr>
        <w:t xml:space="preserve"> </w:t>
      </w:r>
      <w:r>
        <w:rPr>
          <w:spacing w:val="1"/>
        </w:rPr>
        <w:t>l</w:t>
      </w:r>
      <w:r>
        <w:rPr>
          <w:spacing w:val="-2"/>
        </w:rPr>
        <w:t>a</w:t>
      </w:r>
      <w:r>
        <w:t>rgo</w:t>
      </w:r>
      <w:r>
        <w:rPr>
          <w:spacing w:val="56"/>
        </w:rPr>
        <w:t xml:space="preserve"> </w:t>
      </w:r>
      <w:r>
        <w:rPr>
          <w:spacing w:val="-2"/>
        </w:rPr>
        <w:t>p</w:t>
      </w:r>
      <w:r>
        <w:rPr>
          <w:spacing w:val="1"/>
        </w:rPr>
        <w:t>l</w:t>
      </w:r>
      <w:r>
        <w:t>a</w:t>
      </w:r>
      <w:r>
        <w:rPr>
          <w:spacing w:val="-3"/>
        </w:rPr>
        <w:t>z</w:t>
      </w:r>
      <w:r>
        <w:t>o,</w:t>
      </w:r>
      <w:r>
        <w:rPr>
          <w:spacing w:val="54"/>
        </w:rPr>
        <w:t xml:space="preserve"> </w:t>
      </w:r>
      <w:r>
        <w:t>que</w:t>
      </w:r>
      <w:r>
        <w:rPr>
          <w:spacing w:val="57"/>
        </w:rPr>
        <w:t xml:space="preserve"> </w:t>
      </w:r>
      <w:r>
        <w:t>al</w:t>
      </w:r>
      <w:r>
        <w:rPr>
          <w:spacing w:val="58"/>
        </w:rPr>
        <w:t xml:space="preserve"> </w:t>
      </w:r>
      <w:r>
        <w:rPr>
          <w:spacing w:val="-2"/>
        </w:rPr>
        <w:t>e</w:t>
      </w:r>
      <w:r>
        <w:t>f</w:t>
      </w:r>
      <w:r>
        <w:rPr>
          <w:spacing w:val="-2"/>
        </w:rPr>
        <w:t>e</w:t>
      </w:r>
      <w:r>
        <w:t>cto</w:t>
      </w:r>
      <w:r>
        <w:rPr>
          <w:spacing w:val="55"/>
        </w:rPr>
        <w:t xml:space="preserve"> </w:t>
      </w:r>
      <w:r>
        <w:t>em</w:t>
      </w:r>
      <w:r>
        <w:rPr>
          <w:spacing w:val="-2"/>
        </w:rPr>
        <w:t>i</w:t>
      </w:r>
      <w:r>
        <w:t>ta</w:t>
      </w:r>
      <w:r>
        <w:rPr>
          <w:spacing w:val="56"/>
        </w:rPr>
        <w:t xml:space="preserve"> </w:t>
      </w:r>
      <w:r>
        <w:rPr>
          <w:spacing w:val="-2"/>
        </w:rPr>
        <w:t>e</w:t>
      </w:r>
      <w:r>
        <w:t xml:space="preserve">l </w:t>
      </w:r>
      <w:r>
        <w:rPr>
          <w:spacing w:val="2"/>
        </w:rPr>
        <w:t>I</w:t>
      </w:r>
      <w:r>
        <w:rPr>
          <w:spacing w:val="-3"/>
        </w:rPr>
        <w:t>n</w:t>
      </w:r>
      <w:r>
        <w:t>sti</w:t>
      </w:r>
      <w:r>
        <w:rPr>
          <w:spacing w:val="-3"/>
        </w:rPr>
        <w:t>t</w:t>
      </w:r>
      <w:r>
        <w:t>ut</w:t>
      </w:r>
      <w:r>
        <w:rPr>
          <w:spacing w:val="-1"/>
        </w:rPr>
        <w:t>o</w:t>
      </w:r>
      <w:r>
        <w:t>.</w:t>
      </w:r>
    </w:p>
    <w:p w14:paraId="1F42158D" w14:textId="77777777" w:rsidR="00302FA6" w:rsidRDefault="00302FA6" w:rsidP="004F36F7">
      <w:pPr>
        <w:pStyle w:val="CitaIFT0"/>
        <w:spacing w:before="240"/>
        <w:rPr>
          <w:sz w:val="20"/>
          <w:szCs w:val="20"/>
        </w:rPr>
      </w:pPr>
      <w:bookmarkStart w:id="9" w:name="Tratándose_de_las_tarifas_por_el_Servici"/>
      <w:bookmarkEnd w:id="9"/>
      <w:r w:rsidRPr="00B30565">
        <w:rPr>
          <w:b/>
          <w:u w:val="single"/>
        </w:rPr>
        <w:t>Tratánd</w:t>
      </w:r>
      <w:r w:rsidRPr="00B30565">
        <w:rPr>
          <w:b/>
          <w:spacing w:val="-4"/>
          <w:u w:val="single"/>
        </w:rPr>
        <w:t>o</w:t>
      </w:r>
      <w:r w:rsidRPr="00B30565">
        <w:rPr>
          <w:b/>
          <w:u w:val="single"/>
        </w:rPr>
        <w:t>se</w:t>
      </w:r>
      <w:r w:rsidRPr="00B30565">
        <w:rPr>
          <w:b/>
          <w:spacing w:val="23"/>
          <w:u w:val="single"/>
        </w:rPr>
        <w:t xml:space="preserve"> </w:t>
      </w:r>
      <w:r w:rsidRPr="00B30565">
        <w:rPr>
          <w:b/>
          <w:u w:val="single"/>
        </w:rPr>
        <w:t>de</w:t>
      </w:r>
      <w:r w:rsidRPr="00B30565">
        <w:rPr>
          <w:b/>
          <w:spacing w:val="21"/>
          <w:u w:val="single"/>
        </w:rPr>
        <w:t xml:space="preserve"> </w:t>
      </w:r>
      <w:r w:rsidRPr="00B30565">
        <w:rPr>
          <w:b/>
          <w:spacing w:val="1"/>
          <w:u w:val="single"/>
        </w:rPr>
        <w:t>l</w:t>
      </w:r>
      <w:r w:rsidRPr="00B30565">
        <w:rPr>
          <w:b/>
          <w:u w:val="single"/>
        </w:rPr>
        <w:t>as</w:t>
      </w:r>
      <w:r w:rsidRPr="00B30565">
        <w:rPr>
          <w:b/>
          <w:spacing w:val="23"/>
          <w:u w:val="single"/>
        </w:rPr>
        <w:t xml:space="preserve"> </w:t>
      </w:r>
      <w:r w:rsidRPr="00B30565">
        <w:rPr>
          <w:b/>
          <w:u w:val="single"/>
        </w:rPr>
        <w:t>t</w:t>
      </w:r>
      <w:r w:rsidRPr="00B30565">
        <w:rPr>
          <w:b/>
          <w:spacing w:val="-3"/>
          <w:u w:val="single"/>
        </w:rPr>
        <w:t>a</w:t>
      </w:r>
      <w:r w:rsidRPr="00B30565">
        <w:rPr>
          <w:b/>
          <w:u w:val="single"/>
        </w:rPr>
        <w:t>r</w:t>
      </w:r>
      <w:r w:rsidRPr="00B30565">
        <w:rPr>
          <w:b/>
          <w:spacing w:val="1"/>
          <w:u w:val="single"/>
        </w:rPr>
        <w:t>i</w:t>
      </w:r>
      <w:r w:rsidRPr="00B30565">
        <w:rPr>
          <w:b/>
          <w:spacing w:val="-3"/>
          <w:u w:val="single"/>
        </w:rPr>
        <w:t>f</w:t>
      </w:r>
      <w:r w:rsidRPr="00B30565">
        <w:rPr>
          <w:b/>
          <w:u w:val="single"/>
        </w:rPr>
        <w:t>as</w:t>
      </w:r>
      <w:r w:rsidRPr="00B30565">
        <w:rPr>
          <w:b/>
          <w:spacing w:val="23"/>
          <w:u w:val="single"/>
        </w:rPr>
        <w:t xml:space="preserve"> </w:t>
      </w:r>
      <w:r w:rsidRPr="00B30565">
        <w:rPr>
          <w:b/>
          <w:u w:val="single"/>
        </w:rPr>
        <w:t>por</w:t>
      </w:r>
      <w:r w:rsidRPr="00B30565">
        <w:rPr>
          <w:b/>
          <w:spacing w:val="23"/>
          <w:u w:val="single"/>
        </w:rPr>
        <w:t xml:space="preserve"> </w:t>
      </w:r>
      <w:r w:rsidRPr="00B30565">
        <w:rPr>
          <w:spacing w:val="-2"/>
        </w:rPr>
        <w:t>e</w:t>
      </w:r>
      <w:r w:rsidRPr="00B30565">
        <w:t>l</w:t>
      </w:r>
      <w:r w:rsidRPr="00B30565">
        <w:rPr>
          <w:spacing w:val="24"/>
        </w:rPr>
        <w:t xml:space="preserve"> </w:t>
      </w:r>
      <w:r w:rsidRPr="00B30565">
        <w:t>S</w:t>
      </w:r>
      <w:r w:rsidRPr="00B30565">
        <w:rPr>
          <w:spacing w:val="-2"/>
        </w:rPr>
        <w:t>er</w:t>
      </w:r>
      <w:r w:rsidRPr="00B30565">
        <w:rPr>
          <w:spacing w:val="2"/>
        </w:rPr>
        <w:t>v</w:t>
      </w:r>
      <w:r w:rsidRPr="00B30565">
        <w:rPr>
          <w:spacing w:val="-1"/>
        </w:rPr>
        <w:t>i</w:t>
      </w:r>
      <w:r w:rsidRPr="00B30565">
        <w:rPr>
          <w:spacing w:val="-2"/>
        </w:rPr>
        <w:t>c</w:t>
      </w:r>
      <w:r w:rsidRPr="00B30565">
        <w:rPr>
          <w:spacing w:val="1"/>
        </w:rPr>
        <w:t>i</w:t>
      </w:r>
      <w:r w:rsidRPr="00B30565">
        <w:t>o</w:t>
      </w:r>
      <w:r w:rsidRPr="00B30565">
        <w:rPr>
          <w:spacing w:val="22"/>
        </w:rPr>
        <w:t xml:space="preserve"> </w:t>
      </w:r>
      <w:r w:rsidRPr="00B30565">
        <w:t>de</w:t>
      </w:r>
      <w:r w:rsidRPr="00B30565">
        <w:rPr>
          <w:spacing w:val="23"/>
        </w:rPr>
        <w:t xml:space="preserve"> </w:t>
      </w:r>
      <w:r w:rsidRPr="00B30565">
        <w:rPr>
          <w:spacing w:val="-6"/>
        </w:rPr>
        <w:t>A</w:t>
      </w:r>
      <w:r w:rsidRPr="00B30565">
        <w:t>cceso</w:t>
      </w:r>
      <w:r w:rsidRPr="00B30565">
        <w:rPr>
          <w:spacing w:val="19"/>
        </w:rPr>
        <w:t xml:space="preserve"> </w:t>
      </w:r>
      <w:r w:rsidRPr="00B30565">
        <w:rPr>
          <w:spacing w:val="5"/>
        </w:rPr>
        <w:t>I</w:t>
      </w:r>
      <w:r w:rsidRPr="00B30565">
        <w:t>n</w:t>
      </w:r>
      <w:r w:rsidRPr="00B30565">
        <w:rPr>
          <w:spacing w:val="-3"/>
        </w:rPr>
        <w:t>d</w:t>
      </w:r>
      <w:r w:rsidRPr="00B30565">
        <w:rPr>
          <w:spacing w:val="-1"/>
        </w:rPr>
        <w:t>i</w:t>
      </w:r>
      <w:r w:rsidRPr="00B30565">
        <w:t>r</w:t>
      </w:r>
      <w:r w:rsidRPr="00B30565">
        <w:rPr>
          <w:spacing w:val="-2"/>
        </w:rPr>
        <w:t>e</w:t>
      </w:r>
      <w:r w:rsidRPr="00B30565">
        <w:t>cto</w:t>
      </w:r>
      <w:r w:rsidRPr="00B30565">
        <w:rPr>
          <w:spacing w:val="21"/>
        </w:rPr>
        <w:t xml:space="preserve"> </w:t>
      </w:r>
      <w:r w:rsidRPr="00B30565">
        <w:t>al</w:t>
      </w:r>
      <w:r w:rsidRPr="00B30565">
        <w:rPr>
          <w:spacing w:val="24"/>
        </w:rPr>
        <w:t xml:space="preserve"> </w:t>
      </w:r>
      <w:r w:rsidRPr="00B30565">
        <w:rPr>
          <w:spacing w:val="-3"/>
        </w:rPr>
        <w:t>B</w:t>
      </w:r>
      <w:r w:rsidRPr="00B30565">
        <w:t>u</w:t>
      </w:r>
      <w:r w:rsidRPr="00B30565">
        <w:rPr>
          <w:spacing w:val="-2"/>
        </w:rPr>
        <w:t>c</w:t>
      </w:r>
      <w:r w:rsidRPr="00B30565">
        <w:rPr>
          <w:spacing w:val="1"/>
        </w:rPr>
        <w:t>l</w:t>
      </w:r>
      <w:r w:rsidRPr="00B30565">
        <w:t>e</w:t>
      </w:r>
      <w:r w:rsidRPr="00B30565">
        <w:rPr>
          <w:spacing w:val="31"/>
        </w:rPr>
        <w:t xml:space="preserve"> </w:t>
      </w:r>
      <w:r w:rsidRPr="00B30565">
        <w:t>L</w:t>
      </w:r>
      <w:r w:rsidRPr="00B30565">
        <w:rPr>
          <w:spacing w:val="-4"/>
        </w:rPr>
        <w:t>o</w:t>
      </w:r>
      <w:r w:rsidRPr="00B30565">
        <w:t>c</w:t>
      </w:r>
      <w:r w:rsidRPr="00B30565">
        <w:rPr>
          <w:spacing w:val="-2"/>
        </w:rPr>
        <w:t>a</w:t>
      </w:r>
      <w:r w:rsidRPr="00B30565">
        <w:t>l</w:t>
      </w:r>
      <w:r w:rsidRPr="00B30565">
        <w:rPr>
          <w:spacing w:val="24"/>
        </w:rPr>
        <w:t xml:space="preserve"> </w:t>
      </w:r>
      <w:r w:rsidRPr="00B30565">
        <w:t>y</w:t>
      </w:r>
      <w:r w:rsidRPr="00B30565">
        <w:rPr>
          <w:spacing w:val="22"/>
        </w:rPr>
        <w:t xml:space="preserve"> </w:t>
      </w:r>
      <w:r w:rsidRPr="00B30565">
        <w:rPr>
          <w:b/>
          <w:u w:val="single"/>
        </w:rPr>
        <w:t>el</w:t>
      </w:r>
      <w:r w:rsidRPr="00B30565">
        <w:rPr>
          <w:b/>
          <w:spacing w:val="24"/>
          <w:u w:val="single"/>
        </w:rPr>
        <w:t xml:space="preserve"> </w:t>
      </w:r>
      <w:r w:rsidRPr="00B30565">
        <w:rPr>
          <w:b/>
          <w:u w:val="single"/>
        </w:rPr>
        <w:t>S</w:t>
      </w:r>
      <w:r w:rsidRPr="00B30565">
        <w:rPr>
          <w:b/>
          <w:spacing w:val="-2"/>
          <w:u w:val="single"/>
        </w:rPr>
        <w:t>er</w:t>
      </w:r>
      <w:r w:rsidRPr="00B30565">
        <w:rPr>
          <w:b/>
          <w:spacing w:val="2"/>
          <w:u w:val="single"/>
        </w:rPr>
        <w:t>v</w:t>
      </w:r>
      <w:r w:rsidRPr="00B30565">
        <w:rPr>
          <w:b/>
          <w:spacing w:val="-1"/>
          <w:u w:val="single"/>
        </w:rPr>
        <w:t>i</w:t>
      </w:r>
      <w:r w:rsidRPr="00B30565">
        <w:rPr>
          <w:b/>
          <w:spacing w:val="-2"/>
          <w:u w:val="single"/>
        </w:rPr>
        <w:t>c</w:t>
      </w:r>
      <w:r w:rsidRPr="00B30565">
        <w:rPr>
          <w:b/>
          <w:spacing w:val="-1"/>
          <w:u w:val="single"/>
        </w:rPr>
        <w:t>i</w:t>
      </w:r>
      <w:r w:rsidRPr="00B30565">
        <w:rPr>
          <w:b/>
          <w:u w:val="single"/>
        </w:rPr>
        <w:t>o</w:t>
      </w:r>
      <w:r w:rsidRPr="00B30565">
        <w:rPr>
          <w:b/>
          <w:spacing w:val="22"/>
          <w:u w:val="single"/>
        </w:rPr>
        <w:t xml:space="preserve"> </w:t>
      </w:r>
      <w:r w:rsidRPr="00B30565">
        <w:rPr>
          <w:b/>
          <w:u w:val="single"/>
        </w:rPr>
        <w:t>de R</w:t>
      </w:r>
      <w:r w:rsidRPr="00B30565">
        <w:rPr>
          <w:b/>
          <w:spacing w:val="-2"/>
          <w:u w:val="single"/>
        </w:rPr>
        <w:t>e</w:t>
      </w:r>
      <w:r w:rsidRPr="00B30565">
        <w:rPr>
          <w:b/>
          <w:spacing w:val="2"/>
          <w:u w:val="single"/>
        </w:rPr>
        <w:t>v</w:t>
      </w:r>
      <w:r w:rsidRPr="00B30565">
        <w:rPr>
          <w:b/>
          <w:u w:val="single"/>
        </w:rPr>
        <w:t>en</w:t>
      </w:r>
      <w:r w:rsidRPr="00B30565">
        <w:rPr>
          <w:b/>
          <w:spacing w:val="-3"/>
          <w:u w:val="single"/>
        </w:rPr>
        <w:t>t</w:t>
      </w:r>
      <w:r w:rsidRPr="00B30565">
        <w:rPr>
          <w:b/>
          <w:u w:val="single"/>
        </w:rPr>
        <w:t>a, est</w:t>
      </w:r>
      <w:r w:rsidRPr="00B30565">
        <w:rPr>
          <w:b/>
          <w:spacing w:val="-3"/>
          <w:u w:val="single"/>
        </w:rPr>
        <w:t>a</w:t>
      </w:r>
      <w:r w:rsidRPr="00B30565">
        <w:rPr>
          <w:b/>
          <w:u w:val="single"/>
        </w:rPr>
        <w:t>s</w:t>
      </w:r>
      <w:r w:rsidRPr="00B30565">
        <w:rPr>
          <w:b/>
          <w:spacing w:val="1"/>
          <w:u w:val="single"/>
        </w:rPr>
        <w:t xml:space="preserve"> </w:t>
      </w:r>
      <w:r w:rsidRPr="00B30565">
        <w:rPr>
          <w:b/>
          <w:u w:val="single"/>
        </w:rPr>
        <w:t>se</w:t>
      </w:r>
      <w:r w:rsidRPr="00B30565">
        <w:rPr>
          <w:b/>
          <w:spacing w:val="-1"/>
          <w:u w:val="single"/>
        </w:rPr>
        <w:t xml:space="preserve"> </w:t>
      </w:r>
      <w:r w:rsidRPr="00B30565">
        <w:rPr>
          <w:b/>
          <w:u w:val="single"/>
        </w:rPr>
        <w:t>det</w:t>
      </w:r>
      <w:r w:rsidRPr="00B30565">
        <w:rPr>
          <w:b/>
          <w:spacing w:val="-2"/>
          <w:u w:val="single"/>
        </w:rPr>
        <w:t>e</w:t>
      </w:r>
      <w:r w:rsidRPr="00B30565">
        <w:rPr>
          <w:b/>
          <w:u w:val="single"/>
        </w:rPr>
        <w:t>r</w:t>
      </w:r>
      <w:r w:rsidRPr="00B30565">
        <w:rPr>
          <w:b/>
          <w:spacing w:val="-1"/>
          <w:u w:val="single"/>
        </w:rPr>
        <w:t>m</w:t>
      </w:r>
      <w:r w:rsidRPr="00B30565">
        <w:rPr>
          <w:b/>
          <w:spacing w:val="1"/>
          <w:u w:val="single"/>
        </w:rPr>
        <w:t>i</w:t>
      </w:r>
      <w:r w:rsidRPr="00B30565">
        <w:rPr>
          <w:b/>
          <w:spacing w:val="-3"/>
          <w:u w:val="single"/>
        </w:rPr>
        <w:t>n</w:t>
      </w:r>
      <w:r w:rsidRPr="00B30565">
        <w:rPr>
          <w:b/>
          <w:u w:val="single"/>
        </w:rPr>
        <w:t>arán</w:t>
      </w:r>
      <w:r w:rsidRPr="00B30565">
        <w:rPr>
          <w:b/>
          <w:spacing w:val="1"/>
          <w:u w:val="single"/>
        </w:rPr>
        <w:t xml:space="preserve"> </w:t>
      </w:r>
      <w:r w:rsidRPr="00B30565">
        <w:rPr>
          <w:b/>
          <w:spacing w:val="-4"/>
          <w:u w:val="single"/>
        </w:rPr>
        <w:t>m</w:t>
      </w:r>
      <w:r w:rsidRPr="00B30565">
        <w:rPr>
          <w:b/>
          <w:u w:val="single"/>
        </w:rPr>
        <w:t>e</w:t>
      </w:r>
      <w:r w:rsidRPr="00B30565">
        <w:rPr>
          <w:b/>
          <w:spacing w:val="-2"/>
          <w:u w:val="single"/>
        </w:rPr>
        <w:t>d</w:t>
      </w:r>
      <w:r w:rsidRPr="00B30565">
        <w:rPr>
          <w:b/>
          <w:spacing w:val="1"/>
          <w:u w:val="single"/>
        </w:rPr>
        <w:t>i</w:t>
      </w:r>
      <w:r w:rsidRPr="00B30565">
        <w:rPr>
          <w:b/>
          <w:u w:val="single"/>
        </w:rPr>
        <w:t>ante</w:t>
      </w:r>
      <w:r w:rsidRPr="00B30565">
        <w:rPr>
          <w:b/>
          <w:spacing w:val="1"/>
          <w:u w:val="single"/>
        </w:rPr>
        <w:t xml:space="preserve"> </w:t>
      </w:r>
      <w:r w:rsidRPr="00B30565">
        <w:rPr>
          <w:b/>
          <w:spacing w:val="-3"/>
          <w:u w:val="single"/>
        </w:rPr>
        <w:t>un</w:t>
      </w:r>
      <w:r w:rsidRPr="00B30565">
        <w:rPr>
          <w:b/>
          <w:u w:val="single"/>
        </w:rPr>
        <w:t>a</w:t>
      </w:r>
      <w:r w:rsidRPr="00B30565">
        <w:rPr>
          <w:b/>
          <w:spacing w:val="1"/>
          <w:u w:val="single"/>
        </w:rPr>
        <w:t xml:space="preserve"> </w:t>
      </w:r>
      <w:r w:rsidRPr="00B30565">
        <w:rPr>
          <w:b/>
          <w:spacing w:val="-1"/>
          <w:u w:val="single"/>
        </w:rPr>
        <w:t>m</w:t>
      </w:r>
      <w:r w:rsidRPr="00B30565">
        <w:rPr>
          <w:b/>
          <w:u w:val="single"/>
        </w:rPr>
        <w:t>etod</w:t>
      </w:r>
      <w:r w:rsidRPr="00B30565">
        <w:rPr>
          <w:b/>
          <w:spacing w:val="-2"/>
          <w:u w:val="single"/>
        </w:rPr>
        <w:t>o</w:t>
      </w:r>
      <w:r w:rsidRPr="00B30565">
        <w:rPr>
          <w:b/>
          <w:spacing w:val="1"/>
          <w:u w:val="single"/>
        </w:rPr>
        <w:t>l</w:t>
      </w:r>
      <w:r w:rsidRPr="00B30565">
        <w:rPr>
          <w:b/>
          <w:spacing w:val="-4"/>
          <w:u w:val="single"/>
        </w:rPr>
        <w:t>o</w:t>
      </w:r>
      <w:r w:rsidRPr="00B30565">
        <w:rPr>
          <w:b/>
          <w:u w:val="single"/>
        </w:rPr>
        <w:t>g</w:t>
      </w:r>
      <w:r w:rsidRPr="00B30565">
        <w:rPr>
          <w:b/>
          <w:spacing w:val="-1"/>
          <w:u w:val="single"/>
        </w:rPr>
        <w:t>í</w:t>
      </w:r>
      <w:r w:rsidRPr="00B30565">
        <w:rPr>
          <w:b/>
          <w:u w:val="single"/>
        </w:rPr>
        <w:t>a</w:t>
      </w:r>
      <w:r w:rsidRPr="00B30565">
        <w:rPr>
          <w:b/>
          <w:spacing w:val="1"/>
          <w:u w:val="single"/>
        </w:rPr>
        <w:t xml:space="preserve"> </w:t>
      </w:r>
      <w:r w:rsidRPr="00B30565">
        <w:rPr>
          <w:b/>
          <w:u w:val="single"/>
        </w:rPr>
        <w:t>de</w:t>
      </w:r>
      <w:r w:rsidRPr="00B30565">
        <w:rPr>
          <w:b/>
          <w:spacing w:val="-1"/>
          <w:u w:val="single"/>
        </w:rPr>
        <w:t xml:space="preserve"> </w:t>
      </w:r>
      <w:r w:rsidRPr="00B30565">
        <w:rPr>
          <w:b/>
          <w:u w:val="single"/>
        </w:rPr>
        <w:t>co</w:t>
      </w:r>
      <w:r w:rsidRPr="00B30565">
        <w:rPr>
          <w:b/>
          <w:spacing w:val="-3"/>
          <w:u w:val="single"/>
        </w:rPr>
        <w:t>s</w:t>
      </w:r>
      <w:r w:rsidRPr="00B30565">
        <w:rPr>
          <w:b/>
          <w:u w:val="single"/>
        </w:rPr>
        <w:t>t</w:t>
      </w:r>
      <w:r w:rsidRPr="00B30565">
        <w:rPr>
          <w:b/>
          <w:spacing w:val="-2"/>
          <w:u w:val="single"/>
        </w:rPr>
        <w:t>o</w:t>
      </w:r>
      <w:r w:rsidRPr="00B30565">
        <w:rPr>
          <w:b/>
          <w:u w:val="single"/>
        </w:rPr>
        <w:t>s</w:t>
      </w:r>
      <w:r w:rsidRPr="00B30565">
        <w:rPr>
          <w:b/>
          <w:spacing w:val="1"/>
          <w:u w:val="single"/>
        </w:rPr>
        <w:t xml:space="preserve"> </w:t>
      </w:r>
      <w:r w:rsidRPr="00B30565">
        <w:rPr>
          <w:b/>
          <w:spacing w:val="-2"/>
          <w:u w:val="single"/>
        </w:rPr>
        <w:t>e</w:t>
      </w:r>
      <w:r w:rsidRPr="00B30565">
        <w:rPr>
          <w:b/>
          <w:spacing w:val="2"/>
          <w:u w:val="single"/>
        </w:rPr>
        <w:t>v</w:t>
      </w:r>
      <w:r w:rsidRPr="00B30565">
        <w:rPr>
          <w:b/>
          <w:spacing w:val="1"/>
          <w:u w:val="single"/>
        </w:rPr>
        <w:t>i</w:t>
      </w:r>
      <w:r w:rsidRPr="00B30565">
        <w:rPr>
          <w:b/>
          <w:spacing w:val="-3"/>
          <w:u w:val="single"/>
        </w:rPr>
        <w:t>t</w:t>
      </w:r>
      <w:r w:rsidRPr="00B30565">
        <w:rPr>
          <w:b/>
          <w:u w:val="single"/>
        </w:rPr>
        <w:t>ados</w:t>
      </w:r>
      <w:r w:rsidRPr="00B30565">
        <w:rPr>
          <w:b/>
          <w:spacing w:val="1"/>
          <w:u w:val="single"/>
        </w:rPr>
        <w:t xml:space="preserve"> </w:t>
      </w:r>
      <w:r w:rsidRPr="00B30565">
        <w:rPr>
          <w:b/>
          <w:spacing w:val="-5"/>
          <w:u w:val="single"/>
        </w:rPr>
        <w:t>(</w:t>
      </w:r>
      <w:r w:rsidRPr="00B30565">
        <w:rPr>
          <w:b/>
          <w:u w:val="single"/>
        </w:rPr>
        <w:t>retail</w:t>
      </w:r>
      <w:r w:rsidRPr="00B30565">
        <w:rPr>
          <w:b/>
          <w:spacing w:val="1"/>
          <w:u w:val="single"/>
        </w:rPr>
        <w:t xml:space="preserve"> </w:t>
      </w:r>
      <w:r w:rsidRPr="00B30565">
        <w:rPr>
          <w:b/>
          <w:spacing w:val="-1"/>
          <w:u w:val="single"/>
        </w:rPr>
        <w:t>m</w:t>
      </w:r>
      <w:r w:rsidRPr="00B30565">
        <w:rPr>
          <w:b/>
          <w:spacing w:val="1"/>
          <w:u w:val="single"/>
        </w:rPr>
        <w:t>i</w:t>
      </w:r>
      <w:r w:rsidRPr="00B30565">
        <w:rPr>
          <w:b/>
          <w:spacing w:val="-3"/>
          <w:u w:val="single"/>
        </w:rPr>
        <w:t>n</w:t>
      </w:r>
      <w:r w:rsidRPr="00B30565">
        <w:rPr>
          <w:b/>
          <w:u w:val="single"/>
        </w:rPr>
        <w:t>us</w:t>
      </w:r>
      <w:r w:rsidRPr="00B30565">
        <w:rPr>
          <w:b/>
          <w:spacing w:val="-3"/>
          <w:u w:val="single"/>
        </w:rPr>
        <w:t>)</w:t>
      </w:r>
      <w:r w:rsidRPr="00B30565">
        <w:rPr>
          <w:b/>
          <w:u w:val="single"/>
        </w:rPr>
        <w:t>, a</w:t>
      </w:r>
      <w:r w:rsidRPr="00B30565">
        <w:rPr>
          <w:b/>
          <w:spacing w:val="43"/>
          <w:u w:val="single"/>
        </w:rPr>
        <w:t xml:space="preserve"> </w:t>
      </w:r>
      <w:r w:rsidRPr="00B30565">
        <w:rPr>
          <w:b/>
          <w:u w:val="single"/>
        </w:rPr>
        <w:t>par</w:t>
      </w:r>
      <w:r w:rsidRPr="00B30565">
        <w:rPr>
          <w:b/>
          <w:spacing w:val="-3"/>
          <w:u w:val="single"/>
        </w:rPr>
        <w:t>t</w:t>
      </w:r>
      <w:r w:rsidRPr="00B30565">
        <w:rPr>
          <w:b/>
          <w:spacing w:val="1"/>
          <w:u w:val="single"/>
        </w:rPr>
        <w:t>i</w:t>
      </w:r>
      <w:r w:rsidRPr="00B30565">
        <w:rPr>
          <w:b/>
          <w:u w:val="single"/>
        </w:rPr>
        <w:t>r</w:t>
      </w:r>
      <w:r w:rsidRPr="00B30565">
        <w:rPr>
          <w:b/>
          <w:spacing w:val="44"/>
          <w:u w:val="single"/>
        </w:rPr>
        <w:t xml:space="preserve"> </w:t>
      </w:r>
      <w:r w:rsidRPr="00B30565">
        <w:rPr>
          <w:b/>
          <w:spacing w:val="-3"/>
          <w:u w:val="single"/>
        </w:rPr>
        <w:t>d</w:t>
      </w:r>
      <w:r w:rsidRPr="00B30565">
        <w:rPr>
          <w:b/>
          <w:u w:val="single"/>
        </w:rPr>
        <w:t>e</w:t>
      </w:r>
      <w:r w:rsidRPr="00B30565">
        <w:rPr>
          <w:b/>
          <w:spacing w:val="44"/>
          <w:u w:val="single"/>
        </w:rPr>
        <w:t xml:space="preserve"> </w:t>
      </w:r>
      <w:r w:rsidRPr="00B30565">
        <w:rPr>
          <w:b/>
          <w:spacing w:val="1"/>
          <w:u w:val="single"/>
        </w:rPr>
        <w:t>l</w:t>
      </w:r>
      <w:r w:rsidRPr="00B30565">
        <w:rPr>
          <w:b/>
          <w:spacing w:val="-4"/>
          <w:u w:val="single"/>
        </w:rPr>
        <w:t>o</w:t>
      </w:r>
      <w:r w:rsidRPr="00B30565">
        <w:rPr>
          <w:b/>
          <w:u w:val="single"/>
        </w:rPr>
        <w:t>s</w:t>
      </w:r>
      <w:r w:rsidRPr="00B30565">
        <w:rPr>
          <w:b/>
          <w:spacing w:val="44"/>
          <w:u w:val="single"/>
        </w:rPr>
        <w:t xml:space="preserve"> </w:t>
      </w:r>
      <w:r w:rsidRPr="00B30565">
        <w:rPr>
          <w:b/>
          <w:spacing w:val="1"/>
          <w:u w:val="single"/>
        </w:rPr>
        <w:t>i</w:t>
      </w:r>
      <w:r w:rsidRPr="00B30565">
        <w:rPr>
          <w:b/>
          <w:u w:val="single"/>
        </w:rPr>
        <w:t>n</w:t>
      </w:r>
      <w:r w:rsidRPr="00B30565">
        <w:rPr>
          <w:b/>
          <w:spacing w:val="-3"/>
          <w:u w:val="single"/>
        </w:rPr>
        <w:t>g</w:t>
      </w:r>
      <w:r w:rsidRPr="00B30565">
        <w:rPr>
          <w:b/>
          <w:u w:val="single"/>
        </w:rPr>
        <w:t>r</w:t>
      </w:r>
      <w:r w:rsidRPr="00B30565">
        <w:rPr>
          <w:b/>
          <w:spacing w:val="-2"/>
          <w:u w:val="single"/>
        </w:rPr>
        <w:t>es</w:t>
      </w:r>
      <w:r w:rsidRPr="00B30565">
        <w:rPr>
          <w:b/>
          <w:u w:val="single"/>
        </w:rPr>
        <w:t>os</w:t>
      </w:r>
      <w:r w:rsidRPr="00B30565">
        <w:rPr>
          <w:b/>
          <w:spacing w:val="44"/>
          <w:u w:val="single"/>
        </w:rPr>
        <w:t xml:space="preserve"> </w:t>
      </w:r>
      <w:r w:rsidRPr="00B30565">
        <w:rPr>
          <w:b/>
          <w:u w:val="single"/>
        </w:rPr>
        <w:t>o</w:t>
      </w:r>
      <w:r w:rsidRPr="00B30565">
        <w:rPr>
          <w:b/>
          <w:spacing w:val="43"/>
          <w:u w:val="single"/>
        </w:rPr>
        <w:t xml:space="preserve"> </w:t>
      </w:r>
      <w:r w:rsidRPr="00B30565">
        <w:rPr>
          <w:b/>
          <w:spacing w:val="1"/>
          <w:u w:val="single"/>
        </w:rPr>
        <w:t>l</w:t>
      </w:r>
      <w:r w:rsidRPr="00B30565">
        <w:rPr>
          <w:b/>
          <w:u w:val="single"/>
        </w:rPr>
        <w:t>as</w:t>
      </w:r>
      <w:r w:rsidRPr="00B30565">
        <w:rPr>
          <w:b/>
          <w:spacing w:val="45"/>
          <w:u w:val="single"/>
        </w:rPr>
        <w:t xml:space="preserve"> </w:t>
      </w:r>
      <w:r w:rsidRPr="00B30565">
        <w:rPr>
          <w:b/>
          <w:u w:val="single"/>
        </w:rPr>
        <w:t>t</w:t>
      </w:r>
      <w:r w:rsidRPr="00B30565">
        <w:rPr>
          <w:b/>
          <w:spacing w:val="-3"/>
          <w:u w:val="single"/>
        </w:rPr>
        <w:t>a</w:t>
      </w:r>
      <w:r w:rsidRPr="00B30565">
        <w:rPr>
          <w:b/>
          <w:u w:val="single"/>
        </w:rPr>
        <w:t>r</w:t>
      </w:r>
      <w:r w:rsidRPr="00B30565">
        <w:rPr>
          <w:b/>
          <w:spacing w:val="-1"/>
          <w:u w:val="single"/>
        </w:rPr>
        <w:t>i</w:t>
      </w:r>
      <w:r w:rsidRPr="00B30565">
        <w:rPr>
          <w:b/>
          <w:u w:val="single"/>
        </w:rPr>
        <w:t>fas</w:t>
      </w:r>
      <w:r w:rsidRPr="00B30565">
        <w:rPr>
          <w:b/>
          <w:spacing w:val="45"/>
          <w:u w:val="single"/>
        </w:rPr>
        <w:t xml:space="preserve"> </w:t>
      </w:r>
      <w:r w:rsidRPr="00B30565">
        <w:rPr>
          <w:b/>
          <w:spacing w:val="-4"/>
          <w:u w:val="single"/>
        </w:rPr>
        <w:t>m</w:t>
      </w:r>
      <w:r w:rsidRPr="00B30565">
        <w:rPr>
          <w:b/>
          <w:spacing w:val="1"/>
          <w:u w:val="single"/>
        </w:rPr>
        <w:t>i</w:t>
      </w:r>
      <w:r w:rsidRPr="00B30565">
        <w:rPr>
          <w:b/>
          <w:u w:val="single"/>
        </w:rPr>
        <w:t>n</w:t>
      </w:r>
      <w:r w:rsidRPr="00B30565">
        <w:rPr>
          <w:b/>
          <w:spacing w:val="-1"/>
          <w:u w:val="single"/>
        </w:rPr>
        <w:t>o</w:t>
      </w:r>
      <w:r w:rsidRPr="00B30565">
        <w:rPr>
          <w:b/>
          <w:spacing w:val="-2"/>
          <w:u w:val="single"/>
        </w:rPr>
        <w:t>r</w:t>
      </w:r>
      <w:r w:rsidRPr="00B30565">
        <w:rPr>
          <w:b/>
          <w:spacing w:val="1"/>
          <w:u w:val="single"/>
        </w:rPr>
        <w:t>i</w:t>
      </w:r>
      <w:r w:rsidRPr="00B30565">
        <w:rPr>
          <w:b/>
          <w:spacing w:val="-2"/>
          <w:u w:val="single"/>
        </w:rPr>
        <w:t>s</w:t>
      </w:r>
      <w:r w:rsidRPr="00B30565">
        <w:rPr>
          <w:b/>
          <w:u w:val="single"/>
        </w:rPr>
        <w:t>tas</w:t>
      </w:r>
      <w:r w:rsidRPr="00B30565">
        <w:rPr>
          <w:b/>
          <w:spacing w:val="44"/>
          <w:u w:val="single"/>
        </w:rPr>
        <w:t xml:space="preserve"> </w:t>
      </w:r>
      <w:r w:rsidRPr="00B30565">
        <w:rPr>
          <w:b/>
          <w:spacing w:val="-1"/>
          <w:u w:val="single"/>
        </w:rPr>
        <w:t>y</w:t>
      </w:r>
      <w:r w:rsidRPr="00B30565">
        <w:rPr>
          <w:b/>
          <w:u w:val="single"/>
        </w:rPr>
        <w:t>,</w:t>
      </w:r>
      <w:r w:rsidRPr="00B30565">
        <w:rPr>
          <w:b/>
          <w:spacing w:val="43"/>
          <w:u w:val="single"/>
        </w:rPr>
        <w:t xml:space="preserve"> </w:t>
      </w:r>
      <w:r w:rsidRPr="00B30565">
        <w:rPr>
          <w:b/>
          <w:u w:val="single"/>
        </w:rPr>
        <w:t>e</w:t>
      </w:r>
      <w:r w:rsidRPr="00B30565">
        <w:rPr>
          <w:b/>
          <w:spacing w:val="1"/>
          <w:u w:val="single"/>
        </w:rPr>
        <w:t>li</w:t>
      </w:r>
      <w:r w:rsidRPr="00B30565">
        <w:rPr>
          <w:b/>
          <w:spacing w:val="-4"/>
          <w:u w:val="single"/>
        </w:rPr>
        <w:t>m</w:t>
      </w:r>
      <w:r w:rsidRPr="00B30565">
        <w:rPr>
          <w:b/>
          <w:spacing w:val="1"/>
          <w:u w:val="single"/>
        </w:rPr>
        <w:t>i</w:t>
      </w:r>
      <w:r w:rsidRPr="00B30565">
        <w:rPr>
          <w:b/>
          <w:spacing w:val="-3"/>
          <w:u w:val="single"/>
        </w:rPr>
        <w:t>n</w:t>
      </w:r>
      <w:r w:rsidRPr="00B30565">
        <w:rPr>
          <w:b/>
          <w:u w:val="single"/>
        </w:rPr>
        <w:t>ando</w:t>
      </w:r>
      <w:r w:rsidRPr="00B30565">
        <w:rPr>
          <w:b/>
          <w:spacing w:val="44"/>
          <w:u w:val="single"/>
        </w:rPr>
        <w:t xml:space="preserve"> </w:t>
      </w:r>
      <w:r w:rsidRPr="00B30565">
        <w:rPr>
          <w:b/>
          <w:u w:val="single"/>
        </w:rPr>
        <w:t>a</w:t>
      </w:r>
      <w:r w:rsidRPr="00B30565">
        <w:rPr>
          <w:b/>
          <w:spacing w:val="-2"/>
          <w:u w:val="single"/>
        </w:rPr>
        <w:t>q</w:t>
      </w:r>
      <w:r w:rsidRPr="00B30565">
        <w:rPr>
          <w:b/>
          <w:spacing w:val="-3"/>
          <w:u w:val="single"/>
        </w:rPr>
        <w:t>u</w:t>
      </w:r>
      <w:r w:rsidRPr="00B30565">
        <w:rPr>
          <w:b/>
          <w:u w:val="single"/>
        </w:rPr>
        <w:t>ellos</w:t>
      </w:r>
      <w:r w:rsidRPr="00B30565">
        <w:rPr>
          <w:b/>
          <w:spacing w:val="42"/>
          <w:u w:val="single"/>
        </w:rPr>
        <w:t xml:space="preserve"> </w:t>
      </w:r>
      <w:r w:rsidRPr="00B30565">
        <w:rPr>
          <w:b/>
          <w:u w:val="single"/>
        </w:rPr>
        <w:t>cost</w:t>
      </w:r>
      <w:r w:rsidRPr="00B30565">
        <w:rPr>
          <w:b/>
          <w:spacing w:val="-1"/>
          <w:u w:val="single"/>
        </w:rPr>
        <w:t>o</w:t>
      </w:r>
      <w:r w:rsidRPr="00B30565">
        <w:rPr>
          <w:b/>
          <w:u w:val="single"/>
        </w:rPr>
        <w:t>s</w:t>
      </w:r>
      <w:r w:rsidRPr="00B30565">
        <w:rPr>
          <w:b/>
          <w:spacing w:val="44"/>
          <w:u w:val="single"/>
        </w:rPr>
        <w:t xml:space="preserve"> </w:t>
      </w:r>
      <w:r w:rsidRPr="00B30565">
        <w:rPr>
          <w:b/>
          <w:spacing w:val="-2"/>
          <w:u w:val="single"/>
        </w:rPr>
        <w:t>q</w:t>
      </w:r>
      <w:r w:rsidRPr="00B30565">
        <w:rPr>
          <w:b/>
          <w:u w:val="single"/>
        </w:rPr>
        <w:t>ue</w:t>
      </w:r>
      <w:r w:rsidRPr="00B30565">
        <w:rPr>
          <w:b/>
          <w:spacing w:val="45"/>
          <w:u w:val="single"/>
        </w:rPr>
        <w:t xml:space="preserve"> </w:t>
      </w:r>
      <w:r w:rsidRPr="00B30565">
        <w:rPr>
          <w:b/>
          <w:u w:val="single"/>
        </w:rPr>
        <w:t>no</w:t>
      </w:r>
      <w:r w:rsidRPr="00B30565">
        <w:rPr>
          <w:b/>
          <w:spacing w:val="43"/>
          <w:u w:val="single"/>
        </w:rPr>
        <w:t xml:space="preserve"> </w:t>
      </w:r>
      <w:r w:rsidRPr="00B30565">
        <w:rPr>
          <w:b/>
          <w:spacing w:val="-2"/>
          <w:u w:val="single"/>
        </w:rPr>
        <w:t>s</w:t>
      </w:r>
      <w:r w:rsidRPr="00B30565">
        <w:rPr>
          <w:b/>
          <w:u w:val="single"/>
        </w:rPr>
        <w:t>ean ne</w:t>
      </w:r>
      <w:r w:rsidRPr="00B30565">
        <w:rPr>
          <w:b/>
          <w:spacing w:val="-2"/>
          <w:u w:val="single"/>
        </w:rPr>
        <w:t>c</w:t>
      </w:r>
      <w:r w:rsidRPr="00B30565">
        <w:rPr>
          <w:b/>
          <w:u w:val="single"/>
        </w:rPr>
        <w:t>es</w:t>
      </w:r>
      <w:r w:rsidRPr="00B30565">
        <w:rPr>
          <w:b/>
          <w:spacing w:val="-2"/>
          <w:u w:val="single"/>
        </w:rPr>
        <w:t>a</w:t>
      </w:r>
      <w:r w:rsidRPr="00B30565">
        <w:rPr>
          <w:b/>
          <w:u w:val="single"/>
        </w:rPr>
        <w:t>r</w:t>
      </w:r>
      <w:r w:rsidRPr="00B30565">
        <w:rPr>
          <w:b/>
          <w:spacing w:val="1"/>
          <w:u w:val="single"/>
        </w:rPr>
        <w:t>i</w:t>
      </w:r>
      <w:r w:rsidRPr="00B30565">
        <w:rPr>
          <w:b/>
          <w:spacing w:val="-4"/>
          <w:u w:val="single"/>
        </w:rPr>
        <w:t>o</w:t>
      </w:r>
      <w:r w:rsidRPr="00B30565">
        <w:rPr>
          <w:b/>
          <w:u w:val="single"/>
        </w:rPr>
        <w:t>s</w:t>
      </w:r>
      <w:r w:rsidRPr="00B30565">
        <w:rPr>
          <w:b/>
          <w:spacing w:val="6"/>
          <w:u w:val="single"/>
        </w:rPr>
        <w:t xml:space="preserve"> </w:t>
      </w:r>
      <w:r w:rsidRPr="00B30565">
        <w:rPr>
          <w:b/>
          <w:spacing w:val="-2"/>
          <w:u w:val="single"/>
        </w:rPr>
        <w:t>p</w:t>
      </w:r>
      <w:r w:rsidRPr="00B30565">
        <w:rPr>
          <w:b/>
          <w:u w:val="single"/>
        </w:rPr>
        <w:t>ara</w:t>
      </w:r>
      <w:r w:rsidRPr="00B30565">
        <w:rPr>
          <w:b/>
          <w:spacing w:val="3"/>
          <w:u w:val="single"/>
        </w:rPr>
        <w:t xml:space="preserve"> </w:t>
      </w:r>
      <w:r w:rsidRPr="00B30565">
        <w:rPr>
          <w:b/>
          <w:spacing w:val="1"/>
          <w:u w:val="single"/>
        </w:rPr>
        <w:t>l</w:t>
      </w:r>
      <w:r w:rsidRPr="00B30565">
        <w:rPr>
          <w:b/>
          <w:u w:val="single"/>
        </w:rPr>
        <w:t>a</w:t>
      </w:r>
      <w:r w:rsidRPr="00B30565">
        <w:rPr>
          <w:b/>
          <w:spacing w:val="3"/>
          <w:u w:val="single"/>
        </w:rPr>
        <w:t xml:space="preserve"> </w:t>
      </w:r>
      <w:r w:rsidRPr="00B30565">
        <w:rPr>
          <w:b/>
          <w:u w:val="single"/>
        </w:rPr>
        <w:t>c</w:t>
      </w:r>
      <w:r w:rsidRPr="00B30565">
        <w:rPr>
          <w:b/>
          <w:spacing w:val="-4"/>
          <w:u w:val="single"/>
        </w:rPr>
        <w:t>o</w:t>
      </w:r>
      <w:r w:rsidRPr="00B30565">
        <w:rPr>
          <w:b/>
          <w:spacing w:val="-1"/>
          <w:u w:val="single"/>
        </w:rPr>
        <w:t>m</w:t>
      </w:r>
      <w:r w:rsidRPr="00B30565">
        <w:rPr>
          <w:b/>
          <w:u w:val="single"/>
        </w:rPr>
        <w:t>e</w:t>
      </w:r>
      <w:r w:rsidRPr="00B30565">
        <w:rPr>
          <w:b/>
          <w:spacing w:val="-2"/>
          <w:u w:val="single"/>
        </w:rPr>
        <w:t>r</w:t>
      </w:r>
      <w:r w:rsidRPr="00B30565">
        <w:rPr>
          <w:b/>
          <w:u w:val="single"/>
        </w:rPr>
        <w:t>c</w:t>
      </w:r>
      <w:r w:rsidRPr="00B30565">
        <w:rPr>
          <w:b/>
          <w:spacing w:val="-1"/>
          <w:u w:val="single"/>
        </w:rPr>
        <w:t>i</w:t>
      </w:r>
      <w:r w:rsidRPr="00B30565">
        <w:rPr>
          <w:b/>
          <w:u w:val="single"/>
        </w:rPr>
        <w:t>aliz</w:t>
      </w:r>
      <w:r w:rsidRPr="00B30565">
        <w:rPr>
          <w:b/>
          <w:spacing w:val="-3"/>
          <w:u w:val="single"/>
        </w:rPr>
        <w:t>a</w:t>
      </w:r>
      <w:r w:rsidRPr="00B30565">
        <w:rPr>
          <w:b/>
          <w:spacing w:val="-2"/>
          <w:u w:val="single"/>
        </w:rPr>
        <w:t>c</w:t>
      </w:r>
      <w:r w:rsidRPr="00B30565">
        <w:rPr>
          <w:b/>
          <w:spacing w:val="1"/>
          <w:u w:val="single"/>
        </w:rPr>
        <w:t>i</w:t>
      </w:r>
      <w:r w:rsidRPr="00B30565">
        <w:rPr>
          <w:b/>
          <w:u w:val="single"/>
        </w:rPr>
        <w:t>ón</w:t>
      </w:r>
      <w:r w:rsidRPr="00B30565">
        <w:rPr>
          <w:b/>
          <w:spacing w:val="5"/>
          <w:u w:val="single"/>
        </w:rPr>
        <w:t xml:space="preserve"> </w:t>
      </w:r>
      <w:r w:rsidRPr="00B30565">
        <w:rPr>
          <w:b/>
          <w:u w:val="single"/>
        </w:rPr>
        <w:t>de</w:t>
      </w:r>
      <w:r w:rsidRPr="00B30565">
        <w:rPr>
          <w:b/>
          <w:spacing w:val="4"/>
          <w:u w:val="single"/>
        </w:rPr>
        <w:t xml:space="preserve"> </w:t>
      </w:r>
      <w:r w:rsidRPr="00B30565">
        <w:rPr>
          <w:b/>
          <w:spacing w:val="1"/>
          <w:u w:val="single"/>
        </w:rPr>
        <w:t>l</w:t>
      </w:r>
      <w:r w:rsidRPr="00B30565">
        <w:rPr>
          <w:b/>
          <w:u w:val="single"/>
        </w:rPr>
        <w:t>os</w:t>
      </w:r>
      <w:r w:rsidRPr="00B30565">
        <w:rPr>
          <w:b/>
          <w:spacing w:val="3"/>
          <w:u w:val="single"/>
        </w:rPr>
        <w:t xml:space="preserve"> </w:t>
      </w:r>
      <w:r w:rsidRPr="00B30565">
        <w:rPr>
          <w:b/>
          <w:spacing w:val="-2"/>
          <w:u w:val="single"/>
        </w:rPr>
        <w:t>s</w:t>
      </w:r>
      <w:r w:rsidRPr="00B30565">
        <w:rPr>
          <w:b/>
          <w:u w:val="single"/>
        </w:rPr>
        <w:t>e</w:t>
      </w:r>
      <w:r w:rsidRPr="00B30565">
        <w:rPr>
          <w:b/>
          <w:spacing w:val="-2"/>
          <w:u w:val="single"/>
        </w:rPr>
        <w:t>r</w:t>
      </w:r>
      <w:r w:rsidRPr="00B30565">
        <w:rPr>
          <w:b/>
          <w:u w:val="single"/>
        </w:rPr>
        <w:t>v</w:t>
      </w:r>
      <w:r w:rsidRPr="00B30565">
        <w:rPr>
          <w:b/>
          <w:spacing w:val="1"/>
          <w:u w:val="single"/>
        </w:rPr>
        <w:t>i</w:t>
      </w:r>
      <w:r w:rsidRPr="00B30565">
        <w:rPr>
          <w:b/>
          <w:spacing w:val="-2"/>
          <w:u w:val="single"/>
        </w:rPr>
        <w:t>c</w:t>
      </w:r>
      <w:r w:rsidRPr="00B30565">
        <w:rPr>
          <w:b/>
          <w:spacing w:val="6"/>
          <w:u w:val="single"/>
        </w:rPr>
        <w:t>i</w:t>
      </w:r>
      <w:r w:rsidRPr="00B30565">
        <w:rPr>
          <w:b/>
          <w:u w:val="single"/>
        </w:rPr>
        <w:t>os,</w:t>
      </w:r>
      <w:r w:rsidRPr="00B30565">
        <w:rPr>
          <w:b/>
          <w:spacing w:val="4"/>
          <w:u w:val="single"/>
        </w:rPr>
        <w:t xml:space="preserve"> </w:t>
      </w:r>
      <w:r w:rsidRPr="00B30565">
        <w:rPr>
          <w:b/>
          <w:spacing w:val="-3"/>
          <w:u w:val="single"/>
        </w:rPr>
        <w:t>d</w:t>
      </w:r>
      <w:r w:rsidRPr="00B30565">
        <w:rPr>
          <w:b/>
          <w:u w:val="single"/>
        </w:rPr>
        <w:t>e</w:t>
      </w:r>
      <w:r w:rsidRPr="00B30565">
        <w:rPr>
          <w:b/>
          <w:spacing w:val="6"/>
          <w:u w:val="single"/>
        </w:rPr>
        <w:t xml:space="preserve"> </w:t>
      </w:r>
      <w:r w:rsidRPr="00B30565">
        <w:rPr>
          <w:b/>
          <w:u w:val="single"/>
        </w:rPr>
        <w:t>tal</w:t>
      </w:r>
      <w:r w:rsidRPr="00B30565">
        <w:rPr>
          <w:b/>
          <w:spacing w:val="4"/>
          <w:u w:val="single"/>
        </w:rPr>
        <w:t xml:space="preserve"> </w:t>
      </w:r>
      <w:r w:rsidRPr="00B30565">
        <w:rPr>
          <w:b/>
          <w:u w:val="single"/>
        </w:rPr>
        <w:t>forma</w:t>
      </w:r>
      <w:r w:rsidRPr="00B30565">
        <w:rPr>
          <w:b/>
          <w:spacing w:val="3"/>
          <w:u w:val="single"/>
        </w:rPr>
        <w:t xml:space="preserve"> </w:t>
      </w:r>
      <w:r w:rsidRPr="00B30565">
        <w:rPr>
          <w:b/>
          <w:u w:val="single"/>
        </w:rPr>
        <w:t>que</w:t>
      </w:r>
      <w:r w:rsidRPr="00B30565">
        <w:rPr>
          <w:b/>
          <w:spacing w:val="4"/>
          <w:u w:val="single"/>
        </w:rPr>
        <w:t xml:space="preserve"> </w:t>
      </w:r>
      <w:r w:rsidRPr="00B30565">
        <w:rPr>
          <w:b/>
          <w:u w:val="single"/>
        </w:rPr>
        <w:t>pue</w:t>
      </w:r>
      <w:r w:rsidRPr="00B30565">
        <w:rPr>
          <w:b/>
          <w:spacing w:val="-2"/>
          <w:u w:val="single"/>
        </w:rPr>
        <w:t>d</w:t>
      </w:r>
      <w:r w:rsidRPr="00B30565">
        <w:rPr>
          <w:b/>
          <w:u w:val="single"/>
        </w:rPr>
        <w:t>an</w:t>
      </w:r>
      <w:r w:rsidRPr="00B30565">
        <w:rPr>
          <w:b/>
          <w:spacing w:val="6"/>
          <w:u w:val="single"/>
        </w:rPr>
        <w:t xml:space="preserve"> </w:t>
      </w:r>
      <w:r w:rsidRPr="00B30565">
        <w:rPr>
          <w:b/>
          <w:spacing w:val="-2"/>
          <w:u w:val="single"/>
        </w:rPr>
        <w:t>s</w:t>
      </w:r>
      <w:r w:rsidRPr="00B30565">
        <w:rPr>
          <w:b/>
          <w:u w:val="single"/>
        </w:rPr>
        <w:t>er</w:t>
      </w:r>
      <w:r w:rsidRPr="00B30565">
        <w:rPr>
          <w:b/>
          <w:spacing w:val="7"/>
          <w:u w:val="single"/>
        </w:rPr>
        <w:t xml:space="preserve"> </w:t>
      </w:r>
      <w:r w:rsidRPr="00B30565">
        <w:rPr>
          <w:b/>
          <w:spacing w:val="-2"/>
          <w:u w:val="single"/>
        </w:rPr>
        <w:t>r</w:t>
      </w:r>
      <w:r w:rsidRPr="00B30565">
        <w:rPr>
          <w:b/>
          <w:u w:val="single"/>
        </w:rPr>
        <w:t>e</w:t>
      </w:r>
      <w:r w:rsidRPr="00B30565">
        <w:rPr>
          <w:b/>
          <w:spacing w:val="-2"/>
          <w:u w:val="single"/>
        </w:rPr>
        <w:t>p</w:t>
      </w:r>
      <w:r w:rsidRPr="00B30565">
        <w:rPr>
          <w:b/>
          <w:spacing w:val="-1"/>
          <w:u w:val="single"/>
        </w:rPr>
        <w:t>l</w:t>
      </w:r>
      <w:r w:rsidRPr="00B30565">
        <w:rPr>
          <w:b/>
          <w:spacing w:val="1"/>
          <w:u w:val="single"/>
        </w:rPr>
        <w:t>i</w:t>
      </w:r>
      <w:r w:rsidRPr="00B30565">
        <w:rPr>
          <w:b/>
          <w:spacing w:val="-2"/>
          <w:u w:val="single"/>
        </w:rPr>
        <w:t>c</w:t>
      </w:r>
      <w:r w:rsidRPr="00B30565">
        <w:rPr>
          <w:b/>
          <w:u w:val="single"/>
        </w:rPr>
        <w:t>ad</w:t>
      </w:r>
      <w:r w:rsidRPr="00B30565">
        <w:rPr>
          <w:b/>
          <w:spacing w:val="-2"/>
          <w:u w:val="single"/>
        </w:rPr>
        <w:t>a</w:t>
      </w:r>
      <w:r w:rsidRPr="00B30565">
        <w:rPr>
          <w:b/>
          <w:u w:val="single"/>
        </w:rPr>
        <w:t>s por</w:t>
      </w:r>
      <w:r w:rsidRPr="00B30565">
        <w:rPr>
          <w:b/>
          <w:spacing w:val="-1"/>
          <w:u w:val="single"/>
        </w:rPr>
        <w:t xml:space="preserve"> </w:t>
      </w:r>
      <w:r w:rsidRPr="00B30565">
        <w:rPr>
          <w:b/>
          <w:u w:val="single"/>
        </w:rPr>
        <w:t>un</w:t>
      </w:r>
      <w:r w:rsidRPr="00B30565">
        <w:rPr>
          <w:b/>
          <w:spacing w:val="-2"/>
          <w:u w:val="single"/>
        </w:rPr>
        <w:t xml:space="preserve"> </w:t>
      </w:r>
      <w:r w:rsidRPr="00B30565">
        <w:rPr>
          <w:b/>
          <w:u w:val="single"/>
        </w:rPr>
        <w:t>op</w:t>
      </w:r>
      <w:r w:rsidRPr="00B30565">
        <w:rPr>
          <w:b/>
          <w:spacing w:val="-2"/>
          <w:u w:val="single"/>
        </w:rPr>
        <w:t>e</w:t>
      </w:r>
      <w:r w:rsidRPr="00B30565">
        <w:rPr>
          <w:b/>
          <w:u w:val="single"/>
        </w:rPr>
        <w:t>rad</w:t>
      </w:r>
      <w:r w:rsidRPr="00B30565">
        <w:rPr>
          <w:b/>
          <w:spacing w:val="-3"/>
          <w:u w:val="single"/>
        </w:rPr>
        <w:t>o</w:t>
      </w:r>
      <w:r w:rsidRPr="00B30565">
        <w:rPr>
          <w:b/>
          <w:u w:val="single"/>
        </w:rPr>
        <w:t>r</w:t>
      </w:r>
      <w:r w:rsidRPr="00B30565">
        <w:rPr>
          <w:b/>
          <w:spacing w:val="-1"/>
          <w:u w:val="single"/>
        </w:rPr>
        <w:t xml:space="preserve"> </w:t>
      </w:r>
      <w:r w:rsidRPr="00B30565">
        <w:rPr>
          <w:b/>
          <w:u w:val="single"/>
        </w:rPr>
        <w:t>e</w:t>
      </w:r>
      <w:r w:rsidRPr="00B30565">
        <w:rPr>
          <w:b/>
          <w:spacing w:val="-2"/>
          <w:u w:val="single"/>
        </w:rPr>
        <w:t>f</w:t>
      </w:r>
      <w:r w:rsidRPr="00B30565">
        <w:rPr>
          <w:b/>
          <w:spacing w:val="1"/>
          <w:u w:val="single"/>
        </w:rPr>
        <w:t>i</w:t>
      </w:r>
      <w:r w:rsidRPr="00B30565">
        <w:rPr>
          <w:b/>
          <w:spacing w:val="-2"/>
          <w:u w:val="single"/>
        </w:rPr>
        <w:t>c</w:t>
      </w:r>
      <w:r w:rsidRPr="00B30565">
        <w:rPr>
          <w:b/>
          <w:spacing w:val="1"/>
          <w:u w:val="single"/>
        </w:rPr>
        <w:t>i</w:t>
      </w:r>
      <w:r w:rsidRPr="00B30565">
        <w:rPr>
          <w:b/>
          <w:spacing w:val="-2"/>
          <w:u w:val="single"/>
        </w:rPr>
        <w:t>e</w:t>
      </w:r>
      <w:r w:rsidRPr="00B30565">
        <w:rPr>
          <w:b/>
          <w:u w:val="single"/>
        </w:rPr>
        <w:t>n</w:t>
      </w:r>
      <w:r w:rsidRPr="00B30565">
        <w:rPr>
          <w:b/>
          <w:spacing w:val="-1"/>
          <w:u w:val="single"/>
        </w:rPr>
        <w:t>t</w:t>
      </w:r>
      <w:r w:rsidRPr="00B30565">
        <w:rPr>
          <w:b/>
          <w:u w:val="single"/>
        </w:rPr>
        <w:t>e.</w:t>
      </w:r>
    </w:p>
    <w:p w14:paraId="454196BE" w14:textId="77777777" w:rsidR="00302FA6" w:rsidRDefault="00302FA6" w:rsidP="004F36F7">
      <w:pPr>
        <w:pStyle w:val="CitaIFT0"/>
        <w:spacing w:before="240"/>
      </w:pPr>
      <w:bookmarkStart w:id="10" w:name="Independientemente_de_las_tarifas_determ"/>
      <w:bookmarkEnd w:id="10"/>
      <w:r>
        <w:rPr>
          <w:spacing w:val="2"/>
        </w:rPr>
        <w:t>[…]</w:t>
      </w:r>
    </w:p>
    <w:p w14:paraId="0040CCAC" w14:textId="77777777" w:rsidR="00302FA6" w:rsidRDefault="00302FA6" w:rsidP="004F36F7">
      <w:pPr>
        <w:pStyle w:val="CitaIFT0"/>
        <w:spacing w:before="240"/>
      </w:pPr>
      <w:bookmarkStart w:id="11" w:name="Las_propuestas_tarifarias_quedarán_sujet"/>
      <w:bookmarkEnd w:id="11"/>
      <w:r>
        <w:t>Las</w:t>
      </w:r>
      <w:r>
        <w:rPr>
          <w:spacing w:val="-3"/>
        </w:rPr>
        <w:t xml:space="preserve"> </w:t>
      </w:r>
      <w:r>
        <w:t>p</w:t>
      </w:r>
      <w:r>
        <w:rPr>
          <w:spacing w:val="1"/>
        </w:rPr>
        <w:t>r</w:t>
      </w:r>
      <w:r>
        <w:t>o</w:t>
      </w:r>
      <w:r>
        <w:rPr>
          <w:spacing w:val="-3"/>
        </w:rPr>
        <w:t>p</w:t>
      </w:r>
      <w:r>
        <w:t>u</w:t>
      </w:r>
      <w:r>
        <w:rPr>
          <w:spacing w:val="-2"/>
        </w:rPr>
        <w:t>e</w:t>
      </w:r>
      <w:r>
        <w:t>stas</w:t>
      </w:r>
      <w:r>
        <w:rPr>
          <w:spacing w:val="-1"/>
        </w:rPr>
        <w:t xml:space="preserve"> </w:t>
      </w:r>
      <w:r>
        <w:t>t</w:t>
      </w:r>
      <w:r>
        <w:rPr>
          <w:spacing w:val="-3"/>
        </w:rPr>
        <w:t>a</w:t>
      </w:r>
      <w:r>
        <w:t>r</w:t>
      </w:r>
      <w:r>
        <w:rPr>
          <w:spacing w:val="1"/>
        </w:rPr>
        <w:t>i</w:t>
      </w:r>
      <w:r>
        <w:rPr>
          <w:spacing w:val="-3"/>
        </w:rPr>
        <w:t>f</w:t>
      </w:r>
      <w:r>
        <w:t>a</w:t>
      </w:r>
      <w:r>
        <w:rPr>
          <w:spacing w:val="-2"/>
        </w:rPr>
        <w:t>r</w:t>
      </w:r>
      <w:r>
        <w:rPr>
          <w:spacing w:val="-1"/>
        </w:rPr>
        <w:t>i</w:t>
      </w:r>
      <w:r>
        <w:t>as</w:t>
      </w:r>
      <w:r>
        <w:rPr>
          <w:spacing w:val="-1"/>
        </w:rPr>
        <w:t xml:space="preserve"> </w:t>
      </w:r>
      <w:r>
        <w:t>q</w:t>
      </w:r>
      <w:r>
        <w:rPr>
          <w:spacing w:val="-2"/>
        </w:rPr>
        <w:t>u</w:t>
      </w:r>
      <w:r>
        <w:t>ed</w:t>
      </w:r>
      <w:r>
        <w:rPr>
          <w:spacing w:val="-2"/>
        </w:rPr>
        <w:t>a</w:t>
      </w:r>
      <w:r>
        <w:t>rán</w:t>
      </w:r>
      <w:r>
        <w:rPr>
          <w:spacing w:val="-1"/>
        </w:rPr>
        <w:t xml:space="preserve"> </w:t>
      </w:r>
      <w:r>
        <w:t>s</w:t>
      </w:r>
      <w:r>
        <w:rPr>
          <w:spacing w:val="-3"/>
        </w:rPr>
        <w:t>u</w:t>
      </w:r>
      <w:r>
        <w:t>jet</w:t>
      </w:r>
      <w:r>
        <w:rPr>
          <w:spacing w:val="-2"/>
        </w:rPr>
        <w:t>a</w:t>
      </w:r>
      <w:r>
        <w:t>s</w:t>
      </w:r>
      <w:r>
        <w:rPr>
          <w:spacing w:val="-1"/>
        </w:rPr>
        <w:t xml:space="preserve"> </w:t>
      </w:r>
      <w:r>
        <w:rPr>
          <w:spacing w:val="-2"/>
        </w:rPr>
        <w:t>a</w:t>
      </w:r>
      <w:r>
        <w:t>l</w:t>
      </w:r>
      <w:r>
        <w:rPr>
          <w:spacing w:val="-2"/>
        </w:rPr>
        <w:t xml:space="preserve"> </w:t>
      </w:r>
      <w:r>
        <w:t>trata</w:t>
      </w:r>
      <w:r>
        <w:rPr>
          <w:spacing w:val="-1"/>
        </w:rPr>
        <w:t>mi</w:t>
      </w:r>
      <w:r>
        <w:t>ento</w:t>
      </w:r>
      <w:r>
        <w:rPr>
          <w:spacing w:val="-2"/>
        </w:rPr>
        <w:t xml:space="preserve"> </w:t>
      </w:r>
      <w:r>
        <w:t>p</w:t>
      </w:r>
      <w:r>
        <w:rPr>
          <w:spacing w:val="-2"/>
        </w:rPr>
        <w:t>re</w:t>
      </w:r>
      <w:r>
        <w:t>v</w:t>
      </w:r>
      <w:r>
        <w:rPr>
          <w:spacing w:val="1"/>
        </w:rPr>
        <w:t>i</w:t>
      </w:r>
      <w:r>
        <w:t>sto</w:t>
      </w:r>
      <w:r>
        <w:rPr>
          <w:spacing w:val="-2"/>
        </w:rPr>
        <w:t xml:space="preserve"> e</w:t>
      </w:r>
      <w:r>
        <w:t>n</w:t>
      </w:r>
      <w:r>
        <w:rPr>
          <w:spacing w:val="-2"/>
        </w:rPr>
        <w:t xml:space="preserve"> </w:t>
      </w:r>
      <w:r>
        <w:rPr>
          <w:spacing w:val="1"/>
        </w:rPr>
        <w:t>l</w:t>
      </w:r>
      <w:r>
        <w:t>a</w:t>
      </w:r>
      <w:r>
        <w:rPr>
          <w:spacing w:val="-1"/>
        </w:rPr>
        <w:t xml:space="preserve"> m</w:t>
      </w:r>
      <w:r>
        <w:t>e</w:t>
      </w:r>
      <w:r>
        <w:rPr>
          <w:spacing w:val="-2"/>
        </w:rPr>
        <w:t>d</w:t>
      </w:r>
      <w:r>
        <w:rPr>
          <w:spacing w:val="1"/>
        </w:rPr>
        <w:t>i</w:t>
      </w:r>
      <w:r>
        <w:t>da</w:t>
      </w:r>
      <w:r>
        <w:rPr>
          <w:spacing w:val="-1"/>
        </w:rPr>
        <w:t xml:space="preserve"> </w:t>
      </w:r>
      <w:r>
        <w:t>Q</w:t>
      </w:r>
      <w:r>
        <w:rPr>
          <w:spacing w:val="-3"/>
        </w:rPr>
        <w:t>u</w:t>
      </w:r>
      <w:r>
        <w:rPr>
          <w:spacing w:val="1"/>
        </w:rPr>
        <w:t>i</w:t>
      </w:r>
      <w:r>
        <w:t>n</w:t>
      </w:r>
      <w:r>
        <w:rPr>
          <w:spacing w:val="-1"/>
        </w:rPr>
        <w:t>t</w:t>
      </w:r>
      <w:r>
        <w:t>a.”</w:t>
      </w:r>
    </w:p>
    <w:p w14:paraId="01C8B1ED" w14:textId="77777777" w:rsidR="004F36F7" w:rsidRDefault="00302FA6" w:rsidP="004F36F7">
      <w:pPr>
        <w:pStyle w:val="CitaIFT0"/>
        <w:spacing w:before="240"/>
        <w:jc w:val="right"/>
      </w:pPr>
      <w:r>
        <w:t>(Énfasis añadido)</w:t>
      </w:r>
    </w:p>
    <w:p w14:paraId="69678984" w14:textId="619A9165" w:rsidR="00302FA6" w:rsidRPr="00800D6E" w:rsidRDefault="00302FA6" w:rsidP="004F36F7">
      <w:pPr>
        <w:pStyle w:val="IFTnormal"/>
        <w:spacing w:before="240"/>
        <w:rPr>
          <w:rStyle w:val="IFTnormalCar"/>
          <w:lang w:val="es-ES"/>
        </w:rPr>
      </w:pPr>
      <w:r>
        <w:rPr>
          <w:rStyle w:val="IFTnormalCar"/>
          <w:lang w:val="es-ES"/>
        </w:rPr>
        <w:t xml:space="preserve">En este sentido, a través de la información aportada por el AEP </w:t>
      </w:r>
      <w:r w:rsidR="00352191">
        <w:rPr>
          <w:rStyle w:val="IFTnormalCar"/>
          <w:lang w:val="es-ES"/>
        </w:rPr>
        <w:t>en</w:t>
      </w:r>
      <w:r w:rsidR="00D45F90">
        <w:rPr>
          <w:rStyle w:val="IFTnormalCar"/>
          <w:lang w:val="es-ES"/>
        </w:rPr>
        <w:t xml:space="preserve"> </w:t>
      </w:r>
      <w:r w:rsidR="00A376A6">
        <w:rPr>
          <w:rStyle w:val="IFTnormalCar"/>
          <w:lang w:val="es-ES"/>
        </w:rPr>
        <w:t>l</w:t>
      </w:r>
      <w:r w:rsidR="00D45F90">
        <w:rPr>
          <w:rStyle w:val="IFTnormalCar"/>
          <w:lang w:val="es-ES"/>
        </w:rPr>
        <w:t>a</w:t>
      </w:r>
      <w:r w:rsidR="00A376A6">
        <w:rPr>
          <w:rStyle w:val="IFTnormalCar"/>
          <w:lang w:val="es-ES"/>
        </w:rPr>
        <w:t xml:space="preserve"> </w:t>
      </w:r>
      <w:r w:rsidR="00D45F90" w:rsidRPr="00AA0DF1">
        <w:rPr>
          <w:rStyle w:val="IFTnormalCar"/>
        </w:rPr>
        <w:t>Propuesta de tarifas del AEP</w:t>
      </w:r>
      <w:r w:rsidR="00D45F90">
        <w:rPr>
          <w:rStyle w:val="IFTnormalCar"/>
        </w:rPr>
        <w:t xml:space="preserve"> y la Respuesta al Requerimiento de tarifas,</w:t>
      </w:r>
      <w:r w:rsidR="00A376A6">
        <w:rPr>
          <w:rStyle w:val="IFTnormalCar"/>
          <w:lang w:val="es-ES"/>
        </w:rPr>
        <w:t xml:space="preserve"> </w:t>
      </w:r>
      <w:r>
        <w:rPr>
          <w:rStyle w:val="IFTnormalCar"/>
          <w:lang w:val="es-ES"/>
        </w:rPr>
        <w:t xml:space="preserve">no se </w:t>
      </w:r>
      <w:r w:rsidR="00A376A6">
        <w:rPr>
          <w:rStyle w:val="IFTnormalCar"/>
          <w:lang w:val="es-ES"/>
        </w:rPr>
        <w:t xml:space="preserve">identifican </w:t>
      </w:r>
      <w:r>
        <w:rPr>
          <w:rStyle w:val="IFTnormalCar"/>
          <w:lang w:val="es-ES"/>
        </w:rPr>
        <w:t xml:space="preserve">elementos </w:t>
      </w:r>
      <w:r w:rsidR="00A376A6">
        <w:rPr>
          <w:rStyle w:val="IFTnormalCar"/>
          <w:lang w:val="es-ES"/>
        </w:rPr>
        <w:t xml:space="preserve">que </w:t>
      </w:r>
      <w:r>
        <w:rPr>
          <w:rStyle w:val="IFTnormalCar"/>
          <w:lang w:val="es-ES"/>
        </w:rPr>
        <w:t>justifique</w:t>
      </w:r>
      <w:r w:rsidR="00A376A6">
        <w:rPr>
          <w:rStyle w:val="IFTnormalCar"/>
          <w:lang w:val="es-ES"/>
        </w:rPr>
        <w:t>n adecuadamente</w:t>
      </w:r>
      <w:r>
        <w:rPr>
          <w:rStyle w:val="IFTnormalCar"/>
          <w:lang w:val="es-ES"/>
        </w:rPr>
        <w:t xml:space="preserve"> por</w:t>
      </w:r>
      <w:r w:rsidR="00A84D23">
        <w:rPr>
          <w:rStyle w:val="IFTnormalCar"/>
          <w:lang w:val="es-ES"/>
        </w:rPr>
        <w:t xml:space="preserve"> </w:t>
      </w:r>
      <w:r>
        <w:rPr>
          <w:rStyle w:val="IFTnormalCar"/>
          <w:lang w:val="es-ES"/>
        </w:rPr>
        <w:t>qu</w:t>
      </w:r>
      <w:r w:rsidR="00A84D23">
        <w:rPr>
          <w:rStyle w:val="IFTnormalCar"/>
          <w:lang w:val="es-ES"/>
        </w:rPr>
        <w:t>é</w:t>
      </w:r>
      <w:r>
        <w:rPr>
          <w:rStyle w:val="IFTnormalCar"/>
          <w:lang w:val="es-ES"/>
        </w:rPr>
        <w:t xml:space="preserve"> sería apropiado,</w:t>
      </w:r>
      <w:r w:rsidRPr="00816AA3">
        <w:rPr>
          <w:rStyle w:val="IFTnormalCar"/>
          <w:lang w:val="es-ES"/>
        </w:rPr>
        <w:t xml:space="preserve"> </w:t>
      </w:r>
      <w:r>
        <w:rPr>
          <w:rStyle w:val="IFTnormalCar"/>
          <w:lang w:val="es-ES"/>
        </w:rPr>
        <w:t xml:space="preserve">en términos de la metodología de costos evitados y de conformidad con el alcance y especificaciones del </w:t>
      </w:r>
      <w:r w:rsidR="001000F3">
        <w:rPr>
          <w:rStyle w:val="IFTnormalCar"/>
          <w:lang w:val="es-ES"/>
        </w:rPr>
        <w:t>SRMLT</w:t>
      </w:r>
      <w:r>
        <w:rPr>
          <w:rStyle w:val="IFTnormalCar"/>
          <w:lang w:val="es-ES"/>
        </w:rPr>
        <w:t xml:space="preserve">, considerar como </w:t>
      </w:r>
      <w:r w:rsidR="006B4C16">
        <w:rPr>
          <w:rStyle w:val="IFTnormalCar"/>
          <w:lang w:val="es-ES"/>
        </w:rPr>
        <w:t xml:space="preserve">único </w:t>
      </w:r>
      <w:r>
        <w:rPr>
          <w:rStyle w:val="IFTnormalCar"/>
          <w:lang w:val="es-ES"/>
        </w:rPr>
        <w:t xml:space="preserve">precio de referencia para determinar la contraprestación mensual de dicho servicio mayorista a la </w:t>
      </w:r>
      <w:r w:rsidRPr="00980940">
        <w:rPr>
          <w:rStyle w:val="IFTnormalCar"/>
        </w:rPr>
        <w:t>tarifa registrada de “</w:t>
      </w:r>
      <w:r w:rsidRPr="00262A80">
        <w:rPr>
          <w:rStyle w:val="IFTnormalCar"/>
          <w:i/>
        </w:rPr>
        <w:t>Renta para línea telefónica de uso residencial”</w:t>
      </w:r>
      <w:r w:rsidR="00A376A6">
        <w:rPr>
          <w:rStyle w:val="IFTnormalCar"/>
          <w:i/>
        </w:rPr>
        <w:t>.</w:t>
      </w:r>
      <w:r>
        <w:rPr>
          <w:rStyle w:val="IFTnormalCar"/>
          <w:i/>
        </w:rPr>
        <w:t xml:space="preserve"> </w:t>
      </w:r>
      <w:r w:rsidR="00A376A6" w:rsidRPr="00EB682A">
        <w:rPr>
          <w:rStyle w:val="IFTnormalCar"/>
        </w:rPr>
        <w:t>Lo</w:t>
      </w:r>
      <w:r w:rsidRPr="00EB682A">
        <w:rPr>
          <w:rStyle w:val="IFTnormalCar"/>
        </w:rPr>
        <w:t xml:space="preserve"> anterior en el entendido de que mediante el </w:t>
      </w:r>
      <w:r w:rsidR="001000F3" w:rsidRPr="00EB682A">
        <w:rPr>
          <w:rStyle w:val="IFTnormalCar"/>
        </w:rPr>
        <w:t>SRMLT</w:t>
      </w:r>
      <w:r w:rsidRPr="00EB682A">
        <w:rPr>
          <w:rStyle w:val="IFTnormalCar"/>
        </w:rPr>
        <w:t xml:space="preserve"> se </w:t>
      </w:r>
      <w:r w:rsidRPr="00EB682A">
        <w:t>hace uso de la red telefónica del AEP para la entrega de todas las llamadas telefónicas originadas por los usuarios finales del CS, sin que existan restricciones relativas a que el tráfico correspondiente se origina en una línea residencial o no residencial</w:t>
      </w:r>
      <w:r>
        <w:t>.</w:t>
      </w:r>
    </w:p>
    <w:p w14:paraId="44137AF3" w14:textId="77777777" w:rsidR="00302FA6" w:rsidRDefault="00302FA6" w:rsidP="004F36F7">
      <w:pPr>
        <w:pStyle w:val="IFTnormal"/>
        <w:spacing w:before="240"/>
        <w:rPr>
          <w:rStyle w:val="IFTnormalCar"/>
          <w:lang w:val="es-ES"/>
        </w:rPr>
      </w:pPr>
      <w:r>
        <w:rPr>
          <w:rStyle w:val="IFTnormalCar"/>
          <w:lang w:val="es-ES"/>
        </w:rPr>
        <w:t xml:space="preserve">En complemento a lo anterior, a través de la información presentada el AEP no aportó elementos a partir de los cuales se justifique </w:t>
      </w:r>
      <w:r w:rsidR="00A84D23">
        <w:rPr>
          <w:rStyle w:val="IFTnormalCar"/>
          <w:lang w:val="es-ES"/>
        </w:rPr>
        <w:t xml:space="preserve">la razón por la cual </w:t>
      </w:r>
      <w:r>
        <w:rPr>
          <w:rStyle w:val="IFTnormalCar"/>
          <w:lang w:val="es-ES"/>
        </w:rPr>
        <w:t>sería apropiado,</w:t>
      </w:r>
      <w:r w:rsidRPr="00816AA3">
        <w:rPr>
          <w:rStyle w:val="IFTnormalCar"/>
          <w:lang w:val="es-ES"/>
        </w:rPr>
        <w:t xml:space="preserve"> </w:t>
      </w:r>
      <w:r>
        <w:rPr>
          <w:rStyle w:val="IFTnormalCar"/>
          <w:lang w:val="es-ES"/>
        </w:rPr>
        <w:t xml:space="preserve">en términos de la metodología de costos evitados y de conformidad con el alcance y especificaciones del </w:t>
      </w:r>
      <w:r w:rsidR="001000F3">
        <w:rPr>
          <w:rStyle w:val="IFTnormalCar"/>
          <w:lang w:val="es-ES"/>
        </w:rPr>
        <w:t>SRMLT</w:t>
      </w:r>
      <w:r>
        <w:rPr>
          <w:rStyle w:val="IFTnormalCar"/>
          <w:lang w:val="es-ES"/>
        </w:rPr>
        <w:t xml:space="preserve">, considerar como costos evitados al </w:t>
      </w:r>
      <w:r w:rsidRPr="00816AA3">
        <w:rPr>
          <w:rStyle w:val="IFTnormalCar"/>
          <w:lang w:val="es-ES"/>
        </w:rPr>
        <w:t xml:space="preserve">promedio de los costos de los servicios minoristas que </w:t>
      </w:r>
      <w:r>
        <w:rPr>
          <w:rStyle w:val="IFTnormalCar"/>
          <w:lang w:val="es-ES"/>
        </w:rPr>
        <w:t>el AEP presta, ni además por</w:t>
      </w:r>
      <w:r w:rsidR="00A84D23">
        <w:rPr>
          <w:rStyle w:val="IFTnormalCar"/>
          <w:lang w:val="es-ES"/>
        </w:rPr>
        <w:t xml:space="preserve"> </w:t>
      </w:r>
      <w:r>
        <w:rPr>
          <w:rStyle w:val="IFTnormalCar"/>
          <w:lang w:val="es-ES"/>
        </w:rPr>
        <w:t xml:space="preserve">qué considera </w:t>
      </w:r>
      <w:r w:rsidR="00A376A6">
        <w:rPr>
          <w:rStyle w:val="IFTnormalCar"/>
          <w:lang w:val="es-ES"/>
        </w:rPr>
        <w:t xml:space="preserve">apropiado </w:t>
      </w:r>
      <w:r>
        <w:rPr>
          <w:rStyle w:val="IFTnormalCar"/>
          <w:lang w:val="es-ES"/>
        </w:rPr>
        <w:t xml:space="preserve">emplear </w:t>
      </w:r>
      <w:r w:rsidRPr="00816AA3">
        <w:rPr>
          <w:rStyle w:val="IFTnormalCar"/>
          <w:lang w:val="es-ES"/>
        </w:rPr>
        <w:t xml:space="preserve">dichos porcentajes </w:t>
      </w:r>
      <w:r>
        <w:rPr>
          <w:rStyle w:val="IFTnormalCar"/>
          <w:lang w:val="es-ES"/>
        </w:rPr>
        <w:t>sobre “</w:t>
      </w:r>
      <w:r w:rsidRPr="00DB6A9F">
        <w:rPr>
          <w:rStyle w:val="IFTnormalCar"/>
          <w:i/>
          <w:lang w:val="es-ES"/>
        </w:rPr>
        <w:t>ingresos de los servicios de telefonía fija, internet fijo y de los paquetes</w:t>
      </w:r>
      <w:r>
        <w:rPr>
          <w:rStyle w:val="IFTnormalCar"/>
          <w:lang w:val="es-ES"/>
        </w:rPr>
        <w:t xml:space="preserve">”. Esto bajo la premisa de que el </w:t>
      </w:r>
      <w:r w:rsidR="001000F3">
        <w:rPr>
          <w:rStyle w:val="IFTnormalCar"/>
          <w:lang w:val="es-ES"/>
        </w:rPr>
        <w:t>SRMLT</w:t>
      </w:r>
      <w:r>
        <w:rPr>
          <w:rStyle w:val="IFTnormalCar"/>
          <w:lang w:val="es-ES"/>
        </w:rPr>
        <w:t xml:space="preserve"> es un servicio donde el AEP </w:t>
      </w:r>
      <w:r w:rsidR="00CA08E4">
        <w:rPr>
          <w:rStyle w:val="IFTnormalCar"/>
          <w:lang w:val="es-ES"/>
        </w:rPr>
        <w:t>da acceso a la línea telefónica</w:t>
      </w:r>
      <w:r>
        <w:rPr>
          <w:rStyle w:val="IFTnormalCar"/>
          <w:lang w:val="es-ES"/>
        </w:rPr>
        <w:t xml:space="preserve"> y no aquel proveniente de servicios como </w:t>
      </w:r>
      <w:r w:rsidR="00A84D23">
        <w:rPr>
          <w:rStyle w:val="IFTnormalCar"/>
          <w:lang w:val="es-ES"/>
        </w:rPr>
        <w:t xml:space="preserve">voz </w:t>
      </w:r>
      <w:r w:rsidR="00A634DA">
        <w:rPr>
          <w:rStyle w:val="IFTnormalCar"/>
          <w:lang w:val="es-ES"/>
        </w:rPr>
        <w:t xml:space="preserve">e </w:t>
      </w:r>
      <w:r>
        <w:rPr>
          <w:rStyle w:val="IFTnormalCar"/>
          <w:lang w:val="es-ES"/>
        </w:rPr>
        <w:t>internet, en sus modalidades individual o empaquetadas.</w:t>
      </w:r>
      <w:r w:rsidR="00CA08E4">
        <w:rPr>
          <w:rStyle w:val="IFTnormalCar"/>
          <w:lang w:val="es-ES"/>
        </w:rPr>
        <w:t xml:space="preserve"> </w:t>
      </w:r>
      <w:r>
        <w:rPr>
          <w:rStyle w:val="IFTnormalCar"/>
          <w:lang w:val="es-ES"/>
        </w:rPr>
        <w:t>De hecho, el Instituto señala que de la información aportada resulta incierto c</w:t>
      </w:r>
      <w:r w:rsidR="00A376A6">
        <w:rPr>
          <w:rStyle w:val="IFTnormalCar"/>
          <w:lang w:val="es-ES"/>
        </w:rPr>
        <w:t>ó</w:t>
      </w:r>
      <w:r>
        <w:rPr>
          <w:rStyle w:val="IFTnormalCar"/>
          <w:lang w:val="es-ES"/>
        </w:rPr>
        <w:t xml:space="preserve">mo es que se </w:t>
      </w:r>
      <w:r w:rsidR="00E26621">
        <w:rPr>
          <w:rStyle w:val="IFTnormalCar"/>
        </w:rPr>
        <w:t xml:space="preserve">ha tomado en cuenta la </w:t>
      </w:r>
      <w:r w:rsidR="00E26621">
        <w:rPr>
          <w:rStyle w:val="IFTnormalCar"/>
        </w:rPr>
        <w:lastRenderedPageBreak/>
        <w:t>naturaleza y alcance del SRMLT dentro de la estimación que el AEP presenta para el cálculo de</w:t>
      </w:r>
      <w:r>
        <w:rPr>
          <w:rStyle w:val="IFTnormalCar"/>
          <w:lang w:val="es-ES"/>
        </w:rPr>
        <w:t xml:space="preserve"> los costos evitados </w:t>
      </w:r>
      <w:r w:rsidR="00E26621">
        <w:rPr>
          <w:rStyle w:val="IFTnormalCar"/>
          <w:lang w:val="es-ES"/>
        </w:rPr>
        <w:t>correspondientes</w:t>
      </w:r>
      <w:r w:rsidR="00CA08E4">
        <w:rPr>
          <w:rStyle w:val="IFTnormalCar"/>
          <w:lang w:val="es-ES"/>
        </w:rPr>
        <w:t>.</w:t>
      </w:r>
    </w:p>
    <w:p w14:paraId="3A6088A1" w14:textId="77777777" w:rsidR="00302FA6" w:rsidRDefault="00302FA6" w:rsidP="004F36F7">
      <w:pPr>
        <w:pStyle w:val="IFTnormal"/>
        <w:spacing w:before="240"/>
        <w:rPr>
          <w:rStyle w:val="IFTnormalCar"/>
          <w:lang w:val="es-ES"/>
        </w:rPr>
      </w:pPr>
      <w:r w:rsidRPr="00DB6A9F">
        <w:rPr>
          <w:rStyle w:val="IFTnormalCar"/>
          <w:lang w:val="es-ES"/>
        </w:rPr>
        <w:t>Sin perjuicio de</w:t>
      </w:r>
      <w:r w:rsidR="00297EC4">
        <w:rPr>
          <w:rStyle w:val="IFTnormalCar"/>
          <w:lang w:val="es-ES"/>
        </w:rPr>
        <w:t xml:space="preserve"> </w:t>
      </w:r>
      <w:r w:rsidRPr="00DB6A9F">
        <w:rPr>
          <w:rStyle w:val="IFTnormalCar"/>
          <w:lang w:val="es-ES"/>
        </w:rPr>
        <w:t>lo anterior, en lo referente a los elementos de cálculo realizados por</w:t>
      </w:r>
      <w:r>
        <w:rPr>
          <w:rStyle w:val="IFTnormalCar"/>
          <w:lang w:val="es-ES"/>
        </w:rPr>
        <w:t xml:space="preserve"> </w:t>
      </w:r>
      <w:r w:rsidRPr="00DB6A9F">
        <w:rPr>
          <w:rStyle w:val="IFTnormalCar"/>
          <w:lang w:val="es-ES"/>
        </w:rPr>
        <w:t xml:space="preserve">el </w:t>
      </w:r>
      <w:r>
        <w:rPr>
          <w:rStyle w:val="IFTnormalCar"/>
          <w:lang w:val="es-ES"/>
        </w:rPr>
        <w:t xml:space="preserve">AEP para el </w:t>
      </w:r>
      <w:r w:rsidRPr="00DB6A9F">
        <w:rPr>
          <w:rStyle w:val="IFTnormalCar"/>
          <w:lang w:val="es-ES"/>
        </w:rPr>
        <w:t xml:space="preserve">servicio en </w:t>
      </w:r>
      <w:r>
        <w:rPr>
          <w:rStyle w:val="IFTnormalCar"/>
          <w:lang w:val="es-ES"/>
        </w:rPr>
        <w:t xml:space="preserve">comento, </w:t>
      </w:r>
      <w:r w:rsidRPr="00DB6A9F">
        <w:rPr>
          <w:rStyle w:val="IFTnormalCar"/>
          <w:lang w:val="es-ES"/>
        </w:rPr>
        <w:t>el Instituto señala, con independencia del</w:t>
      </w:r>
      <w:r w:rsidRPr="00DB6A9F">
        <w:t xml:space="preserve"> </w:t>
      </w:r>
      <w:r>
        <w:rPr>
          <w:rStyle w:val="IFTnormalCar"/>
          <w:lang w:val="es-ES"/>
        </w:rPr>
        <w:t>enfoque de modela</w:t>
      </w:r>
      <w:r w:rsidRPr="00DB6A9F">
        <w:rPr>
          <w:rStyle w:val="IFTnormalCar"/>
          <w:lang w:val="es-ES"/>
        </w:rPr>
        <w:t xml:space="preserve">ción presentado, </w:t>
      </w:r>
      <w:r w:rsidR="00A376A6">
        <w:rPr>
          <w:rStyle w:val="IFTnormalCar"/>
          <w:lang w:val="es-ES"/>
        </w:rPr>
        <w:t xml:space="preserve">que </w:t>
      </w:r>
      <w:r w:rsidRPr="00DB6A9F">
        <w:rPr>
          <w:rStyle w:val="IFTnormalCar"/>
          <w:lang w:val="es-ES"/>
        </w:rPr>
        <w:t>los datos de costos carecen de sopo</w:t>
      </w:r>
      <w:r>
        <w:rPr>
          <w:rStyle w:val="IFTnormalCar"/>
          <w:lang w:val="es-ES"/>
        </w:rPr>
        <w:t xml:space="preserve">rte dado que no se reportan las </w:t>
      </w:r>
      <w:r w:rsidRPr="00DB6A9F">
        <w:rPr>
          <w:rStyle w:val="IFTnormalCar"/>
          <w:lang w:val="es-ES"/>
        </w:rPr>
        <w:t xml:space="preserve">fuentes de las cuales proceden </w:t>
      </w:r>
      <w:r w:rsidR="00A376A6">
        <w:rPr>
          <w:rStyle w:val="IFTnormalCar"/>
          <w:lang w:val="es-ES"/>
        </w:rPr>
        <w:t xml:space="preserve">ni </w:t>
      </w:r>
      <w:r w:rsidRPr="00DB6A9F">
        <w:rPr>
          <w:rStyle w:val="IFTnormalCar"/>
          <w:lang w:val="es-ES"/>
        </w:rPr>
        <w:t>evidencias</w:t>
      </w:r>
      <w:r w:rsidR="00A376A6">
        <w:rPr>
          <w:rStyle w:val="IFTnormalCar"/>
          <w:lang w:val="es-ES"/>
        </w:rPr>
        <w:t xml:space="preserve">. </w:t>
      </w:r>
      <w:r>
        <w:rPr>
          <w:rStyle w:val="IFTnormalCar"/>
          <w:lang w:val="es-ES"/>
        </w:rPr>
        <w:t xml:space="preserve"> </w:t>
      </w:r>
      <w:r w:rsidR="00A376A6">
        <w:rPr>
          <w:rStyle w:val="IFTnormalCar"/>
          <w:lang w:val="es-ES"/>
        </w:rPr>
        <w:t>P</w:t>
      </w:r>
      <w:r>
        <w:rPr>
          <w:rStyle w:val="IFTnormalCar"/>
          <w:lang w:val="es-ES"/>
        </w:rPr>
        <w:t xml:space="preserve">or ejemplo, se </w:t>
      </w:r>
      <w:r w:rsidR="00A634DA">
        <w:rPr>
          <w:rStyle w:val="IFTnormalCar"/>
          <w:lang w:val="es-ES"/>
        </w:rPr>
        <w:t xml:space="preserve">omite </w:t>
      </w:r>
      <w:r w:rsidR="00A376A6">
        <w:rPr>
          <w:rStyle w:val="IFTnormalCar"/>
          <w:lang w:val="es-ES"/>
        </w:rPr>
        <w:t xml:space="preserve">señalar </w:t>
      </w:r>
      <w:r>
        <w:rPr>
          <w:rStyle w:val="IFTnormalCar"/>
          <w:lang w:val="es-ES"/>
        </w:rPr>
        <w:t>cuáles son los elementos considerados en la estimación del “</w:t>
      </w:r>
      <w:r w:rsidRPr="00262A80">
        <w:rPr>
          <w:i/>
        </w:rPr>
        <w:t>promedio de los costos de los servicios minoristas que presta TELMEX</w:t>
      </w:r>
      <w:r>
        <w:rPr>
          <w:i/>
        </w:rPr>
        <w:t xml:space="preserve">” </w:t>
      </w:r>
      <w:r>
        <w:t xml:space="preserve">que se emplea para estimar el costo evitado por el </w:t>
      </w:r>
      <w:r w:rsidR="001000F3">
        <w:t>SRMLT</w:t>
      </w:r>
      <w:r w:rsidRPr="00DB6A9F">
        <w:rPr>
          <w:rStyle w:val="IFTnormalCar"/>
          <w:lang w:val="es-ES"/>
        </w:rPr>
        <w:t>.</w:t>
      </w:r>
    </w:p>
    <w:p w14:paraId="4BF03C0C" w14:textId="77777777" w:rsidR="002F634B" w:rsidRDefault="00302FA6" w:rsidP="004F36F7">
      <w:pPr>
        <w:pStyle w:val="IFTnormal"/>
        <w:spacing w:before="240"/>
        <w:rPr>
          <w:rStyle w:val="IFTnormalCar"/>
          <w:color w:val="000000" w:themeColor="text1"/>
          <w:lang w:val="es-ES"/>
        </w:rPr>
      </w:pPr>
      <w:r>
        <w:rPr>
          <w:rStyle w:val="IFTnormalCar"/>
          <w:lang w:val="es-ES"/>
        </w:rPr>
        <w:t xml:space="preserve">En este sentido, todo lo anterior </w:t>
      </w:r>
      <w:r w:rsidRPr="00DB6A9F">
        <w:rPr>
          <w:rStyle w:val="IFTnormalCar"/>
          <w:lang w:val="es-ES"/>
        </w:rPr>
        <w:t xml:space="preserve">constituye un </w:t>
      </w:r>
      <w:r>
        <w:rPr>
          <w:rStyle w:val="IFTnormalCar"/>
          <w:lang w:val="es-ES"/>
        </w:rPr>
        <w:t>impedimento para que el Instituto considere</w:t>
      </w:r>
      <w:r w:rsidRPr="00DB6A9F">
        <w:rPr>
          <w:rStyle w:val="IFTnormalCar"/>
          <w:lang w:val="es-ES"/>
        </w:rPr>
        <w:t xml:space="preserve"> los argumentos </w:t>
      </w:r>
      <w:r>
        <w:rPr>
          <w:rStyle w:val="IFTnormalCar"/>
          <w:lang w:val="es-ES"/>
        </w:rPr>
        <w:t>expuestos por el AEP para</w:t>
      </w:r>
      <w:r w:rsidRPr="00DB6A9F">
        <w:rPr>
          <w:rStyle w:val="IFTnormalCar"/>
          <w:lang w:val="es-ES"/>
        </w:rPr>
        <w:t xml:space="preserve"> la definición de una estructura tarifaria y los </w:t>
      </w:r>
      <w:r w:rsidRPr="002228C3">
        <w:rPr>
          <w:rStyle w:val="IFTnormalCar"/>
          <w:color w:val="000000" w:themeColor="text1"/>
          <w:lang w:val="es-ES"/>
        </w:rPr>
        <w:t>correspondientes niveles tarifarios correspondientes a la renta mensual del SRMLT</w:t>
      </w:r>
      <w:r w:rsidR="002F634B">
        <w:rPr>
          <w:rStyle w:val="IFTnormalCar"/>
          <w:color w:val="000000" w:themeColor="text1"/>
          <w:lang w:val="es-ES"/>
        </w:rPr>
        <w:t>.</w:t>
      </w:r>
    </w:p>
    <w:p w14:paraId="2B220840" w14:textId="663995B2" w:rsidR="001B17A3" w:rsidRDefault="00765891" w:rsidP="004F36F7">
      <w:pPr>
        <w:pStyle w:val="IFTnormal"/>
        <w:spacing w:before="240"/>
        <w:rPr>
          <w:rStyle w:val="IFTnormalCar"/>
          <w:color w:val="000000" w:themeColor="text1"/>
          <w:lang w:val="es-ES"/>
        </w:rPr>
      </w:pPr>
      <w:r>
        <w:rPr>
          <w:rStyle w:val="IFTnormalCar"/>
          <w:color w:val="000000" w:themeColor="text1"/>
          <w:lang w:val="es-ES"/>
        </w:rPr>
        <w:t>Sin perjuicio de lo anterior</w:t>
      </w:r>
      <w:r w:rsidR="002F634B">
        <w:rPr>
          <w:rStyle w:val="IFTnormalCar"/>
          <w:color w:val="000000" w:themeColor="text1"/>
          <w:lang w:val="es-ES"/>
        </w:rPr>
        <w:t>, el Instituto señala qu</w:t>
      </w:r>
      <w:r>
        <w:rPr>
          <w:rStyle w:val="IFTnormalCar"/>
          <w:color w:val="000000" w:themeColor="text1"/>
          <w:lang w:val="es-ES"/>
        </w:rPr>
        <w:t>e</w:t>
      </w:r>
      <w:r w:rsidR="001B17A3">
        <w:rPr>
          <w:rStyle w:val="IFTnormalCar"/>
          <w:color w:val="000000" w:themeColor="text1"/>
          <w:lang w:val="es-ES"/>
        </w:rPr>
        <w:t xml:space="preserve">, de conformidad con la Medida TERCERA de las Medidas de Desagregación, </w:t>
      </w:r>
      <w:r w:rsidR="00724DBC">
        <w:rPr>
          <w:rStyle w:val="IFTnormalCar"/>
          <w:color w:val="000000" w:themeColor="text1"/>
          <w:lang w:val="es-ES"/>
        </w:rPr>
        <w:t>servicio de reventa materia de la OREDA permite que los CS realicen la reventa de la línea asociada a la red pública de telecomunicaciones del AEP, como se aprecia a continuación:</w:t>
      </w:r>
    </w:p>
    <w:p w14:paraId="2458B434" w14:textId="77777777" w:rsidR="001B17A3" w:rsidRDefault="001B17A3" w:rsidP="004F36F7">
      <w:pPr>
        <w:pStyle w:val="CitaIFT0"/>
        <w:spacing w:before="240"/>
      </w:pPr>
      <w:r>
        <w:rPr>
          <w:b/>
        </w:rPr>
        <w:t>“TERCE</w:t>
      </w:r>
      <w:r>
        <w:rPr>
          <w:b/>
          <w:spacing w:val="-3"/>
        </w:rPr>
        <w:t>R</w:t>
      </w:r>
      <w:r>
        <w:rPr>
          <w:b/>
        </w:rPr>
        <w:t>A</w:t>
      </w:r>
      <w:r>
        <w:rPr>
          <w:b/>
          <w:spacing w:val="1"/>
        </w:rPr>
        <w:t>.</w:t>
      </w:r>
      <w:r>
        <w:rPr>
          <w:b/>
        </w:rPr>
        <w:t>-</w:t>
      </w:r>
      <w:r>
        <w:rPr>
          <w:b/>
          <w:spacing w:val="12"/>
        </w:rPr>
        <w:t xml:space="preserve"> </w:t>
      </w:r>
      <w:r>
        <w:rPr>
          <w:spacing w:val="-6"/>
        </w:rPr>
        <w:t>A</w:t>
      </w:r>
      <w:r>
        <w:t>demás</w:t>
      </w:r>
      <w:r>
        <w:rPr>
          <w:spacing w:val="12"/>
        </w:rPr>
        <w:t xml:space="preserve"> </w:t>
      </w:r>
      <w:r>
        <w:t>de</w:t>
      </w:r>
      <w:r>
        <w:rPr>
          <w:spacing w:val="12"/>
        </w:rPr>
        <w:t xml:space="preserve"> </w:t>
      </w:r>
      <w:r>
        <w:rPr>
          <w:spacing w:val="1"/>
        </w:rPr>
        <w:t>l</w:t>
      </w:r>
      <w:r>
        <w:t>as</w:t>
      </w:r>
      <w:r>
        <w:rPr>
          <w:spacing w:val="13"/>
        </w:rPr>
        <w:t xml:space="preserve"> </w:t>
      </w:r>
      <w:r>
        <w:t>de</w:t>
      </w:r>
      <w:r>
        <w:rPr>
          <w:spacing w:val="-2"/>
        </w:rPr>
        <w:t>f</w:t>
      </w:r>
      <w:r>
        <w:rPr>
          <w:spacing w:val="1"/>
        </w:rPr>
        <w:t>i</w:t>
      </w:r>
      <w:r>
        <w:rPr>
          <w:spacing w:val="-3"/>
        </w:rPr>
        <w:t>n</w:t>
      </w:r>
      <w:r>
        <w:rPr>
          <w:spacing w:val="1"/>
        </w:rPr>
        <w:t>i</w:t>
      </w:r>
      <w:r>
        <w:rPr>
          <w:spacing w:val="-2"/>
        </w:rPr>
        <w:t>c</w:t>
      </w:r>
      <w:r>
        <w:rPr>
          <w:spacing w:val="1"/>
        </w:rPr>
        <w:t>i</w:t>
      </w:r>
      <w:r>
        <w:t>o</w:t>
      </w:r>
      <w:r>
        <w:rPr>
          <w:spacing w:val="-4"/>
        </w:rPr>
        <w:t>n</w:t>
      </w:r>
      <w:r>
        <w:t>es</w:t>
      </w:r>
      <w:r>
        <w:rPr>
          <w:spacing w:val="13"/>
        </w:rPr>
        <w:t xml:space="preserve"> </w:t>
      </w:r>
      <w:r>
        <w:t>p</w:t>
      </w:r>
      <w:r>
        <w:rPr>
          <w:spacing w:val="-2"/>
        </w:rPr>
        <w:t>re</w:t>
      </w:r>
      <w:r>
        <w:rPr>
          <w:spacing w:val="2"/>
        </w:rPr>
        <w:t>v</w:t>
      </w:r>
      <w:r>
        <w:rPr>
          <w:spacing w:val="-1"/>
        </w:rPr>
        <w:t>i</w:t>
      </w:r>
      <w:r>
        <w:t>stas</w:t>
      </w:r>
      <w:r>
        <w:rPr>
          <w:spacing w:val="12"/>
        </w:rPr>
        <w:t xml:space="preserve"> </w:t>
      </w:r>
      <w:r>
        <w:t>en</w:t>
      </w:r>
      <w:r>
        <w:rPr>
          <w:spacing w:val="12"/>
        </w:rPr>
        <w:t xml:space="preserve"> </w:t>
      </w:r>
      <w:r>
        <w:rPr>
          <w:spacing w:val="-2"/>
        </w:rPr>
        <w:t>e</w:t>
      </w:r>
      <w:r>
        <w:t>l</w:t>
      </w:r>
      <w:r>
        <w:rPr>
          <w:spacing w:val="13"/>
        </w:rPr>
        <w:t xml:space="preserve"> </w:t>
      </w:r>
      <w:r>
        <w:t>art</w:t>
      </w:r>
      <w:r>
        <w:rPr>
          <w:spacing w:val="-2"/>
        </w:rPr>
        <w:t>í</w:t>
      </w:r>
      <w:r>
        <w:t>c</w:t>
      </w:r>
      <w:r>
        <w:rPr>
          <w:spacing w:val="-3"/>
        </w:rPr>
        <w:t>u</w:t>
      </w:r>
      <w:r>
        <w:rPr>
          <w:spacing w:val="1"/>
        </w:rPr>
        <w:t>l</w:t>
      </w:r>
      <w:r>
        <w:t>o</w:t>
      </w:r>
      <w:r>
        <w:rPr>
          <w:spacing w:val="9"/>
        </w:rPr>
        <w:t xml:space="preserve"> </w:t>
      </w:r>
      <w:r>
        <w:t>3</w:t>
      </w:r>
      <w:r>
        <w:rPr>
          <w:spacing w:val="12"/>
        </w:rPr>
        <w:t xml:space="preserve"> </w:t>
      </w:r>
      <w:r>
        <w:t>de</w:t>
      </w:r>
      <w:r>
        <w:rPr>
          <w:spacing w:val="12"/>
        </w:rPr>
        <w:t xml:space="preserve"> </w:t>
      </w:r>
      <w:r>
        <w:rPr>
          <w:spacing w:val="1"/>
        </w:rPr>
        <w:t>l</w:t>
      </w:r>
      <w:r>
        <w:t>a</w:t>
      </w:r>
      <w:r>
        <w:rPr>
          <w:spacing w:val="12"/>
        </w:rPr>
        <w:t xml:space="preserve"> </w:t>
      </w:r>
      <w:r>
        <w:t>Ley</w:t>
      </w:r>
      <w:r>
        <w:rPr>
          <w:spacing w:val="11"/>
        </w:rPr>
        <w:t xml:space="preserve"> </w:t>
      </w:r>
      <w:r>
        <w:t>Fed</w:t>
      </w:r>
      <w:r>
        <w:rPr>
          <w:spacing w:val="-2"/>
        </w:rPr>
        <w:t>e</w:t>
      </w:r>
      <w:r>
        <w:t>r</w:t>
      </w:r>
      <w:r>
        <w:rPr>
          <w:spacing w:val="-2"/>
        </w:rPr>
        <w:t>a</w:t>
      </w:r>
      <w:r>
        <w:t>l</w:t>
      </w:r>
      <w:r>
        <w:rPr>
          <w:spacing w:val="11"/>
        </w:rPr>
        <w:t xml:space="preserve"> </w:t>
      </w:r>
      <w:r>
        <w:t>de Te</w:t>
      </w:r>
      <w:r>
        <w:rPr>
          <w:spacing w:val="1"/>
        </w:rPr>
        <w:t>l</w:t>
      </w:r>
      <w:r>
        <w:rPr>
          <w:spacing w:val="-2"/>
        </w:rPr>
        <w:t>e</w:t>
      </w:r>
      <w:r>
        <w:t>co</w:t>
      </w:r>
      <w:r>
        <w:rPr>
          <w:spacing w:val="-2"/>
        </w:rPr>
        <w:t>m</w:t>
      </w:r>
      <w:r>
        <w:t>u</w:t>
      </w:r>
      <w:r>
        <w:rPr>
          <w:spacing w:val="-3"/>
        </w:rPr>
        <w:t>n</w:t>
      </w:r>
      <w:r>
        <w:rPr>
          <w:spacing w:val="-1"/>
        </w:rPr>
        <w:t>i</w:t>
      </w:r>
      <w:r>
        <w:t>c</w:t>
      </w:r>
      <w:r>
        <w:rPr>
          <w:spacing w:val="-2"/>
        </w:rPr>
        <w:t>ac</w:t>
      </w:r>
      <w:r>
        <w:rPr>
          <w:spacing w:val="1"/>
        </w:rPr>
        <w:t>i</w:t>
      </w:r>
      <w:r>
        <w:t>o</w:t>
      </w:r>
      <w:r>
        <w:rPr>
          <w:spacing w:val="-1"/>
        </w:rPr>
        <w:t>n</w:t>
      </w:r>
      <w:r>
        <w:t>es</w:t>
      </w:r>
      <w:r>
        <w:rPr>
          <w:spacing w:val="26"/>
        </w:rPr>
        <w:t xml:space="preserve"> </w:t>
      </w:r>
      <w:r>
        <w:t>y</w:t>
      </w:r>
      <w:r>
        <w:rPr>
          <w:spacing w:val="22"/>
        </w:rPr>
        <w:t xml:space="preserve"> </w:t>
      </w:r>
      <w:r>
        <w:t>Rad</w:t>
      </w:r>
      <w:r>
        <w:rPr>
          <w:spacing w:val="1"/>
        </w:rPr>
        <w:t>i</w:t>
      </w:r>
      <w:r>
        <w:t>o</w:t>
      </w:r>
      <w:r>
        <w:rPr>
          <w:spacing w:val="-4"/>
        </w:rPr>
        <w:t>d</w:t>
      </w:r>
      <w:r>
        <w:rPr>
          <w:spacing w:val="1"/>
        </w:rPr>
        <w:t>i</w:t>
      </w:r>
      <w:r>
        <w:t>f</w:t>
      </w:r>
      <w:r>
        <w:rPr>
          <w:spacing w:val="-2"/>
        </w:rPr>
        <w:t>u</w:t>
      </w:r>
      <w:r>
        <w:t>s</w:t>
      </w:r>
      <w:r>
        <w:rPr>
          <w:spacing w:val="1"/>
        </w:rPr>
        <w:t>i</w:t>
      </w:r>
      <w:r>
        <w:rPr>
          <w:spacing w:val="-4"/>
        </w:rPr>
        <w:t>ó</w:t>
      </w:r>
      <w:r>
        <w:t>n,</w:t>
      </w:r>
      <w:r>
        <w:rPr>
          <w:spacing w:val="23"/>
        </w:rPr>
        <w:t xml:space="preserve"> </w:t>
      </w:r>
      <w:r w:rsidRPr="001B17A3">
        <w:rPr>
          <w:b/>
          <w:u w:val="single"/>
        </w:rPr>
        <w:t>para</w:t>
      </w:r>
      <w:r w:rsidRPr="001B17A3">
        <w:rPr>
          <w:b/>
          <w:spacing w:val="25"/>
          <w:u w:val="single"/>
        </w:rPr>
        <w:t xml:space="preserve"> </w:t>
      </w:r>
      <w:r w:rsidRPr="001B17A3">
        <w:rPr>
          <w:b/>
          <w:spacing w:val="-2"/>
          <w:u w:val="single"/>
        </w:rPr>
        <w:t>e</w:t>
      </w:r>
      <w:r w:rsidRPr="001B17A3">
        <w:rPr>
          <w:b/>
          <w:u w:val="single"/>
        </w:rPr>
        <w:t>fect</w:t>
      </w:r>
      <w:r w:rsidRPr="001B17A3">
        <w:rPr>
          <w:b/>
          <w:spacing w:val="-4"/>
          <w:u w:val="single"/>
        </w:rPr>
        <w:t>o</w:t>
      </w:r>
      <w:r w:rsidRPr="001B17A3">
        <w:rPr>
          <w:b/>
          <w:u w:val="single"/>
        </w:rPr>
        <w:t>s</w:t>
      </w:r>
      <w:r w:rsidRPr="001B17A3">
        <w:rPr>
          <w:b/>
          <w:spacing w:val="25"/>
          <w:u w:val="single"/>
        </w:rPr>
        <w:t xml:space="preserve"> </w:t>
      </w:r>
      <w:r w:rsidRPr="001B17A3">
        <w:rPr>
          <w:b/>
          <w:u w:val="single"/>
        </w:rPr>
        <w:t>de</w:t>
      </w:r>
      <w:r w:rsidRPr="001B17A3">
        <w:rPr>
          <w:b/>
          <w:spacing w:val="25"/>
          <w:u w:val="single"/>
        </w:rPr>
        <w:t xml:space="preserve"> </w:t>
      </w:r>
      <w:r w:rsidRPr="001B17A3">
        <w:rPr>
          <w:b/>
          <w:spacing w:val="1"/>
          <w:u w:val="single"/>
        </w:rPr>
        <w:t>l</w:t>
      </w:r>
      <w:r w:rsidRPr="001B17A3">
        <w:rPr>
          <w:b/>
          <w:spacing w:val="-2"/>
          <w:u w:val="single"/>
        </w:rPr>
        <w:t>a</w:t>
      </w:r>
      <w:r w:rsidRPr="001B17A3">
        <w:rPr>
          <w:b/>
          <w:u w:val="single"/>
        </w:rPr>
        <w:t>s</w:t>
      </w:r>
      <w:r w:rsidRPr="001B17A3">
        <w:rPr>
          <w:b/>
          <w:spacing w:val="25"/>
          <w:u w:val="single"/>
        </w:rPr>
        <w:t xml:space="preserve"> </w:t>
      </w:r>
      <w:r w:rsidRPr="001B17A3">
        <w:rPr>
          <w:b/>
          <w:u w:val="single"/>
        </w:rPr>
        <w:t>p</w:t>
      </w:r>
      <w:r w:rsidRPr="001B17A3">
        <w:rPr>
          <w:b/>
          <w:spacing w:val="1"/>
          <w:u w:val="single"/>
        </w:rPr>
        <w:t>r</w:t>
      </w:r>
      <w:r w:rsidRPr="001B17A3">
        <w:rPr>
          <w:b/>
          <w:spacing w:val="-2"/>
          <w:u w:val="single"/>
        </w:rPr>
        <w:t>e</w:t>
      </w:r>
      <w:r w:rsidRPr="001B17A3">
        <w:rPr>
          <w:b/>
          <w:u w:val="single"/>
        </w:rPr>
        <w:t>sen</w:t>
      </w:r>
      <w:r w:rsidRPr="001B17A3">
        <w:rPr>
          <w:b/>
          <w:spacing w:val="-3"/>
          <w:u w:val="single"/>
        </w:rPr>
        <w:t>t</w:t>
      </w:r>
      <w:r w:rsidRPr="001B17A3">
        <w:rPr>
          <w:b/>
          <w:spacing w:val="-2"/>
          <w:u w:val="single"/>
        </w:rPr>
        <w:t>e</w:t>
      </w:r>
      <w:r w:rsidRPr="001B17A3">
        <w:rPr>
          <w:b/>
          <w:u w:val="single"/>
        </w:rPr>
        <w:t>s</w:t>
      </w:r>
      <w:r w:rsidRPr="001B17A3">
        <w:rPr>
          <w:b/>
          <w:spacing w:val="25"/>
          <w:u w:val="single"/>
        </w:rPr>
        <w:t xml:space="preserve"> </w:t>
      </w:r>
      <w:r w:rsidRPr="001B17A3">
        <w:rPr>
          <w:b/>
          <w:spacing w:val="-1"/>
          <w:u w:val="single"/>
        </w:rPr>
        <w:t>m</w:t>
      </w:r>
      <w:r w:rsidRPr="001B17A3">
        <w:rPr>
          <w:b/>
          <w:u w:val="single"/>
        </w:rPr>
        <w:t>ed</w:t>
      </w:r>
      <w:r w:rsidRPr="001B17A3">
        <w:rPr>
          <w:b/>
          <w:spacing w:val="1"/>
          <w:u w:val="single"/>
        </w:rPr>
        <w:t>i</w:t>
      </w:r>
      <w:r w:rsidRPr="001B17A3">
        <w:rPr>
          <w:b/>
          <w:spacing w:val="-3"/>
          <w:u w:val="single"/>
        </w:rPr>
        <w:t>d</w:t>
      </w:r>
      <w:r w:rsidRPr="001B17A3">
        <w:rPr>
          <w:b/>
          <w:u w:val="single"/>
        </w:rPr>
        <w:t>as,</w:t>
      </w:r>
      <w:r w:rsidRPr="001B17A3">
        <w:rPr>
          <w:b/>
          <w:spacing w:val="24"/>
          <w:u w:val="single"/>
        </w:rPr>
        <w:t xml:space="preserve"> </w:t>
      </w:r>
      <w:r w:rsidRPr="001B17A3">
        <w:rPr>
          <w:b/>
          <w:u w:val="single"/>
        </w:rPr>
        <w:t>se</w:t>
      </w:r>
      <w:r w:rsidRPr="001B17A3">
        <w:rPr>
          <w:b/>
          <w:spacing w:val="25"/>
          <w:u w:val="single"/>
        </w:rPr>
        <w:t xml:space="preserve"> </w:t>
      </w:r>
      <w:r w:rsidRPr="001B17A3">
        <w:rPr>
          <w:b/>
          <w:u w:val="single"/>
        </w:rPr>
        <w:t>ent</w:t>
      </w:r>
      <w:r w:rsidRPr="001B17A3">
        <w:rPr>
          <w:b/>
          <w:spacing w:val="-3"/>
          <w:u w:val="single"/>
        </w:rPr>
        <w:t>e</w:t>
      </w:r>
      <w:r w:rsidRPr="001B17A3">
        <w:rPr>
          <w:b/>
          <w:u w:val="single"/>
        </w:rPr>
        <w:t>n</w:t>
      </w:r>
      <w:r w:rsidRPr="001B17A3">
        <w:rPr>
          <w:b/>
          <w:spacing w:val="-3"/>
          <w:u w:val="single"/>
        </w:rPr>
        <w:t>d</w:t>
      </w:r>
      <w:r w:rsidRPr="001B17A3">
        <w:rPr>
          <w:b/>
          <w:u w:val="single"/>
        </w:rPr>
        <w:t>e</w:t>
      </w:r>
      <w:r w:rsidRPr="001B17A3">
        <w:rPr>
          <w:b/>
          <w:spacing w:val="1"/>
          <w:u w:val="single"/>
        </w:rPr>
        <w:t>r</w:t>
      </w:r>
      <w:r w:rsidRPr="001B17A3">
        <w:rPr>
          <w:b/>
          <w:u w:val="single"/>
        </w:rPr>
        <w:t>á por</w:t>
      </w:r>
      <w:r>
        <w:t>:</w:t>
      </w:r>
    </w:p>
    <w:p w14:paraId="6E38F4CA" w14:textId="0CEDDAC5" w:rsidR="001B17A3" w:rsidRDefault="001B17A3" w:rsidP="004F36F7">
      <w:pPr>
        <w:pStyle w:val="CitaIFT0"/>
        <w:spacing w:before="240"/>
      </w:pPr>
      <w:r>
        <w:t>[…]</w:t>
      </w:r>
    </w:p>
    <w:p w14:paraId="1BEE66A0" w14:textId="2AE467F1" w:rsidR="001B17A3" w:rsidRPr="001B17A3" w:rsidRDefault="001B17A3" w:rsidP="004F36F7">
      <w:pPr>
        <w:pStyle w:val="CitaIFT0"/>
        <w:spacing w:before="240"/>
        <w:rPr>
          <w:lang w:val="es-ES"/>
        </w:rPr>
      </w:pPr>
      <w:r w:rsidRPr="001B17A3">
        <w:rPr>
          <w:b/>
          <w:lang w:val="es-ES"/>
        </w:rPr>
        <w:t>14)</w:t>
      </w:r>
      <w:r w:rsidRPr="001B17A3">
        <w:rPr>
          <w:lang w:val="es-ES"/>
        </w:rPr>
        <w:tab/>
      </w:r>
      <w:r w:rsidRPr="001B17A3">
        <w:rPr>
          <w:b/>
          <w:lang w:val="es-ES"/>
        </w:rPr>
        <w:t>Servicio de Reventa:</w:t>
      </w:r>
      <w:r w:rsidRPr="001B17A3">
        <w:rPr>
          <w:lang w:val="es-ES"/>
        </w:rPr>
        <w:t xml:space="preserve"> </w:t>
      </w:r>
      <w:r w:rsidRPr="001B17A3">
        <w:rPr>
          <w:b/>
          <w:u w:val="single"/>
          <w:lang w:val="es-ES"/>
        </w:rPr>
        <w:t xml:space="preserve">Mediante este servicio se permite que el Concesionario Solicitante o Autorizado Solicitante realice la reventa </w:t>
      </w:r>
      <w:r w:rsidRPr="00B773BA">
        <w:rPr>
          <w:u w:val="single"/>
          <w:lang w:val="es-ES"/>
        </w:rPr>
        <w:t>o comercialización</w:t>
      </w:r>
      <w:r w:rsidRPr="001B17A3">
        <w:rPr>
          <w:b/>
          <w:u w:val="single"/>
          <w:lang w:val="es-ES"/>
        </w:rPr>
        <w:t xml:space="preserve"> de la línea</w:t>
      </w:r>
      <w:r w:rsidRPr="001B17A3">
        <w:rPr>
          <w:lang w:val="es-ES"/>
        </w:rPr>
        <w:t xml:space="preserve">, acceso a Internet o cualquier otro servicio </w:t>
      </w:r>
      <w:r w:rsidRPr="001B17A3">
        <w:rPr>
          <w:b/>
          <w:u w:val="single"/>
          <w:lang w:val="es-ES"/>
        </w:rPr>
        <w:t>de la Red pública de telecomunicaciones del Agente Económico Preponderante</w:t>
      </w:r>
      <w:r w:rsidRPr="001B17A3">
        <w:rPr>
          <w:lang w:val="es-ES"/>
        </w:rPr>
        <w:t>;</w:t>
      </w:r>
    </w:p>
    <w:p w14:paraId="1160E40E" w14:textId="2FA85EAE" w:rsidR="001B17A3" w:rsidRDefault="001B17A3" w:rsidP="004F36F7">
      <w:pPr>
        <w:pStyle w:val="CitaIFT0"/>
        <w:spacing w:before="240"/>
      </w:pPr>
      <w:r>
        <w:t>[…]”</w:t>
      </w:r>
    </w:p>
    <w:p w14:paraId="694506AF" w14:textId="3D50330B" w:rsidR="001B17A3" w:rsidRDefault="001B17A3" w:rsidP="004F36F7">
      <w:pPr>
        <w:pStyle w:val="CitaIFT0"/>
        <w:spacing w:before="240"/>
        <w:jc w:val="right"/>
      </w:pPr>
      <w:r>
        <w:t>(Énfasis añadido)</w:t>
      </w:r>
    </w:p>
    <w:p w14:paraId="0BC01FCF" w14:textId="6DAC43F7" w:rsidR="00346CA8" w:rsidRDefault="00724DBC" w:rsidP="004F36F7">
      <w:pPr>
        <w:pStyle w:val="IFTnormal"/>
        <w:spacing w:before="240"/>
        <w:rPr>
          <w:rStyle w:val="IFTnormalCar"/>
          <w:color w:val="000000" w:themeColor="text1"/>
          <w:lang w:val="es-ES"/>
        </w:rPr>
      </w:pPr>
      <w:r>
        <w:rPr>
          <w:rStyle w:val="IFTnormalCar"/>
          <w:color w:val="000000" w:themeColor="text1"/>
          <w:lang w:val="es-ES"/>
        </w:rPr>
        <w:t xml:space="preserve">En este sentido, el </w:t>
      </w:r>
      <w:r w:rsidRPr="002228C3">
        <w:rPr>
          <w:rStyle w:val="IFTnormalCar"/>
          <w:color w:val="000000" w:themeColor="text1"/>
          <w:lang w:val="es-ES"/>
        </w:rPr>
        <w:t>SRMLT</w:t>
      </w:r>
      <w:r>
        <w:rPr>
          <w:rStyle w:val="IFTnormalCar"/>
          <w:color w:val="000000" w:themeColor="text1"/>
          <w:lang w:val="es-ES"/>
        </w:rPr>
        <w:t xml:space="preserve"> debe entenderse como un servicio relativo al acceso a la línea telefónica</w:t>
      </w:r>
      <w:r w:rsidR="00E43683">
        <w:rPr>
          <w:rStyle w:val="IFTnormalCar"/>
          <w:color w:val="000000" w:themeColor="text1"/>
          <w:lang w:val="es-ES"/>
        </w:rPr>
        <w:t xml:space="preserve">, sin </w:t>
      </w:r>
      <w:r w:rsidR="0031398C">
        <w:rPr>
          <w:rStyle w:val="IFTnormalCar"/>
          <w:color w:val="000000" w:themeColor="text1"/>
          <w:lang w:val="es-ES"/>
        </w:rPr>
        <w:t>incluir</w:t>
      </w:r>
      <w:r w:rsidR="00E43683">
        <w:rPr>
          <w:rStyle w:val="IFTnormalCar"/>
          <w:color w:val="000000" w:themeColor="text1"/>
          <w:lang w:val="es-ES"/>
        </w:rPr>
        <w:t xml:space="preserve"> como parte del servicio </w:t>
      </w:r>
      <w:r w:rsidR="00A42396">
        <w:rPr>
          <w:rStyle w:val="IFTnormalCar"/>
          <w:color w:val="000000" w:themeColor="text1"/>
          <w:lang w:val="es-ES"/>
        </w:rPr>
        <w:t xml:space="preserve">el </w:t>
      </w:r>
      <w:r w:rsidR="00E43683">
        <w:rPr>
          <w:rStyle w:val="IFTnormalCar"/>
          <w:color w:val="000000" w:themeColor="text1"/>
          <w:lang w:val="es-ES"/>
        </w:rPr>
        <w:t>componente de tráfico de voz</w:t>
      </w:r>
      <w:r>
        <w:rPr>
          <w:rStyle w:val="IFTnormalCar"/>
          <w:color w:val="000000" w:themeColor="text1"/>
          <w:lang w:val="es-ES"/>
        </w:rPr>
        <w:t>.</w:t>
      </w:r>
    </w:p>
    <w:p w14:paraId="16C00F12" w14:textId="00E58CCA" w:rsidR="00765891" w:rsidRDefault="00346CA8" w:rsidP="004F36F7">
      <w:pPr>
        <w:pStyle w:val="IFTnormal"/>
        <w:spacing w:before="240"/>
      </w:pPr>
      <w:r>
        <w:rPr>
          <w:rStyle w:val="IFTnormalCar"/>
          <w:color w:val="000000" w:themeColor="text1"/>
          <w:lang w:val="es-ES"/>
        </w:rPr>
        <w:t>A mayor abundamiento</w:t>
      </w:r>
      <w:r w:rsidR="00765891">
        <w:rPr>
          <w:rStyle w:val="IFTnormalCar"/>
          <w:color w:val="000000" w:themeColor="text1"/>
          <w:lang w:val="es-ES"/>
        </w:rPr>
        <w:t xml:space="preserve">, </w:t>
      </w:r>
      <w:r w:rsidR="002F634B">
        <w:rPr>
          <w:rStyle w:val="IFTnormalCar"/>
          <w:color w:val="000000" w:themeColor="text1"/>
          <w:lang w:val="es-ES"/>
        </w:rPr>
        <w:t xml:space="preserve">tal como se encuentra plasmado </w:t>
      </w:r>
      <w:r w:rsidR="0031398C">
        <w:rPr>
          <w:rStyle w:val="IFTnormalCar"/>
          <w:color w:val="000000" w:themeColor="text1"/>
          <w:lang w:val="es-ES"/>
        </w:rPr>
        <w:t xml:space="preserve">en </w:t>
      </w:r>
      <w:r w:rsidR="002F634B">
        <w:rPr>
          <w:rStyle w:val="IFTnormalCar"/>
          <w:color w:val="000000" w:themeColor="text1"/>
          <w:lang w:val="es-ES"/>
        </w:rPr>
        <w:t xml:space="preserve">el </w:t>
      </w:r>
      <w:r w:rsidR="00692BE9">
        <w:rPr>
          <w:rStyle w:val="IFTnormalCar"/>
          <w:color w:val="000000" w:themeColor="text1"/>
          <w:lang w:val="es-ES"/>
        </w:rPr>
        <w:t>numeral</w:t>
      </w:r>
      <w:r w:rsidR="002F634B">
        <w:rPr>
          <w:rStyle w:val="IFTnormalCar"/>
        </w:rPr>
        <w:t xml:space="preserve"> “</w:t>
      </w:r>
      <w:r w:rsidR="002F634B" w:rsidRPr="00963B29">
        <w:rPr>
          <w:rStyle w:val="IFTnormalCar"/>
          <w:i/>
        </w:rPr>
        <w:t>1. DESCRIPCIÓN GENERAL</w:t>
      </w:r>
      <w:r w:rsidR="002F634B">
        <w:rPr>
          <w:rStyle w:val="IFTnormalCar"/>
        </w:rPr>
        <w:t xml:space="preserve">” del Anexo 1 de la Resolución </w:t>
      </w:r>
      <w:r w:rsidR="002F634B">
        <w:t xml:space="preserve">SRMLT, a través de </w:t>
      </w:r>
      <w:r w:rsidR="0031398C">
        <w:t>e</w:t>
      </w:r>
      <w:r w:rsidR="002F634B">
        <w:t xml:space="preserve">ste servicio se </w:t>
      </w:r>
      <w:r w:rsidR="002F634B" w:rsidRPr="002F634B">
        <w:rPr>
          <w:u w:val="single"/>
        </w:rPr>
        <w:t xml:space="preserve">hace uso de la red telefónica del AEP para la entrega de las llamadas telefónicas originadas por los usuarios finales del </w:t>
      </w:r>
      <w:r w:rsidR="002F634B">
        <w:rPr>
          <w:u w:val="single"/>
        </w:rPr>
        <w:t>CS</w:t>
      </w:r>
      <w:r w:rsidR="002F634B" w:rsidRPr="00B408CC">
        <w:t>, hasta el punto de entrega con la red del CS</w:t>
      </w:r>
      <w:r w:rsidR="00765891">
        <w:t>.</w:t>
      </w:r>
      <w:r w:rsidR="004A1AC1">
        <w:t xml:space="preserve"> </w:t>
      </w:r>
      <w:r w:rsidR="0031398C">
        <w:t>Es decir</w:t>
      </w:r>
      <w:r w:rsidR="00765891">
        <w:t>, dicho</w:t>
      </w:r>
      <w:r w:rsidR="00765891" w:rsidRPr="00171F82">
        <w:t xml:space="preserve"> servicio mayorista</w:t>
      </w:r>
      <w:r w:rsidR="00765891">
        <w:t xml:space="preserve"> permite al CS facturar a su</w:t>
      </w:r>
      <w:r w:rsidR="00765891" w:rsidRPr="00171F82">
        <w:t xml:space="preserve">s </w:t>
      </w:r>
      <w:r w:rsidR="00765891">
        <w:t>usuarios finales</w:t>
      </w:r>
      <w:r w:rsidR="00765891" w:rsidRPr="00171F82">
        <w:t xml:space="preserve"> el servicio de </w:t>
      </w:r>
      <w:r w:rsidR="00765891" w:rsidRPr="00171F82">
        <w:lastRenderedPageBreak/>
        <w:t>acceso a la red pública tele</w:t>
      </w:r>
      <w:r w:rsidR="00765891">
        <w:t xml:space="preserve">fónica fija del AEP, </w:t>
      </w:r>
      <w:r w:rsidR="00C937FF">
        <w:t xml:space="preserve">para lo cual se debe realizar técnicamente una interconexión que permite </w:t>
      </w:r>
      <w:r w:rsidR="0031398C">
        <w:t xml:space="preserve">la entrega </w:t>
      </w:r>
      <w:r w:rsidR="00C937FF" w:rsidRPr="00171F82">
        <w:t xml:space="preserve">del </w:t>
      </w:r>
      <w:r w:rsidR="00C937FF">
        <w:t xml:space="preserve">correspondiente </w:t>
      </w:r>
      <w:r w:rsidR="00C937FF" w:rsidRPr="00171F82">
        <w:t>tráfico de voz originado en la red del AEP a la del CS</w:t>
      </w:r>
      <w:r w:rsidR="00765891" w:rsidRPr="00171F82">
        <w:t>.</w:t>
      </w:r>
    </w:p>
    <w:p w14:paraId="1452CFAB" w14:textId="34E7684F" w:rsidR="004A1AC1" w:rsidRDefault="004A1AC1" w:rsidP="004F36F7">
      <w:pPr>
        <w:pStyle w:val="IFTnormal"/>
        <w:spacing w:before="240"/>
        <w:rPr>
          <w:rStyle w:val="IFTnormalCar"/>
          <w:color w:val="000000" w:themeColor="text1"/>
          <w:lang w:val="es-ES"/>
        </w:rPr>
      </w:pPr>
      <w:r>
        <w:t xml:space="preserve">En este sentido, el SRMLT </w:t>
      </w:r>
      <w:r w:rsidR="0031398C">
        <w:t xml:space="preserve">se trata de </w:t>
      </w:r>
      <w:r>
        <w:t xml:space="preserve">un servicio </w:t>
      </w:r>
      <w:r w:rsidR="00B85AF6">
        <w:t xml:space="preserve">mayorista </w:t>
      </w:r>
      <w:r>
        <w:t>a través d</w:t>
      </w:r>
      <w:r w:rsidRPr="00866800">
        <w:rPr>
          <w:color w:val="000000" w:themeColor="text1"/>
        </w:rPr>
        <w:t xml:space="preserve">el </w:t>
      </w:r>
      <w:r>
        <w:rPr>
          <w:color w:val="000000" w:themeColor="text1"/>
        </w:rPr>
        <w:t xml:space="preserve">cual se permite </w:t>
      </w:r>
      <w:r w:rsidR="00B85AF6">
        <w:rPr>
          <w:color w:val="000000" w:themeColor="text1"/>
        </w:rPr>
        <w:t xml:space="preserve">a los usuarios finales del CS </w:t>
      </w:r>
      <w:r w:rsidR="00B85AF6">
        <w:t>el acceso a</w:t>
      </w:r>
      <w:r w:rsidR="00B85AF6" w:rsidRPr="00171F82">
        <w:t xml:space="preserve"> la red pública telefónica fija del AEP</w:t>
      </w:r>
      <w:r w:rsidR="00B85AF6">
        <w:t xml:space="preserve">, que se emplea en conjunto con un servicio de originación para </w:t>
      </w:r>
      <w:r w:rsidR="0042342F">
        <w:rPr>
          <w:u w:val="single"/>
        </w:rPr>
        <w:t>posibilitar</w:t>
      </w:r>
      <w:r w:rsidR="00B85AF6" w:rsidRPr="002F634B">
        <w:rPr>
          <w:u w:val="single"/>
        </w:rPr>
        <w:t xml:space="preserve"> la entrega de todas las llamadas telefónicas </w:t>
      </w:r>
      <w:r w:rsidR="00B85AF6">
        <w:rPr>
          <w:u w:val="single"/>
        </w:rPr>
        <w:t>de</w:t>
      </w:r>
      <w:r w:rsidR="00B85AF6" w:rsidRPr="002F634B">
        <w:rPr>
          <w:u w:val="single"/>
        </w:rPr>
        <w:t xml:space="preserve"> los usuarios finales del </w:t>
      </w:r>
      <w:r w:rsidR="00B85AF6">
        <w:rPr>
          <w:u w:val="single"/>
        </w:rPr>
        <w:t>CS</w:t>
      </w:r>
      <w:r w:rsidR="00B85AF6">
        <w:t xml:space="preserve"> </w:t>
      </w:r>
      <w:r w:rsidR="00B85AF6" w:rsidRPr="00B408CC">
        <w:t xml:space="preserve">hasta el punto de entrega con la red </w:t>
      </w:r>
      <w:r w:rsidR="0031398C">
        <w:t>de e</w:t>
      </w:r>
      <w:r w:rsidR="00B85AF6">
        <w:t xml:space="preserve">ste </w:t>
      </w:r>
      <w:r w:rsidR="0031398C">
        <w:t>último</w:t>
      </w:r>
      <w:r w:rsidR="00B85AF6">
        <w:t>.</w:t>
      </w:r>
    </w:p>
    <w:p w14:paraId="5196C3C9" w14:textId="6C0A1D34" w:rsidR="002F634B" w:rsidRDefault="00180C65" w:rsidP="004F36F7">
      <w:pPr>
        <w:pStyle w:val="IFTnormal"/>
        <w:spacing w:before="240"/>
        <w:rPr>
          <w:rStyle w:val="IFTnormalCar"/>
          <w:color w:val="000000" w:themeColor="text1"/>
          <w:lang w:val="es-ES"/>
        </w:rPr>
      </w:pPr>
      <w:r>
        <w:rPr>
          <w:rStyle w:val="IFTnormalCar"/>
          <w:color w:val="000000" w:themeColor="text1"/>
          <w:lang w:val="es-ES"/>
        </w:rPr>
        <w:t>Lo anterior, se alinea con lo dispuesto en la Medida ÚNDÉCIMA de las Medidas de Desagregación, que a la letra indica lo siguiente:</w:t>
      </w:r>
    </w:p>
    <w:p w14:paraId="453534E2" w14:textId="77777777" w:rsidR="00C937FF" w:rsidRPr="002F634B" w:rsidRDefault="00C937FF" w:rsidP="004F36F7">
      <w:pPr>
        <w:pStyle w:val="CitaIFT0"/>
        <w:spacing w:before="240"/>
        <w:rPr>
          <w:rStyle w:val="IFTnormalCar"/>
          <w:rFonts w:cs="Arial"/>
          <w:bCs/>
          <w:sz w:val="18"/>
          <w:szCs w:val="18"/>
          <w:lang w:eastAsia="es-ES"/>
        </w:rPr>
      </w:pPr>
      <w:r w:rsidRPr="002F634B">
        <w:rPr>
          <w:rStyle w:val="IFTnormalCar"/>
          <w:rFonts w:cs="Arial"/>
          <w:bCs/>
          <w:sz w:val="18"/>
          <w:szCs w:val="18"/>
          <w:lang w:eastAsia="es-ES"/>
        </w:rPr>
        <w:t>“</w:t>
      </w:r>
      <w:r w:rsidRPr="002F634B">
        <w:rPr>
          <w:rStyle w:val="IFTnormalCar"/>
          <w:rFonts w:cs="Arial"/>
          <w:b/>
          <w:bCs/>
          <w:sz w:val="18"/>
          <w:szCs w:val="18"/>
          <w:lang w:eastAsia="es-ES"/>
        </w:rPr>
        <w:t>UNDÉCIMA</w:t>
      </w:r>
      <w:r w:rsidRPr="002F634B">
        <w:rPr>
          <w:rStyle w:val="IFTnormalCar"/>
          <w:rFonts w:cs="Arial"/>
          <w:bCs/>
          <w:sz w:val="18"/>
          <w:szCs w:val="18"/>
          <w:lang w:eastAsia="es-ES"/>
        </w:rPr>
        <w:t xml:space="preserve">.- </w:t>
      </w:r>
      <w:r w:rsidRPr="002F634B">
        <w:rPr>
          <w:rStyle w:val="IFTnormalCar"/>
          <w:rFonts w:cs="Arial"/>
          <w:b/>
          <w:bCs/>
          <w:sz w:val="18"/>
          <w:szCs w:val="18"/>
          <w:u w:val="single"/>
          <w:lang w:eastAsia="es-ES"/>
        </w:rPr>
        <w:t>Tratándose</w:t>
      </w:r>
      <w:r w:rsidRPr="002F634B">
        <w:rPr>
          <w:rStyle w:val="IFTnormalCar"/>
          <w:rFonts w:cs="Arial"/>
          <w:bCs/>
          <w:sz w:val="18"/>
          <w:szCs w:val="18"/>
          <w:lang w:eastAsia="es-ES"/>
        </w:rPr>
        <w:t xml:space="preserve"> del Servicio de Acceso Indirecto al Bucle Local y</w:t>
      </w:r>
      <w:r w:rsidRPr="002F634B">
        <w:rPr>
          <w:rStyle w:val="IFTnormalCar"/>
          <w:rFonts w:cs="Arial"/>
          <w:b/>
          <w:bCs/>
          <w:sz w:val="18"/>
          <w:szCs w:val="18"/>
          <w:u w:val="single"/>
          <w:lang w:eastAsia="es-ES"/>
        </w:rPr>
        <w:t xml:space="preserve"> del Servicio de Reventa, el Agente Económico Preponderante deberá proporcionar al Concesionario Solicitante, la información respecto a los Puntos de Interconexión, y ponerlos a su disposición, así como de la interfaz y protocolo con los que se podrá acceder a todos los usuarios a los que presten sus servicios.</w:t>
      </w:r>
    </w:p>
    <w:p w14:paraId="253A9A4B" w14:textId="77777777" w:rsidR="00C937FF" w:rsidRPr="002F634B" w:rsidRDefault="00C937FF" w:rsidP="004F36F7">
      <w:pPr>
        <w:pStyle w:val="CitaIFT0"/>
        <w:spacing w:before="240"/>
        <w:rPr>
          <w:rStyle w:val="IFTnormalCar"/>
          <w:rFonts w:cs="Arial"/>
          <w:bCs/>
          <w:sz w:val="18"/>
          <w:szCs w:val="18"/>
          <w:lang w:eastAsia="es-ES"/>
        </w:rPr>
      </w:pPr>
      <w:r>
        <w:rPr>
          <w:rStyle w:val="IFTnormalCar"/>
          <w:rFonts w:cs="Arial"/>
          <w:bCs/>
          <w:sz w:val="18"/>
          <w:szCs w:val="18"/>
          <w:lang w:eastAsia="es-ES"/>
        </w:rPr>
        <w:t>[…]</w:t>
      </w:r>
    </w:p>
    <w:p w14:paraId="1844D9C5" w14:textId="4723FECD" w:rsidR="002F634B" w:rsidRPr="002F634B" w:rsidRDefault="002F634B" w:rsidP="004F36F7">
      <w:pPr>
        <w:pStyle w:val="CitaIFT0"/>
        <w:spacing w:before="240"/>
        <w:rPr>
          <w:rStyle w:val="IFTnormalCar"/>
          <w:rFonts w:cs="Arial"/>
          <w:bCs/>
          <w:sz w:val="18"/>
          <w:szCs w:val="18"/>
          <w:lang w:eastAsia="es-ES"/>
        </w:rPr>
      </w:pPr>
      <w:r w:rsidRPr="002F634B">
        <w:rPr>
          <w:rStyle w:val="IFTnormalCar"/>
          <w:rFonts w:cs="Arial"/>
          <w:b/>
          <w:bCs/>
          <w:sz w:val="18"/>
          <w:szCs w:val="18"/>
          <w:u w:val="single"/>
          <w:lang w:eastAsia="es-ES"/>
        </w:rPr>
        <w:t>En caso de que un Concesionario Solicitante cuente con interconexión para el intercambio de Tráfico público conmutado, en aquellas centrales telefónicas o instalaciones equivalentes que ofrecen el</w:t>
      </w:r>
      <w:r w:rsidRPr="002F634B">
        <w:rPr>
          <w:rStyle w:val="IFTnormalCar"/>
          <w:rFonts w:cs="Arial"/>
          <w:bCs/>
          <w:sz w:val="18"/>
          <w:szCs w:val="18"/>
          <w:lang w:eastAsia="es-ES"/>
        </w:rPr>
        <w:t xml:space="preserve"> Servicio de Acceso Indirecto al Bucle Local o del </w:t>
      </w:r>
      <w:r w:rsidRPr="002F634B">
        <w:rPr>
          <w:rStyle w:val="IFTnormalCar"/>
          <w:rFonts w:cs="Arial"/>
          <w:b/>
          <w:bCs/>
          <w:sz w:val="18"/>
          <w:szCs w:val="18"/>
          <w:u w:val="single"/>
          <w:lang w:eastAsia="es-ES"/>
        </w:rPr>
        <w:t>Servicio de Reventa, el Agente Económico Preponderante, deberá permitir la reutilización de la infraestructura arrendada por el Concesionario Solicitante para la provisión de ambos servicios.</w:t>
      </w:r>
    </w:p>
    <w:p w14:paraId="3807833D" w14:textId="71647B15" w:rsidR="0042342F" w:rsidRPr="00DD6DB6" w:rsidRDefault="0042342F" w:rsidP="004F36F7">
      <w:pPr>
        <w:pStyle w:val="CitaIFT0"/>
        <w:spacing w:before="240"/>
        <w:rPr>
          <w:rStyle w:val="IFTnormalCar"/>
          <w:rFonts w:cs="Arial"/>
          <w:bCs/>
          <w:sz w:val="18"/>
          <w:szCs w:val="18"/>
          <w:lang w:eastAsia="es-ES"/>
        </w:rPr>
      </w:pPr>
      <w:r w:rsidRPr="0042342F">
        <w:rPr>
          <w:b/>
          <w:spacing w:val="-1"/>
          <w:u w:val="single"/>
        </w:rPr>
        <w:t>E</w:t>
      </w:r>
      <w:r w:rsidRPr="0042342F">
        <w:rPr>
          <w:b/>
          <w:u w:val="single"/>
        </w:rPr>
        <w:t>l</w:t>
      </w:r>
      <w:r w:rsidRPr="0042342F">
        <w:rPr>
          <w:b/>
          <w:spacing w:val="30"/>
          <w:u w:val="single"/>
        </w:rPr>
        <w:t xml:space="preserve"> </w:t>
      </w:r>
      <w:r w:rsidRPr="0042342F">
        <w:rPr>
          <w:b/>
          <w:spacing w:val="-6"/>
          <w:u w:val="single"/>
        </w:rPr>
        <w:t>A</w:t>
      </w:r>
      <w:r w:rsidRPr="0042342F">
        <w:rPr>
          <w:b/>
          <w:u w:val="single"/>
        </w:rPr>
        <w:t>gen</w:t>
      </w:r>
      <w:r w:rsidRPr="0042342F">
        <w:rPr>
          <w:b/>
          <w:spacing w:val="-1"/>
          <w:u w:val="single"/>
        </w:rPr>
        <w:t>t</w:t>
      </w:r>
      <w:r w:rsidRPr="0042342F">
        <w:rPr>
          <w:b/>
          <w:u w:val="single"/>
        </w:rPr>
        <w:t>e</w:t>
      </w:r>
      <w:r w:rsidRPr="0042342F">
        <w:rPr>
          <w:b/>
          <w:spacing w:val="30"/>
          <w:u w:val="single"/>
        </w:rPr>
        <w:t xml:space="preserve"> </w:t>
      </w:r>
      <w:r w:rsidRPr="0042342F">
        <w:rPr>
          <w:b/>
          <w:spacing w:val="-1"/>
          <w:u w:val="single"/>
        </w:rPr>
        <w:t>E</w:t>
      </w:r>
      <w:r w:rsidRPr="0042342F">
        <w:rPr>
          <w:b/>
          <w:u w:val="single"/>
        </w:rPr>
        <w:t>co</w:t>
      </w:r>
      <w:r w:rsidRPr="0042342F">
        <w:rPr>
          <w:b/>
          <w:spacing w:val="-1"/>
          <w:u w:val="single"/>
        </w:rPr>
        <w:t>n</w:t>
      </w:r>
      <w:r w:rsidRPr="0042342F">
        <w:rPr>
          <w:b/>
          <w:u w:val="single"/>
        </w:rPr>
        <w:t>ó</w:t>
      </w:r>
      <w:r w:rsidRPr="0042342F">
        <w:rPr>
          <w:b/>
          <w:spacing w:val="-2"/>
          <w:u w:val="single"/>
        </w:rPr>
        <w:t>m</w:t>
      </w:r>
      <w:r w:rsidRPr="0042342F">
        <w:rPr>
          <w:b/>
          <w:spacing w:val="-1"/>
          <w:u w:val="single"/>
        </w:rPr>
        <w:t>i</w:t>
      </w:r>
      <w:r w:rsidRPr="0042342F">
        <w:rPr>
          <w:b/>
          <w:u w:val="single"/>
        </w:rPr>
        <w:t>co</w:t>
      </w:r>
      <w:r w:rsidRPr="0042342F">
        <w:rPr>
          <w:b/>
          <w:spacing w:val="27"/>
          <w:u w:val="single"/>
        </w:rPr>
        <w:t xml:space="preserve"> </w:t>
      </w:r>
      <w:r w:rsidRPr="0042342F">
        <w:rPr>
          <w:b/>
          <w:spacing w:val="-2"/>
          <w:u w:val="single"/>
        </w:rPr>
        <w:t>P</w:t>
      </w:r>
      <w:r w:rsidRPr="0042342F">
        <w:rPr>
          <w:b/>
          <w:u w:val="single"/>
        </w:rPr>
        <w:t>repo</w:t>
      </w:r>
      <w:r w:rsidRPr="0042342F">
        <w:rPr>
          <w:b/>
          <w:spacing w:val="-1"/>
          <w:u w:val="single"/>
        </w:rPr>
        <w:t>n</w:t>
      </w:r>
      <w:r w:rsidRPr="0042342F">
        <w:rPr>
          <w:b/>
          <w:spacing w:val="-3"/>
          <w:u w:val="single"/>
        </w:rPr>
        <w:t>d</w:t>
      </w:r>
      <w:r w:rsidRPr="0042342F">
        <w:rPr>
          <w:b/>
          <w:u w:val="single"/>
        </w:rPr>
        <w:t>e</w:t>
      </w:r>
      <w:r w:rsidRPr="0042342F">
        <w:rPr>
          <w:b/>
          <w:spacing w:val="-2"/>
          <w:u w:val="single"/>
        </w:rPr>
        <w:t>r</w:t>
      </w:r>
      <w:r w:rsidRPr="0042342F">
        <w:rPr>
          <w:b/>
          <w:u w:val="single"/>
        </w:rPr>
        <w:t>ante</w:t>
      </w:r>
      <w:r w:rsidRPr="0042342F">
        <w:rPr>
          <w:b/>
          <w:spacing w:val="27"/>
          <w:u w:val="single"/>
        </w:rPr>
        <w:t xml:space="preserve"> </w:t>
      </w:r>
      <w:r w:rsidRPr="0042342F">
        <w:rPr>
          <w:b/>
          <w:u w:val="single"/>
        </w:rPr>
        <w:t>est</w:t>
      </w:r>
      <w:r w:rsidRPr="0042342F">
        <w:rPr>
          <w:b/>
          <w:spacing w:val="-3"/>
          <w:u w:val="single"/>
        </w:rPr>
        <w:t>a</w:t>
      </w:r>
      <w:r w:rsidRPr="0042342F">
        <w:rPr>
          <w:b/>
          <w:spacing w:val="-2"/>
          <w:u w:val="single"/>
        </w:rPr>
        <w:t>r</w:t>
      </w:r>
      <w:r w:rsidRPr="0042342F">
        <w:rPr>
          <w:b/>
          <w:u w:val="single"/>
        </w:rPr>
        <w:t>á</w:t>
      </w:r>
      <w:r w:rsidRPr="0042342F">
        <w:rPr>
          <w:b/>
          <w:spacing w:val="30"/>
          <w:u w:val="single"/>
        </w:rPr>
        <w:t xml:space="preserve"> </w:t>
      </w:r>
      <w:r w:rsidRPr="0042342F">
        <w:rPr>
          <w:b/>
          <w:u w:val="single"/>
        </w:rPr>
        <w:t>o</w:t>
      </w:r>
      <w:r w:rsidRPr="0042342F">
        <w:rPr>
          <w:b/>
          <w:spacing w:val="-3"/>
          <w:u w:val="single"/>
        </w:rPr>
        <w:t>b</w:t>
      </w:r>
      <w:r w:rsidRPr="0042342F">
        <w:rPr>
          <w:b/>
          <w:spacing w:val="1"/>
          <w:u w:val="single"/>
        </w:rPr>
        <w:t>l</w:t>
      </w:r>
      <w:r w:rsidRPr="0042342F">
        <w:rPr>
          <w:b/>
          <w:spacing w:val="-1"/>
          <w:u w:val="single"/>
        </w:rPr>
        <w:t>i</w:t>
      </w:r>
      <w:r w:rsidRPr="0042342F">
        <w:rPr>
          <w:b/>
          <w:u w:val="single"/>
        </w:rPr>
        <w:t>gado</w:t>
      </w:r>
      <w:r w:rsidRPr="0042342F">
        <w:rPr>
          <w:b/>
          <w:spacing w:val="27"/>
          <w:u w:val="single"/>
        </w:rPr>
        <w:t xml:space="preserve"> </w:t>
      </w:r>
      <w:r w:rsidRPr="0042342F">
        <w:rPr>
          <w:b/>
          <w:u w:val="single"/>
        </w:rPr>
        <w:t>a</w:t>
      </w:r>
      <w:r w:rsidRPr="0042342F">
        <w:rPr>
          <w:b/>
          <w:spacing w:val="30"/>
          <w:u w:val="single"/>
        </w:rPr>
        <w:t xml:space="preserve"> </w:t>
      </w:r>
      <w:r w:rsidRPr="0042342F">
        <w:rPr>
          <w:b/>
          <w:u w:val="single"/>
        </w:rPr>
        <w:t>ent</w:t>
      </w:r>
      <w:r w:rsidRPr="0042342F">
        <w:rPr>
          <w:b/>
          <w:spacing w:val="-2"/>
          <w:u w:val="single"/>
        </w:rPr>
        <w:t>r</w:t>
      </w:r>
      <w:r w:rsidRPr="0042342F">
        <w:rPr>
          <w:b/>
          <w:u w:val="single"/>
        </w:rPr>
        <w:t>e</w:t>
      </w:r>
      <w:r w:rsidRPr="0042342F">
        <w:rPr>
          <w:b/>
          <w:spacing w:val="-2"/>
          <w:u w:val="single"/>
        </w:rPr>
        <w:t>ga</w:t>
      </w:r>
      <w:r w:rsidRPr="0042342F">
        <w:rPr>
          <w:b/>
          <w:u w:val="single"/>
        </w:rPr>
        <w:t>r</w:t>
      </w:r>
      <w:r w:rsidRPr="0042342F">
        <w:rPr>
          <w:b/>
          <w:spacing w:val="30"/>
          <w:u w:val="single"/>
        </w:rPr>
        <w:t xml:space="preserve"> </w:t>
      </w:r>
      <w:r w:rsidRPr="0042342F">
        <w:rPr>
          <w:b/>
          <w:spacing w:val="-2"/>
          <w:u w:val="single"/>
        </w:rPr>
        <w:t>e</w:t>
      </w:r>
      <w:r w:rsidRPr="0042342F">
        <w:rPr>
          <w:b/>
          <w:u w:val="single"/>
        </w:rPr>
        <w:t>l</w:t>
      </w:r>
      <w:r w:rsidRPr="0042342F">
        <w:rPr>
          <w:b/>
          <w:spacing w:val="31"/>
          <w:u w:val="single"/>
        </w:rPr>
        <w:t xml:space="preserve"> </w:t>
      </w:r>
      <w:r w:rsidRPr="0042342F">
        <w:rPr>
          <w:b/>
          <w:u w:val="single"/>
        </w:rPr>
        <w:t>Tr</w:t>
      </w:r>
      <w:r w:rsidRPr="0042342F">
        <w:rPr>
          <w:b/>
          <w:spacing w:val="-2"/>
          <w:u w:val="single"/>
        </w:rPr>
        <w:t>á</w:t>
      </w:r>
      <w:r w:rsidRPr="0042342F">
        <w:rPr>
          <w:b/>
          <w:u w:val="single"/>
        </w:rPr>
        <w:t>f</w:t>
      </w:r>
      <w:r w:rsidRPr="0042342F">
        <w:rPr>
          <w:b/>
          <w:spacing w:val="-1"/>
          <w:u w:val="single"/>
        </w:rPr>
        <w:t>i</w:t>
      </w:r>
      <w:r w:rsidRPr="0042342F">
        <w:rPr>
          <w:b/>
          <w:u w:val="single"/>
        </w:rPr>
        <w:t>co</w:t>
      </w:r>
      <w:r w:rsidRPr="0042342F">
        <w:rPr>
          <w:b/>
          <w:spacing w:val="29"/>
          <w:u w:val="single"/>
        </w:rPr>
        <w:t xml:space="preserve"> </w:t>
      </w:r>
      <w:r w:rsidRPr="0042342F">
        <w:rPr>
          <w:b/>
          <w:spacing w:val="-3"/>
          <w:u w:val="single"/>
        </w:rPr>
        <w:t>d</w:t>
      </w:r>
      <w:r w:rsidRPr="0042342F">
        <w:rPr>
          <w:b/>
          <w:u w:val="single"/>
        </w:rPr>
        <w:t>el</w:t>
      </w:r>
      <w:r w:rsidRPr="0042342F">
        <w:rPr>
          <w:b/>
          <w:spacing w:val="29"/>
          <w:u w:val="single"/>
        </w:rPr>
        <w:t xml:space="preserve"> </w:t>
      </w:r>
      <w:r>
        <w:t>S</w:t>
      </w:r>
      <w:r>
        <w:rPr>
          <w:spacing w:val="-2"/>
        </w:rPr>
        <w:t>er</w:t>
      </w:r>
      <w:r>
        <w:rPr>
          <w:spacing w:val="2"/>
        </w:rPr>
        <w:t>v</w:t>
      </w:r>
      <w:r>
        <w:rPr>
          <w:spacing w:val="-1"/>
        </w:rPr>
        <w:t>i</w:t>
      </w:r>
      <w:r>
        <w:rPr>
          <w:spacing w:val="-2"/>
        </w:rPr>
        <w:t>c</w:t>
      </w:r>
      <w:r>
        <w:rPr>
          <w:spacing w:val="-1"/>
        </w:rPr>
        <w:t>i</w:t>
      </w:r>
      <w:r>
        <w:t>o</w:t>
      </w:r>
      <w:r>
        <w:rPr>
          <w:spacing w:val="29"/>
        </w:rPr>
        <w:t xml:space="preserve"> </w:t>
      </w:r>
      <w:r>
        <w:t xml:space="preserve">de </w:t>
      </w:r>
      <w:r>
        <w:rPr>
          <w:spacing w:val="-6"/>
        </w:rPr>
        <w:t>A</w:t>
      </w:r>
      <w:r>
        <w:t>cceso</w:t>
      </w:r>
      <w:r>
        <w:rPr>
          <w:spacing w:val="-2"/>
        </w:rPr>
        <w:t xml:space="preserve"> </w:t>
      </w:r>
      <w:r>
        <w:rPr>
          <w:spacing w:val="5"/>
        </w:rPr>
        <w:t>I</w:t>
      </w:r>
      <w:r>
        <w:t>n</w:t>
      </w:r>
      <w:r>
        <w:rPr>
          <w:spacing w:val="-3"/>
        </w:rPr>
        <w:t>d</w:t>
      </w:r>
      <w:r>
        <w:rPr>
          <w:spacing w:val="-1"/>
        </w:rPr>
        <w:t>i</w:t>
      </w:r>
      <w:r>
        <w:t>r</w:t>
      </w:r>
      <w:r>
        <w:rPr>
          <w:spacing w:val="-2"/>
        </w:rPr>
        <w:t>e</w:t>
      </w:r>
      <w:r>
        <w:t>cto al</w:t>
      </w:r>
      <w:r>
        <w:rPr>
          <w:spacing w:val="2"/>
        </w:rPr>
        <w:t xml:space="preserve"> </w:t>
      </w:r>
      <w:r>
        <w:t>B</w:t>
      </w:r>
      <w:r>
        <w:rPr>
          <w:spacing w:val="-2"/>
        </w:rPr>
        <w:t>u</w:t>
      </w:r>
      <w:r>
        <w:t>c</w:t>
      </w:r>
      <w:r>
        <w:rPr>
          <w:spacing w:val="-1"/>
        </w:rPr>
        <w:t>l</w:t>
      </w:r>
      <w:r>
        <w:t>e</w:t>
      </w:r>
      <w:r>
        <w:rPr>
          <w:spacing w:val="1"/>
        </w:rPr>
        <w:t xml:space="preserve"> </w:t>
      </w:r>
      <w:r>
        <w:t>L</w:t>
      </w:r>
      <w:r>
        <w:rPr>
          <w:spacing w:val="-4"/>
        </w:rPr>
        <w:t>o</w:t>
      </w:r>
      <w:r>
        <w:t>c</w:t>
      </w:r>
      <w:r>
        <w:rPr>
          <w:spacing w:val="-2"/>
        </w:rPr>
        <w:t>a</w:t>
      </w:r>
      <w:r>
        <w:t>l</w:t>
      </w:r>
      <w:r>
        <w:rPr>
          <w:spacing w:val="2"/>
        </w:rPr>
        <w:t xml:space="preserve"> </w:t>
      </w:r>
      <w:r>
        <w:t>o del</w:t>
      </w:r>
      <w:r>
        <w:rPr>
          <w:spacing w:val="7"/>
        </w:rPr>
        <w:t xml:space="preserve"> </w:t>
      </w:r>
      <w:r w:rsidRPr="0042342F">
        <w:rPr>
          <w:b/>
          <w:u w:val="single"/>
        </w:rPr>
        <w:t>S</w:t>
      </w:r>
      <w:r w:rsidRPr="0042342F">
        <w:rPr>
          <w:b/>
          <w:spacing w:val="-2"/>
          <w:u w:val="single"/>
        </w:rPr>
        <w:t>er</w:t>
      </w:r>
      <w:r w:rsidRPr="0042342F">
        <w:rPr>
          <w:b/>
          <w:spacing w:val="2"/>
          <w:u w:val="single"/>
        </w:rPr>
        <w:t>v</w:t>
      </w:r>
      <w:r w:rsidRPr="0042342F">
        <w:rPr>
          <w:b/>
          <w:spacing w:val="-1"/>
          <w:u w:val="single"/>
        </w:rPr>
        <w:t>i</w:t>
      </w:r>
      <w:r w:rsidRPr="0042342F">
        <w:rPr>
          <w:b/>
          <w:spacing w:val="-2"/>
          <w:u w:val="single"/>
        </w:rPr>
        <w:t>c</w:t>
      </w:r>
      <w:r w:rsidRPr="0042342F">
        <w:rPr>
          <w:b/>
          <w:spacing w:val="-1"/>
          <w:u w:val="single"/>
        </w:rPr>
        <w:t>i</w:t>
      </w:r>
      <w:r w:rsidRPr="0042342F">
        <w:rPr>
          <w:b/>
          <w:u w:val="single"/>
        </w:rPr>
        <w:t>o de</w:t>
      </w:r>
      <w:r w:rsidRPr="0042342F">
        <w:rPr>
          <w:b/>
          <w:spacing w:val="2"/>
          <w:u w:val="single"/>
        </w:rPr>
        <w:t xml:space="preserve"> </w:t>
      </w:r>
      <w:r w:rsidRPr="0042342F">
        <w:rPr>
          <w:b/>
          <w:u w:val="single"/>
        </w:rPr>
        <w:t>R</w:t>
      </w:r>
      <w:r w:rsidRPr="0042342F">
        <w:rPr>
          <w:b/>
          <w:spacing w:val="-2"/>
          <w:u w:val="single"/>
        </w:rPr>
        <w:t>e</w:t>
      </w:r>
      <w:r w:rsidRPr="0042342F">
        <w:rPr>
          <w:b/>
          <w:spacing w:val="2"/>
          <w:u w:val="single"/>
        </w:rPr>
        <w:t>v</w:t>
      </w:r>
      <w:r w:rsidRPr="0042342F">
        <w:rPr>
          <w:b/>
          <w:u w:val="single"/>
        </w:rPr>
        <w:t>enta, en</w:t>
      </w:r>
      <w:r w:rsidRPr="0042342F">
        <w:rPr>
          <w:b/>
          <w:spacing w:val="1"/>
          <w:u w:val="single"/>
        </w:rPr>
        <w:t xml:space="preserve"> </w:t>
      </w:r>
      <w:r w:rsidRPr="0042342F">
        <w:rPr>
          <w:b/>
          <w:u w:val="single"/>
        </w:rPr>
        <w:t>un</w:t>
      </w:r>
      <w:r w:rsidRPr="0042342F">
        <w:rPr>
          <w:b/>
          <w:spacing w:val="1"/>
          <w:u w:val="single"/>
        </w:rPr>
        <w:t xml:space="preserve"> </w:t>
      </w:r>
      <w:r w:rsidRPr="0042342F">
        <w:rPr>
          <w:b/>
          <w:spacing w:val="-2"/>
          <w:u w:val="single"/>
        </w:rPr>
        <w:t>s</w:t>
      </w:r>
      <w:r w:rsidRPr="0042342F">
        <w:rPr>
          <w:b/>
          <w:u w:val="single"/>
        </w:rPr>
        <w:t>olo Pun</w:t>
      </w:r>
      <w:r w:rsidRPr="0042342F">
        <w:rPr>
          <w:b/>
          <w:spacing w:val="-1"/>
          <w:u w:val="single"/>
        </w:rPr>
        <w:t>t</w:t>
      </w:r>
      <w:r w:rsidRPr="0042342F">
        <w:rPr>
          <w:b/>
          <w:u w:val="single"/>
        </w:rPr>
        <w:t xml:space="preserve">o de </w:t>
      </w:r>
      <w:r w:rsidRPr="0042342F">
        <w:rPr>
          <w:b/>
          <w:spacing w:val="5"/>
          <w:u w:val="single"/>
        </w:rPr>
        <w:t>I</w:t>
      </w:r>
      <w:r w:rsidRPr="0042342F">
        <w:rPr>
          <w:b/>
          <w:u w:val="single"/>
        </w:rPr>
        <w:t>n</w:t>
      </w:r>
      <w:r w:rsidRPr="0042342F">
        <w:rPr>
          <w:b/>
          <w:spacing w:val="-1"/>
          <w:u w:val="single"/>
        </w:rPr>
        <w:t>t</w:t>
      </w:r>
      <w:r w:rsidRPr="0042342F">
        <w:rPr>
          <w:b/>
          <w:spacing w:val="-2"/>
          <w:u w:val="single"/>
        </w:rPr>
        <w:t>er</w:t>
      </w:r>
      <w:r w:rsidRPr="0042342F">
        <w:rPr>
          <w:b/>
          <w:u w:val="single"/>
        </w:rPr>
        <w:t>co</w:t>
      </w:r>
      <w:r w:rsidRPr="0042342F">
        <w:rPr>
          <w:b/>
          <w:spacing w:val="-4"/>
          <w:u w:val="single"/>
        </w:rPr>
        <w:t>n</w:t>
      </w:r>
      <w:r w:rsidRPr="0042342F">
        <w:rPr>
          <w:b/>
          <w:u w:val="single"/>
        </w:rPr>
        <w:t>ex</w:t>
      </w:r>
      <w:r w:rsidRPr="0042342F">
        <w:rPr>
          <w:b/>
          <w:spacing w:val="1"/>
          <w:u w:val="single"/>
        </w:rPr>
        <w:t>i</w:t>
      </w:r>
      <w:r w:rsidRPr="0042342F">
        <w:rPr>
          <w:b/>
          <w:u w:val="single"/>
        </w:rPr>
        <w:t>ón cua</w:t>
      </w:r>
      <w:r w:rsidRPr="0042342F">
        <w:rPr>
          <w:b/>
          <w:spacing w:val="-3"/>
          <w:u w:val="single"/>
        </w:rPr>
        <w:t>n</w:t>
      </w:r>
      <w:r w:rsidRPr="0042342F">
        <w:rPr>
          <w:b/>
          <w:u w:val="single"/>
        </w:rPr>
        <w:t>do</w:t>
      </w:r>
      <w:r w:rsidRPr="0042342F">
        <w:rPr>
          <w:b/>
          <w:spacing w:val="-2"/>
          <w:u w:val="single"/>
        </w:rPr>
        <w:t xml:space="preserve"> </w:t>
      </w:r>
      <w:r w:rsidRPr="0042342F">
        <w:rPr>
          <w:b/>
          <w:u w:val="single"/>
        </w:rPr>
        <w:t>a</w:t>
      </w:r>
      <w:r w:rsidRPr="0042342F">
        <w:rPr>
          <w:b/>
          <w:spacing w:val="-2"/>
          <w:u w:val="single"/>
        </w:rPr>
        <w:t>s</w:t>
      </w:r>
      <w:r w:rsidRPr="0042342F">
        <w:rPr>
          <w:b/>
          <w:u w:val="single"/>
        </w:rPr>
        <w:t xml:space="preserve">í </w:t>
      </w:r>
      <w:r w:rsidRPr="0042342F">
        <w:rPr>
          <w:b/>
          <w:spacing w:val="1"/>
          <w:u w:val="single"/>
        </w:rPr>
        <w:t>l</w:t>
      </w:r>
      <w:r w:rsidRPr="0042342F">
        <w:rPr>
          <w:b/>
          <w:u w:val="single"/>
        </w:rPr>
        <w:t>o</w:t>
      </w:r>
      <w:r w:rsidRPr="0042342F">
        <w:rPr>
          <w:b/>
          <w:spacing w:val="-2"/>
          <w:u w:val="single"/>
        </w:rPr>
        <w:t xml:space="preserve"> </w:t>
      </w:r>
      <w:r w:rsidRPr="0042342F">
        <w:rPr>
          <w:b/>
          <w:u w:val="single"/>
        </w:rPr>
        <w:t>r</w:t>
      </w:r>
      <w:r w:rsidRPr="0042342F">
        <w:rPr>
          <w:b/>
          <w:spacing w:val="-2"/>
          <w:u w:val="single"/>
        </w:rPr>
        <w:t>e</w:t>
      </w:r>
      <w:r w:rsidRPr="0042342F">
        <w:rPr>
          <w:b/>
          <w:u w:val="single"/>
        </w:rPr>
        <w:t>q</w:t>
      </w:r>
      <w:r w:rsidRPr="0042342F">
        <w:rPr>
          <w:b/>
          <w:spacing w:val="-2"/>
          <w:u w:val="single"/>
        </w:rPr>
        <w:t>u</w:t>
      </w:r>
      <w:r w:rsidRPr="0042342F">
        <w:rPr>
          <w:b/>
          <w:spacing w:val="1"/>
          <w:u w:val="single"/>
        </w:rPr>
        <w:t>i</w:t>
      </w:r>
      <w:r w:rsidRPr="0042342F">
        <w:rPr>
          <w:b/>
          <w:spacing w:val="-2"/>
          <w:u w:val="single"/>
        </w:rPr>
        <w:t>e</w:t>
      </w:r>
      <w:r w:rsidRPr="0042342F">
        <w:rPr>
          <w:b/>
          <w:u w:val="single"/>
        </w:rPr>
        <w:t>ra</w:t>
      </w:r>
      <w:r w:rsidRPr="0042342F">
        <w:rPr>
          <w:b/>
          <w:spacing w:val="-3"/>
          <w:u w:val="single"/>
        </w:rPr>
        <w:t xml:space="preserve"> </w:t>
      </w:r>
      <w:r w:rsidRPr="0042342F">
        <w:rPr>
          <w:b/>
          <w:u w:val="single"/>
        </w:rPr>
        <w:t>el Co</w:t>
      </w:r>
      <w:r w:rsidRPr="0042342F">
        <w:rPr>
          <w:b/>
          <w:spacing w:val="-3"/>
          <w:u w:val="single"/>
        </w:rPr>
        <w:t>n</w:t>
      </w:r>
      <w:r w:rsidRPr="0042342F">
        <w:rPr>
          <w:b/>
          <w:u w:val="single"/>
        </w:rPr>
        <w:t>ce</w:t>
      </w:r>
      <w:r w:rsidRPr="0042342F">
        <w:rPr>
          <w:b/>
          <w:spacing w:val="-2"/>
          <w:u w:val="single"/>
        </w:rPr>
        <w:t>s</w:t>
      </w:r>
      <w:r w:rsidRPr="0042342F">
        <w:rPr>
          <w:b/>
          <w:spacing w:val="1"/>
          <w:u w:val="single"/>
        </w:rPr>
        <w:t>i</w:t>
      </w:r>
      <w:r w:rsidRPr="0042342F">
        <w:rPr>
          <w:b/>
          <w:u w:val="single"/>
        </w:rPr>
        <w:t>o</w:t>
      </w:r>
      <w:r w:rsidRPr="0042342F">
        <w:rPr>
          <w:b/>
          <w:spacing w:val="-1"/>
          <w:u w:val="single"/>
        </w:rPr>
        <w:t>n</w:t>
      </w:r>
      <w:r w:rsidRPr="0042342F">
        <w:rPr>
          <w:b/>
          <w:spacing w:val="-2"/>
          <w:u w:val="single"/>
        </w:rPr>
        <w:t>ar</w:t>
      </w:r>
      <w:r w:rsidRPr="0042342F">
        <w:rPr>
          <w:b/>
          <w:spacing w:val="1"/>
          <w:u w:val="single"/>
        </w:rPr>
        <w:t>i</w:t>
      </w:r>
      <w:r w:rsidRPr="0042342F">
        <w:rPr>
          <w:b/>
          <w:u w:val="single"/>
        </w:rPr>
        <w:t>o</w:t>
      </w:r>
      <w:r w:rsidRPr="0042342F">
        <w:rPr>
          <w:b/>
          <w:spacing w:val="-2"/>
          <w:u w:val="single"/>
        </w:rPr>
        <w:t xml:space="preserve"> </w:t>
      </w:r>
      <w:r w:rsidRPr="0042342F">
        <w:rPr>
          <w:b/>
          <w:u w:val="single"/>
        </w:rPr>
        <w:t>So</w:t>
      </w:r>
      <w:r w:rsidRPr="0042342F">
        <w:rPr>
          <w:b/>
          <w:spacing w:val="-2"/>
          <w:u w:val="single"/>
        </w:rPr>
        <w:t>l</w:t>
      </w:r>
      <w:r w:rsidRPr="0042342F">
        <w:rPr>
          <w:b/>
          <w:spacing w:val="1"/>
          <w:u w:val="single"/>
        </w:rPr>
        <w:t>i</w:t>
      </w:r>
      <w:r w:rsidRPr="0042342F">
        <w:rPr>
          <w:b/>
          <w:spacing w:val="-2"/>
          <w:u w:val="single"/>
        </w:rPr>
        <w:t>c</w:t>
      </w:r>
      <w:r w:rsidRPr="0042342F">
        <w:rPr>
          <w:b/>
          <w:spacing w:val="-1"/>
          <w:u w:val="single"/>
        </w:rPr>
        <w:t>i</w:t>
      </w:r>
      <w:r w:rsidRPr="0042342F">
        <w:rPr>
          <w:b/>
          <w:u w:val="single"/>
        </w:rPr>
        <w:t>tan</w:t>
      </w:r>
      <w:r w:rsidRPr="0042342F">
        <w:rPr>
          <w:b/>
          <w:spacing w:val="-1"/>
          <w:u w:val="single"/>
        </w:rPr>
        <w:t>t</w:t>
      </w:r>
      <w:r w:rsidRPr="0042342F">
        <w:rPr>
          <w:b/>
          <w:u w:val="single"/>
        </w:rPr>
        <w:t>e.</w:t>
      </w:r>
    </w:p>
    <w:p w14:paraId="41AA5CC6" w14:textId="30D38D59" w:rsidR="002F634B" w:rsidRDefault="002F634B" w:rsidP="004F36F7">
      <w:pPr>
        <w:pStyle w:val="CitaIFT0"/>
        <w:spacing w:before="240"/>
        <w:rPr>
          <w:rStyle w:val="IFTnormalCar"/>
          <w:rFonts w:cs="Arial"/>
          <w:bCs/>
          <w:sz w:val="18"/>
          <w:szCs w:val="18"/>
          <w:lang w:eastAsia="es-ES"/>
        </w:rPr>
      </w:pPr>
      <w:r w:rsidRPr="002F634B">
        <w:rPr>
          <w:rStyle w:val="IFTnormalCar"/>
          <w:rFonts w:cs="Arial"/>
          <w:bCs/>
          <w:sz w:val="18"/>
          <w:szCs w:val="18"/>
          <w:lang w:eastAsia="es-ES"/>
        </w:rPr>
        <w:t xml:space="preserve">El Servicio de Acceso Indirecto al Bucle Local y </w:t>
      </w:r>
      <w:r w:rsidRPr="00C937FF">
        <w:rPr>
          <w:rStyle w:val="IFTnormalCar"/>
          <w:rFonts w:cs="Arial"/>
          <w:b/>
          <w:bCs/>
          <w:sz w:val="18"/>
          <w:szCs w:val="18"/>
          <w:u w:val="single"/>
          <w:lang w:eastAsia="es-ES"/>
        </w:rPr>
        <w:t>el Servicio de Reventa proporcionados por el Agente Económico Preponderante deberán ofrecer características técnicas que permitan al Concesionario Solicitante replicar los servicios ofrecidos por el Agente Económico Preponderante a los usuarios finales.</w:t>
      </w:r>
      <w:r w:rsidRPr="002F634B">
        <w:rPr>
          <w:rStyle w:val="IFTnormalCar"/>
          <w:rFonts w:cs="Arial"/>
          <w:bCs/>
          <w:sz w:val="18"/>
          <w:szCs w:val="18"/>
          <w:lang w:eastAsia="es-ES"/>
        </w:rPr>
        <w:t>”</w:t>
      </w:r>
    </w:p>
    <w:p w14:paraId="3EE25D7C" w14:textId="390132CE" w:rsidR="002F634B" w:rsidRPr="00B773BA" w:rsidRDefault="002F634B" w:rsidP="004F36F7">
      <w:pPr>
        <w:pStyle w:val="CitaIFT0"/>
        <w:spacing w:before="240"/>
        <w:jc w:val="right"/>
        <w:rPr>
          <w:rStyle w:val="IFTnormalCar"/>
          <w:rFonts w:cs="Arial"/>
          <w:bCs/>
          <w:sz w:val="18"/>
          <w:szCs w:val="18"/>
          <w:lang w:eastAsia="es-ES"/>
        </w:rPr>
      </w:pPr>
      <w:r w:rsidRPr="00B773BA">
        <w:rPr>
          <w:rStyle w:val="IFTnormalCar"/>
          <w:rFonts w:cs="Arial"/>
          <w:bCs/>
          <w:sz w:val="18"/>
          <w:szCs w:val="18"/>
          <w:lang w:eastAsia="es-ES"/>
        </w:rPr>
        <w:t>(Énfasis añadido)</w:t>
      </w:r>
    </w:p>
    <w:p w14:paraId="16CFA29E" w14:textId="4C2FDD87" w:rsidR="00446E7D" w:rsidRDefault="0042342F" w:rsidP="004F36F7">
      <w:pPr>
        <w:pStyle w:val="IFTnormal"/>
        <w:spacing w:before="240"/>
      </w:pPr>
      <w:r w:rsidRPr="004B1FFD">
        <w:rPr>
          <w:rStyle w:val="IFTnormalCar"/>
          <w:color w:val="000000" w:themeColor="text1"/>
          <w:lang w:val="es-ES"/>
        </w:rPr>
        <w:t xml:space="preserve">En </w:t>
      </w:r>
      <w:r w:rsidR="00261615" w:rsidRPr="004B1FFD">
        <w:rPr>
          <w:rStyle w:val="IFTnormalCar"/>
          <w:color w:val="000000" w:themeColor="text1"/>
          <w:lang w:val="es-ES"/>
        </w:rPr>
        <w:t>consistencia</w:t>
      </w:r>
      <w:r w:rsidRPr="004B1FFD">
        <w:rPr>
          <w:rStyle w:val="IFTnormalCar"/>
          <w:color w:val="000000" w:themeColor="text1"/>
          <w:lang w:val="es-ES"/>
        </w:rPr>
        <w:t xml:space="preserve"> con lo anterior, y </w:t>
      </w:r>
      <w:r w:rsidR="00A622D4" w:rsidRPr="004B1FFD">
        <w:rPr>
          <w:rStyle w:val="IFTnormalCar"/>
          <w:color w:val="000000" w:themeColor="text1"/>
          <w:lang w:val="es-ES"/>
        </w:rPr>
        <w:t>reiterando</w:t>
      </w:r>
      <w:r w:rsidR="0031398C" w:rsidRPr="004B1FFD">
        <w:rPr>
          <w:rStyle w:val="IFTnormalCar"/>
          <w:color w:val="000000" w:themeColor="text1"/>
          <w:lang w:val="es-ES"/>
        </w:rPr>
        <w:t xml:space="preserve"> </w:t>
      </w:r>
      <w:r w:rsidRPr="004B1FFD">
        <w:rPr>
          <w:rStyle w:val="IFTnormalCar"/>
          <w:color w:val="000000" w:themeColor="text1"/>
          <w:lang w:val="es-ES"/>
        </w:rPr>
        <w:t>que la Medida TRIGÉSIMA NOVENA de las Medidas de Desagregación</w:t>
      </w:r>
      <w:r w:rsidR="00926B6A" w:rsidRPr="004B1FFD">
        <w:rPr>
          <w:rStyle w:val="IFTnormalCar"/>
          <w:color w:val="000000" w:themeColor="text1"/>
          <w:lang w:val="es-ES"/>
        </w:rPr>
        <w:t xml:space="preserve"> </w:t>
      </w:r>
      <w:r w:rsidR="0031398C" w:rsidRPr="004B1FFD">
        <w:rPr>
          <w:rStyle w:val="IFTnormalCar"/>
          <w:color w:val="000000" w:themeColor="text1"/>
          <w:lang w:val="es-ES"/>
        </w:rPr>
        <w:t xml:space="preserve">establece que las tarifas </w:t>
      </w:r>
      <w:r w:rsidR="00926B6A" w:rsidRPr="004B1FFD">
        <w:rPr>
          <w:rStyle w:val="IFTnormalCar"/>
          <w:color w:val="000000" w:themeColor="text1"/>
          <w:lang w:val="es-ES"/>
        </w:rPr>
        <w:t xml:space="preserve">del Servicio de Reventa deben </w:t>
      </w:r>
      <w:r w:rsidR="0022683D" w:rsidRPr="004B1FFD">
        <w:rPr>
          <w:rStyle w:val="IFTnormalCar"/>
          <w:color w:val="000000" w:themeColor="text1"/>
          <w:lang w:val="es-ES"/>
        </w:rPr>
        <w:t>estimarse</w:t>
      </w:r>
      <w:r w:rsidR="00926B6A" w:rsidRPr="004B1FFD">
        <w:rPr>
          <w:rStyle w:val="IFTnormalCar"/>
          <w:color w:val="000000" w:themeColor="text1"/>
          <w:lang w:val="es-ES"/>
        </w:rPr>
        <w:t xml:space="preserve"> de acuerdo con una metodología de costos evitados</w:t>
      </w:r>
      <w:r w:rsidR="00440706" w:rsidRPr="004B1FFD">
        <w:rPr>
          <w:rStyle w:val="IFTnormalCar"/>
          <w:color w:val="000000" w:themeColor="text1"/>
          <w:lang w:val="es-ES"/>
        </w:rPr>
        <w:t xml:space="preserve">, el Instituto considera que la determinación de la estructura tarifaria del SRMLT </w:t>
      </w:r>
      <w:r w:rsidR="00926B6A" w:rsidRPr="004B1FFD">
        <w:rPr>
          <w:rStyle w:val="IFTnormalCar"/>
          <w:color w:val="000000" w:themeColor="text1"/>
          <w:lang w:val="es-ES"/>
        </w:rPr>
        <w:t xml:space="preserve">debe partir del hecho de que a través de </w:t>
      </w:r>
      <w:r w:rsidR="0031398C" w:rsidRPr="004B1FFD">
        <w:rPr>
          <w:rStyle w:val="IFTnormalCar"/>
          <w:color w:val="000000" w:themeColor="text1"/>
          <w:lang w:val="es-ES"/>
        </w:rPr>
        <w:t>e</w:t>
      </w:r>
      <w:r w:rsidR="00926B6A" w:rsidRPr="004B1FFD">
        <w:rPr>
          <w:rStyle w:val="IFTnormalCar"/>
          <w:color w:val="000000" w:themeColor="text1"/>
          <w:lang w:val="es-ES"/>
        </w:rPr>
        <w:t xml:space="preserve">ste servicio únicamente se </w:t>
      </w:r>
      <w:r w:rsidR="00440706" w:rsidRPr="004B1FFD">
        <w:rPr>
          <w:rStyle w:val="IFTnormalCar"/>
          <w:color w:val="000000" w:themeColor="text1"/>
          <w:lang w:val="es-ES"/>
        </w:rPr>
        <w:t xml:space="preserve">posibilita </w:t>
      </w:r>
      <w:r w:rsidR="00926B6A" w:rsidRPr="004B1FFD">
        <w:rPr>
          <w:rStyle w:val="IFTnormalCar"/>
          <w:color w:val="000000" w:themeColor="text1"/>
          <w:lang w:val="es-ES"/>
        </w:rPr>
        <w:t xml:space="preserve">el </w:t>
      </w:r>
      <w:r w:rsidR="00926B6A" w:rsidRPr="004B1FFD">
        <w:t xml:space="preserve">acceso </w:t>
      </w:r>
      <w:r w:rsidR="0022683D" w:rsidRPr="004B1FFD">
        <w:t>la línea</w:t>
      </w:r>
      <w:r w:rsidR="00926B6A" w:rsidRPr="004B1FFD">
        <w:t xml:space="preserve"> telefónica fija del AEP</w:t>
      </w:r>
      <w:r w:rsidR="00A22B8B" w:rsidRPr="004B1FFD">
        <w:t xml:space="preserve"> que se encuentra en desagregación</w:t>
      </w:r>
      <w:r w:rsidR="00A742CB" w:rsidRPr="004B1FFD">
        <w:t xml:space="preserve">, por lo que los costos evitados que se involucran en </w:t>
      </w:r>
      <w:r w:rsidR="00A742CB" w:rsidRPr="004B1FFD">
        <w:lastRenderedPageBreak/>
        <w:t>la estimación de la tarifa correspondiente deben de</w:t>
      </w:r>
      <w:r w:rsidR="004B1FFD">
        <w:t xml:space="preserve"> ser ajustados para considerar e</w:t>
      </w:r>
      <w:r w:rsidR="00A742CB" w:rsidRPr="004B1FFD">
        <w:t>ste hecho</w:t>
      </w:r>
      <w:r w:rsidR="00446E7D" w:rsidRPr="004B1FFD">
        <w:t>.</w:t>
      </w:r>
    </w:p>
    <w:p w14:paraId="66DDF301" w14:textId="2E04F115" w:rsidR="00446E7D" w:rsidRDefault="004B1FFD" w:rsidP="004F36F7">
      <w:pPr>
        <w:pStyle w:val="IFTnormal"/>
        <w:spacing w:before="240"/>
      </w:pPr>
      <w:r>
        <w:t xml:space="preserve">Por su parte, dado que </w:t>
      </w:r>
      <w:r w:rsidR="00A622D4">
        <w:t xml:space="preserve">el servicio de entrega del </w:t>
      </w:r>
      <w:r w:rsidR="00446E7D" w:rsidRPr="002228C3">
        <w:rPr>
          <w:rStyle w:val="IFTnormalCar"/>
          <w:color w:val="000000" w:themeColor="text1"/>
          <w:lang w:val="es-ES"/>
        </w:rPr>
        <w:t>tráfico de voz hasta el punto de interconexión</w:t>
      </w:r>
      <w:r w:rsidR="00446E7D">
        <w:rPr>
          <w:rStyle w:val="IFTnormalCar"/>
          <w:color w:val="000000" w:themeColor="text1"/>
          <w:lang w:val="es-ES"/>
        </w:rPr>
        <w:t xml:space="preserve"> donde se </w:t>
      </w:r>
      <w:r w:rsidR="00A622D4">
        <w:rPr>
          <w:rStyle w:val="IFTnormalCar"/>
          <w:color w:val="000000" w:themeColor="text1"/>
          <w:lang w:val="es-ES"/>
        </w:rPr>
        <w:t>encuentra e</w:t>
      </w:r>
      <w:r w:rsidR="00446E7D">
        <w:rPr>
          <w:rStyle w:val="IFTnormalCar"/>
          <w:color w:val="000000" w:themeColor="text1"/>
          <w:lang w:val="es-ES"/>
        </w:rPr>
        <w:t>l CS</w:t>
      </w:r>
      <w:r w:rsidR="00A622D4">
        <w:rPr>
          <w:rStyle w:val="IFTnormalCar"/>
          <w:color w:val="000000" w:themeColor="text1"/>
          <w:lang w:val="es-ES"/>
        </w:rPr>
        <w:t xml:space="preserve"> </w:t>
      </w:r>
      <w:r w:rsidR="00446E7D">
        <w:rPr>
          <w:rStyle w:val="IFTnormalCar"/>
          <w:color w:val="000000" w:themeColor="text1"/>
          <w:lang w:val="es-ES"/>
        </w:rPr>
        <w:t xml:space="preserve">no forma parte </w:t>
      </w:r>
      <w:r w:rsidR="00A622D4">
        <w:rPr>
          <w:rStyle w:val="IFTnormalCar"/>
          <w:color w:val="000000" w:themeColor="text1"/>
          <w:lang w:val="es-ES"/>
        </w:rPr>
        <w:t xml:space="preserve">integral </w:t>
      </w:r>
      <w:r w:rsidR="00446E7D">
        <w:rPr>
          <w:rStyle w:val="IFTnormalCar"/>
          <w:color w:val="000000" w:themeColor="text1"/>
          <w:lang w:val="es-ES"/>
        </w:rPr>
        <w:t>del SMRLT, sino que constituye un servicio específico de interconexión entre las redes de las partes involucradas,</w:t>
      </w:r>
      <w:r w:rsidR="00446E7D" w:rsidRPr="00462B37">
        <w:rPr>
          <w:rStyle w:val="IFTnormalCar"/>
          <w:color w:val="000000" w:themeColor="text1"/>
          <w:lang w:val="es-ES"/>
        </w:rPr>
        <w:t xml:space="preserve"> el Instituto considera que </w:t>
      </w:r>
      <w:r w:rsidR="00446E7D">
        <w:rPr>
          <w:rStyle w:val="IFTnormalCar"/>
          <w:color w:val="000000" w:themeColor="text1"/>
          <w:lang w:val="es-ES"/>
        </w:rPr>
        <w:t>la tarifa</w:t>
      </w:r>
      <w:r w:rsidR="00446E7D" w:rsidRPr="00462B37">
        <w:rPr>
          <w:rStyle w:val="IFTnormalCar"/>
          <w:color w:val="000000" w:themeColor="text1"/>
          <w:lang w:val="es-ES"/>
        </w:rPr>
        <w:t xml:space="preserve"> </w:t>
      </w:r>
      <w:r w:rsidR="00446E7D">
        <w:rPr>
          <w:rStyle w:val="IFTnormalCar"/>
          <w:color w:val="000000" w:themeColor="text1"/>
          <w:lang w:val="es-ES"/>
        </w:rPr>
        <w:t xml:space="preserve">asociada a </w:t>
      </w:r>
      <w:r w:rsidR="00446E7D" w:rsidRPr="00462B37">
        <w:rPr>
          <w:rStyle w:val="IFTnormalCar"/>
          <w:color w:val="000000" w:themeColor="text1"/>
          <w:lang w:val="es-ES"/>
        </w:rPr>
        <w:t xml:space="preserve">las llamadas </w:t>
      </w:r>
      <w:r w:rsidR="00446E7D">
        <w:rPr>
          <w:rStyle w:val="IFTnormalCar"/>
          <w:color w:val="000000" w:themeColor="text1"/>
          <w:lang w:val="es-ES"/>
        </w:rPr>
        <w:t>que se generen en el contexto del SRMLT</w:t>
      </w:r>
      <w:r w:rsidR="00446E7D" w:rsidRPr="00462B37">
        <w:rPr>
          <w:rStyle w:val="IFTnormalCar"/>
          <w:color w:val="000000" w:themeColor="text1"/>
          <w:lang w:val="es-ES"/>
        </w:rPr>
        <w:t xml:space="preserve"> debe ser cubierto por el CS de conformidad con las tarifas correspondientes</w:t>
      </w:r>
      <w:r w:rsidR="00446E7D">
        <w:rPr>
          <w:rStyle w:val="IFTnormalCar"/>
          <w:color w:val="000000" w:themeColor="text1"/>
          <w:lang w:val="es-ES"/>
        </w:rPr>
        <w:t xml:space="preserve"> para servicios de interconexión </w:t>
      </w:r>
      <w:r w:rsidR="00446E7D" w:rsidRPr="00462B37">
        <w:rPr>
          <w:rStyle w:val="IFTnormalCar"/>
          <w:color w:val="000000" w:themeColor="text1"/>
          <w:lang w:val="es-ES"/>
        </w:rPr>
        <w:t>que</w:t>
      </w:r>
      <w:r w:rsidR="00446E7D">
        <w:rPr>
          <w:rStyle w:val="IFTnormalCar"/>
          <w:color w:val="000000" w:themeColor="text1"/>
          <w:lang w:val="es-ES"/>
        </w:rPr>
        <w:t xml:space="preserve"> se</w:t>
      </w:r>
      <w:r w:rsidR="00446E7D" w:rsidRPr="00462B37">
        <w:rPr>
          <w:rStyle w:val="IFTnormalCar"/>
          <w:color w:val="000000" w:themeColor="text1"/>
          <w:lang w:val="es-ES"/>
        </w:rPr>
        <w:t xml:space="preserve"> tenga pactadas</w:t>
      </w:r>
      <w:r w:rsidR="002446C2">
        <w:rPr>
          <w:rStyle w:val="Refdenotaalpie"/>
          <w:bCs w:val="0"/>
          <w:color w:val="000000" w:themeColor="text1"/>
          <w:lang w:val="es-ES"/>
        </w:rPr>
        <w:footnoteReference w:id="2"/>
      </w:r>
      <w:r w:rsidR="002E719A">
        <w:rPr>
          <w:rStyle w:val="IFTnormalCar"/>
          <w:color w:val="000000" w:themeColor="text1"/>
          <w:lang w:val="es-ES"/>
        </w:rPr>
        <w:t xml:space="preserve"> entre el AEP y el CS en cuestión</w:t>
      </w:r>
      <w:r w:rsidR="00446E7D" w:rsidRPr="00462B37">
        <w:rPr>
          <w:rStyle w:val="IFTnormalCar"/>
          <w:color w:val="000000" w:themeColor="text1"/>
          <w:lang w:val="es-ES"/>
        </w:rPr>
        <w:t>.</w:t>
      </w:r>
    </w:p>
    <w:p w14:paraId="246665DA" w14:textId="49D5F990" w:rsidR="00302FA6" w:rsidRPr="002228C3" w:rsidRDefault="00446E7D" w:rsidP="004F36F7">
      <w:pPr>
        <w:pStyle w:val="IFTnormal"/>
        <w:spacing w:before="240"/>
        <w:rPr>
          <w:rStyle w:val="IFTnormalCar"/>
          <w:color w:val="000000" w:themeColor="text1"/>
          <w:lang w:val="es-ES"/>
        </w:rPr>
      </w:pPr>
      <w:r>
        <w:rPr>
          <w:rStyle w:val="IFTnormalCar"/>
          <w:color w:val="000000" w:themeColor="text1"/>
          <w:lang w:val="es-ES"/>
        </w:rPr>
        <w:t>De todo lo anterior</w:t>
      </w:r>
      <w:r w:rsidR="00241FFF">
        <w:rPr>
          <w:rStyle w:val="IFTnormalCar"/>
          <w:color w:val="000000" w:themeColor="text1"/>
          <w:lang w:val="es-ES"/>
        </w:rPr>
        <w:t>,</w:t>
      </w:r>
      <w:r w:rsidR="00302FA6" w:rsidRPr="002228C3">
        <w:rPr>
          <w:rStyle w:val="IFTnormalCar"/>
          <w:color w:val="000000" w:themeColor="text1"/>
          <w:lang w:val="es-ES"/>
        </w:rPr>
        <w:t xml:space="preserve"> a efecto de </w:t>
      </w:r>
      <w:r w:rsidR="00A376A6">
        <w:rPr>
          <w:rStyle w:val="IFTnormalCar"/>
          <w:color w:val="000000" w:themeColor="text1"/>
          <w:lang w:val="es-ES"/>
        </w:rPr>
        <w:t>determinar</w:t>
      </w:r>
      <w:r w:rsidR="00A376A6" w:rsidRPr="002228C3">
        <w:rPr>
          <w:rStyle w:val="IFTnormalCar"/>
          <w:color w:val="000000" w:themeColor="text1"/>
          <w:lang w:val="es-ES"/>
        </w:rPr>
        <w:t xml:space="preserve"> </w:t>
      </w:r>
      <w:r>
        <w:rPr>
          <w:rStyle w:val="IFTnormalCar"/>
          <w:color w:val="000000" w:themeColor="text1"/>
          <w:lang w:val="es-ES"/>
        </w:rPr>
        <w:t>la</w:t>
      </w:r>
      <w:r w:rsidRPr="002228C3">
        <w:rPr>
          <w:rStyle w:val="IFTnormalCar"/>
          <w:color w:val="000000" w:themeColor="text1"/>
          <w:lang w:val="es-ES"/>
        </w:rPr>
        <w:t xml:space="preserve"> </w:t>
      </w:r>
      <w:r w:rsidR="00302FA6" w:rsidRPr="002228C3">
        <w:rPr>
          <w:rStyle w:val="IFTnormalCar"/>
          <w:color w:val="000000" w:themeColor="text1"/>
          <w:lang w:val="es-ES"/>
        </w:rPr>
        <w:t>tarifa</w:t>
      </w:r>
      <w:r>
        <w:rPr>
          <w:rStyle w:val="IFTnormalCar"/>
          <w:color w:val="000000" w:themeColor="text1"/>
          <w:lang w:val="es-ES"/>
        </w:rPr>
        <w:t xml:space="preserve"> correspondiente al servicio en comento</w:t>
      </w:r>
      <w:r w:rsidR="00302FA6" w:rsidRPr="002228C3">
        <w:rPr>
          <w:rStyle w:val="IFTnormalCar"/>
          <w:color w:val="000000" w:themeColor="text1"/>
          <w:lang w:val="es-ES"/>
        </w:rPr>
        <w:t xml:space="preserve">, </w:t>
      </w:r>
      <w:r w:rsidR="00A376A6">
        <w:rPr>
          <w:rStyle w:val="IFTnormalCar"/>
          <w:color w:val="000000" w:themeColor="text1"/>
          <w:lang w:val="es-ES"/>
        </w:rPr>
        <w:t xml:space="preserve">el Instituto señala que </w:t>
      </w:r>
      <w:r w:rsidR="00302FA6" w:rsidRPr="002228C3">
        <w:rPr>
          <w:rStyle w:val="IFTnormalCar"/>
          <w:color w:val="000000" w:themeColor="text1"/>
          <w:lang w:val="es-ES"/>
        </w:rPr>
        <w:t>se deben tomar en consideración los siguientes puntos:</w:t>
      </w:r>
    </w:p>
    <w:p w14:paraId="075E1C1D" w14:textId="77777777" w:rsidR="00302FA6" w:rsidRPr="002228C3" w:rsidRDefault="00302FA6" w:rsidP="004F36F7">
      <w:pPr>
        <w:pStyle w:val="IFTnormal"/>
        <w:numPr>
          <w:ilvl w:val="0"/>
          <w:numId w:val="22"/>
        </w:numPr>
        <w:spacing w:before="240"/>
        <w:rPr>
          <w:color w:val="000000" w:themeColor="text1"/>
          <w:lang w:val="es-ES"/>
        </w:rPr>
      </w:pPr>
      <w:r w:rsidRPr="002228C3">
        <w:rPr>
          <w:rStyle w:val="IFTnormalCar"/>
          <w:b/>
          <w:color w:val="000000" w:themeColor="text1"/>
          <w:lang w:val="es-ES"/>
        </w:rPr>
        <w:t>Determinación del precio de referencia:</w:t>
      </w:r>
      <w:r>
        <w:rPr>
          <w:color w:val="000000" w:themeColor="text1"/>
        </w:rPr>
        <w:t xml:space="preserve"> </w:t>
      </w:r>
      <w:r w:rsidR="00297EC4">
        <w:rPr>
          <w:color w:val="000000" w:themeColor="text1"/>
        </w:rPr>
        <w:t>Se debe estimar</w:t>
      </w:r>
      <w:r w:rsidRPr="002228C3">
        <w:rPr>
          <w:color w:val="000000" w:themeColor="text1"/>
        </w:rPr>
        <w:t xml:space="preserve"> una cantidad </w:t>
      </w:r>
      <w:r w:rsidR="00297EC4">
        <w:rPr>
          <w:color w:val="000000" w:themeColor="text1"/>
        </w:rPr>
        <w:t>monetaria</w:t>
      </w:r>
      <w:r w:rsidRPr="002228C3">
        <w:rPr>
          <w:color w:val="000000" w:themeColor="text1"/>
        </w:rPr>
        <w:t xml:space="preserve"> que represente</w:t>
      </w:r>
      <w:r w:rsidR="00BC14AF">
        <w:rPr>
          <w:color w:val="000000" w:themeColor="text1"/>
        </w:rPr>
        <w:t xml:space="preserve"> </w:t>
      </w:r>
      <w:r w:rsidR="00866800" w:rsidRPr="00866800">
        <w:rPr>
          <w:color w:val="000000" w:themeColor="text1"/>
        </w:rPr>
        <w:t>el acceso a la línea</w:t>
      </w:r>
      <w:r w:rsidRPr="002228C3">
        <w:rPr>
          <w:color w:val="000000" w:themeColor="text1"/>
        </w:rPr>
        <w:t xml:space="preserve"> telefónica</w:t>
      </w:r>
      <w:r w:rsidR="0098387D">
        <w:rPr>
          <w:color w:val="000000" w:themeColor="text1"/>
        </w:rPr>
        <w:t>, correspondiente a si ésta es de uso residencial o no residencial</w:t>
      </w:r>
      <w:r w:rsidR="00450F44">
        <w:rPr>
          <w:color w:val="000000" w:themeColor="text1"/>
        </w:rPr>
        <w:t>,</w:t>
      </w:r>
      <w:r w:rsidRPr="002228C3">
        <w:rPr>
          <w:color w:val="000000" w:themeColor="text1"/>
        </w:rPr>
        <w:t xml:space="preserve"> que se </w:t>
      </w:r>
      <w:r w:rsidR="00A634DA">
        <w:rPr>
          <w:color w:val="000000" w:themeColor="text1"/>
        </w:rPr>
        <w:t>ofrece</w:t>
      </w:r>
      <w:r w:rsidR="00A634DA" w:rsidRPr="002228C3">
        <w:rPr>
          <w:color w:val="000000" w:themeColor="text1"/>
        </w:rPr>
        <w:t xml:space="preserve"> </w:t>
      </w:r>
      <w:r w:rsidRPr="002228C3">
        <w:rPr>
          <w:color w:val="000000" w:themeColor="text1"/>
        </w:rPr>
        <w:t xml:space="preserve">a los CS a través del </w:t>
      </w:r>
      <w:r w:rsidR="001000F3">
        <w:rPr>
          <w:color w:val="000000" w:themeColor="text1"/>
        </w:rPr>
        <w:t>SRMLT</w:t>
      </w:r>
      <w:r w:rsidRPr="002228C3">
        <w:rPr>
          <w:color w:val="000000" w:themeColor="text1"/>
        </w:rPr>
        <w:t xml:space="preserve"> y sobre la cual se puedan reflejar los costos evitados inherentes a la naturaleza y alcance del </w:t>
      </w:r>
      <w:r w:rsidR="001000F3">
        <w:rPr>
          <w:color w:val="000000" w:themeColor="text1"/>
        </w:rPr>
        <w:t>SRMLT</w:t>
      </w:r>
      <w:r w:rsidRPr="002228C3">
        <w:rPr>
          <w:color w:val="000000" w:themeColor="text1"/>
        </w:rPr>
        <w:t>.</w:t>
      </w:r>
      <w:r w:rsidR="00297EC4">
        <w:rPr>
          <w:color w:val="000000" w:themeColor="text1"/>
        </w:rPr>
        <w:t xml:space="preserve"> </w:t>
      </w:r>
      <w:r>
        <w:rPr>
          <w:color w:val="000000" w:themeColor="text1"/>
        </w:rPr>
        <w:t>E</w:t>
      </w:r>
      <w:r w:rsidRPr="002228C3">
        <w:rPr>
          <w:color w:val="000000" w:themeColor="text1"/>
          <w:lang w:val="es-ES"/>
        </w:rPr>
        <w:t xml:space="preserve">n este sentido, el </w:t>
      </w:r>
      <w:r w:rsidRPr="002228C3">
        <w:rPr>
          <w:color w:val="000000" w:themeColor="text1"/>
        </w:rPr>
        <w:t xml:space="preserve">acceso a la línea telefónica </w:t>
      </w:r>
      <w:r w:rsidR="00297EC4">
        <w:rPr>
          <w:color w:val="000000" w:themeColor="text1"/>
        </w:rPr>
        <w:t xml:space="preserve">a través del </w:t>
      </w:r>
      <w:r w:rsidR="001000F3">
        <w:rPr>
          <w:color w:val="000000" w:themeColor="text1"/>
        </w:rPr>
        <w:t>SRMLT</w:t>
      </w:r>
      <w:r w:rsidRPr="00297EC4">
        <w:rPr>
          <w:color w:val="000000" w:themeColor="text1"/>
        </w:rPr>
        <w:t xml:space="preserve"> </w:t>
      </w:r>
      <w:r w:rsidR="00297EC4">
        <w:rPr>
          <w:color w:val="000000" w:themeColor="text1"/>
        </w:rPr>
        <w:t xml:space="preserve">no debe </w:t>
      </w:r>
      <w:r w:rsidR="00462B37">
        <w:rPr>
          <w:color w:val="000000" w:themeColor="text1"/>
        </w:rPr>
        <w:t>reflejar</w:t>
      </w:r>
      <w:r w:rsidRPr="002228C3">
        <w:rPr>
          <w:color w:val="000000" w:themeColor="text1"/>
        </w:rPr>
        <w:t xml:space="preserve"> servicios de voz </w:t>
      </w:r>
      <w:r w:rsidR="00A634DA" w:rsidRPr="002228C3">
        <w:rPr>
          <w:color w:val="000000" w:themeColor="text1"/>
        </w:rPr>
        <w:t>asociad</w:t>
      </w:r>
      <w:r w:rsidR="00A634DA">
        <w:rPr>
          <w:color w:val="000000" w:themeColor="text1"/>
        </w:rPr>
        <w:t>o</w:t>
      </w:r>
      <w:r w:rsidR="00A634DA" w:rsidRPr="002228C3">
        <w:rPr>
          <w:color w:val="000000" w:themeColor="text1"/>
        </w:rPr>
        <w:t xml:space="preserve">s </w:t>
      </w:r>
      <w:r w:rsidRPr="002228C3">
        <w:rPr>
          <w:color w:val="000000" w:themeColor="text1"/>
        </w:rPr>
        <w:t xml:space="preserve">a la renta </w:t>
      </w:r>
      <w:r w:rsidR="00297EC4">
        <w:rPr>
          <w:color w:val="000000" w:themeColor="text1"/>
        </w:rPr>
        <w:t xml:space="preserve">minorista </w:t>
      </w:r>
      <w:r w:rsidRPr="002228C3">
        <w:rPr>
          <w:color w:val="000000" w:themeColor="text1"/>
        </w:rPr>
        <w:t>de la línea telefónica de los usuarios del AEP</w:t>
      </w:r>
      <w:r w:rsidR="00A634DA">
        <w:rPr>
          <w:rStyle w:val="Refdenotaalpie"/>
          <w:color w:val="000000" w:themeColor="text1"/>
        </w:rPr>
        <w:footnoteReference w:id="3"/>
      </w:r>
      <w:r w:rsidRPr="002228C3">
        <w:rPr>
          <w:color w:val="000000" w:themeColor="text1"/>
        </w:rPr>
        <w:t>.</w:t>
      </w:r>
    </w:p>
    <w:p w14:paraId="406935B0" w14:textId="1080AD30" w:rsidR="00302FA6" w:rsidRPr="006B4A8B" w:rsidRDefault="00302FA6" w:rsidP="004F36F7">
      <w:pPr>
        <w:pStyle w:val="IFTnormal"/>
        <w:numPr>
          <w:ilvl w:val="0"/>
          <w:numId w:val="22"/>
        </w:numPr>
        <w:spacing w:before="240"/>
        <w:rPr>
          <w:rStyle w:val="IFTnormalCar"/>
          <w:color w:val="000000" w:themeColor="text1"/>
          <w:lang w:val="es-ES"/>
        </w:rPr>
      </w:pPr>
      <w:r w:rsidRPr="002228C3">
        <w:rPr>
          <w:rStyle w:val="IFTnormalCar"/>
          <w:b/>
          <w:color w:val="000000" w:themeColor="text1"/>
          <w:lang w:val="es-ES"/>
        </w:rPr>
        <w:t xml:space="preserve">Enfoque metodológico respecto a la </w:t>
      </w:r>
      <w:r>
        <w:rPr>
          <w:rStyle w:val="IFTnormalCar"/>
          <w:b/>
          <w:color w:val="000000" w:themeColor="text1"/>
          <w:lang w:val="es-ES"/>
        </w:rPr>
        <w:t>origina</w:t>
      </w:r>
      <w:r w:rsidRPr="002228C3">
        <w:rPr>
          <w:rStyle w:val="IFTnormalCar"/>
          <w:b/>
          <w:color w:val="000000" w:themeColor="text1"/>
          <w:lang w:val="es-ES"/>
        </w:rPr>
        <w:t xml:space="preserve">ción de llamadas telefónicas asociadas al </w:t>
      </w:r>
      <w:r w:rsidR="001000F3">
        <w:rPr>
          <w:rStyle w:val="IFTnormalCar"/>
          <w:b/>
          <w:color w:val="000000" w:themeColor="text1"/>
          <w:lang w:val="es-ES"/>
        </w:rPr>
        <w:t>SRMLT</w:t>
      </w:r>
      <w:r w:rsidRPr="002228C3">
        <w:rPr>
          <w:rStyle w:val="IFTnormalCar"/>
          <w:b/>
          <w:color w:val="000000" w:themeColor="text1"/>
          <w:lang w:val="es-ES"/>
        </w:rPr>
        <w:t>:</w:t>
      </w:r>
      <w:r w:rsidRPr="002228C3">
        <w:rPr>
          <w:rStyle w:val="IFTnormalCar"/>
          <w:color w:val="000000" w:themeColor="text1"/>
          <w:lang w:val="es-ES"/>
        </w:rPr>
        <w:t xml:space="preserve"> Dado que a través del </w:t>
      </w:r>
      <w:r w:rsidR="001000F3">
        <w:rPr>
          <w:rStyle w:val="IFTnormalCar"/>
          <w:color w:val="000000" w:themeColor="text1"/>
          <w:lang w:val="es-ES"/>
        </w:rPr>
        <w:t>SRMLT</w:t>
      </w:r>
      <w:r w:rsidRPr="002228C3">
        <w:rPr>
          <w:rStyle w:val="IFTnormalCar"/>
          <w:color w:val="000000" w:themeColor="text1"/>
          <w:lang w:val="es-ES"/>
        </w:rPr>
        <w:t xml:space="preserve"> el CS </w:t>
      </w:r>
      <w:r w:rsidR="00462B37">
        <w:rPr>
          <w:rStyle w:val="IFTnormalCar"/>
          <w:color w:val="000000" w:themeColor="text1"/>
          <w:lang w:val="es-ES"/>
        </w:rPr>
        <w:t>sólo tiene acceso</w:t>
      </w:r>
      <w:r w:rsidRPr="002228C3">
        <w:rPr>
          <w:rStyle w:val="IFTnormalCar"/>
          <w:color w:val="000000" w:themeColor="text1"/>
          <w:lang w:val="es-ES"/>
        </w:rPr>
        <w:t xml:space="preserve"> a la </w:t>
      </w:r>
      <w:r w:rsidR="00462B37">
        <w:rPr>
          <w:rStyle w:val="IFTnormalCar"/>
          <w:color w:val="000000" w:themeColor="text1"/>
          <w:lang w:val="es-ES"/>
        </w:rPr>
        <w:t>línea telefónica del AEP,</w:t>
      </w:r>
      <w:r w:rsidR="0098387D" w:rsidRPr="0098387D">
        <w:rPr>
          <w:color w:val="000000" w:themeColor="text1"/>
        </w:rPr>
        <w:t xml:space="preserve"> </w:t>
      </w:r>
      <w:r w:rsidR="0098387D">
        <w:rPr>
          <w:color w:val="000000" w:themeColor="text1"/>
        </w:rPr>
        <w:t xml:space="preserve">con independencia de si se trata de una línea de uso </w:t>
      </w:r>
      <w:r w:rsidR="0098387D">
        <w:rPr>
          <w:color w:val="000000" w:themeColor="text1"/>
        </w:rPr>
        <w:lastRenderedPageBreak/>
        <w:t>residencial o no residencial,</w:t>
      </w:r>
      <w:r w:rsidR="00462B37">
        <w:rPr>
          <w:rStyle w:val="IFTnormalCar"/>
          <w:color w:val="000000" w:themeColor="text1"/>
          <w:lang w:val="es-ES"/>
        </w:rPr>
        <w:t xml:space="preserve"> </w:t>
      </w:r>
      <w:r w:rsidRPr="002228C3">
        <w:rPr>
          <w:rStyle w:val="IFTnormalCar"/>
          <w:color w:val="000000" w:themeColor="text1"/>
          <w:lang w:val="es-ES"/>
        </w:rPr>
        <w:t xml:space="preserve">las llamadas </w:t>
      </w:r>
      <w:r w:rsidR="00462B37">
        <w:rPr>
          <w:rStyle w:val="IFTnormalCar"/>
          <w:color w:val="000000" w:themeColor="text1"/>
          <w:lang w:val="es-ES"/>
        </w:rPr>
        <w:t>de los usuarios que contraten los servicios a los CS se originar</w:t>
      </w:r>
      <w:r w:rsidR="00F91E7C">
        <w:rPr>
          <w:rStyle w:val="IFTnormalCar"/>
          <w:color w:val="000000" w:themeColor="text1"/>
          <w:lang w:val="es-ES"/>
        </w:rPr>
        <w:t>á</w:t>
      </w:r>
      <w:r w:rsidR="00462B37">
        <w:rPr>
          <w:rStyle w:val="IFTnormalCar"/>
          <w:color w:val="000000" w:themeColor="text1"/>
          <w:lang w:val="es-ES"/>
        </w:rPr>
        <w:t>n en la red del AEP</w:t>
      </w:r>
      <w:r w:rsidR="00F91E7C">
        <w:rPr>
          <w:rStyle w:val="IFTnormalCar"/>
          <w:color w:val="000000" w:themeColor="text1"/>
          <w:lang w:val="es-ES"/>
        </w:rPr>
        <w:t>, el cual</w:t>
      </w:r>
      <w:r w:rsidRPr="002228C3">
        <w:rPr>
          <w:rStyle w:val="IFTnormalCar"/>
          <w:color w:val="000000" w:themeColor="text1"/>
          <w:lang w:val="es-ES"/>
        </w:rPr>
        <w:t xml:space="preserve"> </w:t>
      </w:r>
      <w:r w:rsidR="00462B37">
        <w:rPr>
          <w:rStyle w:val="IFTnormalCar"/>
          <w:color w:val="000000" w:themeColor="text1"/>
          <w:lang w:val="es-ES"/>
        </w:rPr>
        <w:t xml:space="preserve">deberá de hacer </w:t>
      </w:r>
      <w:r w:rsidRPr="002228C3">
        <w:rPr>
          <w:rStyle w:val="IFTnormalCar"/>
          <w:color w:val="000000" w:themeColor="text1"/>
          <w:lang w:val="es-ES"/>
        </w:rPr>
        <w:t xml:space="preserve">llegar </w:t>
      </w:r>
      <w:r w:rsidR="00462B37">
        <w:rPr>
          <w:rStyle w:val="IFTnormalCar"/>
          <w:color w:val="000000" w:themeColor="text1"/>
          <w:lang w:val="es-ES"/>
        </w:rPr>
        <w:t xml:space="preserve">el </w:t>
      </w:r>
      <w:r w:rsidRPr="002228C3">
        <w:rPr>
          <w:rStyle w:val="IFTnormalCar"/>
          <w:color w:val="000000" w:themeColor="text1"/>
          <w:lang w:val="es-ES"/>
        </w:rPr>
        <w:t xml:space="preserve">tráfico de voz </w:t>
      </w:r>
      <w:r w:rsidR="00462B37">
        <w:rPr>
          <w:rStyle w:val="IFTnormalCar"/>
          <w:color w:val="000000" w:themeColor="text1"/>
          <w:lang w:val="es-ES"/>
        </w:rPr>
        <w:t xml:space="preserve">resultante </w:t>
      </w:r>
      <w:r w:rsidRPr="002228C3">
        <w:rPr>
          <w:rStyle w:val="IFTnormalCar"/>
          <w:color w:val="000000" w:themeColor="text1"/>
          <w:lang w:val="es-ES"/>
        </w:rPr>
        <w:t>hasta el conducente punto de interconexión</w:t>
      </w:r>
      <w:r w:rsidR="00462B37">
        <w:rPr>
          <w:rStyle w:val="IFTnormalCar"/>
          <w:color w:val="000000" w:themeColor="text1"/>
          <w:lang w:val="es-ES"/>
        </w:rPr>
        <w:t xml:space="preserve"> donde se entregará dicho tráfico al CS</w:t>
      </w:r>
      <w:r w:rsidRPr="002228C3">
        <w:rPr>
          <w:rStyle w:val="IFTnormalCar"/>
          <w:color w:val="000000" w:themeColor="text1"/>
          <w:lang w:val="es-ES"/>
        </w:rPr>
        <w:t>.</w:t>
      </w:r>
      <w:r w:rsidR="00462B37">
        <w:rPr>
          <w:rStyle w:val="IFTnormalCar"/>
          <w:color w:val="000000" w:themeColor="text1"/>
          <w:lang w:val="es-ES"/>
        </w:rPr>
        <w:t xml:space="preserve"> </w:t>
      </w:r>
      <w:r w:rsidR="00462B37" w:rsidRPr="00462B37">
        <w:rPr>
          <w:rStyle w:val="IFTnormalCar"/>
          <w:color w:val="000000" w:themeColor="text1"/>
          <w:lang w:val="es-ES"/>
        </w:rPr>
        <w:t>Es por lo anterior que</w:t>
      </w:r>
      <w:r w:rsidRPr="00462B37">
        <w:rPr>
          <w:rStyle w:val="IFTnormalCar"/>
          <w:color w:val="000000" w:themeColor="text1"/>
          <w:lang w:val="es-ES"/>
        </w:rPr>
        <w:t xml:space="preserve"> el Instituto considera que </w:t>
      </w:r>
      <w:r w:rsidR="0075205B">
        <w:rPr>
          <w:rStyle w:val="IFTnormalCar"/>
          <w:color w:val="000000" w:themeColor="text1"/>
          <w:lang w:val="es-ES"/>
        </w:rPr>
        <w:t>la tarifa</w:t>
      </w:r>
      <w:r w:rsidRPr="00462B37">
        <w:rPr>
          <w:rStyle w:val="IFTnormalCar"/>
          <w:color w:val="000000" w:themeColor="text1"/>
          <w:lang w:val="es-ES"/>
        </w:rPr>
        <w:t xml:space="preserve"> </w:t>
      </w:r>
      <w:r w:rsidR="006555B3">
        <w:rPr>
          <w:rStyle w:val="IFTnormalCar"/>
          <w:color w:val="000000" w:themeColor="text1"/>
          <w:lang w:val="es-ES"/>
        </w:rPr>
        <w:t xml:space="preserve">de interconexión </w:t>
      </w:r>
      <w:r w:rsidR="00994F0E">
        <w:rPr>
          <w:rStyle w:val="IFTnormalCar"/>
          <w:color w:val="000000" w:themeColor="text1"/>
          <w:lang w:val="es-ES"/>
        </w:rPr>
        <w:t>asociad</w:t>
      </w:r>
      <w:r w:rsidR="0075205B">
        <w:rPr>
          <w:rStyle w:val="IFTnormalCar"/>
          <w:color w:val="000000" w:themeColor="text1"/>
          <w:lang w:val="es-ES"/>
        </w:rPr>
        <w:t>a</w:t>
      </w:r>
      <w:r w:rsidR="00994F0E">
        <w:rPr>
          <w:rStyle w:val="IFTnormalCar"/>
          <w:color w:val="000000" w:themeColor="text1"/>
          <w:lang w:val="es-ES"/>
        </w:rPr>
        <w:t xml:space="preserve"> a </w:t>
      </w:r>
      <w:r w:rsidRPr="00462B37">
        <w:rPr>
          <w:rStyle w:val="IFTnormalCar"/>
          <w:color w:val="000000" w:themeColor="text1"/>
          <w:lang w:val="es-ES"/>
        </w:rPr>
        <w:t xml:space="preserve">las llamadas </w:t>
      </w:r>
      <w:r w:rsidR="00994F0E">
        <w:rPr>
          <w:rStyle w:val="IFTnormalCar"/>
          <w:color w:val="000000" w:themeColor="text1"/>
          <w:lang w:val="es-ES"/>
        </w:rPr>
        <w:t xml:space="preserve">que se generen en el contexto </w:t>
      </w:r>
      <w:r w:rsidR="006B4A8B">
        <w:rPr>
          <w:rStyle w:val="IFTnormalCar"/>
          <w:color w:val="000000" w:themeColor="text1"/>
          <w:lang w:val="es-ES"/>
        </w:rPr>
        <w:t xml:space="preserve">del </w:t>
      </w:r>
      <w:r w:rsidR="001000F3">
        <w:rPr>
          <w:rStyle w:val="IFTnormalCar"/>
          <w:color w:val="000000" w:themeColor="text1"/>
          <w:lang w:val="es-ES"/>
        </w:rPr>
        <w:t>SRMLT</w:t>
      </w:r>
      <w:r w:rsidRPr="00462B37">
        <w:rPr>
          <w:rStyle w:val="IFTnormalCar"/>
          <w:color w:val="000000" w:themeColor="text1"/>
          <w:lang w:val="es-ES"/>
        </w:rPr>
        <w:t xml:space="preserve"> debe ser cubierto por el CS de conformidad con las tarifas correspondientes</w:t>
      </w:r>
      <w:r w:rsidR="00462B37">
        <w:rPr>
          <w:rStyle w:val="IFTnormalCar"/>
          <w:color w:val="000000" w:themeColor="text1"/>
          <w:lang w:val="es-ES"/>
        </w:rPr>
        <w:t xml:space="preserve"> para servicios de interconexión </w:t>
      </w:r>
      <w:r w:rsidRPr="00462B37">
        <w:rPr>
          <w:rStyle w:val="IFTnormalCar"/>
          <w:color w:val="000000" w:themeColor="text1"/>
          <w:lang w:val="es-ES"/>
        </w:rPr>
        <w:t>que</w:t>
      </w:r>
      <w:r w:rsidR="00462B37">
        <w:rPr>
          <w:rStyle w:val="IFTnormalCar"/>
          <w:color w:val="000000" w:themeColor="text1"/>
          <w:lang w:val="es-ES"/>
        </w:rPr>
        <w:t xml:space="preserve"> se</w:t>
      </w:r>
      <w:r w:rsidRPr="00462B37">
        <w:rPr>
          <w:rStyle w:val="IFTnormalCar"/>
          <w:color w:val="000000" w:themeColor="text1"/>
          <w:lang w:val="es-ES"/>
        </w:rPr>
        <w:t xml:space="preserve"> tenga pactadas</w:t>
      </w:r>
      <w:r w:rsidR="009F3247">
        <w:rPr>
          <w:rStyle w:val="IFTnormalCar"/>
          <w:color w:val="000000" w:themeColor="text1"/>
          <w:lang w:val="es-ES"/>
        </w:rPr>
        <w:t xml:space="preserve"> entre el AEP y dicho CS</w:t>
      </w:r>
      <w:r w:rsidRPr="00462B37">
        <w:rPr>
          <w:rStyle w:val="IFTnormalCar"/>
          <w:color w:val="000000" w:themeColor="text1"/>
          <w:lang w:val="es-ES"/>
        </w:rPr>
        <w:t>.</w:t>
      </w:r>
    </w:p>
    <w:p w14:paraId="1F3D80C6" w14:textId="77777777" w:rsidR="00302FA6" w:rsidRDefault="00302FA6" w:rsidP="004F36F7">
      <w:pPr>
        <w:pStyle w:val="IFTnormal"/>
        <w:spacing w:before="240"/>
      </w:pPr>
      <w:r>
        <w:rPr>
          <w:rStyle w:val="IFTnormalCar"/>
          <w:lang w:val="es-ES"/>
        </w:rPr>
        <w:t>A este respecto, es relevante mencionar que, en consistencia con lo dispuesto por la Medida TRIGÉSIMA NOVENA de las Medidas de Desagregación, mediante</w:t>
      </w:r>
      <w:r w:rsidRPr="00441AD7">
        <w:rPr>
          <w:rStyle w:val="IFTnormalCar"/>
        </w:rPr>
        <w:t xml:space="preserve"> la </w:t>
      </w:r>
      <w:r>
        <w:rPr>
          <w:rStyle w:val="IFTnormalCar"/>
        </w:rPr>
        <w:t xml:space="preserve">Resolución </w:t>
      </w:r>
      <w:r w:rsidR="00745C94" w:rsidRPr="00745C94">
        <w:rPr>
          <w:rStyle w:val="IFTnormalCar"/>
        </w:rPr>
        <w:t>de Desagregación 2017-2018</w:t>
      </w:r>
      <w:r w:rsidRPr="00441AD7">
        <w:rPr>
          <w:rStyle w:val="IFTnormalCar"/>
        </w:rPr>
        <w:t xml:space="preserve"> se determinaron tarifas </w:t>
      </w:r>
      <w:r w:rsidRPr="00441AD7">
        <w:t>de</w:t>
      </w:r>
      <w:r>
        <w:t xml:space="preserve"> diversos</w:t>
      </w:r>
      <w:r w:rsidRPr="00441AD7">
        <w:t xml:space="preserve"> Servicios de Desagregación </w:t>
      </w:r>
      <w:r w:rsidR="000223DF">
        <w:t xml:space="preserve">de </w:t>
      </w:r>
      <w:r w:rsidRPr="00441AD7">
        <w:t xml:space="preserve">la red local del AEP aplicables </w:t>
      </w:r>
      <w:r>
        <w:t xml:space="preserve">al periodo </w:t>
      </w:r>
      <w:r w:rsidRPr="00441AD7">
        <w:t xml:space="preserve"> 1° de enero </w:t>
      </w:r>
      <w:r>
        <w:t xml:space="preserve">de 2017 al 31 de diciembre de 2018 a través </w:t>
      </w:r>
      <w:r w:rsidRPr="00441AD7">
        <w:t xml:space="preserve">de </w:t>
      </w:r>
      <w:r>
        <w:t>un modelo de costos implementado bajo la metodología de costos evitados (en adelante “</w:t>
      </w:r>
      <w:r w:rsidRPr="00441AD7">
        <w:t>Modelo de Costos Evitados</w:t>
      </w:r>
      <w:r>
        <w:t>”)</w:t>
      </w:r>
      <w:r w:rsidRPr="00441AD7">
        <w:t xml:space="preserve"> correspondiente al periodo en cuestión</w:t>
      </w:r>
      <w:r>
        <w:t xml:space="preserve">. </w:t>
      </w:r>
    </w:p>
    <w:p w14:paraId="1581EB9F" w14:textId="77777777" w:rsidR="00302FA6" w:rsidRDefault="00302FA6" w:rsidP="004F36F7">
      <w:pPr>
        <w:pStyle w:val="IFTnormal"/>
        <w:spacing w:before="240"/>
        <w:rPr>
          <w:rStyle w:val="IFTnormalCar"/>
          <w:lang w:val="es-ES"/>
        </w:rPr>
      </w:pPr>
      <w:r w:rsidRPr="00441AD7">
        <w:rPr>
          <w:rStyle w:val="IFTnormalCar"/>
        </w:rPr>
        <w:t>En concreto,</w:t>
      </w:r>
      <w:r w:rsidRPr="00441AD7">
        <w:t xml:space="preserve"> el Modelo de Costos Evitados se empleó para determinar niveles tarifarios </w:t>
      </w:r>
      <w:r>
        <w:rPr>
          <w:rStyle w:val="IFTnormalCar"/>
        </w:rPr>
        <w:t>de</w:t>
      </w:r>
      <w:r w:rsidR="00F553D1">
        <w:rPr>
          <w:rStyle w:val="IFTnormalCar"/>
        </w:rPr>
        <w:t xml:space="preserve"> los servicios:</w:t>
      </w:r>
      <w:r>
        <w:rPr>
          <w:rStyle w:val="IFTnormalCar"/>
        </w:rPr>
        <w:t xml:space="preserve"> </w:t>
      </w:r>
      <w:r w:rsidR="004712C3">
        <w:rPr>
          <w:rStyle w:val="IFTnormalCar"/>
        </w:rPr>
        <w:t>SRLT</w:t>
      </w:r>
      <w:r w:rsidRPr="00441AD7">
        <w:rPr>
          <w:rStyle w:val="IFTnormalCar"/>
        </w:rPr>
        <w:t xml:space="preserve">, </w:t>
      </w:r>
      <w:r w:rsidR="004712C3">
        <w:rPr>
          <w:rStyle w:val="IFTnormalCar"/>
        </w:rPr>
        <w:t>SRI</w:t>
      </w:r>
      <w:r w:rsidRPr="00441AD7">
        <w:rPr>
          <w:rStyle w:val="IFTnormalCar"/>
        </w:rPr>
        <w:t xml:space="preserve">, </w:t>
      </w:r>
      <w:r w:rsidR="004F6D5C">
        <w:rPr>
          <w:rStyle w:val="IFTnormalCar"/>
        </w:rPr>
        <w:t>SRP</w:t>
      </w:r>
      <w:r w:rsidRPr="00441AD7">
        <w:rPr>
          <w:rStyle w:val="IFTnormalCar"/>
        </w:rPr>
        <w:t xml:space="preserve"> y “</w:t>
      </w:r>
      <w:r w:rsidRPr="00963B29">
        <w:rPr>
          <w:rStyle w:val="IFTnormalCar"/>
          <w:i/>
        </w:rPr>
        <w:t>Servicio de Acceso Indirecto al Bucle Local</w:t>
      </w:r>
      <w:r w:rsidRPr="00441AD7">
        <w:rPr>
          <w:rStyle w:val="IFTnormalCar"/>
        </w:rPr>
        <w:t>” (</w:t>
      </w:r>
      <w:r w:rsidR="00F553D1">
        <w:rPr>
          <w:rStyle w:val="IFTnormalCar"/>
        </w:rPr>
        <w:t xml:space="preserve">en lo </w:t>
      </w:r>
      <w:r w:rsidR="00241FFF">
        <w:rPr>
          <w:rStyle w:val="IFTnormalCar"/>
        </w:rPr>
        <w:t xml:space="preserve">sucesivo, </w:t>
      </w:r>
      <w:r w:rsidR="00241FFF" w:rsidRPr="00441AD7">
        <w:t>“</w:t>
      </w:r>
      <w:r w:rsidRPr="00441AD7">
        <w:t>SAIB”)</w:t>
      </w:r>
      <w:r w:rsidRPr="00441AD7">
        <w:rPr>
          <w:rStyle w:val="IFTnormalCar"/>
        </w:rPr>
        <w:t xml:space="preserve">, </w:t>
      </w:r>
      <w:r w:rsidRPr="00441AD7">
        <w:t>con base en la metodología de costos evitados.</w:t>
      </w:r>
    </w:p>
    <w:p w14:paraId="3438F560" w14:textId="77777777" w:rsidR="00302FA6" w:rsidRDefault="00302FA6" w:rsidP="004F36F7">
      <w:pPr>
        <w:pStyle w:val="IFTnormal"/>
        <w:spacing w:before="240"/>
        <w:rPr>
          <w:color w:val="000000" w:themeColor="text1"/>
        </w:rPr>
      </w:pPr>
      <w:r w:rsidRPr="00E43F61">
        <w:rPr>
          <w:rStyle w:val="IFTnormalCar"/>
        </w:rPr>
        <w:t xml:space="preserve">Por tanto, el Instituto estima pertinente </w:t>
      </w:r>
      <w:r w:rsidR="008B6C90" w:rsidRPr="00E43F61">
        <w:rPr>
          <w:rStyle w:val="IFTnormalCar"/>
        </w:rPr>
        <w:t xml:space="preserve">emplear </w:t>
      </w:r>
      <w:r w:rsidRPr="00E43F61">
        <w:rPr>
          <w:rStyle w:val="IFTnormalCar"/>
        </w:rPr>
        <w:t xml:space="preserve">el Modelo de Costos Evitados, a efecto de que permita </w:t>
      </w:r>
      <w:r w:rsidRPr="00E43F61">
        <w:rPr>
          <w:color w:val="000000" w:themeColor="text1"/>
          <w:lang w:val="es-ES"/>
        </w:rPr>
        <w:t xml:space="preserve">la estimación </w:t>
      </w:r>
      <w:r w:rsidR="00D40570" w:rsidRPr="00E43F61">
        <w:rPr>
          <w:color w:val="000000" w:themeColor="text1"/>
          <w:lang w:val="es-ES"/>
        </w:rPr>
        <w:t xml:space="preserve">de la tarifa por </w:t>
      </w:r>
      <w:r w:rsidRPr="00E43F61">
        <w:rPr>
          <w:color w:val="000000" w:themeColor="text1"/>
          <w:lang w:val="es-ES"/>
        </w:rPr>
        <w:t xml:space="preserve">el </w:t>
      </w:r>
      <w:r w:rsidRPr="00E43F61">
        <w:rPr>
          <w:color w:val="000000" w:themeColor="text1"/>
        </w:rPr>
        <w:t xml:space="preserve">acceso a la línea telefónica a los CS a través del </w:t>
      </w:r>
      <w:r w:rsidR="001000F3" w:rsidRPr="00E43F61">
        <w:rPr>
          <w:color w:val="000000" w:themeColor="text1"/>
        </w:rPr>
        <w:t>SRMLT</w:t>
      </w:r>
      <w:r w:rsidRPr="00E43F61">
        <w:rPr>
          <w:color w:val="000000" w:themeColor="text1"/>
        </w:rPr>
        <w:t>, de manera que se excluyan todos los servicios de voz que se brinda a través de la renta de la línea de los planes y paquetes del AEP. Lo cual, se plasma a detalle a través del Considerando QUINTO de la presente Resolución.</w:t>
      </w:r>
    </w:p>
    <w:p w14:paraId="082A29B6" w14:textId="3E6D2EE4" w:rsidR="00302FA6" w:rsidRDefault="00302FA6" w:rsidP="004F36F7">
      <w:pPr>
        <w:pStyle w:val="IFTnormal"/>
        <w:spacing w:before="240"/>
      </w:pPr>
      <w:r>
        <w:rPr>
          <w:rStyle w:val="IFTnormalCar"/>
        </w:rPr>
        <w:t>Para reforzar lo anterior,</w:t>
      </w:r>
      <w:r w:rsidRPr="00641387">
        <w:t xml:space="preserve"> </w:t>
      </w:r>
      <w:r>
        <w:t xml:space="preserve">este Instituto destaca que en diversos países donde las autoridades nacionales de regulación han impuesto a los operadores históricos la obligación de proveer </w:t>
      </w:r>
      <w:r w:rsidRPr="00641387">
        <w:t>servicios</w:t>
      </w:r>
      <w:r>
        <w:t xml:space="preserve"> mayoristas de tipo </w:t>
      </w:r>
      <w:r w:rsidRPr="00963B29">
        <w:rPr>
          <w:i/>
        </w:rPr>
        <w:t>Wholesale Line Rental</w:t>
      </w:r>
      <w:r>
        <w:t>, se observan estructuras tarifarias análogas a la propuesta por el Instituto para el SMRTL, es decir, que consideran una componente que refleja la renta mensual del acceso a la línea telefónica y otra asociada al tráfico de las llamadas realizadas por el usuario final.</w:t>
      </w:r>
    </w:p>
    <w:p w14:paraId="548EE9AE" w14:textId="77777777" w:rsidR="00302FA6" w:rsidRPr="00641387" w:rsidRDefault="00302FA6" w:rsidP="004F36F7">
      <w:pPr>
        <w:pStyle w:val="IFTnormal"/>
        <w:spacing w:before="240"/>
      </w:pPr>
      <w:r>
        <w:t xml:space="preserve">A mayor abundamiento, el Instituto </w:t>
      </w:r>
      <w:r w:rsidRPr="00641387">
        <w:t>presenta el siguiente comparativo</w:t>
      </w:r>
      <w:r>
        <w:t xml:space="preserve"> resultado del análisis realizado a diversas ofertas de referencia en países europeos</w:t>
      </w:r>
      <w:r w:rsidRPr="00641387">
        <w:t>:</w:t>
      </w:r>
    </w:p>
    <w:tbl>
      <w:tblPr>
        <w:tblStyle w:val="Tablaconcuadrcula"/>
        <w:tblW w:w="5000" w:type="pct"/>
        <w:jc w:val="center"/>
        <w:tblLayout w:type="fixed"/>
        <w:tblLook w:val="0480" w:firstRow="0" w:lastRow="0" w:firstColumn="1" w:lastColumn="0" w:noHBand="0" w:noVBand="1"/>
        <w:tblCaption w:val="Tabla"/>
        <w:tblDescription w:val="comparativo resultado del análisis realizado a diversas ofertas de referencia en países europeos:"/>
      </w:tblPr>
      <w:tblGrid>
        <w:gridCol w:w="867"/>
        <w:gridCol w:w="2247"/>
        <w:gridCol w:w="1418"/>
        <w:gridCol w:w="4862"/>
      </w:tblGrid>
      <w:tr w:rsidR="00302FA6" w:rsidRPr="00E40369" w14:paraId="4F866161" w14:textId="77777777" w:rsidTr="00E331AA">
        <w:trPr>
          <w:trHeight w:val="280"/>
          <w:tblHeader/>
          <w:jc w:val="center"/>
        </w:trPr>
        <w:tc>
          <w:tcPr>
            <w:tcW w:w="461" w:type="pct"/>
            <w:shd w:val="clear" w:color="auto" w:fill="E7E6E6" w:themeFill="background2"/>
          </w:tcPr>
          <w:p w14:paraId="09A7ABC1" w14:textId="77777777" w:rsidR="00302FA6" w:rsidRPr="00426BE2" w:rsidRDefault="00302FA6" w:rsidP="004F36F7">
            <w:pPr>
              <w:pStyle w:val="TxtListado"/>
              <w:spacing w:before="240"/>
              <w:jc w:val="center"/>
              <w:rPr>
                <w:b/>
                <w:sz w:val="18"/>
              </w:rPr>
            </w:pPr>
            <w:r w:rsidRPr="00426BE2">
              <w:rPr>
                <w:b/>
                <w:sz w:val="18"/>
              </w:rPr>
              <w:lastRenderedPageBreak/>
              <w:t>País</w:t>
            </w:r>
          </w:p>
        </w:tc>
        <w:tc>
          <w:tcPr>
            <w:tcW w:w="1196" w:type="pct"/>
            <w:shd w:val="clear" w:color="auto" w:fill="E7E6E6" w:themeFill="background2"/>
          </w:tcPr>
          <w:p w14:paraId="0074C20A" w14:textId="77777777" w:rsidR="00302FA6" w:rsidRPr="00426BE2" w:rsidRDefault="00302FA6" w:rsidP="004F36F7">
            <w:pPr>
              <w:pStyle w:val="TxtListado"/>
              <w:spacing w:before="240"/>
              <w:jc w:val="center"/>
              <w:rPr>
                <w:b/>
                <w:sz w:val="18"/>
              </w:rPr>
            </w:pPr>
            <w:r w:rsidRPr="00426BE2">
              <w:rPr>
                <w:b/>
                <w:sz w:val="18"/>
              </w:rPr>
              <w:t>Oferta de Referencia</w:t>
            </w:r>
          </w:p>
        </w:tc>
        <w:tc>
          <w:tcPr>
            <w:tcW w:w="755" w:type="pct"/>
            <w:shd w:val="clear" w:color="auto" w:fill="E7E6E6" w:themeFill="background2"/>
          </w:tcPr>
          <w:p w14:paraId="1A44B295" w14:textId="77777777" w:rsidR="00302FA6" w:rsidRPr="00426BE2" w:rsidRDefault="00302FA6" w:rsidP="004F36F7">
            <w:pPr>
              <w:pStyle w:val="TxtListado"/>
              <w:spacing w:before="240"/>
              <w:jc w:val="center"/>
              <w:rPr>
                <w:b/>
                <w:sz w:val="18"/>
              </w:rPr>
            </w:pPr>
            <w:r w:rsidRPr="00426BE2">
              <w:rPr>
                <w:b/>
                <w:sz w:val="18"/>
              </w:rPr>
              <w:t>Operador</w:t>
            </w:r>
          </w:p>
        </w:tc>
        <w:tc>
          <w:tcPr>
            <w:tcW w:w="2588" w:type="pct"/>
            <w:shd w:val="clear" w:color="auto" w:fill="E7E6E6" w:themeFill="background2"/>
          </w:tcPr>
          <w:p w14:paraId="5883B367" w14:textId="77777777" w:rsidR="00302FA6" w:rsidRPr="00426BE2" w:rsidRDefault="00302FA6" w:rsidP="004F36F7">
            <w:pPr>
              <w:pStyle w:val="TxtListado"/>
              <w:spacing w:before="240"/>
              <w:jc w:val="center"/>
              <w:rPr>
                <w:b/>
                <w:sz w:val="18"/>
              </w:rPr>
            </w:pPr>
            <w:r w:rsidRPr="00426BE2">
              <w:rPr>
                <w:b/>
                <w:sz w:val="18"/>
              </w:rPr>
              <w:t>Descripción de estructura tarifaria</w:t>
            </w:r>
          </w:p>
        </w:tc>
      </w:tr>
      <w:tr w:rsidR="00302FA6" w:rsidRPr="00E40369" w14:paraId="0E4D710B" w14:textId="77777777" w:rsidTr="00E331AA">
        <w:trPr>
          <w:trHeight w:val="967"/>
          <w:jc w:val="center"/>
        </w:trPr>
        <w:tc>
          <w:tcPr>
            <w:tcW w:w="461" w:type="pct"/>
            <w:shd w:val="clear" w:color="auto" w:fill="auto"/>
          </w:tcPr>
          <w:p w14:paraId="7152980F" w14:textId="77777777" w:rsidR="00302FA6" w:rsidRPr="00426BE2" w:rsidRDefault="00302FA6" w:rsidP="004F36F7">
            <w:pPr>
              <w:pStyle w:val="TxtListado"/>
              <w:spacing w:before="240"/>
              <w:rPr>
                <w:sz w:val="18"/>
              </w:rPr>
            </w:pPr>
            <w:r w:rsidRPr="00426BE2">
              <w:rPr>
                <w:sz w:val="18"/>
              </w:rPr>
              <w:t>España</w:t>
            </w:r>
          </w:p>
        </w:tc>
        <w:tc>
          <w:tcPr>
            <w:tcW w:w="1196" w:type="pct"/>
            <w:shd w:val="clear" w:color="auto" w:fill="auto"/>
          </w:tcPr>
          <w:p w14:paraId="08A05EC7" w14:textId="77777777" w:rsidR="00302FA6" w:rsidRPr="00426BE2" w:rsidRDefault="00302FA6" w:rsidP="004F36F7">
            <w:pPr>
              <w:pStyle w:val="TxtListado"/>
              <w:spacing w:before="240"/>
              <w:jc w:val="both"/>
              <w:rPr>
                <w:sz w:val="18"/>
              </w:rPr>
            </w:pPr>
            <w:r w:rsidRPr="00426BE2">
              <w:rPr>
                <w:sz w:val="18"/>
              </w:rPr>
              <w:t>Oferta de Acceso Mayorista a la Línea Telefónica (AMLT) de Telefónica de España SAU</w:t>
            </w:r>
            <w:r w:rsidRPr="00426BE2">
              <w:rPr>
                <w:rStyle w:val="Refdenotaalpie"/>
                <w:sz w:val="18"/>
              </w:rPr>
              <w:footnoteReference w:id="4"/>
            </w:r>
          </w:p>
        </w:tc>
        <w:tc>
          <w:tcPr>
            <w:tcW w:w="755" w:type="pct"/>
          </w:tcPr>
          <w:p w14:paraId="0B60BE5B" w14:textId="77777777" w:rsidR="00302FA6" w:rsidRPr="00426BE2" w:rsidRDefault="00302FA6" w:rsidP="004F36F7">
            <w:pPr>
              <w:pStyle w:val="TxtListado"/>
              <w:spacing w:before="240"/>
              <w:jc w:val="center"/>
              <w:rPr>
                <w:sz w:val="18"/>
              </w:rPr>
            </w:pPr>
            <w:r w:rsidRPr="00426BE2">
              <w:rPr>
                <w:sz w:val="18"/>
              </w:rPr>
              <w:t>Telefónica</w:t>
            </w:r>
          </w:p>
        </w:tc>
        <w:tc>
          <w:tcPr>
            <w:tcW w:w="2588" w:type="pct"/>
            <w:shd w:val="clear" w:color="auto" w:fill="auto"/>
          </w:tcPr>
          <w:p w14:paraId="1973562B" w14:textId="77777777" w:rsidR="00302FA6" w:rsidRPr="00426BE2" w:rsidRDefault="00302FA6" w:rsidP="004F36F7">
            <w:pPr>
              <w:pStyle w:val="TxtListado"/>
              <w:numPr>
                <w:ilvl w:val="0"/>
                <w:numId w:val="22"/>
              </w:numPr>
              <w:spacing w:before="240"/>
              <w:ind w:left="321" w:hanging="284"/>
              <w:jc w:val="both"/>
              <w:rPr>
                <w:sz w:val="18"/>
              </w:rPr>
            </w:pPr>
            <w:r w:rsidRPr="00426BE2">
              <w:rPr>
                <w:sz w:val="18"/>
                <w:lang w:val="es-ES"/>
              </w:rPr>
              <w:t>Renta</w:t>
            </w:r>
            <w:r w:rsidRPr="00426BE2">
              <w:rPr>
                <w:sz w:val="18"/>
              </w:rPr>
              <w:t xml:space="preserve"> mensual del servicio de acceso a la red pública telefónica fija de Telefónica de España</w:t>
            </w:r>
          </w:p>
          <w:p w14:paraId="78BD706E" w14:textId="77777777" w:rsidR="00302FA6" w:rsidRPr="00426BE2" w:rsidRDefault="00302FA6" w:rsidP="004F36F7">
            <w:pPr>
              <w:pStyle w:val="TxtListado"/>
              <w:numPr>
                <w:ilvl w:val="0"/>
                <w:numId w:val="22"/>
              </w:numPr>
              <w:spacing w:before="240"/>
              <w:ind w:left="321" w:hanging="284"/>
              <w:jc w:val="both"/>
              <w:rPr>
                <w:sz w:val="18"/>
              </w:rPr>
            </w:pPr>
            <w:r w:rsidRPr="00426BE2">
              <w:rPr>
                <w:sz w:val="18"/>
              </w:rPr>
              <w:t>Servicios prestados por Telefónica de España a los abonados a los que provee dicho acceso. De manera particular aquellos relativos al</w:t>
            </w:r>
            <w:r w:rsidRPr="00426BE2">
              <w:rPr>
                <w:sz w:val="18"/>
                <w:lang w:val="es-ES"/>
              </w:rPr>
              <w:t xml:space="preserve"> tráfico (se refiere al tráfico excluido de la preselección, con la excepción del tráfico cursado mediante la modalidad de selección de operador llamada a llamada).</w:t>
            </w:r>
          </w:p>
          <w:p w14:paraId="168F30BD" w14:textId="77777777" w:rsidR="00302FA6" w:rsidRPr="00426BE2" w:rsidRDefault="0051463A" w:rsidP="004F36F7">
            <w:pPr>
              <w:pStyle w:val="TxtListado"/>
              <w:numPr>
                <w:ilvl w:val="0"/>
                <w:numId w:val="22"/>
              </w:numPr>
              <w:spacing w:before="240"/>
              <w:ind w:left="321" w:hanging="284"/>
              <w:jc w:val="both"/>
              <w:rPr>
                <w:sz w:val="18"/>
              </w:rPr>
            </w:pPr>
            <w:r w:rsidRPr="00426BE2">
              <w:rPr>
                <w:sz w:val="18"/>
              </w:rPr>
              <w:t xml:space="preserve">Cabe destacar que para poder beneficiarse del servicio AMLT, el usuario debe contratar el servicio de preselección en su modalidad global extendida. Asimismo, a nivel mayorista el uso del AMLT implica también la asociación con el servicio de originación. El objetivo </w:t>
            </w:r>
            <w:r w:rsidR="00A10FB3" w:rsidRPr="00426BE2">
              <w:rPr>
                <w:sz w:val="18"/>
              </w:rPr>
              <w:t>de lo anterior</w:t>
            </w:r>
            <w:r w:rsidRPr="00426BE2">
              <w:rPr>
                <w:sz w:val="18"/>
              </w:rPr>
              <w:t xml:space="preserve"> es que el operador </w:t>
            </w:r>
            <w:r w:rsidR="00A10FB3" w:rsidRPr="00426BE2">
              <w:rPr>
                <w:sz w:val="18"/>
              </w:rPr>
              <w:t>entrante</w:t>
            </w:r>
            <w:r w:rsidRPr="00426BE2">
              <w:rPr>
                <w:sz w:val="18"/>
              </w:rPr>
              <w:t xml:space="preserve"> preste un servicio de factura única a sus clientes finales, que debe incluir tanto la cuota de abono (gracias al AMLT) como las llamadas (a través de los servicios de preselección y originación).</w:t>
            </w:r>
            <w:r w:rsidRPr="00426BE2">
              <w:rPr>
                <w:rStyle w:val="Refdenotaalpie"/>
                <w:sz w:val="18"/>
              </w:rPr>
              <w:footnoteReference w:id="5"/>
            </w:r>
          </w:p>
        </w:tc>
      </w:tr>
      <w:tr w:rsidR="00302FA6" w:rsidRPr="00E40369" w14:paraId="140BF72A" w14:textId="77777777" w:rsidTr="00E331AA">
        <w:trPr>
          <w:jc w:val="center"/>
        </w:trPr>
        <w:tc>
          <w:tcPr>
            <w:tcW w:w="461" w:type="pct"/>
            <w:shd w:val="clear" w:color="auto" w:fill="auto"/>
          </w:tcPr>
          <w:p w14:paraId="4BF6772E" w14:textId="77777777" w:rsidR="00302FA6" w:rsidRPr="00426BE2" w:rsidRDefault="00302FA6" w:rsidP="004F36F7">
            <w:pPr>
              <w:pStyle w:val="TxtListado"/>
              <w:spacing w:before="240"/>
              <w:rPr>
                <w:sz w:val="18"/>
              </w:rPr>
            </w:pPr>
            <w:r w:rsidRPr="00426BE2">
              <w:rPr>
                <w:sz w:val="18"/>
              </w:rPr>
              <w:t>Francia</w:t>
            </w:r>
          </w:p>
        </w:tc>
        <w:tc>
          <w:tcPr>
            <w:tcW w:w="1196" w:type="pct"/>
            <w:shd w:val="clear" w:color="auto" w:fill="auto"/>
          </w:tcPr>
          <w:p w14:paraId="494704CA" w14:textId="77777777" w:rsidR="00302FA6" w:rsidRPr="00426BE2" w:rsidRDefault="00302FA6" w:rsidP="004F36F7">
            <w:pPr>
              <w:pStyle w:val="TxtListado"/>
              <w:spacing w:before="240"/>
              <w:jc w:val="both"/>
              <w:rPr>
                <w:sz w:val="18"/>
              </w:rPr>
            </w:pPr>
            <w:r w:rsidRPr="00426BE2">
              <w:rPr>
                <w:sz w:val="18"/>
              </w:rPr>
              <w:t>Offre de Vente En Gros De L’abonnement Téléphonique d’Orange</w:t>
            </w:r>
            <w:r w:rsidRPr="00426BE2">
              <w:rPr>
                <w:rStyle w:val="Refdenotaalpie"/>
                <w:sz w:val="18"/>
              </w:rPr>
              <w:footnoteReference w:id="6"/>
            </w:r>
          </w:p>
        </w:tc>
        <w:tc>
          <w:tcPr>
            <w:tcW w:w="755" w:type="pct"/>
          </w:tcPr>
          <w:p w14:paraId="448F947F" w14:textId="77777777" w:rsidR="00302FA6" w:rsidRPr="00426BE2" w:rsidRDefault="00302FA6" w:rsidP="004F36F7">
            <w:pPr>
              <w:pStyle w:val="TxtListado"/>
              <w:spacing w:before="240"/>
              <w:jc w:val="center"/>
              <w:rPr>
                <w:sz w:val="18"/>
              </w:rPr>
            </w:pPr>
            <w:r w:rsidRPr="00426BE2">
              <w:rPr>
                <w:sz w:val="18"/>
              </w:rPr>
              <w:t>Orange</w:t>
            </w:r>
          </w:p>
        </w:tc>
        <w:tc>
          <w:tcPr>
            <w:tcW w:w="2588" w:type="pct"/>
            <w:shd w:val="clear" w:color="auto" w:fill="auto"/>
          </w:tcPr>
          <w:p w14:paraId="5340A12E" w14:textId="77777777" w:rsidR="00302FA6" w:rsidRPr="00426BE2" w:rsidRDefault="00302FA6" w:rsidP="004F36F7">
            <w:pPr>
              <w:pStyle w:val="TxtListado"/>
              <w:numPr>
                <w:ilvl w:val="0"/>
                <w:numId w:val="22"/>
              </w:numPr>
              <w:spacing w:before="240"/>
              <w:ind w:left="321" w:hanging="284"/>
              <w:jc w:val="both"/>
              <w:rPr>
                <w:sz w:val="18"/>
              </w:rPr>
            </w:pPr>
            <w:r w:rsidRPr="00426BE2">
              <w:rPr>
                <w:sz w:val="18"/>
                <w:lang w:val="es-ES"/>
              </w:rPr>
              <w:t>Renta mensual por una conexión analógica o ISND (para acceso básico) a la red conmutada, para líneas individuales o grupos de líneas.</w:t>
            </w:r>
          </w:p>
          <w:p w14:paraId="717441C4" w14:textId="77777777" w:rsidR="00302FA6" w:rsidRPr="00426BE2" w:rsidRDefault="00302FA6" w:rsidP="004F36F7">
            <w:pPr>
              <w:pStyle w:val="TxtListado"/>
              <w:numPr>
                <w:ilvl w:val="0"/>
                <w:numId w:val="22"/>
              </w:numPr>
              <w:spacing w:before="240"/>
              <w:ind w:left="321" w:hanging="284"/>
              <w:jc w:val="both"/>
              <w:rPr>
                <w:sz w:val="18"/>
                <w:lang w:val="es-ES"/>
              </w:rPr>
            </w:pPr>
            <w:r w:rsidRPr="00426BE2">
              <w:rPr>
                <w:sz w:val="18"/>
                <w:lang w:val="es-ES"/>
              </w:rPr>
              <w:t>Para prestar el servicio a través de dicha oferta de referencia se requiere el enrutamiento del tráfico por Orange, bajo las condiciones técnicas y de precios del Acuerdo de Interconexión firmado con Orange.</w:t>
            </w:r>
            <w:r w:rsidR="009779FE" w:rsidRPr="00426BE2">
              <w:rPr>
                <w:sz w:val="18"/>
                <w:lang w:val="es-ES"/>
              </w:rPr>
              <w:t xml:space="preserve"> </w:t>
            </w:r>
            <w:r w:rsidRPr="00426BE2">
              <w:rPr>
                <w:sz w:val="18"/>
                <w:lang w:val="es-ES"/>
              </w:rPr>
              <w:t xml:space="preserve">Como tal, el tráfico transportado se </w:t>
            </w:r>
            <w:r w:rsidRPr="00426BE2">
              <w:rPr>
                <w:sz w:val="18"/>
                <w:lang w:val="es-ES"/>
              </w:rPr>
              <w:lastRenderedPageBreak/>
              <w:t>factura en las condiciones descritas en el convenio de interconexión celebrado entre el operador entrante y Orange.</w:t>
            </w:r>
          </w:p>
        </w:tc>
      </w:tr>
      <w:tr w:rsidR="00302FA6" w:rsidRPr="00E40369" w14:paraId="00D4E680" w14:textId="77777777" w:rsidTr="00E331AA">
        <w:trPr>
          <w:jc w:val="center"/>
        </w:trPr>
        <w:tc>
          <w:tcPr>
            <w:tcW w:w="461" w:type="pct"/>
            <w:shd w:val="clear" w:color="auto" w:fill="auto"/>
          </w:tcPr>
          <w:p w14:paraId="2A15BC95" w14:textId="77777777" w:rsidR="00302FA6" w:rsidRPr="00426BE2" w:rsidRDefault="00302FA6" w:rsidP="004F36F7">
            <w:pPr>
              <w:pStyle w:val="TxtListado"/>
              <w:spacing w:before="240"/>
              <w:rPr>
                <w:sz w:val="18"/>
              </w:rPr>
            </w:pPr>
            <w:r w:rsidRPr="00426BE2">
              <w:rPr>
                <w:sz w:val="18"/>
              </w:rPr>
              <w:lastRenderedPageBreak/>
              <w:t>Grecia</w:t>
            </w:r>
          </w:p>
        </w:tc>
        <w:tc>
          <w:tcPr>
            <w:tcW w:w="1196" w:type="pct"/>
            <w:shd w:val="clear" w:color="auto" w:fill="auto"/>
          </w:tcPr>
          <w:p w14:paraId="1EF06E0F" w14:textId="77777777" w:rsidR="00302FA6" w:rsidRPr="00426BE2" w:rsidRDefault="00302FA6" w:rsidP="004F36F7">
            <w:pPr>
              <w:pStyle w:val="TxtListado"/>
              <w:spacing w:before="240"/>
              <w:jc w:val="both"/>
              <w:rPr>
                <w:sz w:val="18"/>
              </w:rPr>
            </w:pPr>
            <w:r w:rsidRPr="00426BE2">
              <w:rPr>
                <w:sz w:val="18"/>
              </w:rPr>
              <w:t>Oferta de alquiler de línea mayorista</w:t>
            </w:r>
            <w:r w:rsidRPr="00426BE2">
              <w:rPr>
                <w:rStyle w:val="Refdenotaalpie"/>
                <w:sz w:val="18"/>
              </w:rPr>
              <w:footnoteReference w:id="7"/>
            </w:r>
          </w:p>
        </w:tc>
        <w:tc>
          <w:tcPr>
            <w:tcW w:w="755" w:type="pct"/>
          </w:tcPr>
          <w:p w14:paraId="08BAE555" w14:textId="77777777" w:rsidR="00302FA6" w:rsidRPr="00426BE2" w:rsidRDefault="00302FA6" w:rsidP="004F36F7">
            <w:pPr>
              <w:pStyle w:val="TxtListado"/>
              <w:spacing w:before="240"/>
              <w:jc w:val="both"/>
              <w:rPr>
                <w:sz w:val="18"/>
              </w:rPr>
            </w:pPr>
            <w:r w:rsidRPr="00426BE2">
              <w:rPr>
                <w:sz w:val="18"/>
              </w:rPr>
              <w:t>Organización de Telecomunicaciones Helénica (“OTE”, por sus siglas en griego)</w:t>
            </w:r>
          </w:p>
        </w:tc>
        <w:tc>
          <w:tcPr>
            <w:tcW w:w="2588" w:type="pct"/>
            <w:shd w:val="clear" w:color="auto" w:fill="auto"/>
          </w:tcPr>
          <w:p w14:paraId="04FCA3FB" w14:textId="77777777" w:rsidR="00302FA6" w:rsidRPr="00426BE2" w:rsidRDefault="00302FA6" w:rsidP="004F36F7">
            <w:pPr>
              <w:pStyle w:val="TxtListado"/>
              <w:numPr>
                <w:ilvl w:val="0"/>
                <w:numId w:val="22"/>
              </w:numPr>
              <w:spacing w:before="240"/>
              <w:ind w:left="321" w:hanging="284"/>
              <w:jc w:val="both"/>
              <w:rPr>
                <w:sz w:val="18"/>
                <w:lang w:val="es-ES"/>
              </w:rPr>
            </w:pPr>
            <w:r w:rsidRPr="00426BE2">
              <w:rPr>
                <w:sz w:val="18"/>
                <w:lang w:val="es-ES"/>
              </w:rPr>
              <w:t>Renta mensual de la línea de acceso (PSTN o ISDN BRA) de un cliente final de OTE.</w:t>
            </w:r>
            <w:r w:rsidRPr="00426BE2">
              <w:rPr>
                <w:sz w:val="18"/>
              </w:rPr>
              <w:t xml:space="preserve"> </w:t>
            </w:r>
            <w:r w:rsidRPr="00426BE2">
              <w:rPr>
                <w:sz w:val="18"/>
                <w:lang w:val="es-ES"/>
              </w:rPr>
              <w:t>Un requisito necesario para la prestación del servicio es combinarlo con un esquema de preselección con el operador (“</w:t>
            </w:r>
            <w:r w:rsidRPr="00963B29">
              <w:rPr>
                <w:i/>
                <w:sz w:val="18"/>
                <w:lang w:val="es-ES"/>
              </w:rPr>
              <w:t>Carrier Preselection – Scheme 3, Service</w:t>
            </w:r>
            <w:r w:rsidRPr="00426BE2">
              <w:rPr>
                <w:sz w:val="18"/>
                <w:lang w:val="es-ES"/>
              </w:rPr>
              <w:t>”</w:t>
            </w:r>
            <w:r w:rsidR="00880470">
              <w:rPr>
                <w:sz w:val="18"/>
                <w:lang w:val="es-ES"/>
              </w:rPr>
              <w:t>)</w:t>
            </w:r>
            <w:r w:rsidRPr="00426BE2">
              <w:rPr>
                <w:sz w:val="18"/>
                <w:lang w:val="es-ES"/>
              </w:rPr>
              <w:t>.</w:t>
            </w:r>
          </w:p>
          <w:p w14:paraId="6B2B8D34" w14:textId="77777777" w:rsidR="00302FA6" w:rsidRPr="00426BE2" w:rsidRDefault="00302FA6" w:rsidP="004F36F7">
            <w:pPr>
              <w:pStyle w:val="TxtListado"/>
              <w:numPr>
                <w:ilvl w:val="0"/>
                <w:numId w:val="22"/>
              </w:numPr>
              <w:spacing w:before="240"/>
              <w:ind w:left="321" w:hanging="284"/>
              <w:jc w:val="both"/>
              <w:rPr>
                <w:sz w:val="18"/>
              </w:rPr>
            </w:pPr>
            <w:r w:rsidRPr="00426BE2">
              <w:rPr>
                <w:sz w:val="18"/>
              </w:rPr>
              <w:t>Las</w:t>
            </w:r>
            <w:r w:rsidRPr="00426BE2">
              <w:rPr>
                <w:sz w:val="18"/>
                <w:lang w:val="es-ES"/>
              </w:rPr>
              <w:t xml:space="preserve"> llamadas que no están incluidas en dicho esquema de preselección se facturan utilizando la lista de precios de “</w:t>
            </w:r>
            <w:r w:rsidRPr="00963B29">
              <w:rPr>
                <w:i/>
                <w:sz w:val="18"/>
                <w:lang w:val="es-ES"/>
              </w:rPr>
              <w:t>OTE Retail</w:t>
            </w:r>
            <w:r w:rsidRPr="00426BE2">
              <w:rPr>
                <w:sz w:val="18"/>
                <w:lang w:val="es-ES"/>
              </w:rPr>
              <w:t>” donde se aplica un porcentaje de descuento, según el acuerdo comercial entre OTE y Operador entrante.</w:t>
            </w:r>
          </w:p>
        </w:tc>
      </w:tr>
      <w:tr w:rsidR="00302FA6" w:rsidRPr="00E40369" w14:paraId="27388C46" w14:textId="77777777" w:rsidTr="00E331AA">
        <w:trPr>
          <w:jc w:val="center"/>
        </w:trPr>
        <w:tc>
          <w:tcPr>
            <w:tcW w:w="461" w:type="pct"/>
            <w:shd w:val="clear" w:color="auto" w:fill="auto"/>
          </w:tcPr>
          <w:p w14:paraId="029B717A" w14:textId="77777777" w:rsidR="00302FA6" w:rsidRPr="00426BE2" w:rsidRDefault="00302FA6" w:rsidP="004F36F7">
            <w:pPr>
              <w:pStyle w:val="TxtListado"/>
              <w:spacing w:before="240"/>
              <w:rPr>
                <w:sz w:val="18"/>
              </w:rPr>
            </w:pPr>
            <w:r w:rsidRPr="00426BE2">
              <w:rPr>
                <w:sz w:val="18"/>
              </w:rPr>
              <w:t>Italia</w:t>
            </w:r>
          </w:p>
        </w:tc>
        <w:tc>
          <w:tcPr>
            <w:tcW w:w="1196" w:type="pct"/>
            <w:shd w:val="clear" w:color="auto" w:fill="auto"/>
          </w:tcPr>
          <w:p w14:paraId="205D18E9" w14:textId="77777777" w:rsidR="00302FA6" w:rsidRPr="00426BE2" w:rsidRDefault="00302FA6" w:rsidP="004F36F7">
            <w:pPr>
              <w:pStyle w:val="TxtListado"/>
              <w:spacing w:before="240"/>
              <w:jc w:val="both"/>
              <w:rPr>
                <w:sz w:val="18"/>
              </w:rPr>
            </w:pPr>
            <w:r w:rsidRPr="00426BE2">
              <w:rPr>
                <w:sz w:val="18"/>
              </w:rPr>
              <w:t>Offerta di Riferimento di Telecom Italia 2018 Servizio Wholesale Line Rental</w:t>
            </w:r>
            <w:r w:rsidRPr="00426BE2">
              <w:rPr>
                <w:rStyle w:val="Refdenotaalpie"/>
                <w:sz w:val="18"/>
              </w:rPr>
              <w:footnoteReference w:id="8"/>
            </w:r>
          </w:p>
        </w:tc>
        <w:tc>
          <w:tcPr>
            <w:tcW w:w="755" w:type="pct"/>
          </w:tcPr>
          <w:p w14:paraId="2E915B7A" w14:textId="77777777" w:rsidR="00302FA6" w:rsidRPr="00426BE2" w:rsidRDefault="00302FA6" w:rsidP="004F36F7">
            <w:pPr>
              <w:pStyle w:val="TxtListado"/>
              <w:spacing w:before="240"/>
              <w:jc w:val="center"/>
              <w:rPr>
                <w:sz w:val="18"/>
              </w:rPr>
            </w:pPr>
            <w:r w:rsidRPr="00426BE2">
              <w:rPr>
                <w:sz w:val="18"/>
              </w:rPr>
              <w:t>Telecom Italia</w:t>
            </w:r>
          </w:p>
        </w:tc>
        <w:tc>
          <w:tcPr>
            <w:tcW w:w="2588" w:type="pct"/>
            <w:shd w:val="clear" w:color="auto" w:fill="auto"/>
          </w:tcPr>
          <w:p w14:paraId="196F24B0" w14:textId="77777777" w:rsidR="00302FA6" w:rsidRPr="00426BE2" w:rsidRDefault="00302FA6" w:rsidP="004F36F7">
            <w:pPr>
              <w:pStyle w:val="TxtListado"/>
              <w:numPr>
                <w:ilvl w:val="0"/>
                <w:numId w:val="22"/>
              </w:numPr>
              <w:spacing w:before="240"/>
              <w:ind w:left="321" w:hanging="284"/>
              <w:jc w:val="both"/>
              <w:rPr>
                <w:sz w:val="18"/>
              </w:rPr>
            </w:pPr>
            <w:r w:rsidRPr="00426BE2">
              <w:rPr>
                <w:sz w:val="18"/>
              </w:rPr>
              <w:t>Renta mensual de acceso (POTS o ISDN) a la red telefónica de Telecom Italia.</w:t>
            </w:r>
          </w:p>
          <w:p w14:paraId="57DF2919" w14:textId="77777777" w:rsidR="00302FA6" w:rsidRPr="00426BE2" w:rsidRDefault="00302FA6" w:rsidP="004F36F7">
            <w:pPr>
              <w:pStyle w:val="TxtListado"/>
              <w:numPr>
                <w:ilvl w:val="0"/>
                <w:numId w:val="22"/>
              </w:numPr>
              <w:spacing w:before="240"/>
              <w:ind w:left="321" w:hanging="284"/>
              <w:jc w:val="both"/>
              <w:rPr>
                <w:sz w:val="18"/>
              </w:rPr>
            </w:pPr>
            <w:r w:rsidRPr="00426BE2">
              <w:rPr>
                <w:sz w:val="18"/>
              </w:rPr>
              <w:t xml:space="preserve">Tráfico saliente desde el usuario final: en relación con el transporte hasta la interconexión con el operador entrante o hasta los sistemas que lo alojan, el operador entrante debe pagar a </w:t>
            </w:r>
            <w:r w:rsidRPr="00426BE2">
              <w:rPr>
                <w:sz w:val="18"/>
              </w:rPr>
              <w:lastRenderedPageBreak/>
              <w:t>Telecom Italia el precio indicado en la oferta de referencia específica</w:t>
            </w:r>
            <w:r w:rsidRPr="00426BE2">
              <w:rPr>
                <w:rStyle w:val="Refdenotaalpie"/>
                <w:sz w:val="18"/>
              </w:rPr>
              <w:footnoteReference w:id="9"/>
            </w:r>
            <w:r w:rsidRPr="00426BE2">
              <w:rPr>
                <w:sz w:val="18"/>
              </w:rPr>
              <w:t>.</w:t>
            </w:r>
          </w:p>
        </w:tc>
      </w:tr>
    </w:tbl>
    <w:p w14:paraId="3F6A0FAE" w14:textId="77777777" w:rsidR="00302FA6" w:rsidRDefault="00302FA6" w:rsidP="004F36F7">
      <w:pPr>
        <w:pStyle w:val="IFTnormal"/>
        <w:spacing w:before="240"/>
        <w:rPr>
          <w:rStyle w:val="IFTnormalCar"/>
        </w:rPr>
      </w:pPr>
    </w:p>
    <w:p w14:paraId="62E84D2B" w14:textId="5AFC5D12" w:rsidR="00302FA6" w:rsidRDefault="00302FA6" w:rsidP="004F36F7">
      <w:pPr>
        <w:pStyle w:val="IFTnormal"/>
        <w:spacing w:before="240"/>
        <w:rPr>
          <w:rStyle w:val="IFTnormalCar"/>
        </w:rPr>
      </w:pPr>
      <w:r>
        <w:rPr>
          <w:rStyle w:val="IFTnormalCar"/>
        </w:rPr>
        <w:t xml:space="preserve">En mérito de lo anterior, así como de los argumentos vertidos en el mencionado </w:t>
      </w:r>
      <w:r>
        <w:rPr>
          <w:color w:val="000000" w:themeColor="text1"/>
        </w:rPr>
        <w:t xml:space="preserve">Considerando QUINTO </w:t>
      </w:r>
      <w:r>
        <w:rPr>
          <w:rStyle w:val="IFTnormalCar"/>
        </w:rPr>
        <w:t xml:space="preserve">y en línea con lo establecido en la Resolución </w:t>
      </w:r>
      <w:r w:rsidR="000B4912">
        <w:t>SRMLT</w:t>
      </w:r>
      <w:r>
        <w:rPr>
          <w:rStyle w:val="IFTnormalCar"/>
        </w:rPr>
        <w:t>, el Instituto determina modificar la Propuesta de tarifas del AEP para considerar al concepto “</w:t>
      </w:r>
      <w:r w:rsidRPr="00963B29">
        <w:rPr>
          <w:rStyle w:val="IFTnormalCar"/>
          <w:i/>
        </w:rPr>
        <w:t xml:space="preserve">Renta mensual </w:t>
      </w:r>
      <w:r w:rsidR="002C63A9" w:rsidRPr="00963B29">
        <w:rPr>
          <w:rStyle w:val="IFTnormalCar"/>
          <w:i/>
        </w:rPr>
        <w:t xml:space="preserve">de </w:t>
      </w:r>
      <w:r w:rsidRPr="00963B29">
        <w:rPr>
          <w:rStyle w:val="IFTnormalCar"/>
          <w:i/>
        </w:rPr>
        <w:t>línea</w:t>
      </w:r>
      <w:r>
        <w:rPr>
          <w:rStyle w:val="IFTnormalCar"/>
        </w:rPr>
        <w:t xml:space="preserve">” dentro de los cobros recurrentes aplicables a dicho servicio, </w:t>
      </w:r>
      <w:r w:rsidR="00A0378C">
        <w:rPr>
          <w:rStyle w:val="IFTnormalCar"/>
        </w:rPr>
        <w:t xml:space="preserve">es importante </w:t>
      </w:r>
      <w:r>
        <w:rPr>
          <w:rStyle w:val="IFTnormalCar"/>
        </w:rPr>
        <w:t>precisar que la contraprestación mensual por tal servicio</w:t>
      </w:r>
      <w:r w:rsidR="00090C2C">
        <w:rPr>
          <w:rStyle w:val="IFTnormalCar"/>
        </w:rPr>
        <w:t xml:space="preserve"> para</w:t>
      </w:r>
      <w:r w:rsidR="0098387D">
        <w:rPr>
          <w:color w:val="000000" w:themeColor="text1"/>
        </w:rPr>
        <w:t xml:space="preserve"> una línea uso residencial,</w:t>
      </w:r>
      <w:r>
        <w:rPr>
          <w:rStyle w:val="IFTnormalCar"/>
        </w:rPr>
        <w:t xml:space="preserve"> resulta en un valor de </w:t>
      </w:r>
      <w:r w:rsidR="00090C2C">
        <w:rPr>
          <w:rStyle w:val="IFTnormalCar"/>
        </w:rPr>
        <w:t>105.4141</w:t>
      </w:r>
      <w:r>
        <w:rPr>
          <w:rStyle w:val="IFTnormalCar"/>
        </w:rPr>
        <w:t xml:space="preserve"> pesos mexicanos, </w:t>
      </w:r>
      <w:r w:rsidR="00090C2C">
        <w:rPr>
          <w:rStyle w:val="IFTnormalCar"/>
        </w:rPr>
        <w:t>mientras que para</w:t>
      </w:r>
      <w:r w:rsidR="00090C2C">
        <w:rPr>
          <w:color w:val="000000" w:themeColor="text1"/>
        </w:rPr>
        <w:t xml:space="preserve"> una línea uso comercial </w:t>
      </w:r>
      <w:r w:rsidR="00090C2C">
        <w:rPr>
          <w:rStyle w:val="IFTnormalCar"/>
        </w:rPr>
        <w:t>resulta en un valor de 138.0042 pesos mexicanos. Lo anterior en el entendido de</w:t>
      </w:r>
      <w:r>
        <w:rPr>
          <w:rStyle w:val="IFTnormalCar"/>
        </w:rPr>
        <w:t xml:space="preserve"> que la</w:t>
      </w:r>
      <w:r w:rsidR="00090C2C">
        <w:rPr>
          <w:rStyle w:val="IFTnormalCar"/>
        </w:rPr>
        <w:t>s</w:t>
      </w:r>
      <w:r>
        <w:rPr>
          <w:rStyle w:val="IFTnormalCar"/>
        </w:rPr>
        <w:t xml:space="preserve"> misma</w:t>
      </w:r>
      <w:r w:rsidR="00090C2C">
        <w:rPr>
          <w:rStyle w:val="IFTnormalCar"/>
        </w:rPr>
        <w:t>s</w:t>
      </w:r>
      <w:r>
        <w:rPr>
          <w:rStyle w:val="IFTnormalCar"/>
        </w:rPr>
        <w:t xml:space="preserve"> deberá</w:t>
      </w:r>
      <w:r w:rsidR="00090C2C">
        <w:rPr>
          <w:rStyle w:val="IFTnormalCar"/>
        </w:rPr>
        <w:t>n</w:t>
      </w:r>
      <w:r>
        <w:rPr>
          <w:rStyle w:val="IFTnormalCar"/>
        </w:rPr>
        <w:t xml:space="preserve"> aplicarse por cada </w:t>
      </w:r>
      <w:r w:rsidR="00090C2C">
        <w:rPr>
          <w:rStyle w:val="IFTnormalCar"/>
        </w:rPr>
        <w:t xml:space="preserve">tipo de </w:t>
      </w:r>
      <w:r>
        <w:rPr>
          <w:rStyle w:val="IFTnormalCar"/>
        </w:rPr>
        <w:t xml:space="preserve">línea que contrate CS, lo cual se plasmará a través del </w:t>
      </w:r>
      <w:r w:rsidR="00B133A3">
        <w:rPr>
          <w:rStyle w:val="IFTnormalCar"/>
        </w:rPr>
        <w:t>Resolutivo PRIMERO</w:t>
      </w:r>
      <w:r>
        <w:rPr>
          <w:rStyle w:val="IFTnormalCar"/>
        </w:rPr>
        <w:t xml:space="preserve"> de la presente Resolución. </w:t>
      </w:r>
    </w:p>
    <w:p w14:paraId="04E544FD" w14:textId="77777777" w:rsidR="00302FA6" w:rsidRDefault="00302FA6" w:rsidP="004F36F7">
      <w:pPr>
        <w:pStyle w:val="IFTnormal"/>
        <w:spacing w:before="240"/>
        <w:rPr>
          <w:rStyle w:val="IFTnormalCar"/>
        </w:rPr>
      </w:pPr>
      <w:r>
        <w:rPr>
          <w:rStyle w:val="IFTnormalCar"/>
        </w:rPr>
        <w:t xml:space="preserve">Por otra parte, respecto al concepto </w:t>
      </w:r>
      <w:r w:rsidRPr="00E16DE7">
        <w:rPr>
          <w:rStyle w:val="IFTnormalCar"/>
        </w:rPr>
        <w:t>“</w:t>
      </w:r>
      <w:r w:rsidRPr="00963B29">
        <w:rPr>
          <w:rStyle w:val="IFTnormalCar"/>
          <w:i/>
        </w:rPr>
        <w:t>Servicio Medido (Conferencia)</w:t>
      </w:r>
      <w:r w:rsidRPr="00E16DE7">
        <w:rPr>
          <w:rStyle w:val="IFTnormalCar"/>
        </w:rPr>
        <w:t>”</w:t>
      </w:r>
      <w:r>
        <w:rPr>
          <w:rStyle w:val="IFTnormalCar"/>
        </w:rPr>
        <w:t>, el Instituto considera que el mismo no tiene aplicación dentro de la estructura tarifaria del SRMLT en mérito de los siguientes argumentos:</w:t>
      </w:r>
    </w:p>
    <w:p w14:paraId="6A9453A2" w14:textId="77777777" w:rsidR="00302FA6" w:rsidRDefault="00302FA6" w:rsidP="004F36F7">
      <w:pPr>
        <w:pStyle w:val="IFTnormal"/>
        <w:spacing w:before="240"/>
      </w:pPr>
      <w:r>
        <w:rPr>
          <w:rStyle w:val="IFTnormalCar"/>
        </w:rPr>
        <w:t>R</w:t>
      </w:r>
      <w:r w:rsidRPr="00FC2972">
        <w:t>especto al denominado “</w:t>
      </w:r>
      <w:r w:rsidRPr="00963B29">
        <w:rPr>
          <w:i/>
        </w:rPr>
        <w:t>Servicio Medido Local</w:t>
      </w:r>
      <w:r w:rsidRPr="00FC2972">
        <w:t>”</w:t>
      </w:r>
      <w:r>
        <w:t xml:space="preserve"> a través de las “</w:t>
      </w:r>
      <w:r w:rsidRPr="00963B29">
        <w:rPr>
          <w:i/>
        </w:rPr>
        <w:t>CONDICIONES DEL SERVICIO DE TELEFONÍA BÁSICA PARA MERCADO RESIDENCIAL Y COMERCIAL (MASIVO)</w:t>
      </w:r>
      <w:r>
        <w:t>”</w:t>
      </w:r>
      <w:r>
        <w:rPr>
          <w:rStyle w:val="Refdenotaalpie"/>
          <w:bCs w:val="0"/>
        </w:rPr>
        <w:footnoteReference w:id="10"/>
      </w:r>
      <w:r>
        <w:t>, se indica lo siguiente:</w:t>
      </w:r>
    </w:p>
    <w:p w14:paraId="575950C1" w14:textId="77777777" w:rsidR="00302FA6" w:rsidRDefault="00302FA6" w:rsidP="004F36F7">
      <w:pPr>
        <w:pStyle w:val="CitaIFT0"/>
        <w:spacing w:before="240" w:line="240" w:lineRule="auto"/>
      </w:pPr>
      <w:r>
        <w:t>“CONDICIONES DEL SERVICIO DE TELEFONÍA BÁSICA PARA MERCADO RESIDENCIAL Y COMERCIAL (MASIVO)</w:t>
      </w:r>
    </w:p>
    <w:p w14:paraId="187BF354" w14:textId="77777777" w:rsidR="00302FA6" w:rsidRPr="00D83A71" w:rsidRDefault="00302FA6" w:rsidP="004F36F7">
      <w:pPr>
        <w:pStyle w:val="CitaIFT0"/>
        <w:numPr>
          <w:ilvl w:val="0"/>
          <w:numId w:val="23"/>
        </w:numPr>
        <w:spacing w:before="240" w:line="240" w:lineRule="auto"/>
        <w:ind w:left="1571" w:hanging="360"/>
        <w:rPr>
          <w:b/>
        </w:rPr>
      </w:pPr>
      <w:r w:rsidRPr="00D83A71">
        <w:rPr>
          <w:b/>
        </w:rPr>
        <w:t>DESCRIPCIÓN</w:t>
      </w:r>
    </w:p>
    <w:p w14:paraId="6632909D" w14:textId="77777777" w:rsidR="00302FA6" w:rsidRDefault="00302FA6" w:rsidP="004F36F7">
      <w:pPr>
        <w:pStyle w:val="CitaIFT0"/>
        <w:spacing w:before="240" w:line="240" w:lineRule="auto"/>
      </w:pPr>
      <w:r w:rsidRPr="00EF7ED7">
        <w:rPr>
          <w:b/>
          <w:u w:val="single"/>
        </w:rPr>
        <w:t>El SERVICIO de Telefonía Básica constituye un servicio final de telecomunicaciones, por medio del cual se proporciona la capacidad completa para la comunicación de voz entre usuarios</w:t>
      </w:r>
      <w:r w:rsidRPr="00D83A71">
        <w:t>; a través de líneas telefónicas, las cuales están conectadas a una central de conmutación automática, en donde para establecer la comunicación entre los usuarios no se requiere de la intervención de una operadora.</w:t>
      </w:r>
    </w:p>
    <w:p w14:paraId="3CE2D298" w14:textId="77777777" w:rsidR="00302FA6" w:rsidRPr="00D83A71" w:rsidRDefault="00302FA6" w:rsidP="004F36F7">
      <w:pPr>
        <w:pStyle w:val="CitaIFT0"/>
        <w:numPr>
          <w:ilvl w:val="0"/>
          <w:numId w:val="20"/>
        </w:numPr>
        <w:spacing w:before="240" w:line="240" w:lineRule="auto"/>
        <w:rPr>
          <w:b/>
        </w:rPr>
      </w:pPr>
      <w:r w:rsidRPr="00D83A71">
        <w:rPr>
          <w:b/>
        </w:rPr>
        <w:lastRenderedPageBreak/>
        <w:t>TIPOS DE CONTRATACIÓN</w:t>
      </w:r>
    </w:p>
    <w:p w14:paraId="64B5D8D9" w14:textId="77777777" w:rsidR="00302FA6" w:rsidRDefault="00302FA6" w:rsidP="004F36F7">
      <w:pPr>
        <w:pStyle w:val="Citaift"/>
        <w:numPr>
          <w:ilvl w:val="0"/>
          <w:numId w:val="18"/>
        </w:numPr>
        <w:spacing w:before="240" w:line="240" w:lineRule="auto"/>
      </w:pPr>
      <w:r>
        <w:t xml:space="preserve">Residencial. </w:t>
      </w:r>
    </w:p>
    <w:p w14:paraId="63DE7207" w14:textId="77777777" w:rsidR="004F36F7" w:rsidRDefault="00302FA6" w:rsidP="004F36F7">
      <w:pPr>
        <w:pStyle w:val="CitaIFT0"/>
        <w:numPr>
          <w:ilvl w:val="0"/>
          <w:numId w:val="18"/>
        </w:numPr>
        <w:spacing w:before="240" w:line="240" w:lineRule="auto"/>
      </w:pPr>
      <w:r>
        <w:t>Comercial.</w:t>
      </w:r>
    </w:p>
    <w:p w14:paraId="362DF6F3" w14:textId="77777777" w:rsidR="004F36F7" w:rsidRDefault="00302FA6" w:rsidP="004F36F7">
      <w:pPr>
        <w:pStyle w:val="CitaIFT0"/>
        <w:spacing w:before="240" w:line="240" w:lineRule="auto"/>
      </w:pPr>
      <w:r>
        <w:t xml:space="preserve"> </w:t>
      </w:r>
      <w:r>
        <w:rPr>
          <w:b/>
          <w:bCs w:val="0"/>
        </w:rPr>
        <w:t>3. ELEMENTOS QUE CONFORMAN EL SERVICIO</w:t>
      </w:r>
    </w:p>
    <w:p w14:paraId="0C8613A1" w14:textId="67C9722C" w:rsidR="00302FA6" w:rsidRPr="00D83A71" w:rsidRDefault="00302FA6" w:rsidP="004F36F7">
      <w:pPr>
        <w:pStyle w:val="CitaIFT0"/>
        <w:numPr>
          <w:ilvl w:val="0"/>
          <w:numId w:val="18"/>
        </w:numPr>
        <w:spacing w:before="240" w:line="240" w:lineRule="auto"/>
      </w:pPr>
      <w:r w:rsidRPr="00D83A71">
        <w:t xml:space="preserve">Renta básica mensual. </w:t>
      </w:r>
    </w:p>
    <w:p w14:paraId="0EABC72E" w14:textId="77777777" w:rsidR="00302FA6" w:rsidRPr="00D83A71" w:rsidRDefault="00302FA6" w:rsidP="004F36F7">
      <w:pPr>
        <w:pStyle w:val="CitaIFT0"/>
        <w:numPr>
          <w:ilvl w:val="0"/>
          <w:numId w:val="18"/>
        </w:numPr>
        <w:spacing w:before="240" w:line="240" w:lineRule="auto"/>
      </w:pPr>
      <w:r w:rsidRPr="00D83A71">
        <w:t xml:space="preserve">Gastos de Instalación. </w:t>
      </w:r>
    </w:p>
    <w:p w14:paraId="6F04F252" w14:textId="77777777" w:rsidR="00302FA6" w:rsidRPr="00D83A71" w:rsidRDefault="00302FA6" w:rsidP="004F36F7">
      <w:pPr>
        <w:pStyle w:val="CitaIFT0"/>
        <w:numPr>
          <w:ilvl w:val="0"/>
          <w:numId w:val="18"/>
        </w:numPr>
        <w:spacing w:before="240" w:line="240" w:lineRule="auto"/>
        <w:rPr>
          <w:b/>
          <w:u w:val="single"/>
        </w:rPr>
      </w:pPr>
      <w:r w:rsidRPr="00D83A71">
        <w:rPr>
          <w:b/>
          <w:u w:val="single"/>
        </w:rPr>
        <w:t xml:space="preserve">SERVICIO medido Local y Nacional. </w:t>
      </w:r>
    </w:p>
    <w:p w14:paraId="2BD11FFD" w14:textId="77777777" w:rsidR="00302FA6" w:rsidRPr="00D83A71" w:rsidRDefault="00302FA6" w:rsidP="004F36F7">
      <w:pPr>
        <w:pStyle w:val="CitaIFT0"/>
        <w:numPr>
          <w:ilvl w:val="0"/>
          <w:numId w:val="18"/>
        </w:numPr>
        <w:spacing w:before="240" w:line="240" w:lineRule="auto"/>
        <w:rPr>
          <w:b/>
          <w:u w:val="single"/>
        </w:rPr>
      </w:pPr>
      <w:r w:rsidRPr="00D83A71">
        <w:rPr>
          <w:b/>
          <w:u w:val="single"/>
        </w:rPr>
        <w:t xml:space="preserve">SERVICIO de Larga Distancia Internacional y Mundial. </w:t>
      </w:r>
    </w:p>
    <w:p w14:paraId="10C4EB7A" w14:textId="77777777" w:rsidR="00302FA6" w:rsidRPr="00D83A71" w:rsidRDefault="00302FA6" w:rsidP="004F36F7">
      <w:pPr>
        <w:pStyle w:val="CitaIFT0"/>
        <w:spacing w:before="240" w:line="240" w:lineRule="auto"/>
      </w:pPr>
      <w:r w:rsidRPr="00D83A71">
        <w:t>Descripción de los elementos que conforman el SERVICIO:</w:t>
      </w:r>
    </w:p>
    <w:p w14:paraId="6D8A747E" w14:textId="77777777" w:rsidR="00302FA6" w:rsidRDefault="00302FA6" w:rsidP="004F36F7">
      <w:pPr>
        <w:pStyle w:val="CitaIFT0"/>
        <w:spacing w:before="240" w:line="240" w:lineRule="auto"/>
      </w:pPr>
      <w:r>
        <w:t>[…]</w:t>
      </w:r>
    </w:p>
    <w:p w14:paraId="73A4096B" w14:textId="77777777" w:rsidR="00302FA6" w:rsidRPr="00D83A71" w:rsidRDefault="00302FA6" w:rsidP="004F36F7">
      <w:pPr>
        <w:pStyle w:val="CitaIFT0"/>
        <w:spacing w:before="240" w:line="240" w:lineRule="auto"/>
        <w:rPr>
          <w:b/>
        </w:rPr>
      </w:pPr>
      <w:r w:rsidRPr="00D83A71">
        <w:rPr>
          <w:b/>
        </w:rPr>
        <w:t xml:space="preserve">3.3 SERVICIO MEDIDO LOCAL: </w:t>
      </w:r>
    </w:p>
    <w:p w14:paraId="770A539D" w14:textId="77777777" w:rsidR="00302FA6" w:rsidRPr="00D83A71" w:rsidRDefault="00302FA6" w:rsidP="004F36F7">
      <w:pPr>
        <w:pStyle w:val="CitaIFT0"/>
        <w:spacing w:before="240" w:line="240" w:lineRule="auto"/>
        <w:rPr>
          <w:b/>
          <w:u w:val="single"/>
        </w:rPr>
      </w:pPr>
      <w:r w:rsidRPr="00D83A71">
        <w:rPr>
          <w:b/>
          <w:u w:val="single"/>
        </w:rPr>
        <w:t xml:space="preserve">Es el cobro que surge del conteo mensual de las llamadas realizadas y completadas por EL CONSUMIDOR adicionales a las que pudieran estar incluidas en la renta mensual correspondiente a la línea telefónica. </w:t>
      </w:r>
    </w:p>
    <w:p w14:paraId="6236B714" w14:textId="77777777" w:rsidR="00302FA6" w:rsidRPr="00D83A71" w:rsidRDefault="00302FA6" w:rsidP="004F36F7">
      <w:pPr>
        <w:pStyle w:val="CitaIFT0"/>
        <w:spacing w:before="240" w:line="240" w:lineRule="auto"/>
        <w:rPr>
          <w:b/>
          <w:u w:val="single"/>
        </w:rPr>
      </w:pPr>
      <w:r w:rsidRPr="00D83A71">
        <w:rPr>
          <w:b/>
          <w:u w:val="single"/>
        </w:rPr>
        <w:t xml:space="preserve">SERVICIO MEDIDO para Líneas de Uso Residencial: Con derecho a realizar hasta 100 (cien) llamadas locales libres de cargo. </w:t>
      </w:r>
    </w:p>
    <w:p w14:paraId="4C1FA8F6" w14:textId="77777777" w:rsidR="004F36F7" w:rsidRDefault="00302FA6" w:rsidP="004F36F7">
      <w:pPr>
        <w:pStyle w:val="CitaIFT0"/>
        <w:spacing w:before="240" w:line="240" w:lineRule="auto"/>
      </w:pPr>
      <w:r w:rsidRPr="00D83A71">
        <w:rPr>
          <w:b/>
          <w:u w:val="single"/>
        </w:rPr>
        <w:t>SERVICIO MEDIDO para Líneas de Uso Comercial y para Operadores de Telefonía Pública: Sin derecho a llamadas locales libres de cargo</w:t>
      </w:r>
      <w:r>
        <w:rPr>
          <w:b/>
          <w:u w:val="single"/>
        </w:rPr>
        <w:t>.</w:t>
      </w:r>
      <w:r>
        <w:t>”</w:t>
      </w:r>
    </w:p>
    <w:p w14:paraId="5A873689" w14:textId="77777777" w:rsidR="004F36F7" w:rsidRDefault="00302FA6" w:rsidP="004F36F7">
      <w:pPr>
        <w:pStyle w:val="CitaIFT0"/>
        <w:spacing w:before="240" w:line="240" w:lineRule="auto"/>
        <w:jc w:val="right"/>
      </w:pPr>
      <w:r w:rsidRPr="00D83A71">
        <w:t>(Énfasis añadido)</w:t>
      </w:r>
    </w:p>
    <w:p w14:paraId="6518AC9B" w14:textId="75A1C81F" w:rsidR="00302FA6" w:rsidRDefault="00302FA6" w:rsidP="004F36F7">
      <w:pPr>
        <w:pStyle w:val="IFTnormal"/>
        <w:spacing w:before="240"/>
        <w:rPr>
          <w:rStyle w:val="IFTnormalCar"/>
        </w:rPr>
      </w:pPr>
      <w:r>
        <w:rPr>
          <w:rStyle w:val="IFTnormalCar"/>
        </w:rPr>
        <w:t>Asimismo, a través de la página electrónica de Telmex, se indica lo siguiente en lo tocante al “</w:t>
      </w:r>
      <w:r w:rsidRPr="00963B29">
        <w:rPr>
          <w:rStyle w:val="IFTnormalCar"/>
          <w:i/>
        </w:rPr>
        <w:t>Servicio Medido</w:t>
      </w:r>
      <w:r>
        <w:rPr>
          <w:rStyle w:val="IFTnormalCar"/>
        </w:rPr>
        <w:t>”:</w:t>
      </w:r>
    </w:p>
    <w:p w14:paraId="7EA2AF3D" w14:textId="77777777" w:rsidR="00302FA6" w:rsidRPr="00A84A15" w:rsidRDefault="00302FA6" w:rsidP="004F36F7">
      <w:pPr>
        <w:pStyle w:val="CitaIFT0"/>
        <w:spacing w:before="240"/>
        <w:rPr>
          <w:rStyle w:val="IFTnormalCar"/>
          <w:rFonts w:cs="Arial"/>
          <w:sz w:val="18"/>
          <w:szCs w:val="18"/>
          <w:lang w:eastAsia="es-ES"/>
        </w:rPr>
      </w:pPr>
      <w:r w:rsidRPr="00A84A15">
        <w:rPr>
          <w:rStyle w:val="IFTnormalCar"/>
          <w:rFonts w:cs="Arial"/>
          <w:sz w:val="18"/>
          <w:szCs w:val="18"/>
          <w:lang w:eastAsia="es-ES"/>
        </w:rPr>
        <w:t xml:space="preserve"> “Línea Telmex</w:t>
      </w:r>
    </w:p>
    <w:p w14:paraId="4229BDCE" w14:textId="77777777" w:rsidR="00302FA6" w:rsidRPr="00A84A15" w:rsidRDefault="00302FA6" w:rsidP="004F36F7">
      <w:pPr>
        <w:pStyle w:val="CitaIFT0"/>
        <w:spacing w:before="240"/>
        <w:rPr>
          <w:rStyle w:val="IFTnormalCar"/>
          <w:rFonts w:cs="Arial"/>
          <w:b/>
          <w:sz w:val="18"/>
          <w:szCs w:val="18"/>
          <w:u w:val="single"/>
          <w:lang w:eastAsia="es-ES"/>
        </w:rPr>
      </w:pPr>
      <w:r w:rsidRPr="00A84A15">
        <w:rPr>
          <w:rStyle w:val="IFTnormalCar"/>
          <w:rFonts w:cs="Arial"/>
          <w:b/>
          <w:sz w:val="18"/>
          <w:szCs w:val="18"/>
          <w:u w:val="single"/>
          <w:lang w:eastAsia="es-ES"/>
        </w:rPr>
        <w:t>- ¿Qué es el Servicio Medido?</w:t>
      </w:r>
    </w:p>
    <w:p w14:paraId="56637169" w14:textId="77777777" w:rsidR="00302FA6" w:rsidRPr="00A84A15" w:rsidRDefault="00302FA6" w:rsidP="004F36F7">
      <w:pPr>
        <w:pStyle w:val="CitaIFT0"/>
        <w:spacing w:before="240"/>
        <w:rPr>
          <w:rStyle w:val="IFTnormalCar"/>
          <w:rFonts w:cs="Arial"/>
          <w:b/>
          <w:sz w:val="18"/>
          <w:szCs w:val="18"/>
          <w:u w:val="single"/>
          <w:lang w:eastAsia="es-ES"/>
        </w:rPr>
      </w:pPr>
      <w:r w:rsidRPr="00A84A15">
        <w:rPr>
          <w:rStyle w:val="IFTnormalCar"/>
          <w:rFonts w:cs="Arial"/>
          <w:b/>
          <w:sz w:val="18"/>
          <w:szCs w:val="18"/>
          <w:u w:val="single"/>
          <w:lang w:eastAsia="es-ES"/>
        </w:rPr>
        <w:t xml:space="preserve">Es la llamada exitosa entre las líneas telefónicas fijas o móviles, locales, nacionales o internacionales (sin importar la compañía). En cada una de estas llamadas estás haciendo uso de la red telefónica local, por lo cual se cobra el Servicio Medido. </w:t>
      </w:r>
    </w:p>
    <w:p w14:paraId="4002A05D" w14:textId="77777777" w:rsidR="00302FA6" w:rsidRPr="00A84A15" w:rsidRDefault="00302FA6" w:rsidP="004F36F7">
      <w:pPr>
        <w:pStyle w:val="CitaIFT0"/>
        <w:spacing w:before="240"/>
        <w:rPr>
          <w:rStyle w:val="IFTnormalCar"/>
          <w:rFonts w:cs="Arial"/>
          <w:sz w:val="18"/>
          <w:szCs w:val="18"/>
          <w:lang w:eastAsia="es-ES"/>
        </w:rPr>
      </w:pPr>
      <w:r w:rsidRPr="00A84A15">
        <w:rPr>
          <w:rStyle w:val="IFTnormalCar"/>
          <w:rFonts w:cs="Arial"/>
          <w:b/>
          <w:sz w:val="18"/>
          <w:szCs w:val="18"/>
          <w:u w:val="single"/>
          <w:lang w:eastAsia="es-ES"/>
        </w:rPr>
        <w:t xml:space="preserve">En Telmex sólo se cobra Servicio Medido por las llamadas que hiciste y que hayan sido contestadas. </w:t>
      </w:r>
      <w:r w:rsidRPr="00A84A15">
        <w:rPr>
          <w:rStyle w:val="IFTnormalCar"/>
          <w:rFonts w:cs="Arial"/>
          <w:sz w:val="18"/>
          <w:szCs w:val="18"/>
          <w:lang w:eastAsia="es-ES"/>
        </w:rPr>
        <w:t>No se cobran las llamadas que recibiste.</w:t>
      </w:r>
    </w:p>
    <w:p w14:paraId="3FCED3BF" w14:textId="77777777" w:rsidR="00302FA6" w:rsidRPr="00A84A15" w:rsidRDefault="00302FA6" w:rsidP="004F36F7">
      <w:pPr>
        <w:pStyle w:val="CitaIFT0"/>
        <w:spacing w:before="240"/>
        <w:rPr>
          <w:rStyle w:val="IFTnormalCar"/>
          <w:rFonts w:cs="Arial"/>
          <w:b/>
          <w:sz w:val="18"/>
          <w:szCs w:val="18"/>
          <w:u w:val="single"/>
          <w:lang w:eastAsia="es-ES"/>
        </w:rPr>
      </w:pPr>
      <w:r w:rsidRPr="00A84A15">
        <w:rPr>
          <w:rStyle w:val="IFTnormalCar"/>
          <w:rFonts w:cs="Arial"/>
          <w:b/>
          <w:sz w:val="18"/>
          <w:szCs w:val="18"/>
          <w:u w:val="single"/>
          <w:lang w:eastAsia="es-ES"/>
        </w:rPr>
        <w:t>En Telmex, en las llamadas bajo la modalidad "El que llama paga" o Larga Distancia (Internacional y Mundial), se genera un evento de Servicio Medido por el uso de la red telefónica local.</w:t>
      </w:r>
    </w:p>
    <w:p w14:paraId="7C9E168E" w14:textId="77777777" w:rsidR="00302FA6" w:rsidRPr="00A84A15" w:rsidRDefault="00302FA6" w:rsidP="004F36F7">
      <w:pPr>
        <w:pStyle w:val="CitaIFT0"/>
        <w:spacing w:before="240"/>
        <w:rPr>
          <w:rStyle w:val="IFTnormalCar"/>
          <w:rFonts w:cs="Arial"/>
          <w:sz w:val="18"/>
          <w:szCs w:val="18"/>
          <w:lang w:eastAsia="es-ES"/>
        </w:rPr>
      </w:pPr>
      <w:r w:rsidRPr="00A84A15">
        <w:rPr>
          <w:rStyle w:val="IFTnormalCar"/>
          <w:rFonts w:cs="Arial"/>
          <w:b/>
          <w:sz w:val="18"/>
          <w:szCs w:val="18"/>
          <w:u w:val="single"/>
          <w:lang w:eastAsia="es-ES"/>
        </w:rPr>
        <w:lastRenderedPageBreak/>
        <w:t>En tu hogar las líneas residenciales, incluyen 100 llamadas de Servicio Medido por la renta mensual (no aplica para negocios).</w:t>
      </w:r>
      <w:r w:rsidRPr="00A84A15">
        <w:rPr>
          <w:rStyle w:val="IFTnormalCar"/>
          <w:rFonts w:cs="Arial"/>
          <w:sz w:val="18"/>
          <w:szCs w:val="18"/>
          <w:lang w:eastAsia="es-ES"/>
        </w:rPr>
        <w:t>”</w:t>
      </w:r>
    </w:p>
    <w:p w14:paraId="1CE287A3" w14:textId="77777777" w:rsidR="004F36F7" w:rsidRDefault="00302FA6" w:rsidP="004F36F7">
      <w:pPr>
        <w:pStyle w:val="CitaIFT0"/>
        <w:spacing w:before="240"/>
        <w:jc w:val="right"/>
        <w:rPr>
          <w:rStyle w:val="IFTnormalCar"/>
          <w:rFonts w:cs="Arial"/>
          <w:bCs/>
          <w:sz w:val="18"/>
          <w:szCs w:val="18"/>
          <w:lang w:eastAsia="es-ES"/>
        </w:rPr>
      </w:pPr>
      <w:r w:rsidRPr="00B773BA">
        <w:rPr>
          <w:rStyle w:val="IFTnormalCar"/>
          <w:rFonts w:cs="Arial"/>
          <w:bCs/>
          <w:sz w:val="18"/>
          <w:szCs w:val="18"/>
          <w:lang w:eastAsia="es-ES"/>
        </w:rPr>
        <w:t>(</w:t>
      </w:r>
      <w:r w:rsidRPr="00B773BA">
        <w:t>Énfasis añadido</w:t>
      </w:r>
      <w:r w:rsidRPr="00B773BA">
        <w:rPr>
          <w:rStyle w:val="IFTnormalCar"/>
          <w:rFonts w:cs="Arial"/>
          <w:bCs/>
          <w:sz w:val="18"/>
          <w:szCs w:val="18"/>
          <w:lang w:eastAsia="es-ES"/>
        </w:rPr>
        <w:t>)</w:t>
      </w:r>
    </w:p>
    <w:p w14:paraId="07915099" w14:textId="1044078E" w:rsidR="00302FA6" w:rsidRPr="00AF478C" w:rsidRDefault="00302FA6" w:rsidP="004F36F7">
      <w:pPr>
        <w:pStyle w:val="IFTnormal"/>
        <w:spacing w:before="240"/>
        <w:rPr>
          <w:rStyle w:val="IFTnormalCar"/>
        </w:rPr>
      </w:pPr>
      <w:r>
        <w:rPr>
          <w:rStyle w:val="IFTnormalCar"/>
        </w:rPr>
        <w:t>Para reforzar lo anterior, a continuación, se presenta una imagen tomada de la sección “</w:t>
      </w:r>
      <w:r w:rsidRPr="00963B29">
        <w:rPr>
          <w:rStyle w:val="IFTnormalCar"/>
          <w:i/>
        </w:rPr>
        <w:t>Preguntas frecuentes</w:t>
      </w:r>
      <w:r>
        <w:rPr>
          <w:rStyle w:val="IFTnormalCar"/>
        </w:rPr>
        <w:t>” contenida en página electrónica de Telmex:</w:t>
      </w:r>
    </w:p>
    <w:p w14:paraId="22604F24" w14:textId="77777777" w:rsidR="004F36F7" w:rsidRDefault="00302FA6" w:rsidP="004F36F7">
      <w:pPr>
        <w:pStyle w:val="Default"/>
        <w:spacing w:before="240" w:after="200"/>
        <w:jc w:val="center"/>
      </w:pPr>
      <w:r>
        <w:rPr>
          <w:noProof/>
        </w:rPr>
        <w:drawing>
          <wp:inline distT="0" distB="0" distL="0" distR="0" wp14:anchorId="5D48FE35" wp14:editId="4F5D8F7D">
            <wp:extent cx="5971540" cy="3204375"/>
            <wp:effectExtent l="0" t="0" r="0" b="0"/>
            <wp:docPr id="3" name="Imagen 3" descr="Figura 2 Extracto de página electrónica de Telmex donde se explica qué el “Servicio Medido”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4884"/>
                    <a:stretch/>
                  </pic:blipFill>
                  <pic:spPr bwMode="auto">
                    <a:xfrm>
                      <a:off x="0" y="0"/>
                      <a:ext cx="5971540" cy="3204375"/>
                    </a:xfrm>
                    <a:prstGeom prst="rect">
                      <a:avLst/>
                    </a:prstGeom>
                    <a:ln>
                      <a:noFill/>
                    </a:ln>
                    <a:extLst>
                      <a:ext uri="{53640926-AAD7-44D8-BBD7-CCE9431645EC}">
                        <a14:shadowObscured xmlns:a14="http://schemas.microsoft.com/office/drawing/2010/main"/>
                      </a:ext>
                    </a:extLst>
                  </pic:spPr>
                </pic:pic>
              </a:graphicData>
            </a:graphic>
          </wp:inline>
        </w:drawing>
      </w:r>
    </w:p>
    <w:p w14:paraId="049AFC0D" w14:textId="397A42C5" w:rsidR="00302FA6" w:rsidRPr="00847587" w:rsidRDefault="00302FA6" w:rsidP="004F36F7">
      <w:pPr>
        <w:pStyle w:val="IFTnormal"/>
        <w:spacing w:before="240"/>
        <w:rPr>
          <w:sz w:val="18"/>
        </w:rPr>
      </w:pPr>
      <w:r w:rsidRPr="00847587">
        <w:rPr>
          <w:b/>
          <w:sz w:val="18"/>
        </w:rPr>
        <w:t xml:space="preserve">Figura </w:t>
      </w:r>
      <w:r w:rsidR="00223A04">
        <w:rPr>
          <w:b/>
          <w:sz w:val="18"/>
        </w:rPr>
        <w:t>2</w:t>
      </w:r>
      <w:r w:rsidRPr="00847587">
        <w:rPr>
          <w:sz w:val="18"/>
        </w:rPr>
        <w:t xml:space="preserve"> </w:t>
      </w:r>
      <w:r>
        <w:rPr>
          <w:sz w:val="18"/>
        </w:rPr>
        <w:t xml:space="preserve">Extracto de </w:t>
      </w:r>
      <w:r w:rsidRPr="00847587">
        <w:rPr>
          <w:sz w:val="18"/>
        </w:rPr>
        <w:t xml:space="preserve">página electrónica de Telmex </w:t>
      </w:r>
      <w:r>
        <w:rPr>
          <w:sz w:val="18"/>
        </w:rPr>
        <w:t xml:space="preserve">donde se explica qué el “Servicio Medido” </w:t>
      </w:r>
      <w:r w:rsidRPr="00847587">
        <w:rPr>
          <w:sz w:val="18"/>
        </w:rPr>
        <w:t xml:space="preserve">(Fuente: </w:t>
      </w:r>
      <w:r w:rsidRPr="003B309A">
        <w:rPr>
          <w:color w:val="0000FF"/>
          <w:sz w:val="18"/>
        </w:rPr>
        <w:t xml:space="preserve">http://telmex.com/web/asistencia/hogar-preguntas-frecuentes-lineas-nuevas-y-adicionales, </w:t>
      </w:r>
      <w:r w:rsidRPr="00847587">
        <w:rPr>
          <w:sz w:val="18"/>
        </w:rPr>
        <w:t xml:space="preserve">consultado el 20 de Febrero de 2018) </w:t>
      </w:r>
    </w:p>
    <w:p w14:paraId="48C43139" w14:textId="77777777" w:rsidR="00302FA6" w:rsidRPr="006C4F3F" w:rsidRDefault="00302FA6" w:rsidP="004F36F7">
      <w:pPr>
        <w:pStyle w:val="IFTnormal"/>
        <w:spacing w:before="240"/>
        <w:rPr>
          <w:rStyle w:val="IFTnormalCar"/>
        </w:rPr>
      </w:pPr>
      <w:r w:rsidRPr="00E43F61">
        <w:rPr>
          <w:rStyle w:val="IFTnormalCar"/>
        </w:rPr>
        <w:t>De lo anterior es claro que el denominado “</w:t>
      </w:r>
      <w:r w:rsidRPr="00E43F61">
        <w:rPr>
          <w:rStyle w:val="IFTnormalCar"/>
          <w:i/>
        </w:rPr>
        <w:t>Servicio Medido</w:t>
      </w:r>
      <w:r w:rsidRPr="00E43F61">
        <w:rPr>
          <w:rStyle w:val="IFTnormalCar"/>
        </w:rPr>
        <w:t>” es un servicio relativo a la realización de llamadas exitosas a líneas telefónicas fijas o móviles, locales, nacionales o internacionales (sin importar la compañía) por parte de sus usuarios finales del AEP</w:t>
      </w:r>
      <w:r w:rsidR="00277FD8" w:rsidRPr="00E43F61">
        <w:rPr>
          <w:rStyle w:val="IFTnormalCar"/>
        </w:rPr>
        <w:t>, con independencia de su duración</w:t>
      </w:r>
      <w:r w:rsidRPr="00E43F61">
        <w:rPr>
          <w:rStyle w:val="IFTnormalCar"/>
        </w:rPr>
        <w:t>. Es decir, bajo dicho servicio el AEP se encarga de realizar todas las actividades necesarias para que sus usuarios completen exitosamente las llamadas telefónicas hacia otras redes, incluyendo en particular la originación de éstas.</w:t>
      </w:r>
    </w:p>
    <w:p w14:paraId="2E65DC83" w14:textId="77777777" w:rsidR="004F36F7" w:rsidRDefault="00302FA6" w:rsidP="004F36F7">
      <w:pPr>
        <w:pStyle w:val="IFTnormal"/>
        <w:spacing w:before="240"/>
        <w:rPr>
          <w:rStyle w:val="IFTnormalCar"/>
        </w:rPr>
      </w:pPr>
      <w:r>
        <w:t xml:space="preserve">En este sentido, el Instituto señala que conforme a lo establecido en la </w:t>
      </w:r>
      <w:r w:rsidRPr="009A267A">
        <w:rPr>
          <w:rStyle w:val="IFTnormalCar"/>
        </w:rPr>
        <w:t xml:space="preserve">Resolución </w:t>
      </w:r>
      <w:r w:rsidR="000B4912">
        <w:t>SRMLT</w:t>
      </w:r>
      <w:r>
        <w:rPr>
          <w:rStyle w:val="IFTnormalCar"/>
        </w:rPr>
        <w:t xml:space="preserve">, </w:t>
      </w:r>
      <w:r w:rsidR="002C63A9">
        <w:rPr>
          <w:rStyle w:val="IFTnormalCar"/>
        </w:rPr>
        <w:t xml:space="preserve">es </w:t>
      </w:r>
      <w:r>
        <w:rPr>
          <w:rStyle w:val="IFTnormalCar"/>
        </w:rPr>
        <w:t>el CS quien mantiene la relación con el cliente final, como se aprecia a través del numeral “</w:t>
      </w:r>
      <w:r w:rsidRPr="00963B29">
        <w:rPr>
          <w:rStyle w:val="IFTnormalCar"/>
          <w:i/>
        </w:rPr>
        <w:t>2. Premisas e Implicaciones del Servicio</w:t>
      </w:r>
      <w:r w:rsidRPr="00D04DB3">
        <w:rPr>
          <w:rStyle w:val="IFTnormalCar"/>
        </w:rPr>
        <w:t>”</w:t>
      </w:r>
      <w:r>
        <w:rPr>
          <w:rStyle w:val="IFTnormalCar"/>
        </w:rPr>
        <w:t xml:space="preserve"> de su Anexo 1:</w:t>
      </w:r>
    </w:p>
    <w:p w14:paraId="2262FBF6" w14:textId="63C8EE2B" w:rsidR="00302FA6" w:rsidRPr="00B4365A" w:rsidRDefault="00302FA6" w:rsidP="004F36F7">
      <w:pPr>
        <w:pStyle w:val="CitaIFT0"/>
        <w:spacing w:before="240"/>
      </w:pPr>
      <w:r>
        <w:t>“</w:t>
      </w:r>
      <w:r w:rsidRPr="00D04DB3">
        <w:rPr>
          <w:b/>
        </w:rPr>
        <w:t>2.Premisas e Implicaciones del Servicio</w:t>
      </w:r>
      <w:r w:rsidRPr="00B4365A">
        <w:t>.</w:t>
      </w:r>
    </w:p>
    <w:p w14:paraId="4A68DF8A" w14:textId="77777777" w:rsidR="00302FA6" w:rsidRDefault="00302FA6" w:rsidP="004F36F7">
      <w:pPr>
        <w:pStyle w:val="CitaIFT0"/>
        <w:spacing w:before="240"/>
        <w:rPr>
          <w:rStyle w:val="IFTnormalCar"/>
        </w:rPr>
      </w:pPr>
      <w:r>
        <w:rPr>
          <w:rStyle w:val="IFTnormalCar"/>
        </w:rPr>
        <w:lastRenderedPageBreak/>
        <w:t>[…]</w:t>
      </w:r>
    </w:p>
    <w:p w14:paraId="34547C70" w14:textId="77777777" w:rsidR="00302FA6" w:rsidRPr="00AE1960" w:rsidRDefault="00302FA6" w:rsidP="004F36F7">
      <w:pPr>
        <w:pStyle w:val="CitaIFT0"/>
        <w:spacing w:before="240"/>
        <w:rPr>
          <w:b/>
        </w:rPr>
      </w:pPr>
      <w:r w:rsidRPr="00AE1960">
        <w:rPr>
          <w:b/>
        </w:rPr>
        <w:t>Es responsabilidad del CS:</w:t>
      </w:r>
    </w:p>
    <w:p w14:paraId="28369D38" w14:textId="77777777" w:rsidR="00302FA6" w:rsidRPr="00AE1960" w:rsidRDefault="00302FA6" w:rsidP="004F36F7">
      <w:pPr>
        <w:pStyle w:val="CitaIFT0"/>
        <w:numPr>
          <w:ilvl w:val="0"/>
          <w:numId w:val="24"/>
        </w:numPr>
        <w:spacing w:before="240"/>
        <w:ind w:left="1287" w:hanging="360"/>
      </w:pPr>
      <w:r w:rsidRPr="00AE1960">
        <w:t xml:space="preserve">Realizar el análisis numérico del enrutamiento de la llamada de dígitos. </w:t>
      </w:r>
    </w:p>
    <w:p w14:paraId="523A4097" w14:textId="77777777" w:rsidR="00302FA6" w:rsidRPr="00AE1960" w:rsidRDefault="00302FA6" w:rsidP="004F36F7">
      <w:pPr>
        <w:pStyle w:val="CitaIFT0"/>
        <w:numPr>
          <w:ilvl w:val="0"/>
          <w:numId w:val="24"/>
        </w:numPr>
        <w:spacing w:before="240"/>
        <w:ind w:left="1287" w:hanging="360"/>
      </w:pPr>
      <w:r w:rsidRPr="00AE1960">
        <w:t>Completar la llamada al destino ya sea local, de servicios especiales, 911, LD Internacional, Servicios de Valor agregado, etc. Para el caso del servicio 911 el CS tiene la obligación de atender en tiempo y forma lo dispuesto en materia de Seguridad y Justicia.</w:t>
      </w:r>
    </w:p>
    <w:p w14:paraId="1FCCB321" w14:textId="77777777" w:rsidR="00302FA6" w:rsidRPr="00AE1960" w:rsidRDefault="00302FA6" w:rsidP="004F36F7">
      <w:pPr>
        <w:pStyle w:val="CitaIFT0"/>
        <w:numPr>
          <w:ilvl w:val="0"/>
          <w:numId w:val="24"/>
        </w:numPr>
        <w:spacing w:before="240"/>
        <w:ind w:left="1287" w:hanging="360"/>
      </w:pPr>
      <w:r w:rsidRPr="00AE1960">
        <w:t>Realizar la facturación al Cliente que adoptó el Servicio.</w:t>
      </w:r>
    </w:p>
    <w:p w14:paraId="0B00BD67" w14:textId="77777777" w:rsidR="00302FA6" w:rsidRPr="00AE1960" w:rsidRDefault="00302FA6" w:rsidP="004F36F7">
      <w:pPr>
        <w:pStyle w:val="CitaIFT0"/>
        <w:numPr>
          <w:ilvl w:val="0"/>
          <w:numId w:val="24"/>
        </w:numPr>
        <w:spacing w:before="240"/>
        <w:ind w:left="1287" w:hanging="360"/>
      </w:pPr>
      <w:r w:rsidRPr="00AE1960">
        <w:t>El CS es el responsable de tramitar las llamadas de LDI y LDM.</w:t>
      </w:r>
    </w:p>
    <w:p w14:paraId="366EC5AD" w14:textId="77777777" w:rsidR="00302FA6" w:rsidRDefault="00302FA6" w:rsidP="004F36F7">
      <w:pPr>
        <w:pStyle w:val="CitaIFT0"/>
        <w:numPr>
          <w:ilvl w:val="0"/>
          <w:numId w:val="24"/>
        </w:numPr>
        <w:spacing w:before="240"/>
        <w:ind w:left="1287" w:hanging="360"/>
      </w:pPr>
      <w:r w:rsidRPr="00EF7ED7">
        <w:rPr>
          <w:b/>
          <w:u w:val="single"/>
        </w:rPr>
        <w:t>La relación con el cliente final.</w:t>
      </w:r>
      <w:r>
        <w:t>”</w:t>
      </w:r>
    </w:p>
    <w:p w14:paraId="09E2E30E" w14:textId="77777777" w:rsidR="004F36F7" w:rsidRDefault="00302FA6" w:rsidP="004F36F7">
      <w:pPr>
        <w:pStyle w:val="CitaIFT0"/>
        <w:spacing w:before="240"/>
        <w:ind w:left="1571"/>
        <w:jc w:val="right"/>
      </w:pPr>
      <w:r w:rsidRPr="00EF7ED7">
        <w:t>(Énfasis añadido)</w:t>
      </w:r>
    </w:p>
    <w:p w14:paraId="37615FC0" w14:textId="14C94EDB" w:rsidR="00F64614" w:rsidRPr="00E43F61" w:rsidRDefault="00F64614" w:rsidP="004F36F7">
      <w:pPr>
        <w:pStyle w:val="IFTnormal"/>
        <w:spacing w:before="240"/>
      </w:pPr>
      <w:r w:rsidRPr="00E43F61">
        <w:t xml:space="preserve">Asimismo, </w:t>
      </w:r>
      <w:r w:rsidRPr="00E43F61">
        <w:rPr>
          <w:rStyle w:val="IFTnormalCar"/>
        </w:rPr>
        <w:t xml:space="preserve">la Resolución </w:t>
      </w:r>
      <w:r w:rsidRPr="00E43F61">
        <w:t>SRMLT</w:t>
      </w:r>
      <w:r w:rsidRPr="00E43F61">
        <w:rPr>
          <w:rStyle w:val="IFTnormalCar"/>
        </w:rPr>
        <w:t xml:space="preserve"> indica que a través de este servicio se hace uso de la red telefónica del AEP </w:t>
      </w:r>
      <w:r w:rsidRPr="00E43F61">
        <w:t xml:space="preserve">para la entrega de las llamadas telefónicas originadas por los usuarios finales de los CS en un determinado punto de interconexión con la red del CS. Con lo cual se deduce que el AEP </w:t>
      </w:r>
      <w:r w:rsidR="00FD0F05" w:rsidRPr="00E43F61">
        <w:t xml:space="preserve">ya </w:t>
      </w:r>
      <w:r w:rsidRPr="00E43F61">
        <w:t xml:space="preserve">no es responsable de </w:t>
      </w:r>
      <w:r w:rsidR="00FD0F05" w:rsidRPr="00E43F61">
        <w:t>gestionar la llamada a partir de dicho punto de interconexión</w:t>
      </w:r>
      <w:r w:rsidRPr="000D1A06">
        <w:t>, dado que a través de</w:t>
      </w:r>
      <w:r w:rsidR="00FD0F05" w:rsidRPr="00EC3539">
        <w:t>l SRMLT</w:t>
      </w:r>
      <w:r w:rsidRPr="00EC3539">
        <w:t xml:space="preserve"> </w:t>
      </w:r>
      <w:r w:rsidRPr="005975ED">
        <w:t>los CS son responsables de completar las llamadas.</w:t>
      </w:r>
    </w:p>
    <w:p w14:paraId="2DA31E3F" w14:textId="77777777" w:rsidR="00F64614" w:rsidRPr="000D1A06" w:rsidRDefault="00F64614" w:rsidP="004F36F7">
      <w:pPr>
        <w:pStyle w:val="IFTnormal"/>
        <w:spacing w:before="240"/>
      </w:pPr>
      <w:r w:rsidRPr="000D1A06">
        <w:t>Al respecto dicha Resolución establece para la descripción del SMRLT lo siguiente:</w:t>
      </w:r>
    </w:p>
    <w:p w14:paraId="65CC1407" w14:textId="77777777" w:rsidR="00F64614" w:rsidRPr="005975ED" w:rsidRDefault="00F64614" w:rsidP="004F36F7">
      <w:pPr>
        <w:pStyle w:val="CitaIFT0"/>
        <w:spacing w:before="240"/>
      </w:pPr>
      <w:r w:rsidRPr="005975ED">
        <w:t>“1. Descripción General</w:t>
      </w:r>
    </w:p>
    <w:p w14:paraId="612932C6" w14:textId="77777777" w:rsidR="00F64614" w:rsidRPr="00E43F61" w:rsidRDefault="00F64614" w:rsidP="004F36F7">
      <w:pPr>
        <w:pStyle w:val="CitaIFT0"/>
        <w:spacing w:before="240"/>
      </w:pPr>
      <w:r w:rsidRPr="00E43F61">
        <w:t xml:space="preserve">Servicio mayorista que hace </w:t>
      </w:r>
      <w:r w:rsidRPr="00E43F61">
        <w:rPr>
          <w:b/>
          <w:u w:val="single"/>
        </w:rPr>
        <w:t>uso de la red telefónica del AEP</w:t>
      </w:r>
      <w:r w:rsidRPr="00E43F61">
        <w:t xml:space="preserve"> para la entrega de todas las llamadas telefónicas originadas por los usuarios finales del Concesionario Solicitante (CS), en desagregación para el nuevo servicio SRMLT hasta el punto de entrega con la red del CS, cuando sea procedente.</w:t>
      </w:r>
    </w:p>
    <w:p w14:paraId="048DB4CB" w14:textId="77777777" w:rsidR="00F64614" w:rsidRPr="000D1A06" w:rsidRDefault="00F64614" w:rsidP="004F36F7">
      <w:pPr>
        <w:pStyle w:val="Citaift"/>
        <w:spacing w:before="240"/>
        <w:jc w:val="right"/>
        <w:rPr>
          <w:rStyle w:val="IFTnormalCar"/>
          <w:rFonts w:cs="Arial"/>
          <w:bCs w:val="0"/>
          <w:sz w:val="18"/>
          <w:szCs w:val="18"/>
          <w:lang w:eastAsia="es-ES"/>
        </w:rPr>
      </w:pPr>
      <w:r w:rsidRPr="000D1A06">
        <w:rPr>
          <w:rStyle w:val="IFTnormalCar"/>
          <w:rFonts w:cs="Arial"/>
          <w:bCs w:val="0"/>
          <w:sz w:val="18"/>
          <w:szCs w:val="18"/>
          <w:lang w:eastAsia="es-ES"/>
        </w:rPr>
        <w:t>(</w:t>
      </w:r>
      <w:r w:rsidRPr="00B773BA">
        <w:rPr>
          <w:rStyle w:val="CitaIFTCar0"/>
          <w:i/>
        </w:rPr>
        <w:t>Énfasis añadido</w:t>
      </w:r>
      <w:r w:rsidRPr="000D1A06">
        <w:rPr>
          <w:rStyle w:val="IFTnormalCar"/>
          <w:rFonts w:cs="Arial"/>
          <w:bCs w:val="0"/>
          <w:sz w:val="18"/>
          <w:szCs w:val="18"/>
          <w:lang w:eastAsia="es-ES"/>
        </w:rPr>
        <w:t>)</w:t>
      </w:r>
    </w:p>
    <w:p w14:paraId="4B5D8193" w14:textId="77777777" w:rsidR="00F64614" w:rsidRPr="00E43F61" w:rsidRDefault="00F64614" w:rsidP="004F36F7">
      <w:pPr>
        <w:pStyle w:val="CitaIFT0"/>
        <w:spacing w:before="240"/>
        <w:ind w:left="0"/>
        <w:rPr>
          <w:rFonts w:eastAsia="MS Mincho" w:cs="Calibri"/>
          <w:bCs w:val="0"/>
          <w:i w:val="0"/>
          <w:color w:val="auto"/>
          <w:sz w:val="22"/>
          <w:szCs w:val="22"/>
          <w:lang w:val="es-MX" w:eastAsia="en-US"/>
        </w:rPr>
      </w:pPr>
      <w:r w:rsidRPr="005975ED">
        <w:rPr>
          <w:rStyle w:val="IFTnormalCar"/>
          <w:rFonts w:eastAsia="MS Mincho"/>
          <w:i w:val="0"/>
          <w:color w:val="auto"/>
          <w:lang w:val="es-MX"/>
        </w:rPr>
        <w:t>Lo que coincide con lo establecido en el “Convenio Marco de Interconexión 2017”</w:t>
      </w:r>
      <w:r w:rsidRPr="00E43F61">
        <w:rPr>
          <w:rStyle w:val="Refdenotaalpie"/>
          <w:rFonts w:eastAsia="MS Mincho" w:cs="Calibri"/>
          <w:bCs w:val="0"/>
          <w:i w:val="0"/>
          <w:color w:val="auto"/>
          <w:sz w:val="22"/>
          <w:szCs w:val="22"/>
          <w:lang w:val="es-MX" w:eastAsia="en-US"/>
        </w:rPr>
        <w:footnoteReference w:id="11"/>
      </w:r>
      <w:r w:rsidRPr="00E43F61">
        <w:rPr>
          <w:rStyle w:val="IFTnormalCar"/>
          <w:rFonts w:eastAsia="MS Mincho"/>
          <w:i w:val="0"/>
          <w:color w:val="auto"/>
          <w:lang w:val="es-MX"/>
        </w:rPr>
        <w:t xml:space="preserve">, que define la originación de tráfico como sigue: </w:t>
      </w:r>
    </w:p>
    <w:p w14:paraId="5D40B639" w14:textId="77777777" w:rsidR="00F64614" w:rsidRPr="00E43F61" w:rsidRDefault="00F64614" w:rsidP="004F36F7">
      <w:pPr>
        <w:pStyle w:val="CitaIFT0"/>
        <w:spacing w:before="240"/>
        <w:rPr>
          <w:rStyle w:val="IFTnormalCar"/>
          <w:rFonts w:cs="Arial"/>
          <w:b/>
          <w:bCs/>
          <w:sz w:val="18"/>
          <w:szCs w:val="18"/>
          <w:u w:val="single"/>
          <w:lang w:eastAsia="es-ES"/>
        </w:rPr>
      </w:pPr>
      <w:r w:rsidRPr="00E43F61">
        <w:t xml:space="preserve">“Originación de Tráfico: Función que comprende la conmutación y transmisión de Tráfico Público </w:t>
      </w:r>
      <w:r w:rsidRPr="00E43F61">
        <w:rPr>
          <w:b/>
          <w:u w:val="single"/>
        </w:rPr>
        <w:t>en la red que lo recibe de un Usuario y lo entrega a la otra red en un Punto de Interconexión convenido.”</w:t>
      </w:r>
    </w:p>
    <w:p w14:paraId="169B9009" w14:textId="77777777" w:rsidR="00F64614" w:rsidRPr="00E43F61" w:rsidRDefault="00F64614" w:rsidP="004F36F7">
      <w:pPr>
        <w:pStyle w:val="CitaIFT0"/>
        <w:spacing w:before="240"/>
        <w:jc w:val="right"/>
        <w:rPr>
          <w:rStyle w:val="IFTnormalCar"/>
          <w:rFonts w:cs="Arial"/>
          <w:bCs/>
          <w:sz w:val="18"/>
          <w:szCs w:val="18"/>
          <w:lang w:eastAsia="es-ES"/>
        </w:rPr>
      </w:pPr>
      <w:r w:rsidRPr="00E43F61">
        <w:rPr>
          <w:rStyle w:val="IFTnormalCar"/>
          <w:rFonts w:cs="Arial"/>
          <w:bCs/>
          <w:sz w:val="18"/>
          <w:szCs w:val="18"/>
          <w:lang w:eastAsia="es-ES"/>
        </w:rPr>
        <w:lastRenderedPageBreak/>
        <w:t xml:space="preserve"> (</w:t>
      </w:r>
      <w:r w:rsidRPr="00B773BA">
        <w:t>Énfasis añadido</w:t>
      </w:r>
      <w:r w:rsidRPr="00E43F61">
        <w:rPr>
          <w:rStyle w:val="IFTnormalCar"/>
          <w:rFonts w:cs="Arial"/>
          <w:bCs/>
          <w:sz w:val="18"/>
          <w:szCs w:val="18"/>
          <w:lang w:eastAsia="es-ES"/>
        </w:rPr>
        <w:t>)</w:t>
      </w:r>
    </w:p>
    <w:p w14:paraId="68F16F40" w14:textId="77777777" w:rsidR="00F64614" w:rsidRPr="00F64614" w:rsidRDefault="00F64614" w:rsidP="004F36F7">
      <w:pPr>
        <w:pStyle w:val="IFTnormal"/>
        <w:spacing w:before="240"/>
        <w:rPr>
          <w:rStyle w:val="IFTnormalCar"/>
        </w:rPr>
      </w:pPr>
      <w:r w:rsidRPr="00E43F61">
        <w:rPr>
          <w:rStyle w:val="IFTnormalCar"/>
        </w:rPr>
        <w:t>De lo anterior se desprende que la provisión del SRMLT se constituye efectivamente en un servicio de originación de tráfico,</w:t>
      </w:r>
      <w:r w:rsidRPr="00F64614">
        <w:rPr>
          <w:rStyle w:val="IFTnormalCar"/>
        </w:rPr>
        <w:t xml:space="preserve"> ya que se cumple la premisa o condición principal de que el usuario se ubica en un sitio o domicilio atendido únicamente por la red telefónica del AEP. Es decir, la red que recibe la marcación de todas las llamadas generadas es la del AEP, que a su vez procesa y entrega el tráfico al CS en un punto de interconexión convenido.</w:t>
      </w:r>
    </w:p>
    <w:p w14:paraId="1145DD1E" w14:textId="77777777" w:rsidR="00F64614" w:rsidRPr="00F64614" w:rsidRDefault="00F64614" w:rsidP="004F36F7">
      <w:pPr>
        <w:pStyle w:val="IFTnormal"/>
        <w:spacing w:before="240"/>
        <w:rPr>
          <w:rStyle w:val="IFTnormalCar"/>
        </w:rPr>
      </w:pPr>
      <w:r w:rsidRPr="00F64614">
        <w:rPr>
          <w:rStyle w:val="IFTnormalCar"/>
        </w:rPr>
        <w:t xml:space="preserve">Al respecto y para confirmar lo anterior tenemos las características técnicas señaladas en la Resolución SRMLT que describen cómo el AEP es responsable de entregar las llamadas de los usuarios al concesionario seleccionado por los mismos. </w:t>
      </w:r>
    </w:p>
    <w:p w14:paraId="40408CD5" w14:textId="77777777" w:rsidR="00F64614" w:rsidRPr="00F64614" w:rsidRDefault="00F64614" w:rsidP="004F36F7">
      <w:pPr>
        <w:pStyle w:val="CitaIFT0"/>
        <w:spacing w:before="240"/>
      </w:pPr>
      <w:r w:rsidRPr="00F64614">
        <w:t xml:space="preserve"> “2.</w:t>
      </w:r>
      <w:r w:rsidRPr="00F64614">
        <w:tab/>
        <w:t>Características técnicas</w:t>
      </w:r>
    </w:p>
    <w:p w14:paraId="0767A56B" w14:textId="77777777" w:rsidR="00F64614" w:rsidRPr="00F64614" w:rsidRDefault="00F64614" w:rsidP="004F36F7">
      <w:pPr>
        <w:pStyle w:val="CitaIFT0"/>
        <w:spacing w:before="240"/>
      </w:pPr>
      <w:r w:rsidRPr="00F64614">
        <w:t>A fin de proporcionar el Servicio de Reventa Mayorista de Línea Telefónica a líneas residenciales (SRMLT), se requiere el cumplimiento de las siguientes premisas, que permitirán la tramitación del tráfico en esta configuración:</w:t>
      </w:r>
    </w:p>
    <w:p w14:paraId="2E41ABC6" w14:textId="77777777" w:rsidR="00F64614" w:rsidRPr="00F64614" w:rsidRDefault="00F64614" w:rsidP="004F36F7">
      <w:pPr>
        <w:pStyle w:val="CitaIFT0"/>
        <w:spacing w:before="240"/>
      </w:pPr>
      <w:r w:rsidRPr="00F64614">
        <w:t>•</w:t>
      </w:r>
      <w:r w:rsidRPr="00F64614">
        <w:tab/>
      </w:r>
      <w:r w:rsidRPr="00F64614">
        <w:rPr>
          <w:b/>
          <w:u w:val="single"/>
        </w:rPr>
        <w:t>Para lograr que la entrega de todo el tráfico originado en la red del AEP hacia el concesionario solicitante (CS)</w:t>
      </w:r>
      <w:r w:rsidRPr="00F64614">
        <w:t xml:space="preserve"> se realice de manera eficiente (local, larga distancia internacional, resto del mundo, códigos de servicios especiales, etc.), se ha considerado llevar a cabo el etiquetado de este tráfico mediante 3 dígitos numéricos (011), además del etiquetado ya considerado y configurado hoy en el SW desarrollado en las centrales para el intercambio de tráfico de Interconexión entre concesionarios, como es la identificación de la red destino y origen (IDD e IDO) .</w:t>
      </w:r>
    </w:p>
    <w:p w14:paraId="2867A3B9" w14:textId="77777777" w:rsidR="00F64614" w:rsidRPr="00F64614" w:rsidRDefault="00F64614" w:rsidP="004F36F7">
      <w:pPr>
        <w:pStyle w:val="CitaIFT0"/>
        <w:spacing w:before="240"/>
      </w:pPr>
      <w:r w:rsidRPr="00F64614">
        <w:t>•</w:t>
      </w:r>
      <w:r w:rsidRPr="00F64614">
        <w:tab/>
        <w:t>El etiquetado del tráfico que se enviaría a la red del CS para este servicio, será:</w:t>
      </w:r>
    </w:p>
    <w:p w14:paraId="2B00AD0D" w14:textId="77777777" w:rsidR="00F64614" w:rsidRPr="00F64614" w:rsidRDefault="00F64614" w:rsidP="004F36F7">
      <w:pPr>
        <w:pStyle w:val="CitaIFT0"/>
        <w:spacing w:before="240"/>
      </w:pPr>
      <w:r w:rsidRPr="00F64614">
        <w:t>o</w:t>
      </w:r>
      <w:r w:rsidRPr="00F64614">
        <w:tab/>
        <w:t>IDD + IDO + (011) + Marcación al Usuario final.</w:t>
      </w:r>
    </w:p>
    <w:p w14:paraId="53FB9214" w14:textId="77777777" w:rsidR="00F64614" w:rsidRPr="00F64614" w:rsidRDefault="00F64614" w:rsidP="004F36F7">
      <w:pPr>
        <w:pStyle w:val="CitaIFT0"/>
        <w:spacing w:before="240"/>
      </w:pPr>
      <w:r w:rsidRPr="00F64614">
        <w:t xml:space="preserve">Nota: Esta propuesta debe ser validada por el IFT en congruencia con el plan de marcación actual. </w:t>
      </w:r>
    </w:p>
    <w:p w14:paraId="751FF89B" w14:textId="77777777" w:rsidR="00F64614" w:rsidRPr="00F64614" w:rsidRDefault="00F64614" w:rsidP="004F36F7">
      <w:pPr>
        <w:pStyle w:val="CitaIFT0"/>
        <w:spacing w:before="240"/>
      </w:pPr>
      <w:r w:rsidRPr="00F64614">
        <w:t xml:space="preserve">[…] </w:t>
      </w:r>
    </w:p>
    <w:p w14:paraId="66914F5D" w14:textId="77777777" w:rsidR="00F64614" w:rsidRPr="00F64614" w:rsidRDefault="00F64614" w:rsidP="004F36F7">
      <w:pPr>
        <w:pStyle w:val="Citaift"/>
        <w:spacing w:before="240"/>
        <w:rPr>
          <w:rStyle w:val="IFTnormalCar"/>
          <w:rFonts w:cs="Arial"/>
          <w:b/>
          <w:bCs w:val="0"/>
          <w:sz w:val="18"/>
          <w:szCs w:val="18"/>
          <w:u w:val="single"/>
          <w:lang w:eastAsia="es-ES"/>
        </w:rPr>
      </w:pPr>
      <w:r w:rsidRPr="00F64614">
        <w:rPr>
          <w:rStyle w:val="IFTnormalCar"/>
        </w:rPr>
        <w:t>•</w:t>
      </w:r>
      <w:r w:rsidRPr="00F64614">
        <w:rPr>
          <w:rStyle w:val="IFTnormalCar"/>
        </w:rPr>
        <w:tab/>
      </w:r>
      <w:r w:rsidRPr="00F64614">
        <w:rPr>
          <w:rStyle w:val="IFTnormalCar"/>
          <w:rFonts w:cs="Arial"/>
          <w:b/>
          <w:bCs w:val="0"/>
          <w:sz w:val="18"/>
          <w:szCs w:val="18"/>
          <w:u w:val="single"/>
          <w:lang w:eastAsia="es-ES"/>
        </w:rPr>
        <w:t>Para hacer más eficiente el intercambio de tráfico entre el AEP y el CS como consecuencia de las marcaciones generadas por los clientes del SRMLT,</w:t>
      </w:r>
      <w:r w:rsidRPr="00F64614">
        <w:rPr>
          <w:rStyle w:val="IFTnormalCar"/>
          <w:rFonts w:cs="Arial"/>
          <w:bCs w:val="0"/>
          <w:sz w:val="18"/>
          <w:szCs w:val="18"/>
          <w:lang w:eastAsia="es-ES"/>
        </w:rPr>
        <w:t xml:space="preserve"> </w:t>
      </w:r>
      <w:r w:rsidRPr="00F64614">
        <w:rPr>
          <w:rStyle w:val="IFTnormalCar"/>
          <w:rFonts w:cs="Arial"/>
          <w:b/>
          <w:bCs w:val="0"/>
          <w:sz w:val="18"/>
          <w:szCs w:val="18"/>
          <w:u w:val="single"/>
          <w:lang w:eastAsia="es-ES"/>
        </w:rPr>
        <w:t>dichas marcaciones se deberán entregar en el PDIC más cercano.</w:t>
      </w:r>
    </w:p>
    <w:p w14:paraId="6F9E82C4" w14:textId="77777777" w:rsidR="00F64614" w:rsidRPr="00F64614" w:rsidRDefault="00F64614" w:rsidP="004F36F7">
      <w:pPr>
        <w:pStyle w:val="Citaift"/>
        <w:spacing w:before="240"/>
        <w:rPr>
          <w:rStyle w:val="IFTnormalCar"/>
          <w:rFonts w:cs="Arial"/>
          <w:bCs w:val="0"/>
          <w:sz w:val="18"/>
          <w:szCs w:val="18"/>
          <w:lang w:eastAsia="es-ES"/>
        </w:rPr>
      </w:pPr>
      <w:r w:rsidRPr="00F64614">
        <w:rPr>
          <w:rStyle w:val="IFTnormalCar"/>
          <w:rFonts w:cs="Arial"/>
          <w:bCs w:val="0"/>
          <w:sz w:val="18"/>
          <w:szCs w:val="18"/>
          <w:lang w:eastAsia="es-ES"/>
        </w:rPr>
        <w:t>•</w:t>
      </w:r>
      <w:r w:rsidRPr="00F64614">
        <w:rPr>
          <w:rStyle w:val="IFTnormalCar"/>
          <w:rFonts w:cs="Arial"/>
          <w:bCs w:val="0"/>
          <w:sz w:val="18"/>
          <w:szCs w:val="18"/>
          <w:lang w:eastAsia="es-ES"/>
        </w:rPr>
        <w:tab/>
        <w:t>Para el tráfico entregado del CS al AEP, este deberá de entregarse en el PDIC más cercano en donde se terminará la llamada.</w:t>
      </w:r>
    </w:p>
    <w:p w14:paraId="2F0B8D32" w14:textId="77777777" w:rsidR="00F64614" w:rsidRPr="00F64614" w:rsidRDefault="00F64614" w:rsidP="004F36F7">
      <w:pPr>
        <w:pStyle w:val="Citaift"/>
        <w:spacing w:before="240"/>
        <w:rPr>
          <w:rStyle w:val="IFTnormalCar"/>
          <w:rFonts w:cs="Arial"/>
          <w:bCs w:val="0"/>
          <w:sz w:val="18"/>
          <w:szCs w:val="18"/>
          <w:lang w:eastAsia="es-ES"/>
        </w:rPr>
      </w:pPr>
      <w:r w:rsidRPr="00F64614">
        <w:rPr>
          <w:rStyle w:val="IFTnormalCar"/>
          <w:rFonts w:cs="Arial"/>
          <w:bCs w:val="0"/>
          <w:sz w:val="18"/>
          <w:szCs w:val="18"/>
          <w:lang w:eastAsia="es-ES"/>
        </w:rPr>
        <w:t>[…]”</w:t>
      </w:r>
    </w:p>
    <w:p w14:paraId="69347188" w14:textId="77777777" w:rsidR="00F64614" w:rsidRPr="00F64614" w:rsidRDefault="00F64614" w:rsidP="004F36F7">
      <w:pPr>
        <w:pStyle w:val="Citaift"/>
        <w:spacing w:before="240"/>
        <w:jc w:val="right"/>
        <w:rPr>
          <w:rStyle w:val="IFTnormalCar"/>
          <w:rFonts w:cs="Arial"/>
          <w:bCs w:val="0"/>
          <w:sz w:val="18"/>
          <w:szCs w:val="18"/>
          <w:lang w:eastAsia="es-ES"/>
        </w:rPr>
      </w:pPr>
      <w:r w:rsidRPr="00F64614">
        <w:rPr>
          <w:rStyle w:val="IFTnormalCar"/>
          <w:rFonts w:cs="Arial"/>
          <w:bCs w:val="0"/>
          <w:sz w:val="18"/>
          <w:szCs w:val="18"/>
          <w:lang w:eastAsia="es-ES"/>
        </w:rPr>
        <w:t>(</w:t>
      </w:r>
      <w:r w:rsidRPr="00B773BA">
        <w:rPr>
          <w:rStyle w:val="CitaIFTCar0"/>
          <w:i/>
        </w:rPr>
        <w:t>Énfasis añadido</w:t>
      </w:r>
      <w:r w:rsidRPr="00F64614">
        <w:rPr>
          <w:rStyle w:val="IFTnormalCar"/>
          <w:rFonts w:cs="Arial"/>
          <w:bCs w:val="0"/>
          <w:sz w:val="18"/>
          <w:szCs w:val="18"/>
          <w:lang w:eastAsia="es-ES"/>
        </w:rPr>
        <w:t>)</w:t>
      </w:r>
    </w:p>
    <w:p w14:paraId="08616996" w14:textId="77777777" w:rsidR="00F64614" w:rsidRPr="00F64614" w:rsidRDefault="00F64614" w:rsidP="004F36F7">
      <w:pPr>
        <w:pStyle w:val="IFTnormal"/>
        <w:spacing w:before="240"/>
        <w:rPr>
          <w:rStyle w:val="IFTnormalCar"/>
        </w:rPr>
      </w:pPr>
      <w:r w:rsidRPr="00F64614">
        <w:rPr>
          <w:rStyle w:val="IFTnormalCar"/>
        </w:rPr>
        <w:lastRenderedPageBreak/>
        <w:t xml:space="preserve">Por lo antes expuesto se debe considerar que la </w:t>
      </w:r>
      <w:r>
        <w:rPr>
          <w:rStyle w:val="IFTnormalCar"/>
        </w:rPr>
        <w:t>operación y funcionamiento de las</w:t>
      </w:r>
      <w:r w:rsidRPr="00F64614">
        <w:rPr>
          <w:rStyle w:val="IFTnormalCar"/>
        </w:rPr>
        <w:t xml:space="preserve"> llamadas originadas y asociadas al SRMLT son equivalentes al servicio de originación de llamadas en la red del AEP.</w:t>
      </w:r>
    </w:p>
    <w:p w14:paraId="1C1C4376" w14:textId="77777777" w:rsidR="00F64614" w:rsidRPr="00F64614" w:rsidRDefault="00F64614" w:rsidP="004F36F7">
      <w:pPr>
        <w:pStyle w:val="IFTnormal"/>
        <w:spacing w:before="240"/>
      </w:pPr>
      <w:r w:rsidRPr="00F64614">
        <w:rPr>
          <w:rStyle w:val="IFTnormalCar"/>
        </w:rPr>
        <w:t>En consecuencia, no es apropiado considerar al “</w:t>
      </w:r>
      <w:r w:rsidRPr="00F64614">
        <w:rPr>
          <w:rStyle w:val="IFTnormalCar"/>
          <w:i/>
        </w:rPr>
        <w:t>Servicio Medido</w:t>
      </w:r>
      <w:r w:rsidRPr="00F64614">
        <w:rPr>
          <w:rStyle w:val="IFTnormalCar"/>
        </w:rPr>
        <w:t>” dentro de la estructura tarifaria del SRMLT dado que las especificaciones y responsabilidades del AEP a través del “</w:t>
      </w:r>
      <w:r w:rsidRPr="00F64614">
        <w:rPr>
          <w:rStyle w:val="IFTnormalCar"/>
          <w:i/>
        </w:rPr>
        <w:t>Servicio Medido</w:t>
      </w:r>
      <w:r w:rsidRPr="00F64614">
        <w:rPr>
          <w:rStyle w:val="IFTnormalCar"/>
        </w:rPr>
        <w:t>” no son congruentes con el alcance del SRMLT. Lo anterior, sin perjuicio de que dicho servicio minorista del AEP se encuentre a disposición de los CS a través de otros servicios mayoristas materia de la OREDA</w:t>
      </w:r>
      <w:r w:rsidR="00A365BC">
        <w:rPr>
          <w:rStyle w:val="IFTnormalCar"/>
        </w:rPr>
        <w:t xml:space="preserve"> vigente</w:t>
      </w:r>
      <w:r w:rsidRPr="00F64614">
        <w:t>, cuya naturaleza sea apropiada para su inclusión dentro de la correspondiente estructura tarifaria.</w:t>
      </w:r>
    </w:p>
    <w:p w14:paraId="0354C08A" w14:textId="77777777" w:rsidR="00302FA6" w:rsidRDefault="00F64614" w:rsidP="004F36F7">
      <w:pPr>
        <w:pStyle w:val="IFTnormal"/>
        <w:spacing w:before="240"/>
        <w:rPr>
          <w:rStyle w:val="IFTnormalCar"/>
        </w:rPr>
      </w:pPr>
      <w:r w:rsidRPr="00E43F61">
        <w:rPr>
          <w:rStyle w:val="IFTnormalCar"/>
        </w:rPr>
        <w:t>En este sentido, el Instituto resuelve modificar la Propuesta de tarifas del AEP para no incluir el concepto “</w:t>
      </w:r>
      <w:r w:rsidRPr="00E43F61">
        <w:rPr>
          <w:rStyle w:val="IFTnormalCar"/>
          <w:i/>
        </w:rPr>
        <w:t>Servicio Medido</w:t>
      </w:r>
      <w:r w:rsidRPr="00E43F61">
        <w:rPr>
          <w:rStyle w:val="IFTnormalCar"/>
        </w:rPr>
        <w:t xml:space="preserve">” dentro de la estructura tarifaria del SRMLT, lo cual se plasmará a través del Resolutivo PRIMERO de la presente Resolución. Asimismo, se indicará que durante la vigencia de la OREDA </w:t>
      </w:r>
      <w:r w:rsidR="00A365BC">
        <w:rPr>
          <w:rStyle w:val="IFTnormalCar"/>
        </w:rPr>
        <w:t>vigente</w:t>
      </w:r>
      <w:r w:rsidRPr="00E43F61">
        <w:rPr>
          <w:rStyle w:val="IFTnormalCar"/>
        </w:rPr>
        <w:t xml:space="preserve"> el cobro por concepto de entrega de tráfico del AEP al CS asociado al SRMLT será conforme a la tarifa por servicios de originación del Servicio Local en usuarios fijos establecida en el </w:t>
      </w:r>
      <w:r w:rsidRPr="00E43F61">
        <w:rPr>
          <w:rStyle w:val="IFTnormalCar"/>
          <w:i/>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2018”</w:t>
      </w:r>
      <w:r w:rsidRPr="00E43F61">
        <w:rPr>
          <w:rStyle w:val="IFTnormalCar"/>
        </w:rPr>
        <w:t xml:space="preserve">, publicado en el </w:t>
      </w:r>
      <w:r w:rsidR="00FD0F05" w:rsidRPr="00E43F61">
        <w:rPr>
          <w:rStyle w:val="IFTnormalCar"/>
        </w:rPr>
        <w:t xml:space="preserve">DOF </w:t>
      </w:r>
      <w:r w:rsidRPr="00E43F61">
        <w:rPr>
          <w:rStyle w:val="IFTnormalCar"/>
        </w:rPr>
        <w:t>el 9 de noviembre de 2017</w:t>
      </w:r>
      <w:r w:rsidR="00413A19" w:rsidRPr="00E43F61">
        <w:rPr>
          <w:rStyle w:val="Refdenotaalpie"/>
          <w:bCs w:val="0"/>
        </w:rPr>
        <w:footnoteReference w:id="12"/>
      </w:r>
      <w:r w:rsidRPr="00E43F61">
        <w:rPr>
          <w:rStyle w:val="IFTnormalCar"/>
        </w:rPr>
        <w:t>.</w:t>
      </w:r>
    </w:p>
    <w:p w14:paraId="656B2A39" w14:textId="77777777" w:rsidR="00302FA6" w:rsidRDefault="00302FA6" w:rsidP="004F36F7">
      <w:pPr>
        <w:pStyle w:val="IFTnormal"/>
        <w:spacing w:before="240"/>
      </w:pPr>
      <w:r>
        <w:rPr>
          <w:rStyle w:val="IFTnormalCar"/>
        </w:rPr>
        <w:t xml:space="preserve">Por otra parte, respecto al concepto </w:t>
      </w:r>
      <w:r>
        <w:t>“</w:t>
      </w:r>
      <w:r w:rsidRPr="003B2E95">
        <w:rPr>
          <w:i/>
        </w:rPr>
        <w:t>Instalación de la acometida de cobre</w:t>
      </w:r>
      <w:r>
        <w:t>”, el Instituto indica que la contraprestación correspondiente a la instalación de los medios de transmisión</w:t>
      </w:r>
      <w:r w:rsidR="00D770B0">
        <w:t>,</w:t>
      </w:r>
      <w:r>
        <w:t xml:space="preserve"> </w:t>
      </w:r>
      <w:r w:rsidR="00251E89">
        <w:t xml:space="preserve">con independencia de si se trata de cobre o fibra óptica, </w:t>
      </w:r>
      <w:r>
        <w:t xml:space="preserve">a través de los cuales se brindarán servicios a los usuarios finales que </w:t>
      </w:r>
      <w:r w:rsidR="00D770B0">
        <w:t xml:space="preserve">ofrezcan </w:t>
      </w:r>
      <w:r>
        <w:t xml:space="preserve">los CS empleando servicios de desagregación, </w:t>
      </w:r>
      <w:r w:rsidR="00D770B0">
        <w:t xml:space="preserve">ya se encuentra </w:t>
      </w:r>
      <w:r>
        <w:t>plasmada a través del Anexo A de la OREDA</w:t>
      </w:r>
      <w:r w:rsidR="00A365BC">
        <w:t xml:space="preserve"> vigente</w:t>
      </w:r>
      <w:r>
        <w:t xml:space="preserve">. En este sentido, el </w:t>
      </w:r>
      <w:r>
        <w:rPr>
          <w:rStyle w:val="IFTnormalCar"/>
        </w:rPr>
        <w:t xml:space="preserve">Instituto determina modificar la Propuesta de tarifas del AEP para eliminar la mención al concepto de </w:t>
      </w:r>
      <w:r>
        <w:t>“</w:t>
      </w:r>
      <w:r w:rsidRPr="003B2E95">
        <w:rPr>
          <w:i/>
        </w:rPr>
        <w:t>Instalación de la acometida de cobre</w:t>
      </w:r>
      <w:r>
        <w:t xml:space="preserve">”, a efecto de facilitar </w:t>
      </w:r>
      <w:r w:rsidR="00D770B0">
        <w:t>que se haga referencia al</w:t>
      </w:r>
      <w:r>
        <w:t xml:space="preserve"> Anexo A de Tarifas de la OREDA</w:t>
      </w:r>
      <w:r w:rsidR="00A365BC">
        <w:t xml:space="preserve"> vigente</w:t>
      </w:r>
      <w:r>
        <w:t>.</w:t>
      </w:r>
    </w:p>
    <w:p w14:paraId="5B3FC079" w14:textId="77777777" w:rsidR="00302FA6" w:rsidRPr="000F43C6" w:rsidRDefault="00302FA6" w:rsidP="004F36F7">
      <w:pPr>
        <w:spacing w:before="240"/>
        <w:jc w:val="both"/>
        <w:rPr>
          <w:rFonts w:ascii="ITC Avant Garde" w:hAnsi="ITC Avant Garde"/>
        </w:rPr>
      </w:pPr>
      <w:r w:rsidRPr="000F43C6">
        <w:rPr>
          <w:rFonts w:ascii="ITC Avant Garde" w:hAnsi="ITC Avant Garde"/>
          <w:b/>
        </w:rPr>
        <w:t xml:space="preserve">QUINTO.- Modelo de Costos Evitados para el Servicio de Reventa </w:t>
      </w:r>
      <w:r w:rsidR="009930BD" w:rsidRPr="000F43C6">
        <w:rPr>
          <w:rFonts w:ascii="ITC Avant Garde" w:hAnsi="ITC Avant Garde"/>
          <w:b/>
        </w:rPr>
        <w:t xml:space="preserve">Mayorista </w:t>
      </w:r>
      <w:r w:rsidRPr="000F43C6">
        <w:rPr>
          <w:rFonts w:ascii="ITC Avant Garde" w:hAnsi="ITC Avant Garde"/>
          <w:b/>
        </w:rPr>
        <w:t xml:space="preserve">de Línea Telefónica. </w:t>
      </w:r>
      <w:r w:rsidRPr="000F43C6">
        <w:rPr>
          <w:rFonts w:ascii="ITC Avant Garde" w:hAnsi="ITC Avant Garde"/>
          <w:bCs/>
        </w:rPr>
        <w:t xml:space="preserve">El modelo de costos que determina las tarifas asociadas al Servicio De Reventa Mayorista de Línea Telefónica de la Oferta de Referencia de Desagregación Efectiva de la Red Local del Agente Económico Preponderante, se desarrolló siguiendo </w:t>
      </w:r>
      <w:r w:rsidRPr="000F43C6">
        <w:rPr>
          <w:rFonts w:ascii="ITC Avant Garde" w:hAnsi="ITC Avant Garde"/>
          <w:bCs/>
        </w:rPr>
        <w:lastRenderedPageBreak/>
        <w:t xml:space="preserve">una metodología de costos evitados de conformidad con lo establecido en la Medida TRIGÉSIMA NOVENA </w:t>
      </w:r>
      <w:r w:rsidR="004B0F3D" w:rsidRPr="000F43C6">
        <w:rPr>
          <w:rFonts w:ascii="ITC Avant Garde" w:hAnsi="ITC Avant Garde"/>
          <w:bCs/>
        </w:rPr>
        <w:t>de las Medidas de Desagregación</w:t>
      </w:r>
      <w:r w:rsidRPr="000F43C6">
        <w:rPr>
          <w:rFonts w:ascii="ITC Avant Garde" w:hAnsi="ITC Avant Garde"/>
          <w:bCs/>
        </w:rPr>
        <w:t>.</w:t>
      </w:r>
    </w:p>
    <w:p w14:paraId="37C7C4CA" w14:textId="77777777" w:rsidR="001A1C2F" w:rsidRPr="000F43C6" w:rsidRDefault="001A1C2F" w:rsidP="004F36F7">
      <w:pPr>
        <w:spacing w:before="240"/>
        <w:rPr>
          <w:rFonts w:ascii="ITC Avant Garde" w:hAnsi="ITC Avant Garde"/>
          <w:b/>
        </w:rPr>
      </w:pPr>
      <w:r w:rsidRPr="000F43C6">
        <w:rPr>
          <w:rFonts w:ascii="ITC Avant Garde" w:hAnsi="ITC Avant Garde"/>
          <w:b/>
        </w:rPr>
        <w:t>5.1</w:t>
      </w:r>
      <w:r w:rsidR="00302FA6" w:rsidRPr="000F43C6">
        <w:rPr>
          <w:rFonts w:ascii="ITC Avant Garde" w:hAnsi="ITC Avant Garde"/>
          <w:b/>
        </w:rPr>
        <w:t xml:space="preserve"> Modelo de Costos Evitados.</w:t>
      </w:r>
    </w:p>
    <w:p w14:paraId="05D54344" w14:textId="77777777" w:rsidR="00A126A7" w:rsidRDefault="00302FA6" w:rsidP="004F36F7">
      <w:pPr>
        <w:pStyle w:val="IFTnormal"/>
        <w:spacing w:before="240"/>
        <w:rPr>
          <w:color w:val="000000" w:themeColor="text1"/>
        </w:rPr>
      </w:pPr>
      <w:r w:rsidRPr="00441AD7">
        <w:rPr>
          <w:rStyle w:val="IFTnormalCar"/>
        </w:rPr>
        <w:t xml:space="preserve">Mediante la </w:t>
      </w:r>
      <w:r>
        <w:rPr>
          <w:rStyle w:val="IFTnormalCar"/>
        </w:rPr>
        <w:t xml:space="preserve">Resolución </w:t>
      </w:r>
      <w:r w:rsidR="00745C94" w:rsidRPr="00745C94">
        <w:rPr>
          <w:rStyle w:val="IFTnormalCar"/>
        </w:rPr>
        <w:t>de Desagregación 2017-2018</w:t>
      </w:r>
      <w:r w:rsidRPr="00441AD7">
        <w:rPr>
          <w:rStyle w:val="IFTnormalCar"/>
        </w:rPr>
        <w:t xml:space="preserve"> se determinaron tarifas </w:t>
      </w:r>
      <w:r w:rsidRPr="00441AD7">
        <w:t>de Servicios de Desagregación l</w:t>
      </w:r>
      <w:r>
        <w:t xml:space="preserve">a red local del AEP aplicables al periodo </w:t>
      </w:r>
      <w:r w:rsidR="00660401">
        <w:t>del</w:t>
      </w:r>
      <w:r>
        <w:t xml:space="preserve"> </w:t>
      </w:r>
      <w:r w:rsidRPr="00441AD7">
        <w:t xml:space="preserve">1° de </w:t>
      </w:r>
      <w:r>
        <w:t>enero de 2017 al 31 de diciembre de 2018</w:t>
      </w:r>
      <w:r w:rsidRPr="00441AD7">
        <w:t xml:space="preserve"> a través de una versión del Modelo de Costos Evitados</w:t>
      </w:r>
      <w:r>
        <w:t>, a través del cual se</w:t>
      </w:r>
      <w:r w:rsidRPr="00441AD7">
        <w:t xml:space="preserve"> determinar</w:t>
      </w:r>
      <w:r>
        <w:t>on</w:t>
      </w:r>
      <w:r w:rsidRPr="00441AD7">
        <w:t xml:space="preserve"> niveles tarifarios de</w:t>
      </w:r>
      <w:r w:rsidRPr="00441AD7">
        <w:rPr>
          <w:rStyle w:val="IFTnormalCar"/>
        </w:rPr>
        <w:t xml:space="preserve"> </w:t>
      </w:r>
      <w:r>
        <w:t xml:space="preserve">SRLT, SRI, </w:t>
      </w:r>
      <w:r w:rsidRPr="00441AD7">
        <w:t>SRP y SAIB</w:t>
      </w:r>
      <w:r w:rsidR="00660401">
        <w:t>.</w:t>
      </w:r>
      <w:r w:rsidR="00660401" w:rsidRPr="00441AD7" w:rsidDel="00660401">
        <w:rPr>
          <w:rStyle w:val="IFTnormalCar"/>
        </w:rPr>
        <w:t xml:space="preserve"> </w:t>
      </w:r>
      <w:r w:rsidR="00A126A7">
        <w:rPr>
          <w:rStyle w:val="IFTnormalCar"/>
        </w:rPr>
        <w:t>A mayor abundamiento, e</w:t>
      </w:r>
      <w:r w:rsidR="00A126A7" w:rsidRPr="00C1472F">
        <w:t xml:space="preserve">l Modelo de </w:t>
      </w:r>
      <w:r w:rsidR="00A126A7">
        <w:t xml:space="preserve">Costos Evitados </w:t>
      </w:r>
      <w:r w:rsidR="00A126A7" w:rsidRPr="00C400C4">
        <w:t>se basa en una</w:t>
      </w:r>
      <w:r w:rsidR="00A126A7">
        <w:t xml:space="preserve"> metodología que</w:t>
      </w:r>
      <w:r w:rsidR="00A126A7">
        <w:rPr>
          <w:color w:val="000000" w:themeColor="text1"/>
        </w:rPr>
        <w:t xml:space="preserve"> tiene por</w:t>
      </w:r>
      <w:r w:rsidR="00A126A7" w:rsidRPr="00ED1F3B">
        <w:rPr>
          <w:color w:val="000000" w:themeColor="text1"/>
        </w:rPr>
        <w:t xml:space="preserve"> objetivo estimar los costos en los que dejaría de incurrir el </w:t>
      </w:r>
      <w:r w:rsidR="00A126A7">
        <w:rPr>
          <w:color w:val="000000" w:themeColor="text1"/>
        </w:rPr>
        <w:t>AEP</w:t>
      </w:r>
      <w:r w:rsidR="00A126A7" w:rsidRPr="00ED1F3B">
        <w:rPr>
          <w:color w:val="000000" w:themeColor="text1"/>
        </w:rPr>
        <w:t xml:space="preserve"> si prestara un determinado servicio de telecomunicaciones sólo en el mercado mayorista</w:t>
      </w:r>
      <w:r w:rsidR="00A126A7">
        <w:rPr>
          <w:color w:val="000000" w:themeColor="text1"/>
        </w:rPr>
        <w:t xml:space="preserve"> (este segmento del precio se denomina como “costo evitado”)</w:t>
      </w:r>
      <w:r w:rsidR="00A126A7" w:rsidRPr="00ED1F3B">
        <w:rPr>
          <w:color w:val="000000" w:themeColor="text1"/>
        </w:rPr>
        <w:t xml:space="preserve">. </w:t>
      </w:r>
    </w:p>
    <w:p w14:paraId="61823EEC" w14:textId="77777777" w:rsidR="00A126A7" w:rsidRPr="00C400C4" w:rsidRDefault="00A126A7" w:rsidP="004F36F7">
      <w:pPr>
        <w:pStyle w:val="IFTnormal"/>
        <w:spacing w:before="240"/>
      </w:pPr>
      <w:r>
        <w:rPr>
          <w:color w:val="000000" w:themeColor="text1"/>
        </w:rPr>
        <w:t>Para</w:t>
      </w:r>
      <w:r w:rsidRPr="00ED1F3B">
        <w:rPr>
          <w:color w:val="000000" w:themeColor="text1"/>
        </w:rPr>
        <w:t xml:space="preserve"> cuantificar dichos costos se procede a comparar los costos de provisión de servicios en el mercado minorista con los que existirían en el mercado mayorista, de ésta manera se obtiene un porcentaje de descuento que deberá ser aplicado a las tarifas que el dicho operador tiene para sus usuarios finales.</w:t>
      </w:r>
      <w:r>
        <w:rPr>
          <w:color w:val="000000" w:themeColor="text1"/>
        </w:rPr>
        <w:t xml:space="preserve"> </w:t>
      </w:r>
      <w:r>
        <w:t xml:space="preserve">En dicho proceso, se deben considerar </w:t>
      </w:r>
      <w:r w:rsidRPr="00C400C4">
        <w:t xml:space="preserve">los precios minoristas del </w:t>
      </w:r>
      <w:r>
        <w:t>AEP</w:t>
      </w:r>
      <w:r w:rsidRPr="00C400C4">
        <w:t>, así como los costos de los demás insumos de producción, para aproximarse a la estructura real de costos en los que este operador incurre en la presta</w:t>
      </w:r>
      <w:r>
        <w:t>ción</w:t>
      </w:r>
      <w:r w:rsidRPr="00C400C4">
        <w:t xml:space="preserve"> de servicios mayoristas</w:t>
      </w:r>
      <w:r>
        <w:t xml:space="preserve"> sobre los cuales se buscan estimar los correspondientes niveles tarifarios.</w:t>
      </w:r>
    </w:p>
    <w:p w14:paraId="5CB4DEEA" w14:textId="77777777" w:rsidR="00A126A7" w:rsidRDefault="00A126A7" w:rsidP="004F36F7">
      <w:pPr>
        <w:pStyle w:val="IFTnormal"/>
        <w:spacing w:before="240"/>
      </w:pPr>
      <w:r w:rsidRPr="009A7DCD">
        <w:t xml:space="preserve">Asimismo, </w:t>
      </w:r>
      <w:r>
        <w:t xml:space="preserve">se debe tomar en cuenta que </w:t>
      </w:r>
      <w:r w:rsidRPr="009A7DCD">
        <w:t>la prestación de los servicios debe considerarse que el AEP incurre en diversos costos</w:t>
      </w:r>
      <w:r>
        <w:t>, entre los cuales destacan</w:t>
      </w:r>
      <w:r w:rsidRPr="009A7DCD">
        <w:t>: 1) costos directos, es decir, gastos inherentes a la prestación de los servicios, 2) otros costos comerciales involucrados en la prestación de los servicios (por ejemplo</w:t>
      </w:r>
      <w:r>
        <w:t>,</w:t>
      </w:r>
      <w:r w:rsidRPr="009A7DCD">
        <w:t xml:space="preserve"> costos de distribución y </w:t>
      </w:r>
      <w:r w:rsidR="00A8740C">
        <w:t>mercadotecnia</w:t>
      </w:r>
      <w:r w:rsidRPr="009A7DCD">
        <w:t xml:space="preserve">); </w:t>
      </w:r>
      <w:r>
        <w:t xml:space="preserve">y </w:t>
      </w:r>
      <w:r w:rsidRPr="009A7DCD">
        <w:t xml:space="preserve">3) </w:t>
      </w:r>
      <w:r>
        <w:t>los</w:t>
      </w:r>
      <w:r w:rsidRPr="009A7DCD">
        <w:t xml:space="preserve"> costos comunes relevantes.</w:t>
      </w:r>
    </w:p>
    <w:p w14:paraId="21D8A887" w14:textId="77777777" w:rsidR="00A126A7" w:rsidRPr="00C1472F" w:rsidRDefault="00A126A7" w:rsidP="004F36F7">
      <w:pPr>
        <w:pStyle w:val="IFTnormal"/>
        <w:spacing w:before="240"/>
        <w:rPr>
          <w:b/>
        </w:rPr>
      </w:pPr>
      <w:r w:rsidRPr="00C1472F">
        <w:rPr>
          <w:b/>
        </w:rPr>
        <w:t xml:space="preserve">Resumen de principios metodológicos empleados en el Modelo de </w:t>
      </w:r>
      <w:r>
        <w:rPr>
          <w:b/>
        </w:rPr>
        <w:t>Costos Evitados</w:t>
      </w:r>
    </w:p>
    <w:p w14:paraId="0FC5FDA4" w14:textId="77777777" w:rsidR="00A126A7" w:rsidRPr="00C1472F" w:rsidRDefault="00A126A7" w:rsidP="004F36F7">
      <w:pPr>
        <w:pStyle w:val="IFTnormal"/>
        <w:spacing w:before="240"/>
      </w:pPr>
      <w:r w:rsidRPr="00C1472F">
        <w:t xml:space="preserve">A continuación, se presenta un resumen de los principales principios metodológicos que se emplean en la implementación del Modelo de </w:t>
      </w:r>
      <w:r>
        <w:t>Costos Evitados</w:t>
      </w:r>
      <w:r w:rsidRPr="00C1472F">
        <w:t>:</w:t>
      </w:r>
    </w:p>
    <w:tbl>
      <w:tblPr>
        <w:tblStyle w:val="Tabladecuadrcula1clara"/>
        <w:tblW w:w="5000" w:type="pct"/>
        <w:jc w:val="center"/>
        <w:tblLook w:val="0420" w:firstRow="1" w:lastRow="0" w:firstColumn="0" w:lastColumn="0" w:noHBand="0" w:noVBand="1"/>
        <w:tblCaption w:val="Figura 3: Estrutura del modelo de costos de coubicación móvil (Fuente: IFT, 2015)"/>
        <w:tblDescription w:val="Se divida en hoja de cálculo y descripción"/>
      </w:tblPr>
      <w:tblGrid>
        <w:gridCol w:w="1911"/>
        <w:gridCol w:w="7483"/>
      </w:tblGrid>
      <w:tr w:rsidR="00A126A7" w:rsidRPr="00C1472F" w14:paraId="7293B775" w14:textId="77777777" w:rsidTr="00E9421F">
        <w:trPr>
          <w:cnfStyle w:val="100000000000" w:firstRow="1" w:lastRow="0" w:firstColumn="0" w:lastColumn="0" w:oddVBand="0" w:evenVBand="0" w:oddHBand="0" w:evenHBand="0" w:firstRowFirstColumn="0" w:firstRowLastColumn="0" w:lastRowFirstColumn="0" w:lastRowLastColumn="0"/>
          <w:trHeight w:val="353"/>
          <w:tblHeader/>
          <w:jc w:val="center"/>
        </w:trPr>
        <w:tc>
          <w:tcPr>
            <w:tcW w:w="1017" w:type="pct"/>
            <w:shd w:val="clear" w:color="auto" w:fill="E7E6E6" w:themeFill="background2"/>
          </w:tcPr>
          <w:p w14:paraId="39A031B4" w14:textId="77777777" w:rsidR="00A126A7" w:rsidRPr="00C1472F" w:rsidRDefault="00A126A7" w:rsidP="004F36F7">
            <w:pPr>
              <w:pStyle w:val="Tableheading"/>
              <w:spacing w:before="240" w:after="200"/>
              <w:jc w:val="center"/>
              <w:rPr>
                <w:rFonts w:ascii="ITC Avant Garde" w:hAnsi="ITC Avant Garde"/>
                <w:b/>
                <w:color w:val="000000" w:themeColor="text1"/>
                <w:szCs w:val="18"/>
                <w:lang w:val="es-ES_tradnl"/>
              </w:rPr>
            </w:pPr>
            <w:r w:rsidRPr="00C1472F">
              <w:rPr>
                <w:rFonts w:ascii="ITC Avant Garde" w:hAnsi="ITC Avant Garde"/>
                <w:b/>
                <w:color w:val="000000" w:themeColor="text1"/>
                <w:szCs w:val="18"/>
                <w:lang w:val="es-ES_tradnl"/>
              </w:rPr>
              <w:t>Concepto</w:t>
            </w:r>
          </w:p>
        </w:tc>
        <w:tc>
          <w:tcPr>
            <w:tcW w:w="3983" w:type="pct"/>
            <w:shd w:val="clear" w:color="auto" w:fill="E7E6E6" w:themeFill="background2"/>
          </w:tcPr>
          <w:p w14:paraId="519F97E9" w14:textId="77777777" w:rsidR="00A126A7" w:rsidRPr="00C1472F" w:rsidRDefault="00A126A7" w:rsidP="004F36F7">
            <w:pPr>
              <w:pStyle w:val="Tableheading"/>
              <w:spacing w:before="240" w:after="200"/>
              <w:jc w:val="center"/>
              <w:rPr>
                <w:rFonts w:ascii="ITC Avant Garde" w:hAnsi="ITC Avant Garde"/>
                <w:b/>
                <w:color w:val="000000" w:themeColor="text1"/>
                <w:szCs w:val="18"/>
                <w:lang w:val="es-ES_tradnl"/>
              </w:rPr>
            </w:pPr>
            <w:r w:rsidRPr="00C1472F">
              <w:rPr>
                <w:rFonts w:ascii="ITC Avant Garde" w:hAnsi="ITC Avant Garde"/>
                <w:b/>
                <w:color w:val="000000" w:themeColor="text1"/>
                <w:szCs w:val="18"/>
                <w:lang w:val="es-ES_tradnl"/>
              </w:rPr>
              <w:t>Descripción</w:t>
            </w:r>
          </w:p>
        </w:tc>
      </w:tr>
      <w:tr w:rsidR="00A126A7" w:rsidRPr="00C1472F" w14:paraId="4A4639A6" w14:textId="77777777" w:rsidTr="00D86935">
        <w:trPr>
          <w:trHeight w:val="351"/>
          <w:jc w:val="center"/>
        </w:trPr>
        <w:tc>
          <w:tcPr>
            <w:tcW w:w="1017" w:type="pct"/>
          </w:tcPr>
          <w:p w14:paraId="27F20056" w14:textId="77777777" w:rsidR="00A126A7" w:rsidRPr="00C1472F" w:rsidRDefault="00A126A7" w:rsidP="004F36F7">
            <w:pPr>
              <w:pStyle w:val="Tablecells"/>
              <w:spacing w:before="240" w:after="200"/>
              <w:jc w:val="both"/>
              <w:rPr>
                <w:rFonts w:ascii="ITC Avant Garde" w:hAnsi="ITC Avant Garde"/>
                <w:b/>
                <w:szCs w:val="18"/>
                <w:lang w:val="es-ES_tradnl"/>
              </w:rPr>
            </w:pPr>
            <w:r w:rsidRPr="00C1472F">
              <w:rPr>
                <w:rFonts w:ascii="ITC Avant Garde" w:hAnsi="ITC Avant Garde"/>
                <w:b/>
                <w:szCs w:val="18"/>
                <w:lang w:val="es-ES_tradnl"/>
              </w:rPr>
              <w:t>Implementación paramétrica</w:t>
            </w:r>
          </w:p>
        </w:tc>
        <w:tc>
          <w:tcPr>
            <w:tcW w:w="3983" w:type="pct"/>
          </w:tcPr>
          <w:p w14:paraId="0A03AE66" w14:textId="77777777" w:rsidR="00A126A7" w:rsidRPr="00C1472F" w:rsidRDefault="00A126A7" w:rsidP="004F36F7">
            <w:pPr>
              <w:pStyle w:val="Tablecells"/>
              <w:spacing w:before="240" w:after="200"/>
              <w:jc w:val="both"/>
              <w:rPr>
                <w:rFonts w:ascii="ITC Avant Garde" w:hAnsi="ITC Avant Garde"/>
                <w:szCs w:val="18"/>
                <w:lang w:val="es-ES_tradnl"/>
              </w:rPr>
            </w:pPr>
            <w:r w:rsidRPr="00C1472F">
              <w:rPr>
                <w:rFonts w:ascii="ITC Avant Garde" w:hAnsi="ITC Avant Garde"/>
                <w:szCs w:val="18"/>
                <w:lang w:val="es-ES_tradnl"/>
              </w:rPr>
              <w:t>Enfoque de implementación que permite al Instituto definir ciertas característi</w:t>
            </w:r>
            <w:r>
              <w:rPr>
                <w:rFonts w:ascii="ITC Avant Garde" w:hAnsi="ITC Avant Garde"/>
                <w:szCs w:val="18"/>
                <w:lang w:val="es-ES_tradnl"/>
              </w:rPr>
              <w:t>cas variables relacionada con el año de referencia, la</w:t>
            </w:r>
            <w:r w:rsidRPr="00C1472F">
              <w:rPr>
                <w:rFonts w:ascii="ITC Avant Garde" w:hAnsi="ITC Avant Garde"/>
                <w:szCs w:val="18"/>
                <w:lang w:val="es-ES_tradnl"/>
              </w:rPr>
              <w:t xml:space="preserve"> demanda</w:t>
            </w:r>
            <w:r>
              <w:rPr>
                <w:rFonts w:ascii="ITC Avant Garde" w:hAnsi="ITC Avant Garde"/>
                <w:szCs w:val="18"/>
                <w:lang w:val="es-ES_tradnl"/>
              </w:rPr>
              <w:t xml:space="preserve"> de servicios minoristas provistos por el AEP</w:t>
            </w:r>
            <w:r w:rsidRPr="00C1472F">
              <w:rPr>
                <w:rFonts w:ascii="ITC Avant Garde" w:hAnsi="ITC Avant Garde"/>
                <w:szCs w:val="18"/>
                <w:lang w:val="es-ES_tradnl"/>
              </w:rPr>
              <w:t>, parámetros de costos, y de los servicios a ser provistos a través de ésta.</w:t>
            </w:r>
          </w:p>
        </w:tc>
      </w:tr>
      <w:tr w:rsidR="00A126A7" w:rsidRPr="00C1472F" w14:paraId="591C8FE8" w14:textId="77777777" w:rsidTr="00D86935">
        <w:trPr>
          <w:trHeight w:val="340"/>
          <w:jc w:val="center"/>
        </w:trPr>
        <w:tc>
          <w:tcPr>
            <w:tcW w:w="1017" w:type="pct"/>
          </w:tcPr>
          <w:p w14:paraId="031E70CC" w14:textId="77777777" w:rsidR="00A126A7" w:rsidRPr="00C1472F" w:rsidRDefault="00A126A7" w:rsidP="004F36F7">
            <w:pPr>
              <w:pStyle w:val="Tablecells"/>
              <w:spacing w:before="240" w:after="200"/>
              <w:jc w:val="both"/>
              <w:rPr>
                <w:rFonts w:ascii="ITC Avant Garde" w:hAnsi="ITC Avant Garde"/>
                <w:b/>
                <w:szCs w:val="18"/>
                <w:lang w:val="es-ES_tradnl"/>
              </w:rPr>
            </w:pPr>
            <w:r>
              <w:rPr>
                <w:rFonts w:ascii="ITC Avant Garde" w:hAnsi="ITC Avant Garde"/>
                <w:b/>
                <w:szCs w:val="18"/>
                <w:lang w:val="es-ES_tradnl"/>
              </w:rPr>
              <w:lastRenderedPageBreak/>
              <w:t>Rubros de costos evitados</w:t>
            </w:r>
          </w:p>
        </w:tc>
        <w:tc>
          <w:tcPr>
            <w:tcW w:w="3983" w:type="pct"/>
          </w:tcPr>
          <w:p w14:paraId="41D9ED45" w14:textId="77777777" w:rsidR="00A126A7" w:rsidRPr="00170E8F" w:rsidRDefault="00A126A7" w:rsidP="004F36F7">
            <w:pPr>
              <w:pStyle w:val="Tablecells"/>
              <w:spacing w:before="240" w:after="200"/>
              <w:jc w:val="both"/>
              <w:rPr>
                <w:rFonts w:ascii="ITC Avant Garde" w:hAnsi="ITC Avant Garde"/>
                <w:szCs w:val="18"/>
                <w:lang w:val="es-ES_tradnl"/>
              </w:rPr>
            </w:pPr>
            <w:r>
              <w:rPr>
                <w:rFonts w:ascii="ITC Avant Garde" w:hAnsi="ITC Avant Garde"/>
                <w:szCs w:val="18"/>
                <w:lang w:val="es-ES_tradnl"/>
              </w:rPr>
              <w:t xml:space="preserve">Para </w:t>
            </w:r>
            <w:r w:rsidRPr="00170E8F">
              <w:rPr>
                <w:rFonts w:ascii="ITC Avant Garde" w:hAnsi="ITC Avant Garde"/>
                <w:szCs w:val="18"/>
                <w:lang w:val="es-ES_tradnl"/>
              </w:rPr>
              <w:t xml:space="preserve">la estimación de los costos evitados </w:t>
            </w:r>
            <w:r>
              <w:rPr>
                <w:rFonts w:ascii="ITC Avant Garde" w:hAnsi="ITC Avant Garde"/>
                <w:szCs w:val="18"/>
                <w:lang w:val="es-ES_tradnl"/>
              </w:rPr>
              <w:t>se consideran principalmente los</w:t>
            </w:r>
            <w:r w:rsidRPr="00170E8F">
              <w:rPr>
                <w:rFonts w:ascii="ITC Avant Garde" w:hAnsi="ITC Avant Garde"/>
                <w:szCs w:val="18"/>
                <w:lang w:val="es-ES_tradnl"/>
              </w:rPr>
              <w:t xml:space="preserve"> siguientes rubros:</w:t>
            </w:r>
          </w:p>
          <w:p w14:paraId="60703B85" w14:textId="77777777" w:rsidR="00A126A7" w:rsidRPr="00170E8F" w:rsidRDefault="00A126A7" w:rsidP="004F36F7">
            <w:pPr>
              <w:pStyle w:val="Tablecells"/>
              <w:numPr>
                <w:ilvl w:val="0"/>
                <w:numId w:val="14"/>
              </w:numPr>
              <w:spacing w:before="240" w:after="200"/>
              <w:jc w:val="both"/>
              <w:rPr>
                <w:rFonts w:ascii="ITC Avant Garde" w:hAnsi="ITC Avant Garde"/>
                <w:szCs w:val="18"/>
                <w:lang w:val="es-ES_tradnl"/>
              </w:rPr>
            </w:pPr>
            <w:r w:rsidRPr="00170E8F">
              <w:rPr>
                <w:rFonts w:ascii="ITC Avant Garde" w:hAnsi="ITC Avant Garde"/>
                <w:szCs w:val="18"/>
                <w:lang w:val="es-ES_tradnl"/>
              </w:rPr>
              <w:t>Gastos de facturación, incluyendo el sistema de facturació</w:t>
            </w:r>
            <w:r>
              <w:rPr>
                <w:rFonts w:ascii="ITC Avant Garde" w:hAnsi="ITC Avant Garde"/>
                <w:szCs w:val="18"/>
                <w:lang w:val="es-ES_tradnl"/>
              </w:rPr>
              <w:t>n a usuarios finales minoristas,</w:t>
            </w:r>
          </w:p>
          <w:p w14:paraId="4CA84AC9" w14:textId="77777777" w:rsidR="00A126A7" w:rsidRPr="00170E8F" w:rsidRDefault="00A126A7" w:rsidP="004F36F7">
            <w:pPr>
              <w:pStyle w:val="Tablecells"/>
              <w:numPr>
                <w:ilvl w:val="0"/>
                <w:numId w:val="14"/>
              </w:numPr>
              <w:spacing w:before="240" w:after="200"/>
              <w:jc w:val="both"/>
              <w:rPr>
                <w:rFonts w:ascii="ITC Avant Garde" w:hAnsi="ITC Avant Garde"/>
                <w:szCs w:val="18"/>
                <w:lang w:val="es-ES_tradnl"/>
              </w:rPr>
            </w:pPr>
            <w:r w:rsidRPr="00170E8F">
              <w:rPr>
                <w:rFonts w:ascii="ITC Avant Garde" w:hAnsi="ITC Avant Garde"/>
                <w:szCs w:val="18"/>
                <w:lang w:val="es-ES_tradnl"/>
              </w:rPr>
              <w:t>Gastos por deudas incobrabl</w:t>
            </w:r>
            <w:r>
              <w:rPr>
                <w:rFonts w:ascii="ITC Avant Garde" w:hAnsi="ITC Avant Garde"/>
                <w:szCs w:val="18"/>
                <w:lang w:val="es-ES_tradnl"/>
              </w:rPr>
              <w:t>es,</w:t>
            </w:r>
          </w:p>
          <w:p w14:paraId="6F49E951" w14:textId="77777777" w:rsidR="00A126A7" w:rsidRPr="00170E8F" w:rsidRDefault="00A126A7" w:rsidP="004F36F7">
            <w:pPr>
              <w:pStyle w:val="Tablecells"/>
              <w:numPr>
                <w:ilvl w:val="0"/>
                <w:numId w:val="14"/>
              </w:numPr>
              <w:spacing w:before="240" w:after="200"/>
              <w:jc w:val="both"/>
              <w:rPr>
                <w:rFonts w:ascii="ITC Avant Garde" w:hAnsi="ITC Avant Garde"/>
                <w:szCs w:val="18"/>
                <w:lang w:val="es-ES_tradnl"/>
              </w:rPr>
            </w:pPr>
            <w:r w:rsidRPr="00170E8F">
              <w:rPr>
                <w:rFonts w:ascii="ITC Avant Garde" w:hAnsi="ITC Avant Garde"/>
                <w:szCs w:val="18"/>
                <w:lang w:val="es-ES_tradnl"/>
              </w:rPr>
              <w:t>Gastos de mercadotecnia y publicidad</w:t>
            </w:r>
            <w:r>
              <w:rPr>
                <w:rFonts w:ascii="ITC Avant Garde" w:hAnsi="ITC Avant Garde"/>
                <w:szCs w:val="18"/>
                <w:lang w:val="es-ES_tradnl"/>
              </w:rPr>
              <w:t>,</w:t>
            </w:r>
          </w:p>
          <w:p w14:paraId="0188C2A3" w14:textId="77777777" w:rsidR="00A126A7" w:rsidRPr="00170E8F" w:rsidRDefault="00A126A7" w:rsidP="004F36F7">
            <w:pPr>
              <w:pStyle w:val="Tablecells"/>
              <w:numPr>
                <w:ilvl w:val="0"/>
                <w:numId w:val="14"/>
              </w:numPr>
              <w:spacing w:before="240" w:after="200"/>
              <w:jc w:val="both"/>
              <w:rPr>
                <w:rFonts w:ascii="ITC Avant Garde" w:hAnsi="ITC Avant Garde"/>
                <w:szCs w:val="18"/>
                <w:lang w:val="es-ES_tradnl"/>
              </w:rPr>
            </w:pPr>
            <w:r w:rsidRPr="00170E8F">
              <w:rPr>
                <w:rFonts w:ascii="ITC Avant Garde" w:hAnsi="ITC Avant Garde"/>
                <w:szCs w:val="18"/>
                <w:lang w:val="es-ES_tradnl"/>
              </w:rPr>
              <w:t>Gastos asociados al servicio de atención al cliente</w:t>
            </w:r>
            <w:r>
              <w:rPr>
                <w:rFonts w:ascii="ITC Avant Garde" w:hAnsi="ITC Avant Garde"/>
                <w:szCs w:val="18"/>
                <w:lang w:val="es-ES_tradnl"/>
              </w:rPr>
              <w:t>,</w:t>
            </w:r>
          </w:p>
          <w:p w14:paraId="769FA494" w14:textId="77777777" w:rsidR="00A126A7" w:rsidRPr="00170E8F" w:rsidRDefault="00A126A7" w:rsidP="004F36F7">
            <w:pPr>
              <w:pStyle w:val="Tablecells"/>
              <w:numPr>
                <w:ilvl w:val="0"/>
                <w:numId w:val="14"/>
              </w:numPr>
              <w:spacing w:before="240" w:after="200"/>
              <w:jc w:val="both"/>
              <w:rPr>
                <w:rFonts w:ascii="ITC Avant Garde" w:hAnsi="ITC Avant Garde"/>
                <w:szCs w:val="18"/>
                <w:lang w:val="es-ES_tradnl"/>
              </w:rPr>
            </w:pPr>
            <w:r w:rsidRPr="00170E8F">
              <w:rPr>
                <w:rFonts w:ascii="ITC Avant Garde" w:hAnsi="ITC Avant Garde"/>
                <w:szCs w:val="18"/>
                <w:lang w:val="es-ES_tradnl"/>
              </w:rPr>
              <w:t>Gastos generales y administrativos; incluyendo en particular los gastos de personal (salarios y participación en las utilidades) y de oficina</w:t>
            </w:r>
            <w:r>
              <w:rPr>
                <w:rFonts w:ascii="ITC Avant Garde" w:hAnsi="ITC Avant Garde"/>
                <w:szCs w:val="18"/>
                <w:lang w:val="es-ES_tradnl"/>
              </w:rPr>
              <w:t>, y</w:t>
            </w:r>
          </w:p>
          <w:p w14:paraId="6579B8E7" w14:textId="77777777" w:rsidR="00A126A7" w:rsidRDefault="00A126A7" w:rsidP="004F36F7">
            <w:pPr>
              <w:pStyle w:val="Tablecells"/>
              <w:numPr>
                <w:ilvl w:val="0"/>
                <w:numId w:val="14"/>
              </w:numPr>
              <w:spacing w:before="240" w:after="200"/>
              <w:jc w:val="both"/>
              <w:rPr>
                <w:rFonts w:ascii="ITC Avant Garde" w:hAnsi="ITC Avant Garde"/>
                <w:szCs w:val="18"/>
                <w:lang w:val="es-ES_tradnl"/>
              </w:rPr>
            </w:pPr>
            <w:r w:rsidRPr="00170E8F">
              <w:rPr>
                <w:rFonts w:ascii="ITC Avant Garde" w:hAnsi="ITC Avant Garde"/>
                <w:szCs w:val="18"/>
                <w:lang w:val="es-ES_tradnl"/>
              </w:rPr>
              <w:t xml:space="preserve">Costos relativos al espacio físico </w:t>
            </w:r>
            <w:r>
              <w:rPr>
                <w:rFonts w:ascii="ITC Avant Garde" w:hAnsi="ITC Avant Garde"/>
                <w:szCs w:val="18"/>
                <w:lang w:val="es-ES_tradnl"/>
              </w:rPr>
              <w:t>necesario en los sitios del AEP.</w:t>
            </w:r>
          </w:p>
          <w:p w14:paraId="09B753F5" w14:textId="77777777" w:rsidR="00A126A7" w:rsidRPr="00170E8F" w:rsidRDefault="00A126A7" w:rsidP="004F36F7">
            <w:pPr>
              <w:pStyle w:val="Tablecells"/>
              <w:spacing w:before="240" w:after="200"/>
              <w:ind w:left="720"/>
              <w:jc w:val="both"/>
              <w:rPr>
                <w:rFonts w:ascii="ITC Avant Garde" w:hAnsi="ITC Avant Garde"/>
                <w:szCs w:val="18"/>
                <w:lang w:val="es-ES_tradnl"/>
              </w:rPr>
            </w:pPr>
          </w:p>
        </w:tc>
      </w:tr>
      <w:tr w:rsidR="00A126A7" w:rsidRPr="00C1472F" w14:paraId="48DDE65E" w14:textId="77777777" w:rsidTr="00D86935">
        <w:trPr>
          <w:trHeight w:val="340"/>
          <w:jc w:val="center"/>
        </w:trPr>
        <w:tc>
          <w:tcPr>
            <w:tcW w:w="1017" w:type="pct"/>
          </w:tcPr>
          <w:p w14:paraId="37C99012" w14:textId="77777777" w:rsidR="00A126A7" w:rsidRDefault="00A126A7" w:rsidP="004F36F7">
            <w:pPr>
              <w:pStyle w:val="Tablecells"/>
              <w:spacing w:before="240" w:after="200"/>
              <w:jc w:val="both"/>
              <w:rPr>
                <w:rFonts w:ascii="ITC Avant Garde" w:hAnsi="ITC Avant Garde"/>
                <w:b/>
                <w:szCs w:val="18"/>
                <w:lang w:val="es-ES_tradnl"/>
              </w:rPr>
            </w:pPr>
            <w:r>
              <w:rPr>
                <w:rFonts w:ascii="ITC Avant Garde" w:hAnsi="ITC Avant Garde"/>
                <w:b/>
                <w:szCs w:val="18"/>
                <w:lang w:val="es-ES_tradnl"/>
              </w:rPr>
              <w:t>Otros conceptos de costos</w:t>
            </w:r>
          </w:p>
        </w:tc>
        <w:tc>
          <w:tcPr>
            <w:tcW w:w="3983" w:type="pct"/>
          </w:tcPr>
          <w:p w14:paraId="4C8296BE" w14:textId="39532C9B" w:rsidR="00A126A7" w:rsidRDefault="00A126A7" w:rsidP="004F36F7">
            <w:pPr>
              <w:pStyle w:val="Tablecells"/>
              <w:spacing w:before="240" w:after="200"/>
              <w:jc w:val="both"/>
              <w:rPr>
                <w:rFonts w:ascii="ITC Avant Garde" w:hAnsi="ITC Avant Garde"/>
                <w:szCs w:val="18"/>
                <w:lang w:val="es-ES_tradnl"/>
              </w:rPr>
            </w:pPr>
            <w:r>
              <w:rPr>
                <w:rFonts w:ascii="ITC Avant Garde" w:hAnsi="ITC Avant Garde"/>
                <w:szCs w:val="18"/>
                <w:lang w:val="es-ES_tradnl"/>
              </w:rPr>
              <w:t xml:space="preserve">Adicionalmente, se considera un </w:t>
            </w:r>
            <w:r w:rsidRPr="00434F9F">
              <w:rPr>
                <w:rFonts w:ascii="ITC Avant Garde" w:hAnsi="ITC Avant Garde"/>
                <w:szCs w:val="18"/>
                <w:lang w:val="es-ES_tradnl"/>
              </w:rPr>
              <w:t>margen de beneficio atribuible al AEP que ha de deducirse de los c</w:t>
            </w:r>
            <w:r>
              <w:rPr>
                <w:rFonts w:ascii="ITC Avant Garde" w:hAnsi="ITC Avant Garde"/>
                <w:szCs w:val="18"/>
                <w:lang w:val="es-ES_tradnl"/>
              </w:rPr>
              <w:t>ostos minoristas.</w:t>
            </w:r>
            <w:r w:rsidRPr="00434F9F">
              <w:rPr>
                <w:rFonts w:ascii="ITC Avant Garde" w:hAnsi="ITC Avant Garde"/>
                <w:szCs w:val="18"/>
                <w:lang w:val="es-ES_tradnl"/>
              </w:rPr>
              <w:t xml:space="preserve"> Es decir, este margen r</w:t>
            </w:r>
            <w:r>
              <w:rPr>
                <w:rFonts w:ascii="ITC Avant Garde" w:hAnsi="ITC Avant Garde"/>
                <w:szCs w:val="18"/>
                <w:lang w:val="es-ES_tradnl"/>
              </w:rPr>
              <w:t xml:space="preserve">epresenta los beneficios que dicho </w:t>
            </w:r>
            <w:r w:rsidRPr="00434F9F">
              <w:rPr>
                <w:rFonts w:ascii="ITC Avant Garde" w:hAnsi="ITC Avant Garde"/>
                <w:szCs w:val="18"/>
                <w:lang w:val="es-ES_tradnl"/>
              </w:rPr>
              <w:t>operador puede razonablemente esperar al ofrecer sus servicios minoristas, y cubre una función similar a la del costo de capital en modelos similares, asegurando una recuperación de la inversión razonable para el AEP.</w:t>
            </w:r>
          </w:p>
        </w:tc>
      </w:tr>
    </w:tbl>
    <w:p w14:paraId="03DB7AD8" w14:textId="77777777" w:rsidR="00A126A7" w:rsidRPr="00C1472F" w:rsidRDefault="00A126A7" w:rsidP="004F36F7">
      <w:pPr>
        <w:pStyle w:val="IFTnormal"/>
        <w:spacing w:before="240"/>
      </w:pPr>
      <w:r w:rsidRPr="00C1472F">
        <w:t xml:space="preserve">Por otra parte, también se presenta un resumen de los principales aspectos metodológicos empleados </w:t>
      </w:r>
      <w:r>
        <w:t>diseño del Modelo de Costos Evitados</w:t>
      </w:r>
      <w:r w:rsidRPr="00C1472F">
        <w:t>:</w:t>
      </w:r>
    </w:p>
    <w:tbl>
      <w:tblPr>
        <w:tblStyle w:val="Tabladecuadrcula1clara"/>
        <w:tblW w:w="5000" w:type="pct"/>
        <w:jc w:val="center"/>
        <w:tblLook w:val="0420" w:firstRow="1" w:lastRow="0" w:firstColumn="0" w:lastColumn="0" w:noHBand="0" w:noVBand="1"/>
        <w:tblCaption w:val="Figura 3: Estrutura del modelo de costos de coubicación móvil (Fuente: IFT, 2015)"/>
        <w:tblDescription w:val="Se divida en hoja de cálculo y descripción"/>
      </w:tblPr>
      <w:tblGrid>
        <w:gridCol w:w="1837"/>
        <w:gridCol w:w="7557"/>
      </w:tblGrid>
      <w:tr w:rsidR="00A126A7" w:rsidRPr="00C1472F" w14:paraId="0CE63107" w14:textId="77777777" w:rsidTr="00E9421F">
        <w:trPr>
          <w:cnfStyle w:val="100000000000" w:firstRow="1" w:lastRow="0" w:firstColumn="0" w:lastColumn="0" w:oddVBand="0" w:evenVBand="0" w:oddHBand="0" w:evenHBand="0" w:firstRowFirstColumn="0" w:firstRowLastColumn="0" w:lastRowFirstColumn="0" w:lastRowLastColumn="0"/>
          <w:trHeight w:val="354"/>
          <w:tblHeader/>
          <w:jc w:val="center"/>
        </w:trPr>
        <w:tc>
          <w:tcPr>
            <w:tcW w:w="978" w:type="pct"/>
            <w:shd w:val="clear" w:color="auto" w:fill="E7E6E6" w:themeFill="background2"/>
          </w:tcPr>
          <w:p w14:paraId="16046A04" w14:textId="77777777" w:rsidR="00A126A7" w:rsidRPr="00C1472F" w:rsidRDefault="00A126A7" w:rsidP="004F36F7">
            <w:pPr>
              <w:pStyle w:val="Tableheading"/>
              <w:spacing w:before="240" w:after="200"/>
              <w:jc w:val="center"/>
              <w:rPr>
                <w:rFonts w:ascii="ITC Avant Garde" w:hAnsi="ITC Avant Garde"/>
                <w:b/>
                <w:color w:val="000000" w:themeColor="text1"/>
                <w:szCs w:val="18"/>
                <w:lang w:val="es-ES_tradnl"/>
              </w:rPr>
            </w:pPr>
            <w:r w:rsidRPr="00C1472F">
              <w:rPr>
                <w:rFonts w:ascii="ITC Avant Garde" w:hAnsi="ITC Avant Garde"/>
                <w:b/>
                <w:color w:val="000000" w:themeColor="text1"/>
                <w:szCs w:val="18"/>
                <w:lang w:val="es-ES_tradnl"/>
              </w:rPr>
              <w:t>Concepto</w:t>
            </w:r>
          </w:p>
        </w:tc>
        <w:tc>
          <w:tcPr>
            <w:tcW w:w="4022" w:type="pct"/>
            <w:shd w:val="clear" w:color="auto" w:fill="E7E6E6" w:themeFill="background2"/>
          </w:tcPr>
          <w:p w14:paraId="4263E21C" w14:textId="77777777" w:rsidR="00A126A7" w:rsidRPr="00C1472F" w:rsidRDefault="00A126A7" w:rsidP="004F36F7">
            <w:pPr>
              <w:pStyle w:val="Tableheading"/>
              <w:spacing w:before="240" w:after="200"/>
              <w:jc w:val="center"/>
              <w:rPr>
                <w:rFonts w:ascii="ITC Avant Garde" w:hAnsi="ITC Avant Garde"/>
                <w:b/>
                <w:color w:val="000000" w:themeColor="text1"/>
                <w:szCs w:val="18"/>
                <w:lang w:val="es-ES_tradnl"/>
              </w:rPr>
            </w:pPr>
            <w:r w:rsidRPr="00C1472F">
              <w:rPr>
                <w:rFonts w:ascii="ITC Avant Garde" w:hAnsi="ITC Avant Garde"/>
                <w:b/>
                <w:color w:val="000000" w:themeColor="text1"/>
                <w:szCs w:val="18"/>
                <w:lang w:val="es-ES_tradnl"/>
              </w:rPr>
              <w:t>Descripción</w:t>
            </w:r>
          </w:p>
        </w:tc>
      </w:tr>
      <w:tr w:rsidR="00A126A7" w:rsidRPr="00C1472F" w14:paraId="7E19C506" w14:textId="77777777" w:rsidTr="00D86935">
        <w:trPr>
          <w:trHeight w:val="593"/>
          <w:jc w:val="center"/>
        </w:trPr>
        <w:tc>
          <w:tcPr>
            <w:tcW w:w="978" w:type="pct"/>
          </w:tcPr>
          <w:p w14:paraId="75F39FBF" w14:textId="77777777" w:rsidR="00A126A7" w:rsidRPr="00C1472F" w:rsidRDefault="00A126A7" w:rsidP="004F36F7">
            <w:pPr>
              <w:pStyle w:val="Tablecells"/>
              <w:spacing w:before="240" w:after="200"/>
              <w:jc w:val="both"/>
              <w:rPr>
                <w:rFonts w:ascii="ITC Avant Garde" w:hAnsi="ITC Avant Garde"/>
                <w:b/>
                <w:szCs w:val="18"/>
                <w:lang w:val="es-ES_tradnl"/>
              </w:rPr>
            </w:pPr>
            <w:r>
              <w:rPr>
                <w:rFonts w:ascii="ITC Avant Garde" w:hAnsi="ITC Avant Garde"/>
                <w:b/>
                <w:szCs w:val="18"/>
                <w:lang w:val="es-ES_tradnl"/>
              </w:rPr>
              <w:t>Consolidación de datos de entrada del mercado</w:t>
            </w:r>
          </w:p>
        </w:tc>
        <w:tc>
          <w:tcPr>
            <w:tcW w:w="4022" w:type="pct"/>
          </w:tcPr>
          <w:p w14:paraId="44CD6E3E" w14:textId="77777777" w:rsidR="004F36F7" w:rsidRDefault="00A126A7" w:rsidP="004F36F7">
            <w:pPr>
              <w:pStyle w:val="Tablecells"/>
              <w:spacing w:before="240" w:after="200"/>
              <w:jc w:val="both"/>
              <w:rPr>
                <w:rFonts w:ascii="ITC Avant Garde" w:hAnsi="ITC Avant Garde"/>
                <w:szCs w:val="18"/>
                <w:lang w:val="es-ES_tradnl"/>
              </w:rPr>
            </w:pPr>
            <w:r>
              <w:rPr>
                <w:rFonts w:ascii="ITC Avant Garde" w:hAnsi="ITC Avant Garde"/>
                <w:szCs w:val="18"/>
                <w:lang w:val="es-ES_tradnl"/>
              </w:rPr>
              <w:t>Integración en el modelo d</w:t>
            </w:r>
            <w:r w:rsidRPr="0086707B">
              <w:rPr>
                <w:rFonts w:ascii="ITC Avant Garde" w:hAnsi="ITC Avant Garde"/>
                <w:szCs w:val="18"/>
                <w:lang w:val="es-ES_tradnl"/>
              </w:rPr>
              <w:t>el n</w:t>
            </w:r>
            <w:r>
              <w:rPr>
                <w:rFonts w:ascii="ITC Avant Garde" w:hAnsi="ITC Avant Garde"/>
                <w:szCs w:val="18"/>
                <w:lang w:val="es-ES_tradnl"/>
              </w:rPr>
              <w:t>úmero de conexiones del mercado relativas a servicios de telefonía y banda ancha fija.</w:t>
            </w:r>
          </w:p>
          <w:p w14:paraId="19C03764" w14:textId="602D4C1A" w:rsidR="00A126A7" w:rsidRPr="0086707B" w:rsidRDefault="00A126A7" w:rsidP="004F36F7">
            <w:pPr>
              <w:pStyle w:val="Tablecells"/>
              <w:spacing w:before="240" w:after="200"/>
              <w:jc w:val="both"/>
              <w:rPr>
                <w:rFonts w:ascii="ITC Avant Garde" w:hAnsi="ITC Avant Garde"/>
                <w:szCs w:val="18"/>
                <w:lang w:val="es-ES"/>
              </w:rPr>
            </w:pPr>
            <w:r>
              <w:rPr>
                <w:rFonts w:ascii="ITC Avant Garde" w:hAnsi="ITC Avant Garde"/>
                <w:szCs w:val="18"/>
                <w:lang w:val="es-ES_tradnl"/>
              </w:rPr>
              <w:t xml:space="preserve">Asimismo, en el modelo se estima </w:t>
            </w:r>
            <w:r w:rsidRPr="0086707B">
              <w:rPr>
                <w:rFonts w:ascii="ITC Avant Garde" w:hAnsi="ITC Avant Garde"/>
                <w:szCs w:val="18"/>
                <w:lang w:val="es-ES_tradnl"/>
              </w:rPr>
              <w:t>la distr</w:t>
            </w:r>
            <w:r>
              <w:rPr>
                <w:rFonts w:ascii="ITC Avant Garde" w:hAnsi="ITC Avant Garde"/>
                <w:szCs w:val="18"/>
                <w:lang w:val="es-ES_tradnl"/>
              </w:rPr>
              <w:t>ibución de usuarios del AEP relativa a los</w:t>
            </w:r>
            <w:r w:rsidRPr="0086707B">
              <w:rPr>
                <w:rFonts w:ascii="ITC Avant Garde" w:hAnsi="ITC Avant Garde"/>
                <w:szCs w:val="18"/>
                <w:lang w:val="es-ES_tradnl"/>
              </w:rPr>
              <w:t xml:space="preserve"> planes y paquetes </w:t>
            </w:r>
            <w:r>
              <w:rPr>
                <w:rFonts w:ascii="ITC Avant Garde" w:hAnsi="ITC Avant Garde"/>
                <w:szCs w:val="18"/>
                <w:lang w:val="es-ES_tradnl"/>
              </w:rPr>
              <w:t xml:space="preserve">a través de los cuales provee éste provee servicios </w:t>
            </w:r>
            <w:r w:rsidRPr="0086707B">
              <w:rPr>
                <w:rFonts w:ascii="ITC Avant Garde" w:hAnsi="ITC Avant Garde"/>
                <w:szCs w:val="18"/>
                <w:lang w:val="es-ES_tradnl"/>
              </w:rPr>
              <w:t xml:space="preserve">telefonía fija, </w:t>
            </w:r>
            <w:r>
              <w:rPr>
                <w:rFonts w:ascii="ITC Avant Garde" w:hAnsi="ITC Avant Garde"/>
                <w:szCs w:val="18"/>
                <w:lang w:val="es-ES_tradnl"/>
              </w:rPr>
              <w:t>considerando</w:t>
            </w:r>
            <w:r w:rsidRPr="0086707B">
              <w:rPr>
                <w:rFonts w:ascii="ITC Avant Garde" w:hAnsi="ITC Avant Garde"/>
                <w:szCs w:val="18"/>
                <w:lang w:val="es-ES_tradnl"/>
              </w:rPr>
              <w:t xml:space="preserve"> el nombre, número de planes y paquetes, tarifas asociadas, en términos de la canasta de servicios incluidos en éstas.</w:t>
            </w:r>
          </w:p>
        </w:tc>
      </w:tr>
      <w:tr w:rsidR="00A126A7" w:rsidRPr="00C1472F" w14:paraId="4C3E2897" w14:textId="77777777" w:rsidTr="00D86935">
        <w:trPr>
          <w:trHeight w:val="80"/>
          <w:jc w:val="center"/>
        </w:trPr>
        <w:tc>
          <w:tcPr>
            <w:tcW w:w="978" w:type="pct"/>
          </w:tcPr>
          <w:p w14:paraId="3DA8853F" w14:textId="77777777" w:rsidR="00A126A7" w:rsidRPr="00C1472F" w:rsidRDefault="00A126A7" w:rsidP="004F36F7">
            <w:pPr>
              <w:pStyle w:val="Tablecells"/>
              <w:spacing w:before="240" w:after="200"/>
              <w:jc w:val="both"/>
              <w:rPr>
                <w:rFonts w:ascii="ITC Avant Garde" w:hAnsi="ITC Avant Garde"/>
                <w:b/>
                <w:szCs w:val="18"/>
                <w:lang w:val="es-ES_tradnl"/>
              </w:rPr>
            </w:pPr>
            <w:r>
              <w:rPr>
                <w:rFonts w:ascii="ITC Avant Garde" w:hAnsi="ITC Avant Garde"/>
                <w:b/>
                <w:szCs w:val="18"/>
                <w:lang w:val="es-ES_tradnl"/>
              </w:rPr>
              <w:lastRenderedPageBreak/>
              <w:t>Estimación del precio implícito de servicios que integran los planes y paquetes del AEP</w:t>
            </w:r>
          </w:p>
        </w:tc>
        <w:tc>
          <w:tcPr>
            <w:tcW w:w="4022" w:type="pct"/>
          </w:tcPr>
          <w:p w14:paraId="050C845A" w14:textId="77777777" w:rsidR="00A126A7" w:rsidRPr="00D679C1" w:rsidRDefault="00A126A7" w:rsidP="004F36F7">
            <w:pPr>
              <w:pStyle w:val="Tablecells"/>
              <w:spacing w:before="240" w:after="200"/>
              <w:jc w:val="both"/>
              <w:rPr>
                <w:rFonts w:ascii="ITC Avant Garde" w:hAnsi="ITC Avant Garde"/>
                <w:szCs w:val="18"/>
                <w:lang w:val="es-ES_tradnl"/>
              </w:rPr>
            </w:pPr>
            <w:r>
              <w:rPr>
                <w:rFonts w:ascii="ITC Avant Garde" w:hAnsi="ITC Avant Garde"/>
                <w:szCs w:val="18"/>
                <w:lang w:val="es-ES_tradnl"/>
              </w:rPr>
              <w:t xml:space="preserve">A partir de la información proporcionada por el AEP, se realiza la estimación de los </w:t>
            </w:r>
            <w:r w:rsidRPr="00D679C1">
              <w:rPr>
                <w:rFonts w:ascii="ITC Avant Garde" w:hAnsi="ITC Avant Garde"/>
                <w:szCs w:val="18"/>
                <w:lang w:val="es-ES_tradnl"/>
              </w:rPr>
              <w:t xml:space="preserve"> de precios implícitos</w:t>
            </w:r>
            <w:r w:rsidRPr="00D679C1">
              <w:rPr>
                <w:szCs w:val="18"/>
                <w:vertAlign w:val="superscript"/>
                <w:lang w:val="es-ES_tradnl"/>
              </w:rPr>
              <w:footnoteReference w:id="13"/>
            </w:r>
            <w:r w:rsidRPr="00D679C1">
              <w:rPr>
                <w:rFonts w:ascii="ITC Avant Garde" w:hAnsi="ITC Avant Garde"/>
                <w:szCs w:val="18"/>
                <w:lang w:val="es-ES_tradnl"/>
              </w:rPr>
              <w:t xml:space="preserve"> de los diferentes servicios </w:t>
            </w:r>
            <w:r>
              <w:rPr>
                <w:rFonts w:ascii="ITC Avant Garde" w:hAnsi="ITC Avant Garde"/>
                <w:szCs w:val="18"/>
                <w:lang w:val="es-ES_tradnl"/>
              </w:rPr>
              <w:t xml:space="preserve">que integran </w:t>
            </w:r>
            <w:r w:rsidRPr="00D679C1">
              <w:rPr>
                <w:rFonts w:ascii="ITC Avant Garde" w:hAnsi="ITC Avant Garde"/>
                <w:szCs w:val="18"/>
                <w:lang w:val="es-ES_tradnl"/>
              </w:rPr>
              <w:t xml:space="preserve">los </w:t>
            </w:r>
            <w:r>
              <w:rPr>
                <w:rFonts w:ascii="ITC Avant Garde" w:hAnsi="ITC Avant Garde"/>
                <w:szCs w:val="18"/>
                <w:lang w:val="es-ES_tradnl"/>
              </w:rPr>
              <w:t xml:space="preserve">planes y </w:t>
            </w:r>
            <w:r w:rsidRPr="00D679C1">
              <w:rPr>
                <w:rFonts w:ascii="ITC Avant Garde" w:hAnsi="ITC Avant Garde"/>
                <w:szCs w:val="18"/>
                <w:lang w:val="es-ES_tradnl"/>
              </w:rPr>
              <w:t>paquetes de servicios minoristas del AEP (es decir, renta de línea</w:t>
            </w:r>
            <w:r>
              <w:rPr>
                <w:rFonts w:ascii="ITC Avant Garde" w:hAnsi="ITC Avant Garde"/>
                <w:szCs w:val="18"/>
                <w:lang w:val="es-ES_tradnl"/>
              </w:rPr>
              <w:t xml:space="preserve">, </w:t>
            </w:r>
            <w:r w:rsidRPr="00D679C1">
              <w:rPr>
                <w:rFonts w:ascii="ITC Avant Garde" w:hAnsi="ITC Avant Garde"/>
                <w:szCs w:val="18"/>
                <w:lang w:val="es-ES_tradnl"/>
              </w:rPr>
              <w:t>servicios de voz, banda ancha, y otros relevantes que el AEP provee a sus usuarios finales ya sea como servicios individuales o empaquetándolos)</w:t>
            </w:r>
            <w:r>
              <w:rPr>
                <w:rFonts w:ascii="ITC Avant Garde" w:hAnsi="ITC Avant Garde"/>
                <w:szCs w:val="18"/>
                <w:lang w:val="es-ES_tradnl"/>
              </w:rPr>
              <w:t>.</w:t>
            </w:r>
          </w:p>
        </w:tc>
      </w:tr>
      <w:tr w:rsidR="00A126A7" w:rsidRPr="00C1472F" w14:paraId="3A420BC7" w14:textId="77777777" w:rsidTr="00D86935">
        <w:trPr>
          <w:trHeight w:val="80"/>
          <w:jc w:val="center"/>
        </w:trPr>
        <w:tc>
          <w:tcPr>
            <w:tcW w:w="978" w:type="pct"/>
          </w:tcPr>
          <w:p w14:paraId="07A81608" w14:textId="77777777" w:rsidR="00A126A7" w:rsidRPr="00C1472F" w:rsidRDefault="00A126A7" w:rsidP="004F36F7">
            <w:pPr>
              <w:pStyle w:val="Tablecells"/>
              <w:spacing w:before="240" w:after="200"/>
              <w:jc w:val="both"/>
              <w:rPr>
                <w:rFonts w:ascii="ITC Avant Garde" w:hAnsi="ITC Avant Garde"/>
                <w:b/>
                <w:szCs w:val="18"/>
                <w:lang w:val="es-ES_tradnl"/>
              </w:rPr>
            </w:pPr>
            <w:r>
              <w:rPr>
                <w:rFonts w:ascii="ITC Avant Garde" w:hAnsi="ITC Avant Garde"/>
                <w:b/>
                <w:szCs w:val="18"/>
                <w:lang w:val="es-ES_tradnl"/>
              </w:rPr>
              <w:t>Cálculo de i</w:t>
            </w:r>
            <w:r w:rsidRPr="00D53237">
              <w:rPr>
                <w:rFonts w:ascii="ITC Avant Garde" w:hAnsi="ITC Avant Garde"/>
                <w:b/>
                <w:szCs w:val="18"/>
                <w:lang w:val="es-ES_tradnl"/>
              </w:rPr>
              <w:t>ngresos totales del AEP a partir de sus servicios minoristas</w:t>
            </w:r>
          </w:p>
        </w:tc>
        <w:tc>
          <w:tcPr>
            <w:tcW w:w="4022" w:type="pct"/>
          </w:tcPr>
          <w:p w14:paraId="7B83C486" w14:textId="77777777" w:rsidR="004F36F7" w:rsidRDefault="00A126A7" w:rsidP="004F36F7">
            <w:pPr>
              <w:pStyle w:val="Tablecells"/>
              <w:spacing w:before="240" w:after="200"/>
              <w:jc w:val="both"/>
              <w:rPr>
                <w:rFonts w:ascii="ITC Avant Garde" w:hAnsi="ITC Avant Garde"/>
                <w:szCs w:val="18"/>
                <w:lang w:val="es-ES_tradnl"/>
              </w:rPr>
            </w:pPr>
            <w:r w:rsidRPr="00D679C1">
              <w:rPr>
                <w:rFonts w:ascii="ITC Avant Garde" w:hAnsi="ITC Avant Garde"/>
                <w:szCs w:val="18"/>
                <w:lang w:val="es-ES_tradnl"/>
              </w:rPr>
              <w:t xml:space="preserve">Posteriormente, empleando tales datos se realiza el cálculo de los ingresos totales del AEP a partir de sus servicios minoristas, ello en función de los servicios incluidos en los paquetes de servicios minoristas del AEP (es decir, servicios de voz, banda ancha, renta de línea y otros relevantes que el AEP provee a sus usuarios finales ya sea como servicios individuales o empaquetándolos). </w:t>
            </w:r>
          </w:p>
          <w:p w14:paraId="222F2D65" w14:textId="180B107A" w:rsidR="00A126A7" w:rsidRPr="00D679C1" w:rsidRDefault="00A126A7" w:rsidP="004F36F7">
            <w:pPr>
              <w:pStyle w:val="Tablecells"/>
              <w:spacing w:before="240" w:after="200"/>
              <w:jc w:val="both"/>
              <w:rPr>
                <w:rFonts w:ascii="ITC Avant Garde" w:hAnsi="ITC Avant Garde"/>
                <w:szCs w:val="18"/>
                <w:lang w:val="es-ES_tradnl"/>
              </w:rPr>
            </w:pPr>
            <w:r>
              <w:rPr>
                <w:rFonts w:ascii="ITC Avant Garde" w:hAnsi="ITC Avant Garde"/>
                <w:szCs w:val="18"/>
                <w:lang w:val="es-ES_tradnl"/>
              </w:rPr>
              <w:t xml:space="preserve">Para ello, </w:t>
            </w:r>
            <w:r w:rsidRPr="00D679C1">
              <w:rPr>
                <w:rFonts w:ascii="ITC Avant Garde" w:hAnsi="ITC Avant Garde"/>
                <w:szCs w:val="18"/>
                <w:lang w:val="es-ES_tradnl"/>
              </w:rPr>
              <w:t>se realiza a través de la estimación de las siguientes cantidades:</w:t>
            </w:r>
          </w:p>
          <w:p w14:paraId="06ED2D3A" w14:textId="77777777" w:rsidR="00A126A7" w:rsidRPr="00D679C1" w:rsidRDefault="00A126A7" w:rsidP="004F36F7">
            <w:pPr>
              <w:pStyle w:val="Tablecells"/>
              <w:numPr>
                <w:ilvl w:val="0"/>
                <w:numId w:val="15"/>
              </w:numPr>
              <w:spacing w:before="240" w:after="200"/>
              <w:jc w:val="both"/>
              <w:rPr>
                <w:rFonts w:ascii="ITC Avant Garde" w:hAnsi="ITC Avant Garde"/>
                <w:szCs w:val="18"/>
                <w:lang w:val="es-ES_tradnl"/>
              </w:rPr>
            </w:pPr>
            <w:r w:rsidRPr="00D679C1">
              <w:rPr>
                <w:rFonts w:ascii="ITC Avant Garde" w:hAnsi="ITC Avant Garde"/>
                <w:szCs w:val="18"/>
                <w:lang w:val="es-ES_tradnl"/>
              </w:rPr>
              <w:t xml:space="preserve">Los ingresos del AEP por conceptos de rentas mensuales de los servicios. </w:t>
            </w:r>
          </w:p>
          <w:p w14:paraId="53ECB0A8" w14:textId="77777777" w:rsidR="00A126A7" w:rsidRPr="00C1472F" w:rsidRDefault="00A126A7" w:rsidP="004F36F7">
            <w:pPr>
              <w:pStyle w:val="Tablecells"/>
              <w:numPr>
                <w:ilvl w:val="0"/>
                <w:numId w:val="15"/>
              </w:numPr>
              <w:spacing w:before="240" w:after="200"/>
              <w:jc w:val="both"/>
              <w:rPr>
                <w:rFonts w:ascii="ITC Avant Garde" w:hAnsi="ITC Avant Garde"/>
                <w:szCs w:val="18"/>
                <w:lang w:val="es-ES_tradnl"/>
              </w:rPr>
            </w:pPr>
            <w:r w:rsidRPr="00D679C1">
              <w:rPr>
                <w:rFonts w:ascii="ITC Avant Garde" w:hAnsi="ITC Avant Garde"/>
                <w:szCs w:val="18"/>
                <w:lang w:val="es-ES_tradnl"/>
              </w:rPr>
              <w:t>Los ingresos del AEP por contratación y renta de líneas.</w:t>
            </w:r>
            <w:r w:rsidRPr="00D679C1">
              <w:rPr>
                <w:rFonts w:ascii="ITC Avant Garde" w:hAnsi="ITC Avant Garde"/>
                <w:szCs w:val="18"/>
                <w:vertAlign w:val="superscript"/>
                <w:lang w:val="es-ES_tradnl"/>
              </w:rPr>
              <w:footnoteReference w:id="14"/>
            </w:r>
          </w:p>
        </w:tc>
      </w:tr>
      <w:tr w:rsidR="00A126A7" w:rsidRPr="00C1472F" w14:paraId="344ED10D" w14:textId="77777777" w:rsidTr="00D86935">
        <w:trPr>
          <w:trHeight w:val="80"/>
          <w:jc w:val="center"/>
        </w:trPr>
        <w:tc>
          <w:tcPr>
            <w:tcW w:w="978" w:type="pct"/>
          </w:tcPr>
          <w:p w14:paraId="12CA969B" w14:textId="77777777" w:rsidR="00A126A7" w:rsidRDefault="00A126A7" w:rsidP="004F36F7">
            <w:pPr>
              <w:pStyle w:val="Tablecells"/>
              <w:spacing w:before="240" w:after="200"/>
              <w:jc w:val="both"/>
              <w:rPr>
                <w:rFonts w:ascii="ITC Avant Garde" w:hAnsi="ITC Avant Garde"/>
                <w:b/>
                <w:szCs w:val="18"/>
                <w:lang w:val="es-ES_tradnl"/>
              </w:rPr>
            </w:pPr>
            <w:r>
              <w:rPr>
                <w:rFonts w:ascii="ITC Avant Garde" w:hAnsi="ITC Avant Garde"/>
                <w:b/>
                <w:szCs w:val="18"/>
                <w:lang w:val="es-ES_tradnl"/>
              </w:rPr>
              <w:t>Estimación de conceptos de costos evitados</w:t>
            </w:r>
          </w:p>
        </w:tc>
        <w:tc>
          <w:tcPr>
            <w:tcW w:w="4022" w:type="pct"/>
          </w:tcPr>
          <w:p w14:paraId="01006C76" w14:textId="77777777" w:rsidR="00A126A7" w:rsidRPr="00F21784" w:rsidRDefault="00A126A7" w:rsidP="004F36F7">
            <w:pPr>
              <w:pStyle w:val="Tablecells"/>
              <w:spacing w:before="240" w:after="200"/>
              <w:jc w:val="both"/>
              <w:rPr>
                <w:rFonts w:ascii="ITC Avant Garde" w:hAnsi="ITC Avant Garde"/>
                <w:szCs w:val="18"/>
                <w:lang w:val="es-ES_tradnl"/>
              </w:rPr>
            </w:pPr>
            <w:r w:rsidRPr="00F21784">
              <w:rPr>
                <w:rFonts w:ascii="ITC Avant Garde" w:hAnsi="ITC Avant Garde"/>
                <w:szCs w:val="18"/>
                <w:lang w:val="es-ES_tradnl"/>
              </w:rPr>
              <w:t xml:space="preserve">Tomando en consideración los cálculos realizados en el punto anterior, el modelo realiza la estimación de </w:t>
            </w:r>
            <w:r>
              <w:rPr>
                <w:rFonts w:ascii="ITC Avant Garde" w:hAnsi="ITC Avant Garde"/>
                <w:szCs w:val="18"/>
                <w:lang w:val="es-ES_tradnl"/>
              </w:rPr>
              <w:t>todos los</w:t>
            </w:r>
            <w:r w:rsidRPr="00F21784">
              <w:rPr>
                <w:rFonts w:ascii="ITC Avant Garde" w:hAnsi="ITC Avant Garde"/>
                <w:szCs w:val="18"/>
                <w:lang w:val="es-ES_tradnl"/>
              </w:rPr>
              <w:t xml:space="preserve"> costos evitados considerados, mismos que en términos generales se resumen a través de los siguientes rubros:</w:t>
            </w:r>
          </w:p>
          <w:p w14:paraId="084DAE88" w14:textId="77777777" w:rsidR="00A126A7" w:rsidRPr="00170E8F" w:rsidRDefault="00A126A7" w:rsidP="004F36F7">
            <w:pPr>
              <w:pStyle w:val="Tablecells"/>
              <w:numPr>
                <w:ilvl w:val="0"/>
                <w:numId w:val="14"/>
              </w:numPr>
              <w:spacing w:before="240" w:after="200"/>
              <w:jc w:val="both"/>
              <w:rPr>
                <w:rFonts w:ascii="ITC Avant Garde" w:hAnsi="ITC Avant Garde"/>
                <w:szCs w:val="18"/>
                <w:lang w:val="es-ES_tradnl"/>
              </w:rPr>
            </w:pPr>
            <w:r w:rsidRPr="00170E8F">
              <w:rPr>
                <w:rFonts w:ascii="ITC Avant Garde" w:hAnsi="ITC Avant Garde"/>
                <w:szCs w:val="18"/>
                <w:lang w:val="es-ES_tradnl"/>
              </w:rPr>
              <w:t>Gastos de facturación, incluyendo el sistema de facturació</w:t>
            </w:r>
            <w:r>
              <w:rPr>
                <w:rFonts w:ascii="ITC Avant Garde" w:hAnsi="ITC Avant Garde"/>
                <w:szCs w:val="18"/>
                <w:lang w:val="es-ES_tradnl"/>
              </w:rPr>
              <w:t>n a usuarios finales minoristas,</w:t>
            </w:r>
          </w:p>
          <w:p w14:paraId="272D4BB6" w14:textId="77777777" w:rsidR="00A126A7" w:rsidRPr="00170E8F" w:rsidRDefault="00A126A7" w:rsidP="004F36F7">
            <w:pPr>
              <w:pStyle w:val="Tablecells"/>
              <w:numPr>
                <w:ilvl w:val="0"/>
                <w:numId w:val="14"/>
              </w:numPr>
              <w:spacing w:before="240" w:after="200"/>
              <w:jc w:val="both"/>
              <w:rPr>
                <w:rFonts w:ascii="ITC Avant Garde" w:hAnsi="ITC Avant Garde"/>
                <w:szCs w:val="18"/>
                <w:lang w:val="es-ES_tradnl"/>
              </w:rPr>
            </w:pPr>
            <w:r w:rsidRPr="00170E8F">
              <w:rPr>
                <w:rFonts w:ascii="ITC Avant Garde" w:hAnsi="ITC Avant Garde"/>
                <w:szCs w:val="18"/>
                <w:lang w:val="es-ES_tradnl"/>
              </w:rPr>
              <w:t>Gastos por deudas incobrables,</w:t>
            </w:r>
          </w:p>
          <w:p w14:paraId="0FBE3BDB" w14:textId="77777777" w:rsidR="00A126A7" w:rsidRPr="00170E8F" w:rsidRDefault="00A126A7" w:rsidP="004F36F7">
            <w:pPr>
              <w:pStyle w:val="Tablecells"/>
              <w:numPr>
                <w:ilvl w:val="0"/>
                <w:numId w:val="14"/>
              </w:numPr>
              <w:spacing w:before="240" w:after="200"/>
              <w:jc w:val="both"/>
              <w:rPr>
                <w:rFonts w:ascii="ITC Avant Garde" w:hAnsi="ITC Avant Garde"/>
                <w:szCs w:val="18"/>
                <w:lang w:val="es-ES_tradnl"/>
              </w:rPr>
            </w:pPr>
            <w:r w:rsidRPr="00170E8F">
              <w:rPr>
                <w:rFonts w:ascii="ITC Avant Garde" w:hAnsi="ITC Avant Garde"/>
                <w:szCs w:val="18"/>
                <w:lang w:val="es-ES_tradnl"/>
              </w:rPr>
              <w:t>Gastos de mercadotecnia y publicidad</w:t>
            </w:r>
            <w:r>
              <w:rPr>
                <w:rFonts w:ascii="ITC Avant Garde" w:hAnsi="ITC Avant Garde"/>
                <w:szCs w:val="18"/>
                <w:lang w:val="es-ES_tradnl"/>
              </w:rPr>
              <w:t>,</w:t>
            </w:r>
          </w:p>
          <w:p w14:paraId="100AFB45" w14:textId="77777777" w:rsidR="00A126A7" w:rsidRPr="00170E8F" w:rsidRDefault="00A126A7" w:rsidP="004F36F7">
            <w:pPr>
              <w:pStyle w:val="Tablecells"/>
              <w:numPr>
                <w:ilvl w:val="0"/>
                <w:numId w:val="14"/>
              </w:numPr>
              <w:spacing w:before="240" w:after="200"/>
              <w:jc w:val="both"/>
              <w:rPr>
                <w:rFonts w:ascii="ITC Avant Garde" w:hAnsi="ITC Avant Garde"/>
                <w:szCs w:val="18"/>
                <w:lang w:val="es-ES_tradnl"/>
              </w:rPr>
            </w:pPr>
            <w:r w:rsidRPr="00170E8F">
              <w:rPr>
                <w:rFonts w:ascii="ITC Avant Garde" w:hAnsi="ITC Avant Garde"/>
                <w:szCs w:val="18"/>
                <w:lang w:val="es-ES_tradnl"/>
              </w:rPr>
              <w:t>Gastos asociados al servicio de atención al cliente</w:t>
            </w:r>
            <w:r>
              <w:rPr>
                <w:rFonts w:ascii="ITC Avant Garde" w:hAnsi="ITC Avant Garde"/>
                <w:szCs w:val="18"/>
                <w:lang w:val="es-ES_tradnl"/>
              </w:rPr>
              <w:t>,</w:t>
            </w:r>
          </w:p>
          <w:p w14:paraId="10563277" w14:textId="77777777" w:rsidR="00A126A7" w:rsidRPr="00170E8F" w:rsidRDefault="00A126A7" w:rsidP="004F36F7">
            <w:pPr>
              <w:pStyle w:val="Tablecells"/>
              <w:numPr>
                <w:ilvl w:val="0"/>
                <w:numId w:val="14"/>
              </w:numPr>
              <w:spacing w:before="240" w:after="200"/>
              <w:jc w:val="both"/>
              <w:rPr>
                <w:rFonts w:ascii="ITC Avant Garde" w:hAnsi="ITC Avant Garde"/>
                <w:szCs w:val="18"/>
                <w:lang w:val="es-ES_tradnl"/>
              </w:rPr>
            </w:pPr>
            <w:r w:rsidRPr="00170E8F">
              <w:rPr>
                <w:rFonts w:ascii="ITC Avant Garde" w:hAnsi="ITC Avant Garde"/>
                <w:szCs w:val="18"/>
                <w:lang w:val="es-ES_tradnl"/>
              </w:rPr>
              <w:lastRenderedPageBreak/>
              <w:t>Gastos generales y administrativos; incluyendo en particular los gastos de personal (salarios y participación en las utilidades) y de oficina</w:t>
            </w:r>
            <w:r>
              <w:rPr>
                <w:rFonts w:ascii="ITC Avant Garde" w:hAnsi="ITC Avant Garde"/>
                <w:szCs w:val="18"/>
                <w:lang w:val="es-ES_tradnl"/>
              </w:rPr>
              <w:t>,</w:t>
            </w:r>
          </w:p>
          <w:p w14:paraId="5E4B0CBA" w14:textId="77777777" w:rsidR="004F36F7" w:rsidRDefault="00A126A7" w:rsidP="004F36F7">
            <w:pPr>
              <w:pStyle w:val="Tablecells"/>
              <w:numPr>
                <w:ilvl w:val="0"/>
                <w:numId w:val="14"/>
              </w:numPr>
              <w:spacing w:before="240" w:after="200"/>
              <w:jc w:val="both"/>
              <w:rPr>
                <w:rFonts w:ascii="ITC Avant Garde" w:hAnsi="ITC Avant Garde"/>
                <w:szCs w:val="18"/>
                <w:lang w:val="es-ES_tradnl"/>
              </w:rPr>
            </w:pPr>
            <w:r w:rsidRPr="00170E8F">
              <w:rPr>
                <w:rFonts w:ascii="ITC Avant Garde" w:hAnsi="ITC Avant Garde"/>
                <w:szCs w:val="18"/>
                <w:lang w:val="es-ES_tradnl"/>
              </w:rPr>
              <w:t xml:space="preserve">Costos relativos al espacio físico </w:t>
            </w:r>
            <w:r>
              <w:rPr>
                <w:rFonts w:ascii="ITC Avant Garde" w:hAnsi="ITC Avant Garde"/>
                <w:szCs w:val="18"/>
                <w:lang w:val="es-ES_tradnl"/>
              </w:rPr>
              <w:t>necesario en los sitios del AEP.</w:t>
            </w:r>
          </w:p>
          <w:p w14:paraId="7EB65830" w14:textId="09174F54" w:rsidR="00A126A7" w:rsidRPr="004A1FC2" w:rsidRDefault="00A126A7" w:rsidP="004F36F7">
            <w:pPr>
              <w:autoSpaceDE w:val="0"/>
              <w:autoSpaceDN w:val="0"/>
              <w:adjustRightInd w:val="0"/>
              <w:spacing w:before="240" w:line="240" w:lineRule="auto"/>
              <w:jc w:val="both"/>
              <w:rPr>
                <w:rFonts w:ascii="Times New Roman" w:hAnsi="Times New Roman"/>
                <w:sz w:val="24"/>
                <w:szCs w:val="24"/>
              </w:rPr>
            </w:pPr>
            <w:r w:rsidRPr="004A1FC2">
              <w:rPr>
                <w:rFonts w:ascii="ITC Avant Garde" w:hAnsi="ITC Avant Garde"/>
                <w:sz w:val="18"/>
                <w:szCs w:val="18"/>
                <w:lang w:val="es-ES_tradnl"/>
              </w:rPr>
              <w:t xml:space="preserve">Todos estos costos se añaden para obtener </w:t>
            </w:r>
            <w:r>
              <w:rPr>
                <w:rFonts w:ascii="ITC Avant Garde" w:hAnsi="ITC Avant Garde"/>
                <w:sz w:val="18"/>
                <w:szCs w:val="18"/>
                <w:lang w:val="es-ES_tradnl"/>
              </w:rPr>
              <w:t>una representación del nivel de los</w:t>
            </w:r>
            <w:r w:rsidRPr="004A1FC2">
              <w:rPr>
                <w:rFonts w:ascii="ITC Avant Garde" w:hAnsi="ITC Avant Garde"/>
                <w:sz w:val="18"/>
                <w:szCs w:val="18"/>
                <w:lang w:val="es-ES_tradnl"/>
              </w:rPr>
              <w:t xml:space="preserve"> costos evitados </w:t>
            </w:r>
            <w:r>
              <w:rPr>
                <w:rFonts w:ascii="ITC Avant Garde" w:hAnsi="ITC Avant Garde"/>
                <w:sz w:val="18"/>
                <w:szCs w:val="18"/>
                <w:lang w:val="es-ES_tradnl"/>
              </w:rPr>
              <w:t>correspondiente.</w:t>
            </w:r>
          </w:p>
          <w:p w14:paraId="346225BF" w14:textId="77777777" w:rsidR="00A126A7" w:rsidRDefault="00A126A7" w:rsidP="004F36F7">
            <w:pPr>
              <w:pStyle w:val="Tablecells"/>
              <w:spacing w:before="240" w:after="200"/>
              <w:jc w:val="both"/>
              <w:rPr>
                <w:rFonts w:ascii="ITC Avant Garde" w:hAnsi="ITC Avant Garde"/>
                <w:szCs w:val="18"/>
                <w:lang w:val="es-ES_tradnl"/>
              </w:rPr>
            </w:pPr>
          </w:p>
        </w:tc>
      </w:tr>
      <w:tr w:rsidR="00A126A7" w:rsidRPr="00C1472F" w14:paraId="42BFB3E2" w14:textId="77777777" w:rsidTr="00D86935">
        <w:trPr>
          <w:trHeight w:val="80"/>
          <w:jc w:val="center"/>
        </w:trPr>
        <w:tc>
          <w:tcPr>
            <w:tcW w:w="978" w:type="pct"/>
          </w:tcPr>
          <w:p w14:paraId="4EB6B032" w14:textId="77777777" w:rsidR="00A126A7" w:rsidRPr="00C1472F" w:rsidRDefault="00A126A7" w:rsidP="004F36F7">
            <w:pPr>
              <w:pStyle w:val="Tablecells"/>
              <w:spacing w:before="240" w:after="200"/>
              <w:jc w:val="both"/>
              <w:rPr>
                <w:rFonts w:ascii="ITC Avant Garde" w:hAnsi="ITC Avant Garde"/>
                <w:b/>
                <w:szCs w:val="18"/>
                <w:lang w:val="es-ES_tradnl"/>
              </w:rPr>
            </w:pPr>
            <w:r>
              <w:rPr>
                <w:rFonts w:ascii="ITC Avant Garde" w:hAnsi="ITC Avant Garde"/>
                <w:b/>
                <w:szCs w:val="18"/>
                <w:lang w:val="es-ES_tradnl"/>
              </w:rPr>
              <w:lastRenderedPageBreak/>
              <w:t>Determinación de tarifa de servicios mayoristas</w:t>
            </w:r>
          </w:p>
        </w:tc>
        <w:tc>
          <w:tcPr>
            <w:tcW w:w="4022" w:type="pct"/>
          </w:tcPr>
          <w:p w14:paraId="68C19357" w14:textId="77777777" w:rsidR="004F36F7" w:rsidRDefault="00A126A7" w:rsidP="004F36F7">
            <w:pPr>
              <w:pStyle w:val="Tablecells"/>
              <w:spacing w:before="240" w:after="200"/>
              <w:jc w:val="both"/>
              <w:rPr>
                <w:rFonts w:ascii="ITC Avant Garde" w:hAnsi="ITC Avant Garde"/>
                <w:szCs w:val="18"/>
                <w:lang w:val="es-ES_tradnl"/>
              </w:rPr>
            </w:pPr>
            <w:r w:rsidRPr="00F21784">
              <w:rPr>
                <w:rFonts w:ascii="ITC Avant Garde" w:hAnsi="ITC Avant Garde"/>
                <w:szCs w:val="18"/>
                <w:lang w:val="es-ES_tradnl"/>
              </w:rPr>
              <w:t xml:space="preserve">Posteriormente </w:t>
            </w:r>
            <w:r>
              <w:rPr>
                <w:rFonts w:ascii="ITC Avant Garde" w:hAnsi="ITC Avant Garde"/>
                <w:szCs w:val="18"/>
                <w:lang w:val="es-ES_tradnl"/>
              </w:rPr>
              <w:t>se</w:t>
            </w:r>
            <w:r w:rsidRPr="00F21784">
              <w:rPr>
                <w:rFonts w:ascii="ITC Avant Garde" w:hAnsi="ITC Avant Garde"/>
                <w:szCs w:val="18"/>
                <w:lang w:val="es-ES_tradnl"/>
              </w:rPr>
              <w:t xml:space="preserve"> ded</w:t>
            </w:r>
            <w:r>
              <w:rPr>
                <w:rFonts w:ascii="ITC Avant Garde" w:hAnsi="ITC Avant Garde"/>
                <w:szCs w:val="18"/>
                <w:lang w:val="es-ES_tradnl"/>
              </w:rPr>
              <w:t>uce a los ingresos totales, los conceptos de costos</w:t>
            </w:r>
            <w:r w:rsidRPr="00F21784">
              <w:rPr>
                <w:rFonts w:ascii="ITC Avant Garde" w:hAnsi="ITC Avant Garde"/>
                <w:szCs w:val="18"/>
                <w:lang w:val="es-ES_tradnl"/>
              </w:rPr>
              <w:t xml:space="preserve"> que se han considerado en el modelo</w:t>
            </w:r>
            <w:r>
              <w:rPr>
                <w:rFonts w:ascii="ITC Avant Garde" w:hAnsi="ITC Avant Garde"/>
                <w:szCs w:val="18"/>
                <w:lang w:val="es-ES_tradnl"/>
              </w:rPr>
              <w:t xml:space="preserve"> como costos evitados, cuantificando lo anterior a través de un porcentaje.</w:t>
            </w:r>
          </w:p>
          <w:p w14:paraId="36243211" w14:textId="003412CB" w:rsidR="00A126A7" w:rsidRDefault="00A126A7" w:rsidP="004F36F7">
            <w:pPr>
              <w:pStyle w:val="Tablecells"/>
              <w:spacing w:before="240" w:after="200"/>
              <w:jc w:val="both"/>
              <w:rPr>
                <w:rFonts w:ascii="ITC Avant Garde" w:hAnsi="ITC Avant Garde"/>
                <w:szCs w:val="18"/>
                <w:lang w:val="es-ES_tradnl"/>
              </w:rPr>
            </w:pPr>
            <w:r w:rsidRPr="00F21784">
              <w:rPr>
                <w:rFonts w:ascii="ITC Avant Garde" w:hAnsi="ITC Avant Garde"/>
                <w:szCs w:val="18"/>
                <w:lang w:val="es-ES_tradnl"/>
              </w:rPr>
              <w:t>Usando dicha información el cálculo del porcentaje de descuento de los costos evitados para los diferentes servicios se realiza a través del cociente de los costos considerados evitados entre el valor de los ingresos totales.</w:t>
            </w:r>
          </w:p>
          <w:p w14:paraId="25A19436" w14:textId="77777777" w:rsidR="00A126A7" w:rsidRPr="00C1472F" w:rsidRDefault="00A126A7" w:rsidP="004F36F7">
            <w:pPr>
              <w:pStyle w:val="Tablecells"/>
              <w:spacing w:before="240" w:after="200"/>
              <w:jc w:val="both"/>
              <w:rPr>
                <w:rFonts w:ascii="ITC Avant Garde" w:hAnsi="ITC Avant Garde"/>
                <w:szCs w:val="18"/>
                <w:lang w:val="es-ES_tradnl"/>
              </w:rPr>
            </w:pPr>
          </w:p>
        </w:tc>
      </w:tr>
    </w:tbl>
    <w:p w14:paraId="057CA0CD" w14:textId="77777777" w:rsidR="00F0051B" w:rsidRDefault="00F0051B" w:rsidP="004F36F7">
      <w:pPr>
        <w:pStyle w:val="IFTnormal"/>
        <w:spacing w:before="240"/>
        <w:rPr>
          <w:noProof/>
          <w:lang w:eastAsia="es-MX"/>
        </w:rPr>
      </w:pPr>
    </w:p>
    <w:p w14:paraId="66D5B708" w14:textId="6FBECAF2" w:rsidR="00A126A7" w:rsidRDefault="00A126A7" w:rsidP="004F36F7">
      <w:pPr>
        <w:pStyle w:val="IFTnormal"/>
        <w:spacing w:before="240"/>
        <w:rPr>
          <w:noProof/>
          <w:lang w:eastAsia="es-MX"/>
        </w:rPr>
      </w:pPr>
      <w:r>
        <w:rPr>
          <w:noProof/>
          <w:lang w:eastAsia="es-MX"/>
        </w:rPr>
        <w:t>La exposición anterior se resume a través del siguiente diagrama:</w:t>
      </w:r>
    </w:p>
    <w:p w14:paraId="2FDB9AA1" w14:textId="77777777" w:rsidR="00A126A7" w:rsidRPr="00C1472F" w:rsidRDefault="00A126A7" w:rsidP="004F36F7">
      <w:pPr>
        <w:pStyle w:val="Border"/>
        <w:pBdr>
          <w:bottom w:val="none" w:sz="0" w:space="0" w:color="auto"/>
        </w:pBdr>
        <w:spacing w:before="240" w:after="200"/>
        <w:rPr>
          <w:rFonts w:ascii="ITC Avant Garde" w:hAnsi="ITC Avant Garde"/>
        </w:rPr>
      </w:pPr>
      <w:r>
        <w:rPr>
          <w:noProof/>
          <w:lang w:val="es-MX" w:eastAsia="es-MX"/>
        </w:rPr>
        <w:drawing>
          <wp:inline distT="0" distB="0" distL="0" distR="0" wp14:anchorId="2EC5F2AA" wp14:editId="43628F19">
            <wp:extent cx="5971540" cy="2964815"/>
            <wp:effectExtent l="0" t="0" r="0" b="6985"/>
            <wp:docPr id="5" name="Imagen 5" descr="Figura 3: Diagrama de flujo del Modelo de Costos Evitad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1540" cy="2964815"/>
                    </a:xfrm>
                    <a:prstGeom prst="rect">
                      <a:avLst/>
                    </a:prstGeom>
                  </pic:spPr>
                </pic:pic>
              </a:graphicData>
            </a:graphic>
          </wp:inline>
        </w:drawing>
      </w:r>
    </w:p>
    <w:p w14:paraId="16C7DB79" w14:textId="77777777" w:rsidR="00A126A7" w:rsidRDefault="00BB2D4D" w:rsidP="004F36F7">
      <w:pPr>
        <w:pStyle w:val="IFTnormal"/>
        <w:spacing w:before="240"/>
        <w:jc w:val="center"/>
        <w:rPr>
          <w:rStyle w:val="IFTnormalCar"/>
        </w:rPr>
      </w:pPr>
      <w:r>
        <w:rPr>
          <w:b/>
          <w:sz w:val="18"/>
        </w:rPr>
        <w:t>Figura 3</w:t>
      </w:r>
      <w:r w:rsidR="00A126A7" w:rsidRPr="00C1472F">
        <w:rPr>
          <w:b/>
          <w:sz w:val="18"/>
        </w:rPr>
        <w:t>:</w:t>
      </w:r>
      <w:r w:rsidR="00A126A7" w:rsidRPr="00C1472F">
        <w:rPr>
          <w:sz w:val="18"/>
        </w:rPr>
        <w:t xml:space="preserve"> Diagrama de flujo del Modelo de </w:t>
      </w:r>
      <w:r w:rsidR="00A126A7">
        <w:rPr>
          <w:sz w:val="18"/>
        </w:rPr>
        <w:t xml:space="preserve">Costos Evitados </w:t>
      </w:r>
      <w:r w:rsidR="00A126A7" w:rsidRPr="00FD39E8">
        <w:rPr>
          <w:sz w:val="18"/>
        </w:rPr>
        <w:t>(</w:t>
      </w:r>
      <w:r w:rsidR="00A126A7" w:rsidRPr="00FD39E8">
        <w:rPr>
          <w:b/>
          <w:sz w:val="18"/>
        </w:rPr>
        <w:t>Fuente:</w:t>
      </w:r>
      <w:r w:rsidR="00A126A7" w:rsidRPr="00FD39E8">
        <w:rPr>
          <w:sz w:val="18"/>
        </w:rPr>
        <w:t xml:space="preserve"> IFT, 2018)</w:t>
      </w:r>
      <w:r w:rsidR="00A126A7" w:rsidRPr="00C1472F">
        <w:rPr>
          <w:sz w:val="18"/>
        </w:rPr>
        <w:t>.</w:t>
      </w:r>
    </w:p>
    <w:p w14:paraId="0C3B614A" w14:textId="77777777" w:rsidR="00011431" w:rsidRPr="000F43C6" w:rsidRDefault="00011431" w:rsidP="004F36F7">
      <w:pPr>
        <w:spacing w:before="240"/>
        <w:rPr>
          <w:rFonts w:ascii="ITC Avant Garde" w:hAnsi="ITC Avant Garde"/>
          <w:b/>
        </w:rPr>
      </w:pPr>
      <w:r w:rsidRPr="000F43C6">
        <w:rPr>
          <w:rFonts w:ascii="ITC Avant Garde" w:hAnsi="ITC Avant Garde"/>
          <w:b/>
        </w:rPr>
        <w:lastRenderedPageBreak/>
        <w:t>5.2 Determinación de las tarifas del SRMLT con el Modelo de Costos Evitados</w:t>
      </w:r>
    </w:p>
    <w:p w14:paraId="5D100D6D" w14:textId="77777777" w:rsidR="00302FA6" w:rsidRDefault="00302FA6" w:rsidP="004F36F7">
      <w:pPr>
        <w:pStyle w:val="IFTnormal"/>
        <w:spacing w:before="240"/>
        <w:rPr>
          <w:color w:val="000000" w:themeColor="text1"/>
        </w:rPr>
      </w:pPr>
      <w:r w:rsidRPr="00C1472F">
        <w:rPr>
          <w:rStyle w:val="IFTnormalCar"/>
        </w:rPr>
        <w:t xml:space="preserve">En consistencia con lo anterior, y a efecto de realizar la estimación de </w:t>
      </w:r>
      <w:r>
        <w:rPr>
          <w:rStyle w:val="IFTnormalCar"/>
        </w:rPr>
        <w:t xml:space="preserve">los niveles tarifarios correspondiente al </w:t>
      </w:r>
      <w:r w:rsidR="001000F3">
        <w:t>SRMLT</w:t>
      </w:r>
      <w:r w:rsidRPr="00C1472F">
        <w:rPr>
          <w:rStyle w:val="IFTnormalCar"/>
        </w:rPr>
        <w:t xml:space="preserve">, aplicables </w:t>
      </w:r>
      <w:r w:rsidR="00F16CDD" w:rsidRPr="008B6C90">
        <w:rPr>
          <w:rStyle w:val="IFTnormalCar"/>
        </w:rPr>
        <w:t>durante</w:t>
      </w:r>
      <w:r w:rsidR="00F16CDD">
        <w:rPr>
          <w:rStyle w:val="IFTnormalCar"/>
        </w:rPr>
        <w:t xml:space="preserve"> la vigencia de la OREDA</w:t>
      </w:r>
      <w:r w:rsidR="00BF5236">
        <w:rPr>
          <w:rStyle w:val="IFTnormalCar"/>
        </w:rPr>
        <w:t xml:space="preserve"> vigente</w:t>
      </w:r>
      <w:r w:rsidRPr="00C1472F">
        <w:rPr>
          <w:rStyle w:val="IFTnormalCar"/>
        </w:rPr>
        <w:t xml:space="preserve">, el Instituto consideró procedente </w:t>
      </w:r>
      <w:r w:rsidR="00011431">
        <w:rPr>
          <w:rStyle w:val="IFTnormalCar"/>
        </w:rPr>
        <w:t>emplear</w:t>
      </w:r>
      <w:r w:rsidR="00011431" w:rsidRPr="00C1472F">
        <w:rPr>
          <w:rStyle w:val="IFTnormalCar"/>
        </w:rPr>
        <w:t xml:space="preserve"> </w:t>
      </w:r>
      <w:r>
        <w:rPr>
          <w:rStyle w:val="IFTnormalCar"/>
        </w:rPr>
        <w:t>el Modelo de Costos Evitados</w:t>
      </w:r>
      <w:r w:rsidR="000D3D9C">
        <w:rPr>
          <w:rStyle w:val="IFTnormalCar"/>
        </w:rPr>
        <w:t xml:space="preserve"> en cuestión</w:t>
      </w:r>
      <w:r w:rsidRPr="00C1472F">
        <w:rPr>
          <w:rStyle w:val="IFTnormalCar"/>
        </w:rPr>
        <w:t xml:space="preserve"> </w:t>
      </w:r>
      <w:r w:rsidR="000D3D9C">
        <w:rPr>
          <w:rStyle w:val="IFTnormalCar"/>
        </w:rPr>
        <w:t>con el fin</w:t>
      </w:r>
      <w:r w:rsidRPr="00441AD7">
        <w:rPr>
          <w:rStyle w:val="IFTnormalCar"/>
        </w:rPr>
        <w:t xml:space="preserve"> de tomar en cuenta 1) </w:t>
      </w:r>
      <w:r>
        <w:rPr>
          <w:rStyle w:val="IFTnormalCar"/>
        </w:rPr>
        <w:t xml:space="preserve">las características del </w:t>
      </w:r>
      <w:r w:rsidR="001000F3">
        <w:t>SRMLT</w:t>
      </w:r>
      <w:r>
        <w:rPr>
          <w:rStyle w:val="IFTnormalCar"/>
        </w:rPr>
        <w:t>,</w:t>
      </w:r>
      <w:r w:rsidRPr="00441AD7">
        <w:rPr>
          <w:rStyle w:val="IFTnormalCar"/>
        </w:rPr>
        <w:t xml:space="preserve"> conforme a las especificaciones plasmadas en la </w:t>
      </w:r>
      <w:r w:rsidRPr="009A267A">
        <w:rPr>
          <w:rStyle w:val="IFTnormalCar"/>
        </w:rPr>
        <w:t xml:space="preserve">Resolución </w:t>
      </w:r>
      <w:r w:rsidR="00BE2F51">
        <w:t>SRMLT</w:t>
      </w:r>
      <w:r>
        <w:rPr>
          <w:rStyle w:val="IFTnormalCar"/>
        </w:rPr>
        <w:t xml:space="preserve"> aprobada</w:t>
      </w:r>
      <w:r w:rsidRPr="00441AD7">
        <w:rPr>
          <w:rStyle w:val="IFTnormalCar"/>
        </w:rPr>
        <w:t xml:space="preserve"> por el Instituto</w:t>
      </w:r>
      <w:r w:rsidR="00C34505">
        <w:rPr>
          <w:rStyle w:val="IFTnormalCar"/>
        </w:rPr>
        <w:t xml:space="preserve"> y generar un módulo adicional en el Modelo de Costos Evitados que calcule las tarifas para el servicio </w:t>
      </w:r>
      <w:r w:rsidRPr="00441AD7">
        <w:rPr>
          <w:rStyle w:val="IFTnormalCar"/>
        </w:rPr>
        <w:t xml:space="preserve"> y 2) los cambios en los p</w:t>
      </w:r>
      <w:r>
        <w:rPr>
          <w:rStyle w:val="IFTnormalCar"/>
        </w:rPr>
        <w:t xml:space="preserve">arámetros y datos de entrada </w:t>
      </w:r>
      <w:r w:rsidRPr="00441AD7">
        <w:rPr>
          <w:rStyle w:val="IFTnormalCar"/>
        </w:rPr>
        <w:t>acordes al periodo en estudio</w:t>
      </w:r>
      <w:r w:rsidR="00AF2DE4">
        <w:rPr>
          <w:rStyle w:val="IFTnormalCar"/>
        </w:rPr>
        <w:t xml:space="preserve">, tal </w:t>
      </w:r>
      <w:r w:rsidR="00F21071">
        <w:rPr>
          <w:rStyle w:val="IFTnormalCar"/>
        </w:rPr>
        <w:t>que dicha</w:t>
      </w:r>
      <w:r>
        <w:rPr>
          <w:rStyle w:val="IFTnormalCar"/>
        </w:rPr>
        <w:t xml:space="preserve"> herramienta permita </w:t>
      </w:r>
      <w:r w:rsidRPr="002228C3">
        <w:rPr>
          <w:color w:val="000000" w:themeColor="text1"/>
          <w:lang w:val="es-ES"/>
        </w:rPr>
        <w:t xml:space="preserve">la estimación del </w:t>
      </w:r>
      <w:r w:rsidRPr="002228C3">
        <w:rPr>
          <w:color w:val="000000" w:themeColor="text1"/>
        </w:rPr>
        <w:t xml:space="preserve">acceso a la línea telefónica que se </w:t>
      </w:r>
      <w:r w:rsidR="00866800">
        <w:rPr>
          <w:color w:val="000000" w:themeColor="text1"/>
        </w:rPr>
        <w:t>ofrece</w:t>
      </w:r>
      <w:r w:rsidR="00866800" w:rsidRPr="002228C3">
        <w:rPr>
          <w:color w:val="000000" w:themeColor="text1"/>
        </w:rPr>
        <w:t xml:space="preserve"> </w:t>
      </w:r>
      <w:r w:rsidRPr="002228C3">
        <w:rPr>
          <w:color w:val="000000" w:themeColor="text1"/>
        </w:rPr>
        <w:t xml:space="preserve">a los CS a través del </w:t>
      </w:r>
      <w:r w:rsidR="001000F3">
        <w:rPr>
          <w:color w:val="000000" w:themeColor="text1"/>
        </w:rPr>
        <w:t>SRMLT</w:t>
      </w:r>
      <w:r w:rsidR="00660401">
        <w:rPr>
          <w:color w:val="000000" w:themeColor="text1"/>
        </w:rPr>
        <w:t>,</w:t>
      </w:r>
      <w:r>
        <w:rPr>
          <w:color w:val="000000" w:themeColor="text1"/>
        </w:rPr>
        <w:t xml:space="preserve"> se </w:t>
      </w:r>
      <w:r w:rsidR="00C62789">
        <w:rPr>
          <w:color w:val="000000" w:themeColor="text1"/>
        </w:rPr>
        <w:t>excluirán</w:t>
      </w:r>
      <w:r>
        <w:rPr>
          <w:color w:val="000000" w:themeColor="text1"/>
        </w:rPr>
        <w:t xml:space="preserve"> todos los servicios de voz que se brinda</w:t>
      </w:r>
      <w:r w:rsidR="00C62789">
        <w:rPr>
          <w:color w:val="000000" w:themeColor="text1"/>
        </w:rPr>
        <w:t>n</w:t>
      </w:r>
      <w:r>
        <w:rPr>
          <w:color w:val="000000" w:themeColor="text1"/>
        </w:rPr>
        <w:t xml:space="preserve"> a través de la renta de la línea de los planes y paquetes del AEP de forma que se puedan reflejar adecuadamente los costos evitados inherentes a la naturaleza y alcance del SMLRT, estableciendo con ello la renta mensual de dicho servicio mayorista del AEP.</w:t>
      </w:r>
    </w:p>
    <w:p w14:paraId="4BDFFB9E" w14:textId="77777777" w:rsidR="00D50B10" w:rsidRPr="00441AD7" w:rsidRDefault="00D50B10" w:rsidP="004F36F7">
      <w:pPr>
        <w:pStyle w:val="IFTnormal"/>
        <w:spacing w:before="240"/>
        <w:rPr>
          <w:rStyle w:val="IFTnormalCar"/>
        </w:rPr>
      </w:pPr>
      <w:r>
        <w:rPr>
          <w:rStyle w:val="IFTnormalCar"/>
        </w:rPr>
        <w:t xml:space="preserve">Los puntos anteriormente descritos </w:t>
      </w:r>
      <w:r w:rsidR="00A10B10">
        <w:rPr>
          <w:rStyle w:val="IFTnormalCar"/>
        </w:rPr>
        <w:t xml:space="preserve">se motivan, por un lado, porque </w:t>
      </w:r>
      <w:r w:rsidR="00A36EB3">
        <w:rPr>
          <w:rStyle w:val="IFTnormalCar"/>
        </w:rPr>
        <w:t xml:space="preserve"> </w:t>
      </w:r>
      <w:r w:rsidR="00A10B10">
        <w:rPr>
          <w:rStyle w:val="IFTnormalCar"/>
        </w:rPr>
        <w:t>es necesario</w:t>
      </w:r>
      <w:r w:rsidR="00A36EB3">
        <w:rPr>
          <w:rStyle w:val="IFTnormalCar"/>
        </w:rPr>
        <w:t xml:space="preserve"> </w:t>
      </w:r>
      <w:r w:rsidR="00C1040D">
        <w:rPr>
          <w:rStyle w:val="IFTnormalCar"/>
        </w:rPr>
        <w:t>tomar en cuenta</w:t>
      </w:r>
      <w:r w:rsidR="00A36EB3">
        <w:rPr>
          <w:rStyle w:val="IFTnormalCar"/>
        </w:rPr>
        <w:t xml:space="preserve"> la evolución </w:t>
      </w:r>
      <w:r w:rsidR="00C1040D">
        <w:rPr>
          <w:rStyle w:val="IFTnormalCar"/>
        </w:rPr>
        <w:t xml:space="preserve">de </w:t>
      </w:r>
      <w:r w:rsidR="00A36EB3">
        <w:rPr>
          <w:rStyle w:val="IFTnormalCar"/>
        </w:rPr>
        <w:t xml:space="preserve">las condiciones de </w:t>
      </w:r>
      <w:r w:rsidR="00C1040D">
        <w:rPr>
          <w:rStyle w:val="IFTnormalCar"/>
        </w:rPr>
        <w:t xml:space="preserve">los </w:t>
      </w:r>
      <w:r w:rsidR="00A36EB3">
        <w:rPr>
          <w:rStyle w:val="IFTnormalCar"/>
        </w:rPr>
        <w:t>mercado</w:t>
      </w:r>
      <w:r w:rsidR="00C1040D">
        <w:rPr>
          <w:rStyle w:val="IFTnormalCar"/>
        </w:rPr>
        <w:t>s</w:t>
      </w:r>
      <w:r w:rsidR="00A36EB3">
        <w:rPr>
          <w:rStyle w:val="IFTnormalCar"/>
        </w:rPr>
        <w:t xml:space="preserve"> de servicios fijos de telecomun</w:t>
      </w:r>
      <w:r w:rsidR="00604ECA">
        <w:rPr>
          <w:rStyle w:val="IFTnormalCar"/>
        </w:rPr>
        <w:t xml:space="preserve">icaciones, </w:t>
      </w:r>
      <w:r w:rsidR="00A10B10">
        <w:rPr>
          <w:rStyle w:val="IFTnormalCar"/>
        </w:rPr>
        <w:t xml:space="preserve">de los hábitos de consumo de los usuarios, </w:t>
      </w:r>
      <w:r w:rsidR="00604ECA">
        <w:rPr>
          <w:rStyle w:val="IFTnormalCar"/>
        </w:rPr>
        <w:t xml:space="preserve">así como </w:t>
      </w:r>
      <w:r w:rsidR="00A10B10">
        <w:rPr>
          <w:rStyle w:val="IFTnormalCar"/>
        </w:rPr>
        <w:t xml:space="preserve">de las variables económicas que afecten la modelación; ya que </w:t>
      </w:r>
      <w:r w:rsidR="005C1400">
        <w:rPr>
          <w:rStyle w:val="IFTnormalCar"/>
        </w:rPr>
        <w:t>é</w:t>
      </w:r>
      <w:r w:rsidR="00C96E74">
        <w:rPr>
          <w:rStyle w:val="IFTnormalCar"/>
        </w:rPr>
        <w:t xml:space="preserve">stas podrían haberse modificado desde la última actualización de Modelo de Costos </w:t>
      </w:r>
      <w:r w:rsidR="00976055">
        <w:rPr>
          <w:rStyle w:val="IFTnormalCar"/>
        </w:rPr>
        <w:t xml:space="preserve">Evitados </w:t>
      </w:r>
      <w:r w:rsidR="00C96E74">
        <w:rPr>
          <w:rStyle w:val="IFTnormalCar"/>
        </w:rPr>
        <w:t xml:space="preserve">y el cálculo de la tarifa de un nuevo servicio no </w:t>
      </w:r>
      <w:r w:rsidR="005C1400">
        <w:rPr>
          <w:rStyle w:val="IFTnormalCar"/>
        </w:rPr>
        <w:t xml:space="preserve">necesariamente mantiene </w:t>
      </w:r>
      <w:r w:rsidR="00C96E74">
        <w:rPr>
          <w:rStyle w:val="IFTnormalCar"/>
        </w:rPr>
        <w:t xml:space="preserve">condiciones </w:t>
      </w:r>
      <w:r w:rsidR="005C1400">
        <w:rPr>
          <w:rStyle w:val="IFTnormalCar"/>
        </w:rPr>
        <w:t xml:space="preserve">prevalecientes </w:t>
      </w:r>
      <w:r w:rsidR="00C96E74">
        <w:rPr>
          <w:rStyle w:val="IFTnormalCar"/>
        </w:rPr>
        <w:t xml:space="preserve">cuando este no existía. </w:t>
      </w:r>
      <w:r w:rsidR="007208B6">
        <w:rPr>
          <w:rStyle w:val="IFTnormalCar"/>
        </w:rPr>
        <w:t>En complemento</w:t>
      </w:r>
      <w:r w:rsidR="00E94B13">
        <w:rPr>
          <w:rStyle w:val="IFTnormalCar"/>
        </w:rPr>
        <w:t>,</w:t>
      </w:r>
      <w:r w:rsidR="00C96E74">
        <w:rPr>
          <w:rStyle w:val="IFTnormalCar"/>
        </w:rPr>
        <w:t xml:space="preserve"> y tomando en cuenta </w:t>
      </w:r>
      <w:r w:rsidR="00976055">
        <w:rPr>
          <w:rStyle w:val="IFTnormalCar"/>
        </w:rPr>
        <w:t>dicha</w:t>
      </w:r>
      <w:r w:rsidR="00C96E74">
        <w:rPr>
          <w:rStyle w:val="IFTnormalCar"/>
        </w:rPr>
        <w:t xml:space="preserve"> actualización</w:t>
      </w:r>
      <w:r w:rsidR="00E94B13">
        <w:rPr>
          <w:rStyle w:val="IFTnormalCar"/>
        </w:rPr>
        <w:t>,</w:t>
      </w:r>
      <w:r w:rsidR="00C96E74">
        <w:rPr>
          <w:rStyle w:val="IFTnormalCar"/>
        </w:rPr>
        <w:t xml:space="preserve"> </w:t>
      </w:r>
      <w:r w:rsidR="005C1400">
        <w:rPr>
          <w:rStyle w:val="IFTnormalCar"/>
        </w:rPr>
        <w:t xml:space="preserve">a través de un módulo adicional </w:t>
      </w:r>
      <w:r w:rsidR="00C96E74">
        <w:rPr>
          <w:rStyle w:val="IFTnormalCar"/>
        </w:rPr>
        <w:t xml:space="preserve">es necesario incorporar al Modelo de Costos </w:t>
      </w:r>
      <w:r w:rsidR="008E2E8B">
        <w:rPr>
          <w:rStyle w:val="IFTnormalCar"/>
        </w:rPr>
        <w:t xml:space="preserve">Evitados </w:t>
      </w:r>
      <w:r w:rsidR="00C85A53">
        <w:rPr>
          <w:rStyle w:val="IFTnormalCar"/>
        </w:rPr>
        <w:t>el cálculo de</w:t>
      </w:r>
      <w:r w:rsidR="00B469F5">
        <w:rPr>
          <w:rStyle w:val="IFTnormalCar"/>
        </w:rPr>
        <w:t>l</w:t>
      </w:r>
      <w:r w:rsidR="00C85A53">
        <w:rPr>
          <w:rStyle w:val="IFTnormalCar"/>
        </w:rPr>
        <w:t xml:space="preserve"> precio implícito del acceso a la línea telefónica, ya que el alcance del SRMLT no incorpora directamente el abanico de servicios que el AEP ofrece en </w:t>
      </w:r>
      <w:r w:rsidR="00090A6B">
        <w:rPr>
          <w:rStyle w:val="IFTnormalCar"/>
        </w:rPr>
        <w:t>su</w:t>
      </w:r>
      <w:r w:rsidR="00C85A53">
        <w:rPr>
          <w:rStyle w:val="IFTnormalCar"/>
        </w:rPr>
        <w:t xml:space="preserve"> oferta minorista y se enfoca al acceso a la línea telefónica</w:t>
      </w:r>
      <w:r w:rsidR="00604ECA">
        <w:rPr>
          <w:rStyle w:val="IFTnormalCar"/>
        </w:rPr>
        <w:t>.</w:t>
      </w:r>
      <w:r w:rsidR="005C1400">
        <w:rPr>
          <w:rStyle w:val="IFTnormalCar"/>
        </w:rPr>
        <w:t xml:space="preserve"> </w:t>
      </w:r>
    </w:p>
    <w:p w14:paraId="6AC4C140" w14:textId="77777777" w:rsidR="00302FA6" w:rsidRPr="00895E12" w:rsidRDefault="00302FA6" w:rsidP="004F36F7">
      <w:pPr>
        <w:pStyle w:val="IFTnormal"/>
        <w:spacing w:before="240"/>
      </w:pPr>
      <w:r w:rsidRPr="00895E12">
        <w:t>De esta manera, en consideración de la información aportada por el AEP</w:t>
      </w:r>
      <w:r>
        <w:t xml:space="preserve"> a través de la </w:t>
      </w:r>
      <w:r w:rsidR="00C207CD">
        <w:t xml:space="preserve">Propuesta de tarifas del AEP y la </w:t>
      </w:r>
      <w:r w:rsidRPr="004D34B0">
        <w:t xml:space="preserve">Respuesta al </w:t>
      </w:r>
      <w:r w:rsidR="00376B61">
        <w:t>Requerimiento de tarifas</w:t>
      </w:r>
      <w:r w:rsidR="00C207CD">
        <w:t>,</w:t>
      </w:r>
      <w:r w:rsidRPr="00895E12">
        <w:t xml:space="preserve"> </w:t>
      </w:r>
      <w:r w:rsidR="00C207CD">
        <w:t>así como</w:t>
      </w:r>
      <w:r w:rsidRPr="00895E12">
        <w:t xml:space="preserve"> en apego a lo señalado en el Medida TRIGÉSIMA NOVENA, </w:t>
      </w:r>
      <w:r w:rsidR="001E6255">
        <w:t xml:space="preserve">el Instituto </w:t>
      </w:r>
      <w:r w:rsidRPr="00895E12">
        <w:t xml:space="preserve">llevó a cabo la actualización del </w:t>
      </w:r>
      <w:r w:rsidR="00AF2DE4">
        <w:t>M</w:t>
      </w:r>
      <w:r w:rsidRPr="00895E12">
        <w:t xml:space="preserve">odelo de </w:t>
      </w:r>
      <w:r w:rsidR="00AF2DE4">
        <w:t>C</w:t>
      </w:r>
      <w:r w:rsidRPr="00895E12">
        <w:t>ostos</w:t>
      </w:r>
      <w:r w:rsidR="00AF2DE4">
        <w:t xml:space="preserve"> Evitados</w:t>
      </w:r>
      <w:r w:rsidRPr="00895E12">
        <w:t xml:space="preserve"> mediante la metodología de costos evitados</w:t>
      </w:r>
      <w:r w:rsidR="001E6255">
        <w:t xml:space="preserve"> utilizada para determinar en su momento las tarifas de SRLT, SRI, </w:t>
      </w:r>
      <w:r w:rsidR="001E6255" w:rsidRPr="00441AD7">
        <w:t>SRP y SAIB</w:t>
      </w:r>
      <w:r w:rsidRPr="00895E12">
        <w:t>, la cual consistió principalmente en:</w:t>
      </w:r>
    </w:p>
    <w:p w14:paraId="1936A0D3" w14:textId="77777777" w:rsidR="00302FA6" w:rsidRPr="00C2259B" w:rsidRDefault="00C62789" w:rsidP="004F36F7">
      <w:pPr>
        <w:pStyle w:val="IFTnormal"/>
        <w:numPr>
          <w:ilvl w:val="1"/>
          <w:numId w:val="13"/>
        </w:numPr>
        <w:spacing w:before="240"/>
        <w:ind w:left="709"/>
      </w:pPr>
      <w:r>
        <w:t>Actualizar el</w:t>
      </w:r>
      <w:r w:rsidR="00302FA6" w:rsidRPr="00C2259B">
        <w:t xml:space="preserve"> número de conexiones del mercado y la distribución de usuarios del AEP para planes y paquetes a partir de los cuales ofrece servicios de telefonía fija.</w:t>
      </w:r>
    </w:p>
    <w:p w14:paraId="5FC479C5" w14:textId="77777777" w:rsidR="00302FA6" w:rsidRDefault="00302FA6" w:rsidP="004F36F7">
      <w:pPr>
        <w:pStyle w:val="IFTnormal"/>
        <w:numPr>
          <w:ilvl w:val="1"/>
          <w:numId w:val="13"/>
        </w:numPr>
        <w:spacing w:before="240"/>
        <w:ind w:left="709"/>
      </w:pPr>
      <w:r w:rsidRPr="00C2259B">
        <w:t>Actualización en el nombre, número de planes y paquetes, tarifas asociadas, así como una revisión sobre la canasta de servicios incluidos en éstas.</w:t>
      </w:r>
    </w:p>
    <w:p w14:paraId="0F806079" w14:textId="77777777" w:rsidR="00302FA6" w:rsidRPr="00C2259B" w:rsidRDefault="00302FA6" w:rsidP="004F36F7">
      <w:pPr>
        <w:pStyle w:val="IFTnormal"/>
        <w:numPr>
          <w:ilvl w:val="1"/>
          <w:numId w:val="13"/>
        </w:numPr>
        <w:spacing w:before="240"/>
        <w:ind w:left="709"/>
      </w:pPr>
      <w:r>
        <w:lastRenderedPageBreak/>
        <w:t xml:space="preserve">Incorporación de los datos de consumo promedio mensual de servicios de voz, incluidos en la canasta de servicios </w:t>
      </w:r>
      <w:r w:rsidRPr="00C2259B">
        <w:t xml:space="preserve">de </w:t>
      </w:r>
      <w:r>
        <w:t xml:space="preserve">los </w:t>
      </w:r>
      <w:r w:rsidRPr="00C2259B">
        <w:t>planes y paquetes</w:t>
      </w:r>
      <w:r>
        <w:t xml:space="preserve"> que el AEP ofrece a sus usuarios finales (es decir, “</w:t>
      </w:r>
      <w:r w:rsidRPr="003B2E95">
        <w:rPr>
          <w:i/>
        </w:rPr>
        <w:t>Llamadas a números locales</w:t>
      </w:r>
      <w:r>
        <w:t>”, “</w:t>
      </w:r>
      <w:r w:rsidRPr="003B2E95">
        <w:rPr>
          <w:i/>
        </w:rPr>
        <w:t>Minutos de Larga Distancia Internacional (EEUU y Canadá)</w:t>
      </w:r>
      <w:r>
        <w:t>”, “</w:t>
      </w:r>
      <w:r w:rsidRPr="003B2E95">
        <w:rPr>
          <w:i/>
        </w:rPr>
        <w:t>Minutos de Larga Distancia Mundial</w:t>
      </w:r>
      <w:r>
        <w:t>” y “</w:t>
      </w:r>
      <w:r w:rsidRPr="003B2E95">
        <w:rPr>
          <w:i/>
        </w:rPr>
        <w:t xml:space="preserve">Minutos a celular (Números 044 y 045, en modalidad </w:t>
      </w:r>
      <w:r w:rsidR="003B2E95">
        <w:t>‘</w:t>
      </w:r>
      <w:r w:rsidRPr="00D32646">
        <w:t xml:space="preserve">El Que Llama </w:t>
      </w:r>
      <w:r w:rsidR="003B2E95">
        <w:t>Paga’</w:t>
      </w:r>
      <w:r w:rsidRPr="00D32646">
        <w:t>)</w:t>
      </w:r>
      <w:r>
        <w:t>”).</w:t>
      </w:r>
    </w:p>
    <w:p w14:paraId="4B01B6A2" w14:textId="77777777" w:rsidR="00302FA6" w:rsidRPr="00C2259B" w:rsidRDefault="00302FA6" w:rsidP="004F36F7">
      <w:pPr>
        <w:pStyle w:val="IFTnormal"/>
        <w:numPr>
          <w:ilvl w:val="1"/>
          <w:numId w:val="13"/>
        </w:numPr>
        <w:spacing w:before="240"/>
        <w:ind w:left="709"/>
        <w:rPr>
          <w:rStyle w:val="IFTnormalCar"/>
        </w:rPr>
      </w:pPr>
      <w:r w:rsidRPr="00C2259B">
        <w:t>Actualización del tipo de cambio a $18.85</w:t>
      </w:r>
      <w:r w:rsidRPr="00C2259B">
        <w:rPr>
          <w:rStyle w:val="Refdenotaalpie"/>
        </w:rPr>
        <w:footnoteReference w:id="15"/>
      </w:r>
      <w:r w:rsidRPr="00C2259B">
        <w:t>.</w:t>
      </w:r>
    </w:p>
    <w:p w14:paraId="1BC832EE" w14:textId="7F9EAB8E" w:rsidR="00302FA6" w:rsidRDefault="00302FA6" w:rsidP="004F36F7">
      <w:pPr>
        <w:pStyle w:val="IFTnormal"/>
        <w:spacing w:before="240"/>
      </w:pPr>
      <w:r w:rsidRPr="00C1472F">
        <w:t xml:space="preserve">Asimismo, a efecto de </w:t>
      </w:r>
      <w:r>
        <w:rPr>
          <w:rStyle w:val="IFTnormalCar"/>
        </w:rPr>
        <w:t xml:space="preserve">estimar los niveles tarifarios </w:t>
      </w:r>
      <w:r w:rsidRPr="00C1472F">
        <w:rPr>
          <w:rStyle w:val="IFTnormalCar"/>
        </w:rPr>
        <w:t xml:space="preserve">conforme a las especificaciones plasmadas en la </w:t>
      </w:r>
      <w:r w:rsidRPr="009A267A">
        <w:rPr>
          <w:rStyle w:val="IFTnormalCar"/>
        </w:rPr>
        <w:t xml:space="preserve">Resolución </w:t>
      </w:r>
      <w:r w:rsidR="00BE2F51">
        <w:t>SRMLT</w:t>
      </w:r>
      <w:r w:rsidRPr="00C1472F">
        <w:rPr>
          <w:rStyle w:val="IFTnormalCar"/>
        </w:rPr>
        <w:t xml:space="preserve"> </w:t>
      </w:r>
      <w:r>
        <w:rPr>
          <w:rStyle w:val="IFTnormalCar"/>
        </w:rPr>
        <w:t xml:space="preserve">y de acuerdo a las consideraciones </w:t>
      </w:r>
      <w:r w:rsidR="006F6E5E">
        <w:rPr>
          <w:rStyle w:val="IFTnormalCar"/>
        </w:rPr>
        <w:t xml:space="preserve">realizadas </w:t>
      </w:r>
      <w:r w:rsidR="00C62789">
        <w:rPr>
          <w:rStyle w:val="IFTnormalCar"/>
        </w:rPr>
        <w:t>en</w:t>
      </w:r>
      <w:r w:rsidRPr="00C1472F">
        <w:rPr>
          <w:rStyle w:val="IFTnormalCar"/>
        </w:rPr>
        <w:t xml:space="preserve"> </w:t>
      </w:r>
      <w:r w:rsidR="00AF2DE4">
        <w:rPr>
          <w:rStyle w:val="IFTnormalCar"/>
        </w:rPr>
        <w:t>e</w:t>
      </w:r>
      <w:r w:rsidRPr="00C1472F">
        <w:rPr>
          <w:rStyle w:val="IFTnormalCar"/>
        </w:rPr>
        <w:t>sta Resolución</w:t>
      </w:r>
      <w:r w:rsidR="00AF2DE4">
        <w:rPr>
          <w:rStyle w:val="IFTnormalCar"/>
        </w:rPr>
        <w:t xml:space="preserve">, se estima </w:t>
      </w:r>
      <w:r>
        <w:t xml:space="preserve">el nivel de precio implícito que representa el acceso a la línea telefónica a través del SRMLT, </w:t>
      </w:r>
      <w:r w:rsidR="00852283">
        <w:t xml:space="preserve">tanto para líneas de uso residencial como de uso comercial, </w:t>
      </w:r>
      <w:r>
        <w:t xml:space="preserve">considerando a su </w:t>
      </w:r>
      <w:r w:rsidR="00B469F5">
        <w:t>vez los valores</w:t>
      </w:r>
      <w:r w:rsidR="00327BBC">
        <w:t xml:space="preserve"> asociados a servicios de voz</w:t>
      </w:r>
      <w:r w:rsidR="00B469F5">
        <w:t xml:space="preserve"> </w:t>
      </w:r>
      <w:r>
        <w:t xml:space="preserve">que se proveen a través de los diversos planes y paquetes del AEP, así como el </w:t>
      </w:r>
      <w:r w:rsidR="00196986">
        <w:t xml:space="preserve">valor </w:t>
      </w:r>
      <w:r>
        <w:t xml:space="preserve">implícito correspondiente a los </w:t>
      </w:r>
      <w:r w:rsidRPr="005F4470">
        <w:t>“</w:t>
      </w:r>
      <w:r w:rsidRPr="003B2E95">
        <w:rPr>
          <w:i/>
        </w:rPr>
        <w:t>Servicios Digitales</w:t>
      </w:r>
      <w:r w:rsidRPr="005F4470">
        <w:t xml:space="preserve">”, dado que son conceptos característicos que el AEP ofrece a sus </w:t>
      </w:r>
      <w:r>
        <w:t xml:space="preserve">usuarios finales. </w:t>
      </w:r>
      <w:r w:rsidRPr="009F0F63">
        <w:t>Con tales datos se estima</w:t>
      </w:r>
      <w:r>
        <w:t xml:space="preserve"> el valor promedio ponderado que representa el acceso a la línea telefónica a través del SRMLT.</w:t>
      </w:r>
    </w:p>
    <w:p w14:paraId="6A569246" w14:textId="77777777" w:rsidR="00302FA6" w:rsidRDefault="00302FA6" w:rsidP="004F36F7">
      <w:pPr>
        <w:pStyle w:val="IFTnormal"/>
        <w:spacing w:before="240"/>
      </w:pPr>
      <w:r>
        <w:t>En concreto, lo anterior se realiza tomando en cuenta los siguientes pasos</w:t>
      </w:r>
      <w:r w:rsidRPr="005908D1">
        <w:t>:</w:t>
      </w:r>
    </w:p>
    <w:p w14:paraId="16368204" w14:textId="77777777" w:rsidR="00302FA6" w:rsidRPr="00A76DAE" w:rsidRDefault="00302FA6" w:rsidP="004F36F7">
      <w:pPr>
        <w:pStyle w:val="IFTnormal"/>
        <w:spacing w:before="240"/>
        <w:rPr>
          <w:b/>
        </w:rPr>
      </w:pPr>
      <w:r w:rsidRPr="00A76DAE">
        <w:rPr>
          <w:b/>
        </w:rPr>
        <w:t>Etapa I: Estimación del precio</w:t>
      </w:r>
      <w:r>
        <w:rPr>
          <w:b/>
        </w:rPr>
        <w:t xml:space="preserve"> promedio</w:t>
      </w:r>
      <w:r w:rsidRPr="00A76DAE">
        <w:rPr>
          <w:b/>
        </w:rPr>
        <w:t xml:space="preserve"> del acceso a la línea telefónica </w:t>
      </w:r>
    </w:p>
    <w:p w14:paraId="44268D39" w14:textId="77777777" w:rsidR="00302FA6" w:rsidRPr="006C558C" w:rsidRDefault="00302FA6" w:rsidP="004F36F7">
      <w:pPr>
        <w:pStyle w:val="IFTnormal"/>
        <w:numPr>
          <w:ilvl w:val="0"/>
          <w:numId w:val="16"/>
        </w:numPr>
        <w:spacing w:before="240"/>
      </w:pPr>
      <w:r w:rsidRPr="009A6CE1">
        <w:rPr>
          <w:b/>
        </w:rPr>
        <w:t xml:space="preserve">Estimación del </w:t>
      </w:r>
      <w:r w:rsidR="00196986">
        <w:rPr>
          <w:b/>
        </w:rPr>
        <w:t>valor</w:t>
      </w:r>
      <w:r w:rsidRPr="006C558C">
        <w:rPr>
          <w:b/>
        </w:rPr>
        <w:t xml:space="preserve"> de</w:t>
      </w:r>
      <w:r w:rsidR="008A05D1">
        <w:rPr>
          <w:b/>
        </w:rPr>
        <w:t xml:space="preserve"> los servicios de voz y servicios digitales incluidos en la </w:t>
      </w:r>
      <w:r w:rsidR="00A8740C">
        <w:rPr>
          <w:b/>
        </w:rPr>
        <w:t>renta de</w:t>
      </w:r>
      <w:r w:rsidRPr="006C558C">
        <w:rPr>
          <w:b/>
        </w:rPr>
        <w:t xml:space="preserve"> la línea telefónica </w:t>
      </w:r>
      <w:r>
        <w:rPr>
          <w:b/>
        </w:rPr>
        <w:t xml:space="preserve"> por plan y/o paquete:</w:t>
      </w:r>
      <w:r w:rsidRPr="009A6CE1">
        <w:rPr>
          <w:b/>
        </w:rPr>
        <w:t xml:space="preserve"> </w:t>
      </w:r>
    </w:p>
    <w:p w14:paraId="16049F46" w14:textId="77777777" w:rsidR="00302FA6" w:rsidRDefault="00C62789" w:rsidP="004F36F7">
      <w:pPr>
        <w:pStyle w:val="IFTnormal"/>
        <w:spacing w:before="240"/>
        <w:ind w:left="720"/>
      </w:pPr>
      <w:r>
        <w:t>P</w:t>
      </w:r>
      <w:r w:rsidR="00302FA6">
        <w:t xml:space="preserve">rimero se estima el </w:t>
      </w:r>
      <w:r w:rsidR="00196986">
        <w:t>valor</w:t>
      </w:r>
      <w:r w:rsidR="00302FA6">
        <w:t xml:space="preserve"> de los servicios de voz y </w:t>
      </w:r>
      <w:r w:rsidR="00302FA6" w:rsidRPr="005F4470">
        <w:t>“</w:t>
      </w:r>
      <w:r w:rsidR="00302FA6" w:rsidRPr="003B2E95">
        <w:rPr>
          <w:i/>
        </w:rPr>
        <w:t>Servicios Digitales</w:t>
      </w:r>
      <w:r w:rsidR="00302FA6" w:rsidRPr="005F4470">
        <w:t>”</w:t>
      </w:r>
      <w:r w:rsidR="00302FA6">
        <w:t xml:space="preserve"> dentro de la renta de la línea telefónica que caracteriza a cada plan y paquete del AEP (a través de los cuales brinda servicios de telefonía fija).</w:t>
      </w:r>
    </w:p>
    <w:p w14:paraId="4A5EF28E" w14:textId="77777777" w:rsidR="00302FA6" w:rsidRDefault="00302FA6" w:rsidP="004F36F7">
      <w:pPr>
        <w:pStyle w:val="IFTnormal"/>
        <w:spacing w:before="240"/>
        <w:ind w:left="720"/>
      </w:pPr>
      <w:r>
        <w:t xml:space="preserve">En este sentido,  se consideran 1) </w:t>
      </w:r>
      <w:r w:rsidRPr="006C558C">
        <w:t xml:space="preserve">la canasta de servicios de voz </w:t>
      </w:r>
      <w:r>
        <w:t>(es decir, “</w:t>
      </w:r>
      <w:r w:rsidRPr="003B2E95">
        <w:rPr>
          <w:i/>
        </w:rPr>
        <w:t>Llamadas a números locales</w:t>
      </w:r>
      <w:r>
        <w:t>”, “</w:t>
      </w:r>
      <w:r w:rsidRPr="003B2E95">
        <w:rPr>
          <w:i/>
        </w:rPr>
        <w:t>Minutos de Larga Distancia Internacional (EEUU y Canadá)</w:t>
      </w:r>
      <w:r>
        <w:t>”, “</w:t>
      </w:r>
      <w:r w:rsidRPr="003B2E95">
        <w:rPr>
          <w:i/>
        </w:rPr>
        <w:t>Minutos de Larga Distancia Mundial</w:t>
      </w:r>
      <w:r>
        <w:t>” y “</w:t>
      </w:r>
      <w:r w:rsidRPr="003B2E95">
        <w:rPr>
          <w:i/>
        </w:rPr>
        <w:t>Minutos a celular (N</w:t>
      </w:r>
      <w:r>
        <w:rPr>
          <w:i/>
        </w:rPr>
        <w:t xml:space="preserve">úmeros 044 y 045, en modalidad </w:t>
      </w:r>
      <w:r w:rsidR="003B2E95">
        <w:rPr>
          <w:i/>
        </w:rPr>
        <w:t>‘</w:t>
      </w:r>
      <w:r>
        <w:rPr>
          <w:i/>
        </w:rPr>
        <w:t xml:space="preserve">El Que Llama </w:t>
      </w:r>
      <w:r w:rsidR="003B2E95">
        <w:rPr>
          <w:i/>
        </w:rPr>
        <w:t>Paga’</w:t>
      </w:r>
      <w:r w:rsidRPr="003B2E95">
        <w:rPr>
          <w:i/>
        </w:rPr>
        <w:t>)</w:t>
      </w:r>
      <w:r>
        <w:t xml:space="preserve">”), </w:t>
      </w:r>
      <w:r w:rsidRPr="006C558C">
        <w:t>que se incluyen dentro de c</w:t>
      </w:r>
      <w:r w:rsidRPr="009A6CE1">
        <w:t xml:space="preserve">ada plan y/o paquete </w:t>
      </w:r>
      <w:r>
        <w:t>en cuestión, y 2) el consumo promedio de minutos de tales servicios</w:t>
      </w:r>
      <w:r>
        <w:rPr>
          <w:rStyle w:val="Refdenotaalpie"/>
        </w:rPr>
        <w:footnoteReference w:id="16"/>
      </w:r>
      <w:r>
        <w:t>.</w:t>
      </w:r>
    </w:p>
    <w:p w14:paraId="378C1F48" w14:textId="77777777" w:rsidR="00302FA6" w:rsidRDefault="00302FA6" w:rsidP="004F36F7">
      <w:pPr>
        <w:pStyle w:val="IFTnormal"/>
        <w:spacing w:before="240"/>
        <w:ind w:left="720"/>
      </w:pPr>
      <w:r>
        <w:lastRenderedPageBreak/>
        <w:t xml:space="preserve">La estimación se realiza multiplicando su consumo promedio de minutos </w:t>
      </w:r>
      <w:r w:rsidR="006F6E5E">
        <w:t xml:space="preserve">por el </w:t>
      </w:r>
      <w:r w:rsidR="00A40D62">
        <w:t>valor implícito</w:t>
      </w:r>
      <w:r>
        <w:t xml:space="preserve"> unitario estimado de servicios por minuto</w:t>
      </w:r>
      <w:r w:rsidR="00B7205A">
        <w:t xml:space="preserve">, los cuales </w:t>
      </w:r>
      <w:r>
        <w:t>fueron estimadas a partir de lo siguiente:</w:t>
      </w:r>
    </w:p>
    <w:tbl>
      <w:tblPr>
        <w:tblStyle w:val="Tablaconcuadrcula"/>
        <w:tblW w:w="4602" w:type="pct"/>
        <w:tblInd w:w="704" w:type="dxa"/>
        <w:tblLook w:val="04A0" w:firstRow="1" w:lastRow="0" w:firstColumn="1" w:lastColumn="0" w:noHBand="0" w:noVBand="1"/>
        <w:tblCaption w:val="Tabla"/>
        <w:tblDescription w:val="consumo promedio de minutos "/>
      </w:tblPr>
      <w:tblGrid>
        <w:gridCol w:w="2834"/>
        <w:gridCol w:w="5812"/>
      </w:tblGrid>
      <w:tr w:rsidR="00302FA6" w:rsidRPr="00C2747D" w14:paraId="45ACA276" w14:textId="77777777" w:rsidTr="005276C3">
        <w:trPr>
          <w:trHeight w:val="166"/>
          <w:tblHeader/>
        </w:trPr>
        <w:tc>
          <w:tcPr>
            <w:tcW w:w="1639" w:type="pct"/>
            <w:shd w:val="clear" w:color="auto" w:fill="E7E6E6" w:themeFill="background2"/>
          </w:tcPr>
          <w:p w14:paraId="1598E400" w14:textId="77777777" w:rsidR="00302FA6" w:rsidRPr="008D60BB" w:rsidRDefault="00302FA6" w:rsidP="004F36F7">
            <w:pPr>
              <w:pStyle w:val="TxtListado"/>
              <w:spacing w:before="240"/>
              <w:jc w:val="center"/>
              <w:rPr>
                <w:b/>
                <w:sz w:val="16"/>
              </w:rPr>
            </w:pPr>
            <w:r w:rsidRPr="00673C74">
              <w:rPr>
                <w:b/>
                <w:sz w:val="16"/>
              </w:rPr>
              <w:t>Costo por minuto asociado a</w:t>
            </w:r>
            <w:r>
              <w:rPr>
                <w:b/>
                <w:sz w:val="16"/>
              </w:rPr>
              <w:t>:</w:t>
            </w:r>
          </w:p>
        </w:tc>
        <w:tc>
          <w:tcPr>
            <w:tcW w:w="3361" w:type="pct"/>
            <w:shd w:val="clear" w:color="auto" w:fill="E7E6E6" w:themeFill="background2"/>
          </w:tcPr>
          <w:p w14:paraId="256F9B7C" w14:textId="77777777" w:rsidR="00302FA6" w:rsidRPr="008D60BB" w:rsidRDefault="00302FA6" w:rsidP="004F36F7">
            <w:pPr>
              <w:pStyle w:val="TxtListado"/>
              <w:spacing w:before="240"/>
              <w:jc w:val="center"/>
              <w:rPr>
                <w:b/>
                <w:sz w:val="16"/>
              </w:rPr>
            </w:pPr>
            <w:r>
              <w:rPr>
                <w:b/>
                <w:sz w:val="16"/>
              </w:rPr>
              <w:t>Descripción del procedimiento</w:t>
            </w:r>
          </w:p>
        </w:tc>
      </w:tr>
      <w:tr w:rsidR="00302FA6" w:rsidRPr="00C2747D" w14:paraId="6AD0CC66" w14:textId="77777777" w:rsidTr="008B2557">
        <w:trPr>
          <w:trHeight w:val="767"/>
        </w:trPr>
        <w:tc>
          <w:tcPr>
            <w:tcW w:w="1639" w:type="pct"/>
          </w:tcPr>
          <w:p w14:paraId="0AE16E79" w14:textId="77777777" w:rsidR="00302FA6" w:rsidRPr="00A72364" w:rsidRDefault="00302FA6" w:rsidP="004F36F7">
            <w:pPr>
              <w:spacing w:before="240"/>
              <w:jc w:val="center"/>
              <w:rPr>
                <w:rStyle w:val="IFTnormalCar"/>
                <w:sz w:val="16"/>
              </w:rPr>
            </w:pPr>
            <w:r>
              <w:rPr>
                <w:rStyle w:val="IFTnormalCar"/>
                <w:sz w:val="16"/>
              </w:rPr>
              <w:t>L</w:t>
            </w:r>
            <w:r w:rsidRPr="00673C74">
              <w:rPr>
                <w:rStyle w:val="IFTnormalCar"/>
                <w:sz w:val="16"/>
              </w:rPr>
              <w:t>lamadas locales</w:t>
            </w:r>
          </w:p>
        </w:tc>
        <w:tc>
          <w:tcPr>
            <w:tcW w:w="3361" w:type="pct"/>
            <w:shd w:val="clear" w:color="auto" w:fill="auto"/>
          </w:tcPr>
          <w:p w14:paraId="2607C5F1" w14:textId="77777777" w:rsidR="004F36F7" w:rsidRDefault="00302FA6" w:rsidP="004F36F7">
            <w:pPr>
              <w:pStyle w:val="Prrafodelista"/>
              <w:numPr>
                <w:ilvl w:val="0"/>
                <w:numId w:val="16"/>
              </w:numPr>
              <w:spacing w:before="240"/>
              <w:ind w:left="314" w:hanging="283"/>
              <w:jc w:val="both"/>
              <w:rPr>
                <w:rStyle w:val="IFTnormalCar"/>
                <w:rFonts w:eastAsia="MS Mincho"/>
                <w:sz w:val="16"/>
              </w:rPr>
            </w:pPr>
            <w:r>
              <w:rPr>
                <w:rStyle w:val="IFTnormalCar"/>
                <w:sz w:val="16"/>
              </w:rPr>
              <w:t>Análisis de los planes y paquetes del AEP a partir de los cuales un cliente minorista puede acceder únicamente a llamadas locales. Una vez identificados los planes y paquetes con tales características, se realiza el cociente entre la renta mensual de dichos servicios y el número de llamadas locales que se incluyen en dicha renta mensual.</w:t>
            </w:r>
          </w:p>
          <w:p w14:paraId="7EADC0F7" w14:textId="653E6724" w:rsidR="00302FA6" w:rsidRPr="00673C74" w:rsidRDefault="005110A0" w:rsidP="004F36F7">
            <w:pPr>
              <w:pStyle w:val="Prrafodelista"/>
              <w:numPr>
                <w:ilvl w:val="0"/>
                <w:numId w:val="16"/>
              </w:numPr>
              <w:spacing w:before="240"/>
              <w:ind w:left="314" w:hanging="283"/>
              <w:jc w:val="both"/>
              <w:rPr>
                <w:rStyle w:val="IFTnormalCar"/>
                <w:rFonts w:eastAsia="MS Mincho"/>
                <w:sz w:val="16"/>
              </w:rPr>
            </w:pPr>
            <w:r>
              <w:rPr>
                <w:rStyle w:val="IFTnormalCar"/>
                <w:sz w:val="16"/>
              </w:rPr>
              <w:t>E</w:t>
            </w:r>
            <w:r w:rsidR="00302FA6">
              <w:rPr>
                <w:rStyle w:val="IFTnormalCar"/>
                <w:sz w:val="16"/>
              </w:rPr>
              <w:t>stimación del c</w:t>
            </w:r>
            <w:r w:rsidR="00302FA6" w:rsidRPr="00673C74">
              <w:rPr>
                <w:rStyle w:val="IFTnormalCar"/>
                <w:sz w:val="16"/>
              </w:rPr>
              <w:t xml:space="preserve">osto por minuto </w:t>
            </w:r>
            <w:r w:rsidR="00302FA6">
              <w:rPr>
                <w:rStyle w:val="IFTnormalCar"/>
                <w:sz w:val="16"/>
              </w:rPr>
              <w:t>del servicio</w:t>
            </w:r>
            <w:r>
              <w:rPr>
                <w:rStyle w:val="IFTnormalCar"/>
                <w:sz w:val="16"/>
              </w:rPr>
              <w:t>:</w:t>
            </w:r>
            <w:r w:rsidR="00302FA6">
              <w:rPr>
                <w:rStyle w:val="IFTnormalCar"/>
                <w:sz w:val="16"/>
              </w:rPr>
              <w:t xml:space="preserve"> se calcula </w:t>
            </w:r>
            <w:r w:rsidR="00C26123">
              <w:rPr>
                <w:rStyle w:val="IFTnormalCar"/>
                <w:sz w:val="16"/>
              </w:rPr>
              <w:t xml:space="preserve">una aproximación al </w:t>
            </w:r>
            <w:r w:rsidR="006F6E5E">
              <w:rPr>
                <w:rStyle w:val="IFTnormalCar"/>
                <w:sz w:val="16"/>
              </w:rPr>
              <w:t xml:space="preserve">valor </w:t>
            </w:r>
            <w:r w:rsidR="00C26123">
              <w:rPr>
                <w:rStyle w:val="IFTnormalCar"/>
                <w:sz w:val="16"/>
              </w:rPr>
              <w:t>por minuto usando como referencia el menor precio minorista por minuto reportado y un factor de ajuste calculado como el promedio ponderado de los hábitos de consumo</w:t>
            </w:r>
            <w:r w:rsidR="00397E85">
              <w:rPr>
                <w:rStyle w:val="IFTnormalCar"/>
                <w:sz w:val="16"/>
              </w:rPr>
              <w:t xml:space="preserve"> de todos paquetes.</w:t>
            </w:r>
            <w:r w:rsidR="00C26123">
              <w:rPr>
                <w:rStyle w:val="IFTnormalCar"/>
                <w:sz w:val="16"/>
              </w:rPr>
              <w:t xml:space="preserve"> </w:t>
            </w:r>
          </w:p>
        </w:tc>
      </w:tr>
      <w:tr w:rsidR="00302FA6" w:rsidRPr="00C2747D" w14:paraId="0C3EE869" w14:textId="77777777" w:rsidTr="008B2557">
        <w:trPr>
          <w:trHeight w:val="249"/>
        </w:trPr>
        <w:tc>
          <w:tcPr>
            <w:tcW w:w="1639" w:type="pct"/>
          </w:tcPr>
          <w:p w14:paraId="673E4AE1" w14:textId="77777777" w:rsidR="00302FA6" w:rsidRPr="00A72364" w:rsidRDefault="00302FA6" w:rsidP="004F36F7">
            <w:pPr>
              <w:spacing w:before="240"/>
              <w:jc w:val="both"/>
              <w:rPr>
                <w:rStyle w:val="IFTnormalCar"/>
                <w:sz w:val="16"/>
              </w:rPr>
            </w:pPr>
            <w:r w:rsidRPr="00673C74">
              <w:rPr>
                <w:rStyle w:val="IFTnormalCar"/>
                <w:sz w:val="16"/>
              </w:rPr>
              <w:t>“Minutos de Larga Distancia Internacional (EEUU y Canadá)”, “Minutos de Larga Distancia Mundial” y “Minutos a celular (Números 044 y 045, en modalidad "El Que Llama Paga")”</w:t>
            </w:r>
          </w:p>
        </w:tc>
        <w:tc>
          <w:tcPr>
            <w:tcW w:w="3361" w:type="pct"/>
            <w:shd w:val="clear" w:color="auto" w:fill="auto"/>
          </w:tcPr>
          <w:p w14:paraId="5BCB943F" w14:textId="77777777" w:rsidR="00302FA6" w:rsidRDefault="00302FA6" w:rsidP="004F36F7">
            <w:pPr>
              <w:pStyle w:val="Prrafodelista"/>
              <w:spacing w:before="240"/>
              <w:ind w:left="314"/>
              <w:jc w:val="both"/>
              <w:rPr>
                <w:rStyle w:val="IFTnormalCar"/>
                <w:sz w:val="16"/>
              </w:rPr>
            </w:pPr>
          </w:p>
          <w:p w14:paraId="2C030E0E" w14:textId="77777777" w:rsidR="00302FA6" w:rsidRPr="00A72364" w:rsidRDefault="006F6E5E" w:rsidP="004F36F7">
            <w:pPr>
              <w:pStyle w:val="Prrafodelista"/>
              <w:numPr>
                <w:ilvl w:val="0"/>
                <w:numId w:val="16"/>
              </w:numPr>
              <w:spacing w:before="240"/>
              <w:ind w:left="314" w:hanging="283"/>
              <w:jc w:val="both"/>
              <w:rPr>
                <w:rStyle w:val="IFTnormalCar"/>
                <w:rFonts w:eastAsia="MS Mincho"/>
                <w:sz w:val="16"/>
              </w:rPr>
            </w:pPr>
            <w:r>
              <w:rPr>
                <w:rStyle w:val="IFTnormalCar"/>
                <w:sz w:val="16"/>
              </w:rPr>
              <w:t>E</w:t>
            </w:r>
            <w:r w:rsidR="00302FA6" w:rsidRPr="00673C74">
              <w:rPr>
                <w:rStyle w:val="IFTnormalCar"/>
                <w:sz w:val="16"/>
              </w:rPr>
              <w:t>stimado</w:t>
            </w:r>
            <w:r w:rsidR="00302FA6">
              <w:rPr>
                <w:rStyle w:val="IFTnormalCar"/>
                <w:sz w:val="16"/>
              </w:rPr>
              <w:t xml:space="preserve"> como el cociente entre el </w:t>
            </w:r>
            <w:r w:rsidR="00BE3AB6">
              <w:rPr>
                <w:rStyle w:val="IFTnormalCar"/>
                <w:sz w:val="16"/>
              </w:rPr>
              <w:t xml:space="preserve">valor </w:t>
            </w:r>
            <w:r w:rsidR="005110A0">
              <w:rPr>
                <w:rStyle w:val="IFTnormalCar"/>
                <w:sz w:val="16"/>
              </w:rPr>
              <w:t>reportado</w:t>
            </w:r>
            <w:r w:rsidR="00302FA6">
              <w:rPr>
                <w:rStyle w:val="IFTnormalCar"/>
                <w:sz w:val="16"/>
              </w:rPr>
              <w:t xml:space="preserve"> por el AEP para dichos servicios, correspondiente al periodo de 2016 y el consumo promedio reportado para estos</w:t>
            </w:r>
            <w:r w:rsidR="00302FA6">
              <w:rPr>
                <w:rStyle w:val="Refdenotaalpie"/>
                <w:rFonts w:ascii="ITC Avant Garde" w:hAnsi="ITC Avant Garde" w:cs="Arial"/>
                <w:color w:val="000000"/>
                <w:sz w:val="16"/>
                <w:lang w:val="es-ES_tradnl"/>
              </w:rPr>
              <w:footnoteReference w:id="17"/>
            </w:r>
            <w:r w:rsidR="00302FA6" w:rsidRPr="00673C74">
              <w:rPr>
                <w:rStyle w:val="IFTnormalCar"/>
                <w:sz w:val="16"/>
              </w:rPr>
              <w:t>.</w:t>
            </w:r>
          </w:p>
        </w:tc>
      </w:tr>
    </w:tbl>
    <w:p w14:paraId="6466B5E5" w14:textId="77777777" w:rsidR="00302FA6" w:rsidRDefault="00302FA6" w:rsidP="004F36F7">
      <w:pPr>
        <w:pStyle w:val="IFTnormal"/>
        <w:spacing w:before="240"/>
        <w:ind w:left="720"/>
      </w:pPr>
    </w:p>
    <w:p w14:paraId="535D0368" w14:textId="77777777" w:rsidR="00302FA6" w:rsidRDefault="00302FA6" w:rsidP="004F36F7">
      <w:pPr>
        <w:pStyle w:val="IFTnormal"/>
        <w:spacing w:before="240"/>
        <w:ind w:left="720"/>
      </w:pPr>
      <w:r w:rsidRPr="00AE5D46">
        <w:t xml:space="preserve">En complemento, para la estimación </w:t>
      </w:r>
      <w:r w:rsidR="005110A0">
        <w:t>del valor de</w:t>
      </w:r>
      <w:r w:rsidRPr="00AE5D46">
        <w:t xml:space="preserve"> los “</w:t>
      </w:r>
      <w:r w:rsidRPr="003B2E95">
        <w:rPr>
          <w:i/>
        </w:rPr>
        <w:t>Servicios Digitales</w:t>
      </w:r>
      <w:r>
        <w:t xml:space="preserve">”, </w:t>
      </w:r>
      <w:r w:rsidR="005110A0">
        <w:t xml:space="preserve">el dato reportado por el AEP </w:t>
      </w:r>
      <w:r>
        <w:t>asociado a la contratación del número de servicios digitales que se encuentra</w:t>
      </w:r>
      <w:r w:rsidR="00A40D62">
        <w:t>n en</w:t>
      </w:r>
      <w:r>
        <w:t xml:space="preserve"> cada plan o paquete, </w:t>
      </w:r>
      <w:r w:rsidR="005110A0">
        <w:t xml:space="preserve">se distribuyó </w:t>
      </w:r>
      <w:r w:rsidRPr="00AE5D46">
        <w:t>considerando la recuperación mensual de la suscripción de dicho servicio y la cantidad de servicios digitales incluidos en la renta de</w:t>
      </w:r>
      <w:r>
        <w:t>l plan/paquete de ser el caso, así como</w:t>
      </w:r>
      <w:r w:rsidRPr="00AE5D46">
        <w:t xml:space="preserve"> el número promedio de años en que se retiene al cliente con línea telefónica</w:t>
      </w:r>
      <w:r>
        <w:t>.</w:t>
      </w:r>
    </w:p>
    <w:p w14:paraId="3258983B" w14:textId="77777777" w:rsidR="00302FA6" w:rsidRPr="001B491A" w:rsidRDefault="00302FA6" w:rsidP="004F36F7">
      <w:pPr>
        <w:pStyle w:val="IFTnormal"/>
        <w:numPr>
          <w:ilvl w:val="0"/>
          <w:numId w:val="16"/>
        </w:numPr>
        <w:spacing w:before="240"/>
      </w:pPr>
      <w:r w:rsidRPr="001B491A">
        <w:rPr>
          <w:b/>
        </w:rPr>
        <w:t xml:space="preserve">Precio implícito del acceso a la línea telefónica a través del SRMLT por plan y/o paquete: </w:t>
      </w:r>
      <w:r w:rsidRPr="001B491A">
        <w:t>para la estimación de esta cantidad, a la renta de la línea telefónica que caracteriza a cada plan y paquete del AEP se le deduce</w:t>
      </w:r>
      <w:r w:rsidR="005110A0">
        <w:t xml:space="preserve"> los valores</w:t>
      </w:r>
      <w:r w:rsidR="00A40D62">
        <w:t xml:space="preserve"> </w:t>
      </w:r>
      <w:r w:rsidRPr="001B491A">
        <w:t>estimado</w:t>
      </w:r>
      <w:r w:rsidR="005110A0">
        <w:t>s</w:t>
      </w:r>
      <w:r w:rsidRPr="001B491A">
        <w:t xml:space="preserve"> en el paso anterior para servicios de voz y “</w:t>
      </w:r>
      <w:r w:rsidRPr="003B2E95">
        <w:rPr>
          <w:i/>
        </w:rPr>
        <w:t>Servicios Digitales</w:t>
      </w:r>
      <w:r w:rsidRPr="001B491A">
        <w:t>”.</w:t>
      </w:r>
    </w:p>
    <w:p w14:paraId="0BD4D50C" w14:textId="77777777" w:rsidR="00302FA6" w:rsidRPr="006C558C" w:rsidRDefault="00302FA6" w:rsidP="004F36F7">
      <w:pPr>
        <w:pStyle w:val="IFTnormal"/>
        <w:numPr>
          <w:ilvl w:val="0"/>
          <w:numId w:val="16"/>
        </w:numPr>
        <w:spacing w:before="240"/>
      </w:pPr>
      <w:r w:rsidRPr="006C558C">
        <w:rPr>
          <w:b/>
        </w:rPr>
        <w:lastRenderedPageBreak/>
        <w:t xml:space="preserve">Precio del acceso a la línea telefónica a través del SRMLT por plan y/o paquete: </w:t>
      </w:r>
      <w:r w:rsidRPr="006C558C">
        <w:t xml:space="preserve">Empleando el precio implícito del acceso a la línea telefónica a través del SRMLT descritos en el punto anterior, se calcula el promedio ponderado </w:t>
      </w:r>
      <w:r w:rsidR="005110A0">
        <w:t xml:space="preserve">de </w:t>
      </w:r>
      <w:r w:rsidRPr="006C558C">
        <w:t>estos a partir de la distribución de usuarios del AEP sobre para cada plan y/o paquete a través del cual se proveen servicios de telefonía fija.</w:t>
      </w:r>
    </w:p>
    <w:p w14:paraId="7EFDD704" w14:textId="77777777" w:rsidR="00302FA6" w:rsidRDefault="00852283" w:rsidP="004F36F7">
      <w:pPr>
        <w:pStyle w:val="IFTnormal"/>
        <w:spacing w:before="240"/>
        <w:ind w:left="720"/>
      </w:pPr>
      <w:r>
        <w:t>En dicho proceso se estiman simultáneamente el precio de referencia</w:t>
      </w:r>
      <w:r w:rsidR="00302FA6">
        <w:t xml:space="preserve"> para el </w:t>
      </w:r>
      <w:r w:rsidR="00302FA6" w:rsidRPr="006C558C">
        <w:t>acceso a la línea telefónica a través del SRMLT</w:t>
      </w:r>
      <w:r>
        <w:t xml:space="preserve"> en líneas de uso residencial y en líneas de uso comercial</w:t>
      </w:r>
      <w:r w:rsidR="00302FA6">
        <w:t>.</w:t>
      </w:r>
    </w:p>
    <w:p w14:paraId="6B2EB45A" w14:textId="77777777" w:rsidR="00302FA6" w:rsidRPr="006C558C" w:rsidRDefault="00302FA6" w:rsidP="004F36F7">
      <w:pPr>
        <w:pStyle w:val="IFTnormal"/>
        <w:spacing w:before="240"/>
      </w:pPr>
      <w:r w:rsidRPr="00A76DAE">
        <w:rPr>
          <w:b/>
        </w:rPr>
        <w:t>Etapa I</w:t>
      </w:r>
      <w:r>
        <w:rPr>
          <w:b/>
        </w:rPr>
        <w:t>I: Descuento de los costos evitados</w:t>
      </w:r>
    </w:p>
    <w:p w14:paraId="79C9E34B" w14:textId="77777777" w:rsidR="00302FA6" w:rsidRPr="00551D1B" w:rsidRDefault="00302FA6" w:rsidP="004F36F7">
      <w:pPr>
        <w:pStyle w:val="IFTnormal"/>
        <w:numPr>
          <w:ilvl w:val="0"/>
          <w:numId w:val="16"/>
        </w:numPr>
        <w:spacing w:before="240"/>
        <w:rPr>
          <w:b/>
        </w:rPr>
      </w:pPr>
      <w:r w:rsidRPr="00551D1B">
        <w:rPr>
          <w:b/>
        </w:rPr>
        <w:t>Estimación del precio de la renta mensual del SR</w:t>
      </w:r>
      <w:r w:rsidR="001F7CF8">
        <w:rPr>
          <w:b/>
        </w:rPr>
        <w:t>M</w:t>
      </w:r>
      <w:r w:rsidRPr="00551D1B">
        <w:rPr>
          <w:b/>
        </w:rPr>
        <w:t>LT (por usuario):</w:t>
      </w:r>
      <w:r>
        <w:rPr>
          <w:b/>
        </w:rPr>
        <w:t xml:space="preserve"> </w:t>
      </w:r>
      <w:r w:rsidRPr="00D27533">
        <w:t xml:space="preserve">la renta mensual del </w:t>
      </w:r>
      <w:r w:rsidR="001F7CF8">
        <w:t>S</w:t>
      </w:r>
      <w:r w:rsidRPr="00D27533">
        <w:t>R</w:t>
      </w:r>
      <w:r w:rsidR="00E74B01">
        <w:t>M</w:t>
      </w:r>
      <w:r w:rsidRPr="00D27533">
        <w:t>LT (por usuario)</w:t>
      </w:r>
      <w:r>
        <w:t xml:space="preserve"> se estima considerando el precio promedio ponderado del acceso a la línea telefónica a través del SRMLT</w:t>
      </w:r>
      <w:r w:rsidR="00852283">
        <w:t>, relativo tanto a líneas de uso residencial y comercial,</w:t>
      </w:r>
      <w:r>
        <w:t xml:space="preserve"> al cual se le descuenta el nivel de costos evitado estimado por el Modelo de Costos Evitados. En concreto lo anterior se realiza a través de la siguiente ecuación:</w:t>
      </w:r>
    </w:p>
    <w:p w14:paraId="5121A52A" w14:textId="77777777" w:rsidR="00302FA6" w:rsidRPr="00551D1B" w:rsidRDefault="00302FA6" w:rsidP="004F36F7">
      <w:pPr>
        <w:pStyle w:val="IFTnormal"/>
        <w:spacing w:before="240"/>
        <w:ind w:left="720"/>
        <w:rPr>
          <w:sz w:val="18"/>
          <w:szCs w:val="18"/>
        </w:rPr>
      </w:pPr>
      <m:oMathPara>
        <m:oMath>
          <m:r>
            <m:rPr>
              <m:nor/>
            </m:rPr>
            <w:rPr>
              <w:b/>
              <w:sz w:val="18"/>
              <w:szCs w:val="18"/>
            </w:rPr>
            <m:t>Tarifa mensual del servicio</m:t>
          </m:r>
          <m:r>
            <w:rPr>
              <w:rFonts w:ascii="Cambria Math" w:hAnsi="Cambria Math"/>
              <w:sz w:val="18"/>
              <w:szCs w:val="18"/>
            </w:rPr>
            <m:t xml:space="preserve">= </m:t>
          </m:r>
          <m:r>
            <m:rPr>
              <m:nor/>
            </m:rPr>
            <w:rPr>
              <w:sz w:val="18"/>
              <w:szCs w:val="18"/>
            </w:rPr>
            <m:t>Precio promedio ponderado del acceso a la línea telefónica a través del SRMLT</m:t>
          </m:r>
          <m:r>
            <m:rPr>
              <m:nor/>
            </m:rPr>
            <w:rPr>
              <w:rFonts w:ascii="Cambria Math" w:hAnsi="Cambria Math"/>
              <w:i/>
              <w:sz w:val="18"/>
              <w:szCs w:val="18"/>
            </w:rPr>
            <m:t xml:space="preserve"> </m:t>
          </m:r>
          <m:r>
            <w:rPr>
              <w:rFonts w:ascii="Cambria Math" w:hAnsi="Cambria Math"/>
              <w:sz w:val="18"/>
              <w:szCs w:val="18"/>
            </w:rPr>
            <m:t xml:space="preserve"> ×</m:t>
          </m:r>
        </m:oMath>
      </m:oMathPara>
    </w:p>
    <w:p w14:paraId="12CA0BE9" w14:textId="77777777" w:rsidR="00302FA6" w:rsidRPr="005908D1" w:rsidRDefault="00302FA6" w:rsidP="004F36F7">
      <w:pPr>
        <w:pStyle w:val="IFTnormal"/>
        <w:spacing w:before="240"/>
        <w:ind w:left="720"/>
      </w:pPr>
      <m:oMathPara>
        <m:oMath>
          <m:r>
            <w:rPr>
              <w:rFonts w:ascii="Cambria Math" w:hAnsi="Cambria Math"/>
              <w:sz w:val="18"/>
            </w:rPr>
            <m:t xml:space="preserve">[ </m:t>
          </m:r>
          <m:r>
            <m:rPr>
              <m:nor/>
            </m:rPr>
            <w:rPr>
              <w:sz w:val="18"/>
            </w:rPr>
            <m:t>1</m:t>
          </m:r>
          <m:r>
            <m:rPr>
              <m:sty m:val="p"/>
            </m:rPr>
            <w:rPr>
              <w:rFonts w:ascii="Cambria Math" w:hAnsi="Cambria Math"/>
              <w:sz w:val="18"/>
            </w:rPr>
            <m:t xml:space="preserve">- </m:t>
          </m:r>
          <m:r>
            <m:rPr>
              <m:nor/>
            </m:rPr>
            <w:rPr>
              <w:sz w:val="18"/>
            </w:rPr>
            <m:t>costo evitado (26.3676%</m:t>
          </m:r>
          <m:r>
            <m:rPr>
              <m:nor/>
            </m:rPr>
            <w:rPr>
              <w:rFonts w:ascii="Cambria Math"/>
              <w:sz w:val="18"/>
            </w:rPr>
            <m:t>)]</m:t>
          </m:r>
        </m:oMath>
      </m:oMathPara>
    </w:p>
    <w:p w14:paraId="6C37A057" w14:textId="77777777" w:rsidR="00302FA6" w:rsidRDefault="00302FA6" w:rsidP="004F36F7">
      <w:pPr>
        <w:pStyle w:val="IFTnormal"/>
        <w:spacing w:before="240"/>
        <w:jc w:val="center"/>
        <w:rPr>
          <w:b/>
        </w:rPr>
      </w:pPr>
      <w:r>
        <w:rPr>
          <w:noProof/>
          <w:lang w:eastAsia="es-MX"/>
        </w:rPr>
        <w:drawing>
          <wp:inline distT="0" distB="0" distL="0" distR="0" wp14:anchorId="107A4AA8" wp14:editId="1C2405A3">
            <wp:extent cx="5971540" cy="3472180"/>
            <wp:effectExtent l="0" t="0" r="0" b="0"/>
            <wp:docPr id="9" name="Imagen 9" descr="Figura 4 Esquema del ajuste al Modelo de Costos Evitados para determinar los niveles tarifarios por el Servicio de Reventa Mayorista de Línea Telefónic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1540" cy="3472180"/>
                    </a:xfrm>
                    <a:prstGeom prst="rect">
                      <a:avLst/>
                    </a:prstGeom>
                  </pic:spPr>
                </pic:pic>
              </a:graphicData>
            </a:graphic>
          </wp:inline>
        </w:drawing>
      </w:r>
    </w:p>
    <w:p w14:paraId="2D0F1A60" w14:textId="77777777" w:rsidR="00302FA6" w:rsidRPr="00302FA6" w:rsidRDefault="00302FA6" w:rsidP="004F36F7">
      <w:pPr>
        <w:pStyle w:val="Descripcin"/>
        <w:suppressAutoHyphens/>
        <w:spacing w:before="240" w:after="200"/>
        <w:contextualSpacing/>
        <w:jc w:val="center"/>
        <w:rPr>
          <w:rFonts w:ascii="ITC Avant Garde" w:eastAsia="Times New Roman" w:hAnsi="ITC Avant Garde"/>
          <w:bCs w:val="0"/>
          <w:i w:val="0"/>
          <w:iCs/>
          <w:lang w:val="es-MX"/>
        </w:rPr>
      </w:pPr>
      <w:r w:rsidRPr="00302FA6">
        <w:rPr>
          <w:rFonts w:ascii="ITC Avant Garde" w:eastAsia="Times New Roman" w:hAnsi="ITC Avant Garde"/>
          <w:b/>
          <w:bCs w:val="0"/>
          <w:i w:val="0"/>
          <w:iCs/>
          <w:lang w:val="es-MX"/>
        </w:rPr>
        <w:lastRenderedPageBreak/>
        <w:t xml:space="preserve">Figura </w:t>
      </w:r>
      <w:r w:rsidR="00BB2D4D">
        <w:rPr>
          <w:rFonts w:ascii="ITC Avant Garde" w:eastAsia="Times New Roman" w:hAnsi="ITC Avant Garde"/>
          <w:b/>
          <w:bCs w:val="0"/>
          <w:i w:val="0"/>
          <w:iCs/>
          <w:lang w:val="es-MX"/>
        </w:rPr>
        <w:t>4</w:t>
      </w:r>
      <w:r w:rsidR="00BB2D4D" w:rsidRPr="00302FA6">
        <w:rPr>
          <w:rFonts w:ascii="ITC Avant Garde" w:eastAsia="Times New Roman" w:hAnsi="ITC Avant Garde"/>
          <w:bCs w:val="0"/>
          <w:i w:val="0"/>
          <w:iCs/>
          <w:lang w:val="es-MX"/>
        </w:rPr>
        <w:t xml:space="preserve"> </w:t>
      </w:r>
      <w:r w:rsidRPr="00302FA6">
        <w:rPr>
          <w:rFonts w:ascii="ITC Avant Garde" w:eastAsia="Times New Roman" w:hAnsi="ITC Avant Garde"/>
          <w:bCs w:val="0"/>
          <w:i w:val="0"/>
          <w:iCs/>
          <w:lang w:val="es-MX"/>
        </w:rPr>
        <w:t xml:space="preserve">Esquema del ajuste al Modelo de Costos Evitados para determinar los niveles tarifarios por el Servicio de Reventa </w:t>
      </w:r>
      <w:r w:rsidR="009930BD" w:rsidRPr="00302FA6">
        <w:rPr>
          <w:rFonts w:ascii="ITC Avant Garde" w:eastAsia="Times New Roman" w:hAnsi="ITC Avant Garde"/>
          <w:bCs w:val="0"/>
          <w:i w:val="0"/>
          <w:iCs/>
          <w:lang w:val="es-MX"/>
        </w:rPr>
        <w:t xml:space="preserve">Mayorista </w:t>
      </w:r>
      <w:r w:rsidRPr="00302FA6">
        <w:rPr>
          <w:rFonts w:ascii="ITC Avant Garde" w:eastAsia="Times New Roman" w:hAnsi="ITC Avant Garde"/>
          <w:bCs w:val="0"/>
          <w:i w:val="0"/>
          <w:iCs/>
          <w:lang w:val="es-MX"/>
        </w:rPr>
        <w:t>de Línea Telefónica (</w:t>
      </w:r>
      <w:r w:rsidRPr="00302FA6">
        <w:rPr>
          <w:rFonts w:ascii="ITC Avant Garde" w:eastAsia="Times New Roman" w:hAnsi="ITC Avant Garde"/>
          <w:b/>
          <w:bCs w:val="0"/>
          <w:i w:val="0"/>
          <w:iCs/>
          <w:lang w:val="es-MX"/>
        </w:rPr>
        <w:t>Fuente:</w:t>
      </w:r>
      <w:r w:rsidRPr="00302FA6">
        <w:rPr>
          <w:rFonts w:ascii="ITC Avant Garde" w:eastAsia="Times New Roman" w:hAnsi="ITC Avant Garde"/>
          <w:bCs w:val="0"/>
          <w:i w:val="0"/>
          <w:iCs/>
          <w:lang w:val="es-MX"/>
        </w:rPr>
        <w:t xml:space="preserve"> IFT, 2018)</w:t>
      </w:r>
    </w:p>
    <w:p w14:paraId="37739697" w14:textId="77777777" w:rsidR="00011431" w:rsidRPr="00C1472F" w:rsidRDefault="00011431" w:rsidP="004F36F7">
      <w:pPr>
        <w:pStyle w:val="IFTnormal"/>
        <w:spacing w:before="240"/>
      </w:pPr>
      <w:r>
        <w:t>Es así que, d</w:t>
      </w:r>
      <w:r w:rsidRPr="00C1472F">
        <w:t xml:space="preserve">e conformidad con el alcance de los servicios </w:t>
      </w:r>
      <w:r>
        <w:t xml:space="preserve">de desagregación </w:t>
      </w:r>
      <w:r w:rsidRPr="00C1472F">
        <w:t xml:space="preserve">establecido en la Medida </w:t>
      </w:r>
      <w:r>
        <w:t>TERCERA de las Medidas de Desagregación</w:t>
      </w:r>
      <w:r w:rsidRPr="00C1472F">
        <w:t xml:space="preserve">, </w:t>
      </w:r>
      <w:r>
        <w:t xml:space="preserve">así como </w:t>
      </w:r>
      <w:r w:rsidR="001E6255">
        <w:t xml:space="preserve">por </w:t>
      </w:r>
      <w:r>
        <w:t>lo expuesto en el Considerando Cuarto de la presente</w:t>
      </w:r>
      <w:r w:rsidRPr="00C1472F">
        <w:rPr>
          <w:rStyle w:val="IFTnormalCar"/>
        </w:rPr>
        <w:t xml:space="preserve"> Resolución</w:t>
      </w:r>
      <w:r>
        <w:t xml:space="preserve">, empleando el Modelo </w:t>
      </w:r>
      <w:r w:rsidRPr="006F3F6C">
        <w:t xml:space="preserve">de Costos Evitados </w:t>
      </w:r>
      <w:r>
        <w:t>se realiza la estimación de los siguientes niveles tarifarios</w:t>
      </w:r>
      <w:r w:rsidRPr="006F3F6C">
        <w:t>:</w:t>
      </w:r>
    </w:p>
    <w:p w14:paraId="6864DDCB" w14:textId="77777777" w:rsidR="00011431" w:rsidRPr="00C1472F" w:rsidRDefault="00011431" w:rsidP="004F36F7">
      <w:pPr>
        <w:pStyle w:val="IFTnormal"/>
        <w:spacing w:before="240"/>
        <w:rPr>
          <w:b/>
        </w:rPr>
      </w:pPr>
      <w:r w:rsidRPr="00C1472F">
        <w:rPr>
          <w:b/>
        </w:rPr>
        <w:t xml:space="preserve">Servicios de </w:t>
      </w:r>
      <w:r>
        <w:rPr>
          <w:b/>
        </w:rPr>
        <w:t>Desagregación</w:t>
      </w:r>
      <w:r w:rsidRPr="00C1472F">
        <w:rPr>
          <w:b/>
        </w:rPr>
        <w:t xml:space="preserve"> asociados a la Oferta de Referencia</w:t>
      </w:r>
    </w:p>
    <w:p w14:paraId="009DA4C5" w14:textId="77777777" w:rsidR="00011431" w:rsidRPr="00C1472F" w:rsidRDefault="00011431" w:rsidP="004F36F7">
      <w:pPr>
        <w:pStyle w:val="Texto"/>
        <w:spacing w:before="240" w:after="200" w:line="276" w:lineRule="auto"/>
        <w:ind w:firstLine="0"/>
        <w:jc w:val="left"/>
        <w:rPr>
          <w:rFonts w:ascii="ITC Avant Garde" w:hAnsi="ITC Avant Garde"/>
          <w:sz w:val="22"/>
          <w:szCs w:val="22"/>
          <w:u w:val="single"/>
        </w:rPr>
      </w:pPr>
      <w:r w:rsidRPr="00C1472F">
        <w:rPr>
          <w:rFonts w:ascii="ITC Avant Garde" w:hAnsi="ITC Avant Garde"/>
          <w:sz w:val="22"/>
          <w:szCs w:val="22"/>
          <w:u w:val="single"/>
        </w:rPr>
        <w:t xml:space="preserve">Servicio de </w:t>
      </w:r>
      <w:r>
        <w:rPr>
          <w:rFonts w:ascii="ITC Avant Garde" w:hAnsi="ITC Avant Garde"/>
          <w:sz w:val="22"/>
          <w:szCs w:val="22"/>
          <w:u w:val="single"/>
        </w:rPr>
        <w:t>Reventa Mayorista de Línea Telefónica</w:t>
      </w:r>
      <w:r w:rsidRPr="00C1472F">
        <w:rPr>
          <w:rFonts w:ascii="ITC Avant Garde" w:hAnsi="ITC Avant Garde"/>
          <w:sz w:val="22"/>
          <w:szCs w:val="22"/>
          <w:u w:val="single"/>
        </w:rPr>
        <w:t>:</w:t>
      </w:r>
    </w:p>
    <w:p w14:paraId="3AC6BBE2" w14:textId="77777777" w:rsidR="00011431" w:rsidRPr="00C1472F" w:rsidRDefault="00011431" w:rsidP="004F36F7">
      <w:pPr>
        <w:pStyle w:val="Texto"/>
        <w:numPr>
          <w:ilvl w:val="0"/>
          <w:numId w:val="12"/>
        </w:numPr>
        <w:spacing w:before="240" w:after="200" w:line="276" w:lineRule="auto"/>
        <w:rPr>
          <w:rFonts w:ascii="ITC Avant Garde" w:hAnsi="ITC Avant Garde"/>
          <w:sz w:val="22"/>
          <w:szCs w:val="22"/>
        </w:rPr>
      </w:pPr>
      <w:r>
        <w:rPr>
          <w:rFonts w:ascii="ITC Avant Garde" w:hAnsi="ITC Avant Garde"/>
          <w:sz w:val="22"/>
          <w:szCs w:val="22"/>
        </w:rPr>
        <w:t>Cobros Recurrentes</w:t>
      </w:r>
      <w:r w:rsidRPr="00C1472F">
        <w:rPr>
          <w:rFonts w:ascii="ITC Avant Garde" w:hAnsi="ITC Avant Garde"/>
          <w:sz w:val="22"/>
          <w:szCs w:val="22"/>
        </w:rPr>
        <w:t xml:space="preserve">: </w:t>
      </w:r>
    </w:p>
    <w:p w14:paraId="7522AE48" w14:textId="77777777" w:rsidR="00011431" w:rsidRDefault="00011431" w:rsidP="004F36F7">
      <w:pPr>
        <w:pStyle w:val="Texto"/>
        <w:numPr>
          <w:ilvl w:val="1"/>
          <w:numId w:val="12"/>
        </w:numPr>
        <w:spacing w:before="240" w:after="200" w:line="276" w:lineRule="auto"/>
        <w:rPr>
          <w:rFonts w:ascii="ITC Avant Garde" w:hAnsi="ITC Avant Garde"/>
          <w:sz w:val="22"/>
          <w:szCs w:val="22"/>
        </w:rPr>
      </w:pPr>
      <w:r>
        <w:rPr>
          <w:rFonts w:ascii="ITC Avant Garde" w:hAnsi="ITC Avant Garde"/>
          <w:sz w:val="22"/>
          <w:szCs w:val="22"/>
        </w:rPr>
        <w:t xml:space="preserve">Renta mensual de línea </w:t>
      </w:r>
      <w:r w:rsidR="00852283">
        <w:rPr>
          <w:rFonts w:ascii="ITC Avant Garde" w:hAnsi="ITC Avant Garde"/>
          <w:sz w:val="22"/>
          <w:szCs w:val="22"/>
        </w:rPr>
        <w:t xml:space="preserve">de uso residencial </w:t>
      </w:r>
      <w:r>
        <w:rPr>
          <w:rFonts w:ascii="ITC Avant Garde" w:hAnsi="ITC Avant Garde"/>
          <w:sz w:val="22"/>
          <w:szCs w:val="22"/>
        </w:rPr>
        <w:t>(p</w:t>
      </w:r>
      <w:r w:rsidRPr="00C1472F">
        <w:rPr>
          <w:rFonts w:ascii="ITC Avant Garde" w:hAnsi="ITC Avant Garde"/>
          <w:sz w:val="22"/>
          <w:szCs w:val="22"/>
        </w:rPr>
        <w:t>or</w:t>
      </w:r>
      <w:r>
        <w:rPr>
          <w:rFonts w:ascii="ITC Avant Garde" w:hAnsi="ITC Avant Garde"/>
          <w:sz w:val="22"/>
          <w:szCs w:val="22"/>
        </w:rPr>
        <w:t xml:space="preserve"> usuario)</w:t>
      </w:r>
      <w:r w:rsidRPr="00C1472F">
        <w:rPr>
          <w:rFonts w:ascii="ITC Avant Garde" w:hAnsi="ITC Avant Garde"/>
          <w:sz w:val="22"/>
          <w:szCs w:val="22"/>
        </w:rPr>
        <w:t>,</w:t>
      </w:r>
    </w:p>
    <w:p w14:paraId="527F287E" w14:textId="77777777" w:rsidR="004F36F7" w:rsidRDefault="00852283" w:rsidP="004F36F7">
      <w:pPr>
        <w:pStyle w:val="Texto"/>
        <w:numPr>
          <w:ilvl w:val="1"/>
          <w:numId w:val="12"/>
        </w:numPr>
        <w:spacing w:before="240" w:after="200" w:line="276" w:lineRule="auto"/>
        <w:rPr>
          <w:rFonts w:ascii="ITC Avant Garde" w:hAnsi="ITC Avant Garde"/>
          <w:sz w:val="22"/>
          <w:szCs w:val="22"/>
        </w:rPr>
      </w:pPr>
      <w:r>
        <w:rPr>
          <w:rFonts w:ascii="ITC Avant Garde" w:hAnsi="ITC Avant Garde"/>
          <w:sz w:val="22"/>
          <w:szCs w:val="22"/>
        </w:rPr>
        <w:t>Renta mensual de línea de uso comercial (p</w:t>
      </w:r>
      <w:r w:rsidRPr="00C1472F">
        <w:rPr>
          <w:rFonts w:ascii="ITC Avant Garde" w:hAnsi="ITC Avant Garde"/>
          <w:sz w:val="22"/>
          <w:szCs w:val="22"/>
        </w:rPr>
        <w:t>or</w:t>
      </w:r>
      <w:r>
        <w:rPr>
          <w:rFonts w:ascii="ITC Avant Garde" w:hAnsi="ITC Avant Garde"/>
          <w:sz w:val="22"/>
          <w:szCs w:val="22"/>
        </w:rPr>
        <w:t xml:space="preserve"> usuario)</w:t>
      </w:r>
      <w:r w:rsidRPr="00C1472F">
        <w:rPr>
          <w:rFonts w:ascii="ITC Avant Garde" w:hAnsi="ITC Avant Garde"/>
          <w:sz w:val="22"/>
          <w:szCs w:val="22"/>
        </w:rPr>
        <w:t>,</w:t>
      </w:r>
    </w:p>
    <w:p w14:paraId="2BCE388F" w14:textId="77777777" w:rsidR="004F36F7" w:rsidRDefault="00934D16" w:rsidP="004F36F7">
      <w:pPr>
        <w:pStyle w:val="IFTnormal"/>
        <w:spacing w:before="240"/>
        <w:rPr>
          <w:i/>
        </w:rPr>
      </w:pPr>
      <w:r w:rsidRPr="00645CA8">
        <w:t xml:space="preserve">Por lo </w:t>
      </w:r>
      <w:r w:rsidRPr="00645CA8">
        <w:rPr>
          <w:snapToGrid w:val="0"/>
        </w:rPr>
        <w:t xml:space="preserve">antes </w:t>
      </w:r>
      <w:r w:rsidRPr="00645CA8">
        <w:t xml:space="preserve">expuesto y con fundamento en los </w:t>
      </w:r>
      <w:r w:rsidRPr="00645CA8">
        <w:rPr>
          <w:snapToGrid w:val="0"/>
        </w:rPr>
        <w:t>artículos</w:t>
      </w:r>
      <w:r w:rsidRPr="00645CA8">
        <w:t xml:space="preserve"> 6o., apartado B, fracción II y 28, párrafos décimo quinto y décimo sexto de la Constitución</w:t>
      </w:r>
      <w:r w:rsidRPr="00645CA8">
        <w:rPr>
          <w:snapToGrid w:val="0"/>
        </w:rPr>
        <w:t>;</w:t>
      </w:r>
      <w:r w:rsidRPr="00645CA8">
        <w:t xml:space="preserve"> Transitorio </w:t>
      </w:r>
      <w:r w:rsidRPr="00645CA8">
        <w:rPr>
          <w:snapToGrid w:val="0"/>
        </w:rPr>
        <w:t>Trigésimo Quinto del “</w:t>
      </w:r>
      <w:r w:rsidRPr="003B2E95">
        <w:rPr>
          <w:i/>
          <w:snapToGrid w:val="0"/>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645CA8">
        <w:rPr>
          <w:snapToGrid w:val="0"/>
        </w:rPr>
        <w:t>”</w:t>
      </w:r>
      <w:r w:rsidRPr="00645CA8">
        <w:t xml:space="preserve"> publicado en el Diario Oficial de la Federación el 14 de julio de 2014; </w:t>
      </w:r>
      <w:r w:rsidRPr="00645CA8">
        <w:rPr>
          <w:snapToGrid w:val="0"/>
        </w:rPr>
        <w:t xml:space="preserve">1, </w:t>
      </w:r>
      <w:r w:rsidRPr="00645CA8">
        <w:t>2, 6, fracción IV, 7</w:t>
      </w:r>
      <w:r w:rsidRPr="00645CA8">
        <w:rPr>
          <w:snapToGrid w:val="0"/>
        </w:rPr>
        <w:t>,</w:t>
      </w:r>
      <w:r w:rsidRPr="00645CA8">
        <w:t xml:space="preserve"> 15, fracción XVIII </w:t>
      </w:r>
      <w:r w:rsidRPr="00645CA8">
        <w:rPr>
          <w:snapToGrid w:val="0"/>
        </w:rPr>
        <w:t xml:space="preserve">y 177 fracción VIII, </w:t>
      </w:r>
      <w:r w:rsidRPr="00645CA8">
        <w:t>de la Ley Federal de Telecomunicaciones y Radiodifusión; 35, fracción I, 36, 38 y 39 de la Ley Federal de Procedimiento Administrativo; 1, 4, fracción I</w:t>
      </w:r>
      <w:r w:rsidRPr="00645CA8">
        <w:rPr>
          <w:snapToGrid w:val="0"/>
        </w:rPr>
        <w:t>,</w:t>
      </w:r>
      <w:r w:rsidRPr="00645CA8">
        <w:t xml:space="preserve"> 6</w:t>
      </w:r>
      <w:r w:rsidRPr="00645CA8">
        <w:rPr>
          <w:snapToGrid w:val="0"/>
        </w:rPr>
        <w:t>,</w:t>
      </w:r>
      <w:r w:rsidRPr="00645CA8">
        <w:t xml:space="preserve"> fracciones I</w:t>
      </w:r>
      <w:r w:rsidRPr="00645CA8">
        <w:rPr>
          <w:snapToGrid w:val="0"/>
        </w:rPr>
        <w:t>, VI y XXXVIII,</w:t>
      </w:r>
      <w:r w:rsidRPr="00645CA8">
        <w:t xml:space="preserve"> del Estatuto Orgánico del Instituto Federal de Telecomunicaciones</w:t>
      </w:r>
      <w:r w:rsidRPr="00645CA8">
        <w:rPr>
          <w:snapToGrid w:val="0"/>
        </w:rPr>
        <w:t>;</w:t>
      </w:r>
      <w:r w:rsidRPr="00645CA8">
        <w:t xml:space="preserve"> la </w:t>
      </w:r>
      <w:r w:rsidRPr="00645CA8">
        <w:rPr>
          <w:i/>
        </w:rPr>
        <w:t>“RESOLUCIÓN MEDIANTE LA CUAL EL PLENO DEL INSTITUTO FEDERAL DE TELECOMUNICACIONES DETERMINA AL GRUPO DE INTERÉS ECONÓMICO DEL QUE FORMAN PARTE AMÉRICA MÓVIL, S.A.B. DE C.V., TELÉFONOS DE MÉXICO, S.A.B. DE C.V., TELÉFONOS DEL NOROESTE, S.A. DE C.V., RADIOMÓVIL DIPSA, S.A.B. DE C.</w:t>
      </w:r>
      <w:r w:rsidRPr="00645CA8">
        <w:rPr>
          <w:i/>
          <w:snapToGrid w:val="0"/>
        </w:rPr>
        <w:t xml:space="preserve"> </w:t>
      </w:r>
      <w:r w:rsidRPr="00645CA8">
        <w:rPr>
          <w:i/>
        </w:rPr>
        <w:t>V., GRUPO CARSO, S.A.B. DE C.V., Y GRUPO FINANCIERO INBURSA, S.A.B. DE C.V., COMO AGENTE ECONÓMICO PREPONDERANTE EN EL SECTOR DE TELECOMUNICACIONES</w:t>
      </w:r>
      <w:r w:rsidRPr="00645CA8">
        <w:rPr>
          <w:i/>
          <w:snapToGrid w:val="0"/>
        </w:rPr>
        <w:t xml:space="preserve"> Y LE IMPONE LAS MEDIDAS NECESARIAS PARA EVITAR QUE SE AFECTE LA COMPETENCIA Y LA LIBRE CONCURRENCIA”</w:t>
      </w:r>
      <w:r w:rsidRPr="00645CA8">
        <w:rPr>
          <w:snapToGrid w:val="0"/>
        </w:rPr>
        <w:t xml:space="preserve">, aprobada mediante Acuerdo P/IFT/EXT/060314/76, y el Anexo 3 denominado </w:t>
      </w:r>
      <w:r w:rsidRPr="00645CA8">
        <w:rPr>
          <w:i/>
          <w:snapToGrid w:val="0"/>
        </w:rPr>
        <w:t>“MEDIDAS QUE PERMITEN LA DESAGREGACIÓN EFECTIVA DE LA RED LOCAL DEL AGENTE ECONÓMICO PREPONDERANTE EN TELECOMUNICACIONES DE MANERA QUE OTROS CONCESIONARIOS DE TELECOMUNICACIONES PUEDAN ACCEDER, ENTRE OTROS, A LOS MEDIOS FÍSICOS, TÉCNICOS Y LÓGICOS DE CONEXIÓN ENTRE CUALQUIER PUNTO TERMINAL DE LA RED PÚBLICA DE TELECOMUNICACIONES Y EL PUNTO DE ACCESO A LA RED LOCAL</w:t>
      </w:r>
      <w:r w:rsidR="00837334" w:rsidRPr="00645CA8">
        <w:rPr>
          <w:i/>
          <w:snapToGrid w:val="0"/>
        </w:rPr>
        <w:t xml:space="preserve"> </w:t>
      </w:r>
      <w:r w:rsidR="00837334" w:rsidRPr="00645CA8">
        <w:rPr>
          <w:i/>
          <w:snapToGrid w:val="0"/>
        </w:rPr>
        <w:lastRenderedPageBreak/>
        <w:t>PERTENECIENTE A DICHO AGENTE.”</w:t>
      </w:r>
      <w:r w:rsidRPr="00645CA8">
        <w:rPr>
          <w:snapToGrid w:val="0"/>
        </w:rPr>
        <w:t>, el Pleno del Instituto Federal de Telecomunicaciones emite los siguientes:</w:t>
      </w:r>
      <w:r w:rsidR="003B07CD" w:rsidRPr="00171F82" w:rsidDel="003B07CD">
        <w:rPr>
          <w:i/>
        </w:rPr>
        <w:t xml:space="preserve"> </w:t>
      </w:r>
    </w:p>
    <w:p w14:paraId="25FF1315" w14:textId="77777777" w:rsidR="004F36F7" w:rsidRDefault="00A37F29" w:rsidP="004F36F7">
      <w:pPr>
        <w:pStyle w:val="Ttulo2"/>
        <w:spacing w:before="240"/>
      </w:pPr>
      <w:bookmarkStart w:id="12" w:name="_Toc415216889"/>
      <w:bookmarkStart w:id="13" w:name="_Toc415228990"/>
      <w:bookmarkStart w:id="14" w:name="_Toc415232293"/>
      <w:r w:rsidRPr="00EC6D79">
        <w:t>RESOLUTIVOS</w:t>
      </w:r>
      <w:bookmarkEnd w:id="12"/>
      <w:bookmarkEnd w:id="13"/>
      <w:bookmarkEnd w:id="14"/>
    </w:p>
    <w:p w14:paraId="09747BBA" w14:textId="77777777" w:rsidR="004F36F7" w:rsidRDefault="00DC6BD7" w:rsidP="004F36F7">
      <w:pPr>
        <w:pStyle w:val="IFTnormal"/>
        <w:spacing w:before="240"/>
        <w:rPr>
          <w:lang w:eastAsia="es-ES"/>
        </w:rPr>
      </w:pPr>
      <w:r w:rsidRPr="00E86272">
        <w:rPr>
          <w:b/>
          <w:lang w:eastAsia="es-ES"/>
        </w:rPr>
        <w:t>PRIMERO.-</w:t>
      </w:r>
      <w:r w:rsidRPr="00E86272">
        <w:rPr>
          <w:lang w:eastAsia="es-ES"/>
        </w:rPr>
        <w:t xml:space="preserve"> </w:t>
      </w:r>
      <w:r w:rsidR="00837334" w:rsidRPr="008048C6">
        <w:rPr>
          <w:lang w:eastAsia="es-ES"/>
        </w:rPr>
        <w:t xml:space="preserve">Se </w:t>
      </w:r>
      <w:r w:rsidR="00DD068E">
        <w:rPr>
          <w:lang w:eastAsia="es-ES"/>
        </w:rPr>
        <w:t xml:space="preserve">modifican y autorizan </w:t>
      </w:r>
      <w:r w:rsidR="00837334">
        <w:rPr>
          <w:lang w:eastAsia="es-ES"/>
        </w:rPr>
        <w:t xml:space="preserve">a </w:t>
      </w:r>
      <w:r w:rsidR="00837334" w:rsidRPr="00F41DC5">
        <w:rPr>
          <w:bCs w:val="0"/>
        </w:rPr>
        <w:t>Teléfonos de México, S.A.B. de C.V.</w:t>
      </w:r>
      <w:r w:rsidR="00837334">
        <w:rPr>
          <w:bCs w:val="0"/>
        </w:rPr>
        <w:t xml:space="preserve"> y Teléfonos del Noroeste, S.A. de C.V. como integrantes del </w:t>
      </w:r>
      <w:r w:rsidR="00837334" w:rsidRPr="008048C6">
        <w:rPr>
          <w:lang w:eastAsia="es-ES"/>
        </w:rPr>
        <w:t>Agente Económico Preponderante</w:t>
      </w:r>
      <w:r w:rsidR="00562D02">
        <w:rPr>
          <w:lang w:eastAsia="es-ES"/>
        </w:rPr>
        <w:t>;</w:t>
      </w:r>
      <w:r w:rsidR="00837334" w:rsidRPr="008048C6">
        <w:rPr>
          <w:lang w:eastAsia="es-ES"/>
        </w:rPr>
        <w:t xml:space="preserve"> las </w:t>
      </w:r>
      <w:r w:rsidR="00DD068E">
        <w:rPr>
          <w:lang w:eastAsia="es-ES"/>
        </w:rPr>
        <w:t xml:space="preserve">tarifas para el </w:t>
      </w:r>
      <w:r w:rsidR="00DD068E" w:rsidRPr="00DD068E">
        <w:rPr>
          <w:bCs w:val="0"/>
        </w:rPr>
        <w:t>Servicio de Reventa Mayorista de Línea Telefónica</w:t>
      </w:r>
      <w:r w:rsidR="00562D02">
        <w:rPr>
          <w:bCs w:val="0"/>
        </w:rPr>
        <w:t xml:space="preserve"> formando parte de la</w:t>
      </w:r>
      <w:r w:rsidR="0040732C">
        <w:rPr>
          <w:bCs w:val="0"/>
        </w:rPr>
        <w:t xml:space="preserve"> Oferta</w:t>
      </w:r>
      <w:r w:rsidR="00562D02">
        <w:rPr>
          <w:bCs w:val="0"/>
        </w:rPr>
        <w:t xml:space="preserve"> de Referencia de Desagregación Efectiva de la Red Local de </w:t>
      </w:r>
      <w:r w:rsidR="00562D02" w:rsidRPr="00562D02">
        <w:t>Teléfonos de México, S.A.B. de C.V. y de</w:t>
      </w:r>
      <w:r w:rsidR="0040732C">
        <w:t xml:space="preserve"> </w:t>
      </w:r>
      <w:r w:rsidR="0040732C">
        <w:rPr>
          <w:bCs w:val="0"/>
        </w:rPr>
        <w:t>la Oferta de Referencia de Desagregación Efectiva de la Red Local de</w:t>
      </w:r>
      <w:r w:rsidR="00562D02" w:rsidRPr="00562D02">
        <w:t xml:space="preserve"> Teléfonos del Noroeste, S.A. de C.V.</w:t>
      </w:r>
      <w:r w:rsidR="00447168">
        <w:t>, conforme a lo siguiente:</w:t>
      </w:r>
    </w:p>
    <w:p w14:paraId="6CAD6140" w14:textId="07B01724" w:rsidR="00447168" w:rsidRPr="00F0051B" w:rsidRDefault="00447168" w:rsidP="004F36F7">
      <w:pPr>
        <w:pStyle w:val="CondicionesFinales"/>
        <w:spacing w:before="240" w:line="240" w:lineRule="auto"/>
        <w:rPr>
          <w:b/>
          <w:color w:val="auto"/>
          <w:sz w:val="20"/>
          <w:lang w:val="es-MX"/>
        </w:rPr>
      </w:pPr>
      <w:r w:rsidRPr="00F0051B">
        <w:rPr>
          <w:b/>
          <w:color w:val="auto"/>
          <w:sz w:val="20"/>
          <w:lang w:val="es-MX"/>
        </w:rPr>
        <w:t>Servicio de Reventa Mayorista de Línea Telefónica (SRMLT)</w:t>
      </w:r>
    </w:p>
    <w:p w14:paraId="5278C2FE" w14:textId="748D79D8" w:rsidR="00447168" w:rsidRDefault="00447168" w:rsidP="004F36F7">
      <w:pPr>
        <w:pStyle w:val="CondicionesFinales"/>
        <w:spacing w:before="240" w:line="240" w:lineRule="auto"/>
        <w:rPr>
          <w:b/>
          <w:i/>
          <w:color w:val="auto"/>
          <w:sz w:val="20"/>
          <w:lang w:val="es-MX"/>
        </w:rPr>
      </w:pPr>
      <w:r w:rsidRPr="00F0051B">
        <w:rPr>
          <w:b/>
          <w:i/>
          <w:color w:val="auto"/>
          <w:sz w:val="20"/>
          <w:lang w:val="es-MX"/>
        </w:rPr>
        <w:t>Cobros no Recurrentes</w:t>
      </w:r>
    </w:p>
    <w:p w14:paraId="0FBD6468" w14:textId="77777777" w:rsidR="004F36F7" w:rsidRDefault="005276C3" w:rsidP="004F36F7">
      <w:pPr>
        <w:pStyle w:val="CondicionesFinales"/>
        <w:spacing w:before="240" w:line="240" w:lineRule="auto"/>
        <w:jc w:val="center"/>
        <w:rPr>
          <w:b/>
          <w:i/>
          <w:color w:val="auto"/>
          <w:sz w:val="20"/>
          <w:lang w:val="es-MX"/>
        </w:rPr>
      </w:pPr>
      <w:r>
        <w:rPr>
          <w:noProof/>
          <w:lang w:val="es-MX" w:eastAsia="es-MX"/>
        </w:rPr>
        <w:drawing>
          <wp:inline distT="0" distB="0" distL="0" distR="0" wp14:anchorId="48597EC5" wp14:editId="1628F304">
            <wp:extent cx="5500048" cy="663234"/>
            <wp:effectExtent l="0" t="0" r="5715" b="3810"/>
            <wp:docPr id="14" name="Imagen 14" descr="Cobros no Recurrent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53286" cy="669654"/>
                    </a:xfrm>
                    <a:prstGeom prst="rect">
                      <a:avLst/>
                    </a:prstGeom>
                  </pic:spPr>
                </pic:pic>
              </a:graphicData>
            </a:graphic>
          </wp:inline>
        </w:drawing>
      </w:r>
    </w:p>
    <w:p w14:paraId="21FCFA25" w14:textId="05B8706B" w:rsidR="00447168" w:rsidRDefault="00447168" w:rsidP="004F36F7">
      <w:pPr>
        <w:pStyle w:val="CondicionesFinales"/>
        <w:spacing w:before="240" w:line="240" w:lineRule="auto"/>
        <w:rPr>
          <w:rStyle w:val="IFTnormalCar"/>
          <w:sz w:val="18"/>
        </w:rPr>
      </w:pPr>
      <w:r w:rsidRPr="000D0030">
        <w:rPr>
          <w:b/>
          <w:color w:val="auto"/>
          <w:sz w:val="18"/>
          <w:lang w:val="es-MX"/>
        </w:rPr>
        <w:t>Nota: *</w:t>
      </w:r>
      <w:r w:rsidRPr="000D0030">
        <w:rPr>
          <w:rStyle w:val="IFTnormalCar"/>
          <w:sz w:val="18"/>
        </w:rPr>
        <w:t xml:space="preserve">dicha contraprestación </w:t>
      </w:r>
      <w:r>
        <w:rPr>
          <w:rStyle w:val="IFTnormalCar"/>
          <w:sz w:val="18"/>
        </w:rPr>
        <w:t>es</w:t>
      </w:r>
      <w:r w:rsidRPr="000D0030">
        <w:rPr>
          <w:rStyle w:val="IFTnormalCar"/>
          <w:sz w:val="18"/>
        </w:rPr>
        <w:t xml:space="preserve"> aplicable </w:t>
      </w:r>
      <w:r>
        <w:rPr>
          <w:rStyle w:val="IFTnormalCar"/>
          <w:sz w:val="18"/>
        </w:rPr>
        <w:t>únicamente a</w:t>
      </w:r>
      <w:r w:rsidRPr="000D0030">
        <w:rPr>
          <w:rStyle w:val="IFTnormalCar"/>
          <w:sz w:val="18"/>
        </w:rPr>
        <w:t xml:space="preserve"> la primera solicitud que realice e</w:t>
      </w:r>
      <w:r>
        <w:rPr>
          <w:rStyle w:val="IFTnormalCar"/>
          <w:sz w:val="18"/>
        </w:rPr>
        <w:t xml:space="preserve">l CS en la </w:t>
      </w:r>
      <w:r w:rsidRPr="000D0030">
        <w:rPr>
          <w:rStyle w:val="IFTnormalCar"/>
          <w:sz w:val="18"/>
        </w:rPr>
        <w:t>central</w:t>
      </w:r>
      <w:r>
        <w:rPr>
          <w:rStyle w:val="IFTnormalCar"/>
          <w:sz w:val="18"/>
        </w:rPr>
        <w:t xml:space="preserve"> correspondiente.</w:t>
      </w:r>
    </w:p>
    <w:p w14:paraId="6D55A5A9" w14:textId="7CF089D9" w:rsidR="005276C3" w:rsidRPr="000D0030" w:rsidRDefault="005276C3" w:rsidP="004F36F7">
      <w:pPr>
        <w:pStyle w:val="CondicionesFinales"/>
        <w:spacing w:before="240" w:line="240" w:lineRule="auto"/>
        <w:jc w:val="center"/>
        <w:rPr>
          <w:color w:val="auto"/>
          <w:sz w:val="18"/>
          <w:lang w:val="es-MX"/>
        </w:rPr>
      </w:pPr>
      <w:r>
        <w:rPr>
          <w:noProof/>
          <w:lang w:val="es-MX" w:eastAsia="es-MX"/>
        </w:rPr>
        <w:drawing>
          <wp:inline distT="0" distB="0" distL="0" distR="0" wp14:anchorId="32E545C4" wp14:editId="0CDD813A">
            <wp:extent cx="5581934" cy="2408114"/>
            <wp:effectExtent l="0" t="0" r="0" b="0"/>
            <wp:docPr id="15" name="Imagen 15" descr="Cobros recurrent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91747" cy="2412347"/>
                    </a:xfrm>
                    <a:prstGeom prst="rect">
                      <a:avLst/>
                    </a:prstGeom>
                  </pic:spPr>
                </pic:pic>
              </a:graphicData>
            </a:graphic>
          </wp:inline>
        </w:drawing>
      </w:r>
    </w:p>
    <w:p w14:paraId="2CB0DDCE" w14:textId="77777777" w:rsidR="00447168" w:rsidRDefault="00447168" w:rsidP="004F36F7">
      <w:pPr>
        <w:pStyle w:val="CondicionesFinales"/>
        <w:spacing w:before="240" w:line="240" w:lineRule="auto"/>
        <w:rPr>
          <w:sz w:val="18"/>
        </w:rPr>
      </w:pPr>
      <w:r w:rsidRPr="00ED13E9">
        <w:rPr>
          <w:b/>
          <w:sz w:val="18"/>
        </w:rPr>
        <w:t>Nota: *</w:t>
      </w:r>
      <w:r w:rsidRPr="00ED13E9">
        <w:rPr>
          <w:sz w:val="18"/>
        </w:rPr>
        <w:t xml:space="preserve">No se incluye el costo de la </w:t>
      </w:r>
      <w:r>
        <w:rPr>
          <w:sz w:val="18"/>
        </w:rPr>
        <w:t>origina</w:t>
      </w:r>
      <w:r w:rsidRPr="00ED13E9">
        <w:rPr>
          <w:sz w:val="18"/>
        </w:rPr>
        <w:t>ción de llamada</w:t>
      </w:r>
      <w:r>
        <w:rPr>
          <w:sz w:val="18"/>
        </w:rPr>
        <w:t>s provenientes de los</w:t>
      </w:r>
      <w:r w:rsidRPr="00ED13E9">
        <w:rPr>
          <w:sz w:val="18"/>
        </w:rPr>
        <w:t xml:space="preserve"> usuario</w:t>
      </w:r>
      <w:r>
        <w:rPr>
          <w:sz w:val="18"/>
        </w:rPr>
        <w:t>s</w:t>
      </w:r>
      <w:r w:rsidRPr="00ED13E9">
        <w:rPr>
          <w:sz w:val="18"/>
        </w:rPr>
        <w:t xml:space="preserve"> final</w:t>
      </w:r>
      <w:r>
        <w:rPr>
          <w:sz w:val="18"/>
        </w:rPr>
        <w:t>es</w:t>
      </w:r>
      <w:r w:rsidRPr="00ED13E9">
        <w:rPr>
          <w:sz w:val="18"/>
        </w:rPr>
        <w:t xml:space="preserve"> </w:t>
      </w:r>
      <w:r>
        <w:rPr>
          <w:sz w:val="18"/>
        </w:rPr>
        <w:t>a través del SRMLT. Éste deberá cubrirse de acuerdo a</w:t>
      </w:r>
      <w:r w:rsidRPr="00ED13E9">
        <w:rPr>
          <w:sz w:val="18"/>
        </w:rPr>
        <w:t xml:space="preserve"> la</w:t>
      </w:r>
      <w:r>
        <w:rPr>
          <w:sz w:val="18"/>
        </w:rPr>
        <w:t>s</w:t>
      </w:r>
      <w:r w:rsidRPr="00ED13E9">
        <w:rPr>
          <w:sz w:val="18"/>
        </w:rPr>
        <w:t xml:space="preserve"> tarifa</w:t>
      </w:r>
      <w:r>
        <w:rPr>
          <w:sz w:val="18"/>
        </w:rPr>
        <w:t>s de interconexión acordadas entre las partes involucradas.</w:t>
      </w:r>
    </w:p>
    <w:p w14:paraId="5BD39DBB" w14:textId="01DC47C3" w:rsidR="003F6354" w:rsidRPr="004F36F7" w:rsidRDefault="00DC6BD7" w:rsidP="004F36F7">
      <w:pPr>
        <w:pStyle w:val="IFTnormal"/>
        <w:spacing w:before="240" w:line="240" w:lineRule="auto"/>
      </w:pPr>
      <w:r w:rsidRPr="00E86272">
        <w:rPr>
          <w:b/>
          <w:lang w:eastAsia="es-ES"/>
        </w:rPr>
        <w:t xml:space="preserve">SEGUNDO.- </w:t>
      </w:r>
      <w:r w:rsidR="003F6354" w:rsidRPr="00722493">
        <w:t xml:space="preserve"> Se </w:t>
      </w:r>
      <w:r w:rsidR="003F6354">
        <w:t xml:space="preserve">actualiza el </w:t>
      </w:r>
      <w:r w:rsidR="003F6354" w:rsidRPr="00722493">
        <w:rPr>
          <w:lang w:val="es-419"/>
        </w:rPr>
        <w:t>“</w:t>
      </w:r>
      <w:r w:rsidR="003F6354" w:rsidRPr="00722493">
        <w:t xml:space="preserve">Modelo de Costos </w:t>
      </w:r>
      <w:r w:rsidR="003F6354">
        <w:t>Evitados</w:t>
      </w:r>
      <w:r w:rsidR="003F6354" w:rsidRPr="00722493">
        <w:rPr>
          <w:iCs/>
          <w:lang w:val="es-419"/>
        </w:rPr>
        <w:t>”</w:t>
      </w:r>
      <w:r w:rsidR="003F6354">
        <w:rPr>
          <w:iCs/>
          <w:lang w:val="es-419"/>
        </w:rPr>
        <w:t xml:space="preserve"> y se expide el </w:t>
      </w:r>
      <w:r w:rsidR="0066541B">
        <w:rPr>
          <w:iCs/>
          <w:lang w:val="es-419"/>
        </w:rPr>
        <w:t>“Módulo del Servicio de Reventa Mayorista de Línea Telefónica”</w:t>
      </w:r>
      <w:r w:rsidR="00911EDD">
        <w:rPr>
          <w:iCs/>
          <w:lang w:val="es-419"/>
        </w:rPr>
        <w:t xml:space="preserve"> de dicho modelo</w:t>
      </w:r>
      <w:r w:rsidR="003F6354" w:rsidRPr="00722493">
        <w:rPr>
          <w:rFonts w:eastAsia="Times New Roman"/>
        </w:rPr>
        <w:t>,</w:t>
      </w:r>
      <w:r w:rsidR="003F6354" w:rsidRPr="00722493">
        <w:rPr>
          <w:rFonts w:eastAsia="Times New Roman"/>
          <w:b/>
        </w:rPr>
        <w:t xml:space="preserve"> </w:t>
      </w:r>
      <w:r w:rsidR="003F6354" w:rsidRPr="00722493">
        <w:t xml:space="preserve">en los términos a </w:t>
      </w:r>
      <w:r w:rsidR="003F6354" w:rsidRPr="00722493">
        <w:lastRenderedPageBreak/>
        <w:t xml:space="preserve">que se refiere </w:t>
      </w:r>
      <w:r w:rsidR="003F6354">
        <w:t xml:space="preserve">el </w:t>
      </w:r>
      <w:r w:rsidR="003F6354" w:rsidRPr="00722493">
        <w:t>Considerando QUINTO</w:t>
      </w:r>
      <w:r w:rsidR="003F6354">
        <w:rPr>
          <w:lang w:val="es-419"/>
        </w:rPr>
        <w:t xml:space="preserve"> </w:t>
      </w:r>
      <w:r w:rsidR="003F6354" w:rsidRPr="00722493">
        <w:t>de la presente Resolución aplicables al</w:t>
      </w:r>
      <w:r w:rsidR="0066541B">
        <w:t xml:space="preserve"> </w:t>
      </w:r>
      <w:r w:rsidR="0066541B" w:rsidRPr="0066541B">
        <w:t>Servicio de Reventa Mayorista</w:t>
      </w:r>
      <w:r w:rsidR="003F6354" w:rsidRPr="0066541B">
        <w:t xml:space="preserve"> de </w:t>
      </w:r>
      <w:r w:rsidR="0066541B" w:rsidRPr="0066541B">
        <w:t>Línea Telefónica</w:t>
      </w:r>
      <w:r w:rsidR="0066541B">
        <w:t>.</w:t>
      </w:r>
      <w:bookmarkStart w:id="15" w:name="_GoBack"/>
      <w:bookmarkEnd w:id="15"/>
    </w:p>
    <w:p w14:paraId="6056E8B3" w14:textId="77777777" w:rsidR="003F6354" w:rsidRDefault="003F6354" w:rsidP="004F36F7">
      <w:pPr>
        <w:pStyle w:val="IFTnormal"/>
        <w:spacing w:before="240"/>
      </w:pPr>
      <w:r w:rsidRPr="002B640D">
        <w:t xml:space="preserve">El </w:t>
      </w:r>
      <w:r w:rsidR="0066541B">
        <w:rPr>
          <w:iCs/>
          <w:lang w:val="es-419"/>
        </w:rPr>
        <w:t>“Módulo</w:t>
      </w:r>
      <w:r>
        <w:rPr>
          <w:lang w:val="es-419"/>
        </w:rPr>
        <w:t xml:space="preserve"> del Servicio de </w:t>
      </w:r>
      <w:r w:rsidR="0066541B">
        <w:rPr>
          <w:iCs/>
          <w:lang w:val="es-419"/>
        </w:rPr>
        <w:t>Reventa Mayorista de Línea Telefónica”</w:t>
      </w:r>
      <w:r w:rsidRPr="002B640D">
        <w:t xml:space="preserve"> </w:t>
      </w:r>
      <w:r w:rsidRPr="00443444">
        <w:t xml:space="preserve">será publicado en el portal </w:t>
      </w:r>
      <w:r>
        <w:t xml:space="preserve">de Internet </w:t>
      </w:r>
      <w:r w:rsidRPr="00443444">
        <w:t>del Instituto Federal de Telecomunicaciones en formato Excel de una manera “anonimizada” a efecto de salvaguardar la información contenida y provista por el Agente Económico Preponderante.</w:t>
      </w:r>
    </w:p>
    <w:p w14:paraId="0129FCBD" w14:textId="77777777" w:rsidR="00DC6BD7" w:rsidRDefault="0066541B" w:rsidP="004F36F7">
      <w:pPr>
        <w:pStyle w:val="IFTnormal"/>
        <w:spacing w:before="240"/>
      </w:pPr>
      <w:r w:rsidRPr="007611C4">
        <w:rPr>
          <w:b/>
          <w:lang w:eastAsia="es-ES"/>
        </w:rPr>
        <w:t>TERCERO</w:t>
      </w:r>
      <w:r w:rsidR="00DC6BD7" w:rsidRPr="007611C4">
        <w:rPr>
          <w:b/>
          <w:lang w:eastAsia="es-ES"/>
        </w:rPr>
        <w:t>.-</w:t>
      </w:r>
      <w:r w:rsidR="00DC6BD7">
        <w:rPr>
          <w:lang w:eastAsia="es-ES"/>
        </w:rPr>
        <w:t xml:space="preserve"> </w:t>
      </w:r>
      <w:r w:rsidR="00562D02" w:rsidRPr="0013616D">
        <w:rPr>
          <w:lang w:eastAsia="es-ES"/>
        </w:rPr>
        <w:t xml:space="preserve">De conformidad </w:t>
      </w:r>
      <w:r w:rsidR="00BC072D" w:rsidRPr="0013616D">
        <w:rPr>
          <w:lang w:eastAsia="es-ES"/>
        </w:rPr>
        <w:t xml:space="preserve">con señalado en el apartado Considerativo </w:t>
      </w:r>
      <w:r w:rsidR="0013616D">
        <w:rPr>
          <w:lang w:eastAsia="es-ES"/>
        </w:rPr>
        <w:t>QUINTO</w:t>
      </w:r>
      <w:r w:rsidR="00BC072D" w:rsidRPr="0013616D">
        <w:rPr>
          <w:lang w:eastAsia="es-ES"/>
        </w:rPr>
        <w:t xml:space="preserve"> de la</w:t>
      </w:r>
      <w:r w:rsidR="00BC072D">
        <w:rPr>
          <w:b/>
          <w:lang w:eastAsia="es-ES"/>
        </w:rPr>
        <w:t xml:space="preserve"> </w:t>
      </w:r>
      <w:r w:rsidR="00BC072D" w:rsidRPr="00647F9C">
        <w:rPr>
          <w:lang w:eastAsia="es-ES"/>
        </w:rPr>
        <w:t>“</w:t>
      </w:r>
      <w:r w:rsidR="00BC072D" w:rsidRPr="00BC072D">
        <w:rPr>
          <w:i/>
          <w:lang w:val="es-ES"/>
        </w:rPr>
        <w:t>RESOLUCIÓN MEDIANTE LA CUAL EL PLENO DEL INSTITUTO FEDERAL DE TELECOMUNICACIONES FORMALIZA Y RESUELVE EN DEFINITIVA EL SERVICIO DE REVENTA MAYORISTA DE LÍNEA TELEFÓNICA DE LA OFERTA DE REFERENCIA DE LA DESAGREGACIÓN EFECTIVA DE LA RED LOCAL DEL AGENTE ECONÓMICO PREPONDERANTE</w:t>
      </w:r>
      <w:r w:rsidR="00BC072D">
        <w:rPr>
          <w:i/>
          <w:lang w:val="es-ES"/>
        </w:rPr>
        <w:t>”</w:t>
      </w:r>
      <w:r w:rsidR="00823617">
        <w:rPr>
          <w:i/>
          <w:lang w:val="es-ES"/>
        </w:rPr>
        <w:t>,</w:t>
      </w:r>
      <w:r w:rsidR="0013616D">
        <w:rPr>
          <w:lang w:val="es-ES"/>
        </w:rPr>
        <w:t xml:space="preserve"> Teléfonos de México, S.A.B. de C.V. y Teléfonos del Noroeste, S.A. de C.V. deberán de realizar </w:t>
      </w:r>
      <w:r w:rsidR="0013616D" w:rsidRPr="00F41DC5">
        <w:t xml:space="preserve">los ajustes pertinentes al Sistema Electrónico de Gestión de conformidad con las </w:t>
      </w:r>
      <w:r w:rsidR="0013616D">
        <w:t>tarifas determinadas en la presente resolución.</w:t>
      </w:r>
    </w:p>
    <w:p w14:paraId="74CB7B57" w14:textId="77777777" w:rsidR="004F36F7" w:rsidRDefault="0066541B" w:rsidP="004F36F7">
      <w:pPr>
        <w:pStyle w:val="IFTnormal"/>
        <w:spacing w:before="240"/>
        <w:rPr>
          <w:rFonts w:cs="Arial"/>
        </w:rPr>
      </w:pPr>
      <w:r>
        <w:rPr>
          <w:b/>
          <w:lang w:eastAsia="es-ES"/>
        </w:rPr>
        <w:t>CUARTO</w:t>
      </w:r>
      <w:r w:rsidR="00DC6BD7" w:rsidRPr="001A3FB8">
        <w:rPr>
          <w:b/>
          <w:lang w:eastAsia="es-ES"/>
        </w:rPr>
        <w:t>.-</w:t>
      </w:r>
      <w:r w:rsidR="00DC6BD7">
        <w:rPr>
          <w:lang w:eastAsia="es-ES"/>
        </w:rPr>
        <w:t>.</w:t>
      </w:r>
      <w:r w:rsidR="00DC6BD7" w:rsidRPr="008048C6">
        <w:rPr>
          <w:b/>
          <w:lang w:eastAsia="es-ES"/>
        </w:rPr>
        <w:t xml:space="preserve"> </w:t>
      </w:r>
      <w:r w:rsidR="00DC6BD7" w:rsidRPr="008048C6">
        <w:rPr>
          <w:rFonts w:cs="Arial"/>
        </w:rPr>
        <w:t>Notifíquese personalmente a Teléfonos de México, S.A.B. de C.V.</w:t>
      </w:r>
      <w:r w:rsidR="00DC6BD7">
        <w:rPr>
          <w:rFonts w:cs="Arial"/>
        </w:rPr>
        <w:t xml:space="preserve"> y</w:t>
      </w:r>
      <w:r w:rsidR="00DC6BD7" w:rsidRPr="008048C6">
        <w:rPr>
          <w:rFonts w:cs="Arial"/>
        </w:rPr>
        <w:t xml:space="preserve"> Teléfonos del Noroeste, S.A. de C.V.</w:t>
      </w:r>
    </w:p>
    <w:p w14:paraId="78DD2582" w14:textId="6FC1B1B6" w:rsidR="00DA252B" w:rsidRPr="00DA252B" w:rsidRDefault="00DA252B" w:rsidP="004F36F7">
      <w:pPr>
        <w:pStyle w:val="Prrafodelista"/>
        <w:spacing w:before="240" w:line="240" w:lineRule="auto"/>
        <w:ind w:left="0"/>
        <w:jc w:val="both"/>
        <w:rPr>
          <w:sz w:val="14"/>
          <w:szCs w:val="14"/>
        </w:rPr>
      </w:pPr>
      <w:r w:rsidRPr="00DA252B">
        <w:rPr>
          <w:rFonts w:ascii="ITC Avant Garde" w:hAnsi="ITC Avant Garde"/>
          <w:sz w:val="14"/>
          <w:szCs w:val="14"/>
        </w:rPr>
        <w:t xml:space="preserve">La presente Resolución fue aprobada por el Pleno del Instituto Federal de Telecomunicaciones en su XII Sesión Ordinaria celebrada el 22 de marzo de 2018, </w:t>
      </w:r>
      <w:r w:rsidRPr="00DA252B">
        <w:rPr>
          <w:rFonts w:ascii="ITC Avant Garde" w:hAnsi="ITC Avant Garde"/>
          <w:bCs/>
          <w:sz w:val="14"/>
          <w:szCs w:val="14"/>
        </w:rPr>
        <w:t>por unanimidad</w:t>
      </w:r>
      <w:r w:rsidRPr="00DA252B">
        <w:rPr>
          <w:rFonts w:ascii="ITC Avant Garde" w:hAnsi="ITC Avant Garde"/>
          <w:sz w:val="14"/>
          <w:szCs w:val="14"/>
        </w:rPr>
        <w:t xml:space="preserve"> de votos de los Comisionados Gabriel Oswaldo Contreras Saldívar, 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P/IFT/220318/243.</w:t>
      </w:r>
    </w:p>
    <w:sectPr w:rsidR="00DA252B" w:rsidRPr="00DA252B" w:rsidSect="00C80656">
      <w:headerReference w:type="even" r:id="rId26"/>
      <w:headerReference w:type="default" r:id="rId27"/>
      <w:footerReference w:type="default" r:id="rId28"/>
      <w:headerReference w:type="first" r:id="rId29"/>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66AD2C" w14:textId="77777777" w:rsidR="009F6F00" w:rsidRDefault="009F6F00" w:rsidP="00072BC8">
      <w:pPr>
        <w:spacing w:after="0" w:line="240" w:lineRule="auto"/>
      </w:pPr>
      <w:r>
        <w:separator/>
      </w:r>
    </w:p>
  </w:endnote>
  <w:endnote w:type="continuationSeparator" w:id="0">
    <w:p w14:paraId="45E55270" w14:textId="77777777" w:rsidR="009F6F00" w:rsidRDefault="009F6F00" w:rsidP="00072BC8">
      <w:pPr>
        <w:spacing w:after="0" w:line="240" w:lineRule="auto"/>
      </w:pPr>
      <w:r>
        <w:continuationSeparator/>
      </w:r>
    </w:p>
  </w:endnote>
  <w:endnote w:type="continuationNotice" w:id="1">
    <w:p w14:paraId="37154DE4" w14:textId="77777777" w:rsidR="009F6F00" w:rsidRDefault="009F6F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ITC Avant Garde">
    <w:panose1 w:val="020B04020202030203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vantGarde Bk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BD8B6" w14:textId="516D3EF8" w:rsidR="00C80656" w:rsidRPr="00E4229B" w:rsidRDefault="00C80656" w:rsidP="00E4229B">
    <w:pPr>
      <w:pStyle w:val="Piedepgina"/>
      <w:jc w:val="right"/>
      <w:rPr>
        <w:rFonts w:ascii="AvantGarde Bk BT" w:hAnsi="AvantGarde Bk BT"/>
        <w:sz w:val="20"/>
        <w:szCs w:val="20"/>
      </w:rPr>
    </w:pPr>
    <w:r w:rsidRPr="00FC1D84">
      <w:rPr>
        <w:rFonts w:ascii="AvantGarde Bk BT" w:hAnsi="AvantGarde Bk BT"/>
        <w:sz w:val="20"/>
        <w:szCs w:val="20"/>
      </w:rPr>
      <w:fldChar w:fldCharType="begin"/>
    </w:r>
    <w:r w:rsidRPr="00FC1D84">
      <w:rPr>
        <w:rFonts w:ascii="AvantGarde Bk BT" w:hAnsi="AvantGarde Bk BT"/>
        <w:sz w:val="20"/>
        <w:szCs w:val="20"/>
      </w:rPr>
      <w:instrText>PAGE   \* MERGEFORMAT</w:instrText>
    </w:r>
    <w:r w:rsidRPr="00FC1D84">
      <w:rPr>
        <w:rFonts w:ascii="AvantGarde Bk BT" w:hAnsi="AvantGarde Bk BT"/>
        <w:sz w:val="20"/>
        <w:szCs w:val="20"/>
      </w:rPr>
      <w:fldChar w:fldCharType="separate"/>
    </w:r>
    <w:r w:rsidR="004F36F7" w:rsidRPr="004F36F7">
      <w:rPr>
        <w:rFonts w:ascii="AvantGarde Bk BT" w:hAnsi="AvantGarde Bk BT"/>
        <w:noProof/>
        <w:sz w:val="20"/>
        <w:szCs w:val="20"/>
        <w:lang w:val="es-ES"/>
      </w:rPr>
      <w:t>46</w:t>
    </w:r>
    <w:r w:rsidRPr="00FC1D84">
      <w:rPr>
        <w:rFonts w:ascii="AvantGarde Bk BT" w:hAnsi="AvantGarde Bk BT"/>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6F7AA1" w14:textId="77777777" w:rsidR="009F6F00" w:rsidRDefault="009F6F00" w:rsidP="00072BC8">
      <w:pPr>
        <w:spacing w:after="0" w:line="240" w:lineRule="auto"/>
      </w:pPr>
      <w:r>
        <w:separator/>
      </w:r>
    </w:p>
  </w:footnote>
  <w:footnote w:type="continuationSeparator" w:id="0">
    <w:p w14:paraId="03AB4456" w14:textId="77777777" w:rsidR="009F6F00" w:rsidRDefault="009F6F00" w:rsidP="00072BC8">
      <w:pPr>
        <w:spacing w:after="0" w:line="240" w:lineRule="auto"/>
      </w:pPr>
      <w:r>
        <w:continuationSeparator/>
      </w:r>
    </w:p>
  </w:footnote>
  <w:footnote w:type="continuationNotice" w:id="1">
    <w:p w14:paraId="4FF0F4AB" w14:textId="77777777" w:rsidR="009F6F00" w:rsidRDefault="009F6F00">
      <w:pPr>
        <w:spacing w:after="0" w:line="240" w:lineRule="auto"/>
      </w:pPr>
    </w:p>
  </w:footnote>
  <w:footnote w:id="2">
    <w:p w14:paraId="4B496D96" w14:textId="51B25C7C" w:rsidR="00C80656" w:rsidRDefault="00C80656" w:rsidP="002446C2">
      <w:pPr>
        <w:pStyle w:val="Textonotapie"/>
        <w:jc w:val="both"/>
      </w:pPr>
      <w:r>
        <w:rPr>
          <w:rStyle w:val="Refdenotaalpie"/>
        </w:rPr>
        <w:footnoteRef/>
      </w:r>
      <w:r>
        <w:t xml:space="preserve"> Este punto es consistente con el hecho de que, típicamente, e</w:t>
      </w:r>
      <w:r w:rsidRPr="002446C2">
        <w:t xml:space="preserve">n los modelos de costos </w:t>
      </w:r>
      <w:r>
        <w:t>de interconexión asociados a redes fija</w:t>
      </w:r>
      <w:r w:rsidRPr="002446C2">
        <w:t>s los costos relacionados con la red de acceso se recuperan a través de las cuotas de suscripción</w:t>
      </w:r>
      <w:r>
        <w:t>, con lo cual se asegura la recuperación de los costos de la red de acceso en el caso de la tarifa del SMRLT. Lo anterior en el entendido de que la red de acceso no</w:t>
      </w:r>
      <w:r>
        <w:rPr>
          <w:szCs w:val="18"/>
        </w:rPr>
        <w:t xml:space="preserve"> forma parte de los servicios de terminación ni originación. La precisión anterior se encuentra en los apartados “</w:t>
      </w:r>
      <w:r w:rsidRPr="002446C2">
        <w:rPr>
          <w:szCs w:val="18"/>
        </w:rPr>
        <w:t>Demarcación de las capas de red</w:t>
      </w:r>
      <w:r>
        <w:rPr>
          <w:szCs w:val="18"/>
        </w:rPr>
        <w:t>” y “</w:t>
      </w:r>
      <w:r w:rsidRPr="002446C2">
        <w:rPr>
          <w:szCs w:val="18"/>
        </w:rPr>
        <w:t>Red de acceso</w:t>
      </w:r>
      <w:r>
        <w:rPr>
          <w:szCs w:val="18"/>
        </w:rPr>
        <w:t>” contenidos en el numeral “</w:t>
      </w:r>
      <w:r w:rsidRPr="002446C2">
        <w:rPr>
          <w:szCs w:val="18"/>
        </w:rPr>
        <w:t>1.2 Aspectos relacionados con la tecnología.</w:t>
      </w:r>
      <w:r>
        <w:rPr>
          <w:szCs w:val="18"/>
        </w:rPr>
        <w:t>” del “</w:t>
      </w:r>
      <w:r w:rsidRPr="002446C2">
        <w:rPr>
          <w:szCs w:val="18"/>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2018.</w:t>
      </w:r>
      <w:r>
        <w:rPr>
          <w:szCs w:val="18"/>
        </w:rPr>
        <w:t xml:space="preserve">”, disponible a través de la siguiente dirección electrónica: </w:t>
      </w:r>
      <w:r w:rsidRPr="0093457D">
        <w:rPr>
          <w:color w:val="0000FF"/>
          <w:szCs w:val="18"/>
        </w:rPr>
        <w:t>http://dof.gob.mx/nota_detalle.php?codigo=5504053&amp;fecha=09/11/2017</w:t>
      </w:r>
    </w:p>
  </w:footnote>
  <w:footnote w:id="3">
    <w:p w14:paraId="0C697ED4" w14:textId="3D1C6949" w:rsidR="00C80656" w:rsidRDefault="00C80656" w:rsidP="00413A19">
      <w:pPr>
        <w:pStyle w:val="Textonotapie"/>
        <w:jc w:val="both"/>
      </w:pPr>
      <w:r>
        <w:rPr>
          <w:rStyle w:val="Refdenotaalpie"/>
        </w:rPr>
        <w:footnoteRef/>
      </w:r>
      <w:r>
        <w:t xml:space="preserve"> De conformidad las </w:t>
      </w:r>
      <w:r w:rsidRPr="00DF5E5C">
        <w:t>“</w:t>
      </w:r>
      <w:r w:rsidRPr="00DF5E5C">
        <w:rPr>
          <w:i/>
        </w:rPr>
        <w:t>CONDICIONES DEL SERVICIO DE TELEFONÍA BÁSICA PARA MERCADO RESIDENCIAL Y COMERCIAL (MASIVO)</w:t>
      </w:r>
      <w:r w:rsidRPr="00DF5E5C">
        <w:t>”</w:t>
      </w:r>
      <w:r>
        <w:t>,</w:t>
      </w:r>
      <w:r w:rsidRPr="00DF5E5C">
        <w:t xml:space="preserve"> disponible</w:t>
      </w:r>
      <w:r>
        <w:t>s</w:t>
      </w:r>
      <w:r w:rsidRPr="00DF5E5C">
        <w:t xml:space="preserve"> a través de la siguiente dirección electrónica: </w:t>
      </w:r>
      <w:r w:rsidRPr="0093457D">
        <w:rPr>
          <w:color w:val="0000FF"/>
        </w:rPr>
        <w:t>https://downloads.telmex.com/pdf/contrato-marco-prestacion-servicio.pdf</w:t>
      </w:r>
      <w:r>
        <w:t>, la renta mensual del servicio para líneas de uso residencial incluye “</w:t>
      </w:r>
      <w:r w:rsidRPr="00DF5E5C">
        <w:rPr>
          <w:i/>
        </w:rPr>
        <w:t>hasta 100 llamadas locales libres de cargo</w:t>
      </w:r>
      <w:r>
        <w:t>”, mientras que la renta mensual del servicio para líneas de uso comercial es “</w:t>
      </w:r>
      <w:r w:rsidRPr="00DF5E5C">
        <w:rPr>
          <w:i/>
        </w:rPr>
        <w:t>sin derecho a llamadas locales libres de cargo</w:t>
      </w:r>
      <w:r>
        <w:t>”.</w:t>
      </w:r>
    </w:p>
  </w:footnote>
  <w:footnote w:id="4">
    <w:p w14:paraId="46334649" w14:textId="6020105A" w:rsidR="00C80656" w:rsidRPr="00974A00" w:rsidRDefault="00C80656" w:rsidP="00F93261">
      <w:pPr>
        <w:pStyle w:val="Textonotapie"/>
        <w:jc w:val="both"/>
        <w:rPr>
          <w:szCs w:val="18"/>
        </w:rPr>
      </w:pPr>
      <w:r w:rsidRPr="00974A00">
        <w:rPr>
          <w:rStyle w:val="Refdenotaalpie"/>
          <w:szCs w:val="18"/>
        </w:rPr>
        <w:footnoteRef/>
      </w:r>
      <w:r w:rsidRPr="00974A00">
        <w:rPr>
          <w:szCs w:val="18"/>
        </w:rPr>
        <w:t xml:space="preserve"> Disponible a través de la siguiente dirección electrónica: </w:t>
      </w:r>
      <w:r w:rsidRPr="0093457D">
        <w:rPr>
          <w:color w:val="0000FF"/>
          <w:szCs w:val="18"/>
        </w:rPr>
        <w:t xml:space="preserve">https://www.cnmc.es/file/169025/download </w:t>
      </w:r>
    </w:p>
  </w:footnote>
  <w:footnote w:id="5">
    <w:p w14:paraId="381C2BFF" w14:textId="053A86D0" w:rsidR="00C80656" w:rsidRDefault="00C80656" w:rsidP="00F93261">
      <w:pPr>
        <w:pStyle w:val="Textonotapie"/>
        <w:jc w:val="both"/>
      </w:pPr>
      <w:r>
        <w:rPr>
          <w:rStyle w:val="Refdenotaalpie"/>
        </w:rPr>
        <w:footnoteRef/>
      </w:r>
      <w:r>
        <w:t xml:space="preserve"> Véase el numeral “</w:t>
      </w:r>
      <w:r w:rsidRPr="003B2E95">
        <w:rPr>
          <w:i/>
        </w:rPr>
        <w:t>III.1.2 SERVICIO DE ACCESO MAYORISTA A LA LÍNEA TELEFÓ</w:t>
      </w:r>
      <w:r w:rsidRPr="0051463A">
        <w:t>NICA</w:t>
      </w:r>
      <w:r>
        <w:t>” contenido dentro de la “</w:t>
      </w:r>
      <w:r w:rsidRPr="003B2E95">
        <w:rPr>
          <w:i/>
        </w:rPr>
        <w:t>RESOLUCIÓN RELATIVA A LA DEFINICIÓN Y ANÁLISIS DEL MERCADO MINORISTA DE ACCESO A LA RED TELEFÓNICA PÚBLICA EN UNA UBICACIÓN FIJA (MERCADO 1/2007) Y DEL MERCADO MAYORISTA DE ACCESO Y ORIGINACIÓN DE LLAMADAS EN REDES FIJAS (MERCADO 2/2007) ACUERDA SU NOTIFICACIÓN A LA COMISIÓN EUROPEA Y AL ORGANISMO DE REGULADORES EUROPEOS DE COMUNICACIONES ELECTRÓNICAS</w:t>
      </w:r>
      <w:r>
        <w:t xml:space="preserve">”, disponible a través de la siguiente dirección electrónica: </w:t>
      </w:r>
      <w:r w:rsidRPr="0093457D">
        <w:rPr>
          <w:color w:val="0000FF"/>
        </w:rPr>
        <w:t xml:space="preserve">https://www.cnmc.es/file/170782/download. </w:t>
      </w:r>
    </w:p>
  </w:footnote>
  <w:footnote w:id="6">
    <w:p w14:paraId="2BD0A86F" w14:textId="53EB0BC2" w:rsidR="00C80656" w:rsidRPr="00974A00" w:rsidRDefault="00C80656" w:rsidP="00F93261">
      <w:pPr>
        <w:pStyle w:val="Textonotapie"/>
        <w:jc w:val="both"/>
        <w:rPr>
          <w:szCs w:val="18"/>
        </w:rPr>
      </w:pPr>
      <w:r w:rsidRPr="00974A00">
        <w:rPr>
          <w:rStyle w:val="Refdenotaalpie"/>
          <w:szCs w:val="18"/>
        </w:rPr>
        <w:footnoteRef/>
      </w:r>
      <w:r w:rsidRPr="00974A00">
        <w:rPr>
          <w:szCs w:val="18"/>
        </w:rPr>
        <w:t xml:space="preserve"> Disponible a través de las siguientes direcciones electrónicas: </w:t>
      </w:r>
      <w:r w:rsidRPr="0093457D">
        <w:rPr>
          <w:color w:val="0000FF"/>
          <w:szCs w:val="18"/>
        </w:rPr>
        <w:t xml:space="preserve">https://www.orange.com/fr/content/download/1987/17179/version/8/file/ODR-VGA_2015-01-01.pdf </w:t>
      </w:r>
      <w:r w:rsidRPr="00974A00">
        <w:rPr>
          <w:szCs w:val="18"/>
        </w:rPr>
        <w:t xml:space="preserve">y </w:t>
      </w:r>
      <w:r w:rsidRPr="0093457D">
        <w:rPr>
          <w:color w:val="0000FF"/>
          <w:szCs w:val="18"/>
        </w:rPr>
        <w:t xml:space="preserve">https://www.orange.com/fr/content/download/1989/17194/version/1/file/Annexe_1-VGA_01-12-08.pdf </w:t>
      </w:r>
    </w:p>
  </w:footnote>
  <w:footnote w:id="7">
    <w:p w14:paraId="7EDA7925" w14:textId="478B5F7A" w:rsidR="00C80656" w:rsidRPr="00974A00" w:rsidRDefault="00C80656" w:rsidP="00F93261">
      <w:pPr>
        <w:pStyle w:val="Textonotapie"/>
        <w:jc w:val="both"/>
        <w:rPr>
          <w:szCs w:val="18"/>
        </w:rPr>
      </w:pPr>
      <w:r w:rsidRPr="00974A00">
        <w:rPr>
          <w:rStyle w:val="Refdenotaalpie"/>
          <w:szCs w:val="18"/>
        </w:rPr>
        <w:footnoteRef/>
      </w:r>
      <w:r w:rsidRPr="00974A00">
        <w:rPr>
          <w:szCs w:val="18"/>
        </w:rPr>
        <w:t xml:space="preserve">  Véanse las decisiones 825/03 y 654/010 del Comité Nacional Telecomunicaciones y Servicios Postales (EETT), disponibles respectivamente a través de las direcciones electrónicas: </w:t>
      </w:r>
      <w:r w:rsidRPr="0093457D">
        <w:rPr>
          <w:color w:val="0000FF"/>
          <w:szCs w:val="18"/>
        </w:rPr>
        <w:t xml:space="preserve">https://www.eett.gr/opencms/export/sites/default/admin/downloads/telec/apofaseis_eett/kanonistikes_apofaseis_eett/FEK_478_115_6_5_08.pdf </w:t>
      </w:r>
      <w:r w:rsidRPr="00974A00">
        <w:rPr>
          <w:szCs w:val="18"/>
        </w:rPr>
        <w:t xml:space="preserve">y </w:t>
      </w:r>
      <w:r w:rsidRPr="0093457D">
        <w:rPr>
          <w:color w:val="0000FF"/>
          <w:szCs w:val="18"/>
        </w:rPr>
        <w:t xml:space="preserve">https://www.eett.gr/opencms/export/sites/default/admin/downloads/telec/apofaseis_eett/kanonistikes_apofaseis_eett/AP654-010_2012.pdf. </w:t>
      </w:r>
      <w:r w:rsidRPr="00974A00">
        <w:rPr>
          <w:szCs w:val="18"/>
        </w:rPr>
        <w:t xml:space="preserve">Asimismo, véase la página del operador la división mayorista de OTE: </w:t>
      </w:r>
      <w:r w:rsidRPr="0093457D">
        <w:rPr>
          <w:color w:val="0000FF"/>
          <w:szCs w:val="18"/>
        </w:rPr>
        <w:t>http://www.otewholesale.gr/Services/</w:t>
      </w:r>
      <w:r w:rsidRPr="0093457D">
        <w:rPr>
          <w:rFonts w:cs="Calibri"/>
          <w:color w:val="0000FF"/>
          <w:szCs w:val="18"/>
        </w:rPr>
        <w:t>ΆλλεςΥ</w:t>
      </w:r>
      <w:r w:rsidRPr="0093457D">
        <w:rPr>
          <w:rFonts w:cs="ITC Avant Garde"/>
          <w:color w:val="0000FF"/>
          <w:szCs w:val="18"/>
        </w:rPr>
        <w:t>π</w:t>
      </w:r>
      <w:r w:rsidRPr="0093457D">
        <w:rPr>
          <w:rFonts w:cs="Calibri"/>
          <w:color w:val="0000FF"/>
          <w:szCs w:val="18"/>
        </w:rPr>
        <w:t>ηρεσίες</w:t>
      </w:r>
      <w:r w:rsidRPr="0093457D">
        <w:rPr>
          <w:color w:val="0000FF"/>
          <w:szCs w:val="18"/>
        </w:rPr>
        <w:t>/</w:t>
      </w:r>
      <w:r w:rsidRPr="0093457D">
        <w:rPr>
          <w:rFonts w:cs="Calibri"/>
          <w:color w:val="0000FF"/>
          <w:szCs w:val="18"/>
        </w:rPr>
        <w:t>ΧΕΓ</w:t>
      </w:r>
      <w:r w:rsidRPr="0093457D">
        <w:rPr>
          <w:color w:val="0000FF"/>
          <w:szCs w:val="18"/>
        </w:rPr>
        <w:t xml:space="preserve">WLR/tabid/182/language/en-US/Default.aspx </w:t>
      </w:r>
      <w:r w:rsidRPr="00974A00">
        <w:rPr>
          <w:szCs w:val="18"/>
        </w:rPr>
        <w:t xml:space="preserve">y el correspondiente anexo de tarifas relativo a dicho servicio mayorista: </w:t>
      </w:r>
      <w:r w:rsidRPr="0093457D">
        <w:rPr>
          <w:color w:val="0000FF"/>
          <w:szCs w:val="18"/>
        </w:rPr>
        <w:t xml:space="preserve">http://www.otewholesale.gr/Portals/0/WLR_EN_1001_1_2018.pdf </w:t>
      </w:r>
    </w:p>
  </w:footnote>
  <w:footnote w:id="8">
    <w:p w14:paraId="1E6683F1" w14:textId="270D47B7" w:rsidR="00C80656" w:rsidRPr="00974A00" w:rsidRDefault="00C80656" w:rsidP="00F93261">
      <w:pPr>
        <w:pStyle w:val="Textonotapie"/>
        <w:jc w:val="both"/>
        <w:rPr>
          <w:szCs w:val="18"/>
        </w:rPr>
      </w:pPr>
      <w:r w:rsidRPr="00974A00">
        <w:rPr>
          <w:rStyle w:val="Refdenotaalpie"/>
          <w:szCs w:val="18"/>
        </w:rPr>
        <w:footnoteRef/>
      </w:r>
      <w:r w:rsidRPr="00974A00">
        <w:rPr>
          <w:szCs w:val="18"/>
        </w:rPr>
        <w:t xml:space="preserve"> Disponible a través de las siguientes direcciones electrónicas: </w:t>
      </w:r>
      <w:r w:rsidRPr="0093457D">
        <w:rPr>
          <w:color w:val="0000FF"/>
          <w:szCs w:val="18"/>
        </w:rPr>
        <w:t>https://www.wholesale.telecomitalia.com/it/c/document_library/get_file?uuid=17cee954-20e5-45b5-b3a6-03d9c55dd918&amp;groupId=10165, https://www.wholesale.telecomitalia.com/it/c/document_library/get_file?uuid=27017684-b08f-4b91-aa5c-8ba7735a225c&amp;groupId=10165, y https://www.wholesale.telecomitalia.com/it/c/document_library/get_file?uuid=bebabedb-34b1-4f38-93da-9a0103136225&amp;groupId=10165</w:t>
      </w:r>
    </w:p>
  </w:footnote>
  <w:footnote w:id="9">
    <w:p w14:paraId="5DE085FF" w14:textId="77777777" w:rsidR="00C80656" w:rsidRPr="00974A00" w:rsidRDefault="00C80656" w:rsidP="00F93261">
      <w:pPr>
        <w:pStyle w:val="HTMLconformatoprevio"/>
        <w:shd w:val="clear" w:color="auto" w:fill="FFFFFF"/>
        <w:jc w:val="both"/>
        <w:rPr>
          <w:rFonts w:ascii="ITC Avant Garde" w:hAnsi="ITC Avant Garde"/>
          <w:sz w:val="18"/>
          <w:szCs w:val="18"/>
        </w:rPr>
      </w:pPr>
      <w:r w:rsidRPr="00974A00">
        <w:rPr>
          <w:rStyle w:val="Refdenotaalpie"/>
          <w:rFonts w:ascii="ITC Avant Garde" w:hAnsi="ITC Avant Garde"/>
          <w:sz w:val="18"/>
          <w:szCs w:val="18"/>
        </w:rPr>
        <w:footnoteRef/>
      </w:r>
      <w:r w:rsidRPr="00974A00">
        <w:rPr>
          <w:rFonts w:ascii="ITC Avant Garde" w:hAnsi="ITC Avant Garde"/>
          <w:sz w:val="18"/>
          <w:szCs w:val="18"/>
        </w:rPr>
        <w:t xml:space="preserve"> </w:t>
      </w:r>
      <w:r w:rsidRPr="00974A00">
        <w:rPr>
          <w:rFonts w:ascii="ITC Avant Garde" w:hAnsi="ITC Avant Garde"/>
          <w:color w:val="212121"/>
          <w:sz w:val="18"/>
          <w:szCs w:val="18"/>
          <w:lang w:val="es-ES"/>
        </w:rPr>
        <w:t xml:space="preserve">El tráfico originado por el cliente del entrante y reenviado por Telecom Italia en la red de dicho operador se cobra según las condiciones económicas de interconexión vigentes en el momento de suministro del servicio </w:t>
      </w:r>
      <w:r>
        <w:rPr>
          <w:rFonts w:ascii="ITC Avant Garde" w:hAnsi="ITC Avant Garde"/>
          <w:color w:val="212121"/>
          <w:sz w:val="18"/>
          <w:szCs w:val="18"/>
          <w:lang w:val="es-ES"/>
        </w:rPr>
        <w:t>“</w:t>
      </w:r>
      <w:r w:rsidRPr="00BE6D2B">
        <w:rPr>
          <w:rFonts w:ascii="ITC Avant Garde" w:hAnsi="ITC Avant Garde"/>
          <w:i/>
          <w:color w:val="212121"/>
          <w:sz w:val="18"/>
          <w:szCs w:val="18"/>
          <w:lang w:val="es-ES"/>
        </w:rPr>
        <w:t>Wholesale Line Rental</w:t>
      </w:r>
      <w:r>
        <w:rPr>
          <w:rFonts w:ascii="ITC Avant Garde" w:hAnsi="ITC Avant Garde"/>
          <w:color w:val="212121"/>
          <w:sz w:val="18"/>
          <w:szCs w:val="18"/>
          <w:lang w:val="es-ES"/>
        </w:rPr>
        <w:t>”</w:t>
      </w:r>
      <w:r w:rsidRPr="00974A00">
        <w:rPr>
          <w:rFonts w:ascii="ITC Avant Garde" w:hAnsi="ITC Avant Garde"/>
          <w:color w:val="212121"/>
          <w:sz w:val="18"/>
          <w:szCs w:val="18"/>
          <w:lang w:val="es-ES"/>
        </w:rPr>
        <w:t xml:space="preserve">, para la recopilación de comunicaciones de los suscriptores de Telecom Italia, sin distinción del tipo de numeración de llamadas. Este tráfico se enruta en los flujos de interconexión comprados por el </w:t>
      </w:r>
      <w:r>
        <w:rPr>
          <w:rFonts w:ascii="ITC Avant Garde" w:hAnsi="ITC Avant Garde"/>
          <w:color w:val="212121"/>
          <w:sz w:val="18"/>
          <w:szCs w:val="18"/>
          <w:lang w:val="es-ES"/>
        </w:rPr>
        <w:t>operador “</w:t>
      </w:r>
      <w:r w:rsidRPr="00974A00">
        <w:rPr>
          <w:rFonts w:ascii="ITC Avant Garde" w:hAnsi="ITC Avant Garde"/>
          <w:color w:val="212121"/>
          <w:sz w:val="18"/>
          <w:szCs w:val="18"/>
          <w:lang w:val="es-ES"/>
        </w:rPr>
        <w:t>Wholesale</w:t>
      </w:r>
      <w:r w:rsidRPr="00644C0A">
        <w:rPr>
          <w:rFonts w:ascii="ITC Avant Garde" w:hAnsi="ITC Avant Garde"/>
          <w:i/>
          <w:color w:val="212121"/>
          <w:sz w:val="18"/>
          <w:szCs w:val="18"/>
          <w:lang w:val="es-ES"/>
        </w:rPr>
        <w:t xml:space="preserve"> Line Renta</w:t>
      </w:r>
      <w:r>
        <w:rPr>
          <w:rFonts w:ascii="ITC Avant Garde" w:hAnsi="ITC Avant Garde"/>
          <w:i/>
          <w:color w:val="212121"/>
          <w:sz w:val="18"/>
          <w:szCs w:val="18"/>
          <w:lang w:val="es-ES"/>
        </w:rPr>
        <w:t>l”</w:t>
      </w:r>
      <w:r w:rsidRPr="00974A00">
        <w:rPr>
          <w:rFonts w:ascii="ITC Avant Garde" w:hAnsi="ITC Avant Garde"/>
          <w:color w:val="212121"/>
          <w:sz w:val="18"/>
          <w:szCs w:val="18"/>
          <w:lang w:val="es-ES"/>
        </w:rPr>
        <w:t xml:space="preserve"> de conformidad con Ofertas actuales de referencia de Telecom Italia para servicios conmutados y servicios de transmisión a capacidad dedicada.</w:t>
      </w:r>
    </w:p>
  </w:footnote>
  <w:footnote w:id="10">
    <w:p w14:paraId="0981727D" w14:textId="0A34F6EF" w:rsidR="00C80656" w:rsidRPr="003B309A" w:rsidRDefault="00C80656" w:rsidP="00F93261">
      <w:pPr>
        <w:pStyle w:val="Textonotapie"/>
        <w:jc w:val="both"/>
        <w:rPr>
          <w:color w:val="0000FF"/>
          <w:szCs w:val="18"/>
        </w:rPr>
      </w:pPr>
      <w:r w:rsidRPr="00974A00">
        <w:rPr>
          <w:rStyle w:val="Refdenotaalpie"/>
          <w:szCs w:val="18"/>
        </w:rPr>
        <w:footnoteRef/>
      </w:r>
      <w:r w:rsidRPr="00974A00">
        <w:rPr>
          <w:szCs w:val="18"/>
        </w:rPr>
        <w:t xml:space="preserve"> Disponible a través de la siguiente </w:t>
      </w:r>
      <w:r w:rsidRPr="003B309A">
        <w:rPr>
          <w:szCs w:val="18"/>
        </w:rPr>
        <w:t xml:space="preserve">dirección electrónica: </w:t>
      </w:r>
      <w:r w:rsidRPr="003B309A">
        <w:rPr>
          <w:color w:val="0000FF"/>
          <w:szCs w:val="18"/>
        </w:rPr>
        <w:t xml:space="preserve">https://downloads.telmex.com/pdf/contrato-marco-prestacion-servicio.pdf </w:t>
      </w:r>
    </w:p>
  </w:footnote>
  <w:footnote w:id="11">
    <w:p w14:paraId="4611D9A3" w14:textId="0550D029" w:rsidR="00C80656" w:rsidRPr="003B309A" w:rsidRDefault="00C80656" w:rsidP="00475A33">
      <w:pPr>
        <w:pStyle w:val="Textonotapie"/>
        <w:jc w:val="both"/>
        <w:rPr>
          <w:color w:val="0000FF"/>
        </w:rPr>
      </w:pPr>
      <w:r>
        <w:rPr>
          <w:rStyle w:val="Refdenotaalpie"/>
        </w:rPr>
        <w:footnoteRef/>
      </w:r>
      <w:r>
        <w:t xml:space="preserve"> Disponible a través de la siguiente dirección electrónica: </w:t>
      </w:r>
      <w:r w:rsidRPr="003B309A">
        <w:rPr>
          <w:color w:val="0000FF"/>
        </w:rPr>
        <w:t xml:space="preserve">http://www.ift.org.mx/politica-regulatoria/convenios-marco-de-interconexion-2017 </w:t>
      </w:r>
    </w:p>
  </w:footnote>
  <w:footnote w:id="12">
    <w:p w14:paraId="35D70CD8" w14:textId="3896CA8B" w:rsidR="00C80656" w:rsidRDefault="00C80656" w:rsidP="00475A33">
      <w:pPr>
        <w:pStyle w:val="Textonotapie"/>
        <w:jc w:val="both"/>
      </w:pPr>
      <w:r>
        <w:rPr>
          <w:rStyle w:val="Refdenotaalpie"/>
        </w:rPr>
        <w:footnoteRef/>
      </w:r>
      <w:r>
        <w:t xml:space="preserve"> Disponible a través de la siguiente dirección electrónica: </w:t>
      </w:r>
      <w:r w:rsidRPr="003B309A">
        <w:rPr>
          <w:color w:val="0000FF"/>
        </w:rPr>
        <w:t xml:space="preserve">http://www.dof.gob.mx/nota_detalle.php?codigo=5504053&amp;fecha=09/11/2017 </w:t>
      </w:r>
    </w:p>
  </w:footnote>
  <w:footnote w:id="13">
    <w:p w14:paraId="16149104" w14:textId="77777777" w:rsidR="00C80656" w:rsidRPr="00974A00" w:rsidRDefault="00C80656" w:rsidP="00413A19">
      <w:pPr>
        <w:pStyle w:val="Textonotapie"/>
        <w:jc w:val="both"/>
        <w:rPr>
          <w:szCs w:val="18"/>
        </w:rPr>
      </w:pPr>
      <w:r w:rsidRPr="00974A00">
        <w:rPr>
          <w:rStyle w:val="Refdenotaalpie"/>
          <w:szCs w:val="18"/>
        </w:rPr>
        <w:footnoteRef/>
      </w:r>
      <w:r w:rsidRPr="00974A00">
        <w:rPr>
          <w:szCs w:val="18"/>
        </w:rPr>
        <w:t xml:space="preserve"> Cabe destacar que en el modelo se considera la representación del precio implícito asociado a “</w:t>
      </w:r>
      <w:r w:rsidRPr="003B2E95">
        <w:rPr>
          <w:i/>
          <w:szCs w:val="18"/>
        </w:rPr>
        <w:t>Servicios Digitales</w:t>
      </w:r>
      <w:r w:rsidRPr="00974A00">
        <w:rPr>
          <w:szCs w:val="18"/>
        </w:rPr>
        <w:t>”, dado que son conceptos característicos que el AEP ofrece a sus clientes en diferentes planes y paquetes. En este sentido, se consideró pertinente la asignación del precio implícito para los mismos de la siguiente forma: el costo de los “</w:t>
      </w:r>
      <w:r w:rsidRPr="003B2E95">
        <w:rPr>
          <w:i/>
          <w:szCs w:val="18"/>
        </w:rPr>
        <w:t>Servicios Digitales</w:t>
      </w:r>
      <w:r w:rsidRPr="00974A00">
        <w:rPr>
          <w:szCs w:val="18"/>
        </w:rPr>
        <w:t>” se distribuyó en el precio implícito reportado para el servicio de renta de línea, considerando la recuperación del costo mensual de la suscripción de dicho servicio y la cantidad de servicios digitales incluidos en la renta del plan/paquete de ser el caso, y el número promedio de años en que se retiene al cliente con línea telefónica.</w:t>
      </w:r>
    </w:p>
  </w:footnote>
  <w:footnote w:id="14">
    <w:p w14:paraId="2E0BF210" w14:textId="77777777" w:rsidR="00C80656" w:rsidRPr="00974A00" w:rsidRDefault="00C80656" w:rsidP="00475A33">
      <w:pPr>
        <w:pStyle w:val="Textonotapie"/>
        <w:jc w:val="both"/>
        <w:rPr>
          <w:szCs w:val="18"/>
        </w:rPr>
      </w:pPr>
      <w:r w:rsidRPr="00974A00">
        <w:rPr>
          <w:rStyle w:val="Refdenotaalpie"/>
          <w:szCs w:val="18"/>
        </w:rPr>
        <w:footnoteRef/>
      </w:r>
      <w:r w:rsidRPr="00974A00">
        <w:rPr>
          <w:szCs w:val="18"/>
        </w:rPr>
        <w:t xml:space="preserve"> </w:t>
      </w:r>
      <w:r w:rsidRPr="00974A00">
        <w:rPr>
          <w:szCs w:val="18"/>
          <w:lang w:val="es-ES"/>
        </w:rPr>
        <w:t>Dicho proceso se realiza en el modelo considerando que los precios minoristas de contratación y renta de línea varían en función de si se trata de un cliente residencial o comercial.</w:t>
      </w:r>
    </w:p>
  </w:footnote>
  <w:footnote w:id="15">
    <w:p w14:paraId="1B521EB7" w14:textId="77777777" w:rsidR="00C80656" w:rsidRPr="00974A00" w:rsidRDefault="00C80656" w:rsidP="00475A33">
      <w:pPr>
        <w:pStyle w:val="Textonotapie"/>
        <w:jc w:val="both"/>
        <w:rPr>
          <w:szCs w:val="18"/>
        </w:rPr>
      </w:pPr>
      <w:r w:rsidRPr="00974A00">
        <w:rPr>
          <w:rStyle w:val="Refdenotaalpie"/>
          <w:szCs w:val="18"/>
        </w:rPr>
        <w:footnoteRef/>
      </w:r>
      <w:r w:rsidRPr="00974A00">
        <w:rPr>
          <w:szCs w:val="18"/>
        </w:rPr>
        <w:t xml:space="preserve"> El tipo de cambio fue obtenido de la Encuesta sobre las expectativas de los especialistas en economía del sector privado para enero 2018.</w:t>
      </w:r>
    </w:p>
  </w:footnote>
  <w:footnote w:id="16">
    <w:p w14:paraId="38711039" w14:textId="77777777" w:rsidR="00C80656" w:rsidRPr="00974A00" w:rsidRDefault="00C80656" w:rsidP="00475A33">
      <w:pPr>
        <w:pStyle w:val="Textonotapie"/>
        <w:jc w:val="both"/>
        <w:rPr>
          <w:szCs w:val="18"/>
        </w:rPr>
      </w:pPr>
      <w:r w:rsidRPr="00974A00">
        <w:rPr>
          <w:rStyle w:val="Refdenotaalpie"/>
          <w:szCs w:val="18"/>
        </w:rPr>
        <w:footnoteRef/>
      </w:r>
      <w:r w:rsidRPr="00974A00">
        <w:rPr>
          <w:szCs w:val="18"/>
        </w:rPr>
        <w:t xml:space="preserve"> La duración en minutos de las “</w:t>
      </w:r>
      <w:r w:rsidRPr="003B2E95">
        <w:rPr>
          <w:i/>
          <w:szCs w:val="18"/>
        </w:rPr>
        <w:t>Llamadas a números locales</w:t>
      </w:r>
      <w:r w:rsidRPr="00974A00">
        <w:rPr>
          <w:szCs w:val="18"/>
        </w:rPr>
        <w:t>” se estimó a partir de la duración promedio en minutos de llamadas locales, reportada por el AEP y del consumo promedio de llamadas de cada plan o paquete en estudio.</w:t>
      </w:r>
    </w:p>
  </w:footnote>
  <w:footnote w:id="17">
    <w:p w14:paraId="648827F5" w14:textId="77777777" w:rsidR="00C80656" w:rsidRPr="00974A00" w:rsidRDefault="00C80656" w:rsidP="00F93261">
      <w:pPr>
        <w:pStyle w:val="Textonotapie"/>
        <w:jc w:val="both"/>
        <w:rPr>
          <w:szCs w:val="18"/>
        </w:rPr>
      </w:pPr>
      <w:r w:rsidRPr="00974A00">
        <w:rPr>
          <w:rStyle w:val="Refdenotaalpie"/>
          <w:szCs w:val="18"/>
        </w:rPr>
        <w:footnoteRef/>
      </w:r>
      <w:r w:rsidRPr="00974A00">
        <w:rPr>
          <w:szCs w:val="18"/>
        </w:rPr>
        <w:t xml:space="preserve"> En concreto, a través de la información aportada por el AEP en respuesta al IFT/221/UPR/DG-CIN/137/2016 de fecha 13 de septiembre de 2016, con el fin de llevar a cabo la actualización del </w:t>
      </w:r>
      <w:r>
        <w:rPr>
          <w:szCs w:val="18"/>
        </w:rPr>
        <w:t>Modelo de Costos E</w:t>
      </w:r>
      <w:r w:rsidRPr="00974A00">
        <w:rPr>
          <w:szCs w:val="18"/>
        </w:rPr>
        <w:t>vitados (</w:t>
      </w:r>
      <w:r w:rsidRPr="00153B8B">
        <w:rPr>
          <w:i/>
          <w:szCs w:val="18"/>
        </w:rPr>
        <w:t>retail minus</w:t>
      </w:r>
      <w:r w:rsidRPr="00974A00">
        <w:rPr>
          <w:szCs w:val="18"/>
        </w:rPr>
        <w:t>) implementado por el Instituto.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6A648" w14:textId="77777777" w:rsidR="00C80656" w:rsidRDefault="009F6F00">
    <w:pPr>
      <w:pStyle w:val="Encabezado"/>
    </w:pPr>
    <w:r>
      <w:rPr>
        <w:noProof/>
        <w:lang w:eastAsia="es-MX"/>
      </w:rPr>
      <w:pict w14:anchorId="3FD87E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margin-left:0;margin-top:0;width:612pt;height:11in;z-index:-251658239;mso-position-horizontal:center;mso-position-horizontal-relative:margin;mso-position-vertical:center;mso-position-vertical-relative:margin" o:allowincell="f">
          <v:imagedata r:id="rId1" o:title="hoja membretada s dir-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32126" w14:textId="77777777" w:rsidR="00C80656" w:rsidRDefault="00C80656" w:rsidP="00FE00B5">
    <w:pPr>
      <w:pStyle w:val="Encabezado"/>
      <w:tabs>
        <w:tab w:val="clear" w:pos="4419"/>
        <w:tab w:val="clear" w:pos="8838"/>
        <w:tab w:val="left" w:pos="773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81000" w14:textId="77777777" w:rsidR="00C80656" w:rsidRDefault="009F6F00">
    <w:pPr>
      <w:pStyle w:val="Encabezado"/>
    </w:pPr>
    <w:r>
      <w:rPr>
        <w:noProof/>
        <w:lang w:eastAsia="es-MX"/>
      </w:rPr>
      <w:pict w14:anchorId="6F78E8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margin-left:0;margin-top:0;width:612pt;height:11in;z-index:-251658240;mso-position-horizontal:center;mso-position-horizontal-relative:margin;mso-position-vertical:center;mso-position-vertical-relative:margin" o:allowincell="f">
          <v:imagedata r:id="rId1" o:title="hoja membretada s dir-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C3813"/>
    <w:multiLevelType w:val="hybridMultilevel"/>
    <w:tmpl w:val="BA9C7B5A"/>
    <w:lvl w:ilvl="0" w:tplc="A2E49176">
      <w:start w:val="1"/>
      <w:numFmt w:val="decimal"/>
      <w:pStyle w:val="Nprimero"/>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20E34ECE"/>
    <w:multiLevelType w:val="hybridMultilevel"/>
    <w:tmpl w:val="39A252D2"/>
    <w:lvl w:ilvl="0" w:tplc="DAA6CFD0">
      <w:start w:val="1"/>
      <w:numFmt w:val="lowerLetter"/>
      <w:pStyle w:val="Lsegunda"/>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 w15:restartNumberingAfterBreak="0">
    <w:nsid w:val="2595030A"/>
    <w:multiLevelType w:val="hybridMultilevel"/>
    <w:tmpl w:val="56A45616"/>
    <w:lvl w:ilvl="0" w:tplc="1D58195A">
      <w:start w:val="1"/>
      <w:numFmt w:val="upperRoman"/>
      <w:lvlText w:val="%1."/>
      <w:lvlJc w:val="right"/>
      <w:pPr>
        <w:ind w:left="1077" w:hanging="360"/>
      </w:pPr>
      <w:rPr>
        <w:b w:val="0"/>
        <w:i w:val="0"/>
      </w:r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3" w15:restartNumberingAfterBreak="0">
    <w:nsid w:val="26694F3B"/>
    <w:multiLevelType w:val="hybridMultilevel"/>
    <w:tmpl w:val="98D49830"/>
    <w:lvl w:ilvl="0" w:tplc="6BFC15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387521E4"/>
    <w:multiLevelType w:val="hybridMultilevel"/>
    <w:tmpl w:val="55CC0CEC"/>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3C845917"/>
    <w:multiLevelType w:val="hybridMultilevel"/>
    <w:tmpl w:val="46AA5C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C07CDE"/>
    <w:multiLevelType w:val="hybridMultilevel"/>
    <w:tmpl w:val="EF7AE006"/>
    <w:styleLink w:val="1ai"/>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8A5222F"/>
    <w:multiLevelType w:val="hybridMultilevel"/>
    <w:tmpl w:val="8BCCA81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494F2049"/>
    <w:multiLevelType w:val="hybridMultilevel"/>
    <w:tmpl w:val="7D78FA00"/>
    <w:lvl w:ilvl="0" w:tplc="080A0001">
      <w:start w:val="1"/>
      <w:numFmt w:val="bullet"/>
      <w:lvlText w:val=""/>
      <w:lvlJc w:val="left"/>
      <w:pPr>
        <w:ind w:left="1931" w:hanging="360"/>
      </w:pPr>
      <w:rPr>
        <w:rFonts w:ascii="Symbol" w:hAnsi="Symbol" w:hint="default"/>
      </w:rPr>
    </w:lvl>
    <w:lvl w:ilvl="1" w:tplc="080A0003" w:tentative="1">
      <w:start w:val="1"/>
      <w:numFmt w:val="bullet"/>
      <w:lvlText w:val="o"/>
      <w:lvlJc w:val="left"/>
      <w:pPr>
        <w:ind w:left="2651" w:hanging="360"/>
      </w:pPr>
      <w:rPr>
        <w:rFonts w:ascii="Courier New" w:hAnsi="Courier New" w:cs="Courier New" w:hint="default"/>
      </w:rPr>
    </w:lvl>
    <w:lvl w:ilvl="2" w:tplc="080A0005" w:tentative="1">
      <w:start w:val="1"/>
      <w:numFmt w:val="bullet"/>
      <w:lvlText w:val=""/>
      <w:lvlJc w:val="left"/>
      <w:pPr>
        <w:ind w:left="3371" w:hanging="360"/>
      </w:pPr>
      <w:rPr>
        <w:rFonts w:ascii="Wingdings" w:hAnsi="Wingdings" w:hint="default"/>
      </w:rPr>
    </w:lvl>
    <w:lvl w:ilvl="3" w:tplc="080A0001" w:tentative="1">
      <w:start w:val="1"/>
      <w:numFmt w:val="bullet"/>
      <w:lvlText w:val=""/>
      <w:lvlJc w:val="left"/>
      <w:pPr>
        <w:ind w:left="4091" w:hanging="360"/>
      </w:pPr>
      <w:rPr>
        <w:rFonts w:ascii="Symbol" w:hAnsi="Symbol" w:hint="default"/>
      </w:rPr>
    </w:lvl>
    <w:lvl w:ilvl="4" w:tplc="080A0003" w:tentative="1">
      <w:start w:val="1"/>
      <w:numFmt w:val="bullet"/>
      <w:lvlText w:val="o"/>
      <w:lvlJc w:val="left"/>
      <w:pPr>
        <w:ind w:left="4811" w:hanging="360"/>
      </w:pPr>
      <w:rPr>
        <w:rFonts w:ascii="Courier New" w:hAnsi="Courier New" w:cs="Courier New" w:hint="default"/>
      </w:rPr>
    </w:lvl>
    <w:lvl w:ilvl="5" w:tplc="080A0005" w:tentative="1">
      <w:start w:val="1"/>
      <w:numFmt w:val="bullet"/>
      <w:lvlText w:val=""/>
      <w:lvlJc w:val="left"/>
      <w:pPr>
        <w:ind w:left="5531" w:hanging="360"/>
      </w:pPr>
      <w:rPr>
        <w:rFonts w:ascii="Wingdings" w:hAnsi="Wingdings" w:hint="default"/>
      </w:rPr>
    </w:lvl>
    <w:lvl w:ilvl="6" w:tplc="080A0001" w:tentative="1">
      <w:start w:val="1"/>
      <w:numFmt w:val="bullet"/>
      <w:lvlText w:val=""/>
      <w:lvlJc w:val="left"/>
      <w:pPr>
        <w:ind w:left="6251" w:hanging="360"/>
      </w:pPr>
      <w:rPr>
        <w:rFonts w:ascii="Symbol" w:hAnsi="Symbol" w:hint="default"/>
      </w:rPr>
    </w:lvl>
    <w:lvl w:ilvl="7" w:tplc="080A0003" w:tentative="1">
      <w:start w:val="1"/>
      <w:numFmt w:val="bullet"/>
      <w:lvlText w:val="o"/>
      <w:lvlJc w:val="left"/>
      <w:pPr>
        <w:ind w:left="6971" w:hanging="360"/>
      </w:pPr>
      <w:rPr>
        <w:rFonts w:ascii="Courier New" w:hAnsi="Courier New" w:cs="Courier New" w:hint="default"/>
      </w:rPr>
    </w:lvl>
    <w:lvl w:ilvl="8" w:tplc="080A0005" w:tentative="1">
      <w:start w:val="1"/>
      <w:numFmt w:val="bullet"/>
      <w:lvlText w:val=""/>
      <w:lvlJc w:val="left"/>
      <w:pPr>
        <w:ind w:left="7691" w:hanging="360"/>
      </w:pPr>
      <w:rPr>
        <w:rFonts w:ascii="Wingdings" w:hAnsi="Wingdings" w:hint="default"/>
      </w:rPr>
    </w:lvl>
  </w:abstractNum>
  <w:abstractNum w:abstractNumId="9" w15:restartNumberingAfterBreak="0">
    <w:nsid w:val="51491B8D"/>
    <w:multiLevelType w:val="hybridMultilevel"/>
    <w:tmpl w:val="4E2EA660"/>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10" w15:restartNumberingAfterBreak="0">
    <w:nsid w:val="55A97474"/>
    <w:multiLevelType w:val="hybridMultilevel"/>
    <w:tmpl w:val="032631E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9892E30"/>
    <w:multiLevelType w:val="hybridMultilevel"/>
    <w:tmpl w:val="546C3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3F790D"/>
    <w:multiLevelType w:val="hybridMultilevel"/>
    <w:tmpl w:val="2D7A2DAC"/>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15:restartNumberingAfterBreak="0">
    <w:nsid w:val="5BA05B4B"/>
    <w:multiLevelType w:val="hybridMultilevel"/>
    <w:tmpl w:val="13867FE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BD71752"/>
    <w:multiLevelType w:val="hybridMultilevel"/>
    <w:tmpl w:val="C1845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E43EA3"/>
    <w:multiLevelType w:val="hybridMultilevel"/>
    <w:tmpl w:val="240E9C5A"/>
    <w:lvl w:ilvl="0" w:tplc="FFFFFFFF">
      <w:start w:val="1"/>
      <w:numFmt w:val="decimal"/>
      <w:pStyle w:val="EstiloRequeridoIzquierda063cmPrimeralnea0cm"/>
      <w:lvlText w:val="R(%1) "/>
      <w:lvlJc w:val="left"/>
      <w:pPr>
        <w:tabs>
          <w:tab w:val="num" w:pos="633"/>
        </w:tabs>
        <w:ind w:left="502" w:hanging="360"/>
      </w:pPr>
      <w:rPr>
        <w:rFonts w:ascii="Arial" w:hAnsi="Arial" w:cs="Times New Roman" w:hint="default"/>
        <w:b/>
        <w:bCs w:val="0"/>
        <w:i w:val="0"/>
        <w:iCs w:val="0"/>
        <w:caps w:val="0"/>
        <w:smallCaps w:val="0"/>
        <w:strike w:val="0"/>
        <w:dstrike w:val="0"/>
        <w:snapToGrid w:val="0"/>
        <w:vanish w:val="0"/>
        <w:color w:val="000000"/>
        <w:spacing w:val="0"/>
        <w:w w:val="0"/>
        <w:kern w:val="0"/>
        <w:position w:val="0"/>
        <w:sz w:val="20"/>
        <w:szCs w:val="20"/>
        <w:u w:val="none"/>
        <w:vertAlign w:val="baseline"/>
      </w:rPr>
    </w:lvl>
    <w:lvl w:ilvl="1" w:tplc="FFFFFFFF">
      <w:start w:val="1"/>
      <w:numFmt w:val="bullet"/>
      <w:lvlText w:val=""/>
      <w:lvlJc w:val="left"/>
      <w:pPr>
        <w:tabs>
          <w:tab w:val="num" w:pos="1646"/>
        </w:tabs>
        <w:ind w:left="1646" w:hanging="360"/>
      </w:pPr>
      <w:rPr>
        <w:rFonts w:ascii="Symbol" w:hAnsi="Symbol" w:hint="default"/>
        <w:b/>
        <w:i w:val="0"/>
        <w:sz w:val="20"/>
      </w:rPr>
    </w:lvl>
    <w:lvl w:ilvl="2" w:tplc="FFFFFFFF">
      <w:numFmt w:val="bullet"/>
      <w:lvlText w:val="-"/>
      <w:lvlJc w:val="left"/>
      <w:pPr>
        <w:tabs>
          <w:tab w:val="num" w:pos="2891"/>
        </w:tabs>
        <w:ind w:left="2891" w:hanging="705"/>
      </w:pPr>
      <w:rPr>
        <w:rFonts w:ascii="Arial" w:eastAsia="Times New Roman" w:hAnsi="Arial" w:hint="default"/>
      </w:rPr>
    </w:lvl>
    <w:lvl w:ilvl="3" w:tplc="FFFFFFFF">
      <w:start w:val="16"/>
      <w:numFmt w:val="upperLetter"/>
      <w:lvlText w:val="%4-"/>
      <w:lvlJc w:val="left"/>
      <w:pPr>
        <w:tabs>
          <w:tab w:val="num" w:pos="3161"/>
        </w:tabs>
        <w:ind w:left="3161" w:hanging="435"/>
      </w:pPr>
      <w:rPr>
        <w:rFonts w:cs="Times New Roman" w:hint="default"/>
        <w:b w:val="0"/>
      </w:rPr>
    </w:lvl>
    <w:lvl w:ilvl="4" w:tplc="FFFFFFFF" w:tentative="1">
      <w:start w:val="1"/>
      <w:numFmt w:val="lowerLetter"/>
      <w:lvlText w:val="%5."/>
      <w:lvlJc w:val="left"/>
      <w:pPr>
        <w:tabs>
          <w:tab w:val="num" w:pos="3806"/>
        </w:tabs>
        <w:ind w:left="3806" w:hanging="360"/>
      </w:pPr>
      <w:rPr>
        <w:rFonts w:cs="Times New Roman"/>
      </w:rPr>
    </w:lvl>
    <w:lvl w:ilvl="5" w:tplc="FFFFFFFF" w:tentative="1">
      <w:start w:val="1"/>
      <w:numFmt w:val="lowerRoman"/>
      <w:lvlText w:val="%6."/>
      <w:lvlJc w:val="right"/>
      <w:pPr>
        <w:tabs>
          <w:tab w:val="num" w:pos="4526"/>
        </w:tabs>
        <w:ind w:left="4526" w:hanging="180"/>
      </w:pPr>
      <w:rPr>
        <w:rFonts w:cs="Times New Roman"/>
      </w:rPr>
    </w:lvl>
    <w:lvl w:ilvl="6" w:tplc="FFFFFFFF" w:tentative="1">
      <w:start w:val="1"/>
      <w:numFmt w:val="decimal"/>
      <w:lvlText w:val="%7."/>
      <w:lvlJc w:val="left"/>
      <w:pPr>
        <w:tabs>
          <w:tab w:val="num" w:pos="5246"/>
        </w:tabs>
        <w:ind w:left="5246" w:hanging="360"/>
      </w:pPr>
      <w:rPr>
        <w:rFonts w:cs="Times New Roman"/>
      </w:rPr>
    </w:lvl>
    <w:lvl w:ilvl="7" w:tplc="FFFFFFFF" w:tentative="1">
      <w:start w:val="1"/>
      <w:numFmt w:val="lowerLetter"/>
      <w:lvlText w:val="%8."/>
      <w:lvlJc w:val="left"/>
      <w:pPr>
        <w:tabs>
          <w:tab w:val="num" w:pos="5966"/>
        </w:tabs>
        <w:ind w:left="5966" w:hanging="360"/>
      </w:pPr>
      <w:rPr>
        <w:rFonts w:cs="Times New Roman"/>
      </w:rPr>
    </w:lvl>
    <w:lvl w:ilvl="8" w:tplc="FFFFFFFF" w:tentative="1">
      <w:start w:val="1"/>
      <w:numFmt w:val="lowerRoman"/>
      <w:lvlText w:val="%9."/>
      <w:lvlJc w:val="right"/>
      <w:pPr>
        <w:tabs>
          <w:tab w:val="num" w:pos="6686"/>
        </w:tabs>
        <w:ind w:left="6686" w:hanging="180"/>
      </w:pPr>
      <w:rPr>
        <w:rFonts w:cs="Times New Roman"/>
      </w:rPr>
    </w:lvl>
  </w:abstractNum>
  <w:abstractNum w:abstractNumId="16" w15:restartNumberingAfterBreak="0">
    <w:nsid w:val="670E5CBF"/>
    <w:multiLevelType w:val="hybridMultilevel"/>
    <w:tmpl w:val="A15A6E44"/>
    <w:lvl w:ilvl="0" w:tplc="080A000D">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6A2316A4"/>
    <w:multiLevelType w:val="hybridMultilevel"/>
    <w:tmpl w:val="A2F04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7C33834"/>
    <w:multiLevelType w:val="hybridMultilevel"/>
    <w:tmpl w:val="6C9E73F0"/>
    <w:lvl w:ilvl="0" w:tplc="2B70EF78">
      <w:start w:val="1"/>
      <w:numFmt w:val="bullet"/>
      <w:lvlText w:val=""/>
      <w:lvlJc w:val="left"/>
      <w:pPr>
        <w:ind w:left="720" w:hanging="360"/>
      </w:pPr>
      <w:rPr>
        <w:rFonts w:ascii="Symbol" w:hAnsi="Symbol" w:hint="default"/>
        <w:lang w:val="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3679B5"/>
    <w:multiLevelType w:val="hybridMultilevel"/>
    <w:tmpl w:val="A4942EC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15:restartNumberingAfterBreak="0">
    <w:nsid w:val="7DC53630"/>
    <w:multiLevelType w:val="multilevel"/>
    <w:tmpl w:val="048EFF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FF94F97"/>
    <w:multiLevelType w:val="hybridMultilevel"/>
    <w:tmpl w:val="5554F01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1"/>
  </w:num>
  <w:num w:numId="5">
    <w:abstractNumId w:val="5"/>
  </w:num>
  <w:num w:numId="6">
    <w:abstractNumId w:val="10"/>
  </w:num>
  <w:num w:numId="7">
    <w:abstractNumId w:val="16"/>
  </w:num>
  <w:num w:numId="8">
    <w:abstractNumId w:val="4"/>
  </w:num>
  <w:num w:numId="9">
    <w:abstractNumId w:val="11"/>
  </w:num>
  <w:num w:numId="10">
    <w:abstractNumId w:val="14"/>
  </w:num>
  <w:num w:numId="11">
    <w:abstractNumId w:val="20"/>
  </w:num>
  <w:num w:numId="12">
    <w:abstractNumId w:val="12"/>
  </w:num>
  <w:num w:numId="13">
    <w:abstractNumId w:val="13"/>
  </w:num>
  <w:num w:numId="14">
    <w:abstractNumId w:val="17"/>
  </w:num>
  <w:num w:numId="15">
    <w:abstractNumId w:val="22"/>
  </w:num>
  <w:num w:numId="16">
    <w:abstractNumId w:val="19"/>
  </w:num>
  <w:num w:numId="17">
    <w:abstractNumId w:val="15"/>
  </w:num>
  <w:num w:numId="18">
    <w:abstractNumId w:val="7"/>
  </w:num>
  <w:num w:numId="19">
    <w:abstractNumId w:val="8"/>
  </w:num>
  <w:num w:numId="20">
    <w:abstractNumId w:val="3"/>
  </w:num>
  <w:num w:numId="21">
    <w:abstractNumId w:val="9"/>
  </w:num>
  <w:num w:numId="22">
    <w:abstractNumId w:val="18"/>
  </w:num>
  <w:num w:numId="23">
    <w:abstractNumId w:val="21"/>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9"/>
  <w:hyphenationZone w:val="425"/>
  <w:characterSpacingControl w:val="doNotCompress"/>
  <w:hdrShapeDefaults>
    <o:shapedefaults v:ext="edit" spidmax="207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C8"/>
    <w:rsid w:val="000001F0"/>
    <w:rsid w:val="000006ED"/>
    <w:rsid w:val="00000700"/>
    <w:rsid w:val="00000EC7"/>
    <w:rsid w:val="00000ED5"/>
    <w:rsid w:val="000011DA"/>
    <w:rsid w:val="000015F4"/>
    <w:rsid w:val="000016BF"/>
    <w:rsid w:val="000017E1"/>
    <w:rsid w:val="00001871"/>
    <w:rsid w:val="000018B1"/>
    <w:rsid w:val="00001A7F"/>
    <w:rsid w:val="00001C35"/>
    <w:rsid w:val="00001C42"/>
    <w:rsid w:val="00001DA9"/>
    <w:rsid w:val="00001F51"/>
    <w:rsid w:val="00001F96"/>
    <w:rsid w:val="00001FC8"/>
    <w:rsid w:val="00002013"/>
    <w:rsid w:val="0000223D"/>
    <w:rsid w:val="00002507"/>
    <w:rsid w:val="00002581"/>
    <w:rsid w:val="0000258B"/>
    <w:rsid w:val="0000274B"/>
    <w:rsid w:val="000027D5"/>
    <w:rsid w:val="000029C1"/>
    <w:rsid w:val="00002D5C"/>
    <w:rsid w:val="00002F2F"/>
    <w:rsid w:val="00003217"/>
    <w:rsid w:val="00003252"/>
    <w:rsid w:val="000032EE"/>
    <w:rsid w:val="0000333D"/>
    <w:rsid w:val="000033D1"/>
    <w:rsid w:val="00003467"/>
    <w:rsid w:val="00003878"/>
    <w:rsid w:val="00003B2C"/>
    <w:rsid w:val="00003BAE"/>
    <w:rsid w:val="00003BAF"/>
    <w:rsid w:val="00003BF6"/>
    <w:rsid w:val="00003CB5"/>
    <w:rsid w:val="00003FB4"/>
    <w:rsid w:val="000040C1"/>
    <w:rsid w:val="00004101"/>
    <w:rsid w:val="0000427C"/>
    <w:rsid w:val="000042F8"/>
    <w:rsid w:val="00004322"/>
    <w:rsid w:val="00004346"/>
    <w:rsid w:val="00004618"/>
    <w:rsid w:val="0000471D"/>
    <w:rsid w:val="000048F9"/>
    <w:rsid w:val="00004B43"/>
    <w:rsid w:val="00004CA5"/>
    <w:rsid w:val="00004CD8"/>
    <w:rsid w:val="00004D57"/>
    <w:rsid w:val="00004D77"/>
    <w:rsid w:val="00004F1B"/>
    <w:rsid w:val="000050D4"/>
    <w:rsid w:val="000051CE"/>
    <w:rsid w:val="00005626"/>
    <w:rsid w:val="00005659"/>
    <w:rsid w:val="0000571C"/>
    <w:rsid w:val="00005AF7"/>
    <w:rsid w:val="00005DBC"/>
    <w:rsid w:val="00005EA2"/>
    <w:rsid w:val="000061CE"/>
    <w:rsid w:val="00006200"/>
    <w:rsid w:val="00006324"/>
    <w:rsid w:val="00006674"/>
    <w:rsid w:val="00006818"/>
    <w:rsid w:val="00006899"/>
    <w:rsid w:val="0000694E"/>
    <w:rsid w:val="00006C55"/>
    <w:rsid w:val="00006D54"/>
    <w:rsid w:val="00006D9C"/>
    <w:rsid w:val="00006FFD"/>
    <w:rsid w:val="00007008"/>
    <w:rsid w:val="0000717D"/>
    <w:rsid w:val="000071EC"/>
    <w:rsid w:val="00007320"/>
    <w:rsid w:val="000075E8"/>
    <w:rsid w:val="000078B9"/>
    <w:rsid w:val="00007A2A"/>
    <w:rsid w:val="00007AE7"/>
    <w:rsid w:val="00007D81"/>
    <w:rsid w:val="00007F08"/>
    <w:rsid w:val="00007F17"/>
    <w:rsid w:val="00007FD6"/>
    <w:rsid w:val="00010034"/>
    <w:rsid w:val="00010077"/>
    <w:rsid w:val="0001009B"/>
    <w:rsid w:val="000100F1"/>
    <w:rsid w:val="0001010C"/>
    <w:rsid w:val="000103A1"/>
    <w:rsid w:val="00010499"/>
    <w:rsid w:val="000105C4"/>
    <w:rsid w:val="00010649"/>
    <w:rsid w:val="0001080E"/>
    <w:rsid w:val="000108E6"/>
    <w:rsid w:val="00010A65"/>
    <w:rsid w:val="00010C0A"/>
    <w:rsid w:val="00010D93"/>
    <w:rsid w:val="00010FB4"/>
    <w:rsid w:val="000110DC"/>
    <w:rsid w:val="0001119B"/>
    <w:rsid w:val="00011431"/>
    <w:rsid w:val="000114FA"/>
    <w:rsid w:val="00011540"/>
    <w:rsid w:val="000115F7"/>
    <w:rsid w:val="00011747"/>
    <w:rsid w:val="000117AB"/>
    <w:rsid w:val="000118AC"/>
    <w:rsid w:val="00011E6B"/>
    <w:rsid w:val="00011E73"/>
    <w:rsid w:val="00011F2F"/>
    <w:rsid w:val="00012023"/>
    <w:rsid w:val="000121CA"/>
    <w:rsid w:val="0001222A"/>
    <w:rsid w:val="0001280D"/>
    <w:rsid w:val="000128BB"/>
    <w:rsid w:val="00012A79"/>
    <w:rsid w:val="00012B68"/>
    <w:rsid w:val="00012C2C"/>
    <w:rsid w:val="00012D69"/>
    <w:rsid w:val="00012FA3"/>
    <w:rsid w:val="00013154"/>
    <w:rsid w:val="00013186"/>
    <w:rsid w:val="0001321C"/>
    <w:rsid w:val="00013232"/>
    <w:rsid w:val="0001339A"/>
    <w:rsid w:val="00013497"/>
    <w:rsid w:val="000134A8"/>
    <w:rsid w:val="00013638"/>
    <w:rsid w:val="00013642"/>
    <w:rsid w:val="000136F8"/>
    <w:rsid w:val="000137F0"/>
    <w:rsid w:val="00013AA5"/>
    <w:rsid w:val="00013ABB"/>
    <w:rsid w:val="00013D71"/>
    <w:rsid w:val="00013E34"/>
    <w:rsid w:val="00013EE7"/>
    <w:rsid w:val="00013F74"/>
    <w:rsid w:val="00013FDE"/>
    <w:rsid w:val="00014141"/>
    <w:rsid w:val="000144A8"/>
    <w:rsid w:val="0001452D"/>
    <w:rsid w:val="00014577"/>
    <w:rsid w:val="000146D3"/>
    <w:rsid w:val="00014899"/>
    <w:rsid w:val="00014D0C"/>
    <w:rsid w:val="00014F75"/>
    <w:rsid w:val="000150F5"/>
    <w:rsid w:val="000154B0"/>
    <w:rsid w:val="00015564"/>
    <w:rsid w:val="00015734"/>
    <w:rsid w:val="00015A34"/>
    <w:rsid w:val="00015B5B"/>
    <w:rsid w:val="00015B98"/>
    <w:rsid w:val="00015DE8"/>
    <w:rsid w:val="00016062"/>
    <w:rsid w:val="000161CC"/>
    <w:rsid w:val="000161E3"/>
    <w:rsid w:val="00016591"/>
    <w:rsid w:val="00016676"/>
    <w:rsid w:val="0001677B"/>
    <w:rsid w:val="000169AB"/>
    <w:rsid w:val="00016A34"/>
    <w:rsid w:val="00016C25"/>
    <w:rsid w:val="00016CC6"/>
    <w:rsid w:val="00016EB8"/>
    <w:rsid w:val="000170EA"/>
    <w:rsid w:val="0001712E"/>
    <w:rsid w:val="0001734B"/>
    <w:rsid w:val="0001758D"/>
    <w:rsid w:val="000175C9"/>
    <w:rsid w:val="000177FD"/>
    <w:rsid w:val="00017878"/>
    <w:rsid w:val="000178C8"/>
    <w:rsid w:val="00017A9A"/>
    <w:rsid w:val="00017CA7"/>
    <w:rsid w:val="00017F9B"/>
    <w:rsid w:val="00020418"/>
    <w:rsid w:val="00020500"/>
    <w:rsid w:val="0002075B"/>
    <w:rsid w:val="00020B3C"/>
    <w:rsid w:val="00020C2B"/>
    <w:rsid w:val="00020D32"/>
    <w:rsid w:val="00020DFD"/>
    <w:rsid w:val="00020EFB"/>
    <w:rsid w:val="00020F99"/>
    <w:rsid w:val="0002100F"/>
    <w:rsid w:val="00021020"/>
    <w:rsid w:val="0002102E"/>
    <w:rsid w:val="00021039"/>
    <w:rsid w:val="00021376"/>
    <w:rsid w:val="0002137C"/>
    <w:rsid w:val="0002141C"/>
    <w:rsid w:val="00021467"/>
    <w:rsid w:val="00021635"/>
    <w:rsid w:val="00021B7E"/>
    <w:rsid w:val="00021BF7"/>
    <w:rsid w:val="00021D2F"/>
    <w:rsid w:val="00021F12"/>
    <w:rsid w:val="00021FDF"/>
    <w:rsid w:val="00021FFD"/>
    <w:rsid w:val="0002225B"/>
    <w:rsid w:val="00022268"/>
    <w:rsid w:val="0002229E"/>
    <w:rsid w:val="000222B6"/>
    <w:rsid w:val="000223DF"/>
    <w:rsid w:val="00022414"/>
    <w:rsid w:val="00022581"/>
    <w:rsid w:val="0002283B"/>
    <w:rsid w:val="0002283F"/>
    <w:rsid w:val="00022A66"/>
    <w:rsid w:val="00022B72"/>
    <w:rsid w:val="00022C64"/>
    <w:rsid w:val="00022CE6"/>
    <w:rsid w:val="00022D51"/>
    <w:rsid w:val="00022E4A"/>
    <w:rsid w:val="00022F48"/>
    <w:rsid w:val="00022FA0"/>
    <w:rsid w:val="00023122"/>
    <w:rsid w:val="00023301"/>
    <w:rsid w:val="000236CC"/>
    <w:rsid w:val="000237D0"/>
    <w:rsid w:val="00023812"/>
    <w:rsid w:val="0002386E"/>
    <w:rsid w:val="00023886"/>
    <w:rsid w:val="0002388B"/>
    <w:rsid w:val="00023AB5"/>
    <w:rsid w:val="00023B3D"/>
    <w:rsid w:val="00023BA7"/>
    <w:rsid w:val="00023F05"/>
    <w:rsid w:val="00023F30"/>
    <w:rsid w:val="00024028"/>
    <w:rsid w:val="000241FA"/>
    <w:rsid w:val="00024434"/>
    <w:rsid w:val="00024444"/>
    <w:rsid w:val="0002467E"/>
    <w:rsid w:val="000246DF"/>
    <w:rsid w:val="000246E1"/>
    <w:rsid w:val="00024973"/>
    <w:rsid w:val="00024BBD"/>
    <w:rsid w:val="00024C0E"/>
    <w:rsid w:val="00024E92"/>
    <w:rsid w:val="00024EAD"/>
    <w:rsid w:val="00025341"/>
    <w:rsid w:val="00025379"/>
    <w:rsid w:val="00025A49"/>
    <w:rsid w:val="00025AC7"/>
    <w:rsid w:val="00025B6B"/>
    <w:rsid w:val="00025C68"/>
    <w:rsid w:val="00025E36"/>
    <w:rsid w:val="00025EB7"/>
    <w:rsid w:val="00025F23"/>
    <w:rsid w:val="00025FF9"/>
    <w:rsid w:val="000260AB"/>
    <w:rsid w:val="00026141"/>
    <w:rsid w:val="00026157"/>
    <w:rsid w:val="000261FD"/>
    <w:rsid w:val="00026613"/>
    <w:rsid w:val="0002664E"/>
    <w:rsid w:val="00026918"/>
    <w:rsid w:val="00026A00"/>
    <w:rsid w:val="00026CEB"/>
    <w:rsid w:val="000270B0"/>
    <w:rsid w:val="000271DF"/>
    <w:rsid w:val="00027230"/>
    <w:rsid w:val="00027343"/>
    <w:rsid w:val="0002756A"/>
    <w:rsid w:val="00027600"/>
    <w:rsid w:val="00027609"/>
    <w:rsid w:val="00027660"/>
    <w:rsid w:val="00027893"/>
    <w:rsid w:val="00027A21"/>
    <w:rsid w:val="00027A38"/>
    <w:rsid w:val="00027B39"/>
    <w:rsid w:val="00027B3C"/>
    <w:rsid w:val="00027B88"/>
    <w:rsid w:val="00027C17"/>
    <w:rsid w:val="00027C32"/>
    <w:rsid w:val="00027D73"/>
    <w:rsid w:val="00027EF6"/>
    <w:rsid w:val="00027F8D"/>
    <w:rsid w:val="00030107"/>
    <w:rsid w:val="00030415"/>
    <w:rsid w:val="00030454"/>
    <w:rsid w:val="00030985"/>
    <w:rsid w:val="00030E1F"/>
    <w:rsid w:val="00030E45"/>
    <w:rsid w:val="0003100E"/>
    <w:rsid w:val="00031178"/>
    <w:rsid w:val="000311FC"/>
    <w:rsid w:val="00031224"/>
    <w:rsid w:val="0003127E"/>
    <w:rsid w:val="00031281"/>
    <w:rsid w:val="00031519"/>
    <w:rsid w:val="00031558"/>
    <w:rsid w:val="000318DE"/>
    <w:rsid w:val="00031B2C"/>
    <w:rsid w:val="00031CD9"/>
    <w:rsid w:val="0003201F"/>
    <w:rsid w:val="000322FA"/>
    <w:rsid w:val="00032300"/>
    <w:rsid w:val="00032306"/>
    <w:rsid w:val="00032602"/>
    <w:rsid w:val="000326F8"/>
    <w:rsid w:val="000328D2"/>
    <w:rsid w:val="0003291D"/>
    <w:rsid w:val="00032953"/>
    <w:rsid w:val="00032BE4"/>
    <w:rsid w:val="00032FDA"/>
    <w:rsid w:val="00033134"/>
    <w:rsid w:val="00033177"/>
    <w:rsid w:val="000332B1"/>
    <w:rsid w:val="00033374"/>
    <w:rsid w:val="000335D6"/>
    <w:rsid w:val="00033704"/>
    <w:rsid w:val="0003395C"/>
    <w:rsid w:val="00033997"/>
    <w:rsid w:val="00033B45"/>
    <w:rsid w:val="00033B72"/>
    <w:rsid w:val="00033BA1"/>
    <w:rsid w:val="00033C51"/>
    <w:rsid w:val="00034245"/>
    <w:rsid w:val="000342E3"/>
    <w:rsid w:val="00034505"/>
    <w:rsid w:val="000346BD"/>
    <w:rsid w:val="00034714"/>
    <w:rsid w:val="0003499F"/>
    <w:rsid w:val="000349B4"/>
    <w:rsid w:val="00034A2E"/>
    <w:rsid w:val="00034B1C"/>
    <w:rsid w:val="00034B40"/>
    <w:rsid w:val="00034C4F"/>
    <w:rsid w:val="00034C5A"/>
    <w:rsid w:val="00034D94"/>
    <w:rsid w:val="00034DC8"/>
    <w:rsid w:val="00034E54"/>
    <w:rsid w:val="00034EF1"/>
    <w:rsid w:val="00034FAF"/>
    <w:rsid w:val="00035030"/>
    <w:rsid w:val="00035145"/>
    <w:rsid w:val="00035157"/>
    <w:rsid w:val="000351DA"/>
    <w:rsid w:val="0003527B"/>
    <w:rsid w:val="000353FA"/>
    <w:rsid w:val="00035487"/>
    <w:rsid w:val="0003551A"/>
    <w:rsid w:val="0003551B"/>
    <w:rsid w:val="000356D8"/>
    <w:rsid w:val="00035848"/>
    <w:rsid w:val="00035864"/>
    <w:rsid w:val="00035896"/>
    <w:rsid w:val="00035A0A"/>
    <w:rsid w:val="00035A19"/>
    <w:rsid w:val="00035A5A"/>
    <w:rsid w:val="00035BA3"/>
    <w:rsid w:val="00035DA6"/>
    <w:rsid w:val="00035E04"/>
    <w:rsid w:val="00035FC8"/>
    <w:rsid w:val="000362DC"/>
    <w:rsid w:val="0003630E"/>
    <w:rsid w:val="000363FE"/>
    <w:rsid w:val="0003645D"/>
    <w:rsid w:val="00036563"/>
    <w:rsid w:val="0003659B"/>
    <w:rsid w:val="000365DB"/>
    <w:rsid w:val="0003665B"/>
    <w:rsid w:val="000366D0"/>
    <w:rsid w:val="0003677B"/>
    <w:rsid w:val="000368BF"/>
    <w:rsid w:val="00036B14"/>
    <w:rsid w:val="00036C7E"/>
    <w:rsid w:val="00036CE3"/>
    <w:rsid w:val="00036D4D"/>
    <w:rsid w:val="00036F31"/>
    <w:rsid w:val="00036F6E"/>
    <w:rsid w:val="0003706C"/>
    <w:rsid w:val="00037144"/>
    <w:rsid w:val="00037354"/>
    <w:rsid w:val="00037405"/>
    <w:rsid w:val="0003750A"/>
    <w:rsid w:val="00037608"/>
    <w:rsid w:val="00037637"/>
    <w:rsid w:val="00037972"/>
    <w:rsid w:val="000379B3"/>
    <w:rsid w:val="00037A03"/>
    <w:rsid w:val="00037D34"/>
    <w:rsid w:val="0004006B"/>
    <w:rsid w:val="000401A1"/>
    <w:rsid w:val="00040254"/>
    <w:rsid w:val="00040280"/>
    <w:rsid w:val="0004032D"/>
    <w:rsid w:val="0004043A"/>
    <w:rsid w:val="00040948"/>
    <w:rsid w:val="00040AEB"/>
    <w:rsid w:val="00040C66"/>
    <w:rsid w:val="00040C94"/>
    <w:rsid w:val="00040C9E"/>
    <w:rsid w:val="00040CFA"/>
    <w:rsid w:val="00040DAF"/>
    <w:rsid w:val="00040DE5"/>
    <w:rsid w:val="00040E11"/>
    <w:rsid w:val="00040E25"/>
    <w:rsid w:val="00040E84"/>
    <w:rsid w:val="00040EBD"/>
    <w:rsid w:val="00041189"/>
    <w:rsid w:val="00041226"/>
    <w:rsid w:val="00041358"/>
    <w:rsid w:val="0004139F"/>
    <w:rsid w:val="0004146B"/>
    <w:rsid w:val="00041649"/>
    <w:rsid w:val="000417EB"/>
    <w:rsid w:val="000417F3"/>
    <w:rsid w:val="00041879"/>
    <w:rsid w:val="00041B8A"/>
    <w:rsid w:val="00041C66"/>
    <w:rsid w:val="000420BD"/>
    <w:rsid w:val="00042440"/>
    <w:rsid w:val="000427B2"/>
    <w:rsid w:val="00042BD5"/>
    <w:rsid w:val="00042F05"/>
    <w:rsid w:val="00043029"/>
    <w:rsid w:val="00043296"/>
    <w:rsid w:val="000432C8"/>
    <w:rsid w:val="000434DB"/>
    <w:rsid w:val="00043569"/>
    <w:rsid w:val="000435B3"/>
    <w:rsid w:val="000438C3"/>
    <w:rsid w:val="000438D3"/>
    <w:rsid w:val="00043AC1"/>
    <w:rsid w:val="00043E8F"/>
    <w:rsid w:val="0004459E"/>
    <w:rsid w:val="00044757"/>
    <w:rsid w:val="000447CA"/>
    <w:rsid w:val="000449AE"/>
    <w:rsid w:val="00044A93"/>
    <w:rsid w:val="00044E9C"/>
    <w:rsid w:val="00044F46"/>
    <w:rsid w:val="00044F9F"/>
    <w:rsid w:val="00045066"/>
    <w:rsid w:val="000450BE"/>
    <w:rsid w:val="0004514D"/>
    <w:rsid w:val="0004514E"/>
    <w:rsid w:val="0004519B"/>
    <w:rsid w:val="000452C8"/>
    <w:rsid w:val="000454A0"/>
    <w:rsid w:val="00045753"/>
    <w:rsid w:val="0004577E"/>
    <w:rsid w:val="00045790"/>
    <w:rsid w:val="00045796"/>
    <w:rsid w:val="00045846"/>
    <w:rsid w:val="00045964"/>
    <w:rsid w:val="00045A2F"/>
    <w:rsid w:val="00045A62"/>
    <w:rsid w:val="00045D59"/>
    <w:rsid w:val="00045D87"/>
    <w:rsid w:val="00045DE4"/>
    <w:rsid w:val="0004620B"/>
    <w:rsid w:val="000462BC"/>
    <w:rsid w:val="0004632E"/>
    <w:rsid w:val="00046418"/>
    <w:rsid w:val="0004692A"/>
    <w:rsid w:val="00046991"/>
    <w:rsid w:val="00046C5A"/>
    <w:rsid w:val="00046CBC"/>
    <w:rsid w:val="00046F92"/>
    <w:rsid w:val="00047048"/>
    <w:rsid w:val="0004712E"/>
    <w:rsid w:val="00047224"/>
    <w:rsid w:val="00047255"/>
    <w:rsid w:val="00047643"/>
    <w:rsid w:val="000476D7"/>
    <w:rsid w:val="0004776C"/>
    <w:rsid w:val="00047787"/>
    <w:rsid w:val="000477DF"/>
    <w:rsid w:val="00047AC0"/>
    <w:rsid w:val="00047BBC"/>
    <w:rsid w:val="00047C7C"/>
    <w:rsid w:val="00047D35"/>
    <w:rsid w:val="00047D9C"/>
    <w:rsid w:val="0005015D"/>
    <w:rsid w:val="00050274"/>
    <w:rsid w:val="00050579"/>
    <w:rsid w:val="00050649"/>
    <w:rsid w:val="0005067A"/>
    <w:rsid w:val="000506D9"/>
    <w:rsid w:val="00050779"/>
    <w:rsid w:val="00050964"/>
    <w:rsid w:val="00050D45"/>
    <w:rsid w:val="00050D97"/>
    <w:rsid w:val="000510B6"/>
    <w:rsid w:val="0005118A"/>
    <w:rsid w:val="000512D3"/>
    <w:rsid w:val="000513F1"/>
    <w:rsid w:val="000514A5"/>
    <w:rsid w:val="000514A7"/>
    <w:rsid w:val="000515C7"/>
    <w:rsid w:val="0005173C"/>
    <w:rsid w:val="00051915"/>
    <w:rsid w:val="0005191B"/>
    <w:rsid w:val="00051A53"/>
    <w:rsid w:val="00051BB0"/>
    <w:rsid w:val="00051C84"/>
    <w:rsid w:val="00051DA1"/>
    <w:rsid w:val="00051F29"/>
    <w:rsid w:val="0005203D"/>
    <w:rsid w:val="00052063"/>
    <w:rsid w:val="00052087"/>
    <w:rsid w:val="0005265B"/>
    <w:rsid w:val="0005299B"/>
    <w:rsid w:val="000529DB"/>
    <w:rsid w:val="00052B86"/>
    <w:rsid w:val="00052B89"/>
    <w:rsid w:val="00052E1B"/>
    <w:rsid w:val="00052E50"/>
    <w:rsid w:val="00052F7C"/>
    <w:rsid w:val="0005305B"/>
    <w:rsid w:val="00053098"/>
    <w:rsid w:val="0005314A"/>
    <w:rsid w:val="00053163"/>
    <w:rsid w:val="0005330E"/>
    <w:rsid w:val="00053404"/>
    <w:rsid w:val="00053486"/>
    <w:rsid w:val="00053522"/>
    <w:rsid w:val="00053570"/>
    <w:rsid w:val="0005360B"/>
    <w:rsid w:val="00053663"/>
    <w:rsid w:val="000538C7"/>
    <w:rsid w:val="00053995"/>
    <w:rsid w:val="000539A8"/>
    <w:rsid w:val="00053BE0"/>
    <w:rsid w:val="00053D16"/>
    <w:rsid w:val="00053D34"/>
    <w:rsid w:val="00053EC5"/>
    <w:rsid w:val="00053FE8"/>
    <w:rsid w:val="00054158"/>
    <w:rsid w:val="00054371"/>
    <w:rsid w:val="0005444D"/>
    <w:rsid w:val="00054473"/>
    <w:rsid w:val="000544F1"/>
    <w:rsid w:val="000545BC"/>
    <w:rsid w:val="000547C4"/>
    <w:rsid w:val="00054898"/>
    <w:rsid w:val="000549D9"/>
    <w:rsid w:val="00054A56"/>
    <w:rsid w:val="00054A72"/>
    <w:rsid w:val="00054B5A"/>
    <w:rsid w:val="00054B6A"/>
    <w:rsid w:val="00054C4D"/>
    <w:rsid w:val="00054E3F"/>
    <w:rsid w:val="00054EBE"/>
    <w:rsid w:val="0005506D"/>
    <w:rsid w:val="00055108"/>
    <w:rsid w:val="0005510F"/>
    <w:rsid w:val="00055305"/>
    <w:rsid w:val="00055425"/>
    <w:rsid w:val="00055944"/>
    <w:rsid w:val="000559D1"/>
    <w:rsid w:val="00055E0D"/>
    <w:rsid w:val="00055E31"/>
    <w:rsid w:val="00055FD6"/>
    <w:rsid w:val="0005601D"/>
    <w:rsid w:val="00056027"/>
    <w:rsid w:val="000560BE"/>
    <w:rsid w:val="000560F3"/>
    <w:rsid w:val="00056289"/>
    <w:rsid w:val="000563E8"/>
    <w:rsid w:val="00056420"/>
    <w:rsid w:val="0005664E"/>
    <w:rsid w:val="000566FD"/>
    <w:rsid w:val="000567CA"/>
    <w:rsid w:val="000568AA"/>
    <w:rsid w:val="00056A44"/>
    <w:rsid w:val="00056B99"/>
    <w:rsid w:val="00056BD3"/>
    <w:rsid w:val="00056C4E"/>
    <w:rsid w:val="00056DB5"/>
    <w:rsid w:val="00056DE3"/>
    <w:rsid w:val="0005720A"/>
    <w:rsid w:val="00057465"/>
    <w:rsid w:val="00057486"/>
    <w:rsid w:val="000574D0"/>
    <w:rsid w:val="00057547"/>
    <w:rsid w:val="0005782A"/>
    <w:rsid w:val="00057BEA"/>
    <w:rsid w:val="00057CFC"/>
    <w:rsid w:val="00060113"/>
    <w:rsid w:val="00060368"/>
    <w:rsid w:val="00060511"/>
    <w:rsid w:val="000605BB"/>
    <w:rsid w:val="0006087F"/>
    <w:rsid w:val="000609B9"/>
    <w:rsid w:val="00060D15"/>
    <w:rsid w:val="00060DB2"/>
    <w:rsid w:val="00060DC0"/>
    <w:rsid w:val="00060E65"/>
    <w:rsid w:val="00060EF0"/>
    <w:rsid w:val="00061110"/>
    <w:rsid w:val="000611EE"/>
    <w:rsid w:val="00061213"/>
    <w:rsid w:val="00061268"/>
    <w:rsid w:val="00061294"/>
    <w:rsid w:val="000613AA"/>
    <w:rsid w:val="00061477"/>
    <w:rsid w:val="00061A5F"/>
    <w:rsid w:val="00061B7B"/>
    <w:rsid w:val="00061BAB"/>
    <w:rsid w:val="00061C9D"/>
    <w:rsid w:val="00061E13"/>
    <w:rsid w:val="0006205F"/>
    <w:rsid w:val="0006206F"/>
    <w:rsid w:val="000621EE"/>
    <w:rsid w:val="00062335"/>
    <w:rsid w:val="000623F0"/>
    <w:rsid w:val="00062692"/>
    <w:rsid w:val="00062736"/>
    <w:rsid w:val="00062802"/>
    <w:rsid w:val="00062871"/>
    <w:rsid w:val="000628E6"/>
    <w:rsid w:val="00062A91"/>
    <w:rsid w:val="00062C72"/>
    <w:rsid w:val="00062D11"/>
    <w:rsid w:val="00063126"/>
    <w:rsid w:val="000633D6"/>
    <w:rsid w:val="0006352F"/>
    <w:rsid w:val="000635C6"/>
    <w:rsid w:val="000635F1"/>
    <w:rsid w:val="0006362D"/>
    <w:rsid w:val="000636C6"/>
    <w:rsid w:val="00063807"/>
    <w:rsid w:val="00063828"/>
    <w:rsid w:val="0006390A"/>
    <w:rsid w:val="00063AF8"/>
    <w:rsid w:val="00063B5F"/>
    <w:rsid w:val="00063C10"/>
    <w:rsid w:val="00063D28"/>
    <w:rsid w:val="00063F34"/>
    <w:rsid w:val="00063FD2"/>
    <w:rsid w:val="00064253"/>
    <w:rsid w:val="0006427C"/>
    <w:rsid w:val="00064414"/>
    <w:rsid w:val="0006442B"/>
    <w:rsid w:val="0006466F"/>
    <w:rsid w:val="00064879"/>
    <w:rsid w:val="00064947"/>
    <w:rsid w:val="00064A1E"/>
    <w:rsid w:val="00064A34"/>
    <w:rsid w:val="00064A35"/>
    <w:rsid w:val="00064A8D"/>
    <w:rsid w:val="00064AE8"/>
    <w:rsid w:val="00064BB6"/>
    <w:rsid w:val="00064C93"/>
    <w:rsid w:val="00064CD3"/>
    <w:rsid w:val="00064D33"/>
    <w:rsid w:val="00064E08"/>
    <w:rsid w:val="00064E1F"/>
    <w:rsid w:val="00064F29"/>
    <w:rsid w:val="00064FDE"/>
    <w:rsid w:val="0006528F"/>
    <w:rsid w:val="000652D5"/>
    <w:rsid w:val="00065463"/>
    <w:rsid w:val="00065476"/>
    <w:rsid w:val="000654E0"/>
    <w:rsid w:val="00065525"/>
    <w:rsid w:val="0006562C"/>
    <w:rsid w:val="00065649"/>
    <w:rsid w:val="00065698"/>
    <w:rsid w:val="0006582C"/>
    <w:rsid w:val="0006584C"/>
    <w:rsid w:val="0006587E"/>
    <w:rsid w:val="0006597E"/>
    <w:rsid w:val="00065A15"/>
    <w:rsid w:val="00065BB5"/>
    <w:rsid w:val="00065CEE"/>
    <w:rsid w:val="00065D3A"/>
    <w:rsid w:val="00065E84"/>
    <w:rsid w:val="0006601C"/>
    <w:rsid w:val="00066022"/>
    <w:rsid w:val="00066050"/>
    <w:rsid w:val="000660CB"/>
    <w:rsid w:val="000660F3"/>
    <w:rsid w:val="00066204"/>
    <w:rsid w:val="000662A5"/>
    <w:rsid w:val="000663DE"/>
    <w:rsid w:val="000666D7"/>
    <w:rsid w:val="00066767"/>
    <w:rsid w:val="00066848"/>
    <w:rsid w:val="00066B1D"/>
    <w:rsid w:val="00066C58"/>
    <w:rsid w:val="00066C7B"/>
    <w:rsid w:val="00066D28"/>
    <w:rsid w:val="000670E7"/>
    <w:rsid w:val="00067619"/>
    <w:rsid w:val="00067809"/>
    <w:rsid w:val="000679AE"/>
    <w:rsid w:val="000679D9"/>
    <w:rsid w:val="000679F9"/>
    <w:rsid w:val="00067A95"/>
    <w:rsid w:val="00067CDC"/>
    <w:rsid w:val="00067F99"/>
    <w:rsid w:val="0007011A"/>
    <w:rsid w:val="0007026A"/>
    <w:rsid w:val="00070456"/>
    <w:rsid w:val="00070596"/>
    <w:rsid w:val="00070647"/>
    <w:rsid w:val="0007078D"/>
    <w:rsid w:val="00070804"/>
    <w:rsid w:val="0007092E"/>
    <w:rsid w:val="00070A5C"/>
    <w:rsid w:val="00070B83"/>
    <w:rsid w:val="00070D07"/>
    <w:rsid w:val="00070D9D"/>
    <w:rsid w:val="00070E02"/>
    <w:rsid w:val="00070E39"/>
    <w:rsid w:val="00070E6F"/>
    <w:rsid w:val="00070F23"/>
    <w:rsid w:val="0007104E"/>
    <w:rsid w:val="000712F0"/>
    <w:rsid w:val="00071412"/>
    <w:rsid w:val="0007158C"/>
    <w:rsid w:val="000715E8"/>
    <w:rsid w:val="000715F2"/>
    <w:rsid w:val="000715FC"/>
    <w:rsid w:val="0007182F"/>
    <w:rsid w:val="0007185B"/>
    <w:rsid w:val="000718AA"/>
    <w:rsid w:val="00071959"/>
    <w:rsid w:val="0007195D"/>
    <w:rsid w:val="000719DA"/>
    <w:rsid w:val="00071A7D"/>
    <w:rsid w:val="00071A80"/>
    <w:rsid w:val="00071C1F"/>
    <w:rsid w:val="00071CB3"/>
    <w:rsid w:val="00071CBA"/>
    <w:rsid w:val="00071D4D"/>
    <w:rsid w:val="00072069"/>
    <w:rsid w:val="0007207C"/>
    <w:rsid w:val="0007252F"/>
    <w:rsid w:val="00072601"/>
    <w:rsid w:val="00072716"/>
    <w:rsid w:val="00072954"/>
    <w:rsid w:val="00072A4A"/>
    <w:rsid w:val="00072B29"/>
    <w:rsid w:val="00072BC8"/>
    <w:rsid w:val="00072E0E"/>
    <w:rsid w:val="00072E90"/>
    <w:rsid w:val="00072F13"/>
    <w:rsid w:val="00072F98"/>
    <w:rsid w:val="00073050"/>
    <w:rsid w:val="000731E9"/>
    <w:rsid w:val="000733F1"/>
    <w:rsid w:val="0007347F"/>
    <w:rsid w:val="00073712"/>
    <w:rsid w:val="00073804"/>
    <w:rsid w:val="000738E2"/>
    <w:rsid w:val="000739AF"/>
    <w:rsid w:val="00073AA1"/>
    <w:rsid w:val="00073B14"/>
    <w:rsid w:val="00073BC2"/>
    <w:rsid w:val="00073D54"/>
    <w:rsid w:val="00073E78"/>
    <w:rsid w:val="00073EFD"/>
    <w:rsid w:val="00074046"/>
    <w:rsid w:val="00074084"/>
    <w:rsid w:val="000742D5"/>
    <w:rsid w:val="000743B5"/>
    <w:rsid w:val="000744CC"/>
    <w:rsid w:val="00074567"/>
    <w:rsid w:val="000746BE"/>
    <w:rsid w:val="000746C4"/>
    <w:rsid w:val="00074849"/>
    <w:rsid w:val="00074996"/>
    <w:rsid w:val="00074ABB"/>
    <w:rsid w:val="0007509B"/>
    <w:rsid w:val="0007516A"/>
    <w:rsid w:val="000751DA"/>
    <w:rsid w:val="000752BD"/>
    <w:rsid w:val="0007547B"/>
    <w:rsid w:val="000754A6"/>
    <w:rsid w:val="0007562D"/>
    <w:rsid w:val="00075691"/>
    <w:rsid w:val="00075749"/>
    <w:rsid w:val="00075794"/>
    <w:rsid w:val="000757F2"/>
    <w:rsid w:val="000759F9"/>
    <w:rsid w:val="00075D73"/>
    <w:rsid w:val="00076051"/>
    <w:rsid w:val="00076191"/>
    <w:rsid w:val="0007619B"/>
    <w:rsid w:val="00076250"/>
    <w:rsid w:val="000763F2"/>
    <w:rsid w:val="000764C5"/>
    <w:rsid w:val="000765BD"/>
    <w:rsid w:val="000765CD"/>
    <w:rsid w:val="000765DD"/>
    <w:rsid w:val="00076717"/>
    <w:rsid w:val="000768FD"/>
    <w:rsid w:val="00076971"/>
    <w:rsid w:val="00076AAE"/>
    <w:rsid w:val="00076CE6"/>
    <w:rsid w:val="0007703F"/>
    <w:rsid w:val="0007708B"/>
    <w:rsid w:val="0007727B"/>
    <w:rsid w:val="00077817"/>
    <w:rsid w:val="00077829"/>
    <w:rsid w:val="00077834"/>
    <w:rsid w:val="000779C8"/>
    <w:rsid w:val="00077AC4"/>
    <w:rsid w:val="00077C5A"/>
    <w:rsid w:val="00077D41"/>
    <w:rsid w:val="00077D4E"/>
    <w:rsid w:val="00080255"/>
    <w:rsid w:val="00080258"/>
    <w:rsid w:val="00080604"/>
    <w:rsid w:val="000806D9"/>
    <w:rsid w:val="000807C0"/>
    <w:rsid w:val="00080BBD"/>
    <w:rsid w:val="00080BDD"/>
    <w:rsid w:val="00080E92"/>
    <w:rsid w:val="000811F0"/>
    <w:rsid w:val="00081302"/>
    <w:rsid w:val="000813CE"/>
    <w:rsid w:val="00081536"/>
    <w:rsid w:val="0008176B"/>
    <w:rsid w:val="000818FD"/>
    <w:rsid w:val="00081A92"/>
    <w:rsid w:val="00081D47"/>
    <w:rsid w:val="00081EB7"/>
    <w:rsid w:val="00081FDF"/>
    <w:rsid w:val="00081FEC"/>
    <w:rsid w:val="00082096"/>
    <w:rsid w:val="000820FC"/>
    <w:rsid w:val="00082168"/>
    <w:rsid w:val="000822D5"/>
    <w:rsid w:val="000823B4"/>
    <w:rsid w:val="0008248F"/>
    <w:rsid w:val="00082768"/>
    <w:rsid w:val="000828DE"/>
    <w:rsid w:val="00082A9D"/>
    <w:rsid w:val="00082AD3"/>
    <w:rsid w:val="00082C2D"/>
    <w:rsid w:val="00082CAD"/>
    <w:rsid w:val="00082CDB"/>
    <w:rsid w:val="0008328D"/>
    <w:rsid w:val="000832D9"/>
    <w:rsid w:val="000834A9"/>
    <w:rsid w:val="000834BA"/>
    <w:rsid w:val="000835A3"/>
    <w:rsid w:val="000835E6"/>
    <w:rsid w:val="00083796"/>
    <w:rsid w:val="000838B5"/>
    <w:rsid w:val="00083D2D"/>
    <w:rsid w:val="00083E03"/>
    <w:rsid w:val="00083E4F"/>
    <w:rsid w:val="00083EE0"/>
    <w:rsid w:val="00083F1F"/>
    <w:rsid w:val="000840C8"/>
    <w:rsid w:val="000840E9"/>
    <w:rsid w:val="00084323"/>
    <w:rsid w:val="00084589"/>
    <w:rsid w:val="00084661"/>
    <w:rsid w:val="00084CAA"/>
    <w:rsid w:val="00084D1E"/>
    <w:rsid w:val="00084DAB"/>
    <w:rsid w:val="00084E19"/>
    <w:rsid w:val="00084ED3"/>
    <w:rsid w:val="000851D2"/>
    <w:rsid w:val="0008538A"/>
    <w:rsid w:val="00085464"/>
    <w:rsid w:val="00085567"/>
    <w:rsid w:val="0008558F"/>
    <w:rsid w:val="00085815"/>
    <w:rsid w:val="0008586A"/>
    <w:rsid w:val="000859F8"/>
    <w:rsid w:val="00085A18"/>
    <w:rsid w:val="00085A92"/>
    <w:rsid w:val="00085AC4"/>
    <w:rsid w:val="00085CBD"/>
    <w:rsid w:val="00086133"/>
    <w:rsid w:val="000861B6"/>
    <w:rsid w:val="000861D8"/>
    <w:rsid w:val="00086417"/>
    <w:rsid w:val="000866D0"/>
    <w:rsid w:val="000866F4"/>
    <w:rsid w:val="0008678C"/>
    <w:rsid w:val="000867EA"/>
    <w:rsid w:val="000868E7"/>
    <w:rsid w:val="00086909"/>
    <w:rsid w:val="000869AD"/>
    <w:rsid w:val="00086B46"/>
    <w:rsid w:val="00086CB7"/>
    <w:rsid w:val="00086CBE"/>
    <w:rsid w:val="00086F5C"/>
    <w:rsid w:val="00086F9B"/>
    <w:rsid w:val="00087109"/>
    <w:rsid w:val="000871B9"/>
    <w:rsid w:val="0008723E"/>
    <w:rsid w:val="0008724B"/>
    <w:rsid w:val="000872A6"/>
    <w:rsid w:val="0008746B"/>
    <w:rsid w:val="000875DD"/>
    <w:rsid w:val="000876C0"/>
    <w:rsid w:val="000877F7"/>
    <w:rsid w:val="00087941"/>
    <w:rsid w:val="00087B51"/>
    <w:rsid w:val="00087BBE"/>
    <w:rsid w:val="00087C36"/>
    <w:rsid w:val="00087C50"/>
    <w:rsid w:val="00087C6D"/>
    <w:rsid w:val="00087C77"/>
    <w:rsid w:val="00087D2E"/>
    <w:rsid w:val="00087DB6"/>
    <w:rsid w:val="00087DB8"/>
    <w:rsid w:val="00090083"/>
    <w:rsid w:val="00090203"/>
    <w:rsid w:val="0009025B"/>
    <w:rsid w:val="0009030B"/>
    <w:rsid w:val="0009034C"/>
    <w:rsid w:val="0009043D"/>
    <w:rsid w:val="00090887"/>
    <w:rsid w:val="000908D4"/>
    <w:rsid w:val="00090A6B"/>
    <w:rsid w:val="00090C2C"/>
    <w:rsid w:val="00090D14"/>
    <w:rsid w:val="00090E25"/>
    <w:rsid w:val="00090EF8"/>
    <w:rsid w:val="00090FB2"/>
    <w:rsid w:val="00091586"/>
    <w:rsid w:val="0009158A"/>
    <w:rsid w:val="0009175C"/>
    <w:rsid w:val="00091790"/>
    <w:rsid w:val="0009189A"/>
    <w:rsid w:val="00091974"/>
    <w:rsid w:val="00091977"/>
    <w:rsid w:val="00091C46"/>
    <w:rsid w:val="000922F0"/>
    <w:rsid w:val="00092321"/>
    <w:rsid w:val="0009251C"/>
    <w:rsid w:val="00092579"/>
    <w:rsid w:val="0009283B"/>
    <w:rsid w:val="00092916"/>
    <w:rsid w:val="0009292C"/>
    <w:rsid w:val="00092948"/>
    <w:rsid w:val="0009297A"/>
    <w:rsid w:val="00092C85"/>
    <w:rsid w:val="0009321B"/>
    <w:rsid w:val="000932C2"/>
    <w:rsid w:val="000933BD"/>
    <w:rsid w:val="000934BE"/>
    <w:rsid w:val="0009353A"/>
    <w:rsid w:val="00093548"/>
    <w:rsid w:val="00093579"/>
    <w:rsid w:val="0009363B"/>
    <w:rsid w:val="000937D4"/>
    <w:rsid w:val="00093849"/>
    <w:rsid w:val="00093A74"/>
    <w:rsid w:val="00093ACD"/>
    <w:rsid w:val="00093C85"/>
    <w:rsid w:val="00093E1F"/>
    <w:rsid w:val="00093E95"/>
    <w:rsid w:val="0009421C"/>
    <w:rsid w:val="00094447"/>
    <w:rsid w:val="0009462C"/>
    <w:rsid w:val="00094735"/>
    <w:rsid w:val="00094754"/>
    <w:rsid w:val="000948C5"/>
    <w:rsid w:val="000948C6"/>
    <w:rsid w:val="000948C8"/>
    <w:rsid w:val="000949AF"/>
    <w:rsid w:val="00094D93"/>
    <w:rsid w:val="00094E9D"/>
    <w:rsid w:val="00095114"/>
    <w:rsid w:val="0009516C"/>
    <w:rsid w:val="00095434"/>
    <w:rsid w:val="0009567D"/>
    <w:rsid w:val="000956E5"/>
    <w:rsid w:val="00095913"/>
    <w:rsid w:val="00095979"/>
    <w:rsid w:val="00095B9B"/>
    <w:rsid w:val="00095CC6"/>
    <w:rsid w:val="00095CE2"/>
    <w:rsid w:val="00095D40"/>
    <w:rsid w:val="00095D4F"/>
    <w:rsid w:val="00095EDE"/>
    <w:rsid w:val="00096140"/>
    <w:rsid w:val="00096208"/>
    <w:rsid w:val="0009632C"/>
    <w:rsid w:val="00096348"/>
    <w:rsid w:val="000964F5"/>
    <w:rsid w:val="00096811"/>
    <w:rsid w:val="0009687D"/>
    <w:rsid w:val="00096AF2"/>
    <w:rsid w:val="00096AF8"/>
    <w:rsid w:val="00096BB4"/>
    <w:rsid w:val="00096E28"/>
    <w:rsid w:val="00096ED3"/>
    <w:rsid w:val="00096FE2"/>
    <w:rsid w:val="00097281"/>
    <w:rsid w:val="00097563"/>
    <w:rsid w:val="00097573"/>
    <w:rsid w:val="00097799"/>
    <w:rsid w:val="00097A46"/>
    <w:rsid w:val="00097AC9"/>
    <w:rsid w:val="00097EAF"/>
    <w:rsid w:val="00097EB5"/>
    <w:rsid w:val="000A00A0"/>
    <w:rsid w:val="000A0184"/>
    <w:rsid w:val="000A04A8"/>
    <w:rsid w:val="000A074E"/>
    <w:rsid w:val="000A0AE8"/>
    <w:rsid w:val="000A0AE9"/>
    <w:rsid w:val="000A0CA8"/>
    <w:rsid w:val="000A0D8B"/>
    <w:rsid w:val="000A0E9C"/>
    <w:rsid w:val="000A0FF0"/>
    <w:rsid w:val="000A1274"/>
    <w:rsid w:val="000A140C"/>
    <w:rsid w:val="000A1440"/>
    <w:rsid w:val="000A16D2"/>
    <w:rsid w:val="000A1889"/>
    <w:rsid w:val="000A18B7"/>
    <w:rsid w:val="000A1A2E"/>
    <w:rsid w:val="000A1AB6"/>
    <w:rsid w:val="000A1C7C"/>
    <w:rsid w:val="000A1E61"/>
    <w:rsid w:val="000A2075"/>
    <w:rsid w:val="000A213C"/>
    <w:rsid w:val="000A2144"/>
    <w:rsid w:val="000A21AC"/>
    <w:rsid w:val="000A21D6"/>
    <w:rsid w:val="000A2332"/>
    <w:rsid w:val="000A2461"/>
    <w:rsid w:val="000A2473"/>
    <w:rsid w:val="000A25DC"/>
    <w:rsid w:val="000A266C"/>
    <w:rsid w:val="000A29BF"/>
    <w:rsid w:val="000A2A16"/>
    <w:rsid w:val="000A2A84"/>
    <w:rsid w:val="000A2B0F"/>
    <w:rsid w:val="000A2B9F"/>
    <w:rsid w:val="000A2BDC"/>
    <w:rsid w:val="000A2EDB"/>
    <w:rsid w:val="000A2F3C"/>
    <w:rsid w:val="000A3048"/>
    <w:rsid w:val="000A308A"/>
    <w:rsid w:val="000A311C"/>
    <w:rsid w:val="000A3462"/>
    <w:rsid w:val="000A3499"/>
    <w:rsid w:val="000A352E"/>
    <w:rsid w:val="000A3A24"/>
    <w:rsid w:val="000A3CE7"/>
    <w:rsid w:val="000A3D24"/>
    <w:rsid w:val="000A3D39"/>
    <w:rsid w:val="000A3D4B"/>
    <w:rsid w:val="000A3D8D"/>
    <w:rsid w:val="000A4169"/>
    <w:rsid w:val="000A4235"/>
    <w:rsid w:val="000A42C4"/>
    <w:rsid w:val="000A433B"/>
    <w:rsid w:val="000A43AB"/>
    <w:rsid w:val="000A46C6"/>
    <w:rsid w:val="000A4809"/>
    <w:rsid w:val="000A4834"/>
    <w:rsid w:val="000A4999"/>
    <w:rsid w:val="000A4CBA"/>
    <w:rsid w:val="000A4D8C"/>
    <w:rsid w:val="000A4FF6"/>
    <w:rsid w:val="000A5334"/>
    <w:rsid w:val="000A5681"/>
    <w:rsid w:val="000A576F"/>
    <w:rsid w:val="000A5C9A"/>
    <w:rsid w:val="000A5D0B"/>
    <w:rsid w:val="000A614F"/>
    <w:rsid w:val="000A6155"/>
    <w:rsid w:val="000A63F1"/>
    <w:rsid w:val="000A6686"/>
    <w:rsid w:val="000A6A2A"/>
    <w:rsid w:val="000A6D74"/>
    <w:rsid w:val="000A6DDB"/>
    <w:rsid w:val="000A6F6A"/>
    <w:rsid w:val="000A7049"/>
    <w:rsid w:val="000A70B8"/>
    <w:rsid w:val="000A717B"/>
    <w:rsid w:val="000A729E"/>
    <w:rsid w:val="000A7464"/>
    <w:rsid w:val="000A74A7"/>
    <w:rsid w:val="000A75D2"/>
    <w:rsid w:val="000A762E"/>
    <w:rsid w:val="000A7668"/>
    <w:rsid w:val="000A7770"/>
    <w:rsid w:val="000A7937"/>
    <w:rsid w:val="000A7938"/>
    <w:rsid w:val="000A7B9F"/>
    <w:rsid w:val="000A7C1E"/>
    <w:rsid w:val="000A7C82"/>
    <w:rsid w:val="000A7D26"/>
    <w:rsid w:val="000A7DFE"/>
    <w:rsid w:val="000B00D3"/>
    <w:rsid w:val="000B045E"/>
    <w:rsid w:val="000B04C0"/>
    <w:rsid w:val="000B0526"/>
    <w:rsid w:val="000B05C3"/>
    <w:rsid w:val="000B08D9"/>
    <w:rsid w:val="000B0924"/>
    <w:rsid w:val="000B0CAA"/>
    <w:rsid w:val="000B0F6D"/>
    <w:rsid w:val="000B1033"/>
    <w:rsid w:val="000B10DF"/>
    <w:rsid w:val="000B10F6"/>
    <w:rsid w:val="000B10FD"/>
    <w:rsid w:val="000B12A1"/>
    <w:rsid w:val="000B172B"/>
    <w:rsid w:val="000B183B"/>
    <w:rsid w:val="000B1A5C"/>
    <w:rsid w:val="000B1C3A"/>
    <w:rsid w:val="000B1DC9"/>
    <w:rsid w:val="000B2258"/>
    <w:rsid w:val="000B22F0"/>
    <w:rsid w:val="000B24E1"/>
    <w:rsid w:val="000B25D4"/>
    <w:rsid w:val="000B26B2"/>
    <w:rsid w:val="000B272C"/>
    <w:rsid w:val="000B2AEB"/>
    <w:rsid w:val="000B2B60"/>
    <w:rsid w:val="000B2F30"/>
    <w:rsid w:val="000B31A0"/>
    <w:rsid w:val="000B3229"/>
    <w:rsid w:val="000B323B"/>
    <w:rsid w:val="000B325F"/>
    <w:rsid w:val="000B3293"/>
    <w:rsid w:val="000B329B"/>
    <w:rsid w:val="000B3357"/>
    <w:rsid w:val="000B33D0"/>
    <w:rsid w:val="000B3684"/>
    <w:rsid w:val="000B39D5"/>
    <w:rsid w:val="000B3B34"/>
    <w:rsid w:val="000B3D9F"/>
    <w:rsid w:val="000B3DC1"/>
    <w:rsid w:val="000B3E72"/>
    <w:rsid w:val="000B3F2F"/>
    <w:rsid w:val="000B4345"/>
    <w:rsid w:val="000B4372"/>
    <w:rsid w:val="000B44A2"/>
    <w:rsid w:val="000B4912"/>
    <w:rsid w:val="000B4A5E"/>
    <w:rsid w:val="000B4AD4"/>
    <w:rsid w:val="000B4B8D"/>
    <w:rsid w:val="000B4BE6"/>
    <w:rsid w:val="000B4CDA"/>
    <w:rsid w:val="000B4EC7"/>
    <w:rsid w:val="000B4FD6"/>
    <w:rsid w:val="000B5075"/>
    <w:rsid w:val="000B50ED"/>
    <w:rsid w:val="000B50FD"/>
    <w:rsid w:val="000B518D"/>
    <w:rsid w:val="000B52FD"/>
    <w:rsid w:val="000B5522"/>
    <w:rsid w:val="000B56D9"/>
    <w:rsid w:val="000B5712"/>
    <w:rsid w:val="000B5876"/>
    <w:rsid w:val="000B591B"/>
    <w:rsid w:val="000B59A4"/>
    <w:rsid w:val="000B5BAF"/>
    <w:rsid w:val="000B5BF6"/>
    <w:rsid w:val="000B5EB3"/>
    <w:rsid w:val="000B603D"/>
    <w:rsid w:val="000B605B"/>
    <w:rsid w:val="000B608C"/>
    <w:rsid w:val="000B6377"/>
    <w:rsid w:val="000B64FD"/>
    <w:rsid w:val="000B6525"/>
    <w:rsid w:val="000B664B"/>
    <w:rsid w:val="000B66AD"/>
    <w:rsid w:val="000B6750"/>
    <w:rsid w:val="000B6921"/>
    <w:rsid w:val="000B695E"/>
    <w:rsid w:val="000B6BC4"/>
    <w:rsid w:val="000B6BF8"/>
    <w:rsid w:val="000B6C09"/>
    <w:rsid w:val="000B6C7A"/>
    <w:rsid w:val="000B6E5D"/>
    <w:rsid w:val="000B6FAD"/>
    <w:rsid w:val="000B705D"/>
    <w:rsid w:val="000B7248"/>
    <w:rsid w:val="000B764C"/>
    <w:rsid w:val="000B7721"/>
    <w:rsid w:val="000B7876"/>
    <w:rsid w:val="000B7879"/>
    <w:rsid w:val="000B7891"/>
    <w:rsid w:val="000B79A0"/>
    <w:rsid w:val="000B7B51"/>
    <w:rsid w:val="000B7BDE"/>
    <w:rsid w:val="000C0126"/>
    <w:rsid w:val="000C0240"/>
    <w:rsid w:val="000C0536"/>
    <w:rsid w:val="000C06AE"/>
    <w:rsid w:val="000C06E6"/>
    <w:rsid w:val="000C06E9"/>
    <w:rsid w:val="000C07E3"/>
    <w:rsid w:val="000C091E"/>
    <w:rsid w:val="000C098E"/>
    <w:rsid w:val="000C0B84"/>
    <w:rsid w:val="000C0E01"/>
    <w:rsid w:val="000C112E"/>
    <w:rsid w:val="000C117F"/>
    <w:rsid w:val="000C1494"/>
    <w:rsid w:val="000C15E7"/>
    <w:rsid w:val="000C16A1"/>
    <w:rsid w:val="000C17F4"/>
    <w:rsid w:val="000C18DB"/>
    <w:rsid w:val="000C1A30"/>
    <w:rsid w:val="000C1A86"/>
    <w:rsid w:val="000C1BCB"/>
    <w:rsid w:val="000C1BFE"/>
    <w:rsid w:val="000C1CC5"/>
    <w:rsid w:val="000C1D53"/>
    <w:rsid w:val="000C1E80"/>
    <w:rsid w:val="000C200C"/>
    <w:rsid w:val="000C202F"/>
    <w:rsid w:val="000C209E"/>
    <w:rsid w:val="000C217B"/>
    <w:rsid w:val="000C217E"/>
    <w:rsid w:val="000C27A6"/>
    <w:rsid w:val="000C27B3"/>
    <w:rsid w:val="000C2A85"/>
    <w:rsid w:val="000C2A87"/>
    <w:rsid w:val="000C2B9A"/>
    <w:rsid w:val="000C2CCC"/>
    <w:rsid w:val="000C2D66"/>
    <w:rsid w:val="000C2D89"/>
    <w:rsid w:val="000C2EDD"/>
    <w:rsid w:val="000C2F10"/>
    <w:rsid w:val="000C3317"/>
    <w:rsid w:val="000C3325"/>
    <w:rsid w:val="000C35E7"/>
    <w:rsid w:val="000C37A3"/>
    <w:rsid w:val="000C3A4A"/>
    <w:rsid w:val="000C3A89"/>
    <w:rsid w:val="000C3DE9"/>
    <w:rsid w:val="000C3E55"/>
    <w:rsid w:val="000C3EFD"/>
    <w:rsid w:val="000C3F35"/>
    <w:rsid w:val="000C3F42"/>
    <w:rsid w:val="000C3FDA"/>
    <w:rsid w:val="000C411A"/>
    <w:rsid w:val="000C41EF"/>
    <w:rsid w:val="000C43D7"/>
    <w:rsid w:val="000C45A9"/>
    <w:rsid w:val="000C47D3"/>
    <w:rsid w:val="000C491F"/>
    <w:rsid w:val="000C4928"/>
    <w:rsid w:val="000C4F0C"/>
    <w:rsid w:val="000C5038"/>
    <w:rsid w:val="000C52F5"/>
    <w:rsid w:val="000C54DA"/>
    <w:rsid w:val="000C5570"/>
    <w:rsid w:val="000C580B"/>
    <w:rsid w:val="000C5980"/>
    <w:rsid w:val="000C59D5"/>
    <w:rsid w:val="000C5B89"/>
    <w:rsid w:val="000C5C14"/>
    <w:rsid w:val="000C63E5"/>
    <w:rsid w:val="000C6535"/>
    <w:rsid w:val="000C667A"/>
    <w:rsid w:val="000C675A"/>
    <w:rsid w:val="000C6830"/>
    <w:rsid w:val="000C6911"/>
    <w:rsid w:val="000C6A53"/>
    <w:rsid w:val="000C6A5A"/>
    <w:rsid w:val="000C6A86"/>
    <w:rsid w:val="000C6BDE"/>
    <w:rsid w:val="000C6EB6"/>
    <w:rsid w:val="000C6F85"/>
    <w:rsid w:val="000C6FC5"/>
    <w:rsid w:val="000C7029"/>
    <w:rsid w:val="000C71DE"/>
    <w:rsid w:val="000C7261"/>
    <w:rsid w:val="000C7580"/>
    <w:rsid w:val="000C7751"/>
    <w:rsid w:val="000C77CD"/>
    <w:rsid w:val="000C78EE"/>
    <w:rsid w:val="000C7B05"/>
    <w:rsid w:val="000C7B6B"/>
    <w:rsid w:val="000C7D77"/>
    <w:rsid w:val="000C7DE3"/>
    <w:rsid w:val="000D0131"/>
    <w:rsid w:val="000D0168"/>
    <w:rsid w:val="000D01C7"/>
    <w:rsid w:val="000D020E"/>
    <w:rsid w:val="000D061A"/>
    <w:rsid w:val="000D07A5"/>
    <w:rsid w:val="000D0975"/>
    <w:rsid w:val="000D0AD9"/>
    <w:rsid w:val="000D0ADA"/>
    <w:rsid w:val="000D0B7D"/>
    <w:rsid w:val="000D0C92"/>
    <w:rsid w:val="000D0CFE"/>
    <w:rsid w:val="000D0D55"/>
    <w:rsid w:val="000D0D69"/>
    <w:rsid w:val="000D0D71"/>
    <w:rsid w:val="000D0D91"/>
    <w:rsid w:val="000D0DB4"/>
    <w:rsid w:val="000D1249"/>
    <w:rsid w:val="000D128F"/>
    <w:rsid w:val="000D1333"/>
    <w:rsid w:val="000D144D"/>
    <w:rsid w:val="000D1963"/>
    <w:rsid w:val="000D19CF"/>
    <w:rsid w:val="000D19EE"/>
    <w:rsid w:val="000D1A06"/>
    <w:rsid w:val="000D1CA2"/>
    <w:rsid w:val="000D1D58"/>
    <w:rsid w:val="000D1D9F"/>
    <w:rsid w:val="000D1F68"/>
    <w:rsid w:val="000D2170"/>
    <w:rsid w:val="000D246F"/>
    <w:rsid w:val="000D2574"/>
    <w:rsid w:val="000D2771"/>
    <w:rsid w:val="000D278A"/>
    <w:rsid w:val="000D2822"/>
    <w:rsid w:val="000D29A9"/>
    <w:rsid w:val="000D2A90"/>
    <w:rsid w:val="000D2D39"/>
    <w:rsid w:val="000D2FEA"/>
    <w:rsid w:val="000D30C9"/>
    <w:rsid w:val="000D3277"/>
    <w:rsid w:val="000D34A1"/>
    <w:rsid w:val="000D3600"/>
    <w:rsid w:val="000D36CC"/>
    <w:rsid w:val="000D3888"/>
    <w:rsid w:val="000D3A2F"/>
    <w:rsid w:val="000D3BCC"/>
    <w:rsid w:val="000D3D9C"/>
    <w:rsid w:val="000D4041"/>
    <w:rsid w:val="000D40B0"/>
    <w:rsid w:val="000D40C8"/>
    <w:rsid w:val="000D4511"/>
    <w:rsid w:val="000D45D4"/>
    <w:rsid w:val="000D45E3"/>
    <w:rsid w:val="000D4722"/>
    <w:rsid w:val="000D47C8"/>
    <w:rsid w:val="000D4B0F"/>
    <w:rsid w:val="000D4B17"/>
    <w:rsid w:val="000D4C5C"/>
    <w:rsid w:val="000D4D48"/>
    <w:rsid w:val="000D4DDE"/>
    <w:rsid w:val="000D500A"/>
    <w:rsid w:val="000D50D6"/>
    <w:rsid w:val="000D5432"/>
    <w:rsid w:val="000D567B"/>
    <w:rsid w:val="000D57B9"/>
    <w:rsid w:val="000D5891"/>
    <w:rsid w:val="000D5A7D"/>
    <w:rsid w:val="000D5DCC"/>
    <w:rsid w:val="000D5E6C"/>
    <w:rsid w:val="000D6146"/>
    <w:rsid w:val="000D6152"/>
    <w:rsid w:val="000D620D"/>
    <w:rsid w:val="000D6354"/>
    <w:rsid w:val="000D6718"/>
    <w:rsid w:val="000D67C5"/>
    <w:rsid w:val="000D688A"/>
    <w:rsid w:val="000D6896"/>
    <w:rsid w:val="000D6B8C"/>
    <w:rsid w:val="000D6DE1"/>
    <w:rsid w:val="000D6F1B"/>
    <w:rsid w:val="000D7342"/>
    <w:rsid w:val="000D769B"/>
    <w:rsid w:val="000D78CF"/>
    <w:rsid w:val="000D79F1"/>
    <w:rsid w:val="000D7CCE"/>
    <w:rsid w:val="000D7D75"/>
    <w:rsid w:val="000D7DCB"/>
    <w:rsid w:val="000D7F2C"/>
    <w:rsid w:val="000D7F71"/>
    <w:rsid w:val="000E0030"/>
    <w:rsid w:val="000E005C"/>
    <w:rsid w:val="000E02CD"/>
    <w:rsid w:val="000E049C"/>
    <w:rsid w:val="000E04A8"/>
    <w:rsid w:val="000E054F"/>
    <w:rsid w:val="000E06C9"/>
    <w:rsid w:val="000E06DC"/>
    <w:rsid w:val="000E0748"/>
    <w:rsid w:val="000E0920"/>
    <w:rsid w:val="000E0A2D"/>
    <w:rsid w:val="000E0A7A"/>
    <w:rsid w:val="000E0BD5"/>
    <w:rsid w:val="000E107E"/>
    <w:rsid w:val="000E1615"/>
    <w:rsid w:val="000E16CE"/>
    <w:rsid w:val="000E1734"/>
    <w:rsid w:val="000E186E"/>
    <w:rsid w:val="000E18A3"/>
    <w:rsid w:val="000E1A67"/>
    <w:rsid w:val="000E1BFC"/>
    <w:rsid w:val="000E1D6C"/>
    <w:rsid w:val="000E1D9D"/>
    <w:rsid w:val="000E1EEF"/>
    <w:rsid w:val="000E216A"/>
    <w:rsid w:val="000E21E8"/>
    <w:rsid w:val="000E23CA"/>
    <w:rsid w:val="000E24C3"/>
    <w:rsid w:val="000E2592"/>
    <w:rsid w:val="000E25F5"/>
    <w:rsid w:val="000E2612"/>
    <w:rsid w:val="000E26AC"/>
    <w:rsid w:val="000E2B1B"/>
    <w:rsid w:val="000E2BDE"/>
    <w:rsid w:val="000E2D78"/>
    <w:rsid w:val="000E2F28"/>
    <w:rsid w:val="000E2FAF"/>
    <w:rsid w:val="000E3044"/>
    <w:rsid w:val="000E3139"/>
    <w:rsid w:val="000E3184"/>
    <w:rsid w:val="000E31F1"/>
    <w:rsid w:val="000E333D"/>
    <w:rsid w:val="000E3364"/>
    <w:rsid w:val="000E33C9"/>
    <w:rsid w:val="000E33E3"/>
    <w:rsid w:val="000E3452"/>
    <w:rsid w:val="000E3470"/>
    <w:rsid w:val="000E34DC"/>
    <w:rsid w:val="000E34F6"/>
    <w:rsid w:val="000E3823"/>
    <w:rsid w:val="000E3841"/>
    <w:rsid w:val="000E3888"/>
    <w:rsid w:val="000E3934"/>
    <w:rsid w:val="000E3990"/>
    <w:rsid w:val="000E39B6"/>
    <w:rsid w:val="000E3B04"/>
    <w:rsid w:val="000E3BF5"/>
    <w:rsid w:val="000E3CC0"/>
    <w:rsid w:val="000E3CC7"/>
    <w:rsid w:val="000E3D9B"/>
    <w:rsid w:val="000E3DB3"/>
    <w:rsid w:val="000E3E48"/>
    <w:rsid w:val="000E41FB"/>
    <w:rsid w:val="000E42F6"/>
    <w:rsid w:val="000E4516"/>
    <w:rsid w:val="000E4817"/>
    <w:rsid w:val="000E4820"/>
    <w:rsid w:val="000E4824"/>
    <w:rsid w:val="000E4B89"/>
    <w:rsid w:val="000E4C0E"/>
    <w:rsid w:val="000E4C7C"/>
    <w:rsid w:val="000E4C8B"/>
    <w:rsid w:val="000E4E9D"/>
    <w:rsid w:val="000E4ED7"/>
    <w:rsid w:val="000E502B"/>
    <w:rsid w:val="000E51DB"/>
    <w:rsid w:val="000E53CB"/>
    <w:rsid w:val="000E549A"/>
    <w:rsid w:val="000E550F"/>
    <w:rsid w:val="000E5625"/>
    <w:rsid w:val="000E576C"/>
    <w:rsid w:val="000E577D"/>
    <w:rsid w:val="000E5BB0"/>
    <w:rsid w:val="000E5C9F"/>
    <w:rsid w:val="000E5D60"/>
    <w:rsid w:val="000E5F6E"/>
    <w:rsid w:val="000E610C"/>
    <w:rsid w:val="000E6122"/>
    <w:rsid w:val="000E63BB"/>
    <w:rsid w:val="000E66E6"/>
    <w:rsid w:val="000E6777"/>
    <w:rsid w:val="000E68C7"/>
    <w:rsid w:val="000E6A45"/>
    <w:rsid w:val="000E6ABC"/>
    <w:rsid w:val="000E6B81"/>
    <w:rsid w:val="000E6BCF"/>
    <w:rsid w:val="000E6C6A"/>
    <w:rsid w:val="000E6C98"/>
    <w:rsid w:val="000E6CCF"/>
    <w:rsid w:val="000E6FB6"/>
    <w:rsid w:val="000E7406"/>
    <w:rsid w:val="000E74F2"/>
    <w:rsid w:val="000E76FF"/>
    <w:rsid w:val="000E78F4"/>
    <w:rsid w:val="000E7D23"/>
    <w:rsid w:val="000E7D8F"/>
    <w:rsid w:val="000E7DCB"/>
    <w:rsid w:val="000E7EAD"/>
    <w:rsid w:val="000E7F89"/>
    <w:rsid w:val="000F0008"/>
    <w:rsid w:val="000F0100"/>
    <w:rsid w:val="000F0127"/>
    <w:rsid w:val="000F01FF"/>
    <w:rsid w:val="000F039C"/>
    <w:rsid w:val="000F07B7"/>
    <w:rsid w:val="000F07E5"/>
    <w:rsid w:val="000F0A79"/>
    <w:rsid w:val="000F0C79"/>
    <w:rsid w:val="000F0DE8"/>
    <w:rsid w:val="000F0EC4"/>
    <w:rsid w:val="000F1063"/>
    <w:rsid w:val="000F10FD"/>
    <w:rsid w:val="000F14F8"/>
    <w:rsid w:val="000F157D"/>
    <w:rsid w:val="000F16A2"/>
    <w:rsid w:val="000F1709"/>
    <w:rsid w:val="000F17E6"/>
    <w:rsid w:val="000F1854"/>
    <w:rsid w:val="000F1897"/>
    <w:rsid w:val="000F1965"/>
    <w:rsid w:val="000F1C93"/>
    <w:rsid w:val="000F1DCB"/>
    <w:rsid w:val="000F1E82"/>
    <w:rsid w:val="000F1F4A"/>
    <w:rsid w:val="000F211F"/>
    <w:rsid w:val="000F2328"/>
    <w:rsid w:val="000F237A"/>
    <w:rsid w:val="000F24C9"/>
    <w:rsid w:val="000F24CB"/>
    <w:rsid w:val="000F26CD"/>
    <w:rsid w:val="000F284C"/>
    <w:rsid w:val="000F28FC"/>
    <w:rsid w:val="000F292E"/>
    <w:rsid w:val="000F2A53"/>
    <w:rsid w:val="000F2A5B"/>
    <w:rsid w:val="000F3005"/>
    <w:rsid w:val="000F3231"/>
    <w:rsid w:val="000F3425"/>
    <w:rsid w:val="000F3439"/>
    <w:rsid w:val="000F3499"/>
    <w:rsid w:val="000F3526"/>
    <w:rsid w:val="000F36BE"/>
    <w:rsid w:val="000F3812"/>
    <w:rsid w:val="000F395E"/>
    <w:rsid w:val="000F3A04"/>
    <w:rsid w:val="000F3A9B"/>
    <w:rsid w:val="000F3AA1"/>
    <w:rsid w:val="000F3CE2"/>
    <w:rsid w:val="000F3E51"/>
    <w:rsid w:val="000F4071"/>
    <w:rsid w:val="000F4268"/>
    <w:rsid w:val="000F4297"/>
    <w:rsid w:val="000F43C6"/>
    <w:rsid w:val="000F451B"/>
    <w:rsid w:val="000F457D"/>
    <w:rsid w:val="000F45E4"/>
    <w:rsid w:val="000F471F"/>
    <w:rsid w:val="000F47C6"/>
    <w:rsid w:val="000F48D0"/>
    <w:rsid w:val="000F4B55"/>
    <w:rsid w:val="000F4DB0"/>
    <w:rsid w:val="000F4DE8"/>
    <w:rsid w:val="000F4FE6"/>
    <w:rsid w:val="000F5022"/>
    <w:rsid w:val="000F5167"/>
    <w:rsid w:val="000F51E6"/>
    <w:rsid w:val="000F5310"/>
    <w:rsid w:val="000F5484"/>
    <w:rsid w:val="000F5789"/>
    <w:rsid w:val="000F5A88"/>
    <w:rsid w:val="000F5CDD"/>
    <w:rsid w:val="000F6186"/>
    <w:rsid w:val="000F6220"/>
    <w:rsid w:val="000F67A0"/>
    <w:rsid w:val="000F6A2A"/>
    <w:rsid w:val="000F6A73"/>
    <w:rsid w:val="000F6A87"/>
    <w:rsid w:val="000F6AE9"/>
    <w:rsid w:val="000F6D6D"/>
    <w:rsid w:val="000F7053"/>
    <w:rsid w:val="000F7201"/>
    <w:rsid w:val="000F7231"/>
    <w:rsid w:val="000F7246"/>
    <w:rsid w:val="000F727F"/>
    <w:rsid w:val="000F72EF"/>
    <w:rsid w:val="000F735C"/>
    <w:rsid w:val="000F7594"/>
    <w:rsid w:val="000F7674"/>
    <w:rsid w:val="000F76E0"/>
    <w:rsid w:val="000F779D"/>
    <w:rsid w:val="000F7874"/>
    <w:rsid w:val="000F7942"/>
    <w:rsid w:val="000F79CD"/>
    <w:rsid w:val="000F7AD2"/>
    <w:rsid w:val="000F7BD0"/>
    <w:rsid w:val="000F7BED"/>
    <w:rsid w:val="000F7CF8"/>
    <w:rsid w:val="000F7FC8"/>
    <w:rsid w:val="001000F3"/>
    <w:rsid w:val="0010015A"/>
    <w:rsid w:val="0010046B"/>
    <w:rsid w:val="00100640"/>
    <w:rsid w:val="001006C0"/>
    <w:rsid w:val="00100995"/>
    <w:rsid w:val="00100AE5"/>
    <w:rsid w:val="00100BB6"/>
    <w:rsid w:val="00100C5A"/>
    <w:rsid w:val="00100CF8"/>
    <w:rsid w:val="00100D6C"/>
    <w:rsid w:val="00100DB7"/>
    <w:rsid w:val="001010AD"/>
    <w:rsid w:val="00101185"/>
    <w:rsid w:val="001012CE"/>
    <w:rsid w:val="0010130E"/>
    <w:rsid w:val="001015B1"/>
    <w:rsid w:val="001015E8"/>
    <w:rsid w:val="00101727"/>
    <w:rsid w:val="001017A3"/>
    <w:rsid w:val="001017FD"/>
    <w:rsid w:val="00101AD9"/>
    <w:rsid w:val="00101B3B"/>
    <w:rsid w:val="00101D95"/>
    <w:rsid w:val="00101F6B"/>
    <w:rsid w:val="00102052"/>
    <w:rsid w:val="00102244"/>
    <w:rsid w:val="0010233F"/>
    <w:rsid w:val="0010234F"/>
    <w:rsid w:val="00102441"/>
    <w:rsid w:val="001025C3"/>
    <w:rsid w:val="00102622"/>
    <w:rsid w:val="0010274E"/>
    <w:rsid w:val="00102BD7"/>
    <w:rsid w:val="00102CD9"/>
    <w:rsid w:val="0010305B"/>
    <w:rsid w:val="00103140"/>
    <w:rsid w:val="00103143"/>
    <w:rsid w:val="0010317B"/>
    <w:rsid w:val="00103352"/>
    <w:rsid w:val="001033AC"/>
    <w:rsid w:val="001034A9"/>
    <w:rsid w:val="001036D3"/>
    <w:rsid w:val="0010387A"/>
    <w:rsid w:val="001038E9"/>
    <w:rsid w:val="001038FF"/>
    <w:rsid w:val="00103916"/>
    <w:rsid w:val="00103ACA"/>
    <w:rsid w:val="00103BBD"/>
    <w:rsid w:val="00103CAB"/>
    <w:rsid w:val="00103E5D"/>
    <w:rsid w:val="00103F58"/>
    <w:rsid w:val="0010419B"/>
    <w:rsid w:val="00104279"/>
    <w:rsid w:val="00104308"/>
    <w:rsid w:val="0010444A"/>
    <w:rsid w:val="00104C4C"/>
    <w:rsid w:val="00104CD4"/>
    <w:rsid w:val="00104F69"/>
    <w:rsid w:val="0010503C"/>
    <w:rsid w:val="001052E6"/>
    <w:rsid w:val="00105353"/>
    <w:rsid w:val="001055EB"/>
    <w:rsid w:val="00105661"/>
    <w:rsid w:val="0010566E"/>
    <w:rsid w:val="0010573C"/>
    <w:rsid w:val="001059CA"/>
    <w:rsid w:val="00105A4B"/>
    <w:rsid w:val="00105B5E"/>
    <w:rsid w:val="00105C35"/>
    <w:rsid w:val="00105CB1"/>
    <w:rsid w:val="00105CF0"/>
    <w:rsid w:val="00105DC9"/>
    <w:rsid w:val="00105E34"/>
    <w:rsid w:val="00105E93"/>
    <w:rsid w:val="00105FAE"/>
    <w:rsid w:val="001060AB"/>
    <w:rsid w:val="001060E6"/>
    <w:rsid w:val="00106129"/>
    <w:rsid w:val="00106523"/>
    <w:rsid w:val="001065B2"/>
    <w:rsid w:val="001065DA"/>
    <w:rsid w:val="001066EB"/>
    <w:rsid w:val="0010673C"/>
    <w:rsid w:val="001068E6"/>
    <w:rsid w:val="00106942"/>
    <w:rsid w:val="00106BE6"/>
    <w:rsid w:val="00106C13"/>
    <w:rsid w:val="00106C56"/>
    <w:rsid w:val="00106C67"/>
    <w:rsid w:val="00106CB1"/>
    <w:rsid w:val="00106CBA"/>
    <w:rsid w:val="00106F6C"/>
    <w:rsid w:val="00106FC2"/>
    <w:rsid w:val="00107002"/>
    <w:rsid w:val="00107218"/>
    <w:rsid w:val="001074A9"/>
    <w:rsid w:val="001074C8"/>
    <w:rsid w:val="001074CE"/>
    <w:rsid w:val="00107501"/>
    <w:rsid w:val="001075CC"/>
    <w:rsid w:val="00107772"/>
    <w:rsid w:val="001079E8"/>
    <w:rsid w:val="00107C50"/>
    <w:rsid w:val="00107C7F"/>
    <w:rsid w:val="00107CEF"/>
    <w:rsid w:val="00107DC1"/>
    <w:rsid w:val="00107E00"/>
    <w:rsid w:val="00107E9D"/>
    <w:rsid w:val="00107F5B"/>
    <w:rsid w:val="0011007F"/>
    <w:rsid w:val="001101C2"/>
    <w:rsid w:val="00110267"/>
    <w:rsid w:val="00110446"/>
    <w:rsid w:val="00110579"/>
    <w:rsid w:val="0011059E"/>
    <w:rsid w:val="001106A6"/>
    <w:rsid w:val="00110982"/>
    <w:rsid w:val="00110A7F"/>
    <w:rsid w:val="00110ABE"/>
    <w:rsid w:val="00110AF4"/>
    <w:rsid w:val="00110B9E"/>
    <w:rsid w:val="00110B9F"/>
    <w:rsid w:val="00110C44"/>
    <w:rsid w:val="00110CE0"/>
    <w:rsid w:val="00110D6A"/>
    <w:rsid w:val="0011105B"/>
    <w:rsid w:val="00111081"/>
    <w:rsid w:val="001110C1"/>
    <w:rsid w:val="00111253"/>
    <w:rsid w:val="001114FC"/>
    <w:rsid w:val="0011174B"/>
    <w:rsid w:val="00111B41"/>
    <w:rsid w:val="00111BBC"/>
    <w:rsid w:val="00111E2F"/>
    <w:rsid w:val="00111EBB"/>
    <w:rsid w:val="0011205F"/>
    <w:rsid w:val="001124C9"/>
    <w:rsid w:val="001124D6"/>
    <w:rsid w:val="0011259E"/>
    <w:rsid w:val="001125C8"/>
    <w:rsid w:val="00112746"/>
    <w:rsid w:val="001127A1"/>
    <w:rsid w:val="001128FA"/>
    <w:rsid w:val="001129B8"/>
    <w:rsid w:val="00112A70"/>
    <w:rsid w:val="00112F9D"/>
    <w:rsid w:val="0011319C"/>
    <w:rsid w:val="001131B1"/>
    <w:rsid w:val="001132C7"/>
    <w:rsid w:val="00113535"/>
    <w:rsid w:val="0011362B"/>
    <w:rsid w:val="0011381A"/>
    <w:rsid w:val="00113864"/>
    <w:rsid w:val="00113A65"/>
    <w:rsid w:val="00113A9B"/>
    <w:rsid w:val="00113A9C"/>
    <w:rsid w:val="00113B46"/>
    <w:rsid w:val="00113EA9"/>
    <w:rsid w:val="00113EBD"/>
    <w:rsid w:val="00113FC8"/>
    <w:rsid w:val="00114095"/>
    <w:rsid w:val="0011450D"/>
    <w:rsid w:val="00114566"/>
    <w:rsid w:val="001145DC"/>
    <w:rsid w:val="00114893"/>
    <w:rsid w:val="001148CE"/>
    <w:rsid w:val="001148FF"/>
    <w:rsid w:val="00114AA0"/>
    <w:rsid w:val="00114DE4"/>
    <w:rsid w:val="00114EA4"/>
    <w:rsid w:val="00114F0E"/>
    <w:rsid w:val="00114F6D"/>
    <w:rsid w:val="00115289"/>
    <w:rsid w:val="0011532E"/>
    <w:rsid w:val="001153E8"/>
    <w:rsid w:val="001154AE"/>
    <w:rsid w:val="001154DC"/>
    <w:rsid w:val="00115516"/>
    <w:rsid w:val="0011578F"/>
    <w:rsid w:val="00115F25"/>
    <w:rsid w:val="00116052"/>
    <w:rsid w:val="00116297"/>
    <w:rsid w:val="00116593"/>
    <w:rsid w:val="00116600"/>
    <w:rsid w:val="0011667F"/>
    <w:rsid w:val="00116883"/>
    <w:rsid w:val="001168DA"/>
    <w:rsid w:val="00116AC9"/>
    <w:rsid w:val="00116B04"/>
    <w:rsid w:val="00116BB2"/>
    <w:rsid w:val="00116C17"/>
    <w:rsid w:val="00116D31"/>
    <w:rsid w:val="00116D75"/>
    <w:rsid w:val="00116DAD"/>
    <w:rsid w:val="00117152"/>
    <w:rsid w:val="00117254"/>
    <w:rsid w:val="001174C3"/>
    <w:rsid w:val="0011750E"/>
    <w:rsid w:val="00117581"/>
    <w:rsid w:val="0011782D"/>
    <w:rsid w:val="001178B9"/>
    <w:rsid w:val="00117980"/>
    <w:rsid w:val="00117A8B"/>
    <w:rsid w:val="00117A94"/>
    <w:rsid w:val="00117BCD"/>
    <w:rsid w:val="00117C7E"/>
    <w:rsid w:val="00117FD4"/>
    <w:rsid w:val="00120022"/>
    <w:rsid w:val="0012057E"/>
    <w:rsid w:val="001207B3"/>
    <w:rsid w:val="001208A8"/>
    <w:rsid w:val="001208E1"/>
    <w:rsid w:val="0012090C"/>
    <w:rsid w:val="00120979"/>
    <w:rsid w:val="001209C0"/>
    <w:rsid w:val="00120DB2"/>
    <w:rsid w:val="00120F16"/>
    <w:rsid w:val="00120FDA"/>
    <w:rsid w:val="001211B8"/>
    <w:rsid w:val="00121249"/>
    <w:rsid w:val="00121463"/>
    <w:rsid w:val="00121572"/>
    <w:rsid w:val="00121872"/>
    <w:rsid w:val="00121AFA"/>
    <w:rsid w:val="00121B67"/>
    <w:rsid w:val="00121CB4"/>
    <w:rsid w:val="00121ED5"/>
    <w:rsid w:val="00121F42"/>
    <w:rsid w:val="0012203A"/>
    <w:rsid w:val="00122077"/>
    <w:rsid w:val="00122149"/>
    <w:rsid w:val="00122153"/>
    <w:rsid w:val="001221E2"/>
    <w:rsid w:val="00122213"/>
    <w:rsid w:val="0012227F"/>
    <w:rsid w:val="00122465"/>
    <w:rsid w:val="001224A0"/>
    <w:rsid w:val="0012250B"/>
    <w:rsid w:val="0012283F"/>
    <w:rsid w:val="00122914"/>
    <w:rsid w:val="00122A15"/>
    <w:rsid w:val="00122A5A"/>
    <w:rsid w:val="00122AC2"/>
    <w:rsid w:val="00122B71"/>
    <w:rsid w:val="00122CED"/>
    <w:rsid w:val="00122E29"/>
    <w:rsid w:val="00122FE9"/>
    <w:rsid w:val="00123053"/>
    <w:rsid w:val="001230A8"/>
    <w:rsid w:val="001230D1"/>
    <w:rsid w:val="00123429"/>
    <w:rsid w:val="00123500"/>
    <w:rsid w:val="0012376F"/>
    <w:rsid w:val="00123819"/>
    <w:rsid w:val="00123821"/>
    <w:rsid w:val="00123925"/>
    <w:rsid w:val="00123997"/>
    <w:rsid w:val="00123BFB"/>
    <w:rsid w:val="00123E69"/>
    <w:rsid w:val="00123EBC"/>
    <w:rsid w:val="00123F35"/>
    <w:rsid w:val="0012424A"/>
    <w:rsid w:val="00124336"/>
    <w:rsid w:val="00124463"/>
    <w:rsid w:val="00124507"/>
    <w:rsid w:val="00124563"/>
    <w:rsid w:val="001245F8"/>
    <w:rsid w:val="00124863"/>
    <w:rsid w:val="001248EA"/>
    <w:rsid w:val="00124D07"/>
    <w:rsid w:val="00124D3A"/>
    <w:rsid w:val="00125270"/>
    <w:rsid w:val="00125381"/>
    <w:rsid w:val="0012545D"/>
    <w:rsid w:val="001255BE"/>
    <w:rsid w:val="001258F3"/>
    <w:rsid w:val="0012594E"/>
    <w:rsid w:val="00125AD1"/>
    <w:rsid w:val="00125BB5"/>
    <w:rsid w:val="00125C7A"/>
    <w:rsid w:val="00125CEF"/>
    <w:rsid w:val="00125DED"/>
    <w:rsid w:val="001260F8"/>
    <w:rsid w:val="001262E3"/>
    <w:rsid w:val="00126506"/>
    <w:rsid w:val="001266F2"/>
    <w:rsid w:val="00126865"/>
    <w:rsid w:val="00126B31"/>
    <w:rsid w:val="00126EB8"/>
    <w:rsid w:val="00126FA7"/>
    <w:rsid w:val="00127090"/>
    <w:rsid w:val="001270CD"/>
    <w:rsid w:val="00127184"/>
    <w:rsid w:val="00127203"/>
    <w:rsid w:val="00127266"/>
    <w:rsid w:val="001273D0"/>
    <w:rsid w:val="001274BD"/>
    <w:rsid w:val="00127592"/>
    <w:rsid w:val="001278C8"/>
    <w:rsid w:val="00127931"/>
    <w:rsid w:val="001279AE"/>
    <w:rsid w:val="00127BBE"/>
    <w:rsid w:val="00127D4B"/>
    <w:rsid w:val="00127E4E"/>
    <w:rsid w:val="00127E8B"/>
    <w:rsid w:val="00130108"/>
    <w:rsid w:val="00130126"/>
    <w:rsid w:val="00130159"/>
    <w:rsid w:val="0013017A"/>
    <w:rsid w:val="001304FF"/>
    <w:rsid w:val="001308F6"/>
    <w:rsid w:val="0013090D"/>
    <w:rsid w:val="001309C0"/>
    <w:rsid w:val="00130B0A"/>
    <w:rsid w:val="00130CC8"/>
    <w:rsid w:val="00130D01"/>
    <w:rsid w:val="00130D29"/>
    <w:rsid w:val="00130DD2"/>
    <w:rsid w:val="001311A7"/>
    <w:rsid w:val="00131264"/>
    <w:rsid w:val="0013145A"/>
    <w:rsid w:val="00131467"/>
    <w:rsid w:val="00131742"/>
    <w:rsid w:val="00131763"/>
    <w:rsid w:val="00131875"/>
    <w:rsid w:val="00131AEC"/>
    <w:rsid w:val="00131C81"/>
    <w:rsid w:val="00131E32"/>
    <w:rsid w:val="00131EAC"/>
    <w:rsid w:val="00132079"/>
    <w:rsid w:val="001322DF"/>
    <w:rsid w:val="00132330"/>
    <w:rsid w:val="001324CC"/>
    <w:rsid w:val="001327C8"/>
    <w:rsid w:val="001329D5"/>
    <w:rsid w:val="00132B2A"/>
    <w:rsid w:val="00132CD6"/>
    <w:rsid w:val="00132DFC"/>
    <w:rsid w:val="00132E57"/>
    <w:rsid w:val="00132EA5"/>
    <w:rsid w:val="00133016"/>
    <w:rsid w:val="00133421"/>
    <w:rsid w:val="0013354F"/>
    <w:rsid w:val="001335D1"/>
    <w:rsid w:val="00133643"/>
    <w:rsid w:val="00133819"/>
    <w:rsid w:val="00133C92"/>
    <w:rsid w:val="00133D4B"/>
    <w:rsid w:val="00133DC5"/>
    <w:rsid w:val="00133E7E"/>
    <w:rsid w:val="00133E83"/>
    <w:rsid w:val="00133F04"/>
    <w:rsid w:val="00133F7A"/>
    <w:rsid w:val="00133FD6"/>
    <w:rsid w:val="001342F2"/>
    <w:rsid w:val="00134745"/>
    <w:rsid w:val="00134A5C"/>
    <w:rsid w:val="00134B20"/>
    <w:rsid w:val="00134EC6"/>
    <w:rsid w:val="00134F53"/>
    <w:rsid w:val="001350A4"/>
    <w:rsid w:val="001350C7"/>
    <w:rsid w:val="001353E4"/>
    <w:rsid w:val="0013545A"/>
    <w:rsid w:val="0013547E"/>
    <w:rsid w:val="001357BD"/>
    <w:rsid w:val="00135931"/>
    <w:rsid w:val="001359FC"/>
    <w:rsid w:val="00135A7E"/>
    <w:rsid w:val="00135A86"/>
    <w:rsid w:val="00135B9A"/>
    <w:rsid w:val="00135BEF"/>
    <w:rsid w:val="00135D4C"/>
    <w:rsid w:val="00135D81"/>
    <w:rsid w:val="00135E23"/>
    <w:rsid w:val="00135FDF"/>
    <w:rsid w:val="0013603A"/>
    <w:rsid w:val="0013616D"/>
    <w:rsid w:val="001361AF"/>
    <w:rsid w:val="001362C8"/>
    <w:rsid w:val="00136921"/>
    <w:rsid w:val="00136A0F"/>
    <w:rsid w:val="00136AE8"/>
    <w:rsid w:val="00136E47"/>
    <w:rsid w:val="001371CF"/>
    <w:rsid w:val="0013727D"/>
    <w:rsid w:val="001373F7"/>
    <w:rsid w:val="001378F3"/>
    <w:rsid w:val="00137A6E"/>
    <w:rsid w:val="00137C39"/>
    <w:rsid w:val="00137CF0"/>
    <w:rsid w:val="00137E45"/>
    <w:rsid w:val="00137EBD"/>
    <w:rsid w:val="00137F3F"/>
    <w:rsid w:val="00137F4E"/>
    <w:rsid w:val="00140059"/>
    <w:rsid w:val="001402A7"/>
    <w:rsid w:val="001403EC"/>
    <w:rsid w:val="00140630"/>
    <w:rsid w:val="00140A4D"/>
    <w:rsid w:val="00140AF7"/>
    <w:rsid w:val="00140B7E"/>
    <w:rsid w:val="00140BCC"/>
    <w:rsid w:val="00140FF7"/>
    <w:rsid w:val="001410F9"/>
    <w:rsid w:val="00141221"/>
    <w:rsid w:val="0014123E"/>
    <w:rsid w:val="0014123F"/>
    <w:rsid w:val="00141401"/>
    <w:rsid w:val="00141435"/>
    <w:rsid w:val="00141585"/>
    <w:rsid w:val="0014173C"/>
    <w:rsid w:val="001418D4"/>
    <w:rsid w:val="00141CDA"/>
    <w:rsid w:val="00141DDD"/>
    <w:rsid w:val="00141E0D"/>
    <w:rsid w:val="00141FE0"/>
    <w:rsid w:val="0014212B"/>
    <w:rsid w:val="00142175"/>
    <w:rsid w:val="001423AE"/>
    <w:rsid w:val="0014263B"/>
    <w:rsid w:val="001427AD"/>
    <w:rsid w:val="001427AE"/>
    <w:rsid w:val="0014281A"/>
    <w:rsid w:val="001429F1"/>
    <w:rsid w:val="00142ACB"/>
    <w:rsid w:val="00142B27"/>
    <w:rsid w:val="00142CD7"/>
    <w:rsid w:val="00142F03"/>
    <w:rsid w:val="00142FD2"/>
    <w:rsid w:val="001431F7"/>
    <w:rsid w:val="00143202"/>
    <w:rsid w:val="00143493"/>
    <w:rsid w:val="001435A4"/>
    <w:rsid w:val="00143801"/>
    <w:rsid w:val="001439E5"/>
    <w:rsid w:val="00143B62"/>
    <w:rsid w:val="00143B80"/>
    <w:rsid w:val="00143D49"/>
    <w:rsid w:val="00144094"/>
    <w:rsid w:val="001443F5"/>
    <w:rsid w:val="00144463"/>
    <w:rsid w:val="00144547"/>
    <w:rsid w:val="001446F5"/>
    <w:rsid w:val="001448E5"/>
    <w:rsid w:val="0014491D"/>
    <w:rsid w:val="00144A4F"/>
    <w:rsid w:val="00144A95"/>
    <w:rsid w:val="0014500E"/>
    <w:rsid w:val="001451A8"/>
    <w:rsid w:val="0014538F"/>
    <w:rsid w:val="001454CA"/>
    <w:rsid w:val="00145523"/>
    <w:rsid w:val="00145745"/>
    <w:rsid w:val="00145789"/>
    <w:rsid w:val="0014587F"/>
    <w:rsid w:val="001459BF"/>
    <w:rsid w:val="00145A98"/>
    <w:rsid w:val="00145B94"/>
    <w:rsid w:val="00145BC0"/>
    <w:rsid w:val="00145EAC"/>
    <w:rsid w:val="001461D0"/>
    <w:rsid w:val="001462B5"/>
    <w:rsid w:val="0014661D"/>
    <w:rsid w:val="001466A4"/>
    <w:rsid w:val="00146D6C"/>
    <w:rsid w:val="001470D8"/>
    <w:rsid w:val="00147164"/>
    <w:rsid w:val="0014758B"/>
    <w:rsid w:val="0014761E"/>
    <w:rsid w:val="001476D6"/>
    <w:rsid w:val="00147866"/>
    <w:rsid w:val="0014795E"/>
    <w:rsid w:val="00147A20"/>
    <w:rsid w:val="00147AC0"/>
    <w:rsid w:val="00147B26"/>
    <w:rsid w:val="00147B63"/>
    <w:rsid w:val="00147D46"/>
    <w:rsid w:val="00147E7B"/>
    <w:rsid w:val="00150058"/>
    <w:rsid w:val="00150370"/>
    <w:rsid w:val="001503CB"/>
    <w:rsid w:val="00150414"/>
    <w:rsid w:val="0015049B"/>
    <w:rsid w:val="001505D0"/>
    <w:rsid w:val="00150853"/>
    <w:rsid w:val="0015089A"/>
    <w:rsid w:val="00150F17"/>
    <w:rsid w:val="0015101D"/>
    <w:rsid w:val="001510B0"/>
    <w:rsid w:val="0015127C"/>
    <w:rsid w:val="0015137D"/>
    <w:rsid w:val="001517D9"/>
    <w:rsid w:val="001517F5"/>
    <w:rsid w:val="00151864"/>
    <w:rsid w:val="00151A56"/>
    <w:rsid w:val="00151B42"/>
    <w:rsid w:val="00151B92"/>
    <w:rsid w:val="00151D02"/>
    <w:rsid w:val="00151E8C"/>
    <w:rsid w:val="00152000"/>
    <w:rsid w:val="00152159"/>
    <w:rsid w:val="0015216E"/>
    <w:rsid w:val="0015226C"/>
    <w:rsid w:val="00152546"/>
    <w:rsid w:val="00152655"/>
    <w:rsid w:val="00152721"/>
    <w:rsid w:val="00152768"/>
    <w:rsid w:val="0015279A"/>
    <w:rsid w:val="00152E18"/>
    <w:rsid w:val="00152F07"/>
    <w:rsid w:val="00152FAE"/>
    <w:rsid w:val="00153065"/>
    <w:rsid w:val="0015306A"/>
    <w:rsid w:val="001530B9"/>
    <w:rsid w:val="00153128"/>
    <w:rsid w:val="0015312B"/>
    <w:rsid w:val="001531ED"/>
    <w:rsid w:val="00153262"/>
    <w:rsid w:val="001532F4"/>
    <w:rsid w:val="001533AB"/>
    <w:rsid w:val="001536D0"/>
    <w:rsid w:val="001537BB"/>
    <w:rsid w:val="00153814"/>
    <w:rsid w:val="001538E8"/>
    <w:rsid w:val="00153915"/>
    <w:rsid w:val="0015392E"/>
    <w:rsid w:val="00153A92"/>
    <w:rsid w:val="00153B00"/>
    <w:rsid w:val="00153B8B"/>
    <w:rsid w:val="00153CA9"/>
    <w:rsid w:val="00153D4D"/>
    <w:rsid w:val="00153F67"/>
    <w:rsid w:val="001540A5"/>
    <w:rsid w:val="001540C5"/>
    <w:rsid w:val="001545F2"/>
    <w:rsid w:val="001546C2"/>
    <w:rsid w:val="00154F3E"/>
    <w:rsid w:val="00154F49"/>
    <w:rsid w:val="00155000"/>
    <w:rsid w:val="00155288"/>
    <w:rsid w:val="0015530E"/>
    <w:rsid w:val="001556B3"/>
    <w:rsid w:val="001556DF"/>
    <w:rsid w:val="0015574A"/>
    <w:rsid w:val="00155AB9"/>
    <w:rsid w:val="00155C80"/>
    <w:rsid w:val="00155E14"/>
    <w:rsid w:val="00155F9E"/>
    <w:rsid w:val="00156055"/>
    <w:rsid w:val="00156085"/>
    <w:rsid w:val="001560AD"/>
    <w:rsid w:val="00156166"/>
    <w:rsid w:val="001563AD"/>
    <w:rsid w:val="001566DD"/>
    <w:rsid w:val="0015672F"/>
    <w:rsid w:val="00156794"/>
    <w:rsid w:val="00156ABA"/>
    <w:rsid w:val="00156C0A"/>
    <w:rsid w:val="00156C0B"/>
    <w:rsid w:val="00156C12"/>
    <w:rsid w:val="00156C1D"/>
    <w:rsid w:val="00156C39"/>
    <w:rsid w:val="00156CE8"/>
    <w:rsid w:val="00156D39"/>
    <w:rsid w:val="00156F70"/>
    <w:rsid w:val="00156FF3"/>
    <w:rsid w:val="00157301"/>
    <w:rsid w:val="0015732C"/>
    <w:rsid w:val="001573A7"/>
    <w:rsid w:val="00157587"/>
    <w:rsid w:val="001575A3"/>
    <w:rsid w:val="00157824"/>
    <w:rsid w:val="00157886"/>
    <w:rsid w:val="00157ABD"/>
    <w:rsid w:val="00157C3F"/>
    <w:rsid w:val="0016034F"/>
    <w:rsid w:val="00160369"/>
    <w:rsid w:val="00160391"/>
    <w:rsid w:val="001603F6"/>
    <w:rsid w:val="00160422"/>
    <w:rsid w:val="0016063D"/>
    <w:rsid w:val="00160769"/>
    <w:rsid w:val="0016080E"/>
    <w:rsid w:val="00160854"/>
    <w:rsid w:val="0016085E"/>
    <w:rsid w:val="00160BEE"/>
    <w:rsid w:val="00160DCB"/>
    <w:rsid w:val="00160E14"/>
    <w:rsid w:val="00161071"/>
    <w:rsid w:val="0016110A"/>
    <w:rsid w:val="0016152E"/>
    <w:rsid w:val="001615D7"/>
    <w:rsid w:val="00161763"/>
    <w:rsid w:val="001617F5"/>
    <w:rsid w:val="00161A22"/>
    <w:rsid w:val="00161BCD"/>
    <w:rsid w:val="00161E29"/>
    <w:rsid w:val="0016234E"/>
    <w:rsid w:val="00162490"/>
    <w:rsid w:val="001629D6"/>
    <w:rsid w:val="00162A4A"/>
    <w:rsid w:val="00162A6D"/>
    <w:rsid w:val="00162B8E"/>
    <w:rsid w:val="00162C3A"/>
    <w:rsid w:val="00162DCB"/>
    <w:rsid w:val="001632CB"/>
    <w:rsid w:val="00163309"/>
    <w:rsid w:val="0016333E"/>
    <w:rsid w:val="001633AE"/>
    <w:rsid w:val="001634D3"/>
    <w:rsid w:val="00163786"/>
    <w:rsid w:val="0016384B"/>
    <w:rsid w:val="0016385F"/>
    <w:rsid w:val="00163A13"/>
    <w:rsid w:val="00163A97"/>
    <w:rsid w:val="00163B38"/>
    <w:rsid w:val="00163C20"/>
    <w:rsid w:val="00163CBE"/>
    <w:rsid w:val="00164052"/>
    <w:rsid w:val="00164585"/>
    <w:rsid w:val="001645C2"/>
    <w:rsid w:val="001646F5"/>
    <w:rsid w:val="0016496E"/>
    <w:rsid w:val="00164B37"/>
    <w:rsid w:val="00164C4D"/>
    <w:rsid w:val="00164C65"/>
    <w:rsid w:val="00164CF7"/>
    <w:rsid w:val="00164D4F"/>
    <w:rsid w:val="0016504B"/>
    <w:rsid w:val="00165291"/>
    <w:rsid w:val="001652B9"/>
    <w:rsid w:val="001653FA"/>
    <w:rsid w:val="00165458"/>
    <w:rsid w:val="00165587"/>
    <w:rsid w:val="001655A9"/>
    <w:rsid w:val="0016566A"/>
    <w:rsid w:val="0016585D"/>
    <w:rsid w:val="00165AB8"/>
    <w:rsid w:val="00165C9E"/>
    <w:rsid w:val="00165DEB"/>
    <w:rsid w:val="00165E36"/>
    <w:rsid w:val="0016600D"/>
    <w:rsid w:val="001663B7"/>
    <w:rsid w:val="001665AB"/>
    <w:rsid w:val="00166654"/>
    <w:rsid w:val="00166785"/>
    <w:rsid w:val="0016683A"/>
    <w:rsid w:val="001668CC"/>
    <w:rsid w:val="001669DD"/>
    <w:rsid w:val="00166AE8"/>
    <w:rsid w:val="00166B6B"/>
    <w:rsid w:val="00166CAB"/>
    <w:rsid w:val="00166D5D"/>
    <w:rsid w:val="00166EE8"/>
    <w:rsid w:val="001674CF"/>
    <w:rsid w:val="001675A3"/>
    <w:rsid w:val="00167646"/>
    <w:rsid w:val="001676A5"/>
    <w:rsid w:val="0016784C"/>
    <w:rsid w:val="001678B7"/>
    <w:rsid w:val="001678C0"/>
    <w:rsid w:val="00167C8C"/>
    <w:rsid w:val="00167E59"/>
    <w:rsid w:val="0017000E"/>
    <w:rsid w:val="001700CE"/>
    <w:rsid w:val="0017019F"/>
    <w:rsid w:val="00170327"/>
    <w:rsid w:val="00170435"/>
    <w:rsid w:val="001705B3"/>
    <w:rsid w:val="001707B2"/>
    <w:rsid w:val="001708CF"/>
    <w:rsid w:val="00170923"/>
    <w:rsid w:val="001709FA"/>
    <w:rsid w:val="00170B32"/>
    <w:rsid w:val="00170BF3"/>
    <w:rsid w:val="00170D0D"/>
    <w:rsid w:val="00170D38"/>
    <w:rsid w:val="00170DB9"/>
    <w:rsid w:val="00170DFC"/>
    <w:rsid w:val="00170E49"/>
    <w:rsid w:val="00170F00"/>
    <w:rsid w:val="00170F32"/>
    <w:rsid w:val="00170FAA"/>
    <w:rsid w:val="00170FF3"/>
    <w:rsid w:val="0017101A"/>
    <w:rsid w:val="0017109C"/>
    <w:rsid w:val="001710A0"/>
    <w:rsid w:val="001713BB"/>
    <w:rsid w:val="0017157C"/>
    <w:rsid w:val="00171641"/>
    <w:rsid w:val="00171693"/>
    <w:rsid w:val="00171762"/>
    <w:rsid w:val="00171A86"/>
    <w:rsid w:val="00171AF9"/>
    <w:rsid w:val="00171C0F"/>
    <w:rsid w:val="00171C1D"/>
    <w:rsid w:val="00171F4C"/>
    <w:rsid w:val="00171F82"/>
    <w:rsid w:val="00171FCF"/>
    <w:rsid w:val="00172044"/>
    <w:rsid w:val="001722D5"/>
    <w:rsid w:val="0017240C"/>
    <w:rsid w:val="001724B9"/>
    <w:rsid w:val="001725F2"/>
    <w:rsid w:val="0017295C"/>
    <w:rsid w:val="001729FE"/>
    <w:rsid w:val="00172B1C"/>
    <w:rsid w:val="00172C56"/>
    <w:rsid w:val="00172D3F"/>
    <w:rsid w:val="00172D9E"/>
    <w:rsid w:val="0017311F"/>
    <w:rsid w:val="001735EF"/>
    <w:rsid w:val="001739A1"/>
    <w:rsid w:val="00173A7F"/>
    <w:rsid w:val="00173B7A"/>
    <w:rsid w:val="00173D35"/>
    <w:rsid w:val="00173DC4"/>
    <w:rsid w:val="00173E44"/>
    <w:rsid w:val="00174061"/>
    <w:rsid w:val="0017432B"/>
    <w:rsid w:val="001743A3"/>
    <w:rsid w:val="001744D7"/>
    <w:rsid w:val="001748BF"/>
    <w:rsid w:val="0017499F"/>
    <w:rsid w:val="00174AF3"/>
    <w:rsid w:val="00174BD1"/>
    <w:rsid w:val="00174CED"/>
    <w:rsid w:val="00174D27"/>
    <w:rsid w:val="00174DC7"/>
    <w:rsid w:val="001753EC"/>
    <w:rsid w:val="00175721"/>
    <w:rsid w:val="001759A4"/>
    <w:rsid w:val="00175B4D"/>
    <w:rsid w:val="00175C09"/>
    <w:rsid w:val="00175C19"/>
    <w:rsid w:val="00175C7E"/>
    <w:rsid w:val="00175D10"/>
    <w:rsid w:val="00175EC4"/>
    <w:rsid w:val="00175EC6"/>
    <w:rsid w:val="00175F10"/>
    <w:rsid w:val="00176228"/>
    <w:rsid w:val="001762EF"/>
    <w:rsid w:val="00176453"/>
    <w:rsid w:val="001765C0"/>
    <w:rsid w:val="0017662C"/>
    <w:rsid w:val="001768AF"/>
    <w:rsid w:val="00176B87"/>
    <w:rsid w:val="00176CCA"/>
    <w:rsid w:val="00176DFE"/>
    <w:rsid w:val="00176EA6"/>
    <w:rsid w:val="00177034"/>
    <w:rsid w:val="0017704B"/>
    <w:rsid w:val="001772F2"/>
    <w:rsid w:val="0017731A"/>
    <w:rsid w:val="00177510"/>
    <w:rsid w:val="001776E5"/>
    <w:rsid w:val="001779E1"/>
    <w:rsid w:val="00177AE5"/>
    <w:rsid w:val="00177B32"/>
    <w:rsid w:val="0018031B"/>
    <w:rsid w:val="0018032A"/>
    <w:rsid w:val="001803C1"/>
    <w:rsid w:val="001803E2"/>
    <w:rsid w:val="001804DB"/>
    <w:rsid w:val="001804FD"/>
    <w:rsid w:val="00180857"/>
    <w:rsid w:val="00180949"/>
    <w:rsid w:val="00180AC3"/>
    <w:rsid w:val="00180AE2"/>
    <w:rsid w:val="00180BEC"/>
    <w:rsid w:val="00180C65"/>
    <w:rsid w:val="00180CEE"/>
    <w:rsid w:val="00180D1A"/>
    <w:rsid w:val="00180F42"/>
    <w:rsid w:val="00180F83"/>
    <w:rsid w:val="00180FF1"/>
    <w:rsid w:val="00181047"/>
    <w:rsid w:val="001812CA"/>
    <w:rsid w:val="001812E9"/>
    <w:rsid w:val="00181323"/>
    <w:rsid w:val="0018134C"/>
    <w:rsid w:val="00181355"/>
    <w:rsid w:val="00181371"/>
    <w:rsid w:val="001814E0"/>
    <w:rsid w:val="001816A1"/>
    <w:rsid w:val="00181875"/>
    <w:rsid w:val="001819B5"/>
    <w:rsid w:val="00181A85"/>
    <w:rsid w:val="00181AED"/>
    <w:rsid w:val="00181B63"/>
    <w:rsid w:val="00181EAB"/>
    <w:rsid w:val="0018202E"/>
    <w:rsid w:val="001820EB"/>
    <w:rsid w:val="0018230F"/>
    <w:rsid w:val="001823D8"/>
    <w:rsid w:val="001824BD"/>
    <w:rsid w:val="0018291D"/>
    <w:rsid w:val="00182A57"/>
    <w:rsid w:val="00182E1A"/>
    <w:rsid w:val="00182ED2"/>
    <w:rsid w:val="00182F6C"/>
    <w:rsid w:val="00182FFE"/>
    <w:rsid w:val="001830F1"/>
    <w:rsid w:val="00183127"/>
    <w:rsid w:val="001831F3"/>
    <w:rsid w:val="001836D3"/>
    <w:rsid w:val="0018382E"/>
    <w:rsid w:val="00183AC1"/>
    <w:rsid w:val="00183C9D"/>
    <w:rsid w:val="00183D8D"/>
    <w:rsid w:val="00183DF6"/>
    <w:rsid w:val="00183E20"/>
    <w:rsid w:val="00183F26"/>
    <w:rsid w:val="0018423D"/>
    <w:rsid w:val="00184330"/>
    <w:rsid w:val="00184348"/>
    <w:rsid w:val="001844F4"/>
    <w:rsid w:val="0018481E"/>
    <w:rsid w:val="00184933"/>
    <w:rsid w:val="00184B33"/>
    <w:rsid w:val="00184B49"/>
    <w:rsid w:val="00184C25"/>
    <w:rsid w:val="00184DC5"/>
    <w:rsid w:val="00184E3C"/>
    <w:rsid w:val="00184E64"/>
    <w:rsid w:val="00184EBF"/>
    <w:rsid w:val="00185080"/>
    <w:rsid w:val="001851F1"/>
    <w:rsid w:val="001852D5"/>
    <w:rsid w:val="00185430"/>
    <w:rsid w:val="001854E9"/>
    <w:rsid w:val="001855C4"/>
    <w:rsid w:val="00185710"/>
    <w:rsid w:val="001857D1"/>
    <w:rsid w:val="00185915"/>
    <w:rsid w:val="001859D2"/>
    <w:rsid w:val="001859E3"/>
    <w:rsid w:val="00185B86"/>
    <w:rsid w:val="00185C35"/>
    <w:rsid w:val="00185CB0"/>
    <w:rsid w:val="00185EEC"/>
    <w:rsid w:val="00186290"/>
    <w:rsid w:val="001862EE"/>
    <w:rsid w:val="00186382"/>
    <w:rsid w:val="001863AB"/>
    <w:rsid w:val="0018651A"/>
    <w:rsid w:val="0018659E"/>
    <w:rsid w:val="001866C8"/>
    <w:rsid w:val="001866C9"/>
    <w:rsid w:val="0018671F"/>
    <w:rsid w:val="0018674E"/>
    <w:rsid w:val="00186885"/>
    <w:rsid w:val="00186901"/>
    <w:rsid w:val="00186AF5"/>
    <w:rsid w:val="00186B47"/>
    <w:rsid w:val="00186E4A"/>
    <w:rsid w:val="00186E83"/>
    <w:rsid w:val="00187155"/>
    <w:rsid w:val="001873C0"/>
    <w:rsid w:val="00187432"/>
    <w:rsid w:val="0018748C"/>
    <w:rsid w:val="001874A0"/>
    <w:rsid w:val="00187627"/>
    <w:rsid w:val="00187883"/>
    <w:rsid w:val="00187C1F"/>
    <w:rsid w:val="00187F5F"/>
    <w:rsid w:val="0019004D"/>
    <w:rsid w:val="0019049A"/>
    <w:rsid w:val="001904D8"/>
    <w:rsid w:val="00190B1B"/>
    <w:rsid w:val="00190B7E"/>
    <w:rsid w:val="00190FA2"/>
    <w:rsid w:val="00191063"/>
    <w:rsid w:val="001911E6"/>
    <w:rsid w:val="00191437"/>
    <w:rsid w:val="00191507"/>
    <w:rsid w:val="001915A1"/>
    <w:rsid w:val="001916BA"/>
    <w:rsid w:val="001917D5"/>
    <w:rsid w:val="00191A04"/>
    <w:rsid w:val="00191A37"/>
    <w:rsid w:val="00191A91"/>
    <w:rsid w:val="00191BAE"/>
    <w:rsid w:val="00191D18"/>
    <w:rsid w:val="00191ED1"/>
    <w:rsid w:val="00192258"/>
    <w:rsid w:val="00192387"/>
    <w:rsid w:val="001924AB"/>
    <w:rsid w:val="00192551"/>
    <w:rsid w:val="001925A3"/>
    <w:rsid w:val="001928F5"/>
    <w:rsid w:val="0019299F"/>
    <w:rsid w:val="00192B41"/>
    <w:rsid w:val="00192D5C"/>
    <w:rsid w:val="00193003"/>
    <w:rsid w:val="0019308C"/>
    <w:rsid w:val="00193109"/>
    <w:rsid w:val="001934A3"/>
    <w:rsid w:val="00193599"/>
    <w:rsid w:val="001935C9"/>
    <w:rsid w:val="00193724"/>
    <w:rsid w:val="00193840"/>
    <w:rsid w:val="0019384A"/>
    <w:rsid w:val="00193851"/>
    <w:rsid w:val="00193AF2"/>
    <w:rsid w:val="00193C3F"/>
    <w:rsid w:val="00193FF0"/>
    <w:rsid w:val="00194290"/>
    <w:rsid w:val="0019458A"/>
    <w:rsid w:val="00194856"/>
    <w:rsid w:val="00194BC8"/>
    <w:rsid w:val="00194CD5"/>
    <w:rsid w:val="00194E6E"/>
    <w:rsid w:val="00194EAF"/>
    <w:rsid w:val="00194EE7"/>
    <w:rsid w:val="00194F87"/>
    <w:rsid w:val="001953AA"/>
    <w:rsid w:val="0019541F"/>
    <w:rsid w:val="00195557"/>
    <w:rsid w:val="001956E1"/>
    <w:rsid w:val="00195731"/>
    <w:rsid w:val="001957B8"/>
    <w:rsid w:val="00195A6B"/>
    <w:rsid w:val="00195BAC"/>
    <w:rsid w:val="00195BFD"/>
    <w:rsid w:val="00195CB9"/>
    <w:rsid w:val="00195DAE"/>
    <w:rsid w:val="00195E89"/>
    <w:rsid w:val="00195F03"/>
    <w:rsid w:val="00195F79"/>
    <w:rsid w:val="00195F86"/>
    <w:rsid w:val="00196029"/>
    <w:rsid w:val="0019619A"/>
    <w:rsid w:val="00196213"/>
    <w:rsid w:val="00196366"/>
    <w:rsid w:val="00196377"/>
    <w:rsid w:val="00196474"/>
    <w:rsid w:val="00196517"/>
    <w:rsid w:val="001965F4"/>
    <w:rsid w:val="001966F7"/>
    <w:rsid w:val="00196784"/>
    <w:rsid w:val="001967DD"/>
    <w:rsid w:val="0019687F"/>
    <w:rsid w:val="001968CE"/>
    <w:rsid w:val="0019693A"/>
    <w:rsid w:val="00196986"/>
    <w:rsid w:val="00196A5D"/>
    <w:rsid w:val="001970DE"/>
    <w:rsid w:val="00197340"/>
    <w:rsid w:val="0019741F"/>
    <w:rsid w:val="00197584"/>
    <w:rsid w:val="0019761A"/>
    <w:rsid w:val="0019782E"/>
    <w:rsid w:val="001979D8"/>
    <w:rsid w:val="00197C1B"/>
    <w:rsid w:val="00197C92"/>
    <w:rsid w:val="00197CAF"/>
    <w:rsid w:val="00197D9B"/>
    <w:rsid w:val="00197E60"/>
    <w:rsid w:val="00197E7F"/>
    <w:rsid w:val="00197FBE"/>
    <w:rsid w:val="001A0168"/>
    <w:rsid w:val="001A01E0"/>
    <w:rsid w:val="001A0281"/>
    <w:rsid w:val="001A08F9"/>
    <w:rsid w:val="001A09C3"/>
    <w:rsid w:val="001A0AF4"/>
    <w:rsid w:val="001A0BF2"/>
    <w:rsid w:val="001A0D3C"/>
    <w:rsid w:val="001A0D4E"/>
    <w:rsid w:val="001A0D73"/>
    <w:rsid w:val="001A0E4F"/>
    <w:rsid w:val="001A0E5F"/>
    <w:rsid w:val="001A0E61"/>
    <w:rsid w:val="001A1014"/>
    <w:rsid w:val="001A1042"/>
    <w:rsid w:val="001A108D"/>
    <w:rsid w:val="001A10FC"/>
    <w:rsid w:val="001A111C"/>
    <w:rsid w:val="001A112C"/>
    <w:rsid w:val="001A12EA"/>
    <w:rsid w:val="001A1306"/>
    <w:rsid w:val="001A135B"/>
    <w:rsid w:val="001A1630"/>
    <w:rsid w:val="001A1684"/>
    <w:rsid w:val="001A170A"/>
    <w:rsid w:val="001A1874"/>
    <w:rsid w:val="001A19F7"/>
    <w:rsid w:val="001A1B6B"/>
    <w:rsid w:val="001A1C2F"/>
    <w:rsid w:val="001A1D25"/>
    <w:rsid w:val="001A1D48"/>
    <w:rsid w:val="001A1DBF"/>
    <w:rsid w:val="001A1DCC"/>
    <w:rsid w:val="001A21D8"/>
    <w:rsid w:val="001A2425"/>
    <w:rsid w:val="001A264C"/>
    <w:rsid w:val="001A2775"/>
    <w:rsid w:val="001A27B3"/>
    <w:rsid w:val="001A2988"/>
    <w:rsid w:val="001A2AEB"/>
    <w:rsid w:val="001A2B72"/>
    <w:rsid w:val="001A2D5D"/>
    <w:rsid w:val="001A2EEB"/>
    <w:rsid w:val="001A3059"/>
    <w:rsid w:val="001A314A"/>
    <w:rsid w:val="001A31A8"/>
    <w:rsid w:val="001A3466"/>
    <w:rsid w:val="001A34EA"/>
    <w:rsid w:val="001A3538"/>
    <w:rsid w:val="001A37DB"/>
    <w:rsid w:val="001A37F1"/>
    <w:rsid w:val="001A3BD2"/>
    <w:rsid w:val="001A3C22"/>
    <w:rsid w:val="001A3D53"/>
    <w:rsid w:val="001A3D8A"/>
    <w:rsid w:val="001A3E49"/>
    <w:rsid w:val="001A3EF8"/>
    <w:rsid w:val="001A3FB8"/>
    <w:rsid w:val="001A4024"/>
    <w:rsid w:val="001A42F9"/>
    <w:rsid w:val="001A45B4"/>
    <w:rsid w:val="001A4600"/>
    <w:rsid w:val="001A4A41"/>
    <w:rsid w:val="001A4B50"/>
    <w:rsid w:val="001A4B57"/>
    <w:rsid w:val="001A4CBC"/>
    <w:rsid w:val="001A4D63"/>
    <w:rsid w:val="001A4E38"/>
    <w:rsid w:val="001A4ED4"/>
    <w:rsid w:val="001A4EF5"/>
    <w:rsid w:val="001A5393"/>
    <w:rsid w:val="001A5529"/>
    <w:rsid w:val="001A5702"/>
    <w:rsid w:val="001A573F"/>
    <w:rsid w:val="001A593C"/>
    <w:rsid w:val="001A598C"/>
    <w:rsid w:val="001A5E2E"/>
    <w:rsid w:val="001A5FFF"/>
    <w:rsid w:val="001A6142"/>
    <w:rsid w:val="001A61E9"/>
    <w:rsid w:val="001A6308"/>
    <w:rsid w:val="001A633A"/>
    <w:rsid w:val="001A6389"/>
    <w:rsid w:val="001A643C"/>
    <w:rsid w:val="001A6481"/>
    <w:rsid w:val="001A6586"/>
    <w:rsid w:val="001A69BD"/>
    <w:rsid w:val="001A69CD"/>
    <w:rsid w:val="001A6A88"/>
    <w:rsid w:val="001A6BE3"/>
    <w:rsid w:val="001A6CC4"/>
    <w:rsid w:val="001A6E15"/>
    <w:rsid w:val="001A6ECF"/>
    <w:rsid w:val="001A6F90"/>
    <w:rsid w:val="001A7126"/>
    <w:rsid w:val="001A7162"/>
    <w:rsid w:val="001A74BB"/>
    <w:rsid w:val="001A74D9"/>
    <w:rsid w:val="001A780F"/>
    <w:rsid w:val="001A7A56"/>
    <w:rsid w:val="001A7B7A"/>
    <w:rsid w:val="001A7CC6"/>
    <w:rsid w:val="001A7DEB"/>
    <w:rsid w:val="001A7EEF"/>
    <w:rsid w:val="001A7FC9"/>
    <w:rsid w:val="001A7FD5"/>
    <w:rsid w:val="001B04D7"/>
    <w:rsid w:val="001B0543"/>
    <w:rsid w:val="001B065C"/>
    <w:rsid w:val="001B085C"/>
    <w:rsid w:val="001B0907"/>
    <w:rsid w:val="001B09E0"/>
    <w:rsid w:val="001B0A48"/>
    <w:rsid w:val="001B0B7E"/>
    <w:rsid w:val="001B0DAC"/>
    <w:rsid w:val="001B0FC8"/>
    <w:rsid w:val="001B10AD"/>
    <w:rsid w:val="001B14FD"/>
    <w:rsid w:val="001B1511"/>
    <w:rsid w:val="001B1707"/>
    <w:rsid w:val="001B177E"/>
    <w:rsid w:val="001B17A3"/>
    <w:rsid w:val="001B18FC"/>
    <w:rsid w:val="001B19B6"/>
    <w:rsid w:val="001B1A3A"/>
    <w:rsid w:val="001B1AA6"/>
    <w:rsid w:val="001B1D11"/>
    <w:rsid w:val="001B1EA3"/>
    <w:rsid w:val="001B1F8A"/>
    <w:rsid w:val="001B2046"/>
    <w:rsid w:val="001B204D"/>
    <w:rsid w:val="001B2078"/>
    <w:rsid w:val="001B20C2"/>
    <w:rsid w:val="001B234F"/>
    <w:rsid w:val="001B2474"/>
    <w:rsid w:val="001B24AA"/>
    <w:rsid w:val="001B256B"/>
    <w:rsid w:val="001B25E6"/>
    <w:rsid w:val="001B27D8"/>
    <w:rsid w:val="001B2BC4"/>
    <w:rsid w:val="001B2BD3"/>
    <w:rsid w:val="001B2D6C"/>
    <w:rsid w:val="001B2E3C"/>
    <w:rsid w:val="001B2FBF"/>
    <w:rsid w:val="001B3336"/>
    <w:rsid w:val="001B3624"/>
    <w:rsid w:val="001B39C3"/>
    <w:rsid w:val="001B3A63"/>
    <w:rsid w:val="001B3C10"/>
    <w:rsid w:val="001B3C69"/>
    <w:rsid w:val="001B3D56"/>
    <w:rsid w:val="001B3ED1"/>
    <w:rsid w:val="001B41D5"/>
    <w:rsid w:val="001B4233"/>
    <w:rsid w:val="001B42DA"/>
    <w:rsid w:val="001B42EC"/>
    <w:rsid w:val="001B43E6"/>
    <w:rsid w:val="001B440B"/>
    <w:rsid w:val="001B4613"/>
    <w:rsid w:val="001B4664"/>
    <w:rsid w:val="001B466C"/>
    <w:rsid w:val="001B4B33"/>
    <w:rsid w:val="001B4BC1"/>
    <w:rsid w:val="001B4D76"/>
    <w:rsid w:val="001B4DFB"/>
    <w:rsid w:val="001B4ECC"/>
    <w:rsid w:val="001B4FAF"/>
    <w:rsid w:val="001B4FCE"/>
    <w:rsid w:val="001B5045"/>
    <w:rsid w:val="001B5499"/>
    <w:rsid w:val="001B54C7"/>
    <w:rsid w:val="001B5834"/>
    <w:rsid w:val="001B58A1"/>
    <w:rsid w:val="001B5960"/>
    <w:rsid w:val="001B59FD"/>
    <w:rsid w:val="001B5AF9"/>
    <w:rsid w:val="001B5DBD"/>
    <w:rsid w:val="001B6182"/>
    <w:rsid w:val="001B6436"/>
    <w:rsid w:val="001B64FA"/>
    <w:rsid w:val="001B6505"/>
    <w:rsid w:val="001B6631"/>
    <w:rsid w:val="001B6658"/>
    <w:rsid w:val="001B6798"/>
    <w:rsid w:val="001B6979"/>
    <w:rsid w:val="001B70D2"/>
    <w:rsid w:val="001B71E2"/>
    <w:rsid w:val="001B7282"/>
    <w:rsid w:val="001B72CE"/>
    <w:rsid w:val="001B7429"/>
    <w:rsid w:val="001B75FD"/>
    <w:rsid w:val="001B78E4"/>
    <w:rsid w:val="001B7965"/>
    <w:rsid w:val="001B7C36"/>
    <w:rsid w:val="001B7DD8"/>
    <w:rsid w:val="001B7F11"/>
    <w:rsid w:val="001B7F5E"/>
    <w:rsid w:val="001C0125"/>
    <w:rsid w:val="001C0164"/>
    <w:rsid w:val="001C028B"/>
    <w:rsid w:val="001C04DC"/>
    <w:rsid w:val="001C079C"/>
    <w:rsid w:val="001C09F5"/>
    <w:rsid w:val="001C0BA9"/>
    <w:rsid w:val="001C0F5E"/>
    <w:rsid w:val="001C0F8E"/>
    <w:rsid w:val="001C1002"/>
    <w:rsid w:val="001C10C5"/>
    <w:rsid w:val="001C1156"/>
    <w:rsid w:val="001C123C"/>
    <w:rsid w:val="001C1328"/>
    <w:rsid w:val="001C156F"/>
    <w:rsid w:val="001C1681"/>
    <w:rsid w:val="001C17C4"/>
    <w:rsid w:val="001C1945"/>
    <w:rsid w:val="001C1960"/>
    <w:rsid w:val="001C1EB7"/>
    <w:rsid w:val="001C2102"/>
    <w:rsid w:val="001C2336"/>
    <w:rsid w:val="001C235F"/>
    <w:rsid w:val="001C238E"/>
    <w:rsid w:val="001C25E9"/>
    <w:rsid w:val="001C2BCB"/>
    <w:rsid w:val="001C2E10"/>
    <w:rsid w:val="001C317A"/>
    <w:rsid w:val="001C3660"/>
    <w:rsid w:val="001C36A3"/>
    <w:rsid w:val="001C3745"/>
    <w:rsid w:val="001C387C"/>
    <w:rsid w:val="001C3B8B"/>
    <w:rsid w:val="001C3BEA"/>
    <w:rsid w:val="001C3CF2"/>
    <w:rsid w:val="001C3CF8"/>
    <w:rsid w:val="001C3EF4"/>
    <w:rsid w:val="001C3F88"/>
    <w:rsid w:val="001C41AE"/>
    <w:rsid w:val="001C4385"/>
    <w:rsid w:val="001C4595"/>
    <w:rsid w:val="001C465A"/>
    <w:rsid w:val="001C47B9"/>
    <w:rsid w:val="001C4933"/>
    <w:rsid w:val="001C4AA4"/>
    <w:rsid w:val="001C4BCF"/>
    <w:rsid w:val="001C4E36"/>
    <w:rsid w:val="001C4E69"/>
    <w:rsid w:val="001C4EAE"/>
    <w:rsid w:val="001C4EFF"/>
    <w:rsid w:val="001C4FD0"/>
    <w:rsid w:val="001C50EF"/>
    <w:rsid w:val="001C523C"/>
    <w:rsid w:val="001C5257"/>
    <w:rsid w:val="001C546E"/>
    <w:rsid w:val="001C5659"/>
    <w:rsid w:val="001C57B4"/>
    <w:rsid w:val="001C5A4F"/>
    <w:rsid w:val="001C5C5B"/>
    <w:rsid w:val="001C5D7F"/>
    <w:rsid w:val="001C5DA4"/>
    <w:rsid w:val="001C6057"/>
    <w:rsid w:val="001C61CD"/>
    <w:rsid w:val="001C63D3"/>
    <w:rsid w:val="001C6560"/>
    <w:rsid w:val="001C6738"/>
    <w:rsid w:val="001C691F"/>
    <w:rsid w:val="001C703F"/>
    <w:rsid w:val="001C718B"/>
    <w:rsid w:val="001C7251"/>
    <w:rsid w:val="001C7273"/>
    <w:rsid w:val="001C7410"/>
    <w:rsid w:val="001C7491"/>
    <w:rsid w:val="001C7599"/>
    <w:rsid w:val="001C75B6"/>
    <w:rsid w:val="001C7666"/>
    <w:rsid w:val="001C7722"/>
    <w:rsid w:val="001C7800"/>
    <w:rsid w:val="001C7827"/>
    <w:rsid w:val="001C7A15"/>
    <w:rsid w:val="001C7BCE"/>
    <w:rsid w:val="001C7E14"/>
    <w:rsid w:val="001C7E9D"/>
    <w:rsid w:val="001C7EAF"/>
    <w:rsid w:val="001C7ED6"/>
    <w:rsid w:val="001D009D"/>
    <w:rsid w:val="001D03DC"/>
    <w:rsid w:val="001D0576"/>
    <w:rsid w:val="001D0578"/>
    <w:rsid w:val="001D0609"/>
    <w:rsid w:val="001D06C7"/>
    <w:rsid w:val="001D06CF"/>
    <w:rsid w:val="001D0777"/>
    <w:rsid w:val="001D07DF"/>
    <w:rsid w:val="001D0868"/>
    <w:rsid w:val="001D09A0"/>
    <w:rsid w:val="001D09DD"/>
    <w:rsid w:val="001D0BE2"/>
    <w:rsid w:val="001D0C6A"/>
    <w:rsid w:val="001D0D00"/>
    <w:rsid w:val="001D0D5F"/>
    <w:rsid w:val="001D1224"/>
    <w:rsid w:val="001D188E"/>
    <w:rsid w:val="001D18FF"/>
    <w:rsid w:val="001D1A87"/>
    <w:rsid w:val="001D1AAE"/>
    <w:rsid w:val="001D1F5E"/>
    <w:rsid w:val="001D207C"/>
    <w:rsid w:val="001D20D6"/>
    <w:rsid w:val="001D21EB"/>
    <w:rsid w:val="001D22BE"/>
    <w:rsid w:val="001D2369"/>
    <w:rsid w:val="001D25D4"/>
    <w:rsid w:val="001D2624"/>
    <w:rsid w:val="001D29BB"/>
    <w:rsid w:val="001D2B14"/>
    <w:rsid w:val="001D2B91"/>
    <w:rsid w:val="001D2CEF"/>
    <w:rsid w:val="001D2F90"/>
    <w:rsid w:val="001D3006"/>
    <w:rsid w:val="001D307F"/>
    <w:rsid w:val="001D31C2"/>
    <w:rsid w:val="001D3320"/>
    <w:rsid w:val="001D3AC6"/>
    <w:rsid w:val="001D3ACD"/>
    <w:rsid w:val="001D3C50"/>
    <w:rsid w:val="001D3DAE"/>
    <w:rsid w:val="001D3EFD"/>
    <w:rsid w:val="001D41E9"/>
    <w:rsid w:val="001D41EA"/>
    <w:rsid w:val="001D43C4"/>
    <w:rsid w:val="001D4425"/>
    <w:rsid w:val="001D4649"/>
    <w:rsid w:val="001D4752"/>
    <w:rsid w:val="001D4833"/>
    <w:rsid w:val="001D4921"/>
    <w:rsid w:val="001D49BB"/>
    <w:rsid w:val="001D4AB3"/>
    <w:rsid w:val="001D4AC1"/>
    <w:rsid w:val="001D4B00"/>
    <w:rsid w:val="001D4B87"/>
    <w:rsid w:val="001D4C30"/>
    <w:rsid w:val="001D4ED6"/>
    <w:rsid w:val="001D4F54"/>
    <w:rsid w:val="001D5041"/>
    <w:rsid w:val="001D54E9"/>
    <w:rsid w:val="001D57C6"/>
    <w:rsid w:val="001D5812"/>
    <w:rsid w:val="001D5856"/>
    <w:rsid w:val="001D59EC"/>
    <w:rsid w:val="001D5B48"/>
    <w:rsid w:val="001D5F36"/>
    <w:rsid w:val="001D5F58"/>
    <w:rsid w:val="001D60D6"/>
    <w:rsid w:val="001D65AF"/>
    <w:rsid w:val="001D6740"/>
    <w:rsid w:val="001D6840"/>
    <w:rsid w:val="001D68D1"/>
    <w:rsid w:val="001D694D"/>
    <w:rsid w:val="001D6AA5"/>
    <w:rsid w:val="001D6D84"/>
    <w:rsid w:val="001D6F04"/>
    <w:rsid w:val="001D706E"/>
    <w:rsid w:val="001D707C"/>
    <w:rsid w:val="001D7180"/>
    <w:rsid w:val="001D7286"/>
    <w:rsid w:val="001D72D4"/>
    <w:rsid w:val="001D73C4"/>
    <w:rsid w:val="001D73E4"/>
    <w:rsid w:val="001D75D0"/>
    <w:rsid w:val="001D7C25"/>
    <w:rsid w:val="001D7CB4"/>
    <w:rsid w:val="001D7D6C"/>
    <w:rsid w:val="001D7DE9"/>
    <w:rsid w:val="001D7EE6"/>
    <w:rsid w:val="001E0020"/>
    <w:rsid w:val="001E0026"/>
    <w:rsid w:val="001E00F3"/>
    <w:rsid w:val="001E024E"/>
    <w:rsid w:val="001E02F8"/>
    <w:rsid w:val="001E0388"/>
    <w:rsid w:val="001E064E"/>
    <w:rsid w:val="001E068F"/>
    <w:rsid w:val="001E0758"/>
    <w:rsid w:val="001E0823"/>
    <w:rsid w:val="001E08B9"/>
    <w:rsid w:val="001E09CA"/>
    <w:rsid w:val="001E0C26"/>
    <w:rsid w:val="001E0E41"/>
    <w:rsid w:val="001E0E92"/>
    <w:rsid w:val="001E0F48"/>
    <w:rsid w:val="001E11C8"/>
    <w:rsid w:val="001E11FE"/>
    <w:rsid w:val="001E133E"/>
    <w:rsid w:val="001E13BB"/>
    <w:rsid w:val="001E13D0"/>
    <w:rsid w:val="001E15AE"/>
    <w:rsid w:val="001E15EF"/>
    <w:rsid w:val="001E15FD"/>
    <w:rsid w:val="001E1760"/>
    <w:rsid w:val="001E17D3"/>
    <w:rsid w:val="001E19C8"/>
    <w:rsid w:val="001E1AE3"/>
    <w:rsid w:val="001E1D15"/>
    <w:rsid w:val="001E1DF0"/>
    <w:rsid w:val="001E1F5C"/>
    <w:rsid w:val="001E1F9A"/>
    <w:rsid w:val="001E2043"/>
    <w:rsid w:val="001E2150"/>
    <w:rsid w:val="001E2220"/>
    <w:rsid w:val="001E2410"/>
    <w:rsid w:val="001E2513"/>
    <w:rsid w:val="001E261C"/>
    <w:rsid w:val="001E261E"/>
    <w:rsid w:val="001E2928"/>
    <w:rsid w:val="001E2B31"/>
    <w:rsid w:val="001E2BD9"/>
    <w:rsid w:val="001E2CD1"/>
    <w:rsid w:val="001E2E46"/>
    <w:rsid w:val="001E2EFE"/>
    <w:rsid w:val="001E3028"/>
    <w:rsid w:val="001E304D"/>
    <w:rsid w:val="001E3093"/>
    <w:rsid w:val="001E315A"/>
    <w:rsid w:val="001E322F"/>
    <w:rsid w:val="001E3253"/>
    <w:rsid w:val="001E32DC"/>
    <w:rsid w:val="001E3402"/>
    <w:rsid w:val="001E3676"/>
    <w:rsid w:val="001E36C4"/>
    <w:rsid w:val="001E373D"/>
    <w:rsid w:val="001E3825"/>
    <w:rsid w:val="001E3899"/>
    <w:rsid w:val="001E3E57"/>
    <w:rsid w:val="001E3FD8"/>
    <w:rsid w:val="001E41D5"/>
    <w:rsid w:val="001E4482"/>
    <w:rsid w:val="001E451C"/>
    <w:rsid w:val="001E45DD"/>
    <w:rsid w:val="001E4696"/>
    <w:rsid w:val="001E46BD"/>
    <w:rsid w:val="001E46E6"/>
    <w:rsid w:val="001E4831"/>
    <w:rsid w:val="001E48B7"/>
    <w:rsid w:val="001E4D10"/>
    <w:rsid w:val="001E4D57"/>
    <w:rsid w:val="001E4EC1"/>
    <w:rsid w:val="001E4F38"/>
    <w:rsid w:val="001E50C0"/>
    <w:rsid w:val="001E513A"/>
    <w:rsid w:val="001E51E0"/>
    <w:rsid w:val="001E5378"/>
    <w:rsid w:val="001E53CD"/>
    <w:rsid w:val="001E5477"/>
    <w:rsid w:val="001E55FE"/>
    <w:rsid w:val="001E5609"/>
    <w:rsid w:val="001E565F"/>
    <w:rsid w:val="001E56E9"/>
    <w:rsid w:val="001E571B"/>
    <w:rsid w:val="001E5755"/>
    <w:rsid w:val="001E58DC"/>
    <w:rsid w:val="001E5CC7"/>
    <w:rsid w:val="001E6069"/>
    <w:rsid w:val="001E6188"/>
    <w:rsid w:val="001E6255"/>
    <w:rsid w:val="001E6448"/>
    <w:rsid w:val="001E66D3"/>
    <w:rsid w:val="001E675A"/>
    <w:rsid w:val="001E6863"/>
    <w:rsid w:val="001E6AFA"/>
    <w:rsid w:val="001E6E91"/>
    <w:rsid w:val="001E7229"/>
    <w:rsid w:val="001E738F"/>
    <w:rsid w:val="001E74AA"/>
    <w:rsid w:val="001E7538"/>
    <w:rsid w:val="001E75D6"/>
    <w:rsid w:val="001E75FC"/>
    <w:rsid w:val="001E76EC"/>
    <w:rsid w:val="001E7780"/>
    <w:rsid w:val="001E7846"/>
    <w:rsid w:val="001E7BEE"/>
    <w:rsid w:val="001E7EC2"/>
    <w:rsid w:val="001E7EC4"/>
    <w:rsid w:val="001E7F75"/>
    <w:rsid w:val="001E7F94"/>
    <w:rsid w:val="001E7F97"/>
    <w:rsid w:val="001F000A"/>
    <w:rsid w:val="001F01FE"/>
    <w:rsid w:val="001F041F"/>
    <w:rsid w:val="001F04AA"/>
    <w:rsid w:val="001F06E8"/>
    <w:rsid w:val="001F07D0"/>
    <w:rsid w:val="001F07E7"/>
    <w:rsid w:val="001F0804"/>
    <w:rsid w:val="001F0E4E"/>
    <w:rsid w:val="001F10DC"/>
    <w:rsid w:val="001F1141"/>
    <w:rsid w:val="001F129C"/>
    <w:rsid w:val="001F12DA"/>
    <w:rsid w:val="001F171E"/>
    <w:rsid w:val="001F173C"/>
    <w:rsid w:val="001F181C"/>
    <w:rsid w:val="001F18F1"/>
    <w:rsid w:val="001F1AA4"/>
    <w:rsid w:val="001F1ABE"/>
    <w:rsid w:val="001F1E0F"/>
    <w:rsid w:val="001F1ECF"/>
    <w:rsid w:val="001F1F26"/>
    <w:rsid w:val="001F1F99"/>
    <w:rsid w:val="001F2217"/>
    <w:rsid w:val="001F25A6"/>
    <w:rsid w:val="001F274E"/>
    <w:rsid w:val="001F2896"/>
    <w:rsid w:val="001F2943"/>
    <w:rsid w:val="001F2A7B"/>
    <w:rsid w:val="001F2D1B"/>
    <w:rsid w:val="001F2E9B"/>
    <w:rsid w:val="001F2F1E"/>
    <w:rsid w:val="001F3049"/>
    <w:rsid w:val="001F313D"/>
    <w:rsid w:val="001F3221"/>
    <w:rsid w:val="001F3490"/>
    <w:rsid w:val="001F358E"/>
    <w:rsid w:val="001F35CA"/>
    <w:rsid w:val="001F35FF"/>
    <w:rsid w:val="001F39C3"/>
    <w:rsid w:val="001F3A0F"/>
    <w:rsid w:val="001F3B0E"/>
    <w:rsid w:val="001F3C33"/>
    <w:rsid w:val="001F3DBF"/>
    <w:rsid w:val="001F3E8A"/>
    <w:rsid w:val="001F3EDE"/>
    <w:rsid w:val="001F3FA5"/>
    <w:rsid w:val="001F40DF"/>
    <w:rsid w:val="001F4220"/>
    <w:rsid w:val="001F425F"/>
    <w:rsid w:val="001F45B3"/>
    <w:rsid w:val="001F4849"/>
    <w:rsid w:val="001F485D"/>
    <w:rsid w:val="001F4A4F"/>
    <w:rsid w:val="001F4AF8"/>
    <w:rsid w:val="001F4ECA"/>
    <w:rsid w:val="001F5148"/>
    <w:rsid w:val="001F581B"/>
    <w:rsid w:val="001F5B57"/>
    <w:rsid w:val="001F5C9D"/>
    <w:rsid w:val="001F5CAD"/>
    <w:rsid w:val="001F5E45"/>
    <w:rsid w:val="001F5ED7"/>
    <w:rsid w:val="001F6014"/>
    <w:rsid w:val="001F6100"/>
    <w:rsid w:val="001F644A"/>
    <w:rsid w:val="001F67CE"/>
    <w:rsid w:val="001F6E42"/>
    <w:rsid w:val="001F71D5"/>
    <w:rsid w:val="001F71ED"/>
    <w:rsid w:val="001F729D"/>
    <w:rsid w:val="001F7384"/>
    <w:rsid w:val="001F73F8"/>
    <w:rsid w:val="001F7596"/>
    <w:rsid w:val="001F777E"/>
    <w:rsid w:val="001F77F3"/>
    <w:rsid w:val="001F7A06"/>
    <w:rsid w:val="001F7C82"/>
    <w:rsid w:val="001F7CF8"/>
    <w:rsid w:val="001F7D15"/>
    <w:rsid w:val="001F7F23"/>
    <w:rsid w:val="00200063"/>
    <w:rsid w:val="002000F4"/>
    <w:rsid w:val="00200658"/>
    <w:rsid w:val="0020077F"/>
    <w:rsid w:val="002007ED"/>
    <w:rsid w:val="0020092B"/>
    <w:rsid w:val="0020099D"/>
    <w:rsid w:val="00200A53"/>
    <w:rsid w:val="00200AB9"/>
    <w:rsid w:val="00200CF9"/>
    <w:rsid w:val="00200DBC"/>
    <w:rsid w:val="00200EBA"/>
    <w:rsid w:val="00200F18"/>
    <w:rsid w:val="002010B2"/>
    <w:rsid w:val="00201227"/>
    <w:rsid w:val="002012D4"/>
    <w:rsid w:val="002019BF"/>
    <w:rsid w:val="00201A0B"/>
    <w:rsid w:val="00201A33"/>
    <w:rsid w:val="00201A40"/>
    <w:rsid w:val="00201D13"/>
    <w:rsid w:val="00201F68"/>
    <w:rsid w:val="00201FB4"/>
    <w:rsid w:val="002020DA"/>
    <w:rsid w:val="002020FE"/>
    <w:rsid w:val="00202233"/>
    <w:rsid w:val="002023EA"/>
    <w:rsid w:val="00202480"/>
    <w:rsid w:val="0020256D"/>
    <w:rsid w:val="00202663"/>
    <w:rsid w:val="00202F76"/>
    <w:rsid w:val="002030AF"/>
    <w:rsid w:val="002030DF"/>
    <w:rsid w:val="00203182"/>
    <w:rsid w:val="00203326"/>
    <w:rsid w:val="00203372"/>
    <w:rsid w:val="002033AF"/>
    <w:rsid w:val="002033EF"/>
    <w:rsid w:val="002034E3"/>
    <w:rsid w:val="002036EF"/>
    <w:rsid w:val="00203785"/>
    <w:rsid w:val="0020379B"/>
    <w:rsid w:val="002038D8"/>
    <w:rsid w:val="00203932"/>
    <w:rsid w:val="00203AB1"/>
    <w:rsid w:val="00203B17"/>
    <w:rsid w:val="00203BE3"/>
    <w:rsid w:val="0020421D"/>
    <w:rsid w:val="00204401"/>
    <w:rsid w:val="002044BF"/>
    <w:rsid w:val="00204669"/>
    <w:rsid w:val="0020470F"/>
    <w:rsid w:val="0020476B"/>
    <w:rsid w:val="002047A5"/>
    <w:rsid w:val="00204950"/>
    <w:rsid w:val="00204A00"/>
    <w:rsid w:val="00204C98"/>
    <w:rsid w:val="00204F12"/>
    <w:rsid w:val="00205454"/>
    <w:rsid w:val="00205470"/>
    <w:rsid w:val="002054D3"/>
    <w:rsid w:val="00205709"/>
    <w:rsid w:val="00205883"/>
    <w:rsid w:val="00205A16"/>
    <w:rsid w:val="00205B51"/>
    <w:rsid w:val="00205CDA"/>
    <w:rsid w:val="00205EB1"/>
    <w:rsid w:val="00205EB6"/>
    <w:rsid w:val="00205F3E"/>
    <w:rsid w:val="002061CC"/>
    <w:rsid w:val="0020623B"/>
    <w:rsid w:val="0020635C"/>
    <w:rsid w:val="002063F5"/>
    <w:rsid w:val="00206520"/>
    <w:rsid w:val="00206529"/>
    <w:rsid w:val="002066ED"/>
    <w:rsid w:val="00206C35"/>
    <w:rsid w:val="00206CEB"/>
    <w:rsid w:val="00206E8A"/>
    <w:rsid w:val="00206F80"/>
    <w:rsid w:val="00206FB4"/>
    <w:rsid w:val="00207349"/>
    <w:rsid w:val="002073AB"/>
    <w:rsid w:val="00207504"/>
    <w:rsid w:val="00207582"/>
    <w:rsid w:val="00207732"/>
    <w:rsid w:val="0020773A"/>
    <w:rsid w:val="00207863"/>
    <w:rsid w:val="00207954"/>
    <w:rsid w:val="0020796C"/>
    <w:rsid w:val="00207BE8"/>
    <w:rsid w:val="00207DD0"/>
    <w:rsid w:val="00207E4C"/>
    <w:rsid w:val="00207E50"/>
    <w:rsid w:val="00207F79"/>
    <w:rsid w:val="00207FB6"/>
    <w:rsid w:val="002101FD"/>
    <w:rsid w:val="00210441"/>
    <w:rsid w:val="00210468"/>
    <w:rsid w:val="002104C2"/>
    <w:rsid w:val="002104F0"/>
    <w:rsid w:val="00210717"/>
    <w:rsid w:val="00210761"/>
    <w:rsid w:val="002107C0"/>
    <w:rsid w:val="002108C3"/>
    <w:rsid w:val="00210984"/>
    <w:rsid w:val="00210B7B"/>
    <w:rsid w:val="00210BD6"/>
    <w:rsid w:val="00210DB5"/>
    <w:rsid w:val="00210DEB"/>
    <w:rsid w:val="00210EE4"/>
    <w:rsid w:val="002111D5"/>
    <w:rsid w:val="002111E4"/>
    <w:rsid w:val="0021127B"/>
    <w:rsid w:val="002113B3"/>
    <w:rsid w:val="00211476"/>
    <w:rsid w:val="0021159A"/>
    <w:rsid w:val="00211626"/>
    <w:rsid w:val="00211659"/>
    <w:rsid w:val="0021199A"/>
    <w:rsid w:val="002119FD"/>
    <w:rsid w:val="00211A03"/>
    <w:rsid w:val="00211A11"/>
    <w:rsid w:val="00211C59"/>
    <w:rsid w:val="00211FE7"/>
    <w:rsid w:val="002120B7"/>
    <w:rsid w:val="0021246D"/>
    <w:rsid w:val="0021265C"/>
    <w:rsid w:val="00212731"/>
    <w:rsid w:val="002128F9"/>
    <w:rsid w:val="00212929"/>
    <w:rsid w:val="00212C85"/>
    <w:rsid w:val="00212FD7"/>
    <w:rsid w:val="0021303F"/>
    <w:rsid w:val="00213059"/>
    <w:rsid w:val="002131EF"/>
    <w:rsid w:val="002133E5"/>
    <w:rsid w:val="0021344E"/>
    <w:rsid w:val="002134B1"/>
    <w:rsid w:val="00213637"/>
    <w:rsid w:val="00213644"/>
    <w:rsid w:val="002137B2"/>
    <w:rsid w:val="0021383F"/>
    <w:rsid w:val="00213873"/>
    <w:rsid w:val="00213D47"/>
    <w:rsid w:val="002140B4"/>
    <w:rsid w:val="00214237"/>
    <w:rsid w:val="002142CE"/>
    <w:rsid w:val="0021461D"/>
    <w:rsid w:val="00214790"/>
    <w:rsid w:val="0021490E"/>
    <w:rsid w:val="00214A8D"/>
    <w:rsid w:val="00214B76"/>
    <w:rsid w:val="00214CEE"/>
    <w:rsid w:val="00214E53"/>
    <w:rsid w:val="00214F20"/>
    <w:rsid w:val="00214FD3"/>
    <w:rsid w:val="00215001"/>
    <w:rsid w:val="00215065"/>
    <w:rsid w:val="00215092"/>
    <w:rsid w:val="00215199"/>
    <w:rsid w:val="0021524D"/>
    <w:rsid w:val="002152B6"/>
    <w:rsid w:val="00215338"/>
    <w:rsid w:val="002155E2"/>
    <w:rsid w:val="00215719"/>
    <w:rsid w:val="0021574F"/>
    <w:rsid w:val="00215760"/>
    <w:rsid w:val="00215847"/>
    <w:rsid w:val="00215868"/>
    <w:rsid w:val="002158D3"/>
    <w:rsid w:val="002158FB"/>
    <w:rsid w:val="00215A83"/>
    <w:rsid w:val="00215B37"/>
    <w:rsid w:val="00215D9C"/>
    <w:rsid w:val="00215F16"/>
    <w:rsid w:val="00216102"/>
    <w:rsid w:val="00216168"/>
    <w:rsid w:val="00216280"/>
    <w:rsid w:val="0021629E"/>
    <w:rsid w:val="00216425"/>
    <w:rsid w:val="00216565"/>
    <w:rsid w:val="002165A2"/>
    <w:rsid w:val="002166D8"/>
    <w:rsid w:val="0021678B"/>
    <w:rsid w:val="00216A78"/>
    <w:rsid w:val="00216B39"/>
    <w:rsid w:val="00216C8C"/>
    <w:rsid w:val="0021747F"/>
    <w:rsid w:val="00217488"/>
    <w:rsid w:val="002175AF"/>
    <w:rsid w:val="002175BC"/>
    <w:rsid w:val="00217782"/>
    <w:rsid w:val="0021778A"/>
    <w:rsid w:val="0021780E"/>
    <w:rsid w:val="00217E87"/>
    <w:rsid w:val="0022008C"/>
    <w:rsid w:val="00220251"/>
    <w:rsid w:val="00220369"/>
    <w:rsid w:val="002203EF"/>
    <w:rsid w:val="0022045B"/>
    <w:rsid w:val="00220515"/>
    <w:rsid w:val="00220568"/>
    <w:rsid w:val="002205D9"/>
    <w:rsid w:val="0022083B"/>
    <w:rsid w:val="00220860"/>
    <w:rsid w:val="002208FE"/>
    <w:rsid w:val="00220B76"/>
    <w:rsid w:val="00220D65"/>
    <w:rsid w:val="0022106F"/>
    <w:rsid w:val="0022108B"/>
    <w:rsid w:val="0022124D"/>
    <w:rsid w:val="0022134F"/>
    <w:rsid w:val="00221422"/>
    <w:rsid w:val="0022146D"/>
    <w:rsid w:val="0022155E"/>
    <w:rsid w:val="0022163D"/>
    <w:rsid w:val="00221764"/>
    <w:rsid w:val="00221802"/>
    <w:rsid w:val="00221AE6"/>
    <w:rsid w:val="00221CE8"/>
    <w:rsid w:val="00221D65"/>
    <w:rsid w:val="00221DD3"/>
    <w:rsid w:val="0022201B"/>
    <w:rsid w:val="0022207E"/>
    <w:rsid w:val="00222134"/>
    <w:rsid w:val="002222E1"/>
    <w:rsid w:val="0022260B"/>
    <w:rsid w:val="00222668"/>
    <w:rsid w:val="00222703"/>
    <w:rsid w:val="00222BE6"/>
    <w:rsid w:val="00222CA1"/>
    <w:rsid w:val="00222CD1"/>
    <w:rsid w:val="00222CE9"/>
    <w:rsid w:val="00222F92"/>
    <w:rsid w:val="00222FE6"/>
    <w:rsid w:val="00223105"/>
    <w:rsid w:val="002231D2"/>
    <w:rsid w:val="00223200"/>
    <w:rsid w:val="0022332B"/>
    <w:rsid w:val="002233EF"/>
    <w:rsid w:val="0022340A"/>
    <w:rsid w:val="00223493"/>
    <w:rsid w:val="00223687"/>
    <w:rsid w:val="002238C4"/>
    <w:rsid w:val="002238F5"/>
    <w:rsid w:val="0022397B"/>
    <w:rsid w:val="00223A04"/>
    <w:rsid w:val="00223B55"/>
    <w:rsid w:val="00223BEE"/>
    <w:rsid w:val="00223C02"/>
    <w:rsid w:val="00223C4D"/>
    <w:rsid w:val="00223DE6"/>
    <w:rsid w:val="00224246"/>
    <w:rsid w:val="002242CD"/>
    <w:rsid w:val="00224431"/>
    <w:rsid w:val="002245F9"/>
    <w:rsid w:val="002248F0"/>
    <w:rsid w:val="00224951"/>
    <w:rsid w:val="00224B04"/>
    <w:rsid w:val="00224C25"/>
    <w:rsid w:val="00224C6B"/>
    <w:rsid w:val="00224D3D"/>
    <w:rsid w:val="00224D97"/>
    <w:rsid w:val="00224F59"/>
    <w:rsid w:val="00225257"/>
    <w:rsid w:val="0022550E"/>
    <w:rsid w:val="00225636"/>
    <w:rsid w:val="002257BB"/>
    <w:rsid w:val="002259EF"/>
    <w:rsid w:val="00225AB7"/>
    <w:rsid w:val="00225FA4"/>
    <w:rsid w:val="00225FB0"/>
    <w:rsid w:val="002261D8"/>
    <w:rsid w:val="002263A9"/>
    <w:rsid w:val="002264DB"/>
    <w:rsid w:val="00226585"/>
    <w:rsid w:val="002265B4"/>
    <w:rsid w:val="00226625"/>
    <w:rsid w:val="0022683D"/>
    <w:rsid w:val="002268EA"/>
    <w:rsid w:val="00226D4D"/>
    <w:rsid w:val="00226D60"/>
    <w:rsid w:val="00226DAA"/>
    <w:rsid w:val="00226DF6"/>
    <w:rsid w:val="00226EC7"/>
    <w:rsid w:val="00227304"/>
    <w:rsid w:val="00227354"/>
    <w:rsid w:val="0022744E"/>
    <w:rsid w:val="0022744F"/>
    <w:rsid w:val="0022768D"/>
    <w:rsid w:val="00227926"/>
    <w:rsid w:val="00227B57"/>
    <w:rsid w:val="00227DD9"/>
    <w:rsid w:val="00227F55"/>
    <w:rsid w:val="00227F83"/>
    <w:rsid w:val="0023012C"/>
    <w:rsid w:val="0023013C"/>
    <w:rsid w:val="002301FE"/>
    <w:rsid w:val="00230322"/>
    <w:rsid w:val="00230439"/>
    <w:rsid w:val="0023099E"/>
    <w:rsid w:val="00230C02"/>
    <w:rsid w:val="00230D01"/>
    <w:rsid w:val="00230D42"/>
    <w:rsid w:val="00230D95"/>
    <w:rsid w:val="00230DF4"/>
    <w:rsid w:val="00230EE4"/>
    <w:rsid w:val="00230FFD"/>
    <w:rsid w:val="00231045"/>
    <w:rsid w:val="002312CF"/>
    <w:rsid w:val="002312EF"/>
    <w:rsid w:val="00231320"/>
    <w:rsid w:val="002316D5"/>
    <w:rsid w:val="0023173F"/>
    <w:rsid w:val="00231749"/>
    <w:rsid w:val="0023188F"/>
    <w:rsid w:val="00231A5F"/>
    <w:rsid w:val="00231B10"/>
    <w:rsid w:val="00231BC3"/>
    <w:rsid w:val="00231EC5"/>
    <w:rsid w:val="00231EFB"/>
    <w:rsid w:val="00232111"/>
    <w:rsid w:val="00232151"/>
    <w:rsid w:val="0023222E"/>
    <w:rsid w:val="002322C0"/>
    <w:rsid w:val="00232480"/>
    <w:rsid w:val="002324CD"/>
    <w:rsid w:val="002325B1"/>
    <w:rsid w:val="00232774"/>
    <w:rsid w:val="00232828"/>
    <w:rsid w:val="002328BD"/>
    <w:rsid w:val="0023290E"/>
    <w:rsid w:val="002329D4"/>
    <w:rsid w:val="00232C72"/>
    <w:rsid w:val="00232D26"/>
    <w:rsid w:val="00232D30"/>
    <w:rsid w:val="00232D3D"/>
    <w:rsid w:val="00232D9D"/>
    <w:rsid w:val="00232E3C"/>
    <w:rsid w:val="00232F1B"/>
    <w:rsid w:val="002330A2"/>
    <w:rsid w:val="0023317C"/>
    <w:rsid w:val="00233342"/>
    <w:rsid w:val="00233A00"/>
    <w:rsid w:val="00233E07"/>
    <w:rsid w:val="00233FCB"/>
    <w:rsid w:val="00234068"/>
    <w:rsid w:val="00234101"/>
    <w:rsid w:val="00234263"/>
    <w:rsid w:val="002349F7"/>
    <w:rsid w:val="00234B2F"/>
    <w:rsid w:val="00234C7D"/>
    <w:rsid w:val="00234C82"/>
    <w:rsid w:val="00234DA0"/>
    <w:rsid w:val="00234DD1"/>
    <w:rsid w:val="00234F84"/>
    <w:rsid w:val="00235348"/>
    <w:rsid w:val="0023537C"/>
    <w:rsid w:val="0023545A"/>
    <w:rsid w:val="002354C1"/>
    <w:rsid w:val="002357ED"/>
    <w:rsid w:val="00235A9B"/>
    <w:rsid w:val="00235B4F"/>
    <w:rsid w:val="00235B7F"/>
    <w:rsid w:val="00235CDA"/>
    <w:rsid w:val="00235F12"/>
    <w:rsid w:val="00235F32"/>
    <w:rsid w:val="002361A3"/>
    <w:rsid w:val="002361A4"/>
    <w:rsid w:val="002363B9"/>
    <w:rsid w:val="002363FC"/>
    <w:rsid w:val="00236543"/>
    <w:rsid w:val="00236619"/>
    <w:rsid w:val="0023661F"/>
    <w:rsid w:val="00236B40"/>
    <w:rsid w:val="00236BBD"/>
    <w:rsid w:val="00236DA7"/>
    <w:rsid w:val="00236ECD"/>
    <w:rsid w:val="00237048"/>
    <w:rsid w:val="002371DA"/>
    <w:rsid w:val="00237483"/>
    <w:rsid w:val="002374EC"/>
    <w:rsid w:val="0023752A"/>
    <w:rsid w:val="0023752B"/>
    <w:rsid w:val="002379EA"/>
    <w:rsid w:val="00237A28"/>
    <w:rsid w:val="00237D78"/>
    <w:rsid w:val="00237F0B"/>
    <w:rsid w:val="00237F2A"/>
    <w:rsid w:val="00240023"/>
    <w:rsid w:val="002400F5"/>
    <w:rsid w:val="002401FE"/>
    <w:rsid w:val="00240382"/>
    <w:rsid w:val="002403B4"/>
    <w:rsid w:val="0024059C"/>
    <w:rsid w:val="0024062A"/>
    <w:rsid w:val="002406E6"/>
    <w:rsid w:val="0024075E"/>
    <w:rsid w:val="002409FA"/>
    <w:rsid w:val="00240B88"/>
    <w:rsid w:val="00240C43"/>
    <w:rsid w:val="00240D34"/>
    <w:rsid w:val="00240ED4"/>
    <w:rsid w:val="00240F6F"/>
    <w:rsid w:val="002411BB"/>
    <w:rsid w:val="00241394"/>
    <w:rsid w:val="00241A32"/>
    <w:rsid w:val="00241A8C"/>
    <w:rsid w:val="00241B7F"/>
    <w:rsid w:val="00241CAE"/>
    <w:rsid w:val="00241D09"/>
    <w:rsid w:val="00241ED0"/>
    <w:rsid w:val="00241FFF"/>
    <w:rsid w:val="00242062"/>
    <w:rsid w:val="00242115"/>
    <w:rsid w:val="00242166"/>
    <w:rsid w:val="002421BF"/>
    <w:rsid w:val="00242327"/>
    <w:rsid w:val="002423D9"/>
    <w:rsid w:val="0024246D"/>
    <w:rsid w:val="00242B7A"/>
    <w:rsid w:val="00242D1B"/>
    <w:rsid w:val="0024301A"/>
    <w:rsid w:val="002430AD"/>
    <w:rsid w:val="002430C4"/>
    <w:rsid w:val="002431C3"/>
    <w:rsid w:val="002431F4"/>
    <w:rsid w:val="002432F0"/>
    <w:rsid w:val="00243463"/>
    <w:rsid w:val="002434B1"/>
    <w:rsid w:val="002434D3"/>
    <w:rsid w:val="00243517"/>
    <w:rsid w:val="002435BE"/>
    <w:rsid w:val="0024396B"/>
    <w:rsid w:val="00243D7F"/>
    <w:rsid w:val="00243EE1"/>
    <w:rsid w:val="00244031"/>
    <w:rsid w:val="002444C7"/>
    <w:rsid w:val="002446C2"/>
    <w:rsid w:val="00244A55"/>
    <w:rsid w:val="00244B03"/>
    <w:rsid w:val="00244B18"/>
    <w:rsid w:val="00244BA2"/>
    <w:rsid w:val="00244BF5"/>
    <w:rsid w:val="00244C79"/>
    <w:rsid w:val="00244DFC"/>
    <w:rsid w:val="002452A6"/>
    <w:rsid w:val="00245301"/>
    <w:rsid w:val="00245491"/>
    <w:rsid w:val="00245522"/>
    <w:rsid w:val="00245596"/>
    <w:rsid w:val="002456B8"/>
    <w:rsid w:val="002456D0"/>
    <w:rsid w:val="00245709"/>
    <w:rsid w:val="0024579B"/>
    <w:rsid w:val="0024581A"/>
    <w:rsid w:val="0024582A"/>
    <w:rsid w:val="0024591D"/>
    <w:rsid w:val="002459A4"/>
    <w:rsid w:val="00245AAE"/>
    <w:rsid w:val="00245BBE"/>
    <w:rsid w:val="00245BC8"/>
    <w:rsid w:val="00245C17"/>
    <w:rsid w:val="00245ED9"/>
    <w:rsid w:val="00245FD7"/>
    <w:rsid w:val="00246106"/>
    <w:rsid w:val="00246152"/>
    <w:rsid w:val="0024633B"/>
    <w:rsid w:val="00246347"/>
    <w:rsid w:val="002463A5"/>
    <w:rsid w:val="002463DE"/>
    <w:rsid w:val="00246591"/>
    <w:rsid w:val="002467A1"/>
    <w:rsid w:val="002467EE"/>
    <w:rsid w:val="00246A3E"/>
    <w:rsid w:val="00246B25"/>
    <w:rsid w:val="00246B4D"/>
    <w:rsid w:val="00246B5B"/>
    <w:rsid w:val="00246BFB"/>
    <w:rsid w:val="00246C4D"/>
    <w:rsid w:val="00246C99"/>
    <w:rsid w:val="00246D78"/>
    <w:rsid w:val="00246F47"/>
    <w:rsid w:val="002470AA"/>
    <w:rsid w:val="0024719B"/>
    <w:rsid w:val="0024736A"/>
    <w:rsid w:val="002474C3"/>
    <w:rsid w:val="0024751C"/>
    <w:rsid w:val="00247589"/>
    <w:rsid w:val="0024762E"/>
    <w:rsid w:val="002476B6"/>
    <w:rsid w:val="00247781"/>
    <w:rsid w:val="00247878"/>
    <w:rsid w:val="00247D4B"/>
    <w:rsid w:val="00247D94"/>
    <w:rsid w:val="00247D9A"/>
    <w:rsid w:val="00250278"/>
    <w:rsid w:val="002502F3"/>
    <w:rsid w:val="00250375"/>
    <w:rsid w:val="002505BB"/>
    <w:rsid w:val="002505F5"/>
    <w:rsid w:val="00250758"/>
    <w:rsid w:val="00250775"/>
    <w:rsid w:val="002507D5"/>
    <w:rsid w:val="00250965"/>
    <w:rsid w:val="00250C81"/>
    <w:rsid w:val="00250E67"/>
    <w:rsid w:val="00250F84"/>
    <w:rsid w:val="00251012"/>
    <w:rsid w:val="00251277"/>
    <w:rsid w:val="002513C5"/>
    <w:rsid w:val="0025165F"/>
    <w:rsid w:val="00251AED"/>
    <w:rsid w:val="00251C39"/>
    <w:rsid w:val="00251C42"/>
    <w:rsid w:val="00251C6D"/>
    <w:rsid w:val="00251D1B"/>
    <w:rsid w:val="00251E2A"/>
    <w:rsid w:val="00251E89"/>
    <w:rsid w:val="00251EDB"/>
    <w:rsid w:val="00251F75"/>
    <w:rsid w:val="0025207A"/>
    <w:rsid w:val="00252273"/>
    <w:rsid w:val="00252432"/>
    <w:rsid w:val="00252494"/>
    <w:rsid w:val="002525C6"/>
    <w:rsid w:val="00252773"/>
    <w:rsid w:val="00252AE2"/>
    <w:rsid w:val="00252F88"/>
    <w:rsid w:val="002530B4"/>
    <w:rsid w:val="002531A8"/>
    <w:rsid w:val="002532AB"/>
    <w:rsid w:val="0025341C"/>
    <w:rsid w:val="002535BD"/>
    <w:rsid w:val="002538D5"/>
    <w:rsid w:val="002538FB"/>
    <w:rsid w:val="00253B62"/>
    <w:rsid w:val="00253D65"/>
    <w:rsid w:val="00253E1D"/>
    <w:rsid w:val="00253FA1"/>
    <w:rsid w:val="002540BF"/>
    <w:rsid w:val="00254392"/>
    <w:rsid w:val="002543BF"/>
    <w:rsid w:val="002543CE"/>
    <w:rsid w:val="00254459"/>
    <w:rsid w:val="00254677"/>
    <w:rsid w:val="0025472C"/>
    <w:rsid w:val="0025491F"/>
    <w:rsid w:val="002549F8"/>
    <w:rsid w:val="00254B24"/>
    <w:rsid w:val="00254F5E"/>
    <w:rsid w:val="00254FD2"/>
    <w:rsid w:val="00255294"/>
    <w:rsid w:val="00255400"/>
    <w:rsid w:val="002554BF"/>
    <w:rsid w:val="00255748"/>
    <w:rsid w:val="00255828"/>
    <w:rsid w:val="00255E29"/>
    <w:rsid w:val="00256111"/>
    <w:rsid w:val="002561A7"/>
    <w:rsid w:val="00256389"/>
    <w:rsid w:val="0025653E"/>
    <w:rsid w:val="00256726"/>
    <w:rsid w:val="0025690F"/>
    <w:rsid w:val="00256960"/>
    <w:rsid w:val="00256A84"/>
    <w:rsid w:val="00256C6B"/>
    <w:rsid w:val="00256DF8"/>
    <w:rsid w:val="00256E2E"/>
    <w:rsid w:val="00256EAE"/>
    <w:rsid w:val="00256ECE"/>
    <w:rsid w:val="002570BD"/>
    <w:rsid w:val="002570CD"/>
    <w:rsid w:val="0025714F"/>
    <w:rsid w:val="0025726C"/>
    <w:rsid w:val="00257591"/>
    <w:rsid w:val="0025759E"/>
    <w:rsid w:val="00257705"/>
    <w:rsid w:val="00257763"/>
    <w:rsid w:val="002577DD"/>
    <w:rsid w:val="002578CB"/>
    <w:rsid w:val="00257949"/>
    <w:rsid w:val="00257D7A"/>
    <w:rsid w:val="00257E0A"/>
    <w:rsid w:val="00257EB7"/>
    <w:rsid w:val="00257FCA"/>
    <w:rsid w:val="002600B5"/>
    <w:rsid w:val="002601F6"/>
    <w:rsid w:val="002601FF"/>
    <w:rsid w:val="00260343"/>
    <w:rsid w:val="00260351"/>
    <w:rsid w:val="002603E5"/>
    <w:rsid w:val="00260502"/>
    <w:rsid w:val="00260566"/>
    <w:rsid w:val="002608BE"/>
    <w:rsid w:val="00260AAC"/>
    <w:rsid w:val="00260AC0"/>
    <w:rsid w:val="00260B59"/>
    <w:rsid w:val="00260CD7"/>
    <w:rsid w:val="00260E3A"/>
    <w:rsid w:val="00260F09"/>
    <w:rsid w:val="0026100D"/>
    <w:rsid w:val="00261217"/>
    <w:rsid w:val="00261353"/>
    <w:rsid w:val="0026135E"/>
    <w:rsid w:val="002613D4"/>
    <w:rsid w:val="00261503"/>
    <w:rsid w:val="0026153B"/>
    <w:rsid w:val="00261615"/>
    <w:rsid w:val="002616FE"/>
    <w:rsid w:val="002617E4"/>
    <w:rsid w:val="002618C6"/>
    <w:rsid w:val="0026192F"/>
    <w:rsid w:val="00261B31"/>
    <w:rsid w:val="00261B63"/>
    <w:rsid w:val="00261BF0"/>
    <w:rsid w:val="00261DD8"/>
    <w:rsid w:val="002623E1"/>
    <w:rsid w:val="002624F1"/>
    <w:rsid w:val="0026250D"/>
    <w:rsid w:val="002629F6"/>
    <w:rsid w:val="00262A87"/>
    <w:rsid w:val="00262C7E"/>
    <w:rsid w:val="00262D3D"/>
    <w:rsid w:val="00262E6F"/>
    <w:rsid w:val="00262EF4"/>
    <w:rsid w:val="00262F9E"/>
    <w:rsid w:val="00262FC0"/>
    <w:rsid w:val="0026322D"/>
    <w:rsid w:val="0026328B"/>
    <w:rsid w:val="002632BF"/>
    <w:rsid w:val="002632EC"/>
    <w:rsid w:val="0026347C"/>
    <w:rsid w:val="0026350C"/>
    <w:rsid w:val="002636DA"/>
    <w:rsid w:val="00263838"/>
    <w:rsid w:val="00263C55"/>
    <w:rsid w:val="00263C7B"/>
    <w:rsid w:val="00263D0A"/>
    <w:rsid w:val="00263E26"/>
    <w:rsid w:val="00264290"/>
    <w:rsid w:val="002643C4"/>
    <w:rsid w:val="002644CF"/>
    <w:rsid w:val="002644EF"/>
    <w:rsid w:val="002644FC"/>
    <w:rsid w:val="00264729"/>
    <w:rsid w:val="002648B9"/>
    <w:rsid w:val="00264B4A"/>
    <w:rsid w:val="00264D81"/>
    <w:rsid w:val="00264DB2"/>
    <w:rsid w:val="00264E9E"/>
    <w:rsid w:val="00264F6A"/>
    <w:rsid w:val="00264F88"/>
    <w:rsid w:val="0026501F"/>
    <w:rsid w:val="00265360"/>
    <w:rsid w:val="0026543A"/>
    <w:rsid w:val="00265549"/>
    <w:rsid w:val="00265555"/>
    <w:rsid w:val="0026593D"/>
    <w:rsid w:val="00265A2E"/>
    <w:rsid w:val="00265AFB"/>
    <w:rsid w:val="00265BDE"/>
    <w:rsid w:val="00265BF0"/>
    <w:rsid w:val="00265C07"/>
    <w:rsid w:val="00265D09"/>
    <w:rsid w:val="00265E8C"/>
    <w:rsid w:val="00266062"/>
    <w:rsid w:val="0026619B"/>
    <w:rsid w:val="002661A8"/>
    <w:rsid w:val="002661D4"/>
    <w:rsid w:val="00266392"/>
    <w:rsid w:val="002663C9"/>
    <w:rsid w:val="002663F2"/>
    <w:rsid w:val="002667C6"/>
    <w:rsid w:val="002667D4"/>
    <w:rsid w:val="00266B87"/>
    <w:rsid w:val="00266BA7"/>
    <w:rsid w:val="00266D07"/>
    <w:rsid w:val="00266F27"/>
    <w:rsid w:val="00266F74"/>
    <w:rsid w:val="002670B5"/>
    <w:rsid w:val="00267137"/>
    <w:rsid w:val="00267194"/>
    <w:rsid w:val="002671F9"/>
    <w:rsid w:val="002674E0"/>
    <w:rsid w:val="002676D9"/>
    <w:rsid w:val="002677D4"/>
    <w:rsid w:val="002677F1"/>
    <w:rsid w:val="0026780E"/>
    <w:rsid w:val="002678F8"/>
    <w:rsid w:val="0026799C"/>
    <w:rsid w:val="00267E09"/>
    <w:rsid w:val="00267E73"/>
    <w:rsid w:val="00267F16"/>
    <w:rsid w:val="00267F1C"/>
    <w:rsid w:val="00270088"/>
    <w:rsid w:val="002702BD"/>
    <w:rsid w:val="00270343"/>
    <w:rsid w:val="002703EA"/>
    <w:rsid w:val="002703EB"/>
    <w:rsid w:val="00270449"/>
    <w:rsid w:val="002704FD"/>
    <w:rsid w:val="0027054E"/>
    <w:rsid w:val="002705DB"/>
    <w:rsid w:val="00270671"/>
    <w:rsid w:val="002708DB"/>
    <w:rsid w:val="00270931"/>
    <w:rsid w:val="00270AC2"/>
    <w:rsid w:val="00270BFA"/>
    <w:rsid w:val="00270D5F"/>
    <w:rsid w:val="0027108C"/>
    <w:rsid w:val="0027120C"/>
    <w:rsid w:val="00271609"/>
    <w:rsid w:val="002716BD"/>
    <w:rsid w:val="00271722"/>
    <w:rsid w:val="002717A6"/>
    <w:rsid w:val="00271893"/>
    <w:rsid w:val="00271A06"/>
    <w:rsid w:val="00271AA8"/>
    <w:rsid w:val="00271BD1"/>
    <w:rsid w:val="00271D60"/>
    <w:rsid w:val="00271EBD"/>
    <w:rsid w:val="00272169"/>
    <w:rsid w:val="002721F7"/>
    <w:rsid w:val="002723AB"/>
    <w:rsid w:val="00272466"/>
    <w:rsid w:val="00272547"/>
    <w:rsid w:val="00272600"/>
    <w:rsid w:val="002726D5"/>
    <w:rsid w:val="0027272A"/>
    <w:rsid w:val="002729D7"/>
    <w:rsid w:val="00272A0D"/>
    <w:rsid w:val="00272B1F"/>
    <w:rsid w:val="00272C88"/>
    <w:rsid w:val="00272E39"/>
    <w:rsid w:val="00272F11"/>
    <w:rsid w:val="00272FB4"/>
    <w:rsid w:val="00272FEA"/>
    <w:rsid w:val="002730C7"/>
    <w:rsid w:val="002733DF"/>
    <w:rsid w:val="00273BAB"/>
    <w:rsid w:val="00273C60"/>
    <w:rsid w:val="00273CA3"/>
    <w:rsid w:val="00273F05"/>
    <w:rsid w:val="0027426B"/>
    <w:rsid w:val="00274605"/>
    <w:rsid w:val="00274708"/>
    <w:rsid w:val="0027481E"/>
    <w:rsid w:val="00274A7E"/>
    <w:rsid w:val="00274CA9"/>
    <w:rsid w:val="00274CF0"/>
    <w:rsid w:val="00274DC3"/>
    <w:rsid w:val="002750D2"/>
    <w:rsid w:val="002750EF"/>
    <w:rsid w:val="002753B9"/>
    <w:rsid w:val="00275468"/>
    <w:rsid w:val="00275592"/>
    <w:rsid w:val="002755C3"/>
    <w:rsid w:val="00275620"/>
    <w:rsid w:val="0027576D"/>
    <w:rsid w:val="002758C2"/>
    <w:rsid w:val="00275950"/>
    <w:rsid w:val="00275A2D"/>
    <w:rsid w:val="00275BDE"/>
    <w:rsid w:val="00275BE9"/>
    <w:rsid w:val="00275D7A"/>
    <w:rsid w:val="00275DEE"/>
    <w:rsid w:val="00275EC8"/>
    <w:rsid w:val="00276273"/>
    <w:rsid w:val="002763AF"/>
    <w:rsid w:val="002768CA"/>
    <w:rsid w:val="00276978"/>
    <w:rsid w:val="00276BC0"/>
    <w:rsid w:val="00276C57"/>
    <w:rsid w:val="00276CA8"/>
    <w:rsid w:val="00276D1D"/>
    <w:rsid w:val="00276DD8"/>
    <w:rsid w:val="00276E05"/>
    <w:rsid w:val="00276E13"/>
    <w:rsid w:val="00276E7B"/>
    <w:rsid w:val="00276F11"/>
    <w:rsid w:val="00277033"/>
    <w:rsid w:val="0027718C"/>
    <w:rsid w:val="002771B0"/>
    <w:rsid w:val="00277323"/>
    <w:rsid w:val="00277366"/>
    <w:rsid w:val="0027740A"/>
    <w:rsid w:val="002774E5"/>
    <w:rsid w:val="002775DD"/>
    <w:rsid w:val="0027762E"/>
    <w:rsid w:val="00277886"/>
    <w:rsid w:val="0027790D"/>
    <w:rsid w:val="00277922"/>
    <w:rsid w:val="00277A6D"/>
    <w:rsid w:val="00277B0A"/>
    <w:rsid w:val="00277B15"/>
    <w:rsid w:val="00277BD6"/>
    <w:rsid w:val="00277EA6"/>
    <w:rsid w:val="00277F2B"/>
    <w:rsid w:val="00277FBD"/>
    <w:rsid w:val="00277FD8"/>
    <w:rsid w:val="00280099"/>
    <w:rsid w:val="00280270"/>
    <w:rsid w:val="002807ED"/>
    <w:rsid w:val="002807FE"/>
    <w:rsid w:val="00280A03"/>
    <w:rsid w:val="00280A0F"/>
    <w:rsid w:val="00280B54"/>
    <w:rsid w:val="00280B5C"/>
    <w:rsid w:val="00280BD6"/>
    <w:rsid w:val="00280C6D"/>
    <w:rsid w:val="00280C76"/>
    <w:rsid w:val="00280E31"/>
    <w:rsid w:val="00280FE6"/>
    <w:rsid w:val="00281611"/>
    <w:rsid w:val="002817B9"/>
    <w:rsid w:val="0028192F"/>
    <w:rsid w:val="00281AE7"/>
    <w:rsid w:val="00281C0E"/>
    <w:rsid w:val="00281D82"/>
    <w:rsid w:val="00281DC2"/>
    <w:rsid w:val="00281DF9"/>
    <w:rsid w:val="00281E2F"/>
    <w:rsid w:val="00281F6C"/>
    <w:rsid w:val="00281F77"/>
    <w:rsid w:val="00282025"/>
    <w:rsid w:val="002820C4"/>
    <w:rsid w:val="002823DA"/>
    <w:rsid w:val="00282634"/>
    <w:rsid w:val="0028290C"/>
    <w:rsid w:val="00282EEE"/>
    <w:rsid w:val="00282F58"/>
    <w:rsid w:val="00282F8C"/>
    <w:rsid w:val="002832B8"/>
    <w:rsid w:val="0028350F"/>
    <w:rsid w:val="00283555"/>
    <w:rsid w:val="002836B0"/>
    <w:rsid w:val="00283CF4"/>
    <w:rsid w:val="00283D9A"/>
    <w:rsid w:val="00283EEA"/>
    <w:rsid w:val="00283EEF"/>
    <w:rsid w:val="00283EF4"/>
    <w:rsid w:val="00284134"/>
    <w:rsid w:val="0028426D"/>
    <w:rsid w:val="00284385"/>
    <w:rsid w:val="002844CB"/>
    <w:rsid w:val="002847AD"/>
    <w:rsid w:val="002847D3"/>
    <w:rsid w:val="00284879"/>
    <w:rsid w:val="002848CC"/>
    <w:rsid w:val="00284AB8"/>
    <w:rsid w:val="00284C3C"/>
    <w:rsid w:val="00284E82"/>
    <w:rsid w:val="00285050"/>
    <w:rsid w:val="002850DA"/>
    <w:rsid w:val="00285379"/>
    <w:rsid w:val="00285571"/>
    <w:rsid w:val="002855FA"/>
    <w:rsid w:val="00285895"/>
    <w:rsid w:val="00285910"/>
    <w:rsid w:val="00285937"/>
    <w:rsid w:val="0028599E"/>
    <w:rsid w:val="002859A8"/>
    <w:rsid w:val="00285A09"/>
    <w:rsid w:val="00285AD9"/>
    <w:rsid w:val="00285DC0"/>
    <w:rsid w:val="00285F17"/>
    <w:rsid w:val="00285F5F"/>
    <w:rsid w:val="00285F7E"/>
    <w:rsid w:val="00286059"/>
    <w:rsid w:val="0028616D"/>
    <w:rsid w:val="002861B0"/>
    <w:rsid w:val="002861EE"/>
    <w:rsid w:val="00286239"/>
    <w:rsid w:val="002862E3"/>
    <w:rsid w:val="002862F2"/>
    <w:rsid w:val="002863BE"/>
    <w:rsid w:val="002864D6"/>
    <w:rsid w:val="002864E4"/>
    <w:rsid w:val="0028684C"/>
    <w:rsid w:val="00286A0A"/>
    <w:rsid w:val="00286CE0"/>
    <w:rsid w:val="00286D2B"/>
    <w:rsid w:val="00286FAD"/>
    <w:rsid w:val="00286FF6"/>
    <w:rsid w:val="002870BF"/>
    <w:rsid w:val="002871B3"/>
    <w:rsid w:val="0028721B"/>
    <w:rsid w:val="002872ED"/>
    <w:rsid w:val="002873AA"/>
    <w:rsid w:val="0028742C"/>
    <w:rsid w:val="0028749F"/>
    <w:rsid w:val="002874E7"/>
    <w:rsid w:val="00287958"/>
    <w:rsid w:val="00287AE0"/>
    <w:rsid w:val="0029016A"/>
    <w:rsid w:val="002904CD"/>
    <w:rsid w:val="00290501"/>
    <w:rsid w:val="00290558"/>
    <w:rsid w:val="00290938"/>
    <w:rsid w:val="00290B6C"/>
    <w:rsid w:val="00290CA3"/>
    <w:rsid w:val="00290F22"/>
    <w:rsid w:val="00290FD0"/>
    <w:rsid w:val="002912FD"/>
    <w:rsid w:val="00291678"/>
    <w:rsid w:val="0029167C"/>
    <w:rsid w:val="00291732"/>
    <w:rsid w:val="002918DA"/>
    <w:rsid w:val="00291931"/>
    <w:rsid w:val="00291D83"/>
    <w:rsid w:val="00291E33"/>
    <w:rsid w:val="002921E5"/>
    <w:rsid w:val="0029236A"/>
    <w:rsid w:val="0029269C"/>
    <w:rsid w:val="002927B2"/>
    <w:rsid w:val="002929E7"/>
    <w:rsid w:val="00292C7D"/>
    <w:rsid w:val="00292CF1"/>
    <w:rsid w:val="00292CF7"/>
    <w:rsid w:val="00292D62"/>
    <w:rsid w:val="0029306A"/>
    <w:rsid w:val="00293461"/>
    <w:rsid w:val="00293516"/>
    <w:rsid w:val="002939DA"/>
    <w:rsid w:val="002939F4"/>
    <w:rsid w:val="00293A3E"/>
    <w:rsid w:val="00293A6C"/>
    <w:rsid w:val="00294015"/>
    <w:rsid w:val="00294093"/>
    <w:rsid w:val="0029409B"/>
    <w:rsid w:val="002940E3"/>
    <w:rsid w:val="0029418A"/>
    <w:rsid w:val="00294269"/>
    <w:rsid w:val="0029426C"/>
    <w:rsid w:val="002943E9"/>
    <w:rsid w:val="002944B3"/>
    <w:rsid w:val="00294501"/>
    <w:rsid w:val="00294AE7"/>
    <w:rsid w:val="00294BC9"/>
    <w:rsid w:val="00294C59"/>
    <w:rsid w:val="00294CC9"/>
    <w:rsid w:val="00294D91"/>
    <w:rsid w:val="00294E7E"/>
    <w:rsid w:val="00294FE4"/>
    <w:rsid w:val="002950A6"/>
    <w:rsid w:val="00295468"/>
    <w:rsid w:val="002957FD"/>
    <w:rsid w:val="002958D1"/>
    <w:rsid w:val="00295983"/>
    <w:rsid w:val="00295A11"/>
    <w:rsid w:val="00295AC0"/>
    <w:rsid w:val="00295B33"/>
    <w:rsid w:val="00295BC1"/>
    <w:rsid w:val="00295C81"/>
    <w:rsid w:val="00295F93"/>
    <w:rsid w:val="002960D1"/>
    <w:rsid w:val="002960F2"/>
    <w:rsid w:val="002961C5"/>
    <w:rsid w:val="00296261"/>
    <w:rsid w:val="002964A3"/>
    <w:rsid w:val="00296615"/>
    <w:rsid w:val="0029661B"/>
    <w:rsid w:val="00296805"/>
    <w:rsid w:val="0029686E"/>
    <w:rsid w:val="002968F1"/>
    <w:rsid w:val="002969FB"/>
    <w:rsid w:val="00296B90"/>
    <w:rsid w:val="00296BA0"/>
    <w:rsid w:val="002971F5"/>
    <w:rsid w:val="0029727B"/>
    <w:rsid w:val="0029729A"/>
    <w:rsid w:val="00297351"/>
    <w:rsid w:val="00297493"/>
    <w:rsid w:val="002975FE"/>
    <w:rsid w:val="002977FB"/>
    <w:rsid w:val="002977FE"/>
    <w:rsid w:val="002979E9"/>
    <w:rsid w:val="00297EC4"/>
    <w:rsid w:val="002A0059"/>
    <w:rsid w:val="002A0279"/>
    <w:rsid w:val="002A03D2"/>
    <w:rsid w:val="002A03DC"/>
    <w:rsid w:val="002A06AD"/>
    <w:rsid w:val="002A07D0"/>
    <w:rsid w:val="002A0918"/>
    <w:rsid w:val="002A0C28"/>
    <w:rsid w:val="002A0CD7"/>
    <w:rsid w:val="002A0D77"/>
    <w:rsid w:val="002A0DAA"/>
    <w:rsid w:val="002A0DBE"/>
    <w:rsid w:val="002A1080"/>
    <w:rsid w:val="002A10AB"/>
    <w:rsid w:val="002A11FF"/>
    <w:rsid w:val="002A13F4"/>
    <w:rsid w:val="002A14FF"/>
    <w:rsid w:val="002A154C"/>
    <w:rsid w:val="002A1B44"/>
    <w:rsid w:val="002A1BB1"/>
    <w:rsid w:val="002A1D6C"/>
    <w:rsid w:val="002A1E4B"/>
    <w:rsid w:val="002A2009"/>
    <w:rsid w:val="002A20F3"/>
    <w:rsid w:val="002A21DA"/>
    <w:rsid w:val="002A2425"/>
    <w:rsid w:val="002A24CD"/>
    <w:rsid w:val="002A2A5B"/>
    <w:rsid w:val="002A2BC1"/>
    <w:rsid w:val="002A2D06"/>
    <w:rsid w:val="002A30BA"/>
    <w:rsid w:val="002A315E"/>
    <w:rsid w:val="002A337F"/>
    <w:rsid w:val="002A3566"/>
    <w:rsid w:val="002A3711"/>
    <w:rsid w:val="002A37AC"/>
    <w:rsid w:val="002A37BA"/>
    <w:rsid w:val="002A388D"/>
    <w:rsid w:val="002A3923"/>
    <w:rsid w:val="002A39A3"/>
    <w:rsid w:val="002A39E3"/>
    <w:rsid w:val="002A3BC4"/>
    <w:rsid w:val="002A3BF9"/>
    <w:rsid w:val="002A3FDD"/>
    <w:rsid w:val="002A4145"/>
    <w:rsid w:val="002A4209"/>
    <w:rsid w:val="002A423B"/>
    <w:rsid w:val="002A4277"/>
    <w:rsid w:val="002A43B0"/>
    <w:rsid w:val="002A4438"/>
    <w:rsid w:val="002A44FE"/>
    <w:rsid w:val="002A47D6"/>
    <w:rsid w:val="002A4887"/>
    <w:rsid w:val="002A489F"/>
    <w:rsid w:val="002A4917"/>
    <w:rsid w:val="002A4A22"/>
    <w:rsid w:val="002A4ACF"/>
    <w:rsid w:val="002A4B67"/>
    <w:rsid w:val="002A4D1C"/>
    <w:rsid w:val="002A4E34"/>
    <w:rsid w:val="002A4FBE"/>
    <w:rsid w:val="002A5157"/>
    <w:rsid w:val="002A5281"/>
    <w:rsid w:val="002A5294"/>
    <w:rsid w:val="002A534E"/>
    <w:rsid w:val="002A5480"/>
    <w:rsid w:val="002A549B"/>
    <w:rsid w:val="002A54FD"/>
    <w:rsid w:val="002A55E6"/>
    <w:rsid w:val="002A569E"/>
    <w:rsid w:val="002A578A"/>
    <w:rsid w:val="002A5AAF"/>
    <w:rsid w:val="002A5BAF"/>
    <w:rsid w:val="002A5CC7"/>
    <w:rsid w:val="002A5D25"/>
    <w:rsid w:val="002A6243"/>
    <w:rsid w:val="002A62D3"/>
    <w:rsid w:val="002A64E0"/>
    <w:rsid w:val="002A64F0"/>
    <w:rsid w:val="002A66AB"/>
    <w:rsid w:val="002A672E"/>
    <w:rsid w:val="002A679F"/>
    <w:rsid w:val="002A6806"/>
    <w:rsid w:val="002A6BEF"/>
    <w:rsid w:val="002A6CA9"/>
    <w:rsid w:val="002A6D02"/>
    <w:rsid w:val="002A6D32"/>
    <w:rsid w:val="002A6DF0"/>
    <w:rsid w:val="002A6E53"/>
    <w:rsid w:val="002A6F94"/>
    <w:rsid w:val="002A713E"/>
    <w:rsid w:val="002A71C0"/>
    <w:rsid w:val="002A74BA"/>
    <w:rsid w:val="002A773C"/>
    <w:rsid w:val="002A77BC"/>
    <w:rsid w:val="002A783A"/>
    <w:rsid w:val="002A7975"/>
    <w:rsid w:val="002A7B69"/>
    <w:rsid w:val="002A7C1E"/>
    <w:rsid w:val="002A7D0D"/>
    <w:rsid w:val="002A7D9F"/>
    <w:rsid w:val="002A7DE1"/>
    <w:rsid w:val="002A7F54"/>
    <w:rsid w:val="002B000F"/>
    <w:rsid w:val="002B009E"/>
    <w:rsid w:val="002B01F9"/>
    <w:rsid w:val="002B031A"/>
    <w:rsid w:val="002B0357"/>
    <w:rsid w:val="002B035A"/>
    <w:rsid w:val="002B052F"/>
    <w:rsid w:val="002B05E6"/>
    <w:rsid w:val="002B07A0"/>
    <w:rsid w:val="002B08DC"/>
    <w:rsid w:val="002B099E"/>
    <w:rsid w:val="002B0A99"/>
    <w:rsid w:val="002B0B0A"/>
    <w:rsid w:val="002B0B87"/>
    <w:rsid w:val="002B0FD7"/>
    <w:rsid w:val="002B1538"/>
    <w:rsid w:val="002B155A"/>
    <w:rsid w:val="002B175A"/>
    <w:rsid w:val="002B189B"/>
    <w:rsid w:val="002B1B79"/>
    <w:rsid w:val="002B1C2F"/>
    <w:rsid w:val="002B1C7B"/>
    <w:rsid w:val="002B1D2D"/>
    <w:rsid w:val="002B1EFF"/>
    <w:rsid w:val="002B210C"/>
    <w:rsid w:val="002B219F"/>
    <w:rsid w:val="002B2226"/>
    <w:rsid w:val="002B23FA"/>
    <w:rsid w:val="002B257D"/>
    <w:rsid w:val="002B264B"/>
    <w:rsid w:val="002B2762"/>
    <w:rsid w:val="002B294E"/>
    <w:rsid w:val="002B2988"/>
    <w:rsid w:val="002B29CC"/>
    <w:rsid w:val="002B2B54"/>
    <w:rsid w:val="002B2BBB"/>
    <w:rsid w:val="002B2D86"/>
    <w:rsid w:val="002B2E54"/>
    <w:rsid w:val="002B3504"/>
    <w:rsid w:val="002B3833"/>
    <w:rsid w:val="002B3BCA"/>
    <w:rsid w:val="002B3C11"/>
    <w:rsid w:val="002B3CAB"/>
    <w:rsid w:val="002B3DE8"/>
    <w:rsid w:val="002B3E18"/>
    <w:rsid w:val="002B3EA1"/>
    <w:rsid w:val="002B3F70"/>
    <w:rsid w:val="002B4012"/>
    <w:rsid w:val="002B42D6"/>
    <w:rsid w:val="002B44DB"/>
    <w:rsid w:val="002B46EF"/>
    <w:rsid w:val="002B49D9"/>
    <w:rsid w:val="002B4A16"/>
    <w:rsid w:val="002B4B8C"/>
    <w:rsid w:val="002B4C96"/>
    <w:rsid w:val="002B505E"/>
    <w:rsid w:val="002B5097"/>
    <w:rsid w:val="002B50A0"/>
    <w:rsid w:val="002B5211"/>
    <w:rsid w:val="002B5497"/>
    <w:rsid w:val="002B5725"/>
    <w:rsid w:val="002B5846"/>
    <w:rsid w:val="002B5AD3"/>
    <w:rsid w:val="002B5B8B"/>
    <w:rsid w:val="002B5D6E"/>
    <w:rsid w:val="002B5E15"/>
    <w:rsid w:val="002B5E29"/>
    <w:rsid w:val="002B5E33"/>
    <w:rsid w:val="002B5EF1"/>
    <w:rsid w:val="002B5FAE"/>
    <w:rsid w:val="002B5FBD"/>
    <w:rsid w:val="002B5FE6"/>
    <w:rsid w:val="002B61F1"/>
    <w:rsid w:val="002B625A"/>
    <w:rsid w:val="002B6498"/>
    <w:rsid w:val="002B650D"/>
    <w:rsid w:val="002B6579"/>
    <w:rsid w:val="002B6727"/>
    <w:rsid w:val="002B6735"/>
    <w:rsid w:val="002B6769"/>
    <w:rsid w:val="002B682C"/>
    <w:rsid w:val="002B6C68"/>
    <w:rsid w:val="002B6CA3"/>
    <w:rsid w:val="002B6CDB"/>
    <w:rsid w:val="002B6EB4"/>
    <w:rsid w:val="002B6F19"/>
    <w:rsid w:val="002B6F36"/>
    <w:rsid w:val="002B71E6"/>
    <w:rsid w:val="002B7261"/>
    <w:rsid w:val="002B7617"/>
    <w:rsid w:val="002B771C"/>
    <w:rsid w:val="002B7753"/>
    <w:rsid w:val="002B784A"/>
    <w:rsid w:val="002B7913"/>
    <w:rsid w:val="002B79D0"/>
    <w:rsid w:val="002B79E1"/>
    <w:rsid w:val="002B79F7"/>
    <w:rsid w:val="002B7A1B"/>
    <w:rsid w:val="002B7A65"/>
    <w:rsid w:val="002B7A6A"/>
    <w:rsid w:val="002B7AA7"/>
    <w:rsid w:val="002B7ACC"/>
    <w:rsid w:val="002B7B37"/>
    <w:rsid w:val="002B7BAA"/>
    <w:rsid w:val="002B7EB3"/>
    <w:rsid w:val="002B7EFF"/>
    <w:rsid w:val="002C0206"/>
    <w:rsid w:val="002C065D"/>
    <w:rsid w:val="002C098E"/>
    <w:rsid w:val="002C0A48"/>
    <w:rsid w:val="002C0E47"/>
    <w:rsid w:val="002C0EAD"/>
    <w:rsid w:val="002C1097"/>
    <w:rsid w:val="002C11F2"/>
    <w:rsid w:val="002C1354"/>
    <w:rsid w:val="002C13BA"/>
    <w:rsid w:val="002C153F"/>
    <w:rsid w:val="002C17B8"/>
    <w:rsid w:val="002C19CF"/>
    <w:rsid w:val="002C1A26"/>
    <w:rsid w:val="002C1C76"/>
    <w:rsid w:val="002C1E70"/>
    <w:rsid w:val="002C1E83"/>
    <w:rsid w:val="002C1EBF"/>
    <w:rsid w:val="002C1F2F"/>
    <w:rsid w:val="002C1FC3"/>
    <w:rsid w:val="002C23D4"/>
    <w:rsid w:val="002C25BB"/>
    <w:rsid w:val="002C2616"/>
    <w:rsid w:val="002C27A1"/>
    <w:rsid w:val="002C2A06"/>
    <w:rsid w:val="002C2A58"/>
    <w:rsid w:val="002C2B27"/>
    <w:rsid w:val="002C2B35"/>
    <w:rsid w:val="002C2E24"/>
    <w:rsid w:val="002C2E60"/>
    <w:rsid w:val="002C2E82"/>
    <w:rsid w:val="002C2F9F"/>
    <w:rsid w:val="002C307A"/>
    <w:rsid w:val="002C3414"/>
    <w:rsid w:val="002C3506"/>
    <w:rsid w:val="002C3526"/>
    <w:rsid w:val="002C3681"/>
    <w:rsid w:val="002C36BA"/>
    <w:rsid w:val="002C3748"/>
    <w:rsid w:val="002C3824"/>
    <w:rsid w:val="002C38F7"/>
    <w:rsid w:val="002C3931"/>
    <w:rsid w:val="002C3955"/>
    <w:rsid w:val="002C3BA7"/>
    <w:rsid w:val="002C3D3B"/>
    <w:rsid w:val="002C3EBA"/>
    <w:rsid w:val="002C4184"/>
    <w:rsid w:val="002C42DD"/>
    <w:rsid w:val="002C447D"/>
    <w:rsid w:val="002C44D0"/>
    <w:rsid w:val="002C47E5"/>
    <w:rsid w:val="002C4869"/>
    <w:rsid w:val="002C4A7D"/>
    <w:rsid w:val="002C4B3E"/>
    <w:rsid w:val="002C4DA6"/>
    <w:rsid w:val="002C53C7"/>
    <w:rsid w:val="002C5468"/>
    <w:rsid w:val="002C5675"/>
    <w:rsid w:val="002C5702"/>
    <w:rsid w:val="002C59BB"/>
    <w:rsid w:val="002C5A8C"/>
    <w:rsid w:val="002C5BE8"/>
    <w:rsid w:val="002C5C05"/>
    <w:rsid w:val="002C5CC1"/>
    <w:rsid w:val="002C5CFB"/>
    <w:rsid w:val="002C5F65"/>
    <w:rsid w:val="002C6058"/>
    <w:rsid w:val="002C6086"/>
    <w:rsid w:val="002C628F"/>
    <w:rsid w:val="002C63A9"/>
    <w:rsid w:val="002C6476"/>
    <w:rsid w:val="002C649F"/>
    <w:rsid w:val="002C6559"/>
    <w:rsid w:val="002C6708"/>
    <w:rsid w:val="002C6A1A"/>
    <w:rsid w:val="002C6A31"/>
    <w:rsid w:val="002C6AFA"/>
    <w:rsid w:val="002C6C4C"/>
    <w:rsid w:val="002C6D47"/>
    <w:rsid w:val="002C6FFC"/>
    <w:rsid w:val="002C706A"/>
    <w:rsid w:val="002C717B"/>
    <w:rsid w:val="002C72B2"/>
    <w:rsid w:val="002C72CD"/>
    <w:rsid w:val="002C7558"/>
    <w:rsid w:val="002C75EB"/>
    <w:rsid w:val="002C778F"/>
    <w:rsid w:val="002C77BE"/>
    <w:rsid w:val="002C7A41"/>
    <w:rsid w:val="002C7DA4"/>
    <w:rsid w:val="002C7E31"/>
    <w:rsid w:val="002C7F8A"/>
    <w:rsid w:val="002C7FA6"/>
    <w:rsid w:val="002C7FC6"/>
    <w:rsid w:val="002D0185"/>
    <w:rsid w:val="002D036D"/>
    <w:rsid w:val="002D03B0"/>
    <w:rsid w:val="002D0543"/>
    <w:rsid w:val="002D054D"/>
    <w:rsid w:val="002D0683"/>
    <w:rsid w:val="002D07FE"/>
    <w:rsid w:val="002D088A"/>
    <w:rsid w:val="002D095F"/>
    <w:rsid w:val="002D09F0"/>
    <w:rsid w:val="002D0B37"/>
    <w:rsid w:val="002D0C03"/>
    <w:rsid w:val="002D0CF5"/>
    <w:rsid w:val="002D0D7C"/>
    <w:rsid w:val="002D0F9A"/>
    <w:rsid w:val="002D117A"/>
    <w:rsid w:val="002D15B1"/>
    <w:rsid w:val="002D17C9"/>
    <w:rsid w:val="002D1935"/>
    <w:rsid w:val="002D1B62"/>
    <w:rsid w:val="002D1BA8"/>
    <w:rsid w:val="002D1CCF"/>
    <w:rsid w:val="002D1D2B"/>
    <w:rsid w:val="002D1D6C"/>
    <w:rsid w:val="002D1F70"/>
    <w:rsid w:val="002D1FC5"/>
    <w:rsid w:val="002D1FF9"/>
    <w:rsid w:val="002D20C1"/>
    <w:rsid w:val="002D210C"/>
    <w:rsid w:val="002D2180"/>
    <w:rsid w:val="002D21D1"/>
    <w:rsid w:val="002D234B"/>
    <w:rsid w:val="002D251B"/>
    <w:rsid w:val="002D2684"/>
    <w:rsid w:val="002D2753"/>
    <w:rsid w:val="002D2757"/>
    <w:rsid w:val="002D2B69"/>
    <w:rsid w:val="002D2CDA"/>
    <w:rsid w:val="002D2D53"/>
    <w:rsid w:val="002D2EE7"/>
    <w:rsid w:val="002D2F3C"/>
    <w:rsid w:val="002D30EC"/>
    <w:rsid w:val="002D328A"/>
    <w:rsid w:val="002D338F"/>
    <w:rsid w:val="002D3773"/>
    <w:rsid w:val="002D3860"/>
    <w:rsid w:val="002D3A85"/>
    <w:rsid w:val="002D3AFD"/>
    <w:rsid w:val="002D3C67"/>
    <w:rsid w:val="002D3FD8"/>
    <w:rsid w:val="002D41C9"/>
    <w:rsid w:val="002D42FB"/>
    <w:rsid w:val="002D4428"/>
    <w:rsid w:val="002D458D"/>
    <w:rsid w:val="002D463B"/>
    <w:rsid w:val="002D4A53"/>
    <w:rsid w:val="002D4C6C"/>
    <w:rsid w:val="002D4CF9"/>
    <w:rsid w:val="002D4DD7"/>
    <w:rsid w:val="002D4FBE"/>
    <w:rsid w:val="002D5160"/>
    <w:rsid w:val="002D53DA"/>
    <w:rsid w:val="002D53E3"/>
    <w:rsid w:val="002D551D"/>
    <w:rsid w:val="002D5751"/>
    <w:rsid w:val="002D5B9A"/>
    <w:rsid w:val="002D5EAC"/>
    <w:rsid w:val="002D6147"/>
    <w:rsid w:val="002D624C"/>
    <w:rsid w:val="002D62E0"/>
    <w:rsid w:val="002D6672"/>
    <w:rsid w:val="002D6736"/>
    <w:rsid w:val="002D6950"/>
    <w:rsid w:val="002D695A"/>
    <w:rsid w:val="002D6B54"/>
    <w:rsid w:val="002D6E20"/>
    <w:rsid w:val="002D6E4C"/>
    <w:rsid w:val="002D6F15"/>
    <w:rsid w:val="002D6F42"/>
    <w:rsid w:val="002D70AB"/>
    <w:rsid w:val="002D71DC"/>
    <w:rsid w:val="002D7738"/>
    <w:rsid w:val="002D7864"/>
    <w:rsid w:val="002D78B1"/>
    <w:rsid w:val="002D78FA"/>
    <w:rsid w:val="002D7980"/>
    <w:rsid w:val="002D79EC"/>
    <w:rsid w:val="002D7ABE"/>
    <w:rsid w:val="002D7C28"/>
    <w:rsid w:val="002D7C62"/>
    <w:rsid w:val="002E0075"/>
    <w:rsid w:val="002E032C"/>
    <w:rsid w:val="002E03D6"/>
    <w:rsid w:val="002E084A"/>
    <w:rsid w:val="002E0A20"/>
    <w:rsid w:val="002E0A52"/>
    <w:rsid w:val="002E0AC5"/>
    <w:rsid w:val="002E0ACA"/>
    <w:rsid w:val="002E0B05"/>
    <w:rsid w:val="002E0BA5"/>
    <w:rsid w:val="002E14C1"/>
    <w:rsid w:val="002E1556"/>
    <w:rsid w:val="002E1744"/>
    <w:rsid w:val="002E18AE"/>
    <w:rsid w:val="002E1CF8"/>
    <w:rsid w:val="002E1FF7"/>
    <w:rsid w:val="002E2124"/>
    <w:rsid w:val="002E2485"/>
    <w:rsid w:val="002E2835"/>
    <w:rsid w:val="002E28B7"/>
    <w:rsid w:val="002E2932"/>
    <w:rsid w:val="002E297F"/>
    <w:rsid w:val="002E29E2"/>
    <w:rsid w:val="002E2AD4"/>
    <w:rsid w:val="002E2BB3"/>
    <w:rsid w:val="002E2BB5"/>
    <w:rsid w:val="002E2D67"/>
    <w:rsid w:val="002E2D7C"/>
    <w:rsid w:val="002E2ED4"/>
    <w:rsid w:val="002E3037"/>
    <w:rsid w:val="002E39FF"/>
    <w:rsid w:val="002E3AB5"/>
    <w:rsid w:val="002E3AD9"/>
    <w:rsid w:val="002E3CE0"/>
    <w:rsid w:val="002E3D7A"/>
    <w:rsid w:val="002E44E4"/>
    <w:rsid w:val="002E451A"/>
    <w:rsid w:val="002E4533"/>
    <w:rsid w:val="002E4823"/>
    <w:rsid w:val="002E4B6C"/>
    <w:rsid w:val="002E4EED"/>
    <w:rsid w:val="002E4EF5"/>
    <w:rsid w:val="002E5180"/>
    <w:rsid w:val="002E547B"/>
    <w:rsid w:val="002E5581"/>
    <w:rsid w:val="002E5780"/>
    <w:rsid w:val="002E5813"/>
    <w:rsid w:val="002E5944"/>
    <w:rsid w:val="002E594E"/>
    <w:rsid w:val="002E5973"/>
    <w:rsid w:val="002E597A"/>
    <w:rsid w:val="002E5A18"/>
    <w:rsid w:val="002E5B7A"/>
    <w:rsid w:val="002E5BC2"/>
    <w:rsid w:val="002E5D78"/>
    <w:rsid w:val="002E5E35"/>
    <w:rsid w:val="002E5E62"/>
    <w:rsid w:val="002E5E93"/>
    <w:rsid w:val="002E6012"/>
    <w:rsid w:val="002E612E"/>
    <w:rsid w:val="002E622A"/>
    <w:rsid w:val="002E6356"/>
    <w:rsid w:val="002E6437"/>
    <w:rsid w:val="002E658A"/>
    <w:rsid w:val="002E65FE"/>
    <w:rsid w:val="002E66C1"/>
    <w:rsid w:val="002E686B"/>
    <w:rsid w:val="002E6957"/>
    <w:rsid w:val="002E6A8C"/>
    <w:rsid w:val="002E6DE3"/>
    <w:rsid w:val="002E6E8D"/>
    <w:rsid w:val="002E6EC2"/>
    <w:rsid w:val="002E6F74"/>
    <w:rsid w:val="002E719A"/>
    <w:rsid w:val="002E71AB"/>
    <w:rsid w:val="002E7435"/>
    <w:rsid w:val="002E75AF"/>
    <w:rsid w:val="002E7740"/>
    <w:rsid w:val="002E7866"/>
    <w:rsid w:val="002E78A2"/>
    <w:rsid w:val="002E7995"/>
    <w:rsid w:val="002E7A0A"/>
    <w:rsid w:val="002E7B14"/>
    <w:rsid w:val="002E7CAA"/>
    <w:rsid w:val="002E7CE6"/>
    <w:rsid w:val="002E7E43"/>
    <w:rsid w:val="002E7F5F"/>
    <w:rsid w:val="002F00D4"/>
    <w:rsid w:val="002F016E"/>
    <w:rsid w:val="002F0428"/>
    <w:rsid w:val="002F0460"/>
    <w:rsid w:val="002F04D1"/>
    <w:rsid w:val="002F0501"/>
    <w:rsid w:val="002F0597"/>
    <w:rsid w:val="002F0598"/>
    <w:rsid w:val="002F088D"/>
    <w:rsid w:val="002F08F2"/>
    <w:rsid w:val="002F0957"/>
    <w:rsid w:val="002F09A0"/>
    <w:rsid w:val="002F0D68"/>
    <w:rsid w:val="002F0E93"/>
    <w:rsid w:val="002F164C"/>
    <w:rsid w:val="002F1768"/>
    <w:rsid w:val="002F192F"/>
    <w:rsid w:val="002F1BE7"/>
    <w:rsid w:val="002F1CA8"/>
    <w:rsid w:val="002F1D97"/>
    <w:rsid w:val="002F1DA0"/>
    <w:rsid w:val="002F203B"/>
    <w:rsid w:val="002F20E1"/>
    <w:rsid w:val="002F212C"/>
    <w:rsid w:val="002F2209"/>
    <w:rsid w:val="002F24CE"/>
    <w:rsid w:val="002F2608"/>
    <w:rsid w:val="002F2788"/>
    <w:rsid w:val="002F2795"/>
    <w:rsid w:val="002F2BFD"/>
    <w:rsid w:val="002F2C10"/>
    <w:rsid w:val="002F2CC9"/>
    <w:rsid w:val="002F2CDF"/>
    <w:rsid w:val="002F2DC4"/>
    <w:rsid w:val="002F2DDD"/>
    <w:rsid w:val="002F301A"/>
    <w:rsid w:val="002F304A"/>
    <w:rsid w:val="002F3083"/>
    <w:rsid w:val="002F3084"/>
    <w:rsid w:val="002F315A"/>
    <w:rsid w:val="002F3188"/>
    <w:rsid w:val="002F33BC"/>
    <w:rsid w:val="002F371D"/>
    <w:rsid w:val="002F377B"/>
    <w:rsid w:val="002F3B05"/>
    <w:rsid w:val="002F3B10"/>
    <w:rsid w:val="002F3B76"/>
    <w:rsid w:val="002F3BF6"/>
    <w:rsid w:val="002F3E1F"/>
    <w:rsid w:val="002F449F"/>
    <w:rsid w:val="002F44C3"/>
    <w:rsid w:val="002F4978"/>
    <w:rsid w:val="002F4C56"/>
    <w:rsid w:val="002F4D90"/>
    <w:rsid w:val="002F4E71"/>
    <w:rsid w:val="002F4E9F"/>
    <w:rsid w:val="002F506D"/>
    <w:rsid w:val="002F509F"/>
    <w:rsid w:val="002F52F5"/>
    <w:rsid w:val="002F534C"/>
    <w:rsid w:val="002F5384"/>
    <w:rsid w:val="002F588C"/>
    <w:rsid w:val="002F598E"/>
    <w:rsid w:val="002F59E1"/>
    <w:rsid w:val="002F5B37"/>
    <w:rsid w:val="002F5BB5"/>
    <w:rsid w:val="002F5E37"/>
    <w:rsid w:val="002F6047"/>
    <w:rsid w:val="002F60BF"/>
    <w:rsid w:val="002F61F4"/>
    <w:rsid w:val="002F634B"/>
    <w:rsid w:val="002F63B5"/>
    <w:rsid w:val="002F63FC"/>
    <w:rsid w:val="002F6476"/>
    <w:rsid w:val="002F6581"/>
    <w:rsid w:val="002F658B"/>
    <w:rsid w:val="002F658D"/>
    <w:rsid w:val="002F679E"/>
    <w:rsid w:val="002F6834"/>
    <w:rsid w:val="002F685D"/>
    <w:rsid w:val="002F69E3"/>
    <w:rsid w:val="002F6A60"/>
    <w:rsid w:val="002F6C07"/>
    <w:rsid w:val="002F6E90"/>
    <w:rsid w:val="002F72F2"/>
    <w:rsid w:val="002F7613"/>
    <w:rsid w:val="002F76B4"/>
    <w:rsid w:val="002F7B4F"/>
    <w:rsid w:val="002F7BF3"/>
    <w:rsid w:val="002F7CB7"/>
    <w:rsid w:val="002F7EF8"/>
    <w:rsid w:val="002F7FDA"/>
    <w:rsid w:val="0030015C"/>
    <w:rsid w:val="003001FA"/>
    <w:rsid w:val="00300423"/>
    <w:rsid w:val="0030043C"/>
    <w:rsid w:val="0030049F"/>
    <w:rsid w:val="00300657"/>
    <w:rsid w:val="003007E2"/>
    <w:rsid w:val="00300A3C"/>
    <w:rsid w:val="00300BC7"/>
    <w:rsid w:val="00300C34"/>
    <w:rsid w:val="00300E1F"/>
    <w:rsid w:val="0030127F"/>
    <w:rsid w:val="003012C7"/>
    <w:rsid w:val="00301576"/>
    <w:rsid w:val="0030189F"/>
    <w:rsid w:val="00301926"/>
    <w:rsid w:val="00301B2A"/>
    <w:rsid w:val="00301BB2"/>
    <w:rsid w:val="00301C2C"/>
    <w:rsid w:val="00301C51"/>
    <w:rsid w:val="00301C7C"/>
    <w:rsid w:val="00301C8C"/>
    <w:rsid w:val="00301D17"/>
    <w:rsid w:val="00301D5E"/>
    <w:rsid w:val="00301D7C"/>
    <w:rsid w:val="00302055"/>
    <w:rsid w:val="0030232F"/>
    <w:rsid w:val="00302445"/>
    <w:rsid w:val="00302479"/>
    <w:rsid w:val="0030272E"/>
    <w:rsid w:val="003029BB"/>
    <w:rsid w:val="00302AAE"/>
    <w:rsid w:val="00302B3C"/>
    <w:rsid w:val="00302B4E"/>
    <w:rsid w:val="00302B55"/>
    <w:rsid w:val="00302C9C"/>
    <w:rsid w:val="00302CC8"/>
    <w:rsid w:val="00302CF4"/>
    <w:rsid w:val="00302E9E"/>
    <w:rsid w:val="00302FA6"/>
    <w:rsid w:val="003032C2"/>
    <w:rsid w:val="00303662"/>
    <w:rsid w:val="003038CE"/>
    <w:rsid w:val="003039C9"/>
    <w:rsid w:val="00303A3C"/>
    <w:rsid w:val="00303A4F"/>
    <w:rsid w:val="00303D9D"/>
    <w:rsid w:val="00303FB5"/>
    <w:rsid w:val="0030414E"/>
    <w:rsid w:val="0030416D"/>
    <w:rsid w:val="0030434A"/>
    <w:rsid w:val="0030448B"/>
    <w:rsid w:val="003046FA"/>
    <w:rsid w:val="003048EB"/>
    <w:rsid w:val="00304D0F"/>
    <w:rsid w:val="0030539F"/>
    <w:rsid w:val="00305434"/>
    <w:rsid w:val="00305732"/>
    <w:rsid w:val="0030574B"/>
    <w:rsid w:val="00305775"/>
    <w:rsid w:val="00305833"/>
    <w:rsid w:val="003058B2"/>
    <w:rsid w:val="00305934"/>
    <w:rsid w:val="00305AC2"/>
    <w:rsid w:val="00305DAD"/>
    <w:rsid w:val="00305DCD"/>
    <w:rsid w:val="00305F6D"/>
    <w:rsid w:val="003060F2"/>
    <w:rsid w:val="0030649D"/>
    <w:rsid w:val="00306779"/>
    <w:rsid w:val="003068D8"/>
    <w:rsid w:val="00306937"/>
    <w:rsid w:val="00306D53"/>
    <w:rsid w:val="00306DC4"/>
    <w:rsid w:val="00306E80"/>
    <w:rsid w:val="00306ECF"/>
    <w:rsid w:val="00306FA8"/>
    <w:rsid w:val="0030711B"/>
    <w:rsid w:val="0030757B"/>
    <w:rsid w:val="003077A5"/>
    <w:rsid w:val="0030789C"/>
    <w:rsid w:val="00307954"/>
    <w:rsid w:val="00307BA9"/>
    <w:rsid w:val="00307D62"/>
    <w:rsid w:val="00307E61"/>
    <w:rsid w:val="00307FBF"/>
    <w:rsid w:val="003103EE"/>
    <w:rsid w:val="0031056C"/>
    <w:rsid w:val="003106F0"/>
    <w:rsid w:val="003106F1"/>
    <w:rsid w:val="003108E7"/>
    <w:rsid w:val="00310E23"/>
    <w:rsid w:val="00310F5D"/>
    <w:rsid w:val="00310F93"/>
    <w:rsid w:val="00311069"/>
    <w:rsid w:val="0031106B"/>
    <w:rsid w:val="00311224"/>
    <w:rsid w:val="0031139A"/>
    <w:rsid w:val="0031144D"/>
    <w:rsid w:val="003114BF"/>
    <w:rsid w:val="003114C0"/>
    <w:rsid w:val="003114F9"/>
    <w:rsid w:val="00311510"/>
    <w:rsid w:val="0031151A"/>
    <w:rsid w:val="00311534"/>
    <w:rsid w:val="003117C3"/>
    <w:rsid w:val="003119B8"/>
    <w:rsid w:val="003119CF"/>
    <w:rsid w:val="00311CA6"/>
    <w:rsid w:val="00311DC2"/>
    <w:rsid w:val="00311F1E"/>
    <w:rsid w:val="00311F65"/>
    <w:rsid w:val="00311FAF"/>
    <w:rsid w:val="003120C4"/>
    <w:rsid w:val="00312209"/>
    <w:rsid w:val="00312372"/>
    <w:rsid w:val="003123B5"/>
    <w:rsid w:val="00312E92"/>
    <w:rsid w:val="00313370"/>
    <w:rsid w:val="003133B4"/>
    <w:rsid w:val="0031376A"/>
    <w:rsid w:val="00313975"/>
    <w:rsid w:val="0031398C"/>
    <w:rsid w:val="003139A4"/>
    <w:rsid w:val="00313B32"/>
    <w:rsid w:val="00313C33"/>
    <w:rsid w:val="00313D02"/>
    <w:rsid w:val="00313D7C"/>
    <w:rsid w:val="0031406B"/>
    <w:rsid w:val="00314284"/>
    <w:rsid w:val="00314295"/>
    <w:rsid w:val="003147E5"/>
    <w:rsid w:val="0031492E"/>
    <w:rsid w:val="003149FF"/>
    <w:rsid w:val="00314A32"/>
    <w:rsid w:val="00314A4B"/>
    <w:rsid w:val="00314C35"/>
    <w:rsid w:val="00314D4E"/>
    <w:rsid w:val="00315085"/>
    <w:rsid w:val="0031509C"/>
    <w:rsid w:val="00315316"/>
    <w:rsid w:val="00315318"/>
    <w:rsid w:val="00315380"/>
    <w:rsid w:val="003155E5"/>
    <w:rsid w:val="0031568D"/>
    <w:rsid w:val="0031570E"/>
    <w:rsid w:val="0031571F"/>
    <w:rsid w:val="00315C5E"/>
    <w:rsid w:val="00315D0E"/>
    <w:rsid w:val="00315D26"/>
    <w:rsid w:val="00315E2F"/>
    <w:rsid w:val="00315F8C"/>
    <w:rsid w:val="00316036"/>
    <w:rsid w:val="003162D8"/>
    <w:rsid w:val="003165DE"/>
    <w:rsid w:val="0031668D"/>
    <w:rsid w:val="003166C6"/>
    <w:rsid w:val="003167DA"/>
    <w:rsid w:val="003167DD"/>
    <w:rsid w:val="003167E6"/>
    <w:rsid w:val="003168BD"/>
    <w:rsid w:val="003169AB"/>
    <w:rsid w:val="003169D1"/>
    <w:rsid w:val="00316A8A"/>
    <w:rsid w:val="00316C6B"/>
    <w:rsid w:val="00316CCA"/>
    <w:rsid w:val="00317016"/>
    <w:rsid w:val="00317132"/>
    <w:rsid w:val="003173E6"/>
    <w:rsid w:val="00317491"/>
    <w:rsid w:val="003174F9"/>
    <w:rsid w:val="00317573"/>
    <w:rsid w:val="0031774E"/>
    <w:rsid w:val="00317799"/>
    <w:rsid w:val="0031785A"/>
    <w:rsid w:val="00317966"/>
    <w:rsid w:val="0031797F"/>
    <w:rsid w:val="003179B4"/>
    <w:rsid w:val="003179BD"/>
    <w:rsid w:val="003179D2"/>
    <w:rsid w:val="00317A2A"/>
    <w:rsid w:val="00317DCD"/>
    <w:rsid w:val="00317F36"/>
    <w:rsid w:val="00320116"/>
    <w:rsid w:val="003201C8"/>
    <w:rsid w:val="003203A6"/>
    <w:rsid w:val="003203F6"/>
    <w:rsid w:val="00320556"/>
    <w:rsid w:val="0032073A"/>
    <w:rsid w:val="00320817"/>
    <w:rsid w:val="00320843"/>
    <w:rsid w:val="00320A0A"/>
    <w:rsid w:val="00320A18"/>
    <w:rsid w:val="00320B45"/>
    <w:rsid w:val="00320B8B"/>
    <w:rsid w:val="00320CD1"/>
    <w:rsid w:val="00320F30"/>
    <w:rsid w:val="00320F54"/>
    <w:rsid w:val="00320F80"/>
    <w:rsid w:val="00321021"/>
    <w:rsid w:val="00321112"/>
    <w:rsid w:val="003211A8"/>
    <w:rsid w:val="00321222"/>
    <w:rsid w:val="00321319"/>
    <w:rsid w:val="0032136C"/>
    <w:rsid w:val="00321381"/>
    <w:rsid w:val="00321736"/>
    <w:rsid w:val="00321B61"/>
    <w:rsid w:val="00321D5C"/>
    <w:rsid w:val="00321ED8"/>
    <w:rsid w:val="00321F92"/>
    <w:rsid w:val="00321FB1"/>
    <w:rsid w:val="00321FF6"/>
    <w:rsid w:val="003220CE"/>
    <w:rsid w:val="003220F8"/>
    <w:rsid w:val="003221E1"/>
    <w:rsid w:val="00322201"/>
    <w:rsid w:val="00322396"/>
    <w:rsid w:val="003223A5"/>
    <w:rsid w:val="003223EE"/>
    <w:rsid w:val="00322659"/>
    <w:rsid w:val="0032276A"/>
    <w:rsid w:val="003228A4"/>
    <w:rsid w:val="00322943"/>
    <w:rsid w:val="00322977"/>
    <w:rsid w:val="00322CEC"/>
    <w:rsid w:val="00322D45"/>
    <w:rsid w:val="00322D54"/>
    <w:rsid w:val="00322D7C"/>
    <w:rsid w:val="00322F40"/>
    <w:rsid w:val="00322F98"/>
    <w:rsid w:val="00322FD3"/>
    <w:rsid w:val="0032324D"/>
    <w:rsid w:val="003232A6"/>
    <w:rsid w:val="003232AC"/>
    <w:rsid w:val="003232B9"/>
    <w:rsid w:val="00323571"/>
    <w:rsid w:val="00323A6A"/>
    <w:rsid w:val="00323C02"/>
    <w:rsid w:val="00323E4C"/>
    <w:rsid w:val="00323E55"/>
    <w:rsid w:val="00323E92"/>
    <w:rsid w:val="003240CE"/>
    <w:rsid w:val="00324299"/>
    <w:rsid w:val="00324431"/>
    <w:rsid w:val="00324479"/>
    <w:rsid w:val="003244E9"/>
    <w:rsid w:val="003246B7"/>
    <w:rsid w:val="0032474F"/>
    <w:rsid w:val="00324786"/>
    <w:rsid w:val="00324859"/>
    <w:rsid w:val="00324903"/>
    <w:rsid w:val="003249E8"/>
    <w:rsid w:val="00324C04"/>
    <w:rsid w:val="00324D76"/>
    <w:rsid w:val="00324E00"/>
    <w:rsid w:val="00324F1C"/>
    <w:rsid w:val="00325193"/>
    <w:rsid w:val="003251EA"/>
    <w:rsid w:val="00325202"/>
    <w:rsid w:val="0032525A"/>
    <w:rsid w:val="003252D2"/>
    <w:rsid w:val="00325419"/>
    <w:rsid w:val="0032553B"/>
    <w:rsid w:val="003256E0"/>
    <w:rsid w:val="00325805"/>
    <w:rsid w:val="0032595B"/>
    <w:rsid w:val="00325B7D"/>
    <w:rsid w:val="00325B90"/>
    <w:rsid w:val="00325C67"/>
    <w:rsid w:val="00325DEB"/>
    <w:rsid w:val="00325E34"/>
    <w:rsid w:val="00325F33"/>
    <w:rsid w:val="00325FB5"/>
    <w:rsid w:val="0032620F"/>
    <w:rsid w:val="00326229"/>
    <w:rsid w:val="00326452"/>
    <w:rsid w:val="0032666B"/>
    <w:rsid w:val="0032666D"/>
    <w:rsid w:val="00326907"/>
    <w:rsid w:val="003269E7"/>
    <w:rsid w:val="00326B68"/>
    <w:rsid w:val="00326B84"/>
    <w:rsid w:val="00326BCE"/>
    <w:rsid w:val="003270F3"/>
    <w:rsid w:val="0032735B"/>
    <w:rsid w:val="003276A9"/>
    <w:rsid w:val="00327736"/>
    <w:rsid w:val="0032795B"/>
    <w:rsid w:val="00327980"/>
    <w:rsid w:val="00327A5A"/>
    <w:rsid w:val="00327BBC"/>
    <w:rsid w:val="00327C07"/>
    <w:rsid w:val="00327E65"/>
    <w:rsid w:val="00330005"/>
    <w:rsid w:val="00330087"/>
    <w:rsid w:val="003302B1"/>
    <w:rsid w:val="00330351"/>
    <w:rsid w:val="00330682"/>
    <w:rsid w:val="00330805"/>
    <w:rsid w:val="0033087D"/>
    <w:rsid w:val="00330965"/>
    <w:rsid w:val="00330A30"/>
    <w:rsid w:val="00330AFD"/>
    <w:rsid w:val="00330B06"/>
    <w:rsid w:val="00330B1B"/>
    <w:rsid w:val="00330B7D"/>
    <w:rsid w:val="00330B8D"/>
    <w:rsid w:val="00330CFF"/>
    <w:rsid w:val="00330DEF"/>
    <w:rsid w:val="00330E20"/>
    <w:rsid w:val="00331049"/>
    <w:rsid w:val="0033127E"/>
    <w:rsid w:val="003312B2"/>
    <w:rsid w:val="00331344"/>
    <w:rsid w:val="00331378"/>
    <w:rsid w:val="00331398"/>
    <w:rsid w:val="00331402"/>
    <w:rsid w:val="00331813"/>
    <w:rsid w:val="00331835"/>
    <w:rsid w:val="00331B9F"/>
    <w:rsid w:val="00331C03"/>
    <w:rsid w:val="00331C69"/>
    <w:rsid w:val="00331EEC"/>
    <w:rsid w:val="00332364"/>
    <w:rsid w:val="00332DA9"/>
    <w:rsid w:val="00332E77"/>
    <w:rsid w:val="00333193"/>
    <w:rsid w:val="003331A3"/>
    <w:rsid w:val="00333294"/>
    <w:rsid w:val="003332CC"/>
    <w:rsid w:val="0033352A"/>
    <w:rsid w:val="0033354D"/>
    <w:rsid w:val="003335F0"/>
    <w:rsid w:val="00333A22"/>
    <w:rsid w:val="00333D12"/>
    <w:rsid w:val="00333DA7"/>
    <w:rsid w:val="00333E97"/>
    <w:rsid w:val="00334140"/>
    <w:rsid w:val="00334181"/>
    <w:rsid w:val="003343D5"/>
    <w:rsid w:val="003344AC"/>
    <w:rsid w:val="00334500"/>
    <w:rsid w:val="003345DD"/>
    <w:rsid w:val="00334A01"/>
    <w:rsid w:val="00334A1C"/>
    <w:rsid w:val="00334F95"/>
    <w:rsid w:val="00335385"/>
    <w:rsid w:val="0033538B"/>
    <w:rsid w:val="00335400"/>
    <w:rsid w:val="00335780"/>
    <w:rsid w:val="00335807"/>
    <w:rsid w:val="00335A7E"/>
    <w:rsid w:val="00335B07"/>
    <w:rsid w:val="00335BED"/>
    <w:rsid w:val="00335D79"/>
    <w:rsid w:val="0033628F"/>
    <w:rsid w:val="0033658D"/>
    <w:rsid w:val="00336736"/>
    <w:rsid w:val="00336B19"/>
    <w:rsid w:val="00336B2E"/>
    <w:rsid w:val="00336F56"/>
    <w:rsid w:val="00336FD1"/>
    <w:rsid w:val="0033709E"/>
    <w:rsid w:val="003376D5"/>
    <w:rsid w:val="00337817"/>
    <w:rsid w:val="00337958"/>
    <w:rsid w:val="00337960"/>
    <w:rsid w:val="00337979"/>
    <w:rsid w:val="00337BD9"/>
    <w:rsid w:val="00337EF0"/>
    <w:rsid w:val="00340192"/>
    <w:rsid w:val="0034026F"/>
    <w:rsid w:val="00340394"/>
    <w:rsid w:val="00340610"/>
    <w:rsid w:val="00340656"/>
    <w:rsid w:val="00340818"/>
    <w:rsid w:val="0034097F"/>
    <w:rsid w:val="003409BE"/>
    <w:rsid w:val="00340DAD"/>
    <w:rsid w:val="00340E6F"/>
    <w:rsid w:val="00340EAC"/>
    <w:rsid w:val="00341298"/>
    <w:rsid w:val="00341340"/>
    <w:rsid w:val="0034186D"/>
    <w:rsid w:val="003418CE"/>
    <w:rsid w:val="003420FB"/>
    <w:rsid w:val="00342176"/>
    <w:rsid w:val="003421DC"/>
    <w:rsid w:val="00342203"/>
    <w:rsid w:val="00342388"/>
    <w:rsid w:val="003423F9"/>
    <w:rsid w:val="0034252E"/>
    <w:rsid w:val="0034254B"/>
    <w:rsid w:val="003426AF"/>
    <w:rsid w:val="00342921"/>
    <w:rsid w:val="003429A0"/>
    <w:rsid w:val="00342B82"/>
    <w:rsid w:val="00342EA2"/>
    <w:rsid w:val="00342ED3"/>
    <w:rsid w:val="0034306A"/>
    <w:rsid w:val="00343071"/>
    <w:rsid w:val="00343102"/>
    <w:rsid w:val="003436E4"/>
    <w:rsid w:val="00343705"/>
    <w:rsid w:val="00343707"/>
    <w:rsid w:val="00343753"/>
    <w:rsid w:val="003437AC"/>
    <w:rsid w:val="003437D7"/>
    <w:rsid w:val="00343864"/>
    <w:rsid w:val="00343AB9"/>
    <w:rsid w:val="00343CBB"/>
    <w:rsid w:val="00343E60"/>
    <w:rsid w:val="00343EBE"/>
    <w:rsid w:val="00344018"/>
    <w:rsid w:val="003441F6"/>
    <w:rsid w:val="0034434A"/>
    <w:rsid w:val="0034448E"/>
    <w:rsid w:val="003445CC"/>
    <w:rsid w:val="003447A9"/>
    <w:rsid w:val="00344877"/>
    <w:rsid w:val="00344B83"/>
    <w:rsid w:val="00344BA8"/>
    <w:rsid w:val="00344CBB"/>
    <w:rsid w:val="00344CF1"/>
    <w:rsid w:val="00344D46"/>
    <w:rsid w:val="00344D85"/>
    <w:rsid w:val="00344DD4"/>
    <w:rsid w:val="00344DEB"/>
    <w:rsid w:val="0034510C"/>
    <w:rsid w:val="00345302"/>
    <w:rsid w:val="00345537"/>
    <w:rsid w:val="00345592"/>
    <w:rsid w:val="00345823"/>
    <w:rsid w:val="00345978"/>
    <w:rsid w:val="0034597D"/>
    <w:rsid w:val="00345BC1"/>
    <w:rsid w:val="00345FDB"/>
    <w:rsid w:val="00346254"/>
    <w:rsid w:val="00346393"/>
    <w:rsid w:val="003464D1"/>
    <w:rsid w:val="0034658A"/>
    <w:rsid w:val="003466C9"/>
    <w:rsid w:val="00346A0B"/>
    <w:rsid w:val="00346B1B"/>
    <w:rsid w:val="00346CA8"/>
    <w:rsid w:val="00346F1A"/>
    <w:rsid w:val="00346F97"/>
    <w:rsid w:val="003470F6"/>
    <w:rsid w:val="0034712B"/>
    <w:rsid w:val="0034754B"/>
    <w:rsid w:val="00347675"/>
    <w:rsid w:val="00347909"/>
    <w:rsid w:val="00347A58"/>
    <w:rsid w:val="00347DD8"/>
    <w:rsid w:val="00350134"/>
    <w:rsid w:val="003504AA"/>
    <w:rsid w:val="0035056C"/>
    <w:rsid w:val="003505C3"/>
    <w:rsid w:val="0035077B"/>
    <w:rsid w:val="003508DA"/>
    <w:rsid w:val="003508E6"/>
    <w:rsid w:val="003508FD"/>
    <w:rsid w:val="00350946"/>
    <w:rsid w:val="00350A02"/>
    <w:rsid w:val="00350BAE"/>
    <w:rsid w:val="00350D37"/>
    <w:rsid w:val="00350DC5"/>
    <w:rsid w:val="00351028"/>
    <w:rsid w:val="00351151"/>
    <w:rsid w:val="0035126B"/>
    <w:rsid w:val="003514D0"/>
    <w:rsid w:val="00351545"/>
    <w:rsid w:val="00351565"/>
    <w:rsid w:val="0035156D"/>
    <w:rsid w:val="00351777"/>
    <w:rsid w:val="00351C51"/>
    <w:rsid w:val="00351E5F"/>
    <w:rsid w:val="00352191"/>
    <w:rsid w:val="003523E5"/>
    <w:rsid w:val="0035258E"/>
    <w:rsid w:val="00352716"/>
    <w:rsid w:val="00352994"/>
    <w:rsid w:val="00352AD9"/>
    <w:rsid w:val="00352B1C"/>
    <w:rsid w:val="00352B50"/>
    <w:rsid w:val="00352C4C"/>
    <w:rsid w:val="00352EE7"/>
    <w:rsid w:val="00352F2C"/>
    <w:rsid w:val="00352FC7"/>
    <w:rsid w:val="0035321C"/>
    <w:rsid w:val="00353721"/>
    <w:rsid w:val="00353746"/>
    <w:rsid w:val="003537E8"/>
    <w:rsid w:val="003538BC"/>
    <w:rsid w:val="00353971"/>
    <w:rsid w:val="00353A73"/>
    <w:rsid w:val="00353AD1"/>
    <w:rsid w:val="00353C07"/>
    <w:rsid w:val="00353C84"/>
    <w:rsid w:val="00353CB7"/>
    <w:rsid w:val="00353DB6"/>
    <w:rsid w:val="00353F1D"/>
    <w:rsid w:val="00353F3B"/>
    <w:rsid w:val="00353FBB"/>
    <w:rsid w:val="003540C1"/>
    <w:rsid w:val="0035414D"/>
    <w:rsid w:val="003547CD"/>
    <w:rsid w:val="00354A59"/>
    <w:rsid w:val="00354C86"/>
    <w:rsid w:val="00354D6B"/>
    <w:rsid w:val="00354EAC"/>
    <w:rsid w:val="003550DA"/>
    <w:rsid w:val="003552E6"/>
    <w:rsid w:val="003553A8"/>
    <w:rsid w:val="003553B8"/>
    <w:rsid w:val="003554B3"/>
    <w:rsid w:val="003554BB"/>
    <w:rsid w:val="00355525"/>
    <w:rsid w:val="00355699"/>
    <w:rsid w:val="003559DF"/>
    <w:rsid w:val="00355AA9"/>
    <w:rsid w:val="00355B28"/>
    <w:rsid w:val="00355B6F"/>
    <w:rsid w:val="00355C94"/>
    <w:rsid w:val="00355CE7"/>
    <w:rsid w:val="00355F6B"/>
    <w:rsid w:val="00355FE2"/>
    <w:rsid w:val="00356260"/>
    <w:rsid w:val="00356263"/>
    <w:rsid w:val="00356295"/>
    <w:rsid w:val="003562D1"/>
    <w:rsid w:val="003563A7"/>
    <w:rsid w:val="00356443"/>
    <w:rsid w:val="003565BD"/>
    <w:rsid w:val="00356850"/>
    <w:rsid w:val="0035689B"/>
    <w:rsid w:val="003569BF"/>
    <w:rsid w:val="00356A66"/>
    <w:rsid w:val="00356A71"/>
    <w:rsid w:val="00356AF0"/>
    <w:rsid w:val="003570B6"/>
    <w:rsid w:val="0035722C"/>
    <w:rsid w:val="0035723A"/>
    <w:rsid w:val="003572C0"/>
    <w:rsid w:val="003573BB"/>
    <w:rsid w:val="00357426"/>
    <w:rsid w:val="0035758E"/>
    <w:rsid w:val="003575DB"/>
    <w:rsid w:val="00357766"/>
    <w:rsid w:val="0035779C"/>
    <w:rsid w:val="003578CF"/>
    <w:rsid w:val="003578FF"/>
    <w:rsid w:val="00357E6D"/>
    <w:rsid w:val="00357FAC"/>
    <w:rsid w:val="00360081"/>
    <w:rsid w:val="003600F0"/>
    <w:rsid w:val="003604DB"/>
    <w:rsid w:val="0036053F"/>
    <w:rsid w:val="0036059B"/>
    <w:rsid w:val="003607D3"/>
    <w:rsid w:val="00360974"/>
    <w:rsid w:val="00360985"/>
    <w:rsid w:val="003609F0"/>
    <w:rsid w:val="00360A46"/>
    <w:rsid w:val="00360B9F"/>
    <w:rsid w:val="00360D68"/>
    <w:rsid w:val="0036117B"/>
    <w:rsid w:val="003611B6"/>
    <w:rsid w:val="00361325"/>
    <w:rsid w:val="0036133A"/>
    <w:rsid w:val="0036142D"/>
    <w:rsid w:val="003614B1"/>
    <w:rsid w:val="003614B5"/>
    <w:rsid w:val="003614ED"/>
    <w:rsid w:val="00361632"/>
    <w:rsid w:val="0036163A"/>
    <w:rsid w:val="00361799"/>
    <w:rsid w:val="003618A3"/>
    <w:rsid w:val="0036193F"/>
    <w:rsid w:val="003619A7"/>
    <w:rsid w:val="00361C9B"/>
    <w:rsid w:val="00361F57"/>
    <w:rsid w:val="00361FC6"/>
    <w:rsid w:val="00362070"/>
    <w:rsid w:val="003621AE"/>
    <w:rsid w:val="0036221F"/>
    <w:rsid w:val="00362944"/>
    <w:rsid w:val="00362AEE"/>
    <w:rsid w:val="00362C9F"/>
    <w:rsid w:val="00362F60"/>
    <w:rsid w:val="0036315E"/>
    <w:rsid w:val="0036365B"/>
    <w:rsid w:val="00363842"/>
    <w:rsid w:val="00363941"/>
    <w:rsid w:val="003639B3"/>
    <w:rsid w:val="00363D7A"/>
    <w:rsid w:val="00363DD5"/>
    <w:rsid w:val="003640EC"/>
    <w:rsid w:val="00364143"/>
    <w:rsid w:val="003643A4"/>
    <w:rsid w:val="0036448A"/>
    <w:rsid w:val="003644E4"/>
    <w:rsid w:val="003648BB"/>
    <w:rsid w:val="00364D07"/>
    <w:rsid w:val="00364DF9"/>
    <w:rsid w:val="00364E56"/>
    <w:rsid w:val="00364E6D"/>
    <w:rsid w:val="00364F75"/>
    <w:rsid w:val="00364FCA"/>
    <w:rsid w:val="0036522F"/>
    <w:rsid w:val="00365415"/>
    <w:rsid w:val="00365825"/>
    <w:rsid w:val="00365B13"/>
    <w:rsid w:val="00365B62"/>
    <w:rsid w:val="00365C38"/>
    <w:rsid w:val="00365CBB"/>
    <w:rsid w:val="00366093"/>
    <w:rsid w:val="003660C5"/>
    <w:rsid w:val="003660FB"/>
    <w:rsid w:val="003662AB"/>
    <w:rsid w:val="003664AD"/>
    <w:rsid w:val="00366B87"/>
    <w:rsid w:val="00366C8C"/>
    <w:rsid w:val="00366D48"/>
    <w:rsid w:val="00366DF1"/>
    <w:rsid w:val="00366F24"/>
    <w:rsid w:val="00367368"/>
    <w:rsid w:val="0036742D"/>
    <w:rsid w:val="00367527"/>
    <w:rsid w:val="0036764A"/>
    <w:rsid w:val="003676D4"/>
    <w:rsid w:val="00367749"/>
    <w:rsid w:val="003678B0"/>
    <w:rsid w:val="00367ABA"/>
    <w:rsid w:val="00367E18"/>
    <w:rsid w:val="00367F83"/>
    <w:rsid w:val="00370134"/>
    <w:rsid w:val="00370198"/>
    <w:rsid w:val="003702C4"/>
    <w:rsid w:val="00370337"/>
    <w:rsid w:val="003704C5"/>
    <w:rsid w:val="003706CC"/>
    <w:rsid w:val="00370826"/>
    <w:rsid w:val="00370942"/>
    <w:rsid w:val="00370B38"/>
    <w:rsid w:val="00370B82"/>
    <w:rsid w:val="00370BFA"/>
    <w:rsid w:val="00370C26"/>
    <w:rsid w:val="0037129C"/>
    <w:rsid w:val="00371550"/>
    <w:rsid w:val="00371575"/>
    <w:rsid w:val="003715BA"/>
    <w:rsid w:val="003715BE"/>
    <w:rsid w:val="00371797"/>
    <w:rsid w:val="003717EE"/>
    <w:rsid w:val="00371A9F"/>
    <w:rsid w:val="00371B4A"/>
    <w:rsid w:val="00371D33"/>
    <w:rsid w:val="00371DE0"/>
    <w:rsid w:val="00371DE5"/>
    <w:rsid w:val="00371FB4"/>
    <w:rsid w:val="0037203F"/>
    <w:rsid w:val="003720B0"/>
    <w:rsid w:val="003722CD"/>
    <w:rsid w:val="003725E7"/>
    <w:rsid w:val="003726A5"/>
    <w:rsid w:val="0037297F"/>
    <w:rsid w:val="00372A8E"/>
    <w:rsid w:val="00372C64"/>
    <w:rsid w:val="00372E6C"/>
    <w:rsid w:val="00372F4C"/>
    <w:rsid w:val="00373019"/>
    <w:rsid w:val="00373283"/>
    <w:rsid w:val="003732E7"/>
    <w:rsid w:val="00373399"/>
    <w:rsid w:val="0037352E"/>
    <w:rsid w:val="00373596"/>
    <w:rsid w:val="0037361B"/>
    <w:rsid w:val="00373675"/>
    <w:rsid w:val="00373AE3"/>
    <w:rsid w:val="00373C4E"/>
    <w:rsid w:val="00373DBF"/>
    <w:rsid w:val="00373F7E"/>
    <w:rsid w:val="00374015"/>
    <w:rsid w:val="003741E6"/>
    <w:rsid w:val="00374281"/>
    <w:rsid w:val="00374390"/>
    <w:rsid w:val="003743A9"/>
    <w:rsid w:val="003744CC"/>
    <w:rsid w:val="003747EA"/>
    <w:rsid w:val="0037484B"/>
    <w:rsid w:val="00374B39"/>
    <w:rsid w:val="00374B57"/>
    <w:rsid w:val="003750AD"/>
    <w:rsid w:val="003752B7"/>
    <w:rsid w:val="003755B1"/>
    <w:rsid w:val="0037592A"/>
    <w:rsid w:val="00375AED"/>
    <w:rsid w:val="00375B1D"/>
    <w:rsid w:val="00375BB4"/>
    <w:rsid w:val="00375CDC"/>
    <w:rsid w:val="00375D2B"/>
    <w:rsid w:val="00375F20"/>
    <w:rsid w:val="00375FDB"/>
    <w:rsid w:val="00376014"/>
    <w:rsid w:val="00376031"/>
    <w:rsid w:val="0037609F"/>
    <w:rsid w:val="00376160"/>
    <w:rsid w:val="003762C7"/>
    <w:rsid w:val="003762D2"/>
    <w:rsid w:val="00376349"/>
    <w:rsid w:val="0037648D"/>
    <w:rsid w:val="0037649E"/>
    <w:rsid w:val="003766E6"/>
    <w:rsid w:val="003767B1"/>
    <w:rsid w:val="00376A19"/>
    <w:rsid w:val="00376A32"/>
    <w:rsid w:val="00376B61"/>
    <w:rsid w:val="00376C75"/>
    <w:rsid w:val="00376ED2"/>
    <w:rsid w:val="00376FEE"/>
    <w:rsid w:val="00377132"/>
    <w:rsid w:val="003771BC"/>
    <w:rsid w:val="0037749D"/>
    <w:rsid w:val="003775C7"/>
    <w:rsid w:val="0037764B"/>
    <w:rsid w:val="0037777F"/>
    <w:rsid w:val="0037792B"/>
    <w:rsid w:val="00377AE4"/>
    <w:rsid w:val="00377AE8"/>
    <w:rsid w:val="00377B55"/>
    <w:rsid w:val="00377CF9"/>
    <w:rsid w:val="00377E6B"/>
    <w:rsid w:val="00377F6E"/>
    <w:rsid w:val="00377FE5"/>
    <w:rsid w:val="0038000B"/>
    <w:rsid w:val="003800FA"/>
    <w:rsid w:val="0038028A"/>
    <w:rsid w:val="0038036D"/>
    <w:rsid w:val="003803E3"/>
    <w:rsid w:val="003807A7"/>
    <w:rsid w:val="00380855"/>
    <w:rsid w:val="00380872"/>
    <w:rsid w:val="003809EF"/>
    <w:rsid w:val="00380E2C"/>
    <w:rsid w:val="00380ED8"/>
    <w:rsid w:val="00380FDF"/>
    <w:rsid w:val="00380FF0"/>
    <w:rsid w:val="00381097"/>
    <w:rsid w:val="003813C3"/>
    <w:rsid w:val="00381535"/>
    <w:rsid w:val="00381544"/>
    <w:rsid w:val="00381550"/>
    <w:rsid w:val="003815B1"/>
    <w:rsid w:val="0038161D"/>
    <w:rsid w:val="003816A4"/>
    <w:rsid w:val="003816A7"/>
    <w:rsid w:val="003816E9"/>
    <w:rsid w:val="003817D1"/>
    <w:rsid w:val="003819D4"/>
    <w:rsid w:val="00381A13"/>
    <w:rsid w:val="00381D6D"/>
    <w:rsid w:val="00381ECA"/>
    <w:rsid w:val="0038201A"/>
    <w:rsid w:val="00382062"/>
    <w:rsid w:val="0038207D"/>
    <w:rsid w:val="00382086"/>
    <w:rsid w:val="003821E8"/>
    <w:rsid w:val="003823CD"/>
    <w:rsid w:val="00382B83"/>
    <w:rsid w:val="00382C81"/>
    <w:rsid w:val="00382E98"/>
    <w:rsid w:val="00382F1E"/>
    <w:rsid w:val="00382F4A"/>
    <w:rsid w:val="00382F67"/>
    <w:rsid w:val="00383019"/>
    <w:rsid w:val="0038328D"/>
    <w:rsid w:val="00383377"/>
    <w:rsid w:val="003833B3"/>
    <w:rsid w:val="00383687"/>
    <w:rsid w:val="003836F9"/>
    <w:rsid w:val="003837CD"/>
    <w:rsid w:val="0038392B"/>
    <w:rsid w:val="00383970"/>
    <w:rsid w:val="00383D8C"/>
    <w:rsid w:val="00383D8F"/>
    <w:rsid w:val="00383DBE"/>
    <w:rsid w:val="003841A7"/>
    <w:rsid w:val="00384252"/>
    <w:rsid w:val="00384385"/>
    <w:rsid w:val="003843B3"/>
    <w:rsid w:val="0038445E"/>
    <w:rsid w:val="003845A3"/>
    <w:rsid w:val="00384791"/>
    <w:rsid w:val="00384EAB"/>
    <w:rsid w:val="00384F48"/>
    <w:rsid w:val="00384F6E"/>
    <w:rsid w:val="003851E4"/>
    <w:rsid w:val="003852F7"/>
    <w:rsid w:val="00385384"/>
    <w:rsid w:val="0038570D"/>
    <w:rsid w:val="003858A7"/>
    <w:rsid w:val="00385963"/>
    <w:rsid w:val="00385974"/>
    <w:rsid w:val="00385A2E"/>
    <w:rsid w:val="00385AD6"/>
    <w:rsid w:val="00385BA8"/>
    <w:rsid w:val="00385C0C"/>
    <w:rsid w:val="00385C15"/>
    <w:rsid w:val="00385C93"/>
    <w:rsid w:val="00385D05"/>
    <w:rsid w:val="00385E4B"/>
    <w:rsid w:val="00386158"/>
    <w:rsid w:val="003862A8"/>
    <w:rsid w:val="0038643A"/>
    <w:rsid w:val="0038656D"/>
    <w:rsid w:val="003865D7"/>
    <w:rsid w:val="003866B6"/>
    <w:rsid w:val="0038677D"/>
    <w:rsid w:val="0038683B"/>
    <w:rsid w:val="00386B7E"/>
    <w:rsid w:val="00386CAB"/>
    <w:rsid w:val="00386DC1"/>
    <w:rsid w:val="00386E48"/>
    <w:rsid w:val="00386EA9"/>
    <w:rsid w:val="00386EF1"/>
    <w:rsid w:val="00386F8D"/>
    <w:rsid w:val="00386FA0"/>
    <w:rsid w:val="003870DD"/>
    <w:rsid w:val="00387123"/>
    <w:rsid w:val="003872D8"/>
    <w:rsid w:val="0038740A"/>
    <w:rsid w:val="003876E9"/>
    <w:rsid w:val="00387723"/>
    <w:rsid w:val="0038777D"/>
    <w:rsid w:val="00387796"/>
    <w:rsid w:val="003877FE"/>
    <w:rsid w:val="00387895"/>
    <w:rsid w:val="0038792A"/>
    <w:rsid w:val="00387984"/>
    <w:rsid w:val="003879DA"/>
    <w:rsid w:val="00387A4E"/>
    <w:rsid w:val="00387A68"/>
    <w:rsid w:val="00387B2C"/>
    <w:rsid w:val="00387B8C"/>
    <w:rsid w:val="00387CAB"/>
    <w:rsid w:val="00387D66"/>
    <w:rsid w:val="00387E0E"/>
    <w:rsid w:val="00387F1C"/>
    <w:rsid w:val="00387F6B"/>
    <w:rsid w:val="00387FCA"/>
    <w:rsid w:val="003900AA"/>
    <w:rsid w:val="003900EF"/>
    <w:rsid w:val="003904B7"/>
    <w:rsid w:val="0039075E"/>
    <w:rsid w:val="00390BCA"/>
    <w:rsid w:val="00390BCB"/>
    <w:rsid w:val="00390BEF"/>
    <w:rsid w:val="00390BF7"/>
    <w:rsid w:val="00390C8E"/>
    <w:rsid w:val="00390CC2"/>
    <w:rsid w:val="00390DFD"/>
    <w:rsid w:val="00390F70"/>
    <w:rsid w:val="00391100"/>
    <w:rsid w:val="003911BD"/>
    <w:rsid w:val="003911E7"/>
    <w:rsid w:val="0039122D"/>
    <w:rsid w:val="003912A9"/>
    <w:rsid w:val="003915D1"/>
    <w:rsid w:val="00391642"/>
    <w:rsid w:val="003917CE"/>
    <w:rsid w:val="003917FC"/>
    <w:rsid w:val="00391815"/>
    <w:rsid w:val="003919E9"/>
    <w:rsid w:val="003919F6"/>
    <w:rsid w:val="00391A5C"/>
    <w:rsid w:val="00391AE1"/>
    <w:rsid w:val="00392013"/>
    <w:rsid w:val="0039212E"/>
    <w:rsid w:val="003921BE"/>
    <w:rsid w:val="003922AE"/>
    <w:rsid w:val="00392430"/>
    <w:rsid w:val="0039244C"/>
    <w:rsid w:val="003924F6"/>
    <w:rsid w:val="0039263E"/>
    <w:rsid w:val="0039273F"/>
    <w:rsid w:val="00392792"/>
    <w:rsid w:val="003927A7"/>
    <w:rsid w:val="003927CE"/>
    <w:rsid w:val="003927D8"/>
    <w:rsid w:val="003927D9"/>
    <w:rsid w:val="0039292B"/>
    <w:rsid w:val="00392934"/>
    <w:rsid w:val="003929D1"/>
    <w:rsid w:val="00392CF4"/>
    <w:rsid w:val="00392E8B"/>
    <w:rsid w:val="00392FBF"/>
    <w:rsid w:val="003930E2"/>
    <w:rsid w:val="00393237"/>
    <w:rsid w:val="00393280"/>
    <w:rsid w:val="00393394"/>
    <w:rsid w:val="0039339B"/>
    <w:rsid w:val="003936D8"/>
    <w:rsid w:val="003937D1"/>
    <w:rsid w:val="00393824"/>
    <w:rsid w:val="00393D74"/>
    <w:rsid w:val="003943EE"/>
    <w:rsid w:val="0039440F"/>
    <w:rsid w:val="00394418"/>
    <w:rsid w:val="0039446B"/>
    <w:rsid w:val="00394531"/>
    <w:rsid w:val="00394602"/>
    <w:rsid w:val="003946C0"/>
    <w:rsid w:val="00394730"/>
    <w:rsid w:val="00394954"/>
    <w:rsid w:val="00394B13"/>
    <w:rsid w:val="00394DCC"/>
    <w:rsid w:val="00394E8A"/>
    <w:rsid w:val="00394EAF"/>
    <w:rsid w:val="00394F7C"/>
    <w:rsid w:val="00395111"/>
    <w:rsid w:val="003951C8"/>
    <w:rsid w:val="00395780"/>
    <w:rsid w:val="0039591F"/>
    <w:rsid w:val="00395B68"/>
    <w:rsid w:val="00395CDD"/>
    <w:rsid w:val="00396038"/>
    <w:rsid w:val="003961FE"/>
    <w:rsid w:val="0039629D"/>
    <w:rsid w:val="0039640A"/>
    <w:rsid w:val="0039641A"/>
    <w:rsid w:val="0039664D"/>
    <w:rsid w:val="003966E8"/>
    <w:rsid w:val="003967CF"/>
    <w:rsid w:val="00396BB5"/>
    <w:rsid w:val="00396CD7"/>
    <w:rsid w:val="00396EC1"/>
    <w:rsid w:val="00397089"/>
    <w:rsid w:val="00397679"/>
    <w:rsid w:val="003976E5"/>
    <w:rsid w:val="00397737"/>
    <w:rsid w:val="0039774A"/>
    <w:rsid w:val="003977E9"/>
    <w:rsid w:val="00397B97"/>
    <w:rsid w:val="00397BAC"/>
    <w:rsid w:val="00397D49"/>
    <w:rsid w:val="00397E85"/>
    <w:rsid w:val="00397EAF"/>
    <w:rsid w:val="003A0194"/>
    <w:rsid w:val="003A03BF"/>
    <w:rsid w:val="003A03D4"/>
    <w:rsid w:val="003A0414"/>
    <w:rsid w:val="003A059D"/>
    <w:rsid w:val="003A0605"/>
    <w:rsid w:val="003A08DC"/>
    <w:rsid w:val="003A093D"/>
    <w:rsid w:val="003A0B60"/>
    <w:rsid w:val="003A0FED"/>
    <w:rsid w:val="003A1084"/>
    <w:rsid w:val="003A1280"/>
    <w:rsid w:val="003A1336"/>
    <w:rsid w:val="003A1528"/>
    <w:rsid w:val="003A1652"/>
    <w:rsid w:val="003A176A"/>
    <w:rsid w:val="003A17B0"/>
    <w:rsid w:val="003A19CD"/>
    <w:rsid w:val="003A1B43"/>
    <w:rsid w:val="003A1C76"/>
    <w:rsid w:val="003A1D1E"/>
    <w:rsid w:val="003A1DBB"/>
    <w:rsid w:val="003A1DD5"/>
    <w:rsid w:val="003A1F73"/>
    <w:rsid w:val="003A2081"/>
    <w:rsid w:val="003A2121"/>
    <w:rsid w:val="003A21CD"/>
    <w:rsid w:val="003A256B"/>
    <w:rsid w:val="003A25C4"/>
    <w:rsid w:val="003A2614"/>
    <w:rsid w:val="003A27DE"/>
    <w:rsid w:val="003A290E"/>
    <w:rsid w:val="003A2B9F"/>
    <w:rsid w:val="003A2BDF"/>
    <w:rsid w:val="003A2E82"/>
    <w:rsid w:val="003A3354"/>
    <w:rsid w:val="003A34C6"/>
    <w:rsid w:val="003A350B"/>
    <w:rsid w:val="003A36B0"/>
    <w:rsid w:val="003A372B"/>
    <w:rsid w:val="003A3760"/>
    <w:rsid w:val="003A3862"/>
    <w:rsid w:val="003A3B09"/>
    <w:rsid w:val="003A3B3D"/>
    <w:rsid w:val="003A3D9E"/>
    <w:rsid w:val="003A3EEE"/>
    <w:rsid w:val="003A3F1F"/>
    <w:rsid w:val="003A42A1"/>
    <w:rsid w:val="003A44BD"/>
    <w:rsid w:val="003A47AF"/>
    <w:rsid w:val="003A47BB"/>
    <w:rsid w:val="003A4ADF"/>
    <w:rsid w:val="003A4BA7"/>
    <w:rsid w:val="003A4C5C"/>
    <w:rsid w:val="003A4D56"/>
    <w:rsid w:val="003A4DA0"/>
    <w:rsid w:val="003A5007"/>
    <w:rsid w:val="003A5141"/>
    <w:rsid w:val="003A5168"/>
    <w:rsid w:val="003A52BA"/>
    <w:rsid w:val="003A539C"/>
    <w:rsid w:val="003A564E"/>
    <w:rsid w:val="003A595E"/>
    <w:rsid w:val="003A5A39"/>
    <w:rsid w:val="003A5E70"/>
    <w:rsid w:val="003A5EBA"/>
    <w:rsid w:val="003A5ED2"/>
    <w:rsid w:val="003A61D0"/>
    <w:rsid w:val="003A62CB"/>
    <w:rsid w:val="003A63AD"/>
    <w:rsid w:val="003A6579"/>
    <w:rsid w:val="003A657D"/>
    <w:rsid w:val="003A6587"/>
    <w:rsid w:val="003A6657"/>
    <w:rsid w:val="003A67DB"/>
    <w:rsid w:val="003A67F7"/>
    <w:rsid w:val="003A681B"/>
    <w:rsid w:val="003A694B"/>
    <w:rsid w:val="003A698C"/>
    <w:rsid w:val="003A6F4C"/>
    <w:rsid w:val="003A706B"/>
    <w:rsid w:val="003A70B3"/>
    <w:rsid w:val="003A7107"/>
    <w:rsid w:val="003A7117"/>
    <w:rsid w:val="003A7239"/>
    <w:rsid w:val="003A7273"/>
    <w:rsid w:val="003A7376"/>
    <w:rsid w:val="003A774C"/>
    <w:rsid w:val="003A79E9"/>
    <w:rsid w:val="003A7AC7"/>
    <w:rsid w:val="003A7C9A"/>
    <w:rsid w:val="003B009F"/>
    <w:rsid w:val="003B013B"/>
    <w:rsid w:val="003B0185"/>
    <w:rsid w:val="003B01C6"/>
    <w:rsid w:val="003B0281"/>
    <w:rsid w:val="003B02CF"/>
    <w:rsid w:val="003B03B8"/>
    <w:rsid w:val="003B03C2"/>
    <w:rsid w:val="003B0504"/>
    <w:rsid w:val="003B051D"/>
    <w:rsid w:val="003B06B1"/>
    <w:rsid w:val="003B0760"/>
    <w:rsid w:val="003B07A5"/>
    <w:rsid w:val="003B07CD"/>
    <w:rsid w:val="003B08B8"/>
    <w:rsid w:val="003B09E0"/>
    <w:rsid w:val="003B0BFA"/>
    <w:rsid w:val="003B0D67"/>
    <w:rsid w:val="003B0EE1"/>
    <w:rsid w:val="003B0F42"/>
    <w:rsid w:val="003B1081"/>
    <w:rsid w:val="003B12B7"/>
    <w:rsid w:val="003B12BC"/>
    <w:rsid w:val="003B12EF"/>
    <w:rsid w:val="003B13BB"/>
    <w:rsid w:val="003B13CE"/>
    <w:rsid w:val="003B1672"/>
    <w:rsid w:val="003B1673"/>
    <w:rsid w:val="003B18C5"/>
    <w:rsid w:val="003B195F"/>
    <w:rsid w:val="003B19AA"/>
    <w:rsid w:val="003B1C0D"/>
    <w:rsid w:val="003B1C22"/>
    <w:rsid w:val="003B1DEC"/>
    <w:rsid w:val="003B2131"/>
    <w:rsid w:val="003B23AA"/>
    <w:rsid w:val="003B23AC"/>
    <w:rsid w:val="003B25AB"/>
    <w:rsid w:val="003B277F"/>
    <w:rsid w:val="003B28ED"/>
    <w:rsid w:val="003B2A49"/>
    <w:rsid w:val="003B2B06"/>
    <w:rsid w:val="003B2C80"/>
    <w:rsid w:val="003B2CDB"/>
    <w:rsid w:val="003B2E00"/>
    <w:rsid w:val="003B2E93"/>
    <w:rsid w:val="003B2E95"/>
    <w:rsid w:val="003B304C"/>
    <w:rsid w:val="003B309A"/>
    <w:rsid w:val="003B31DE"/>
    <w:rsid w:val="003B334F"/>
    <w:rsid w:val="003B34D9"/>
    <w:rsid w:val="003B37D5"/>
    <w:rsid w:val="003B3987"/>
    <w:rsid w:val="003B3A9D"/>
    <w:rsid w:val="003B3B90"/>
    <w:rsid w:val="003B3D29"/>
    <w:rsid w:val="003B3D97"/>
    <w:rsid w:val="003B3DED"/>
    <w:rsid w:val="003B3DFB"/>
    <w:rsid w:val="003B3E6D"/>
    <w:rsid w:val="003B3F55"/>
    <w:rsid w:val="003B3F73"/>
    <w:rsid w:val="003B4445"/>
    <w:rsid w:val="003B4536"/>
    <w:rsid w:val="003B4945"/>
    <w:rsid w:val="003B49D9"/>
    <w:rsid w:val="003B4ABA"/>
    <w:rsid w:val="003B4AC4"/>
    <w:rsid w:val="003B4D48"/>
    <w:rsid w:val="003B4ECE"/>
    <w:rsid w:val="003B4FDF"/>
    <w:rsid w:val="003B5147"/>
    <w:rsid w:val="003B518B"/>
    <w:rsid w:val="003B5475"/>
    <w:rsid w:val="003B55EE"/>
    <w:rsid w:val="003B5646"/>
    <w:rsid w:val="003B57AA"/>
    <w:rsid w:val="003B58CE"/>
    <w:rsid w:val="003B5E24"/>
    <w:rsid w:val="003B5E85"/>
    <w:rsid w:val="003B5F7E"/>
    <w:rsid w:val="003B6010"/>
    <w:rsid w:val="003B6143"/>
    <w:rsid w:val="003B62D8"/>
    <w:rsid w:val="003B634F"/>
    <w:rsid w:val="003B665B"/>
    <w:rsid w:val="003B6B65"/>
    <w:rsid w:val="003B6C8C"/>
    <w:rsid w:val="003B6D6C"/>
    <w:rsid w:val="003B6D98"/>
    <w:rsid w:val="003B6DE2"/>
    <w:rsid w:val="003B6DEE"/>
    <w:rsid w:val="003B6EE3"/>
    <w:rsid w:val="003B6F4B"/>
    <w:rsid w:val="003B7004"/>
    <w:rsid w:val="003B7055"/>
    <w:rsid w:val="003B7135"/>
    <w:rsid w:val="003B71AF"/>
    <w:rsid w:val="003B741B"/>
    <w:rsid w:val="003B74B4"/>
    <w:rsid w:val="003B7656"/>
    <w:rsid w:val="003B7920"/>
    <w:rsid w:val="003B7B53"/>
    <w:rsid w:val="003B7E23"/>
    <w:rsid w:val="003B7FC0"/>
    <w:rsid w:val="003C0176"/>
    <w:rsid w:val="003C017D"/>
    <w:rsid w:val="003C01ED"/>
    <w:rsid w:val="003C036F"/>
    <w:rsid w:val="003C0623"/>
    <w:rsid w:val="003C0998"/>
    <w:rsid w:val="003C09A0"/>
    <w:rsid w:val="003C0AE7"/>
    <w:rsid w:val="003C0AF6"/>
    <w:rsid w:val="003C0AFD"/>
    <w:rsid w:val="003C0CC3"/>
    <w:rsid w:val="003C0DDB"/>
    <w:rsid w:val="003C0E17"/>
    <w:rsid w:val="003C0E2C"/>
    <w:rsid w:val="003C0E6B"/>
    <w:rsid w:val="003C11BF"/>
    <w:rsid w:val="003C15BD"/>
    <w:rsid w:val="003C1888"/>
    <w:rsid w:val="003C1D15"/>
    <w:rsid w:val="003C1E5E"/>
    <w:rsid w:val="003C1FEC"/>
    <w:rsid w:val="003C1FFF"/>
    <w:rsid w:val="003C208B"/>
    <w:rsid w:val="003C21D9"/>
    <w:rsid w:val="003C22DA"/>
    <w:rsid w:val="003C23C3"/>
    <w:rsid w:val="003C242F"/>
    <w:rsid w:val="003C255B"/>
    <w:rsid w:val="003C278D"/>
    <w:rsid w:val="003C27D0"/>
    <w:rsid w:val="003C288E"/>
    <w:rsid w:val="003C28E7"/>
    <w:rsid w:val="003C2BCA"/>
    <w:rsid w:val="003C2D33"/>
    <w:rsid w:val="003C2E9F"/>
    <w:rsid w:val="003C2F71"/>
    <w:rsid w:val="003C31BE"/>
    <w:rsid w:val="003C32BB"/>
    <w:rsid w:val="003C32D2"/>
    <w:rsid w:val="003C347C"/>
    <w:rsid w:val="003C3511"/>
    <w:rsid w:val="003C38C4"/>
    <w:rsid w:val="003C3A18"/>
    <w:rsid w:val="003C3ABB"/>
    <w:rsid w:val="003C3D04"/>
    <w:rsid w:val="003C3FA3"/>
    <w:rsid w:val="003C3FD1"/>
    <w:rsid w:val="003C4095"/>
    <w:rsid w:val="003C417D"/>
    <w:rsid w:val="003C44B8"/>
    <w:rsid w:val="003C4521"/>
    <w:rsid w:val="003C47AA"/>
    <w:rsid w:val="003C4814"/>
    <w:rsid w:val="003C4A63"/>
    <w:rsid w:val="003C4AC2"/>
    <w:rsid w:val="003C4B36"/>
    <w:rsid w:val="003C4CAA"/>
    <w:rsid w:val="003C4D06"/>
    <w:rsid w:val="003C4DCA"/>
    <w:rsid w:val="003C4E2C"/>
    <w:rsid w:val="003C4E36"/>
    <w:rsid w:val="003C4E42"/>
    <w:rsid w:val="003C507D"/>
    <w:rsid w:val="003C50EE"/>
    <w:rsid w:val="003C512A"/>
    <w:rsid w:val="003C51B2"/>
    <w:rsid w:val="003C551A"/>
    <w:rsid w:val="003C5591"/>
    <w:rsid w:val="003C55DC"/>
    <w:rsid w:val="003C5868"/>
    <w:rsid w:val="003C5B8A"/>
    <w:rsid w:val="003C5CDE"/>
    <w:rsid w:val="003C5D9C"/>
    <w:rsid w:val="003C612E"/>
    <w:rsid w:val="003C61DC"/>
    <w:rsid w:val="003C6507"/>
    <w:rsid w:val="003C66AD"/>
    <w:rsid w:val="003C670F"/>
    <w:rsid w:val="003C680B"/>
    <w:rsid w:val="003C68A9"/>
    <w:rsid w:val="003C69C1"/>
    <w:rsid w:val="003C6B29"/>
    <w:rsid w:val="003C6BAA"/>
    <w:rsid w:val="003C6CB7"/>
    <w:rsid w:val="003C6CD2"/>
    <w:rsid w:val="003C6D53"/>
    <w:rsid w:val="003C6D99"/>
    <w:rsid w:val="003C6E63"/>
    <w:rsid w:val="003C7068"/>
    <w:rsid w:val="003C7201"/>
    <w:rsid w:val="003C7385"/>
    <w:rsid w:val="003C74D6"/>
    <w:rsid w:val="003C7600"/>
    <w:rsid w:val="003C7733"/>
    <w:rsid w:val="003C7742"/>
    <w:rsid w:val="003C78AE"/>
    <w:rsid w:val="003C794C"/>
    <w:rsid w:val="003C7C4D"/>
    <w:rsid w:val="003C7C5C"/>
    <w:rsid w:val="003C7E82"/>
    <w:rsid w:val="003C7F45"/>
    <w:rsid w:val="003D0069"/>
    <w:rsid w:val="003D0084"/>
    <w:rsid w:val="003D0180"/>
    <w:rsid w:val="003D01D7"/>
    <w:rsid w:val="003D01E0"/>
    <w:rsid w:val="003D0253"/>
    <w:rsid w:val="003D0312"/>
    <w:rsid w:val="003D0327"/>
    <w:rsid w:val="003D042E"/>
    <w:rsid w:val="003D05F1"/>
    <w:rsid w:val="003D06F5"/>
    <w:rsid w:val="003D070B"/>
    <w:rsid w:val="003D096C"/>
    <w:rsid w:val="003D0B18"/>
    <w:rsid w:val="003D0C53"/>
    <w:rsid w:val="003D0D41"/>
    <w:rsid w:val="003D0E0C"/>
    <w:rsid w:val="003D0ED2"/>
    <w:rsid w:val="003D0EEA"/>
    <w:rsid w:val="003D0F04"/>
    <w:rsid w:val="003D105E"/>
    <w:rsid w:val="003D10B5"/>
    <w:rsid w:val="003D10D5"/>
    <w:rsid w:val="003D15BB"/>
    <w:rsid w:val="003D16AE"/>
    <w:rsid w:val="003D178E"/>
    <w:rsid w:val="003D1A10"/>
    <w:rsid w:val="003D1B99"/>
    <w:rsid w:val="003D1E54"/>
    <w:rsid w:val="003D1EB6"/>
    <w:rsid w:val="003D1F5F"/>
    <w:rsid w:val="003D241D"/>
    <w:rsid w:val="003D244A"/>
    <w:rsid w:val="003D2523"/>
    <w:rsid w:val="003D2593"/>
    <w:rsid w:val="003D2618"/>
    <w:rsid w:val="003D268D"/>
    <w:rsid w:val="003D2738"/>
    <w:rsid w:val="003D297B"/>
    <w:rsid w:val="003D2AC6"/>
    <w:rsid w:val="003D2B0D"/>
    <w:rsid w:val="003D2E8B"/>
    <w:rsid w:val="003D30AA"/>
    <w:rsid w:val="003D33FE"/>
    <w:rsid w:val="003D3422"/>
    <w:rsid w:val="003D3464"/>
    <w:rsid w:val="003D357D"/>
    <w:rsid w:val="003D3595"/>
    <w:rsid w:val="003D3991"/>
    <w:rsid w:val="003D3C7B"/>
    <w:rsid w:val="003D3DB7"/>
    <w:rsid w:val="003D3FC9"/>
    <w:rsid w:val="003D4009"/>
    <w:rsid w:val="003D4095"/>
    <w:rsid w:val="003D41E3"/>
    <w:rsid w:val="003D4235"/>
    <w:rsid w:val="003D4250"/>
    <w:rsid w:val="003D4312"/>
    <w:rsid w:val="003D449B"/>
    <w:rsid w:val="003D44DF"/>
    <w:rsid w:val="003D4504"/>
    <w:rsid w:val="003D451C"/>
    <w:rsid w:val="003D4586"/>
    <w:rsid w:val="003D45BC"/>
    <w:rsid w:val="003D4709"/>
    <w:rsid w:val="003D4753"/>
    <w:rsid w:val="003D48B4"/>
    <w:rsid w:val="003D4971"/>
    <w:rsid w:val="003D4A33"/>
    <w:rsid w:val="003D4BF1"/>
    <w:rsid w:val="003D5315"/>
    <w:rsid w:val="003D53D9"/>
    <w:rsid w:val="003D557A"/>
    <w:rsid w:val="003D567A"/>
    <w:rsid w:val="003D58C2"/>
    <w:rsid w:val="003D5904"/>
    <w:rsid w:val="003D595C"/>
    <w:rsid w:val="003D5A5E"/>
    <w:rsid w:val="003D5AAD"/>
    <w:rsid w:val="003D5AE7"/>
    <w:rsid w:val="003D5B06"/>
    <w:rsid w:val="003D5FE7"/>
    <w:rsid w:val="003D603F"/>
    <w:rsid w:val="003D6164"/>
    <w:rsid w:val="003D6239"/>
    <w:rsid w:val="003D6254"/>
    <w:rsid w:val="003D635C"/>
    <w:rsid w:val="003D63FB"/>
    <w:rsid w:val="003D651F"/>
    <w:rsid w:val="003D6639"/>
    <w:rsid w:val="003D6665"/>
    <w:rsid w:val="003D66D8"/>
    <w:rsid w:val="003D6798"/>
    <w:rsid w:val="003D67F0"/>
    <w:rsid w:val="003D69BC"/>
    <w:rsid w:val="003D6BDF"/>
    <w:rsid w:val="003D6D22"/>
    <w:rsid w:val="003D6E2F"/>
    <w:rsid w:val="003D6F54"/>
    <w:rsid w:val="003D70AF"/>
    <w:rsid w:val="003D713C"/>
    <w:rsid w:val="003D7229"/>
    <w:rsid w:val="003D7232"/>
    <w:rsid w:val="003D746A"/>
    <w:rsid w:val="003D75C6"/>
    <w:rsid w:val="003D7679"/>
    <w:rsid w:val="003D7810"/>
    <w:rsid w:val="003D79DA"/>
    <w:rsid w:val="003D7A1F"/>
    <w:rsid w:val="003D7ACA"/>
    <w:rsid w:val="003D7C88"/>
    <w:rsid w:val="003D7F56"/>
    <w:rsid w:val="003E00E3"/>
    <w:rsid w:val="003E032D"/>
    <w:rsid w:val="003E037E"/>
    <w:rsid w:val="003E065C"/>
    <w:rsid w:val="003E07AF"/>
    <w:rsid w:val="003E085A"/>
    <w:rsid w:val="003E09C0"/>
    <w:rsid w:val="003E0AB1"/>
    <w:rsid w:val="003E0C2D"/>
    <w:rsid w:val="003E0C40"/>
    <w:rsid w:val="003E0CBB"/>
    <w:rsid w:val="003E0FF9"/>
    <w:rsid w:val="003E11EB"/>
    <w:rsid w:val="003E1647"/>
    <w:rsid w:val="003E1746"/>
    <w:rsid w:val="003E1797"/>
    <w:rsid w:val="003E1843"/>
    <w:rsid w:val="003E185E"/>
    <w:rsid w:val="003E1898"/>
    <w:rsid w:val="003E18BB"/>
    <w:rsid w:val="003E19E0"/>
    <w:rsid w:val="003E1AA5"/>
    <w:rsid w:val="003E1B3F"/>
    <w:rsid w:val="003E1CD0"/>
    <w:rsid w:val="003E1E8D"/>
    <w:rsid w:val="003E1ECC"/>
    <w:rsid w:val="003E20BE"/>
    <w:rsid w:val="003E20D6"/>
    <w:rsid w:val="003E2216"/>
    <w:rsid w:val="003E225A"/>
    <w:rsid w:val="003E2322"/>
    <w:rsid w:val="003E24AB"/>
    <w:rsid w:val="003E25C7"/>
    <w:rsid w:val="003E2619"/>
    <w:rsid w:val="003E2A3D"/>
    <w:rsid w:val="003E2CB2"/>
    <w:rsid w:val="003E2E33"/>
    <w:rsid w:val="003E309C"/>
    <w:rsid w:val="003E30A5"/>
    <w:rsid w:val="003E3227"/>
    <w:rsid w:val="003E33DB"/>
    <w:rsid w:val="003E3492"/>
    <w:rsid w:val="003E3823"/>
    <w:rsid w:val="003E3B11"/>
    <w:rsid w:val="003E3BF3"/>
    <w:rsid w:val="003E3DB8"/>
    <w:rsid w:val="003E3FFC"/>
    <w:rsid w:val="003E4006"/>
    <w:rsid w:val="003E4156"/>
    <w:rsid w:val="003E432E"/>
    <w:rsid w:val="003E43BE"/>
    <w:rsid w:val="003E45AD"/>
    <w:rsid w:val="003E461D"/>
    <w:rsid w:val="003E4683"/>
    <w:rsid w:val="003E4802"/>
    <w:rsid w:val="003E4BC8"/>
    <w:rsid w:val="003E4CD1"/>
    <w:rsid w:val="003E4D55"/>
    <w:rsid w:val="003E4D94"/>
    <w:rsid w:val="003E519D"/>
    <w:rsid w:val="003E5648"/>
    <w:rsid w:val="003E5662"/>
    <w:rsid w:val="003E583B"/>
    <w:rsid w:val="003E5846"/>
    <w:rsid w:val="003E5848"/>
    <w:rsid w:val="003E5A71"/>
    <w:rsid w:val="003E5AE5"/>
    <w:rsid w:val="003E5DDB"/>
    <w:rsid w:val="003E688B"/>
    <w:rsid w:val="003E695E"/>
    <w:rsid w:val="003E6B35"/>
    <w:rsid w:val="003E6B43"/>
    <w:rsid w:val="003E6D8F"/>
    <w:rsid w:val="003E6EA5"/>
    <w:rsid w:val="003E6EFF"/>
    <w:rsid w:val="003E6FFA"/>
    <w:rsid w:val="003E74CB"/>
    <w:rsid w:val="003E7528"/>
    <w:rsid w:val="003E7582"/>
    <w:rsid w:val="003E75E2"/>
    <w:rsid w:val="003E7715"/>
    <w:rsid w:val="003E78A6"/>
    <w:rsid w:val="003E7942"/>
    <w:rsid w:val="003E7BD7"/>
    <w:rsid w:val="003E7C6C"/>
    <w:rsid w:val="003E7CFF"/>
    <w:rsid w:val="003E7D2C"/>
    <w:rsid w:val="003E7D89"/>
    <w:rsid w:val="003E7DE3"/>
    <w:rsid w:val="003E7DE7"/>
    <w:rsid w:val="003E7F59"/>
    <w:rsid w:val="003F0545"/>
    <w:rsid w:val="003F0600"/>
    <w:rsid w:val="003F0695"/>
    <w:rsid w:val="003F0742"/>
    <w:rsid w:val="003F077E"/>
    <w:rsid w:val="003F08CD"/>
    <w:rsid w:val="003F08EE"/>
    <w:rsid w:val="003F0A80"/>
    <w:rsid w:val="003F0C48"/>
    <w:rsid w:val="003F0FED"/>
    <w:rsid w:val="003F12FF"/>
    <w:rsid w:val="003F177D"/>
    <w:rsid w:val="003F17B4"/>
    <w:rsid w:val="003F17FD"/>
    <w:rsid w:val="003F18CF"/>
    <w:rsid w:val="003F1944"/>
    <w:rsid w:val="003F19CA"/>
    <w:rsid w:val="003F1A4A"/>
    <w:rsid w:val="003F1B3E"/>
    <w:rsid w:val="003F1D99"/>
    <w:rsid w:val="003F1F2C"/>
    <w:rsid w:val="003F1F7D"/>
    <w:rsid w:val="003F22BE"/>
    <w:rsid w:val="003F235B"/>
    <w:rsid w:val="003F2461"/>
    <w:rsid w:val="003F2651"/>
    <w:rsid w:val="003F268D"/>
    <w:rsid w:val="003F277D"/>
    <w:rsid w:val="003F2811"/>
    <w:rsid w:val="003F286E"/>
    <w:rsid w:val="003F28BF"/>
    <w:rsid w:val="003F28C3"/>
    <w:rsid w:val="003F2AAF"/>
    <w:rsid w:val="003F2ABD"/>
    <w:rsid w:val="003F2B1C"/>
    <w:rsid w:val="003F2C39"/>
    <w:rsid w:val="003F2C43"/>
    <w:rsid w:val="003F2DD9"/>
    <w:rsid w:val="003F2E45"/>
    <w:rsid w:val="003F2E54"/>
    <w:rsid w:val="003F2EA4"/>
    <w:rsid w:val="003F2F7D"/>
    <w:rsid w:val="003F32AE"/>
    <w:rsid w:val="003F34E0"/>
    <w:rsid w:val="003F37FA"/>
    <w:rsid w:val="003F3AB3"/>
    <w:rsid w:val="003F3B1F"/>
    <w:rsid w:val="003F3BB6"/>
    <w:rsid w:val="003F3C1E"/>
    <w:rsid w:val="003F3D77"/>
    <w:rsid w:val="003F3E11"/>
    <w:rsid w:val="003F4000"/>
    <w:rsid w:val="003F4068"/>
    <w:rsid w:val="003F40CB"/>
    <w:rsid w:val="003F424B"/>
    <w:rsid w:val="003F4365"/>
    <w:rsid w:val="003F436F"/>
    <w:rsid w:val="003F45A8"/>
    <w:rsid w:val="003F46AF"/>
    <w:rsid w:val="003F4792"/>
    <w:rsid w:val="003F4950"/>
    <w:rsid w:val="003F4968"/>
    <w:rsid w:val="003F4A70"/>
    <w:rsid w:val="003F4BB2"/>
    <w:rsid w:val="003F4CA9"/>
    <w:rsid w:val="003F4CFA"/>
    <w:rsid w:val="003F4D4D"/>
    <w:rsid w:val="003F4E30"/>
    <w:rsid w:val="003F5125"/>
    <w:rsid w:val="003F51F0"/>
    <w:rsid w:val="003F550A"/>
    <w:rsid w:val="003F571D"/>
    <w:rsid w:val="003F5813"/>
    <w:rsid w:val="003F598F"/>
    <w:rsid w:val="003F5A08"/>
    <w:rsid w:val="003F5A39"/>
    <w:rsid w:val="003F5A90"/>
    <w:rsid w:val="003F5B7F"/>
    <w:rsid w:val="003F5D0C"/>
    <w:rsid w:val="003F5D70"/>
    <w:rsid w:val="003F61A1"/>
    <w:rsid w:val="003F61DB"/>
    <w:rsid w:val="003F6284"/>
    <w:rsid w:val="003F6354"/>
    <w:rsid w:val="003F6470"/>
    <w:rsid w:val="003F64A6"/>
    <w:rsid w:val="003F67EA"/>
    <w:rsid w:val="003F6821"/>
    <w:rsid w:val="003F685E"/>
    <w:rsid w:val="003F68BE"/>
    <w:rsid w:val="003F6BAF"/>
    <w:rsid w:val="003F6DE7"/>
    <w:rsid w:val="003F6E30"/>
    <w:rsid w:val="003F74E2"/>
    <w:rsid w:val="003F74F8"/>
    <w:rsid w:val="003F7573"/>
    <w:rsid w:val="003F7609"/>
    <w:rsid w:val="003F78DF"/>
    <w:rsid w:val="003F7A97"/>
    <w:rsid w:val="003F7AA4"/>
    <w:rsid w:val="003F7EAA"/>
    <w:rsid w:val="00400008"/>
    <w:rsid w:val="00400222"/>
    <w:rsid w:val="004002EE"/>
    <w:rsid w:val="0040033B"/>
    <w:rsid w:val="004003F3"/>
    <w:rsid w:val="00400434"/>
    <w:rsid w:val="00400437"/>
    <w:rsid w:val="0040049E"/>
    <w:rsid w:val="00400643"/>
    <w:rsid w:val="00400656"/>
    <w:rsid w:val="004009A2"/>
    <w:rsid w:val="00400A64"/>
    <w:rsid w:val="00400C2D"/>
    <w:rsid w:val="00400C34"/>
    <w:rsid w:val="00400DF5"/>
    <w:rsid w:val="00400E98"/>
    <w:rsid w:val="00400F2F"/>
    <w:rsid w:val="00400F48"/>
    <w:rsid w:val="0040103C"/>
    <w:rsid w:val="00401080"/>
    <w:rsid w:val="00401332"/>
    <w:rsid w:val="0040143C"/>
    <w:rsid w:val="00401482"/>
    <w:rsid w:val="0040178A"/>
    <w:rsid w:val="004018A7"/>
    <w:rsid w:val="00401CE5"/>
    <w:rsid w:val="00402008"/>
    <w:rsid w:val="0040203D"/>
    <w:rsid w:val="004020E3"/>
    <w:rsid w:val="004020F9"/>
    <w:rsid w:val="00402346"/>
    <w:rsid w:val="0040249E"/>
    <w:rsid w:val="004025EC"/>
    <w:rsid w:val="00402747"/>
    <w:rsid w:val="004029E2"/>
    <w:rsid w:val="00402A5E"/>
    <w:rsid w:val="00402AC5"/>
    <w:rsid w:val="00402AC7"/>
    <w:rsid w:val="00402BCB"/>
    <w:rsid w:val="00402C3E"/>
    <w:rsid w:val="00402D14"/>
    <w:rsid w:val="00402D6F"/>
    <w:rsid w:val="00402DD5"/>
    <w:rsid w:val="00402E86"/>
    <w:rsid w:val="00402EC9"/>
    <w:rsid w:val="00403028"/>
    <w:rsid w:val="00403236"/>
    <w:rsid w:val="004032E1"/>
    <w:rsid w:val="004033F5"/>
    <w:rsid w:val="0040355F"/>
    <w:rsid w:val="004036CE"/>
    <w:rsid w:val="004038B2"/>
    <w:rsid w:val="00403AAD"/>
    <w:rsid w:val="00403C00"/>
    <w:rsid w:val="00403C67"/>
    <w:rsid w:val="00403D59"/>
    <w:rsid w:val="00404848"/>
    <w:rsid w:val="004048C3"/>
    <w:rsid w:val="004049D8"/>
    <w:rsid w:val="00404BE1"/>
    <w:rsid w:val="00404C38"/>
    <w:rsid w:val="00404C96"/>
    <w:rsid w:val="00404ECD"/>
    <w:rsid w:val="00404F0E"/>
    <w:rsid w:val="00404F34"/>
    <w:rsid w:val="00405313"/>
    <w:rsid w:val="0040534A"/>
    <w:rsid w:val="00405622"/>
    <w:rsid w:val="00405683"/>
    <w:rsid w:val="00405835"/>
    <w:rsid w:val="00405861"/>
    <w:rsid w:val="00405A72"/>
    <w:rsid w:val="00405D58"/>
    <w:rsid w:val="00405EAD"/>
    <w:rsid w:val="00405EBC"/>
    <w:rsid w:val="00405EC1"/>
    <w:rsid w:val="004063E0"/>
    <w:rsid w:val="004064FB"/>
    <w:rsid w:val="004066F2"/>
    <w:rsid w:val="004069D2"/>
    <w:rsid w:val="00406B92"/>
    <w:rsid w:val="00406D11"/>
    <w:rsid w:val="00406D5A"/>
    <w:rsid w:val="00406ECA"/>
    <w:rsid w:val="00406EF9"/>
    <w:rsid w:val="00406F0D"/>
    <w:rsid w:val="00407143"/>
    <w:rsid w:val="004071CC"/>
    <w:rsid w:val="00407217"/>
    <w:rsid w:val="0040727A"/>
    <w:rsid w:val="0040732C"/>
    <w:rsid w:val="004074F4"/>
    <w:rsid w:val="004075A1"/>
    <w:rsid w:val="00407888"/>
    <w:rsid w:val="00407984"/>
    <w:rsid w:val="004079BE"/>
    <w:rsid w:val="00407ABA"/>
    <w:rsid w:val="00407CF9"/>
    <w:rsid w:val="00407E1E"/>
    <w:rsid w:val="00407E92"/>
    <w:rsid w:val="00407EE1"/>
    <w:rsid w:val="00407F20"/>
    <w:rsid w:val="004100EE"/>
    <w:rsid w:val="0041017E"/>
    <w:rsid w:val="0041051D"/>
    <w:rsid w:val="0041053D"/>
    <w:rsid w:val="00410657"/>
    <w:rsid w:val="00410826"/>
    <w:rsid w:val="00410AE3"/>
    <w:rsid w:val="00410BB7"/>
    <w:rsid w:val="00411359"/>
    <w:rsid w:val="00411400"/>
    <w:rsid w:val="004114A3"/>
    <w:rsid w:val="00411510"/>
    <w:rsid w:val="004116A7"/>
    <w:rsid w:val="004116C9"/>
    <w:rsid w:val="00411825"/>
    <w:rsid w:val="00411836"/>
    <w:rsid w:val="00411873"/>
    <w:rsid w:val="00411968"/>
    <w:rsid w:val="00411A6F"/>
    <w:rsid w:val="00411D16"/>
    <w:rsid w:val="00411D3E"/>
    <w:rsid w:val="00411D46"/>
    <w:rsid w:val="00411D7E"/>
    <w:rsid w:val="00411F3B"/>
    <w:rsid w:val="00411FCF"/>
    <w:rsid w:val="004124E3"/>
    <w:rsid w:val="00412A95"/>
    <w:rsid w:val="00413171"/>
    <w:rsid w:val="00413253"/>
    <w:rsid w:val="0041325E"/>
    <w:rsid w:val="00413433"/>
    <w:rsid w:val="0041351F"/>
    <w:rsid w:val="004137F7"/>
    <w:rsid w:val="00413A19"/>
    <w:rsid w:val="00413A35"/>
    <w:rsid w:val="00413C48"/>
    <w:rsid w:val="00413D11"/>
    <w:rsid w:val="0041402E"/>
    <w:rsid w:val="004140CA"/>
    <w:rsid w:val="00414286"/>
    <w:rsid w:val="0041451C"/>
    <w:rsid w:val="00414816"/>
    <w:rsid w:val="004148ED"/>
    <w:rsid w:val="00414B66"/>
    <w:rsid w:val="00414C37"/>
    <w:rsid w:val="00414DBB"/>
    <w:rsid w:val="00415061"/>
    <w:rsid w:val="00415190"/>
    <w:rsid w:val="004151B4"/>
    <w:rsid w:val="0041546C"/>
    <w:rsid w:val="00415540"/>
    <w:rsid w:val="004155E4"/>
    <w:rsid w:val="0041563C"/>
    <w:rsid w:val="00415A16"/>
    <w:rsid w:val="00415BEB"/>
    <w:rsid w:val="00415E65"/>
    <w:rsid w:val="00415FD2"/>
    <w:rsid w:val="0041609A"/>
    <w:rsid w:val="0041624D"/>
    <w:rsid w:val="004164F7"/>
    <w:rsid w:val="00416531"/>
    <w:rsid w:val="00416590"/>
    <w:rsid w:val="004166EA"/>
    <w:rsid w:val="004166FD"/>
    <w:rsid w:val="004167A5"/>
    <w:rsid w:val="00416DCF"/>
    <w:rsid w:val="00416DFC"/>
    <w:rsid w:val="00416E92"/>
    <w:rsid w:val="00416EC8"/>
    <w:rsid w:val="004170ED"/>
    <w:rsid w:val="00417116"/>
    <w:rsid w:val="004171B0"/>
    <w:rsid w:val="004173AC"/>
    <w:rsid w:val="004177C4"/>
    <w:rsid w:val="004178AD"/>
    <w:rsid w:val="00417916"/>
    <w:rsid w:val="004179EE"/>
    <w:rsid w:val="00417A84"/>
    <w:rsid w:val="00417BD4"/>
    <w:rsid w:val="0042002F"/>
    <w:rsid w:val="00420051"/>
    <w:rsid w:val="004201BD"/>
    <w:rsid w:val="0042040D"/>
    <w:rsid w:val="0042046C"/>
    <w:rsid w:val="004204D2"/>
    <w:rsid w:val="0042077B"/>
    <w:rsid w:val="004207A3"/>
    <w:rsid w:val="004208A9"/>
    <w:rsid w:val="00420A6A"/>
    <w:rsid w:val="00420B89"/>
    <w:rsid w:val="00420BC6"/>
    <w:rsid w:val="00420CEE"/>
    <w:rsid w:val="004210C3"/>
    <w:rsid w:val="00421174"/>
    <w:rsid w:val="00421419"/>
    <w:rsid w:val="00421611"/>
    <w:rsid w:val="004216BD"/>
    <w:rsid w:val="004219C6"/>
    <w:rsid w:val="00421A4A"/>
    <w:rsid w:val="00421B24"/>
    <w:rsid w:val="00421F72"/>
    <w:rsid w:val="00422036"/>
    <w:rsid w:val="00422057"/>
    <w:rsid w:val="00422064"/>
    <w:rsid w:val="00422067"/>
    <w:rsid w:val="004220A4"/>
    <w:rsid w:val="00422283"/>
    <w:rsid w:val="00422299"/>
    <w:rsid w:val="00422423"/>
    <w:rsid w:val="00422961"/>
    <w:rsid w:val="004229A1"/>
    <w:rsid w:val="00422A62"/>
    <w:rsid w:val="00422C0D"/>
    <w:rsid w:val="00422C23"/>
    <w:rsid w:val="00422C89"/>
    <w:rsid w:val="00422EB0"/>
    <w:rsid w:val="00422F44"/>
    <w:rsid w:val="00422FCD"/>
    <w:rsid w:val="00422FE8"/>
    <w:rsid w:val="004232C4"/>
    <w:rsid w:val="004232C8"/>
    <w:rsid w:val="0042342F"/>
    <w:rsid w:val="004234DA"/>
    <w:rsid w:val="00423555"/>
    <w:rsid w:val="0042365A"/>
    <w:rsid w:val="0042390D"/>
    <w:rsid w:val="00423998"/>
    <w:rsid w:val="00423AB0"/>
    <w:rsid w:val="00423B7E"/>
    <w:rsid w:val="00423C4F"/>
    <w:rsid w:val="00423C71"/>
    <w:rsid w:val="00423EB0"/>
    <w:rsid w:val="00423FEE"/>
    <w:rsid w:val="00424115"/>
    <w:rsid w:val="0042436A"/>
    <w:rsid w:val="00424412"/>
    <w:rsid w:val="004244F3"/>
    <w:rsid w:val="00424713"/>
    <w:rsid w:val="004247EF"/>
    <w:rsid w:val="0042492A"/>
    <w:rsid w:val="00424B64"/>
    <w:rsid w:val="00424CB3"/>
    <w:rsid w:val="00424D84"/>
    <w:rsid w:val="00424E1F"/>
    <w:rsid w:val="00424EC4"/>
    <w:rsid w:val="00424F0F"/>
    <w:rsid w:val="00425042"/>
    <w:rsid w:val="004252CF"/>
    <w:rsid w:val="004252E1"/>
    <w:rsid w:val="00425574"/>
    <w:rsid w:val="004255B8"/>
    <w:rsid w:val="0042578A"/>
    <w:rsid w:val="004259A8"/>
    <w:rsid w:val="00425CBB"/>
    <w:rsid w:val="00425D20"/>
    <w:rsid w:val="00425DE8"/>
    <w:rsid w:val="00425E5A"/>
    <w:rsid w:val="00425F7D"/>
    <w:rsid w:val="00425FF4"/>
    <w:rsid w:val="004262C0"/>
    <w:rsid w:val="004263B2"/>
    <w:rsid w:val="004264AF"/>
    <w:rsid w:val="00426958"/>
    <w:rsid w:val="0042695A"/>
    <w:rsid w:val="00426BE2"/>
    <w:rsid w:val="00426C8D"/>
    <w:rsid w:val="00426CD9"/>
    <w:rsid w:val="00426D5C"/>
    <w:rsid w:val="00426E7A"/>
    <w:rsid w:val="00426FEC"/>
    <w:rsid w:val="00427069"/>
    <w:rsid w:val="0042728B"/>
    <w:rsid w:val="00427522"/>
    <w:rsid w:val="00427524"/>
    <w:rsid w:val="004275A4"/>
    <w:rsid w:val="00427753"/>
    <w:rsid w:val="004279C0"/>
    <w:rsid w:val="00427A18"/>
    <w:rsid w:val="00427BF7"/>
    <w:rsid w:val="004302FE"/>
    <w:rsid w:val="00430398"/>
    <w:rsid w:val="004303D5"/>
    <w:rsid w:val="004304A0"/>
    <w:rsid w:val="004304BC"/>
    <w:rsid w:val="00430524"/>
    <w:rsid w:val="00430611"/>
    <w:rsid w:val="00430699"/>
    <w:rsid w:val="00430734"/>
    <w:rsid w:val="00430786"/>
    <w:rsid w:val="00430815"/>
    <w:rsid w:val="0043089D"/>
    <w:rsid w:val="00430980"/>
    <w:rsid w:val="0043098D"/>
    <w:rsid w:val="00430993"/>
    <w:rsid w:val="00430A3E"/>
    <w:rsid w:val="00430B07"/>
    <w:rsid w:val="00430D0E"/>
    <w:rsid w:val="00430E0E"/>
    <w:rsid w:val="00430EB5"/>
    <w:rsid w:val="00430F39"/>
    <w:rsid w:val="00431075"/>
    <w:rsid w:val="004311B1"/>
    <w:rsid w:val="0043124D"/>
    <w:rsid w:val="00431428"/>
    <w:rsid w:val="004315B0"/>
    <w:rsid w:val="00431614"/>
    <w:rsid w:val="0043164F"/>
    <w:rsid w:val="00431B1B"/>
    <w:rsid w:val="00431BA2"/>
    <w:rsid w:val="00431FA9"/>
    <w:rsid w:val="004322F4"/>
    <w:rsid w:val="0043239C"/>
    <w:rsid w:val="004325D7"/>
    <w:rsid w:val="00432692"/>
    <w:rsid w:val="004327DF"/>
    <w:rsid w:val="004328DF"/>
    <w:rsid w:val="004329B2"/>
    <w:rsid w:val="00432E11"/>
    <w:rsid w:val="00432E33"/>
    <w:rsid w:val="00432EDA"/>
    <w:rsid w:val="0043317D"/>
    <w:rsid w:val="00433298"/>
    <w:rsid w:val="004334BF"/>
    <w:rsid w:val="00433898"/>
    <w:rsid w:val="00433AC4"/>
    <w:rsid w:val="00433D93"/>
    <w:rsid w:val="00433EDF"/>
    <w:rsid w:val="00433F4E"/>
    <w:rsid w:val="0043406F"/>
    <w:rsid w:val="0043416D"/>
    <w:rsid w:val="0043422F"/>
    <w:rsid w:val="00434401"/>
    <w:rsid w:val="0043473C"/>
    <w:rsid w:val="004347FB"/>
    <w:rsid w:val="00434802"/>
    <w:rsid w:val="00434813"/>
    <w:rsid w:val="00434816"/>
    <w:rsid w:val="004348DF"/>
    <w:rsid w:val="00434A9C"/>
    <w:rsid w:val="00434C74"/>
    <w:rsid w:val="00434F90"/>
    <w:rsid w:val="00435186"/>
    <w:rsid w:val="0043553D"/>
    <w:rsid w:val="00435588"/>
    <w:rsid w:val="004356D5"/>
    <w:rsid w:val="004356DB"/>
    <w:rsid w:val="00435772"/>
    <w:rsid w:val="00435963"/>
    <w:rsid w:val="0043596A"/>
    <w:rsid w:val="00435ABB"/>
    <w:rsid w:val="00435C00"/>
    <w:rsid w:val="00435C3B"/>
    <w:rsid w:val="00435CD3"/>
    <w:rsid w:val="00435D49"/>
    <w:rsid w:val="00436236"/>
    <w:rsid w:val="0043645E"/>
    <w:rsid w:val="00436484"/>
    <w:rsid w:val="004366A7"/>
    <w:rsid w:val="0043686F"/>
    <w:rsid w:val="00436A91"/>
    <w:rsid w:val="00436CF8"/>
    <w:rsid w:val="00436E41"/>
    <w:rsid w:val="00436F08"/>
    <w:rsid w:val="00437054"/>
    <w:rsid w:val="004371FE"/>
    <w:rsid w:val="0043759D"/>
    <w:rsid w:val="0043767D"/>
    <w:rsid w:val="004376EB"/>
    <w:rsid w:val="004377A3"/>
    <w:rsid w:val="004377A7"/>
    <w:rsid w:val="004378BF"/>
    <w:rsid w:val="00437A2D"/>
    <w:rsid w:val="00437AAA"/>
    <w:rsid w:val="00437AD9"/>
    <w:rsid w:val="00437AE7"/>
    <w:rsid w:val="00437E40"/>
    <w:rsid w:val="00437E69"/>
    <w:rsid w:val="00437F26"/>
    <w:rsid w:val="00437F50"/>
    <w:rsid w:val="00437FCA"/>
    <w:rsid w:val="0044003E"/>
    <w:rsid w:val="00440176"/>
    <w:rsid w:val="004401FE"/>
    <w:rsid w:val="004402F1"/>
    <w:rsid w:val="004403E2"/>
    <w:rsid w:val="00440706"/>
    <w:rsid w:val="004407B8"/>
    <w:rsid w:val="004407BF"/>
    <w:rsid w:val="004409C5"/>
    <w:rsid w:val="00440A7E"/>
    <w:rsid w:val="00440D06"/>
    <w:rsid w:val="00440DC8"/>
    <w:rsid w:val="00440F0C"/>
    <w:rsid w:val="004410B4"/>
    <w:rsid w:val="004411EA"/>
    <w:rsid w:val="00441207"/>
    <w:rsid w:val="0044166F"/>
    <w:rsid w:val="00441A7B"/>
    <w:rsid w:val="00441B82"/>
    <w:rsid w:val="00441F10"/>
    <w:rsid w:val="00441F9F"/>
    <w:rsid w:val="00441FC5"/>
    <w:rsid w:val="0044201F"/>
    <w:rsid w:val="00442038"/>
    <w:rsid w:val="0044218E"/>
    <w:rsid w:val="00442200"/>
    <w:rsid w:val="004422EB"/>
    <w:rsid w:val="00442338"/>
    <w:rsid w:val="004426A6"/>
    <w:rsid w:val="004428F1"/>
    <w:rsid w:val="00442900"/>
    <w:rsid w:val="00442E5C"/>
    <w:rsid w:val="00442E8A"/>
    <w:rsid w:val="00442E94"/>
    <w:rsid w:val="00442ED6"/>
    <w:rsid w:val="004430E0"/>
    <w:rsid w:val="0044316A"/>
    <w:rsid w:val="004431D5"/>
    <w:rsid w:val="0044329C"/>
    <w:rsid w:val="00443382"/>
    <w:rsid w:val="004433D5"/>
    <w:rsid w:val="004433EB"/>
    <w:rsid w:val="00443589"/>
    <w:rsid w:val="00443610"/>
    <w:rsid w:val="00443713"/>
    <w:rsid w:val="00443911"/>
    <w:rsid w:val="00443B04"/>
    <w:rsid w:val="00443BF2"/>
    <w:rsid w:val="0044449E"/>
    <w:rsid w:val="004444BC"/>
    <w:rsid w:val="00444550"/>
    <w:rsid w:val="004445C4"/>
    <w:rsid w:val="0044463E"/>
    <w:rsid w:val="0044467F"/>
    <w:rsid w:val="004448A8"/>
    <w:rsid w:val="00444BE2"/>
    <w:rsid w:val="00444E17"/>
    <w:rsid w:val="00444E36"/>
    <w:rsid w:val="00444F39"/>
    <w:rsid w:val="004452C3"/>
    <w:rsid w:val="00445397"/>
    <w:rsid w:val="004454F8"/>
    <w:rsid w:val="0044554F"/>
    <w:rsid w:val="00445642"/>
    <w:rsid w:val="00445842"/>
    <w:rsid w:val="004458D4"/>
    <w:rsid w:val="004458EC"/>
    <w:rsid w:val="00445A02"/>
    <w:rsid w:val="00445A61"/>
    <w:rsid w:val="00445AEC"/>
    <w:rsid w:val="00445D51"/>
    <w:rsid w:val="00446011"/>
    <w:rsid w:val="004460A3"/>
    <w:rsid w:val="00446138"/>
    <w:rsid w:val="00446351"/>
    <w:rsid w:val="00446445"/>
    <w:rsid w:val="004468B4"/>
    <w:rsid w:val="004468DD"/>
    <w:rsid w:val="00446980"/>
    <w:rsid w:val="00446E7D"/>
    <w:rsid w:val="00446FEA"/>
    <w:rsid w:val="00447076"/>
    <w:rsid w:val="00447168"/>
    <w:rsid w:val="0044733A"/>
    <w:rsid w:val="00447403"/>
    <w:rsid w:val="004475FB"/>
    <w:rsid w:val="00447DCE"/>
    <w:rsid w:val="00447F75"/>
    <w:rsid w:val="0045012B"/>
    <w:rsid w:val="004502DF"/>
    <w:rsid w:val="004507A7"/>
    <w:rsid w:val="00450840"/>
    <w:rsid w:val="004509A3"/>
    <w:rsid w:val="00450E11"/>
    <w:rsid w:val="00450E92"/>
    <w:rsid w:val="00450F44"/>
    <w:rsid w:val="00450FB6"/>
    <w:rsid w:val="004511D1"/>
    <w:rsid w:val="0045120F"/>
    <w:rsid w:val="004512C0"/>
    <w:rsid w:val="0045147A"/>
    <w:rsid w:val="004517FE"/>
    <w:rsid w:val="004519A7"/>
    <w:rsid w:val="00451A8A"/>
    <w:rsid w:val="00451E61"/>
    <w:rsid w:val="00451E94"/>
    <w:rsid w:val="00451FE6"/>
    <w:rsid w:val="00452015"/>
    <w:rsid w:val="004520EF"/>
    <w:rsid w:val="00452134"/>
    <w:rsid w:val="004521CB"/>
    <w:rsid w:val="004522D2"/>
    <w:rsid w:val="00452341"/>
    <w:rsid w:val="0045236C"/>
    <w:rsid w:val="004523AC"/>
    <w:rsid w:val="004523B0"/>
    <w:rsid w:val="004523DC"/>
    <w:rsid w:val="004527FD"/>
    <w:rsid w:val="00452A20"/>
    <w:rsid w:val="00452C11"/>
    <w:rsid w:val="00452F56"/>
    <w:rsid w:val="004530C0"/>
    <w:rsid w:val="0045319A"/>
    <w:rsid w:val="00453291"/>
    <w:rsid w:val="004534D1"/>
    <w:rsid w:val="004535AD"/>
    <w:rsid w:val="004536AC"/>
    <w:rsid w:val="00453783"/>
    <w:rsid w:val="004537F0"/>
    <w:rsid w:val="0045392E"/>
    <w:rsid w:val="004539C2"/>
    <w:rsid w:val="004539C8"/>
    <w:rsid w:val="00453D3F"/>
    <w:rsid w:val="00453DBE"/>
    <w:rsid w:val="00453DFE"/>
    <w:rsid w:val="00453EFC"/>
    <w:rsid w:val="00454073"/>
    <w:rsid w:val="00454083"/>
    <w:rsid w:val="0045435D"/>
    <w:rsid w:val="004545D3"/>
    <w:rsid w:val="00454610"/>
    <w:rsid w:val="004546F3"/>
    <w:rsid w:val="0045473A"/>
    <w:rsid w:val="00454920"/>
    <w:rsid w:val="0045492C"/>
    <w:rsid w:val="00454AFB"/>
    <w:rsid w:val="00454BFF"/>
    <w:rsid w:val="00454D75"/>
    <w:rsid w:val="00454EB0"/>
    <w:rsid w:val="00454F5A"/>
    <w:rsid w:val="00455273"/>
    <w:rsid w:val="004554C6"/>
    <w:rsid w:val="0045553B"/>
    <w:rsid w:val="004559BC"/>
    <w:rsid w:val="00455B20"/>
    <w:rsid w:val="00455B2C"/>
    <w:rsid w:val="00455C01"/>
    <w:rsid w:val="00455C2C"/>
    <w:rsid w:val="00455D57"/>
    <w:rsid w:val="00455FEE"/>
    <w:rsid w:val="00456043"/>
    <w:rsid w:val="0045630F"/>
    <w:rsid w:val="004563BB"/>
    <w:rsid w:val="00456494"/>
    <w:rsid w:val="00456496"/>
    <w:rsid w:val="00456561"/>
    <w:rsid w:val="00456736"/>
    <w:rsid w:val="0045689A"/>
    <w:rsid w:val="004569F5"/>
    <w:rsid w:val="00456A7A"/>
    <w:rsid w:val="00456A82"/>
    <w:rsid w:val="00456B69"/>
    <w:rsid w:val="00456BE1"/>
    <w:rsid w:val="00456CFE"/>
    <w:rsid w:val="00456D5C"/>
    <w:rsid w:val="00456F65"/>
    <w:rsid w:val="00456FAF"/>
    <w:rsid w:val="004571F7"/>
    <w:rsid w:val="004572FF"/>
    <w:rsid w:val="0045733E"/>
    <w:rsid w:val="00457401"/>
    <w:rsid w:val="0045742D"/>
    <w:rsid w:val="004575D9"/>
    <w:rsid w:val="004575DE"/>
    <w:rsid w:val="0045769D"/>
    <w:rsid w:val="00457800"/>
    <w:rsid w:val="00457B07"/>
    <w:rsid w:val="00457BE4"/>
    <w:rsid w:val="00457DB5"/>
    <w:rsid w:val="00457DBA"/>
    <w:rsid w:val="00457DE5"/>
    <w:rsid w:val="00457DF2"/>
    <w:rsid w:val="00457E03"/>
    <w:rsid w:val="00460023"/>
    <w:rsid w:val="00460031"/>
    <w:rsid w:val="004600D6"/>
    <w:rsid w:val="0046023F"/>
    <w:rsid w:val="00460616"/>
    <w:rsid w:val="00460681"/>
    <w:rsid w:val="00460695"/>
    <w:rsid w:val="0046078F"/>
    <w:rsid w:val="00460829"/>
    <w:rsid w:val="00460845"/>
    <w:rsid w:val="00460988"/>
    <w:rsid w:val="00460B98"/>
    <w:rsid w:val="004610F5"/>
    <w:rsid w:val="00461230"/>
    <w:rsid w:val="004612DE"/>
    <w:rsid w:val="00461866"/>
    <w:rsid w:val="004618E3"/>
    <w:rsid w:val="004618FE"/>
    <w:rsid w:val="004619B8"/>
    <w:rsid w:val="00461BA9"/>
    <w:rsid w:val="00461D1F"/>
    <w:rsid w:val="00461D9A"/>
    <w:rsid w:val="00461DED"/>
    <w:rsid w:val="00461E2F"/>
    <w:rsid w:val="00461E37"/>
    <w:rsid w:val="00461ED5"/>
    <w:rsid w:val="0046215D"/>
    <w:rsid w:val="004623E3"/>
    <w:rsid w:val="0046245B"/>
    <w:rsid w:val="004624A9"/>
    <w:rsid w:val="00462563"/>
    <w:rsid w:val="00462591"/>
    <w:rsid w:val="0046267C"/>
    <w:rsid w:val="0046293D"/>
    <w:rsid w:val="00462AC9"/>
    <w:rsid w:val="00462B1A"/>
    <w:rsid w:val="00462B37"/>
    <w:rsid w:val="00462C8D"/>
    <w:rsid w:val="00462D66"/>
    <w:rsid w:val="00462DBE"/>
    <w:rsid w:val="00462E32"/>
    <w:rsid w:val="0046324A"/>
    <w:rsid w:val="00463376"/>
    <w:rsid w:val="00463391"/>
    <w:rsid w:val="004633D2"/>
    <w:rsid w:val="0046352A"/>
    <w:rsid w:val="00463690"/>
    <w:rsid w:val="004636E2"/>
    <w:rsid w:val="00463FC4"/>
    <w:rsid w:val="00464062"/>
    <w:rsid w:val="0046412A"/>
    <w:rsid w:val="00464683"/>
    <w:rsid w:val="004646A2"/>
    <w:rsid w:val="00464996"/>
    <w:rsid w:val="00464CC8"/>
    <w:rsid w:val="00464DB5"/>
    <w:rsid w:val="00464EB4"/>
    <w:rsid w:val="004650CF"/>
    <w:rsid w:val="004651FB"/>
    <w:rsid w:val="00465352"/>
    <w:rsid w:val="00465358"/>
    <w:rsid w:val="0046537A"/>
    <w:rsid w:val="00465431"/>
    <w:rsid w:val="00465556"/>
    <w:rsid w:val="00465912"/>
    <w:rsid w:val="0046598B"/>
    <w:rsid w:val="00465990"/>
    <w:rsid w:val="00465998"/>
    <w:rsid w:val="00466080"/>
    <w:rsid w:val="00466149"/>
    <w:rsid w:val="004665FF"/>
    <w:rsid w:val="0046662B"/>
    <w:rsid w:val="0046677C"/>
    <w:rsid w:val="00466AC4"/>
    <w:rsid w:val="00466B9B"/>
    <w:rsid w:val="00466BC0"/>
    <w:rsid w:val="00466D98"/>
    <w:rsid w:val="00466E14"/>
    <w:rsid w:val="00466E3B"/>
    <w:rsid w:val="004675D9"/>
    <w:rsid w:val="00467650"/>
    <w:rsid w:val="00467675"/>
    <w:rsid w:val="0046780A"/>
    <w:rsid w:val="00467893"/>
    <w:rsid w:val="00467A25"/>
    <w:rsid w:val="00467C83"/>
    <w:rsid w:val="00467E00"/>
    <w:rsid w:val="00467EBC"/>
    <w:rsid w:val="00467FBC"/>
    <w:rsid w:val="0047004A"/>
    <w:rsid w:val="004700DA"/>
    <w:rsid w:val="00470116"/>
    <w:rsid w:val="00470129"/>
    <w:rsid w:val="00470318"/>
    <w:rsid w:val="0047035F"/>
    <w:rsid w:val="00470390"/>
    <w:rsid w:val="00470406"/>
    <w:rsid w:val="00470630"/>
    <w:rsid w:val="00470745"/>
    <w:rsid w:val="00470840"/>
    <w:rsid w:val="00470893"/>
    <w:rsid w:val="0047093C"/>
    <w:rsid w:val="00470A70"/>
    <w:rsid w:val="00470A7E"/>
    <w:rsid w:val="00470B58"/>
    <w:rsid w:val="00470D74"/>
    <w:rsid w:val="00470ECA"/>
    <w:rsid w:val="00470FFC"/>
    <w:rsid w:val="0047107F"/>
    <w:rsid w:val="004710D1"/>
    <w:rsid w:val="00471153"/>
    <w:rsid w:val="004711B9"/>
    <w:rsid w:val="00471293"/>
    <w:rsid w:val="004712C3"/>
    <w:rsid w:val="00471471"/>
    <w:rsid w:val="004714D0"/>
    <w:rsid w:val="004716C4"/>
    <w:rsid w:val="004717C4"/>
    <w:rsid w:val="004719C8"/>
    <w:rsid w:val="00471ADA"/>
    <w:rsid w:val="00471BB4"/>
    <w:rsid w:val="00471BB5"/>
    <w:rsid w:val="00471D58"/>
    <w:rsid w:val="00471DB0"/>
    <w:rsid w:val="00472131"/>
    <w:rsid w:val="0047220C"/>
    <w:rsid w:val="0047249C"/>
    <w:rsid w:val="004724C5"/>
    <w:rsid w:val="00472526"/>
    <w:rsid w:val="00472697"/>
    <w:rsid w:val="0047270B"/>
    <w:rsid w:val="004727FA"/>
    <w:rsid w:val="004728AC"/>
    <w:rsid w:val="00472991"/>
    <w:rsid w:val="004729EE"/>
    <w:rsid w:val="00472A8A"/>
    <w:rsid w:val="00472E1F"/>
    <w:rsid w:val="004730A9"/>
    <w:rsid w:val="004730C7"/>
    <w:rsid w:val="004730F2"/>
    <w:rsid w:val="004732A7"/>
    <w:rsid w:val="00473314"/>
    <w:rsid w:val="0047358F"/>
    <w:rsid w:val="004736A7"/>
    <w:rsid w:val="004736E4"/>
    <w:rsid w:val="0047392B"/>
    <w:rsid w:val="00473979"/>
    <w:rsid w:val="004739B8"/>
    <w:rsid w:val="00473B5A"/>
    <w:rsid w:val="00473C13"/>
    <w:rsid w:val="00473D03"/>
    <w:rsid w:val="00473D23"/>
    <w:rsid w:val="00473D7B"/>
    <w:rsid w:val="00473DBE"/>
    <w:rsid w:val="00473F4C"/>
    <w:rsid w:val="004741FA"/>
    <w:rsid w:val="00474201"/>
    <w:rsid w:val="004748A9"/>
    <w:rsid w:val="004748FE"/>
    <w:rsid w:val="004749DC"/>
    <w:rsid w:val="00474AC1"/>
    <w:rsid w:val="00474B2E"/>
    <w:rsid w:val="00474CFD"/>
    <w:rsid w:val="00474DD4"/>
    <w:rsid w:val="00474FD5"/>
    <w:rsid w:val="0047515C"/>
    <w:rsid w:val="00475167"/>
    <w:rsid w:val="004751C2"/>
    <w:rsid w:val="0047522C"/>
    <w:rsid w:val="004753B8"/>
    <w:rsid w:val="00475451"/>
    <w:rsid w:val="00475496"/>
    <w:rsid w:val="00475608"/>
    <w:rsid w:val="00475686"/>
    <w:rsid w:val="004756D1"/>
    <w:rsid w:val="004756E8"/>
    <w:rsid w:val="0047594C"/>
    <w:rsid w:val="00475A33"/>
    <w:rsid w:val="00475C0B"/>
    <w:rsid w:val="00475CDF"/>
    <w:rsid w:val="00475D4E"/>
    <w:rsid w:val="00475DA1"/>
    <w:rsid w:val="00476212"/>
    <w:rsid w:val="0047621E"/>
    <w:rsid w:val="00476313"/>
    <w:rsid w:val="004765BA"/>
    <w:rsid w:val="0047665E"/>
    <w:rsid w:val="00476693"/>
    <w:rsid w:val="00476708"/>
    <w:rsid w:val="004767B2"/>
    <w:rsid w:val="0047680B"/>
    <w:rsid w:val="00476865"/>
    <w:rsid w:val="00476872"/>
    <w:rsid w:val="00476922"/>
    <w:rsid w:val="004769C9"/>
    <w:rsid w:val="00476D9A"/>
    <w:rsid w:val="00476E73"/>
    <w:rsid w:val="004772FA"/>
    <w:rsid w:val="0047746C"/>
    <w:rsid w:val="00477514"/>
    <w:rsid w:val="0047763D"/>
    <w:rsid w:val="004776A7"/>
    <w:rsid w:val="004776E0"/>
    <w:rsid w:val="00477750"/>
    <w:rsid w:val="0047792A"/>
    <w:rsid w:val="00477B99"/>
    <w:rsid w:val="00477BC0"/>
    <w:rsid w:val="00477D4E"/>
    <w:rsid w:val="004800DE"/>
    <w:rsid w:val="0048011B"/>
    <w:rsid w:val="00480150"/>
    <w:rsid w:val="0048034C"/>
    <w:rsid w:val="004803BD"/>
    <w:rsid w:val="00480498"/>
    <w:rsid w:val="004804D1"/>
    <w:rsid w:val="0048077E"/>
    <w:rsid w:val="0048093A"/>
    <w:rsid w:val="00480A8F"/>
    <w:rsid w:val="00480BF3"/>
    <w:rsid w:val="00480C20"/>
    <w:rsid w:val="00480C4B"/>
    <w:rsid w:val="00480DD1"/>
    <w:rsid w:val="00480E24"/>
    <w:rsid w:val="00480E3B"/>
    <w:rsid w:val="00480E51"/>
    <w:rsid w:val="00480E85"/>
    <w:rsid w:val="00481000"/>
    <w:rsid w:val="0048145B"/>
    <w:rsid w:val="00481698"/>
    <w:rsid w:val="00481735"/>
    <w:rsid w:val="00481798"/>
    <w:rsid w:val="004817AD"/>
    <w:rsid w:val="0048190D"/>
    <w:rsid w:val="00481A68"/>
    <w:rsid w:val="00481B34"/>
    <w:rsid w:val="00481B60"/>
    <w:rsid w:val="00481BF2"/>
    <w:rsid w:val="00481BFF"/>
    <w:rsid w:val="00481C09"/>
    <w:rsid w:val="00481DB8"/>
    <w:rsid w:val="00481F08"/>
    <w:rsid w:val="00481F84"/>
    <w:rsid w:val="004824AB"/>
    <w:rsid w:val="00482722"/>
    <w:rsid w:val="004827C6"/>
    <w:rsid w:val="00482856"/>
    <w:rsid w:val="00482A45"/>
    <w:rsid w:val="00482AF1"/>
    <w:rsid w:val="00482AFD"/>
    <w:rsid w:val="00482DE8"/>
    <w:rsid w:val="00482DEA"/>
    <w:rsid w:val="00482F0A"/>
    <w:rsid w:val="00482F7E"/>
    <w:rsid w:val="00482FB9"/>
    <w:rsid w:val="0048313A"/>
    <w:rsid w:val="0048330F"/>
    <w:rsid w:val="0048334D"/>
    <w:rsid w:val="00483352"/>
    <w:rsid w:val="00483555"/>
    <w:rsid w:val="00483665"/>
    <w:rsid w:val="0048391B"/>
    <w:rsid w:val="00483980"/>
    <w:rsid w:val="00483992"/>
    <w:rsid w:val="00483A09"/>
    <w:rsid w:val="00483A0C"/>
    <w:rsid w:val="00483B76"/>
    <w:rsid w:val="00483CC3"/>
    <w:rsid w:val="00484281"/>
    <w:rsid w:val="0048435A"/>
    <w:rsid w:val="00484373"/>
    <w:rsid w:val="004849DA"/>
    <w:rsid w:val="00484AEA"/>
    <w:rsid w:val="00484CAC"/>
    <w:rsid w:val="00484D09"/>
    <w:rsid w:val="00484DB2"/>
    <w:rsid w:val="00484E62"/>
    <w:rsid w:val="00484FB9"/>
    <w:rsid w:val="00485217"/>
    <w:rsid w:val="00485241"/>
    <w:rsid w:val="004852CC"/>
    <w:rsid w:val="0048534C"/>
    <w:rsid w:val="00485365"/>
    <w:rsid w:val="0048540B"/>
    <w:rsid w:val="0048543A"/>
    <w:rsid w:val="0048566F"/>
    <w:rsid w:val="00485A2B"/>
    <w:rsid w:val="00485D36"/>
    <w:rsid w:val="00485D40"/>
    <w:rsid w:val="00485EA2"/>
    <w:rsid w:val="00485EE9"/>
    <w:rsid w:val="00486050"/>
    <w:rsid w:val="004861AA"/>
    <w:rsid w:val="0048646F"/>
    <w:rsid w:val="0048663F"/>
    <w:rsid w:val="004866CF"/>
    <w:rsid w:val="0048682C"/>
    <w:rsid w:val="00486969"/>
    <w:rsid w:val="0048698A"/>
    <w:rsid w:val="00486C47"/>
    <w:rsid w:val="00486CC5"/>
    <w:rsid w:val="00486EBD"/>
    <w:rsid w:val="004872D6"/>
    <w:rsid w:val="004872DB"/>
    <w:rsid w:val="00487571"/>
    <w:rsid w:val="004875B2"/>
    <w:rsid w:val="004875D7"/>
    <w:rsid w:val="0048779D"/>
    <w:rsid w:val="004877BB"/>
    <w:rsid w:val="004879BF"/>
    <w:rsid w:val="00487A2E"/>
    <w:rsid w:val="00487BB5"/>
    <w:rsid w:val="00487BC8"/>
    <w:rsid w:val="00487E4F"/>
    <w:rsid w:val="004901A1"/>
    <w:rsid w:val="004902EF"/>
    <w:rsid w:val="00490340"/>
    <w:rsid w:val="00490394"/>
    <w:rsid w:val="00490A2C"/>
    <w:rsid w:val="00490C4E"/>
    <w:rsid w:val="00490D1D"/>
    <w:rsid w:val="00490E2E"/>
    <w:rsid w:val="00490EE9"/>
    <w:rsid w:val="00491010"/>
    <w:rsid w:val="00491356"/>
    <w:rsid w:val="004913E9"/>
    <w:rsid w:val="00491412"/>
    <w:rsid w:val="0049147C"/>
    <w:rsid w:val="004914D5"/>
    <w:rsid w:val="00491583"/>
    <w:rsid w:val="004916D7"/>
    <w:rsid w:val="004917B9"/>
    <w:rsid w:val="0049195D"/>
    <w:rsid w:val="00491AB9"/>
    <w:rsid w:val="00491B10"/>
    <w:rsid w:val="00491BE7"/>
    <w:rsid w:val="00491D83"/>
    <w:rsid w:val="00491EDB"/>
    <w:rsid w:val="00491FBD"/>
    <w:rsid w:val="00492069"/>
    <w:rsid w:val="00492112"/>
    <w:rsid w:val="004921A6"/>
    <w:rsid w:val="00492250"/>
    <w:rsid w:val="0049226E"/>
    <w:rsid w:val="00492378"/>
    <w:rsid w:val="00492551"/>
    <w:rsid w:val="004925B2"/>
    <w:rsid w:val="004925EB"/>
    <w:rsid w:val="0049273E"/>
    <w:rsid w:val="0049276F"/>
    <w:rsid w:val="004927A3"/>
    <w:rsid w:val="004928D2"/>
    <w:rsid w:val="004929A5"/>
    <w:rsid w:val="00492A3B"/>
    <w:rsid w:val="00492A54"/>
    <w:rsid w:val="00492AAA"/>
    <w:rsid w:val="00492D70"/>
    <w:rsid w:val="00492D7D"/>
    <w:rsid w:val="00492E1C"/>
    <w:rsid w:val="00492EDF"/>
    <w:rsid w:val="00492F21"/>
    <w:rsid w:val="00492F76"/>
    <w:rsid w:val="00493084"/>
    <w:rsid w:val="0049317A"/>
    <w:rsid w:val="0049332C"/>
    <w:rsid w:val="004934B4"/>
    <w:rsid w:val="004935FB"/>
    <w:rsid w:val="00493694"/>
    <w:rsid w:val="004939F0"/>
    <w:rsid w:val="004939FC"/>
    <w:rsid w:val="00494109"/>
    <w:rsid w:val="00494310"/>
    <w:rsid w:val="004943B3"/>
    <w:rsid w:val="00494557"/>
    <w:rsid w:val="00494572"/>
    <w:rsid w:val="004946A3"/>
    <w:rsid w:val="00494796"/>
    <w:rsid w:val="004948F3"/>
    <w:rsid w:val="004948F9"/>
    <w:rsid w:val="0049490A"/>
    <w:rsid w:val="00494A5D"/>
    <w:rsid w:val="00494AD6"/>
    <w:rsid w:val="00494C13"/>
    <w:rsid w:val="00494C91"/>
    <w:rsid w:val="00494FB1"/>
    <w:rsid w:val="00495019"/>
    <w:rsid w:val="004950FE"/>
    <w:rsid w:val="00495365"/>
    <w:rsid w:val="004954B2"/>
    <w:rsid w:val="00495511"/>
    <w:rsid w:val="0049555D"/>
    <w:rsid w:val="00495562"/>
    <w:rsid w:val="0049557D"/>
    <w:rsid w:val="004956BE"/>
    <w:rsid w:val="00495C15"/>
    <w:rsid w:val="00495CA1"/>
    <w:rsid w:val="0049602B"/>
    <w:rsid w:val="00496080"/>
    <w:rsid w:val="00496145"/>
    <w:rsid w:val="004962B4"/>
    <w:rsid w:val="0049639F"/>
    <w:rsid w:val="004966C7"/>
    <w:rsid w:val="00496744"/>
    <w:rsid w:val="004967DA"/>
    <w:rsid w:val="004968FB"/>
    <w:rsid w:val="00496CBB"/>
    <w:rsid w:val="00496DC9"/>
    <w:rsid w:val="00496E6C"/>
    <w:rsid w:val="00496F26"/>
    <w:rsid w:val="00496FE6"/>
    <w:rsid w:val="00497272"/>
    <w:rsid w:val="004972BC"/>
    <w:rsid w:val="004972D2"/>
    <w:rsid w:val="004975BD"/>
    <w:rsid w:val="004975CF"/>
    <w:rsid w:val="00497A44"/>
    <w:rsid w:val="00497B60"/>
    <w:rsid w:val="00497BFA"/>
    <w:rsid w:val="00497C7A"/>
    <w:rsid w:val="00497CB8"/>
    <w:rsid w:val="00497E57"/>
    <w:rsid w:val="00497E65"/>
    <w:rsid w:val="00497F93"/>
    <w:rsid w:val="004A0171"/>
    <w:rsid w:val="004A02A5"/>
    <w:rsid w:val="004A07A9"/>
    <w:rsid w:val="004A08A3"/>
    <w:rsid w:val="004A08E6"/>
    <w:rsid w:val="004A0932"/>
    <w:rsid w:val="004A0C41"/>
    <w:rsid w:val="004A0D9E"/>
    <w:rsid w:val="004A0E4B"/>
    <w:rsid w:val="004A0F8E"/>
    <w:rsid w:val="004A106A"/>
    <w:rsid w:val="004A1098"/>
    <w:rsid w:val="004A1134"/>
    <w:rsid w:val="004A138B"/>
    <w:rsid w:val="004A14CF"/>
    <w:rsid w:val="004A16EA"/>
    <w:rsid w:val="004A178D"/>
    <w:rsid w:val="004A17D7"/>
    <w:rsid w:val="004A19E5"/>
    <w:rsid w:val="004A1AC1"/>
    <w:rsid w:val="004A1B0C"/>
    <w:rsid w:val="004A1BF0"/>
    <w:rsid w:val="004A1DB1"/>
    <w:rsid w:val="004A1FB3"/>
    <w:rsid w:val="004A2415"/>
    <w:rsid w:val="004A252A"/>
    <w:rsid w:val="004A25B7"/>
    <w:rsid w:val="004A2ABD"/>
    <w:rsid w:val="004A2AF9"/>
    <w:rsid w:val="004A2EBA"/>
    <w:rsid w:val="004A2ED4"/>
    <w:rsid w:val="004A2EF0"/>
    <w:rsid w:val="004A2F89"/>
    <w:rsid w:val="004A2FD9"/>
    <w:rsid w:val="004A31BE"/>
    <w:rsid w:val="004A33AB"/>
    <w:rsid w:val="004A33BE"/>
    <w:rsid w:val="004A348D"/>
    <w:rsid w:val="004A3887"/>
    <w:rsid w:val="004A3B91"/>
    <w:rsid w:val="004A3CCF"/>
    <w:rsid w:val="004A3E01"/>
    <w:rsid w:val="004A3EFA"/>
    <w:rsid w:val="004A4171"/>
    <w:rsid w:val="004A427A"/>
    <w:rsid w:val="004A444C"/>
    <w:rsid w:val="004A4582"/>
    <w:rsid w:val="004A45B2"/>
    <w:rsid w:val="004A4612"/>
    <w:rsid w:val="004A48F2"/>
    <w:rsid w:val="004A49D4"/>
    <w:rsid w:val="004A4D1C"/>
    <w:rsid w:val="004A4D88"/>
    <w:rsid w:val="004A4F11"/>
    <w:rsid w:val="004A500B"/>
    <w:rsid w:val="004A50F7"/>
    <w:rsid w:val="004A54B2"/>
    <w:rsid w:val="004A5623"/>
    <w:rsid w:val="004A5639"/>
    <w:rsid w:val="004A5970"/>
    <w:rsid w:val="004A59B7"/>
    <w:rsid w:val="004A5A54"/>
    <w:rsid w:val="004A5C58"/>
    <w:rsid w:val="004A5DEE"/>
    <w:rsid w:val="004A5E77"/>
    <w:rsid w:val="004A5F14"/>
    <w:rsid w:val="004A5F51"/>
    <w:rsid w:val="004A631C"/>
    <w:rsid w:val="004A6341"/>
    <w:rsid w:val="004A636E"/>
    <w:rsid w:val="004A6472"/>
    <w:rsid w:val="004A6524"/>
    <w:rsid w:val="004A65FA"/>
    <w:rsid w:val="004A6635"/>
    <w:rsid w:val="004A6831"/>
    <w:rsid w:val="004A6A0F"/>
    <w:rsid w:val="004A6A9A"/>
    <w:rsid w:val="004A6ACA"/>
    <w:rsid w:val="004A6DF9"/>
    <w:rsid w:val="004A6E96"/>
    <w:rsid w:val="004A70A1"/>
    <w:rsid w:val="004A70A4"/>
    <w:rsid w:val="004A719D"/>
    <w:rsid w:val="004A7C46"/>
    <w:rsid w:val="004A7CDD"/>
    <w:rsid w:val="004A7D7F"/>
    <w:rsid w:val="004B0040"/>
    <w:rsid w:val="004B0056"/>
    <w:rsid w:val="004B01EB"/>
    <w:rsid w:val="004B065B"/>
    <w:rsid w:val="004B06B8"/>
    <w:rsid w:val="004B082A"/>
    <w:rsid w:val="004B0837"/>
    <w:rsid w:val="004B083A"/>
    <w:rsid w:val="004B0A44"/>
    <w:rsid w:val="004B0BCB"/>
    <w:rsid w:val="004B0C02"/>
    <w:rsid w:val="004B0C66"/>
    <w:rsid w:val="004B0E8B"/>
    <w:rsid w:val="004B0F3D"/>
    <w:rsid w:val="004B101A"/>
    <w:rsid w:val="004B1089"/>
    <w:rsid w:val="004B1126"/>
    <w:rsid w:val="004B115D"/>
    <w:rsid w:val="004B18C3"/>
    <w:rsid w:val="004B19FC"/>
    <w:rsid w:val="004B1A36"/>
    <w:rsid w:val="004B1B50"/>
    <w:rsid w:val="004B1CBB"/>
    <w:rsid w:val="004B1F0B"/>
    <w:rsid w:val="004B1FDF"/>
    <w:rsid w:val="004B1FFD"/>
    <w:rsid w:val="004B2115"/>
    <w:rsid w:val="004B2123"/>
    <w:rsid w:val="004B24DB"/>
    <w:rsid w:val="004B27A4"/>
    <w:rsid w:val="004B28C0"/>
    <w:rsid w:val="004B2A79"/>
    <w:rsid w:val="004B2AA3"/>
    <w:rsid w:val="004B2D09"/>
    <w:rsid w:val="004B2EFF"/>
    <w:rsid w:val="004B2F19"/>
    <w:rsid w:val="004B31E2"/>
    <w:rsid w:val="004B31EF"/>
    <w:rsid w:val="004B34DD"/>
    <w:rsid w:val="004B3508"/>
    <w:rsid w:val="004B359F"/>
    <w:rsid w:val="004B3619"/>
    <w:rsid w:val="004B3674"/>
    <w:rsid w:val="004B3B96"/>
    <w:rsid w:val="004B401F"/>
    <w:rsid w:val="004B4189"/>
    <w:rsid w:val="004B45B0"/>
    <w:rsid w:val="004B45BD"/>
    <w:rsid w:val="004B464C"/>
    <w:rsid w:val="004B4668"/>
    <w:rsid w:val="004B49FE"/>
    <w:rsid w:val="004B4A54"/>
    <w:rsid w:val="004B4AE3"/>
    <w:rsid w:val="004B4AF8"/>
    <w:rsid w:val="004B4BAA"/>
    <w:rsid w:val="004B4BB1"/>
    <w:rsid w:val="004B526C"/>
    <w:rsid w:val="004B55F4"/>
    <w:rsid w:val="004B5626"/>
    <w:rsid w:val="004B56A9"/>
    <w:rsid w:val="004B5780"/>
    <w:rsid w:val="004B581C"/>
    <w:rsid w:val="004B5AF1"/>
    <w:rsid w:val="004B5C7E"/>
    <w:rsid w:val="004B5CA4"/>
    <w:rsid w:val="004B5CAA"/>
    <w:rsid w:val="004B5CCC"/>
    <w:rsid w:val="004B5F33"/>
    <w:rsid w:val="004B6002"/>
    <w:rsid w:val="004B60A4"/>
    <w:rsid w:val="004B61B7"/>
    <w:rsid w:val="004B6498"/>
    <w:rsid w:val="004B67D8"/>
    <w:rsid w:val="004B6881"/>
    <w:rsid w:val="004B69FD"/>
    <w:rsid w:val="004B6BB2"/>
    <w:rsid w:val="004B6BBC"/>
    <w:rsid w:val="004B6CE2"/>
    <w:rsid w:val="004B722D"/>
    <w:rsid w:val="004B73DB"/>
    <w:rsid w:val="004B7415"/>
    <w:rsid w:val="004B7971"/>
    <w:rsid w:val="004B7B0E"/>
    <w:rsid w:val="004B7C97"/>
    <w:rsid w:val="004B7D9D"/>
    <w:rsid w:val="004B7DFB"/>
    <w:rsid w:val="004B7EAB"/>
    <w:rsid w:val="004C0097"/>
    <w:rsid w:val="004C00AC"/>
    <w:rsid w:val="004C00E7"/>
    <w:rsid w:val="004C01AC"/>
    <w:rsid w:val="004C02A2"/>
    <w:rsid w:val="004C0324"/>
    <w:rsid w:val="004C05BE"/>
    <w:rsid w:val="004C0849"/>
    <w:rsid w:val="004C09D4"/>
    <w:rsid w:val="004C09E9"/>
    <w:rsid w:val="004C0EC5"/>
    <w:rsid w:val="004C0EDA"/>
    <w:rsid w:val="004C0F3C"/>
    <w:rsid w:val="004C0F78"/>
    <w:rsid w:val="004C11C9"/>
    <w:rsid w:val="004C11F7"/>
    <w:rsid w:val="004C12F4"/>
    <w:rsid w:val="004C144D"/>
    <w:rsid w:val="004C15FC"/>
    <w:rsid w:val="004C1783"/>
    <w:rsid w:val="004C1888"/>
    <w:rsid w:val="004C18D4"/>
    <w:rsid w:val="004C1A37"/>
    <w:rsid w:val="004C1B06"/>
    <w:rsid w:val="004C1B30"/>
    <w:rsid w:val="004C1FEA"/>
    <w:rsid w:val="004C2041"/>
    <w:rsid w:val="004C20A3"/>
    <w:rsid w:val="004C2178"/>
    <w:rsid w:val="004C22B4"/>
    <w:rsid w:val="004C22FB"/>
    <w:rsid w:val="004C2412"/>
    <w:rsid w:val="004C2443"/>
    <w:rsid w:val="004C245C"/>
    <w:rsid w:val="004C253C"/>
    <w:rsid w:val="004C257F"/>
    <w:rsid w:val="004C264F"/>
    <w:rsid w:val="004C27BD"/>
    <w:rsid w:val="004C2A13"/>
    <w:rsid w:val="004C2B11"/>
    <w:rsid w:val="004C2BA9"/>
    <w:rsid w:val="004C2C86"/>
    <w:rsid w:val="004C2DC1"/>
    <w:rsid w:val="004C2E7E"/>
    <w:rsid w:val="004C2E87"/>
    <w:rsid w:val="004C3199"/>
    <w:rsid w:val="004C3229"/>
    <w:rsid w:val="004C33B3"/>
    <w:rsid w:val="004C33C7"/>
    <w:rsid w:val="004C3503"/>
    <w:rsid w:val="004C366D"/>
    <w:rsid w:val="004C3720"/>
    <w:rsid w:val="004C37FA"/>
    <w:rsid w:val="004C3836"/>
    <w:rsid w:val="004C3B2A"/>
    <w:rsid w:val="004C3BBA"/>
    <w:rsid w:val="004C3CE1"/>
    <w:rsid w:val="004C3DA5"/>
    <w:rsid w:val="004C3DE7"/>
    <w:rsid w:val="004C418A"/>
    <w:rsid w:val="004C420D"/>
    <w:rsid w:val="004C44A5"/>
    <w:rsid w:val="004C45A9"/>
    <w:rsid w:val="004C4951"/>
    <w:rsid w:val="004C49A8"/>
    <w:rsid w:val="004C4B56"/>
    <w:rsid w:val="004C4CE2"/>
    <w:rsid w:val="004C5052"/>
    <w:rsid w:val="004C5053"/>
    <w:rsid w:val="004C531B"/>
    <w:rsid w:val="004C53A6"/>
    <w:rsid w:val="004C578E"/>
    <w:rsid w:val="004C5867"/>
    <w:rsid w:val="004C5A2C"/>
    <w:rsid w:val="004C5AEE"/>
    <w:rsid w:val="004C5B5F"/>
    <w:rsid w:val="004C5B6D"/>
    <w:rsid w:val="004C5FCE"/>
    <w:rsid w:val="004C620B"/>
    <w:rsid w:val="004C6455"/>
    <w:rsid w:val="004C648B"/>
    <w:rsid w:val="004C65AA"/>
    <w:rsid w:val="004C6669"/>
    <w:rsid w:val="004C69A4"/>
    <w:rsid w:val="004C6C1C"/>
    <w:rsid w:val="004C6E6E"/>
    <w:rsid w:val="004C70BD"/>
    <w:rsid w:val="004C70C9"/>
    <w:rsid w:val="004C7202"/>
    <w:rsid w:val="004C7382"/>
    <w:rsid w:val="004C73F9"/>
    <w:rsid w:val="004C7511"/>
    <w:rsid w:val="004C75CA"/>
    <w:rsid w:val="004C7629"/>
    <w:rsid w:val="004C7AED"/>
    <w:rsid w:val="004C7EAF"/>
    <w:rsid w:val="004D00FA"/>
    <w:rsid w:val="004D0238"/>
    <w:rsid w:val="004D02BF"/>
    <w:rsid w:val="004D02E5"/>
    <w:rsid w:val="004D044F"/>
    <w:rsid w:val="004D0489"/>
    <w:rsid w:val="004D059A"/>
    <w:rsid w:val="004D06BE"/>
    <w:rsid w:val="004D0852"/>
    <w:rsid w:val="004D08FE"/>
    <w:rsid w:val="004D0A1A"/>
    <w:rsid w:val="004D0D84"/>
    <w:rsid w:val="004D121D"/>
    <w:rsid w:val="004D12E2"/>
    <w:rsid w:val="004D1328"/>
    <w:rsid w:val="004D1459"/>
    <w:rsid w:val="004D1A13"/>
    <w:rsid w:val="004D1A44"/>
    <w:rsid w:val="004D1AD3"/>
    <w:rsid w:val="004D1B5E"/>
    <w:rsid w:val="004D1BF6"/>
    <w:rsid w:val="004D1CFA"/>
    <w:rsid w:val="004D1D8B"/>
    <w:rsid w:val="004D201F"/>
    <w:rsid w:val="004D20C6"/>
    <w:rsid w:val="004D21DE"/>
    <w:rsid w:val="004D21E7"/>
    <w:rsid w:val="004D2287"/>
    <w:rsid w:val="004D228E"/>
    <w:rsid w:val="004D267D"/>
    <w:rsid w:val="004D26BD"/>
    <w:rsid w:val="004D28C7"/>
    <w:rsid w:val="004D28C8"/>
    <w:rsid w:val="004D29BF"/>
    <w:rsid w:val="004D2A19"/>
    <w:rsid w:val="004D2AFD"/>
    <w:rsid w:val="004D2D0B"/>
    <w:rsid w:val="004D2D45"/>
    <w:rsid w:val="004D2E2B"/>
    <w:rsid w:val="004D2E9D"/>
    <w:rsid w:val="004D2FCD"/>
    <w:rsid w:val="004D3120"/>
    <w:rsid w:val="004D3264"/>
    <w:rsid w:val="004D33DA"/>
    <w:rsid w:val="004D35C7"/>
    <w:rsid w:val="004D3600"/>
    <w:rsid w:val="004D365B"/>
    <w:rsid w:val="004D373E"/>
    <w:rsid w:val="004D39D3"/>
    <w:rsid w:val="004D3A96"/>
    <w:rsid w:val="004D3BF3"/>
    <w:rsid w:val="004D3DF3"/>
    <w:rsid w:val="004D40A7"/>
    <w:rsid w:val="004D417E"/>
    <w:rsid w:val="004D427E"/>
    <w:rsid w:val="004D4495"/>
    <w:rsid w:val="004D449A"/>
    <w:rsid w:val="004D457A"/>
    <w:rsid w:val="004D46B5"/>
    <w:rsid w:val="004D4C21"/>
    <w:rsid w:val="004D4DD7"/>
    <w:rsid w:val="004D4E32"/>
    <w:rsid w:val="004D4E52"/>
    <w:rsid w:val="004D5008"/>
    <w:rsid w:val="004D5180"/>
    <w:rsid w:val="004D5217"/>
    <w:rsid w:val="004D5447"/>
    <w:rsid w:val="004D5679"/>
    <w:rsid w:val="004D57DA"/>
    <w:rsid w:val="004D59DC"/>
    <w:rsid w:val="004D5A8C"/>
    <w:rsid w:val="004D5C13"/>
    <w:rsid w:val="004D5F7C"/>
    <w:rsid w:val="004D5FFB"/>
    <w:rsid w:val="004D61D7"/>
    <w:rsid w:val="004D624F"/>
    <w:rsid w:val="004D6251"/>
    <w:rsid w:val="004D63F6"/>
    <w:rsid w:val="004D6400"/>
    <w:rsid w:val="004D66F3"/>
    <w:rsid w:val="004D6771"/>
    <w:rsid w:val="004D6859"/>
    <w:rsid w:val="004D6982"/>
    <w:rsid w:val="004D6CB9"/>
    <w:rsid w:val="004D6EB2"/>
    <w:rsid w:val="004D7022"/>
    <w:rsid w:val="004D72AF"/>
    <w:rsid w:val="004D739A"/>
    <w:rsid w:val="004D74AC"/>
    <w:rsid w:val="004D7559"/>
    <w:rsid w:val="004D75EC"/>
    <w:rsid w:val="004D77CD"/>
    <w:rsid w:val="004D781A"/>
    <w:rsid w:val="004D7936"/>
    <w:rsid w:val="004D7A0E"/>
    <w:rsid w:val="004D7C35"/>
    <w:rsid w:val="004D7CB9"/>
    <w:rsid w:val="004D7DE7"/>
    <w:rsid w:val="004D7EEB"/>
    <w:rsid w:val="004E0054"/>
    <w:rsid w:val="004E0188"/>
    <w:rsid w:val="004E023B"/>
    <w:rsid w:val="004E0328"/>
    <w:rsid w:val="004E0440"/>
    <w:rsid w:val="004E04B6"/>
    <w:rsid w:val="004E06F5"/>
    <w:rsid w:val="004E07FF"/>
    <w:rsid w:val="004E0A41"/>
    <w:rsid w:val="004E0A59"/>
    <w:rsid w:val="004E0CC7"/>
    <w:rsid w:val="004E0E95"/>
    <w:rsid w:val="004E109E"/>
    <w:rsid w:val="004E10F9"/>
    <w:rsid w:val="004E110D"/>
    <w:rsid w:val="004E117A"/>
    <w:rsid w:val="004E118A"/>
    <w:rsid w:val="004E1325"/>
    <w:rsid w:val="004E1555"/>
    <w:rsid w:val="004E15C1"/>
    <w:rsid w:val="004E15F8"/>
    <w:rsid w:val="004E1784"/>
    <w:rsid w:val="004E17EE"/>
    <w:rsid w:val="004E18FD"/>
    <w:rsid w:val="004E1922"/>
    <w:rsid w:val="004E1979"/>
    <w:rsid w:val="004E19E0"/>
    <w:rsid w:val="004E1B07"/>
    <w:rsid w:val="004E1B33"/>
    <w:rsid w:val="004E1B66"/>
    <w:rsid w:val="004E1C3F"/>
    <w:rsid w:val="004E1C5C"/>
    <w:rsid w:val="004E20CE"/>
    <w:rsid w:val="004E2126"/>
    <w:rsid w:val="004E21B5"/>
    <w:rsid w:val="004E24D7"/>
    <w:rsid w:val="004E250A"/>
    <w:rsid w:val="004E2524"/>
    <w:rsid w:val="004E28E6"/>
    <w:rsid w:val="004E2B50"/>
    <w:rsid w:val="004E2E0A"/>
    <w:rsid w:val="004E3095"/>
    <w:rsid w:val="004E30B8"/>
    <w:rsid w:val="004E3141"/>
    <w:rsid w:val="004E31E7"/>
    <w:rsid w:val="004E330D"/>
    <w:rsid w:val="004E3330"/>
    <w:rsid w:val="004E34F0"/>
    <w:rsid w:val="004E3568"/>
    <w:rsid w:val="004E37E0"/>
    <w:rsid w:val="004E3899"/>
    <w:rsid w:val="004E3935"/>
    <w:rsid w:val="004E3A69"/>
    <w:rsid w:val="004E3B50"/>
    <w:rsid w:val="004E3BC4"/>
    <w:rsid w:val="004E3C8D"/>
    <w:rsid w:val="004E3CA8"/>
    <w:rsid w:val="004E3DAC"/>
    <w:rsid w:val="004E3EFC"/>
    <w:rsid w:val="004E3F7D"/>
    <w:rsid w:val="004E40FC"/>
    <w:rsid w:val="004E413B"/>
    <w:rsid w:val="004E4194"/>
    <w:rsid w:val="004E42DE"/>
    <w:rsid w:val="004E4356"/>
    <w:rsid w:val="004E4366"/>
    <w:rsid w:val="004E4605"/>
    <w:rsid w:val="004E464F"/>
    <w:rsid w:val="004E4736"/>
    <w:rsid w:val="004E4757"/>
    <w:rsid w:val="004E498B"/>
    <w:rsid w:val="004E4A63"/>
    <w:rsid w:val="004E4A93"/>
    <w:rsid w:val="004E4C39"/>
    <w:rsid w:val="004E4CCC"/>
    <w:rsid w:val="004E4D51"/>
    <w:rsid w:val="004E4E02"/>
    <w:rsid w:val="004E4E27"/>
    <w:rsid w:val="004E4E96"/>
    <w:rsid w:val="004E4EDF"/>
    <w:rsid w:val="004E4F44"/>
    <w:rsid w:val="004E4F9B"/>
    <w:rsid w:val="004E5003"/>
    <w:rsid w:val="004E50CA"/>
    <w:rsid w:val="004E50E8"/>
    <w:rsid w:val="004E54B7"/>
    <w:rsid w:val="004E559A"/>
    <w:rsid w:val="004E58F5"/>
    <w:rsid w:val="004E58F9"/>
    <w:rsid w:val="004E5A8A"/>
    <w:rsid w:val="004E5AA6"/>
    <w:rsid w:val="004E5B83"/>
    <w:rsid w:val="004E5BA4"/>
    <w:rsid w:val="004E5BA7"/>
    <w:rsid w:val="004E5BE2"/>
    <w:rsid w:val="004E5C7D"/>
    <w:rsid w:val="004E5E06"/>
    <w:rsid w:val="004E61E7"/>
    <w:rsid w:val="004E623C"/>
    <w:rsid w:val="004E638E"/>
    <w:rsid w:val="004E66D9"/>
    <w:rsid w:val="004E66EC"/>
    <w:rsid w:val="004E687F"/>
    <w:rsid w:val="004E6970"/>
    <w:rsid w:val="004E699F"/>
    <w:rsid w:val="004E6A24"/>
    <w:rsid w:val="004E6DB9"/>
    <w:rsid w:val="004E7069"/>
    <w:rsid w:val="004E715D"/>
    <w:rsid w:val="004E7382"/>
    <w:rsid w:val="004E744A"/>
    <w:rsid w:val="004E750D"/>
    <w:rsid w:val="004E751C"/>
    <w:rsid w:val="004E7601"/>
    <w:rsid w:val="004E76FE"/>
    <w:rsid w:val="004E7740"/>
    <w:rsid w:val="004E7890"/>
    <w:rsid w:val="004E7A2E"/>
    <w:rsid w:val="004E7C18"/>
    <w:rsid w:val="004E7CF0"/>
    <w:rsid w:val="004E7CFB"/>
    <w:rsid w:val="004E7E1D"/>
    <w:rsid w:val="004E7EAD"/>
    <w:rsid w:val="004F04BC"/>
    <w:rsid w:val="004F072C"/>
    <w:rsid w:val="004F0839"/>
    <w:rsid w:val="004F094A"/>
    <w:rsid w:val="004F0961"/>
    <w:rsid w:val="004F09E0"/>
    <w:rsid w:val="004F0B02"/>
    <w:rsid w:val="004F0C23"/>
    <w:rsid w:val="004F0D26"/>
    <w:rsid w:val="004F1036"/>
    <w:rsid w:val="004F1265"/>
    <w:rsid w:val="004F12CA"/>
    <w:rsid w:val="004F153A"/>
    <w:rsid w:val="004F1762"/>
    <w:rsid w:val="004F1788"/>
    <w:rsid w:val="004F19AD"/>
    <w:rsid w:val="004F19AF"/>
    <w:rsid w:val="004F1A77"/>
    <w:rsid w:val="004F1ABA"/>
    <w:rsid w:val="004F1C26"/>
    <w:rsid w:val="004F1D36"/>
    <w:rsid w:val="004F1E6B"/>
    <w:rsid w:val="004F1FBF"/>
    <w:rsid w:val="004F21BF"/>
    <w:rsid w:val="004F2221"/>
    <w:rsid w:val="004F23F3"/>
    <w:rsid w:val="004F263C"/>
    <w:rsid w:val="004F271C"/>
    <w:rsid w:val="004F2809"/>
    <w:rsid w:val="004F285D"/>
    <w:rsid w:val="004F285E"/>
    <w:rsid w:val="004F28BB"/>
    <w:rsid w:val="004F2932"/>
    <w:rsid w:val="004F2C03"/>
    <w:rsid w:val="004F2D10"/>
    <w:rsid w:val="004F2D44"/>
    <w:rsid w:val="004F2FD5"/>
    <w:rsid w:val="004F31C6"/>
    <w:rsid w:val="004F32AE"/>
    <w:rsid w:val="004F336D"/>
    <w:rsid w:val="004F33EB"/>
    <w:rsid w:val="004F34E4"/>
    <w:rsid w:val="004F3506"/>
    <w:rsid w:val="004F3540"/>
    <w:rsid w:val="004F36F7"/>
    <w:rsid w:val="004F3706"/>
    <w:rsid w:val="004F377E"/>
    <w:rsid w:val="004F3814"/>
    <w:rsid w:val="004F3897"/>
    <w:rsid w:val="004F3A53"/>
    <w:rsid w:val="004F3A5D"/>
    <w:rsid w:val="004F3BE8"/>
    <w:rsid w:val="004F3D3B"/>
    <w:rsid w:val="004F3D5D"/>
    <w:rsid w:val="004F3E34"/>
    <w:rsid w:val="004F3F76"/>
    <w:rsid w:val="004F4228"/>
    <w:rsid w:val="004F4557"/>
    <w:rsid w:val="004F46C9"/>
    <w:rsid w:val="004F473D"/>
    <w:rsid w:val="004F477E"/>
    <w:rsid w:val="004F4820"/>
    <w:rsid w:val="004F48B3"/>
    <w:rsid w:val="004F4900"/>
    <w:rsid w:val="004F4A1F"/>
    <w:rsid w:val="004F4AD5"/>
    <w:rsid w:val="004F4AF3"/>
    <w:rsid w:val="004F4B28"/>
    <w:rsid w:val="004F5009"/>
    <w:rsid w:val="004F5017"/>
    <w:rsid w:val="004F5185"/>
    <w:rsid w:val="004F51DC"/>
    <w:rsid w:val="004F51E3"/>
    <w:rsid w:val="004F51E5"/>
    <w:rsid w:val="004F54B1"/>
    <w:rsid w:val="004F54CE"/>
    <w:rsid w:val="004F554C"/>
    <w:rsid w:val="004F5600"/>
    <w:rsid w:val="004F569A"/>
    <w:rsid w:val="004F57D4"/>
    <w:rsid w:val="004F5900"/>
    <w:rsid w:val="004F59A2"/>
    <w:rsid w:val="004F5AB4"/>
    <w:rsid w:val="004F5B69"/>
    <w:rsid w:val="004F5C34"/>
    <w:rsid w:val="004F5E1B"/>
    <w:rsid w:val="004F5E3F"/>
    <w:rsid w:val="004F5F05"/>
    <w:rsid w:val="004F611E"/>
    <w:rsid w:val="004F65A3"/>
    <w:rsid w:val="004F65B3"/>
    <w:rsid w:val="004F66F2"/>
    <w:rsid w:val="004F6889"/>
    <w:rsid w:val="004F6930"/>
    <w:rsid w:val="004F6AB3"/>
    <w:rsid w:val="004F6BBF"/>
    <w:rsid w:val="004F6D17"/>
    <w:rsid w:val="004F6D5C"/>
    <w:rsid w:val="004F6D79"/>
    <w:rsid w:val="004F6E28"/>
    <w:rsid w:val="004F734D"/>
    <w:rsid w:val="004F73AD"/>
    <w:rsid w:val="004F7485"/>
    <w:rsid w:val="004F74A2"/>
    <w:rsid w:val="004F7514"/>
    <w:rsid w:val="004F7A30"/>
    <w:rsid w:val="004F7A7B"/>
    <w:rsid w:val="004F7C71"/>
    <w:rsid w:val="004F7C8D"/>
    <w:rsid w:val="004F7CB5"/>
    <w:rsid w:val="004F7D3E"/>
    <w:rsid w:val="004F7EFF"/>
    <w:rsid w:val="0050056A"/>
    <w:rsid w:val="00500593"/>
    <w:rsid w:val="00500816"/>
    <w:rsid w:val="00500B0B"/>
    <w:rsid w:val="00500B41"/>
    <w:rsid w:val="00500CA3"/>
    <w:rsid w:val="00500D09"/>
    <w:rsid w:val="00500D8D"/>
    <w:rsid w:val="00500E9D"/>
    <w:rsid w:val="00501165"/>
    <w:rsid w:val="005011D3"/>
    <w:rsid w:val="0050132F"/>
    <w:rsid w:val="0050140B"/>
    <w:rsid w:val="00501551"/>
    <w:rsid w:val="0050168C"/>
    <w:rsid w:val="00501714"/>
    <w:rsid w:val="005017AD"/>
    <w:rsid w:val="00501812"/>
    <w:rsid w:val="005019A9"/>
    <w:rsid w:val="00501ECB"/>
    <w:rsid w:val="00501F0F"/>
    <w:rsid w:val="005020B6"/>
    <w:rsid w:val="0050227B"/>
    <w:rsid w:val="005022BE"/>
    <w:rsid w:val="0050261A"/>
    <w:rsid w:val="0050265E"/>
    <w:rsid w:val="00502D27"/>
    <w:rsid w:val="00502F8E"/>
    <w:rsid w:val="0050302B"/>
    <w:rsid w:val="00503102"/>
    <w:rsid w:val="00503378"/>
    <w:rsid w:val="00503582"/>
    <w:rsid w:val="005035FC"/>
    <w:rsid w:val="005037D6"/>
    <w:rsid w:val="00503B75"/>
    <w:rsid w:val="00503CF7"/>
    <w:rsid w:val="00503D98"/>
    <w:rsid w:val="00503D9A"/>
    <w:rsid w:val="00503F5D"/>
    <w:rsid w:val="005040F3"/>
    <w:rsid w:val="00504142"/>
    <w:rsid w:val="00504384"/>
    <w:rsid w:val="005044C1"/>
    <w:rsid w:val="005045A0"/>
    <w:rsid w:val="0050465F"/>
    <w:rsid w:val="00504668"/>
    <w:rsid w:val="0050476F"/>
    <w:rsid w:val="00504951"/>
    <w:rsid w:val="005049CE"/>
    <w:rsid w:val="00504A5C"/>
    <w:rsid w:val="00504A84"/>
    <w:rsid w:val="00504C23"/>
    <w:rsid w:val="00504D9E"/>
    <w:rsid w:val="00504DCE"/>
    <w:rsid w:val="00504DEF"/>
    <w:rsid w:val="00504FF0"/>
    <w:rsid w:val="0050518D"/>
    <w:rsid w:val="0050520B"/>
    <w:rsid w:val="00505434"/>
    <w:rsid w:val="00505A5E"/>
    <w:rsid w:val="00505B0C"/>
    <w:rsid w:val="00505BBA"/>
    <w:rsid w:val="00505C46"/>
    <w:rsid w:val="00505D27"/>
    <w:rsid w:val="0050610B"/>
    <w:rsid w:val="005062A1"/>
    <w:rsid w:val="005062C0"/>
    <w:rsid w:val="005063EF"/>
    <w:rsid w:val="0050643D"/>
    <w:rsid w:val="0050662C"/>
    <w:rsid w:val="005068BA"/>
    <w:rsid w:val="005068C1"/>
    <w:rsid w:val="00506904"/>
    <w:rsid w:val="00506B5F"/>
    <w:rsid w:val="00506BEB"/>
    <w:rsid w:val="00506E81"/>
    <w:rsid w:val="00506F1B"/>
    <w:rsid w:val="00506F84"/>
    <w:rsid w:val="005070A2"/>
    <w:rsid w:val="005070D7"/>
    <w:rsid w:val="005071E7"/>
    <w:rsid w:val="00507372"/>
    <w:rsid w:val="0050737F"/>
    <w:rsid w:val="005077E5"/>
    <w:rsid w:val="005078BA"/>
    <w:rsid w:val="00507974"/>
    <w:rsid w:val="005079DA"/>
    <w:rsid w:val="00507AC6"/>
    <w:rsid w:val="00507D16"/>
    <w:rsid w:val="0051000A"/>
    <w:rsid w:val="00510038"/>
    <w:rsid w:val="00510082"/>
    <w:rsid w:val="0051023A"/>
    <w:rsid w:val="00510449"/>
    <w:rsid w:val="0051048A"/>
    <w:rsid w:val="005104DB"/>
    <w:rsid w:val="005105CC"/>
    <w:rsid w:val="00510702"/>
    <w:rsid w:val="0051073A"/>
    <w:rsid w:val="005107F8"/>
    <w:rsid w:val="005108E7"/>
    <w:rsid w:val="00510A68"/>
    <w:rsid w:val="00510A6A"/>
    <w:rsid w:val="00510AAE"/>
    <w:rsid w:val="00510C43"/>
    <w:rsid w:val="00510C4E"/>
    <w:rsid w:val="00510D72"/>
    <w:rsid w:val="00510D8A"/>
    <w:rsid w:val="00510DAC"/>
    <w:rsid w:val="00510DD6"/>
    <w:rsid w:val="0051104B"/>
    <w:rsid w:val="005110A0"/>
    <w:rsid w:val="005112D4"/>
    <w:rsid w:val="005112D9"/>
    <w:rsid w:val="00511372"/>
    <w:rsid w:val="005114FB"/>
    <w:rsid w:val="00511580"/>
    <w:rsid w:val="00511772"/>
    <w:rsid w:val="00511846"/>
    <w:rsid w:val="00511A75"/>
    <w:rsid w:val="00511BA3"/>
    <w:rsid w:val="00511CE3"/>
    <w:rsid w:val="00512083"/>
    <w:rsid w:val="00512088"/>
    <w:rsid w:val="005120D4"/>
    <w:rsid w:val="00512184"/>
    <w:rsid w:val="00512439"/>
    <w:rsid w:val="0051268F"/>
    <w:rsid w:val="005126F0"/>
    <w:rsid w:val="00512711"/>
    <w:rsid w:val="005127D7"/>
    <w:rsid w:val="00512820"/>
    <w:rsid w:val="0051287A"/>
    <w:rsid w:val="005128D2"/>
    <w:rsid w:val="00512AA2"/>
    <w:rsid w:val="00512AD0"/>
    <w:rsid w:val="00512C93"/>
    <w:rsid w:val="00512DFC"/>
    <w:rsid w:val="005131E5"/>
    <w:rsid w:val="0051327A"/>
    <w:rsid w:val="00513377"/>
    <w:rsid w:val="0051368D"/>
    <w:rsid w:val="00513856"/>
    <w:rsid w:val="00513991"/>
    <w:rsid w:val="00513BED"/>
    <w:rsid w:val="00513CC5"/>
    <w:rsid w:val="00513D37"/>
    <w:rsid w:val="00513E8B"/>
    <w:rsid w:val="00513EE2"/>
    <w:rsid w:val="005141B8"/>
    <w:rsid w:val="00514235"/>
    <w:rsid w:val="005143B4"/>
    <w:rsid w:val="005143CF"/>
    <w:rsid w:val="005144B5"/>
    <w:rsid w:val="00514572"/>
    <w:rsid w:val="0051463A"/>
    <w:rsid w:val="0051488F"/>
    <w:rsid w:val="005149DF"/>
    <w:rsid w:val="00514B8E"/>
    <w:rsid w:val="00514BD7"/>
    <w:rsid w:val="00514D6E"/>
    <w:rsid w:val="005150D1"/>
    <w:rsid w:val="0051526E"/>
    <w:rsid w:val="00515350"/>
    <w:rsid w:val="0051539F"/>
    <w:rsid w:val="005154CC"/>
    <w:rsid w:val="0051557C"/>
    <w:rsid w:val="0051565F"/>
    <w:rsid w:val="005158B2"/>
    <w:rsid w:val="00515905"/>
    <w:rsid w:val="0051599B"/>
    <w:rsid w:val="005159B9"/>
    <w:rsid w:val="00515A73"/>
    <w:rsid w:val="00515B24"/>
    <w:rsid w:val="00515C4C"/>
    <w:rsid w:val="00515EBD"/>
    <w:rsid w:val="00515F13"/>
    <w:rsid w:val="00515FDD"/>
    <w:rsid w:val="00515FFE"/>
    <w:rsid w:val="00516062"/>
    <w:rsid w:val="005160F2"/>
    <w:rsid w:val="005160F8"/>
    <w:rsid w:val="00516125"/>
    <w:rsid w:val="0051622F"/>
    <w:rsid w:val="0051636F"/>
    <w:rsid w:val="00516390"/>
    <w:rsid w:val="005163BF"/>
    <w:rsid w:val="00516635"/>
    <w:rsid w:val="0051693A"/>
    <w:rsid w:val="00516CCC"/>
    <w:rsid w:val="00516D48"/>
    <w:rsid w:val="00516D84"/>
    <w:rsid w:val="00516FC9"/>
    <w:rsid w:val="005170AD"/>
    <w:rsid w:val="005170F6"/>
    <w:rsid w:val="00517170"/>
    <w:rsid w:val="005171DF"/>
    <w:rsid w:val="00517396"/>
    <w:rsid w:val="00517606"/>
    <w:rsid w:val="005177AE"/>
    <w:rsid w:val="0051788E"/>
    <w:rsid w:val="005178D0"/>
    <w:rsid w:val="00517A73"/>
    <w:rsid w:val="00517E77"/>
    <w:rsid w:val="00520056"/>
    <w:rsid w:val="005200B5"/>
    <w:rsid w:val="00520176"/>
    <w:rsid w:val="00520200"/>
    <w:rsid w:val="00520209"/>
    <w:rsid w:val="00520267"/>
    <w:rsid w:val="00520395"/>
    <w:rsid w:val="0052045A"/>
    <w:rsid w:val="00520577"/>
    <w:rsid w:val="00520584"/>
    <w:rsid w:val="005205C8"/>
    <w:rsid w:val="0052063E"/>
    <w:rsid w:val="00520648"/>
    <w:rsid w:val="00520674"/>
    <w:rsid w:val="005206AA"/>
    <w:rsid w:val="005207A3"/>
    <w:rsid w:val="00520AF5"/>
    <w:rsid w:val="00520BFB"/>
    <w:rsid w:val="00520C8F"/>
    <w:rsid w:val="00520EA3"/>
    <w:rsid w:val="0052131F"/>
    <w:rsid w:val="00521481"/>
    <w:rsid w:val="0052165F"/>
    <w:rsid w:val="00522115"/>
    <w:rsid w:val="005221FA"/>
    <w:rsid w:val="0052226D"/>
    <w:rsid w:val="005224E4"/>
    <w:rsid w:val="00522616"/>
    <w:rsid w:val="0052266E"/>
    <w:rsid w:val="00522759"/>
    <w:rsid w:val="0052288E"/>
    <w:rsid w:val="00522D60"/>
    <w:rsid w:val="00522D8D"/>
    <w:rsid w:val="00522E0D"/>
    <w:rsid w:val="005230EA"/>
    <w:rsid w:val="00523129"/>
    <w:rsid w:val="005231F9"/>
    <w:rsid w:val="005233D0"/>
    <w:rsid w:val="00523428"/>
    <w:rsid w:val="0052378E"/>
    <w:rsid w:val="00523845"/>
    <w:rsid w:val="00523977"/>
    <w:rsid w:val="005239F2"/>
    <w:rsid w:val="00523C32"/>
    <w:rsid w:val="00523D69"/>
    <w:rsid w:val="00523E3E"/>
    <w:rsid w:val="00523E4C"/>
    <w:rsid w:val="00523EE2"/>
    <w:rsid w:val="00524171"/>
    <w:rsid w:val="0052454D"/>
    <w:rsid w:val="005248C0"/>
    <w:rsid w:val="005249CB"/>
    <w:rsid w:val="00524B8A"/>
    <w:rsid w:val="00524C3B"/>
    <w:rsid w:val="00524D73"/>
    <w:rsid w:val="00525250"/>
    <w:rsid w:val="00525322"/>
    <w:rsid w:val="00525389"/>
    <w:rsid w:val="005253FF"/>
    <w:rsid w:val="0052588B"/>
    <w:rsid w:val="005258F5"/>
    <w:rsid w:val="00525BC0"/>
    <w:rsid w:val="00525C67"/>
    <w:rsid w:val="00525C93"/>
    <w:rsid w:val="00525DF1"/>
    <w:rsid w:val="00525F5E"/>
    <w:rsid w:val="00526108"/>
    <w:rsid w:val="00526689"/>
    <w:rsid w:val="00526755"/>
    <w:rsid w:val="00526A03"/>
    <w:rsid w:val="00526A16"/>
    <w:rsid w:val="00526B2A"/>
    <w:rsid w:val="00526B86"/>
    <w:rsid w:val="00526CAA"/>
    <w:rsid w:val="00526D8A"/>
    <w:rsid w:val="00526D95"/>
    <w:rsid w:val="00526DB3"/>
    <w:rsid w:val="00526E76"/>
    <w:rsid w:val="00527178"/>
    <w:rsid w:val="005276C3"/>
    <w:rsid w:val="00527714"/>
    <w:rsid w:val="00527829"/>
    <w:rsid w:val="00527871"/>
    <w:rsid w:val="005279F3"/>
    <w:rsid w:val="00527C47"/>
    <w:rsid w:val="00527C55"/>
    <w:rsid w:val="00527D4C"/>
    <w:rsid w:val="00527EA7"/>
    <w:rsid w:val="00527F10"/>
    <w:rsid w:val="005300A6"/>
    <w:rsid w:val="0053055C"/>
    <w:rsid w:val="00530692"/>
    <w:rsid w:val="00530766"/>
    <w:rsid w:val="0053086A"/>
    <w:rsid w:val="00530A5E"/>
    <w:rsid w:val="00530A62"/>
    <w:rsid w:val="00530BEB"/>
    <w:rsid w:val="00530E76"/>
    <w:rsid w:val="00530F08"/>
    <w:rsid w:val="005316A4"/>
    <w:rsid w:val="00531748"/>
    <w:rsid w:val="00531765"/>
    <w:rsid w:val="005317F5"/>
    <w:rsid w:val="00531B5A"/>
    <w:rsid w:val="00531B8F"/>
    <w:rsid w:val="00531BD0"/>
    <w:rsid w:val="00531C08"/>
    <w:rsid w:val="00531C69"/>
    <w:rsid w:val="00531D26"/>
    <w:rsid w:val="00531E40"/>
    <w:rsid w:val="00531ECD"/>
    <w:rsid w:val="00531F60"/>
    <w:rsid w:val="00532057"/>
    <w:rsid w:val="005329B6"/>
    <w:rsid w:val="00532A3A"/>
    <w:rsid w:val="00532B27"/>
    <w:rsid w:val="00532CD8"/>
    <w:rsid w:val="00532F2B"/>
    <w:rsid w:val="005330DC"/>
    <w:rsid w:val="00533138"/>
    <w:rsid w:val="00533179"/>
    <w:rsid w:val="00533293"/>
    <w:rsid w:val="005332FB"/>
    <w:rsid w:val="00533618"/>
    <w:rsid w:val="005336E9"/>
    <w:rsid w:val="005337DA"/>
    <w:rsid w:val="0053388D"/>
    <w:rsid w:val="00533B35"/>
    <w:rsid w:val="00533BD8"/>
    <w:rsid w:val="00533E57"/>
    <w:rsid w:val="00533F16"/>
    <w:rsid w:val="00533F69"/>
    <w:rsid w:val="00534229"/>
    <w:rsid w:val="00534559"/>
    <w:rsid w:val="0053486E"/>
    <w:rsid w:val="00534932"/>
    <w:rsid w:val="00534CFA"/>
    <w:rsid w:val="00534E54"/>
    <w:rsid w:val="00535077"/>
    <w:rsid w:val="005350C5"/>
    <w:rsid w:val="005351A5"/>
    <w:rsid w:val="00535229"/>
    <w:rsid w:val="00535472"/>
    <w:rsid w:val="0053549B"/>
    <w:rsid w:val="005354E1"/>
    <w:rsid w:val="00535592"/>
    <w:rsid w:val="005355C5"/>
    <w:rsid w:val="00535627"/>
    <w:rsid w:val="0053571C"/>
    <w:rsid w:val="005357D6"/>
    <w:rsid w:val="00535804"/>
    <w:rsid w:val="00535926"/>
    <w:rsid w:val="00535A7A"/>
    <w:rsid w:val="00535E74"/>
    <w:rsid w:val="00535E88"/>
    <w:rsid w:val="00535EDD"/>
    <w:rsid w:val="00535EEC"/>
    <w:rsid w:val="00535EFF"/>
    <w:rsid w:val="00535F0C"/>
    <w:rsid w:val="00536495"/>
    <w:rsid w:val="005364C7"/>
    <w:rsid w:val="005367A0"/>
    <w:rsid w:val="005368C8"/>
    <w:rsid w:val="00536BAC"/>
    <w:rsid w:val="005370B2"/>
    <w:rsid w:val="005370DF"/>
    <w:rsid w:val="0053716E"/>
    <w:rsid w:val="005372C3"/>
    <w:rsid w:val="00537506"/>
    <w:rsid w:val="005375AE"/>
    <w:rsid w:val="00537657"/>
    <w:rsid w:val="00537689"/>
    <w:rsid w:val="0053770B"/>
    <w:rsid w:val="00537744"/>
    <w:rsid w:val="005377E7"/>
    <w:rsid w:val="00537802"/>
    <w:rsid w:val="0053799B"/>
    <w:rsid w:val="005379C4"/>
    <w:rsid w:val="00537AEA"/>
    <w:rsid w:val="0054006D"/>
    <w:rsid w:val="00540164"/>
    <w:rsid w:val="005401EB"/>
    <w:rsid w:val="00540B8E"/>
    <w:rsid w:val="00540C69"/>
    <w:rsid w:val="00540E07"/>
    <w:rsid w:val="00540E28"/>
    <w:rsid w:val="00540F19"/>
    <w:rsid w:val="005411CF"/>
    <w:rsid w:val="00541390"/>
    <w:rsid w:val="00541474"/>
    <w:rsid w:val="00541489"/>
    <w:rsid w:val="00541A12"/>
    <w:rsid w:val="00541B12"/>
    <w:rsid w:val="00541C8F"/>
    <w:rsid w:val="00541D4D"/>
    <w:rsid w:val="00541DB6"/>
    <w:rsid w:val="00541EC3"/>
    <w:rsid w:val="0054200F"/>
    <w:rsid w:val="005421BF"/>
    <w:rsid w:val="005421F9"/>
    <w:rsid w:val="0054243C"/>
    <w:rsid w:val="0054282E"/>
    <w:rsid w:val="005428E6"/>
    <w:rsid w:val="00542939"/>
    <w:rsid w:val="00542979"/>
    <w:rsid w:val="0054298D"/>
    <w:rsid w:val="00542A5D"/>
    <w:rsid w:val="00542C82"/>
    <w:rsid w:val="00543005"/>
    <w:rsid w:val="00543267"/>
    <w:rsid w:val="00543755"/>
    <w:rsid w:val="00543785"/>
    <w:rsid w:val="00543947"/>
    <w:rsid w:val="00543B15"/>
    <w:rsid w:val="00543B2F"/>
    <w:rsid w:val="00543DB0"/>
    <w:rsid w:val="00543E16"/>
    <w:rsid w:val="00544021"/>
    <w:rsid w:val="00544166"/>
    <w:rsid w:val="0054428C"/>
    <w:rsid w:val="00544316"/>
    <w:rsid w:val="0054477E"/>
    <w:rsid w:val="005447E3"/>
    <w:rsid w:val="0054480E"/>
    <w:rsid w:val="00544818"/>
    <w:rsid w:val="00544930"/>
    <w:rsid w:val="005449AD"/>
    <w:rsid w:val="00544A8D"/>
    <w:rsid w:val="00544B42"/>
    <w:rsid w:val="00544BEB"/>
    <w:rsid w:val="00544D9A"/>
    <w:rsid w:val="00544D9C"/>
    <w:rsid w:val="00544F5F"/>
    <w:rsid w:val="005450D3"/>
    <w:rsid w:val="00545304"/>
    <w:rsid w:val="00545362"/>
    <w:rsid w:val="005457C3"/>
    <w:rsid w:val="0054587E"/>
    <w:rsid w:val="00545BEF"/>
    <w:rsid w:val="00545C35"/>
    <w:rsid w:val="00545C9A"/>
    <w:rsid w:val="00546101"/>
    <w:rsid w:val="00546118"/>
    <w:rsid w:val="00546344"/>
    <w:rsid w:val="00546424"/>
    <w:rsid w:val="005464AA"/>
    <w:rsid w:val="00546564"/>
    <w:rsid w:val="00546609"/>
    <w:rsid w:val="00546E5B"/>
    <w:rsid w:val="00546E8D"/>
    <w:rsid w:val="00546F77"/>
    <w:rsid w:val="00546F87"/>
    <w:rsid w:val="00546F90"/>
    <w:rsid w:val="005471F7"/>
    <w:rsid w:val="00547339"/>
    <w:rsid w:val="00547412"/>
    <w:rsid w:val="005474BE"/>
    <w:rsid w:val="0054789E"/>
    <w:rsid w:val="00547A5C"/>
    <w:rsid w:val="00547B96"/>
    <w:rsid w:val="00547CED"/>
    <w:rsid w:val="00547E90"/>
    <w:rsid w:val="00547FA2"/>
    <w:rsid w:val="005501E6"/>
    <w:rsid w:val="0055044B"/>
    <w:rsid w:val="005504F8"/>
    <w:rsid w:val="0055056E"/>
    <w:rsid w:val="0055066C"/>
    <w:rsid w:val="005506E7"/>
    <w:rsid w:val="0055074A"/>
    <w:rsid w:val="005507EC"/>
    <w:rsid w:val="00550903"/>
    <w:rsid w:val="00550A2E"/>
    <w:rsid w:val="00550D1B"/>
    <w:rsid w:val="00550EBB"/>
    <w:rsid w:val="00550F0D"/>
    <w:rsid w:val="00550F66"/>
    <w:rsid w:val="005511C5"/>
    <w:rsid w:val="005514BD"/>
    <w:rsid w:val="005517A3"/>
    <w:rsid w:val="005518AB"/>
    <w:rsid w:val="005518F9"/>
    <w:rsid w:val="00551AC2"/>
    <w:rsid w:val="00551BCC"/>
    <w:rsid w:val="00551E25"/>
    <w:rsid w:val="00551EED"/>
    <w:rsid w:val="00551F00"/>
    <w:rsid w:val="00551FC3"/>
    <w:rsid w:val="00551FC4"/>
    <w:rsid w:val="005520CF"/>
    <w:rsid w:val="005521B4"/>
    <w:rsid w:val="00552308"/>
    <w:rsid w:val="005523E3"/>
    <w:rsid w:val="00552442"/>
    <w:rsid w:val="00552461"/>
    <w:rsid w:val="00552597"/>
    <w:rsid w:val="0055287A"/>
    <w:rsid w:val="005529FC"/>
    <w:rsid w:val="00552ABB"/>
    <w:rsid w:val="00552BCF"/>
    <w:rsid w:val="00552E24"/>
    <w:rsid w:val="00552EF2"/>
    <w:rsid w:val="00552FC2"/>
    <w:rsid w:val="0055308A"/>
    <w:rsid w:val="005531B6"/>
    <w:rsid w:val="00553237"/>
    <w:rsid w:val="00553363"/>
    <w:rsid w:val="0055336A"/>
    <w:rsid w:val="005533DE"/>
    <w:rsid w:val="0055341B"/>
    <w:rsid w:val="005537A9"/>
    <w:rsid w:val="00553899"/>
    <w:rsid w:val="005538E3"/>
    <w:rsid w:val="00553A2B"/>
    <w:rsid w:val="00553AE8"/>
    <w:rsid w:val="00553B23"/>
    <w:rsid w:val="00553BF8"/>
    <w:rsid w:val="00553C7A"/>
    <w:rsid w:val="00553D67"/>
    <w:rsid w:val="00553D6D"/>
    <w:rsid w:val="00553DB8"/>
    <w:rsid w:val="00553E59"/>
    <w:rsid w:val="00553F3A"/>
    <w:rsid w:val="00554293"/>
    <w:rsid w:val="005543AF"/>
    <w:rsid w:val="005547F3"/>
    <w:rsid w:val="0055492A"/>
    <w:rsid w:val="005549E5"/>
    <w:rsid w:val="00554A8B"/>
    <w:rsid w:val="00554C70"/>
    <w:rsid w:val="00554E95"/>
    <w:rsid w:val="0055502C"/>
    <w:rsid w:val="005552D9"/>
    <w:rsid w:val="005554BD"/>
    <w:rsid w:val="00555563"/>
    <w:rsid w:val="00555619"/>
    <w:rsid w:val="00555629"/>
    <w:rsid w:val="0055581F"/>
    <w:rsid w:val="005559FE"/>
    <w:rsid w:val="00555BC5"/>
    <w:rsid w:val="00555C58"/>
    <w:rsid w:val="00555C6A"/>
    <w:rsid w:val="00555E84"/>
    <w:rsid w:val="00556055"/>
    <w:rsid w:val="005561EE"/>
    <w:rsid w:val="0055641B"/>
    <w:rsid w:val="005565B1"/>
    <w:rsid w:val="00556748"/>
    <w:rsid w:val="0055682E"/>
    <w:rsid w:val="005568C7"/>
    <w:rsid w:val="0055693E"/>
    <w:rsid w:val="00556959"/>
    <w:rsid w:val="005569A1"/>
    <w:rsid w:val="005569E7"/>
    <w:rsid w:val="005569FE"/>
    <w:rsid w:val="00556A0D"/>
    <w:rsid w:val="00556A23"/>
    <w:rsid w:val="00556AC6"/>
    <w:rsid w:val="00556C2B"/>
    <w:rsid w:val="00556D6B"/>
    <w:rsid w:val="0055701B"/>
    <w:rsid w:val="00557288"/>
    <w:rsid w:val="005572CF"/>
    <w:rsid w:val="00557510"/>
    <w:rsid w:val="005579D5"/>
    <w:rsid w:val="00557A18"/>
    <w:rsid w:val="00557A27"/>
    <w:rsid w:val="00557A2F"/>
    <w:rsid w:val="00557B68"/>
    <w:rsid w:val="00557B7A"/>
    <w:rsid w:val="00557E1E"/>
    <w:rsid w:val="00557EF6"/>
    <w:rsid w:val="00557F12"/>
    <w:rsid w:val="00557F30"/>
    <w:rsid w:val="00560126"/>
    <w:rsid w:val="00560213"/>
    <w:rsid w:val="00560219"/>
    <w:rsid w:val="005602DB"/>
    <w:rsid w:val="00560302"/>
    <w:rsid w:val="0056034F"/>
    <w:rsid w:val="005603C1"/>
    <w:rsid w:val="00560492"/>
    <w:rsid w:val="005604C7"/>
    <w:rsid w:val="0056053F"/>
    <w:rsid w:val="00560579"/>
    <w:rsid w:val="005605DD"/>
    <w:rsid w:val="0056069C"/>
    <w:rsid w:val="00560923"/>
    <w:rsid w:val="0056095D"/>
    <w:rsid w:val="00560A50"/>
    <w:rsid w:val="00560A6D"/>
    <w:rsid w:val="00560C27"/>
    <w:rsid w:val="00560C6B"/>
    <w:rsid w:val="00560C91"/>
    <w:rsid w:val="00560CBC"/>
    <w:rsid w:val="00560F22"/>
    <w:rsid w:val="00560F4B"/>
    <w:rsid w:val="0056103F"/>
    <w:rsid w:val="00561067"/>
    <w:rsid w:val="005610D1"/>
    <w:rsid w:val="00561100"/>
    <w:rsid w:val="00561140"/>
    <w:rsid w:val="005611C4"/>
    <w:rsid w:val="00561213"/>
    <w:rsid w:val="005614E9"/>
    <w:rsid w:val="0056153F"/>
    <w:rsid w:val="005615A0"/>
    <w:rsid w:val="0056199F"/>
    <w:rsid w:val="00561AB3"/>
    <w:rsid w:val="00561CFB"/>
    <w:rsid w:val="00561D6B"/>
    <w:rsid w:val="00561F8E"/>
    <w:rsid w:val="00561FAD"/>
    <w:rsid w:val="00562243"/>
    <w:rsid w:val="00562286"/>
    <w:rsid w:val="005622C2"/>
    <w:rsid w:val="005623F0"/>
    <w:rsid w:val="005625A1"/>
    <w:rsid w:val="00562682"/>
    <w:rsid w:val="00562740"/>
    <w:rsid w:val="00562879"/>
    <w:rsid w:val="005629F3"/>
    <w:rsid w:val="00562A18"/>
    <w:rsid w:val="00562BE4"/>
    <w:rsid w:val="00562CAA"/>
    <w:rsid w:val="00562CDE"/>
    <w:rsid w:val="00562D02"/>
    <w:rsid w:val="00562D15"/>
    <w:rsid w:val="00562DA7"/>
    <w:rsid w:val="005630F4"/>
    <w:rsid w:val="0056327F"/>
    <w:rsid w:val="00563333"/>
    <w:rsid w:val="005633AD"/>
    <w:rsid w:val="0056348A"/>
    <w:rsid w:val="005637C6"/>
    <w:rsid w:val="00563A97"/>
    <w:rsid w:val="00563A98"/>
    <w:rsid w:val="00563AB6"/>
    <w:rsid w:val="00563C49"/>
    <w:rsid w:val="00563DB4"/>
    <w:rsid w:val="00563EB0"/>
    <w:rsid w:val="00563F3A"/>
    <w:rsid w:val="00564003"/>
    <w:rsid w:val="005640E1"/>
    <w:rsid w:val="005642C9"/>
    <w:rsid w:val="005643DF"/>
    <w:rsid w:val="00564692"/>
    <w:rsid w:val="005646E1"/>
    <w:rsid w:val="00564986"/>
    <w:rsid w:val="00564A32"/>
    <w:rsid w:val="00564A63"/>
    <w:rsid w:val="00564E76"/>
    <w:rsid w:val="00564EB9"/>
    <w:rsid w:val="00564F8D"/>
    <w:rsid w:val="00564FA4"/>
    <w:rsid w:val="0056517A"/>
    <w:rsid w:val="00565432"/>
    <w:rsid w:val="00565439"/>
    <w:rsid w:val="00565625"/>
    <w:rsid w:val="005656E3"/>
    <w:rsid w:val="005658DE"/>
    <w:rsid w:val="00565AD1"/>
    <w:rsid w:val="00565B6B"/>
    <w:rsid w:val="00565C49"/>
    <w:rsid w:val="00565D98"/>
    <w:rsid w:val="00565E19"/>
    <w:rsid w:val="00565EC4"/>
    <w:rsid w:val="00565EDD"/>
    <w:rsid w:val="00566228"/>
    <w:rsid w:val="00566255"/>
    <w:rsid w:val="005662F1"/>
    <w:rsid w:val="00566339"/>
    <w:rsid w:val="0056633E"/>
    <w:rsid w:val="005664A4"/>
    <w:rsid w:val="00566521"/>
    <w:rsid w:val="00566622"/>
    <w:rsid w:val="00566643"/>
    <w:rsid w:val="005667AF"/>
    <w:rsid w:val="00566879"/>
    <w:rsid w:val="00566998"/>
    <w:rsid w:val="00566F2F"/>
    <w:rsid w:val="00566F81"/>
    <w:rsid w:val="0056729E"/>
    <w:rsid w:val="00567347"/>
    <w:rsid w:val="00567449"/>
    <w:rsid w:val="00567499"/>
    <w:rsid w:val="00567509"/>
    <w:rsid w:val="005675D3"/>
    <w:rsid w:val="00567644"/>
    <w:rsid w:val="00567854"/>
    <w:rsid w:val="00567966"/>
    <w:rsid w:val="0056799A"/>
    <w:rsid w:val="00567DA1"/>
    <w:rsid w:val="00570196"/>
    <w:rsid w:val="005701D1"/>
    <w:rsid w:val="00570221"/>
    <w:rsid w:val="00570415"/>
    <w:rsid w:val="00570436"/>
    <w:rsid w:val="0057044C"/>
    <w:rsid w:val="00570537"/>
    <w:rsid w:val="005705CE"/>
    <w:rsid w:val="005705D8"/>
    <w:rsid w:val="0057075C"/>
    <w:rsid w:val="00570938"/>
    <w:rsid w:val="005709B9"/>
    <w:rsid w:val="00570C4B"/>
    <w:rsid w:val="00570E27"/>
    <w:rsid w:val="00570E99"/>
    <w:rsid w:val="00570EC3"/>
    <w:rsid w:val="00570F4E"/>
    <w:rsid w:val="00571229"/>
    <w:rsid w:val="00571259"/>
    <w:rsid w:val="0057139C"/>
    <w:rsid w:val="005714AA"/>
    <w:rsid w:val="00571537"/>
    <w:rsid w:val="00571598"/>
    <w:rsid w:val="005716A7"/>
    <w:rsid w:val="005716B8"/>
    <w:rsid w:val="005716F8"/>
    <w:rsid w:val="00571734"/>
    <w:rsid w:val="0057183A"/>
    <w:rsid w:val="005718E2"/>
    <w:rsid w:val="00571BEF"/>
    <w:rsid w:val="00571D9E"/>
    <w:rsid w:val="0057260C"/>
    <w:rsid w:val="005726AA"/>
    <w:rsid w:val="0057272A"/>
    <w:rsid w:val="00572734"/>
    <w:rsid w:val="005727AB"/>
    <w:rsid w:val="005727B9"/>
    <w:rsid w:val="005727F3"/>
    <w:rsid w:val="00572BDC"/>
    <w:rsid w:val="00572BF9"/>
    <w:rsid w:val="0057304A"/>
    <w:rsid w:val="00573083"/>
    <w:rsid w:val="005731D8"/>
    <w:rsid w:val="00573645"/>
    <w:rsid w:val="0057365B"/>
    <w:rsid w:val="00573788"/>
    <w:rsid w:val="00573873"/>
    <w:rsid w:val="005738FC"/>
    <w:rsid w:val="00573C7F"/>
    <w:rsid w:val="00573D3F"/>
    <w:rsid w:val="00573DDC"/>
    <w:rsid w:val="00573F3E"/>
    <w:rsid w:val="00574022"/>
    <w:rsid w:val="00574023"/>
    <w:rsid w:val="00574051"/>
    <w:rsid w:val="00574383"/>
    <w:rsid w:val="005743D1"/>
    <w:rsid w:val="00574782"/>
    <w:rsid w:val="00574897"/>
    <w:rsid w:val="005748DB"/>
    <w:rsid w:val="00574B2D"/>
    <w:rsid w:val="00574CB9"/>
    <w:rsid w:val="005750C7"/>
    <w:rsid w:val="005752FA"/>
    <w:rsid w:val="00575587"/>
    <w:rsid w:val="005755C6"/>
    <w:rsid w:val="00575698"/>
    <w:rsid w:val="005756A0"/>
    <w:rsid w:val="005756F7"/>
    <w:rsid w:val="00575703"/>
    <w:rsid w:val="0057571C"/>
    <w:rsid w:val="005758BC"/>
    <w:rsid w:val="0057590B"/>
    <w:rsid w:val="00575B36"/>
    <w:rsid w:val="00575D70"/>
    <w:rsid w:val="00575E68"/>
    <w:rsid w:val="00576082"/>
    <w:rsid w:val="00576097"/>
    <w:rsid w:val="005763F0"/>
    <w:rsid w:val="00576514"/>
    <w:rsid w:val="005765DF"/>
    <w:rsid w:val="005767E9"/>
    <w:rsid w:val="00576802"/>
    <w:rsid w:val="005768E1"/>
    <w:rsid w:val="00576A36"/>
    <w:rsid w:val="00576D8C"/>
    <w:rsid w:val="00576EC6"/>
    <w:rsid w:val="00576FF9"/>
    <w:rsid w:val="0057709F"/>
    <w:rsid w:val="005771D5"/>
    <w:rsid w:val="005771F0"/>
    <w:rsid w:val="00577237"/>
    <w:rsid w:val="0057724B"/>
    <w:rsid w:val="0057725B"/>
    <w:rsid w:val="005775D6"/>
    <w:rsid w:val="0057767F"/>
    <w:rsid w:val="00577695"/>
    <w:rsid w:val="00577744"/>
    <w:rsid w:val="00577AC9"/>
    <w:rsid w:val="00577D4B"/>
    <w:rsid w:val="00577F61"/>
    <w:rsid w:val="00580271"/>
    <w:rsid w:val="00580284"/>
    <w:rsid w:val="005802B0"/>
    <w:rsid w:val="005804A5"/>
    <w:rsid w:val="005804C8"/>
    <w:rsid w:val="0058058D"/>
    <w:rsid w:val="00580C4F"/>
    <w:rsid w:val="00580EA5"/>
    <w:rsid w:val="00580FBE"/>
    <w:rsid w:val="00580FD5"/>
    <w:rsid w:val="005810F7"/>
    <w:rsid w:val="005812C3"/>
    <w:rsid w:val="00581374"/>
    <w:rsid w:val="005813D8"/>
    <w:rsid w:val="00581684"/>
    <w:rsid w:val="00581726"/>
    <w:rsid w:val="005817BE"/>
    <w:rsid w:val="005817D6"/>
    <w:rsid w:val="0058180A"/>
    <w:rsid w:val="0058196B"/>
    <w:rsid w:val="00581992"/>
    <w:rsid w:val="005819B5"/>
    <w:rsid w:val="00581C15"/>
    <w:rsid w:val="00581DCF"/>
    <w:rsid w:val="00581DF7"/>
    <w:rsid w:val="00582456"/>
    <w:rsid w:val="005824FE"/>
    <w:rsid w:val="0058258E"/>
    <w:rsid w:val="005825F6"/>
    <w:rsid w:val="00582734"/>
    <w:rsid w:val="00582878"/>
    <w:rsid w:val="0058298D"/>
    <w:rsid w:val="00582991"/>
    <w:rsid w:val="00582A77"/>
    <w:rsid w:val="00582BA3"/>
    <w:rsid w:val="00582DBA"/>
    <w:rsid w:val="00582E07"/>
    <w:rsid w:val="005830BB"/>
    <w:rsid w:val="00583337"/>
    <w:rsid w:val="005835AA"/>
    <w:rsid w:val="00583637"/>
    <w:rsid w:val="0058367B"/>
    <w:rsid w:val="00583BF3"/>
    <w:rsid w:val="00583D37"/>
    <w:rsid w:val="00583FF9"/>
    <w:rsid w:val="00584267"/>
    <w:rsid w:val="005842DA"/>
    <w:rsid w:val="005842E2"/>
    <w:rsid w:val="005846F7"/>
    <w:rsid w:val="0058478C"/>
    <w:rsid w:val="005848CA"/>
    <w:rsid w:val="005849D7"/>
    <w:rsid w:val="00584B5D"/>
    <w:rsid w:val="00584BB9"/>
    <w:rsid w:val="00584BFE"/>
    <w:rsid w:val="005850BE"/>
    <w:rsid w:val="00585106"/>
    <w:rsid w:val="00585293"/>
    <w:rsid w:val="00585379"/>
    <w:rsid w:val="0058544E"/>
    <w:rsid w:val="00585489"/>
    <w:rsid w:val="005854AF"/>
    <w:rsid w:val="00585511"/>
    <w:rsid w:val="005855EC"/>
    <w:rsid w:val="0058568D"/>
    <w:rsid w:val="0058582B"/>
    <w:rsid w:val="0058585C"/>
    <w:rsid w:val="00585BB4"/>
    <w:rsid w:val="00585E7C"/>
    <w:rsid w:val="005860CC"/>
    <w:rsid w:val="005860F6"/>
    <w:rsid w:val="00586182"/>
    <w:rsid w:val="005861B6"/>
    <w:rsid w:val="005865C4"/>
    <w:rsid w:val="0058680D"/>
    <w:rsid w:val="0058691F"/>
    <w:rsid w:val="00586943"/>
    <w:rsid w:val="00586B08"/>
    <w:rsid w:val="00586BAA"/>
    <w:rsid w:val="00586C7C"/>
    <w:rsid w:val="005871FE"/>
    <w:rsid w:val="00587630"/>
    <w:rsid w:val="005877F8"/>
    <w:rsid w:val="00587A34"/>
    <w:rsid w:val="00587A88"/>
    <w:rsid w:val="00587AC2"/>
    <w:rsid w:val="00587AF6"/>
    <w:rsid w:val="00587E33"/>
    <w:rsid w:val="00587E3B"/>
    <w:rsid w:val="00587F3A"/>
    <w:rsid w:val="00590129"/>
    <w:rsid w:val="00590191"/>
    <w:rsid w:val="0059042A"/>
    <w:rsid w:val="005906AF"/>
    <w:rsid w:val="005906F2"/>
    <w:rsid w:val="0059073B"/>
    <w:rsid w:val="005908D0"/>
    <w:rsid w:val="005909DF"/>
    <w:rsid w:val="0059106D"/>
    <w:rsid w:val="00591175"/>
    <w:rsid w:val="00591178"/>
    <w:rsid w:val="005913C4"/>
    <w:rsid w:val="005913C7"/>
    <w:rsid w:val="005913CB"/>
    <w:rsid w:val="0059173F"/>
    <w:rsid w:val="005918D4"/>
    <w:rsid w:val="005919AD"/>
    <w:rsid w:val="00591AF3"/>
    <w:rsid w:val="00591B1D"/>
    <w:rsid w:val="00591B5D"/>
    <w:rsid w:val="00591D70"/>
    <w:rsid w:val="00591F84"/>
    <w:rsid w:val="00591FC1"/>
    <w:rsid w:val="00591FCE"/>
    <w:rsid w:val="005920B8"/>
    <w:rsid w:val="00592127"/>
    <w:rsid w:val="00592280"/>
    <w:rsid w:val="005923E4"/>
    <w:rsid w:val="00592577"/>
    <w:rsid w:val="00592813"/>
    <w:rsid w:val="00592A2A"/>
    <w:rsid w:val="00592AD4"/>
    <w:rsid w:val="00592B90"/>
    <w:rsid w:val="00592E90"/>
    <w:rsid w:val="00593049"/>
    <w:rsid w:val="005931EE"/>
    <w:rsid w:val="0059328F"/>
    <w:rsid w:val="005932DE"/>
    <w:rsid w:val="00593365"/>
    <w:rsid w:val="00593370"/>
    <w:rsid w:val="0059348F"/>
    <w:rsid w:val="00593550"/>
    <w:rsid w:val="005935D2"/>
    <w:rsid w:val="005935D9"/>
    <w:rsid w:val="0059366C"/>
    <w:rsid w:val="0059377A"/>
    <w:rsid w:val="00593ADA"/>
    <w:rsid w:val="00593DD3"/>
    <w:rsid w:val="00593DD6"/>
    <w:rsid w:val="005942B4"/>
    <w:rsid w:val="0059436E"/>
    <w:rsid w:val="005943EF"/>
    <w:rsid w:val="0059457D"/>
    <w:rsid w:val="00594835"/>
    <w:rsid w:val="0059498A"/>
    <w:rsid w:val="00594CC4"/>
    <w:rsid w:val="00594D91"/>
    <w:rsid w:val="00594E2A"/>
    <w:rsid w:val="00594EB3"/>
    <w:rsid w:val="00594F2F"/>
    <w:rsid w:val="00594FF5"/>
    <w:rsid w:val="00595052"/>
    <w:rsid w:val="0059507D"/>
    <w:rsid w:val="00595156"/>
    <w:rsid w:val="00595193"/>
    <w:rsid w:val="00595520"/>
    <w:rsid w:val="00595770"/>
    <w:rsid w:val="005958B4"/>
    <w:rsid w:val="00595911"/>
    <w:rsid w:val="0059594F"/>
    <w:rsid w:val="005959F3"/>
    <w:rsid w:val="00595BB2"/>
    <w:rsid w:val="00595BC8"/>
    <w:rsid w:val="00595C3A"/>
    <w:rsid w:val="00595D10"/>
    <w:rsid w:val="00595D4C"/>
    <w:rsid w:val="00595D8D"/>
    <w:rsid w:val="00595DDF"/>
    <w:rsid w:val="00595F3D"/>
    <w:rsid w:val="00595FA3"/>
    <w:rsid w:val="00595FFA"/>
    <w:rsid w:val="005962E2"/>
    <w:rsid w:val="00596342"/>
    <w:rsid w:val="0059661B"/>
    <w:rsid w:val="00596672"/>
    <w:rsid w:val="00596AC4"/>
    <w:rsid w:val="00596C24"/>
    <w:rsid w:val="00596D65"/>
    <w:rsid w:val="00596F30"/>
    <w:rsid w:val="005975ED"/>
    <w:rsid w:val="005975F7"/>
    <w:rsid w:val="00597C6C"/>
    <w:rsid w:val="00597D3D"/>
    <w:rsid w:val="00597F46"/>
    <w:rsid w:val="005A018C"/>
    <w:rsid w:val="005A038A"/>
    <w:rsid w:val="005A04BF"/>
    <w:rsid w:val="005A05A2"/>
    <w:rsid w:val="005A0FBD"/>
    <w:rsid w:val="005A10FF"/>
    <w:rsid w:val="005A1325"/>
    <w:rsid w:val="005A1770"/>
    <w:rsid w:val="005A18BA"/>
    <w:rsid w:val="005A1A47"/>
    <w:rsid w:val="005A1B5F"/>
    <w:rsid w:val="005A201F"/>
    <w:rsid w:val="005A243A"/>
    <w:rsid w:val="005A24FC"/>
    <w:rsid w:val="005A256E"/>
    <w:rsid w:val="005A2583"/>
    <w:rsid w:val="005A25E5"/>
    <w:rsid w:val="005A26B5"/>
    <w:rsid w:val="005A2812"/>
    <w:rsid w:val="005A29C1"/>
    <w:rsid w:val="005A2A96"/>
    <w:rsid w:val="005A2CD9"/>
    <w:rsid w:val="005A2ECE"/>
    <w:rsid w:val="005A3120"/>
    <w:rsid w:val="005A31E4"/>
    <w:rsid w:val="005A339B"/>
    <w:rsid w:val="005A36C4"/>
    <w:rsid w:val="005A37EF"/>
    <w:rsid w:val="005A3905"/>
    <w:rsid w:val="005A3A08"/>
    <w:rsid w:val="005A3A18"/>
    <w:rsid w:val="005A3A6B"/>
    <w:rsid w:val="005A3A7D"/>
    <w:rsid w:val="005A3B61"/>
    <w:rsid w:val="005A3CB7"/>
    <w:rsid w:val="005A3D75"/>
    <w:rsid w:val="005A3DA0"/>
    <w:rsid w:val="005A3DFC"/>
    <w:rsid w:val="005A4151"/>
    <w:rsid w:val="005A417F"/>
    <w:rsid w:val="005A42E4"/>
    <w:rsid w:val="005A44D6"/>
    <w:rsid w:val="005A457D"/>
    <w:rsid w:val="005A4708"/>
    <w:rsid w:val="005A486F"/>
    <w:rsid w:val="005A4913"/>
    <w:rsid w:val="005A4B7D"/>
    <w:rsid w:val="005A4C4D"/>
    <w:rsid w:val="005A4DB0"/>
    <w:rsid w:val="005A500A"/>
    <w:rsid w:val="005A5076"/>
    <w:rsid w:val="005A51CC"/>
    <w:rsid w:val="005A5335"/>
    <w:rsid w:val="005A5464"/>
    <w:rsid w:val="005A546A"/>
    <w:rsid w:val="005A5622"/>
    <w:rsid w:val="005A5630"/>
    <w:rsid w:val="005A573A"/>
    <w:rsid w:val="005A591E"/>
    <w:rsid w:val="005A5A79"/>
    <w:rsid w:val="005A5B5F"/>
    <w:rsid w:val="005A5C4F"/>
    <w:rsid w:val="005A5C54"/>
    <w:rsid w:val="005A5F2E"/>
    <w:rsid w:val="005A5F5C"/>
    <w:rsid w:val="005A62EB"/>
    <w:rsid w:val="005A6303"/>
    <w:rsid w:val="005A6479"/>
    <w:rsid w:val="005A6496"/>
    <w:rsid w:val="005A6582"/>
    <w:rsid w:val="005A6651"/>
    <w:rsid w:val="005A669B"/>
    <w:rsid w:val="005A66BD"/>
    <w:rsid w:val="005A6708"/>
    <w:rsid w:val="005A671A"/>
    <w:rsid w:val="005A692C"/>
    <w:rsid w:val="005A6A48"/>
    <w:rsid w:val="005A6AD9"/>
    <w:rsid w:val="005A6B28"/>
    <w:rsid w:val="005A6B42"/>
    <w:rsid w:val="005A6ED6"/>
    <w:rsid w:val="005A6F02"/>
    <w:rsid w:val="005A76B2"/>
    <w:rsid w:val="005A76FE"/>
    <w:rsid w:val="005A774E"/>
    <w:rsid w:val="005A7908"/>
    <w:rsid w:val="005A7C54"/>
    <w:rsid w:val="005A7C6E"/>
    <w:rsid w:val="005A7C7C"/>
    <w:rsid w:val="005A7C90"/>
    <w:rsid w:val="005B002B"/>
    <w:rsid w:val="005B029F"/>
    <w:rsid w:val="005B047B"/>
    <w:rsid w:val="005B05F5"/>
    <w:rsid w:val="005B0642"/>
    <w:rsid w:val="005B08EC"/>
    <w:rsid w:val="005B0990"/>
    <w:rsid w:val="005B09AE"/>
    <w:rsid w:val="005B0A38"/>
    <w:rsid w:val="005B0BE2"/>
    <w:rsid w:val="005B0C41"/>
    <w:rsid w:val="005B0D17"/>
    <w:rsid w:val="005B0D7D"/>
    <w:rsid w:val="005B0DCE"/>
    <w:rsid w:val="005B0F96"/>
    <w:rsid w:val="005B1119"/>
    <w:rsid w:val="005B115B"/>
    <w:rsid w:val="005B138F"/>
    <w:rsid w:val="005B1397"/>
    <w:rsid w:val="005B1418"/>
    <w:rsid w:val="005B1435"/>
    <w:rsid w:val="005B167D"/>
    <w:rsid w:val="005B16E2"/>
    <w:rsid w:val="005B1706"/>
    <w:rsid w:val="005B194F"/>
    <w:rsid w:val="005B1A24"/>
    <w:rsid w:val="005B1B18"/>
    <w:rsid w:val="005B1D66"/>
    <w:rsid w:val="005B1F8B"/>
    <w:rsid w:val="005B20C6"/>
    <w:rsid w:val="005B2370"/>
    <w:rsid w:val="005B2437"/>
    <w:rsid w:val="005B246A"/>
    <w:rsid w:val="005B2521"/>
    <w:rsid w:val="005B25CD"/>
    <w:rsid w:val="005B26CC"/>
    <w:rsid w:val="005B27F7"/>
    <w:rsid w:val="005B28E7"/>
    <w:rsid w:val="005B2924"/>
    <w:rsid w:val="005B2AD1"/>
    <w:rsid w:val="005B2B34"/>
    <w:rsid w:val="005B2C0D"/>
    <w:rsid w:val="005B2D0B"/>
    <w:rsid w:val="005B2D4F"/>
    <w:rsid w:val="005B2DBB"/>
    <w:rsid w:val="005B2E92"/>
    <w:rsid w:val="005B2FDD"/>
    <w:rsid w:val="005B3077"/>
    <w:rsid w:val="005B3089"/>
    <w:rsid w:val="005B3104"/>
    <w:rsid w:val="005B316E"/>
    <w:rsid w:val="005B31BF"/>
    <w:rsid w:val="005B31F8"/>
    <w:rsid w:val="005B3336"/>
    <w:rsid w:val="005B3612"/>
    <w:rsid w:val="005B395A"/>
    <w:rsid w:val="005B3B58"/>
    <w:rsid w:val="005B3CC6"/>
    <w:rsid w:val="005B3DEE"/>
    <w:rsid w:val="005B3E8A"/>
    <w:rsid w:val="005B402D"/>
    <w:rsid w:val="005B4056"/>
    <w:rsid w:val="005B4082"/>
    <w:rsid w:val="005B40A6"/>
    <w:rsid w:val="005B4364"/>
    <w:rsid w:val="005B441C"/>
    <w:rsid w:val="005B44A5"/>
    <w:rsid w:val="005B44F1"/>
    <w:rsid w:val="005B4572"/>
    <w:rsid w:val="005B4594"/>
    <w:rsid w:val="005B474F"/>
    <w:rsid w:val="005B49FF"/>
    <w:rsid w:val="005B4B9A"/>
    <w:rsid w:val="005B4BAA"/>
    <w:rsid w:val="005B4CE9"/>
    <w:rsid w:val="005B4D44"/>
    <w:rsid w:val="005B4D5E"/>
    <w:rsid w:val="005B4E3C"/>
    <w:rsid w:val="005B4E82"/>
    <w:rsid w:val="005B5066"/>
    <w:rsid w:val="005B5071"/>
    <w:rsid w:val="005B50CA"/>
    <w:rsid w:val="005B5479"/>
    <w:rsid w:val="005B5567"/>
    <w:rsid w:val="005B5585"/>
    <w:rsid w:val="005B5591"/>
    <w:rsid w:val="005B55A7"/>
    <w:rsid w:val="005B593E"/>
    <w:rsid w:val="005B59CC"/>
    <w:rsid w:val="005B5AA1"/>
    <w:rsid w:val="005B5B37"/>
    <w:rsid w:val="005B5DB9"/>
    <w:rsid w:val="005B61B4"/>
    <w:rsid w:val="005B6291"/>
    <w:rsid w:val="005B64E9"/>
    <w:rsid w:val="005B6615"/>
    <w:rsid w:val="005B6659"/>
    <w:rsid w:val="005B66BD"/>
    <w:rsid w:val="005B6760"/>
    <w:rsid w:val="005B6793"/>
    <w:rsid w:val="005B684A"/>
    <w:rsid w:val="005B69ED"/>
    <w:rsid w:val="005B6BF0"/>
    <w:rsid w:val="005B6C99"/>
    <w:rsid w:val="005B6F40"/>
    <w:rsid w:val="005B6FEB"/>
    <w:rsid w:val="005B71D0"/>
    <w:rsid w:val="005B727F"/>
    <w:rsid w:val="005B7287"/>
    <w:rsid w:val="005B75B2"/>
    <w:rsid w:val="005B7610"/>
    <w:rsid w:val="005B761F"/>
    <w:rsid w:val="005B79B0"/>
    <w:rsid w:val="005B7FCB"/>
    <w:rsid w:val="005C00E0"/>
    <w:rsid w:val="005C00EC"/>
    <w:rsid w:val="005C0164"/>
    <w:rsid w:val="005C019B"/>
    <w:rsid w:val="005C040B"/>
    <w:rsid w:val="005C0429"/>
    <w:rsid w:val="005C056E"/>
    <w:rsid w:val="005C05A1"/>
    <w:rsid w:val="005C0773"/>
    <w:rsid w:val="005C07A8"/>
    <w:rsid w:val="005C08F5"/>
    <w:rsid w:val="005C0D80"/>
    <w:rsid w:val="005C0E39"/>
    <w:rsid w:val="005C11F6"/>
    <w:rsid w:val="005C120A"/>
    <w:rsid w:val="005C128C"/>
    <w:rsid w:val="005C129A"/>
    <w:rsid w:val="005C134A"/>
    <w:rsid w:val="005C1353"/>
    <w:rsid w:val="005C1400"/>
    <w:rsid w:val="005C1476"/>
    <w:rsid w:val="005C1517"/>
    <w:rsid w:val="005C151C"/>
    <w:rsid w:val="005C15F4"/>
    <w:rsid w:val="005C16AC"/>
    <w:rsid w:val="005C18FD"/>
    <w:rsid w:val="005C1970"/>
    <w:rsid w:val="005C1A17"/>
    <w:rsid w:val="005C1B38"/>
    <w:rsid w:val="005C1B76"/>
    <w:rsid w:val="005C1C07"/>
    <w:rsid w:val="005C1C99"/>
    <w:rsid w:val="005C1D06"/>
    <w:rsid w:val="005C1D25"/>
    <w:rsid w:val="005C2103"/>
    <w:rsid w:val="005C228D"/>
    <w:rsid w:val="005C23D2"/>
    <w:rsid w:val="005C2494"/>
    <w:rsid w:val="005C2548"/>
    <w:rsid w:val="005C2689"/>
    <w:rsid w:val="005C270C"/>
    <w:rsid w:val="005C2827"/>
    <w:rsid w:val="005C2BEA"/>
    <w:rsid w:val="005C2F6E"/>
    <w:rsid w:val="005C317B"/>
    <w:rsid w:val="005C34E0"/>
    <w:rsid w:val="005C367D"/>
    <w:rsid w:val="005C3762"/>
    <w:rsid w:val="005C37F0"/>
    <w:rsid w:val="005C397F"/>
    <w:rsid w:val="005C3A86"/>
    <w:rsid w:val="005C3B3D"/>
    <w:rsid w:val="005C3D2B"/>
    <w:rsid w:val="005C4197"/>
    <w:rsid w:val="005C41CE"/>
    <w:rsid w:val="005C427E"/>
    <w:rsid w:val="005C4686"/>
    <w:rsid w:val="005C473D"/>
    <w:rsid w:val="005C48CF"/>
    <w:rsid w:val="005C4A1A"/>
    <w:rsid w:val="005C4EE4"/>
    <w:rsid w:val="005C5153"/>
    <w:rsid w:val="005C5186"/>
    <w:rsid w:val="005C523E"/>
    <w:rsid w:val="005C53F0"/>
    <w:rsid w:val="005C53F9"/>
    <w:rsid w:val="005C54CA"/>
    <w:rsid w:val="005C551A"/>
    <w:rsid w:val="005C573C"/>
    <w:rsid w:val="005C579D"/>
    <w:rsid w:val="005C5AA4"/>
    <w:rsid w:val="005C5BF3"/>
    <w:rsid w:val="005C5DBB"/>
    <w:rsid w:val="005C6048"/>
    <w:rsid w:val="005C60E7"/>
    <w:rsid w:val="005C613E"/>
    <w:rsid w:val="005C647E"/>
    <w:rsid w:val="005C6626"/>
    <w:rsid w:val="005C66E2"/>
    <w:rsid w:val="005C696E"/>
    <w:rsid w:val="005C6AA8"/>
    <w:rsid w:val="005C6CE2"/>
    <w:rsid w:val="005C6DA4"/>
    <w:rsid w:val="005C7142"/>
    <w:rsid w:val="005C71D8"/>
    <w:rsid w:val="005C725C"/>
    <w:rsid w:val="005C761B"/>
    <w:rsid w:val="005C775B"/>
    <w:rsid w:val="005C7931"/>
    <w:rsid w:val="005C7B0C"/>
    <w:rsid w:val="005C7D1A"/>
    <w:rsid w:val="005C7E34"/>
    <w:rsid w:val="005C7E90"/>
    <w:rsid w:val="005D0169"/>
    <w:rsid w:val="005D0337"/>
    <w:rsid w:val="005D0488"/>
    <w:rsid w:val="005D0768"/>
    <w:rsid w:val="005D0B85"/>
    <w:rsid w:val="005D0D32"/>
    <w:rsid w:val="005D0E3A"/>
    <w:rsid w:val="005D10DF"/>
    <w:rsid w:val="005D1188"/>
    <w:rsid w:val="005D1311"/>
    <w:rsid w:val="005D13FD"/>
    <w:rsid w:val="005D1716"/>
    <w:rsid w:val="005D1783"/>
    <w:rsid w:val="005D1911"/>
    <w:rsid w:val="005D1916"/>
    <w:rsid w:val="005D1A3F"/>
    <w:rsid w:val="005D1B34"/>
    <w:rsid w:val="005D1B79"/>
    <w:rsid w:val="005D1BE7"/>
    <w:rsid w:val="005D1D53"/>
    <w:rsid w:val="005D1FAC"/>
    <w:rsid w:val="005D23C8"/>
    <w:rsid w:val="005D2437"/>
    <w:rsid w:val="005D245B"/>
    <w:rsid w:val="005D25C2"/>
    <w:rsid w:val="005D2625"/>
    <w:rsid w:val="005D2649"/>
    <w:rsid w:val="005D26AC"/>
    <w:rsid w:val="005D270F"/>
    <w:rsid w:val="005D27CC"/>
    <w:rsid w:val="005D27FD"/>
    <w:rsid w:val="005D2822"/>
    <w:rsid w:val="005D2854"/>
    <w:rsid w:val="005D2B25"/>
    <w:rsid w:val="005D2ECF"/>
    <w:rsid w:val="005D2F5A"/>
    <w:rsid w:val="005D3308"/>
    <w:rsid w:val="005D3410"/>
    <w:rsid w:val="005D35A2"/>
    <w:rsid w:val="005D36F6"/>
    <w:rsid w:val="005D370D"/>
    <w:rsid w:val="005D376C"/>
    <w:rsid w:val="005D3771"/>
    <w:rsid w:val="005D37F3"/>
    <w:rsid w:val="005D3830"/>
    <w:rsid w:val="005D39A2"/>
    <w:rsid w:val="005D3B62"/>
    <w:rsid w:val="005D3BBB"/>
    <w:rsid w:val="005D3FBC"/>
    <w:rsid w:val="005D3FE2"/>
    <w:rsid w:val="005D4028"/>
    <w:rsid w:val="005D41D4"/>
    <w:rsid w:val="005D42C9"/>
    <w:rsid w:val="005D42E7"/>
    <w:rsid w:val="005D4326"/>
    <w:rsid w:val="005D4628"/>
    <w:rsid w:val="005D4766"/>
    <w:rsid w:val="005D47F0"/>
    <w:rsid w:val="005D482B"/>
    <w:rsid w:val="005D4AE2"/>
    <w:rsid w:val="005D4CC6"/>
    <w:rsid w:val="005D4DE1"/>
    <w:rsid w:val="005D4EC4"/>
    <w:rsid w:val="005D4F5F"/>
    <w:rsid w:val="005D503C"/>
    <w:rsid w:val="005D5197"/>
    <w:rsid w:val="005D527F"/>
    <w:rsid w:val="005D532C"/>
    <w:rsid w:val="005D53BB"/>
    <w:rsid w:val="005D5488"/>
    <w:rsid w:val="005D54A2"/>
    <w:rsid w:val="005D550F"/>
    <w:rsid w:val="005D55C0"/>
    <w:rsid w:val="005D56FD"/>
    <w:rsid w:val="005D57F4"/>
    <w:rsid w:val="005D5910"/>
    <w:rsid w:val="005D5958"/>
    <w:rsid w:val="005D5C2B"/>
    <w:rsid w:val="005D6382"/>
    <w:rsid w:val="005D6490"/>
    <w:rsid w:val="005D6612"/>
    <w:rsid w:val="005D6715"/>
    <w:rsid w:val="005D695B"/>
    <w:rsid w:val="005D6A59"/>
    <w:rsid w:val="005D6CEB"/>
    <w:rsid w:val="005D7234"/>
    <w:rsid w:val="005D7240"/>
    <w:rsid w:val="005D72BE"/>
    <w:rsid w:val="005D7465"/>
    <w:rsid w:val="005D74FE"/>
    <w:rsid w:val="005D759A"/>
    <w:rsid w:val="005D76BB"/>
    <w:rsid w:val="005D787B"/>
    <w:rsid w:val="005D7AA1"/>
    <w:rsid w:val="005D7BA9"/>
    <w:rsid w:val="005D7BBC"/>
    <w:rsid w:val="005D7BDF"/>
    <w:rsid w:val="005D7C21"/>
    <w:rsid w:val="005D7C36"/>
    <w:rsid w:val="005D7C74"/>
    <w:rsid w:val="005D7D3A"/>
    <w:rsid w:val="005D7E04"/>
    <w:rsid w:val="005D7E9E"/>
    <w:rsid w:val="005D7F5A"/>
    <w:rsid w:val="005D7F6D"/>
    <w:rsid w:val="005E0049"/>
    <w:rsid w:val="005E015B"/>
    <w:rsid w:val="005E082F"/>
    <w:rsid w:val="005E0892"/>
    <w:rsid w:val="005E0ABC"/>
    <w:rsid w:val="005E0AF6"/>
    <w:rsid w:val="005E0B1A"/>
    <w:rsid w:val="005E0B4C"/>
    <w:rsid w:val="005E0BBF"/>
    <w:rsid w:val="005E0D88"/>
    <w:rsid w:val="005E1089"/>
    <w:rsid w:val="005E1182"/>
    <w:rsid w:val="005E125E"/>
    <w:rsid w:val="005E1668"/>
    <w:rsid w:val="005E19A2"/>
    <w:rsid w:val="005E1A0F"/>
    <w:rsid w:val="005E1ACD"/>
    <w:rsid w:val="005E1DBA"/>
    <w:rsid w:val="005E1DF4"/>
    <w:rsid w:val="005E1DF9"/>
    <w:rsid w:val="005E1E23"/>
    <w:rsid w:val="005E1F5C"/>
    <w:rsid w:val="005E2140"/>
    <w:rsid w:val="005E219F"/>
    <w:rsid w:val="005E23BF"/>
    <w:rsid w:val="005E242B"/>
    <w:rsid w:val="005E251B"/>
    <w:rsid w:val="005E25DA"/>
    <w:rsid w:val="005E2C4A"/>
    <w:rsid w:val="005E2E02"/>
    <w:rsid w:val="005E2EEF"/>
    <w:rsid w:val="005E311D"/>
    <w:rsid w:val="005E329A"/>
    <w:rsid w:val="005E3310"/>
    <w:rsid w:val="005E33F6"/>
    <w:rsid w:val="005E36A2"/>
    <w:rsid w:val="005E36D7"/>
    <w:rsid w:val="005E3855"/>
    <w:rsid w:val="005E39AB"/>
    <w:rsid w:val="005E3B6D"/>
    <w:rsid w:val="005E3CA0"/>
    <w:rsid w:val="005E3CB8"/>
    <w:rsid w:val="005E3E4A"/>
    <w:rsid w:val="005E3ED2"/>
    <w:rsid w:val="005E3F9F"/>
    <w:rsid w:val="005E4069"/>
    <w:rsid w:val="005E410E"/>
    <w:rsid w:val="005E42D7"/>
    <w:rsid w:val="005E433F"/>
    <w:rsid w:val="005E44B6"/>
    <w:rsid w:val="005E46EA"/>
    <w:rsid w:val="005E4774"/>
    <w:rsid w:val="005E485C"/>
    <w:rsid w:val="005E4989"/>
    <w:rsid w:val="005E4C96"/>
    <w:rsid w:val="005E4D2E"/>
    <w:rsid w:val="005E4D44"/>
    <w:rsid w:val="005E4DA4"/>
    <w:rsid w:val="005E4F01"/>
    <w:rsid w:val="005E4FD0"/>
    <w:rsid w:val="005E4FEC"/>
    <w:rsid w:val="005E5021"/>
    <w:rsid w:val="005E5135"/>
    <w:rsid w:val="005E524D"/>
    <w:rsid w:val="005E526E"/>
    <w:rsid w:val="005E52A5"/>
    <w:rsid w:val="005E53D0"/>
    <w:rsid w:val="005E5401"/>
    <w:rsid w:val="005E55CE"/>
    <w:rsid w:val="005E5719"/>
    <w:rsid w:val="005E595E"/>
    <w:rsid w:val="005E5E46"/>
    <w:rsid w:val="005E5F2C"/>
    <w:rsid w:val="005E5F54"/>
    <w:rsid w:val="005E6300"/>
    <w:rsid w:val="005E63B4"/>
    <w:rsid w:val="005E66E9"/>
    <w:rsid w:val="005E6730"/>
    <w:rsid w:val="005E6C0E"/>
    <w:rsid w:val="005E6D97"/>
    <w:rsid w:val="005E710F"/>
    <w:rsid w:val="005E7376"/>
    <w:rsid w:val="005E74F3"/>
    <w:rsid w:val="005E7549"/>
    <w:rsid w:val="005E764C"/>
    <w:rsid w:val="005E78B9"/>
    <w:rsid w:val="005E793B"/>
    <w:rsid w:val="005E793F"/>
    <w:rsid w:val="005E7A2B"/>
    <w:rsid w:val="005E7A40"/>
    <w:rsid w:val="005E7A56"/>
    <w:rsid w:val="005E7A65"/>
    <w:rsid w:val="005E7AFD"/>
    <w:rsid w:val="005E7B03"/>
    <w:rsid w:val="005E7BDB"/>
    <w:rsid w:val="005E7C60"/>
    <w:rsid w:val="005E7ECC"/>
    <w:rsid w:val="005E7F0C"/>
    <w:rsid w:val="005E7F53"/>
    <w:rsid w:val="005F0192"/>
    <w:rsid w:val="005F037C"/>
    <w:rsid w:val="005F03D8"/>
    <w:rsid w:val="005F05DB"/>
    <w:rsid w:val="005F07A5"/>
    <w:rsid w:val="005F0961"/>
    <w:rsid w:val="005F0A4E"/>
    <w:rsid w:val="005F0C05"/>
    <w:rsid w:val="005F0D68"/>
    <w:rsid w:val="005F0DEA"/>
    <w:rsid w:val="005F0EB4"/>
    <w:rsid w:val="005F1072"/>
    <w:rsid w:val="005F121D"/>
    <w:rsid w:val="005F12D1"/>
    <w:rsid w:val="005F14DE"/>
    <w:rsid w:val="005F15AB"/>
    <w:rsid w:val="005F1781"/>
    <w:rsid w:val="005F188C"/>
    <w:rsid w:val="005F1920"/>
    <w:rsid w:val="005F19F5"/>
    <w:rsid w:val="005F1C9C"/>
    <w:rsid w:val="005F1CE3"/>
    <w:rsid w:val="005F1F72"/>
    <w:rsid w:val="005F1FDA"/>
    <w:rsid w:val="005F2062"/>
    <w:rsid w:val="005F21BE"/>
    <w:rsid w:val="005F22AD"/>
    <w:rsid w:val="005F2329"/>
    <w:rsid w:val="005F24AA"/>
    <w:rsid w:val="005F29EB"/>
    <w:rsid w:val="005F2B33"/>
    <w:rsid w:val="005F2B34"/>
    <w:rsid w:val="005F2E67"/>
    <w:rsid w:val="005F303A"/>
    <w:rsid w:val="005F304F"/>
    <w:rsid w:val="005F3159"/>
    <w:rsid w:val="005F3212"/>
    <w:rsid w:val="005F332B"/>
    <w:rsid w:val="005F3422"/>
    <w:rsid w:val="005F3613"/>
    <w:rsid w:val="005F3627"/>
    <w:rsid w:val="005F370F"/>
    <w:rsid w:val="005F389A"/>
    <w:rsid w:val="005F3A45"/>
    <w:rsid w:val="005F3C4D"/>
    <w:rsid w:val="005F3CE7"/>
    <w:rsid w:val="005F3D77"/>
    <w:rsid w:val="005F3DCE"/>
    <w:rsid w:val="005F3DDD"/>
    <w:rsid w:val="005F3DE6"/>
    <w:rsid w:val="005F3FEA"/>
    <w:rsid w:val="005F40B3"/>
    <w:rsid w:val="005F41B6"/>
    <w:rsid w:val="005F44E9"/>
    <w:rsid w:val="005F456A"/>
    <w:rsid w:val="005F45A7"/>
    <w:rsid w:val="005F45F4"/>
    <w:rsid w:val="005F46E3"/>
    <w:rsid w:val="005F4702"/>
    <w:rsid w:val="005F486B"/>
    <w:rsid w:val="005F493B"/>
    <w:rsid w:val="005F4954"/>
    <w:rsid w:val="005F4A1B"/>
    <w:rsid w:val="005F4B4C"/>
    <w:rsid w:val="005F4E6A"/>
    <w:rsid w:val="005F4F1F"/>
    <w:rsid w:val="005F50D1"/>
    <w:rsid w:val="005F515B"/>
    <w:rsid w:val="005F5368"/>
    <w:rsid w:val="005F53CB"/>
    <w:rsid w:val="005F5659"/>
    <w:rsid w:val="005F5750"/>
    <w:rsid w:val="005F5B29"/>
    <w:rsid w:val="005F5DBA"/>
    <w:rsid w:val="005F5F1D"/>
    <w:rsid w:val="005F62E0"/>
    <w:rsid w:val="005F6419"/>
    <w:rsid w:val="005F6439"/>
    <w:rsid w:val="005F6470"/>
    <w:rsid w:val="005F660A"/>
    <w:rsid w:val="005F670B"/>
    <w:rsid w:val="005F67F1"/>
    <w:rsid w:val="005F682E"/>
    <w:rsid w:val="005F6A67"/>
    <w:rsid w:val="005F6AEF"/>
    <w:rsid w:val="005F6B59"/>
    <w:rsid w:val="005F6BF9"/>
    <w:rsid w:val="005F6F14"/>
    <w:rsid w:val="005F703F"/>
    <w:rsid w:val="005F72CC"/>
    <w:rsid w:val="005F737B"/>
    <w:rsid w:val="005F7506"/>
    <w:rsid w:val="005F7544"/>
    <w:rsid w:val="005F754B"/>
    <w:rsid w:val="005F7799"/>
    <w:rsid w:val="005F788B"/>
    <w:rsid w:val="005F7AC7"/>
    <w:rsid w:val="005F7B4D"/>
    <w:rsid w:val="005F7CA4"/>
    <w:rsid w:val="005F7E3C"/>
    <w:rsid w:val="005F7F71"/>
    <w:rsid w:val="0060001F"/>
    <w:rsid w:val="006003A5"/>
    <w:rsid w:val="006004BA"/>
    <w:rsid w:val="006004DE"/>
    <w:rsid w:val="006005BE"/>
    <w:rsid w:val="006005E5"/>
    <w:rsid w:val="0060071E"/>
    <w:rsid w:val="0060076C"/>
    <w:rsid w:val="0060104A"/>
    <w:rsid w:val="00601178"/>
    <w:rsid w:val="006012F1"/>
    <w:rsid w:val="00601403"/>
    <w:rsid w:val="006017E7"/>
    <w:rsid w:val="00601ACF"/>
    <w:rsid w:val="00601AF5"/>
    <w:rsid w:val="00601E1B"/>
    <w:rsid w:val="00601FA8"/>
    <w:rsid w:val="0060209B"/>
    <w:rsid w:val="006022AF"/>
    <w:rsid w:val="00602360"/>
    <w:rsid w:val="00602431"/>
    <w:rsid w:val="0060259A"/>
    <w:rsid w:val="006026EE"/>
    <w:rsid w:val="00602758"/>
    <w:rsid w:val="006027D5"/>
    <w:rsid w:val="00602B6A"/>
    <w:rsid w:val="00602BD2"/>
    <w:rsid w:val="00602CB8"/>
    <w:rsid w:val="006030C6"/>
    <w:rsid w:val="0060319A"/>
    <w:rsid w:val="006035F3"/>
    <w:rsid w:val="006037A5"/>
    <w:rsid w:val="006037F2"/>
    <w:rsid w:val="00603A3C"/>
    <w:rsid w:val="00603D48"/>
    <w:rsid w:val="00603F00"/>
    <w:rsid w:val="006041BD"/>
    <w:rsid w:val="006043C0"/>
    <w:rsid w:val="00604404"/>
    <w:rsid w:val="006045A1"/>
    <w:rsid w:val="006045AF"/>
    <w:rsid w:val="006046FA"/>
    <w:rsid w:val="006047DB"/>
    <w:rsid w:val="006048D7"/>
    <w:rsid w:val="00604928"/>
    <w:rsid w:val="00604C43"/>
    <w:rsid w:val="00604CCD"/>
    <w:rsid w:val="00604CFF"/>
    <w:rsid w:val="00604ECA"/>
    <w:rsid w:val="00605107"/>
    <w:rsid w:val="0060520F"/>
    <w:rsid w:val="006052BF"/>
    <w:rsid w:val="0060547A"/>
    <w:rsid w:val="00605999"/>
    <w:rsid w:val="00605BB5"/>
    <w:rsid w:val="00605BE4"/>
    <w:rsid w:val="00605D32"/>
    <w:rsid w:val="0060618E"/>
    <w:rsid w:val="00606361"/>
    <w:rsid w:val="0060655C"/>
    <w:rsid w:val="0060668A"/>
    <w:rsid w:val="0060679A"/>
    <w:rsid w:val="006067F0"/>
    <w:rsid w:val="00606C24"/>
    <w:rsid w:val="00606EE5"/>
    <w:rsid w:val="00607236"/>
    <w:rsid w:val="0060729A"/>
    <w:rsid w:val="006073B3"/>
    <w:rsid w:val="0060776B"/>
    <w:rsid w:val="006078FA"/>
    <w:rsid w:val="0060794D"/>
    <w:rsid w:val="00607961"/>
    <w:rsid w:val="00607989"/>
    <w:rsid w:val="00607CA0"/>
    <w:rsid w:val="00607D44"/>
    <w:rsid w:val="00607FEE"/>
    <w:rsid w:val="0061001F"/>
    <w:rsid w:val="006102C4"/>
    <w:rsid w:val="00610466"/>
    <w:rsid w:val="006106A2"/>
    <w:rsid w:val="006106C5"/>
    <w:rsid w:val="0061083A"/>
    <w:rsid w:val="00610938"/>
    <w:rsid w:val="00610A54"/>
    <w:rsid w:val="00610C0C"/>
    <w:rsid w:val="00610CF7"/>
    <w:rsid w:val="00611038"/>
    <w:rsid w:val="0061132E"/>
    <w:rsid w:val="006113F9"/>
    <w:rsid w:val="006114C5"/>
    <w:rsid w:val="00611500"/>
    <w:rsid w:val="0061159D"/>
    <w:rsid w:val="006115B7"/>
    <w:rsid w:val="0061169C"/>
    <w:rsid w:val="006116E6"/>
    <w:rsid w:val="00611729"/>
    <w:rsid w:val="0061174D"/>
    <w:rsid w:val="0061179D"/>
    <w:rsid w:val="006117E6"/>
    <w:rsid w:val="00611946"/>
    <w:rsid w:val="00611A0F"/>
    <w:rsid w:val="00611C25"/>
    <w:rsid w:val="00611C8E"/>
    <w:rsid w:val="0061205E"/>
    <w:rsid w:val="006120D1"/>
    <w:rsid w:val="0061231D"/>
    <w:rsid w:val="00612586"/>
    <w:rsid w:val="00612648"/>
    <w:rsid w:val="00612749"/>
    <w:rsid w:val="0061276B"/>
    <w:rsid w:val="00612777"/>
    <w:rsid w:val="00612780"/>
    <w:rsid w:val="00612E02"/>
    <w:rsid w:val="0061313B"/>
    <w:rsid w:val="00613382"/>
    <w:rsid w:val="00613419"/>
    <w:rsid w:val="00613517"/>
    <w:rsid w:val="00613560"/>
    <w:rsid w:val="0061368E"/>
    <w:rsid w:val="006137A6"/>
    <w:rsid w:val="0061388F"/>
    <w:rsid w:val="006138A3"/>
    <w:rsid w:val="006139C7"/>
    <w:rsid w:val="00613D83"/>
    <w:rsid w:val="0061415E"/>
    <w:rsid w:val="00614185"/>
    <w:rsid w:val="0061437C"/>
    <w:rsid w:val="00614416"/>
    <w:rsid w:val="006145B9"/>
    <w:rsid w:val="006145D8"/>
    <w:rsid w:val="0061476C"/>
    <w:rsid w:val="00614B0E"/>
    <w:rsid w:val="00614D7C"/>
    <w:rsid w:val="00614E35"/>
    <w:rsid w:val="006150BC"/>
    <w:rsid w:val="00615200"/>
    <w:rsid w:val="00615201"/>
    <w:rsid w:val="00615245"/>
    <w:rsid w:val="0061549F"/>
    <w:rsid w:val="006157F4"/>
    <w:rsid w:val="00615937"/>
    <w:rsid w:val="00615A5D"/>
    <w:rsid w:val="00615AAB"/>
    <w:rsid w:val="00615BAE"/>
    <w:rsid w:val="00615D5F"/>
    <w:rsid w:val="00615E61"/>
    <w:rsid w:val="00615E66"/>
    <w:rsid w:val="0061605E"/>
    <w:rsid w:val="006160A8"/>
    <w:rsid w:val="00616174"/>
    <w:rsid w:val="0061626B"/>
    <w:rsid w:val="006162BA"/>
    <w:rsid w:val="006162CD"/>
    <w:rsid w:val="006163CC"/>
    <w:rsid w:val="00616419"/>
    <w:rsid w:val="00616644"/>
    <w:rsid w:val="00616706"/>
    <w:rsid w:val="00616772"/>
    <w:rsid w:val="00616807"/>
    <w:rsid w:val="006169D1"/>
    <w:rsid w:val="00616ADF"/>
    <w:rsid w:val="00616B19"/>
    <w:rsid w:val="00616F4C"/>
    <w:rsid w:val="00617013"/>
    <w:rsid w:val="00617241"/>
    <w:rsid w:val="006173A2"/>
    <w:rsid w:val="006176FA"/>
    <w:rsid w:val="00617711"/>
    <w:rsid w:val="00617831"/>
    <w:rsid w:val="00617864"/>
    <w:rsid w:val="006178B1"/>
    <w:rsid w:val="00617954"/>
    <w:rsid w:val="0061799B"/>
    <w:rsid w:val="00617B9F"/>
    <w:rsid w:val="00617D6B"/>
    <w:rsid w:val="00617DED"/>
    <w:rsid w:val="00617E4E"/>
    <w:rsid w:val="00617F51"/>
    <w:rsid w:val="00620089"/>
    <w:rsid w:val="006200B9"/>
    <w:rsid w:val="0062028A"/>
    <w:rsid w:val="006202F9"/>
    <w:rsid w:val="0062031D"/>
    <w:rsid w:val="006205D0"/>
    <w:rsid w:val="0062065A"/>
    <w:rsid w:val="006206D6"/>
    <w:rsid w:val="0062070F"/>
    <w:rsid w:val="00620838"/>
    <w:rsid w:val="00620AA5"/>
    <w:rsid w:val="00620D25"/>
    <w:rsid w:val="00620F39"/>
    <w:rsid w:val="006210D1"/>
    <w:rsid w:val="0062119E"/>
    <w:rsid w:val="0062121A"/>
    <w:rsid w:val="006212AF"/>
    <w:rsid w:val="00621408"/>
    <w:rsid w:val="0062160A"/>
    <w:rsid w:val="006219FC"/>
    <w:rsid w:val="00621BA2"/>
    <w:rsid w:val="00621BCA"/>
    <w:rsid w:val="00621D15"/>
    <w:rsid w:val="00621D24"/>
    <w:rsid w:val="00621DEC"/>
    <w:rsid w:val="00621E00"/>
    <w:rsid w:val="00621FAD"/>
    <w:rsid w:val="00622115"/>
    <w:rsid w:val="00622137"/>
    <w:rsid w:val="006222C0"/>
    <w:rsid w:val="006222D0"/>
    <w:rsid w:val="006222D1"/>
    <w:rsid w:val="006222F1"/>
    <w:rsid w:val="006224F4"/>
    <w:rsid w:val="00622616"/>
    <w:rsid w:val="006226D4"/>
    <w:rsid w:val="00622934"/>
    <w:rsid w:val="00622C29"/>
    <w:rsid w:val="00622CAF"/>
    <w:rsid w:val="00622D42"/>
    <w:rsid w:val="00622D7B"/>
    <w:rsid w:val="00622E0C"/>
    <w:rsid w:val="00622FD5"/>
    <w:rsid w:val="00623004"/>
    <w:rsid w:val="006231E1"/>
    <w:rsid w:val="00623319"/>
    <w:rsid w:val="006236C8"/>
    <w:rsid w:val="00623700"/>
    <w:rsid w:val="00623742"/>
    <w:rsid w:val="0062375E"/>
    <w:rsid w:val="00623834"/>
    <w:rsid w:val="006239F6"/>
    <w:rsid w:val="00623A7C"/>
    <w:rsid w:val="00623B77"/>
    <w:rsid w:val="00623BA4"/>
    <w:rsid w:val="00623C69"/>
    <w:rsid w:val="00623EE4"/>
    <w:rsid w:val="00623F68"/>
    <w:rsid w:val="00623F7A"/>
    <w:rsid w:val="00623FE0"/>
    <w:rsid w:val="00624069"/>
    <w:rsid w:val="006241CF"/>
    <w:rsid w:val="00624216"/>
    <w:rsid w:val="00624265"/>
    <w:rsid w:val="00624345"/>
    <w:rsid w:val="0062447A"/>
    <w:rsid w:val="00624532"/>
    <w:rsid w:val="0062453A"/>
    <w:rsid w:val="0062488B"/>
    <w:rsid w:val="00624A3D"/>
    <w:rsid w:val="00624BC9"/>
    <w:rsid w:val="00624D22"/>
    <w:rsid w:val="00624D45"/>
    <w:rsid w:val="00624D8F"/>
    <w:rsid w:val="00624DF9"/>
    <w:rsid w:val="00624FAD"/>
    <w:rsid w:val="00625244"/>
    <w:rsid w:val="00625357"/>
    <w:rsid w:val="00625404"/>
    <w:rsid w:val="00625450"/>
    <w:rsid w:val="00625516"/>
    <w:rsid w:val="0062555C"/>
    <w:rsid w:val="00625584"/>
    <w:rsid w:val="00625664"/>
    <w:rsid w:val="006259AC"/>
    <w:rsid w:val="00625A2E"/>
    <w:rsid w:val="00625AD4"/>
    <w:rsid w:val="00625B65"/>
    <w:rsid w:val="00625D3F"/>
    <w:rsid w:val="00625E06"/>
    <w:rsid w:val="00625E30"/>
    <w:rsid w:val="00625E34"/>
    <w:rsid w:val="00625EBB"/>
    <w:rsid w:val="00625F1E"/>
    <w:rsid w:val="006264B4"/>
    <w:rsid w:val="0062686B"/>
    <w:rsid w:val="006268B5"/>
    <w:rsid w:val="00626B25"/>
    <w:rsid w:val="00626B4A"/>
    <w:rsid w:val="00626C3E"/>
    <w:rsid w:val="00626CC1"/>
    <w:rsid w:val="00626DA7"/>
    <w:rsid w:val="00626E24"/>
    <w:rsid w:val="006270B3"/>
    <w:rsid w:val="006270D3"/>
    <w:rsid w:val="0062720B"/>
    <w:rsid w:val="00627231"/>
    <w:rsid w:val="006273CD"/>
    <w:rsid w:val="0062753C"/>
    <w:rsid w:val="006275CB"/>
    <w:rsid w:val="00627634"/>
    <w:rsid w:val="0062763A"/>
    <w:rsid w:val="00627741"/>
    <w:rsid w:val="006277F3"/>
    <w:rsid w:val="0062783F"/>
    <w:rsid w:val="00627973"/>
    <w:rsid w:val="006279FF"/>
    <w:rsid w:val="00627A5A"/>
    <w:rsid w:val="00627AB9"/>
    <w:rsid w:val="00627B33"/>
    <w:rsid w:val="00627DAB"/>
    <w:rsid w:val="00627DF2"/>
    <w:rsid w:val="00627F18"/>
    <w:rsid w:val="00627F9D"/>
    <w:rsid w:val="006300A4"/>
    <w:rsid w:val="006300C5"/>
    <w:rsid w:val="00630112"/>
    <w:rsid w:val="006301AF"/>
    <w:rsid w:val="006301F2"/>
    <w:rsid w:val="00630306"/>
    <w:rsid w:val="00630333"/>
    <w:rsid w:val="0063055F"/>
    <w:rsid w:val="00630573"/>
    <w:rsid w:val="006305B6"/>
    <w:rsid w:val="006305FE"/>
    <w:rsid w:val="00630A5B"/>
    <w:rsid w:val="00630A8E"/>
    <w:rsid w:val="00630C61"/>
    <w:rsid w:val="00630E52"/>
    <w:rsid w:val="00630E87"/>
    <w:rsid w:val="00630E9D"/>
    <w:rsid w:val="00630F4F"/>
    <w:rsid w:val="006315B0"/>
    <w:rsid w:val="006317B2"/>
    <w:rsid w:val="0063182A"/>
    <w:rsid w:val="00631CDD"/>
    <w:rsid w:val="00632055"/>
    <w:rsid w:val="0063219E"/>
    <w:rsid w:val="00632210"/>
    <w:rsid w:val="00632249"/>
    <w:rsid w:val="00632421"/>
    <w:rsid w:val="006325EA"/>
    <w:rsid w:val="006327A0"/>
    <w:rsid w:val="00632873"/>
    <w:rsid w:val="00632882"/>
    <w:rsid w:val="00632AD3"/>
    <w:rsid w:val="00632BA8"/>
    <w:rsid w:val="00632CF4"/>
    <w:rsid w:val="00632D44"/>
    <w:rsid w:val="00632F35"/>
    <w:rsid w:val="00632F3B"/>
    <w:rsid w:val="00632F8B"/>
    <w:rsid w:val="00632FA9"/>
    <w:rsid w:val="00632FB7"/>
    <w:rsid w:val="006332A9"/>
    <w:rsid w:val="00633308"/>
    <w:rsid w:val="0063333D"/>
    <w:rsid w:val="00633350"/>
    <w:rsid w:val="00633378"/>
    <w:rsid w:val="006333B2"/>
    <w:rsid w:val="006333F3"/>
    <w:rsid w:val="006336BF"/>
    <w:rsid w:val="00633B13"/>
    <w:rsid w:val="00633B20"/>
    <w:rsid w:val="00633B2D"/>
    <w:rsid w:val="00633E08"/>
    <w:rsid w:val="0063404C"/>
    <w:rsid w:val="00634068"/>
    <w:rsid w:val="00634161"/>
    <w:rsid w:val="00634233"/>
    <w:rsid w:val="00634236"/>
    <w:rsid w:val="00634525"/>
    <w:rsid w:val="00634630"/>
    <w:rsid w:val="006347D9"/>
    <w:rsid w:val="006347E3"/>
    <w:rsid w:val="00634E20"/>
    <w:rsid w:val="00634E51"/>
    <w:rsid w:val="0063517C"/>
    <w:rsid w:val="00635304"/>
    <w:rsid w:val="00635378"/>
    <w:rsid w:val="0063557F"/>
    <w:rsid w:val="006355C6"/>
    <w:rsid w:val="00635843"/>
    <w:rsid w:val="006359A8"/>
    <w:rsid w:val="00635B72"/>
    <w:rsid w:val="00635B90"/>
    <w:rsid w:val="00635BDD"/>
    <w:rsid w:val="00635C34"/>
    <w:rsid w:val="00636069"/>
    <w:rsid w:val="00636070"/>
    <w:rsid w:val="006361A0"/>
    <w:rsid w:val="006364BF"/>
    <w:rsid w:val="006364E9"/>
    <w:rsid w:val="00636724"/>
    <w:rsid w:val="0063692E"/>
    <w:rsid w:val="00636C03"/>
    <w:rsid w:val="00636C1C"/>
    <w:rsid w:val="00636C4F"/>
    <w:rsid w:val="00636CEA"/>
    <w:rsid w:val="00636E09"/>
    <w:rsid w:val="00636EB5"/>
    <w:rsid w:val="00637020"/>
    <w:rsid w:val="0063707F"/>
    <w:rsid w:val="006370AA"/>
    <w:rsid w:val="0063720A"/>
    <w:rsid w:val="00637268"/>
    <w:rsid w:val="0063739B"/>
    <w:rsid w:val="00637483"/>
    <w:rsid w:val="00637741"/>
    <w:rsid w:val="00637824"/>
    <w:rsid w:val="0063788A"/>
    <w:rsid w:val="0063795E"/>
    <w:rsid w:val="0063796D"/>
    <w:rsid w:val="0063797A"/>
    <w:rsid w:val="006379D4"/>
    <w:rsid w:val="00637AC7"/>
    <w:rsid w:val="00637BDF"/>
    <w:rsid w:val="00637CD3"/>
    <w:rsid w:val="00637D11"/>
    <w:rsid w:val="00637D67"/>
    <w:rsid w:val="00637DD0"/>
    <w:rsid w:val="00637E5D"/>
    <w:rsid w:val="00637EB1"/>
    <w:rsid w:val="00637F0C"/>
    <w:rsid w:val="00637F48"/>
    <w:rsid w:val="0064000A"/>
    <w:rsid w:val="00640198"/>
    <w:rsid w:val="006401EB"/>
    <w:rsid w:val="006403B7"/>
    <w:rsid w:val="00640417"/>
    <w:rsid w:val="00640610"/>
    <w:rsid w:val="00640916"/>
    <w:rsid w:val="00640BD9"/>
    <w:rsid w:val="00640C0C"/>
    <w:rsid w:val="00640FEA"/>
    <w:rsid w:val="006411AD"/>
    <w:rsid w:val="00641279"/>
    <w:rsid w:val="006412A7"/>
    <w:rsid w:val="0064145A"/>
    <w:rsid w:val="0064166F"/>
    <w:rsid w:val="00641730"/>
    <w:rsid w:val="006417C6"/>
    <w:rsid w:val="00641813"/>
    <w:rsid w:val="006418C7"/>
    <w:rsid w:val="006418F3"/>
    <w:rsid w:val="00641947"/>
    <w:rsid w:val="0064199C"/>
    <w:rsid w:val="00641D69"/>
    <w:rsid w:val="00641DC0"/>
    <w:rsid w:val="00641F10"/>
    <w:rsid w:val="0064204C"/>
    <w:rsid w:val="00642243"/>
    <w:rsid w:val="006422FB"/>
    <w:rsid w:val="006423BB"/>
    <w:rsid w:val="006424FC"/>
    <w:rsid w:val="00642506"/>
    <w:rsid w:val="006427B4"/>
    <w:rsid w:val="006427D3"/>
    <w:rsid w:val="006427DB"/>
    <w:rsid w:val="006428E8"/>
    <w:rsid w:val="00642A59"/>
    <w:rsid w:val="00642C8E"/>
    <w:rsid w:val="00642F5C"/>
    <w:rsid w:val="00642F67"/>
    <w:rsid w:val="0064306B"/>
    <w:rsid w:val="006432FF"/>
    <w:rsid w:val="00643338"/>
    <w:rsid w:val="00643510"/>
    <w:rsid w:val="00643539"/>
    <w:rsid w:val="00643587"/>
    <w:rsid w:val="00643649"/>
    <w:rsid w:val="00643678"/>
    <w:rsid w:val="0064402D"/>
    <w:rsid w:val="0064416E"/>
    <w:rsid w:val="0064431E"/>
    <w:rsid w:val="00644550"/>
    <w:rsid w:val="00644644"/>
    <w:rsid w:val="006446D7"/>
    <w:rsid w:val="006447AF"/>
    <w:rsid w:val="00644A16"/>
    <w:rsid w:val="00644A2D"/>
    <w:rsid w:val="00644AED"/>
    <w:rsid w:val="00644AFF"/>
    <w:rsid w:val="00644B31"/>
    <w:rsid w:val="00644C68"/>
    <w:rsid w:val="00644D0F"/>
    <w:rsid w:val="00645002"/>
    <w:rsid w:val="00645032"/>
    <w:rsid w:val="00645036"/>
    <w:rsid w:val="0064517D"/>
    <w:rsid w:val="00645262"/>
    <w:rsid w:val="0064535E"/>
    <w:rsid w:val="0064545E"/>
    <w:rsid w:val="00645575"/>
    <w:rsid w:val="006456AD"/>
    <w:rsid w:val="0064589A"/>
    <w:rsid w:val="00645B33"/>
    <w:rsid w:val="00645BAF"/>
    <w:rsid w:val="00645CA8"/>
    <w:rsid w:val="00645DBA"/>
    <w:rsid w:val="00645F56"/>
    <w:rsid w:val="00645FAD"/>
    <w:rsid w:val="0064604F"/>
    <w:rsid w:val="00646128"/>
    <w:rsid w:val="00646135"/>
    <w:rsid w:val="0064616F"/>
    <w:rsid w:val="006466C1"/>
    <w:rsid w:val="00646A87"/>
    <w:rsid w:val="00646AEE"/>
    <w:rsid w:val="00646C7D"/>
    <w:rsid w:val="00646E89"/>
    <w:rsid w:val="0064709A"/>
    <w:rsid w:val="006471F0"/>
    <w:rsid w:val="0064727B"/>
    <w:rsid w:val="006472DA"/>
    <w:rsid w:val="006472DB"/>
    <w:rsid w:val="0064793B"/>
    <w:rsid w:val="006479BD"/>
    <w:rsid w:val="00647A9B"/>
    <w:rsid w:val="00647B2A"/>
    <w:rsid w:val="00647BF1"/>
    <w:rsid w:val="00647C5E"/>
    <w:rsid w:val="00647D23"/>
    <w:rsid w:val="00647D6B"/>
    <w:rsid w:val="00647D7C"/>
    <w:rsid w:val="00647F9C"/>
    <w:rsid w:val="0065010E"/>
    <w:rsid w:val="0065022B"/>
    <w:rsid w:val="00650339"/>
    <w:rsid w:val="00650448"/>
    <w:rsid w:val="00650486"/>
    <w:rsid w:val="00650528"/>
    <w:rsid w:val="0065070E"/>
    <w:rsid w:val="00650A2B"/>
    <w:rsid w:val="00650D00"/>
    <w:rsid w:val="00650E20"/>
    <w:rsid w:val="00650F82"/>
    <w:rsid w:val="00650FA6"/>
    <w:rsid w:val="00650FCF"/>
    <w:rsid w:val="0065113A"/>
    <w:rsid w:val="00651200"/>
    <w:rsid w:val="0065131C"/>
    <w:rsid w:val="00651697"/>
    <w:rsid w:val="006516E7"/>
    <w:rsid w:val="00651CF9"/>
    <w:rsid w:val="00651D99"/>
    <w:rsid w:val="00651DDA"/>
    <w:rsid w:val="00651E6B"/>
    <w:rsid w:val="00651F1A"/>
    <w:rsid w:val="006520E1"/>
    <w:rsid w:val="00652281"/>
    <w:rsid w:val="00652446"/>
    <w:rsid w:val="00652864"/>
    <w:rsid w:val="006528BC"/>
    <w:rsid w:val="00652A7D"/>
    <w:rsid w:val="00652ABD"/>
    <w:rsid w:val="00652F69"/>
    <w:rsid w:val="00653071"/>
    <w:rsid w:val="006530BA"/>
    <w:rsid w:val="006530D1"/>
    <w:rsid w:val="00653406"/>
    <w:rsid w:val="00653464"/>
    <w:rsid w:val="00653466"/>
    <w:rsid w:val="0065349E"/>
    <w:rsid w:val="006534B7"/>
    <w:rsid w:val="00653555"/>
    <w:rsid w:val="00653C26"/>
    <w:rsid w:val="00653F63"/>
    <w:rsid w:val="00654000"/>
    <w:rsid w:val="006542AB"/>
    <w:rsid w:val="006542C6"/>
    <w:rsid w:val="006545D9"/>
    <w:rsid w:val="006547FE"/>
    <w:rsid w:val="006548E0"/>
    <w:rsid w:val="006548FE"/>
    <w:rsid w:val="006549BE"/>
    <w:rsid w:val="00654ADE"/>
    <w:rsid w:val="00654C99"/>
    <w:rsid w:val="00654D2F"/>
    <w:rsid w:val="00654D3D"/>
    <w:rsid w:val="00654E88"/>
    <w:rsid w:val="00654F1C"/>
    <w:rsid w:val="00654FF7"/>
    <w:rsid w:val="00655064"/>
    <w:rsid w:val="006551B8"/>
    <w:rsid w:val="00655232"/>
    <w:rsid w:val="00655259"/>
    <w:rsid w:val="00655551"/>
    <w:rsid w:val="006555B3"/>
    <w:rsid w:val="006555CD"/>
    <w:rsid w:val="00655618"/>
    <w:rsid w:val="0065572A"/>
    <w:rsid w:val="00655764"/>
    <w:rsid w:val="00655778"/>
    <w:rsid w:val="006557AF"/>
    <w:rsid w:val="0065583B"/>
    <w:rsid w:val="006558C7"/>
    <w:rsid w:val="006558CA"/>
    <w:rsid w:val="006559F2"/>
    <w:rsid w:val="00655CB0"/>
    <w:rsid w:val="00655CDD"/>
    <w:rsid w:val="00655CF1"/>
    <w:rsid w:val="00655D9F"/>
    <w:rsid w:val="0065607A"/>
    <w:rsid w:val="0065617C"/>
    <w:rsid w:val="006561F1"/>
    <w:rsid w:val="0065625F"/>
    <w:rsid w:val="00656405"/>
    <w:rsid w:val="0065647A"/>
    <w:rsid w:val="00656584"/>
    <w:rsid w:val="0065680D"/>
    <w:rsid w:val="0065691F"/>
    <w:rsid w:val="00656935"/>
    <w:rsid w:val="00656CB3"/>
    <w:rsid w:val="00656D3F"/>
    <w:rsid w:val="00656EEA"/>
    <w:rsid w:val="00656EF9"/>
    <w:rsid w:val="00656F6E"/>
    <w:rsid w:val="00657158"/>
    <w:rsid w:val="006574A4"/>
    <w:rsid w:val="00657850"/>
    <w:rsid w:val="00657926"/>
    <w:rsid w:val="00657A81"/>
    <w:rsid w:val="00657ABC"/>
    <w:rsid w:val="00657BF6"/>
    <w:rsid w:val="00657D99"/>
    <w:rsid w:val="00657DAF"/>
    <w:rsid w:val="00657E73"/>
    <w:rsid w:val="006600B4"/>
    <w:rsid w:val="006600F6"/>
    <w:rsid w:val="00660193"/>
    <w:rsid w:val="006601BA"/>
    <w:rsid w:val="006601C8"/>
    <w:rsid w:val="006601E0"/>
    <w:rsid w:val="00660220"/>
    <w:rsid w:val="006603E2"/>
    <w:rsid w:val="00660401"/>
    <w:rsid w:val="0066071F"/>
    <w:rsid w:val="0066082C"/>
    <w:rsid w:val="00660A12"/>
    <w:rsid w:val="00660B9B"/>
    <w:rsid w:val="00660DA1"/>
    <w:rsid w:val="00660DC7"/>
    <w:rsid w:val="00660FF8"/>
    <w:rsid w:val="006611D5"/>
    <w:rsid w:val="006613E0"/>
    <w:rsid w:val="0066177C"/>
    <w:rsid w:val="00661946"/>
    <w:rsid w:val="00661A8D"/>
    <w:rsid w:val="00661CF4"/>
    <w:rsid w:val="00661EDD"/>
    <w:rsid w:val="00662016"/>
    <w:rsid w:val="0066204E"/>
    <w:rsid w:val="0066227B"/>
    <w:rsid w:val="0066237C"/>
    <w:rsid w:val="00662385"/>
    <w:rsid w:val="00662564"/>
    <w:rsid w:val="00662BC7"/>
    <w:rsid w:val="00662D02"/>
    <w:rsid w:val="00662F41"/>
    <w:rsid w:val="00663083"/>
    <w:rsid w:val="00663118"/>
    <w:rsid w:val="006632BD"/>
    <w:rsid w:val="006632C5"/>
    <w:rsid w:val="00663350"/>
    <w:rsid w:val="006633EA"/>
    <w:rsid w:val="006633F8"/>
    <w:rsid w:val="00663634"/>
    <w:rsid w:val="00663932"/>
    <w:rsid w:val="00663A35"/>
    <w:rsid w:val="00663AA9"/>
    <w:rsid w:val="00663DDD"/>
    <w:rsid w:val="00664063"/>
    <w:rsid w:val="0066437B"/>
    <w:rsid w:val="006643F9"/>
    <w:rsid w:val="00664437"/>
    <w:rsid w:val="006644A5"/>
    <w:rsid w:val="0066462D"/>
    <w:rsid w:val="00664637"/>
    <w:rsid w:val="00664855"/>
    <w:rsid w:val="006648F6"/>
    <w:rsid w:val="006648FF"/>
    <w:rsid w:val="00664B9B"/>
    <w:rsid w:val="00664BDD"/>
    <w:rsid w:val="00664BF3"/>
    <w:rsid w:val="00664D89"/>
    <w:rsid w:val="00664EF9"/>
    <w:rsid w:val="00664F19"/>
    <w:rsid w:val="00664FA5"/>
    <w:rsid w:val="00665017"/>
    <w:rsid w:val="0066505B"/>
    <w:rsid w:val="00665118"/>
    <w:rsid w:val="00665193"/>
    <w:rsid w:val="006651C8"/>
    <w:rsid w:val="006651EC"/>
    <w:rsid w:val="00665280"/>
    <w:rsid w:val="006652C6"/>
    <w:rsid w:val="006653D0"/>
    <w:rsid w:val="0066541B"/>
    <w:rsid w:val="00665423"/>
    <w:rsid w:val="006655DE"/>
    <w:rsid w:val="00665601"/>
    <w:rsid w:val="006656AA"/>
    <w:rsid w:val="006658CB"/>
    <w:rsid w:val="00665C35"/>
    <w:rsid w:val="00665D99"/>
    <w:rsid w:val="00665E52"/>
    <w:rsid w:val="00665E91"/>
    <w:rsid w:val="00665F05"/>
    <w:rsid w:val="00665F90"/>
    <w:rsid w:val="006660AE"/>
    <w:rsid w:val="006660EB"/>
    <w:rsid w:val="00666119"/>
    <w:rsid w:val="00666280"/>
    <w:rsid w:val="00666394"/>
    <w:rsid w:val="006664D0"/>
    <w:rsid w:val="006664ED"/>
    <w:rsid w:val="006666DA"/>
    <w:rsid w:val="00666897"/>
    <w:rsid w:val="00666A78"/>
    <w:rsid w:val="00666B6A"/>
    <w:rsid w:val="00666CC6"/>
    <w:rsid w:val="00666EE0"/>
    <w:rsid w:val="00666FC0"/>
    <w:rsid w:val="00667530"/>
    <w:rsid w:val="00667634"/>
    <w:rsid w:val="006676D4"/>
    <w:rsid w:val="0066774B"/>
    <w:rsid w:val="006677B8"/>
    <w:rsid w:val="006678B8"/>
    <w:rsid w:val="006679C6"/>
    <w:rsid w:val="00667A17"/>
    <w:rsid w:val="00670045"/>
    <w:rsid w:val="00670047"/>
    <w:rsid w:val="00670160"/>
    <w:rsid w:val="0067034A"/>
    <w:rsid w:val="0067038A"/>
    <w:rsid w:val="006703C7"/>
    <w:rsid w:val="00670461"/>
    <w:rsid w:val="0067073A"/>
    <w:rsid w:val="0067088F"/>
    <w:rsid w:val="00670931"/>
    <w:rsid w:val="00670A33"/>
    <w:rsid w:val="0067114C"/>
    <w:rsid w:val="00671151"/>
    <w:rsid w:val="0067127E"/>
    <w:rsid w:val="00671328"/>
    <w:rsid w:val="006715A4"/>
    <w:rsid w:val="006716A4"/>
    <w:rsid w:val="00671CDD"/>
    <w:rsid w:val="00671D94"/>
    <w:rsid w:val="00672298"/>
    <w:rsid w:val="006722B1"/>
    <w:rsid w:val="00672312"/>
    <w:rsid w:val="0067239D"/>
    <w:rsid w:val="006727B2"/>
    <w:rsid w:val="00672B03"/>
    <w:rsid w:val="00672B47"/>
    <w:rsid w:val="00672CAD"/>
    <w:rsid w:val="00672D22"/>
    <w:rsid w:val="00672F52"/>
    <w:rsid w:val="00673198"/>
    <w:rsid w:val="006736E1"/>
    <w:rsid w:val="006737E0"/>
    <w:rsid w:val="0067381B"/>
    <w:rsid w:val="00673A64"/>
    <w:rsid w:val="00673A73"/>
    <w:rsid w:val="00673A92"/>
    <w:rsid w:val="00673AA5"/>
    <w:rsid w:val="00673B2C"/>
    <w:rsid w:val="00673BD9"/>
    <w:rsid w:val="00673BE4"/>
    <w:rsid w:val="00673FBF"/>
    <w:rsid w:val="006742F5"/>
    <w:rsid w:val="0067432C"/>
    <w:rsid w:val="006744C7"/>
    <w:rsid w:val="0067453F"/>
    <w:rsid w:val="00674554"/>
    <w:rsid w:val="00674581"/>
    <w:rsid w:val="00674690"/>
    <w:rsid w:val="00674692"/>
    <w:rsid w:val="006746F5"/>
    <w:rsid w:val="006747E1"/>
    <w:rsid w:val="0067499D"/>
    <w:rsid w:val="00674A41"/>
    <w:rsid w:val="00674A59"/>
    <w:rsid w:val="00674B22"/>
    <w:rsid w:val="00674E77"/>
    <w:rsid w:val="00675006"/>
    <w:rsid w:val="006751BE"/>
    <w:rsid w:val="00675319"/>
    <w:rsid w:val="006754B9"/>
    <w:rsid w:val="00675729"/>
    <w:rsid w:val="006758AE"/>
    <w:rsid w:val="0067595E"/>
    <w:rsid w:val="0067599D"/>
    <w:rsid w:val="00675A68"/>
    <w:rsid w:val="00675EAC"/>
    <w:rsid w:val="0067600F"/>
    <w:rsid w:val="006762C8"/>
    <w:rsid w:val="006763F3"/>
    <w:rsid w:val="0067658A"/>
    <w:rsid w:val="0067672C"/>
    <w:rsid w:val="0067698D"/>
    <w:rsid w:val="00676AD7"/>
    <w:rsid w:val="00676C67"/>
    <w:rsid w:val="00676C8D"/>
    <w:rsid w:val="00676CAA"/>
    <w:rsid w:val="00676FB6"/>
    <w:rsid w:val="006770A7"/>
    <w:rsid w:val="006770C3"/>
    <w:rsid w:val="006771DD"/>
    <w:rsid w:val="00677496"/>
    <w:rsid w:val="00677509"/>
    <w:rsid w:val="0067785F"/>
    <w:rsid w:val="00677E19"/>
    <w:rsid w:val="0068033B"/>
    <w:rsid w:val="00680448"/>
    <w:rsid w:val="006804C9"/>
    <w:rsid w:val="006806B1"/>
    <w:rsid w:val="00680852"/>
    <w:rsid w:val="006808B2"/>
    <w:rsid w:val="00680914"/>
    <w:rsid w:val="00680931"/>
    <w:rsid w:val="00680A79"/>
    <w:rsid w:val="00680C7A"/>
    <w:rsid w:val="00680D05"/>
    <w:rsid w:val="00680DDD"/>
    <w:rsid w:val="00680DE5"/>
    <w:rsid w:val="00680E14"/>
    <w:rsid w:val="00680EB7"/>
    <w:rsid w:val="00680F30"/>
    <w:rsid w:val="00680F93"/>
    <w:rsid w:val="006813B0"/>
    <w:rsid w:val="0068148D"/>
    <w:rsid w:val="00681520"/>
    <w:rsid w:val="00681543"/>
    <w:rsid w:val="006816D4"/>
    <w:rsid w:val="00681709"/>
    <w:rsid w:val="006819B3"/>
    <w:rsid w:val="00681CE3"/>
    <w:rsid w:val="00681D12"/>
    <w:rsid w:val="00681EF9"/>
    <w:rsid w:val="00681FA3"/>
    <w:rsid w:val="00682131"/>
    <w:rsid w:val="006821B4"/>
    <w:rsid w:val="00682299"/>
    <w:rsid w:val="006824F9"/>
    <w:rsid w:val="006827EA"/>
    <w:rsid w:val="00682C2E"/>
    <w:rsid w:val="00682C87"/>
    <w:rsid w:val="00683000"/>
    <w:rsid w:val="0068333F"/>
    <w:rsid w:val="006833FB"/>
    <w:rsid w:val="00683584"/>
    <w:rsid w:val="0068358B"/>
    <w:rsid w:val="00683688"/>
    <w:rsid w:val="006836D9"/>
    <w:rsid w:val="006837E1"/>
    <w:rsid w:val="00683862"/>
    <w:rsid w:val="00683A9F"/>
    <w:rsid w:val="00683C06"/>
    <w:rsid w:val="00683C54"/>
    <w:rsid w:val="00683D1B"/>
    <w:rsid w:val="00683E1F"/>
    <w:rsid w:val="00683F5F"/>
    <w:rsid w:val="006840E1"/>
    <w:rsid w:val="0068442D"/>
    <w:rsid w:val="0068454B"/>
    <w:rsid w:val="006845E3"/>
    <w:rsid w:val="00684756"/>
    <w:rsid w:val="006847AA"/>
    <w:rsid w:val="006847AF"/>
    <w:rsid w:val="00684B87"/>
    <w:rsid w:val="00684C0B"/>
    <w:rsid w:val="00684C9F"/>
    <w:rsid w:val="00684CCF"/>
    <w:rsid w:val="00684D00"/>
    <w:rsid w:val="00684D47"/>
    <w:rsid w:val="00684FB3"/>
    <w:rsid w:val="00685085"/>
    <w:rsid w:val="00685088"/>
    <w:rsid w:val="006850E2"/>
    <w:rsid w:val="0068511C"/>
    <w:rsid w:val="0068553E"/>
    <w:rsid w:val="006857A3"/>
    <w:rsid w:val="006857C2"/>
    <w:rsid w:val="006858D5"/>
    <w:rsid w:val="00685922"/>
    <w:rsid w:val="00685AD5"/>
    <w:rsid w:val="00685CB6"/>
    <w:rsid w:val="00685D94"/>
    <w:rsid w:val="00685E54"/>
    <w:rsid w:val="0068618B"/>
    <w:rsid w:val="00686333"/>
    <w:rsid w:val="006863D5"/>
    <w:rsid w:val="00686405"/>
    <w:rsid w:val="006864EE"/>
    <w:rsid w:val="00686724"/>
    <w:rsid w:val="006868A6"/>
    <w:rsid w:val="00686A37"/>
    <w:rsid w:val="00686AA3"/>
    <w:rsid w:val="00686AB3"/>
    <w:rsid w:val="00686C5A"/>
    <w:rsid w:val="00686D41"/>
    <w:rsid w:val="0068710E"/>
    <w:rsid w:val="0068719B"/>
    <w:rsid w:val="006872B0"/>
    <w:rsid w:val="00687318"/>
    <w:rsid w:val="006876FA"/>
    <w:rsid w:val="006877FF"/>
    <w:rsid w:val="0068785F"/>
    <w:rsid w:val="006878B1"/>
    <w:rsid w:val="00687A16"/>
    <w:rsid w:val="00687A7C"/>
    <w:rsid w:val="00687AEE"/>
    <w:rsid w:val="00687C00"/>
    <w:rsid w:val="00687F23"/>
    <w:rsid w:val="006900B8"/>
    <w:rsid w:val="00690189"/>
    <w:rsid w:val="006901BE"/>
    <w:rsid w:val="00690395"/>
    <w:rsid w:val="006904B5"/>
    <w:rsid w:val="0069058A"/>
    <w:rsid w:val="00690A33"/>
    <w:rsid w:val="00690A8D"/>
    <w:rsid w:val="00690BB2"/>
    <w:rsid w:val="00690C01"/>
    <w:rsid w:val="00690D68"/>
    <w:rsid w:val="00690F18"/>
    <w:rsid w:val="00690FA7"/>
    <w:rsid w:val="00690FA8"/>
    <w:rsid w:val="00691035"/>
    <w:rsid w:val="006910F0"/>
    <w:rsid w:val="0069110D"/>
    <w:rsid w:val="00691250"/>
    <w:rsid w:val="00691310"/>
    <w:rsid w:val="00691402"/>
    <w:rsid w:val="00691719"/>
    <w:rsid w:val="00691732"/>
    <w:rsid w:val="00691B0D"/>
    <w:rsid w:val="00691B2E"/>
    <w:rsid w:val="00691B64"/>
    <w:rsid w:val="00691CBA"/>
    <w:rsid w:val="00691E2A"/>
    <w:rsid w:val="00691E5A"/>
    <w:rsid w:val="00692006"/>
    <w:rsid w:val="0069212C"/>
    <w:rsid w:val="006921D8"/>
    <w:rsid w:val="0069220D"/>
    <w:rsid w:val="0069223C"/>
    <w:rsid w:val="006922EF"/>
    <w:rsid w:val="00692608"/>
    <w:rsid w:val="00692838"/>
    <w:rsid w:val="00692953"/>
    <w:rsid w:val="00692956"/>
    <w:rsid w:val="00692A47"/>
    <w:rsid w:val="00692BE9"/>
    <w:rsid w:val="00692D37"/>
    <w:rsid w:val="00692F72"/>
    <w:rsid w:val="00692FDB"/>
    <w:rsid w:val="00693529"/>
    <w:rsid w:val="00693902"/>
    <w:rsid w:val="00693970"/>
    <w:rsid w:val="006939D0"/>
    <w:rsid w:val="006939D6"/>
    <w:rsid w:val="00693A03"/>
    <w:rsid w:val="00693C34"/>
    <w:rsid w:val="00693CBD"/>
    <w:rsid w:val="00693E1D"/>
    <w:rsid w:val="00694052"/>
    <w:rsid w:val="0069408C"/>
    <w:rsid w:val="006940AE"/>
    <w:rsid w:val="006942AE"/>
    <w:rsid w:val="006943FD"/>
    <w:rsid w:val="00694497"/>
    <w:rsid w:val="006944EA"/>
    <w:rsid w:val="006945E5"/>
    <w:rsid w:val="00694659"/>
    <w:rsid w:val="006946D0"/>
    <w:rsid w:val="00694A6E"/>
    <w:rsid w:val="00694F0F"/>
    <w:rsid w:val="00694F87"/>
    <w:rsid w:val="0069520A"/>
    <w:rsid w:val="0069534F"/>
    <w:rsid w:val="006953C6"/>
    <w:rsid w:val="006953CB"/>
    <w:rsid w:val="00695421"/>
    <w:rsid w:val="0069549D"/>
    <w:rsid w:val="006954FA"/>
    <w:rsid w:val="006956FA"/>
    <w:rsid w:val="00695839"/>
    <w:rsid w:val="006959A8"/>
    <w:rsid w:val="00695A8A"/>
    <w:rsid w:val="00695CD1"/>
    <w:rsid w:val="00695D90"/>
    <w:rsid w:val="00695F01"/>
    <w:rsid w:val="00696110"/>
    <w:rsid w:val="0069614D"/>
    <w:rsid w:val="0069644A"/>
    <w:rsid w:val="00696590"/>
    <w:rsid w:val="006965D4"/>
    <w:rsid w:val="00696705"/>
    <w:rsid w:val="00696950"/>
    <w:rsid w:val="006969A8"/>
    <w:rsid w:val="00696B04"/>
    <w:rsid w:val="00696C6D"/>
    <w:rsid w:val="00696FE5"/>
    <w:rsid w:val="006970C9"/>
    <w:rsid w:val="006971EF"/>
    <w:rsid w:val="0069760D"/>
    <w:rsid w:val="00697697"/>
    <w:rsid w:val="006979C7"/>
    <w:rsid w:val="00697A56"/>
    <w:rsid w:val="00697AF0"/>
    <w:rsid w:val="00697BBC"/>
    <w:rsid w:val="00697E2C"/>
    <w:rsid w:val="00697E9B"/>
    <w:rsid w:val="006A0084"/>
    <w:rsid w:val="006A02C5"/>
    <w:rsid w:val="006A0367"/>
    <w:rsid w:val="006A07C5"/>
    <w:rsid w:val="006A0ACB"/>
    <w:rsid w:val="006A0D32"/>
    <w:rsid w:val="006A0E4B"/>
    <w:rsid w:val="006A0F6C"/>
    <w:rsid w:val="006A10AA"/>
    <w:rsid w:val="006A11A6"/>
    <w:rsid w:val="006A1361"/>
    <w:rsid w:val="006A1514"/>
    <w:rsid w:val="006A1589"/>
    <w:rsid w:val="006A16E9"/>
    <w:rsid w:val="006A1905"/>
    <w:rsid w:val="006A197C"/>
    <w:rsid w:val="006A1A23"/>
    <w:rsid w:val="006A1B4A"/>
    <w:rsid w:val="006A1D1E"/>
    <w:rsid w:val="006A1D97"/>
    <w:rsid w:val="006A1E02"/>
    <w:rsid w:val="006A22F7"/>
    <w:rsid w:val="006A2341"/>
    <w:rsid w:val="006A2373"/>
    <w:rsid w:val="006A23EF"/>
    <w:rsid w:val="006A23F2"/>
    <w:rsid w:val="006A24EF"/>
    <w:rsid w:val="006A25E8"/>
    <w:rsid w:val="006A2606"/>
    <w:rsid w:val="006A2625"/>
    <w:rsid w:val="006A2671"/>
    <w:rsid w:val="006A26F0"/>
    <w:rsid w:val="006A2912"/>
    <w:rsid w:val="006A29C9"/>
    <w:rsid w:val="006A29D4"/>
    <w:rsid w:val="006A2AEE"/>
    <w:rsid w:val="006A2B1A"/>
    <w:rsid w:val="006A2B5E"/>
    <w:rsid w:val="006A2C2E"/>
    <w:rsid w:val="006A2CE7"/>
    <w:rsid w:val="006A2D03"/>
    <w:rsid w:val="006A2ED0"/>
    <w:rsid w:val="006A2FC6"/>
    <w:rsid w:val="006A3013"/>
    <w:rsid w:val="006A3113"/>
    <w:rsid w:val="006A33A4"/>
    <w:rsid w:val="006A355C"/>
    <w:rsid w:val="006A36AB"/>
    <w:rsid w:val="006A386E"/>
    <w:rsid w:val="006A38EB"/>
    <w:rsid w:val="006A3B13"/>
    <w:rsid w:val="006A3B46"/>
    <w:rsid w:val="006A3C8A"/>
    <w:rsid w:val="006A3D99"/>
    <w:rsid w:val="006A3DDB"/>
    <w:rsid w:val="006A3FCD"/>
    <w:rsid w:val="006A40AD"/>
    <w:rsid w:val="006A4119"/>
    <w:rsid w:val="006A416B"/>
    <w:rsid w:val="006A423B"/>
    <w:rsid w:val="006A4433"/>
    <w:rsid w:val="006A4546"/>
    <w:rsid w:val="006A45E8"/>
    <w:rsid w:val="006A469F"/>
    <w:rsid w:val="006A47E0"/>
    <w:rsid w:val="006A48D6"/>
    <w:rsid w:val="006A4995"/>
    <w:rsid w:val="006A4B41"/>
    <w:rsid w:val="006A4B91"/>
    <w:rsid w:val="006A4D0E"/>
    <w:rsid w:val="006A4D23"/>
    <w:rsid w:val="006A4F05"/>
    <w:rsid w:val="006A4FAD"/>
    <w:rsid w:val="006A50F6"/>
    <w:rsid w:val="006A51A7"/>
    <w:rsid w:val="006A5307"/>
    <w:rsid w:val="006A5462"/>
    <w:rsid w:val="006A55C7"/>
    <w:rsid w:val="006A55FC"/>
    <w:rsid w:val="006A590A"/>
    <w:rsid w:val="006A5927"/>
    <w:rsid w:val="006A5A0C"/>
    <w:rsid w:val="006A5BE0"/>
    <w:rsid w:val="006A5CAD"/>
    <w:rsid w:val="006A5E1F"/>
    <w:rsid w:val="006A5E53"/>
    <w:rsid w:val="006A5F11"/>
    <w:rsid w:val="006A5FA5"/>
    <w:rsid w:val="006A6263"/>
    <w:rsid w:val="006A62AD"/>
    <w:rsid w:val="006A62BF"/>
    <w:rsid w:val="006A6542"/>
    <w:rsid w:val="006A6823"/>
    <w:rsid w:val="006A695F"/>
    <w:rsid w:val="006A6C2E"/>
    <w:rsid w:val="006A7010"/>
    <w:rsid w:val="006A71B4"/>
    <w:rsid w:val="006A758D"/>
    <w:rsid w:val="006A75E4"/>
    <w:rsid w:val="006A77F3"/>
    <w:rsid w:val="006A7898"/>
    <w:rsid w:val="006A78B1"/>
    <w:rsid w:val="006A78B8"/>
    <w:rsid w:val="006A79B4"/>
    <w:rsid w:val="006A7A71"/>
    <w:rsid w:val="006A7B90"/>
    <w:rsid w:val="006A7C07"/>
    <w:rsid w:val="006A7C4F"/>
    <w:rsid w:val="006A7DEF"/>
    <w:rsid w:val="006A7EAB"/>
    <w:rsid w:val="006A7F47"/>
    <w:rsid w:val="006A7FA6"/>
    <w:rsid w:val="006A7FB9"/>
    <w:rsid w:val="006B0097"/>
    <w:rsid w:val="006B0180"/>
    <w:rsid w:val="006B0247"/>
    <w:rsid w:val="006B0371"/>
    <w:rsid w:val="006B0503"/>
    <w:rsid w:val="006B0751"/>
    <w:rsid w:val="006B09DC"/>
    <w:rsid w:val="006B0A40"/>
    <w:rsid w:val="006B0CCE"/>
    <w:rsid w:val="006B0D18"/>
    <w:rsid w:val="006B0F00"/>
    <w:rsid w:val="006B0FC9"/>
    <w:rsid w:val="006B0FF5"/>
    <w:rsid w:val="006B10EF"/>
    <w:rsid w:val="006B125E"/>
    <w:rsid w:val="006B1288"/>
    <w:rsid w:val="006B149A"/>
    <w:rsid w:val="006B152E"/>
    <w:rsid w:val="006B154A"/>
    <w:rsid w:val="006B198A"/>
    <w:rsid w:val="006B1C5F"/>
    <w:rsid w:val="006B1C76"/>
    <w:rsid w:val="006B1C9D"/>
    <w:rsid w:val="006B1CE6"/>
    <w:rsid w:val="006B1E59"/>
    <w:rsid w:val="006B1F4F"/>
    <w:rsid w:val="006B1FF8"/>
    <w:rsid w:val="006B234D"/>
    <w:rsid w:val="006B250A"/>
    <w:rsid w:val="006B2645"/>
    <w:rsid w:val="006B267E"/>
    <w:rsid w:val="006B26AF"/>
    <w:rsid w:val="006B276D"/>
    <w:rsid w:val="006B27E3"/>
    <w:rsid w:val="006B2C07"/>
    <w:rsid w:val="006B2F88"/>
    <w:rsid w:val="006B3028"/>
    <w:rsid w:val="006B3263"/>
    <w:rsid w:val="006B34FD"/>
    <w:rsid w:val="006B358C"/>
    <w:rsid w:val="006B35B4"/>
    <w:rsid w:val="006B3645"/>
    <w:rsid w:val="006B36E0"/>
    <w:rsid w:val="006B3733"/>
    <w:rsid w:val="006B380D"/>
    <w:rsid w:val="006B3910"/>
    <w:rsid w:val="006B39D8"/>
    <w:rsid w:val="006B3A1C"/>
    <w:rsid w:val="006B3A40"/>
    <w:rsid w:val="006B3AA5"/>
    <w:rsid w:val="006B3AF4"/>
    <w:rsid w:val="006B41D7"/>
    <w:rsid w:val="006B42CB"/>
    <w:rsid w:val="006B4300"/>
    <w:rsid w:val="006B430B"/>
    <w:rsid w:val="006B44EC"/>
    <w:rsid w:val="006B482A"/>
    <w:rsid w:val="006B48C7"/>
    <w:rsid w:val="006B4915"/>
    <w:rsid w:val="006B4927"/>
    <w:rsid w:val="006B494D"/>
    <w:rsid w:val="006B4A8B"/>
    <w:rsid w:val="006B4B63"/>
    <w:rsid w:val="006B4B99"/>
    <w:rsid w:val="006B4C16"/>
    <w:rsid w:val="006B4C29"/>
    <w:rsid w:val="006B4C3D"/>
    <w:rsid w:val="006B4CC8"/>
    <w:rsid w:val="006B4D0C"/>
    <w:rsid w:val="006B4D99"/>
    <w:rsid w:val="006B4F74"/>
    <w:rsid w:val="006B516B"/>
    <w:rsid w:val="006B51DD"/>
    <w:rsid w:val="006B51E8"/>
    <w:rsid w:val="006B53EF"/>
    <w:rsid w:val="006B5590"/>
    <w:rsid w:val="006B55E0"/>
    <w:rsid w:val="006B5619"/>
    <w:rsid w:val="006B57E7"/>
    <w:rsid w:val="006B5826"/>
    <w:rsid w:val="006B589A"/>
    <w:rsid w:val="006B5D49"/>
    <w:rsid w:val="006B5D82"/>
    <w:rsid w:val="006B5E0B"/>
    <w:rsid w:val="006B5F58"/>
    <w:rsid w:val="006B5FE1"/>
    <w:rsid w:val="006B5FE3"/>
    <w:rsid w:val="006B6145"/>
    <w:rsid w:val="006B61DA"/>
    <w:rsid w:val="006B6417"/>
    <w:rsid w:val="006B656B"/>
    <w:rsid w:val="006B6887"/>
    <w:rsid w:val="006B6998"/>
    <w:rsid w:val="006B69DF"/>
    <w:rsid w:val="006B6A74"/>
    <w:rsid w:val="006B6A8B"/>
    <w:rsid w:val="006B6B22"/>
    <w:rsid w:val="006B6D8E"/>
    <w:rsid w:val="006B6DD3"/>
    <w:rsid w:val="006B6DEC"/>
    <w:rsid w:val="006B6E2F"/>
    <w:rsid w:val="006B6F64"/>
    <w:rsid w:val="006B6FE6"/>
    <w:rsid w:val="006B70B3"/>
    <w:rsid w:val="006B7278"/>
    <w:rsid w:val="006B7456"/>
    <w:rsid w:val="006B74AD"/>
    <w:rsid w:val="006B752A"/>
    <w:rsid w:val="006B7836"/>
    <w:rsid w:val="006B78B8"/>
    <w:rsid w:val="006B7A3E"/>
    <w:rsid w:val="006B7A44"/>
    <w:rsid w:val="006B7BAF"/>
    <w:rsid w:val="006C0120"/>
    <w:rsid w:val="006C032B"/>
    <w:rsid w:val="006C03BC"/>
    <w:rsid w:val="006C067C"/>
    <w:rsid w:val="006C06DE"/>
    <w:rsid w:val="006C0913"/>
    <w:rsid w:val="006C09EB"/>
    <w:rsid w:val="006C0D55"/>
    <w:rsid w:val="006C0E98"/>
    <w:rsid w:val="006C0F29"/>
    <w:rsid w:val="006C118E"/>
    <w:rsid w:val="006C119C"/>
    <w:rsid w:val="006C11F3"/>
    <w:rsid w:val="006C130F"/>
    <w:rsid w:val="006C13FE"/>
    <w:rsid w:val="006C1849"/>
    <w:rsid w:val="006C1889"/>
    <w:rsid w:val="006C18EF"/>
    <w:rsid w:val="006C1A6A"/>
    <w:rsid w:val="006C1AF0"/>
    <w:rsid w:val="006C1C2C"/>
    <w:rsid w:val="006C1C9B"/>
    <w:rsid w:val="006C1CCC"/>
    <w:rsid w:val="006C2007"/>
    <w:rsid w:val="006C2033"/>
    <w:rsid w:val="006C2178"/>
    <w:rsid w:val="006C22EF"/>
    <w:rsid w:val="006C23B0"/>
    <w:rsid w:val="006C2416"/>
    <w:rsid w:val="006C252E"/>
    <w:rsid w:val="006C2952"/>
    <w:rsid w:val="006C2AD4"/>
    <w:rsid w:val="006C2B3A"/>
    <w:rsid w:val="006C2D8E"/>
    <w:rsid w:val="006C321E"/>
    <w:rsid w:val="006C33F8"/>
    <w:rsid w:val="006C363C"/>
    <w:rsid w:val="006C3674"/>
    <w:rsid w:val="006C3688"/>
    <w:rsid w:val="006C388A"/>
    <w:rsid w:val="006C396A"/>
    <w:rsid w:val="006C3A3B"/>
    <w:rsid w:val="006C3ABF"/>
    <w:rsid w:val="006C3AF9"/>
    <w:rsid w:val="006C3EE8"/>
    <w:rsid w:val="006C3F45"/>
    <w:rsid w:val="006C40DF"/>
    <w:rsid w:val="006C422A"/>
    <w:rsid w:val="006C45A8"/>
    <w:rsid w:val="006C4941"/>
    <w:rsid w:val="006C49AC"/>
    <w:rsid w:val="006C49B6"/>
    <w:rsid w:val="006C4AD8"/>
    <w:rsid w:val="006C4C78"/>
    <w:rsid w:val="006C509D"/>
    <w:rsid w:val="006C50ED"/>
    <w:rsid w:val="006C51C7"/>
    <w:rsid w:val="006C534E"/>
    <w:rsid w:val="006C53D8"/>
    <w:rsid w:val="006C55E7"/>
    <w:rsid w:val="006C5650"/>
    <w:rsid w:val="006C5761"/>
    <w:rsid w:val="006C5772"/>
    <w:rsid w:val="006C5945"/>
    <w:rsid w:val="006C5987"/>
    <w:rsid w:val="006C5AB3"/>
    <w:rsid w:val="006C5B4A"/>
    <w:rsid w:val="006C5C0F"/>
    <w:rsid w:val="006C5C42"/>
    <w:rsid w:val="006C5C8E"/>
    <w:rsid w:val="006C5F5A"/>
    <w:rsid w:val="006C5F73"/>
    <w:rsid w:val="006C600D"/>
    <w:rsid w:val="006C60D3"/>
    <w:rsid w:val="006C6345"/>
    <w:rsid w:val="006C6435"/>
    <w:rsid w:val="006C64F6"/>
    <w:rsid w:val="006C6508"/>
    <w:rsid w:val="006C66A7"/>
    <w:rsid w:val="006C678F"/>
    <w:rsid w:val="006C67A0"/>
    <w:rsid w:val="006C68A6"/>
    <w:rsid w:val="006C6B2B"/>
    <w:rsid w:val="006C6B4A"/>
    <w:rsid w:val="006C6BF5"/>
    <w:rsid w:val="006C6C01"/>
    <w:rsid w:val="006C6D27"/>
    <w:rsid w:val="006C6E16"/>
    <w:rsid w:val="006C6F2B"/>
    <w:rsid w:val="006C703E"/>
    <w:rsid w:val="006C7488"/>
    <w:rsid w:val="006C75CA"/>
    <w:rsid w:val="006C76DE"/>
    <w:rsid w:val="006C7795"/>
    <w:rsid w:val="006C790E"/>
    <w:rsid w:val="006C79C9"/>
    <w:rsid w:val="006C79CE"/>
    <w:rsid w:val="006C79D6"/>
    <w:rsid w:val="006C7AFE"/>
    <w:rsid w:val="006C7B01"/>
    <w:rsid w:val="006C7B70"/>
    <w:rsid w:val="006C7C85"/>
    <w:rsid w:val="006D0130"/>
    <w:rsid w:val="006D0254"/>
    <w:rsid w:val="006D02C3"/>
    <w:rsid w:val="006D02F4"/>
    <w:rsid w:val="006D032B"/>
    <w:rsid w:val="006D08E1"/>
    <w:rsid w:val="006D096E"/>
    <w:rsid w:val="006D098C"/>
    <w:rsid w:val="006D0A77"/>
    <w:rsid w:val="006D0BB9"/>
    <w:rsid w:val="006D0CC9"/>
    <w:rsid w:val="006D0CD8"/>
    <w:rsid w:val="006D0DA9"/>
    <w:rsid w:val="006D0F6A"/>
    <w:rsid w:val="006D102A"/>
    <w:rsid w:val="006D110F"/>
    <w:rsid w:val="006D1174"/>
    <w:rsid w:val="006D11DF"/>
    <w:rsid w:val="006D1214"/>
    <w:rsid w:val="006D12EC"/>
    <w:rsid w:val="006D1517"/>
    <w:rsid w:val="006D159A"/>
    <w:rsid w:val="006D15EB"/>
    <w:rsid w:val="006D1684"/>
    <w:rsid w:val="006D180B"/>
    <w:rsid w:val="006D1825"/>
    <w:rsid w:val="006D18A5"/>
    <w:rsid w:val="006D18B2"/>
    <w:rsid w:val="006D18E7"/>
    <w:rsid w:val="006D1DDB"/>
    <w:rsid w:val="006D1F35"/>
    <w:rsid w:val="006D1FE7"/>
    <w:rsid w:val="006D21D5"/>
    <w:rsid w:val="006D21F4"/>
    <w:rsid w:val="006D2237"/>
    <w:rsid w:val="006D23AD"/>
    <w:rsid w:val="006D25C9"/>
    <w:rsid w:val="006D26EF"/>
    <w:rsid w:val="006D274D"/>
    <w:rsid w:val="006D2809"/>
    <w:rsid w:val="006D2817"/>
    <w:rsid w:val="006D283A"/>
    <w:rsid w:val="006D28FC"/>
    <w:rsid w:val="006D2C77"/>
    <w:rsid w:val="006D2C9B"/>
    <w:rsid w:val="006D2F77"/>
    <w:rsid w:val="006D3038"/>
    <w:rsid w:val="006D30AA"/>
    <w:rsid w:val="006D31B5"/>
    <w:rsid w:val="006D3263"/>
    <w:rsid w:val="006D3298"/>
    <w:rsid w:val="006D3500"/>
    <w:rsid w:val="006D35E7"/>
    <w:rsid w:val="006D376F"/>
    <w:rsid w:val="006D3965"/>
    <w:rsid w:val="006D3C7D"/>
    <w:rsid w:val="006D3D70"/>
    <w:rsid w:val="006D3E2D"/>
    <w:rsid w:val="006D3E5E"/>
    <w:rsid w:val="006D3F21"/>
    <w:rsid w:val="006D40C6"/>
    <w:rsid w:val="006D41E6"/>
    <w:rsid w:val="006D4596"/>
    <w:rsid w:val="006D46E6"/>
    <w:rsid w:val="006D4784"/>
    <w:rsid w:val="006D482E"/>
    <w:rsid w:val="006D4AE5"/>
    <w:rsid w:val="006D4B2C"/>
    <w:rsid w:val="006D4D71"/>
    <w:rsid w:val="006D51AE"/>
    <w:rsid w:val="006D51B7"/>
    <w:rsid w:val="006D523C"/>
    <w:rsid w:val="006D53D8"/>
    <w:rsid w:val="006D5530"/>
    <w:rsid w:val="006D55E2"/>
    <w:rsid w:val="006D5883"/>
    <w:rsid w:val="006D599C"/>
    <w:rsid w:val="006D5A58"/>
    <w:rsid w:val="006D5A93"/>
    <w:rsid w:val="006D5B28"/>
    <w:rsid w:val="006D5C14"/>
    <w:rsid w:val="006D5CE9"/>
    <w:rsid w:val="006D5E1F"/>
    <w:rsid w:val="006D5F11"/>
    <w:rsid w:val="006D5F5A"/>
    <w:rsid w:val="006D5FCC"/>
    <w:rsid w:val="006D6046"/>
    <w:rsid w:val="006D614D"/>
    <w:rsid w:val="006D620E"/>
    <w:rsid w:val="006D62B7"/>
    <w:rsid w:val="006D63B8"/>
    <w:rsid w:val="006D6412"/>
    <w:rsid w:val="006D662F"/>
    <w:rsid w:val="006D66A9"/>
    <w:rsid w:val="006D6721"/>
    <w:rsid w:val="006D67FF"/>
    <w:rsid w:val="006D6867"/>
    <w:rsid w:val="006D6961"/>
    <w:rsid w:val="006D6A66"/>
    <w:rsid w:val="006D6B0B"/>
    <w:rsid w:val="006D6FDC"/>
    <w:rsid w:val="006D6FF6"/>
    <w:rsid w:val="006D7012"/>
    <w:rsid w:val="006D70F8"/>
    <w:rsid w:val="006D741F"/>
    <w:rsid w:val="006D7467"/>
    <w:rsid w:val="006D747A"/>
    <w:rsid w:val="006D7745"/>
    <w:rsid w:val="006D774A"/>
    <w:rsid w:val="006D7777"/>
    <w:rsid w:val="006D7977"/>
    <w:rsid w:val="006D7A66"/>
    <w:rsid w:val="006D7B62"/>
    <w:rsid w:val="006D7CA0"/>
    <w:rsid w:val="006D7D3B"/>
    <w:rsid w:val="006D7E6F"/>
    <w:rsid w:val="006D7E92"/>
    <w:rsid w:val="006E008A"/>
    <w:rsid w:val="006E021B"/>
    <w:rsid w:val="006E035B"/>
    <w:rsid w:val="006E0438"/>
    <w:rsid w:val="006E05A0"/>
    <w:rsid w:val="006E0646"/>
    <w:rsid w:val="006E0B1B"/>
    <w:rsid w:val="006E0D36"/>
    <w:rsid w:val="006E0ED2"/>
    <w:rsid w:val="006E0F14"/>
    <w:rsid w:val="006E119B"/>
    <w:rsid w:val="006E11C4"/>
    <w:rsid w:val="006E1516"/>
    <w:rsid w:val="006E1555"/>
    <w:rsid w:val="006E163F"/>
    <w:rsid w:val="006E1898"/>
    <w:rsid w:val="006E1AE7"/>
    <w:rsid w:val="006E1B86"/>
    <w:rsid w:val="006E1B8A"/>
    <w:rsid w:val="006E1C9C"/>
    <w:rsid w:val="006E2012"/>
    <w:rsid w:val="006E2138"/>
    <w:rsid w:val="006E229E"/>
    <w:rsid w:val="006E2511"/>
    <w:rsid w:val="006E257F"/>
    <w:rsid w:val="006E25D0"/>
    <w:rsid w:val="006E271E"/>
    <w:rsid w:val="006E27E1"/>
    <w:rsid w:val="006E286B"/>
    <w:rsid w:val="006E28F6"/>
    <w:rsid w:val="006E2A9D"/>
    <w:rsid w:val="006E2BDA"/>
    <w:rsid w:val="006E2CAB"/>
    <w:rsid w:val="006E2CBC"/>
    <w:rsid w:val="006E2E92"/>
    <w:rsid w:val="006E2FF4"/>
    <w:rsid w:val="006E300A"/>
    <w:rsid w:val="006E3037"/>
    <w:rsid w:val="006E31B5"/>
    <w:rsid w:val="006E3209"/>
    <w:rsid w:val="006E32D1"/>
    <w:rsid w:val="006E356B"/>
    <w:rsid w:val="006E36B2"/>
    <w:rsid w:val="006E38A7"/>
    <w:rsid w:val="006E39DA"/>
    <w:rsid w:val="006E3AE3"/>
    <w:rsid w:val="006E3B46"/>
    <w:rsid w:val="006E3DDC"/>
    <w:rsid w:val="006E3E1E"/>
    <w:rsid w:val="006E3F88"/>
    <w:rsid w:val="006E4038"/>
    <w:rsid w:val="006E41C8"/>
    <w:rsid w:val="006E4295"/>
    <w:rsid w:val="006E4664"/>
    <w:rsid w:val="006E483E"/>
    <w:rsid w:val="006E48EC"/>
    <w:rsid w:val="006E4989"/>
    <w:rsid w:val="006E4C4F"/>
    <w:rsid w:val="006E4CB6"/>
    <w:rsid w:val="006E4E04"/>
    <w:rsid w:val="006E4ECA"/>
    <w:rsid w:val="006E51BF"/>
    <w:rsid w:val="006E52CE"/>
    <w:rsid w:val="006E52F2"/>
    <w:rsid w:val="006E541B"/>
    <w:rsid w:val="006E5457"/>
    <w:rsid w:val="006E55A2"/>
    <w:rsid w:val="006E55E8"/>
    <w:rsid w:val="006E56E6"/>
    <w:rsid w:val="006E571D"/>
    <w:rsid w:val="006E57BC"/>
    <w:rsid w:val="006E5902"/>
    <w:rsid w:val="006E5B41"/>
    <w:rsid w:val="006E5D72"/>
    <w:rsid w:val="006E5E35"/>
    <w:rsid w:val="006E5EC0"/>
    <w:rsid w:val="006E5FBA"/>
    <w:rsid w:val="006E607F"/>
    <w:rsid w:val="006E61B9"/>
    <w:rsid w:val="006E622C"/>
    <w:rsid w:val="006E63A0"/>
    <w:rsid w:val="006E65E2"/>
    <w:rsid w:val="006E6724"/>
    <w:rsid w:val="006E6A11"/>
    <w:rsid w:val="006E6B39"/>
    <w:rsid w:val="006E703D"/>
    <w:rsid w:val="006E70C8"/>
    <w:rsid w:val="006E72AC"/>
    <w:rsid w:val="006E74A6"/>
    <w:rsid w:val="006E7578"/>
    <w:rsid w:val="006E75CC"/>
    <w:rsid w:val="006E75D5"/>
    <w:rsid w:val="006E7693"/>
    <w:rsid w:val="006E77BB"/>
    <w:rsid w:val="006E791E"/>
    <w:rsid w:val="006E7A06"/>
    <w:rsid w:val="006E7B80"/>
    <w:rsid w:val="006E7E6C"/>
    <w:rsid w:val="006E7EB1"/>
    <w:rsid w:val="006E7FC0"/>
    <w:rsid w:val="006F0164"/>
    <w:rsid w:val="006F03CE"/>
    <w:rsid w:val="006F0883"/>
    <w:rsid w:val="006F0926"/>
    <w:rsid w:val="006F0979"/>
    <w:rsid w:val="006F0ADC"/>
    <w:rsid w:val="006F0B03"/>
    <w:rsid w:val="006F0BBA"/>
    <w:rsid w:val="006F0DB7"/>
    <w:rsid w:val="006F0EA2"/>
    <w:rsid w:val="006F1052"/>
    <w:rsid w:val="006F109E"/>
    <w:rsid w:val="006F114E"/>
    <w:rsid w:val="006F1497"/>
    <w:rsid w:val="006F149E"/>
    <w:rsid w:val="006F154E"/>
    <w:rsid w:val="006F17E8"/>
    <w:rsid w:val="006F1992"/>
    <w:rsid w:val="006F19C2"/>
    <w:rsid w:val="006F1A79"/>
    <w:rsid w:val="006F1B7B"/>
    <w:rsid w:val="006F1D80"/>
    <w:rsid w:val="006F1D98"/>
    <w:rsid w:val="006F1FEF"/>
    <w:rsid w:val="006F212A"/>
    <w:rsid w:val="006F21D5"/>
    <w:rsid w:val="006F2418"/>
    <w:rsid w:val="006F24B9"/>
    <w:rsid w:val="006F2502"/>
    <w:rsid w:val="006F28F1"/>
    <w:rsid w:val="006F2969"/>
    <w:rsid w:val="006F2A57"/>
    <w:rsid w:val="006F2B99"/>
    <w:rsid w:val="006F2C13"/>
    <w:rsid w:val="006F2E9E"/>
    <w:rsid w:val="006F2F7D"/>
    <w:rsid w:val="006F2FC7"/>
    <w:rsid w:val="006F2FED"/>
    <w:rsid w:val="006F311B"/>
    <w:rsid w:val="006F3333"/>
    <w:rsid w:val="006F3389"/>
    <w:rsid w:val="006F353F"/>
    <w:rsid w:val="006F3546"/>
    <w:rsid w:val="006F371D"/>
    <w:rsid w:val="006F375B"/>
    <w:rsid w:val="006F387E"/>
    <w:rsid w:val="006F39DB"/>
    <w:rsid w:val="006F3B38"/>
    <w:rsid w:val="006F3C6D"/>
    <w:rsid w:val="006F3C96"/>
    <w:rsid w:val="006F3D44"/>
    <w:rsid w:val="006F3D49"/>
    <w:rsid w:val="006F3DFD"/>
    <w:rsid w:val="006F3E0F"/>
    <w:rsid w:val="006F3E24"/>
    <w:rsid w:val="006F3F18"/>
    <w:rsid w:val="006F3FDB"/>
    <w:rsid w:val="006F4027"/>
    <w:rsid w:val="006F4074"/>
    <w:rsid w:val="006F423C"/>
    <w:rsid w:val="006F432F"/>
    <w:rsid w:val="006F43EA"/>
    <w:rsid w:val="006F45B2"/>
    <w:rsid w:val="006F46EB"/>
    <w:rsid w:val="006F48A7"/>
    <w:rsid w:val="006F496C"/>
    <w:rsid w:val="006F4BBC"/>
    <w:rsid w:val="006F4C11"/>
    <w:rsid w:val="006F4D66"/>
    <w:rsid w:val="006F4D71"/>
    <w:rsid w:val="006F4F63"/>
    <w:rsid w:val="006F5083"/>
    <w:rsid w:val="006F50B8"/>
    <w:rsid w:val="006F510D"/>
    <w:rsid w:val="006F5129"/>
    <w:rsid w:val="006F5141"/>
    <w:rsid w:val="006F5147"/>
    <w:rsid w:val="006F5194"/>
    <w:rsid w:val="006F55FE"/>
    <w:rsid w:val="006F565D"/>
    <w:rsid w:val="006F59C0"/>
    <w:rsid w:val="006F5A04"/>
    <w:rsid w:val="006F5A16"/>
    <w:rsid w:val="006F5A76"/>
    <w:rsid w:val="006F5C49"/>
    <w:rsid w:val="006F5D6E"/>
    <w:rsid w:val="006F5F76"/>
    <w:rsid w:val="006F5FBA"/>
    <w:rsid w:val="006F60A3"/>
    <w:rsid w:val="006F6126"/>
    <w:rsid w:val="006F6144"/>
    <w:rsid w:val="006F618F"/>
    <w:rsid w:val="006F655F"/>
    <w:rsid w:val="006F6650"/>
    <w:rsid w:val="006F6711"/>
    <w:rsid w:val="006F6B7E"/>
    <w:rsid w:val="006F6BEB"/>
    <w:rsid w:val="006F6C20"/>
    <w:rsid w:val="006F6D10"/>
    <w:rsid w:val="006F6E50"/>
    <w:rsid w:val="006F6E5E"/>
    <w:rsid w:val="006F7037"/>
    <w:rsid w:val="006F745E"/>
    <w:rsid w:val="006F766C"/>
    <w:rsid w:val="006F768D"/>
    <w:rsid w:val="006F7B6D"/>
    <w:rsid w:val="006F7E14"/>
    <w:rsid w:val="007001E2"/>
    <w:rsid w:val="007002A6"/>
    <w:rsid w:val="007003BF"/>
    <w:rsid w:val="007005AA"/>
    <w:rsid w:val="007005CC"/>
    <w:rsid w:val="00700BDB"/>
    <w:rsid w:val="00700C6D"/>
    <w:rsid w:val="00700CCE"/>
    <w:rsid w:val="00700FE9"/>
    <w:rsid w:val="00701258"/>
    <w:rsid w:val="00701499"/>
    <w:rsid w:val="0070151B"/>
    <w:rsid w:val="007015B1"/>
    <w:rsid w:val="0070168A"/>
    <w:rsid w:val="00701868"/>
    <w:rsid w:val="00701CC8"/>
    <w:rsid w:val="00701EAB"/>
    <w:rsid w:val="007021C5"/>
    <w:rsid w:val="00702290"/>
    <w:rsid w:val="00702322"/>
    <w:rsid w:val="007024F9"/>
    <w:rsid w:val="00702655"/>
    <w:rsid w:val="007026DA"/>
    <w:rsid w:val="007029CC"/>
    <w:rsid w:val="00702B4D"/>
    <w:rsid w:val="00702CE6"/>
    <w:rsid w:val="00702D83"/>
    <w:rsid w:val="00702DB1"/>
    <w:rsid w:val="00702DD3"/>
    <w:rsid w:val="00703404"/>
    <w:rsid w:val="00703619"/>
    <w:rsid w:val="00703683"/>
    <w:rsid w:val="00703A5A"/>
    <w:rsid w:val="00703CBF"/>
    <w:rsid w:val="00703CD8"/>
    <w:rsid w:val="00703E46"/>
    <w:rsid w:val="0070408C"/>
    <w:rsid w:val="007041DD"/>
    <w:rsid w:val="007041F2"/>
    <w:rsid w:val="0070444D"/>
    <w:rsid w:val="0070452F"/>
    <w:rsid w:val="0070461B"/>
    <w:rsid w:val="0070472A"/>
    <w:rsid w:val="007047BF"/>
    <w:rsid w:val="00704AE1"/>
    <w:rsid w:val="00704C64"/>
    <w:rsid w:val="00704C74"/>
    <w:rsid w:val="00704D59"/>
    <w:rsid w:val="00705284"/>
    <w:rsid w:val="007052D4"/>
    <w:rsid w:val="00705326"/>
    <w:rsid w:val="0070537C"/>
    <w:rsid w:val="00705459"/>
    <w:rsid w:val="00705A4A"/>
    <w:rsid w:val="00705BBA"/>
    <w:rsid w:val="00705F7D"/>
    <w:rsid w:val="00705FAD"/>
    <w:rsid w:val="00706040"/>
    <w:rsid w:val="007060F1"/>
    <w:rsid w:val="00706126"/>
    <w:rsid w:val="00706279"/>
    <w:rsid w:val="007063DC"/>
    <w:rsid w:val="0070644C"/>
    <w:rsid w:val="00706737"/>
    <w:rsid w:val="007068F5"/>
    <w:rsid w:val="007069BF"/>
    <w:rsid w:val="007069EC"/>
    <w:rsid w:val="00706BF2"/>
    <w:rsid w:val="00706C5E"/>
    <w:rsid w:val="00706DDF"/>
    <w:rsid w:val="00706E1B"/>
    <w:rsid w:val="00706EF3"/>
    <w:rsid w:val="00706F2F"/>
    <w:rsid w:val="00706F33"/>
    <w:rsid w:val="00707004"/>
    <w:rsid w:val="00707399"/>
    <w:rsid w:val="007074E6"/>
    <w:rsid w:val="00707592"/>
    <w:rsid w:val="00707617"/>
    <w:rsid w:val="0070763E"/>
    <w:rsid w:val="007077C6"/>
    <w:rsid w:val="0070780C"/>
    <w:rsid w:val="00707BDD"/>
    <w:rsid w:val="00707D63"/>
    <w:rsid w:val="00707E8F"/>
    <w:rsid w:val="00707FEE"/>
    <w:rsid w:val="00710108"/>
    <w:rsid w:val="0071014A"/>
    <w:rsid w:val="0071046E"/>
    <w:rsid w:val="0071062D"/>
    <w:rsid w:val="007106B6"/>
    <w:rsid w:val="007106B9"/>
    <w:rsid w:val="007106C8"/>
    <w:rsid w:val="007107C6"/>
    <w:rsid w:val="00710858"/>
    <w:rsid w:val="00710864"/>
    <w:rsid w:val="00710AEC"/>
    <w:rsid w:val="00710BA2"/>
    <w:rsid w:val="00710E68"/>
    <w:rsid w:val="00710F0A"/>
    <w:rsid w:val="00710F59"/>
    <w:rsid w:val="007111B3"/>
    <w:rsid w:val="0071126B"/>
    <w:rsid w:val="0071172D"/>
    <w:rsid w:val="00711877"/>
    <w:rsid w:val="007118B7"/>
    <w:rsid w:val="00711A59"/>
    <w:rsid w:val="00711BFF"/>
    <w:rsid w:val="00711C31"/>
    <w:rsid w:val="00711D0A"/>
    <w:rsid w:val="00711D36"/>
    <w:rsid w:val="00711F6F"/>
    <w:rsid w:val="00711F87"/>
    <w:rsid w:val="00712005"/>
    <w:rsid w:val="0071234D"/>
    <w:rsid w:val="00712539"/>
    <w:rsid w:val="007125A0"/>
    <w:rsid w:val="0071275F"/>
    <w:rsid w:val="00712939"/>
    <w:rsid w:val="00712A5F"/>
    <w:rsid w:val="00712D62"/>
    <w:rsid w:val="00713007"/>
    <w:rsid w:val="007131AE"/>
    <w:rsid w:val="007135BE"/>
    <w:rsid w:val="007138A1"/>
    <w:rsid w:val="00713A35"/>
    <w:rsid w:val="00713C6A"/>
    <w:rsid w:val="00713CAE"/>
    <w:rsid w:val="00713D7A"/>
    <w:rsid w:val="00713DCC"/>
    <w:rsid w:val="007140C7"/>
    <w:rsid w:val="00714107"/>
    <w:rsid w:val="0071413D"/>
    <w:rsid w:val="00714287"/>
    <w:rsid w:val="00714642"/>
    <w:rsid w:val="0071464D"/>
    <w:rsid w:val="007148CA"/>
    <w:rsid w:val="00714BF7"/>
    <w:rsid w:val="00714F3A"/>
    <w:rsid w:val="00715005"/>
    <w:rsid w:val="007151EB"/>
    <w:rsid w:val="0071542E"/>
    <w:rsid w:val="0071555E"/>
    <w:rsid w:val="00715789"/>
    <w:rsid w:val="007158A4"/>
    <w:rsid w:val="007159D4"/>
    <w:rsid w:val="007159E0"/>
    <w:rsid w:val="00715BA2"/>
    <w:rsid w:val="00715BF0"/>
    <w:rsid w:val="00715E07"/>
    <w:rsid w:val="00715E7C"/>
    <w:rsid w:val="00716058"/>
    <w:rsid w:val="0071605E"/>
    <w:rsid w:val="0071607E"/>
    <w:rsid w:val="007161BC"/>
    <w:rsid w:val="007161D1"/>
    <w:rsid w:val="00716246"/>
    <w:rsid w:val="007164CF"/>
    <w:rsid w:val="0071652A"/>
    <w:rsid w:val="007165B9"/>
    <w:rsid w:val="00716660"/>
    <w:rsid w:val="007167D9"/>
    <w:rsid w:val="007167EE"/>
    <w:rsid w:val="00716869"/>
    <w:rsid w:val="0071689B"/>
    <w:rsid w:val="00716AEB"/>
    <w:rsid w:val="00716B1F"/>
    <w:rsid w:val="00716D49"/>
    <w:rsid w:val="00716DD7"/>
    <w:rsid w:val="00716E0D"/>
    <w:rsid w:val="0071738F"/>
    <w:rsid w:val="007173CF"/>
    <w:rsid w:val="00717401"/>
    <w:rsid w:val="00717456"/>
    <w:rsid w:val="00717923"/>
    <w:rsid w:val="00717977"/>
    <w:rsid w:val="007179D8"/>
    <w:rsid w:val="00717A55"/>
    <w:rsid w:val="00717A7D"/>
    <w:rsid w:val="00717B26"/>
    <w:rsid w:val="00717B76"/>
    <w:rsid w:val="00717C0E"/>
    <w:rsid w:val="00717C72"/>
    <w:rsid w:val="00717CFE"/>
    <w:rsid w:val="00717FB4"/>
    <w:rsid w:val="007200AB"/>
    <w:rsid w:val="007200E4"/>
    <w:rsid w:val="0072012C"/>
    <w:rsid w:val="0072031E"/>
    <w:rsid w:val="0072045C"/>
    <w:rsid w:val="007204BC"/>
    <w:rsid w:val="00720619"/>
    <w:rsid w:val="0072063C"/>
    <w:rsid w:val="0072064D"/>
    <w:rsid w:val="0072069E"/>
    <w:rsid w:val="00720832"/>
    <w:rsid w:val="00720880"/>
    <w:rsid w:val="007208B6"/>
    <w:rsid w:val="00720ADD"/>
    <w:rsid w:val="00720BFE"/>
    <w:rsid w:val="00720D21"/>
    <w:rsid w:val="00720F0D"/>
    <w:rsid w:val="00720FAE"/>
    <w:rsid w:val="007210BA"/>
    <w:rsid w:val="00721360"/>
    <w:rsid w:val="00721377"/>
    <w:rsid w:val="0072138D"/>
    <w:rsid w:val="00721517"/>
    <w:rsid w:val="007215C7"/>
    <w:rsid w:val="0072161E"/>
    <w:rsid w:val="00721751"/>
    <w:rsid w:val="00721868"/>
    <w:rsid w:val="00721988"/>
    <w:rsid w:val="00721E3A"/>
    <w:rsid w:val="00721F34"/>
    <w:rsid w:val="00721FBB"/>
    <w:rsid w:val="00721FF8"/>
    <w:rsid w:val="0072203B"/>
    <w:rsid w:val="0072211E"/>
    <w:rsid w:val="007221FD"/>
    <w:rsid w:val="007222AF"/>
    <w:rsid w:val="007222D9"/>
    <w:rsid w:val="00722483"/>
    <w:rsid w:val="0072259B"/>
    <w:rsid w:val="007226C3"/>
    <w:rsid w:val="007226C5"/>
    <w:rsid w:val="00722794"/>
    <w:rsid w:val="0072283F"/>
    <w:rsid w:val="00722843"/>
    <w:rsid w:val="00722886"/>
    <w:rsid w:val="00722896"/>
    <w:rsid w:val="0072290F"/>
    <w:rsid w:val="0072291F"/>
    <w:rsid w:val="0072295E"/>
    <w:rsid w:val="00722AEA"/>
    <w:rsid w:val="00722C22"/>
    <w:rsid w:val="00723028"/>
    <w:rsid w:val="007230DD"/>
    <w:rsid w:val="0072313E"/>
    <w:rsid w:val="00723441"/>
    <w:rsid w:val="007234A1"/>
    <w:rsid w:val="007234E7"/>
    <w:rsid w:val="00723517"/>
    <w:rsid w:val="0072355C"/>
    <w:rsid w:val="007235D7"/>
    <w:rsid w:val="0072385C"/>
    <w:rsid w:val="0072389E"/>
    <w:rsid w:val="00723902"/>
    <w:rsid w:val="00723949"/>
    <w:rsid w:val="007239D7"/>
    <w:rsid w:val="00723A73"/>
    <w:rsid w:val="00723BBE"/>
    <w:rsid w:val="00723CF3"/>
    <w:rsid w:val="00723E69"/>
    <w:rsid w:val="0072426F"/>
    <w:rsid w:val="007243CB"/>
    <w:rsid w:val="007245A2"/>
    <w:rsid w:val="007245CD"/>
    <w:rsid w:val="00724C5A"/>
    <w:rsid w:val="00724CA6"/>
    <w:rsid w:val="00724DBC"/>
    <w:rsid w:val="00724E4E"/>
    <w:rsid w:val="00724E7E"/>
    <w:rsid w:val="00724EA1"/>
    <w:rsid w:val="00724F33"/>
    <w:rsid w:val="0072544D"/>
    <w:rsid w:val="00725493"/>
    <w:rsid w:val="00725639"/>
    <w:rsid w:val="0072581B"/>
    <w:rsid w:val="0072582B"/>
    <w:rsid w:val="0072585B"/>
    <w:rsid w:val="007258AA"/>
    <w:rsid w:val="00725A49"/>
    <w:rsid w:val="00725C27"/>
    <w:rsid w:val="00725C47"/>
    <w:rsid w:val="00725DD2"/>
    <w:rsid w:val="00725F48"/>
    <w:rsid w:val="00725F8F"/>
    <w:rsid w:val="00725FCB"/>
    <w:rsid w:val="007261B7"/>
    <w:rsid w:val="00726321"/>
    <w:rsid w:val="00726717"/>
    <w:rsid w:val="00726A4D"/>
    <w:rsid w:val="00726BAE"/>
    <w:rsid w:val="00726C59"/>
    <w:rsid w:val="00726C8A"/>
    <w:rsid w:val="00726DA1"/>
    <w:rsid w:val="00726E48"/>
    <w:rsid w:val="00727046"/>
    <w:rsid w:val="00727074"/>
    <w:rsid w:val="00727218"/>
    <w:rsid w:val="0072735C"/>
    <w:rsid w:val="0072738F"/>
    <w:rsid w:val="0072746D"/>
    <w:rsid w:val="00727653"/>
    <w:rsid w:val="007276F7"/>
    <w:rsid w:val="007277BC"/>
    <w:rsid w:val="007279E6"/>
    <w:rsid w:val="00727C37"/>
    <w:rsid w:val="00727D53"/>
    <w:rsid w:val="00727D5A"/>
    <w:rsid w:val="00727DA3"/>
    <w:rsid w:val="00727E3B"/>
    <w:rsid w:val="00730326"/>
    <w:rsid w:val="00730597"/>
    <w:rsid w:val="007306F9"/>
    <w:rsid w:val="0073092D"/>
    <w:rsid w:val="0073097E"/>
    <w:rsid w:val="00730B0D"/>
    <w:rsid w:val="00730C64"/>
    <w:rsid w:val="00730D03"/>
    <w:rsid w:val="00731097"/>
    <w:rsid w:val="00731108"/>
    <w:rsid w:val="007312D4"/>
    <w:rsid w:val="00731430"/>
    <w:rsid w:val="0073144A"/>
    <w:rsid w:val="00731516"/>
    <w:rsid w:val="0073155B"/>
    <w:rsid w:val="007315F0"/>
    <w:rsid w:val="007316B7"/>
    <w:rsid w:val="0073178D"/>
    <w:rsid w:val="00731852"/>
    <w:rsid w:val="00731A60"/>
    <w:rsid w:val="00731ECE"/>
    <w:rsid w:val="007320BA"/>
    <w:rsid w:val="007321B9"/>
    <w:rsid w:val="007321ED"/>
    <w:rsid w:val="00732234"/>
    <w:rsid w:val="0073237B"/>
    <w:rsid w:val="007323FA"/>
    <w:rsid w:val="00732488"/>
    <w:rsid w:val="00732541"/>
    <w:rsid w:val="007327C5"/>
    <w:rsid w:val="0073286D"/>
    <w:rsid w:val="0073297A"/>
    <w:rsid w:val="007329B9"/>
    <w:rsid w:val="007329D3"/>
    <w:rsid w:val="00732AD7"/>
    <w:rsid w:val="00732B17"/>
    <w:rsid w:val="00732C82"/>
    <w:rsid w:val="00732C89"/>
    <w:rsid w:val="00732D70"/>
    <w:rsid w:val="00732E19"/>
    <w:rsid w:val="00733008"/>
    <w:rsid w:val="007330C6"/>
    <w:rsid w:val="007330CF"/>
    <w:rsid w:val="007330EB"/>
    <w:rsid w:val="0073320C"/>
    <w:rsid w:val="007332DD"/>
    <w:rsid w:val="007335A8"/>
    <w:rsid w:val="00733812"/>
    <w:rsid w:val="00733900"/>
    <w:rsid w:val="00733C46"/>
    <w:rsid w:val="00733DC3"/>
    <w:rsid w:val="00733F09"/>
    <w:rsid w:val="00734119"/>
    <w:rsid w:val="00734189"/>
    <w:rsid w:val="00734556"/>
    <w:rsid w:val="0073465C"/>
    <w:rsid w:val="00734814"/>
    <w:rsid w:val="0073495D"/>
    <w:rsid w:val="00734C65"/>
    <w:rsid w:val="00734C91"/>
    <w:rsid w:val="00734CD8"/>
    <w:rsid w:val="00734DBD"/>
    <w:rsid w:val="00734EFA"/>
    <w:rsid w:val="00734F0C"/>
    <w:rsid w:val="00734F92"/>
    <w:rsid w:val="0073511C"/>
    <w:rsid w:val="00735440"/>
    <w:rsid w:val="007354B2"/>
    <w:rsid w:val="00735512"/>
    <w:rsid w:val="00735528"/>
    <w:rsid w:val="007355BE"/>
    <w:rsid w:val="00735688"/>
    <w:rsid w:val="0073569E"/>
    <w:rsid w:val="00735CCA"/>
    <w:rsid w:val="00735D44"/>
    <w:rsid w:val="00735DBE"/>
    <w:rsid w:val="00735F0F"/>
    <w:rsid w:val="0073628F"/>
    <w:rsid w:val="00736359"/>
    <w:rsid w:val="00736439"/>
    <w:rsid w:val="00736452"/>
    <w:rsid w:val="00736675"/>
    <w:rsid w:val="00736782"/>
    <w:rsid w:val="00736792"/>
    <w:rsid w:val="007369DC"/>
    <w:rsid w:val="00736B47"/>
    <w:rsid w:val="00736BEF"/>
    <w:rsid w:val="00736CC4"/>
    <w:rsid w:val="00736EFF"/>
    <w:rsid w:val="00737470"/>
    <w:rsid w:val="00737587"/>
    <w:rsid w:val="00737619"/>
    <w:rsid w:val="007376A3"/>
    <w:rsid w:val="007377A9"/>
    <w:rsid w:val="007378B0"/>
    <w:rsid w:val="00737AD1"/>
    <w:rsid w:val="00737D6C"/>
    <w:rsid w:val="00737EEF"/>
    <w:rsid w:val="00740113"/>
    <w:rsid w:val="007401D7"/>
    <w:rsid w:val="0074023C"/>
    <w:rsid w:val="00740488"/>
    <w:rsid w:val="0074064B"/>
    <w:rsid w:val="007408E1"/>
    <w:rsid w:val="00740A09"/>
    <w:rsid w:val="00740A6E"/>
    <w:rsid w:val="00740B52"/>
    <w:rsid w:val="00740B53"/>
    <w:rsid w:val="00740B6B"/>
    <w:rsid w:val="00740CB9"/>
    <w:rsid w:val="00740CE7"/>
    <w:rsid w:val="00740D2E"/>
    <w:rsid w:val="00740E09"/>
    <w:rsid w:val="00740F0C"/>
    <w:rsid w:val="0074101E"/>
    <w:rsid w:val="00741356"/>
    <w:rsid w:val="00741431"/>
    <w:rsid w:val="007415AF"/>
    <w:rsid w:val="00741C04"/>
    <w:rsid w:val="00741C58"/>
    <w:rsid w:val="00741D68"/>
    <w:rsid w:val="00741E17"/>
    <w:rsid w:val="00741E95"/>
    <w:rsid w:val="00741FAE"/>
    <w:rsid w:val="007420ED"/>
    <w:rsid w:val="00742123"/>
    <w:rsid w:val="007422F1"/>
    <w:rsid w:val="007423C0"/>
    <w:rsid w:val="00742495"/>
    <w:rsid w:val="00742499"/>
    <w:rsid w:val="007424FA"/>
    <w:rsid w:val="007425E2"/>
    <w:rsid w:val="00742799"/>
    <w:rsid w:val="007427E7"/>
    <w:rsid w:val="00742BAA"/>
    <w:rsid w:val="00742BD0"/>
    <w:rsid w:val="00742CAF"/>
    <w:rsid w:val="00742DA4"/>
    <w:rsid w:val="007430AB"/>
    <w:rsid w:val="0074340F"/>
    <w:rsid w:val="0074366D"/>
    <w:rsid w:val="007436D2"/>
    <w:rsid w:val="007436E0"/>
    <w:rsid w:val="00743D59"/>
    <w:rsid w:val="00743E2D"/>
    <w:rsid w:val="00743E69"/>
    <w:rsid w:val="00743F38"/>
    <w:rsid w:val="00743F3E"/>
    <w:rsid w:val="00744099"/>
    <w:rsid w:val="007440B2"/>
    <w:rsid w:val="0074424E"/>
    <w:rsid w:val="007444C1"/>
    <w:rsid w:val="00744759"/>
    <w:rsid w:val="0074492A"/>
    <w:rsid w:val="00744950"/>
    <w:rsid w:val="00744AB5"/>
    <w:rsid w:val="00744C24"/>
    <w:rsid w:val="00744DF5"/>
    <w:rsid w:val="0074521C"/>
    <w:rsid w:val="0074525E"/>
    <w:rsid w:val="00745387"/>
    <w:rsid w:val="007453DD"/>
    <w:rsid w:val="0074567E"/>
    <w:rsid w:val="00745733"/>
    <w:rsid w:val="007457E6"/>
    <w:rsid w:val="0074582C"/>
    <w:rsid w:val="007458CE"/>
    <w:rsid w:val="007458E0"/>
    <w:rsid w:val="00745B61"/>
    <w:rsid w:val="00745C94"/>
    <w:rsid w:val="00745D34"/>
    <w:rsid w:val="00745DA2"/>
    <w:rsid w:val="00745F5D"/>
    <w:rsid w:val="00746020"/>
    <w:rsid w:val="00746095"/>
    <w:rsid w:val="007461B2"/>
    <w:rsid w:val="0074637B"/>
    <w:rsid w:val="0074645D"/>
    <w:rsid w:val="00746562"/>
    <w:rsid w:val="007465AC"/>
    <w:rsid w:val="007465F4"/>
    <w:rsid w:val="00746902"/>
    <w:rsid w:val="00746906"/>
    <w:rsid w:val="0074695B"/>
    <w:rsid w:val="00746CDA"/>
    <w:rsid w:val="00746CEF"/>
    <w:rsid w:val="00746D02"/>
    <w:rsid w:val="00746D67"/>
    <w:rsid w:val="00747071"/>
    <w:rsid w:val="007470B2"/>
    <w:rsid w:val="00747252"/>
    <w:rsid w:val="0074752A"/>
    <w:rsid w:val="0074759C"/>
    <w:rsid w:val="007475DD"/>
    <w:rsid w:val="007477A3"/>
    <w:rsid w:val="007478F3"/>
    <w:rsid w:val="00747965"/>
    <w:rsid w:val="00747970"/>
    <w:rsid w:val="007479AC"/>
    <w:rsid w:val="00747A85"/>
    <w:rsid w:val="00747B68"/>
    <w:rsid w:val="00747BB8"/>
    <w:rsid w:val="00747BD9"/>
    <w:rsid w:val="00747C41"/>
    <w:rsid w:val="00747DBA"/>
    <w:rsid w:val="00750261"/>
    <w:rsid w:val="007502D9"/>
    <w:rsid w:val="0075032B"/>
    <w:rsid w:val="00750390"/>
    <w:rsid w:val="0075065D"/>
    <w:rsid w:val="0075094D"/>
    <w:rsid w:val="0075099D"/>
    <w:rsid w:val="00750F04"/>
    <w:rsid w:val="00750F82"/>
    <w:rsid w:val="0075106C"/>
    <w:rsid w:val="007510EC"/>
    <w:rsid w:val="00751159"/>
    <w:rsid w:val="00751486"/>
    <w:rsid w:val="007515BB"/>
    <w:rsid w:val="00751669"/>
    <w:rsid w:val="007516DB"/>
    <w:rsid w:val="007519F9"/>
    <w:rsid w:val="00751AA8"/>
    <w:rsid w:val="00751AB5"/>
    <w:rsid w:val="00751B02"/>
    <w:rsid w:val="00751C2B"/>
    <w:rsid w:val="00751D45"/>
    <w:rsid w:val="00751FF3"/>
    <w:rsid w:val="0075205B"/>
    <w:rsid w:val="0075235D"/>
    <w:rsid w:val="00752526"/>
    <w:rsid w:val="007526AF"/>
    <w:rsid w:val="007526C0"/>
    <w:rsid w:val="00752975"/>
    <w:rsid w:val="00752A28"/>
    <w:rsid w:val="00752DF2"/>
    <w:rsid w:val="00752EE1"/>
    <w:rsid w:val="00752F02"/>
    <w:rsid w:val="00752F6A"/>
    <w:rsid w:val="00752FD2"/>
    <w:rsid w:val="007530EF"/>
    <w:rsid w:val="007531CB"/>
    <w:rsid w:val="007532BA"/>
    <w:rsid w:val="0075349A"/>
    <w:rsid w:val="007535DC"/>
    <w:rsid w:val="007539D6"/>
    <w:rsid w:val="00753A17"/>
    <w:rsid w:val="00753B1B"/>
    <w:rsid w:val="00753F12"/>
    <w:rsid w:val="007540EE"/>
    <w:rsid w:val="00754139"/>
    <w:rsid w:val="00754197"/>
    <w:rsid w:val="00754320"/>
    <w:rsid w:val="0075437B"/>
    <w:rsid w:val="0075438E"/>
    <w:rsid w:val="00754500"/>
    <w:rsid w:val="0075480D"/>
    <w:rsid w:val="0075489C"/>
    <w:rsid w:val="007549CA"/>
    <w:rsid w:val="00754B52"/>
    <w:rsid w:val="00754D64"/>
    <w:rsid w:val="00754F6E"/>
    <w:rsid w:val="00755057"/>
    <w:rsid w:val="007551A5"/>
    <w:rsid w:val="00755404"/>
    <w:rsid w:val="00755510"/>
    <w:rsid w:val="00755782"/>
    <w:rsid w:val="00755816"/>
    <w:rsid w:val="007558A9"/>
    <w:rsid w:val="0075593F"/>
    <w:rsid w:val="00755B1C"/>
    <w:rsid w:val="00755B5E"/>
    <w:rsid w:val="00755FF5"/>
    <w:rsid w:val="0075607D"/>
    <w:rsid w:val="0075609C"/>
    <w:rsid w:val="0075611F"/>
    <w:rsid w:val="00756173"/>
    <w:rsid w:val="00756300"/>
    <w:rsid w:val="00756319"/>
    <w:rsid w:val="0075640B"/>
    <w:rsid w:val="00756454"/>
    <w:rsid w:val="007565A5"/>
    <w:rsid w:val="007565C3"/>
    <w:rsid w:val="007565D6"/>
    <w:rsid w:val="00756648"/>
    <w:rsid w:val="007566DF"/>
    <w:rsid w:val="00756876"/>
    <w:rsid w:val="0075690E"/>
    <w:rsid w:val="007569D0"/>
    <w:rsid w:val="00756AD5"/>
    <w:rsid w:val="00756B5A"/>
    <w:rsid w:val="00756BC1"/>
    <w:rsid w:val="00756DA2"/>
    <w:rsid w:val="00756E3C"/>
    <w:rsid w:val="007570F6"/>
    <w:rsid w:val="00757116"/>
    <w:rsid w:val="00757357"/>
    <w:rsid w:val="0075746B"/>
    <w:rsid w:val="00757570"/>
    <w:rsid w:val="007576B6"/>
    <w:rsid w:val="007576BC"/>
    <w:rsid w:val="00757722"/>
    <w:rsid w:val="00757854"/>
    <w:rsid w:val="007578BD"/>
    <w:rsid w:val="00757A19"/>
    <w:rsid w:val="00757AC8"/>
    <w:rsid w:val="00757B66"/>
    <w:rsid w:val="00757D9F"/>
    <w:rsid w:val="00757F9F"/>
    <w:rsid w:val="00757FEE"/>
    <w:rsid w:val="00760155"/>
    <w:rsid w:val="00760207"/>
    <w:rsid w:val="007603AD"/>
    <w:rsid w:val="00760566"/>
    <w:rsid w:val="007605DB"/>
    <w:rsid w:val="00760916"/>
    <w:rsid w:val="00760CA8"/>
    <w:rsid w:val="00760F1B"/>
    <w:rsid w:val="00760F3C"/>
    <w:rsid w:val="00760F93"/>
    <w:rsid w:val="00761141"/>
    <w:rsid w:val="007611C4"/>
    <w:rsid w:val="007611E6"/>
    <w:rsid w:val="007614AA"/>
    <w:rsid w:val="007615A4"/>
    <w:rsid w:val="0076192E"/>
    <w:rsid w:val="007619B0"/>
    <w:rsid w:val="00761B29"/>
    <w:rsid w:val="00761C83"/>
    <w:rsid w:val="00761D32"/>
    <w:rsid w:val="00761D45"/>
    <w:rsid w:val="00761DA2"/>
    <w:rsid w:val="00761F13"/>
    <w:rsid w:val="00761FF8"/>
    <w:rsid w:val="007621AC"/>
    <w:rsid w:val="007622A3"/>
    <w:rsid w:val="007622FF"/>
    <w:rsid w:val="007623F2"/>
    <w:rsid w:val="00762460"/>
    <w:rsid w:val="00762932"/>
    <w:rsid w:val="00762A66"/>
    <w:rsid w:val="00762AB9"/>
    <w:rsid w:val="00762B62"/>
    <w:rsid w:val="00762C91"/>
    <w:rsid w:val="00762D2F"/>
    <w:rsid w:val="00762D85"/>
    <w:rsid w:val="00762F3D"/>
    <w:rsid w:val="007632EB"/>
    <w:rsid w:val="00763311"/>
    <w:rsid w:val="00763364"/>
    <w:rsid w:val="00763469"/>
    <w:rsid w:val="0076347D"/>
    <w:rsid w:val="00763494"/>
    <w:rsid w:val="007635D4"/>
    <w:rsid w:val="00763791"/>
    <w:rsid w:val="007637D9"/>
    <w:rsid w:val="00763B4B"/>
    <w:rsid w:val="00763C6C"/>
    <w:rsid w:val="00763CB5"/>
    <w:rsid w:val="00763D0D"/>
    <w:rsid w:val="00763D32"/>
    <w:rsid w:val="00763E8C"/>
    <w:rsid w:val="00763FB9"/>
    <w:rsid w:val="00764291"/>
    <w:rsid w:val="0076457E"/>
    <w:rsid w:val="00764825"/>
    <w:rsid w:val="007648C4"/>
    <w:rsid w:val="007648DF"/>
    <w:rsid w:val="00764B76"/>
    <w:rsid w:val="00764BF7"/>
    <w:rsid w:val="00764E6B"/>
    <w:rsid w:val="00764F78"/>
    <w:rsid w:val="0076508E"/>
    <w:rsid w:val="00765096"/>
    <w:rsid w:val="00765327"/>
    <w:rsid w:val="0076532E"/>
    <w:rsid w:val="00765470"/>
    <w:rsid w:val="00765891"/>
    <w:rsid w:val="0076591C"/>
    <w:rsid w:val="0076592D"/>
    <w:rsid w:val="00765C5F"/>
    <w:rsid w:val="00765C79"/>
    <w:rsid w:val="00765EA8"/>
    <w:rsid w:val="00765FD3"/>
    <w:rsid w:val="00766016"/>
    <w:rsid w:val="00766173"/>
    <w:rsid w:val="00766175"/>
    <w:rsid w:val="00766211"/>
    <w:rsid w:val="007662AF"/>
    <w:rsid w:val="00766428"/>
    <w:rsid w:val="00766544"/>
    <w:rsid w:val="00766575"/>
    <w:rsid w:val="007665EE"/>
    <w:rsid w:val="00766671"/>
    <w:rsid w:val="007667F5"/>
    <w:rsid w:val="00766999"/>
    <w:rsid w:val="00766B51"/>
    <w:rsid w:val="00766E2E"/>
    <w:rsid w:val="00766E5C"/>
    <w:rsid w:val="00766F0F"/>
    <w:rsid w:val="007670E3"/>
    <w:rsid w:val="00767199"/>
    <w:rsid w:val="007672A5"/>
    <w:rsid w:val="007672D6"/>
    <w:rsid w:val="00767445"/>
    <w:rsid w:val="007674C6"/>
    <w:rsid w:val="00767714"/>
    <w:rsid w:val="007677B6"/>
    <w:rsid w:val="007677E6"/>
    <w:rsid w:val="00767954"/>
    <w:rsid w:val="00767A03"/>
    <w:rsid w:val="00767BF5"/>
    <w:rsid w:val="00770001"/>
    <w:rsid w:val="0077003B"/>
    <w:rsid w:val="00770097"/>
    <w:rsid w:val="00770455"/>
    <w:rsid w:val="00770520"/>
    <w:rsid w:val="007706A4"/>
    <w:rsid w:val="007706DB"/>
    <w:rsid w:val="0077078F"/>
    <w:rsid w:val="007707E6"/>
    <w:rsid w:val="007708FB"/>
    <w:rsid w:val="007709B7"/>
    <w:rsid w:val="00770B63"/>
    <w:rsid w:val="00770C31"/>
    <w:rsid w:val="00770CF5"/>
    <w:rsid w:val="0077114F"/>
    <w:rsid w:val="00771266"/>
    <w:rsid w:val="00771418"/>
    <w:rsid w:val="00771724"/>
    <w:rsid w:val="0077173A"/>
    <w:rsid w:val="007718DD"/>
    <w:rsid w:val="007718EC"/>
    <w:rsid w:val="00771BA3"/>
    <w:rsid w:val="00771DE6"/>
    <w:rsid w:val="0077202B"/>
    <w:rsid w:val="0077207C"/>
    <w:rsid w:val="0077232E"/>
    <w:rsid w:val="0077279C"/>
    <w:rsid w:val="00772879"/>
    <w:rsid w:val="00772D15"/>
    <w:rsid w:val="00772D23"/>
    <w:rsid w:val="00772DEC"/>
    <w:rsid w:val="00772DF1"/>
    <w:rsid w:val="007731D7"/>
    <w:rsid w:val="007731F3"/>
    <w:rsid w:val="00773201"/>
    <w:rsid w:val="007733B3"/>
    <w:rsid w:val="0077358F"/>
    <w:rsid w:val="0077379D"/>
    <w:rsid w:val="00773834"/>
    <w:rsid w:val="0077385E"/>
    <w:rsid w:val="0077388F"/>
    <w:rsid w:val="00773932"/>
    <w:rsid w:val="00773987"/>
    <w:rsid w:val="007739E9"/>
    <w:rsid w:val="00773C10"/>
    <w:rsid w:val="00773EF8"/>
    <w:rsid w:val="00774193"/>
    <w:rsid w:val="00774387"/>
    <w:rsid w:val="00774572"/>
    <w:rsid w:val="0077475F"/>
    <w:rsid w:val="00774ABE"/>
    <w:rsid w:val="00774B87"/>
    <w:rsid w:val="00774BE9"/>
    <w:rsid w:val="00774C36"/>
    <w:rsid w:val="00774C40"/>
    <w:rsid w:val="00774CCC"/>
    <w:rsid w:val="00774D3B"/>
    <w:rsid w:val="00774E0C"/>
    <w:rsid w:val="00774E25"/>
    <w:rsid w:val="00774E39"/>
    <w:rsid w:val="00774E40"/>
    <w:rsid w:val="00774EA9"/>
    <w:rsid w:val="00774F32"/>
    <w:rsid w:val="00774F6A"/>
    <w:rsid w:val="00774F82"/>
    <w:rsid w:val="00775348"/>
    <w:rsid w:val="007754D5"/>
    <w:rsid w:val="007754F4"/>
    <w:rsid w:val="007755EF"/>
    <w:rsid w:val="00775815"/>
    <w:rsid w:val="00775851"/>
    <w:rsid w:val="007758A0"/>
    <w:rsid w:val="00775DAF"/>
    <w:rsid w:val="00775F3E"/>
    <w:rsid w:val="0077604A"/>
    <w:rsid w:val="007760F2"/>
    <w:rsid w:val="0077617B"/>
    <w:rsid w:val="007765B8"/>
    <w:rsid w:val="0077661C"/>
    <w:rsid w:val="007766B9"/>
    <w:rsid w:val="007766D9"/>
    <w:rsid w:val="007768EA"/>
    <w:rsid w:val="007769F1"/>
    <w:rsid w:val="00776A29"/>
    <w:rsid w:val="00776B75"/>
    <w:rsid w:val="00776B91"/>
    <w:rsid w:val="00776C1E"/>
    <w:rsid w:val="00776CCA"/>
    <w:rsid w:val="00776DFC"/>
    <w:rsid w:val="00776F91"/>
    <w:rsid w:val="00777343"/>
    <w:rsid w:val="007773ED"/>
    <w:rsid w:val="0077747E"/>
    <w:rsid w:val="00777894"/>
    <w:rsid w:val="00777D44"/>
    <w:rsid w:val="00777D7A"/>
    <w:rsid w:val="00777FFD"/>
    <w:rsid w:val="007801B4"/>
    <w:rsid w:val="007801FC"/>
    <w:rsid w:val="00780287"/>
    <w:rsid w:val="0078038C"/>
    <w:rsid w:val="007803E9"/>
    <w:rsid w:val="00780429"/>
    <w:rsid w:val="007804F8"/>
    <w:rsid w:val="00780521"/>
    <w:rsid w:val="0078069F"/>
    <w:rsid w:val="00780709"/>
    <w:rsid w:val="00780788"/>
    <w:rsid w:val="007807C8"/>
    <w:rsid w:val="00780C6A"/>
    <w:rsid w:val="00780E5D"/>
    <w:rsid w:val="00780EFB"/>
    <w:rsid w:val="00780FA4"/>
    <w:rsid w:val="00781084"/>
    <w:rsid w:val="00781086"/>
    <w:rsid w:val="00781144"/>
    <w:rsid w:val="00781411"/>
    <w:rsid w:val="00781830"/>
    <w:rsid w:val="0078184B"/>
    <w:rsid w:val="00781865"/>
    <w:rsid w:val="007818E1"/>
    <w:rsid w:val="007819F3"/>
    <w:rsid w:val="00781C97"/>
    <w:rsid w:val="00781CC6"/>
    <w:rsid w:val="00781EF9"/>
    <w:rsid w:val="00781FB5"/>
    <w:rsid w:val="007822CD"/>
    <w:rsid w:val="0078231F"/>
    <w:rsid w:val="00782390"/>
    <w:rsid w:val="007824DF"/>
    <w:rsid w:val="00782530"/>
    <w:rsid w:val="00782543"/>
    <w:rsid w:val="00782559"/>
    <w:rsid w:val="00782609"/>
    <w:rsid w:val="00782658"/>
    <w:rsid w:val="00782683"/>
    <w:rsid w:val="0078270D"/>
    <w:rsid w:val="0078288A"/>
    <w:rsid w:val="00782A3A"/>
    <w:rsid w:val="00782B2B"/>
    <w:rsid w:val="00782DEA"/>
    <w:rsid w:val="00782E2D"/>
    <w:rsid w:val="00782EDF"/>
    <w:rsid w:val="00783156"/>
    <w:rsid w:val="00783192"/>
    <w:rsid w:val="00783347"/>
    <w:rsid w:val="00783565"/>
    <w:rsid w:val="00783942"/>
    <w:rsid w:val="00783C13"/>
    <w:rsid w:val="00783F04"/>
    <w:rsid w:val="00783F9F"/>
    <w:rsid w:val="00784105"/>
    <w:rsid w:val="00784348"/>
    <w:rsid w:val="007844C9"/>
    <w:rsid w:val="00784532"/>
    <w:rsid w:val="007845DA"/>
    <w:rsid w:val="007846A3"/>
    <w:rsid w:val="0078471F"/>
    <w:rsid w:val="00784863"/>
    <w:rsid w:val="00784873"/>
    <w:rsid w:val="00784917"/>
    <w:rsid w:val="00784AFD"/>
    <w:rsid w:val="00784DDD"/>
    <w:rsid w:val="00785023"/>
    <w:rsid w:val="00785118"/>
    <w:rsid w:val="00785139"/>
    <w:rsid w:val="00785293"/>
    <w:rsid w:val="00785C2F"/>
    <w:rsid w:val="00785C37"/>
    <w:rsid w:val="00785C8F"/>
    <w:rsid w:val="00785D8E"/>
    <w:rsid w:val="00785F1D"/>
    <w:rsid w:val="00785FAA"/>
    <w:rsid w:val="0078617B"/>
    <w:rsid w:val="0078618B"/>
    <w:rsid w:val="00786327"/>
    <w:rsid w:val="0078637E"/>
    <w:rsid w:val="007863C7"/>
    <w:rsid w:val="00786462"/>
    <w:rsid w:val="00786526"/>
    <w:rsid w:val="00786651"/>
    <w:rsid w:val="00786675"/>
    <w:rsid w:val="00786A0E"/>
    <w:rsid w:val="00786A1C"/>
    <w:rsid w:val="00786B2C"/>
    <w:rsid w:val="00786B80"/>
    <w:rsid w:val="00786C2A"/>
    <w:rsid w:val="00786C3C"/>
    <w:rsid w:val="00786C70"/>
    <w:rsid w:val="00786CD4"/>
    <w:rsid w:val="00786D09"/>
    <w:rsid w:val="00786D2C"/>
    <w:rsid w:val="00786DC0"/>
    <w:rsid w:val="00786F5A"/>
    <w:rsid w:val="00786F70"/>
    <w:rsid w:val="00786FF6"/>
    <w:rsid w:val="00787341"/>
    <w:rsid w:val="00787363"/>
    <w:rsid w:val="00787535"/>
    <w:rsid w:val="00787564"/>
    <w:rsid w:val="007876CB"/>
    <w:rsid w:val="007878DD"/>
    <w:rsid w:val="00787928"/>
    <w:rsid w:val="007879BA"/>
    <w:rsid w:val="00787AC1"/>
    <w:rsid w:val="007900D6"/>
    <w:rsid w:val="00790267"/>
    <w:rsid w:val="0079050F"/>
    <w:rsid w:val="00790537"/>
    <w:rsid w:val="00790576"/>
    <w:rsid w:val="007906A1"/>
    <w:rsid w:val="007906E3"/>
    <w:rsid w:val="00790706"/>
    <w:rsid w:val="007907E4"/>
    <w:rsid w:val="0079091F"/>
    <w:rsid w:val="00790A88"/>
    <w:rsid w:val="00790AD1"/>
    <w:rsid w:val="00790EC7"/>
    <w:rsid w:val="00790F23"/>
    <w:rsid w:val="00790FF3"/>
    <w:rsid w:val="007910C2"/>
    <w:rsid w:val="007913D2"/>
    <w:rsid w:val="00791487"/>
    <w:rsid w:val="00791491"/>
    <w:rsid w:val="0079157D"/>
    <w:rsid w:val="0079158E"/>
    <w:rsid w:val="00791606"/>
    <w:rsid w:val="007916D7"/>
    <w:rsid w:val="00791796"/>
    <w:rsid w:val="007917A2"/>
    <w:rsid w:val="007917DB"/>
    <w:rsid w:val="00791838"/>
    <w:rsid w:val="007919F8"/>
    <w:rsid w:val="00791A3A"/>
    <w:rsid w:val="00791B2F"/>
    <w:rsid w:val="00791F87"/>
    <w:rsid w:val="00792185"/>
    <w:rsid w:val="007923CE"/>
    <w:rsid w:val="00792422"/>
    <w:rsid w:val="00792816"/>
    <w:rsid w:val="00792832"/>
    <w:rsid w:val="00792DF4"/>
    <w:rsid w:val="00792E56"/>
    <w:rsid w:val="0079310D"/>
    <w:rsid w:val="0079315A"/>
    <w:rsid w:val="0079316B"/>
    <w:rsid w:val="00793183"/>
    <w:rsid w:val="00793250"/>
    <w:rsid w:val="00793319"/>
    <w:rsid w:val="00793382"/>
    <w:rsid w:val="007933F3"/>
    <w:rsid w:val="0079383F"/>
    <w:rsid w:val="007938DC"/>
    <w:rsid w:val="0079392C"/>
    <w:rsid w:val="00793969"/>
    <w:rsid w:val="00793B7F"/>
    <w:rsid w:val="00793BEB"/>
    <w:rsid w:val="00793F3F"/>
    <w:rsid w:val="00794107"/>
    <w:rsid w:val="007941ED"/>
    <w:rsid w:val="007942C8"/>
    <w:rsid w:val="00794725"/>
    <w:rsid w:val="00794817"/>
    <w:rsid w:val="00794AE2"/>
    <w:rsid w:val="00794C35"/>
    <w:rsid w:val="00794E48"/>
    <w:rsid w:val="00794F4D"/>
    <w:rsid w:val="00794F51"/>
    <w:rsid w:val="00794F53"/>
    <w:rsid w:val="00794FB3"/>
    <w:rsid w:val="00795118"/>
    <w:rsid w:val="007951E3"/>
    <w:rsid w:val="007951FC"/>
    <w:rsid w:val="007952EA"/>
    <w:rsid w:val="00795341"/>
    <w:rsid w:val="007953C0"/>
    <w:rsid w:val="0079559F"/>
    <w:rsid w:val="0079561D"/>
    <w:rsid w:val="007956D3"/>
    <w:rsid w:val="0079584B"/>
    <w:rsid w:val="00795E2A"/>
    <w:rsid w:val="00795E92"/>
    <w:rsid w:val="00795F9B"/>
    <w:rsid w:val="00796062"/>
    <w:rsid w:val="007962F8"/>
    <w:rsid w:val="007964BF"/>
    <w:rsid w:val="007966B9"/>
    <w:rsid w:val="00796881"/>
    <w:rsid w:val="007969DB"/>
    <w:rsid w:val="00796B84"/>
    <w:rsid w:val="00796BA2"/>
    <w:rsid w:val="00796D42"/>
    <w:rsid w:val="00796D7A"/>
    <w:rsid w:val="00796D88"/>
    <w:rsid w:val="00796E63"/>
    <w:rsid w:val="00796EF6"/>
    <w:rsid w:val="00796F58"/>
    <w:rsid w:val="00796FC0"/>
    <w:rsid w:val="00797087"/>
    <w:rsid w:val="007970EC"/>
    <w:rsid w:val="0079713A"/>
    <w:rsid w:val="0079715C"/>
    <w:rsid w:val="0079719C"/>
    <w:rsid w:val="0079720E"/>
    <w:rsid w:val="00797279"/>
    <w:rsid w:val="0079758D"/>
    <w:rsid w:val="0079762A"/>
    <w:rsid w:val="00797693"/>
    <w:rsid w:val="007976D8"/>
    <w:rsid w:val="0079772A"/>
    <w:rsid w:val="007978C0"/>
    <w:rsid w:val="00797AA6"/>
    <w:rsid w:val="00797BF6"/>
    <w:rsid w:val="00797D71"/>
    <w:rsid w:val="00797DE2"/>
    <w:rsid w:val="00797F77"/>
    <w:rsid w:val="00797F78"/>
    <w:rsid w:val="007A000C"/>
    <w:rsid w:val="007A003A"/>
    <w:rsid w:val="007A00C0"/>
    <w:rsid w:val="007A01E8"/>
    <w:rsid w:val="007A0231"/>
    <w:rsid w:val="007A028C"/>
    <w:rsid w:val="007A0299"/>
    <w:rsid w:val="007A06E9"/>
    <w:rsid w:val="007A079B"/>
    <w:rsid w:val="007A0937"/>
    <w:rsid w:val="007A0A76"/>
    <w:rsid w:val="007A0AEA"/>
    <w:rsid w:val="007A0D46"/>
    <w:rsid w:val="007A0D96"/>
    <w:rsid w:val="007A0E44"/>
    <w:rsid w:val="007A0E4D"/>
    <w:rsid w:val="007A0E56"/>
    <w:rsid w:val="007A1029"/>
    <w:rsid w:val="007A12AB"/>
    <w:rsid w:val="007A14FB"/>
    <w:rsid w:val="007A1561"/>
    <w:rsid w:val="007A165C"/>
    <w:rsid w:val="007A173A"/>
    <w:rsid w:val="007A1A6F"/>
    <w:rsid w:val="007A1B62"/>
    <w:rsid w:val="007A1B82"/>
    <w:rsid w:val="007A1B8E"/>
    <w:rsid w:val="007A1DA9"/>
    <w:rsid w:val="007A1DB8"/>
    <w:rsid w:val="007A22DD"/>
    <w:rsid w:val="007A25E7"/>
    <w:rsid w:val="007A26F7"/>
    <w:rsid w:val="007A274B"/>
    <w:rsid w:val="007A287C"/>
    <w:rsid w:val="007A299E"/>
    <w:rsid w:val="007A29D1"/>
    <w:rsid w:val="007A2B86"/>
    <w:rsid w:val="007A2BB5"/>
    <w:rsid w:val="007A2C18"/>
    <w:rsid w:val="007A2C53"/>
    <w:rsid w:val="007A2C72"/>
    <w:rsid w:val="007A2E92"/>
    <w:rsid w:val="007A2F3C"/>
    <w:rsid w:val="007A3004"/>
    <w:rsid w:val="007A3229"/>
    <w:rsid w:val="007A33DE"/>
    <w:rsid w:val="007A357B"/>
    <w:rsid w:val="007A369B"/>
    <w:rsid w:val="007A3739"/>
    <w:rsid w:val="007A38E4"/>
    <w:rsid w:val="007A38FA"/>
    <w:rsid w:val="007A39C0"/>
    <w:rsid w:val="007A3AA9"/>
    <w:rsid w:val="007A3AD4"/>
    <w:rsid w:val="007A3B46"/>
    <w:rsid w:val="007A3B6A"/>
    <w:rsid w:val="007A3CF3"/>
    <w:rsid w:val="007A3D16"/>
    <w:rsid w:val="007A3DAE"/>
    <w:rsid w:val="007A3E19"/>
    <w:rsid w:val="007A3E1B"/>
    <w:rsid w:val="007A3F12"/>
    <w:rsid w:val="007A478C"/>
    <w:rsid w:val="007A48EE"/>
    <w:rsid w:val="007A4A00"/>
    <w:rsid w:val="007A4CAE"/>
    <w:rsid w:val="007A4D30"/>
    <w:rsid w:val="007A4DD8"/>
    <w:rsid w:val="007A4F01"/>
    <w:rsid w:val="007A521F"/>
    <w:rsid w:val="007A528E"/>
    <w:rsid w:val="007A5317"/>
    <w:rsid w:val="007A540D"/>
    <w:rsid w:val="007A5616"/>
    <w:rsid w:val="007A561D"/>
    <w:rsid w:val="007A5835"/>
    <w:rsid w:val="007A5997"/>
    <w:rsid w:val="007A59DC"/>
    <w:rsid w:val="007A5AC1"/>
    <w:rsid w:val="007A5E0F"/>
    <w:rsid w:val="007A5E54"/>
    <w:rsid w:val="007A5FD2"/>
    <w:rsid w:val="007A6004"/>
    <w:rsid w:val="007A6329"/>
    <w:rsid w:val="007A6387"/>
    <w:rsid w:val="007A6554"/>
    <w:rsid w:val="007A6560"/>
    <w:rsid w:val="007A65F2"/>
    <w:rsid w:val="007A678F"/>
    <w:rsid w:val="007A688A"/>
    <w:rsid w:val="007A68F0"/>
    <w:rsid w:val="007A6930"/>
    <w:rsid w:val="007A6A43"/>
    <w:rsid w:val="007A6AA2"/>
    <w:rsid w:val="007A6E84"/>
    <w:rsid w:val="007A6FB5"/>
    <w:rsid w:val="007A7374"/>
    <w:rsid w:val="007A7403"/>
    <w:rsid w:val="007A7428"/>
    <w:rsid w:val="007A75F6"/>
    <w:rsid w:val="007A7742"/>
    <w:rsid w:val="007A77E2"/>
    <w:rsid w:val="007A77F0"/>
    <w:rsid w:val="007A784F"/>
    <w:rsid w:val="007A7905"/>
    <w:rsid w:val="007A7B5B"/>
    <w:rsid w:val="007A7D13"/>
    <w:rsid w:val="007A7D50"/>
    <w:rsid w:val="007A7EC2"/>
    <w:rsid w:val="007B0055"/>
    <w:rsid w:val="007B00E0"/>
    <w:rsid w:val="007B0173"/>
    <w:rsid w:val="007B01CD"/>
    <w:rsid w:val="007B027B"/>
    <w:rsid w:val="007B02AF"/>
    <w:rsid w:val="007B040C"/>
    <w:rsid w:val="007B05B6"/>
    <w:rsid w:val="007B067E"/>
    <w:rsid w:val="007B0682"/>
    <w:rsid w:val="007B07E6"/>
    <w:rsid w:val="007B0CF8"/>
    <w:rsid w:val="007B0D04"/>
    <w:rsid w:val="007B11C7"/>
    <w:rsid w:val="007B12AC"/>
    <w:rsid w:val="007B1394"/>
    <w:rsid w:val="007B1433"/>
    <w:rsid w:val="007B1461"/>
    <w:rsid w:val="007B14C0"/>
    <w:rsid w:val="007B1595"/>
    <w:rsid w:val="007B1783"/>
    <w:rsid w:val="007B1875"/>
    <w:rsid w:val="007B1B05"/>
    <w:rsid w:val="007B1C37"/>
    <w:rsid w:val="007B1C4D"/>
    <w:rsid w:val="007B1C8D"/>
    <w:rsid w:val="007B1D28"/>
    <w:rsid w:val="007B1FF3"/>
    <w:rsid w:val="007B2334"/>
    <w:rsid w:val="007B2360"/>
    <w:rsid w:val="007B240F"/>
    <w:rsid w:val="007B2428"/>
    <w:rsid w:val="007B2516"/>
    <w:rsid w:val="007B26F5"/>
    <w:rsid w:val="007B28D2"/>
    <w:rsid w:val="007B2A46"/>
    <w:rsid w:val="007B2CAA"/>
    <w:rsid w:val="007B2D97"/>
    <w:rsid w:val="007B2E2A"/>
    <w:rsid w:val="007B3039"/>
    <w:rsid w:val="007B3049"/>
    <w:rsid w:val="007B309D"/>
    <w:rsid w:val="007B3116"/>
    <w:rsid w:val="007B3208"/>
    <w:rsid w:val="007B337E"/>
    <w:rsid w:val="007B3551"/>
    <w:rsid w:val="007B3866"/>
    <w:rsid w:val="007B39D9"/>
    <w:rsid w:val="007B3A48"/>
    <w:rsid w:val="007B3AC1"/>
    <w:rsid w:val="007B3D48"/>
    <w:rsid w:val="007B4083"/>
    <w:rsid w:val="007B4102"/>
    <w:rsid w:val="007B4157"/>
    <w:rsid w:val="007B43F1"/>
    <w:rsid w:val="007B4454"/>
    <w:rsid w:val="007B44D8"/>
    <w:rsid w:val="007B44E3"/>
    <w:rsid w:val="007B4793"/>
    <w:rsid w:val="007B47A0"/>
    <w:rsid w:val="007B484D"/>
    <w:rsid w:val="007B4850"/>
    <w:rsid w:val="007B4914"/>
    <w:rsid w:val="007B49E6"/>
    <w:rsid w:val="007B4AF8"/>
    <w:rsid w:val="007B4C36"/>
    <w:rsid w:val="007B4FDE"/>
    <w:rsid w:val="007B5198"/>
    <w:rsid w:val="007B52D3"/>
    <w:rsid w:val="007B53BC"/>
    <w:rsid w:val="007B53DD"/>
    <w:rsid w:val="007B5535"/>
    <w:rsid w:val="007B5678"/>
    <w:rsid w:val="007B5859"/>
    <w:rsid w:val="007B598B"/>
    <w:rsid w:val="007B59B6"/>
    <w:rsid w:val="007B5B19"/>
    <w:rsid w:val="007B5BCB"/>
    <w:rsid w:val="007B5C4A"/>
    <w:rsid w:val="007B5EB2"/>
    <w:rsid w:val="007B5EDF"/>
    <w:rsid w:val="007B5F04"/>
    <w:rsid w:val="007B609C"/>
    <w:rsid w:val="007B60C1"/>
    <w:rsid w:val="007B6308"/>
    <w:rsid w:val="007B63CB"/>
    <w:rsid w:val="007B644B"/>
    <w:rsid w:val="007B666C"/>
    <w:rsid w:val="007B6948"/>
    <w:rsid w:val="007B6A9F"/>
    <w:rsid w:val="007B6AB3"/>
    <w:rsid w:val="007B6E4D"/>
    <w:rsid w:val="007B6ECA"/>
    <w:rsid w:val="007B6EE8"/>
    <w:rsid w:val="007B6FF9"/>
    <w:rsid w:val="007B700E"/>
    <w:rsid w:val="007B71EC"/>
    <w:rsid w:val="007B72BA"/>
    <w:rsid w:val="007B7471"/>
    <w:rsid w:val="007B7478"/>
    <w:rsid w:val="007B751A"/>
    <w:rsid w:val="007B7999"/>
    <w:rsid w:val="007B7A28"/>
    <w:rsid w:val="007B7BF4"/>
    <w:rsid w:val="007B7C33"/>
    <w:rsid w:val="007B7C9D"/>
    <w:rsid w:val="007B7C9F"/>
    <w:rsid w:val="007B7D0F"/>
    <w:rsid w:val="007B7D52"/>
    <w:rsid w:val="007C0384"/>
    <w:rsid w:val="007C04E0"/>
    <w:rsid w:val="007C0818"/>
    <w:rsid w:val="007C0890"/>
    <w:rsid w:val="007C09D3"/>
    <w:rsid w:val="007C0A63"/>
    <w:rsid w:val="007C0A80"/>
    <w:rsid w:val="007C0C6A"/>
    <w:rsid w:val="007C0E49"/>
    <w:rsid w:val="007C0EBE"/>
    <w:rsid w:val="007C0F35"/>
    <w:rsid w:val="007C1227"/>
    <w:rsid w:val="007C1318"/>
    <w:rsid w:val="007C1601"/>
    <w:rsid w:val="007C1712"/>
    <w:rsid w:val="007C171E"/>
    <w:rsid w:val="007C1A05"/>
    <w:rsid w:val="007C1CAC"/>
    <w:rsid w:val="007C1EA0"/>
    <w:rsid w:val="007C2003"/>
    <w:rsid w:val="007C2249"/>
    <w:rsid w:val="007C255F"/>
    <w:rsid w:val="007C262F"/>
    <w:rsid w:val="007C26E8"/>
    <w:rsid w:val="007C2936"/>
    <w:rsid w:val="007C2992"/>
    <w:rsid w:val="007C2A3A"/>
    <w:rsid w:val="007C2BDF"/>
    <w:rsid w:val="007C2E42"/>
    <w:rsid w:val="007C3001"/>
    <w:rsid w:val="007C3191"/>
    <w:rsid w:val="007C32A5"/>
    <w:rsid w:val="007C35E1"/>
    <w:rsid w:val="007C3754"/>
    <w:rsid w:val="007C3770"/>
    <w:rsid w:val="007C379D"/>
    <w:rsid w:val="007C37B3"/>
    <w:rsid w:val="007C38B5"/>
    <w:rsid w:val="007C3921"/>
    <w:rsid w:val="007C3998"/>
    <w:rsid w:val="007C3AE2"/>
    <w:rsid w:val="007C3B4B"/>
    <w:rsid w:val="007C3BB8"/>
    <w:rsid w:val="007C3D96"/>
    <w:rsid w:val="007C3F67"/>
    <w:rsid w:val="007C3F6A"/>
    <w:rsid w:val="007C4043"/>
    <w:rsid w:val="007C40C9"/>
    <w:rsid w:val="007C427F"/>
    <w:rsid w:val="007C42CA"/>
    <w:rsid w:val="007C4314"/>
    <w:rsid w:val="007C43BE"/>
    <w:rsid w:val="007C43D4"/>
    <w:rsid w:val="007C4492"/>
    <w:rsid w:val="007C48E5"/>
    <w:rsid w:val="007C4909"/>
    <w:rsid w:val="007C4B38"/>
    <w:rsid w:val="007C4E28"/>
    <w:rsid w:val="007C4F23"/>
    <w:rsid w:val="007C4FDA"/>
    <w:rsid w:val="007C50EF"/>
    <w:rsid w:val="007C513D"/>
    <w:rsid w:val="007C51E9"/>
    <w:rsid w:val="007C521E"/>
    <w:rsid w:val="007C52F9"/>
    <w:rsid w:val="007C5431"/>
    <w:rsid w:val="007C5492"/>
    <w:rsid w:val="007C54FC"/>
    <w:rsid w:val="007C5506"/>
    <w:rsid w:val="007C572D"/>
    <w:rsid w:val="007C58AD"/>
    <w:rsid w:val="007C59ED"/>
    <w:rsid w:val="007C5A12"/>
    <w:rsid w:val="007C5A62"/>
    <w:rsid w:val="007C5C2A"/>
    <w:rsid w:val="007C5C2F"/>
    <w:rsid w:val="007C5D88"/>
    <w:rsid w:val="007C5E3E"/>
    <w:rsid w:val="007C5E66"/>
    <w:rsid w:val="007C5F03"/>
    <w:rsid w:val="007C6048"/>
    <w:rsid w:val="007C6078"/>
    <w:rsid w:val="007C60B3"/>
    <w:rsid w:val="007C619A"/>
    <w:rsid w:val="007C61A5"/>
    <w:rsid w:val="007C6222"/>
    <w:rsid w:val="007C62CF"/>
    <w:rsid w:val="007C6419"/>
    <w:rsid w:val="007C64E1"/>
    <w:rsid w:val="007C693B"/>
    <w:rsid w:val="007C6CA1"/>
    <w:rsid w:val="007C706F"/>
    <w:rsid w:val="007C70F6"/>
    <w:rsid w:val="007C71D5"/>
    <w:rsid w:val="007C77E9"/>
    <w:rsid w:val="007C79DE"/>
    <w:rsid w:val="007C7B3F"/>
    <w:rsid w:val="007C7D83"/>
    <w:rsid w:val="007D00B5"/>
    <w:rsid w:val="007D00D4"/>
    <w:rsid w:val="007D0158"/>
    <w:rsid w:val="007D04D9"/>
    <w:rsid w:val="007D04F1"/>
    <w:rsid w:val="007D0606"/>
    <w:rsid w:val="007D0626"/>
    <w:rsid w:val="007D0746"/>
    <w:rsid w:val="007D078B"/>
    <w:rsid w:val="007D0A32"/>
    <w:rsid w:val="007D0C3B"/>
    <w:rsid w:val="007D0DBB"/>
    <w:rsid w:val="007D0DCB"/>
    <w:rsid w:val="007D0E1C"/>
    <w:rsid w:val="007D0F31"/>
    <w:rsid w:val="007D0FC3"/>
    <w:rsid w:val="007D1121"/>
    <w:rsid w:val="007D1274"/>
    <w:rsid w:val="007D1BFC"/>
    <w:rsid w:val="007D1D37"/>
    <w:rsid w:val="007D1EE0"/>
    <w:rsid w:val="007D1F80"/>
    <w:rsid w:val="007D2291"/>
    <w:rsid w:val="007D2346"/>
    <w:rsid w:val="007D247E"/>
    <w:rsid w:val="007D26A1"/>
    <w:rsid w:val="007D280C"/>
    <w:rsid w:val="007D2984"/>
    <w:rsid w:val="007D2A06"/>
    <w:rsid w:val="007D2A11"/>
    <w:rsid w:val="007D2A3E"/>
    <w:rsid w:val="007D2AEC"/>
    <w:rsid w:val="007D2B61"/>
    <w:rsid w:val="007D2D71"/>
    <w:rsid w:val="007D2F65"/>
    <w:rsid w:val="007D31CE"/>
    <w:rsid w:val="007D33FD"/>
    <w:rsid w:val="007D356F"/>
    <w:rsid w:val="007D3706"/>
    <w:rsid w:val="007D370A"/>
    <w:rsid w:val="007D394E"/>
    <w:rsid w:val="007D3A08"/>
    <w:rsid w:val="007D3AA7"/>
    <w:rsid w:val="007D3ABE"/>
    <w:rsid w:val="007D3B13"/>
    <w:rsid w:val="007D3BE7"/>
    <w:rsid w:val="007D3C2C"/>
    <w:rsid w:val="007D3C48"/>
    <w:rsid w:val="007D3D94"/>
    <w:rsid w:val="007D3DBD"/>
    <w:rsid w:val="007D3FE3"/>
    <w:rsid w:val="007D4282"/>
    <w:rsid w:val="007D43C5"/>
    <w:rsid w:val="007D44DD"/>
    <w:rsid w:val="007D46EE"/>
    <w:rsid w:val="007D4851"/>
    <w:rsid w:val="007D4870"/>
    <w:rsid w:val="007D48FA"/>
    <w:rsid w:val="007D4981"/>
    <w:rsid w:val="007D4A61"/>
    <w:rsid w:val="007D4B3A"/>
    <w:rsid w:val="007D4B55"/>
    <w:rsid w:val="007D4CE1"/>
    <w:rsid w:val="007D4DE7"/>
    <w:rsid w:val="007D511F"/>
    <w:rsid w:val="007D5258"/>
    <w:rsid w:val="007D531C"/>
    <w:rsid w:val="007D5478"/>
    <w:rsid w:val="007D54AB"/>
    <w:rsid w:val="007D560A"/>
    <w:rsid w:val="007D573E"/>
    <w:rsid w:val="007D5960"/>
    <w:rsid w:val="007D5B64"/>
    <w:rsid w:val="007D5B88"/>
    <w:rsid w:val="007D5BF4"/>
    <w:rsid w:val="007D5E96"/>
    <w:rsid w:val="007D5F67"/>
    <w:rsid w:val="007D5F83"/>
    <w:rsid w:val="007D6290"/>
    <w:rsid w:val="007D6490"/>
    <w:rsid w:val="007D6854"/>
    <w:rsid w:val="007D6B0F"/>
    <w:rsid w:val="007D6EE3"/>
    <w:rsid w:val="007D7058"/>
    <w:rsid w:val="007D7119"/>
    <w:rsid w:val="007D75D9"/>
    <w:rsid w:val="007D75F9"/>
    <w:rsid w:val="007D77FF"/>
    <w:rsid w:val="007D79A7"/>
    <w:rsid w:val="007D7A47"/>
    <w:rsid w:val="007D7C1E"/>
    <w:rsid w:val="007D7D6E"/>
    <w:rsid w:val="007D7FB8"/>
    <w:rsid w:val="007E00BB"/>
    <w:rsid w:val="007E0248"/>
    <w:rsid w:val="007E02A4"/>
    <w:rsid w:val="007E0391"/>
    <w:rsid w:val="007E039E"/>
    <w:rsid w:val="007E0520"/>
    <w:rsid w:val="007E06A3"/>
    <w:rsid w:val="007E076D"/>
    <w:rsid w:val="007E07B9"/>
    <w:rsid w:val="007E0857"/>
    <w:rsid w:val="007E08B2"/>
    <w:rsid w:val="007E08D5"/>
    <w:rsid w:val="007E08E2"/>
    <w:rsid w:val="007E0A46"/>
    <w:rsid w:val="007E0A54"/>
    <w:rsid w:val="007E0A60"/>
    <w:rsid w:val="007E0B62"/>
    <w:rsid w:val="007E0B8B"/>
    <w:rsid w:val="007E0CAE"/>
    <w:rsid w:val="007E0F2B"/>
    <w:rsid w:val="007E1069"/>
    <w:rsid w:val="007E10D5"/>
    <w:rsid w:val="007E147B"/>
    <w:rsid w:val="007E1602"/>
    <w:rsid w:val="007E18CD"/>
    <w:rsid w:val="007E199B"/>
    <w:rsid w:val="007E1B71"/>
    <w:rsid w:val="007E1B7B"/>
    <w:rsid w:val="007E1C33"/>
    <w:rsid w:val="007E1C34"/>
    <w:rsid w:val="007E1C5B"/>
    <w:rsid w:val="007E2039"/>
    <w:rsid w:val="007E23BF"/>
    <w:rsid w:val="007E24A5"/>
    <w:rsid w:val="007E24FB"/>
    <w:rsid w:val="007E261A"/>
    <w:rsid w:val="007E270F"/>
    <w:rsid w:val="007E2B35"/>
    <w:rsid w:val="007E2CBA"/>
    <w:rsid w:val="007E2F36"/>
    <w:rsid w:val="007E30BF"/>
    <w:rsid w:val="007E32B5"/>
    <w:rsid w:val="007E3396"/>
    <w:rsid w:val="007E34A9"/>
    <w:rsid w:val="007E34CB"/>
    <w:rsid w:val="007E34FC"/>
    <w:rsid w:val="007E3517"/>
    <w:rsid w:val="007E3556"/>
    <w:rsid w:val="007E35E9"/>
    <w:rsid w:val="007E37EC"/>
    <w:rsid w:val="007E3831"/>
    <w:rsid w:val="007E387C"/>
    <w:rsid w:val="007E38AC"/>
    <w:rsid w:val="007E38BB"/>
    <w:rsid w:val="007E3A45"/>
    <w:rsid w:val="007E3A54"/>
    <w:rsid w:val="007E3D94"/>
    <w:rsid w:val="007E4122"/>
    <w:rsid w:val="007E43D5"/>
    <w:rsid w:val="007E4AAE"/>
    <w:rsid w:val="007E4B1A"/>
    <w:rsid w:val="007E4C64"/>
    <w:rsid w:val="007E4C99"/>
    <w:rsid w:val="007E4CB7"/>
    <w:rsid w:val="007E4CD1"/>
    <w:rsid w:val="007E4E2F"/>
    <w:rsid w:val="007E4F28"/>
    <w:rsid w:val="007E5115"/>
    <w:rsid w:val="007E5178"/>
    <w:rsid w:val="007E52CB"/>
    <w:rsid w:val="007E532C"/>
    <w:rsid w:val="007E55A9"/>
    <w:rsid w:val="007E5B06"/>
    <w:rsid w:val="007E5C76"/>
    <w:rsid w:val="007E5DA7"/>
    <w:rsid w:val="007E5ED4"/>
    <w:rsid w:val="007E5FBF"/>
    <w:rsid w:val="007E6413"/>
    <w:rsid w:val="007E652C"/>
    <w:rsid w:val="007E66ED"/>
    <w:rsid w:val="007E679D"/>
    <w:rsid w:val="007E6875"/>
    <w:rsid w:val="007E6A8A"/>
    <w:rsid w:val="007E6F63"/>
    <w:rsid w:val="007E73A6"/>
    <w:rsid w:val="007E74FA"/>
    <w:rsid w:val="007E7653"/>
    <w:rsid w:val="007E772D"/>
    <w:rsid w:val="007E77E8"/>
    <w:rsid w:val="007E7893"/>
    <w:rsid w:val="007E7ABF"/>
    <w:rsid w:val="007E7CB1"/>
    <w:rsid w:val="007E7D0E"/>
    <w:rsid w:val="007E7D18"/>
    <w:rsid w:val="007F005A"/>
    <w:rsid w:val="007F00B8"/>
    <w:rsid w:val="007F011F"/>
    <w:rsid w:val="007F04E9"/>
    <w:rsid w:val="007F0556"/>
    <w:rsid w:val="007F060D"/>
    <w:rsid w:val="007F0B44"/>
    <w:rsid w:val="007F0B77"/>
    <w:rsid w:val="007F0C96"/>
    <w:rsid w:val="007F1199"/>
    <w:rsid w:val="007F122F"/>
    <w:rsid w:val="007F1325"/>
    <w:rsid w:val="007F153F"/>
    <w:rsid w:val="007F1563"/>
    <w:rsid w:val="007F15BE"/>
    <w:rsid w:val="007F1625"/>
    <w:rsid w:val="007F172B"/>
    <w:rsid w:val="007F17BC"/>
    <w:rsid w:val="007F1845"/>
    <w:rsid w:val="007F191C"/>
    <w:rsid w:val="007F1A21"/>
    <w:rsid w:val="007F1B3E"/>
    <w:rsid w:val="007F1BF9"/>
    <w:rsid w:val="007F1DE4"/>
    <w:rsid w:val="007F1E09"/>
    <w:rsid w:val="007F1EAE"/>
    <w:rsid w:val="007F1F5D"/>
    <w:rsid w:val="007F1F63"/>
    <w:rsid w:val="007F2095"/>
    <w:rsid w:val="007F22B2"/>
    <w:rsid w:val="007F2364"/>
    <w:rsid w:val="007F23C4"/>
    <w:rsid w:val="007F24C8"/>
    <w:rsid w:val="007F2712"/>
    <w:rsid w:val="007F28E8"/>
    <w:rsid w:val="007F290A"/>
    <w:rsid w:val="007F29EA"/>
    <w:rsid w:val="007F2B54"/>
    <w:rsid w:val="007F2BAC"/>
    <w:rsid w:val="007F2CA4"/>
    <w:rsid w:val="007F3004"/>
    <w:rsid w:val="007F30B5"/>
    <w:rsid w:val="007F3123"/>
    <w:rsid w:val="007F329E"/>
    <w:rsid w:val="007F330B"/>
    <w:rsid w:val="007F3416"/>
    <w:rsid w:val="007F35DE"/>
    <w:rsid w:val="007F36B3"/>
    <w:rsid w:val="007F38C3"/>
    <w:rsid w:val="007F3DD0"/>
    <w:rsid w:val="007F3EE4"/>
    <w:rsid w:val="007F3FBA"/>
    <w:rsid w:val="007F3FBD"/>
    <w:rsid w:val="007F3FCF"/>
    <w:rsid w:val="007F4265"/>
    <w:rsid w:val="007F42F6"/>
    <w:rsid w:val="007F454D"/>
    <w:rsid w:val="007F4566"/>
    <w:rsid w:val="007F481F"/>
    <w:rsid w:val="007F4868"/>
    <w:rsid w:val="007F491F"/>
    <w:rsid w:val="007F4D8B"/>
    <w:rsid w:val="007F4FB6"/>
    <w:rsid w:val="007F50A5"/>
    <w:rsid w:val="007F528E"/>
    <w:rsid w:val="007F52C8"/>
    <w:rsid w:val="007F52EB"/>
    <w:rsid w:val="007F5525"/>
    <w:rsid w:val="007F556E"/>
    <w:rsid w:val="007F5733"/>
    <w:rsid w:val="007F5951"/>
    <w:rsid w:val="007F5AAA"/>
    <w:rsid w:val="007F5ADA"/>
    <w:rsid w:val="007F5CD6"/>
    <w:rsid w:val="007F5E4B"/>
    <w:rsid w:val="007F5F40"/>
    <w:rsid w:val="007F5F80"/>
    <w:rsid w:val="007F600D"/>
    <w:rsid w:val="007F6010"/>
    <w:rsid w:val="007F6210"/>
    <w:rsid w:val="007F646B"/>
    <w:rsid w:val="007F6559"/>
    <w:rsid w:val="007F65F7"/>
    <w:rsid w:val="007F6852"/>
    <w:rsid w:val="007F6854"/>
    <w:rsid w:val="007F6AD8"/>
    <w:rsid w:val="007F6B42"/>
    <w:rsid w:val="007F6BFD"/>
    <w:rsid w:val="007F6C20"/>
    <w:rsid w:val="007F6E75"/>
    <w:rsid w:val="007F6EF0"/>
    <w:rsid w:val="007F6FB6"/>
    <w:rsid w:val="007F6FBA"/>
    <w:rsid w:val="007F6FEB"/>
    <w:rsid w:val="007F714E"/>
    <w:rsid w:val="007F7249"/>
    <w:rsid w:val="007F72DE"/>
    <w:rsid w:val="007F732F"/>
    <w:rsid w:val="007F746B"/>
    <w:rsid w:val="007F761F"/>
    <w:rsid w:val="007F797F"/>
    <w:rsid w:val="007F79C5"/>
    <w:rsid w:val="007F79C6"/>
    <w:rsid w:val="007F7D52"/>
    <w:rsid w:val="007F7E0C"/>
    <w:rsid w:val="007F7F20"/>
    <w:rsid w:val="0080008A"/>
    <w:rsid w:val="0080015A"/>
    <w:rsid w:val="0080017B"/>
    <w:rsid w:val="008004B1"/>
    <w:rsid w:val="008007CF"/>
    <w:rsid w:val="008009BC"/>
    <w:rsid w:val="00800A3D"/>
    <w:rsid w:val="00800B77"/>
    <w:rsid w:val="00800CED"/>
    <w:rsid w:val="00800E34"/>
    <w:rsid w:val="00800E85"/>
    <w:rsid w:val="00801077"/>
    <w:rsid w:val="0080108E"/>
    <w:rsid w:val="00801100"/>
    <w:rsid w:val="00801309"/>
    <w:rsid w:val="0080181B"/>
    <w:rsid w:val="008018F4"/>
    <w:rsid w:val="00801985"/>
    <w:rsid w:val="008019ED"/>
    <w:rsid w:val="00801E05"/>
    <w:rsid w:val="00801E89"/>
    <w:rsid w:val="00801EBB"/>
    <w:rsid w:val="0080213A"/>
    <w:rsid w:val="008021CE"/>
    <w:rsid w:val="008021D8"/>
    <w:rsid w:val="008025BD"/>
    <w:rsid w:val="00802762"/>
    <w:rsid w:val="00802895"/>
    <w:rsid w:val="00802B48"/>
    <w:rsid w:val="00802D0F"/>
    <w:rsid w:val="00802EBC"/>
    <w:rsid w:val="00802F72"/>
    <w:rsid w:val="00802FB7"/>
    <w:rsid w:val="00803201"/>
    <w:rsid w:val="008032AB"/>
    <w:rsid w:val="008032EE"/>
    <w:rsid w:val="0080332C"/>
    <w:rsid w:val="008033F6"/>
    <w:rsid w:val="0080343E"/>
    <w:rsid w:val="008034B3"/>
    <w:rsid w:val="00803630"/>
    <w:rsid w:val="00803B64"/>
    <w:rsid w:val="00803B86"/>
    <w:rsid w:val="00803F98"/>
    <w:rsid w:val="00804154"/>
    <w:rsid w:val="008041CC"/>
    <w:rsid w:val="0080426C"/>
    <w:rsid w:val="00804327"/>
    <w:rsid w:val="00804369"/>
    <w:rsid w:val="008043E1"/>
    <w:rsid w:val="008045C0"/>
    <w:rsid w:val="00804628"/>
    <w:rsid w:val="0080469F"/>
    <w:rsid w:val="008048C6"/>
    <w:rsid w:val="00804B82"/>
    <w:rsid w:val="00804BBC"/>
    <w:rsid w:val="00804C1F"/>
    <w:rsid w:val="00804C43"/>
    <w:rsid w:val="00804DB2"/>
    <w:rsid w:val="00804DF5"/>
    <w:rsid w:val="00804FD2"/>
    <w:rsid w:val="0080518B"/>
    <w:rsid w:val="008051C3"/>
    <w:rsid w:val="008055BA"/>
    <w:rsid w:val="008056AF"/>
    <w:rsid w:val="008058C2"/>
    <w:rsid w:val="008058F6"/>
    <w:rsid w:val="00805B9D"/>
    <w:rsid w:val="00805C7B"/>
    <w:rsid w:val="0080617E"/>
    <w:rsid w:val="0080628C"/>
    <w:rsid w:val="008062C4"/>
    <w:rsid w:val="00806356"/>
    <w:rsid w:val="00806374"/>
    <w:rsid w:val="00806383"/>
    <w:rsid w:val="0080667B"/>
    <w:rsid w:val="00806776"/>
    <w:rsid w:val="0080684D"/>
    <w:rsid w:val="0080687C"/>
    <w:rsid w:val="00806AAB"/>
    <w:rsid w:val="00806BE4"/>
    <w:rsid w:val="00806E67"/>
    <w:rsid w:val="00806EA2"/>
    <w:rsid w:val="00806F74"/>
    <w:rsid w:val="00806F85"/>
    <w:rsid w:val="00806FF7"/>
    <w:rsid w:val="00807092"/>
    <w:rsid w:val="0080719F"/>
    <w:rsid w:val="0080760A"/>
    <w:rsid w:val="008076C8"/>
    <w:rsid w:val="008076F7"/>
    <w:rsid w:val="0080772F"/>
    <w:rsid w:val="00807770"/>
    <w:rsid w:val="00807A7C"/>
    <w:rsid w:val="00807D1F"/>
    <w:rsid w:val="00807D65"/>
    <w:rsid w:val="00807E9B"/>
    <w:rsid w:val="00807F78"/>
    <w:rsid w:val="00810364"/>
    <w:rsid w:val="008106A2"/>
    <w:rsid w:val="008106BF"/>
    <w:rsid w:val="00810778"/>
    <w:rsid w:val="00810808"/>
    <w:rsid w:val="008108D8"/>
    <w:rsid w:val="00810A03"/>
    <w:rsid w:val="00810AD9"/>
    <w:rsid w:val="00810ADD"/>
    <w:rsid w:val="00810B86"/>
    <w:rsid w:val="00810B9A"/>
    <w:rsid w:val="00810D82"/>
    <w:rsid w:val="0081108A"/>
    <w:rsid w:val="00811182"/>
    <w:rsid w:val="008111CE"/>
    <w:rsid w:val="00811248"/>
    <w:rsid w:val="008112FE"/>
    <w:rsid w:val="0081136E"/>
    <w:rsid w:val="00811A18"/>
    <w:rsid w:val="00811AC8"/>
    <w:rsid w:val="00811B7C"/>
    <w:rsid w:val="00811BDA"/>
    <w:rsid w:val="00811CAF"/>
    <w:rsid w:val="00811CB3"/>
    <w:rsid w:val="00811D48"/>
    <w:rsid w:val="00812226"/>
    <w:rsid w:val="008123AE"/>
    <w:rsid w:val="00812551"/>
    <w:rsid w:val="008127A3"/>
    <w:rsid w:val="0081287F"/>
    <w:rsid w:val="0081290F"/>
    <w:rsid w:val="00812A83"/>
    <w:rsid w:val="00812C20"/>
    <w:rsid w:val="00812D1B"/>
    <w:rsid w:val="00812D4A"/>
    <w:rsid w:val="00813022"/>
    <w:rsid w:val="00813104"/>
    <w:rsid w:val="00813150"/>
    <w:rsid w:val="0081315C"/>
    <w:rsid w:val="008132B6"/>
    <w:rsid w:val="008134AC"/>
    <w:rsid w:val="0081367C"/>
    <w:rsid w:val="008137D2"/>
    <w:rsid w:val="008139A4"/>
    <w:rsid w:val="008139B0"/>
    <w:rsid w:val="00813D6F"/>
    <w:rsid w:val="00813E6D"/>
    <w:rsid w:val="00813F4D"/>
    <w:rsid w:val="00813F4E"/>
    <w:rsid w:val="00813FA2"/>
    <w:rsid w:val="00814089"/>
    <w:rsid w:val="008140F9"/>
    <w:rsid w:val="008141B0"/>
    <w:rsid w:val="00814264"/>
    <w:rsid w:val="008142DC"/>
    <w:rsid w:val="00814382"/>
    <w:rsid w:val="008143C1"/>
    <w:rsid w:val="00814609"/>
    <w:rsid w:val="00814664"/>
    <w:rsid w:val="0081468B"/>
    <w:rsid w:val="008146AB"/>
    <w:rsid w:val="0081486D"/>
    <w:rsid w:val="00814871"/>
    <w:rsid w:val="00814931"/>
    <w:rsid w:val="008149B6"/>
    <w:rsid w:val="008149CD"/>
    <w:rsid w:val="00814E3C"/>
    <w:rsid w:val="0081517E"/>
    <w:rsid w:val="00815386"/>
    <w:rsid w:val="0081544B"/>
    <w:rsid w:val="00815465"/>
    <w:rsid w:val="00815639"/>
    <w:rsid w:val="0081575D"/>
    <w:rsid w:val="00815A5C"/>
    <w:rsid w:val="00815A88"/>
    <w:rsid w:val="00815AA2"/>
    <w:rsid w:val="00815BFE"/>
    <w:rsid w:val="00815C07"/>
    <w:rsid w:val="00815CB8"/>
    <w:rsid w:val="00815FDD"/>
    <w:rsid w:val="00816124"/>
    <w:rsid w:val="008161DB"/>
    <w:rsid w:val="008162AA"/>
    <w:rsid w:val="00816654"/>
    <w:rsid w:val="00816813"/>
    <w:rsid w:val="00816866"/>
    <w:rsid w:val="008168C4"/>
    <w:rsid w:val="00816BCF"/>
    <w:rsid w:val="00816D35"/>
    <w:rsid w:val="00816E29"/>
    <w:rsid w:val="00816F1C"/>
    <w:rsid w:val="00816F4E"/>
    <w:rsid w:val="00816F88"/>
    <w:rsid w:val="00817142"/>
    <w:rsid w:val="008172B4"/>
    <w:rsid w:val="00817310"/>
    <w:rsid w:val="0081744E"/>
    <w:rsid w:val="0081769C"/>
    <w:rsid w:val="0081776D"/>
    <w:rsid w:val="00817850"/>
    <w:rsid w:val="008178C6"/>
    <w:rsid w:val="00817970"/>
    <w:rsid w:val="00817ADE"/>
    <w:rsid w:val="00817D83"/>
    <w:rsid w:val="00817EFE"/>
    <w:rsid w:val="00817FA3"/>
    <w:rsid w:val="008204C7"/>
    <w:rsid w:val="0082051A"/>
    <w:rsid w:val="0082072F"/>
    <w:rsid w:val="008207FE"/>
    <w:rsid w:val="0082083F"/>
    <w:rsid w:val="008208E0"/>
    <w:rsid w:val="008209DE"/>
    <w:rsid w:val="008209DF"/>
    <w:rsid w:val="00820B4B"/>
    <w:rsid w:val="00820C73"/>
    <w:rsid w:val="00820CF9"/>
    <w:rsid w:val="00820D0D"/>
    <w:rsid w:val="00820D22"/>
    <w:rsid w:val="00820D2E"/>
    <w:rsid w:val="00820D97"/>
    <w:rsid w:val="00820E85"/>
    <w:rsid w:val="00820EAB"/>
    <w:rsid w:val="00820F80"/>
    <w:rsid w:val="008210DB"/>
    <w:rsid w:val="008210E9"/>
    <w:rsid w:val="008216BC"/>
    <w:rsid w:val="00821801"/>
    <w:rsid w:val="00821A73"/>
    <w:rsid w:val="00821B3D"/>
    <w:rsid w:val="00821BB5"/>
    <w:rsid w:val="00821D20"/>
    <w:rsid w:val="00821FC8"/>
    <w:rsid w:val="00822014"/>
    <w:rsid w:val="00822055"/>
    <w:rsid w:val="00822089"/>
    <w:rsid w:val="008221A8"/>
    <w:rsid w:val="00822215"/>
    <w:rsid w:val="00822231"/>
    <w:rsid w:val="00822329"/>
    <w:rsid w:val="008223CD"/>
    <w:rsid w:val="00822515"/>
    <w:rsid w:val="008226CE"/>
    <w:rsid w:val="008227A8"/>
    <w:rsid w:val="00822976"/>
    <w:rsid w:val="00822C17"/>
    <w:rsid w:val="00822C75"/>
    <w:rsid w:val="00822CA2"/>
    <w:rsid w:val="00823154"/>
    <w:rsid w:val="00823200"/>
    <w:rsid w:val="008232F4"/>
    <w:rsid w:val="00823313"/>
    <w:rsid w:val="00823422"/>
    <w:rsid w:val="0082352A"/>
    <w:rsid w:val="00823617"/>
    <w:rsid w:val="0082383E"/>
    <w:rsid w:val="0082394B"/>
    <w:rsid w:val="00823AA1"/>
    <w:rsid w:val="00823B19"/>
    <w:rsid w:val="00823C5F"/>
    <w:rsid w:val="00823E1D"/>
    <w:rsid w:val="008240C2"/>
    <w:rsid w:val="0082422E"/>
    <w:rsid w:val="00824926"/>
    <w:rsid w:val="00824A32"/>
    <w:rsid w:val="00824A50"/>
    <w:rsid w:val="00824BC5"/>
    <w:rsid w:val="00824CF8"/>
    <w:rsid w:val="00824D07"/>
    <w:rsid w:val="00824E33"/>
    <w:rsid w:val="00824F82"/>
    <w:rsid w:val="0082501B"/>
    <w:rsid w:val="008250A4"/>
    <w:rsid w:val="0082531C"/>
    <w:rsid w:val="00825419"/>
    <w:rsid w:val="00825435"/>
    <w:rsid w:val="00825468"/>
    <w:rsid w:val="00825580"/>
    <w:rsid w:val="00825677"/>
    <w:rsid w:val="008256E5"/>
    <w:rsid w:val="00825738"/>
    <w:rsid w:val="008257E0"/>
    <w:rsid w:val="00825862"/>
    <w:rsid w:val="00826065"/>
    <w:rsid w:val="00826084"/>
    <w:rsid w:val="00826096"/>
    <w:rsid w:val="00826110"/>
    <w:rsid w:val="00826171"/>
    <w:rsid w:val="0082617B"/>
    <w:rsid w:val="008263D3"/>
    <w:rsid w:val="0082651C"/>
    <w:rsid w:val="008266DE"/>
    <w:rsid w:val="0082686D"/>
    <w:rsid w:val="0082693F"/>
    <w:rsid w:val="00826B0A"/>
    <w:rsid w:val="00826C4B"/>
    <w:rsid w:val="00826CD6"/>
    <w:rsid w:val="00826D05"/>
    <w:rsid w:val="00826E17"/>
    <w:rsid w:val="00826FF9"/>
    <w:rsid w:val="008274C8"/>
    <w:rsid w:val="008274EB"/>
    <w:rsid w:val="0082754E"/>
    <w:rsid w:val="00827861"/>
    <w:rsid w:val="0082786F"/>
    <w:rsid w:val="00827AC6"/>
    <w:rsid w:val="00827B56"/>
    <w:rsid w:val="00827DA6"/>
    <w:rsid w:val="00830006"/>
    <w:rsid w:val="00830111"/>
    <w:rsid w:val="008301B6"/>
    <w:rsid w:val="00830511"/>
    <w:rsid w:val="008305F4"/>
    <w:rsid w:val="008306EF"/>
    <w:rsid w:val="00830A6A"/>
    <w:rsid w:val="00830A6B"/>
    <w:rsid w:val="00831242"/>
    <w:rsid w:val="008312B5"/>
    <w:rsid w:val="008317CE"/>
    <w:rsid w:val="008318F6"/>
    <w:rsid w:val="00831A7C"/>
    <w:rsid w:val="00831BCF"/>
    <w:rsid w:val="00831C02"/>
    <w:rsid w:val="00831E26"/>
    <w:rsid w:val="00831F52"/>
    <w:rsid w:val="00832040"/>
    <w:rsid w:val="00832046"/>
    <w:rsid w:val="008321A5"/>
    <w:rsid w:val="008323A8"/>
    <w:rsid w:val="008324EB"/>
    <w:rsid w:val="00832543"/>
    <w:rsid w:val="00832991"/>
    <w:rsid w:val="00832A1D"/>
    <w:rsid w:val="00832CB2"/>
    <w:rsid w:val="00832DCA"/>
    <w:rsid w:val="00832DDB"/>
    <w:rsid w:val="00832E9B"/>
    <w:rsid w:val="00832EE8"/>
    <w:rsid w:val="0083302C"/>
    <w:rsid w:val="008331C1"/>
    <w:rsid w:val="008331E6"/>
    <w:rsid w:val="008332D2"/>
    <w:rsid w:val="0083345F"/>
    <w:rsid w:val="008334FE"/>
    <w:rsid w:val="00833737"/>
    <w:rsid w:val="00833741"/>
    <w:rsid w:val="0083380B"/>
    <w:rsid w:val="008338B6"/>
    <w:rsid w:val="008338E7"/>
    <w:rsid w:val="008338F9"/>
    <w:rsid w:val="00833ADF"/>
    <w:rsid w:val="00833B68"/>
    <w:rsid w:val="00833C40"/>
    <w:rsid w:val="00833E4D"/>
    <w:rsid w:val="00833F4A"/>
    <w:rsid w:val="00833FF2"/>
    <w:rsid w:val="00834125"/>
    <w:rsid w:val="00834166"/>
    <w:rsid w:val="008342AE"/>
    <w:rsid w:val="008342E3"/>
    <w:rsid w:val="008343BB"/>
    <w:rsid w:val="0083441F"/>
    <w:rsid w:val="00834522"/>
    <w:rsid w:val="0083453F"/>
    <w:rsid w:val="008345BE"/>
    <w:rsid w:val="0083460E"/>
    <w:rsid w:val="00834752"/>
    <w:rsid w:val="008347E5"/>
    <w:rsid w:val="008349BE"/>
    <w:rsid w:val="00834A7D"/>
    <w:rsid w:val="00834A96"/>
    <w:rsid w:val="00834AE6"/>
    <w:rsid w:val="00834C6D"/>
    <w:rsid w:val="00834C7D"/>
    <w:rsid w:val="00834CA0"/>
    <w:rsid w:val="00834D96"/>
    <w:rsid w:val="00834FAE"/>
    <w:rsid w:val="00834FAF"/>
    <w:rsid w:val="00834FBB"/>
    <w:rsid w:val="0083503A"/>
    <w:rsid w:val="008350C0"/>
    <w:rsid w:val="008353F0"/>
    <w:rsid w:val="008355C6"/>
    <w:rsid w:val="00835662"/>
    <w:rsid w:val="0083577D"/>
    <w:rsid w:val="008357E9"/>
    <w:rsid w:val="008358C9"/>
    <w:rsid w:val="008358ED"/>
    <w:rsid w:val="00835962"/>
    <w:rsid w:val="008359D9"/>
    <w:rsid w:val="00835A60"/>
    <w:rsid w:val="00835BA7"/>
    <w:rsid w:val="00835C79"/>
    <w:rsid w:val="00835CDA"/>
    <w:rsid w:val="00835D8E"/>
    <w:rsid w:val="00835F83"/>
    <w:rsid w:val="0083656D"/>
    <w:rsid w:val="0083658A"/>
    <w:rsid w:val="00836706"/>
    <w:rsid w:val="00836887"/>
    <w:rsid w:val="008368AE"/>
    <w:rsid w:val="00836937"/>
    <w:rsid w:val="00836999"/>
    <w:rsid w:val="00836B2D"/>
    <w:rsid w:val="00836B63"/>
    <w:rsid w:val="00836CA7"/>
    <w:rsid w:val="00836EBD"/>
    <w:rsid w:val="00836EC1"/>
    <w:rsid w:val="00836EF9"/>
    <w:rsid w:val="00836F7B"/>
    <w:rsid w:val="00837094"/>
    <w:rsid w:val="00837147"/>
    <w:rsid w:val="00837334"/>
    <w:rsid w:val="008374CB"/>
    <w:rsid w:val="008378F4"/>
    <w:rsid w:val="00837905"/>
    <w:rsid w:val="00837A61"/>
    <w:rsid w:val="00837BAA"/>
    <w:rsid w:val="00837EBA"/>
    <w:rsid w:val="008402FA"/>
    <w:rsid w:val="0084051B"/>
    <w:rsid w:val="008405F2"/>
    <w:rsid w:val="00840647"/>
    <w:rsid w:val="008406C7"/>
    <w:rsid w:val="00840726"/>
    <w:rsid w:val="00840892"/>
    <w:rsid w:val="0084093E"/>
    <w:rsid w:val="008409FA"/>
    <w:rsid w:val="00840A93"/>
    <w:rsid w:val="00840B06"/>
    <w:rsid w:val="00840BD2"/>
    <w:rsid w:val="00840C12"/>
    <w:rsid w:val="00840E60"/>
    <w:rsid w:val="00841097"/>
    <w:rsid w:val="00841319"/>
    <w:rsid w:val="0084133A"/>
    <w:rsid w:val="00841402"/>
    <w:rsid w:val="0084143B"/>
    <w:rsid w:val="00841478"/>
    <w:rsid w:val="008414E0"/>
    <w:rsid w:val="008419C7"/>
    <w:rsid w:val="008419FA"/>
    <w:rsid w:val="00841A11"/>
    <w:rsid w:val="00841BEA"/>
    <w:rsid w:val="00841C3B"/>
    <w:rsid w:val="00841DE2"/>
    <w:rsid w:val="00841F78"/>
    <w:rsid w:val="00841FBA"/>
    <w:rsid w:val="0084208F"/>
    <w:rsid w:val="008420C5"/>
    <w:rsid w:val="008420EC"/>
    <w:rsid w:val="0084212B"/>
    <w:rsid w:val="0084216C"/>
    <w:rsid w:val="00842298"/>
    <w:rsid w:val="0084245F"/>
    <w:rsid w:val="00842519"/>
    <w:rsid w:val="0084253B"/>
    <w:rsid w:val="0084273B"/>
    <w:rsid w:val="00842906"/>
    <w:rsid w:val="00842989"/>
    <w:rsid w:val="008429C8"/>
    <w:rsid w:val="008429DF"/>
    <w:rsid w:val="00842A0C"/>
    <w:rsid w:val="00842C5B"/>
    <w:rsid w:val="00842CBA"/>
    <w:rsid w:val="00842D22"/>
    <w:rsid w:val="00842DC6"/>
    <w:rsid w:val="00842DD1"/>
    <w:rsid w:val="00842F3E"/>
    <w:rsid w:val="008431A6"/>
    <w:rsid w:val="008434DC"/>
    <w:rsid w:val="00843674"/>
    <w:rsid w:val="008437CA"/>
    <w:rsid w:val="0084383D"/>
    <w:rsid w:val="00843BCE"/>
    <w:rsid w:val="00843DAB"/>
    <w:rsid w:val="00843E79"/>
    <w:rsid w:val="00843F30"/>
    <w:rsid w:val="00843FA3"/>
    <w:rsid w:val="00844229"/>
    <w:rsid w:val="008442B0"/>
    <w:rsid w:val="00844388"/>
    <w:rsid w:val="008444AF"/>
    <w:rsid w:val="008446BC"/>
    <w:rsid w:val="00844836"/>
    <w:rsid w:val="0084491D"/>
    <w:rsid w:val="00844940"/>
    <w:rsid w:val="00844ABE"/>
    <w:rsid w:val="00844B04"/>
    <w:rsid w:val="00844D2E"/>
    <w:rsid w:val="00844DD1"/>
    <w:rsid w:val="00844E59"/>
    <w:rsid w:val="00844E8F"/>
    <w:rsid w:val="00844F21"/>
    <w:rsid w:val="00844F62"/>
    <w:rsid w:val="00844F6A"/>
    <w:rsid w:val="008452D1"/>
    <w:rsid w:val="0084533B"/>
    <w:rsid w:val="008455B3"/>
    <w:rsid w:val="008455CB"/>
    <w:rsid w:val="008456E5"/>
    <w:rsid w:val="0084573E"/>
    <w:rsid w:val="00845862"/>
    <w:rsid w:val="00845A6D"/>
    <w:rsid w:val="00845CD2"/>
    <w:rsid w:val="00845D06"/>
    <w:rsid w:val="00845D12"/>
    <w:rsid w:val="008460FB"/>
    <w:rsid w:val="00846214"/>
    <w:rsid w:val="0084625B"/>
    <w:rsid w:val="008462A6"/>
    <w:rsid w:val="008462E9"/>
    <w:rsid w:val="00846549"/>
    <w:rsid w:val="0084659B"/>
    <w:rsid w:val="00846828"/>
    <w:rsid w:val="008468E1"/>
    <w:rsid w:val="0084691B"/>
    <w:rsid w:val="00846929"/>
    <w:rsid w:val="00846A61"/>
    <w:rsid w:val="00846AAB"/>
    <w:rsid w:val="00846B56"/>
    <w:rsid w:val="00846E64"/>
    <w:rsid w:val="00846EDE"/>
    <w:rsid w:val="00846F73"/>
    <w:rsid w:val="00847077"/>
    <w:rsid w:val="0084711B"/>
    <w:rsid w:val="0084718E"/>
    <w:rsid w:val="008471E7"/>
    <w:rsid w:val="0084745A"/>
    <w:rsid w:val="00847560"/>
    <w:rsid w:val="008476FC"/>
    <w:rsid w:val="0084791B"/>
    <w:rsid w:val="00847AC4"/>
    <w:rsid w:val="00847E1B"/>
    <w:rsid w:val="00847EBA"/>
    <w:rsid w:val="00847ED1"/>
    <w:rsid w:val="00847F18"/>
    <w:rsid w:val="00847FBE"/>
    <w:rsid w:val="0085024C"/>
    <w:rsid w:val="0085031D"/>
    <w:rsid w:val="0085035F"/>
    <w:rsid w:val="008504B3"/>
    <w:rsid w:val="0085057A"/>
    <w:rsid w:val="008506CE"/>
    <w:rsid w:val="00850710"/>
    <w:rsid w:val="008507A2"/>
    <w:rsid w:val="008508D7"/>
    <w:rsid w:val="00850979"/>
    <w:rsid w:val="00850BE3"/>
    <w:rsid w:val="00850D67"/>
    <w:rsid w:val="00850D98"/>
    <w:rsid w:val="00850E26"/>
    <w:rsid w:val="00850EFE"/>
    <w:rsid w:val="00850F39"/>
    <w:rsid w:val="00850F48"/>
    <w:rsid w:val="008510BF"/>
    <w:rsid w:val="0085126B"/>
    <w:rsid w:val="00851315"/>
    <w:rsid w:val="0085135F"/>
    <w:rsid w:val="008517D1"/>
    <w:rsid w:val="008517E4"/>
    <w:rsid w:val="0085188A"/>
    <w:rsid w:val="008519F5"/>
    <w:rsid w:val="00851A59"/>
    <w:rsid w:val="00851A85"/>
    <w:rsid w:val="00851D56"/>
    <w:rsid w:val="00851D96"/>
    <w:rsid w:val="00851DC7"/>
    <w:rsid w:val="00851E20"/>
    <w:rsid w:val="00851F74"/>
    <w:rsid w:val="00851FAD"/>
    <w:rsid w:val="00852024"/>
    <w:rsid w:val="00852055"/>
    <w:rsid w:val="00852127"/>
    <w:rsid w:val="00852177"/>
    <w:rsid w:val="00852189"/>
    <w:rsid w:val="00852283"/>
    <w:rsid w:val="00852360"/>
    <w:rsid w:val="008523DB"/>
    <w:rsid w:val="00852418"/>
    <w:rsid w:val="0085244D"/>
    <w:rsid w:val="008525AC"/>
    <w:rsid w:val="00852663"/>
    <w:rsid w:val="00852A9A"/>
    <w:rsid w:val="00852B0A"/>
    <w:rsid w:val="00852C0D"/>
    <w:rsid w:val="00852C1C"/>
    <w:rsid w:val="00852C6F"/>
    <w:rsid w:val="00852E2B"/>
    <w:rsid w:val="00853059"/>
    <w:rsid w:val="0085308D"/>
    <w:rsid w:val="00853152"/>
    <w:rsid w:val="008531D1"/>
    <w:rsid w:val="0085337B"/>
    <w:rsid w:val="00853405"/>
    <w:rsid w:val="00853504"/>
    <w:rsid w:val="0085366C"/>
    <w:rsid w:val="00853763"/>
    <w:rsid w:val="00853831"/>
    <w:rsid w:val="0085391E"/>
    <w:rsid w:val="00853923"/>
    <w:rsid w:val="00853B43"/>
    <w:rsid w:val="00853BA2"/>
    <w:rsid w:val="00853C7A"/>
    <w:rsid w:val="00853D5F"/>
    <w:rsid w:val="00853D72"/>
    <w:rsid w:val="00853ECA"/>
    <w:rsid w:val="00853FBA"/>
    <w:rsid w:val="008541E8"/>
    <w:rsid w:val="00854274"/>
    <w:rsid w:val="008542DC"/>
    <w:rsid w:val="008543E4"/>
    <w:rsid w:val="0085455E"/>
    <w:rsid w:val="0085482C"/>
    <w:rsid w:val="008549F0"/>
    <w:rsid w:val="00854A54"/>
    <w:rsid w:val="00854C51"/>
    <w:rsid w:val="00854D78"/>
    <w:rsid w:val="00854EF9"/>
    <w:rsid w:val="00854F99"/>
    <w:rsid w:val="008550E8"/>
    <w:rsid w:val="0085546D"/>
    <w:rsid w:val="008554A9"/>
    <w:rsid w:val="0085563B"/>
    <w:rsid w:val="008556CB"/>
    <w:rsid w:val="0085576B"/>
    <w:rsid w:val="008557A2"/>
    <w:rsid w:val="008558E2"/>
    <w:rsid w:val="0085594B"/>
    <w:rsid w:val="0085594C"/>
    <w:rsid w:val="00855952"/>
    <w:rsid w:val="00855A15"/>
    <w:rsid w:val="00855A24"/>
    <w:rsid w:val="00855AA9"/>
    <w:rsid w:val="00855AEE"/>
    <w:rsid w:val="00855CF4"/>
    <w:rsid w:val="00855D0A"/>
    <w:rsid w:val="00855E3F"/>
    <w:rsid w:val="00855F11"/>
    <w:rsid w:val="00855F29"/>
    <w:rsid w:val="00855F6B"/>
    <w:rsid w:val="00856680"/>
    <w:rsid w:val="00856767"/>
    <w:rsid w:val="008569CD"/>
    <w:rsid w:val="008569F4"/>
    <w:rsid w:val="00856BE8"/>
    <w:rsid w:val="00856C56"/>
    <w:rsid w:val="00856D53"/>
    <w:rsid w:val="00856E0C"/>
    <w:rsid w:val="0085720C"/>
    <w:rsid w:val="0085725A"/>
    <w:rsid w:val="008573E0"/>
    <w:rsid w:val="008575A7"/>
    <w:rsid w:val="008575AD"/>
    <w:rsid w:val="0085768F"/>
    <w:rsid w:val="00857894"/>
    <w:rsid w:val="0085797C"/>
    <w:rsid w:val="00857BE6"/>
    <w:rsid w:val="00857E44"/>
    <w:rsid w:val="00857F99"/>
    <w:rsid w:val="00857FD5"/>
    <w:rsid w:val="00860060"/>
    <w:rsid w:val="00860103"/>
    <w:rsid w:val="00860156"/>
    <w:rsid w:val="008603A0"/>
    <w:rsid w:val="008605A9"/>
    <w:rsid w:val="00860645"/>
    <w:rsid w:val="00860667"/>
    <w:rsid w:val="0086066B"/>
    <w:rsid w:val="00860701"/>
    <w:rsid w:val="00860769"/>
    <w:rsid w:val="00860B83"/>
    <w:rsid w:val="00860C00"/>
    <w:rsid w:val="00860CD7"/>
    <w:rsid w:val="00860EED"/>
    <w:rsid w:val="00860EF3"/>
    <w:rsid w:val="00861068"/>
    <w:rsid w:val="00861193"/>
    <w:rsid w:val="00861279"/>
    <w:rsid w:val="008612D5"/>
    <w:rsid w:val="008612E0"/>
    <w:rsid w:val="008613B9"/>
    <w:rsid w:val="008613C2"/>
    <w:rsid w:val="00861452"/>
    <w:rsid w:val="008614C5"/>
    <w:rsid w:val="008615CC"/>
    <w:rsid w:val="00861708"/>
    <w:rsid w:val="00861753"/>
    <w:rsid w:val="0086198B"/>
    <w:rsid w:val="00861A8F"/>
    <w:rsid w:val="00861B72"/>
    <w:rsid w:val="00861CEE"/>
    <w:rsid w:val="00861F34"/>
    <w:rsid w:val="00862066"/>
    <w:rsid w:val="00862227"/>
    <w:rsid w:val="0086231C"/>
    <w:rsid w:val="008625DF"/>
    <w:rsid w:val="008626C3"/>
    <w:rsid w:val="008627EC"/>
    <w:rsid w:val="008629B4"/>
    <w:rsid w:val="00862A42"/>
    <w:rsid w:val="00862B24"/>
    <w:rsid w:val="00862C72"/>
    <w:rsid w:val="00862D6D"/>
    <w:rsid w:val="00862D7C"/>
    <w:rsid w:val="00862DC2"/>
    <w:rsid w:val="00862DF7"/>
    <w:rsid w:val="00862EDA"/>
    <w:rsid w:val="008632A3"/>
    <w:rsid w:val="0086331B"/>
    <w:rsid w:val="0086333F"/>
    <w:rsid w:val="00863357"/>
    <w:rsid w:val="0086350E"/>
    <w:rsid w:val="008637F1"/>
    <w:rsid w:val="0086390B"/>
    <w:rsid w:val="0086393C"/>
    <w:rsid w:val="008639C5"/>
    <w:rsid w:val="00863A08"/>
    <w:rsid w:val="00863C7C"/>
    <w:rsid w:val="00863DE2"/>
    <w:rsid w:val="0086405F"/>
    <w:rsid w:val="00864122"/>
    <w:rsid w:val="0086416D"/>
    <w:rsid w:val="008641A8"/>
    <w:rsid w:val="0086425C"/>
    <w:rsid w:val="008642FF"/>
    <w:rsid w:val="00864325"/>
    <w:rsid w:val="008645C9"/>
    <w:rsid w:val="00864773"/>
    <w:rsid w:val="008648CF"/>
    <w:rsid w:val="00864C45"/>
    <w:rsid w:val="00864D4A"/>
    <w:rsid w:val="00864DC4"/>
    <w:rsid w:val="00865023"/>
    <w:rsid w:val="008650DC"/>
    <w:rsid w:val="00865112"/>
    <w:rsid w:val="008651B4"/>
    <w:rsid w:val="00865253"/>
    <w:rsid w:val="0086545E"/>
    <w:rsid w:val="00865680"/>
    <w:rsid w:val="0086590B"/>
    <w:rsid w:val="00865A81"/>
    <w:rsid w:val="00865C02"/>
    <w:rsid w:val="00865C40"/>
    <w:rsid w:val="00865D60"/>
    <w:rsid w:val="00865D9B"/>
    <w:rsid w:val="00865E25"/>
    <w:rsid w:val="00865E83"/>
    <w:rsid w:val="00865E91"/>
    <w:rsid w:val="0086645A"/>
    <w:rsid w:val="0086646F"/>
    <w:rsid w:val="0086649C"/>
    <w:rsid w:val="008667D7"/>
    <w:rsid w:val="008667FF"/>
    <w:rsid w:val="00866800"/>
    <w:rsid w:val="00866818"/>
    <w:rsid w:val="008669FF"/>
    <w:rsid w:val="00866D46"/>
    <w:rsid w:val="00866DA0"/>
    <w:rsid w:val="00866DE6"/>
    <w:rsid w:val="0086705C"/>
    <w:rsid w:val="008670D3"/>
    <w:rsid w:val="008670EF"/>
    <w:rsid w:val="008673FA"/>
    <w:rsid w:val="00867657"/>
    <w:rsid w:val="008676B4"/>
    <w:rsid w:val="00867873"/>
    <w:rsid w:val="008678C5"/>
    <w:rsid w:val="00867AB9"/>
    <w:rsid w:val="00867BB1"/>
    <w:rsid w:val="00867C8C"/>
    <w:rsid w:val="00867D69"/>
    <w:rsid w:val="00867DA2"/>
    <w:rsid w:val="00867F59"/>
    <w:rsid w:val="008701A4"/>
    <w:rsid w:val="008702CB"/>
    <w:rsid w:val="008702FF"/>
    <w:rsid w:val="00870348"/>
    <w:rsid w:val="008704B1"/>
    <w:rsid w:val="00870502"/>
    <w:rsid w:val="008706BA"/>
    <w:rsid w:val="008706FE"/>
    <w:rsid w:val="008709E1"/>
    <w:rsid w:val="00870B94"/>
    <w:rsid w:val="00870BD2"/>
    <w:rsid w:val="00870C38"/>
    <w:rsid w:val="00870C45"/>
    <w:rsid w:val="00870DD5"/>
    <w:rsid w:val="00870F17"/>
    <w:rsid w:val="008711B7"/>
    <w:rsid w:val="008714F2"/>
    <w:rsid w:val="0087171C"/>
    <w:rsid w:val="00871A6C"/>
    <w:rsid w:val="00871A76"/>
    <w:rsid w:val="00871A8B"/>
    <w:rsid w:val="00871B8A"/>
    <w:rsid w:val="00871BF2"/>
    <w:rsid w:val="00871C08"/>
    <w:rsid w:val="00871C0C"/>
    <w:rsid w:val="00871CD7"/>
    <w:rsid w:val="00871DD4"/>
    <w:rsid w:val="00871E45"/>
    <w:rsid w:val="00871EAA"/>
    <w:rsid w:val="00872149"/>
    <w:rsid w:val="0087232C"/>
    <w:rsid w:val="008723BC"/>
    <w:rsid w:val="008723C2"/>
    <w:rsid w:val="008723FD"/>
    <w:rsid w:val="008724BC"/>
    <w:rsid w:val="00872577"/>
    <w:rsid w:val="0087275D"/>
    <w:rsid w:val="0087276E"/>
    <w:rsid w:val="008727BD"/>
    <w:rsid w:val="00872D4B"/>
    <w:rsid w:val="00872E7D"/>
    <w:rsid w:val="00872EEC"/>
    <w:rsid w:val="00873213"/>
    <w:rsid w:val="00873436"/>
    <w:rsid w:val="008734A4"/>
    <w:rsid w:val="008734B2"/>
    <w:rsid w:val="008735AF"/>
    <w:rsid w:val="008736F0"/>
    <w:rsid w:val="0087393A"/>
    <w:rsid w:val="00873C32"/>
    <w:rsid w:val="00873D21"/>
    <w:rsid w:val="008740DF"/>
    <w:rsid w:val="008742FE"/>
    <w:rsid w:val="0087439A"/>
    <w:rsid w:val="008744EA"/>
    <w:rsid w:val="00874502"/>
    <w:rsid w:val="00874633"/>
    <w:rsid w:val="008746D6"/>
    <w:rsid w:val="008747F4"/>
    <w:rsid w:val="00874876"/>
    <w:rsid w:val="0087487C"/>
    <w:rsid w:val="008748EC"/>
    <w:rsid w:val="008749C6"/>
    <w:rsid w:val="00874A7C"/>
    <w:rsid w:val="00874DA1"/>
    <w:rsid w:val="00874E1E"/>
    <w:rsid w:val="00874E3C"/>
    <w:rsid w:val="00874EDA"/>
    <w:rsid w:val="00875069"/>
    <w:rsid w:val="008750FB"/>
    <w:rsid w:val="00875646"/>
    <w:rsid w:val="008756B4"/>
    <w:rsid w:val="00875807"/>
    <w:rsid w:val="0087597F"/>
    <w:rsid w:val="00875B81"/>
    <w:rsid w:val="00875C3C"/>
    <w:rsid w:val="00875CA4"/>
    <w:rsid w:val="00875CCB"/>
    <w:rsid w:val="00875D22"/>
    <w:rsid w:val="00875F74"/>
    <w:rsid w:val="008760E3"/>
    <w:rsid w:val="00876935"/>
    <w:rsid w:val="00876C25"/>
    <w:rsid w:val="00876D06"/>
    <w:rsid w:val="00876D1D"/>
    <w:rsid w:val="00876EAA"/>
    <w:rsid w:val="008771CD"/>
    <w:rsid w:val="008773CC"/>
    <w:rsid w:val="00877454"/>
    <w:rsid w:val="008774E4"/>
    <w:rsid w:val="00877670"/>
    <w:rsid w:val="00877678"/>
    <w:rsid w:val="00877C90"/>
    <w:rsid w:val="00877C9A"/>
    <w:rsid w:val="00877D08"/>
    <w:rsid w:val="00877D5F"/>
    <w:rsid w:val="00877E4C"/>
    <w:rsid w:val="00877FBD"/>
    <w:rsid w:val="008801F6"/>
    <w:rsid w:val="00880470"/>
    <w:rsid w:val="008804AB"/>
    <w:rsid w:val="00880552"/>
    <w:rsid w:val="008807AA"/>
    <w:rsid w:val="00880B12"/>
    <w:rsid w:val="00880BE8"/>
    <w:rsid w:val="00880C60"/>
    <w:rsid w:val="00880C80"/>
    <w:rsid w:val="00880C9E"/>
    <w:rsid w:val="00880E52"/>
    <w:rsid w:val="0088113D"/>
    <w:rsid w:val="00881289"/>
    <w:rsid w:val="00881402"/>
    <w:rsid w:val="0088169C"/>
    <w:rsid w:val="008817B5"/>
    <w:rsid w:val="00881817"/>
    <w:rsid w:val="008818A3"/>
    <w:rsid w:val="008818B5"/>
    <w:rsid w:val="0088192B"/>
    <w:rsid w:val="0088198F"/>
    <w:rsid w:val="00881A9B"/>
    <w:rsid w:val="008820F5"/>
    <w:rsid w:val="00882150"/>
    <w:rsid w:val="008822F9"/>
    <w:rsid w:val="008824D3"/>
    <w:rsid w:val="0088251E"/>
    <w:rsid w:val="00882545"/>
    <w:rsid w:val="008825FB"/>
    <w:rsid w:val="008826DC"/>
    <w:rsid w:val="00882705"/>
    <w:rsid w:val="00882CF0"/>
    <w:rsid w:val="00882E31"/>
    <w:rsid w:val="00882EBB"/>
    <w:rsid w:val="00882EBF"/>
    <w:rsid w:val="0088328A"/>
    <w:rsid w:val="0088345F"/>
    <w:rsid w:val="00883500"/>
    <w:rsid w:val="008837CF"/>
    <w:rsid w:val="00883812"/>
    <w:rsid w:val="00883822"/>
    <w:rsid w:val="008838C0"/>
    <w:rsid w:val="008839A8"/>
    <w:rsid w:val="008839C0"/>
    <w:rsid w:val="00883F3F"/>
    <w:rsid w:val="00883F7F"/>
    <w:rsid w:val="0088426D"/>
    <w:rsid w:val="00884342"/>
    <w:rsid w:val="0088441B"/>
    <w:rsid w:val="008845C2"/>
    <w:rsid w:val="0088466B"/>
    <w:rsid w:val="00884742"/>
    <w:rsid w:val="00884801"/>
    <w:rsid w:val="0088481C"/>
    <w:rsid w:val="008848EF"/>
    <w:rsid w:val="00884ABE"/>
    <w:rsid w:val="00884B00"/>
    <w:rsid w:val="00884B44"/>
    <w:rsid w:val="00884C4D"/>
    <w:rsid w:val="00884CD5"/>
    <w:rsid w:val="00884E7E"/>
    <w:rsid w:val="008850E1"/>
    <w:rsid w:val="00885492"/>
    <w:rsid w:val="00885513"/>
    <w:rsid w:val="00885644"/>
    <w:rsid w:val="00885831"/>
    <w:rsid w:val="00885900"/>
    <w:rsid w:val="008859B5"/>
    <w:rsid w:val="00885A8F"/>
    <w:rsid w:val="00885B39"/>
    <w:rsid w:val="00885F23"/>
    <w:rsid w:val="008867B7"/>
    <w:rsid w:val="008867C5"/>
    <w:rsid w:val="00886A8F"/>
    <w:rsid w:val="00886B79"/>
    <w:rsid w:val="00886C7C"/>
    <w:rsid w:val="00886D71"/>
    <w:rsid w:val="00887161"/>
    <w:rsid w:val="00887844"/>
    <w:rsid w:val="008878C8"/>
    <w:rsid w:val="00887BAB"/>
    <w:rsid w:val="00887D32"/>
    <w:rsid w:val="0089013E"/>
    <w:rsid w:val="008901B9"/>
    <w:rsid w:val="00890211"/>
    <w:rsid w:val="008902CB"/>
    <w:rsid w:val="00890358"/>
    <w:rsid w:val="0089043E"/>
    <w:rsid w:val="008904F7"/>
    <w:rsid w:val="00890569"/>
    <w:rsid w:val="00890708"/>
    <w:rsid w:val="0089077A"/>
    <w:rsid w:val="00890892"/>
    <w:rsid w:val="00890A43"/>
    <w:rsid w:val="00890A96"/>
    <w:rsid w:val="00890B7C"/>
    <w:rsid w:val="00890C1A"/>
    <w:rsid w:val="00890D79"/>
    <w:rsid w:val="00891139"/>
    <w:rsid w:val="008913CA"/>
    <w:rsid w:val="008914FC"/>
    <w:rsid w:val="00891604"/>
    <w:rsid w:val="008917D4"/>
    <w:rsid w:val="008918C7"/>
    <w:rsid w:val="00891937"/>
    <w:rsid w:val="00891A6B"/>
    <w:rsid w:val="00891A83"/>
    <w:rsid w:val="00891A84"/>
    <w:rsid w:val="00891A8E"/>
    <w:rsid w:val="00891AD3"/>
    <w:rsid w:val="00891B62"/>
    <w:rsid w:val="00891C2B"/>
    <w:rsid w:val="00891DC5"/>
    <w:rsid w:val="00892012"/>
    <w:rsid w:val="00892039"/>
    <w:rsid w:val="0089214A"/>
    <w:rsid w:val="00892265"/>
    <w:rsid w:val="00892297"/>
    <w:rsid w:val="008922B6"/>
    <w:rsid w:val="0089238D"/>
    <w:rsid w:val="00892641"/>
    <w:rsid w:val="008926BE"/>
    <w:rsid w:val="0089271E"/>
    <w:rsid w:val="008927A9"/>
    <w:rsid w:val="0089280B"/>
    <w:rsid w:val="0089280D"/>
    <w:rsid w:val="00892887"/>
    <w:rsid w:val="00892891"/>
    <w:rsid w:val="00892958"/>
    <w:rsid w:val="00892D57"/>
    <w:rsid w:val="00892D5B"/>
    <w:rsid w:val="00893013"/>
    <w:rsid w:val="00893272"/>
    <w:rsid w:val="008932F0"/>
    <w:rsid w:val="00893341"/>
    <w:rsid w:val="008934DD"/>
    <w:rsid w:val="008934FE"/>
    <w:rsid w:val="0089369E"/>
    <w:rsid w:val="0089370B"/>
    <w:rsid w:val="00893887"/>
    <w:rsid w:val="00893BAC"/>
    <w:rsid w:val="00893D66"/>
    <w:rsid w:val="00893DD0"/>
    <w:rsid w:val="00893EF8"/>
    <w:rsid w:val="00894048"/>
    <w:rsid w:val="008940D4"/>
    <w:rsid w:val="00894191"/>
    <w:rsid w:val="00894553"/>
    <w:rsid w:val="00894841"/>
    <w:rsid w:val="00894852"/>
    <w:rsid w:val="00894AD7"/>
    <w:rsid w:val="00894CC0"/>
    <w:rsid w:val="00895011"/>
    <w:rsid w:val="0089523D"/>
    <w:rsid w:val="008955DA"/>
    <w:rsid w:val="008955E1"/>
    <w:rsid w:val="0089563B"/>
    <w:rsid w:val="00895802"/>
    <w:rsid w:val="008958CA"/>
    <w:rsid w:val="00895AC9"/>
    <w:rsid w:val="00895BDA"/>
    <w:rsid w:val="00895CB4"/>
    <w:rsid w:val="00895EBA"/>
    <w:rsid w:val="00895F50"/>
    <w:rsid w:val="00895FF2"/>
    <w:rsid w:val="008960F1"/>
    <w:rsid w:val="0089643B"/>
    <w:rsid w:val="00896587"/>
    <w:rsid w:val="0089675A"/>
    <w:rsid w:val="00896CB9"/>
    <w:rsid w:val="00896CDF"/>
    <w:rsid w:val="00896CE8"/>
    <w:rsid w:val="00896F2A"/>
    <w:rsid w:val="00896F33"/>
    <w:rsid w:val="008970BD"/>
    <w:rsid w:val="00897195"/>
    <w:rsid w:val="00897362"/>
    <w:rsid w:val="008974BA"/>
    <w:rsid w:val="00897554"/>
    <w:rsid w:val="00897B8E"/>
    <w:rsid w:val="00897CE4"/>
    <w:rsid w:val="00897E67"/>
    <w:rsid w:val="00897F34"/>
    <w:rsid w:val="008A0041"/>
    <w:rsid w:val="008A0068"/>
    <w:rsid w:val="008A032F"/>
    <w:rsid w:val="008A0387"/>
    <w:rsid w:val="008A0521"/>
    <w:rsid w:val="008A055C"/>
    <w:rsid w:val="008A05D1"/>
    <w:rsid w:val="008A06F4"/>
    <w:rsid w:val="008A077C"/>
    <w:rsid w:val="008A0827"/>
    <w:rsid w:val="008A09EE"/>
    <w:rsid w:val="008A0A47"/>
    <w:rsid w:val="008A0B49"/>
    <w:rsid w:val="008A0BDC"/>
    <w:rsid w:val="008A0DC3"/>
    <w:rsid w:val="008A0E67"/>
    <w:rsid w:val="008A10B7"/>
    <w:rsid w:val="008A10E9"/>
    <w:rsid w:val="008A1474"/>
    <w:rsid w:val="008A15A3"/>
    <w:rsid w:val="008A1655"/>
    <w:rsid w:val="008A1710"/>
    <w:rsid w:val="008A18EE"/>
    <w:rsid w:val="008A1ECB"/>
    <w:rsid w:val="008A1F28"/>
    <w:rsid w:val="008A2419"/>
    <w:rsid w:val="008A245F"/>
    <w:rsid w:val="008A24A3"/>
    <w:rsid w:val="008A24BF"/>
    <w:rsid w:val="008A2629"/>
    <w:rsid w:val="008A290A"/>
    <w:rsid w:val="008A2951"/>
    <w:rsid w:val="008A2C84"/>
    <w:rsid w:val="008A2CDA"/>
    <w:rsid w:val="008A2F37"/>
    <w:rsid w:val="008A2FD9"/>
    <w:rsid w:val="008A3014"/>
    <w:rsid w:val="008A314E"/>
    <w:rsid w:val="008A3195"/>
    <w:rsid w:val="008A340C"/>
    <w:rsid w:val="008A343F"/>
    <w:rsid w:val="008A37FB"/>
    <w:rsid w:val="008A39F7"/>
    <w:rsid w:val="008A3BA5"/>
    <w:rsid w:val="008A3C07"/>
    <w:rsid w:val="008A3D66"/>
    <w:rsid w:val="008A3E2F"/>
    <w:rsid w:val="008A418A"/>
    <w:rsid w:val="008A422A"/>
    <w:rsid w:val="008A436F"/>
    <w:rsid w:val="008A43A7"/>
    <w:rsid w:val="008A4435"/>
    <w:rsid w:val="008A458C"/>
    <w:rsid w:val="008A45CE"/>
    <w:rsid w:val="008A49CC"/>
    <w:rsid w:val="008A4B1B"/>
    <w:rsid w:val="008A4B46"/>
    <w:rsid w:val="008A4B93"/>
    <w:rsid w:val="008A4C52"/>
    <w:rsid w:val="008A4D3E"/>
    <w:rsid w:val="008A4D78"/>
    <w:rsid w:val="008A4E29"/>
    <w:rsid w:val="008A4F90"/>
    <w:rsid w:val="008A4FC1"/>
    <w:rsid w:val="008A5092"/>
    <w:rsid w:val="008A518F"/>
    <w:rsid w:val="008A52B9"/>
    <w:rsid w:val="008A5349"/>
    <w:rsid w:val="008A54E5"/>
    <w:rsid w:val="008A5594"/>
    <w:rsid w:val="008A55C7"/>
    <w:rsid w:val="008A5672"/>
    <w:rsid w:val="008A5683"/>
    <w:rsid w:val="008A56DC"/>
    <w:rsid w:val="008A577C"/>
    <w:rsid w:val="008A57D6"/>
    <w:rsid w:val="008A5875"/>
    <w:rsid w:val="008A58ED"/>
    <w:rsid w:val="008A5AC8"/>
    <w:rsid w:val="008A5BA2"/>
    <w:rsid w:val="008A5D72"/>
    <w:rsid w:val="008A5D8A"/>
    <w:rsid w:val="008A5E83"/>
    <w:rsid w:val="008A5F0D"/>
    <w:rsid w:val="008A60AE"/>
    <w:rsid w:val="008A620B"/>
    <w:rsid w:val="008A620D"/>
    <w:rsid w:val="008A6530"/>
    <w:rsid w:val="008A6544"/>
    <w:rsid w:val="008A656F"/>
    <w:rsid w:val="008A6603"/>
    <w:rsid w:val="008A67CA"/>
    <w:rsid w:val="008A6D37"/>
    <w:rsid w:val="008A6FF2"/>
    <w:rsid w:val="008A701E"/>
    <w:rsid w:val="008A70F6"/>
    <w:rsid w:val="008A712E"/>
    <w:rsid w:val="008A716C"/>
    <w:rsid w:val="008A71A0"/>
    <w:rsid w:val="008A73E9"/>
    <w:rsid w:val="008A7469"/>
    <w:rsid w:val="008A7482"/>
    <w:rsid w:val="008A7672"/>
    <w:rsid w:val="008A76C7"/>
    <w:rsid w:val="008A76EA"/>
    <w:rsid w:val="008A791D"/>
    <w:rsid w:val="008A7958"/>
    <w:rsid w:val="008A79D9"/>
    <w:rsid w:val="008A7D85"/>
    <w:rsid w:val="008A7DE5"/>
    <w:rsid w:val="008B0055"/>
    <w:rsid w:val="008B023E"/>
    <w:rsid w:val="008B08A6"/>
    <w:rsid w:val="008B09DA"/>
    <w:rsid w:val="008B0AC2"/>
    <w:rsid w:val="008B0C3A"/>
    <w:rsid w:val="008B1073"/>
    <w:rsid w:val="008B10B1"/>
    <w:rsid w:val="008B11C1"/>
    <w:rsid w:val="008B134D"/>
    <w:rsid w:val="008B153E"/>
    <w:rsid w:val="008B1569"/>
    <w:rsid w:val="008B1ADD"/>
    <w:rsid w:val="008B2064"/>
    <w:rsid w:val="008B2367"/>
    <w:rsid w:val="008B2557"/>
    <w:rsid w:val="008B28CF"/>
    <w:rsid w:val="008B2D77"/>
    <w:rsid w:val="008B30F8"/>
    <w:rsid w:val="008B331B"/>
    <w:rsid w:val="008B3404"/>
    <w:rsid w:val="008B36C6"/>
    <w:rsid w:val="008B36DB"/>
    <w:rsid w:val="008B3887"/>
    <w:rsid w:val="008B3D2A"/>
    <w:rsid w:val="008B3E83"/>
    <w:rsid w:val="008B3F04"/>
    <w:rsid w:val="008B3FCD"/>
    <w:rsid w:val="008B40AE"/>
    <w:rsid w:val="008B413D"/>
    <w:rsid w:val="008B42F1"/>
    <w:rsid w:val="008B4436"/>
    <w:rsid w:val="008B44EC"/>
    <w:rsid w:val="008B45C9"/>
    <w:rsid w:val="008B480E"/>
    <w:rsid w:val="008B4865"/>
    <w:rsid w:val="008B4B3C"/>
    <w:rsid w:val="008B4DEF"/>
    <w:rsid w:val="008B4E2A"/>
    <w:rsid w:val="008B52B4"/>
    <w:rsid w:val="008B52EA"/>
    <w:rsid w:val="008B5450"/>
    <w:rsid w:val="008B550D"/>
    <w:rsid w:val="008B5551"/>
    <w:rsid w:val="008B5689"/>
    <w:rsid w:val="008B5825"/>
    <w:rsid w:val="008B593D"/>
    <w:rsid w:val="008B5955"/>
    <w:rsid w:val="008B5997"/>
    <w:rsid w:val="008B5C01"/>
    <w:rsid w:val="008B5E21"/>
    <w:rsid w:val="008B5F1B"/>
    <w:rsid w:val="008B603E"/>
    <w:rsid w:val="008B6197"/>
    <w:rsid w:val="008B6267"/>
    <w:rsid w:val="008B6351"/>
    <w:rsid w:val="008B67D6"/>
    <w:rsid w:val="008B696B"/>
    <w:rsid w:val="008B6A05"/>
    <w:rsid w:val="008B6A79"/>
    <w:rsid w:val="008B6B0F"/>
    <w:rsid w:val="008B6BAC"/>
    <w:rsid w:val="008B6C32"/>
    <w:rsid w:val="008B6C90"/>
    <w:rsid w:val="008B6CBD"/>
    <w:rsid w:val="008B6D2B"/>
    <w:rsid w:val="008B6E0A"/>
    <w:rsid w:val="008B6E4B"/>
    <w:rsid w:val="008B7083"/>
    <w:rsid w:val="008B71B9"/>
    <w:rsid w:val="008B7255"/>
    <w:rsid w:val="008B74F4"/>
    <w:rsid w:val="008B778F"/>
    <w:rsid w:val="008B78BE"/>
    <w:rsid w:val="008B7930"/>
    <w:rsid w:val="008B799C"/>
    <w:rsid w:val="008B7A4C"/>
    <w:rsid w:val="008C0272"/>
    <w:rsid w:val="008C02EB"/>
    <w:rsid w:val="008C06BF"/>
    <w:rsid w:val="008C093D"/>
    <w:rsid w:val="008C0A82"/>
    <w:rsid w:val="008C0BE4"/>
    <w:rsid w:val="008C0FA4"/>
    <w:rsid w:val="008C1045"/>
    <w:rsid w:val="008C106E"/>
    <w:rsid w:val="008C130F"/>
    <w:rsid w:val="008C17B7"/>
    <w:rsid w:val="008C19A4"/>
    <w:rsid w:val="008C1ADD"/>
    <w:rsid w:val="008C1C15"/>
    <w:rsid w:val="008C1D3B"/>
    <w:rsid w:val="008C1D98"/>
    <w:rsid w:val="008C1E10"/>
    <w:rsid w:val="008C1F9B"/>
    <w:rsid w:val="008C211D"/>
    <w:rsid w:val="008C2167"/>
    <w:rsid w:val="008C233D"/>
    <w:rsid w:val="008C2830"/>
    <w:rsid w:val="008C2976"/>
    <w:rsid w:val="008C2AA0"/>
    <w:rsid w:val="008C2AE1"/>
    <w:rsid w:val="008C2B39"/>
    <w:rsid w:val="008C2B3F"/>
    <w:rsid w:val="008C2B55"/>
    <w:rsid w:val="008C2B92"/>
    <w:rsid w:val="008C2BAC"/>
    <w:rsid w:val="008C2C84"/>
    <w:rsid w:val="008C2E62"/>
    <w:rsid w:val="008C326A"/>
    <w:rsid w:val="008C3689"/>
    <w:rsid w:val="008C3712"/>
    <w:rsid w:val="008C397E"/>
    <w:rsid w:val="008C3ACA"/>
    <w:rsid w:val="008C3D9C"/>
    <w:rsid w:val="008C3DBA"/>
    <w:rsid w:val="008C3F6B"/>
    <w:rsid w:val="008C4007"/>
    <w:rsid w:val="008C42BE"/>
    <w:rsid w:val="008C445C"/>
    <w:rsid w:val="008C47AA"/>
    <w:rsid w:val="008C4A94"/>
    <w:rsid w:val="008C4BBF"/>
    <w:rsid w:val="008C514F"/>
    <w:rsid w:val="008C51B4"/>
    <w:rsid w:val="008C52AB"/>
    <w:rsid w:val="008C5356"/>
    <w:rsid w:val="008C53FC"/>
    <w:rsid w:val="008C5435"/>
    <w:rsid w:val="008C5681"/>
    <w:rsid w:val="008C5748"/>
    <w:rsid w:val="008C57D3"/>
    <w:rsid w:val="008C590E"/>
    <w:rsid w:val="008C59A1"/>
    <w:rsid w:val="008C5A23"/>
    <w:rsid w:val="008C5A93"/>
    <w:rsid w:val="008C5D9D"/>
    <w:rsid w:val="008C5EA6"/>
    <w:rsid w:val="008C5FA5"/>
    <w:rsid w:val="008C6195"/>
    <w:rsid w:val="008C6289"/>
    <w:rsid w:val="008C6483"/>
    <w:rsid w:val="008C688A"/>
    <w:rsid w:val="008C6895"/>
    <w:rsid w:val="008C68AA"/>
    <w:rsid w:val="008C69F7"/>
    <w:rsid w:val="008C6AAA"/>
    <w:rsid w:val="008C6BCF"/>
    <w:rsid w:val="008C6C0B"/>
    <w:rsid w:val="008C6C45"/>
    <w:rsid w:val="008C6C5D"/>
    <w:rsid w:val="008C6D45"/>
    <w:rsid w:val="008C6DA3"/>
    <w:rsid w:val="008C6DCE"/>
    <w:rsid w:val="008C70CB"/>
    <w:rsid w:val="008C7324"/>
    <w:rsid w:val="008C73E7"/>
    <w:rsid w:val="008C74C6"/>
    <w:rsid w:val="008C7855"/>
    <w:rsid w:val="008C78A9"/>
    <w:rsid w:val="008C7947"/>
    <w:rsid w:val="008C7AD9"/>
    <w:rsid w:val="008C7F98"/>
    <w:rsid w:val="008D00DE"/>
    <w:rsid w:val="008D023E"/>
    <w:rsid w:val="008D03E1"/>
    <w:rsid w:val="008D0565"/>
    <w:rsid w:val="008D063B"/>
    <w:rsid w:val="008D0724"/>
    <w:rsid w:val="008D07BC"/>
    <w:rsid w:val="008D0A2E"/>
    <w:rsid w:val="008D0AEE"/>
    <w:rsid w:val="008D146D"/>
    <w:rsid w:val="008D154D"/>
    <w:rsid w:val="008D19A0"/>
    <w:rsid w:val="008D1A41"/>
    <w:rsid w:val="008D1B58"/>
    <w:rsid w:val="008D1BA3"/>
    <w:rsid w:val="008D1D0C"/>
    <w:rsid w:val="008D1E1D"/>
    <w:rsid w:val="008D20FD"/>
    <w:rsid w:val="008D2173"/>
    <w:rsid w:val="008D2181"/>
    <w:rsid w:val="008D21DC"/>
    <w:rsid w:val="008D2293"/>
    <w:rsid w:val="008D2343"/>
    <w:rsid w:val="008D2366"/>
    <w:rsid w:val="008D23F8"/>
    <w:rsid w:val="008D2852"/>
    <w:rsid w:val="008D2D1D"/>
    <w:rsid w:val="008D2D9B"/>
    <w:rsid w:val="008D2ECD"/>
    <w:rsid w:val="008D3076"/>
    <w:rsid w:val="008D316B"/>
    <w:rsid w:val="008D329C"/>
    <w:rsid w:val="008D33B9"/>
    <w:rsid w:val="008D33D7"/>
    <w:rsid w:val="008D3650"/>
    <w:rsid w:val="008D3700"/>
    <w:rsid w:val="008D3B20"/>
    <w:rsid w:val="008D3B4A"/>
    <w:rsid w:val="008D3BF7"/>
    <w:rsid w:val="008D3C38"/>
    <w:rsid w:val="008D4010"/>
    <w:rsid w:val="008D4289"/>
    <w:rsid w:val="008D435E"/>
    <w:rsid w:val="008D442A"/>
    <w:rsid w:val="008D44ED"/>
    <w:rsid w:val="008D4658"/>
    <w:rsid w:val="008D46AD"/>
    <w:rsid w:val="008D4731"/>
    <w:rsid w:val="008D4748"/>
    <w:rsid w:val="008D4789"/>
    <w:rsid w:val="008D488A"/>
    <w:rsid w:val="008D49FB"/>
    <w:rsid w:val="008D4A64"/>
    <w:rsid w:val="008D4B31"/>
    <w:rsid w:val="008D4C08"/>
    <w:rsid w:val="008D4E26"/>
    <w:rsid w:val="008D4E75"/>
    <w:rsid w:val="008D51E7"/>
    <w:rsid w:val="008D5396"/>
    <w:rsid w:val="008D547C"/>
    <w:rsid w:val="008D56DC"/>
    <w:rsid w:val="008D572C"/>
    <w:rsid w:val="008D57E5"/>
    <w:rsid w:val="008D5970"/>
    <w:rsid w:val="008D59D4"/>
    <w:rsid w:val="008D5A84"/>
    <w:rsid w:val="008D5A98"/>
    <w:rsid w:val="008D5B06"/>
    <w:rsid w:val="008D5C88"/>
    <w:rsid w:val="008D5D1D"/>
    <w:rsid w:val="008D5EC6"/>
    <w:rsid w:val="008D5F36"/>
    <w:rsid w:val="008D6099"/>
    <w:rsid w:val="008D6363"/>
    <w:rsid w:val="008D6397"/>
    <w:rsid w:val="008D63EF"/>
    <w:rsid w:val="008D67C6"/>
    <w:rsid w:val="008D6810"/>
    <w:rsid w:val="008D6C63"/>
    <w:rsid w:val="008D6E46"/>
    <w:rsid w:val="008D6F74"/>
    <w:rsid w:val="008D7073"/>
    <w:rsid w:val="008D7567"/>
    <w:rsid w:val="008D7836"/>
    <w:rsid w:val="008D78D5"/>
    <w:rsid w:val="008D7911"/>
    <w:rsid w:val="008D7C43"/>
    <w:rsid w:val="008D7CF4"/>
    <w:rsid w:val="008D7D46"/>
    <w:rsid w:val="008D7F01"/>
    <w:rsid w:val="008D7F07"/>
    <w:rsid w:val="008D7F1E"/>
    <w:rsid w:val="008E0171"/>
    <w:rsid w:val="008E028F"/>
    <w:rsid w:val="008E0370"/>
    <w:rsid w:val="008E038B"/>
    <w:rsid w:val="008E0484"/>
    <w:rsid w:val="008E0702"/>
    <w:rsid w:val="008E08EE"/>
    <w:rsid w:val="008E0BA1"/>
    <w:rsid w:val="008E0C94"/>
    <w:rsid w:val="008E0DE9"/>
    <w:rsid w:val="008E0E1C"/>
    <w:rsid w:val="008E0ED4"/>
    <w:rsid w:val="008E0FB0"/>
    <w:rsid w:val="008E100D"/>
    <w:rsid w:val="008E108D"/>
    <w:rsid w:val="008E13B3"/>
    <w:rsid w:val="008E1514"/>
    <w:rsid w:val="008E15A8"/>
    <w:rsid w:val="008E15C2"/>
    <w:rsid w:val="008E161D"/>
    <w:rsid w:val="008E164D"/>
    <w:rsid w:val="008E1807"/>
    <w:rsid w:val="008E1981"/>
    <w:rsid w:val="008E199A"/>
    <w:rsid w:val="008E1A17"/>
    <w:rsid w:val="008E1A60"/>
    <w:rsid w:val="008E1CBF"/>
    <w:rsid w:val="008E1CDF"/>
    <w:rsid w:val="008E1D4B"/>
    <w:rsid w:val="008E1DD8"/>
    <w:rsid w:val="008E1DFB"/>
    <w:rsid w:val="008E213C"/>
    <w:rsid w:val="008E21AE"/>
    <w:rsid w:val="008E22E7"/>
    <w:rsid w:val="008E23C4"/>
    <w:rsid w:val="008E2574"/>
    <w:rsid w:val="008E277B"/>
    <w:rsid w:val="008E2801"/>
    <w:rsid w:val="008E29B8"/>
    <w:rsid w:val="008E2A16"/>
    <w:rsid w:val="008E2AB9"/>
    <w:rsid w:val="008E2AF4"/>
    <w:rsid w:val="008E2B19"/>
    <w:rsid w:val="008E2D0F"/>
    <w:rsid w:val="008E2D9F"/>
    <w:rsid w:val="008E2E8B"/>
    <w:rsid w:val="008E2EA5"/>
    <w:rsid w:val="008E2EE3"/>
    <w:rsid w:val="008E2F59"/>
    <w:rsid w:val="008E304C"/>
    <w:rsid w:val="008E3174"/>
    <w:rsid w:val="008E31EB"/>
    <w:rsid w:val="008E31F5"/>
    <w:rsid w:val="008E31F9"/>
    <w:rsid w:val="008E3264"/>
    <w:rsid w:val="008E329C"/>
    <w:rsid w:val="008E33AD"/>
    <w:rsid w:val="008E341A"/>
    <w:rsid w:val="008E3493"/>
    <w:rsid w:val="008E34BE"/>
    <w:rsid w:val="008E3502"/>
    <w:rsid w:val="008E3520"/>
    <w:rsid w:val="008E3558"/>
    <w:rsid w:val="008E3770"/>
    <w:rsid w:val="008E3858"/>
    <w:rsid w:val="008E3938"/>
    <w:rsid w:val="008E3AC7"/>
    <w:rsid w:val="008E3AC8"/>
    <w:rsid w:val="008E3CC1"/>
    <w:rsid w:val="008E3DD1"/>
    <w:rsid w:val="008E3F08"/>
    <w:rsid w:val="008E3F1D"/>
    <w:rsid w:val="008E4008"/>
    <w:rsid w:val="008E40AC"/>
    <w:rsid w:val="008E4766"/>
    <w:rsid w:val="008E4935"/>
    <w:rsid w:val="008E4942"/>
    <w:rsid w:val="008E4A56"/>
    <w:rsid w:val="008E4C1C"/>
    <w:rsid w:val="008E4C42"/>
    <w:rsid w:val="008E4CD2"/>
    <w:rsid w:val="008E501E"/>
    <w:rsid w:val="008E5063"/>
    <w:rsid w:val="008E507E"/>
    <w:rsid w:val="008E515A"/>
    <w:rsid w:val="008E5214"/>
    <w:rsid w:val="008E5297"/>
    <w:rsid w:val="008E550D"/>
    <w:rsid w:val="008E5630"/>
    <w:rsid w:val="008E564E"/>
    <w:rsid w:val="008E56B4"/>
    <w:rsid w:val="008E5787"/>
    <w:rsid w:val="008E5933"/>
    <w:rsid w:val="008E59E4"/>
    <w:rsid w:val="008E5C75"/>
    <w:rsid w:val="008E5C9F"/>
    <w:rsid w:val="008E5D6B"/>
    <w:rsid w:val="008E5ED6"/>
    <w:rsid w:val="008E5F05"/>
    <w:rsid w:val="008E61C8"/>
    <w:rsid w:val="008E6480"/>
    <w:rsid w:val="008E6789"/>
    <w:rsid w:val="008E6944"/>
    <w:rsid w:val="008E6976"/>
    <w:rsid w:val="008E6CC6"/>
    <w:rsid w:val="008E6D28"/>
    <w:rsid w:val="008E6D33"/>
    <w:rsid w:val="008E6DB0"/>
    <w:rsid w:val="008E6EE4"/>
    <w:rsid w:val="008E6FC0"/>
    <w:rsid w:val="008E708F"/>
    <w:rsid w:val="008E7118"/>
    <w:rsid w:val="008E7263"/>
    <w:rsid w:val="008E75AA"/>
    <w:rsid w:val="008E7836"/>
    <w:rsid w:val="008E7922"/>
    <w:rsid w:val="008E7A61"/>
    <w:rsid w:val="008E7AC5"/>
    <w:rsid w:val="008E7AD4"/>
    <w:rsid w:val="008E7CC1"/>
    <w:rsid w:val="008E7CCA"/>
    <w:rsid w:val="008E7CFE"/>
    <w:rsid w:val="008E7D0E"/>
    <w:rsid w:val="008E7D30"/>
    <w:rsid w:val="008E7D67"/>
    <w:rsid w:val="008E7DF2"/>
    <w:rsid w:val="008F013F"/>
    <w:rsid w:val="008F014D"/>
    <w:rsid w:val="008F01AB"/>
    <w:rsid w:val="008F01B6"/>
    <w:rsid w:val="008F025D"/>
    <w:rsid w:val="008F0330"/>
    <w:rsid w:val="008F0362"/>
    <w:rsid w:val="008F0619"/>
    <w:rsid w:val="008F0998"/>
    <w:rsid w:val="008F0C1F"/>
    <w:rsid w:val="008F0CA1"/>
    <w:rsid w:val="008F0CB5"/>
    <w:rsid w:val="008F0CD9"/>
    <w:rsid w:val="008F0DAF"/>
    <w:rsid w:val="008F0E1F"/>
    <w:rsid w:val="008F0E4D"/>
    <w:rsid w:val="008F1005"/>
    <w:rsid w:val="008F1091"/>
    <w:rsid w:val="008F1115"/>
    <w:rsid w:val="008F123F"/>
    <w:rsid w:val="008F1352"/>
    <w:rsid w:val="008F135C"/>
    <w:rsid w:val="008F1907"/>
    <w:rsid w:val="008F1AC7"/>
    <w:rsid w:val="008F1AD5"/>
    <w:rsid w:val="008F1C88"/>
    <w:rsid w:val="008F1C8B"/>
    <w:rsid w:val="008F1F89"/>
    <w:rsid w:val="008F1FAC"/>
    <w:rsid w:val="008F218B"/>
    <w:rsid w:val="008F2244"/>
    <w:rsid w:val="008F230A"/>
    <w:rsid w:val="008F258C"/>
    <w:rsid w:val="008F266E"/>
    <w:rsid w:val="008F26D7"/>
    <w:rsid w:val="008F27ED"/>
    <w:rsid w:val="008F2837"/>
    <w:rsid w:val="008F2986"/>
    <w:rsid w:val="008F3033"/>
    <w:rsid w:val="008F34CD"/>
    <w:rsid w:val="008F357D"/>
    <w:rsid w:val="008F3662"/>
    <w:rsid w:val="008F3688"/>
    <w:rsid w:val="008F38DC"/>
    <w:rsid w:val="008F3A99"/>
    <w:rsid w:val="008F3B3C"/>
    <w:rsid w:val="008F3F90"/>
    <w:rsid w:val="008F3FAE"/>
    <w:rsid w:val="008F3FF7"/>
    <w:rsid w:val="008F431C"/>
    <w:rsid w:val="008F4551"/>
    <w:rsid w:val="008F455F"/>
    <w:rsid w:val="008F4588"/>
    <w:rsid w:val="008F46B9"/>
    <w:rsid w:val="008F4ADD"/>
    <w:rsid w:val="008F4BBB"/>
    <w:rsid w:val="008F4F4B"/>
    <w:rsid w:val="008F500E"/>
    <w:rsid w:val="008F5196"/>
    <w:rsid w:val="008F51E2"/>
    <w:rsid w:val="008F5251"/>
    <w:rsid w:val="008F54D4"/>
    <w:rsid w:val="008F5722"/>
    <w:rsid w:val="008F5843"/>
    <w:rsid w:val="008F5AF8"/>
    <w:rsid w:val="008F5E3D"/>
    <w:rsid w:val="008F5F6E"/>
    <w:rsid w:val="008F6086"/>
    <w:rsid w:val="008F60B7"/>
    <w:rsid w:val="008F635D"/>
    <w:rsid w:val="008F6443"/>
    <w:rsid w:val="008F6548"/>
    <w:rsid w:val="008F66CA"/>
    <w:rsid w:val="008F6737"/>
    <w:rsid w:val="008F6A41"/>
    <w:rsid w:val="008F6C52"/>
    <w:rsid w:val="008F6CC7"/>
    <w:rsid w:val="008F6D93"/>
    <w:rsid w:val="008F6FDB"/>
    <w:rsid w:val="008F7115"/>
    <w:rsid w:val="008F7166"/>
    <w:rsid w:val="008F7177"/>
    <w:rsid w:val="008F736C"/>
    <w:rsid w:val="008F73C5"/>
    <w:rsid w:val="008F770C"/>
    <w:rsid w:val="008F7798"/>
    <w:rsid w:val="008F77AA"/>
    <w:rsid w:val="008F7A4D"/>
    <w:rsid w:val="008F7CDB"/>
    <w:rsid w:val="008F7D89"/>
    <w:rsid w:val="0090008B"/>
    <w:rsid w:val="0090018D"/>
    <w:rsid w:val="00900204"/>
    <w:rsid w:val="009002BE"/>
    <w:rsid w:val="00900472"/>
    <w:rsid w:val="009004CC"/>
    <w:rsid w:val="0090055E"/>
    <w:rsid w:val="0090057A"/>
    <w:rsid w:val="009005FC"/>
    <w:rsid w:val="00900644"/>
    <w:rsid w:val="00900667"/>
    <w:rsid w:val="009007EE"/>
    <w:rsid w:val="00900C20"/>
    <w:rsid w:val="00900DC9"/>
    <w:rsid w:val="009011CB"/>
    <w:rsid w:val="00901553"/>
    <w:rsid w:val="009016ED"/>
    <w:rsid w:val="00901894"/>
    <w:rsid w:val="0090193D"/>
    <w:rsid w:val="00901997"/>
    <w:rsid w:val="00901A7B"/>
    <w:rsid w:val="00901A9A"/>
    <w:rsid w:val="00901AF5"/>
    <w:rsid w:val="00901C76"/>
    <w:rsid w:val="00901E53"/>
    <w:rsid w:val="00901EBB"/>
    <w:rsid w:val="00901EE5"/>
    <w:rsid w:val="0090229A"/>
    <w:rsid w:val="009022AF"/>
    <w:rsid w:val="0090233A"/>
    <w:rsid w:val="009024BD"/>
    <w:rsid w:val="0090265E"/>
    <w:rsid w:val="00902685"/>
    <w:rsid w:val="009026AF"/>
    <w:rsid w:val="009027D7"/>
    <w:rsid w:val="00902B58"/>
    <w:rsid w:val="009030D4"/>
    <w:rsid w:val="009030FF"/>
    <w:rsid w:val="00903546"/>
    <w:rsid w:val="00903583"/>
    <w:rsid w:val="0090360C"/>
    <w:rsid w:val="0090362C"/>
    <w:rsid w:val="009036F4"/>
    <w:rsid w:val="00903F26"/>
    <w:rsid w:val="0090410C"/>
    <w:rsid w:val="0090416B"/>
    <w:rsid w:val="009044B0"/>
    <w:rsid w:val="0090451B"/>
    <w:rsid w:val="00904932"/>
    <w:rsid w:val="00904956"/>
    <w:rsid w:val="009049E5"/>
    <w:rsid w:val="00904A89"/>
    <w:rsid w:val="00904BDA"/>
    <w:rsid w:val="00904BEF"/>
    <w:rsid w:val="00904C1C"/>
    <w:rsid w:val="00904DDE"/>
    <w:rsid w:val="00904EB5"/>
    <w:rsid w:val="00904F16"/>
    <w:rsid w:val="00904F83"/>
    <w:rsid w:val="00904FFB"/>
    <w:rsid w:val="009050E6"/>
    <w:rsid w:val="00905196"/>
    <w:rsid w:val="009051B7"/>
    <w:rsid w:val="0090537A"/>
    <w:rsid w:val="0090537E"/>
    <w:rsid w:val="00905380"/>
    <w:rsid w:val="00905416"/>
    <w:rsid w:val="0090572C"/>
    <w:rsid w:val="0090577B"/>
    <w:rsid w:val="00905A9B"/>
    <w:rsid w:val="00905F54"/>
    <w:rsid w:val="00905FE2"/>
    <w:rsid w:val="00905FF1"/>
    <w:rsid w:val="00906270"/>
    <w:rsid w:val="009064B9"/>
    <w:rsid w:val="00906C2C"/>
    <w:rsid w:val="00906D0A"/>
    <w:rsid w:val="00906EA5"/>
    <w:rsid w:val="00906F41"/>
    <w:rsid w:val="00906F86"/>
    <w:rsid w:val="00907085"/>
    <w:rsid w:val="00907170"/>
    <w:rsid w:val="009076EF"/>
    <w:rsid w:val="00907946"/>
    <w:rsid w:val="009079F3"/>
    <w:rsid w:val="00907ABC"/>
    <w:rsid w:val="00907C36"/>
    <w:rsid w:val="00907E31"/>
    <w:rsid w:val="00907F46"/>
    <w:rsid w:val="00907FC1"/>
    <w:rsid w:val="009100F1"/>
    <w:rsid w:val="00910355"/>
    <w:rsid w:val="00910534"/>
    <w:rsid w:val="009105A8"/>
    <w:rsid w:val="009107DC"/>
    <w:rsid w:val="0091083A"/>
    <w:rsid w:val="0091091A"/>
    <w:rsid w:val="00910A83"/>
    <w:rsid w:val="00910C07"/>
    <w:rsid w:val="00910D45"/>
    <w:rsid w:val="00910D6F"/>
    <w:rsid w:val="00910E37"/>
    <w:rsid w:val="009110B3"/>
    <w:rsid w:val="0091111A"/>
    <w:rsid w:val="009111BD"/>
    <w:rsid w:val="00911230"/>
    <w:rsid w:val="00911275"/>
    <w:rsid w:val="00911383"/>
    <w:rsid w:val="0091138E"/>
    <w:rsid w:val="00911742"/>
    <w:rsid w:val="009119C5"/>
    <w:rsid w:val="00911BCA"/>
    <w:rsid w:val="00911C53"/>
    <w:rsid w:val="00911EDD"/>
    <w:rsid w:val="00911F2D"/>
    <w:rsid w:val="0091234E"/>
    <w:rsid w:val="00912363"/>
    <w:rsid w:val="00912383"/>
    <w:rsid w:val="009123B9"/>
    <w:rsid w:val="009125A5"/>
    <w:rsid w:val="00912656"/>
    <w:rsid w:val="00912736"/>
    <w:rsid w:val="009127EE"/>
    <w:rsid w:val="00912BDC"/>
    <w:rsid w:val="00912C01"/>
    <w:rsid w:val="00912C47"/>
    <w:rsid w:val="00912DC3"/>
    <w:rsid w:val="00912DC5"/>
    <w:rsid w:val="00912E4E"/>
    <w:rsid w:val="009134D6"/>
    <w:rsid w:val="0091378E"/>
    <w:rsid w:val="009137C3"/>
    <w:rsid w:val="00913A5F"/>
    <w:rsid w:val="00913D98"/>
    <w:rsid w:val="00913DC1"/>
    <w:rsid w:val="009140A4"/>
    <w:rsid w:val="0091425F"/>
    <w:rsid w:val="0091438F"/>
    <w:rsid w:val="00914491"/>
    <w:rsid w:val="00914495"/>
    <w:rsid w:val="0091464A"/>
    <w:rsid w:val="00914876"/>
    <w:rsid w:val="00914AA1"/>
    <w:rsid w:val="00914B92"/>
    <w:rsid w:val="00914BAD"/>
    <w:rsid w:val="00914C02"/>
    <w:rsid w:val="00914C15"/>
    <w:rsid w:val="00914CB0"/>
    <w:rsid w:val="00914DAF"/>
    <w:rsid w:val="0091508A"/>
    <w:rsid w:val="009150BB"/>
    <w:rsid w:val="00915104"/>
    <w:rsid w:val="00915107"/>
    <w:rsid w:val="009152ED"/>
    <w:rsid w:val="00915306"/>
    <w:rsid w:val="009154C8"/>
    <w:rsid w:val="00915567"/>
    <w:rsid w:val="0091557E"/>
    <w:rsid w:val="009155EC"/>
    <w:rsid w:val="009155FA"/>
    <w:rsid w:val="00915722"/>
    <w:rsid w:val="00915815"/>
    <w:rsid w:val="009159C4"/>
    <w:rsid w:val="009159D0"/>
    <w:rsid w:val="00915AFF"/>
    <w:rsid w:val="00915CC2"/>
    <w:rsid w:val="0091602C"/>
    <w:rsid w:val="009161E5"/>
    <w:rsid w:val="009165A5"/>
    <w:rsid w:val="0091663E"/>
    <w:rsid w:val="0091665B"/>
    <w:rsid w:val="0091673B"/>
    <w:rsid w:val="009167D4"/>
    <w:rsid w:val="009167FF"/>
    <w:rsid w:val="00916837"/>
    <w:rsid w:val="00916987"/>
    <w:rsid w:val="00916994"/>
    <w:rsid w:val="009169D5"/>
    <w:rsid w:val="009169E7"/>
    <w:rsid w:val="00916A7E"/>
    <w:rsid w:val="00916B28"/>
    <w:rsid w:val="00916E91"/>
    <w:rsid w:val="00916ED8"/>
    <w:rsid w:val="00916F4B"/>
    <w:rsid w:val="00916FB2"/>
    <w:rsid w:val="0091701C"/>
    <w:rsid w:val="0091706A"/>
    <w:rsid w:val="00917081"/>
    <w:rsid w:val="0091715D"/>
    <w:rsid w:val="00917235"/>
    <w:rsid w:val="00917892"/>
    <w:rsid w:val="00917AD7"/>
    <w:rsid w:val="00917D48"/>
    <w:rsid w:val="00917D93"/>
    <w:rsid w:val="00917DC8"/>
    <w:rsid w:val="00917F47"/>
    <w:rsid w:val="00917FBD"/>
    <w:rsid w:val="00920256"/>
    <w:rsid w:val="0092034D"/>
    <w:rsid w:val="009203C9"/>
    <w:rsid w:val="00920465"/>
    <w:rsid w:val="00920582"/>
    <w:rsid w:val="0092064F"/>
    <w:rsid w:val="00920812"/>
    <w:rsid w:val="00920862"/>
    <w:rsid w:val="00920917"/>
    <w:rsid w:val="0092099E"/>
    <w:rsid w:val="00920EF5"/>
    <w:rsid w:val="00920F44"/>
    <w:rsid w:val="00920FE3"/>
    <w:rsid w:val="00921091"/>
    <w:rsid w:val="0092113D"/>
    <w:rsid w:val="00921265"/>
    <w:rsid w:val="0092138E"/>
    <w:rsid w:val="00921415"/>
    <w:rsid w:val="00921450"/>
    <w:rsid w:val="009214EF"/>
    <w:rsid w:val="00921552"/>
    <w:rsid w:val="009216E7"/>
    <w:rsid w:val="00921824"/>
    <w:rsid w:val="0092184A"/>
    <w:rsid w:val="00921A73"/>
    <w:rsid w:val="00921CC1"/>
    <w:rsid w:val="009220E9"/>
    <w:rsid w:val="00922228"/>
    <w:rsid w:val="00922573"/>
    <w:rsid w:val="009225FE"/>
    <w:rsid w:val="009226D4"/>
    <w:rsid w:val="00922781"/>
    <w:rsid w:val="00922815"/>
    <w:rsid w:val="0092283D"/>
    <w:rsid w:val="009229CA"/>
    <w:rsid w:val="00922A42"/>
    <w:rsid w:val="00922CEB"/>
    <w:rsid w:val="00922E10"/>
    <w:rsid w:val="00922EA4"/>
    <w:rsid w:val="00922EF4"/>
    <w:rsid w:val="009230C8"/>
    <w:rsid w:val="009230CC"/>
    <w:rsid w:val="00923268"/>
    <w:rsid w:val="009233A3"/>
    <w:rsid w:val="009236CA"/>
    <w:rsid w:val="0092376C"/>
    <w:rsid w:val="00923896"/>
    <w:rsid w:val="00923E73"/>
    <w:rsid w:val="009241A6"/>
    <w:rsid w:val="009241FE"/>
    <w:rsid w:val="00924462"/>
    <w:rsid w:val="009244C5"/>
    <w:rsid w:val="0092464B"/>
    <w:rsid w:val="009246A3"/>
    <w:rsid w:val="009246F8"/>
    <w:rsid w:val="0092476C"/>
    <w:rsid w:val="009248F9"/>
    <w:rsid w:val="009249F7"/>
    <w:rsid w:val="00924A6C"/>
    <w:rsid w:val="00924AC3"/>
    <w:rsid w:val="00924C23"/>
    <w:rsid w:val="00924C39"/>
    <w:rsid w:val="00924C55"/>
    <w:rsid w:val="00924F24"/>
    <w:rsid w:val="00924F2A"/>
    <w:rsid w:val="00924FB7"/>
    <w:rsid w:val="009250D7"/>
    <w:rsid w:val="00925626"/>
    <w:rsid w:val="009257F7"/>
    <w:rsid w:val="0092596E"/>
    <w:rsid w:val="00925A24"/>
    <w:rsid w:val="00925AAB"/>
    <w:rsid w:val="00925BE7"/>
    <w:rsid w:val="00925C00"/>
    <w:rsid w:val="00925E6C"/>
    <w:rsid w:val="00925FBA"/>
    <w:rsid w:val="009260DE"/>
    <w:rsid w:val="00926294"/>
    <w:rsid w:val="00926700"/>
    <w:rsid w:val="0092692F"/>
    <w:rsid w:val="00926994"/>
    <w:rsid w:val="009269B2"/>
    <w:rsid w:val="009269EA"/>
    <w:rsid w:val="00926A78"/>
    <w:rsid w:val="00926B6A"/>
    <w:rsid w:val="00926BD9"/>
    <w:rsid w:val="00926C08"/>
    <w:rsid w:val="00926D0B"/>
    <w:rsid w:val="00926FDA"/>
    <w:rsid w:val="00927006"/>
    <w:rsid w:val="009270BB"/>
    <w:rsid w:val="0092713B"/>
    <w:rsid w:val="00927429"/>
    <w:rsid w:val="00927561"/>
    <w:rsid w:val="0092769E"/>
    <w:rsid w:val="009277C3"/>
    <w:rsid w:val="009277C8"/>
    <w:rsid w:val="00927820"/>
    <w:rsid w:val="00927B55"/>
    <w:rsid w:val="00927B9A"/>
    <w:rsid w:val="00927DB7"/>
    <w:rsid w:val="00927DEC"/>
    <w:rsid w:val="00927E6E"/>
    <w:rsid w:val="00927F18"/>
    <w:rsid w:val="00927F37"/>
    <w:rsid w:val="009300DC"/>
    <w:rsid w:val="009303CD"/>
    <w:rsid w:val="00930408"/>
    <w:rsid w:val="009306F3"/>
    <w:rsid w:val="00930785"/>
    <w:rsid w:val="0093086F"/>
    <w:rsid w:val="009308E3"/>
    <w:rsid w:val="009309B4"/>
    <w:rsid w:val="00930A20"/>
    <w:rsid w:val="00930AFE"/>
    <w:rsid w:val="00930DA0"/>
    <w:rsid w:val="00930E16"/>
    <w:rsid w:val="00930E98"/>
    <w:rsid w:val="00930F03"/>
    <w:rsid w:val="00930F5C"/>
    <w:rsid w:val="00930F8D"/>
    <w:rsid w:val="009311F1"/>
    <w:rsid w:val="0093121D"/>
    <w:rsid w:val="0093128B"/>
    <w:rsid w:val="009312EA"/>
    <w:rsid w:val="00931491"/>
    <w:rsid w:val="009317A7"/>
    <w:rsid w:val="009317C3"/>
    <w:rsid w:val="00931804"/>
    <w:rsid w:val="00931A79"/>
    <w:rsid w:val="00931A7B"/>
    <w:rsid w:val="00931B01"/>
    <w:rsid w:val="00931CA4"/>
    <w:rsid w:val="00931DBA"/>
    <w:rsid w:val="00931ED1"/>
    <w:rsid w:val="00931FE3"/>
    <w:rsid w:val="00932131"/>
    <w:rsid w:val="00932588"/>
    <w:rsid w:val="0093264F"/>
    <w:rsid w:val="009326C9"/>
    <w:rsid w:val="0093288B"/>
    <w:rsid w:val="0093290D"/>
    <w:rsid w:val="009329C7"/>
    <w:rsid w:val="00932C7B"/>
    <w:rsid w:val="00932DFA"/>
    <w:rsid w:val="00932E45"/>
    <w:rsid w:val="00932FAB"/>
    <w:rsid w:val="00933060"/>
    <w:rsid w:val="00933280"/>
    <w:rsid w:val="00933474"/>
    <w:rsid w:val="009334F1"/>
    <w:rsid w:val="00933818"/>
    <w:rsid w:val="00933867"/>
    <w:rsid w:val="00933A17"/>
    <w:rsid w:val="00933F49"/>
    <w:rsid w:val="00934266"/>
    <w:rsid w:val="00934268"/>
    <w:rsid w:val="009342F7"/>
    <w:rsid w:val="00934314"/>
    <w:rsid w:val="0093435D"/>
    <w:rsid w:val="00934372"/>
    <w:rsid w:val="009343D3"/>
    <w:rsid w:val="00934483"/>
    <w:rsid w:val="009344F0"/>
    <w:rsid w:val="00934559"/>
    <w:rsid w:val="0093457D"/>
    <w:rsid w:val="00934581"/>
    <w:rsid w:val="00934857"/>
    <w:rsid w:val="00934A38"/>
    <w:rsid w:val="00934A7A"/>
    <w:rsid w:val="00934B61"/>
    <w:rsid w:val="00934D16"/>
    <w:rsid w:val="00934DB5"/>
    <w:rsid w:val="00934DB8"/>
    <w:rsid w:val="00934E58"/>
    <w:rsid w:val="00934F4E"/>
    <w:rsid w:val="00934F9D"/>
    <w:rsid w:val="00935109"/>
    <w:rsid w:val="0093521F"/>
    <w:rsid w:val="009352CE"/>
    <w:rsid w:val="009353EC"/>
    <w:rsid w:val="00935677"/>
    <w:rsid w:val="0093572D"/>
    <w:rsid w:val="0093576F"/>
    <w:rsid w:val="009358C5"/>
    <w:rsid w:val="009358D3"/>
    <w:rsid w:val="00935A17"/>
    <w:rsid w:val="00935B0D"/>
    <w:rsid w:val="00935C05"/>
    <w:rsid w:val="00935C9F"/>
    <w:rsid w:val="00935D67"/>
    <w:rsid w:val="00935F69"/>
    <w:rsid w:val="00935FE4"/>
    <w:rsid w:val="0093608C"/>
    <w:rsid w:val="00936183"/>
    <w:rsid w:val="009362F9"/>
    <w:rsid w:val="009363B9"/>
    <w:rsid w:val="00936420"/>
    <w:rsid w:val="0093649B"/>
    <w:rsid w:val="00936980"/>
    <w:rsid w:val="00936BFB"/>
    <w:rsid w:val="00936D3E"/>
    <w:rsid w:val="00936F6E"/>
    <w:rsid w:val="00937099"/>
    <w:rsid w:val="0093747B"/>
    <w:rsid w:val="00937556"/>
    <w:rsid w:val="009375F0"/>
    <w:rsid w:val="00937750"/>
    <w:rsid w:val="00937869"/>
    <w:rsid w:val="00937870"/>
    <w:rsid w:val="00937897"/>
    <w:rsid w:val="00937899"/>
    <w:rsid w:val="009379FC"/>
    <w:rsid w:val="00937B29"/>
    <w:rsid w:val="00937BAD"/>
    <w:rsid w:val="00937C3E"/>
    <w:rsid w:val="00937D98"/>
    <w:rsid w:val="00937F9B"/>
    <w:rsid w:val="0094008E"/>
    <w:rsid w:val="00940281"/>
    <w:rsid w:val="00940506"/>
    <w:rsid w:val="0094056D"/>
    <w:rsid w:val="009405D5"/>
    <w:rsid w:val="009406AF"/>
    <w:rsid w:val="00940877"/>
    <w:rsid w:val="00940997"/>
    <w:rsid w:val="009409D5"/>
    <w:rsid w:val="00940BC3"/>
    <w:rsid w:val="00940D94"/>
    <w:rsid w:val="00940F2B"/>
    <w:rsid w:val="009410F2"/>
    <w:rsid w:val="0094124D"/>
    <w:rsid w:val="009412CB"/>
    <w:rsid w:val="0094132F"/>
    <w:rsid w:val="009413B4"/>
    <w:rsid w:val="00941484"/>
    <w:rsid w:val="009415A1"/>
    <w:rsid w:val="009415CB"/>
    <w:rsid w:val="00941632"/>
    <w:rsid w:val="00941690"/>
    <w:rsid w:val="0094181B"/>
    <w:rsid w:val="009419B9"/>
    <w:rsid w:val="00941A26"/>
    <w:rsid w:val="00941CE9"/>
    <w:rsid w:val="00941FE5"/>
    <w:rsid w:val="00942199"/>
    <w:rsid w:val="009421EC"/>
    <w:rsid w:val="00942283"/>
    <w:rsid w:val="009422E6"/>
    <w:rsid w:val="00942469"/>
    <w:rsid w:val="00942672"/>
    <w:rsid w:val="009428E3"/>
    <w:rsid w:val="009429BD"/>
    <w:rsid w:val="00942BB8"/>
    <w:rsid w:val="00942BD3"/>
    <w:rsid w:val="00942DB7"/>
    <w:rsid w:val="00942DD7"/>
    <w:rsid w:val="00943562"/>
    <w:rsid w:val="00943597"/>
    <w:rsid w:val="0094359E"/>
    <w:rsid w:val="0094367F"/>
    <w:rsid w:val="009437A0"/>
    <w:rsid w:val="009437A3"/>
    <w:rsid w:val="009438EC"/>
    <w:rsid w:val="009439CC"/>
    <w:rsid w:val="00943A32"/>
    <w:rsid w:val="00943C44"/>
    <w:rsid w:val="00943C9B"/>
    <w:rsid w:val="009440A3"/>
    <w:rsid w:val="00944204"/>
    <w:rsid w:val="009444A6"/>
    <w:rsid w:val="0094464E"/>
    <w:rsid w:val="0094468D"/>
    <w:rsid w:val="00944828"/>
    <w:rsid w:val="00944BEB"/>
    <w:rsid w:val="00944D3E"/>
    <w:rsid w:val="00944E93"/>
    <w:rsid w:val="009450B0"/>
    <w:rsid w:val="00945155"/>
    <w:rsid w:val="00945281"/>
    <w:rsid w:val="00945286"/>
    <w:rsid w:val="009453F3"/>
    <w:rsid w:val="00945520"/>
    <w:rsid w:val="0094554D"/>
    <w:rsid w:val="0094555B"/>
    <w:rsid w:val="0094563C"/>
    <w:rsid w:val="00945762"/>
    <w:rsid w:val="00945919"/>
    <w:rsid w:val="009459FA"/>
    <w:rsid w:val="00945A3F"/>
    <w:rsid w:val="00945B8A"/>
    <w:rsid w:val="00945C7D"/>
    <w:rsid w:val="00945D65"/>
    <w:rsid w:val="00945FA9"/>
    <w:rsid w:val="00945FD7"/>
    <w:rsid w:val="009460A4"/>
    <w:rsid w:val="0094654D"/>
    <w:rsid w:val="00946763"/>
    <w:rsid w:val="00946783"/>
    <w:rsid w:val="0094679E"/>
    <w:rsid w:val="00946A78"/>
    <w:rsid w:val="00946BD3"/>
    <w:rsid w:val="00947038"/>
    <w:rsid w:val="009470E3"/>
    <w:rsid w:val="009470E7"/>
    <w:rsid w:val="00947236"/>
    <w:rsid w:val="0094726C"/>
    <w:rsid w:val="00947505"/>
    <w:rsid w:val="00947642"/>
    <w:rsid w:val="00947C70"/>
    <w:rsid w:val="00947D34"/>
    <w:rsid w:val="00947E1A"/>
    <w:rsid w:val="00947E36"/>
    <w:rsid w:val="00947FC5"/>
    <w:rsid w:val="0095029A"/>
    <w:rsid w:val="00950320"/>
    <w:rsid w:val="0095056E"/>
    <w:rsid w:val="009507A6"/>
    <w:rsid w:val="00950872"/>
    <w:rsid w:val="00950A39"/>
    <w:rsid w:val="00950A5C"/>
    <w:rsid w:val="00950AAD"/>
    <w:rsid w:val="00950C86"/>
    <w:rsid w:val="00950E6B"/>
    <w:rsid w:val="00950F4B"/>
    <w:rsid w:val="009511D0"/>
    <w:rsid w:val="0095137C"/>
    <w:rsid w:val="00951384"/>
    <w:rsid w:val="00951489"/>
    <w:rsid w:val="009514D3"/>
    <w:rsid w:val="009514D9"/>
    <w:rsid w:val="0095152D"/>
    <w:rsid w:val="00951533"/>
    <w:rsid w:val="009515F7"/>
    <w:rsid w:val="00951870"/>
    <w:rsid w:val="009518AC"/>
    <w:rsid w:val="00951C12"/>
    <w:rsid w:val="00951D77"/>
    <w:rsid w:val="00951D7F"/>
    <w:rsid w:val="00951E6C"/>
    <w:rsid w:val="00951ECA"/>
    <w:rsid w:val="00951F3B"/>
    <w:rsid w:val="00951FD2"/>
    <w:rsid w:val="009520B1"/>
    <w:rsid w:val="009520C2"/>
    <w:rsid w:val="00952151"/>
    <w:rsid w:val="00952192"/>
    <w:rsid w:val="009521BA"/>
    <w:rsid w:val="0095230D"/>
    <w:rsid w:val="0095247A"/>
    <w:rsid w:val="009524F3"/>
    <w:rsid w:val="00952721"/>
    <w:rsid w:val="00952763"/>
    <w:rsid w:val="00952764"/>
    <w:rsid w:val="00952835"/>
    <w:rsid w:val="00952885"/>
    <w:rsid w:val="009529FD"/>
    <w:rsid w:val="00952AA1"/>
    <w:rsid w:val="00952B7C"/>
    <w:rsid w:val="00952BEF"/>
    <w:rsid w:val="00952C6F"/>
    <w:rsid w:val="00952D7E"/>
    <w:rsid w:val="00952DCF"/>
    <w:rsid w:val="00952F36"/>
    <w:rsid w:val="0095308D"/>
    <w:rsid w:val="00953251"/>
    <w:rsid w:val="00953473"/>
    <w:rsid w:val="009534EC"/>
    <w:rsid w:val="00953729"/>
    <w:rsid w:val="0095375E"/>
    <w:rsid w:val="00953865"/>
    <w:rsid w:val="0095390E"/>
    <w:rsid w:val="00953B59"/>
    <w:rsid w:val="00953D2D"/>
    <w:rsid w:val="00953DE2"/>
    <w:rsid w:val="0095410E"/>
    <w:rsid w:val="00954144"/>
    <w:rsid w:val="00954417"/>
    <w:rsid w:val="009544E6"/>
    <w:rsid w:val="009549D3"/>
    <w:rsid w:val="00954A9A"/>
    <w:rsid w:val="00954B26"/>
    <w:rsid w:val="00954B31"/>
    <w:rsid w:val="00954C90"/>
    <w:rsid w:val="00954D22"/>
    <w:rsid w:val="00954F34"/>
    <w:rsid w:val="00955178"/>
    <w:rsid w:val="0095538B"/>
    <w:rsid w:val="0095538D"/>
    <w:rsid w:val="0095588C"/>
    <w:rsid w:val="0095589B"/>
    <w:rsid w:val="00955A39"/>
    <w:rsid w:val="00955A69"/>
    <w:rsid w:val="00955BC5"/>
    <w:rsid w:val="00955C89"/>
    <w:rsid w:val="00955CFE"/>
    <w:rsid w:val="00955E0D"/>
    <w:rsid w:val="00955E19"/>
    <w:rsid w:val="00955E7F"/>
    <w:rsid w:val="00955EB7"/>
    <w:rsid w:val="0095629C"/>
    <w:rsid w:val="0095665B"/>
    <w:rsid w:val="0095690C"/>
    <w:rsid w:val="0095691A"/>
    <w:rsid w:val="00956B26"/>
    <w:rsid w:val="00956C1F"/>
    <w:rsid w:val="00956CF3"/>
    <w:rsid w:val="00956F36"/>
    <w:rsid w:val="009570F2"/>
    <w:rsid w:val="00957675"/>
    <w:rsid w:val="009576E8"/>
    <w:rsid w:val="009576EA"/>
    <w:rsid w:val="00957771"/>
    <w:rsid w:val="0095779C"/>
    <w:rsid w:val="009577A8"/>
    <w:rsid w:val="009577C2"/>
    <w:rsid w:val="0095785A"/>
    <w:rsid w:val="00957937"/>
    <w:rsid w:val="009601D7"/>
    <w:rsid w:val="00960248"/>
    <w:rsid w:val="00960308"/>
    <w:rsid w:val="009608C6"/>
    <w:rsid w:val="00960946"/>
    <w:rsid w:val="0096097A"/>
    <w:rsid w:val="00960B2B"/>
    <w:rsid w:val="00960DF2"/>
    <w:rsid w:val="00960E38"/>
    <w:rsid w:val="00960EEA"/>
    <w:rsid w:val="009610E9"/>
    <w:rsid w:val="0096111C"/>
    <w:rsid w:val="0096133A"/>
    <w:rsid w:val="009613F3"/>
    <w:rsid w:val="00961582"/>
    <w:rsid w:val="00961604"/>
    <w:rsid w:val="009616BE"/>
    <w:rsid w:val="00961709"/>
    <w:rsid w:val="00961861"/>
    <w:rsid w:val="00961894"/>
    <w:rsid w:val="009618A8"/>
    <w:rsid w:val="00961A8C"/>
    <w:rsid w:val="00961D35"/>
    <w:rsid w:val="00961F6A"/>
    <w:rsid w:val="0096202C"/>
    <w:rsid w:val="00962049"/>
    <w:rsid w:val="0096217A"/>
    <w:rsid w:val="00962432"/>
    <w:rsid w:val="00962464"/>
    <w:rsid w:val="00962662"/>
    <w:rsid w:val="00962A10"/>
    <w:rsid w:val="00962A79"/>
    <w:rsid w:val="00962F1C"/>
    <w:rsid w:val="00962F4D"/>
    <w:rsid w:val="00962F84"/>
    <w:rsid w:val="009630D7"/>
    <w:rsid w:val="0096313D"/>
    <w:rsid w:val="009631D9"/>
    <w:rsid w:val="0096359E"/>
    <w:rsid w:val="0096366C"/>
    <w:rsid w:val="0096399C"/>
    <w:rsid w:val="00963B00"/>
    <w:rsid w:val="00963B29"/>
    <w:rsid w:val="00963B5B"/>
    <w:rsid w:val="00963D27"/>
    <w:rsid w:val="00963D83"/>
    <w:rsid w:val="00963DE3"/>
    <w:rsid w:val="00963EE0"/>
    <w:rsid w:val="00963F62"/>
    <w:rsid w:val="00964505"/>
    <w:rsid w:val="009645A0"/>
    <w:rsid w:val="00964709"/>
    <w:rsid w:val="0096481B"/>
    <w:rsid w:val="009648E0"/>
    <w:rsid w:val="00964A68"/>
    <w:rsid w:val="00964B44"/>
    <w:rsid w:val="00964B4A"/>
    <w:rsid w:val="00964CA0"/>
    <w:rsid w:val="00964D3E"/>
    <w:rsid w:val="00964DC4"/>
    <w:rsid w:val="0096505E"/>
    <w:rsid w:val="009652E5"/>
    <w:rsid w:val="00965521"/>
    <w:rsid w:val="00965920"/>
    <w:rsid w:val="00965A38"/>
    <w:rsid w:val="00965F15"/>
    <w:rsid w:val="00965F49"/>
    <w:rsid w:val="0096632E"/>
    <w:rsid w:val="009663C6"/>
    <w:rsid w:val="0096642B"/>
    <w:rsid w:val="00966540"/>
    <w:rsid w:val="00966ABC"/>
    <w:rsid w:val="00966AD2"/>
    <w:rsid w:val="00966ADB"/>
    <w:rsid w:val="00966BDB"/>
    <w:rsid w:val="00966CB4"/>
    <w:rsid w:val="00966D89"/>
    <w:rsid w:val="0096707D"/>
    <w:rsid w:val="0096714B"/>
    <w:rsid w:val="00967227"/>
    <w:rsid w:val="009672A8"/>
    <w:rsid w:val="009674BE"/>
    <w:rsid w:val="00967589"/>
    <w:rsid w:val="009675A0"/>
    <w:rsid w:val="009676FC"/>
    <w:rsid w:val="0096787F"/>
    <w:rsid w:val="009679D4"/>
    <w:rsid w:val="00967C06"/>
    <w:rsid w:val="00967D2B"/>
    <w:rsid w:val="00967E75"/>
    <w:rsid w:val="00970050"/>
    <w:rsid w:val="00970060"/>
    <w:rsid w:val="00970357"/>
    <w:rsid w:val="009704FC"/>
    <w:rsid w:val="00970B0A"/>
    <w:rsid w:val="00970B4E"/>
    <w:rsid w:val="00970B79"/>
    <w:rsid w:val="00970BA5"/>
    <w:rsid w:val="00970DAC"/>
    <w:rsid w:val="00970DD7"/>
    <w:rsid w:val="00970DF2"/>
    <w:rsid w:val="00970F6C"/>
    <w:rsid w:val="00970FA3"/>
    <w:rsid w:val="0097107A"/>
    <w:rsid w:val="009712A5"/>
    <w:rsid w:val="009713B6"/>
    <w:rsid w:val="00971456"/>
    <w:rsid w:val="0097155F"/>
    <w:rsid w:val="00971773"/>
    <w:rsid w:val="009717D9"/>
    <w:rsid w:val="009717DF"/>
    <w:rsid w:val="009717F7"/>
    <w:rsid w:val="0097180E"/>
    <w:rsid w:val="00971904"/>
    <w:rsid w:val="00971C93"/>
    <w:rsid w:val="00971CB4"/>
    <w:rsid w:val="00971D62"/>
    <w:rsid w:val="00971D66"/>
    <w:rsid w:val="00971E01"/>
    <w:rsid w:val="00971F30"/>
    <w:rsid w:val="009720D7"/>
    <w:rsid w:val="009720FF"/>
    <w:rsid w:val="00972192"/>
    <w:rsid w:val="009724BE"/>
    <w:rsid w:val="0097256F"/>
    <w:rsid w:val="0097260A"/>
    <w:rsid w:val="00972662"/>
    <w:rsid w:val="00972671"/>
    <w:rsid w:val="009726FE"/>
    <w:rsid w:val="009727E1"/>
    <w:rsid w:val="00972816"/>
    <w:rsid w:val="0097287E"/>
    <w:rsid w:val="0097288E"/>
    <w:rsid w:val="0097296E"/>
    <w:rsid w:val="009729DA"/>
    <w:rsid w:val="00972AEF"/>
    <w:rsid w:val="00972B11"/>
    <w:rsid w:val="00972C64"/>
    <w:rsid w:val="00972E5C"/>
    <w:rsid w:val="00972E86"/>
    <w:rsid w:val="00972E89"/>
    <w:rsid w:val="00972E9D"/>
    <w:rsid w:val="00973120"/>
    <w:rsid w:val="0097356F"/>
    <w:rsid w:val="00973608"/>
    <w:rsid w:val="00973617"/>
    <w:rsid w:val="00973658"/>
    <w:rsid w:val="0097367E"/>
    <w:rsid w:val="009736E2"/>
    <w:rsid w:val="00973898"/>
    <w:rsid w:val="009738F7"/>
    <w:rsid w:val="00973921"/>
    <w:rsid w:val="009739C6"/>
    <w:rsid w:val="00973CFB"/>
    <w:rsid w:val="00973E83"/>
    <w:rsid w:val="00974197"/>
    <w:rsid w:val="0097430B"/>
    <w:rsid w:val="0097452D"/>
    <w:rsid w:val="00974640"/>
    <w:rsid w:val="00974935"/>
    <w:rsid w:val="00974965"/>
    <w:rsid w:val="00974A54"/>
    <w:rsid w:val="00974AA4"/>
    <w:rsid w:val="00974BB0"/>
    <w:rsid w:val="00974DCF"/>
    <w:rsid w:val="00974F96"/>
    <w:rsid w:val="00975194"/>
    <w:rsid w:val="00975297"/>
    <w:rsid w:val="009754DE"/>
    <w:rsid w:val="00975521"/>
    <w:rsid w:val="00975553"/>
    <w:rsid w:val="00975564"/>
    <w:rsid w:val="00975AAB"/>
    <w:rsid w:val="00975B29"/>
    <w:rsid w:val="00975DD1"/>
    <w:rsid w:val="00976055"/>
    <w:rsid w:val="0097612E"/>
    <w:rsid w:val="00976443"/>
    <w:rsid w:val="0097645F"/>
    <w:rsid w:val="00976622"/>
    <w:rsid w:val="0097664F"/>
    <w:rsid w:val="00976659"/>
    <w:rsid w:val="00976664"/>
    <w:rsid w:val="00976754"/>
    <w:rsid w:val="0097678E"/>
    <w:rsid w:val="00976993"/>
    <w:rsid w:val="00976C76"/>
    <w:rsid w:val="00976CBF"/>
    <w:rsid w:val="00976D37"/>
    <w:rsid w:val="00977055"/>
    <w:rsid w:val="009772E3"/>
    <w:rsid w:val="00977320"/>
    <w:rsid w:val="009774C6"/>
    <w:rsid w:val="009775AD"/>
    <w:rsid w:val="00977663"/>
    <w:rsid w:val="0097776D"/>
    <w:rsid w:val="009779FE"/>
    <w:rsid w:val="00977AF5"/>
    <w:rsid w:val="00977C38"/>
    <w:rsid w:val="00977CA6"/>
    <w:rsid w:val="00980029"/>
    <w:rsid w:val="00980283"/>
    <w:rsid w:val="0098032D"/>
    <w:rsid w:val="0098036A"/>
    <w:rsid w:val="00980385"/>
    <w:rsid w:val="00980408"/>
    <w:rsid w:val="00980579"/>
    <w:rsid w:val="0098083C"/>
    <w:rsid w:val="009808A0"/>
    <w:rsid w:val="00980922"/>
    <w:rsid w:val="00980970"/>
    <w:rsid w:val="009809E8"/>
    <w:rsid w:val="00980ABD"/>
    <w:rsid w:val="00980C6E"/>
    <w:rsid w:val="00980D38"/>
    <w:rsid w:val="00980F61"/>
    <w:rsid w:val="00981007"/>
    <w:rsid w:val="009810DE"/>
    <w:rsid w:val="0098110C"/>
    <w:rsid w:val="0098114A"/>
    <w:rsid w:val="009812E6"/>
    <w:rsid w:val="00981409"/>
    <w:rsid w:val="00981591"/>
    <w:rsid w:val="009816B7"/>
    <w:rsid w:val="0098190A"/>
    <w:rsid w:val="00981BAB"/>
    <w:rsid w:val="00981BE2"/>
    <w:rsid w:val="00981CC4"/>
    <w:rsid w:val="00981F63"/>
    <w:rsid w:val="00982041"/>
    <w:rsid w:val="00982049"/>
    <w:rsid w:val="0098220E"/>
    <w:rsid w:val="0098225C"/>
    <w:rsid w:val="009822E2"/>
    <w:rsid w:val="00982593"/>
    <w:rsid w:val="009825C0"/>
    <w:rsid w:val="009828E5"/>
    <w:rsid w:val="00982908"/>
    <w:rsid w:val="00982A6F"/>
    <w:rsid w:val="00982A95"/>
    <w:rsid w:val="00982AD5"/>
    <w:rsid w:val="00982C79"/>
    <w:rsid w:val="00982CC5"/>
    <w:rsid w:val="00982FF2"/>
    <w:rsid w:val="00983075"/>
    <w:rsid w:val="00983246"/>
    <w:rsid w:val="00983422"/>
    <w:rsid w:val="00983531"/>
    <w:rsid w:val="0098353E"/>
    <w:rsid w:val="00983646"/>
    <w:rsid w:val="009837D9"/>
    <w:rsid w:val="00983859"/>
    <w:rsid w:val="0098387D"/>
    <w:rsid w:val="009839A3"/>
    <w:rsid w:val="00983BD7"/>
    <w:rsid w:val="00983E4A"/>
    <w:rsid w:val="00983EAE"/>
    <w:rsid w:val="00983FA4"/>
    <w:rsid w:val="00983FD6"/>
    <w:rsid w:val="00984324"/>
    <w:rsid w:val="0098440B"/>
    <w:rsid w:val="00984637"/>
    <w:rsid w:val="009847DC"/>
    <w:rsid w:val="0098498B"/>
    <w:rsid w:val="009849E3"/>
    <w:rsid w:val="00984AD8"/>
    <w:rsid w:val="00984CBC"/>
    <w:rsid w:val="00984CFD"/>
    <w:rsid w:val="00984D5E"/>
    <w:rsid w:val="00984DCD"/>
    <w:rsid w:val="00984F8C"/>
    <w:rsid w:val="00985115"/>
    <w:rsid w:val="00985291"/>
    <w:rsid w:val="00985422"/>
    <w:rsid w:val="00985536"/>
    <w:rsid w:val="009855CB"/>
    <w:rsid w:val="00985B2C"/>
    <w:rsid w:val="00985EB5"/>
    <w:rsid w:val="00985EB7"/>
    <w:rsid w:val="00985F89"/>
    <w:rsid w:val="009861A8"/>
    <w:rsid w:val="00986408"/>
    <w:rsid w:val="00986528"/>
    <w:rsid w:val="00986731"/>
    <w:rsid w:val="00986949"/>
    <w:rsid w:val="00986B6C"/>
    <w:rsid w:val="00986D83"/>
    <w:rsid w:val="00986FF5"/>
    <w:rsid w:val="00987203"/>
    <w:rsid w:val="0098747D"/>
    <w:rsid w:val="00987576"/>
    <w:rsid w:val="0098774E"/>
    <w:rsid w:val="00987773"/>
    <w:rsid w:val="009877B7"/>
    <w:rsid w:val="00987910"/>
    <w:rsid w:val="0098797C"/>
    <w:rsid w:val="00987A0A"/>
    <w:rsid w:val="00987D11"/>
    <w:rsid w:val="009901BE"/>
    <w:rsid w:val="00990230"/>
    <w:rsid w:val="009902ED"/>
    <w:rsid w:val="009904E3"/>
    <w:rsid w:val="009905C7"/>
    <w:rsid w:val="009908C4"/>
    <w:rsid w:val="00990975"/>
    <w:rsid w:val="009909D6"/>
    <w:rsid w:val="00990A12"/>
    <w:rsid w:val="00990A98"/>
    <w:rsid w:val="00990CED"/>
    <w:rsid w:val="00990EE9"/>
    <w:rsid w:val="00990F4A"/>
    <w:rsid w:val="00990FCF"/>
    <w:rsid w:val="00991030"/>
    <w:rsid w:val="009914A9"/>
    <w:rsid w:val="00991503"/>
    <w:rsid w:val="0099167B"/>
    <w:rsid w:val="00991764"/>
    <w:rsid w:val="0099178C"/>
    <w:rsid w:val="00991AA6"/>
    <w:rsid w:val="00991D18"/>
    <w:rsid w:val="00991E04"/>
    <w:rsid w:val="00992110"/>
    <w:rsid w:val="00992243"/>
    <w:rsid w:val="00992268"/>
    <w:rsid w:val="0099234F"/>
    <w:rsid w:val="00992388"/>
    <w:rsid w:val="009923BE"/>
    <w:rsid w:val="009926B0"/>
    <w:rsid w:val="009926F2"/>
    <w:rsid w:val="00992A04"/>
    <w:rsid w:val="00992AA4"/>
    <w:rsid w:val="00993055"/>
    <w:rsid w:val="009930BD"/>
    <w:rsid w:val="009933AF"/>
    <w:rsid w:val="00993495"/>
    <w:rsid w:val="009934D7"/>
    <w:rsid w:val="00993706"/>
    <w:rsid w:val="00993974"/>
    <w:rsid w:val="0099398F"/>
    <w:rsid w:val="00993A5C"/>
    <w:rsid w:val="00993CE7"/>
    <w:rsid w:val="00993E63"/>
    <w:rsid w:val="00993F53"/>
    <w:rsid w:val="0099409C"/>
    <w:rsid w:val="009943C5"/>
    <w:rsid w:val="0099458C"/>
    <w:rsid w:val="00994595"/>
    <w:rsid w:val="00994748"/>
    <w:rsid w:val="009947D0"/>
    <w:rsid w:val="009947E4"/>
    <w:rsid w:val="009948F1"/>
    <w:rsid w:val="009948FA"/>
    <w:rsid w:val="00994AA9"/>
    <w:rsid w:val="00994B2F"/>
    <w:rsid w:val="00994B38"/>
    <w:rsid w:val="00994B55"/>
    <w:rsid w:val="00994F0E"/>
    <w:rsid w:val="00994F56"/>
    <w:rsid w:val="00995034"/>
    <w:rsid w:val="0099523F"/>
    <w:rsid w:val="00995309"/>
    <w:rsid w:val="009953CB"/>
    <w:rsid w:val="0099553E"/>
    <w:rsid w:val="009955A4"/>
    <w:rsid w:val="009955C7"/>
    <w:rsid w:val="009955F3"/>
    <w:rsid w:val="0099570C"/>
    <w:rsid w:val="009957FA"/>
    <w:rsid w:val="0099583B"/>
    <w:rsid w:val="00995C60"/>
    <w:rsid w:val="00996026"/>
    <w:rsid w:val="0099612F"/>
    <w:rsid w:val="0099614C"/>
    <w:rsid w:val="00996369"/>
    <w:rsid w:val="00996691"/>
    <w:rsid w:val="009967CA"/>
    <w:rsid w:val="00996961"/>
    <w:rsid w:val="00996C67"/>
    <w:rsid w:val="00996C7C"/>
    <w:rsid w:val="00996D0A"/>
    <w:rsid w:val="00996EEF"/>
    <w:rsid w:val="00996F07"/>
    <w:rsid w:val="0099746D"/>
    <w:rsid w:val="009975C0"/>
    <w:rsid w:val="00997844"/>
    <w:rsid w:val="00997B25"/>
    <w:rsid w:val="00997C35"/>
    <w:rsid w:val="00997CBA"/>
    <w:rsid w:val="009A000D"/>
    <w:rsid w:val="009A004C"/>
    <w:rsid w:val="009A01F3"/>
    <w:rsid w:val="009A0285"/>
    <w:rsid w:val="009A0315"/>
    <w:rsid w:val="009A03A5"/>
    <w:rsid w:val="009A051C"/>
    <w:rsid w:val="009A0596"/>
    <w:rsid w:val="009A0756"/>
    <w:rsid w:val="009A07CD"/>
    <w:rsid w:val="009A083A"/>
    <w:rsid w:val="009A090C"/>
    <w:rsid w:val="009A0930"/>
    <w:rsid w:val="009A097E"/>
    <w:rsid w:val="009A0AB8"/>
    <w:rsid w:val="009A0B5E"/>
    <w:rsid w:val="009A0CA7"/>
    <w:rsid w:val="009A0EF1"/>
    <w:rsid w:val="009A1061"/>
    <w:rsid w:val="009A111D"/>
    <w:rsid w:val="009A125E"/>
    <w:rsid w:val="009A133C"/>
    <w:rsid w:val="009A16D5"/>
    <w:rsid w:val="009A174F"/>
    <w:rsid w:val="009A17E6"/>
    <w:rsid w:val="009A188C"/>
    <w:rsid w:val="009A1903"/>
    <w:rsid w:val="009A190E"/>
    <w:rsid w:val="009A1960"/>
    <w:rsid w:val="009A1C64"/>
    <w:rsid w:val="009A1D4F"/>
    <w:rsid w:val="009A1D95"/>
    <w:rsid w:val="009A1ED5"/>
    <w:rsid w:val="009A1EE8"/>
    <w:rsid w:val="009A219E"/>
    <w:rsid w:val="009A22F8"/>
    <w:rsid w:val="009A2337"/>
    <w:rsid w:val="009A24ED"/>
    <w:rsid w:val="009A25CA"/>
    <w:rsid w:val="009A26E6"/>
    <w:rsid w:val="009A2708"/>
    <w:rsid w:val="009A289F"/>
    <w:rsid w:val="009A2A3E"/>
    <w:rsid w:val="009A2D7D"/>
    <w:rsid w:val="009A2F51"/>
    <w:rsid w:val="009A2F81"/>
    <w:rsid w:val="009A3021"/>
    <w:rsid w:val="009A3194"/>
    <w:rsid w:val="009A31F4"/>
    <w:rsid w:val="009A3258"/>
    <w:rsid w:val="009A3262"/>
    <w:rsid w:val="009A34A4"/>
    <w:rsid w:val="009A35B1"/>
    <w:rsid w:val="009A3866"/>
    <w:rsid w:val="009A390F"/>
    <w:rsid w:val="009A391B"/>
    <w:rsid w:val="009A3B28"/>
    <w:rsid w:val="009A3FDA"/>
    <w:rsid w:val="009A41F9"/>
    <w:rsid w:val="009A4220"/>
    <w:rsid w:val="009A4579"/>
    <w:rsid w:val="009A48C9"/>
    <w:rsid w:val="009A48DF"/>
    <w:rsid w:val="009A496B"/>
    <w:rsid w:val="009A4978"/>
    <w:rsid w:val="009A4ABB"/>
    <w:rsid w:val="009A4AE6"/>
    <w:rsid w:val="009A4C00"/>
    <w:rsid w:val="009A4CC1"/>
    <w:rsid w:val="009A4DB4"/>
    <w:rsid w:val="009A4F81"/>
    <w:rsid w:val="009A50A0"/>
    <w:rsid w:val="009A5102"/>
    <w:rsid w:val="009A524C"/>
    <w:rsid w:val="009A5322"/>
    <w:rsid w:val="009A5406"/>
    <w:rsid w:val="009A54E6"/>
    <w:rsid w:val="009A55F3"/>
    <w:rsid w:val="009A57D9"/>
    <w:rsid w:val="009A580E"/>
    <w:rsid w:val="009A5A2A"/>
    <w:rsid w:val="009A5B13"/>
    <w:rsid w:val="009A5B25"/>
    <w:rsid w:val="009A5B4C"/>
    <w:rsid w:val="009A5B83"/>
    <w:rsid w:val="009A5BF7"/>
    <w:rsid w:val="009A5C21"/>
    <w:rsid w:val="009A5D7B"/>
    <w:rsid w:val="009A5D82"/>
    <w:rsid w:val="009A600B"/>
    <w:rsid w:val="009A62A7"/>
    <w:rsid w:val="009A62CC"/>
    <w:rsid w:val="009A62DC"/>
    <w:rsid w:val="009A6736"/>
    <w:rsid w:val="009A67D2"/>
    <w:rsid w:val="009A6AAA"/>
    <w:rsid w:val="009A6B49"/>
    <w:rsid w:val="009A6BAA"/>
    <w:rsid w:val="009A6D78"/>
    <w:rsid w:val="009A7234"/>
    <w:rsid w:val="009A7254"/>
    <w:rsid w:val="009A7362"/>
    <w:rsid w:val="009A7499"/>
    <w:rsid w:val="009A752A"/>
    <w:rsid w:val="009A7700"/>
    <w:rsid w:val="009A774D"/>
    <w:rsid w:val="009A7800"/>
    <w:rsid w:val="009A798B"/>
    <w:rsid w:val="009A79EE"/>
    <w:rsid w:val="009A7C1F"/>
    <w:rsid w:val="009A7E55"/>
    <w:rsid w:val="009B00DC"/>
    <w:rsid w:val="009B04DF"/>
    <w:rsid w:val="009B05BC"/>
    <w:rsid w:val="009B0751"/>
    <w:rsid w:val="009B0841"/>
    <w:rsid w:val="009B09A1"/>
    <w:rsid w:val="009B0A84"/>
    <w:rsid w:val="009B0A9C"/>
    <w:rsid w:val="009B0B03"/>
    <w:rsid w:val="009B0BDB"/>
    <w:rsid w:val="009B0EB5"/>
    <w:rsid w:val="009B0F7A"/>
    <w:rsid w:val="009B1116"/>
    <w:rsid w:val="009B15A6"/>
    <w:rsid w:val="009B1607"/>
    <w:rsid w:val="009B173A"/>
    <w:rsid w:val="009B18AD"/>
    <w:rsid w:val="009B1A27"/>
    <w:rsid w:val="009B1B08"/>
    <w:rsid w:val="009B1BDA"/>
    <w:rsid w:val="009B1BE1"/>
    <w:rsid w:val="009B1CCC"/>
    <w:rsid w:val="009B1E9B"/>
    <w:rsid w:val="009B1F0C"/>
    <w:rsid w:val="009B2044"/>
    <w:rsid w:val="009B235A"/>
    <w:rsid w:val="009B23D9"/>
    <w:rsid w:val="009B2422"/>
    <w:rsid w:val="009B2455"/>
    <w:rsid w:val="009B2531"/>
    <w:rsid w:val="009B2751"/>
    <w:rsid w:val="009B2A29"/>
    <w:rsid w:val="009B2A8D"/>
    <w:rsid w:val="009B2CEE"/>
    <w:rsid w:val="009B2F11"/>
    <w:rsid w:val="009B31EA"/>
    <w:rsid w:val="009B31F1"/>
    <w:rsid w:val="009B3621"/>
    <w:rsid w:val="009B3832"/>
    <w:rsid w:val="009B38A5"/>
    <w:rsid w:val="009B38D2"/>
    <w:rsid w:val="009B3D5E"/>
    <w:rsid w:val="009B3F0E"/>
    <w:rsid w:val="009B3FBD"/>
    <w:rsid w:val="009B40DF"/>
    <w:rsid w:val="009B430B"/>
    <w:rsid w:val="009B4377"/>
    <w:rsid w:val="009B43C8"/>
    <w:rsid w:val="009B4501"/>
    <w:rsid w:val="009B45DC"/>
    <w:rsid w:val="009B484B"/>
    <w:rsid w:val="009B4952"/>
    <w:rsid w:val="009B4A02"/>
    <w:rsid w:val="009B4A16"/>
    <w:rsid w:val="009B4BDA"/>
    <w:rsid w:val="009B4D58"/>
    <w:rsid w:val="009B4FC8"/>
    <w:rsid w:val="009B510A"/>
    <w:rsid w:val="009B5112"/>
    <w:rsid w:val="009B5150"/>
    <w:rsid w:val="009B540D"/>
    <w:rsid w:val="009B5423"/>
    <w:rsid w:val="009B545A"/>
    <w:rsid w:val="009B5719"/>
    <w:rsid w:val="009B58BB"/>
    <w:rsid w:val="009B595D"/>
    <w:rsid w:val="009B5A5B"/>
    <w:rsid w:val="009B5AF6"/>
    <w:rsid w:val="009B5B6C"/>
    <w:rsid w:val="009B5BD1"/>
    <w:rsid w:val="009B5C42"/>
    <w:rsid w:val="009B5DF5"/>
    <w:rsid w:val="009B5E9F"/>
    <w:rsid w:val="009B5FD3"/>
    <w:rsid w:val="009B60F6"/>
    <w:rsid w:val="009B6136"/>
    <w:rsid w:val="009B61BE"/>
    <w:rsid w:val="009B6201"/>
    <w:rsid w:val="009B621B"/>
    <w:rsid w:val="009B642D"/>
    <w:rsid w:val="009B6545"/>
    <w:rsid w:val="009B65E6"/>
    <w:rsid w:val="009B675E"/>
    <w:rsid w:val="009B67C0"/>
    <w:rsid w:val="009B69E9"/>
    <w:rsid w:val="009B6EC9"/>
    <w:rsid w:val="009B6FBA"/>
    <w:rsid w:val="009B70B1"/>
    <w:rsid w:val="009B725E"/>
    <w:rsid w:val="009B72E3"/>
    <w:rsid w:val="009B7346"/>
    <w:rsid w:val="009B7365"/>
    <w:rsid w:val="009B769A"/>
    <w:rsid w:val="009B771D"/>
    <w:rsid w:val="009B7794"/>
    <w:rsid w:val="009B785A"/>
    <w:rsid w:val="009B7B83"/>
    <w:rsid w:val="009B7D4E"/>
    <w:rsid w:val="009B7F4B"/>
    <w:rsid w:val="009C0144"/>
    <w:rsid w:val="009C03B8"/>
    <w:rsid w:val="009C049C"/>
    <w:rsid w:val="009C053E"/>
    <w:rsid w:val="009C057D"/>
    <w:rsid w:val="009C0962"/>
    <w:rsid w:val="009C09DA"/>
    <w:rsid w:val="009C0A65"/>
    <w:rsid w:val="009C0C83"/>
    <w:rsid w:val="009C0CB1"/>
    <w:rsid w:val="009C1077"/>
    <w:rsid w:val="009C122A"/>
    <w:rsid w:val="009C1305"/>
    <w:rsid w:val="009C1324"/>
    <w:rsid w:val="009C146E"/>
    <w:rsid w:val="009C18E8"/>
    <w:rsid w:val="009C191C"/>
    <w:rsid w:val="009C1999"/>
    <w:rsid w:val="009C19DE"/>
    <w:rsid w:val="009C1B52"/>
    <w:rsid w:val="009C1BFF"/>
    <w:rsid w:val="009C1C9F"/>
    <w:rsid w:val="009C1D20"/>
    <w:rsid w:val="009C215D"/>
    <w:rsid w:val="009C2408"/>
    <w:rsid w:val="009C2503"/>
    <w:rsid w:val="009C280B"/>
    <w:rsid w:val="009C2935"/>
    <w:rsid w:val="009C2942"/>
    <w:rsid w:val="009C2A15"/>
    <w:rsid w:val="009C2A65"/>
    <w:rsid w:val="009C2B84"/>
    <w:rsid w:val="009C2D78"/>
    <w:rsid w:val="009C2EB5"/>
    <w:rsid w:val="009C2F36"/>
    <w:rsid w:val="009C3076"/>
    <w:rsid w:val="009C3159"/>
    <w:rsid w:val="009C3191"/>
    <w:rsid w:val="009C31F8"/>
    <w:rsid w:val="009C3366"/>
    <w:rsid w:val="009C33DA"/>
    <w:rsid w:val="009C3411"/>
    <w:rsid w:val="009C349C"/>
    <w:rsid w:val="009C357F"/>
    <w:rsid w:val="009C35AF"/>
    <w:rsid w:val="009C3903"/>
    <w:rsid w:val="009C3B30"/>
    <w:rsid w:val="009C3BFA"/>
    <w:rsid w:val="009C3E95"/>
    <w:rsid w:val="009C3FB5"/>
    <w:rsid w:val="009C41F0"/>
    <w:rsid w:val="009C428C"/>
    <w:rsid w:val="009C431F"/>
    <w:rsid w:val="009C4367"/>
    <w:rsid w:val="009C48B6"/>
    <w:rsid w:val="009C495D"/>
    <w:rsid w:val="009C49B9"/>
    <w:rsid w:val="009C49E5"/>
    <w:rsid w:val="009C4DB5"/>
    <w:rsid w:val="009C503E"/>
    <w:rsid w:val="009C5063"/>
    <w:rsid w:val="009C50EE"/>
    <w:rsid w:val="009C511F"/>
    <w:rsid w:val="009C51B8"/>
    <w:rsid w:val="009C56BD"/>
    <w:rsid w:val="009C570F"/>
    <w:rsid w:val="009C5C16"/>
    <w:rsid w:val="009C5CF3"/>
    <w:rsid w:val="009C5DB4"/>
    <w:rsid w:val="009C5DFE"/>
    <w:rsid w:val="009C5E13"/>
    <w:rsid w:val="009C5E70"/>
    <w:rsid w:val="009C5F7D"/>
    <w:rsid w:val="009C5FF1"/>
    <w:rsid w:val="009C606B"/>
    <w:rsid w:val="009C60B6"/>
    <w:rsid w:val="009C6284"/>
    <w:rsid w:val="009C62CD"/>
    <w:rsid w:val="009C6790"/>
    <w:rsid w:val="009C6828"/>
    <w:rsid w:val="009C6AEB"/>
    <w:rsid w:val="009C6B78"/>
    <w:rsid w:val="009C6CBC"/>
    <w:rsid w:val="009C6D19"/>
    <w:rsid w:val="009C6EDB"/>
    <w:rsid w:val="009C7209"/>
    <w:rsid w:val="009C74AE"/>
    <w:rsid w:val="009C760B"/>
    <w:rsid w:val="009C7797"/>
    <w:rsid w:val="009C77D7"/>
    <w:rsid w:val="009C78D9"/>
    <w:rsid w:val="009C7927"/>
    <w:rsid w:val="009C799E"/>
    <w:rsid w:val="009C7D39"/>
    <w:rsid w:val="009C7D54"/>
    <w:rsid w:val="009C7E73"/>
    <w:rsid w:val="009C7F01"/>
    <w:rsid w:val="009C7F4B"/>
    <w:rsid w:val="009C7F61"/>
    <w:rsid w:val="009C7F8D"/>
    <w:rsid w:val="009D046D"/>
    <w:rsid w:val="009D066E"/>
    <w:rsid w:val="009D0719"/>
    <w:rsid w:val="009D09D4"/>
    <w:rsid w:val="009D0A6C"/>
    <w:rsid w:val="009D0CB9"/>
    <w:rsid w:val="009D0DBF"/>
    <w:rsid w:val="009D0EA5"/>
    <w:rsid w:val="009D0EDE"/>
    <w:rsid w:val="009D1030"/>
    <w:rsid w:val="009D10FE"/>
    <w:rsid w:val="009D145B"/>
    <w:rsid w:val="009D14C1"/>
    <w:rsid w:val="009D16DB"/>
    <w:rsid w:val="009D170F"/>
    <w:rsid w:val="009D1806"/>
    <w:rsid w:val="009D1AE3"/>
    <w:rsid w:val="009D1C03"/>
    <w:rsid w:val="009D1C54"/>
    <w:rsid w:val="009D1C6C"/>
    <w:rsid w:val="009D1EAD"/>
    <w:rsid w:val="009D1F4D"/>
    <w:rsid w:val="009D2244"/>
    <w:rsid w:val="009D2423"/>
    <w:rsid w:val="009D2598"/>
    <w:rsid w:val="009D27F0"/>
    <w:rsid w:val="009D2820"/>
    <w:rsid w:val="009D2886"/>
    <w:rsid w:val="009D295C"/>
    <w:rsid w:val="009D296F"/>
    <w:rsid w:val="009D2D24"/>
    <w:rsid w:val="009D2DA3"/>
    <w:rsid w:val="009D2ECB"/>
    <w:rsid w:val="009D2F54"/>
    <w:rsid w:val="009D2FCF"/>
    <w:rsid w:val="009D30D2"/>
    <w:rsid w:val="009D31F9"/>
    <w:rsid w:val="009D35BF"/>
    <w:rsid w:val="009D35F7"/>
    <w:rsid w:val="009D36AB"/>
    <w:rsid w:val="009D3781"/>
    <w:rsid w:val="009D3897"/>
    <w:rsid w:val="009D3A24"/>
    <w:rsid w:val="009D3C35"/>
    <w:rsid w:val="009D3C6E"/>
    <w:rsid w:val="009D3CC9"/>
    <w:rsid w:val="009D3D30"/>
    <w:rsid w:val="009D3E52"/>
    <w:rsid w:val="009D3FF5"/>
    <w:rsid w:val="009D4083"/>
    <w:rsid w:val="009D43B0"/>
    <w:rsid w:val="009D4492"/>
    <w:rsid w:val="009D4510"/>
    <w:rsid w:val="009D45B0"/>
    <w:rsid w:val="009D4600"/>
    <w:rsid w:val="009D487D"/>
    <w:rsid w:val="009D4881"/>
    <w:rsid w:val="009D4A36"/>
    <w:rsid w:val="009D4A91"/>
    <w:rsid w:val="009D4C79"/>
    <w:rsid w:val="009D4C9E"/>
    <w:rsid w:val="009D4D0A"/>
    <w:rsid w:val="009D4D0D"/>
    <w:rsid w:val="009D4D3B"/>
    <w:rsid w:val="009D4DC5"/>
    <w:rsid w:val="009D5046"/>
    <w:rsid w:val="009D5165"/>
    <w:rsid w:val="009D5363"/>
    <w:rsid w:val="009D5411"/>
    <w:rsid w:val="009D5425"/>
    <w:rsid w:val="009D5700"/>
    <w:rsid w:val="009D5C83"/>
    <w:rsid w:val="009D5C86"/>
    <w:rsid w:val="009D5C9E"/>
    <w:rsid w:val="009D5DB3"/>
    <w:rsid w:val="009D5F8C"/>
    <w:rsid w:val="009D5F94"/>
    <w:rsid w:val="009D5FD4"/>
    <w:rsid w:val="009D5FF5"/>
    <w:rsid w:val="009D5FF8"/>
    <w:rsid w:val="009D6013"/>
    <w:rsid w:val="009D6261"/>
    <w:rsid w:val="009D62D6"/>
    <w:rsid w:val="009D65BB"/>
    <w:rsid w:val="009D6696"/>
    <w:rsid w:val="009D679B"/>
    <w:rsid w:val="009D6965"/>
    <w:rsid w:val="009D6ADF"/>
    <w:rsid w:val="009D6B1C"/>
    <w:rsid w:val="009D6DD5"/>
    <w:rsid w:val="009D6E3C"/>
    <w:rsid w:val="009D7694"/>
    <w:rsid w:val="009D7A85"/>
    <w:rsid w:val="009D7B00"/>
    <w:rsid w:val="009D7B66"/>
    <w:rsid w:val="009D7C62"/>
    <w:rsid w:val="009D7C81"/>
    <w:rsid w:val="009D7DE2"/>
    <w:rsid w:val="009D7F41"/>
    <w:rsid w:val="009E05B8"/>
    <w:rsid w:val="009E06DD"/>
    <w:rsid w:val="009E07EE"/>
    <w:rsid w:val="009E08C1"/>
    <w:rsid w:val="009E08CF"/>
    <w:rsid w:val="009E0989"/>
    <w:rsid w:val="009E0C1C"/>
    <w:rsid w:val="009E0F4F"/>
    <w:rsid w:val="009E12E5"/>
    <w:rsid w:val="009E138E"/>
    <w:rsid w:val="009E1420"/>
    <w:rsid w:val="009E1505"/>
    <w:rsid w:val="009E15AF"/>
    <w:rsid w:val="009E188F"/>
    <w:rsid w:val="009E18A4"/>
    <w:rsid w:val="009E1DD4"/>
    <w:rsid w:val="009E1EEA"/>
    <w:rsid w:val="009E1F82"/>
    <w:rsid w:val="009E1F9A"/>
    <w:rsid w:val="009E20B0"/>
    <w:rsid w:val="009E248F"/>
    <w:rsid w:val="009E250B"/>
    <w:rsid w:val="009E257C"/>
    <w:rsid w:val="009E25C1"/>
    <w:rsid w:val="009E25ED"/>
    <w:rsid w:val="009E265D"/>
    <w:rsid w:val="009E266F"/>
    <w:rsid w:val="009E2727"/>
    <w:rsid w:val="009E29CA"/>
    <w:rsid w:val="009E2FDE"/>
    <w:rsid w:val="009E30BF"/>
    <w:rsid w:val="009E30F1"/>
    <w:rsid w:val="009E3372"/>
    <w:rsid w:val="009E3448"/>
    <w:rsid w:val="009E36AC"/>
    <w:rsid w:val="009E384F"/>
    <w:rsid w:val="009E386E"/>
    <w:rsid w:val="009E3C01"/>
    <w:rsid w:val="009E3EC4"/>
    <w:rsid w:val="009E3F22"/>
    <w:rsid w:val="009E3F39"/>
    <w:rsid w:val="009E3F43"/>
    <w:rsid w:val="009E4039"/>
    <w:rsid w:val="009E4517"/>
    <w:rsid w:val="009E46C6"/>
    <w:rsid w:val="009E4742"/>
    <w:rsid w:val="009E4900"/>
    <w:rsid w:val="009E4995"/>
    <w:rsid w:val="009E4A20"/>
    <w:rsid w:val="009E4B22"/>
    <w:rsid w:val="009E4BF4"/>
    <w:rsid w:val="009E4CBD"/>
    <w:rsid w:val="009E4D67"/>
    <w:rsid w:val="009E4D87"/>
    <w:rsid w:val="009E4E0F"/>
    <w:rsid w:val="009E4F48"/>
    <w:rsid w:val="009E508D"/>
    <w:rsid w:val="009E5194"/>
    <w:rsid w:val="009E5222"/>
    <w:rsid w:val="009E554E"/>
    <w:rsid w:val="009E55F7"/>
    <w:rsid w:val="009E5600"/>
    <w:rsid w:val="009E562A"/>
    <w:rsid w:val="009E590F"/>
    <w:rsid w:val="009E5A26"/>
    <w:rsid w:val="009E5DAF"/>
    <w:rsid w:val="009E6151"/>
    <w:rsid w:val="009E6293"/>
    <w:rsid w:val="009E640F"/>
    <w:rsid w:val="009E66F0"/>
    <w:rsid w:val="009E6918"/>
    <w:rsid w:val="009E69D2"/>
    <w:rsid w:val="009E6CC4"/>
    <w:rsid w:val="009E6F46"/>
    <w:rsid w:val="009E6F80"/>
    <w:rsid w:val="009E6FFF"/>
    <w:rsid w:val="009E7077"/>
    <w:rsid w:val="009E716A"/>
    <w:rsid w:val="009E74BC"/>
    <w:rsid w:val="009E75C0"/>
    <w:rsid w:val="009E7800"/>
    <w:rsid w:val="009E7A8D"/>
    <w:rsid w:val="009E7B10"/>
    <w:rsid w:val="009E7B27"/>
    <w:rsid w:val="009E7BEE"/>
    <w:rsid w:val="009E7C09"/>
    <w:rsid w:val="009E7DF7"/>
    <w:rsid w:val="009E7F05"/>
    <w:rsid w:val="009E7F91"/>
    <w:rsid w:val="009F00F4"/>
    <w:rsid w:val="009F0124"/>
    <w:rsid w:val="009F0163"/>
    <w:rsid w:val="009F0386"/>
    <w:rsid w:val="009F050B"/>
    <w:rsid w:val="009F056C"/>
    <w:rsid w:val="009F0951"/>
    <w:rsid w:val="009F0B6D"/>
    <w:rsid w:val="009F0B82"/>
    <w:rsid w:val="009F0C7F"/>
    <w:rsid w:val="009F0CE0"/>
    <w:rsid w:val="009F0DF6"/>
    <w:rsid w:val="009F0E76"/>
    <w:rsid w:val="009F0F50"/>
    <w:rsid w:val="009F10DA"/>
    <w:rsid w:val="009F1204"/>
    <w:rsid w:val="009F1277"/>
    <w:rsid w:val="009F1339"/>
    <w:rsid w:val="009F13E2"/>
    <w:rsid w:val="009F1526"/>
    <w:rsid w:val="009F163B"/>
    <w:rsid w:val="009F164D"/>
    <w:rsid w:val="009F1896"/>
    <w:rsid w:val="009F1B3E"/>
    <w:rsid w:val="009F1BC8"/>
    <w:rsid w:val="009F1DDD"/>
    <w:rsid w:val="009F1E5B"/>
    <w:rsid w:val="009F1F1A"/>
    <w:rsid w:val="009F20C2"/>
    <w:rsid w:val="009F22FF"/>
    <w:rsid w:val="009F2644"/>
    <w:rsid w:val="009F270E"/>
    <w:rsid w:val="009F2823"/>
    <w:rsid w:val="009F299C"/>
    <w:rsid w:val="009F2A3E"/>
    <w:rsid w:val="009F2ACB"/>
    <w:rsid w:val="009F2B15"/>
    <w:rsid w:val="009F2BED"/>
    <w:rsid w:val="009F2D31"/>
    <w:rsid w:val="009F3247"/>
    <w:rsid w:val="009F3603"/>
    <w:rsid w:val="009F37E5"/>
    <w:rsid w:val="009F37EC"/>
    <w:rsid w:val="009F38E4"/>
    <w:rsid w:val="009F3947"/>
    <w:rsid w:val="009F39AB"/>
    <w:rsid w:val="009F3AF0"/>
    <w:rsid w:val="009F3BA7"/>
    <w:rsid w:val="009F3BA9"/>
    <w:rsid w:val="009F3BAE"/>
    <w:rsid w:val="009F3CC0"/>
    <w:rsid w:val="009F3E62"/>
    <w:rsid w:val="009F416A"/>
    <w:rsid w:val="009F425C"/>
    <w:rsid w:val="009F48D6"/>
    <w:rsid w:val="009F4AB5"/>
    <w:rsid w:val="009F5065"/>
    <w:rsid w:val="009F506D"/>
    <w:rsid w:val="009F508B"/>
    <w:rsid w:val="009F5149"/>
    <w:rsid w:val="009F52EC"/>
    <w:rsid w:val="009F5311"/>
    <w:rsid w:val="009F53A2"/>
    <w:rsid w:val="009F5510"/>
    <w:rsid w:val="009F566B"/>
    <w:rsid w:val="009F5772"/>
    <w:rsid w:val="009F578C"/>
    <w:rsid w:val="009F605C"/>
    <w:rsid w:val="009F61F4"/>
    <w:rsid w:val="009F63B3"/>
    <w:rsid w:val="009F6613"/>
    <w:rsid w:val="009F66F6"/>
    <w:rsid w:val="009F68FF"/>
    <w:rsid w:val="009F695E"/>
    <w:rsid w:val="009F6973"/>
    <w:rsid w:val="009F69AF"/>
    <w:rsid w:val="009F6A94"/>
    <w:rsid w:val="009F6ACA"/>
    <w:rsid w:val="009F6AF4"/>
    <w:rsid w:val="009F6BC3"/>
    <w:rsid w:val="009F6C61"/>
    <w:rsid w:val="009F6C96"/>
    <w:rsid w:val="009F6E10"/>
    <w:rsid w:val="009F6F00"/>
    <w:rsid w:val="009F6F0B"/>
    <w:rsid w:val="009F6FC9"/>
    <w:rsid w:val="009F7124"/>
    <w:rsid w:val="009F7289"/>
    <w:rsid w:val="009F73CD"/>
    <w:rsid w:val="009F748A"/>
    <w:rsid w:val="009F75C4"/>
    <w:rsid w:val="009F75C6"/>
    <w:rsid w:val="009F77B9"/>
    <w:rsid w:val="009F783E"/>
    <w:rsid w:val="009F797A"/>
    <w:rsid w:val="009F7ADD"/>
    <w:rsid w:val="009F7AEF"/>
    <w:rsid w:val="009F7AF1"/>
    <w:rsid w:val="009F7AF2"/>
    <w:rsid w:val="009F7C49"/>
    <w:rsid w:val="009F7CB7"/>
    <w:rsid w:val="009F7E56"/>
    <w:rsid w:val="009F7ECC"/>
    <w:rsid w:val="009F7ED6"/>
    <w:rsid w:val="009F7FA1"/>
    <w:rsid w:val="00A0027B"/>
    <w:rsid w:val="00A00386"/>
    <w:rsid w:val="00A00478"/>
    <w:rsid w:val="00A004B4"/>
    <w:rsid w:val="00A0054F"/>
    <w:rsid w:val="00A00633"/>
    <w:rsid w:val="00A006D8"/>
    <w:rsid w:val="00A006EE"/>
    <w:rsid w:val="00A00993"/>
    <w:rsid w:val="00A009A8"/>
    <w:rsid w:val="00A00B8E"/>
    <w:rsid w:val="00A00BC4"/>
    <w:rsid w:val="00A00FA3"/>
    <w:rsid w:val="00A01008"/>
    <w:rsid w:val="00A0108A"/>
    <w:rsid w:val="00A011BC"/>
    <w:rsid w:val="00A0122B"/>
    <w:rsid w:val="00A0126A"/>
    <w:rsid w:val="00A014A5"/>
    <w:rsid w:val="00A014C6"/>
    <w:rsid w:val="00A01681"/>
    <w:rsid w:val="00A01846"/>
    <w:rsid w:val="00A0187E"/>
    <w:rsid w:val="00A018A0"/>
    <w:rsid w:val="00A01E28"/>
    <w:rsid w:val="00A01E9D"/>
    <w:rsid w:val="00A01EBD"/>
    <w:rsid w:val="00A01EC1"/>
    <w:rsid w:val="00A01F3D"/>
    <w:rsid w:val="00A01F68"/>
    <w:rsid w:val="00A01FB5"/>
    <w:rsid w:val="00A02034"/>
    <w:rsid w:val="00A02212"/>
    <w:rsid w:val="00A02261"/>
    <w:rsid w:val="00A0234B"/>
    <w:rsid w:val="00A0246F"/>
    <w:rsid w:val="00A0254A"/>
    <w:rsid w:val="00A02621"/>
    <w:rsid w:val="00A02794"/>
    <w:rsid w:val="00A0289E"/>
    <w:rsid w:val="00A0295B"/>
    <w:rsid w:val="00A02B28"/>
    <w:rsid w:val="00A02E24"/>
    <w:rsid w:val="00A02F46"/>
    <w:rsid w:val="00A0302F"/>
    <w:rsid w:val="00A03531"/>
    <w:rsid w:val="00A0362E"/>
    <w:rsid w:val="00A0378C"/>
    <w:rsid w:val="00A03969"/>
    <w:rsid w:val="00A039B2"/>
    <w:rsid w:val="00A03B72"/>
    <w:rsid w:val="00A03F25"/>
    <w:rsid w:val="00A03FBA"/>
    <w:rsid w:val="00A04393"/>
    <w:rsid w:val="00A0449E"/>
    <w:rsid w:val="00A046E6"/>
    <w:rsid w:val="00A046F0"/>
    <w:rsid w:val="00A04814"/>
    <w:rsid w:val="00A0489D"/>
    <w:rsid w:val="00A04AB3"/>
    <w:rsid w:val="00A04B55"/>
    <w:rsid w:val="00A04BBB"/>
    <w:rsid w:val="00A04C49"/>
    <w:rsid w:val="00A04C8F"/>
    <w:rsid w:val="00A04CE2"/>
    <w:rsid w:val="00A04D42"/>
    <w:rsid w:val="00A04FBA"/>
    <w:rsid w:val="00A0518C"/>
    <w:rsid w:val="00A052DD"/>
    <w:rsid w:val="00A052EF"/>
    <w:rsid w:val="00A05361"/>
    <w:rsid w:val="00A0548C"/>
    <w:rsid w:val="00A058B7"/>
    <w:rsid w:val="00A058D9"/>
    <w:rsid w:val="00A05AD7"/>
    <w:rsid w:val="00A05B48"/>
    <w:rsid w:val="00A05C3B"/>
    <w:rsid w:val="00A05D02"/>
    <w:rsid w:val="00A05EA1"/>
    <w:rsid w:val="00A060DB"/>
    <w:rsid w:val="00A06473"/>
    <w:rsid w:val="00A0670D"/>
    <w:rsid w:val="00A06AEF"/>
    <w:rsid w:val="00A0732D"/>
    <w:rsid w:val="00A074C5"/>
    <w:rsid w:val="00A075FF"/>
    <w:rsid w:val="00A07697"/>
    <w:rsid w:val="00A0788C"/>
    <w:rsid w:val="00A07895"/>
    <w:rsid w:val="00A078AC"/>
    <w:rsid w:val="00A078B1"/>
    <w:rsid w:val="00A078FD"/>
    <w:rsid w:val="00A07A2F"/>
    <w:rsid w:val="00A07A7B"/>
    <w:rsid w:val="00A07AB8"/>
    <w:rsid w:val="00A07C7A"/>
    <w:rsid w:val="00A07C91"/>
    <w:rsid w:val="00A07DEB"/>
    <w:rsid w:val="00A07F01"/>
    <w:rsid w:val="00A101B3"/>
    <w:rsid w:val="00A10266"/>
    <w:rsid w:val="00A104CC"/>
    <w:rsid w:val="00A104D8"/>
    <w:rsid w:val="00A1051A"/>
    <w:rsid w:val="00A105D8"/>
    <w:rsid w:val="00A106A1"/>
    <w:rsid w:val="00A1086A"/>
    <w:rsid w:val="00A10B10"/>
    <w:rsid w:val="00A10B21"/>
    <w:rsid w:val="00A10C05"/>
    <w:rsid w:val="00A10C3F"/>
    <w:rsid w:val="00A10D26"/>
    <w:rsid w:val="00A10F11"/>
    <w:rsid w:val="00A10F92"/>
    <w:rsid w:val="00A10FB3"/>
    <w:rsid w:val="00A1115D"/>
    <w:rsid w:val="00A111CE"/>
    <w:rsid w:val="00A11201"/>
    <w:rsid w:val="00A11357"/>
    <w:rsid w:val="00A114C0"/>
    <w:rsid w:val="00A11565"/>
    <w:rsid w:val="00A115FA"/>
    <w:rsid w:val="00A1173F"/>
    <w:rsid w:val="00A1195C"/>
    <w:rsid w:val="00A11BFE"/>
    <w:rsid w:val="00A11DAE"/>
    <w:rsid w:val="00A11F6E"/>
    <w:rsid w:val="00A1205C"/>
    <w:rsid w:val="00A1218D"/>
    <w:rsid w:val="00A12366"/>
    <w:rsid w:val="00A124C3"/>
    <w:rsid w:val="00A12552"/>
    <w:rsid w:val="00A12652"/>
    <w:rsid w:val="00A126A7"/>
    <w:rsid w:val="00A1274B"/>
    <w:rsid w:val="00A12DE6"/>
    <w:rsid w:val="00A12ECB"/>
    <w:rsid w:val="00A12F0C"/>
    <w:rsid w:val="00A1303E"/>
    <w:rsid w:val="00A132F9"/>
    <w:rsid w:val="00A1344D"/>
    <w:rsid w:val="00A13492"/>
    <w:rsid w:val="00A135C3"/>
    <w:rsid w:val="00A135EC"/>
    <w:rsid w:val="00A1377F"/>
    <w:rsid w:val="00A1387E"/>
    <w:rsid w:val="00A13973"/>
    <w:rsid w:val="00A13D60"/>
    <w:rsid w:val="00A13DF6"/>
    <w:rsid w:val="00A13FA7"/>
    <w:rsid w:val="00A13FD0"/>
    <w:rsid w:val="00A14083"/>
    <w:rsid w:val="00A1459C"/>
    <w:rsid w:val="00A1468A"/>
    <w:rsid w:val="00A1475F"/>
    <w:rsid w:val="00A149A3"/>
    <w:rsid w:val="00A14A34"/>
    <w:rsid w:val="00A14AFF"/>
    <w:rsid w:val="00A14F0D"/>
    <w:rsid w:val="00A1503F"/>
    <w:rsid w:val="00A1518F"/>
    <w:rsid w:val="00A152D1"/>
    <w:rsid w:val="00A15538"/>
    <w:rsid w:val="00A15563"/>
    <w:rsid w:val="00A15749"/>
    <w:rsid w:val="00A158A1"/>
    <w:rsid w:val="00A15BC7"/>
    <w:rsid w:val="00A15D72"/>
    <w:rsid w:val="00A15DBE"/>
    <w:rsid w:val="00A15EDE"/>
    <w:rsid w:val="00A15F44"/>
    <w:rsid w:val="00A16270"/>
    <w:rsid w:val="00A165AF"/>
    <w:rsid w:val="00A1668C"/>
    <w:rsid w:val="00A168D7"/>
    <w:rsid w:val="00A16977"/>
    <w:rsid w:val="00A16A2F"/>
    <w:rsid w:val="00A16C92"/>
    <w:rsid w:val="00A16D89"/>
    <w:rsid w:val="00A16DC4"/>
    <w:rsid w:val="00A16E8D"/>
    <w:rsid w:val="00A16FB1"/>
    <w:rsid w:val="00A17006"/>
    <w:rsid w:val="00A1719E"/>
    <w:rsid w:val="00A17329"/>
    <w:rsid w:val="00A17377"/>
    <w:rsid w:val="00A1738C"/>
    <w:rsid w:val="00A173B3"/>
    <w:rsid w:val="00A17537"/>
    <w:rsid w:val="00A17760"/>
    <w:rsid w:val="00A1787C"/>
    <w:rsid w:val="00A179F2"/>
    <w:rsid w:val="00A17BC5"/>
    <w:rsid w:val="00A17C20"/>
    <w:rsid w:val="00A17C97"/>
    <w:rsid w:val="00A17C98"/>
    <w:rsid w:val="00A17D19"/>
    <w:rsid w:val="00A17DA6"/>
    <w:rsid w:val="00A17E72"/>
    <w:rsid w:val="00A201AB"/>
    <w:rsid w:val="00A20390"/>
    <w:rsid w:val="00A203ED"/>
    <w:rsid w:val="00A2041D"/>
    <w:rsid w:val="00A204CA"/>
    <w:rsid w:val="00A20598"/>
    <w:rsid w:val="00A20679"/>
    <w:rsid w:val="00A206C2"/>
    <w:rsid w:val="00A206D9"/>
    <w:rsid w:val="00A20859"/>
    <w:rsid w:val="00A20C4C"/>
    <w:rsid w:val="00A20C7E"/>
    <w:rsid w:val="00A20D6E"/>
    <w:rsid w:val="00A20EAD"/>
    <w:rsid w:val="00A20EC8"/>
    <w:rsid w:val="00A20F77"/>
    <w:rsid w:val="00A20F9F"/>
    <w:rsid w:val="00A2104A"/>
    <w:rsid w:val="00A210A6"/>
    <w:rsid w:val="00A21234"/>
    <w:rsid w:val="00A212D7"/>
    <w:rsid w:val="00A21322"/>
    <w:rsid w:val="00A213C8"/>
    <w:rsid w:val="00A21417"/>
    <w:rsid w:val="00A2175D"/>
    <w:rsid w:val="00A218AC"/>
    <w:rsid w:val="00A21A9D"/>
    <w:rsid w:val="00A21B60"/>
    <w:rsid w:val="00A21D44"/>
    <w:rsid w:val="00A21FBF"/>
    <w:rsid w:val="00A21FE0"/>
    <w:rsid w:val="00A221D4"/>
    <w:rsid w:val="00A224C8"/>
    <w:rsid w:val="00A22631"/>
    <w:rsid w:val="00A22712"/>
    <w:rsid w:val="00A228FE"/>
    <w:rsid w:val="00A22B49"/>
    <w:rsid w:val="00A22B8B"/>
    <w:rsid w:val="00A22CAA"/>
    <w:rsid w:val="00A22D8C"/>
    <w:rsid w:val="00A22E09"/>
    <w:rsid w:val="00A22F46"/>
    <w:rsid w:val="00A23571"/>
    <w:rsid w:val="00A235FB"/>
    <w:rsid w:val="00A23855"/>
    <w:rsid w:val="00A2388E"/>
    <w:rsid w:val="00A23981"/>
    <w:rsid w:val="00A23B91"/>
    <w:rsid w:val="00A23F33"/>
    <w:rsid w:val="00A2402C"/>
    <w:rsid w:val="00A2413A"/>
    <w:rsid w:val="00A24251"/>
    <w:rsid w:val="00A24315"/>
    <w:rsid w:val="00A2443F"/>
    <w:rsid w:val="00A2455D"/>
    <w:rsid w:val="00A24597"/>
    <w:rsid w:val="00A245F6"/>
    <w:rsid w:val="00A24663"/>
    <w:rsid w:val="00A2471A"/>
    <w:rsid w:val="00A247F3"/>
    <w:rsid w:val="00A2492B"/>
    <w:rsid w:val="00A24971"/>
    <w:rsid w:val="00A24976"/>
    <w:rsid w:val="00A24D25"/>
    <w:rsid w:val="00A24DB2"/>
    <w:rsid w:val="00A24E49"/>
    <w:rsid w:val="00A251EA"/>
    <w:rsid w:val="00A252CD"/>
    <w:rsid w:val="00A2539D"/>
    <w:rsid w:val="00A2545B"/>
    <w:rsid w:val="00A2545F"/>
    <w:rsid w:val="00A25502"/>
    <w:rsid w:val="00A25590"/>
    <w:rsid w:val="00A256FE"/>
    <w:rsid w:val="00A25788"/>
    <w:rsid w:val="00A2582C"/>
    <w:rsid w:val="00A259B5"/>
    <w:rsid w:val="00A25D55"/>
    <w:rsid w:val="00A260B7"/>
    <w:rsid w:val="00A2616E"/>
    <w:rsid w:val="00A2629F"/>
    <w:rsid w:val="00A26371"/>
    <w:rsid w:val="00A26481"/>
    <w:rsid w:val="00A26726"/>
    <w:rsid w:val="00A267DA"/>
    <w:rsid w:val="00A26B22"/>
    <w:rsid w:val="00A26B3B"/>
    <w:rsid w:val="00A26BF0"/>
    <w:rsid w:val="00A26DEF"/>
    <w:rsid w:val="00A26DF8"/>
    <w:rsid w:val="00A26E05"/>
    <w:rsid w:val="00A26FC1"/>
    <w:rsid w:val="00A27031"/>
    <w:rsid w:val="00A273D4"/>
    <w:rsid w:val="00A27501"/>
    <w:rsid w:val="00A275E8"/>
    <w:rsid w:val="00A27952"/>
    <w:rsid w:val="00A279AC"/>
    <w:rsid w:val="00A27A3F"/>
    <w:rsid w:val="00A27B07"/>
    <w:rsid w:val="00A27CDE"/>
    <w:rsid w:val="00A27D7F"/>
    <w:rsid w:val="00A27D9F"/>
    <w:rsid w:val="00A30213"/>
    <w:rsid w:val="00A302EB"/>
    <w:rsid w:val="00A30562"/>
    <w:rsid w:val="00A3056B"/>
    <w:rsid w:val="00A30594"/>
    <w:rsid w:val="00A30633"/>
    <w:rsid w:val="00A30A44"/>
    <w:rsid w:val="00A30B15"/>
    <w:rsid w:val="00A30C48"/>
    <w:rsid w:val="00A30D6E"/>
    <w:rsid w:val="00A31359"/>
    <w:rsid w:val="00A313AF"/>
    <w:rsid w:val="00A31543"/>
    <w:rsid w:val="00A3155D"/>
    <w:rsid w:val="00A315D4"/>
    <w:rsid w:val="00A3188B"/>
    <w:rsid w:val="00A318F4"/>
    <w:rsid w:val="00A31991"/>
    <w:rsid w:val="00A31AB6"/>
    <w:rsid w:val="00A31BA6"/>
    <w:rsid w:val="00A31CD7"/>
    <w:rsid w:val="00A31D2D"/>
    <w:rsid w:val="00A31E20"/>
    <w:rsid w:val="00A31F2A"/>
    <w:rsid w:val="00A32052"/>
    <w:rsid w:val="00A325A2"/>
    <w:rsid w:val="00A325C6"/>
    <w:rsid w:val="00A326DC"/>
    <w:rsid w:val="00A32794"/>
    <w:rsid w:val="00A327AD"/>
    <w:rsid w:val="00A32C17"/>
    <w:rsid w:val="00A32D6A"/>
    <w:rsid w:val="00A32D71"/>
    <w:rsid w:val="00A32DB9"/>
    <w:rsid w:val="00A32F76"/>
    <w:rsid w:val="00A33034"/>
    <w:rsid w:val="00A3310A"/>
    <w:rsid w:val="00A331A0"/>
    <w:rsid w:val="00A33509"/>
    <w:rsid w:val="00A336FF"/>
    <w:rsid w:val="00A3392F"/>
    <w:rsid w:val="00A33AD1"/>
    <w:rsid w:val="00A33AD7"/>
    <w:rsid w:val="00A33C6C"/>
    <w:rsid w:val="00A33CAD"/>
    <w:rsid w:val="00A33CEF"/>
    <w:rsid w:val="00A33E20"/>
    <w:rsid w:val="00A33E7E"/>
    <w:rsid w:val="00A33F08"/>
    <w:rsid w:val="00A34868"/>
    <w:rsid w:val="00A34BB6"/>
    <w:rsid w:val="00A34CDD"/>
    <w:rsid w:val="00A34E89"/>
    <w:rsid w:val="00A34EE9"/>
    <w:rsid w:val="00A34FBE"/>
    <w:rsid w:val="00A3509D"/>
    <w:rsid w:val="00A350E3"/>
    <w:rsid w:val="00A350EB"/>
    <w:rsid w:val="00A35146"/>
    <w:rsid w:val="00A3528D"/>
    <w:rsid w:val="00A35315"/>
    <w:rsid w:val="00A35509"/>
    <w:rsid w:val="00A3572C"/>
    <w:rsid w:val="00A35A3F"/>
    <w:rsid w:val="00A35AE9"/>
    <w:rsid w:val="00A35B20"/>
    <w:rsid w:val="00A360DD"/>
    <w:rsid w:val="00A361A8"/>
    <w:rsid w:val="00A363DA"/>
    <w:rsid w:val="00A363DD"/>
    <w:rsid w:val="00A36428"/>
    <w:rsid w:val="00A36515"/>
    <w:rsid w:val="00A3658E"/>
    <w:rsid w:val="00A365BC"/>
    <w:rsid w:val="00A365DC"/>
    <w:rsid w:val="00A3660D"/>
    <w:rsid w:val="00A36700"/>
    <w:rsid w:val="00A3672D"/>
    <w:rsid w:val="00A369F3"/>
    <w:rsid w:val="00A36CA6"/>
    <w:rsid w:val="00A36EAD"/>
    <w:rsid w:val="00A36EB3"/>
    <w:rsid w:val="00A36F92"/>
    <w:rsid w:val="00A36FD7"/>
    <w:rsid w:val="00A37025"/>
    <w:rsid w:val="00A37070"/>
    <w:rsid w:val="00A372CF"/>
    <w:rsid w:val="00A3735E"/>
    <w:rsid w:val="00A3755C"/>
    <w:rsid w:val="00A375B5"/>
    <w:rsid w:val="00A37609"/>
    <w:rsid w:val="00A376A6"/>
    <w:rsid w:val="00A3782C"/>
    <w:rsid w:val="00A378B6"/>
    <w:rsid w:val="00A378DC"/>
    <w:rsid w:val="00A379C0"/>
    <w:rsid w:val="00A37A5A"/>
    <w:rsid w:val="00A37BF3"/>
    <w:rsid w:val="00A37CD1"/>
    <w:rsid w:val="00A37F29"/>
    <w:rsid w:val="00A40089"/>
    <w:rsid w:val="00A40131"/>
    <w:rsid w:val="00A40266"/>
    <w:rsid w:val="00A4055D"/>
    <w:rsid w:val="00A40585"/>
    <w:rsid w:val="00A406DD"/>
    <w:rsid w:val="00A40764"/>
    <w:rsid w:val="00A40AC2"/>
    <w:rsid w:val="00A40B89"/>
    <w:rsid w:val="00A40D62"/>
    <w:rsid w:val="00A40DEB"/>
    <w:rsid w:val="00A40EBD"/>
    <w:rsid w:val="00A40F8F"/>
    <w:rsid w:val="00A41376"/>
    <w:rsid w:val="00A4159C"/>
    <w:rsid w:val="00A41749"/>
    <w:rsid w:val="00A4194F"/>
    <w:rsid w:val="00A41B58"/>
    <w:rsid w:val="00A41B99"/>
    <w:rsid w:val="00A41BC2"/>
    <w:rsid w:val="00A41D41"/>
    <w:rsid w:val="00A41DB3"/>
    <w:rsid w:val="00A41F28"/>
    <w:rsid w:val="00A41F88"/>
    <w:rsid w:val="00A4210E"/>
    <w:rsid w:val="00A42211"/>
    <w:rsid w:val="00A42265"/>
    <w:rsid w:val="00A42396"/>
    <w:rsid w:val="00A4243E"/>
    <w:rsid w:val="00A4261C"/>
    <w:rsid w:val="00A42684"/>
    <w:rsid w:val="00A428E5"/>
    <w:rsid w:val="00A42A44"/>
    <w:rsid w:val="00A42B1E"/>
    <w:rsid w:val="00A42FD6"/>
    <w:rsid w:val="00A4321C"/>
    <w:rsid w:val="00A43447"/>
    <w:rsid w:val="00A4374F"/>
    <w:rsid w:val="00A43837"/>
    <w:rsid w:val="00A43847"/>
    <w:rsid w:val="00A43AC0"/>
    <w:rsid w:val="00A43D8A"/>
    <w:rsid w:val="00A43E07"/>
    <w:rsid w:val="00A43E8E"/>
    <w:rsid w:val="00A43FDE"/>
    <w:rsid w:val="00A44013"/>
    <w:rsid w:val="00A44174"/>
    <w:rsid w:val="00A4446E"/>
    <w:rsid w:val="00A4449A"/>
    <w:rsid w:val="00A445D4"/>
    <w:rsid w:val="00A44675"/>
    <w:rsid w:val="00A4480E"/>
    <w:rsid w:val="00A448AE"/>
    <w:rsid w:val="00A44BE6"/>
    <w:rsid w:val="00A44DC6"/>
    <w:rsid w:val="00A450F1"/>
    <w:rsid w:val="00A45214"/>
    <w:rsid w:val="00A45231"/>
    <w:rsid w:val="00A4553A"/>
    <w:rsid w:val="00A4554C"/>
    <w:rsid w:val="00A457C4"/>
    <w:rsid w:val="00A457CC"/>
    <w:rsid w:val="00A457EF"/>
    <w:rsid w:val="00A4580A"/>
    <w:rsid w:val="00A45818"/>
    <w:rsid w:val="00A4581C"/>
    <w:rsid w:val="00A458E2"/>
    <w:rsid w:val="00A45936"/>
    <w:rsid w:val="00A459BB"/>
    <w:rsid w:val="00A45AD9"/>
    <w:rsid w:val="00A45BD8"/>
    <w:rsid w:val="00A45C58"/>
    <w:rsid w:val="00A45C92"/>
    <w:rsid w:val="00A4606D"/>
    <w:rsid w:val="00A460D2"/>
    <w:rsid w:val="00A4613B"/>
    <w:rsid w:val="00A462CA"/>
    <w:rsid w:val="00A46307"/>
    <w:rsid w:val="00A463A8"/>
    <w:rsid w:val="00A463BA"/>
    <w:rsid w:val="00A4646D"/>
    <w:rsid w:val="00A46488"/>
    <w:rsid w:val="00A464B0"/>
    <w:rsid w:val="00A46696"/>
    <w:rsid w:val="00A466CA"/>
    <w:rsid w:val="00A4696F"/>
    <w:rsid w:val="00A46A4E"/>
    <w:rsid w:val="00A46A59"/>
    <w:rsid w:val="00A46AAE"/>
    <w:rsid w:val="00A46ADC"/>
    <w:rsid w:val="00A46B85"/>
    <w:rsid w:val="00A46C0F"/>
    <w:rsid w:val="00A46C49"/>
    <w:rsid w:val="00A46E29"/>
    <w:rsid w:val="00A46F01"/>
    <w:rsid w:val="00A46F13"/>
    <w:rsid w:val="00A46FCB"/>
    <w:rsid w:val="00A470E8"/>
    <w:rsid w:val="00A4730A"/>
    <w:rsid w:val="00A4743E"/>
    <w:rsid w:val="00A475D9"/>
    <w:rsid w:val="00A4761D"/>
    <w:rsid w:val="00A477D0"/>
    <w:rsid w:val="00A47817"/>
    <w:rsid w:val="00A4788A"/>
    <w:rsid w:val="00A479E2"/>
    <w:rsid w:val="00A47AD7"/>
    <w:rsid w:val="00A47E07"/>
    <w:rsid w:val="00A47EC4"/>
    <w:rsid w:val="00A47F87"/>
    <w:rsid w:val="00A50112"/>
    <w:rsid w:val="00A50305"/>
    <w:rsid w:val="00A50388"/>
    <w:rsid w:val="00A50544"/>
    <w:rsid w:val="00A505D6"/>
    <w:rsid w:val="00A505FB"/>
    <w:rsid w:val="00A5063D"/>
    <w:rsid w:val="00A506E7"/>
    <w:rsid w:val="00A50ABD"/>
    <w:rsid w:val="00A50B86"/>
    <w:rsid w:val="00A50E25"/>
    <w:rsid w:val="00A51018"/>
    <w:rsid w:val="00A5107D"/>
    <w:rsid w:val="00A511C0"/>
    <w:rsid w:val="00A5124E"/>
    <w:rsid w:val="00A512B3"/>
    <w:rsid w:val="00A514C8"/>
    <w:rsid w:val="00A514E5"/>
    <w:rsid w:val="00A516C8"/>
    <w:rsid w:val="00A51716"/>
    <w:rsid w:val="00A51805"/>
    <w:rsid w:val="00A5190E"/>
    <w:rsid w:val="00A5193E"/>
    <w:rsid w:val="00A51A80"/>
    <w:rsid w:val="00A51D77"/>
    <w:rsid w:val="00A51EAF"/>
    <w:rsid w:val="00A51F8A"/>
    <w:rsid w:val="00A5200A"/>
    <w:rsid w:val="00A52142"/>
    <w:rsid w:val="00A523C0"/>
    <w:rsid w:val="00A5252F"/>
    <w:rsid w:val="00A525EF"/>
    <w:rsid w:val="00A52647"/>
    <w:rsid w:val="00A52ED0"/>
    <w:rsid w:val="00A5303C"/>
    <w:rsid w:val="00A53094"/>
    <w:rsid w:val="00A53228"/>
    <w:rsid w:val="00A53300"/>
    <w:rsid w:val="00A5340A"/>
    <w:rsid w:val="00A5351E"/>
    <w:rsid w:val="00A5354A"/>
    <w:rsid w:val="00A5370B"/>
    <w:rsid w:val="00A53722"/>
    <w:rsid w:val="00A53828"/>
    <w:rsid w:val="00A539C8"/>
    <w:rsid w:val="00A53A87"/>
    <w:rsid w:val="00A53BE3"/>
    <w:rsid w:val="00A53C55"/>
    <w:rsid w:val="00A53DEB"/>
    <w:rsid w:val="00A53E5C"/>
    <w:rsid w:val="00A54061"/>
    <w:rsid w:val="00A541B2"/>
    <w:rsid w:val="00A54231"/>
    <w:rsid w:val="00A54243"/>
    <w:rsid w:val="00A54476"/>
    <w:rsid w:val="00A54696"/>
    <w:rsid w:val="00A547A9"/>
    <w:rsid w:val="00A54862"/>
    <w:rsid w:val="00A5486D"/>
    <w:rsid w:val="00A54873"/>
    <w:rsid w:val="00A54A0C"/>
    <w:rsid w:val="00A54EC5"/>
    <w:rsid w:val="00A55111"/>
    <w:rsid w:val="00A5527C"/>
    <w:rsid w:val="00A5534E"/>
    <w:rsid w:val="00A5534F"/>
    <w:rsid w:val="00A5569E"/>
    <w:rsid w:val="00A556F9"/>
    <w:rsid w:val="00A5579C"/>
    <w:rsid w:val="00A557C8"/>
    <w:rsid w:val="00A5590D"/>
    <w:rsid w:val="00A55C74"/>
    <w:rsid w:val="00A561E7"/>
    <w:rsid w:val="00A564C6"/>
    <w:rsid w:val="00A56522"/>
    <w:rsid w:val="00A5665E"/>
    <w:rsid w:val="00A568FF"/>
    <w:rsid w:val="00A56C17"/>
    <w:rsid w:val="00A56E5C"/>
    <w:rsid w:val="00A56F9B"/>
    <w:rsid w:val="00A56FAE"/>
    <w:rsid w:val="00A56FB5"/>
    <w:rsid w:val="00A5708C"/>
    <w:rsid w:val="00A570AE"/>
    <w:rsid w:val="00A57156"/>
    <w:rsid w:val="00A571E5"/>
    <w:rsid w:val="00A57246"/>
    <w:rsid w:val="00A572DD"/>
    <w:rsid w:val="00A5751C"/>
    <w:rsid w:val="00A576D5"/>
    <w:rsid w:val="00A57C74"/>
    <w:rsid w:val="00A57C8E"/>
    <w:rsid w:val="00A57D0D"/>
    <w:rsid w:val="00A57E92"/>
    <w:rsid w:val="00A57F16"/>
    <w:rsid w:val="00A57F89"/>
    <w:rsid w:val="00A6093D"/>
    <w:rsid w:val="00A60AA4"/>
    <w:rsid w:val="00A60B9A"/>
    <w:rsid w:val="00A60C2E"/>
    <w:rsid w:val="00A60C67"/>
    <w:rsid w:val="00A60CDB"/>
    <w:rsid w:val="00A60DC5"/>
    <w:rsid w:val="00A61033"/>
    <w:rsid w:val="00A6108F"/>
    <w:rsid w:val="00A61114"/>
    <w:rsid w:val="00A61224"/>
    <w:rsid w:val="00A614E3"/>
    <w:rsid w:val="00A61973"/>
    <w:rsid w:val="00A61AB2"/>
    <w:rsid w:val="00A61C18"/>
    <w:rsid w:val="00A61E2D"/>
    <w:rsid w:val="00A62185"/>
    <w:rsid w:val="00A622D4"/>
    <w:rsid w:val="00A6273B"/>
    <w:rsid w:val="00A627B8"/>
    <w:rsid w:val="00A6287B"/>
    <w:rsid w:val="00A629F5"/>
    <w:rsid w:val="00A62E17"/>
    <w:rsid w:val="00A62F34"/>
    <w:rsid w:val="00A630FE"/>
    <w:rsid w:val="00A63151"/>
    <w:rsid w:val="00A63402"/>
    <w:rsid w:val="00A634DA"/>
    <w:rsid w:val="00A637B3"/>
    <w:rsid w:val="00A63C8A"/>
    <w:rsid w:val="00A640D6"/>
    <w:rsid w:val="00A64257"/>
    <w:rsid w:val="00A6463C"/>
    <w:rsid w:val="00A64643"/>
    <w:rsid w:val="00A646C1"/>
    <w:rsid w:val="00A6477F"/>
    <w:rsid w:val="00A64C22"/>
    <w:rsid w:val="00A64CFF"/>
    <w:rsid w:val="00A64D9D"/>
    <w:rsid w:val="00A650DB"/>
    <w:rsid w:val="00A65212"/>
    <w:rsid w:val="00A652A6"/>
    <w:rsid w:val="00A65938"/>
    <w:rsid w:val="00A65B28"/>
    <w:rsid w:val="00A65B48"/>
    <w:rsid w:val="00A65BE0"/>
    <w:rsid w:val="00A66264"/>
    <w:rsid w:val="00A6630C"/>
    <w:rsid w:val="00A6641A"/>
    <w:rsid w:val="00A66673"/>
    <w:rsid w:val="00A66701"/>
    <w:rsid w:val="00A66715"/>
    <w:rsid w:val="00A6694A"/>
    <w:rsid w:val="00A669D3"/>
    <w:rsid w:val="00A669D7"/>
    <w:rsid w:val="00A669E1"/>
    <w:rsid w:val="00A66B0D"/>
    <w:rsid w:val="00A66C39"/>
    <w:rsid w:val="00A66F5E"/>
    <w:rsid w:val="00A6715F"/>
    <w:rsid w:val="00A6744D"/>
    <w:rsid w:val="00A67468"/>
    <w:rsid w:val="00A6752F"/>
    <w:rsid w:val="00A6755D"/>
    <w:rsid w:val="00A6768D"/>
    <w:rsid w:val="00A67914"/>
    <w:rsid w:val="00A67926"/>
    <w:rsid w:val="00A67B47"/>
    <w:rsid w:val="00A67FC8"/>
    <w:rsid w:val="00A70005"/>
    <w:rsid w:val="00A700D4"/>
    <w:rsid w:val="00A70287"/>
    <w:rsid w:val="00A702FD"/>
    <w:rsid w:val="00A705C3"/>
    <w:rsid w:val="00A706A0"/>
    <w:rsid w:val="00A706EE"/>
    <w:rsid w:val="00A70813"/>
    <w:rsid w:val="00A709E3"/>
    <w:rsid w:val="00A70C62"/>
    <w:rsid w:val="00A70D16"/>
    <w:rsid w:val="00A70D24"/>
    <w:rsid w:val="00A70E1A"/>
    <w:rsid w:val="00A70FE7"/>
    <w:rsid w:val="00A71058"/>
    <w:rsid w:val="00A710D3"/>
    <w:rsid w:val="00A7110D"/>
    <w:rsid w:val="00A71325"/>
    <w:rsid w:val="00A7148F"/>
    <w:rsid w:val="00A7149F"/>
    <w:rsid w:val="00A714CB"/>
    <w:rsid w:val="00A7158F"/>
    <w:rsid w:val="00A7160D"/>
    <w:rsid w:val="00A7167B"/>
    <w:rsid w:val="00A718A2"/>
    <w:rsid w:val="00A71C7A"/>
    <w:rsid w:val="00A71D33"/>
    <w:rsid w:val="00A71D65"/>
    <w:rsid w:val="00A71DDB"/>
    <w:rsid w:val="00A71E1D"/>
    <w:rsid w:val="00A71F76"/>
    <w:rsid w:val="00A71FAB"/>
    <w:rsid w:val="00A7236E"/>
    <w:rsid w:val="00A724AA"/>
    <w:rsid w:val="00A725E2"/>
    <w:rsid w:val="00A72870"/>
    <w:rsid w:val="00A72A28"/>
    <w:rsid w:val="00A72BA4"/>
    <w:rsid w:val="00A72C02"/>
    <w:rsid w:val="00A72F61"/>
    <w:rsid w:val="00A730D8"/>
    <w:rsid w:val="00A73146"/>
    <w:rsid w:val="00A731D6"/>
    <w:rsid w:val="00A7332E"/>
    <w:rsid w:val="00A733AE"/>
    <w:rsid w:val="00A733DE"/>
    <w:rsid w:val="00A734A5"/>
    <w:rsid w:val="00A73741"/>
    <w:rsid w:val="00A73894"/>
    <w:rsid w:val="00A74086"/>
    <w:rsid w:val="00A7413F"/>
    <w:rsid w:val="00A742CB"/>
    <w:rsid w:val="00A74320"/>
    <w:rsid w:val="00A743B4"/>
    <w:rsid w:val="00A743DF"/>
    <w:rsid w:val="00A7441B"/>
    <w:rsid w:val="00A74477"/>
    <w:rsid w:val="00A74726"/>
    <w:rsid w:val="00A74729"/>
    <w:rsid w:val="00A74731"/>
    <w:rsid w:val="00A748A4"/>
    <w:rsid w:val="00A749BF"/>
    <w:rsid w:val="00A74A99"/>
    <w:rsid w:val="00A74C63"/>
    <w:rsid w:val="00A74CF1"/>
    <w:rsid w:val="00A74D14"/>
    <w:rsid w:val="00A74F43"/>
    <w:rsid w:val="00A75016"/>
    <w:rsid w:val="00A750F7"/>
    <w:rsid w:val="00A75273"/>
    <w:rsid w:val="00A7546C"/>
    <w:rsid w:val="00A75631"/>
    <w:rsid w:val="00A756C3"/>
    <w:rsid w:val="00A757FD"/>
    <w:rsid w:val="00A75AB9"/>
    <w:rsid w:val="00A75E68"/>
    <w:rsid w:val="00A75F92"/>
    <w:rsid w:val="00A75FE3"/>
    <w:rsid w:val="00A76483"/>
    <w:rsid w:val="00A7668E"/>
    <w:rsid w:val="00A766C3"/>
    <w:rsid w:val="00A767CA"/>
    <w:rsid w:val="00A76CE4"/>
    <w:rsid w:val="00A76EC8"/>
    <w:rsid w:val="00A7708A"/>
    <w:rsid w:val="00A772E2"/>
    <w:rsid w:val="00A77330"/>
    <w:rsid w:val="00A77419"/>
    <w:rsid w:val="00A77639"/>
    <w:rsid w:val="00A7779A"/>
    <w:rsid w:val="00A7785E"/>
    <w:rsid w:val="00A7798C"/>
    <w:rsid w:val="00A779E4"/>
    <w:rsid w:val="00A77BA0"/>
    <w:rsid w:val="00A77BE2"/>
    <w:rsid w:val="00A77CD3"/>
    <w:rsid w:val="00A77DE1"/>
    <w:rsid w:val="00A77E62"/>
    <w:rsid w:val="00A80064"/>
    <w:rsid w:val="00A801EF"/>
    <w:rsid w:val="00A804B6"/>
    <w:rsid w:val="00A804E5"/>
    <w:rsid w:val="00A8054D"/>
    <w:rsid w:val="00A80607"/>
    <w:rsid w:val="00A807BF"/>
    <w:rsid w:val="00A80826"/>
    <w:rsid w:val="00A80847"/>
    <w:rsid w:val="00A809D2"/>
    <w:rsid w:val="00A80AFA"/>
    <w:rsid w:val="00A80B03"/>
    <w:rsid w:val="00A80D5B"/>
    <w:rsid w:val="00A80DC7"/>
    <w:rsid w:val="00A81004"/>
    <w:rsid w:val="00A8138B"/>
    <w:rsid w:val="00A8154F"/>
    <w:rsid w:val="00A815DF"/>
    <w:rsid w:val="00A819A6"/>
    <w:rsid w:val="00A819AD"/>
    <w:rsid w:val="00A81A5C"/>
    <w:rsid w:val="00A81B4A"/>
    <w:rsid w:val="00A81C94"/>
    <w:rsid w:val="00A81EF8"/>
    <w:rsid w:val="00A81F69"/>
    <w:rsid w:val="00A8215A"/>
    <w:rsid w:val="00A825F7"/>
    <w:rsid w:val="00A8264A"/>
    <w:rsid w:val="00A82758"/>
    <w:rsid w:val="00A82791"/>
    <w:rsid w:val="00A82867"/>
    <w:rsid w:val="00A828E9"/>
    <w:rsid w:val="00A8299F"/>
    <w:rsid w:val="00A82B9F"/>
    <w:rsid w:val="00A82E19"/>
    <w:rsid w:val="00A82F05"/>
    <w:rsid w:val="00A82F46"/>
    <w:rsid w:val="00A830FD"/>
    <w:rsid w:val="00A831B7"/>
    <w:rsid w:val="00A834E7"/>
    <w:rsid w:val="00A8361B"/>
    <w:rsid w:val="00A836C7"/>
    <w:rsid w:val="00A83880"/>
    <w:rsid w:val="00A83887"/>
    <w:rsid w:val="00A839F8"/>
    <w:rsid w:val="00A83A49"/>
    <w:rsid w:val="00A83E2C"/>
    <w:rsid w:val="00A83E73"/>
    <w:rsid w:val="00A83F82"/>
    <w:rsid w:val="00A84033"/>
    <w:rsid w:val="00A844D0"/>
    <w:rsid w:val="00A8469C"/>
    <w:rsid w:val="00A847A3"/>
    <w:rsid w:val="00A8483A"/>
    <w:rsid w:val="00A84986"/>
    <w:rsid w:val="00A849D7"/>
    <w:rsid w:val="00A84A15"/>
    <w:rsid w:val="00A84A33"/>
    <w:rsid w:val="00A84B81"/>
    <w:rsid w:val="00A84B92"/>
    <w:rsid w:val="00A84C6A"/>
    <w:rsid w:val="00A84CA0"/>
    <w:rsid w:val="00A84D02"/>
    <w:rsid w:val="00A84D23"/>
    <w:rsid w:val="00A850C8"/>
    <w:rsid w:val="00A85105"/>
    <w:rsid w:val="00A851BA"/>
    <w:rsid w:val="00A8525D"/>
    <w:rsid w:val="00A85270"/>
    <w:rsid w:val="00A85282"/>
    <w:rsid w:val="00A8531D"/>
    <w:rsid w:val="00A85355"/>
    <w:rsid w:val="00A85469"/>
    <w:rsid w:val="00A857E2"/>
    <w:rsid w:val="00A85815"/>
    <w:rsid w:val="00A8589B"/>
    <w:rsid w:val="00A85EDE"/>
    <w:rsid w:val="00A8607C"/>
    <w:rsid w:val="00A86107"/>
    <w:rsid w:val="00A861D9"/>
    <w:rsid w:val="00A862CE"/>
    <w:rsid w:val="00A8644C"/>
    <w:rsid w:val="00A864C8"/>
    <w:rsid w:val="00A865F1"/>
    <w:rsid w:val="00A8664A"/>
    <w:rsid w:val="00A866A8"/>
    <w:rsid w:val="00A86B5A"/>
    <w:rsid w:val="00A86D12"/>
    <w:rsid w:val="00A86E64"/>
    <w:rsid w:val="00A86FA7"/>
    <w:rsid w:val="00A86FED"/>
    <w:rsid w:val="00A870CD"/>
    <w:rsid w:val="00A8734C"/>
    <w:rsid w:val="00A8740C"/>
    <w:rsid w:val="00A87502"/>
    <w:rsid w:val="00A87535"/>
    <w:rsid w:val="00A87536"/>
    <w:rsid w:val="00A8775C"/>
    <w:rsid w:val="00A87848"/>
    <w:rsid w:val="00A8788F"/>
    <w:rsid w:val="00A878B9"/>
    <w:rsid w:val="00A878FF"/>
    <w:rsid w:val="00A87A33"/>
    <w:rsid w:val="00A87B0C"/>
    <w:rsid w:val="00A87BFD"/>
    <w:rsid w:val="00A87C50"/>
    <w:rsid w:val="00A87C80"/>
    <w:rsid w:val="00A87CAF"/>
    <w:rsid w:val="00A902F6"/>
    <w:rsid w:val="00A90307"/>
    <w:rsid w:val="00A9031D"/>
    <w:rsid w:val="00A9042E"/>
    <w:rsid w:val="00A9046A"/>
    <w:rsid w:val="00A9058A"/>
    <w:rsid w:val="00A90606"/>
    <w:rsid w:val="00A90733"/>
    <w:rsid w:val="00A909E4"/>
    <w:rsid w:val="00A90BF8"/>
    <w:rsid w:val="00A90D95"/>
    <w:rsid w:val="00A90DE6"/>
    <w:rsid w:val="00A90DEA"/>
    <w:rsid w:val="00A90E0A"/>
    <w:rsid w:val="00A90E57"/>
    <w:rsid w:val="00A90EE4"/>
    <w:rsid w:val="00A91146"/>
    <w:rsid w:val="00A9126D"/>
    <w:rsid w:val="00A91383"/>
    <w:rsid w:val="00A9150D"/>
    <w:rsid w:val="00A91838"/>
    <w:rsid w:val="00A91AA6"/>
    <w:rsid w:val="00A92160"/>
    <w:rsid w:val="00A92198"/>
    <w:rsid w:val="00A9238C"/>
    <w:rsid w:val="00A92448"/>
    <w:rsid w:val="00A9262C"/>
    <w:rsid w:val="00A926BC"/>
    <w:rsid w:val="00A92848"/>
    <w:rsid w:val="00A9291F"/>
    <w:rsid w:val="00A92CE2"/>
    <w:rsid w:val="00A92D3D"/>
    <w:rsid w:val="00A92E22"/>
    <w:rsid w:val="00A92E40"/>
    <w:rsid w:val="00A93206"/>
    <w:rsid w:val="00A93322"/>
    <w:rsid w:val="00A934A4"/>
    <w:rsid w:val="00A934BA"/>
    <w:rsid w:val="00A9351D"/>
    <w:rsid w:val="00A93601"/>
    <w:rsid w:val="00A936F0"/>
    <w:rsid w:val="00A937CF"/>
    <w:rsid w:val="00A9381B"/>
    <w:rsid w:val="00A939B9"/>
    <w:rsid w:val="00A93BFC"/>
    <w:rsid w:val="00A93C2F"/>
    <w:rsid w:val="00A93C35"/>
    <w:rsid w:val="00A93DA7"/>
    <w:rsid w:val="00A93F41"/>
    <w:rsid w:val="00A940A7"/>
    <w:rsid w:val="00A940DC"/>
    <w:rsid w:val="00A94105"/>
    <w:rsid w:val="00A94283"/>
    <w:rsid w:val="00A9439A"/>
    <w:rsid w:val="00A94517"/>
    <w:rsid w:val="00A94544"/>
    <w:rsid w:val="00A948F5"/>
    <w:rsid w:val="00A94A0F"/>
    <w:rsid w:val="00A94E5E"/>
    <w:rsid w:val="00A94ECB"/>
    <w:rsid w:val="00A9521A"/>
    <w:rsid w:val="00A954B3"/>
    <w:rsid w:val="00A95572"/>
    <w:rsid w:val="00A95640"/>
    <w:rsid w:val="00A95819"/>
    <w:rsid w:val="00A9581F"/>
    <w:rsid w:val="00A958F1"/>
    <w:rsid w:val="00A959C6"/>
    <w:rsid w:val="00A959FA"/>
    <w:rsid w:val="00A95C60"/>
    <w:rsid w:val="00A95CFC"/>
    <w:rsid w:val="00A95EC0"/>
    <w:rsid w:val="00A96060"/>
    <w:rsid w:val="00A96304"/>
    <w:rsid w:val="00A964D3"/>
    <w:rsid w:val="00A96589"/>
    <w:rsid w:val="00A965BD"/>
    <w:rsid w:val="00A966A7"/>
    <w:rsid w:val="00A96A5D"/>
    <w:rsid w:val="00A96E81"/>
    <w:rsid w:val="00A96E84"/>
    <w:rsid w:val="00A96ECA"/>
    <w:rsid w:val="00A96F35"/>
    <w:rsid w:val="00A9718A"/>
    <w:rsid w:val="00A972A9"/>
    <w:rsid w:val="00A972E3"/>
    <w:rsid w:val="00A97316"/>
    <w:rsid w:val="00A974FD"/>
    <w:rsid w:val="00A976E3"/>
    <w:rsid w:val="00A978A2"/>
    <w:rsid w:val="00A978D8"/>
    <w:rsid w:val="00A979DC"/>
    <w:rsid w:val="00A97A6F"/>
    <w:rsid w:val="00A97AC8"/>
    <w:rsid w:val="00A97B29"/>
    <w:rsid w:val="00A97C78"/>
    <w:rsid w:val="00A97E9D"/>
    <w:rsid w:val="00A97F29"/>
    <w:rsid w:val="00A97F3C"/>
    <w:rsid w:val="00A97F58"/>
    <w:rsid w:val="00A97F7A"/>
    <w:rsid w:val="00A97FD9"/>
    <w:rsid w:val="00AA0173"/>
    <w:rsid w:val="00AA0239"/>
    <w:rsid w:val="00AA038A"/>
    <w:rsid w:val="00AA0618"/>
    <w:rsid w:val="00AA0841"/>
    <w:rsid w:val="00AA0C2D"/>
    <w:rsid w:val="00AA0CAB"/>
    <w:rsid w:val="00AA0E1B"/>
    <w:rsid w:val="00AA104E"/>
    <w:rsid w:val="00AA1545"/>
    <w:rsid w:val="00AA175A"/>
    <w:rsid w:val="00AA19A0"/>
    <w:rsid w:val="00AA1A4B"/>
    <w:rsid w:val="00AA1BEC"/>
    <w:rsid w:val="00AA201B"/>
    <w:rsid w:val="00AA2192"/>
    <w:rsid w:val="00AA2296"/>
    <w:rsid w:val="00AA242A"/>
    <w:rsid w:val="00AA2496"/>
    <w:rsid w:val="00AA2782"/>
    <w:rsid w:val="00AA28B6"/>
    <w:rsid w:val="00AA2C55"/>
    <w:rsid w:val="00AA2DC3"/>
    <w:rsid w:val="00AA2FBE"/>
    <w:rsid w:val="00AA305D"/>
    <w:rsid w:val="00AA3186"/>
    <w:rsid w:val="00AA31AB"/>
    <w:rsid w:val="00AA327B"/>
    <w:rsid w:val="00AA33D3"/>
    <w:rsid w:val="00AA358B"/>
    <w:rsid w:val="00AA35B3"/>
    <w:rsid w:val="00AA3778"/>
    <w:rsid w:val="00AA37C2"/>
    <w:rsid w:val="00AA3839"/>
    <w:rsid w:val="00AA3920"/>
    <w:rsid w:val="00AA3B65"/>
    <w:rsid w:val="00AA3EE0"/>
    <w:rsid w:val="00AA3F2F"/>
    <w:rsid w:val="00AA3F82"/>
    <w:rsid w:val="00AA402A"/>
    <w:rsid w:val="00AA4086"/>
    <w:rsid w:val="00AA40C7"/>
    <w:rsid w:val="00AA4113"/>
    <w:rsid w:val="00AA41AE"/>
    <w:rsid w:val="00AA4235"/>
    <w:rsid w:val="00AA42D1"/>
    <w:rsid w:val="00AA4487"/>
    <w:rsid w:val="00AA48D8"/>
    <w:rsid w:val="00AA49C5"/>
    <w:rsid w:val="00AA4A93"/>
    <w:rsid w:val="00AA4C87"/>
    <w:rsid w:val="00AA4CCD"/>
    <w:rsid w:val="00AA4CDF"/>
    <w:rsid w:val="00AA4CEF"/>
    <w:rsid w:val="00AA4D7F"/>
    <w:rsid w:val="00AA4D84"/>
    <w:rsid w:val="00AA4ED9"/>
    <w:rsid w:val="00AA4FE2"/>
    <w:rsid w:val="00AA52C3"/>
    <w:rsid w:val="00AA56EE"/>
    <w:rsid w:val="00AA599E"/>
    <w:rsid w:val="00AA5ACD"/>
    <w:rsid w:val="00AA5B5A"/>
    <w:rsid w:val="00AA5B8B"/>
    <w:rsid w:val="00AA5E11"/>
    <w:rsid w:val="00AA5E43"/>
    <w:rsid w:val="00AA5E9D"/>
    <w:rsid w:val="00AA6286"/>
    <w:rsid w:val="00AA62AA"/>
    <w:rsid w:val="00AA64D2"/>
    <w:rsid w:val="00AA68B7"/>
    <w:rsid w:val="00AA6923"/>
    <w:rsid w:val="00AA6C1A"/>
    <w:rsid w:val="00AA6CAE"/>
    <w:rsid w:val="00AA6DCE"/>
    <w:rsid w:val="00AA6E84"/>
    <w:rsid w:val="00AA6EA3"/>
    <w:rsid w:val="00AA702C"/>
    <w:rsid w:val="00AA703C"/>
    <w:rsid w:val="00AA7047"/>
    <w:rsid w:val="00AA71A3"/>
    <w:rsid w:val="00AA71D3"/>
    <w:rsid w:val="00AA72B1"/>
    <w:rsid w:val="00AA7450"/>
    <w:rsid w:val="00AA74C5"/>
    <w:rsid w:val="00AA7508"/>
    <w:rsid w:val="00AA7627"/>
    <w:rsid w:val="00AA76C3"/>
    <w:rsid w:val="00AA797C"/>
    <w:rsid w:val="00AA7CD2"/>
    <w:rsid w:val="00AA7CED"/>
    <w:rsid w:val="00AA7D25"/>
    <w:rsid w:val="00AA7D2D"/>
    <w:rsid w:val="00AA7D9D"/>
    <w:rsid w:val="00AA7DD6"/>
    <w:rsid w:val="00AB00C3"/>
    <w:rsid w:val="00AB01B0"/>
    <w:rsid w:val="00AB031D"/>
    <w:rsid w:val="00AB0333"/>
    <w:rsid w:val="00AB03C0"/>
    <w:rsid w:val="00AB04B6"/>
    <w:rsid w:val="00AB0514"/>
    <w:rsid w:val="00AB05F7"/>
    <w:rsid w:val="00AB0689"/>
    <w:rsid w:val="00AB0850"/>
    <w:rsid w:val="00AB0ABD"/>
    <w:rsid w:val="00AB0AD9"/>
    <w:rsid w:val="00AB0B93"/>
    <w:rsid w:val="00AB0C2E"/>
    <w:rsid w:val="00AB0D92"/>
    <w:rsid w:val="00AB0F7E"/>
    <w:rsid w:val="00AB1093"/>
    <w:rsid w:val="00AB11E7"/>
    <w:rsid w:val="00AB11F8"/>
    <w:rsid w:val="00AB121A"/>
    <w:rsid w:val="00AB16B2"/>
    <w:rsid w:val="00AB1BB2"/>
    <w:rsid w:val="00AB1DEB"/>
    <w:rsid w:val="00AB205B"/>
    <w:rsid w:val="00AB2092"/>
    <w:rsid w:val="00AB227C"/>
    <w:rsid w:val="00AB2707"/>
    <w:rsid w:val="00AB2A5D"/>
    <w:rsid w:val="00AB2AA7"/>
    <w:rsid w:val="00AB2BFC"/>
    <w:rsid w:val="00AB2CA6"/>
    <w:rsid w:val="00AB320D"/>
    <w:rsid w:val="00AB32C4"/>
    <w:rsid w:val="00AB3372"/>
    <w:rsid w:val="00AB3373"/>
    <w:rsid w:val="00AB3387"/>
    <w:rsid w:val="00AB3427"/>
    <w:rsid w:val="00AB3572"/>
    <w:rsid w:val="00AB3580"/>
    <w:rsid w:val="00AB36F1"/>
    <w:rsid w:val="00AB3849"/>
    <w:rsid w:val="00AB387F"/>
    <w:rsid w:val="00AB3AF1"/>
    <w:rsid w:val="00AB3DE4"/>
    <w:rsid w:val="00AB3E32"/>
    <w:rsid w:val="00AB3E96"/>
    <w:rsid w:val="00AB3F57"/>
    <w:rsid w:val="00AB4266"/>
    <w:rsid w:val="00AB42A5"/>
    <w:rsid w:val="00AB4322"/>
    <w:rsid w:val="00AB4446"/>
    <w:rsid w:val="00AB4537"/>
    <w:rsid w:val="00AB453E"/>
    <w:rsid w:val="00AB4756"/>
    <w:rsid w:val="00AB4C30"/>
    <w:rsid w:val="00AB4CC4"/>
    <w:rsid w:val="00AB4D7F"/>
    <w:rsid w:val="00AB4DD3"/>
    <w:rsid w:val="00AB4FF4"/>
    <w:rsid w:val="00AB50B8"/>
    <w:rsid w:val="00AB5147"/>
    <w:rsid w:val="00AB5252"/>
    <w:rsid w:val="00AB5350"/>
    <w:rsid w:val="00AB53EC"/>
    <w:rsid w:val="00AB54A6"/>
    <w:rsid w:val="00AB54D3"/>
    <w:rsid w:val="00AB5630"/>
    <w:rsid w:val="00AB5796"/>
    <w:rsid w:val="00AB582D"/>
    <w:rsid w:val="00AB5894"/>
    <w:rsid w:val="00AB59F2"/>
    <w:rsid w:val="00AB5AE2"/>
    <w:rsid w:val="00AB5B24"/>
    <w:rsid w:val="00AB5B37"/>
    <w:rsid w:val="00AB5C9D"/>
    <w:rsid w:val="00AB5E1F"/>
    <w:rsid w:val="00AB60F5"/>
    <w:rsid w:val="00AB6179"/>
    <w:rsid w:val="00AB6205"/>
    <w:rsid w:val="00AB62DB"/>
    <w:rsid w:val="00AB6377"/>
    <w:rsid w:val="00AB644C"/>
    <w:rsid w:val="00AB654E"/>
    <w:rsid w:val="00AB6573"/>
    <w:rsid w:val="00AB657A"/>
    <w:rsid w:val="00AB6F26"/>
    <w:rsid w:val="00AB6F95"/>
    <w:rsid w:val="00AB6FCF"/>
    <w:rsid w:val="00AB71E4"/>
    <w:rsid w:val="00AB744D"/>
    <w:rsid w:val="00AB7513"/>
    <w:rsid w:val="00AB774B"/>
    <w:rsid w:val="00AB790C"/>
    <w:rsid w:val="00AB797E"/>
    <w:rsid w:val="00AC00B7"/>
    <w:rsid w:val="00AC01F8"/>
    <w:rsid w:val="00AC030E"/>
    <w:rsid w:val="00AC046F"/>
    <w:rsid w:val="00AC0798"/>
    <w:rsid w:val="00AC0866"/>
    <w:rsid w:val="00AC0876"/>
    <w:rsid w:val="00AC0A72"/>
    <w:rsid w:val="00AC0AD7"/>
    <w:rsid w:val="00AC0ADD"/>
    <w:rsid w:val="00AC0C29"/>
    <w:rsid w:val="00AC0C76"/>
    <w:rsid w:val="00AC0E31"/>
    <w:rsid w:val="00AC0FF0"/>
    <w:rsid w:val="00AC199C"/>
    <w:rsid w:val="00AC1B41"/>
    <w:rsid w:val="00AC1B8F"/>
    <w:rsid w:val="00AC1E54"/>
    <w:rsid w:val="00AC1EDA"/>
    <w:rsid w:val="00AC204D"/>
    <w:rsid w:val="00AC2148"/>
    <w:rsid w:val="00AC2356"/>
    <w:rsid w:val="00AC2BA5"/>
    <w:rsid w:val="00AC2E13"/>
    <w:rsid w:val="00AC2EA8"/>
    <w:rsid w:val="00AC2FA9"/>
    <w:rsid w:val="00AC3219"/>
    <w:rsid w:val="00AC3430"/>
    <w:rsid w:val="00AC356B"/>
    <w:rsid w:val="00AC366A"/>
    <w:rsid w:val="00AC39C5"/>
    <w:rsid w:val="00AC3A03"/>
    <w:rsid w:val="00AC3B96"/>
    <w:rsid w:val="00AC3CC7"/>
    <w:rsid w:val="00AC3D8F"/>
    <w:rsid w:val="00AC3E06"/>
    <w:rsid w:val="00AC4489"/>
    <w:rsid w:val="00AC46B7"/>
    <w:rsid w:val="00AC474C"/>
    <w:rsid w:val="00AC491A"/>
    <w:rsid w:val="00AC4B03"/>
    <w:rsid w:val="00AC4D47"/>
    <w:rsid w:val="00AC4E5A"/>
    <w:rsid w:val="00AC4FB0"/>
    <w:rsid w:val="00AC4FBA"/>
    <w:rsid w:val="00AC5149"/>
    <w:rsid w:val="00AC5207"/>
    <w:rsid w:val="00AC5457"/>
    <w:rsid w:val="00AC5524"/>
    <w:rsid w:val="00AC5692"/>
    <w:rsid w:val="00AC56BD"/>
    <w:rsid w:val="00AC5D27"/>
    <w:rsid w:val="00AC5E66"/>
    <w:rsid w:val="00AC5EBB"/>
    <w:rsid w:val="00AC5FCA"/>
    <w:rsid w:val="00AC6159"/>
    <w:rsid w:val="00AC618A"/>
    <w:rsid w:val="00AC63AF"/>
    <w:rsid w:val="00AC6451"/>
    <w:rsid w:val="00AC64B4"/>
    <w:rsid w:val="00AC64CE"/>
    <w:rsid w:val="00AC691E"/>
    <w:rsid w:val="00AC6A6D"/>
    <w:rsid w:val="00AC6AC7"/>
    <w:rsid w:val="00AC74E1"/>
    <w:rsid w:val="00AC7515"/>
    <w:rsid w:val="00AC75DA"/>
    <w:rsid w:val="00AC769D"/>
    <w:rsid w:val="00AC76C4"/>
    <w:rsid w:val="00AC7787"/>
    <w:rsid w:val="00AC7A4D"/>
    <w:rsid w:val="00AC7AE3"/>
    <w:rsid w:val="00AC7CC0"/>
    <w:rsid w:val="00AC7E1C"/>
    <w:rsid w:val="00AC7E98"/>
    <w:rsid w:val="00AC7F2A"/>
    <w:rsid w:val="00AD017C"/>
    <w:rsid w:val="00AD01A5"/>
    <w:rsid w:val="00AD02F1"/>
    <w:rsid w:val="00AD0496"/>
    <w:rsid w:val="00AD0847"/>
    <w:rsid w:val="00AD084E"/>
    <w:rsid w:val="00AD0B7B"/>
    <w:rsid w:val="00AD0C5C"/>
    <w:rsid w:val="00AD0C7E"/>
    <w:rsid w:val="00AD0CD7"/>
    <w:rsid w:val="00AD0D22"/>
    <w:rsid w:val="00AD0E8B"/>
    <w:rsid w:val="00AD1331"/>
    <w:rsid w:val="00AD1372"/>
    <w:rsid w:val="00AD13F4"/>
    <w:rsid w:val="00AD14F4"/>
    <w:rsid w:val="00AD14F6"/>
    <w:rsid w:val="00AD1617"/>
    <w:rsid w:val="00AD1681"/>
    <w:rsid w:val="00AD16A8"/>
    <w:rsid w:val="00AD1925"/>
    <w:rsid w:val="00AD192C"/>
    <w:rsid w:val="00AD1BA4"/>
    <w:rsid w:val="00AD1CEA"/>
    <w:rsid w:val="00AD1D3C"/>
    <w:rsid w:val="00AD20AE"/>
    <w:rsid w:val="00AD21D5"/>
    <w:rsid w:val="00AD22F9"/>
    <w:rsid w:val="00AD2372"/>
    <w:rsid w:val="00AD246E"/>
    <w:rsid w:val="00AD252E"/>
    <w:rsid w:val="00AD255E"/>
    <w:rsid w:val="00AD2571"/>
    <w:rsid w:val="00AD27C0"/>
    <w:rsid w:val="00AD2CFC"/>
    <w:rsid w:val="00AD2E25"/>
    <w:rsid w:val="00AD2E2E"/>
    <w:rsid w:val="00AD2F36"/>
    <w:rsid w:val="00AD30B5"/>
    <w:rsid w:val="00AD31C1"/>
    <w:rsid w:val="00AD34FC"/>
    <w:rsid w:val="00AD3518"/>
    <w:rsid w:val="00AD361F"/>
    <w:rsid w:val="00AD3682"/>
    <w:rsid w:val="00AD3865"/>
    <w:rsid w:val="00AD3921"/>
    <w:rsid w:val="00AD3BCC"/>
    <w:rsid w:val="00AD3C0F"/>
    <w:rsid w:val="00AD3D98"/>
    <w:rsid w:val="00AD3E33"/>
    <w:rsid w:val="00AD4005"/>
    <w:rsid w:val="00AD437F"/>
    <w:rsid w:val="00AD45BE"/>
    <w:rsid w:val="00AD466E"/>
    <w:rsid w:val="00AD471B"/>
    <w:rsid w:val="00AD4734"/>
    <w:rsid w:val="00AD4ADE"/>
    <w:rsid w:val="00AD4B90"/>
    <w:rsid w:val="00AD4BC8"/>
    <w:rsid w:val="00AD4E2A"/>
    <w:rsid w:val="00AD4E41"/>
    <w:rsid w:val="00AD5085"/>
    <w:rsid w:val="00AD5122"/>
    <w:rsid w:val="00AD51BA"/>
    <w:rsid w:val="00AD521E"/>
    <w:rsid w:val="00AD52DE"/>
    <w:rsid w:val="00AD54BD"/>
    <w:rsid w:val="00AD56C3"/>
    <w:rsid w:val="00AD5C52"/>
    <w:rsid w:val="00AD5CC0"/>
    <w:rsid w:val="00AD5EF2"/>
    <w:rsid w:val="00AD6293"/>
    <w:rsid w:val="00AD64D9"/>
    <w:rsid w:val="00AD6590"/>
    <w:rsid w:val="00AD6640"/>
    <w:rsid w:val="00AD681F"/>
    <w:rsid w:val="00AD69D3"/>
    <w:rsid w:val="00AD6A5A"/>
    <w:rsid w:val="00AD6BD5"/>
    <w:rsid w:val="00AD6BFB"/>
    <w:rsid w:val="00AD6C1D"/>
    <w:rsid w:val="00AD6DC9"/>
    <w:rsid w:val="00AD6ED7"/>
    <w:rsid w:val="00AD702D"/>
    <w:rsid w:val="00AD70F9"/>
    <w:rsid w:val="00AD72ED"/>
    <w:rsid w:val="00AD733A"/>
    <w:rsid w:val="00AD7539"/>
    <w:rsid w:val="00AD7919"/>
    <w:rsid w:val="00AD7A14"/>
    <w:rsid w:val="00AD7BB7"/>
    <w:rsid w:val="00AD7C34"/>
    <w:rsid w:val="00AD7C97"/>
    <w:rsid w:val="00AD7D95"/>
    <w:rsid w:val="00AD7DBA"/>
    <w:rsid w:val="00AD7E46"/>
    <w:rsid w:val="00AE0036"/>
    <w:rsid w:val="00AE01FF"/>
    <w:rsid w:val="00AE02A2"/>
    <w:rsid w:val="00AE0602"/>
    <w:rsid w:val="00AE06A4"/>
    <w:rsid w:val="00AE06E3"/>
    <w:rsid w:val="00AE08DE"/>
    <w:rsid w:val="00AE0A5B"/>
    <w:rsid w:val="00AE0D9F"/>
    <w:rsid w:val="00AE0DBD"/>
    <w:rsid w:val="00AE0EB9"/>
    <w:rsid w:val="00AE10CB"/>
    <w:rsid w:val="00AE1181"/>
    <w:rsid w:val="00AE132A"/>
    <w:rsid w:val="00AE1389"/>
    <w:rsid w:val="00AE145A"/>
    <w:rsid w:val="00AE157E"/>
    <w:rsid w:val="00AE158D"/>
    <w:rsid w:val="00AE1864"/>
    <w:rsid w:val="00AE1A95"/>
    <w:rsid w:val="00AE1AF5"/>
    <w:rsid w:val="00AE1CFA"/>
    <w:rsid w:val="00AE1D3B"/>
    <w:rsid w:val="00AE1D3E"/>
    <w:rsid w:val="00AE1F49"/>
    <w:rsid w:val="00AE2132"/>
    <w:rsid w:val="00AE254A"/>
    <w:rsid w:val="00AE260F"/>
    <w:rsid w:val="00AE27FE"/>
    <w:rsid w:val="00AE2802"/>
    <w:rsid w:val="00AE2840"/>
    <w:rsid w:val="00AE290A"/>
    <w:rsid w:val="00AE2937"/>
    <w:rsid w:val="00AE2C61"/>
    <w:rsid w:val="00AE2C6E"/>
    <w:rsid w:val="00AE2CC3"/>
    <w:rsid w:val="00AE3263"/>
    <w:rsid w:val="00AE32C2"/>
    <w:rsid w:val="00AE34BF"/>
    <w:rsid w:val="00AE3EAE"/>
    <w:rsid w:val="00AE3EFE"/>
    <w:rsid w:val="00AE3FC3"/>
    <w:rsid w:val="00AE3FE4"/>
    <w:rsid w:val="00AE4191"/>
    <w:rsid w:val="00AE41D9"/>
    <w:rsid w:val="00AE423D"/>
    <w:rsid w:val="00AE44EB"/>
    <w:rsid w:val="00AE45EF"/>
    <w:rsid w:val="00AE464C"/>
    <w:rsid w:val="00AE46F4"/>
    <w:rsid w:val="00AE4770"/>
    <w:rsid w:val="00AE47A2"/>
    <w:rsid w:val="00AE4855"/>
    <w:rsid w:val="00AE4FC8"/>
    <w:rsid w:val="00AE51FA"/>
    <w:rsid w:val="00AE53DB"/>
    <w:rsid w:val="00AE547B"/>
    <w:rsid w:val="00AE5541"/>
    <w:rsid w:val="00AE5788"/>
    <w:rsid w:val="00AE59A6"/>
    <w:rsid w:val="00AE5C39"/>
    <w:rsid w:val="00AE5D78"/>
    <w:rsid w:val="00AE5FE1"/>
    <w:rsid w:val="00AE6105"/>
    <w:rsid w:val="00AE6135"/>
    <w:rsid w:val="00AE6168"/>
    <w:rsid w:val="00AE6186"/>
    <w:rsid w:val="00AE6203"/>
    <w:rsid w:val="00AE652C"/>
    <w:rsid w:val="00AE668E"/>
    <w:rsid w:val="00AE69F6"/>
    <w:rsid w:val="00AE6C53"/>
    <w:rsid w:val="00AE6EF5"/>
    <w:rsid w:val="00AE75E2"/>
    <w:rsid w:val="00AE75E8"/>
    <w:rsid w:val="00AE7612"/>
    <w:rsid w:val="00AE7634"/>
    <w:rsid w:val="00AE7654"/>
    <w:rsid w:val="00AE7749"/>
    <w:rsid w:val="00AE7808"/>
    <w:rsid w:val="00AE799D"/>
    <w:rsid w:val="00AE7A28"/>
    <w:rsid w:val="00AE7AE9"/>
    <w:rsid w:val="00AE7AFF"/>
    <w:rsid w:val="00AE7D17"/>
    <w:rsid w:val="00AE7E91"/>
    <w:rsid w:val="00AF002E"/>
    <w:rsid w:val="00AF0113"/>
    <w:rsid w:val="00AF0154"/>
    <w:rsid w:val="00AF03F9"/>
    <w:rsid w:val="00AF04B3"/>
    <w:rsid w:val="00AF05CB"/>
    <w:rsid w:val="00AF076C"/>
    <w:rsid w:val="00AF0897"/>
    <w:rsid w:val="00AF0972"/>
    <w:rsid w:val="00AF09B8"/>
    <w:rsid w:val="00AF0A53"/>
    <w:rsid w:val="00AF0A89"/>
    <w:rsid w:val="00AF0B04"/>
    <w:rsid w:val="00AF0B26"/>
    <w:rsid w:val="00AF0CF7"/>
    <w:rsid w:val="00AF0E46"/>
    <w:rsid w:val="00AF0FC3"/>
    <w:rsid w:val="00AF1135"/>
    <w:rsid w:val="00AF11F0"/>
    <w:rsid w:val="00AF1286"/>
    <w:rsid w:val="00AF1461"/>
    <w:rsid w:val="00AF18DD"/>
    <w:rsid w:val="00AF204F"/>
    <w:rsid w:val="00AF24CB"/>
    <w:rsid w:val="00AF2536"/>
    <w:rsid w:val="00AF25FB"/>
    <w:rsid w:val="00AF2925"/>
    <w:rsid w:val="00AF2A3A"/>
    <w:rsid w:val="00AF2ADB"/>
    <w:rsid w:val="00AF2AEA"/>
    <w:rsid w:val="00AF2BEA"/>
    <w:rsid w:val="00AF2CFD"/>
    <w:rsid w:val="00AF2DA3"/>
    <w:rsid w:val="00AF2DE4"/>
    <w:rsid w:val="00AF2EB3"/>
    <w:rsid w:val="00AF2FC8"/>
    <w:rsid w:val="00AF2FE3"/>
    <w:rsid w:val="00AF3185"/>
    <w:rsid w:val="00AF325D"/>
    <w:rsid w:val="00AF33B2"/>
    <w:rsid w:val="00AF34E4"/>
    <w:rsid w:val="00AF35C4"/>
    <w:rsid w:val="00AF3621"/>
    <w:rsid w:val="00AF3936"/>
    <w:rsid w:val="00AF39CC"/>
    <w:rsid w:val="00AF3A86"/>
    <w:rsid w:val="00AF3B55"/>
    <w:rsid w:val="00AF3FA3"/>
    <w:rsid w:val="00AF3FCB"/>
    <w:rsid w:val="00AF40E6"/>
    <w:rsid w:val="00AF42A3"/>
    <w:rsid w:val="00AF430C"/>
    <w:rsid w:val="00AF43B3"/>
    <w:rsid w:val="00AF4598"/>
    <w:rsid w:val="00AF468C"/>
    <w:rsid w:val="00AF48BF"/>
    <w:rsid w:val="00AF48CB"/>
    <w:rsid w:val="00AF491E"/>
    <w:rsid w:val="00AF4A64"/>
    <w:rsid w:val="00AF4B9C"/>
    <w:rsid w:val="00AF4BB8"/>
    <w:rsid w:val="00AF4D01"/>
    <w:rsid w:val="00AF4DA0"/>
    <w:rsid w:val="00AF4F5B"/>
    <w:rsid w:val="00AF5080"/>
    <w:rsid w:val="00AF527F"/>
    <w:rsid w:val="00AF5319"/>
    <w:rsid w:val="00AF54FB"/>
    <w:rsid w:val="00AF567E"/>
    <w:rsid w:val="00AF57C7"/>
    <w:rsid w:val="00AF593E"/>
    <w:rsid w:val="00AF5945"/>
    <w:rsid w:val="00AF59FD"/>
    <w:rsid w:val="00AF5D6E"/>
    <w:rsid w:val="00AF5EFD"/>
    <w:rsid w:val="00AF5F42"/>
    <w:rsid w:val="00AF6031"/>
    <w:rsid w:val="00AF605F"/>
    <w:rsid w:val="00AF6072"/>
    <w:rsid w:val="00AF60FE"/>
    <w:rsid w:val="00AF619A"/>
    <w:rsid w:val="00AF6252"/>
    <w:rsid w:val="00AF6610"/>
    <w:rsid w:val="00AF6661"/>
    <w:rsid w:val="00AF67E4"/>
    <w:rsid w:val="00AF6932"/>
    <w:rsid w:val="00AF6957"/>
    <w:rsid w:val="00AF6AAA"/>
    <w:rsid w:val="00AF7253"/>
    <w:rsid w:val="00AF72DD"/>
    <w:rsid w:val="00AF769E"/>
    <w:rsid w:val="00AF7772"/>
    <w:rsid w:val="00AF79BF"/>
    <w:rsid w:val="00AF7A30"/>
    <w:rsid w:val="00AF7B6D"/>
    <w:rsid w:val="00AF7CE2"/>
    <w:rsid w:val="00AF7E10"/>
    <w:rsid w:val="00AF7E77"/>
    <w:rsid w:val="00AF7F50"/>
    <w:rsid w:val="00B0007C"/>
    <w:rsid w:val="00B00126"/>
    <w:rsid w:val="00B00534"/>
    <w:rsid w:val="00B00756"/>
    <w:rsid w:val="00B00919"/>
    <w:rsid w:val="00B009C1"/>
    <w:rsid w:val="00B00C73"/>
    <w:rsid w:val="00B00DA1"/>
    <w:rsid w:val="00B00EA4"/>
    <w:rsid w:val="00B00FE6"/>
    <w:rsid w:val="00B01059"/>
    <w:rsid w:val="00B010D2"/>
    <w:rsid w:val="00B01167"/>
    <w:rsid w:val="00B011A0"/>
    <w:rsid w:val="00B013F4"/>
    <w:rsid w:val="00B0157F"/>
    <w:rsid w:val="00B0168B"/>
    <w:rsid w:val="00B01749"/>
    <w:rsid w:val="00B01765"/>
    <w:rsid w:val="00B01852"/>
    <w:rsid w:val="00B01BB2"/>
    <w:rsid w:val="00B01BC1"/>
    <w:rsid w:val="00B01DB5"/>
    <w:rsid w:val="00B01F20"/>
    <w:rsid w:val="00B021DE"/>
    <w:rsid w:val="00B0221B"/>
    <w:rsid w:val="00B02419"/>
    <w:rsid w:val="00B024BC"/>
    <w:rsid w:val="00B0261C"/>
    <w:rsid w:val="00B026A9"/>
    <w:rsid w:val="00B0284D"/>
    <w:rsid w:val="00B0292C"/>
    <w:rsid w:val="00B02A98"/>
    <w:rsid w:val="00B02C0E"/>
    <w:rsid w:val="00B02E1A"/>
    <w:rsid w:val="00B031BA"/>
    <w:rsid w:val="00B0332D"/>
    <w:rsid w:val="00B03424"/>
    <w:rsid w:val="00B036EF"/>
    <w:rsid w:val="00B0372D"/>
    <w:rsid w:val="00B038C2"/>
    <w:rsid w:val="00B038C7"/>
    <w:rsid w:val="00B039C7"/>
    <w:rsid w:val="00B039F5"/>
    <w:rsid w:val="00B03A85"/>
    <w:rsid w:val="00B03B01"/>
    <w:rsid w:val="00B03DCE"/>
    <w:rsid w:val="00B03FB4"/>
    <w:rsid w:val="00B040A3"/>
    <w:rsid w:val="00B0417A"/>
    <w:rsid w:val="00B04310"/>
    <w:rsid w:val="00B0440E"/>
    <w:rsid w:val="00B0442D"/>
    <w:rsid w:val="00B0447D"/>
    <w:rsid w:val="00B04612"/>
    <w:rsid w:val="00B04694"/>
    <w:rsid w:val="00B04B3C"/>
    <w:rsid w:val="00B04BA6"/>
    <w:rsid w:val="00B04F23"/>
    <w:rsid w:val="00B04F32"/>
    <w:rsid w:val="00B04F53"/>
    <w:rsid w:val="00B04FB6"/>
    <w:rsid w:val="00B055B5"/>
    <w:rsid w:val="00B055FE"/>
    <w:rsid w:val="00B05728"/>
    <w:rsid w:val="00B059C8"/>
    <w:rsid w:val="00B05A6E"/>
    <w:rsid w:val="00B05CFC"/>
    <w:rsid w:val="00B061B7"/>
    <w:rsid w:val="00B0633A"/>
    <w:rsid w:val="00B06371"/>
    <w:rsid w:val="00B065B6"/>
    <w:rsid w:val="00B0669D"/>
    <w:rsid w:val="00B06791"/>
    <w:rsid w:val="00B06846"/>
    <w:rsid w:val="00B06854"/>
    <w:rsid w:val="00B0689E"/>
    <w:rsid w:val="00B069AA"/>
    <w:rsid w:val="00B06EC3"/>
    <w:rsid w:val="00B06F18"/>
    <w:rsid w:val="00B06FAF"/>
    <w:rsid w:val="00B07045"/>
    <w:rsid w:val="00B070F7"/>
    <w:rsid w:val="00B0736D"/>
    <w:rsid w:val="00B073F2"/>
    <w:rsid w:val="00B07414"/>
    <w:rsid w:val="00B07588"/>
    <w:rsid w:val="00B0783B"/>
    <w:rsid w:val="00B07B40"/>
    <w:rsid w:val="00B07C83"/>
    <w:rsid w:val="00B07CA6"/>
    <w:rsid w:val="00B07E9E"/>
    <w:rsid w:val="00B1012E"/>
    <w:rsid w:val="00B101AB"/>
    <w:rsid w:val="00B10382"/>
    <w:rsid w:val="00B10394"/>
    <w:rsid w:val="00B1056B"/>
    <w:rsid w:val="00B106DD"/>
    <w:rsid w:val="00B107B2"/>
    <w:rsid w:val="00B10A2C"/>
    <w:rsid w:val="00B10BD5"/>
    <w:rsid w:val="00B10C48"/>
    <w:rsid w:val="00B10DDB"/>
    <w:rsid w:val="00B10EE1"/>
    <w:rsid w:val="00B10F07"/>
    <w:rsid w:val="00B110EB"/>
    <w:rsid w:val="00B113E0"/>
    <w:rsid w:val="00B1143A"/>
    <w:rsid w:val="00B1163B"/>
    <w:rsid w:val="00B116D0"/>
    <w:rsid w:val="00B117BF"/>
    <w:rsid w:val="00B11805"/>
    <w:rsid w:val="00B11879"/>
    <w:rsid w:val="00B11894"/>
    <w:rsid w:val="00B11A49"/>
    <w:rsid w:val="00B11A96"/>
    <w:rsid w:val="00B11AA6"/>
    <w:rsid w:val="00B11B72"/>
    <w:rsid w:val="00B11B8A"/>
    <w:rsid w:val="00B11C03"/>
    <w:rsid w:val="00B11D66"/>
    <w:rsid w:val="00B11DEF"/>
    <w:rsid w:val="00B11ECC"/>
    <w:rsid w:val="00B1206A"/>
    <w:rsid w:val="00B12089"/>
    <w:rsid w:val="00B123C7"/>
    <w:rsid w:val="00B123DB"/>
    <w:rsid w:val="00B123E2"/>
    <w:rsid w:val="00B125BF"/>
    <w:rsid w:val="00B12831"/>
    <w:rsid w:val="00B12989"/>
    <w:rsid w:val="00B12E4B"/>
    <w:rsid w:val="00B12E70"/>
    <w:rsid w:val="00B12F4D"/>
    <w:rsid w:val="00B12FC5"/>
    <w:rsid w:val="00B13017"/>
    <w:rsid w:val="00B131D1"/>
    <w:rsid w:val="00B13200"/>
    <w:rsid w:val="00B1321B"/>
    <w:rsid w:val="00B13371"/>
    <w:rsid w:val="00B133A3"/>
    <w:rsid w:val="00B13494"/>
    <w:rsid w:val="00B134C1"/>
    <w:rsid w:val="00B135CD"/>
    <w:rsid w:val="00B135DF"/>
    <w:rsid w:val="00B136A0"/>
    <w:rsid w:val="00B1378C"/>
    <w:rsid w:val="00B1388C"/>
    <w:rsid w:val="00B13B03"/>
    <w:rsid w:val="00B13B64"/>
    <w:rsid w:val="00B13B7C"/>
    <w:rsid w:val="00B13D2A"/>
    <w:rsid w:val="00B13D85"/>
    <w:rsid w:val="00B13FCF"/>
    <w:rsid w:val="00B149D2"/>
    <w:rsid w:val="00B14A79"/>
    <w:rsid w:val="00B14B7D"/>
    <w:rsid w:val="00B14BC1"/>
    <w:rsid w:val="00B14C06"/>
    <w:rsid w:val="00B14C32"/>
    <w:rsid w:val="00B14DCE"/>
    <w:rsid w:val="00B14EFE"/>
    <w:rsid w:val="00B14F69"/>
    <w:rsid w:val="00B151C5"/>
    <w:rsid w:val="00B15277"/>
    <w:rsid w:val="00B152DF"/>
    <w:rsid w:val="00B15301"/>
    <w:rsid w:val="00B15532"/>
    <w:rsid w:val="00B1571A"/>
    <w:rsid w:val="00B15790"/>
    <w:rsid w:val="00B15832"/>
    <w:rsid w:val="00B15C4E"/>
    <w:rsid w:val="00B15CA5"/>
    <w:rsid w:val="00B15E93"/>
    <w:rsid w:val="00B15EA9"/>
    <w:rsid w:val="00B15EB9"/>
    <w:rsid w:val="00B15EF7"/>
    <w:rsid w:val="00B15FD7"/>
    <w:rsid w:val="00B16066"/>
    <w:rsid w:val="00B163E5"/>
    <w:rsid w:val="00B166E2"/>
    <w:rsid w:val="00B16803"/>
    <w:rsid w:val="00B168C2"/>
    <w:rsid w:val="00B16A53"/>
    <w:rsid w:val="00B16D06"/>
    <w:rsid w:val="00B16E3B"/>
    <w:rsid w:val="00B16FCB"/>
    <w:rsid w:val="00B17065"/>
    <w:rsid w:val="00B170E8"/>
    <w:rsid w:val="00B171DD"/>
    <w:rsid w:val="00B171E1"/>
    <w:rsid w:val="00B171F7"/>
    <w:rsid w:val="00B17259"/>
    <w:rsid w:val="00B172FA"/>
    <w:rsid w:val="00B175A4"/>
    <w:rsid w:val="00B175D5"/>
    <w:rsid w:val="00B175EB"/>
    <w:rsid w:val="00B178AA"/>
    <w:rsid w:val="00B1794E"/>
    <w:rsid w:val="00B17E25"/>
    <w:rsid w:val="00B20093"/>
    <w:rsid w:val="00B201BC"/>
    <w:rsid w:val="00B201CB"/>
    <w:rsid w:val="00B20243"/>
    <w:rsid w:val="00B20361"/>
    <w:rsid w:val="00B205FE"/>
    <w:rsid w:val="00B206A6"/>
    <w:rsid w:val="00B206C3"/>
    <w:rsid w:val="00B20787"/>
    <w:rsid w:val="00B20A2C"/>
    <w:rsid w:val="00B20B5C"/>
    <w:rsid w:val="00B20C2A"/>
    <w:rsid w:val="00B20C68"/>
    <w:rsid w:val="00B20D8D"/>
    <w:rsid w:val="00B20F6A"/>
    <w:rsid w:val="00B214AD"/>
    <w:rsid w:val="00B214AE"/>
    <w:rsid w:val="00B215E5"/>
    <w:rsid w:val="00B216CE"/>
    <w:rsid w:val="00B217B9"/>
    <w:rsid w:val="00B21921"/>
    <w:rsid w:val="00B21D8E"/>
    <w:rsid w:val="00B21E35"/>
    <w:rsid w:val="00B21E81"/>
    <w:rsid w:val="00B2216B"/>
    <w:rsid w:val="00B2241A"/>
    <w:rsid w:val="00B225A9"/>
    <w:rsid w:val="00B22731"/>
    <w:rsid w:val="00B2277B"/>
    <w:rsid w:val="00B227BF"/>
    <w:rsid w:val="00B2293F"/>
    <w:rsid w:val="00B229AD"/>
    <w:rsid w:val="00B22A0A"/>
    <w:rsid w:val="00B22B14"/>
    <w:rsid w:val="00B22BBB"/>
    <w:rsid w:val="00B22BD4"/>
    <w:rsid w:val="00B22D28"/>
    <w:rsid w:val="00B22F02"/>
    <w:rsid w:val="00B22F2C"/>
    <w:rsid w:val="00B23149"/>
    <w:rsid w:val="00B2322D"/>
    <w:rsid w:val="00B2334F"/>
    <w:rsid w:val="00B23393"/>
    <w:rsid w:val="00B2342A"/>
    <w:rsid w:val="00B234F9"/>
    <w:rsid w:val="00B23830"/>
    <w:rsid w:val="00B23856"/>
    <w:rsid w:val="00B23916"/>
    <w:rsid w:val="00B23926"/>
    <w:rsid w:val="00B23AF6"/>
    <w:rsid w:val="00B23BD5"/>
    <w:rsid w:val="00B23DFD"/>
    <w:rsid w:val="00B23EF4"/>
    <w:rsid w:val="00B24307"/>
    <w:rsid w:val="00B244E4"/>
    <w:rsid w:val="00B24692"/>
    <w:rsid w:val="00B2477B"/>
    <w:rsid w:val="00B247D5"/>
    <w:rsid w:val="00B248EB"/>
    <w:rsid w:val="00B24952"/>
    <w:rsid w:val="00B24A4C"/>
    <w:rsid w:val="00B24A75"/>
    <w:rsid w:val="00B24BD4"/>
    <w:rsid w:val="00B24CD8"/>
    <w:rsid w:val="00B24FC8"/>
    <w:rsid w:val="00B24FF9"/>
    <w:rsid w:val="00B25226"/>
    <w:rsid w:val="00B253E7"/>
    <w:rsid w:val="00B25446"/>
    <w:rsid w:val="00B255C4"/>
    <w:rsid w:val="00B25628"/>
    <w:rsid w:val="00B2570F"/>
    <w:rsid w:val="00B25A0A"/>
    <w:rsid w:val="00B25AF3"/>
    <w:rsid w:val="00B25BFF"/>
    <w:rsid w:val="00B25CBB"/>
    <w:rsid w:val="00B25CEF"/>
    <w:rsid w:val="00B25D2B"/>
    <w:rsid w:val="00B25F3F"/>
    <w:rsid w:val="00B25FA8"/>
    <w:rsid w:val="00B264EF"/>
    <w:rsid w:val="00B26573"/>
    <w:rsid w:val="00B26732"/>
    <w:rsid w:val="00B2689A"/>
    <w:rsid w:val="00B26AE6"/>
    <w:rsid w:val="00B26BE8"/>
    <w:rsid w:val="00B26C19"/>
    <w:rsid w:val="00B26CC0"/>
    <w:rsid w:val="00B26D5C"/>
    <w:rsid w:val="00B26DD6"/>
    <w:rsid w:val="00B26E3C"/>
    <w:rsid w:val="00B26F2F"/>
    <w:rsid w:val="00B273FA"/>
    <w:rsid w:val="00B27686"/>
    <w:rsid w:val="00B276AE"/>
    <w:rsid w:val="00B27A61"/>
    <w:rsid w:val="00B27BE6"/>
    <w:rsid w:val="00B27CBA"/>
    <w:rsid w:val="00B27DE8"/>
    <w:rsid w:val="00B27F63"/>
    <w:rsid w:val="00B300C2"/>
    <w:rsid w:val="00B30142"/>
    <w:rsid w:val="00B30322"/>
    <w:rsid w:val="00B3079D"/>
    <w:rsid w:val="00B307E0"/>
    <w:rsid w:val="00B30A3E"/>
    <w:rsid w:val="00B30AD8"/>
    <w:rsid w:val="00B30BB7"/>
    <w:rsid w:val="00B30C5F"/>
    <w:rsid w:val="00B30FD4"/>
    <w:rsid w:val="00B3114C"/>
    <w:rsid w:val="00B31298"/>
    <w:rsid w:val="00B312BB"/>
    <w:rsid w:val="00B313AC"/>
    <w:rsid w:val="00B31403"/>
    <w:rsid w:val="00B316B5"/>
    <w:rsid w:val="00B3170F"/>
    <w:rsid w:val="00B31846"/>
    <w:rsid w:val="00B319CA"/>
    <w:rsid w:val="00B31ECB"/>
    <w:rsid w:val="00B31ED9"/>
    <w:rsid w:val="00B31F13"/>
    <w:rsid w:val="00B31F7D"/>
    <w:rsid w:val="00B322B2"/>
    <w:rsid w:val="00B32B16"/>
    <w:rsid w:val="00B32C2D"/>
    <w:rsid w:val="00B32F5B"/>
    <w:rsid w:val="00B32FB8"/>
    <w:rsid w:val="00B33271"/>
    <w:rsid w:val="00B33297"/>
    <w:rsid w:val="00B332CF"/>
    <w:rsid w:val="00B33469"/>
    <w:rsid w:val="00B3363B"/>
    <w:rsid w:val="00B3364A"/>
    <w:rsid w:val="00B339F2"/>
    <w:rsid w:val="00B33D8C"/>
    <w:rsid w:val="00B33DA0"/>
    <w:rsid w:val="00B341AA"/>
    <w:rsid w:val="00B341DA"/>
    <w:rsid w:val="00B342D3"/>
    <w:rsid w:val="00B34466"/>
    <w:rsid w:val="00B345A0"/>
    <w:rsid w:val="00B345A3"/>
    <w:rsid w:val="00B34B5C"/>
    <w:rsid w:val="00B34EBC"/>
    <w:rsid w:val="00B34F21"/>
    <w:rsid w:val="00B352C0"/>
    <w:rsid w:val="00B35445"/>
    <w:rsid w:val="00B355D5"/>
    <w:rsid w:val="00B3560D"/>
    <w:rsid w:val="00B3583F"/>
    <w:rsid w:val="00B358FB"/>
    <w:rsid w:val="00B35BFB"/>
    <w:rsid w:val="00B35C28"/>
    <w:rsid w:val="00B35D81"/>
    <w:rsid w:val="00B35E56"/>
    <w:rsid w:val="00B3602B"/>
    <w:rsid w:val="00B360D8"/>
    <w:rsid w:val="00B36211"/>
    <w:rsid w:val="00B3694F"/>
    <w:rsid w:val="00B36CD6"/>
    <w:rsid w:val="00B36D86"/>
    <w:rsid w:val="00B36EC6"/>
    <w:rsid w:val="00B37090"/>
    <w:rsid w:val="00B37366"/>
    <w:rsid w:val="00B376B2"/>
    <w:rsid w:val="00B377AD"/>
    <w:rsid w:val="00B37ACD"/>
    <w:rsid w:val="00B37BAE"/>
    <w:rsid w:val="00B37CA3"/>
    <w:rsid w:val="00B37FCA"/>
    <w:rsid w:val="00B40123"/>
    <w:rsid w:val="00B4045A"/>
    <w:rsid w:val="00B404C3"/>
    <w:rsid w:val="00B405DC"/>
    <w:rsid w:val="00B4066A"/>
    <w:rsid w:val="00B4067F"/>
    <w:rsid w:val="00B406A1"/>
    <w:rsid w:val="00B40763"/>
    <w:rsid w:val="00B40894"/>
    <w:rsid w:val="00B408CC"/>
    <w:rsid w:val="00B40AB7"/>
    <w:rsid w:val="00B40ACC"/>
    <w:rsid w:val="00B40D21"/>
    <w:rsid w:val="00B40D30"/>
    <w:rsid w:val="00B40D78"/>
    <w:rsid w:val="00B40F5D"/>
    <w:rsid w:val="00B40F6B"/>
    <w:rsid w:val="00B41058"/>
    <w:rsid w:val="00B410B7"/>
    <w:rsid w:val="00B411C9"/>
    <w:rsid w:val="00B414FE"/>
    <w:rsid w:val="00B41841"/>
    <w:rsid w:val="00B41B85"/>
    <w:rsid w:val="00B41BFB"/>
    <w:rsid w:val="00B41C49"/>
    <w:rsid w:val="00B41D1C"/>
    <w:rsid w:val="00B41E7A"/>
    <w:rsid w:val="00B41EBC"/>
    <w:rsid w:val="00B41EE6"/>
    <w:rsid w:val="00B425CD"/>
    <w:rsid w:val="00B42728"/>
    <w:rsid w:val="00B42753"/>
    <w:rsid w:val="00B427E2"/>
    <w:rsid w:val="00B42A9C"/>
    <w:rsid w:val="00B42B13"/>
    <w:rsid w:val="00B42BD6"/>
    <w:rsid w:val="00B42C6D"/>
    <w:rsid w:val="00B42CDB"/>
    <w:rsid w:val="00B42CEB"/>
    <w:rsid w:val="00B42DEB"/>
    <w:rsid w:val="00B42E39"/>
    <w:rsid w:val="00B430A4"/>
    <w:rsid w:val="00B4312D"/>
    <w:rsid w:val="00B43210"/>
    <w:rsid w:val="00B432B1"/>
    <w:rsid w:val="00B433B6"/>
    <w:rsid w:val="00B433B7"/>
    <w:rsid w:val="00B4344B"/>
    <w:rsid w:val="00B4366B"/>
    <w:rsid w:val="00B43813"/>
    <w:rsid w:val="00B439C4"/>
    <w:rsid w:val="00B43D0D"/>
    <w:rsid w:val="00B43DF8"/>
    <w:rsid w:val="00B43E9D"/>
    <w:rsid w:val="00B43EFE"/>
    <w:rsid w:val="00B43FCA"/>
    <w:rsid w:val="00B441F3"/>
    <w:rsid w:val="00B44219"/>
    <w:rsid w:val="00B44292"/>
    <w:rsid w:val="00B446D1"/>
    <w:rsid w:val="00B44A0B"/>
    <w:rsid w:val="00B44AE9"/>
    <w:rsid w:val="00B44D21"/>
    <w:rsid w:val="00B44D33"/>
    <w:rsid w:val="00B44DBE"/>
    <w:rsid w:val="00B44ECC"/>
    <w:rsid w:val="00B44EFD"/>
    <w:rsid w:val="00B44F1F"/>
    <w:rsid w:val="00B44F24"/>
    <w:rsid w:val="00B45095"/>
    <w:rsid w:val="00B450A2"/>
    <w:rsid w:val="00B45207"/>
    <w:rsid w:val="00B453D4"/>
    <w:rsid w:val="00B45435"/>
    <w:rsid w:val="00B455B0"/>
    <w:rsid w:val="00B45AD9"/>
    <w:rsid w:val="00B45CF4"/>
    <w:rsid w:val="00B45E02"/>
    <w:rsid w:val="00B46260"/>
    <w:rsid w:val="00B46327"/>
    <w:rsid w:val="00B46430"/>
    <w:rsid w:val="00B465FA"/>
    <w:rsid w:val="00B469F5"/>
    <w:rsid w:val="00B46A39"/>
    <w:rsid w:val="00B46BC2"/>
    <w:rsid w:val="00B46D93"/>
    <w:rsid w:val="00B46FCD"/>
    <w:rsid w:val="00B472B6"/>
    <w:rsid w:val="00B4735C"/>
    <w:rsid w:val="00B4737B"/>
    <w:rsid w:val="00B47501"/>
    <w:rsid w:val="00B47543"/>
    <w:rsid w:val="00B47980"/>
    <w:rsid w:val="00B47AA2"/>
    <w:rsid w:val="00B47AB2"/>
    <w:rsid w:val="00B47E45"/>
    <w:rsid w:val="00B47F9B"/>
    <w:rsid w:val="00B503F0"/>
    <w:rsid w:val="00B50651"/>
    <w:rsid w:val="00B50693"/>
    <w:rsid w:val="00B50BBA"/>
    <w:rsid w:val="00B50C33"/>
    <w:rsid w:val="00B50CD0"/>
    <w:rsid w:val="00B50E1C"/>
    <w:rsid w:val="00B514A1"/>
    <w:rsid w:val="00B51687"/>
    <w:rsid w:val="00B51AB9"/>
    <w:rsid w:val="00B51C02"/>
    <w:rsid w:val="00B51DCD"/>
    <w:rsid w:val="00B51FCA"/>
    <w:rsid w:val="00B52028"/>
    <w:rsid w:val="00B520E5"/>
    <w:rsid w:val="00B522BE"/>
    <w:rsid w:val="00B52441"/>
    <w:rsid w:val="00B527E1"/>
    <w:rsid w:val="00B52981"/>
    <w:rsid w:val="00B52C60"/>
    <w:rsid w:val="00B52CD0"/>
    <w:rsid w:val="00B53054"/>
    <w:rsid w:val="00B53260"/>
    <w:rsid w:val="00B533EA"/>
    <w:rsid w:val="00B53472"/>
    <w:rsid w:val="00B5347F"/>
    <w:rsid w:val="00B534F5"/>
    <w:rsid w:val="00B53669"/>
    <w:rsid w:val="00B538A2"/>
    <w:rsid w:val="00B53991"/>
    <w:rsid w:val="00B53C0D"/>
    <w:rsid w:val="00B53D65"/>
    <w:rsid w:val="00B53E03"/>
    <w:rsid w:val="00B5407B"/>
    <w:rsid w:val="00B542C9"/>
    <w:rsid w:val="00B54323"/>
    <w:rsid w:val="00B5432C"/>
    <w:rsid w:val="00B5443D"/>
    <w:rsid w:val="00B545DA"/>
    <w:rsid w:val="00B54661"/>
    <w:rsid w:val="00B5467C"/>
    <w:rsid w:val="00B5478E"/>
    <w:rsid w:val="00B54813"/>
    <w:rsid w:val="00B54816"/>
    <w:rsid w:val="00B54C7F"/>
    <w:rsid w:val="00B54CD6"/>
    <w:rsid w:val="00B54F0A"/>
    <w:rsid w:val="00B54FCF"/>
    <w:rsid w:val="00B5539F"/>
    <w:rsid w:val="00B553E1"/>
    <w:rsid w:val="00B55655"/>
    <w:rsid w:val="00B556C8"/>
    <w:rsid w:val="00B5582E"/>
    <w:rsid w:val="00B55CEB"/>
    <w:rsid w:val="00B55D5A"/>
    <w:rsid w:val="00B55F0C"/>
    <w:rsid w:val="00B561E0"/>
    <w:rsid w:val="00B56371"/>
    <w:rsid w:val="00B56490"/>
    <w:rsid w:val="00B564AC"/>
    <w:rsid w:val="00B564B3"/>
    <w:rsid w:val="00B566AC"/>
    <w:rsid w:val="00B56725"/>
    <w:rsid w:val="00B5674A"/>
    <w:rsid w:val="00B5677A"/>
    <w:rsid w:val="00B5688C"/>
    <w:rsid w:val="00B56B19"/>
    <w:rsid w:val="00B56B38"/>
    <w:rsid w:val="00B56B4B"/>
    <w:rsid w:val="00B56F2E"/>
    <w:rsid w:val="00B56F7A"/>
    <w:rsid w:val="00B570AD"/>
    <w:rsid w:val="00B570F4"/>
    <w:rsid w:val="00B573B5"/>
    <w:rsid w:val="00B57450"/>
    <w:rsid w:val="00B57766"/>
    <w:rsid w:val="00B577D6"/>
    <w:rsid w:val="00B577EF"/>
    <w:rsid w:val="00B57A11"/>
    <w:rsid w:val="00B57AE6"/>
    <w:rsid w:val="00B57C1A"/>
    <w:rsid w:val="00B57D62"/>
    <w:rsid w:val="00B57D6E"/>
    <w:rsid w:val="00B57EA3"/>
    <w:rsid w:val="00B60044"/>
    <w:rsid w:val="00B6029D"/>
    <w:rsid w:val="00B602C1"/>
    <w:rsid w:val="00B602C7"/>
    <w:rsid w:val="00B60372"/>
    <w:rsid w:val="00B60617"/>
    <w:rsid w:val="00B6070A"/>
    <w:rsid w:val="00B60732"/>
    <w:rsid w:val="00B6079F"/>
    <w:rsid w:val="00B60861"/>
    <w:rsid w:val="00B60B2A"/>
    <w:rsid w:val="00B60B38"/>
    <w:rsid w:val="00B60D7C"/>
    <w:rsid w:val="00B60DBB"/>
    <w:rsid w:val="00B60E3F"/>
    <w:rsid w:val="00B60EFF"/>
    <w:rsid w:val="00B610BF"/>
    <w:rsid w:val="00B610FD"/>
    <w:rsid w:val="00B610FE"/>
    <w:rsid w:val="00B6149C"/>
    <w:rsid w:val="00B61715"/>
    <w:rsid w:val="00B61857"/>
    <w:rsid w:val="00B61902"/>
    <w:rsid w:val="00B619A5"/>
    <w:rsid w:val="00B61C5C"/>
    <w:rsid w:val="00B61FA3"/>
    <w:rsid w:val="00B61FC7"/>
    <w:rsid w:val="00B62015"/>
    <w:rsid w:val="00B62157"/>
    <w:rsid w:val="00B62283"/>
    <w:rsid w:val="00B622CB"/>
    <w:rsid w:val="00B62424"/>
    <w:rsid w:val="00B627C1"/>
    <w:rsid w:val="00B628B5"/>
    <w:rsid w:val="00B629E5"/>
    <w:rsid w:val="00B629FF"/>
    <w:rsid w:val="00B62C24"/>
    <w:rsid w:val="00B62D48"/>
    <w:rsid w:val="00B62DD4"/>
    <w:rsid w:val="00B63299"/>
    <w:rsid w:val="00B632AF"/>
    <w:rsid w:val="00B63422"/>
    <w:rsid w:val="00B6359C"/>
    <w:rsid w:val="00B63727"/>
    <w:rsid w:val="00B6390E"/>
    <w:rsid w:val="00B639CF"/>
    <w:rsid w:val="00B63AB5"/>
    <w:rsid w:val="00B63FBC"/>
    <w:rsid w:val="00B64172"/>
    <w:rsid w:val="00B64289"/>
    <w:rsid w:val="00B646CD"/>
    <w:rsid w:val="00B64710"/>
    <w:rsid w:val="00B648B8"/>
    <w:rsid w:val="00B648DB"/>
    <w:rsid w:val="00B64CAA"/>
    <w:rsid w:val="00B64CC0"/>
    <w:rsid w:val="00B64D35"/>
    <w:rsid w:val="00B64D51"/>
    <w:rsid w:val="00B64D63"/>
    <w:rsid w:val="00B64E72"/>
    <w:rsid w:val="00B64FD5"/>
    <w:rsid w:val="00B65281"/>
    <w:rsid w:val="00B652F7"/>
    <w:rsid w:val="00B6540B"/>
    <w:rsid w:val="00B65464"/>
    <w:rsid w:val="00B6546F"/>
    <w:rsid w:val="00B654EA"/>
    <w:rsid w:val="00B65511"/>
    <w:rsid w:val="00B6564D"/>
    <w:rsid w:val="00B65920"/>
    <w:rsid w:val="00B65992"/>
    <w:rsid w:val="00B659FA"/>
    <w:rsid w:val="00B65BE1"/>
    <w:rsid w:val="00B65D12"/>
    <w:rsid w:val="00B65D67"/>
    <w:rsid w:val="00B660CA"/>
    <w:rsid w:val="00B6617E"/>
    <w:rsid w:val="00B662F2"/>
    <w:rsid w:val="00B663FB"/>
    <w:rsid w:val="00B6653A"/>
    <w:rsid w:val="00B66550"/>
    <w:rsid w:val="00B6657F"/>
    <w:rsid w:val="00B6660F"/>
    <w:rsid w:val="00B666A1"/>
    <w:rsid w:val="00B666FA"/>
    <w:rsid w:val="00B667DD"/>
    <w:rsid w:val="00B667F6"/>
    <w:rsid w:val="00B6680E"/>
    <w:rsid w:val="00B66A14"/>
    <w:rsid w:val="00B66C0D"/>
    <w:rsid w:val="00B66DBC"/>
    <w:rsid w:val="00B66EFC"/>
    <w:rsid w:val="00B66F3E"/>
    <w:rsid w:val="00B671EA"/>
    <w:rsid w:val="00B6733F"/>
    <w:rsid w:val="00B676B8"/>
    <w:rsid w:val="00B6780C"/>
    <w:rsid w:val="00B678EE"/>
    <w:rsid w:val="00B67989"/>
    <w:rsid w:val="00B67ACC"/>
    <w:rsid w:val="00B67CD8"/>
    <w:rsid w:val="00B67DC2"/>
    <w:rsid w:val="00B67DE6"/>
    <w:rsid w:val="00B67ECD"/>
    <w:rsid w:val="00B70409"/>
    <w:rsid w:val="00B705FD"/>
    <w:rsid w:val="00B706AC"/>
    <w:rsid w:val="00B7099C"/>
    <w:rsid w:val="00B70B7C"/>
    <w:rsid w:val="00B70CF9"/>
    <w:rsid w:val="00B70DBE"/>
    <w:rsid w:val="00B711C5"/>
    <w:rsid w:val="00B71371"/>
    <w:rsid w:val="00B71391"/>
    <w:rsid w:val="00B713BB"/>
    <w:rsid w:val="00B71650"/>
    <w:rsid w:val="00B71682"/>
    <w:rsid w:val="00B7181F"/>
    <w:rsid w:val="00B71A83"/>
    <w:rsid w:val="00B71B09"/>
    <w:rsid w:val="00B71B6A"/>
    <w:rsid w:val="00B7205A"/>
    <w:rsid w:val="00B72103"/>
    <w:rsid w:val="00B7227F"/>
    <w:rsid w:val="00B726EF"/>
    <w:rsid w:val="00B72926"/>
    <w:rsid w:val="00B72984"/>
    <w:rsid w:val="00B72B8F"/>
    <w:rsid w:val="00B72BB8"/>
    <w:rsid w:val="00B72FD2"/>
    <w:rsid w:val="00B73126"/>
    <w:rsid w:val="00B7316E"/>
    <w:rsid w:val="00B7321C"/>
    <w:rsid w:val="00B73386"/>
    <w:rsid w:val="00B733F3"/>
    <w:rsid w:val="00B73560"/>
    <w:rsid w:val="00B736BB"/>
    <w:rsid w:val="00B73700"/>
    <w:rsid w:val="00B7389E"/>
    <w:rsid w:val="00B73A0A"/>
    <w:rsid w:val="00B73B26"/>
    <w:rsid w:val="00B73BC3"/>
    <w:rsid w:val="00B73F5B"/>
    <w:rsid w:val="00B74144"/>
    <w:rsid w:val="00B7414F"/>
    <w:rsid w:val="00B74222"/>
    <w:rsid w:val="00B7435D"/>
    <w:rsid w:val="00B7440E"/>
    <w:rsid w:val="00B7453E"/>
    <w:rsid w:val="00B7454F"/>
    <w:rsid w:val="00B74754"/>
    <w:rsid w:val="00B74777"/>
    <w:rsid w:val="00B747DB"/>
    <w:rsid w:val="00B7482B"/>
    <w:rsid w:val="00B748E6"/>
    <w:rsid w:val="00B74A65"/>
    <w:rsid w:val="00B74A82"/>
    <w:rsid w:val="00B74A88"/>
    <w:rsid w:val="00B74AC0"/>
    <w:rsid w:val="00B74B84"/>
    <w:rsid w:val="00B74D0F"/>
    <w:rsid w:val="00B74D18"/>
    <w:rsid w:val="00B74D7B"/>
    <w:rsid w:val="00B74E56"/>
    <w:rsid w:val="00B74EC5"/>
    <w:rsid w:val="00B75162"/>
    <w:rsid w:val="00B751A9"/>
    <w:rsid w:val="00B7577A"/>
    <w:rsid w:val="00B7584A"/>
    <w:rsid w:val="00B75A0A"/>
    <w:rsid w:val="00B75A47"/>
    <w:rsid w:val="00B75A78"/>
    <w:rsid w:val="00B75C01"/>
    <w:rsid w:val="00B75CD9"/>
    <w:rsid w:val="00B75EAA"/>
    <w:rsid w:val="00B7603A"/>
    <w:rsid w:val="00B761C9"/>
    <w:rsid w:val="00B763F3"/>
    <w:rsid w:val="00B7676D"/>
    <w:rsid w:val="00B7690A"/>
    <w:rsid w:val="00B7693A"/>
    <w:rsid w:val="00B76A98"/>
    <w:rsid w:val="00B76BB9"/>
    <w:rsid w:val="00B76CFE"/>
    <w:rsid w:val="00B76DDB"/>
    <w:rsid w:val="00B77338"/>
    <w:rsid w:val="00B773BA"/>
    <w:rsid w:val="00B77663"/>
    <w:rsid w:val="00B77743"/>
    <w:rsid w:val="00B7774F"/>
    <w:rsid w:val="00B77A6E"/>
    <w:rsid w:val="00B77B19"/>
    <w:rsid w:val="00B77B82"/>
    <w:rsid w:val="00B77D6D"/>
    <w:rsid w:val="00B77D79"/>
    <w:rsid w:val="00B77D8F"/>
    <w:rsid w:val="00B8002B"/>
    <w:rsid w:val="00B80372"/>
    <w:rsid w:val="00B8039A"/>
    <w:rsid w:val="00B80512"/>
    <w:rsid w:val="00B8057A"/>
    <w:rsid w:val="00B8065F"/>
    <w:rsid w:val="00B80671"/>
    <w:rsid w:val="00B808FB"/>
    <w:rsid w:val="00B80ACC"/>
    <w:rsid w:val="00B80B6F"/>
    <w:rsid w:val="00B80C0D"/>
    <w:rsid w:val="00B80C8F"/>
    <w:rsid w:val="00B80E15"/>
    <w:rsid w:val="00B80E71"/>
    <w:rsid w:val="00B80E99"/>
    <w:rsid w:val="00B81091"/>
    <w:rsid w:val="00B810C8"/>
    <w:rsid w:val="00B8114C"/>
    <w:rsid w:val="00B8116B"/>
    <w:rsid w:val="00B81225"/>
    <w:rsid w:val="00B812FF"/>
    <w:rsid w:val="00B81366"/>
    <w:rsid w:val="00B81398"/>
    <w:rsid w:val="00B814A8"/>
    <w:rsid w:val="00B814EF"/>
    <w:rsid w:val="00B81685"/>
    <w:rsid w:val="00B8178E"/>
    <w:rsid w:val="00B8180B"/>
    <w:rsid w:val="00B8180E"/>
    <w:rsid w:val="00B818F3"/>
    <w:rsid w:val="00B8193D"/>
    <w:rsid w:val="00B819FA"/>
    <w:rsid w:val="00B81A7E"/>
    <w:rsid w:val="00B81B71"/>
    <w:rsid w:val="00B81FB8"/>
    <w:rsid w:val="00B82011"/>
    <w:rsid w:val="00B82121"/>
    <w:rsid w:val="00B8226A"/>
    <w:rsid w:val="00B82291"/>
    <w:rsid w:val="00B82319"/>
    <w:rsid w:val="00B82416"/>
    <w:rsid w:val="00B824BD"/>
    <w:rsid w:val="00B82627"/>
    <w:rsid w:val="00B82659"/>
    <w:rsid w:val="00B82822"/>
    <w:rsid w:val="00B828D0"/>
    <w:rsid w:val="00B829C1"/>
    <w:rsid w:val="00B82A3C"/>
    <w:rsid w:val="00B82AD3"/>
    <w:rsid w:val="00B82B47"/>
    <w:rsid w:val="00B82C5C"/>
    <w:rsid w:val="00B83006"/>
    <w:rsid w:val="00B83029"/>
    <w:rsid w:val="00B8304C"/>
    <w:rsid w:val="00B83103"/>
    <w:rsid w:val="00B832FE"/>
    <w:rsid w:val="00B83379"/>
    <w:rsid w:val="00B833B7"/>
    <w:rsid w:val="00B837F2"/>
    <w:rsid w:val="00B83B96"/>
    <w:rsid w:val="00B83DE9"/>
    <w:rsid w:val="00B83E23"/>
    <w:rsid w:val="00B84016"/>
    <w:rsid w:val="00B84023"/>
    <w:rsid w:val="00B841C8"/>
    <w:rsid w:val="00B8421E"/>
    <w:rsid w:val="00B84328"/>
    <w:rsid w:val="00B8455D"/>
    <w:rsid w:val="00B84ADF"/>
    <w:rsid w:val="00B84FE9"/>
    <w:rsid w:val="00B850CB"/>
    <w:rsid w:val="00B85379"/>
    <w:rsid w:val="00B85592"/>
    <w:rsid w:val="00B855D3"/>
    <w:rsid w:val="00B85665"/>
    <w:rsid w:val="00B85705"/>
    <w:rsid w:val="00B8590C"/>
    <w:rsid w:val="00B85914"/>
    <w:rsid w:val="00B85AF6"/>
    <w:rsid w:val="00B85DA5"/>
    <w:rsid w:val="00B85E1A"/>
    <w:rsid w:val="00B860D9"/>
    <w:rsid w:val="00B863B6"/>
    <w:rsid w:val="00B863F5"/>
    <w:rsid w:val="00B86460"/>
    <w:rsid w:val="00B86479"/>
    <w:rsid w:val="00B865BE"/>
    <w:rsid w:val="00B866AA"/>
    <w:rsid w:val="00B866C7"/>
    <w:rsid w:val="00B866F2"/>
    <w:rsid w:val="00B866FB"/>
    <w:rsid w:val="00B86736"/>
    <w:rsid w:val="00B86754"/>
    <w:rsid w:val="00B8681C"/>
    <w:rsid w:val="00B86980"/>
    <w:rsid w:val="00B869BF"/>
    <w:rsid w:val="00B86BB1"/>
    <w:rsid w:val="00B86C62"/>
    <w:rsid w:val="00B86D45"/>
    <w:rsid w:val="00B86F2D"/>
    <w:rsid w:val="00B87071"/>
    <w:rsid w:val="00B87181"/>
    <w:rsid w:val="00B87369"/>
    <w:rsid w:val="00B87727"/>
    <w:rsid w:val="00B87762"/>
    <w:rsid w:val="00B87A6A"/>
    <w:rsid w:val="00B87C22"/>
    <w:rsid w:val="00B87C76"/>
    <w:rsid w:val="00B87C8F"/>
    <w:rsid w:val="00B87F70"/>
    <w:rsid w:val="00B90044"/>
    <w:rsid w:val="00B90184"/>
    <w:rsid w:val="00B901DA"/>
    <w:rsid w:val="00B902DB"/>
    <w:rsid w:val="00B903EA"/>
    <w:rsid w:val="00B905FD"/>
    <w:rsid w:val="00B906A7"/>
    <w:rsid w:val="00B908F2"/>
    <w:rsid w:val="00B90AD7"/>
    <w:rsid w:val="00B90E25"/>
    <w:rsid w:val="00B90F18"/>
    <w:rsid w:val="00B90F74"/>
    <w:rsid w:val="00B912A9"/>
    <w:rsid w:val="00B9132D"/>
    <w:rsid w:val="00B91536"/>
    <w:rsid w:val="00B916DA"/>
    <w:rsid w:val="00B917BA"/>
    <w:rsid w:val="00B91B69"/>
    <w:rsid w:val="00B91B84"/>
    <w:rsid w:val="00B91C87"/>
    <w:rsid w:val="00B91EE7"/>
    <w:rsid w:val="00B91FB7"/>
    <w:rsid w:val="00B9204C"/>
    <w:rsid w:val="00B9204D"/>
    <w:rsid w:val="00B921D3"/>
    <w:rsid w:val="00B9228A"/>
    <w:rsid w:val="00B92310"/>
    <w:rsid w:val="00B9262F"/>
    <w:rsid w:val="00B9281B"/>
    <w:rsid w:val="00B928B7"/>
    <w:rsid w:val="00B928FF"/>
    <w:rsid w:val="00B929E1"/>
    <w:rsid w:val="00B92C30"/>
    <w:rsid w:val="00B92FC9"/>
    <w:rsid w:val="00B93082"/>
    <w:rsid w:val="00B93246"/>
    <w:rsid w:val="00B93606"/>
    <w:rsid w:val="00B93837"/>
    <w:rsid w:val="00B93C89"/>
    <w:rsid w:val="00B93DB5"/>
    <w:rsid w:val="00B94130"/>
    <w:rsid w:val="00B941C4"/>
    <w:rsid w:val="00B94367"/>
    <w:rsid w:val="00B94433"/>
    <w:rsid w:val="00B9472E"/>
    <w:rsid w:val="00B94730"/>
    <w:rsid w:val="00B948CF"/>
    <w:rsid w:val="00B9497F"/>
    <w:rsid w:val="00B94C05"/>
    <w:rsid w:val="00B94C3F"/>
    <w:rsid w:val="00B94DAC"/>
    <w:rsid w:val="00B94F11"/>
    <w:rsid w:val="00B9508D"/>
    <w:rsid w:val="00B950CE"/>
    <w:rsid w:val="00B95166"/>
    <w:rsid w:val="00B95180"/>
    <w:rsid w:val="00B9538C"/>
    <w:rsid w:val="00B953F7"/>
    <w:rsid w:val="00B954EE"/>
    <w:rsid w:val="00B95CF6"/>
    <w:rsid w:val="00B95FD7"/>
    <w:rsid w:val="00B960EC"/>
    <w:rsid w:val="00B961F0"/>
    <w:rsid w:val="00B96256"/>
    <w:rsid w:val="00B96341"/>
    <w:rsid w:val="00B963C8"/>
    <w:rsid w:val="00B96445"/>
    <w:rsid w:val="00B965D0"/>
    <w:rsid w:val="00B966B3"/>
    <w:rsid w:val="00B9686D"/>
    <w:rsid w:val="00B968F3"/>
    <w:rsid w:val="00B96ABC"/>
    <w:rsid w:val="00B96D35"/>
    <w:rsid w:val="00B96E0B"/>
    <w:rsid w:val="00B96F2F"/>
    <w:rsid w:val="00B970FD"/>
    <w:rsid w:val="00B9724C"/>
    <w:rsid w:val="00B9724D"/>
    <w:rsid w:val="00B97297"/>
    <w:rsid w:val="00B97317"/>
    <w:rsid w:val="00B97425"/>
    <w:rsid w:val="00B97481"/>
    <w:rsid w:val="00B97504"/>
    <w:rsid w:val="00B9754B"/>
    <w:rsid w:val="00B97650"/>
    <w:rsid w:val="00B9767B"/>
    <w:rsid w:val="00B97735"/>
    <w:rsid w:val="00B97814"/>
    <w:rsid w:val="00B97899"/>
    <w:rsid w:val="00B97AA2"/>
    <w:rsid w:val="00B97B81"/>
    <w:rsid w:val="00B97E5C"/>
    <w:rsid w:val="00B97F58"/>
    <w:rsid w:val="00BA019F"/>
    <w:rsid w:val="00BA060B"/>
    <w:rsid w:val="00BA07FE"/>
    <w:rsid w:val="00BA0AFB"/>
    <w:rsid w:val="00BA0DBF"/>
    <w:rsid w:val="00BA0EB5"/>
    <w:rsid w:val="00BA10D7"/>
    <w:rsid w:val="00BA1328"/>
    <w:rsid w:val="00BA144F"/>
    <w:rsid w:val="00BA1500"/>
    <w:rsid w:val="00BA1598"/>
    <w:rsid w:val="00BA1A07"/>
    <w:rsid w:val="00BA1B2F"/>
    <w:rsid w:val="00BA1CB3"/>
    <w:rsid w:val="00BA1D1B"/>
    <w:rsid w:val="00BA1DF4"/>
    <w:rsid w:val="00BA1E97"/>
    <w:rsid w:val="00BA1F15"/>
    <w:rsid w:val="00BA2566"/>
    <w:rsid w:val="00BA2754"/>
    <w:rsid w:val="00BA2776"/>
    <w:rsid w:val="00BA2975"/>
    <w:rsid w:val="00BA29A2"/>
    <w:rsid w:val="00BA2B5F"/>
    <w:rsid w:val="00BA2C25"/>
    <w:rsid w:val="00BA2EC7"/>
    <w:rsid w:val="00BA300D"/>
    <w:rsid w:val="00BA30E6"/>
    <w:rsid w:val="00BA3110"/>
    <w:rsid w:val="00BA3204"/>
    <w:rsid w:val="00BA34C7"/>
    <w:rsid w:val="00BA3681"/>
    <w:rsid w:val="00BA36FA"/>
    <w:rsid w:val="00BA3A1B"/>
    <w:rsid w:val="00BA3B07"/>
    <w:rsid w:val="00BA3B68"/>
    <w:rsid w:val="00BA3C14"/>
    <w:rsid w:val="00BA3CD7"/>
    <w:rsid w:val="00BA4031"/>
    <w:rsid w:val="00BA40E4"/>
    <w:rsid w:val="00BA415B"/>
    <w:rsid w:val="00BA41C1"/>
    <w:rsid w:val="00BA41FA"/>
    <w:rsid w:val="00BA4227"/>
    <w:rsid w:val="00BA464E"/>
    <w:rsid w:val="00BA466A"/>
    <w:rsid w:val="00BA490C"/>
    <w:rsid w:val="00BA4BDA"/>
    <w:rsid w:val="00BA4F17"/>
    <w:rsid w:val="00BA4F8C"/>
    <w:rsid w:val="00BA4FCF"/>
    <w:rsid w:val="00BA5202"/>
    <w:rsid w:val="00BA546C"/>
    <w:rsid w:val="00BA549B"/>
    <w:rsid w:val="00BA5516"/>
    <w:rsid w:val="00BA55CD"/>
    <w:rsid w:val="00BA56F5"/>
    <w:rsid w:val="00BA56F9"/>
    <w:rsid w:val="00BA5A2A"/>
    <w:rsid w:val="00BA5A3F"/>
    <w:rsid w:val="00BA5C4D"/>
    <w:rsid w:val="00BA5D84"/>
    <w:rsid w:val="00BA5E5F"/>
    <w:rsid w:val="00BA5F01"/>
    <w:rsid w:val="00BA620F"/>
    <w:rsid w:val="00BA62CA"/>
    <w:rsid w:val="00BA64E6"/>
    <w:rsid w:val="00BA6551"/>
    <w:rsid w:val="00BA6571"/>
    <w:rsid w:val="00BA65D6"/>
    <w:rsid w:val="00BA6647"/>
    <w:rsid w:val="00BA66FB"/>
    <w:rsid w:val="00BA6774"/>
    <w:rsid w:val="00BA6891"/>
    <w:rsid w:val="00BA68AA"/>
    <w:rsid w:val="00BA69BE"/>
    <w:rsid w:val="00BA6CBC"/>
    <w:rsid w:val="00BA6CCD"/>
    <w:rsid w:val="00BA6D83"/>
    <w:rsid w:val="00BA6DD2"/>
    <w:rsid w:val="00BA7455"/>
    <w:rsid w:val="00BA74DC"/>
    <w:rsid w:val="00BA751E"/>
    <w:rsid w:val="00BA75BA"/>
    <w:rsid w:val="00BA75C8"/>
    <w:rsid w:val="00BA7784"/>
    <w:rsid w:val="00BA78AA"/>
    <w:rsid w:val="00BA78C6"/>
    <w:rsid w:val="00BA78E5"/>
    <w:rsid w:val="00BA7917"/>
    <w:rsid w:val="00BA797D"/>
    <w:rsid w:val="00BA7F91"/>
    <w:rsid w:val="00BB0175"/>
    <w:rsid w:val="00BB02B2"/>
    <w:rsid w:val="00BB03CE"/>
    <w:rsid w:val="00BB041E"/>
    <w:rsid w:val="00BB05B9"/>
    <w:rsid w:val="00BB0826"/>
    <w:rsid w:val="00BB0A62"/>
    <w:rsid w:val="00BB0C14"/>
    <w:rsid w:val="00BB0CF5"/>
    <w:rsid w:val="00BB0ECD"/>
    <w:rsid w:val="00BB0FF5"/>
    <w:rsid w:val="00BB0FFC"/>
    <w:rsid w:val="00BB10AF"/>
    <w:rsid w:val="00BB1128"/>
    <w:rsid w:val="00BB11C4"/>
    <w:rsid w:val="00BB1315"/>
    <w:rsid w:val="00BB1334"/>
    <w:rsid w:val="00BB1348"/>
    <w:rsid w:val="00BB1402"/>
    <w:rsid w:val="00BB1512"/>
    <w:rsid w:val="00BB154F"/>
    <w:rsid w:val="00BB16CF"/>
    <w:rsid w:val="00BB17BA"/>
    <w:rsid w:val="00BB1823"/>
    <w:rsid w:val="00BB1866"/>
    <w:rsid w:val="00BB192A"/>
    <w:rsid w:val="00BB1A0A"/>
    <w:rsid w:val="00BB1B76"/>
    <w:rsid w:val="00BB1CEB"/>
    <w:rsid w:val="00BB1D6D"/>
    <w:rsid w:val="00BB1E10"/>
    <w:rsid w:val="00BB1E13"/>
    <w:rsid w:val="00BB1EDF"/>
    <w:rsid w:val="00BB2087"/>
    <w:rsid w:val="00BB21D6"/>
    <w:rsid w:val="00BB21E7"/>
    <w:rsid w:val="00BB22C6"/>
    <w:rsid w:val="00BB23B3"/>
    <w:rsid w:val="00BB2421"/>
    <w:rsid w:val="00BB2484"/>
    <w:rsid w:val="00BB25C8"/>
    <w:rsid w:val="00BB261E"/>
    <w:rsid w:val="00BB2715"/>
    <w:rsid w:val="00BB279E"/>
    <w:rsid w:val="00BB27CD"/>
    <w:rsid w:val="00BB27EB"/>
    <w:rsid w:val="00BB283E"/>
    <w:rsid w:val="00BB29F4"/>
    <w:rsid w:val="00BB2AFD"/>
    <w:rsid w:val="00BB2B43"/>
    <w:rsid w:val="00BB2CD5"/>
    <w:rsid w:val="00BB2D4B"/>
    <w:rsid w:val="00BB2D4D"/>
    <w:rsid w:val="00BB2D74"/>
    <w:rsid w:val="00BB2E93"/>
    <w:rsid w:val="00BB2EDA"/>
    <w:rsid w:val="00BB2EF4"/>
    <w:rsid w:val="00BB3158"/>
    <w:rsid w:val="00BB3174"/>
    <w:rsid w:val="00BB3229"/>
    <w:rsid w:val="00BB3286"/>
    <w:rsid w:val="00BB3409"/>
    <w:rsid w:val="00BB342E"/>
    <w:rsid w:val="00BB3564"/>
    <w:rsid w:val="00BB3687"/>
    <w:rsid w:val="00BB36C4"/>
    <w:rsid w:val="00BB386A"/>
    <w:rsid w:val="00BB394B"/>
    <w:rsid w:val="00BB3A50"/>
    <w:rsid w:val="00BB3E81"/>
    <w:rsid w:val="00BB3ECD"/>
    <w:rsid w:val="00BB403F"/>
    <w:rsid w:val="00BB408C"/>
    <w:rsid w:val="00BB412C"/>
    <w:rsid w:val="00BB4130"/>
    <w:rsid w:val="00BB42CA"/>
    <w:rsid w:val="00BB440D"/>
    <w:rsid w:val="00BB451E"/>
    <w:rsid w:val="00BB461E"/>
    <w:rsid w:val="00BB4808"/>
    <w:rsid w:val="00BB49C5"/>
    <w:rsid w:val="00BB49DB"/>
    <w:rsid w:val="00BB4BDF"/>
    <w:rsid w:val="00BB4C79"/>
    <w:rsid w:val="00BB4D19"/>
    <w:rsid w:val="00BB511B"/>
    <w:rsid w:val="00BB515F"/>
    <w:rsid w:val="00BB568B"/>
    <w:rsid w:val="00BB56A7"/>
    <w:rsid w:val="00BB56DB"/>
    <w:rsid w:val="00BB583B"/>
    <w:rsid w:val="00BB5852"/>
    <w:rsid w:val="00BB5A1A"/>
    <w:rsid w:val="00BB5AE8"/>
    <w:rsid w:val="00BB5B69"/>
    <w:rsid w:val="00BB5BC8"/>
    <w:rsid w:val="00BB5C87"/>
    <w:rsid w:val="00BB5D14"/>
    <w:rsid w:val="00BB5DA8"/>
    <w:rsid w:val="00BB5E70"/>
    <w:rsid w:val="00BB5EAE"/>
    <w:rsid w:val="00BB601A"/>
    <w:rsid w:val="00BB60DD"/>
    <w:rsid w:val="00BB6100"/>
    <w:rsid w:val="00BB6447"/>
    <w:rsid w:val="00BB6593"/>
    <w:rsid w:val="00BB66AB"/>
    <w:rsid w:val="00BB67B3"/>
    <w:rsid w:val="00BB67EC"/>
    <w:rsid w:val="00BB6826"/>
    <w:rsid w:val="00BB6AD8"/>
    <w:rsid w:val="00BB6C3E"/>
    <w:rsid w:val="00BB6D6D"/>
    <w:rsid w:val="00BB7086"/>
    <w:rsid w:val="00BB70F7"/>
    <w:rsid w:val="00BB7380"/>
    <w:rsid w:val="00BB73F9"/>
    <w:rsid w:val="00BB7420"/>
    <w:rsid w:val="00BB77DD"/>
    <w:rsid w:val="00BB78EA"/>
    <w:rsid w:val="00BB7918"/>
    <w:rsid w:val="00BB7AC6"/>
    <w:rsid w:val="00BB7BA1"/>
    <w:rsid w:val="00BB7BD8"/>
    <w:rsid w:val="00BB7D3B"/>
    <w:rsid w:val="00BB7DD6"/>
    <w:rsid w:val="00BC0086"/>
    <w:rsid w:val="00BC0457"/>
    <w:rsid w:val="00BC054C"/>
    <w:rsid w:val="00BC0612"/>
    <w:rsid w:val="00BC072D"/>
    <w:rsid w:val="00BC0901"/>
    <w:rsid w:val="00BC0A11"/>
    <w:rsid w:val="00BC0ABC"/>
    <w:rsid w:val="00BC0C00"/>
    <w:rsid w:val="00BC0ED7"/>
    <w:rsid w:val="00BC0F7B"/>
    <w:rsid w:val="00BC1019"/>
    <w:rsid w:val="00BC1034"/>
    <w:rsid w:val="00BC14AF"/>
    <w:rsid w:val="00BC15ED"/>
    <w:rsid w:val="00BC177D"/>
    <w:rsid w:val="00BC1921"/>
    <w:rsid w:val="00BC1953"/>
    <w:rsid w:val="00BC196F"/>
    <w:rsid w:val="00BC19B2"/>
    <w:rsid w:val="00BC1BFE"/>
    <w:rsid w:val="00BC1C0E"/>
    <w:rsid w:val="00BC1D1E"/>
    <w:rsid w:val="00BC1D2C"/>
    <w:rsid w:val="00BC1D40"/>
    <w:rsid w:val="00BC21B6"/>
    <w:rsid w:val="00BC21BF"/>
    <w:rsid w:val="00BC23A6"/>
    <w:rsid w:val="00BC23AE"/>
    <w:rsid w:val="00BC23D8"/>
    <w:rsid w:val="00BC2465"/>
    <w:rsid w:val="00BC24D1"/>
    <w:rsid w:val="00BC2565"/>
    <w:rsid w:val="00BC25AB"/>
    <w:rsid w:val="00BC26E7"/>
    <w:rsid w:val="00BC2783"/>
    <w:rsid w:val="00BC2A23"/>
    <w:rsid w:val="00BC2B34"/>
    <w:rsid w:val="00BC2D7E"/>
    <w:rsid w:val="00BC2E12"/>
    <w:rsid w:val="00BC2E9A"/>
    <w:rsid w:val="00BC2FC5"/>
    <w:rsid w:val="00BC3017"/>
    <w:rsid w:val="00BC30C9"/>
    <w:rsid w:val="00BC32A9"/>
    <w:rsid w:val="00BC333F"/>
    <w:rsid w:val="00BC3459"/>
    <w:rsid w:val="00BC3513"/>
    <w:rsid w:val="00BC358B"/>
    <w:rsid w:val="00BC376F"/>
    <w:rsid w:val="00BC39A2"/>
    <w:rsid w:val="00BC3BF5"/>
    <w:rsid w:val="00BC3D4E"/>
    <w:rsid w:val="00BC3F8D"/>
    <w:rsid w:val="00BC3FC4"/>
    <w:rsid w:val="00BC4055"/>
    <w:rsid w:val="00BC420B"/>
    <w:rsid w:val="00BC4262"/>
    <w:rsid w:val="00BC43D4"/>
    <w:rsid w:val="00BC452F"/>
    <w:rsid w:val="00BC456C"/>
    <w:rsid w:val="00BC466E"/>
    <w:rsid w:val="00BC471A"/>
    <w:rsid w:val="00BC47A5"/>
    <w:rsid w:val="00BC47E4"/>
    <w:rsid w:val="00BC4884"/>
    <w:rsid w:val="00BC49DC"/>
    <w:rsid w:val="00BC4B98"/>
    <w:rsid w:val="00BC4BE7"/>
    <w:rsid w:val="00BC4BFE"/>
    <w:rsid w:val="00BC50A4"/>
    <w:rsid w:val="00BC5100"/>
    <w:rsid w:val="00BC516D"/>
    <w:rsid w:val="00BC5251"/>
    <w:rsid w:val="00BC5255"/>
    <w:rsid w:val="00BC54BB"/>
    <w:rsid w:val="00BC5A38"/>
    <w:rsid w:val="00BC5AB6"/>
    <w:rsid w:val="00BC5BFA"/>
    <w:rsid w:val="00BC5F81"/>
    <w:rsid w:val="00BC6153"/>
    <w:rsid w:val="00BC64E6"/>
    <w:rsid w:val="00BC66F2"/>
    <w:rsid w:val="00BC6765"/>
    <w:rsid w:val="00BC67A2"/>
    <w:rsid w:val="00BC6817"/>
    <w:rsid w:val="00BC68B6"/>
    <w:rsid w:val="00BC69E4"/>
    <w:rsid w:val="00BC6D2F"/>
    <w:rsid w:val="00BC6D34"/>
    <w:rsid w:val="00BC6ED2"/>
    <w:rsid w:val="00BC70DD"/>
    <w:rsid w:val="00BC721E"/>
    <w:rsid w:val="00BC7221"/>
    <w:rsid w:val="00BC7414"/>
    <w:rsid w:val="00BC762E"/>
    <w:rsid w:val="00BC76F4"/>
    <w:rsid w:val="00BC7761"/>
    <w:rsid w:val="00BC7768"/>
    <w:rsid w:val="00BC77ED"/>
    <w:rsid w:val="00BC7899"/>
    <w:rsid w:val="00BC79B5"/>
    <w:rsid w:val="00BC7A78"/>
    <w:rsid w:val="00BC7B29"/>
    <w:rsid w:val="00BC7BEA"/>
    <w:rsid w:val="00BC7DBF"/>
    <w:rsid w:val="00BC7F88"/>
    <w:rsid w:val="00BD0005"/>
    <w:rsid w:val="00BD00E9"/>
    <w:rsid w:val="00BD01E5"/>
    <w:rsid w:val="00BD028D"/>
    <w:rsid w:val="00BD0376"/>
    <w:rsid w:val="00BD044D"/>
    <w:rsid w:val="00BD04FD"/>
    <w:rsid w:val="00BD0515"/>
    <w:rsid w:val="00BD0AD8"/>
    <w:rsid w:val="00BD0B09"/>
    <w:rsid w:val="00BD0BC3"/>
    <w:rsid w:val="00BD0BC9"/>
    <w:rsid w:val="00BD0C59"/>
    <w:rsid w:val="00BD0C9B"/>
    <w:rsid w:val="00BD0F15"/>
    <w:rsid w:val="00BD1094"/>
    <w:rsid w:val="00BD10AC"/>
    <w:rsid w:val="00BD1203"/>
    <w:rsid w:val="00BD122E"/>
    <w:rsid w:val="00BD1286"/>
    <w:rsid w:val="00BD1377"/>
    <w:rsid w:val="00BD1420"/>
    <w:rsid w:val="00BD15D8"/>
    <w:rsid w:val="00BD16F2"/>
    <w:rsid w:val="00BD19BC"/>
    <w:rsid w:val="00BD1B29"/>
    <w:rsid w:val="00BD1B4A"/>
    <w:rsid w:val="00BD1C82"/>
    <w:rsid w:val="00BD1D2E"/>
    <w:rsid w:val="00BD1F1A"/>
    <w:rsid w:val="00BD2013"/>
    <w:rsid w:val="00BD21DA"/>
    <w:rsid w:val="00BD2601"/>
    <w:rsid w:val="00BD26CE"/>
    <w:rsid w:val="00BD2795"/>
    <w:rsid w:val="00BD27AB"/>
    <w:rsid w:val="00BD27BA"/>
    <w:rsid w:val="00BD28D1"/>
    <w:rsid w:val="00BD2A32"/>
    <w:rsid w:val="00BD2B44"/>
    <w:rsid w:val="00BD2F79"/>
    <w:rsid w:val="00BD31C0"/>
    <w:rsid w:val="00BD3382"/>
    <w:rsid w:val="00BD33A9"/>
    <w:rsid w:val="00BD350F"/>
    <w:rsid w:val="00BD35AA"/>
    <w:rsid w:val="00BD35CD"/>
    <w:rsid w:val="00BD36CF"/>
    <w:rsid w:val="00BD371E"/>
    <w:rsid w:val="00BD394D"/>
    <w:rsid w:val="00BD3989"/>
    <w:rsid w:val="00BD3AEE"/>
    <w:rsid w:val="00BD3CB7"/>
    <w:rsid w:val="00BD3D3F"/>
    <w:rsid w:val="00BD3DE3"/>
    <w:rsid w:val="00BD3F0A"/>
    <w:rsid w:val="00BD40ED"/>
    <w:rsid w:val="00BD4267"/>
    <w:rsid w:val="00BD4354"/>
    <w:rsid w:val="00BD444F"/>
    <w:rsid w:val="00BD445C"/>
    <w:rsid w:val="00BD45C2"/>
    <w:rsid w:val="00BD484E"/>
    <w:rsid w:val="00BD4889"/>
    <w:rsid w:val="00BD4A00"/>
    <w:rsid w:val="00BD4AEF"/>
    <w:rsid w:val="00BD4B86"/>
    <w:rsid w:val="00BD4E4C"/>
    <w:rsid w:val="00BD524E"/>
    <w:rsid w:val="00BD526B"/>
    <w:rsid w:val="00BD550B"/>
    <w:rsid w:val="00BD58D5"/>
    <w:rsid w:val="00BD5AB3"/>
    <w:rsid w:val="00BD5B2D"/>
    <w:rsid w:val="00BD5B47"/>
    <w:rsid w:val="00BD5C50"/>
    <w:rsid w:val="00BD5F78"/>
    <w:rsid w:val="00BD6032"/>
    <w:rsid w:val="00BD6084"/>
    <w:rsid w:val="00BD63E3"/>
    <w:rsid w:val="00BD64AD"/>
    <w:rsid w:val="00BD64B5"/>
    <w:rsid w:val="00BD6AD8"/>
    <w:rsid w:val="00BD6B41"/>
    <w:rsid w:val="00BD6BA5"/>
    <w:rsid w:val="00BD6C47"/>
    <w:rsid w:val="00BD6FC0"/>
    <w:rsid w:val="00BD7125"/>
    <w:rsid w:val="00BD7278"/>
    <w:rsid w:val="00BD72E2"/>
    <w:rsid w:val="00BD7524"/>
    <w:rsid w:val="00BD775E"/>
    <w:rsid w:val="00BD7915"/>
    <w:rsid w:val="00BD7A01"/>
    <w:rsid w:val="00BD7A49"/>
    <w:rsid w:val="00BD7B1F"/>
    <w:rsid w:val="00BD7BCD"/>
    <w:rsid w:val="00BD7C02"/>
    <w:rsid w:val="00BD7CE5"/>
    <w:rsid w:val="00BD7CEF"/>
    <w:rsid w:val="00BD7D76"/>
    <w:rsid w:val="00BD7F19"/>
    <w:rsid w:val="00BD7FF6"/>
    <w:rsid w:val="00BE0004"/>
    <w:rsid w:val="00BE00AE"/>
    <w:rsid w:val="00BE00F4"/>
    <w:rsid w:val="00BE0179"/>
    <w:rsid w:val="00BE0415"/>
    <w:rsid w:val="00BE047D"/>
    <w:rsid w:val="00BE0508"/>
    <w:rsid w:val="00BE0527"/>
    <w:rsid w:val="00BE081D"/>
    <w:rsid w:val="00BE0A88"/>
    <w:rsid w:val="00BE0C9F"/>
    <w:rsid w:val="00BE0D51"/>
    <w:rsid w:val="00BE0F0D"/>
    <w:rsid w:val="00BE0FFC"/>
    <w:rsid w:val="00BE106D"/>
    <w:rsid w:val="00BE1225"/>
    <w:rsid w:val="00BE122F"/>
    <w:rsid w:val="00BE12A5"/>
    <w:rsid w:val="00BE12C2"/>
    <w:rsid w:val="00BE133D"/>
    <w:rsid w:val="00BE13A2"/>
    <w:rsid w:val="00BE14C6"/>
    <w:rsid w:val="00BE14F1"/>
    <w:rsid w:val="00BE16A9"/>
    <w:rsid w:val="00BE1714"/>
    <w:rsid w:val="00BE1AB9"/>
    <w:rsid w:val="00BE1B0D"/>
    <w:rsid w:val="00BE1D87"/>
    <w:rsid w:val="00BE1EE6"/>
    <w:rsid w:val="00BE1F05"/>
    <w:rsid w:val="00BE1F3E"/>
    <w:rsid w:val="00BE2032"/>
    <w:rsid w:val="00BE21BF"/>
    <w:rsid w:val="00BE2255"/>
    <w:rsid w:val="00BE22E2"/>
    <w:rsid w:val="00BE2397"/>
    <w:rsid w:val="00BE25EE"/>
    <w:rsid w:val="00BE26EB"/>
    <w:rsid w:val="00BE2914"/>
    <w:rsid w:val="00BE2A6B"/>
    <w:rsid w:val="00BE2ACC"/>
    <w:rsid w:val="00BE2AD7"/>
    <w:rsid w:val="00BE2ADC"/>
    <w:rsid w:val="00BE2B0D"/>
    <w:rsid w:val="00BE2CFD"/>
    <w:rsid w:val="00BE2F08"/>
    <w:rsid w:val="00BE2F51"/>
    <w:rsid w:val="00BE2FA1"/>
    <w:rsid w:val="00BE3166"/>
    <w:rsid w:val="00BE318A"/>
    <w:rsid w:val="00BE340A"/>
    <w:rsid w:val="00BE3457"/>
    <w:rsid w:val="00BE368B"/>
    <w:rsid w:val="00BE36A0"/>
    <w:rsid w:val="00BE3A0E"/>
    <w:rsid w:val="00BE3AB6"/>
    <w:rsid w:val="00BE3B2B"/>
    <w:rsid w:val="00BE3BC7"/>
    <w:rsid w:val="00BE3C44"/>
    <w:rsid w:val="00BE3C95"/>
    <w:rsid w:val="00BE3E4B"/>
    <w:rsid w:val="00BE3EA7"/>
    <w:rsid w:val="00BE3F92"/>
    <w:rsid w:val="00BE4191"/>
    <w:rsid w:val="00BE427A"/>
    <w:rsid w:val="00BE4296"/>
    <w:rsid w:val="00BE4578"/>
    <w:rsid w:val="00BE481F"/>
    <w:rsid w:val="00BE49A8"/>
    <w:rsid w:val="00BE4A5A"/>
    <w:rsid w:val="00BE4B10"/>
    <w:rsid w:val="00BE4B34"/>
    <w:rsid w:val="00BE4F54"/>
    <w:rsid w:val="00BE51DF"/>
    <w:rsid w:val="00BE51F4"/>
    <w:rsid w:val="00BE5373"/>
    <w:rsid w:val="00BE53DF"/>
    <w:rsid w:val="00BE574C"/>
    <w:rsid w:val="00BE5875"/>
    <w:rsid w:val="00BE592C"/>
    <w:rsid w:val="00BE593E"/>
    <w:rsid w:val="00BE59CB"/>
    <w:rsid w:val="00BE5A85"/>
    <w:rsid w:val="00BE5B11"/>
    <w:rsid w:val="00BE5B1C"/>
    <w:rsid w:val="00BE5C3B"/>
    <w:rsid w:val="00BE63AC"/>
    <w:rsid w:val="00BE6470"/>
    <w:rsid w:val="00BE6581"/>
    <w:rsid w:val="00BE65AC"/>
    <w:rsid w:val="00BE694B"/>
    <w:rsid w:val="00BE6CF6"/>
    <w:rsid w:val="00BE6D2B"/>
    <w:rsid w:val="00BE7060"/>
    <w:rsid w:val="00BE739D"/>
    <w:rsid w:val="00BE7576"/>
    <w:rsid w:val="00BE7636"/>
    <w:rsid w:val="00BE79EB"/>
    <w:rsid w:val="00BE79F8"/>
    <w:rsid w:val="00BE7AEC"/>
    <w:rsid w:val="00BE7B37"/>
    <w:rsid w:val="00BE7B4A"/>
    <w:rsid w:val="00BE7E3A"/>
    <w:rsid w:val="00BE7F31"/>
    <w:rsid w:val="00BE7FB1"/>
    <w:rsid w:val="00BF010C"/>
    <w:rsid w:val="00BF018D"/>
    <w:rsid w:val="00BF0203"/>
    <w:rsid w:val="00BF0247"/>
    <w:rsid w:val="00BF0262"/>
    <w:rsid w:val="00BF06A9"/>
    <w:rsid w:val="00BF099A"/>
    <w:rsid w:val="00BF09ED"/>
    <w:rsid w:val="00BF0AB3"/>
    <w:rsid w:val="00BF0B9C"/>
    <w:rsid w:val="00BF0CA8"/>
    <w:rsid w:val="00BF0D27"/>
    <w:rsid w:val="00BF0D51"/>
    <w:rsid w:val="00BF0D95"/>
    <w:rsid w:val="00BF0EAC"/>
    <w:rsid w:val="00BF0F4F"/>
    <w:rsid w:val="00BF0FF8"/>
    <w:rsid w:val="00BF118D"/>
    <w:rsid w:val="00BF13C4"/>
    <w:rsid w:val="00BF1588"/>
    <w:rsid w:val="00BF196D"/>
    <w:rsid w:val="00BF19D2"/>
    <w:rsid w:val="00BF1B1C"/>
    <w:rsid w:val="00BF1B1E"/>
    <w:rsid w:val="00BF1F3E"/>
    <w:rsid w:val="00BF1FE7"/>
    <w:rsid w:val="00BF2014"/>
    <w:rsid w:val="00BF24F3"/>
    <w:rsid w:val="00BF2537"/>
    <w:rsid w:val="00BF25C2"/>
    <w:rsid w:val="00BF2776"/>
    <w:rsid w:val="00BF29ED"/>
    <w:rsid w:val="00BF2CA4"/>
    <w:rsid w:val="00BF2CE8"/>
    <w:rsid w:val="00BF2D5E"/>
    <w:rsid w:val="00BF2DCD"/>
    <w:rsid w:val="00BF2EC1"/>
    <w:rsid w:val="00BF2F67"/>
    <w:rsid w:val="00BF3007"/>
    <w:rsid w:val="00BF3044"/>
    <w:rsid w:val="00BF30E9"/>
    <w:rsid w:val="00BF3293"/>
    <w:rsid w:val="00BF32EC"/>
    <w:rsid w:val="00BF3306"/>
    <w:rsid w:val="00BF3389"/>
    <w:rsid w:val="00BF33BA"/>
    <w:rsid w:val="00BF3502"/>
    <w:rsid w:val="00BF3547"/>
    <w:rsid w:val="00BF3853"/>
    <w:rsid w:val="00BF3B35"/>
    <w:rsid w:val="00BF3E3C"/>
    <w:rsid w:val="00BF3ED9"/>
    <w:rsid w:val="00BF4099"/>
    <w:rsid w:val="00BF40E3"/>
    <w:rsid w:val="00BF41BB"/>
    <w:rsid w:val="00BF426D"/>
    <w:rsid w:val="00BF474E"/>
    <w:rsid w:val="00BF4797"/>
    <w:rsid w:val="00BF4899"/>
    <w:rsid w:val="00BF4B49"/>
    <w:rsid w:val="00BF4B6A"/>
    <w:rsid w:val="00BF4D56"/>
    <w:rsid w:val="00BF4D77"/>
    <w:rsid w:val="00BF4F1E"/>
    <w:rsid w:val="00BF4F45"/>
    <w:rsid w:val="00BF5088"/>
    <w:rsid w:val="00BF50C7"/>
    <w:rsid w:val="00BF5236"/>
    <w:rsid w:val="00BF5281"/>
    <w:rsid w:val="00BF59C5"/>
    <w:rsid w:val="00BF59F1"/>
    <w:rsid w:val="00BF5A13"/>
    <w:rsid w:val="00BF5AA9"/>
    <w:rsid w:val="00BF5ABC"/>
    <w:rsid w:val="00BF5AD5"/>
    <w:rsid w:val="00BF5BA4"/>
    <w:rsid w:val="00BF5BAD"/>
    <w:rsid w:val="00BF5C63"/>
    <w:rsid w:val="00BF5C81"/>
    <w:rsid w:val="00BF5C9D"/>
    <w:rsid w:val="00BF5CC8"/>
    <w:rsid w:val="00BF5D8E"/>
    <w:rsid w:val="00BF5DC2"/>
    <w:rsid w:val="00BF5E3F"/>
    <w:rsid w:val="00BF602F"/>
    <w:rsid w:val="00BF60B0"/>
    <w:rsid w:val="00BF6128"/>
    <w:rsid w:val="00BF6201"/>
    <w:rsid w:val="00BF62CC"/>
    <w:rsid w:val="00BF6404"/>
    <w:rsid w:val="00BF6476"/>
    <w:rsid w:val="00BF64E6"/>
    <w:rsid w:val="00BF6619"/>
    <w:rsid w:val="00BF6730"/>
    <w:rsid w:val="00BF678C"/>
    <w:rsid w:val="00BF69F1"/>
    <w:rsid w:val="00BF6A16"/>
    <w:rsid w:val="00BF6B37"/>
    <w:rsid w:val="00BF6DB6"/>
    <w:rsid w:val="00BF6E87"/>
    <w:rsid w:val="00BF7215"/>
    <w:rsid w:val="00BF7377"/>
    <w:rsid w:val="00BF73F4"/>
    <w:rsid w:val="00BF749D"/>
    <w:rsid w:val="00BF7798"/>
    <w:rsid w:val="00BF77E1"/>
    <w:rsid w:val="00BF7929"/>
    <w:rsid w:val="00BF7AFE"/>
    <w:rsid w:val="00BF7B07"/>
    <w:rsid w:val="00BF7FFC"/>
    <w:rsid w:val="00C000B3"/>
    <w:rsid w:val="00C00174"/>
    <w:rsid w:val="00C001FF"/>
    <w:rsid w:val="00C004D4"/>
    <w:rsid w:val="00C004FA"/>
    <w:rsid w:val="00C00788"/>
    <w:rsid w:val="00C007C5"/>
    <w:rsid w:val="00C00972"/>
    <w:rsid w:val="00C00A80"/>
    <w:rsid w:val="00C00AAD"/>
    <w:rsid w:val="00C00AFA"/>
    <w:rsid w:val="00C00CE6"/>
    <w:rsid w:val="00C00D0E"/>
    <w:rsid w:val="00C00F29"/>
    <w:rsid w:val="00C0146B"/>
    <w:rsid w:val="00C0159A"/>
    <w:rsid w:val="00C01712"/>
    <w:rsid w:val="00C0179F"/>
    <w:rsid w:val="00C017E4"/>
    <w:rsid w:val="00C018A9"/>
    <w:rsid w:val="00C01A94"/>
    <w:rsid w:val="00C01ABA"/>
    <w:rsid w:val="00C01AEB"/>
    <w:rsid w:val="00C01AF1"/>
    <w:rsid w:val="00C01D1A"/>
    <w:rsid w:val="00C01DB5"/>
    <w:rsid w:val="00C01F09"/>
    <w:rsid w:val="00C01F97"/>
    <w:rsid w:val="00C01F98"/>
    <w:rsid w:val="00C02004"/>
    <w:rsid w:val="00C020A1"/>
    <w:rsid w:val="00C021D9"/>
    <w:rsid w:val="00C021EF"/>
    <w:rsid w:val="00C02226"/>
    <w:rsid w:val="00C022F4"/>
    <w:rsid w:val="00C02328"/>
    <w:rsid w:val="00C0244F"/>
    <w:rsid w:val="00C0261C"/>
    <w:rsid w:val="00C02856"/>
    <w:rsid w:val="00C02A95"/>
    <w:rsid w:val="00C02CDF"/>
    <w:rsid w:val="00C02DF9"/>
    <w:rsid w:val="00C02E0A"/>
    <w:rsid w:val="00C02FA8"/>
    <w:rsid w:val="00C030AE"/>
    <w:rsid w:val="00C032BB"/>
    <w:rsid w:val="00C032C5"/>
    <w:rsid w:val="00C0344A"/>
    <w:rsid w:val="00C034DC"/>
    <w:rsid w:val="00C038B6"/>
    <w:rsid w:val="00C039B5"/>
    <w:rsid w:val="00C03A2F"/>
    <w:rsid w:val="00C03EF9"/>
    <w:rsid w:val="00C03F64"/>
    <w:rsid w:val="00C03F76"/>
    <w:rsid w:val="00C040B8"/>
    <w:rsid w:val="00C041A0"/>
    <w:rsid w:val="00C04236"/>
    <w:rsid w:val="00C0435B"/>
    <w:rsid w:val="00C04473"/>
    <w:rsid w:val="00C0473E"/>
    <w:rsid w:val="00C0484D"/>
    <w:rsid w:val="00C04ADA"/>
    <w:rsid w:val="00C04FF2"/>
    <w:rsid w:val="00C05004"/>
    <w:rsid w:val="00C05176"/>
    <w:rsid w:val="00C0520B"/>
    <w:rsid w:val="00C05253"/>
    <w:rsid w:val="00C052DE"/>
    <w:rsid w:val="00C053E4"/>
    <w:rsid w:val="00C05590"/>
    <w:rsid w:val="00C05638"/>
    <w:rsid w:val="00C0568C"/>
    <w:rsid w:val="00C05786"/>
    <w:rsid w:val="00C058A9"/>
    <w:rsid w:val="00C05A53"/>
    <w:rsid w:val="00C05B3B"/>
    <w:rsid w:val="00C05CA6"/>
    <w:rsid w:val="00C05D91"/>
    <w:rsid w:val="00C063FE"/>
    <w:rsid w:val="00C06505"/>
    <w:rsid w:val="00C0651B"/>
    <w:rsid w:val="00C065B9"/>
    <w:rsid w:val="00C06758"/>
    <w:rsid w:val="00C069B5"/>
    <w:rsid w:val="00C06A27"/>
    <w:rsid w:val="00C06A8D"/>
    <w:rsid w:val="00C06BFF"/>
    <w:rsid w:val="00C06E6B"/>
    <w:rsid w:val="00C06E85"/>
    <w:rsid w:val="00C0701A"/>
    <w:rsid w:val="00C070CF"/>
    <w:rsid w:val="00C07151"/>
    <w:rsid w:val="00C07317"/>
    <w:rsid w:val="00C0762E"/>
    <w:rsid w:val="00C07666"/>
    <w:rsid w:val="00C07806"/>
    <w:rsid w:val="00C07965"/>
    <w:rsid w:val="00C07C48"/>
    <w:rsid w:val="00C07D35"/>
    <w:rsid w:val="00C07DE4"/>
    <w:rsid w:val="00C07E6D"/>
    <w:rsid w:val="00C1001F"/>
    <w:rsid w:val="00C10055"/>
    <w:rsid w:val="00C1020F"/>
    <w:rsid w:val="00C1023A"/>
    <w:rsid w:val="00C10253"/>
    <w:rsid w:val="00C10264"/>
    <w:rsid w:val="00C103D9"/>
    <w:rsid w:val="00C103E9"/>
    <w:rsid w:val="00C1040C"/>
    <w:rsid w:val="00C1040D"/>
    <w:rsid w:val="00C104AE"/>
    <w:rsid w:val="00C107F5"/>
    <w:rsid w:val="00C108C5"/>
    <w:rsid w:val="00C10AC7"/>
    <w:rsid w:val="00C10B7B"/>
    <w:rsid w:val="00C10DB0"/>
    <w:rsid w:val="00C10E3C"/>
    <w:rsid w:val="00C10E5A"/>
    <w:rsid w:val="00C10F5F"/>
    <w:rsid w:val="00C11110"/>
    <w:rsid w:val="00C1117D"/>
    <w:rsid w:val="00C11358"/>
    <w:rsid w:val="00C1146C"/>
    <w:rsid w:val="00C114AD"/>
    <w:rsid w:val="00C1154B"/>
    <w:rsid w:val="00C115E4"/>
    <w:rsid w:val="00C1182A"/>
    <w:rsid w:val="00C118AC"/>
    <w:rsid w:val="00C1193A"/>
    <w:rsid w:val="00C1199D"/>
    <w:rsid w:val="00C11CB5"/>
    <w:rsid w:val="00C11E29"/>
    <w:rsid w:val="00C11ECB"/>
    <w:rsid w:val="00C12045"/>
    <w:rsid w:val="00C120BF"/>
    <w:rsid w:val="00C120CD"/>
    <w:rsid w:val="00C12199"/>
    <w:rsid w:val="00C1228E"/>
    <w:rsid w:val="00C123D0"/>
    <w:rsid w:val="00C12451"/>
    <w:rsid w:val="00C126F4"/>
    <w:rsid w:val="00C12800"/>
    <w:rsid w:val="00C129B0"/>
    <w:rsid w:val="00C12B57"/>
    <w:rsid w:val="00C12BCE"/>
    <w:rsid w:val="00C12C16"/>
    <w:rsid w:val="00C12D64"/>
    <w:rsid w:val="00C12EDD"/>
    <w:rsid w:val="00C13286"/>
    <w:rsid w:val="00C13381"/>
    <w:rsid w:val="00C13544"/>
    <w:rsid w:val="00C135C1"/>
    <w:rsid w:val="00C13640"/>
    <w:rsid w:val="00C1368A"/>
    <w:rsid w:val="00C137BB"/>
    <w:rsid w:val="00C13B38"/>
    <w:rsid w:val="00C13D91"/>
    <w:rsid w:val="00C13DE6"/>
    <w:rsid w:val="00C13E30"/>
    <w:rsid w:val="00C13F46"/>
    <w:rsid w:val="00C13FCD"/>
    <w:rsid w:val="00C140C4"/>
    <w:rsid w:val="00C140F2"/>
    <w:rsid w:val="00C14246"/>
    <w:rsid w:val="00C14437"/>
    <w:rsid w:val="00C1445B"/>
    <w:rsid w:val="00C14674"/>
    <w:rsid w:val="00C14680"/>
    <w:rsid w:val="00C14841"/>
    <w:rsid w:val="00C14A7A"/>
    <w:rsid w:val="00C14C67"/>
    <w:rsid w:val="00C14E21"/>
    <w:rsid w:val="00C15028"/>
    <w:rsid w:val="00C1520E"/>
    <w:rsid w:val="00C15268"/>
    <w:rsid w:val="00C153B1"/>
    <w:rsid w:val="00C15423"/>
    <w:rsid w:val="00C15A02"/>
    <w:rsid w:val="00C15D70"/>
    <w:rsid w:val="00C15DF1"/>
    <w:rsid w:val="00C15EA5"/>
    <w:rsid w:val="00C15F68"/>
    <w:rsid w:val="00C16011"/>
    <w:rsid w:val="00C160BC"/>
    <w:rsid w:val="00C160C9"/>
    <w:rsid w:val="00C16102"/>
    <w:rsid w:val="00C162BE"/>
    <w:rsid w:val="00C1634E"/>
    <w:rsid w:val="00C163E9"/>
    <w:rsid w:val="00C1640A"/>
    <w:rsid w:val="00C16451"/>
    <w:rsid w:val="00C1659B"/>
    <w:rsid w:val="00C16610"/>
    <w:rsid w:val="00C16630"/>
    <w:rsid w:val="00C167AC"/>
    <w:rsid w:val="00C16810"/>
    <w:rsid w:val="00C168E7"/>
    <w:rsid w:val="00C16A86"/>
    <w:rsid w:val="00C16AAF"/>
    <w:rsid w:val="00C16F79"/>
    <w:rsid w:val="00C16FA6"/>
    <w:rsid w:val="00C170BD"/>
    <w:rsid w:val="00C17119"/>
    <w:rsid w:val="00C17523"/>
    <w:rsid w:val="00C17557"/>
    <w:rsid w:val="00C17676"/>
    <w:rsid w:val="00C17A9D"/>
    <w:rsid w:val="00C17B37"/>
    <w:rsid w:val="00C17BC9"/>
    <w:rsid w:val="00C17C10"/>
    <w:rsid w:val="00C17F84"/>
    <w:rsid w:val="00C20064"/>
    <w:rsid w:val="00C200F6"/>
    <w:rsid w:val="00C202F2"/>
    <w:rsid w:val="00C20444"/>
    <w:rsid w:val="00C20501"/>
    <w:rsid w:val="00C20660"/>
    <w:rsid w:val="00C207CD"/>
    <w:rsid w:val="00C20859"/>
    <w:rsid w:val="00C20A39"/>
    <w:rsid w:val="00C20AC9"/>
    <w:rsid w:val="00C20B0B"/>
    <w:rsid w:val="00C20C1A"/>
    <w:rsid w:val="00C20E06"/>
    <w:rsid w:val="00C20E5C"/>
    <w:rsid w:val="00C20F8F"/>
    <w:rsid w:val="00C21148"/>
    <w:rsid w:val="00C2157E"/>
    <w:rsid w:val="00C21741"/>
    <w:rsid w:val="00C218BE"/>
    <w:rsid w:val="00C2191B"/>
    <w:rsid w:val="00C21A77"/>
    <w:rsid w:val="00C21BBD"/>
    <w:rsid w:val="00C220E0"/>
    <w:rsid w:val="00C22184"/>
    <w:rsid w:val="00C222F4"/>
    <w:rsid w:val="00C22439"/>
    <w:rsid w:val="00C2251C"/>
    <w:rsid w:val="00C22595"/>
    <w:rsid w:val="00C2291C"/>
    <w:rsid w:val="00C22AF0"/>
    <w:rsid w:val="00C22B95"/>
    <w:rsid w:val="00C22D2F"/>
    <w:rsid w:val="00C22E9F"/>
    <w:rsid w:val="00C22F12"/>
    <w:rsid w:val="00C22F4C"/>
    <w:rsid w:val="00C23205"/>
    <w:rsid w:val="00C2328C"/>
    <w:rsid w:val="00C232B0"/>
    <w:rsid w:val="00C232D1"/>
    <w:rsid w:val="00C235DB"/>
    <w:rsid w:val="00C2374A"/>
    <w:rsid w:val="00C237A1"/>
    <w:rsid w:val="00C239F5"/>
    <w:rsid w:val="00C23B6D"/>
    <w:rsid w:val="00C23BA6"/>
    <w:rsid w:val="00C23C50"/>
    <w:rsid w:val="00C23C61"/>
    <w:rsid w:val="00C23D00"/>
    <w:rsid w:val="00C23E6A"/>
    <w:rsid w:val="00C23F47"/>
    <w:rsid w:val="00C2404D"/>
    <w:rsid w:val="00C240E3"/>
    <w:rsid w:val="00C24104"/>
    <w:rsid w:val="00C241C4"/>
    <w:rsid w:val="00C241D9"/>
    <w:rsid w:val="00C2426A"/>
    <w:rsid w:val="00C24280"/>
    <w:rsid w:val="00C2428D"/>
    <w:rsid w:val="00C24418"/>
    <w:rsid w:val="00C2447C"/>
    <w:rsid w:val="00C24525"/>
    <w:rsid w:val="00C249A7"/>
    <w:rsid w:val="00C24B57"/>
    <w:rsid w:val="00C24B5A"/>
    <w:rsid w:val="00C24BEE"/>
    <w:rsid w:val="00C24BFD"/>
    <w:rsid w:val="00C24C3C"/>
    <w:rsid w:val="00C24E0F"/>
    <w:rsid w:val="00C24FC6"/>
    <w:rsid w:val="00C2512F"/>
    <w:rsid w:val="00C253BB"/>
    <w:rsid w:val="00C25670"/>
    <w:rsid w:val="00C2581C"/>
    <w:rsid w:val="00C25A2E"/>
    <w:rsid w:val="00C25AA3"/>
    <w:rsid w:val="00C25AC3"/>
    <w:rsid w:val="00C25DAA"/>
    <w:rsid w:val="00C260FA"/>
    <w:rsid w:val="00C26123"/>
    <w:rsid w:val="00C2614A"/>
    <w:rsid w:val="00C26181"/>
    <w:rsid w:val="00C261E2"/>
    <w:rsid w:val="00C2620F"/>
    <w:rsid w:val="00C2643B"/>
    <w:rsid w:val="00C264BF"/>
    <w:rsid w:val="00C26584"/>
    <w:rsid w:val="00C2663C"/>
    <w:rsid w:val="00C26779"/>
    <w:rsid w:val="00C267B0"/>
    <w:rsid w:val="00C26878"/>
    <w:rsid w:val="00C26B08"/>
    <w:rsid w:val="00C26B0F"/>
    <w:rsid w:val="00C26B95"/>
    <w:rsid w:val="00C26CFF"/>
    <w:rsid w:val="00C26E8E"/>
    <w:rsid w:val="00C26EF1"/>
    <w:rsid w:val="00C26FD7"/>
    <w:rsid w:val="00C27186"/>
    <w:rsid w:val="00C272AA"/>
    <w:rsid w:val="00C27528"/>
    <w:rsid w:val="00C275A0"/>
    <w:rsid w:val="00C27870"/>
    <w:rsid w:val="00C278D2"/>
    <w:rsid w:val="00C2797A"/>
    <w:rsid w:val="00C27A76"/>
    <w:rsid w:val="00C27B3F"/>
    <w:rsid w:val="00C27E25"/>
    <w:rsid w:val="00C27F58"/>
    <w:rsid w:val="00C30094"/>
    <w:rsid w:val="00C301D4"/>
    <w:rsid w:val="00C3020D"/>
    <w:rsid w:val="00C3031B"/>
    <w:rsid w:val="00C30367"/>
    <w:rsid w:val="00C304C4"/>
    <w:rsid w:val="00C305D4"/>
    <w:rsid w:val="00C3063E"/>
    <w:rsid w:val="00C30896"/>
    <w:rsid w:val="00C30A58"/>
    <w:rsid w:val="00C30A79"/>
    <w:rsid w:val="00C30B3E"/>
    <w:rsid w:val="00C30B55"/>
    <w:rsid w:val="00C30BD6"/>
    <w:rsid w:val="00C30CB5"/>
    <w:rsid w:val="00C310FF"/>
    <w:rsid w:val="00C311A0"/>
    <w:rsid w:val="00C3177D"/>
    <w:rsid w:val="00C3193B"/>
    <w:rsid w:val="00C31A75"/>
    <w:rsid w:val="00C31E65"/>
    <w:rsid w:val="00C31EB5"/>
    <w:rsid w:val="00C31F51"/>
    <w:rsid w:val="00C32045"/>
    <w:rsid w:val="00C320A9"/>
    <w:rsid w:val="00C32184"/>
    <w:rsid w:val="00C3222B"/>
    <w:rsid w:val="00C323CE"/>
    <w:rsid w:val="00C3253C"/>
    <w:rsid w:val="00C32C00"/>
    <w:rsid w:val="00C32E43"/>
    <w:rsid w:val="00C32E9D"/>
    <w:rsid w:val="00C3300A"/>
    <w:rsid w:val="00C3303A"/>
    <w:rsid w:val="00C33853"/>
    <w:rsid w:val="00C33BA8"/>
    <w:rsid w:val="00C33BE6"/>
    <w:rsid w:val="00C33C4F"/>
    <w:rsid w:val="00C33DA2"/>
    <w:rsid w:val="00C33DCD"/>
    <w:rsid w:val="00C33E1E"/>
    <w:rsid w:val="00C33F42"/>
    <w:rsid w:val="00C34000"/>
    <w:rsid w:val="00C34009"/>
    <w:rsid w:val="00C34066"/>
    <w:rsid w:val="00C340B9"/>
    <w:rsid w:val="00C340F2"/>
    <w:rsid w:val="00C34160"/>
    <w:rsid w:val="00C342EB"/>
    <w:rsid w:val="00C34505"/>
    <w:rsid w:val="00C34658"/>
    <w:rsid w:val="00C346D4"/>
    <w:rsid w:val="00C34B70"/>
    <w:rsid w:val="00C34BAF"/>
    <w:rsid w:val="00C34C48"/>
    <w:rsid w:val="00C34F21"/>
    <w:rsid w:val="00C34F26"/>
    <w:rsid w:val="00C34F53"/>
    <w:rsid w:val="00C353DD"/>
    <w:rsid w:val="00C35552"/>
    <w:rsid w:val="00C3564F"/>
    <w:rsid w:val="00C3574C"/>
    <w:rsid w:val="00C357F5"/>
    <w:rsid w:val="00C358D7"/>
    <w:rsid w:val="00C35921"/>
    <w:rsid w:val="00C35A10"/>
    <w:rsid w:val="00C35B5C"/>
    <w:rsid w:val="00C35ED8"/>
    <w:rsid w:val="00C3604C"/>
    <w:rsid w:val="00C360F8"/>
    <w:rsid w:val="00C362AD"/>
    <w:rsid w:val="00C3650E"/>
    <w:rsid w:val="00C365B6"/>
    <w:rsid w:val="00C36852"/>
    <w:rsid w:val="00C3695B"/>
    <w:rsid w:val="00C36A73"/>
    <w:rsid w:val="00C36B3D"/>
    <w:rsid w:val="00C36EF2"/>
    <w:rsid w:val="00C37121"/>
    <w:rsid w:val="00C3749E"/>
    <w:rsid w:val="00C374BA"/>
    <w:rsid w:val="00C377AA"/>
    <w:rsid w:val="00C377AE"/>
    <w:rsid w:val="00C37852"/>
    <w:rsid w:val="00C379C0"/>
    <w:rsid w:val="00C37BD4"/>
    <w:rsid w:val="00C37C0A"/>
    <w:rsid w:val="00C37C44"/>
    <w:rsid w:val="00C37CA1"/>
    <w:rsid w:val="00C37CBC"/>
    <w:rsid w:val="00C37CFC"/>
    <w:rsid w:val="00C37EF1"/>
    <w:rsid w:val="00C4013E"/>
    <w:rsid w:val="00C40879"/>
    <w:rsid w:val="00C408E0"/>
    <w:rsid w:val="00C409EF"/>
    <w:rsid w:val="00C40A27"/>
    <w:rsid w:val="00C40A69"/>
    <w:rsid w:val="00C40A6F"/>
    <w:rsid w:val="00C40AA5"/>
    <w:rsid w:val="00C40C2B"/>
    <w:rsid w:val="00C40C4A"/>
    <w:rsid w:val="00C40D58"/>
    <w:rsid w:val="00C40DE0"/>
    <w:rsid w:val="00C40E76"/>
    <w:rsid w:val="00C410E1"/>
    <w:rsid w:val="00C4124B"/>
    <w:rsid w:val="00C412C2"/>
    <w:rsid w:val="00C4142B"/>
    <w:rsid w:val="00C4144C"/>
    <w:rsid w:val="00C414E0"/>
    <w:rsid w:val="00C414F5"/>
    <w:rsid w:val="00C4150E"/>
    <w:rsid w:val="00C41582"/>
    <w:rsid w:val="00C4161B"/>
    <w:rsid w:val="00C41631"/>
    <w:rsid w:val="00C416AA"/>
    <w:rsid w:val="00C41704"/>
    <w:rsid w:val="00C417CF"/>
    <w:rsid w:val="00C41897"/>
    <w:rsid w:val="00C41A78"/>
    <w:rsid w:val="00C41B34"/>
    <w:rsid w:val="00C41C3F"/>
    <w:rsid w:val="00C41F09"/>
    <w:rsid w:val="00C41F66"/>
    <w:rsid w:val="00C420C7"/>
    <w:rsid w:val="00C420D7"/>
    <w:rsid w:val="00C42458"/>
    <w:rsid w:val="00C4272D"/>
    <w:rsid w:val="00C42902"/>
    <w:rsid w:val="00C42A36"/>
    <w:rsid w:val="00C431BF"/>
    <w:rsid w:val="00C433C4"/>
    <w:rsid w:val="00C43414"/>
    <w:rsid w:val="00C43423"/>
    <w:rsid w:val="00C434BE"/>
    <w:rsid w:val="00C4354B"/>
    <w:rsid w:val="00C4377E"/>
    <w:rsid w:val="00C439E0"/>
    <w:rsid w:val="00C43BA3"/>
    <w:rsid w:val="00C43CB6"/>
    <w:rsid w:val="00C43D51"/>
    <w:rsid w:val="00C43FA4"/>
    <w:rsid w:val="00C44099"/>
    <w:rsid w:val="00C440C5"/>
    <w:rsid w:val="00C443B9"/>
    <w:rsid w:val="00C44464"/>
    <w:rsid w:val="00C444FE"/>
    <w:rsid w:val="00C446E5"/>
    <w:rsid w:val="00C44957"/>
    <w:rsid w:val="00C44AC0"/>
    <w:rsid w:val="00C44E45"/>
    <w:rsid w:val="00C44E6B"/>
    <w:rsid w:val="00C44E93"/>
    <w:rsid w:val="00C44F58"/>
    <w:rsid w:val="00C44F6C"/>
    <w:rsid w:val="00C44FFE"/>
    <w:rsid w:val="00C4505A"/>
    <w:rsid w:val="00C451BB"/>
    <w:rsid w:val="00C45378"/>
    <w:rsid w:val="00C45486"/>
    <w:rsid w:val="00C45504"/>
    <w:rsid w:val="00C456A4"/>
    <w:rsid w:val="00C456DD"/>
    <w:rsid w:val="00C4578F"/>
    <w:rsid w:val="00C45804"/>
    <w:rsid w:val="00C45913"/>
    <w:rsid w:val="00C45B04"/>
    <w:rsid w:val="00C45BFB"/>
    <w:rsid w:val="00C45CA6"/>
    <w:rsid w:val="00C45DB8"/>
    <w:rsid w:val="00C45F6F"/>
    <w:rsid w:val="00C46063"/>
    <w:rsid w:val="00C46109"/>
    <w:rsid w:val="00C46178"/>
    <w:rsid w:val="00C464B3"/>
    <w:rsid w:val="00C4660F"/>
    <w:rsid w:val="00C46808"/>
    <w:rsid w:val="00C4687A"/>
    <w:rsid w:val="00C46AAD"/>
    <w:rsid w:val="00C46AFB"/>
    <w:rsid w:val="00C46BBC"/>
    <w:rsid w:val="00C46C33"/>
    <w:rsid w:val="00C46C4E"/>
    <w:rsid w:val="00C46CFF"/>
    <w:rsid w:val="00C46EBA"/>
    <w:rsid w:val="00C470DF"/>
    <w:rsid w:val="00C470F7"/>
    <w:rsid w:val="00C4722F"/>
    <w:rsid w:val="00C4770F"/>
    <w:rsid w:val="00C47C3F"/>
    <w:rsid w:val="00C47E8A"/>
    <w:rsid w:val="00C5007F"/>
    <w:rsid w:val="00C500F5"/>
    <w:rsid w:val="00C50699"/>
    <w:rsid w:val="00C5077F"/>
    <w:rsid w:val="00C50B77"/>
    <w:rsid w:val="00C50B8B"/>
    <w:rsid w:val="00C50D84"/>
    <w:rsid w:val="00C50E33"/>
    <w:rsid w:val="00C50E9B"/>
    <w:rsid w:val="00C50FCA"/>
    <w:rsid w:val="00C5113E"/>
    <w:rsid w:val="00C5115E"/>
    <w:rsid w:val="00C513C8"/>
    <w:rsid w:val="00C513E3"/>
    <w:rsid w:val="00C5146C"/>
    <w:rsid w:val="00C514F6"/>
    <w:rsid w:val="00C51A7B"/>
    <w:rsid w:val="00C51B51"/>
    <w:rsid w:val="00C51C78"/>
    <w:rsid w:val="00C51D8D"/>
    <w:rsid w:val="00C51E72"/>
    <w:rsid w:val="00C51FBF"/>
    <w:rsid w:val="00C5205A"/>
    <w:rsid w:val="00C522E6"/>
    <w:rsid w:val="00C5231F"/>
    <w:rsid w:val="00C52454"/>
    <w:rsid w:val="00C52ABC"/>
    <w:rsid w:val="00C52BA8"/>
    <w:rsid w:val="00C52BF7"/>
    <w:rsid w:val="00C52E80"/>
    <w:rsid w:val="00C52EA1"/>
    <w:rsid w:val="00C52EE1"/>
    <w:rsid w:val="00C52F08"/>
    <w:rsid w:val="00C53000"/>
    <w:rsid w:val="00C5343C"/>
    <w:rsid w:val="00C5356B"/>
    <w:rsid w:val="00C537AB"/>
    <w:rsid w:val="00C53961"/>
    <w:rsid w:val="00C5399A"/>
    <w:rsid w:val="00C53C28"/>
    <w:rsid w:val="00C53CE3"/>
    <w:rsid w:val="00C53D2B"/>
    <w:rsid w:val="00C53E90"/>
    <w:rsid w:val="00C544EB"/>
    <w:rsid w:val="00C5455B"/>
    <w:rsid w:val="00C545C3"/>
    <w:rsid w:val="00C5465A"/>
    <w:rsid w:val="00C54724"/>
    <w:rsid w:val="00C54A22"/>
    <w:rsid w:val="00C54BE0"/>
    <w:rsid w:val="00C54CAE"/>
    <w:rsid w:val="00C55178"/>
    <w:rsid w:val="00C55206"/>
    <w:rsid w:val="00C55443"/>
    <w:rsid w:val="00C554C9"/>
    <w:rsid w:val="00C55519"/>
    <w:rsid w:val="00C55633"/>
    <w:rsid w:val="00C5579D"/>
    <w:rsid w:val="00C5592E"/>
    <w:rsid w:val="00C559B2"/>
    <w:rsid w:val="00C55A2F"/>
    <w:rsid w:val="00C55AEB"/>
    <w:rsid w:val="00C55B26"/>
    <w:rsid w:val="00C55BA0"/>
    <w:rsid w:val="00C55BBD"/>
    <w:rsid w:val="00C55C66"/>
    <w:rsid w:val="00C55CBD"/>
    <w:rsid w:val="00C55D02"/>
    <w:rsid w:val="00C55DE5"/>
    <w:rsid w:val="00C55E46"/>
    <w:rsid w:val="00C55FA2"/>
    <w:rsid w:val="00C55FF1"/>
    <w:rsid w:val="00C55FFA"/>
    <w:rsid w:val="00C56000"/>
    <w:rsid w:val="00C5612D"/>
    <w:rsid w:val="00C56169"/>
    <w:rsid w:val="00C5623B"/>
    <w:rsid w:val="00C5637F"/>
    <w:rsid w:val="00C563F4"/>
    <w:rsid w:val="00C566EC"/>
    <w:rsid w:val="00C567C0"/>
    <w:rsid w:val="00C56847"/>
    <w:rsid w:val="00C569F8"/>
    <w:rsid w:val="00C56B3F"/>
    <w:rsid w:val="00C56B55"/>
    <w:rsid w:val="00C56C1C"/>
    <w:rsid w:val="00C56F47"/>
    <w:rsid w:val="00C56FB9"/>
    <w:rsid w:val="00C570E7"/>
    <w:rsid w:val="00C57158"/>
    <w:rsid w:val="00C573E3"/>
    <w:rsid w:val="00C574D0"/>
    <w:rsid w:val="00C574E5"/>
    <w:rsid w:val="00C57544"/>
    <w:rsid w:val="00C57563"/>
    <w:rsid w:val="00C576E1"/>
    <w:rsid w:val="00C57A40"/>
    <w:rsid w:val="00C57A4B"/>
    <w:rsid w:val="00C57BEF"/>
    <w:rsid w:val="00C57C52"/>
    <w:rsid w:val="00C57D2A"/>
    <w:rsid w:val="00C57DAA"/>
    <w:rsid w:val="00C57E39"/>
    <w:rsid w:val="00C57ED0"/>
    <w:rsid w:val="00C57FAC"/>
    <w:rsid w:val="00C60017"/>
    <w:rsid w:val="00C6008F"/>
    <w:rsid w:val="00C6009F"/>
    <w:rsid w:val="00C600F1"/>
    <w:rsid w:val="00C6017D"/>
    <w:rsid w:val="00C6056D"/>
    <w:rsid w:val="00C605FB"/>
    <w:rsid w:val="00C6063C"/>
    <w:rsid w:val="00C6070E"/>
    <w:rsid w:val="00C6091E"/>
    <w:rsid w:val="00C609E4"/>
    <w:rsid w:val="00C60A95"/>
    <w:rsid w:val="00C60AD2"/>
    <w:rsid w:val="00C60BD6"/>
    <w:rsid w:val="00C60CC2"/>
    <w:rsid w:val="00C60CF8"/>
    <w:rsid w:val="00C60D43"/>
    <w:rsid w:val="00C60D50"/>
    <w:rsid w:val="00C60DDC"/>
    <w:rsid w:val="00C60FAD"/>
    <w:rsid w:val="00C60FBE"/>
    <w:rsid w:val="00C6102E"/>
    <w:rsid w:val="00C61218"/>
    <w:rsid w:val="00C612EE"/>
    <w:rsid w:val="00C61339"/>
    <w:rsid w:val="00C6154D"/>
    <w:rsid w:val="00C616D7"/>
    <w:rsid w:val="00C6184D"/>
    <w:rsid w:val="00C6189C"/>
    <w:rsid w:val="00C619AB"/>
    <w:rsid w:val="00C619D3"/>
    <w:rsid w:val="00C61A4D"/>
    <w:rsid w:val="00C61A7F"/>
    <w:rsid w:val="00C61AB6"/>
    <w:rsid w:val="00C61AD8"/>
    <w:rsid w:val="00C61BB6"/>
    <w:rsid w:val="00C61C72"/>
    <w:rsid w:val="00C61D00"/>
    <w:rsid w:val="00C61D4E"/>
    <w:rsid w:val="00C61DEC"/>
    <w:rsid w:val="00C61E20"/>
    <w:rsid w:val="00C621A2"/>
    <w:rsid w:val="00C621FE"/>
    <w:rsid w:val="00C6240F"/>
    <w:rsid w:val="00C626E1"/>
    <w:rsid w:val="00C626E2"/>
    <w:rsid w:val="00C62789"/>
    <w:rsid w:val="00C627F4"/>
    <w:rsid w:val="00C62946"/>
    <w:rsid w:val="00C6294F"/>
    <w:rsid w:val="00C629F3"/>
    <w:rsid w:val="00C62C22"/>
    <w:rsid w:val="00C62E3D"/>
    <w:rsid w:val="00C62EBC"/>
    <w:rsid w:val="00C62F90"/>
    <w:rsid w:val="00C63438"/>
    <w:rsid w:val="00C634B2"/>
    <w:rsid w:val="00C635C4"/>
    <w:rsid w:val="00C63680"/>
    <w:rsid w:val="00C63709"/>
    <w:rsid w:val="00C63961"/>
    <w:rsid w:val="00C63B38"/>
    <w:rsid w:val="00C640C6"/>
    <w:rsid w:val="00C6421A"/>
    <w:rsid w:val="00C64249"/>
    <w:rsid w:val="00C643CF"/>
    <w:rsid w:val="00C643EB"/>
    <w:rsid w:val="00C644BB"/>
    <w:rsid w:val="00C645C4"/>
    <w:rsid w:val="00C64759"/>
    <w:rsid w:val="00C64779"/>
    <w:rsid w:val="00C64853"/>
    <w:rsid w:val="00C6494A"/>
    <w:rsid w:val="00C64D61"/>
    <w:rsid w:val="00C64E7A"/>
    <w:rsid w:val="00C65169"/>
    <w:rsid w:val="00C651C1"/>
    <w:rsid w:val="00C6522E"/>
    <w:rsid w:val="00C6536D"/>
    <w:rsid w:val="00C65407"/>
    <w:rsid w:val="00C655F8"/>
    <w:rsid w:val="00C65735"/>
    <w:rsid w:val="00C65842"/>
    <w:rsid w:val="00C65A9B"/>
    <w:rsid w:val="00C66148"/>
    <w:rsid w:val="00C661A5"/>
    <w:rsid w:val="00C661D6"/>
    <w:rsid w:val="00C66268"/>
    <w:rsid w:val="00C662BB"/>
    <w:rsid w:val="00C66358"/>
    <w:rsid w:val="00C666A7"/>
    <w:rsid w:val="00C6680D"/>
    <w:rsid w:val="00C6687D"/>
    <w:rsid w:val="00C668E5"/>
    <w:rsid w:val="00C66914"/>
    <w:rsid w:val="00C669CD"/>
    <w:rsid w:val="00C66C5B"/>
    <w:rsid w:val="00C66D01"/>
    <w:rsid w:val="00C66DB4"/>
    <w:rsid w:val="00C66EC7"/>
    <w:rsid w:val="00C66FB7"/>
    <w:rsid w:val="00C6702D"/>
    <w:rsid w:val="00C6723E"/>
    <w:rsid w:val="00C67243"/>
    <w:rsid w:val="00C6731C"/>
    <w:rsid w:val="00C67348"/>
    <w:rsid w:val="00C67390"/>
    <w:rsid w:val="00C673A3"/>
    <w:rsid w:val="00C67419"/>
    <w:rsid w:val="00C6744D"/>
    <w:rsid w:val="00C677A6"/>
    <w:rsid w:val="00C67819"/>
    <w:rsid w:val="00C678E1"/>
    <w:rsid w:val="00C679F7"/>
    <w:rsid w:val="00C67B8F"/>
    <w:rsid w:val="00C67DDC"/>
    <w:rsid w:val="00C67E54"/>
    <w:rsid w:val="00C67FE8"/>
    <w:rsid w:val="00C70082"/>
    <w:rsid w:val="00C701DB"/>
    <w:rsid w:val="00C70316"/>
    <w:rsid w:val="00C70365"/>
    <w:rsid w:val="00C7045E"/>
    <w:rsid w:val="00C704AF"/>
    <w:rsid w:val="00C706E4"/>
    <w:rsid w:val="00C70817"/>
    <w:rsid w:val="00C70876"/>
    <w:rsid w:val="00C70A50"/>
    <w:rsid w:val="00C70A58"/>
    <w:rsid w:val="00C70B36"/>
    <w:rsid w:val="00C70C3F"/>
    <w:rsid w:val="00C70DF4"/>
    <w:rsid w:val="00C70F30"/>
    <w:rsid w:val="00C70F58"/>
    <w:rsid w:val="00C70FD3"/>
    <w:rsid w:val="00C70FD9"/>
    <w:rsid w:val="00C70FF2"/>
    <w:rsid w:val="00C71072"/>
    <w:rsid w:val="00C71077"/>
    <w:rsid w:val="00C710C4"/>
    <w:rsid w:val="00C712A4"/>
    <w:rsid w:val="00C712E0"/>
    <w:rsid w:val="00C7132A"/>
    <w:rsid w:val="00C7140E"/>
    <w:rsid w:val="00C7150E"/>
    <w:rsid w:val="00C71618"/>
    <w:rsid w:val="00C716B1"/>
    <w:rsid w:val="00C71882"/>
    <w:rsid w:val="00C71A69"/>
    <w:rsid w:val="00C71CC1"/>
    <w:rsid w:val="00C71CE9"/>
    <w:rsid w:val="00C71D02"/>
    <w:rsid w:val="00C71EA8"/>
    <w:rsid w:val="00C7206D"/>
    <w:rsid w:val="00C7232D"/>
    <w:rsid w:val="00C724CC"/>
    <w:rsid w:val="00C72669"/>
    <w:rsid w:val="00C729B6"/>
    <w:rsid w:val="00C729CF"/>
    <w:rsid w:val="00C72AB9"/>
    <w:rsid w:val="00C72BE3"/>
    <w:rsid w:val="00C72CC4"/>
    <w:rsid w:val="00C72E16"/>
    <w:rsid w:val="00C72F52"/>
    <w:rsid w:val="00C73383"/>
    <w:rsid w:val="00C73675"/>
    <w:rsid w:val="00C73714"/>
    <w:rsid w:val="00C738A5"/>
    <w:rsid w:val="00C7399D"/>
    <w:rsid w:val="00C739F7"/>
    <w:rsid w:val="00C73B26"/>
    <w:rsid w:val="00C73CE6"/>
    <w:rsid w:val="00C73D0A"/>
    <w:rsid w:val="00C73DC1"/>
    <w:rsid w:val="00C73E9B"/>
    <w:rsid w:val="00C73EAB"/>
    <w:rsid w:val="00C741F5"/>
    <w:rsid w:val="00C741FB"/>
    <w:rsid w:val="00C74232"/>
    <w:rsid w:val="00C74289"/>
    <w:rsid w:val="00C74490"/>
    <w:rsid w:val="00C74502"/>
    <w:rsid w:val="00C74643"/>
    <w:rsid w:val="00C7469F"/>
    <w:rsid w:val="00C74938"/>
    <w:rsid w:val="00C7493A"/>
    <w:rsid w:val="00C75086"/>
    <w:rsid w:val="00C75371"/>
    <w:rsid w:val="00C75392"/>
    <w:rsid w:val="00C75513"/>
    <w:rsid w:val="00C75594"/>
    <w:rsid w:val="00C7597D"/>
    <w:rsid w:val="00C759C9"/>
    <w:rsid w:val="00C75B5B"/>
    <w:rsid w:val="00C75C10"/>
    <w:rsid w:val="00C75D26"/>
    <w:rsid w:val="00C75EFE"/>
    <w:rsid w:val="00C76200"/>
    <w:rsid w:val="00C762F8"/>
    <w:rsid w:val="00C7644C"/>
    <w:rsid w:val="00C76472"/>
    <w:rsid w:val="00C76549"/>
    <w:rsid w:val="00C765DE"/>
    <w:rsid w:val="00C7688F"/>
    <w:rsid w:val="00C76987"/>
    <w:rsid w:val="00C769BC"/>
    <w:rsid w:val="00C76DD7"/>
    <w:rsid w:val="00C76E05"/>
    <w:rsid w:val="00C76ED1"/>
    <w:rsid w:val="00C76F57"/>
    <w:rsid w:val="00C77063"/>
    <w:rsid w:val="00C773E9"/>
    <w:rsid w:val="00C77410"/>
    <w:rsid w:val="00C7758F"/>
    <w:rsid w:val="00C77619"/>
    <w:rsid w:val="00C77622"/>
    <w:rsid w:val="00C77659"/>
    <w:rsid w:val="00C776E6"/>
    <w:rsid w:val="00C77815"/>
    <w:rsid w:val="00C77A2A"/>
    <w:rsid w:val="00C77AB4"/>
    <w:rsid w:val="00C77BAB"/>
    <w:rsid w:val="00C77E1A"/>
    <w:rsid w:val="00C800B8"/>
    <w:rsid w:val="00C80123"/>
    <w:rsid w:val="00C8033F"/>
    <w:rsid w:val="00C8034F"/>
    <w:rsid w:val="00C803C7"/>
    <w:rsid w:val="00C80451"/>
    <w:rsid w:val="00C80452"/>
    <w:rsid w:val="00C8058A"/>
    <w:rsid w:val="00C80656"/>
    <w:rsid w:val="00C808F4"/>
    <w:rsid w:val="00C80A79"/>
    <w:rsid w:val="00C80B04"/>
    <w:rsid w:val="00C80B1A"/>
    <w:rsid w:val="00C80D17"/>
    <w:rsid w:val="00C80DEC"/>
    <w:rsid w:val="00C810C4"/>
    <w:rsid w:val="00C810C6"/>
    <w:rsid w:val="00C81173"/>
    <w:rsid w:val="00C8133F"/>
    <w:rsid w:val="00C81532"/>
    <w:rsid w:val="00C8198A"/>
    <w:rsid w:val="00C81BCB"/>
    <w:rsid w:val="00C81E46"/>
    <w:rsid w:val="00C81E9B"/>
    <w:rsid w:val="00C81EC0"/>
    <w:rsid w:val="00C82145"/>
    <w:rsid w:val="00C8274C"/>
    <w:rsid w:val="00C8288A"/>
    <w:rsid w:val="00C828BD"/>
    <w:rsid w:val="00C828D5"/>
    <w:rsid w:val="00C828DE"/>
    <w:rsid w:val="00C82990"/>
    <w:rsid w:val="00C82C87"/>
    <w:rsid w:val="00C82D3A"/>
    <w:rsid w:val="00C82F2D"/>
    <w:rsid w:val="00C83150"/>
    <w:rsid w:val="00C83346"/>
    <w:rsid w:val="00C8386A"/>
    <w:rsid w:val="00C83891"/>
    <w:rsid w:val="00C83893"/>
    <w:rsid w:val="00C8399D"/>
    <w:rsid w:val="00C83AF3"/>
    <w:rsid w:val="00C83E3C"/>
    <w:rsid w:val="00C840DA"/>
    <w:rsid w:val="00C841DF"/>
    <w:rsid w:val="00C84242"/>
    <w:rsid w:val="00C84509"/>
    <w:rsid w:val="00C84716"/>
    <w:rsid w:val="00C8479A"/>
    <w:rsid w:val="00C847D5"/>
    <w:rsid w:val="00C8490A"/>
    <w:rsid w:val="00C84963"/>
    <w:rsid w:val="00C84B33"/>
    <w:rsid w:val="00C84CE6"/>
    <w:rsid w:val="00C84DED"/>
    <w:rsid w:val="00C85151"/>
    <w:rsid w:val="00C85187"/>
    <w:rsid w:val="00C8529F"/>
    <w:rsid w:val="00C852A6"/>
    <w:rsid w:val="00C85368"/>
    <w:rsid w:val="00C854BE"/>
    <w:rsid w:val="00C85718"/>
    <w:rsid w:val="00C85A53"/>
    <w:rsid w:val="00C85A92"/>
    <w:rsid w:val="00C85CEA"/>
    <w:rsid w:val="00C8600A"/>
    <w:rsid w:val="00C8614C"/>
    <w:rsid w:val="00C862E2"/>
    <w:rsid w:val="00C862F3"/>
    <w:rsid w:val="00C864E1"/>
    <w:rsid w:val="00C86534"/>
    <w:rsid w:val="00C86572"/>
    <w:rsid w:val="00C869F6"/>
    <w:rsid w:val="00C86A66"/>
    <w:rsid w:val="00C86AF9"/>
    <w:rsid w:val="00C86B0A"/>
    <w:rsid w:val="00C86C45"/>
    <w:rsid w:val="00C86D48"/>
    <w:rsid w:val="00C86FC9"/>
    <w:rsid w:val="00C87009"/>
    <w:rsid w:val="00C872BF"/>
    <w:rsid w:val="00C875EB"/>
    <w:rsid w:val="00C87782"/>
    <w:rsid w:val="00C8782C"/>
    <w:rsid w:val="00C87B96"/>
    <w:rsid w:val="00C901B6"/>
    <w:rsid w:val="00C90591"/>
    <w:rsid w:val="00C905DD"/>
    <w:rsid w:val="00C90619"/>
    <w:rsid w:val="00C907C1"/>
    <w:rsid w:val="00C9080E"/>
    <w:rsid w:val="00C9085D"/>
    <w:rsid w:val="00C90C12"/>
    <w:rsid w:val="00C90C35"/>
    <w:rsid w:val="00C90C58"/>
    <w:rsid w:val="00C90DA6"/>
    <w:rsid w:val="00C90EFE"/>
    <w:rsid w:val="00C9108F"/>
    <w:rsid w:val="00C91247"/>
    <w:rsid w:val="00C913B2"/>
    <w:rsid w:val="00C916C0"/>
    <w:rsid w:val="00C917A4"/>
    <w:rsid w:val="00C917FA"/>
    <w:rsid w:val="00C917FF"/>
    <w:rsid w:val="00C91980"/>
    <w:rsid w:val="00C91AE4"/>
    <w:rsid w:val="00C91B7E"/>
    <w:rsid w:val="00C91CA4"/>
    <w:rsid w:val="00C91F1F"/>
    <w:rsid w:val="00C92289"/>
    <w:rsid w:val="00C92586"/>
    <w:rsid w:val="00C926DA"/>
    <w:rsid w:val="00C928F4"/>
    <w:rsid w:val="00C92937"/>
    <w:rsid w:val="00C929BA"/>
    <w:rsid w:val="00C92A23"/>
    <w:rsid w:val="00C92A27"/>
    <w:rsid w:val="00C92D9C"/>
    <w:rsid w:val="00C92FCF"/>
    <w:rsid w:val="00C9312B"/>
    <w:rsid w:val="00C93261"/>
    <w:rsid w:val="00C93386"/>
    <w:rsid w:val="00C9338B"/>
    <w:rsid w:val="00C9338F"/>
    <w:rsid w:val="00C933CA"/>
    <w:rsid w:val="00C934E6"/>
    <w:rsid w:val="00C9359E"/>
    <w:rsid w:val="00C93632"/>
    <w:rsid w:val="00C93647"/>
    <w:rsid w:val="00C937FF"/>
    <w:rsid w:val="00C93851"/>
    <w:rsid w:val="00C93960"/>
    <w:rsid w:val="00C93973"/>
    <w:rsid w:val="00C93989"/>
    <w:rsid w:val="00C93A2D"/>
    <w:rsid w:val="00C93B9E"/>
    <w:rsid w:val="00C93C7F"/>
    <w:rsid w:val="00C93CF7"/>
    <w:rsid w:val="00C93DD0"/>
    <w:rsid w:val="00C93DFE"/>
    <w:rsid w:val="00C93E8C"/>
    <w:rsid w:val="00C941B2"/>
    <w:rsid w:val="00C9437A"/>
    <w:rsid w:val="00C94752"/>
    <w:rsid w:val="00C947FC"/>
    <w:rsid w:val="00C94955"/>
    <w:rsid w:val="00C949FF"/>
    <w:rsid w:val="00C94BED"/>
    <w:rsid w:val="00C94C3F"/>
    <w:rsid w:val="00C94CB9"/>
    <w:rsid w:val="00C95122"/>
    <w:rsid w:val="00C951B7"/>
    <w:rsid w:val="00C95415"/>
    <w:rsid w:val="00C95472"/>
    <w:rsid w:val="00C9547B"/>
    <w:rsid w:val="00C95480"/>
    <w:rsid w:val="00C954F5"/>
    <w:rsid w:val="00C95533"/>
    <w:rsid w:val="00C9555F"/>
    <w:rsid w:val="00C95691"/>
    <w:rsid w:val="00C9571D"/>
    <w:rsid w:val="00C95884"/>
    <w:rsid w:val="00C95CB5"/>
    <w:rsid w:val="00C95CF5"/>
    <w:rsid w:val="00C95D06"/>
    <w:rsid w:val="00C95EE5"/>
    <w:rsid w:val="00C95F21"/>
    <w:rsid w:val="00C95FCF"/>
    <w:rsid w:val="00C96046"/>
    <w:rsid w:val="00C9605C"/>
    <w:rsid w:val="00C961D1"/>
    <w:rsid w:val="00C961ED"/>
    <w:rsid w:val="00C962F4"/>
    <w:rsid w:val="00C96405"/>
    <w:rsid w:val="00C965EE"/>
    <w:rsid w:val="00C96797"/>
    <w:rsid w:val="00C96916"/>
    <w:rsid w:val="00C96987"/>
    <w:rsid w:val="00C96997"/>
    <w:rsid w:val="00C96A84"/>
    <w:rsid w:val="00C96ABB"/>
    <w:rsid w:val="00C96ACB"/>
    <w:rsid w:val="00C96AE4"/>
    <w:rsid w:val="00C96D83"/>
    <w:rsid w:val="00C96E29"/>
    <w:rsid w:val="00C96E74"/>
    <w:rsid w:val="00C96EC3"/>
    <w:rsid w:val="00C97148"/>
    <w:rsid w:val="00C97185"/>
    <w:rsid w:val="00C97218"/>
    <w:rsid w:val="00C9722F"/>
    <w:rsid w:val="00C9723C"/>
    <w:rsid w:val="00C97388"/>
    <w:rsid w:val="00C97517"/>
    <w:rsid w:val="00C97738"/>
    <w:rsid w:val="00C97963"/>
    <w:rsid w:val="00C97984"/>
    <w:rsid w:val="00C97B6C"/>
    <w:rsid w:val="00C97E64"/>
    <w:rsid w:val="00C97EC9"/>
    <w:rsid w:val="00CA02F0"/>
    <w:rsid w:val="00CA0664"/>
    <w:rsid w:val="00CA069A"/>
    <w:rsid w:val="00CA06ED"/>
    <w:rsid w:val="00CA07B6"/>
    <w:rsid w:val="00CA08E4"/>
    <w:rsid w:val="00CA0A25"/>
    <w:rsid w:val="00CA0D10"/>
    <w:rsid w:val="00CA0DFC"/>
    <w:rsid w:val="00CA0F8D"/>
    <w:rsid w:val="00CA0FD0"/>
    <w:rsid w:val="00CA11FD"/>
    <w:rsid w:val="00CA178F"/>
    <w:rsid w:val="00CA1845"/>
    <w:rsid w:val="00CA1919"/>
    <w:rsid w:val="00CA19D5"/>
    <w:rsid w:val="00CA19DB"/>
    <w:rsid w:val="00CA1A54"/>
    <w:rsid w:val="00CA1AC7"/>
    <w:rsid w:val="00CA1CFC"/>
    <w:rsid w:val="00CA1D99"/>
    <w:rsid w:val="00CA1F4C"/>
    <w:rsid w:val="00CA2216"/>
    <w:rsid w:val="00CA2272"/>
    <w:rsid w:val="00CA22ED"/>
    <w:rsid w:val="00CA2344"/>
    <w:rsid w:val="00CA23EC"/>
    <w:rsid w:val="00CA2607"/>
    <w:rsid w:val="00CA264E"/>
    <w:rsid w:val="00CA2740"/>
    <w:rsid w:val="00CA3056"/>
    <w:rsid w:val="00CA30AF"/>
    <w:rsid w:val="00CA3156"/>
    <w:rsid w:val="00CA322A"/>
    <w:rsid w:val="00CA3248"/>
    <w:rsid w:val="00CA32F2"/>
    <w:rsid w:val="00CA3448"/>
    <w:rsid w:val="00CA3462"/>
    <w:rsid w:val="00CA37DD"/>
    <w:rsid w:val="00CA38AB"/>
    <w:rsid w:val="00CA38F2"/>
    <w:rsid w:val="00CA3ABE"/>
    <w:rsid w:val="00CA3B40"/>
    <w:rsid w:val="00CA3D3C"/>
    <w:rsid w:val="00CA3D70"/>
    <w:rsid w:val="00CA3F6E"/>
    <w:rsid w:val="00CA4193"/>
    <w:rsid w:val="00CA42EB"/>
    <w:rsid w:val="00CA4438"/>
    <w:rsid w:val="00CA4450"/>
    <w:rsid w:val="00CA4606"/>
    <w:rsid w:val="00CA4670"/>
    <w:rsid w:val="00CA476F"/>
    <w:rsid w:val="00CA479D"/>
    <w:rsid w:val="00CA47EE"/>
    <w:rsid w:val="00CA4969"/>
    <w:rsid w:val="00CA49F8"/>
    <w:rsid w:val="00CA4AA1"/>
    <w:rsid w:val="00CA4D50"/>
    <w:rsid w:val="00CA4F27"/>
    <w:rsid w:val="00CA4F4A"/>
    <w:rsid w:val="00CA50A7"/>
    <w:rsid w:val="00CA5230"/>
    <w:rsid w:val="00CA52DA"/>
    <w:rsid w:val="00CA537D"/>
    <w:rsid w:val="00CA53A3"/>
    <w:rsid w:val="00CA5411"/>
    <w:rsid w:val="00CA59E7"/>
    <w:rsid w:val="00CA5A2F"/>
    <w:rsid w:val="00CA5A5D"/>
    <w:rsid w:val="00CA5B34"/>
    <w:rsid w:val="00CA5B6E"/>
    <w:rsid w:val="00CA5C1B"/>
    <w:rsid w:val="00CA5D52"/>
    <w:rsid w:val="00CA5EE3"/>
    <w:rsid w:val="00CA5F4B"/>
    <w:rsid w:val="00CA5FD6"/>
    <w:rsid w:val="00CA60A1"/>
    <w:rsid w:val="00CA6587"/>
    <w:rsid w:val="00CA6723"/>
    <w:rsid w:val="00CA6748"/>
    <w:rsid w:val="00CA6946"/>
    <w:rsid w:val="00CA6AC1"/>
    <w:rsid w:val="00CA6B0E"/>
    <w:rsid w:val="00CA6C5C"/>
    <w:rsid w:val="00CA70CB"/>
    <w:rsid w:val="00CA71E5"/>
    <w:rsid w:val="00CA722F"/>
    <w:rsid w:val="00CA72A0"/>
    <w:rsid w:val="00CA7326"/>
    <w:rsid w:val="00CA74A6"/>
    <w:rsid w:val="00CA77C6"/>
    <w:rsid w:val="00CA7A00"/>
    <w:rsid w:val="00CA7AC7"/>
    <w:rsid w:val="00CA7D7E"/>
    <w:rsid w:val="00CA7F3F"/>
    <w:rsid w:val="00CA7F9E"/>
    <w:rsid w:val="00CB0025"/>
    <w:rsid w:val="00CB006E"/>
    <w:rsid w:val="00CB00AE"/>
    <w:rsid w:val="00CB028E"/>
    <w:rsid w:val="00CB029A"/>
    <w:rsid w:val="00CB0450"/>
    <w:rsid w:val="00CB0455"/>
    <w:rsid w:val="00CB05D5"/>
    <w:rsid w:val="00CB0622"/>
    <w:rsid w:val="00CB0637"/>
    <w:rsid w:val="00CB0B0B"/>
    <w:rsid w:val="00CB0B67"/>
    <w:rsid w:val="00CB0D5C"/>
    <w:rsid w:val="00CB0D7F"/>
    <w:rsid w:val="00CB0F1A"/>
    <w:rsid w:val="00CB1015"/>
    <w:rsid w:val="00CB116A"/>
    <w:rsid w:val="00CB12BF"/>
    <w:rsid w:val="00CB134D"/>
    <w:rsid w:val="00CB1507"/>
    <w:rsid w:val="00CB156C"/>
    <w:rsid w:val="00CB1596"/>
    <w:rsid w:val="00CB175A"/>
    <w:rsid w:val="00CB1829"/>
    <w:rsid w:val="00CB1852"/>
    <w:rsid w:val="00CB18EE"/>
    <w:rsid w:val="00CB1A37"/>
    <w:rsid w:val="00CB1A60"/>
    <w:rsid w:val="00CB1A68"/>
    <w:rsid w:val="00CB1CF6"/>
    <w:rsid w:val="00CB1DC3"/>
    <w:rsid w:val="00CB1E23"/>
    <w:rsid w:val="00CB1F23"/>
    <w:rsid w:val="00CB23D7"/>
    <w:rsid w:val="00CB23E1"/>
    <w:rsid w:val="00CB25D4"/>
    <w:rsid w:val="00CB26D0"/>
    <w:rsid w:val="00CB26F8"/>
    <w:rsid w:val="00CB28C9"/>
    <w:rsid w:val="00CB28E7"/>
    <w:rsid w:val="00CB2C6D"/>
    <w:rsid w:val="00CB2CA4"/>
    <w:rsid w:val="00CB2E2C"/>
    <w:rsid w:val="00CB2EF2"/>
    <w:rsid w:val="00CB3054"/>
    <w:rsid w:val="00CB344B"/>
    <w:rsid w:val="00CB35D2"/>
    <w:rsid w:val="00CB365F"/>
    <w:rsid w:val="00CB3827"/>
    <w:rsid w:val="00CB38F8"/>
    <w:rsid w:val="00CB39B4"/>
    <w:rsid w:val="00CB3A0B"/>
    <w:rsid w:val="00CB3ABA"/>
    <w:rsid w:val="00CB3B7E"/>
    <w:rsid w:val="00CB3CA0"/>
    <w:rsid w:val="00CB3CF5"/>
    <w:rsid w:val="00CB3E43"/>
    <w:rsid w:val="00CB3F71"/>
    <w:rsid w:val="00CB40FA"/>
    <w:rsid w:val="00CB4275"/>
    <w:rsid w:val="00CB4278"/>
    <w:rsid w:val="00CB4E96"/>
    <w:rsid w:val="00CB4ED5"/>
    <w:rsid w:val="00CB5244"/>
    <w:rsid w:val="00CB52C4"/>
    <w:rsid w:val="00CB52DA"/>
    <w:rsid w:val="00CB52E0"/>
    <w:rsid w:val="00CB5375"/>
    <w:rsid w:val="00CB579B"/>
    <w:rsid w:val="00CB57DA"/>
    <w:rsid w:val="00CB5820"/>
    <w:rsid w:val="00CB5A95"/>
    <w:rsid w:val="00CB5BD4"/>
    <w:rsid w:val="00CB5E93"/>
    <w:rsid w:val="00CB5F31"/>
    <w:rsid w:val="00CB60A1"/>
    <w:rsid w:val="00CB613F"/>
    <w:rsid w:val="00CB62F8"/>
    <w:rsid w:val="00CB6653"/>
    <w:rsid w:val="00CB68D1"/>
    <w:rsid w:val="00CB6A21"/>
    <w:rsid w:val="00CB6A38"/>
    <w:rsid w:val="00CB6D5B"/>
    <w:rsid w:val="00CB6E52"/>
    <w:rsid w:val="00CB6F8E"/>
    <w:rsid w:val="00CB7296"/>
    <w:rsid w:val="00CB72D0"/>
    <w:rsid w:val="00CB738A"/>
    <w:rsid w:val="00CB73CD"/>
    <w:rsid w:val="00CB741D"/>
    <w:rsid w:val="00CB7512"/>
    <w:rsid w:val="00CB7525"/>
    <w:rsid w:val="00CB7669"/>
    <w:rsid w:val="00CB77CE"/>
    <w:rsid w:val="00CB7864"/>
    <w:rsid w:val="00CB79F7"/>
    <w:rsid w:val="00CB7BE4"/>
    <w:rsid w:val="00CB7DB0"/>
    <w:rsid w:val="00CC018C"/>
    <w:rsid w:val="00CC01E4"/>
    <w:rsid w:val="00CC0323"/>
    <w:rsid w:val="00CC03A0"/>
    <w:rsid w:val="00CC03BD"/>
    <w:rsid w:val="00CC0410"/>
    <w:rsid w:val="00CC044E"/>
    <w:rsid w:val="00CC058A"/>
    <w:rsid w:val="00CC068A"/>
    <w:rsid w:val="00CC0724"/>
    <w:rsid w:val="00CC0778"/>
    <w:rsid w:val="00CC0795"/>
    <w:rsid w:val="00CC0951"/>
    <w:rsid w:val="00CC0BBA"/>
    <w:rsid w:val="00CC0BC4"/>
    <w:rsid w:val="00CC0CE7"/>
    <w:rsid w:val="00CC12CB"/>
    <w:rsid w:val="00CC1371"/>
    <w:rsid w:val="00CC14A7"/>
    <w:rsid w:val="00CC1587"/>
    <w:rsid w:val="00CC1702"/>
    <w:rsid w:val="00CC171F"/>
    <w:rsid w:val="00CC17AE"/>
    <w:rsid w:val="00CC1A4A"/>
    <w:rsid w:val="00CC1B3A"/>
    <w:rsid w:val="00CC1C87"/>
    <w:rsid w:val="00CC1CB8"/>
    <w:rsid w:val="00CC1CD2"/>
    <w:rsid w:val="00CC1F41"/>
    <w:rsid w:val="00CC1F72"/>
    <w:rsid w:val="00CC2159"/>
    <w:rsid w:val="00CC215D"/>
    <w:rsid w:val="00CC237F"/>
    <w:rsid w:val="00CC23D0"/>
    <w:rsid w:val="00CC247F"/>
    <w:rsid w:val="00CC24AB"/>
    <w:rsid w:val="00CC24E7"/>
    <w:rsid w:val="00CC2566"/>
    <w:rsid w:val="00CC2BF6"/>
    <w:rsid w:val="00CC2D7A"/>
    <w:rsid w:val="00CC2E2E"/>
    <w:rsid w:val="00CC2F8E"/>
    <w:rsid w:val="00CC3263"/>
    <w:rsid w:val="00CC33E5"/>
    <w:rsid w:val="00CC34DF"/>
    <w:rsid w:val="00CC3AF5"/>
    <w:rsid w:val="00CC3C84"/>
    <w:rsid w:val="00CC3F16"/>
    <w:rsid w:val="00CC41B8"/>
    <w:rsid w:val="00CC4259"/>
    <w:rsid w:val="00CC42F7"/>
    <w:rsid w:val="00CC4392"/>
    <w:rsid w:val="00CC44F3"/>
    <w:rsid w:val="00CC46A2"/>
    <w:rsid w:val="00CC4866"/>
    <w:rsid w:val="00CC49E0"/>
    <w:rsid w:val="00CC4B29"/>
    <w:rsid w:val="00CC4BD6"/>
    <w:rsid w:val="00CC4D05"/>
    <w:rsid w:val="00CC4EA7"/>
    <w:rsid w:val="00CC4F83"/>
    <w:rsid w:val="00CC5083"/>
    <w:rsid w:val="00CC5713"/>
    <w:rsid w:val="00CC58AD"/>
    <w:rsid w:val="00CC59B7"/>
    <w:rsid w:val="00CC5B55"/>
    <w:rsid w:val="00CC610F"/>
    <w:rsid w:val="00CC61BB"/>
    <w:rsid w:val="00CC6501"/>
    <w:rsid w:val="00CC669E"/>
    <w:rsid w:val="00CC68FA"/>
    <w:rsid w:val="00CC6A11"/>
    <w:rsid w:val="00CC6A61"/>
    <w:rsid w:val="00CC6B16"/>
    <w:rsid w:val="00CC6EE3"/>
    <w:rsid w:val="00CC6F2B"/>
    <w:rsid w:val="00CC6FF0"/>
    <w:rsid w:val="00CC70A3"/>
    <w:rsid w:val="00CC7253"/>
    <w:rsid w:val="00CC7351"/>
    <w:rsid w:val="00CC73AF"/>
    <w:rsid w:val="00CC7456"/>
    <w:rsid w:val="00CC7636"/>
    <w:rsid w:val="00CC769C"/>
    <w:rsid w:val="00CC789F"/>
    <w:rsid w:val="00CC78D9"/>
    <w:rsid w:val="00CC7BDF"/>
    <w:rsid w:val="00CC7DA1"/>
    <w:rsid w:val="00CC7DEB"/>
    <w:rsid w:val="00CC7EE1"/>
    <w:rsid w:val="00CC7F05"/>
    <w:rsid w:val="00CD00F3"/>
    <w:rsid w:val="00CD01BB"/>
    <w:rsid w:val="00CD02EB"/>
    <w:rsid w:val="00CD03ED"/>
    <w:rsid w:val="00CD04E4"/>
    <w:rsid w:val="00CD06E9"/>
    <w:rsid w:val="00CD0757"/>
    <w:rsid w:val="00CD0BA2"/>
    <w:rsid w:val="00CD0CC0"/>
    <w:rsid w:val="00CD0D03"/>
    <w:rsid w:val="00CD0D8A"/>
    <w:rsid w:val="00CD0E58"/>
    <w:rsid w:val="00CD0F57"/>
    <w:rsid w:val="00CD10D3"/>
    <w:rsid w:val="00CD136D"/>
    <w:rsid w:val="00CD1396"/>
    <w:rsid w:val="00CD16FE"/>
    <w:rsid w:val="00CD17C0"/>
    <w:rsid w:val="00CD1802"/>
    <w:rsid w:val="00CD1814"/>
    <w:rsid w:val="00CD1F43"/>
    <w:rsid w:val="00CD22FF"/>
    <w:rsid w:val="00CD24C8"/>
    <w:rsid w:val="00CD265D"/>
    <w:rsid w:val="00CD2818"/>
    <w:rsid w:val="00CD2951"/>
    <w:rsid w:val="00CD297B"/>
    <w:rsid w:val="00CD2B9D"/>
    <w:rsid w:val="00CD2C02"/>
    <w:rsid w:val="00CD2DDD"/>
    <w:rsid w:val="00CD2F33"/>
    <w:rsid w:val="00CD2FC3"/>
    <w:rsid w:val="00CD3114"/>
    <w:rsid w:val="00CD3134"/>
    <w:rsid w:val="00CD3340"/>
    <w:rsid w:val="00CD3410"/>
    <w:rsid w:val="00CD350E"/>
    <w:rsid w:val="00CD3538"/>
    <w:rsid w:val="00CD3BC9"/>
    <w:rsid w:val="00CD3D98"/>
    <w:rsid w:val="00CD3DB8"/>
    <w:rsid w:val="00CD3DF7"/>
    <w:rsid w:val="00CD40FB"/>
    <w:rsid w:val="00CD412E"/>
    <w:rsid w:val="00CD425F"/>
    <w:rsid w:val="00CD4496"/>
    <w:rsid w:val="00CD4A3E"/>
    <w:rsid w:val="00CD4A7F"/>
    <w:rsid w:val="00CD4C78"/>
    <w:rsid w:val="00CD4D1D"/>
    <w:rsid w:val="00CD4D9A"/>
    <w:rsid w:val="00CD4FB1"/>
    <w:rsid w:val="00CD50CE"/>
    <w:rsid w:val="00CD54D8"/>
    <w:rsid w:val="00CD550B"/>
    <w:rsid w:val="00CD55B6"/>
    <w:rsid w:val="00CD55D6"/>
    <w:rsid w:val="00CD583C"/>
    <w:rsid w:val="00CD5933"/>
    <w:rsid w:val="00CD5936"/>
    <w:rsid w:val="00CD59FB"/>
    <w:rsid w:val="00CD5B43"/>
    <w:rsid w:val="00CD5B95"/>
    <w:rsid w:val="00CD5BD2"/>
    <w:rsid w:val="00CD5C23"/>
    <w:rsid w:val="00CD5D09"/>
    <w:rsid w:val="00CD5D3D"/>
    <w:rsid w:val="00CD5F3B"/>
    <w:rsid w:val="00CD5F51"/>
    <w:rsid w:val="00CD61FD"/>
    <w:rsid w:val="00CD63C9"/>
    <w:rsid w:val="00CD63D1"/>
    <w:rsid w:val="00CD6489"/>
    <w:rsid w:val="00CD66E2"/>
    <w:rsid w:val="00CD66F1"/>
    <w:rsid w:val="00CD673A"/>
    <w:rsid w:val="00CD6897"/>
    <w:rsid w:val="00CD68DE"/>
    <w:rsid w:val="00CD6946"/>
    <w:rsid w:val="00CD6A76"/>
    <w:rsid w:val="00CD6B82"/>
    <w:rsid w:val="00CD6BB8"/>
    <w:rsid w:val="00CD6EB2"/>
    <w:rsid w:val="00CD6F46"/>
    <w:rsid w:val="00CD7212"/>
    <w:rsid w:val="00CD7456"/>
    <w:rsid w:val="00CD755D"/>
    <w:rsid w:val="00CD7815"/>
    <w:rsid w:val="00CD78E6"/>
    <w:rsid w:val="00CD7B9A"/>
    <w:rsid w:val="00CD7CBD"/>
    <w:rsid w:val="00CD7D35"/>
    <w:rsid w:val="00CD7D87"/>
    <w:rsid w:val="00CD7DA0"/>
    <w:rsid w:val="00CD7E91"/>
    <w:rsid w:val="00CD7F4E"/>
    <w:rsid w:val="00CD7F9A"/>
    <w:rsid w:val="00CE00FD"/>
    <w:rsid w:val="00CE010E"/>
    <w:rsid w:val="00CE03BC"/>
    <w:rsid w:val="00CE041E"/>
    <w:rsid w:val="00CE0481"/>
    <w:rsid w:val="00CE04E2"/>
    <w:rsid w:val="00CE05AE"/>
    <w:rsid w:val="00CE065E"/>
    <w:rsid w:val="00CE07C6"/>
    <w:rsid w:val="00CE07F1"/>
    <w:rsid w:val="00CE086B"/>
    <w:rsid w:val="00CE09B1"/>
    <w:rsid w:val="00CE09BC"/>
    <w:rsid w:val="00CE0A4D"/>
    <w:rsid w:val="00CE0AA6"/>
    <w:rsid w:val="00CE0B32"/>
    <w:rsid w:val="00CE0B64"/>
    <w:rsid w:val="00CE13F4"/>
    <w:rsid w:val="00CE154A"/>
    <w:rsid w:val="00CE1637"/>
    <w:rsid w:val="00CE17C0"/>
    <w:rsid w:val="00CE1864"/>
    <w:rsid w:val="00CE1A16"/>
    <w:rsid w:val="00CE1A51"/>
    <w:rsid w:val="00CE1A6D"/>
    <w:rsid w:val="00CE1A76"/>
    <w:rsid w:val="00CE1B95"/>
    <w:rsid w:val="00CE1CC0"/>
    <w:rsid w:val="00CE1D29"/>
    <w:rsid w:val="00CE1D47"/>
    <w:rsid w:val="00CE1E83"/>
    <w:rsid w:val="00CE2238"/>
    <w:rsid w:val="00CE22AC"/>
    <w:rsid w:val="00CE2521"/>
    <w:rsid w:val="00CE258C"/>
    <w:rsid w:val="00CE25EA"/>
    <w:rsid w:val="00CE27B1"/>
    <w:rsid w:val="00CE2811"/>
    <w:rsid w:val="00CE2815"/>
    <w:rsid w:val="00CE292E"/>
    <w:rsid w:val="00CE2A25"/>
    <w:rsid w:val="00CE2A7A"/>
    <w:rsid w:val="00CE2DED"/>
    <w:rsid w:val="00CE3060"/>
    <w:rsid w:val="00CE3094"/>
    <w:rsid w:val="00CE3416"/>
    <w:rsid w:val="00CE3427"/>
    <w:rsid w:val="00CE34B2"/>
    <w:rsid w:val="00CE3505"/>
    <w:rsid w:val="00CE3636"/>
    <w:rsid w:val="00CE3837"/>
    <w:rsid w:val="00CE389B"/>
    <w:rsid w:val="00CE3A6A"/>
    <w:rsid w:val="00CE3B70"/>
    <w:rsid w:val="00CE3B7F"/>
    <w:rsid w:val="00CE4026"/>
    <w:rsid w:val="00CE4050"/>
    <w:rsid w:val="00CE4136"/>
    <w:rsid w:val="00CE4159"/>
    <w:rsid w:val="00CE4298"/>
    <w:rsid w:val="00CE4444"/>
    <w:rsid w:val="00CE4448"/>
    <w:rsid w:val="00CE4496"/>
    <w:rsid w:val="00CE4582"/>
    <w:rsid w:val="00CE46CB"/>
    <w:rsid w:val="00CE470C"/>
    <w:rsid w:val="00CE4736"/>
    <w:rsid w:val="00CE498E"/>
    <w:rsid w:val="00CE4B4E"/>
    <w:rsid w:val="00CE4F69"/>
    <w:rsid w:val="00CE4F84"/>
    <w:rsid w:val="00CE5329"/>
    <w:rsid w:val="00CE5393"/>
    <w:rsid w:val="00CE54F1"/>
    <w:rsid w:val="00CE5513"/>
    <w:rsid w:val="00CE57BD"/>
    <w:rsid w:val="00CE59AA"/>
    <w:rsid w:val="00CE5A30"/>
    <w:rsid w:val="00CE5CDB"/>
    <w:rsid w:val="00CE5EE4"/>
    <w:rsid w:val="00CE6475"/>
    <w:rsid w:val="00CE6554"/>
    <w:rsid w:val="00CE660D"/>
    <w:rsid w:val="00CE663D"/>
    <w:rsid w:val="00CE68E1"/>
    <w:rsid w:val="00CE6912"/>
    <w:rsid w:val="00CE6AD1"/>
    <w:rsid w:val="00CE6BC3"/>
    <w:rsid w:val="00CE6F70"/>
    <w:rsid w:val="00CE6FFC"/>
    <w:rsid w:val="00CE7042"/>
    <w:rsid w:val="00CE71AF"/>
    <w:rsid w:val="00CE7200"/>
    <w:rsid w:val="00CE7434"/>
    <w:rsid w:val="00CE7589"/>
    <w:rsid w:val="00CE785C"/>
    <w:rsid w:val="00CE78DE"/>
    <w:rsid w:val="00CE7A54"/>
    <w:rsid w:val="00CE7B66"/>
    <w:rsid w:val="00CE7E6E"/>
    <w:rsid w:val="00CE7F8D"/>
    <w:rsid w:val="00CF0111"/>
    <w:rsid w:val="00CF044C"/>
    <w:rsid w:val="00CF0502"/>
    <w:rsid w:val="00CF0559"/>
    <w:rsid w:val="00CF06C3"/>
    <w:rsid w:val="00CF06CD"/>
    <w:rsid w:val="00CF0938"/>
    <w:rsid w:val="00CF0969"/>
    <w:rsid w:val="00CF09F5"/>
    <w:rsid w:val="00CF0AB4"/>
    <w:rsid w:val="00CF0ADE"/>
    <w:rsid w:val="00CF0B0B"/>
    <w:rsid w:val="00CF0CD7"/>
    <w:rsid w:val="00CF0D40"/>
    <w:rsid w:val="00CF0EC2"/>
    <w:rsid w:val="00CF0EC9"/>
    <w:rsid w:val="00CF0F40"/>
    <w:rsid w:val="00CF11B0"/>
    <w:rsid w:val="00CF1329"/>
    <w:rsid w:val="00CF1377"/>
    <w:rsid w:val="00CF154F"/>
    <w:rsid w:val="00CF158B"/>
    <w:rsid w:val="00CF16ED"/>
    <w:rsid w:val="00CF1809"/>
    <w:rsid w:val="00CF1A42"/>
    <w:rsid w:val="00CF1B9A"/>
    <w:rsid w:val="00CF1CF8"/>
    <w:rsid w:val="00CF1F9B"/>
    <w:rsid w:val="00CF1FA0"/>
    <w:rsid w:val="00CF233A"/>
    <w:rsid w:val="00CF2374"/>
    <w:rsid w:val="00CF2700"/>
    <w:rsid w:val="00CF27E2"/>
    <w:rsid w:val="00CF27EA"/>
    <w:rsid w:val="00CF2842"/>
    <w:rsid w:val="00CF28B3"/>
    <w:rsid w:val="00CF2915"/>
    <w:rsid w:val="00CF2952"/>
    <w:rsid w:val="00CF2A13"/>
    <w:rsid w:val="00CF2A47"/>
    <w:rsid w:val="00CF2BD1"/>
    <w:rsid w:val="00CF2D12"/>
    <w:rsid w:val="00CF2D83"/>
    <w:rsid w:val="00CF2DBF"/>
    <w:rsid w:val="00CF2FAA"/>
    <w:rsid w:val="00CF30EE"/>
    <w:rsid w:val="00CF311F"/>
    <w:rsid w:val="00CF314E"/>
    <w:rsid w:val="00CF322E"/>
    <w:rsid w:val="00CF334A"/>
    <w:rsid w:val="00CF34AF"/>
    <w:rsid w:val="00CF35DC"/>
    <w:rsid w:val="00CF3699"/>
    <w:rsid w:val="00CF37B1"/>
    <w:rsid w:val="00CF3B04"/>
    <w:rsid w:val="00CF3B51"/>
    <w:rsid w:val="00CF3E84"/>
    <w:rsid w:val="00CF3EFB"/>
    <w:rsid w:val="00CF4179"/>
    <w:rsid w:val="00CF42A3"/>
    <w:rsid w:val="00CF440B"/>
    <w:rsid w:val="00CF44F1"/>
    <w:rsid w:val="00CF4536"/>
    <w:rsid w:val="00CF4616"/>
    <w:rsid w:val="00CF464D"/>
    <w:rsid w:val="00CF4684"/>
    <w:rsid w:val="00CF48E6"/>
    <w:rsid w:val="00CF49A0"/>
    <w:rsid w:val="00CF49E6"/>
    <w:rsid w:val="00CF4CCE"/>
    <w:rsid w:val="00CF4DB6"/>
    <w:rsid w:val="00CF4EAC"/>
    <w:rsid w:val="00CF4EFC"/>
    <w:rsid w:val="00CF520F"/>
    <w:rsid w:val="00CF52B5"/>
    <w:rsid w:val="00CF53BC"/>
    <w:rsid w:val="00CF593A"/>
    <w:rsid w:val="00CF598A"/>
    <w:rsid w:val="00CF5BEF"/>
    <w:rsid w:val="00CF5BFA"/>
    <w:rsid w:val="00CF5C02"/>
    <w:rsid w:val="00CF5CB7"/>
    <w:rsid w:val="00CF5DE4"/>
    <w:rsid w:val="00CF5EBF"/>
    <w:rsid w:val="00CF5F60"/>
    <w:rsid w:val="00CF6341"/>
    <w:rsid w:val="00CF63D0"/>
    <w:rsid w:val="00CF6410"/>
    <w:rsid w:val="00CF659D"/>
    <w:rsid w:val="00CF679F"/>
    <w:rsid w:val="00CF6881"/>
    <w:rsid w:val="00CF68B6"/>
    <w:rsid w:val="00CF6900"/>
    <w:rsid w:val="00CF6980"/>
    <w:rsid w:val="00CF6BFB"/>
    <w:rsid w:val="00CF6C87"/>
    <w:rsid w:val="00CF6CF0"/>
    <w:rsid w:val="00CF6CF6"/>
    <w:rsid w:val="00CF7008"/>
    <w:rsid w:val="00CF705A"/>
    <w:rsid w:val="00CF70A1"/>
    <w:rsid w:val="00CF73C0"/>
    <w:rsid w:val="00CF75A2"/>
    <w:rsid w:val="00CF75F7"/>
    <w:rsid w:val="00CF7680"/>
    <w:rsid w:val="00CF78CD"/>
    <w:rsid w:val="00CF790B"/>
    <w:rsid w:val="00CF7938"/>
    <w:rsid w:val="00CF7BDD"/>
    <w:rsid w:val="00CF7C30"/>
    <w:rsid w:val="00CF7DB2"/>
    <w:rsid w:val="00CF7F3F"/>
    <w:rsid w:val="00D00115"/>
    <w:rsid w:val="00D0043D"/>
    <w:rsid w:val="00D00547"/>
    <w:rsid w:val="00D00632"/>
    <w:rsid w:val="00D007ED"/>
    <w:rsid w:val="00D00892"/>
    <w:rsid w:val="00D008F1"/>
    <w:rsid w:val="00D009A7"/>
    <w:rsid w:val="00D009B4"/>
    <w:rsid w:val="00D00A09"/>
    <w:rsid w:val="00D00A40"/>
    <w:rsid w:val="00D00CDD"/>
    <w:rsid w:val="00D00EC1"/>
    <w:rsid w:val="00D00ED2"/>
    <w:rsid w:val="00D00F28"/>
    <w:rsid w:val="00D00F39"/>
    <w:rsid w:val="00D01155"/>
    <w:rsid w:val="00D01186"/>
    <w:rsid w:val="00D012C9"/>
    <w:rsid w:val="00D0140E"/>
    <w:rsid w:val="00D01433"/>
    <w:rsid w:val="00D0149F"/>
    <w:rsid w:val="00D01797"/>
    <w:rsid w:val="00D017FA"/>
    <w:rsid w:val="00D019B1"/>
    <w:rsid w:val="00D01A27"/>
    <w:rsid w:val="00D01B43"/>
    <w:rsid w:val="00D01B89"/>
    <w:rsid w:val="00D01BA7"/>
    <w:rsid w:val="00D01BA9"/>
    <w:rsid w:val="00D01C9F"/>
    <w:rsid w:val="00D01FFA"/>
    <w:rsid w:val="00D0214F"/>
    <w:rsid w:val="00D021BB"/>
    <w:rsid w:val="00D02262"/>
    <w:rsid w:val="00D02277"/>
    <w:rsid w:val="00D02292"/>
    <w:rsid w:val="00D023FA"/>
    <w:rsid w:val="00D025AD"/>
    <w:rsid w:val="00D025DF"/>
    <w:rsid w:val="00D02673"/>
    <w:rsid w:val="00D02725"/>
    <w:rsid w:val="00D029D5"/>
    <w:rsid w:val="00D029EE"/>
    <w:rsid w:val="00D02B04"/>
    <w:rsid w:val="00D02BFF"/>
    <w:rsid w:val="00D02E63"/>
    <w:rsid w:val="00D02E87"/>
    <w:rsid w:val="00D03215"/>
    <w:rsid w:val="00D03470"/>
    <w:rsid w:val="00D0353A"/>
    <w:rsid w:val="00D035B5"/>
    <w:rsid w:val="00D0377D"/>
    <w:rsid w:val="00D038BB"/>
    <w:rsid w:val="00D03A69"/>
    <w:rsid w:val="00D03B8C"/>
    <w:rsid w:val="00D03EDD"/>
    <w:rsid w:val="00D03FE2"/>
    <w:rsid w:val="00D04054"/>
    <w:rsid w:val="00D04482"/>
    <w:rsid w:val="00D045FA"/>
    <w:rsid w:val="00D04639"/>
    <w:rsid w:val="00D04807"/>
    <w:rsid w:val="00D0493B"/>
    <w:rsid w:val="00D04959"/>
    <w:rsid w:val="00D049B9"/>
    <w:rsid w:val="00D04A4A"/>
    <w:rsid w:val="00D04AD0"/>
    <w:rsid w:val="00D04B4E"/>
    <w:rsid w:val="00D04B59"/>
    <w:rsid w:val="00D04C3B"/>
    <w:rsid w:val="00D04E10"/>
    <w:rsid w:val="00D04ED1"/>
    <w:rsid w:val="00D04EDE"/>
    <w:rsid w:val="00D0507C"/>
    <w:rsid w:val="00D05416"/>
    <w:rsid w:val="00D0541D"/>
    <w:rsid w:val="00D056FC"/>
    <w:rsid w:val="00D05831"/>
    <w:rsid w:val="00D058A4"/>
    <w:rsid w:val="00D0592A"/>
    <w:rsid w:val="00D05AC6"/>
    <w:rsid w:val="00D05C83"/>
    <w:rsid w:val="00D05DE9"/>
    <w:rsid w:val="00D05F31"/>
    <w:rsid w:val="00D06054"/>
    <w:rsid w:val="00D06189"/>
    <w:rsid w:val="00D0619F"/>
    <w:rsid w:val="00D061D8"/>
    <w:rsid w:val="00D0644E"/>
    <w:rsid w:val="00D064EB"/>
    <w:rsid w:val="00D066DD"/>
    <w:rsid w:val="00D06721"/>
    <w:rsid w:val="00D06A8F"/>
    <w:rsid w:val="00D06B0C"/>
    <w:rsid w:val="00D06E6C"/>
    <w:rsid w:val="00D06F2C"/>
    <w:rsid w:val="00D06F7B"/>
    <w:rsid w:val="00D07292"/>
    <w:rsid w:val="00D0729B"/>
    <w:rsid w:val="00D075E4"/>
    <w:rsid w:val="00D075E6"/>
    <w:rsid w:val="00D076CA"/>
    <w:rsid w:val="00D077FB"/>
    <w:rsid w:val="00D07831"/>
    <w:rsid w:val="00D07A52"/>
    <w:rsid w:val="00D07C54"/>
    <w:rsid w:val="00D07D1F"/>
    <w:rsid w:val="00D07D8C"/>
    <w:rsid w:val="00D07DDB"/>
    <w:rsid w:val="00D07F5C"/>
    <w:rsid w:val="00D07F7E"/>
    <w:rsid w:val="00D07FAD"/>
    <w:rsid w:val="00D07FB5"/>
    <w:rsid w:val="00D10152"/>
    <w:rsid w:val="00D1027E"/>
    <w:rsid w:val="00D10397"/>
    <w:rsid w:val="00D10950"/>
    <w:rsid w:val="00D10955"/>
    <w:rsid w:val="00D10C60"/>
    <w:rsid w:val="00D10DFB"/>
    <w:rsid w:val="00D10E69"/>
    <w:rsid w:val="00D10EF8"/>
    <w:rsid w:val="00D10F07"/>
    <w:rsid w:val="00D10F29"/>
    <w:rsid w:val="00D10FF6"/>
    <w:rsid w:val="00D1109D"/>
    <w:rsid w:val="00D11285"/>
    <w:rsid w:val="00D116F7"/>
    <w:rsid w:val="00D118BA"/>
    <w:rsid w:val="00D119A8"/>
    <w:rsid w:val="00D11DCC"/>
    <w:rsid w:val="00D11DCD"/>
    <w:rsid w:val="00D11E82"/>
    <w:rsid w:val="00D11FC2"/>
    <w:rsid w:val="00D123A1"/>
    <w:rsid w:val="00D12577"/>
    <w:rsid w:val="00D127FB"/>
    <w:rsid w:val="00D12806"/>
    <w:rsid w:val="00D12855"/>
    <w:rsid w:val="00D12C67"/>
    <w:rsid w:val="00D12C83"/>
    <w:rsid w:val="00D12CAD"/>
    <w:rsid w:val="00D12D00"/>
    <w:rsid w:val="00D12DB2"/>
    <w:rsid w:val="00D13421"/>
    <w:rsid w:val="00D1358B"/>
    <w:rsid w:val="00D137C2"/>
    <w:rsid w:val="00D13AE7"/>
    <w:rsid w:val="00D140B7"/>
    <w:rsid w:val="00D142CE"/>
    <w:rsid w:val="00D14350"/>
    <w:rsid w:val="00D14578"/>
    <w:rsid w:val="00D14696"/>
    <w:rsid w:val="00D14735"/>
    <w:rsid w:val="00D14788"/>
    <w:rsid w:val="00D1487D"/>
    <w:rsid w:val="00D14946"/>
    <w:rsid w:val="00D14A56"/>
    <w:rsid w:val="00D14ECB"/>
    <w:rsid w:val="00D14EE0"/>
    <w:rsid w:val="00D151E8"/>
    <w:rsid w:val="00D15478"/>
    <w:rsid w:val="00D15752"/>
    <w:rsid w:val="00D15753"/>
    <w:rsid w:val="00D1579A"/>
    <w:rsid w:val="00D158B0"/>
    <w:rsid w:val="00D15BF0"/>
    <w:rsid w:val="00D15D81"/>
    <w:rsid w:val="00D15D83"/>
    <w:rsid w:val="00D15F03"/>
    <w:rsid w:val="00D16045"/>
    <w:rsid w:val="00D16096"/>
    <w:rsid w:val="00D16143"/>
    <w:rsid w:val="00D16220"/>
    <w:rsid w:val="00D1638A"/>
    <w:rsid w:val="00D164A9"/>
    <w:rsid w:val="00D165A5"/>
    <w:rsid w:val="00D165F6"/>
    <w:rsid w:val="00D1663F"/>
    <w:rsid w:val="00D168DD"/>
    <w:rsid w:val="00D16989"/>
    <w:rsid w:val="00D16B9B"/>
    <w:rsid w:val="00D16D38"/>
    <w:rsid w:val="00D16E08"/>
    <w:rsid w:val="00D16F18"/>
    <w:rsid w:val="00D17231"/>
    <w:rsid w:val="00D17543"/>
    <w:rsid w:val="00D1760E"/>
    <w:rsid w:val="00D1764C"/>
    <w:rsid w:val="00D1767C"/>
    <w:rsid w:val="00D17790"/>
    <w:rsid w:val="00D1783F"/>
    <w:rsid w:val="00D1785C"/>
    <w:rsid w:val="00D17A7D"/>
    <w:rsid w:val="00D17CC4"/>
    <w:rsid w:val="00D17E0B"/>
    <w:rsid w:val="00D17F08"/>
    <w:rsid w:val="00D17FC7"/>
    <w:rsid w:val="00D200B7"/>
    <w:rsid w:val="00D20131"/>
    <w:rsid w:val="00D2020C"/>
    <w:rsid w:val="00D20213"/>
    <w:rsid w:val="00D2028F"/>
    <w:rsid w:val="00D2054B"/>
    <w:rsid w:val="00D2068D"/>
    <w:rsid w:val="00D207A7"/>
    <w:rsid w:val="00D209A0"/>
    <w:rsid w:val="00D20AC9"/>
    <w:rsid w:val="00D20B2B"/>
    <w:rsid w:val="00D20B5D"/>
    <w:rsid w:val="00D20B95"/>
    <w:rsid w:val="00D20CCD"/>
    <w:rsid w:val="00D20D22"/>
    <w:rsid w:val="00D21139"/>
    <w:rsid w:val="00D211EC"/>
    <w:rsid w:val="00D21272"/>
    <w:rsid w:val="00D212B2"/>
    <w:rsid w:val="00D213ED"/>
    <w:rsid w:val="00D21436"/>
    <w:rsid w:val="00D21471"/>
    <w:rsid w:val="00D214B0"/>
    <w:rsid w:val="00D2191E"/>
    <w:rsid w:val="00D219D8"/>
    <w:rsid w:val="00D21A35"/>
    <w:rsid w:val="00D21D91"/>
    <w:rsid w:val="00D21E2C"/>
    <w:rsid w:val="00D22072"/>
    <w:rsid w:val="00D22105"/>
    <w:rsid w:val="00D221AE"/>
    <w:rsid w:val="00D221D9"/>
    <w:rsid w:val="00D22288"/>
    <w:rsid w:val="00D223EC"/>
    <w:rsid w:val="00D223FF"/>
    <w:rsid w:val="00D22505"/>
    <w:rsid w:val="00D2257B"/>
    <w:rsid w:val="00D2288D"/>
    <w:rsid w:val="00D229F0"/>
    <w:rsid w:val="00D22B47"/>
    <w:rsid w:val="00D22B80"/>
    <w:rsid w:val="00D22CCA"/>
    <w:rsid w:val="00D22ED5"/>
    <w:rsid w:val="00D22F3F"/>
    <w:rsid w:val="00D2306D"/>
    <w:rsid w:val="00D2310F"/>
    <w:rsid w:val="00D23424"/>
    <w:rsid w:val="00D234F5"/>
    <w:rsid w:val="00D2357D"/>
    <w:rsid w:val="00D23610"/>
    <w:rsid w:val="00D23935"/>
    <w:rsid w:val="00D23ACE"/>
    <w:rsid w:val="00D23C20"/>
    <w:rsid w:val="00D23C80"/>
    <w:rsid w:val="00D23CC4"/>
    <w:rsid w:val="00D23D4A"/>
    <w:rsid w:val="00D23D50"/>
    <w:rsid w:val="00D23DC7"/>
    <w:rsid w:val="00D23E83"/>
    <w:rsid w:val="00D23ECC"/>
    <w:rsid w:val="00D23FBA"/>
    <w:rsid w:val="00D23FD7"/>
    <w:rsid w:val="00D24031"/>
    <w:rsid w:val="00D2418B"/>
    <w:rsid w:val="00D241C2"/>
    <w:rsid w:val="00D2421F"/>
    <w:rsid w:val="00D243B5"/>
    <w:rsid w:val="00D2441E"/>
    <w:rsid w:val="00D245D8"/>
    <w:rsid w:val="00D247E6"/>
    <w:rsid w:val="00D2485C"/>
    <w:rsid w:val="00D24CC8"/>
    <w:rsid w:val="00D2517D"/>
    <w:rsid w:val="00D251EE"/>
    <w:rsid w:val="00D252D4"/>
    <w:rsid w:val="00D25726"/>
    <w:rsid w:val="00D25AB2"/>
    <w:rsid w:val="00D25B83"/>
    <w:rsid w:val="00D25BFE"/>
    <w:rsid w:val="00D25C4B"/>
    <w:rsid w:val="00D25CF8"/>
    <w:rsid w:val="00D25FEC"/>
    <w:rsid w:val="00D261AC"/>
    <w:rsid w:val="00D262D3"/>
    <w:rsid w:val="00D2636D"/>
    <w:rsid w:val="00D263BF"/>
    <w:rsid w:val="00D2643F"/>
    <w:rsid w:val="00D26585"/>
    <w:rsid w:val="00D266C4"/>
    <w:rsid w:val="00D26752"/>
    <w:rsid w:val="00D267FD"/>
    <w:rsid w:val="00D26A3F"/>
    <w:rsid w:val="00D26C81"/>
    <w:rsid w:val="00D26FDC"/>
    <w:rsid w:val="00D270C5"/>
    <w:rsid w:val="00D27139"/>
    <w:rsid w:val="00D271EA"/>
    <w:rsid w:val="00D27263"/>
    <w:rsid w:val="00D27541"/>
    <w:rsid w:val="00D27694"/>
    <w:rsid w:val="00D27763"/>
    <w:rsid w:val="00D277DD"/>
    <w:rsid w:val="00D27BB4"/>
    <w:rsid w:val="00D27E04"/>
    <w:rsid w:val="00D27E6D"/>
    <w:rsid w:val="00D27EC8"/>
    <w:rsid w:val="00D27F24"/>
    <w:rsid w:val="00D3026B"/>
    <w:rsid w:val="00D3037B"/>
    <w:rsid w:val="00D303B7"/>
    <w:rsid w:val="00D303C5"/>
    <w:rsid w:val="00D30493"/>
    <w:rsid w:val="00D304AD"/>
    <w:rsid w:val="00D3050C"/>
    <w:rsid w:val="00D308D5"/>
    <w:rsid w:val="00D30A06"/>
    <w:rsid w:val="00D30ED6"/>
    <w:rsid w:val="00D31120"/>
    <w:rsid w:val="00D3120A"/>
    <w:rsid w:val="00D315E5"/>
    <w:rsid w:val="00D31736"/>
    <w:rsid w:val="00D317C7"/>
    <w:rsid w:val="00D31B48"/>
    <w:rsid w:val="00D31F15"/>
    <w:rsid w:val="00D31F39"/>
    <w:rsid w:val="00D320FC"/>
    <w:rsid w:val="00D3240C"/>
    <w:rsid w:val="00D324C6"/>
    <w:rsid w:val="00D326BC"/>
    <w:rsid w:val="00D326CE"/>
    <w:rsid w:val="00D326D6"/>
    <w:rsid w:val="00D3284C"/>
    <w:rsid w:val="00D329BB"/>
    <w:rsid w:val="00D32B0C"/>
    <w:rsid w:val="00D32B48"/>
    <w:rsid w:val="00D32BC4"/>
    <w:rsid w:val="00D32C6B"/>
    <w:rsid w:val="00D32DE5"/>
    <w:rsid w:val="00D32F26"/>
    <w:rsid w:val="00D33023"/>
    <w:rsid w:val="00D33044"/>
    <w:rsid w:val="00D3310B"/>
    <w:rsid w:val="00D3312C"/>
    <w:rsid w:val="00D33334"/>
    <w:rsid w:val="00D33412"/>
    <w:rsid w:val="00D336BE"/>
    <w:rsid w:val="00D336DE"/>
    <w:rsid w:val="00D337CF"/>
    <w:rsid w:val="00D338C2"/>
    <w:rsid w:val="00D338F9"/>
    <w:rsid w:val="00D3395F"/>
    <w:rsid w:val="00D33AC8"/>
    <w:rsid w:val="00D33AE5"/>
    <w:rsid w:val="00D33C57"/>
    <w:rsid w:val="00D33C7A"/>
    <w:rsid w:val="00D33E02"/>
    <w:rsid w:val="00D33E53"/>
    <w:rsid w:val="00D3411F"/>
    <w:rsid w:val="00D341E5"/>
    <w:rsid w:val="00D343B5"/>
    <w:rsid w:val="00D34597"/>
    <w:rsid w:val="00D34765"/>
    <w:rsid w:val="00D347C9"/>
    <w:rsid w:val="00D348D2"/>
    <w:rsid w:val="00D348D6"/>
    <w:rsid w:val="00D349B1"/>
    <w:rsid w:val="00D34B0F"/>
    <w:rsid w:val="00D34BA3"/>
    <w:rsid w:val="00D34CB2"/>
    <w:rsid w:val="00D34DD6"/>
    <w:rsid w:val="00D34E67"/>
    <w:rsid w:val="00D34F4A"/>
    <w:rsid w:val="00D34FF0"/>
    <w:rsid w:val="00D350B4"/>
    <w:rsid w:val="00D3510A"/>
    <w:rsid w:val="00D35535"/>
    <w:rsid w:val="00D3562A"/>
    <w:rsid w:val="00D356C7"/>
    <w:rsid w:val="00D357AB"/>
    <w:rsid w:val="00D3588C"/>
    <w:rsid w:val="00D3588F"/>
    <w:rsid w:val="00D35906"/>
    <w:rsid w:val="00D35B7E"/>
    <w:rsid w:val="00D35C4B"/>
    <w:rsid w:val="00D35CFA"/>
    <w:rsid w:val="00D35FF5"/>
    <w:rsid w:val="00D36094"/>
    <w:rsid w:val="00D3637B"/>
    <w:rsid w:val="00D3642D"/>
    <w:rsid w:val="00D3651B"/>
    <w:rsid w:val="00D369FF"/>
    <w:rsid w:val="00D36DE6"/>
    <w:rsid w:val="00D37213"/>
    <w:rsid w:val="00D3728F"/>
    <w:rsid w:val="00D37360"/>
    <w:rsid w:val="00D3738A"/>
    <w:rsid w:val="00D373F5"/>
    <w:rsid w:val="00D375EE"/>
    <w:rsid w:val="00D37682"/>
    <w:rsid w:val="00D37776"/>
    <w:rsid w:val="00D37847"/>
    <w:rsid w:val="00D37855"/>
    <w:rsid w:val="00D378AE"/>
    <w:rsid w:val="00D37905"/>
    <w:rsid w:val="00D37BE3"/>
    <w:rsid w:val="00D37CD2"/>
    <w:rsid w:val="00D37CE6"/>
    <w:rsid w:val="00D37DA7"/>
    <w:rsid w:val="00D37DBE"/>
    <w:rsid w:val="00D37F24"/>
    <w:rsid w:val="00D4008B"/>
    <w:rsid w:val="00D4032B"/>
    <w:rsid w:val="00D40570"/>
    <w:rsid w:val="00D40600"/>
    <w:rsid w:val="00D4070A"/>
    <w:rsid w:val="00D40759"/>
    <w:rsid w:val="00D4084E"/>
    <w:rsid w:val="00D40869"/>
    <w:rsid w:val="00D408AB"/>
    <w:rsid w:val="00D40939"/>
    <w:rsid w:val="00D40993"/>
    <w:rsid w:val="00D409EB"/>
    <w:rsid w:val="00D40A4A"/>
    <w:rsid w:val="00D40AD6"/>
    <w:rsid w:val="00D40B7C"/>
    <w:rsid w:val="00D40BB4"/>
    <w:rsid w:val="00D40D4C"/>
    <w:rsid w:val="00D40F01"/>
    <w:rsid w:val="00D40F22"/>
    <w:rsid w:val="00D41032"/>
    <w:rsid w:val="00D41272"/>
    <w:rsid w:val="00D415F7"/>
    <w:rsid w:val="00D418CE"/>
    <w:rsid w:val="00D41984"/>
    <w:rsid w:val="00D420BA"/>
    <w:rsid w:val="00D420BE"/>
    <w:rsid w:val="00D42288"/>
    <w:rsid w:val="00D4229E"/>
    <w:rsid w:val="00D423A0"/>
    <w:rsid w:val="00D42500"/>
    <w:rsid w:val="00D42AED"/>
    <w:rsid w:val="00D42C92"/>
    <w:rsid w:val="00D42D8F"/>
    <w:rsid w:val="00D42F1F"/>
    <w:rsid w:val="00D42F96"/>
    <w:rsid w:val="00D4307F"/>
    <w:rsid w:val="00D430FA"/>
    <w:rsid w:val="00D43442"/>
    <w:rsid w:val="00D4346D"/>
    <w:rsid w:val="00D434A6"/>
    <w:rsid w:val="00D43509"/>
    <w:rsid w:val="00D436E8"/>
    <w:rsid w:val="00D4382C"/>
    <w:rsid w:val="00D43940"/>
    <w:rsid w:val="00D43A80"/>
    <w:rsid w:val="00D43B3C"/>
    <w:rsid w:val="00D43C4A"/>
    <w:rsid w:val="00D43C72"/>
    <w:rsid w:val="00D43C87"/>
    <w:rsid w:val="00D43CA8"/>
    <w:rsid w:val="00D43D2B"/>
    <w:rsid w:val="00D43E47"/>
    <w:rsid w:val="00D43EF2"/>
    <w:rsid w:val="00D43F0D"/>
    <w:rsid w:val="00D440D1"/>
    <w:rsid w:val="00D443BA"/>
    <w:rsid w:val="00D44495"/>
    <w:rsid w:val="00D444DA"/>
    <w:rsid w:val="00D448D7"/>
    <w:rsid w:val="00D4493F"/>
    <w:rsid w:val="00D44951"/>
    <w:rsid w:val="00D44A1E"/>
    <w:rsid w:val="00D44AF1"/>
    <w:rsid w:val="00D44B92"/>
    <w:rsid w:val="00D44CC3"/>
    <w:rsid w:val="00D44DF6"/>
    <w:rsid w:val="00D44F32"/>
    <w:rsid w:val="00D454A1"/>
    <w:rsid w:val="00D459C4"/>
    <w:rsid w:val="00D45CD9"/>
    <w:rsid w:val="00D45E14"/>
    <w:rsid w:val="00D45ED4"/>
    <w:rsid w:val="00D45F90"/>
    <w:rsid w:val="00D46032"/>
    <w:rsid w:val="00D4621A"/>
    <w:rsid w:val="00D4622D"/>
    <w:rsid w:val="00D46557"/>
    <w:rsid w:val="00D46651"/>
    <w:rsid w:val="00D466AE"/>
    <w:rsid w:val="00D4682F"/>
    <w:rsid w:val="00D46940"/>
    <w:rsid w:val="00D46A6F"/>
    <w:rsid w:val="00D46AED"/>
    <w:rsid w:val="00D46B3A"/>
    <w:rsid w:val="00D46C22"/>
    <w:rsid w:val="00D46C2B"/>
    <w:rsid w:val="00D46CBF"/>
    <w:rsid w:val="00D46CE5"/>
    <w:rsid w:val="00D46D1F"/>
    <w:rsid w:val="00D46D53"/>
    <w:rsid w:val="00D46D6E"/>
    <w:rsid w:val="00D46E44"/>
    <w:rsid w:val="00D46E58"/>
    <w:rsid w:val="00D46E75"/>
    <w:rsid w:val="00D470C4"/>
    <w:rsid w:val="00D471F3"/>
    <w:rsid w:val="00D473FD"/>
    <w:rsid w:val="00D4740B"/>
    <w:rsid w:val="00D47501"/>
    <w:rsid w:val="00D475EE"/>
    <w:rsid w:val="00D47630"/>
    <w:rsid w:val="00D4787E"/>
    <w:rsid w:val="00D479A8"/>
    <w:rsid w:val="00D47BBB"/>
    <w:rsid w:val="00D47CCF"/>
    <w:rsid w:val="00D47CE4"/>
    <w:rsid w:val="00D47D6B"/>
    <w:rsid w:val="00D47EA7"/>
    <w:rsid w:val="00D47F7B"/>
    <w:rsid w:val="00D47F80"/>
    <w:rsid w:val="00D47F92"/>
    <w:rsid w:val="00D47FC2"/>
    <w:rsid w:val="00D502CD"/>
    <w:rsid w:val="00D5043C"/>
    <w:rsid w:val="00D50505"/>
    <w:rsid w:val="00D506FA"/>
    <w:rsid w:val="00D508D5"/>
    <w:rsid w:val="00D5090D"/>
    <w:rsid w:val="00D5093A"/>
    <w:rsid w:val="00D50993"/>
    <w:rsid w:val="00D50B10"/>
    <w:rsid w:val="00D50B4B"/>
    <w:rsid w:val="00D50BB6"/>
    <w:rsid w:val="00D50BD9"/>
    <w:rsid w:val="00D50BF3"/>
    <w:rsid w:val="00D50E20"/>
    <w:rsid w:val="00D510C4"/>
    <w:rsid w:val="00D51180"/>
    <w:rsid w:val="00D5125B"/>
    <w:rsid w:val="00D512EF"/>
    <w:rsid w:val="00D5140E"/>
    <w:rsid w:val="00D517D2"/>
    <w:rsid w:val="00D519CE"/>
    <w:rsid w:val="00D51A25"/>
    <w:rsid w:val="00D51BB2"/>
    <w:rsid w:val="00D51CB5"/>
    <w:rsid w:val="00D521B4"/>
    <w:rsid w:val="00D521D1"/>
    <w:rsid w:val="00D5224F"/>
    <w:rsid w:val="00D5226B"/>
    <w:rsid w:val="00D52647"/>
    <w:rsid w:val="00D526D6"/>
    <w:rsid w:val="00D526D8"/>
    <w:rsid w:val="00D526DF"/>
    <w:rsid w:val="00D5273D"/>
    <w:rsid w:val="00D52811"/>
    <w:rsid w:val="00D528F6"/>
    <w:rsid w:val="00D52983"/>
    <w:rsid w:val="00D52A94"/>
    <w:rsid w:val="00D52BB9"/>
    <w:rsid w:val="00D52BBD"/>
    <w:rsid w:val="00D52C22"/>
    <w:rsid w:val="00D52E37"/>
    <w:rsid w:val="00D52E90"/>
    <w:rsid w:val="00D52EEE"/>
    <w:rsid w:val="00D52F34"/>
    <w:rsid w:val="00D53306"/>
    <w:rsid w:val="00D53435"/>
    <w:rsid w:val="00D53585"/>
    <w:rsid w:val="00D53663"/>
    <w:rsid w:val="00D53C67"/>
    <w:rsid w:val="00D53D91"/>
    <w:rsid w:val="00D53E6D"/>
    <w:rsid w:val="00D53FAE"/>
    <w:rsid w:val="00D54039"/>
    <w:rsid w:val="00D54096"/>
    <w:rsid w:val="00D54384"/>
    <w:rsid w:val="00D54520"/>
    <w:rsid w:val="00D54524"/>
    <w:rsid w:val="00D5468F"/>
    <w:rsid w:val="00D54776"/>
    <w:rsid w:val="00D54941"/>
    <w:rsid w:val="00D54986"/>
    <w:rsid w:val="00D54A2B"/>
    <w:rsid w:val="00D54D46"/>
    <w:rsid w:val="00D54E58"/>
    <w:rsid w:val="00D54F92"/>
    <w:rsid w:val="00D55179"/>
    <w:rsid w:val="00D559F0"/>
    <w:rsid w:val="00D55A02"/>
    <w:rsid w:val="00D55A6B"/>
    <w:rsid w:val="00D55AD4"/>
    <w:rsid w:val="00D55C50"/>
    <w:rsid w:val="00D55C5C"/>
    <w:rsid w:val="00D55CD0"/>
    <w:rsid w:val="00D55E09"/>
    <w:rsid w:val="00D55EBC"/>
    <w:rsid w:val="00D55F8F"/>
    <w:rsid w:val="00D560AD"/>
    <w:rsid w:val="00D56205"/>
    <w:rsid w:val="00D5641D"/>
    <w:rsid w:val="00D56428"/>
    <w:rsid w:val="00D566BA"/>
    <w:rsid w:val="00D56750"/>
    <w:rsid w:val="00D569C4"/>
    <w:rsid w:val="00D56A9B"/>
    <w:rsid w:val="00D56BD2"/>
    <w:rsid w:val="00D56C89"/>
    <w:rsid w:val="00D56D5A"/>
    <w:rsid w:val="00D56D61"/>
    <w:rsid w:val="00D56EA4"/>
    <w:rsid w:val="00D57179"/>
    <w:rsid w:val="00D5719E"/>
    <w:rsid w:val="00D57262"/>
    <w:rsid w:val="00D5734B"/>
    <w:rsid w:val="00D5734D"/>
    <w:rsid w:val="00D57396"/>
    <w:rsid w:val="00D57427"/>
    <w:rsid w:val="00D5750A"/>
    <w:rsid w:val="00D5755A"/>
    <w:rsid w:val="00D57619"/>
    <w:rsid w:val="00D57683"/>
    <w:rsid w:val="00D57782"/>
    <w:rsid w:val="00D577CD"/>
    <w:rsid w:val="00D577D8"/>
    <w:rsid w:val="00D577E9"/>
    <w:rsid w:val="00D57905"/>
    <w:rsid w:val="00D5798C"/>
    <w:rsid w:val="00D57AC2"/>
    <w:rsid w:val="00D57BEA"/>
    <w:rsid w:val="00D57C9E"/>
    <w:rsid w:val="00D57E02"/>
    <w:rsid w:val="00D60020"/>
    <w:rsid w:val="00D60266"/>
    <w:rsid w:val="00D602D1"/>
    <w:rsid w:val="00D6051A"/>
    <w:rsid w:val="00D6055F"/>
    <w:rsid w:val="00D608C1"/>
    <w:rsid w:val="00D608E9"/>
    <w:rsid w:val="00D6097C"/>
    <w:rsid w:val="00D60B3D"/>
    <w:rsid w:val="00D60CA7"/>
    <w:rsid w:val="00D60E3C"/>
    <w:rsid w:val="00D60ED4"/>
    <w:rsid w:val="00D61442"/>
    <w:rsid w:val="00D614C1"/>
    <w:rsid w:val="00D616F7"/>
    <w:rsid w:val="00D61805"/>
    <w:rsid w:val="00D619E9"/>
    <w:rsid w:val="00D61B89"/>
    <w:rsid w:val="00D61C96"/>
    <w:rsid w:val="00D61CE8"/>
    <w:rsid w:val="00D61D2B"/>
    <w:rsid w:val="00D61D2F"/>
    <w:rsid w:val="00D61DE9"/>
    <w:rsid w:val="00D61F0C"/>
    <w:rsid w:val="00D62003"/>
    <w:rsid w:val="00D62188"/>
    <w:rsid w:val="00D623D6"/>
    <w:rsid w:val="00D624D2"/>
    <w:rsid w:val="00D626CC"/>
    <w:rsid w:val="00D62800"/>
    <w:rsid w:val="00D62899"/>
    <w:rsid w:val="00D628B1"/>
    <w:rsid w:val="00D6298F"/>
    <w:rsid w:val="00D629B4"/>
    <w:rsid w:val="00D62A15"/>
    <w:rsid w:val="00D62A41"/>
    <w:rsid w:val="00D62B4D"/>
    <w:rsid w:val="00D62BA3"/>
    <w:rsid w:val="00D62F4D"/>
    <w:rsid w:val="00D62F99"/>
    <w:rsid w:val="00D630FD"/>
    <w:rsid w:val="00D63199"/>
    <w:rsid w:val="00D63270"/>
    <w:rsid w:val="00D63385"/>
    <w:rsid w:val="00D634EF"/>
    <w:rsid w:val="00D63670"/>
    <w:rsid w:val="00D63BCC"/>
    <w:rsid w:val="00D63CE4"/>
    <w:rsid w:val="00D643A8"/>
    <w:rsid w:val="00D64441"/>
    <w:rsid w:val="00D644BE"/>
    <w:rsid w:val="00D645E3"/>
    <w:rsid w:val="00D6467F"/>
    <w:rsid w:val="00D646ED"/>
    <w:rsid w:val="00D64774"/>
    <w:rsid w:val="00D648C5"/>
    <w:rsid w:val="00D64C42"/>
    <w:rsid w:val="00D65182"/>
    <w:rsid w:val="00D6529F"/>
    <w:rsid w:val="00D652B3"/>
    <w:rsid w:val="00D652C0"/>
    <w:rsid w:val="00D654B8"/>
    <w:rsid w:val="00D65793"/>
    <w:rsid w:val="00D65A9A"/>
    <w:rsid w:val="00D65BEB"/>
    <w:rsid w:val="00D65C8E"/>
    <w:rsid w:val="00D65D0A"/>
    <w:rsid w:val="00D65ED9"/>
    <w:rsid w:val="00D66231"/>
    <w:rsid w:val="00D66545"/>
    <w:rsid w:val="00D667B0"/>
    <w:rsid w:val="00D66CAB"/>
    <w:rsid w:val="00D66D96"/>
    <w:rsid w:val="00D66DDD"/>
    <w:rsid w:val="00D66EE6"/>
    <w:rsid w:val="00D6704F"/>
    <w:rsid w:val="00D672F5"/>
    <w:rsid w:val="00D674AB"/>
    <w:rsid w:val="00D67573"/>
    <w:rsid w:val="00D675F5"/>
    <w:rsid w:val="00D6770A"/>
    <w:rsid w:val="00D67B78"/>
    <w:rsid w:val="00D67B91"/>
    <w:rsid w:val="00D67BA7"/>
    <w:rsid w:val="00D67D66"/>
    <w:rsid w:val="00D67E2F"/>
    <w:rsid w:val="00D67FE8"/>
    <w:rsid w:val="00D70024"/>
    <w:rsid w:val="00D7029C"/>
    <w:rsid w:val="00D702F1"/>
    <w:rsid w:val="00D705D6"/>
    <w:rsid w:val="00D7069C"/>
    <w:rsid w:val="00D70957"/>
    <w:rsid w:val="00D709B2"/>
    <w:rsid w:val="00D70B50"/>
    <w:rsid w:val="00D70F76"/>
    <w:rsid w:val="00D70F98"/>
    <w:rsid w:val="00D70FBA"/>
    <w:rsid w:val="00D71180"/>
    <w:rsid w:val="00D713F9"/>
    <w:rsid w:val="00D713FC"/>
    <w:rsid w:val="00D71731"/>
    <w:rsid w:val="00D71B31"/>
    <w:rsid w:val="00D71B3B"/>
    <w:rsid w:val="00D71DC6"/>
    <w:rsid w:val="00D71E73"/>
    <w:rsid w:val="00D71FFB"/>
    <w:rsid w:val="00D720B2"/>
    <w:rsid w:val="00D7233E"/>
    <w:rsid w:val="00D7239D"/>
    <w:rsid w:val="00D723A0"/>
    <w:rsid w:val="00D724FD"/>
    <w:rsid w:val="00D72A38"/>
    <w:rsid w:val="00D72A5A"/>
    <w:rsid w:val="00D72AAB"/>
    <w:rsid w:val="00D72D05"/>
    <w:rsid w:val="00D732FC"/>
    <w:rsid w:val="00D7334D"/>
    <w:rsid w:val="00D73405"/>
    <w:rsid w:val="00D734EC"/>
    <w:rsid w:val="00D73802"/>
    <w:rsid w:val="00D738DB"/>
    <w:rsid w:val="00D73A1D"/>
    <w:rsid w:val="00D73AF9"/>
    <w:rsid w:val="00D73C05"/>
    <w:rsid w:val="00D73D06"/>
    <w:rsid w:val="00D73F8A"/>
    <w:rsid w:val="00D73FF0"/>
    <w:rsid w:val="00D741B2"/>
    <w:rsid w:val="00D7459C"/>
    <w:rsid w:val="00D745A2"/>
    <w:rsid w:val="00D74607"/>
    <w:rsid w:val="00D747CF"/>
    <w:rsid w:val="00D74882"/>
    <w:rsid w:val="00D7499D"/>
    <w:rsid w:val="00D749B3"/>
    <w:rsid w:val="00D74A71"/>
    <w:rsid w:val="00D74A94"/>
    <w:rsid w:val="00D74D64"/>
    <w:rsid w:val="00D74DE0"/>
    <w:rsid w:val="00D7516A"/>
    <w:rsid w:val="00D751B3"/>
    <w:rsid w:val="00D751B5"/>
    <w:rsid w:val="00D75264"/>
    <w:rsid w:val="00D757E7"/>
    <w:rsid w:val="00D7582A"/>
    <w:rsid w:val="00D75866"/>
    <w:rsid w:val="00D758A2"/>
    <w:rsid w:val="00D7597D"/>
    <w:rsid w:val="00D759D6"/>
    <w:rsid w:val="00D75B8D"/>
    <w:rsid w:val="00D75B8E"/>
    <w:rsid w:val="00D75BAA"/>
    <w:rsid w:val="00D75BB9"/>
    <w:rsid w:val="00D75D8B"/>
    <w:rsid w:val="00D76174"/>
    <w:rsid w:val="00D761C1"/>
    <w:rsid w:val="00D7623A"/>
    <w:rsid w:val="00D76508"/>
    <w:rsid w:val="00D7657A"/>
    <w:rsid w:val="00D76612"/>
    <w:rsid w:val="00D767AB"/>
    <w:rsid w:val="00D76969"/>
    <w:rsid w:val="00D76B07"/>
    <w:rsid w:val="00D76D40"/>
    <w:rsid w:val="00D77031"/>
    <w:rsid w:val="00D770B0"/>
    <w:rsid w:val="00D770F8"/>
    <w:rsid w:val="00D7710A"/>
    <w:rsid w:val="00D77304"/>
    <w:rsid w:val="00D774A4"/>
    <w:rsid w:val="00D77510"/>
    <w:rsid w:val="00D77734"/>
    <w:rsid w:val="00D7778E"/>
    <w:rsid w:val="00D7788C"/>
    <w:rsid w:val="00D779BC"/>
    <w:rsid w:val="00D779C6"/>
    <w:rsid w:val="00D77E91"/>
    <w:rsid w:val="00D77F34"/>
    <w:rsid w:val="00D77F8C"/>
    <w:rsid w:val="00D8036A"/>
    <w:rsid w:val="00D8041E"/>
    <w:rsid w:val="00D80448"/>
    <w:rsid w:val="00D8044F"/>
    <w:rsid w:val="00D8048C"/>
    <w:rsid w:val="00D80778"/>
    <w:rsid w:val="00D8096B"/>
    <w:rsid w:val="00D80AE4"/>
    <w:rsid w:val="00D80B3F"/>
    <w:rsid w:val="00D80BAB"/>
    <w:rsid w:val="00D80BEF"/>
    <w:rsid w:val="00D80CA8"/>
    <w:rsid w:val="00D80CB8"/>
    <w:rsid w:val="00D80D79"/>
    <w:rsid w:val="00D80DBC"/>
    <w:rsid w:val="00D80F83"/>
    <w:rsid w:val="00D80FE6"/>
    <w:rsid w:val="00D810F7"/>
    <w:rsid w:val="00D81102"/>
    <w:rsid w:val="00D81156"/>
    <w:rsid w:val="00D811E7"/>
    <w:rsid w:val="00D8125D"/>
    <w:rsid w:val="00D814ED"/>
    <w:rsid w:val="00D81508"/>
    <w:rsid w:val="00D8198A"/>
    <w:rsid w:val="00D819B5"/>
    <w:rsid w:val="00D81A7B"/>
    <w:rsid w:val="00D81DB6"/>
    <w:rsid w:val="00D81ED7"/>
    <w:rsid w:val="00D820C0"/>
    <w:rsid w:val="00D821BF"/>
    <w:rsid w:val="00D82292"/>
    <w:rsid w:val="00D824C1"/>
    <w:rsid w:val="00D824C5"/>
    <w:rsid w:val="00D825E4"/>
    <w:rsid w:val="00D826A1"/>
    <w:rsid w:val="00D82865"/>
    <w:rsid w:val="00D82967"/>
    <w:rsid w:val="00D82B73"/>
    <w:rsid w:val="00D82C59"/>
    <w:rsid w:val="00D82C5A"/>
    <w:rsid w:val="00D8324E"/>
    <w:rsid w:val="00D832A7"/>
    <w:rsid w:val="00D83490"/>
    <w:rsid w:val="00D836A4"/>
    <w:rsid w:val="00D836AE"/>
    <w:rsid w:val="00D83798"/>
    <w:rsid w:val="00D837AD"/>
    <w:rsid w:val="00D838BF"/>
    <w:rsid w:val="00D83A27"/>
    <w:rsid w:val="00D83CE7"/>
    <w:rsid w:val="00D83DA3"/>
    <w:rsid w:val="00D84189"/>
    <w:rsid w:val="00D84335"/>
    <w:rsid w:val="00D846CF"/>
    <w:rsid w:val="00D84837"/>
    <w:rsid w:val="00D8484E"/>
    <w:rsid w:val="00D84947"/>
    <w:rsid w:val="00D84965"/>
    <w:rsid w:val="00D849A5"/>
    <w:rsid w:val="00D849F3"/>
    <w:rsid w:val="00D84AF3"/>
    <w:rsid w:val="00D84B34"/>
    <w:rsid w:val="00D84DA1"/>
    <w:rsid w:val="00D84DEC"/>
    <w:rsid w:val="00D84F54"/>
    <w:rsid w:val="00D85282"/>
    <w:rsid w:val="00D8540A"/>
    <w:rsid w:val="00D85491"/>
    <w:rsid w:val="00D856E6"/>
    <w:rsid w:val="00D8577A"/>
    <w:rsid w:val="00D85813"/>
    <w:rsid w:val="00D8591D"/>
    <w:rsid w:val="00D85CCA"/>
    <w:rsid w:val="00D85DB0"/>
    <w:rsid w:val="00D85EC2"/>
    <w:rsid w:val="00D85ED0"/>
    <w:rsid w:val="00D8603B"/>
    <w:rsid w:val="00D86084"/>
    <w:rsid w:val="00D8625D"/>
    <w:rsid w:val="00D86510"/>
    <w:rsid w:val="00D86697"/>
    <w:rsid w:val="00D86935"/>
    <w:rsid w:val="00D869F6"/>
    <w:rsid w:val="00D86C17"/>
    <w:rsid w:val="00D86C54"/>
    <w:rsid w:val="00D87004"/>
    <w:rsid w:val="00D871F8"/>
    <w:rsid w:val="00D8735F"/>
    <w:rsid w:val="00D876B7"/>
    <w:rsid w:val="00D876CE"/>
    <w:rsid w:val="00D876F8"/>
    <w:rsid w:val="00D8788A"/>
    <w:rsid w:val="00D87A31"/>
    <w:rsid w:val="00D87A67"/>
    <w:rsid w:val="00D87E13"/>
    <w:rsid w:val="00D87E45"/>
    <w:rsid w:val="00D87F4F"/>
    <w:rsid w:val="00D87F9A"/>
    <w:rsid w:val="00D90029"/>
    <w:rsid w:val="00D90178"/>
    <w:rsid w:val="00D9019D"/>
    <w:rsid w:val="00D903B4"/>
    <w:rsid w:val="00D9043A"/>
    <w:rsid w:val="00D906B1"/>
    <w:rsid w:val="00D90719"/>
    <w:rsid w:val="00D90982"/>
    <w:rsid w:val="00D90BED"/>
    <w:rsid w:val="00D90CFB"/>
    <w:rsid w:val="00D90D73"/>
    <w:rsid w:val="00D91347"/>
    <w:rsid w:val="00D913C8"/>
    <w:rsid w:val="00D91462"/>
    <w:rsid w:val="00D9173D"/>
    <w:rsid w:val="00D917C2"/>
    <w:rsid w:val="00D9184D"/>
    <w:rsid w:val="00D918A8"/>
    <w:rsid w:val="00D91987"/>
    <w:rsid w:val="00D919F4"/>
    <w:rsid w:val="00D91AF8"/>
    <w:rsid w:val="00D91B9A"/>
    <w:rsid w:val="00D91D47"/>
    <w:rsid w:val="00D92082"/>
    <w:rsid w:val="00D92171"/>
    <w:rsid w:val="00D921CD"/>
    <w:rsid w:val="00D92254"/>
    <w:rsid w:val="00D926B8"/>
    <w:rsid w:val="00D927C0"/>
    <w:rsid w:val="00D9299D"/>
    <w:rsid w:val="00D92A34"/>
    <w:rsid w:val="00D92A3C"/>
    <w:rsid w:val="00D92BCD"/>
    <w:rsid w:val="00D92C7C"/>
    <w:rsid w:val="00D92E17"/>
    <w:rsid w:val="00D92FE0"/>
    <w:rsid w:val="00D9300D"/>
    <w:rsid w:val="00D93206"/>
    <w:rsid w:val="00D934A6"/>
    <w:rsid w:val="00D93771"/>
    <w:rsid w:val="00D93847"/>
    <w:rsid w:val="00D93864"/>
    <w:rsid w:val="00D93883"/>
    <w:rsid w:val="00D93984"/>
    <w:rsid w:val="00D93A35"/>
    <w:rsid w:val="00D93B98"/>
    <w:rsid w:val="00D93BA1"/>
    <w:rsid w:val="00D93D50"/>
    <w:rsid w:val="00D93DE4"/>
    <w:rsid w:val="00D93EBB"/>
    <w:rsid w:val="00D93EF7"/>
    <w:rsid w:val="00D93F29"/>
    <w:rsid w:val="00D94212"/>
    <w:rsid w:val="00D94319"/>
    <w:rsid w:val="00D9438C"/>
    <w:rsid w:val="00D94429"/>
    <w:rsid w:val="00D94608"/>
    <w:rsid w:val="00D946C7"/>
    <w:rsid w:val="00D948AF"/>
    <w:rsid w:val="00D9493D"/>
    <w:rsid w:val="00D94943"/>
    <w:rsid w:val="00D949C7"/>
    <w:rsid w:val="00D94A9A"/>
    <w:rsid w:val="00D94BF2"/>
    <w:rsid w:val="00D94C25"/>
    <w:rsid w:val="00D94D01"/>
    <w:rsid w:val="00D94DAD"/>
    <w:rsid w:val="00D94FDB"/>
    <w:rsid w:val="00D95083"/>
    <w:rsid w:val="00D951A5"/>
    <w:rsid w:val="00D954CD"/>
    <w:rsid w:val="00D95521"/>
    <w:rsid w:val="00D956BB"/>
    <w:rsid w:val="00D958A4"/>
    <w:rsid w:val="00D958CC"/>
    <w:rsid w:val="00D96045"/>
    <w:rsid w:val="00D960B2"/>
    <w:rsid w:val="00D9641E"/>
    <w:rsid w:val="00D96469"/>
    <w:rsid w:val="00D965A2"/>
    <w:rsid w:val="00D96621"/>
    <w:rsid w:val="00D9662E"/>
    <w:rsid w:val="00D966A9"/>
    <w:rsid w:val="00D96B4D"/>
    <w:rsid w:val="00D96B72"/>
    <w:rsid w:val="00D96BCB"/>
    <w:rsid w:val="00D96CE3"/>
    <w:rsid w:val="00D96D8F"/>
    <w:rsid w:val="00D96E1B"/>
    <w:rsid w:val="00D97354"/>
    <w:rsid w:val="00D97626"/>
    <w:rsid w:val="00D97922"/>
    <w:rsid w:val="00D9799F"/>
    <w:rsid w:val="00D97DBC"/>
    <w:rsid w:val="00D97ECB"/>
    <w:rsid w:val="00D97F0A"/>
    <w:rsid w:val="00D97F13"/>
    <w:rsid w:val="00D97FC0"/>
    <w:rsid w:val="00DA00C0"/>
    <w:rsid w:val="00DA014F"/>
    <w:rsid w:val="00DA02D0"/>
    <w:rsid w:val="00DA038B"/>
    <w:rsid w:val="00DA03A1"/>
    <w:rsid w:val="00DA03AF"/>
    <w:rsid w:val="00DA04C7"/>
    <w:rsid w:val="00DA0547"/>
    <w:rsid w:val="00DA07BE"/>
    <w:rsid w:val="00DA0809"/>
    <w:rsid w:val="00DA0C49"/>
    <w:rsid w:val="00DA0D02"/>
    <w:rsid w:val="00DA0EDD"/>
    <w:rsid w:val="00DA11B7"/>
    <w:rsid w:val="00DA1641"/>
    <w:rsid w:val="00DA18C3"/>
    <w:rsid w:val="00DA1936"/>
    <w:rsid w:val="00DA1AFE"/>
    <w:rsid w:val="00DA1B17"/>
    <w:rsid w:val="00DA1BCF"/>
    <w:rsid w:val="00DA1C10"/>
    <w:rsid w:val="00DA1C28"/>
    <w:rsid w:val="00DA1E19"/>
    <w:rsid w:val="00DA1E4A"/>
    <w:rsid w:val="00DA20D1"/>
    <w:rsid w:val="00DA211C"/>
    <w:rsid w:val="00DA2273"/>
    <w:rsid w:val="00DA252B"/>
    <w:rsid w:val="00DA254A"/>
    <w:rsid w:val="00DA2A1D"/>
    <w:rsid w:val="00DA2B9D"/>
    <w:rsid w:val="00DA2C7A"/>
    <w:rsid w:val="00DA2D66"/>
    <w:rsid w:val="00DA31DB"/>
    <w:rsid w:val="00DA328C"/>
    <w:rsid w:val="00DA34F5"/>
    <w:rsid w:val="00DA3887"/>
    <w:rsid w:val="00DA398C"/>
    <w:rsid w:val="00DA3AAA"/>
    <w:rsid w:val="00DA3CF2"/>
    <w:rsid w:val="00DA3CFF"/>
    <w:rsid w:val="00DA3D0B"/>
    <w:rsid w:val="00DA4047"/>
    <w:rsid w:val="00DA40E3"/>
    <w:rsid w:val="00DA414C"/>
    <w:rsid w:val="00DA415F"/>
    <w:rsid w:val="00DA435F"/>
    <w:rsid w:val="00DA4518"/>
    <w:rsid w:val="00DA4872"/>
    <w:rsid w:val="00DA48D8"/>
    <w:rsid w:val="00DA490C"/>
    <w:rsid w:val="00DA4A1C"/>
    <w:rsid w:val="00DA4A9D"/>
    <w:rsid w:val="00DA4C0E"/>
    <w:rsid w:val="00DA4E34"/>
    <w:rsid w:val="00DA4E7E"/>
    <w:rsid w:val="00DA4F15"/>
    <w:rsid w:val="00DA4F54"/>
    <w:rsid w:val="00DA5009"/>
    <w:rsid w:val="00DA5023"/>
    <w:rsid w:val="00DA5332"/>
    <w:rsid w:val="00DA5347"/>
    <w:rsid w:val="00DA56E5"/>
    <w:rsid w:val="00DA576F"/>
    <w:rsid w:val="00DA57B3"/>
    <w:rsid w:val="00DA57DE"/>
    <w:rsid w:val="00DA5808"/>
    <w:rsid w:val="00DA5A5F"/>
    <w:rsid w:val="00DA5A7F"/>
    <w:rsid w:val="00DA5AA5"/>
    <w:rsid w:val="00DA5AA6"/>
    <w:rsid w:val="00DA5BB8"/>
    <w:rsid w:val="00DA5CDC"/>
    <w:rsid w:val="00DA5D00"/>
    <w:rsid w:val="00DA5D93"/>
    <w:rsid w:val="00DA5DEE"/>
    <w:rsid w:val="00DA5E9E"/>
    <w:rsid w:val="00DA62C8"/>
    <w:rsid w:val="00DA62FE"/>
    <w:rsid w:val="00DA637A"/>
    <w:rsid w:val="00DA63B1"/>
    <w:rsid w:val="00DA64B8"/>
    <w:rsid w:val="00DA64FE"/>
    <w:rsid w:val="00DA653B"/>
    <w:rsid w:val="00DA69D2"/>
    <w:rsid w:val="00DA69F6"/>
    <w:rsid w:val="00DA6AC2"/>
    <w:rsid w:val="00DA6BAD"/>
    <w:rsid w:val="00DA6D39"/>
    <w:rsid w:val="00DA6D61"/>
    <w:rsid w:val="00DA6E47"/>
    <w:rsid w:val="00DA6FE1"/>
    <w:rsid w:val="00DA715D"/>
    <w:rsid w:val="00DA734D"/>
    <w:rsid w:val="00DA73E4"/>
    <w:rsid w:val="00DA7646"/>
    <w:rsid w:val="00DA76B0"/>
    <w:rsid w:val="00DA76DC"/>
    <w:rsid w:val="00DA7746"/>
    <w:rsid w:val="00DA77A7"/>
    <w:rsid w:val="00DA79A4"/>
    <w:rsid w:val="00DA7E29"/>
    <w:rsid w:val="00DA7F6F"/>
    <w:rsid w:val="00DA7F8A"/>
    <w:rsid w:val="00DB00B1"/>
    <w:rsid w:val="00DB016C"/>
    <w:rsid w:val="00DB0234"/>
    <w:rsid w:val="00DB02D1"/>
    <w:rsid w:val="00DB0834"/>
    <w:rsid w:val="00DB094B"/>
    <w:rsid w:val="00DB0BCD"/>
    <w:rsid w:val="00DB10B8"/>
    <w:rsid w:val="00DB11E9"/>
    <w:rsid w:val="00DB1490"/>
    <w:rsid w:val="00DB15A9"/>
    <w:rsid w:val="00DB188C"/>
    <w:rsid w:val="00DB1F28"/>
    <w:rsid w:val="00DB1F2B"/>
    <w:rsid w:val="00DB2170"/>
    <w:rsid w:val="00DB2322"/>
    <w:rsid w:val="00DB235E"/>
    <w:rsid w:val="00DB2478"/>
    <w:rsid w:val="00DB260E"/>
    <w:rsid w:val="00DB2626"/>
    <w:rsid w:val="00DB26D7"/>
    <w:rsid w:val="00DB28E5"/>
    <w:rsid w:val="00DB2A8A"/>
    <w:rsid w:val="00DB2C30"/>
    <w:rsid w:val="00DB2D57"/>
    <w:rsid w:val="00DB2F15"/>
    <w:rsid w:val="00DB3264"/>
    <w:rsid w:val="00DB33E3"/>
    <w:rsid w:val="00DB3775"/>
    <w:rsid w:val="00DB3C58"/>
    <w:rsid w:val="00DB3CBC"/>
    <w:rsid w:val="00DB3FC2"/>
    <w:rsid w:val="00DB3FD9"/>
    <w:rsid w:val="00DB413B"/>
    <w:rsid w:val="00DB427B"/>
    <w:rsid w:val="00DB45E8"/>
    <w:rsid w:val="00DB4746"/>
    <w:rsid w:val="00DB4969"/>
    <w:rsid w:val="00DB4C25"/>
    <w:rsid w:val="00DB4F6B"/>
    <w:rsid w:val="00DB51C6"/>
    <w:rsid w:val="00DB5411"/>
    <w:rsid w:val="00DB5433"/>
    <w:rsid w:val="00DB54B9"/>
    <w:rsid w:val="00DB572D"/>
    <w:rsid w:val="00DB5743"/>
    <w:rsid w:val="00DB57BA"/>
    <w:rsid w:val="00DB5B13"/>
    <w:rsid w:val="00DB5D9B"/>
    <w:rsid w:val="00DB5F1E"/>
    <w:rsid w:val="00DB5FC2"/>
    <w:rsid w:val="00DB61DA"/>
    <w:rsid w:val="00DB6201"/>
    <w:rsid w:val="00DB6204"/>
    <w:rsid w:val="00DB62BF"/>
    <w:rsid w:val="00DB6427"/>
    <w:rsid w:val="00DB6446"/>
    <w:rsid w:val="00DB64C9"/>
    <w:rsid w:val="00DB6545"/>
    <w:rsid w:val="00DB66B7"/>
    <w:rsid w:val="00DB6B8E"/>
    <w:rsid w:val="00DB6CDB"/>
    <w:rsid w:val="00DB6E2D"/>
    <w:rsid w:val="00DB6F60"/>
    <w:rsid w:val="00DB6F7D"/>
    <w:rsid w:val="00DB71F9"/>
    <w:rsid w:val="00DB7315"/>
    <w:rsid w:val="00DB73EB"/>
    <w:rsid w:val="00DB74F7"/>
    <w:rsid w:val="00DB74FA"/>
    <w:rsid w:val="00DB75B8"/>
    <w:rsid w:val="00DB75CF"/>
    <w:rsid w:val="00DB792F"/>
    <w:rsid w:val="00DB7B1A"/>
    <w:rsid w:val="00DB7D70"/>
    <w:rsid w:val="00DB7E2A"/>
    <w:rsid w:val="00DB7F66"/>
    <w:rsid w:val="00DB7F70"/>
    <w:rsid w:val="00DB7FA5"/>
    <w:rsid w:val="00DB7FAF"/>
    <w:rsid w:val="00DC0063"/>
    <w:rsid w:val="00DC0168"/>
    <w:rsid w:val="00DC01C3"/>
    <w:rsid w:val="00DC0332"/>
    <w:rsid w:val="00DC0376"/>
    <w:rsid w:val="00DC045C"/>
    <w:rsid w:val="00DC04B9"/>
    <w:rsid w:val="00DC059B"/>
    <w:rsid w:val="00DC05C1"/>
    <w:rsid w:val="00DC07DD"/>
    <w:rsid w:val="00DC0B94"/>
    <w:rsid w:val="00DC0CE9"/>
    <w:rsid w:val="00DC0EA9"/>
    <w:rsid w:val="00DC105A"/>
    <w:rsid w:val="00DC111B"/>
    <w:rsid w:val="00DC1222"/>
    <w:rsid w:val="00DC1311"/>
    <w:rsid w:val="00DC13B5"/>
    <w:rsid w:val="00DC1621"/>
    <w:rsid w:val="00DC18A9"/>
    <w:rsid w:val="00DC18ED"/>
    <w:rsid w:val="00DC1990"/>
    <w:rsid w:val="00DC1B05"/>
    <w:rsid w:val="00DC1BAF"/>
    <w:rsid w:val="00DC1C53"/>
    <w:rsid w:val="00DC1CC8"/>
    <w:rsid w:val="00DC1CD0"/>
    <w:rsid w:val="00DC1FAD"/>
    <w:rsid w:val="00DC20B8"/>
    <w:rsid w:val="00DC2130"/>
    <w:rsid w:val="00DC21D2"/>
    <w:rsid w:val="00DC2210"/>
    <w:rsid w:val="00DC228B"/>
    <w:rsid w:val="00DC260C"/>
    <w:rsid w:val="00DC2950"/>
    <w:rsid w:val="00DC2C13"/>
    <w:rsid w:val="00DC2C88"/>
    <w:rsid w:val="00DC2D1D"/>
    <w:rsid w:val="00DC2E58"/>
    <w:rsid w:val="00DC3002"/>
    <w:rsid w:val="00DC3006"/>
    <w:rsid w:val="00DC30B0"/>
    <w:rsid w:val="00DC3198"/>
    <w:rsid w:val="00DC3327"/>
    <w:rsid w:val="00DC373B"/>
    <w:rsid w:val="00DC397E"/>
    <w:rsid w:val="00DC3AD3"/>
    <w:rsid w:val="00DC3AE2"/>
    <w:rsid w:val="00DC3D01"/>
    <w:rsid w:val="00DC3D4D"/>
    <w:rsid w:val="00DC3D93"/>
    <w:rsid w:val="00DC3E7F"/>
    <w:rsid w:val="00DC404D"/>
    <w:rsid w:val="00DC4087"/>
    <w:rsid w:val="00DC410D"/>
    <w:rsid w:val="00DC4150"/>
    <w:rsid w:val="00DC41F2"/>
    <w:rsid w:val="00DC43D5"/>
    <w:rsid w:val="00DC461D"/>
    <w:rsid w:val="00DC4799"/>
    <w:rsid w:val="00DC487E"/>
    <w:rsid w:val="00DC4C44"/>
    <w:rsid w:val="00DC4CBC"/>
    <w:rsid w:val="00DC4F01"/>
    <w:rsid w:val="00DC4FF6"/>
    <w:rsid w:val="00DC503C"/>
    <w:rsid w:val="00DC51E8"/>
    <w:rsid w:val="00DC539F"/>
    <w:rsid w:val="00DC53A2"/>
    <w:rsid w:val="00DC5505"/>
    <w:rsid w:val="00DC5830"/>
    <w:rsid w:val="00DC58EA"/>
    <w:rsid w:val="00DC5ACF"/>
    <w:rsid w:val="00DC5C70"/>
    <w:rsid w:val="00DC5E8A"/>
    <w:rsid w:val="00DC5F62"/>
    <w:rsid w:val="00DC60FC"/>
    <w:rsid w:val="00DC6114"/>
    <w:rsid w:val="00DC624B"/>
    <w:rsid w:val="00DC62DF"/>
    <w:rsid w:val="00DC6839"/>
    <w:rsid w:val="00DC68F1"/>
    <w:rsid w:val="00DC6BD7"/>
    <w:rsid w:val="00DC6BEE"/>
    <w:rsid w:val="00DC6D5B"/>
    <w:rsid w:val="00DC6F00"/>
    <w:rsid w:val="00DC6F97"/>
    <w:rsid w:val="00DC70FE"/>
    <w:rsid w:val="00DC736B"/>
    <w:rsid w:val="00DC74FF"/>
    <w:rsid w:val="00DC7815"/>
    <w:rsid w:val="00DC7853"/>
    <w:rsid w:val="00DC78E1"/>
    <w:rsid w:val="00DC7AC5"/>
    <w:rsid w:val="00DC7C73"/>
    <w:rsid w:val="00DC7D4B"/>
    <w:rsid w:val="00DC7E04"/>
    <w:rsid w:val="00DC7F30"/>
    <w:rsid w:val="00DC7FCB"/>
    <w:rsid w:val="00DD025D"/>
    <w:rsid w:val="00DD042F"/>
    <w:rsid w:val="00DD04D1"/>
    <w:rsid w:val="00DD0640"/>
    <w:rsid w:val="00DD068E"/>
    <w:rsid w:val="00DD06B6"/>
    <w:rsid w:val="00DD0D53"/>
    <w:rsid w:val="00DD0F1B"/>
    <w:rsid w:val="00DD10EC"/>
    <w:rsid w:val="00DD11C1"/>
    <w:rsid w:val="00DD1524"/>
    <w:rsid w:val="00DD1562"/>
    <w:rsid w:val="00DD16C7"/>
    <w:rsid w:val="00DD175F"/>
    <w:rsid w:val="00DD179E"/>
    <w:rsid w:val="00DD17AC"/>
    <w:rsid w:val="00DD18A5"/>
    <w:rsid w:val="00DD18AD"/>
    <w:rsid w:val="00DD19AA"/>
    <w:rsid w:val="00DD1A68"/>
    <w:rsid w:val="00DD1ADD"/>
    <w:rsid w:val="00DD1C98"/>
    <w:rsid w:val="00DD1DDF"/>
    <w:rsid w:val="00DD1E6A"/>
    <w:rsid w:val="00DD2162"/>
    <w:rsid w:val="00DD2320"/>
    <w:rsid w:val="00DD2576"/>
    <w:rsid w:val="00DD25F4"/>
    <w:rsid w:val="00DD261E"/>
    <w:rsid w:val="00DD2653"/>
    <w:rsid w:val="00DD270D"/>
    <w:rsid w:val="00DD277B"/>
    <w:rsid w:val="00DD279E"/>
    <w:rsid w:val="00DD2C14"/>
    <w:rsid w:val="00DD2E04"/>
    <w:rsid w:val="00DD2FEF"/>
    <w:rsid w:val="00DD3055"/>
    <w:rsid w:val="00DD3061"/>
    <w:rsid w:val="00DD307E"/>
    <w:rsid w:val="00DD32BB"/>
    <w:rsid w:val="00DD3378"/>
    <w:rsid w:val="00DD3449"/>
    <w:rsid w:val="00DD3ADC"/>
    <w:rsid w:val="00DD3CF7"/>
    <w:rsid w:val="00DD3ED7"/>
    <w:rsid w:val="00DD42F3"/>
    <w:rsid w:val="00DD435F"/>
    <w:rsid w:val="00DD43A5"/>
    <w:rsid w:val="00DD4546"/>
    <w:rsid w:val="00DD45D3"/>
    <w:rsid w:val="00DD4604"/>
    <w:rsid w:val="00DD472C"/>
    <w:rsid w:val="00DD4814"/>
    <w:rsid w:val="00DD4BB2"/>
    <w:rsid w:val="00DD4C7C"/>
    <w:rsid w:val="00DD4CF8"/>
    <w:rsid w:val="00DD4E35"/>
    <w:rsid w:val="00DD5141"/>
    <w:rsid w:val="00DD51A0"/>
    <w:rsid w:val="00DD5446"/>
    <w:rsid w:val="00DD55C0"/>
    <w:rsid w:val="00DD56AD"/>
    <w:rsid w:val="00DD57DB"/>
    <w:rsid w:val="00DD58C8"/>
    <w:rsid w:val="00DD5B58"/>
    <w:rsid w:val="00DD5BB7"/>
    <w:rsid w:val="00DD5BCB"/>
    <w:rsid w:val="00DD5CFB"/>
    <w:rsid w:val="00DD5D3A"/>
    <w:rsid w:val="00DD5D6D"/>
    <w:rsid w:val="00DD5FFB"/>
    <w:rsid w:val="00DD6049"/>
    <w:rsid w:val="00DD6065"/>
    <w:rsid w:val="00DD63D3"/>
    <w:rsid w:val="00DD64D6"/>
    <w:rsid w:val="00DD6572"/>
    <w:rsid w:val="00DD65EB"/>
    <w:rsid w:val="00DD66AD"/>
    <w:rsid w:val="00DD66B0"/>
    <w:rsid w:val="00DD6735"/>
    <w:rsid w:val="00DD679C"/>
    <w:rsid w:val="00DD67F7"/>
    <w:rsid w:val="00DD6843"/>
    <w:rsid w:val="00DD6888"/>
    <w:rsid w:val="00DD6AFA"/>
    <w:rsid w:val="00DD6CA3"/>
    <w:rsid w:val="00DD6D72"/>
    <w:rsid w:val="00DD6DB6"/>
    <w:rsid w:val="00DD6EA6"/>
    <w:rsid w:val="00DD6F73"/>
    <w:rsid w:val="00DD70FA"/>
    <w:rsid w:val="00DD7285"/>
    <w:rsid w:val="00DD72DF"/>
    <w:rsid w:val="00DD736B"/>
    <w:rsid w:val="00DD7372"/>
    <w:rsid w:val="00DD74CF"/>
    <w:rsid w:val="00DD7D17"/>
    <w:rsid w:val="00DE0570"/>
    <w:rsid w:val="00DE084B"/>
    <w:rsid w:val="00DE08B2"/>
    <w:rsid w:val="00DE08EB"/>
    <w:rsid w:val="00DE0977"/>
    <w:rsid w:val="00DE0ADC"/>
    <w:rsid w:val="00DE0C2C"/>
    <w:rsid w:val="00DE1004"/>
    <w:rsid w:val="00DE118E"/>
    <w:rsid w:val="00DE1294"/>
    <w:rsid w:val="00DE1314"/>
    <w:rsid w:val="00DE1569"/>
    <w:rsid w:val="00DE1838"/>
    <w:rsid w:val="00DE18DE"/>
    <w:rsid w:val="00DE1B12"/>
    <w:rsid w:val="00DE1D31"/>
    <w:rsid w:val="00DE1EB8"/>
    <w:rsid w:val="00DE202F"/>
    <w:rsid w:val="00DE2128"/>
    <w:rsid w:val="00DE219A"/>
    <w:rsid w:val="00DE22C0"/>
    <w:rsid w:val="00DE242E"/>
    <w:rsid w:val="00DE25C2"/>
    <w:rsid w:val="00DE2634"/>
    <w:rsid w:val="00DE273F"/>
    <w:rsid w:val="00DE2959"/>
    <w:rsid w:val="00DE29D1"/>
    <w:rsid w:val="00DE2C9E"/>
    <w:rsid w:val="00DE2D5E"/>
    <w:rsid w:val="00DE2EAA"/>
    <w:rsid w:val="00DE2EAC"/>
    <w:rsid w:val="00DE30BB"/>
    <w:rsid w:val="00DE32E8"/>
    <w:rsid w:val="00DE33FF"/>
    <w:rsid w:val="00DE35E5"/>
    <w:rsid w:val="00DE35E8"/>
    <w:rsid w:val="00DE361C"/>
    <w:rsid w:val="00DE36F8"/>
    <w:rsid w:val="00DE3880"/>
    <w:rsid w:val="00DE3949"/>
    <w:rsid w:val="00DE3B86"/>
    <w:rsid w:val="00DE3C63"/>
    <w:rsid w:val="00DE3CCE"/>
    <w:rsid w:val="00DE3CDE"/>
    <w:rsid w:val="00DE3DD4"/>
    <w:rsid w:val="00DE3E16"/>
    <w:rsid w:val="00DE4080"/>
    <w:rsid w:val="00DE4444"/>
    <w:rsid w:val="00DE46E8"/>
    <w:rsid w:val="00DE4720"/>
    <w:rsid w:val="00DE477E"/>
    <w:rsid w:val="00DE48CA"/>
    <w:rsid w:val="00DE495B"/>
    <w:rsid w:val="00DE4B86"/>
    <w:rsid w:val="00DE4DB2"/>
    <w:rsid w:val="00DE4DFF"/>
    <w:rsid w:val="00DE4FBE"/>
    <w:rsid w:val="00DE5036"/>
    <w:rsid w:val="00DE5185"/>
    <w:rsid w:val="00DE51F5"/>
    <w:rsid w:val="00DE5280"/>
    <w:rsid w:val="00DE53C0"/>
    <w:rsid w:val="00DE54AE"/>
    <w:rsid w:val="00DE5602"/>
    <w:rsid w:val="00DE58C4"/>
    <w:rsid w:val="00DE58C7"/>
    <w:rsid w:val="00DE58D4"/>
    <w:rsid w:val="00DE591C"/>
    <w:rsid w:val="00DE5B80"/>
    <w:rsid w:val="00DE5C36"/>
    <w:rsid w:val="00DE6059"/>
    <w:rsid w:val="00DE6117"/>
    <w:rsid w:val="00DE628A"/>
    <w:rsid w:val="00DE62FA"/>
    <w:rsid w:val="00DE6BAC"/>
    <w:rsid w:val="00DE6E4F"/>
    <w:rsid w:val="00DE6F78"/>
    <w:rsid w:val="00DE71A3"/>
    <w:rsid w:val="00DE7242"/>
    <w:rsid w:val="00DE72C6"/>
    <w:rsid w:val="00DE72C7"/>
    <w:rsid w:val="00DE72DE"/>
    <w:rsid w:val="00DE73C8"/>
    <w:rsid w:val="00DE744E"/>
    <w:rsid w:val="00DE7876"/>
    <w:rsid w:val="00DE7992"/>
    <w:rsid w:val="00DE7BA4"/>
    <w:rsid w:val="00DE7C1D"/>
    <w:rsid w:val="00DE7EEE"/>
    <w:rsid w:val="00DE7F47"/>
    <w:rsid w:val="00DF00C6"/>
    <w:rsid w:val="00DF0331"/>
    <w:rsid w:val="00DF048E"/>
    <w:rsid w:val="00DF0675"/>
    <w:rsid w:val="00DF0755"/>
    <w:rsid w:val="00DF0801"/>
    <w:rsid w:val="00DF0840"/>
    <w:rsid w:val="00DF08EC"/>
    <w:rsid w:val="00DF0998"/>
    <w:rsid w:val="00DF09B1"/>
    <w:rsid w:val="00DF09DC"/>
    <w:rsid w:val="00DF0AFA"/>
    <w:rsid w:val="00DF0B31"/>
    <w:rsid w:val="00DF0BA6"/>
    <w:rsid w:val="00DF0BFC"/>
    <w:rsid w:val="00DF0C67"/>
    <w:rsid w:val="00DF0CA3"/>
    <w:rsid w:val="00DF0D00"/>
    <w:rsid w:val="00DF0E75"/>
    <w:rsid w:val="00DF0F1E"/>
    <w:rsid w:val="00DF1065"/>
    <w:rsid w:val="00DF11B6"/>
    <w:rsid w:val="00DF12D2"/>
    <w:rsid w:val="00DF12EF"/>
    <w:rsid w:val="00DF1599"/>
    <w:rsid w:val="00DF1615"/>
    <w:rsid w:val="00DF179B"/>
    <w:rsid w:val="00DF18F9"/>
    <w:rsid w:val="00DF19DB"/>
    <w:rsid w:val="00DF1D82"/>
    <w:rsid w:val="00DF1EDE"/>
    <w:rsid w:val="00DF200D"/>
    <w:rsid w:val="00DF2178"/>
    <w:rsid w:val="00DF21AE"/>
    <w:rsid w:val="00DF234F"/>
    <w:rsid w:val="00DF2413"/>
    <w:rsid w:val="00DF242D"/>
    <w:rsid w:val="00DF253F"/>
    <w:rsid w:val="00DF27B5"/>
    <w:rsid w:val="00DF2965"/>
    <w:rsid w:val="00DF2A33"/>
    <w:rsid w:val="00DF2D46"/>
    <w:rsid w:val="00DF2DE5"/>
    <w:rsid w:val="00DF2DEB"/>
    <w:rsid w:val="00DF2DFF"/>
    <w:rsid w:val="00DF2E97"/>
    <w:rsid w:val="00DF30DB"/>
    <w:rsid w:val="00DF30F3"/>
    <w:rsid w:val="00DF32F9"/>
    <w:rsid w:val="00DF3630"/>
    <w:rsid w:val="00DF37B5"/>
    <w:rsid w:val="00DF38E4"/>
    <w:rsid w:val="00DF3AF6"/>
    <w:rsid w:val="00DF3B6A"/>
    <w:rsid w:val="00DF3B88"/>
    <w:rsid w:val="00DF3CDE"/>
    <w:rsid w:val="00DF3D9D"/>
    <w:rsid w:val="00DF3DDB"/>
    <w:rsid w:val="00DF3EA0"/>
    <w:rsid w:val="00DF3F67"/>
    <w:rsid w:val="00DF3F7B"/>
    <w:rsid w:val="00DF3FFD"/>
    <w:rsid w:val="00DF40EB"/>
    <w:rsid w:val="00DF418F"/>
    <w:rsid w:val="00DF43FA"/>
    <w:rsid w:val="00DF4742"/>
    <w:rsid w:val="00DF475F"/>
    <w:rsid w:val="00DF47F7"/>
    <w:rsid w:val="00DF4ABA"/>
    <w:rsid w:val="00DF4C18"/>
    <w:rsid w:val="00DF4C4C"/>
    <w:rsid w:val="00DF4CB5"/>
    <w:rsid w:val="00DF4E9B"/>
    <w:rsid w:val="00DF4F63"/>
    <w:rsid w:val="00DF5087"/>
    <w:rsid w:val="00DF50FD"/>
    <w:rsid w:val="00DF5123"/>
    <w:rsid w:val="00DF535B"/>
    <w:rsid w:val="00DF5381"/>
    <w:rsid w:val="00DF550E"/>
    <w:rsid w:val="00DF55B8"/>
    <w:rsid w:val="00DF5643"/>
    <w:rsid w:val="00DF5663"/>
    <w:rsid w:val="00DF5AD9"/>
    <w:rsid w:val="00DF5B43"/>
    <w:rsid w:val="00DF5B8A"/>
    <w:rsid w:val="00DF5E5C"/>
    <w:rsid w:val="00DF5FB9"/>
    <w:rsid w:val="00DF6158"/>
    <w:rsid w:val="00DF618E"/>
    <w:rsid w:val="00DF6236"/>
    <w:rsid w:val="00DF62DC"/>
    <w:rsid w:val="00DF64DD"/>
    <w:rsid w:val="00DF65E4"/>
    <w:rsid w:val="00DF65E7"/>
    <w:rsid w:val="00DF6619"/>
    <w:rsid w:val="00DF6647"/>
    <w:rsid w:val="00DF6661"/>
    <w:rsid w:val="00DF66D9"/>
    <w:rsid w:val="00DF6729"/>
    <w:rsid w:val="00DF67BA"/>
    <w:rsid w:val="00DF67F1"/>
    <w:rsid w:val="00DF69A1"/>
    <w:rsid w:val="00DF69FE"/>
    <w:rsid w:val="00DF6A11"/>
    <w:rsid w:val="00DF6AD0"/>
    <w:rsid w:val="00DF6E69"/>
    <w:rsid w:val="00DF6E6D"/>
    <w:rsid w:val="00DF6F59"/>
    <w:rsid w:val="00DF6F81"/>
    <w:rsid w:val="00DF6FCD"/>
    <w:rsid w:val="00DF7090"/>
    <w:rsid w:val="00DF72EC"/>
    <w:rsid w:val="00DF733F"/>
    <w:rsid w:val="00DF73B5"/>
    <w:rsid w:val="00DF753F"/>
    <w:rsid w:val="00DF75B1"/>
    <w:rsid w:val="00DF75C4"/>
    <w:rsid w:val="00DF75D2"/>
    <w:rsid w:val="00DF7745"/>
    <w:rsid w:val="00DF78B5"/>
    <w:rsid w:val="00DF7942"/>
    <w:rsid w:val="00DF7A36"/>
    <w:rsid w:val="00DF7A72"/>
    <w:rsid w:val="00DF7D13"/>
    <w:rsid w:val="00DF7D53"/>
    <w:rsid w:val="00DF7DA2"/>
    <w:rsid w:val="00DF7DCC"/>
    <w:rsid w:val="00DF7DDD"/>
    <w:rsid w:val="00DF7FC4"/>
    <w:rsid w:val="00E002BD"/>
    <w:rsid w:val="00E003C8"/>
    <w:rsid w:val="00E0076F"/>
    <w:rsid w:val="00E009C3"/>
    <w:rsid w:val="00E00A4A"/>
    <w:rsid w:val="00E00A8F"/>
    <w:rsid w:val="00E00BCE"/>
    <w:rsid w:val="00E00DB8"/>
    <w:rsid w:val="00E00EEE"/>
    <w:rsid w:val="00E01118"/>
    <w:rsid w:val="00E01134"/>
    <w:rsid w:val="00E01230"/>
    <w:rsid w:val="00E012BC"/>
    <w:rsid w:val="00E012DD"/>
    <w:rsid w:val="00E013F0"/>
    <w:rsid w:val="00E014A9"/>
    <w:rsid w:val="00E01839"/>
    <w:rsid w:val="00E0195C"/>
    <w:rsid w:val="00E01A6B"/>
    <w:rsid w:val="00E01AF1"/>
    <w:rsid w:val="00E01D19"/>
    <w:rsid w:val="00E01D87"/>
    <w:rsid w:val="00E01E99"/>
    <w:rsid w:val="00E01EDE"/>
    <w:rsid w:val="00E01F97"/>
    <w:rsid w:val="00E01FAF"/>
    <w:rsid w:val="00E01FE1"/>
    <w:rsid w:val="00E02016"/>
    <w:rsid w:val="00E02135"/>
    <w:rsid w:val="00E02218"/>
    <w:rsid w:val="00E022E4"/>
    <w:rsid w:val="00E022F6"/>
    <w:rsid w:val="00E024A9"/>
    <w:rsid w:val="00E02694"/>
    <w:rsid w:val="00E02717"/>
    <w:rsid w:val="00E027F8"/>
    <w:rsid w:val="00E02836"/>
    <w:rsid w:val="00E02DC7"/>
    <w:rsid w:val="00E02EE1"/>
    <w:rsid w:val="00E03438"/>
    <w:rsid w:val="00E03459"/>
    <w:rsid w:val="00E0374B"/>
    <w:rsid w:val="00E03931"/>
    <w:rsid w:val="00E0398F"/>
    <w:rsid w:val="00E03B38"/>
    <w:rsid w:val="00E03E09"/>
    <w:rsid w:val="00E03F6A"/>
    <w:rsid w:val="00E0405F"/>
    <w:rsid w:val="00E04079"/>
    <w:rsid w:val="00E0409D"/>
    <w:rsid w:val="00E042ED"/>
    <w:rsid w:val="00E04635"/>
    <w:rsid w:val="00E0469B"/>
    <w:rsid w:val="00E04993"/>
    <w:rsid w:val="00E049FF"/>
    <w:rsid w:val="00E04C7A"/>
    <w:rsid w:val="00E04E29"/>
    <w:rsid w:val="00E04E67"/>
    <w:rsid w:val="00E04F45"/>
    <w:rsid w:val="00E051AD"/>
    <w:rsid w:val="00E055A0"/>
    <w:rsid w:val="00E05775"/>
    <w:rsid w:val="00E058AA"/>
    <w:rsid w:val="00E059AE"/>
    <w:rsid w:val="00E05B63"/>
    <w:rsid w:val="00E05E5D"/>
    <w:rsid w:val="00E05E61"/>
    <w:rsid w:val="00E06147"/>
    <w:rsid w:val="00E0614F"/>
    <w:rsid w:val="00E0622D"/>
    <w:rsid w:val="00E064C9"/>
    <w:rsid w:val="00E06526"/>
    <w:rsid w:val="00E06747"/>
    <w:rsid w:val="00E06887"/>
    <w:rsid w:val="00E06D68"/>
    <w:rsid w:val="00E06D6A"/>
    <w:rsid w:val="00E06DE9"/>
    <w:rsid w:val="00E06EA8"/>
    <w:rsid w:val="00E06EB1"/>
    <w:rsid w:val="00E070A7"/>
    <w:rsid w:val="00E07159"/>
    <w:rsid w:val="00E072F3"/>
    <w:rsid w:val="00E0738F"/>
    <w:rsid w:val="00E074C9"/>
    <w:rsid w:val="00E075C6"/>
    <w:rsid w:val="00E07674"/>
    <w:rsid w:val="00E07C1F"/>
    <w:rsid w:val="00E07DFB"/>
    <w:rsid w:val="00E07FDF"/>
    <w:rsid w:val="00E1008F"/>
    <w:rsid w:val="00E1021B"/>
    <w:rsid w:val="00E10444"/>
    <w:rsid w:val="00E10634"/>
    <w:rsid w:val="00E1064F"/>
    <w:rsid w:val="00E10818"/>
    <w:rsid w:val="00E10A5C"/>
    <w:rsid w:val="00E10AB5"/>
    <w:rsid w:val="00E10D69"/>
    <w:rsid w:val="00E11040"/>
    <w:rsid w:val="00E11161"/>
    <w:rsid w:val="00E11167"/>
    <w:rsid w:val="00E11275"/>
    <w:rsid w:val="00E115A8"/>
    <w:rsid w:val="00E116EB"/>
    <w:rsid w:val="00E11B19"/>
    <w:rsid w:val="00E11BD1"/>
    <w:rsid w:val="00E11C4E"/>
    <w:rsid w:val="00E11D14"/>
    <w:rsid w:val="00E11DA3"/>
    <w:rsid w:val="00E11E52"/>
    <w:rsid w:val="00E11ED3"/>
    <w:rsid w:val="00E12227"/>
    <w:rsid w:val="00E12404"/>
    <w:rsid w:val="00E12627"/>
    <w:rsid w:val="00E12759"/>
    <w:rsid w:val="00E127A8"/>
    <w:rsid w:val="00E12D4A"/>
    <w:rsid w:val="00E13125"/>
    <w:rsid w:val="00E1332C"/>
    <w:rsid w:val="00E1342C"/>
    <w:rsid w:val="00E13617"/>
    <w:rsid w:val="00E136C3"/>
    <w:rsid w:val="00E1374F"/>
    <w:rsid w:val="00E13795"/>
    <w:rsid w:val="00E1394E"/>
    <w:rsid w:val="00E1396F"/>
    <w:rsid w:val="00E13A0C"/>
    <w:rsid w:val="00E13A57"/>
    <w:rsid w:val="00E13A64"/>
    <w:rsid w:val="00E13CBC"/>
    <w:rsid w:val="00E13CC8"/>
    <w:rsid w:val="00E13DB7"/>
    <w:rsid w:val="00E13DDD"/>
    <w:rsid w:val="00E13E88"/>
    <w:rsid w:val="00E1405C"/>
    <w:rsid w:val="00E140C2"/>
    <w:rsid w:val="00E140D6"/>
    <w:rsid w:val="00E14654"/>
    <w:rsid w:val="00E14955"/>
    <w:rsid w:val="00E149E5"/>
    <w:rsid w:val="00E14A3E"/>
    <w:rsid w:val="00E14B42"/>
    <w:rsid w:val="00E14BC5"/>
    <w:rsid w:val="00E14BFA"/>
    <w:rsid w:val="00E14BFD"/>
    <w:rsid w:val="00E14C5F"/>
    <w:rsid w:val="00E14D88"/>
    <w:rsid w:val="00E14D8D"/>
    <w:rsid w:val="00E1544A"/>
    <w:rsid w:val="00E15743"/>
    <w:rsid w:val="00E1579F"/>
    <w:rsid w:val="00E15840"/>
    <w:rsid w:val="00E15970"/>
    <w:rsid w:val="00E159F0"/>
    <w:rsid w:val="00E15AFC"/>
    <w:rsid w:val="00E15BC4"/>
    <w:rsid w:val="00E15DA2"/>
    <w:rsid w:val="00E15F14"/>
    <w:rsid w:val="00E16298"/>
    <w:rsid w:val="00E162F9"/>
    <w:rsid w:val="00E16584"/>
    <w:rsid w:val="00E166EF"/>
    <w:rsid w:val="00E16808"/>
    <w:rsid w:val="00E16829"/>
    <w:rsid w:val="00E1687C"/>
    <w:rsid w:val="00E168D2"/>
    <w:rsid w:val="00E16975"/>
    <w:rsid w:val="00E16B91"/>
    <w:rsid w:val="00E16CB0"/>
    <w:rsid w:val="00E16F7B"/>
    <w:rsid w:val="00E1705F"/>
    <w:rsid w:val="00E17098"/>
    <w:rsid w:val="00E170D2"/>
    <w:rsid w:val="00E170D7"/>
    <w:rsid w:val="00E17200"/>
    <w:rsid w:val="00E17352"/>
    <w:rsid w:val="00E17551"/>
    <w:rsid w:val="00E175C2"/>
    <w:rsid w:val="00E17610"/>
    <w:rsid w:val="00E17631"/>
    <w:rsid w:val="00E1790B"/>
    <w:rsid w:val="00E17955"/>
    <w:rsid w:val="00E179BD"/>
    <w:rsid w:val="00E17AD8"/>
    <w:rsid w:val="00E17BD6"/>
    <w:rsid w:val="00E20365"/>
    <w:rsid w:val="00E2069C"/>
    <w:rsid w:val="00E206E4"/>
    <w:rsid w:val="00E20858"/>
    <w:rsid w:val="00E209CB"/>
    <w:rsid w:val="00E20A36"/>
    <w:rsid w:val="00E20B1E"/>
    <w:rsid w:val="00E20BEA"/>
    <w:rsid w:val="00E20C2D"/>
    <w:rsid w:val="00E20DFA"/>
    <w:rsid w:val="00E21289"/>
    <w:rsid w:val="00E21597"/>
    <w:rsid w:val="00E2160E"/>
    <w:rsid w:val="00E21663"/>
    <w:rsid w:val="00E21AA5"/>
    <w:rsid w:val="00E21AF8"/>
    <w:rsid w:val="00E21CA1"/>
    <w:rsid w:val="00E21CF6"/>
    <w:rsid w:val="00E21D04"/>
    <w:rsid w:val="00E21E38"/>
    <w:rsid w:val="00E220C8"/>
    <w:rsid w:val="00E223BD"/>
    <w:rsid w:val="00E223D3"/>
    <w:rsid w:val="00E22412"/>
    <w:rsid w:val="00E2244B"/>
    <w:rsid w:val="00E225C2"/>
    <w:rsid w:val="00E22781"/>
    <w:rsid w:val="00E227D6"/>
    <w:rsid w:val="00E227F2"/>
    <w:rsid w:val="00E22853"/>
    <w:rsid w:val="00E22A14"/>
    <w:rsid w:val="00E22C40"/>
    <w:rsid w:val="00E22CEA"/>
    <w:rsid w:val="00E22D83"/>
    <w:rsid w:val="00E230F2"/>
    <w:rsid w:val="00E2316B"/>
    <w:rsid w:val="00E23180"/>
    <w:rsid w:val="00E231AF"/>
    <w:rsid w:val="00E231B6"/>
    <w:rsid w:val="00E231B8"/>
    <w:rsid w:val="00E2333B"/>
    <w:rsid w:val="00E23444"/>
    <w:rsid w:val="00E234B9"/>
    <w:rsid w:val="00E239C6"/>
    <w:rsid w:val="00E23B78"/>
    <w:rsid w:val="00E23D1E"/>
    <w:rsid w:val="00E23D57"/>
    <w:rsid w:val="00E23EAC"/>
    <w:rsid w:val="00E24055"/>
    <w:rsid w:val="00E2411D"/>
    <w:rsid w:val="00E241C2"/>
    <w:rsid w:val="00E244B6"/>
    <w:rsid w:val="00E24CD4"/>
    <w:rsid w:val="00E24D96"/>
    <w:rsid w:val="00E24DB6"/>
    <w:rsid w:val="00E24E8F"/>
    <w:rsid w:val="00E25135"/>
    <w:rsid w:val="00E25167"/>
    <w:rsid w:val="00E252C9"/>
    <w:rsid w:val="00E25385"/>
    <w:rsid w:val="00E25414"/>
    <w:rsid w:val="00E25443"/>
    <w:rsid w:val="00E25502"/>
    <w:rsid w:val="00E25572"/>
    <w:rsid w:val="00E255FE"/>
    <w:rsid w:val="00E257DC"/>
    <w:rsid w:val="00E2587C"/>
    <w:rsid w:val="00E259B2"/>
    <w:rsid w:val="00E259DE"/>
    <w:rsid w:val="00E25B45"/>
    <w:rsid w:val="00E25B67"/>
    <w:rsid w:val="00E25CC3"/>
    <w:rsid w:val="00E25CC9"/>
    <w:rsid w:val="00E25D5A"/>
    <w:rsid w:val="00E25D8E"/>
    <w:rsid w:val="00E2600A"/>
    <w:rsid w:val="00E260C5"/>
    <w:rsid w:val="00E26114"/>
    <w:rsid w:val="00E26331"/>
    <w:rsid w:val="00E263A8"/>
    <w:rsid w:val="00E2656E"/>
    <w:rsid w:val="00E26621"/>
    <w:rsid w:val="00E2666C"/>
    <w:rsid w:val="00E2678B"/>
    <w:rsid w:val="00E267DE"/>
    <w:rsid w:val="00E26906"/>
    <w:rsid w:val="00E269B9"/>
    <w:rsid w:val="00E26BF3"/>
    <w:rsid w:val="00E26C27"/>
    <w:rsid w:val="00E26C5D"/>
    <w:rsid w:val="00E26F02"/>
    <w:rsid w:val="00E26FEB"/>
    <w:rsid w:val="00E2705A"/>
    <w:rsid w:val="00E27124"/>
    <w:rsid w:val="00E27224"/>
    <w:rsid w:val="00E2728C"/>
    <w:rsid w:val="00E272CB"/>
    <w:rsid w:val="00E27360"/>
    <w:rsid w:val="00E2793E"/>
    <w:rsid w:val="00E27990"/>
    <w:rsid w:val="00E27C2C"/>
    <w:rsid w:val="00E27D6C"/>
    <w:rsid w:val="00E27E2D"/>
    <w:rsid w:val="00E27E79"/>
    <w:rsid w:val="00E27FF9"/>
    <w:rsid w:val="00E30344"/>
    <w:rsid w:val="00E303AE"/>
    <w:rsid w:val="00E303D4"/>
    <w:rsid w:val="00E306D1"/>
    <w:rsid w:val="00E30743"/>
    <w:rsid w:val="00E307A6"/>
    <w:rsid w:val="00E30911"/>
    <w:rsid w:val="00E30937"/>
    <w:rsid w:val="00E30BBA"/>
    <w:rsid w:val="00E30F20"/>
    <w:rsid w:val="00E31004"/>
    <w:rsid w:val="00E31073"/>
    <w:rsid w:val="00E3117A"/>
    <w:rsid w:val="00E31511"/>
    <w:rsid w:val="00E31687"/>
    <w:rsid w:val="00E31693"/>
    <w:rsid w:val="00E316DD"/>
    <w:rsid w:val="00E3183C"/>
    <w:rsid w:val="00E318F6"/>
    <w:rsid w:val="00E31B7C"/>
    <w:rsid w:val="00E31DCC"/>
    <w:rsid w:val="00E31E22"/>
    <w:rsid w:val="00E31FD2"/>
    <w:rsid w:val="00E32242"/>
    <w:rsid w:val="00E32281"/>
    <w:rsid w:val="00E3229E"/>
    <w:rsid w:val="00E32391"/>
    <w:rsid w:val="00E32409"/>
    <w:rsid w:val="00E32513"/>
    <w:rsid w:val="00E3282E"/>
    <w:rsid w:val="00E328C1"/>
    <w:rsid w:val="00E3292A"/>
    <w:rsid w:val="00E32987"/>
    <w:rsid w:val="00E32C4E"/>
    <w:rsid w:val="00E32DFC"/>
    <w:rsid w:val="00E32FA9"/>
    <w:rsid w:val="00E32FEA"/>
    <w:rsid w:val="00E32FF1"/>
    <w:rsid w:val="00E33069"/>
    <w:rsid w:val="00E330F3"/>
    <w:rsid w:val="00E331AA"/>
    <w:rsid w:val="00E331B3"/>
    <w:rsid w:val="00E332D5"/>
    <w:rsid w:val="00E332DC"/>
    <w:rsid w:val="00E33384"/>
    <w:rsid w:val="00E333F5"/>
    <w:rsid w:val="00E33512"/>
    <w:rsid w:val="00E33592"/>
    <w:rsid w:val="00E335F3"/>
    <w:rsid w:val="00E338D2"/>
    <w:rsid w:val="00E33B57"/>
    <w:rsid w:val="00E33C1A"/>
    <w:rsid w:val="00E33D97"/>
    <w:rsid w:val="00E33DBF"/>
    <w:rsid w:val="00E33E99"/>
    <w:rsid w:val="00E33F9C"/>
    <w:rsid w:val="00E33FEB"/>
    <w:rsid w:val="00E341F9"/>
    <w:rsid w:val="00E34209"/>
    <w:rsid w:val="00E342A9"/>
    <w:rsid w:val="00E342F9"/>
    <w:rsid w:val="00E34302"/>
    <w:rsid w:val="00E343AD"/>
    <w:rsid w:val="00E3456B"/>
    <w:rsid w:val="00E34584"/>
    <w:rsid w:val="00E3462C"/>
    <w:rsid w:val="00E347B7"/>
    <w:rsid w:val="00E34A32"/>
    <w:rsid w:val="00E34ABE"/>
    <w:rsid w:val="00E34B48"/>
    <w:rsid w:val="00E34BDB"/>
    <w:rsid w:val="00E34DF5"/>
    <w:rsid w:val="00E34E78"/>
    <w:rsid w:val="00E34F37"/>
    <w:rsid w:val="00E35044"/>
    <w:rsid w:val="00E3515D"/>
    <w:rsid w:val="00E35255"/>
    <w:rsid w:val="00E3545C"/>
    <w:rsid w:val="00E356B6"/>
    <w:rsid w:val="00E357F4"/>
    <w:rsid w:val="00E35B3D"/>
    <w:rsid w:val="00E35B7E"/>
    <w:rsid w:val="00E35CF8"/>
    <w:rsid w:val="00E3607F"/>
    <w:rsid w:val="00E3610A"/>
    <w:rsid w:val="00E36182"/>
    <w:rsid w:val="00E362B3"/>
    <w:rsid w:val="00E36335"/>
    <w:rsid w:val="00E364D0"/>
    <w:rsid w:val="00E36738"/>
    <w:rsid w:val="00E36739"/>
    <w:rsid w:val="00E3681F"/>
    <w:rsid w:val="00E3695A"/>
    <w:rsid w:val="00E369BA"/>
    <w:rsid w:val="00E36AFB"/>
    <w:rsid w:val="00E36BF1"/>
    <w:rsid w:val="00E36D81"/>
    <w:rsid w:val="00E36E81"/>
    <w:rsid w:val="00E37136"/>
    <w:rsid w:val="00E3716E"/>
    <w:rsid w:val="00E372D7"/>
    <w:rsid w:val="00E374D3"/>
    <w:rsid w:val="00E376A4"/>
    <w:rsid w:val="00E3776E"/>
    <w:rsid w:val="00E37A34"/>
    <w:rsid w:val="00E37ACB"/>
    <w:rsid w:val="00E37EB1"/>
    <w:rsid w:val="00E37FC7"/>
    <w:rsid w:val="00E40092"/>
    <w:rsid w:val="00E40338"/>
    <w:rsid w:val="00E40601"/>
    <w:rsid w:val="00E40756"/>
    <w:rsid w:val="00E407F3"/>
    <w:rsid w:val="00E40858"/>
    <w:rsid w:val="00E40A10"/>
    <w:rsid w:val="00E40FA1"/>
    <w:rsid w:val="00E410C1"/>
    <w:rsid w:val="00E4125D"/>
    <w:rsid w:val="00E4152F"/>
    <w:rsid w:val="00E41735"/>
    <w:rsid w:val="00E417A0"/>
    <w:rsid w:val="00E41D25"/>
    <w:rsid w:val="00E41D60"/>
    <w:rsid w:val="00E41ED1"/>
    <w:rsid w:val="00E42210"/>
    <w:rsid w:val="00E4229B"/>
    <w:rsid w:val="00E422C3"/>
    <w:rsid w:val="00E423BB"/>
    <w:rsid w:val="00E423F2"/>
    <w:rsid w:val="00E424D5"/>
    <w:rsid w:val="00E426C9"/>
    <w:rsid w:val="00E42862"/>
    <w:rsid w:val="00E428A8"/>
    <w:rsid w:val="00E4290E"/>
    <w:rsid w:val="00E42B31"/>
    <w:rsid w:val="00E42CCE"/>
    <w:rsid w:val="00E4339F"/>
    <w:rsid w:val="00E433B2"/>
    <w:rsid w:val="00E43683"/>
    <w:rsid w:val="00E437E0"/>
    <w:rsid w:val="00E43B86"/>
    <w:rsid w:val="00E43C0D"/>
    <w:rsid w:val="00E43CED"/>
    <w:rsid w:val="00E43D06"/>
    <w:rsid w:val="00E43F61"/>
    <w:rsid w:val="00E43F8D"/>
    <w:rsid w:val="00E43FCB"/>
    <w:rsid w:val="00E4402A"/>
    <w:rsid w:val="00E448A2"/>
    <w:rsid w:val="00E448BE"/>
    <w:rsid w:val="00E44983"/>
    <w:rsid w:val="00E44BE1"/>
    <w:rsid w:val="00E44C07"/>
    <w:rsid w:val="00E44D90"/>
    <w:rsid w:val="00E452BD"/>
    <w:rsid w:val="00E45518"/>
    <w:rsid w:val="00E45652"/>
    <w:rsid w:val="00E45656"/>
    <w:rsid w:val="00E456DA"/>
    <w:rsid w:val="00E4593D"/>
    <w:rsid w:val="00E45B96"/>
    <w:rsid w:val="00E45C4B"/>
    <w:rsid w:val="00E45CEF"/>
    <w:rsid w:val="00E45D3A"/>
    <w:rsid w:val="00E4604B"/>
    <w:rsid w:val="00E461DF"/>
    <w:rsid w:val="00E4635D"/>
    <w:rsid w:val="00E46490"/>
    <w:rsid w:val="00E46522"/>
    <w:rsid w:val="00E46534"/>
    <w:rsid w:val="00E46719"/>
    <w:rsid w:val="00E46836"/>
    <w:rsid w:val="00E4696D"/>
    <w:rsid w:val="00E46C34"/>
    <w:rsid w:val="00E46C81"/>
    <w:rsid w:val="00E4703C"/>
    <w:rsid w:val="00E47076"/>
    <w:rsid w:val="00E47120"/>
    <w:rsid w:val="00E4716B"/>
    <w:rsid w:val="00E4717C"/>
    <w:rsid w:val="00E471A7"/>
    <w:rsid w:val="00E472D3"/>
    <w:rsid w:val="00E4732A"/>
    <w:rsid w:val="00E475EA"/>
    <w:rsid w:val="00E47646"/>
    <w:rsid w:val="00E476BB"/>
    <w:rsid w:val="00E47966"/>
    <w:rsid w:val="00E47AC2"/>
    <w:rsid w:val="00E47AD9"/>
    <w:rsid w:val="00E47E4E"/>
    <w:rsid w:val="00E47F1A"/>
    <w:rsid w:val="00E50330"/>
    <w:rsid w:val="00E5049F"/>
    <w:rsid w:val="00E506E1"/>
    <w:rsid w:val="00E508DC"/>
    <w:rsid w:val="00E50972"/>
    <w:rsid w:val="00E50B29"/>
    <w:rsid w:val="00E50B49"/>
    <w:rsid w:val="00E50CDC"/>
    <w:rsid w:val="00E5124D"/>
    <w:rsid w:val="00E51316"/>
    <w:rsid w:val="00E51955"/>
    <w:rsid w:val="00E519F3"/>
    <w:rsid w:val="00E51C5B"/>
    <w:rsid w:val="00E51D2C"/>
    <w:rsid w:val="00E51E85"/>
    <w:rsid w:val="00E51F0E"/>
    <w:rsid w:val="00E525D1"/>
    <w:rsid w:val="00E5282E"/>
    <w:rsid w:val="00E5283F"/>
    <w:rsid w:val="00E528AE"/>
    <w:rsid w:val="00E52A05"/>
    <w:rsid w:val="00E530BA"/>
    <w:rsid w:val="00E530EC"/>
    <w:rsid w:val="00E531CB"/>
    <w:rsid w:val="00E5354C"/>
    <w:rsid w:val="00E5354F"/>
    <w:rsid w:val="00E53AF9"/>
    <w:rsid w:val="00E53B06"/>
    <w:rsid w:val="00E53BDD"/>
    <w:rsid w:val="00E53BF2"/>
    <w:rsid w:val="00E53C25"/>
    <w:rsid w:val="00E54060"/>
    <w:rsid w:val="00E54152"/>
    <w:rsid w:val="00E5452C"/>
    <w:rsid w:val="00E5483B"/>
    <w:rsid w:val="00E5497B"/>
    <w:rsid w:val="00E54D3E"/>
    <w:rsid w:val="00E54E3F"/>
    <w:rsid w:val="00E54E7C"/>
    <w:rsid w:val="00E550AB"/>
    <w:rsid w:val="00E55166"/>
    <w:rsid w:val="00E55182"/>
    <w:rsid w:val="00E5525F"/>
    <w:rsid w:val="00E55533"/>
    <w:rsid w:val="00E5570D"/>
    <w:rsid w:val="00E55909"/>
    <w:rsid w:val="00E5590A"/>
    <w:rsid w:val="00E55977"/>
    <w:rsid w:val="00E55AC7"/>
    <w:rsid w:val="00E55ACB"/>
    <w:rsid w:val="00E55E98"/>
    <w:rsid w:val="00E55EA5"/>
    <w:rsid w:val="00E55F52"/>
    <w:rsid w:val="00E55FA7"/>
    <w:rsid w:val="00E56147"/>
    <w:rsid w:val="00E565AA"/>
    <w:rsid w:val="00E567C1"/>
    <w:rsid w:val="00E567E3"/>
    <w:rsid w:val="00E56822"/>
    <w:rsid w:val="00E569B2"/>
    <w:rsid w:val="00E56AAA"/>
    <w:rsid w:val="00E57144"/>
    <w:rsid w:val="00E573D8"/>
    <w:rsid w:val="00E57475"/>
    <w:rsid w:val="00E5792D"/>
    <w:rsid w:val="00E57F2C"/>
    <w:rsid w:val="00E57F94"/>
    <w:rsid w:val="00E60090"/>
    <w:rsid w:val="00E600C3"/>
    <w:rsid w:val="00E6010C"/>
    <w:rsid w:val="00E60325"/>
    <w:rsid w:val="00E604A9"/>
    <w:rsid w:val="00E6050F"/>
    <w:rsid w:val="00E6058B"/>
    <w:rsid w:val="00E6063B"/>
    <w:rsid w:val="00E607E3"/>
    <w:rsid w:val="00E60837"/>
    <w:rsid w:val="00E608F5"/>
    <w:rsid w:val="00E609A5"/>
    <w:rsid w:val="00E60A1F"/>
    <w:rsid w:val="00E60A38"/>
    <w:rsid w:val="00E60ACA"/>
    <w:rsid w:val="00E60C05"/>
    <w:rsid w:val="00E60C28"/>
    <w:rsid w:val="00E60CAE"/>
    <w:rsid w:val="00E60DD6"/>
    <w:rsid w:val="00E60EB6"/>
    <w:rsid w:val="00E6110B"/>
    <w:rsid w:val="00E613B2"/>
    <w:rsid w:val="00E613C7"/>
    <w:rsid w:val="00E616AB"/>
    <w:rsid w:val="00E616C7"/>
    <w:rsid w:val="00E617A5"/>
    <w:rsid w:val="00E61937"/>
    <w:rsid w:val="00E619ED"/>
    <w:rsid w:val="00E61B61"/>
    <w:rsid w:val="00E61B93"/>
    <w:rsid w:val="00E61D7E"/>
    <w:rsid w:val="00E61E0F"/>
    <w:rsid w:val="00E62051"/>
    <w:rsid w:val="00E622CA"/>
    <w:rsid w:val="00E6233D"/>
    <w:rsid w:val="00E62441"/>
    <w:rsid w:val="00E625FC"/>
    <w:rsid w:val="00E62753"/>
    <w:rsid w:val="00E62846"/>
    <w:rsid w:val="00E62903"/>
    <w:rsid w:val="00E62905"/>
    <w:rsid w:val="00E62939"/>
    <w:rsid w:val="00E62AC0"/>
    <w:rsid w:val="00E62C62"/>
    <w:rsid w:val="00E62E18"/>
    <w:rsid w:val="00E62EA6"/>
    <w:rsid w:val="00E62EDA"/>
    <w:rsid w:val="00E62F56"/>
    <w:rsid w:val="00E63182"/>
    <w:rsid w:val="00E63274"/>
    <w:rsid w:val="00E632D5"/>
    <w:rsid w:val="00E6342E"/>
    <w:rsid w:val="00E634BE"/>
    <w:rsid w:val="00E635BD"/>
    <w:rsid w:val="00E63779"/>
    <w:rsid w:val="00E637A2"/>
    <w:rsid w:val="00E6384B"/>
    <w:rsid w:val="00E63863"/>
    <w:rsid w:val="00E6389D"/>
    <w:rsid w:val="00E63968"/>
    <w:rsid w:val="00E63CA8"/>
    <w:rsid w:val="00E63CB1"/>
    <w:rsid w:val="00E63E7E"/>
    <w:rsid w:val="00E63EC4"/>
    <w:rsid w:val="00E63F49"/>
    <w:rsid w:val="00E63FD6"/>
    <w:rsid w:val="00E63FF1"/>
    <w:rsid w:val="00E64346"/>
    <w:rsid w:val="00E644D1"/>
    <w:rsid w:val="00E6450B"/>
    <w:rsid w:val="00E646E9"/>
    <w:rsid w:val="00E64730"/>
    <w:rsid w:val="00E6475E"/>
    <w:rsid w:val="00E647F4"/>
    <w:rsid w:val="00E649B9"/>
    <w:rsid w:val="00E64A2C"/>
    <w:rsid w:val="00E64D3E"/>
    <w:rsid w:val="00E65273"/>
    <w:rsid w:val="00E652DB"/>
    <w:rsid w:val="00E65540"/>
    <w:rsid w:val="00E65A3F"/>
    <w:rsid w:val="00E65B98"/>
    <w:rsid w:val="00E65E56"/>
    <w:rsid w:val="00E65E6B"/>
    <w:rsid w:val="00E65ECB"/>
    <w:rsid w:val="00E65F6E"/>
    <w:rsid w:val="00E66089"/>
    <w:rsid w:val="00E66281"/>
    <w:rsid w:val="00E6631B"/>
    <w:rsid w:val="00E665A3"/>
    <w:rsid w:val="00E665BE"/>
    <w:rsid w:val="00E665DF"/>
    <w:rsid w:val="00E665FD"/>
    <w:rsid w:val="00E66770"/>
    <w:rsid w:val="00E6678D"/>
    <w:rsid w:val="00E66960"/>
    <w:rsid w:val="00E669CF"/>
    <w:rsid w:val="00E66B83"/>
    <w:rsid w:val="00E66BAA"/>
    <w:rsid w:val="00E66D4A"/>
    <w:rsid w:val="00E66D64"/>
    <w:rsid w:val="00E66D7B"/>
    <w:rsid w:val="00E66DA8"/>
    <w:rsid w:val="00E66DBD"/>
    <w:rsid w:val="00E67046"/>
    <w:rsid w:val="00E670AA"/>
    <w:rsid w:val="00E6738F"/>
    <w:rsid w:val="00E673ED"/>
    <w:rsid w:val="00E6768D"/>
    <w:rsid w:val="00E6792B"/>
    <w:rsid w:val="00E679B7"/>
    <w:rsid w:val="00E67CAB"/>
    <w:rsid w:val="00E67DE8"/>
    <w:rsid w:val="00E67E29"/>
    <w:rsid w:val="00E67E9A"/>
    <w:rsid w:val="00E67F00"/>
    <w:rsid w:val="00E7026A"/>
    <w:rsid w:val="00E70325"/>
    <w:rsid w:val="00E70385"/>
    <w:rsid w:val="00E70408"/>
    <w:rsid w:val="00E7048F"/>
    <w:rsid w:val="00E70623"/>
    <w:rsid w:val="00E706B7"/>
    <w:rsid w:val="00E7093B"/>
    <w:rsid w:val="00E70AAF"/>
    <w:rsid w:val="00E70BD5"/>
    <w:rsid w:val="00E70F0F"/>
    <w:rsid w:val="00E70FFD"/>
    <w:rsid w:val="00E71020"/>
    <w:rsid w:val="00E710CB"/>
    <w:rsid w:val="00E711DD"/>
    <w:rsid w:val="00E712BD"/>
    <w:rsid w:val="00E715EB"/>
    <w:rsid w:val="00E7179D"/>
    <w:rsid w:val="00E718D4"/>
    <w:rsid w:val="00E71B61"/>
    <w:rsid w:val="00E71BA0"/>
    <w:rsid w:val="00E71BB8"/>
    <w:rsid w:val="00E71D7A"/>
    <w:rsid w:val="00E71ED4"/>
    <w:rsid w:val="00E71F9A"/>
    <w:rsid w:val="00E71FFC"/>
    <w:rsid w:val="00E7244B"/>
    <w:rsid w:val="00E72530"/>
    <w:rsid w:val="00E72570"/>
    <w:rsid w:val="00E72705"/>
    <w:rsid w:val="00E72AFD"/>
    <w:rsid w:val="00E72BB1"/>
    <w:rsid w:val="00E72CAE"/>
    <w:rsid w:val="00E72D50"/>
    <w:rsid w:val="00E72D66"/>
    <w:rsid w:val="00E72F3C"/>
    <w:rsid w:val="00E72F66"/>
    <w:rsid w:val="00E73016"/>
    <w:rsid w:val="00E73192"/>
    <w:rsid w:val="00E731E1"/>
    <w:rsid w:val="00E73339"/>
    <w:rsid w:val="00E73421"/>
    <w:rsid w:val="00E73600"/>
    <w:rsid w:val="00E7363F"/>
    <w:rsid w:val="00E73737"/>
    <w:rsid w:val="00E73898"/>
    <w:rsid w:val="00E7391D"/>
    <w:rsid w:val="00E73A1A"/>
    <w:rsid w:val="00E73A28"/>
    <w:rsid w:val="00E73CDA"/>
    <w:rsid w:val="00E74296"/>
    <w:rsid w:val="00E7444B"/>
    <w:rsid w:val="00E744B1"/>
    <w:rsid w:val="00E745C8"/>
    <w:rsid w:val="00E746CE"/>
    <w:rsid w:val="00E746D1"/>
    <w:rsid w:val="00E746EB"/>
    <w:rsid w:val="00E7487C"/>
    <w:rsid w:val="00E74A26"/>
    <w:rsid w:val="00E74A9F"/>
    <w:rsid w:val="00E74AB1"/>
    <w:rsid w:val="00E74B01"/>
    <w:rsid w:val="00E74B25"/>
    <w:rsid w:val="00E74C11"/>
    <w:rsid w:val="00E74C8E"/>
    <w:rsid w:val="00E74D91"/>
    <w:rsid w:val="00E74DBD"/>
    <w:rsid w:val="00E7501A"/>
    <w:rsid w:val="00E75106"/>
    <w:rsid w:val="00E7511B"/>
    <w:rsid w:val="00E7566D"/>
    <w:rsid w:val="00E7570D"/>
    <w:rsid w:val="00E7571E"/>
    <w:rsid w:val="00E7575A"/>
    <w:rsid w:val="00E75881"/>
    <w:rsid w:val="00E75A78"/>
    <w:rsid w:val="00E75AF5"/>
    <w:rsid w:val="00E75B07"/>
    <w:rsid w:val="00E75C6C"/>
    <w:rsid w:val="00E75D18"/>
    <w:rsid w:val="00E76032"/>
    <w:rsid w:val="00E760C2"/>
    <w:rsid w:val="00E76501"/>
    <w:rsid w:val="00E76691"/>
    <w:rsid w:val="00E766F7"/>
    <w:rsid w:val="00E7684C"/>
    <w:rsid w:val="00E76940"/>
    <w:rsid w:val="00E76B92"/>
    <w:rsid w:val="00E76BF1"/>
    <w:rsid w:val="00E76CCC"/>
    <w:rsid w:val="00E76CF0"/>
    <w:rsid w:val="00E76FAE"/>
    <w:rsid w:val="00E770D2"/>
    <w:rsid w:val="00E7718B"/>
    <w:rsid w:val="00E775BD"/>
    <w:rsid w:val="00E7760C"/>
    <w:rsid w:val="00E77743"/>
    <w:rsid w:val="00E77918"/>
    <w:rsid w:val="00E77921"/>
    <w:rsid w:val="00E7799B"/>
    <w:rsid w:val="00E77C69"/>
    <w:rsid w:val="00E77E63"/>
    <w:rsid w:val="00E77EAA"/>
    <w:rsid w:val="00E80496"/>
    <w:rsid w:val="00E807DB"/>
    <w:rsid w:val="00E80BFD"/>
    <w:rsid w:val="00E80FAA"/>
    <w:rsid w:val="00E810BB"/>
    <w:rsid w:val="00E81105"/>
    <w:rsid w:val="00E812A2"/>
    <w:rsid w:val="00E8132E"/>
    <w:rsid w:val="00E81871"/>
    <w:rsid w:val="00E81928"/>
    <w:rsid w:val="00E8194C"/>
    <w:rsid w:val="00E81D6F"/>
    <w:rsid w:val="00E820D5"/>
    <w:rsid w:val="00E820F1"/>
    <w:rsid w:val="00E82310"/>
    <w:rsid w:val="00E824E2"/>
    <w:rsid w:val="00E8256A"/>
    <w:rsid w:val="00E82808"/>
    <w:rsid w:val="00E82A33"/>
    <w:rsid w:val="00E82AD0"/>
    <w:rsid w:val="00E82B08"/>
    <w:rsid w:val="00E82E08"/>
    <w:rsid w:val="00E82F24"/>
    <w:rsid w:val="00E82F2B"/>
    <w:rsid w:val="00E8301B"/>
    <w:rsid w:val="00E830C1"/>
    <w:rsid w:val="00E83156"/>
    <w:rsid w:val="00E83229"/>
    <w:rsid w:val="00E83400"/>
    <w:rsid w:val="00E83463"/>
    <w:rsid w:val="00E834E1"/>
    <w:rsid w:val="00E835E4"/>
    <w:rsid w:val="00E83836"/>
    <w:rsid w:val="00E83926"/>
    <w:rsid w:val="00E8398E"/>
    <w:rsid w:val="00E83B51"/>
    <w:rsid w:val="00E83BCF"/>
    <w:rsid w:val="00E83DA0"/>
    <w:rsid w:val="00E83E45"/>
    <w:rsid w:val="00E83F8B"/>
    <w:rsid w:val="00E84015"/>
    <w:rsid w:val="00E84096"/>
    <w:rsid w:val="00E84179"/>
    <w:rsid w:val="00E841F9"/>
    <w:rsid w:val="00E84251"/>
    <w:rsid w:val="00E84427"/>
    <w:rsid w:val="00E8452D"/>
    <w:rsid w:val="00E84733"/>
    <w:rsid w:val="00E849EC"/>
    <w:rsid w:val="00E84ADA"/>
    <w:rsid w:val="00E84AE7"/>
    <w:rsid w:val="00E84B10"/>
    <w:rsid w:val="00E84B4A"/>
    <w:rsid w:val="00E84D96"/>
    <w:rsid w:val="00E84E14"/>
    <w:rsid w:val="00E84EEE"/>
    <w:rsid w:val="00E84FA2"/>
    <w:rsid w:val="00E852C4"/>
    <w:rsid w:val="00E85336"/>
    <w:rsid w:val="00E854B6"/>
    <w:rsid w:val="00E85581"/>
    <w:rsid w:val="00E856D7"/>
    <w:rsid w:val="00E85741"/>
    <w:rsid w:val="00E8577E"/>
    <w:rsid w:val="00E857C8"/>
    <w:rsid w:val="00E85AFE"/>
    <w:rsid w:val="00E85B5B"/>
    <w:rsid w:val="00E85B84"/>
    <w:rsid w:val="00E85EAB"/>
    <w:rsid w:val="00E85FE1"/>
    <w:rsid w:val="00E861DC"/>
    <w:rsid w:val="00E861E9"/>
    <w:rsid w:val="00E86205"/>
    <w:rsid w:val="00E86241"/>
    <w:rsid w:val="00E86272"/>
    <w:rsid w:val="00E8649E"/>
    <w:rsid w:val="00E865D1"/>
    <w:rsid w:val="00E86810"/>
    <w:rsid w:val="00E8683D"/>
    <w:rsid w:val="00E868A3"/>
    <w:rsid w:val="00E868A7"/>
    <w:rsid w:val="00E86AE1"/>
    <w:rsid w:val="00E86C73"/>
    <w:rsid w:val="00E86D94"/>
    <w:rsid w:val="00E86F1B"/>
    <w:rsid w:val="00E86F8B"/>
    <w:rsid w:val="00E87008"/>
    <w:rsid w:val="00E87147"/>
    <w:rsid w:val="00E872BA"/>
    <w:rsid w:val="00E87326"/>
    <w:rsid w:val="00E873A2"/>
    <w:rsid w:val="00E87429"/>
    <w:rsid w:val="00E875D3"/>
    <w:rsid w:val="00E876F9"/>
    <w:rsid w:val="00E87C2E"/>
    <w:rsid w:val="00E87C74"/>
    <w:rsid w:val="00E87E33"/>
    <w:rsid w:val="00E9002D"/>
    <w:rsid w:val="00E9006D"/>
    <w:rsid w:val="00E900D4"/>
    <w:rsid w:val="00E90110"/>
    <w:rsid w:val="00E903B7"/>
    <w:rsid w:val="00E9053C"/>
    <w:rsid w:val="00E90660"/>
    <w:rsid w:val="00E907C6"/>
    <w:rsid w:val="00E907D1"/>
    <w:rsid w:val="00E90815"/>
    <w:rsid w:val="00E90A82"/>
    <w:rsid w:val="00E90CFC"/>
    <w:rsid w:val="00E90D65"/>
    <w:rsid w:val="00E90E5B"/>
    <w:rsid w:val="00E90F74"/>
    <w:rsid w:val="00E9103F"/>
    <w:rsid w:val="00E91096"/>
    <w:rsid w:val="00E91387"/>
    <w:rsid w:val="00E913B8"/>
    <w:rsid w:val="00E913DA"/>
    <w:rsid w:val="00E915E5"/>
    <w:rsid w:val="00E9169E"/>
    <w:rsid w:val="00E917D9"/>
    <w:rsid w:val="00E9187C"/>
    <w:rsid w:val="00E918B4"/>
    <w:rsid w:val="00E919B1"/>
    <w:rsid w:val="00E91B14"/>
    <w:rsid w:val="00E91DE6"/>
    <w:rsid w:val="00E91E97"/>
    <w:rsid w:val="00E91F19"/>
    <w:rsid w:val="00E9248F"/>
    <w:rsid w:val="00E925B1"/>
    <w:rsid w:val="00E9267C"/>
    <w:rsid w:val="00E92719"/>
    <w:rsid w:val="00E92A58"/>
    <w:rsid w:val="00E92A9D"/>
    <w:rsid w:val="00E92CC2"/>
    <w:rsid w:val="00E92E33"/>
    <w:rsid w:val="00E93044"/>
    <w:rsid w:val="00E934CA"/>
    <w:rsid w:val="00E93646"/>
    <w:rsid w:val="00E936A0"/>
    <w:rsid w:val="00E93813"/>
    <w:rsid w:val="00E938CA"/>
    <w:rsid w:val="00E93A37"/>
    <w:rsid w:val="00E93B36"/>
    <w:rsid w:val="00E93E7B"/>
    <w:rsid w:val="00E9421F"/>
    <w:rsid w:val="00E9423D"/>
    <w:rsid w:val="00E94572"/>
    <w:rsid w:val="00E947BE"/>
    <w:rsid w:val="00E94A68"/>
    <w:rsid w:val="00E94B13"/>
    <w:rsid w:val="00E94B6F"/>
    <w:rsid w:val="00E94E40"/>
    <w:rsid w:val="00E95153"/>
    <w:rsid w:val="00E951ED"/>
    <w:rsid w:val="00E951F4"/>
    <w:rsid w:val="00E953CA"/>
    <w:rsid w:val="00E95415"/>
    <w:rsid w:val="00E954B0"/>
    <w:rsid w:val="00E956CF"/>
    <w:rsid w:val="00E956F1"/>
    <w:rsid w:val="00E95992"/>
    <w:rsid w:val="00E9599B"/>
    <w:rsid w:val="00E95A89"/>
    <w:rsid w:val="00E95BC2"/>
    <w:rsid w:val="00E95C27"/>
    <w:rsid w:val="00E95CD8"/>
    <w:rsid w:val="00E95D04"/>
    <w:rsid w:val="00E95D96"/>
    <w:rsid w:val="00E95E49"/>
    <w:rsid w:val="00E95EB0"/>
    <w:rsid w:val="00E9603C"/>
    <w:rsid w:val="00E96161"/>
    <w:rsid w:val="00E9646F"/>
    <w:rsid w:val="00E96485"/>
    <w:rsid w:val="00E96500"/>
    <w:rsid w:val="00E96718"/>
    <w:rsid w:val="00E9673F"/>
    <w:rsid w:val="00E96788"/>
    <w:rsid w:val="00E96812"/>
    <w:rsid w:val="00E96A07"/>
    <w:rsid w:val="00E96C63"/>
    <w:rsid w:val="00E96D6F"/>
    <w:rsid w:val="00E96DE6"/>
    <w:rsid w:val="00E96E28"/>
    <w:rsid w:val="00E97014"/>
    <w:rsid w:val="00E9702B"/>
    <w:rsid w:val="00E97031"/>
    <w:rsid w:val="00E97179"/>
    <w:rsid w:val="00E9719C"/>
    <w:rsid w:val="00E9730E"/>
    <w:rsid w:val="00E97311"/>
    <w:rsid w:val="00E97331"/>
    <w:rsid w:val="00E973FA"/>
    <w:rsid w:val="00E97406"/>
    <w:rsid w:val="00E975F4"/>
    <w:rsid w:val="00E97797"/>
    <w:rsid w:val="00E97816"/>
    <w:rsid w:val="00E9785C"/>
    <w:rsid w:val="00E978DE"/>
    <w:rsid w:val="00E97B02"/>
    <w:rsid w:val="00E97C33"/>
    <w:rsid w:val="00E97E33"/>
    <w:rsid w:val="00E97FC0"/>
    <w:rsid w:val="00EA0074"/>
    <w:rsid w:val="00EA01DE"/>
    <w:rsid w:val="00EA0218"/>
    <w:rsid w:val="00EA0391"/>
    <w:rsid w:val="00EA0587"/>
    <w:rsid w:val="00EA05D2"/>
    <w:rsid w:val="00EA069E"/>
    <w:rsid w:val="00EA096A"/>
    <w:rsid w:val="00EA0BFA"/>
    <w:rsid w:val="00EA0D11"/>
    <w:rsid w:val="00EA0DBE"/>
    <w:rsid w:val="00EA0E46"/>
    <w:rsid w:val="00EA0ECE"/>
    <w:rsid w:val="00EA0FFB"/>
    <w:rsid w:val="00EA1248"/>
    <w:rsid w:val="00EA12FB"/>
    <w:rsid w:val="00EA138F"/>
    <w:rsid w:val="00EA147A"/>
    <w:rsid w:val="00EA14B0"/>
    <w:rsid w:val="00EA1908"/>
    <w:rsid w:val="00EA19AA"/>
    <w:rsid w:val="00EA1A5B"/>
    <w:rsid w:val="00EA1A62"/>
    <w:rsid w:val="00EA1BC2"/>
    <w:rsid w:val="00EA1D05"/>
    <w:rsid w:val="00EA1E90"/>
    <w:rsid w:val="00EA1E97"/>
    <w:rsid w:val="00EA20D5"/>
    <w:rsid w:val="00EA2344"/>
    <w:rsid w:val="00EA237B"/>
    <w:rsid w:val="00EA2433"/>
    <w:rsid w:val="00EA2589"/>
    <w:rsid w:val="00EA25A2"/>
    <w:rsid w:val="00EA2736"/>
    <w:rsid w:val="00EA273F"/>
    <w:rsid w:val="00EA2AA5"/>
    <w:rsid w:val="00EA2BD2"/>
    <w:rsid w:val="00EA2CC0"/>
    <w:rsid w:val="00EA2CE3"/>
    <w:rsid w:val="00EA30AF"/>
    <w:rsid w:val="00EA338F"/>
    <w:rsid w:val="00EA371C"/>
    <w:rsid w:val="00EA38A6"/>
    <w:rsid w:val="00EA3AEC"/>
    <w:rsid w:val="00EA3AF3"/>
    <w:rsid w:val="00EA3C65"/>
    <w:rsid w:val="00EA3E39"/>
    <w:rsid w:val="00EA3E6A"/>
    <w:rsid w:val="00EA3EE1"/>
    <w:rsid w:val="00EA3F5A"/>
    <w:rsid w:val="00EA3F9A"/>
    <w:rsid w:val="00EA400B"/>
    <w:rsid w:val="00EA4173"/>
    <w:rsid w:val="00EA424F"/>
    <w:rsid w:val="00EA42E0"/>
    <w:rsid w:val="00EA4327"/>
    <w:rsid w:val="00EA43B7"/>
    <w:rsid w:val="00EA44F8"/>
    <w:rsid w:val="00EA4569"/>
    <w:rsid w:val="00EA460F"/>
    <w:rsid w:val="00EA4777"/>
    <w:rsid w:val="00EA4821"/>
    <w:rsid w:val="00EA4A51"/>
    <w:rsid w:val="00EA4D5B"/>
    <w:rsid w:val="00EA5068"/>
    <w:rsid w:val="00EA5083"/>
    <w:rsid w:val="00EA50F3"/>
    <w:rsid w:val="00EA5534"/>
    <w:rsid w:val="00EA5748"/>
    <w:rsid w:val="00EA5983"/>
    <w:rsid w:val="00EA5AE1"/>
    <w:rsid w:val="00EA5BEE"/>
    <w:rsid w:val="00EA5D10"/>
    <w:rsid w:val="00EA5E34"/>
    <w:rsid w:val="00EA5E98"/>
    <w:rsid w:val="00EA5F29"/>
    <w:rsid w:val="00EA5FD3"/>
    <w:rsid w:val="00EA6219"/>
    <w:rsid w:val="00EA6269"/>
    <w:rsid w:val="00EA62FD"/>
    <w:rsid w:val="00EA63AD"/>
    <w:rsid w:val="00EA644C"/>
    <w:rsid w:val="00EA64BE"/>
    <w:rsid w:val="00EA666E"/>
    <w:rsid w:val="00EA67EF"/>
    <w:rsid w:val="00EA6801"/>
    <w:rsid w:val="00EA68E7"/>
    <w:rsid w:val="00EA6B47"/>
    <w:rsid w:val="00EA6DF5"/>
    <w:rsid w:val="00EA6E0F"/>
    <w:rsid w:val="00EA7113"/>
    <w:rsid w:val="00EA7230"/>
    <w:rsid w:val="00EA7565"/>
    <w:rsid w:val="00EA7845"/>
    <w:rsid w:val="00EA7A6B"/>
    <w:rsid w:val="00EA7BAB"/>
    <w:rsid w:val="00EB0024"/>
    <w:rsid w:val="00EB00FE"/>
    <w:rsid w:val="00EB00FF"/>
    <w:rsid w:val="00EB0144"/>
    <w:rsid w:val="00EB04C2"/>
    <w:rsid w:val="00EB0523"/>
    <w:rsid w:val="00EB076C"/>
    <w:rsid w:val="00EB0817"/>
    <w:rsid w:val="00EB0929"/>
    <w:rsid w:val="00EB0939"/>
    <w:rsid w:val="00EB0DD1"/>
    <w:rsid w:val="00EB0F7A"/>
    <w:rsid w:val="00EB1195"/>
    <w:rsid w:val="00EB13CB"/>
    <w:rsid w:val="00EB140A"/>
    <w:rsid w:val="00EB1641"/>
    <w:rsid w:val="00EB1732"/>
    <w:rsid w:val="00EB1AC5"/>
    <w:rsid w:val="00EB1DE7"/>
    <w:rsid w:val="00EB1E33"/>
    <w:rsid w:val="00EB2261"/>
    <w:rsid w:val="00EB24F2"/>
    <w:rsid w:val="00EB250B"/>
    <w:rsid w:val="00EB27B7"/>
    <w:rsid w:val="00EB2C97"/>
    <w:rsid w:val="00EB2CCA"/>
    <w:rsid w:val="00EB2ED7"/>
    <w:rsid w:val="00EB2F61"/>
    <w:rsid w:val="00EB3360"/>
    <w:rsid w:val="00EB3395"/>
    <w:rsid w:val="00EB3785"/>
    <w:rsid w:val="00EB386D"/>
    <w:rsid w:val="00EB395B"/>
    <w:rsid w:val="00EB3AA4"/>
    <w:rsid w:val="00EB3C4E"/>
    <w:rsid w:val="00EB3CDA"/>
    <w:rsid w:val="00EB3F32"/>
    <w:rsid w:val="00EB41BF"/>
    <w:rsid w:val="00EB441C"/>
    <w:rsid w:val="00EB4581"/>
    <w:rsid w:val="00EB4600"/>
    <w:rsid w:val="00EB478E"/>
    <w:rsid w:val="00EB47F8"/>
    <w:rsid w:val="00EB496A"/>
    <w:rsid w:val="00EB4A21"/>
    <w:rsid w:val="00EB4A67"/>
    <w:rsid w:val="00EB4A86"/>
    <w:rsid w:val="00EB4AD8"/>
    <w:rsid w:val="00EB4DDA"/>
    <w:rsid w:val="00EB4FB2"/>
    <w:rsid w:val="00EB50B7"/>
    <w:rsid w:val="00EB5292"/>
    <w:rsid w:val="00EB52C1"/>
    <w:rsid w:val="00EB5435"/>
    <w:rsid w:val="00EB5518"/>
    <w:rsid w:val="00EB55B7"/>
    <w:rsid w:val="00EB55DB"/>
    <w:rsid w:val="00EB568C"/>
    <w:rsid w:val="00EB5692"/>
    <w:rsid w:val="00EB5794"/>
    <w:rsid w:val="00EB59AB"/>
    <w:rsid w:val="00EB5A8A"/>
    <w:rsid w:val="00EB5ACD"/>
    <w:rsid w:val="00EB5C6E"/>
    <w:rsid w:val="00EB6345"/>
    <w:rsid w:val="00EB63C8"/>
    <w:rsid w:val="00EB64A3"/>
    <w:rsid w:val="00EB6528"/>
    <w:rsid w:val="00EB66AD"/>
    <w:rsid w:val="00EB6738"/>
    <w:rsid w:val="00EB67E9"/>
    <w:rsid w:val="00EB682A"/>
    <w:rsid w:val="00EB6A01"/>
    <w:rsid w:val="00EB6BFC"/>
    <w:rsid w:val="00EB6D83"/>
    <w:rsid w:val="00EB6E90"/>
    <w:rsid w:val="00EB6E9E"/>
    <w:rsid w:val="00EB7204"/>
    <w:rsid w:val="00EB72C2"/>
    <w:rsid w:val="00EB747E"/>
    <w:rsid w:val="00EB75E6"/>
    <w:rsid w:val="00EB76C2"/>
    <w:rsid w:val="00EB76E3"/>
    <w:rsid w:val="00EB76F9"/>
    <w:rsid w:val="00EB7D09"/>
    <w:rsid w:val="00EB7DE1"/>
    <w:rsid w:val="00EB7E72"/>
    <w:rsid w:val="00EC0036"/>
    <w:rsid w:val="00EC00DD"/>
    <w:rsid w:val="00EC019D"/>
    <w:rsid w:val="00EC0862"/>
    <w:rsid w:val="00EC09F8"/>
    <w:rsid w:val="00EC0BDA"/>
    <w:rsid w:val="00EC0C77"/>
    <w:rsid w:val="00EC0DBF"/>
    <w:rsid w:val="00EC0FC9"/>
    <w:rsid w:val="00EC106A"/>
    <w:rsid w:val="00EC1095"/>
    <w:rsid w:val="00EC12F6"/>
    <w:rsid w:val="00EC150C"/>
    <w:rsid w:val="00EC1589"/>
    <w:rsid w:val="00EC15E7"/>
    <w:rsid w:val="00EC170B"/>
    <w:rsid w:val="00EC19C9"/>
    <w:rsid w:val="00EC19EA"/>
    <w:rsid w:val="00EC19FC"/>
    <w:rsid w:val="00EC1D62"/>
    <w:rsid w:val="00EC1E7E"/>
    <w:rsid w:val="00EC1FAF"/>
    <w:rsid w:val="00EC2025"/>
    <w:rsid w:val="00EC2070"/>
    <w:rsid w:val="00EC218C"/>
    <w:rsid w:val="00EC2593"/>
    <w:rsid w:val="00EC2599"/>
    <w:rsid w:val="00EC25E9"/>
    <w:rsid w:val="00EC2618"/>
    <w:rsid w:val="00EC268B"/>
    <w:rsid w:val="00EC27F7"/>
    <w:rsid w:val="00EC29F7"/>
    <w:rsid w:val="00EC2A8B"/>
    <w:rsid w:val="00EC2B4F"/>
    <w:rsid w:val="00EC2C59"/>
    <w:rsid w:val="00EC2C92"/>
    <w:rsid w:val="00EC2F09"/>
    <w:rsid w:val="00EC2F92"/>
    <w:rsid w:val="00EC2F99"/>
    <w:rsid w:val="00EC2FCF"/>
    <w:rsid w:val="00EC301E"/>
    <w:rsid w:val="00EC30EA"/>
    <w:rsid w:val="00EC3424"/>
    <w:rsid w:val="00EC3539"/>
    <w:rsid w:val="00EC3963"/>
    <w:rsid w:val="00EC39D2"/>
    <w:rsid w:val="00EC39D6"/>
    <w:rsid w:val="00EC3A27"/>
    <w:rsid w:val="00EC3AD3"/>
    <w:rsid w:val="00EC3F11"/>
    <w:rsid w:val="00EC3F48"/>
    <w:rsid w:val="00EC4048"/>
    <w:rsid w:val="00EC4079"/>
    <w:rsid w:val="00EC418D"/>
    <w:rsid w:val="00EC439B"/>
    <w:rsid w:val="00EC4894"/>
    <w:rsid w:val="00EC49A0"/>
    <w:rsid w:val="00EC49C2"/>
    <w:rsid w:val="00EC4A09"/>
    <w:rsid w:val="00EC4E0A"/>
    <w:rsid w:val="00EC4F23"/>
    <w:rsid w:val="00EC4F38"/>
    <w:rsid w:val="00EC4F52"/>
    <w:rsid w:val="00EC5061"/>
    <w:rsid w:val="00EC508F"/>
    <w:rsid w:val="00EC52D6"/>
    <w:rsid w:val="00EC537F"/>
    <w:rsid w:val="00EC53E4"/>
    <w:rsid w:val="00EC55EA"/>
    <w:rsid w:val="00EC56EC"/>
    <w:rsid w:val="00EC59AC"/>
    <w:rsid w:val="00EC5AA9"/>
    <w:rsid w:val="00EC5B2D"/>
    <w:rsid w:val="00EC5B72"/>
    <w:rsid w:val="00EC5D6D"/>
    <w:rsid w:val="00EC5E7A"/>
    <w:rsid w:val="00EC5F7F"/>
    <w:rsid w:val="00EC6298"/>
    <w:rsid w:val="00EC63EC"/>
    <w:rsid w:val="00EC6A87"/>
    <w:rsid w:val="00EC6BB3"/>
    <w:rsid w:val="00EC6D79"/>
    <w:rsid w:val="00EC6DC2"/>
    <w:rsid w:val="00EC70C1"/>
    <w:rsid w:val="00EC739A"/>
    <w:rsid w:val="00EC7928"/>
    <w:rsid w:val="00EC7A66"/>
    <w:rsid w:val="00EC7ABC"/>
    <w:rsid w:val="00EC7D1E"/>
    <w:rsid w:val="00EC7ED6"/>
    <w:rsid w:val="00EC7FB4"/>
    <w:rsid w:val="00ED014F"/>
    <w:rsid w:val="00ED016F"/>
    <w:rsid w:val="00ED0241"/>
    <w:rsid w:val="00ED0250"/>
    <w:rsid w:val="00ED04B5"/>
    <w:rsid w:val="00ED0587"/>
    <w:rsid w:val="00ED0712"/>
    <w:rsid w:val="00ED082A"/>
    <w:rsid w:val="00ED09C2"/>
    <w:rsid w:val="00ED09F1"/>
    <w:rsid w:val="00ED0D4C"/>
    <w:rsid w:val="00ED0ECD"/>
    <w:rsid w:val="00ED0FB9"/>
    <w:rsid w:val="00ED1129"/>
    <w:rsid w:val="00ED1337"/>
    <w:rsid w:val="00ED135E"/>
    <w:rsid w:val="00ED1555"/>
    <w:rsid w:val="00ED15E4"/>
    <w:rsid w:val="00ED17EA"/>
    <w:rsid w:val="00ED1C6B"/>
    <w:rsid w:val="00ED1C9B"/>
    <w:rsid w:val="00ED226B"/>
    <w:rsid w:val="00ED227B"/>
    <w:rsid w:val="00ED235D"/>
    <w:rsid w:val="00ED25A9"/>
    <w:rsid w:val="00ED281E"/>
    <w:rsid w:val="00ED2826"/>
    <w:rsid w:val="00ED286E"/>
    <w:rsid w:val="00ED298B"/>
    <w:rsid w:val="00ED29A3"/>
    <w:rsid w:val="00ED2BA8"/>
    <w:rsid w:val="00ED2CE3"/>
    <w:rsid w:val="00ED2CFE"/>
    <w:rsid w:val="00ED2DEC"/>
    <w:rsid w:val="00ED308B"/>
    <w:rsid w:val="00ED345F"/>
    <w:rsid w:val="00ED34A3"/>
    <w:rsid w:val="00ED352E"/>
    <w:rsid w:val="00ED3701"/>
    <w:rsid w:val="00ED37F8"/>
    <w:rsid w:val="00ED38A9"/>
    <w:rsid w:val="00ED38B6"/>
    <w:rsid w:val="00ED39A2"/>
    <w:rsid w:val="00ED3B8B"/>
    <w:rsid w:val="00ED3BFC"/>
    <w:rsid w:val="00ED3DAB"/>
    <w:rsid w:val="00ED3E27"/>
    <w:rsid w:val="00ED3EDA"/>
    <w:rsid w:val="00ED4016"/>
    <w:rsid w:val="00ED413D"/>
    <w:rsid w:val="00ED45AB"/>
    <w:rsid w:val="00ED47AE"/>
    <w:rsid w:val="00ED487D"/>
    <w:rsid w:val="00ED4B2D"/>
    <w:rsid w:val="00ED4D4F"/>
    <w:rsid w:val="00ED4E16"/>
    <w:rsid w:val="00ED4E69"/>
    <w:rsid w:val="00ED4F50"/>
    <w:rsid w:val="00ED4F91"/>
    <w:rsid w:val="00ED5131"/>
    <w:rsid w:val="00ED51A0"/>
    <w:rsid w:val="00ED5348"/>
    <w:rsid w:val="00ED53CA"/>
    <w:rsid w:val="00ED562E"/>
    <w:rsid w:val="00ED57AA"/>
    <w:rsid w:val="00ED5A01"/>
    <w:rsid w:val="00ED5A8F"/>
    <w:rsid w:val="00ED5B7E"/>
    <w:rsid w:val="00ED5B97"/>
    <w:rsid w:val="00ED5BC5"/>
    <w:rsid w:val="00ED5DB5"/>
    <w:rsid w:val="00ED5E19"/>
    <w:rsid w:val="00ED6243"/>
    <w:rsid w:val="00ED62C0"/>
    <w:rsid w:val="00ED630D"/>
    <w:rsid w:val="00ED6451"/>
    <w:rsid w:val="00ED6486"/>
    <w:rsid w:val="00ED6570"/>
    <w:rsid w:val="00ED6853"/>
    <w:rsid w:val="00ED68DC"/>
    <w:rsid w:val="00ED6DFF"/>
    <w:rsid w:val="00ED6F0E"/>
    <w:rsid w:val="00ED7241"/>
    <w:rsid w:val="00ED73B7"/>
    <w:rsid w:val="00ED7427"/>
    <w:rsid w:val="00ED786D"/>
    <w:rsid w:val="00ED78C2"/>
    <w:rsid w:val="00ED79AB"/>
    <w:rsid w:val="00ED7B54"/>
    <w:rsid w:val="00ED7C4E"/>
    <w:rsid w:val="00ED7C72"/>
    <w:rsid w:val="00EE0184"/>
    <w:rsid w:val="00EE01AB"/>
    <w:rsid w:val="00EE0205"/>
    <w:rsid w:val="00EE02E0"/>
    <w:rsid w:val="00EE0425"/>
    <w:rsid w:val="00EE04DE"/>
    <w:rsid w:val="00EE0540"/>
    <w:rsid w:val="00EE05A5"/>
    <w:rsid w:val="00EE079F"/>
    <w:rsid w:val="00EE0898"/>
    <w:rsid w:val="00EE08F8"/>
    <w:rsid w:val="00EE0971"/>
    <w:rsid w:val="00EE0ADC"/>
    <w:rsid w:val="00EE0ADD"/>
    <w:rsid w:val="00EE0B0B"/>
    <w:rsid w:val="00EE0B15"/>
    <w:rsid w:val="00EE0C6D"/>
    <w:rsid w:val="00EE0D30"/>
    <w:rsid w:val="00EE0FE9"/>
    <w:rsid w:val="00EE1052"/>
    <w:rsid w:val="00EE11A2"/>
    <w:rsid w:val="00EE129A"/>
    <w:rsid w:val="00EE13A8"/>
    <w:rsid w:val="00EE15C8"/>
    <w:rsid w:val="00EE1617"/>
    <w:rsid w:val="00EE167B"/>
    <w:rsid w:val="00EE17A9"/>
    <w:rsid w:val="00EE1954"/>
    <w:rsid w:val="00EE1A6B"/>
    <w:rsid w:val="00EE1AA0"/>
    <w:rsid w:val="00EE1B2A"/>
    <w:rsid w:val="00EE1E45"/>
    <w:rsid w:val="00EE1EEC"/>
    <w:rsid w:val="00EE1F26"/>
    <w:rsid w:val="00EE2233"/>
    <w:rsid w:val="00EE2419"/>
    <w:rsid w:val="00EE24AE"/>
    <w:rsid w:val="00EE24B9"/>
    <w:rsid w:val="00EE24C2"/>
    <w:rsid w:val="00EE2588"/>
    <w:rsid w:val="00EE28DA"/>
    <w:rsid w:val="00EE29ED"/>
    <w:rsid w:val="00EE2A37"/>
    <w:rsid w:val="00EE2D26"/>
    <w:rsid w:val="00EE2D67"/>
    <w:rsid w:val="00EE2E15"/>
    <w:rsid w:val="00EE2EC5"/>
    <w:rsid w:val="00EE2F5B"/>
    <w:rsid w:val="00EE2FA9"/>
    <w:rsid w:val="00EE31E4"/>
    <w:rsid w:val="00EE3241"/>
    <w:rsid w:val="00EE34CE"/>
    <w:rsid w:val="00EE376D"/>
    <w:rsid w:val="00EE37A8"/>
    <w:rsid w:val="00EE38E3"/>
    <w:rsid w:val="00EE3912"/>
    <w:rsid w:val="00EE3AD3"/>
    <w:rsid w:val="00EE3B1B"/>
    <w:rsid w:val="00EE3BC0"/>
    <w:rsid w:val="00EE3CAA"/>
    <w:rsid w:val="00EE3DD5"/>
    <w:rsid w:val="00EE4056"/>
    <w:rsid w:val="00EE4291"/>
    <w:rsid w:val="00EE4339"/>
    <w:rsid w:val="00EE4523"/>
    <w:rsid w:val="00EE46A6"/>
    <w:rsid w:val="00EE4A98"/>
    <w:rsid w:val="00EE4AD5"/>
    <w:rsid w:val="00EE4DAE"/>
    <w:rsid w:val="00EE4DF3"/>
    <w:rsid w:val="00EE4EDF"/>
    <w:rsid w:val="00EE4F79"/>
    <w:rsid w:val="00EE51B4"/>
    <w:rsid w:val="00EE526F"/>
    <w:rsid w:val="00EE552E"/>
    <w:rsid w:val="00EE5586"/>
    <w:rsid w:val="00EE578C"/>
    <w:rsid w:val="00EE5895"/>
    <w:rsid w:val="00EE5CBA"/>
    <w:rsid w:val="00EE5D3B"/>
    <w:rsid w:val="00EE5D5A"/>
    <w:rsid w:val="00EE5F50"/>
    <w:rsid w:val="00EE5FA7"/>
    <w:rsid w:val="00EE60D9"/>
    <w:rsid w:val="00EE6181"/>
    <w:rsid w:val="00EE668E"/>
    <w:rsid w:val="00EE68DD"/>
    <w:rsid w:val="00EE694A"/>
    <w:rsid w:val="00EE696A"/>
    <w:rsid w:val="00EE6AD2"/>
    <w:rsid w:val="00EE6E00"/>
    <w:rsid w:val="00EE7061"/>
    <w:rsid w:val="00EE7151"/>
    <w:rsid w:val="00EE7244"/>
    <w:rsid w:val="00EE7283"/>
    <w:rsid w:val="00EE72BA"/>
    <w:rsid w:val="00EE75E4"/>
    <w:rsid w:val="00EE75E6"/>
    <w:rsid w:val="00EE78E1"/>
    <w:rsid w:val="00EE799E"/>
    <w:rsid w:val="00EE7A97"/>
    <w:rsid w:val="00EE7AA3"/>
    <w:rsid w:val="00EE7C1A"/>
    <w:rsid w:val="00EE7C64"/>
    <w:rsid w:val="00EE7CD0"/>
    <w:rsid w:val="00EE7E5B"/>
    <w:rsid w:val="00EE7F04"/>
    <w:rsid w:val="00EE7F55"/>
    <w:rsid w:val="00EF0034"/>
    <w:rsid w:val="00EF02EA"/>
    <w:rsid w:val="00EF036B"/>
    <w:rsid w:val="00EF03EF"/>
    <w:rsid w:val="00EF0631"/>
    <w:rsid w:val="00EF0928"/>
    <w:rsid w:val="00EF0A0D"/>
    <w:rsid w:val="00EF0B61"/>
    <w:rsid w:val="00EF0CFB"/>
    <w:rsid w:val="00EF0D0E"/>
    <w:rsid w:val="00EF0D23"/>
    <w:rsid w:val="00EF0D39"/>
    <w:rsid w:val="00EF108D"/>
    <w:rsid w:val="00EF10A8"/>
    <w:rsid w:val="00EF1124"/>
    <w:rsid w:val="00EF1273"/>
    <w:rsid w:val="00EF1359"/>
    <w:rsid w:val="00EF1366"/>
    <w:rsid w:val="00EF142E"/>
    <w:rsid w:val="00EF161E"/>
    <w:rsid w:val="00EF17AF"/>
    <w:rsid w:val="00EF1808"/>
    <w:rsid w:val="00EF186A"/>
    <w:rsid w:val="00EF18B0"/>
    <w:rsid w:val="00EF18F8"/>
    <w:rsid w:val="00EF1C38"/>
    <w:rsid w:val="00EF1D1E"/>
    <w:rsid w:val="00EF1D6E"/>
    <w:rsid w:val="00EF1DB1"/>
    <w:rsid w:val="00EF22BC"/>
    <w:rsid w:val="00EF28D4"/>
    <w:rsid w:val="00EF2AC6"/>
    <w:rsid w:val="00EF2B99"/>
    <w:rsid w:val="00EF2DB7"/>
    <w:rsid w:val="00EF2DCC"/>
    <w:rsid w:val="00EF31AA"/>
    <w:rsid w:val="00EF31C6"/>
    <w:rsid w:val="00EF32CD"/>
    <w:rsid w:val="00EF333A"/>
    <w:rsid w:val="00EF3515"/>
    <w:rsid w:val="00EF3648"/>
    <w:rsid w:val="00EF3912"/>
    <w:rsid w:val="00EF395F"/>
    <w:rsid w:val="00EF3999"/>
    <w:rsid w:val="00EF3AFA"/>
    <w:rsid w:val="00EF3B04"/>
    <w:rsid w:val="00EF3B15"/>
    <w:rsid w:val="00EF3B2B"/>
    <w:rsid w:val="00EF3B88"/>
    <w:rsid w:val="00EF3EF2"/>
    <w:rsid w:val="00EF42D4"/>
    <w:rsid w:val="00EF4347"/>
    <w:rsid w:val="00EF43FE"/>
    <w:rsid w:val="00EF47D9"/>
    <w:rsid w:val="00EF4820"/>
    <w:rsid w:val="00EF4A39"/>
    <w:rsid w:val="00EF4AE8"/>
    <w:rsid w:val="00EF4AF5"/>
    <w:rsid w:val="00EF4D88"/>
    <w:rsid w:val="00EF4DD6"/>
    <w:rsid w:val="00EF5089"/>
    <w:rsid w:val="00EF5204"/>
    <w:rsid w:val="00EF527F"/>
    <w:rsid w:val="00EF574C"/>
    <w:rsid w:val="00EF5981"/>
    <w:rsid w:val="00EF5982"/>
    <w:rsid w:val="00EF5B1B"/>
    <w:rsid w:val="00EF5D45"/>
    <w:rsid w:val="00EF61BE"/>
    <w:rsid w:val="00EF6251"/>
    <w:rsid w:val="00EF6384"/>
    <w:rsid w:val="00EF6D4F"/>
    <w:rsid w:val="00EF7186"/>
    <w:rsid w:val="00EF7358"/>
    <w:rsid w:val="00EF7360"/>
    <w:rsid w:val="00EF7379"/>
    <w:rsid w:val="00EF738A"/>
    <w:rsid w:val="00EF74CA"/>
    <w:rsid w:val="00EF7625"/>
    <w:rsid w:val="00EF7922"/>
    <w:rsid w:val="00EF7A71"/>
    <w:rsid w:val="00EF7B72"/>
    <w:rsid w:val="00EF7C98"/>
    <w:rsid w:val="00EF7DA1"/>
    <w:rsid w:val="00EF7F64"/>
    <w:rsid w:val="00EF7F8D"/>
    <w:rsid w:val="00F00113"/>
    <w:rsid w:val="00F00277"/>
    <w:rsid w:val="00F0040C"/>
    <w:rsid w:val="00F0051B"/>
    <w:rsid w:val="00F00532"/>
    <w:rsid w:val="00F005B3"/>
    <w:rsid w:val="00F005C0"/>
    <w:rsid w:val="00F00719"/>
    <w:rsid w:val="00F00789"/>
    <w:rsid w:val="00F00AF4"/>
    <w:rsid w:val="00F00F03"/>
    <w:rsid w:val="00F01284"/>
    <w:rsid w:val="00F01B83"/>
    <w:rsid w:val="00F01B8C"/>
    <w:rsid w:val="00F01BCB"/>
    <w:rsid w:val="00F01FC5"/>
    <w:rsid w:val="00F0223D"/>
    <w:rsid w:val="00F02672"/>
    <w:rsid w:val="00F0279B"/>
    <w:rsid w:val="00F02922"/>
    <w:rsid w:val="00F02C63"/>
    <w:rsid w:val="00F02CE0"/>
    <w:rsid w:val="00F02E88"/>
    <w:rsid w:val="00F02FCE"/>
    <w:rsid w:val="00F0301A"/>
    <w:rsid w:val="00F030B8"/>
    <w:rsid w:val="00F03156"/>
    <w:rsid w:val="00F033A4"/>
    <w:rsid w:val="00F0346D"/>
    <w:rsid w:val="00F034A0"/>
    <w:rsid w:val="00F034C2"/>
    <w:rsid w:val="00F035CA"/>
    <w:rsid w:val="00F03784"/>
    <w:rsid w:val="00F03830"/>
    <w:rsid w:val="00F03A44"/>
    <w:rsid w:val="00F03B15"/>
    <w:rsid w:val="00F03CB5"/>
    <w:rsid w:val="00F03E51"/>
    <w:rsid w:val="00F03F53"/>
    <w:rsid w:val="00F03FE5"/>
    <w:rsid w:val="00F03FFF"/>
    <w:rsid w:val="00F04092"/>
    <w:rsid w:val="00F04116"/>
    <w:rsid w:val="00F04374"/>
    <w:rsid w:val="00F044AE"/>
    <w:rsid w:val="00F045E2"/>
    <w:rsid w:val="00F04918"/>
    <w:rsid w:val="00F049FB"/>
    <w:rsid w:val="00F04A56"/>
    <w:rsid w:val="00F04AB2"/>
    <w:rsid w:val="00F04C29"/>
    <w:rsid w:val="00F04F6B"/>
    <w:rsid w:val="00F050A0"/>
    <w:rsid w:val="00F050F0"/>
    <w:rsid w:val="00F051A7"/>
    <w:rsid w:val="00F05215"/>
    <w:rsid w:val="00F05630"/>
    <w:rsid w:val="00F05714"/>
    <w:rsid w:val="00F057E3"/>
    <w:rsid w:val="00F05896"/>
    <w:rsid w:val="00F05C2E"/>
    <w:rsid w:val="00F05C4C"/>
    <w:rsid w:val="00F05C8E"/>
    <w:rsid w:val="00F05D07"/>
    <w:rsid w:val="00F05E5B"/>
    <w:rsid w:val="00F05F28"/>
    <w:rsid w:val="00F06268"/>
    <w:rsid w:val="00F06297"/>
    <w:rsid w:val="00F06376"/>
    <w:rsid w:val="00F0644B"/>
    <w:rsid w:val="00F0649B"/>
    <w:rsid w:val="00F06582"/>
    <w:rsid w:val="00F065B3"/>
    <w:rsid w:val="00F06626"/>
    <w:rsid w:val="00F06731"/>
    <w:rsid w:val="00F067B7"/>
    <w:rsid w:val="00F06873"/>
    <w:rsid w:val="00F06D96"/>
    <w:rsid w:val="00F06DE6"/>
    <w:rsid w:val="00F06FCC"/>
    <w:rsid w:val="00F06FF6"/>
    <w:rsid w:val="00F0709E"/>
    <w:rsid w:val="00F0714D"/>
    <w:rsid w:val="00F073C2"/>
    <w:rsid w:val="00F07715"/>
    <w:rsid w:val="00F07802"/>
    <w:rsid w:val="00F07835"/>
    <w:rsid w:val="00F07841"/>
    <w:rsid w:val="00F0784F"/>
    <w:rsid w:val="00F07916"/>
    <w:rsid w:val="00F0792A"/>
    <w:rsid w:val="00F079D4"/>
    <w:rsid w:val="00F07B2D"/>
    <w:rsid w:val="00F07B6A"/>
    <w:rsid w:val="00F07BCB"/>
    <w:rsid w:val="00F07D1A"/>
    <w:rsid w:val="00F07E19"/>
    <w:rsid w:val="00F1017D"/>
    <w:rsid w:val="00F102B2"/>
    <w:rsid w:val="00F104A6"/>
    <w:rsid w:val="00F10623"/>
    <w:rsid w:val="00F10652"/>
    <w:rsid w:val="00F106A7"/>
    <w:rsid w:val="00F1073F"/>
    <w:rsid w:val="00F10870"/>
    <w:rsid w:val="00F1090C"/>
    <w:rsid w:val="00F10AD7"/>
    <w:rsid w:val="00F10C87"/>
    <w:rsid w:val="00F10D28"/>
    <w:rsid w:val="00F10D52"/>
    <w:rsid w:val="00F10E5D"/>
    <w:rsid w:val="00F10FF9"/>
    <w:rsid w:val="00F11099"/>
    <w:rsid w:val="00F111FC"/>
    <w:rsid w:val="00F11212"/>
    <w:rsid w:val="00F11335"/>
    <w:rsid w:val="00F11499"/>
    <w:rsid w:val="00F11552"/>
    <w:rsid w:val="00F1163C"/>
    <w:rsid w:val="00F11A57"/>
    <w:rsid w:val="00F11CD8"/>
    <w:rsid w:val="00F11D8A"/>
    <w:rsid w:val="00F11EAD"/>
    <w:rsid w:val="00F11F1E"/>
    <w:rsid w:val="00F1237F"/>
    <w:rsid w:val="00F1248C"/>
    <w:rsid w:val="00F12526"/>
    <w:rsid w:val="00F12567"/>
    <w:rsid w:val="00F12632"/>
    <w:rsid w:val="00F12647"/>
    <w:rsid w:val="00F12718"/>
    <w:rsid w:val="00F12870"/>
    <w:rsid w:val="00F12AE3"/>
    <w:rsid w:val="00F12C9E"/>
    <w:rsid w:val="00F12D03"/>
    <w:rsid w:val="00F12D5D"/>
    <w:rsid w:val="00F12DED"/>
    <w:rsid w:val="00F12EBF"/>
    <w:rsid w:val="00F130A1"/>
    <w:rsid w:val="00F132BC"/>
    <w:rsid w:val="00F132EC"/>
    <w:rsid w:val="00F1365E"/>
    <w:rsid w:val="00F1367D"/>
    <w:rsid w:val="00F13687"/>
    <w:rsid w:val="00F1368F"/>
    <w:rsid w:val="00F1379B"/>
    <w:rsid w:val="00F138B5"/>
    <w:rsid w:val="00F13A39"/>
    <w:rsid w:val="00F13AE6"/>
    <w:rsid w:val="00F13B28"/>
    <w:rsid w:val="00F13B30"/>
    <w:rsid w:val="00F13C37"/>
    <w:rsid w:val="00F13D34"/>
    <w:rsid w:val="00F13E69"/>
    <w:rsid w:val="00F13EE0"/>
    <w:rsid w:val="00F13FAA"/>
    <w:rsid w:val="00F14417"/>
    <w:rsid w:val="00F144AA"/>
    <w:rsid w:val="00F14632"/>
    <w:rsid w:val="00F14735"/>
    <w:rsid w:val="00F1495E"/>
    <w:rsid w:val="00F149B8"/>
    <w:rsid w:val="00F14C5A"/>
    <w:rsid w:val="00F14D73"/>
    <w:rsid w:val="00F14DCD"/>
    <w:rsid w:val="00F14EE7"/>
    <w:rsid w:val="00F15167"/>
    <w:rsid w:val="00F15516"/>
    <w:rsid w:val="00F1561C"/>
    <w:rsid w:val="00F1575C"/>
    <w:rsid w:val="00F1576D"/>
    <w:rsid w:val="00F15958"/>
    <w:rsid w:val="00F15982"/>
    <w:rsid w:val="00F159A6"/>
    <w:rsid w:val="00F159EF"/>
    <w:rsid w:val="00F15E0D"/>
    <w:rsid w:val="00F15F19"/>
    <w:rsid w:val="00F1621C"/>
    <w:rsid w:val="00F16234"/>
    <w:rsid w:val="00F163EB"/>
    <w:rsid w:val="00F164EE"/>
    <w:rsid w:val="00F1654D"/>
    <w:rsid w:val="00F1669A"/>
    <w:rsid w:val="00F16705"/>
    <w:rsid w:val="00F16742"/>
    <w:rsid w:val="00F167B1"/>
    <w:rsid w:val="00F1698F"/>
    <w:rsid w:val="00F16A1A"/>
    <w:rsid w:val="00F16CDD"/>
    <w:rsid w:val="00F1729C"/>
    <w:rsid w:val="00F17392"/>
    <w:rsid w:val="00F1757E"/>
    <w:rsid w:val="00F17715"/>
    <w:rsid w:val="00F1778C"/>
    <w:rsid w:val="00F177B3"/>
    <w:rsid w:val="00F17961"/>
    <w:rsid w:val="00F1797E"/>
    <w:rsid w:val="00F17A55"/>
    <w:rsid w:val="00F17AD0"/>
    <w:rsid w:val="00F17B7F"/>
    <w:rsid w:val="00F17C64"/>
    <w:rsid w:val="00F17D0D"/>
    <w:rsid w:val="00F17E10"/>
    <w:rsid w:val="00F17E62"/>
    <w:rsid w:val="00F20007"/>
    <w:rsid w:val="00F20491"/>
    <w:rsid w:val="00F20807"/>
    <w:rsid w:val="00F208DF"/>
    <w:rsid w:val="00F20A37"/>
    <w:rsid w:val="00F20C06"/>
    <w:rsid w:val="00F20D48"/>
    <w:rsid w:val="00F20E7D"/>
    <w:rsid w:val="00F20F05"/>
    <w:rsid w:val="00F21071"/>
    <w:rsid w:val="00F211D6"/>
    <w:rsid w:val="00F2125E"/>
    <w:rsid w:val="00F21307"/>
    <w:rsid w:val="00F21679"/>
    <w:rsid w:val="00F216C9"/>
    <w:rsid w:val="00F2175C"/>
    <w:rsid w:val="00F21B50"/>
    <w:rsid w:val="00F21D47"/>
    <w:rsid w:val="00F21DC9"/>
    <w:rsid w:val="00F21DDB"/>
    <w:rsid w:val="00F21F4E"/>
    <w:rsid w:val="00F21FC3"/>
    <w:rsid w:val="00F220F4"/>
    <w:rsid w:val="00F22113"/>
    <w:rsid w:val="00F22143"/>
    <w:rsid w:val="00F2215D"/>
    <w:rsid w:val="00F223F1"/>
    <w:rsid w:val="00F2243E"/>
    <w:rsid w:val="00F22516"/>
    <w:rsid w:val="00F22627"/>
    <w:rsid w:val="00F22657"/>
    <w:rsid w:val="00F23193"/>
    <w:rsid w:val="00F23486"/>
    <w:rsid w:val="00F23548"/>
    <w:rsid w:val="00F235A5"/>
    <w:rsid w:val="00F235D1"/>
    <w:rsid w:val="00F2365D"/>
    <w:rsid w:val="00F2369A"/>
    <w:rsid w:val="00F236B1"/>
    <w:rsid w:val="00F23882"/>
    <w:rsid w:val="00F23AF1"/>
    <w:rsid w:val="00F23C12"/>
    <w:rsid w:val="00F23DDE"/>
    <w:rsid w:val="00F23E0A"/>
    <w:rsid w:val="00F23FCE"/>
    <w:rsid w:val="00F242CE"/>
    <w:rsid w:val="00F244AA"/>
    <w:rsid w:val="00F245D5"/>
    <w:rsid w:val="00F2464A"/>
    <w:rsid w:val="00F24737"/>
    <w:rsid w:val="00F248C2"/>
    <w:rsid w:val="00F24ACA"/>
    <w:rsid w:val="00F24CEE"/>
    <w:rsid w:val="00F25263"/>
    <w:rsid w:val="00F2528A"/>
    <w:rsid w:val="00F2537D"/>
    <w:rsid w:val="00F253D6"/>
    <w:rsid w:val="00F253E2"/>
    <w:rsid w:val="00F254CD"/>
    <w:rsid w:val="00F2563C"/>
    <w:rsid w:val="00F25795"/>
    <w:rsid w:val="00F25809"/>
    <w:rsid w:val="00F25822"/>
    <w:rsid w:val="00F25874"/>
    <w:rsid w:val="00F259C2"/>
    <w:rsid w:val="00F259C9"/>
    <w:rsid w:val="00F25A9C"/>
    <w:rsid w:val="00F25AD5"/>
    <w:rsid w:val="00F25D23"/>
    <w:rsid w:val="00F25DAE"/>
    <w:rsid w:val="00F25E62"/>
    <w:rsid w:val="00F26006"/>
    <w:rsid w:val="00F2609F"/>
    <w:rsid w:val="00F26193"/>
    <w:rsid w:val="00F26263"/>
    <w:rsid w:val="00F262AC"/>
    <w:rsid w:val="00F264F1"/>
    <w:rsid w:val="00F26A91"/>
    <w:rsid w:val="00F26EC3"/>
    <w:rsid w:val="00F26F78"/>
    <w:rsid w:val="00F27005"/>
    <w:rsid w:val="00F27066"/>
    <w:rsid w:val="00F270B5"/>
    <w:rsid w:val="00F273BE"/>
    <w:rsid w:val="00F27400"/>
    <w:rsid w:val="00F27590"/>
    <w:rsid w:val="00F2797C"/>
    <w:rsid w:val="00F27BD5"/>
    <w:rsid w:val="00F27C4B"/>
    <w:rsid w:val="00F27CC8"/>
    <w:rsid w:val="00F27ECC"/>
    <w:rsid w:val="00F27FA3"/>
    <w:rsid w:val="00F27FAB"/>
    <w:rsid w:val="00F300E1"/>
    <w:rsid w:val="00F30107"/>
    <w:rsid w:val="00F30260"/>
    <w:rsid w:val="00F30417"/>
    <w:rsid w:val="00F30538"/>
    <w:rsid w:val="00F30667"/>
    <w:rsid w:val="00F307D2"/>
    <w:rsid w:val="00F3095D"/>
    <w:rsid w:val="00F30A82"/>
    <w:rsid w:val="00F30AE2"/>
    <w:rsid w:val="00F30DC5"/>
    <w:rsid w:val="00F30EEC"/>
    <w:rsid w:val="00F30F2A"/>
    <w:rsid w:val="00F30FD2"/>
    <w:rsid w:val="00F31053"/>
    <w:rsid w:val="00F3138D"/>
    <w:rsid w:val="00F315DB"/>
    <w:rsid w:val="00F316E2"/>
    <w:rsid w:val="00F31874"/>
    <w:rsid w:val="00F3198C"/>
    <w:rsid w:val="00F31A5B"/>
    <w:rsid w:val="00F31A91"/>
    <w:rsid w:val="00F31F5B"/>
    <w:rsid w:val="00F31FB2"/>
    <w:rsid w:val="00F32272"/>
    <w:rsid w:val="00F3244D"/>
    <w:rsid w:val="00F32488"/>
    <w:rsid w:val="00F324A6"/>
    <w:rsid w:val="00F324E6"/>
    <w:rsid w:val="00F3263D"/>
    <w:rsid w:val="00F329CC"/>
    <w:rsid w:val="00F32A11"/>
    <w:rsid w:val="00F32B2C"/>
    <w:rsid w:val="00F32B61"/>
    <w:rsid w:val="00F32C12"/>
    <w:rsid w:val="00F32EFA"/>
    <w:rsid w:val="00F32F38"/>
    <w:rsid w:val="00F3310F"/>
    <w:rsid w:val="00F3316C"/>
    <w:rsid w:val="00F33408"/>
    <w:rsid w:val="00F3340F"/>
    <w:rsid w:val="00F33497"/>
    <w:rsid w:val="00F3355C"/>
    <w:rsid w:val="00F33673"/>
    <w:rsid w:val="00F33690"/>
    <w:rsid w:val="00F3372E"/>
    <w:rsid w:val="00F337F6"/>
    <w:rsid w:val="00F33839"/>
    <w:rsid w:val="00F33877"/>
    <w:rsid w:val="00F33882"/>
    <w:rsid w:val="00F33954"/>
    <w:rsid w:val="00F3399F"/>
    <w:rsid w:val="00F33A7D"/>
    <w:rsid w:val="00F33F60"/>
    <w:rsid w:val="00F34223"/>
    <w:rsid w:val="00F34262"/>
    <w:rsid w:val="00F342C9"/>
    <w:rsid w:val="00F34412"/>
    <w:rsid w:val="00F34415"/>
    <w:rsid w:val="00F34463"/>
    <w:rsid w:val="00F34583"/>
    <w:rsid w:val="00F348B7"/>
    <w:rsid w:val="00F34962"/>
    <w:rsid w:val="00F34ABD"/>
    <w:rsid w:val="00F34BAE"/>
    <w:rsid w:val="00F34C0E"/>
    <w:rsid w:val="00F34E07"/>
    <w:rsid w:val="00F34E69"/>
    <w:rsid w:val="00F34E88"/>
    <w:rsid w:val="00F34EFA"/>
    <w:rsid w:val="00F34F29"/>
    <w:rsid w:val="00F351A1"/>
    <w:rsid w:val="00F351DA"/>
    <w:rsid w:val="00F351DC"/>
    <w:rsid w:val="00F35347"/>
    <w:rsid w:val="00F353AF"/>
    <w:rsid w:val="00F3540A"/>
    <w:rsid w:val="00F3545F"/>
    <w:rsid w:val="00F35513"/>
    <w:rsid w:val="00F357C4"/>
    <w:rsid w:val="00F357CC"/>
    <w:rsid w:val="00F359D5"/>
    <w:rsid w:val="00F359F7"/>
    <w:rsid w:val="00F35AFB"/>
    <w:rsid w:val="00F35B3F"/>
    <w:rsid w:val="00F35E7A"/>
    <w:rsid w:val="00F35E86"/>
    <w:rsid w:val="00F35FB5"/>
    <w:rsid w:val="00F3627B"/>
    <w:rsid w:val="00F363EA"/>
    <w:rsid w:val="00F36469"/>
    <w:rsid w:val="00F3652F"/>
    <w:rsid w:val="00F3660D"/>
    <w:rsid w:val="00F369AB"/>
    <w:rsid w:val="00F36D2A"/>
    <w:rsid w:val="00F36DE8"/>
    <w:rsid w:val="00F37077"/>
    <w:rsid w:val="00F371A5"/>
    <w:rsid w:val="00F3737E"/>
    <w:rsid w:val="00F373EE"/>
    <w:rsid w:val="00F376E3"/>
    <w:rsid w:val="00F376EF"/>
    <w:rsid w:val="00F3795D"/>
    <w:rsid w:val="00F37B9C"/>
    <w:rsid w:val="00F37BB3"/>
    <w:rsid w:val="00F37DB5"/>
    <w:rsid w:val="00F4025A"/>
    <w:rsid w:val="00F40354"/>
    <w:rsid w:val="00F4057B"/>
    <w:rsid w:val="00F4071B"/>
    <w:rsid w:val="00F4078A"/>
    <w:rsid w:val="00F40BB9"/>
    <w:rsid w:val="00F40C5B"/>
    <w:rsid w:val="00F40D87"/>
    <w:rsid w:val="00F40E33"/>
    <w:rsid w:val="00F40E76"/>
    <w:rsid w:val="00F40ED0"/>
    <w:rsid w:val="00F40F84"/>
    <w:rsid w:val="00F4110B"/>
    <w:rsid w:val="00F41354"/>
    <w:rsid w:val="00F415B8"/>
    <w:rsid w:val="00F4160D"/>
    <w:rsid w:val="00F41655"/>
    <w:rsid w:val="00F41688"/>
    <w:rsid w:val="00F4191F"/>
    <w:rsid w:val="00F41988"/>
    <w:rsid w:val="00F41CF8"/>
    <w:rsid w:val="00F41E86"/>
    <w:rsid w:val="00F42368"/>
    <w:rsid w:val="00F42623"/>
    <w:rsid w:val="00F4274A"/>
    <w:rsid w:val="00F4274C"/>
    <w:rsid w:val="00F4276B"/>
    <w:rsid w:val="00F429CA"/>
    <w:rsid w:val="00F42C04"/>
    <w:rsid w:val="00F42C60"/>
    <w:rsid w:val="00F42E1D"/>
    <w:rsid w:val="00F42EA5"/>
    <w:rsid w:val="00F42FE2"/>
    <w:rsid w:val="00F4309C"/>
    <w:rsid w:val="00F430F6"/>
    <w:rsid w:val="00F4313F"/>
    <w:rsid w:val="00F4335E"/>
    <w:rsid w:val="00F43698"/>
    <w:rsid w:val="00F437CE"/>
    <w:rsid w:val="00F43824"/>
    <w:rsid w:val="00F43B21"/>
    <w:rsid w:val="00F43C11"/>
    <w:rsid w:val="00F43DDE"/>
    <w:rsid w:val="00F44015"/>
    <w:rsid w:val="00F44125"/>
    <w:rsid w:val="00F442C1"/>
    <w:rsid w:val="00F44422"/>
    <w:rsid w:val="00F444B6"/>
    <w:rsid w:val="00F4455F"/>
    <w:rsid w:val="00F44823"/>
    <w:rsid w:val="00F449FD"/>
    <w:rsid w:val="00F44A58"/>
    <w:rsid w:val="00F44BEC"/>
    <w:rsid w:val="00F44C09"/>
    <w:rsid w:val="00F44CFC"/>
    <w:rsid w:val="00F44DA7"/>
    <w:rsid w:val="00F44DC3"/>
    <w:rsid w:val="00F44E16"/>
    <w:rsid w:val="00F44EFE"/>
    <w:rsid w:val="00F450F1"/>
    <w:rsid w:val="00F451EC"/>
    <w:rsid w:val="00F452BC"/>
    <w:rsid w:val="00F45570"/>
    <w:rsid w:val="00F4559A"/>
    <w:rsid w:val="00F458B8"/>
    <w:rsid w:val="00F45F24"/>
    <w:rsid w:val="00F460B9"/>
    <w:rsid w:val="00F460F2"/>
    <w:rsid w:val="00F46187"/>
    <w:rsid w:val="00F4631E"/>
    <w:rsid w:val="00F4640F"/>
    <w:rsid w:val="00F46448"/>
    <w:rsid w:val="00F46461"/>
    <w:rsid w:val="00F4652B"/>
    <w:rsid w:val="00F46540"/>
    <w:rsid w:val="00F46663"/>
    <w:rsid w:val="00F467BC"/>
    <w:rsid w:val="00F469CE"/>
    <w:rsid w:val="00F46A50"/>
    <w:rsid w:val="00F46AD4"/>
    <w:rsid w:val="00F46BC3"/>
    <w:rsid w:val="00F47067"/>
    <w:rsid w:val="00F47273"/>
    <w:rsid w:val="00F47337"/>
    <w:rsid w:val="00F4733F"/>
    <w:rsid w:val="00F47424"/>
    <w:rsid w:val="00F47581"/>
    <w:rsid w:val="00F47593"/>
    <w:rsid w:val="00F47611"/>
    <w:rsid w:val="00F47668"/>
    <w:rsid w:val="00F477A0"/>
    <w:rsid w:val="00F4785F"/>
    <w:rsid w:val="00F479B5"/>
    <w:rsid w:val="00F47A7C"/>
    <w:rsid w:val="00F47B9E"/>
    <w:rsid w:val="00F47C55"/>
    <w:rsid w:val="00F47C5E"/>
    <w:rsid w:val="00F47D82"/>
    <w:rsid w:val="00F47FB6"/>
    <w:rsid w:val="00F50003"/>
    <w:rsid w:val="00F5011B"/>
    <w:rsid w:val="00F50135"/>
    <w:rsid w:val="00F5019A"/>
    <w:rsid w:val="00F50265"/>
    <w:rsid w:val="00F50354"/>
    <w:rsid w:val="00F5040C"/>
    <w:rsid w:val="00F504D7"/>
    <w:rsid w:val="00F5062F"/>
    <w:rsid w:val="00F5063D"/>
    <w:rsid w:val="00F5072B"/>
    <w:rsid w:val="00F507F9"/>
    <w:rsid w:val="00F508A1"/>
    <w:rsid w:val="00F50927"/>
    <w:rsid w:val="00F50CF2"/>
    <w:rsid w:val="00F50DDF"/>
    <w:rsid w:val="00F50E81"/>
    <w:rsid w:val="00F50F79"/>
    <w:rsid w:val="00F5102A"/>
    <w:rsid w:val="00F510C8"/>
    <w:rsid w:val="00F511F1"/>
    <w:rsid w:val="00F514BA"/>
    <w:rsid w:val="00F51508"/>
    <w:rsid w:val="00F51512"/>
    <w:rsid w:val="00F515C5"/>
    <w:rsid w:val="00F5160D"/>
    <w:rsid w:val="00F51658"/>
    <w:rsid w:val="00F51996"/>
    <w:rsid w:val="00F51BE8"/>
    <w:rsid w:val="00F51BF9"/>
    <w:rsid w:val="00F51DD7"/>
    <w:rsid w:val="00F51F31"/>
    <w:rsid w:val="00F51F3C"/>
    <w:rsid w:val="00F52098"/>
    <w:rsid w:val="00F52226"/>
    <w:rsid w:val="00F523D8"/>
    <w:rsid w:val="00F52486"/>
    <w:rsid w:val="00F52787"/>
    <w:rsid w:val="00F5287C"/>
    <w:rsid w:val="00F5292E"/>
    <w:rsid w:val="00F52E9D"/>
    <w:rsid w:val="00F53007"/>
    <w:rsid w:val="00F530F5"/>
    <w:rsid w:val="00F5310E"/>
    <w:rsid w:val="00F53188"/>
    <w:rsid w:val="00F531D9"/>
    <w:rsid w:val="00F531E9"/>
    <w:rsid w:val="00F534FE"/>
    <w:rsid w:val="00F53658"/>
    <w:rsid w:val="00F5366A"/>
    <w:rsid w:val="00F536D2"/>
    <w:rsid w:val="00F536FC"/>
    <w:rsid w:val="00F5372B"/>
    <w:rsid w:val="00F53829"/>
    <w:rsid w:val="00F53834"/>
    <w:rsid w:val="00F53876"/>
    <w:rsid w:val="00F538A9"/>
    <w:rsid w:val="00F53925"/>
    <w:rsid w:val="00F539E6"/>
    <w:rsid w:val="00F53CB2"/>
    <w:rsid w:val="00F53D12"/>
    <w:rsid w:val="00F53DC6"/>
    <w:rsid w:val="00F53E7B"/>
    <w:rsid w:val="00F53F3F"/>
    <w:rsid w:val="00F53FAA"/>
    <w:rsid w:val="00F540EC"/>
    <w:rsid w:val="00F54102"/>
    <w:rsid w:val="00F5419B"/>
    <w:rsid w:val="00F54243"/>
    <w:rsid w:val="00F5439D"/>
    <w:rsid w:val="00F5441E"/>
    <w:rsid w:val="00F546C7"/>
    <w:rsid w:val="00F54796"/>
    <w:rsid w:val="00F54889"/>
    <w:rsid w:val="00F54CB6"/>
    <w:rsid w:val="00F54CD3"/>
    <w:rsid w:val="00F54DD3"/>
    <w:rsid w:val="00F54E05"/>
    <w:rsid w:val="00F553D1"/>
    <w:rsid w:val="00F5547E"/>
    <w:rsid w:val="00F554BB"/>
    <w:rsid w:val="00F554CB"/>
    <w:rsid w:val="00F5555F"/>
    <w:rsid w:val="00F557AD"/>
    <w:rsid w:val="00F5583D"/>
    <w:rsid w:val="00F55937"/>
    <w:rsid w:val="00F559BC"/>
    <w:rsid w:val="00F55A09"/>
    <w:rsid w:val="00F55D3A"/>
    <w:rsid w:val="00F55DB9"/>
    <w:rsid w:val="00F55EC2"/>
    <w:rsid w:val="00F55FAE"/>
    <w:rsid w:val="00F55FBB"/>
    <w:rsid w:val="00F5605A"/>
    <w:rsid w:val="00F560EC"/>
    <w:rsid w:val="00F5626F"/>
    <w:rsid w:val="00F568AA"/>
    <w:rsid w:val="00F5690E"/>
    <w:rsid w:val="00F56960"/>
    <w:rsid w:val="00F56A3E"/>
    <w:rsid w:val="00F56A5D"/>
    <w:rsid w:val="00F56B16"/>
    <w:rsid w:val="00F56CDB"/>
    <w:rsid w:val="00F56D28"/>
    <w:rsid w:val="00F570A3"/>
    <w:rsid w:val="00F571BA"/>
    <w:rsid w:val="00F57279"/>
    <w:rsid w:val="00F5727E"/>
    <w:rsid w:val="00F5729A"/>
    <w:rsid w:val="00F5746A"/>
    <w:rsid w:val="00F57565"/>
    <w:rsid w:val="00F57645"/>
    <w:rsid w:val="00F57782"/>
    <w:rsid w:val="00F57826"/>
    <w:rsid w:val="00F57909"/>
    <w:rsid w:val="00F57D60"/>
    <w:rsid w:val="00F57DE2"/>
    <w:rsid w:val="00F57EB6"/>
    <w:rsid w:val="00F57FBB"/>
    <w:rsid w:val="00F60066"/>
    <w:rsid w:val="00F60078"/>
    <w:rsid w:val="00F6017A"/>
    <w:rsid w:val="00F60229"/>
    <w:rsid w:val="00F6024B"/>
    <w:rsid w:val="00F604FB"/>
    <w:rsid w:val="00F6051E"/>
    <w:rsid w:val="00F607FD"/>
    <w:rsid w:val="00F608D5"/>
    <w:rsid w:val="00F609C4"/>
    <w:rsid w:val="00F609C9"/>
    <w:rsid w:val="00F609FD"/>
    <w:rsid w:val="00F60A08"/>
    <w:rsid w:val="00F60AEA"/>
    <w:rsid w:val="00F6101A"/>
    <w:rsid w:val="00F610E8"/>
    <w:rsid w:val="00F610F4"/>
    <w:rsid w:val="00F61210"/>
    <w:rsid w:val="00F612D5"/>
    <w:rsid w:val="00F61322"/>
    <w:rsid w:val="00F61379"/>
    <w:rsid w:val="00F613F2"/>
    <w:rsid w:val="00F614D2"/>
    <w:rsid w:val="00F615C2"/>
    <w:rsid w:val="00F61678"/>
    <w:rsid w:val="00F61AF4"/>
    <w:rsid w:val="00F61B5A"/>
    <w:rsid w:val="00F61B9E"/>
    <w:rsid w:val="00F61DCE"/>
    <w:rsid w:val="00F61F67"/>
    <w:rsid w:val="00F61FA4"/>
    <w:rsid w:val="00F62148"/>
    <w:rsid w:val="00F62265"/>
    <w:rsid w:val="00F6226E"/>
    <w:rsid w:val="00F62311"/>
    <w:rsid w:val="00F624E4"/>
    <w:rsid w:val="00F62605"/>
    <w:rsid w:val="00F62789"/>
    <w:rsid w:val="00F62885"/>
    <w:rsid w:val="00F62959"/>
    <w:rsid w:val="00F62A23"/>
    <w:rsid w:val="00F62C8D"/>
    <w:rsid w:val="00F62C90"/>
    <w:rsid w:val="00F62EF1"/>
    <w:rsid w:val="00F63140"/>
    <w:rsid w:val="00F6328A"/>
    <w:rsid w:val="00F632EC"/>
    <w:rsid w:val="00F6331B"/>
    <w:rsid w:val="00F6331E"/>
    <w:rsid w:val="00F633C5"/>
    <w:rsid w:val="00F633D6"/>
    <w:rsid w:val="00F6345C"/>
    <w:rsid w:val="00F635E2"/>
    <w:rsid w:val="00F6367B"/>
    <w:rsid w:val="00F636CA"/>
    <w:rsid w:val="00F636FF"/>
    <w:rsid w:val="00F63939"/>
    <w:rsid w:val="00F63B5F"/>
    <w:rsid w:val="00F63C71"/>
    <w:rsid w:val="00F63C7D"/>
    <w:rsid w:val="00F63FB9"/>
    <w:rsid w:val="00F63FCF"/>
    <w:rsid w:val="00F64387"/>
    <w:rsid w:val="00F643B3"/>
    <w:rsid w:val="00F644BB"/>
    <w:rsid w:val="00F644E1"/>
    <w:rsid w:val="00F64614"/>
    <w:rsid w:val="00F646C6"/>
    <w:rsid w:val="00F649A1"/>
    <w:rsid w:val="00F64B91"/>
    <w:rsid w:val="00F64D8C"/>
    <w:rsid w:val="00F64E77"/>
    <w:rsid w:val="00F64EB2"/>
    <w:rsid w:val="00F64EC1"/>
    <w:rsid w:val="00F6520B"/>
    <w:rsid w:val="00F65217"/>
    <w:rsid w:val="00F65274"/>
    <w:rsid w:val="00F65444"/>
    <w:rsid w:val="00F65497"/>
    <w:rsid w:val="00F65584"/>
    <w:rsid w:val="00F65731"/>
    <w:rsid w:val="00F658DF"/>
    <w:rsid w:val="00F65B95"/>
    <w:rsid w:val="00F65CEA"/>
    <w:rsid w:val="00F65FCA"/>
    <w:rsid w:val="00F66233"/>
    <w:rsid w:val="00F66283"/>
    <w:rsid w:val="00F662D9"/>
    <w:rsid w:val="00F6638E"/>
    <w:rsid w:val="00F66440"/>
    <w:rsid w:val="00F664BC"/>
    <w:rsid w:val="00F664E4"/>
    <w:rsid w:val="00F6663E"/>
    <w:rsid w:val="00F66654"/>
    <w:rsid w:val="00F668D5"/>
    <w:rsid w:val="00F6690A"/>
    <w:rsid w:val="00F66928"/>
    <w:rsid w:val="00F66B4F"/>
    <w:rsid w:val="00F66B7E"/>
    <w:rsid w:val="00F66DF9"/>
    <w:rsid w:val="00F66DFA"/>
    <w:rsid w:val="00F66E6F"/>
    <w:rsid w:val="00F66E77"/>
    <w:rsid w:val="00F66FC5"/>
    <w:rsid w:val="00F67349"/>
    <w:rsid w:val="00F67428"/>
    <w:rsid w:val="00F674DB"/>
    <w:rsid w:val="00F67535"/>
    <w:rsid w:val="00F679AF"/>
    <w:rsid w:val="00F67A28"/>
    <w:rsid w:val="00F67BFD"/>
    <w:rsid w:val="00F70224"/>
    <w:rsid w:val="00F702B3"/>
    <w:rsid w:val="00F702F9"/>
    <w:rsid w:val="00F70344"/>
    <w:rsid w:val="00F704CC"/>
    <w:rsid w:val="00F7053D"/>
    <w:rsid w:val="00F705D6"/>
    <w:rsid w:val="00F705EB"/>
    <w:rsid w:val="00F705EE"/>
    <w:rsid w:val="00F707CD"/>
    <w:rsid w:val="00F7088D"/>
    <w:rsid w:val="00F70A66"/>
    <w:rsid w:val="00F70C06"/>
    <w:rsid w:val="00F7102B"/>
    <w:rsid w:val="00F7102D"/>
    <w:rsid w:val="00F710DE"/>
    <w:rsid w:val="00F7116A"/>
    <w:rsid w:val="00F7180A"/>
    <w:rsid w:val="00F71A9F"/>
    <w:rsid w:val="00F71CFF"/>
    <w:rsid w:val="00F72202"/>
    <w:rsid w:val="00F725B4"/>
    <w:rsid w:val="00F726BB"/>
    <w:rsid w:val="00F72996"/>
    <w:rsid w:val="00F729D4"/>
    <w:rsid w:val="00F72A12"/>
    <w:rsid w:val="00F72B32"/>
    <w:rsid w:val="00F72C1C"/>
    <w:rsid w:val="00F72CDA"/>
    <w:rsid w:val="00F72F97"/>
    <w:rsid w:val="00F7304D"/>
    <w:rsid w:val="00F73212"/>
    <w:rsid w:val="00F73374"/>
    <w:rsid w:val="00F73413"/>
    <w:rsid w:val="00F73547"/>
    <w:rsid w:val="00F73595"/>
    <w:rsid w:val="00F73600"/>
    <w:rsid w:val="00F73682"/>
    <w:rsid w:val="00F7378A"/>
    <w:rsid w:val="00F7387E"/>
    <w:rsid w:val="00F7397C"/>
    <w:rsid w:val="00F739B9"/>
    <w:rsid w:val="00F739EF"/>
    <w:rsid w:val="00F73C39"/>
    <w:rsid w:val="00F73D32"/>
    <w:rsid w:val="00F73FCB"/>
    <w:rsid w:val="00F74066"/>
    <w:rsid w:val="00F74496"/>
    <w:rsid w:val="00F745F5"/>
    <w:rsid w:val="00F74725"/>
    <w:rsid w:val="00F7481C"/>
    <w:rsid w:val="00F7497C"/>
    <w:rsid w:val="00F74AC5"/>
    <w:rsid w:val="00F74CA7"/>
    <w:rsid w:val="00F74CC0"/>
    <w:rsid w:val="00F74F9C"/>
    <w:rsid w:val="00F74FB2"/>
    <w:rsid w:val="00F7509E"/>
    <w:rsid w:val="00F750A4"/>
    <w:rsid w:val="00F7514D"/>
    <w:rsid w:val="00F751BC"/>
    <w:rsid w:val="00F75237"/>
    <w:rsid w:val="00F75298"/>
    <w:rsid w:val="00F753BA"/>
    <w:rsid w:val="00F75433"/>
    <w:rsid w:val="00F75528"/>
    <w:rsid w:val="00F7565E"/>
    <w:rsid w:val="00F7582F"/>
    <w:rsid w:val="00F758C0"/>
    <w:rsid w:val="00F75920"/>
    <w:rsid w:val="00F7596D"/>
    <w:rsid w:val="00F759C9"/>
    <w:rsid w:val="00F75B34"/>
    <w:rsid w:val="00F75BF5"/>
    <w:rsid w:val="00F75DA5"/>
    <w:rsid w:val="00F76247"/>
    <w:rsid w:val="00F765D3"/>
    <w:rsid w:val="00F765FB"/>
    <w:rsid w:val="00F7661D"/>
    <w:rsid w:val="00F76851"/>
    <w:rsid w:val="00F76968"/>
    <w:rsid w:val="00F769C2"/>
    <w:rsid w:val="00F76A44"/>
    <w:rsid w:val="00F76BC1"/>
    <w:rsid w:val="00F76E57"/>
    <w:rsid w:val="00F76EFC"/>
    <w:rsid w:val="00F77076"/>
    <w:rsid w:val="00F7709F"/>
    <w:rsid w:val="00F77258"/>
    <w:rsid w:val="00F77330"/>
    <w:rsid w:val="00F774C8"/>
    <w:rsid w:val="00F774E4"/>
    <w:rsid w:val="00F77513"/>
    <w:rsid w:val="00F7753A"/>
    <w:rsid w:val="00F7769F"/>
    <w:rsid w:val="00F77749"/>
    <w:rsid w:val="00F7778C"/>
    <w:rsid w:val="00F7783C"/>
    <w:rsid w:val="00F779A7"/>
    <w:rsid w:val="00F8009F"/>
    <w:rsid w:val="00F800A6"/>
    <w:rsid w:val="00F801B0"/>
    <w:rsid w:val="00F8028B"/>
    <w:rsid w:val="00F80292"/>
    <w:rsid w:val="00F802FF"/>
    <w:rsid w:val="00F80495"/>
    <w:rsid w:val="00F807CA"/>
    <w:rsid w:val="00F80919"/>
    <w:rsid w:val="00F80A67"/>
    <w:rsid w:val="00F80AE7"/>
    <w:rsid w:val="00F80B4D"/>
    <w:rsid w:val="00F80E13"/>
    <w:rsid w:val="00F80FB3"/>
    <w:rsid w:val="00F815E9"/>
    <w:rsid w:val="00F818A1"/>
    <w:rsid w:val="00F81A10"/>
    <w:rsid w:val="00F81D78"/>
    <w:rsid w:val="00F81E76"/>
    <w:rsid w:val="00F82003"/>
    <w:rsid w:val="00F82102"/>
    <w:rsid w:val="00F82137"/>
    <w:rsid w:val="00F823C2"/>
    <w:rsid w:val="00F823E3"/>
    <w:rsid w:val="00F8265A"/>
    <w:rsid w:val="00F8272A"/>
    <w:rsid w:val="00F8277A"/>
    <w:rsid w:val="00F82958"/>
    <w:rsid w:val="00F82B4A"/>
    <w:rsid w:val="00F82B5C"/>
    <w:rsid w:val="00F82C7D"/>
    <w:rsid w:val="00F82D2E"/>
    <w:rsid w:val="00F82EE9"/>
    <w:rsid w:val="00F8324F"/>
    <w:rsid w:val="00F832CE"/>
    <w:rsid w:val="00F833E7"/>
    <w:rsid w:val="00F835AA"/>
    <w:rsid w:val="00F836BB"/>
    <w:rsid w:val="00F836EE"/>
    <w:rsid w:val="00F83759"/>
    <w:rsid w:val="00F838FE"/>
    <w:rsid w:val="00F83C6D"/>
    <w:rsid w:val="00F83C95"/>
    <w:rsid w:val="00F83EC4"/>
    <w:rsid w:val="00F840AA"/>
    <w:rsid w:val="00F841B2"/>
    <w:rsid w:val="00F84342"/>
    <w:rsid w:val="00F84355"/>
    <w:rsid w:val="00F845AF"/>
    <w:rsid w:val="00F847B6"/>
    <w:rsid w:val="00F847F3"/>
    <w:rsid w:val="00F8480C"/>
    <w:rsid w:val="00F85023"/>
    <w:rsid w:val="00F8509D"/>
    <w:rsid w:val="00F850BA"/>
    <w:rsid w:val="00F85211"/>
    <w:rsid w:val="00F853B3"/>
    <w:rsid w:val="00F856CD"/>
    <w:rsid w:val="00F85943"/>
    <w:rsid w:val="00F85B0D"/>
    <w:rsid w:val="00F85C50"/>
    <w:rsid w:val="00F85C6C"/>
    <w:rsid w:val="00F85D8B"/>
    <w:rsid w:val="00F85FCA"/>
    <w:rsid w:val="00F86061"/>
    <w:rsid w:val="00F86156"/>
    <w:rsid w:val="00F861D5"/>
    <w:rsid w:val="00F861E3"/>
    <w:rsid w:val="00F862E8"/>
    <w:rsid w:val="00F862F3"/>
    <w:rsid w:val="00F863DC"/>
    <w:rsid w:val="00F8644E"/>
    <w:rsid w:val="00F864AE"/>
    <w:rsid w:val="00F864B8"/>
    <w:rsid w:val="00F866F0"/>
    <w:rsid w:val="00F86737"/>
    <w:rsid w:val="00F86A01"/>
    <w:rsid w:val="00F86A9E"/>
    <w:rsid w:val="00F86AA0"/>
    <w:rsid w:val="00F86BAD"/>
    <w:rsid w:val="00F86C4D"/>
    <w:rsid w:val="00F86E0A"/>
    <w:rsid w:val="00F86E94"/>
    <w:rsid w:val="00F86E97"/>
    <w:rsid w:val="00F8706B"/>
    <w:rsid w:val="00F87150"/>
    <w:rsid w:val="00F87291"/>
    <w:rsid w:val="00F87389"/>
    <w:rsid w:val="00F874FE"/>
    <w:rsid w:val="00F875DC"/>
    <w:rsid w:val="00F87870"/>
    <w:rsid w:val="00F87B7A"/>
    <w:rsid w:val="00F87F42"/>
    <w:rsid w:val="00F9006C"/>
    <w:rsid w:val="00F90284"/>
    <w:rsid w:val="00F90439"/>
    <w:rsid w:val="00F908D4"/>
    <w:rsid w:val="00F90937"/>
    <w:rsid w:val="00F90A37"/>
    <w:rsid w:val="00F90C68"/>
    <w:rsid w:val="00F90CC2"/>
    <w:rsid w:val="00F90E4A"/>
    <w:rsid w:val="00F90EAA"/>
    <w:rsid w:val="00F90FA1"/>
    <w:rsid w:val="00F91018"/>
    <w:rsid w:val="00F910D4"/>
    <w:rsid w:val="00F912F9"/>
    <w:rsid w:val="00F91345"/>
    <w:rsid w:val="00F913A2"/>
    <w:rsid w:val="00F915D8"/>
    <w:rsid w:val="00F9162C"/>
    <w:rsid w:val="00F917BA"/>
    <w:rsid w:val="00F9180A"/>
    <w:rsid w:val="00F9184D"/>
    <w:rsid w:val="00F9185D"/>
    <w:rsid w:val="00F91891"/>
    <w:rsid w:val="00F91B08"/>
    <w:rsid w:val="00F91C98"/>
    <w:rsid w:val="00F91CA4"/>
    <w:rsid w:val="00F91D69"/>
    <w:rsid w:val="00F91E7C"/>
    <w:rsid w:val="00F91ED6"/>
    <w:rsid w:val="00F922BA"/>
    <w:rsid w:val="00F92307"/>
    <w:rsid w:val="00F923D4"/>
    <w:rsid w:val="00F92430"/>
    <w:rsid w:val="00F9254B"/>
    <w:rsid w:val="00F9273D"/>
    <w:rsid w:val="00F9289F"/>
    <w:rsid w:val="00F92B77"/>
    <w:rsid w:val="00F92B81"/>
    <w:rsid w:val="00F92CF8"/>
    <w:rsid w:val="00F92D3B"/>
    <w:rsid w:val="00F92DFD"/>
    <w:rsid w:val="00F92E0F"/>
    <w:rsid w:val="00F92F19"/>
    <w:rsid w:val="00F92F4B"/>
    <w:rsid w:val="00F92F4C"/>
    <w:rsid w:val="00F92FC2"/>
    <w:rsid w:val="00F93094"/>
    <w:rsid w:val="00F930D9"/>
    <w:rsid w:val="00F930F5"/>
    <w:rsid w:val="00F9314E"/>
    <w:rsid w:val="00F93261"/>
    <w:rsid w:val="00F93270"/>
    <w:rsid w:val="00F933AD"/>
    <w:rsid w:val="00F933BB"/>
    <w:rsid w:val="00F93412"/>
    <w:rsid w:val="00F9342A"/>
    <w:rsid w:val="00F93438"/>
    <w:rsid w:val="00F93897"/>
    <w:rsid w:val="00F9389E"/>
    <w:rsid w:val="00F93A11"/>
    <w:rsid w:val="00F93AD1"/>
    <w:rsid w:val="00F93B06"/>
    <w:rsid w:val="00F93E8A"/>
    <w:rsid w:val="00F93F53"/>
    <w:rsid w:val="00F9414F"/>
    <w:rsid w:val="00F941C0"/>
    <w:rsid w:val="00F943F4"/>
    <w:rsid w:val="00F944D6"/>
    <w:rsid w:val="00F946D8"/>
    <w:rsid w:val="00F946F6"/>
    <w:rsid w:val="00F94725"/>
    <w:rsid w:val="00F9473A"/>
    <w:rsid w:val="00F94A00"/>
    <w:rsid w:val="00F94A3D"/>
    <w:rsid w:val="00F94A96"/>
    <w:rsid w:val="00F94B86"/>
    <w:rsid w:val="00F94C46"/>
    <w:rsid w:val="00F94D00"/>
    <w:rsid w:val="00F94E78"/>
    <w:rsid w:val="00F94ECD"/>
    <w:rsid w:val="00F94FF5"/>
    <w:rsid w:val="00F95026"/>
    <w:rsid w:val="00F95628"/>
    <w:rsid w:val="00F95729"/>
    <w:rsid w:val="00F957FC"/>
    <w:rsid w:val="00F958CF"/>
    <w:rsid w:val="00F958DF"/>
    <w:rsid w:val="00F95972"/>
    <w:rsid w:val="00F959C5"/>
    <w:rsid w:val="00F95A07"/>
    <w:rsid w:val="00F95AD4"/>
    <w:rsid w:val="00F95ADA"/>
    <w:rsid w:val="00F95B46"/>
    <w:rsid w:val="00F95B4B"/>
    <w:rsid w:val="00F95C7C"/>
    <w:rsid w:val="00F95CDB"/>
    <w:rsid w:val="00F95D40"/>
    <w:rsid w:val="00F95EFD"/>
    <w:rsid w:val="00F95F46"/>
    <w:rsid w:val="00F95FB0"/>
    <w:rsid w:val="00F96004"/>
    <w:rsid w:val="00F96174"/>
    <w:rsid w:val="00F9619C"/>
    <w:rsid w:val="00F962A4"/>
    <w:rsid w:val="00F966DE"/>
    <w:rsid w:val="00F96812"/>
    <w:rsid w:val="00F969AF"/>
    <w:rsid w:val="00F969E0"/>
    <w:rsid w:val="00F96B93"/>
    <w:rsid w:val="00F96BAC"/>
    <w:rsid w:val="00F96D5E"/>
    <w:rsid w:val="00F96DCE"/>
    <w:rsid w:val="00F96F06"/>
    <w:rsid w:val="00F96F14"/>
    <w:rsid w:val="00F97556"/>
    <w:rsid w:val="00F975D7"/>
    <w:rsid w:val="00F976A3"/>
    <w:rsid w:val="00F976CE"/>
    <w:rsid w:val="00F978E3"/>
    <w:rsid w:val="00F97B76"/>
    <w:rsid w:val="00F97BD7"/>
    <w:rsid w:val="00F97BE4"/>
    <w:rsid w:val="00F97BEF"/>
    <w:rsid w:val="00F97C0E"/>
    <w:rsid w:val="00F97F57"/>
    <w:rsid w:val="00FA001D"/>
    <w:rsid w:val="00FA0181"/>
    <w:rsid w:val="00FA029D"/>
    <w:rsid w:val="00FA02E3"/>
    <w:rsid w:val="00FA040B"/>
    <w:rsid w:val="00FA0490"/>
    <w:rsid w:val="00FA04C6"/>
    <w:rsid w:val="00FA062B"/>
    <w:rsid w:val="00FA07E9"/>
    <w:rsid w:val="00FA07F8"/>
    <w:rsid w:val="00FA095D"/>
    <w:rsid w:val="00FA0993"/>
    <w:rsid w:val="00FA0B47"/>
    <w:rsid w:val="00FA0BDB"/>
    <w:rsid w:val="00FA0CA6"/>
    <w:rsid w:val="00FA0DC9"/>
    <w:rsid w:val="00FA0F58"/>
    <w:rsid w:val="00FA1047"/>
    <w:rsid w:val="00FA119D"/>
    <w:rsid w:val="00FA11A4"/>
    <w:rsid w:val="00FA12FE"/>
    <w:rsid w:val="00FA132D"/>
    <w:rsid w:val="00FA142A"/>
    <w:rsid w:val="00FA1516"/>
    <w:rsid w:val="00FA1545"/>
    <w:rsid w:val="00FA170B"/>
    <w:rsid w:val="00FA1712"/>
    <w:rsid w:val="00FA1749"/>
    <w:rsid w:val="00FA17C8"/>
    <w:rsid w:val="00FA184E"/>
    <w:rsid w:val="00FA188C"/>
    <w:rsid w:val="00FA199A"/>
    <w:rsid w:val="00FA1A8D"/>
    <w:rsid w:val="00FA1B0D"/>
    <w:rsid w:val="00FA1B87"/>
    <w:rsid w:val="00FA1BD6"/>
    <w:rsid w:val="00FA1C59"/>
    <w:rsid w:val="00FA1C65"/>
    <w:rsid w:val="00FA1C73"/>
    <w:rsid w:val="00FA1EF4"/>
    <w:rsid w:val="00FA1F27"/>
    <w:rsid w:val="00FA1F69"/>
    <w:rsid w:val="00FA1F96"/>
    <w:rsid w:val="00FA20A2"/>
    <w:rsid w:val="00FA2249"/>
    <w:rsid w:val="00FA22D9"/>
    <w:rsid w:val="00FA23BB"/>
    <w:rsid w:val="00FA23E4"/>
    <w:rsid w:val="00FA24C6"/>
    <w:rsid w:val="00FA257B"/>
    <w:rsid w:val="00FA27CA"/>
    <w:rsid w:val="00FA297B"/>
    <w:rsid w:val="00FA2D2C"/>
    <w:rsid w:val="00FA3358"/>
    <w:rsid w:val="00FA3524"/>
    <w:rsid w:val="00FA3567"/>
    <w:rsid w:val="00FA35E5"/>
    <w:rsid w:val="00FA36A9"/>
    <w:rsid w:val="00FA37DB"/>
    <w:rsid w:val="00FA3AFA"/>
    <w:rsid w:val="00FA3B0F"/>
    <w:rsid w:val="00FA3D98"/>
    <w:rsid w:val="00FA414E"/>
    <w:rsid w:val="00FA4327"/>
    <w:rsid w:val="00FA43F2"/>
    <w:rsid w:val="00FA444A"/>
    <w:rsid w:val="00FA4481"/>
    <w:rsid w:val="00FA45CA"/>
    <w:rsid w:val="00FA48B4"/>
    <w:rsid w:val="00FA4ABA"/>
    <w:rsid w:val="00FA4B34"/>
    <w:rsid w:val="00FA5123"/>
    <w:rsid w:val="00FA51A5"/>
    <w:rsid w:val="00FA5354"/>
    <w:rsid w:val="00FA567C"/>
    <w:rsid w:val="00FA56B6"/>
    <w:rsid w:val="00FA580B"/>
    <w:rsid w:val="00FA5892"/>
    <w:rsid w:val="00FA5902"/>
    <w:rsid w:val="00FA5A1B"/>
    <w:rsid w:val="00FA5A83"/>
    <w:rsid w:val="00FA5EC0"/>
    <w:rsid w:val="00FA5EE4"/>
    <w:rsid w:val="00FA5EF2"/>
    <w:rsid w:val="00FA5FEC"/>
    <w:rsid w:val="00FA6043"/>
    <w:rsid w:val="00FA626A"/>
    <w:rsid w:val="00FA62C1"/>
    <w:rsid w:val="00FA6347"/>
    <w:rsid w:val="00FA636B"/>
    <w:rsid w:val="00FA6384"/>
    <w:rsid w:val="00FA6546"/>
    <w:rsid w:val="00FA65DA"/>
    <w:rsid w:val="00FA665B"/>
    <w:rsid w:val="00FA67B0"/>
    <w:rsid w:val="00FA6865"/>
    <w:rsid w:val="00FA6890"/>
    <w:rsid w:val="00FA69FB"/>
    <w:rsid w:val="00FA6C12"/>
    <w:rsid w:val="00FA6DD1"/>
    <w:rsid w:val="00FA6E76"/>
    <w:rsid w:val="00FA6EDC"/>
    <w:rsid w:val="00FA6F74"/>
    <w:rsid w:val="00FA6F92"/>
    <w:rsid w:val="00FA7167"/>
    <w:rsid w:val="00FA73BD"/>
    <w:rsid w:val="00FA756D"/>
    <w:rsid w:val="00FA7911"/>
    <w:rsid w:val="00FA7919"/>
    <w:rsid w:val="00FA7C5C"/>
    <w:rsid w:val="00FA7EC4"/>
    <w:rsid w:val="00FB0018"/>
    <w:rsid w:val="00FB00B5"/>
    <w:rsid w:val="00FB00CF"/>
    <w:rsid w:val="00FB015F"/>
    <w:rsid w:val="00FB01D7"/>
    <w:rsid w:val="00FB0283"/>
    <w:rsid w:val="00FB03C3"/>
    <w:rsid w:val="00FB06AF"/>
    <w:rsid w:val="00FB06B2"/>
    <w:rsid w:val="00FB0806"/>
    <w:rsid w:val="00FB08D7"/>
    <w:rsid w:val="00FB09D4"/>
    <w:rsid w:val="00FB0C26"/>
    <w:rsid w:val="00FB0C64"/>
    <w:rsid w:val="00FB0D11"/>
    <w:rsid w:val="00FB0DC2"/>
    <w:rsid w:val="00FB1234"/>
    <w:rsid w:val="00FB158C"/>
    <w:rsid w:val="00FB172B"/>
    <w:rsid w:val="00FB175B"/>
    <w:rsid w:val="00FB1895"/>
    <w:rsid w:val="00FB1BFE"/>
    <w:rsid w:val="00FB1C6E"/>
    <w:rsid w:val="00FB1DC2"/>
    <w:rsid w:val="00FB1EA9"/>
    <w:rsid w:val="00FB20FE"/>
    <w:rsid w:val="00FB2148"/>
    <w:rsid w:val="00FB2229"/>
    <w:rsid w:val="00FB23B2"/>
    <w:rsid w:val="00FB268B"/>
    <w:rsid w:val="00FB268E"/>
    <w:rsid w:val="00FB2847"/>
    <w:rsid w:val="00FB2AB5"/>
    <w:rsid w:val="00FB2B66"/>
    <w:rsid w:val="00FB2CB2"/>
    <w:rsid w:val="00FB2CC9"/>
    <w:rsid w:val="00FB2CF5"/>
    <w:rsid w:val="00FB2E53"/>
    <w:rsid w:val="00FB2FD5"/>
    <w:rsid w:val="00FB2FD6"/>
    <w:rsid w:val="00FB305E"/>
    <w:rsid w:val="00FB3519"/>
    <w:rsid w:val="00FB3571"/>
    <w:rsid w:val="00FB3612"/>
    <w:rsid w:val="00FB3624"/>
    <w:rsid w:val="00FB3663"/>
    <w:rsid w:val="00FB383E"/>
    <w:rsid w:val="00FB3A7C"/>
    <w:rsid w:val="00FB3C52"/>
    <w:rsid w:val="00FB3DB4"/>
    <w:rsid w:val="00FB3E3B"/>
    <w:rsid w:val="00FB3EF2"/>
    <w:rsid w:val="00FB3FA6"/>
    <w:rsid w:val="00FB41FF"/>
    <w:rsid w:val="00FB4241"/>
    <w:rsid w:val="00FB4362"/>
    <w:rsid w:val="00FB452F"/>
    <w:rsid w:val="00FB45BF"/>
    <w:rsid w:val="00FB4950"/>
    <w:rsid w:val="00FB4A63"/>
    <w:rsid w:val="00FB4AAA"/>
    <w:rsid w:val="00FB4AC5"/>
    <w:rsid w:val="00FB4BCE"/>
    <w:rsid w:val="00FB4BD6"/>
    <w:rsid w:val="00FB4C35"/>
    <w:rsid w:val="00FB4C8F"/>
    <w:rsid w:val="00FB4CDB"/>
    <w:rsid w:val="00FB4E32"/>
    <w:rsid w:val="00FB4E68"/>
    <w:rsid w:val="00FB5388"/>
    <w:rsid w:val="00FB5541"/>
    <w:rsid w:val="00FB55B2"/>
    <w:rsid w:val="00FB55C1"/>
    <w:rsid w:val="00FB56B5"/>
    <w:rsid w:val="00FB57DD"/>
    <w:rsid w:val="00FB5C37"/>
    <w:rsid w:val="00FB5FA3"/>
    <w:rsid w:val="00FB6265"/>
    <w:rsid w:val="00FB63AE"/>
    <w:rsid w:val="00FB6679"/>
    <w:rsid w:val="00FB677B"/>
    <w:rsid w:val="00FB6783"/>
    <w:rsid w:val="00FB68A2"/>
    <w:rsid w:val="00FB68ED"/>
    <w:rsid w:val="00FB6A3A"/>
    <w:rsid w:val="00FB6C49"/>
    <w:rsid w:val="00FB6F0B"/>
    <w:rsid w:val="00FB7099"/>
    <w:rsid w:val="00FB711F"/>
    <w:rsid w:val="00FB739A"/>
    <w:rsid w:val="00FB7539"/>
    <w:rsid w:val="00FB753A"/>
    <w:rsid w:val="00FB764F"/>
    <w:rsid w:val="00FB7657"/>
    <w:rsid w:val="00FB77E2"/>
    <w:rsid w:val="00FB7A0E"/>
    <w:rsid w:val="00FB7AA9"/>
    <w:rsid w:val="00FB7C5A"/>
    <w:rsid w:val="00FC0037"/>
    <w:rsid w:val="00FC0117"/>
    <w:rsid w:val="00FC012C"/>
    <w:rsid w:val="00FC023A"/>
    <w:rsid w:val="00FC0370"/>
    <w:rsid w:val="00FC045C"/>
    <w:rsid w:val="00FC050B"/>
    <w:rsid w:val="00FC06C0"/>
    <w:rsid w:val="00FC0935"/>
    <w:rsid w:val="00FC093F"/>
    <w:rsid w:val="00FC095C"/>
    <w:rsid w:val="00FC0EB8"/>
    <w:rsid w:val="00FC1264"/>
    <w:rsid w:val="00FC12AC"/>
    <w:rsid w:val="00FC13EE"/>
    <w:rsid w:val="00FC1559"/>
    <w:rsid w:val="00FC15E2"/>
    <w:rsid w:val="00FC1613"/>
    <w:rsid w:val="00FC1632"/>
    <w:rsid w:val="00FC198A"/>
    <w:rsid w:val="00FC19B1"/>
    <w:rsid w:val="00FC19C5"/>
    <w:rsid w:val="00FC1A4E"/>
    <w:rsid w:val="00FC1A52"/>
    <w:rsid w:val="00FC1D84"/>
    <w:rsid w:val="00FC1E9A"/>
    <w:rsid w:val="00FC20A8"/>
    <w:rsid w:val="00FC2187"/>
    <w:rsid w:val="00FC230F"/>
    <w:rsid w:val="00FC23BF"/>
    <w:rsid w:val="00FC25F7"/>
    <w:rsid w:val="00FC2633"/>
    <w:rsid w:val="00FC2960"/>
    <w:rsid w:val="00FC2ABF"/>
    <w:rsid w:val="00FC2B84"/>
    <w:rsid w:val="00FC2D96"/>
    <w:rsid w:val="00FC3050"/>
    <w:rsid w:val="00FC3081"/>
    <w:rsid w:val="00FC30FF"/>
    <w:rsid w:val="00FC31DE"/>
    <w:rsid w:val="00FC31FF"/>
    <w:rsid w:val="00FC3224"/>
    <w:rsid w:val="00FC323D"/>
    <w:rsid w:val="00FC3443"/>
    <w:rsid w:val="00FC34BD"/>
    <w:rsid w:val="00FC34DD"/>
    <w:rsid w:val="00FC3586"/>
    <w:rsid w:val="00FC36FF"/>
    <w:rsid w:val="00FC37EB"/>
    <w:rsid w:val="00FC39A1"/>
    <w:rsid w:val="00FC39DD"/>
    <w:rsid w:val="00FC3C01"/>
    <w:rsid w:val="00FC3D0B"/>
    <w:rsid w:val="00FC3F15"/>
    <w:rsid w:val="00FC40DB"/>
    <w:rsid w:val="00FC40F6"/>
    <w:rsid w:val="00FC418E"/>
    <w:rsid w:val="00FC41A9"/>
    <w:rsid w:val="00FC41F6"/>
    <w:rsid w:val="00FC4204"/>
    <w:rsid w:val="00FC42FB"/>
    <w:rsid w:val="00FC4464"/>
    <w:rsid w:val="00FC48DA"/>
    <w:rsid w:val="00FC4B71"/>
    <w:rsid w:val="00FC4CCA"/>
    <w:rsid w:val="00FC4D8F"/>
    <w:rsid w:val="00FC4E21"/>
    <w:rsid w:val="00FC4ED5"/>
    <w:rsid w:val="00FC4F35"/>
    <w:rsid w:val="00FC50FF"/>
    <w:rsid w:val="00FC5194"/>
    <w:rsid w:val="00FC51EA"/>
    <w:rsid w:val="00FC5348"/>
    <w:rsid w:val="00FC5354"/>
    <w:rsid w:val="00FC5443"/>
    <w:rsid w:val="00FC54C9"/>
    <w:rsid w:val="00FC5721"/>
    <w:rsid w:val="00FC577C"/>
    <w:rsid w:val="00FC58B6"/>
    <w:rsid w:val="00FC5BAD"/>
    <w:rsid w:val="00FC5BC7"/>
    <w:rsid w:val="00FC5E74"/>
    <w:rsid w:val="00FC5F38"/>
    <w:rsid w:val="00FC5FE1"/>
    <w:rsid w:val="00FC60AA"/>
    <w:rsid w:val="00FC61EF"/>
    <w:rsid w:val="00FC6278"/>
    <w:rsid w:val="00FC629E"/>
    <w:rsid w:val="00FC651E"/>
    <w:rsid w:val="00FC6701"/>
    <w:rsid w:val="00FC67A9"/>
    <w:rsid w:val="00FC6CD4"/>
    <w:rsid w:val="00FC6E2C"/>
    <w:rsid w:val="00FC703D"/>
    <w:rsid w:val="00FC733A"/>
    <w:rsid w:val="00FC75B8"/>
    <w:rsid w:val="00FC77CD"/>
    <w:rsid w:val="00FC7987"/>
    <w:rsid w:val="00FC7ADD"/>
    <w:rsid w:val="00FC7B20"/>
    <w:rsid w:val="00FC7C3E"/>
    <w:rsid w:val="00FC7EF6"/>
    <w:rsid w:val="00FD01AB"/>
    <w:rsid w:val="00FD0210"/>
    <w:rsid w:val="00FD0607"/>
    <w:rsid w:val="00FD06BC"/>
    <w:rsid w:val="00FD06E3"/>
    <w:rsid w:val="00FD0818"/>
    <w:rsid w:val="00FD09B3"/>
    <w:rsid w:val="00FD0A0C"/>
    <w:rsid w:val="00FD0CD3"/>
    <w:rsid w:val="00FD0D70"/>
    <w:rsid w:val="00FD0DDA"/>
    <w:rsid w:val="00FD0E10"/>
    <w:rsid w:val="00FD0F05"/>
    <w:rsid w:val="00FD0F23"/>
    <w:rsid w:val="00FD1054"/>
    <w:rsid w:val="00FD107B"/>
    <w:rsid w:val="00FD1195"/>
    <w:rsid w:val="00FD14EB"/>
    <w:rsid w:val="00FD15D9"/>
    <w:rsid w:val="00FD1636"/>
    <w:rsid w:val="00FD196A"/>
    <w:rsid w:val="00FD1A6B"/>
    <w:rsid w:val="00FD1BAE"/>
    <w:rsid w:val="00FD1C96"/>
    <w:rsid w:val="00FD1D1D"/>
    <w:rsid w:val="00FD1DA9"/>
    <w:rsid w:val="00FD1DEF"/>
    <w:rsid w:val="00FD1E67"/>
    <w:rsid w:val="00FD1F3F"/>
    <w:rsid w:val="00FD2182"/>
    <w:rsid w:val="00FD2274"/>
    <w:rsid w:val="00FD2374"/>
    <w:rsid w:val="00FD25E7"/>
    <w:rsid w:val="00FD2640"/>
    <w:rsid w:val="00FD273B"/>
    <w:rsid w:val="00FD27DD"/>
    <w:rsid w:val="00FD2872"/>
    <w:rsid w:val="00FD29B2"/>
    <w:rsid w:val="00FD2D0B"/>
    <w:rsid w:val="00FD2D9E"/>
    <w:rsid w:val="00FD2DCF"/>
    <w:rsid w:val="00FD2F2F"/>
    <w:rsid w:val="00FD2F5F"/>
    <w:rsid w:val="00FD32D7"/>
    <w:rsid w:val="00FD3323"/>
    <w:rsid w:val="00FD3327"/>
    <w:rsid w:val="00FD3500"/>
    <w:rsid w:val="00FD3861"/>
    <w:rsid w:val="00FD3908"/>
    <w:rsid w:val="00FD3AED"/>
    <w:rsid w:val="00FD3AFB"/>
    <w:rsid w:val="00FD3B9B"/>
    <w:rsid w:val="00FD3DA0"/>
    <w:rsid w:val="00FD3DD6"/>
    <w:rsid w:val="00FD3E31"/>
    <w:rsid w:val="00FD4361"/>
    <w:rsid w:val="00FD4383"/>
    <w:rsid w:val="00FD43B8"/>
    <w:rsid w:val="00FD4504"/>
    <w:rsid w:val="00FD4596"/>
    <w:rsid w:val="00FD46B2"/>
    <w:rsid w:val="00FD4A2E"/>
    <w:rsid w:val="00FD4AED"/>
    <w:rsid w:val="00FD4BC6"/>
    <w:rsid w:val="00FD4BFA"/>
    <w:rsid w:val="00FD4C6F"/>
    <w:rsid w:val="00FD4CEC"/>
    <w:rsid w:val="00FD4DBE"/>
    <w:rsid w:val="00FD5031"/>
    <w:rsid w:val="00FD5094"/>
    <w:rsid w:val="00FD51F3"/>
    <w:rsid w:val="00FD5560"/>
    <w:rsid w:val="00FD5695"/>
    <w:rsid w:val="00FD574D"/>
    <w:rsid w:val="00FD58A9"/>
    <w:rsid w:val="00FD58E1"/>
    <w:rsid w:val="00FD5956"/>
    <w:rsid w:val="00FD5C88"/>
    <w:rsid w:val="00FD5DB8"/>
    <w:rsid w:val="00FD5E53"/>
    <w:rsid w:val="00FD5E8E"/>
    <w:rsid w:val="00FD5EC4"/>
    <w:rsid w:val="00FD60DF"/>
    <w:rsid w:val="00FD632D"/>
    <w:rsid w:val="00FD633F"/>
    <w:rsid w:val="00FD64EE"/>
    <w:rsid w:val="00FD66DB"/>
    <w:rsid w:val="00FD672F"/>
    <w:rsid w:val="00FD69FA"/>
    <w:rsid w:val="00FD6AF7"/>
    <w:rsid w:val="00FD6C0F"/>
    <w:rsid w:val="00FD6C80"/>
    <w:rsid w:val="00FD6FED"/>
    <w:rsid w:val="00FD7101"/>
    <w:rsid w:val="00FD7124"/>
    <w:rsid w:val="00FD7264"/>
    <w:rsid w:val="00FD72D0"/>
    <w:rsid w:val="00FD731A"/>
    <w:rsid w:val="00FD7711"/>
    <w:rsid w:val="00FD7790"/>
    <w:rsid w:val="00FD78D7"/>
    <w:rsid w:val="00FD7DB0"/>
    <w:rsid w:val="00FE0068"/>
    <w:rsid w:val="00FE00B5"/>
    <w:rsid w:val="00FE0314"/>
    <w:rsid w:val="00FE0480"/>
    <w:rsid w:val="00FE07C1"/>
    <w:rsid w:val="00FE0813"/>
    <w:rsid w:val="00FE08C6"/>
    <w:rsid w:val="00FE08CF"/>
    <w:rsid w:val="00FE0AE7"/>
    <w:rsid w:val="00FE0DA6"/>
    <w:rsid w:val="00FE0E7B"/>
    <w:rsid w:val="00FE10BD"/>
    <w:rsid w:val="00FE12F9"/>
    <w:rsid w:val="00FE1422"/>
    <w:rsid w:val="00FE1550"/>
    <w:rsid w:val="00FE15FE"/>
    <w:rsid w:val="00FE16EB"/>
    <w:rsid w:val="00FE1747"/>
    <w:rsid w:val="00FE1791"/>
    <w:rsid w:val="00FE1824"/>
    <w:rsid w:val="00FE1937"/>
    <w:rsid w:val="00FE198C"/>
    <w:rsid w:val="00FE19F9"/>
    <w:rsid w:val="00FE1B05"/>
    <w:rsid w:val="00FE1B50"/>
    <w:rsid w:val="00FE1F60"/>
    <w:rsid w:val="00FE1FA8"/>
    <w:rsid w:val="00FE216D"/>
    <w:rsid w:val="00FE2182"/>
    <w:rsid w:val="00FE2249"/>
    <w:rsid w:val="00FE22F2"/>
    <w:rsid w:val="00FE23FF"/>
    <w:rsid w:val="00FE2481"/>
    <w:rsid w:val="00FE2554"/>
    <w:rsid w:val="00FE261E"/>
    <w:rsid w:val="00FE282A"/>
    <w:rsid w:val="00FE28FE"/>
    <w:rsid w:val="00FE2B44"/>
    <w:rsid w:val="00FE2BC0"/>
    <w:rsid w:val="00FE2CC0"/>
    <w:rsid w:val="00FE2CDC"/>
    <w:rsid w:val="00FE2E93"/>
    <w:rsid w:val="00FE308D"/>
    <w:rsid w:val="00FE30E6"/>
    <w:rsid w:val="00FE3150"/>
    <w:rsid w:val="00FE33E1"/>
    <w:rsid w:val="00FE3584"/>
    <w:rsid w:val="00FE3734"/>
    <w:rsid w:val="00FE38AB"/>
    <w:rsid w:val="00FE394D"/>
    <w:rsid w:val="00FE3AD3"/>
    <w:rsid w:val="00FE3B96"/>
    <w:rsid w:val="00FE3BF7"/>
    <w:rsid w:val="00FE3E5D"/>
    <w:rsid w:val="00FE3E6F"/>
    <w:rsid w:val="00FE403F"/>
    <w:rsid w:val="00FE4147"/>
    <w:rsid w:val="00FE4463"/>
    <w:rsid w:val="00FE446E"/>
    <w:rsid w:val="00FE449F"/>
    <w:rsid w:val="00FE4574"/>
    <w:rsid w:val="00FE458C"/>
    <w:rsid w:val="00FE45DE"/>
    <w:rsid w:val="00FE46C8"/>
    <w:rsid w:val="00FE46F6"/>
    <w:rsid w:val="00FE49BB"/>
    <w:rsid w:val="00FE4A11"/>
    <w:rsid w:val="00FE4A60"/>
    <w:rsid w:val="00FE4B29"/>
    <w:rsid w:val="00FE4DB3"/>
    <w:rsid w:val="00FE4E3F"/>
    <w:rsid w:val="00FE5019"/>
    <w:rsid w:val="00FE50EB"/>
    <w:rsid w:val="00FE51AE"/>
    <w:rsid w:val="00FE5200"/>
    <w:rsid w:val="00FE5241"/>
    <w:rsid w:val="00FE5537"/>
    <w:rsid w:val="00FE57BD"/>
    <w:rsid w:val="00FE59CC"/>
    <w:rsid w:val="00FE59E2"/>
    <w:rsid w:val="00FE5BD3"/>
    <w:rsid w:val="00FE5E9C"/>
    <w:rsid w:val="00FE6162"/>
    <w:rsid w:val="00FE6181"/>
    <w:rsid w:val="00FE61CF"/>
    <w:rsid w:val="00FE620B"/>
    <w:rsid w:val="00FE631D"/>
    <w:rsid w:val="00FE64C1"/>
    <w:rsid w:val="00FE6B38"/>
    <w:rsid w:val="00FE6C30"/>
    <w:rsid w:val="00FE6C9F"/>
    <w:rsid w:val="00FE6CC6"/>
    <w:rsid w:val="00FE6CFD"/>
    <w:rsid w:val="00FE6DCC"/>
    <w:rsid w:val="00FE6DEF"/>
    <w:rsid w:val="00FE6DFB"/>
    <w:rsid w:val="00FE6E37"/>
    <w:rsid w:val="00FE6E54"/>
    <w:rsid w:val="00FE6EF7"/>
    <w:rsid w:val="00FE706B"/>
    <w:rsid w:val="00FE715A"/>
    <w:rsid w:val="00FE7262"/>
    <w:rsid w:val="00FE75D5"/>
    <w:rsid w:val="00FE7643"/>
    <w:rsid w:val="00FE7727"/>
    <w:rsid w:val="00FE7946"/>
    <w:rsid w:val="00FE79B7"/>
    <w:rsid w:val="00FE7CA4"/>
    <w:rsid w:val="00FF0074"/>
    <w:rsid w:val="00FF0285"/>
    <w:rsid w:val="00FF02B1"/>
    <w:rsid w:val="00FF0491"/>
    <w:rsid w:val="00FF0641"/>
    <w:rsid w:val="00FF075C"/>
    <w:rsid w:val="00FF0826"/>
    <w:rsid w:val="00FF0859"/>
    <w:rsid w:val="00FF0954"/>
    <w:rsid w:val="00FF0A01"/>
    <w:rsid w:val="00FF0A73"/>
    <w:rsid w:val="00FF0C07"/>
    <w:rsid w:val="00FF0E1E"/>
    <w:rsid w:val="00FF0EB9"/>
    <w:rsid w:val="00FF0F3C"/>
    <w:rsid w:val="00FF0FB8"/>
    <w:rsid w:val="00FF1009"/>
    <w:rsid w:val="00FF1015"/>
    <w:rsid w:val="00FF10EE"/>
    <w:rsid w:val="00FF11F4"/>
    <w:rsid w:val="00FF12EF"/>
    <w:rsid w:val="00FF1358"/>
    <w:rsid w:val="00FF1555"/>
    <w:rsid w:val="00FF1598"/>
    <w:rsid w:val="00FF1736"/>
    <w:rsid w:val="00FF1864"/>
    <w:rsid w:val="00FF1B4F"/>
    <w:rsid w:val="00FF1B6B"/>
    <w:rsid w:val="00FF1C24"/>
    <w:rsid w:val="00FF1D8B"/>
    <w:rsid w:val="00FF24DB"/>
    <w:rsid w:val="00FF2548"/>
    <w:rsid w:val="00FF282A"/>
    <w:rsid w:val="00FF2B25"/>
    <w:rsid w:val="00FF2C55"/>
    <w:rsid w:val="00FF2DC6"/>
    <w:rsid w:val="00FF2E22"/>
    <w:rsid w:val="00FF2E2A"/>
    <w:rsid w:val="00FF2ED8"/>
    <w:rsid w:val="00FF2FAB"/>
    <w:rsid w:val="00FF2FB9"/>
    <w:rsid w:val="00FF3047"/>
    <w:rsid w:val="00FF34CF"/>
    <w:rsid w:val="00FF36F1"/>
    <w:rsid w:val="00FF3763"/>
    <w:rsid w:val="00FF3941"/>
    <w:rsid w:val="00FF39CF"/>
    <w:rsid w:val="00FF39E6"/>
    <w:rsid w:val="00FF3B5A"/>
    <w:rsid w:val="00FF3C68"/>
    <w:rsid w:val="00FF3E0A"/>
    <w:rsid w:val="00FF3F2C"/>
    <w:rsid w:val="00FF4258"/>
    <w:rsid w:val="00FF4278"/>
    <w:rsid w:val="00FF43CD"/>
    <w:rsid w:val="00FF47BD"/>
    <w:rsid w:val="00FF4942"/>
    <w:rsid w:val="00FF49D7"/>
    <w:rsid w:val="00FF4A15"/>
    <w:rsid w:val="00FF4AF1"/>
    <w:rsid w:val="00FF4E8C"/>
    <w:rsid w:val="00FF50AD"/>
    <w:rsid w:val="00FF5243"/>
    <w:rsid w:val="00FF5314"/>
    <w:rsid w:val="00FF5454"/>
    <w:rsid w:val="00FF547D"/>
    <w:rsid w:val="00FF573A"/>
    <w:rsid w:val="00FF57D4"/>
    <w:rsid w:val="00FF5856"/>
    <w:rsid w:val="00FF5A2E"/>
    <w:rsid w:val="00FF5EC2"/>
    <w:rsid w:val="00FF5F3B"/>
    <w:rsid w:val="00FF60D7"/>
    <w:rsid w:val="00FF62A6"/>
    <w:rsid w:val="00FF6336"/>
    <w:rsid w:val="00FF648C"/>
    <w:rsid w:val="00FF660A"/>
    <w:rsid w:val="00FF683A"/>
    <w:rsid w:val="00FF6928"/>
    <w:rsid w:val="00FF6A5C"/>
    <w:rsid w:val="00FF6BF7"/>
    <w:rsid w:val="00FF6C00"/>
    <w:rsid w:val="00FF6D08"/>
    <w:rsid w:val="00FF6D39"/>
    <w:rsid w:val="00FF6E6E"/>
    <w:rsid w:val="00FF6EC6"/>
    <w:rsid w:val="00FF6FCD"/>
    <w:rsid w:val="00FF7038"/>
    <w:rsid w:val="00FF7135"/>
    <w:rsid w:val="00FF73AB"/>
    <w:rsid w:val="00FF782C"/>
    <w:rsid w:val="00FF7865"/>
    <w:rsid w:val="00FF7872"/>
    <w:rsid w:val="00FF799F"/>
    <w:rsid w:val="00FF7BF1"/>
    <w:rsid w:val="00FF7BF9"/>
    <w:rsid w:val="00FF7E6B"/>
    <w:rsid w:val="00FF7F69"/>
    <w:rsid w:val="00FF7F8C"/>
    <w:rsid w:val="00FF7FA9"/>
    <w:rsid w:val="00FF7F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70"/>
    <o:shapelayout v:ext="edit">
      <o:idmap v:ext="edit" data="1"/>
    </o:shapelayout>
  </w:shapeDefaults>
  <w:decimalSymbol w:val="."/>
  <w:listSeparator w:val=","/>
  <w14:docId w14:val="6B330044"/>
  <w15:docId w15:val="{42CCBE72-F9FC-40D7-A8D3-2AE658847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es-MX" w:eastAsia="es-MX"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34EE9"/>
    <w:pPr>
      <w:spacing w:after="200" w:line="276" w:lineRule="auto"/>
    </w:pPr>
    <w:rPr>
      <w:sz w:val="22"/>
      <w:szCs w:val="22"/>
      <w:lang w:eastAsia="en-US"/>
    </w:rPr>
  </w:style>
  <w:style w:type="paragraph" w:styleId="Ttulo1">
    <w:name w:val="heading 1"/>
    <w:aliases w:val="h1"/>
    <w:basedOn w:val="Normal"/>
    <w:next w:val="Normal"/>
    <w:link w:val="Ttulo1Car"/>
    <w:uiPriority w:val="9"/>
    <w:qFormat/>
    <w:rsid w:val="00F34F29"/>
    <w:pPr>
      <w:keepNext/>
      <w:keepLines/>
      <w:spacing w:before="480" w:after="0"/>
      <w:outlineLvl w:val="0"/>
    </w:pPr>
    <w:rPr>
      <w:rFonts w:ascii="Cambria" w:eastAsia="Times New Roman" w:hAnsi="Cambria"/>
      <w:b/>
      <w:bCs/>
      <w:color w:val="365F91"/>
      <w:sz w:val="28"/>
      <w:szCs w:val="28"/>
    </w:rPr>
  </w:style>
  <w:style w:type="paragraph" w:styleId="Ttulo2">
    <w:name w:val="heading 2"/>
    <w:aliases w:val="2TitSec,KJL:1st Level,2,l2,level 2 heading"/>
    <w:basedOn w:val="Normal"/>
    <w:next w:val="Normal"/>
    <w:link w:val="Ttulo2Car"/>
    <w:uiPriority w:val="9"/>
    <w:qFormat/>
    <w:rsid w:val="00766F0F"/>
    <w:pPr>
      <w:keepNext/>
      <w:jc w:val="center"/>
      <w:outlineLvl w:val="1"/>
    </w:pPr>
    <w:rPr>
      <w:rFonts w:ascii="ITC Avant Garde" w:eastAsia="Times New Roman" w:hAnsi="ITC Avant Garde"/>
      <w:b/>
      <w:szCs w:val="20"/>
    </w:rPr>
  </w:style>
  <w:style w:type="paragraph" w:styleId="Ttulo3">
    <w:name w:val="heading 3"/>
    <w:aliases w:val="h3"/>
    <w:basedOn w:val="Normal"/>
    <w:next w:val="Normal"/>
    <w:link w:val="Ttulo3Car"/>
    <w:uiPriority w:val="9"/>
    <w:rsid w:val="00325202"/>
    <w:pPr>
      <w:keepNext/>
      <w:spacing w:after="0" w:line="240" w:lineRule="auto"/>
      <w:ind w:left="2630"/>
      <w:jc w:val="both"/>
      <w:outlineLvl w:val="2"/>
    </w:pPr>
    <w:rPr>
      <w:rFonts w:ascii="Arial" w:eastAsia="Times New Roman" w:hAnsi="Arial"/>
      <w:b/>
      <w:bCs/>
      <w:szCs w:val="20"/>
    </w:rPr>
  </w:style>
  <w:style w:type="paragraph" w:styleId="Ttulo4">
    <w:name w:val="heading 4"/>
    <w:basedOn w:val="Normal"/>
    <w:next w:val="Normal"/>
    <w:link w:val="Ttulo4Car"/>
    <w:uiPriority w:val="9"/>
    <w:rsid w:val="00325202"/>
    <w:pPr>
      <w:keepNext/>
      <w:spacing w:before="240" w:after="60" w:line="240" w:lineRule="auto"/>
      <w:jc w:val="both"/>
      <w:outlineLvl w:val="3"/>
    </w:pPr>
    <w:rPr>
      <w:rFonts w:ascii="Times New Roman" w:eastAsia="Times New Roman" w:hAnsi="Times New Roman"/>
      <w:b/>
      <w:bCs/>
      <w:sz w:val="28"/>
      <w:szCs w:val="28"/>
      <w:lang w:eastAsia="es-ES"/>
    </w:rPr>
  </w:style>
  <w:style w:type="paragraph" w:styleId="Ttulo5">
    <w:name w:val="heading 5"/>
    <w:aliases w:val="Considerando,Apartado_sub"/>
    <w:basedOn w:val="Normal"/>
    <w:next w:val="Normal"/>
    <w:link w:val="Ttulo5Car"/>
    <w:rsid w:val="00325202"/>
    <w:pPr>
      <w:keepNext/>
      <w:spacing w:after="0" w:line="240" w:lineRule="auto"/>
      <w:jc w:val="both"/>
      <w:outlineLvl w:val="4"/>
    </w:pPr>
    <w:rPr>
      <w:rFonts w:ascii="Arial" w:eastAsia="Times New Roman" w:hAnsi="Arial"/>
      <w:b/>
      <w:sz w:val="20"/>
      <w:szCs w:val="20"/>
    </w:rPr>
  </w:style>
  <w:style w:type="paragraph" w:styleId="Ttulo6">
    <w:name w:val="heading 6"/>
    <w:basedOn w:val="Normal"/>
    <w:next w:val="Normal"/>
    <w:link w:val="Ttulo6Car"/>
    <w:qFormat/>
    <w:rsid w:val="00325202"/>
    <w:pPr>
      <w:spacing w:before="240" w:after="60" w:line="240" w:lineRule="auto"/>
      <w:jc w:val="both"/>
      <w:outlineLvl w:val="5"/>
    </w:pPr>
    <w:rPr>
      <w:rFonts w:ascii="Times New Roman" w:eastAsia="Times New Roman" w:hAnsi="Times New Roman"/>
      <w:b/>
      <w:bCs/>
      <w:lang w:eastAsia="es-ES"/>
    </w:rPr>
  </w:style>
  <w:style w:type="paragraph" w:styleId="Ttulo7">
    <w:name w:val="heading 7"/>
    <w:basedOn w:val="Normal"/>
    <w:next w:val="Normal"/>
    <w:link w:val="Ttulo7Car"/>
    <w:rsid w:val="00325202"/>
    <w:pPr>
      <w:spacing w:before="240" w:after="60" w:line="240" w:lineRule="auto"/>
      <w:jc w:val="both"/>
      <w:outlineLvl w:val="6"/>
    </w:pPr>
    <w:rPr>
      <w:rFonts w:ascii="Times New Roman" w:eastAsia="Times New Roman" w:hAnsi="Times New Roman"/>
      <w:sz w:val="24"/>
      <w:szCs w:val="24"/>
      <w:lang w:eastAsia="es-ES"/>
    </w:rPr>
  </w:style>
  <w:style w:type="paragraph" w:styleId="Ttulo8">
    <w:name w:val="heading 8"/>
    <w:basedOn w:val="Normal"/>
    <w:next w:val="Normal"/>
    <w:link w:val="Ttulo8Car"/>
    <w:rsid w:val="00325202"/>
    <w:pPr>
      <w:keepNext/>
      <w:spacing w:after="0" w:line="240" w:lineRule="auto"/>
      <w:jc w:val="center"/>
      <w:outlineLvl w:val="7"/>
    </w:pPr>
    <w:rPr>
      <w:rFonts w:ascii="Arial" w:eastAsia="Times New Roman" w:hAnsi="Arial"/>
      <w:b/>
      <w:szCs w:val="20"/>
      <w:lang w:eastAsia="es-ES"/>
    </w:rPr>
  </w:style>
  <w:style w:type="paragraph" w:styleId="Ttulo9">
    <w:name w:val="heading 9"/>
    <w:aliases w:val="Citaciones"/>
    <w:basedOn w:val="Normal"/>
    <w:next w:val="Normal"/>
    <w:link w:val="Ttulo9Car"/>
    <w:rsid w:val="00325202"/>
    <w:pPr>
      <w:spacing w:before="240" w:after="60" w:line="240" w:lineRule="auto"/>
      <w:jc w:val="both"/>
      <w:outlineLvl w:val="8"/>
    </w:pPr>
    <w:rPr>
      <w:rFonts w:ascii="Arial" w:eastAsia="Times New Roman" w:hAnsi="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2B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2BC8"/>
  </w:style>
  <w:style w:type="paragraph" w:styleId="Piedepgina">
    <w:name w:val="footer"/>
    <w:basedOn w:val="Normal"/>
    <w:link w:val="PiedepginaCar"/>
    <w:uiPriority w:val="99"/>
    <w:unhideWhenUsed/>
    <w:rsid w:val="00072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BC8"/>
  </w:style>
  <w:style w:type="paragraph" w:styleId="NormalWeb">
    <w:name w:val="Normal (Web)"/>
    <w:basedOn w:val="Normal"/>
    <w:uiPriority w:val="99"/>
    <w:unhideWhenUsed/>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916A7E"/>
    <w:pPr>
      <w:autoSpaceDE w:val="0"/>
      <w:autoSpaceDN w:val="0"/>
      <w:adjustRightInd w:val="0"/>
    </w:pPr>
    <w:rPr>
      <w:rFonts w:ascii="Tahoma" w:hAnsi="Tahoma" w:cs="Tahoma"/>
      <w:color w:val="000000"/>
      <w:sz w:val="24"/>
      <w:szCs w:val="24"/>
    </w:rPr>
  </w:style>
  <w:style w:type="table" w:styleId="Tablaconcuadrcula">
    <w:name w:val="Table Grid"/>
    <w:basedOn w:val="Tablanormal"/>
    <w:uiPriority w:val="39"/>
    <w:rsid w:val="002F7BF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rueba1,Numeración 1,4 Viñ 1nivel,Cuadrícula media 1 - Énfasis 21,Bullet List,FooterText,numbered,List Paragraph1,Paragraphe de liste1,Bulletr List Paragraph,列出段落,列出段落1,Cuadros,Lista general"/>
    <w:basedOn w:val="Normal"/>
    <w:link w:val="PrrafodelistaCar"/>
    <w:uiPriority w:val="34"/>
    <w:qFormat/>
    <w:rsid w:val="00E3681F"/>
    <w:pPr>
      <w:ind w:left="720"/>
      <w:contextualSpacing/>
    </w:pPr>
  </w:style>
  <w:style w:type="paragraph" w:styleId="Textodeglobo">
    <w:name w:val="Balloon Text"/>
    <w:basedOn w:val="Normal"/>
    <w:link w:val="TextodegloboCar"/>
    <w:uiPriority w:val="99"/>
    <w:unhideWhenUsed/>
    <w:rsid w:val="001967DD"/>
    <w:pPr>
      <w:spacing w:after="0" w:line="240" w:lineRule="auto"/>
    </w:pPr>
    <w:rPr>
      <w:rFonts w:ascii="Tahoma" w:hAnsi="Tahoma"/>
      <w:sz w:val="16"/>
      <w:szCs w:val="16"/>
    </w:rPr>
  </w:style>
  <w:style w:type="character" w:customStyle="1" w:styleId="TextodegloboCar">
    <w:name w:val="Texto de globo Car"/>
    <w:link w:val="Textodeglobo"/>
    <w:uiPriority w:val="99"/>
    <w:rsid w:val="001967DD"/>
    <w:rPr>
      <w:rFonts w:ascii="Tahoma" w:hAnsi="Tahoma" w:cs="Tahoma"/>
      <w:sz w:val="16"/>
      <w:szCs w:val="16"/>
      <w:lang w:eastAsia="en-US"/>
    </w:rPr>
  </w:style>
  <w:style w:type="paragraph" w:styleId="Textoindependiente">
    <w:name w:val="Body Text"/>
    <w:aliases w:val="IFT cita calibri,IFT cita"/>
    <w:basedOn w:val="Cita"/>
    <w:link w:val="TextoindependienteCar"/>
    <w:rsid w:val="00A07F01"/>
    <w:pPr>
      <w:spacing w:after="0" w:line="240" w:lineRule="auto"/>
      <w:ind w:left="708"/>
    </w:pPr>
    <w:rPr>
      <w:szCs w:val="20"/>
    </w:rPr>
  </w:style>
  <w:style w:type="character" w:customStyle="1" w:styleId="TextoindependienteCar">
    <w:name w:val="Texto independiente Car"/>
    <w:aliases w:val="IFT cita calibri Car,IFT cita Car"/>
    <w:link w:val="Textoindependiente"/>
    <w:rsid w:val="001967DD"/>
    <w:rPr>
      <w:rFonts w:ascii="ITC Avant Garde" w:eastAsia="Times New Roman" w:hAnsi="ITC Avant Garde" w:cs="Arial"/>
      <w:i/>
      <w:color w:val="000000"/>
      <w:sz w:val="18"/>
      <w:lang w:val="es-ES" w:eastAsia="es-E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nhideWhenUsed/>
    <w:qFormat/>
    <w:rsid w:val="007C6048"/>
    <w:pPr>
      <w:contextualSpacing/>
    </w:pPr>
    <w:rPr>
      <w:rFonts w:ascii="ITC Avant Garde" w:hAnsi="ITC Avant Garde"/>
      <w:sz w:val="18"/>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link w:val="Textonotapie"/>
    <w:rsid w:val="00E1687C"/>
    <w:rPr>
      <w:rFonts w:ascii="ITC Avant Garde" w:hAnsi="ITC Avant Garde"/>
      <w:sz w:val="18"/>
      <w:lang w:eastAsia="en-US"/>
    </w:rPr>
  </w:style>
  <w:style w:type="character" w:styleId="Refdenotaalpie">
    <w:name w:val="footnote reference"/>
    <w:aliases w:val="Ref,de nota al pie,(NECG) Footnote Reference,o,fr,Style 3,Appel note de bas de p,Style 12,Style 124,Ref. de nota al pie 2,Footnote Reference Superscript,Style 6,Style 13,FR,Style 17,Footnote Reference/"/>
    <w:unhideWhenUsed/>
    <w:qFormat/>
    <w:rsid w:val="00E1687C"/>
    <w:rPr>
      <w:vertAlign w:val="superscript"/>
    </w:rPr>
  </w:style>
  <w:style w:type="paragraph" w:styleId="Sinespaciado">
    <w:name w:val="No Spacing"/>
    <w:uiPriority w:val="1"/>
    <w:qFormat/>
    <w:rsid w:val="00067619"/>
    <w:rPr>
      <w:sz w:val="22"/>
      <w:szCs w:val="22"/>
      <w:lang w:eastAsia="en-US"/>
    </w:rPr>
  </w:style>
  <w:style w:type="character" w:styleId="Hipervnculo">
    <w:name w:val="Hyperlink"/>
    <w:uiPriority w:val="99"/>
    <w:unhideWhenUsed/>
    <w:rsid w:val="00E26906"/>
    <w:rPr>
      <w:color w:val="0000FF"/>
      <w:u w:val="single"/>
    </w:rPr>
  </w:style>
  <w:style w:type="character" w:styleId="Refdecomentario">
    <w:name w:val="annotation reference"/>
    <w:unhideWhenUsed/>
    <w:rsid w:val="00E26906"/>
    <w:rPr>
      <w:sz w:val="16"/>
      <w:szCs w:val="16"/>
    </w:rPr>
  </w:style>
  <w:style w:type="paragraph" w:styleId="Textocomentario">
    <w:name w:val="annotation text"/>
    <w:basedOn w:val="Normal"/>
    <w:link w:val="TextocomentarioCar"/>
    <w:uiPriority w:val="99"/>
    <w:unhideWhenUsed/>
    <w:rsid w:val="00E26906"/>
    <w:pPr>
      <w:spacing w:line="240" w:lineRule="auto"/>
    </w:pPr>
    <w:rPr>
      <w:rFonts w:eastAsia="Times New Roman"/>
      <w:sz w:val="20"/>
      <w:szCs w:val="20"/>
    </w:rPr>
  </w:style>
  <w:style w:type="character" w:customStyle="1" w:styleId="TextocomentarioCar">
    <w:name w:val="Texto comentario Car"/>
    <w:link w:val="Textocomentario"/>
    <w:uiPriority w:val="99"/>
    <w:rsid w:val="00E26906"/>
    <w:rPr>
      <w:rFonts w:ascii="Calibri" w:eastAsia="Times New Roman" w:hAnsi="Calibri" w:cs="Times New Roman"/>
    </w:rPr>
  </w:style>
  <w:style w:type="paragraph" w:customStyle="1" w:styleId="IFTnormal">
    <w:name w:val="IFT normal"/>
    <w:basedOn w:val="Normal"/>
    <w:link w:val="IFTnormalCar"/>
    <w:qFormat/>
    <w:rsid w:val="00BF3389"/>
    <w:pPr>
      <w:jc w:val="both"/>
    </w:pPr>
    <w:rPr>
      <w:rFonts w:ascii="ITC Avant Garde" w:hAnsi="ITC Avant Garde" w:cs="Calibri"/>
      <w:bCs/>
    </w:rPr>
  </w:style>
  <w:style w:type="paragraph" w:customStyle="1" w:styleId="NumeracinIFT">
    <w:name w:val="Numeración IFT"/>
    <w:basedOn w:val="Prrafodelista"/>
    <w:link w:val="NumeracinIFTCar"/>
    <w:qFormat/>
    <w:rsid w:val="00E26906"/>
    <w:pPr>
      <w:ind w:left="1571" w:hanging="360"/>
      <w:jc w:val="both"/>
    </w:pPr>
    <w:rPr>
      <w:rFonts w:ascii="ITC Avant Garde" w:eastAsia="Times New Roman" w:hAnsi="ITC Avant Garde"/>
      <w:iCs/>
    </w:rPr>
  </w:style>
  <w:style w:type="character" w:customStyle="1" w:styleId="PrrafodelistaCar">
    <w:name w:val="Párrafo de lista Car"/>
    <w:aliases w:val="prueba1 Car,Numeración 1 Car,4 Viñ 1nivel Car,Cuadrícula media 1 - Énfasis 21 Car,Bullet List Car,FooterText Car,numbered Car,List Paragraph1 Car,Paragraphe de liste1 Car,Bulletr List Paragraph Car,列出段落 Car,列出段落1 Car,Cuadros Car"/>
    <w:link w:val="Prrafodelista"/>
    <w:uiPriority w:val="34"/>
    <w:qFormat/>
    <w:rsid w:val="00E26906"/>
    <w:rPr>
      <w:sz w:val="22"/>
      <w:szCs w:val="22"/>
      <w:lang w:eastAsia="en-US"/>
    </w:rPr>
  </w:style>
  <w:style w:type="character" w:customStyle="1" w:styleId="NumeracinIFTCar">
    <w:name w:val="Numeración IFT Car"/>
    <w:link w:val="NumeracinIFT"/>
    <w:rsid w:val="00E26906"/>
    <w:rPr>
      <w:rFonts w:ascii="ITC Avant Garde" w:eastAsia="Times New Roman" w:hAnsi="ITC Avant Garde"/>
      <w:iCs/>
      <w:sz w:val="22"/>
      <w:szCs w:val="22"/>
      <w:lang w:eastAsia="en-US"/>
    </w:rPr>
  </w:style>
  <w:style w:type="paragraph" w:styleId="Textoindependiente3">
    <w:name w:val="Body Text 3"/>
    <w:basedOn w:val="Normal"/>
    <w:link w:val="Textoindependiente3Car"/>
    <w:unhideWhenUsed/>
    <w:rsid w:val="002979E9"/>
    <w:pPr>
      <w:spacing w:after="120"/>
    </w:pPr>
    <w:rPr>
      <w:sz w:val="16"/>
      <w:szCs w:val="16"/>
    </w:rPr>
  </w:style>
  <w:style w:type="character" w:customStyle="1" w:styleId="Textoindependiente3Car">
    <w:name w:val="Texto independiente 3 Car"/>
    <w:link w:val="Textoindependiente3"/>
    <w:rsid w:val="002979E9"/>
    <w:rPr>
      <w:rFonts w:ascii="Calibri" w:eastAsia="Calibri" w:hAnsi="Calibri" w:cs="Times New Roman"/>
      <w:sz w:val="16"/>
      <w:szCs w:val="16"/>
      <w:lang w:eastAsia="en-US"/>
    </w:rPr>
  </w:style>
  <w:style w:type="paragraph" w:styleId="Listaconvietas">
    <w:name w:val="List Bullet"/>
    <w:aliases w:val="Bullets texto"/>
    <w:basedOn w:val="Normal"/>
    <w:uiPriority w:val="99"/>
    <w:unhideWhenUsed/>
    <w:qFormat/>
    <w:rsid w:val="002979E9"/>
    <w:pPr>
      <w:ind w:left="720" w:hanging="360"/>
      <w:contextualSpacing/>
    </w:pPr>
  </w:style>
  <w:style w:type="paragraph" w:styleId="Descripcin">
    <w:name w:val="caption"/>
    <w:aliases w:val="TF,cap"/>
    <w:next w:val="Normal"/>
    <w:link w:val="DescripcinCar"/>
    <w:qFormat/>
    <w:rsid w:val="002A6CA9"/>
    <w:pPr>
      <w:keepNext/>
      <w:tabs>
        <w:tab w:val="left" w:pos="2041"/>
      </w:tabs>
      <w:spacing w:after="160" w:line="280" w:lineRule="atLeast"/>
    </w:pPr>
    <w:rPr>
      <w:rFonts w:ascii="Arial" w:hAnsi="Arial"/>
      <w:bCs/>
      <w:i/>
      <w:sz w:val="18"/>
      <w:szCs w:val="18"/>
      <w:lang w:val="en-GB" w:eastAsia="en-US"/>
    </w:rPr>
  </w:style>
  <w:style w:type="paragraph" w:styleId="Asuntodelcomentario">
    <w:name w:val="annotation subject"/>
    <w:basedOn w:val="Textocomentario"/>
    <w:next w:val="Textocomentario"/>
    <w:link w:val="AsuntodelcomentarioCar"/>
    <w:uiPriority w:val="99"/>
    <w:unhideWhenUsed/>
    <w:rsid w:val="002A6CA9"/>
    <w:rPr>
      <w:b/>
      <w:bCs/>
    </w:rPr>
  </w:style>
  <w:style w:type="character" w:customStyle="1" w:styleId="AsuntodelcomentarioCar">
    <w:name w:val="Asunto del comentario Car"/>
    <w:link w:val="Asuntodelcomentario"/>
    <w:uiPriority w:val="99"/>
    <w:rsid w:val="002A6CA9"/>
    <w:rPr>
      <w:rFonts w:ascii="Calibri" w:eastAsia="Times New Roman" w:hAnsi="Calibri" w:cs="Times New Roman"/>
      <w:b/>
      <w:bCs/>
    </w:rPr>
  </w:style>
  <w:style w:type="paragraph" w:styleId="Listaconvietas2">
    <w:name w:val="List Bullet 2"/>
    <w:basedOn w:val="Normal"/>
    <w:link w:val="Listaconvietas2Car"/>
    <w:uiPriority w:val="99"/>
    <w:unhideWhenUsed/>
    <w:rsid w:val="002A6CA9"/>
    <w:pPr>
      <w:ind w:left="1077" w:hanging="360"/>
      <w:contextualSpacing/>
    </w:pPr>
  </w:style>
  <w:style w:type="paragraph" w:styleId="Cita">
    <w:name w:val="Quote"/>
    <w:aliases w:val="Bullets cita"/>
    <w:basedOn w:val="Citaift"/>
    <w:next w:val="Normal"/>
    <w:link w:val="CitaCar"/>
    <w:uiPriority w:val="29"/>
    <w:qFormat/>
    <w:rsid w:val="007C6048"/>
    <w:pPr>
      <w:ind w:left="1571" w:hanging="360"/>
    </w:pPr>
    <w:rPr>
      <w:lang w:val="es-ES"/>
    </w:rPr>
  </w:style>
  <w:style w:type="character" w:customStyle="1" w:styleId="CitaCar">
    <w:name w:val="Cita Car"/>
    <w:aliases w:val="Bullets cita Car"/>
    <w:link w:val="Cita"/>
    <w:uiPriority w:val="29"/>
    <w:rsid w:val="002A6CA9"/>
    <w:rPr>
      <w:rFonts w:ascii="ITC Avant Garde" w:eastAsia="Times New Roman" w:hAnsi="ITC Avant Garde" w:cs="Arial"/>
      <w:i/>
      <w:color w:val="000000"/>
      <w:sz w:val="18"/>
      <w:szCs w:val="18"/>
      <w:lang w:val="es-ES" w:eastAsia="es-ES"/>
    </w:rPr>
  </w:style>
  <w:style w:type="paragraph" w:customStyle="1" w:styleId="Prrafodelista1">
    <w:name w:val="Párrafo de lista1"/>
    <w:basedOn w:val="Normal"/>
    <w:rsid w:val="00BD6FC0"/>
    <w:pPr>
      <w:ind w:left="720"/>
      <w:contextualSpacing/>
    </w:pPr>
    <w:rPr>
      <w:rFonts w:eastAsia="Times New Roman"/>
    </w:rPr>
  </w:style>
  <w:style w:type="character" w:styleId="Textoennegrita">
    <w:name w:val="Strong"/>
    <w:uiPriority w:val="22"/>
    <w:qFormat/>
    <w:rsid w:val="00BC456C"/>
    <w:rPr>
      <w:b/>
      <w:bCs/>
    </w:rPr>
  </w:style>
  <w:style w:type="character" w:customStyle="1" w:styleId="Ttulo1Car">
    <w:name w:val="Título 1 Car"/>
    <w:aliases w:val="h1 Car"/>
    <w:link w:val="Ttulo1"/>
    <w:uiPriority w:val="9"/>
    <w:rsid w:val="00F34F29"/>
    <w:rPr>
      <w:rFonts w:ascii="Cambria" w:eastAsia="Times New Roman" w:hAnsi="Cambria"/>
      <w:b/>
      <w:bCs/>
      <w:color w:val="365F91"/>
      <w:sz w:val="28"/>
      <w:szCs w:val="28"/>
    </w:rPr>
  </w:style>
  <w:style w:type="character" w:styleId="CitaHTML">
    <w:name w:val="HTML Cite"/>
    <w:uiPriority w:val="99"/>
    <w:semiHidden/>
    <w:unhideWhenUsed/>
    <w:rsid w:val="00F34F29"/>
    <w:rPr>
      <w:i/>
      <w:iCs/>
    </w:rPr>
  </w:style>
  <w:style w:type="paragraph" w:styleId="Revisin">
    <w:name w:val="Revision"/>
    <w:hidden/>
    <w:uiPriority w:val="99"/>
    <w:semiHidden/>
    <w:rsid w:val="00D5093A"/>
    <w:rPr>
      <w:sz w:val="22"/>
      <w:szCs w:val="22"/>
      <w:lang w:eastAsia="en-US"/>
    </w:rPr>
  </w:style>
  <w:style w:type="paragraph" w:customStyle="1" w:styleId="Prrafodelista11">
    <w:name w:val="Párrafo de lista11"/>
    <w:basedOn w:val="Normal"/>
    <w:rsid w:val="000877F7"/>
    <w:pPr>
      <w:ind w:left="720"/>
      <w:contextualSpacing/>
    </w:pPr>
    <w:rPr>
      <w:rFonts w:eastAsia="Times New Roman"/>
    </w:rPr>
  </w:style>
  <w:style w:type="paragraph" w:styleId="Sangradetextonormal">
    <w:name w:val="Body Text Indent"/>
    <w:basedOn w:val="Normal"/>
    <w:link w:val="SangradetextonormalCar"/>
    <w:uiPriority w:val="99"/>
    <w:unhideWhenUsed/>
    <w:rsid w:val="00325202"/>
    <w:pPr>
      <w:spacing w:after="120"/>
      <w:ind w:left="283"/>
    </w:pPr>
  </w:style>
  <w:style w:type="character" w:customStyle="1" w:styleId="SangradetextonormalCar">
    <w:name w:val="Sangría de texto normal Car"/>
    <w:link w:val="Sangradetextonormal"/>
    <w:uiPriority w:val="99"/>
    <w:rsid w:val="00325202"/>
    <w:rPr>
      <w:sz w:val="22"/>
      <w:szCs w:val="22"/>
      <w:lang w:eastAsia="en-US"/>
    </w:rPr>
  </w:style>
  <w:style w:type="character" w:customStyle="1" w:styleId="Ttulo2Car">
    <w:name w:val="Título 2 Car"/>
    <w:aliases w:val="2TitSec Car,KJL:1st Level Car,2 Car,l2 Car,level 2 heading Car"/>
    <w:link w:val="Ttulo2"/>
    <w:uiPriority w:val="9"/>
    <w:rsid w:val="00325202"/>
    <w:rPr>
      <w:rFonts w:ascii="ITC Avant Garde" w:eastAsia="Times New Roman" w:hAnsi="ITC Avant Garde"/>
      <w:b/>
      <w:sz w:val="22"/>
      <w:lang w:eastAsia="en-US"/>
    </w:rPr>
  </w:style>
  <w:style w:type="character" w:customStyle="1" w:styleId="Ttulo3Car">
    <w:name w:val="Título 3 Car"/>
    <w:aliases w:val="h3 Car"/>
    <w:link w:val="Ttulo3"/>
    <w:uiPriority w:val="9"/>
    <w:rsid w:val="00325202"/>
    <w:rPr>
      <w:rFonts w:ascii="Arial" w:eastAsia="Times New Roman" w:hAnsi="Arial"/>
      <w:b/>
      <w:bCs/>
      <w:sz w:val="22"/>
      <w:lang w:eastAsia="en-US"/>
    </w:rPr>
  </w:style>
  <w:style w:type="character" w:customStyle="1" w:styleId="Ttulo4Car">
    <w:name w:val="Título 4 Car"/>
    <w:link w:val="Ttulo4"/>
    <w:uiPriority w:val="9"/>
    <w:rsid w:val="00325202"/>
    <w:rPr>
      <w:rFonts w:ascii="Times New Roman" w:eastAsia="Times New Roman" w:hAnsi="Times New Roman"/>
      <w:b/>
      <w:bCs/>
      <w:sz w:val="28"/>
      <w:szCs w:val="28"/>
      <w:lang w:eastAsia="es-ES"/>
    </w:rPr>
  </w:style>
  <w:style w:type="character" w:customStyle="1" w:styleId="Ttulo5Car">
    <w:name w:val="Título 5 Car"/>
    <w:aliases w:val="Considerando Car,Apartado_sub Car"/>
    <w:link w:val="Ttulo5"/>
    <w:rsid w:val="00325202"/>
    <w:rPr>
      <w:rFonts w:ascii="Arial" w:eastAsia="Times New Roman" w:hAnsi="Arial"/>
      <w:b/>
      <w:lang w:eastAsia="en-US"/>
    </w:rPr>
  </w:style>
  <w:style w:type="character" w:customStyle="1" w:styleId="Ttulo6Car">
    <w:name w:val="Título 6 Car"/>
    <w:link w:val="Ttulo6"/>
    <w:rsid w:val="00325202"/>
    <w:rPr>
      <w:rFonts w:ascii="Times New Roman" w:eastAsia="Times New Roman" w:hAnsi="Times New Roman"/>
      <w:b/>
      <w:bCs/>
      <w:sz w:val="22"/>
      <w:szCs w:val="22"/>
      <w:lang w:eastAsia="es-ES"/>
    </w:rPr>
  </w:style>
  <w:style w:type="character" w:customStyle="1" w:styleId="Ttulo7Car">
    <w:name w:val="Título 7 Car"/>
    <w:link w:val="Ttulo7"/>
    <w:rsid w:val="00325202"/>
    <w:rPr>
      <w:rFonts w:ascii="Times New Roman" w:eastAsia="Times New Roman" w:hAnsi="Times New Roman"/>
      <w:sz w:val="24"/>
      <w:szCs w:val="24"/>
      <w:lang w:eastAsia="es-ES"/>
    </w:rPr>
  </w:style>
  <w:style w:type="character" w:customStyle="1" w:styleId="Ttulo8Car">
    <w:name w:val="Título 8 Car"/>
    <w:link w:val="Ttulo8"/>
    <w:rsid w:val="00325202"/>
    <w:rPr>
      <w:rFonts w:ascii="Arial" w:eastAsia="Times New Roman" w:hAnsi="Arial"/>
      <w:b/>
      <w:sz w:val="22"/>
      <w:lang w:eastAsia="es-ES"/>
    </w:rPr>
  </w:style>
  <w:style w:type="character" w:customStyle="1" w:styleId="Ttulo9Car">
    <w:name w:val="Título 9 Car"/>
    <w:aliases w:val="Citaciones Car"/>
    <w:link w:val="Ttulo9"/>
    <w:rsid w:val="00325202"/>
    <w:rPr>
      <w:rFonts w:ascii="Arial" w:eastAsia="Times New Roman" w:hAnsi="Arial" w:cs="Arial"/>
      <w:sz w:val="22"/>
      <w:szCs w:val="22"/>
      <w:lang w:eastAsia="es-ES"/>
    </w:rPr>
  </w:style>
  <w:style w:type="character" w:styleId="Nmerodepgina">
    <w:name w:val="page number"/>
    <w:rsid w:val="00325202"/>
  </w:style>
  <w:style w:type="paragraph" w:styleId="Ttulo">
    <w:name w:val="Title"/>
    <w:basedOn w:val="Normal"/>
    <w:link w:val="TtuloCar"/>
    <w:rsid w:val="00325202"/>
    <w:pPr>
      <w:spacing w:after="0" w:line="240" w:lineRule="auto"/>
      <w:jc w:val="center"/>
    </w:pPr>
    <w:rPr>
      <w:rFonts w:ascii="Arial" w:eastAsia="Times New Roman" w:hAnsi="Arial"/>
      <w:b/>
      <w:szCs w:val="20"/>
    </w:rPr>
  </w:style>
  <w:style w:type="character" w:customStyle="1" w:styleId="TtuloCar">
    <w:name w:val="Título Car"/>
    <w:link w:val="Ttulo"/>
    <w:rsid w:val="00325202"/>
    <w:rPr>
      <w:rFonts w:ascii="Arial" w:eastAsia="Times New Roman" w:hAnsi="Arial"/>
      <w:b/>
      <w:sz w:val="22"/>
      <w:lang w:eastAsia="en-US"/>
    </w:rPr>
  </w:style>
  <w:style w:type="paragraph" w:styleId="Sangra2detindependiente">
    <w:name w:val="Body Text Indent 2"/>
    <w:basedOn w:val="Normal"/>
    <w:link w:val="Sangra2detindependienteCar"/>
    <w:rsid w:val="00325202"/>
    <w:pPr>
      <w:spacing w:after="0" w:line="240" w:lineRule="auto"/>
      <w:ind w:left="708"/>
      <w:jc w:val="both"/>
    </w:pPr>
    <w:rPr>
      <w:rFonts w:ascii="Arial" w:eastAsia="Times New Roman" w:hAnsi="Arial"/>
      <w:szCs w:val="20"/>
    </w:rPr>
  </w:style>
  <w:style w:type="character" w:customStyle="1" w:styleId="Sangra2detindependienteCar">
    <w:name w:val="Sangría 2 de t. independiente Car"/>
    <w:link w:val="Sangra2detindependiente"/>
    <w:rsid w:val="00325202"/>
    <w:rPr>
      <w:rFonts w:ascii="Arial" w:eastAsia="Times New Roman" w:hAnsi="Arial"/>
      <w:sz w:val="22"/>
      <w:lang w:eastAsia="en-US"/>
    </w:rPr>
  </w:style>
  <w:style w:type="paragraph" w:styleId="Subttulo">
    <w:name w:val="Subtitle"/>
    <w:basedOn w:val="Normal"/>
    <w:link w:val="SubttuloCar"/>
    <w:rsid w:val="00325202"/>
    <w:pPr>
      <w:spacing w:after="0" w:line="230" w:lineRule="auto"/>
      <w:ind w:left="4253"/>
      <w:jc w:val="both"/>
    </w:pPr>
    <w:rPr>
      <w:rFonts w:ascii="Arial" w:eastAsia="Times New Roman" w:hAnsi="Arial"/>
      <w:b/>
      <w:szCs w:val="24"/>
      <w:lang w:eastAsia="es-ES"/>
    </w:rPr>
  </w:style>
  <w:style w:type="character" w:customStyle="1" w:styleId="SubttuloCar">
    <w:name w:val="Subtítulo Car"/>
    <w:link w:val="Subttulo"/>
    <w:rsid w:val="00325202"/>
    <w:rPr>
      <w:rFonts w:ascii="Arial" w:eastAsia="Times New Roman" w:hAnsi="Arial"/>
      <w:b/>
      <w:sz w:val="22"/>
      <w:szCs w:val="24"/>
      <w:lang w:eastAsia="es-ES"/>
    </w:rPr>
  </w:style>
  <w:style w:type="paragraph" w:styleId="Textoindependiente2">
    <w:name w:val="Body Text 2"/>
    <w:basedOn w:val="Normal"/>
    <w:link w:val="Textoindependiente2Car"/>
    <w:rsid w:val="00325202"/>
    <w:pPr>
      <w:spacing w:after="0" w:line="240" w:lineRule="auto"/>
      <w:jc w:val="both"/>
    </w:pPr>
    <w:rPr>
      <w:rFonts w:ascii="Arial" w:eastAsia="Times New Roman" w:hAnsi="Arial"/>
      <w:szCs w:val="20"/>
      <w:lang w:eastAsia="es-ES"/>
    </w:rPr>
  </w:style>
  <w:style w:type="character" w:customStyle="1" w:styleId="Textoindependiente2Car">
    <w:name w:val="Texto independiente 2 Car"/>
    <w:link w:val="Textoindependiente2"/>
    <w:rsid w:val="00325202"/>
    <w:rPr>
      <w:rFonts w:ascii="Arial" w:eastAsia="Times New Roman" w:hAnsi="Arial"/>
      <w:sz w:val="22"/>
      <w:lang w:eastAsia="es-ES"/>
    </w:rPr>
  </w:style>
  <w:style w:type="paragraph" w:styleId="Sangra3detindependiente">
    <w:name w:val="Body Text Indent 3"/>
    <w:basedOn w:val="Normal"/>
    <w:link w:val="Sangra3detindependienteCar"/>
    <w:rsid w:val="00325202"/>
    <w:pPr>
      <w:spacing w:before="120" w:after="120" w:line="240" w:lineRule="auto"/>
      <w:ind w:left="708"/>
      <w:jc w:val="both"/>
    </w:pPr>
    <w:rPr>
      <w:rFonts w:ascii="Arial" w:eastAsia="Times New Roman" w:hAnsi="Arial"/>
      <w:i/>
      <w:sz w:val="20"/>
      <w:szCs w:val="20"/>
      <w:lang w:eastAsia="es-ES"/>
    </w:rPr>
  </w:style>
  <w:style w:type="character" w:customStyle="1" w:styleId="Sangra3detindependienteCar">
    <w:name w:val="Sangría 3 de t. independiente Car"/>
    <w:link w:val="Sangra3detindependiente"/>
    <w:rsid w:val="00325202"/>
    <w:rPr>
      <w:rFonts w:ascii="Arial" w:eastAsia="Times New Roman" w:hAnsi="Arial"/>
      <w:i/>
      <w:lang w:eastAsia="es-ES"/>
    </w:rPr>
  </w:style>
  <w:style w:type="paragraph" w:styleId="Textosinformato">
    <w:name w:val="Plain Text"/>
    <w:basedOn w:val="Normal"/>
    <w:link w:val="TextosinformatoCar"/>
    <w:rsid w:val="00325202"/>
    <w:pPr>
      <w:spacing w:after="0" w:line="240" w:lineRule="auto"/>
    </w:pPr>
    <w:rPr>
      <w:rFonts w:ascii="Courier New" w:eastAsia="Times New Roman" w:hAnsi="Courier New"/>
      <w:sz w:val="20"/>
      <w:szCs w:val="20"/>
      <w:lang w:eastAsia="es-ES"/>
    </w:rPr>
  </w:style>
  <w:style w:type="character" w:customStyle="1" w:styleId="TextosinformatoCar">
    <w:name w:val="Texto sin formato Car"/>
    <w:link w:val="Textosinformato"/>
    <w:rsid w:val="00325202"/>
    <w:rPr>
      <w:rFonts w:ascii="Courier New" w:eastAsia="Times New Roman" w:hAnsi="Courier New" w:cs="Courier New"/>
      <w:lang w:eastAsia="es-ES"/>
    </w:rPr>
  </w:style>
  <w:style w:type="paragraph" w:styleId="Textodebloque">
    <w:name w:val="Block Text"/>
    <w:basedOn w:val="Normal"/>
    <w:rsid w:val="00325202"/>
    <w:pPr>
      <w:spacing w:after="0" w:line="240" w:lineRule="auto"/>
      <w:ind w:left="1134" w:right="1134"/>
      <w:jc w:val="both"/>
    </w:pPr>
    <w:rPr>
      <w:rFonts w:ascii="Arial" w:eastAsia="Times New Roman" w:hAnsi="Arial" w:cs="Arial"/>
      <w:sz w:val="20"/>
      <w:szCs w:val="24"/>
      <w:lang w:val="es-ES" w:eastAsia="es-ES"/>
    </w:rPr>
  </w:style>
  <w:style w:type="character" w:styleId="Hipervnculovisitado">
    <w:name w:val="FollowedHyperlink"/>
    <w:uiPriority w:val="99"/>
    <w:rsid w:val="00325202"/>
    <w:rPr>
      <w:color w:val="800080"/>
      <w:u w:val="single"/>
    </w:rPr>
  </w:style>
  <w:style w:type="paragraph" w:styleId="Lista">
    <w:name w:val="List"/>
    <w:basedOn w:val="Normal"/>
    <w:rsid w:val="00325202"/>
    <w:pPr>
      <w:spacing w:after="0" w:line="240" w:lineRule="auto"/>
      <w:ind w:left="283" w:hanging="283"/>
    </w:pPr>
    <w:rPr>
      <w:rFonts w:ascii="Times New Roman" w:eastAsia="Times New Roman" w:hAnsi="Times New Roman"/>
      <w:sz w:val="24"/>
      <w:szCs w:val="24"/>
      <w:lang w:val="es-ES" w:eastAsia="es-ES"/>
    </w:rPr>
  </w:style>
  <w:style w:type="paragraph" w:styleId="Lista2">
    <w:name w:val="List 2"/>
    <w:basedOn w:val="Normal"/>
    <w:rsid w:val="00325202"/>
    <w:pPr>
      <w:spacing w:after="0" w:line="240" w:lineRule="auto"/>
      <w:ind w:left="566" w:hanging="283"/>
    </w:pPr>
    <w:rPr>
      <w:rFonts w:ascii="Times New Roman" w:eastAsia="Times New Roman" w:hAnsi="Times New Roman"/>
      <w:sz w:val="24"/>
      <w:szCs w:val="24"/>
      <w:lang w:val="es-ES" w:eastAsia="es-ES"/>
    </w:rPr>
  </w:style>
  <w:style w:type="paragraph" w:styleId="Lista3">
    <w:name w:val="List 3"/>
    <w:basedOn w:val="Normal"/>
    <w:rsid w:val="00325202"/>
    <w:pPr>
      <w:spacing w:after="0" w:line="240" w:lineRule="auto"/>
      <w:ind w:left="849" w:hanging="283"/>
    </w:pPr>
    <w:rPr>
      <w:rFonts w:ascii="Times New Roman" w:eastAsia="Times New Roman" w:hAnsi="Times New Roman"/>
      <w:sz w:val="24"/>
      <w:szCs w:val="24"/>
      <w:lang w:val="es-ES" w:eastAsia="es-ES"/>
    </w:rPr>
  </w:style>
  <w:style w:type="paragraph" w:styleId="Encabezadodemensaje">
    <w:name w:val="Message Header"/>
    <w:basedOn w:val="Normal"/>
    <w:link w:val="EncabezadodemensajeCar"/>
    <w:rsid w:val="0032520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sz w:val="24"/>
      <w:szCs w:val="24"/>
      <w:lang w:val="es-ES" w:eastAsia="es-ES"/>
    </w:rPr>
  </w:style>
  <w:style w:type="character" w:customStyle="1" w:styleId="EncabezadodemensajeCar">
    <w:name w:val="Encabezado de mensaje Car"/>
    <w:link w:val="Encabezadodemensaje"/>
    <w:rsid w:val="00325202"/>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rsid w:val="00325202"/>
    <w:pPr>
      <w:spacing w:after="0" w:line="240" w:lineRule="auto"/>
    </w:pPr>
    <w:rPr>
      <w:rFonts w:ascii="Times New Roman" w:eastAsia="Times New Roman" w:hAnsi="Times New Roman"/>
      <w:sz w:val="24"/>
      <w:szCs w:val="24"/>
      <w:lang w:val="es-ES" w:eastAsia="es-ES"/>
    </w:rPr>
  </w:style>
  <w:style w:type="character" w:customStyle="1" w:styleId="SaludoCar">
    <w:name w:val="Saludo Car"/>
    <w:link w:val="Saludo"/>
    <w:rsid w:val="00325202"/>
    <w:rPr>
      <w:rFonts w:ascii="Times New Roman" w:eastAsia="Times New Roman" w:hAnsi="Times New Roman"/>
      <w:sz w:val="24"/>
      <w:szCs w:val="24"/>
      <w:lang w:val="es-ES" w:eastAsia="es-ES"/>
    </w:rPr>
  </w:style>
  <w:style w:type="paragraph" w:styleId="Continuarlista">
    <w:name w:val="List Continue"/>
    <w:basedOn w:val="Normal"/>
    <w:rsid w:val="00325202"/>
    <w:pPr>
      <w:spacing w:after="120" w:line="240" w:lineRule="auto"/>
      <w:ind w:left="283"/>
    </w:pPr>
    <w:rPr>
      <w:rFonts w:ascii="Times New Roman" w:eastAsia="Times New Roman" w:hAnsi="Times New Roman"/>
      <w:sz w:val="24"/>
      <w:szCs w:val="24"/>
      <w:lang w:val="es-ES" w:eastAsia="es-ES"/>
    </w:rPr>
  </w:style>
  <w:style w:type="paragraph" w:styleId="Textoindependienteprimerasangra">
    <w:name w:val="Body Text First Indent"/>
    <w:basedOn w:val="Textoindependiente"/>
    <w:link w:val="TextoindependienteprimerasangraCar"/>
    <w:rsid w:val="00325202"/>
    <w:pPr>
      <w:spacing w:after="120"/>
      <w:ind w:left="0" w:firstLine="210"/>
      <w:jc w:val="left"/>
    </w:pPr>
    <w:rPr>
      <w:rFonts w:ascii="Times New Roman" w:hAnsi="Times New Roman"/>
      <w:i w:val="0"/>
      <w:iCs/>
      <w:sz w:val="24"/>
      <w:szCs w:val="24"/>
    </w:rPr>
  </w:style>
  <w:style w:type="character" w:customStyle="1" w:styleId="TextoindependienteprimerasangraCar">
    <w:name w:val="Texto independiente primera sangría Car"/>
    <w:link w:val="Textoindependienteprimerasangra"/>
    <w:rsid w:val="00325202"/>
    <w:rPr>
      <w:rFonts w:ascii="Times New Roman" w:eastAsia="Times New Roman" w:hAnsi="Times New Roman" w:cs="Arial"/>
      <w:iCs/>
      <w:color w:val="000000"/>
      <w:sz w:val="24"/>
      <w:szCs w:val="24"/>
      <w:lang w:val="es-ES" w:eastAsia="es-ES"/>
    </w:rPr>
  </w:style>
  <w:style w:type="paragraph" w:styleId="Textoindependienteprimerasangra2">
    <w:name w:val="Body Text First Indent 2"/>
    <w:basedOn w:val="Sangradetextonormal"/>
    <w:link w:val="Textoindependienteprimerasangra2Car"/>
    <w:rsid w:val="00325202"/>
    <w:pPr>
      <w:spacing w:line="240" w:lineRule="auto"/>
      <w:ind w:firstLine="21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link w:val="Textoindependienteprimerasangra2"/>
    <w:rsid w:val="00325202"/>
    <w:rPr>
      <w:rFonts w:ascii="Times New Roman" w:eastAsia="Times New Roman" w:hAnsi="Times New Roman"/>
      <w:sz w:val="24"/>
      <w:szCs w:val="24"/>
      <w:lang w:val="es-ES" w:eastAsia="es-ES"/>
    </w:rPr>
  </w:style>
  <w:style w:type="paragraph" w:styleId="Mapadeldocumento">
    <w:name w:val="Document Map"/>
    <w:basedOn w:val="Normal"/>
    <w:link w:val="MapadeldocumentoCar"/>
    <w:rsid w:val="00325202"/>
    <w:pPr>
      <w:shd w:val="clear" w:color="auto" w:fill="000080"/>
      <w:spacing w:after="0" w:line="240" w:lineRule="auto"/>
    </w:pPr>
    <w:rPr>
      <w:rFonts w:ascii="Tahoma" w:eastAsia="Times New Roman" w:hAnsi="Tahoma"/>
      <w:sz w:val="20"/>
      <w:szCs w:val="20"/>
      <w:lang w:val="es-ES" w:eastAsia="es-ES"/>
    </w:rPr>
  </w:style>
  <w:style w:type="character" w:customStyle="1" w:styleId="MapadeldocumentoCar">
    <w:name w:val="Mapa del documento Car"/>
    <w:link w:val="Mapadeldocumento"/>
    <w:rsid w:val="00325202"/>
    <w:rPr>
      <w:rFonts w:ascii="Tahoma" w:eastAsia="Times New Roman" w:hAnsi="Tahoma" w:cs="Tahoma"/>
      <w:shd w:val="clear" w:color="auto" w:fill="000080"/>
      <w:lang w:val="es-ES" w:eastAsia="es-ES"/>
    </w:rPr>
  </w:style>
  <w:style w:type="paragraph" w:styleId="Listaconnmeros">
    <w:name w:val="List Number"/>
    <w:basedOn w:val="Normal"/>
    <w:uiPriority w:val="99"/>
    <w:rsid w:val="00325202"/>
    <w:pPr>
      <w:tabs>
        <w:tab w:val="num" w:pos="360"/>
      </w:tabs>
      <w:spacing w:after="240" w:line="320" w:lineRule="atLeast"/>
      <w:ind w:left="360" w:hanging="360"/>
      <w:contextualSpacing/>
      <w:jc w:val="both"/>
    </w:pPr>
    <w:rPr>
      <w:rFonts w:ascii="Times New Roman" w:hAnsi="Times New Roman"/>
      <w:lang w:val="es-ES"/>
    </w:rPr>
  </w:style>
  <w:style w:type="character" w:customStyle="1" w:styleId="Listaconvietas2Car">
    <w:name w:val="Lista con viñetas 2 Car"/>
    <w:link w:val="Listaconvietas2"/>
    <w:uiPriority w:val="99"/>
    <w:rsid w:val="00325202"/>
    <w:rPr>
      <w:sz w:val="22"/>
      <w:szCs w:val="22"/>
      <w:lang w:eastAsia="en-US"/>
    </w:rPr>
  </w:style>
  <w:style w:type="numbering" w:styleId="1ai">
    <w:name w:val="Outline List 1"/>
    <w:basedOn w:val="Sinlista"/>
    <w:uiPriority w:val="99"/>
    <w:unhideWhenUsed/>
    <w:rsid w:val="00325202"/>
    <w:pPr>
      <w:numPr>
        <w:numId w:val="1"/>
      </w:numPr>
    </w:pPr>
  </w:style>
  <w:style w:type="paragraph" w:styleId="TDC2">
    <w:name w:val="toc 2"/>
    <w:basedOn w:val="TDC1"/>
    <w:next w:val="Normal"/>
    <w:autoRedefine/>
    <w:uiPriority w:val="39"/>
    <w:unhideWhenUsed/>
    <w:rsid w:val="00325202"/>
    <w:pPr>
      <w:keepNext w:val="0"/>
      <w:spacing w:before="0"/>
    </w:pPr>
    <w:rPr>
      <w:b w:val="0"/>
      <w:noProof/>
    </w:rPr>
  </w:style>
  <w:style w:type="paragraph" w:styleId="TDC1">
    <w:name w:val="toc 1"/>
    <w:basedOn w:val="Normal"/>
    <w:next w:val="Normal"/>
    <w:autoRedefine/>
    <w:uiPriority w:val="39"/>
    <w:unhideWhenUsed/>
    <w:rsid w:val="00325202"/>
    <w:pPr>
      <w:keepNext/>
      <w:tabs>
        <w:tab w:val="left" w:pos="635"/>
        <w:tab w:val="right" w:pos="8789"/>
      </w:tabs>
      <w:spacing w:before="240" w:after="0" w:line="320" w:lineRule="atLeast"/>
      <w:jc w:val="both"/>
    </w:pPr>
    <w:rPr>
      <w:rFonts w:ascii="Times New Roman" w:hAnsi="Times New Roman"/>
      <w:b/>
      <w:lang w:val="es-ES"/>
    </w:rPr>
  </w:style>
  <w:style w:type="paragraph" w:styleId="TDC3">
    <w:name w:val="toc 3"/>
    <w:basedOn w:val="TDC2"/>
    <w:next w:val="Normal"/>
    <w:autoRedefine/>
    <w:uiPriority w:val="39"/>
    <w:unhideWhenUsed/>
    <w:rsid w:val="00325202"/>
    <w:rPr>
      <w:sz w:val="20"/>
    </w:rPr>
  </w:style>
  <w:style w:type="paragraph" w:styleId="TDC4">
    <w:name w:val="toc 4"/>
    <w:basedOn w:val="TDC3"/>
    <w:next w:val="Normal"/>
    <w:autoRedefine/>
    <w:uiPriority w:val="39"/>
    <w:unhideWhenUsed/>
    <w:rsid w:val="00325202"/>
  </w:style>
  <w:style w:type="table" w:styleId="Tablaclsica2">
    <w:name w:val="Table Classic 2"/>
    <w:basedOn w:val="Tablanormal"/>
    <w:rsid w:val="00325202"/>
    <w:pPr>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325202"/>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3">
    <w:name w:val="Table Classic 3"/>
    <w:basedOn w:val="Tablanormal"/>
    <w:rsid w:val="00B441F3"/>
    <w:pPr>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Sombreadomedio2-nfasis11">
    <w:name w:val="Sombreado medio 2 - Énfasis 11"/>
    <w:basedOn w:val="Tablanormal"/>
    <w:uiPriority w:val="64"/>
    <w:rsid w:val="00B441F3"/>
    <w:rPr>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extonotaalfinal">
    <w:name w:val="endnote text"/>
    <w:basedOn w:val="Normal"/>
    <w:link w:val="TextonotaalfinalCar"/>
    <w:uiPriority w:val="99"/>
    <w:semiHidden/>
    <w:unhideWhenUsed/>
    <w:rsid w:val="00A4554C"/>
    <w:rPr>
      <w:sz w:val="20"/>
      <w:szCs w:val="20"/>
    </w:rPr>
  </w:style>
  <w:style w:type="character" w:customStyle="1" w:styleId="TextonotaalfinalCar">
    <w:name w:val="Texto nota al final Car"/>
    <w:link w:val="Textonotaalfinal"/>
    <w:uiPriority w:val="99"/>
    <w:semiHidden/>
    <w:rsid w:val="00A4554C"/>
    <w:rPr>
      <w:lang w:eastAsia="en-US"/>
    </w:rPr>
  </w:style>
  <w:style w:type="character" w:styleId="Refdenotaalfinal">
    <w:name w:val="endnote reference"/>
    <w:uiPriority w:val="99"/>
    <w:semiHidden/>
    <w:unhideWhenUsed/>
    <w:rsid w:val="00A4554C"/>
    <w:rPr>
      <w:vertAlign w:val="superscript"/>
    </w:rPr>
  </w:style>
  <w:style w:type="character" w:customStyle="1" w:styleId="DescripcinCar">
    <w:name w:val="Descripción Car"/>
    <w:aliases w:val="TF Car,cap Car"/>
    <w:link w:val="Descripcin"/>
    <w:rsid w:val="00157C3F"/>
    <w:rPr>
      <w:rFonts w:ascii="Arial" w:hAnsi="Arial"/>
      <w:bCs/>
      <w:i/>
      <w:sz w:val="18"/>
      <w:szCs w:val="18"/>
      <w:lang w:val="en-GB" w:eastAsia="en-US" w:bidi="ar-SA"/>
    </w:rPr>
  </w:style>
  <w:style w:type="character" w:styleId="Textodelmarcadordeposicin">
    <w:name w:val="Placeholder Text"/>
    <w:uiPriority w:val="99"/>
    <w:semiHidden/>
    <w:rsid w:val="00454073"/>
    <w:rPr>
      <w:color w:val="808080"/>
    </w:rPr>
  </w:style>
  <w:style w:type="paragraph" w:styleId="TtuloTDC">
    <w:name w:val="TOC Heading"/>
    <w:basedOn w:val="Ttulo1"/>
    <w:next w:val="Normal"/>
    <w:uiPriority w:val="39"/>
    <w:unhideWhenUsed/>
    <w:qFormat/>
    <w:rsid w:val="00454073"/>
    <w:pPr>
      <w:spacing w:before="240" w:line="259" w:lineRule="auto"/>
      <w:outlineLvl w:val="9"/>
    </w:pPr>
    <w:rPr>
      <w:rFonts w:ascii="Calibri Light" w:hAnsi="Calibri Light"/>
      <w:b w:val="0"/>
      <w:bCs w:val="0"/>
      <w:color w:val="2E74B5"/>
      <w:sz w:val="32"/>
      <w:szCs w:val="32"/>
    </w:rPr>
  </w:style>
  <w:style w:type="paragraph" w:customStyle="1" w:styleId="Citaift">
    <w:name w:val="Cita ift"/>
    <w:basedOn w:val="Normal"/>
    <w:link w:val="CitaiftCar"/>
    <w:qFormat/>
    <w:rsid w:val="006B4927"/>
    <w:pPr>
      <w:adjustRightInd w:val="0"/>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6B4927"/>
    <w:rPr>
      <w:rFonts w:ascii="ITC Avant Garde" w:eastAsia="Times New Roman" w:hAnsi="ITC Avant Garde" w:cs="Arial"/>
      <w:i/>
      <w:color w:val="000000"/>
      <w:sz w:val="18"/>
      <w:szCs w:val="18"/>
      <w:lang w:eastAsia="es-ES"/>
    </w:rPr>
  </w:style>
  <w:style w:type="paragraph" w:customStyle="1" w:styleId="ApartadoSub">
    <w:name w:val="ApartadoSub"/>
    <w:basedOn w:val="Normal"/>
    <w:qFormat/>
    <w:rsid w:val="00AB0689"/>
    <w:pPr>
      <w:jc w:val="both"/>
    </w:pPr>
    <w:rPr>
      <w:rFonts w:ascii="ITC Avant Garde" w:hAnsi="ITC Avant Garde"/>
      <w:b/>
      <w:u w:val="single"/>
    </w:rPr>
  </w:style>
  <w:style w:type="paragraph" w:styleId="HTMLconformatoprevio">
    <w:name w:val="HTML Preformatted"/>
    <w:basedOn w:val="Normal"/>
    <w:link w:val="HTMLconformatoprevioCar"/>
    <w:uiPriority w:val="99"/>
    <w:unhideWhenUsed/>
    <w:rsid w:val="008A7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8A71A0"/>
    <w:rPr>
      <w:rFonts w:ascii="Courier New" w:eastAsia="Times New Roman" w:hAnsi="Courier New" w:cs="Courier New"/>
    </w:rPr>
  </w:style>
  <w:style w:type="paragraph" w:customStyle="1" w:styleId="Listamulticolor-nfasis11">
    <w:name w:val="Lista multicolor - Énfasis 11"/>
    <w:basedOn w:val="Normal"/>
    <w:link w:val="Listamulticolor-nfasis1Car"/>
    <w:uiPriority w:val="34"/>
    <w:rsid w:val="007E0248"/>
    <w:pPr>
      <w:ind w:left="720"/>
      <w:contextualSpacing/>
    </w:pPr>
  </w:style>
  <w:style w:type="character" w:customStyle="1" w:styleId="Listamulticolor-nfasis1Car">
    <w:name w:val="Lista multicolor - Énfasis 1 Car"/>
    <w:link w:val="Listamulticolor-nfasis11"/>
    <w:uiPriority w:val="34"/>
    <w:rsid w:val="007E0248"/>
    <w:rPr>
      <w:sz w:val="22"/>
      <w:szCs w:val="22"/>
      <w:lang w:eastAsia="en-US"/>
    </w:rPr>
  </w:style>
  <w:style w:type="paragraph" w:customStyle="1" w:styleId="PuntosC4">
    <w:name w:val="PuntosC4"/>
    <w:basedOn w:val="Normal"/>
    <w:link w:val="PuntosC4Car"/>
    <w:qFormat/>
    <w:rsid w:val="001A3E49"/>
    <w:pPr>
      <w:ind w:left="792" w:hanging="432"/>
      <w:jc w:val="both"/>
    </w:pPr>
    <w:rPr>
      <w:rFonts w:ascii="ITC Avant Garde" w:eastAsia="Times New Roman" w:hAnsi="ITC Avant Garde" w:cs="Arial"/>
      <w:b/>
      <w:iCs/>
    </w:rPr>
  </w:style>
  <w:style w:type="paragraph" w:customStyle="1" w:styleId="Niv2Bullets">
    <w:name w:val="Niv2Bullets"/>
    <w:basedOn w:val="IFTnormal"/>
    <w:next w:val="IFTnormal"/>
    <w:autoRedefine/>
    <w:qFormat/>
    <w:rsid w:val="000A614F"/>
    <w:pPr>
      <w:ind w:left="1800" w:hanging="360"/>
      <w:contextualSpacing/>
      <w:outlineLvl w:val="1"/>
    </w:pPr>
    <w:rPr>
      <w:rFonts w:cs="Arial"/>
      <w:bCs w:val="0"/>
      <w:color w:val="000000"/>
      <w:lang w:val="es-ES_tradnl" w:eastAsia="es-ES"/>
    </w:rPr>
  </w:style>
  <w:style w:type="paragraph" w:customStyle="1" w:styleId="Titulo1">
    <w:name w:val="Titulo 1"/>
    <w:basedOn w:val="Prrafodelista"/>
    <w:next w:val="Normal"/>
    <w:qFormat/>
    <w:rsid w:val="007E0248"/>
    <w:pPr>
      <w:adjustRightInd w:val="0"/>
      <w:ind w:left="0"/>
      <w:jc w:val="both"/>
    </w:pPr>
    <w:rPr>
      <w:rFonts w:ascii="ITC Avant Garde" w:eastAsia="Times New Roman" w:hAnsi="ITC Avant Garde" w:cs="Arial"/>
      <w:b/>
      <w:bCs/>
      <w:color w:val="000000"/>
      <w:lang w:val="es-ES" w:eastAsia="es-ES"/>
    </w:rPr>
  </w:style>
  <w:style w:type="paragraph" w:customStyle="1" w:styleId="PuntosC5">
    <w:name w:val="PuntosC5"/>
    <w:basedOn w:val="PuntosC4"/>
    <w:link w:val="PuntosC5Car"/>
    <w:qFormat/>
    <w:rsid w:val="007E0248"/>
  </w:style>
  <w:style w:type="paragraph" w:customStyle="1" w:styleId="Niv2C4">
    <w:name w:val="Niv2C4"/>
    <w:basedOn w:val="Subttulo"/>
    <w:link w:val="Niv2C4Car"/>
    <w:qFormat/>
    <w:rsid w:val="001A3E49"/>
    <w:pPr>
      <w:spacing w:after="200" w:line="276" w:lineRule="auto"/>
      <w:ind w:left="1224" w:hanging="504"/>
    </w:pPr>
    <w:rPr>
      <w:rFonts w:ascii="ITC Avant Garde" w:eastAsia="Calibri" w:hAnsi="ITC Avant Garde"/>
      <w:szCs w:val="22"/>
      <w:lang w:eastAsia="en-US"/>
    </w:rPr>
  </w:style>
  <w:style w:type="character" w:customStyle="1" w:styleId="PuntosC4Car">
    <w:name w:val="PuntosC4 Car"/>
    <w:basedOn w:val="Fuentedeprrafopredeter"/>
    <w:link w:val="PuntosC4"/>
    <w:rsid w:val="007E0248"/>
    <w:rPr>
      <w:rFonts w:ascii="ITC Avant Garde" w:eastAsia="Times New Roman" w:hAnsi="ITC Avant Garde" w:cs="Arial"/>
      <w:b/>
      <w:iCs/>
      <w:sz w:val="22"/>
      <w:szCs w:val="22"/>
      <w:lang w:eastAsia="en-US"/>
    </w:rPr>
  </w:style>
  <w:style w:type="character" w:customStyle="1" w:styleId="PuntosC5Car">
    <w:name w:val="PuntosC5 Car"/>
    <w:basedOn w:val="PuntosC4Car"/>
    <w:link w:val="PuntosC5"/>
    <w:rsid w:val="007E0248"/>
    <w:rPr>
      <w:rFonts w:ascii="ITC Avant Garde" w:eastAsia="Times New Roman" w:hAnsi="ITC Avant Garde" w:cs="Arial"/>
      <w:b/>
      <w:iCs/>
      <w:sz w:val="22"/>
      <w:szCs w:val="22"/>
      <w:lang w:eastAsia="en-US"/>
    </w:rPr>
  </w:style>
  <w:style w:type="paragraph" w:customStyle="1" w:styleId="Niv3C4">
    <w:name w:val="Niv3C4"/>
    <w:basedOn w:val="Subttulo"/>
    <w:qFormat/>
    <w:rsid w:val="001A3E49"/>
    <w:pPr>
      <w:spacing w:after="200" w:line="276" w:lineRule="auto"/>
      <w:ind w:left="1728" w:hanging="648"/>
    </w:pPr>
    <w:rPr>
      <w:rFonts w:ascii="ITC Avant Garde" w:eastAsia="Calibri" w:hAnsi="ITC Avant Garde"/>
      <w:szCs w:val="22"/>
      <w:lang w:eastAsia="en-US"/>
    </w:rPr>
  </w:style>
  <w:style w:type="paragraph" w:customStyle="1" w:styleId="TxtListado">
    <w:name w:val="TxtListado"/>
    <w:basedOn w:val="Normal"/>
    <w:qFormat/>
    <w:rsid w:val="007E0248"/>
    <w:rPr>
      <w:rFonts w:ascii="ITC Avant Garde" w:hAnsi="ITC Avant Garde"/>
      <w:sz w:val="20"/>
      <w:szCs w:val="20"/>
      <w:lang w:eastAsia="es-ES"/>
    </w:rPr>
  </w:style>
  <w:style w:type="paragraph" w:customStyle="1" w:styleId="TituloCondiciones">
    <w:name w:val="TituloCondiciones"/>
    <w:basedOn w:val="Prrafodelista"/>
    <w:qFormat/>
    <w:rsid w:val="007E0248"/>
    <w:pPr>
      <w:ind w:hanging="360"/>
      <w:jc w:val="both"/>
    </w:pPr>
    <w:rPr>
      <w:rFonts w:ascii="ITC Avant Garde" w:hAnsi="ITC Avant Garde"/>
      <w:b/>
    </w:rPr>
  </w:style>
  <w:style w:type="paragraph" w:customStyle="1" w:styleId="CondicionesFinales">
    <w:name w:val="CondicionesFinales"/>
    <w:basedOn w:val="Citaift"/>
    <w:qFormat/>
    <w:rsid w:val="007E0248"/>
    <w:rPr>
      <w:bCs/>
      <w:i w:val="0"/>
      <w:sz w:val="22"/>
      <w:szCs w:val="22"/>
      <w:lang w:val="es-ES_tradnl"/>
    </w:rPr>
  </w:style>
  <w:style w:type="paragraph" w:customStyle="1" w:styleId="Texto">
    <w:name w:val="Texto"/>
    <w:basedOn w:val="Normal"/>
    <w:link w:val="TextoCar"/>
    <w:rsid w:val="007E0B8B"/>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7E0B8B"/>
    <w:rPr>
      <w:rFonts w:ascii="Arial" w:eastAsia="Times New Roman" w:hAnsi="Arial" w:cs="Arial"/>
      <w:sz w:val="18"/>
      <w:lang w:val="es-ES" w:eastAsia="es-ES"/>
    </w:rPr>
  </w:style>
  <w:style w:type="character" w:customStyle="1" w:styleId="IFTnormalCar">
    <w:name w:val="IFT normal Car"/>
    <w:basedOn w:val="Fuentedeprrafopredeter"/>
    <w:link w:val="IFTnormal"/>
    <w:qFormat/>
    <w:rsid w:val="005F332B"/>
    <w:rPr>
      <w:rFonts w:ascii="ITC Avant Garde" w:hAnsi="ITC Avant Garde" w:cs="Calibri"/>
      <w:bCs/>
      <w:sz w:val="22"/>
      <w:szCs w:val="22"/>
      <w:lang w:eastAsia="en-US"/>
    </w:rPr>
  </w:style>
  <w:style w:type="paragraph" w:customStyle="1" w:styleId="Numeracion2">
    <w:name w:val="Numeracion2"/>
    <w:basedOn w:val="IFTnormal"/>
    <w:link w:val="Numeracion2Car"/>
    <w:rsid w:val="00251E2A"/>
    <w:pPr>
      <w:ind w:left="1440" w:hanging="360"/>
    </w:pPr>
  </w:style>
  <w:style w:type="character" w:customStyle="1" w:styleId="Numeracion2Car">
    <w:name w:val="Numeracion2 Car"/>
    <w:basedOn w:val="IFTnormalCar"/>
    <w:link w:val="Numeracion2"/>
    <w:rsid w:val="00F40354"/>
    <w:rPr>
      <w:rFonts w:ascii="ITC Avant Garde" w:hAnsi="ITC Avant Garde" w:cs="Calibri"/>
      <w:bCs/>
      <w:sz w:val="22"/>
      <w:szCs w:val="22"/>
      <w:lang w:eastAsia="en-US"/>
    </w:rPr>
  </w:style>
  <w:style w:type="table" w:customStyle="1" w:styleId="Tablaconcuadrcula1">
    <w:name w:val="Tabla con cuadrícula1"/>
    <w:basedOn w:val="Tablanormal"/>
    <w:next w:val="Tablaconcuadrcula"/>
    <w:uiPriority w:val="39"/>
    <w:rsid w:val="0041791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8E2801"/>
  </w:style>
  <w:style w:type="paragraph" w:customStyle="1" w:styleId="TtuloIFT">
    <w:name w:val="Título IFT"/>
    <w:basedOn w:val="Ttulo1"/>
    <w:link w:val="TtuloIFTCar"/>
    <w:qFormat/>
    <w:rsid w:val="000C2F10"/>
    <w:pPr>
      <w:keepNext w:val="0"/>
      <w:keepLines w:val="0"/>
      <w:spacing w:before="0" w:after="200"/>
      <w:jc w:val="both"/>
    </w:pPr>
    <w:rPr>
      <w:rFonts w:ascii="ITC Avant Garde" w:eastAsia="Calibri" w:hAnsi="ITC Avant Garde" w:cs="Arial"/>
      <w:bCs w:val="0"/>
      <w:color w:val="000000"/>
      <w:sz w:val="22"/>
      <w:szCs w:val="22"/>
      <w:lang w:val="es-ES" w:eastAsia="es-ES"/>
    </w:rPr>
  </w:style>
  <w:style w:type="character" w:customStyle="1" w:styleId="TtuloIFTCar">
    <w:name w:val="Título IFT Car"/>
    <w:link w:val="TtuloIFT"/>
    <w:rsid w:val="000C2F10"/>
    <w:rPr>
      <w:rFonts w:ascii="ITC Avant Garde" w:hAnsi="ITC Avant Garde" w:cs="Arial"/>
      <w:b/>
      <w:color w:val="000000"/>
      <w:sz w:val="22"/>
      <w:szCs w:val="22"/>
      <w:lang w:val="es-ES" w:eastAsia="es-ES"/>
    </w:rPr>
  </w:style>
  <w:style w:type="character" w:customStyle="1" w:styleId="AAACar">
    <w:name w:val="AAA Car"/>
    <w:basedOn w:val="Fuentedeprrafopredeter"/>
    <w:link w:val="AAA"/>
    <w:locked/>
    <w:rsid w:val="00C20C1A"/>
    <w:rPr>
      <w:rFonts w:ascii="ITC Avant Garde" w:hAnsi="ITC Avant Garde"/>
    </w:rPr>
  </w:style>
  <w:style w:type="paragraph" w:customStyle="1" w:styleId="AAA">
    <w:name w:val="AAA"/>
    <w:basedOn w:val="Normal"/>
    <w:link w:val="AAACar"/>
    <w:qFormat/>
    <w:rsid w:val="00C20C1A"/>
    <w:pPr>
      <w:ind w:left="720" w:hanging="360"/>
      <w:jc w:val="both"/>
    </w:pPr>
    <w:rPr>
      <w:rFonts w:ascii="ITC Avant Garde" w:hAnsi="ITC Avant Garde"/>
      <w:sz w:val="20"/>
      <w:szCs w:val="20"/>
      <w:lang w:eastAsia="es-MX"/>
    </w:rPr>
  </w:style>
  <w:style w:type="paragraph" w:customStyle="1" w:styleId="BBB">
    <w:name w:val="BBB"/>
    <w:basedOn w:val="IFTnormal"/>
    <w:link w:val="BBBCar"/>
    <w:qFormat/>
    <w:rsid w:val="008E15C2"/>
    <w:pPr>
      <w:ind w:left="720"/>
    </w:pPr>
  </w:style>
  <w:style w:type="paragraph" w:customStyle="1" w:styleId="Nprimero">
    <w:name w:val="N. primero"/>
    <w:basedOn w:val="IFTnormal"/>
    <w:link w:val="NprimeroCar"/>
    <w:qFormat/>
    <w:rsid w:val="008E15C2"/>
    <w:pPr>
      <w:numPr>
        <w:numId w:val="3"/>
      </w:numPr>
    </w:pPr>
  </w:style>
  <w:style w:type="character" w:customStyle="1" w:styleId="BBBCar">
    <w:name w:val="BBB Car"/>
    <w:basedOn w:val="IFTnormalCar"/>
    <w:link w:val="BBB"/>
    <w:rsid w:val="008E15C2"/>
    <w:rPr>
      <w:rFonts w:ascii="ITC Avant Garde" w:hAnsi="ITC Avant Garde" w:cs="Calibri"/>
      <w:bCs/>
      <w:sz w:val="22"/>
      <w:szCs w:val="22"/>
      <w:lang w:eastAsia="en-US"/>
    </w:rPr>
  </w:style>
  <w:style w:type="paragraph" w:customStyle="1" w:styleId="Lsegunda">
    <w:name w:val="L. segunda"/>
    <w:basedOn w:val="IFTnormal"/>
    <w:link w:val="LsegundaCar"/>
    <w:qFormat/>
    <w:rsid w:val="008E15C2"/>
    <w:pPr>
      <w:numPr>
        <w:numId w:val="4"/>
      </w:numPr>
    </w:pPr>
  </w:style>
  <w:style w:type="character" w:customStyle="1" w:styleId="NprimeroCar">
    <w:name w:val="N. primero Car"/>
    <w:basedOn w:val="IFTnormalCar"/>
    <w:link w:val="Nprimero"/>
    <w:rsid w:val="008E15C2"/>
    <w:rPr>
      <w:rFonts w:ascii="ITC Avant Garde" w:hAnsi="ITC Avant Garde" w:cs="Calibri"/>
      <w:bCs/>
      <w:sz w:val="22"/>
      <w:szCs w:val="22"/>
      <w:lang w:eastAsia="en-US"/>
    </w:rPr>
  </w:style>
  <w:style w:type="character" w:customStyle="1" w:styleId="LsegundaCar">
    <w:name w:val="L. segunda Car"/>
    <w:basedOn w:val="IFTnormalCar"/>
    <w:link w:val="Lsegunda"/>
    <w:rsid w:val="008E15C2"/>
    <w:rPr>
      <w:rFonts w:ascii="ITC Avant Garde" w:hAnsi="ITC Avant Garde" w:cs="Calibri"/>
      <w:bCs/>
      <w:sz w:val="22"/>
      <w:szCs w:val="22"/>
      <w:lang w:eastAsia="en-US"/>
    </w:rPr>
  </w:style>
  <w:style w:type="paragraph" w:customStyle="1" w:styleId="Predeterminado">
    <w:name w:val="Predeterminado"/>
    <w:rsid w:val="0099583B"/>
    <w:pPr>
      <w:tabs>
        <w:tab w:val="left" w:pos="720"/>
      </w:tabs>
      <w:suppressAutoHyphens/>
      <w:spacing w:after="200" w:line="276" w:lineRule="auto"/>
    </w:pPr>
    <w:rPr>
      <w:color w:val="00000A"/>
      <w:sz w:val="22"/>
      <w:szCs w:val="22"/>
      <w:lang w:val="en-US" w:eastAsia="en-US"/>
    </w:rPr>
  </w:style>
  <w:style w:type="character" w:customStyle="1" w:styleId="Ancladenotaalpie">
    <w:name w:val="Ancla de nota al pie"/>
    <w:rsid w:val="005D26AC"/>
    <w:rPr>
      <w:vertAlign w:val="superscript"/>
    </w:rPr>
  </w:style>
  <w:style w:type="character" w:customStyle="1" w:styleId="Ttulo40">
    <w:name w:val="Título #4_"/>
    <w:link w:val="Ttulo41"/>
    <w:uiPriority w:val="99"/>
    <w:rsid w:val="009E6CC4"/>
    <w:rPr>
      <w:rFonts w:ascii="Arial" w:eastAsia="Arial" w:hAnsi="Arial" w:cs="Arial"/>
      <w:b/>
      <w:bCs/>
      <w:sz w:val="21"/>
      <w:szCs w:val="21"/>
      <w:shd w:val="clear" w:color="auto" w:fill="FFFFFF"/>
    </w:rPr>
  </w:style>
  <w:style w:type="paragraph" w:customStyle="1" w:styleId="Ttulo41">
    <w:name w:val="Título #4"/>
    <w:basedOn w:val="Normal"/>
    <w:link w:val="Ttulo40"/>
    <w:uiPriority w:val="99"/>
    <w:rsid w:val="009E6CC4"/>
    <w:pPr>
      <w:widowControl w:val="0"/>
      <w:shd w:val="clear" w:color="auto" w:fill="FFFFFF"/>
      <w:spacing w:before="1020" w:after="300" w:line="0" w:lineRule="atLeast"/>
      <w:ind w:hanging="420"/>
      <w:jc w:val="both"/>
      <w:outlineLvl w:val="3"/>
    </w:pPr>
    <w:rPr>
      <w:rFonts w:ascii="Arial" w:eastAsia="Arial" w:hAnsi="Arial" w:cs="Arial"/>
      <w:b/>
      <w:bCs/>
      <w:sz w:val="21"/>
      <w:szCs w:val="21"/>
      <w:lang w:eastAsia="es-MX"/>
    </w:rPr>
  </w:style>
  <w:style w:type="table" w:customStyle="1" w:styleId="Tablaconcuadrcula2">
    <w:name w:val="Tabla con cuadrícula2"/>
    <w:basedOn w:val="Tablanormal"/>
    <w:next w:val="Tablaconcuadrcula"/>
    <w:uiPriority w:val="59"/>
    <w:rsid w:val="00D1760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itPrin">
    <w:name w:val="1TitPrin"/>
    <w:basedOn w:val="Ttulo1"/>
    <w:link w:val="1TitPrinCar"/>
    <w:autoRedefine/>
    <w:qFormat/>
    <w:rsid w:val="00256111"/>
    <w:pPr>
      <w:keepNext w:val="0"/>
      <w:keepLines w:val="0"/>
      <w:spacing w:before="240" w:after="240"/>
      <w:jc w:val="both"/>
    </w:pPr>
    <w:rPr>
      <w:rFonts w:ascii="ITC Avant Garde" w:eastAsia="Calibri" w:hAnsi="ITC Avant Garde" w:cs="Arial"/>
      <w:bCs w:val="0"/>
      <w:color w:val="000000"/>
      <w:sz w:val="22"/>
      <w:szCs w:val="22"/>
      <w:lang w:val="es-ES" w:eastAsia="es-ES"/>
    </w:rPr>
  </w:style>
  <w:style w:type="character" w:customStyle="1" w:styleId="1TitPrinCar">
    <w:name w:val="1TitPrin Car"/>
    <w:link w:val="1TitPrin"/>
    <w:rsid w:val="00256111"/>
    <w:rPr>
      <w:rFonts w:ascii="ITC Avant Garde" w:eastAsia="Calibri" w:hAnsi="ITC Avant Garde" w:cs="Arial"/>
      <w:b/>
      <w:color w:val="000000"/>
      <w:sz w:val="22"/>
      <w:szCs w:val="22"/>
      <w:lang w:val="es-ES" w:eastAsia="es-ES"/>
    </w:rPr>
  </w:style>
  <w:style w:type="paragraph" w:customStyle="1" w:styleId="T2IFT">
    <w:name w:val="T2 IFT"/>
    <w:basedOn w:val="Normal"/>
    <w:link w:val="T2IFTCar"/>
    <w:autoRedefine/>
    <w:qFormat/>
    <w:rsid w:val="00514572"/>
    <w:pPr>
      <w:tabs>
        <w:tab w:val="num" w:pos="360"/>
        <w:tab w:val="num" w:pos="2160"/>
      </w:tabs>
      <w:outlineLvl w:val="1"/>
    </w:pPr>
    <w:rPr>
      <w:rFonts w:ascii="ITC Avant Garde" w:eastAsia="Calibri" w:hAnsi="ITC Avant Garde"/>
      <w:b/>
    </w:rPr>
  </w:style>
  <w:style w:type="character" w:customStyle="1" w:styleId="T2IFTCar">
    <w:name w:val="T2 IFT Car"/>
    <w:basedOn w:val="Fuentedeprrafopredeter"/>
    <w:link w:val="T2IFT"/>
    <w:rsid w:val="00514572"/>
    <w:rPr>
      <w:rFonts w:ascii="ITC Avant Garde" w:eastAsia="Calibri" w:hAnsi="ITC Avant Garde"/>
      <w:b/>
      <w:sz w:val="22"/>
      <w:szCs w:val="22"/>
      <w:lang w:eastAsia="en-US"/>
    </w:rPr>
  </w:style>
  <w:style w:type="table" w:styleId="Cuadrculadetablaclara">
    <w:name w:val="Grid Table Light"/>
    <w:basedOn w:val="Tablanormal"/>
    <w:uiPriority w:val="40"/>
    <w:rsid w:val="004B19F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1IFT">
    <w:name w:val="N1 IFT"/>
    <w:basedOn w:val="Ttulo1"/>
    <w:link w:val="N1IFTCar"/>
    <w:autoRedefine/>
    <w:qFormat/>
    <w:rsid w:val="001E7229"/>
    <w:pPr>
      <w:keepNext w:val="0"/>
      <w:keepLines w:val="0"/>
      <w:spacing w:before="0" w:after="200"/>
      <w:jc w:val="both"/>
    </w:pPr>
    <w:rPr>
      <w:rFonts w:ascii="ITC Avant Garde" w:eastAsia="Calibri" w:hAnsi="ITC Avant Garde" w:cs="Arial"/>
      <w:bCs w:val="0"/>
      <w:snapToGrid w:val="0"/>
      <w:color w:val="000000"/>
      <w:sz w:val="22"/>
      <w:szCs w:val="22"/>
      <w:lang w:val="es-ES" w:eastAsia="es-ES"/>
    </w:rPr>
  </w:style>
  <w:style w:type="character" w:customStyle="1" w:styleId="N1IFTCar">
    <w:name w:val="N1 IFT Car"/>
    <w:basedOn w:val="Fuentedeprrafopredeter"/>
    <w:link w:val="N1IFT"/>
    <w:rsid w:val="001E7229"/>
    <w:rPr>
      <w:rFonts w:ascii="ITC Avant Garde" w:eastAsia="Calibri" w:hAnsi="ITC Avant Garde" w:cs="Arial"/>
      <w:b/>
      <w:snapToGrid w:val="0"/>
      <w:color w:val="000000"/>
      <w:sz w:val="22"/>
      <w:szCs w:val="22"/>
      <w:lang w:val="es-ES" w:eastAsia="es-ES"/>
    </w:rPr>
  </w:style>
  <w:style w:type="paragraph" w:customStyle="1" w:styleId="NombreConcesionario">
    <w:name w:val="NombreConcesionario"/>
    <w:basedOn w:val="Ttulo1"/>
    <w:link w:val="NombreConcesionarioCar"/>
    <w:qFormat/>
    <w:rsid w:val="004B7DFB"/>
    <w:pPr>
      <w:keepNext w:val="0"/>
      <w:keepLines w:val="0"/>
      <w:spacing w:before="0" w:after="200"/>
      <w:jc w:val="both"/>
    </w:pPr>
    <w:rPr>
      <w:rFonts w:ascii="ITC Avant Garde" w:eastAsia="Calibri" w:hAnsi="ITC Avant Garde" w:cs="Arial"/>
      <w:bCs w:val="0"/>
      <w:color w:val="000000"/>
      <w:sz w:val="22"/>
      <w:szCs w:val="22"/>
      <w:lang w:val="es-ES" w:eastAsia="es-ES"/>
    </w:rPr>
  </w:style>
  <w:style w:type="character" w:customStyle="1" w:styleId="NombreConcesionarioCar">
    <w:name w:val="NombreConcesionario Car"/>
    <w:link w:val="NombreConcesionario"/>
    <w:rsid w:val="004B7DFB"/>
    <w:rPr>
      <w:rFonts w:ascii="ITC Avant Garde" w:eastAsia="Calibri" w:hAnsi="ITC Avant Garde" w:cs="Arial"/>
      <w:b/>
      <w:color w:val="000000"/>
      <w:sz w:val="22"/>
      <w:szCs w:val="22"/>
      <w:lang w:val="es-ES" w:eastAsia="es-ES"/>
    </w:rPr>
  </w:style>
  <w:style w:type="paragraph" w:customStyle="1" w:styleId="Cuadrculamediana21">
    <w:name w:val="Cuadrícula mediana 21"/>
    <w:uiPriority w:val="1"/>
    <w:rsid w:val="004B7DFB"/>
    <w:rPr>
      <w:rFonts w:eastAsia="Calibri"/>
      <w:sz w:val="22"/>
      <w:szCs w:val="22"/>
      <w:lang w:eastAsia="en-US"/>
    </w:rPr>
  </w:style>
  <w:style w:type="paragraph" w:customStyle="1" w:styleId="Sombreadomulticolor-nfasis11">
    <w:name w:val="Sombreado multicolor - Énfasis 11"/>
    <w:hidden/>
    <w:uiPriority w:val="99"/>
    <w:semiHidden/>
    <w:rsid w:val="004B7DFB"/>
    <w:rPr>
      <w:rFonts w:eastAsia="Calibri"/>
      <w:sz w:val="22"/>
      <w:szCs w:val="22"/>
      <w:lang w:eastAsia="en-US"/>
    </w:rPr>
  </w:style>
  <w:style w:type="table" w:styleId="Cuadrculamedia3-nfasis1">
    <w:name w:val="Medium Grid 3 Accent 1"/>
    <w:basedOn w:val="Tablanormal"/>
    <w:uiPriority w:val="64"/>
    <w:rsid w:val="004B7DFB"/>
    <w:rPr>
      <w:rFonts w:eastAsia="Calibr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ListaCitaOtras">
    <w:name w:val="ListaCitaOtras"/>
    <w:basedOn w:val="Citaift"/>
    <w:link w:val="ListaCitaOtrasCar"/>
    <w:qFormat/>
    <w:rsid w:val="004B7DFB"/>
    <w:pPr>
      <w:numPr>
        <w:numId w:val="11"/>
      </w:numPr>
    </w:pPr>
  </w:style>
  <w:style w:type="character" w:customStyle="1" w:styleId="ListaCitaOtrasCar">
    <w:name w:val="ListaCitaOtras Car"/>
    <w:basedOn w:val="CitaiftCar"/>
    <w:link w:val="ListaCitaOtras"/>
    <w:rsid w:val="004B7DFB"/>
    <w:rPr>
      <w:rFonts w:ascii="ITC Avant Garde" w:eastAsia="Times New Roman" w:hAnsi="ITC Avant Garde" w:cs="Arial"/>
      <w:i/>
      <w:color w:val="000000"/>
      <w:sz w:val="18"/>
      <w:szCs w:val="18"/>
      <w:lang w:eastAsia="es-ES"/>
    </w:rPr>
  </w:style>
  <w:style w:type="table" w:styleId="Sombreadomedio2-nfasis1">
    <w:name w:val="Medium Shading 2 Accent 1"/>
    <w:basedOn w:val="Tablanormal"/>
    <w:uiPriority w:val="64"/>
    <w:rsid w:val="004B7DFB"/>
    <w:rPr>
      <w:rFonts w:eastAsia="Calibr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Listavistosa-nfasis1Car">
    <w:name w:val="Lista vistosa - Énfasis 1 Car"/>
    <w:link w:val="Listavistosa-nfasis1"/>
    <w:uiPriority w:val="34"/>
    <w:semiHidden/>
    <w:rsid w:val="004B7DFB"/>
    <w:rPr>
      <w:sz w:val="22"/>
      <w:szCs w:val="22"/>
      <w:lang w:eastAsia="en-US"/>
    </w:rPr>
  </w:style>
  <w:style w:type="table" w:styleId="Listavistosa-nfasis1">
    <w:name w:val="Colorful List Accent 1"/>
    <w:basedOn w:val="Tablanormal"/>
    <w:link w:val="Listavistosa-nfasis1Car"/>
    <w:uiPriority w:val="34"/>
    <w:semiHidden/>
    <w:unhideWhenUsed/>
    <w:rsid w:val="004B7DFB"/>
    <w:rPr>
      <w:sz w:val="22"/>
      <w:szCs w:val="22"/>
      <w:lang w:eastAsia="en-US"/>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Niv2C4Car">
    <w:name w:val="Niv2C4 Car"/>
    <w:basedOn w:val="SubttuloCar"/>
    <w:link w:val="Niv2C4"/>
    <w:rsid w:val="004B7DFB"/>
    <w:rPr>
      <w:rFonts w:ascii="ITC Avant Garde" w:eastAsia="Calibri" w:hAnsi="ITC Avant Garde"/>
      <w:b/>
      <w:sz w:val="22"/>
      <w:szCs w:val="22"/>
      <w:lang w:eastAsia="en-US"/>
    </w:rPr>
  </w:style>
  <w:style w:type="paragraph" w:customStyle="1" w:styleId="Border">
    <w:name w:val="Border"/>
    <w:next w:val="Descripcin"/>
    <w:qFormat/>
    <w:rsid w:val="004B7DFB"/>
    <w:pPr>
      <w:keepNext/>
      <w:pBdr>
        <w:bottom w:val="single" w:sz="6" w:space="1" w:color="auto"/>
      </w:pBdr>
      <w:spacing w:line="320" w:lineRule="atLeast"/>
      <w:jc w:val="center"/>
    </w:pPr>
    <w:rPr>
      <w:rFonts w:ascii="Times New Roman" w:eastAsiaTheme="minorHAnsi" w:hAnsi="Times New Roman" w:cstheme="minorBidi"/>
      <w:sz w:val="22"/>
      <w:szCs w:val="22"/>
      <w:lang w:val="en-GB" w:eastAsia="en-US"/>
    </w:rPr>
  </w:style>
  <w:style w:type="table" w:styleId="Tablanormal1">
    <w:name w:val="Plain Table 1"/>
    <w:basedOn w:val="Tablanormal"/>
    <w:uiPriority w:val="41"/>
    <w:rsid w:val="004B7DFB"/>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FTTexto">
    <w:name w:val="IFT Texto"/>
    <w:link w:val="IFTTextoCar"/>
    <w:qFormat/>
    <w:rsid w:val="004B7DFB"/>
    <w:pPr>
      <w:spacing w:after="200" w:line="276" w:lineRule="auto"/>
      <w:jc w:val="both"/>
    </w:pPr>
    <w:rPr>
      <w:rFonts w:ascii="ITC Avant Garde" w:eastAsia="Calibri" w:hAnsi="ITC Avant Garde" w:cs="Arial"/>
      <w:color w:val="000000"/>
      <w:sz w:val="22"/>
      <w:szCs w:val="22"/>
      <w:lang w:val="es-ES_tradnl" w:eastAsia="es-ES"/>
    </w:rPr>
  </w:style>
  <w:style w:type="character" w:customStyle="1" w:styleId="IFTTextoCar">
    <w:name w:val="IFT Texto Car"/>
    <w:basedOn w:val="Fuentedeprrafopredeter"/>
    <w:link w:val="IFTTexto"/>
    <w:rsid w:val="004B7DFB"/>
    <w:rPr>
      <w:rFonts w:ascii="ITC Avant Garde" w:eastAsia="Calibri" w:hAnsi="ITC Avant Garde" w:cs="Arial"/>
      <w:color w:val="000000"/>
      <w:sz w:val="22"/>
      <w:szCs w:val="22"/>
      <w:lang w:val="es-ES_tradnl" w:eastAsia="es-ES"/>
    </w:rPr>
  </w:style>
  <w:style w:type="paragraph" w:customStyle="1" w:styleId="IFT1">
    <w:name w:val="IFT 1"/>
    <w:basedOn w:val="Normal"/>
    <w:link w:val="IFT1Car"/>
    <w:qFormat/>
    <w:rsid w:val="004B7DFB"/>
    <w:pPr>
      <w:jc w:val="both"/>
    </w:pPr>
    <w:rPr>
      <w:rFonts w:ascii="ITC Avant Garde" w:eastAsia="Times New Roman" w:hAnsi="ITC Avant Garde"/>
      <w:iCs/>
    </w:rPr>
  </w:style>
  <w:style w:type="character" w:customStyle="1" w:styleId="IFT1Car">
    <w:name w:val="IFT 1 Car"/>
    <w:link w:val="IFT1"/>
    <w:rsid w:val="004B7DFB"/>
    <w:rPr>
      <w:rFonts w:ascii="ITC Avant Garde" w:eastAsia="Times New Roman" w:hAnsi="ITC Avant Garde"/>
      <w:iCs/>
      <w:sz w:val="22"/>
      <w:szCs w:val="22"/>
      <w:lang w:eastAsia="en-US"/>
    </w:rPr>
  </w:style>
  <w:style w:type="paragraph" w:customStyle="1" w:styleId="Tablecells">
    <w:name w:val="Table: cells"/>
    <w:qFormat/>
    <w:rsid w:val="004B7DFB"/>
    <w:pPr>
      <w:spacing w:before="40" w:after="40" w:line="240" w:lineRule="exact"/>
      <w:ind w:right="113"/>
    </w:pPr>
    <w:rPr>
      <w:rFonts w:ascii="Arial" w:eastAsiaTheme="minorHAnsi" w:hAnsi="Arial" w:cstheme="minorBidi"/>
      <w:sz w:val="18"/>
      <w:szCs w:val="22"/>
      <w:lang w:val="en-GB" w:eastAsia="en-US"/>
    </w:rPr>
  </w:style>
  <w:style w:type="paragraph" w:customStyle="1" w:styleId="Tableheading">
    <w:name w:val="Table: heading"/>
    <w:basedOn w:val="Tablecells"/>
    <w:next w:val="Tablecells"/>
    <w:qFormat/>
    <w:rsid w:val="004B7DFB"/>
    <w:pPr>
      <w:keepNext/>
    </w:pPr>
    <w:rPr>
      <w:b/>
      <w:color w:val="FFFFFF"/>
    </w:rPr>
  </w:style>
  <w:style w:type="table" w:styleId="Tabladecuadrcula4">
    <w:name w:val="Grid Table 4"/>
    <w:basedOn w:val="Tablanormal"/>
    <w:uiPriority w:val="49"/>
    <w:rsid w:val="004B7DFB"/>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OMANOS">
    <w:name w:val="ROMANOS"/>
    <w:basedOn w:val="Normal"/>
    <w:link w:val="ROMANOSCar"/>
    <w:rsid w:val="004B7DFB"/>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4B7DFB"/>
    <w:rPr>
      <w:rFonts w:ascii="Arial" w:eastAsia="Times New Roman" w:hAnsi="Arial" w:cs="Arial"/>
      <w:sz w:val="18"/>
      <w:szCs w:val="18"/>
      <w:lang w:val="es-ES" w:eastAsia="es-ES"/>
    </w:rPr>
  </w:style>
  <w:style w:type="paragraph" w:customStyle="1" w:styleId="L1">
    <w:name w:val="L1"/>
    <w:basedOn w:val="Normal"/>
    <w:qFormat/>
    <w:rsid w:val="004B7DFB"/>
    <w:pPr>
      <w:spacing w:after="0" w:line="320" w:lineRule="atLeast"/>
      <w:ind w:left="360" w:hanging="360"/>
      <w:jc w:val="both"/>
    </w:pPr>
    <w:rPr>
      <w:rFonts w:ascii="Times New Roman" w:eastAsiaTheme="minorHAnsi" w:hAnsi="Times New Roman" w:cstheme="minorBidi"/>
      <w:lang w:val="en-GB"/>
    </w:rPr>
  </w:style>
  <w:style w:type="table" w:styleId="Tabladecuadrcula1clara">
    <w:name w:val="Grid Table 1 Light"/>
    <w:basedOn w:val="Tablanormal"/>
    <w:uiPriority w:val="99"/>
    <w:rsid w:val="004B7DFB"/>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3TitPrin">
    <w:name w:val="03TitPrin"/>
    <w:basedOn w:val="Normal"/>
    <w:next w:val="Normal"/>
    <w:link w:val="03TitPrinCar"/>
    <w:autoRedefine/>
    <w:qFormat/>
    <w:rsid w:val="004B7DFB"/>
    <w:pPr>
      <w:tabs>
        <w:tab w:val="left" w:pos="992"/>
        <w:tab w:val="left" w:pos="1276"/>
        <w:tab w:val="num" w:pos="2880"/>
      </w:tabs>
      <w:spacing w:before="120"/>
      <w:ind w:left="648" w:hanging="648"/>
    </w:pPr>
    <w:rPr>
      <w:rFonts w:ascii="ITC Avant Garde" w:eastAsia="Calibri" w:hAnsi="ITC Avant Garde"/>
      <w:b/>
    </w:rPr>
  </w:style>
  <w:style w:type="character" w:customStyle="1" w:styleId="03TitPrinCar">
    <w:name w:val="03TitPrin Car"/>
    <w:basedOn w:val="Fuentedeprrafopredeter"/>
    <w:link w:val="03TitPrin"/>
    <w:rsid w:val="004B7DFB"/>
    <w:rPr>
      <w:rFonts w:ascii="ITC Avant Garde" w:eastAsia="Calibri" w:hAnsi="ITC Avant Garde"/>
      <w:b/>
      <w:sz w:val="22"/>
      <w:szCs w:val="22"/>
      <w:lang w:eastAsia="en-US"/>
    </w:rPr>
  </w:style>
  <w:style w:type="paragraph" w:customStyle="1" w:styleId="CitaIFT0">
    <w:name w:val="Cita IFT"/>
    <w:basedOn w:val="Normal"/>
    <w:link w:val="CitaIFTCar0"/>
    <w:qFormat/>
    <w:rsid w:val="004B7DFB"/>
    <w:pPr>
      <w:adjustRightInd w:val="0"/>
      <w:ind w:left="851" w:right="760"/>
      <w:jc w:val="both"/>
    </w:pPr>
    <w:rPr>
      <w:rFonts w:ascii="ITC Avant Garde" w:eastAsia="Times New Roman" w:hAnsi="ITC Avant Garde" w:cs="Arial"/>
      <w:bCs/>
      <w:i/>
      <w:color w:val="000000"/>
      <w:sz w:val="18"/>
      <w:szCs w:val="18"/>
      <w:lang w:val="es-ES_tradnl" w:eastAsia="es-ES"/>
    </w:rPr>
  </w:style>
  <w:style w:type="character" w:customStyle="1" w:styleId="CitaIFTCar0">
    <w:name w:val="Cita IFT Car"/>
    <w:link w:val="CitaIFT0"/>
    <w:qFormat/>
    <w:rsid w:val="004B7DFB"/>
    <w:rPr>
      <w:rFonts w:ascii="ITC Avant Garde" w:eastAsia="Times New Roman" w:hAnsi="ITC Avant Garde" w:cs="Arial"/>
      <w:bCs/>
      <w:i/>
      <w:color w:val="000000"/>
      <w:sz w:val="18"/>
      <w:szCs w:val="18"/>
      <w:lang w:val="es-ES_tradnl" w:eastAsia="es-ES"/>
    </w:rPr>
  </w:style>
  <w:style w:type="paragraph" w:customStyle="1" w:styleId="EstiloRequeridoIzquierda063cmPrimeralnea0cm">
    <w:name w:val="Estilo Requerido + Izquierda:  0.63 cm Primera línea:  0 cm"/>
    <w:basedOn w:val="Normal"/>
    <w:link w:val="EstiloRequeridoIzquierda063cmPrimeralnea0cmCar"/>
    <w:uiPriority w:val="99"/>
    <w:rsid w:val="004B7DFB"/>
    <w:pPr>
      <w:numPr>
        <w:numId w:val="17"/>
      </w:numPr>
      <w:suppressAutoHyphens/>
      <w:spacing w:before="120" w:after="120" w:line="360" w:lineRule="auto"/>
      <w:contextualSpacing/>
      <w:jc w:val="both"/>
    </w:pPr>
    <w:rPr>
      <w:rFonts w:asciiTheme="minorHAnsi" w:eastAsia="Times New Roman" w:hAnsiTheme="minorHAnsi"/>
      <w:b/>
      <w:bCs/>
      <w:sz w:val="24"/>
      <w:szCs w:val="24"/>
      <w:lang w:eastAsia="es-ES"/>
    </w:rPr>
  </w:style>
  <w:style w:type="character" w:customStyle="1" w:styleId="EstiloRequeridoIzquierda063cmPrimeralnea0cmCar">
    <w:name w:val="Estilo Requerido + Izquierda:  0.63 cm Primera línea:  0 cm Car"/>
    <w:link w:val="EstiloRequeridoIzquierda063cmPrimeralnea0cm"/>
    <w:uiPriority w:val="99"/>
    <w:locked/>
    <w:rsid w:val="004B7DFB"/>
    <w:rPr>
      <w:rFonts w:asciiTheme="minorHAnsi" w:eastAsia="Times New Roman" w:hAnsiTheme="minorHAnsi"/>
      <w:b/>
      <w:bCs/>
      <w:sz w:val="24"/>
      <w:szCs w:val="24"/>
      <w:lang w:eastAsia="es-ES"/>
    </w:rPr>
  </w:style>
  <w:style w:type="table" w:styleId="Cuadrculamedia2-nfasis1">
    <w:name w:val="Medium Grid 2 Accent 1"/>
    <w:basedOn w:val="Tablanormal"/>
    <w:uiPriority w:val="68"/>
    <w:rsid w:val="004B7DFB"/>
    <w:rPr>
      <w:rFonts w:asciiTheme="majorHAnsi" w:eastAsiaTheme="majorEastAsia" w:hAnsiTheme="majorHAnsi" w:cstheme="majorBidi"/>
      <w:color w:val="000000" w:themeColor="text1"/>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paragraph" w:customStyle="1" w:styleId="ListBulletCompact">
    <w:name w:val="List Bullet Compact"/>
    <w:basedOn w:val="Listaconvietas"/>
    <w:qFormat/>
    <w:rsid w:val="004B7DFB"/>
    <w:pPr>
      <w:spacing w:after="0" w:line="320" w:lineRule="atLeast"/>
      <w:ind w:left="1287"/>
      <w:contextualSpacing w:val="0"/>
      <w:jc w:val="both"/>
    </w:pPr>
    <w:rPr>
      <w:rFonts w:ascii="Times New Roman" w:eastAsiaTheme="minorHAnsi" w:hAnsi="Times New Roman"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11160">
      <w:bodyDiv w:val="1"/>
      <w:marLeft w:val="0"/>
      <w:marRight w:val="0"/>
      <w:marTop w:val="0"/>
      <w:marBottom w:val="0"/>
      <w:divBdr>
        <w:top w:val="none" w:sz="0" w:space="0" w:color="auto"/>
        <w:left w:val="none" w:sz="0" w:space="0" w:color="auto"/>
        <w:bottom w:val="none" w:sz="0" w:space="0" w:color="auto"/>
        <w:right w:val="none" w:sz="0" w:space="0" w:color="auto"/>
      </w:divBdr>
    </w:div>
    <w:div w:id="31350527">
      <w:bodyDiv w:val="1"/>
      <w:marLeft w:val="0"/>
      <w:marRight w:val="0"/>
      <w:marTop w:val="0"/>
      <w:marBottom w:val="0"/>
      <w:divBdr>
        <w:top w:val="none" w:sz="0" w:space="0" w:color="auto"/>
        <w:left w:val="none" w:sz="0" w:space="0" w:color="auto"/>
        <w:bottom w:val="none" w:sz="0" w:space="0" w:color="auto"/>
        <w:right w:val="none" w:sz="0" w:space="0" w:color="auto"/>
      </w:divBdr>
    </w:div>
    <w:div w:id="49690337">
      <w:bodyDiv w:val="1"/>
      <w:marLeft w:val="0"/>
      <w:marRight w:val="0"/>
      <w:marTop w:val="0"/>
      <w:marBottom w:val="0"/>
      <w:divBdr>
        <w:top w:val="none" w:sz="0" w:space="0" w:color="auto"/>
        <w:left w:val="none" w:sz="0" w:space="0" w:color="auto"/>
        <w:bottom w:val="none" w:sz="0" w:space="0" w:color="auto"/>
        <w:right w:val="none" w:sz="0" w:space="0" w:color="auto"/>
      </w:divBdr>
    </w:div>
    <w:div w:id="52395558">
      <w:bodyDiv w:val="1"/>
      <w:marLeft w:val="0"/>
      <w:marRight w:val="0"/>
      <w:marTop w:val="0"/>
      <w:marBottom w:val="0"/>
      <w:divBdr>
        <w:top w:val="none" w:sz="0" w:space="0" w:color="auto"/>
        <w:left w:val="none" w:sz="0" w:space="0" w:color="auto"/>
        <w:bottom w:val="none" w:sz="0" w:space="0" w:color="auto"/>
        <w:right w:val="none" w:sz="0" w:space="0" w:color="auto"/>
      </w:divBdr>
    </w:div>
    <w:div w:id="87384813">
      <w:bodyDiv w:val="1"/>
      <w:marLeft w:val="0"/>
      <w:marRight w:val="0"/>
      <w:marTop w:val="0"/>
      <w:marBottom w:val="0"/>
      <w:divBdr>
        <w:top w:val="none" w:sz="0" w:space="0" w:color="auto"/>
        <w:left w:val="none" w:sz="0" w:space="0" w:color="auto"/>
        <w:bottom w:val="none" w:sz="0" w:space="0" w:color="auto"/>
        <w:right w:val="none" w:sz="0" w:space="0" w:color="auto"/>
      </w:divBdr>
    </w:div>
    <w:div w:id="98112925">
      <w:bodyDiv w:val="1"/>
      <w:marLeft w:val="0"/>
      <w:marRight w:val="0"/>
      <w:marTop w:val="0"/>
      <w:marBottom w:val="0"/>
      <w:divBdr>
        <w:top w:val="none" w:sz="0" w:space="0" w:color="auto"/>
        <w:left w:val="none" w:sz="0" w:space="0" w:color="auto"/>
        <w:bottom w:val="none" w:sz="0" w:space="0" w:color="auto"/>
        <w:right w:val="none" w:sz="0" w:space="0" w:color="auto"/>
      </w:divBdr>
    </w:div>
    <w:div w:id="100995714">
      <w:bodyDiv w:val="1"/>
      <w:marLeft w:val="0"/>
      <w:marRight w:val="0"/>
      <w:marTop w:val="0"/>
      <w:marBottom w:val="0"/>
      <w:divBdr>
        <w:top w:val="none" w:sz="0" w:space="0" w:color="auto"/>
        <w:left w:val="none" w:sz="0" w:space="0" w:color="auto"/>
        <w:bottom w:val="none" w:sz="0" w:space="0" w:color="auto"/>
        <w:right w:val="none" w:sz="0" w:space="0" w:color="auto"/>
      </w:divBdr>
    </w:div>
    <w:div w:id="186868937">
      <w:bodyDiv w:val="1"/>
      <w:marLeft w:val="0"/>
      <w:marRight w:val="0"/>
      <w:marTop w:val="0"/>
      <w:marBottom w:val="0"/>
      <w:divBdr>
        <w:top w:val="none" w:sz="0" w:space="0" w:color="auto"/>
        <w:left w:val="none" w:sz="0" w:space="0" w:color="auto"/>
        <w:bottom w:val="none" w:sz="0" w:space="0" w:color="auto"/>
        <w:right w:val="none" w:sz="0" w:space="0" w:color="auto"/>
      </w:divBdr>
    </w:div>
    <w:div w:id="252082386">
      <w:bodyDiv w:val="1"/>
      <w:marLeft w:val="0"/>
      <w:marRight w:val="0"/>
      <w:marTop w:val="0"/>
      <w:marBottom w:val="0"/>
      <w:divBdr>
        <w:top w:val="none" w:sz="0" w:space="0" w:color="auto"/>
        <w:left w:val="none" w:sz="0" w:space="0" w:color="auto"/>
        <w:bottom w:val="none" w:sz="0" w:space="0" w:color="auto"/>
        <w:right w:val="none" w:sz="0" w:space="0" w:color="auto"/>
      </w:divBdr>
    </w:div>
    <w:div w:id="288363290">
      <w:bodyDiv w:val="1"/>
      <w:marLeft w:val="0"/>
      <w:marRight w:val="0"/>
      <w:marTop w:val="0"/>
      <w:marBottom w:val="0"/>
      <w:divBdr>
        <w:top w:val="none" w:sz="0" w:space="0" w:color="auto"/>
        <w:left w:val="none" w:sz="0" w:space="0" w:color="auto"/>
        <w:bottom w:val="none" w:sz="0" w:space="0" w:color="auto"/>
        <w:right w:val="none" w:sz="0" w:space="0" w:color="auto"/>
      </w:divBdr>
    </w:div>
    <w:div w:id="288363660">
      <w:bodyDiv w:val="1"/>
      <w:marLeft w:val="0"/>
      <w:marRight w:val="0"/>
      <w:marTop w:val="0"/>
      <w:marBottom w:val="0"/>
      <w:divBdr>
        <w:top w:val="none" w:sz="0" w:space="0" w:color="auto"/>
        <w:left w:val="none" w:sz="0" w:space="0" w:color="auto"/>
        <w:bottom w:val="none" w:sz="0" w:space="0" w:color="auto"/>
        <w:right w:val="none" w:sz="0" w:space="0" w:color="auto"/>
      </w:divBdr>
    </w:div>
    <w:div w:id="307902618">
      <w:bodyDiv w:val="1"/>
      <w:marLeft w:val="0"/>
      <w:marRight w:val="0"/>
      <w:marTop w:val="0"/>
      <w:marBottom w:val="0"/>
      <w:divBdr>
        <w:top w:val="none" w:sz="0" w:space="0" w:color="auto"/>
        <w:left w:val="none" w:sz="0" w:space="0" w:color="auto"/>
        <w:bottom w:val="none" w:sz="0" w:space="0" w:color="auto"/>
        <w:right w:val="none" w:sz="0" w:space="0" w:color="auto"/>
      </w:divBdr>
    </w:div>
    <w:div w:id="319773226">
      <w:bodyDiv w:val="1"/>
      <w:marLeft w:val="0"/>
      <w:marRight w:val="0"/>
      <w:marTop w:val="0"/>
      <w:marBottom w:val="0"/>
      <w:divBdr>
        <w:top w:val="none" w:sz="0" w:space="0" w:color="auto"/>
        <w:left w:val="none" w:sz="0" w:space="0" w:color="auto"/>
        <w:bottom w:val="none" w:sz="0" w:space="0" w:color="auto"/>
        <w:right w:val="none" w:sz="0" w:space="0" w:color="auto"/>
      </w:divBdr>
    </w:div>
    <w:div w:id="333262559">
      <w:bodyDiv w:val="1"/>
      <w:marLeft w:val="0"/>
      <w:marRight w:val="0"/>
      <w:marTop w:val="0"/>
      <w:marBottom w:val="0"/>
      <w:divBdr>
        <w:top w:val="none" w:sz="0" w:space="0" w:color="auto"/>
        <w:left w:val="none" w:sz="0" w:space="0" w:color="auto"/>
        <w:bottom w:val="none" w:sz="0" w:space="0" w:color="auto"/>
        <w:right w:val="none" w:sz="0" w:space="0" w:color="auto"/>
      </w:divBdr>
    </w:div>
    <w:div w:id="346172940">
      <w:bodyDiv w:val="1"/>
      <w:marLeft w:val="0"/>
      <w:marRight w:val="0"/>
      <w:marTop w:val="0"/>
      <w:marBottom w:val="0"/>
      <w:divBdr>
        <w:top w:val="none" w:sz="0" w:space="0" w:color="auto"/>
        <w:left w:val="none" w:sz="0" w:space="0" w:color="auto"/>
        <w:bottom w:val="none" w:sz="0" w:space="0" w:color="auto"/>
        <w:right w:val="none" w:sz="0" w:space="0" w:color="auto"/>
      </w:divBdr>
    </w:div>
    <w:div w:id="370419043">
      <w:bodyDiv w:val="1"/>
      <w:marLeft w:val="0"/>
      <w:marRight w:val="0"/>
      <w:marTop w:val="0"/>
      <w:marBottom w:val="0"/>
      <w:divBdr>
        <w:top w:val="none" w:sz="0" w:space="0" w:color="auto"/>
        <w:left w:val="none" w:sz="0" w:space="0" w:color="auto"/>
        <w:bottom w:val="none" w:sz="0" w:space="0" w:color="auto"/>
        <w:right w:val="none" w:sz="0" w:space="0" w:color="auto"/>
      </w:divBdr>
    </w:div>
    <w:div w:id="401223432">
      <w:bodyDiv w:val="1"/>
      <w:marLeft w:val="0"/>
      <w:marRight w:val="0"/>
      <w:marTop w:val="0"/>
      <w:marBottom w:val="0"/>
      <w:divBdr>
        <w:top w:val="none" w:sz="0" w:space="0" w:color="auto"/>
        <w:left w:val="none" w:sz="0" w:space="0" w:color="auto"/>
        <w:bottom w:val="none" w:sz="0" w:space="0" w:color="auto"/>
        <w:right w:val="none" w:sz="0" w:space="0" w:color="auto"/>
      </w:divBdr>
    </w:div>
    <w:div w:id="406657705">
      <w:bodyDiv w:val="1"/>
      <w:marLeft w:val="0"/>
      <w:marRight w:val="0"/>
      <w:marTop w:val="0"/>
      <w:marBottom w:val="0"/>
      <w:divBdr>
        <w:top w:val="none" w:sz="0" w:space="0" w:color="auto"/>
        <w:left w:val="none" w:sz="0" w:space="0" w:color="auto"/>
        <w:bottom w:val="none" w:sz="0" w:space="0" w:color="auto"/>
        <w:right w:val="none" w:sz="0" w:space="0" w:color="auto"/>
      </w:divBdr>
    </w:div>
    <w:div w:id="410808178">
      <w:bodyDiv w:val="1"/>
      <w:marLeft w:val="0"/>
      <w:marRight w:val="0"/>
      <w:marTop w:val="0"/>
      <w:marBottom w:val="0"/>
      <w:divBdr>
        <w:top w:val="none" w:sz="0" w:space="0" w:color="auto"/>
        <w:left w:val="none" w:sz="0" w:space="0" w:color="auto"/>
        <w:bottom w:val="none" w:sz="0" w:space="0" w:color="auto"/>
        <w:right w:val="none" w:sz="0" w:space="0" w:color="auto"/>
      </w:divBdr>
    </w:div>
    <w:div w:id="419326997">
      <w:bodyDiv w:val="1"/>
      <w:marLeft w:val="0"/>
      <w:marRight w:val="0"/>
      <w:marTop w:val="0"/>
      <w:marBottom w:val="0"/>
      <w:divBdr>
        <w:top w:val="none" w:sz="0" w:space="0" w:color="auto"/>
        <w:left w:val="none" w:sz="0" w:space="0" w:color="auto"/>
        <w:bottom w:val="none" w:sz="0" w:space="0" w:color="auto"/>
        <w:right w:val="none" w:sz="0" w:space="0" w:color="auto"/>
      </w:divBdr>
    </w:div>
    <w:div w:id="440759976">
      <w:bodyDiv w:val="1"/>
      <w:marLeft w:val="0"/>
      <w:marRight w:val="0"/>
      <w:marTop w:val="0"/>
      <w:marBottom w:val="0"/>
      <w:divBdr>
        <w:top w:val="none" w:sz="0" w:space="0" w:color="auto"/>
        <w:left w:val="none" w:sz="0" w:space="0" w:color="auto"/>
        <w:bottom w:val="none" w:sz="0" w:space="0" w:color="auto"/>
        <w:right w:val="none" w:sz="0" w:space="0" w:color="auto"/>
      </w:divBdr>
    </w:div>
    <w:div w:id="449594533">
      <w:bodyDiv w:val="1"/>
      <w:marLeft w:val="0"/>
      <w:marRight w:val="0"/>
      <w:marTop w:val="0"/>
      <w:marBottom w:val="0"/>
      <w:divBdr>
        <w:top w:val="none" w:sz="0" w:space="0" w:color="auto"/>
        <w:left w:val="none" w:sz="0" w:space="0" w:color="auto"/>
        <w:bottom w:val="none" w:sz="0" w:space="0" w:color="auto"/>
        <w:right w:val="none" w:sz="0" w:space="0" w:color="auto"/>
      </w:divBdr>
    </w:div>
    <w:div w:id="453645361">
      <w:bodyDiv w:val="1"/>
      <w:marLeft w:val="0"/>
      <w:marRight w:val="0"/>
      <w:marTop w:val="0"/>
      <w:marBottom w:val="0"/>
      <w:divBdr>
        <w:top w:val="none" w:sz="0" w:space="0" w:color="auto"/>
        <w:left w:val="none" w:sz="0" w:space="0" w:color="auto"/>
        <w:bottom w:val="none" w:sz="0" w:space="0" w:color="auto"/>
        <w:right w:val="none" w:sz="0" w:space="0" w:color="auto"/>
      </w:divBdr>
    </w:div>
    <w:div w:id="467209539">
      <w:bodyDiv w:val="1"/>
      <w:marLeft w:val="0"/>
      <w:marRight w:val="0"/>
      <w:marTop w:val="0"/>
      <w:marBottom w:val="0"/>
      <w:divBdr>
        <w:top w:val="none" w:sz="0" w:space="0" w:color="auto"/>
        <w:left w:val="none" w:sz="0" w:space="0" w:color="auto"/>
        <w:bottom w:val="none" w:sz="0" w:space="0" w:color="auto"/>
        <w:right w:val="none" w:sz="0" w:space="0" w:color="auto"/>
      </w:divBdr>
    </w:div>
    <w:div w:id="493109540">
      <w:bodyDiv w:val="1"/>
      <w:marLeft w:val="0"/>
      <w:marRight w:val="0"/>
      <w:marTop w:val="0"/>
      <w:marBottom w:val="0"/>
      <w:divBdr>
        <w:top w:val="none" w:sz="0" w:space="0" w:color="auto"/>
        <w:left w:val="none" w:sz="0" w:space="0" w:color="auto"/>
        <w:bottom w:val="none" w:sz="0" w:space="0" w:color="auto"/>
        <w:right w:val="none" w:sz="0" w:space="0" w:color="auto"/>
      </w:divBdr>
    </w:div>
    <w:div w:id="496044985">
      <w:bodyDiv w:val="1"/>
      <w:marLeft w:val="0"/>
      <w:marRight w:val="0"/>
      <w:marTop w:val="0"/>
      <w:marBottom w:val="0"/>
      <w:divBdr>
        <w:top w:val="none" w:sz="0" w:space="0" w:color="auto"/>
        <w:left w:val="none" w:sz="0" w:space="0" w:color="auto"/>
        <w:bottom w:val="none" w:sz="0" w:space="0" w:color="auto"/>
        <w:right w:val="none" w:sz="0" w:space="0" w:color="auto"/>
      </w:divBdr>
    </w:div>
    <w:div w:id="498614353">
      <w:bodyDiv w:val="1"/>
      <w:marLeft w:val="0"/>
      <w:marRight w:val="0"/>
      <w:marTop w:val="0"/>
      <w:marBottom w:val="0"/>
      <w:divBdr>
        <w:top w:val="none" w:sz="0" w:space="0" w:color="auto"/>
        <w:left w:val="none" w:sz="0" w:space="0" w:color="auto"/>
        <w:bottom w:val="none" w:sz="0" w:space="0" w:color="auto"/>
        <w:right w:val="none" w:sz="0" w:space="0" w:color="auto"/>
      </w:divBdr>
    </w:div>
    <w:div w:id="569384280">
      <w:bodyDiv w:val="1"/>
      <w:marLeft w:val="0"/>
      <w:marRight w:val="0"/>
      <w:marTop w:val="0"/>
      <w:marBottom w:val="0"/>
      <w:divBdr>
        <w:top w:val="none" w:sz="0" w:space="0" w:color="auto"/>
        <w:left w:val="none" w:sz="0" w:space="0" w:color="auto"/>
        <w:bottom w:val="none" w:sz="0" w:space="0" w:color="auto"/>
        <w:right w:val="none" w:sz="0" w:space="0" w:color="auto"/>
      </w:divBdr>
    </w:div>
    <w:div w:id="578517844">
      <w:bodyDiv w:val="1"/>
      <w:marLeft w:val="0"/>
      <w:marRight w:val="0"/>
      <w:marTop w:val="0"/>
      <w:marBottom w:val="0"/>
      <w:divBdr>
        <w:top w:val="none" w:sz="0" w:space="0" w:color="auto"/>
        <w:left w:val="none" w:sz="0" w:space="0" w:color="auto"/>
        <w:bottom w:val="none" w:sz="0" w:space="0" w:color="auto"/>
        <w:right w:val="none" w:sz="0" w:space="0" w:color="auto"/>
      </w:divBdr>
    </w:div>
    <w:div w:id="633679174">
      <w:bodyDiv w:val="1"/>
      <w:marLeft w:val="0"/>
      <w:marRight w:val="0"/>
      <w:marTop w:val="0"/>
      <w:marBottom w:val="0"/>
      <w:divBdr>
        <w:top w:val="none" w:sz="0" w:space="0" w:color="auto"/>
        <w:left w:val="none" w:sz="0" w:space="0" w:color="auto"/>
        <w:bottom w:val="none" w:sz="0" w:space="0" w:color="auto"/>
        <w:right w:val="none" w:sz="0" w:space="0" w:color="auto"/>
      </w:divBdr>
    </w:div>
    <w:div w:id="659894876">
      <w:bodyDiv w:val="1"/>
      <w:marLeft w:val="0"/>
      <w:marRight w:val="0"/>
      <w:marTop w:val="0"/>
      <w:marBottom w:val="0"/>
      <w:divBdr>
        <w:top w:val="none" w:sz="0" w:space="0" w:color="auto"/>
        <w:left w:val="none" w:sz="0" w:space="0" w:color="auto"/>
        <w:bottom w:val="none" w:sz="0" w:space="0" w:color="auto"/>
        <w:right w:val="none" w:sz="0" w:space="0" w:color="auto"/>
      </w:divBdr>
    </w:div>
    <w:div w:id="671643561">
      <w:bodyDiv w:val="1"/>
      <w:marLeft w:val="0"/>
      <w:marRight w:val="0"/>
      <w:marTop w:val="0"/>
      <w:marBottom w:val="0"/>
      <w:divBdr>
        <w:top w:val="none" w:sz="0" w:space="0" w:color="auto"/>
        <w:left w:val="none" w:sz="0" w:space="0" w:color="auto"/>
        <w:bottom w:val="none" w:sz="0" w:space="0" w:color="auto"/>
        <w:right w:val="none" w:sz="0" w:space="0" w:color="auto"/>
      </w:divBdr>
    </w:div>
    <w:div w:id="699356233">
      <w:bodyDiv w:val="1"/>
      <w:marLeft w:val="0"/>
      <w:marRight w:val="0"/>
      <w:marTop w:val="0"/>
      <w:marBottom w:val="0"/>
      <w:divBdr>
        <w:top w:val="none" w:sz="0" w:space="0" w:color="auto"/>
        <w:left w:val="none" w:sz="0" w:space="0" w:color="auto"/>
        <w:bottom w:val="none" w:sz="0" w:space="0" w:color="auto"/>
        <w:right w:val="none" w:sz="0" w:space="0" w:color="auto"/>
      </w:divBdr>
    </w:div>
    <w:div w:id="710229745">
      <w:bodyDiv w:val="1"/>
      <w:marLeft w:val="0"/>
      <w:marRight w:val="0"/>
      <w:marTop w:val="0"/>
      <w:marBottom w:val="0"/>
      <w:divBdr>
        <w:top w:val="none" w:sz="0" w:space="0" w:color="auto"/>
        <w:left w:val="none" w:sz="0" w:space="0" w:color="auto"/>
        <w:bottom w:val="none" w:sz="0" w:space="0" w:color="auto"/>
        <w:right w:val="none" w:sz="0" w:space="0" w:color="auto"/>
      </w:divBdr>
    </w:div>
    <w:div w:id="714892588">
      <w:bodyDiv w:val="1"/>
      <w:marLeft w:val="0"/>
      <w:marRight w:val="0"/>
      <w:marTop w:val="0"/>
      <w:marBottom w:val="0"/>
      <w:divBdr>
        <w:top w:val="none" w:sz="0" w:space="0" w:color="auto"/>
        <w:left w:val="none" w:sz="0" w:space="0" w:color="auto"/>
        <w:bottom w:val="none" w:sz="0" w:space="0" w:color="auto"/>
        <w:right w:val="none" w:sz="0" w:space="0" w:color="auto"/>
      </w:divBdr>
    </w:div>
    <w:div w:id="738141065">
      <w:bodyDiv w:val="1"/>
      <w:marLeft w:val="0"/>
      <w:marRight w:val="0"/>
      <w:marTop w:val="0"/>
      <w:marBottom w:val="0"/>
      <w:divBdr>
        <w:top w:val="none" w:sz="0" w:space="0" w:color="auto"/>
        <w:left w:val="none" w:sz="0" w:space="0" w:color="auto"/>
        <w:bottom w:val="none" w:sz="0" w:space="0" w:color="auto"/>
        <w:right w:val="none" w:sz="0" w:space="0" w:color="auto"/>
      </w:divBdr>
    </w:div>
    <w:div w:id="751780030">
      <w:bodyDiv w:val="1"/>
      <w:marLeft w:val="0"/>
      <w:marRight w:val="0"/>
      <w:marTop w:val="0"/>
      <w:marBottom w:val="0"/>
      <w:divBdr>
        <w:top w:val="none" w:sz="0" w:space="0" w:color="auto"/>
        <w:left w:val="none" w:sz="0" w:space="0" w:color="auto"/>
        <w:bottom w:val="none" w:sz="0" w:space="0" w:color="auto"/>
        <w:right w:val="none" w:sz="0" w:space="0" w:color="auto"/>
      </w:divBdr>
    </w:div>
    <w:div w:id="753280594">
      <w:bodyDiv w:val="1"/>
      <w:marLeft w:val="0"/>
      <w:marRight w:val="0"/>
      <w:marTop w:val="0"/>
      <w:marBottom w:val="0"/>
      <w:divBdr>
        <w:top w:val="none" w:sz="0" w:space="0" w:color="auto"/>
        <w:left w:val="none" w:sz="0" w:space="0" w:color="auto"/>
        <w:bottom w:val="none" w:sz="0" w:space="0" w:color="auto"/>
        <w:right w:val="none" w:sz="0" w:space="0" w:color="auto"/>
      </w:divBdr>
    </w:div>
    <w:div w:id="785850019">
      <w:bodyDiv w:val="1"/>
      <w:marLeft w:val="0"/>
      <w:marRight w:val="0"/>
      <w:marTop w:val="0"/>
      <w:marBottom w:val="0"/>
      <w:divBdr>
        <w:top w:val="none" w:sz="0" w:space="0" w:color="auto"/>
        <w:left w:val="none" w:sz="0" w:space="0" w:color="auto"/>
        <w:bottom w:val="none" w:sz="0" w:space="0" w:color="auto"/>
        <w:right w:val="none" w:sz="0" w:space="0" w:color="auto"/>
      </w:divBdr>
    </w:div>
    <w:div w:id="801776372">
      <w:bodyDiv w:val="1"/>
      <w:marLeft w:val="0"/>
      <w:marRight w:val="0"/>
      <w:marTop w:val="0"/>
      <w:marBottom w:val="0"/>
      <w:divBdr>
        <w:top w:val="none" w:sz="0" w:space="0" w:color="auto"/>
        <w:left w:val="none" w:sz="0" w:space="0" w:color="auto"/>
        <w:bottom w:val="none" w:sz="0" w:space="0" w:color="auto"/>
        <w:right w:val="none" w:sz="0" w:space="0" w:color="auto"/>
      </w:divBdr>
    </w:div>
    <w:div w:id="845052412">
      <w:bodyDiv w:val="1"/>
      <w:marLeft w:val="0"/>
      <w:marRight w:val="0"/>
      <w:marTop w:val="0"/>
      <w:marBottom w:val="0"/>
      <w:divBdr>
        <w:top w:val="none" w:sz="0" w:space="0" w:color="auto"/>
        <w:left w:val="none" w:sz="0" w:space="0" w:color="auto"/>
        <w:bottom w:val="none" w:sz="0" w:space="0" w:color="auto"/>
        <w:right w:val="none" w:sz="0" w:space="0" w:color="auto"/>
      </w:divBdr>
    </w:div>
    <w:div w:id="895236131">
      <w:bodyDiv w:val="1"/>
      <w:marLeft w:val="0"/>
      <w:marRight w:val="0"/>
      <w:marTop w:val="0"/>
      <w:marBottom w:val="0"/>
      <w:divBdr>
        <w:top w:val="none" w:sz="0" w:space="0" w:color="auto"/>
        <w:left w:val="none" w:sz="0" w:space="0" w:color="auto"/>
        <w:bottom w:val="none" w:sz="0" w:space="0" w:color="auto"/>
        <w:right w:val="none" w:sz="0" w:space="0" w:color="auto"/>
      </w:divBdr>
    </w:div>
    <w:div w:id="896428207">
      <w:bodyDiv w:val="1"/>
      <w:marLeft w:val="0"/>
      <w:marRight w:val="0"/>
      <w:marTop w:val="0"/>
      <w:marBottom w:val="0"/>
      <w:divBdr>
        <w:top w:val="none" w:sz="0" w:space="0" w:color="auto"/>
        <w:left w:val="none" w:sz="0" w:space="0" w:color="auto"/>
        <w:bottom w:val="none" w:sz="0" w:space="0" w:color="auto"/>
        <w:right w:val="none" w:sz="0" w:space="0" w:color="auto"/>
      </w:divBdr>
    </w:div>
    <w:div w:id="903176806">
      <w:bodyDiv w:val="1"/>
      <w:marLeft w:val="0"/>
      <w:marRight w:val="0"/>
      <w:marTop w:val="0"/>
      <w:marBottom w:val="0"/>
      <w:divBdr>
        <w:top w:val="none" w:sz="0" w:space="0" w:color="auto"/>
        <w:left w:val="none" w:sz="0" w:space="0" w:color="auto"/>
        <w:bottom w:val="none" w:sz="0" w:space="0" w:color="auto"/>
        <w:right w:val="none" w:sz="0" w:space="0" w:color="auto"/>
      </w:divBdr>
    </w:div>
    <w:div w:id="908198910">
      <w:bodyDiv w:val="1"/>
      <w:marLeft w:val="0"/>
      <w:marRight w:val="0"/>
      <w:marTop w:val="0"/>
      <w:marBottom w:val="0"/>
      <w:divBdr>
        <w:top w:val="none" w:sz="0" w:space="0" w:color="auto"/>
        <w:left w:val="none" w:sz="0" w:space="0" w:color="auto"/>
        <w:bottom w:val="none" w:sz="0" w:space="0" w:color="auto"/>
        <w:right w:val="none" w:sz="0" w:space="0" w:color="auto"/>
      </w:divBdr>
    </w:div>
    <w:div w:id="930090341">
      <w:bodyDiv w:val="1"/>
      <w:marLeft w:val="0"/>
      <w:marRight w:val="0"/>
      <w:marTop w:val="0"/>
      <w:marBottom w:val="0"/>
      <w:divBdr>
        <w:top w:val="none" w:sz="0" w:space="0" w:color="auto"/>
        <w:left w:val="none" w:sz="0" w:space="0" w:color="auto"/>
        <w:bottom w:val="none" w:sz="0" w:space="0" w:color="auto"/>
        <w:right w:val="none" w:sz="0" w:space="0" w:color="auto"/>
      </w:divBdr>
    </w:div>
    <w:div w:id="954944164">
      <w:bodyDiv w:val="1"/>
      <w:marLeft w:val="0"/>
      <w:marRight w:val="0"/>
      <w:marTop w:val="0"/>
      <w:marBottom w:val="0"/>
      <w:divBdr>
        <w:top w:val="none" w:sz="0" w:space="0" w:color="auto"/>
        <w:left w:val="none" w:sz="0" w:space="0" w:color="auto"/>
        <w:bottom w:val="none" w:sz="0" w:space="0" w:color="auto"/>
        <w:right w:val="none" w:sz="0" w:space="0" w:color="auto"/>
      </w:divBdr>
    </w:div>
    <w:div w:id="958412625">
      <w:bodyDiv w:val="1"/>
      <w:marLeft w:val="0"/>
      <w:marRight w:val="0"/>
      <w:marTop w:val="0"/>
      <w:marBottom w:val="0"/>
      <w:divBdr>
        <w:top w:val="none" w:sz="0" w:space="0" w:color="auto"/>
        <w:left w:val="none" w:sz="0" w:space="0" w:color="auto"/>
        <w:bottom w:val="none" w:sz="0" w:space="0" w:color="auto"/>
        <w:right w:val="none" w:sz="0" w:space="0" w:color="auto"/>
      </w:divBdr>
    </w:div>
    <w:div w:id="963773354">
      <w:bodyDiv w:val="1"/>
      <w:marLeft w:val="0"/>
      <w:marRight w:val="0"/>
      <w:marTop w:val="0"/>
      <w:marBottom w:val="0"/>
      <w:divBdr>
        <w:top w:val="none" w:sz="0" w:space="0" w:color="auto"/>
        <w:left w:val="none" w:sz="0" w:space="0" w:color="auto"/>
        <w:bottom w:val="none" w:sz="0" w:space="0" w:color="auto"/>
        <w:right w:val="none" w:sz="0" w:space="0" w:color="auto"/>
      </w:divBdr>
    </w:div>
    <w:div w:id="1017191622">
      <w:bodyDiv w:val="1"/>
      <w:marLeft w:val="0"/>
      <w:marRight w:val="0"/>
      <w:marTop w:val="0"/>
      <w:marBottom w:val="0"/>
      <w:divBdr>
        <w:top w:val="none" w:sz="0" w:space="0" w:color="auto"/>
        <w:left w:val="none" w:sz="0" w:space="0" w:color="auto"/>
        <w:bottom w:val="none" w:sz="0" w:space="0" w:color="auto"/>
        <w:right w:val="none" w:sz="0" w:space="0" w:color="auto"/>
      </w:divBdr>
    </w:div>
    <w:div w:id="1052191301">
      <w:bodyDiv w:val="1"/>
      <w:marLeft w:val="0"/>
      <w:marRight w:val="0"/>
      <w:marTop w:val="0"/>
      <w:marBottom w:val="0"/>
      <w:divBdr>
        <w:top w:val="none" w:sz="0" w:space="0" w:color="auto"/>
        <w:left w:val="none" w:sz="0" w:space="0" w:color="auto"/>
        <w:bottom w:val="none" w:sz="0" w:space="0" w:color="auto"/>
        <w:right w:val="none" w:sz="0" w:space="0" w:color="auto"/>
      </w:divBdr>
    </w:div>
    <w:div w:id="1067264946">
      <w:bodyDiv w:val="1"/>
      <w:marLeft w:val="0"/>
      <w:marRight w:val="0"/>
      <w:marTop w:val="0"/>
      <w:marBottom w:val="0"/>
      <w:divBdr>
        <w:top w:val="none" w:sz="0" w:space="0" w:color="auto"/>
        <w:left w:val="none" w:sz="0" w:space="0" w:color="auto"/>
        <w:bottom w:val="none" w:sz="0" w:space="0" w:color="auto"/>
        <w:right w:val="none" w:sz="0" w:space="0" w:color="auto"/>
      </w:divBdr>
    </w:div>
    <w:div w:id="1067386980">
      <w:bodyDiv w:val="1"/>
      <w:marLeft w:val="0"/>
      <w:marRight w:val="0"/>
      <w:marTop w:val="0"/>
      <w:marBottom w:val="0"/>
      <w:divBdr>
        <w:top w:val="none" w:sz="0" w:space="0" w:color="auto"/>
        <w:left w:val="none" w:sz="0" w:space="0" w:color="auto"/>
        <w:bottom w:val="none" w:sz="0" w:space="0" w:color="auto"/>
        <w:right w:val="none" w:sz="0" w:space="0" w:color="auto"/>
      </w:divBdr>
    </w:div>
    <w:div w:id="1126894387">
      <w:bodyDiv w:val="1"/>
      <w:marLeft w:val="0"/>
      <w:marRight w:val="0"/>
      <w:marTop w:val="0"/>
      <w:marBottom w:val="0"/>
      <w:divBdr>
        <w:top w:val="none" w:sz="0" w:space="0" w:color="auto"/>
        <w:left w:val="none" w:sz="0" w:space="0" w:color="auto"/>
        <w:bottom w:val="none" w:sz="0" w:space="0" w:color="auto"/>
        <w:right w:val="none" w:sz="0" w:space="0" w:color="auto"/>
      </w:divBdr>
    </w:div>
    <w:div w:id="1138493729">
      <w:bodyDiv w:val="1"/>
      <w:marLeft w:val="0"/>
      <w:marRight w:val="0"/>
      <w:marTop w:val="0"/>
      <w:marBottom w:val="0"/>
      <w:divBdr>
        <w:top w:val="none" w:sz="0" w:space="0" w:color="auto"/>
        <w:left w:val="none" w:sz="0" w:space="0" w:color="auto"/>
        <w:bottom w:val="none" w:sz="0" w:space="0" w:color="auto"/>
        <w:right w:val="none" w:sz="0" w:space="0" w:color="auto"/>
      </w:divBdr>
    </w:div>
    <w:div w:id="1183275482">
      <w:bodyDiv w:val="1"/>
      <w:marLeft w:val="0"/>
      <w:marRight w:val="0"/>
      <w:marTop w:val="0"/>
      <w:marBottom w:val="0"/>
      <w:divBdr>
        <w:top w:val="none" w:sz="0" w:space="0" w:color="auto"/>
        <w:left w:val="none" w:sz="0" w:space="0" w:color="auto"/>
        <w:bottom w:val="none" w:sz="0" w:space="0" w:color="auto"/>
        <w:right w:val="none" w:sz="0" w:space="0" w:color="auto"/>
      </w:divBdr>
    </w:div>
    <w:div w:id="1199049803">
      <w:bodyDiv w:val="1"/>
      <w:marLeft w:val="0"/>
      <w:marRight w:val="0"/>
      <w:marTop w:val="0"/>
      <w:marBottom w:val="0"/>
      <w:divBdr>
        <w:top w:val="none" w:sz="0" w:space="0" w:color="auto"/>
        <w:left w:val="none" w:sz="0" w:space="0" w:color="auto"/>
        <w:bottom w:val="none" w:sz="0" w:space="0" w:color="auto"/>
        <w:right w:val="none" w:sz="0" w:space="0" w:color="auto"/>
      </w:divBdr>
    </w:div>
    <w:div w:id="1219588563">
      <w:bodyDiv w:val="1"/>
      <w:marLeft w:val="0"/>
      <w:marRight w:val="0"/>
      <w:marTop w:val="0"/>
      <w:marBottom w:val="0"/>
      <w:divBdr>
        <w:top w:val="none" w:sz="0" w:space="0" w:color="auto"/>
        <w:left w:val="none" w:sz="0" w:space="0" w:color="auto"/>
        <w:bottom w:val="none" w:sz="0" w:space="0" w:color="auto"/>
        <w:right w:val="none" w:sz="0" w:space="0" w:color="auto"/>
      </w:divBdr>
    </w:div>
    <w:div w:id="1250625040">
      <w:bodyDiv w:val="1"/>
      <w:marLeft w:val="0"/>
      <w:marRight w:val="0"/>
      <w:marTop w:val="0"/>
      <w:marBottom w:val="0"/>
      <w:divBdr>
        <w:top w:val="none" w:sz="0" w:space="0" w:color="auto"/>
        <w:left w:val="none" w:sz="0" w:space="0" w:color="auto"/>
        <w:bottom w:val="none" w:sz="0" w:space="0" w:color="auto"/>
        <w:right w:val="none" w:sz="0" w:space="0" w:color="auto"/>
      </w:divBdr>
    </w:div>
    <w:div w:id="1258245316">
      <w:bodyDiv w:val="1"/>
      <w:marLeft w:val="0"/>
      <w:marRight w:val="0"/>
      <w:marTop w:val="0"/>
      <w:marBottom w:val="0"/>
      <w:divBdr>
        <w:top w:val="none" w:sz="0" w:space="0" w:color="auto"/>
        <w:left w:val="none" w:sz="0" w:space="0" w:color="auto"/>
        <w:bottom w:val="none" w:sz="0" w:space="0" w:color="auto"/>
        <w:right w:val="none" w:sz="0" w:space="0" w:color="auto"/>
      </w:divBdr>
    </w:div>
    <w:div w:id="1270747151">
      <w:bodyDiv w:val="1"/>
      <w:marLeft w:val="0"/>
      <w:marRight w:val="0"/>
      <w:marTop w:val="0"/>
      <w:marBottom w:val="0"/>
      <w:divBdr>
        <w:top w:val="none" w:sz="0" w:space="0" w:color="auto"/>
        <w:left w:val="none" w:sz="0" w:space="0" w:color="auto"/>
        <w:bottom w:val="none" w:sz="0" w:space="0" w:color="auto"/>
        <w:right w:val="none" w:sz="0" w:space="0" w:color="auto"/>
      </w:divBdr>
    </w:div>
    <w:div w:id="1275867646">
      <w:bodyDiv w:val="1"/>
      <w:marLeft w:val="0"/>
      <w:marRight w:val="0"/>
      <w:marTop w:val="0"/>
      <w:marBottom w:val="0"/>
      <w:divBdr>
        <w:top w:val="none" w:sz="0" w:space="0" w:color="auto"/>
        <w:left w:val="none" w:sz="0" w:space="0" w:color="auto"/>
        <w:bottom w:val="none" w:sz="0" w:space="0" w:color="auto"/>
        <w:right w:val="none" w:sz="0" w:space="0" w:color="auto"/>
      </w:divBdr>
      <w:divsChild>
        <w:div w:id="1636178577">
          <w:marLeft w:val="0"/>
          <w:marRight w:val="0"/>
          <w:marTop w:val="0"/>
          <w:marBottom w:val="0"/>
          <w:divBdr>
            <w:top w:val="none" w:sz="0" w:space="0" w:color="auto"/>
            <w:left w:val="none" w:sz="0" w:space="0" w:color="auto"/>
            <w:bottom w:val="none" w:sz="0" w:space="0" w:color="auto"/>
            <w:right w:val="none" w:sz="0" w:space="0" w:color="auto"/>
          </w:divBdr>
          <w:divsChild>
            <w:div w:id="201124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72255">
      <w:bodyDiv w:val="1"/>
      <w:marLeft w:val="0"/>
      <w:marRight w:val="0"/>
      <w:marTop w:val="0"/>
      <w:marBottom w:val="0"/>
      <w:divBdr>
        <w:top w:val="none" w:sz="0" w:space="0" w:color="auto"/>
        <w:left w:val="none" w:sz="0" w:space="0" w:color="auto"/>
        <w:bottom w:val="none" w:sz="0" w:space="0" w:color="auto"/>
        <w:right w:val="none" w:sz="0" w:space="0" w:color="auto"/>
      </w:divBdr>
    </w:div>
    <w:div w:id="1294822762">
      <w:bodyDiv w:val="1"/>
      <w:marLeft w:val="0"/>
      <w:marRight w:val="0"/>
      <w:marTop w:val="0"/>
      <w:marBottom w:val="0"/>
      <w:divBdr>
        <w:top w:val="none" w:sz="0" w:space="0" w:color="auto"/>
        <w:left w:val="none" w:sz="0" w:space="0" w:color="auto"/>
        <w:bottom w:val="none" w:sz="0" w:space="0" w:color="auto"/>
        <w:right w:val="none" w:sz="0" w:space="0" w:color="auto"/>
      </w:divBdr>
    </w:div>
    <w:div w:id="1300721205">
      <w:bodyDiv w:val="1"/>
      <w:marLeft w:val="0"/>
      <w:marRight w:val="0"/>
      <w:marTop w:val="0"/>
      <w:marBottom w:val="0"/>
      <w:divBdr>
        <w:top w:val="none" w:sz="0" w:space="0" w:color="auto"/>
        <w:left w:val="none" w:sz="0" w:space="0" w:color="auto"/>
        <w:bottom w:val="none" w:sz="0" w:space="0" w:color="auto"/>
        <w:right w:val="none" w:sz="0" w:space="0" w:color="auto"/>
      </w:divBdr>
    </w:div>
    <w:div w:id="1335576067">
      <w:bodyDiv w:val="1"/>
      <w:marLeft w:val="0"/>
      <w:marRight w:val="0"/>
      <w:marTop w:val="0"/>
      <w:marBottom w:val="0"/>
      <w:divBdr>
        <w:top w:val="none" w:sz="0" w:space="0" w:color="auto"/>
        <w:left w:val="none" w:sz="0" w:space="0" w:color="auto"/>
        <w:bottom w:val="none" w:sz="0" w:space="0" w:color="auto"/>
        <w:right w:val="none" w:sz="0" w:space="0" w:color="auto"/>
      </w:divBdr>
    </w:div>
    <w:div w:id="1400982094">
      <w:bodyDiv w:val="1"/>
      <w:marLeft w:val="0"/>
      <w:marRight w:val="0"/>
      <w:marTop w:val="0"/>
      <w:marBottom w:val="0"/>
      <w:divBdr>
        <w:top w:val="none" w:sz="0" w:space="0" w:color="auto"/>
        <w:left w:val="none" w:sz="0" w:space="0" w:color="auto"/>
        <w:bottom w:val="none" w:sz="0" w:space="0" w:color="auto"/>
        <w:right w:val="none" w:sz="0" w:space="0" w:color="auto"/>
      </w:divBdr>
    </w:div>
    <w:div w:id="1480146988">
      <w:bodyDiv w:val="1"/>
      <w:marLeft w:val="0"/>
      <w:marRight w:val="0"/>
      <w:marTop w:val="0"/>
      <w:marBottom w:val="0"/>
      <w:divBdr>
        <w:top w:val="none" w:sz="0" w:space="0" w:color="auto"/>
        <w:left w:val="none" w:sz="0" w:space="0" w:color="auto"/>
        <w:bottom w:val="none" w:sz="0" w:space="0" w:color="auto"/>
        <w:right w:val="none" w:sz="0" w:space="0" w:color="auto"/>
      </w:divBdr>
    </w:div>
    <w:div w:id="1502626478">
      <w:bodyDiv w:val="1"/>
      <w:marLeft w:val="0"/>
      <w:marRight w:val="0"/>
      <w:marTop w:val="0"/>
      <w:marBottom w:val="0"/>
      <w:divBdr>
        <w:top w:val="none" w:sz="0" w:space="0" w:color="auto"/>
        <w:left w:val="none" w:sz="0" w:space="0" w:color="auto"/>
        <w:bottom w:val="none" w:sz="0" w:space="0" w:color="auto"/>
        <w:right w:val="none" w:sz="0" w:space="0" w:color="auto"/>
      </w:divBdr>
    </w:div>
    <w:div w:id="1524781686">
      <w:bodyDiv w:val="1"/>
      <w:marLeft w:val="0"/>
      <w:marRight w:val="0"/>
      <w:marTop w:val="0"/>
      <w:marBottom w:val="0"/>
      <w:divBdr>
        <w:top w:val="none" w:sz="0" w:space="0" w:color="auto"/>
        <w:left w:val="none" w:sz="0" w:space="0" w:color="auto"/>
        <w:bottom w:val="none" w:sz="0" w:space="0" w:color="auto"/>
        <w:right w:val="none" w:sz="0" w:space="0" w:color="auto"/>
      </w:divBdr>
    </w:div>
    <w:div w:id="1537083918">
      <w:bodyDiv w:val="1"/>
      <w:marLeft w:val="0"/>
      <w:marRight w:val="0"/>
      <w:marTop w:val="0"/>
      <w:marBottom w:val="0"/>
      <w:divBdr>
        <w:top w:val="none" w:sz="0" w:space="0" w:color="auto"/>
        <w:left w:val="none" w:sz="0" w:space="0" w:color="auto"/>
        <w:bottom w:val="none" w:sz="0" w:space="0" w:color="auto"/>
        <w:right w:val="none" w:sz="0" w:space="0" w:color="auto"/>
      </w:divBdr>
    </w:div>
    <w:div w:id="1577784020">
      <w:bodyDiv w:val="1"/>
      <w:marLeft w:val="0"/>
      <w:marRight w:val="0"/>
      <w:marTop w:val="0"/>
      <w:marBottom w:val="0"/>
      <w:divBdr>
        <w:top w:val="none" w:sz="0" w:space="0" w:color="auto"/>
        <w:left w:val="none" w:sz="0" w:space="0" w:color="auto"/>
        <w:bottom w:val="none" w:sz="0" w:space="0" w:color="auto"/>
        <w:right w:val="none" w:sz="0" w:space="0" w:color="auto"/>
      </w:divBdr>
    </w:div>
    <w:div w:id="1584140959">
      <w:bodyDiv w:val="1"/>
      <w:marLeft w:val="0"/>
      <w:marRight w:val="0"/>
      <w:marTop w:val="0"/>
      <w:marBottom w:val="0"/>
      <w:divBdr>
        <w:top w:val="none" w:sz="0" w:space="0" w:color="auto"/>
        <w:left w:val="none" w:sz="0" w:space="0" w:color="auto"/>
        <w:bottom w:val="none" w:sz="0" w:space="0" w:color="auto"/>
        <w:right w:val="none" w:sz="0" w:space="0" w:color="auto"/>
      </w:divBdr>
    </w:div>
    <w:div w:id="1668434050">
      <w:bodyDiv w:val="1"/>
      <w:marLeft w:val="0"/>
      <w:marRight w:val="0"/>
      <w:marTop w:val="0"/>
      <w:marBottom w:val="0"/>
      <w:divBdr>
        <w:top w:val="none" w:sz="0" w:space="0" w:color="auto"/>
        <w:left w:val="none" w:sz="0" w:space="0" w:color="auto"/>
        <w:bottom w:val="none" w:sz="0" w:space="0" w:color="auto"/>
        <w:right w:val="none" w:sz="0" w:space="0" w:color="auto"/>
      </w:divBdr>
    </w:div>
    <w:div w:id="1711488490">
      <w:bodyDiv w:val="1"/>
      <w:marLeft w:val="0"/>
      <w:marRight w:val="0"/>
      <w:marTop w:val="0"/>
      <w:marBottom w:val="0"/>
      <w:divBdr>
        <w:top w:val="none" w:sz="0" w:space="0" w:color="auto"/>
        <w:left w:val="none" w:sz="0" w:space="0" w:color="auto"/>
        <w:bottom w:val="none" w:sz="0" w:space="0" w:color="auto"/>
        <w:right w:val="none" w:sz="0" w:space="0" w:color="auto"/>
      </w:divBdr>
    </w:div>
    <w:div w:id="1717389260">
      <w:bodyDiv w:val="1"/>
      <w:marLeft w:val="0"/>
      <w:marRight w:val="0"/>
      <w:marTop w:val="0"/>
      <w:marBottom w:val="0"/>
      <w:divBdr>
        <w:top w:val="none" w:sz="0" w:space="0" w:color="auto"/>
        <w:left w:val="none" w:sz="0" w:space="0" w:color="auto"/>
        <w:bottom w:val="none" w:sz="0" w:space="0" w:color="auto"/>
        <w:right w:val="none" w:sz="0" w:space="0" w:color="auto"/>
      </w:divBdr>
    </w:div>
    <w:div w:id="1728064281">
      <w:bodyDiv w:val="1"/>
      <w:marLeft w:val="0"/>
      <w:marRight w:val="0"/>
      <w:marTop w:val="0"/>
      <w:marBottom w:val="0"/>
      <w:divBdr>
        <w:top w:val="none" w:sz="0" w:space="0" w:color="auto"/>
        <w:left w:val="none" w:sz="0" w:space="0" w:color="auto"/>
        <w:bottom w:val="none" w:sz="0" w:space="0" w:color="auto"/>
        <w:right w:val="none" w:sz="0" w:space="0" w:color="auto"/>
      </w:divBdr>
    </w:div>
    <w:div w:id="1749032555">
      <w:bodyDiv w:val="1"/>
      <w:marLeft w:val="0"/>
      <w:marRight w:val="0"/>
      <w:marTop w:val="0"/>
      <w:marBottom w:val="0"/>
      <w:divBdr>
        <w:top w:val="none" w:sz="0" w:space="0" w:color="auto"/>
        <w:left w:val="none" w:sz="0" w:space="0" w:color="auto"/>
        <w:bottom w:val="none" w:sz="0" w:space="0" w:color="auto"/>
        <w:right w:val="none" w:sz="0" w:space="0" w:color="auto"/>
      </w:divBdr>
    </w:div>
    <w:div w:id="1793590163">
      <w:bodyDiv w:val="1"/>
      <w:marLeft w:val="0"/>
      <w:marRight w:val="0"/>
      <w:marTop w:val="0"/>
      <w:marBottom w:val="0"/>
      <w:divBdr>
        <w:top w:val="none" w:sz="0" w:space="0" w:color="auto"/>
        <w:left w:val="none" w:sz="0" w:space="0" w:color="auto"/>
        <w:bottom w:val="none" w:sz="0" w:space="0" w:color="auto"/>
        <w:right w:val="none" w:sz="0" w:space="0" w:color="auto"/>
      </w:divBdr>
    </w:div>
    <w:div w:id="1796944898">
      <w:bodyDiv w:val="1"/>
      <w:marLeft w:val="0"/>
      <w:marRight w:val="0"/>
      <w:marTop w:val="0"/>
      <w:marBottom w:val="0"/>
      <w:divBdr>
        <w:top w:val="none" w:sz="0" w:space="0" w:color="auto"/>
        <w:left w:val="none" w:sz="0" w:space="0" w:color="auto"/>
        <w:bottom w:val="none" w:sz="0" w:space="0" w:color="auto"/>
        <w:right w:val="none" w:sz="0" w:space="0" w:color="auto"/>
      </w:divBdr>
    </w:div>
    <w:div w:id="1802961811">
      <w:bodyDiv w:val="1"/>
      <w:marLeft w:val="0"/>
      <w:marRight w:val="0"/>
      <w:marTop w:val="0"/>
      <w:marBottom w:val="0"/>
      <w:divBdr>
        <w:top w:val="none" w:sz="0" w:space="0" w:color="auto"/>
        <w:left w:val="none" w:sz="0" w:space="0" w:color="auto"/>
        <w:bottom w:val="none" w:sz="0" w:space="0" w:color="auto"/>
        <w:right w:val="none" w:sz="0" w:space="0" w:color="auto"/>
      </w:divBdr>
    </w:div>
    <w:div w:id="1816726709">
      <w:bodyDiv w:val="1"/>
      <w:marLeft w:val="0"/>
      <w:marRight w:val="0"/>
      <w:marTop w:val="0"/>
      <w:marBottom w:val="0"/>
      <w:divBdr>
        <w:top w:val="none" w:sz="0" w:space="0" w:color="auto"/>
        <w:left w:val="none" w:sz="0" w:space="0" w:color="auto"/>
        <w:bottom w:val="none" w:sz="0" w:space="0" w:color="auto"/>
        <w:right w:val="none" w:sz="0" w:space="0" w:color="auto"/>
      </w:divBdr>
    </w:div>
    <w:div w:id="1819180132">
      <w:bodyDiv w:val="1"/>
      <w:marLeft w:val="0"/>
      <w:marRight w:val="0"/>
      <w:marTop w:val="0"/>
      <w:marBottom w:val="0"/>
      <w:divBdr>
        <w:top w:val="none" w:sz="0" w:space="0" w:color="auto"/>
        <w:left w:val="none" w:sz="0" w:space="0" w:color="auto"/>
        <w:bottom w:val="none" w:sz="0" w:space="0" w:color="auto"/>
        <w:right w:val="none" w:sz="0" w:space="0" w:color="auto"/>
      </w:divBdr>
    </w:div>
    <w:div w:id="1835024280">
      <w:bodyDiv w:val="1"/>
      <w:marLeft w:val="0"/>
      <w:marRight w:val="0"/>
      <w:marTop w:val="0"/>
      <w:marBottom w:val="0"/>
      <w:divBdr>
        <w:top w:val="none" w:sz="0" w:space="0" w:color="auto"/>
        <w:left w:val="none" w:sz="0" w:space="0" w:color="auto"/>
        <w:bottom w:val="none" w:sz="0" w:space="0" w:color="auto"/>
        <w:right w:val="none" w:sz="0" w:space="0" w:color="auto"/>
      </w:divBdr>
    </w:div>
    <w:div w:id="1837111220">
      <w:bodyDiv w:val="1"/>
      <w:marLeft w:val="0"/>
      <w:marRight w:val="0"/>
      <w:marTop w:val="0"/>
      <w:marBottom w:val="0"/>
      <w:divBdr>
        <w:top w:val="none" w:sz="0" w:space="0" w:color="auto"/>
        <w:left w:val="none" w:sz="0" w:space="0" w:color="auto"/>
        <w:bottom w:val="none" w:sz="0" w:space="0" w:color="auto"/>
        <w:right w:val="none" w:sz="0" w:space="0" w:color="auto"/>
      </w:divBdr>
    </w:div>
    <w:div w:id="1838954066">
      <w:bodyDiv w:val="1"/>
      <w:marLeft w:val="0"/>
      <w:marRight w:val="0"/>
      <w:marTop w:val="0"/>
      <w:marBottom w:val="0"/>
      <w:divBdr>
        <w:top w:val="none" w:sz="0" w:space="0" w:color="auto"/>
        <w:left w:val="none" w:sz="0" w:space="0" w:color="auto"/>
        <w:bottom w:val="none" w:sz="0" w:space="0" w:color="auto"/>
        <w:right w:val="none" w:sz="0" w:space="0" w:color="auto"/>
      </w:divBdr>
    </w:div>
    <w:div w:id="1848933857">
      <w:bodyDiv w:val="1"/>
      <w:marLeft w:val="0"/>
      <w:marRight w:val="0"/>
      <w:marTop w:val="0"/>
      <w:marBottom w:val="0"/>
      <w:divBdr>
        <w:top w:val="none" w:sz="0" w:space="0" w:color="auto"/>
        <w:left w:val="none" w:sz="0" w:space="0" w:color="auto"/>
        <w:bottom w:val="none" w:sz="0" w:space="0" w:color="auto"/>
        <w:right w:val="none" w:sz="0" w:space="0" w:color="auto"/>
      </w:divBdr>
    </w:div>
    <w:div w:id="1873495658">
      <w:bodyDiv w:val="1"/>
      <w:marLeft w:val="0"/>
      <w:marRight w:val="0"/>
      <w:marTop w:val="0"/>
      <w:marBottom w:val="0"/>
      <w:divBdr>
        <w:top w:val="none" w:sz="0" w:space="0" w:color="auto"/>
        <w:left w:val="none" w:sz="0" w:space="0" w:color="auto"/>
        <w:bottom w:val="none" w:sz="0" w:space="0" w:color="auto"/>
        <w:right w:val="none" w:sz="0" w:space="0" w:color="auto"/>
      </w:divBdr>
    </w:div>
    <w:div w:id="1878278415">
      <w:bodyDiv w:val="1"/>
      <w:marLeft w:val="0"/>
      <w:marRight w:val="0"/>
      <w:marTop w:val="0"/>
      <w:marBottom w:val="0"/>
      <w:divBdr>
        <w:top w:val="none" w:sz="0" w:space="0" w:color="auto"/>
        <w:left w:val="none" w:sz="0" w:space="0" w:color="auto"/>
        <w:bottom w:val="none" w:sz="0" w:space="0" w:color="auto"/>
        <w:right w:val="none" w:sz="0" w:space="0" w:color="auto"/>
      </w:divBdr>
    </w:div>
    <w:div w:id="1879197490">
      <w:bodyDiv w:val="1"/>
      <w:marLeft w:val="0"/>
      <w:marRight w:val="0"/>
      <w:marTop w:val="0"/>
      <w:marBottom w:val="0"/>
      <w:divBdr>
        <w:top w:val="none" w:sz="0" w:space="0" w:color="auto"/>
        <w:left w:val="none" w:sz="0" w:space="0" w:color="auto"/>
        <w:bottom w:val="none" w:sz="0" w:space="0" w:color="auto"/>
        <w:right w:val="none" w:sz="0" w:space="0" w:color="auto"/>
      </w:divBdr>
    </w:div>
    <w:div w:id="1885747346">
      <w:bodyDiv w:val="1"/>
      <w:marLeft w:val="0"/>
      <w:marRight w:val="0"/>
      <w:marTop w:val="0"/>
      <w:marBottom w:val="0"/>
      <w:divBdr>
        <w:top w:val="none" w:sz="0" w:space="0" w:color="auto"/>
        <w:left w:val="none" w:sz="0" w:space="0" w:color="auto"/>
        <w:bottom w:val="none" w:sz="0" w:space="0" w:color="auto"/>
        <w:right w:val="none" w:sz="0" w:space="0" w:color="auto"/>
      </w:divBdr>
    </w:div>
    <w:div w:id="1948536579">
      <w:bodyDiv w:val="1"/>
      <w:marLeft w:val="0"/>
      <w:marRight w:val="0"/>
      <w:marTop w:val="0"/>
      <w:marBottom w:val="0"/>
      <w:divBdr>
        <w:top w:val="none" w:sz="0" w:space="0" w:color="auto"/>
        <w:left w:val="none" w:sz="0" w:space="0" w:color="auto"/>
        <w:bottom w:val="none" w:sz="0" w:space="0" w:color="auto"/>
        <w:right w:val="none" w:sz="0" w:space="0" w:color="auto"/>
      </w:divBdr>
    </w:div>
    <w:div w:id="1974168866">
      <w:bodyDiv w:val="1"/>
      <w:marLeft w:val="0"/>
      <w:marRight w:val="0"/>
      <w:marTop w:val="0"/>
      <w:marBottom w:val="0"/>
      <w:divBdr>
        <w:top w:val="none" w:sz="0" w:space="0" w:color="auto"/>
        <w:left w:val="none" w:sz="0" w:space="0" w:color="auto"/>
        <w:bottom w:val="none" w:sz="0" w:space="0" w:color="auto"/>
        <w:right w:val="none" w:sz="0" w:space="0" w:color="auto"/>
      </w:divBdr>
    </w:div>
    <w:div w:id="1976789373">
      <w:bodyDiv w:val="1"/>
      <w:marLeft w:val="0"/>
      <w:marRight w:val="0"/>
      <w:marTop w:val="0"/>
      <w:marBottom w:val="0"/>
      <w:divBdr>
        <w:top w:val="none" w:sz="0" w:space="0" w:color="auto"/>
        <w:left w:val="none" w:sz="0" w:space="0" w:color="auto"/>
        <w:bottom w:val="none" w:sz="0" w:space="0" w:color="auto"/>
        <w:right w:val="none" w:sz="0" w:space="0" w:color="auto"/>
      </w:divBdr>
    </w:div>
    <w:div w:id="1977686176">
      <w:bodyDiv w:val="1"/>
      <w:marLeft w:val="0"/>
      <w:marRight w:val="0"/>
      <w:marTop w:val="0"/>
      <w:marBottom w:val="0"/>
      <w:divBdr>
        <w:top w:val="none" w:sz="0" w:space="0" w:color="auto"/>
        <w:left w:val="none" w:sz="0" w:space="0" w:color="auto"/>
        <w:bottom w:val="none" w:sz="0" w:space="0" w:color="auto"/>
        <w:right w:val="none" w:sz="0" w:space="0" w:color="auto"/>
      </w:divBdr>
    </w:div>
    <w:div w:id="1979070692">
      <w:bodyDiv w:val="1"/>
      <w:marLeft w:val="0"/>
      <w:marRight w:val="0"/>
      <w:marTop w:val="0"/>
      <w:marBottom w:val="0"/>
      <w:divBdr>
        <w:top w:val="none" w:sz="0" w:space="0" w:color="auto"/>
        <w:left w:val="none" w:sz="0" w:space="0" w:color="auto"/>
        <w:bottom w:val="none" w:sz="0" w:space="0" w:color="auto"/>
        <w:right w:val="none" w:sz="0" w:space="0" w:color="auto"/>
      </w:divBdr>
    </w:div>
    <w:div w:id="1981030264">
      <w:bodyDiv w:val="1"/>
      <w:marLeft w:val="0"/>
      <w:marRight w:val="0"/>
      <w:marTop w:val="0"/>
      <w:marBottom w:val="0"/>
      <w:divBdr>
        <w:top w:val="none" w:sz="0" w:space="0" w:color="auto"/>
        <w:left w:val="none" w:sz="0" w:space="0" w:color="auto"/>
        <w:bottom w:val="none" w:sz="0" w:space="0" w:color="auto"/>
        <w:right w:val="none" w:sz="0" w:space="0" w:color="auto"/>
      </w:divBdr>
    </w:div>
    <w:div w:id="2002780818">
      <w:bodyDiv w:val="1"/>
      <w:marLeft w:val="0"/>
      <w:marRight w:val="0"/>
      <w:marTop w:val="0"/>
      <w:marBottom w:val="0"/>
      <w:divBdr>
        <w:top w:val="none" w:sz="0" w:space="0" w:color="auto"/>
        <w:left w:val="none" w:sz="0" w:space="0" w:color="auto"/>
        <w:bottom w:val="none" w:sz="0" w:space="0" w:color="auto"/>
        <w:right w:val="none" w:sz="0" w:space="0" w:color="auto"/>
      </w:divBdr>
    </w:div>
    <w:div w:id="2008705460">
      <w:bodyDiv w:val="1"/>
      <w:marLeft w:val="0"/>
      <w:marRight w:val="0"/>
      <w:marTop w:val="0"/>
      <w:marBottom w:val="0"/>
      <w:divBdr>
        <w:top w:val="none" w:sz="0" w:space="0" w:color="auto"/>
        <w:left w:val="none" w:sz="0" w:space="0" w:color="auto"/>
        <w:bottom w:val="none" w:sz="0" w:space="0" w:color="auto"/>
        <w:right w:val="none" w:sz="0" w:space="0" w:color="auto"/>
      </w:divBdr>
    </w:div>
    <w:div w:id="2009597798">
      <w:bodyDiv w:val="1"/>
      <w:marLeft w:val="0"/>
      <w:marRight w:val="0"/>
      <w:marTop w:val="0"/>
      <w:marBottom w:val="0"/>
      <w:divBdr>
        <w:top w:val="none" w:sz="0" w:space="0" w:color="auto"/>
        <w:left w:val="none" w:sz="0" w:space="0" w:color="auto"/>
        <w:bottom w:val="none" w:sz="0" w:space="0" w:color="auto"/>
        <w:right w:val="none" w:sz="0" w:space="0" w:color="auto"/>
      </w:divBdr>
    </w:div>
    <w:div w:id="2022853503">
      <w:bodyDiv w:val="1"/>
      <w:marLeft w:val="0"/>
      <w:marRight w:val="0"/>
      <w:marTop w:val="0"/>
      <w:marBottom w:val="0"/>
      <w:divBdr>
        <w:top w:val="none" w:sz="0" w:space="0" w:color="auto"/>
        <w:left w:val="none" w:sz="0" w:space="0" w:color="auto"/>
        <w:bottom w:val="none" w:sz="0" w:space="0" w:color="auto"/>
        <w:right w:val="none" w:sz="0" w:space="0" w:color="auto"/>
      </w:divBdr>
    </w:div>
    <w:div w:id="2023311089">
      <w:bodyDiv w:val="1"/>
      <w:marLeft w:val="0"/>
      <w:marRight w:val="0"/>
      <w:marTop w:val="0"/>
      <w:marBottom w:val="0"/>
      <w:divBdr>
        <w:top w:val="none" w:sz="0" w:space="0" w:color="auto"/>
        <w:left w:val="none" w:sz="0" w:space="0" w:color="auto"/>
        <w:bottom w:val="none" w:sz="0" w:space="0" w:color="auto"/>
        <w:right w:val="none" w:sz="0" w:space="0" w:color="auto"/>
      </w:divBdr>
    </w:div>
    <w:div w:id="2058240240">
      <w:bodyDiv w:val="1"/>
      <w:marLeft w:val="0"/>
      <w:marRight w:val="0"/>
      <w:marTop w:val="0"/>
      <w:marBottom w:val="0"/>
      <w:divBdr>
        <w:top w:val="none" w:sz="0" w:space="0" w:color="auto"/>
        <w:left w:val="none" w:sz="0" w:space="0" w:color="auto"/>
        <w:bottom w:val="none" w:sz="0" w:space="0" w:color="auto"/>
        <w:right w:val="none" w:sz="0" w:space="0" w:color="auto"/>
      </w:divBdr>
    </w:div>
    <w:div w:id="2063364451">
      <w:bodyDiv w:val="1"/>
      <w:marLeft w:val="0"/>
      <w:marRight w:val="0"/>
      <w:marTop w:val="0"/>
      <w:marBottom w:val="0"/>
      <w:divBdr>
        <w:top w:val="none" w:sz="0" w:space="0" w:color="auto"/>
        <w:left w:val="none" w:sz="0" w:space="0" w:color="auto"/>
        <w:bottom w:val="none" w:sz="0" w:space="0" w:color="auto"/>
        <w:right w:val="none" w:sz="0" w:space="0" w:color="auto"/>
      </w:divBdr>
    </w:div>
    <w:div w:id="2088189485">
      <w:bodyDiv w:val="1"/>
      <w:marLeft w:val="0"/>
      <w:marRight w:val="0"/>
      <w:marTop w:val="0"/>
      <w:marBottom w:val="0"/>
      <w:divBdr>
        <w:top w:val="none" w:sz="0" w:space="0" w:color="auto"/>
        <w:left w:val="none" w:sz="0" w:space="0" w:color="auto"/>
        <w:bottom w:val="none" w:sz="0" w:space="0" w:color="auto"/>
        <w:right w:val="none" w:sz="0" w:space="0" w:color="auto"/>
      </w:divBdr>
    </w:div>
    <w:div w:id="2100713532">
      <w:bodyDiv w:val="1"/>
      <w:marLeft w:val="0"/>
      <w:marRight w:val="0"/>
      <w:marTop w:val="0"/>
      <w:marBottom w:val="0"/>
      <w:divBdr>
        <w:top w:val="none" w:sz="0" w:space="0" w:color="auto"/>
        <w:left w:val="none" w:sz="0" w:space="0" w:color="auto"/>
        <w:bottom w:val="none" w:sz="0" w:space="0" w:color="auto"/>
        <w:right w:val="none" w:sz="0" w:space="0" w:color="auto"/>
      </w:divBdr>
    </w:div>
    <w:div w:id="2119595120">
      <w:bodyDiv w:val="1"/>
      <w:marLeft w:val="0"/>
      <w:marRight w:val="0"/>
      <w:marTop w:val="0"/>
      <w:marBottom w:val="0"/>
      <w:divBdr>
        <w:top w:val="none" w:sz="0" w:space="0" w:color="auto"/>
        <w:left w:val="none" w:sz="0" w:space="0" w:color="auto"/>
        <w:bottom w:val="none" w:sz="0" w:space="0" w:color="auto"/>
        <w:right w:val="none" w:sz="0" w:space="0" w:color="auto"/>
      </w:divBdr>
    </w:div>
    <w:div w:id="2121954326">
      <w:bodyDiv w:val="1"/>
      <w:marLeft w:val="0"/>
      <w:marRight w:val="0"/>
      <w:marTop w:val="0"/>
      <w:marBottom w:val="0"/>
      <w:divBdr>
        <w:top w:val="none" w:sz="0" w:space="0" w:color="auto"/>
        <w:left w:val="none" w:sz="0" w:space="0" w:color="auto"/>
        <w:bottom w:val="none" w:sz="0" w:space="0" w:color="auto"/>
        <w:right w:val="none" w:sz="0" w:space="0" w:color="auto"/>
      </w:divBdr>
    </w:div>
    <w:div w:id="214541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ec2e770e8c827b4c671df3dc9465bfd">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09F29-F5DA-4A09-A84A-D5710EC68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B8BD2FB-D06B-4172-A309-B76921839C29}">
  <ds:schemaRefs>
    <ds:schemaRef ds:uri="http://schemas.microsoft.com/sharepoint/v3/contenttype/forms"/>
  </ds:schemaRefs>
</ds:datastoreItem>
</file>

<file path=customXml/itemProps3.xml><?xml version="1.0" encoding="utf-8"?>
<ds:datastoreItem xmlns:ds="http://schemas.openxmlformats.org/officeDocument/2006/customXml" ds:itemID="{0634DC7E-F372-472D-87DD-A91A8A8A492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57E6F3F-619D-4B49-B265-D057E544D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47</Pages>
  <Words>14165</Words>
  <Characters>77913</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 Zamora Martinez</dc:creator>
  <cp:keywords/>
  <dc:description/>
  <cp:lastModifiedBy>Maria del Consuelo Gonzalez Moreno</cp:lastModifiedBy>
  <cp:revision>17</cp:revision>
  <cp:lastPrinted>2017-10-27T14:50:00Z</cp:lastPrinted>
  <dcterms:created xsi:type="dcterms:W3CDTF">2018-03-22T19:08:00Z</dcterms:created>
  <dcterms:modified xsi:type="dcterms:W3CDTF">2018-06-26T18:01:00Z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-783575204</vt:i4>
  </property>
  <property fmtid="{D5CDD505-2E9C-101B-9397-08002B2CF9AE}" pid="3" name="ContentTypeId">
    <vt:lpwstr>0x010100ECEEB889474DA94B9F68B747786921B0</vt:lpwstr>
  </property>
</Properties>
</file>